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D21C7" w:rsidR="00BE1E33" w:rsidP="00A32FFB" w:rsidRDefault="00BE1E33" w14:paraId="2D47BA26" w14:textId="07F56817">
      <w:pPr>
        <w:spacing w:line="276" w:lineRule="auto"/>
        <w:jc w:val="right"/>
        <w:rPr>
          <w:rFonts w:ascii="Arial" w:hAnsi="Arial" w:cs="Arial"/>
          <w:bCs/>
          <w:sz w:val="16"/>
          <w:szCs w:val="16"/>
          <w:lang w:val="es-ES_tradnl" w:eastAsia="es-ES"/>
        </w:rPr>
      </w:pPr>
      <w:bookmarkStart w:name="_Hlk28946138" w:id="0"/>
      <w:bookmarkStart w:name="_Hlk29548183" w:id="1"/>
      <w:r w:rsidRPr="001D21C7">
        <w:rPr>
          <w:rFonts w:ascii="Arial" w:hAnsi="Arial" w:cs="Arial"/>
          <w:bCs/>
          <w:sz w:val="16"/>
          <w:szCs w:val="16"/>
          <w:lang w:val="es-ES_tradnl" w:eastAsia="es-ES"/>
        </w:rPr>
        <w:t>CCE-DES-FM-17</w:t>
      </w:r>
    </w:p>
    <w:p w:rsidR="00533B6D" w:rsidP="008E27EC" w:rsidRDefault="00533B6D" w14:paraId="5CCBDD5D" w14:textId="77777777">
      <w:pPr>
        <w:jc w:val="both"/>
        <w:rPr>
          <w:rFonts w:ascii="Arial" w:hAnsi="Arial" w:eastAsia="Calibri" w:cs="Arial"/>
          <w:b/>
          <w:sz w:val="22"/>
        </w:rPr>
      </w:pPr>
    </w:p>
    <w:p w:rsidRPr="00DA403A" w:rsidR="005D3438" w:rsidP="008E27EC" w:rsidRDefault="00B40127" w14:paraId="102C35A4" w14:textId="6D6F2ADA">
      <w:pPr>
        <w:jc w:val="both"/>
        <w:rPr>
          <w:rFonts w:ascii="Arial" w:hAnsi="Arial" w:eastAsia="Calibri" w:cs="Arial"/>
          <w:b/>
          <w:sz w:val="22"/>
          <w:lang w:val="es-ES_tradnl"/>
        </w:rPr>
      </w:pPr>
      <w:r w:rsidRPr="00DA403A">
        <w:rPr>
          <w:rFonts w:ascii="Arial" w:hAnsi="Arial" w:eastAsia="Calibri" w:cs="Arial"/>
          <w:b/>
          <w:sz w:val="22"/>
        </w:rPr>
        <w:t>UNIVERSIDADES</w:t>
      </w:r>
      <w:r w:rsidRPr="00DA403A">
        <w:rPr>
          <w:rFonts w:ascii="Arial" w:hAnsi="Arial" w:eastAsia="Calibri" w:cs="Arial"/>
          <w:b/>
          <w:sz w:val="22"/>
          <w:lang w:val="es-ES_tradnl"/>
        </w:rPr>
        <w:t xml:space="preserve"> </w:t>
      </w:r>
      <w:r w:rsidRPr="00DA403A">
        <w:rPr>
          <w:rFonts w:ascii="Arial" w:hAnsi="Arial" w:eastAsia="Calibri" w:cs="Arial"/>
          <w:b/>
          <w:sz w:val="22"/>
        </w:rPr>
        <w:t xml:space="preserve">PÚBLICAS – Régimen jurídico </w:t>
      </w:r>
      <w:r w:rsidRPr="00DA403A" w:rsidR="008E27EC">
        <w:rPr>
          <w:rFonts w:ascii="Arial" w:hAnsi="Arial" w:eastAsia="Calibri" w:cs="Arial"/>
          <w:b/>
          <w:sz w:val="22"/>
        </w:rPr>
        <w:t>–</w:t>
      </w:r>
      <w:r w:rsidR="00533B6D">
        <w:rPr>
          <w:rFonts w:ascii="Arial" w:hAnsi="Arial" w:eastAsia="Calibri" w:cs="Arial"/>
          <w:b/>
          <w:sz w:val="22"/>
        </w:rPr>
        <w:t xml:space="preserve"> </w:t>
      </w:r>
      <w:r w:rsidRPr="00DA403A" w:rsidR="005D3438">
        <w:rPr>
          <w:rFonts w:ascii="Arial" w:hAnsi="Arial" w:eastAsia="Calibri" w:cs="Arial"/>
          <w:b/>
          <w:sz w:val="22"/>
        </w:rPr>
        <w:t>Ley 996 de 1995</w:t>
      </w:r>
      <w:r w:rsidR="00533B6D">
        <w:rPr>
          <w:rFonts w:ascii="Arial" w:hAnsi="Arial" w:eastAsia="Calibri" w:cs="Arial"/>
          <w:b/>
          <w:sz w:val="22"/>
        </w:rPr>
        <w:t xml:space="preserve"> – Aplicación</w:t>
      </w:r>
    </w:p>
    <w:p w:rsidRPr="00DA403A" w:rsidR="005D3438" w:rsidP="008E27EC" w:rsidRDefault="005D3438" w14:paraId="4EFF438E" w14:textId="43D72AB9">
      <w:pPr>
        <w:jc w:val="both"/>
        <w:rPr>
          <w:rFonts w:ascii="Arial" w:hAnsi="Arial" w:eastAsia="Calibri" w:cs="Arial"/>
          <w:sz w:val="20"/>
          <w:szCs w:val="20"/>
        </w:rPr>
      </w:pPr>
    </w:p>
    <w:p w:rsidRPr="00DA403A" w:rsidR="005D3438" w:rsidP="008E27EC" w:rsidRDefault="00C02194" w14:paraId="308EDBF1" w14:textId="7C2065B3">
      <w:pPr>
        <w:jc w:val="both"/>
        <w:rPr>
          <w:rFonts w:ascii="Arial" w:hAnsi="Arial" w:eastAsia="Calibri" w:cs="Arial"/>
          <w:sz w:val="20"/>
          <w:szCs w:val="20"/>
        </w:rPr>
      </w:pPr>
      <w:r>
        <w:rPr>
          <w:rFonts w:ascii="Arial" w:hAnsi="Arial" w:eastAsia="Calibri" w:cs="Arial"/>
          <w:sz w:val="20"/>
          <w:szCs w:val="20"/>
        </w:rPr>
        <w:t xml:space="preserve">[…] </w:t>
      </w:r>
      <w:r w:rsidRPr="00C02194">
        <w:rPr>
          <w:rFonts w:ascii="Arial" w:hAnsi="Arial" w:eastAsia="Calibri" w:cs="Arial"/>
          <w:sz w:val="20"/>
          <w:szCs w:val="20"/>
        </w:rPr>
        <w:t xml:space="preserve">teniendo en cuenta que las universidades públicas no encuadran en el concepto de entidades descentralizadas, ni entidades territoriales, conforme lo desarrollo en el numeral 2.2. de este concepto, no son destinatarias de la restricción del artículo 38 de la Ley 996 de 2005, pero sí de la restricción del artículo 33 </w:t>
      </w:r>
      <w:proofErr w:type="spellStart"/>
      <w:r w:rsidRPr="00C02194">
        <w:rPr>
          <w:rFonts w:ascii="Arial" w:hAnsi="Arial" w:eastAsia="Calibri" w:cs="Arial"/>
          <w:sz w:val="20"/>
          <w:szCs w:val="20"/>
        </w:rPr>
        <w:t>ibídem</w:t>
      </w:r>
      <w:proofErr w:type="spellEnd"/>
      <w:r w:rsidRPr="00C02194">
        <w:rPr>
          <w:rFonts w:ascii="Arial" w:hAnsi="Arial" w:eastAsia="Calibri" w:cs="Arial"/>
          <w:sz w:val="20"/>
          <w:szCs w:val="20"/>
        </w:rPr>
        <w:t>. Esto, por cuanto la restricción del artículo 33 recae sobre todos los entes del Estado sin importar su régimen jurídico, forma de organización o naturaleza, pertenencia a una u otra rama del poder público o su autonomía</w:t>
      </w:r>
      <w:r w:rsidRPr="00DA403A" w:rsidR="005D3438">
        <w:rPr>
          <w:rFonts w:ascii="Arial" w:hAnsi="Arial" w:eastAsia="Calibri" w:cs="Arial"/>
          <w:sz w:val="20"/>
          <w:szCs w:val="20"/>
        </w:rPr>
        <w:t>.</w:t>
      </w:r>
    </w:p>
    <w:p w:rsidRPr="00DA403A" w:rsidR="005D3438" w:rsidP="008E27EC" w:rsidRDefault="005D3438" w14:paraId="5EB1B8C9" w14:textId="77777777">
      <w:pPr>
        <w:jc w:val="both"/>
        <w:rPr>
          <w:rFonts w:ascii="Arial" w:hAnsi="Arial" w:eastAsia="Calibri" w:cs="Arial"/>
          <w:sz w:val="20"/>
          <w:szCs w:val="20"/>
        </w:rPr>
      </w:pPr>
    </w:p>
    <w:p w:rsidRPr="00DA403A" w:rsidR="00BE1E33" w:rsidP="008E27EC" w:rsidRDefault="002D1A52" w14:paraId="25784C1D" w14:textId="0F9C027C">
      <w:pPr>
        <w:jc w:val="both"/>
        <w:rPr>
          <w:rFonts w:ascii="Arial" w:hAnsi="Arial" w:eastAsia="Calibri" w:cs="Arial"/>
          <w:b/>
          <w:sz w:val="22"/>
        </w:rPr>
      </w:pPr>
      <w:r w:rsidRPr="00DA403A">
        <w:rPr>
          <w:rFonts w:ascii="Arial" w:hAnsi="Arial" w:eastAsia="Calibri" w:cs="Arial"/>
          <w:b/>
          <w:sz w:val="22"/>
        </w:rPr>
        <w:t xml:space="preserve">LEY DE GARANTÍAS ELECTORALES </w:t>
      </w:r>
      <w:r w:rsidR="000727F8">
        <w:rPr>
          <w:rFonts w:ascii="Arial" w:hAnsi="Arial" w:eastAsia="Calibri" w:cs="Arial"/>
          <w:b/>
          <w:sz w:val="22"/>
        </w:rPr>
        <w:t>–</w:t>
      </w:r>
      <w:r w:rsidRPr="00DA403A">
        <w:rPr>
          <w:rFonts w:ascii="Arial" w:hAnsi="Arial" w:eastAsia="Calibri" w:cs="Arial"/>
          <w:b/>
          <w:sz w:val="22"/>
        </w:rPr>
        <w:t xml:space="preserve"> Definición</w:t>
      </w:r>
    </w:p>
    <w:p w:rsidRPr="00DA403A" w:rsidR="002D1A52" w:rsidP="008E27EC" w:rsidRDefault="002D1A52" w14:paraId="28834002" w14:textId="39F1ABB9">
      <w:pPr>
        <w:jc w:val="both"/>
        <w:rPr>
          <w:rFonts w:ascii="Arial" w:hAnsi="Arial" w:eastAsia="Calibri" w:cs="Arial"/>
          <w:b/>
          <w:sz w:val="22"/>
          <w:lang w:val="es-ES_tradnl"/>
        </w:rPr>
      </w:pPr>
    </w:p>
    <w:p w:rsidR="0007790D" w:rsidP="0007790D" w:rsidRDefault="005862F8" w14:paraId="4A65F435" w14:textId="41F98883">
      <w:pPr>
        <w:jc w:val="both"/>
        <w:rPr>
          <w:rFonts w:ascii="Arial" w:hAnsi="Arial" w:eastAsia="Calibri" w:cs="Arial"/>
          <w:sz w:val="20"/>
          <w:szCs w:val="20"/>
        </w:rPr>
      </w:pPr>
      <w:r>
        <w:rPr>
          <w:rFonts w:ascii="Arial" w:hAnsi="Arial" w:eastAsia="Calibri" w:cs="Arial"/>
          <w:sz w:val="20"/>
          <w:szCs w:val="20"/>
        </w:rPr>
        <w:t>[…]</w:t>
      </w:r>
      <w:r>
        <w:rPr>
          <w:rFonts w:ascii="Arial" w:hAnsi="Arial" w:eastAsia="Calibri" w:cs="Arial"/>
          <w:sz w:val="20"/>
          <w:szCs w:val="20"/>
        </w:rPr>
        <w:t xml:space="preserve"> </w:t>
      </w:r>
      <w:r w:rsidRPr="0007790D" w:rsidR="0007790D">
        <w:rPr>
          <w:rFonts w:ascii="Arial" w:hAnsi="Arial" w:eastAsia="Calibri" w:cs="Arial"/>
          <w:sz w:val="20"/>
          <w:szCs w:val="20"/>
        </w:rPr>
        <w:t>la Ley 996 de 2005, denominada Ley de Garantías Electorales, con la cual se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rsidRPr="0007790D" w:rsidR="0007790D" w:rsidP="0007790D" w:rsidRDefault="0007790D" w14:paraId="1CF6EC1F" w14:textId="77777777">
      <w:pPr>
        <w:jc w:val="both"/>
        <w:rPr>
          <w:rFonts w:ascii="Arial" w:hAnsi="Arial" w:eastAsia="Calibri" w:cs="Arial"/>
          <w:sz w:val="20"/>
          <w:szCs w:val="20"/>
        </w:rPr>
      </w:pPr>
    </w:p>
    <w:p w:rsidRPr="00DA403A" w:rsidR="002D1A52" w:rsidP="0007790D" w:rsidRDefault="0007790D" w14:paraId="0755BCB1" w14:textId="427A2282">
      <w:pPr>
        <w:jc w:val="both"/>
        <w:rPr>
          <w:rFonts w:ascii="Arial" w:hAnsi="Arial" w:eastAsia="Calibri" w:cs="Arial"/>
          <w:sz w:val="20"/>
          <w:szCs w:val="20"/>
        </w:rPr>
      </w:pPr>
      <w:r w:rsidRPr="0007790D">
        <w:rPr>
          <w:rFonts w:ascii="Arial" w:hAnsi="Arial" w:eastAsia="Calibri" w:cs="Arial"/>
          <w:sz w:val="20"/>
          <w:szCs w:val="20"/>
        </w:rPr>
        <w:t xml:space="preserve">Ahora, </w:t>
      </w:r>
      <w:r w:rsidRPr="0007790D">
        <w:rPr>
          <w:rFonts w:ascii="Arial" w:hAnsi="Arial" w:eastAsia="Calibri" w:cs="Arial"/>
          <w:sz w:val="20"/>
          <w:szCs w:val="20"/>
        </w:rPr>
        <w:t>la</w:t>
      </w:r>
      <w:r>
        <w:rPr>
          <w:rFonts w:ascii="Arial" w:hAnsi="Arial" w:eastAsia="Calibri" w:cs="Arial"/>
          <w:sz w:val="20"/>
          <w:szCs w:val="20"/>
        </w:rPr>
        <w:t>s</w:t>
      </w:r>
      <w:r w:rsidRPr="0007790D">
        <w:rPr>
          <w:rFonts w:ascii="Arial" w:hAnsi="Arial" w:eastAsia="Calibri" w:cs="Arial"/>
          <w:sz w:val="20"/>
          <w:szCs w:val="20"/>
        </w:rPr>
        <w:t xml:space="preserve"> garantías buscadas a través de este marco normativo implican</w:t>
      </w:r>
      <w:r w:rsidRPr="0007790D">
        <w:rPr>
          <w:rFonts w:ascii="Arial" w:hAnsi="Arial" w:eastAsia="Calibri" w:cs="Arial"/>
          <w:sz w:val="20"/>
          <w:szCs w:val="20"/>
        </w:rPr>
        <w:t xml:space="preserve"> la existencia de restricciones, y conviene tener en cuenta que estas no pueden interpretarse extensivamente sino en forma restrictiva o estricta. En ese sentido, es importante analizar las restricciones aplicables frente a las elecciones presidenciales y frente a los comicios a cargos de elección popular</w:t>
      </w:r>
      <w:r w:rsidRPr="00DA403A" w:rsidR="002D1A52">
        <w:rPr>
          <w:rFonts w:ascii="Arial" w:hAnsi="Arial" w:eastAsia="Calibri" w:cs="Arial"/>
          <w:sz w:val="20"/>
          <w:szCs w:val="20"/>
        </w:rPr>
        <w:t xml:space="preserve">.  </w:t>
      </w:r>
    </w:p>
    <w:p w:rsidRPr="00DA403A" w:rsidR="002D1A52" w:rsidP="008E27EC" w:rsidRDefault="002D1A52" w14:paraId="7DB7CAAD" w14:textId="77777777">
      <w:pPr>
        <w:jc w:val="both"/>
        <w:rPr>
          <w:rFonts w:ascii="Arial" w:hAnsi="Arial" w:eastAsia="Calibri" w:cs="Arial"/>
          <w:b/>
          <w:bCs/>
          <w:sz w:val="22"/>
        </w:rPr>
      </w:pPr>
    </w:p>
    <w:p w:rsidR="009270B9" w:rsidP="008E27EC" w:rsidRDefault="007966C5" w14:paraId="66977606" w14:textId="32A06752">
      <w:pPr>
        <w:jc w:val="both"/>
        <w:rPr>
          <w:rFonts w:ascii="Arial" w:hAnsi="Arial" w:eastAsia="Calibri" w:cs="Arial"/>
          <w:b/>
          <w:sz w:val="22"/>
        </w:rPr>
      </w:pPr>
      <w:r w:rsidRPr="007966C5">
        <w:rPr>
          <w:rFonts w:ascii="Arial" w:hAnsi="Arial" w:eastAsia="Calibri" w:cs="Arial"/>
          <w:b/>
          <w:sz w:val="22"/>
        </w:rPr>
        <w:t>LEY DE GARANTÍAS – Ley 996 de 2005 – Restricciones artículo 33 – Elecciones presidenciales</w:t>
      </w:r>
    </w:p>
    <w:p w:rsidRPr="00DA403A" w:rsidR="007966C5" w:rsidP="008E27EC" w:rsidRDefault="007966C5" w14:paraId="4EA875D4" w14:textId="77777777">
      <w:pPr>
        <w:jc w:val="both"/>
        <w:rPr>
          <w:rFonts w:ascii="Arial" w:hAnsi="Arial" w:eastAsia="Calibri" w:cs="Arial"/>
          <w:b/>
          <w:bCs/>
          <w:sz w:val="22"/>
        </w:rPr>
      </w:pPr>
    </w:p>
    <w:p w:rsidR="00B4646D" w:rsidP="008E27EC" w:rsidRDefault="0088606D" w14:paraId="06F1B924" w14:textId="77777777">
      <w:pPr>
        <w:jc w:val="both"/>
        <w:rPr>
          <w:rFonts w:ascii="Arial" w:hAnsi="Arial" w:eastAsia="Calibri" w:cs="Arial"/>
          <w:sz w:val="20"/>
          <w:szCs w:val="20"/>
        </w:rPr>
      </w:pPr>
      <w:r w:rsidRPr="0088606D">
        <w:rPr>
          <w:rFonts w:ascii="Arial" w:hAnsi="Arial" w:eastAsia="Calibri" w:cs="Arial"/>
          <w:sz w:val="20"/>
          <w:szCs w:val="20"/>
        </w:rPr>
        <w:t>Ahora bien, el mismo artículo 33 establece en su inciso segundo las excepciones a la prohibición</w:t>
      </w:r>
      <w:r w:rsidR="00B4646D">
        <w:rPr>
          <w:rFonts w:ascii="Arial" w:hAnsi="Arial" w:eastAsia="Calibri" w:cs="Arial"/>
          <w:sz w:val="20"/>
          <w:szCs w:val="20"/>
        </w:rPr>
        <w:t>.</w:t>
      </w:r>
    </w:p>
    <w:p w:rsidR="00B4646D" w:rsidP="008E27EC" w:rsidRDefault="0055234C" w14:paraId="0C4BAEAF" w14:textId="7FC36B20">
      <w:pPr>
        <w:jc w:val="both"/>
        <w:rPr>
          <w:rFonts w:ascii="Arial" w:hAnsi="Arial" w:eastAsia="Calibri" w:cs="Arial"/>
          <w:sz w:val="20"/>
          <w:szCs w:val="20"/>
        </w:rPr>
      </w:pPr>
      <w:r>
        <w:rPr>
          <w:rFonts w:ascii="Arial" w:hAnsi="Arial" w:eastAsia="Calibri" w:cs="Arial"/>
          <w:sz w:val="20"/>
          <w:szCs w:val="20"/>
        </w:rPr>
        <w:t xml:space="preserve"> </w:t>
      </w:r>
    </w:p>
    <w:p w:rsidR="009270B9" w:rsidP="008E27EC" w:rsidRDefault="0055234C" w14:paraId="70517405" w14:textId="4B86C54B">
      <w:pPr>
        <w:jc w:val="both"/>
        <w:rPr>
          <w:rFonts w:ascii="Arial" w:hAnsi="Arial" w:eastAsia="Calibri" w:cs="Arial"/>
          <w:sz w:val="20"/>
          <w:szCs w:val="20"/>
        </w:rPr>
      </w:pPr>
      <w:r>
        <w:rPr>
          <w:rFonts w:ascii="Arial" w:hAnsi="Arial" w:eastAsia="Calibri" w:cs="Arial"/>
          <w:sz w:val="20"/>
          <w:szCs w:val="20"/>
        </w:rPr>
        <w:t>[…]</w:t>
      </w:r>
    </w:p>
    <w:p w:rsidR="00B4646D" w:rsidP="00B4646D" w:rsidRDefault="00B4646D" w14:paraId="16F22A87" w14:textId="77777777">
      <w:pPr>
        <w:jc w:val="both"/>
        <w:rPr>
          <w:rFonts w:ascii="Arial" w:hAnsi="Arial" w:eastAsia="Calibri" w:cs="Arial"/>
          <w:sz w:val="20"/>
          <w:szCs w:val="20"/>
        </w:rPr>
      </w:pPr>
    </w:p>
    <w:p w:rsidR="00B4646D" w:rsidP="00B4646D" w:rsidRDefault="00B4646D" w14:paraId="388CFE2E" w14:textId="02586024">
      <w:pPr>
        <w:jc w:val="both"/>
        <w:rPr>
          <w:rFonts w:ascii="Arial" w:hAnsi="Arial" w:eastAsia="Calibri" w:cs="Arial"/>
          <w:sz w:val="20"/>
          <w:szCs w:val="20"/>
        </w:rPr>
      </w:pPr>
      <w:r w:rsidRPr="00B4646D">
        <w:rPr>
          <w:rFonts w:ascii="Arial" w:hAnsi="Arial" w:eastAsia="Calibri" w:cs="Arial"/>
          <w:sz w:val="20"/>
          <w:szCs w:val="20"/>
        </w:rPr>
        <w:t>Nótese que los sujetos sobre los cuales recae la restricción son todos los entes del Estado, frente a lo cual, la Circular Externa Única de Colombia Compra Eficiente señala que «esta prohibición cobija a todos los entes del Estado sin importar su régimen jurídico, forma de organización o naturaleza, pertenencia a una u otra rama del poder público o su autonomía».</w:t>
      </w:r>
    </w:p>
    <w:p w:rsidRPr="00B4646D" w:rsidR="00B4646D" w:rsidP="00B4646D" w:rsidRDefault="00B4646D" w14:paraId="136CF230" w14:textId="77777777">
      <w:pPr>
        <w:jc w:val="both"/>
        <w:rPr>
          <w:rFonts w:ascii="Arial" w:hAnsi="Arial" w:eastAsia="Calibri" w:cs="Arial"/>
          <w:sz w:val="20"/>
          <w:szCs w:val="20"/>
        </w:rPr>
      </w:pPr>
    </w:p>
    <w:p w:rsidRPr="00DA403A" w:rsidR="00617345" w:rsidP="00B4646D" w:rsidRDefault="00B4646D" w14:paraId="26B122E5" w14:textId="247578AA">
      <w:pPr>
        <w:jc w:val="both"/>
        <w:rPr>
          <w:rFonts w:ascii="Arial" w:hAnsi="Arial" w:eastAsia="Calibri" w:cs="Arial"/>
          <w:sz w:val="20"/>
          <w:szCs w:val="20"/>
        </w:rPr>
      </w:pPr>
      <w:r w:rsidRPr="00B4646D">
        <w:rPr>
          <w:rFonts w:ascii="Arial" w:hAnsi="Arial" w:eastAsia="Calibri" w:cs="Arial"/>
          <w:sz w:val="20"/>
          <w:szCs w:val="20"/>
        </w:rPr>
        <w:t xml:space="preserve">El objeto de restricción es la modalidad de contratación directa, la cual, para el caso de las entidades estatales sometidas al Estatuto General de Contratación de la Administración Pública, se encuentra regulada en el numeral 4 del artículo 2 de la Ley 1150 de 2007. Allí se establecen actualmente once </w:t>
      </w:r>
      <w:r w:rsidRPr="00B4646D">
        <w:rPr>
          <w:rFonts w:ascii="Arial" w:hAnsi="Arial" w:eastAsia="Calibri" w:cs="Arial"/>
          <w:sz w:val="20"/>
          <w:szCs w:val="20"/>
        </w:rPr>
        <w:t>causales;</w:t>
      </w:r>
      <w:r w:rsidRPr="00B4646D">
        <w:rPr>
          <w:rFonts w:ascii="Arial" w:hAnsi="Arial" w:eastAsia="Calibri" w:cs="Arial"/>
          <w:sz w:val="20"/>
          <w:szCs w:val="20"/>
        </w:rPr>
        <w:t xml:space="preserve"> mientras </w:t>
      </w:r>
      <w:proofErr w:type="gramStart"/>
      <w:r w:rsidRPr="00B4646D">
        <w:rPr>
          <w:rFonts w:ascii="Arial" w:hAnsi="Arial" w:eastAsia="Calibri" w:cs="Arial"/>
          <w:sz w:val="20"/>
          <w:szCs w:val="20"/>
        </w:rPr>
        <w:t>que</w:t>
      </w:r>
      <w:proofErr w:type="gramEnd"/>
      <w:r w:rsidRPr="00B4646D">
        <w:rPr>
          <w:rFonts w:ascii="Arial" w:hAnsi="Arial" w:eastAsia="Calibri" w:cs="Arial"/>
          <w:sz w:val="20"/>
          <w:szCs w:val="20"/>
        </w:rPr>
        <w:t xml:space="preserve"> en el caso de las entidades no sometidas a dicho estatuto, la contratación directa se encuentra regulada en el respectivo Manual de Contratación</w:t>
      </w:r>
      <w:r w:rsidRPr="00DA403A" w:rsidR="00617345">
        <w:rPr>
          <w:rFonts w:ascii="Arial" w:hAnsi="Arial" w:eastAsia="Calibri" w:cs="Arial"/>
          <w:sz w:val="20"/>
          <w:szCs w:val="20"/>
        </w:rPr>
        <w:t xml:space="preserve">. </w:t>
      </w:r>
    </w:p>
    <w:p w:rsidRPr="00DA403A" w:rsidR="00617345" w:rsidP="008E27EC" w:rsidRDefault="00617345" w14:paraId="3C3D8DF8" w14:textId="77777777">
      <w:pPr>
        <w:jc w:val="both"/>
        <w:rPr>
          <w:rFonts w:ascii="Arial" w:hAnsi="Arial" w:eastAsia="Times New Roman" w:cs="Arial"/>
          <w:bCs/>
          <w:color w:val="000000" w:themeColor="text1"/>
          <w:sz w:val="22"/>
          <w:lang w:eastAsia="es-ES_tradnl"/>
        </w:rPr>
      </w:pPr>
    </w:p>
    <w:p w:rsidRPr="00DA403A" w:rsidR="007B6C2E" w:rsidP="008E27EC" w:rsidRDefault="006D6227" w14:paraId="7DADA0A6" w14:textId="1ECDBC21">
      <w:pPr>
        <w:jc w:val="both"/>
        <w:rPr>
          <w:rFonts w:ascii="Arial" w:hAnsi="Arial" w:eastAsia="Calibri" w:cs="Arial"/>
          <w:b/>
          <w:bCs/>
          <w:sz w:val="22"/>
        </w:rPr>
      </w:pPr>
      <w:r w:rsidRPr="006D6227">
        <w:rPr>
          <w:rFonts w:ascii="Arial" w:hAnsi="Arial" w:eastAsia="Calibri" w:cs="Arial"/>
          <w:b/>
          <w:bCs/>
          <w:sz w:val="22"/>
        </w:rPr>
        <w:t>LEY DE GARANTÍAS – Ley 996 de 2005 – Restricciones artículo 38 – Cualquier tipo de elección popular</w:t>
      </w:r>
    </w:p>
    <w:p w:rsidRPr="00DA403A" w:rsidR="00A765EA" w:rsidP="008E27EC" w:rsidRDefault="00A765EA" w14:paraId="00A76CAD" w14:textId="77777777">
      <w:pPr>
        <w:jc w:val="both"/>
        <w:rPr>
          <w:rFonts w:ascii="Arial" w:hAnsi="Arial" w:eastAsia="Times New Roman" w:cs="Arial"/>
          <w:b/>
          <w:bCs/>
          <w:color w:val="000000" w:themeColor="text1"/>
          <w:sz w:val="22"/>
          <w:lang w:eastAsia="es-ES_tradnl"/>
        </w:rPr>
      </w:pPr>
    </w:p>
    <w:p w:rsidRPr="002C0AFD" w:rsidR="002C0AFD" w:rsidP="002C0AFD" w:rsidRDefault="002C0AFD" w14:paraId="0A424D6A" w14:textId="77777777">
      <w:pPr>
        <w:jc w:val="both"/>
        <w:rPr>
          <w:rFonts w:ascii="Arial" w:hAnsi="Arial" w:eastAsia="Calibri" w:cs="Arial"/>
          <w:sz w:val="20"/>
          <w:szCs w:val="20"/>
        </w:rPr>
      </w:pPr>
      <w:r w:rsidRPr="002C0AFD">
        <w:rPr>
          <w:rFonts w:ascii="Arial" w:hAnsi="Arial" w:eastAsia="Calibri" w:cs="Arial"/>
          <w:sz w:val="20"/>
          <w:szCs w:val="20"/>
        </w:rPr>
        <w:t>En este caso, la restricción recae sobre unos sujetos específicos: los gobernadores, alcaldes municipales y/o distritales, secretarios, gerentes y directores de entidades descentralizadas del orden municipal, departamental o distrital.  Es decir, que no aplica a «todos los entes del Estado», como ocurre con la restricción del artículo 33.</w:t>
      </w:r>
    </w:p>
    <w:p w:rsidRPr="00DA403A" w:rsidR="007B6C2E" w:rsidP="002C0AFD" w:rsidRDefault="002C0AFD" w14:paraId="7170E4FF" w14:textId="2CA0A504">
      <w:pPr>
        <w:jc w:val="both"/>
        <w:rPr>
          <w:rFonts w:ascii="Arial" w:hAnsi="Arial" w:eastAsia="Calibri" w:cs="Arial"/>
          <w:sz w:val="20"/>
          <w:szCs w:val="20"/>
        </w:rPr>
      </w:pPr>
      <w:r w:rsidRPr="002C0AFD">
        <w:rPr>
          <w:rFonts w:ascii="Arial" w:hAnsi="Arial" w:eastAsia="Calibri" w:cs="Arial"/>
          <w:sz w:val="20"/>
          <w:szCs w:val="20"/>
        </w:rPr>
        <w:lastRenderedPageBreak/>
        <w:t>Por otra parte, el objeto de la restricción en este caso no es la modalidad de selección del contratista, sino un tipo de contrato: el convenio interadministrativo para la ejecución de recursos públicos</w:t>
      </w:r>
      <w:r w:rsidRPr="00DA403A" w:rsidR="007B6C2E">
        <w:rPr>
          <w:rFonts w:ascii="Arial" w:hAnsi="Arial" w:eastAsia="Calibri" w:cs="Arial"/>
          <w:sz w:val="20"/>
          <w:szCs w:val="20"/>
        </w:rPr>
        <w:t>.</w:t>
      </w:r>
    </w:p>
    <w:p w:rsidRPr="00DA403A" w:rsidR="008E27EC" w:rsidRDefault="008E27EC" w14:paraId="356D626B" w14:textId="77777777">
      <w:pPr>
        <w:spacing w:after="160" w:line="259" w:lineRule="auto"/>
        <w:rPr>
          <w:rFonts w:ascii="Arial" w:hAnsi="Arial" w:cs="Arial"/>
          <w:b/>
          <w:bCs/>
          <w:sz w:val="18"/>
          <w:szCs w:val="18"/>
          <w:lang w:val="es-CO"/>
        </w:rPr>
      </w:pPr>
      <w:r w:rsidRPr="00DA403A">
        <w:rPr>
          <w:rFonts w:ascii="Arial" w:hAnsi="Arial" w:cs="Arial"/>
          <w:b/>
          <w:bCs/>
          <w:sz w:val="18"/>
          <w:szCs w:val="18"/>
          <w:lang w:val="es-CO"/>
        </w:rPr>
        <w:br w:type="page"/>
      </w:r>
    </w:p>
    <w:p w:rsidRPr="00DA403A" w:rsidR="00113AD4" w:rsidP="00045260" w:rsidRDefault="00C23E62" w14:paraId="3DE0250D" w14:textId="7BDDDA99">
      <w:pPr>
        <w:tabs>
          <w:tab w:val="left" w:pos="709"/>
        </w:tabs>
        <w:spacing w:line="276" w:lineRule="auto"/>
        <w:jc w:val="right"/>
        <w:rPr>
          <w:rFonts w:ascii="Arial" w:hAnsi="Arial" w:cs="Arial"/>
          <w:sz w:val="22"/>
        </w:rPr>
      </w:pPr>
      <w:r w:rsidRPr="005A2054">
        <w:rPr>
          <w:rFonts w:ascii="Arial" w:hAnsi="Arial" w:cs="Arial"/>
          <w:sz w:val="22"/>
        </w:rPr>
        <w:lastRenderedPageBreak/>
        <w:drawing>
          <wp:anchor distT="0" distB="0" distL="114300" distR="114300" simplePos="0" relativeHeight="251658240" behindDoc="0" locked="0" layoutInCell="1" allowOverlap="1" wp14:anchorId="4A2604A8" wp14:editId="42A46B13">
            <wp:simplePos x="0" y="0"/>
            <wp:positionH relativeFrom="column">
              <wp:posOffset>2563248</wp:posOffset>
            </wp:positionH>
            <wp:positionV relativeFrom="paragraph">
              <wp:posOffset>-805180</wp:posOffset>
            </wp:positionV>
            <wp:extent cx="3682187" cy="1105469"/>
            <wp:effectExtent l="0" t="0" r="0" b="0"/>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682187" cy="1105469"/>
                    </a:xfrm>
                    <a:prstGeom prst="rect">
                      <a:avLst/>
                    </a:prstGeom>
                  </pic:spPr>
                </pic:pic>
              </a:graphicData>
            </a:graphic>
            <wp14:sizeRelH relativeFrom="page">
              <wp14:pctWidth>0</wp14:pctWidth>
            </wp14:sizeRelH>
            <wp14:sizeRelV relativeFrom="page">
              <wp14:pctHeight>0</wp14:pctHeight>
            </wp14:sizeRelV>
          </wp:anchor>
        </w:drawing>
      </w:r>
      <w:r w:rsidRPr="00DA403A" w:rsidR="00E35B0E">
        <w:rPr>
          <w:rFonts w:ascii="Arial" w:hAnsi="Arial" w:cs="Arial"/>
          <w:b/>
          <w:bCs/>
          <w:sz w:val="18"/>
          <w:szCs w:val="18"/>
          <w:lang w:val="es-CO"/>
        </w:rPr>
        <w:t>CCE-DES-FM-17</w:t>
      </w:r>
    </w:p>
    <w:p w:rsidRPr="00DA403A" w:rsidR="00113AD4" w:rsidP="00A32FFB" w:rsidRDefault="00113AD4" w14:paraId="05B25C09" w14:textId="5C6A7A2C">
      <w:pPr>
        <w:spacing w:line="276" w:lineRule="auto"/>
        <w:rPr>
          <w:rFonts w:ascii="Arial" w:hAnsi="Arial" w:cs="Arial"/>
          <w:sz w:val="22"/>
        </w:rPr>
      </w:pPr>
    </w:p>
    <w:p w:rsidRPr="00DA403A" w:rsidR="002C1A1A" w:rsidP="00A32FFB" w:rsidRDefault="002C1A1A" w14:paraId="4207D0F5" w14:textId="77777777">
      <w:pPr>
        <w:spacing w:line="276" w:lineRule="auto"/>
        <w:rPr>
          <w:rFonts w:ascii="Arial" w:hAnsi="Arial" w:cs="Arial"/>
          <w:sz w:val="22"/>
        </w:rPr>
      </w:pPr>
    </w:p>
    <w:p w:rsidRPr="00DA403A" w:rsidR="00E35B0E" w:rsidP="00C23E62" w:rsidRDefault="00C23E62" w14:paraId="21988125" w14:textId="200BA351">
      <w:pPr>
        <w:spacing w:line="276" w:lineRule="auto"/>
        <w:rPr>
          <w:rFonts w:ascii="Arial" w:hAnsi="Arial" w:cs="Arial"/>
          <w:b/>
          <w:sz w:val="22"/>
        </w:rPr>
      </w:pPr>
      <w:r w:rsidRPr="00C23E62">
        <w:rPr>
          <w:rFonts w:ascii="Arial" w:hAnsi="Arial" w:cs="Arial"/>
          <w:sz w:val="22"/>
        </w:rPr>
        <w:t>Bogotá, 15 Septiembre 2021</w:t>
      </w:r>
    </w:p>
    <w:p w:rsidRPr="00DA403A" w:rsidR="00E35B0E" w:rsidP="00A32FFB" w:rsidRDefault="00E35B0E" w14:paraId="156C00BE" w14:textId="77777777">
      <w:pPr>
        <w:spacing w:line="276" w:lineRule="auto"/>
        <w:jc w:val="both"/>
        <w:outlineLvl w:val="0"/>
        <w:rPr>
          <w:rFonts w:ascii="Arial" w:hAnsi="Arial" w:cs="Arial"/>
          <w:b/>
          <w:sz w:val="22"/>
          <w:lang w:val="es-ES"/>
        </w:rPr>
      </w:pPr>
    </w:p>
    <w:p w:rsidRPr="00DA403A" w:rsidR="00E35B0E" w:rsidP="00A32FFB" w:rsidRDefault="00F41276" w14:paraId="6B6535B7" w14:textId="0555F6B9">
      <w:pPr>
        <w:spacing w:line="276" w:lineRule="auto"/>
        <w:jc w:val="both"/>
        <w:outlineLvl w:val="0"/>
        <w:rPr>
          <w:rFonts w:ascii="Arial" w:hAnsi="Arial" w:eastAsia="Calibri" w:cs="Arial"/>
          <w:sz w:val="22"/>
          <w:lang w:val="es-ES"/>
        </w:rPr>
      </w:pPr>
      <w:r w:rsidRPr="00DA403A">
        <w:rPr>
          <w:rFonts w:ascii="Arial" w:hAnsi="Arial" w:eastAsia="Calibri" w:cs="Arial"/>
          <w:sz w:val="22"/>
          <w:lang w:val="es-ES"/>
        </w:rPr>
        <w:t>Señor</w:t>
      </w:r>
    </w:p>
    <w:p w:rsidRPr="00DA403A" w:rsidR="00F41276" w:rsidP="00A32FFB" w:rsidRDefault="009D6FEF" w14:paraId="0A324933" w14:textId="0A7C9D19">
      <w:pPr>
        <w:spacing w:line="276" w:lineRule="auto"/>
        <w:jc w:val="both"/>
        <w:rPr>
          <w:rFonts w:ascii="Arial" w:hAnsi="Arial" w:cs="Arial"/>
          <w:b/>
          <w:bCs/>
          <w:sz w:val="22"/>
          <w:lang w:val="es-CO"/>
        </w:rPr>
      </w:pPr>
      <w:r w:rsidRPr="00DA403A">
        <w:rPr>
          <w:rFonts w:ascii="Arial" w:hAnsi="Arial" w:cs="Arial"/>
          <w:b/>
          <w:bCs/>
          <w:sz w:val="22"/>
          <w:lang w:val="es-CO"/>
        </w:rPr>
        <w:t>JUAN DAVID SALAZAR ESCOBAR</w:t>
      </w:r>
    </w:p>
    <w:p w:rsidRPr="00DA403A" w:rsidR="002C1A1A" w:rsidP="00A32FFB" w:rsidRDefault="002C1A1A" w14:paraId="69A3818D" w14:textId="317FDBD2">
      <w:pPr>
        <w:spacing w:line="276" w:lineRule="auto"/>
        <w:jc w:val="both"/>
        <w:rPr>
          <w:rFonts w:ascii="Arial" w:hAnsi="Arial" w:cs="Arial"/>
          <w:b/>
          <w:bCs/>
          <w:sz w:val="22"/>
          <w:lang w:val="es-CO"/>
        </w:rPr>
      </w:pPr>
      <w:r w:rsidRPr="00DA403A">
        <w:rPr>
          <w:rFonts w:ascii="Arial" w:hAnsi="Arial" w:cs="Arial"/>
          <w:b/>
          <w:bCs/>
          <w:sz w:val="22"/>
          <w:lang w:val="es-CO"/>
        </w:rPr>
        <w:t>Manizales, Caldas</w:t>
      </w:r>
    </w:p>
    <w:p w:rsidRPr="00DA403A" w:rsidR="00E35B0E" w:rsidP="00A32FFB" w:rsidRDefault="00E35B0E" w14:paraId="0973DE01" w14:textId="721284D5">
      <w:pPr>
        <w:spacing w:line="276" w:lineRule="auto"/>
        <w:jc w:val="both"/>
        <w:rPr>
          <w:rFonts w:ascii="Arial" w:hAnsi="Arial" w:eastAsia="Calibri" w:cs="Arial"/>
          <w:sz w:val="22"/>
          <w:lang w:val="es-ES"/>
        </w:rPr>
      </w:pPr>
    </w:p>
    <w:p w:rsidRPr="00DA403A" w:rsidR="00E35B0E" w:rsidP="00A32FFB" w:rsidRDefault="00E35B0E" w14:paraId="3D1882E9" w14:textId="77777777">
      <w:pPr>
        <w:spacing w:line="276" w:lineRule="auto"/>
        <w:jc w:val="both"/>
        <w:rPr>
          <w:rFonts w:ascii="Arial" w:hAnsi="Arial" w:eastAsia="Calibri" w:cs="Arial"/>
          <w:sz w:val="22"/>
          <w:lang w:val="es-ES"/>
        </w:rPr>
      </w:pPr>
    </w:p>
    <w:p w:rsidRPr="00DA403A" w:rsidR="00E35B0E" w:rsidP="00A32FFB" w:rsidRDefault="00E35B0E" w14:paraId="70630779" w14:textId="197843DE">
      <w:pPr>
        <w:spacing w:line="276" w:lineRule="auto"/>
        <w:ind w:firstLine="2694"/>
        <w:jc w:val="both"/>
        <w:outlineLvl w:val="0"/>
        <w:rPr>
          <w:rFonts w:ascii="Arial" w:hAnsi="Arial" w:eastAsia="Calibri" w:cs="Arial"/>
          <w:b/>
          <w:sz w:val="22"/>
          <w:lang w:val="es-ES"/>
        </w:rPr>
      </w:pPr>
      <w:r w:rsidRPr="00DA403A">
        <w:rPr>
          <w:rFonts w:ascii="Arial" w:hAnsi="Arial" w:eastAsia="Calibri" w:cs="Arial"/>
          <w:b/>
          <w:sz w:val="22"/>
          <w:lang w:val="es-ES"/>
        </w:rPr>
        <w:t xml:space="preserve">Concepto C – </w:t>
      </w:r>
      <w:r w:rsidRPr="00DA403A" w:rsidR="002C1A1A">
        <w:rPr>
          <w:rFonts w:ascii="Arial" w:hAnsi="Arial" w:eastAsia="Calibri" w:cs="Arial"/>
          <w:b/>
          <w:sz w:val="22"/>
          <w:lang w:val="es-ES"/>
        </w:rPr>
        <w:t>495</w:t>
      </w:r>
      <w:r w:rsidRPr="00DA403A">
        <w:rPr>
          <w:rFonts w:ascii="Arial" w:hAnsi="Arial" w:eastAsia="Calibri" w:cs="Arial"/>
          <w:b/>
          <w:sz w:val="22"/>
          <w:lang w:val="es-ES"/>
        </w:rPr>
        <w:t xml:space="preserve"> de 2021</w:t>
      </w:r>
    </w:p>
    <w:p w:rsidRPr="00DA403A" w:rsidR="00BE1E33" w:rsidP="00A32FFB" w:rsidRDefault="00BE1E33" w14:paraId="234727AD" w14:textId="77777777">
      <w:pPr>
        <w:spacing w:line="276" w:lineRule="auto"/>
        <w:rPr>
          <w:rFonts w:ascii="Arial" w:hAnsi="Arial" w:eastAsia="Calibri" w:cs="Arial"/>
          <w:sz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261"/>
        <w:gridCol w:w="5665"/>
      </w:tblGrid>
      <w:tr w:rsidRPr="00DA403A" w:rsidR="00ED1F11" w:rsidTr="6302F9AC" w14:paraId="2553E4F3" w14:textId="77777777">
        <w:tc>
          <w:tcPr>
            <w:tcW w:w="3261" w:type="dxa"/>
            <w:tcMar/>
            <w:hideMark/>
          </w:tcPr>
          <w:p w:rsidRPr="00DA403A" w:rsidR="00BE1E33" w:rsidP="00A32FFB" w:rsidRDefault="00BE1E33" w14:paraId="7BC9E971" w14:textId="77777777">
            <w:pPr>
              <w:spacing w:line="276" w:lineRule="auto"/>
              <w:rPr>
                <w:rFonts w:ascii="Arial" w:hAnsi="Arial" w:eastAsia="Calibri" w:cs="Arial"/>
                <w:sz w:val="22"/>
                <w:lang w:val="es-ES_tradnl"/>
              </w:rPr>
            </w:pPr>
            <w:r w:rsidRPr="00DA403A">
              <w:rPr>
                <w:rFonts w:ascii="Arial" w:hAnsi="Arial" w:eastAsia="Calibri" w:cs="Arial"/>
                <w:b/>
                <w:sz w:val="22"/>
                <w:lang w:val="es-ES_tradnl"/>
              </w:rPr>
              <w:t>Temas:</w:t>
            </w:r>
            <w:r w:rsidRPr="00DA403A">
              <w:rPr>
                <w:rFonts w:ascii="Arial" w:hAnsi="Arial" w:eastAsia="Calibri" w:cs="Arial"/>
                <w:sz w:val="22"/>
                <w:lang w:val="es-ES_tradnl"/>
              </w:rPr>
              <w:t xml:space="preserve">           </w:t>
            </w:r>
          </w:p>
          <w:p w:rsidRPr="00DA403A" w:rsidR="00BE1E33" w:rsidP="00A32FFB" w:rsidRDefault="00BE1E33" w14:paraId="0C0D8CD7" w14:textId="77777777">
            <w:pPr>
              <w:spacing w:line="276" w:lineRule="auto"/>
              <w:rPr>
                <w:rFonts w:ascii="Arial" w:hAnsi="Arial" w:eastAsia="Calibri" w:cs="Arial"/>
                <w:sz w:val="22"/>
                <w:lang w:val="es-ES_tradnl"/>
              </w:rPr>
            </w:pPr>
            <w:r w:rsidRPr="00DA403A">
              <w:rPr>
                <w:rFonts w:ascii="Arial" w:hAnsi="Arial" w:eastAsia="Calibri" w:cs="Arial"/>
                <w:sz w:val="22"/>
                <w:lang w:val="es-ES_tradnl"/>
              </w:rPr>
              <w:t xml:space="preserve">                           </w:t>
            </w:r>
          </w:p>
        </w:tc>
        <w:tc>
          <w:tcPr>
            <w:tcW w:w="5665" w:type="dxa"/>
            <w:tcMar/>
            <w:hideMark/>
          </w:tcPr>
          <w:p w:rsidRPr="00DA403A" w:rsidR="00BE1E33" w:rsidP="6302F9AC" w:rsidRDefault="0016251D" w14:paraId="0F35FDBD" w14:textId="1012F7AE" w14:noSpellErr="1">
            <w:pPr>
              <w:spacing w:line="276" w:lineRule="auto"/>
              <w:jc w:val="both"/>
              <w:rPr>
                <w:rFonts w:ascii="Arial" w:hAnsi="Arial" w:eastAsia="Calibri" w:cs="Arial"/>
                <w:sz w:val="22"/>
                <w:szCs w:val="22"/>
                <w:lang w:val="es-ES"/>
              </w:rPr>
            </w:pPr>
            <w:r w:rsidRPr="6302F9AC" w:rsidR="0016251D">
              <w:rPr>
                <w:rFonts w:ascii="Arial" w:hAnsi="Arial" w:eastAsia="Calibri" w:cs="Arial"/>
                <w:sz w:val="22"/>
                <w:szCs w:val="22"/>
                <w:lang w:val="es-ES"/>
              </w:rPr>
              <w:t>UNIVERSIDADES PÚBLICAS</w:t>
            </w:r>
            <w:r w:rsidRPr="6302F9AC" w:rsidR="00FD20DD">
              <w:rPr>
                <w:rFonts w:ascii="Arial" w:hAnsi="Arial" w:eastAsia="Calibri" w:cs="Arial"/>
                <w:sz w:val="22"/>
                <w:szCs w:val="22"/>
                <w:lang w:val="es-ES"/>
              </w:rPr>
              <w:t xml:space="preserve"> </w:t>
            </w:r>
            <w:r w:rsidRPr="6302F9AC" w:rsidR="00450614">
              <w:rPr>
                <w:rFonts w:ascii="Arial" w:hAnsi="Arial" w:eastAsia="Calibri" w:cs="Arial"/>
                <w:sz w:val="22"/>
                <w:szCs w:val="22"/>
                <w:lang w:val="es-ES"/>
              </w:rPr>
              <w:t>–</w:t>
            </w:r>
            <w:r w:rsidRPr="6302F9AC" w:rsidR="008351E8">
              <w:rPr>
                <w:rFonts w:ascii="Arial" w:hAnsi="Arial" w:eastAsia="Calibri" w:cs="Arial"/>
                <w:sz w:val="22"/>
                <w:szCs w:val="22"/>
                <w:lang w:val="es-ES"/>
              </w:rPr>
              <w:t xml:space="preserve"> </w:t>
            </w:r>
            <w:r w:rsidRPr="6302F9AC" w:rsidR="008351E8">
              <w:rPr>
                <w:rFonts w:ascii="Arial" w:hAnsi="Arial" w:eastAsia="Calibri" w:cs="Arial"/>
                <w:sz w:val="22"/>
                <w:szCs w:val="22"/>
                <w:lang w:val="es-ES"/>
              </w:rPr>
              <w:t>Régimen jurídico – Ley 996 de 1995</w:t>
            </w:r>
            <w:r w:rsidRPr="6302F9AC" w:rsidR="00EB2EE8">
              <w:rPr>
                <w:rFonts w:ascii="Arial" w:hAnsi="Arial" w:eastAsia="Calibri" w:cs="Arial"/>
                <w:sz w:val="22"/>
                <w:szCs w:val="22"/>
                <w:lang w:val="es-ES"/>
              </w:rPr>
              <w:t xml:space="preserve"> – Aplicación</w:t>
            </w:r>
            <w:r w:rsidRPr="6302F9AC" w:rsidR="008351E8">
              <w:rPr>
                <w:rFonts w:ascii="Arial" w:hAnsi="Arial" w:eastAsia="Calibri" w:cs="Arial"/>
                <w:sz w:val="22"/>
                <w:szCs w:val="22"/>
                <w:lang w:val="es-ES"/>
              </w:rPr>
              <w:t xml:space="preserve"> </w:t>
            </w:r>
            <w:r w:rsidRPr="6302F9AC" w:rsidR="0016251D">
              <w:rPr>
                <w:rFonts w:ascii="Arial" w:hAnsi="Arial" w:eastAsia="Calibri" w:cs="Arial"/>
                <w:sz w:val="22"/>
                <w:szCs w:val="22"/>
                <w:lang w:val="es-ES"/>
              </w:rPr>
              <w:t>/</w:t>
            </w:r>
            <w:r w:rsidRPr="6302F9AC" w:rsidR="00E53ED1">
              <w:rPr>
                <w:rFonts w:ascii="Arial" w:hAnsi="Arial" w:eastAsia="Calibri" w:cs="Arial"/>
                <w:sz w:val="22"/>
                <w:szCs w:val="22"/>
                <w:lang w:val="es-ES"/>
              </w:rPr>
              <w:t xml:space="preserve"> </w:t>
            </w:r>
            <w:r w:rsidRPr="6302F9AC" w:rsidR="008351E8">
              <w:rPr>
                <w:rFonts w:ascii="Arial" w:hAnsi="Arial" w:eastAsia="Calibri" w:cs="Arial"/>
                <w:sz w:val="22"/>
                <w:szCs w:val="22"/>
                <w:lang w:val="es-ES"/>
              </w:rPr>
              <w:t>LEY DE GARANTÍAS ELECTORALES – Definición / LEY DE GARANTÍAS –</w:t>
            </w:r>
            <w:r w:rsidRPr="6302F9AC" w:rsidR="00EB2EE8">
              <w:rPr>
                <w:rFonts w:ascii="Arial" w:hAnsi="Arial" w:eastAsia="Calibri" w:cs="Arial"/>
                <w:sz w:val="22"/>
                <w:szCs w:val="22"/>
                <w:lang w:val="es-ES"/>
              </w:rPr>
              <w:t xml:space="preserve"> </w:t>
            </w:r>
            <w:r w:rsidRPr="6302F9AC" w:rsidR="008351E8">
              <w:rPr>
                <w:rFonts w:ascii="Arial" w:hAnsi="Arial" w:eastAsia="Calibri" w:cs="Arial"/>
                <w:sz w:val="22"/>
                <w:szCs w:val="22"/>
                <w:lang w:val="es-ES"/>
              </w:rPr>
              <w:t xml:space="preserve">Ley 996 de 2005 – </w:t>
            </w:r>
            <w:r w:rsidRPr="6302F9AC" w:rsidR="00EB2EE8">
              <w:rPr>
                <w:rFonts w:ascii="Arial" w:hAnsi="Arial" w:eastAsia="Calibri" w:cs="Arial"/>
                <w:sz w:val="22"/>
                <w:szCs w:val="22"/>
                <w:lang w:val="es-ES"/>
              </w:rPr>
              <w:t xml:space="preserve">Restricciones artículo 33 </w:t>
            </w:r>
            <w:r w:rsidRPr="6302F9AC" w:rsidR="00EB2EE8">
              <w:rPr>
                <w:rFonts w:ascii="Arial" w:hAnsi="Arial" w:eastAsia="Calibri" w:cs="Arial"/>
                <w:sz w:val="22"/>
                <w:szCs w:val="22"/>
                <w:lang w:val="es-ES"/>
              </w:rPr>
              <w:t xml:space="preserve">– </w:t>
            </w:r>
            <w:r w:rsidRPr="6302F9AC" w:rsidR="008351E8">
              <w:rPr>
                <w:rFonts w:ascii="Arial" w:hAnsi="Arial" w:eastAsia="Calibri" w:cs="Arial"/>
                <w:sz w:val="22"/>
                <w:szCs w:val="22"/>
                <w:lang w:val="es-ES"/>
              </w:rPr>
              <w:t>Elecciones presidenciales / LEY DE GARANTÍAS –</w:t>
            </w:r>
            <w:r w:rsidRPr="6302F9AC" w:rsidR="00EB2EE8">
              <w:rPr>
                <w:rFonts w:ascii="Arial" w:hAnsi="Arial" w:eastAsia="Calibri" w:cs="Arial"/>
                <w:sz w:val="22"/>
                <w:szCs w:val="22"/>
                <w:lang w:val="es-ES"/>
              </w:rPr>
              <w:t xml:space="preserve"> </w:t>
            </w:r>
            <w:r w:rsidRPr="6302F9AC" w:rsidR="00EB2EE8">
              <w:rPr>
                <w:rFonts w:ascii="Arial" w:hAnsi="Arial" w:eastAsia="Calibri" w:cs="Arial"/>
                <w:sz w:val="22"/>
                <w:szCs w:val="22"/>
                <w:lang w:val="es-ES"/>
              </w:rPr>
              <w:t xml:space="preserve">Ley 996 de 2005 </w:t>
            </w:r>
            <w:r w:rsidRPr="6302F9AC" w:rsidR="0022710F">
              <w:rPr>
                <w:rFonts w:ascii="Arial" w:hAnsi="Arial" w:eastAsia="Calibri" w:cs="Arial"/>
                <w:sz w:val="22"/>
                <w:szCs w:val="22"/>
                <w:lang w:val="es-ES"/>
              </w:rPr>
              <w:t>–</w:t>
            </w:r>
            <w:r w:rsidRPr="6302F9AC" w:rsidR="008351E8">
              <w:rPr>
                <w:rFonts w:ascii="Arial" w:hAnsi="Arial" w:eastAsia="Calibri" w:cs="Arial"/>
                <w:sz w:val="22"/>
                <w:szCs w:val="22"/>
                <w:lang w:val="es-ES"/>
              </w:rPr>
              <w:t xml:space="preserve"> Restricciones artículo 38</w:t>
            </w:r>
            <w:r w:rsidRPr="6302F9AC" w:rsidR="0022710F">
              <w:rPr>
                <w:rFonts w:ascii="Arial" w:hAnsi="Arial" w:eastAsia="Calibri" w:cs="Arial"/>
                <w:sz w:val="22"/>
                <w:szCs w:val="22"/>
                <w:lang w:val="es-ES"/>
              </w:rPr>
              <w:t xml:space="preserve"> </w:t>
            </w:r>
            <w:r w:rsidRPr="6302F9AC" w:rsidR="008351E8">
              <w:rPr>
                <w:rFonts w:ascii="Arial" w:hAnsi="Arial" w:eastAsia="Calibri" w:cs="Arial"/>
                <w:sz w:val="22"/>
                <w:szCs w:val="22"/>
                <w:lang w:val="es-ES"/>
              </w:rPr>
              <w:t>– Cualquier tipo de elección popular</w:t>
            </w:r>
          </w:p>
        </w:tc>
      </w:tr>
      <w:tr w:rsidRPr="00DA403A" w:rsidR="00ED1F11" w:rsidTr="6302F9AC" w14:paraId="20F2A3B6" w14:textId="77777777">
        <w:tc>
          <w:tcPr>
            <w:tcW w:w="3261" w:type="dxa"/>
            <w:tcMar/>
          </w:tcPr>
          <w:p w:rsidRPr="00DA403A" w:rsidR="00BE1E33" w:rsidP="00A32FFB" w:rsidRDefault="00E33820" w14:paraId="1E82F4FA" w14:textId="64FF75E0">
            <w:pPr>
              <w:spacing w:before="120" w:line="276" w:lineRule="auto"/>
              <w:rPr>
                <w:rFonts w:ascii="Arial" w:hAnsi="Arial" w:eastAsia="Calibri" w:cs="Arial"/>
                <w:b/>
                <w:sz w:val="22"/>
                <w:lang w:val="es-ES_tradnl"/>
              </w:rPr>
            </w:pPr>
            <w:r w:rsidRPr="00DA403A">
              <w:rPr>
                <w:rFonts w:ascii="Arial" w:hAnsi="Arial" w:eastAsia="Calibri" w:cs="Arial"/>
                <w:b/>
                <w:sz w:val="22"/>
                <w:lang w:val="es-ES_tradnl"/>
              </w:rPr>
              <w:t xml:space="preserve"> </w:t>
            </w:r>
            <w:r w:rsidRPr="00DA403A" w:rsidR="00BE1E33">
              <w:rPr>
                <w:rFonts w:ascii="Arial" w:hAnsi="Arial" w:eastAsia="Calibri" w:cs="Arial"/>
                <w:b/>
                <w:sz w:val="22"/>
                <w:lang w:val="es-ES_tradnl"/>
              </w:rPr>
              <w:t>Radicación:</w:t>
            </w:r>
            <w:r w:rsidRPr="00DA403A" w:rsidR="00BE1E33">
              <w:rPr>
                <w:rFonts w:ascii="Arial" w:hAnsi="Arial" w:eastAsia="Calibri" w:cs="Arial"/>
                <w:sz w:val="22"/>
                <w:lang w:val="es-ES_tradnl"/>
              </w:rPr>
              <w:t xml:space="preserve">                              </w:t>
            </w:r>
          </w:p>
        </w:tc>
        <w:tc>
          <w:tcPr>
            <w:tcW w:w="5665" w:type="dxa"/>
            <w:tcMar/>
          </w:tcPr>
          <w:p w:rsidRPr="00DA403A" w:rsidR="00BE1E33" w:rsidP="00A32FFB" w:rsidRDefault="00BE1E33" w14:paraId="20FCE53A" w14:textId="23F63B93">
            <w:pPr>
              <w:spacing w:before="120" w:line="276" w:lineRule="auto"/>
              <w:jc w:val="both"/>
              <w:rPr>
                <w:rFonts w:ascii="Arial" w:hAnsi="Arial" w:eastAsia="Calibri" w:cs="Arial"/>
                <w:sz w:val="22"/>
                <w:lang w:val="es-ES_tradnl"/>
              </w:rPr>
            </w:pPr>
            <w:r w:rsidRPr="00DA403A">
              <w:rPr>
                <w:rFonts w:ascii="Arial" w:hAnsi="Arial" w:eastAsia="Calibri" w:cs="Arial"/>
                <w:sz w:val="22"/>
                <w:lang w:val="es-ES_tradnl"/>
              </w:rPr>
              <w:t xml:space="preserve">Respuesta a consulta </w:t>
            </w:r>
            <w:r w:rsidRPr="00DA403A" w:rsidR="008E27EC">
              <w:rPr>
                <w:rFonts w:ascii="Arial" w:hAnsi="Arial" w:eastAsia="Calibri" w:cs="Arial"/>
                <w:sz w:val="22"/>
                <w:lang w:val="es-ES_tradnl"/>
              </w:rPr>
              <w:t>P20210803006817</w:t>
            </w:r>
          </w:p>
        </w:tc>
      </w:tr>
      <w:tr w:rsidRPr="00DA403A" w:rsidR="00ED1F11" w:rsidTr="6302F9AC" w14:paraId="27C2F130" w14:textId="77777777">
        <w:tc>
          <w:tcPr>
            <w:tcW w:w="3261" w:type="dxa"/>
            <w:tcMar/>
          </w:tcPr>
          <w:p w:rsidRPr="00DA403A" w:rsidR="00770D7D" w:rsidP="00A32FFB" w:rsidRDefault="00770D7D" w14:paraId="2CAB0965" w14:textId="77777777">
            <w:pPr>
              <w:spacing w:before="120" w:line="276" w:lineRule="auto"/>
              <w:rPr>
                <w:rFonts w:ascii="Arial" w:hAnsi="Arial" w:eastAsia="Calibri" w:cs="Arial"/>
                <w:b/>
                <w:sz w:val="22"/>
                <w:lang w:val="es-ES_tradnl"/>
              </w:rPr>
            </w:pPr>
          </w:p>
        </w:tc>
        <w:tc>
          <w:tcPr>
            <w:tcW w:w="5665" w:type="dxa"/>
            <w:tcMar/>
          </w:tcPr>
          <w:p w:rsidRPr="00DA403A" w:rsidR="00770D7D" w:rsidP="00A32FFB" w:rsidRDefault="00770D7D" w14:paraId="38942E59" w14:textId="77777777">
            <w:pPr>
              <w:spacing w:before="120" w:line="276" w:lineRule="auto"/>
              <w:jc w:val="both"/>
              <w:rPr>
                <w:rFonts w:ascii="Arial" w:hAnsi="Arial" w:eastAsia="Calibri" w:cs="Arial"/>
                <w:sz w:val="22"/>
                <w:lang w:val="es-ES_tradnl"/>
              </w:rPr>
            </w:pPr>
          </w:p>
        </w:tc>
      </w:tr>
    </w:tbl>
    <w:p w:rsidRPr="00DA403A" w:rsidR="00BE1E33" w:rsidP="00A32FFB" w:rsidRDefault="00BE1E33" w14:paraId="06248123" w14:textId="77777777">
      <w:pPr>
        <w:spacing w:line="276" w:lineRule="auto"/>
        <w:jc w:val="both"/>
        <w:rPr>
          <w:rFonts w:ascii="Arial" w:hAnsi="Arial" w:eastAsia="Calibri" w:cs="Arial"/>
          <w:sz w:val="22"/>
          <w:lang w:val="es-ES_tradnl"/>
        </w:rPr>
      </w:pPr>
    </w:p>
    <w:p w:rsidRPr="00DA403A" w:rsidR="00BE1E33" w:rsidP="00A32FFB" w:rsidRDefault="004E402A" w14:paraId="417ABDA8" w14:textId="72C252A8">
      <w:pPr>
        <w:spacing w:line="276" w:lineRule="auto"/>
        <w:rPr>
          <w:rFonts w:ascii="Arial" w:hAnsi="Arial" w:eastAsia="Calibri" w:cs="Arial"/>
          <w:sz w:val="22"/>
          <w:lang w:val="es-ES_tradnl"/>
        </w:rPr>
      </w:pPr>
      <w:r w:rsidRPr="00DA403A">
        <w:rPr>
          <w:rFonts w:ascii="Arial" w:hAnsi="Arial" w:eastAsia="Calibri" w:cs="Arial"/>
          <w:sz w:val="22"/>
          <w:lang w:val="es-ES_tradnl"/>
        </w:rPr>
        <w:t>Respetada</w:t>
      </w:r>
      <w:r w:rsidRPr="00DA403A" w:rsidR="00F41276">
        <w:rPr>
          <w:rFonts w:ascii="Arial" w:hAnsi="Arial" w:eastAsia="Calibri" w:cs="Arial"/>
          <w:sz w:val="22"/>
          <w:lang w:val="es-ES_tradnl"/>
        </w:rPr>
        <w:t xml:space="preserve"> señor</w:t>
      </w:r>
      <w:r w:rsidRPr="00DA403A" w:rsidR="009D6FEF">
        <w:rPr>
          <w:rFonts w:ascii="Arial" w:hAnsi="Arial" w:eastAsia="Calibri" w:cs="Arial"/>
          <w:sz w:val="22"/>
          <w:lang w:val="es-ES_tradnl"/>
        </w:rPr>
        <w:t xml:space="preserve"> Salazar</w:t>
      </w:r>
      <w:r w:rsidRPr="00DA403A">
        <w:rPr>
          <w:rFonts w:ascii="Arial" w:hAnsi="Arial" w:eastAsia="Calibri" w:cs="Arial"/>
          <w:sz w:val="22"/>
          <w:lang w:val="es-ES_tradnl"/>
        </w:rPr>
        <w:t>:</w:t>
      </w:r>
    </w:p>
    <w:p w:rsidRPr="00DA403A" w:rsidR="00BE1E33" w:rsidP="00A32FFB" w:rsidRDefault="00BE1E33" w14:paraId="1CCABABD" w14:textId="77777777">
      <w:pPr>
        <w:spacing w:line="276" w:lineRule="auto"/>
        <w:rPr>
          <w:rFonts w:ascii="Arial" w:hAnsi="Arial" w:eastAsia="Calibri" w:cs="Arial"/>
          <w:sz w:val="22"/>
          <w:lang w:val="es-ES_tradnl"/>
        </w:rPr>
      </w:pPr>
    </w:p>
    <w:p w:rsidRPr="00DA403A" w:rsidR="00BE1E33" w:rsidP="00A32FFB" w:rsidRDefault="00BE1E33" w14:paraId="286A9CEF" w14:textId="7C476810">
      <w:pPr>
        <w:spacing w:line="276" w:lineRule="auto"/>
        <w:jc w:val="both"/>
        <w:rPr>
          <w:rFonts w:ascii="Arial" w:hAnsi="Arial" w:eastAsia="Calibri" w:cs="Arial"/>
          <w:sz w:val="22"/>
          <w:lang w:val="es-ES_tradnl"/>
        </w:rPr>
      </w:pPr>
      <w:r w:rsidRPr="00DA403A">
        <w:rPr>
          <w:rFonts w:ascii="Arial" w:hAnsi="Arial" w:eastAsia="Calibri"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w:t>
      </w:r>
      <w:r w:rsidRPr="00DA403A" w:rsidR="00131937">
        <w:rPr>
          <w:rFonts w:ascii="Arial" w:hAnsi="Arial" w:eastAsia="Calibri" w:cs="Arial"/>
          <w:sz w:val="22"/>
          <w:lang w:val="es-ES_tradnl"/>
        </w:rPr>
        <w:t xml:space="preserve">con fecha de </w:t>
      </w:r>
      <w:r w:rsidRPr="00DA403A" w:rsidR="00731B46">
        <w:rPr>
          <w:rFonts w:ascii="Arial" w:hAnsi="Arial" w:eastAsia="Calibri" w:cs="Arial"/>
          <w:sz w:val="22"/>
          <w:lang w:val="es-ES_tradnl"/>
        </w:rPr>
        <w:t>3 de agosto</w:t>
      </w:r>
      <w:r w:rsidRPr="00DA403A" w:rsidR="00787F0A">
        <w:rPr>
          <w:rFonts w:ascii="Arial" w:hAnsi="Arial" w:eastAsia="Calibri" w:cs="Arial"/>
          <w:sz w:val="22"/>
          <w:lang w:val="es-ES_tradnl"/>
        </w:rPr>
        <w:t xml:space="preserve"> de 20</w:t>
      </w:r>
      <w:r w:rsidRPr="00DA403A" w:rsidR="00731B46">
        <w:rPr>
          <w:rFonts w:ascii="Arial" w:hAnsi="Arial" w:eastAsia="Calibri" w:cs="Arial"/>
          <w:sz w:val="22"/>
          <w:lang w:val="es-ES_tradnl"/>
        </w:rPr>
        <w:t>21.</w:t>
      </w:r>
    </w:p>
    <w:p w:rsidRPr="00DA403A" w:rsidR="00BE1E33" w:rsidP="00A32FFB" w:rsidRDefault="00BE1E33" w14:paraId="1D13401D" w14:textId="77777777">
      <w:pPr>
        <w:spacing w:line="276" w:lineRule="auto"/>
        <w:jc w:val="both"/>
        <w:rPr>
          <w:rFonts w:ascii="Arial" w:hAnsi="Arial" w:eastAsia="Calibri" w:cs="Arial"/>
          <w:sz w:val="22"/>
          <w:lang w:val="es-ES_tradnl"/>
        </w:rPr>
      </w:pPr>
    </w:p>
    <w:p w:rsidRPr="00DA403A" w:rsidR="00BE1E33" w:rsidP="00A32FFB" w:rsidRDefault="00BE1E33" w14:paraId="068F505C" w14:textId="6EE7386C">
      <w:pPr>
        <w:pStyle w:val="Prrafodelista"/>
        <w:numPr>
          <w:ilvl w:val="0"/>
          <w:numId w:val="1"/>
        </w:numPr>
        <w:tabs>
          <w:tab w:val="left" w:pos="284"/>
        </w:tabs>
        <w:spacing w:line="276" w:lineRule="auto"/>
        <w:ind w:left="0" w:firstLine="0"/>
        <w:jc w:val="both"/>
        <w:rPr>
          <w:rFonts w:ascii="Arial" w:hAnsi="Arial" w:eastAsia="Calibri" w:cs="Arial"/>
          <w:b/>
          <w:sz w:val="22"/>
          <w:lang w:val="es-ES_tradnl"/>
        </w:rPr>
      </w:pPr>
      <w:r w:rsidRPr="00DA403A">
        <w:rPr>
          <w:rFonts w:ascii="Arial" w:hAnsi="Arial" w:eastAsia="Calibri" w:cs="Arial"/>
          <w:b/>
          <w:sz w:val="22"/>
          <w:lang w:val="es-ES_tradnl"/>
        </w:rPr>
        <w:t xml:space="preserve">Problema planteado </w:t>
      </w:r>
    </w:p>
    <w:p w:rsidRPr="00DA403A" w:rsidR="00A70F57" w:rsidP="00DF6A51" w:rsidRDefault="002C1A1A" w14:paraId="502AAD9B" w14:textId="1358E9D2">
      <w:pPr>
        <w:pStyle w:val="NormalWeb"/>
        <w:shd w:val="clear" w:color="auto" w:fill="FFFFFF"/>
        <w:spacing w:before="120" w:beforeAutospacing="0" w:after="0" w:afterAutospacing="0" w:line="276" w:lineRule="auto"/>
        <w:jc w:val="both"/>
        <w:rPr>
          <w:rFonts w:ascii="Arial" w:hAnsi="Arial" w:eastAsia="Calibri" w:cs="Arial"/>
          <w:sz w:val="22"/>
          <w:szCs w:val="22"/>
          <w:lang w:val="es-ES"/>
        </w:rPr>
      </w:pPr>
      <w:r w:rsidRPr="00DA403A">
        <w:rPr>
          <w:rFonts w:ascii="Arial" w:hAnsi="Arial" w:eastAsia="Calibri" w:cs="Arial"/>
          <w:sz w:val="22"/>
          <w:szCs w:val="22"/>
          <w:lang w:val="es-ES"/>
        </w:rPr>
        <w:t>Usted pregunta lo siguiente, e</w:t>
      </w:r>
      <w:r w:rsidRPr="00DA403A" w:rsidR="00A70F57">
        <w:rPr>
          <w:rFonts w:ascii="Arial" w:hAnsi="Arial" w:eastAsia="Calibri" w:cs="Arial"/>
          <w:sz w:val="22"/>
          <w:szCs w:val="22"/>
          <w:lang w:val="es-ES"/>
        </w:rPr>
        <w:t xml:space="preserve">n relación con </w:t>
      </w:r>
      <w:r w:rsidRPr="00DA403A" w:rsidR="005A4C16">
        <w:rPr>
          <w:rFonts w:ascii="Arial" w:hAnsi="Arial" w:eastAsia="Calibri" w:cs="Arial"/>
          <w:sz w:val="22"/>
          <w:szCs w:val="22"/>
          <w:lang w:val="es-ES"/>
        </w:rPr>
        <w:t>la</w:t>
      </w:r>
      <w:r w:rsidRPr="00DA403A" w:rsidR="00FF780B">
        <w:rPr>
          <w:rFonts w:ascii="Arial" w:hAnsi="Arial" w:eastAsia="Calibri" w:cs="Arial"/>
          <w:sz w:val="22"/>
          <w:szCs w:val="22"/>
          <w:lang w:val="es-ES"/>
        </w:rPr>
        <w:t xml:space="preserve">s </w:t>
      </w:r>
      <w:r w:rsidRPr="00DA403A" w:rsidR="005A4C16">
        <w:rPr>
          <w:rFonts w:ascii="Arial" w:hAnsi="Arial" w:eastAsia="Calibri" w:cs="Arial"/>
          <w:sz w:val="22"/>
          <w:szCs w:val="22"/>
          <w:lang w:val="es-ES"/>
        </w:rPr>
        <w:t xml:space="preserve">restricciones de la Ley 996 de 2005 </w:t>
      </w:r>
      <w:r w:rsidRPr="00DA403A" w:rsidR="006F5F92">
        <w:rPr>
          <w:rFonts w:ascii="Arial" w:hAnsi="Arial" w:eastAsia="Calibri" w:cs="Arial"/>
          <w:sz w:val="22"/>
          <w:szCs w:val="22"/>
          <w:lang w:val="es-ES"/>
        </w:rPr>
        <w:t>frente a</w:t>
      </w:r>
      <w:r w:rsidRPr="00DA403A" w:rsidR="005A4C16">
        <w:rPr>
          <w:rFonts w:ascii="Arial" w:hAnsi="Arial" w:eastAsia="Calibri" w:cs="Arial"/>
          <w:sz w:val="22"/>
          <w:szCs w:val="22"/>
          <w:lang w:val="es-ES"/>
        </w:rPr>
        <w:t xml:space="preserve"> las universidades </w:t>
      </w:r>
      <w:r w:rsidRPr="00DA403A" w:rsidR="00280A81">
        <w:rPr>
          <w:rFonts w:ascii="Arial" w:hAnsi="Arial" w:eastAsia="Calibri" w:cs="Arial"/>
          <w:sz w:val="22"/>
          <w:szCs w:val="22"/>
          <w:lang w:val="es-ES"/>
        </w:rPr>
        <w:t>pública</w:t>
      </w:r>
      <w:r w:rsidRPr="00DA403A" w:rsidR="006F5F92">
        <w:rPr>
          <w:rFonts w:ascii="Arial" w:hAnsi="Arial" w:eastAsia="Calibri" w:cs="Arial"/>
          <w:sz w:val="22"/>
          <w:szCs w:val="22"/>
          <w:lang w:val="es-ES"/>
        </w:rPr>
        <w:t>s</w:t>
      </w:r>
      <w:r w:rsidRPr="00DA403A" w:rsidR="00FF780B">
        <w:rPr>
          <w:rFonts w:ascii="Arial" w:hAnsi="Arial" w:eastAsia="Calibri" w:cs="Arial"/>
          <w:sz w:val="22"/>
          <w:szCs w:val="22"/>
          <w:lang w:val="es-ES"/>
        </w:rPr>
        <w:t>:</w:t>
      </w:r>
    </w:p>
    <w:p w:rsidRPr="00DA403A" w:rsidR="00FA7068" w:rsidP="008E27EC" w:rsidRDefault="00FA7068" w14:paraId="59D1E378" w14:textId="118AB6FD">
      <w:pPr>
        <w:pStyle w:val="NormalWeb"/>
        <w:shd w:val="clear" w:color="auto" w:fill="FFFFFF"/>
        <w:spacing w:before="120"/>
        <w:ind w:left="709" w:right="709"/>
        <w:jc w:val="both"/>
        <w:rPr>
          <w:rFonts w:ascii="Arial" w:hAnsi="Arial" w:eastAsia="Calibri" w:cs="Arial"/>
          <w:sz w:val="21"/>
          <w:szCs w:val="21"/>
          <w:lang w:val="es-ES"/>
        </w:rPr>
      </w:pPr>
      <w:r w:rsidRPr="00DA403A">
        <w:rPr>
          <w:rFonts w:ascii="Arial" w:hAnsi="Arial" w:eastAsia="Calibri" w:cs="Arial"/>
          <w:sz w:val="21"/>
          <w:szCs w:val="21"/>
          <w:lang w:val="es-ES"/>
        </w:rPr>
        <w:t>«1.</w:t>
      </w:r>
      <w:r w:rsidRPr="00DA403A" w:rsidR="008E27EC">
        <w:rPr>
          <w:rFonts w:ascii="Arial" w:hAnsi="Arial" w:eastAsia="Calibri" w:cs="Arial"/>
          <w:sz w:val="21"/>
          <w:szCs w:val="21"/>
          <w:lang w:val="es-ES"/>
        </w:rPr>
        <w:t xml:space="preserve"> </w:t>
      </w:r>
      <w:r w:rsidRPr="00DA403A">
        <w:rPr>
          <w:rFonts w:ascii="Arial" w:hAnsi="Arial" w:eastAsia="Calibri" w:cs="Arial"/>
          <w:sz w:val="21"/>
          <w:szCs w:val="21"/>
          <w:lang w:val="es-ES"/>
        </w:rPr>
        <w:t>¿Una entidad internacional puede contratar con una Universidad Pública bajo la vigencia de la Ley de Garantías?</w:t>
      </w:r>
    </w:p>
    <w:p w:rsidRPr="00DA403A" w:rsidR="00FA7068" w:rsidP="008E27EC" w:rsidRDefault="00FA7068" w14:paraId="64104580" w14:textId="7A1BDF3A">
      <w:pPr>
        <w:pStyle w:val="NormalWeb"/>
        <w:shd w:val="clear" w:color="auto" w:fill="FFFFFF"/>
        <w:spacing w:before="120"/>
        <w:ind w:left="709" w:right="709"/>
        <w:jc w:val="both"/>
        <w:rPr>
          <w:rFonts w:ascii="Arial" w:hAnsi="Arial" w:eastAsia="Calibri" w:cs="Arial"/>
          <w:sz w:val="21"/>
          <w:szCs w:val="21"/>
          <w:lang w:val="es-ES"/>
        </w:rPr>
      </w:pPr>
      <w:r w:rsidRPr="00DA403A">
        <w:rPr>
          <w:rFonts w:ascii="Arial" w:hAnsi="Arial" w:eastAsia="Calibri" w:cs="Arial"/>
          <w:sz w:val="21"/>
          <w:szCs w:val="21"/>
          <w:lang w:val="es-ES"/>
        </w:rPr>
        <w:t>2.</w:t>
      </w:r>
      <w:r w:rsidRPr="00DA403A" w:rsidR="008E27EC">
        <w:rPr>
          <w:rFonts w:ascii="Arial" w:hAnsi="Arial" w:eastAsia="Calibri" w:cs="Arial"/>
          <w:sz w:val="21"/>
          <w:szCs w:val="21"/>
          <w:lang w:val="es-ES"/>
        </w:rPr>
        <w:t xml:space="preserve"> </w:t>
      </w:r>
      <w:r w:rsidRPr="00DA403A">
        <w:rPr>
          <w:rFonts w:ascii="Arial" w:hAnsi="Arial" w:eastAsia="Calibri" w:cs="Arial"/>
          <w:sz w:val="21"/>
          <w:szCs w:val="21"/>
          <w:lang w:val="es-ES"/>
        </w:rPr>
        <w:t>¿Una entidad internacional puede celebrar convenios con una Universidad Pública bajo la vigencia de la Ley de Garantías?</w:t>
      </w:r>
    </w:p>
    <w:p w:rsidRPr="00DA403A" w:rsidR="00FA7068" w:rsidP="008E27EC" w:rsidRDefault="00FA7068" w14:paraId="5F472BFF" w14:textId="7C25F162">
      <w:pPr>
        <w:pStyle w:val="NormalWeb"/>
        <w:shd w:val="clear" w:color="auto" w:fill="FFFFFF"/>
        <w:spacing w:before="120"/>
        <w:ind w:left="709" w:right="709"/>
        <w:jc w:val="both"/>
        <w:rPr>
          <w:rFonts w:ascii="Arial" w:hAnsi="Arial" w:eastAsia="Calibri" w:cs="Arial"/>
          <w:sz w:val="21"/>
          <w:szCs w:val="21"/>
          <w:lang w:val="es-ES"/>
        </w:rPr>
      </w:pPr>
      <w:r w:rsidRPr="00DA403A">
        <w:rPr>
          <w:rFonts w:ascii="Arial" w:hAnsi="Arial" w:eastAsia="Calibri" w:cs="Arial"/>
          <w:sz w:val="21"/>
          <w:szCs w:val="21"/>
          <w:lang w:val="es-ES"/>
        </w:rPr>
        <w:t>3.</w:t>
      </w:r>
      <w:r w:rsidRPr="00DA403A" w:rsidR="008E27EC">
        <w:rPr>
          <w:rFonts w:ascii="Arial" w:hAnsi="Arial" w:eastAsia="Calibri" w:cs="Arial"/>
          <w:sz w:val="21"/>
          <w:szCs w:val="21"/>
          <w:lang w:val="es-ES"/>
        </w:rPr>
        <w:t xml:space="preserve"> </w:t>
      </w:r>
      <w:r w:rsidRPr="00DA403A">
        <w:rPr>
          <w:rFonts w:ascii="Arial" w:hAnsi="Arial" w:eastAsia="Calibri" w:cs="Arial"/>
          <w:sz w:val="21"/>
          <w:szCs w:val="21"/>
          <w:lang w:val="es-ES"/>
        </w:rPr>
        <w:t>¿Una Universidad Pública puede ejecutar recursos con entidades internacional?</w:t>
      </w:r>
    </w:p>
    <w:p w:rsidRPr="00DA403A" w:rsidR="00FA7068" w:rsidP="008E27EC" w:rsidRDefault="00FA7068" w14:paraId="486FB013" w14:textId="585C45A7">
      <w:pPr>
        <w:pStyle w:val="NormalWeb"/>
        <w:shd w:val="clear" w:color="auto" w:fill="FFFFFF"/>
        <w:spacing w:before="120"/>
        <w:ind w:left="709" w:right="709"/>
        <w:jc w:val="both"/>
        <w:rPr>
          <w:rFonts w:ascii="Arial" w:hAnsi="Arial" w:eastAsia="Calibri" w:cs="Arial"/>
          <w:sz w:val="21"/>
          <w:szCs w:val="21"/>
          <w:lang w:val="es-ES"/>
        </w:rPr>
      </w:pPr>
      <w:r w:rsidRPr="00DA403A">
        <w:rPr>
          <w:rFonts w:ascii="Arial" w:hAnsi="Arial" w:eastAsia="Calibri" w:cs="Arial"/>
          <w:sz w:val="21"/>
          <w:szCs w:val="21"/>
          <w:lang w:val="es-ES"/>
        </w:rPr>
        <w:lastRenderedPageBreak/>
        <w:t>4.</w:t>
      </w:r>
      <w:r w:rsidRPr="00DA403A" w:rsidR="008E27EC">
        <w:rPr>
          <w:rFonts w:ascii="Arial" w:hAnsi="Arial" w:eastAsia="Calibri" w:cs="Arial"/>
          <w:sz w:val="21"/>
          <w:szCs w:val="21"/>
          <w:lang w:val="es-ES"/>
        </w:rPr>
        <w:t xml:space="preserve"> </w:t>
      </w:r>
      <w:r w:rsidRPr="00DA403A">
        <w:rPr>
          <w:rFonts w:ascii="Arial" w:hAnsi="Arial" w:eastAsia="Calibri" w:cs="Arial"/>
          <w:sz w:val="21"/>
          <w:szCs w:val="21"/>
          <w:lang w:val="es-ES"/>
        </w:rPr>
        <w:t>¿Pueden ser celebrados acuerdos de voluntades con personas jurídicas de derecho privado, con el fin de garantizar la práctica de los estudiantes vinculados a la misma universidad?</w:t>
      </w:r>
    </w:p>
    <w:p w:rsidRPr="00DA403A" w:rsidR="00FA7068" w:rsidP="008E27EC" w:rsidRDefault="00FA7068" w14:paraId="7FC2ABF4" w14:textId="13D8DF22">
      <w:pPr>
        <w:pStyle w:val="NormalWeb"/>
        <w:shd w:val="clear" w:color="auto" w:fill="FFFFFF"/>
        <w:spacing w:before="120"/>
        <w:ind w:left="709" w:right="709"/>
        <w:jc w:val="both"/>
        <w:rPr>
          <w:rFonts w:ascii="Arial" w:hAnsi="Arial" w:eastAsia="Calibri" w:cs="Arial"/>
          <w:sz w:val="21"/>
          <w:szCs w:val="21"/>
          <w:lang w:val="es-ES"/>
        </w:rPr>
      </w:pPr>
      <w:r w:rsidRPr="00DA403A">
        <w:rPr>
          <w:rFonts w:ascii="Arial" w:hAnsi="Arial" w:eastAsia="Calibri" w:cs="Arial"/>
          <w:sz w:val="21"/>
          <w:szCs w:val="21"/>
          <w:lang w:val="es-ES"/>
        </w:rPr>
        <w:t>5.</w:t>
      </w:r>
      <w:r w:rsidRPr="00DA403A" w:rsidR="008E27EC">
        <w:rPr>
          <w:rFonts w:ascii="Arial" w:hAnsi="Arial" w:eastAsia="Calibri" w:cs="Arial"/>
          <w:sz w:val="21"/>
          <w:szCs w:val="21"/>
          <w:lang w:val="es-ES"/>
        </w:rPr>
        <w:t xml:space="preserve"> </w:t>
      </w:r>
      <w:r w:rsidRPr="00DA403A">
        <w:rPr>
          <w:rFonts w:ascii="Arial" w:hAnsi="Arial" w:eastAsia="Calibri" w:cs="Arial"/>
          <w:sz w:val="21"/>
          <w:szCs w:val="21"/>
          <w:lang w:val="es-ES"/>
        </w:rPr>
        <w:t>¿Pueden ser celebrados acuerdos de voluntades con personas jurídicas de derecho público, con el fin de garantizar la práctica de los estudiantes vinculados a la misma universidad?</w:t>
      </w:r>
    </w:p>
    <w:p w:rsidRPr="00DA403A" w:rsidR="00FA7068" w:rsidP="008E27EC" w:rsidRDefault="00FA7068" w14:paraId="6A4BB4C9" w14:textId="01F4C551">
      <w:pPr>
        <w:pStyle w:val="NormalWeb"/>
        <w:shd w:val="clear" w:color="auto" w:fill="FFFFFF"/>
        <w:spacing w:before="120"/>
        <w:ind w:left="709" w:right="709"/>
        <w:jc w:val="both"/>
        <w:rPr>
          <w:rFonts w:ascii="Arial" w:hAnsi="Arial" w:eastAsia="Calibri" w:cs="Arial"/>
          <w:sz w:val="21"/>
          <w:szCs w:val="21"/>
          <w:lang w:val="es-ES"/>
        </w:rPr>
      </w:pPr>
      <w:proofErr w:type="gramStart"/>
      <w:r w:rsidRPr="00DA403A">
        <w:rPr>
          <w:rFonts w:ascii="Arial" w:hAnsi="Arial" w:eastAsia="Calibri" w:cs="Arial"/>
          <w:sz w:val="21"/>
          <w:szCs w:val="21"/>
          <w:lang w:val="es-ES"/>
        </w:rPr>
        <w:t>6.¿</w:t>
      </w:r>
      <w:proofErr w:type="gramEnd"/>
      <w:r w:rsidRPr="00DA403A">
        <w:rPr>
          <w:rFonts w:ascii="Arial" w:hAnsi="Arial" w:eastAsia="Calibri" w:cs="Arial"/>
          <w:sz w:val="21"/>
          <w:szCs w:val="21"/>
          <w:lang w:val="es-ES"/>
        </w:rPr>
        <w:t>Pueden ser celebrados convenios en los cuales no se ejecuten recursos con personas jurídicas de derecho privado, con el fin de dar alcance a los fines misionales de la Institución de Educación Superior?</w:t>
      </w:r>
    </w:p>
    <w:p w:rsidRPr="00DA403A" w:rsidR="00FA7068" w:rsidP="008E27EC" w:rsidRDefault="00FA7068" w14:paraId="75637AAD" w14:textId="5AFAED37">
      <w:pPr>
        <w:pStyle w:val="NormalWeb"/>
        <w:shd w:val="clear" w:color="auto" w:fill="FFFFFF"/>
        <w:spacing w:before="120"/>
        <w:ind w:left="709" w:right="709"/>
        <w:jc w:val="both"/>
        <w:rPr>
          <w:rFonts w:ascii="Arial" w:hAnsi="Arial" w:eastAsia="Calibri" w:cs="Arial"/>
          <w:sz w:val="21"/>
          <w:szCs w:val="21"/>
          <w:lang w:val="es-ES"/>
        </w:rPr>
      </w:pPr>
      <w:r w:rsidRPr="00DA403A">
        <w:rPr>
          <w:rFonts w:ascii="Arial" w:hAnsi="Arial" w:eastAsia="Calibri" w:cs="Arial"/>
          <w:sz w:val="21"/>
          <w:szCs w:val="21"/>
          <w:lang w:val="es-ES"/>
        </w:rPr>
        <w:t>7.</w:t>
      </w:r>
      <w:r w:rsidRPr="00DA403A" w:rsidR="008E27EC">
        <w:rPr>
          <w:rFonts w:ascii="Arial" w:hAnsi="Arial" w:eastAsia="Calibri" w:cs="Arial"/>
          <w:sz w:val="21"/>
          <w:szCs w:val="21"/>
          <w:lang w:val="es-ES"/>
        </w:rPr>
        <w:t xml:space="preserve"> </w:t>
      </w:r>
      <w:r w:rsidRPr="00DA403A">
        <w:rPr>
          <w:rFonts w:ascii="Arial" w:hAnsi="Arial" w:eastAsia="Calibri" w:cs="Arial"/>
          <w:sz w:val="21"/>
          <w:szCs w:val="21"/>
          <w:lang w:val="es-ES"/>
        </w:rPr>
        <w:t>¿Pueden ser celebrados convenios en los cuales no se ejecuten recursos con personas jurídicas de derecho público, con el fin de dar alcance a los fines misionales de la Institución de Educación Superior?</w:t>
      </w:r>
    </w:p>
    <w:p w:rsidRPr="00DA403A" w:rsidR="00FA7068" w:rsidP="008E27EC" w:rsidRDefault="00FA7068" w14:paraId="04664220" w14:textId="0E245596">
      <w:pPr>
        <w:pStyle w:val="NormalWeb"/>
        <w:shd w:val="clear" w:color="auto" w:fill="FFFFFF"/>
        <w:spacing w:before="120"/>
        <w:ind w:left="709" w:right="709"/>
        <w:jc w:val="both"/>
        <w:rPr>
          <w:rFonts w:ascii="Arial" w:hAnsi="Arial" w:eastAsia="Calibri" w:cs="Arial"/>
          <w:sz w:val="21"/>
          <w:szCs w:val="21"/>
          <w:lang w:val="es-ES"/>
        </w:rPr>
      </w:pPr>
      <w:r w:rsidRPr="00DA403A">
        <w:rPr>
          <w:rFonts w:ascii="Arial" w:hAnsi="Arial" w:eastAsia="Calibri" w:cs="Arial"/>
          <w:sz w:val="21"/>
          <w:szCs w:val="21"/>
          <w:lang w:val="es-ES"/>
        </w:rPr>
        <w:t>8.</w:t>
      </w:r>
      <w:r w:rsidRPr="00DA403A" w:rsidR="008E27EC">
        <w:rPr>
          <w:rFonts w:ascii="Arial" w:hAnsi="Arial" w:eastAsia="Calibri" w:cs="Arial"/>
          <w:sz w:val="21"/>
          <w:szCs w:val="21"/>
          <w:lang w:val="es-ES"/>
        </w:rPr>
        <w:t xml:space="preserve"> </w:t>
      </w:r>
      <w:r w:rsidRPr="00DA403A">
        <w:rPr>
          <w:rFonts w:ascii="Arial" w:hAnsi="Arial" w:eastAsia="Calibri" w:cs="Arial"/>
          <w:sz w:val="21"/>
          <w:szCs w:val="21"/>
          <w:lang w:val="es-ES"/>
        </w:rPr>
        <w:t>¿Qué excepciones se han definido, desde las fuentes del derecho vinculantes o interpretativas, en relación con la aplicación artículo 33 de la Ley 996 de 2005 para los entes universitarios autónomos?»</w:t>
      </w:r>
    </w:p>
    <w:p w:rsidRPr="00DA403A" w:rsidR="00BE1E33" w:rsidP="00A32FFB" w:rsidRDefault="00BE1E33" w14:paraId="01D94D72" w14:textId="33F0D306">
      <w:pPr>
        <w:pStyle w:val="Prrafodelista"/>
        <w:numPr>
          <w:ilvl w:val="0"/>
          <w:numId w:val="1"/>
        </w:numPr>
        <w:tabs>
          <w:tab w:val="left" w:pos="426"/>
        </w:tabs>
        <w:spacing w:line="276" w:lineRule="auto"/>
        <w:ind w:left="284" w:hanging="284"/>
        <w:jc w:val="both"/>
        <w:rPr>
          <w:rFonts w:ascii="Arial" w:hAnsi="Arial" w:eastAsia="Calibri" w:cs="Arial"/>
          <w:b/>
          <w:sz w:val="22"/>
          <w:lang w:val="es-ES_tradnl"/>
        </w:rPr>
      </w:pPr>
      <w:r w:rsidRPr="00DA403A">
        <w:rPr>
          <w:rFonts w:ascii="Arial" w:hAnsi="Arial" w:eastAsia="Calibri" w:cs="Arial"/>
          <w:b/>
          <w:sz w:val="22"/>
          <w:lang w:val="es-ES_tradnl"/>
        </w:rPr>
        <w:t>Consideraciones</w:t>
      </w:r>
    </w:p>
    <w:p w:rsidRPr="00DA403A" w:rsidR="009E6C5F" w:rsidP="008E27EC" w:rsidRDefault="00B67C63" w14:paraId="5715587E" w14:textId="2484641D">
      <w:pPr>
        <w:spacing w:before="120" w:line="276" w:lineRule="auto"/>
        <w:jc w:val="both"/>
        <w:rPr>
          <w:rFonts w:ascii="Arial" w:hAnsi="Arial" w:eastAsia="Calibri" w:cs="Arial"/>
          <w:sz w:val="22"/>
        </w:rPr>
      </w:pPr>
      <w:r w:rsidRPr="00DA403A">
        <w:rPr>
          <w:rFonts w:ascii="Arial" w:hAnsi="Arial" w:eastAsia="Calibri" w:cs="Arial"/>
          <w:sz w:val="22"/>
        </w:rPr>
        <w:t xml:space="preserve">Para </w:t>
      </w:r>
      <w:r w:rsidRPr="00DA403A" w:rsidR="00EA4081">
        <w:rPr>
          <w:rFonts w:ascii="Arial" w:hAnsi="Arial" w:eastAsia="Calibri" w:cs="Arial"/>
          <w:sz w:val="22"/>
        </w:rPr>
        <w:t xml:space="preserve">absolver los interrogantes formulados, esta dependencia analizará los siguientes temas: </w:t>
      </w:r>
      <w:r w:rsidRPr="00DA403A" w:rsidR="003163C5">
        <w:rPr>
          <w:rFonts w:ascii="Arial" w:hAnsi="Arial" w:eastAsia="Calibri" w:cs="Arial"/>
          <w:sz w:val="22"/>
        </w:rPr>
        <w:t xml:space="preserve">i) </w:t>
      </w:r>
      <w:r w:rsidRPr="00DA403A" w:rsidR="009D6FEF">
        <w:rPr>
          <w:rFonts w:ascii="Arial" w:hAnsi="Arial" w:eastAsia="Calibri" w:cs="Arial"/>
          <w:sz w:val="22"/>
        </w:rPr>
        <w:t>Competencia consultiva de la Agencia Nacional de Contratación Pública - Colombia Compra Eficiente</w:t>
      </w:r>
      <w:r w:rsidRPr="00DA403A" w:rsidR="00BE50B7">
        <w:rPr>
          <w:rFonts w:ascii="Arial" w:hAnsi="Arial" w:eastAsia="Calibri" w:cs="Arial"/>
          <w:sz w:val="22"/>
        </w:rPr>
        <w:t>;</w:t>
      </w:r>
      <w:r w:rsidRPr="00DA403A" w:rsidR="003163C5">
        <w:rPr>
          <w:rFonts w:ascii="Arial" w:hAnsi="Arial" w:eastAsia="Calibri" w:cs="Arial"/>
          <w:sz w:val="22"/>
        </w:rPr>
        <w:t xml:space="preserve"> </w:t>
      </w:r>
      <w:proofErr w:type="spellStart"/>
      <w:r w:rsidRPr="00DA403A" w:rsidR="003163C5">
        <w:rPr>
          <w:rFonts w:ascii="Arial" w:hAnsi="Arial" w:eastAsia="Calibri" w:cs="Arial"/>
          <w:sz w:val="22"/>
        </w:rPr>
        <w:t>ii</w:t>
      </w:r>
      <w:proofErr w:type="spellEnd"/>
      <w:r w:rsidRPr="00DA403A" w:rsidR="009D6FEF">
        <w:rPr>
          <w:rFonts w:ascii="Arial" w:hAnsi="Arial" w:eastAsia="Calibri" w:cs="Arial"/>
          <w:sz w:val="22"/>
        </w:rPr>
        <w:t xml:space="preserve">) </w:t>
      </w:r>
      <w:r w:rsidRPr="00DA403A" w:rsidR="00541B55">
        <w:rPr>
          <w:rFonts w:ascii="Arial" w:hAnsi="Arial" w:eastAsia="Calibri" w:cs="Arial"/>
          <w:sz w:val="22"/>
        </w:rPr>
        <w:t>Naturaleza y régimen de contratación de las universidades públicas</w:t>
      </w:r>
      <w:r w:rsidRPr="00DA403A" w:rsidR="006F5F92">
        <w:rPr>
          <w:rFonts w:ascii="Arial" w:hAnsi="Arial" w:eastAsia="Calibri" w:cs="Arial"/>
          <w:sz w:val="22"/>
        </w:rPr>
        <w:t>;</w:t>
      </w:r>
      <w:r w:rsidRPr="00DA403A" w:rsidR="00541B55">
        <w:rPr>
          <w:rFonts w:ascii="Arial" w:hAnsi="Arial" w:eastAsia="Calibri" w:cs="Arial"/>
          <w:sz w:val="22"/>
        </w:rPr>
        <w:t xml:space="preserve"> </w:t>
      </w:r>
      <w:proofErr w:type="spellStart"/>
      <w:r w:rsidRPr="00DA403A" w:rsidR="00541B55">
        <w:rPr>
          <w:rFonts w:ascii="Arial" w:hAnsi="Arial" w:eastAsia="Calibri" w:cs="Arial"/>
          <w:sz w:val="22"/>
        </w:rPr>
        <w:t>iii</w:t>
      </w:r>
      <w:proofErr w:type="spellEnd"/>
      <w:r w:rsidRPr="00DA403A" w:rsidR="00541B55">
        <w:rPr>
          <w:rFonts w:ascii="Arial" w:hAnsi="Arial" w:eastAsia="Calibri" w:cs="Arial"/>
          <w:sz w:val="22"/>
        </w:rPr>
        <w:t xml:space="preserve">) </w:t>
      </w:r>
      <w:r w:rsidRPr="00DA403A" w:rsidR="009D6FEF">
        <w:rPr>
          <w:rFonts w:ascii="Arial" w:hAnsi="Arial" w:eastAsia="Calibri" w:cs="Arial"/>
          <w:sz w:val="22"/>
        </w:rPr>
        <w:t>Definición y finalidad de la Ley de Garan</w:t>
      </w:r>
      <w:r w:rsidRPr="00DA403A" w:rsidR="00541B55">
        <w:rPr>
          <w:rFonts w:ascii="Arial" w:hAnsi="Arial" w:eastAsia="Calibri" w:cs="Arial"/>
          <w:sz w:val="22"/>
        </w:rPr>
        <w:t>tías Electorales</w:t>
      </w:r>
      <w:r w:rsidRPr="00DA403A" w:rsidR="006F5F92">
        <w:rPr>
          <w:rFonts w:ascii="Arial" w:hAnsi="Arial" w:eastAsia="Calibri" w:cs="Arial"/>
          <w:sz w:val="22"/>
        </w:rPr>
        <w:t>;</w:t>
      </w:r>
      <w:r w:rsidRPr="00DA403A" w:rsidR="00541B55">
        <w:rPr>
          <w:rFonts w:ascii="Arial" w:hAnsi="Arial" w:eastAsia="Calibri" w:cs="Arial"/>
          <w:sz w:val="22"/>
        </w:rPr>
        <w:t xml:space="preserve"> </w:t>
      </w:r>
      <w:proofErr w:type="spellStart"/>
      <w:r w:rsidRPr="00DA403A" w:rsidR="00541B55">
        <w:rPr>
          <w:rFonts w:ascii="Arial" w:hAnsi="Arial" w:eastAsia="Calibri" w:cs="Arial"/>
          <w:sz w:val="22"/>
        </w:rPr>
        <w:t>iv</w:t>
      </w:r>
      <w:proofErr w:type="spellEnd"/>
      <w:r w:rsidRPr="00DA403A" w:rsidR="009D6FEF">
        <w:rPr>
          <w:rFonts w:ascii="Arial" w:hAnsi="Arial" w:eastAsia="Calibri" w:cs="Arial"/>
          <w:sz w:val="22"/>
        </w:rPr>
        <w:t>) Restricciones</w:t>
      </w:r>
      <w:r w:rsidRPr="00DA403A" w:rsidR="00BE50B7">
        <w:rPr>
          <w:rFonts w:ascii="Arial" w:hAnsi="Arial" w:eastAsia="Calibri" w:cs="Arial"/>
          <w:sz w:val="22"/>
        </w:rPr>
        <w:t xml:space="preserve"> del artículo 33 de la Ley 996 de 2005</w:t>
      </w:r>
      <w:r w:rsidRPr="00DA403A" w:rsidR="006F5F92">
        <w:rPr>
          <w:rFonts w:ascii="Arial" w:hAnsi="Arial" w:eastAsia="Calibri" w:cs="Arial"/>
          <w:sz w:val="22"/>
        </w:rPr>
        <w:t>;</w:t>
      </w:r>
      <w:r w:rsidRPr="00DA403A" w:rsidR="003163C5">
        <w:rPr>
          <w:rFonts w:ascii="Arial" w:hAnsi="Arial" w:eastAsia="Calibri" w:cs="Arial"/>
          <w:sz w:val="22"/>
        </w:rPr>
        <w:t xml:space="preserve"> </w:t>
      </w:r>
      <w:r w:rsidRPr="00DA403A" w:rsidR="009D6FEF">
        <w:rPr>
          <w:rFonts w:ascii="Arial" w:hAnsi="Arial" w:eastAsia="Calibri" w:cs="Arial"/>
          <w:sz w:val="22"/>
        </w:rPr>
        <w:t>v</w:t>
      </w:r>
      <w:r w:rsidRPr="00DA403A" w:rsidR="00E63ADB">
        <w:rPr>
          <w:rFonts w:ascii="Arial" w:hAnsi="Arial" w:eastAsia="Calibri" w:cs="Arial"/>
          <w:sz w:val="22"/>
        </w:rPr>
        <w:t xml:space="preserve">) </w:t>
      </w:r>
      <w:r w:rsidRPr="00DA403A" w:rsidR="00BE50B7">
        <w:rPr>
          <w:rFonts w:ascii="Arial" w:hAnsi="Arial" w:eastAsia="Calibri" w:cs="Arial"/>
          <w:sz w:val="22"/>
        </w:rPr>
        <w:t>Restricciones del artículo 38 de la Ley 996 de 2005</w:t>
      </w:r>
      <w:r w:rsidRPr="00DA403A" w:rsidR="006F5F92">
        <w:rPr>
          <w:rFonts w:ascii="Arial" w:hAnsi="Arial" w:eastAsia="Calibri" w:cs="Arial"/>
          <w:sz w:val="22"/>
        </w:rPr>
        <w:t xml:space="preserve">; </w:t>
      </w:r>
      <w:r w:rsidRPr="00DA403A" w:rsidR="003163C5">
        <w:rPr>
          <w:rFonts w:ascii="Arial" w:hAnsi="Arial" w:eastAsia="Calibri" w:cs="Arial"/>
          <w:sz w:val="22"/>
        </w:rPr>
        <w:t>v</w:t>
      </w:r>
      <w:r w:rsidRPr="00DA403A" w:rsidR="00541B55">
        <w:rPr>
          <w:rFonts w:ascii="Arial" w:hAnsi="Arial" w:eastAsia="Calibri" w:cs="Arial"/>
          <w:sz w:val="22"/>
        </w:rPr>
        <w:t>i)</w:t>
      </w:r>
      <w:r w:rsidRPr="00DA403A" w:rsidR="00F31211">
        <w:rPr>
          <w:rFonts w:ascii="Arial" w:hAnsi="Arial" w:eastAsia="Calibri" w:cs="Arial"/>
          <w:sz w:val="22"/>
        </w:rPr>
        <w:t xml:space="preserve">  </w:t>
      </w:r>
      <w:r w:rsidRPr="00DA403A" w:rsidR="00541B55">
        <w:rPr>
          <w:rFonts w:ascii="Arial" w:hAnsi="Arial" w:eastAsia="Calibri" w:cs="Arial"/>
          <w:sz w:val="22"/>
        </w:rPr>
        <w:t>Contratos con organismos internacionales y restricciones de la Ley de Garantías</w:t>
      </w:r>
      <w:r w:rsidRPr="00DA403A" w:rsidR="006F5F92">
        <w:rPr>
          <w:rFonts w:ascii="Arial" w:hAnsi="Arial" w:eastAsia="Calibri" w:cs="Arial"/>
          <w:sz w:val="22"/>
        </w:rPr>
        <w:t>;</w:t>
      </w:r>
      <w:r w:rsidRPr="00DA403A" w:rsidR="00541B55">
        <w:rPr>
          <w:rFonts w:ascii="Arial" w:hAnsi="Arial" w:eastAsia="Calibri" w:cs="Arial"/>
          <w:sz w:val="22"/>
        </w:rPr>
        <w:t xml:space="preserve"> y </w:t>
      </w:r>
      <w:proofErr w:type="spellStart"/>
      <w:r w:rsidRPr="00DA403A" w:rsidR="00541B55">
        <w:rPr>
          <w:rFonts w:ascii="Arial" w:hAnsi="Arial" w:eastAsia="Calibri" w:cs="Arial"/>
          <w:sz w:val="22"/>
        </w:rPr>
        <w:t>vii</w:t>
      </w:r>
      <w:proofErr w:type="spellEnd"/>
      <w:r w:rsidRPr="00DA403A" w:rsidR="00541B55">
        <w:rPr>
          <w:rFonts w:ascii="Arial" w:hAnsi="Arial" w:eastAsia="Calibri" w:cs="Arial"/>
          <w:sz w:val="22"/>
        </w:rPr>
        <w:t>) Restricciones de la Ley 996 de 1995 en las prácticas laborales de los estudiantes.</w:t>
      </w:r>
    </w:p>
    <w:p w:rsidRPr="00DA403A" w:rsidR="007A3D14" w:rsidP="006F5F92" w:rsidRDefault="00BE1E33" w14:paraId="1C3CE7E4" w14:textId="14D2AFB8">
      <w:pPr>
        <w:spacing w:before="120" w:line="276" w:lineRule="auto"/>
        <w:ind w:firstLine="708"/>
        <w:jc w:val="both"/>
        <w:rPr>
          <w:rFonts w:ascii="Arial" w:hAnsi="Arial" w:cs="Arial"/>
          <w:bCs/>
          <w:color w:val="000000" w:themeColor="text1"/>
          <w:sz w:val="22"/>
        </w:rPr>
      </w:pPr>
      <w:r w:rsidRPr="00DA403A">
        <w:rPr>
          <w:rFonts w:ascii="Arial" w:hAnsi="Arial" w:eastAsia="Calibri" w:cs="Arial"/>
          <w:sz w:val="22"/>
          <w:lang w:val="es-ES_tradnl"/>
        </w:rPr>
        <w:t>La Agencia Nacional de Contratación Pública − Colombia Compra Eficiente se ha pro</w:t>
      </w:r>
      <w:r w:rsidRPr="00DA403A" w:rsidR="00A4372E">
        <w:rPr>
          <w:rFonts w:ascii="Arial" w:hAnsi="Arial" w:eastAsia="Calibri" w:cs="Arial"/>
          <w:sz w:val="22"/>
          <w:lang w:val="es-ES_tradnl"/>
        </w:rPr>
        <w:t>nunciado en diferentes oportunidades</w:t>
      </w:r>
      <w:r w:rsidRPr="00DA403A">
        <w:rPr>
          <w:rFonts w:ascii="Arial" w:hAnsi="Arial" w:eastAsia="Calibri" w:cs="Arial"/>
          <w:sz w:val="22"/>
          <w:lang w:val="es-ES_tradnl"/>
        </w:rPr>
        <w:t xml:space="preserve"> sobre</w:t>
      </w:r>
      <w:r w:rsidRPr="00DA403A" w:rsidR="00E63ADB">
        <w:rPr>
          <w:rFonts w:ascii="Arial" w:hAnsi="Arial" w:eastAsia="Calibri" w:cs="Arial"/>
          <w:sz w:val="22"/>
          <w:lang w:val="es-ES_tradnl"/>
        </w:rPr>
        <w:t xml:space="preserve"> </w:t>
      </w:r>
      <w:r w:rsidRPr="00DA403A" w:rsidR="00FF780B">
        <w:rPr>
          <w:rFonts w:ascii="Arial" w:hAnsi="Arial" w:eastAsia="Calibri" w:cs="Arial"/>
          <w:sz w:val="22"/>
          <w:u w:val="single"/>
          <w:lang w:val="es-ES_tradnl"/>
        </w:rPr>
        <w:t>l</w:t>
      </w:r>
      <w:r w:rsidRPr="00DA403A" w:rsidR="0058306B">
        <w:rPr>
          <w:rFonts w:ascii="Arial" w:hAnsi="Arial" w:eastAsia="Calibri" w:cs="Arial"/>
          <w:sz w:val="22"/>
          <w:lang w:val="es-ES_tradnl"/>
        </w:rPr>
        <w:t>as restricciones en materia de contratación pública en época electoral de acuerdo con la Ley 996 de 2005</w:t>
      </w:r>
      <w:r w:rsidRPr="00DA403A" w:rsidR="0084374B">
        <w:rPr>
          <w:rFonts w:ascii="Arial" w:hAnsi="Arial" w:eastAsia="Calibri" w:cs="Arial"/>
          <w:sz w:val="22"/>
          <w:lang w:val="es-ES_tradnl"/>
        </w:rPr>
        <w:t>, entre otros,</w:t>
      </w:r>
      <w:r w:rsidRPr="00DA403A" w:rsidR="00EA4081">
        <w:rPr>
          <w:rFonts w:ascii="Arial" w:hAnsi="Arial" w:eastAsia="Calibri" w:cs="Arial"/>
          <w:sz w:val="22"/>
          <w:lang w:val="es-ES_tradnl"/>
        </w:rPr>
        <w:t xml:space="preserve"> en</w:t>
      </w:r>
      <w:r w:rsidRPr="00DA403A" w:rsidR="00A4372E">
        <w:rPr>
          <w:rFonts w:ascii="Arial" w:hAnsi="Arial" w:eastAsia="Calibri" w:cs="Arial"/>
          <w:sz w:val="22"/>
          <w:lang w:val="es-ES_tradnl"/>
        </w:rPr>
        <w:t xml:space="preserve"> los</w:t>
      </w:r>
      <w:r w:rsidRPr="00DA403A" w:rsidR="00A4372E">
        <w:rPr>
          <w:rFonts w:ascii="Arial" w:hAnsi="Arial" w:eastAsia="Calibri" w:cs="Arial"/>
          <w:bCs/>
          <w:sz w:val="22"/>
        </w:rPr>
        <w:t xml:space="preserve"> </w:t>
      </w:r>
      <w:r w:rsidRPr="00DA403A" w:rsidR="00606FE0">
        <w:rPr>
          <w:rFonts w:ascii="Arial" w:hAnsi="Arial" w:eastAsia="Calibri" w:cs="Arial"/>
          <w:sz w:val="22"/>
        </w:rPr>
        <w:t xml:space="preserve">conceptos </w:t>
      </w:r>
      <w:r w:rsidRPr="00DA403A" w:rsidR="0058306B">
        <w:rPr>
          <w:rFonts w:ascii="Arial" w:hAnsi="Arial" w:eastAsia="Calibri" w:cs="Arial"/>
          <w:sz w:val="22"/>
        </w:rPr>
        <w:t>4201912000004354 del 09 de septiembre de 2019</w:t>
      </w:r>
      <w:r w:rsidRPr="00DA403A" w:rsidR="00A32FFB">
        <w:rPr>
          <w:rFonts w:ascii="Arial" w:hAnsi="Arial" w:cs="Arial"/>
          <w:bCs/>
          <w:color w:val="000000" w:themeColor="text1"/>
          <w:sz w:val="22"/>
        </w:rPr>
        <w:t xml:space="preserve">, </w:t>
      </w:r>
      <w:r w:rsidRPr="00DA403A" w:rsidR="00440B11">
        <w:rPr>
          <w:rFonts w:ascii="Arial" w:hAnsi="Arial" w:cs="Arial"/>
          <w:bCs/>
          <w:color w:val="000000" w:themeColor="text1"/>
          <w:sz w:val="22"/>
        </w:rPr>
        <w:t xml:space="preserve">C-296 de 2021, </w:t>
      </w:r>
      <w:r w:rsidRPr="00DA403A" w:rsidR="0058306B">
        <w:rPr>
          <w:rFonts w:ascii="Arial" w:hAnsi="Arial" w:cs="Arial"/>
          <w:bCs/>
          <w:color w:val="000000" w:themeColor="text1"/>
          <w:sz w:val="22"/>
        </w:rPr>
        <w:t>C ‒ 227 del 24 de mayo</w:t>
      </w:r>
      <w:r w:rsidRPr="00DA403A" w:rsidR="00A32FFB">
        <w:rPr>
          <w:rFonts w:ascii="Arial" w:hAnsi="Arial" w:cs="Arial"/>
          <w:bCs/>
          <w:color w:val="000000" w:themeColor="text1"/>
          <w:sz w:val="22"/>
        </w:rPr>
        <w:t xml:space="preserve"> de 2021</w:t>
      </w:r>
      <w:r w:rsidRPr="00DA403A" w:rsidR="0058306B">
        <w:rPr>
          <w:rFonts w:ascii="Arial" w:hAnsi="Arial" w:cs="Arial"/>
          <w:bCs/>
          <w:color w:val="000000" w:themeColor="text1"/>
          <w:sz w:val="22"/>
        </w:rPr>
        <w:t>, C ‒ 259 del 02 de junio de 2021</w:t>
      </w:r>
      <w:r w:rsidRPr="00DA403A" w:rsidR="00280A81">
        <w:rPr>
          <w:rFonts w:ascii="Arial" w:hAnsi="Arial" w:cs="Arial"/>
          <w:bCs/>
          <w:color w:val="000000" w:themeColor="text1"/>
          <w:sz w:val="22"/>
        </w:rPr>
        <w:t>,</w:t>
      </w:r>
      <w:r w:rsidRPr="00DA403A" w:rsidR="0058306B">
        <w:rPr>
          <w:rFonts w:ascii="Arial" w:hAnsi="Arial" w:eastAsia="Calibri" w:cs="Arial"/>
          <w:sz w:val="22"/>
        </w:rPr>
        <w:t xml:space="preserve"> C-350 del 16 de jul</w:t>
      </w:r>
      <w:r w:rsidRPr="00DA403A" w:rsidR="00FF780B">
        <w:rPr>
          <w:rFonts w:ascii="Arial" w:hAnsi="Arial" w:eastAsia="Calibri" w:cs="Arial"/>
          <w:sz w:val="22"/>
        </w:rPr>
        <w:t xml:space="preserve">io </w:t>
      </w:r>
      <w:r w:rsidRPr="00DA403A" w:rsidR="00280A81">
        <w:rPr>
          <w:rFonts w:ascii="Arial" w:hAnsi="Arial" w:eastAsia="Calibri" w:cs="Arial"/>
          <w:sz w:val="22"/>
        </w:rPr>
        <w:t>de 2021</w:t>
      </w:r>
      <w:r w:rsidRPr="00DA403A" w:rsidR="00AA56AC">
        <w:rPr>
          <w:rFonts w:ascii="Arial" w:hAnsi="Arial" w:eastAsia="Calibri" w:cs="Arial"/>
          <w:sz w:val="22"/>
        </w:rPr>
        <w:t>,</w:t>
      </w:r>
      <w:r w:rsidRPr="00DA403A" w:rsidR="00280A81">
        <w:rPr>
          <w:rFonts w:ascii="Arial" w:hAnsi="Arial" w:eastAsia="Calibri" w:cs="Arial"/>
          <w:sz w:val="22"/>
        </w:rPr>
        <w:t xml:space="preserve"> C-352 del 27 de julio de 2021</w:t>
      </w:r>
      <w:r w:rsidRPr="00DA403A" w:rsidR="00AA56AC">
        <w:rPr>
          <w:rFonts w:ascii="Arial" w:hAnsi="Arial" w:eastAsia="Calibri" w:cs="Arial"/>
          <w:sz w:val="22"/>
        </w:rPr>
        <w:t xml:space="preserve"> y el C-481</w:t>
      </w:r>
      <w:r w:rsidRPr="00DA403A" w:rsidR="007A3D14">
        <w:rPr>
          <w:rFonts w:ascii="Arial" w:hAnsi="Arial" w:eastAsia="Calibri" w:cs="Arial"/>
          <w:sz w:val="22"/>
        </w:rPr>
        <w:t xml:space="preserve"> del 9 de septiembre de 2021</w:t>
      </w:r>
      <w:r w:rsidRPr="00DA403A" w:rsidR="00280A81">
        <w:rPr>
          <w:rFonts w:ascii="Arial" w:hAnsi="Arial" w:eastAsia="Calibri" w:cs="Arial"/>
          <w:sz w:val="22"/>
        </w:rPr>
        <w:t xml:space="preserve">. </w:t>
      </w:r>
      <w:r w:rsidRPr="00DA403A" w:rsidR="00606FE0">
        <w:rPr>
          <w:rFonts w:ascii="Arial" w:hAnsi="Arial" w:eastAsia="Calibri" w:cs="Arial"/>
          <w:sz w:val="22"/>
        </w:rPr>
        <w:t xml:space="preserve"> </w:t>
      </w:r>
      <w:r w:rsidRPr="00DA403A" w:rsidR="0084374B">
        <w:rPr>
          <w:rFonts w:ascii="Arial" w:hAnsi="Arial" w:cs="Arial"/>
          <w:color w:val="000000" w:themeColor="text1"/>
          <w:sz w:val="22"/>
        </w:rPr>
        <w:t xml:space="preserve">Las </w:t>
      </w:r>
      <w:r w:rsidRPr="00DA403A" w:rsidR="00FF780B">
        <w:rPr>
          <w:rFonts w:ascii="Arial" w:hAnsi="Arial" w:cs="Arial"/>
          <w:color w:val="000000" w:themeColor="text1"/>
          <w:sz w:val="22"/>
        </w:rPr>
        <w:t xml:space="preserve">tesis </w:t>
      </w:r>
      <w:r w:rsidRPr="00DA403A" w:rsidR="0084374B">
        <w:rPr>
          <w:rFonts w:ascii="Arial" w:hAnsi="Arial" w:cs="Arial"/>
          <w:color w:val="000000" w:themeColor="text1"/>
          <w:sz w:val="22"/>
        </w:rPr>
        <w:t xml:space="preserve">expuestas en los anteriores conceptos </w:t>
      </w:r>
      <w:r w:rsidRPr="00DA403A" w:rsidR="00FF780B">
        <w:rPr>
          <w:rFonts w:ascii="Arial" w:hAnsi="Arial" w:cs="Arial"/>
          <w:color w:val="000000" w:themeColor="text1"/>
          <w:sz w:val="22"/>
        </w:rPr>
        <w:t>se reitera</w:t>
      </w:r>
      <w:r w:rsidRPr="00DA403A" w:rsidR="0084374B">
        <w:rPr>
          <w:rFonts w:ascii="Arial" w:hAnsi="Arial" w:cs="Arial"/>
          <w:color w:val="000000" w:themeColor="text1"/>
          <w:sz w:val="22"/>
        </w:rPr>
        <w:t>n a continuación</w:t>
      </w:r>
      <w:r w:rsidRPr="00DA403A" w:rsidR="00606FE0">
        <w:rPr>
          <w:rFonts w:ascii="Arial" w:hAnsi="Arial" w:cs="Arial"/>
          <w:bCs/>
          <w:color w:val="000000" w:themeColor="text1"/>
          <w:sz w:val="22"/>
        </w:rPr>
        <w:t xml:space="preserve"> y se complementa</w:t>
      </w:r>
      <w:r w:rsidRPr="00DA403A" w:rsidR="0084374B">
        <w:rPr>
          <w:rFonts w:ascii="Arial" w:hAnsi="Arial" w:cs="Arial"/>
          <w:bCs/>
          <w:color w:val="000000" w:themeColor="text1"/>
          <w:sz w:val="22"/>
        </w:rPr>
        <w:t>n</w:t>
      </w:r>
      <w:r w:rsidRPr="00DA403A" w:rsidR="00606FE0">
        <w:rPr>
          <w:rFonts w:ascii="Arial" w:hAnsi="Arial" w:cs="Arial"/>
          <w:bCs/>
          <w:color w:val="000000" w:themeColor="text1"/>
          <w:sz w:val="22"/>
        </w:rPr>
        <w:t xml:space="preserve"> en lo pertinente. </w:t>
      </w:r>
    </w:p>
    <w:p w:rsidRPr="00DA403A" w:rsidR="006F5F92" w:rsidP="008E27EC" w:rsidRDefault="007A3D14" w14:paraId="472051CB" w14:textId="0202BE23">
      <w:pPr>
        <w:spacing w:before="120" w:line="276" w:lineRule="auto"/>
        <w:jc w:val="both"/>
        <w:rPr>
          <w:rFonts w:ascii="Arial" w:hAnsi="Arial" w:eastAsia="Calibri" w:cs="Arial"/>
          <w:b/>
          <w:bCs/>
          <w:sz w:val="22"/>
          <w:lang w:val="es-CO"/>
        </w:rPr>
      </w:pPr>
      <w:r w:rsidRPr="00DA403A">
        <w:rPr>
          <w:rFonts w:ascii="Arial" w:hAnsi="Arial" w:eastAsia="Calibri" w:cs="Arial"/>
          <w:b/>
          <w:bCs/>
          <w:sz w:val="22"/>
          <w:lang w:val="es-CO"/>
        </w:rPr>
        <w:t xml:space="preserve">2.1. </w:t>
      </w:r>
      <w:r w:rsidRPr="00DA403A" w:rsidR="00FA7068">
        <w:rPr>
          <w:rFonts w:ascii="Arial" w:hAnsi="Arial" w:eastAsia="Calibri" w:cs="Arial"/>
          <w:b/>
          <w:bCs/>
          <w:sz w:val="22"/>
          <w:lang w:val="es-CO"/>
        </w:rPr>
        <w:t>Competencia consultiva de la Agencia Nacional de Contratación Pública- Colombia Compra Eficiente</w:t>
      </w:r>
    </w:p>
    <w:p w:rsidRPr="00DA403A" w:rsidR="006F5F92" w:rsidP="00045260" w:rsidRDefault="006F5F92" w14:paraId="0BC6F954" w14:textId="77777777">
      <w:pPr>
        <w:spacing w:before="120" w:line="276" w:lineRule="auto"/>
        <w:ind w:firstLine="708"/>
        <w:jc w:val="both"/>
        <w:rPr>
          <w:rFonts w:ascii="Arial" w:hAnsi="Arial" w:eastAsia="Calibri" w:cs="Arial"/>
          <w:b/>
          <w:bCs/>
          <w:sz w:val="22"/>
          <w:lang w:val="es-CO"/>
        </w:rPr>
      </w:pPr>
    </w:p>
    <w:p w:rsidRPr="00DA403A" w:rsidR="00FA7068" w:rsidP="008E27EC" w:rsidRDefault="00FA7068" w14:paraId="75CBDA2A" w14:textId="63028741">
      <w:pPr>
        <w:spacing w:after="120" w:line="276" w:lineRule="auto"/>
        <w:jc w:val="both"/>
        <w:rPr>
          <w:rFonts w:ascii="Arial" w:hAnsi="Arial" w:cs="Arial"/>
          <w:sz w:val="22"/>
          <w:lang w:val="es-ES"/>
        </w:rPr>
      </w:pPr>
      <w:r w:rsidRPr="00DA403A">
        <w:rPr>
          <w:rFonts w:ascii="Arial" w:hAnsi="Arial" w:cs="Arial"/>
          <w:sz w:val="22"/>
        </w:rPr>
        <w:t>De conformidad con la competencia consultiva otorgada por</w:t>
      </w:r>
      <w:r w:rsidRPr="00DA403A">
        <w:rPr>
          <w:rFonts w:ascii="Arial" w:hAnsi="Arial" w:eastAsia="Times New Roman" w:cs="Arial"/>
          <w:sz w:val="22"/>
        </w:rPr>
        <w:t xml:space="preserve"> el numeral 5 del artículo 3 y el numeral 8 del artículo 11 del Decreto 4170 de 2011, la Agencia Nacional de Contratación Pública </w:t>
      </w:r>
      <w:r w:rsidRPr="00DA403A" w:rsidR="006F5F92">
        <w:rPr>
          <w:rFonts w:ascii="Arial" w:hAnsi="Arial" w:eastAsia="Times New Roman" w:cs="Arial"/>
          <w:sz w:val="22"/>
        </w:rPr>
        <w:t xml:space="preserve">– Colombia Compra Eficiente </w:t>
      </w:r>
      <w:r w:rsidRPr="00DA403A">
        <w:rPr>
          <w:rFonts w:ascii="Arial" w:hAnsi="Arial" w:eastAsia="Times New Roman" w:cs="Arial"/>
          <w:sz w:val="22"/>
        </w:rPr>
        <w:t xml:space="preserve">está facultada para atender solicitudes relacionadas </w:t>
      </w:r>
      <w:r w:rsidRPr="00DA403A">
        <w:rPr>
          <w:rFonts w:ascii="Arial" w:hAnsi="Arial" w:eastAsia="Times New Roman" w:cs="Arial"/>
          <w:sz w:val="22"/>
        </w:rPr>
        <w:lastRenderedPageBreak/>
        <w:t>con temas contractuales, pero solo para «absolver consultas sobre la aplicación de normas de carácter general»</w:t>
      </w:r>
      <w:r w:rsidRPr="00DA403A">
        <w:rPr>
          <w:rFonts w:ascii="Arial" w:hAnsi="Arial" w:cs="Arial"/>
          <w:sz w:val="22"/>
          <w:vertAlign w:val="superscript"/>
        </w:rPr>
        <w:footnoteReference w:id="1"/>
      </w:r>
      <w:r w:rsidRPr="00DA403A">
        <w:rPr>
          <w:rFonts w:ascii="Arial" w:hAnsi="Arial" w:eastAsia="Times New Roman" w:cs="Arial"/>
          <w:sz w:val="22"/>
        </w:rPr>
        <w:t xml:space="preserve">. Por ello, la Agencia no tiene atribuciones para resolver casos particulares y concretos ni para conceptuar sobre el alcance de normas procesales.  </w:t>
      </w:r>
    </w:p>
    <w:p w:rsidRPr="00DA403A" w:rsidR="00FA7068" w:rsidP="00CB0D87" w:rsidRDefault="00FA7068" w14:paraId="287D810F" w14:textId="2A41CF4D">
      <w:pPr>
        <w:tabs>
          <w:tab w:val="left" w:pos="426"/>
        </w:tabs>
        <w:spacing w:after="120" w:line="276" w:lineRule="auto"/>
        <w:jc w:val="both"/>
        <w:rPr>
          <w:rFonts w:ascii="Arial" w:hAnsi="Arial" w:cs="Arial"/>
          <w:bCs/>
          <w:sz w:val="22"/>
        </w:rPr>
      </w:pPr>
      <w:r w:rsidRPr="00DA403A">
        <w:rPr>
          <w:rFonts w:ascii="Arial" w:hAnsi="Arial" w:cs="Arial"/>
          <w:bCs/>
          <w:sz w:val="22"/>
        </w:rPr>
        <w:tab/>
      </w:r>
      <w:r w:rsidRPr="00DA403A" w:rsidR="00374AE5">
        <w:rPr>
          <w:rFonts w:ascii="Arial" w:hAnsi="Arial" w:cs="Arial"/>
          <w:bCs/>
          <w:sz w:val="22"/>
        </w:rPr>
        <w:tab/>
      </w:r>
      <w:r w:rsidRPr="00DA403A">
        <w:rPr>
          <w:rFonts w:ascii="Arial" w:hAnsi="Arial" w:cs="Arial"/>
          <w:bCs/>
          <w:sz w:val="22"/>
        </w:rPr>
        <w:t>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w:t>
      </w:r>
      <w:r w:rsidRPr="00DA403A" w:rsidR="00374AE5">
        <w:rPr>
          <w:rFonts w:ascii="Arial" w:hAnsi="Arial" w:cs="Arial"/>
          <w:bCs/>
          <w:sz w:val="22"/>
        </w:rPr>
        <w:t>, de acuerdo con lo indicado respecto a la</w:t>
      </w:r>
      <w:r w:rsidRPr="00DA403A" w:rsidR="00463121">
        <w:rPr>
          <w:rFonts w:ascii="Arial" w:hAnsi="Arial" w:cs="Arial"/>
          <w:bCs/>
          <w:sz w:val="22"/>
        </w:rPr>
        <w:t>s</w:t>
      </w:r>
      <w:r w:rsidRPr="00DA403A" w:rsidR="00374AE5">
        <w:rPr>
          <w:rFonts w:ascii="Arial" w:hAnsi="Arial" w:cs="Arial"/>
          <w:bCs/>
          <w:sz w:val="22"/>
        </w:rPr>
        <w:t xml:space="preserve"> normas que otorgan competencia consultiva a esta Subdirección</w:t>
      </w:r>
      <w:r w:rsidRPr="00DA403A">
        <w:rPr>
          <w:rFonts w:ascii="Arial" w:hAnsi="Arial" w:cs="Arial"/>
          <w:bCs/>
          <w:sz w:val="22"/>
        </w:rPr>
        <w:t xml:space="preserve">. Además, no son vinculantes o de obligatorio cumplimiento para el destinatario, sino que expresan la posición interpretativa del ente que elabora el concepto. </w:t>
      </w:r>
    </w:p>
    <w:p w:rsidRPr="00DA403A" w:rsidR="00FA7068" w:rsidP="00CB0D87" w:rsidRDefault="00FA7068" w14:paraId="0064A1CF" w14:textId="35C1694E">
      <w:pPr>
        <w:spacing w:line="276" w:lineRule="auto"/>
        <w:jc w:val="both"/>
        <w:rPr>
          <w:rFonts w:ascii="Arial" w:hAnsi="Arial" w:cs="Arial"/>
          <w:bCs/>
          <w:sz w:val="22"/>
        </w:rPr>
      </w:pPr>
      <w:r w:rsidRPr="00DA403A">
        <w:rPr>
          <w:rFonts w:ascii="Arial" w:hAnsi="Arial" w:cs="Arial"/>
          <w:bCs/>
          <w:sz w:val="22"/>
        </w:rPr>
        <w:tab/>
      </w:r>
      <w:r w:rsidRPr="00DA403A">
        <w:rPr>
          <w:rFonts w:ascii="Arial" w:hAnsi="Arial" w:cs="Arial"/>
          <w:bCs/>
          <w:sz w:val="22"/>
        </w:rPr>
        <w:t xml:space="preserve">Teniendo en cuenta lo anterior, </w:t>
      </w:r>
      <w:r w:rsidRPr="00DA403A" w:rsidR="00720D29">
        <w:rPr>
          <w:rFonts w:ascii="Arial" w:hAnsi="Arial" w:cs="Arial"/>
          <w:bCs/>
          <w:sz w:val="22"/>
        </w:rPr>
        <w:t xml:space="preserve">de manera </w:t>
      </w:r>
      <w:r w:rsidRPr="00DA403A" w:rsidR="004C3D5C">
        <w:rPr>
          <w:rFonts w:ascii="Arial" w:hAnsi="Arial" w:cs="Arial"/>
          <w:bCs/>
          <w:sz w:val="22"/>
        </w:rPr>
        <w:t>general, a</w:t>
      </w:r>
      <w:r w:rsidRPr="00DA403A" w:rsidR="00720D29">
        <w:rPr>
          <w:rFonts w:ascii="Arial" w:hAnsi="Arial" w:cs="Arial"/>
          <w:bCs/>
          <w:sz w:val="22"/>
        </w:rPr>
        <w:t xml:space="preserve"> </w:t>
      </w:r>
      <w:proofErr w:type="gramStart"/>
      <w:r w:rsidRPr="00DA403A" w:rsidR="00530EAD">
        <w:rPr>
          <w:rFonts w:ascii="Arial" w:hAnsi="Arial" w:cs="Arial"/>
          <w:bCs/>
          <w:sz w:val="22"/>
        </w:rPr>
        <w:t>continuación</w:t>
      </w:r>
      <w:proofErr w:type="gramEnd"/>
      <w:r w:rsidRPr="00DA403A" w:rsidR="00720D29">
        <w:rPr>
          <w:rFonts w:ascii="Arial" w:hAnsi="Arial" w:cs="Arial"/>
          <w:bCs/>
          <w:sz w:val="22"/>
        </w:rPr>
        <w:t xml:space="preserve"> </w:t>
      </w:r>
      <w:r w:rsidRPr="00DA403A">
        <w:rPr>
          <w:rFonts w:ascii="Arial" w:hAnsi="Arial" w:cs="Arial"/>
          <w:bCs/>
          <w:sz w:val="22"/>
        </w:rPr>
        <w:t xml:space="preserve">se abordará el tema del alcance de las restricciones de la Ley 996 de 2005 </w:t>
      </w:r>
      <w:r w:rsidRPr="00DA403A" w:rsidR="009D6FEF">
        <w:rPr>
          <w:rFonts w:ascii="Arial" w:hAnsi="Arial" w:cs="Arial"/>
          <w:bCs/>
          <w:sz w:val="22"/>
        </w:rPr>
        <w:t>para las universidades públi</w:t>
      </w:r>
      <w:r w:rsidRPr="00DA403A" w:rsidR="00E30022">
        <w:rPr>
          <w:rFonts w:ascii="Arial" w:hAnsi="Arial" w:cs="Arial"/>
          <w:bCs/>
          <w:sz w:val="22"/>
        </w:rPr>
        <w:t>cas, analizando</w:t>
      </w:r>
      <w:r w:rsidRPr="00DA403A" w:rsidR="006F5F92">
        <w:rPr>
          <w:rFonts w:ascii="Arial" w:hAnsi="Arial" w:cs="Arial"/>
          <w:bCs/>
          <w:sz w:val="22"/>
        </w:rPr>
        <w:t>,</w:t>
      </w:r>
      <w:r w:rsidRPr="00DA403A" w:rsidR="00E30022">
        <w:rPr>
          <w:rFonts w:ascii="Arial" w:hAnsi="Arial" w:cs="Arial"/>
          <w:bCs/>
          <w:sz w:val="22"/>
        </w:rPr>
        <w:t xml:space="preserve"> en primer lugar</w:t>
      </w:r>
      <w:r w:rsidRPr="00DA403A" w:rsidR="006F5F92">
        <w:rPr>
          <w:rFonts w:ascii="Arial" w:hAnsi="Arial" w:cs="Arial"/>
          <w:bCs/>
          <w:sz w:val="22"/>
        </w:rPr>
        <w:t>,</w:t>
      </w:r>
      <w:r w:rsidRPr="00DA403A" w:rsidR="00E30022">
        <w:rPr>
          <w:rFonts w:ascii="Arial" w:hAnsi="Arial" w:cs="Arial"/>
          <w:bCs/>
          <w:sz w:val="22"/>
        </w:rPr>
        <w:t xml:space="preserve"> su naturaleza y régimen de contratación.</w:t>
      </w:r>
    </w:p>
    <w:p w:rsidRPr="00DA403A" w:rsidR="00530EAD" w:rsidP="00FA7068" w:rsidRDefault="00530EAD" w14:paraId="425B2686" w14:textId="1CA76CD9">
      <w:pPr>
        <w:jc w:val="both"/>
        <w:rPr>
          <w:rFonts w:ascii="Arial" w:hAnsi="Arial" w:cs="Arial"/>
          <w:bCs/>
          <w:sz w:val="22"/>
        </w:rPr>
      </w:pPr>
    </w:p>
    <w:p w:rsidRPr="00DA403A" w:rsidR="006F5F92" w:rsidP="00530EAD" w:rsidRDefault="00E30022" w14:paraId="078899E2" w14:textId="57F1A821">
      <w:pPr>
        <w:spacing w:line="276" w:lineRule="auto"/>
        <w:jc w:val="both"/>
        <w:rPr>
          <w:rFonts w:ascii="Arial" w:hAnsi="Arial" w:eastAsia="Times New Roman" w:cs="Arial"/>
          <w:b/>
          <w:bCs/>
          <w:color w:val="000000" w:themeColor="text1"/>
          <w:sz w:val="22"/>
          <w:lang w:eastAsia="es-ES_tradnl"/>
        </w:rPr>
      </w:pPr>
      <w:r w:rsidRPr="00DA403A">
        <w:rPr>
          <w:rFonts w:ascii="Arial" w:hAnsi="Arial" w:eastAsia="Times New Roman" w:cs="Arial"/>
          <w:b/>
          <w:bCs/>
          <w:color w:val="000000" w:themeColor="text1"/>
          <w:sz w:val="22"/>
          <w:lang w:eastAsia="es-ES_tradnl"/>
        </w:rPr>
        <w:t>2.2</w:t>
      </w:r>
      <w:r w:rsidRPr="00DA403A" w:rsidR="00530EAD">
        <w:rPr>
          <w:rFonts w:ascii="Arial" w:hAnsi="Arial" w:eastAsia="Times New Roman" w:cs="Arial"/>
          <w:b/>
          <w:bCs/>
          <w:color w:val="000000" w:themeColor="text1"/>
          <w:sz w:val="22"/>
          <w:lang w:eastAsia="es-ES_tradnl"/>
        </w:rPr>
        <w:t>. Universidades públicas, naturaleza y régimen de contratación</w:t>
      </w:r>
    </w:p>
    <w:p w:rsidRPr="00DA403A" w:rsidR="006F5F92" w:rsidP="00530EAD" w:rsidRDefault="006F5F92" w14:paraId="4E950FC4" w14:textId="77777777">
      <w:pPr>
        <w:spacing w:line="276" w:lineRule="auto"/>
        <w:jc w:val="both"/>
        <w:rPr>
          <w:rFonts w:ascii="Arial" w:hAnsi="Arial" w:eastAsia="Times New Roman" w:cs="Arial"/>
          <w:b/>
          <w:bCs/>
          <w:color w:val="000000" w:themeColor="text1"/>
          <w:sz w:val="22"/>
          <w:lang w:eastAsia="es-ES_tradnl"/>
        </w:rPr>
      </w:pPr>
    </w:p>
    <w:p w:rsidRPr="00DA403A" w:rsidR="00374AE5" w:rsidP="00374AE5" w:rsidRDefault="00B21DA5" w14:paraId="7FE79D2E" w14:textId="061099BB">
      <w:pPr>
        <w:spacing w:line="276" w:lineRule="auto"/>
        <w:jc w:val="both"/>
        <w:rPr>
          <w:rFonts w:ascii="Arial" w:hAnsi="Arial" w:cs="Arial"/>
          <w:sz w:val="22"/>
        </w:rPr>
      </w:pPr>
      <w:r w:rsidRPr="00DA403A">
        <w:rPr>
          <w:rFonts w:ascii="Arial" w:hAnsi="Arial" w:cs="Arial"/>
          <w:bCs/>
          <w:sz w:val="22"/>
        </w:rPr>
        <w:t xml:space="preserve">En concordancia con lo expresado </w:t>
      </w:r>
      <w:r w:rsidRPr="00DA403A" w:rsidR="00374AE5">
        <w:rPr>
          <w:rFonts w:ascii="Arial" w:hAnsi="Arial" w:cs="Arial"/>
          <w:bCs/>
          <w:sz w:val="22"/>
        </w:rPr>
        <w:t xml:space="preserve">recientemente </w:t>
      </w:r>
      <w:r w:rsidRPr="00DA403A">
        <w:rPr>
          <w:rFonts w:ascii="Arial" w:hAnsi="Arial" w:cs="Arial"/>
          <w:bCs/>
          <w:sz w:val="22"/>
        </w:rPr>
        <w:t>en el co</w:t>
      </w:r>
      <w:r w:rsidRPr="00DA403A" w:rsidR="00DF5D5D">
        <w:rPr>
          <w:rFonts w:ascii="Arial" w:hAnsi="Arial" w:cs="Arial"/>
          <w:bCs/>
          <w:sz w:val="22"/>
        </w:rPr>
        <w:t xml:space="preserve">ncepto C-481 del 9 de septiembre de 2021, </w:t>
      </w:r>
      <w:r w:rsidRPr="00DA403A" w:rsidR="00374AE5">
        <w:rPr>
          <w:rFonts w:ascii="Arial" w:hAnsi="Arial" w:cs="Arial"/>
          <w:bCs/>
          <w:sz w:val="22"/>
        </w:rPr>
        <w:t xml:space="preserve">proferido por esta Agencia, es </w:t>
      </w:r>
      <w:r w:rsidRPr="00DA403A" w:rsidR="00DF5D5D">
        <w:rPr>
          <w:rFonts w:ascii="Arial" w:hAnsi="Arial" w:cs="Arial"/>
          <w:bCs/>
          <w:sz w:val="22"/>
        </w:rPr>
        <w:t>importante reiterar que</w:t>
      </w:r>
      <w:r w:rsidRPr="00DA403A" w:rsidR="00B718F1">
        <w:rPr>
          <w:rFonts w:ascii="Arial" w:hAnsi="Arial" w:cs="Arial"/>
          <w:bCs/>
          <w:sz w:val="22"/>
        </w:rPr>
        <w:t xml:space="preserve"> </w:t>
      </w:r>
      <w:r w:rsidRPr="00DA403A" w:rsidR="00C43DB1">
        <w:rPr>
          <w:rFonts w:ascii="Arial" w:hAnsi="Arial" w:cs="Arial"/>
          <w:sz w:val="22"/>
        </w:rPr>
        <w:t>l</w:t>
      </w:r>
      <w:r w:rsidRPr="00DA403A" w:rsidR="00374AE5">
        <w:rPr>
          <w:rFonts w:ascii="Arial" w:hAnsi="Arial" w:cs="Arial"/>
          <w:sz w:val="22"/>
        </w:rPr>
        <w:t>a Constitución Política de Colombia consagra en el artículo 69, por una parte, una garantía de autonomía para que las universidades establezcan sus directivas y sus estatutos de acuerdo con la ley; y por otra, la posibilidad de que cuenten con un régimen especial que corresponde dictar al Congreso</w:t>
      </w:r>
      <w:r w:rsidRPr="00DA403A" w:rsidR="00374AE5">
        <w:rPr>
          <w:rStyle w:val="Refdenotaalpie"/>
          <w:rFonts w:ascii="Arial" w:hAnsi="Arial" w:cs="Arial"/>
          <w:sz w:val="22"/>
        </w:rPr>
        <w:footnoteReference w:id="2"/>
      </w:r>
      <w:r w:rsidRPr="00DA403A" w:rsidR="00374AE5">
        <w:rPr>
          <w:rStyle w:val="Refdenotaalpie"/>
          <w:rFonts w:ascii="Arial" w:hAnsi="Arial" w:cs="Arial"/>
          <w:sz w:val="22"/>
          <w:vertAlign w:val="subscript"/>
        </w:rPr>
        <w:t>.</w:t>
      </w:r>
    </w:p>
    <w:p w:rsidRPr="00DA403A" w:rsidR="00374AE5" w:rsidP="00374AE5" w:rsidRDefault="00374AE5" w14:paraId="7385EC90" w14:textId="77777777">
      <w:pPr>
        <w:pStyle w:val="Textonotapie"/>
        <w:spacing w:before="120" w:line="276" w:lineRule="auto"/>
        <w:ind w:firstLine="708"/>
        <w:jc w:val="both"/>
        <w:rPr>
          <w:rFonts w:ascii="Arial" w:hAnsi="Arial" w:cs="Arial"/>
          <w:sz w:val="22"/>
          <w:szCs w:val="22"/>
        </w:rPr>
      </w:pPr>
      <w:r w:rsidRPr="00DA403A">
        <w:rPr>
          <w:rFonts w:ascii="Arial" w:hAnsi="Arial" w:cs="Arial"/>
          <w:sz w:val="22"/>
          <w:szCs w:val="22"/>
        </w:rPr>
        <w:t xml:space="preserve">En desarrollo de lo anterior, se expidió la Ley 30 de 1992, mediante la cual se regularon aspectos como la naturaleza jurídica de las universidades estatales y oficiales, la </w:t>
      </w:r>
      <w:r w:rsidRPr="00DA403A">
        <w:rPr>
          <w:rFonts w:ascii="Arial" w:hAnsi="Arial" w:cs="Arial"/>
          <w:sz w:val="22"/>
          <w:szCs w:val="22"/>
        </w:rPr>
        <w:lastRenderedPageBreak/>
        <w:t>forma de organizarse y el régimen de contratación aplicable. Así mismo, en el artículo 57 se consignó que e</w:t>
      </w:r>
      <w:r w:rsidRPr="00DA403A">
        <w:rPr>
          <w:rFonts w:ascii="Arial" w:hAnsi="Arial" w:cs="Arial"/>
          <w:sz w:val="22"/>
          <w:szCs w:val="22"/>
          <w:lang w:val="es-CO"/>
        </w:rPr>
        <w:t>l carácter especial del régimen de las universidades estatales u oficiales comprende, entre otros aspectos, el régimen de contratación</w:t>
      </w:r>
      <w:r w:rsidRPr="00DA403A">
        <w:rPr>
          <w:rStyle w:val="Refdenotaalpie"/>
          <w:rFonts w:ascii="Arial" w:hAnsi="Arial" w:cs="Arial"/>
          <w:sz w:val="22"/>
          <w:szCs w:val="22"/>
        </w:rPr>
        <w:footnoteReference w:id="3"/>
      </w:r>
      <w:r w:rsidRPr="00DA403A">
        <w:rPr>
          <w:rFonts w:ascii="Arial" w:hAnsi="Arial" w:cs="Arial"/>
          <w:sz w:val="22"/>
          <w:szCs w:val="22"/>
          <w:lang w:val="es-CO"/>
        </w:rPr>
        <w:t xml:space="preserve">. En el mismo sentido, estableció en el artículo 93 que los contratos que </w:t>
      </w:r>
      <w:r w:rsidRPr="00DA403A">
        <w:rPr>
          <w:rFonts w:ascii="Arial" w:hAnsi="Arial" w:cs="Arial"/>
          <w:sz w:val="22"/>
          <w:szCs w:val="22"/>
        </w:rPr>
        <w:t>celebren las universidades estatales u oficiales se regirán por las normas del derecho privado</w:t>
      </w:r>
      <w:r w:rsidRPr="00DA403A">
        <w:rPr>
          <w:rStyle w:val="Refdenotaalpie"/>
          <w:rFonts w:ascii="Arial" w:hAnsi="Arial" w:cs="Arial"/>
          <w:sz w:val="22"/>
          <w:szCs w:val="22"/>
        </w:rPr>
        <w:footnoteReference w:id="4"/>
      </w:r>
      <w:r w:rsidRPr="00DA403A">
        <w:rPr>
          <w:rFonts w:ascii="Arial" w:hAnsi="Arial" w:cs="Arial"/>
          <w:sz w:val="22"/>
          <w:szCs w:val="22"/>
        </w:rPr>
        <w:t xml:space="preserve">. </w:t>
      </w:r>
    </w:p>
    <w:p w:rsidRPr="00DA403A" w:rsidR="00374AE5" w:rsidP="00374AE5" w:rsidRDefault="00374AE5" w14:paraId="73D13E14" w14:textId="77777777">
      <w:pPr>
        <w:pStyle w:val="Textoindependiente"/>
        <w:spacing w:before="120" w:line="276" w:lineRule="auto"/>
        <w:ind w:right="102" w:firstLine="708"/>
        <w:jc w:val="both"/>
      </w:pPr>
      <w:r w:rsidRPr="00DA403A">
        <w:t>De otro lado, la Ley 489 de 1998, al desarrollar la estructura y organización de la Administración Pública, establece que los entes universitarios hacen parte integral de esta</w:t>
      </w:r>
      <w:r w:rsidRPr="00DA403A">
        <w:rPr>
          <w:rStyle w:val="Refdenotaalpie"/>
        </w:rPr>
        <w:footnoteReference w:id="5"/>
      </w:r>
      <w:r w:rsidRPr="00DA403A">
        <w:t>, catalogándolos como entidades públicas de carácter autónomo a las que aplica un régimen especial</w:t>
      </w:r>
      <w:r w:rsidRPr="00DA403A">
        <w:rPr>
          <w:rStyle w:val="Refdenotaalpie"/>
        </w:rPr>
        <w:footnoteReference w:id="6"/>
      </w:r>
      <w:r w:rsidRPr="00DA403A">
        <w:t>.  Al respecto, en la sentencia C-1019 de 2012, la Corte Constitucional señaló:</w:t>
      </w:r>
    </w:p>
    <w:p w:rsidRPr="00DA403A" w:rsidR="00374AE5" w:rsidP="00374AE5" w:rsidRDefault="00374AE5" w14:paraId="3D478984" w14:textId="77777777">
      <w:pPr>
        <w:pStyle w:val="Textoindependiente"/>
        <w:spacing w:before="10"/>
        <w:rPr>
          <w:sz w:val="19"/>
        </w:rPr>
      </w:pPr>
    </w:p>
    <w:p w:rsidRPr="00DA403A" w:rsidR="00374AE5" w:rsidP="001D21C7" w:rsidRDefault="00374AE5" w14:paraId="7C73575B" w14:textId="77777777">
      <w:pPr>
        <w:pStyle w:val="Textoindependiente"/>
        <w:spacing w:after="120"/>
        <w:ind w:left="709" w:right="709"/>
        <w:jc w:val="both"/>
        <w:rPr>
          <w:sz w:val="21"/>
          <w:szCs w:val="21"/>
        </w:rPr>
      </w:pPr>
      <w:r w:rsidRPr="00DA403A">
        <w:rPr>
          <w:sz w:val="21"/>
          <w:szCs w:val="21"/>
        </w:rPr>
        <w:t>El régimen especial de las universidades públicas y oficiales se justifica en el hecho de que estas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universidades se les</w:t>
      </w:r>
      <w:r w:rsidRPr="00DA403A">
        <w:rPr>
          <w:spacing w:val="49"/>
          <w:sz w:val="21"/>
          <w:szCs w:val="21"/>
        </w:rPr>
        <w:t xml:space="preserve"> </w:t>
      </w:r>
      <w:r w:rsidRPr="00DA403A">
        <w:rPr>
          <w:sz w:val="21"/>
          <w:szCs w:val="21"/>
        </w:rPr>
        <w:t>exige el cumplimiento de la obligación de colaboración armónica consagrado en el artículo 113 de la C.P. para el cumplimiento de las funciones del Estado.</w:t>
      </w:r>
    </w:p>
    <w:p w:rsidRPr="00DA403A" w:rsidR="00374AE5" w:rsidP="001D21C7" w:rsidRDefault="00374AE5" w14:paraId="6FEB260E" w14:textId="7962DB99">
      <w:pPr>
        <w:pStyle w:val="Textoindependiente"/>
        <w:spacing w:before="120"/>
        <w:ind w:left="709" w:right="709"/>
        <w:jc w:val="both"/>
        <w:rPr>
          <w:sz w:val="21"/>
          <w:szCs w:val="21"/>
        </w:rPr>
      </w:pPr>
      <w:r w:rsidRPr="00DA403A">
        <w:rPr>
          <w:sz w:val="21"/>
          <w:szCs w:val="21"/>
        </w:rPr>
        <w:t xml:space="preserve">Aunque se establezca la participación de representantes del Estado en sus </w:t>
      </w:r>
      <w:r w:rsidRPr="00DA403A">
        <w:rPr>
          <w:sz w:val="21"/>
          <w:szCs w:val="21"/>
        </w:rPr>
        <w:lastRenderedPageBreak/>
        <w:t>órganos de gobierno, la normatividad y la jurisprudencia han reconocido que lo anterior no significa 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DA403A">
        <w:rPr>
          <w:rStyle w:val="Refdenotaalpie"/>
          <w:sz w:val="21"/>
          <w:szCs w:val="21"/>
        </w:rPr>
        <w:footnoteReference w:id="7"/>
      </w:r>
      <w:r w:rsidRPr="00DA403A">
        <w:rPr>
          <w:sz w:val="21"/>
          <w:szCs w:val="21"/>
        </w:rPr>
        <w:t>. De esta manera se pretende preservar a las universidades públicas y oficiales, de las injerencias e interferencias arbitrarias e indebidas del poder</w:t>
      </w:r>
      <w:r w:rsidRPr="00DA403A">
        <w:rPr>
          <w:spacing w:val="-6"/>
          <w:sz w:val="21"/>
          <w:szCs w:val="21"/>
        </w:rPr>
        <w:t xml:space="preserve"> </w:t>
      </w:r>
      <w:r w:rsidRPr="00DA403A">
        <w:rPr>
          <w:sz w:val="21"/>
          <w:szCs w:val="21"/>
        </w:rPr>
        <w:t>político</w:t>
      </w:r>
      <w:r w:rsidRPr="00DA403A">
        <w:rPr>
          <w:rStyle w:val="Refdenotaalpie"/>
          <w:sz w:val="21"/>
          <w:szCs w:val="21"/>
        </w:rPr>
        <w:footnoteReference w:id="8"/>
      </w:r>
      <w:r w:rsidRPr="00DA403A">
        <w:rPr>
          <w:sz w:val="21"/>
          <w:szCs w:val="21"/>
        </w:rPr>
        <w:t>.</w:t>
      </w:r>
    </w:p>
    <w:p w:rsidRPr="00DA403A" w:rsidR="00550AF5" w:rsidP="001D21C7" w:rsidRDefault="00550AF5" w14:paraId="608F7FEE" w14:textId="77777777">
      <w:pPr>
        <w:pStyle w:val="Textoindependiente"/>
        <w:ind w:left="709" w:right="709"/>
        <w:jc w:val="both"/>
        <w:rPr>
          <w:sz w:val="21"/>
          <w:szCs w:val="21"/>
        </w:rPr>
      </w:pPr>
    </w:p>
    <w:p w:rsidRPr="00DA403A" w:rsidR="00374AE5" w:rsidP="001D21C7" w:rsidRDefault="00374AE5" w14:paraId="2B1FEBC9" w14:textId="77777777">
      <w:pPr>
        <w:pStyle w:val="Textoindependiente"/>
        <w:spacing w:line="276" w:lineRule="auto"/>
        <w:ind w:left="181" w:right="108" w:firstLine="527"/>
        <w:jc w:val="both"/>
      </w:pPr>
      <w:r w:rsidRPr="00DA403A">
        <w:t>En armonía con lo anterior, se ha considerado que los entes universitarios no son entidades que hagan parte de la rama ejecutiva, ni pueden, por tanto, considerarse entidades descentralizadas, sino que gozan de un régimen especial. Lo anterior fue señalado por el Consejo de Estado de la siguiente manera</w:t>
      </w:r>
      <w:r w:rsidRPr="00DA403A">
        <w:rPr>
          <w:rStyle w:val="Refdenotaalpie"/>
        </w:rPr>
        <w:footnoteReference w:id="9"/>
      </w:r>
      <w:r w:rsidRPr="00DA403A">
        <w:t>:</w:t>
      </w:r>
    </w:p>
    <w:p w:rsidRPr="00DA403A" w:rsidR="00374AE5" w:rsidP="00374AE5" w:rsidRDefault="00374AE5" w14:paraId="02A54BE0" w14:textId="77777777">
      <w:pPr>
        <w:pStyle w:val="Textoindependiente"/>
      </w:pPr>
    </w:p>
    <w:p w:rsidRPr="00DA403A" w:rsidR="00374AE5" w:rsidP="00374AE5" w:rsidRDefault="00374AE5" w14:paraId="1A5C794A" w14:textId="77777777">
      <w:pPr>
        <w:pStyle w:val="Textoindependiente"/>
        <w:spacing w:after="120"/>
        <w:ind w:left="748" w:right="534"/>
        <w:jc w:val="both"/>
        <w:rPr>
          <w:sz w:val="21"/>
          <w:szCs w:val="21"/>
        </w:rPr>
      </w:pPr>
      <w:r w:rsidRPr="00DA403A">
        <w:rPr>
          <w:sz w:val="21"/>
          <w:szCs w:val="21"/>
        </w:rPr>
        <w:t>Ahora bien, en la disposición legal [art. 57 de la Ley 30/92] se menciona que las universidades estatales u oficiales están vinculadas al Ministerio de Educación Nacional en lo que se refiere a las políticas y planeación del sector educativo, en donde la jurisprudencia constitucional ha dejado en claro que es únicamente para efectos de coordinar y planear el desarrollo de directrices educativas, y no como organismos supeditados al poder ejecutivo, de manera que deben actuar con independencia del mismo, sin estar sujetas a un control de tutela como el concebido para los establecimientos públicos, concepto que por sí mismo niega la autonomía.</w:t>
      </w:r>
    </w:p>
    <w:p w:rsidRPr="00DA403A" w:rsidR="00374AE5" w:rsidP="00374AE5" w:rsidRDefault="00374AE5" w14:paraId="68A5C61A" w14:textId="77777777">
      <w:pPr>
        <w:pStyle w:val="Textoindependiente"/>
        <w:spacing w:before="1" w:after="120"/>
        <w:ind w:left="748"/>
        <w:rPr>
          <w:sz w:val="21"/>
          <w:szCs w:val="21"/>
        </w:rPr>
      </w:pPr>
      <w:r w:rsidRPr="00DA403A">
        <w:rPr>
          <w:sz w:val="21"/>
          <w:szCs w:val="21"/>
        </w:rPr>
        <w:t>[…]</w:t>
      </w:r>
    </w:p>
    <w:p w:rsidRPr="00DA403A" w:rsidR="00374AE5" w:rsidP="00374AE5" w:rsidRDefault="00374AE5" w14:paraId="3AADC975" w14:textId="77777777">
      <w:pPr>
        <w:pStyle w:val="Textoindependiente"/>
        <w:spacing w:after="120"/>
        <w:ind w:left="748" w:right="531"/>
        <w:jc w:val="both"/>
        <w:rPr>
          <w:sz w:val="21"/>
          <w:szCs w:val="21"/>
        </w:rPr>
      </w:pPr>
      <w:r w:rsidRPr="00DA403A">
        <w:rPr>
          <w:sz w:val="21"/>
          <w:szCs w:val="21"/>
        </w:rPr>
        <w:t>La situación se modificó con el actual marco constitucional en donde se estableció [art. 69] la garantía a la autonomía universitaria, para que pudieran darse sus directivas y regirse por sus propios estatutos, de acuerdo con el régimen especial que previera la Ley para las universidades del Estado, por lo cual se despojaban del control de tutela que ejercía el ejecutivo sobre ellas, con el fin de garantizar la independencia académica en la educación superior, sin ningún tipo de injerencia del poder público.</w:t>
      </w:r>
    </w:p>
    <w:p w:rsidRPr="00DA403A" w:rsidR="00374AE5" w:rsidP="00374AE5" w:rsidRDefault="00374AE5" w14:paraId="38166A91" w14:textId="77777777">
      <w:pPr>
        <w:pStyle w:val="Textoindependiente"/>
        <w:spacing w:after="120"/>
        <w:ind w:left="748" w:right="535"/>
        <w:jc w:val="both"/>
        <w:rPr>
          <w:sz w:val="21"/>
          <w:szCs w:val="21"/>
        </w:rPr>
      </w:pPr>
      <w:r w:rsidRPr="00DA403A">
        <w:rPr>
          <w:sz w:val="21"/>
          <w:szCs w:val="21"/>
        </w:rPr>
        <w:t>Lo anterior hizo que dejaran de pertenecer a la rama ejecutiva y por supuesto no hicieran parte de las demás [legislativa y judicial], al convertirse en organismos autónomos que cumplen funciones estatales de trascendental importancia para la nación, sin perder la calidad de entidades públicas […]</w:t>
      </w:r>
      <w:r w:rsidRPr="00DA403A">
        <w:rPr>
          <w:rStyle w:val="Refdenotaalpie"/>
          <w:sz w:val="21"/>
          <w:szCs w:val="21"/>
        </w:rPr>
        <w:footnoteReference w:id="10"/>
      </w:r>
      <w:r w:rsidRPr="00DA403A">
        <w:rPr>
          <w:sz w:val="21"/>
          <w:szCs w:val="21"/>
        </w:rPr>
        <w:t>.</w:t>
      </w:r>
    </w:p>
    <w:p w:rsidRPr="00DA403A" w:rsidR="00374AE5" w:rsidP="00374AE5" w:rsidRDefault="00374AE5" w14:paraId="4F030714" w14:textId="77777777">
      <w:pPr>
        <w:pStyle w:val="Textoindependiente"/>
        <w:ind w:left="748" w:right="535"/>
        <w:jc w:val="both"/>
        <w:rPr>
          <w:sz w:val="21"/>
          <w:szCs w:val="21"/>
        </w:rPr>
      </w:pPr>
    </w:p>
    <w:p w:rsidRPr="00DA403A" w:rsidR="00374AE5" w:rsidP="00374AE5" w:rsidRDefault="00374AE5" w14:paraId="42337244" w14:textId="77777777">
      <w:pPr>
        <w:pStyle w:val="Textoindependiente"/>
        <w:spacing w:line="276" w:lineRule="auto"/>
        <w:ind w:left="180" w:right="108" w:firstLine="528"/>
        <w:jc w:val="both"/>
      </w:pPr>
      <w:r w:rsidRPr="00DA403A">
        <w:t xml:space="preserve">De este modo, la diferenciación entre universidades públicas y entidades </w:t>
      </w:r>
      <w:r w:rsidRPr="00DA403A">
        <w:lastRenderedPageBreak/>
        <w:t>descentralizadas radica, entre otras cosas, en la autonomía de la que aquellas gozan. Esto, en la medida en que a las universidades públicas no les aplica un elemento característico de la descentralización denominado control de tutela, sobre el cual, en sentencia C–727 del 21 de junio de 2000, la Corte Constitucional señaló:</w:t>
      </w:r>
    </w:p>
    <w:p w:rsidRPr="00DA403A" w:rsidR="00374AE5" w:rsidP="00374AE5" w:rsidRDefault="00374AE5" w14:paraId="4AB3790A" w14:textId="77777777">
      <w:pPr>
        <w:pStyle w:val="Textoindependiente"/>
        <w:spacing w:line="276" w:lineRule="auto"/>
        <w:ind w:left="180" w:right="108" w:firstLine="528"/>
        <w:jc w:val="both"/>
      </w:pPr>
    </w:p>
    <w:p w:rsidRPr="001D21C7" w:rsidR="00550AF5" w:rsidP="001D21C7" w:rsidRDefault="00374AE5" w14:paraId="27B741B5" w14:textId="1BB2F81D">
      <w:pPr>
        <w:pStyle w:val="Textoindependiente"/>
        <w:ind w:left="748" w:right="533"/>
        <w:jc w:val="both"/>
        <w:rPr>
          <w:sz w:val="21"/>
          <w:szCs w:val="21"/>
        </w:rPr>
      </w:pPr>
      <w:r w:rsidRPr="00DA403A">
        <w:rPr>
          <w:sz w:val="21"/>
          <w:szCs w:val="21"/>
        </w:rPr>
        <w:t>La descentralización es una forma de organización administrativa propia de los Estados de forma unitaria, que atenúa la centralización permitiendo la transferencia de competencias a organismos distintos del poder central, que adquieren autonomía en la gestión de las respectivas funciones. No obstante, esta transferencia no implica la ruptura total del vínculo entre el poder central y la entidad descentralizada, sino que, en aras de garantizar el principio de coordinación que gobierna la función administrativa, dicho vínculo permanece vigente a través del llamado control de tutela, existente en nuestra organización administrativa respecto de los entes funcionalmente descentralizados, con definidos perfiles jurídicos, desde la reforma constitucional y administrativa operada en</w:t>
      </w:r>
      <w:r w:rsidRPr="001D21C7">
        <w:rPr>
          <w:sz w:val="21"/>
          <w:szCs w:val="21"/>
        </w:rPr>
        <w:t xml:space="preserve"> </w:t>
      </w:r>
      <w:r w:rsidRPr="00DA403A">
        <w:rPr>
          <w:sz w:val="21"/>
          <w:szCs w:val="21"/>
        </w:rPr>
        <w:t>1968.</w:t>
      </w:r>
    </w:p>
    <w:p w:rsidRPr="00DA403A" w:rsidR="00530EAD" w:rsidP="001D21C7" w:rsidRDefault="00530EAD" w14:paraId="730AFF49" w14:textId="214BA432">
      <w:pPr>
        <w:pStyle w:val="Textoindependiente"/>
        <w:ind w:left="748" w:right="533"/>
        <w:jc w:val="both"/>
        <w:rPr>
          <w:sz w:val="21"/>
          <w:szCs w:val="21"/>
        </w:rPr>
      </w:pPr>
    </w:p>
    <w:p w:rsidRPr="00DA403A" w:rsidR="00E163AD" w:rsidP="001D21C7" w:rsidRDefault="00530EAD" w14:paraId="6955A243" w14:textId="470F083E">
      <w:pPr>
        <w:pStyle w:val="Textoindependiente"/>
        <w:spacing w:before="120" w:line="276" w:lineRule="auto"/>
        <w:ind w:firstLine="709"/>
        <w:jc w:val="both"/>
      </w:pPr>
      <w:r w:rsidRPr="00DA403A">
        <w:t xml:space="preserve">En suma, </w:t>
      </w:r>
      <w:r w:rsidRPr="00DA403A" w:rsidR="00E163AD">
        <w:t>tal como se concluyó en el concepto C-481 de 2021, la descentralización involucra el ejercicio de un control de tutela que no puede aplicarse a los entes universitarios autónomos, motivo por el cual, si bien son entes del Estado, no son ni pueden ser asimiladas a entidades descentralizadas y tampoco encuadran en el concepto de entidad territorial. Lo anterior resulta relevante para efectos de la aplicación de la Ley de Garantías, en los términos que se pasará a explicar a continuación.</w:t>
      </w:r>
    </w:p>
    <w:p w:rsidRPr="00DA403A" w:rsidR="00530EAD" w:rsidP="00530EAD" w:rsidRDefault="00530EAD" w14:paraId="51AA8DE1" w14:textId="77777777">
      <w:pPr>
        <w:pStyle w:val="Textoindependiente"/>
        <w:spacing w:line="276" w:lineRule="auto"/>
        <w:ind w:left="180" w:right="112" w:firstLine="528"/>
        <w:jc w:val="both"/>
      </w:pPr>
    </w:p>
    <w:p w:rsidRPr="00DA403A" w:rsidR="004718BF" w:rsidP="00FA7068" w:rsidRDefault="00E30022" w14:paraId="398A6494" w14:textId="36B5F748">
      <w:pPr>
        <w:jc w:val="both"/>
        <w:rPr>
          <w:rFonts w:ascii="Arial" w:hAnsi="Arial" w:eastAsia="Times New Roman" w:cs="Arial"/>
          <w:bCs/>
          <w:color w:val="000000" w:themeColor="text1"/>
          <w:sz w:val="22"/>
          <w:lang w:eastAsia="es-ES_tradnl"/>
        </w:rPr>
      </w:pPr>
      <w:r w:rsidRPr="00DA403A">
        <w:rPr>
          <w:rFonts w:ascii="Arial" w:hAnsi="Arial" w:cs="Arial"/>
          <w:b/>
          <w:bCs/>
        </w:rPr>
        <w:t>2.3</w:t>
      </w:r>
      <w:r w:rsidRPr="00DA403A" w:rsidR="00FA7068">
        <w:rPr>
          <w:rFonts w:ascii="Arial" w:hAnsi="Arial" w:cs="Arial"/>
          <w:b/>
          <w:bCs/>
        </w:rPr>
        <w:t xml:space="preserve">. </w:t>
      </w:r>
      <w:r w:rsidRPr="00DA403A" w:rsidR="00FC3C38">
        <w:rPr>
          <w:rFonts w:ascii="Arial" w:hAnsi="Arial" w:eastAsia="Calibri" w:cs="Arial"/>
          <w:b/>
          <w:bCs/>
          <w:sz w:val="22"/>
          <w:lang w:val="es-CO"/>
        </w:rPr>
        <w:t>Definición y finalidad de la Ley de Garantías Electorales</w:t>
      </w:r>
    </w:p>
    <w:p w:rsidRPr="00DA403A" w:rsidR="004718BF" w:rsidP="00FA7068" w:rsidRDefault="004718BF" w14:paraId="1E9AE409" w14:textId="77777777">
      <w:pPr>
        <w:jc w:val="both"/>
        <w:rPr>
          <w:rFonts w:ascii="Arial" w:hAnsi="Arial" w:eastAsia="Calibri" w:cs="Arial"/>
          <w:b/>
          <w:bCs/>
          <w:sz w:val="22"/>
          <w:lang w:val="es-CO"/>
        </w:rPr>
      </w:pPr>
    </w:p>
    <w:p w:rsidRPr="00DA403A" w:rsidR="00FC3C38" w:rsidP="006D6FD9" w:rsidRDefault="000207A0" w14:paraId="7DE0A6AB" w14:textId="7E85C5F4">
      <w:pPr>
        <w:spacing w:before="120" w:after="120" w:line="276" w:lineRule="auto"/>
        <w:jc w:val="both"/>
        <w:rPr>
          <w:rFonts w:ascii="Arial" w:hAnsi="Arial" w:eastAsia="Arial" w:cs="Arial"/>
          <w:sz w:val="22"/>
          <w:lang w:val="es-ES"/>
        </w:rPr>
      </w:pPr>
      <w:r w:rsidRPr="00DA403A">
        <w:rPr>
          <w:rFonts w:ascii="Arial" w:hAnsi="Arial" w:eastAsia="Arial" w:cs="Arial"/>
          <w:sz w:val="22"/>
          <w:lang w:val="es-ES"/>
        </w:rPr>
        <w:t xml:space="preserve">Para efectos de abordar la definición y los propósitos de la ley de garantías </w:t>
      </w:r>
      <w:r w:rsidRPr="00DA403A" w:rsidR="00B43CD5">
        <w:rPr>
          <w:rFonts w:ascii="Arial" w:hAnsi="Arial" w:eastAsia="Arial" w:cs="Arial"/>
          <w:sz w:val="22"/>
          <w:lang w:val="es-ES"/>
        </w:rPr>
        <w:t>electorales</w:t>
      </w:r>
      <w:r w:rsidRPr="00DA403A" w:rsidR="004718BF">
        <w:rPr>
          <w:rFonts w:ascii="Arial" w:hAnsi="Arial" w:eastAsia="Arial" w:cs="Arial"/>
          <w:sz w:val="22"/>
          <w:lang w:val="es-ES"/>
        </w:rPr>
        <w:t>,</w:t>
      </w:r>
      <w:r w:rsidRPr="00DA403A" w:rsidR="00B43CD5">
        <w:rPr>
          <w:rFonts w:ascii="Arial" w:hAnsi="Arial" w:eastAsia="Arial" w:cs="Arial"/>
          <w:sz w:val="22"/>
          <w:lang w:val="es-ES"/>
        </w:rPr>
        <w:t xml:space="preserve"> </w:t>
      </w:r>
      <w:r w:rsidRPr="00DA403A">
        <w:rPr>
          <w:rFonts w:ascii="Arial" w:hAnsi="Arial" w:eastAsia="Arial" w:cs="Arial"/>
          <w:sz w:val="22"/>
          <w:lang w:val="es-ES"/>
        </w:rPr>
        <w:t xml:space="preserve">merece especial atención la sentencia C-1153 de 2005 de la Corte Constitucional, </w:t>
      </w:r>
      <w:r w:rsidRPr="00DA403A" w:rsidR="004718BF">
        <w:rPr>
          <w:rFonts w:ascii="Arial" w:hAnsi="Arial" w:eastAsia="Arial" w:cs="Arial"/>
          <w:sz w:val="22"/>
          <w:lang w:val="es-ES"/>
        </w:rPr>
        <w:t>mediante la cual</w:t>
      </w:r>
      <w:r w:rsidRPr="00DA403A">
        <w:rPr>
          <w:rFonts w:ascii="Arial" w:hAnsi="Arial" w:eastAsia="Arial" w:cs="Arial"/>
          <w:sz w:val="22"/>
          <w:lang w:val="es-ES"/>
        </w:rPr>
        <w:t xml:space="preserve"> esta corporación </w:t>
      </w:r>
      <w:r w:rsidRPr="00DA403A" w:rsidR="00393B92">
        <w:rPr>
          <w:rFonts w:ascii="Arial" w:hAnsi="Arial" w:eastAsia="Arial" w:cs="Arial"/>
          <w:sz w:val="22"/>
          <w:lang w:val="es-ES"/>
        </w:rPr>
        <w:t>indica</w:t>
      </w:r>
      <w:r w:rsidRPr="00DA403A">
        <w:rPr>
          <w:rFonts w:ascii="Arial" w:hAnsi="Arial" w:eastAsia="Arial" w:cs="Arial"/>
          <w:sz w:val="22"/>
          <w:lang w:val="es-ES"/>
        </w:rPr>
        <w:t xml:space="preserve"> lo siguiente</w:t>
      </w:r>
      <w:r w:rsidRPr="00DA403A" w:rsidR="00393B92">
        <w:rPr>
          <w:rFonts w:ascii="Arial" w:hAnsi="Arial" w:eastAsia="Arial" w:cs="Arial"/>
          <w:sz w:val="22"/>
          <w:lang w:val="es-ES"/>
        </w:rPr>
        <w:t>:</w:t>
      </w:r>
    </w:p>
    <w:p w:rsidRPr="00DA403A" w:rsidR="000207A0" w:rsidP="006D6FD9" w:rsidRDefault="000207A0" w14:paraId="2F9C5231" w14:textId="6DE6E1BC">
      <w:pPr>
        <w:spacing w:before="120" w:after="120"/>
        <w:ind w:left="708" w:right="709"/>
        <w:jc w:val="both"/>
        <w:rPr>
          <w:rFonts w:ascii="Arial" w:hAnsi="Arial" w:eastAsia="Times New Roman" w:cs="Arial"/>
          <w:bCs/>
          <w:color w:val="000000" w:themeColor="text1"/>
          <w:sz w:val="21"/>
          <w:szCs w:val="21"/>
          <w:lang w:eastAsia="es-ES_tradnl"/>
        </w:rPr>
      </w:pPr>
      <w:r w:rsidRPr="00DA403A">
        <w:rPr>
          <w:rFonts w:ascii="Arial" w:hAnsi="Arial" w:eastAsia="Times New Roman" w:cs="Arial"/>
          <w:bCs/>
          <w:color w:val="000000" w:themeColor="text1"/>
          <w:sz w:val="21"/>
          <w:szCs w:val="21"/>
          <w:lang w:eastAsia="es-ES_tradnl"/>
        </w:rPr>
        <w:t xml:space="preserve">«Una ley de garantías electorales es, en síntesis,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 En suma, una ley de garantías debe hacer que quienes se presenten a las elecciones en calidad de candidatos, así como quienes acudan a ellas en calidad de electores, aprovechen en igualdad de condiciones los recursos ofrecidos por el Estado para la realización de la democracia, de manera que la voluntad popular se exprese sin obstrucciones de ningún tipo y la decisión del pueblo se </w:t>
      </w:r>
      <w:r w:rsidRPr="00DA403A">
        <w:rPr>
          <w:rFonts w:ascii="Arial" w:hAnsi="Arial" w:eastAsia="Times New Roman" w:cs="Arial"/>
          <w:bCs/>
          <w:color w:val="000000" w:themeColor="text1"/>
          <w:sz w:val="21"/>
          <w:szCs w:val="21"/>
          <w:lang w:eastAsia="es-ES_tradnl"/>
        </w:rPr>
        <w:lastRenderedPageBreak/>
        <w:t>vea reflejada en la persona elegida para ocupar el cargo de autoridad que se disputa»</w:t>
      </w:r>
      <w:r w:rsidRPr="00DA403A" w:rsidR="006D6FD9">
        <w:rPr>
          <w:rStyle w:val="Refdenotaalpie"/>
          <w:rFonts w:ascii="Arial" w:hAnsi="Arial" w:eastAsia="Times New Roman" w:cs="Arial"/>
          <w:bCs/>
          <w:color w:val="000000" w:themeColor="text1"/>
          <w:sz w:val="21"/>
          <w:szCs w:val="21"/>
          <w:lang w:eastAsia="es-ES_tradnl"/>
        </w:rPr>
        <w:footnoteReference w:id="11"/>
      </w:r>
      <w:r w:rsidRPr="00DA403A" w:rsidR="00B459BB">
        <w:rPr>
          <w:rFonts w:ascii="Arial" w:hAnsi="Arial" w:eastAsia="Times New Roman" w:cs="Arial"/>
          <w:bCs/>
          <w:color w:val="000000" w:themeColor="text1"/>
          <w:sz w:val="21"/>
          <w:szCs w:val="21"/>
          <w:lang w:eastAsia="es-ES_tradnl"/>
        </w:rPr>
        <w:t>.</w:t>
      </w:r>
    </w:p>
    <w:p w:rsidRPr="00DA403A" w:rsidR="00C92B82" w:rsidP="00E861B6" w:rsidRDefault="004718BF" w14:paraId="1D26F722" w14:textId="08386534">
      <w:pPr>
        <w:spacing w:after="120" w:line="276" w:lineRule="auto"/>
        <w:ind w:firstLine="709"/>
        <w:jc w:val="both"/>
        <w:rPr>
          <w:rFonts w:ascii="Arial" w:hAnsi="Arial" w:eastAsia="Times New Roman" w:cs="Arial"/>
          <w:bCs/>
          <w:color w:val="000000"/>
          <w:sz w:val="22"/>
          <w:lang w:eastAsia="es-CO"/>
        </w:rPr>
      </w:pPr>
      <w:r w:rsidRPr="00DA403A">
        <w:rPr>
          <w:rFonts w:ascii="Arial" w:hAnsi="Arial" w:eastAsia="Times New Roman" w:cs="Arial"/>
          <w:bCs/>
          <w:color w:val="000000"/>
          <w:sz w:val="22"/>
          <w:lang w:eastAsia="es-CO"/>
        </w:rPr>
        <w:t>Ese propósito se cumple en nuestro país por medio de la Ley</w:t>
      </w:r>
      <w:r w:rsidRPr="00DA403A" w:rsidR="00C92B82">
        <w:rPr>
          <w:rFonts w:ascii="Arial" w:hAnsi="Arial" w:eastAsia="Times New Roman" w:cs="Arial"/>
          <w:bCs/>
          <w:color w:val="000000"/>
          <w:sz w:val="22"/>
          <w:lang w:eastAsia="es-CO"/>
        </w:rPr>
        <w:t xml:space="preserve"> 996 de 2005</w:t>
      </w:r>
      <w:r w:rsidRPr="00DA403A" w:rsidR="00E861B6">
        <w:rPr>
          <w:rFonts w:ascii="Arial" w:hAnsi="Arial" w:eastAsia="Times New Roman" w:cs="Arial"/>
          <w:bCs/>
          <w:color w:val="000000"/>
          <w:sz w:val="22"/>
          <w:lang w:eastAsia="es-CO"/>
        </w:rPr>
        <w:t>,</w:t>
      </w:r>
      <w:r w:rsidRPr="00DA403A" w:rsidR="00C92B82">
        <w:rPr>
          <w:rFonts w:ascii="Arial" w:hAnsi="Arial" w:eastAsia="Times New Roman" w:cs="Arial"/>
          <w:bCs/>
          <w:color w:val="000000"/>
          <w:sz w:val="22"/>
          <w:lang w:eastAsia="es-CO"/>
        </w:rPr>
        <w:t xml:space="preserve"> denominada Ley de Garantías Electorales, </w:t>
      </w:r>
      <w:r w:rsidRPr="00DA403A">
        <w:rPr>
          <w:rFonts w:ascii="Arial" w:hAnsi="Arial" w:eastAsia="Times New Roman" w:cs="Arial"/>
          <w:bCs/>
          <w:color w:val="000000"/>
          <w:sz w:val="22"/>
          <w:lang w:eastAsia="es-CO"/>
        </w:rPr>
        <w:t xml:space="preserve">con la cual se </w:t>
      </w:r>
      <w:r w:rsidRPr="00DA403A" w:rsidR="00C92B82">
        <w:rPr>
          <w:rFonts w:ascii="Arial" w:hAnsi="Arial" w:eastAsia="Times New Roman" w:cs="Arial"/>
          <w:bCs/>
          <w:color w:val="000000"/>
          <w:sz w:val="22"/>
          <w:lang w:eastAsia="es-CO"/>
        </w:rPr>
        <w:t>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rsidRPr="00DA403A" w:rsidR="00FC3C38" w:rsidP="00045260" w:rsidRDefault="000207A0" w14:paraId="7A14D58F" w14:textId="79835597">
      <w:pPr>
        <w:spacing w:line="276" w:lineRule="auto"/>
        <w:ind w:firstLine="708"/>
        <w:jc w:val="both"/>
        <w:rPr>
          <w:rFonts w:ascii="Arial" w:hAnsi="Arial" w:eastAsia="Times New Roman" w:cs="Arial"/>
          <w:bCs/>
          <w:color w:val="000000" w:themeColor="text1"/>
          <w:sz w:val="22"/>
          <w:lang w:eastAsia="es-ES_tradnl"/>
        </w:rPr>
      </w:pPr>
      <w:r w:rsidRPr="00DA403A">
        <w:rPr>
          <w:rFonts w:ascii="Arial" w:hAnsi="Arial" w:eastAsia="Times New Roman" w:cs="Arial"/>
          <w:bCs/>
          <w:color w:val="000000" w:themeColor="text1"/>
          <w:sz w:val="22"/>
          <w:lang w:eastAsia="es-ES_tradnl"/>
        </w:rPr>
        <w:t xml:space="preserve">Ahora, </w:t>
      </w:r>
      <w:proofErr w:type="gramStart"/>
      <w:r w:rsidRPr="00DA403A" w:rsidR="00200410">
        <w:rPr>
          <w:rFonts w:ascii="Arial" w:hAnsi="Arial" w:eastAsia="Times New Roman" w:cs="Arial"/>
          <w:bCs/>
          <w:color w:val="000000" w:themeColor="text1"/>
          <w:sz w:val="22"/>
          <w:lang w:eastAsia="es-ES_tradnl"/>
        </w:rPr>
        <w:t>la garantías buscadas</w:t>
      </w:r>
      <w:proofErr w:type="gramEnd"/>
      <w:r w:rsidRPr="00DA403A" w:rsidR="00200410">
        <w:rPr>
          <w:rFonts w:ascii="Arial" w:hAnsi="Arial" w:eastAsia="Times New Roman" w:cs="Arial"/>
          <w:bCs/>
          <w:color w:val="000000" w:themeColor="text1"/>
          <w:sz w:val="22"/>
          <w:lang w:eastAsia="es-ES_tradnl"/>
        </w:rPr>
        <w:t xml:space="preserve"> a través de este marco normativo implica la existencia </w:t>
      </w:r>
      <w:r w:rsidRPr="00DA403A" w:rsidR="00E861B6">
        <w:rPr>
          <w:rFonts w:ascii="Arial" w:hAnsi="Arial" w:eastAsia="Times New Roman" w:cs="Arial"/>
          <w:bCs/>
          <w:color w:val="000000" w:themeColor="text1"/>
          <w:sz w:val="22"/>
          <w:lang w:eastAsia="es-ES_tradnl"/>
        </w:rPr>
        <w:t>de restricciones,</w:t>
      </w:r>
      <w:r w:rsidRPr="00DA403A" w:rsidR="00C92B82">
        <w:rPr>
          <w:rFonts w:ascii="Arial" w:hAnsi="Arial" w:eastAsia="Times New Roman" w:cs="Arial"/>
          <w:bCs/>
          <w:color w:val="000000" w:themeColor="text1"/>
          <w:sz w:val="22"/>
          <w:lang w:eastAsia="es-ES_tradnl"/>
        </w:rPr>
        <w:t xml:space="preserve"> </w:t>
      </w:r>
      <w:r w:rsidRPr="00DA403A" w:rsidR="00200410">
        <w:rPr>
          <w:rFonts w:ascii="Arial" w:hAnsi="Arial" w:eastAsia="Times New Roman" w:cs="Arial"/>
          <w:bCs/>
          <w:color w:val="000000" w:themeColor="text1"/>
          <w:sz w:val="22"/>
          <w:lang w:eastAsia="es-ES_tradnl"/>
        </w:rPr>
        <w:t xml:space="preserve">y </w:t>
      </w:r>
      <w:r w:rsidRPr="00DA403A" w:rsidR="00C92B82">
        <w:rPr>
          <w:rFonts w:ascii="Arial" w:hAnsi="Arial" w:eastAsia="Times New Roman" w:cs="Arial"/>
          <w:bCs/>
          <w:color w:val="000000" w:themeColor="text1"/>
          <w:sz w:val="22"/>
          <w:lang w:eastAsia="es-ES_tradnl"/>
        </w:rPr>
        <w:t>convi</w:t>
      </w:r>
      <w:r w:rsidRPr="00DA403A" w:rsidR="00E861B6">
        <w:rPr>
          <w:rFonts w:ascii="Arial" w:hAnsi="Arial" w:eastAsia="Times New Roman" w:cs="Arial"/>
          <w:bCs/>
          <w:color w:val="000000" w:themeColor="text1"/>
          <w:sz w:val="22"/>
          <w:lang w:eastAsia="es-ES_tradnl"/>
        </w:rPr>
        <w:t>ene tener en cuenta que estas no pueden interpretarse extensivamente sino en forma restrictiva o estricta</w:t>
      </w:r>
      <w:r w:rsidRPr="00DA403A" w:rsidR="00F0717E">
        <w:rPr>
          <w:rStyle w:val="Refdenotaalpie"/>
          <w:rFonts w:ascii="Arial" w:hAnsi="Arial" w:eastAsia="Times New Roman" w:cs="Arial"/>
          <w:bCs/>
          <w:color w:val="000000" w:themeColor="text1"/>
          <w:sz w:val="22"/>
          <w:lang w:eastAsia="es-ES_tradnl"/>
        </w:rPr>
        <w:footnoteReference w:id="12"/>
      </w:r>
      <w:r w:rsidRPr="00DA403A" w:rsidR="006D6FD9">
        <w:rPr>
          <w:rFonts w:ascii="Arial" w:hAnsi="Arial" w:eastAsia="Times New Roman" w:cs="Arial"/>
          <w:bCs/>
          <w:color w:val="000000" w:themeColor="text1"/>
          <w:sz w:val="22"/>
          <w:lang w:eastAsia="es-ES_tradnl"/>
        </w:rPr>
        <w:t>.</w:t>
      </w:r>
      <w:r w:rsidRPr="00DA403A" w:rsidR="00E861B6">
        <w:rPr>
          <w:rFonts w:ascii="Arial" w:hAnsi="Arial" w:eastAsia="Times New Roman" w:cs="Arial"/>
          <w:bCs/>
          <w:color w:val="000000" w:themeColor="text1"/>
          <w:sz w:val="22"/>
          <w:lang w:eastAsia="es-ES_tradnl"/>
        </w:rPr>
        <w:t xml:space="preserve"> </w:t>
      </w:r>
      <w:r w:rsidRPr="00DA403A" w:rsidR="00200410">
        <w:rPr>
          <w:rFonts w:ascii="Arial" w:hAnsi="Arial" w:eastAsia="Times New Roman" w:cs="Arial"/>
          <w:bCs/>
          <w:color w:val="000000" w:themeColor="text1"/>
          <w:sz w:val="22"/>
          <w:lang w:eastAsia="es-ES_tradnl"/>
        </w:rPr>
        <w:t>En ese sentido</w:t>
      </w:r>
      <w:r w:rsidRPr="00DA403A" w:rsidR="00FC3C38">
        <w:rPr>
          <w:rFonts w:ascii="Arial" w:hAnsi="Arial" w:eastAsia="Times New Roman" w:cs="Arial"/>
          <w:bCs/>
          <w:color w:val="000000" w:themeColor="text1"/>
          <w:sz w:val="22"/>
          <w:lang w:eastAsia="es-ES_tradnl"/>
        </w:rPr>
        <w:t>, es importante analizar las restricciones aplicables frente a las elecciones presidenciales y frente a los comicios a cargos de elección popular.</w:t>
      </w:r>
    </w:p>
    <w:p w:rsidRPr="00DA403A" w:rsidR="006338EF" w:rsidP="006338EF" w:rsidRDefault="006338EF" w14:paraId="4F56555E" w14:textId="3E15CF7D">
      <w:pPr>
        <w:spacing w:line="276" w:lineRule="auto"/>
        <w:jc w:val="both"/>
        <w:rPr>
          <w:rFonts w:ascii="Arial" w:hAnsi="Arial" w:eastAsia="Times New Roman" w:cs="Arial"/>
          <w:bCs/>
          <w:color w:val="000000" w:themeColor="text1"/>
          <w:sz w:val="22"/>
          <w:lang w:eastAsia="es-ES_tradnl"/>
        </w:rPr>
      </w:pPr>
    </w:p>
    <w:p w:rsidRPr="00DA403A" w:rsidR="006338EF" w:rsidP="006338EF" w:rsidRDefault="006338EF" w14:paraId="65C5CE2B" w14:textId="47258F67">
      <w:pPr>
        <w:spacing w:line="276" w:lineRule="auto"/>
        <w:jc w:val="both"/>
        <w:rPr>
          <w:rFonts w:ascii="Arial" w:hAnsi="Arial" w:eastAsia="Calibri" w:cs="Arial"/>
          <w:b/>
          <w:bCs/>
          <w:sz w:val="22"/>
          <w:lang w:val="es-CO"/>
        </w:rPr>
      </w:pPr>
      <w:r w:rsidRPr="00DA403A">
        <w:rPr>
          <w:rFonts w:ascii="Arial" w:hAnsi="Arial" w:eastAsia="Times New Roman" w:cs="Arial"/>
          <w:b/>
          <w:color w:val="000000" w:themeColor="text1"/>
          <w:sz w:val="22"/>
          <w:lang w:eastAsia="es-ES_tradnl"/>
        </w:rPr>
        <w:t>2.4.</w:t>
      </w:r>
      <w:r w:rsidRPr="00DA403A">
        <w:rPr>
          <w:rFonts w:ascii="Arial" w:hAnsi="Arial" w:eastAsia="Calibri" w:cs="Arial"/>
          <w:b/>
          <w:bCs/>
          <w:sz w:val="22"/>
          <w:lang w:val="es-CO"/>
        </w:rPr>
        <w:t xml:space="preserve"> Determinación de las restricciones según el tipo de elecciones y excepciones a las mismas</w:t>
      </w:r>
    </w:p>
    <w:p w:rsidRPr="00DA403A" w:rsidR="006338EF" w:rsidP="006338EF" w:rsidRDefault="006338EF" w14:paraId="06FB2DBA" w14:textId="6D15DABC">
      <w:pPr>
        <w:spacing w:line="276" w:lineRule="auto"/>
        <w:jc w:val="both"/>
        <w:rPr>
          <w:rFonts w:ascii="Arial" w:hAnsi="Arial" w:eastAsia="Calibri" w:cs="Arial"/>
          <w:b/>
          <w:bCs/>
          <w:sz w:val="22"/>
          <w:lang w:val="es-CO"/>
        </w:rPr>
      </w:pPr>
    </w:p>
    <w:p w:rsidRPr="00DA403A" w:rsidR="006338EF" w:rsidP="006338EF" w:rsidRDefault="006338EF" w14:paraId="0F9A9CFF" w14:textId="77777777">
      <w:pPr>
        <w:spacing w:line="276" w:lineRule="auto"/>
        <w:jc w:val="both"/>
        <w:rPr>
          <w:rFonts w:ascii="Arial" w:hAnsi="Arial" w:eastAsia="Times New Roman" w:cs="Arial"/>
          <w:bCs/>
          <w:color w:val="000000"/>
          <w:sz w:val="22"/>
          <w:lang w:eastAsia="es-CO"/>
        </w:rPr>
      </w:pPr>
      <w:r w:rsidRPr="00DA403A">
        <w:rPr>
          <w:rFonts w:ascii="Arial" w:hAnsi="Arial" w:eastAsia="Times New Roman" w:cs="Arial"/>
          <w:bCs/>
          <w:color w:val="000000"/>
          <w:sz w:val="22"/>
          <w:lang w:eastAsia="es-CO"/>
        </w:rPr>
        <w:t>La Ley 996 de 2005 hace referencia a las elecciones presidenciales concretamente y, en forma general, a las que se realizan para acceder a cargos de elección popular. Esta diferenciación ha sido también objeto de análisis por el Consejo de Estado, que ha precisado:</w:t>
      </w:r>
    </w:p>
    <w:p w:rsidRPr="00DA403A" w:rsidR="006338EF" w:rsidP="006338EF" w:rsidRDefault="006338EF" w14:paraId="3985943D" w14:textId="77777777">
      <w:pPr>
        <w:ind w:firstLine="708"/>
        <w:jc w:val="both"/>
        <w:rPr>
          <w:rFonts w:ascii="Arial" w:hAnsi="Arial" w:eastAsia="Times New Roman" w:cs="Arial"/>
          <w:bCs/>
          <w:color w:val="000000"/>
          <w:sz w:val="22"/>
          <w:lang w:eastAsia="es-CO"/>
        </w:rPr>
      </w:pPr>
    </w:p>
    <w:p w:rsidRPr="00DA403A" w:rsidR="006338EF" w:rsidP="006338EF" w:rsidRDefault="006338EF" w14:paraId="5494CB70" w14:textId="77777777">
      <w:pPr>
        <w:ind w:firstLine="708"/>
        <w:jc w:val="both"/>
        <w:rPr>
          <w:rFonts w:ascii="Arial" w:hAnsi="Arial" w:eastAsia="Times New Roman" w:cs="Arial"/>
          <w:bCs/>
          <w:color w:val="000000"/>
          <w:sz w:val="21"/>
          <w:szCs w:val="21"/>
          <w:lang w:eastAsia="es-CO"/>
        </w:rPr>
      </w:pPr>
      <w:r w:rsidRPr="00DA403A">
        <w:rPr>
          <w:rFonts w:ascii="Arial" w:hAnsi="Arial" w:eastAsia="Times New Roman" w:cs="Arial"/>
          <w:bCs/>
          <w:color w:val="000000"/>
          <w:sz w:val="21"/>
          <w:szCs w:val="21"/>
          <w:lang w:eastAsia="es-CO"/>
        </w:rPr>
        <w:t>[…]</w:t>
      </w:r>
    </w:p>
    <w:p w:rsidRPr="00DA403A" w:rsidR="006338EF" w:rsidP="006338EF" w:rsidRDefault="006338EF" w14:paraId="6B4D7B60" w14:textId="77777777">
      <w:pPr>
        <w:ind w:left="709" w:right="709"/>
        <w:jc w:val="both"/>
        <w:rPr>
          <w:rFonts w:ascii="Arial" w:hAnsi="Arial" w:eastAsia="Times New Roman" w:cs="Arial"/>
          <w:bCs/>
          <w:color w:val="000000"/>
          <w:sz w:val="21"/>
          <w:szCs w:val="21"/>
          <w:lang w:eastAsia="es-CO"/>
        </w:rPr>
      </w:pPr>
      <w:r w:rsidRPr="00DA403A">
        <w:rPr>
          <w:rFonts w:ascii="Arial" w:hAnsi="Arial" w:eastAsia="Times New Roman" w:cs="Arial"/>
          <w:bCs/>
          <w:color w:val="000000"/>
          <w:sz w:val="21"/>
          <w:szCs w:val="21"/>
          <w:lang w:eastAsia="es-CO"/>
        </w:rPr>
        <w:t xml:space="preserve">La ley 996 de 2005 es el instrumento jurídico garantizador de las condiciones de igualdad y equidad entre los candidatos y </w:t>
      </w:r>
      <w:proofErr w:type="gramStart"/>
      <w:r w:rsidRPr="00DA403A">
        <w:rPr>
          <w:rFonts w:ascii="Arial" w:hAnsi="Arial" w:eastAsia="Times New Roman" w:cs="Arial"/>
          <w:bCs/>
          <w:color w:val="000000"/>
          <w:sz w:val="21"/>
          <w:szCs w:val="21"/>
          <w:lang w:eastAsia="es-CO"/>
        </w:rPr>
        <w:t>en razón de</w:t>
      </w:r>
      <w:proofErr w:type="gramEnd"/>
      <w:r w:rsidRPr="00DA403A">
        <w:rPr>
          <w:rFonts w:ascii="Arial" w:hAnsi="Arial" w:eastAsia="Times New Roman" w:cs="Arial"/>
          <w:bCs/>
          <w:color w:val="000000"/>
          <w:sz w:val="21"/>
          <w:szCs w:val="21"/>
          <w:lang w:eastAsia="es-CO"/>
        </w:rPr>
        <w:t xml:space="preserve"> ello, procede su aplicación en todos los procesos electorales para cargos de elección popular, advirtiendo que contiene regulaciones y prohibiciones sobre dos tipos de campañas electorales: la presidencial y las que se adelanten para la provisión de los demás cargos de elección popular nacionales y territoriales […]</w:t>
      </w:r>
      <w:r w:rsidRPr="00DA403A">
        <w:rPr>
          <w:rStyle w:val="Refdenotaalpie"/>
          <w:rFonts w:ascii="Arial" w:hAnsi="Arial" w:eastAsia="Times New Roman" w:cs="Arial"/>
          <w:bCs/>
          <w:color w:val="000000"/>
          <w:sz w:val="21"/>
          <w:szCs w:val="21"/>
          <w:lang w:eastAsia="es-CO"/>
        </w:rPr>
        <w:footnoteReference w:id="13"/>
      </w:r>
    </w:p>
    <w:p w:rsidRPr="00DA403A" w:rsidR="006338EF" w:rsidP="006338EF" w:rsidRDefault="006338EF" w14:paraId="1682FD1A" w14:textId="77777777">
      <w:pPr>
        <w:spacing w:before="120" w:line="276" w:lineRule="auto"/>
        <w:ind w:firstLine="708"/>
        <w:jc w:val="both"/>
        <w:rPr>
          <w:rFonts w:ascii="Arial" w:hAnsi="Arial" w:eastAsia="Times New Roman" w:cs="Arial"/>
          <w:bCs/>
          <w:color w:val="000000"/>
          <w:sz w:val="22"/>
          <w:lang w:eastAsia="es-CO"/>
        </w:rPr>
      </w:pPr>
      <w:r w:rsidRPr="00DA403A">
        <w:rPr>
          <w:rFonts w:ascii="Arial" w:hAnsi="Arial" w:eastAsia="Times New Roman" w:cs="Arial"/>
          <w:bCs/>
          <w:color w:val="000000"/>
          <w:sz w:val="22"/>
          <w:lang w:eastAsia="es-CO"/>
        </w:rPr>
        <w:lastRenderedPageBreak/>
        <w:t xml:space="preserve">En cuanto a la restricción especial para las elecciones presidenciales, queda prohibida la contratación directa por parte de todos los entes del Estado, salvo las excepciones legales existentes, tal como lo señala el artículo 33 de la Ley 996 de 2005. A dicha prohibición se suman las previstas para los comicios a cargos de elección popular –incluidas las presidenciales– consagradas en el parágrafo del artículo 38 </w:t>
      </w:r>
      <w:proofErr w:type="spellStart"/>
      <w:r w:rsidRPr="00DA403A">
        <w:rPr>
          <w:rFonts w:ascii="Arial" w:hAnsi="Arial" w:eastAsia="Times New Roman" w:cs="Arial"/>
          <w:bCs/>
          <w:color w:val="000000"/>
          <w:sz w:val="22"/>
          <w:lang w:eastAsia="es-CO"/>
        </w:rPr>
        <w:t>ibídem</w:t>
      </w:r>
      <w:proofErr w:type="spellEnd"/>
      <w:r w:rsidRPr="00DA403A">
        <w:rPr>
          <w:rFonts w:ascii="Arial" w:hAnsi="Arial" w:eastAsia="Times New Roman" w:cs="Arial"/>
          <w:bCs/>
          <w:color w:val="000000"/>
          <w:sz w:val="22"/>
          <w:lang w:eastAsia="es-CO"/>
        </w:rPr>
        <w:t>. Este precepto establece la prohibición para gobernadores, alcaldes, secretarios, gerentes y directores de entidades de orden municipal, departamental o distrital, para celebrar convenios o contratos interadministrativos para la ejecución de recursos públicos.</w:t>
      </w:r>
    </w:p>
    <w:p w:rsidRPr="00DA403A" w:rsidR="006338EF" w:rsidP="001D21C7" w:rsidRDefault="006338EF" w14:paraId="3A347F39" w14:textId="77777777">
      <w:pPr>
        <w:spacing w:before="120" w:after="120" w:line="276" w:lineRule="auto"/>
        <w:ind w:firstLine="709"/>
        <w:jc w:val="both"/>
        <w:rPr>
          <w:rFonts w:ascii="Arial" w:hAnsi="Arial" w:eastAsia="Times New Roman" w:cs="Arial"/>
          <w:bCs/>
          <w:color w:val="000000"/>
          <w:sz w:val="22"/>
          <w:lang w:eastAsia="es-CO"/>
        </w:rPr>
      </w:pPr>
      <w:r w:rsidRPr="00DA403A">
        <w:rPr>
          <w:rFonts w:ascii="Arial" w:hAnsi="Arial" w:eastAsia="Times New Roman" w:cs="Arial"/>
          <w:bCs/>
          <w:color w:val="000000"/>
          <w:sz w:val="22"/>
          <w:lang w:eastAsia="es-CO"/>
        </w:rPr>
        <w:t>En ambos casos, la Ley se aplicará durante los cuatro (4) meses anteriores a las elecciones. Respecto de los comicios presidenciales, se aplicará hasta la realización de la elección en la segunda vuelta, coincidiendo con la delimitación temporal señalada para la campaña política.</w:t>
      </w:r>
    </w:p>
    <w:p w:rsidRPr="001D21C7" w:rsidR="006338EF" w:rsidP="003A5B09" w:rsidRDefault="006338EF" w14:paraId="7A7557E7" w14:textId="4D6EE5C1">
      <w:pPr>
        <w:spacing w:line="276" w:lineRule="auto"/>
        <w:ind w:firstLine="708"/>
        <w:jc w:val="both"/>
        <w:rPr>
          <w:rFonts w:ascii="Arial" w:hAnsi="Arial" w:eastAsia="Times New Roman" w:cs="Arial"/>
          <w:b/>
          <w:color w:val="000000" w:themeColor="text1"/>
          <w:sz w:val="22"/>
          <w:lang w:eastAsia="es-ES_tradnl"/>
        </w:rPr>
      </w:pPr>
      <w:r w:rsidRPr="00DA403A">
        <w:rPr>
          <w:rFonts w:ascii="Arial" w:hAnsi="Arial" w:eastAsia="Times New Roman" w:cs="Arial"/>
          <w:bCs/>
          <w:color w:val="000000"/>
          <w:sz w:val="22"/>
          <w:lang w:eastAsia="es-CO"/>
        </w:rPr>
        <w:t>Por lo anterior, es importante analizar las restricciones aplicables a cada una de estas elecciones, pues presentan importantes diferencias, como su fundamento jurídico. Con esa finalidad, en primer lugar, se analizarán las restricciones aplicables frente a las elecciones presidenciales; y, posteriormente, las referentes a los</w:t>
      </w:r>
      <w:r w:rsidRPr="00DA403A" w:rsidR="00EB6279">
        <w:rPr>
          <w:rFonts w:ascii="Arial" w:hAnsi="Arial" w:eastAsia="Times New Roman" w:cs="Arial"/>
          <w:bCs/>
          <w:color w:val="000000"/>
          <w:sz w:val="22"/>
          <w:lang w:eastAsia="es-CO"/>
        </w:rPr>
        <w:t xml:space="preserve"> demás</w:t>
      </w:r>
      <w:r w:rsidRPr="00DA403A">
        <w:rPr>
          <w:rFonts w:ascii="Arial" w:hAnsi="Arial" w:eastAsia="Times New Roman" w:cs="Arial"/>
          <w:bCs/>
          <w:color w:val="000000"/>
          <w:sz w:val="22"/>
          <w:lang w:eastAsia="es-CO"/>
        </w:rPr>
        <w:t xml:space="preserve"> cargos de elección popular.</w:t>
      </w:r>
    </w:p>
    <w:p w:rsidRPr="00DA403A" w:rsidR="006D6FD9" w:rsidP="00045260" w:rsidRDefault="006D6FD9" w14:paraId="4700A1D1" w14:textId="77777777">
      <w:pPr>
        <w:spacing w:line="276" w:lineRule="auto"/>
        <w:ind w:firstLine="708"/>
        <w:jc w:val="both"/>
        <w:rPr>
          <w:rFonts w:ascii="Arial" w:hAnsi="Arial" w:eastAsia="Times New Roman" w:cs="Arial"/>
          <w:bCs/>
          <w:color w:val="000000" w:themeColor="text1"/>
          <w:sz w:val="22"/>
          <w:lang w:eastAsia="es-ES_tradnl"/>
        </w:rPr>
      </w:pPr>
    </w:p>
    <w:p w:rsidRPr="00DA403A" w:rsidR="006F29E0" w:rsidP="00FC3C38" w:rsidRDefault="00E30022" w14:paraId="7548315C" w14:textId="3270EBB7">
      <w:pPr>
        <w:spacing w:line="276" w:lineRule="auto"/>
        <w:jc w:val="both"/>
        <w:rPr>
          <w:rFonts w:ascii="Arial" w:hAnsi="Arial" w:eastAsia="Times New Roman" w:cs="Arial"/>
          <w:b/>
          <w:bCs/>
          <w:color w:val="000000" w:themeColor="text1"/>
          <w:sz w:val="22"/>
          <w:lang w:eastAsia="es-ES_tradnl"/>
        </w:rPr>
      </w:pPr>
      <w:r w:rsidRPr="00DA403A">
        <w:rPr>
          <w:rFonts w:ascii="Arial" w:hAnsi="Arial" w:eastAsia="Times New Roman" w:cs="Arial"/>
          <w:b/>
          <w:bCs/>
          <w:color w:val="000000" w:themeColor="text1"/>
          <w:sz w:val="22"/>
          <w:lang w:eastAsia="es-ES_tradnl"/>
        </w:rPr>
        <w:t>2.</w:t>
      </w:r>
      <w:r w:rsidRPr="00DA403A" w:rsidR="006338EF">
        <w:rPr>
          <w:rFonts w:ascii="Arial" w:hAnsi="Arial" w:eastAsia="Times New Roman" w:cs="Arial"/>
          <w:b/>
          <w:bCs/>
          <w:color w:val="000000" w:themeColor="text1"/>
          <w:sz w:val="22"/>
          <w:lang w:eastAsia="es-ES_tradnl"/>
        </w:rPr>
        <w:t>4</w:t>
      </w:r>
      <w:r w:rsidRPr="00DA403A" w:rsidR="00E16D8B">
        <w:rPr>
          <w:rFonts w:ascii="Arial" w:hAnsi="Arial" w:eastAsia="Times New Roman" w:cs="Arial"/>
          <w:b/>
          <w:bCs/>
          <w:color w:val="000000" w:themeColor="text1"/>
          <w:sz w:val="22"/>
          <w:lang w:eastAsia="es-ES_tradnl"/>
        </w:rPr>
        <w:t xml:space="preserve">.1. </w:t>
      </w:r>
      <w:r w:rsidRPr="00DA403A" w:rsidR="00D56766">
        <w:rPr>
          <w:rFonts w:ascii="Arial" w:hAnsi="Arial" w:eastAsia="Times New Roman" w:cs="Arial"/>
          <w:b/>
          <w:bCs/>
          <w:color w:val="000000" w:themeColor="text1"/>
          <w:sz w:val="22"/>
          <w:lang w:eastAsia="es-ES_tradnl"/>
        </w:rPr>
        <w:t>Restricciones del</w:t>
      </w:r>
      <w:r w:rsidRPr="00DA403A" w:rsidR="00BE50B7">
        <w:rPr>
          <w:rFonts w:ascii="Arial" w:hAnsi="Arial" w:eastAsia="Times New Roman" w:cs="Arial"/>
          <w:b/>
          <w:bCs/>
          <w:color w:val="000000" w:themeColor="text1"/>
          <w:sz w:val="22"/>
          <w:lang w:eastAsia="es-ES_tradnl"/>
        </w:rPr>
        <w:t xml:space="preserve"> artículo 33 de la Ley 996 de 2005 en </w:t>
      </w:r>
      <w:r w:rsidRPr="00DA403A" w:rsidR="00FC3C38">
        <w:rPr>
          <w:rFonts w:ascii="Arial" w:hAnsi="Arial" w:eastAsia="Times New Roman" w:cs="Arial"/>
          <w:b/>
          <w:bCs/>
          <w:color w:val="000000" w:themeColor="text1"/>
          <w:sz w:val="22"/>
          <w:lang w:eastAsia="es-ES_tradnl"/>
        </w:rPr>
        <w:t xml:space="preserve">elecciones presidenciales </w:t>
      </w:r>
    </w:p>
    <w:p w:rsidRPr="00DA403A" w:rsidR="006F29E0" w:rsidP="00FC3C38" w:rsidRDefault="006F29E0" w14:paraId="5F29A2F1" w14:textId="77777777">
      <w:pPr>
        <w:spacing w:line="276" w:lineRule="auto"/>
        <w:jc w:val="both"/>
        <w:rPr>
          <w:rFonts w:ascii="Arial" w:hAnsi="Arial" w:eastAsia="Times New Roman" w:cs="Arial"/>
          <w:bCs/>
          <w:color w:val="000000" w:themeColor="text1"/>
          <w:sz w:val="22"/>
          <w:lang w:eastAsia="es-ES_tradnl"/>
        </w:rPr>
      </w:pPr>
    </w:p>
    <w:p w:rsidRPr="00DA403A" w:rsidR="00BE50B7" w:rsidP="00D864A9" w:rsidRDefault="00E16D8B" w14:paraId="54DADCD0" w14:textId="310F93B6">
      <w:pPr>
        <w:spacing w:after="120" w:line="276" w:lineRule="auto"/>
        <w:jc w:val="both"/>
        <w:rPr>
          <w:rFonts w:ascii="Arial" w:hAnsi="Arial" w:eastAsia="Times New Roman" w:cs="Arial"/>
          <w:bCs/>
          <w:color w:val="000000" w:themeColor="text1"/>
          <w:sz w:val="22"/>
          <w:lang w:eastAsia="es-ES_tradnl"/>
        </w:rPr>
      </w:pPr>
      <w:r w:rsidRPr="00DA403A">
        <w:rPr>
          <w:rFonts w:ascii="Arial" w:hAnsi="Arial" w:eastAsia="Times New Roman" w:cs="Arial"/>
          <w:bCs/>
          <w:color w:val="000000" w:themeColor="text1"/>
          <w:sz w:val="22"/>
          <w:lang w:eastAsia="es-ES_tradnl"/>
        </w:rPr>
        <w:t>El artículo 33 de la Ley 996 de 2005 establece una restricción para las elecciones a la Presidencia de la Repúbli</w:t>
      </w:r>
      <w:r w:rsidRPr="00DA403A" w:rsidR="007A3D14">
        <w:rPr>
          <w:rFonts w:ascii="Arial" w:hAnsi="Arial" w:eastAsia="Times New Roman" w:cs="Arial"/>
          <w:bCs/>
          <w:color w:val="000000" w:themeColor="text1"/>
          <w:sz w:val="22"/>
          <w:lang w:eastAsia="es-ES_tradnl"/>
        </w:rPr>
        <w:t>ca. En efecto,</w:t>
      </w:r>
      <w:r w:rsidRPr="00DA403A">
        <w:rPr>
          <w:rFonts w:ascii="Arial" w:hAnsi="Arial" w:eastAsia="Times New Roman" w:cs="Arial"/>
          <w:bCs/>
          <w:color w:val="000000" w:themeColor="text1"/>
          <w:sz w:val="22"/>
          <w:lang w:eastAsia="es-ES_tradnl"/>
        </w:rPr>
        <w:t xml:space="preserve"> prohíbe la contratación directa por parte de todos los entes del Estado </w:t>
      </w:r>
      <w:r w:rsidRPr="00DA403A" w:rsidR="00FC3C38">
        <w:rPr>
          <w:rFonts w:ascii="Arial" w:hAnsi="Arial" w:eastAsia="Times New Roman" w:cs="Arial"/>
          <w:bCs/>
          <w:color w:val="000000" w:themeColor="text1"/>
          <w:sz w:val="22"/>
          <w:lang w:eastAsia="es-ES_tradnl"/>
        </w:rPr>
        <w:t xml:space="preserve">durante los cuatro (4) meses anteriores a la elección presidencial y hasta la realización de la elección en la segunda vuelta, </w:t>
      </w:r>
      <w:r w:rsidRPr="00DA403A">
        <w:rPr>
          <w:rFonts w:ascii="Arial" w:hAnsi="Arial" w:eastAsia="Times New Roman" w:cs="Arial"/>
          <w:bCs/>
          <w:color w:val="000000" w:themeColor="text1"/>
          <w:sz w:val="22"/>
          <w:lang w:eastAsia="es-ES_tradnl"/>
        </w:rPr>
        <w:t xml:space="preserve">si fuere el caso, </w:t>
      </w:r>
      <w:r w:rsidRPr="00DA403A" w:rsidR="00FC3C38">
        <w:rPr>
          <w:rFonts w:ascii="Arial" w:hAnsi="Arial" w:eastAsia="Times New Roman" w:cs="Arial"/>
          <w:bCs/>
          <w:color w:val="000000" w:themeColor="text1"/>
          <w:sz w:val="22"/>
          <w:lang w:eastAsia="es-ES_tradnl"/>
        </w:rPr>
        <w:t>coincidiendo con la delimitación temporal señalada para la campaña política</w:t>
      </w:r>
      <w:r w:rsidRPr="00DA403A" w:rsidR="002F76C8">
        <w:rPr>
          <w:rFonts w:ascii="Arial" w:hAnsi="Arial" w:eastAsia="Times New Roman" w:cs="Arial"/>
          <w:bCs/>
          <w:color w:val="000000" w:themeColor="text1"/>
          <w:sz w:val="22"/>
          <w:lang w:eastAsia="es-ES_tradnl"/>
        </w:rPr>
        <w:t xml:space="preserve"> en el artículo 2 de la Ley 996 de 1995</w:t>
      </w:r>
      <w:r w:rsidRPr="00DA403A" w:rsidR="002F76C8">
        <w:rPr>
          <w:rStyle w:val="Refdenotaalpie"/>
          <w:rFonts w:ascii="Arial" w:hAnsi="Arial" w:eastAsia="Times New Roman" w:cs="Arial"/>
          <w:bCs/>
          <w:color w:val="000000" w:themeColor="text1"/>
          <w:sz w:val="22"/>
          <w:lang w:eastAsia="es-ES_tradnl"/>
        </w:rPr>
        <w:footnoteReference w:id="14"/>
      </w:r>
      <w:r w:rsidRPr="00DA403A" w:rsidR="00D864A9">
        <w:rPr>
          <w:rFonts w:ascii="Arial" w:hAnsi="Arial" w:eastAsia="Times New Roman" w:cs="Arial"/>
          <w:bCs/>
          <w:color w:val="000000" w:themeColor="text1"/>
          <w:sz w:val="22"/>
          <w:lang w:eastAsia="es-ES_tradnl"/>
        </w:rPr>
        <w:t>.</w:t>
      </w:r>
      <w:r w:rsidRPr="00DA403A" w:rsidR="000F4E2A">
        <w:rPr>
          <w:rFonts w:ascii="Arial" w:hAnsi="Arial" w:eastAsia="Times New Roman" w:cs="Arial"/>
          <w:bCs/>
          <w:color w:val="000000" w:themeColor="text1"/>
          <w:sz w:val="22"/>
          <w:lang w:eastAsia="es-ES_tradnl"/>
        </w:rPr>
        <w:t xml:space="preserve"> Ahora bien, el mismo artículo 33 establece en su inciso segundo las excepciones a la prohibición, prescribiendo que:</w:t>
      </w:r>
    </w:p>
    <w:p w:rsidRPr="00DA403A" w:rsidR="000F4E2A" w:rsidP="001D21C7" w:rsidRDefault="000F4E2A" w14:paraId="3C50DBE4" w14:textId="26DBF93E">
      <w:pPr>
        <w:ind w:left="709" w:right="709"/>
        <w:jc w:val="both"/>
        <w:rPr>
          <w:rFonts w:ascii="Arial" w:hAnsi="Arial" w:eastAsia="Times New Roman" w:cs="Arial"/>
          <w:bCs/>
          <w:color w:val="000000"/>
          <w:sz w:val="22"/>
          <w:lang w:eastAsia="es-CO"/>
        </w:rPr>
      </w:pPr>
      <w:r w:rsidRPr="00DA403A">
        <w:rPr>
          <w:rFonts w:ascii="Arial" w:hAnsi="Arial" w:eastAsia="Times New Roman" w:cs="Arial"/>
          <w:bCs/>
          <w:color w:val="000000"/>
          <w:sz w:val="21"/>
          <w:szCs w:val="21"/>
          <w:lang w:eastAsia="es-CO"/>
        </w:rPr>
        <w:t xml:space="preserve">«[…] Queda exceptuado lo referente a la defensa y seguridad del Estado, los contratos de crédito público, </w:t>
      </w:r>
      <w:r w:rsidRPr="00DA403A">
        <w:rPr>
          <w:rFonts w:ascii="Arial" w:hAnsi="Arial" w:eastAsia="Times New Roman" w:cs="Arial"/>
          <w:bCs/>
          <w:i/>
          <w:color w:val="000000"/>
          <w:sz w:val="21"/>
          <w:szCs w:val="21"/>
          <w:lang w:eastAsia="es-CO"/>
        </w:rPr>
        <w:t>los requeridos para cubrir las emergencias</w:t>
      </w:r>
      <w:r w:rsidRPr="00DA403A">
        <w:rPr>
          <w:rFonts w:ascii="Arial" w:hAnsi="Arial" w:eastAsia="Times New Roman" w:cs="Arial"/>
          <w:bCs/>
          <w:color w:val="000000"/>
          <w:sz w:val="21"/>
          <w:szCs w:val="21"/>
          <w:lang w:eastAsia="es-CO"/>
        </w:rPr>
        <w:t xml:space="preserve"> educativas, </w:t>
      </w:r>
      <w:r w:rsidRPr="00DA403A">
        <w:rPr>
          <w:rFonts w:ascii="Arial" w:hAnsi="Arial" w:eastAsia="Times New Roman" w:cs="Arial"/>
          <w:bCs/>
          <w:i/>
          <w:color w:val="000000"/>
          <w:sz w:val="21"/>
          <w:szCs w:val="21"/>
          <w:lang w:eastAsia="es-CO"/>
        </w:rPr>
        <w:t>sanitarias</w:t>
      </w:r>
      <w:r w:rsidRPr="00DA403A">
        <w:rPr>
          <w:rFonts w:ascii="Arial" w:hAnsi="Arial" w:eastAsia="Times New Roman" w:cs="Arial"/>
          <w:bCs/>
          <w:color w:val="000000"/>
          <w:sz w:val="21"/>
          <w:szCs w:val="21"/>
          <w:lang w:eastAsia="es-CO"/>
        </w:rPr>
        <w:t xml:space="preserve"> y desastres, así como también los utilizados para la reconstrucción de vías, puentes, carreteras, infraestructura energética y de comunicaciones, en caso de que hayan sido objeto de atentados, acciones </w:t>
      </w:r>
      <w:r w:rsidRPr="00DA403A">
        <w:rPr>
          <w:rFonts w:ascii="Arial" w:hAnsi="Arial" w:eastAsia="Times New Roman" w:cs="Arial"/>
          <w:bCs/>
          <w:color w:val="000000"/>
          <w:sz w:val="21"/>
          <w:szCs w:val="21"/>
          <w:lang w:eastAsia="es-CO"/>
        </w:rPr>
        <w:lastRenderedPageBreak/>
        <w:t xml:space="preserve">terroristas, desastres naturales o casos de fuerza mayor, </w:t>
      </w:r>
      <w:r w:rsidRPr="00DA403A">
        <w:rPr>
          <w:rFonts w:ascii="Arial" w:hAnsi="Arial" w:eastAsia="Times New Roman" w:cs="Arial"/>
          <w:bCs/>
          <w:i/>
          <w:color w:val="000000"/>
          <w:sz w:val="21"/>
          <w:szCs w:val="21"/>
          <w:lang w:eastAsia="es-CO"/>
        </w:rPr>
        <w:t>y los que deban realizar las entidades sanitarias y hospitalarias</w:t>
      </w:r>
      <w:r w:rsidRPr="00DA403A">
        <w:rPr>
          <w:rFonts w:ascii="Arial" w:hAnsi="Arial" w:eastAsia="Times New Roman" w:cs="Arial"/>
          <w:bCs/>
          <w:color w:val="000000"/>
          <w:sz w:val="21"/>
          <w:szCs w:val="21"/>
          <w:lang w:eastAsia="es-CO"/>
        </w:rPr>
        <w:t xml:space="preserve">». </w:t>
      </w:r>
      <w:r w:rsidRPr="00DA403A">
        <w:rPr>
          <w:rFonts w:ascii="Arial" w:hAnsi="Arial" w:eastAsia="Times New Roman" w:cs="Arial"/>
          <w:bCs/>
          <w:color w:val="000000"/>
          <w:sz w:val="22"/>
          <w:lang w:eastAsia="es-CO"/>
        </w:rPr>
        <w:t>(Cursiva fuera de texto)</w:t>
      </w:r>
    </w:p>
    <w:p w:rsidRPr="00DA403A" w:rsidR="000F4E2A" w:rsidP="001D21C7" w:rsidRDefault="000F4E2A" w14:paraId="5FF580A2" w14:textId="77777777">
      <w:pPr>
        <w:spacing w:line="276" w:lineRule="auto"/>
        <w:jc w:val="both"/>
        <w:rPr>
          <w:rFonts w:ascii="Arial" w:hAnsi="Arial" w:eastAsia="Times New Roman" w:cs="Arial"/>
          <w:bCs/>
          <w:color w:val="000000" w:themeColor="text1"/>
          <w:sz w:val="22"/>
          <w:lang w:eastAsia="es-ES_tradnl"/>
        </w:rPr>
      </w:pPr>
    </w:p>
    <w:p w:rsidRPr="00DA403A" w:rsidR="00D56766" w:rsidP="001D21C7" w:rsidRDefault="00D56766" w14:paraId="24E34F45" w14:textId="3DA28ADA">
      <w:pPr>
        <w:spacing w:after="120" w:line="276" w:lineRule="auto"/>
        <w:ind w:firstLine="709"/>
        <w:jc w:val="both"/>
        <w:rPr>
          <w:rStyle w:val="Refdenotaalpie"/>
        </w:rPr>
      </w:pPr>
      <w:r w:rsidRPr="00DA403A">
        <w:rPr>
          <w:rFonts w:ascii="Arial" w:hAnsi="Arial" w:eastAsia="Times New Roman" w:cs="Arial"/>
          <w:bCs/>
          <w:color w:val="000000" w:themeColor="text1"/>
          <w:sz w:val="22"/>
          <w:lang w:eastAsia="es-ES_tradnl"/>
        </w:rPr>
        <w:t xml:space="preserve">Nótese que los sujetos sobre los cuales recae la restricción son todos los entes del Estado, frente a lo cual, </w:t>
      </w:r>
      <w:r w:rsidRPr="00DA403A" w:rsidR="00BE50B7">
        <w:rPr>
          <w:rFonts w:ascii="Arial" w:hAnsi="Arial" w:eastAsia="Times New Roman" w:cs="Arial"/>
          <w:bCs/>
          <w:color w:val="000000" w:themeColor="text1"/>
          <w:sz w:val="22"/>
          <w:lang w:eastAsia="es-ES_tradnl"/>
        </w:rPr>
        <w:t xml:space="preserve">la Circular Externa </w:t>
      </w:r>
      <w:r w:rsidRPr="00DA403A" w:rsidR="009B0FED">
        <w:rPr>
          <w:rFonts w:ascii="Arial" w:hAnsi="Arial" w:eastAsia="Times New Roman" w:cs="Arial"/>
          <w:bCs/>
          <w:color w:val="000000" w:themeColor="text1"/>
          <w:sz w:val="22"/>
          <w:lang w:eastAsia="es-ES_tradnl"/>
        </w:rPr>
        <w:t xml:space="preserve">Única </w:t>
      </w:r>
      <w:r w:rsidRPr="00DA403A" w:rsidR="00BE50B7">
        <w:rPr>
          <w:rFonts w:ascii="Arial" w:hAnsi="Arial" w:eastAsia="Times New Roman" w:cs="Arial"/>
          <w:bCs/>
          <w:color w:val="000000" w:themeColor="text1"/>
          <w:sz w:val="22"/>
          <w:lang w:eastAsia="es-ES_tradnl"/>
        </w:rPr>
        <w:t xml:space="preserve">de </w:t>
      </w:r>
      <w:r w:rsidRPr="00DA403A">
        <w:rPr>
          <w:rFonts w:ascii="Arial" w:hAnsi="Arial" w:eastAsia="Times New Roman" w:cs="Arial"/>
          <w:bCs/>
          <w:color w:val="000000" w:themeColor="text1"/>
          <w:sz w:val="22"/>
          <w:lang w:eastAsia="es-ES_tradnl"/>
        </w:rPr>
        <w:t>Colo</w:t>
      </w:r>
      <w:r w:rsidRPr="00DA403A" w:rsidR="009B0FED">
        <w:rPr>
          <w:rFonts w:ascii="Arial" w:hAnsi="Arial" w:eastAsia="Times New Roman" w:cs="Arial"/>
          <w:bCs/>
          <w:color w:val="000000" w:themeColor="text1"/>
          <w:sz w:val="22"/>
          <w:lang w:eastAsia="es-ES_tradnl"/>
        </w:rPr>
        <w:t>mbia Compra Eficiente señala</w:t>
      </w:r>
      <w:r w:rsidRPr="00DA403A">
        <w:rPr>
          <w:rFonts w:ascii="Arial" w:hAnsi="Arial" w:eastAsia="Times New Roman" w:cs="Arial"/>
          <w:bCs/>
          <w:color w:val="000000" w:themeColor="text1"/>
          <w:sz w:val="22"/>
          <w:lang w:eastAsia="es-ES_tradnl"/>
        </w:rPr>
        <w:t xml:space="preserve"> que </w:t>
      </w:r>
      <w:r w:rsidRPr="00DA403A" w:rsidR="003F045D">
        <w:rPr>
          <w:rFonts w:ascii="Arial" w:hAnsi="Arial" w:eastAsia="Times New Roman" w:cs="Arial"/>
          <w:bCs/>
          <w:color w:val="000000" w:themeColor="text1"/>
          <w:sz w:val="22"/>
          <w:lang w:eastAsia="es-ES_tradnl"/>
        </w:rPr>
        <w:t>«</w:t>
      </w:r>
      <w:r w:rsidRPr="00DA403A">
        <w:rPr>
          <w:rFonts w:ascii="Arial" w:hAnsi="Arial" w:eastAsia="Times New Roman" w:cs="Arial"/>
          <w:bCs/>
          <w:color w:val="000000" w:themeColor="text1"/>
          <w:sz w:val="22"/>
          <w:lang w:eastAsia="es-ES_tradnl"/>
        </w:rPr>
        <w:t xml:space="preserve">esta </w:t>
      </w:r>
      <w:r w:rsidRPr="00DA403A" w:rsidR="003F045D">
        <w:rPr>
          <w:rFonts w:ascii="Arial" w:hAnsi="Arial" w:eastAsia="Times New Roman" w:cs="Arial"/>
          <w:bCs/>
          <w:color w:val="000000" w:themeColor="text1"/>
          <w:sz w:val="22"/>
          <w:lang w:eastAsia="es-ES_tradnl"/>
        </w:rPr>
        <w:t>prohibición cobija a todos los entes del Estado</w:t>
      </w:r>
      <w:r w:rsidRPr="00DA403A">
        <w:rPr>
          <w:rFonts w:ascii="Arial" w:hAnsi="Arial" w:eastAsia="Times New Roman" w:cs="Arial"/>
          <w:bCs/>
          <w:color w:val="000000" w:themeColor="text1"/>
          <w:sz w:val="22"/>
          <w:lang w:eastAsia="es-ES_tradnl"/>
        </w:rPr>
        <w:t xml:space="preserve"> </w:t>
      </w:r>
      <w:r w:rsidRPr="00DA403A" w:rsidR="003F045D">
        <w:rPr>
          <w:rFonts w:ascii="Arial" w:hAnsi="Arial" w:eastAsia="Times New Roman" w:cs="Arial"/>
          <w:bCs/>
          <w:color w:val="000000" w:themeColor="text1"/>
          <w:sz w:val="22"/>
          <w:lang w:eastAsia="es-ES_tradnl"/>
        </w:rPr>
        <w:t>sin importar su</w:t>
      </w:r>
      <w:r w:rsidRPr="00DA403A" w:rsidR="00BE50B7">
        <w:rPr>
          <w:rFonts w:ascii="Arial" w:hAnsi="Arial" w:eastAsia="Times New Roman" w:cs="Arial"/>
          <w:bCs/>
          <w:color w:val="000000" w:themeColor="text1"/>
          <w:sz w:val="22"/>
          <w:lang w:eastAsia="es-ES_tradnl"/>
        </w:rPr>
        <w:t xml:space="preserve"> régimen jurídico, forma de organización o naturaleza, pertenencia a una u otra rama de</w:t>
      </w:r>
      <w:r w:rsidRPr="00DA403A" w:rsidR="003F045D">
        <w:rPr>
          <w:rFonts w:ascii="Arial" w:hAnsi="Arial" w:eastAsia="Times New Roman" w:cs="Arial"/>
          <w:bCs/>
          <w:color w:val="000000" w:themeColor="text1"/>
          <w:sz w:val="22"/>
          <w:lang w:eastAsia="es-ES_tradnl"/>
        </w:rPr>
        <w:t>l poder público o su autonomía»</w:t>
      </w:r>
      <w:r w:rsidRPr="00DA403A" w:rsidR="009B0FED">
        <w:rPr>
          <w:rStyle w:val="Refdenotaalpie"/>
          <w:rFonts w:ascii="Arial" w:hAnsi="Arial" w:eastAsia="Times New Roman" w:cs="Arial"/>
          <w:bCs/>
          <w:color w:val="000000" w:themeColor="text1"/>
          <w:sz w:val="22"/>
          <w:lang w:eastAsia="es-ES_tradnl"/>
        </w:rPr>
        <w:footnoteReference w:id="15"/>
      </w:r>
      <w:r w:rsidRPr="00DA403A" w:rsidR="00B025DC">
        <w:rPr>
          <w:rFonts w:ascii="Arial" w:hAnsi="Arial" w:eastAsia="Times New Roman" w:cs="Arial"/>
          <w:bCs/>
          <w:color w:val="000000" w:themeColor="text1"/>
          <w:sz w:val="22"/>
          <w:lang w:eastAsia="es-ES_tradnl"/>
        </w:rPr>
        <w:t>.</w:t>
      </w:r>
    </w:p>
    <w:p w:rsidRPr="00DA403A" w:rsidR="00280A81" w:rsidP="006D6FD9" w:rsidRDefault="00D56766" w14:paraId="1F20880F" w14:textId="2D4773D6">
      <w:pPr>
        <w:spacing w:before="120" w:after="120" w:line="276" w:lineRule="auto"/>
        <w:ind w:firstLine="708"/>
        <w:jc w:val="both"/>
        <w:rPr>
          <w:rFonts w:ascii="Arial" w:hAnsi="Arial" w:eastAsia="Times New Roman" w:cs="Arial"/>
          <w:bCs/>
          <w:color w:val="000000" w:themeColor="text1"/>
          <w:sz w:val="22"/>
          <w:lang w:eastAsia="es-ES_tradnl"/>
        </w:rPr>
      </w:pPr>
      <w:r w:rsidRPr="00DA403A">
        <w:rPr>
          <w:rFonts w:ascii="Arial" w:hAnsi="Arial" w:eastAsia="Times New Roman" w:cs="Arial"/>
          <w:bCs/>
          <w:color w:val="000000" w:themeColor="text1"/>
          <w:sz w:val="22"/>
          <w:lang w:eastAsia="es-ES_tradnl"/>
        </w:rPr>
        <w:t xml:space="preserve">El </w:t>
      </w:r>
      <w:r w:rsidRPr="00DA403A" w:rsidR="003F045D">
        <w:rPr>
          <w:rFonts w:ascii="Arial" w:hAnsi="Arial" w:eastAsia="Times New Roman" w:cs="Arial"/>
          <w:bCs/>
          <w:color w:val="000000" w:themeColor="text1"/>
          <w:sz w:val="22"/>
          <w:lang w:eastAsia="es-ES_tradnl"/>
        </w:rPr>
        <w:t>objeto de</w:t>
      </w:r>
      <w:r w:rsidRPr="00DA403A">
        <w:rPr>
          <w:rFonts w:ascii="Arial" w:hAnsi="Arial" w:eastAsia="Times New Roman" w:cs="Arial"/>
          <w:bCs/>
          <w:color w:val="000000" w:themeColor="text1"/>
          <w:sz w:val="22"/>
          <w:lang w:eastAsia="es-ES_tradnl"/>
        </w:rPr>
        <w:t xml:space="preserve"> restricción es la modalidad de contratación directa, la cual</w:t>
      </w:r>
      <w:r w:rsidRPr="00DA403A" w:rsidR="007A3D14">
        <w:rPr>
          <w:rFonts w:ascii="Arial" w:hAnsi="Arial" w:eastAsia="Times New Roman" w:cs="Arial"/>
          <w:bCs/>
          <w:color w:val="000000" w:themeColor="text1"/>
          <w:sz w:val="22"/>
          <w:lang w:eastAsia="es-ES_tradnl"/>
        </w:rPr>
        <w:t>,</w:t>
      </w:r>
      <w:r w:rsidRPr="00DA403A">
        <w:rPr>
          <w:rFonts w:ascii="Arial" w:hAnsi="Arial" w:eastAsia="Times New Roman" w:cs="Arial"/>
          <w:bCs/>
          <w:color w:val="000000" w:themeColor="text1"/>
          <w:sz w:val="22"/>
          <w:lang w:eastAsia="es-ES_tradnl"/>
        </w:rPr>
        <w:t xml:space="preserve"> para el caso de las </w:t>
      </w:r>
      <w:r w:rsidRPr="00DA403A" w:rsidR="003F045D">
        <w:rPr>
          <w:rFonts w:ascii="Arial" w:hAnsi="Arial" w:eastAsia="Times New Roman" w:cs="Arial"/>
          <w:bCs/>
          <w:color w:val="000000" w:themeColor="text1"/>
          <w:sz w:val="22"/>
          <w:lang w:eastAsia="es-ES_tradnl"/>
        </w:rPr>
        <w:t>e</w:t>
      </w:r>
      <w:r w:rsidRPr="00DA403A">
        <w:rPr>
          <w:rFonts w:ascii="Arial" w:hAnsi="Arial" w:eastAsia="Times New Roman" w:cs="Arial"/>
          <w:bCs/>
          <w:color w:val="000000" w:themeColor="text1"/>
          <w:sz w:val="22"/>
          <w:lang w:eastAsia="es-ES_tradnl"/>
        </w:rPr>
        <w:t xml:space="preserve">ntidades estatales sometidas al </w:t>
      </w:r>
      <w:r w:rsidRPr="00DA403A" w:rsidR="003F045D">
        <w:rPr>
          <w:rFonts w:ascii="Arial" w:hAnsi="Arial" w:eastAsia="Times New Roman" w:cs="Arial"/>
          <w:bCs/>
          <w:color w:val="000000" w:themeColor="text1"/>
          <w:sz w:val="22"/>
          <w:lang w:eastAsia="es-ES_tradnl"/>
        </w:rPr>
        <w:t>Estatuto General de Contratación de la Administración Pública</w:t>
      </w:r>
      <w:r w:rsidRPr="00DA403A" w:rsidR="007A3D14">
        <w:rPr>
          <w:rFonts w:ascii="Arial" w:hAnsi="Arial" w:eastAsia="Times New Roman" w:cs="Arial"/>
          <w:bCs/>
          <w:color w:val="000000" w:themeColor="text1"/>
          <w:sz w:val="22"/>
          <w:lang w:eastAsia="es-ES_tradnl"/>
        </w:rPr>
        <w:t>,</w:t>
      </w:r>
      <w:r w:rsidRPr="00DA403A" w:rsidR="003F045D">
        <w:rPr>
          <w:rFonts w:ascii="Arial" w:hAnsi="Arial" w:eastAsia="Times New Roman" w:cs="Arial"/>
          <w:bCs/>
          <w:color w:val="000000" w:themeColor="text1"/>
          <w:sz w:val="22"/>
          <w:lang w:eastAsia="es-ES_tradnl"/>
        </w:rPr>
        <w:t xml:space="preserve"> </w:t>
      </w:r>
      <w:r w:rsidRPr="00DA403A">
        <w:rPr>
          <w:rFonts w:ascii="Arial" w:hAnsi="Arial" w:eastAsia="Times New Roman" w:cs="Arial"/>
          <w:bCs/>
          <w:color w:val="000000" w:themeColor="text1"/>
          <w:sz w:val="22"/>
          <w:lang w:eastAsia="es-ES_tradnl"/>
        </w:rPr>
        <w:t xml:space="preserve">se encuentra regulada en el numeral 4 del artículo 2 de la Ley 1150 </w:t>
      </w:r>
      <w:r w:rsidRPr="00DA403A" w:rsidR="00F72327">
        <w:rPr>
          <w:rFonts w:ascii="Arial" w:hAnsi="Arial" w:eastAsia="Times New Roman" w:cs="Arial"/>
          <w:bCs/>
          <w:color w:val="000000" w:themeColor="text1"/>
          <w:sz w:val="22"/>
          <w:lang w:eastAsia="es-ES_tradnl"/>
        </w:rPr>
        <w:t>d</w:t>
      </w:r>
      <w:r w:rsidRPr="00DA403A">
        <w:rPr>
          <w:rFonts w:ascii="Arial" w:hAnsi="Arial" w:eastAsia="Times New Roman" w:cs="Arial"/>
          <w:bCs/>
          <w:color w:val="000000" w:themeColor="text1"/>
          <w:sz w:val="22"/>
          <w:lang w:eastAsia="es-ES_tradnl"/>
        </w:rPr>
        <w:t xml:space="preserve">e </w:t>
      </w:r>
      <w:r w:rsidRPr="00DA403A" w:rsidR="0012089B">
        <w:rPr>
          <w:rFonts w:ascii="Arial" w:hAnsi="Arial" w:eastAsia="Times New Roman" w:cs="Arial"/>
          <w:bCs/>
          <w:color w:val="000000" w:themeColor="text1"/>
          <w:sz w:val="22"/>
          <w:lang w:eastAsia="es-ES_tradnl"/>
        </w:rPr>
        <w:t>2007</w:t>
      </w:r>
      <w:r w:rsidRPr="00DA403A" w:rsidR="007A3D14">
        <w:rPr>
          <w:rFonts w:ascii="Arial" w:hAnsi="Arial" w:eastAsia="Times New Roman" w:cs="Arial"/>
          <w:bCs/>
          <w:color w:val="000000" w:themeColor="text1"/>
          <w:sz w:val="22"/>
          <w:lang w:eastAsia="es-ES_tradnl"/>
        </w:rPr>
        <w:t>. Allí se</w:t>
      </w:r>
      <w:r w:rsidRPr="00DA403A" w:rsidR="0012089B">
        <w:rPr>
          <w:rFonts w:ascii="Arial" w:hAnsi="Arial" w:eastAsia="Times New Roman" w:cs="Arial"/>
          <w:bCs/>
          <w:color w:val="000000" w:themeColor="text1"/>
          <w:sz w:val="22"/>
          <w:lang w:eastAsia="es-ES_tradnl"/>
        </w:rPr>
        <w:t xml:space="preserve"> establecen actualmente once c</w:t>
      </w:r>
      <w:r w:rsidRPr="00DA403A" w:rsidR="003F045D">
        <w:rPr>
          <w:rFonts w:ascii="Arial" w:hAnsi="Arial" w:eastAsia="Times New Roman" w:cs="Arial"/>
          <w:bCs/>
          <w:color w:val="000000" w:themeColor="text1"/>
          <w:sz w:val="22"/>
          <w:lang w:eastAsia="es-ES_tradnl"/>
        </w:rPr>
        <w:t>ausales</w:t>
      </w:r>
      <w:r w:rsidRPr="00DA403A" w:rsidR="0012089B">
        <w:rPr>
          <w:rStyle w:val="Refdenotaalpie"/>
          <w:rFonts w:ascii="Arial" w:hAnsi="Arial" w:eastAsia="Times New Roman" w:cs="Arial"/>
          <w:bCs/>
          <w:color w:val="000000" w:themeColor="text1"/>
          <w:sz w:val="22"/>
          <w:lang w:eastAsia="es-ES_tradnl"/>
        </w:rPr>
        <w:footnoteReference w:id="16"/>
      </w:r>
      <w:r w:rsidRPr="00DA403A" w:rsidR="006D6FD9">
        <w:t>; m</w:t>
      </w:r>
      <w:r w:rsidRPr="00DA403A" w:rsidR="0012089B">
        <w:rPr>
          <w:rFonts w:ascii="Arial" w:hAnsi="Arial" w:eastAsia="Times New Roman" w:cs="Arial"/>
          <w:bCs/>
          <w:color w:val="000000" w:themeColor="text1"/>
          <w:sz w:val="22"/>
          <w:lang w:eastAsia="es-ES_tradnl"/>
        </w:rPr>
        <w:t xml:space="preserve">ientras </w:t>
      </w:r>
      <w:proofErr w:type="gramStart"/>
      <w:r w:rsidRPr="00DA403A" w:rsidR="0012089B">
        <w:rPr>
          <w:rFonts w:ascii="Arial" w:hAnsi="Arial" w:eastAsia="Times New Roman" w:cs="Arial"/>
          <w:bCs/>
          <w:color w:val="000000" w:themeColor="text1"/>
          <w:sz w:val="22"/>
          <w:lang w:eastAsia="es-ES_tradnl"/>
        </w:rPr>
        <w:t>que</w:t>
      </w:r>
      <w:proofErr w:type="gramEnd"/>
      <w:r w:rsidRPr="00DA403A" w:rsidR="0012089B">
        <w:rPr>
          <w:rFonts w:ascii="Arial" w:hAnsi="Arial" w:eastAsia="Times New Roman" w:cs="Arial"/>
          <w:bCs/>
          <w:color w:val="000000" w:themeColor="text1"/>
          <w:sz w:val="22"/>
          <w:lang w:eastAsia="es-ES_tradnl"/>
        </w:rPr>
        <w:t xml:space="preserve"> en el caso de</w:t>
      </w:r>
      <w:r w:rsidRPr="00DA403A">
        <w:rPr>
          <w:rFonts w:ascii="Arial" w:hAnsi="Arial" w:eastAsia="Times New Roman" w:cs="Arial"/>
          <w:bCs/>
          <w:color w:val="000000" w:themeColor="text1"/>
          <w:sz w:val="22"/>
          <w:lang w:eastAsia="es-ES_tradnl"/>
        </w:rPr>
        <w:t xml:space="preserve"> las entidades </w:t>
      </w:r>
      <w:r w:rsidRPr="00DA403A" w:rsidR="0012089B">
        <w:rPr>
          <w:rFonts w:ascii="Arial" w:hAnsi="Arial" w:eastAsia="Times New Roman" w:cs="Arial"/>
          <w:bCs/>
          <w:color w:val="000000" w:themeColor="text1"/>
          <w:sz w:val="22"/>
          <w:lang w:eastAsia="es-ES_tradnl"/>
        </w:rPr>
        <w:t xml:space="preserve">no sometidas a dicho estatuto, </w:t>
      </w:r>
      <w:r w:rsidRPr="00DA403A">
        <w:rPr>
          <w:rFonts w:ascii="Arial" w:hAnsi="Arial" w:eastAsia="Times New Roman" w:cs="Arial"/>
          <w:bCs/>
          <w:color w:val="000000" w:themeColor="text1"/>
          <w:sz w:val="22"/>
          <w:lang w:eastAsia="es-ES_tradnl"/>
        </w:rPr>
        <w:t xml:space="preserve">la </w:t>
      </w:r>
      <w:r w:rsidRPr="00DA403A" w:rsidR="003F045D">
        <w:rPr>
          <w:rFonts w:ascii="Arial" w:hAnsi="Arial" w:eastAsia="Times New Roman" w:cs="Arial"/>
          <w:bCs/>
          <w:color w:val="000000" w:themeColor="text1"/>
          <w:sz w:val="22"/>
          <w:lang w:eastAsia="es-ES_tradnl"/>
        </w:rPr>
        <w:t xml:space="preserve">contratación directa se encuentra regulada </w:t>
      </w:r>
      <w:r w:rsidRPr="00DA403A">
        <w:rPr>
          <w:rFonts w:ascii="Arial" w:hAnsi="Arial" w:eastAsia="Times New Roman" w:cs="Arial"/>
          <w:bCs/>
          <w:color w:val="000000" w:themeColor="text1"/>
          <w:sz w:val="22"/>
          <w:lang w:eastAsia="es-ES_tradnl"/>
        </w:rPr>
        <w:t xml:space="preserve">en el respectivo </w:t>
      </w:r>
      <w:r w:rsidRPr="00DA403A" w:rsidR="007A3D14">
        <w:rPr>
          <w:rFonts w:ascii="Arial" w:hAnsi="Arial" w:eastAsia="Times New Roman" w:cs="Arial"/>
          <w:bCs/>
          <w:color w:val="000000" w:themeColor="text1"/>
          <w:sz w:val="22"/>
          <w:lang w:eastAsia="es-ES_tradnl"/>
        </w:rPr>
        <w:t>M</w:t>
      </w:r>
      <w:r w:rsidRPr="00DA403A">
        <w:rPr>
          <w:rFonts w:ascii="Arial" w:hAnsi="Arial" w:eastAsia="Times New Roman" w:cs="Arial"/>
          <w:bCs/>
          <w:color w:val="000000" w:themeColor="text1"/>
          <w:sz w:val="22"/>
          <w:lang w:eastAsia="es-ES_tradnl"/>
        </w:rPr>
        <w:t xml:space="preserve">anual de </w:t>
      </w:r>
      <w:r w:rsidRPr="00DA403A" w:rsidR="007A3D14">
        <w:rPr>
          <w:rFonts w:ascii="Arial" w:hAnsi="Arial" w:eastAsia="Times New Roman" w:cs="Arial"/>
          <w:bCs/>
          <w:color w:val="000000" w:themeColor="text1"/>
          <w:sz w:val="22"/>
          <w:lang w:eastAsia="es-ES_tradnl"/>
        </w:rPr>
        <w:t>C</w:t>
      </w:r>
      <w:r w:rsidRPr="00DA403A">
        <w:rPr>
          <w:rFonts w:ascii="Arial" w:hAnsi="Arial" w:eastAsia="Times New Roman" w:cs="Arial"/>
          <w:bCs/>
          <w:color w:val="000000" w:themeColor="text1"/>
          <w:sz w:val="22"/>
          <w:lang w:eastAsia="es-ES_tradnl"/>
        </w:rPr>
        <w:t>ontratación.</w:t>
      </w:r>
      <w:r w:rsidRPr="00DA403A" w:rsidR="00B71D17">
        <w:rPr>
          <w:rFonts w:ascii="Arial" w:hAnsi="Arial" w:eastAsia="Times New Roman" w:cs="Arial"/>
          <w:bCs/>
          <w:color w:val="000000" w:themeColor="text1"/>
          <w:sz w:val="22"/>
          <w:lang w:eastAsia="es-ES_tradnl"/>
        </w:rPr>
        <w:t xml:space="preserve">  </w:t>
      </w:r>
    </w:p>
    <w:p w:rsidRPr="00DA403A" w:rsidR="00280A81" w:rsidP="006D6FD9" w:rsidRDefault="003F045D" w14:paraId="16E96824" w14:textId="182BE68E">
      <w:pPr>
        <w:spacing w:before="120" w:after="120" w:line="276" w:lineRule="auto"/>
        <w:ind w:firstLine="708"/>
        <w:jc w:val="both"/>
        <w:rPr>
          <w:rFonts w:ascii="Arial" w:hAnsi="Arial" w:cs="Arial"/>
          <w:sz w:val="22"/>
        </w:rPr>
      </w:pPr>
      <w:r w:rsidRPr="00DA403A">
        <w:rPr>
          <w:rFonts w:ascii="Arial" w:hAnsi="Arial" w:eastAsia="Times New Roman" w:cs="Arial"/>
          <w:bCs/>
          <w:color w:val="000000" w:themeColor="text1"/>
          <w:sz w:val="22"/>
          <w:lang w:eastAsia="es-ES_tradnl"/>
        </w:rPr>
        <w:t xml:space="preserve">Respecto </w:t>
      </w:r>
      <w:r w:rsidRPr="00DA403A" w:rsidR="008A06F9">
        <w:rPr>
          <w:rFonts w:ascii="Arial" w:hAnsi="Arial" w:eastAsia="Times New Roman" w:cs="Arial"/>
          <w:bCs/>
          <w:color w:val="000000" w:themeColor="text1"/>
          <w:sz w:val="22"/>
          <w:lang w:eastAsia="es-ES_tradnl"/>
        </w:rPr>
        <w:t>de</w:t>
      </w:r>
      <w:r w:rsidRPr="00DA403A">
        <w:rPr>
          <w:rFonts w:ascii="Arial" w:hAnsi="Arial" w:eastAsia="Times New Roman" w:cs="Arial"/>
          <w:bCs/>
          <w:color w:val="000000" w:themeColor="text1"/>
          <w:sz w:val="22"/>
          <w:lang w:eastAsia="es-ES_tradnl"/>
        </w:rPr>
        <w:t xml:space="preserve"> este </w:t>
      </w:r>
      <w:r w:rsidRPr="00DA403A" w:rsidR="00F27593">
        <w:rPr>
          <w:rFonts w:ascii="Arial" w:hAnsi="Arial" w:eastAsia="Times New Roman" w:cs="Arial"/>
          <w:bCs/>
          <w:color w:val="000000" w:themeColor="text1"/>
          <w:sz w:val="22"/>
          <w:lang w:eastAsia="es-ES_tradnl"/>
        </w:rPr>
        <w:t>aspecto</w:t>
      </w:r>
      <w:r w:rsidRPr="00DA403A">
        <w:rPr>
          <w:rFonts w:ascii="Arial" w:hAnsi="Arial" w:eastAsia="Times New Roman" w:cs="Arial"/>
          <w:bCs/>
          <w:color w:val="000000" w:themeColor="text1"/>
          <w:sz w:val="22"/>
          <w:lang w:eastAsia="es-ES_tradnl"/>
        </w:rPr>
        <w:t xml:space="preserve">, </w:t>
      </w:r>
      <w:r w:rsidRPr="00DA403A" w:rsidR="008A06F9">
        <w:rPr>
          <w:rFonts w:ascii="Arial" w:hAnsi="Arial" w:eastAsia="Times New Roman" w:cs="Arial"/>
          <w:bCs/>
          <w:color w:val="000000" w:themeColor="text1"/>
          <w:sz w:val="22"/>
          <w:lang w:eastAsia="es-ES_tradnl"/>
        </w:rPr>
        <w:t xml:space="preserve">hay que tener en </w:t>
      </w:r>
      <w:r w:rsidRPr="00DA403A">
        <w:rPr>
          <w:rFonts w:ascii="Arial" w:hAnsi="Arial" w:eastAsia="Times New Roman" w:cs="Arial"/>
          <w:bCs/>
          <w:color w:val="000000" w:themeColor="text1"/>
          <w:sz w:val="22"/>
          <w:lang w:eastAsia="es-ES_tradnl"/>
        </w:rPr>
        <w:t>cuenta que l</w:t>
      </w:r>
      <w:r w:rsidRPr="00DA403A" w:rsidR="0012089B">
        <w:rPr>
          <w:rFonts w:ascii="Arial" w:hAnsi="Arial" w:eastAsia="Times New Roman" w:cs="Arial"/>
          <w:bCs/>
          <w:color w:val="000000" w:themeColor="text1"/>
          <w:sz w:val="22"/>
          <w:lang w:eastAsia="es-ES_tradnl"/>
        </w:rPr>
        <w:t>as entidades de régimen especial adelantan sus procesos de contratación conforme a lo estableci</w:t>
      </w:r>
      <w:r w:rsidRPr="00DA403A" w:rsidR="00B71D17">
        <w:rPr>
          <w:rFonts w:ascii="Arial" w:hAnsi="Arial" w:eastAsia="Times New Roman" w:cs="Arial"/>
          <w:bCs/>
          <w:color w:val="000000" w:themeColor="text1"/>
          <w:sz w:val="22"/>
          <w:lang w:eastAsia="es-ES_tradnl"/>
        </w:rPr>
        <w:t>do en su manual</w:t>
      </w:r>
      <w:r w:rsidRPr="00DA403A" w:rsidR="00B71D17">
        <w:rPr>
          <w:rFonts w:ascii="Arial" w:hAnsi="Arial" w:cs="Arial"/>
          <w:sz w:val="22"/>
        </w:rPr>
        <w:t xml:space="preserve"> de contratación</w:t>
      </w:r>
      <w:r w:rsidRPr="00DA403A" w:rsidR="008A06F9">
        <w:rPr>
          <w:rFonts w:ascii="Arial" w:hAnsi="Arial" w:cs="Arial"/>
          <w:sz w:val="22"/>
        </w:rPr>
        <w:t>.</w:t>
      </w:r>
      <w:r w:rsidRPr="00DA403A" w:rsidR="00B71D17">
        <w:rPr>
          <w:rFonts w:ascii="Arial" w:hAnsi="Arial" w:cs="Arial"/>
          <w:sz w:val="22"/>
        </w:rPr>
        <w:t xml:space="preserve"> </w:t>
      </w:r>
      <w:r w:rsidRPr="00DA403A" w:rsidR="008A06F9">
        <w:rPr>
          <w:rFonts w:ascii="Arial" w:hAnsi="Arial" w:cs="Arial"/>
          <w:sz w:val="22"/>
        </w:rPr>
        <w:t>Este manual</w:t>
      </w:r>
      <w:r w:rsidRPr="00DA403A" w:rsidR="0012089B">
        <w:rPr>
          <w:rFonts w:ascii="Arial" w:hAnsi="Arial" w:cs="Arial"/>
          <w:sz w:val="22"/>
        </w:rPr>
        <w:t xml:space="preserve"> debe incluir una descripción detallada de los procedimientos para seleccionar a los contratistas, los plazos, los criterios de evaluación, criterios de desempate, contenido de las propuestas</w:t>
      </w:r>
      <w:r w:rsidRPr="00DA403A" w:rsidR="00872B8E">
        <w:rPr>
          <w:rFonts w:ascii="Arial" w:hAnsi="Arial" w:cs="Arial"/>
          <w:sz w:val="22"/>
        </w:rPr>
        <w:t xml:space="preserve"> y</w:t>
      </w:r>
      <w:r w:rsidRPr="00DA403A" w:rsidR="0012089B">
        <w:rPr>
          <w:rFonts w:ascii="Arial" w:hAnsi="Arial" w:cs="Arial"/>
          <w:sz w:val="22"/>
        </w:rPr>
        <w:t xml:space="preserve"> los procedimientos para la aplicación de las </w:t>
      </w:r>
      <w:r w:rsidRPr="00DA403A" w:rsidR="0012089B">
        <w:rPr>
          <w:rFonts w:ascii="Arial" w:hAnsi="Arial" w:cs="Arial"/>
          <w:sz w:val="22"/>
        </w:rPr>
        <w:lastRenderedPageBreak/>
        <w:t>restricciones de la Ley 996 de 2005</w:t>
      </w:r>
      <w:r w:rsidRPr="00DA403A" w:rsidR="00872B8E">
        <w:rPr>
          <w:rFonts w:ascii="Arial" w:hAnsi="Arial" w:cs="Arial"/>
          <w:sz w:val="22"/>
        </w:rPr>
        <w:t xml:space="preserve">. Igualmente, debe contemplar </w:t>
      </w:r>
      <w:r w:rsidRPr="00DA403A" w:rsidR="0012089B">
        <w:rPr>
          <w:rFonts w:ascii="Arial" w:hAnsi="Arial" w:cs="Arial"/>
          <w:sz w:val="22"/>
        </w:rPr>
        <w:t>los demás aspectos que garanticen el cumplimiento de los principios y objetivos del sistema de compras y contratación pública en todas las etapas del proceso de contratación, con base en su autonomía</w:t>
      </w:r>
      <w:r w:rsidRPr="00DA403A" w:rsidR="0012089B">
        <w:rPr>
          <w:rStyle w:val="Refdenotaalpie"/>
          <w:rFonts w:ascii="Arial" w:hAnsi="Arial" w:cs="Arial"/>
          <w:sz w:val="22"/>
        </w:rPr>
        <w:footnoteReference w:id="17"/>
      </w:r>
      <w:r w:rsidRPr="00DA403A" w:rsidR="00F27593">
        <w:rPr>
          <w:rFonts w:ascii="Arial" w:hAnsi="Arial" w:cs="Arial"/>
          <w:sz w:val="22"/>
        </w:rPr>
        <w:t>.</w:t>
      </w:r>
    </w:p>
    <w:p w:rsidRPr="00DA403A" w:rsidR="00E34A66" w:rsidP="006D6FD9" w:rsidRDefault="003F045D" w14:paraId="1BD82936" w14:textId="3F14B2C7">
      <w:pPr>
        <w:spacing w:before="120" w:after="120" w:line="276" w:lineRule="auto"/>
        <w:ind w:firstLine="708"/>
        <w:jc w:val="both"/>
        <w:rPr>
          <w:rFonts w:ascii="Arial" w:hAnsi="Arial" w:cs="Arial"/>
          <w:color w:val="000000" w:themeColor="text1"/>
          <w:sz w:val="21"/>
          <w:szCs w:val="21"/>
          <w:lang w:val="es-ES_tradnl"/>
        </w:rPr>
      </w:pPr>
      <w:r w:rsidRPr="00DA403A">
        <w:rPr>
          <w:rFonts w:ascii="Arial" w:hAnsi="Arial" w:eastAsia="Times New Roman" w:cs="Arial"/>
          <w:bCs/>
          <w:color w:val="000000" w:themeColor="text1"/>
          <w:sz w:val="22"/>
          <w:lang w:eastAsia="es-ES_tradnl"/>
        </w:rPr>
        <w:t>Ahora</w:t>
      </w:r>
      <w:r w:rsidRPr="00DA403A" w:rsidR="00B71D17">
        <w:rPr>
          <w:rFonts w:ascii="Arial" w:hAnsi="Arial" w:eastAsia="Times New Roman" w:cs="Arial"/>
          <w:bCs/>
          <w:color w:val="000000" w:themeColor="text1"/>
          <w:sz w:val="22"/>
          <w:lang w:eastAsia="es-ES_tradnl"/>
        </w:rPr>
        <w:t xml:space="preserve">, conviene </w:t>
      </w:r>
      <w:r w:rsidRPr="00DA403A" w:rsidR="00872B8E">
        <w:rPr>
          <w:rFonts w:ascii="Arial" w:hAnsi="Arial" w:eastAsia="Times New Roman" w:cs="Arial"/>
          <w:bCs/>
          <w:color w:val="000000" w:themeColor="text1"/>
          <w:sz w:val="22"/>
          <w:lang w:eastAsia="es-ES_tradnl"/>
        </w:rPr>
        <w:t>traer a colación</w:t>
      </w:r>
      <w:r w:rsidRPr="00DA403A" w:rsidR="00B71D17">
        <w:rPr>
          <w:rFonts w:ascii="Arial" w:hAnsi="Arial" w:eastAsia="Times New Roman" w:cs="Arial"/>
          <w:bCs/>
          <w:color w:val="000000" w:themeColor="text1"/>
          <w:sz w:val="22"/>
          <w:lang w:eastAsia="es-ES_tradnl"/>
        </w:rPr>
        <w:t xml:space="preserve"> dos importantes definiciones que el Consejo de Estado</w:t>
      </w:r>
      <w:r w:rsidRPr="00DA403A" w:rsidR="00B71D17">
        <w:rPr>
          <w:rStyle w:val="Refdenotaalpie"/>
          <w:rFonts w:ascii="Arial" w:hAnsi="Arial" w:cs="Arial"/>
          <w:color w:val="000000" w:themeColor="text1"/>
          <w:sz w:val="21"/>
          <w:szCs w:val="21"/>
          <w:lang w:val="es-ES_tradnl"/>
        </w:rPr>
        <w:footnoteReference w:id="18"/>
      </w:r>
      <w:r w:rsidRPr="00DA403A" w:rsidR="00B71D17">
        <w:rPr>
          <w:rFonts w:ascii="Arial" w:hAnsi="Arial" w:eastAsia="Times New Roman" w:cs="Arial"/>
          <w:bCs/>
          <w:color w:val="000000" w:themeColor="text1"/>
          <w:sz w:val="22"/>
          <w:lang w:eastAsia="es-ES_tradnl"/>
        </w:rPr>
        <w:t xml:space="preserve"> ha </w:t>
      </w:r>
      <w:r w:rsidRPr="00DA403A" w:rsidR="00872B8E">
        <w:rPr>
          <w:rFonts w:ascii="Arial" w:hAnsi="Arial" w:eastAsia="Times New Roman" w:cs="Arial"/>
          <w:bCs/>
          <w:color w:val="000000" w:themeColor="text1"/>
          <w:sz w:val="22"/>
          <w:lang w:eastAsia="es-ES_tradnl"/>
        </w:rPr>
        <w:t>otorgado</w:t>
      </w:r>
      <w:r w:rsidRPr="00DA403A" w:rsidR="00B71D17">
        <w:rPr>
          <w:rFonts w:ascii="Arial" w:hAnsi="Arial" w:eastAsia="Times New Roman" w:cs="Arial"/>
          <w:bCs/>
          <w:color w:val="000000" w:themeColor="text1"/>
          <w:sz w:val="22"/>
          <w:lang w:eastAsia="es-ES_tradnl"/>
        </w:rPr>
        <w:t xml:space="preserve"> a l</w:t>
      </w:r>
      <w:r w:rsidRPr="00DA403A" w:rsidR="00E34A66">
        <w:rPr>
          <w:rFonts w:ascii="Arial" w:hAnsi="Arial" w:eastAsia="Times New Roman" w:cs="Arial"/>
          <w:bCs/>
          <w:color w:val="000000" w:themeColor="text1"/>
          <w:sz w:val="22"/>
          <w:lang w:eastAsia="es-ES_tradnl"/>
        </w:rPr>
        <w:t>a mo</w:t>
      </w:r>
      <w:r w:rsidRPr="00DA403A">
        <w:rPr>
          <w:rFonts w:ascii="Arial" w:hAnsi="Arial" w:eastAsia="Times New Roman" w:cs="Arial"/>
          <w:bCs/>
          <w:color w:val="000000" w:themeColor="text1"/>
          <w:sz w:val="22"/>
          <w:lang w:eastAsia="es-ES_tradnl"/>
        </w:rPr>
        <w:t xml:space="preserve">dalidad de contratación directa al examinar la Ley 996 de 2005. Así, </w:t>
      </w:r>
      <w:r w:rsidRPr="00DA403A" w:rsidR="00872B8E">
        <w:rPr>
          <w:rFonts w:ascii="Arial" w:hAnsi="Arial" w:eastAsia="Times New Roman" w:cs="Arial"/>
          <w:bCs/>
          <w:color w:val="000000" w:themeColor="text1"/>
          <w:sz w:val="22"/>
          <w:lang w:eastAsia="es-ES_tradnl"/>
        </w:rPr>
        <w:t xml:space="preserve">esta modalidad </w:t>
      </w:r>
      <w:r w:rsidRPr="00DA403A">
        <w:rPr>
          <w:rFonts w:ascii="Arial" w:hAnsi="Arial" w:eastAsia="Times New Roman" w:cs="Arial"/>
          <w:bCs/>
          <w:color w:val="000000" w:themeColor="text1"/>
          <w:sz w:val="22"/>
          <w:lang w:eastAsia="es-ES_tradnl"/>
        </w:rPr>
        <w:t>ha sido definida</w:t>
      </w:r>
      <w:r w:rsidRPr="00DA403A" w:rsidR="00B71D17">
        <w:rPr>
          <w:rFonts w:ascii="Arial" w:hAnsi="Arial" w:eastAsia="Times New Roman" w:cs="Arial"/>
          <w:bCs/>
          <w:color w:val="000000" w:themeColor="text1"/>
          <w:sz w:val="22"/>
          <w:lang w:eastAsia="es-ES_tradnl"/>
        </w:rPr>
        <w:t xml:space="preserve"> </w:t>
      </w:r>
      <w:r w:rsidRPr="00DA403A">
        <w:rPr>
          <w:rFonts w:ascii="Arial" w:hAnsi="Arial" w:eastAsia="Times New Roman" w:cs="Arial"/>
          <w:bCs/>
          <w:color w:val="000000" w:themeColor="text1"/>
          <w:sz w:val="22"/>
          <w:lang w:eastAsia="es-ES_tradnl"/>
        </w:rPr>
        <w:t>como «</w:t>
      </w:r>
      <w:r w:rsidRPr="00DA403A" w:rsidR="00E34A66">
        <w:rPr>
          <w:rFonts w:ascii="Arial" w:hAnsi="Arial" w:cs="Arial"/>
          <w:color w:val="000000" w:themeColor="text1"/>
          <w:sz w:val="22"/>
          <w:lang w:val="es-ES_tradnl"/>
        </w:rPr>
        <w:t xml:space="preserve">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w:t>
      </w:r>
      <w:proofErr w:type="gramStart"/>
      <w:r w:rsidRPr="00DA403A" w:rsidR="00E34A66">
        <w:rPr>
          <w:rFonts w:ascii="Arial" w:hAnsi="Arial" w:cs="Arial"/>
          <w:color w:val="000000" w:themeColor="text1"/>
          <w:sz w:val="22"/>
          <w:lang w:val="es-ES_tradnl"/>
        </w:rPr>
        <w:t>en razón del</w:t>
      </w:r>
      <w:proofErr w:type="gramEnd"/>
      <w:r w:rsidRPr="00DA403A" w:rsidR="00E34A66">
        <w:rPr>
          <w:rFonts w:ascii="Arial" w:hAnsi="Arial" w:cs="Arial"/>
          <w:color w:val="000000" w:themeColor="text1"/>
          <w:sz w:val="22"/>
          <w:lang w:val="es-ES_tradnl"/>
        </w:rPr>
        <w:t xml:space="preserve">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p>
    <w:p w:rsidRPr="00DA403A" w:rsidR="00E34A66" w:rsidP="006D6FD9" w:rsidRDefault="00E34A66" w14:paraId="47CD95E4" w14:textId="55EAF0E8">
      <w:pPr>
        <w:spacing w:before="120" w:after="120" w:line="276" w:lineRule="auto"/>
        <w:ind w:firstLine="709"/>
        <w:jc w:val="both"/>
        <w:rPr>
          <w:rFonts w:ascii="Arial" w:hAnsi="Arial" w:eastAsia="Times New Roman" w:cs="Arial"/>
          <w:bCs/>
          <w:color w:val="000000"/>
          <w:sz w:val="22"/>
          <w:lang w:eastAsia="es-CO"/>
        </w:rPr>
      </w:pPr>
      <w:r w:rsidRPr="00DA403A">
        <w:rPr>
          <w:rFonts w:ascii="Arial" w:hAnsi="Arial" w:eastAsia="Times New Roman" w:cs="Arial"/>
          <w:bCs/>
          <w:color w:val="000000"/>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w:t>
      </w:r>
      <w:r w:rsidRPr="00DA403A" w:rsidR="00B71D17">
        <w:rPr>
          <w:rFonts w:ascii="Arial" w:hAnsi="Arial" w:eastAsia="Times New Roman" w:cs="Arial"/>
          <w:bCs/>
          <w:color w:val="000000"/>
          <w:sz w:val="22"/>
          <w:lang w:eastAsia="es-CO"/>
        </w:rPr>
        <w:t>s al Estatuto G</w:t>
      </w:r>
      <w:r w:rsidRPr="00DA403A">
        <w:rPr>
          <w:rFonts w:ascii="Arial" w:hAnsi="Arial" w:eastAsia="Times New Roman" w:cs="Arial"/>
          <w:bCs/>
          <w:color w:val="000000"/>
          <w:sz w:val="22"/>
          <w:lang w:eastAsia="es-CO"/>
        </w:rPr>
        <w:t xml:space="preserve">eneral de Contratación de la Administración Pública, sino también frente a las entidades que tengan un régimen especial de </w:t>
      </w:r>
      <w:r w:rsidRPr="00DA403A" w:rsidR="001B329B">
        <w:rPr>
          <w:rFonts w:ascii="Arial" w:hAnsi="Arial" w:eastAsia="Times New Roman" w:cs="Arial"/>
          <w:bCs/>
          <w:color w:val="000000"/>
          <w:sz w:val="22"/>
          <w:lang w:eastAsia="es-CO"/>
        </w:rPr>
        <w:t>contratación</w:t>
      </w:r>
      <w:r w:rsidRPr="00DA403A">
        <w:rPr>
          <w:rFonts w:ascii="Arial" w:hAnsi="Arial" w:eastAsia="Times New Roman" w:cs="Arial"/>
          <w:bCs/>
          <w:color w:val="000000"/>
          <w:sz w:val="22"/>
          <w:lang w:eastAsia="es-CO"/>
        </w:rPr>
        <w:t>. No obstante, cabe aclarar que el pronunciamiento anterior se profirió antes de expedirse la Ley 1150 de 2007, de manera que con la expedición de esta ley, la Corporación comenzó a delimitar con mayor precisión el término de «contratación directa», por el cual entendió, para efectos de la prohibición o restricción temporal contenida en la Ley de Garantías Electorales, a «[…] cualquier sistema de selección o procedimiento de contratación utilizado por las entidades estatales que no incluya la convocatoria pública, en alguna de sus etapas, ni permita la participación de una pluralidad de oferentes»</w:t>
      </w:r>
      <w:r w:rsidRPr="001D21C7">
        <w:rPr>
          <w:rFonts w:ascii="Arial" w:hAnsi="Arial" w:eastAsia="Times New Roman" w:cs="Arial"/>
          <w:bCs/>
          <w:color w:val="000000"/>
          <w:sz w:val="22"/>
          <w:vertAlign w:val="superscript"/>
          <w:lang w:eastAsia="es-CO"/>
        </w:rPr>
        <w:footnoteReference w:id="19"/>
      </w:r>
      <w:r w:rsidRPr="00DA403A">
        <w:rPr>
          <w:rFonts w:ascii="Arial" w:hAnsi="Arial" w:eastAsia="Times New Roman" w:cs="Arial"/>
          <w:bCs/>
          <w:color w:val="000000"/>
          <w:sz w:val="22"/>
          <w:lang w:eastAsia="es-CO"/>
        </w:rPr>
        <w:t>. De lo anterior se desp</w:t>
      </w:r>
      <w:r w:rsidRPr="00DA403A" w:rsidR="00C538AC">
        <w:rPr>
          <w:rFonts w:ascii="Arial" w:hAnsi="Arial" w:eastAsia="Times New Roman" w:cs="Arial"/>
          <w:bCs/>
          <w:color w:val="000000"/>
          <w:sz w:val="22"/>
          <w:lang w:eastAsia="es-CO"/>
        </w:rPr>
        <w:t>r</w:t>
      </w:r>
      <w:r w:rsidRPr="00DA403A">
        <w:rPr>
          <w:rFonts w:ascii="Arial" w:hAnsi="Arial" w:eastAsia="Times New Roman" w:cs="Arial"/>
          <w:bCs/>
          <w:color w:val="000000"/>
          <w:sz w:val="22"/>
          <w:lang w:eastAsia="es-CO"/>
        </w:rPr>
        <w:t>ende que la restricción aplica</w:t>
      </w:r>
      <w:r w:rsidRPr="00DA403A" w:rsidR="00872B8E">
        <w:rPr>
          <w:rFonts w:ascii="Arial" w:hAnsi="Arial" w:eastAsia="Times New Roman" w:cs="Arial"/>
          <w:bCs/>
          <w:color w:val="000000"/>
          <w:sz w:val="22"/>
          <w:lang w:eastAsia="es-CO"/>
        </w:rPr>
        <w:t>, sin perjuicio de las excepciones establecidas en la misma ley,</w:t>
      </w:r>
      <w:r w:rsidRPr="00DA403A">
        <w:rPr>
          <w:rFonts w:ascii="Arial" w:hAnsi="Arial" w:eastAsia="Times New Roman" w:cs="Arial"/>
          <w:bCs/>
          <w:color w:val="000000"/>
          <w:sz w:val="22"/>
          <w:lang w:eastAsia="es-CO"/>
        </w:rPr>
        <w:t xml:space="preserve"> para celebrar cualquier contrato de forma directa, esto es, sin qu</w:t>
      </w:r>
      <w:r w:rsidRPr="00DA403A" w:rsidR="00B411C7">
        <w:rPr>
          <w:rFonts w:ascii="Arial" w:hAnsi="Arial" w:eastAsia="Times New Roman" w:cs="Arial"/>
          <w:bCs/>
          <w:color w:val="000000"/>
          <w:sz w:val="22"/>
          <w:lang w:eastAsia="es-CO"/>
        </w:rPr>
        <w:t>e exista un proceso competitivo.</w:t>
      </w:r>
    </w:p>
    <w:p w:rsidRPr="00DA403A" w:rsidR="00720D29" w:rsidP="006D6FD9" w:rsidRDefault="001B329B" w14:paraId="0C4B159A" w14:textId="673890ED">
      <w:pPr>
        <w:spacing w:before="120" w:after="120" w:line="276" w:lineRule="auto"/>
        <w:ind w:firstLine="708"/>
        <w:jc w:val="both"/>
        <w:rPr>
          <w:rFonts w:ascii="Arial" w:hAnsi="Arial" w:eastAsia="Times New Roman" w:cs="Arial"/>
          <w:bCs/>
          <w:color w:val="000000" w:themeColor="text1"/>
          <w:sz w:val="22"/>
          <w:lang w:eastAsia="es-ES_tradnl"/>
        </w:rPr>
      </w:pPr>
      <w:r w:rsidRPr="00DA403A">
        <w:rPr>
          <w:rFonts w:ascii="Arial" w:hAnsi="Arial" w:eastAsia="Times New Roman" w:cs="Arial"/>
          <w:bCs/>
          <w:color w:val="000000" w:themeColor="text1"/>
          <w:sz w:val="22"/>
          <w:lang w:eastAsia="es-ES_tradnl"/>
        </w:rPr>
        <w:t>Así las cosas, las entidades estatales sometidas al Estatuto General de Contratación de la Administración Pública</w:t>
      </w:r>
      <w:r w:rsidRPr="00DA403A" w:rsidR="006E7542">
        <w:rPr>
          <w:rStyle w:val="Refdenotaalpie"/>
          <w:rFonts w:ascii="Arial" w:hAnsi="Arial" w:eastAsia="Times New Roman" w:cs="Arial"/>
          <w:bCs/>
          <w:color w:val="000000" w:themeColor="text1"/>
          <w:sz w:val="22"/>
          <w:lang w:eastAsia="es-ES_tradnl"/>
        </w:rPr>
        <w:footnoteReference w:id="20"/>
      </w:r>
      <w:r w:rsidRPr="00DA403A" w:rsidR="00265270">
        <w:rPr>
          <w:rFonts w:ascii="Arial" w:hAnsi="Arial" w:eastAsia="Times New Roman" w:cs="Arial"/>
          <w:bCs/>
          <w:color w:val="000000" w:themeColor="text1"/>
          <w:sz w:val="22"/>
          <w:lang w:eastAsia="es-ES_tradnl"/>
        </w:rPr>
        <w:t>,</w:t>
      </w:r>
      <w:r w:rsidRPr="00DA403A">
        <w:rPr>
          <w:rFonts w:ascii="Arial" w:hAnsi="Arial" w:eastAsia="Times New Roman" w:cs="Arial"/>
          <w:bCs/>
          <w:color w:val="000000" w:themeColor="text1"/>
          <w:sz w:val="22"/>
          <w:lang w:eastAsia="es-ES_tradnl"/>
        </w:rPr>
        <w:t xml:space="preserve"> no podrán hacer uso de la modalidad de contratación directa </w:t>
      </w:r>
      <w:r w:rsidRPr="00DA403A" w:rsidR="0054577D">
        <w:rPr>
          <w:rFonts w:ascii="Arial" w:hAnsi="Arial" w:eastAsia="Times New Roman" w:cs="Arial"/>
          <w:bCs/>
          <w:color w:val="000000" w:themeColor="text1"/>
          <w:sz w:val="22"/>
          <w:lang w:eastAsia="es-ES_tradnl"/>
        </w:rPr>
        <w:lastRenderedPageBreak/>
        <w:t>regulada en el numeral 4 del artículo 2 de la Ley 1150</w:t>
      </w:r>
      <w:r w:rsidRPr="00DA403A">
        <w:rPr>
          <w:rFonts w:ascii="Arial" w:hAnsi="Arial" w:eastAsia="Times New Roman" w:cs="Arial"/>
          <w:bCs/>
          <w:color w:val="000000" w:themeColor="text1"/>
          <w:sz w:val="22"/>
          <w:lang w:eastAsia="es-ES_tradnl"/>
        </w:rPr>
        <w:t xml:space="preserve"> </w:t>
      </w:r>
      <w:r w:rsidRPr="00DA403A" w:rsidR="003C0237">
        <w:rPr>
          <w:rFonts w:ascii="Arial" w:hAnsi="Arial" w:eastAsia="Times New Roman" w:cs="Arial"/>
          <w:bCs/>
          <w:color w:val="000000" w:themeColor="text1"/>
          <w:sz w:val="22"/>
          <w:lang w:eastAsia="es-ES_tradnl"/>
        </w:rPr>
        <w:t xml:space="preserve">de 2007 </w:t>
      </w:r>
      <w:r w:rsidRPr="00DA403A" w:rsidR="00B506DA">
        <w:rPr>
          <w:rFonts w:ascii="Arial" w:hAnsi="Arial" w:eastAsia="Times New Roman" w:cs="Arial"/>
          <w:bCs/>
          <w:color w:val="000000" w:themeColor="text1"/>
          <w:sz w:val="22"/>
          <w:lang w:eastAsia="es-ES_tradnl"/>
        </w:rPr>
        <w:t xml:space="preserve">durante el </w:t>
      </w:r>
      <w:r w:rsidRPr="00DA403A" w:rsidR="00720D29">
        <w:rPr>
          <w:rFonts w:ascii="Arial" w:hAnsi="Arial" w:eastAsia="Times New Roman" w:cs="Arial"/>
          <w:bCs/>
          <w:color w:val="000000" w:themeColor="text1"/>
          <w:sz w:val="22"/>
          <w:lang w:eastAsia="es-ES_tradnl"/>
        </w:rPr>
        <w:t>per</w:t>
      </w:r>
      <w:r w:rsidRPr="00DA403A" w:rsidR="00265270">
        <w:rPr>
          <w:rFonts w:ascii="Arial" w:hAnsi="Arial" w:eastAsia="Times New Roman" w:cs="Arial"/>
          <w:bCs/>
          <w:color w:val="000000" w:themeColor="text1"/>
          <w:sz w:val="22"/>
          <w:lang w:eastAsia="es-ES_tradnl"/>
        </w:rPr>
        <w:t>í</w:t>
      </w:r>
      <w:r w:rsidRPr="00DA403A" w:rsidR="00720D29">
        <w:rPr>
          <w:rFonts w:ascii="Arial" w:hAnsi="Arial" w:eastAsia="Times New Roman" w:cs="Arial"/>
          <w:bCs/>
          <w:color w:val="000000" w:themeColor="text1"/>
          <w:sz w:val="22"/>
          <w:lang w:eastAsia="es-ES_tradnl"/>
        </w:rPr>
        <w:t>odo mencionado previamente. De igual manera, los entes estatales con un régimen de contratación especial</w:t>
      </w:r>
      <w:r w:rsidRPr="00DA403A" w:rsidR="00720D29">
        <w:rPr>
          <w:rStyle w:val="Refdenotaalpie"/>
          <w:rFonts w:ascii="Arial" w:hAnsi="Arial" w:eastAsia="Times New Roman" w:cs="Arial"/>
          <w:bCs/>
          <w:color w:val="000000" w:themeColor="text1"/>
          <w:sz w:val="22"/>
          <w:lang w:eastAsia="es-ES_tradnl"/>
        </w:rPr>
        <w:footnoteReference w:id="21"/>
      </w:r>
      <w:r w:rsidRPr="00DA403A" w:rsidR="00720D29">
        <w:rPr>
          <w:rFonts w:ascii="Arial" w:hAnsi="Arial" w:eastAsia="Times New Roman" w:cs="Arial"/>
          <w:bCs/>
          <w:color w:val="000000" w:themeColor="text1"/>
          <w:sz w:val="22"/>
          <w:lang w:eastAsia="es-ES_tradnl"/>
        </w:rPr>
        <w:t xml:space="preserve"> no podrán hacer uso de la modalidad de contratación directa regulada en sus manuales de contratación</w:t>
      </w:r>
      <w:r w:rsidRPr="00DA403A" w:rsidR="001B367C">
        <w:rPr>
          <w:rFonts w:ascii="Arial" w:hAnsi="Arial" w:eastAsia="Times New Roman" w:cs="Arial"/>
          <w:bCs/>
          <w:color w:val="000000" w:themeColor="text1"/>
          <w:sz w:val="22"/>
          <w:lang w:eastAsia="es-ES_tradnl"/>
        </w:rPr>
        <w:t xml:space="preserve"> y, en general, </w:t>
      </w:r>
      <w:r w:rsidRPr="00DA403A" w:rsidR="001B367C">
        <w:rPr>
          <w:rFonts w:ascii="Arial" w:hAnsi="Arial" w:eastAsia="Times New Roman" w:cs="Arial"/>
          <w:bCs/>
          <w:color w:val="000000"/>
          <w:sz w:val="22"/>
          <w:lang w:eastAsia="es-CO"/>
        </w:rPr>
        <w:t>«[…] cualquier sistema de selección o procedimiento de contratación utilizado por las entidades estatales que no incluya la convocatoria pública, en alguna de sus etapas, ni permita la participación de una pluralidad de oferentes».</w:t>
      </w:r>
      <w:r w:rsidRPr="00DA403A" w:rsidR="008E1969">
        <w:rPr>
          <w:rFonts w:ascii="Arial" w:hAnsi="Arial" w:eastAsia="Times New Roman" w:cs="Arial"/>
          <w:bCs/>
          <w:color w:val="000000" w:themeColor="text1"/>
          <w:sz w:val="22"/>
          <w:lang w:eastAsia="es-ES_tradnl"/>
        </w:rPr>
        <w:t xml:space="preserve">               </w:t>
      </w:r>
    </w:p>
    <w:p w:rsidRPr="00DA403A" w:rsidR="0054577D" w:rsidP="006D6FD9" w:rsidRDefault="0002170C" w14:paraId="5096E229" w14:textId="6C3A68F4">
      <w:pPr>
        <w:spacing w:before="120" w:after="120" w:line="276" w:lineRule="auto"/>
        <w:ind w:firstLine="708"/>
        <w:jc w:val="both"/>
        <w:rPr>
          <w:rFonts w:ascii="Arial" w:hAnsi="Arial" w:eastAsia="Times New Roman" w:cs="Arial"/>
          <w:bCs/>
          <w:color w:val="000000" w:themeColor="text1"/>
          <w:sz w:val="22"/>
          <w:lang w:eastAsia="es-ES_tradnl"/>
        </w:rPr>
      </w:pPr>
      <w:r w:rsidRPr="00DA403A">
        <w:rPr>
          <w:rFonts w:ascii="Arial" w:hAnsi="Arial" w:eastAsia="Times New Roman" w:cs="Arial"/>
          <w:bCs/>
          <w:color w:val="000000" w:themeColor="text1"/>
          <w:sz w:val="22"/>
          <w:lang w:eastAsia="es-ES_tradnl"/>
        </w:rPr>
        <w:t>Por tal razón, tendrán que acudir a procesos competitivos, siempre que sea posible, mientras</w:t>
      </w:r>
      <w:r w:rsidRPr="00DA403A" w:rsidR="00720D29">
        <w:rPr>
          <w:rFonts w:ascii="Arial" w:hAnsi="Arial" w:eastAsia="Times New Roman" w:cs="Arial"/>
          <w:bCs/>
          <w:color w:val="000000" w:themeColor="text1"/>
          <w:sz w:val="22"/>
          <w:lang w:eastAsia="es-ES_tradnl"/>
        </w:rPr>
        <w:t xml:space="preserve"> dure la restricción legal antes mencionada, o </w:t>
      </w:r>
      <w:r w:rsidRPr="00DA403A">
        <w:rPr>
          <w:rFonts w:ascii="Arial" w:hAnsi="Arial" w:eastAsia="Times New Roman" w:cs="Arial"/>
          <w:bCs/>
          <w:color w:val="000000" w:themeColor="text1"/>
          <w:sz w:val="22"/>
          <w:lang w:eastAsia="es-ES_tradnl"/>
        </w:rPr>
        <w:t xml:space="preserve">en su defecto, </w:t>
      </w:r>
      <w:r w:rsidRPr="00DA403A" w:rsidR="00720D29">
        <w:rPr>
          <w:rFonts w:ascii="Arial" w:hAnsi="Arial" w:eastAsia="Times New Roman" w:cs="Arial"/>
          <w:bCs/>
          <w:color w:val="000000" w:themeColor="text1"/>
          <w:sz w:val="22"/>
          <w:lang w:eastAsia="es-ES_tradnl"/>
        </w:rPr>
        <w:t>esperar a que finalice el per</w:t>
      </w:r>
      <w:r w:rsidRPr="00DA403A" w:rsidR="00265270">
        <w:rPr>
          <w:rFonts w:ascii="Arial" w:hAnsi="Arial" w:eastAsia="Times New Roman" w:cs="Arial"/>
          <w:bCs/>
          <w:color w:val="000000" w:themeColor="text1"/>
          <w:sz w:val="22"/>
          <w:lang w:eastAsia="es-ES_tradnl"/>
        </w:rPr>
        <w:t>í</w:t>
      </w:r>
      <w:r w:rsidRPr="00DA403A" w:rsidR="00720D29">
        <w:rPr>
          <w:rFonts w:ascii="Arial" w:hAnsi="Arial" w:eastAsia="Times New Roman" w:cs="Arial"/>
          <w:bCs/>
          <w:color w:val="000000" w:themeColor="text1"/>
          <w:sz w:val="22"/>
          <w:lang w:eastAsia="es-ES_tradnl"/>
        </w:rPr>
        <w:t xml:space="preserve">odo de restricción del artículo 33 de la Ley 996 </w:t>
      </w:r>
      <w:r w:rsidRPr="00DA403A">
        <w:rPr>
          <w:rFonts w:ascii="Arial" w:hAnsi="Arial" w:eastAsia="Times New Roman" w:cs="Arial"/>
          <w:bCs/>
          <w:color w:val="000000" w:themeColor="text1"/>
          <w:sz w:val="22"/>
          <w:lang w:eastAsia="es-ES_tradnl"/>
        </w:rPr>
        <w:t>de 2005</w:t>
      </w:r>
      <w:r w:rsidRPr="00DA403A" w:rsidR="00265270">
        <w:rPr>
          <w:rFonts w:ascii="Arial" w:hAnsi="Arial" w:eastAsia="Times New Roman" w:cs="Arial"/>
          <w:bCs/>
          <w:color w:val="000000" w:themeColor="text1"/>
          <w:sz w:val="22"/>
          <w:lang w:eastAsia="es-ES_tradnl"/>
        </w:rPr>
        <w:t>.</w:t>
      </w:r>
      <w:r w:rsidRPr="00DA403A">
        <w:rPr>
          <w:rFonts w:ascii="Arial" w:hAnsi="Arial" w:eastAsia="Times New Roman" w:cs="Arial"/>
          <w:bCs/>
          <w:color w:val="000000" w:themeColor="text1"/>
          <w:sz w:val="22"/>
          <w:lang w:eastAsia="es-ES_tradnl"/>
        </w:rPr>
        <w:t xml:space="preserve"> </w:t>
      </w:r>
      <w:r w:rsidRPr="00DA403A" w:rsidR="00265270">
        <w:rPr>
          <w:rFonts w:ascii="Arial" w:hAnsi="Arial" w:eastAsia="Times New Roman" w:cs="Arial"/>
          <w:bCs/>
          <w:color w:val="000000" w:themeColor="text1"/>
          <w:sz w:val="22"/>
          <w:lang w:eastAsia="es-ES_tradnl"/>
        </w:rPr>
        <w:t>E</w:t>
      </w:r>
      <w:r w:rsidRPr="00DA403A">
        <w:rPr>
          <w:rFonts w:ascii="Arial" w:hAnsi="Arial" w:eastAsia="Times New Roman" w:cs="Arial"/>
          <w:bCs/>
          <w:color w:val="000000" w:themeColor="text1"/>
          <w:sz w:val="22"/>
          <w:lang w:eastAsia="es-ES_tradnl"/>
        </w:rPr>
        <w:t xml:space="preserve">s decir, </w:t>
      </w:r>
      <w:r w:rsidRPr="00DA403A" w:rsidR="00B506DA">
        <w:rPr>
          <w:rFonts w:ascii="Arial" w:hAnsi="Arial" w:eastAsia="Times New Roman" w:cs="Arial"/>
          <w:bCs/>
          <w:color w:val="000000" w:themeColor="text1"/>
          <w:sz w:val="22"/>
          <w:lang w:eastAsia="es-ES_tradnl"/>
        </w:rPr>
        <w:t>esp</w:t>
      </w:r>
      <w:r w:rsidRPr="00DA403A" w:rsidR="0054577D">
        <w:rPr>
          <w:rFonts w:ascii="Arial" w:hAnsi="Arial" w:eastAsia="Times New Roman" w:cs="Arial"/>
          <w:bCs/>
          <w:color w:val="000000" w:themeColor="text1"/>
          <w:sz w:val="22"/>
          <w:lang w:eastAsia="es-ES_tradnl"/>
        </w:rPr>
        <w:t>erar hasta</w:t>
      </w:r>
      <w:r w:rsidRPr="00DA403A" w:rsidR="00B506DA">
        <w:rPr>
          <w:rFonts w:ascii="Arial" w:hAnsi="Arial" w:eastAsia="Times New Roman" w:cs="Arial"/>
          <w:bCs/>
          <w:color w:val="000000" w:themeColor="text1"/>
          <w:sz w:val="22"/>
          <w:lang w:eastAsia="es-ES_tradnl"/>
        </w:rPr>
        <w:t xml:space="preserve"> que </w:t>
      </w:r>
      <w:r w:rsidRPr="00DA403A" w:rsidR="00280A81">
        <w:rPr>
          <w:rFonts w:ascii="Arial" w:hAnsi="Arial" w:eastAsia="Times New Roman" w:cs="Arial"/>
          <w:bCs/>
          <w:color w:val="000000" w:themeColor="text1"/>
          <w:sz w:val="22"/>
          <w:lang w:eastAsia="es-ES_tradnl"/>
        </w:rPr>
        <w:t>haya sido</w:t>
      </w:r>
      <w:r w:rsidRPr="00DA403A" w:rsidR="0054577D">
        <w:rPr>
          <w:rFonts w:ascii="Arial" w:hAnsi="Arial" w:eastAsia="Times New Roman" w:cs="Arial"/>
          <w:bCs/>
          <w:color w:val="000000" w:themeColor="text1"/>
          <w:sz w:val="22"/>
          <w:lang w:eastAsia="es-ES_tradnl"/>
        </w:rPr>
        <w:t xml:space="preserve"> elegido el Presidente de la Repúbli</w:t>
      </w:r>
      <w:r w:rsidRPr="00DA403A" w:rsidR="00280A81">
        <w:rPr>
          <w:rFonts w:ascii="Arial" w:hAnsi="Arial" w:eastAsia="Times New Roman" w:cs="Arial"/>
          <w:bCs/>
          <w:color w:val="000000" w:themeColor="text1"/>
          <w:sz w:val="22"/>
          <w:lang w:eastAsia="es-ES_tradnl"/>
        </w:rPr>
        <w:t>ca para adelantar la contratación que corresponde a</w:t>
      </w:r>
      <w:r w:rsidRPr="00DA403A" w:rsidR="0054577D">
        <w:rPr>
          <w:rFonts w:ascii="Arial" w:hAnsi="Arial" w:eastAsia="Times New Roman" w:cs="Arial"/>
          <w:bCs/>
          <w:color w:val="000000" w:themeColor="text1"/>
          <w:sz w:val="22"/>
          <w:lang w:eastAsia="es-ES_tradnl"/>
        </w:rPr>
        <w:t xml:space="preserve"> la modalidad de contratación directa.</w:t>
      </w:r>
      <w:r w:rsidRPr="00DA403A" w:rsidR="002E09BE">
        <w:rPr>
          <w:rFonts w:ascii="Arial" w:hAnsi="Arial" w:eastAsia="Times New Roman" w:cs="Arial"/>
          <w:bCs/>
          <w:color w:val="000000" w:themeColor="text1"/>
          <w:sz w:val="22"/>
          <w:lang w:eastAsia="es-ES_tradnl"/>
        </w:rPr>
        <w:t xml:space="preserve"> Lo anterior, sin perjuicio de que en un adecuado ejercicio de planeación estos contratos se suscriban antes de que comience a regir el ámbito temporal de las prohibiciones</w:t>
      </w:r>
      <w:r w:rsidRPr="00DA403A" w:rsidR="000D62E8">
        <w:rPr>
          <w:rFonts w:ascii="Arial" w:hAnsi="Arial" w:eastAsia="Times New Roman" w:cs="Arial"/>
          <w:bCs/>
          <w:color w:val="000000" w:themeColor="text1"/>
          <w:sz w:val="22"/>
          <w:lang w:eastAsia="es-ES_tradnl"/>
        </w:rPr>
        <w:t xml:space="preserve">, pues vale la pena señalar </w:t>
      </w:r>
      <w:proofErr w:type="gramStart"/>
      <w:r w:rsidRPr="00DA403A" w:rsidR="000D62E8">
        <w:rPr>
          <w:rFonts w:ascii="Arial" w:hAnsi="Arial" w:eastAsia="Times New Roman" w:cs="Arial"/>
          <w:bCs/>
          <w:color w:val="000000" w:themeColor="text1"/>
          <w:sz w:val="22"/>
          <w:lang w:eastAsia="es-ES_tradnl"/>
        </w:rPr>
        <w:t>que</w:t>
      </w:r>
      <w:proofErr w:type="gramEnd"/>
      <w:r w:rsidRPr="00DA403A" w:rsidR="000D62E8">
        <w:rPr>
          <w:rFonts w:ascii="Arial" w:hAnsi="Arial" w:eastAsia="Times New Roman" w:cs="Arial"/>
          <w:bCs/>
          <w:color w:val="000000" w:themeColor="text1"/>
          <w:sz w:val="22"/>
          <w:lang w:eastAsia="es-ES_tradnl"/>
        </w:rPr>
        <w:t xml:space="preserve"> si bien la </w:t>
      </w:r>
      <w:r w:rsidRPr="00DA403A" w:rsidR="00B9613E">
        <w:rPr>
          <w:rFonts w:ascii="Arial" w:hAnsi="Arial" w:eastAsia="Times New Roman" w:cs="Arial"/>
          <w:bCs/>
          <w:color w:val="000000" w:themeColor="text1"/>
          <w:sz w:val="22"/>
          <w:lang w:eastAsia="es-ES_tradnl"/>
        </w:rPr>
        <w:t>restricción</w:t>
      </w:r>
      <w:r w:rsidRPr="00DA403A" w:rsidR="000D62E8">
        <w:rPr>
          <w:rFonts w:ascii="Arial" w:hAnsi="Arial" w:eastAsia="Times New Roman" w:cs="Arial"/>
          <w:bCs/>
          <w:color w:val="000000" w:themeColor="text1"/>
          <w:sz w:val="22"/>
          <w:lang w:eastAsia="es-ES_tradnl"/>
        </w:rPr>
        <w:t xml:space="preserve"> </w:t>
      </w:r>
      <w:r w:rsidRPr="00DA403A" w:rsidR="00B9613E">
        <w:rPr>
          <w:rFonts w:ascii="Arial" w:hAnsi="Arial" w:eastAsia="Times New Roman" w:cs="Arial"/>
          <w:bCs/>
          <w:color w:val="000000" w:themeColor="text1"/>
          <w:sz w:val="22"/>
          <w:lang w:eastAsia="es-ES_tradnl"/>
        </w:rPr>
        <w:t>limita la celebración de nuevos contratos</w:t>
      </w:r>
      <w:r w:rsidRPr="00DA403A" w:rsidR="000D62E8">
        <w:rPr>
          <w:rFonts w:ascii="Arial" w:hAnsi="Arial" w:eastAsia="Times New Roman" w:cs="Arial"/>
          <w:bCs/>
          <w:color w:val="000000" w:themeColor="text1"/>
          <w:sz w:val="22"/>
          <w:lang w:eastAsia="es-ES_tradnl"/>
        </w:rPr>
        <w:t>, ello no impide que se continúe con la ejecución de los celebrados antes del inicio del</w:t>
      </w:r>
      <w:r w:rsidRPr="00DA403A" w:rsidR="004B51F8">
        <w:rPr>
          <w:rFonts w:ascii="Arial" w:hAnsi="Arial" w:eastAsia="Times New Roman" w:cs="Arial"/>
          <w:bCs/>
          <w:color w:val="000000" w:themeColor="text1"/>
          <w:sz w:val="22"/>
          <w:lang w:eastAsia="es-ES_tradnl"/>
        </w:rPr>
        <w:t xml:space="preserve"> período</w:t>
      </w:r>
      <w:r w:rsidRPr="00DA403A" w:rsidR="00452A6A">
        <w:rPr>
          <w:rFonts w:ascii="Arial" w:hAnsi="Arial" w:eastAsia="Times New Roman" w:cs="Arial"/>
          <w:bCs/>
          <w:color w:val="000000" w:themeColor="text1"/>
          <w:sz w:val="22"/>
          <w:lang w:eastAsia="es-ES_tradnl"/>
        </w:rPr>
        <w:t xml:space="preserve"> </w:t>
      </w:r>
      <w:r w:rsidRPr="00DA403A" w:rsidR="000D62E8">
        <w:rPr>
          <w:rFonts w:ascii="Arial" w:hAnsi="Arial" w:eastAsia="Times New Roman" w:cs="Arial"/>
          <w:bCs/>
          <w:color w:val="000000" w:themeColor="text1"/>
          <w:sz w:val="22"/>
          <w:lang w:eastAsia="es-ES_tradnl"/>
        </w:rPr>
        <w:t>en que aplican las prohibiciones.</w:t>
      </w:r>
    </w:p>
    <w:p w:rsidRPr="00DA403A" w:rsidR="00FA7068" w:rsidP="006D6FD9" w:rsidRDefault="0002170C" w14:paraId="5D9E1722" w14:textId="0D0FB3DC">
      <w:pPr>
        <w:spacing w:before="120" w:after="120" w:line="276" w:lineRule="auto"/>
        <w:ind w:firstLine="708"/>
        <w:jc w:val="both"/>
        <w:rPr>
          <w:rFonts w:ascii="Arial" w:hAnsi="Arial" w:eastAsia="Times New Roman" w:cs="Arial"/>
          <w:bCs/>
          <w:color w:val="000000" w:themeColor="text1"/>
          <w:sz w:val="22"/>
          <w:lang w:eastAsia="es-ES_tradnl"/>
        </w:rPr>
      </w:pPr>
      <w:r w:rsidRPr="00DA403A">
        <w:rPr>
          <w:rFonts w:ascii="Arial" w:hAnsi="Arial" w:eastAsia="Times New Roman" w:cs="Arial"/>
          <w:bCs/>
          <w:color w:val="000000" w:themeColor="text1"/>
          <w:sz w:val="22"/>
          <w:lang w:eastAsia="es-ES_tradnl"/>
        </w:rPr>
        <w:t>C</w:t>
      </w:r>
      <w:r w:rsidRPr="00DA403A" w:rsidR="0054577D">
        <w:rPr>
          <w:rFonts w:ascii="Arial" w:hAnsi="Arial" w:eastAsia="Times New Roman" w:cs="Arial"/>
          <w:bCs/>
          <w:color w:val="000000" w:themeColor="text1"/>
          <w:sz w:val="22"/>
          <w:lang w:eastAsia="es-ES_tradnl"/>
        </w:rPr>
        <w:t xml:space="preserve">abe resaltar </w:t>
      </w:r>
      <w:proofErr w:type="gramStart"/>
      <w:r w:rsidRPr="00DA403A">
        <w:rPr>
          <w:rFonts w:ascii="Arial" w:hAnsi="Arial" w:eastAsia="Times New Roman" w:cs="Arial"/>
          <w:bCs/>
          <w:color w:val="000000" w:themeColor="text1"/>
          <w:sz w:val="22"/>
          <w:lang w:eastAsia="es-ES_tradnl"/>
        </w:rPr>
        <w:t>que</w:t>
      </w:r>
      <w:proofErr w:type="gramEnd"/>
      <w:r w:rsidRPr="00DA403A" w:rsidR="0054577D">
        <w:rPr>
          <w:rFonts w:ascii="Arial" w:hAnsi="Arial" w:eastAsia="Times New Roman" w:cs="Arial"/>
          <w:bCs/>
          <w:color w:val="000000" w:themeColor="text1"/>
          <w:sz w:val="22"/>
          <w:lang w:eastAsia="es-ES_tradnl"/>
        </w:rPr>
        <w:t xml:space="preserve"> </w:t>
      </w:r>
      <w:r w:rsidRPr="00DA403A">
        <w:rPr>
          <w:rFonts w:ascii="Arial" w:hAnsi="Arial" w:eastAsia="Times New Roman" w:cs="Arial"/>
          <w:bCs/>
          <w:color w:val="000000" w:themeColor="text1"/>
          <w:sz w:val="22"/>
          <w:lang w:eastAsia="es-ES_tradnl"/>
        </w:rPr>
        <w:t xml:space="preserve">respecto de las entidades con un régimen de contratación especial, como es el caso de las universidades públicas, </w:t>
      </w:r>
      <w:r w:rsidRPr="00DA403A" w:rsidR="00FA7068">
        <w:rPr>
          <w:rFonts w:ascii="Arial" w:hAnsi="Arial" w:eastAsia="Times New Roman" w:cs="Arial"/>
          <w:bCs/>
          <w:color w:val="000000" w:themeColor="text1"/>
          <w:sz w:val="22"/>
          <w:lang w:eastAsia="es-ES_tradnl"/>
        </w:rPr>
        <w:t xml:space="preserve">el Decreto 1082 de 2015 en el artículo 2.2.1.2.5.3. establece que las entidades estatales deben contar con un manual de contratación y que este debe cumplir con los lineamientos que señale Colombia Compra Eficiente. </w:t>
      </w:r>
    </w:p>
    <w:p w:rsidRPr="00DA403A" w:rsidR="00FA7068" w:rsidP="006D6FD9" w:rsidRDefault="0002170C" w14:paraId="6F7AA8DC" w14:textId="2E73B219">
      <w:pPr>
        <w:spacing w:before="120" w:after="120" w:line="276" w:lineRule="auto"/>
        <w:ind w:firstLine="708"/>
        <w:jc w:val="both"/>
        <w:rPr>
          <w:rFonts w:ascii="Arial" w:hAnsi="Arial" w:eastAsia="Times New Roman" w:cs="Arial"/>
          <w:bCs/>
          <w:color w:val="000000" w:themeColor="text1"/>
          <w:sz w:val="22"/>
          <w:lang w:eastAsia="es-ES_tradnl"/>
        </w:rPr>
      </w:pPr>
      <w:r w:rsidRPr="00DA403A">
        <w:rPr>
          <w:rFonts w:ascii="Arial" w:hAnsi="Arial" w:eastAsia="Times New Roman" w:cs="Arial"/>
          <w:bCs/>
          <w:color w:val="000000" w:themeColor="text1"/>
          <w:sz w:val="22"/>
          <w:lang w:eastAsia="es-ES_tradnl"/>
        </w:rPr>
        <w:t>Es por esto que</w:t>
      </w:r>
      <w:r w:rsidRPr="00DA403A" w:rsidR="00265270">
        <w:rPr>
          <w:rFonts w:ascii="Arial" w:hAnsi="Arial" w:eastAsia="Times New Roman" w:cs="Arial"/>
          <w:bCs/>
          <w:color w:val="000000" w:themeColor="text1"/>
          <w:sz w:val="22"/>
          <w:lang w:eastAsia="es-ES_tradnl"/>
        </w:rPr>
        <w:t>,</w:t>
      </w:r>
      <w:r w:rsidRPr="00DA403A" w:rsidR="00C66D4A">
        <w:rPr>
          <w:rFonts w:ascii="Arial" w:hAnsi="Arial" w:eastAsia="Times New Roman" w:cs="Arial"/>
          <w:bCs/>
          <w:color w:val="000000" w:themeColor="text1"/>
          <w:sz w:val="22"/>
          <w:lang w:eastAsia="es-ES_tradnl"/>
        </w:rPr>
        <w:t xml:space="preserve"> en</w:t>
      </w:r>
      <w:r w:rsidRPr="00DA403A" w:rsidR="00FA7068">
        <w:rPr>
          <w:rFonts w:ascii="Arial" w:hAnsi="Arial" w:eastAsia="Times New Roman" w:cs="Arial"/>
          <w:bCs/>
          <w:color w:val="000000" w:themeColor="text1"/>
          <w:sz w:val="22"/>
          <w:lang w:eastAsia="es-ES_tradnl"/>
        </w:rPr>
        <w:t xml:space="preserve"> ejercicio de la potestad emanada del citado precepto, la Agencia Nacional de Contratación Pública – Colombia Compra Eficiente emitió los «Lineamientos Generales para la Expedición de Manuales de Contratación», estableciendo en el literal D que las entidades estatales con un régimen especial de contratación deben incluir una descripción de: «[…] los Procedimientos para la aplicación de las restricciones de la Ley 996 de 2005 y los demás aspectos que garanticen el cumplimiento de los principios y objetivos del sistema de compras y contratación pública […]».  </w:t>
      </w:r>
    </w:p>
    <w:p w:rsidRPr="00DA403A" w:rsidR="00135571" w:rsidP="006D6FD9" w:rsidRDefault="0054577D" w14:paraId="7E1C3C47" w14:textId="2784453F">
      <w:pPr>
        <w:spacing w:before="120" w:after="120" w:line="276" w:lineRule="auto"/>
        <w:ind w:firstLine="708"/>
        <w:jc w:val="both"/>
        <w:rPr>
          <w:rFonts w:ascii="Arial" w:hAnsi="Arial" w:cs="Arial"/>
          <w:bCs/>
          <w:sz w:val="22"/>
        </w:rPr>
      </w:pPr>
      <w:r w:rsidRPr="00DA403A">
        <w:rPr>
          <w:rFonts w:ascii="Arial" w:hAnsi="Arial" w:cs="Arial"/>
          <w:bCs/>
          <w:sz w:val="22"/>
        </w:rPr>
        <w:t xml:space="preserve">En tal sentido, cuando una entidad de régimen especial </w:t>
      </w:r>
      <w:r w:rsidRPr="00DA403A" w:rsidR="007E4B98">
        <w:rPr>
          <w:rFonts w:ascii="Arial" w:hAnsi="Arial" w:cs="Arial"/>
          <w:bCs/>
          <w:sz w:val="22"/>
        </w:rPr>
        <w:t xml:space="preserve">requiera </w:t>
      </w:r>
      <w:r w:rsidRPr="00DA403A">
        <w:rPr>
          <w:rFonts w:ascii="Arial" w:hAnsi="Arial" w:cs="Arial"/>
          <w:bCs/>
          <w:sz w:val="22"/>
        </w:rPr>
        <w:t>adelantar un proceso de contratación durante el per</w:t>
      </w:r>
      <w:r w:rsidRPr="00DA403A" w:rsidR="00C66D4A">
        <w:rPr>
          <w:rFonts w:ascii="Arial" w:hAnsi="Arial" w:cs="Arial"/>
          <w:bCs/>
          <w:sz w:val="22"/>
        </w:rPr>
        <w:t>í</w:t>
      </w:r>
      <w:r w:rsidRPr="00DA403A">
        <w:rPr>
          <w:rFonts w:ascii="Arial" w:hAnsi="Arial" w:cs="Arial"/>
          <w:bCs/>
          <w:sz w:val="22"/>
        </w:rPr>
        <w:t>odo de restricción temporal de la contratación directa establecido en el artículo 33 de la Ley 996 de 2005, deberá aplicar lo que se haya establecido en su manual de contratación, situación que debe revisar cada entidad estatal, en cada caso concreto.</w:t>
      </w:r>
    </w:p>
    <w:p w:rsidRPr="00DA403A" w:rsidR="00E34A66" w:rsidP="006D6FD9" w:rsidRDefault="00E30022" w14:paraId="2095EB7A" w14:textId="17D94E35">
      <w:pPr>
        <w:tabs>
          <w:tab w:val="left" w:pos="709"/>
        </w:tabs>
        <w:spacing w:before="120" w:after="120" w:line="276" w:lineRule="auto"/>
        <w:jc w:val="both"/>
        <w:rPr>
          <w:rFonts w:ascii="Arial" w:hAnsi="Arial" w:cs="Arial"/>
          <w:bCs/>
          <w:sz w:val="22"/>
          <w:lang w:val="es-ES"/>
        </w:rPr>
      </w:pPr>
      <w:r w:rsidRPr="00DA403A">
        <w:rPr>
          <w:rFonts w:ascii="Arial" w:hAnsi="Arial" w:cs="Arial"/>
          <w:bCs/>
          <w:sz w:val="22"/>
          <w:lang w:val="es-ES"/>
        </w:rPr>
        <w:lastRenderedPageBreak/>
        <w:tab/>
      </w:r>
      <w:r w:rsidRPr="00DA403A" w:rsidR="00135571">
        <w:rPr>
          <w:rFonts w:ascii="Arial" w:hAnsi="Arial" w:cs="Arial"/>
          <w:bCs/>
          <w:sz w:val="22"/>
          <w:lang w:val="es-ES"/>
        </w:rPr>
        <w:t xml:space="preserve">Si en dicho documento llegara a existir algún vacío respecto </w:t>
      </w:r>
      <w:r w:rsidRPr="00DA403A" w:rsidR="00C66D4A">
        <w:rPr>
          <w:rFonts w:ascii="Arial" w:hAnsi="Arial" w:cs="Arial"/>
          <w:bCs/>
          <w:sz w:val="22"/>
          <w:lang w:val="es-ES"/>
        </w:rPr>
        <w:t>de</w:t>
      </w:r>
      <w:r w:rsidRPr="00DA403A" w:rsidR="00135571">
        <w:rPr>
          <w:rFonts w:ascii="Arial" w:hAnsi="Arial" w:cs="Arial"/>
          <w:bCs/>
          <w:sz w:val="22"/>
          <w:lang w:val="es-ES"/>
        </w:rPr>
        <w:t xml:space="preserve">l procedimiento para la aplicación de la Ley de Garantías Electorales, le corresponde a la entidad estatal de régimen especial </w:t>
      </w:r>
      <w:r w:rsidRPr="00DA403A" w:rsidR="00AE5275">
        <w:rPr>
          <w:rFonts w:ascii="Arial" w:hAnsi="Arial" w:cs="Arial"/>
          <w:bCs/>
          <w:sz w:val="22"/>
          <w:lang w:val="es-ES"/>
        </w:rPr>
        <w:t>llenar el vacío que se le presenta</w:t>
      </w:r>
      <w:r w:rsidRPr="00DA403A" w:rsidR="00135571">
        <w:rPr>
          <w:rFonts w:ascii="Arial" w:hAnsi="Arial" w:cs="Arial"/>
          <w:bCs/>
          <w:sz w:val="22"/>
          <w:lang w:val="es-ES"/>
        </w:rPr>
        <w:t xml:space="preserve"> conforme a su manual de contratación y los procedimientos allí establecidos</w:t>
      </w:r>
      <w:r w:rsidRPr="00DA403A" w:rsidR="00AE5275">
        <w:rPr>
          <w:rFonts w:ascii="Arial" w:hAnsi="Arial" w:cs="Arial"/>
          <w:bCs/>
          <w:sz w:val="22"/>
          <w:lang w:val="es-ES"/>
        </w:rPr>
        <w:t>.</w:t>
      </w:r>
      <w:r w:rsidRPr="00DA403A" w:rsidR="00135571">
        <w:rPr>
          <w:rFonts w:ascii="Arial" w:hAnsi="Arial" w:cs="Arial"/>
          <w:bCs/>
          <w:sz w:val="22"/>
          <w:lang w:val="es-ES"/>
        </w:rPr>
        <w:t xml:space="preserve"> </w:t>
      </w:r>
      <w:r w:rsidRPr="00DA403A" w:rsidR="00AE5275">
        <w:rPr>
          <w:rFonts w:ascii="Arial" w:hAnsi="Arial" w:cs="Arial"/>
          <w:bCs/>
          <w:sz w:val="22"/>
          <w:lang w:val="es-ES"/>
        </w:rPr>
        <w:t>L</w:t>
      </w:r>
      <w:r w:rsidRPr="00DA403A" w:rsidR="00135571">
        <w:rPr>
          <w:rFonts w:ascii="Arial" w:hAnsi="Arial" w:cs="Arial"/>
          <w:bCs/>
          <w:sz w:val="22"/>
          <w:lang w:val="es-ES"/>
        </w:rPr>
        <w:t>os manuales de contratación de cada entidad deben estar orientados a que en los procesos de contratación se garanticen los objetivos del sistema de compra pública incluyendo la eficacia, economía, promoción de la competencia, rendición de cuentas, manejo del riesgo, publicidad y transparencia</w:t>
      </w:r>
      <w:r w:rsidRPr="00DA403A" w:rsidR="00135571">
        <w:rPr>
          <w:rStyle w:val="Refdenotaalpie"/>
          <w:rFonts w:ascii="Arial" w:hAnsi="Arial" w:cs="Arial"/>
          <w:bCs/>
          <w:sz w:val="22"/>
          <w:lang w:val="es-ES"/>
        </w:rPr>
        <w:footnoteReference w:id="22"/>
      </w:r>
      <w:r w:rsidRPr="00DA403A" w:rsidR="007D01AC">
        <w:rPr>
          <w:rFonts w:ascii="Arial" w:hAnsi="Arial" w:cs="Arial"/>
          <w:bCs/>
          <w:sz w:val="22"/>
          <w:lang w:val="es-ES"/>
        </w:rPr>
        <w:t>.</w:t>
      </w:r>
    </w:p>
    <w:p w:rsidRPr="00DA403A" w:rsidR="00516050" w:rsidRDefault="00752233" w14:paraId="713891B2" w14:textId="77777777">
      <w:pPr>
        <w:tabs>
          <w:tab w:val="left" w:pos="709"/>
        </w:tabs>
        <w:spacing w:line="276" w:lineRule="auto"/>
        <w:jc w:val="both"/>
        <w:rPr>
          <w:rFonts w:ascii="Arial" w:hAnsi="Arial" w:cs="Arial"/>
          <w:bCs/>
          <w:sz w:val="22"/>
          <w:lang w:val="es-ES"/>
        </w:rPr>
      </w:pPr>
      <w:r w:rsidRPr="00DA403A">
        <w:rPr>
          <w:rFonts w:ascii="Arial" w:hAnsi="Arial" w:cs="Arial"/>
          <w:bCs/>
          <w:sz w:val="22"/>
          <w:lang w:val="es-ES"/>
        </w:rPr>
        <w:tab/>
      </w:r>
      <w:r w:rsidRPr="00DA403A">
        <w:rPr>
          <w:rFonts w:ascii="Arial" w:hAnsi="Arial" w:cs="Arial"/>
          <w:bCs/>
          <w:sz w:val="22"/>
          <w:lang w:val="es-ES"/>
        </w:rPr>
        <w:t>Ahora bien, en relación con las excepciones aplicables a la prohibición de la contratación directa, es importante señalar que estas se encuentran establecidas en el inciso segundo del artículo 33 de la Ley 996 de 2005, que prescribe que: «</w:t>
      </w:r>
      <w:r w:rsidRPr="00DA403A" w:rsidR="0007043C">
        <w:rPr>
          <w:rFonts w:ascii="Arial" w:hAnsi="Arial" w:cs="Arial"/>
          <w:bCs/>
          <w:sz w:val="22"/>
          <w:lang w:val="es-ES"/>
        </w:rPr>
        <w:t xml:space="preserve">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p>
    <w:p w:rsidRPr="00DA403A" w:rsidR="00516050" w:rsidRDefault="00516050" w14:paraId="3248FA66" w14:textId="77777777">
      <w:pPr>
        <w:tabs>
          <w:tab w:val="left" w:pos="709"/>
        </w:tabs>
        <w:spacing w:line="276" w:lineRule="auto"/>
        <w:jc w:val="both"/>
        <w:rPr>
          <w:rFonts w:ascii="Arial" w:hAnsi="Arial" w:cs="Arial"/>
          <w:bCs/>
          <w:sz w:val="22"/>
          <w:lang w:val="es-ES"/>
        </w:rPr>
      </w:pPr>
    </w:p>
    <w:p w:rsidRPr="00DA403A" w:rsidR="00752233" w:rsidP="001D21C7" w:rsidRDefault="00516050" w14:paraId="3C3448B8" w14:textId="069A08F8">
      <w:pPr>
        <w:tabs>
          <w:tab w:val="left" w:pos="709"/>
        </w:tabs>
        <w:spacing w:line="276" w:lineRule="auto"/>
        <w:jc w:val="both"/>
        <w:rPr>
          <w:rFonts w:ascii="Arial" w:hAnsi="Arial" w:cs="Arial"/>
          <w:bCs/>
          <w:sz w:val="22"/>
          <w:lang w:val="es-ES"/>
        </w:rPr>
      </w:pPr>
      <w:r w:rsidRPr="00DA403A">
        <w:rPr>
          <w:rFonts w:ascii="Arial" w:hAnsi="Arial" w:cs="Arial"/>
          <w:bCs/>
          <w:sz w:val="22"/>
          <w:lang w:val="es-ES"/>
        </w:rPr>
        <w:tab/>
      </w:r>
      <w:r w:rsidRPr="00DA403A" w:rsidR="0007043C">
        <w:rPr>
          <w:rFonts w:ascii="Arial" w:hAnsi="Arial" w:cs="Arial"/>
          <w:bCs/>
          <w:sz w:val="22"/>
          <w:lang w:val="es-ES"/>
        </w:rPr>
        <w:t>De otro lado, es importante señalar que en la Circular Externa Única de Colombia Compra Eficiente</w:t>
      </w:r>
      <w:r w:rsidRPr="00DA403A" w:rsidR="0007043C">
        <w:rPr>
          <w:rStyle w:val="Refdenotaalpie"/>
          <w:rFonts w:ascii="Arial" w:hAnsi="Arial" w:cs="Arial"/>
          <w:bCs/>
          <w:sz w:val="22"/>
          <w:lang w:val="es-ES"/>
        </w:rPr>
        <w:footnoteReference w:id="23"/>
      </w:r>
      <w:r w:rsidRPr="00DA403A" w:rsidR="0007043C">
        <w:rPr>
          <w:rFonts w:ascii="Arial" w:hAnsi="Arial" w:cs="Arial"/>
          <w:bCs/>
          <w:sz w:val="22"/>
          <w:lang w:val="es-ES"/>
        </w:rPr>
        <w:t>, en el numeral 15.3 se señaló que «De igual forma, no les aplicará la restricción de la Ley de Garantías a los contratos o convenios que se deben celebrar en virtud de un fallo judicial, puesto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r w:rsidRPr="00DA403A" w:rsidR="0007043C">
        <w:rPr>
          <w:rStyle w:val="Refdenotaalpie"/>
          <w:rFonts w:ascii="Arial" w:hAnsi="Arial" w:cs="Arial"/>
          <w:bCs/>
          <w:sz w:val="22"/>
          <w:lang w:val="es-ES"/>
        </w:rPr>
        <w:footnoteReference w:id="24"/>
      </w:r>
      <w:r w:rsidRPr="00DA403A" w:rsidR="0007043C">
        <w:rPr>
          <w:rFonts w:ascii="Arial" w:hAnsi="Arial" w:cs="Arial"/>
          <w:bCs/>
          <w:sz w:val="22"/>
          <w:lang w:val="es-ES"/>
        </w:rPr>
        <w:t xml:space="preserve">». Finalmente, en la misma Circular se expresó en el numeral 15.5 que: «La Ley de Garantías no establece restricciones para las prórrogas, modificaciones o adiciones, y la cesión de los contratos suscritos antes del período electoral, siempre que tales prórrogas, modificaciones, adiciones y cesiones cumplan los principios de planeación, transparencia y responsabilidad. En este sentido, las prórrogas, modificaciones o adiciones, y la cesión de los contratos suscritos antes del período de la campaña electoral, pueden realizarse en cualquier tiempo antes o después del comienzo de la aplicación de la Ley de Garantías siempre y cuando el contrato se </w:t>
      </w:r>
      <w:r w:rsidRPr="00DA403A" w:rsidR="0007043C">
        <w:rPr>
          <w:rFonts w:ascii="Arial" w:hAnsi="Arial" w:cs="Arial"/>
          <w:bCs/>
          <w:sz w:val="22"/>
          <w:lang w:val="es-ES"/>
        </w:rPr>
        <w:lastRenderedPageBreak/>
        <w:t>encuentre vigente». En tal sentido, teniendo en cuenta las preguntas del peticionario, las anteriores serían las excepciones a la prohibición, de conformidad con lo señalado en el artículo 33 de la Ley 996 de 2005 y en la Circular Externa Única de Colombia Compra Eficiente.</w:t>
      </w:r>
    </w:p>
    <w:p w:rsidRPr="00DA403A" w:rsidR="007D01AC" w:rsidP="001D21C7" w:rsidRDefault="007D01AC" w14:paraId="498904F1" w14:textId="77777777">
      <w:pPr>
        <w:tabs>
          <w:tab w:val="left" w:pos="709"/>
        </w:tabs>
        <w:spacing w:line="276" w:lineRule="auto"/>
        <w:jc w:val="both"/>
        <w:rPr>
          <w:rFonts w:ascii="Arial" w:hAnsi="Arial" w:cs="Arial"/>
          <w:bCs/>
          <w:sz w:val="22"/>
          <w:lang w:val="es-ES"/>
        </w:rPr>
      </w:pPr>
    </w:p>
    <w:p w:rsidRPr="00DA403A" w:rsidR="00AE5275" w:rsidP="003A5B09" w:rsidRDefault="00E30022" w14:paraId="2CAC0209" w14:textId="5E56D108">
      <w:pPr>
        <w:spacing w:line="276" w:lineRule="auto"/>
        <w:jc w:val="both"/>
        <w:rPr>
          <w:rFonts w:ascii="Arial" w:hAnsi="Arial" w:eastAsia="Times New Roman" w:cs="Arial"/>
          <w:b/>
          <w:bCs/>
          <w:color w:val="000000" w:themeColor="text1"/>
          <w:sz w:val="22"/>
          <w:lang w:eastAsia="es-ES_tradnl"/>
        </w:rPr>
      </w:pPr>
      <w:r w:rsidRPr="00DA403A">
        <w:rPr>
          <w:rFonts w:ascii="Arial" w:hAnsi="Arial" w:eastAsia="Times New Roman" w:cs="Arial"/>
          <w:b/>
          <w:bCs/>
          <w:color w:val="000000" w:themeColor="text1"/>
          <w:sz w:val="22"/>
          <w:lang w:eastAsia="es-ES_tradnl"/>
        </w:rPr>
        <w:t>2.</w:t>
      </w:r>
      <w:r w:rsidRPr="00DA403A" w:rsidR="00D940DB">
        <w:rPr>
          <w:rFonts w:ascii="Arial" w:hAnsi="Arial" w:eastAsia="Times New Roman" w:cs="Arial"/>
          <w:b/>
          <w:bCs/>
          <w:color w:val="000000" w:themeColor="text1"/>
          <w:sz w:val="22"/>
          <w:lang w:eastAsia="es-ES_tradnl"/>
        </w:rPr>
        <w:t>4</w:t>
      </w:r>
      <w:r w:rsidRPr="00DA403A" w:rsidR="00BA59EC">
        <w:rPr>
          <w:rFonts w:ascii="Arial" w:hAnsi="Arial" w:eastAsia="Times New Roman" w:cs="Arial"/>
          <w:b/>
          <w:bCs/>
          <w:color w:val="000000" w:themeColor="text1"/>
          <w:sz w:val="22"/>
          <w:lang w:eastAsia="es-ES_tradnl"/>
        </w:rPr>
        <w:t>.2</w:t>
      </w:r>
      <w:r w:rsidRPr="00DA403A" w:rsidR="00FC3C38">
        <w:rPr>
          <w:rFonts w:ascii="Arial" w:hAnsi="Arial" w:eastAsia="Times New Roman" w:cs="Arial"/>
          <w:b/>
          <w:bCs/>
          <w:color w:val="000000" w:themeColor="text1"/>
          <w:sz w:val="22"/>
          <w:lang w:eastAsia="es-ES_tradnl"/>
        </w:rPr>
        <w:t xml:space="preserve"> </w:t>
      </w:r>
      <w:r w:rsidRPr="00DA403A" w:rsidR="00861F13">
        <w:rPr>
          <w:rFonts w:ascii="Arial" w:hAnsi="Arial" w:eastAsia="Times New Roman" w:cs="Arial"/>
          <w:b/>
          <w:bCs/>
          <w:color w:val="000000" w:themeColor="text1"/>
          <w:sz w:val="22"/>
          <w:lang w:eastAsia="es-ES_tradnl"/>
        </w:rPr>
        <w:t>Restricciones del artículo 38 de la Ley 996 de 2005 para cargos</w:t>
      </w:r>
      <w:r w:rsidRPr="00DA403A" w:rsidR="00FC3C38">
        <w:rPr>
          <w:rFonts w:ascii="Arial" w:hAnsi="Arial" w:eastAsia="Times New Roman" w:cs="Arial"/>
          <w:b/>
          <w:bCs/>
          <w:color w:val="000000" w:themeColor="text1"/>
          <w:sz w:val="22"/>
          <w:lang w:eastAsia="es-ES_tradnl"/>
        </w:rPr>
        <w:t xml:space="preserve"> de elección popular </w:t>
      </w:r>
    </w:p>
    <w:p w:rsidRPr="00DA403A" w:rsidR="007D01AC" w:rsidP="003A5B09" w:rsidRDefault="007D01AC" w14:paraId="22064245" w14:textId="77777777">
      <w:pPr>
        <w:spacing w:line="276" w:lineRule="auto"/>
        <w:jc w:val="both"/>
        <w:rPr>
          <w:rFonts w:ascii="Arial" w:hAnsi="Arial" w:eastAsia="Times New Roman" w:cs="Arial"/>
          <w:bCs/>
          <w:color w:val="000000" w:themeColor="text1"/>
          <w:sz w:val="22"/>
          <w:lang w:eastAsia="es-ES_tradnl"/>
        </w:rPr>
      </w:pPr>
    </w:p>
    <w:p w:rsidRPr="00DA403A" w:rsidR="00FC3C38" w:rsidP="006D6FD9" w:rsidRDefault="00FC3C38" w14:paraId="3FAA7781" w14:textId="439E0FED">
      <w:pPr>
        <w:spacing w:before="120" w:after="120" w:line="276" w:lineRule="auto"/>
        <w:jc w:val="both"/>
        <w:rPr>
          <w:rFonts w:ascii="Arial" w:hAnsi="Arial" w:eastAsia="Times New Roman" w:cs="Arial"/>
          <w:bCs/>
          <w:color w:val="000000" w:themeColor="text1"/>
          <w:sz w:val="22"/>
          <w:lang w:eastAsia="es-ES_tradnl"/>
        </w:rPr>
      </w:pPr>
      <w:r w:rsidRPr="00DA403A">
        <w:rPr>
          <w:rFonts w:ascii="Arial" w:hAnsi="Arial" w:eastAsia="Times New Roman" w:cs="Arial"/>
          <w:bCs/>
          <w:color w:val="000000" w:themeColor="text1"/>
          <w:sz w:val="22"/>
          <w:lang w:eastAsia="es-ES_tradnl"/>
        </w:rPr>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w:t>
      </w:r>
      <w:r w:rsidRPr="00DA403A" w:rsidR="004C3D5C">
        <w:rPr>
          <w:rFonts w:ascii="Arial" w:hAnsi="Arial" w:eastAsia="Times New Roman" w:cs="Arial"/>
          <w:bCs/>
          <w:color w:val="000000" w:themeColor="text1"/>
          <w:sz w:val="22"/>
          <w:lang w:eastAsia="es-ES_tradnl"/>
        </w:rPr>
        <w:t>nteriores a cualquier elección</w:t>
      </w:r>
      <w:r w:rsidRPr="00DA403A" w:rsidR="004C3D5C">
        <w:rPr>
          <w:rStyle w:val="Refdenotaalpie"/>
          <w:rFonts w:ascii="Arial" w:hAnsi="Arial" w:eastAsia="Times New Roman" w:cs="Arial"/>
          <w:bCs/>
          <w:color w:val="000000" w:themeColor="text1"/>
          <w:sz w:val="22"/>
          <w:lang w:eastAsia="es-ES_tradnl"/>
        </w:rPr>
        <w:footnoteReference w:id="25"/>
      </w:r>
      <w:r w:rsidRPr="00DA403A" w:rsidR="00B459BB">
        <w:rPr>
          <w:rFonts w:ascii="Arial" w:hAnsi="Arial" w:eastAsia="Times New Roman" w:cs="Arial"/>
          <w:bCs/>
          <w:color w:val="000000" w:themeColor="text1"/>
          <w:sz w:val="22"/>
          <w:lang w:eastAsia="es-ES_tradnl"/>
        </w:rPr>
        <w:t>.</w:t>
      </w:r>
    </w:p>
    <w:p w:rsidRPr="00DA403A" w:rsidR="00861F13" w:rsidP="006D6FD9" w:rsidRDefault="00861F13" w14:paraId="60A31068" w14:textId="5879BD02">
      <w:pPr>
        <w:pStyle w:val="NormalWeb"/>
        <w:spacing w:before="120" w:beforeAutospacing="0" w:after="120" w:afterAutospacing="0" w:line="276" w:lineRule="auto"/>
        <w:ind w:firstLine="708"/>
        <w:jc w:val="both"/>
        <w:rPr>
          <w:rFonts w:ascii="Arial" w:hAnsi="Arial" w:cs="Arial"/>
          <w:sz w:val="22"/>
          <w:szCs w:val="22"/>
        </w:rPr>
      </w:pPr>
      <w:r w:rsidRPr="00DA403A">
        <w:rPr>
          <w:rFonts w:ascii="Arial" w:hAnsi="Arial" w:cs="Arial"/>
          <w:sz w:val="22"/>
          <w:szCs w:val="22"/>
        </w:rPr>
        <w:t>En este caso, la restricción recae sobre unos sujetos espec</w:t>
      </w:r>
      <w:r w:rsidRPr="00DA403A" w:rsidR="00A12450">
        <w:rPr>
          <w:rFonts w:ascii="Arial" w:hAnsi="Arial" w:cs="Arial"/>
          <w:sz w:val="22"/>
          <w:szCs w:val="22"/>
        </w:rPr>
        <w:t xml:space="preserve">íficos: los gobernadores, alcaldes municipales y/o distritales, secretarios, gerentes y directores de entidades descentralizadas del orden municipal, departamental o distrital.  Es decir, que no aplica a </w:t>
      </w:r>
      <w:r w:rsidRPr="00DA403A" w:rsidR="007D01AC">
        <w:rPr>
          <w:rFonts w:ascii="Arial" w:hAnsi="Arial" w:cs="Arial"/>
          <w:sz w:val="22"/>
          <w:szCs w:val="22"/>
        </w:rPr>
        <w:t>«</w:t>
      </w:r>
      <w:r w:rsidRPr="00DA403A" w:rsidR="00A12450">
        <w:rPr>
          <w:rFonts w:ascii="Arial" w:hAnsi="Arial" w:cs="Arial"/>
          <w:sz w:val="22"/>
          <w:szCs w:val="22"/>
        </w:rPr>
        <w:t>todos los entes del Estado</w:t>
      </w:r>
      <w:r w:rsidRPr="00DA403A" w:rsidR="007D01AC">
        <w:rPr>
          <w:rFonts w:ascii="Arial" w:hAnsi="Arial" w:cs="Arial"/>
          <w:sz w:val="22"/>
          <w:szCs w:val="22"/>
        </w:rPr>
        <w:t>»</w:t>
      </w:r>
      <w:r w:rsidRPr="00DA403A" w:rsidR="00A12450">
        <w:rPr>
          <w:rFonts w:ascii="Arial" w:hAnsi="Arial" w:cs="Arial"/>
          <w:sz w:val="22"/>
          <w:szCs w:val="22"/>
        </w:rPr>
        <w:t>, como ocurre con la restricción del artículo 33.</w:t>
      </w:r>
    </w:p>
    <w:p w:rsidRPr="00DA403A" w:rsidR="005548C5" w:rsidP="006D6FD9" w:rsidRDefault="00A12450" w14:paraId="254DFE5D" w14:textId="202B167A">
      <w:pPr>
        <w:pStyle w:val="NormalWeb"/>
        <w:spacing w:before="120" w:beforeAutospacing="0" w:after="120" w:afterAutospacing="0" w:line="276" w:lineRule="auto"/>
        <w:ind w:firstLine="708"/>
        <w:jc w:val="both"/>
        <w:rPr>
          <w:rFonts w:ascii="Arial" w:hAnsi="Arial" w:eastAsia="Calibri" w:cs="Arial"/>
          <w:sz w:val="22"/>
        </w:rPr>
      </w:pPr>
      <w:r w:rsidRPr="00DA403A">
        <w:rPr>
          <w:rFonts w:ascii="Arial" w:hAnsi="Arial" w:cs="Arial"/>
          <w:sz w:val="22"/>
          <w:szCs w:val="22"/>
        </w:rPr>
        <w:t>Por otra parte, el objeto de la restricción en este caso no es la modalidad de selección</w:t>
      </w:r>
      <w:r w:rsidRPr="00DA403A">
        <w:rPr>
          <w:rFonts w:ascii="Arial" w:hAnsi="Arial" w:cs="Arial"/>
          <w:sz w:val="22"/>
        </w:rPr>
        <w:t xml:space="preserve"> del contratista, sino un tipo de contrato: el convenio interadministrativo para la</w:t>
      </w:r>
      <w:r w:rsidRPr="00DA403A" w:rsidR="007E4B98">
        <w:rPr>
          <w:rFonts w:ascii="Arial" w:hAnsi="Arial" w:cs="Arial"/>
          <w:sz w:val="22"/>
        </w:rPr>
        <w:t xml:space="preserve"> ejecución de recursos públicos.</w:t>
      </w:r>
      <w:r w:rsidRPr="00DA403A" w:rsidR="00AE5275">
        <w:rPr>
          <w:rFonts w:ascii="Arial" w:hAnsi="Arial" w:cs="Arial"/>
          <w:sz w:val="22"/>
        </w:rPr>
        <w:t xml:space="preserve"> </w:t>
      </w:r>
      <w:r w:rsidRPr="00DA403A" w:rsidR="005548C5">
        <w:rPr>
          <w:rFonts w:ascii="Arial" w:hAnsi="Arial" w:eastAsia="Calibri" w:cs="Arial"/>
          <w:sz w:val="22"/>
          <w:szCs w:val="22"/>
        </w:rPr>
        <w:t>Sobre la tipología de convenio interadministrativo, conviene señalar que fue creado en la Ley 80 de 1993, y aunque no lo definió ni desarrolló, el Decreto 1082 de 2015 califica a los convenios o contratos interadministrativos como aquella contratación entre entidades estatales</w:t>
      </w:r>
      <w:r w:rsidRPr="00DA403A" w:rsidR="005548C5">
        <w:rPr>
          <w:rStyle w:val="Refdenotaalpie"/>
          <w:rFonts w:ascii="Arial" w:hAnsi="Arial" w:eastAsia="Calibri" w:cs="Arial"/>
          <w:color w:val="000000" w:themeColor="text1"/>
          <w:sz w:val="22"/>
          <w:szCs w:val="22"/>
        </w:rPr>
        <w:footnoteReference w:id="26"/>
      </w:r>
      <w:r w:rsidRPr="00DA403A" w:rsidR="005548C5">
        <w:rPr>
          <w:rFonts w:ascii="Arial" w:hAnsi="Arial" w:eastAsia="Calibri" w:cs="Arial"/>
          <w:sz w:val="22"/>
          <w:szCs w:val="22"/>
        </w:rPr>
        <w:t>.</w:t>
      </w:r>
    </w:p>
    <w:p w:rsidRPr="00DA403A" w:rsidR="005548C5" w:rsidP="006D6FD9" w:rsidRDefault="005548C5" w14:paraId="3C23EBA9" w14:textId="29023F03">
      <w:pPr>
        <w:spacing w:before="120" w:after="120" w:line="276" w:lineRule="auto"/>
        <w:jc w:val="both"/>
        <w:rPr>
          <w:rFonts w:ascii="Arial" w:hAnsi="Arial" w:eastAsia="Calibri" w:cs="Arial"/>
          <w:color w:val="000000" w:themeColor="text1"/>
          <w:sz w:val="22"/>
        </w:rPr>
      </w:pPr>
      <w:r w:rsidRPr="00DA403A">
        <w:rPr>
          <w:rFonts w:ascii="Arial" w:hAnsi="Arial" w:cs="Arial"/>
          <w:color w:val="000000" w:themeColor="text1"/>
          <w:sz w:val="22"/>
        </w:rPr>
        <w:tab/>
      </w:r>
      <w:r w:rsidRPr="00DA403A">
        <w:rPr>
          <w:rFonts w:ascii="Arial" w:hAnsi="Arial" w:eastAsia="Calibri" w:cs="Arial"/>
          <w:color w:val="000000" w:themeColor="text1"/>
          <w:sz w:val="22"/>
        </w:rPr>
        <w:t>De acuerdo con lo</w:t>
      </w:r>
      <w:r w:rsidRPr="00DA403A" w:rsidR="00727DD4">
        <w:rPr>
          <w:rFonts w:ascii="Arial" w:hAnsi="Arial" w:eastAsia="Calibri" w:cs="Arial"/>
          <w:color w:val="000000" w:themeColor="text1"/>
          <w:sz w:val="22"/>
        </w:rPr>
        <w:t xml:space="preserve"> expresado</w:t>
      </w:r>
      <w:r w:rsidRPr="00DA403A">
        <w:rPr>
          <w:rFonts w:ascii="Arial" w:hAnsi="Arial" w:eastAsia="Calibri" w:cs="Arial"/>
          <w:color w:val="000000" w:themeColor="text1"/>
          <w:sz w:val="22"/>
        </w:rPr>
        <w:t xml:space="preserve">, el contrato o el convenio interadministrativo es el acuerdo donde concurre la voluntad de dos o más personas jurídicas de derecho público con la finalidad de cumplir, en el marco de sus objetivos misionales y sus competencias, </w:t>
      </w:r>
      <w:r w:rsidRPr="00DA403A">
        <w:rPr>
          <w:rFonts w:ascii="Arial" w:hAnsi="Arial" w:eastAsia="Calibri" w:cs="Arial"/>
          <w:color w:val="000000" w:themeColor="text1"/>
          <w:sz w:val="22"/>
        </w:rPr>
        <w:lastRenderedPageBreak/>
        <w:t>con los fines del Estado. Es decir</w:t>
      </w:r>
      <w:r w:rsidRPr="00DA403A" w:rsidR="00727DD4">
        <w:rPr>
          <w:rFonts w:ascii="Arial" w:hAnsi="Arial" w:eastAsia="Calibri" w:cs="Arial"/>
          <w:color w:val="000000" w:themeColor="text1"/>
          <w:sz w:val="22"/>
        </w:rPr>
        <w:t xml:space="preserve"> que</w:t>
      </w:r>
      <w:r w:rsidRPr="00DA403A">
        <w:rPr>
          <w:rFonts w:ascii="Arial" w:hAnsi="Arial" w:eastAsia="Calibri" w:cs="Arial"/>
          <w:color w:val="000000" w:themeColor="text1"/>
          <w:sz w:val="22"/>
        </w:rPr>
        <w:t xml:space="preserve"> los contratos o convenios interadministrativos nominados en la Ley 80 de 1993 están determinados por un criterio orgánico, pues es necesario que los extremos de la relación contractual sean entidades estatales.</w:t>
      </w:r>
    </w:p>
    <w:p w:rsidRPr="00DA403A" w:rsidR="005548C5" w:rsidP="006D6FD9" w:rsidRDefault="005548C5" w14:paraId="49147CDF" w14:textId="66978C63">
      <w:pPr>
        <w:spacing w:before="120" w:after="120" w:line="276" w:lineRule="auto"/>
        <w:ind w:firstLine="708"/>
        <w:jc w:val="both"/>
        <w:rPr>
          <w:rFonts w:ascii="Arial" w:hAnsi="Arial" w:cs="Arial"/>
          <w:color w:val="000000" w:themeColor="text1"/>
          <w:sz w:val="22"/>
        </w:rPr>
      </w:pPr>
      <w:r w:rsidRPr="00DA403A">
        <w:rPr>
          <w:rFonts w:ascii="Arial" w:hAnsi="Arial" w:eastAsia="Calibri" w:cs="Arial"/>
          <w:color w:val="000000" w:themeColor="text1"/>
          <w:sz w:val="22"/>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w:t>
      </w:r>
      <w:r w:rsidRPr="00DA403A" w:rsidR="00727DD4">
        <w:rPr>
          <w:rFonts w:ascii="Arial" w:hAnsi="Arial" w:eastAsia="Calibri" w:cs="Arial"/>
          <w:color w:val="000000" w:themeColor="text1"/>
          <w:sz w:val="22"/>
        </w:rPr>
        <w:t>. En efecto,</w:t>
      </w:r>
      <w:r w:rsidRPr="00DA403A">
        <w:rPr>
          <w:rFonts w:ascii="Arial" w:hAnsi="Arial" w:eastAsia="Calibri" w:cs="Arial"/>
          <w:color w:val="000000" w:themeColor="text1"/>
          <w:sz w:val="22"/>
        </w:rPr>
        <w:t xml:space="preserve"> bien puede una entidad estatal de Ley 80 de 1993 celebrar esta clase de convenios con una entidad estatal de régimen especial y no por ello dejará de ser un contrato o convenio interadministrativo</w:t>
      </w:r>
      <w:r w:rsidRPr="00DA403A" w:rsidR="00727DD4">
        <w:rPr>
          <w:rFonts w:ascii="Arial" w:hAnsi="Arial" w:eastAsia="Calibri" w:cs="Arial"/>
          <w:color w:val="000000" w:themeColor="text1"/>
          <w:sz w:val="22"/>
        </w:rPr>
        <w:t>. En este</w:t>
      </w:r>
      <w:r w:rsidRPr="00DA403A">
        <w:rPr>
          <w:rFonts w:ascii="Arial" w:hAnsi="Arial" w:eastAsia="Calibri" w:cs="Arial"/>
          <w:color w:val="000000" w:themeColor="text1"/>
          <w:sz w:val="22"/>
        </w:rPr>
        <w:t xml:space="preserve"> caso</w:t>
      </w:r>
      <w:r w:rsidRPr="00DA403A" w:rsidR="00727DD4">
        <w:rPr>
          <w:rFonts w:ascii="Arial" w:hAnsi="Arial" w:eastAsia="Calibri" w:cs="Arial"/>
          <w:color w:val="000000" w:themeColor="text1"/>
          <w:sz w:val="22"/>
        </w:rPr>
        <w:t xml:space="preserve"> </w:t>
      </w:r>
      <w:r w:rsidRPr="00DA403A">
        <w:rPr>
          <w:rFonts w:ascii="Arial" w:hAnsi="Arial" w:eastAsia="Calibri" w:cs="Arial"/>
          <w:color w:val="000000" w:themeColor="text1"/>
          <w:sz w:val="22"/>
        </w:rPr>
        <w:t xml:space="preserve">su ejecución estará sometida a la Ley 80 de 1993 a menos que la entidad ejecutora </w:t>
      </w:r>
      <w:r w:rsidRPr="00DA403A" w:rsidR="00D940DB">
        <w:rPr>
          <w:rFonts w:ascii="Arial" w:hAnsi="Arial" w:eastAsia="Calibri" w:cs="Arial"/>
          <w:color w:val="000000" w:themeColor="text1"/>
          <w:sz w:val="22"/>
        </w:rPr>
        <w:t>–</w:t>
      </w:r>
      <w:r w:rsidRPr="00DA403A">
        <w:rPr>
          <w:rFonts w:ascii="Arial" w:hAnsi="Arial" w:eastAsia="Calibri" w:cs="Arial"/>
          <w:color w:val="000000" w:themeColor="text1"/>
          <w:sz w:val="22"/>
        </w:rPr>
        <w:t>entidad con régimen especial</w:t>
      </w:r>
      <w:r w:rsidRPr="00DA403A" w:rsidR="00D940DB">
        <w:rPr>
          <w:rFonts w:ascii="Arial" w:hAnsi="Arial" w:eastAsia="Calibri" w:cs="Arial"/>
          <w:color w:val="000000" w:themeColor="text1"/>
          <w:sz w:val="22"/>
        </w:rPr>
        <w:t>–</w:t>
      </w:r>
      <w:r w:rsidRPr="00DA403A">
        <w:rPr>
          <w:rFonts w:ascii="Arial" w:hAnsi="Arial" w:eastAsia="Calibri" w:cs="Arial"/>
          <w:color w:val="000000" w:themeColor="text1"/>
          <w:sz w:val="22"/>
        </w:rPr>
        <w:t xml:space="preserve"> desarrolle su actividad en competencia con el sector privado o que la ejecución del contrato interadministrativo tenga relación directa con el desarrollo de su actividad</w:t>
      </w:r>
      <w:r w:rsidRPr="00DA403A">
        <w:rPr>
          <w:rStyle w:val="Refdenotaalpie"/>
          <w:rFonts w:ascii="Arial" w:hAnsi="Arial" w:eastAsia="Calibri" w:cs="Arial"/>
          <w:color w:val="000000" w:themeColor="text1"/>
          <w:sz w:val="22"/>
        </w:rPr>
        <w:footnoteReference w:id="27"/>
      </w:r>
      <w:r w:rsidRPr="00DA403A">
        <w:rPr>
          <w:rFonts w:ascii="Arial" w:hAnsi="Arial" w:eastAsia="Calibri" w:cs="Arial"/>
          <w:color w:val="000000" w:themeColor="text1"/>
          <w:sz w:val="22"/>
        </w:rPr>
        <w:t>.</w:t>
      </w:r>
    </w:p>
    <w:p w:rsidRPr="00DA403A" w:rsidR="005548C5" w:rsidP="006D6FD9" w:rsidRDefault="005548C5" w14:paraId="320765FB" w14:textId="7594F942">
      <w:pPr>
        <w:spacing w:before="120" w:after="120" w:line="276" w:lineRule="auto"/>
        <w:ind w:firstLine="708"/>
        <w:jc w:val="both"/>
        <w:rPr>
          <w:rFonts w:ascii="Arial" w:hAnsi="Arial" w:eastAsia="Calibri" w:cs="Arial"/>
          <w:color w:val="000000" w:themeColor="text1"/>
          <w:sz w:val="22"/>
        </w:rPr>
      </w:pPr>
      <w:r w:rsidRPr="00DA403A">
        <w:rPr>
          <w:rFonts w:ascii="Arial" w:hAnsi="Arial" w:eastAsia="Calibri" w:cs="Arial"/>
          <w:color w:val="000000" w:themeColor="text1"/>
          <w:sz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DA403A">
        <w:rPr>
          <w:rStyle w:val="Refdenotaalpie"/>
          <w:rFonts w:ascii="Arial" w:hAnsi="Arial" w:eastAsia="Calibri" w:cs="Arial"/>
          <w:color w:val="000000" w:themeColor="text1"/>
          <w:sz w:val="22"/>
        </w:rPr>
        <w:footnoteReference w:id="28"/>
      </w:r>
      <w:r w:rsidRPr="00DA403A">
        <w:rPr>
          <w:rFonts w:ascii="Arial" w:hAnsi="Arial" w:eastAsia="Calibri" w:cs="Arial"/>
          <w:color w:val="000000" w:themeColor="text1"/>
          <w:sz w:val="22"/>
        </w:rPr>
        <w:t>. Nótese que, en este caso, lo que cambia es la modalidad de selección y no la naturaleza de contrato interadministrativo.</w:t>
      </w:r>
    </w:p>
    <w:p w:rsidRPr="00DA403A" w:rsidR="00617345" w:rsidP="001D21C7" w:rsidRDefault="00E30022" w14:paraId="7D3B7C84" w14:textId="5EF19192">
      <w:pPr>
        <w:pStyle w:val="Textoindependiente"/>
        <w:spacing w:before="120" w:line="276" w:lineRule="auto"/>
        <w:ind w:right="112" w:firstLine="708"/>
        <w:jc w:val="both"/>
        <w:rPr>
          <w:color w:val="000000" w:themeColor="text1"/>
          <w:lang w:val="es-MX"/>
        </w:rPr>
      </w:pPr>
      <w:r w:rsidRPr="00DA403A">
        <w:rPr>
          <w:rFonts w:eastAsia="Calibri"/>
          <w:color w:val="000000" w:themeColor="text1"/>
          <w:lang w:val="es-MX"/>
        </w:rPr>
        <w:t xml:space="preserve">En conclusión, teniendo en cuenta que las universidades públicas no </w:t>
      </w:r>
      <w:r w:rsidRPr="00DA403A">
        <w:t xml:space="preserve">encuadran en el concepto de </w:t>
      </w:r>
      <w:r w:rsidRPr="00DA403A" w:rsidR="00C41848">
        <w:t>entidades descentralizadas, ni entidades territoriales</w:t>
      </w:r>
      <w:r w:rsidRPr="00DA403A">
        <w:t xml:space="preserve">, </w:t>
      </w:r>
      <w:r w:rsidRPr="00DA403A" w:rsidR="00D940DB">
        <w:t xml:space="preserve">conforme lo desarrollo en el numeral 2.2. de este concepto, </w:t>
      </w:r>
      <w:r w:rsidRPr="00DA403A">
        <w:t xml:space="preserve">no son destinatarias de la restricción del artículo 38 de la Ley 996 de 2005, pero sí de la restricción del artículo 33 </w:t>
      </w:r>
      <w:proofErr w:type="spellStart"/>
      <w:r w:rsidRPr="00DA403A">
        <w:t>ibídem</w:t>
      </w:r>
      <w:proofErr w:type="spellEnd"/>
      <w:r w:rsidRPr="00DA403A" w:rsidR="00727DD4">
        <w:t>. Esto, por cuanto la restricción del artículo 33</w:t>
      </w:r>
      <w:r w:rsidRPr="00DA403A">
        <w:t xml:space="preserve"> recae sobre todos los entes del Estado </w:t>
      </w:r>
      <w:r w:rsidRPr="00DA403A">
        <w:rPr>
          <w:color w:val="000000" w:themeColor="text1"/>
          <w:lang w:val="es-MX"/>
        </w:rPr>
        <w:t>sin importar su régimen jurídico, forma de organización o naturaleza, pertenencia a una u otra rama del poder público o su autonomía</w:t>
      </w:r>
      <w:r w:rsidRPr="00DA403A" w:rsidR="00D940DB">
        <w:rPr>
          <w:rStyle w:val="Refdenotaalpie"/>
          <w:color w:val="000000" w:themeColor="text1"/>
          <w:lang w:val="es-MX"/>
        </w:rPr>
        <w:footnoteReference w:id="29"/>
      </w:r>
      <w:r w:rsidRPr="00DA403A">
        <w:rPr>
          <w:color w:val="000000" w:themeColor="text1"/>
          <w:lang w:val="es-MX"/>
        </w:rPr>
        <w:t>.</w:t>
      </w:r>
    </w:p>
    <w:p w:rsidRPr="00DA403A" w:rsidR="00F54F7B" w:rsidP="001D21C7" w:rsidRDefault="00F54F7B" w14:paraId="0D59FFE0" w14:textId="77777777">
      <w:pPr>
        <w:pStyle w:val="Textoindependiente"/>
        <w:spacing w:line="276" w:lineRule="auto"/>
        <w:ind w:right="112" w:firstLine="708"/>
        <w:jc w:val="both"/>
      </w:pPr>
    </w:p>
    <w:p w:rsidRPr="00DA403A" w:rsidR="00727DD4" w:rsidP="003A5B09" w:rsidRDefault="00E30022" w14:paraId="4E6E79C5" w14:textId="46DC0663">
      <w:pPr>
        <w:spacing w:line="276" w:lineRule="auto"/>
        <w:jc w:val="both"/>
        <w:rPr>
          <w:rFonts w:ascii="Arial" w:hAnsi="Arial" w:eastAsia="Calibri" w:cs="Arial"/>
          <w:b/>
          <w:bCs/>
          <w:color w:val="000000" w:themeColor="text1"/>
          <w:sz w:val="22"/>
        </w:rPr>
      </w:pPr>
      <w:r w:rsidRPr="00DA403A">
        <w:rPr>
          <w:rFonts w:ascii="Arial" w:hAnsi="Arial" w:eastAsia="Calibri" w:cs="Arial"/>
          <w:b/>
          <w:bCs/>
          <w:color w:val="000000" w:themeColor="text1"/>
          <w:sz w:val="22"/>
        </w:rPr>
        <w:t>2.</w:t>
      </w:r>
      <w:r w:rsidRPr="00DA403A" w:rsidR="00550AF5">
        <w:rPr>
          <w:rFonts w:ascii="Arial" w:hAnsi="Arial" w:eastAsia="Calibri" w:cs="Arial"/>
          <w:b/>
          <w:bCs/>
          <w:color w:val="000000" w:themeColor="text1"/>
          <w:sz w:val="22"/>
        </w:rPr>
        <w:t>4.</w:t>
      </w:r>
      <w:r w:rsidRPr="00DA403A" w:rsidR="00D56CC4">
        <w:rPr>
          <w:rFonts w:ascii="Arial" w:hAnsi="Arial" w:eastAsia="Calibri" w:cs="Arial"/>
          <w:b/>
          <w:bCs/>
          <w:color w:val="000000" w:themeColor="text1"/>
          <w:sz w:val="22"/>
        </w:rPr>
        <w:t xml:space="preserve"> Contratos con organismos internacionales </w:t>
      </w:r>
      <w:r w:rsidRPr="00DA403A" w:rsidR="006A7C71">
        <w:rPr>
          <w:rFonts w:ascii="Arial" w:hAnsi="Arial" w:eastAsia="Calibri" w:cs="Arial"/>
          <w:b/>
          <w:bCs/>
          <w:color w:val="000000" w:themeColor="text1"/>
          <w:sz w:val="22"/>
        </w:rPr>
        <w:t>y la restricción del artículo 33 de la Ley 996 de 2005</w:t>
      </w:r>
    </w:p>
    <w:p w:rsidRPr="00DA403A" w:rsidR="00F54F7B" w:rsidP="003A5B09" w:rsidRDefault="00F54F7B" w14:paraId="0528FD15" w14:textId="77777777">
      <w:pPr>
        <w:spacing w:line="276" w:lineRule="auto"/>
        <w:jc w:val="both"/>
        <w:rPr>
          <w:rFonts w:ascii="Arial" w:hAnsi="Arial" w:cs="Arial"/>
          <w:sz w:val="22"/>
          <w:lang w:val="es-ES"/>
        </w:rPr>
      </w:pPr>
    </w:p>
    <w:p w:rsidRPr="00DA403A" w:rsidR="00D56CC4" w:rsidP="006D6FD9" w:rsidRDefault="00D56CC4" w14:paraId="5C5A41AD" w14:textId="1CF89E4C">
      <w:pPr>
        <w:spacing w:before="120" w:after="120" w:line="276" w:lineRule="auto"/>
        <w:jc w:val="both"/>
        <w:rPr>
          <w:rFonts w:ascii="Arial" w:hAnsi="Arial" w:cs="Arial"/>
          <w:sz w:val="22"/>
          <w:lang w:val="es-ES"/>
        </w:rPr>
      </w:pPr>
      <w:r w:rsidRPr="00DA403A">
        <w:rPr>
          <w:rFonts w:ascii="Arial" w:hAnsi="Arial" w:cs="Arial"/>
          <w:sz w:val="22"/>
          <w:lang w:val="es-ES"/>
        </w:rPr>
        <w:t>Aunque</w:t>
      </w:r>
      <w:r w:rsidRPr="00DA403A" w:rsidR="00530EAD">
        <w:rPr>
          <w:rFonts w:ascii="Arial" w:hAnsi="Arial" w:cs="Arial"/>
          <w:sz w:val="22"/>
          <w:lang w:val="es-ES"/>
        </w:rPr>
        <w:t xml:space="preserve"> la consulta no especifica el</w:t>
      </w:r>
      <w:r w:rsidRPr="00DA403A">
        <w:rPr>
          <w:rFonts w:ascii="Arial" w:hAnsi="Arial" w:cs="Arial"/>
          <w:sz w:val="22"/>
          <w:lang w:val="es-ES"/>
        </w:rPr>
        <w:t xml:space="preserve"> tipo de entidades internacionales a </w:t>
      </w:r>
      <w:r w:rsidRPr="00DA403A" w:rsidR="00530EAD">
        <w:rPr>
          <w:rFonts w:ascii="Arial" w:hAnsi="Arial" w:cs="Arial"/>
          <w:sz w:val="22"/>
          <w:lang w:val="es-ES"/>
        </w:rPr>
        <w:t xml:space="preserve">que </w:t>
      </w:r>
      <w:r w:rsidRPr="00DA403A">
        <w:rPr>
          <w:rFonts w:ascii="Arial" w:hAnsi="Arial" w:cs="Arial"/>
          <w:sz w:val="22"/>
          <w:lang w:val="es-ES"/>
        </w:rPr>
        <w:t>se refiere, se abordará de manera general el concepto de organismos internaciona</w:t>
      </w:r>
      <w:r w:rsidRPr="00DA403A" w:rsidR="00530EAD">
        <w:rPr>
          <w:rFonts w:ascii="Arial" w:hAnsi="Arial" w:cs="Arial"/>
          <w:sz w:val="22"/>
          <w:lang w:val="es-ES"/>
        </w:rPr>
        <w:t xml:space="preserve">les desarrollado en el </w:t>
      </w:r>
      <w:r w:rsidRPr="00DA403A" w:rsidR="006A7C71">
        <w:rPr>
          <w:rFonts w:ascii="Arial" w:hAnsi="Arial" w:cs="Arial"/>
          <w:sz w:val="22"/>
          <w:lang w:val="es-ES"/>
        </w:rPr>
        <w:t xml:space="preserve">Concepto C-296 del 22 de junio de 2021 y C-559 del 31 de agosto de 2021 por parte de esta Agencia, en relación con la aplicación de la Ley de garantías electorales, por lo que se reiterarán dichas </w:t>
      </w:r>
      <w:proofErr w:type="gramStart"/>
      <w:r w:rsidRPr="00DA403A" w:rsidR="006A7C71">
        <w:rPr>
          <w:rFonts w:ascii="Arial" w:hAnsi="Arial" w:cs="Arial"/>
          <w:sz w:val="22"/>
          <w:lang w:val="es-ES"/>
        </w:rPr>
        <w:t>consideraciones.</w:t>
      </w:r>
      <w:r w:rsidRPr="00DA403A" w:rsidR="00815AF9">
        <w:rPr>
          <w:rFonts w:ascii="Arial" w:hAnsi="Arial" w:cs="Arial"/>
          <w:sz w:val="22"/>
          <w:lang w:val="es-ES"/>
        </w:rPr>
        <w:t>.</w:t>
      </w:r>
      <w:proofErr w:type="gramEnd"/>
    </w:p>
    <w:p w:rsidRPr="00DA403A" w:rsidR="00D56CC4" w:rsidP="006D6FD9" w:rsidRDefault="00727DD4" w14:paraId="2EFED2D6" w14:textId="37550D6D">
      <w:pPr>
        <w:spacing w:before="120" w:after="120" w:line="276" w:lineRule="auto"/>
        <w:ind w:firstLine="708"/>
        <w:jc w:val="both"/>
        <w:rPr>
          <w:rFonts w:ascii="Arial" w:hAnsi="Arial" w:cs="Arial"/>
          <w:sz w:val="22"/>
          <w:lang w:val="es-ES"/>
        </w:rPr>
      </w:pPr>
      <w:r w:rsidRPr="00DA403A">
        <w:rPr>
          <w:rFonts w:ascii="Arial" w:hAnsi="Arial" w:cs="Arial"/>
          <w:sz w:val="22"/>
          <w:lang w:val="es-ES"/>
        </w:rPr>
        <w:t>En ese sentido, hay que empezar por indicar que se entiendo p</w:t>
      </w:r>
      <w:r w:rsidRPr="00DA403A" w:rsidR="00D56CC4">
        <w:rPr>
          <w:rFonts w:ascii="Arial" w:hAnsi="Arial" w:cs="Arial"/>
          <w:sz w:val="22"/>
          <w:lang w:val="es-ES"/>
        </w:rPr>
        <w:t>or organismo internacional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DA403A" w:rsidR="00D56CC4">
        <w:rPr>
          <w:rStyle w:val="Refdenotaalpie"/>
          <w:rFonts w:ascii="Arial" w:hAnsi="Arial" w:cs="Arial"/>
          <w:sz w:val="22"/>
          <w:lang w:val="es-ES"/>
        </w:rPr>
        <w:footnoteReference w:id="30"/>
      </w:r>
      <w:r w:rsidRPr="00DA403A" w:rsidR="00D56CC4">
        <w:rPr>
          <w:rFonts w:ascii="Arial" w:hAnsi="Arial" w:cs="Arial"/>
          <w:sz w:val="22"/>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rsidRPr="00DA403A" w:rsidR="00D56CC4" w:rsidP="00984FE6" w:rsidRDefault="00D56CC4" w14:paraId="374A175D" w14:textId="6B67EF1B">
      <w:pPr>
        <w:spacing w:before="120" w:after="120" w:line="276" w:lineRule="auto"/>
        <w:ind w:firstLine="709"/>
        <w:jc w:val="both"/>
        <w:rPr>
          <w:rFonts w:ascii="Arial" w:hAnsi="Arial" w:cs="Arial"/>
          <w:bCs/>
          <w:color w:val="000000"/>
          <w:sz w:val="22"/>
          <w:lang w:eastAsia="es-CO"/>
        </w:rPr>
      </w:pPr>
      <w:r w:rsidRPr="00DA403A">
        <w:rPr>
          <w:rFonts w:ascii="Arial" w:hAnsi="Arial" w:eastAsia="Calibri" w:cs="Arial"/>
          <w:color w:val="000000" w:themeColor="text1"/>
          <w:sz w:val="22"/>
        </w:rPr>
        <w:t xml:space="preserve">Ahora bien, para la restricción del artículo 33 de la </w:t>
      </w:r>
      <w:r w:rsidRPr="00DA403A">
        <w:rPr>
          <w:rFonts w:ascii="Arial" w:hAnsi="Arial" w:cs="Arial"/>
          <w:bCs/>
          <w:color w:val="000000"/>
          <w:sz w:val="22"/>
          <w:lang w:eastAsia="es-CO"/>
        </w:rPr>
        <w:t xml:space="preserve">Ley 996 de 2005 es necesario considerar que </w:t>
      </w:r>
      <w:r w:rsidRPr="00DA403A">
        <w:rPr>
          <w:rFonts w:ascii="Arial" w:hAnsi="Arial" w:eastAsia="Calibri" w:cs="Arial"/>
          <w:sz w:val="22"/>
          <w:lang w:val="es-ES"/>
        </w:rPr>
        <w:t>el artículo 20 de la Ley 1150 de 2007</w:t>
      </w:r>
      <w:r w:rsidRPr="00DA403A">
        <w:rPr>
          <w:rFonts w:ascii="Arial" w:hAnsi="Arial" w:cs="Arial"/>
          <w:bCs/>
          <w:color w:val="000000"/>
          <w:sz w:val="22"/>
          <w:lang w:eastAsia="es-CO"/>
        </w:rPr>
        <w:t xml:space="preserve"> consagra un régimen jurídico que exceptúa la aplicación del Estatuto General de Contratación de la Administración Pública. A diferencia del régimen de las empresas de servicios públicos domiciliarios, las empresas industriales y comerciales del Estado, las empresas sociales del Estado, entre otras, la excepción prevista para los contratos suscritos con organismos internacionales –más que </w:t>
      </w:r>
      <w:r w:rsidRPr="00DA403A">
        <w:rPr>
          <w:rFonts w:ascii="Arial" w:hAnsi="Arial" w:cs="Arial"/>
          <w:bCs/>
          <w:color w:val="000000"/>
          <w:sz w:val="22"/>
          <w:lang w:eastAsia="es-CO"/>
        </w:rPr>
        <w:lastRenderedPageBreak/>
        <w:t>privilegiar la competencia económica– flexibiliza el régimen contractual aplicable</w:t>
      </w:r>
      <w:r w:rsidRPr="00DA403A">
        <w:rPr>
          <w:rStyle w:val="Refdenotaalpie"/>
          <w:rFonts w:ascii="Arial" w:hAnsi="Arial" w:cs="Arial"/>
          <w:bCs/>
          <w:color w:val="000000"/>
          <w:sz w:val="22"/>
          <w:lang w:eastAsia="es-CO"/>
        </w:rPr>
        <w:footnoteReference w:id="31"/>
      </w:r>
      <w:r w:rsidRPr="00DA403A">
        <w:rPr>
          <w:rFonts w:ascii="Arial" w:hAnsi="Arial" w:cs="Arial"/>
          <w:bCs/>
          <w:color w:val="000000"/>
          <w:sz w:val="22"/>
          <w:lang w:eastAsia="es-CO"/>
        </w:rPr>
        <w:t>. Para la doctrina, esta excepción se consagra de acuerdo con el objeto del contrato celebrado, por lo que no se realiza en consideración al sector específico al que pertenece la entidad, la asignación de un esquema legal propio a esta o por la naturaleza del fondo encargado de administrar recursos públicos. Por ello, explica que:</w:t>
      </w:r>
    </w:p>
    <w:p w:rsidRPr="00DA403A" w:rsidR="00D56CC4" w:rsidP="00D56CC4" w:rsidRDefault="00D56CC4" w14:paraId="306F1830" w14:textId="77777777">
      <w:pPr>
        <w:ind w:left="709" w:right="709"/>
        <w:jc w:val="both"/>
        <w:rPr>
          <w:rFonts w:ascii="Arial" w:hAnsi="Arial" w:cs="Arial"/>
          <w:bCs/>
          <w:color w:val="000000"/>
          <w:sz w:val="21"/>
          <w:szCs w:val="21"/>
          <w:lang w:eastAsia="es-CO"/>
        </w:rPr>
      </w:pPr>
      <w:r w:rsidRPr="00DA403A">
        <w:rPr>
          <w:rFonts w:ascii="Arial" w:hAnsi="Arial" w:cs="Arial"/>
          <w:bCs/>
          <w:color w:val="000000"/>
          <w:sz w:val="21"/>
          <w:szCs w:val="21"/>
          <w:lang w:eastAsia="es-CO"/>
        </w:rPr>
        <w:t>Tradicionalmente se plantea la existencia de regímenes especiales de contratación desde la perspectiva orgánica o subjetiva. Sin embargo, la tendencia es crear regímenes especiales por el contrato llamados de múltiples formas con diferentes propósitos. A través de esta modalidad de asignación, el legislador otorga a la entidad, en algunos casos sin importar su régimen, la posibilidad de celebrar un contrato tipificado del régimen especial sin acudir a las reglas de selección del régimen general de contratación. Lo usual es que en los casos excepcionales la selección sea directa o por lo menos con menos exigencias</w:t>
      </w:r>
      <w:r w:rsidRPr="00DA403A">
        <w:rPr>
          <w:rStyle w:val="Refdenotaalpie"/>
          <w:rFonts w:ascii="Arial" w:hAnsi="Arial" w:cs="Arial"/>
          <w:bCs/>
          <w:color w:val="000000"/>
          <w:sz w:val="21"/>
          <w:szCs w:val="21"/>
          <w:lang w:eastAsia="es-CO"/>
        </w:rPr>
        <w:footnoteReference w:id="32"/>
      </w:r>
      <w:r w:rsidRPr="00DA403A">
        <w:rPr>
          <w:rFonts w:ascii="Arial" w:hAnsi="Arial" w:cs="Arial"/>
          <w:bCs/>
          <w:color w:val="000000"/>
          <w:sz w:val="21"/>
          <w:szCs w:val="21"/>
          <w:lang w:eastAsia="es-CO"/>
        </w:rPr>
        <w:t>.</w:t>
      </w:r>
    </w:p>
    <w:p w:rsidRPr="00DA403A" w:rsidR="00D56CC4" w:rsidP="00D56CC4" w:rsidRDefault="00D56CC4" w14:paraId="30FFB544" w14:textId="77777777">
      <w:pPr>
        <w:spacing w:line="276" w:lineRule="auto"/>
        <w:ind w:left="709" w:right="709"/>
        <w:jc w:val="both"/>
        <w:rPr>
          <w:rFonts w:ascii="Arial" w:hAnsi="Arial" w:cs="Arial"/>
          <w:bCs/>
          <w:color w:val="000000"/>
          <w:sz w:val="22"/>
          <w:lang w:eastAsia="es-CO"/>
        </w:rPr>
      </w:pPr>
    </w:p>
    <w:p w:rsidRPr="00DA403A" w:rsidR="006A7C71" w:rsidP="006A7C71" w:rsidRDefault="00D56CC4" w14:paraId="1ABD84AB" w14:textId="6AA6B4A5">
      <w:pPr>
        <w:spacing w:after="120" w:line="276" w:lineRule="auto"/>
        <w:ind w:firstLine="709"/>
        <w:jc w:val="both"/>
        <w:rPr>
          <w:rFonts w:ascii="Arial" w:hAnsi="Arial" w:cs="Arial"/>
          <w:bCs/>
          <w:color w:val="000000"/>
          <w:sz w:val="22"/>
          <w:lang w:eastAsia="es-CO"/>
        </w:rPr>
      </w:pPr>
      <w:r w:rsidRPr="00DA403A">
        <w:rPr>
          <w:rFonts w:ascii="Arial" w:hAnsi="Arial" w:cs="Arial"/>
          <w:bCs/>
          <w:color w:val="000000"/>
          <w:sz w:val="22"/>
          <w:lang w:eastAsia="es-CO"/>
        </w:rPr>
        <w:t>Pese a lo anterior, la prohibi</w:t>
      </w:r>
      <w:r w:rsidRPr="00DA403A" w:rsidR="00617345">
        <w:rPr>
          <w:rFonts w:ascii="Arial" w:hAnsi="Arial" w:cs="Arial"/>
          <w:bCs/>
          <w:color w:val="000000"/>
          <w:sz w:val="22"/>
          <w:lang w:eastAsia="es-CO"/>
        </w:rPr>
        <w:t>ción de contratación directa de</w:t>
      </w:r>
      <w:r w:rsidRPr="00DA403A">
        <w:rPr>
          <w:rFonts w:ascii="Arial" w:hAnsi="Arial" w:cs="Arial"/>
          <w:bCs/>
          <w:color w:val="000000"/>
          <w:sz w:val="22"/>
          <w:lang w:eastAsia="es-CO"/>
        </w:rPr>
        <w:t xml:space="preserve"> la Ley de Garantías es independiente del régimen contractual. Así</w:t>
      </w:r>
      <w:r w:rsidRPr="00DA403A" w:rsidR="0098135B">
        <w:rPr>
          <w:rFonts w:ascii="Arial" w:hAnsi="Arial" w:cs="Arial"/>
          <w:bCs/>
          <w:color w:val="000000"/>
          <w:sz w:val="22"/>
          <w:lang w:eastAsia="es-CO"/>
        </w:rPr>
        <w:t>,</w:t>
      </w:r>
      <w:r w:rsidRPr="00DA403A">
        <w:rPr>
          <w:rFonts w:ascii="Arial" w:hAnsi="Arial" w:cs="Arial"/>
          <w:bCs/>
          <w:color w:val="000000"/>
          <w:sz w:val="22"/>
          <w:lang w:eastAsia="es-CO"/>
        </w:rPr>
        <w:t xml:space="preserve">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DA403A">
        <w:rPr>
          <w:rFonts w:ascii="Arial" w:hAnsi="Arial" w:cs="Arial"/>
          <w:bCs/>
          <w:i/>
          <w:iCs/>
          <w:color w:val="000000"/>
          <w:sz w:val="22"/>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DA403A">
        <w:rPr>
          <w:rFonts w:ascii="Arial" w:hAnsi="Arial" w:cs="Arial"/>
          <w:bCs/>
          <w:color w:val="000000"/>
          <w:sz w:val="22"/>
          <w:lang w:eastAsia="es-CO"/>
        </w:rPr>
        <w:t>»</w:t>
      </w:r>
      <w:r w:rsidRPr="00DA403A">
        <w:rPr>
          <w:rStyle w:val="Refdenotaalpie"/>
          <w:rFonts w:ascii="Arial" w:hAnsi="Arial" w:cs="Arial"/>
          <w:bCs/>
          <w:color w:val="000000"/>
          <w:sz w:val="22"/>
          <w:lang w:eastAsia="es-CO"/>
        </w:rPr>
        <w:footnoteReference w:id="33"/>
      </w:r>
      <w:r w:rsidRPr="00DA403A">
        <w:rPr>
          <w:rFonts w:ascii="Arial" w:hAnsi="Arial" w:cs="Arial"/>
          <w:bCs/>
          <w:color w:val="000000"/>
          <w:sz w:val="22"/>
          <w:lang w:eastAsia="es-CO"/>
        </w:rPr>
        <w:t xml:space="preserve"> (Énfasis fuera de texto). </w:t>
      </w:r>
      <w:r w:rsidRPr="00DA403A" w:rsidR="006A7C71">
        <w:rPr>
          <w:rFonts w:ascii="Arial" w:hAnsi="Arial" w:cs="Arial"/>
          <w:bCs/>
          <w:color w:val="000000"/>
          <w:sz w:val="22"/>
          <w:lang w:eastAsia="es-CO"/>
        </w:rPr>
        <w:t xml:space="preserve">Por tanto, durante la vigencia de la prohibición del artículo 33 de la Ley 996 de 2005 está restringida cualquier modalidad de selección que excluya la pluralidad de oferentes para los contratos que celebren las entidades, incluidos los que celebren entidades </w:t>
      </w:r>
      <w:r w:rsidRPr="00DA403A" w:rsidR="006A7C71">
        <w:rPr>
          <w:rFonts w:ascii="Arial" w:hAnsi="Arial" w:cs="Arial"/>
          <w:bCs/>
          <w:color w:val="000000"/>
          <w:sz w:val="22"/>
          <w:lang w:eastAsia="es-CO"/>
        </w:rPr>
        <w:lastRenderedPageBreak/>
        <w:t>colombianas con régimen especial de contratación, tal como se expresó en el numeral 2.4.1 de este concepto.</w:t>
      </w:r>
    </w:p>
    <w:p w:rsidRPr="00DA403A" w:rsidR="006A7C71" w:rsidP="006A7C71" w:rsidRDefault="006A7C71" w14:paraId="7397621E" w14:textId="033409A1">
      <w:pPr>
        <w:spacing w:line="276" w:lineRule="auto"/>
        <w:ind w:firstLine="709"/>
        <w:jc w:val="both"/>
        <w:rPr>
          <w:rFonts w:ascii="Arial" w:hAnsi="Arial" w:cs="Arial"/>
          <w:bCs/>
          <w:color w:val="000000"/>
          <w:sz w:val="22"/>
          <w:lang w:eastAsia="es-CO"/>
        </w:rPr>
      </w:pPr>
      <w:r w:rsidRPr="00DA403A">
        <w:rPr>
          <w:rFonts w:ascii="Arial" w:hAnsi="Arial" w:cs="Arial"/>
          <w:bCs/>
          <w:color w:val="000000"/>
          <w:sz w:val="22"/>
          <w:lang w:eastAsia="es-CO"/>
        </w:rPr>
        <w:t xml:space="preserve">Sin perjuicio de la regla general anterior, cabe señalar que en el concepto C-559 del 31 de agosto de 2021, esta Agencia, no obstante reiterar lo indicado, señaló que en los casos excepcionales en que los contratos que suscriban las entidades estatales con organismos internacionales </w:t>
      </w:r>
      <w:r w:rsidRPr="00DA403A" w:rsidR="00846C40">
        <w:rPr>
          <w:rFonts w:ascii="Arial" w:hAnsi="Arial" w:cs="Arial"/>
          <w:bCs/>
          <w:color w:val="000000"/>
          <w:sz w:val="22"/>
          <w:lang w:eastAsia="es-CO"/>
        </w:rPr>
        <w:t xml:space="preserve">o los celebrados con fundamento en dichos convenios </w:t>
      </w:r>
      <w:r w:rsidRPr="00DA403A">
        <w:rPr>
          <w:rFonts w:ascii="Arial" w:hAnsi="Arial" w:cs="Arial"/>
          <w:bCs/>
          <w:color w:val="000000"/>
          <w:sz w:val="22"/>
          <w:lang w:eastAsia="es-CO"/>
        </w:rPr>
        <w:t>no se rijan por las normas nacionales</w:t>
      </w:r>
      <w:r w:rsidRPr="001D21C7" w:rsidR="00FA4784">
        <w:rPr>
          <w:rFonts w:ascii="Arial" w:hAnsi="Arial" w:cs="Arial"/>
          <w:bCs/>
          <w:color w:val="000000"/>
          <w:sz w:val="22"/>
          <w:lang w:eastAsia="es-CO"/>
        </w:rPr>
        <w:t xml:space="preserve"> y sean financiados</w:t>
      </w:r>
      <w:r w:rsidRPr="00DA403A" w:rsidR="00B40038">
        <w:rPr>
          <w:rFonts w:ascii="Arial" w:hAnsi="Arial" w:cs="Arial"/>
          <w:bCs/>
          <w:color w:val="000000"/>
          <w:sz w:val="22"/>
          <w:lang w:eastAsia="es-CO"/>
        </w:rPr>
        <w:t xml:space="preserve"> en su mayoría con recursos provenientes de</w:t>
      </w:r>
      <w:r w:rsidRPr="00DA403A" w:rsidR="00F525D0">
        <w:rPr>
          <w:rFonts w:ascii="Arial" w:hAnsi="Arial" w:cs="Arial"/>
          <w:bCs/>
          <w:color w:val="000000"/>
          <w:sz w:val="22"/>
          <w:lang w:eastAsia="es-CO"/>
        </w:rPr>
        <w:t xml:space="preserve"> organismos internacionales</w:t>
      </w:r>
      <w:r w:rsidRPr="00DA403A">
        <w:rPr>
          <w:rFonts w:ascii="Arial" w:hAnsi="Arial" w:cs="Arial"/>
          <w:bCs/>
          <w:color w:val="000000"/>
          <w:sz w:val="22"/>
          <w:lang w:eastAsia="es-CO"/>
        </w:rPr>
        <w:t>, en tales supuestos no aplicaría la restricción establecida en el artículo 33 de la Ley 996 de 2005. De esta manera, en dicho concepto se señaló:</w:t>
      </w:r>
    </w:p>
    <w:p w:rsidRPr="00DA403A" w:rsidR="006A7C71" w:rsidP="006A7C71" w:rsidRDefault="006A7C71" w14:paraId="119C1C7A" w14:textId="77777777">
      <w:pPr>
        <w:ind w:left="709" w:right="709"/>
        <w:jc w:val="both"/>
        <w:rPr>
          <w:rFonts w:ascii="Arial" w:hAnsi="Arial" w:cs="Arial"/>
          <w:b/>
          <w:color w:val="000000"/>
          <w:sz w:val="21"/>
          <w:szCs w:val="21"/>
          <w:lang w:eastAsia="es-CO"/>
        </w:rPr>
      </w:pPr>
    </w:p>
    <w:p w:rsidRPr="00DA403A" w:rsidR="006A7C71" w:rsidP="001D21C7" w:rsidRDefault="006A7C71" w14:paraId="2CFD264D" w14:textId="77777777">
      <w:pPr>
        <w:spacing w:after="120"/>
        <w:ind w:left="709" w:right="709"/>
        <w:jc w:val="both"/>
        <w:rPr>
          <w:rFonts w:ascii="Arial" w:hAnsi="Arial" w:cs="Arial"/>
          <w:b/>
          <w:color w:val="000000"/>
          <w:sz w:val="21"/>
          <w:szCs w:val="21"/>
          <w:lang w:eastAsia="es-CO"/>
        </w:rPr>
      </w:pPr>
      <w:r w:rsidRPr="00DA403A">
        <w:rPr>
          <w:rFonts w:ascii="Arial" w:hAnsi="Arial" w:cs="Arial"/>
          <w:b/>
          <w:color w:val="000000"/>
          <w:sz w:val="21"/>
          <w:szCs w:val="21"/>
          <w:lang w:eastAsia="es-CO"/>
        </w:rPr>
        <w:t>«2.3. Alcance de la restricción del artículo 33 de la ley 996 de 2005 para los contratos financiados con recursos de organismos de crédito.</w:t>
      </w:r>
    </w:p>
    <w:p w:rsidRPr="00DA403A" w:rsidR="006A7C71" w:rsidP="001D21C7" w:rsidRDefault="006A7C71" w14:paraId="1EAE223C" w14:textId="77777777">
      <w:pPr>
        <w:spacing w:after="120"/>
        <w:ind w:left="709" w:right="709"/>
        <w:jc w:val="both"/>
        <w:rPr>
          <w:rFonts w:ascii="Arial" w:hAnsi="Arial" w:cs="Arial"/>
          <w:bCs/>
          <w:color w:val="000000"/>
          <w:sz w:val="21"/>
          <w:szCs w:val="21"/>
          <w:lang w:eastAsia="es-CO"/>
        </w:rPr>
      </w:pPr>
      <w:r w:rsidRPr="00DA403A">
        <w:rPr>
          <w:rFonts w:ascii="Arial" w:hAnsi="Arial" w:cs="Arial"/>
          <w:bCs/>
          <w:color w:val="000000"/>
          <w:sz w:val="21"/>
          <w:szCs w:val="21"/>
          <w:lang w:eastAsia="es-CO"/>
        </w:rPr>
        <w:t>De lo expuesto en los numerales precedentes de este concepto, resulta claro que el legislador prohibió a las Entidades Públicas contratar de manera directa dentro de cuatro (4) meses anteriores a la celebración de las elecciones presidenciales, salvo en los siguientes supuestos:</w:t>
      </w:r>
    </w:p>
    <w:p w:rsidRPr="00DA403A" w:rsidR="006A7C71" w:rsidP="006A7C71" w:rsidRDefault="006A7C71" w14:paraId="30F40CDE" w14:textId="77777777">
      <w:pPr>
        <w:pStyle w:val="Prrafodelista"/>
        <w:numPr>
          <w:ilvl w:val="0"/>
          <w:numId w:val="14"/>
        </w:numPr>
        <w:tabs>
          <w:tab w:val="left" w:pos="1134"/>
        </w:tabs>
        <w:ind w:left="709" w:right="709" w:hanging="4"/>
        <w:jc w:val="both"/>
        <w:rPr>
          <w:rFonts w:ascii="Arial" w:hAnsi="Arial" w:cs="Arial"/>
          <w:bCs/>
          <w:color w:val="000000"/>
          <w:sz w:val="21"/>
          <w:szCs w:val="21"/>
          <w:lang w:eastAsia="es-CO"/>
        </w:rPr>
      </w:pPr>
      <w:r w:rsidRPr="00DA403A">
        <w:rPr>
          <w:rFonts w:ascii="Arial" w:hAnsi="Arial" w:cs="Arial"/>
          <w:bCs/>
          <w:color w:val="000000"/>
          <w:sz w:val="21"/>
          <w:szCs w:val="21"/>
          <w:lang w:eastAsia="es-CO"/>
        </w:rPr>
        <w:t xml:space="preserve">Defensa y seguridad del Estado, </w:t>
      </w:r>
    </w:p>
    <w:p w:rsidRPr="00DA403A" w:rsidR="006A7C71" w:rsidP="006A7C71" w:rsidRDefault="006A7C71" w14:paraId="1D9E62BD" w14:textId="77777777">
      <w:pPr>
        <w:pStyle w:val="Prrafodelista"/>
        <w:numPr>
          <w:ilvl w:val="0"/>
          <w:numId w:val="14"/>
        </w:numPr>
        <w:tabs>
          <w:tab w:val="left" w:pos="1134"/>
        </w:tabs>
        <w:ind w:left="709" w:right="709" w:hanging="4"/>
        <w:jc w:val="both"/>
        <w:rPr>
          <w:rFonts w:ascii="Arial" w:hAnsi="Arial" w:cs="Arial"/>
          <w:bCs/>
          <w:color w:val="000000"/>
          <w:sz w:val="21"/>
          <w:szCs w:val="21"/>
          <w:lang w:eastAsia="es-CO"/>
        </w:rPr>
      </w:pPr>
      <w:r w:rsidRPr="00DA403A">
        <w:rPr>
          <w:rFonts w:ascii="Arial" w:hAnsi="Arial" w:cs="Arial"/>
          <w:bCs/>
          <w:color w:val="000000"/>
          <w:sz w:val="21"/>
          <w:szCs w:val="21"/>
          <w:lang w:eastAsia="es-CO"/>
        </w:rPr>
        <w:t>Los contratos de crédito público,</w:t>
      </w:r>
    </w:p>
    <w:p w:rsidRPr="00DA403A" w:rsidR="006A7C71" w:rsidP="006A7C71" w:rsidRDefault="006A7C71" w14:paraId="603EA814" w14:textId="77777777">
      <w:pPr>
        <w:pStyle w:val="Prrafodelista"/>
        <w:numPr>
          <w:ilvl w:val="0"/>
          <w:numId w:val="14"/>
        </w:numPr>
        <w:tabs>
          <w:tab w:val="left" w:pos="1134"/>
        </w:tabs>
        <w:ind w:left="709" w:right="709" w:hanging="4"/>
        <w:jc w:val="both"/>
        <w:rPr>
          <w:rFonts w:ascii="Arial" w:hAnsi="Arial" w:cs="Arial"/>
          <w:bCs/>
          <w:color w:val="000000"/>
          <w:sz w:val="21"/>
          <w:szCs w:val="21"/>
          <w:lang w:eastAsia="es-CO"/>
        </w:rPr>
      </w:pPr>
      <w:r w:rsidRPr="00DA403A">
        <w:rPr>
          <w:rFonts w:ascii="Arial" w:hAnsi="Arial" w:cs="Arial"/>
          <w:bCs/>
          <w:color w:val="000000"/>
          <w:sz w:val="21"/>
          <w:szCs w:val="21"/>
          <w:lang w:eastAsia="es-CO"/>
        </w:rPr>
        <w:t xml:space="preserve">Los requeridos para cubrir las emergencias educativas, sanitarias y desastres, así como también los utilizados para la reconstrucción de vías, puentes, </w:t>
      </w:r>
    </w:p>
    <w:p w:rsidRPr="00DA403A" w:rsidR="006A7C71" w:rsidP="006A7C71" w:rsidRDefault="006A7C71" w14:paraId="5EC2E2AD" w14:textId="77777777">
      <w:pPr>
        <w:tabs>
          <w:tab w:val="left" w:pos="1134"/>
        </w:tabs>
        <w:ind w:left="709" w:right="709" w:hanging="4"/>
        <w:jc w:val="both"/>
        <w:rPr>
          <w:rFonts w:ascii="Arial" w:hAnsi="Arial" w:cs="Arial"/>
          <w:bCs/>
          <w:color w:val="000000"/>
          <w:sz w:val="21"/>
          <w:szCs w:val="21"/>
          <w:lang w:eastAsia="es-CO"/>
        </w:rPr>
      </w:pPr>
      <w:r w:rsidRPr="00DA403A">
        <w:rPr>
          <w:rFonts w:ascii="Arial" w:hAnsi="Arial" w:cs="Arial"/>
          <w:bCs/>
          <w:color w:val="000000"/>
          <w:sz w:val="21"/>
          <w:szCs w:val="21"/>
          <w:lang w:eastAsia="es-CO"/>
        </w:rPr>
        <w:t xml:space="preserve">carreteras, infraestructura energética y de comunicaciones, en caso de que </w:t>
      </w:r>
    </w:p>
    <w:p w:rsidRPr="00DA403A" w:rsidR="006A7C71" w:rsidP="006A7C71" w:rsidRDefault="006A7C71" w14:paraId="757EF7C3" w14:textId="77777777">
      <w:pPr>
        <w:tabs>
          <w:tab w:val="left" w:pos="1134"/>
        </w:tabs>
        <w:ind w:left="709" w:right="709" w:hanging="4"/>
        <w:jc w:val="both"/>
        <w:rPr>
          <w:rFonts w:ascii="Arial" w:hAnsi="Arial" w:cs="Arial"/>
          <w:bCs/>
          <w:color w:val="000000"/>
          <w:sz w:val="21"/>
          <w:szCs w:val="21"/>
          <w:lang w:eastAsia="es-CO"/>
        </w:rPr>
      </w:pPr>
      <w:r w:rsidRPr="00DA403A">
        <w:rPr>
          <w:rFonts w:ascii="Arial" w:hAnsi="Arial" w:cs="Arial"/>
          <w:bCs/>
          <w:color w:val="000000"/>
          <w:sz w:val="21"/>
          <w:szCs w:val="21"/>
          <w:lang w:eastAsia="es-CO"/>
        </w:rPr>
        <w:t xml:space="preserve">hayan sido objeto de atentados, acciones terroristas, desastres naturales o casos de fuerza mayor, </w:t>
      </w:r>
    </w:p>
    <w:p w:rsidRPr="00DA403A" w:rsidR="006A7C71" w:rsidP="006A7C71" w:rsidRDefault="006A7C71" w14:paraId="22F3E9C7" w14:textId="77777777">
      <w:pPr>
        <w:pStyle w:val="Prrafodelista"/>
        <w:numPr>
          <w:ilvl w:val="0"/>
          <w:numId w:val="15"/>
        </w:numPr>
        <w:tabs>
          <w:tab w:val="left" w:pos="1134"/>
        </w:tabs>
        <w:ind w:left="709" w:right="709" w:hanging="4"/>
        <w:jc w:val="both"/>
        <w:rPr>
          <w:rFonts w:ascii="Arial" w:hAnsi="Arial" w:cs="Arial"/>
          <w:bCs/>
          <w:color w:val="000000"/>
          <w:sz w:val="21"/>
          <w:szCs w:val="21"/>
          <w:lang w:eastAsia="es-CO"/>
        </w:rPr>
      </w:pPr>
      <w:r w:rsidRPr="00DA403A">
        <w:rPr>
          <w:rFonts w:ascii="Arial" w:hAnsi="Arial" w:cs="Arial"/>
          <w:bCs/>
          <w:color w:val="000000"/>
          <w:sz w:val="21"/>
          <w:szCs w:val="21"/>
          <w:lang w:eastAsia="es-CO"/>
        </w:rPr>
        <w:t>Los que deban realizar las entidades sanitarias y hospitalarias.</w:t>
      </w:r>
    </w:p>
    <w:p w:rsidRPr="00DA403A" w:rsidR="006A7C71" w:rsidP="006A7C71" w:rsidRDefault="006A7C71" w14:paraId="025C4D8A" w14:textId="77777777">
      <w:pPr>
        <w:pStyle w:val="Prrafodelista"/>
        <w:tabs>
          <w:tab w:val="left" w:pos="1134"/>
        </w:tabs>
        <w:ind w:left="709" w:right="709"/>
        <w:jc w:val="both"/>
        <w:rPr>
          <w:rFonts w:ascii="Arial" w:hAnsi="Arial" w:cs="Arial"/>
          <w:bCs/>
          <w:color w:val="000000"/>
          <w:sz w:val="21"/>
          <w:szCs w:val="21"/>
          <w:lang w:eastAsia="es-CO"/>
        </w:rPr>
      </w:pPr>
    </w:p>
    <w:p w:rsidRPr="00DA403A" w:rsidR="006A7C71" w:rsidP="006A7C71" w:rsidRDefault="006A7C71" w14:paraId="2A175D3C" w14:textId="77777777">
      <w:pPr>
        <w:pStyle w:val="Prrafodelista"/>
        <w:tabs>
          <w:tab w:val="left" w:pos="1134"/>
        </w:tabs>
        <w:ind w:left="709" w:right="709"/>
        <w:jc w:val="both"/>
        <w:rPr>
          <w:rFonts w:ascii="Arial" w:hAnsi="Arial" w:cs="Arial"/>
          <w:bCs/>
          <w:color w:val="000000"/>
          <w:sz w:val="21"/>
          <w:szCs w:val="21"/>
          <w:lang w:eastAsia="es-CO"/>
        </w:rPr>
      </w:pPr>
      <w:r w:rsidRPr="00DA403A">
        <w:rPr>
          <w:rFonts w:ascii="Arial" w:hAnsi="Arial" w:cs="Arial"/>
          <w:bCs/>
          <w:color w:val="000000"/>
          <w:sz w:val="21"/>
          <w:szCs w:val="21"/>
          <w:lang w:eastAsia="es-CO"/>
        </w:rPr>
        <w:t xml:space="preserve">Respecto al alcance de esta prohibición contenida en el artículo 33 de la Ley 996 </w:t>
      </w:r>
    </w:p>
    <w:p w:rsidRPr="00DA403A" w:rsidR="006A7C71" w:rsidP="001D21C7" w:rsidRDefault="006A7C71" w14:paraId="5D607FD1" w14:textId="77777777">
      <w:pPr>
        <w:pStyle w:val="Prrafodelista"/>
        <w:tabs>
          <w:tab w:val="left" w:pos="1134"/>
        </w:tabs>
        <w:spacing w:after="120"/>
        <w:ind w:left="709" w:right="709"/>
        <w:contextualSpacing w:val="0"/>
        <w:jc w:val="both"/>
        <w:rPr>
          <w:rFonts w:ascii="Arial" w:hAnsi="Arial" w:cs="Arial"/>
          <w:bCs/>
          <w:color w:val="000000"/>
          <w:sz w:val="21"/>
          <w:szCs w:val="21"/>
          <w:lang w:eastAsia="es-CO"/>
        </w:rPr>
      </w:pPr>
      <w:r w:rsidRPr="00DA403A">
        <w:rPr>
          <w:rFonts w:ascii="Arial" w:hAnsi="Arial" w:cs="Arial"/>
          <w:bCs/>
          <w:color w:val="000000"/>
          <w:sz w:val="21"/>
          <w:szCs w:val="21"/>
          <w:lang w:eastAsia="es-CO"/>
        </w:rPr>
        <w:t xml:space="preserve">de 2005, la Sala de Consulta y Servicio Civil del Consejo de Estado en concepto del 2 de febrero de 2006, expediente 11001-0306-000-2006-00011-00 (1712), aclaró que comprende a la totalidad de los entes del </w:t>
      </w:r>
      <w:proofErr w:type="gramStart"/>
      <w:r w:rsidRPr="00DA403A">
        <w:rPr>
          <w:rFonts w:ascii="Arial" w:hAnsi="Arial" w:cs="Arial"/>
          <w:bCs/>
          <w:color w:val="000000"/>
          <w:sz w:val="21"/>
          <w:szCs w:val="21"/>
          <w:lang w:eastAsia="es-CO"/>
        </w:rPr>
        <w:t>Estado ,</w:t>
      </w:r>
      <w:proofErr w:type="gramEnd"/>
      <w:r w:rsidRPr="00DA403A">
        <w:rPr>
          <w:rFonts w:ascii="Arial" w:hAnsi="Arial" w:cs="Arial"/>
          <w:bCs/>
          <w:color w:val="000000"/>
          <w:sz w:val="21"/>
          <w:szCs w:val="21"/>
          <w:lang w:eastAsia="es-CO"/>
        </w:rPr>
        <w:t xml:space="preserve"> sin que resulten relevantes su régimen jurídico, forma de organización o naturaleza, su pertenencia a una u otra rama del poder público o su autonomía.</w:t>
      </w:r>
    </w:p>
    <w:p w:rsidRPr="00DA403A" w:rsidR="006A7C71" w:rsidP="001D21C7" w:rsidRDefault="006A7C71" w14:paraId="5CE1500A" w14:textId="77777777">
      <w:pPr>
        <w:pStyle w:val="Prrafodelista"/>
        <w:tabs>
          <w:tab w:val="left" w:pos="1134"/>
        </w:tabs>
        <w:spacing w:after="120"/>
        <w:ind w:left="709" w:right="709"/>
        <w:contextualSpacing w:val="0"/>
        <w:jc w:val="both"/>
        <w:rPr>
          <w:rFonts w:ascii="Arial" w:hAnsi="Arial" w:cs="Arial"/>
          <w:bCs/>
          <w:color w:val="000000"/>
          <w:sz w:val="21"/>
          <w:szCs w:val="21"/>
          <w:lang w:eastAsia="es-CO"/>
        </w:rPr>
      </w:pPr>
      <w:r w:rsidRPr="001D21C7">
        <w:rPr>
          <w:rFonts w:ascii="Arial" w:hAnsi="Arial" w:cs="Arial"/>
          <w:bCs/>
          <w:i/>
          <w:iCs/>
          <w:color w:val="000000"/>
          <w:sz w:val="21"/>
          <w:szCs w:val="21"/>
          <w:lang w:eastAsia="es-CO"/>
        </w:rPr>
        <w:t xml:space="preserve">Sin </w:t>
      </w:r>
      <w:proofErr w:type="gramStart"/>
      <w:r w:rsidRPr="001D21C7">
        <w:rPr>
          <w:rFonts w:ascii="Arial" w:hAnsi="Arial" w:cs="Arial"/>
          <w:bCs/>
          <w:i/>
          <w:iCs/>
          <w:color w:val="000000"/>
          <w:sz w:val="21"/>
          <w:szCs w:val="21"/>
          <w:lang w:eastAsia="es-CO"/>
        </w:rPr>
        <w:t>embargo</w:t>
      </w:r>
      <w:proofErr w:type="gramEnd"/>
      <w:r w:rsidRPr="001D21C7">
        <w:rPr>
          <w:rFonts w:ascii="Arial" w:hAnsi="Arial" w:cs="Arial"/>
          <w:bCs/>
          <w:i/>
          <w:iCs/>
          <w:color w:val="000000"/>
          <w:sz w:val="21"/>
          <w:szCs w:val="21"/>
          <w:lang w:eastAsia="es-CO"/>
        </w:rPr>
        <w:t xml:space="preserve"> esta interpretación parte de un supuesto de hecho, y es que el contrato se encuentra sometido a las normas nacionales, dado que como se puso de presente en los considerandos de este concepto, existen algunos casos en los cuales el legislador habilitó a las entidades públicas para que suscribieran contratos cuyo régimen es distinto al derecho nacional, por lo que en estos eventos dicha restricción no sería aplicable</w:t>
      </w:r>
      <w:r w:rsidRPr="00DA403A">
        <w:rPr>
          <w:rFonts w:ascii="Arial" w:hAnsi="Arial" w:cs="Arial"/>
          <w:bCs/>
          <w:color w:val="000000"/>
          <w:sz w:val="21"/>
          <w:szCs w:val="21"/>
          <w:lang w:eastAsia="es-CO"/>
        </w:rPr>
        <w:t xml:space="preserve">. </w:t>
      </w:r>
    </w:p>
    <w:p w:rsidRPr="00DA403A" w:rsidR="006A7C71" w:rsidP="001D21C7" w:rsidRDefault="006A7C71" w14:paraId="080CBB68" w14:textId="77777777">
      <w:pPr>
        <w:pStyle w:val="Prrafodelista"/>
        <w:tabs>
          <w:tab w:val="left" w:pos="1134"/>
        </w:tabs>
        <w:spacing w:after="120"/>
        <w:ind w:left="709" w:right="709"/>
        <w:contextualSpacing w:val="0"/>
        <w:jc w:val="both"/>
        <w:rPr>
          <w:rFonts w:ascii="Arial" w:hAnsi="Arial" w:cs="Arial"/>
          <w:bCs/>
          <w:color w:val="000000"/>
          <w:sz w:val="21"/>
          <w:szCs w:val="21"/>
          <w:lang w:eastAsia="es-CO"/>
        </w:rPr>
      </w:pPr>
      <w:r w:rsidRPr="00DA403A">
        <w:rPr>
          <w:rFonts w:ascii="Arial" w:hAnsi="Arial" w:cs="Arial"/>
          <w:bCs/>
          <w:color w:val="000000"/>
          <w:sz w:val="21"/>
          <w:szCs w:val="21"/>
          <w:lang w:eastAsia="es-CO"/>
        </w:rPr>
        <w:t xml:space="preserve">En ese sentido, se concluye que la restricción contemplada en el primer inciso del artículo 33 de la Ley 996 de 2005 no resulta extensiva a los contratos que son financiados en su totalidad o en sumas iguales o superiores al cincuenta por ciento con fondos de los organismos de cooperación, asistencia o ayudas internacionales, y cuyo régimen es el dispuesto en los reglamentos de tales </w:t>
      </w:r>
      <w:r w:rsidRPr="00DA403A">
        <w:rPr>
          <w:rFonts w:ascii="Arial" w:hAnsi="Arial" w:cs="Arial"/>
          <w:bCs/>
          <w:color w:val="000000"/>
          <w:sz w:val="21"/>
          <w:szCs w:val="21"/>
          <w:lang w:eastAsia="es-CO"/>
        </w:rPr>
        <w:lastRenderedPageBreak/>
        <w:t xml:space="preserve">entidades. Lo anterior, por cuanto en estos casos el artículo 20 de la Ley 1150 de 2007 autoriza para aplicar “integralmente” el reglamento de dichos organismos, tal y como se puso de presente en el numeral 2.2.3.1. del concepto. </w:t>
      </w:r>
    </w:p>
    <w:p w:rsidRPr="00DA403A" w:rsidR="006A7C71" w:rsidP="001D21C7" w:rsidRDefault="006A7C71" w14:paraId="6297A0C9" w14:textId="77777777">
      <w:pPr>
        <w:pStyle w:val="Prrafodelista"/>
        <w:tabs>
          <w:tab w:val="left" w:pos="1134"/>
        </w:tabs>
        <w:spacing w:after="120"/>
        <w:ind w:left="709" w:right="709"/>
        <w:contextualSpacing w:val="0"/>
        <w:jc w:val="both"/>
        <w:rPr>
          <w:rFonts w:ascii="Arial" w:hAnsi="Arial" w:cs="Arial"/>
          <w:bCs/>
          <w:color w:val="000000"/>
          <w:sz w:val="21"/>
          <w:szCs w:val="21"/>
          <w:lang w:eastAsia="es-CO"/>
        </w:rPr>
      </w:pPr>
      <w:r w:rsidRPr="00DA403A">
        <w:rPr>
          <w:rFonts w:ascii="Arial" w:hAnsi="Arial" w:cs="Arial"/>
          <w:bCs/>
          <w:color w:val="000000"/>
          <w:sz w:val="21"/>
          <w:szCs w:val="21"/>
          <w:lang w:eastAsia="es-CO"/>
        </w:rPr>
        <w:t xml:space="preserve">Sobre este punto, cabe destacar que el supuesto contemplado en el artículo 20 de la Ley 1150 de 2007 resulta diferente a los demás regímenes exceptivos del Estatuto General de Contratación Pública, dado que el derecho aplicable a estos contratos no es el derecho nacional, sino normas de carácter internacional, que se materializan en los reglamentos expedidos por los organismos de cooperación, asistencia o ayudas internacionales, razón por la cual se le da alcance a lo sostenido en concepto C-296 del 22 de junio de 2021. </w:t>
      </w:r>
    </w:p>
    <w:p w:rsidRPr="00DA403A" w:rsidR="006A7C71" w:rsidP="001D21C7" w:rsidRDefault="006A7C71" w14:paraId="19E546A0" w14:textId="77777777">
      <w:pPr>
        <w:pStyle w:val="Prrafodelista"/>
        <w:tabs>
          <w:tab w:val="left" w:pos="1134"/>
        </w:tabs>
        <w:spacing w:after="120"/>
        <w:ind w:left="709" w:right="709"/>
        <w:contextualSpacing w:val="0"/>
        <w:jc w:val="both"/>
        <w:rPr>
          <w:rFonts w:ascii="Arial" w:hAnsi="Arial" w:cs="Arial"/>
          <w:bCs/>
          <w:color w:val="000000"/>
          <w:sz w:val="21"/>
          <w:szCs w:val="21"/>
          <w:lang w:eastAsia="es-CO"/>
        </w:rPr>
      </w:pPr>
      <w:r w:rsidRPr="00DA403A">
        <w:rPr>
          <w:rFonts w:ascii="Arial" w:hAnsi="Arial" w:cs="Arial"/>
          <w:bCs/>
          <w:color w:val="000000"/>
          <w:sz w:val="21"/>
          <w:szCs w:val="21"/>
          <w:lang w:eastAsia="es-CO"/>
        </w:rPr>
        <w:t xml:space="preserve">Lo anterior, obedece a que e l Estado colombiano, para obtener la colaboración efectiva de los organismos internacionales, flexibilizó su legislación y los mecanismos jurídicos de relacionamiento con ellos, mediante casos excepcionales en los que la normativa aplicable a los contratos que celebren las entidades públicas sometidas al estatuto general de contratación es otra distinta a la prevista en el derecho nacional. </w:t>
      </w:r>
    </w:p>
    <w:p w:rsidRPr="00DA403A" w:rsidR="006A7C71" w:rsidP="006A7C71" w:rsidRDefault="006A7C71" w14:paraId="3CE2341A" w14:textId="4623AEC5">
      <w:pPr>
        <w:pStyle w:val="Prrafodelista"/>
        <w:tabs>
          <w:tab w:val="left" w:pos="1134"/>
        </w:tabs>
        <w:ind w:left="709" w:right="709"/>
        <w:jc w:val="both"/>
        <w:rPr>
          <w:rFonts w:ascii="Arial" w:hAnsi="Arial" w:cs="Arial"/>
          <w:bCs/>
          <w:color w:val="000000"/>
          <w:sz w:val="21"/>
          <w:szCs w:val="21"/>
          <w:lang w:eastAsia="es-CO"/>
        </w:rPr>
      </w:pPr>
      <w:r w:rsidRPr="00DA403A">
        <w:rPr>
          <w:rFonts w:ascii="Arial" w:hAnsi="Arial" w:cs="Arial"/>
          <w:bCs/>
          <w:color w:val="000000"/>
          <w:sz w:val="21"/>
          <w:szCs w:val="21"/>
          <w:lang w:eastAsia="es-CO"/>
        </w:rPr>
        <w:t xml:space="preserve">Por tanto, la Agencia Nacional de Contratación Pública considera, dándole alcance y complementando el criterio expuesto en concepto C-296 del 22 de junio de 2021, </w:t>
      </w:r>
      <w:proofErr w:type="gramStart"/>
      <w:r w:rsidRPr="00DA403A">
        <w:rPr>
          <w:rFonts w:ascii="Arial" w:hAnsi="Arial" w:cs="Arial"/>
          <w:bCs/>
          <w:color w:val="000000"/>
          <w:sz w:val="21"/>
          <w:szCs w:val="21"/>
          <w:lang w:eastAsia="es-CO"/>
        </w:rPr>
        <w:t>que</w:t>
      </w:r>
      <w:proofErr w:type="gramEnd"/>
      <w:r w:rsidRPr="00DA403A">
        <w:rPr>
          <w:rFonts w:ascii="Arial" w:hAnsi="Arial" w:cs="Arial"/>
          <w:bCs/>
          <w:color w:val="000000"/>
          <w:sz w:val="21"/>
          <w:szCs w:val="21"/>
          <w:lang w:eastAsia="es-CO"/>
        </w:rPr>
        <w:t xml:space="preserve"> una vez pactado el sometimiento integral de la actividad contractual al derecho del organismo internacional, no se pueden aplicar normas cuyo ámbito de aplicación es el régimen de contratación nacional, como lo serían las contenidas en la Ley de Garantías. Sin duda, una interpretación distinta podría suponer un desconocimiento a lo pactado por las partes en el negocio jurídico celebrado»</w:t>
      </w:r>
      <w:r w:rsidRPr="00DA403A" w:rsidR="00846C40">
        <w:rPr>
          <w:rFonts w:ascii="Arial" w:hAnsi="Arial" w:cs="Arial"/>
          <w:bCs/>
          <w:color w:val="000000"/>
          <w:sz w:val="21"/>
          <w:szCs w:val="21"/>
          <w:lang w:eastAsia="es-CO"/>
        </w:rPr>
        <w:t xml:space="preserve"> (Cursiva fuera del original)</w:t>
      </w:r>
      <w:r w:rsidRPr="00DA403A">
        <w:rPr>
          <w:rFonts w:ascii="Arial" w:hAnsi="Arial" w:cs="Arial"/>
          <w:bCs/>
          <w:color w:val="000000"/>
          <w:sz w:val="21"/>
          <w:szCs w:val="21"/>
          <w:lang w:eastAsia="es-CO"/>
        </w:rPr>
        <w:t>.</w:t>
      </w:r>
    </w:p>
    <w:p w:rsidRPr="00DA403A" w:rsidR="006A7C71" w:rsidP="006A7C71" w:rsidRDefault="006A7C71" w14:paraId="4CF5925A" w14:textId="77777777">
      <w:pPr>
        <w:spacing w:line="276" w:lineRule="auto"/>
        <w:ind w:firstLine="709"/>
        <w:jc w:val="both"/>
        <w:rPr>
          <w:rFonts w:ascii="Arial" w:hAnsi="Arial" w:cs="Arial"/>
          <w:b/>
          <w:color w:val="000000"/>
          <w:sz w:val="22"/>
          <w:lang w:eastAsia="es-CO"/>
        </w:rPr>
      </w:pPr>
    </w:p>
    <w:p w:rsidRPr="00DA403A" w:rsidR="006A7C71" w:rsidP="006A7C71" w:rsidRDefault="006A7C71" w14:paraId="03FC566C" w14:textId="77777777">
      <w:pPr>
        <w:spacing w:line="276" w:lineRule="auto"/>
        <w:jc w:val="both"/>
        <w:rPr>
          <w:rFonts w:ascii="Arial" w:hAnsi="Arial" w:eastAsia="Times New Roman" w:cs="Arial"/>
          <w:color w:val="000000" w:themeColor="text1"/>
          <w:sz w:val="22"/>
          <w:lang w:eastAsia="es-ES_tradnl"/>
        </w:rPr>
      </w:pPr>
      <w:r w:rsidRPr="00DA403A">
        <w:rPr>
          <w:rFonts w:ascii="Arial" w:hAnsi="Arial" w:eastAsia="Times New Roman" w:cs="Arial"/>
          <w:b/>
          <w:bCs/>
          <w:color w:val="000000" w:themeColor="text1"/>
          <w:sz w:val="22"/>
          <w:lang w:eastAsia="es-ES_tradnl"/>
        </w:rPr>
        <w:tab/>
      </w:r>
      <w:r w:rsidRPr="00DA403A">
        <w:rPr>
          <w:rFonts w:ascii="Arial" w:hAnsi="Arial" w:eastAsia="Times New Roman" w:cs="Arial"/>
          <w:color w:val="000000" w:themeColor="text1"/>
          <w:sz w:val="22"/>
          <w:lang w:eastAsia="es-ES_tradnl"/>
        </w:rPr>
        <w:t>Teniendo en cuenta las consideraciones transcritas, en dicho concepto se concluyó lo siguiente:</w:t>
      </w:r>
    </w:p>
    <w:p w:rsidRPr="00DA403A" w:rsidR="006A7C71" w:rsidP="006A7C71" w:rsidRDefault="006A7C71" w14:paraId="028C2AE8" w14:textId="77777777">
      <w:pPr>
        <w:spacing w:line="276" w:lineRule="auto"/>
        <w:jc w:val="both"/>
        <w:rPr>
          <w:rFonts w:ascii="Arial" w:hAnsi="Arial" w:eastAsia="Times New Roman" w:cs="Arial"/>
          <w:color w:val="000000" w:themeColor="text1"/>
          <w:sz w:val="22"/>
          <w:lang w:eastAsia="es-ES_tradnl"/>
        </w:rPr>
      </w:pPr>
    </w:p>
    <w:p w:rsidRPr="00DA403A" w:rsidR="006A7C71" w:rsidP="001D21C7" w:rsidRDefault="006A7C71" w14:paraId="5656A633" w14:textId="17E5D706">
      <w:pPr>
        <w:pStyle w:val="Prrafodelista"/>
        <w:tabs>
          <w:tab w:val="left" w:pos="1134"/>
        </w:tabs>
        <w:spacing w:after="120"/>
        <w:ind w:left="709" w:right="709"/>
        <w:contextualSpacing w:val="0"/>
        <w:jc w:val="both"/>
        <w:rPr>
          <w:rFonts w:ascii="Arial" w:hAnsi="Arial" w:cs="Arial"/>
          <w:bCs/>
          <w:color w:val="000000"/>
          <w:sz w:val="21"/>
          <w:szCs w:val="21"/>
          <w:lang w:eastAsia="es-CO"/>
        </w:rPr>
      </w:pPr>
      <w:r w:rsidRPr="00DA403A">
        <w:rPr>
          <w:rFonts w:ascii="Arial" w:hAnsi="Arial" w:cs="Arial"/>
          <w:bCs/>
          <w:color w:val="000000"/>
          <w:sz w:val="21"/>
          <w:szCs w:val="21"/>
          <w:lang w:eastAsia="es-CO"/>
        </w:rPr>
        <w:t>El artículo 33 de la Ley 996 de 2005 prohíbe «[…] la contratación directa por parte de todos los entes del Estado» durante los cuatro (4) meses anteriores a las elecciones presidenciales, salvo entre otras excepciones, los contratos de crédito público.</w:t>
      </w:r>
    </w:p>
    <w:p w:rsidRPr="00DA403A" w:rsidR="006A7C71" w:rsidP="001D21C7" w:rsidRDefault="006A7C71" w14:paraId="5532DAE7" w14:textId="77777777">
      <w:pPr>
        <w:pStyle w:val="Prrafodelista"/>
        <w:tabs>
          <w:tab w:val="left" w:pos="1134"/>
        </w:tabs>
        <w:spacing w:after="120"/>
        <w:ind w:left="709" w:right="709"/>
        <w:contextualSpacing w:val="0"/>
        <w:jc w:val="both"/>
        <w:rPr>
          <w:rFonts w:ascii="Arial" w:hAnsi="Arial" w:cs="Arial"/>
          <w:bCs/>
          <w:color w:val="000000"/>
          <w:sz w:val="21"/>
          <w:szCs w:val="21"/>
          <w:lang w:eastAsia="es-CO"/>
        </w:rPr>
      </w:pPr>
      <w:r w:rsidRPr="00DA403A">
        <w:rPr>
          <w:rFonts w:ascii="Arial" w:hAnsi="Arial" w:cs="Arial"/>
          <w:bCs/>
          <w:color w:val="000000"/>
          <w:sz w:val="21"/>
          <w:szCs w:val="21"/>
          <w:lang w:eastAsia="es-CO"/>
        </w:rPr>
        <w:t>Por su parte, a los contratos que son financiados en su totalidad o en sumas iguales o superiores al cincuenta por ciento con fondos de los organismos de cooperación, asistencia o ayudas internacionales, y cuyo régimen es el dispuesto en los reglamentos de tales entidades, tampoco les resulta aplicable la prohibición contemplada en el inciso primero del artículo 33 de la Ley 996 de 2005, por las razones expuestas en este concepto.</w:t>
      </w:r>
    </w:p>
    <w:p w:rsidRPr="00DA403A" w:rsidR="006A7C71" w:rsidP="006A7C71" w:rsidRDefault="006A7C71" w14:paraId="20891FC4" w14:textId="0F648228">
      <w:pPr>
        <w:pStyle w:val="Prrafodelista"/>
        <w:tabs>
          <w:tab w:val="left" w:pos="1134"/>
        </w:tabs>
        <w:ind w:left="709" w:right="709"/>
        <w:jc w:val="both"/>
        <w:rPr>
          <w:rFonts w:ascii="Arial" w:hAnsi="Arial" w:cs="Arial"/>
          <w:bCs/>
          <w:color w:val="000000"/>
          <w:sz w:val="21"/>
          <w:szCs w:val="21"/>
          <w:lang w:eastAsia="es-CO"/>
        </w:rPr>
      </w:pPr>
      <w:r w:rsidRPr="001D21C7">
        <w:rPr>
          <w:rFonts w:ascii="Arial" w:hAnsi="Arial" w:cs="Arial"/>
          <w:bCs/>
          <w:i/>
          <w:iCs/>
          <w:color w:val="000000"/>
          <w:sz w:val="21"/>
          <w:szCs w:val="21"/>
          <w:lang w:eastAsia="es-CO"/>
        </w:rPr>
        <w:t>Lo anterior, por cuanto esta tipología de negocios jurídicos se encuentra no sólo excluida del Estatuto General de Contratación de la Administración Pública, sino también del sistema de normas nacionales, por lo que al ser la Ley de 996 de 2005 una norma de carácter interno, las restricciones allí contempladas no resultan aplicables a esas relaciones jurídicas</w:t>
      </w:r>
      <w:r w:rsidRPr="00DA403A" w:rsidR="00912414">
        <w:rPr>
          <w:rFonts w:ascii="Arial" w:hAnsi="Arial" w:cs="Arial"/>
          <w:bCs/>
          <w:color w:val="000000"/>
          <w:sz w:val="21"/>
          <w:szCs w:val="21"/>
          <w:lang w:eastAsia="es-CO"/>
        </w:rPr>
        <w:t xml:space="preserve"> (Cursiva fuera de texto).</w:t>
      </w:r>
    </w:p>
    <w:p w:rsidRPr="00DA403A" w:rsidR="006A7C71" w:rsidP="006A7C71" w:rsidRDefault="006A7C71" w14:paraId="47946D35" w14:textId="77777777">
      <w:pPr>
        <w:tabs>
          <w:tab w:val="left" w:pos="1134"/>
        </w:tabs>
        <w:ind w:right="709"/>
        <w:jc w:val="both"/>
        <w:rPr>
          <w:rFonts w:ascii="Arial" w:hAnsi="Arial" w:cs="Arial"/>
          <w:bCs/>
          <w:color w:val="000000"/>
          <w:sz w:val="21"/>
          <w:szCs w:val="21"/>
          <w:lang w:eastAsia="es-CO"/>
        </w:rPr>
      </w:pPr>
    </w:p>
    <w:p w:rsidRPr="00DA403A" w:rsidR="006A7C71" w:rsidP="006A7C71" w:rsidRDefault="006A7C71" w14:paraId="7217E3AB" w14:textId="2AA0A058">
      <w:pPr>
        <w:spacing w:after="120" w:line="276" w:lineRule="auto"/>
        <w:ind w:firstLine="709"/>
        <w:jc w:val="both"/>
        <w:rPr>
          <w:rFonts w:ascii="Arial" w:hAnsi="Arial" w:cs="Arial"/>
          <w:bCs/>
          <w:color w:val="000000"/>
          <w:sz w:val="22"/>
          <w:lang w:eastAsia="es-CO"/>
        </w:rPr>
      </w:pPr>
      <w:r w:rsidRPr="00DA403A">
        <w:rPr>
          <w:rFonts w:ascii="Arial" w:hAnsi="Arial" w:cs="Arial"/>
          <w:bCs/>
          <w:color w:val="000000"/>
          <w:sz w:val="22"/>
          <w:lang w:eastAsia="es-CO"/>
        </w:rPr>
        <w:lastRenderedPageBreak/>
        <w:t xml:space="preserve">De conformidad con el concepto citado, en los eventos excepcionales en que los contratos que celebren las entidades estatales </w:t>
      </w:r>
      <w:r w:rsidRPr="00DA403A" w:rsidR="00DE1196">
        <w:rPr>
          <w:rFonts w:ascii="Arial" w:hAnsi="Arial" w:cs="Arial"/>
          <w:bCs/>
          <w:color w:val="000000"/>
          <w:sz w:val="22"/>
          <w:lang w:eastAsia="es-CO"/>
        </w:rPr>
        <w:t>con organismos internacionales o en desarrollo de dichos convenios</w:t>
      </w:r>
      <w:r w:rsidRPr="00DA403A" w:rsidR="00912414">
        <w:rPr>
          <w:rFonts w:ascii="Arial" w:hAnsi="Arial" w:cs="Arial"/>
          <w:bCs/>
          <w:color w:val="000000"/>
          <w:sz w:val="22"/>
          <w:lang w:eastAsia="es-CO"/>
        </w:rPr>
        <w:t>,</w:t>
      </w:r>
      <w:r w:rsidRPr="00DA403A" w:rsidR="00DE1196">
        <w:rPr>
          <w:rFonts w:ascii="Arial" w:hAnsi="Arial" w:cs="Arial"/>
          <w:bCs/>
          <w:color w:val="000000"/>
          <w:sz w:val="22"/>
          <w:lang w:eastAsia="es-CO"/>
        </w:rPr>
        <w:t xml:space="preserve"> </w:t>
      </w:r>
      <w:r w:rsidRPr="00DA403A">
        <w:rPr>
          <w:rFonts w:ascii="Arial" w:hAnsi="Arial" w:cs="Arial"/>
          <w:bCs/>
          <w:color w:val="000000"/>
          <w:sz w:val="22"/>
          <w:lang w:eastAsia="es-CO"/>
        </w:rPr>
        <w:t>no se rijan por el derecho nacional</w:t>
      </w:r>
      <w:r w:rsidRPr="00DA403A" w:rsidR="00997A38">
        <w:rPr>
          <w:rFonts w:ascii="Arial" w:hAnsi="Arial" w:cs="Arial"/>
          <w:bCs/>
          <w:color w:val="000000"/>
          <w:sz w:val="22"/>
          <w:lang w:eastAsia="es-CO"/>
        </w:rPr>
        <w:t xml:space="preserve"> y se financien </w:t>
      </w:r>
      <w:r w:rsidRPr="00DA403A" w:rsidR="005F2CEC">
        <w:rPr>
          <w:rFonts w:ascii="Arial" w:hAnsi="Arial" w:cs="Arial"/>
          <w:bCs/>
          <w:color w:val="000000"/>
          <w:sz w:val="22"/>
          <w:lang w:eastAsia="es-CO"/>
        </w:rPr>
        <w:t xml:space="preserve">mayoritariamente </w:t>
      </w:r>
      <w:r w:rsidRPr="00DA403A" w:rsidR="00997A38">
        <w:rPr>
          <w:rFonts w:ascii="Arial" w:hAnsi="Arial" w:cs="Arial"/>
          <w:bCs/>
          <w:color w:val="000000"/>
          <w:sz w:val="22"/>
          <w:lang w:eastAsia="es-CO"/>
        </w:rPr>
        <w:t xml:space="preserve">con recursos de </w:t>
      </w:r>
      <w:r w:rsidRPr="00DA403A" w:rsidR="008F465E">
        <w:rPr>
          <w:rFonts w:ascii="Arial" w:hAnsi="Arial" w:cs="Arial"/>
          <w:bCs/>
          <w:color w:val="000000"/>
          <w:sz w:val="22"/>
          <w:lang w:eastAsia="es-CO"/>
        </w:rPr>
        <w:t>organismos internacionales</w:t>
      </w:r>
      <w:r w:rsidRPr="00DA403A">
        <w:rPr>
          <w:rFonts w:ascii="Arial" w:hAnsi="Arial" w:cs="Arial"/>
          <w:bCs/>
          <w:color w:val="000000"/>
          <w:sz w:val="22"/>
          <w:lang w:eastAsia="es-CO"/>
        </w:rPr>
        <w:t>, ello implicará que tampoco resulte aplicable la restricción establecida en el artículo 33 de la Ley 996 de 2005</w:t>
      </w:r>
      <w:r w:rsidR="00AC26C9">
        <w:rPr>
          <w:rFonts w:ascii="Arial" w:hAnsi="Arial" w:cs="Arial"/>
          <w:bCs/>
          <w:color w:val="000000"/>
          <w:sz w:val="22"/>
          <w:lang w:eastAsia="es-CO"/>
        </w:rPr>
        <w:t>, por exceptuarse la aplicación del derecho nacional.</w:t>
      </w:r>
    </w:p>
    <w:p w:rsidRPr="00DA403A" w:rsidR="006A7C71" w:rsidRDefault="006A7C71" w14:paraId="46A72F01" w14:textId="169E3F15">
      <w:pPr>
        <w:spacing w:after="120" w:line="276" w:lineRule="auto"/>
        <w:ind w:firstLine="709"/>
        <w:jc w:val="both"/>
        <w:rPr>
          <w:rFonts w:ascii="Arial" w:hAnsi="Arial" w:cs="Arial"/>
          <w:bCs/>
          <w:color w:val="000000"/>
          <w:sz w:val="22"/>
          <w:lang w:eastAsia="es-CO"/>
        </w:rPr>
      </w:pPr>
    </w:p>
    <w:p w:rsidRPr="00DA403A" w:rsidR="0025163D" w:rsidP="00984FE6" w:rsidRDefault="00984FE6" w14:paraId="59831A9E" w14:textId="0EBC9A7D">
      <w:pPr>
        <w:shd w:val="clear" w:color="auto" w:fill="FFFFFF"/>
        <w:tabs>
          <w:tab w:val="left" w:pos="426"/>
        </w:tabs>
        <w:ind w:right="709"/>
        <w:jc w:val="both"/>
        <w:rPr>
          <w:rFonts w:ascii="Arial" w:hAnsi="Arial" w:eastAsia="Times New Roman" w:cs="Arial"/>
          <w:b/>
          <w:color w:val="000000" w:themeColor="text1"/>
          <w:sz w:val="22"/>
          <w:lang w:eastAsia="es-ES_tradnl"/>
        </w:rPr>
      </w:pPr>
      <w:r w:rsidRPr="00DA403A">
        <w:rPr>
          <w:rFonts w:ascii="Arial" w:hAnsi="Arial" w:eastAsia="Times New Roman" w:cs="Arial"/>
          <w:b/>
          <w:color w:val="000000" w:themeColor="text1"/>
          <w:sz w:val="22"/>
          <w:lang w:eastAsia="es-ES_tradnl"/>
        </w:rPr>
        <w:t>3. Respuesta</w:t>
      </w:r>
    </w:p>
    <w:p w:rsidRPr="00DA403A" w:rsidR="00151D10" w:rsidP="00984FE6" w:rsidRDefault="00151D10" w14:paraId="775AEBC6" w14:textId="77777777">
      <w:pPr>
        <w:shd w:val="clear" w:color="auto" w:fill="FFFFFF"/>
        <w:tabs>
          <w:tab w:val="left" w:pos="426"/>
        </w:tabs>
        <w:ind w:right="709"/>
        <w:jc w:val="both"/>
        <w:rPr>
          <w:rFonts w:ascii="Arial" w:hAnsi="Arial" w:eastAsia="Times New Roman" w:cs="Arial"/>
          <w:b/>
          <w:color w:val="000000" w:themeColor="text1"/>
          <w:sz w:val="22"/>
          <w:lang w:eastAsia="es-ES_tradnl"/>
        </w:rPr>
      </w:pPr>
    </w:p>
    <w:p w:rsidRPr="00DA403A" w:rsidR="00984FE6" w:rsidP="001D21C7" w:rsidRDefault="00984FE6" w14:paraId="0EDBDA87" w14:textId="77777777">
      <w:pPr>
        <w:pStyle w:val="NormalWeb"/>
        <w:shd w:val="clear" w:color="auto" w:fill="FFFFFF"/>
        <w:spacing w:before="0" w:beforeAutospacing="0" w:after="120" w:afterAutospacing="0"/>
        <w:ind w:left="709" w:right="709"/>
        <w:jc w:val="both"/>
        <w:rPr>
          <w:rFonts w:ascii="Arial" w:hAnsi="Arial" w:eastAsia="Calibri" w:cs="Arial"/>
          <w:sz w:val="21"/>
          <w:szCs w:val="21"/>
          <w:lang w:val="es-ES"/>
        </w:rPr>
      </w:pPr>
      <w:r w:rsidRPr="00DA403A">
        <w:rPr>
          <w:rFonts w:ascii="Arial" w:hAnsi="Arial" w:eastAsia="Calibri" w:cs="Arial"/>
          <w:sz w:val="21"/>
          <w:szCs w:val="21"/>
          <w:lang w:val="es-ES"/>
        </w:rPr>
        <w:t>«1. ¿Una entidad internacional puede contratar con una Universidad Pública bajo la vigencia de la Ley de Garantías?</w:t>
      </w:r>
    </w:p>
    <w:p w:rsidRPr="00DA403A" w:rsidR="00984FE6" w:rsidP="001D21C7" w:rsidRDefault="00984FE6" w14:paraId="235B2B16" w14:textId="77777777">
      <w:pPr>
        <w:pStyle w:val="NormalWeb"/>
        <w:shd w:val="clear" w:color="auto" w:fill="FFFFFF"/>
        <w:spacing w:before="0" w:beforeAutospacing="0" w:after="120" w:afterAutospacing="0"/>
        <w:ind w:left="709" w:right="709"/>
        <w:jc w:val="both"/>
        <w:rPr>
          <w:rFonts w:ascii="Arial" w:hAnsi="Arial" w:eastAsia="Calibri" w:cs="Arial"/>
          <w:sz w:val="21"/>
          <w:szCs w:val="21"/>
          <w:lang w:val="es-ES"/>
        </w:rPr>
      </w:pPr>
      <w:r w:rsidRPr="00DA403A">
        <w:rPr>
          <w:rFonts w:ascii="Arial" w:hAnsi="Arial" w:eastAsia="Calibri" w:cs="Arial"/>
          <w:sz w:val="21"/>
          <w:szCs w:val="21"/>
          <w:lang w:val="es-ES"/>
        </w:rPr>
        <w:t>2. ¿Una entidad internacional puede celebrar convenios con una Universidad Pública bajo la vigencia de la Ley de Garantías?</w:t>
      </w:r>
    </w:p>
    <w:p w:rsidRPr="00DA403A" w:rsidR="00984FE6" w:rsidP="001D21C7" w:rsidRDefault="00984FE6" w14:paraId="7B90ADC0" w14:textId="77777777">
      <w:pPr>
        <w:pStyle w:val="NormalWeb"/>
        <w:shd w:val="clear" w:color="auto" w:fill="FFFFFF"/>
        <w:spacing w:before="0" w:beforeAutospacing="0" w:after="120" w:afterAutospacing="0"/>
        <w:ind w:left="709" w:right="709"/>
        <w:jc w:val="both"/>
        <w:rPr>
          <w:rFonts w:ascii="Arial" w:hAnsi="Arial" w:eastAsia="Calibri" w:cs="Arial"/>
          <w:sz w:val="21"/>
          <w:szCs w:val="21"/>
          <w:lang w:val="es-ES"/>
        </w:rPr>
      </w:pPr>
      <w:r w:rsidRPr="00DA403A">
        <w:rPr>
          <w:rFonts w:ascii="Arial" w:hAnsi="Arial" w:eastAsia="Calibri" w:cs="Arial"/>
          <w:sz w:val="21"/>
          <w:szCs w:val="21"/>
          <w:lang w:val="es-ES"/>
        </w:rPr>
        <w:t>3. ¿Una Universidad Pública puede ejecutar recursos con entidades internacional?</w:t>
      </w:r>
    </w:p>
    <w:p w:rsidRPr="00DA403A" w:rsidR="00984FE6" w:rsidP="001D21C7" w:rsidRDefault="00984FE6" w14:paraId="786698E1" w14:textId="77777777">
      <w:pPr>
        <w:pStyle w:val="NormalWeb"/>
        <w:shd w:val="clear" w:color="auto" w:fill="FFFFFF"/>
        <w:spacing w:before="0" w:beforeAutospacing="0" w:after="120" w:afterAutospacing="0"/>
        <w:ind w:left="709" w:right="709"/>
        <w:jc w:val="both"/>
        <w:rPr>
          <w:rFonts w:ascii="Arial" w:hAnsi="Arial" w:eastAsia="Calibri" w:cs="Arial"/>
          <w:sz w:val="21"/>
          <w:szCs w:val="21"/>
          <w:lang w:val="es-ES"/>
        </w:rPr>
      </w:pPr>
      <w:r w:rsidRPr="00DA403A">
        <w:rPr>
          <w:rFonts w:ascii="Arial" w:hAnsi="Arial" w:eastAsia="Calibri" w:cs="Arial"/>
          <w:sz w:val="21"/>
          <w:szCs w:val="21"/>
          <w:lang w:val="es-ES"/>
        </w:rPr>
        <w:t>4. ¿Pueden ser celebrados acuerdos de voluntades con personas jurídicas de derecho privado, con el fin de garantizar la práctica de los estudiantes vinculados a la misma universidad?</w:t>
      </w:r>
    </w:p>
    <w:p w:rsidRPr="00DA403A" w:rsidR="00984FE6" w:rsidP="001D21C7" w:rsidRDefault="00984FE6" w14:paraId="1303F2F1" w14:textId="77777777">
      <w:pPr>
        <w:pStyle w:val="NormalWeb"/>
        <w:shd w:val="clear" w:color="auto" w:fill="FFFFFF"/>
        <w:spacing w:before="0" w:beforeAutospacing="0" w:after="120" w:afterAutospacing="0"/>
        <w:ind w:left="709" w:right="709"/>
        <w:jc w:val="both"/>
        <w:rPr>
          <w:rFonts w:ascii="Arial" w:hAnsi="Arial" w:eastAsia="Calibri" w:cs="Arial"/>
          <w:sz w:val="21"/>
          <w:szCs w:val="21"/>
          <w:lang w:val="es-ES"/>
        </w:rPr>
      </w:pPr>
      <w:r w:rsidRPr="00DA403A">
        <w:rPr>
          <w:rFonts w:ascii="Arial" w:hAnsi="Arial" w:eastAsia="Calibri" w:cs="Arial"/>
          <w:sz w:val="21"/>
          <w:szCs w:val="21"/>
          <w:lang w:val="es-ES"/>
        </w:rPr>
        <w:t>5. ¿Pueden ser celebrados acuerdos de voluntades con personas jurídicas de derecho público, con el fin de garantizar la práctica de los estudiantes vinculados a la misma universidad?</w:t>
      </w:r>
    </w:p>
    <w:p w:rsidRPr="00DA403A" w:rsidR="00984FE6" w:rsidP="001D21C7" w:rsidRDefault="00984FE6" w14:paraId="198BBD21" w14:textId="60CE60D2">
      <w:pPr>
        <w:pStyle w:val="NormalWeb"/>
        <w:shd w:val="clear" w:color="auto" w:fill="FFFFFF"/>
        <w:spacing w:before="0" w:beforeAutospacing="0" w:after="120" w:afterAutospacing="0"/>
        <w:ind w:left="709" w:right="709"/>
        <w:jc w:val="both"/>
        <w:rPr>
          <w:rFonts w:ascii="Arial" w:hAnsi="Arial" w:eastAsia="Calibri" w:cs="Arial"/>
          <w:sz w:val="21"/>
          <w:szCs w:val="21"/>
          <w:lang w:val="es-ES"/>
        </w:rPr>
      </w:pPr>
      <w:r w:rsidRPr="00DA403A">
        <w:rPr>
          <w:rFonts w:ascii="Arial" w:hAnsi="Arial" w:eastAsia="Calibri" w:cs="Arial"/>
          <w:sz w:val="21"/>
          <w:szCs w:val="21"/>
          <w:lang w:val="es-ES"/>
        </w:rPr>
        <w:t>6. ¿Pueden ser celebrados convenios en los cuales no se ejecuten recursos con personas jurídicas de derecho privado, con el fin de dar alcance a los fines misionales de la Institución de Educación Superior?</w:t>
      </w:r>
    </w:p>
    <w:p w:rsidRPr="00DA403A" w:rsidR="00984FE6" w:rsidP="001D21C7" w:rsidRDefault="00984FE6" w14:paraId="5CDB36B3" w14:textId="77777777">
      <w:pPr>
        <w:pStyle w:val="NormalWeb"/>
        <w:shd w:val="clear" w:color="auto" w:fill="FFFFFF"/>
        <w:spacing w:before="0" w:beforeAutospacing="0" w:after="120" w:afterAutospacing="0"/>
        <w:ind w:left="709" w:right="709"/>
        <w:jc w:val="both"/>
        <w:rPr>
          <w:rFonts w:ascii="Arial" w:hAnsi="Arial" w:eastAsia="Calibri" w:cs="Arial"/>
          <w:sz w:val="21"/>
          <w:szCs w:val="21"/>
          <w:lang w:val="es-ES"/>
        </w:rPr>
      </w:pPr>
      <w:r w:rsidRPr="00DA403A">
        <w:rPr>
          <w:rFonts w:ascii="Arial" w:hAnsi="Arial" w:eastAsia="Calibri" w:cs="Arial"/>
          <w:sz w:val="21"/>
          <w:szCs w:val="21"/>
          <w:lang w:val="es-ES"/>
        </w:rPr>
        <w:t>7. ¿Pueden ser celebrados convenios en los cuales no se ejecuten recursos con personas jurídicas de derecho público, con el fin de dar alcance a los fines misionales de la Institución de Educación Superior?</w:t>
      </w:r>
    </w:p>
    <w:p w:rsidRPr="00DA403A" w:rsidR="00984FE6" w:rsidP="001D21C7" w:rsidRDefault="00984FE6" w14:paraId="367703DC" w14:textId="49E121D1">
      <w:pPr>
        <w:pStyle w:val="NormalWeb"/>
        <w:shd w:val="clear" w:color="auto" w:fill="FFFFFF"/>
        <w:spacing w:before="0" w:beforeAutospacing="0"/>
        <w:ind w:left="709" w:right="709"/>
        <w:jc w:val="both"/>
        <w:rPr>
          <w:rFonts w:ascii="Arial" w:hAnsi="Arial" w:eastAsia="Calibri" w:cs="Arial"/>
          <w:sz w:val="21"/>
          <w:szCs w:val="21"/>
          <w:lang w:val="es-ES"/>
        </w:rPr>
      </w:pPr>
      <w:r w:rsidRPr="00DA403A">
        <w:rPr>
          <w:rFonts w:ascii="Arial" w:hAnsi="Arial" w:eastAsia="Calibri" w:cs="Arial"/>
          <w:sz w:val="21"/>
          <w:szCs w:val="21"/>
          <w:lang w:val="es-ES"/>
        </w:rPr>
        <w:t>8. ¿Qué excepciones se han definido, desde las fuentes del derecho vinculantes o interpretativas, en relación con la aplicación artículo 33 de la Ley 996 de 2005 para los entes universitarios autónomos?»</w:t>
      </w:r>
    </w:p>
    <w:p w:rsidRPr="00DA403A" w:rsidR="00151D10" w:rsidP="00151D10" w:rsidRDefault="00151D10" w14:paraId="1C29B4C7" w14:textId="0A61473C">
      <w:pPr>
        <w:pStyle w:val="Textoindependiente"/>
        <w:spacing w:before="120" w:after="120" w:line="276" w:lineRule="auto"/>
        <w:jc w:val="both"/>
        <w:rPr>
          <w:rFonts w:eastAsia="Times New Roman"/>
          <w:bCs/>
          <w:color w:val="000000" w:themeColor="text1"/>
          <w:lang w:eastAsia="es-ES_tradnl"/>
        </w:rPr>
      </w:pPr>
      <w:r w:rsidRPr="00DA403A">
        <w:rPr>
          <w:rFonts w:eastAsia="Times New Roman"/>
          <w:bCs/>
          <w:color w:val="000000" w:themeColor="text1"/>
          <w:lang w:eastAsia="es-ES_tradnl"/>
        </w:rPr>
        <w:t>De conformidad con la competencia consultiva otorgada por el numeral 5 del artículo 3 y el numeral 8 del artículo 11 del Decreto 4170 de 2011, la Agencia Nacional de Contratación Pública – Colombia Compra Eficiente está facultada para atender solicitudes relacionadas con temas contractuales, pero solo para «absolver consultas sobre la aplicación de normas de carácter general»</w:t>
      </w:r>
      <w:r w:rsidRPr="00DA403A">
        <w:rPr>
          <w:vertAlign w:val="superscript"/>
        </w:rPr>
        <w:footnoteReference w:id="34"/>
      </w:r>
      <w:r w:rsidRPr="00DA403A">
        <w:rPr>
          <w:rFonts w:eastAsia="Times New Roman"/>
          <w:bCs/>
          <w:color w:val="000000" w:themeColor="text1"/>
          <w:lang w:eastAsia="es-ES_tradnl"/>
        </w:rPr>
        <w:t xml:space="preserve">. Por ello, la Agencia no tiene atribuciones para resolver casos </w:t>
      </w:r>
      <w:r w:rsidRPr="00DA403A">
        <w:rPr>
          <w:rFonts w:eastAsia="Times New Roman"/>
          <w:bCs/>
          <w:color w:val="000000" w:themeColor="text1"/>
          <w:lang w:eastAsia="es-ES_tradnl"/>
        </w:rPr>
        <w:lastRenderedPageBreak/>
        <w:t>particulares y concretos, los cuales corresponde resolver a cada</w:t>
      </w:r>
      <w:r w:rsidRPr="00DA403A" w:rsidR="00021928">
        <w:rPr>
          <w:rFonts w:eastAsia="Times New Roman"/>
          <w:bCs/>
          <w:color w:val="000000" w:themeColor="text1"/>
          <w:lang w:eastAsia="es-ES_tradnl"/>
        </w:rPr>
        <w:t xml:space="preserve"> entidad estatal</w:t>
      </w:r>
      <w:r w:rsidRPr="00DA403A">
        <w:rPr>
          <w:rFonts w:eastAsia="Times New Roman"/>
          <w:bCs/>
          <w:color w:val="000000" w:themeColor="text1"/>
          <w:lang w:eastAsia="es-ES_tradnl"/>
        </w:rPr>
        <w:t xml:space="preserve">.  </w:t>
      </w:r>
    </w:p>
    <w:p w:rsidRPr="00DA403A" w:rsidR="00151D10" w:rsidP="00151D10" w:rsidRDefault="00151D10" w14:paraId="070908DE" w14:textId="4CF9E7E3">
      <w:pPr>
        <w:pStyle w:val="Textoindependiente"/>
        <w:spacing w:before="120" w:after="120" w:line="276" w:lineRule="auto"/>
        <w:jc w:val="both"/>
        <w:rPr>
          <w:rFonts w:eastAsia="Times New Roman"/>
          <w:bCs/>
          <w:color w:val="000000" w:themeColor="text1"/>
          <w:lang w:eastAsia="es-ES_tradnl"/>
        </w:rPr>
      </w:pPr>
      <w:r w:rsidRPr="00DA403A">
        <w:rPr>
          <w:rFonts w:eastAsia="Times New Roman"/>
          <w:bCs/>
          <w:color w:val="000000" w:themeColor="text1"/>
          <w:lang w:eastAsia="es-ES_tradnl"/>
        </w:rPr>
        <w:tab/>
      </w:r>
      <w:r w:rsidRPr="00DA403A">
        <w:rPr>
          <w:rFonts w:eastAsia="Times New Roman"/>
          <w:bCs/>
          <w:color w:val="000000" w:themeColor="text1"/>
          <w:lang w:eastAsia="es-ES_tradnl"/>
        </w:rPr>
        <w:t>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w:t>
      </w:r>
      <w:r w:rsidRPr="00DA403A" w:rsidR="00463121">
        <w:rPr>
          <w:rFonts w:eastAsia="Times New Roman"/>
          <w:bCs/>
          <w:color w:val="000000" w:themeColor="text1"/>
          <w:lang w:eastAsia="es-ES_tradnl"/>
        </w:rPr>
        <w:t>s</w:t>
      </w:r>
      <w:r w:rsidRPr="00DA403A">
        <w:rPr>
          <w:rFonts w:eastAsia="Times New Roman"/>
          <w:bCs/>
          <w:color w:val="000000" w:themeColor="text1"/>
          <w:lang w:eastAsia="es-ES_tradnl"/>
        </w:rPr>
        <w:t xml:space="preserve"> normas que otorgan competencia consultiva a esta Subdirección. Además, no son vinculantes o de obligatorio cumplimiento para el destinatario, sino que expresan la posición interpretativa del ente que elabora el concepto. </w:t>
      </w:r>
    </w:p>
    <w:p w:rsidRPr="00DA403A" w:rsidR="00B84BE3" w:rsidP="00984FE6" w:rsidRDefault="00151D10" w14:paraId="3DFF8333" w14:textId="55A656C8">
      <w:pPr>
        <w:pStyle w:val="Textoindependiente"/>
        <w:spacing w:before="120" w:after="120" w:line="276" w:lineRule="auto"/>
        <w:jc w:val="both"/>
        <w:rPr>
          <w:rFonts w:eastAsia="Times New Roman"/>
          <w:bCs/>
          <w:color w:val="000000" w:themeColor="text1"/>
          <w:lang w:eastAsia="es-ES_tradnl"/>
        </w:rPr>
      </w:pPr>
      <w:r w:rsidRPr="00DA403A">
        <w:rPr>
          <w:rFonts w:eastAsia="Times New Roman"/>
          <w:bCs/>
          <w:color w:val="000000" w:themeColor="text1"/>
          <w:lang w:eastAsia="es-ES_tradnl"/>
        </w:rPr>
        <w:tab/>
      </w:r>
      <w:r w:rsidRPr="00DA403A">
        <w:rPr>
          <w:rFonts w:eastAsia="Times New Roman"/>
          <w:bCs/>
          <w:color w:val="000000" w:themeColor="text1"/>
          <w:lang w:eastAsia="es-ES_tradnl"/>
        </w:rPr>
        <w:t xml:space="preserve">Teniendo en cuenta lo anterior, </w:t>
      </w:r>
      <w:r w:rsidRPr="00DA403A" w:rsidR="00021928">
        <w:rPr>
          <w:rFonts w:eastAsia="Times New Roman"/>
          <w:bCs/>
          <w:color w:val="000000" w:themeColor="text1"/>
          <w:lang w:eastAsia="es-ES_tradnl"/>
        </w:rPr>
        <w:t>y atendiendo a que las preguntas del peticionario guardan unidad temática respecto a la aplicación de la Ley de garantías frente a las universidades públicas</w:t>
      </w:r>
      <w:r w:rsidRPr="00DA403A">
        <w:rPr>
          <w:rFonts w:eastAsia="Times New Roman"/>
          <w:bCs/>
          <w:color w:val="000000" w:themeColor="text1"/>
          <w:lang w:eastAsia="es-ES_tradnl"/>
        </w:rPr>
        <w:t xml:space="preserve">, </w:t>
      </w:r>
      <w:r w:rsidRPr="00DA403A" w:rsidR="00021928">
        <w:rPr>
          <w:rFonts w:eastAsia="Times New Roman"/>
          <w:bCs/>
          <w:color w:val="000000" w:themeColor="text1"/>
          <w:lang w:eastAsia="es-ES_tradnl"/>
        </w:rPr>
        <w:t xml:space="preserve">a </w:t>
      </w:r>
      <w:proofErr w:type="gramStart"/>
      <w:r w:rsidRPr="00DA403A" w:rsidR="00021928">
        <w:rPr>
          <w:rFonts w:eastAsia="Times New Roman"/>
          <w:bCs/>
          <w:color w:val="000000" w:themeColor="text1"/>
          <w:lang w:eastAsia="es-ES_tradnl"/>
        </w:rPr>
        <w:t>continuación</w:t>
      </w:r>
      <w:proofErr w:type="gramEnd"/>
      <w:r w:rsidRPr="00DA403A" w:rsidR="00021928">
        <w:rPr>
          <w:rFonts w:eastAsia="Times New Roman"/>
          <w:bCs/>
          <w:color w:val="000000" w:themeColor="text1"/>
          <w:lang w:eastAsia="es-ES_tradnl"/>
        </w:rPr>
        <w:t xml:space="preserve"> se sintetizará lo expresado en las consideraciones frente a las preguntas del peticionario. En este sentido, e</w:t>
      </w:r>
      <w:r w:rsidRPr="00DA403A" w:rsidR="00B84BE3">
        <w:rPr>
          <w:rFonts w:eastAsia="Times New Roman"/>
          <w:bCs/>
          <w:color w:val="000000" w:themeColor="text1"/>
          <w:lang w:eastAsia="es-ES_tradnl"/>
        </w:rPr>
        <w:t xml:space="preserve">l parágrafo del artículo 38 de la Ley 996 de 2005, que restringe la celebración de contratos y convenios interadministrativos </w:t>
      </w:r>
      <w:r w:rsidRPr="00DA403A" w:rsidR="00021928">
        <w:rPr>
          <w:rFonts w:eastAsia="Times New Roman"/>
          <w:bCs/>
          <w:color w:val="000000" w:themeColor="text1"/>
          <w:lang w:eastAsia="es-ES_tradnl"/>
        </w:rPr>
        <w:t>por parte de los «</w:t>
      </w:r>
      <w:r w:rsidRPr="001D21C7" w:rsidR="00021928">
        <w:rPr>
          <w:rFonts w:eastAsia="Times New Roman"/>
          <w:bCs/>
          <w:color w:val="000000" w:themeColor="text1"/>
          <w:lang w:eastAsia="es-ES_tradnl"/>
        </w:rPr>
        <w:t>gobernadores, alcaldes municipales y/o distritales, secretarios, gerentes y directores de entidades descentralizadas del orden municipal, departamental o distrital»</w:t>
      </w:r>
      <w:r w:rsidRPr="00DA403A" w:rsidR="00B84BE3">
        <w:rPr>
          <w:rFonts w:eastAsia="Times New Roman"/>
          <w:bCs/>
          <w:color w:val="000000" w:themeColor="text1"/>
          <w:lang w:eastAsia="es-ES_tradnl"/>
        </w:rPr>
        <w:t>, no es aplicable a las universidades públicas del orden nacional y territorial, debido a que, en virtud de su atributo constitucional de autonomía, no son ni pueden asimilarse a las entidades públicas que expresamente prevé la norma.</w:t>
      </w:r>
    </w:p>
    <w:p w:rsidRPr="00DA403A" w:rsidR="005015C9" w:rsidP="00984FE6" w:rsidRDefault="004E5D3D" w14:paraId="0EE95CD0" w14:textId="0EF9C6E5">
      <w:pPr>
        <w:tabs>
          <w:tab w:val="left" w:pos="426"/>
        </w:tabs>
        <w:spacing w:before="120" w:after="120" w:line="276" w:lineRule="auto"/>
        <w:jc w:val="both"/>
        <w:rPr>
          <w:rFonts w:ascii="Arial" w:hAnsi="Arial" w:eastAsia="Times New Roman" w:cs="Arial"/>
          <w:bCs/>
          <w:color w:val="000000" w:themeColor="text1"/>
          <w:sz w:val="22"/>
          <w:lang w:eastAsia="es-ES_tradnl"/>
        </w:rPr>
      </w:pPr>
      <w:r w:rsidRPr="00DA403A">
        <w:rPr>
          <w:rFonts w:ascii="Arial" w:hAnsi="Arial" w:cs="Arial"/>
          <w:sz w:val="22"/>
          <w:lang w:val="es-ES"/>
        </w:rPr>
        <w:tab/>
      </w:r>
      <w:r w:rsidRPr="00DA403A" w:rsidR="00D82FD7">
        <w:rPr>
          <w:rFonts w:ascii="Arial" w:hAnsi="Arial" w:cs="Arial"/>
          <w:sz w:val="22"/>
          <w:lang w:val="es-ES"/>
        </w:rPr>
        <w:tab/>
      </w:r>
      <w:r w:rsidRPr="00DA403A">
        <w:rPr>
          <w:rFonts w:ascii="Arial" w:hAnsi="Arial" w:cs="Arial"/>
          <w:sz w:val="22"/>
          <w:lang w:val="es-ES"/>
        </w:rPr>
        <w:t xml:space="preserve">Respecto de </w:t>
      </w:r>
      <w:r w:rsidRPr="00DA403A" w:rsidR="005015C9">
        <w:rPr>
          <w:rFonts w:ascii="Arial" w:hAnsi="Arial" w:cs="Arial"/>
          <w:sz w:val="22"/>
        </w:rPr>
        <w:t xml:space="preserve">la prohibición del artículo </w:t>
      </w:r>
      <w:r w:rsidRPr="00DA403A">
        <w:rPr>
          <w:rFonts w:ascii="Arial" w:hAnsi="Arial" w:cs="Arial"/>
          <w:sz w:val="22"/>
        </w:rPr>
        <w:t>33 de la Ley 996 de 2005</w:t>
      </w:r>
      <w:r w:rsidRPr="00DA403A" w:rsidR="00DB7208">
        <w:rPr>
          <w:rFonts w:ascii="Arial" w:hAnsi="Arial" w:cs="Arial"/>
          <w:sz w:val="22"/>
        </w:rPr>
        <w:t>, esta</w:t>
      </w:r>
      <w:r w:rsidRPr="00DA403A">
        <w:rPr>
          <w:rFonts w:ascii="Arial" w:hAnsi="Arial" w:cs="Arial"/>
          <w:sz w:val="22"/>
        </w:rPr>
        <w:t xml:space="preserve"> aplica </w:t>
      </w:r>
      <w:r w:rsidRPr="00DA403A" w:rsidR="005015C9">
        <w:rPr>
          <w:rFonts w:ascii="Arial" w:hAnsi="Arial" w:cs="Arial"/>
          <w:sz w:val="22"/>
        </w:rPr>
        <w:t xml:space="preserve">a todos </w:t>
      </w:r>
      <w:r w:rsidRPr="00DA403A" w:rsidR="005015C9">
        <w:rPr>
          <w:rFonts w:ascii="Arial" w:hAnsi="Arial" w:cs="Arial"/>
          <w:color w:val="000000" w:themeColor="text1"/>
          <w:sz w:val="22"/>
        </w:rPr>
        <w:t>los entes del Estado, sin importar su régimen jurídico, forma de organización o naturaleza, pertenencia a una u otra rama del poder público o su autonomía</w:t>
      </w:r>
      <w:r w:rsidRPr="00DA403A" w:rsidR="000A4B04">
        <w:rPr>
          <w:rFonts w:ascii="Arial" w:hAnsi="Arial" w:eastAsia="Times New Roman" w:cs="Arial"/>
          <w:bCs/>
          <w:color w:val="000000" w:themeColor="text1"/>
          <w:sz w:val="22"/>
          <w:lang w:eastAsia="es-ES_tradnl"/>
        </w:rPr>
        <w:t>. Por tanto,</w:t>
      </w:r>
      <w:r w:rsidRPr="00DA403A" w:rsidR="00DB7208">
        <w:rPr>
          <w:rFonts w:ascii="Arial" w:hAnsi="Arial" w:eastAsia="Times New Roman" w:cs="Arial"/>
          <w:bCs/>
          <w:color w:val="000000" w:themeColor="text1"/>
          <w:sz w:val="22"/>
          <w:lang w:eastAsia="es-ES_tradnl"/>
        </w:rPr>
        <w:t xml:space="preserve"> dentro de ella se encuentran</w:t>
      </w:r>
      <w:r w:rsidRPr="00DA403A" w:rsidR="007D0C7B">
        <w:rPr>
          <w:rFonts w:ascii="Arial" w:hAnsi="Arial" w:eastAsia="Times New Roman" w:cs="Arial"/>
          <w:bCs/>
          <w:color w:val="000000" w:themeColor="text1"/>
          <w:sz w:val="22"/>
          <w:lang w:eastAsia="es-ES_tradnl"/>
        </w:rPr>
        <w:t xml:space="preserve"> </w:t>
      </w:r>
      <w:r w:rsidRPr="00DA403A" w:rsidR="003C0237">
        <w:rPr>
          <w:rFonts w:ascii="Arial" w:hAnsi="Arial" w:eastAsia="Times New Roman" w:cs="Arial"/>
          <w:bCs/>
          <w:color w:val="000000" w:themeColor="text1"/>
          <w:sz w:val="22"/>
          <w:lang w:eastAsia="es-ES_tradnl"/>
        </w:rPr>
        <w:t xml:space="preserve">los </w:t>
      </w:r>
      <w:r w:rsidRPr="00DA403A" w:rsidR="007D0C7B">
        <w:rPr>
          <w:rFonts w:ascii="Arial" w:hAnsi="Arial" w:eastAsia="Times New Roman" w:cs="Arial"/>
          <w:bCs/>
          <w:color w:val="000000" w:themeColor="text1"/>
          <w:sz w:val="22"/>
          <w:lang w:eastAsia="es-ES_tradnl"/>
        </w:rPr>
        <w:t>entes universitarios públicos y oficiales</w:t>
      </w:r>
      <w:r w:rsidRPr="00DA403A" w:rsidR="005015C9">
        <w:rPr>
          <w:rFonts w:ascii="Arial" w:hAnsi="Arial" w:eastAsia="Times New Roman" w:cs="Arial"/>
          <w:bCs/>
          <w:color w:val="000000" w:themeColor="text1"/>
          <w:sz w:val="22"/>
          <w:lang w:eastAsia="es-ES_tradnl"/>
        </w:rPr>
        <w:t>,</w:t>
      </w:r>
      <w:r w:rsidRPr="00DA403A" w:rsidR="000A4B04">
        <w:rPr>
          <w:rFonts w:ascii="Arial" w:hAnsi="Arial" w:eastAsia="Times New Roman" w:cs="Arial"/>
          <w:bCs/>
          <w:color w:val="000000" w:themeColor="text1"/>
          <w:sz w:val="22"/>
          <w:lang w:eastAsia="es-ES_tradnl"/>
        </w:rPr>
        <w:t xml:space="preserve"> </w:t>
      </w:r>
      <w:r w:rsidRPr="00DA403A" w:rsidR="00B962F7">
        <w:rPr>
          <w:rFonts w:ascii="Arial" w:hAnsi="Arial" w:eastAsia="Times New Roman" w:cs="Arial"/>
          <w:bCs/>
          <w:color w:val="000000" w:themeColor="text1"/>
          <w:sz w:val="22"/>
          <w:lang w:eastAsia="es-ES_tradnl"/>
        </w:rPr>
        <w:t xml:space="preserve">a quienes les queda prohibida la contratación directa </w:t>
      </w:r>
      <w:r w:rsidRPr="00DA403A" w:rsidR="005015C9">
        <w:rPr>
          <w:rFonts w:ascii="Arial" w:hAnsi="Arial" w:eastAsia="Times New Roman" w:cs="Arial"/>
          <w:bCs/>
          <w:color w:val="000000" w:themeColor="text1"/>
          <w:sz w:val="22"/>
          <w:lang w:eastAsia="es-ES_tradnl"/>
        </w:rPr>
        <w:t>durante los cuatro (4) meses anteriores a la elección presidencial y hasta la realización de la elección en la segunda vuelta, si fuere el caso.</w:t>
      </w:r>
    </w:p>
    <w:p w:rsidRPr="00DA403A" w:rsidR="00135571" w:rsidP="00984FE6" w:rsidRDefault="007B5FA8" w14:paraId="3FA74738" w14:textId="54E10F51">
      <w:pPr>
        <w:tabs>
          <w:tab w:val="left" w:pos="426"/>
        </w:tabs>
        <w:spacing w:before="120" w:after="120" w:line="276" w:lineRule="auto"/>
        <w:jc w:val="both"/>
        <w:rPr>
          <w:rFonts w:ascii="Arial" w:hAnsi="Arial" w:eastAsia="Times New Roman" w:cs="Arial"/>
          <w:bCs/>
          <w:color w:val="000000" w:themeColor="text1"/>
          <w:sz w:val="22"/>
          <w:lang w:eastAsia="es-ES_tradnl"/>
        </w:rPr>
      </w:pPr>
      <w:r w:rsidRPr="00DA403A">
        <w:rPr>
          <w:rFonts w:ascii="Arial" w:hAnsi="Arial" w:eastAsia="Times New Roman" w:cs="Arial"/>
          <w:bCs/>
          <w:color w:val="000000" w:themeColor="text1"/>
          <w:sz w:val="22"/>
          <w:lang w:eastAsia="es-ES_tradnl"/>
        </w:rPr>
        <w:tab/>
      </w:r>
      <w:r w:rsidRPr="00DA403A" w:rsidR="00752233">
        <w:rPr>
          <w:rFonts w:ascii="Arial" w:hAnsi="Arial" w:eastAsia="Times New Roman" w:cs="Arial"/>
          <w:bCs/>
          <w:color w:val="000000" w:themeColor="text1"/>
          <w:sz w:val="22"/>
          <w:lang w:eastAsia="es-ES_tradnl"/>
        </w:rPr>
        <w:tab/>
      </w:r>
      <w:r w:rsidRPr="00DA403A">
        <w:rPr>
          <w:rFonts w:ascii="Arial" w:hAnsi="Arial" w:eastAsia="Times New Roman" w:cs="Arial"/>
          <w:bCs/>
          <w:color w:val="000000" w:themeColor="text1"/>
          <w:sz w:val="22"/>
          <w:lang w:eastAsia="es-ES_tradnl"/>
        </w:rPr>
        <w:t>Cabe resaltar que a diferencia del artículo 38 de la Ley 996 de 2005</w:t>
      </w:r>
      <w:r w:rsidRPr="00DA403A" w:rsidR="000A4B04">
        <w:rPr>
          <w:rFonts w:ascii="Arial" w:hAnsi="Arial" w:eastAsia="Times New Roman" w:cs="Arial"/>
          <w:bCs/>
          <w:color w:val="000000" w:themeColor="text1"/>
          <w:sz w:val="22"/>
          <w:lang w:eastAsia="es-ES_tradnl"/>
        </w:rPr>
        <w:t>,</w:t>
      </w:r>
      <w:r w:rsidRPr="00DA403A">
        <w:rPr>
          <w:rFonts w:ascii="Arial" w:hAnsi="Arial" w:eastAsia="Times New Roman" w:cs="Arial"/>
          <w:bCs/>
          <w:color w:val="000000" w:themeColor="text1"/>
          <w:sz w:val="22"/>
          <w:lang w:eastAsia="es-ES_tradnl"/>
        </w:rPr>
        <w:t xml:space="preserve"> donde la restricción recae sobre un tipo de contrato: el convenio </w:t>
      </w:r>
      <w:r w:rsidRPr="00DA403A" w:rsidR="00B962F7">
        <w:rPr>
          <w:rFonts w:ascii="Arial" w:hAnsi="Arial" w:eastAsia="Times New Roman" w:cs="Arial"/>
          <w:bCs/>
          <w:color w:val="000000" w:themeColor="text1"/>
          <w:sz w:val="22"/>
          <w:lang w:eastAsia="es-ES_tradnl"/>
        </w:rPr>
        <w:t xml:space="preserve">o contrato </w:t>
      </w:r>
      <w:r w:rsidRPr="00DA403A">
        <w:rPr>
          <w:rFonts w:ascii="Arial" w:hAnsi="Arial" w:eastAsia="Times New Roman" w:cs="Arial"/>
          <w:bCs/>
          <w:color w:val="000000" w:themeColor="text1"/>
          <w:sz w:val="22"/>
          <w:lang w:eastAsia="es-ES_tradnl"/>
        </w:rPr>
        <w:t>interadministrativo para la ejecución de recursos públicos, la restricción del artículo 33 recae sobre</w:t>
      </w:r>
      <w:r w:rsidRPr="00DA403A" w:rsidR="00B962F7">
        <w:rPr>
          <w:rFonts w:ascii="Arial" w:hAnsi="Arial" w:eastAsia="Times New Roman" w:cs="Arial"/>
          <w:bCs/>
          <w:color w:val="000000" w:themeColor="text1"/>
          <w:sz w:val="22"/>
          <w:lang w:eastAsia="es-ES_tradnl"/>
        </w:rPr>
        <w:t xml:space="preserve"> cualquier forma de contratación directa</w:t>
      </w:r>
      <w:r w:rsidRPr="00DA403A" w:rsidR="00E54BB4">
        <w:rPr>
          <w:rFonts w:ascii="Arial" w:hAnsi="Arial" w:eastAsia="Times New Roman" w:cs="Arial"/>
          <w:bCs/>
          <w:color w:val="000000" w:themeColor="text1"/>
          <w:sz w:val="22"/>
          <w:lang w:eastAsia="es-ES_tradnl"/>
        </w:rPr>
        <w:t>.</w:t>
      </w:r>
    </w:p>
    <w:p w:rsidRPr="00DA403A" w:rsidR="00127B2C" w:rsidP="00984FE6" w:rsidRDefault="00E54BB4" w14:paraId="72970AFE" w14:textId="2DFDA9B6">
      <w:pPr>
        <w:tabs>
          <w:tab w:val="left" w:pos="426"/>
        </w:tabs>
        <w:spacing w:before="120" w:after="120" w:line="276" w:lineRule="auto"/>
        <w:jc w:val="both"/>
        <w:rPr>
          <w:rFonts w:ascii="Arial" w:hAnsi="Arial" w:eastAsia="Times New Roman" w:cs="Arial"/>
          <w:bCs/>
          <w:color w:val="000000" w:themeColor="text1"/>
          <w:sz w:val="22"/>
          <w:lang w:eastAsia="es-ES_tradnl"/>
        </w:rPr>
      </w:pPr>
      <w:r w:rsidRPr="00DA403A">
        <w:rPr>
          <w:rFonts w:ascii="Arial" w:hAnsi="Arial" w:eastAsia="Times New Roman" w:cs="Arial"/>
          <w:bCs/>
          <w:color w:val="000000" w:themeColor="text1"/>
          <w:sz w:val="22"/>
          <w:lang w:eastAsia="es-ES_tradnl"/>
        </w:rPr>
        <w:lastRenderedPageBreak/>
        <w:tab/>
      </w:r>
      <w:r w:rsidRPr="00DA403A">
        <w:rPr>
          <w:rFonts w:ascii="Arial" w:hAnsi="Arial" w:eastAsia="Times New Roman" w:cs="Arial"/>
          <w:bCs/>
          <w:color w:val="000000" w:themeColor="text1"/>
          <w:sz w:val="22"/>
          <w:lang w:eastAsia="es-ES_tradnl"/>
        </w:rPr>
        <w:t>Q</w:t>
      </w:r>
      <w:r w:rsidRPr="00DA403A" w:rsidR="00643E6E">
        <w:rPr>
          <w:rFonts w:ascii="Arial" w:hAnsi="Arial" w:eastAsia="Times New Roman" w:cs="Arial"/>
          <w:bCs/>
          <w:color w:val="000000" w:themeColor="text1"/>
          <w:sz w:val="22"/>
          <w:lang w:eastAsia="es-ES_tradnl"/>
        </w:rPr>
        <w:t>ueda</w:t>
      </w:r>
      <w:r w:rsidRPr="00DA403A">
        <w:rPr>
          <w:rFonts w:ascii="Arial" w:hAnsi="Arial" w:eastAsia="Times New Roman" w:cs="Arial"/>
          <w:bCs/>
          <w:color w:val="000000" w:themeColor="text1"/>
          <w:sz w:val="22"/>
          <w:lang w:eastAsia="es-ES_tradnl"/>
        </w:rPr>
        <w:t xml:space="preserve"> claro, entonces, </w:t>
      </w:r>
      <w:r w:rsidRPr="00DA403A" w:rsidR="006744F1">
        <w:rPr>
          <w:rFonts w:ascii="Arial" w:hAnsi="Arial" w:eastAsia="Times New Roman" w:cs="Arial"/>
          <w:bCs/>
          <w:color w:val="000000" w:themeColor="text1"/>
          <w:sz w:val="22"/>
          <w:lang w:eastAsia="es-ES_tradnl"/>
        </w:rPr>
        <w:t xml:space="preserve">que a las universidades públicas </w:t>
      </w:r>
      <w:proofErr w:type="gramStart"/>
      <w:r w:rsidRPr="00DA403A" w:rsidR="006744F1">
        <w:rPr>
          <w:rFonts w:ascii="Arial" w:hAnsi="Arial" w:eastAsia="Times New Roman" w:cs="Arial"/>
          <w:bCs/>
          <w:color w:val="000000" w:themeColor="text1"/>
          <w:sz w:val="22"/>
          <w:lang w:eastAsia="es-ES_tradnl"/>
        </w:rPr>
        <w:t>les</w:t>
      </w:r>
      <w:proofErr w:type="gramEnd"/>
      <w:r w:rsidRPr="00DA403A" w:rsidR="006744F1">
        <w:rPr>
          <w:rFonts w:ascii="Arial" w:hAnsi="Arial" w:eastAsia="Times New Roman" w:cs="Arial"/>
          <w:bCs/>
          <w:color w:val="000000" w:themeColor="text1"/>
          <w:sz w:val="22"/>
          <w:lang w:eastAsia="es-ES_tradnl"/>
        </w:rPr>
        <w:t xml:space="preserve"> aplica únicamente la restricción referente a la elección del Presidente y Vicepresidente de la República señalada en el artículo 33 de la Ley 996 de 2005</w:t>
      </w:r>
      <w:r w:rsidRPr="00DA403A" w:rsidR="007B5FA8">
        <w:rPr>
          <w:rFonts w:ascii="Arial" w:hAnsi="Arial" w:eastAsia="Times New Roman" w:cs="Arial"/>
          <w:bCs/>
          <w:color w:val="000000" w:themeColor="text1"/>
          <w:sz w:val="22"/>
          <w:lang w:eastAsia="es-ES_tradnl"/>
        </w:rPr>
        <w:t xml:space="preserve">, la cual, para los comicios que se avecinan, </w:t>
      </w:r>
      <w:r w:rsidRPr="00DA403A" w:rsidR="00643E6E">
        <w:rPr>
          <w:rFonts w:ascii="Arial" w:hAnsi="Arial" w:eastAsia="Times New Roman" w:cs="Arial"/>
          <w:bCs/>
          <w:color w:val="000000" w:themeColor="text1"/>
          <w:sz w:val="22"/>
          <w:lang w:eastAsia="es-ES_tradnl"/>
        </w:rPr>
        <w:t>empieza a regir a partir del 29 de enero de 2022</w:t>
      </w:r>
      <w:r w:rsidRPr="00DA403A" w:rsidR="00643E6E">
        <w:rPr>
          <w:rStyle w:val="Refdenotaalpie"/>
          <w:rFonts w:ascii="Arial" w:hAnsi="Arial" w:eastAsia="Times New Roman" w:cs="Arial"/>
          <w:bCs/>
          <w:color w:val="000000" w:themeColor="text1"/>
          <w:sz w:val="22"/>
          <w:lang w:eastAsia="es-ES_tradnl"/>
        </w:rPr>
        <w:footnoteReference w:id="35"/>
      </w:r>
      <w:r w:rsidRPr="00DA403A" w:rsidR="00643E6E">
        <w:rPr>
          <w:rFonts w:ascii="Arial" w:hAnsi="Arial" w:eastAsia="Times New Roman" w:cs="Arial"/>
          <w:bCs/>
          <w:color w:val="000000" w:themeColor="text1"/>
          <w:sz w:val="22"/>
          <w:lang w:eastAsia="es-ES_tradnl"/>
        </w:rPr>
        <w:t>.  Esto quiere decir que en el per</w:t>
      </w:r>
      <w:r w:rsidRPr="00DA403A" w:rsidR="000A4B04">
        <w:rPr>
          <w:rFonts w:ascii="Arial" w:hAnsi="Arial" w:eastAsia="Times New Roman" w:cs="Arial"/>
          <w:bCs/>
          <w:color w:val="000000" w:themeColor="text1"/>
          <w:sz w:val="22"/>
          <w:lang w:eastAsia="es-ES_tradnl"/>
        </w:rPr>
        <w:t>í</w:t>
      </w:r>
      <w:r w:rsidRPr="00DA403A" w:rsidR="00643E6E">
        <w:rPr>
          <w:rFonts w:ascii="Arial" w:hAnsi="Arial" w:eastAsia="Times New Roman" w:cs="Arial"/>
          <w:bCs/>
          <w:color w:val="000000" w:themeColor="text1"/>
          <w:sz w:val="22"/>
          <w:lang w:eastAsia="es-ES_tradnl"/>
        </w:rPr>
        <w:t>odo comprendido entre el 29 de enero y el 29 de m</w:t>
      </w:r>
      <w:r w:rsidRPr="00DA403A" w:rsidR="007B5FA8">
        <w:rPr>
          <w:rFonts w:ascii="Arial" w:hAnsi="Arial" w:eastAsia="Times New Roman" w:cs="Arial"/>
          <w:bCs/>
          <w:color w:val="000000" w:themeColor="text1"/>
          <w:sz w:val="22"/>
          <w:lang w:eastAsia="es-ES_tradnl"/>
        </w:rPr>
        <w:t xml:space="preserve">ayo de 2022 </w:t>
      </w:r>
      <w:r w:rsidRPr="00DA403A">
        <w:rPr>
          <w:rFonts w:ascii="Arial" w:hAnsi="Arial" w:eastAsia="Times New Roman" w:cs="Arial"/>
          <w:bCs/>
          <w:color w:val="000000" w:themeColor="text1"/>
          <w:sz w:val="22"/>
          <w:lang w:eastAsia="es-ES_tradnl"/>
        </w:rPr>
        <w:t xml:space="preserve">o </w:t>
      </w:r>
      <w:r w:rsidRPr="00DA403A" w:rsidR="007B5FA8">
        <w:rPr>
          <w:rFonts w:ascii="Arial" w:hAnsi="Arial" w:eastAsia="Times New Roman" w:cs="Arial"/>
          <w:bCs/>
          <w:color w:val="000000" w:themeColor="text1"/>
          <w:sz w:val="22"/>
          <w:lang w:eastAsia="es-ES_tradnl"/>
        </w:rPr>
        <w:t xml:space="preserve">hasta la realización de la elección en la segunda vuelta, si fuere el caso, </w:t>
      </w:r>
      <w:r w:rsidRPr="00DA403A" w:rsidR="00643E6E">
        <w:rPr>
          <w:rFonts w:ascii="Arial" w:hAnsi="Arial" w:eastAsia="Times New Roman" w:cs="Arial"/>
          <w:bCs/>
          <w:color w:val="000000" w:themeColor="text1"/>
          <w:sz w:val="22"/>
          <w:lang w:eastAsia="es-ES_tradnl"/>
        </w:rPr>
        <w:t xml:space="preserve">no podrán recurrir a </w:t>
      </w:r>
      <w:r w:rsidRPr="00DA403A" w:rsidR="006744F1">
        <w:rPr>
          <w:rFonts w:ascii="Arial" w:hAnsi="Arial" w:eastAsia="Times New Roman" w:cs="Arial"/>
          <w:bCs/>
          <w:color w:val="000000" w:themeColor="text1"/>
          <w:sz w:val="22"/>
          <w:lang w:eastAsia="es-ES_tradnl"/>
        </w:rPr>
        <w:t xml:space="preserve">la modalidad </w:t>
      </w:r>
      <w:r w:rsidRPr="00DA403A" w:rsidR="00127B2C">
        <w:rPr>
          <w:rFonts w:ascii="Arial" w:hAnsi="Arial" w:eastAsia="Times New Roman" w:cs="Arial"/>
          <w:bCs/>
          <w:color w:val="000000" w:themeColor="text1"/>
          <w:sz w:val="22"/>
          <w:lang w:eastAsia="es-ES_tradnl"/>
        </w:rPr>
        <w:t xml:space="preserve">de </w:t>
      </w:r>
      <w:r w:rsidRPr="00DA403A" w:rsidR="006744F1">
        <w:rPr>
          <w:rFonts w:ascii="Arial" w:hAnsi="Arial" w:eastAsia="Times New Roman" w:cs="Arial"/>
          <w:bCs/>
          <w:color w:val="000000" w:themeColor="text1"/>
          <w:sz w:val="22"/>
          <w:lang w:eastAsia="es-ES_tradnl"/>
        </w:rPr>
        <w:t>contratación directa</w:t>
      </w:r>
      <w:r w:rsidRPr="00DA403A" w:rsidR="000A4B04">
        <w:rPr>
          <w:rFonts w:ascii="Arial" w:hAnsi="Arial" w:eastAsia="Times New Roman" w:cs="Arial"/>
          <w:bCs/>
          <w:color w:val="000000" w:themeColor="text1"/>
          <w:sz w:val="22"/>
          <w:lang w:eastAsia="es-ES_tradnl"/>
        </w:rPr>
        <w:t>. En consecuencia,</w:t>
      </w:r>
      <w:r w:rsidRPr="00DA403A" w:rsidR="007B5FA8">
        <w:rPr>
          <w:rFonts w:ascii="Arial" w:hAnsi="Arial" w:eastAsia="Times New Roman" w:cs="Arial"/>
          <w:bCs/>
          <w:color w:val="000000" w:themeColor="text1"/>
          <w:sz w:val="22"/>
          <w:lang w:eastAsia="es-ES_tradnl"/>
        </w:rPr>
        <w:t xml:space="preserve"> en</w:t>
      </w:r>
      <w:r w:rsidRPr="00DA403A" w:rsidR="00127B2C">
        <w:rPr>
          <w:rFonts w:ascii="Arial" w:hAnsi="Arial" w:eastAsia="Times New Roman" w:cs="Arial"/>
          <w:bCs/>
          <w:color w:val="000000" w:themeColor="text1"/>
          <w:sz w:val="22"/>
          <w:lang w:eastAsia="es-ES_tradnl"/>
        </w:rPr>
        <w:t xml:space="preserve"> su planeación contractual</w:t>
      </w:r>
      <w:r w:rsidRPr="00DA403A" w:rsidR="000A4B04">
        <w:rPr>
          <w:rFonts w:ascii="Arial" w:hAnsi="Arial" w:eastAsia="Times New Roman" w:cs="Arial"/>
          <w:bCs/>
          <w:color w:val="000000" w:themeColor="text1"/>
          <w:sz w:val="22"/>
          <w:lang w:eastAsia="es-ES_tradnl"/>
        </w:rPr>
        <w:t>,</w:t>
      </w:r>
      <w:r w:rsidRPr="00DA403A" w:rsidR="00127B2C">
        <w:rPr>
          <w:rFonts w:ascii="Arial" w:hAnsi="Arial" w:eastAsia="Times New Roman" w:cs="Arial"/>
          <w:bCs/>
          <w:color w:val="000000" w:themeColor="text1"/>
          <w:sz w:val="22"/>
          <w:lang w:eastAsia="es-ES_tradnl"/>
        </w:rPr>
        <w:t xml:space="preserve"> deberán remitirse a su respectivo manual de contratación e identificar los procesos que se adelantan bajo esa modalidad para evitar la afectación de la función administrativa</w:t>
      </w:r>
      <w:r w:rsidRPr="00DA403A" w:rsidR="00E16A8F">
        <w:rPr>
          <w:rFonts w:ascii="Arial" w:hAnsi="Arial" w:eastAsia="Times New Roman" w:cs="Arial"/>
          <w:bCs/>
          <w:color w:val="000000" w:themeColor="text1"/>
          <w:sz w:val="22"/>
          <w:lang w:eastAsia="es-ES_tradnl"/>
        </w:rPr>
        <w:t xml:space="preserve"> durante </w:t>
      </w:r>
      <w:r w:rsidRPr="00DA403A" w:rsidR="007B5FA8">
        <w:rPr>
          <w:rFonts w:ascii="Arial" w:hAnsi="Arial" w:eastAsia="Times New Roman" w:cs="Arial"/>
          <w:bCs/>
          <w:color w:val="000000" w:themeColor="text1"/>
          <w:sz w:val="22"/>
          <w:lang w:eastAsia="es-ES_tradnl"/>
        </w:rPr>
        <w:t>la restricc</w:t>
      </w:r>
      <w:r w:rsidRPr="00DA403A" w:rsidR="00E16A8F">
        <w:rPr>
          <w:rFonts w:ascii="Arial" w:hAnsi="Arial" w:eastAsia="Times New Roman" w:cs="Arial"/>
          <w:bCs/>
          <w:color w:val="000000" w:themeColor="text1"/>
          <w:sz w:val="22"/>
          <w:lang w:eastAsia="es-ES_tradnl"/>
        </w:rPr>
        <w:t xml:space="preserve">ión. </w:t>
      </w:r>
    </w:p>
    <w:p w:rsidRPr="00DA403A" w:rsidR="00B962F7" w:rsidP="00984FE6" w:rsidRDefault="00E54BB4" w14:paraId="7D7A414E" w14:textId="5CAB2AD1">
      <w:pPr>
        <w:tabs>
          <w:tab w:val="left" w:pos="426"/>
        </w:tabs>
        <w:spacing w:before="120" w:after="120" w:line="276" w:lineRule="auto"/>
        <w:jc w:val="both"/>
        <w:rPr>
          <w:rFonts w:ascii="Arial" w:hAnsi="Arial" w:eastAsia="Times New Roman" w:cs="Arial"/>
          <w:bCs/>
          <w:color w:val="000000" w:themeColor="text1"/>
          <w:sz w:val="22"/>
          <w:lang w:eastAsia="es-ES_tradnl"/>
        </w:rPr>
      </w:pPr>
      <w:r w:rsidRPr="00DA403A">
        <w:rPr>
          <w:rFonts w:ascii="Arial" w:hAnsi="Arial" w:eastAsia="Times New Roman" w:cs="Arial"/>
          <w:bCs/>
          <w:color w:val="000000" w:themeColor="text1"/>
          <w:sz w:val="22"/>
          <w:lang w:eastAsia="es-ES_tradnl"/>
        </w:rPr>
        <w:tab/>
      </w:r>
      <w:r w:rsidRPr="00DA403A" w:rsidR="00D82FD7">
        <w:rPr>
          <w:rFonts w:ascii="Arial" w:hAnsi="Arial" w:eastAsia="Times New Roman" w:cs="Arial"/>
          <w:bCs/>
          <w:color w:val="000000" w:themeColor="text1"/>
          <w:sz w:val="22"/>
          <w:lang w:eastAsia="es-ES_tradnl"/>
        </w:rPr>
        <w:tab/>
      </w:r>
      <w:r w:rsidRPr="00DA403A" w:rsidR="00B962F7">
        <w:rPr>
          <w:rFonts w:ascii="Arial" w:hAnsi="Arial" w:cs="Arial"/>
          <w:bCs/>
          <w:sz w:val="22"/>
          <w:lang w:val="es-ES"/>
        </w:rPr>
        <w:t xml:space="preserve">Ahora bien, en relación con las excepciones aplicables a la prohibición de la contratación directa, </w:t>
      </w:r>
      <w:r w:rsidRPr="00DA403A" w:rsidR="006A7C71">
        <w:rPr>
          <w:rFonts w:ascii="Arial" w:hAnsi="Arial" w:cs="Arial"/>
          <w:bCs/>
          <w:sz w:val="22"/>
          <w:lang w:val="es-ES"/>
        </w:rPr>
        <w:t xml:space="preserve">sin perjuicio de lo señalado en el numeral 2.4 de este concepto, </w:t>
      </w:r>
      <w:r w:rsidRPr="00DA403A" w:rsidR="00B962F7">
        <w:rPr>
          <w:rFonts w:ascii="Arial" w:hAnsi="Arial" w:cs="Arial"/>
          <w:bCs/>
          <w:sz w:val="22"/>
          <w:lang w:val="es-ES"/>
        </w:rPr>
        <w:t>es importante señalar que estas se encuentran establecidas en el inciso segundo del artículo 33 de la Ley 996 de 2005, que prescribe que: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De otro lado, es importante señalar que en la Circular Externa Única de Colombia Compra Eficiente</w:t>
      </w:r>
      <w:r w:rsidRPr="00DA403A" w:rsidR="00B962F7">
        <w:rPr>
          <w:rStyle w:val="Refdenotaalpie"/>
          <w:rFonts w:ascii="Arial" w:hAnsi="Arial" w:cs="Arial"/>
          <w:bCs/>
          <w:sz w:val="22"/>
          <w:lang w:val="es-ES"/>
        </w:rPr>
        <w:footnoteReference w:id="36"/>
      </w:r>
      <w:r w:rsidRPr="00DA403A" w:rsidR="00B962F7">
        <w:rPr>
          <w:rFonts w:ascii="Arial" w:hAnsi="Arial" w:cs="Arial"/>
          <w:bCs/>
          <w:sz w:val="22"/>
          <w:lang w:val="es-ES"/>
        </w:rPr>
        <w:t>, en el numeral 15.3 se señaló que «De igual forma, no les aplicará la restricción de la Ley de Garantías a los contratos o convenios que se deben celebrar en virtud de un fallo judicial, puesto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r w:rsidRPr="00DA403A" w:rsidR="00B962F7">
        <w:rPr>
          <w:rStyle w:val="Refdenotaalpie"/>
          <w:rFonts w:ascii="Arial" w:hAnsi="Arial" w:cs="Arial"/>
          <w:bCs/>
          <w:sz w:val="22"/>
          <w:lang w:val="es-ES"/>
        </w:rPr>
        <w:footnoteReference w:id="37"/>
      </w:r>
      <w:r w:rsidRPr="00DA403A" w:rsidR="00B962F7">
        <w:rPr>
          <w:rFonts w:ascii="Arial" w:hAnsi="Arial" w:cs="Arial"/>
          <w:bCs/>
          <w:sz w:val="22"/>
          <w:lang w:val="es-ES"/>
        </w:rPr>
        <w:t xml:space="preserve">». Finalmente, en la misma Circular se expresó en el numeral 15.5 que: «La Ley de Garantías no establece restricciones para las prórrogas, modificaciones o adiciones, y la cesión de los contratos suscritos antes del período electoral, siempre que tales prórrogas, modificaciones, adiciones y cesiones cumplan los principios de planeación, transparencia y responsabilidad. // En este sentido, las prórrogas, modificaciones o adiciones, y la cesión de los contratos suscritos antes del período de la campaña electoral, pueden realizarse en cualquier tiempo </w:t>
      </w:r>
      <w:r w:rsidRPr="00DA403A" w:rsidR="00B962F7">
        <w:rPr>
          <w:rFonts w:ascii="Arial" w:hAnsi="Arial" w:cs="Arial"/>
          <w:bCs/>
          <w:sz w:val="22"/>
          <w:lang w:val="es-ES"/>
        </w:rPr>
        <w:lastRenderedPageBreak/>
        <w:t>antes o después del comienzo de la aplicación de la Ley de Garantías siempre y cuando el contrato se encuentre vigente». En tal sentido, las anteriores serían las excepciones a la prohibición, de conformidad con lo señalado en el artículo 33 de la Ley 996 de 2005 y en la Circular Externa Única de Colombia Compra Eficiente.</w:t>
      </w:r>
    </w:p>
    <w:p w:rsidRPr="001D21C7" w:rsidR="00B962F7" w:rsidP="001D21C7" w:rsidRDefault="00B962F7" w14:paraId="62C91DBD" w14:textId="0303B2C3">
      <w:pPr>
        <w:tabs>
          <w:tab w:val="left" w:pos="426"/>
        </w:tabs>
        <w:spacing w:line="276" w:lineRule="auto"/>
        <w:jc w:val="both"/>
        <w:rPr>
          <w:rFonts w:ascii="Arial" w:hAnsi="Arial" w:eastAsia="Times New Roman" w:cs="Arial"/>
          <w:bCs/>
          <w:color w:val="000000" w:themeColor="text1"/>
          <w:sz w:val="22"/>
          <w:lang w:eastAsia="es-ES_tradnl"/>
        </w:rPr>
      </w:pPr>
      <w:r w:rsidRPr="00DA403A">
        <w:rPr>
          <w:rFonts w:ascii="Arial" w:hAnsi="Arial" w:eastAsia="Times New Roman" w:cs="Arial"/>
          <w:bCs/>
          <w:color w:val="000000" w:themeColor="text1"/>
          <w:sz w:val="22"/>
          <w:lang w:eastAsia="es-ES_tradnl"/>
        </w:rPr>
        <w:tab/>
      </w:r>
      <w:r w:rsidRPr="00DA403A">
        <w:rPr>
          <w:rFonts w:ascii="Arial" w:hAnsi="Arial" w:eastAsia="Times New Roman" w:cs="Arial"/>
          <w:bCs/>
          <w:color w:val="000000" w:themeColor="text1"/>
          <w:sz w:val="22"/>
          <w:lang w:eastAsia="es-ES_tradnl"/>
        </w:rPr>
        <w:tab/>
      </w:r>
      <w:r w:rsidRPr="00DA403A" w:rsidR="00D208E2">
        <w:rPr>
          <w:rFonts w:ascii="Arial" w:hAnsi="Arial" w:eastAsia="Times New Roman" w:cs="Arial"/>
          <w:bCs/>
          <w:color w:val="000000" w:themeColor="text1"/>
          <w:sz w:val="22"/>
          <w:lang w:eastAsia="es-ES_tradnl"/>
        </w:rPr>
        <w:t xml:space="preserve">No </w:t>
      </w:r>
      <w:proofErr w:type="gramStart"/>
      <w:r w:rsidRPr="00DA403A" w:rsidR="00D208E2">
        <w:rPr>
          <w:rFonts w:ascii="Arial" w:hAnsi="Arial" w:eastAsia="Times New Roman" w:cs="Arial"/>
          <w:bCs/>
          <w:color w:val="000000" w:themeColor="text1"/>
          <w:sz w:val="22"/>
          <w:lang w:eastAsia="es-ES_tradnl"/>
        </w:rPr>
        <w:t>obstante</w:t>
      </w:r>
      <w:proofErr w:type="gramEnd"/>
      <w:r w:rsidRPr="00DA403A">
        <w:rPr>
          <w:rFonts w:ascii="Arial" w:hAnsi="Arial" w:eastAsia="Times New Roman" w:cs="Arial"/>
          <w:bCs/>
          <w:color w:val="000000" w:themeColor="text1"/>
          <w:sz w:val="22"/>
          <w:lang w:eastAsia="es-ES_tradnl"/>
        </w:rPr>
        <w:t xml:space="preserve"> lo anterior, teniendo en cuenta las consideraciones realizadas respecto </w:t>
      </w:r>
      <w:r w:rsidRPr="00DA403A" w:rsidR="00D208E2">
        <w:rPr>
          <w:rFonts w:ascii="Arial" w:hAnsi="Arial" w:eastAsia="Times New Roman" w:cs="Arial"/>
          <w:bCs/>
          <w:color w:val="000000" w:themeColor="text1"/>
          <w:sz w:val="22"/>
          <w:lang w:eastAsia="es-ES_tradnl"/>
        </w:rPr>
        <w:t xml:space="preserve">a la competencia consultiva de esta Agencia, corresponderá a cada entidad estatal en particular definir la conveniencia técnica, jurídica y financiera de celebrar determinado contrato estatal, sin perjuicio de tener en consideración las consideraciones realizadas en este concepto. </w:t>
      </w:r>
    </w:p>
    <w:p w:rsidRPr="00DA403A" w:rsidR="004655A9" w:rsidP="001D21C7" w:rsidRDefault="004655A9" w14:paraId="7540076E" w14:textId="77777777">
      <w:pPr>
        <w:spacing w:line="276" w:lineRule="auto"/>
        <w:jc w:val="both"/>
        <w:rPr>
          <w:rFonts w:ascii="Arial" w:hAnsi="Arial" w:eastAsia="Times New Roman" w:cs="Arial"/>
          <w:sz w:val="22"/>
          <w:bdr w:val="none" w:color="auto" w:sz="0" w:space="0" w:frame="1"/>
          <w:shd w:val="clear" w:color="auto" w:fill="FFFFFF"/>
          <w:lang w:val="es-ES_tradnl" w:eastAsia="es-ES_tradnl"/>
        </w:rPr>
      </w:pPr>
    </w:p>
    <w:p w:rsidRPr="00DA403A" w:rsidR="00BE1E33" w:rsidP="001D21C7" w:rsidRDefault="00BE1E33" w14:paraId="138D33A2" w14:textId="5C1D9092">
      <w:pPr>
        <w:spacing w:line="276" w:lineRule="auto"/>
        <w:jc w:val="both"/>
        <w:rPr>
          <w:rFonts w:ascii="Arial" w:hAnsi="Arial" w:eastAsia="Times New Roman" w:cs="Arial"/>
          <w:sz w:val="22"/>
          <w:bdr w:val="none" w:color="auto" w:sz="0" w:space="0" w:frame="1"/>
          <w:shd w:val="clear" w:color="auto" w:fill="FFFFFF"/>
          <w:lang w:val="es-ES_tradnl" w:eastAsia="es-ES_tradnl"/>
        </w:rPr>
      </w:pPr>
      <w:r w:rsidRPr="00DA403A">
        <w:rPr>
          <w:rFonts w:ascii="Arial" w:hAnsi="Arial" w:eastAsia="Times New Roman" w:cs="Arial"/>
          <w:sz w:val="22"/>
          <w:bdr w:val="none" w:color="auto" w:sz="0" w:space="0" w:frame="1"/>
          <w:shd w:val="clear" w:color="auto" w:fill="FFFFFF"/>
          <w:lang w:val="es-ES_tradnl" w:eastAsia="es-ES_tradnl"/>
        </w:rPr>
        <w:t>Este concepto tiene el alcance previsto en el artículo 28 del Código de Procedimiento Administrativo y de lo Contencioso Administrativo.</w:t>
      </w:r>
    </w:p>
    <w:p w:rsidRPr="00DA403A" w:rsidR="00F61FCE" w:rsidP="003A5B09" w:rsidRDefault="00F61FCE" w14:paraId="3430DAF9" w14:textId="77777777">
      <w:pPr>
        <w:spacing w:line="276" w:lineRule="auto"/>
        <w:ind w:firstLine="708"/>
        <w:jc w:val="both"/>
        <w:rPr>
          <w:rFonts w:ascii="Arial" w:hAnsi="Arial" w:eastAsia="Calibri" w:cs="Arial"/>
          <w:sz w:val="22"/>
          <w:lang w:val="es-ES_tradnl"/>
        </w:rPr>
      </w:pPr>
    </w:p>
    <w:p w:rsidRPr="00DA403A" w:rsidR="00BE1E33" w:rsidP="003A5B09" w:rsidRDefault="00BE1E33" w14:paraId="2B02915D" w14:textId="77777777">
      <w:pPr>
        <w:spacing w:line="276" w:lineRule="auto"/>
        <w:jc w:val="both"/>
        <w:rPr>
          <w:rFonts w:ascii="Arial" w:hAnsi="Arial" w:eastAsia="Times New Roman" w:cs="Arial"/>
          <w:sz w:val="22"/>
          <w:lang w:val="es-ES_tradnl" w:eastAsia="es-CO"/>
        </w:rPr>
      </w:pPr>
      <w:r w:rsidRPr="00DA403A">
        <w:rPr>
          <w:rFonts w:ascii="Arial" w:hAnsi="Arial" w:eastAsia="Times New Roman" w:cs="Arial"/>
          <w:sz w:val="22"/>
          <w:lang w:val="es-ES_tradnl" w:eastAsia="es-CO"/>
        </w:rPr>
        <w:t>Atentamente,</w:t>
      </w:r>
    </w:p>
    <w:bookmarkEnd w:id="0"/>
    <w:bookmarkEnd w:id="1"/>
    <w:p w:rsidRPr="00DA403A" w:rsidR="00BE1E33" w:rsidP="00A32FFB" w:rsidRDefault="00BE1E33" w14:paraId="1C8F6984" w14:textId="53100FDA">
      <w:pPr>
        <w:spacing w:line="276" w:lineRule="auto"/>
        <w:jc w:val="center"/>
        <w:rPr>
          <w:rFonts w:ascii="Arial" w:hAnsi="Arial" w:eastAsia="Times New Roman" w:cs="Arial"/>
          <w:sz w:val="22"/>
          <w:lang w:val="es-ES_tradnl" w:eastAsia="es-CO"/>
        </w:rPr>
      </w:pPr>
    </w:p>
    <w:p w:rsidRPr="00DA403A" w:rsidR="006D31E1" w:rsidP="00A32FFB" w:rsidRDefault="00546BE0" w14:paraId="5598544B" w14:textId="1939C201">
      <w:pPr>
        <w:spacing w:line="276" w:lineRule="auto"/>
        <w:jc w:val="center"/>
        <w:rPr>
          <w:rFonts w:ascii="Arial" w:hAnsi="Arial" w:eastAsia="Times New Roman" w:cs="Arial"/>
          <w:sz w:val="22"/>
          <w:lang w:val="es-ES_tradnl" w:eastAsia="es-CO"/>
        </w:rPr>
      </w:pPr>
      <w:r w:rsidRPr="00DA403A">
        <w:rPr>
          <w:rFonts w:ascii="Arial" w:hAnsi="Arial" w:cs="Arial"/>
          <w:noProof/>
          <w:sz w:val="22"/>
          <w:lang w:val="en-US"/>
        </w:rPr>
        <w:drawing>
          <wp:inline distT="0" distB="0" distL="0" distR="0" wp14:anchorId="57D46200" wp14:editId="2F783AD9">
            <wp:extent cx="2924623" cy="13430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924623" cy="1343009"/>
                    </a:xfrm>
                    <a:prstGeom prst="rect">
                      <a:avLst/>
                    </a:prstGeom>
                  </pic:spPr>
                </pic:pic>
              </a:graphicData>
            </a:graphic>
          </wp:inline>
        </w:drawing>
      </w:r>
      <w:r w:rsidRPr="00DA403A" w:rsidR="00346F88">
        <w:rPr>
          <w:rFonts w:ascii="Arial" w:hAnsi="Arial" w:cs="Arial"/>
          <w:sz w:val="22"/>
          <w:shd w:val="clear" w:color="auto" w:fill="FFFFFF"/>
          <w:lang w:val="es-ES_tradnl"/>
        </w:rPr>
        <w:br/>
      </w:r>
    </w:p>
    <w:p w:rsidRPr="00DA403A" w:rsidR="00730CDB" w:rsidP="00A32FFB" w:rsidRDefault="00730CDB" w14:paraId="724B0300" w14:textId="77777777">
      <w:pPr>
        <w:spacing w:line="276" w:lineRule="auto"/>
        <w:jc w:val="center"/>
        <w:rPr>
          <w:rFonts w:ascii="Arial" w:hAnsi="Arial" w:eastAsia="Times New Roman" w:cs="Arial"/>
          <w:sz w:val="22"/>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4"/>
        <w:gridCol w:w="4413"/>
      </w:tblGrid>
      <w:tr w:rsidRPr="00DA403A" w:rsidR="00ED1F11" w:rsidTr="002D28E0" w14:paraId="7E5CB93D" w14:textId="77777777">
        <w:trPr>
          <w:trHeight w:val="315"/>
        </w:trPr>
        <w:tc>
          <w:tcPr>
            <w:tcW w:w="924" w:type="dxa"/>
            <w:vAlign w:val="center"/>
            <w:hideMark/>
          </w:tcPr>
          <w:p w:rsidRPr="00DA403A" w:rsidR="00BE1E33" w:rsidP="00A32FFB" w:rsidRDefault="00BE1E33" w14:paraId="44CFA06E" w14:textId="77777777">
            <w:pPr>
              <w:spacing w:line="276" w:lineRule="auto"/>
              <w:rPr>
                <w:rFonts w:ascii="Arial" w:hAnsi="Arial" w:eastAsia="Times New Roman" w:cs="Arial"/>
                <w:sz w:val="16"/>
                <w:szCs w:val="16"/>
                <w:lang w:val="es-ES_tradnl" w:eastAsia="es-ES"/>
              </w:rPr>
            </w:pPr>
            <w:r w:rsidRPr="00DA403A">
              <w:rPr>
                <w:rFonts w:ascii="Arial" w:hAnsi="Arial" w:eastAsia="Times New Roman"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DA403A" w:rsidR="00BE1E33" w:rsidP="00A32FFB" w:rsidRDefault="00346F88" w14:paraId="56D7561C" w14:textId="0FCFA97D">
            <w:pPr>
              <w:spacing w:line="276" w:lineRule="auto"/>
              <w:rPr>
                <w:rFonts w:ascii="Arial" w:hAnsi="Arial" w:eastAsia="Times New Roman" w:cs="Arial"/>
                <w:sz w:val="16"/>
                <w:szCs w:val="16"/>
                <w:lang w:val="es-ES_tradnl" w:eastAsia="es-ES"/>
              </w:rPr>
            </w:pPr>
            <w:r w:rsidRPr="00DA403A">
              <w:rPr>
                <w:rFonts w:ascii="Arial" w:hAnsi="Arial" w:eastAsia="Times New Roman" w:cs="Arial"/>
                <w:sz w:val="16"/>
                <w:szCs w:val="16"/>
                <w:lang w:val="es-ES_tradnl" w:eastAsia="es-ES"/>
              </w:rPr>
              <w:t>Guillermo Escolar Flórez</w:t>
            </w:r>
          </w:p>
          <w:p w:rsidRPr="00DA403A" w:rsidR="00982E99" w:rsidP="00A32FFB" w:rsidRDefault="00982E99" w14:paraId="6C4A6DA1" w14:textId="5897BB3C">
            <w:pPr>
              <w:spacing w:line="276" w:lineRule="auto"/>
              <w:rPr>
                <w:rFonts w:ascii="Arial" w:hAnsi="Arial" w:eastAsia="Times New Roman" w:cs="Arial"/>
                <w:sz w:val="16"/>
                <w:szCs w:val="16"/>
                <w:lang w:val="es-ES_tradnl" w:eastAsia="es-ES"/>
              </w:rPr>
            </w:pPr>
            <w:r w:rsidRPr="00DA403A">
              <w:rPr>
                <w:rFonts w:ascii="Arial" w:hAnsi="Arial" w:eastAsia="Times New Roman" w:cs="Arial"/>
                <w:sz w:val="16"/>
                <w:szCs w:val="16"/>
                <w:lang w:val="es-ES_tradnl" w:eastAsia="es-ES"/>
              </w:rPr>
              <w:t>Contratista de la Subdirección de Gestión Contractual</w:t>
            </w:r>
          </w:p>
        </w:tc>
      </w:tr>
      <w:tr w:rsidRPr="00DA403A" w:rsidR="00ED1F11" w:rsidTr="002D28E0" w14:paraId="092BCD16" w14:textId="77777777">
        <w:trPr>
          <w:trHeight w:val="330"/>
        </w:trPr>
        <w:tc>
          <w:tcPr>
            <w:tcW w:w="924" w:type="dxa"/>
            <w:vAlign w:val="center"/>
            <w:hideMark/>
          </w:tcPr>
          <w:p w:rsidRPr="00DA403A" w:rsidR="00BE1E33" w:rsidP="00A32FFB" w:rsidRDefault="00BE1E33" w14:paraId="463B4DD3" w14:textId="77777777">
            <w:pPr>
              <w:spacing w:line="276" w:lineRule="auto"/>
              <w:rPr>
                <w:rFonts w:ascii="Arial" w:hAnsi="Arial" w:eastAsia="Times New Roman" w:cs="Arial"/>
                <w:sz w:val="16"/>
                <w:szCs w:val="16"/>
                <w:lang w:val="es-ES_tradnl" w:eastAsia="es-ES"/>
              </w:rPr>
            </w:pPr>
            <w:r w:rsidRPr="00DA403A">
              <w:rPr>
                <w:rFonts w:ascii="Arial" w:hAnsi="Arial" w:eastAsia="Times New Roman"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A403A" w:rsidR="002166C0" w:rsidP="00A32FFB" w:rsidRDefault="002C1A1A" w14:paraId="3D30E9FA" w14:textId="2969CEAE">
            <w:pPr>
              <w:spacing w:line="276" w:lineRule="auto"/>
              <w:rPr>
                <w:rFonts w:ascii="Arial" w:hAnsi="Arial" w:eastAsia="Times New Roman" w:cs="Arial"/>
                <w:color w:val="000000" w:themeColor="text1"/>
                <w:sz w:val="16"/>
                <w:szCs w:val="16"/>
                <w:lang w:val="es-CO" w:eastAsia="es-ES"/>
              </w:rPr>
            </w:pPr>
            <w:r w:rsidRPr="00DA403A">
              <w:rPr>
                <w:rFonts w:ascii="Arial" w:hAnsi="Arial" w:eastAsia="Times New Roman" w:cs="Arial"/>
                <w:color w:val="000000" w:themeColor="text1"/>
                <w:sz w:val="16"/>
                <w:szCs w:val="16"/>
                <w:lang w:val="es-CO" w:eastAsia="es-ES"/>
              </w:rPr>
              <w:t>Sebastián Ramírez Grisales</w:t>
            </w:r>
          </w:p>
          <w:p w:rsidRPr="00DA403A" w:rsidR="00BE1E33" w:rsidP="00A32FFB" w:rsidRDefault="002166C0" w14:paraId="72718C99" w14:textId="188CDDFC">
            <w:pPr>
              <w:spacing w:line="276" w:lineRule="auto"/>
              <w:rPr>
                <w:rFonts w:ascii="Arial" w:hAnsi="Arial" w:eastAsia="Times New Roman" w:cs="Arial"/>
                <w:sz w:val="16"/>
                <w:szCs w:val="16"/>
                <w:lang w:val="es-ES_tradnl" w:eastAsia="es-ES"/>
              </w:rPr>
            </w:pPr>
            <w:r w:rsidRPr="00DA403A">
              <w:rPr>
                <w:rFonts w:ascii="Arial" w:hAnsi="Arial" w:eastAsia="Times New Roman" w:cs="Arial"/>
                <w:color w:val="000000" w:themeColor="text1"/>
                <w:sz w:val="16"/>
                <w:szCs w:val="16"/>
                <w:lang w:val="es-CO" w:eastAsia="es-ES"/>
              </w:rPr>
              <w:t>Gestor T1-15 de la Subdirección de Gestión Contractual</w:t>
            </w:r>
          </w:p>
        </w:tc>
      </w:tr>
      <w:tr w:rsidRPr="00E664DA" w:rsidR="00982E99" w:rsidTr="002D28E0" w14:paraId="57DAFEF9" w14:textId="77777777">
        <w:trPr>
          <w:trHeight w:val="300"/>
        </w:trPr>
        <w:tc>
          <w:tcPr>
            <w:tcW w:w="924" w:type="dxa"/>
            <w:vAlign w:val="center"/>
            <w:hideMark/>
          </w:tcPr>
          <w:p w:rsidRPr="00DA403A" w:rsidR="00BE1E33" w:rsidP="00A32FFB" w:rsidRDefault="00BE1E33" w14:paraId="70677013" w14:textId="77777777">
            <w:pPr>
              <w:spacing w:line="276" w:lineRule="auto"/>
              <w:rPr>
                <w:rFonts w:ascii="Arial" w:hAnsi="Arial" w:eastAsia="Times New Roman" w:cs="Arial"/>
                <w:sz w:val="16"/>
                <w:szCs w:val="16"/>
                <w:lang w:val="es-ES_tradnl" w:eastAsia="es-ES"/>
              </w:rPr>
            </w:pPr>
            <w:r w:rsidRPr="00DA403A">
              <w:rPr>
                <w:rFonts w:ascii="Arial" w:hAnsi="Arial" w:eastAsia="Times New Roman"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A403A" w:rsidR="00BE1E33" w:rsidP="00A32FFB" w:rsidRDefault="00346F88" w14:paraId="4B4373C0" w14:textId="10E2AF5F">
            <w:pPr>
              <w:spacing w:line="276" w:lineRule="auto"/>
              <w:rPr>
                <w:rFonts w:ascii="Arial" w:hAnsi="Arial" w:eastAsia="Times New Roman" w:cs="Arial"/>
                <w:sz w:val="16"/>
                <w:szCs w:val="16"/>
                <w:lang w:val="es-ES_tradnl" w:eastAsia="es-ES"/>
              </w:rPr>
            </w:pPr>
            <w:r w:rsidRPr="00DA403A">
              <w:rPr>
                <w:rFonts w:ascii="Arial" w:hAnsi="Arial" w:eastAsia="Times New Roman" w:cs="Arial"/>
                <w:sz w:val="16"/>
                <w:szCs w:val="16"/>
                <w:lang w:val="es-ES_tradnl" w:eastAsia="es-ES"/>
              </w:rPr>
              <w:t>Jorge Augusto Tirado Navarro</w:t>
            </w:r>
          </w:p>
          <w:p w:rsidRPr="00045260" w:rsidR="00BE1E33" w:rsidP="00A32FFB" w:rsidRDefault="00346F88" w14:paraId="75BC677C" w14:textId="76A38807">
            <w:pPr>
              <w:spacing w:line="276" w:lineRule="auto"/>
              <w:rPr>
                <w:rFonts w:ascii="Arial" w:hAnsi="Arial" w:eastAsia="Times New Roman" w:cs="Arial"/>
                <w:sz w:val="16"/>
                <w:szCs w:val="16"/>
                <w:lang w:val="es-ES_tradnl" w:eastAsia="es-ES"/>
              </w:rPr>
            </w:pPr>
            <w:r w:rsidRPr="00DA403A">
              <w:rPr>
                <w:rFonts w:ascii="Arial" w:hAnsi="Arial" w:eastAsia="Times New Roman" w:cs="Arial"/>
                <w:sz w:val="16"/>
                <w:szCs w:val="16"/>
                <w:lang w:val="es-ES_tradnl" w:eastAsia="es-ES"/>
              </w:rPr>
              <w:t>Subdirector de Gestión Contractual</w:t>
            </w:r>
          </w:p>
        </w:tc>
      </w:tr>
    </w:tbl>
    <w:p w:rsidRPr="002D28E0" w:rsidR="006C5955" w:rsidP="0025163D" w:rsidRDefault="006C5955" w14:paraId="085A31AB" w14:textId="77777777">
      <w:pPr>
        <w:spacing w:line="276" w:lineRule="auto"/>
        <w:rPr>
          <w:rFonts w:ascii="Arial" w:hAnsi="Arial" w:cs="Arial"/>
          <w:sz w:val="22"/>
          <w:lang w:val="es-CO"/>
        </w:rPr>
      </w:pPr>
    </w:p>
    <w:sectPr w:rsidRPr="002D28E0" w:rsidR="006C5955" w:rsidSect="0043588C">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E6D" w:rsidP="008C487C" w:rsidRDefault="00B96E6D" w14:paraId="54A1F587" w14:textId="77777777">
      <w:r>
        <w:separator/>
      </w:r>
    </w:p>
  </w:endnote>
  <w:endnote w:type="continuationSeparator" w:id="0">
    <w:p w:rsidR="00B96E6D" w:rsidP="008C487C" w:rsidRDefault="00B96E6D" w14:paraId="3300E5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F4CB7" w:rsidP="0043588C" w:rsidRDefault="008F4CB7" w14:paraId="5D37B59A" w14:textId="3A65DB1A">
    <w:pPr>
      <w:pStyle w:val="Sinespaciado"/>
      <w:jc w:val="right"/>
      <w:rPr>
        <w:rFonts w:ascii="Arial" w:hAnsi="Arial" w:cs="Arial"/>
        <w:sz w:val="18"/>
        <w:szCs w:val="18"/>
      </w:rPr>
    </w:pPr>
  </w:p>
  <w:p w:rsidR="008F4CB7" w:rsidP="0043588C" w:rsidRDefault="008F4CB7" w14:paraId="709352A1" w14:textId="77777777">
    <w:pPr>
      <w:pStyle w:val="Sinespaciado"/>
      <w:jc w:val="right"/>
      <w:rPr>
        <w:rFonts w:ascii="Arial" w:hAnsi="Arial" w:cs="Arial"/>
        <w:sz w:val="18"/>
        <w:szCs w:val="18"/>
      </w:rPr>
    </w:pPr>
  </w:p>
  <w:p w:rsidRPr="008217B7" w:rsidR="008F4CB7" w:rsidP="0043588C" w:rsidRDefault="008F4CB7" w14:paraId="3D3EB348" w14:textId="1B6B2CF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236B9">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236B9">
      <w:rPr>
        <w:rFonts w:ascii="Arial" w:hAnsi="Arial" w:cs="Arial"/>
        <w:b/>
        <w:bCs/>
        <w:noProof/>
        <w:color w:val="7F7F7F" w:themeColor="text1" w:themeTint="80"/>
        <w:sz w:val="16"/>
        <w:szCs w:val="16"/>
      </w:rPr>
      <w:t>25</w:t>
    </w:r>
    <w:r w:rsidRPr="00084B97">
      <w:rPr>
        <w:rFonts w:ascii="Arial" w:hAnsi="Arial" w:cs="Arial"/>
        <w:b/>
        <w:bCs/>
        <w:color w:val="7F7F7F" w:themeColor="text1" w:themeTint="80"/>
        <w:sz w:val="16"/>
        <w:szCs w:val="16"/>
      </w:rPr>
      <w:fldChar w:fldCharType="end"/>
    </w:r>
  </w:p>
  <w:p w:rsidR="008F4CB7" w:rsidP="0043588C" w:rsidRDefault="008F4CB7" w14:paraId="29709EEF" w14:textId="77777777">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Pr="00E756AC" w:rsidR="008F4CB7" w:rsidP="0043588C" w:rsidRDefault="008F4CB7" w14:paraId="608DFF21" w14:textId="77777777">
    <w:pPr>
      <w:pStyle w:val="Piedepgina"/>
      <w:jc w:val="center"/>
      <w:rPr>
        <w:sz w:val="18"/>
        <w:szCs w:val="18"/>
        <w:lang w:val="es-ES"/>
      </w:rPr>
    </w:pPr>
  </w:p>
  <w:p w:rsidRPr="00E756AC" w:rsidR="008F4CB7" w:rsidP="0043588C" w:rsidRDefault="008F4CB7" w14:paraId="428179B1"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E6D" w:rsidP="008C487C" w:rsidRDefault="00B96E6D" w14:paraId="1D3C4379" w14:textId="77777777">
      <w:r>
        <w:separator/>
      </w:r>
    </w:p>
  </w:footnote>
  <w:footnote w:type="continuationSeparator" w:id="0">
    <w:p w:rsidR="00B96E6D" w:rsidP="008C487C" w:rsidRDefault="00B96E6D" w14:paraId="79B0593B" w14:textId="77777777">
      <w:r>
        <w:continuationSeparator/>
      </w:r>
    </w:p>
  </w:footnote>
  <w:footnote w:id="1">
    <w:p w:rsidRPr="0007043C" w:rsidR="008F4CB7" w:rsidP="0007043C" w:rsidRDefault="00DF5D5D" w14:paraId="277C52AE" w14:textId="6276B405">
      <w:pPr>
        <w:pStyle w:val="Textonotapie"/>
        <w:jc w:val="both"/>
        <w:rPr>
          <w:rFonts w:ascii="Arial" w:hAnsi="Arial" w:cs="Arial"/>
          <w:color w:val="000000" w:themeColor="text1"/>
          <w:sz w:val="19"/>
          <w:szCs w:val="19"/>
        </w:rPr>
      </w:pPr>
      <w:r w:rsidRPr="0007043C">
        <w:rPr>
          <w:rFonts w:ascii="Arial" w:hAnsi="Arial" w:cs="Arial"/>
          <w:color w:val="000000" w:themeColor="text1"/>
          <w:sz w:val="19"/>
          <w:szCs w:val="19"/>
        </w:rPr>
        <w:tab/>
      </w:r>
      <w:r w:rsidRPr="0007043C" w:rsidR="008F4CB7">
        <w:rPr>
          <w:rStyle w:val="Refdenotaalpie"/>
          <w:rFonts w:ascii="Arial" w:hAnsi="Arial" w:cs="Arial"/>
          <w:color w:val="000000" w:themeColor="text1"/>
          <w:sz w:val="19"/>
          <w:szCs w:val="19"/>
        </w:rPr>
        <w:footnoteRef/>
      </w:r>
      <w:r w:rsidRPr="0007043C" w:rsidR="008F4CB7">
        <w:rPr>
          <w:rFonts w:ascii="Arial" w:hAnsi="Arial" w:cs="Arial"/>
          <w:color w:val="000000" w:themeColor="text1"/>
          <w:sz w:val="19"/>
          <w:szCs w:val="19"/>
        </w:rPr>
        <w:t xml:space="preserve"> «Artículo 3°. Funciones. La Agencia Nacional de Contratación Pública –Colombia Compra Eficiente– ejercerá las siguientes funciones: </w:t>
      </w:r>
    </w:p>
    <w:p w:rsidRPr="0007043C" w:rsidR="008F4CB7" w:rsidP="0007043C" w:rsidRDefault="008F4CB7" w14:paraId="677CA7B0" w14:textId="77777777">
      <w:pPr>
        <w:pStyle w:val="Textonotapie"/>
        <w:ind w:firstLine="708"/>
        <w:jc w:val="both"/>
        <w:rPr>
          <w:rFonts w:ascii="Arial" w:hAnsi="Arial" w:cs="Arial"/>
          <w:color w:val="000000" w:themeColor="text1"/>
          <w:sz w:val="19"/>
          <w:szCs w:val="19"/>
          <w:lang w:val="es-ES"/>
        </w:rPr>
      </w:pPr>
      <w:r w:rsidRPr="0007043C">
        <w:rPr>
          <w:rFonts w:ascii="Arial" w:hAnsi="Arial" w:cs="Arial"/>
          <w:color w:val="000000" w:themeColor="text1"/>
          <w:sz w:val="19"/>
          <w:szCs w:val="19"/>
          <w:lang w:val="es-ES"/>
        </w:rPr>
        <w:t xml:space="preserve">[...] </w:t>
      </w:r>
    </w:p>
    <w:p w:rsidRPr="0007043C" w:rsidR="008F4CB7" w:rsidP="0007043C" w:rsidRDefault="008F4CB7" w14:paraId="3439F9E8" w14:textId="77777777">
      <w:pPr>
        <w:pStyle w:val="Textonotapie"/>
        <w:ind w:firstLine="708"/>
        <w:jc w:val="both"/>
        <w:rPr>
          <w:rFonts w:ascii="Arial" w:hAnsi="Arial" w:cs="Arial"/>
          <w:color w:val="000000" w:themeColor="text1"/>
          <w:sz w:val="19"/>
          <w:szCs w:val="19"/>
          <w:lang w:val="es-ES"/>
        </w:rPr>
      </w:pPr>
      <w:r w:rsidRPr="0007043C">
        <w:rPr>
          <w:rFonts w:ascii="Arial" w:hAnsi="Arial" w:cs="Arial"/>
          <w:color w:val="000000" w:themeColor="text1"/>
          <w:sz w:val="19"/>
          <w:szCs w:val="19"/>
          <w:lang w:val="es-ES"/>
        </w:rPr>
        <w:t>» 5. Absolver consultas sobre la aplicación de normas de carácter general y expedir circulares externas en materia de compras y contratación pública».</w:t>
      </w:r>
    </w:p>
    <w:p w:rsidRPr="0007043C" w:rsidR="008F4CB7" w:rsidP="0007043C" w:rsidRDefault="008F4CB7" w14:paraId="2F35137F" w14:textId="77777777">
      <w:pPr>
        <w:pStyle w:val="Textonotapie"/>
        <w:ind w:firstLine="708"/>
        <w:jc w:val="both"/>
        <w:rPr>
          <w:rFonts w:ascii="Arial" w:hAnsi="Arial" w:cs="Arial"/>
          <w:color w:val="000000" w:themeColor="text1"/>
          <w:sz w:val="19"/>
          <w:szCs w:val="19"/>
          <w:lang w:val="es-ES"/>
        </w:rPr>
      </w:pPr>
      <w:r w:rsidRPr="0007043C">
        <w:rPr>
          <w:rFonts w:ascii="Arial" w:hAnsi="Arial" w:cs="Arial"/>
          <w:color w:val="000000" w:themeColor="text1"/>
          <w:sz w:val="19"/>
          <w:szCs w:val="19"/>
          <w:lang w:val="es-ES"/>
        </w:rPr>
        <w:t>[..]</w:t>
      </w:r>
    </w:p>
    <w:p w:rsidRPr="0007043C" w:rsidR="008F4CB7" w:rsidP="0007043C" w:rsidRDefault="008F4CB7" w14:paraId="2239BD4A" w14:textId="77777777">
      <w:pPr>
        <w:pStyle w:val="Textonotapie"/>
        <w:ind w:firstLine="708"/>
        <w:jc w:val="both"/>
        <w:rPr>
          <w:rFonts w:ascii="Arial" w:hAnsi="Arial" w:cs="Arial"/>
          <w:color w:val="000000" w:themeColor="text1"/>
          <w:sz w:val="19"/>
          <w:szCs w:val="19"/>
          <w:lang w:val="es-ES"/>
        </w:rPr>
      </w:pPr>
      <w:proofErr w:type="gramStart"/>
      <w:r w:rsidRPr="0007043C">
        <w:rPr>
          <w:rFonts w:ascii="Arial" w:hAnsi="Arial" w:eastAsia="Times New Roman" w:cs="Arial"/>
          <w:color w:val="000000" w:themeColor="text1"/>
          <w:sz w:val="19"/>
          <w:szCs w:val="19"/>
          <w:lang w:val="es-CO"/>
        </w:rPr>
        <w:t>»</w:t>
      </w:r>
      <w:r w:rsidRPr="0007043C">
        <w:rPr>
          <w:rFonts w:ascii="Arial" w:hAnsi="Arial" w:cs="Arial"/>
          <w:color w:val="000000" w:themeColor="text1"/>
          <w:sz w:val="19"/>
          <w:szCs w:val="19"/>
          <w:lang w:val="es-ES"/>
        </w:rPr>
        <w:t>Artículo</w:t>
      </w:r>
      <w:proofErr w:type="gramEnd"/>
      <w:r w:rsidRPr="0007043C">
        <w:rPr>
          <w:rFonts w:ascii="Arial" w:hAnsi="Arial" w:cs="Arial"/>
          <w:color w:val="000000" w:themeColor="text1"/>
          <w:sz w:val="19"/>
          <w:szCs w:val="19"/>
          <w:lang w:val="es-ES"/>
        </w:rPr>
        <w:t xml:space="preserve"> 11. Subdirección de Gestión Contractual. Son funciones de la Subdirección de Gestión Contractual las siguientes: </w:t>
      </w:r>
    </w:p>
    <w:p w:rsidRPr="0007043C" w:rsidR="008F4CB7" w:rsidP="0007043C" w:rsidRDefault="008F4CB7" w14:paraId="1C1F84AB" w14:textId="77777777">
      <w:pPr>
        <w:pStyle w:val="Textonotapie"/>
        <w:ind w:firstLine="708"/>
        <w:jc w:val="both"/>
        <w:rPr>
          <w:rFonts w:ascii="Arial" w:hAnsi="Arial" w:cs="Arial"/>
          <w:color w:val="000000" w:themeColor="text1"/>
          <w:sz w:val="19"/>
          <w:szCs w:val="19"/>
          <w:lang w:val="es-ES"/>
        </w:rPr>
      </w:pPr>
      <w:r w:rsidRPr="0007043C">
        <w:rPr>
          <w:rFonts w:ascii="Arial" w:hAnsi="Arial" w:cs="Arial"/>
          <w:color w:val="000000" w:themeColor="text1"/>
          <w:sz w:val="19"/>
          <w:szCs w:val="19"/>
          <w:lang w:val="es-ES"/>
        </w:rPr>
        <w:t xml:space="preserve">[...] </w:t>
      </w:r>
    </w:p>
    <w:p w:rsidRPr="0007043C" w:rsidR="008F4CB7" w:rsidP="0007043C" w:rsidRDefault="008F4CB7" w14:paraId="00316439" w14:textId="77777777">
      <w:pPr>
        <w:pStyle w:val="Textonotapie"/>
        <w:ind w:firstLine="708"/>
        <w:jc w:val="both"/>
        <w:rPr>
          <w:rFonts w:ascii="Arial" w:hAnsi="Arial" w:cs="Arial"/>
          <w:color w:val="000000" w:themeColor="text1"/>
          <w:sz w:val="19"/>
          <w:szCs w:val="19"/>
          <w:lang w:val="es-ES"/>
        </w:rPr>
      </w:pPr>
      <w:r w:rsidRPr="0007043C">
        <w:rPr>
          <w:rFonts w:ascii="Arial" w:hAnsi="Arial" w:eastAsia="Times New Roman" w:cs="Arial"/>
          <w:color w:val="000000" w:themeColor="text1"/>
          <w:sz w:val="19"/>
          <w:szCs w:val="19"/>
          <w:lang w:val="es-CO"/>
        </w:rPr>
        <w:t>»</w:t>
      </w:r>
      <w:r w:rsidRPr="0007043C">
        <w:rPr>
          <w:rFonts w:ascii="Arial" w:hAnsi="Arial" w:cs="Arial"/>
          <w:color w:val="000000" w:themeColor="text1"/>
          <w:sz w:val="19"/>
          <w:szCs w:val="19"/>
          <w:lang w:val="es-ES"/>
        </w:rPr>
        <w:t xml:space="preserve">8. Absolver consultas sobre la aplicación de normas de carácter general». </w:t>
      </w:r>
    </w:p>
  </w:footnote>
  <w:footnote w:id="2">
    <w:p w:rsidRPr="001D21C7" w:rsidR="00374AE5" w:rsidP="0007043C" w:rsidRDefault="00374AE5" w14:paraId="3D4CDB52" w14:textId="77777777">
      <w:pPr>
        <w:ind w:right="114" w:firstLine="708"/>
        <w:jc w:val="both"/>
        <w:rPr>
          <w:rFonts w:ascii="Arial" w:hAnsi="Arial" w:cs="Arial"/>
          <w:color w:val="000000" w:themeColor="text1"/>
          <w:sz w:val="19"/>
          <w:szCs w:val="19"/>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«Artículo 69. Se garantiza la autonomía universitaria. Las universidades podrán darse sus directivas y regirse por sus</w:t>
      </w:r>
      <w:r w:rsidRPr="001D21C7">
        <w:rPr>
          <w:rFonts w:ascii="Arial" w:hAnsi="Arial" w:cs="Arial"/>
          <w:color w:val="000000" w:themeColor="text1"/>
          <w:spacing w:val="-2"/>
          <w:sz w:val="19"/>
          <w:szCs w:val="19"/>
        </w:rPr>
        <w:t xml:space="preserve"> </w:t>
      </w:r>
      <w:r w:rsidRPr="001D21C7">
        <w:rPr>
          <w:rFonts w:ascii="Arial" w:hAnsi="Arial" w:cs="Arial"/>
          <w:color w:val="000000" w:themeColor="text1"/>
          <w:sz w:val="19"/>
          <w:szCs w:val="19"/>
        </w:rPr>
        <w:t>propios</w:t>
      </w:r>
      <w:r w:rsidRPr="001D21C7">
        <w:rPr>
          <w:rFonts w:ascii="Arial" w:hAnsi="Arial" w:cs="Arial"/>
          <w:color w:val="000000" w:themeColor="text1"/>
          <w:spacing w:val="-2"/>
          <w:sz w:val="19"/>
          <w:szCs w:val="19"/>
        </w:rPr>
        <w:t xml:space="preserve"> </w:t>
      </w:r>
      <w:r w:rsidRPr="001D21C7">
        <w:rPr>
          <w:rFonts w:ascii="Arial" w:hAnsi="Arial" w:cs="Arial"/>
          <w:color w:val="000000" w:themeColor="text1"/>
          <w:sz w:val="19"/>
          <w:szCs w:val="19"/>
        </w:rPr>
        <w:t>estatutos,</w:t>
      </w:r>
      <w:r w:rsidRPr="001D21C7">
        <w:rPr>
          <w:rFonts w:ascii="Arial" w:hAnsi="Arial" w:cs="Arial"/>
          <w:color w:val="000000" w:themeColor="text1"/>
          <w:spacing w:val="-4"/>
          <w:sz w:val="19"/>
          <w:szCs w:val="19"/>
        </w:rPr>
        <w:t xml:space="preserve"> </w:t>
      </w:r>
      <w:r w:rsidRPr="001D21C7">
        <w:rPr>
          <w:rFonts w:ascii="Arial" w:hAnsi="Arial" w:cs="Arial"/>
          <w:color w:val="000000" w:themeColor="text1"/>
          <w:sz w:val="19"/>
          <w:szCs w:val="19"/>
        </w:rPr>
        <w:t>de</w:t>
      </w:r>
      <w:r w:rsidRPr="001D21C7">
        <w:rPr>
          <w:rFonts w:ascii="Arial" w:hAnsi="Arial" w:cs="Arial"/>
          <w:color w:val="000000" w:themeColor="text1"/>
          <w:spacing w:val="-4"/>
          <w:sz w:val="19"/>
          <w:szCs w:val="19"/>
        </w:rPr>
        <w:t xml:space="preserve"> </w:t>
      </w:r>
      <w:r w:rsidRPr="001D21C7">
        <w:rPr>
          <w:rFonts w:ascii="Arial" w:hAnsi="Arial" w:cs="Arial"/>
          <w:color w:val="000000" w:themeColor="text1"/>
          <w:sz w:val="19"/>
          <w:szCs w:val="19"/>
        </w:rPr>
        <w:t>acuerdo</w:t>
      </w:r>
      <w:r w:rsidRPr="001D21C7">
        <w:rPr>
          <w:rFonts w:ascii="Arial" w:hAnsi="Arial" w:cs="Arial"/>
          <w:color w:val="000000" w:themeColor="text1"/>
          <w:spacing w:val="-4"/>
          <w:sz w:val="19"/>
          <w:szCs w:val="19"/>
        </w:rPr>
        <w:t xml:space="preserve"> </w:t>
      </w:r>
      <w:r w:rsidRPr="001D21C7">
        <w:rPr>
          <w:rFonts w:ascii="Arial" w:hAnsi="Arial" w:cs="Arial"/>
          <w:color w:val="000000" w:themeColor="text1"/>
          <w:sz w:val="19"/>
          <w:szCs w:val="19"/>
        </w:rPr>
        <w:t>con</w:t>
      </w:r>
      <w:r w:rsidRPr="001D21C7">
        <w:rPr>
          <w:rFonts w:ascii="Arial" w:hAnsi="Arial" w:cs="Arial"/>
          <w:color w:val="000000" w:themeColor="text1"/>
          <w:spacing w:val="-1"/>
          <w:sz w:val="19"/>
          <w:szCs w:val="19"/>
        </w:rPr>
        <w:t xml:space="preserve"> </w:t>
      </w:r>
      <w:r w:rsidRPr="001D21C7">
        <w:rPr>
          <w:rFonts w:ascii="Arial" w:hAnsi="Arial" w:cs="Arial"/>
          <w:color w:val="000000" w:themeColor="text1"/>
          <w:sz w:val="19"/>
          <w:szCs w:val="19"/>
        </w:rPr>
        <w:t>la</w:t>
      </w:r>
      <w:r w:rsidRPr="001D21C7">
        <w:rPr>
          <w:rFonts w:ascii="Arial" w:hAnsi="Arial" w:cs="Arial"/>
          <w:color w:val="000000" w:themeColor="text1"/>
          <w:spacing w:val="-1"/>
          <w:sz w:val="19"/>
          <w:szCs w:val="19"/>
        </w:rPr>
        <w:t xml:space="preserve"> </w:t>
      </w:r>
      <w:r w:rsidRPr="001D21C7">
        <w:rPr>
          <w:rFonts w:ascii="Arial" w:hAnsi="Arial" w:cs="Arial"/>
          <w:color w:val="000000" w:themeColor="text1"/>
          <w:sz w:val="19"/>
          <w:szCs w:val="19"/>
        </w:rPr>
        <w:t>ley.</w:t>
      </w:r>
      <w:r w:rsidRPr="001D21C7">
        <w:rPr>
          <w:rFonts w:ascii="Arial" w:hAnsi="Arial" w:cs="Arial"/>
          <w:color w:val="000000" w:themeColor="text1"/>
          <w:spacing w:val="-2"/>
          <w:sz w:val="19"/>
          <w:szCs w:val="19"/>
        </w:rPr>
        <w:t xml:space="preserve"> </w:t>
      </w:r>
      <w:r w:rsidRPr="001D21C7">
        <w:rPr>
          <w:rFonts w:ascii="Arial" w:hAnsi="Arial" w:cs="Arial"/>
          <w:color w:val="000000" w:themeColor="text1"/>
          <w:sz w:val="19"/>
          <w:szCs w:val="19"/>
        </w:rPr>
        <w:t>La</w:t>
      </w:r>
      <w:r w:rsidRPr="001D21C7">
        <w:rPr>
          <w:rFonts w:ascii="Arial" w:hAnsi="Arial" w:cs="Arial"/>
          <w:color w:val="000000" w:themeColor="text1"/>
          <w:spacing w:val="-1"/>
          <w:sz w:val="19"/>
          <w:szCs w:val="19"/>
        </w:rPr>
        <w:t xml:space="preserve"> </w:t>
      </w:r>
      <w:r w:rsidRPr="001D21C7">
        <w:rPr>
          <w:rFonts w:ascii="Arial" w:hAnsi="Arial" w:cs="Arial"/>
          <w:color w:val="000000" w:themeColor="text1"/>
          <w:sz w:val="19"/>
          <w:szCs w:val="19"/>
        </w:rPr>
        <w:t>ley</w:t>
      </w:r>
      <w:r w:rsidRPr="001D21C7">
        <w:rPr>
          <w:rFonts w:ascii="Arial" w:hAnsi="Arial" w:cs="Arial"/>
          <w:color w:val="000000" w:themeColor="text1"/>
          <w:spacing w:val="-5"/>
          <w:sz w:val="19"/>
          <w:szCs w:val="19"/>
        </w:rPr>
        <w:t xml:space="preserve"> </w:t>
      </w:r>
      <w:r w:rsidRPr="001D21C7">
        <w:rPr>
          <w:rFonts w:ascii="Arial" w:hAnsi="Arial" w:cs="Arial"/>
          <w:color w:val="000000" w:themeColor="text1"/>
          <w:sz w:val="19"/>
          <w:szCs w:val="19"/>
        </w:rPr>
        <w:t>establecerá</w:t>
      </w:r>
      <w:r w:rsidRPr="001D21C7">
        <w:rPr>
          <w:rFonts w:ascii="Arial" w:hAnsi="Arial" w:cs="Arial"/>
          <w:color w:val="000000" w:themeColor="text1"/>
          <w:spacing w:val="-1"/>
          <w:sz w:val="19"/>
          <w:szCs w:val="19"/>
        </w:rPr>
        <w:t xml:space="preserve"> </w:t>
      </w:r>
      <w:r w:rsidRPr="001D21C7">
        <w:rPr>
          <w:rFonts w:ascii="Arial" w:hAnsi="Arial" w:cs="Arial"/>
          <w:color w:val="000000" w:themeColor="text1"/>
          <w:sz w:val="19"/>
          <w:szCs w:val="19"/>
        </w:rPr>
        <w:t>un</w:t>
      </w:r>
      <w:r w:rsidRPr="001D21C7">
        <w:rPr>
          <w:rFonts w:ascii="Arial" w:hAnsi="Arial" w:cs="Arial"/>
          <w:color w:val="000000" w:themeColor="text1"/>
          <w:spacing w:val="-1"/>
          <w:sz w:val="19"/>
          <w:szCs w:val="19"/>
        </w:rPr>
        <w:t xml:space="preserve"> </w:t>
      </w:r>
      <w:r w:rsidRPr="001D21C7">
        <w:rPr>
          <w:rFonts w:ascii="Arial" w:hAnsi="Arial" w:cs="Arial"/>
          <w:color w:val="000000" w:themeColor="text1"/>
          <w:sz w:val="19"/>
          <w:szCs w:val="19"/>
        </w:rPr>
        <w:t>régimen</w:t>
      </w:r>
      <w:r w:rsidRPr="001D21C7">
        <w:rPr>
          <w:rFonts w:ascii="Arial" w:hAnsi="Arial" w:cs="Arial"/>
          <w:color w:val="000000" w:themeColor="text1"/>
          <w:spacing w:val="-4"/>
          <w:sz w:val="19"/>
          <w:szCs w:val="19"/>
        </w:rPr>
        <w:t xml:space="preserve"> </w:t>
      </w:r>
      <w:r w:rsidRPr="001D21C7">
        <w:rPr>
          <w:rFonts w:ascii="Arial" w:hAnsi="Arial" w:cs="Arial"/>
          <w:color w:val="000000" w:themeColor="text1"/>
          <w:sz w:val="19"/>
          <w:szCs w:val="19"/>
        </w:rPr>
        <w:t>especial</w:t>
      </w:r>
      <w:r w:rsidRPr="001D21C7">
        <w:rPr>
          <w:rFonts w:ascii="Arial" w:hAnsi="Arial" w:cs="Arial"/>
          <w:color w:val="000000" w:themeColor="text1"/>
          <w:spacing w:val="-5"/>
          <w:sz w:val="19"/>
          <w:szCs w:val="19"/>
        </w:rPr>
        <w:t xml:space="preserve"> </w:t>
      </w:r>
      <w:r w:rsidRPr="001D21C7">
        <w:rPr>
          <w:rFonts w:ascii="Arial" w:hAnsi="Arial" w:cs="Arial"/>
          <w:color w:val="000000" w:themeColor="text1"/>
          <w:sz w:val="19"/>
          <w:szCs w:val="19"/>
        </w:rPr>
        <w:t>para</w:t>
      </w:r>
      <w:r w:rsidRPr="001D21C7">
        <w:rPr>
          <w:rFonts w:ascii="Arial" w:hAnsi="Arial" w:cs="Arial"/>
          <w:color w:val="000000" w:themeColor="text1"/>
          <w:spacing w:val="-1"/>
          <w:sz w:val="19"/>
          <w:szCs w:val="19"/>
        </w:rPr>
        <w:t xml:space="preserve"> </w:t>
      </w:r>
      <w:r w:rsidRPr="001D21C7">
        <w:rPr>
          <w:rFonts w:ascii="Arial" w:hAnsi="Arial" w:cs="Arial"/>
          <w:color w:val="000000" w:themeColor="text1"/>
          <w:sz w:val="19"/>
          <w:szCs w:val="19"/>
        </w:rPr>
        <w:t>las</w:t>
      </w:r>
      <w:r w:rsidRPr="001D21C7">
        <w:rPr>
          <w:rFonts w:ascii="Arial" w:hAnsi="Arial" w:cs="Arial"/>
          <w:color w:val="000000" w:themeColor="text1"/>
          <w:spacing w:val="-5"/>
          <w:sz w:val="19"/>
          <w:szCs w:val="19"/>
        </w:rPr>
        <w:t xml:space="preserve"> </w:t>
      </w:r>
      <w:r w:rsidRPr="001D21C7">
        <w:rPr>
          <w:rFonts w:ascii="Arial" w:hAnsi="Arial" w:cs="Arial"/>
          <w:color w:val="000000" w:themeColor="text1"/>
          <w:sz w:val="19"/>
          <w:szCs w:val="19"/>
        </w:rPr>
        <w:t>universidades</w:t>
      </w:r>
      <w:r w:rsidRPr="001D21C7">
        <w:rPr>
          <w:rFonts w:ascii="Arial" w:hAnsi="Arial" w:cs="Arial"/>
          <w:color w:val="000000" w:themeColor="text1"/>
          <w:spacing w:val="-2"/>
          <w:sz w:val="19"/>
          <w:szCs w:val="19"/>
        </w:rPr>
        <w:t xml:space="preserve"> </w:t>
      </w:r>
      <w:r w:rsidRPr="001D21C7">
        <w:rPr>
          <w:rFonts w:ascii="Arial" w:hAnsi="Arial" w:cs="Arial"/>
          <w:color w:val="000000" w:themeColor="text1"/>
          <w:sz w:val="19"/>
          <w:szCs w:val="19"/>
        </w:rPr>
        <w:t>del</w:t>
      </w:r>
      <w:r w:rsidRPr="001D21C7">
        <w:rPr>
          <w:rFonts w:ascii="Arial" w:hAnsi="Arial" w:cs="Arial"/>
          <w:color w:val="000000" w:themeColor="text1"/>
          <w:spacing w:val="-3"/>
          <w:sz w:val="19"/>
          <w:szCs w:val="19"/>
        </w:rPr>
        <w:t xml:space="preserve"> </w:t>
      </w:r>
      <w:r w:rsidRPr="001D21C7">
        <w:rPr>
          <w:rFonts w:ascii="Arial" w:hAnsi="Arial" w:cs="Arial"/>
          <w:color w:val="000000" w:themeColor="text1"/>
          <w:sz w:val="19"/>
          <w:szCs w:val="19"/>
        </w:rPr>
        <w:t>Estado».</w:t>
      </w:r>
    </w:p>
    <w:p w:rsidRPr="001D21C7" w:rsidR="00374AE5" w:rsidP="003A5B09" w:rsidRDefault="00374AE5" w14:paraId="48869C13" w14:textId="77777777">
      <w:pPr>
        <w:pStyle w:val="Textonotapie"/>
        <w:jc w:val="both"/>
        <w:rPr>
          <w:rFonts w:ascii="Arial" w:hAnsi="Arial" w:cs="Arial"/>
          <w:color w:val="000000" w:themeColor="text1"/>
          <w:sz w:val="19"/>
          <w:szCs w:val="19"/>
        </w:rPr>
      </w:pPr>
    </w:p>
  </w:footnote>
  <w:footnote w:id="3">
    <w:p w:rsidRPr="001D21C7" w:rsidR="00374AE5" w:rsidP="003A5B09" w:rsidRDefault="00374AE5" w14:paraId="6F1E6316" w14:textId="77777777">
      <w:pPr>
        <w:pStyle w:val="Textonotapie"/>
        <w:ind w:firstLine="708"/>
        <w:jc w:val="both"/>
        <w:rPr>
          <w:rFonts w:ascii="Arial" w:hAnsi="Arial" w:cs="Arial"/>
          <w:color w:val="000000" w:themeColor="text1"/>
          <w:sz w:val="19"/>
          <w:szCs w:val="19"/>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«Artículo 57. Las universidades estatales u oficiales deben organizarse como entes universitarios autónomos, con régimen especial y vinculados al Ministerio de Educación Nacional en lo que se refiere a las políticas y la planeación del sector educativo.</w:t>
      </w:r>
    </w:p>
    <w:p w:rsidRPr="001D21C7" w:rsidR="00374AE5" w:rsidP="000D62E8" w:rsidRDefault="00374AE5" w14:paraId="7BCC2931" w14:textId="77777777">
      <w:pPr>
        <w:pStyle w:val="Textonotapie"/>
        <w:ind w:firstLine="708"/>
        <w:jc w:val="both"/>
        <w:rPr>
          <w:rFonts w:ascii="Arial" w:hAnsi="Arial" w:cs="Arial"/>
          <w:color w:val="000000" w:themeColor="text1"/>
          <w:sz w:val="19"/>
          <w:szCs w:val="19"/>
        </w:rPr>
      </w:pPr>
      <w:proofErr w:type="gramStart"/>
      <w:r w:rsidRPr="001D21C7">
        <w:rPr>
          <w:rFonts w:ascii="Arial" w:hAnsi="Arial" w:cs="Arial"/>
          <w:color w:val="000000" w:themeColor="text1"/>
          <w:sz w:val="19"/>
          <w:szCs w:val="19"/>
        </w:rPr>
        <w:t>»Los</w:t>
      </w:r>
      <w:proofErr w:type="gramEnd"/>
      <w:r w:rsidRPr="001D21C7">
        <w:rPr>
          <w:rFonts w:ascii="Arial" w:hAnsi="Arial" w:cs="Arial"/>
          <w:color w:val="000000" w:themeColor="text1"/>
          <w:sz w:val="19"/>
          <w:szCs w:val="19"/>
        </w:rPr>
        <w:t xml:space="preserve"> entes universitarios autónomos tendrán las siguientes características: Personería jurídica, autonomía académica, administrativa y financiera, patrimonio independiente y podrán elaborar y manejar su presupuesto de acuerdo con las funciones que le corresponden.</w:t>
      </w:r>
    </w:p>
    <w:p w:rsidRPr="001D21C7" w:rsidR="00374AE5" w:rsidP="00B9613E" w:rsidRDefault="00374AE5" w14:paraId="625533B6" w14:textId="77777777">
      <w:pPr>
        <w:pStyle w:val="Textonotapie"/>
        <w:jc w:val="both"/>
        <w:rPr>
          <w:rFonts w:ascii="Arial" w:hAnsi="Arial" w:cs="Arial"/>
          <w:color w:val="000000" w:themeColor="text1"/>
          <w:sz w:val="19"/>
          <w:szCs w:val="19"/>
          <w:lang w:val="es-CO"/>
        </w:rPr>
      </w:pPr>
      <w:r w:rsidRPr="001D21C7">
        <w:rPr>
          <w:rFonts w:ascii="Arial" w:hAnsi="Arial" w:cs="Arial"/>
          <w:color w:val="000000" w:themeColor="text1"/>
          <w:sz w:val="19"/>
          <w:szCs w:val="19"/>
        </w:rPr>
        <w:tab/>
      </w:r>
      <w:proofErr w:type="gramStart"/>
      <w:r w:rsidRPr="001D21C7">
        <w:rPr>
          <w:rFonts w:ascii="Arial" w:hAnsi="Arial" w:cs="Arial"/>
          <w:color w:val="000000" w:themeColor="text1"/>
          <w:sz w:val="19"/>
          <w:szCs w:val="19"/>
          <w:lang w:val="es-CO"/>
        </w:rPr>
        <w:t>»El</w:t>
      </w:r>
      <w:proofErr w:type="gramEnd"/>
      <w:r w:rsidRPr="001D21C7">
        <w:rPr>
          <w:rFonts w:ascii="Arial" w:hAnsi="Arial" w:cs="Arial"/>
          <w:color w:val="000000" w:themeColor="text1"/>
          <w:sz w:val="19"/>
          <w:szCs w:val="19"/>
          <w:lang w:val="es-CO"/>
        </w:rPr>
        <w:t xml:space="preserve"> carácter especial del régimen de las universidades estatales u oficiales, comprenderá la organización y elección de directivas, del personal docente y administrativo, el sistema de las universidades estatales u oficiales, el régimen financiero, el régimen de contratación y control fiscal y su propia seguridad social en salud, de acuerdo con la presente ley».</w:t>
      </w:r>
    </w:p>
    <w:p w:rsidRPr="001D21C7" w:rsidR="00374AE5" w:rsidRDefault="00374AE5" w14:paraId="79ADB125" w14:textId="77777777">
      <w:pPr>
        <w:pStyle w:val="Textonotapie"/>
        <w:jc w:val="both"/>
        <w:rPr>
          <w:rFonts w:ascii="Arial" w:hAnsi="Arial" w:cs="Arial"/>
          <w:color w:val="000000" w:themeColor="text1"/>
          <w:sz w:val="19"/>
          <w:szCs w:val="19"/>
          <w:lang w:val="es-ES"/>
        </w:rPr>
      </w:pPr>
    </w:p>
  </w:footnote>
  <w:footnote w:id="4">
    <w:p w:rsidRPr="001D21C7" w:rsidR="00374AE5" w:rsidRDefault="00374AE5" w14:paraId="1771C517" w14:textId="77777777">
      <w:pPr>
        <w:ind w:right="110" w:firstLine="708"/>
        <w:jc w:val="both"/>
        <w:rPr>
          <w:rFonts w:ascii="Arial" w:hAnsi="Arial" w:cs="Arial"/>
          <w:color w:val="000000" w:themeColor="text1"/>
          <w:sz w:val="19"/>
          <w:szCs w:val="19"/>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w:t>
      </w:r>
      <w:r w:rsidRPr="001D21C7">
        <w:rPr>
          <w:rFonts w:ascii="Arial" w:hAnsi="Arial" w:cs="Arial"/>
          <w:color w:val="000000" w:themeColor="text1"/>
          <w:spacing w:val="-16"/>
          <w:sz w:val="19"/>
          <w:szCs w:val="19"/>
        </w:rPr>
        <w:t xml:space="preserve"> </w:t>
      </w:r>
      <w:r w:rsidRPr="001D21C7">
        <w:rPr>
          <w:rFonts w:ascii="Arial" w:hAnsi="Arial" w:cs="Arial"/>
          <w:color w:val="000000" w:themeColor="text1"/>
          <w:sz w:val="19"/>
          <w:szCs w:val="19"/>
        </w:rPr>
        <w:t>contratos».</w:t>
      </w:r>
    </w:p>
    <w:p w:rsidRPr="001D21C7" w:rsidR="00374AE5" w:rsidRDefault="00374AE5" w14:paraId="02A2C585" w14:textId="77777777">
      <w:pPr>
        <w:pStyle w:val="Textonotapie"/>
        <w:jc w:val="both"/>
        <w:rPr>
          <w:rFonts w:ascii="Arial" w:hAnsi="Arial" w:cs="Arial"/>
          <w:color w:val="000000" w:themeColor="text1"/>
          <w:sz w:val="19"/>
          <w:szCs w:val="19"/>
        </w:rPr>
      </w:pPr>
    </w:p>
  </w:footnote>
  <w:footnote w:id="5">
    <w:p w:rsidRPr="001D21C7" w:rsidR="00374AE5" w:rsidRDefault="00374AE5" w14:paraId="398041B4" w14:textId="77777777">
      <w:pPr>
        <w:ind w:right="106" w:firstLine="708"/>
        <w:jc w:val="both"/>
        <w:rPr>
          <w:rFonts w:ascii="Arial" w:hAnsi="Arial" w:cs="Arial"/>
          <w:color w:val="000000" w:themeColor="text1"/>
          <w:sz w:val="19"/>
          <w:szCs w:val="19"/>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«Artículo 39. Integración de la Administración Pública.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w:t>
      </w:r>
    </w:p>
    <w:p w:rsidRPr="001D21C7" w:rsidR="00374AE5" w:rsidRDefault="00374AE5" w14:paraId="08656DB0" w14:textId="77777777">
      <w:pPr>
        <w:ind w:right="106" w:firstLine="708"/>
        <w:jc w:val="both"/>
        <w:rPr>
          <w:rFonts w:ascii="Arial" w:hAnsi="Arial" w:cs="Arial"/>
          <w:color w:val="000000" w:themeColor="text1"/>
          <w:sz w:val="19"/>
          <w:szCs w:val="19"/>
        </w:rPr>
      </w:pPr>
    </w:p>
  </w:footnote>
  <w:footnote w:id="6">
    <w:p w:rsidRPr="001D21C7" w:rsidR="00374AE5" w:rsidRDefault="00374AE5" w14:paraId="362DB482" w14:textId="77777777">
      <w:pPr>
        <w:ind w:right="106" w:firstLine="708"/>
        <w:jc w:val="both"/>
        <w:rPr>
          <w:rFonts w:ascii="Arial" w:hAnsi="Arial" w:cs="Arial"/>
          <w:color w:val="000000" w:themeColor="text1"/>
          <w:sz w:val="19"/>
          <w:szCs w:val="19"/>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«Artículo 40. Entidades y organismos estatales sujetos a régimen especial.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w:t>
      </w:r>
    </w:p>
    <w:p w:rsidRPr="001D21C7" w:rsidR="00374AE5" w:rsidRDefault="00374AE5" w14:paraId="1272A237" w14:textId="77777777">
      <w:pPr>
        <w:ind w:right="106" w:firstLine="708"/>
        <w:jc w:val="both"/>
        <w:rPr>
          <w:rFonts w:ascii="Arial" w:hAnsi="Arial" w:cs="Arial"/>
          <w:color w:val="000000" w:themeColor="text1"/>
          <w:sz w:val="19"/>
          <w:szCs w:val="19"/>
        </w:rPr>
      </w:pPr>
    </w:p>
  </w:footnote>
  <w:footnote w:id="7">
    <w:p w:rsidRPr="001D21C7" w:rsidR="00374AE5" w:rsidRDefault="00374AE5" w14:paraId="52C5DA4B" w14:textId="77777777">
      <w:pPr>
        <w:ind w:firstLine="708"/>
        <w:jc w:val="both"/>
        <w:rPr>
          <w:rFonts w:ascii="Arial" w:hAnsi="Arial" w:cs="Arial"/>
          <w:color w:val="000000" w:themeColor="text1"/>
          <w:sz w:val="19"/>
          <w:szCs w:val="19"/>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Corte Constitucional. Sentencia C-121 de 2003. </w:t>
      </w:r>
      <w:proofErr w:type="spellStart"/>
      <w:r w:rsidRPr="001D21C7">
        <w:rPr>
          <w:rFonts w:ascii="Arial" w:hAnsi="Arial" w:cs="Arial"/>
          <w:color w:val="000000" w:themeColor="text1"/>
          <w:sz w:val="19"/>
          <w:szCs w:val="19"/>
        </w:rPr>
        <w:t>M.P</w:t>
      </w:r>
      <w:proofErr w:type="spellEnd"/>
      <w:r w:rsidRPr="001D21C7">
        <w:rPr>
          <w:rFonts w:ascii="Arial" w:hAnsi="Arial" w:cs="Arial"/>
          <w:color w:val="000000" w:themeColor="text1"/>
          <w:sz w:val="19"/>
          <w:szCs w:val="19"/>
        </w:rPr>
        <w:t>. Clara Inés Vargas Hernández.</w:t>
      </w:r>
    </w:p>
    <w:p w:rsidRPr="001D21C7" w:rsidR="00374AE5" w:rsidRDefault="00374AE5" w14:paraId="0B543F93" w14:textId="77777777">
      <w:pPr>
        <w:jc w:val="both"/>
        <w:rPr>
          <w:rFonts w:ascii="Arial" w:hAnsi="Arial" w:cs="Arial"/>
          <w:color w:val="000000" w:themeColor="text1"/>
          <w:sz w:val="19"/>
          <w:szCs w:val="19"/>
        </w:rPr>
      </w:pPr>
    </w:p>
  </w:footnote>
  <w:footnote w:id="8">
    <w:p w:rsidRPr="001D21C7" w:rsidR="00374AE5" w:rsidRDefault="00374AE5" w14:paraId="3A179317" w14:textId="77777777">
      <w:pPr>
        <w:ind w:left="-1" w:right="110" w:firstLine="709"/>
        <w:jc w:val="both"/>
        <w:rPr>
          <w:rFonts w:ascii="Arial" w:hAnsi="Arial" w:cs="Arial"/>
          <w:color w:val="000000" w:themeColor="text1"/>
          <w:sz w:val="19"/>
          <w:szCs w:val="19"/>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Corte</w:t>
      </w:r>
      <w:r w:rsidRPr="001D21C7">
        <w:rPr>
          <w:rFonts w:ascii="Arial" w:hAnsi="Arial" w:cs="Arial"/>
          <w:color w:val="000000" w:themeColor="text1"/>
          <w:spacing w:val="10"/>
          <w:sz w:val="19"/>
          <w:szCs w:val="19"/>
        </w:rPr>
        <w:t xml:space="preserve"> </w:t>
      </w:r>
      <w:r w:rsidRPr="001D21C7">
        <w:rPr>
          <w:rFonts w:ascii="Arial" w:hAnsi="Arial" w:cs="Arial"/>
          <w:color w:val="000000" w:themeColor="text1"/>
          <w:sz w:val="19"/>
          <w:szCs w:val="19"/>
        </w:rPr>
        <w:t>Constitucional.</w:t>
      </w:r>
      <w:r w:rsidRPr="001D21C7">
        <w:rPr>
          <w:rFonts w:ascii="Arial" w:hAnsi="Arial" w:cs="Arial"/>
          <w:color w:val="000000" w:themeColor="text1"/>
          <w:spacing w:val="11"/>
          <w:sz w:val="19"/>
          <w:szCs w:val="19"/>
        </w:rPr>
        <w:t xml:space="preserve"> </w:t>
      </w:r>
      <w:r w:rsidRPr="001D21C7">
        <w:rPr>
          <w:rFonts w:ascii="Arial" w:hAnsi="Arial" w:cs="Arial"/>
          <w:color w:val="000000" w:themeColor="text1"/>
          <w:sz w:val="19"/>
          <w:szCs w:val="19"/>
        </w:rPr>
        <w:t>Sentencia</w:t>
      </w:r>
      <w:r w:rsidRPr="001D21C7">
        <w:rPr>
          <w:rFonts w:ascii="Arial" w:hAnsi="Arial" w:cs="Arial"/>
          <w:color w:val="000000" w:themeColor="text1"/>
          <w:spacing w:val="10"/>
          <w:sz w:val="19"/>
          <w:szCs w:val="19"/>
        </w:rPr>
        <w:t xml:space="preserve"> </w:t>
      </w:r>
      <w:r w:rsidRPr="001D21C7">
        <w:rPr>
          <w:rFonts w:ascii="Arial" w:hAnsi="Arial" w:cs="Arial"/>
          <w:color w:val="000000" w:themeColor="text1"/>
          <w:sz w:val="19"/>
          <w:szCs w:val="19"/>
        </w:rPr>
        <w:t>C-1019</w:t>
      </w:r>
      <w:r w:rsidRPr="001D21C7">
        <w:rPr>
          <w:rFonts w:ascii="Arial" w:hAnsi="Arial" w:cs="Arial"/>
          <w:color w:val="000000" w:themeColor="text1"/>
          <w:spacing w:val="10"/>
          <w:sz w:val="19"/>
          <w:szCs w:val="19"/>
        </w:rPr>
        <w:t xml:space="preserve"> </w:t>
      </w:r>
      <w:r w:rsidRPr="001D21C7">
        <w:rPr>
          <w:rFonts w:ascii="Arial" w:hAnsi="Arial" w:cs="Arial"/>
          <w:color w:val="000000" w:themeColor="text1"/>
          <w:sz w:val="19"/>
          <w:szCs w:val="19"/>
        </w:rPr>
        <w:t>del</w:t>
      </w:r>
      <w:r w:rsidRPr="001D21C7">
        <w:rPr>
          <w:rFonts w:ascii="Arial" w:hAnsi="Arial" w:cs="Arial"/>
          <w:color w:val="000000" w:themeColor="text1"/>
          <w:spacing w:val="9"/>
          <w:sz w:val="19"/>
          <w:szCs w:val="19"/>
        </w:rPr>
        <w:t xml:space="preserve"> </w:t>
      </w:r>
      <w:r w:rsidRPr="001D21C7">
        <w:rPr>
          <w:rFonts w:ascii="Arial" w:hAnsi="Arial" w:cs="Arial"/>
          <w:color w:val="000000" w:themeColor="text1"/>
          <w:sz w:val="19"/>
          <w:szCs w:val="19"/>
        </w:rPr>
        <w:t>28</w:t>
      </w:r>
      <w:r w:rsidRPr="001D21C7">
        <w:rPr>
          <w:rFonts w:ascii="Arial" w:hAnsi="Arial" w:cs="Arial"/>
          <w:color w:val="000000" w:themeColor="text1"/>
          <w:spacing w:val="10"/>
          <w:sz w:val="19"/>
          <w:szCs w:val="19"/>
        </w:rPr>
        <w:t xml:space="preserve"> </w:t>
      </w:r>
      <w:r w:rsidRPr="001D21C7">
        <w:rPr>
          <w:rFonts w:ascii="Arial" w:hAnsi="Arial" w:cs="Arial"/>
          <w:color w:val="000000" w:themeColor="text1"/>
          <w:sz w:val="19"/>
          <w:szCs w:val="19"/>
        </w:rPr>
        <w:t>de</w:t>
      </w:r>
      <w:r w:rsidRPr="001D21C7">
        <w:rPr>
          <w:rFonts w:ascii="Arial" w:hAnsi="Arial" w:cs="Arial"/>
          <w:color w:val="000000" w:themeColor="text1"/>
          <w:spacing w:val="10"/>
          <w:sz w:val="19"/>
          <w:szCs w:val="19"/>
        </w:rPr>
        <w:t xml:space="preserve"> </w:t>
      </w:r>
      <w:r w:rsidRPr="001D21C7">
        <w:rPr>
          <w:rFonts w:ascii="Arial" w:hAnsi="Arial" w:cs="Arial"/>
          <w:color w:val="000000" w:themeColor="text1"/>
          <w:sz w:val="19"/>
          <w:szCs w:val="19"/>
        </w:rPr>
        <w:t>noviembre</w:t>
      </w:r>
      <w:r w:rsidRPr="001D21C7">
        <w:rPr>
          <w:rFonts w:ascii="Arial" w:hAnsi="Arial" w:cs="Arial"/>
          <w:color w:val="000000" w:themeColor="text1"/>
          <w:spacing w:val="10"/>
          <w:sz w:val="19"/>
          <w:szCs w:val="19"/>
        </w:rPr>
        <w:t xml:space="preserve"> </w:t>
      </w:r>
      <w:r w:rsidRPr="001D21C7">
        <w:rPr>
          <w:rFonts w:ascii="Arial" w:hAnsi="Arial" w:cs="Arial"/>
          <w:color w:val="000000" w:themeColor="text1"/>
          <w:sz w:val="19"/>
          <w:szCs w:val="19"/>
        </w:rPr>
        <w:t>de</w:t>
      </w:r>
      <w:r w:rsidRPr="001D21C7">
        <w:rPr>
          <w:rFonts w:ascii="Arial" w:hAnsi="Arial" w:cs="Arial"/>
          <w:color w:val="000000" w:themeColor="text1"/>
          <w:spacing w:val="10"/>
          <w:sz w:val="19"/>
          <w:szCs w:val="19"/>
        </w:rPr>
        <w:t xml:space="preserve"> </w:t>
      </w:r>
      <w:r w:rsidRPr="001D21C7">
        <w:rPr>
          <w:rFonts w:ascii="Arial" w:hAnsi="Arial" w:cs="Arial"/>
          <w:color w:val="000000" w:themeColor="text1"/>
          <w:sz w:val="19"/>
          <w:szCs w:val="19"/>
        </w:rPr>
        <w:t>2012.</w:t>
      </w:r>
      <w:r w:rsidRPr="001D21C7">
        <w:rPr>
          <w:rFonts w:ascii="Arial" w:hAnsi="Arial" w:cs="Arial"/>
          <w:color w:val="000000" w:themeColor="text1"/>
          <w:spacing w:val="10"/>
          <w:sz w:val="19"/>
          <w:szCs w:val="19"/>
        </w:rPr>
        <w:t xml:space="preserve"> </w:t>
      </w:r>
      <w:proofErr w:type="spellStart"/>
      <w:r w:rsidRPr="001D21C7">
        <w:rPr>
          <w:rFonts w:ascii="Arial" w:hAnsi="Arial" w:cs="Arial"/>
          <w:color w:val="000000" w:themeColor="text1"/>
          <w:sz w:val="19"/>
          <w:szCs w:val="19"/>
        </w:rPr>
        <w:t>M.P</w:t>
      </w:r>
      <w:proofErr w:type="spellEnd"/>
      <w:r w:rsidRPr="001D21C7">
        <w:rPr>
          <w:rFonts w:ascii="Arial" w:hAnsi="Arial" w:cs="Arial"/>
          <w:color w:val="000000" w:themeColor="text1"/>
          <w:sz w:val="19"/>
          <w:szCs w:val="19"/>
        </w:rPr>
        <w:t>.</w:t>
      </w:r>
      <w:r w:rsidRPr="001D21C7">
        <w:rPr>
          <w:rFonts w:ascii="Arial" w:hAnsi="Arial" w:cs="Arial"/>
          <w:color w:val="000000" w:themeColor="text1"/>
          <w:spacing w:val="10"/>
          <w:sz w:val="19"/>
          <w:szCs w:val="19"/>
        </w:rPr>
        <w:t xml:space="preserve"> </w:t>
      </w:r>
      <w:r w:rsidRPr="001D21C7">
        <w:rPr>
          <w:rFonts w:ascii="Arial" w:hAnsi="Arial" w:cs="Arial"/>
          <w:color w:val="000000" w:themeColor="text1"/>
          <w:sz w:val="19"/>
          <w:szCs w:val="19"/>
        </w:rPr>
        <w:t>Mauricio</w:t>
      </w:r>
      <w:r w:rsidRPr="001D21C7">
        <w:rPr>
          <w:rFonts w:ascii="Arial" w:hAnsi="Arial" w:cs="Arial"/>
          <w:color w:val="000000" w:themeColor="text1"/>
          <w:spacing w:val="8"/>
          <w:sz w:val="19"/>
          <w:szCs w:val="19"/>
        </w:rPr>
        <w:t xml:space="preserve"> </w:t>
      </w:r>
      <w:r w:rsidRPr="001D21C7">
        <w:rPr>
          <w:rFonts w:ascii="Arial" w:hAnsi="Arial" w:cs="Arial"/>
          <w:color w:val="000000" w:themeColor="text1"/>
          <w:sz w:val="19"/>
          <w:szCs w:val="19"/>
        </w:rPr>
        <w:t>González.</w:t>
      </w:r>
    </w:p>
    <w:p w:rsidRPr="001D21C7" w:rsidR="00374AE5" w:rsidRDefault="00374AE5" w14:paraId="3572A509" w14:textId="77777777">
      <w:pPr>
        <w:pStyle w:val="Textonotapie"/>
        <w:jc w:val="both"/>
        <w:rPr>
          <w:rFonts w:ascii="Arial" w:hAnsi="Arial" w:cs="Arial"/>
          <w:color w:val="000000" w:themeColor="text1"/>
          <w:sz w:val="19"/>
          <w:szCs w:val="19"/>
        </w:rPr>
      </w:pPr>
    </w:p>
  </w:footnote>
  <w:footnote w:id="9">
    <w:p w:rsidRPr="001D21C7" w:rsidR="00374AE5" w:rsidRDefault="00374AE5" w14:paraId="0A320F48" w14:textId="77777777">
      <w:pPr>
        <w:pStyle w:val="Textonotapie"/>
        <w:ind w:firstLine="708"/>
        <w:jc w:val="both"/>
        <w:rPr>
          <w:rFonts w:ascii="Arial" w:hAnsi="Arial" w:cs="Arial"/>
          <w:color w:val="000000" w:themeColor="text1"/>
          <w:sz w:val="19"/>
          <w:szCs w:val="19"/>
          <w:lang w:val="es-ES_tradnl"/>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CONSEJO DE ESTADO. Sección Cuarta. Sentencia del 16 de diciembre de 2008. </w:t>
      </w:r>
      <w:proofErr w:type="spellStart"/>
      <w:r w:rsidRPr="001D21C7">
        <w:rPr>
          <w:rFonts w:ascii="Arial" w:hAnsi="Arial" w:cs="Arial"/>
          <w:color w:val="000000" w:themeColor="text1"/>
          <w:sz w:val="19"/>
          <w:szCs w:val="19"/>
        </w:rPr>
        <w:t>Exp</w:t>
      </w:r>
      <w:proofErr w:type="spellEnd"/>
      <w:r w:rsidRPr="001D21C7">
        <w:rPr>
          <w:rFonts w:ascii="Arial" w:hAnsi="Arial" w:cs="Arial"/>
          <w:color w:val="000000" w:themeColor="text1"/>
          <w:sz w:val="19"/>
          <w:szCs w:val="19"/>
        </w:rPr>
        <w:t>. 16.297. C.P. Martha Teresa Briceño de Valencia</w:t>
      </w:r>
    </w:p>
  </w:footnote>
  <w:footnote w:id="10">
    <w:p w:rsidRPr="001D21C7" w:rsidR="00374AE5" w:rsidRDefault="00374AE5" w14:paraId="3D80FBCC" w14:textId="77777777">
      <w:pPr>
        <w:pStyle w:val="Textonotapie"/>
        <w:jc w:val="both"/>
        <w:rPr>
          <w:rFonts w:ascii="Arial" w:hAnsi="Arial" w:cs="Arial"/>
          <w:color w:val="000000" w:themeColor="text1"/>
          <w:sz w:val="19"/>
          <w:szCs w:val="19"/>
        </w:rPr>
      </w:pPr>
    </w:p>
  </w:footnote>
  <w:footnote w:id="11">
    <w:p w:rsidRPr="001D21C7" w:rsidR="006D6FD9" w:rsidP="00B459BB" w:rsidRDefault="006D6FD9" w14:paraId="2BAF26A6" w14:textId="54739E77">
      <w:pPr>
        <w:pStyle w:val="Textonotapie"/>
        <w:ind w:firstLine="708"/>
        <w:jc w:val="both"/>
        <w:rPr>
          <w:rFonts w:ascii="Arial" w:hAnsi="Arial" w:cs="Arial"/>
          <w:color w:val="000000" w:themeColor="text1"/>
          <w:sz w:val="19"/>
          <w:szCs w:val="19"/>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Corte Constitucional. Sentencia C-1153 de 11 de noviembre de 2006, expediente: PE-024</w:t>
      </w:r>
    </w:p>
    <w:p w:rsidRPr="001D21C7" w:rsidR="006D6FD9" w:rsidP="00B459BB" w:rsidRDefault="006D6FD9" w14:paraId="2B0F31C3" w14:textId="77777777">
      <w:pPr>
        <w:pStyle w:val="Textonotapie"/>
        <w:ind w:firstLine="708"/>
        <w:jc w:val="both"/>
        <w:rPr>
          <w:rFonts w:ascii="Arial" w:hAnsi="Arial" w:cs="Arial"/>
          <w:color w:val="000000" w:themeColor="text1"/>
          <w:sz w:val="19"/>
          <w:szCs w:val="19"/>
          <w:lang w:val="es-ES_tradnl"/>
        </w:rPr>
      </w:pPr>
    </w:p>
  </w:footnote>
  <w:footnote w:id="12">
    <w:p w:rsidRPr="001D21C7" w:rsidR="008F4CB7" w:rsidP="00B459BB" w:rsidRDefault="006F29E0" w14:paraId="4488BF53" w14:textId="5D4F115F">
      <w:pPr>
        <w:pStyle w:val="Textonotapie"/>
        <w:jc w:val="both"/>
        <w:rPr>
          <w:rFonts w:ascii="Arial" w:hAnsi="Arial" w:cs="Arial"/>
          <w:color w:val="000000" w:themeColor="text1"/>
          <w:sz w:val="19"/>
          <w:szCs w:val="19"/>
        </w:rPr>
      </w:pPr>
      <w:r w:rsidRPr="001D21C7">
        <w:rPr>
          <w:rFonts w:ascii="Arial" w:hAnsi="Arial" w:cs="Arial"/>
          <w:color w:val="000000" w:themeColor="text1"/>
          <w:sz w:val="19"/>
          <w:szCs w:val="19"/>
        </w:rPr>
        <w:tab/>
      </w:r>
      <w:r w:rsidRPr="001D21C7" w:rsidR="008F4CB7">
        <w:rPr>
          <w:rStyle w:val="Refdenotaalpie"/>
          <w:rFonts w:ascii="Arial" w:hAnsi="Arial" w:cs="Arial"/>
          <w:color w:val="000000" w:themeColor="text1"/>
          <w:sz w:val="19"/>
          <w:szCs w:val="19"/>
        </w:rPr>
        <w:footnoteRef/>
      </w:r>
      <w:r w:rsidRPr="001D21C7" w:rsidR="008F4CB7">
        <w:rPr>
          <w:rFonts w:ascii="Arial" w:hAnsi="Arial" w:cs="Arial"/>
          <w:color w:val="000000" w:themeColor="text1"/>
          <w:sz w:val="19"/>
          <w:szCs w:val="19"/>
        </w:rPr>
        <w:t xml:space="preserve"> Así lo indicó la Sala de Consulta y Servicio Civil del Consejo de Estado en el concepto 2166 del 24 de julio de 2013 al analizar la referida ley, precisando lo siguiente:</w:t>
      </w:r>
    </w:p>
    <w:p w:rsidRPr="001D21C7" w:rsidR="008F4CB7" w:rsidP="00B459BB" w:rsidRDefault="008F4CB7" w14:paraId="4D20BC5A" w14:textId="77777777">
      <w:pPr>
        <w:pStyle w:val="Textonotapie"/>
        <w:jc w:val="both"/>
        <w:rPr>
          <w:rFonts w:ascii="Arial" w:hAnsi="Arial" w:cs="Arial"/>
          <w:color w:val="000000" w:themeColor="text1"/>
          <w:sz w:val="19"/>
          <w:szCs w:val="19"/>
        </w:rPr>
      </w:pPr>
    </w:p>
    <w:p w:rsidRPr="001D21C7" w:rsidR="008F4CB7" w:rsidP="00B459BB" w:rsidRDefault="008F4CB7" w14:paraId="6DC98D40" w14:textId="5E6D6E66">
      <w:pPr>
        <w:pStyle w:val="Textonotapie"/>
        <w:ind w:firstLine="708"/>
        <w:jc w:val="both"/>
        <w:rPr>
          <w:rFonts w:ascii="Arial" w:hAnsi="Arial" w:cs="Arial"/>
          <w:color w:val="000000" w:themeColor="text1"/>
          <w:sz w:val="19"/>
          <w:szCs w:val="19"/>
        </w:rPr>
      </w:pPr>
      <w:r w:rsidRPr="001D21C7">
        <w:rPr>
          <w:rFonts w:ascii="Arial" w:hAnsi="Arial" w:cs="Arial"/>
          <w:color w:val="000000" w:themeColor="text1"/>
          <w:sz w:val="19"/>
          <w:szCs w:val="19"/>
        </w:rPr>
        <w:t>«La jurisprudencia de la Corte Constitucional y del Consejo de Estado,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 »</w:t>
      </w:r>
      <w:r w:rsidRPr="001D21C7">
        <w:rPr>
          <w:rFonts w:ascii="Arial" w:hAnsi="Arial" w:cs="Arial"/>
          <w:color w:val="000000" w:themeColor="text1"/>
          <w:sz w:val="19"/>
          <w:szCs w:val="19"/>
        </w:rPr>
        <w:tab/>
      </w:r>
    </w:p>
  </w:footnote>
  <w:footnote w:id="13">
    <w:p w:rsidRPr="003A5B09" w:rsidR="006338EF" w:rsidP="00B459BB" w:rsidRDefault="006338EF" w14:paraId="5626E71B" w14:textId="77777777">
      <w:pPr>
        <w:pStyle w:val="Textonotapie"/>
        <w:ind w:firstLine="709"/>
        <w:jc w:val="both"/>
        <w:rPr>
          <w:rFonts w:ascii="Arial" w:hAnsi="Arial" w:cs="Arial"/>
          <w:sz w:val="19"/>
          <w:szCs w:val="19"/>
        </w:rPr>
      </w:pPr>
    </w:p>
    <w:p w:rsidRPr="003A5B09" w:rsidR="006338EF" w:rsidP="00B459BB" w:rsidRDefault="006338EF" w14:paraId="2D7CDDE9" w14:textId="77777777">
      <w:pPr>
        <w:pStyle w:val="Textonotapie"/>
        <w:ind w:firstLine="709"/>
        <w:jc w:val="both"/>
        <w:rPr>
          <w:rFonts w:ascii="Arial" w:hAnsi="Arial" w:cs="Arial"/>
          <w:sz w:val="19"/>
          <w:szCs w:val="19"/>
        </w:rPr>
      </w:pPr>
      <w:r w:rsidRPr="003A5B09">
        <w:rPr>
          <w:rStyle w:val="Refdenotaalpie"/>
          <w:rFonts w:ascii="Arial" w:hAnsi="Arial" w:cs="Arial"/>
          <w:sz w:val="19"/>
          <w:szCs w:val="19"/>
        </w:rPr>
        <w:footnoteRef/>
      </w:r>
      <w:r w:rsidRPr="003A5B09">
        <w:rPr>
          <w:rFonts w:ascii="Arial" w:hAnsi="Arial" w:cs="Arial"/>
          <w:sz w:val="19"/>
          <w:szCs w:val="19"/>
        </w:rPr>
        <w:t xml:space="preserve"> Consejo de Estado. Sala de Consulta y Servicio Civil. Concepto del 18 de febrero de 2010. Radicación 2010-00006-00(</w:t>
      </w:r>
      <w:proofErr w:type="gramStart"/>
      <w:r w:rsidRPr="003A5B09">
        <w:rPr>
          <w:rFonts w:ascii="Arial" w:hAnsi="Arial" w:cs="Arial"/>
          <w:sz w:val="19"/>
          <w:szCs w:val="19"/>
        </w:rPr>
        <w:t>1985)A.</w:t>
      </w:r>
      <w:proofErr w:type="gramEnd"/>
    </w:p>
    <w:p w:rsidRPr="003A5B09" w:rsidR="006338EF" w:rsidP="00B459BB" w:rsidRDefault="006338EF" w14:paraId="2A5A0B16" w14:textId="77777777">
      <w:pPr>
        <w:pStyle w:val="Textonotapie"/>
        <w:ind w:firstLine="709"/>
        <w:jc w:val="both"/>
        <w:rPr>
          <w:rFonts w:ascii="Arial" w:hAnsi="Arial" w:cs="Arial"/>
          <w:sz w:val="19"/>
          <w:szCs w:val="19"/>
          <w:lang w:val="es-CO"/>
        </w:rPr>
      </w:pPr>
    </w:p>
  </w:footnote>
  <w:footnote w:id="14">
    <w:p w:rsidRPr="001D21C7" w:rsidR="008F4CB7" w:rsidP="001D21C7" w:rsidRDefault="006F29E0" w14:paraId="4488E3D5" w14:textId="02B2093B">
      <w:pPr>
        <w:pStyle w:val="Textonotapie"/>
        <w:jc w:val="both"/>
        <w:rPr>
          <w:rFonts w:ascii="Arial" w:hAnsi="Arial" w:cs="Arial"/>
          <w:color w:val="000000" w:themeColor="text1"/>
          <w:sz w:val="19"/>
          <w:szCs w:val="19"/>
        </w:rPr>
      </w:pPr>
      <w:r w:rsidRPr="001D21C7">
        <w:rPr>
          <w:rFonts w:ascii="Arial" w:hAnsi="Arial" w:cs="Arial"/>
          <w:color w:val="000000" w:themeColor="text1"/>
          <w:sz w:val="19"/>
          <w:szCs w:val="19"/>
        </w:rPr>
        <w:tab/>
      </w:r>
      <w:r w:rsidRPr="001D21C7" w:rsidR="008F4CB7">
        <w:rPr>
          <w:rStyle w:val="Refdenotaalpie"/>
          <w:rFonts w:ascii="Arial" w:hAnsi="Arial" w:cs="Arial"/>
          <w:color w:val="000000" w:themeColor="text1"/>
          <w:sz w:val="19"/>
          <w:szCs w:val="19"/>
        </w:rPr>
        <w:footnoteRef/>
      </w:r>
      <w:r w:rsidRPr="001D21C7" w:rsidR="008F4CB7">
        <w:rPr>
          <w:rFonts w:ascii="Arial" w:hAnsi="Arial" w:cs="Arial"/>
          <w:color w:val="000000" w:themeColor="text1"/>
          <w:sz w:val="19"/>
          <w:szCs w:val="19"/>
        </w:rPr>
        <w:t xml:space="preserve"> «[…]</w:t>
      </w:r>
    </w:p>
    <w:p w:rsidRPr="001D21C7" w:rsidR="008F4CB7" w:rsidP="003A5B09" w:rsidRDefault="008F4CB7" w14:paraId="2616C488" w14:textId="0318D84E">
      <w:pPr>
        <w:pStyle w:val="Textonotapie"/>
        <w:jc w:val="both"/>
        <w:rPr>
          <w:rFonts w:ascii="Arial" w:hAnsi="Arial" w:cs="Arial"/>
          <w:color w:val="000000" w:themeColor="text1"/>
          <w:sz w:val="19"/>
          <w:szCs w:val="19"/>
          <w:shd w:val="clear" w:color="auto" w:fill="FFFFFF"/>
        </w:rPr>
      </w:pPr>
      <w:r w:rsidRPr="001D21C7">
        <w:rPr>
          <w:rFonts w:ascii="Arial" w:hAnsi="Arial" w:cs="Arial"/>
          <w:color w:val="000000" w:themeColor="text1"/>
          <w:sz w:val="19"/>
          <w:szCs w:val="19"/>
          <w:shd w:val="clear" w:color="auto" w:fill="FFFFFF"/>
        </w:rPr>
        <w:t>La campaña presidencial tendrá una duración de cuatro (4) meses contados con anterioridad a la fecha de las elecciones de la primera vuelta, más el término establecido para la realización de la segunda vuelta, si fuere el caso»</w:t>
      </w:r>
      <w:r w:rsidRPr="001D21C7" w:rsidR="00931A6D">
        <w:rPr>
          <w:rFonts w:ascii="Arial" w:hAnsi="Arial" w:cs="Arial"/>
          <w:color w:val="000000" w:themeColor="text1"/>
          <w:sz w:val="19"/>
          <w:szCs w:val="19"/>
          <w:shd w:val="clear" w:color="auto" w:fill="FFFFFF"/>
        </w:rPr>
        <w:t>.</w:t>
      </w:r>
    </w:p>
    <w:p w:rsidRPr="001D21C7" w:rsidR="00D238B2" w:rsidP="00B459BB" w:rsidRDefault="00D238B2" w14:paraId="6E7B1A72" w14:textId="77777777">
      <w:pPr>
        <w:pStyle w:val="Textonotapie"/>
        <w:jc w:val="both"/>
        <w:rPr>
          <w:rFonts w:ascii="Arial" w:hAnsi="Arial" w:cs="Arial"/>
          <w:color w:val="000000" w:themeColor="text1"/>
          <w:sz w:val="19"/>
          <w:szCs w:val="19"/>
          <w:lang w:val="es-ES"/>
        </w:rPr>
      </w:pPr>
    </w:p>
  </w:footnote>
  <w:footnote w:id="15">
    <w:p w:rsidRPr="001D21C7" w:rsidR="008F4CB7" w:rsidP="00B459BB" w:rsidRDefault="006F29E0" w14:paraId="7D913B15" w14:textId="148EA758">
      <w:pPr>
        <w:pStyle w:val="Textonotapie"/>
        <w:jc w:val="both"/>
        <w:rPr>
          <w:rFonts w:ascii="Arial" w:hAnsi="Arial" w:cs="Arial"/>
          <w:color w:val="000000" w:themeColor="text1"/>
          <w:sz w:val="19"/>
          <w:szCs w:val="19"/>
          <w:lang w:val="es-ES"/>
        </w:rPr>
      </w:pPr>
      <w:r w:rsidRPr="001D21C7">
        <w:rPr>
          <w:rFonts w:ascii="Arial" w:hAnsi="Arial" w:cs="Arial"/>
          <w:color w:val="000000" w:themeColor="text1"/>
          <w:sz w:val="19"/>
          <w:szCs w:val="19"/>
        </w:rPr>
        <w:tab/>
      </w:r>
      <w:r w:rsidRPr="001D21C7" w:rsidR="008F4CB7">
        <w:rPr>
          <w:rStyle w:val="Refdenotaalpie"/>
          <w:rFonts w:ascii="Arial" w:hAnsi="Arial" w:cs="Arial"/>
          <w:color w:val="000000" w:themeColor="text1"/>
          <w:sz w:val="19"/>
          <w:szCs w:val="19"/>
        </w:rPr>
        <w:footnoteRef/>
      </w:r>
      <w:r w:rsidRPr="001D21C7" w:rsidR="008F4CB7">
        <w:rPr>
          <w:rFonts w:ascii="Arial" w:hAnsi="Arial" w:cs="Arial"/>
          <w:color w:val="000000" w:themeColor="text1"/>
          <w:sz w:val="19"/>
          <w:szCs w:val="19"/>
        </w:rPr>
        <w:t xml:space="preserve"> Pág. 64 y 65. </w:t>
      </w:r>
    </w:p>
  </w:footnote>
  <w:footnote w:id="16">
    <w:p w:rsidRPr="001D21C7" w:rsidR="00984FE6" w:rsidP="00B459BB" w:rsidRDefault="006F29E0" w14:paraId="155B22D9" w14:textId="77777777">
      <w:pPr>
        <w:pStyle w:val="Textonotapie"/>
        <w:jc w:val="both"/>
        <w:rPr>
          <w:rFonts w:ascii="Arial" w:hAnsi="Arial" w:cs="Arial"/>
          <w:color w:val="000000" w:themeColor="text1"/>
          <w:sz w:val="19"/>
          <w:szCs w:val="19"/>
        </w:rPr>
      </w:pPr>
      <w:r w:rsidRPr="001D21C7">
        <w:rPr>
          <w:rFonts w:ascii="Arial" w:hAnsi="Arial" w:cs="Arial"/>
          <w:color w:val="000000" w:themeColor="text1"/>
          <w:sz w:val="19"/>
          <w:szCs w:val="19"/>
        </w:rPr>
        <w:tab/>
      </w:r>
    </w:p>
    <w:p w:rsidRPr="001D21C7" w:rsidR="008F4CB7" w:rsidP="00B459BB" w:rsidRDefault="008F4CB7" w14:paraId="172A2307" w14:textId="46D28593">
      <w:pPr>
        <w:pStyle w:val="Textonotapie"/>
        <w:ind w:firstLine="708"/>
        <w:jc w:val="both"/>
        <w:rPr>
          <w:rFonts w:ascii="Arial" w:hAnsi="Arial" w:cs="Arial"/>
          <w:color w:val="000000" w:themeColor="text1"/>
          <w:sz w:val="19"/>
          <w:szCs w:val="19"/>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4. Contratación directa. La modalidad de selección de contratación </w:t>
      </w:r>
      <w:proofErr w:type="gramStart"/>
      <w:r w:rsidRPr="001D21C7">
        <w:rPr>
          <w:rFonts w:ascii="Arial" w:hAnsi="Arial" w:cs="Arial"/>
          <w:color w:val="000000" w:themeColor="text1"/>
          <w:sz w:val="19"/>
          <w:szCs w:val="19"/>
        </w:rPr>
        <w:t>directa,</w:t>
      </w:r>
      <w:proofErr w:type="gramEnd"/>
      <w:r w:rsidRPr="001D21C7">
        <w:rPr>
          <w:rFonts w:ascii="Arial" w:hAnsi="Arial" w:cs="Arial"/>
          <w:color w:val="000000" w:themeColor="text1"/>
          <w:sz w:val="19"/>
          <w:szCs w:val="19"/>
        </w:rPr>
        <w:t xml:space="preserve"> solamente procederá en los siguientes casos:</w:t>
      </w:r>
    </w:p>
    <w:p w:rsidRPr="001D21C7" w:rsidR="008F4CB7" w:rsidRDefault="008F4CB7" w14:paraId="6187575A" w14:textId="77777777">
      <w:pPr>
        <w:pStyle w:val="Textonotapie"/>
        <w:jc w:val="both"/>
        <w:rPr>
          <w:rFonts w:ascii="Arial" w:hAnsi="Arial" w:cs="Arial"/>
          <w:color w:val="000000" w:themeColor="text1"/>
          <w:sz w:val="19"/>
          <w:szCs w:val="19"/>
        </w:rPr>
      </w:pPr>
      <w:r w:rsidRPr="001D21C7">
        <w:rPr>
          <w:rFonts w:ascii="Arial" w:hAnsi="Arial" w:cs="Arial"/>
          <w:color w:val="000000" w:themeColor="text1"/>
          <w:sz w:val="19"/>
          <w:szCs w:val="19"/>
        </w:rPr>
        <w:t>a) Urgencia manifiesta;</w:t>
      </w:r>
    </w:p>
    <w:p w:rsidRPr="001D21C7" w:rsidR="008F4CB7" w:rsidRDefault="008F4CB7" w14:paraId="440625AA" w14:textId="77777777">
      <w:pPr>
        <w:pStyle w:val="Textonotapie"/>
        <w:jc w:val="both"/>
        <w:rPr>
          <w:rFonts w:ascii="Arial" w:hAnsi="Arial" w:cs="Arial"/>
          <w:color w:val="000000" w:themeColor="text1"/>
          <w:sz w:val="19"/>
          <w:szCs w:val="19"/>
        </w:rPr>
      </w:pPr>
      <w:r w:rsidRPr="001D21C7">
        <w:rPr>
          <w:rFonts w:ascii="Arial" w:hAnsi="Arial" w:cs="Arial"/>
          <w:color w:val="000000" w:themeColor="text1"/>
          <w:sz w:val="19"/>
          <w:szCs w:val="19"/>
        </w:rPr>
        <w:t>b) Contratación de empréstitos;</w:t>
      </w:r>
    </w:p>
    <w:p w:rsidRPr="001D21C7" w:rsidR="008F4CB7" w:rsidRDefault="008F4CB7" w14:paraId="377FDC7E" w14:textId="77777777">
      <w:pPr>
        <w:pStyle w:val="Textonotapie"/>
        <w:jc w:val="both"/>
        <w:rPr>
          <w:rFonts w:ascii="Arial" w:hAnsi="Arial" w:cs="Arial"/>
          <w:color w:val="000000" w:themeColor="text1"/>
          <w:sz w:val="19"/>
          <w:szCs w:val="19"/>
        </w:rPr>
      </w:pPr>
      <w:r w:rsidRPr="001D21C7">
        <w:rPr>
          <w:rFonts w:ascii="Arial" w:hAnsi="Arial" w:cs="Arial"/>
          <w:color w:val="000000" w:themeColor="text1"/>
          <w:sz w:val="19"/>
          <w:szCs w:val="19"/>
        </w:rPr>
        <w:t>c) &lt;Inciso 1o. modificado por el artículo 92 de la Ley 1474 de 2011. El nuevo texto es el siguiente:&gt; Contratos interadministrativos, siempre que las obligaciones derivadas del mismo tengan relación directa con el objeto de la entidad ejecutora señalado en la ley o en sus reglamentos.</w:t>
      </w:r>
    </w:p>
    <w:p w:rsidRPr="001D21C7" w:rsidR="008F4CB7" w:rsidRDefault="008F4CB7" w14:paraId="4BA8E7C4" w14:textId="60E1308E">
      <w:pPr>
        <w:pStyle w:val="Textonotapie"/>
        <w:jc w:val="both"/>
        <w:rPr>
          <w:rFonts w:ascii="Arial" w:hAnsi="Arial" w:cs="Arial"/>
          <w:color w:val="000000" w:themeColor="text1"/>
          <w:sz w:val="19"/>
          <w:szCs w:val="19"/>
        </w:rPr>
      </w:pPr>
      <w:r w:rsidRPr="001D21C7">
        <w:rPr>
          <w:rFonts w:ascii="Arial" w:hAnsi="Arial" w:cs="Arial"/>
          <w:color w:val="000000" w:themeColor="text1"/>
          <w:sz w:val="19"/>
          <w:szCs w:val="19"/>
        </w:rPr>
        <w:t xml:space="preserve"> […]</w:t>
      </w:r>
    </w:p>
    <w:p w:rsidRPr="001D21C7" w:rsidR="008F4CB7" w:rsidRDefault="008F4CB7" w14:paraId="7BB81B03" w14:textId="4A381B90">
      <w:pPr>
        <w:pStyle w:val="Textonotapie"/>
        <w:jc w:val="both"/>
        <w:rPr>
          <w:rFonts w:ascii="Arial" w:hAnsi="Arial" w:cs="Arial"/>
          <w:color w:val="000000" w:themeColor="text1"/>
          <w:sz w:val="19"/>
          <w:szCs w:val="19"/>
        </w:rPr>
      </w:pPr>
      <w:r w:rsidRPr="001D21C7">
        <w:rPr>
          <w:rFonts w:ascii="Arial" w:hAnsi="Arial" w:cs="Arial"/>
          <w:color w:val="000000" w:themeColor="text1"/>
          <w:sz w:val="19"/>
          <w:szCs w:val="19"/>
        </w:rPr>
        <w:t>d) La contratación de bienes y servicios en el sector Defensa que necesiten reserva para su adquisición;</w:t>
      </w:r>
    </w:p>
    <w:p w:rsidRPr="001D21C7" w:rsidR="008F4CB7" w:rsidRDefault="008F4CB7" w14:paraId="52FDAA7C" w14:textId="77777777">
      <w:pPr>
        <w:pStyle w:val="Textonotapie"/>
        <w:jc w:val="both"/>
        <w:rPr>
          <w:rFonts w:ascii="Arial" w:hAnsi="Arial" w:cs="Arial"/>
          <w:color w:val="000000" w:themeColor="text1"/>
          <w:sz w:val="19"/>
          <w:szCs w:val="19"/>
          <w:lang w:val="es-CO"/>
        </w:rPr>
      </w:pPr>
      <w:r w:rsidRPr="001D21C7">
        <w:rPr>
          <w:rFonts w:ascii="Arial" w:hAnsi="Arial" w:cs="Arial"/>
          <w:color w:val="000000" w:themeColor="text1"/>
          <w:sz w:val="19"/>
          <w:szCs w:val="19"/>
          <w:lang w:val="es-CO"/>
        </w:rPr>
        <w:t>e) Los contratos para el desarrollo de actividades científicas y tecnológicas;</w:t>
      </w:r>
    </w:p>
    <w:p w:rsidRPr="001D21C7" w:rsidR="008F4CB7" w:rsidRDefault="008F4CB7" w14:paraId="66F8F65B" w14:textId="77777777">
      <w:pPr>
        <w:pStyle w:val="Textonotapie"/>
        <w:jc w:val="both"/>
        <w:rPr>
          <w:rFonts w:ascii="Arial" w:hAnsi="Arial" w:cs="Arial"/>
          <w:color w:val="000000" w:themeColor="text1"/>
          <w:sz w:val="19"/>
          <w:szCs w:val="19"/>
          <w:lang w:val="es-CO"/>
        </w:rPr>
      </w:pPr>
      <w:r w:rsidRPr="001D21C7">
        <w:rPr>
          <w:rFonts w:ascii="Arial" w:hAnsi="Arial" w:cs="Arial"/>
          <w:color w:val="000000" w:themeColor="text1"/>
          <w:sz w:val="19"/>
          <w:szCs w:val="19"/>
          <w:lang w:val="es-CO"/>
        </w:rPr>
        <w:t>f) Los contratos de encargo fiduciario que celebren las entidades territoriales cuando inician el Acuerdo de Reestructuración de Pasivos a que se refieren las Leyes 550 de 1999, 617 de 2000 y las normas que las modifiquen o adicionen, siempre y cuando los celebren con entidades financieras del sector público;</w:t>
      </w:r>
    </w:p>
    <w:p w:rsidRPr="001D21C7" w:rsidR="008F4CB7" w:rsidRDefault="008F4CB7" w14:paraId="1860C0C6" w14:textId="77777777">
      <w:pPr>
        <w:pStyle w:val="Textonotapie"/>
        <w:jc w:val="both"/>
        <w:rPr>
          <w:rFonts w:ascii="Arial" w:hAnsi="Arial" w:cs="Arial"/>
          <w:color w:val="000000" w:themeColor="text1"/>
          <w:sz w:val="19"/>
          <w:szCs w:val="19"/>
          <w:lang w:val="es-CO"/>
        </w:rPr>
      </w:pPr>
      <w:r w:rsidRPr="001D21C7">
        <w:rPr>
          <w:rFonts w:ascii="Arial" w:hAnsi="Arial" w:cs="Arial"/>
          <w:color w:val="000000" w:themeColor="text1"/>
          <w:sz w:val="19"/>
          <w:szCs w:val="19"/>
          <w:lang w:val="es-CO"/>
        </w:rPr>
        <w:t>g) Cuando no exista pluralidad de oferentes en el mercado;</w:t>
      </w:r>
    </w:p>
    <w:p w:rsidRPr="001D21C7" w:rsidR="008F4CB7" w:rsidRDefault="008F4CB7" w14:paraId="17D58D7D" w14:textId="77777777">
      <w:pPr>
        <w:pStyle w:val="Textonotapie"/>
        <w:jc w:val="both"/>
        <w:rPr>
          <w:rFonts w:ascii="Arial" w:hAnsi="Arial" w:cs="Arial"/>
          <w:color w:val="000000" w:themeColor="text1"/>
          <w:sz w:val="19"/>
          <w:szCs w:val="19"/>
          <w:lang w:val="es-CO"/>
        </w:rPr>
      </w:pPr>
      <w:r w:rsidRPr="001D21C7">
        <w:rPr>
          <w:rFonts w:ascii="Arial" w:hAnsi="Arial" w:cs="Arial"/>
          <w:color w:val="000000" w:themeColor="text1"/>
          <w:sz w:val="19"/>
          <w:szCs w:val="19"/>
          <w:lang w:val="es-CO"/>
        </w:rPr>
        <w:t>h) Para la prestación de servicios profesionales y de apoyo a la gestión, o para la ejecución de trabajos artísticos que sólo puedan encomendarse a determinadas personas naturales;</w:t>
      </w:r>
    </w:p>
    <w:p w:rsidRPr="001D21C7" w:rsidR="008F4CB7" w:rsidRDefault="008F4CB7" w14:paraId="3245460D" w14:textId="77777777">
      <w:pPr>
        <w:pStyle w:val="Textonotapie"/>
        <w:jc w:val="both"/>
        <w:rPr>
          <w:rFonts w:ascii="Arial" w:hAnsi="Arial" w:cs="Arial"/>
          <w:color w:val="000000" w:themeColor="text1"/>
          <w:sz w:val="19"/>
          <w:szCs w:val="19"/>
          <w:lang w:val="es-CO"/>
        </w:rPr>
      </w:pPr>
      <w:r w:rsidRPr="001D21C7">
        <w:rPr>
          <w:rFonts w:ascii="Arial" w:hAnsi="Arial" w:cs="Arial"/>
          <w:color w:val="000000" w:themeColor="text1"/>
          <w:sz w:val="19"/>
          <w:szCs w:val="19"/>
          <w:lang w:val="es-CO"/>
        </w:rPr>
        <w:t>i) El arrendamiento o adquisición de inmuebles.</w:t>
      </w:r>
    </w:p>
    <w:p w:rsidRPr="001D21C7" w:rsidR="008F4CB7" w:rsidRDefault="008F4CB7" w14:paraId="658636A1" w14:textId="08CD1E32">
      <w:pPr>
        <w:pStyle w:val="Textonotapie"/>
        <w:jc w:val="both"/>
        <w:rPr>
          <w:rFonts w:ascii="Arial" w:hAnsi="Arial" w:cs="Arial"/>
          <w:color w:val="000000" w:themeColor="text1"/>
          <w:sz w:val="19"/>
          <w:szCs w:val="19"/>
          <w:lang w:val="es-CO"/>
        </w:rPr>
      </w:pPr>
      <w:r w:rsidRPr="001D21C7">
        <w:rPr>
          <w:rFonts w:ascii="Arial" w:hAnsi="Arial" w:cs="Arial"/>
          <w:color w:val="000000" w:themeColor="text1"/>
          <w:sz w:val="19"/>
          <w:szCs w:val="19"/>
          <w:lang w:val="es-CO"/>
        </w:rPr>
        <w:t>j) &lt;Literal adicionado por el artículo 125 de la Ley 1753 de 2015. El nuevo texto es el siguiente:&gt; La contratación de bienes y servicios de la Dirección Nacional de Inteligencia (DNI), que requieran reserva para su adquisición.</w:t>
      </w:r>
    </w:p>
    <w:p w:rsidRPr="001D21C7" w:rsidR="008F4CB7" w:rsidRDefault="008F4CB7" w14:paraId="400C18D7" w14:textId="1F7A1A3C">
      <w:pPr>
        <w:pStyle w:val="Textonotapie"/>
        <w:jc w:val="both"/>
        <w:rPr>
          <w:rFonts w:ascii="Arial" w:hAnsi="Arial" w:cs="Arial"/>
          <w:color w:val="000000" w:themeColor="text1"/>
          <w:sz w:val="19"/>
          <w:szCs w:val="19"/>
          <w:lang w:val="es-CO"/>
        </w:rPr>
      </w:pPr>
      <w:r w:rsidRPr="001D21C7">
        <w:rPr>
          <w:rFonts w:ascii="Arial" w:hAnsi="Arial" w:cs="Arial"/>
          <w:color w:val="000000" w:themeColor="text1"/>
          <w:sz w:val="19"/>
          <w:szCs w:val="19"/>
          <w:lang w:val="es-CO"/>
        </w:rPr>
        <w:t>k) &lt;Literal adicionado por el artículo 82 de la Ley 2080 de 2021. El nuevo texto es el siguiente:&gt; La selección de peritos expertos o asesores técnicos para presentar o contradecir el dictamen pericial en procesos judiciales.</w:t>
      </w:r>
    </w:p>
    <w:p w:rsidRPr="001D21C7" w:rsidR="008F4CB7" w:rsidRDefault="008F4CB7" w14:paraId="334C8758" w14:textId="77777777">
      <w:pPr>
        <w:pStyle w:val="Textonotapie"/>
        <w:jc w:val="both"/>
        <w:rPr>
          <w:rFonts w:ascii="Arial" w:hAnsi="Arial" w:cs="Arial"/>
          <w:color w:val="000000" w:themeColor="text1"/>
          <w:sz w:val="19"/>
          <w:szCs w:val="19"/>
          <w:lang w:val="es-CO"/>
        </w:rPr>
      </w:pPr>
    </w:p>
  </w:footnote>
  <w:footnote w:id="17">
    <w:p w:rsidRPr="001D21C7" w:rsidR="008F4CB7" w:rsidRDefault="006F29E0" w14:paraId="71024C1E" w14:textId="4479E2EC">
      <w:pPr>
        <w:pStyle w:val="Textonotapie"/>
        <w:jc w:val="both"/>
        <w:rPr>
          <w:rFonts w:ascii="Arial" w:hAnsi="Arial" w:cs="Arial"/>
          <w:color w:val="000000" w:themeColor="text1"/>
          <w:sz w:val="19"/>
          <w:szCs w:val="19"/>
          <w:lang w:val="es-ES"/>
        </w:rPr>
      </w:pPr>
      <w:r w:rsidRPr="001D21C7">
        <w:rPr>
          <w:rFonts w:ascii="Arial" w:hAnsi="Arial" w:cs="Arial"/>
          <w:color w:val="000000" w:themeColor="text1"/>
          <w:sz w:val="19"/>
          <w:szCs w:val="19"/>
        </w:rPr>
        <w:tab/>
      </w:r>
      <w:r w:rsidRPr="001D21C7" w:rsidR="008F4CB7">
        <w:rPr>
          <w:rStyle w:val="Refdenotaalpie"/>
          <w:rFonts w:ascii="Arial" w:hAnsi="Arial" w:cs="Arial"/>
          <w:color w:val="000000" w:themeColor="text1"/>
          <w:sz w:val="19"/>
          <w:szCs w:val="19"/>
        </w:rPr>
        <w:footnoteRef/>
      </w:r>
      <w:r w:rsidRPr="001D21C7" w:rsidR="008F4CB7">
        <w:rPr>
          <w:rFonts w:ascii="Arial" w:hAnsi="Arial" w:cs="Arial"/>
          <w:color w:val="000000" w:themeColor="text1"/>
          <w:sz w:val="19"/>
          <w:szCs w:val="19"/>
        </w:rPr>
        <w:t xml:space="preserve"> AGENCIA NACIONAL DE CONTRATACIÓN PÚBLICA – COLOMBIA COMPRA EFICIENTE. Lineamientos Generales para la Expedición de Manuales de Contratación.</w:t>
      </w:r>
    </w:p>
  </w:footnote>
  <w:footnote w:id="18">
    <w:p w:rsidRPr="003A5B09" w:rsidR="006D6FD9" w:rsidRDefault="006F29E0" w14:paraId="62B9F171" w14:textId="77777777">
      <w:pPr>
        <w:pStyle w:val="Textonotapie"/>
        <w:jc w:val="both"/>
        <w:rPr>
          <w:rFonts w:ascii="Arial" w:hAnsi="Arial" w:cs="Arial"/>
          <w:color w:val="000000" w:themeColor="text1"/>
          <w:sz w:val="19"/>
          <w:szCs w:val="19"/>
        </w:rPr>
      </w:pPr>
      <w:r w:rsidRPr="003A5B09">
        <w:rPr>
          <w:rFonts w:ascii="Arial" w:hAnsi="Arial" w:cs="Arial"/>
          <w:color w:val="000000" w:themeColor="text1"/>
          <w:sz w:val="19"/>
          <w:szCs w:val="19"/>
        </w:rPr>
        <w:tab/>
      </w:r>
    </w:p>
    <w:p w:rsidRPr="003A5B09" w:rsidR="008F4CB7" w:rsidRDefault="008F4CB7" w14:paraId="3963BF07" w14:textId="34F07319">
      <w:pPr>
        <w:pStyle w:val="Textonotapie"/>
        <w:ind w:firstLine="708"/>
        <w:jc w:val="both"/>
        <w:rPr>
          <w:rFonts w:ascii="Arial" w:hAnsi="Arial" w:cs="Arial"/>
          <w:color w:val="000000" w:themeColor="text1"/>
          <w:sz w:val="19"/>
          <w:szCs w:val="19"/>
        </w:rPr>
      </w:pPr>
      <w:r w:rsidRPr="003A5B09">
        <w:rPr>
          <w:rStyle w:val="Refdenotaalpie"/>
          <w:rFonts w:ascii="Arial" w:hAnsi="Arial" w:cs="Arial"/>
          <w:color w:val="000000" w:themeColor="text1"/>
          <w:sz w:val="19"/>
          <w:szCs w:val="19"/>
        </w:rPr>
        <w:footnoteRef/>
      </w:r>
      <w:r w:rsidRPr="003A5B09">
        <w:rPr>
          <w:rFonts w:ascii="Arial" w:hAnsi="Arial" w:cs="Arial"/>
          <w:color w:val="000000" w:themeColor="text1"/>
          <w:sz w:val="19"/>
          <w:szCs w:val="19"/>
        </w:rPr>
        <w:t xml:space="preserve"> Consejo de Estado. Sala de consulta y servicio civil. Sentencia del 20 de febrero de 2006. Radicado No. 1.727. Consejero Ponente: Enrique José Arboleda Perdomo.</w:t>
      </w:r>
    </w:p>
    <w:p w:rsidRPr="003A5B09" w:rsidR="006D6FD9" w:rsidRDefault="006D6FD9" w14:paraId="077C5420" w14:textId="77777777">
      <w:pPr>
        <w:pStyle w:val="Textonotapie"/>
        <w:ind w:firstLine="708"/>
        <w:jc w:val="both"/>
        <w:rPr>
          <w:rFonts w:ascii="Arial" w:hAnsi="Arial" w:cs="Arial"/>
          <w:color w:val="000000" w:themeColor="text1"/>
          <w:sz w:val="19"/>
          <w:szCs w:val="19"/>
        </w:rPr>
      </w:pPr>
    </w:p>
  </w:footnote>
  <w:footnote w:id="19">
    <w:p w:rsidRPr="003A5B09" w:rsidR="008F4CB7" w:rsidRDefault="006F29E0" w14:paraId="34FC1D47" w14:textId="58021898">
      <w:pPr>
        <w:pStyle w:val="Textonotapie"/>
        <w:jc w:val="both"/>
        <w:rPr>
          <w:rFonts w:ascii="Arial" w:hAnsi="Arial" w:cs="Arial"/>
          <w:color w:val="000000" w:themeColor="text1"/>
          <w:sz w:val="19"/>
          <w:szCs w:val="19"/>
        </w:rPr>
      </w:pPr>
      <w:r w:rsidRPr="001D21C7">
        <w:rPr>
          <w:rFonts w:ascii="Arial" w:hAnsi="Arial" w:cs="Arial"/>
          <w:color w:val="000000" w:themeColor="text1"/>
          <w:sz w:val="19"/>
          <w:szCs w:val="19"/>
        </w:rPr>
        <w:tab/>
      </w:r>
      <w:r w:rsidRPr="001D21C7" w:rsidR="008F4CB7">
        <w:rPr>
          <w:rStyle w:val="Refdenotaalpie"/>
          <w:rFonts w:ascii="Arial" w:hAnsi="Arial" w:cs="Arial"/>
          <w:color w:val="000000" w:themeColor="text1"/>
          <w:sz w:val="19"/>
          <w:szCs w:val="19"/>
        </w:rPr>
        <w:footnoteRef/>
      </w:r>
      <w:r w:rsidRPr="001D21C7" w:rsidR="008F4CB7">
        <w:rPr>
          <w:rFonts w:ascii="Arial" w:hAnsi="Arial" w:cs="Arial"/>
          <w:color w:val="000000" w:themeColor="text1"/>
          <w:sz w:val="19"/>
          <w:szCs w:val="19"/>
        </w:rPr>
        <w:t xml:space="preserve"> CONSEJO DE ESTADO. Sala de Consulta y Servicio Civil. Concepto del 08 de mayo de 2018. </w:t>
      </w:r>
      <w:proofErr w:type="spellStart"/>
      <w:r w:rsidRPr="001D21C7" w:rsidR="008F4CB7">
        <w:rPr>
          <w:rFonts w:ascii="Arial" w:hAnsi="Arial" w:cs="Arial"/>
          <w:color w:val="000000" w:themeColor="text1"/>
          <w:sz w:val="19"/>
          <w:szCs w:val="19"/>
        </w:rPr>
        <w:t>Exp</w:t>
      </w:r>
      <w:proofErr w:type="spellEnd"/>
      <w:r w:rsidRPr="001D21C7" w:rsidR="008F4CB7">
        <w:rPr>
          <w:rFonts w:ascii="Arial" w:hAnsi="Arial" w:cs="Arial"/>
          <w:color w:val="000000" w:themeColor="text1"/>
          <w:sz w:val="19"/>
          <w:szCs w:val="19"/>
        </w:rPr>
        <w:t xml:space="preserve">. 2.382. C.P. Álvaro </w:t>
      </w:r>
      <w:proofErr w:type="spellStart"/>
      <w:r w:rsidRPr="001D21C7" w:rsidR="008F4CB7">
        <w:rPr>
          <w:rFonts w:ascii="Arial" w:hAnsi="Arial" w:cs="Arial"/>
          <w:color w:val="000000" w:themeColor="text1"/>
          <w:sz w:val="19"/>
          <w:szCs w:val="19"/>
        </w:rPr>
        <w:t>Namén</w:t>
      </w:r>
      <w:proofErr w:type="spellEnd"/>
      <w:r w:rsidRPr="001D21C7" w:rsidR="008F4CB7">
        <w:rPr>
          <w:rFonts w:ascii="Arial" w:hAnsi="Arial" w:cs="Arial"/>
          <w:color w:val="000000" w:themeColor="text1"/>
          <w:sz w:val="19"/>
          <w:szCs w:val="19"/>
        </w:rPr>
        <w:t xml:space="preserve"> Vargas.</w:t>
      </w:r>
    </w:p>
    <w:p w:rsidRPr="001D21C7" w:rsidR="0066469A" w:rsidRDefault="0066469A" w14:paraId="637675FA" w14:textId="77777777">
      <w:pPr>
        <w:pStyle w:val="Textonotapie"/>
        <w:jc w:val="both"/>
        <w:rPr>
          <w:rFonts w:ascii="Arial" w:hAnsi="Arial" w:cs="Arial"/>
          <w:color w:val="000000" w:themeColor="text1"/>
          <w:sz w:val="19"/>
          <w:szCs w:val="19"/>
        </w:rPr>
      </w:pPr>
    </w:p>
  </w:footnote>
  <w:footnote w:id="20">
    <w:p w:rsidRPr="001D21C7" w:rsidR="008F4CB7" w:rsidRDefault="006F29E0" w14:paraId="2F739758" w14:textId="04EDDAFE">
      <w:pPr>
        <w:pStyle w:val="Textonotapie"/>
        <w:jc w:val="both"/>
        <w:rPr>
          <w:rFonts w:ascii="Arial" w:hAnsi="Arial" w:cs="Arial"/>
          <w:color w:val="000000" w:themeColor="text1"/>
          <w:sz w:val="19"/>
          <w:szCs w:val="19"/>
        </w:rPr>
      </w:pPr>
      <w:r w:rsidRPr="001D21C7">
        <w:rPr>
          <w:rFonts w:ascii="Arial" w:hAnsi="Arial" w:cs="Arial"/>
          <w:color w:val="000000" w:themeColor="text1"/>
          <w:sz w:val="19"/>
          <w:szCs w:val="19"/>
        </w:rPr>
        <w:tab/>
      </w:r>
      <w:r w:rsidRPr="001D21C7" w:rsidR="008F4CB7">
        <w:rPr>
          <w:rStyle w:val="Refdenotaalpie"/>
          <w:rFonts w:ascii="Arial" w:hAnsi="Arial" w:cs="Arial"/>
          <w:color w:val="000000" w:themeColor="text1"/>
          <w:sz w:val="19"/>
          <w:szCs w:val="19"/>
        </w:rPr>
        <w:footnoteRef/>
      </w:r>
      <w:r w:rsidRPr="001D21C7" w:rsidR="008F4CB7">
        <w:rPr>
          <w:rFonts w:ascii="Arial" w:hAnsi="Arial" w:cs="Arial"/>
          <w:color w:val="000000" w:themeColor="text1"/>
          <w:sz w:val="19"/>
          <w:szCs w:val="19"/>
        </w:rPr>
        <w:t xml:space="preserve"> Entidades definidas en el artículo 2 de la Ley 80 de 1993.</w:t>
      </w:r>
    </w:p>
    <w:p w:rsidRPr="001D21C7" w:rsidR="006D6FD9" w:rsidRDefault="006D6FD9" w14:paraId="33F705A3" w14:textId="77777777">
      <w:pPr>
        <w:pStyle w:val="Textonotapie"/>
        <w:jc w:val="both"/>
        <w:rPr>
          <w:rFonts w:ascii="Arial" w:hAnsi="Arial" w:cs="Arial"/>
          <w:color w:val="000000" w:themeColor="text1"/>
          <w:sz w:val="19"/>
          <w:szCs w:val="19"/>
        </w:rPr>
      </w:pPr>
    </w:p>
  </w:footnote>
  <w:footnote w:id="21">
    <w:p w:rsidRPr="001D21C7" w:rsidR="008F4CB7" w:rsidRDefault="006F29E0" w14:paraId="221208F6" w14:textId="51595095">
      <w:pPr>
        <w:pStyle w:val="Textonotapie"/>
        <w:jc w:val="both"/>
        <w:rPr>
          <w:rFonts w:ascii="Arial" w:hAnsi="Arial" w:cs="Arial"/>
          <w:color w:val="000000" w:themeColor="text1"/>
          <w:sz w:val="19"/>
          <w:szCs w:val="19"/>
          <w:lang w:val="es-ES"/>
        </w:rPr>
      </w:pPr>
      <w:r w:rsidRPr="001D21C7">
        <w:rPr>
          <w:rFonts w:ascii="Arial" w:hAnsi="Arial" w:cs="Arial"/>
          <w:color w:val="000000" w:themeColor="text1"/>
          <w:sz w:val="19"/>
          <w:szCs w:val="19"/>
        </w:rPr>
        <w:tab/>
      </w:r>
      <w:r w:rsidRPr="001D21C7" w:rsidR="008F4CB7">
        <w:rPr>
          <w:rStyle w:val="Refdenotaalpie"/>
          <w:rFonts w:ascii="Arial" w:hAnsi="Arial" w:cs="Arial"/>
          <w:color w:val="000000" w:themeColor="text1"/>
          <w:sz w:val="19"/>
          <w:szCs w:val="19"/>
        </w:rPr>
        <w:footnoteRef/>
      </w:r>
      <w:r w:rsidRPr="003A5B09" w:rsidR="00363F23">
        <w:rPr>
          <w:rFonts w:ascii="Arial" w:hAnsi="Arial" w:cs="Arial"/>
          <w:color w:val="000000" w:themeColor="text1"/>
          <w:sz w:val="19"/>
          <w:szCs w:val="19"/>
        </w:rPr>
        <w:t xml:space="preserve"> </w:t>
      </w:r>
      <w:r w:rsidRPr="001D21C7" w:rsidR="008F4CB7">
        <w:rPr>
          <w:rFonts w:ascii="Arial" w:hAnsi="Arial" w:cs="Arial"/>
          <w:color w:val="000000" w:themeColor="text1"/>
          <w:sz w:val="19"/>
          <w:szCs w:val="19"/>
        </w:rPr>
        <w:t>Pertenecen a este grupo las entidades que por disposición legal no estén sometidas al Estatuto General de Contratación de la Administración Pública.</w:t>
      </w:r>
    </w:p>
  </w:footnote>
  <w:footnote w:id="22">
    <w:p w:rsidRPr="001D21C7" w:rsidR="00984FE6" w:rsidRDefault="006F29E0" w14:paraId="6FA34F58" w14:textId="77777777">
      <w:pPr>
        <w:pStyle w:val="Textonotapie"/>
        <w:jc w:val="both"/>
        <w:rPr>
          <w:rFonts w:ascii="Arial" w:hAnsi="Arial" w:cs="Arial"/>
          <w:color w:val="000000" w:themeColor="text1"/>
          <w:sz w:val="19"/>
          <w:szCs w:val="19"/>
        </w:rPr>
      </w:pPr>
      <w:r w:rsidRPr="001D21C7">
        <w:rPr>
          <w:rFonts w:ascii="Arial" w:hAnsi="Arial" w:cs="Arial"/>
          <w:color w:val="000000" w:themeColor="text1"/>
          <w:sz w:val="19"/>
          <w:szCs w:val="19"/>
        </w:rPr>
        <w:tab/>
      </w:r>
    </w:p>
    <w:p w:rsidRPr="003A5B09" w:rsidR="008F4CB7" w:rsidRDefault="008F4CB7" w14:paraId="19C7476D" w14:textId="037F0681">
      <w:pPr>
        <w:pStyle w:val="Textonotapie"/>
        <w:ind w:firstLine="708"/>
        <w:jc w:val="both"/>
        <w:rPr>
          <w:rFonts w:ascii="Arial" w:hAnsi="Arial" w:cs="Arial"/>
          <w:color w:val="000000" w:themeColor="text1"/>
          <w:sz w:val="19"/>
          <w:szCs w:val="19"/>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AGENCIA NACIONAL DE CONTRATACIÓN PÚBLICA- COLOMBIA COMPRA EFICIENTE. Concepto No</w:t>
      </w:r>
      <w:r w:rsidRPr="001D21C7">
        <w:rPr>
          <w:rFonts w:ascii="Arial" w:hAnsi="Arial" w:cs="Arial"/>
          <w:b/>
          <w:color w:val="000000" w:themeColor="text1"/>
          <w:sz w:val="19"/>
          <w:szCs w:val="19"/>
        </w:rPr>
        <w:t xml:space="preserve">. </w:t>
      </w:r>
      <w:r w:rsidRPr="001D21C7">
        <w:rPr>
          <w:rFonts w:ascii="Arial" w:hAnsi="Arial" w:cs="Arial"/>
          <w:color w:val="000000" w:themeColor="text1"/>
          <w:sz w:val="19"/>
          <w:szCs w:val="19"/>
        </w:rPr>
        <w:t>4201912000006055 del 20 de octubre de 2019</w:t>
      </w:r>
    </w:p>
    <w:p w:rsidRPr="001D21C7" w:rsidR="0007043C" w:rsidRDefault="0007043C" w14:paraId="3B294420" w14:textId="77777777">
      <w:pPr>
        <w:pStyle w:val="Textonotapie"/>
        <w:ind w:firstLine="708"/>
        <w:jc w:val="both"/>
        <w:rPr>
          <w:rFonts w:ascii="Arial" w:hAnsi="Arial" w:cs="Arial"/>
          <w:b/>
          <w:color w:val="000000" w:themeColor="text1"/>
          <w:sz w:val="19"/>
          <w:szCs w:val="19"/>
        </w:rPr>
      </w:pPr>
    </w:p>
  </w:footnote>
  <w:footnote w:id="23">
    <w:p w:rsidRPr="001D21C7" w:rsidR="0007043C" w:rsidP="001D21C7" w:rsidRDefault="0007043C" w14:paraId="00C5CF82" w14:textId="0662D725">
      <w:pPr>
        <w:pStyle w:val="Textonotapie"/>
        <w:ind w:firstLine="708"/>
        <w:jc w:val="both"/>
        <w:rPr>
          <w:rFonts w:ascii="Arial" w:hAnsi="Arial" w:cs="Arial"/>
          <w:color w:val="000000" w:themeColor="text1"/>
          <w:sz w:val="19"/>
          <w:szCs w:val="19"/>
        </w:rPr>
      </w:pPr>
      <w:r w:rsidRPr="001D21C7">
        <w:rPr>
          <w:rStyle w:val="Refdenotaalpie"/>
          <w:rFonts w:ascii="Arial" w:hAnsi="Arial" w:cs="Arial"/>
          <w:sz w:val="19"/>
          <w:szCs w:val="19"/>
        </w:rPr>
        <w:footnoteRef/>
      </w:r>
      <w:r w:rsidRPr="001D21C7">
        <w:rPr>
          <w:rFonts w:ascii="Arial" w:hAnsi="Arial" w:cs="Arial"/>
          <w:sz w:val="19"/>
          <w:szCs w:val="19"/>
        </w:rPr>
        <w:t xml:space="preserve"> </w:t>
      </w:r>
      <w:r w:rsidRPr="001D21C7">
        <w:rPr>
          <w:rFonts w:ascii="Arial" w:hAnsi="Arial" w:cs="Arial"/>
          <w:color w:val="000000" w:themeColor="text1"/>
          <w:sz w:val="19"/>
          <w:szCs w:val="19"/>
        </w:rPr>
        <w:t>Disponible en: https://colombiacompra.gov.co/sites/cce_public/files/cce_circulares/cce_circular_unica.pdf</w:t>
      </w:r>
    </w:p>
    <w:p w:rsidRPr="001D21C7" w:rsidR="0007043C" w:rsidP="001D21C7" w:rsidRDefault="0007043C" w14:paraId="36D38E11" w14:textId="77777777">
      <w:pPr>
        <w:pStyle w:val="Textonotapie"/>
        <w:ind w:firstLine="708"/>
        <w:jc w:val="both"/>
        <w:rPr>
          <w:rFonts w:ascii="Arial" w:hAnsi="Arial" w:cs="Arial"/>
          <w:sz w:val="19"/>
          <w:szCs w:val="19"/>
        </w:rPr>
      </w:pPr>
    </w:p>
  </w:footnote>
  <w:footnote w:id="24">
    <w:p w:rsidRPr="001D21C7" w:rsidR="0007043C" w:rsidP="001D21C7" w:rsidRDefault="0007043C" w14:paraId="4747BB8C" w14:textId="240F4B8C">
      <w:pPr>
        <w:pStyle w:val="Textonotapie"/>
        <w:ind w:firstLine="708"/>
        <w:jc w:val="both"/>
        <w:rPr>
          <w:rFonts w:ascii="Arial" w:hAnsi="Arial" w:cs="Arial"/>
          <w:sz w:val="19"/>
          <w:szCs w:val="19"/>
        </w:rPr>
      </w:pPr>
      <w:r w:rsidRPr="001D21C7">
        <w:rPr>
          <w:rStyle w:val="Refdenotaalpie"/>
          <w:rFonts w:ascii="Arial" w:hAnsi="Arial" w:cs="Arial"/>
          <w:sz w:val="19"/>
          <w:szCs w:val="19"/>
        </w:rPr>
        <w:footnoteRef/>
      </w:r>
      <w:r w:rsidRPr="001D21C7">
        <w:rPr>
          <w:rFonts w:ascii="Arial" w:hAnsi="Arial" w:cs="Arial"/>
          <w:sz w:val="19"/>
          <w:szCs w:val="19"/>
        </w:rPr>
        <w:t xml:space="preserve"> [Referencia original de la cita]10. Consejo de Estado- Sala de Consulta y Servicio Civil, 15 de noviembre de 2007. Expediente No. 1001-03-06-000-2007-00092-00. Número 1863 de 2007. CP: Luis Fernando Álvarez Jaramillo</w:t>
      </w:r>
    </w:p>
  </w:footnote>
  <w:footnote w:id="25">
    <w:p w:rsidRPr="001D21C7" w:rsidR="004C3D5C" w:rsidP="003A5B09" w:rsidRDefault="006F29E0" w14:paraId="29B325DB" w14:textId="5A9D06F4">
      <w:pPr>
        <w:pStyle w:val="Textonotapie"/>
        <w:jc w:val="both"/>
        <w:rPr>
          <w:rFonts w:ascii="Arial" w:hAnsi="Arial" w:cs="Arial"/>
          <w:color w:val="000000" w:themeColor="text1"/>
          <w:sz w:val="19"/>
          <w:szCs w:val="19"/>
          <w:lang w:val="es-CO"/>
        </w:rPr>
      </w:pPr>
      <w:r w:rsidRPr="001D21C7">
        <w:rPr>
          <w:rFonts w:ascii="Arial" w:hAnsi="Arial" w:cs="Arial"/>
          <w:color w:val="000000" w:themeColor="text1"/>
          <w:sz w:val="19"/>
          <w:szCs w:val="19"/>
        </w:rPr>
        <w:tab/>
      </w:r>
      <w:r w:rsidRPr="001D21C7" w:rsidR="004C3D5C">
        <w:rPr>
          <w:rStyle w:val="Refdenotaalpie"/>
          <w:rFonts w:ascii="Arial" w:hAnsi="Arial" w:cs="Arial"/>
          <w:color w:val="000000" w:themeColor="text1"/>
          <w:sz w:val="19"/>
          <w:szCs w:val="19"/>
        </w:rPr>
        <w:footnoteRef/>
      </w:r>
      <w:r w:rsidRPr="001D21C7" w:rsidR="004C3D5C">
        <w:rPr>
          <w:rFonts w:ascii="Arial" w:hAnsi="Arial" w:cs="Arial"/>
          <w:color w:val="000000" w:themeColor="text1"/>
          <w:sz w:val="19"/>
          <w:szCs w:val="19"/>
        </w:rPr>
        <w:t xml:space="preserve">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footnote>
  <w:footnote w:id="26">
    <w:p w:rsidRPr="003A5B09" w:rsidR="00984FE6" w:rsidP="003A5B09" w:rsidRDefault="006F29E0" w14:paraId="1B415517" w14:textId="77777777">
      <w:pPr>
        <w:pStyle w:val="Textonotapie"/>
        <w:jc w:val="both"/>
        <w:rPr>
          <w:rFonts w:ascii="Arial" w:hAnsi="Arial" w:cs="Arial"/>
          <w:color w:val="000000" w:themeColor="text1"/>
          <w:sz w:val="19"/>
          <w:szCs w:val="19"/>
        </w:rPr>
      </w:pPr>
      <w:r w:rsidRPr="003A5B09">
        <w:rPr>
          <w:rFonts w:ascii="Arial" w:hAnsi="Arial" w:cs="Arial"/>
          <w:color w:val="000000" w:themeColor="text1"/>
          <w:sz w:val="19"/>
          <w:szCs w:val="19"/>
        </w:rPr>
        <w:tab/>
      </w:r>
    </w:p>
    <w:p w:rsidRPr="0007043C" w:rsidR="008F4CB7" w:rsidP="003A5B09" w:rsidRDefault="008F4CB7" w14:paraId="60E02865" w14:textId="645490BB">
      <w:pPr>
        <w:pStyle w:val="Textonotapie"/>
        <w:ind w:firstLine="708"/>
        <w:jc w:val="both"/>
        <w:rPr>
          <w:rFonts w:ascii="Arial" w:hAnsi="Arial" w:cs="Arial"/>
          <w:color w:val="000000" w:themeColor="text1"/>
          <w:sz w:val="19"/>
          <w:szCs w:val="19"/>
        </w:rPr>
      </w:pPr>
      <w:r w:rsidRPr="003A5B09">
        <w:rPr>
          <w:rStyle w:val="Refdenotaalpie"/>
          <w:rFonts w:ascii="Arial" w:hAnsi="Arial" w:cs="Arial"/>
          <w:color w:val="000000" w:themeColor="text1"/>
          <w:sz w:val="19"/>
          <w:szCs w:val="19"/>
        </w:rPr>
        <w:footnoteRef/>
      </w:r>
      <w:r w:rsidRPr="003A5B09">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w:t>
      </w:r>
      <w:proofErr w:type="gramStart"/>
      <w:r w:rsidRPr="003A5B09">
        <w:rPr>
          <w:rFonts w:ascii="Arial" w:hAnsi="Arial" w:cs="Arial"/>
          <w:color w:val="000000" w:themeColor="text1"/>
          <w:sz w:val="19"/>
          <w:szCs w:val="19"/>
        </w:rPr>
        <w:t>y</w:t>
      </w:r>
      <w:proofErr w:type="gramEnd"/>
      <w:r w:rsidRPr="003A5B09">
        <w:rPr>
          <w:rFonts w:ascii="Arial" w:hAnsi="Arial" w:cs="Arial"/>
          <w:color w:val="000000" w:themeColor="text1"/>
          <w:sz w:val="19"/>
          <w:szCs w:val="19"/>
        </w:rPr>
        <w:t xml:space="preserve"> en consecuencia, le es </w:t>
      </w:r>
      <w:r w:rsidRPr="0007043C">
        <w:rPr>
          <w:rFonts w:ascii="Arial" w:hAnsi="Arial" w:cs="Arial"/>
          <w:color w:val="000000" w:themeColor="text1"/>
          <w:sz w:val="19"/>
          <w:szCs w:val="19"/>
        </w:rPr>
        <w:t>aplicable lo establecido en el artículo 2.2.1.2.1.4.1 del presente decreto.</w:t>
      </w:r>
    </w:p>
    <w:p w:rsidRPr="0007043C" w:rsidR="008F4CB7" w:rsidRDefault="008F4CB7" w14:paraId="127A9F35" w14:textId="33F0E482">
      <w:pPr>
        <w:pStyle w:val="Textonotapie"/>
        <w:jc w:val="both"/>
        <w:rPr>
          <w:rFonts w:ascii="Arial" w:hAnsi="Arial" w:cs="Arial"/>
          <w:color w:val="000000" w:themeColor="text1"/>
          <w:sz w:val="19"/>
          <w:szCs w:val="19"/>
        </w:rPr>
      </w:pPr>
      <w:r w:rsidRPr="0007043C">
        <w:rPr>
          <w:rFonts w:ascii="Arial" w:hAnsi="Arial" w:cs="Arial"/>
          <w:color w:val="000000" w:themeColor="text1"/>
          <w:sz w:val="19"/>
          <w:szCs w:val="19"/>
        </w:rPr>
        <w:t>»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Pr="0007043C" w:rsidR="008F4CB7" w:rsidRDefault="006F29E0" w14:paraId="053A790B" w14:textId="60B6FF23">
      <w:pPr>
        <w:pStyle w:val="Textonotapie"/>
        <w:ind w:firstLine="709"/>
        <w:jc w:val="both"/>
        <w:rPr>
          <w:rFonts w:ascii="Arial" w:hAnsi="Arial" w:cs="Arial"/>
          <w:color w:val="000000" w:themeColor="text1"/>
          <w:sz w:val="19"/>
          <w:szCs w:val="19"/>
        </w:rPr>
      </w:pPr>
      <w:r w:rsidRPr="0007043C">
        <w:rPr>
          <w:rFonts w:ascii="Arial" w:hAnsi="Arial" w:cs="Arial"/>
          <w:color w:val="000000" w:themeColor="text1"/>
          <w:sz w:val="19"/>
          <w:szCs w:val="19"/>
        </w:rPr>
        <w:tab/>
      </w:r>
    </w:p>
  </w:footnote>
  <w:footnote w:id="27">
    <w:p w:rsidRPr="0007043C" w:rsidR="008F4CB7" w:rsidRDefault="006F29E0" w14:paraId="2F4244BC" w14:textId="6766BD20">
      <w:pPr>
        <w:jc w:val="both"/>
        <w:rPr>
          <w:rFonts w:ascii="Arial" w:hAnsi="Arial" w:cs="Arial"/>
          <w:color w:val="000000" w:themeColor="text1"/>
          <w:sz w:val="19"/>
          <w:szCs w:val="19"/>
        </w:rPr>
      </w:pPr>
      <w:r w:rsidRPr="0007043C">
        <w:rPr>
          <w:rFonts w:ascii="Arial" w:hAnsi="Arial" w:cs="Arial"/>
          <w:color w:val="000000" w:themeColor="text1"/>
          <w:sz w:val="19"/>
          <w:szCs w:val="19"/>
        </w:rPr>
        <w:tab/>
      </w:r>
      <w:r w:rsidRPr="003A5B09" w:rsidR="008F4CB7">
        <w:rPr>
          <w:rStyle w:val="Refdenotaalpie"/>
          <w:rFonts w:ascii="Arial" w:hAnsi="Arial" w:cs="Arial"/>
          <w:color w:val="000000" w:themeColor="text1"/>
          <w:sz w:val="19"/>
          <w:szCs w:val="19"/>
        </w:rPr>
        <w:footnoteRef/>
      </w:r>
      <w:r w:rsidRPr="003A5B09" w:rsidR="008F4CB7">
        <w:rPr>
          <w:rStyle w:val="Refdenotaalpie"/>
          <w:rFonts w:ascii="Arial" w:hAnsi="Arial" w:cs="Arial"/>
          <w:color w:val="000000" w:themeColor="text1"/>
          <w:sz w:val="19"/>
          <w:szCs w:val="19"/>
        </w:rPr>
        <w:t xml:space="preserve"> </w:t>
      </w:r>
      <w:r w:rsidRPr="003A5B09" w:rsidR="008F4CB7">
        <w:rPr>
          <w:rFonts w:ascii="Arial" w:hAnsi="Arial" w:cs="Arial"/>
          <w:color w:val="000000" w:themeColor="text1"/>
          <w:sz w:val="19"/>
          <w:szCs w:val="19"/>
        </w:rPr>
        <w:t>Ley 1150 de 2007, artículo 2, literal 4, numeral c, modificada por el artículo 92 de la Ley 1474 de 2011.</w:t>
      </w:r>
    </w:p>
    <w:p w:rsidRPr="0007043C" w:rsidR="008F4CB7" w:rsidRDefault="008F4CB7" w14:paraId="1C539A72" w14:textId="77777777">
      <w:pPr>
        <w:ind w:firstLine="709"/>
        <w:jc w:val="both"/>
        <w:rPr>
          <w:rFonts w:ascii="Arial" w:hAnsi="Arial" w:cs="Arial"/>
          <w:color w:val="000000" w:themeColor="text1"/>
          <w:sz w:val="19"/>
          <w:szCs w:val="19"/>
        </w:rPr>
      </w:pPr>
    </w:p>
  </w:footnote>
  <w:footnote w:id="28">
    <w:p w:rsidRPr="0007043C" w:rsidR="008F4CB7" w:rsidRDefault="006F29E0" w14:paraId="4E58B917" w14:textId="6B72658A">
      <w:pPr>
        <w:jc w:val="both"/>
        <w:rPr>
          <w:rFonts w:ascii="Arial" w:hAnsi="Arial" w:cs="Arial"/>
          <w:color w:val="000000" w:themeColor="text1"/>
          <w:sz w:val="19"/>
          <w:szCs w:val="19"/>
        </w:rPr>
      </w:pPr>
      <w:r w:rsidRPr="0007043C">
        <w:rPr>
          <w:rFonts w:ascii="Arial" w:hAnsi="Arial" w:cs="Arial"/>
          <w:color w:val="000000" w:themeColor="text1"/>
          <w:sz w:val="19"/>
          <w:szCs w:val="19"/>
        </w:rPr>
        <w:tab/>
      </w:r>
      <w:r w:rsidRPr="003A5B09" w:rsidR="008F4CB7">
        <w:rPr>
          <w:rStyle w:val="Refdenotaalpie"/>
          <w:rFonts w:ascii="Arial" w:hAnsi="Arial" w:cs="Arial"/>
          <w:color w:val="000000" w:themeColor="text1"/>
          <w:sz w:val="19"/>
          <w:szCs w:val="19"/>
        </w:rPr>
        <w:footnoteRef/>
      </w:r>
      <w:r w:rsidRPr="003A5B09" w:rsidR="008F4CB7">
        <w:rPr>
          <w:rStyle w:val="Refdenotaalpie"/>
          <w:rFonts w:ascii="Arial" w:hAnsi="Arial" w:cs="Arial"/>
          <w:color w:val="000000" w:themeColor="text1"/>
          <w:sz w:val="19"/>
          <w:szCs w:val="19"/>
        </w:rPr>
        <w:t xml:space="preserve"> </w:t>
      </w:r>
      <w:r w:rsidRPr="003A5B09" w:rsidR="008F4CB7">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w:t>
      </w:r>
      <w:r w:rsidRPr="0007043C" w:rsidR="008F4CB7">
        <w:rPr>
          <w:rFonts w:ascii="Arial" w:hAnsi="Arial" w:cs="Arial"/>
          <w:color w:val="000000" w:themeColor="text1"/>
          <w:sz w:val="19"/>
          <w:szCs w:val="19"/>
        </w:rPr>
        <w:t>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rsidRPr="0007043C" w:rsidR="008F4CB7" w:rsidRDefault="008F4CB7" w14:paraId="3CC1919B" w14:textId="77777777">
      <w:pPr>
        <w:ind w:firstLine="709"/>
        <w:jc w:val="both"/>
        <w:rPr>
          <w:rFonts w:ascii="Arial" w:hAnsi="Arial" w:cs="Arial"/>
          <w:color w:val="000000" w:themeColor="text1"/>
          <w:sz w:val="19"/>
          <w:szCs w:val="19"/>
        </w:rPr>
      </w:pPr>
    </w:p>
  </w:footnote>
  <w:footnote w:id="29">
    <w:p w:rsidRPr="001D21C7" w:rsidR="00D940DB" w:rsidP="001D21C7" w:rsidRDefault="00D940DB" w14:paraId="05F82F63" w14:textId="0475652B">
      <w:pPr>
        <w:pStyle w:val="Textonotapie"/>
        <w:ind w:firstLine="708"/>
        <w:jc w:val="both"/>
        <w:rPr>
          <w:rFonts w:ascii="Arial" w:hAnsi="Arial" w:cs="Arial"/>
          <w:sz w:val="19"/>
          <w:szCs w:val="19"/>
        </w:rPr>
      </w:pPr>
      <w:r w:rsidRPr="001D21C7">
        <w:rPr>
          <w:rStyle w:val="Refdenotaalpie"/>
          <w:rFonts w:ascii="Arial" w:hAnsi="Arial" w:cs="Arial"/>
          <w:sz w:val="19"/>
          <w:szCs w:val="19"/>
        </w:rPr>
        <w:footnoteRef/>
      </w:r>
      <w:r w:rsidRPr="001D21C7">
        <w:rPr>
          <w:rFonts w:ascii="Arial" w:hAnsi="Arial" w:cs="Arial"/>
          <w:sz w:val="19"/>
          <w:szCs w:val="19"/>
        </w:rPr>
        <w:t xml:space="preserve"> En línea con lo anterior, esta Agencia concluyó en el concepto C–481 del 9 de septiembre de 2021 que: </w:t>
      </w:r>
      <w:r w:rsidRPr="003A5B09">
        <w:rPr>
          <w:rFonts w:ascii="Arial" w:hAnsi="Arial" w:cs="Arial"/>
          <w:sz w:val="19"/>
          <w:szCs w:val="19"/>
        </w:rPr>
        <w:t>«</w:t>
      </w:r>
      <w:r w:rsidRPr="001D21C7">
        <w:rPr>
          <w:rFonts w:ascii="Arial" w:hAnsi="Arial" w:cs="Arial"/>
          <w:sz w:val="19"/>
          <w:szCs w:val="19"/>
        </w:rPr>
        <w:t>En suma, la descentralización involucra el ejercicio de un control de tutela que no puede aplicarse a los entes universitarios autónomos, motivo por el cual, si bien son entes del Estado, no son ni pueden ser asimiladas a entidades descentralizadas y tampoco encuadran en el concepto de entidad territorial. Lo anterior resulta relevante para efectos de la aplicación de la Ley de Garantías, especialmente, en lo relacionado con la prohibición del parágrafo del artículo 38, ya que los entes universitarios autónomos, de conformidad con lo desarrollado hasta este lugar no se enmarcan dentro de las autoridades incluidas en dicha prohibición, en tanto está dirigida a los «gobernadores, alcaldes municipales y/o distritales, secretarios, gerentes y directores de entidades descentralizadas del orden municipal, departamental o distrital» . Sin embargo, al tratarse de «entes del Estado» que es la noción establecida en el artículo 33 de la Ley 996 de 2005 sí quedan incluidas en esta prohibición, toda vez que esta aplica a todos los entes del Estado, sin importar su régimen jurídico, forma de organización o naturaleza, pertenencia a una u otra rama del poder público o su autonomía, por lo que dentro de ella se encuentran las universidades públicas, a quienes les queda prohibida la contratación directa durante los cuatro (4) meses anteriores a la elección presidencial y hasta la realización de la elección en la segunda vuelta, si fuere el caso</w:t>
      </w:r>
      <w:r w:rsidRPr="003A5B09">
        <w:rPr>
          <w:rFonts w:ascii="Arial" w:hAnsi="Arial" w:cs="Arial"/>
          <w:sz w:val="19"/>
          <w:szCs w:val="19"/>
        </w:rPr>
        <w:t>»</w:t>
      </w:r>
      <w:r w:rsidRPr="001D21C7">
        <w:rPr>
          <w:rFonts w:ascii="Arial" w:hAnsi="Arial" w:cs="Arial"/>
          <w:sz w:val="19"/>
          <w:szCs w:val="19"/>
        </w:rPr>
        <w:t>.</w:t>
      </w:r>
    </w:p>
    <w:p w:rsidRPr="001D21C7" w:rsidR="00D940DB" w:rsidP="001D21C7" w:rsidRDefault="00D940DB" w14:paraId="7C22E940" w14:textId="77777777">
      <w:pPr>
        <w:pStyle w:val="Textonotapie"/>
        <w:ind w:firstLine="708"/>
        <w:jc w:val="both"/>
        <w:rPr>
          <w:rFonts w:ascii="Arial" w:hAnsi="Arial" w:cs="Arial"/>
          <w:sz w:val="19"/>
          <w:szCs w:val="19"/>
        </w:rPr>
      </w:pPr>
    </w:p>
  </w:footnote>
  <w:footnote w:id="30">
    <w:p w:rsidRPr="001D21C7" w:rsidR="008F4CB7" w:rsidP="003A5B09" w:rsidRDefault="008F4CB7" w14:paraId="7A81EE11" w14:textId="77777777">
      <w:pPr>
        <w:pStyle w:val="Textonotapie"/>
        <w:ind w:firstLine="708"/>
        <w:jc w:val="both"/>
        <w:rPr>
          <w:rFonts w:ascii="Arial" w:hAnsi="Arial" w:cs="Arial"/>
          <w:color w:val="000000" w:themeColor="text1"/>
          <w:sz w:val="19"/>
          <w:szCs w:val="19"/>
          <w:lang w:val="es-CO"/>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lang w:val="es-CO"/>
        </w:rPr>
        <w:t xml:space="preserve"> FIGUEROA U. Organismos internacionales. 2ª edición. Santiago de Chile: Editorial </w:t>
      </w:r>
      <w:proofErr w:type="spellStart"/>
      <w:r w:rsidRPr="001D21C7">
        <w:rPr>
          <w:rFonts w:ascii="Arial" w:hAnsi="Arial" w:cs="Arial"/>
          <w:color w:val="000000" w:themeColor="text1"/>
          <w:sz w:val="19"/>
          <w:szCs w:val="19"/>
          <w:lang w:val="es-CO"/>
        </w:rPr>
        <w:t>RIL</w:t>
      </w:r>
      <w:proofErr w:type="spellEnd"/>
      <w:r w:rsidRPr="001D21C7">
        <w:rPr>
          <w:rFonts w:ascii="Arial" w:hAnsi="Arial" w:cs="Arial"/>
          <w:color w:val="000000" w:themeColor="text1"/>
          <w:sz w:val="19"/>
          <w:szCs w:val="19"/>
          <w:lang w:val="es-CO"/>
        </w:rPr>
        <w:t xml:space="preserve"> editores, 2010.</w:t>
      </w:r>
    </w:p>
    <w:p w:rsidRPr="001D21C7" w:rsidR="008F4CB7" w:rsidRDefault="008F4CB7" w14:paraId="6596FAA9" w14:textId="77777777">
      <w:pPr>
        <w:pStyle w:val="Textonotapie"/>
        <w:ind w:firstLine="851"/>
        <w:jc w:val="both"/>
        <w:rPr>
          <w:rFonts w:ascii="Arial" w:hAnsi="Arial" w:cs="Arial"/>
          <w:color w:val="000000" w:themeColor="text1"/>
          <w:sz w:val="19"/>
          <w:szCs w:val="19"/>
          <w:lang w:val="es-CO"/>
        </w:rPr>
      </w:pPr>
    </w:p>
  </w:footnote>
  <w:footnote w:id="31">
    <w:p w:rsidRPr="001D21C7" w:rsidR="008F4CB7" w:rsidRDefault="008F4CB7" w14:paraId="720257A6" w14:textId="77777777">
      <w:pPr>
        <w:pStyle w:val="Textonotapie"/>
        <w:ind w:firstLine="708"/>
        <w:jc w:val="both"/>
        <w:rPr>
          <w:rFonts w:ascii="Arial" w:hAnsi="Arial" w:cs="Arial"/>
          <w:color w:val="000000" w:themeColor="text1"/>
          <w:sz w:val="19"/>
          <w:szCs w:val="19"/>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JOJOA BOLAÑOS, Alexander. Los regímenes exceptuados en los contratos estatales. Bogotá: Grupo Editorial Ibáñez, 2012. p. 138 y ss.</w:t>
      </w:r>
    </w:p>
    <w:p w:rsidRPr="001D21C7" w:rsidR="008F4CB7" w:rsidRDefault="008F4CB7" w14:paraId="5EE96EC5" w14:textId="77777777">
      <w:pPr>
        <w:pStyle w:val="Textonotapie"/>
        <w:ind w:firstLine="708"/>
        <w:jc w:val="both"/>
        <w:rPr>
          <w:rFonts w:ascii="Arial" w:hAnsi="Arial" w:cs="Arial"/>
          <w:color w:val="000000" w:themeColor="text1"/>
          <w:sz w:val="19"/>
          <w:szCs w:val="19"/>
          <w:lang w:val="es-ES"/>
        </w:rPr>
      </w:pPr>
    </w:p>
  </w:footnote>
  <w:footnote w:id="32">
    <w:p w:rsidRPr="001D21C7" w:rsidR="008F4CB7" w:rsidRDefault="008F4CB7" w14:paraId="3C4B51F6" w14:textId="05F7B44E">
      <w:pPr>
        <w:pStyle w:val="Textonotapie"/>
        <w:ind w:firstLine="708"/>
        <w:jc w:val="both"/>
        <w:rPr>
          <w:rFonts w:ascii="Arial" w:hAnsi="Arial" w:cs="Arial"/>
          <w:color w:val="000000" w:themeColor="text1"/>
          <w:sz w:val="19"/>
          <w:szCs w:val="19"/>
          <w:lang w:val="es-CO"/>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BARRETO MORENO, Antonio Alejandro. El derecho de la compra pública: estudio jurídico de un mercado imperfecto. Bogotá: Legis, 2019. pp. 247 y 248. En este sentido, D</w:t>
      </w:r>
      <w:r w:rsidRPr="003A5B09" w:rsidR="00815AF9">
        <w:rPr>
          <w:rFonts w:ascii="Arial" w:hAnsi="Arial" w:cs="Arial"/>
          <w:color w:val="000000" w:themeColor="text1"/>
          <w:sz w:val="19"/>
          <w:szCs w:val="19"/>
        </w:rPr>
        <w:t>Á</w:t>
      </w:r>
      <w:r w:rsidRPr="001D21C7">
        <w:rPr>
          <w:rFonts w:ascii="Arial" w:hAnsi="Arial" w:cs="Arial"/>
          <w:color w:val="000000" w:themeColor="text1"/>
          <w:sz w:val="19"/>
          <w:szCs w:val="19"/>
        </w:rPr>
        <w:t>VILA VINUEZA agrega que «</w:t>
      </w:r>
      <w:r w:rsidRPr="001D21C7">
        <w:rPr>
          <w:rFonts w:ascii="Arial" w:hAnsi="Arial" w:cs="Arial"/>
          <w:color w:val="000000" w:themeColor="text1"/>
          <w:sz w:val="19"/>
          <w:szCs w:val="19"/>
          <w:lang w:val="es-CO"/>
        </w:rPr>
        <w:t xml:space="preserve">La modificación insertada [por el artículo 20 de la Ley 1150 de 2007] es muy clara en el sentido de que se admite contratar con organismos de cooperación, asistencia o ayuda internacionales de manera directa para que se ejecute un contrato no sometido a la Ley 80 sino a sus reglamentos internos, si y solo sí los recursos provenientes para su </w:t>
      </w:r>
      <w:proofErr w:type="gramStart"/>
      <w:r w:rsidRPr="001D21C7">
        <w:rPr>
          <w:rFonts w:ascii="Arial" w:hAnsi="Arial" w:cs="Arial"/>
          <w:color w:val="000000" w:themeColor="text1"/>
          <w:sz w:val="19"/>
          <w:szCs w:val="19"/>
          <w:lang w:val="es-CO"/>
        </w:rPr>
        <w:t>pago,</w:t>
      </w:r>
      <w:proofErr w:type="gramEnd"/>
      <w:r w:rsidRPr="001D21C7">
        <w:rPr>
          <w:rFonts w:ascii="Arial" w:hAnsi="Arial" w:cs="Arial"/>
          <w:color w:val="000000" w:themeColor="text1"/>
          <w:sz w:val="19"/>
          <w:szCs w:val="19"/>
          <w:lang w:val="es-CO"/>
        </w:rPr>
        <w:t xml:space="preserve"> sean del propio organismo en por lo menos más del 50% de su valor. Con tal fin, se deben cuantificar moneda colombiana incluso los aportes que se hagan en especie» (Cfr. </w:t>
      </w:r>
      <w:proofErr w:type="spellStart"/>
      <w:r w:rsidRPr="001D21C7">
        <w:rPr>
          <w:rFonts w:ascii="Arial" w:hAnsi="Arial" w:cs="Arial"/>
          <w:color w:val="000000" w:themeColor="text1"/>
          <w:sz w:val="19"/>
          <w:szCs w:val="19"/>
        </w:rPr>
        <w:t>DÀVILA</w:t>
      </w:r>
      <w:proofErr w:type="spellEnd"/>
      <w:r w:rsidRPr="001D21C7">
        <w:rPr>
          <w:rFonts w:ascii="Arial" w:hAnsi="Arial" w:cs="Arial"/>
          <w:color w:val="000000" w:themeColor="text1"/>
          <w:sz w:val="19"/>
          <w:szCs w:val="19"/>
        </w:rPr>
        <w:t xml:space="preserve"> VINUEZA, Luis Guillermo. Régimen jurídico de la contratación estatal. Tercera edición. Bogotá: Legis, 2016.</w:t>
      </w:r>
      <w:r w:rsidRPr="001D21C7">
        <w:rPr>
          <w:rFonts w:ascii="Arial" w:hAnsi="Arial" w:cs="Arial"/>
          <w:color w:val="000000" w:themeColor="text1"/>
          <w:sz w:val="19"/>
          <w:szCs w:val="19"/>
          <w:lang w:val="es-CO"/>
        </w:rPr>
        <w:t xml:space="preserve"> p. 59. Corchetes fuera de texto).</w:t>
      </w:r>
    </w:p>
    <w:p w:rsidRPr="001D21C7" w:rsidR="008F4CB7" w:rsidRDefault="008F4CB7" w14:paraId="30940E67" w14:textId="77777777">
      <w:pPr>
        <w:pStyle w:val="Textonotapie"/>
        <w:ind w:firstLine="708"/>
        <w:jc w:val="both"/>
        <w:rPr>
          <w:rFonts w:ascii="Arial" w:hAnsi="Arial" w:cs="Arial"/>
          <w:color w:val="000000" w:themeColor="text1"/>
          <w:sz w:val="19"/>
          <w:szCs w:val="19"/>
          <w:lang w:val="es-ES"/>
        </w:rPr>
      </w:pPr>
    </w:p>
  </w:footnote>
  <w:footnote w:id="33">
    <w:p w:rsidRPr="001D21C7" w:rsidR="008F4CB7" w:rsidRDefault="008F4CB7" w14:paraId="3AF95C8F" w14:textId="77777777">
      <w:pPr>
        <w:pStyle w:val="Textonotapie"/>
        <w:ind w:firstLine="708"/>
        <w:jc w:val="both"/>
        <w:rPr>
          <w:rFonts w:ascii="Arial" w:hAnsi="Arial" w:cs="Arial"/>
          <w:color w:val="000000" w:themeColor="text1"/>
          <w:sz w:val="19"/>
          <w:szCs w:val="19"/>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CONSEJO DE ESTADO. Sala de Consulta y Servicio Civil. Concepto del 27 de abril de 2006. Rad:1712. C.P. Enrique José Arboleda Perdomo.</w:t>
      </w:r>
    </w:p>
    <w:p w:rsidRPr="001D21C7" w:rsidR="008F4CB7" w:rsidRDefault="008F4CB7" w14:paraId="0B60BD4F" w14:textId="77777777">
      <w:pPr>
        <w:pStyle w:val="Textonotapie"/>
        <w:ind w:firstLine="708"/>
        <w:jc w:val="both"/>
        <w:rPr>
          <w:rFonts w:ascii="Arial" w:hAnsi="Arial" w:cs="Arial"/>
          <w:color w:val="000000" w:themeColor="text1"/>
          <w:sz w:val="19"/>
          <w:szCs w:val="19"/>
        </w:rPr>
      </w:pPr>
    </w:p>
  </w:footnote>
  <w:footnote w:id="34">
    <w:p w:rsidRPr="0007043C" w:rsidR="00151D10" w:rsidP="00151D10" w:rsidRDefault="00151D10" w14:paraId="2DC5ED20" w14:textId="77777777">
      <w:pPr>
        <w:pStyle w:val="Textonotapie"/>
        <w:jc w:val="both"/>
        <w:rPr>
          <w:rFonts w:ascii="Arial" w:hAnsi="Arial" w:cs="Arial"/>
          <w:color w:val="000000" w:themeColor="text1"/>
          <w:sz w:val="19"/>
          <w:szCs w:val="19"/>
        </w:rPr>
      </w:pPr>
      <w:r w:rsidRPr="0007043C">
        <w:rPr>
          <w:rFonts w:ascii="Arial" w:hAnsi="Arial" w:cs="Arial"/>
          <w:color w:val="000000" w:themeColor="text1"/>
          <w:sz w:val="19"/>
          <w:szCs w:val="19"/>
        </w:rPr>
        <w:tab/>
      </w:r>
      <w:r w:rsidRPr="0007043C">
        <w:rPr>
          <w:rStyle w:val="Refdenotaalpie"/>
          <w:rFonts w:ascii="Arial" w:hAnsi="Arial" w:cs="Arial"/>
          <w:color w:val="000000" w:themeColor="text1"/>
          <w:sz w:val="19"/>
          <w:szCs w:val="19"/>
        </w:rPr>
        <w:footnoteRef/>
      </w:r>
      <w:r w:rsidRPr="0007043C">
        <w:rPr>
          <w:rFonts w:ascii="Arial" w:hAnsi="Arial" w:cs="Arial"/>
          <w:color w:val="000000" w:themeColor="text1"/>
          <w:sz w:val="19"/>
          <w:szCs w:val="19"/>
        </w:rPr>
        <w:t xml:space="preserve"> «Artículo 3°. Funciones. La Agencia Nacional de Contratación Pública –Colombia Compra Eficiente– ejercerá las siguientes funciones: </w:t>
      </w:r>
    </w:p>
    <w:p w:rsidRPr="0007043C" w:rsidR="00151D10" w:rsidP="00151D10" w:rsidRDefault="00151D10" w14:paraId="1D26AFB5" w14:textId="77777777">
      <w:pPr>
        <w:pStyle w:val="Textonotapie"/>
        <w:ind w:firstLine="708"/>
        <w:jc w:val="both"/>
        <w:rPr>
          <w:rFonts w:ascii="Arial" w:hAnsi="Arial" w:cs="Arial"/>
          <w:color w:val="000000" w:themeColor="text1"/>
          <w:sz w:val="19"/>
          <w:szCs w:val="19"/>
          <w:lang w:val="es-ES"/>
        </w:rPr>
      </w:pPr>
      <w:r w:rsidRPr="0007043C">
        <w:rPr>
          <w:rFonts w:ascii="Arial" w:hAnsi="Arial" w:cs="Arial"/>
          <w:color w:val="000000" w:themeColor="text1"/>
          <w:sz w:val="19"/>
          <w:szCs w:val="19"/>
          <w:lang w:val="es-ES"/>
        </w:rPr>
        <w:t xml:space="preserve">[...] </w:t>
      </w:r>
    </w:p>
    <w:p w:rsidRPr="0007043C" w:rsidR="00151D10" w:rsidP="00151D10" w:rsidRDefault="00151D10" w14:paraId="702F6660" w14:textId="77777777">
      <w:pPr>
        <w:pStyle w:val="Textonotapie"/>
        <w:ind w:firstLine="708"/>
        <w:jc w:val="both"/>
        <w:rPr>
          <w:rFonts w:ascii="Arial" w:hAnsi="Arial" w:cs="Arial"/>
          <w:color w:val="000000" w:themeColor="text1"/>
          <w:sz w:val="19"/>
          <w:szCs w:val="19"/>
          <w:lang w:val="es-ES"/>
        </w:rPr>
      </w:pPr>
      <w:r w:rsidRPr="0007043C">
        <w:rPr>
          <w:rFonts w:ascii="Arial" w:hAnsi="Arial" w:cs="Arial"/>
          <w:color w:val="000000" w:themeColor="text1"/>
          <w:sz w:val="19"/>
          <w:szCs w:val="19"/>
          <w:lang w:val="es-ES"/>
        </w:rPr>
        <w:t>» 5. Absolver consultas sobre la aplicación de normas de carácter general y expedir circulares externas en materia de compras y contratación pública».</w:t>
      </w:r>
    </w:p>
    <w:p w:rsidRPr="0007043C" w:rsidR="00151D10" w:rsidP="00151D10" w:rsidRDefault="00151D10" w14:paraId="657776D8" w14:textId="77777777">
      <w:pPr>
        <w:pStyle w:val="Textonotapie"/>
        <w:ind w:firstLine="708"/>
        <w:jc w:val="both"/>
        <w:rPr>
          <w:rFonts w:ascii="Arial" w:hAnsi="Arial" w:cs="Arial"/>
          <w:color w:val="000000" w:themeColor="text1"/>
          <w:sz w:val="19"/>
          <w:szCs w:val="19"/>
          <w:lang w:val="es-ES"/>
        </w:rPr>
      </w:pPr>
      <w:r w:rsidRPr="0007043C">
        <w:rPr>
          <w:rFonts w:ascii="Arial" w:hAnsi="Arial" w:cs="Arial"/>
          <w:color w:val="000000" w:themeColor="text1"/>
          <w:sz w:val="19"/>
          <w:szCs w:val="19"/>
          <w:lang w:val="es-ES"/>
        </w:rPr>
        <w:t>[..]</w:t>
      </w:r>
    </w:p>
    <w:p w:rsidRPr="0007043C" w:rsidR="00151D10" w:rsidP="00151D10" w:rsidRDefault="00151D10" w14:paraId="331733FB" w14:textId="77777777">
      <w:pPr>
        <w:pStyle w:val="Textonotapie"/>
        <w:ind w:firstLine="708"/>
        <w:jc w:val="both"/>
        <w:rPr>
          <w:rFonts w:ascii="Arial" w:hAnsi="Arial" w:cs="Arial"/>
          <w:color w:val="000000" w:themeColor="text1"/>
          <w:sz w:val="19"/>
          <w:szCs w:val="19"/>
          <w:lang w:val="es-ES"/>
        </w:rPr>
      </w:pPr>
      <w:proofErr w:type="gramStart"/>
      <w:r w:rsidRPr="0007043C">
        <w:rPr>
          <w:rFonts w:ascii="Arial" w:hAnsi="Arial" w:eastAsia="Times New Roman" w:cs="Arial"/>
          <w:color w:val="000000" w:themeColor="text1"/>
          <w:sz w:val="19"/>
          <w:szCs w:val="19"/>
          <w:lang w:val="es-CO"/>
        </w:rPr>
        <w:t>»</w:t>
      </w:r>
      <w:r w:rsidRPr="0007043C">
        <w:rPr>
          <w:rFonts w:ascii="Arial" w:hAnsi="Arial" w:cs="Arial"/>
          <w:color w:val="000000" w:themeColor="text1"/>
          <w:sz w:val="19"/>
          <w:szCs w:val="19"/>
          <w:lang w:val="es-ES"/>
        </w:rPr>
        <w:t>Artículo</w:t>
      </w:r>
      <w:proofErr w:type="gramEnd"/>
      <w:r w:rsidRPr="0007043C">
        <w:rPr>
          <w:rFonts w:ascii="Arial" w:hAnsi="Arial" w:cs="Arial"/>
          <w:color w:val="000000" w:themeColor="text1"/>
          <w:sz w:val="19"/>
          <w:szCs w:val="19"/>
          <w:lang w:val="es-ES"/>
        </w:rPr>
        <w:t xml:space="preserve"> 11. Subdirección de Gestión Contractual. Son funciones de la Subdirección de Gestión Contractual las siguientes: </w:t>
      </w:r>
    </w:p>
    <w:p w:rsidRPr="0007043C" w:rsidR="00151D10" w:rsidP="00151D10" w:rsidRDefault="00151D10" w14:paraId="1C31F329" w14:textId="77777777">
      <w:pPr>
        <w:pStyle w:val="Textonotapie"/>
        <w:ind w:firstLine="708"/>
        <w:jc w:val="both"/>
        <w:rPr>
          <w:rFonts w:ascii="Arial" w:hAnsi="Arial" w:cs="Arial"/>
          <w:color w:val="000000" w:themeColor="text1"/>
          <w:sz w:val="19"/>
          <w:szCs w:val="19"/>
          <w:lang w:val="es-ES"/>
        </w:rPr>
      </w:pPr>
      <w:r w:rsidRPr="0007043C">
        <w:rPr>
          <w:rFonts w:ascii="Arial" w:hAnsi="Arial" w:cs="Arial"/>
          <w:color w:val="000000" w:themeColor="text1"/>
          <w:sz w:val="19"/>
          <w:szCs w:val="19"/>
          <w:lang w:val="es-ES"/>
        </w:rPr>
        <w:t xml:space="preserve">[...] </w:t>
      </w:r>
    </w:p>
    <w:p w:rsidRPr="0007043C" w:rsidR="00151D10" w:rsidP="00151D10" w:rsidRDefault="00151D10" w14:paraId="434A309B" w14:textId="77777777">
      <w:pPr>
        <w:pStyle w:val="Textonotapie"/>
        <w:ind w:firstLine="708"/>
        <w:jc w:val="both"/>
        <w:rPr>
          <w:rFonts w:ascii="Arial" w:hAnsi="Arial" w:cs="Arial"/>
          <w:color w:val="000000" w:themeColor="text1"/>
          <w:sz w:val="19"/>
          <w:szCs w:val="19"/>
          <w:lang w:val="es-ES"/>
        </w:rPr>
      </w:pPr>
      <w:r w:rsidRPr="0007043C">
        <w:rPr>
          <w:rFonts w:ascii="Arial" w:hAnsi="Arial" w:eastAsia="Times New Roman" w:cs="Arial"/>
          <w:color w:val="000000" w:themeColor="text1"/>
          <w:sz w:val="19"/>
          <w:szCs w:val="19"/>
          <w:lang w:val="es-CO"/>
        </w:rPr>
        <w:t>»</w:t>
      </w:r>
      <w:r w:rsidRPr="0007043C">
        <w:rPr>
          <w:rFonts w:ascii="Arial" w:hAnsi="Arial" w:cs="Arial"/>
          <w:color w:val="000000" w:themeColor="text1"/>
          <w:sz w:val="19"/>
          <w:szCs w:val="19"/>
          <w:lang w:val="es-ES"/>
        </w:rPr>
        <w:t xml:space="preserve">8. Absolver consultas sobre la aplicación de normas de carácter general». </w:t>
      </w:r>
    </w:p>
  </w:footnote>
  <w:footnote w:id="35">
    <w:p w:rsidRPr="001D21C7" w:rsidR="008F4CB7" w:rsidP="003A5B09" w:rsidRDefault="008F4CB7" w14:paraId="2CE33392" w14:textId="574D5D84">
      <w:pPr>
        <w:pStyle w:val="Textonotapie"/>
        <w:ind w:firstLine="708"/>
        <w:jc w:val="both"/>
        <w:rPr>
          <w:rFonts w:ascii="Arial" w:hAnsi="Arial" w:cs="Arial"/>
          <w:color w:val="000000" w:themeColor="text1"/>
          <w:sz w:val="19"/>
          <w:szCs w:val="19"/>
        </w:rPr>
      </w:pPr>
      <w:r w:rsidRPr="001D21C7">
        <w:rPr>
          <w:rStyle w:val="Refdenotaalpie"/>
          <w:rFonts w:ascii="Arial" w:hAnsi="Arial" w:cs="Arial"/>
          <w:color w:val="000000" w:themeColor="text1"/>
          <w:sz w:val="19"/>
          <w:szCs w:val="19"/>
        </w:rPr>
        <w:footnoteRef/>
      </w:r>
      <w:r w:rsidRPr="001D21C7">
        <w:rPr>
          <w:rFonts w:ascii="Arial" w:hAnsi="Arial" w:cs="Arial"/>
          <w:color w:val="000000" w:themeColor="text1"/>
          <w:sz w:val="19"/>
          <w:szCs w:val="19"/>
        </w:rPr>
        <w:t xml:space="preserve"> Teniendo en cuenta que mediante la Resolución No. 4371 del 18 de mayo de 2021 la Registraduría Nacional del Estado Civil fijó el calendario electoral para las elecciones de Presidente y Vicepresidente de la República (primera vuelta) para el periodo constitucional 2022-2026, quedando establecido dicho acto para el 29 de mayo de 2022.</w:t>
      </w:r>
    </w:p>
  </w:footnote>
  <w:footnote w:id="36">
    <w:p w:rsidRPr="00F910EF" w:rsidR="00B962F7" w:rsidP="00B962F7" w:rsidRDefault="00B962F7" w14:paraId="6D577E32" w14:textId="77777777">
      <w:pPr>
        <w:pStyle w:val="Textonotapie"/>
        <w:ind w:firstLine="708"/>
        <w:jc w:val="both"/>
        <w:rPr>
          <w:rFonts w:ascii="Arial" w:hAnsi="Arial" w:cs="Arial"/>
          <w:color w:val="000000" w:themeColor="text1"/>
          <w:sz w:val="19"/>
          <w:szCs w:val="19"/>
        </w:rPr>
      </w:pPr>
      <w:r w:rsidRPr="00F910EF">
        <w:rPr>
          <w:rStyle w:val="Refdenotaalpie"/>
          <w:rFonts w:ascii="Arial" w:hAnsi="Arial" w:cs="Arial"/>
          <w:sz w:val="19"/>
          <w:szCs w:val="19"/>
        </w:rPr>
        <w:footnoteRef/>
      </w:r>
      <w:r w:rsidRPr="00F910EF">
        <w:rPr>
          <w:rFonts w:ascii="Arial" w:hAnsi="Arial" w:cs="Arial"/>
          <w:sz w:val="19"/>
          <w:szCs w:val="19"/>
        </w:rPr>
        <w:t xml:space="preserve"> </w:t>
      </w:r>
      <w:r w:rsidRPr="00F910EF">
        <w:rPr>
          <w:rFonts w:ascii="Arial" w:hAnsi="Arial" w:cs="Arial"/>
          <w:color w:val="000000" w:themeColor="text1"/>
          <w:sz w:val="19"/>
          <w:szCs w:val="19"/>
        </w:rPr>
        <w:t>Disponible en: https://colombiacompra.gov.co/sites/cce_public/files/cce_circulares/cce_circular_unica.pdf</w:t>
      </w:r>
    </w:p>
    <w:p w:rsidRPr="00F910EF" w:rsidR="00B962F7" w:rsidP="00B962F7" w:rsidRDefault="00B962F7" w14:paraId="509144D1" w14:textId="77777777">
      <w:pPr>
        <w:pStyle w:val="Textonotapie"/>
        <w:ind w:firstLine="708"/>
        <w:jc w:val="both"/>
        <w:rPr>
          <w:rFonts w:ascii="Arial" w:hAnsi="Arial" w:cs="Arial"/>
          <w:sz w:val="19"/>
          <w:szCs w:val="19"/>
        </w:rPr>
      </w:pPr>
    </w:p>
  </w:footnote>
  <w:footnote w:id="37">
    <w:p w:rsidRPr="00F910EF" w:rsidR="00B962F7" w:rsidP="00B962F7" w:rsidRDefault="00B962F7" w14:paraId="7009DB1E" w14:textId="77777777">
      <w:pPr>
        <w:pStyle w:val="Textonotapie"/>
        <w:ind w:firstLine="708"/>
        <w:jc w:val="both"/>
        <w:rPr>
          <w:rFonts w:ascii="Arial" w:hAnsi="Arial" w:cs="Arial"/>
          <w:sz w:val="19"/>
          <w:szCs w:val="19"/>
        </w:rPr>
      </w:pPr>
      <w:r w:rsidRPr="00F910EF">
        <w:rPr>
          <w:rStyle w:val="Refdenotaalpie"/>
          <w:rFonts w:ascii="Arial" w:hAnsi="Arial" w:cs="Arial"/>
          <w:sz w:val="19"/>
          <w:szCs w:val="19"/>
        </w:rPr>
        <w:footnoteRef/>
      </w:r>
      <w:r w:rsidRPr="00F910EF">
        <w:rPr>
          <w:rFonts w:ascii="Arial" w:hAnsi="Arial" w:cs="Arial"/>
          <w:sz w:val="19"/>
          <w:szCs w:val="19"/>
        </w:rPr>
        <w:t xml:space="preserve"> [Referencia original de la cita]10. Consejo de Estado- Sala de Consulta y Servicio Civil, 15 de noviembre de 2007. Expediente No. 1001-03-06-000-2007-00092-00. Número 1863 de 2007. CP: Luis Fernando Álvarez Jaramillo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F4CB7" w:rsidRDefault="008F4CB7" w14:paraId="1BE98637" w14:textId="77777777">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hint="default" w:ascii="Arial" w:hAnsi="Aria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6136D2"/>
    <w:multiLevelType w:val="hybridMultilevel"/>
    <w:tmpl w:val="B6BA7184"/>
    <w:lvl w:ilvl="0" w:tplc="240A0001">
      <w:start w:val="1"/>
      <w:numFmt w:val="bullet"/>
      <w:lvlText w:val=""/>
      <w:lvlJc w:val="left"/>
      <w:pPr>
        <w:ind w:left="1429" w:hanging="360"/>
      </w:pPr>
      <w:rPr>
        <w:rFonts w:hint="default" w:ascii="Symbol" w:hAnsi="Symbol"/>
      </w:rPr>
    </w:lvl>
    <w:lvl w:ilvl="1" w:tplc="240A0003" w:tentative="1">
      <w:start w:val="1"/>
      <w:numFmt w:val="bullet"/>
      <w:lvlText w:val="o"/>
      <w:lvlJc w:val="left"/>
      <w:pPr>
        <w:ind w:left="2149" w:hanging="360"/>
      </w:pPr>
      <w:rPr>
        <w:rFonts w:hint="default" w:ascii="Courier New" w:hAnsi="Courier New" w:cs="Courier New"/>
      </w:rPr>
    </w:lvl>
    <w:lvl w:ilvl="2" w:tplc="240A0005" w:tentative="1">
      <w:start w:val="1"/>
      <w:numFmt w:val="bullet"/>
      <w:lvlText w:val=""/>
      <w:lvlJc w:val="left"/>
      <w:pPr>
        <w:ind w:left="2869" w:hanging="360"/>
      </w:pPr>
      <w:rPr>
        <w:rFonts w:hint="default" w:ascii="Wingdings" w:hAnsi="Wingdings"/>
      </w:rPr>
    </w:lvl>
    <w:lvl w:ilvl="3" w:tplc="240A0001" w:tentative="1">
      <w:start w:val="1"/>
      <w:numFmt w:val="bullet"/>
      <w:lvlText w:val=""/>
      <w:lvlJc w:val="left"/>
      <w:pPr>
        <w:ind w:left="3589" w:hanging="360"/>
      </w:pPr>
      <w:rPr>
        <w:rFonts w:hint="default" w:ascii="Symbol" w:hAnsi="Symbol"/>
      </w:rPr>
    </w:lvl>
    <w:lvl w:ilvl="4" w:tplc="240A0003" w:tentative="1">
      <w:start w:val="1"/>
      <w:numFmt w:val="bullet"/>
      <w:lvlText w:val="o"/>
      <w:lvlJc w:val="left"/>
      <w:pPr>
        <w:ind w:left="4309" w:hanging="360"/>
      </w:pPr>
      <w:rPr>
        <w:rFonts w:hint="default" w:ascii="Courier New" w:hAnsi="Courier New" w:cs="Courier New"/>
      </w:rPr>
    </w:lvl>
    <w:lvl w:ilvl="5" w:tplc="240A0005" w:tentative="1">
      <w:start w:val="1"/>
      <w:numFmt w:val="bullet"/>
      <w:lvlText w:val=""/>
      <w:lvlJc w:val="left"/>
      <w:pPr>
        <w:ind w:left="5029" w:hanging="360"/>
      </w:pPr>
      <w:rPr>
        <w:rFonts w:hint="default" w:ascii="Wingdings" w:hAnsi="Wingdings"/>
      </w:rPr>
    </w:lvl>
    <w:lvl w:ilvl="6" w:tplc="240A0001" w:tentative="1">
      <w:start w:val="1"/>
      <w:numFmt w:val="bullet"/>
      <w:lvlText w:val=""/>
      <w:lvlJc w:val="left"/>
      <w:pPr>
        <w:ind w:left="5749" w:hanging="360"/>
      </w:pPr>
      <w:rPr>
        <w:rFonts w:hint="default" w:ascii="Symbol" w:hAnsi="Symbol"/>
      </w:rPr>
    </w:lvl>
    <w:lvl w:ilvl="7" w:tplc="240A0003" w:tentative="1">
      <w:start w:val="1"/>
      <w:numFmt w:val="bullet"/>
      <w:lvlText w:val="o"/>
      <w:lvlJc w:val="left"/>
      <w:pPr>
        <w:ind w:left="6469" w:hanging="360"/>
      </w:pPr>
      <w:rPr>
        <w:rFonts w:hint="default" w:ascii="Courier New" w:hAnsi="Courier New" w:cs="Courier New"/>
      </w:rPr>
    </w:lvl>
    <w:lvl w:ilvl="8" w:tplc="240A0005" w:tentative="1">
      <w:start w:val="1"/>
      <w:numFmt w:val="bullet"/>
      <w:lvlText w:val=""/>
      <w:lvlJc w:val="left"/>
      <w:pPr>
        <w:ind w:left="7189" w:hanging="360"/>
      </w:pPr>
      <w:rPr>
        <w:rFonts w:hint="default" w:ascii="Wingdings" w:hAnsi="Wingdings"/>
      </w:rPr>
    </w:lvl>
  </w:abstractNum>
  <w:abstractNum w:abstractNumId="5" w15:restartNumberingAfterBreak="0">
    <w:nsid w:val="377F3431"/>
    <w:multiLevelType w:val="hybridMultilevel"/>
    <w:tmpl w:val="346A0E58"/>
    <w:lvl w:ilvl="0" w:tplc="240A0001">
      <w:start w:val="1"/>
      <w:numFmt w:val="bullet"/>
      <w:lvlText w:val=""/>
      <w:lvlJc w:val="left"/>
      <w:pPr>
        <w:ind w:left="1490" w:hanging="360"/>
      </w:pPr>
      <w:rPr>
        <w:rFonts w:hint="default" w:ascii="Symbol" w:hAnsi="Symbol"/>
      </w:rPr>
    </w:lvl>
    <w:lvl w:ilvl="1" w:tplc="240A0003" w:tentative="1">
      <w:start w:val="1"/>
      <w:numFmt w:val="bullet"/>
      <w:lvlText w:val="o"/>
      <w:lvlJc w:val="left"/>
      <w:pPr>
        <w:ind w:left="2210" w:hanging="360"/>
      </w:pPr>
      <w:rPr>
        <w:rFonts w:hint="default" w:ascii="Courier New" w:hAnsi="Courier New" w:cs="Courier New"/>
      </w:rPr>
    </w:lvl>
    <w:lvl w:ilvl="2" w:tplc="240A0005" w:tentative="1">
      <w:start w:val="1"/>
      <w:numFmt w:val="bullet"/>
      <w:lvlText w:val=""/>
      <w:lvlJc w:val="left"/>
      <w:pPr>
        <w:ind w:left="2930" w:hanging="360"/>
      </w:pPr>
      <w:rPr>
        <w:rFonts w:hint="default" w:ascii="Wingdings" w:hAnsi="Wingdings"/>
      </w:rPr>
    </w:lvl>
    <w:lvl w:ilvl="3" w:tplc="240A0001" w:tentative="1">
      <w:start w:val="1"/>
      <w:numFmt w:val="bullet"/>
      <w:lvlText w:val=""/>
      <w:lvlJc w:val="left"/>
      <w:pPr>
        <w:ind w:left="3650" w:hanging="360"/>
      </w:pPr>
      <w:rPr>
        <w:rFonts w:hint="default" w:ascii="Symbol" w:hAnsi="Symbol"/>
      </w:rPr>
    </w:lvl>
    <w:lvl w:ilvl="4" w:tplc="240A0003" w:tentative="1">
      <w:start w:val="1"/>
      <w:numFmt w:val="bullet"/>
      <w:lvlText w:val="o"/>
      <w:lvlJc w:val="left"/>
      <w:pPr>
        <w:ind w:left="4370" w:hanging="360"/>
      </w:pPr>
      <w:rPr>
        <w:rFonts w:hint="default" w:ascii="Courier New" w:hAnsi="Courier New" w:cs="Courier New"/>
      </w:rPr>
    </w:lvl>
    <w:lvl w:ilvl="5" w:tplc="240A0005" w:tentative="1">
      <w:start w:val="1"/>
      <w:numFmt w:val="bullet"/>
      <w:lvlText w:val=""/>
      <w:lvlJc w:val="left"/>
      <w:pPr>
        <w:ind w:left="5090" w:hanging="360"/>
      </w:pPr>
      <w:rPr>
        <w:rFonts w:hint="default" w:ascii="Wingdings" w:hAnsi="Wingdings"/>
      </w:rPr>
    </w:lvl>
    <w:lvl w:ilvl="6" w:tplc="240A0001" w:tentative="1">
      <w:start w:val="1"/>
      <w:numFmt w:val="bullet"/>
      <w:lvlText w:val=""/>
      <w:lvlJc w:val="left"/>
      <w:pPr>
        <w:ind w:left="5810" w:hanging="360"/>
      </w:pPr>
      <w:rPr>
        <w:rFonts w:hint="default" w:ascii="Symbol" w:hAnsi="Symbol"/>
      </w:rPr>
    </w:lvl>
    <w:lvl w:ilvl="7" w:tplc="240A0003" w:tentative="1">
      <w:start w:val="1"/>
      <w:numFmt w:val="bullet"/>
      <w:lvlText w:val="o"/>
      <w:lvlJc w:val="left"/>
      <w:pPr>
        <w:ind w:left="6530" w:hanging="360"/>
      </w:pPr>
      <w:rPr>
        <w:rFonts w:hint="default" w:ascii="Courier New" w:hAnsi="Courier New" w:cs="Courier New"/>
      </w:rPr>
    </w:lvl>
    <w:lvl w:ilvl="8" w:tplc="240A0005" w:tentative="1">
      <w:start w:val="1"/>
      <w:numFmt w:val="bullet"/>
      <w:lvlText w:val=""/>
      <w:lvlJc w:val="left"/>
      <w:pPr>
        <w:ind w:left="7250" w:hanging="360"/>
      </w:pPr>
      <w:rPr>
        <w:rFonts w:hint="default" w:ascii="Wingdings" w:hAnsi="Wingdings"/>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E043BB"/>
    <w:multiLevelType w:val="multilevel"/>
    <w:tmpl w:val="9C9A30F4"/>
    <w:lvl w:ilvl="0">
      <w:start w:val="1"/>
      <w:numFmt w:val="decimal"/>
      <w:lvlText w:val="%1."/>
      <w:lvlJc w:val="left"/>
      <w:pPr>
        <w:ind w:left="585" w:hanging="285"/>
        <w:jc w:val="right"/>
      </w:pPr>
      <w:rPr>
        <w:rFonts w:hint="default" w:ascii="Arial" w:hAnsi="Arial" w:eastAsia="Arial" w:cs="Arial"/>
        <w:b/>
        <w:bCs/>
        <w:color w:val="4E4D4D"/>
        <w:spacing w:val="-21"/>
        <w:w w:val="100"/>
        <w:sz w:val="22"/>
        <w:szCs w:val="22"/>
        <w:lang w:val="es-ES" w:eastAsia="en-US" w:bidi="ar-SA"/>
      </w:rPr>
    </w:lvl>
    <w:lvl w:ilvl="1">
      <w:start w:val="1"/>
      <w:numFmt w:val="decimal"/>
      <w:lvlText w:val="%1.%2."/>
      <w:lvlJc w:val="left"/>
      <w:pPr>
        <w:ind w:left="300" w:hanging="470"/>
      </w:pPr>
      <w:rPr>
        <w:rFonts w:hint="default" w:ascii="Arial" w:hAnsi="Arial" w:eastAsia="Arial" w:cs="Arial"/>
        <w:b/>
        <w:bCs/>
        <w:color w:val="4E4D4D"/>
        <w:spacing w:val="-19"/>
        <w:w w:val="100"/>
        <w:sz w:val="22"/>
        <w:szCs w:val="22"/>
        <w:lang w:val="es-ES" w:eastAsia="en-US" w:bidi="ar-SA"/>
      </w:rPr>
    </w:lvl>
    <w:lvl w:ilvl="2">
      <w:start w:val="1"/>
      <w:numFmt w:val="lowerRoman"/>
      <w:lvlText w:val="%3)"/>
      <w:lvlJc w:val="left"/>
      <w:pPr>
        <w:ind w:left="623" w:hanging="198"/>
      </w:pPr>
      <w:rPr>
        <w:rFonts w:hint="default" w:ascii="Arial" w:hAnsi="Arial" w:eastAsia="Arial" w:cs="Arial"/>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8"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1" w15:restartNumberingAfterBreak="0">
    <w:nsid w:val="70C9241D"/>
    <w:multiLevelType w:val="hybrid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2" w15:restartNumberingAfterBreak="0">
    <w:nsid w:val="730D1215"/>
    <w:multiLevelType w:val="hybridMultilevel"/>
    <w:tmpl w:val="AB1022BE"/>
    <w:lvl w:ilvl="0" w:tplc="FD74D86E">
      <w:start w:val="2"/>
      <w:numFmt w:val="bullet"/>
      <w:lvlText w:val="-"/>
      <w:lvlJc w:val="left"/>
      <w:pPr>
        <w:ind w:left="720" w:hanging="360"/>
      </w:pPr>
      <w:rPr>
        <w:rFonts w:hint="default" w:ascii="Arial" w:hAnsi="Arial" w:eastAsia="Calibri" w:cs="Arial"/>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7"/>
  </w:num>
  <w:num w:numId="9">
    <w:abstractNumId w:val="2"/>
  </w:num>
  <w:num w:numId="10">
    <w:abstractNumId w:val="8"/>
  </w:num>
  <w:num w:numId="11">
    <w:abstractNumId w:val="12"/>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7FF7"/>
    <w:rsid w:val="00010D30"/>
    <w:rsid w:val="000205D6"/>
    <w:rsid w:val="000207A0"/>
    <w:rsid w:val="0002170C"/>
    <w:rsid w:val="00021928"/>
    <w:rsid w:val="0002648F"/>
    <w:rsid w:val="00027B72"/>
    <w:rsid w:val="0003091B"/>
    <w:rsid w:val="000333A2"/>
    <w:rsid w:val="00040C88"/>
    <w:rsid w:val="00040D6E"/>
    <w:rsid w:val="00042C0C"/>
    <w:rsid w:val="00044B5E"/>
    <w:rsid w:val="00044FF2"/>
    <w:rsid w:val="00045260"/>
    <w:rsid w:val="00046607"/>
    <w:rsid w:val="00050553"/>
    <w:rsid w:val="000514D4"/>
    <w:rsid w:val="00055688"/>
    <w:rsid w:val="00060575"/>
    <w:rsid w:val="00061E92"/>
    <w:rsid w:val="00061EE4"/>
    <w:rsid w:val="00062291"/>
    <w:rsid w:val="00062B0D"/>
    <w:rsid w:val="0006519B"/>
    <w:rsid w:val="00065B7C"/>
    <w:rsid w:val="00066EDE"/>
    <w:rsid w:val="0007043C"/>
    <w:rsid w:val="000707A0"/>
    <w:rsid w:val="000727F8"/>
    <w:rsid w:val="000757F8"/>
    <w:rsid w:val="0007790D"/>
    <w:rsid w:val="00082589"/>
    <w:rsid w:val="00086A16"/>
    <w:rsid w:val="00086C02"/>
    <w:rsid w:val="00090D92"/>
    <w:rsid w:val="00093069"/>
    <w:rsid w:val="00094F86"/>
    <w:rsid w:val="00097117"/>
    <w:rsid w:val="00097CD6"/>
    <w:rsid w:val="000A12B4"/>
    <w:rsid w:val="000A1DBA"/>
    <w:rsid w:val="000A4B04"/>
    <w:rsid w:val="000A6338"/>
    <w:rsid w:val="000A7A2D"/>
    <w:rsid w:val="000B09B5"/>
    <w:rsid w:val="000B4552"/>
    <w:rsid w:val="000B4C69"/>
    <w:rsid w:val="000B4E6D"/>
    <w:rsid w:val="000C0E39"/>
    <w:rsid w:val="000C67EA"/>
    <w:rsid w:val="000C6EA4"/>
    <w:rsid w:val="000D088F"/>
    <w:rsid w:val="000D2220"/>
    <w:rsid w:val="000D2FE0"/>
    <w:rsid w:val="000D3508"/>
    <w:rsid w:val="000D392A"/>
    <w:rsid w:val="000D5464"/>
    <w:rsid w:val="000D5552"/>
    <w:rsid w:val="000D62E8"/>
    <w:rsid w:val="000D7BBD"/>
    <w:rsid w:val="000E4A3C"/>
    <w:rsid w:val="000E59E0"/>
    <w:rsid w:val="000E6867"/>
    <w:rsid w:val="000E7F3A"/>
    <w:rsid w:val="000F4E2A"/>
    <w:rsid w:val="000F5F52"/>
    <w:rsid w:val="00103CB5"/>
    <w:rsid w:val="001056C0"/>
    <w:rsid w:val="00107607"/>
    <w:rsid w:val="001120C8"/>
    <w:rsid w:val="00112597"/>
    <w:rsid w:val="00113AD4"/>
    <w:rsid w:val="00116557"/>
    <w:rsid w:val="00117289"/>
    <w:rsid w:val="0012089B"/>
    <w:rsid w:val="001236B9"/>
    <w:rsid w:val="00124252"/>
    <w:rsid w:val="00127B2C"/>
    <w:rsid w:val="00131937"/>
    <w:rsid w:val="001321AB"/>
    <w:rsid w:val="00133D22"/>
    <w:rsid w:val="00135571"/>
    <w:rsid w:val="00135E98"/>
    <w:rsid w:val="00137B0D"/>
    <w:rsid w:val="00137DDF"/>
    <w:rsid w:val="00140E57"/>
    <w:rsid w:val="00141330"/>
    <w:rsid w:val="00141C64"/>
    <w:rsid w:val="0014462B"/>
    <w:rsid w:val="0014628D"/>
    <w:rsid w:val="00147E4A"/>
    <w:rsid w:val="00151D10"/>
    <w:rsid w:val="001556C8"/>
    <w:rsid w:val="001567E7"/>
    <w:rsid w:val="001573A6"/>
    <w:rsid w:val="00160687"/>
    <w:rsid w:val="00160AB9"/>
    <w:rsid w:val="0016251D"/>
    <w:rsid w:val="00164E79"/>
    <w:rsid w:val="00166272"/>
    <w:rsid w:val="00173047"/>
    <w:rsid w:val="00173342"/>
    <w:rsid w:val="0017558C"/>
    <w:rsid w:val="0017603D"/>
    <w:rsid w:val="00177397"/>
    <w:rsid w:val="00180881"/>
    <w:rsid w:val="00180AD1"/>
    <w:rsid w:val="001810AD"/>
    <w:rsid w:val="0018144F"/>
    <w:rsid w:val="00181A3E"/>
    <w:rsid w:val="00182BF2"/>
    <w:rsid w:val="001848A7"/>
    <w:rsid w:val="001901E3"/>
    <w:rsid w:val="00190B79"/>
    <w:rsid w:val="00190F26"/>
    <w:rsid w:val="00192084"/>
    <w:rsid w:val="0019433A"/>
    <w:rsid w:val="00194C50"/>
    <w:rsid w:val="001A0536"/>
    <w:rsid w:val="001A6A98"/>
    <w:rsid w:val="001B13DF"/>
    <w:rsid w:val="001B2E5D"/>
    <w:rsid w:val="001B2EA2"/>
    <w:rsid w:val="001B329B"/>
    <w:rsid w:val="001B367C"/>
    <w:rsid w:val="001B5D63"/>
    <w:rsid w:val="001B6C66"/>
    <w:rsid w:val="001C4850"/>
    <w:rsid w:val="001C507E"/>
    <w:rsid w:val="001C628A"/>
    <w:rsid w:val="001D21C7"/>
    <w:rsid w:val="001E4AEB"/>
    <w:rsid w:val="001E5DBB"/>
    <w:rsid w:val="001F1051"/>
    <w:rsid w:val="001F3010"/>
    <w:rsid w:val="001F34A8"/>
    <w:rsid w:val="001F4CFB"/>
    <w:rsid w:val="001F7297"/>
    <w:rsid w:val="00200410"/>
    <w:rsid w:val="002034AD"/>
    <w:rsid w:val="002044D6"/>
    <w:rsid w:val="00212C92"/>
    <w:rsid w:val="00213B48"/>
    <w:rsid w:val="002166C0"/>
    <w:rsid w:val="00220F87"/>
    <w:rsid w:val="002218CE"/>
    <w:rsid w:val="00222032"/>
    <w:rsid w:val="002239B4"/>
    <w:rsid w:val="00225C5F"/>
    <w:rsid w:val="0022710F"/>
    <w:rsid w:val="00227257"/>
    <w:rsid w:val="00230B24"/>
    <w:rsid w:val="0023180C"/>
    <w:rsid w:val="002321B7"/>
    <w:rsid w:val="0023225E"/>
    <w:rsid w:val="00233B2D"/>
    <w:rsid w:val="00234C6C"/>
    <w:rsid w:val="00236264"/>
    <w:rsid w:val="0023774F"/>
    <w:rsid w:val="00247D11"/>
    <w:rsid w:val="002511E0"/>
    <w:rsid w:val="0025163D"/>
    <w:rsid w:val="002516D4"/>
    <w:rsid w:val="002551A3"/>
    <w:rsid w:val="00265031"/>
    <w:rsid w:val="00265270"/>
    <w:rsid w:val="00266277"/>
    <w:rsid w:val="00272F63"/>
    <w:rsid w:val="0027329E"/>
    <w:rsid w:val="00273B05"/>
    <w:rsid w:val="00274370"/>
    <w:rsid w:val="00280A81"/>
    <w:rsid w:val="00281E4E"/>
    <w:rsid w:val="002830EE"/>
    <w:rsid w:val="00284C12"/>
    <w:rsid w:val="00286834"/>
    <w:rsid w:val="002928EE"/>
    <w:rsid w:val="002959FA"/>
    <w:rsid w:val="00296330"/>
    <w:rsid w:val="002972F3"/>
    <w:rsid w:val="002A365B"/>
    <w:rsid w:val="002A4002"/>
    <w:rsid w:val="002A4BCA"/>
    <w:rsid w:val="002A517F"/>
    <w:rsid w:val="002B27BC"/>
    <w:rsid w:val="002B282F"/>
    <w:rsid w:val="002B4B30"/>
    <w:rsid w:val="002C0AFD"/>
    <w:rsid w:val="002C1261"/>
    <w:rsid w:val="002C1A1A"/>
    <w:rsid w:val="002C7D43"/>
    <w:rsid w:val="002D1738"/>
    <w:rsid w:val="002D1A52"/>
    <w:rsid w:val="002D28E0"/>
    <w:rsid w:val="002D7E44"/>
    <w:rsid w:val="002E09BE"/>
    <w:rsid w:val="002E5CE0"/>
    <w:rsid w:val="002E6804"/>
    <w:rsid w:val="002E7390"/>
    <w:rsid w:val="002E79B6"/>
    <w:rsid w:val="002E7BC2"/>
    <w:rsid w:val="002F3529"/>
    <w:rsid w:val="002F5479"/>
    <w:rsid w:val="002F63BB"/>
    <w:rsid w:val="002F701E"/>
    <w:rsid w:val="002F76C8"/>
    <w:rsid w:val="00302F9F"/>
    <w:rsid w:val="00304386"/>
    <w:rsid w:val="003051E7"/>
    <w:rsid w:val="003067AC"/>
    <w:rsid w:val="003141AC"/>
    <w:rsid w:val="00314F61"/>
    <w:rsid w:val="003163C5"/>
    <w:rsid w:val="003174DA"/>
    <w:rsid w:val="00325E03"/>
    <w:rsid w:val="003401FE"/>
    <w:rsid w:val="00340A7A"/>
    <w:rsid w:val="00346D80"/>
    <w:rsid w:val="00346F88"/>
    <w:rsid w:val="00346F8E"/>
    <w:rsid w:val="00351536"/>
    <w:rsid w:val="00360470"/>
    <w:rsid w:val="00360F9A"/>
    <w:rsid w:val="00363F23"/>
    <w:rsid w:val="00371192"/>
    <w:rsid w:val="00374AE5"/>
    <w:rsid w:val="003750DA"/>
    <w:rsid w:val="00384629"/>
    <w:rsid w:val="00384DA4"/>
    <w:rsid w:val="00385513"/>
    <w:rsid w:val="00386679"/>
    <w:rsid w:val="00387E9E"/>
    <w:rsid w:val="00390DCF"/>
    <w:rsid w:val="00393B92"/>
    <w:rsid w:val="00397FF3"/>
    <w:rsid w:val="003A00C3"/>
    <w:rsid w:val="003A00DA"/>
    <w:rsid w:val="003A0C33"/>
    <w:rsid w:val="003A0F48"/>
    <w:rsid w:val="003A2944"/>
    <w:rsid w:val="003A3731"/>
    <w:rsid w:val="003A5B09"/>
    <w:rsid w:val="003A633B"/>
    <w:rsid w:val="003B0DEF"/>
    <w:rsid w:val="003B604C"/>
    <w:rsid w:val="003C0237"/>
    <w:rsid w:val="003C200C"/>
    <w:rsid w:val="003C2074"/>
    <w:rsid w:val="003C3ADB"/>
    <w:rsid w:val="003C5E88"/>
    <w:rsid w:val="003D11B5"/>
    <w:rsid w:val="003D134C"/>
    <w:rsid w:val="003D69A5"/>
    <w:rsid w:val="003D6D9F"/>
    <w:rsid w:val="003E0079"/>
    <w:rsid w:val="003E09D5"/>
    <w:rsid w:val="003E14F9"/>
    <w:rsid w:val="003F045D"/>
    <w:rsid w:val="003F3119"/>
    <w:rsid w:val="003F3C60"/>
    <w:rsid w:val="003F4D44"/>
    <w:rsid w:val="003F6D32"/>
    <w:rsid w:val="00405714"/>
    <w:rsid w:val="00405F92"/>
    <w:rsid w:val="0040662C"/>
    <w:rsid w:val="00406B09"/>
    <w:rsid w:val="00421B11"/>
    <w:rsid w:val="004265FC"/>
    <w:rsid w:val="00430B5A"/>
    <w:rsid w:val="00431328"/>
    <w:rsid w:val="00433B17"/>
    <w:rsid w:val="0043588C"/>
    <w:rsid w:val="004377A2"/>
    <w:rsid w:val="00437A8B"/>
    <w:rsid w:val="00440B11"/>
    <w:rsid w:val="0044207D"/>
    <w:rsid w:val="00443937"/>
    <w:rsid w:val="00445988"/>
    <w:rsid w:val="00447FE5"/>
    <w:rsid w:val="00450614"/>
    <w:rsid w:val="0045082C"/>
    <w:rsid w:val="00450B83"/>
    <w:rsid w:val="00452A6A"/>
    <w:rsid w:val="004535E3"/>
    <w:rsid w:val="00456CED"/>
    <w:rsid w:val="004617B8"/>
    <w:rsid w:val="00463121"/>
    <w:rsid w:val="0046504E"/>
    <w:rsid w:val="004655A9"/>
    <w:rsid w:val="00467C8E"/>
    <w:rsid w:val="004718BF"/>
    <w:rsid w:val="004758FE"/>
    <w:rsid w:val="00481DE3"/>
    <w:rsid w:val="004830C8"/>
    <w:rsid w:val="004837AB"/>
    <w:rsid w:val="00483A2F"/>
    <w:rsid w:val="00483C0A"/>
    <w:rsid w:val="00487ADF"/>
    <w:rsid w:val="00490DBF"/>
    <w:rsid w:val="00494F12"/>
    <w:rsid w:val="00497571"/>
    <w:rsid w:val="004A13B5"/>
    <w:rsid w:val="004A46B5"/>
    <w:rsid w:val="004A5382"/>
    <w:rsid w:val="004A6E34"/>
    <w:rsid w:val="004A6EE1"/>
    <w:rsid w:val="004B1BEE"/>
    <w:rsid w:val="004B22E7"/>
    <w:rsid w:val="004B2AB8"/>
    <w:rsid w:val="004B51F8"/>
    <w:rsid w:val="004B6AD7"/>
    <w:rsid w:val="004C1BA6"/>
    <w:rsid w:val="004C2319"/>
    <w:rsid w:val="004C26FB"/>
    <w:rsid w:val="004C3D5C"/>
    <w:rsid w:val="004D04EB"/>
    <w:rsid w:val="004D0DA3"/>
    <w:rsid w:val="004D3C91"/>
    <w:rsid w:val="004D770C"/>
    <w:rsid w:val="004E0A28"/>
    <w:rsid w:val="004E3243"/>
    <w:rsid w:val="004E370E"/>
    <w:rsid w:val="004E402A"/>
    <w:rsid w:val="004E5D3D"/>
    <w:rsid w:val="004F006C"/>
    <w:rsid w:val="004F0A29"/>
    <w:rsid w:val="004F3D32"/>
    <w:rsid w:val="004F407C"/>
    <w:rsid w:val="004F4387"/>
    <w:rsid w:val="004F7059"/>
    <w:rsid w:val="004F7A45"/>
    <w:rsid w:val="004F7F85"/>
    <w:rsid w:val="005015C9"/>
    <w:rsid w:val="00501FCD"/>
    <w:rsid w:val="005029C2"/>
    <w:rsid w:val="00502A41"/>
    <w:rsid w:val="00506B56"/>
    <w:rsid w:val="00510BF5"/>
    <w:rsid w:val="0051467B"/>
    <w:rsid w:val="00515265"/>
    <w:rsid w:val="00516050"/>
    <w:rsid w:val="00517E74"/>
    <w:rsid w:val="00521BA7"/>
    <w:rsid w:val="005220DE"/>
    <w:rsid w:val="00525051"/>
    <w:rsid w:val="005252E2"/>
    <w:rsid w:val="00526D27"/>
    <w:rsid w:val="00530EAD"/>
    <w:rsid w:val="00533B6D"/>
    <w:rsid w:val="00534AE0"/>
    <w:rsid w:val="005409D3"/>
    <w:rsid w:val="00541B55"/>
    <w:rsid w:val="0054577D"/>
    <w:rsid w:val="00546BE0"/>
    <w:rsid w:val="00550AF5"/>
    <w:rsid w:val="005511D5"/>
    <w:rsid w:val="00551564"/>
    <w:rsid w:val="0055234C"/>
    <w:rsid w:val="0055390E"/>
    <w:rsid w:val="005548C5"/>
    <w:rsid w:val="00554E71"/>
    <w:rsid w:val="00560F5F"/>
    <w:rsid w:val="00561350"/>
    <w:rsid w:val="00563E22"/>
    <w:rsid w:val="005649BA"/>
    <w:rsid w:val="0056768C"/>
    <w:rsid w:val="00575DC6"/>
    <w:rsid w:val="00580859"/>
    <w:rsid w:val="0058233D"/>
    <w:rsid w:val="0058306B"/>
    <w:rsid w:val="00585FB5"/>
    <w:rsid w:val="005862F8"/>
    <w:rsid w:val="005875EC"/>
    <w:rsid w:val="00591586"/>
    <w:rsid w:val="005940B2"/>
    <w:rsid w:val="005956A1"/>
    <w:rsid w:val="005A0936"/>
    <w:rsid w:val="005A1143"/>
    <w:rsid w:val="005A14BC"/>
    <w:rsid w:val="005A2054"/>
    <w:rsid w:val="005A3EDE"/>
    <w:rsid w:val="005A4C16"/>
    <w:rsid w:val="005A70C4"/>
    <w:rsid w:val="005B3F0E"/>
    <w:rsid w:val="005B4DB4"/>
    <w:rsid w:val="005B6484"/>
    <w:rsid w:val="005B6F36"/>
    <w:rsid w:val="005B753D"/>
    <w:rsid w:val="005C214C"/>
    <w:rsid w:val="005C298B"/>
    <w:rsid w:val="005C29D9"/>
    <w:rsid w:val="005D3438"/>
    <w:rsid w:val="005D3442"/>
    <w:rsid w:val="005D426A"/>
    <w:rsid w:val="005D4B7E"/>
    <w:rsid w:val="005E7551"/>
    <w:rsid w:val="005F1007"/>
    <w:rsid w:val="005F2CEC"/>
    <w:rsid w:val="005F5D19"/>
    <w:rsid w:val="005F6CBF"/>
    <w:rsid w:val="00602DD2"/>
    <w:rsid w:val="00605672"/>
    <w:rsid w:val="00605A02"/>
    <w:rsid w:val="00606103"/>
    <w:rsid w:val="006062E0"/>
    <w:rsid w:val="00606FE0"/>
    <w:rsid w:val="0061332C"/>
    <w:rsid w:val="006135E6"/>
    <w:rsid w:val="00615659"/>
    <w:rsid w:val="00616FE1"/>
    <w:rsid w:val="00617345"/>
    <w:rsid w:val="00617DF2"/>
    <w:rsid w:val="00621810"/>
    <w:rsid w:val="00624F67"/>
    <w:rsid w:val="00625892"/>
    <w:rsid w:val="00632EA5"/>
    <w:rsid w:val="006338EF"/>
    <w:rsid w:val="00641087"/>
    <w:rsid w:val="00642D69"/>
    <w:rsid w:val="00643E6E"/>
    <w:rsid w:val="00645447"/>
    <w:rsid w:val="00651D32"/>
    <w:rsid w:val="006550F8"/>
    <w:rsid w:val="00656926"/>
    <w:rsid w:val="0065701C"/>
    <w:rsid w:val="006606E6"/>
    <w:rsid w:val="00660BC7"/>
    <w:rsid w:val="00661CE0"/>
    <w:rsid w:val="00662792"/>
    <w:rsid w:val="0066469A"/>
    <w:rsid w:val="00666ED7"/>
    <w:rsid w:val="0067152F"/>
    <w:rsid w:val="00671A31"/>
    <w:rsid w:val="00672F75"/>
    <w:rsid w:val="006734CA"/>
    <w:rsid w:val="006744F1"/>
    <w:rsid w:val="0067459C"/>
    <w:rsid w:val="006818B6"/>
    <w:rsid w:val="006824B8"/>
    <w:rsid w:val="006834EE"/>
    <w:rsid w:val="00683BD5"/>
    <w:rsid w:val="00693348"/>
    <w:rsid w:val="006A1142"/>
    <w:rsid w:val="006A602E"/>
    <w:rsid w:val="006A7743"/>
    <w:rsid w:val="006A7C71"/>
    <w:rsid w:val="006B0B79"/>
    <w:rsid w:val="006B6339"/>
    <w:rsid w:val="006B6C6A"/>
    <w:rsid w:val="006C1567"/>
    <w:rsid w:val="006C15D5"/>
    <w:rsid w:val="006C234F"/>
    <w:rsid w:val="006C386E"/>
    <w:rsid w:val="006C3D0C"/>
    <w:rsid w:val="006C3FBC"/>
    <w:rsid w:val="006C5955"/>
    <w:rsid w:val="006D31E1"/>
    <w:rsid w:val="006D343E"/>
    <w:rsid w:val="006D359C"/>
    <w:rsid w:val="006D519D"/>
    <w:rsid w:val="006D6227"/>
    <w:rsid w:val="006D6FD9"/>
    <w:rsid w:val="006E1202"/>
    <w:rsid w:val="006E2710"/>
    <w:rsid w:val="006E63F1"/>
    <w:rsid w:val="006E7542"/>
    <w:rsid w:val="006F1FD7"/>
    <w:rsid w:val="006F29E0"/>
    <w:rsid w:val="006F39D0"/>
    <w:rsid w:val="006F5F92"/>
    <w:rsid w:val="006F6897"/>
    <w:rsid w:val="006F7484"/>
    <w:rsid w:val="006F7746"/>
    <w:rsid w:val="007040FA"/>
    <w:rsid w:val="007071B1"/>
    <w:rsid w:val="00711157"/>
    <w:rsid w:val="00714529"/>
    <w:rsid w:val="00714E2B"/>
    <w:rsid w:val="00715B7E"/>
    <w:rsid w:val="00720D29"/>
    <w:rsid w:val="00727DD4"/>
    <w:rsid w:val="00730CDB"/>
    <w:rsid w:val="00731B46"/>
    <w:rsid w:val="00736C89"/>
    <w:rsid w:val="007413C5"/>
    <w:rsid w:val="00745744"/>
    <w:rsid w:val="007462F1"/>
    <w:rsid w:val="0075032A"/>
    <w:rsid w:val="00752233"/>
    <w:rsid w:val="007708B1"/>
    <w:rsid w:val="00770D7D"/>
    <w:rsid w:val="00772497"/>
    <w:rsid w:val="007756D5"/>
    <w:rsid w:val="00776241"/>
    <w:rsid w:val="00776CA9"/>
    <w:rsid w:val="00776F45"/>
    <w:rsid w:val="00784474"/>
    <w:rsid w:val="00787F0A"/>
    <w:rsid w:val="00791377"/>
    <w:rsid w:val="007917E6"/>
    <w:rsid w:val="007928D4"/>
    <w:rsid w:val="00792B9C"/>
    <w:rsid w:val="00794A80"/>
    <w:rsid w:val="00795512"/>
    <w:rsid w:val="007966C5"/>
    <w:rsid w:val="007A3D14"/>
    <w:rsid w:val="007A4F15"/>
    <w:rsid w:val="007A5340"/>
    <w:rsid w:val="007B5FA8"/>
    <w:rsid w:val="007B6C2E"/>
    <w:rsid w:val="007B6FDF"/>
    <w:rsid w:val="007C0C73"/>
    <w:rsid w:val="007C7892"/>
    <w:rsid w:val="007D01AC"/>
    <w:rsid w:val="007D03DD"/>
    <w:rsid w:val="007D0C7B"/>
    <w:rsid w:val="007D27F3"/>
    <w:rsid w:val="007D339F"/>
    <w:rsid w:val="007D4C7B"/>
    <w:rsid w:val="007D62C7"/>
    <w:rsid w:val="007E10EB"/>
    <w:rsid w:val="007E1611"/>
    <w:rsid w:val="007E4719"/>
    <w:rsid w:val="007E4B98"/>
    <w:rsid w:val="007E6A15"/>
    <w:rsid w:val="007E6A27"/>
    <w:rsid w:val="007F6AA7"/>
    <w:rsid w:val="007F7AC6"/>
    <w:rsid w:val="00803061"/>
    <w:rsid w:val="00807EEE"/>
    <w:rsid w:val="0081087D"/>
    <w:rsid w:val="00810F65"/>
    <w:rsid w:val="008135F4"/>
    <w:rsid w:val="00813893"/>
    <w:rsid w:val="008149E7"/>
    <w:rsid w:val="00815AF9"/>
    <w:rsid w:val="008218D6"/>
    <w:rsid w:val="0082266E"/>
    <w:rsid w:val="008234E2"/>
    <w:rsid w:val="00824361"/>
    <w:rsid w:val="008327EE"/>
    <w:rsid w:val="0083350D"/>
    <w:rsid w:val="00834968"/>
    <w:rsid w:val="008351E8"/>
    <w:rsid w:val="00835417"/>
    <w:rsid w:val="00842E74"/>
    <w:rsid w:val="0084355F"/>
    <w:rsid w:val="0084374B"/>
    <w:rsid w:val="00843BE5"/>
    <w:rsid w:val="00846C40"/>
    <w:rsid w:val="0084777B"/>
    <w:rsid w:val="0085037B"/>
    <w:rsid w:val="00856B64"/>
    <w:rsid w:val="00857DEF"/>
    <w:rsid w:val="008602F0"/>
    <w:rsid w:val="00861F13"/>
    <w:rsid w:val="00862C81"/>
    <w:rsid w:val="00863DD9"/>
    <w:rsid w:val="00866446"/>
    <w:rsid w:val="0086741B"/>
    <w:rsid w:val="00870BDD"/>
    <w:rsid w:val="00872B8E"/>
    <w:rsid w:val="008771C4"/>
    <w:rsid w:val="00880204"/>
    <w:rsid w:val="008840CA"/>
    <w:rsid w:val="0088606D"/>
    <w:rsid w:val="00886F29"/>
    <w:rsid w:val="00887F70"/>
    <w:rsid w:val="0089027D"/>
    <w:rsid w:val="00892517"/>
    <w:rsid w:val="008927FE"/>
    <w:rsid w:val="00892A25"/>
    <w:rsid w:val="00897DAB"/>
    <w:rsid w:val="008A0633"/>
    <w:rsid w:val="008A06F9"/>
    <w:rsid w:val="008A1724"/>
    <w:rsid w:val="008A3386"/>
    <w:rsid w:val="008A37D8"/>
    <w:rsid w:val="008A53F2"/>
    <w:rsid w:val="008B09B1"/>
    <w:rsid w:val="008B09D2"/>
    <w:rsid w:val="008C1CE8"/>
    <w:rsid w:val="008C24B6"/>
    <w:rsid w:val="008C3987"/>
    <w:rsid w:val="008C3E5B"/>
    <w:rsid w:val="008C487C"/>
    <w:rsid w:val="008C4C28"/>
    <w:rsid w:val="008C5224"/>
    <w:rsid w:val="008D07ED"/>
    <w:rsid w:val="008D0BF9"/>
    <w:rsid w:val="008D2CBA"/>
    <w:rsid w:val="008D40D6"/>
    <w:rsid w:val="008D4381"/>
    <w:rsid w:val="008E07DF"/>
    <w:rsid w:val="008E0FCC"/>
    <w:rsid w:val="008E1969"/>
    <w:rsid w:val="008E27EC"/>
    <w:rsid w:val="008E2FE3"/>
    <w:rsid w:val="008E5F34"/>
    <w:rsid w:val="008F0FBE"/>
    <w:rsid w:val="008F2267"/>
    <w:rsid w:val="008F3EE2"/>
    <w:rsid w:val="008F465E"/>
    <w:rsid w:val="008F4CB7"/>
    <w:rsid w:val="008F4FBB"/>
    <w:rsid w:val="008F5D30"/>
    <w:rsid w:val="008F6B23"/>
    <w:rsid w:val="0091063F"/>
    <w:rsid w:val="00910B3C"/>
    <w:rsid w:val="00911243"/>
    <w:rsid w:val="0091226B"/>
    <w:rsid w:val="00912414"/>
    <w:rsid w:val="00912EA2"/>
    <w:rsid w:val="009161B8"/>
    <w:rsid w:val="0091627F"/>
    <w:rsid w:val="00916488"/>
    <w:rsid w:val="00916D06"/>
    <w:rsid w:val="009223EA"/>
    <w:rsid w:val="009231E0"/>
    <w:rsid w:val="00924365"/>
    <w:rsid w:val="00926E16"/>
    <w:rsid w:val="009270B9"/>
    <w:rsid w:val="00931A6D"/>
    <w:rsid w:val="00933EF5"/>
    <w:rsid w:val="00935BE4"/>
    <w:rsid w:val="00935F01"/>
    <w:rsid w:val="0094508D"/>
    <w:rsid w:val="009506A7"/>
    <w:rsid w:val="009549DD"/>
    <w:rsid w:val="0095686F"/>
    <w:rsid w:val="00960CAB"/>
    <w:rsid w:val="00962D6C"/>
    <w:rsid w:val="0096333C"/>
    <w:rsid w:val="009655F6"/>
    <w:rsid w:val="00965D9D"/>
    <w:rsid w:val="00967230"/>
    <w:rsid w:val="00967B56"/>
    <w:rsid w:val="00972C13"/>
    <w:rsid w:val="00974EE3"/>
    <w:rsid w:val="00976F3B"/>
    <w:rsid w:val="00980729"/>
    <w:rsid w:val="009812D7"/>
    <w:rsid w:val="0098135B"/>
    <w:rsid w:val="00982E99"/>
    <w:rsid w:val="0098491A"/>
    <w:rsid w:val="00984FE6"/>
    <w:rsid w:val="0099267F"/>
    <w:rsid w:val="00993BFE"/>
    <w:rsid w:val="00993CE0"/>
    <w:rsid w:val="00995931"/>
    <w:rsid w:val="009963CB"/>
    <w:rsid w:val="00997A38"/>
    <w:rsid w:val="00997BFA"/>
    <w:rsid w:val="009A3D14"/>
    <w:rsid w:val="009A5714"/>
    <w:rsid w:val="009A5A15"/>
    <w:rsid w:val="009A5DA7"/>
    <w:rsid w:val="009A764B"/>
    <w:rsid w:val="009B0FED"/>
    <w:rsid w:val="009B1AEC"/>
    <w:rsid w:val="009B1BCD"/>
    <w:rsid w:val="009B2845"/>
    <w:rsid w:val="009C0FAC"/>
    <w:rsid w:val="009C59BA"/>
    <w:rsid w:val="009C6F56"/>
    <w:rsid w:val="009D1D57"/>
    <w:rsid w:val="009D1DE1"/>
    <w:rsid w:val="009D266A"/>
    <w:rsid w:val="009D39BD"/>
    <w:rsid w:val="009D6FEF"/>
    <w:rsid w:val="009E14F0"/>
    <w:rsid w:val="009E2544"/>
    <w:rsid w:val="009E2770"/>
    <w:rsid w:val="009E2D72"/>
    <w:rsid w:val="009E41C2"/>
    <w:rsid w:val="009E4A43"/>
    <w:rsid w:val="009E6C5F"/>
    <w:rsid w:val="009F2261"/>
    <w:rsid w:val="009F3537"/>
    <w:rsid w:val="00A12450"/>
    <w:rsid w:val="00A13C4B"/>
    <w:rsid w:val="00A25657"/>
    <w:rsid w:val="00A27907"/>
    <w:rsid w:val="00A31880"/>
    <w:rsid w:val="00A329B6"/>
    <w:rsid w:val="00A32C19"/>
    <w:rsid w:val="00A32FFB"/>
    <w:rsid w:val="00A367A1"/>
    <w:rsid w:val="00A37CBD"/>
    <w:rsid w:val="00A415D2"/>
    <w:rsid w:val="00A4372E"/>
    <w:rsid w:val="00A460BA"/>
    <w:rsid w:val="00A47EC1"/>
    <w:rsid w:val="00A510F6"/>
    <w:rsid w:val="00A53684"/>
    <w:rsid w:val="00A54F89"/>
    <w:rsid w:val="00A645A9"/>
    <w:rsid w:val="00A651C9"/>
    <w:rsid w:val="00A657F1"/>
    <w:rsid w:val="00A6700F"/>
    <w:rsid w:val="00A70F57"/>
    <w:rsid w:val="00A733E0"/>
    <w:rsid w:val="00A758DC"/>
    <w:rsid w:val="00A75B4C"/>
    <w:rsid w:val="00A762A2"/>
    <w:rsid w:val="00A76331"/>
    <w:rsid w:val="00A765EA"/>
    <w:rsid w:val="00A80739"/>
    <w:rsid w:val="00A83829"/>
    <w:rsid w:val="00A85AFF"/>
    <w:rsid w:val="00A95100"/>
    <w:rsid w:val="00AA2A39"/>
    <w:rsid w:val="00AA56AC"/>
    <w:rsid w:val="00AA615B"/>
    <w:rsid w:val="00AA6B2A"/>
    <w:rsid w:val="00AA7209"/>
    <w:rsid w:val="00AA787E"/>
    <w:rsid w:val="00AB0DED"/>
    <w:rsid w:val="00AB254D"/>
    <w:rsid w:val="00AB5F84"/>
    <w:rsid w:val="00AC09DC"/>
    <w:rsid w:val="00AC0C81"/>
    <w:rsid w:val="00AC26C9"/>
    <w:rsid w:val="00AC5FE7"/>
    <w:rsid w:val="00AD21C2"/>
    <w:rsid w:val="00AD5FA4"/>
    <w:rsid w:val="00AD7725"/>
    <w:rsid w:val="00AE13A1"/>
    <w:rsid w:val="00AE194E"/>
    <w:rsid w:val="00AE1CAD"/>
    <w:rsid w:val="00AE355C"/>
    <w:rsid w:val="00AE5275"/>
    <w:rsid w:val="00AE6142"/>
    <w:rsid w:val="00AE668A"/>
    <w:rsid w:val="00AE6858"/>
    <w:rsid w:val="00AF185A"/>
    <w:rsid w:val="00AF2203"/>
    <w:rsid w:val="00AF4523"/>
    <w:rsid w:val="00AF5C62"/>
    <w:rsid w:val="00AF6D01"/>
    <w:rsid w:val="00AF7270"/>
    <w:rsid w:val="00AF7DE1"/>
    <w:rsid w:val="00AF7F8A"/>
    <w:rsid w:val="00B00B72"/>
    <w:rsid w:val="00B0135B"/>
    <w:rsid w:val="00B025DC"/>
    <w:rsid w:val="00B1005D"/>
    <w:rsid w:val="00B100E5"/>
    <w:rsid w:val="00B139DC"/>
    <w:rsid w:val="00B17BC5"/>
    <w:rsid w:val="00B2158C"/>
    <w:rsid w:val="00B21DA5"/>
    <w:rsid w:val="00B2365C"/>
    <w:rsid w:val="00B24E57"/>
    <w:rsid w:val="00B2594C"/>
    <w:rsid w:val="00B259A3"/>
    <w:rsid w:val="00B26E57"/>
    <w:rsid w:val="00B30582"/>
    <w:rsid w:val="00B30D96"/>
    <w:rsid w:val="00B33648"/>
    <w:rsid w:val="00B35792"/>
    <w:rsid w:val="00B40038"/>
    <w:rsid w:val="00B40127"/>
    <w:rsid w:val="00B406AA"/>
    <w:rsid w:val="00B40E44"/>
    <w:rsid w:val="00B411C7"/>
    <w:rsid w:val="00B43CD5"/>
    <w:rsid w:val="00B44EB3"/>
    <w:rsid w:val="00B459BB"/>
    <w:rsid w:val="00B4646D"/>
    <w:rsid w:val="00B46660"/>
    <w:rsid w:val="00B47CBC"/>
    <w:rsid w:val="00B502EC"/>
    <w:rsid w:val="00B506DA"/>
    <w:rsid w:val="00B5123E"/>
    <w:rsid w:val="00B522C4"/>
    <w:rsid w:val="00B52B0E"/>
    <w:rsid w:val="00B5337D"/>
    <w:rsid w:val="00B56215"/>
    <w:rsid w:val="00B62DD9"/>
    <w:rsid w:val="00B63A7D"/>
    <w:rsid w:val="00B65290"/>
    <w:rsid w:val="00B67C63"/>
    <w:rsid w:val="00B70E26"/>
    <w:rsid w:val="00B718F1"/>
    <w:rsid w:val="00B71D17"/>
    <w:rsid w:val="00B77186"/>
    <w:rsid w:val="00B771D4"/>
    <w:rsid w:val="00B77C40"/>
    <w:rsid w:val="00B81CA8"/>
    <w:rsid w:val="00B81F75"/>
    <w:rsid w:val="00B84BE3"/>
    <w:rsid w:val="00B84E9D"/>
    <w:rsid w:val="00B863F6"/>
    <w:rsid w:val="00B9397D"/>
    <w:rsid w:val="00B9613E"/>
    <w:rsid w:val="00B962F7"/>
    <w:rsid w:val="00B96E6D"/>
    <w:rsid w:val="00B9767F"/>
    <w:rsid w:val="00B97D95"/>
    <w:rsid w:val="00BA59EC"/>
    <w:rsid w:val="00BA6091"/>
    <w:rsid w:val="00BA7E78"/>
    <w:rsid w:val="00BB0EA7"/>
    <w:rsid w:val="00BB3DBA"/>
    <w:rsid w:val="00BB59F9"/>
    <w:rsid w:val="00BC15B8"/>
    <w:rsid w:val="00BC3D32"/>
    <w:rsid w:val="00BC5279"/>
    <w:rsid w:val="00BC6627"/>
    <w:rsid w:val="00BC6C4E"/>
    <w:rsid w:val="00BC71A3"/>
    <w:rsid w:val="00BD0990"/>
    <w:rsid w:val="00BD0A88"/>
    <w:rsid w:val="00BD23BD"/>
    <w:rsid w:val="00BD5341"/>
    <w:rsid w:val="00BD58A7"/>
    <w:rsid w:val="00BD7FF3"/>
    <w:rsid w:val="00BE1E33"/>
    <w:rsid w:val="00BE2AD3"/>
    <w:rsid w:val="00BE2B56"/>
    <w:rsid w:val="00BE36F7"/>
    <w:rsid w:val="00BE3CD6"/>
    <w:rsid w:val="00BE4E4A"/>
    <w:rsid w:val="00BE50B7"/>
    <w:rsid w:val="00BF1787"/>
    <w:rsid w:val="00BF2443"/>
    <w:rsid w:val="00C00831"/>
    <w:rsid w:val="00C02194"/>
    <w:rsid w:val="00C02D09"/>
    <w:rsid w:val="00C03689"/>
    <w:rsid w:val="00C042AC"/>
    <w:rsid w:val="00C069D0"/>
    <w:rsid w:val="00C11BCD"/>
    <w:rsid w:val="00C12201"/>
    <w:rsid w:val="00C13418"/>
    <w:rsid w:val="00C1405A"/>
    <w:rsid w:val="00C22412"/>
    <w:rsid w:val="00C23E62"/>
    <w:rsid w:val="00C247F3"/>
    <w:rsid w:val="00C24EAC"/>
    <w:rsid w:val="00C25E14"/>
    <w:rsid w:val="00C26186"/>
    <w:rsid w:val="00C266A5"/>
    <w:rsid w:val="00C31ED6"/>
    <w:rsid w:val="00C32446"/>
    <w:rsid w:val="00C40C84"/>
    <w:rsid w:val="00C41848"/>
    <w:rsid w:val="00C43DB1"/>
    <w:rsid w:val="00C4526C"/>
    <w:rsid w:val="00C50B1B"/>
    <w:rsid w:val="00C52721"/>
    <w:rsid w:val="00C52801"/>
    <w:rsid w:val="00C538AC"/>
    <w:rsid w:val="00C6210F"/>
    <w:rsid w:val="00C63CE5"/>
    <w:rsid w:val="00C66D4A"/>
    <w:rsid w:val="00C70C7D"/>
    <w:rsid w:val="00C745C6"/>
    <w:rsid w:val="00C75D22"/>
    <w:rsid w:val="00C75DB8"/>
    <w:rsid w:val="00C76A82"/>
    <w:rsid w:val="00C76D92"/>
    <w:rsid w:val="00C909D4"/>
    <w:rsid w:val="00C92B82"/>
    <w:rsid w:val="00C964DE"/>
    <w:rsid w:val="00C96C57"/>
    <w:rsid w:val="00C96CC9"/>
    <w:rsid w:val="00C97F69"/>
    <w:rsid w:val="00CA0586"/>
    <w:rsid w:val="00CA3C3B"/>
    <w:rsid w:val="00CA5790"/>
    <w:rsid w:val="00CA634C"/>
    <w:rsid w:val="00CB004E"/>
    <w:rsid w:val="00CB0D87"/>
    <w:rsid w:val="00CB6B2A"/>
    <w:rsid w:val="00CB7787"/>
    <w:rsid w:val="00CC1134"/>
    <w:rsid w:val="00CC3C9A"/>
    <w:rsid w:val="00CC3DEC"/>
    <w:rsid w:val="00CD05DC"/>
    <w:rsid w:val="00CD3C6F"/>
    <w:rsid w:val="00CD5DF3"/>
    <w:rsid w:val="00CE153F"/>
    <w:rsid w:val="00CE58C4"/>
    <w:rsid w:val="00CF183E"/>
    <w:rsid w:val="00CF326B"/>
    <w:rsid w:val="00CF56D7"/>
    <w:rsid w:val="00CF605F"/>
    <w:rsid w:val="00CF68A8"/>
    <w:rsid w:val="00CF6C6F"/>
    <w:rsid w:val="00D058DF"/>
    <w:rsid w:val="00D0763E"/>
    <w:rsid w:val="00D12644"/>
    <w:rsid w:val="00D13774"/>
    <w:rsid w:val="00D1531B"/>
    <w:rsid w:val="00D15EAB"/>
    <w:rsid w:val="00D208E2"/>
    <w:rsid w:val="00D22CDB"/>
    <w:rsid w:val="00D238B2"/>
    <w:rsid w:val="00D24682"/>
    <w:rsid w:val="00D24F06"/>
    <w:rsid w:val="00D25AEF"/>
    <w:rsid w:val="00D349EE"/>
    <w:rsid w:val="00D3779A"/>
    <w:rsid w:val="00D404BB"/>
    <w:rsid w:val="00D421E8"/>
    <w:rsid w:val="00D43ADB"/>
    <w:rsid w:val="00D43ECF"/>
    <w:rsid w:val="00D516F2"/>
    <w:rsid w:val="00D5473B"/>
    <w:rsid w:val="00D56763"/>
    <w:rsid w:val="00D56766"/>
    <w:rsid w:val="00D56CC4"/>
    <w:rsid w:val="00D56D47"/>
    <w:rsid w:val="00D644D8"/>
    <w:rsid w:val="00D648B0"/>
    <w:rsid w:val="00D7088A"/>
    <w:rsid w:val="00D70FB4"/>
    <w:rsid w:val="00D74A1C"/>
    <w:rsid w:val="00D75BD6"/>
    <w:rsid w:val="00D76E57"/>
    <w:rsid w:val="00D815C1"/>
    <w:rsid w:val="00D822D9"/>
    <w:rsid w:val="00D82FD7"/>
    <w:rsid w:val="00D838D1"/>
    <w:rsid w:val="00D843FF"/>
    <w:rsid w:val="00D84DC5"/>
    <w:rsid w:val="00D85C85"/>
    <w:rsid w:val="00D864A9"/>
    <w:rsid w:val="00D87665"/>
    <w:rsid w:val="00D87808"/>
    <w:rsid w:val="00D923D3"/>
    <w:rsid w:val="00D92F6C"/>
    <w:rsid w:val="00D93CB6"/>
    <w:rsid w:val="00D940DB"/>
    <w:rsid w:val="00D95879"/>
    <w:rsid w:val="00D95C0B"/>
    <w:rsid w:val="00D961FC"/>
    <w:rsid w:val="00D97A6B"/>
    <w:rsid w:val="00DA2FA3"/>
    <w:rsid w:val="00DA403A"/>
    <w:rsid w:val="00DA585A"/>
    <w:rsid w:val="00DA681A"/>
    <w:rsid w:val="00DB3F57"/>
    <w:rsid w:val="00DB4079"/>
    <w:rsid w:val="00DB7208"/>
    <w:rsid w:val="00DB751D"/>
    <w:rsid w:val="00DC0138"/>
    <w:rsid w:val="00DC0F98"/>
    <w:rsid w:val="00DC10EA"/>
    <w:rsid w:val="00DC1941"/>
    <w:rsid w:val="00DC1FAD"/>
    <w:rsid w:val="00DC22C6"/>
    <w:rsid w:val="00DC4BB8"/>
    <w:rsid w:val="00DC59FA"/>
    <w:rsid w:val="00DC679E"/>
    <w:rsid w:val="00DD0E98"/>
    <w:rsid w:val="00DD1A92"/>
    <w:rsid w:val="00DD265C"/>
    <w:rsid w:val="00DD2D2E"/>
    <w:rsid w:val="00DE0A9A"/>
    <w:rsid w:val="00DE0E26"/>
    <w:rsid w:val="00DE1196"/>
    <w:rsid w:val="00DE6220"/>
    <w:rsid w:val="00DE64DE"/>
    <w:rsid w:val="00DE7AB4"/>
    <w:rsid w:val="00DF0661"/>
    <w:rsid w:val="00DF2F9C"/>
    <w:rsid w:val="00DF4D86"/>
    <w:rsid w:val="00DF5D5D"/>
    <w:rsid w:val="00DF5FDD"/>
    <w:rsid w:val="00DF6644"/>
    <w:rsid w:val="00DF6A51"/>
    <w:rsid w:val="00DF7BCF"/>
    <w:rsid w:val="00DF7F6E"/>
    <w:rsid w:val="00E0053A"/>
    <w:rsid w:val="00E01D84"/>
    <w:rsid w:val="00E01E05"/>
    <w:rsid w:val="00E030B1"/>
    <w:rsid w:val="00E0556E"/>
    <w:rsid w:val="00E06637"/>
    <w:rsid w:val="00E137BB"/>
    <w:rsid w:val="00E163AD"/>
    <w:rsid w:val="00E16A8F"/>
    <w:rsid w:val="00E16D8B"/>
    <w:rsid w:val="00E17AA0"/>
    <w:rsid w:val="00E204B4"/>
    <w:rsid w:val="00E221EC"/>
    <w:rsid w:val="00E30022"/>
    <w:rsid w:val="00E3199C"/>
    <w:rsid w:val="00E33820"/>
    <w:rsid w:val="00E34A66"/>
    <w:rsid w:val="00E35B0E"/>
    <w:rsid w:val="00E42425"/>
    <w:rsid w:val="00E528A3"/>
    <w:rsid w:val="00E53A9A"/>
    <w:rsid w:val="00E53ED1"/>
    <w:rsid w:val="00E5460B"/>
    <w:rsid w:val="00E54BB4"/>
    <w:rsid w:val="00E62E6F"/>
    <w:rsid w:val="00E6312F"/>
    <w:rsid w:val="00E63ADB"/>
    <w:rsid w:val="00E64988"/>
    <w:rsid w:val="00E64A38"/>
    <w:rsid w:val="00E650D8"/>
    <w:rsid w:val="00E664DA"/>
    <w:rsid w:val="00E75356"/>
    <w:rsid w:val="00E7544E"/>
    <w:rsid w:val="00E756AC"/>
    <w:rsid w:val="00E8381A"/>
    <w:rsid w:val="00E85358"/>
    <w:rsid w:val="00E861B6"/>
    <w:rsid w:val="00E87596"/>
    <w:rsid w:val="00E87794"/>
    <w:rsid w:val="00E96422"/>
    <w:rsid w:val="00EA2206"/>
    <w:rsid w:val="00EA3B7D"/>
    <w:rsid w:val="00EA4081"/>
    <w:rsid w:val="00EA5A59"/>
    <w:rsid w:val="00EB2DC4"/>
    <w:rsid w:val="00EB2EE8"/>
    <w:rsid w:val="00EB3D8F"/>
    <w:rsid w:val="00EB42D3"/>
    <w:rsid w:val="00EB5184"/>
    <w:rsid w:val="00EB6279"/>
    <w:rsid w:val="00EB67D6"/>
    <w:rsid w:val="00EB79B1"/>
    <w:rsid w:val="00EC092E"/>
    <w:rsid w:val="00EC1F05"/>
    <w:rsid w:val="00EC28A2"/>
    <w:rsid w:val="00EC2D8F"/>
    <w:rsid w:val="00ED0FE3"/>
    <w:rsid w:val="00ED1F11"/>
    <w:rsid w:val="00ED2621"/>
    <w:rsid w:val="00ED3EF0"/>
    <w:rsid w:val="00ED5E06"/>
    <w:rsid w:val="00EE121F"/>
    <w:rsid w:val="00EE2707"/>
    <w:rsid w:val="00EF2CA6"/>
    <w:rsid w:val="00EF4DC4"/>
    <w:rsid w:val="00EF553C"/>
    <w:rsid w:val="00F0422A"/>
    <w:rsid w:val="00F0523A"/>
    <w:rsid w:val="00F0717E"/>
    <w:rsid w:val="00F117B1"/>
    <w:rsid w:val="00F12D75"/>
    <w:rsid w:val="00F134F9"/>
    <w:rsid w:val="00F16741"/>
    <w:rsid w:val="00F17AD4"/>
    <w:rsid w:val="00F218E0"/>
    <w:rsid w:val="00F21DDD"/>
    <w:rsid w:val="00F23CE5"/>
    <w:rsid w:val="00F24195"/>
    <w:rsid w:val="00F24382"/>
    <w:rsid w:val="00F24C62"/>
    <w:rsid w:val="00F267C7"/>
    <w:rsid w:val="00F26DB6"/>
    <w:rsid w:val="00F27497"/>
    <w:rsid w:val="00F27593"/>
    <w:rsid w:val="00F31211"/>
    <w:rsid w:val="00F33F55"/>
    <w:rsid w:val="00F34138"/>
    <w:rsid w:val="00F3640C"/>
    <w:rsid w:val="00F3642B"/>
    <w:rsid w:val="00F3784C"/>
    <w:rsid w:val="00F379D7"/>
    <w:rsid w:val="00F41276"/>
    <w:rsid w:val="00F418A2"/>
    <w:rsid w:val="00F4230D"/>
    <w:rsid w:val="00F45997"/>
    <w:rsid w:val="00F47FCE"/>
    <w:rsid w:val="00F501D2"/>
    <w:rsid w:val="00F525D0"/>
    <w:rsid w:val="00F5266F"/>
    <w:rsid w:val="00F54F7B"/>
    <w:rsid w:val="00F55AB2"/>
    <w:rsid w:val="00F55C60"/>
    <w:rsid w:val="00F56447"/>
    <w:rsid w:val="00F573FF"/>
    <w:rsid w:val="00F619ED"/>
    <w:rsid w:val="00F61FCE"/>
    <w:rsid w:val="00F64055"/>
    <w:rsid w:val="00F64BF6"/>
    <w:rsid w:val="00F659B8"/>
    <w:rsid w:val="00F67011"/>
    <w:rsid w:val="00F710C6"/>
    <w:rsid w:val="00F72327"/>
    <w:rsid w:val="00F8284E"/>
    <w:rsid w:val="00F82995"/>
    <w:rsid w:val="00F848D2"/>
    <w:rsid w:val="00F87FD4"/>
    <w:rsid w:val="00F911E4"/>
    <w:rsid w:val="00F93C04"/>
    <w:rsid w:val="00F9481A"/>
    <w:rsid w:val="00F964FD"/>
    <w:rsid w:val="00F96AB1"/>
    <w:rsid w:val="00F97692"/>
    <w:rsid w:val="00F9783F"/>
    <w:rsid w:val="00F978B3"/>
    <w:rsid w:val="00FA101D"/>
    <w:rsid w:val="00FA2523"/>
    <w:rsid w:val="00FA282C"/>
    <w:rsid w:val="00FA4784"/>
    <w:rsid w:val="00FA547C"/>
    <w:rsid w:val="00FA7068"/>
    <w:rsid w:val="00FB0CCD"/>
    <w:rsid w:val="00FB44F1"/>
    <w:rsid w:val="00FB603A"/>
    <w:rsid w:val="00FC194C"/>
    <w:rsid w:val="00FC3C38"/>
    <w:rsid w:val="00FC755D"/>
    <w:rsid w:val="00FD20DD"/>
    <w:rsid w:val="00FD376E"/>
    <w:rsid w:val="00FD724A"/>
    <w:rsid w:val="00FE00F9"/>
    <w:rsid w:val="00FE22E3"/>
    <w:rsid w:val="00FE3DFF"/>
    <w:rsid w:val="00FF0CEE"/>
    <w:rsid w:val="00FF3341"/>
    <w:rsid w:val="00FF34F7"/>
    <w:rsid w:val="00FF3519"/>
    <w:rsid w:val="00FF780B"/>
    <w:rsid w:val="6302F9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87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1" w:customStyle="1">
    <w:name w:val="Mención sin resolver1"/>
    <w:basedOn w:val="Fuentedeprrafopredeter"/>
    <w:uiPriority w:val="99"/>
    <w:semiHidden/>
    <w:unhideWhenUsed/>
    <w:rsid w:val="00BE2AD3"/>
    <w:rPr>
      <w:color w:val="605E5C"/>
      <w:shd w:val="clear" w:color="auto" w:fill="E1DFDD"/>
    </w:rPr>
  </w:style>
  <w:style w:type="paragraph" w:styleId="InviasNormal" w:customStyle="1">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BE1E33"/>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BE1E33"/>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BE1E33"/>
    <w:rPr>
      <w:rFonts w:ascii="Arial Narrow" w:hAnsi="Arial Narrow" w:eastAsia="Times New Roman"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styleId="TextocomentarioCar" w:customStyle="1">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styleId="AsuntodelcomentarioCar" w:customStyle="1">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hAnsi="Times New Roman" w:eastAsia="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styleId="TextonotaalfinalCar" w:customStyle="1">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hAnsi="Arial" w:eastAsia="Arial" w:cs="Arial"/>
      <w:sz w:val="22"/>
      <w:lang w:val="es-ES"/>
    </w:rPr>
  </w:style>
  <w:style w:type="character" w:styleId="TextoindependienteCar" w:customStyle="1">
    <w:name w:val="Texto independiente Car"/>
    <w:basedOn w:val="Fuentedeprrafopredeter"/>
    <w:link w:val="Textoindependiente"/>
    <w:uiPriority w:val="1"/>
    <w:rsid w:val="00B26E57"/>
    <w:rPr>
      <w:rFonts w:ascii="Arial" w:hAnsi="Arial" w:eastAsia="Arial" w:cs="Arial"/>
      <w:lang w:val="es-ES"/>
    </w:rPr>
  </w:style>
  <w:style w:type="character" w:styleId="normaltextrun" w:customStyle="1">
    <w:name w:val="normaltextrun"/>
    <w:basedOn w:val="Fuentedeprrafopredeter"/>
    <w:rsid w:val="00F964FD"/>
  </w:style>
  <w:style w:type="paragraph" w:styleId="Appelnotedebasde" w:customStyle="1">
    <w:name w:val="Appel note de bas de..."/>
    <w:basedOn w:val="Normal"/>
    <w:link w:val="Refdenotaalpie"/>
    <w:uiPriority w:val="99"/>
    <w:rsid w:val="009223EA"/>
    <w:pPr>
      <w:spacing w:after="160" w:line="240" w:lineRule="exact"/>
    </w:pPr>
    <w:rPr>
      <w:sz w:val="22"/>
      <w:vertAlign w:val="superscript"/>
      <w:lang w:val="es-CO"/>
    </w:rPr>
  </w:style>
  <w:style w:type="paragraph" w:styleId="Textoindependiente21" w:customStyle="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hAnsi="Arial" w:eastAsia="Times New Roman" w:cs="Times New Roman"/>
      <w:szCs w:val="20"/>
      <w:lang w:val="es-CO" w:eastAsia="es-ES"/>
    </w:rPr>
  </w:style>
  <w:style w:type="character" w:styleId="Textoennegrita">
    <w:name w:val="Strong"/>
    <w:uiPriority w:val="22"/>
    <w:qFormat/>
    <w:rsid w:val="005409D3"/>
    <w:rPr>
      <w:b/>
      <w:bCs/>
    </w:rPr>
  </w:style>
  <w:style w:type="table" w:styleId="Tablaconcuadrcula2" w:customStyle="1">
    <w:name w:val="Tabla con cuadrícula2"/>
    <w:basedOn w:val="Tablanormal"/>
    <w:next w:val="Tablaconcuadrcula"/>
    <w:uiPriority w:val="39"/>
    <w:rsid w:val="00CF60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6A1142"/>
  </w:style>
  <w:style w:type="character" w:styleId="nfasis">
    <w:name w:val="Emphasis"/>
    <w:basedOn w:val="Fuentedeprrafopredeter"/>
    <w:uiPriority w:val="20"/>
    <w:qFormat/>
    <w:rsid w:val="00D56CC4"/>
    <w:rPr>
      <w:i/>
      <w:iCs/>
    </w:rPr>
  </w:style>
  <w:style w:type="character" w:styleId="NormalWebCar" w:customStyle="1">
    <w:name w:val="Normal (Web) Car"/>
    <w:link w:val="NormalWeb"/>
    <w:uiPriority w:val="99"/>
    <w:rsid w:val="00D56CC4"/>
    <w:rPr>
      <w:rFonts w:ascii="Times New Roman" w:hAnsi="Times New Roman" w:eastAsia="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39076228">
      <w:bodyDiv w:val="1"/>
      <w:marLeft w:val="0"/>
      <w:marRight w:val="0"/>
      <w:marTop w:val="0"/>
      <w:marBottom w:val="0"/>
      <w:divBdr>
        <w:top w:val="none" w:sz="0" w:space="0" w:color="auto"/>
        <w:left w:val="none" w:sz="0" w:space="0" w:color="auto"/>
        <w:bottom w:val="none" w:sz="0" w:space="0" w:color="auto"/>
        <w:right w:val="none" w:sz="0" w:space="0" w:color="auto"/>
      </w:divBdr>
    </w:div>
    <w:div w:id="165286871">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14558484">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970987250">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BBC68E34-2210-4A62-B9BE-39D80CC4D0FF}">
  <ds:schemaRefs>
    <ds:schemaRef ds:uri="http://schemas.openxmlformats.org/officeDocument/2006/bibliography"/>
  </ds:schemaRefs>
</ds:datastoreItem>
</file>

<file path=customXml/itemProps3.xml><?xml version="1.0" encoding="utf-8"?>
<ds:datastoreItem xmlns:ds="http://schemas.openxmlformats.org/officeDocument/2006/customXml" ds:itemID="{BE6E28D5-3087-41BB-B271-8542D574D3DB}"/>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Manuela Mantilla Pacheco</cp:lastModifiedBy>
  <cp:revision>38</cp:revision>
  <cp:lastPrinted>2021-08-12T22:16:00Z</cp:lastPrinted>
  <dcterms:created xsi:type="dcterms:W3CDTF">2021-09-15T20:47:00Z</dcterms:created>
  <dcterms:modified xsi:type="dcterms:W3CDTF">2021-09-22T02:14:49Z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