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97D58E" w14:textId="77777777" w:rsidR="008D3390" w:rsidRPr="008D3390" w:rsidRDefault="008D3390" w:rsidP="008D3390">
      <w:pPr>
        <w:spacing w:after="0" w:line="240" w:lineRule="auto"/>
        <w:jc w:val="right"/>
        <w:rPr>
          <w:rFonts w:ascii="Arial" w:eastAsia="Times New Roman" w:hAnsi="Arial" w:cs="Arial"/>
          <w:b/>
          <w:color w:val="000000" w:themeColor="text1"/>
          <w:sz w:val="16"/>
          <w:szCs w:val="16"/>
          <w:lang w:eastAsia="es-ES"/>
        </w:rPr>
      </w:pPr>
      <w:r w:rsidRPr="008D3390">
        <w:rPr>
          <w:rFonts w:ascii="Arial" w:eastAsia="Times New Roman" w:hAnsi="Arial" w:cs="Arial"/>
          <w:b/>
          <w:color w:val="000000" w:themeColor="text1"/>
          <w:sz w:val="16"/>
          <w:szCs w:val="16"/>
          <w:lang w:eastAsia="es-ES"/>
        </w:rPr>
        <w:tab/>
        <w:t>CCE-DES-FM-17</w:t>
      </w:r>
    </w:p>
    <w:p w14:paraId="41E8595D" w14:textId="77777777" w:rsidR="008D3390" w:rsidRPr="008D3390" w:rsidRDefault="008D3390" w:rsidP="008D3390">
      <w:pPr>
        <w:spacing w:after="0" w:line="240" w:lineRule="auto"/>
        <w:jc w:val="both"/>
        <w:rPr>
          <w:rFonts w:ascii="Arial" w:eastAsia="Calibri" w:hAnsi="Arial" w:cs="Arial"/>
          <w:b/>
          <w:bCs/>
          <w:color w:val="000000" w:themeColor="text1"/>
          <w:sz w:val="20"/>
          <w:szCs w:val="20"/>
          <w:highlight w:val="yellow"/>
          <w:lang w:val="es-ES_tradnl"/>
        </w:rPr>
      </w:pPr>
    </w:p>
    <w:p w14:paraId="09B92825" w14:textId="77777777" w:rsidR="008D3390" w:rsidRPr="008D3390" w:rsidRDefault="008D3390" w:rsidP="008D3390">
      <w:pPr>
        <w:spacing w:after="0" w:line="240" w:lineRule="auto"/>
        <w:jc w:val="both"/>
        <w:rPr>
          <w:rFonts w:ascii="Arial" w:eastAsia="Calibri" w:hAnsi="Arial" w:cs="Arial"/>
          <w:b/>
          <w:szCs w:val="24"/>
          <w:lang w:val="es-ES_tradnl" w:eastAsia="en-GB"/>
        </w:rPr>
      </w:pPr>
      <w:r w:rsidRPr="008D3390">
        <w:rPr>
          <w:rFonts w:ascii="Arial" w:eastAsia="Calibri" w:hAnsi="Arial" w:cs="Arial"/>
          <w:b/>
          <w:szCs w:val="24"/>
          <w:lang w:val="es-ES_tradnl" w:eastAsia="en-GB"/>
        </w:rPr>
        <w:t>DOCUMENTOS TIPO – Obligatoriedad – Inalterabilidad</w:t>
      </w:r>
    </w:p>
    <w:p w14:paraId="1F45C160" w14:textId="77777777" w:rsidR="008D3390" w:rsidRPr="008D3390" w:rsidRDefault="008D3390" w:rsidP="008D3390">
      <w:pPr>
        <w:spacing w:after="0" w:line="240" w:lineRule="auto"/>
        <w:jc w:val="both"/>
        <w:rPr>
          <w:rFonts w:ascii="Arial" w:eastAsia="Calibri" w:hAnsi="Arial" w:cs="Arial"/>
          <w:sz w:val="20"/>
          <w:szCs w:val="20"/>
          <w:lang w:val="es-ES_tradnl" w:eastAsia="en-GB"/>
        </w:rPr>
      </w:pPr>
    </w:p>
    <w:p w14:paraId="61648A53" w14:textId="77777777" w:rsidR="00D83F98" w:rsidRPr="00D83F98" w:rsidRDefault="008D3390" w:rsidP="00D83F98">
      <w:pPr>
        <w:spacing w:after="0" w:line="240" w:lineRule="auto"/>
        <w:jc w:val="both"/>
        <w:rPr>
          <w:rFonts w:ascii="Arial" w:eastAsia="Calibri" w:hAnsi="Arial" w:cs="Arial"/>
          <w:sz w:val="20"/>
          <w:szCs w:val="20"/>
          <w:lang w:eastAsia="en-GB"/>
        </w:rPr>
      </w:pPr>
      <w:r w:rsidRPr="00D83F98">
        <w:rPr>
          <w:rFonts w:ascii="Arial" w:eastAsia="Calibri" w:hAnsi="Arial" w:cs="Arial"/>
          <w:sz w:val="20"/>
          <w:szCs w:val="20"/>
          <w:lang w:eastAsia="en-GB"/>
        </w:rPr>
        <w:t xml:space="preserve">[…] </w:t>
      </w:r>
      <w:r w:rsidR="00D83F98" w:rsidRPr="00D83F98">
        <w:rPr>
          <w:rFonts w:ascii="Arial" w:eastAsia="Calibri" w:hAnsi="Arial" w:cs="Arial"/>
          <w:sz w:val="20"/>
          <w:szCs w:val="20"/>
          <w:lang w:eastAsia="en-GB"/>
        </w:rPr>
        <w:t xml:space="preserve">la Ley 2022 de 2020 señala que los documentos tipo adoptados por la Agencia Nacional de Contratación Pública son de </w:t>
      </w:r>
      <w:r w:rsidR="00D83F98" w:rsidRPr="00D83F98">
        <w:rPr>
          <w:rFonts w:ascii="Arial" w:eastAsia="Calibri" w:hAnsi="Arial" w:cs="Arial"/>
          <w:i/>
          <w:sz w:val="20"/>
          <w:szCs w:val="20"/>
          <w:lang w:eastAsia="en-GB"/>
        </w:rPr>
        <w:t>obligatorio</w:t>
      </w:r>
      <w:r w:rsidR="00D83F98" w:rsidRPr="00D83F98">
        <w:rPr>
          <w:rFonts w:ascii="Arial" w:eastAsia="Calibri" w:hAnsi="Arial" w:cs="Arial"/>
          <w:sz w:val="20"/>
          <w:szCs w:val="20"/>
          <w:lang w:eastAsia="en-GB"/>
        </w:rPr>
        <w:t xml:space="preserve"> cumplimiento por todas las entidades públicas, cuyo régimen de contratación sea el Estatuto General de la Contratación de la Administración Pública ‒EGCAP‒. Esta obligatoriedad implica que las entidades estatales tengan que adelantar los procesos de contratación bajo las condiciones establecidas en los documentos tipo que rijan para el objeto a contratar, sin que puedan variarse los requisitos fijados en ellos. Lo anterior, por cuanto los documentos tipo se caracterizan por ser inalterables, es decir, que las entidades públicas carecen de la facultad de modificarlos, con excepción de aquellos aspectos que pueden diligenciar, es decir, las descripciones que están incluidas entre corchetes y resaltadas en gris en cada uno de los documentos tipo o en lugares en que expresamente los documentos tipo admitan su modificación.</w:t>
      </w:r>
    </w:p>
    <w:p w14:paraId="07739E7B" w14:textId="77777777" w:rsidR="008D3390" w:rsidRPr="008D3390" w:rsidRDefault="008D3390" w:rsidP="00D83F98">
      <w:pPr>
        <w:spacing w:after="0" w:line="240" w:lineRule="auto"/>
        <w:jc w:val="both"/>
        <w:rPr>
          <w:rFonts w:ascii="Arial" w:eastAsia="Calibri" w:hAnsi="Arial" w:cs="Arial"/>
          <w:b/>
        </w:rPr>
      </w:pPr>
    </w:p>
    <w:p w14:paraId="7993872F" w14:textId="77777777" w:rsidR="008D3390" w:rsidRPr="008D3390" w:rsidRDefault="008D3390" w:rsidP="00D83F98">
      <w:pPr>
        <w:spacing w:after="0" w:line="240" w:lineRule="auto"/>
        <w:jc w:val="both"/>
        <w:rPr>
          <w:rFonts w:ascii="Arial" w:eastAsia="Calibri" w:hAnsi="Arial" w:cs="Arial"/>
          <w:b/>
        </w:rPr>
      </w:pPr>
      <w:r w:rsidRPr="008D3390">
        <w:rPr>
          <w:rFonts w:ascii="Arial" w:eastAsia="Calibri" w:hAnsi="Arial" w:cs="Arial"/>
          <w:b/>
          <w:bCs/>
          <w:szCs w:val="24"/>
          <w:lang w:val="es-ES_tradnl" w:eastAsia="en-GB"/>
        </w:rPr>
        <w:t>DOCUMENTOS TIPO – Infraestructura social – Sectores – Educativo – Salud – Cultura, recreación y deporte</w:t>
      </w:r>
    </w:p>
    <w:p w14:paraId="2BB60040" w14:textId="77777777" w:rsidR="008D3390" w:rsidRPr="008D3390" w:rsidRDefault="008D3390" w:rsidP="00D83F98">
      <w:pPr>
        <w:spacing w:after="0" w:line="240" w:lineRule="auto"/>
        <w:jc w:val="both"/>
        <w:rPr>
          <w:rFonts w:ascii="Arial" w:eastAsia="Calibri" w:hAnsi="Arial" w:cs="Arial"/>
          <w:sz w:val="20"/>
          <w:szCs w:val="20"/>
        </w:rPr>
      </w:pPr>
    </w:p>
    <w:p w14:paraId="192D8EE2" w14:textId="77777777" w:rsidR="00D83F98" w:rsidRPr="00D83F98" w:rsidRDefault="008D3390" w:rsidP="00D83F98">
      <w:pPr>
        <w:spacing w:after="120" w:line="240" w:lineRule="auto"/>
        <w:jc w:val="both"/>
        <w:rPr>
          <w:rFonts w:ascii="Arial" w:eastAsia="Times New Roman" w:hAnsi="Arial" w:cs="Arial"/>
          <w:sz w:val="20"/>
          <w:szCs w:val="20"/>
          <w:lang w:val="es-ES" w:eastAsia="en-GB"/>
        </w:rPr>
      </w:pPr>
      <w:r w:rsidRPr="00D83F98">
        <w:rPr>
          <w:rFonts w:ascii="Arial" w:eastAsia="Calibri" w:hAnsi="Arial" w:cs="Arial"/>
          <w:bCs/>
          <w:sz w:val="20"/>
          <w:szCs w:val="20"/>
          <w:lang w:val="es-ES" w:eastAsia="en-GB"/>
        </w:rPr>
        <w:t xml:space="preserve">[…] </w:t>
      </w:r>
      <w:r w:rsidR="00D83F98" w:rsidRPr="00D83F98">
        <w:rPr>
          <w:rFonts w:ascii="Arial" w:eastAsia="Times New Roman" w:hAnsi="Arial" w:cs="Arial"/>
          <w:sz w:val="20"/>
          <w:szCs w:val="20"/>
          <w:lang w:val="es-ES" w:eastAsia="en-GB"/>
        </w:rPr>
        <w:t xml:space="preserve">en materia de infraestructura social debe tenerse en cuenta que existen dos (2) clases de documentos tipo que se integran en cada proceso:  i) los documentos </w:t>
      </w:r>
      <w:r w:rsidR="00D83F98" w:rsidRPr="00D83F98">
        <w:rPr>
          <w:rFonts w:ascii="Arial" w:eastAsia="Times New Roman" w:hAnsi="Arial" w:cs="Arial"/>
          <w:i/>
          <w:sz w:val="20"/>
          <w:szCs w:val="20"/>
          <w:lang w:val="es-ES" w:eastAsia="en-GB"/>
        </w:rPr>
        <w:t>transversales</w:t>
      </w:r>
      <w:r w:rsidR="00D83F98" w:rsidRPr="00D83F98">
        <w:rPr>
          <w:rFonts w:ascii="Arial" w:eastAsia="Times New Roman" w:hAnsi="Arial" w:cs="Arial"/>
          <w:sz w:val="20"/>
          <w:szCs w:val="20"/>
          <w:lang w:val="es-ES" w:eastAsia="en-GB"/>
        </w:rPr>
        <w:t xml:space="preserve"> a todos los sectores de infraestructura social, es decir, el documento base, los anexos, los formatos, los formularios y las matrices adoptados mediante la Resolución No. 219 de 2021; y </w:t>
      </w:r>
      <w:proofErr w:type="spellStart"/>
      <w:r w:rsidR="00D83F98" w:rsidRPr="00D83F98">
        <w:rPr>
          <w:rFonts w:ascii="Arial" w:eastAsia="Times New Roman" w:hAnsi="Arial" w:cs="Arial"/>
          <w:sz w:val="20"/>
          <w:szCs w:val="20"/>
          <w:lang w:val="es-ES" w:eastAsia="en-GB"/>
        </w:rPr>
        <w:t>ii</w:t>
      </w:r>
      <w:proofErr w:type="spellEnd"/>
      <w:r w:rsidR="00D83F98" w:rsidRPr="00D83F98">
        <w:rPr>
          <w:rFonts w:ascii="Arial" w:eastAsia="Times New Roman" w:hAnsi="Arial" w:cs="Arial"/>
          <w:sz w:val="20"/>
          <w:szCs w:val="20"/>
          <w:lang w:val="es-ES" w:eastAsia="en-GB"/>
        </w:rPr>
        <w:t xml:space="preserve">) los documentos tipo </w:t>
      </w:r>
      <w:r w:rsidR="00D83F98" w:rsidRPr="00D83F98">
        <w:rPr>
          <w:rFonts w:ascii="Arial" w:eastAsia="Times New Roman" w:hAnsi="Arial" w:cs="Arial"/>
          <w:i/>
          <w:sz w:val="20"/>
          <w:szCs w:val="20"/>
          <w:lang w:val="es-ES" w:eastAsia="en-GB"/>
        </w:rPr>
        <w:t>complementarios</w:t>
      </w:r>
      <w:r w:rsidR="00D83F98" w:rsidRPr="00D83F98">
        <w:rPr>
          <w:rFonts w:ascii="Arial" w:eastAsia="Times New Roman" w:hAnsi="Arial" w:cs="Arial"/>
          <w:iCs/>
          <w:sz w:val="20"/>
          <w:szCs w:val="20"/>
          <w:lang w:val="es-ES" w:eastAsia="en-GB"/>
        </w:rPr>
        <w:t>,</w:t>
      </w:r>
      <w:r w:rsidR="00D83F98" w:rsidRPr="00D83F98">
        <w:rPr>
          <w:rFonts w:ascii="Arial" w:eastAsia="Times New Roman" w:hAnsi="Arial" w:cs="Arial"/>
          <w:i/>
          <w:sz w:val="20"/>
          <w:szCs w:val="20"/>
          <w:lang w:val="es-ES" w:eastAsia="en-GB"/>
        </w:rPr>
        <w:t xml:space="preserve"> </w:t>
      </w:r>
      <w:r w:rsidR="00D83F98" w:rsidRPr="00D83F98">
        <w:rPr>
          <w:rFonts w:ascii="Arial" w:eastAsia="Times New Roman" w:hAnsi="Arial" w:cs="Arial"/>
          <w:sz w:val="20"/>
          <w:szCs w:val="20"/>
          <w:lang w:val="es-ES" w:eastAsia="en-GB"/>
        </w:rPr>
        <w:t>referentes a la matriz de experiencia y el glosario, los cuales han sido adoptados en la resolución para cada sector específico.</w:t>
      </w:r>
    </w:p>
    <w:p w14:paraId="03CF2A47" w14:textId="77777777" w:rsidR="00D83F98" w:rsidRPr="00D83F98" w:rsidRDefault="00D83F98" w:rsidP="00D83F98">
      <w:pPr>
        <w:spacing w:after="120" w:line="240" w:lineRule="auto"/>
        <w:jc w:val="both"/>
        <w:rPr>
          <w:rFonts w:ascii="Arial" w:eastAsia="Times New Roman" w:hAnsi="Arial" w:cs="Arial"/>
          <w:i/>
          <w:iCs/>
          <w:sz w:val="20"/>
          <w:szCs w:val="20"/>
        </w:rPr>
      </w:pPr>
      <w:r w:rsidRPr="00D83F98">
        <w:rPr>
          <w:rFonts w:ascii="Arial" w:eastAsia="Times New Roman" w:hAnsi="Arial" w:cs="Arial"/>
          <w:sz w:val="20"/>
          <w:szCs w:val="20"/>
        </w:rPr>
        <w:t>De esta forma, esta Agencia expidió distintos actos administrativos a partir de los cuales se adoptaron la «Matriz – Experiencia» y el «Anexo – Glosario». Así las cosas, la Agencia expidió: i) la Resolución 220 del 6 de agosto de 2021, «Por la cual se adoptan los documentos tipo complementarios para los procesos de licitación de obra pública de infraestructura social relacionados con el sector educativo»;</w:t>
      </w:r>
      <w:r w:rsidRPr="00D83F98">
        <w:rPr>
          <w:rFonts w:ascii="Arial" w:eastAsia="Times New Roman" w:hAnsi="Arial" w:cs="Arial"/>
          <w:i/>
          <w:iCs/>
          <w:sz w:val="20"/>
          <w:szCs w:val="20"/>
        </w:rPr>
        <w:t xml:space="preserve"> </w:t>
      </w:r>
      <w:proofErr w:type="spellStart"/>
      <w:r w:rsidRPr="00D83F98">
        <w:rPr>
          <w:rFonts w:ascii="Arial" w:eastAsia="Times New Roman" w:hAnsi="Arial" w:cs="Arial"/>
          <w:sz w:val="20"/>
          <w:szCs w:val="20"/>
        </w:rPr>
        <w:t>ii</w:t>
      </w:r>
      <w:proofErr w:type="spellEnd"/>
      <w:r w:rsidRPr="00D83F98">
        <w:rPr>
          <w:rFonts w:ascii="Arial" w:eastAsia="Times New Roman" w:hAnsi="Arial" w:cs="Arial"/>
          <w:sz w:val="20"/>
          <w:szCs w:val="20"/>
        </w:rPr>
        <w:t>)</w:t>
      </w:r>
      <w:r w:rsidRPr="00D83F98">
        <w:rPr>
          <w:rFonts w:ascii="Arial" w:eastAsia="Times New Roman" w:hAnsi="Arial" w:cs="Arial"/>
          <w:i/>
          <w:iCs/>
          <w:sz w:val="20"/>
          <w:szCs w:val="20"/>
        </w:rPr>
        <w:t xml:space="preserve"> </w:t>
      </w:r>
      <w:r w:rsidRPr="00D83F98">
        <w:rPr>
          <w:rFonts w:ascii="Arial" w:eastAsia="Times New Roman" w:hAnsi="Arial" w:cs="Arial"/>
          <w:sz w:val="20"/>
          <w:szCs w:val="20"/>
        </w:rPr>
        <w:t xml:space="preserve">la Resolución 392 del 18 de noviembre de 2021, «Por la cual se adoptan los documentos tipo complementarios para los procesos de licitación de obra pública de infraestructura social relacionados con el sector salud»; y </w:t>
      </w:r>
      <w:proofErr w:type="spellStart"/>
      <w:r w:rsidRPr="00D83F98">
        <w:rPr>
          <w:rFonts w:ascii="Arial" w:eastAsia="Times New Roman" w:hAnsi="Arial" w:cs="Arial"/>
          <w:sz w:val="20"/>
          <w:szCs w:val="20"/>
        </w:rPr>
        <w:t>iii</w:t>
      </w:r>
      <w:proofErr w:type="spellEnd"/>
      <w:r w:rsidRPr="00D83F98">
        <w:rPr>
          <w:rFonts w:ascii="Arial" w:eastAsia="Times New Roman" w:hAnsi="Arial" w:cs="Arial"/>
          <w:sz w:val="20"/>
          <w:szCs w:val="20"/>
        </w:rPr>
        <w:t>) la Resolución 454 del 16 de diciembre de 2021,</w:t>
      </w:r>
      <w:r w:rsidRPr="00D83F98">
        <w:rPr>
          <w:sz w:val="20"/>
          <w:szCs w:val="20"/>
        </w:rPr>
        <w:t xml:space="preserve"> </w:t>
      </w:r>
      <w:r w:rsidRPr="00D83F98">
        <w:rPr>
          <w:rFonts w:ascii="Arial" w:eastAsia="Times New Roman" w:hAnsi="Arial" w:cs="Arial"/>
          <w:sz w:val="20"/>
          <w:szCs w:val="20"/>
        </w:rPr>
        <w:t>«Por la cual se adoptan los documentos tipo complementarios para los procesos de licitación de obra pública de infraestructura social relacionados con el sector cultura, recreación y deporte»</w:t>
      </w:r>
      <w:r w:rsidRPr="00D83F98">
        <w:rPr>
          <w:rFonts w:ascii="Arial" w:eastAsia="Times New Roman" w:hAnsi="Arial" w:cs="Arial"/>
          <w:i/>
          <w:iCs/>
          <w:sz w:val="20"/>
          <w:szCs w:val="20"/>
        </w:rPr>
        <w:t>.</w:t>
      </w:r>
    </w:p>
    <w:p w14:paraId="474A7144" w14:textId="77777777" w:rsidR="008D3390" w:rsidRPr="008D3390" w:rsidRDefault="008D3390" w:rsidP="008D3390">
      <w:pPr>
        <w:spacing w:after="0" w:line="240" w:lineRule="auto"/>
        <w:jc w:val="both"/>
        <w:rPr>
          <w:rFonts w:ascii="Arial" w:eastAsia="Times New Roman" w:hAnsi="Arial" w:cs="Arial"/>
          <w:i/>
          <w:iCs/>
          <w:sz w:val="20"/>
          <w:szCs w:val="20"/>
        </w:rPr>
      </w:pPr>
    </w:p>
    <w:p w14:paraId="5AE7100C" w14:textId="77777777" w:rsidR="00AE2EBB" w:rsidRPr="00583AED" w:rsidRDefault="00AE2EBB" w:rsidP="00AE2EBB">
      <w:pPr>
        <w:spacing w:after="0"/>
        <w:jc w:val="both"/>
        <w:rPr>
          <w:rFonts w:ascii="Arial" w:hAnsi="Arial" w:cs="Arial"/>
          <w:b/>
          <w:bCs/>
        </w:rPr>
      </w:pPr>
      <w:r w:rsidRPr="00583AED">
        <w:rPr>
          <w:rFonts w:ascii="Arial" w:hAnsi="Arial" w:cs="Arial"/>
          <w:b/>
          <w:bCs/>
        </w:rPr>
        <w:t>DOCUMENTOS TIPO – Decreto 1860 de 2021</w:t>
      </w:r>
      <w:r>
        <w:rPr>
          <w:rFonts w:ascii="Arial" w:hAnsi="Arial" w:cs="Arial"/>
          <w:b/>
          <w:bCs/>
        </w:rPr>
        <w:t xml:space="preserve"> –</w:t>
      </w:r>
      <w:r w:rsidRPr="00583AED">
        <w:rPr>
          <w:rFonts w:ascii="Arial" w:hAnsi="Arial" w:cs="Arial"/>
          <w:b/>
          <w:bCs/>
        </w:rPr>
        <w:t xml:space="preserve"> Criterios diferenciales – </w:t>
      </w:r>
      <w:proofErr w:type="spellStart"/>
      <w:r w:rsidRPr="00583AED">
        <w:rPr>
          <w:rFonts w:ascii="Arial" w:hAnsi="Arial" w:cs="Arial"/>
          <w:b/>
          <w:bCs/>
        </w:rPr>
        <w:t>Mipymes</w:t>
      </w:r>
      <w:proofErr w:type="spellEnd"/>
    </w:p>
    <w:p w14:paraId="6D5F86FB" w14:textId="77777777" w:rsidR="00AE2EBB" w:rsidRPr="00FD6DFE" w:rsidRDefault="00AE2EBB" w:rsidP="00AE2EBB">
      <w:pPr>
        <w:spacing w:after="0"/>
        <w:jc w:val="both"/>
        <w:rPr>
          <w:rFonts w:ascii="Arial" w:hAnsi="Arial" w:cs="Arial"/>
        </w:rPr>
      </w:pPr>
    </w:p>
    <w:p w14:paraId="6FC5BB8E" w14:textId="77777777" w:rsidR="00D83F98" w:rsidRPr="00D83F98" w:rsidRDefault="00D83F98" w:rsidP="00D83F98">
      <w:pPr>
        <w:spacing w:after="120" w:line="240" w:lineRule="auto"/>
        <w:jc w:val="both"/>
        <w:rPr>
          <w:rFonts w:ascii="Arial" w:eastAsia="Arial" w:hAnsi="Arial" w:cs="Arial"/>
          <w:sz w:val="20"/>
          <w:szCs w:val="20"/>
          <w:lang w:eastAsia="es-MX"/>
        </w:rPr>
      </w:pPr>
      <w:r w:rsidRPr="00D83F98">
        <w:rPr>
          <w:rFonts w:ascii="Arial" w:eastAsia="Times New Roman" w:hAnsi="Arial" w:cs="Arial"/>
          <w:color w:val="000000" w:themeColor="text1"/>
          <w:sz w:val="20"/>
          <w:szCs w:val="20"/>
          <w:lang w:eastAsia="es-MX"/>
        </w:rPr>
        <w:t xml:space="preserve">El artículo 3 del Decreto 1860 de 2021, que adicionó </w:t>
      </w:r>
      <w:r w:rsidRPr="00D83F98">
        <w:rPr>
          <w:rFonts w:ascii="Arial" w:eastAsia="Times New Roman" w:hAnsi="Arial" w:cs="Arial"/>
          <w:bCs/>
          <w:color w:val="000000" w:themeColor="text1"/>
          <w:sz w:val="20"/>
          <w:szCs w:val="20"/>
          <w:lang w:eastAsia="es-MX"/>
        </w:rPr>
        <w:t xml:space="preserve">el artículo 2.2.1.2.4.2.18 al </w:t>
      </w:r>
      <w:r w:rsidRPr="00D83F98">
        <w:rPr>
          <w:rFonts w:ascii="Arial" w:eastAsia="Times New Roman" w:hAnsi="Arial" w:cs="Arial"/>
          <w:sz w:val="20"/>
          <w:szCs w:val="20"/>
          <w:lang w:eastAsia="es-MX"/>
        </w:rPr>
        <w:t xml:space="preserve">Decreto 1082 de 2015 regula los criterios diferenciales para </w:t>
      </w:r>
      <w:proofErr w:type="spellStart"/>
      <w:r w:rsidRPr="00D83F98">
        <w:rPr>
          <w:rFonts w:ascii="Arial" w:eastAsia="Times New Roman" w:hAnsi="Arial" w:cs="Arial"/>
          <w:sz w:val="20"/>
          <w:szCs w:val="20"/>
          <w:lang w:eastAsia="es-MX"/>
        </w:rPr>
        <w:t>Mipyme</w:t>
      </w:r>
      <w:proofErr w:type="spellEnd"/>
      <w:r w:rsidRPr="00D83F98">
        <w:rPr>
          <w:rFonts w:ascii="Arial" w:eastAsia="Times New Roman" w:hAnsi="Arial" w:cs="Arial"/>
          <w:sz w:val="20"/>
          <w:szCs w:val="20"/>
          <w:lang w:eastAsia="es-MX"/>
        </w:rPr>
        <w:t xml:space="preserve"> en el sistema de compras públicas. Conforme a esta norma las entidades estatales indistintamente de su régimen de contratación, los patrimonios autónomos constituidos por entidades estatales y los particulares que ejecuten recursos públicos establecerán condiciones habilitantes diferenciales que promuevan y faciliten la participación en los procedimientos de selección competitivos de las </w:t>
      </w:r>
      <w:proofErr w:type="spellStart"/>
      <w:r w:rsidRPr="00D83F98">
        <w:rPr>
          <w:rFonts w:ascii="Arial" w:eastAsia="Times New Roman" w:hAnsi="Arial" w:cs="Arial"/>
          <w:sz w:val="20"/>
          <w:szCs w:val="20"/>
          <w:lang w:eastAsia="es-MX"/>
        </w:rPr>
        <w:t>Mipyme</w:t>
      </w:r>
      <w:proofErr w:type="spellEnd"/>
      <w:r w:rsidRPr="00D83F98">
        <w:rPr>
          <w:rFonts w:ascii="Arial" w:eastAsia="Times New Roman" w:hAnsi="Arial" w:cs="Arial"/>
          <w:sz w:val="20"/>
          <w:szCs w:val="20"/>
          <w:lang w:eastAsia="es-MX"/>
        </w:rPr>
        <w:t xml:space="preserve"> domiciliadas en Colombia. </w:t>
      </w:r>
    </w:p>
    <w:p w14:paraId="0FB91E11" w14:textId="63AE38B3" w:rsidR="00D83F98" w:rsidRPr="00D83F98" w:rsidRDefault="00D83F98" w:rsidP="00D83F98">
      <w:pPr>
        <w:spacing w:after="120" w:line="240" w:lineRule="auto"/>
        <w:jc w:val="both"/>
        <w:rPr>
          <w:rFonts w:ascii="Arial" w:eastAsia="Times New Roman" w:hAnsi="Arial" w:cs="Arial"/>
          <w:color w:val="000000" w:themeColor="text1"/>
          <w:sz w:val="20"/>
          <w:szCs w:val="20"/>
          <w:lang w:eastAsia="es-MX"/>
        </w:rPr>
      </w:pPr>
      <w:r w:rsidRPr="00D83F98">
        <w:rPr>
          <w:rFonts w:ascii="Arial" w:eastAsia="Times New Roman" w:hAnsi="Arial" w:cs="Arial"/>
          <w:sz w:val="20"/>
          <w:szCs w:val="20"/>
          <w:lang w:eastAsia="es-MX"/>
        </w:rPr>
        <w:t xml:space="preserve">Estos criterios en favor de las </w:t>
      </w:r>
      <w:proofErr w:type="spellStart"/>
      <w:r w:rsidRPr="00D83F98">
        <w:rPr>
          <w:rFonts w:ascii="Arial" w:eastAsia="Times New Roman" w:hAnsi="Arial" w:cs="Arial"/>
          <w:sz w:val="20"/>
          <w:szCs w:val="20"/>
          <w:lang w:eastAsia="es-MX"/>
        </w:rPr>
        <w:t>Mipyme</w:t>
      </w:r>
      <w:proofErr w:type="spellEnd"/>
      <w:r w:rsidRPr="00D83F98">
        <w:rPr>
          <w:rFonts w:ascii="Arial" w:eastAsia="Times New Roman" w:hAnsi="Arial" w:cs="Arial"/>
          <w:sz w:val="20"/>
          <w:szCs w:val="20"/>
          <w:lang w:eastAsia="es-MX"/>
        </w:rPr>
        <w:t xml:space="preserve"> buscan reducir las asimetrías entre estas y las grandes empresas para vincularse como proveedoras al mercado de compras públicas y, en consecuencia, promover y facilitar la participación en los procedimientos de selección competitivos de las </w:t>
      </w:r>
      <w:proofErr w:type="spellStart"/>
      <w:r w:rsidRPr="00D83F98">
        <w:rPr>
          <w:rFonts w:ascii="Arial" w:eastAsia="Times New Roman" w:hAnsi="Arial" w:cs="Arial"/>
          <w:sz w:val="20"/>
          <w:szCs w:val="20"/>
          <w:lang w:eastAsia="es-MX"/>
        </w:rPr>
        <w:t>Mipyme</w:t>
      </w:r>
      <w:proofErr w:type="spellEnd"/>
      <w:r w:rsidRPr="00D83F98">
        <w:rPr>
          <w:rFonts w:ascii="Arial" w:eastAsia="Times New Roman" w:hAnsi="Arial" w:cs="Arial"/>
          <w:sz w:val="20"/>
          <w:szCs w:val="20"/>
          <w:lang w:eastAsia="es-MX"/>
        </w:rPr>
        <w:t xml:space="preserve"> domiciliadas en Colombia. Para estos efectos, el artículo 2.2.1.2.4.2.18 del Decreto 1082 de 2015 estableció que, según los resultados del análisis del sector, en función de los criterios de clasificación empresarial, los documentos del proceso deberán incorporar </w:t>
      </w:r>
      <w:r w:rsidRPr="00D83F98">
        <w:rPr>
          <w:rFonts w:ascii="Arial" w:eastAsia="Times New Roman" w:hAnsi="Arial" w:cs="Arial"/>
          <w:color w:val="000000" w:themeColor="text1"/>
          <w:sz w:val="20"/>
          <w:szCs w:val="20"/>
          <w:lang w:eastAsia="es-MX"/>
        </w:rPr>
        <w:t xml:space="preserve">requisitos habilitantes diferenciales relacionados con alguno o algunos de los </w:t>
      </w:r>
      <w:r w:rsidRPr="00D83F98">
        <w:rPr>
          <w:rFonts w:ascii="Arial" w:eastAsia="Times New Roman" w:hAnsi="Arial" w:cs="Arial"/>
          <w:color w:val="000000" w:themeColor="text1"/>
          <w:sz w:val="20"/>
          <w:szCs w:val="20"/>
          <w:lang w:eastAsia="es-MX"/>
        </w:rPr>
        <w:lastRenderedPageBreak/>
        <w:t xml:space="preserve">siguientes aspectos: i) tiempo de experiencia, </w:t>
      </w:r>
      <w:proofErr w:type="spellStart"/>
      <w:r w:rsidRPr="00D83F98">
        <w:rPr>
          <w:rFonts w:ascii="Arial" w:eastAsia="Times New Roman" w:hAnsi="Arial" w:cs="Arial"/>
          <w:color w:val="000000" w:themeColor="text1"/>
          <w:sz w:val="20"/>
          <w:szCs w:val="20"/>
          <w:lang w:eastAsia="es-MX"/>
        </w:rPr>
        <w:t>ii</w:t>
      </w:r>
      <w:proofErr w:type="spellEnd"/>
      <w:r w:rsidRPr="00D83F98">
        <w:rPr>
          <w:rFonts w:ascii="Arial" w:eastAsia="Times New Roman" w:hAnsi="Arial" w:cs="Arial"/>
          <w:color w:val="000000" w:themeColor="text1"/>
          <w:sz w:val="20"/>
          <w:szCs w:val="20"/>
          <w:lang w:eastAsia="es-MX"/>
        </w:rPr>
        <w:t xml:space="preserve">) número de contratos para la acreditación de la experiencia, </w:t>
      </w:r>
      <w:proofErr w:type="spellStart"/>
      <w:r w:rsidRPr="00D83F98">
        <w:rPr>
          <w:rFonts w:ascii="Arial" w:eastAsia="Times New Roman" w:hAnsi="Arial" w:cs="Arial"/>
          <w:color w:val="000000" w:themeColor="text1"/>
          <w:sz w:val="20"/>
          <w:szCs w:val="20"/>
          <w:lang w:eastAsia="es-MX"/>
        </w:rPr>
        <w:t>iii</w:t>
      </w:r>
      <w:proofErr w:type="spellEnd"/>
      <w:r w:rsidRPr="00D83F98">
        <w:rPr>
          <w:rFonts w:ascii="Arial" w:eastAsia="Times New Roman" w:hAnsi="Arial" w:cs="Arial"/>
          <w:color w:val="000000" w:themeColor="text1"/>
          <w:sz w:val="20"/>
          <w:szCs w:val="20"/>
          <w:lang w:eastAsia="es-MX"/>
        </w:rPr>
        <w:t xml:space="preserve">) índices de capacidad financiera, </w:t>
      </w:r>
      <w:proofErr w:type="spellStart"/>
      <w:r w:rsidRPr="00D83F98">
        <w:rPr>
          <w:rFonts w:ascii="Arial" w:eastAsia="Times New Roman" w:hAnsi="Arial" w:cs="Arial"/>
          <w:color w:val="000000" w:themeColor="text1"/>
          <w:sz w:val="20"/>
          <w:szCs w:val="20"/>
          <w:lang w:eastAsia="es-MX"/>
        </w:rPr>
        <w:t>iv</w:t>
      </w:r>
      <w:proofErr w:type="spellEnd"/>
      <w:r w:rsidRPr="00D83F98">
        <w:rPr>
          <w:rFonts w:ascii="Arial" w:eastAsia="Times New Roman" w:hAnsi="Arial" w:cs="Arial"/>
          <w:color w:val="000000" w:themeColor="text1"/>
          <w:sz w:val="20"/>
          <w:szCs w:val="20"/>
          <w:lang w:eastAsia="es-MX"/>
        </w:rPr>
        <w:t xml:space="preserve">) índices de capacidad organizacional y v) valor de la garantía de seriedad de la oferta. </w:t>
      </w:r>
    </w:p>
    <w:p w14:paraId="4BC31FCF" w14:textId="77777777" w:rsidR="00D83F98" w:rsidRPr="00D83F98" w:rsidRDefault="00D83F98" w:rsidP="00D83F98">
      <w:pPr>
        <w:spacing w:after="0" w:line="240" w:lineRule="auto"/>
        <w:jc w:val="both"/>
        <w:rPr>
          <w:rFonts w:ascii="Arial" w:eastAsia="Times New Roman" w:hAnsi="Arial" w:cs="Arial"/>
          <w:sz w:val="20"/>
          <w:szCs w:val="20"/>
          <w:lang w:eastAsia="es-MX"/>
        </w:rPr>
      </w:pPr>
      <w:r w:rsidRPr="00D83F98">
        <w:rPr>
          <w:rFonts w:ascii="Arial" w:eastAsia="Times New Roman" w:hAnsi="Arial" w:cs="Arial"/>
          <w:color w:val="000000" w:themeColor="text1"/>
          <w:sz w:val="20"/>
          <w:szCs w:val="20"/>
          <w:lang w:eastAsia="es-MX"/>
        </w:rPr>
        <w:t xml:space="preserve">Lo anterior significa que para la determinación de los criterios diferenciales para </w:t>
      </w:r>
      <w:proofErr w:type="spellStart"/>
      <w:r w:rsidRPr="00D83F98">
        <w:rPr>
          <w:rFonts w:ascii="Arial" w:eastAsia="Times New Roman" w:hAnsi="Arial" w:cs="Arial"/>
          <w:color w:val="000000" w:themeColor="text1"/>
          <w:sz w:val="20"/>
          <w:szCs w:val="20"/>
          <w:lang w:eastAsia="es-MX"/>
        </w:rPr>
        <w:t>Mipyme</w:t>
      </w:r>
      <w:proofErr w:type="spellEnd"/>
      <w:r w:rsidRPr="00D83F98">
        <w:rPr>
          <w:rFonts w:ascii="Arial" w:eastAsia="Times New Roman" w:hAnsi="Arial" w:cs="Arial"/>
          <w:color w:val="000000" w:themeColor="text1"/>
          <w:sz w:val="20"/>
          <w:szCs w:val="20"/>
          <w:lang w:eastAsia="es-MX"/>
        </w:rPr>
        <w:t xml:space="preserve">, las entidades podrán escoger uno o algunos de estos requisitos habilitantes, los cuales deberán fijarse respetando las condiciones habilitantes requeridas para el cumplimiento adecuado del contrato. En tal sentido, se establecerán condiciones más exigentes respecto a alguno o algunos de los criterios de participación antes enunciados frente a los demás proponentes que concurran al procedimiento de selección que no sean </w:t>
      </w:r>
      <w:proofErr w:type="spellStart"/>
      <w:r w:rsidRPr="00D83F98">
        <w:rPr>
          <w:rFonts w:ascii="Arial" w:eastAsia="Times New Roman" w:hAnsi="Arial" w:cs="Arial"/>
          <w:color w:val="000000" w:themeColor="text1"/>
          <w:sz w:val="20"/>
          <w:szCs w:val="20"/>
          <w:lang w:eastAsia="es-MX"/>
        </w:rPr>
        <w:t>Mipyme</w:t>
      </w:r>
      <w:proofErr w:type="spellEnd"/>
      <w:r w:rsidRPr="00D83F98">
        <w:rPr>
          <w:rFonts w:ascii="Arial" w:eastAsia="Times New Roman" w:hAnsi="Arial" w:cs="Arial"/>
          <w:color w:val="000000" w:themeColor="text1"/>
          <w:sz w:val="20"/>
          <w:szCs w:val="20"/>
          <w:lang w:eastAsia="es-MX"/>
        </w:rPr>
        <w:t xml:space="preserve">. </w:t>
      </w:r>
    </w:p>
    <w:p w14:paraId="24FB99C6" w14:textId="77777777" w:rsidR="00AE2EBB" w:rsidRDefault="00AE2EBB" w:rsidP="00D83F98">
      <w:pPr>
        <w:spacing w:after="0" w:line="240" w:lineRule="auto"/>
        <w:jc w:val="both"/>
        <w:rPr>
          <w:rFonts w:ascii="Arial" w:hAnsi="Arial" w:cs="Arial"/>
        </w:rPr>
      </w:pPr>
    </w:p>
    <w:p w14:paraId="634701AA" w14:textId="77777777" w:rsidR="00AE2EBB" w:rsidRPr="00583AED" w:rsidRDefault="00AE2EBB" w:rsidP="00D83F98">
      <w:pPr>
        <w:spacing w:after="0" w:line="240" w:lineRule="auto"/>
        <w:jc w:val="both"/>
        <w:rPr>
          <w:rFonts w:ascii="Arial" w:hAnsi="Arial" w:cs="Arial"/>
          <w:b/>
          <w:bCs/>
        </w:rPr>
      </w:pPr>
      <w:r w:rsidRPr="00583AED">
        <w:rPr>
          <w:rFonts w:ascii="Arial" w:hAnsi="Arial" w:cs="Arial"/>
          <w:b/>
          <w:bCs/>
        </w:rPr>
        <w:t>DOCUMENTOS TIPO – Decreto 1860 de 2021</w:t>
      </w:r>
      <w:r>
        <w:rPr>
          <w:rFonts w:ascii="Arial" w:hAnsi="Arial" w:cs="Arial"/>
          <w:b/>
          <w:bCs/>
        </w:rPr>
        <w:t xml:space="preserve"> –</w:t>
      </w:r>
      <w:r w:rsidRPr="00583AED">
        <w:rPr>
          <w:rFonts w:ascii="Arial" w:hAnsi="Arial" w:cs="Arial"/>
          <w:b/>
          <w:bCs/>
        </w:rPr>
        <w:t xml:space="preserve"> Criterios diferenciales – Empresas y emprendimientos de mujeres</w:t>
      </w:r>
    </w:p>
    <w:p w14:paraId="3617D490" w14:textId="77777777" w:rsidR="00AE2EBB" w:rsidRDefault="00AE2EBB" w:rsidP="00AE2EBB">
      <w:pPr>
        <w:spacing w:after="0" w:line="240" w:lineRule="auto"/>
        <w:jc w:val="both"/>
        <w:rPr>
          <w:rFonts w:ascii="Arial" w:hAnsi="Arial" w:cs="Arial"/>
        </w:rPr>
      </w:pPr>
    </w:p>
    <w:p w14:paraId="22E29DD6" w14:textId="77777777" w:rsidR="00D83F98" w:rsidRPr="00D83F98" w:rsidRDefault="00AE2EBB" w:rsidP="00D83F98">
      <w:pPr>
        <w:spacing w:after="120" w:line="240" w:lineRule="auto"/>
        <w:jc w:val="both"/>
        <w:rPr>
          <w:rFonts w:ascii="Arial" w:eastAsia="Arial" w:hAnsi="Arial" w:cs="Arial"/>
          <w:sz w:val="20"/>
          <w:szCs w:val="20"/>
          <w:lang w:eastAsia="es-MX"/>
        </w:rPr>
      </w:pPr>
      <w:r w:rsidRPr="00D83F98">
        <w:rPr>
          <w:rFonts w:ascii="Arial" w:eastAsia="Arial" w:hAnsi="Arial" w:cs="Arial"/>
          <w:sz w:val="20"/>
          <w:szCs w:val="20"/>
          <w:lang w:eastAsia="es-MX"/>
        </w:rPr>
        <w:t xml:space="preserve">[…] </w:t>
      </w:r>
      <w:r w:rsidR="00D83F98" w:rsidRPr="00D83F98">
        <w:rPr>
          <w:rFonts w:ascii="Arial" w:eastAsia="Arial" w:hAnsi="Arial" w:cs="Arial"/>
          <w:sz w:val="20"/>
          <w:szCs w:val="20"/>
          <w:lang w:eastAsia="es-MX"/>
        </w:rPr>
        <w:t xml:space="preserve">los criterios diferenciales en favor de emprendimientos y empresas de mujeres incluidos en el Decreto 1860 de 2021 únicamente se aplicarán a los proponentes que acrediten alguna de las condiciones señaladas en el artículo 2.2.1.2.4.2.14 del Decreto 1082 de 2015. </w:t>
      </w:r>
    </w:p>
    <w:p w14:paraId="6ACDE3B8" w14:textId="6DE9D8E6" w:rsidR="00D83F98" w:rsidRPr="00D83F98" w:rsidRDefault="00D83F98" w:rsidP="00D83F98">
      <w:pPr>
        <w:spacing w:after="0" w:line="240" w:lineRule="auto"/>
        <w:jc w:val="both"/>
        <w:rPr>
          <w:rFonts w:ascii="Arial" w:eastAsia="Times New Roman" w:hAnsi="Arial" w:cs="Arial"/>
          <w:sz w:val="20"/>
          <w:szCs w:val="20"/>
          <w:lang w:eastAsia="es-MX"/>
        </w:rPr>
      </w:pPr>
      <w:r w:rsidRPr="00D83F98">
        <w:rPr>
          <w:rFonts w:ascii="Arial" w:eastAsia="Times New Roman" w:hAnsi="Arial" w:cs="Arial"/>
          <w:color w:val="000000" w:themeColor="text1"/>
          <w:sz w:val="20"/>
          <w:szCs w:val="20"/>
          <w:lang w:eastAsia="es-MX"/>
        </w:rPr>
        <w:t xml:space="preserve">Por otro lado, el artículo 3 del Decreto 1860 de 2021 adicionó </w:t>
      </w:r>
      <w:r w:rsidRPr="00D83F98">
        <w:rPr>
          <w:rFonts w:ascii="Arial" w:eastAsia="Times New Roman" w:hAnsi="Arial" w:cs="Arial"/>
          <w:bCs/>
          <w:color w:val="000000" w:themeColor="text1"/>
          <w:sz w:val="20"/>
          <w:szCs w:val="20"/>
          <w:lang w:eastAsia="es-MX"/>
        </w:rPr>
        <w:t xml:space="preserve">el artículo 2.2.1.2.4.2.15 al </w:t>
      </w:r>
      <w:r w:rsidRPr="00D83F98">
        <w:rPr>
          <w:rFonts w:ascii="Arial" w:eastAsia="Times New Roman" w:hAnsi="Arial" w:cs="Arial"/>
          <w:sz w:val="20"/>
          <w:szCs w:val="20"/>
          <w:lang w:eastAsia="es-MX"/>
        </w:rPr>
        <w:t xml:space="preserve">Decreto 1082 de 2015 que estableció </w:t>
      </w:r>
      <w:r w:rsidRPr="00D83F98">
        <w:rPr>
          <w:rFonts w:ascii="Arial" w:eastAsia="Times New Roman" w:hAnsi="Arial" w:cs="Arial"/>
          <w:color w:val="000000" w:themeColor="text1"/>
          <w:sz w:val="20"/>
          <w:szCs w:val="20"/>
          <w:lang w:eastAsia="es-MX"/>
        </w:rPr>
        <w:t xml:space="preserve">unas reglas objetivas que garantizan una aplicación uniforme de los criterios diferenciales a favor de empresas y emprendimientos de mujeres. </w:t>
      </w:r>
      <w:r w:rsidRPr="00D83F98">
        <w:rPr>
          <w:rFonts w:ascii="Arial" w:eastAsia="Times New Roman" w:hAnsi="Arial" w:cs="Arial"/>
          <w:sz w:val="20"/>
          <w:szCs w:val="20"/>
          <w:lang w:eastAsia="es-MX"/>
        </w:rPr>
        <w:t xml:space="preserve">De esta forma, se dispuso de criterios diferenciales que incluyen tanto las condiciones habilitantes como los puntajes adicionales que aplican a los procesos de licitación pública, selección abreviada de menor cuantía y concurso de méritos, excluyendo las demás modalidades de selección del artículo 2 de la Ley 1150 de 2007, esto es, a la mínima cuantía y a la contratación directa. </w:t>
      </w:r>
    </w:p>
    <w:p w14:paraId="4FCC97EA" w14:textId="77777777" w:rsidR="00AE2EBB" w:rsidRPr="006B6658" w:rsidRDefault="00AE2EBB" w:rsidP="00D83F98">
      <w:pPr>
        <w:spacing w:after="0" w:line="276" w:lineRule="auto"/>
        <w:jc w:val="both"/>
        <w:rPr>
          <w:rFonts w:ascii="Arial" w:eastAsia="Times New Roman" w:hAnsi="Arial" w:cs="Arial"/>
          <w:szCs w:val="24"/>
          <w:lang w:eastAsia="es-MX"/>
        </w:rPr>
      </w:pPr>
    </w:p>
    <w:p w14:paraId="76ECDBB9" w14:textId="77777777" w:rsidR="00AE2EBB" w:rsidRPr="00583AED" w:rsidRDefault="00AE2EBB" w:rsidP="00AE2EBB">
      <w:pPr>
        <w:spacing w:after="0"/>
        <w:jc w:val="both"/>
        <w:rPr>
          <w:rFonts w:ascii="Arial" w:hAnsi="Arial" w:cs="Arial"/>
          <w:b/>
          <w:bCs/>
        </w:rPr>
      </w:pPr>
      <w:r w:rsidRPr="00583AED">
        <w:rPr>
          <w:rFonts w:ascii="Arial" w:hAnsi="Arial" w:cs="Arial"/>
          <w:b/>
          <w:bCs/>
        </w:rPr>
        <w:t>DOCUMENTOS TIPO – Decreto 1860 de 2021</w:t>
      </w:r>
      <w:r>
        <w:rPr>
          <w:rFonts w:ascii="Arial" w:hAnsi="Arial" w:cs="Arial"/>
          <w:b/>
          <w:bCs/>
        </w:rPr>
        <w:t xml:space="preserve"> – </w:t>
      </w:r>
      <w:r w:rsidRPr="00583AED">
        <w:rPr>
          <w:rFonts w:ascii="Arial" w:hAnsi="Arial" w:cs="Arial"/>
          <w:b/>
          <w:bCs/>
        </w:rPr>
        <w:t>Vigencia</w:t>
      </w:r>
    </w:p>
    <w:p w14:paraId="77B641BD" w14:textId="77777777" w:rsidR="00AE2EBB" w:rsidRDefault="00AE2EBB" w:rsidP="00AE2EBB">
      <w:pPr>
        <w:spacing w:after="0"/>
        <w:jc w:val="both"/>
        <w:rPr>
          <w:rFonts w:ascii="Arial" w:hAnsi="Arial" w:cs="Arial"/>
        </w:rPr>
      </w:pPr>
    </w:p>
    <w:p w14:paraId="77CA8B8C" w14:textId="416C66E4" w:rsidR="00D83F98" w:rsidRPr="00D83F98" w:rsidRDefault="00D83F98" w:rsidP="00D83F98">
      <w:pPr>
        <w:spacing w:after="120" w:line="240" w:lineRule="auto"/>
        <w:jc w:val="both"/>
        <w:rPr>
          <w:rFonts w:ascii="Arial" w:eastAsia="Arial" w:hAnsi="Arial" w:cs="Arial"/>
          <w:sz w:val="20"/>
          <w:szCs w:val="20"/>
          <w:lang w:val="es-ES" w:eastAsia="es-CO"/>
        </w:rPr>
      </w:pPr>
      <w:r w:rsidRPr="00D83F98">
        <w:rPr>
          <w:rFonts w:ascii="Arial" w:eastAsia="Times New Roman" w:hAnsi="Arial" w:cs="Arial"/>
          <w:sz w:val="20"/>
          <w:szCs w:val="20"/>
          <w:lang w:eastAsia="es-MX"/>
        </w:rPr>
        <w:t>Para aplicar las disposiciones contenidas en el Decreto 1860 de 2021, el artículo 8 de dicho decreto estableció el momento a partir del cual sus disposiciones surtirían efectos.</w:t>
      </w:r>
      <w:r w:rsidRPr="00D83F98">
        <w:rPr>
          <w:rFonts w:ascii="Arial" w:eastAsia="Calibri" w:hAnsi="Arial" w:cs="Arial"/>
          <w:sz w:val="20"/>
          <w:szCs w:val="20"/>
        </w:rPr>
        <w:t xml:space="preserve"> De esta forma, se estableció que estas </w:t>
      </w:r>
      <w:r w:rsidRPr="00D83F98">
        <w:rPr>
          <w:rFonts w:ascii="Arial" w:eastAsia="Arial" w:hAnsi="Arial" w:cs="Arial"/>
          <w:sz w:val="20"/>
          <w:szCs w:val="20"/>
          <w:lang w:val="es-ES" w:eastAsia="es-CO"/>
        </w:rPr>
        <w:t xml:space="preserve">aplicarán a los procesos de selección cuya invitación, aviso de convocatoria o documento equivalente –según corresponda–, se publique después de los tres (3) meses de su expedición. </w:t>
      </w:r>
    </w:p>
    <w:p w14:paraId="30585FEA" w14:textId="77777777" w:rsidR="00D83F98" w:rsidRPr="00D83F98" w:rsidRDefault="00D83F98" w:rsidP="00D83F98">
      <w:pPr>
        <w:autoSpaceDE w:val="0"/>
        <w:autoSpaceDN w:val="0"/>
        <w:adjustRightInd w:val="0"/>
        <w:spacing w:after="120" w:line="240" w:lineRule="auto"/>
        <w:jc w:val="both"/>
        <w:rPr>
          <w:rFonts w:ascii="Arial" w:eastAsia="Arial" w:hAnsi="Arial" w:cs="Arial"/>
          <w:sz w:val="20"/>
          <w:szCs w:val="20"/>
          <w:lang w:eastAsia="es-MX"/>
        </w:rPr>
      </w:pPr>
      <w:r w:rsidRPr="00D83F98">
        <w:rPr>
          <w:rFonts w:ascii="Arial" w:eastAsia="Arial" w:hAnsi="Arial" w:cs="Arial"/>
          <w:sz w:val="20"/>
          <w:szCs w:val="20"/>
          <w:lang w:val="es-ES" w:eastAsia="es-CO"/>
        </w:rPr>
        <w:t xml:space="preserve">No obstante, en relación con los procesos de contratación que se rijan por los Documentos Tipo, en el parágrafo del artículo se dispuso que las disposiciones contenidas en el Decreto no se aplicarían a dichos procesos hasta que la Agencia Nacional de Contratación Pública − Colombia Compra Eficiente incorpore en estos documentos las modificaciones pertinentes. Para el efecto, se señaló que la Agencia tendría un plazo de seis (6) meses contados a partir de la expedición del reglamento para adecuar los documentos tipo a las disposiciones del Decreto. En este sentido, hasta que la adecuación no ocurra se continuarán aplicando los instrumentos y </w:t>
      </w:r>
      <w:r w:rsidRPr="00D83F98">
        <w:rPr>
          <w:rFonts w:ascii="Arial" w:eastAsia="Arial" w:hAnsi="Arial" w:cs="Arial"/>
          <w:sz w:val="20"/>
          <w:szCs w:val="20"/>
          <w:lang w:eastAsia="es-MX"/>
        </w:rPr>
        <w:t>las normas vigentes anteriores a la expedición del reglamento, conforme a la regulación contenida en los Documentos Tipo vigentes.</w:t>
      </w:r>
    </w:p>
    <w:p w14:paraId="496456C5" w14:textId="77777777" w:rsidR="00D83F98" w:rsidRPr="00D83F98" w:rsidRDefault="00D83F98" w:rsidP="00D83F98">
      <w:pPr>
        <w:spacing w:after="120" w:line="240" w:lineRule="auto"/>
        <w:jc w:val="both"/>
        <w:rPr>
          <w:rFonts w:ascii="Arial" w:eastAsia="Arial" w:hAnsi="Arial" w:cs="Arial"/>
          <w:sz w:val="20"/>
          <w:szCs w:val="20"/>
          <w:lang w:val="es-ES" w:eastAsia="es-CO"/>
        </w:rPr>
      </w:pPr>
      <w:r w:rsidRPr="00D83F98">
        <w:rPr>
          <w:rFonts w:ascii="Arial" w:eastAsia="Arial" w:hAnsi="Arial" w:cs="Arial"/>
          <w:sz w:val="20"/>
          <w:szCs w:val="20"/>
          <w:lang w:val="es-ES" w:eastAsia="es-CO"/>
        </w:rPr>
        <w:t xml:space="preserve">Sin perjuicio de lo anterior, el segundo inciso del parágrafo señala una regla distinta en relación con la </w:t>
      </w:r>
      <w:proofErr w:type="gramStart"/>
      <w:r w:rsidRPr="00D83F98">
        <w:rPr>
          <w:rFonts w:ascii="Arial" w:eastAsia="Arial" w:hAnsi="Arial" w:cs="Arial"/>
          <w:sz w:val="20"/>
          <w:szCs w:val="20"/>
          <w:lang w:val="es-ES" w:eastAsia="es-CO"/>
        </w:rPr>
        <w:t>entrada en vigencia</w:t>
      </w:r>
      <w:proofErr w:type="gramEnd"/>
      <w:r w:rsidRPr="00D83F98">
        <w:rPr>
          <w:rFonts w:ascii="Arial" w:eastAsia="Arial" w:hAnsi="Arial" w:cs="Arial"/>
          <w:sz w:val="20"/>
          <w:szCs w:val="20"/>
          <w:lang w:val="es-ES" w:eastAsia="es-CO"/>
        </w:rPr>
        <w:t xml:space="preserve"> del artículo 5 del reglamento, en relación con los procesos regidos por documentos tipo. De esta forma se previó que este entrará a regir en aquellos procesos en los que </w:t>
      </w:r>
      <w:r w:rsidRPr="00D83F98">
        <w:rPr>
          <w:rFonts w:ascii="Arial" w:hAnsi="Arial" w:cs="Arial"/>
          <w:sz w:val="20"/>
          <w:szCs w:val="20"/>
        </w:rPr>
        <w:t xml:space="preserve">la publicación del aviso de convocatoria o </w:t>
      </w:r>
      <w:r w:rsidRPr="00D83F98">
        <w:rPr>
          <w:rFonts w:ascii="Arial" w:eastAsia="Arial" w:hAnsi="Arial" w:cs="Arial"/>
          <w:sz w:val="20"/>
          <w:szCs w:val="20"/>
          <w:lang w:val="es-ES" w:eastAsia="es-CO"/>
        </w:rPr>
        <w:t>la invitación −según corresponda−, se realice a los tres (3) meses de la expedición del Decreto.</w:t>
      </w:r>
    </w:p>
    <w:p w14:paraId="29619757" w14:textId="77777777" w:rsidR="00D83F98" w:rsidRPr="00D83F98" w:rsidRDefault="00D83F98" w:rsidP="00D83F98">
      <w:pPr>
        <w:spacing w:after="120" w:line="240" w:lineRule="auto"/>
        <w:jc w:val="both"/>
        <w:rPr>
          <w:rFonts w:ascii="Arial" w:eastAsia="Times New Roman" w:hAnsi="Arial" w:cs="Arial"/>
          <w:color w:val="000000" w:themeColor="text1"/>
          <w:sz w:val="20"/>
          <w:szCs w:val="20"/>
          <w:lang w:eastAsia="es-MX"/>
        </w:rPr>
      </w:pPr>
      <w:r w:rsidRPr="00D83F98">
        <w:rPr>
          <w:rFonts w:ascii="Arial" w:eastAsia="Times New Roman" w:hAnsi="Arial" w:cs="Arial"/>
          <w:color w:val="000000" w:themeColor="text1"/>
          <w:sz w:val="20"/>
          <w:szCs w:val="20"/>
          <w:lang w:eastAsia="es-MX"/>
        </w:rPr>
        <w:t xml:space="preserve">Conforme con el contenido del parágrafo, la </w:t>
      </w:r>
      <w:proofErr w:type="gramStart"/>
      <w:r w:rsidRPr="00D83F98">
        <w:rPr>
          <w:rFonts w:ascii="Arial" w:eastAsia="Times New Roman" w:hAnsi="Arial" w:cs="Arial"/>
          <w:color w:val="000000" w:themeColor="text1"/>
          <w:sz w:val="20"/>
          <w:szCs w:val="20"/>
          <w:lang w:eastAsia="es-MX"/>
        </w:rPr>
        <w:t>entrada en vigencia</w:t>
      </w:r>
      <w:proofErr w:type="gramEnd"/>
      <w:r w:rsidRPr="00D83F98">
        <w:rPr>
          <w:rFonts w:ascii="Arial" w:eastAsia="Times New Roman" w:hAnsi="Arial" w:cs="Arial"/>
          <w:color w:val="000000" w:themeColor="text1"/>
          <w:sz w:val="20"/>
          <w:szCs w:val="20"/>
          <w:lang w:eastAsia="es-MX"/>
        </w:rPr>
        <w:t xml:space="preserve"> del Decreto 1860 de 2021, en relación con los procesos contractuales regidos documentos tipo, dependerá de si se trata del artículo 5 del Decreto o de cualquier otro. De esta forma, en el primer supuesto, </w:t>
      </w:r>
      <w:r w:rsidRPr="00D83F98">
        <w:rPr>
          <w:rFonts w:ascii="Arial" w:eastAsia="Arial" w:hAnsi="Arial" w:cs="Arial"/>
          <w:sz w:val="20"/>
          <w:szCs w:val="20"/>
          <w:lang w:val="es-ES" w:eastAsia="es-CO"/>
        </w:rPr>
        <w:t xml:space="preserve">teniendo en cuenta que el Decreto fue expedido el 24 de diciembre de 2021, las disposiciones contenidas en el artículo 5 relacionadas con la limitación a </w:t>
      </w:r>
      <w:proofErr w:type="spellStart"/>
      <w:r w:rsidRPr="00D83F98">
        <w:rPr>
          <w:rFonts w:ascii="Arial" w:eastAsia="Arial" w:hAnsi="Arial" w:cs="Arial"/>
          <w:sz w:val="20"/>
          <w:szCs w:val="20"/>
          <w:lang w:val="es-ES" w:eastAsia="es-CO"/>
        </w:rPr>
        <w:t>Mipymes</w:t>
      </w:r>
      <w:proofErr w:type="spellEnd"/>
      <w:r w:rsidRPr="00D83F98">
        <w:rPr>
          <w:rFonts w:ascii="Arial" w:eastAsia="Arial" w:hAnsi="Arial" w:cs="Arial"/>
          <w:sz w:val="20"/>
          <w:szCs w:val="20"/>
          <w:lang w:val="es-ES" w:eastAsia="es-CO"/>
        </w:rPr>
        <w:t xml:space="preserve">, son obligatorias desde </w:t>
      </w:r>
      <w:r w:rsidRPr="00D83F98">
        <w:rPr>
          <w:rFonts w:ascii="Arial" w:hAnsi="Arial" w:cs="Arial"/>
          <w:sz w:val="20"/>
          <w:szCs w:val="20"/>
        </w:rPr>
        <w:t xml:space="preserve">el 24 de marzo de </w:t>
      </w:r>
      <w:r w:rsidRPr="00D83F98">
        <w:rPr>
          <w:rFonts w:ascii="Arial" w:hAnsi="Arial" w:cs="Arial"/>
          <w:sz w:val="20"/>
          <w:szCs w:val="20"/>
        </w:rPr>
        <w:lastRenderedPageBreak/>
        <w:t>2022.</w:t>
      </w:r>
      <w:r w:rsidRPr="00D83F98">
        <w:rPr>
          <w:rFonts w:ascii="Arial" w:eastAsia="Times New Roman" w:hAnsi="Arial" w:cs="Arial"/>
          <w:color w:val="000000" w:themeColor="text1"/>
          <w:sz w:val="20"/>
          <w:szCs w:val="20"/>
          <w:lang w:eastAsia="es-MX"/>
        </w:rPr>
        <w:t xml:space="preserve"> No obstante, si se trata de los otros artículos del Decreto, su </w:t>
      </w:r>
      <w:proofErr w:type="gramStart"/>
      <w:r w:rsidRPr="00D83F98">
        <w:rPr>
          <w:rFonts w:ascii="Arial" w:eastAsia="Times New Roman" w:hAnsi="Arial" w:cs="Arial"/>
          <w:color w:val="000000" w:themeColor="text1"/>
          <w:sz w:val="20"/>
          <w:szCs w:val="20"/>
          <w:lang w:eastAsia="es-MX"/>
        </w:rPr>
        <w:t>entrada en vigencia</w:t>
      </w:r>
      <w:proofErr w:type="gramEnd"/>
      <w:r w:rsidRPr="00D83F98">
        <w:rPr>
          <w:rFonts w:ascii="Arial" w:eastAsia="Times New Roman" w:hAnsi="Arial" w:cs="Arial"/>
          <w:color w:val="000000" w:themeColor="text1"/>
          <w:sz w:val="20"/>
          <w:szCs w:val="20"/>
          <w:lang w:eastAsia="es-MX"/>
        </w:rPr>
        <w:t xml:space="preserve"> está condicionada a la modificación de los documentos tipo por parte de la Agencia Nacional de Contratación Pública – Colombia Compra Eficiente.</w:t>
      </w:r>
    </w:p>
    <w:p w14:paraId="06284571" w14:textId="779607B4" w:rsidR="008D3390" w:rsidRPr="008D3390" w:rsidRDefault="008D3390" w:rsidP="008D3390">
      <w:pPr>
        <w:widowControl w:val="0"/>
        <w:autoSpaceDE w:val="0"/>
        <w:autoSpaceDN w:val="0"/>
        <w:spacing w:after="0" w:line="276" w:lineRule="auto"/>
        <w:jc w:val="right"/>
        <w:rPr>
          <w:rFonts w:ascii="Arial" w:eastAsia="Times New Roman" w:hAnsi="Arial" w:cs="Arial"/>
          <w:lang w:val="es-ES" w:eastAsia="es-ES"/>
        </w:rPr>
      </w:pPr>
    </w:p>
    <w:p w14:paraId="74148D72" w14:textId="4F845E1A" w:rsidR="008D3390" w:rsidRPr="008D3390" w:rsidRDefault="000644D8" w:rsidP="000644D8">
      <w:pPr>
        <w:widowControl w:val="0"/>
        <w:autoSpaceDE w:val="0"/>
        <w:autoSpaceDN w:val="0"/>
        <w:spacing w:after="0" w:line="276" w:lineRule="auto"/>
        <w:jc w:val="right"/>
        <w:rPr>
          <w:rFonts w:ascii="Arial" w:eastAsia="Times New Roman" w:hAnsi="Arial" w:cs="Arial"/>
          <w:lang w:val="es-ES" w:eastAsia="es-ES"/>
        </w:rPr>
      </w:pPr>
      <w:r>
        <w:rPr>
          <w:noProof/>
        </w:rPr>
        <w:drawing>
          <wp:inline distT="0" distB="0" distL="0" distR="0" wp14:anchorId="241AF70B" wp14:editId="23336E02">
            <wp:extent cx="3511216" cy="981075"/>
            <wp:effectExtent l="0" t="0" r="0" b="0"/>
            <wp:docPr id="3" name="Imagen 3"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Texto&#10;&#10;Descripción generada automáticamente"/>
                    <pic:cNvPicPr/>
                  </pic:nvPicPr>
                  <pic:blipFill rotWithShape="1">
                    <a:blip r:embed="rId8"/>
                    <a:srcRect l="59619" t="34996" r="4398" b="48918"/>
                    <a:stretch/>
                  </pic:blipFill>
                  <pic:spPr bwMode="auto">
                    <a:xfrm>
                      <a:off x="0" y="0"/>
                      <a:ext cx="3516410" cy="982526"/>
                    </a:xfrm>
                    <a:prstGeom prst="rect">
                      <a:avLst/>
                    </a:prstGeom>
                    <a:ln>
                      <a:noFill/>
                    </a:ln>
                    <a:extLst>
                      <a:ext uri="{53640926-AAD7-44D8-BBD7-CCE9431645EC}">
                        <a14:shadowObscured xmlns:a14="http://schemas.microsoft.com/office/drawing/2010/main"/>
                      </a:ext>
                    </a:extLst>
                  </pic:spPr>
                </pic:pic>
              </a:graphicData>
            </a:graphic>
          </wp:inline>
        </w:drawing>
      </w:r>
    </w:p>
    <w:p w14:paraId="0A9E77FB" w14:textId="77777777" w:rsidR="000644D8" w:rsidRDefault="000644D8" w:rsidP="008D3390">
      <w:pPr>
        <w:spacing w:after="0" w:line="276" w:lineRule="auto"/>
        <w:rPr>
          <w:rFonts w:ascii="Arial" w:eastAsia="Calibri" w:hAnsi="Arial" w:cs="Arial"/>
          <w:color w:val="000000" w:themeColor="text1"/>
          <w:szCs w:val="24"/>
          <w:lang w:eastAsia="es-MX"/>
        </w:rPr>
      </w:pPr>
      <w:bookmarkStart w:id="0" w:name="_Hlk110839819"/>
    </w:p>
    <w:p w14:paraId="10A7EEAD" w14:textId="0E087BA7" w:rsidR="000644D8" w:rsidRPr="000644D8" w:rsidRDefault="000644D8" w:rsidP="008D3390">
      <w:pPr>
        <w:spacing w:after="0" w:line="276" w:lineRule="auto"/>
        <w:rPr>
          <w:rFonts w:ascii="Arial" w:eastAsia="Calibri" w:hAnsi="Arial" w:cs="Arial"/>
          <w:color w:val="000000" w:themeColor="text1"/>
          <w:szCs w:val="24"/>
          <w:lang w:eastAsia="es-MX"/>
        </w:rPr>
      </w:pPr>
      <w:r w:rsidRPr="000644D8">
        <w:rPr>
          <w:rFonts w:ascii="Arial" w:hAnsi="Arial" w:cs="Arial"/>
        </w:rPr>
        <w:t xml:space="preserve">Bogotá, 08 </w:t>
      </w:r>
      <w:proofErr w:type="gramStart"/>
      <w:r w:rsidRPr="000644D8">
        <w:rPr>
          <w:rFonts w:ascii="Arial" w:hAnsi="Arial" w:cs="Arial"/>
        </w:rPr>
        <w:t>Agosto</w:t>
      </w:r>
      <w:proofErr w:type="gramEnd"/>
      <w:r w:rsidRPr="000644D8">
        <w:rPr>
          <w:rFonts w:ascii="Arial" w:hAnsi="Arial" w:cs="Arial"/>
        </w:rPr>
        <w:t xml:space="preserve"> 2022</w:t>
      </w:r>
    </w:p>
    <w:p w14:paraId="53464D46" w14:textId="77777777" w:rsidR="000644D8" w:rsidRDefault="000644D8" w:rsidP="008D3390">
      <w:pPr>
        <w:spacing w:after="0" w:line="276" w:lineRule="auto"/>
        <w:rPr>
          <w:rFonts w:ascii="Arial" w:eastAsia="Calibri" w:hAnsi="Arial" w:cs="Arial"/>
          <w:color w:val="000000" w:themeColor="text1"/>
          <w:szCs w:val="24"/>
          <w:lang w:eastAsia="es-MX"/>
        </w:rPr>
      </w:pPr>
    </w:p>
    <w:p w14:paraId="538347DF" w14:textId="157C0E89" w:rsidR="008D3390" w:rsidRPr="008D3390" w:rsidRDefault="008D3390" w:rsidP="008D3390">
      <w:pPr>
        <w:spacing w:after="0" w:line="276" w:lineRule="auto"/>
        <w:rPr>
          <w:rFonts w:ascii="Arial" w:eastAsia="Calibri" w:hAnsi="Arial" w:cs="Arial"/>
          <w:color w:val="000000" w:themeColor="text1"/>
          <w:szCs w:val="24"/>
          <w:lang w:eastAsia="es-MX"/>
        </w:rPr>
      </w:pPr>
      <w:r w:rsidRPr="008D3390">
        <w:rPr>
          <w:rFonts w:ascii="Arial" w:eastAsia="Calibri" w:hAnsi="Arial" w:cs="Arial"/>
          <w:color w:val="000000" w:themeColor="text1"/>
          <w:szCs w:val="24"/>
          <w:lang w:eastAsia="es-MX"/>
        </w:rPr>
        <w:t>Señor</w:t>
      </w:r>
      <w:r>
        <w:rPr>
          <w:rFonts w:ascii="Arial" w:eastAsia="Calibri" w:hAnsi="Arial" w:cs="Arial"/>
          <w:color w:val="000000" w:themeColor="text1"/>
          <w:szCs w:val="24"/>
          <w:lang w:eastAsia="es-MX"/>
        </w:rPr>
        <w:t>a</w:t>
      </w:r>
    </w:p>
    <w:p w14:paraId="06D56C55" w14:textId="0BF440E2" w:rsidR="008D3390" w:rsidRDefault="008D3390" w:rsidP="008D3390">
      <w:pPr>
        <w:spacing w:after="0" w:line="240" w:lineRule="auto"/>
        <w:rPr>
          <w:rFonts w:ascii="Arial" w:hAnsi="Arial" w:cs="Arial"/>
          <w:b/>
          <w:bCs/>
        </w:rPr>
      </w:pPr>
      <w:r>
        <w:rPr>
          <w:rFonts w:ascii="Arial" w:hAnsi="Arial" w:cs="Arial"/>
          <w:b/>
          <w:bCs/>
        </w:rPr>
        <w:t>Ximena Londoño</w:t>
      </w:r>
    </w:p>
    <w:p w14:paraId="3469E177" w14:textId="2A599BC3" w:rsidR="008D3390" w:rsidRPr="008D3390" w:rsidRDefault="008D3390" w:rsidP="008D3390">
      <w:pPr>
        <w:spacing w:after="0" w:line="240" w:lineRule="auto"/>
        <w:rPr>
          <w:rFonts w:ascii="Arial" w:hAnsi="Arial" w:cs="Arial"/>
        </w:rPr>
      </w:pPr>
      <w:r w:rsidRPr="008D3390">
        <w:rPr>
          <w:rFonts w:ascii="Arial" w:hAnsi="Arial" w:cs="Arial"/>
        </w:rPr>
        <w:t>Alcaldía de Jamundí</w:t>
      </w:r>
    </w:p>
    <w:p w14:paraId="4AB95EAE" w14:textId="3E541684" w:rsidR="008D3390" w:rsidRPr="008D3390" w:rsidRDefault="008D3390" w:rsidP="008D3390">
      <w:pPr>
        <w:spacing w:after="0" w:line="240" w:lineRule="auto"/>
        <w:rPr>
          <w:rFonts w:ascii="Arial" w:hAnsi="Arial" w:cs="Arial"/>
        </w:rPr>
      </w:pPr>
      <w:r w:rsidRPr="008D3390">
        <w:rPr>
          <w:rFonts w:ascii="Arial" w:hAnsi="Arial" w:cs="Arial"/>
        </w:rPr>
        <w:t>Jamundí, Valle del Cauca</w:t>
      </w:r>
    </w:p>
    <w:p w14:paraId="3AF0AE2E" w14:textId="77777777" w:rsidR="008D3390" w:rsidRPr="008D3390" w:rsidRDefault="008D3390" w:rsidP="008D3390">
      <w:pPr>
        <w:spacing w:after="0" w:line="240" w:lineRule="auto"/>
        <w:rPr>
          <w:rFonts w:ascii="Arial" w:eastAsia="Calibri" w:hAnsi="Arial" w:cs="Arial"/>
          <w:b/>
          <w:color w:val="000000" w:themeColor="text1"/>
          <w:szCs w:val="24"/>
          <w:lang w:eastAsia="es-MX"/>
        </w:rPr>
      </w:pPr>
    </w:p>
    <w:p w14:paraId="44A9A8AF" w14:textId="072EB0E1" w:rsidR="008D3390" w:rsidRPr="008D3390" w:rsidRDefault="008D3390" w:rsidP="008D3390">
      <w:pPr>
        <w:spacing w:after="0" w:line="240" w:lineRule="auto"/>
        <w:rPr>
          <w:rFonts w:ascii="Arial" w:eastAsia="Calibri" w:hAnsi="Arial" w:cs="Arial"/>
          <w:b/>
          <w:color w:val="000000" w:themeColor="text1"/>
          <w:szCs w:val="24"/>
          <w:lang w:eastAsia="es-MX"/>
        </w:rPr>
      </w:pPr>
      <w:r w:rsidRPr="008D3390">
        <w:rPr>
          <w:rFonts w:ascii="Arial" w:eastAsia="Calibri" w:hAnsi="Arial" w:cs="Arial"/>
          <w:b/>
          <w:color w:val="000000" w:themeColor="text1"/>
          <w:szCs w:val="24"/>
          <w:lang w:eastAsia="es-MX"/>
        </w:rPr>
        <w:t xml:space="preserve">                                        Concepto C – </w:t>
      </w:r>
      <w:r>
        <w:rPr>
          <w:rFonts w:ascii="Arial" w:eastAsia="Calibri" w:hAnsi="Arial" w:cs="Arial"/>
          <w:b/>
          <w:color w:val="000000" w:themeColor="text1"/>
          <w:szCs w:val="24"/>
          <w:lang w:eastAsia="es-MX"/>
        </w:rPr>
        <w:t>509</w:t>
      </w:r>
      <w:r w:rsidRPr="008D3390">
        <w:rPr>
          <w:rFonts w:ascii="Arial" w:eastAsia="Calibri" w:hAnsi="Arial" w:cs="Arial"/>
          <w:b/>
          <w:color w:val="000000" w:themeColor="text1"/>
          <w:szCs w:val="24"/>
          <w:lang w:eastAsia="es-MX"/>
        </w:rPr>
        <w:t xml:space="preserve"> de 2022 </w:t>
      </w:r>
    </w:p>
    <w:p w14:paraId="3BB91711" w14:textId="77777777" w:rsidR="008D3390" w:rsidRPr="008D3390" w:rsidRDefault="008D3390" w:rsidP="008D3390">
      <w:pPr>
        <w:spacing w:after="0" w:line="240" w:lineRule="auto"/>
        <w:rPr>
          <w:rFonts w:ascii="Arial" w:eastAsia="Calibri" w:hAnsi="Arial" w:cs="Arial"/>
          <w:b/>
          <w:color w:val="000000" w:themeColor="text1"/>
          <w:szCs w:val="24"/>
          <w:lang w:eastAsia="es-MX"/>
        </w:rPr>
      </w:pPr>
    </w:p>
    <w:tbl>
      <w:tblPr>
        <w:tblStyle w:val="Tablaconcuadrcula"/>
        <w:tblW w:w="86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410"/>
        <w:gridCol w:w="6272"/>
      </w:tblGrid>
      <w:tr w:rsidR="008D3390" w:rsidRPr="008D3390" w14:paraId="6F4968E8" w14:textId="77777777" w:rsidTr="002C68F4">
        <w:trPr>
          <w:trHeight w:val="1120"/>
        </w:trPr>
        <w:tc>
          <w:tcPr>
            <w:tcW w:w="2410" w:type="dxa"/>
          </w:tcPr>
          <w:p w14:paraId="46B6CAAE" w14:textId="77777777" w:rsidR="008D3390" w:rsidRPr="008D3390" w:rsidRDefault="008D3390" w:rsidP="008D3390">
            <w:pPr>
              <w:widowControl w:val="0"/>
              <w:autoSpaceDE w:val="0"/>
              <w:autoSpaceDN w:val="0"/>
              <w:spacing w:line="276" w:lineRule="auto"/>
              <w:jc w:val="both"/>
              <w:rPr>
                <w:rFonts w:ascii="Arial" w:eastAsia="Calibri" w:hAnsi="Arial" w:cs="Arial"/>
                <w:b/>
                <w:bCs/>
              </w:rPr>
            </w:pPr>
            <w:r w:rsidRPr="008D3390">
              <w:rPr>
                <w:rFonts w:ascii="Arial" w:eastAsia="Calibri" w:hAnsi="Arial" w:cs="Arial"/>
                <w:b/>
                <w:color w:val="000000" w:themeColor="text1"/>
              </w:rPr>
              <w:t>Temas:</w:t>
            </w:r>
            <w:r w:rsidRPr="008D3390">
              <w:rPr>
                <w:rFonts w:ascii="Arial" w:eastAsia="Calibri" w:hAnsi="Arial" w:cs="Arial"/>
                <w:color w:val="000000" w:themeColor="text1"/>
                <w:sz w:val="20"/>
                <w:szCs w:val="20"/>
              </w:rPr>
              <w:t xml:space="preserve">   </w:t>
            </w:r>
          </w:p>
        </w:tc>
        <w:tc>
          <w:tcPr>
            <w:tcW w:w="6272" w:type="dxa"/>
          </w:tcPr>
          <w:p w14:paraId="64AD6669" w14:textId="77777777" w:rsidR="006A53C9" w:rsidRPr="00583AED" w:rsidRDefault="008D3390" w:rsidP="006A53C9">
            <w:pPr>
              <w:jc w:val="both"/>
              <w:rPr>
                <w:rFonts w:ascii="Arial" w:hAnsi="Arial" w:cs="Arial"/>
                <w:b/>
                <w:bCs/>
              </w:rPr>
            </w:pPr>
            <w:r w:rsidRPr="008D3390">
              <w:rPr>
                <w:rFonts w:ascii="Arial" w:eastAsia="Calibri" w:hAnsi="Arial" w:cs="Arial"/>
                <w:bCs/>
                <w:szCs w:val="24"/>
                <w:lang w:val="es-ES_tradnl" w:eastAsia="en-GB"/>
              </w:rPr>
              <w:t xml:space="preserve">DOCUMENTOS TIPO – Obligatoriedad – Inalterabilidad / DOCUMENTOS TIPO – Infraestructura social – Sectores – Educativo – Salud – Cultura, recreación y deporte / </w:t>
            </w:r>
            <w:r w:rsidR="006A53C9" w:rsidRPr="006A53C9">
              <w:rPr>
                <w:rFonts w:ascii="Arial" w:hAnsi="Arial" w:cs="Arial"/>
              </w:rPr>
              <w:t xml:space="preserve">DOCUMENTOS TIPO – Decreto 1860 de 2021 – Criterios diferenciales – </w:t>
            </w:r>
            <w:proofErr w:type="spellStart"/>
            <w:r w:rsidR="006A53C9" w:rsidRPr="006A53C9">
              <w:rPr>
                <w:rFonts w:ascii="Arial" w:hAnsi="Arial" w:cs="Arial"/>
              </w:rPr>
              <w:t>Mipymes</w:t>
            </w:r>
            <w:proofErr w:type="spellEnd"/>
            <w:r w:rsidR="006A53C9" w:rsidRPr="006A53C9">
              <w:rPr>
                <w:rFonts w:ascii="Arial" w:hAnsi="Arial" w:cs="Arial"/>
              </w:rPr>
              <w:t xml:space="preserve"> / DOCUMENTOS TIPO – Decreto 1860 de 2021 – Criterios diferenciales – Empresas y emprendimientos de mujeres / DOCUMENTOS TIPO – Decreto 1860 de 2021 – Vigencia</w:t>
            </w:r>
          </w:p>
          <w:p w14:paraId="6D8A5771" w14:textId="0862D894" w:rsidR="008D3390" w:rsidRPr="006A53C9" w:rsidRDefault="008D3390" w:rsidP="006A53C9">
            <w:pPr>
              <w:jc w:val="both"/>
              <w:rPr>
                <w:rFonts w:ascii="Arial" w:hAnsi="Arial" w:cs="Arial"/>
                <w:b/>
                <w:bCs/>
              </w:rPr>
            </w:pPr>
          </w:p>
        </w:tc>
      </w:tr>
      <w:tr w:rsidR="008D3390" w:rsidRPr="008D3390" w14:paraId="171B005E" w14:textId="77777777" w:rsidTr="002C68F4">
        <w:trPr>
          <w:trHeight w:val="126"/>
        </w:trPr>
        <w:tc>
          <w:tcPr>
            <w:tcW w:w="2410" w:type="dxa"/>
          </w:tcPr>
          <w:p w14:paraId="6E4A8AFC" w14:textId="77777777" w:rsidR="008D3390" w:rsidRPr="008D3390" w:rsidRDefault="008D3390" w:rsidP="008D3390">
            <w:pPr>
              <w:jc w:val="both"/>
              <w:rPr>
                <w:rFonts w:ascii="Arial" w:eastAsia="Calibri" w:hAnsi="Arial" w:cs="Arial"/>
                <w:color w:val="000000" w:themeColor="text1"/>
                <w:lang w:eastAsia="es-MX"/>
              </w:rPr>
            </w:pPr>
            <w:r w:rsidRPr="008D3390">
              <w:rPr>
                <w:rFonts w:ascii="Arial" w:eastAsia="Calibri" w:hAnsi="Arial" w:cs="Arial"/>
                <w:b/>
                <w:color w:val="000000" w:themeColor="text1"/>
                <w:lang w:eastAsia="es-MX"/>
              </w:rPr>
              <w:t>Radicación:</w:t>
            </w:r>
            <w:r w:rsidRPr="008D3390">
              <w:rPr>
                <w:rFonts w:ascii="Arial" w:eastAsia="Calibri" w:hAnsi="Arial" w:cs="Arial"/>
                <w:color w:val="000000" w:themeColor="text1"/>
                <w:lang w:eastAsia="es-MX"/>
              </w:rPr>
              <w:t xml:space="preserve">                              </w:t>
            </w:r>
          </w:p>
        </w:tc>
        <w:tc>
          <w:tcPr>
            <w:tcW w:w="6272" w:type="dxa"/>
          </w:tcPr>
          <w:p w14:paraId="3CC2C561" w14:textId="1EBE1209" w:rsidR="008D3390" w:rsidRPr="008D3390" w:rsidRDefault="008D3390" w:rsidP="008D3390">
            <w:pPr>
              <w:jc w:val="both"/>
              <w:rPr>
                <w:rFonts w:ascii="Arial" w:eastAsia="Calibri" w:hAnsi="Arial" w:cs="Arial"/>
                <w:color w:val="000000" w:themeColor="text1"/>
                <w:lang w:eastAsia="es-MX"/>
              </w:rPr>
            </w:pPr>
            <w:r w:rsidRPr="008D3390">
              <w:rPr>
                <w:rFonts w:ascii="Arial" w:eastAsia="Calibri" w:hAnsi="Arial" w:cs="Arial"/>
                <w:color w:val="000000" w:themeColor="text1"/>
                <w:lang w:eastAsia="es-MX"/>
              </w:rPr>
              <w:t xml:space="preserve">Respuesta a consulta </w:t>
            </w:r>
            <w:r w:rsidR="00190D84" w:rsidRPr="00190D84">
              <w:rPr>
                <w:rFonts w:ascii="Arial" w:eastAsia="Calibri" w:hAnsi="Arial" w:cs="Arial"/>
                <w:color w:val="000000" w:themeColor="text1"/>
                <w:lang w:eastAsia="es-MX"/>
              </w:rPr>
              <w:t>P20220623006250</w:t>
            </w:r>
          </w:p>
        </w:tc>
      </w:tr>
    </w:tbl>
    <w:p w14:paraId="01E9DFBB" w14:textId="77777777" w:rsidR="008D3390" w:rsidRPr="008D3390" w:rsidRDefault="008D3390" w:rsidP="008D3390">
      <w:pPr>
        <w:spacing w:after="0" w:line="276" w:lineRule="auto"/>
        <w:rPr>
          <w:rFonts w:ascii="Times New Roman" w:eastAsia="Times New Roman" w:hAnsi="Times New Roman" w:cs="Times New Roman"/>
          <w:sz w:val="24"/>
          <w:szCs w:val="24"/>
          <w:lang w:eastAsia="es-MX"/>
        </w:rPr>
      </w:pPr>
    </w:p>
    <w:p w14:paraId="0438CAA6" w14:textId="13CFC343" w:rsidR="008D3390" w:rsidRPr="008D3390" w:rsidRDefault="008D3390" w:rsidP="008D3390">
      <w:pPr>
        <w:tabs>
          <w:tab w:val="left" w:pos="3736"/>
        </w:tabs>
        <w:spacing w:after="0" w:line="276" w:lineRule="auto"/>
        <w:rPr>
          <w:rFonts w:ascii="Arial" w:eastAsia="Calibri" w:hAnsi="Arial" w:cs="Arial"/>
          <w:color w:val="000000" w:themeColor="text1"/>
          <w:szCs w:val="24"/>
          <w:lang w:eastAsia="es-MX"/>
        </w:rPr>
      </w:pPr>
      <w:r w:rsidRPr="008D3390">
        <w:rPr>
          <w:rFonts w:ascii="Arial" w:eastAsia="Calibri" w:hAnsi="Arial" w:cs="Arial"/>
          <w:color w:val="000000" w:themeColor="text1"/>
          <w:szCs w:val="24"/>
          <w:lang w:eastAsia="es-MX"/>
        </w:rPr>
        <w:t>Estimad</w:t>
      </w:r>
      <w:r>
        <w:rPr>
          <w:rFonts w:ascii="Arial" w:eastAsia="Calibri" w:hAnsi="Arial" w:cs="Arial"/>
          <w:color w:val="000000" w:themeColor="text1"/>
          <w:szCs w:val="24"/>
          <w:lang w:eastAsia="es-MX"/>
        </w:rPr>
        <w:t>a</w:t>
      </w:r>
      <w:r w:rsidRPr="008D3390">
        <w:rPr>
          <w:rFonts w:ascii="Arial" w:eastAsia="Calibri" w:hAnsi="Arial" w:cs="Arial"/>
          <w:color w:val="000000" w:themeColor="text1"/>
          <w:szCs w:val="24"/>
          <w:lang w:eastAsia="es-MX"/>
        </w:rPr>
        <w:t xml:space="preserve"> Señor</w:t>
      </w:r>
      <w:r w:rsidRPr="008D3390">
        <w:rPr>
          <w:rFonts w:ascii="Arial" w:hAnsi="Arial" w:cs="Arial"/>
        </w:rPr>
        <w:t>a Londoño</w:t>
      </w:r>
      <w:r w:rsidRPr="008D3390">
        <w:rPr>
          <w:rFonts w:ascii="Arial" w:eastAsia="Calibri" w:hAnsi="Arial" w:cs="Arial"/>
          <w:color w:val="000000" w:themeColor="text1"/>
          <w:szCs w:val="24"/>
          <w:lang w:eastAsia="es-MX"/>
        </w:rPr>
        <w:t xml:space="preserve">: </w:t>
      </w:r>
      <w:r w:rsidRPr="008D3390">
        <w:rPr>
          <w:rFonts w:ascii="Arial" w:eastAsia="Calibri" w:hAnsi="Arial" w:cs="Arial"/>
          <w:color w:val="000000" w:themeColor="text1"/>
          <w:szCs w:val="24"/>
          <w:lang w:eastAsia="es-MX"/>
        </w:rPr>
        <w:tab/>
      </w:r>
    </w:p>
    <w:p w14:paraId="11C30140" w14:textId="77777777" w:rsidR="008D3390" w:rsidRPr="008D3390" w:rsidRDefault="008D3390" w:rsidP="008D3390">
      <w:pPr>
        <w:spacing w:after="0" w:line="276" w:lineRule="auto"/>
        <w:rPr>
          <w:rFonts w:ascii="Arial" w:eastAsia="Calibri" w:hAnsi="Arial" w:cs="Arial"/>
          <w:color w:val="000000" w:themeColor="text1"/>
          <w:lang w:eastAsia="es-MX"/>
        </w:rPr>
      </w:pPr>
    </w:p>
    <w:p w14:paraId="0113AE8A" w14:textId="3CD2043D" w:rsidR="008D3390" w:rsidRPr="008D3390" w:rsidRDefault="008D3390" w:rsidP="008D3390">
      <w:pPr>
        <w:spacing w:after="0" w:line="276" w:lineRule="auto"/>
        <w:jc w:val="both"/>
        <w:rPr>
          <w:rFonts w:ascii="Arial" w:eastAsia="Calibri" w:hAnsi="Arial" w:cs="Arial"/>
          <w:color w:val="000000" w:themeColor="text1"/>
          <w:lang w:eastAsia="es-MX"/>
        </w:rPr>
      </w:pPr>
      <w:r w:rsidRPr="008D3390">
        <w:rPr>
          <w:rFonts w:ascii="Arial" w:eastAsia="Calibri" w:hAnsi="Arial" w:cs="Arial"/>
          <w:lang w:val="es-MX" w:eastAsia="es-MX"/>
        </w:rPr>
        <w:t>En ejercicio de la competencia otorgada por los artículos 11, numeral 8º, y 3º, numeral 5º, del Decreto Ley 4170 de 2011,</w:t>
      </w:r>
      <w:r w:rsidRPr="008D3390">
        <w:rPr>
          <w:rFonts w:ascii="Arial" w:eastAsia="Calibri" w:hAnsi="Arial" w:cs="Arial"/>
          <w:color w:val="000000" w:themeColor="text1"/>
          <w:lang w:val="es-ES_tradnl" w:eastAsia="es-MX"/>
        </w:rPr>
        <w:t xml:space="preserve"> </w:t>
      </w:r>
      <w:r w:rsidRPr="008D3390">
        <w:rPr>
          <w:rFonts w:ascii="Arial" w:eastAsia="Calibri" w:hAnsi="Arial" w:cs="Arial"/>
          <w:lang w:val="es-MX" w:eastAsia="es-MX"/>
        </w:rPr>
        <w:t xml:space="preserve">la Agencia Nacional de Contratación Pública − Colombia Compra Eficiente responde su consulta </w:t>
      </w:r>
      <w:r w:rsidRPr="008D3390">
        <w:rPr>
          <w:rFonts w:ascii="Arial" w:eastAsia="Calibri" w:hAnsi="Arial" w:cs="Arial"/>
          <w:color w:val="000000" w:themeColor="text1"/>
          <w:lang w:eastAsia="es-MX"/>
        </w:rPr>
        <w:t xml:space="preserve">del </w:t>
      </w:r>
      <w:r>
        <w:rPr>
          <w:rFonts w:ascii="Arial" w:eastAsia="Calibri" w:hAnsi="Arial" w:cs="Arial"/>
          <w:color w:val="000000" w:themeColor="text1"/>
          <w:lang w:eastAsia="es-MX"/>
        </w:rPr>
        <w:t>22</w:t>
      </w:r>
      <w:r w:rsidRPr="008D3390">
        <w:rPr>
          <w:rFonts w:ascii="Arial" w:eastAsia="Calibri" w:hAnsi="Arial" w:cs="Arial"/>
          <w:color w:val="000000" w:themeColor="text1"/>
          <w:lang w:eastAsia="es-MX"/>
        </w:rPr>
        <w:t xml:space="preserve"> de </w:t>
      </w:r>
      <w:r>
        <w:rPr>
          <w:rFonts w:ascii="Arial" w:eastAsia="Calibri" w:hAnsi="Arial" w:cs="Arial"/>
          <w:color w:val="000000" w:themeColor="text1"/>
          <w:lang w:eastAsia="es-MX"/>
        </w:rPr>
        <w:t>junio</w:t>
      </w:r>
      <w:r w:rsidRPr="008D3390">
        <w:rPr>
          <w:rFonts w:ascii="Arial" w:eastAsia="Calibri" w:hAnsi="Arial" w:cs="Arial"/>
          <w:color w:val="000000" w:themeColor="text1"/>
          <w:lang w:eastAsia="es-MX"/>
        </w:rPr>
        <w:t xml:space="preserve"> de 2022. </w:t>
      </w:r>
    </w:p>
    <w:p w14:paraId="6B1B947F" w14:textId="77777777" w:rsidR="008D3390" w:rsidRPr="008D3390" w:rsidRDefault="008D3390" w:rsidP="008D3390">
      <w:pPr>
        <w:spacing w:after="0" w:line="276" w:lineRule="auto"/>
        <w:contextualSpacing/>
        <w:rPr>
          <w:rFonts w:ascii="Arial" w:eastAsia="Calibri" w:hAnsi="Arial" w:cs="Arial"/>
          <w:color w:val="000000" w:themeColor="text1"/>
          <w:lang w:val="es-MX"/>
        </w:rPr>
      </w:pPr>
    </w:p>
    <w:p w14:paraId="1C1CC2B7" w14:textId="77777777" w:rsidR="008D3390" w:rsidRPr="008D3390" w:rsidRDefault="008D3390" w:rsidP="008D3390">
      <w:pPr>
        <w:tabs>
          <w:tab w:val="left" w:pos="0"/>
        </w:tabs>
        <w:spacing w:after="0" w:line="276" w:lineRule="auto"/>
        <w:jc w:val="both"/>
        <w:rPr>
          <w:rFonts w:ascii="Arial" w:eastAsia="Calibri" w:hAnsi="Arial" w:cs="Arial"/>
          <w:b/>
          <w:color w:val="000000" w:themeColor="text1"/>
          <w:szCs w:val="24"/>
          <w:lang w:eastAsia="es-MX"/>
        </w:rPr>
      </w:pPr>
      <w:r w:rsidRPr="008D3390">
        <w:rPr>
          <w:rFonts w:ascii="Arial" w:eastAsia="Calibri" w:hAnsi="Arial" w:cs="Arial"/>
          <w:b/>
          <w:color w:val="000000" w:themeColor="text1"/>
          <w:szCs w:val="24"/>
          <w:lang w:eastAsia="es-MX"/>
        </w:rPr>
        <w:t>1. Problemas planteados</w:t>
      </w:r>
    </w:p>
    <w:p w14:paraId="1666A366" w14:textId="77777777" w:rsidR="008D3390" w:rsidRPr="008D3390" w:rsidRDefault="008D3390" w:rsidP="008D3390">
      <w:pPr>
        <w:spacing w:after="0" w:line="240" w:lineRule="auto"/>
        <w:rPr>
          <w:rFonts w:ascii="Arial" w:eastAsia="Calibri" w:hAnsi="Arial" w:cs="Arial"/>
          <w:color w:val="000000" w:themeColor="text1"/>
          <w:szCs w:val="24"/>
          <w:lang w:eastAsia="es-MX"/>
        </w:rPr>
      </w:pPr>
    </w:p>
    <w:p w14:paraId="6894DAF1" w14:textId="457EA600" w:rsidR="008D3390" w:rsidRDefault="008D3390" w:rsidP="008D3390">
      <w:pPr>
        <w:spacing w:after="0" w:line="276" w:lineRule="auto"/>
        <w:jc w:val="both"/>
        <w:rPr>
          <w:rFonts w:ascii="Arial" w:hAnsi="Arial" w:cs="Arial"/>
        </w:rPr>
      </w:pPr>
      <w:r w:rsidRPr="008D3390">
        <w:rPr>
          <w:rFonts w:ascii="Arial" w:hAnsi="Arial" w:cs="Arial"/>
        </w:rPr>
        <w:t xml:space="preserve">En relación con los documentos tipo de licitación de obra pública de infraestructura social, usted </w:t>
      </w:r>
      <w:r>
        <w:rPr>
          <w:rFonts w:ascii="Arial" w:hAnsi="Arial" w:cs="Arial"/>
        </w:rPr>
        <w:t>menciona lo siguiente:</w:t>
      </w:r>
    </w:p>
    <w:p w14:paraId="45DEBC80" w14:textId="0CF25445" w:rsidR="008D3390" w:rsidRDefault="008D3390" w:rsidP="008D3390">
      <w:pPr>
        <w:spacing w:after="0" w:line="276" w:lineRule="auto"/>
        <w:jc w:val="both"/>
        <w:rPr>
          <w:rFonts w:ascii="Arial" w:hAnsi="Arial" w:cs="Arial"/>
        </w:rPr>
      </w:pPr>
    </w:p>
    <w:p w14:paraId="47979669" w14:textId="2F4D863C" w:rsidR="008D3390" w:rsidRDefault="008D3390" w:rsidP="008D3390">
      <w:pPr>
        <w:spacing w:after="0" w:line="240" w:lineRule="auto"/>
        <w:ind w:left="709" w:right="709"/>
        <w:jc w:val="both"/>
        <w:rPr>
          <w:rFonts w:ascii="Arial" w:hAnsi="Arial" w:cs="Arial"/>
          <w:sz w:val="21"/>
          <w:szCs w:val="21"/>
        </w:rPr>
      </w:pPr>
      <w:r w:rsidRPr="008D3390">
        <w:rPr>
          <w:rFonts w:ascii="Arial" w:hAnsi="Arial" w:cs="Arial"/>
          <w:sz w:val="21"/>
          <w:szCs w:val="21"/>
        </w:rPr>
        <w:t xml:space="preserve">«Teniendo en cuenta lo señalado en la Resolución 336 de 2021, la cual señala en el artículo primero, la modificación a la Resolución 219 del 6 de agosto de 2021 en cuanto a la vigencia de la norma en el numeral tercero se señaló: 3. Las entidades del sector central y del sector descentralizado del </w:t>
      </w:r>
      <w:r w:rsidRPr="008D3390">
        <w:rPr>
          <w:rFonts w:ascii="Arial" w:hAnsi="Arial" w:cs="Arial"/>
          <w:sz w:val="21"/>
          <w:szCs w:val="21"/>
        </w:rPr>
        <w:lastRenderedPageBreak/>
        <w:t>nivel departamental, así como las de los municipios de categorías especial, 1, 2 y 3, no cobijadas por los anteriores numerales del presente artículo, deberán aplicar lo dispuesto en esta resolución en los procedimientos de selección de licitación de obra pública de infraestructura social, cuyo aviso de convocatoria sea publicado a partir del 1 de marzo de 2022.</w:t>
      </w:r>
      <w:r w:rsidR="003606CF">
        <w:rPr>
          <w:rFonts w:ascii="Arial" w:hAnsi="Arial" w:cs="Arial"/>
          <w:sz w:val="21"/>
          <w:szCs w:val="21"/>
        </w:rPr>
        <w:t xml:space="preserve"> </w:t>
      </w:r>
      <w:r w:rsidRPr="008D3390">
        <w:rPr>
          <w:rFonts w:ascii="Arial" w:hAnsi="Arial" w:cs="Arial"/>
          <w:sz w:val="21"/>
          <w:szCs w:val="21"/>
        </w:rPr>
        <w:t xml:space="preserve">Esto significa que para un municipio de categoría 2 a partir del 01 de marzo de 2022, se hizo obligatorio el uso de los pliegos tipo para las obras de infraestructura social sector educación. Situación que, al revisar los pliegos tipo establecidos para dar cumplimiento al mandato normativo, se identificó que ACTUALMENTE NO CONTEMPLA la forma de evaluar los factores diferenciales para </w:t>
      </w:r>
      <w:proofErr w:type="spellStart"/>
      <w:r w:rsidRPr="008D3390">
        <w:rPr>
          <w:rFonts w:ascii="Arial" w:hAnsi="Arial" w:cs="Arial"/>
          <w:sz w:val="21"/>
          <w:szCs w:val="21"/>
        </w:rPr>
        <w:t>Mípymes</w:t>
      </w:r>
      <w:proofErr w:type="spellEnd"/>
      <w:r w:rsidRPr="008D3390">
        <w:rPr>
          <w:rFonts w:ascii="Arial" w:hAnsi="Arial" w:cs="Arial"/>
          <w:sz w:val="21"/>
          <w:szCs w:val="21"/>
        </w:rPr>
        <w:t>; ni los emprendimientos o empresas de mujeres; que SON OBLIGATORIOS de conformidad con lo señalado en el Decreto 1860 de 2021, que modifica el Decreto 1082 de 2015».</w:t>
      </w:r>
    </w:p>
    <w:p w14:paraId="190D3198" w14:textId="77777777" w:rsidR="003606CF" w:rsidRDefault="003606CF" w:rsidP="007C3E49">
      <w:pPr>
        <w:spacing w:after="0" w:line="240" w:lineRule="auto"/>
        <w:jc w:val="both"/>
        <w:rPr>
          <w:rFonts w:ascii="Arial" w:hAnsi="Arial" w:cs="Arial"/>
        </w:rPr>
      </w:pPr>
    </w:p>
    <w:p w14:paraId="26629C50" w14:textId="1E7C13B8" w:rsidR="007C3E49" w:rsidRPr="007C3E49" w:rsidRDefault="008D3390" w:rsidP="007C3E49">
      <w:pPr>
        <w:spacing w:after="0" w:line="240" w:lineRule="auto"/>
        <w:jc w:val="both"/>
        <w:rPr>
          <w:rFonts w:ascii="Arial" w:hAnsi="Arial" w:cs="Arial"/>
        </w:rPr>
      </w:pPr>
      <w:r w:rsidRPr="007C3E49">
        <w:rPr>
          <w:rFonts w:ascii="Arial" w:hAnsi="Arial" w:cs="Arial"/>
        </w:rPr>
        <w:t>En relación con lo transcrito, usted pregunta</w:t>
      </w:r>
      <w:r w:rsidR="007C3E49" w:rsidRPr="007C3E49">
        <w:rPr>
          <w:rFonts w:ascii="Arial" w:hAnsi="Arial" w:cs="Arial"/>
        </w:rPr>
        <w:t xml:space="preserve"> si «[…] el Municipio de Jamundí para poder dar aplicación a estas últimas normas»</w:t>
      </w:r>
      <w:r w:rsidR="00620E52">
        <w:rPr>
          <w:rFonts w:ascii="Arial" w:hAnsi="Arial" w:cs="Arial"/>
        </w:rPr>
        <w:t>:</w:t>
      </w:r>
    </w:p>
    <w:p w14:paraId="73F4133B" w14:textId="77777777" w:rsidR="007C3E49" w:rsidRDefault="007C3E49" w:rsidP="008D3390">
      <w:pPr>
        <w:spacing w:after="0" w:line="240" w:lineRule="auto"/>
        <w:ind w:right="709"/>
        <w:jc w:val="both"/>
      </w:pPr>
    </w:p>
    <w:p w14:paraId="173B60E6" w14:textId="5C01196A" w:rsidR="007C3E49" w:rsidRPr="007C3E49" w:rsidRDefault="007C3E49" w:rsidP="00FE0699">
      <w:pPr>
        <w:pStyle w:val="Prrafodelista"/>
        <w:numPr>
          <w:ilvl w:val="0"/>
          <w:numId w:val="1"/>
        </w:numPr>
        <w:spacing w:after="120" w:line="240" w:lineRule="auto"/>
        <w:ind w:left="709" w:right="709" w:firstLine="0"/>
        <w:contextualSpacing w:val="0"/>
        <w:jc w:val="both"/>
        <w:rPr>
          <w:rFonts w:ascii="Arial" w:hAnsi="Arial" w:cs="Arial"/>
          <w:sz w:val="21"/>
          <w:szCs w:val="21"/>
        </w:rPr>
      </w:pPr>
      <w:bookmarkStart w:id="1" w:name="_Hlk109719373"/>
      <w:r w:rsidRPr="007C3E49">
        <w:rPr>
          <w:rFonts w:ascii="Arial" w:hAnsi="Arial" w:cs="Arial"/>
          <w:sz w:val="21"/>
          <w:szCs w:val="21"/>
        </w:rPr>
        <w:t>«¿podría adelantar un proceso de selección de licitación de obra pública de educación con los pliegos diseños por el ente territorial, mientras Colombia Compra adecua los pliegos tipo con las nuevas condición evaluación en cumplimiento de su propia normativa?» y</w:t>
      </w:r>
    </w:p>
    <w:p w14:paraId="7CCC7378" w14:textId="54412584" w:rsidR="007C3E49" w:rsidRPr="007C3E49" w:rsidRDefault="007C3E49" w:rsidP="00FE0699">
      <w:pPr>
        <w:pStyle w:val="Prrafodelista"/>
        <w:numPr>
          <w:ilvl w:val="0"/>
          <w:numId w:val="1"/>
        </w:numPr>
        <w:spacing w:after="0" w:line="240" w:lineRule="auto"/>
        <w:ind w:left="709" w:right="709" w:firstLine="0"/>
        <w:contextualSpacing w:val="0"/>
        <w:jc w:val="both"/>
        <w:rPr>
          <w:rFonts w:ascii="Arial" w:hAnsi="Arial" w:cs="Arial"/>
          <w:sz w:val="21"/>
          <w:szCs w:val="21"/>
        </w:rPr>
      </w:pPr>
      <w:r w:rsidRPr="007C3E49">
        <w:rPr>
          <w:rFonts w:ascii="Arial" w:hAnsi="Arial" w:cs="Arial"/>
          <w:sz w:val="21"/>
          <w:szCs w:val="21"/>
        </w:rPr>
        <w:t xml:space="preserve">«De no ser posible, ¿cuál sería la forma correcta de emplear el pliego tipo e incorporar las nuevas órdenes imperativas para evaluar las condiciones diferenciales de </w:t>
      </w:r>
      <w:proofErr w:type="spellStart"/>
      <w:r w:rsidRPr="007C3E49">
        <w:rPr>
          <w:rFonts w:ascii="Arial" w:hAnsi="Arial" w:cs="Arial"/>
          <w:sz w:val="21"/>
          <w:szCs w:val="21"/>
        </w:rPr>
        <w:t>Mipymes</w:t>
      </w:r>
      <w:proofErr w:type="spellEnd"/>
      <w:r w:rsidRPr="007C3E49">
        <w:rPr>
          <w:rFonts w:ascii="Arial" w:hAnsi="Arial" w:cs="Arial"/>
          <w:sz w:val="21"/>
          <w:szCs w:val="21"/>
        </w:rPr>
        <w:t xml:space="preserve"> y emprendimiento de mujeres para llevar a cabo el proceso contractual?»</w:t>
      </w:r>
    </w:p>
    <w:bookmarkEnd w:id="1"/>
    <w:p w14:paraId="19806D77" w14:textId="77777777" w:rsidR="008D3390" w:rsidRPr="008D3390" w:rsidRDefault="008D3390" w:rsidP="007C3E49">
      <w:pPr>
        <w:spacing w:after="0" w:line="276" w:lineRule="auto"/>
        <w:jc w:val="both"/>
        <w:rPr>
          <w:rFonts w:ascii="Arial" w:eastAsia="Calibri" w:hAnsi="Arial" w:cs="Arial"/>
          <w:lang w:eastAsia="es-MX"/>
        </w:rPr>
      </w:pPr>
    </w:p>
    <w:p w14:paraId="6EF41F02" w14:textId="77777777" w:rsidR="008D3390" w:rsidRPr="008D3390" w:rsidRDefault="008D3390" w:rsidP="008D3390">
      <w:pPr>
        <w:spacing w:after="0" w:line="276" w:lineRule="auto"/>
        <w:jc w:val="both"/>
        <w:rPr>
          <w:rFonts w:ascii="Arial" w:eastAsia="Calibri" w:hAnsi="Arial" w:cs="Arial"/>
          <w:color w:val="000000" w:themeColor="text1"/>
          <w:szCs w:val="24"/>
          <w:lang w:eastAsia="es-MX"/>
        </w:rPr>
      </w:pPr>
      <w:r w:rsidRPr="008D3390">
        <w:rPr>
          <w:rFonts w:ascii="Arial" w:eastAsia="Calibri" w:hAnsi="Arial" w:cs="Arial"/>
          <w:b/>
          <w:color w:val="000000" w:themeColor="text1"/>
          <w:szCs w:val="24"/>
          <w:lang w:eastAsia="es-MX"/>
        </w:rPr>
        <w:t>2. Consideraciones</w:t>
      </w:r>
    </w:p>
    <w:p w14:paraId="26567315" w14:textId="1765AC09" w:rsidR="008D3390" w:rsidRDefault="008D3390" w:rsidP="008D3390">
      <w:pPr>
        <w:spacing w:after="0" w:line="276" w:lineRule="auto"/>
        <w:jc w:val="both"/>
        <w:rPr>
          <w:rFonts w:ascii="Arial" w:eastAsia="Calibri" w:hAnsi="Arial" w:cs="Arial"/>
          <w:color w:val="000000" w:themeColor="text1"/>
          <w:szCs w:val="24"/>
          <w:lang w:eastAsia="es-MX"/>
        </w:rPr>
      </w:pPr>
    </w:p>
    <w:p w14:paraId="325DDF17" w14:textId="0BA22555" w:rsidR="00216146" w:rsidRDefault="007C3E49" w:rsidP="00216146">
      <w:pPr>
        <w:spacing w:after="120"/>
        <w:jc w:val="both"/>
      </w:pPr>
      <w:r>
        <w:rPr>
          <w:rFonts w:ascii="Arial" w:eastAsia="Calibri" w:hAnsi="Arial" w:cs="Arial"/>
          <w:color w:val="000000" w:themeColor="text1"/>
          <w:szCs w:val="24"/>
          <w:lang w:eastAsia="es-MX"/>
        </w:rPr>
        <w:t>Para responder a su consulta se estudiar</w:t>
      </w:r>
      <w:r w:rsidR="003606CF">
        <w:rPr>
          <w:rFonts w:ascii="Arial" w:eastAsia="Calibri" w:hAnsi="Arial" w:cs="Arial"/>
          <w:color w:val="000000" w:themeColor="text1"/>
          <w:szCs w:val="24"/>
          <w:lang w:eastAsia="es-MX"/>
        </w:rPr>
        <w:t>á</w:t>
      </w:r>
      <w:r>
        <w:rPr>
          <w:rFonts w:ascii="Arial" w:eastAsia="Calibri" w:hAnsi="Arial" w:cs="Arial"/>
          <w:color w:val="000000" w:themeColor="text1"/>
          <w:szCs w:val="24"/>
          <w:lang w:eastAsia="es-MX"/>
        </w:rPr>
        <w:t>n los siguientes temas:</w:t>
      </w:r>
      <w:r w:rsidR="008D3390" w:rsidRPr="008D3390">
        <w:rPr>
          <w:rFonts w:ascii="Arial" w:eastAsia="Calibri" w:hAnsi="Arial" w:cs="Arial"/>
          <w:color w:val="000000" w:themeColor="text1"/>
          <w:lang w:val="es-ES"/>
        </w:rPr>
        <w:t xml:space="preserve"> </w:t>
      </w:r>
      <w:r w:rsidR="008D3390" w:rsidRPr="008D3390">
        <w:rPr>
          <w:rFonts w:ascii="Arial" w:eastAsia="Calibri" w:hAnsi="Arial" w:cs="Arial"/>
          <w:szCs w:val="24"/>
          <w:lang w:eastAsia="en-GB"/>
        </w:rPr>
        <w:t xml:space="preserve">i) ámbito de aplicación, obligatoriedad e inalterabilidad de los documentos tipo, </w:t>
      </w:r>
      <w:proofErr w:type="spellStart"/>
      <w:r w:rsidR="008D3390" w:rsidRPr="008D3390">
        <w:rPr>
          <w:rFonts w:ascii="Arial" w:eastAsia="Calibri" w:hAnsi="Arial" w:cs="Arial"/>
          <w:szCs w:val="24"/>
          <w:lang w:eastAsia="en-GB"/>
        </w:rPr>
        <w:t>ii</w:t>
      </w:r>
      <w:proofErr w:type="spellEnd"/>
      <w:r w:rsidR="008D3390" w:rsidRPr="008D3390">
        <w:rPr>
          <w:rFonts w:ascii="Arial" w:eastAsia="Calibri" w:hAnsi="Arial" w:cs="Arial"/>
          <w:szCs w:val="24"/>
          <w:lang w:eastAsia="en-GB"/>
        </w:rPr>
        <w:t>) documentos tipo complementarios para los procesos de licitación de obra pública de infraestructura social relacionados con el sector educativo, salud y cultura</w:t>
      </w:r>
      <w:r w:rsidR="00DC64BE">
        <w:rPr>
          <w:rFonts w:ascii="Arial" w:eastAsia="Calibri" w:hAnsi="Arial" w:cs="Arial"/>
          <w:szCs w:val="24"/>
          <w:lang w:eastAsia="en-GB"/>
        </w:rPr>
        <w:t xml:space="preserve"> – </w:t>
      </w:r>
      <w:r w:rsidR="008D3390" w:rsidRPr="008D3390">
        <w:rPr>
          <w:rFonts w:ascii="Arial" w:eastAsia="Calibri" w:hAnsi="Arial" w:cs="Arial"/>
          <w:szCs w:val="24"/>
          <w:lang w:eastAsia="en-GB"/>
        </w:rPr>
        <w:t>recreación</w:t>
      </w:r>
      <w:r w:rsidR="00DC64BE">
        <w:rPr>
          <w:rFonts w:ascii="Arial" w:eastAsia="Calibri" w:hAnsi="Arial" w:cs="Arial"/>
          <w:szCs w:val="24"/>
          <w:lang w:eastAsia="en-GB"/>
        </w:rPr>
        <w:t xml:space="preserve"> –</w:t>
      </w:r>
      <w:r w:rsidR="008D3390" w:rsidRPr="008D3390">
        <w:rPr>
          <w:rFonts w:ascii="Arial" w:eastAsia="Calibri" w:hAnsi="Arial" w:cs="Arial"/>
          <w:szCs w:val="24"/>
          <w:lang w:eastAsia="en-GB"/>
        </w:rPr>
        <w:t xml:space="preserve"> deporte</w:t>
      </w:r>
      <w:r w:rsidR="00DC64BE">
        <w:rPr>
          <w:rFonts w:ascii="Arial" w:eastAsia="Calibri" w:hAnsi="Arial" w:cs="Arial"/>
          <w:szCs w:val="24"/>
          <w:lang w:eastAsia="en-GB"/>
        </w:rPr>
        <w:t xml:space="preserve"> y su entrada en vigencia, </w:t>
      </w:r>
      <w:proofErr w:type="spellStart"/>
      <w:r w:rsidR="009C7E4E">
        <w:rPr>
          <w:rFonts w:ascii="Arial" w:eastAsia="Calibri" w:hAnsi="Arial" w:cs="Arial"/>
          <w:szCs w:val="24"/>
          <w:lang w:eastAsia="en-GB"/>
        </w:rPr>
        <w:t>iii</w:t>
      </w:r>
      <w:proofErr w:type="spellEnd"/>
      <w:r w:rsidR="009C7E4E">
        <w:rPr>
          <w:rFonts w:ascii="Arial" w:eastAsia="Calibri" w:hAnsi="Arial" w:cs="Arial"/>
          <w:szCs w:val="24"/>
          <w:lang w:eastAsia="en-GB"/>
        </w:rPr>
        <w:t>)</w:t>
      </w:r>
      <w:r w:rsidR="00323F0F">
        <w:rPr>
          <w:rFonts w:ascii="Arial" w:eastAsia="Calibri" w:hAnsi="Arial" w:cs="Arial"/>
          <w:szCs w:val="24"/>
          <w:lang w:eastAsia="en-GB"/>
        </w:rPr>
        <w:t xml:space="preserve"> </w:t>
      </w:r>
      <w:r w:rsidR="009C7E4E" w:rsidRPr="00216146">
        <w:rPr>
          <w:rFonts w:ascii="Arial" w:hAnsi="Arial" w:cs="Arial"/>
          <w:lang w:eastAsia="es-CO"/>
        </w:rPr>
        <w:t>expedición del Decreto 1860 de 2021</w:t>
      </w:r>
      <w:r w:rsidR="009C7E4E" w:rsidRPr="00216146">
        <w:rPr>
          <w:rFonts w:ascii="Arial" w:eastAsia="Arial" w:hAnsi="Arial" w:cs="Arial"/>
          <w:lang w:val="es-ES" w:eastAsia="es-MX"/>
        </w:rPr>
        <w:t xml:space="preserve"> </w:t>
      </w:r>
      <w:r w:rsidR="009C7E4E" w:rsidRPr="00216146">
        <w:rPr>
          <w:rFonts w:ascii="Arial" w:hAnsi="Arial" w:cs="Arial"/>
          <w:lang w:eastAsia="es-CO"/>
        </w:rPr>
        <w:t xml:space="preserve">que incorpora una reglamentación detallada de los artículos 31 y 32 de la Ley 2069 de 2020, </w:t>
      </w:r>
      <w:proofErr w:type="spellStart"/>
      <w:r w:rsidR="009C7E4E" w:rsidRPr="00216146">
        <w:rPr>
          <w:rFonts w:ascii="Arial" w:hAnsi="Arial" w:cs="Arial"/>
          <w:lang w:eastAsia="es-CO"/>
        </w:rPr>
        <w:t>iv</w:t>
      </w:r>
      <w:proofErr w:type="spellEnd"/>
      <w:r w:rsidR="009C7E4E" w:rsidRPr="00216146">
        <w:rPr>
          <w:rFonts w:ascii="Arial" w:hAnsi="Arial" w:cs="Arial"/>
          <w:lang w:eastAsia="es-CO"/>
        </w:rPr>
        <w:t xml:space="preserve">) </w:t>
      </w:r>
      <w:r w:rsidR="00216146" w:rsidRPr="00216146">
        <w:rPr>
          <w:rFonts w:ascii="Arial" w:hAnsi="Arial" w:cs="Arial"/>
          <w:lang w:val="es-ES"/>
        </w:rPr>
        <w:t xml:space="preserve">regulación de los criterios diferenciales en favor de las </w:t>
      </w:r>
      <w:proofErr w:type="spellStart"/>
      <w:r w:rsidR="00216146" w:rsidRPr="00216146">
        <w:rPr>
          <w:rFonts w:ascii="Arial" w:hAnsi="Arial" w:cs="Arial"/>
          <w:lang w:val="es-ES"/>
        </w:rPr>
        <w:t>Mipyme</w:t>
      </w:r>
      <w:proofErr w:type="spellEnd"/>
      <w:r w:rsidR="00216146" w:rsidRPr="00216146">
        <w:rPr>
          <w:rFonts w:ascii="Arial" w:hAnsi="Arial" w:cs="Arial"/>
          <w:lang w:val="es-ES"/>
        </w:rPr>
        <w:t xml:space="preserve"> nacionales en el Decreto 1860 de 2021, v) regulación de los criterios diferenciales en favor de los emprendimientos y empresas de mujeres en el Decreto 1860 de 2021 y vi) </w:t>
      </w:r>
      <w:r w:rsidR="00216146" w:rsidRPr="00216146">
        <w:rPr>
          <w:rFonts w:ascii="Arial" w:hAnsi="Arial" w:cs="Arial"/>
        </w:rPr>
        <w:t>vigencia del Decreto 1860 de 2021</w:t>
      </w:r>
      <w:r w:rsidR="00216146">
        <w:rPr>
          <w:rFonts w:ascii="Arial" w:hAnsi="Arial" w:cs="Arial"/>
        </w:rPr>
        <w:t>.</w:t>
      </w:r>
    </w:p>
    <w:p w14:paraId="5A6D0C19" w14:textId="58A38400" w:rsidR="008D3390" w:rsidRPr="008D3390" w:rsidRDefault="008D3390" w:rsidP="00216146">
      <w:pPr>
        <w:spacing w:after="120" w:line="276" w:lineRule="auto"/>
        <w:ind w:firstLine="708"/>
        <w:jc w:val="both"/>
        <w:rPr>
          <w:rFonts w:ascii="Arial" w:eastAsia="Calibri" w:hAnsi="Arial" w:cs="Arial"/>
          <w:lang w:val="es-ES_tradnl" w:eastAsia="es-ES_tradnl"/>
        </w:rPr>
      </w:pPr>
      <w:r w:rsidRPr="008D3390">
        <w:rPr>
          <w:rFonts w:ascii="Arial" w:eastAsia="Calibri" w:hAnsi="Arial" w:cs="Arial"/>
          <w:lang w:val="es-ES_tradnl" w:eastAsia="es-ES_tradnl"/>
        </w:rPr>
        <w:t xml:space="preserve">La Agencia Nacional de Contratación Pública – Colombia Compra Eficiente analizó el fundamento normativo de los pliegos de condiciones tipo en la contratación estatal, entre otros, en los siguientes conceptos: </w:t>
      </w:r>
      <w:r w:rsidRPr="008D3390">
        <w:rPr>
          <w:rFonts w:ascii="Arial" w:eastAsia="Times New Roman" w:hAnsi="Arial" w:cs="Arial"/>
          <w:lang w:val="es-ES_tradnl" w:eastAsia="es-ES_tradnl"/>
        </w:rPr>
        <w:t xml:space="preserve">C-144 del 2 de marzo de 2020, C-174 del 16 de marzo de 2020,  C-129 del 24 de marzo de 2020, C-193 del 6 de abril de 2020, C-189 del 8 de abril de 2020, C-009 del 27 de abril de 2020, C-289 del 26 de mayo de 2020, C-332 del 26 de mayo de 2020, C-354 del 4 de junio de 2020, C-384 del 4 de junio de 2020, C-387 del 23 de junio de 2020, C-328 del 30 de junio de 2020, C-379 del 30 de junio de 2020, C-397 del 30 de junio de 2020, C-411 del 30 de junio de 2020, C-415 del 7 de julio de 2020, C-443 del 7 de julio de 2020, C-427 del 9 de julio de 2020, C-395 </w:t>
      </w:r>
      <w:r w:rsidRPr="008D3390">
        <w:rPr>
          <w:rFonts w:ascii="Arial" w:eastAsia="Times New Roman" w:hAnsi="Arial" w:cs="Arial"/>
          <w:lang w:val="es-ES_tradnl" w:eastAsia="es-ES_tradnl"/>
        </w:rPr>
        <w:lastRenderedPageBreak/>
        <w:t>del 9 de julio de 2020, C-327 del 10 de julio de 2020, C-444 del 13 de julio de 2020, C-429 del 24 de julio de 2020, C-466 del 24 de julio de 2020, C-420 del 28 de julio de 2020, C-485 del 29 de julio de 2020, C-501 del 29 de julio de 2020, C-478 del 30 de julio de 2020, C-450 del 3 de agosto de 2020, C-497 del 6 de agosto de 2020, C-528 del 18 de agosto de 2020, C-531 del 21 agosto de 2020, C-546 del 26 de agosto de 2020, C-597 del 14 de septiembre de 2020, C-618 del 17 de septiembre de 2020, C-633 del 2 de octubre de 2020, C-630 del 21 de octubre de 2020, C-643 del 26 de octubre de 2020, C-635 del 29 de octubre de 2020, C-653 del 9 de noviembre de 2020, C-665 del 11 de noviembre de 2020, C-698 del 19 de noviembre de 2020, C-716 del 30 de noviembre de 2020, C-775 de 2020 del 11 de diciembre de 2020, C-798 del 25 de enero de 2021, C-027 del 1 de marzo de 2021 y C-204 del 6 de mayo de 2021</w:t>
      </w:r>
      <w:r w:rsidRPr="008D3390">
        <w:rPr>
          <w:rFonts w:ascii="Arial" w:eastAsia="Calibri" w:hAnsi="Arial" w:cs="Arial"/>
          <w:lang w:val="es-ES_tradnl" w:eastAsia="es-ES_tradnl"/>
        </w:rPr>
        <w:t>, C-215 del 12 de mayo de 2021, C-224 del 20 de mayo, C-264 del 2 de junio del 2021, C-268 del 3 de junio de 2021, C-312 del 29 de junio de 2021, C-344 del 13 de julio de 2021, C-384 del 30 de julio de 2021, C-412 del 17 de agosto de 2021, C-433 del 20 de agosto de 2021, C-471 del 30 de agosto de 2021, C-450 del 31 de agosto de 2021, C-473 del 7 de septiembre de 2021, C-591 del 31 de agosto de 2021, C-493 del 13 de septiembre de 2021, C-569 del 12 de octubre de 2021, C-599 del 26 de octubre de 2021 y C-643 del 17 de noviembre de 2021, C-690 del 27 de diciembre de 2022, C-706 del 17 de enero de 2022, C-679 del 24 de enero de 2022, C-066 del 28 de enero de 2022, C-705 del 5 de enero de 2022, C-753 del 6 de febrero de 2022, C-011 del 18 de febrero de 2022, C-033 del 4 de marzo de 2022, C-060 del 10 de marzo de 2022, C-086 del 15 de marzo de 2022, C-130 del 22 de marzo de 2022, C-110 del 23 de marzo de 2022, C-137 del 29 de marzo de 2022, C-311 del 16 de mayo de 2022</w:t>
      </w:r>
      <w:r w:rsidR="00CB379E">
        <w:rPr>
          <w:rFonts w:ascii="Arial" w:eastAsia="Calibri" w:hAnsi="Arial" w:cs="Arial"/>
          <w:lang w:val="es-ES_tradnl" w:eastAsia="es-ES_tradnl"/>
        </w:rPr>
        <w:t xml:space="preserve">, </w:t>
      </w:r>
      <w:r w:rsidRPr="008D3390">
        <w:rPr>
          <w:rFonts w:ascii="Arial" w:eastAsia="Calibri" w:hAnsi="Arial" w:cs="Arial"/>
          <w:lang w:val="es-ES_tradnl" w:eastAsia="es-ES_tradnl"/>
        </w:rPr>
        <w:t>C-344 del 9 de junio de 2022</w:t>
      </w:r>
      <w:r w:rsidR="00CB379E">
        <w:rPr>
          <w:rFonts w:ascii="Arial" w:eastAsia="Calibri" w:hAnsi="Arial" w:cs="Arial"/>
          <w:lang w:val="es-ES_tradnl" w:eastAsia="es-ES_tradnl"/>
        </w:rPr>
        <w:t xml:space="preserve">, C-419 del </w:t>
      </w:r>
      <w:r w:rsidR="00261B84">
        <w:rPr>
          <w:rFonts w:ascii="Arial" w:eastAsia="Calibri" w:hAnsi="Arial" w:cs="Arial"/>
          <w:lang w:val="es-ES_tradnl" w:eastAsia="es-ES_tradnl"/>
        </w:rPr>
        <w:t xml:space="preserve">05 de julio de 2022 y C-436 </w:t>
      </w:r>
      <w:r w:rsidR="00493E11">
        <w:rPr>
          <w:rFonts w:ascii="Arial" w:eastAsia="Calibri" w:hAnsi="Arial" w:cs="Arial"/>
          <w:lang w:val="es-ES_tradnl" w:eastAsia="es-ES_tradnl"/>
        </w:rPr>
        <w:t>del 6 de julio de 2022.</w:t>
      </w:r>
    </w:p>
    <w:p w14:paraId="247600D6" w14:textId="5B2038E9" w:rsidR="008D3390" w:rsidRPr="008D3390" w:rsidRDefault="008D3390" w:rsidP="00132E72">
      <w:pPr>
        <w:spacing w:after="0"/>
        <w:ind w:firstLine="708"/>
        <w:jc w:val="both"/>
        <w:rPr>
          <w:rFonts w:ascii="Arial" w:eastAsia="Calibri" w:hAnsi="Arial" w:cs="Arial"/>
        </w:rPr>
      </w:pPr>
      <w:r w:rsidRPr="008D3390">
        <w:rPr>
          <w:rFonts w:ascii="Arial" w:eastAsia="Times New Roman" w:hAnsi="Arial" w:cs="Arial"/>
          <w:noProof/>
          <w:color w:val="000000"/>
          <w:szCs w:val="24"/>
          <w:lang w:val="es-MX" w:eastAsia="es-ES_tradnl"/>
        </w:rPr>
        <w:t xml:space="preserve">De otra parte, </w:t>
      </w:r>
      <w:r w:rsidRPr="008D3390">
        <w:rPr>
          <w:rFonts w:ascii="Arial" w:eastAsia="Calibri" w:hAnsi="Arial" w:cs="Arial"/>
          <w:color w:val="000000" w:themeColor="text1"/>
          <w:lang w:val="es-ES_tradnl"/>
        </w:rPr>
        <w:t xml:space="preserve"> la Agencia Nacional de Contratación Pública – Colombia Compra Eficiente en los conceptos C-375 del 27 de septiembre de 2021, C-536 del 29 de septiembre de 2021, </w:t>
      </w:r>
      <w:r w:rsidRPr="008D3390">
        <w:rPr>
          <w:rFonts w:ascii="Arial" w:eastAsia="Calibri" w:hAnsi="Arial" w:cs="Arial"/>
          <w:color w:val="000000" w:themeColor="text1"/>
        </w:rPr>
        <w:t>P20210826007696 del 6 de octubre de 2021, C-729 del 24 de enero de 2022, C-090 del 16 de marzo de 2022</w:t>
      </w:r>
      <w:r w:rsidR="00AD589F">
        <w:rPr>
          <w:rFonts w:ascii="Arial" w:eastAsia="Calibri" w:hAnsi="Arial" w:cs="Arial"/>
          <w:lang w:val="es-ES_tradnl" w:eastAsia="es-ES_tradnl"/>
        </w:rPr>
        <w:t xml:space="preserve">, </w:t>
      </w:r>
      <w:r w:rsidR="00F744F1">
        <w:rPr>
          <w:rFonts w:ascii="Arial" w:eastAsia="Calibri" w:hAnsi="Arial" w:cs="Arial"/>
          <w:lang w:val="es-ES_tradnl" w:eastAsia="es-ES_tradnl"/>
        </w:rPr>
        <w:t xml:space="preserve">C-347 del 9 de junio de 2022, </w:t>
      </w:r>
      <w:r w:rsidR="00AD589F">
        <w:rPr>
          <w:rFonts w:ascii="Arial" w:eastAsia="Calibri" w:hAnsi="Arial" w:cs="Arial"/>
          <w:lang w:val="es-ES_tradnl" w:eastAsia="es-ES_tradnl"/>
        </w:rPr>
        <w:t xml:space="preserve">C-419 del 05 de julio de 2022 y C-436 del 6 de julio de 2022, </w:t>
      </w:r>
      <w:r w:rsidRPr="008D3390">
        <w:rPr>
          <w:rFonts w:ascii="Arial" w:eastAsia="Calibri" w:hAnsi="Arial" w:cs="Arial"/>
          <w:color w:val="000000" w:themeColor="text1"/>
        </w:rPr>
        <w:t xml:space="preserve">analizó la aplicación de </w:t>
      </w:r>
      <w:r w:rsidR="00F744F1">
        <w:rPr>
          <w:rFonts w:ascii="Arial" w:eastAsia="Calibri" w:hAnsi="Arial" w:cs="Arial"/>
          <w:color w:val="000000" w:themeColor="text1"/>
        </w:rPr>
        <w:t>l</w:t>
      </w:r>
      <w:r w:rsidRPr="008D3390">
        <w:rPr>
          <w:rFonts w:ascii="Arial" w:eastAsia="Calibri" w:hAnsi="Arial" w:cs="Arial"/>
          <w:color w:val="000000" w:themeColor="text1"/>
        </w:rPr>
        <w:t xml:space="preserve">os documentos tipo </w:t>
      </w:r>
      <w:r w:rsidRPr="008D3390">
        <w:rPr>
          <w:rFonts w:ascii="Arial" w:eastAsia="Calibri" w:hAnsi="Arial" w:cs="Arial"/>
        </w:rPr>
        <w:t>complementarios para los procesos de licitación de obra pública de infraestructura social.</w:t>
      </w:r>
      <w:r w:rsidRPr="008D3390">
        <w:rPr>
          <w:rFonts w:ascii="Arial" w:eastAsia="Calibri" w:hAnsi="Arial" w:cs="Arial"/>
          <w:color w:val="000000" w:themeColor="text1"/>
          <w:lang w:val="es-ES_tradnl"/>
        </w:rPr>
        <w:t xml:space="preserve"> </w:t>
      </w:r>
      <w:r w:rsidR="00E9373B">
        <w:rPr>
          <w:rFonts w:ascii="Arial" w:eastAsia="Calibri" w:hAnsi="Arial" w:cs="Arial"/>
          <w:color w:val="000000" w:themeColor="text1"/>
          <w:lang w:val="es-ES_tradnl"/>
        </w:rPr>
        <w:t>Por otra parte, en los conceptos C-</w:t>
      </w:r>
      <w:r w:rsidR="00475D3D">
        <w:rPr>
          <w:rFonts w:ascii="Arial" w:eastAsia="Calibri" w:hAnsi="Arial" w:cs="Arial"/>
          <w:color w:val="000000" w:themeColor="text1"/>
          <w:lang w:val="es-ES_tradnl"/>
        </w:rPr>
        <w:t>344</w:t>
      </w:r>
      <w:r w:rsidR="0098741A">
        <w:rPr>
          <w:rFonts w:ascii="Arial" w:eastAsia="Calibri" w:hAnsi="Arial" w:cs="Arial"/>
          <w:color w:val="000000" w:themeColor="text1"/>
          <w:lang w:val="es-ES_tradnl"/>
        </w:rPr>
        <w:t xml:space="preserve"> </w:t>
      </w:r>
      <w:r w:rsidR="00475D3D">
        <w:rPr>
          <w:rFonts w:ascii="Arial" w:eastAsia="Calibri" w:hAnsi="Arial" w:cs="Arial"/>
          <w:color w:val="000000" w:themeColor="text1"/>
          <w:lang w:val="es-ES_tradnl"/>
        </w:rPr>
        <w:t>del 9 de junio</w:t>
      </w:r>
      <w:r w:rsidR="00F744F1">
        <w:rPr>
          <w:rFonts w:ascii="Arial" w:eastAsia="Calibri" w:hAnsi="Arial" w:cs="Arial"/>
          <w:color w:val="000000" w:themeColor="text1"/>
          <w:lang w:val="es-ES_tradnl"/>
        </w:rPr>
        <w:t xml:space="preserve"> y C-386 del </w:t>
      </w:r>
      <w:r w:rsidR="00B33003" w:rsidRPr="006E2D96">
        <w:rPr>
          <w:rFonts w:ascii="Arial" w:eastAsia="Calibri" w:hAnsi="Arial" w:cs="Arial"/>
          <w:color w:val="000000" w:themeColor="text1"/>
          <w:lang w:val="es-ES_tradnl"/>
        </w:rPr>
        <w:t>15 de junio de 2022</w:t>
      </w:r>
      <w:r w:rsidR="0098741A" w:rsidRPr="006E2D96">
        <w:rPr>
          <w:rFonts w:ascii="Arial" w:eastAsia="Calibri" w:hAnsi="Arial" w:cs="Arial"/>
          <w:color w:val="000000" w:themeColor="text1"/>
          <w:lang w:val="es-ES_tradnl"/>
        </w:rPr>
        <w:t xml:space="preserve">, analizó </w:t>
      </w:r>
      <w:r w:rsidR="00346576" w:rsidRPr="006E2D96">
        <w:rPr>
          <w:rFonts w:ascii="Arial" w:eastAsia="Calibri" w:hAnsi="Arial" w:cs="Arial"/>
          <w:color w:val="000000" w:themeColor="text1"/>
          <w:lang w:val="es-ES_tradnl"/>
        </w:rPr>
        <w:t xml:space="preserve">la </w:t>
      </w:r>
      <w:r w:rsidR="00346576" w:rsidRPr="006E2D96">
        <w:rPr>
          <w:rFonts w:ascii="Arial" w:hAnsi="Arial" w:cs="Arial"/>
          <w:lang w:val="es-ES"/>
        </w:rPr>
        <w:t>r</w:t>
      </w:r>
      <w:r w:rsidR="008069BA" w:rsidRPr="006E2D96">
        <w:rPr>
          <w:rFonts w:ascii="Arial" w:hAnsi="Arial" w:cs="Arial"/>
          <w:lang w:val="es-ES"/>
        </w:rPr>
        <w:t xml:space="preserve">egulación de los criterios diferenciales en favor de las </w:t>
      </w:r>
      <w:proofErr w:type="spellStart"/>
      <w:r w:rsidR="008069BA" w:rsidRPr="006E2D96">
        <w:rPr>
          <w:rFonts w:ascii="Arial" w:hAnsi="Arial" w:cs="Arial"/>
          <w:lang w:val="es-ES"/>
        </w:rPr>
        <w:t>Mipyme</w:t>
      </w:r>
      <w:proofErr w:type="spellEnd"/>
      <w:r w:rsidR="008069BA" w:rsidRPr="006E2D96">
        <w:rPr>
          <w:rFonts w:ascii="Arial" w:hAnsi="Arial" w:cs="Arial"/>
          <w:lang w:val="es-ES"/>
        </w:rPr>
        <w:t xml:space="preserve"> nacionales</w:t>
      </w:r>
      <w:r w:rsidR="006E2D96">
        <w:rPr>
          <w:rFonts w:ascii="Arial" w:hAnsi="Arial" w:cs="Arial"/>
          <w:lang w:val="es-ES"/>
        </w:rPr>
        <w:t xml:space="preserve">, los </w:t>
      </w:r>
      <w:r w:rsidR="004158F3" w:rsidRPr="006E2D96">
        <w:rPr>
          <w:rFonts w:ascii="Arial" w:hAnsi="Arial" w:cs="Arial"/>
          <w:lang w:val="es-ES"/>
        </w:rPr>
        <w:t>criterios diferenciales en favor de los emprendimientos y empresas de mujeres en el Decreto 1860 de 2021</w:t>
      </w:r>
      <w:r w:rsidR="006E2D96" w:rsidRPr="006E2D96">
        <w:rPr>
          <w:rFonts w:ascii="Arial" w:hAnsi="Arial" w:cs="Arial"/>
          <w:lang w:val="es-ES"/>
        </w:rPr>
        <w:t xml:space="preserve"> y la </w:t>
      </w:r>
      <w:r w:rsidR="00A56088" w:rsidRPr="006E2D96">
        <w:rPr>
          <w:rFonts w:ascii="Arial" w:hAnsi="Arial" w:cs="Arial"/>
        </w:rPr>
        <w:t>Vigencia de</w:t>
      </w:r>
      <w:r w:rsidR="00132E72">
        <w:rPr>
          <w:rFonts w:ascii="Arial" w:hAnsi="Arial" w:cs="Arial"/>
        </w:rPr>
        <w:t xml:space="preserve"> dicho reglamento</w:t>
      </w:r>
      <w:r w:rsidR="006E2D96" w:rsidRPr="006E2D96">
        <w:rPr>
          <w:rFonts w:ascii="Arial" w:hAnsi="Arial" w:cs="Arial"/>
        </w:rPr>
        <w:t xml:space="preserve">. </w:t>
      </w:r>
      <w:r w:rsidRPr="006E2D96">
        <w:rPr>
          <w:rFonts w:ascii="Arial" w:eastAsia="Calibri" w:hAnsi="Arial" w:cs="Arial"/>
        </w:rPr>
        <w:t>Las tesis expuestas en los anteriores conceptos se reiteran a continuación y se complementan en lo pertinente:</w:t>
      </w:r>
      <w:r w:rsidRPr="008D3390">
        <w:rPr>
          <w:rFonts w:ascii="Arial" w:eastAsia="Calibri" w:hAnsi="Arial" w:cs="Arial"/>
        </w:rPr>
        <w:t xml:space="preserve"> </w:t>
      </w:r>
    </w:p>
    <w:p w14:paraId="5E0ADED8" w14:textId="77777777" w:rsidR="008D3390" w:rsidRPr="008D3390" w:rsidRDefault="008D3390" w:rsidP="00AD589F">
      <w:pPr>
        <w:spacing w:after="0" w:line="276" w:lineRule="auto"/>
        <w:ind w:firstLine="709"/>
        <w:jc w:val="both"/>
        <w:rPr>
          <w:rFonts w:ascii="Arial" w:eastAsia="Calibri" w:hAnsi="Arial" w:cs="Arial"/>
        </w:rPr>
      </w:pPr>
    </w:p>
    <w:p w14:paraId="6213DAC9" w14:textId="77777777" w:rsidR="008D3390" w:rsidRPr="008D3390" w:rsidRDefault="008D3390" w:rsidP="008D3390">
      <w:pPr>
        <w:spacing w:after="0" w:line="240" w:lineRule="auto"/>
        <w:jc w:val="both"/>
        <w:rPr>
          <w:rFonts w:ascii="Arial" w:eastAsia="Times New Roman" w:hAnsi="Arial" w:cs="Arial"/>
          <w:color w:val="0D0D0D"/>
          <w:szCs w:val="24"/>
          <w:bdr w:val="none" w:sz="0" w:space="0" w:color="auto" w:frame="1"/>
          <w:lang w:eastAsia="es-CO"/>
        </w:rPr>
      </w:pPr>
      <w:r w:rsidRPr="008D3390">
        <w:rPr>
          <w:rFonts w:ascii="Arial" w:eastAsia="Calibri" w:hAnsi="Arial" w:cs="Arial"/>
          <w:b/>
          <w:szCs w:val="24"/>
          <w:lang w:eastAsia="en-GB"/>
        </w:rPr>
        <w:t xml:space="preserve">2.1. Ámbito de aplicación, obligatoriedad e inalterabilidad de los documentos tipo </w:t>
      </w:r>
    </w:p>
    <w:p w14:paraId="2EBD3473" w14:textId="77777777" w:rsidR="008D3390" w:rsidRPr="008D3390" w:rsidRDefault="008D3390" w:rsidP="008D3390">
      <w:pPr>
        <w:spacing w:after="0" w:line="240" w:lineRule="auto"/>
        <w:jc w:val="both"/>
        <w:rPr>
          <w:rFonts w:ascii="Arial" w:eastAsia="Calibri" w:hAnsi="Arial" w:cs="Arial"/>
          <w:b/>
          <w:szCs w:val="24"/>
          <w:lang w:eastAsia="en-GB"/>
        </w:rPr>
      </w:pPr>
    </w:p>
    <w:p w14:paraId="2B91FB0B" w14:textId="77777777" w:rsidR="008D3390" w:rsidRPr="008D3390" w:rsidRDefault="008D3390" w:rsidP="008D3390">
      <w:pPr>
        <w:spacing w:after="0" w:line="276" w:lineRule="auto"/>
        <w:jc w:val="both"/>
        <w:rPr>
          <w:rFonts w:ascii="Arial" w:eastAsia="Times New Roman" w:hAnsi="Arial" w:cs="Arial"/>
          <w:color w:val="0D0D0D"/>
          <w:szCs w:val="24"/>
          <w:bdr w:val="none" w:sz="0" w:space="0" w:color="auto" w:frame="1"/>
          <w:lang w:eastAsia="es-CO"/>
        </w:rPr>
      </w:pPr>
      <w:r w:rsidRPr="008D3390">
        <w:rPr>
          <w:rFonts w:ascii="Arial" w:eastAsia="Times New Roman" w:hAnsi="Arial" w:cs="Arial"/>
          <w:color w:val="0D0D0D"/>
          <w:szCs w:val="24"/>
          <w:bdr w:val="none" w:sz="0" w:space="0" w:color="auto" w:frame="1"/>
          <w:lang w:eastAsia="es-CO"/>
        </w:rPr>
        <w:t xml:space="preserve">Los documentos tipo surgen con la expedición de la Ley 1150 de 2007 cuando el legislador facultó al Gobierno Nacional para adoptarlos en la compra o suministro de </w:t>
      </w:r>
      <w:r w:rsidRPr="008D3390">
        <w:rPr>
          <w:rFonts w:ascii="Arial" w:eastAsia="Times New Roman" w:hAnsi="Arial" w:cs="Arial"/>
          <w:color w:val="0D0D0D"/>
          <w:szCs w:val="24"/>
          <w:bdr w:val="none" w:sz="0" w:space="0" w:color="auto" w:frame="1"/>
          <w:lang w:eastAsia="es-CO"/>
        </w:rPr>
        <w:lastRenderedPageBreak/>
        <w:t>bienes y servicios de características técnicas uniformes</w:t>
      </w:r>
      <w:r w:rsidRPr="008D3390">
        <w:rPr>
          <w:rFonts w:ascii="Arial" w:eastAsia="Times New Roman" w:hAnsi="Arial" w:cs="Arial"/>
          <w:color w:val="0D0D0D"/>
          <w:szCs w:val="24"/>
          <w:bdr w:val="none" w:sz="0" w:space="0" w:color="auto" w:frame="1"/>
          <w:vertAlign w:val="superscript"/>
          <w:lang w:eastAsia="es-CO"/>
        </w:rPr>
        <w:footnoteReference w:id="1"/>
      </w:r>
      <w:r w:rsidRPr="008D3390">
        <w:rPr>
          <w:rFonts w:ascii="Arial" w:eastAsia="Times New Roman" w:hAnsi="Arial" w:cs="Arial"/>
          <w:color w:val="0D0D0D"/>
          <w:szCs w:val="24"/>
          <w:bdr w:val="none" w:sz="0" w:space="0" w:color="auto" w:frame="1"/>
          <w:lang w:eastAsia="es-CO"/>
        </w:rPr>
        <w:t>. Posteriormente, la Ley 1882 de 2018 en el artículo 4, adiciona el parágrafo 7º al artículo 2 de la Ley 1150 de 2007, y establece la obligatoriedad de la adopción de documentos tipo para algunos contratos, en los siguientes términos: </w:t>
      </w:r>
    </w:p>
    <w:p w14:paraId="1A58919E" w14:textId="77777777" w:rsidR="008D3390" w:rsidRPr="008D3390" w:rsidRDefault="008D3390" w:rsidP="008D3390">
      <w:pPr>
        <w:shd w:val="clear" w:color="auto" w:fill="FFFFFF"/>
        <w:spacing w:after="0" w:line="276" w:lineRule="auto"/>
        <w:ind w:firstLine="709"/>
        <w:jc w:val="both"/>
        <w:rPr>
          <w:rFonts w:ascii="Arial" w:eastAsia="Times New Roman" w:hAnsi="Arial" w:cs="Arial"/>
          <w:color w:val="0D0D0D"/>
          <w:szCs w:val="24"/>
          <w:bdr w:val="none" w:sz="0" w:space="0" w:color="auto" w:frame="1"/>
          <w:lang w:eastAsia="es-CO"/>
        </w:rPr>
      </w:pPr>
    </w:p>
    <w:p w14:paraId="52D70BDA" w14:textId="77777777" w:rsidR="008D3390" w:rsidRPr="008D3390" w:rsidRDefault="008D3390" w:rsidP="008D3390">
      <w:pPr>
        <w:shd w:val="clear" w:color="auto" w:fill="FFFFFF"/>
        <w:spacing w:after="0" w:line="240" w:lineRule="auto"/>
        <w:ind w:left="709" w:right="709"/>
        <w:jc w:val="both"/>
        <w:rPr>
          <w:rFonts w:ascii="Arial" w:eastAsia="Times New Roman" w:hAnsi="Arial" w:cs="Arial"/>
          <w:color w:val="0D0D0D"/>
          <w:sz w:val="21"/>
          <w:szCs w:val="21"/>
          <w:bdr w:val="none" w:sz="0" w:space="0" w:color="auto" w:frame="1"/>
          <w:lang w:eastAsia="es-CO"/>
        </w:rPr>
      </w:pPr>
      <w:r w:rsidRPr="008D3390">
        <w:rPr>
          <w:rFonts w:ascii="Arial" w:eastAsia="Times New Roman" w:hAnsi="Arial" w:cs="Arial"/>
          <w:color w:val="0D0D0D"/>
          <w:sz w:val="21"/>
          <w:szCs w:val="21"/>
          <w:bdr w:val="none" w:sz="0" w:space="0" w:color="auto" w:frame="1"/>
          <w:lang w:eastAsia="es-CO"/>
        </w:rPr>
        <w:t>Parágrafo 7°. El Gobierno nacional adoptará documentos tipo para los pliegos de condiciones de los procesos de selección de obras públicas, interventoría para las obras públicas, interventoría para consultoría de estudios y diseños para obras públicas, consultoría en ingeniería para obras, los cuales deberán ser utilizados por todas las entidades sometidas al Estatuto General de la Contratación de la Administración Pública en los procesos de selección que adelanten. </w:t>
      </w:r>
      <w:r w:rsidRPr="008D3390">
        <w:rPr>
          <w:rFonts w:ascii="Arial" w:eastAsia="Times New Roman" w:hAnsi="Arial" w:cs="Arial"/>
          <w:i/>
          <w:iCs/>
          <w:color w:val="0D0D0D"/>
          <w:sz w:val="21"/>
          <w:szCs w:val="21"/>
          <w:bdr w:val="none" w:sz="0" w:space="0" w:color="auto" w:frame="1"/>
          <w:lang w:eastAsia="es-CO"/>
        </w:rPr>
        <w:t>Dentro de los documentos tipo el Gobierno adoptará de manera general y con alcance obligatorio para todas las entidades sometidas al Estatuto General de Contratación de la Administración Pública, las condiciones habilitantes, así como los factores técnicos y económicos de escogencia</w:t>
      </w:r>
      <w:r w:rsidRPr="008D3390">
        <w:rPr>
          <w:rFonts w:ascii="Arial" w:eastAsia="Times New Roman" w:hAnsi="Arial" w:cs="Arial"/>
          <w:color w:val="0D0D0D"/>
          <w:sz w:val="21"/>
          <w:szCs w:val="21"/>
          <w:bdr w:val="none" w:sz="0" w:space="0" w:color="auto" w:frame="1"/>
          <w:lang w:eastAsia="es-CO"/>
        </w:rPr>
        <w:t> […] </w:t>
      </w:r>
      <w:r w:rsidRPr="008D3390">
        <w:rPr>
          <w:rFonts w:ascii="Arial" w:eastAsia="Times New Roman" w:hAnsi="Arial" w:cs="Arial"/>
          <w:i/>
          <w:iCs/>
          <w:color w:val="0D0D0D"/>
          <w:sz w:val="21"/>
          <w:szCs w:val="21"/>
          <w:bdr w:val="none" w:sz="0" w:space="0" w:color="auto" w:frame="1"/>
          <w:lang w:eastAsia="es-CO"/>
        </w:rPr>
        <w:t>teniendo en cuenta la naturaleza y cuantía de los contratos</w:t>
      </w:r>
      <w:r w:rsidRPr="008D3390">
        <w:rPr>
          <w:rFonts w:ascii="Arial" w:eastAsia="Times New Roman" w:hAnsi="Arial" w:cs="Arial"/>
          <w:color w:val="0D0D0D"/>
          <w:sz w:val="21"/>
          <w:szCs w:val="21"/>
          <w:bdr w:val="none" w:sz="0" w:space="0" w:color="auto" w:frame="1"/>
          <w:lang w:eastAsia="es-CO"/>
        </w:rPr>
        <w:t> […] (Énfasis fuera de texto). </w:t>
      </w:r>
    </w:p>
    <w:p w14:paraId="1EEE7F8A" w14:textId="77777777" w:rsidR="008D3390" w:rsidRPr="008D3390" w:rsidRDefault="008D3390" w:rsidP="008D3390">
      <w:pPr>
        <w:spacing w:after="0" w:line="276" w:lineRule="auto"/>
        <w:jc w:val="both"/>
        <w:rPr>
          <w:rFonts w:ascii="Arial" w:eastAsia="Calibri" w:hAnsi="Arial" w:cs="Arial"/>
          <w:szCs w:val="24"/>
          <w:lang w:val="es-ES" w:eastAsia="en-GB"/>
        </w:rPr>
      </w:pPr>
      <w:r w:rsidRPr="008D3390">
        <w:rPr>
          <w:rFonts w:ascii="Arial" w:eastAsia="Calibri" w:hAnsi="Arial" w:cs="Arial"/>
          <w:szCs w:val="24"/>
          <w:lang w:val="es-ES" w:eastAsia="en-GB"/>
        </w:rPr>
        <w:tab/>
      </w:r>
    </w:p>
    <w:p w14:paraId="3E9FA6B4" w14:textId="77777777" w:rsidR="008D3390" w:rsidRPr="008D3390" w:rsidRDefault="008D3390" w:rsidP="008D3390">
      <w:pPr>
        <w:spacing w:after="120" w:line="276" w:lineRule="auto"/>
        <w:ind w:firstLine="708"/>
        <w:jc w:val="both"/>
        <w:rPr>
          <w:rFonts w:ascii="Arial" w:eastAsia="Calibri" w:hAnsi="Arial" w:cs="Arial"/>
          <w:color w:val="0D0D0D"/>
          <w:szCs w:val="24"/>
          <w:lang w:val="es-ES" w:eastAsia="en-GB"/>
        </w:rPr>
      </w:pPr>
      <w:r w:rsidRPr="008D3390">
        <w:rPr>
          <w:rFonts w:ascii="Arial" w:eastAsia="Calibri" w:hAnsi="Arial" w:cs="Arial"/>
          <w:szCs w:val="24"/>
          <w:lang w:val="es-ES" w:eastAsia="en-GB"/>
        </w:rPr>
        <w:t>La redacción original del artículo 4 de la Ley 1882 de 2018 establecía que al Gobierno Nacional le correspondía adoptar los documentos tipo, pero p</w:t>
      </w:r>
      <w:r w:rsidRPr="008D3390">
        <w:rPr>
          <w:rFonts w:ascii="Arial" w:eastAsia="Calibri" w:hAnsi="Arial" w:cs="Arial"/>
          <w:color w:val="0D0D0D"/>
          <w:szCs w:val="24"/>
          <w:lang w:val="es-ES" w:eastAsia="en-GB"/>
        </w:rPr>
        <w:t xml:space="preserve">osteriormente, la Ley 2022 del 22 de julio de 2020 otorgó esta competencia a la Agencia Nacional de Contratación Pública – Colombia Compra Eficiente. Así, el artículo 1 de esta Ley modificó el artículo 4 de la Ley 1882 de 2018 en relación con: i) el sujeto encargado de la adopción de los documentos tipo, pues la competencia había sido otorgada al Gobierno Nacional, pero ahora la entidad encargada directamente por la ley es la Agencia Nacional de Contratación Pública – Colombia Compra Eficiente, o quien haga sus veces; </w:t>
      </w:r>
      <w:proofErr w:type="spellStart"/>
      <w:r w:rsidRPr="008D3390">
        <w:rPr>
          <w:rFonts w:ascii="Arial" w:eastAsia="Calibri" w:hAnsi="Arial" w:cs="Arial"/>
          <w:color w:val="0D0D0D"/>
          <w:szCs w:val="24"/>
          <w:lang w:val="es-ES" w:eastAsia="en-GB"/>
        </w:rPr>
        <w:t>ii</w:t>
      </w:r>
      <w:proofErr w:type="spellEnd"/>
      <w:r w:rsidRPr="008D3390">
        <w:rPr>
          <w:rFonts w:ascii="Arial" w:eastAsia="Calibri" w:hAnsi="Arial" w:cs="Arial"/>
          <w:color w:val="0D0D0D"/>
          <w:szCs w:val="24"/>
          <w:lang w:val="es-ES" w:eastAsia="en-GB"/>
        </w:rPr>
        <w:t xml:space="preserve">) la inclusión de buenas prácticas contractuales y los principios de la contratación pública para establecer los requisitos habilitantes, factores técnicos, económicos y otros factores de escogencia en los documentos tipo; </w:t>
      </w:r>
      <w:proofErr w:type="spellStart"/>
      <w:r w:rsidRPr="008D3390">
        <w:rPr>
          <w:rFonts w:ascii="Arial" w:eastAsia="Calibri" w:hAnsi="Arial" w:cs="Arial"/>
          <w:color w:val="0D0D0D"/>
          <w:szCs w:val="24"/>
          <w:lang w:val="es-ES" w:eastAsia="en-GB"/>
        </w:rPr>
        <w:t>iii</w:t>
      </w:r>
      <w:proofErr w:type="spellEnd"/>
      <w:r w:rsidRPr="008D3390">
        <w:rPr>
          <w:rFonts w:ascii="Arial" w:eastAsia="Calibri" w:hAnsi="Arial" w:cs="Arial"/>
          <w:color w:val="0D0D0D"/>
          <w:szCs w:val="24"/>
          <w:lang w:val="es-ES" w:eastAsia="en-GB"/>
        </w:rPr>
        <w:t xml:space="preserve">) la implementación de procesos de capacitación en los municipios para la utilización de los documentos tipo buscando el desarrollo de la economía local; y </w:t>
      </w:r>
      <w:proofErr w:type="spellStart"/>
      <w:r w:rsidRPr="008D3390">
        <w:rPr>
          <w:rFonts w:ascii="Arial" w:eastAsia="Calibri" w:hAnsi="Arial" w:cs="Arial"/>
          <w:color w:val="0D0D0D"/>
          <w:szCs w:val="24"/>
          <w:lang w:val="es-ES" w:eastAsia="en-GB"/>
        </w:rPr>
        <w:t>iv</w:t>
      </w:r>
      <w:proofErr w:type="spellEnd"/>
      <w:r w:rsidRPr="008D3390">
        <w:rPr>
          <w:rFonts w:ascii="Arial" w:eastAsia="Calibri" w:hAnsi="Arial" w:cs="Arial"/>
          <w:color w:val="0D0D0D"/>
          <w:szCs w:val="24"/>
          <w:lang w:val="es-ES" w:eastAsia="en-GB"/>
        </w:rPr>
        <w:t>) la responsabilidad para Colombia Compra Eficiente en la definición del desarrollo e implementación de los documentos tipo mediante cronogramas, coordinación con otras entidades especializadas, recepción de comentarios de los interesados y revisión de los documentos tipo expedidos</w:t>
      </w:r>
      <w:r w:rsidRPr="008D3390">
        <w:rPr>
          <w:rFonts w:ascii="Arial" w:eastAsia="Calibri" w:hAnsi="Arial" w:cs="Arial"/>
          <w:color w:val="0D0D0D"/>
          <w:szCs w:val="24"/>
          <w:vertAlign w:val="superscript"/>
          <w:lang w:val="es-ES" w:eastAsia="en-GB"/>
        </w:rPr>
        <w:footnoteReference w:id="2"/>
      </w:r>
      <w:r w:rsidRPr="008D3390">
        <w:rPr>
          <w:rFonts w:ascii="Arial" w:eastAsia="Calibri" w:hAnsi="Arial" w:cs="Arial"/>
          <w:color w:val="0D0D0D"/>
          <w:szCs w:val="24"/>
          <w:lang w:val="es-ES" w:eastAsia="en-GB"/>
        </w:rPr>
        <w:t xml:space="preserve">. </w:t>
      </w:r>
    </w:p>
    <w:p w14:paraId="0DCB0B81" w14:textId="457026B5" w:rsidR="008D3390" w:rsidRPr="008D3390" w:rsidRDefault="008D3390" w:rsidP="008D3390">
      <w:pPr>
        <w:spacing w:before="120" w:after="120" w:line="276" w:lineRule="auto"/>
        <w:ind w:firstLine="708"/>
        <w:jc w:val="both"/>
        <w:rPr>
          <w:rFonts w:ascii="Arial" w:eastAsia="Calibri" w:hAnsi="Arial" w:cs="Arial"/>
          <w:szCs w:val="24"/>
          <w:lang w:eastAsia="en-GB"/>
        </w:rPr>
      </w:pPr>
      <w:r w:rsidRPr="008D3390">
        <w:rPr>
          <w:rFonts w:ascii="Arial" w:eastAsia="Calibri" w:hAnsi="Arial" w:cs="Arial"/>
          <w:szCs w:val="24"/>
          <w:lang w:eastAsia="en-GB"/>
        </w:rPr>
        <w:lastRenderedPageBreak/>
        <w:t xml:space="preserve">Además, la Ley 2022 de 2020 señala que los documentos tipo adoptados por la Agencia Nacional de Contratación Pública son de </w:t>
      </w:r>
      <w:r w:rsidRPr="008D3390">
        <w:rPr>
          <w:rFonts w:ascii="Arial" w:eastAsia="Calibri" w:hAnsi="Arial" w:cs="Arial"/>
          <w:i/>
          <w:szCs w:val="24"/>
          <w:lang w:eastAsia="en-GB"/>
        </w:rPr>
        <w:t>obligatorio</w:t>
      </w:r>
      <w:r w:rsidRPr="008D3390">
        <w:rPr>
          <w:rFonts w:ascii="Arial" w:eastAsia="Calibri" w:hAnsi="Arial" w:cs="Arial"/>
          <w:szCs w:val="24"/>
          <w:lang w:eastAsia="en-GB"/>
        </w:rPr>
        <w:t xml:space="preserve"> cumplimiento por todas las entidades públicas, cuyo régimen de contratación sea el Estatuto General de la Contratación de la Administración Pública ‒EGCAP‒. Esta obligatoriedad implica que las entidades estatales tengan que adelantar los procesos de contratación bajo las condiciones establecidas en los documentos tipo que rijan para el objeto a contratar, sin que puedan variarse los requisitos fijados en ellos. Lo anterior, por cuanto los documentos tipo se caracterizan por ser inalterables, es decir, que las entidades públicas carecen de la facultad de modificarlos, con excepción de aquellos aspectos que pueden diligenciar, es decir, las descripciones que están incluidas entre corchetes y resaltadas en gris en cada uno de los documentos tipo</w:t>
      </w:r>
      <w:r w:rsidR="003606CF">
        <w:rPr>
          <w:rFonts w:ascii="Arial" w:eastAsia="Calibri" w:hAnsi="Arial" w:cs="Arial"/>
          <w:szCs w:val="24"/>
          <w:lang w:eastAsia="en-GB"/>
        </w:rPr>
        <w:t xml:space="preserve"> o en lugares en que expresamente </w:t>
      </w:r>
      <w:r w:rsidR="000E0AD4">
        <w:rPr>
          <w:rFonts w:ascii="Arial" w:eastAsia="Calibri" w:hAnsi="Arial" w:cs="Arial"/>
          <w:szCs w:val="24"/>
          <w:lang w:eastAsia="en-GB"/>
        </w:rPr>
        <w:t>los documentos tipo</w:t>
      </w:r>
      <w:r w:rsidR="003606CF">
        <w:rPr>
          <w:rFonts w:ascii="Arial" w:eastAsia="Calibri" w:hAnsi="Arial" w:cs="Arial"/>
          <w:szCs w:val="24"/>
          <w:lang w:eastAsia="en-GB"/>
        </w:rPr>
        <w:t xml:space="preserve"> admita</w:t>
      </w:r>
      <w:r w:rsidR="000E0AD4">
        <w:rPr>
          <w:rFonts w:ascii="Arial" w:eastAsia="Calibri" w:hAnsi="Arial" w:cs="Arial"/>
          <w:szCs w:val="24"/>
          <w:lang w:eastAsia="en-GB"/>
        </w:rPr>
        <w:t>n</w:t>
      </w:r>
      <w:r w:rsidR="003606CF">
        <w:rPr>
          <w:rFonts w:ascii="Arial" w:eastAsia="Calibri" w:hAnsi="Arial" w:cs="Arial"/>
          <w:szCs w:val="24"/>
          <w:lang w:eastAsia="en-GB"/>
        </w:rPr>
        <w:t xml:space="preserve"> su modificación.</w:t>
      </w:r>
    </w:p>
    <w:p w14:paraId="41850B9C" w14:textId="77777777" w:rsidR="008D3390" w:rsidRPr="008D3390" w:rsidRDefault="008D3390" w:rsidP="008D3390">
      <w:pPr>
        <w:spacing w:before="120" w:after="120" w:line="276" w:lineRule="auto"/>
        <w:ind w:firstLine="708"/>
        <w:jc w:val="both"/>
        <w:rPr>
          <w:rFonts w:ascii="Arial" w:eastAsia="Calibri" w:hAnsi="Arial" w:cs="Arial"/>
          <w:color w:val="000000"/>
          <w:szCs w:val="24"/>
          <w:lang w:val="es-ES_tradnl" w:eastAsia="en-GB"/>
        </w:rPr>
      </w:pPr>
      <w:r w:rsidRPr="008D3390">
        <w:rPr>
          <w:rFonts w:ascii="Arial" w:eastAsia="Calibri" w:hAnsi="Arial" w:cs="Arial"/>
          <w:color w:val="000000"/>
          <w:szCs w:val="24"/>
          <w:lang w:eastAsia="en-GB"/>
        </w:rPr>
        <w:t>Esta es una regla que está consagrada en la</w:t>
      </w:r>
      <w:r w:rsidRPr="008D3390">
        <w:rPr>
          <w:rFonts w:ascii="Arial" w:eastAsia="Calibri" w:hAnsi="Arial" w:cs="Arial"/>
          <w:color w:val="000000"/>
          <w:szCs w:val="24"/>
          <w:lang w:val="es-ES_tradnl" w:eastAsia="en-GB"/>
        </w:rPr>
        <w:t xml:space="preserve">s resoluciones expedidas por la Agencia Nacional de Contratación Pública – Colombia Compra Eficiente, mediante las cuales se han adoptado los distintos documentos. Por ello, la inalterabilidad es una prohibición que consiste en que las entidades estatales no pueden incluir o modificar en los </w:t>
      </w:r>
      <w:r w:rsidRPr="008D3390">
        <w:rPr>
          <w:rFonts w:ascii="Arial" w:eastAsia="Calibri" w:hAnsi="Arial" w:cs="Arial"/>
          <w:i/>
          <w:iCs/>
          <w:color w:val="000000"/>
          <w:szCs w:val="24"/>
          <w:lang w:val="es-ES_tradnl" w:eastAsia="en-GB"/>
        </w:rPr>
        <w:t>Documentos del Proceso</w:t>
      </w:r>
      <w:r w:rsidRPr="008D3390">
        <w:rPr>
          <w:rFonts w:ascii="Arial" w:eastAsia="Calibri" w:hAnsi="Arial" w:cs="Arial"/>
          <w:color w:val="000000"/>
          <w:szCs w:val="24"/>
          <w:lang w:val="es-ES_tradnl" w:eastAsia="en-GB"/>
        </w:rPr>
        <w:t xml:space="preserve"> las condiciones habilitantes, los factores técnicos y económicos de escogencia y los sistemas de ponderación distintos a los señalados en los documentos tipo.  </w:t>
      </w:r>
    </w:p>
    <w:p w14:paraId="281B3EE8" w14:textId="7A89CC63" w:rsidR="008D3390" w:rsidRPr="008D3390" w:rsidRDefault="008D3390" w:rsidP="008D3390">
      <w:pPr>
        <w:spacing w:after="0" w:line="276" w:lineRule="auto"/>
        <w:ind w:firstLine="708"/>
        <w:jc w:val="both"/>
        <w:rPr>
          <w:rFonts w:ascii="Arial" w:eastAsia="Calibri" w:hAnsi="Arial" w:cs="Arial"/>
          <w:color w:val="000000"/>
          <w:szCs w:val="24"/>
          <w:lang w:val="es-ES_tradnl" w:eastAsia="en-GB"/>
        </w:rPr>
      </w:pPr>
      <w:r w:rsidRPr="008D3390">
        <w:rPr>
          <w:rFonts w:ascii="Arial" w:eastAsia="Calibri" w:hAnsi="Arial" w:cs="Arial"/>
          <w:color w:val="000000"/>
          <w:szCs w:val="24"/>
          <w:lang w:val="es-ES_tradnl" w:eastAsia="en-GB"/>
        </w:rPr>
        <w:t>En consecuencia, las condiciones establecidas en los documentos tipo son de obligatorio cumplimiento para las entidades sometidas al Estatuto General de Contratación de la Administración Pública que adelanten procesos que deban regirse por su contenido, y su alcance y ámbito de aplicación está definido en las resoluciones que los adoptan.</w:t>
      </w:r>
    </w:p>
    <w:p w14:paraId="38491EF3" w14:textId="77777777" w:rsidR="008D3390" w:rsidRPr="008D3390" w:rsidRDefault="008D3390" w:rsidP="008D3390">
      <w:pPr>
        <w:spacing w:after="0" w:line="276" w:lineRule="auto"/>
        <w:ind w:firstLine="708"/>
        <w:jc w:val="both"/>
        <w:rPr>
          <w:rFonts w:ascii="Arial" w:eastAsia="Calibri" w:hAnsi="Arial" w:cs="Arial"/>
          <w:color w:val="000000"/>
          <w:szCs w:val="24"/>
          <w:lang w:val="es-ES_tradnl" w:eastAsia="en-GB"/>
        </w:rPr>
      </w:pPr>
    </w:p>
    <w:p w14:paraId="683533DB" w14:textId="542EAE49" w:rsidR="008D3390" w:rsidRPr="008D3390" w:rsidRDefault="008D3390" w:rsidP="008D3390">
      <w:pPr>
        <w:spacing w:after="0" w:line="240" w:lineRule="auto"/>
        <w:jc w:val="both"/>
        <w:rPr>
          <w:rFonts w:ascii="Arial" w:eastAsia="Calibri" w:hAnsi="Arial" w:cs="Arial"/>
          <w:b/>
          <w:bCs/>
          <w:szCs w:val="24"/>
          <w:lang w:eastAsia="en-GB"/>
        </w:rPr>
      </w:pPr>
      <w:r w:rsidRPr="008D3390">
        <w:rPr>
          <w:rFonts w:ascii="Arial" w:eastAsia="Calibri" w:hAnsi="Arial" w:cs="Arial"/>
          <w:b/>
          <w:szCs w:val="24"/>
          <w:lang w:eastAsia="en-GB"/>
        </w:rPr>
        <w:lastRenderedPageBreak/>
        <w:t xml:space="preserve">2.2. </w:t>
      </w:r>
      <w:r w:rsidRPr="008D3390">
        <w:rPr>
          <w:rFonts w:ascii="Arial" w:eastAsia="Calibri" w:hAnsi="Arial" w:cs="Arial"/>
          <w:b/>
          <w:bCs/>
          <w:szCs w:val="24"/>
          <w:lang w:eastAsia="en-GB"/>
        </w:rPr>
        <w:t>Documentos tipo complementarios para los procesos de licitación de obra pública de infraestructura social relacionados con el sector educativo</w:t>
      </w:r>
      <w:r w:rsidR="003606CF">
        <w:rPr>
          <w:rFonts w:ascii="Arial" w:eastAsia="Calibri" w:hAnsi="Arial" w:cs="Arial"/>
          <w:b/>
          <w:bCs/>
          <w:szCs w:val="24"/>
          <w:lang w:eastAsia="en-GB"/>
        </w:rPr>
        <w:t>;</w:t>
      </w:r>
      <w:r w:rsidRPr="008D3390">
        <w:rPr>
          <w:rFonts w:ascii="Arial" w:eastAsia="Calibri" w:hAnsi="Arial" w:cs="Arial"/>
          <w:b/>
          <w:bCs/>
          <w:szCs w:val="24"/>
          <w:lang w:eastAsia="en-GB"/>
        </w:rPr>
        <w:t xml:space="preserve"> salud</w:t>
      </w:r>
      <w:r w:rsidR="003606CF">
        <w:rPr>
          <w:rFonts w:ascii="Arial" w:eastAsia="Calibri" w:hAnsi="Arial" w:cs="Arial"/>
          <w:b/>
          <w:bCs/>
          <w:szCs w:val="24"/>
          <w:lang w:eastAsia="en-GB"/>
        </w:rPr>
        <w:t>;</w:t>
      </w:r>
      <w:r w:rsidRPr="008D3390">
        <w:rPr>
          <w:rFonts w:ascii="Arial" w:eastAsia="Calibri" w:hAnsi="Arial" w:cs="Arial"/>
          <w:b/>
          <w:bCs/>
          <w:szCs w:val="24"/>
          <w:lang w:eastAsia="en-GB"/>
        </w:rPr>
        <w:t xml:space="preserve"> y cultura</w:t>
      </w:r>
      <w:r w:rsidR="003606CF">
        <w:rPr>
          <w:rFonts w:ascii="Arial" w:eastAsia="Calibri" w:hAnsi="Arial" w:cs="Arial"/>
          <w:b/>
          <w:bCs/>
          <w:szCs w:val="24"/>
          <w:lang w:eastAsia="en-GB"/>
        </w:rPr>
        <w:t>,</w:t>
      </w:r>
      <w:r w:rsidR="00CB12EE">
        <w:rPr>
          <w:rFonts w:ascii="Arial" w:eastAsia="Calibri" w:hAnsi="Arial" w:cs="Arial"/>
          <w:b/>
          <w:bCs/>
          <w:szCs w:val="24"/>
          <w:lang w:eastAsia="en-GB"/>
        </w:rPr>
        <w:t xml:space="preserve"> </w:t>
      </w:r>
      <w:r w:rsidRPr="008D3390">
        <w:rPr>
          <w:rFonts w:ascii="Arial" w:eastAsia="Calibri" w:hAnsi="Arial" w:cs="Arial"/>
          <w:b/>
          <w:bCs/>
          <w:szCs w:val="24"/>
          <w:lang w:eastAsia="en-GB"/>
        </w:rPr>
        <w:t xml:space="preserve">recreación </w:t>
      </w:r>
      <w:r w:rsidR="003606CF">
        <w:rPr>
          <w:rFonts w:ascii="Arial" w:eastAsia="Calibri" w:hAnsi="Arial" w:cs="Arial"/>
          <w:b/>
          <w:bCs/>
          <w:szCs w:val="24"/>
          <w:lang w:eastAsia="en-GB"/>
        </w:rPr>
        <w:t>y</w:t>
      </w:r>
      <w:r w:rsidR="00CB12EE">
        <w:rPr>
          <w:rFonts w:ascii="Arial" w:eastAsia="Calibri" w:hAnsi="Arial" w:cs="Arial"/>
          <w:b/>
          <w:bCs/>
          <w:szCs w:val="24"/>
          <w:lang w:eastAsia="en-GB"/>
        </w:rPr>
        <w:t xml:space="preserve"> </w:t>
      </w:r>
      <w:r w:rsidRPr="008D3390">
        <w:rPr>
          <w:rFonts w:ascii="Arial" w:eastAsia="Calibri" w:hAnsi="Arial" w:cs="Arial"/>
          <w:b/>
          <w:bCs/>
          <w:szCs w:val="24"/>
          <w:lang w:eastAsia="en-GB"/>
        </w:rPr>
        <w:t>deporte</w:t>
      </w:r>
      <w:r w:rsidR="003606CF">
        <w:rPr>
          <w:rFonts w:ascii="Arial" w:eastAsia="Calibri" w:hAnsi="Arial" w:cs="Arial"/>
          <w:b/>
          <w:bCs/>
          <w:szCs w:val="24"/>
          <w:lang w:eastAsia="en-GB"/>
        </w:rPr>
        <w:t>,</w:t>
      </w:r>
      <w:r w:rsidR="00C76B26">
        <w:rPr>
          <w:rFonts w:ascii="Arial" w:eastAsia="Calibri" w:hAnsi="Arial" w:cs="Arial"/>
          <w:b/>
          <w:bCs/>
          <w:szCs w:val="24"/>
          <w:lang w:eastAsia="en-GB"/>
        </w:rPr>
        <w:t xml:space="preserve"> y su </w:t>
      </w:r>
      <w:proofErr w:type="gramStart"/>
      <w:r w:rsidR="00C76B26">
        <w:rPr>
          <w:rFonts w:ascii="Arial" w:eastAsia="Calibri" w:hAnsi="Arial" w:cs="Arial"/>
          <w:b/>
          <w:bCs/>
          <w:szCs w:val="24"/>
          <w:lang w:eastAsia="en-GB"/>
        </w:rPr>
        <w:t>entrada en vigencia</w:t>
      </w:r>
      <w:proofErr w:type="gramEnd"/>
    </w:p>
    <w:p w14:paraId="5C1341C2" w14:textId="77777777" w:rsidR="008D3390" w:rsidRPr="008D3390" w:rsidRDefault="008D3390" w:rsidP="008D3390">
      <w:pPr>
        <w:spacing w:after="0" w:line="240" w:lineRule="auto"/>
        <w:jc w:val="both"/>
        <w:rPr>
          <w:rFonts w:ascii="Arial" w:eastAsia="Calibri" w:hAnsi="Arial" w:cs="Arial"/>
          <w:b/>
          <w:szCs w:val="24"/>
          <w:lang w:eastAsia="en-GB"/>
        </w:rPr>
      </w:pPr>
    </w:p>
    <w:p w14:paraId="69CE8A36" w14:textId="77777777" w:rsidR="008D3390" w:rsidRPr="008D3390" w:rsidRDefault="008D3390" w:rsidP="008D3390">
      <w:pPr>
        <w:spacing w:after="0" w:line="276" w:lineRule="auto"/>
        <w:jc w:val="both"/>
        <w:rPr>
          <w:rFonts w:ascii="Arial" w:eastAsia="Times New Roman" w:hAnsi="Arial" w:cs="Arial"/>
          <w:szCs w:val="24"/>
          <w:lang w:val="es-ES" w:eastAsia="en-GB"/>
        </w:rPr>
      </w:pPr>
      <w:r w:rsidRPr="008D3390">
        <w:rPr>
          <w:rFonts w:ascii="Arial" w:eastAsia="Calibri" w:hAnsi="Arial" w:cs="Arial"/>
          <w:szCs w:val="24"/>
          <w:lang w:eastAsia="en-GB"/>
        </w:rPr>
        <w:t xml:space="preserve">En desarrollo de la Ley 2022 de 2020, la Agencia Nacional de Contratación Pública – Colombia Compra Eficiente expidió la Resolución 219 </w:t>
      </w:r>
      <w:r w:rsidRPr="008D3390">
        <w:rPr>
          <w:rFonts w:ascii="Arial" w:eastAsia="Times New Roman" w:hAnsi="Arial" w:cs="Arial"/>
          <w:bCs/>
          <w:color w:val="000000"/>
          <w:szCs w:val="24"/>
          <w:lang w:eastAsia="es-ES_tradnl"/>
        </w:rPr>
        <w:t xml:space="preserve">del 6 de agosto </w:t>
      </w:r>
      <w:r w:rsidRPr="008D3390">
        <w:rPr>
          <w:rFonts w:ascii="Arial" w:eastAsia="Calibri" w:hAnsi="Arial" w:cs="Arial"/>
          <w:szCs w:val="24"/>
          <w:lang w:eastAsia="en-GB"/>
        </w:rPr>
        <w:t>de 2021, «Por la cual se adoptan los documentos tipo para los procesos de licitación de obra pública de infraestructura social». Dentro de esta categoría fue incluida la infraestructura asociada a los sectores de la salud, el educativo y el de cultura, recreación y deporte,</w:t>
      </w:r>
      <w:r w:rsidRPr="008D3390">
        <w:rPr>
          <w:rFonts w:ascii="Arial" w:eastAsia="Times New Roman" w:hAnsi="Arial" w:cs="Arial"/>
          <w:szCs w:val="24"/>
          <w:lang w:val="es-ES" w:eastAsia="en-GB"/>
        </w:rPr>
        <w:t xml:space="preserve"> tal como lo establece</w:t>
      </w:r>
      <w:r w:rsidRPr="008D3390">
        <w:rPr>
          <w:rFonts w:ascii="Arial" w:eastAsia="Times New Roman" w:hAnsi="Arial" w:cs="Arial"/>
          <w:color w:val="000000"/>
          <w:szCs w:val="24"/>
          <w:lang w:val="es-ES" w:eastAsia="en-GB"/>
        </w:rPr>
        <w:t xml:space="preserve"> </w:t>
      </w:r>
      <w:r w:rsidRPr="008D3390">
        <w:rPr>
          <w:rFonts w:ascii="Arial" w:eastAsia="Times New Roman" w:hAnsi="Arial" w:cs="Arial"/>
          <w:szCs w:val="24"/>
          <w:lang w:val="es-ES" w:eastAsia="en-GB"/>
        </w:rPr>
        <w:t xml:space="preserve">el parágrafo 2 del artículo 2 de la resolución indicada, de la siguiente manera: </w:t>
      </w:r>
    </w:p>
    <w:p w14:paraId="3399388C" w14:textId="77777777" w:rsidR="008D3390" w:rsidRPr="008D3390" w:rsidRDefault="008D3390" w:rsidP="008D3390">
      <w:pPr>
        <w:spacing w:after="0" w:line="240" w:lineRule="auto"/>
        <w:jc w:val="both"/>
        <w:rPr>
          <w:rFonts w:ascii="Arial" w:eastAsia="Times New Roman" w:hAnsi="Arial" w:cs="Arial"/>
          <w:szCs w:val="24"/>
          <w:lang w:val="es-ES" w:eastAsia="en-GB"/>
        </w:rPr>
      </w:pPr>
    </w:p>
    <w:p w14:paraId="181B212A" w14:textId="77777777" w:rsidR="008D3390" w:rsidRPr="008D3390" w:rsidRDefault="008D3390" w:rsidP="008D3390">
      <w:pPr>
        <w:spacing w:after="0" w:line="240" w:lineRule="auto"/>
        <w:ind w:left="709" w:right="709"/>
        <w:jc w:val="both"/>
        <w:rPr>
          <w:rFonts w:ascii="Arial" w:eastAsia="Times New Roman" w:hAnsi="Arial" w:cs="Arial"/>
          <w:sz w:val="21"/>
          <w:szCs w:val="21"/>
          <w:lang w:val="es-ES" w:eastAsia="en-GB"/>
        </w:rPr>
      </w:pPr>
      <w:r w:rsidRPr="008D3390">
        <w:rPr>
          <w:rFonts w:ascii="Arial" w:eastAsia="Times New Roman" w:hAnsi="Arial" w:cs="Arial"/>
          <w:sz w:val="21"/>
          <w:szCs w:val="21"/>
          <w:lang w:val="es-ES" w:eastAsia="en-GB"/>
        </w:rPr>
        <w:t xml:space="preserve">Estos documentos tipo aplicarán a los proyectos de infraestructura social, tales como, </w:t>
      </w:r>
      <w:r w:rsidRPr="008D3390">
        <w:rPr>
          <w:rFonts w:ascii="Arial" w:eastAsia="Times New Roman" w:hAnsi="Arial" w:cs="Arial"/>
          <w:i/>
          <w:iCs/>
          <w:sz w:val="21"/>
          <w:szCs w:val="21"/>
          <w:lang w:val="es-ES" w:eastAsia="en-GB"/>
        </w:rPr>
        <w:t>sector educativo</w:t>
      </w:r>
      <w:r w:rsidRPr="008D3390">
        <w:rPr>
          <w:rFonts w:ascii="Arial" w:eastAsia="Times New Roman" w:hAnsi="Arial" w:cs="Arial"/>
          <w:sz w:val="21"/>
          <w:szCs w:val="21"/>
          <w:lang w:val="es-ES" w:eastAsia="en-GB"/>
        </w:rPr>
        <w:t xml:space="preserve">, sector salud y sector cultural, recreación y deporte, </w:t>
      </w:r>
      <w:r w:rsidRPr="008D3390">
        <w:rPr>
          <w:rFonts w:ascii="Arial" w:eastAsia="Times New Roman" w:hAnsi="Arial" w:cs="Arial"/>
          <w:i/>
          <w:iCs/>
          <w:sz w:val="21"/>
          <w:szCs w:val="21"/>
          <w:lang w:val="es-ES" w:eastAsia="en-GB"/>
        </w:rPr>
        <w:t>de conformidad con cada una de las resoluciones que expida la Agencia Nacional de Contratación Pública -Colombia Compra Eficiente-</w:t>
      </w:r>
      <w:r w:rsidRPr="008D3390">
        <w:rPr>
          <w:rFonts w:ascii="Arial" w:eastAsia="Times New Roman" w:hAnsi="Arial" w:cs="Arial"/>
          <w:sz w:val="21"/>
          <w:szCs w:val="21"/>
          <w:lang w:val="es-ES" w:eastAsia="en-GB"/>
        </w:rPr>
        <w:t>, donde se precisará el alcance concreto de estos documentos tipo; sin perjuicio de que se incluyan otros tipos de infraestructura social. (Énfasis fuera del texto)</w:t>
      </w:r>
    </w:p>
    <w:p w14:paraId="63D3F49D" w14:textId="77777777" w:rsidR="008D3390" w:rsidRPr="008D3390" w:rsidRDefault="008D3390" w:rsidP="008D3390">
      <w:pPr>
        <w:spacing w:after="0" w:line="276" w:lineRule="auto"/>
        <w:jc w:val="both"/>
        <w:rPr>
          <w:rFonts w:ascii="Arial" w:eastAsia="Times New Roman" w:hAnsi="Arial" w:cs="Arial"/>
          <w:szCs w:val="24"/>
          <w:lang w:val="es-ES" w:eastAsia="en-GB"/>
        </w:rPr>
      </w:pPr>
      <w:r w:rsidRPr="008D3390">
        <w:rPr>
          <w:rFonts w:ascii="Arial" w:eastAsia="Times New Roman" w:hAnsi="Arial" w:cs="Arial"/>
          <w:szCs w:val="24"/>
          <w:lang w:val="es-ES" w:eastAsia="en-GB"/>
        </w:rPr>
        <w:tab/>
      </w:r>
    </w:p>
    <w:p w14:paraId="555C1941" w14:textId="77777777" w:rsidR="008D3390" w:rsidRPr="008D3390" w:rsidRDefault="008D3390" w:rsidP="008D3390">
      <w:pPr>
        <w:spacing w:after="0" w:line="276" w:lineRule="auto"/>
        <w:ind w:firstLine="708"/>
        <w:jc w:val="both"/>
        <w:rPr>
          <w:rFonts w:ascii="Arial" w:eastAsia="Times New Roman" w:hAnsi="Arial" w:cs="Arial"/>
          <w:szCs w:val="24"/>
          <w:lang w:val="es-ES" w:eastAsia="en-GB"/>
        </w:rPr>
      </w:pPr>
      <w:r w:rsidRPr="008D3390">
        <w:rPr>
          <w:rFonts w:ascii="Arial" w:eastAsia="Times New Roman" w:hAnsi="Arial" w:cs="Arial"/>
          <w:szCs w:val="24"/>
          <w:lang w:val="es-ES" w:eastAsia="en-GB"/>
        </w:rPr>
        <w:t xml:space="preserve">Como puede observarse, la Resolución 219 de 2021 contiene un listado enunciativo de los sectores relacionados con los proyectos de infraestructura social a los cuales aplican los documentos tipo –educativo; salud; cultura, recreación y deporte–. También precisa que el alcance de cada sector estará dado por las resoluciones posteriores que expida la Agencia. A su vez, esas resoluciones desarrollarán las matrices de experiencia y los glosarios que definirán concretamente cada sector, mediante los cuales se precisará de forma detallada su ámbito de aplicación.  </w:t>
      </w:r>
    </w:p>
    <w:p w14:paraId="4941B3DF" w14:textId="77777777" w:rsidR="008D3390" w:rsidRPr="008D3390" w:rsidRDefault="008D3390" w:rsidP="008D3390">
      <w:pPr>
        <w:spacing w:before="120" w:after="120" w:line="276" w:lineRule="auto"/>
        <w:ind w:firstLine="708"/>
        <w:jc w:val="both"/>
        <w:rPr>
          <w:rFonts w:ascii="Arial" w:eastAsia="Times New Roman" w:hAnsi="Arial" w:cs="Arial"/>
          <w:bCs/>
          <w:color w:val="000000"/>
          <w:szCs w:val="24"/>
          <w:lang w:val="es-ES" w:eastAsia="es-ES_tradnl"/>
        </w:rPr>
      </w:pPr>
      <w:r w:rsidRPr="008D3390">
        <w:rPr>
          <w:rFonts w:ascii="Arial" w:eastAsia="Times New Roman" w:hAnsi="Arial" w:cs="Arial"/>
          <w:lang w:val="es-ES" w:eastAsia="en-GB"/>
        </w:rPr>
        <w:t>Así lo señala el parágrafo 3 del artículo 2 que dispone lo siguiente:</w:t>
      </w:r>
      <w:r w:rsidRPr="008D3390">
        <w:rPr>
          <w:rFonts w:ascii="Arial" w:eastAsia="Calibri" w:hAnsi="Arial" w:cs="Arial"/>
          <w:lang w:eastAsia="en-GB"/>
        </w:rPr>
        <w:t xml:space="preserve"> «</w:t>
      </w:r>
      <w:r w:rsidRPr="008D3390">
        <w:rPr>
          <w:rFonts w:ascii="Arial" w:eastAsia="Times New Roman" w:hAnsi="Arial" w:cs="Arial"/>
          <w:lang w:val="es-ES" w:eastAsia="en-GB"/>
        </w:rPr>
        <w:t>Los documentos tipo de infraestructura social empezarán a regir para cada sector, esto es, educativo, salud y cultura, recreación y deporte, de acuerdo con lo dispuesto en las resoluciones mediante las cuales se adopten cada una de las matrices de experiencia y glosarios aplicables a cada sector</w:t>
      </w:r>
      <w:r w:rsidRPr="008D3390">
        <w:rPr>
          <w:rFonts w:ascii="Arial" w:eastAsia="Calibri" w:hAnsi="Arial" w:cs="Arial"/>
          <w:lang w:eastAsia="en-GB"/>
        </w:rPr>
        <w:t>».</w:t>
      </w:r>
      <w:r w:rsidRPr="008D3390">
        <w:rPr>
          <w:rFonts w:ascii="Arial" w:eastAsia="Times New Roman" w:hAnsi="Arial" w:cs="Arial"/>
          <w:lang w:val="es-ES" w:eastAsia="en-GB"/>
        </w:rPr>
        <w:t xml:space="preserve"> En concordancia, el «Documento Base» de </w:t>
      </w:r>
      <w:r w:rsidRPr="008D3390">
        <w:rPr>
          <w:rFonts w:ascii="Arial" w:eastAsia="Calibri" w:hAnsi="Arial" w:cs="Arial"/>
          <w:lang w:eastAsia="en-GB"/>
        </w:rPr>
        <w:t>licitación de obra pública de infraestructura social</w:t>
      </w:r>
      <w:r w:rsidRPr="008D3390">
        <w:rPr>
          <w:rFonts w:ascii="Arial" w:eastAsia="Times New Roman" w:hAnsi="Arial" w:cs="Arial"/>
          <w:vertAlign w:val="superscript"/>
          <w:lang w:val="es-ES" w:eastAsia="en-GB"/>
        </w:rPr>
        <w:footnoteReference w:id="3"/>
      </w:r>
      <w:r w:rsidRPr="008D3390">
        <w:rPr>
          <w:rFonts w:ascii="Arial" w:eastAsia="Calibri" w:hAnsi="Arial" w:cs="Arial"/>
          <w:lang w:eastAsia="en-GB"/>
        </w:rPr>
        <w:t xml:space="preserve"> prescribe en la parte introductoria que «</w:t>
      </w:r>
      <w:r w:rsidRPr="008D3390">
        <w:rPr>
          <w:rFonts w:ascii="Arial" w:eastAsia="Times New Roman" w:hAnsi="Arial" w:cs="Arial"/>
          <w:bCs/>
          <w:color w:val="000000"/>
          <w:lang w:eastAsia="es-CO"/>
        </w:rPr>
        <w:t>Este Documento Tipo de “infraestructura social” aplica a los procesos que correspondan a las actividades definidas en las matrices de experiencia, expedidas por la Agencia Nacional de Contratación Pública – Colombia Compra Eficiente para los sectores educativo, salud y cultura, recreación y deporte, sin perjuicio de que dicha Agencia incluya otros tipos de “infraestructura social”</w:t>
      </w:r>
      <w:r w:rsidRPr="008D3390">
        <w:rPr>
          <w:rFonts w:ascii="Arial" w:eastAsia="Calibri" w:hAnsi="Arial" w:cs="Arial"/>
          <w:lang w:eastAsia="en-GB"/>
        </w:rPr>
        <w:t>».</w:t>
      </w:r>
    </w:p>
    <w:p w14:paraId="789E4302" w14:textId="77777777" w:rsidR="008D3390" w:rsidRPr="008D3390" w:rsidRDefault="008D3390" w:rsidP="008D3390">
      <w:pPr>
        <w:spacing w:before="120" w:after="120" w:line="276" w:lineRule="auto"/>
        <w:ind w:firstLine="708"/>
        <w:jc w:val="both"/>
        <w:rPr>
          <w:rFonts w:ascii="Arial" w:eastAsia="Times New Roman" w:hAnsi="Arial" w:cs="Arial"/>
          <w:szCs w:val="24"/>
          <w:lang w:val="es-ES" w:eastAsia="en-GB"/>
        </w:rPr>
      </w:pPr>
      <w:r w:rsidRPr="008D3390">
        <w:rPr>
          <w:rFonts w:ascii="Arial" w:eastAsia="Times New Roman" w:hAnsi="Arial" w:cs="Arial"/>
          <w:bCs/>
          <w:color w:val="000000"/>
          <w:szCs w:val="24"/>
          <w:lang w:val="es-ES" w:eastAsia="es-ES_tradnl"/>
        </w:rPr>
        <w:t xml:space="preserve">Cabe anotar que </w:t>
      </w:r>
      <w:r w:rsidRPr="008D3390">
        <w:rPr>
          <w:rFonts w:ascii="Arial" w:eastAsia="Times New Roman" w:hAnsi="Arial" w:cs="Arial"/>
          <w:bCs/>
          <w:color w:val="000000"/>
          <w:szCs w:val="24"/>
          <w:lang w:eastAsia="es-ES_tradnl"/>
        </w:rPr>
        <w:t xml:space="preserve">la Resolución 219 del 6 de agosto de 2021 contiene los documentos tipo que aplican </w:t>
      </w:r>
      <w:r w:rsidRPr="008D3390">
        <w:rPr>
          <w:rFonts w:ascii="Arial" w:eastAsia="Times New Roman" w:hAnsi="Arial" w:cs="Arial"/>
          <w:szCs w:val="24"/>
          <w:lang w:val="es-ES" w:eastAsia="en-GB"/>
        </w:rPr>
        <w:t xml:space="preserve">de forma transversal a los proyectos de infraestructura social en los sectores educativo; salud; cultura, recreación y deporte. Estos documentos son el documento base, los anexos, los formatos, los formularios y las matrices, los cuales se complementarán con cada una de las resoluciones que adoptan las matrices </w:t>
      </w:r>
      <w:r w:rsidRPr="008D3390">
        <w:rPr>
          <w:rFonts w:ascii="Arial" w:eastAsia="Times New Roman" w:hAnsi="Arial" w:cs="Arial"/>
          <w:szCs w:val="24"/>
          <w:lang w:val="es-ES" w:eastAsia="en-GB"/>
        </w:rPr>
        <w:lastRenderedPageBreak/>
        <w:t>de experiencia y los anexos de glosario para cada uno de los sectores, definiendo así su alcance y vigencia.</w:t>
      </w:r>
    </w:p>
    <w:p w14:paraId="6A7D8B20" w14:textId="77777777" w:rsidR="008D3390" w:rsidRPr="008D3390" w:rsidRDefault="008D3390" w:rsidP="008D3390">
      <w:pPr>
        <w:spacing w:before="120" w:after="120" w:line="276" w:lineRule="auto"/>
        <w:ind w:firstLine="708"/>
        <w:jc w:val="both"/>
        <w:rPr>
          <w:rFonts w:ascii="Arial" w:eastAsia="Times New Roman" w:hAnsi="Arial" w:cs="Arial"/>
          <w:szCs w:val="24"/>
          <w:lang w:val="es-ES" w:eastAsia="en-GB"/>
        </w:rPr>
      </w:pPr>
      <w:r w:rsidRPr="008D3390">
        <w:rPr>
          <w:rFonts w:ascii="Arial" w:eastAsia="Times New Roman" w:hAnsi="Arial" w:cs="Arial"/>
          <w:szCs w:val="24"/>
          <w:lang w:val="es-ES" w:eastAsia="en-GB"/>
        </w:rPr>
        <w:t xml:space="preserve">En consecuencia, en materia de infraestructura social debe tenerse en cuenta que existen dos (2) clases de documentos tipo que se integran en cada proceso:  i) los documentos </w:t>
      </w:r>
      <w:r w:rsidRPr="008D3390">
        <w:rPr>
          <w:rFonts w:ascii="Arial" w:eastAsia="Times New Roman" w:hAnsi="Arial" w:cs="Arial"/>
          <w:i/>
          <w:szCs w:val="24"/>
          <w:lang w:val="es-ES" w:eastAsia="en-GB"/>
        </w:rPr>
        <w:t>transversales</w:t>
      </w:r>
      <w:r w:rsidRPr="008D3390">
        <w:rPr>
          <w:rFonts w:ascii="Arial" w:eastAsia="Times New Roman" w:hAnsi="Arial" w:cs="Arial"/>
          <w:szCs w:val="24"/>
          <w:lang w:val="es-ES" w:eastAsia="en-GB"/>
        </w:rPr>
        <w:t xml:space="preserve"> a todos los sectores de infraestructura social, es decir, el documento base, los anexos, los formatos, los formularios y las matrices adoptados mediante la Resolución No. 219 de 2021; y </w:t>
      </w:r>
      <w:proofErr w:type="spellStart"/>
      <w:r w:rsidRPr="008D3390">
        <w:rPr>
          <w:rFonts w:ascii="Arial" w:eastAsia="Times New Roman" w:hAnsi="Arial" w:cs="Arial"/>
          <w:szCs w:val="24"/>
          <w:lang w:val="es-ES" w:eastAsia="en-GB"/>
        </w:rPr>
        <w:t>ii</w:t>
      </w:r>
      <w:proofErr w:type="spellEnd"/>
      <w:r w:rsidRPr="008D3390">
        <w:rPr>
          <w:rFonts w:ascii="Arial" w:eastAsia="Times New Roman" w:hAnsi="Arial" w:cs="Arial"/>
          <w:szCs w:val="24"/>
          <w:lang w:val="es-ES" w:eastAsia="en-GB"/>
        </w:rPr>
        <w:t xml:space="preserve">) los documentos tipo </w:t>
      </w:r>
      <w:r w:rsidRPr="008D3390">
        <w:rPr>
          <w:rFonts w:ascii="Arial" w:eastAsia="Times New Roman" w:hAnsi="Arial" w:cs="Arial"/>
          <w:i/>
          <w:szCs w:val="24"/>
          <w:lang w:val="es-ES" w:eastAsia="en-GB"/>
        </w:rPr>
        <w:t>complementarios</w:t>
      </w:r>
      <w:r w:rsidRPr="008D3390">
        <w:rPr>
          <w:rFonts w:ascii="Arial" w:eastAsia="Times New Roman" w:hAnsi="Arial" w:cs="Arial"/>
          <w:iCs/>
          <w:szCs w:val="24"/>
          <w:lang w:val="es-ES" w:eastAsia="en-GB"/>
        </w:rPr>
        <w:t>,</w:t>
      </w:r>
      <w:r w:rsidRPr="008D3390">
        <w:rPr>
          <w:rFonts w:ascii="Arial" w:eastAsia="Times New Roman" w:hAnsi="Arial" w:cs="Arial"/>
          <w:i/>
          <w:szCs w:val="24"/>
          <w:lang w:val="es-ES" w:eastAsia="en-GB"/>
        </w:rPr>
        <w:t xml:space="preserve"> </w:t>
      </w:r>
      <w:r w:rsidRPr="008D3390">
        <w:rPr>
          <w:rFonts w:ascii="Arial" w:eastAsia="Times New Roman" w:hAnsi="Arial" w:cs="Arial"/>
          <w:szCs w:val="24"/>
          <w:lang w:val="es-ES" w:eastAsia="en-GB"/>
        </w:rPr>
        <w:t>referentes a la matriz de experiencia y el glosario, los cuales han sido adoptados en la resolución para cada sector específico.</w:t>
      </w:r>
    </w:p>
    <w:p w14:paraId="6D4F3DF0" w14:textId="1A134C82" w:rsidR="008D3390" w:rsidRDefault="008D3390" w:rsidP="00340D2E">
      <w:pPr>
        <w:spacing w:after="120" w:line="276" w:lineRule="auto"/>
        <w:ind w:firstLine="709"/>
        <w:jc w:val="both"/>
        <w:rPr>
          <w:rFonts w:ascii="Arial" w:eastAsia="Times New Roman" w:hAnsi="Arial" w:cs="Arial"/>
          <w:i/>
          <w:iCs/>
        </w:rPr>
      </w:pPr>
      <w:r w:rsidRPr="008D3390">
        <w:rPr>
          <w:rFonts w:ascii="Arial" w:eastAsia="Times New Roman" w:hAnsi="Arial" w:cs="Arial"/>
        </w:rPr>
        <w:t>De esta forma, esta Agencia expidió distintos actos administrativos a partir de los cuales se adoptaron la</w:t>
      </w:r>
      <w:r w:rsidRPr="008D3390">
        <w:rPr>
          <w:rFonts w:ascii="Arial" w:eastAsia="Times New Roman" w:hAnsi="Arial" w:cs="Arial"/>
          <w:sz w:val="20"/>
          <w:szCs w:val="20"/>
        </w:rPr>
        <w:t xml:space="preserve"> </w:t>
      </w:r>
      <w:r w:rsidRPr="008D3390">
        <w:rPr>
          <w:rFonts w:ascii="Arial" w:eastAsia="Times New Roman" w:hAnsi="Arial" w:cs="Arial"/>
        </w:rPr>
        <w:t>«Matriz – Experiencia» y el «Anexo – Glosario». Así las cosas, la Agencia expidió: i) la Resolución 220 del 6 de agosto de 2021, «Por la cual se adoptan los documentos tipo complementarios para los procesos de licitación de obra pública de infraestructura social relacionados con el sector educativo»;</w:t>
      </w:r>
      <w:r w:rsidRPr="008D3390">
        <w:rPr>
          <w:rFonts w:ascii="Arial" w:eastAsia="Times New Roman" w:hAnsi="Arial" w:cs="Arial"/>
          <w:i/>
          <w:iCs/>
        </w:rPr>
        <w:t xml:space="preserve"> </w:t>
      </w:r>
      <w:proofErr w:type="spellStart"/>
      <w:r w:rsidRPr="008D3390">
        <w:rPr>
          <w:rFonts w:ascii="Arial" w:eastAsia="Times New Roman" w:hAnsi="Arial" w:cs="Arial"/>
        </w:rPr>
        <w:t>ii</w:t>
      </w:r>
      <w:proofErr w:type="spellEnd"/>
      <w:r w:rsidRPr="008D3390">
        <w:rPr>
          <w:rFonts w:ascii="Arial" w:eastAsia="Times New Roman" w:hAnsi="Arial" w:cs="Arial"/>
        </w:rPr>
        <w:t>)</w:t>
      </w:r>
      <w:r w:rsidRPr="008D3390">
        <w:rPr>
          <w:rFonts w:ascii="Arial" w:eastAsia="Times New Roman" w:hAnsi="Arial" w:cs="Arial"/>
          <w:i/>
          <w:iCs/>
        </w:rPr>
        <w:t xml:space="preserve"> </w:t>
      </w:r>
      <w:r w:rsidRPr="008D3390">
        <w:rPr>
          <w:rFonts w:ascii="Arial" w:eastAsia="Times New Roman" w:hAnsi="Arial" w:cs="Arial"/>
        </w:rPr>
        <w:t xml:space="preserve">la Resolución 392 del 18 de noviembre de 2021, «Por la cual se adoptan los documentos tipo complementarios para los procesos de licitación de obra pública de infraestructura social relacionados con el sector salud»; y </w:t>
      </w:r>
      <w:proofErr w:type="spellStart"/>
      <w:r w:rsidRPr="008D3390">
        <w:rPr>
          <w:rFonts w:ascii="Arial" w:eastAsia="Times New Roman" w:hAnsi="Arial" w:cs="Arial"/>
        </w:rPr>
        <w:t>iii</w:t>
      </w:r>
      <w:proofErr w:type="spellEnd"/>
      <w:r w:rsidRPr="008D3390">
        <w:rPr>
          <w:rFonts w:ascii="Arial" w:eastAsia="Times New Roman" w:hAnsi="Arial" w:cs="Arial"/>
        </w:rPr>
        <w:t>) la Resolución 454 del 16 de diciembre de 2021,</w:t>
      </w:r>
      <w:r w:rsidRPr="008D3390">
        <w:t xml:space="preserve"> </w:t>
      </w:r>
      <w:r w:rsidRPr="008D3390">
        <w:rPr>
          <w:rFonts w:ascii="Arial" w:eastAsia="Times New Roman" w:hAnsi="Arial" w:cs="Arial"/>
        </w:rPr>
        <w:t>«Por la cual se adoptan los documentos tipo complementarios para los procesos de licitación de obra pública de infraestructura social relacionados con el sector cultura, recreación y deporte»</w:t>
      </w:r>
      <w:r w:rsidRPr="008D3390">
        <w:rPr>
          <w:rFonts w:ascii="Arial" w:eastAsia="Times New Roman" w:hAnsi="Arial" w:cs="Arial"/>
          <w:i/>
          <w:iCs/>
        </w:rPr>
        <w:t>.</w:t>
      </w:r>
    </w:p>
    <w:p w14:paraId="65EF196B" w14:textId="1DE11531" w:rsidR="0017409A" w:rsidRPr="0017409A" w:rsidRDefault="0017409A" w:rsidP="00FE0699">
      <w:pPr>
        <w:spacing w:after="120" w:line="276" w:lineRule="auto"/>
        <w:ind w:firstLine="708"/>
        <w:jc w:val="both"/>
        <w:rPr>
          <w:rFonts w:ascii="Arial" w:eastAsia="Calibri" w:hAnsi="Arial" w:cs="Arial"/>
        </w:rPr>
      </w:pPr>
      <w:r w:rsidRPr="0017409A">
        <w:rPr>
          <w:rFonts w:ascii="Arial" w:eastAsia="Times New Roman" w:hAnsi="Arial" w:cs="Arial"/>
        </w:rPr>
        <w:t xml:space="preserve">Es preciso aclarar que, en relación con la </w:t>
      </w:r>
      <w:proofErr w:type="gramStart"/>
      <w:r w:rsidRPr="0017409A">
        <w:rPr>
          <w:rFonts w:ascii="Arial" w:eastAsia="Times New Roman" w:hAnsi="Arial" w:cs="Arial"/>
        </w:rPr>
        <w:t>entrada en vigencia</w:t>
      </w:r>
      <w:proofErr w:type="gramEnd"/>
      <w:r w:rsidRPr="0017409A">
        <w:rPr>
          <w:rFonts w:ascii="Arial" w:eastAsia="Times New Roman" w:hAnsi="Arial" w:cs="Arial"/>
        </w:rPr>
        <w:t xml:space="preserve"> de los documentos tipo de infraestructura social, </w:t>
      </w:r>
      <w:r w:rsidRPr="0017409A">
        <w:rPr>
          <w:rFonts w:ascii="Arial" w:eastAsia="Calibri" w:hAnsi="Arial" w:cs="Arial"/>
        </w:rPr>
        <w:t>en principio, el artículo 6 de la Resolución 219 de 2021, dispuso la fecha de 30 de agosto de 2021</w:t>
      </w:r>
      <w:r w:rsidR="007C51E7">
        <w:rPr>
          <w:rFonts w:ascii="Arial" w:eastAsia="Calibri" w:hAnsi="Arial" w:cs="Arial"/>
        </w:rPr>
        <w:t>;</w:t>
      </w:r>
      <w:r w:rsidRPr="0017409A">
        <w:rPr>
          <w:rFonts w:ascii="Arial" w:eastAsia="Calibri" w:hAnsi="Arial" w:cs="Arial"/>
        </w:rPr>
        <w:t xml:space="preserve"> no obstante, esta fue posteriormente modificada por la Resolución 336 de 2 de noviembre de 2021. En este sentido, el </w:t>
      </w:r>
      <w:r w:rsidRPr="0017409A">
        <w:rPr>
          <w:rFonts w:ascii="Arial" w:eastAsia="Times New Roman" w:hAnsi="Arial" w:cs="Arial"/>
          <w:color w:val="000000"/>
        </w:rPr>
        <w:t>artículo 6 de la Resolución 219 de 2021, con las modificaciones incorporadas por la Resolución 336 de 2 de noviembre de 2021, establece que la aplicación de los documentos tipo complementarios se realizará de manera gradual y progresiva de acuerdo con un cronograma que atienda la categorización de las entidades estatales</w:t>
      </w:r>
      <w:r w:rsidRPr="0017409A">
        <w:rPr>
          <w:rFonts w:ascii="Arial" w:eastAsia="Times New Roman" w:hAnsi="Arial" w:cs="Arial"/>
          <w:color w:val="000000"/>
          <w:vertAlign w:val="superscript"/>
        </w:rPr>
        <w:footnoteReference w:id="4"/>
      </w:r>
      <w:r w:rsidRPr="0017409A">
        <w:rPr>
          <w:rFonts w:ascii="Arial" w:eastAsia="Times New Roman" w:hAnsi="Arial" w:cs="Arial"/>
          <w:color w:val="000000"/>
        </w:rPr>
        <w:t xml:space="preserve">. </w:t>
      </w:r>
    </w:p>
    <w:p w14:paraId="20AEFFBB" w14:textId="77777777" w:rsidR="0017409A" w:rsidRPr="0017409A" w:rsidRDefault="0017409A" w:rsidP="00FE0699">
      <w:pPr>
        <w:autoSpaceDE w:val="0"/>
        <w:autoSpaceDN w:val="0"/>
        <w:adjustRightInd w:val="0"/>
        <w:spacing w:after="120" w:line="276" w:lineRule="auto"/>
        <w:ind w:firstLine="708"/>
        <w:jc w:val="both"/>
        <w:rPr>
          <w:rFonts w:ascii="Arial" w:eastAsia="Times New Roman" w:hAnsi="Arial" w:cs="Arial"/>
          <w:color w:val="000000"/>
        </w:rPr>
      </w:pPr>
      <w:r w:rsidRPr="0017409A">
        <w:rPr>
          <w:rFonts w:ascii="Arial" w:eastAsia="Calibri" w:hAnsi="Arial" w:cs="Arial"/>
        </w:rPr>
        <w:lastRenderedPageBreak/>
        <w:t xml:space="preserve">En concordancia con esto, el artículo 4 de la Resolución 220 </w:t>
      </w:r>
      <w:r w:rsidRPr="0017409A">
        <w:rPr>
          <w:rFonts w:ascii="Arial" w:eastAsia="Times New Roman" w:hAnsi="Arial" w:cs="Arial"/>
          <w:color w:val="000000"/>
        </w:rPr>
        <w:t xml:space="preserve">del 6 de agosto de 2021 −modificado por el artículo 2 de la Resolución 336 del 2 de noviembre de 2021−, dispuso que los documentos tipo complementarios del sector educativo, aplicarían a los procedimientos de selección de licitación de obra pública de infraestructura social relacionados con el sector educativo, de acuerdo con los grupos de entidades y fechas señaladas en el artículo 6 de la Resolución 219 de 2021. </w:t>
      </w:r>
    </w:p>
    <w:p w14:paraId="749564F3" w14:textId="5EF6B724" w:rsidR="0017409A" w:rsidRPr="0017409A" w:rsidRDefault="0017409A" w:rsidP="00FE0699">
      <w:pPr>
        <w:autoSpaceDE w:val="0"/>
        <w:autoSpaceDN w:val="0"/>
        <w:adjustRightInd w:val="0"/>
        <w:spacing w:after="120" w:line="276" w:lineRule="auto"/>
        <w:ind w:firstLine="708"/>
        <w:jc w:val="both"/>
        <w:rPr>
          <w:rFonts w:ascii="Arial" w:eastAsia="Times New Roman" w:hAnsi="Arial" w:cs="Arial"/>
          <w:color w:val="000000"/>
          <w:lang w:val="es-ES_tradnl"/>
        </w:rPr>
      </w:pPr>
      <w:r w:rsidRPr="0017409A">
        <w:rPr>
          <w:rFonts w:ascii="Arial" w:eastAsia="Times New Roman" w:hAnsi="Arial" w:cs="Arial"/>
          <w:color w:val="000000"/>
        </w:rPr>
        <w:t xml:space="preserve">Por su parte, el artículo 4 de la Resolución </w:t>
      </w:r>
      <w:r w:rsidRPr="0017409A">
        <w:rPr>
          <w:rFonts w:ascii="Arial" w:eastAsia="Calibri" w:hAnsi="Arial" w:cs="Arial"/>
          <w:lang w:val="es-ES_tradnl"/>
        </w:rPr>
        <w:t xml:space="preserve">392 del 18 de noviembre de 2021 estableció que los documentos tipo complementarios del sector salud aplicarán para los procesos de licitación de obra pública de infraestructura social relacionados con el sector salud en los términos definidos en el artículo 6 de la Resolución 219 de 2021 </w:t>
      </w:r>
      <w:r w:rsidRPr="0017409A">
        <w:rPr>
          <w:rFonts w:ascii="Arial" w:eastAsia="Times New Roman" w:hAnsi="Arial" w:cs="Arial"/>
          <w:color w:val="000000"/>
        </w:rPr>
        <w:t>−modificado por el artículo 1 de la Resolución 336 de 2021</w:t>
      </w:r>
      <w:r w:rsidR="007C51E7">
        <w:rPr>
          <w:rFonts w:ascii="Arial" w:eastAsia="Times New Roman" w:hAnsi="Arial" w:cs="Arial"/>
          <w:color w:val="000000"/>
        </w:rPr>
        <w:t>–</w:t>
      </w:r>
      <w:r w:rsidRPr="0017409A">
        <w:rPr>
          <w:rFonts w:ascii="Arial" w:eastAsia="Times New Roman" w:hAnsi="Arial" w:cs="Arial"/>
          <w:color w:val="000000"/>
        </w:rPr>
        <w:t xml:space="preserve">. Esto significa que la implementación de estos documentos tipo también se ha venido realizando de manera progresiva, de acuerdo con los grupos de entidades y las fechas previamente definidas. En todo caso, el parágrafo de este artículo definió que </w:t>
      </w:r>
      <w:r w:rsidRPr="0017409A">
        <w:rPr>
          <w:rFonts w:ascii="Arial" w:eastAsia="Times New Roman" w:hAnsi="Arial" w:cs="Arial"/>
          <w:color w:val="000000"/>
          <w:lang w:val="es-ES_tradnl"/>
        </w:rPr>
        <w:t>las entidades de los sectores central y descentralizado de la Rama ejecutiva del orden nacional deberán aplicar estos documentos tipo a los procedimientos de selección cuyo aviso de convocatoria sea publicado a partir del 3 de enero de 2022.</w:t>
      </w:r>
    </w:p>
    <w:p w14:paraId="224EAB13" w14:textId="77777777" w:rsidR="0017409A" w:rsidRPr="0017409A" w:rsidRDefault="0017409A" w:rsidP="00FE0699">
      <w:pPr>
        <w:spacing w:after="120" w:line="276" w:lineRule="auto"/>
        <w:ind w:firstLine="708"/>
        <w:jc w:val="both"/>
        <w:rPr>
          <w:rFonts w:ascii="Arial" w:eastAsia="Times New Roman" w:hAnsi="Arial" w:cs="Arial"/>
          <w:lang w:eastAsia="es-CO"/>
        </w:rPr>
      </w:pPr>
      <w:r w:rsidRPr="0017409A">
        <w:rPr>
          <w:rFonts w:ascii="Arial" w:eastAsia="Times New Roman" w:hAnsi="Arial" w:cs="Arial"/>
          <w:lang w:eastAsia="es-CO"/>
        </w:rPr>
        <w:t>Finalmente, el artículo 4 de la Resolución 454 del 16 de diciembre de 2021 también definió que la implementación de los documentos tipo complementarios para los procesos de cultura, recreación y deporte sería gradual de acuerdo con un cronograma que determina las fechas atendiendo unos grupos de entidades</w:t>
      </w:r>
      <w:r w:rsidRPr="0017409A">
        <w:rPr>
          <w:rFonts w:ascii="Arial" w:eastAsia="Times New Roman" w:hAnsi="Arial" w:cs="Arial"/>
          <w:vertAlign w:val="superscript"/>
          <w:lang w:eastAsia="es-CO"/>
        </w:rPr>
        <w:footnoteReference w:id="5"/>
      </w:r>
      <w:r w:rsidRPr="0017409A">
        <w:rPr>
          <w:rFonts w:ascii="Arial" w:eastAsia="Times New Roman" w:hAnsi="Arial" w:cs="Arial"/>
          <w:lang w:eastAsia="es-CO"/>
        </w:rPr>
        <w:t xml:space="preserve">. Estas </w:t>
      </w:r>
      <w:r w:rsidRPr="0017409A">
        <w:rPr>
          <w:rFonts w:ascii="Arial" w:eastAsia="Times New Roman" w:hAnsi="Arial" w:cs="Arial"/>
          <w:lang w:eastAsia="es-CO"/>
        </w:rPr>
        <w:lastRenderedPageBreak/>
        <w:t xml:space="preserve">fechas para estos documentos tipo fueron distintas a las definidas para el sector educación y salud. </w:t>
      </w:r>
    </w:p>
    <w:p w14:paraId="3F05C7DA" w14:textId="19B1075B" w:rsidR="0017409A" w:rsidRPr="0017409A" w:rsidRDefault="0017409A" w:rsidP="00FE0699">
      <w:pPr>
        <w:spacing w:after="120" w:line="276" w:lineRule="auto"/>
        <w:ind w:firstLine="708"/>
        <w:jc w:val="both"/>
        <w:rPr>
          <w:rFonts w:ascii="Arial" w:hAnsi="Arial" w:cs="Arial"/>
        </w:rPr>
      </w:pPr>
      <w:r w:rsidRPr="0017409A">
        <w:rPr>
          <w:rFonts w:ascii="Arial" w:hAnsi="Arial" w:cs="Arial"/>
        </w:rPr>
        <w:t xml:space="preserve">Conforme con lo anterior, es posible concluir que, los documentos tipo de licitación de obra pública de infraestructura social asociados </w:t>
      </w:r>
      <w:r w:rsidRPr="0017409A">
        <w:rPr>
          <w:rFonts w:ascii="Arial" w:eastAsia="Times New Roman" w:hAnsi="Arial" w:cs="Arial"/>
          <w:color w:val="000000"/>
        </w:rPr>
        <w:t xml:space="preserve">con los sectores educación, salud y cultura, recreación y deporte, </w:t>
      </w:r>
      <w:r w:rsidRPr="0017409A">
        <w:rPr>
          <w:rFonts w:ascii="Arial" w:hAnsi="Arial" w:cs="Arial"/>
        </w:rPr>
        <w:t xml:space="preserve">comenzaron a ser obligatorios para el desarrollo de Procesos de Contratación en la modalidad de licitación pública, para la contratación de obras públicas en los mencionados sectores, por las entidades estatales señaladas en las resoluciones antes mencionadas, en las fechas que allí se establecen. </w:t>
      </w:r>
    </w:p>
    <w:p w14:paraId="5BD0C8C4" w14:textId="0E10A04A" w:rsidR="0017409A" w:rsidRPr="0017409A" w:rsidRDefault="0017409A" w:rsidP="00FE0699">
      <w:pPr>
        <w:spacing w:after="120" w:line="276" w:lineRule="auto"/>
        <w:ind w:firstLine="708"/>
        <w:jc w:val="both"/>
        <w:rPr>
          <w:rFonts w:ascii="Arial" w:hAnsi="Arial" w:cs="Arial"/>
        </w:rPr>
      </w:pPr>
      <w:r w:rsidRPr="0017409A">
        <w:rPr>
          <w:rFonts w:ascii="Arial" w:hAnsi="Arial" w:cs="Arial"/>
        </w:rPr>
        <w:t>En el marco de este esquema de implementación, las resoluciones que adoptaron los documentos tipo complementarios establecieron las fechas a partir de las cuales comenzar</w:t>
      </w:r>
      <w:r w:rsidR="00A456E5">
        <w:rPr>
          <w:rFonts w:ascii="Arial" w:hAnsi="Arial" w:cs="Arial"/>
        </w:rPr>
        <w:t xml:space="preserve">on </w:t>
      </w:r>
      <w:r w:rsidRPr="0017409A">
        <w:rPr>
          <w:rFonts w:ascii="Arial" w:hAnsi="Arial" w:cs="Arial"/>
        </w:rPr>
        <w:t xml:space="preserve">a ser obligatorios dentro de los respectivos sectores. Para estos efectos, la Agencia conformó cuatro (4) grupos de entidades estatales que se replican en cada una de las resoluciones complementarias, los cuales están asociados a determinadas fechas a partir de las </w:t>
      </w:r>
      <w:r w:rsidR="00A456E5">
        <w:rPr>
          <w:rFonts w:ascii="Arial" w:hAnsi="Arial" w:cs="Arial"/>
        </w:rPr>
        <w:t xml:space="preserve">cuales </w:t>
      </w:r>
      <w:r w:rsidRPr="0017409A">
        <w:rPr>
          <w:rFonts w:ascii="Arial" w:hAnsi="Arial" w:cs="Arial"/>
        </w:rPr>
        <w:t>comenz</w:t>
      </w:r>
      <w:r w:rsidR="00A456E5">
        <w:rPr>
          <w:rFonts w:ascii="Arial" w:hAnsi="Arial" w:cs="Arial"/>
        </w:rPr>
        <w:t>ó</w:t>
      </w:r>
      <w:r w:rsidRPr="0017409A">
        <w:rPr>
          <w:rFonts w:ascii="Arial" w:hAnsi="Arial" w:cs="Arial"/>
        </w:rPr>
        <w:t xml:space="preserve"> la aplicación forzosa de los documentos tipo aquí referidos.  </w:t>
      </w:r>
    </w:p>
    <w:p w14:paraId="73B2E77C" w14:textId="45799B5A" w:rsidR="0017409A" w:rsidRPr="0017409A" w:rsidRDefault="0017409A" w:rsidP="00FE0699">
      <w:pPr>
        <w:spacing w:after="0" w:line="276" w:lineRule="auto"/>
        <w:ind w:firstLine="708"/>
        <w:jc w:val="both"/>
        <w:rPr>
          <w:rFonts w:ascii="Arial" w:eastAsia="Times New Roman" w:hAnsi="Arial" w:cs="Arial"/>
          <w:color w:val="000000"/>
        </w:rPr>
      </w:pPr>
      <w:r w:rsidRPr="0017409A">
        <w:rPr>
          <w:rFonts w:ascii="Arial" w:hAnsi="Arial" w:cs="Arial"/>
        </w:rPr>
        <w:t xml:space="preserve">En este sentido, consultado el contenido del artículo 6 de la Resolución 219 de 2021, el artículo </w:t>
      </w:r>
      <w:r w:rsidRPr="0017409A">
        <w:rPr>
          <w:rFonts w:ascii="Arial" w:eastAsia="Calibri" w:hAnsi="Arial" w:cs="Arial"/>
        </w:rPr>
        <w:t>4 de la Resolución 220</w:t>
      </w:r>
      <w:r w:rsidRPr="0017409A">
        <w:rPr>
          <w:rFonts w:ascii="Arial" w:eastAsia="Times New Roman" w:hAnsi="Arial" w:cs="Arial"/>
          <w:color w:val="000000"/>
        </w:rPr>
        <w:t xml:space="preserve"> de 2021 −modificado por el artículo 2 de la Resolución 336 del 2 de noviembre de 2021–, el artículo 4 de la Resolución 392 de 2021 y el artículo 4 de la Resolución 454 de 2021 es posible concluir que los mencionados grupos de entidades se encuentran conformados de la manera que a continuación se indican. Cada una de las entidades que cumplan con los criterios para pertenecer a estos grupos han debido implementar los documentos tipo de infraestructura social en las licitaciones de obra pública cuyos avisos de convocatoria se hayan publicado o se publiquen a partir de las fechas que inmediatamente se indican: </w:t>
      </w:r>
    </w:p>
    <w:p w14:paraId="6748F01B" w14:textId="77777777" w:rsidR="0017409A" w:rsidRPr="0017409A" w:rsidRDefault="0017409A" w:rsidP="00F35C35">
      <w:pPr>
        <w:spacing w:after="0" w:line="276" w:lineRule="auto"/>
        <w:jc w:val="both"/>
        <w:rPr>
          <w:rFonts w:ascii="Arial" w:eastAsia="Times New Roman" w:hAnsi="Arial" w:cs="Arial"/>
          <w:color w:val="000000"/>
        </w:rPr>
      </w:pPr>
    </w:p>
    <w:tbl>
      <w:tblPr>
        <w:tblStyle w:val="Tablaconcuadrcula"/>
        <w:tblW w:w="8392" w:type="dxa"/>
        <w:tblInd w:w="108" w:type="dxa"/>
        <w:tblBorders>
          <w:insideH w:val="dotted" w:sz="4" w:space="0" w:color="auto"/>
          <w:insideV w:val="dotted" w:sz="4" w:space="0" w:color="auto"/>
        </w:tblBorders>
        <w:tblLook w:val="04A0" w:firstRow="1" w:lastRow="0" w:firstColumn="1" w:lastColumn="0" w:noHBand="0" w:noVBand="1"/>
      </w:tblPr>
      <w:tblGrid>
        <w:gridCol w:w="333"/>
        <w:gridCol w:w="2898"/>
        <w:gridCol w:w="1660"/>
        <w:gridCol w:w="1045"/>
        <w:gridCol w:w="742"/>
        <w:gridCol w:w="1714"/>
      </w:tblGrid>
      <w:tr w:rsidR="0017409A" w:rsidRPr="0017409A" w14:paraId="76D1CF69" w14:textId="77777777" w:rsidTr="002C68F4">
        <w:tc>
          <w:tcPr>
            <w:tcW w:w="8392" w:type="dxa"/>
            <w:gridSpan w:val="6"/>
            <w:tcBorders>
              <w:top w:val="single" w:sz="4" w:space="0" w:color="auto"/>
              <w:left w:val="single" w:sz="4" w:space="0" w:color="auto"/>
              <w:bottom w:val="single" w:sz="4" w:space="0" w:color="auto"/>
              <w:right w:val="single" w:sz="4" w:space="0" w:color="auto"/>
            </w:tcBorders>
            <w:shd w:val="clear" w:color="auto" w:fill="696969"/>
          </w:tcPr>
          <w:p w14:paraId="74302A40" w14:textId="77777777" w:rsidR="0017409A" w:rsidRPr="0017409A" w:rsidRDefault="0017409A" w:rsidP="0017409A">
            <w:pPr>
              <w:autoSpaceDE w:val="0"/>
              <w:autoSpaceDN w:val="0"/>
              <w:adjustRightInd w:val="0"/>
              <w:spacing w:after="120" w:line="276" w:lineRule="auto"/>
              <w:jc w:val="center"/>
              <w:rPr>
                <w:rFonts w:ascii="Arial" w:eastAsia="Times New Roman" w:hAnsi="Arial" w:cs="Arial"/>
                <w:b/>
                <w:bCs/>
                <w:color w:val="FFFFFF" w:themeColor="background1"/>
                <w:sz w:val="21"/>
                <w:szCs w:val="21"/>
              </w:rPr>
            </w:pPr>
            <w:r w:rsidRPr="0017409A">
              <w:rPr>
                <w:rFonts w:ascii="Arial" w:eastAsia="Times New Roman" w:hAnsi="Arial" w:cs="Arial"/>
                <w:b/>
                <w:bCs/>
                <w:color w:val="FFFFFF" w:themeColor="background1"/>
                <w:sz w:val="21"/>
                <w:szCs w:val="21"/>
              </w:rPr>
              <w:t>Fechas de implementación</w:t>
            </w:r>
          </w:p>
        </w:tc>
      </w:tr>
      <w:tr w:rsidR="0017409A" w:rsidRPr="0017409A" w14:paraId="5E919794" w14:textId="77777777" w:rsidTr="002C68F4">
        <w:tc>
          <w:tcPr>
            <w:tcW w:w="3231" w:type="dxa"/>
            <w:gridSpan w:val="2"/>
            <w:tcBorders>
              <w:top w:val="single" w:sz="4" w:space="0" w:color="auto"/>
              <w:left w:val="single" w:sz="4" w:space="0" w:color="auto"/>
              <w:bottom w:val="single" w:sz="4" w:space="0" w:color="auto"/>
              <w:right w:val="nil"/>
            </w:tcBorders>
            <w:shd w:val="clear" w:color="auto" w:fill="696969"/>
            <w:vAlign w:val="center"/>
          </w:tcPr>
          <w:p w14:paraId="6A0EDA37" w14:textId="77777777" w:rsidR="0017409A" w:rsidRPr="0017409A" w:rsidRDefault="0017409A" w:rsidP="0017409A">
            <w:pPr>
              <w:autoSpaceDE w:val="0"/>
              <w:autoSpaceDN w:val="0"/>
              <w:adjustRightInd w:val="0"/>
              <w:spacing w:after="120" w:line="276" w:lineRule="auto"/>
              <w:jc w:val="center"/>
              <w:rPr>
                <w:rFonts w:ascii="Arial" w:eastAsia="Times New Roman" w:hAnsi="Arial" w:cs="Arial"/>
                <w:b/>
                <w:bCs/>
                <w:color w:val="FFFFFF" w:themeColor="background1"/>
                <w:sz w:val="21"/>
                <w:szCs w:val="21"/>
              </w:rPr>
            </w:pPr>
            <w:r w:rsidRPr="0017409A">
              <w:rPr>
                <w:rFonts w:ascii="Arial" w:eastAsia="Times New Roman" w:hAnsi="Arial" w:cs="Arial"/>
                <w:b/>
                <w:bCs/>
                <w:color w:val="FFFFFF" w:themeColor="background1"/>
                <w:sz w:val="21"/>
                <w:szCs w:val="21"/>
              </w:rPr>
              <w:t>Grupo</w:t>
            </w:r>
          </w:p>
        </w:tc>
        <w:tc>
          <w:tcPr>
            <w:tcW w:w="1660" w:type="dxa"/>
            <w:tcBorders>
              <w:top w:val="single" w:sz="4" w:space="0" w:color="auto"/>
              <w:left w:val="nil"/>
              <w:bottom w:val="single" w:sz="4" w:space="0" w:color="auto"/>
              <w:right w:val="nil"/>
            </w:tcBorders>
            <w:shd w:val="clear" w:color="auto" w:fill="696969"/>
            <w:vAlign w:val="center"/>
          </w:tcPr>
          <w:p w14:paraId="56D65F8C" w14:textId="77777777" w:rsidR="0017409A" w:rsidRPr="0017409A" w:rsidRDefault="0017409A" w:rsidP="0017409A">
            <w:pPr>
              <w:autoSpaceDE w:val="0"/>
              <w:autoSpaceDN w:val="0"/>
              <w:adjustRightInd w:val="0"/>
              <w:spacing w:after="120" w:line="276" w:lineRule="auto"/>
              <w:jc w:val="center"/>
              <w:rPr>
                <w:rFonts w:ascii="Arial" w:eastAsia="Times New Roman" w:hAnsi="Arial" w:cs="Arial"/>
                <w:b/>
                <w:bCs/>
                <w:color w:val="FFFFFF" w:themeColor="background1"/>
                <w:sz w:val="21"/>
                <w:szCs w:val="21"/>
              </w:rPr>
            </w:pPr>
            <w:r w:rsidRPr="0017409A">
              <w:rPr>
                <w:rFonts w:ascii="Arial" w:eastAsia="Times New Roman" w:hAnsi="Arial" w:cs="Arial"/>
                <w:b/>
                <w:bCs/>
                <w:color w:val="FFFFFF" w:themeColor="background1"/>
                <w:sz w:val="21"/>
                <w:szCs w:val="21"/>
              </w:rPr>
              <w:t>Educación</w:t>
            </w:r>
          </w:p>
        </w:tc>
        <w:tc>
          <w:tcPr>
            <w:tcW w:w="1045" w:type="dxa"/>
            <w:tcBorders>
              <w:top w:val="single" w:sz="4" w:space="0" w:color="auto"/>
              <w:left w:val="nil"/>
              <w:bottom w:val="single" w:sz="4" w:space="0" w:color="auto"/>
              <w:right w:val="nil"/>
            </w:tcBorders>
            <w:shd w:val="clear" w:color="auto" w:fill="696969"/>
            <w:vAlign w:val="center"/>
          </w:tcPr>
          <w:p w14:paraId="791C6974" w14:textId="77777777" w:rsidR="0017409A" w:rsidRPr="0017409A" w:rsidRDefault="0017409A" w:rsidP="0017409A">
            <w:pPr>
              <w:autoSpaceDE w:val="0"/>
              <w:autoSpaceDN w:val="0"/>
              <w:adjustRightInd w:val="0"/>
              <w:spacing w:after="120" w:line="276" w:lineRule="auto"/>
              <w:jc w:val="center"/>
              <w:rPr>
                <w:rFonts w:ascii="Arial" w:eastAsia="Times New Roman" w:hAnsi="Arial" w:cs="Arial"/>
                <w:b/>
                <w:bCs/>
                <w:color w:val="FFFFFF" w:themeColor="background1"/>
                <w:sz w:val="21"/>
                <w:szCs w:val="21"/>
              </w:rPr>
            </w:pPr>
            <w:r w:rsidRPr="0017409A">
              <w:rPr>
                <w:rFonts w:ascii="Arial" w:eastAsia="Times New Roman" w:hAnsi="Arial" w:cs="Arial"/>
                <w:b/>
                <w:bCs/>
                <w:color w:val="FFFFFF" w:themeColor="background1"/>
                <w:sz w:val="21"/>
                <w:szCs w:val="21"/>
              </w:rPr>
              <w:t>Salud</w:t>
            </w:r>
          </w:p>
        </w:tc>
        <w:tc>
          <w:tcPr>
            <w:tcW w:w="2456" w:type="dxa"/>
            <w:gridSpan w:val="2"/>
            <w:tcBorders>
              <w:top w:val="single" w:sz="4" w:space="0" w:color="auto"/>
              <w:left w:val="nil"/>
              <w:bottom w:val="single" w:sz="4" w:space="0" w:color="auto"/>
              <w:right w:val="single" w:sz="4" w:space="0" w:color="auto"/>
            </w:tcBorders>
            <w:shd w:val="clear" w:color="auto" w:fill="696969"/>
            <w:vAlign w:val="center"/>
          </w:tcPr>
          <w:p w14:paraId="5206810C" w14:textId="1C46ED80" w:rsidR="0017409A" w:rsidRPr="0017409A" w:rsidRDefault="007C51E7" w:rsidP="0017409A">
            <w:pPr>
              <w:autoSpaceDE w:val="0"/>
              <w:autoSpaceDN w:val="0"/>
              <w:adjustRightInd w:val="0"/>
              <w:spacing w:after="120" w:line="276" w:lineRule="auto"/>
              <w:ind w:left="286" w:hanging="286"/>
              <w:jc w:val="center"/>
              <w:rPr>
                <w:rFonts w:ascii="Arial" w:eastAsia="Times New Roman" w:hAnsi="Arial" w:cs="Arial"/>
                <w:b/>
                <w:bCs/>
                <w:color w:val="FFFFFF" w:themeColor="background1"/>
                <w:sz w:val="21"/>
                <w:szCs w:val="21"/>
              </w:rPr>
            </w:pPr>
            <w:r>
              <w:rPr>
                <w:rFonts w:ascii="Arial" w:eastAsia="Times New Roman" w:hAnsi="Arial" w:cs="Arial"/>
                <w:b/>
                <w:bCs/>
                <w:color w:val="FFFFFF" w:themeColor="background1"/>
                <w:sz w:val="21"/>
                <w:szCs w:val="21"/>
              </w:rPr>
              <w:t xml:space="preserve">      </w:t>
            </w:r>
            <w:r w:rsidR="0017409A" w:rsidRPr="0017409A">
              <w:rPr>
                <w:rFonts w:ascii="Arial" w:eastAsia="Times New Roman" w:hAnsi="Arial" w:cs="Arial"/>
                <w:b/>
                <w:bCs/>
                <w:color w:val="FFFFFF" w:themeColor="background1"/>
                <w:sz w:val="21"/>
                <w:szCs w:val="21"/>
              </w:rPr>
              <w:t>Recreación Cultura y deporte</w:t>
            </w:r>
          </w:p>
        </w:tc>
      </w:tr>
      <w:tr w:rsidR="0017409A" w:rsidRPr="0017409A" w14:paraId="362D723D" w14:textId="77777777" w:rsidTr="002C68F4">
        <w:tc>
          <w:tcPr>
            <w:tcW w:w="333" w:type="dxa"/>
            <w:tcBorders>
              <w:top w:val="single" w:sz="4" w:space="0" w:color="auto"/>
            </w:tcBorders>
            <w:vAlign w:val="center"/>
          </w:tcPr>
          <w:p w14:paraId="1270EA07" w14:textId="77777777" w:rsidR="0017409A" w:rsidRPr="0017409A" w:rsidRDefault="0017409A" w:rsidP="0017409A">
            <w:pPr>
              <w:autoSpaceDE w:val="0"/>
              <w:autoSpaceDN w:val="0"/>
              <w:adjustRightInd w:val="0"/>
              <w:spacing w:after="120" w:line="276" w:lineRule="auto"/>
              <w:jc w:val="center"/>
              <w:rPr>
                <w:rFonts w:ascii="Arial" w:eastAsia="Times New Roman" w:hAnsi="Arial" w:cs="Arial"/>
                <w:b/>
                <w:bCs/>
                <w:color w:val="000000"/>
                <w:sz w:val="21"/>
                <w:szCs w:val="21"/>
              </w:rPr>
            </w:pPr>
            <w:r w:rsidRPr="0017409A">
              <w:rPr>
                <w:rFonts w:ascii="Arial" w:eastAsia="Times New Roman" w:hAnsi="Arial" w:cs="Arial"/>
                <w:b/>
                <w:bCs/>
                <w:color w:val="000000"/>
                <w:sz w:val="21"/>
                <w:szCs w:val="21"/>
              </w:rPr>
              <w:t>1</w:t>
            </w:r>
          </w:p>
        </w:tc>
        <w:tc>
          <w:tcPr>
            <w:tcW w:w="2898" w:type="dxa"/>
            <w:tcBorders>
              <w:top w:val="single" w:sz="4" w:space="0" w:color="auto"/>
            </w:tcBorders>
          </w:tcPr>
          <w:p w14:paraId="10CEB92E" w14:textId="77777777" w:rsidR="0017409A" w:rsidRPr="0017409A" w:rsidRDefault="0017409A" w:rsidP="0017409A">
            <w:pPr>
              <w:autoSpaceDE w:val="0"/>
              <w:autoSpaceDN w:val="0"/>
              <w:adjustRightInd w:val="0"/>
              <w:spacing w:after="120" w:line="276" w:lineRule="auto"/>
              <w:jc w:val="both"/>
              <w:rPr>
                <w:rFonts w:ascii="Arial" w:eastAsia="Times New Roman" w:hAnsi="Arial" w:cs="Arial"/>
                <w:color w:val="000000"/>
                <w:sz w:val="21"/>
                <w:szCs w:val="21"/>
              </w:rPr>
            </w:pPr>
            <w:r w:rsidRPr="0017409A">
              <w:rPr>
                <w:rFonts w:ascii="Arial" w:eastAsia="Times New Roman" w:hAnsi="Arial" w:cs="Arial"/>
                <w:color w:val="000000"/>
                <w:sz w:val="21"/>
                <w:szCs w:val="21"/>
              </w:rPr>
              <w:t>Entidades del sector central y descentralizado de la Rama Ejecutiva del orden nacional;</w:t>
            </w:r>
          </w:p>
        </w:tc>
        <w:tc>
          <w:tcPr>
            <w:tcW w:w="1660" w:type="dxa"/>
            <w:tcBorders>
              <w:top w:val="single" w:sz="4" w:space="0" w:color="auto"/>
            </w:tcBorders>
            <w:vAlign w:val="center"/>
          </w:tcPr>
          <w:p w14:paraId="65A2DABF" w14:textId="77777777" w:rsidR="0017409A" w:rsidRPr="0017409A" w:rsidRDefault="0017409A" w:rsidP="0017409A">
            <w:pPr>
              <w:autoSpaceDE w:val="0"/>
              <w:autoSpaceDN w:val="0"/>
              <w:adjustRightInd w:val="0"/>
              <w:spacing w:after="120" w:line="276" w:lineRule="auto"/>
              <w:jc w:val="center"/>
              <w:rPr>
                <w:rFonts w:ascii="Arial" w:eastAsia="Times New Roman" w:hAnsi="Arial" w:cs="Arial"/>
                <w:color w:val="000000"/>
                <w:sz w:val="21"/>
                <w:szCs w:val="21"/>
              </w:rPr>
            </w:pPr>
            <w:r w:rsidRPr="0017409A">
              <w:rPr>
                <w:rFonts w:ascii="Arial" w:eastAsia="Times New Roman" w:hAnsi="Arial" w:cs="Arial"/>
                <w:color w:val="000000"/>
                <w:sz w:val="21"/>
                <w:szCs w:val="21"/>
              </w:rPr>
              <w:t>2 de noviembre de 2021</w:t>
            </w:r>
          </w:p>
        </w:tc>
        <w:tc>
          <w:tcPr>
            <w:tcW w:w="1787" w:type="dxa"/>
            <w:gridSpan w:val="2"/>
            <w:tcBorders>
              <w:top w:val="single" w:sz="4" w:space="0" w:color="auto"/>
            </w:tcBorders>
            <w:vAlign w:val="center"/>
          </w:tcPr>
          <w:p w14:paraId="33AEC4B4" w14:textId="77777777" w:rsidR="0017409A" w:rsidRPr="0017409A" w:rsidRDefault="0017409A" w:rsidP="0017409A">
            <w:pPr>
              <w:autoSpaceDE w:val="0"/>
              <w:autoSpaceDN w:val="0"/>
              <w:adjustRightInd w:val="0"/>
              <w:spacing w:after="120" w:line="276" w:lineRule="auto"/>
              <w:jc w:val="center"/>
              <w:rPr>
                <w:rFonts w:ascii="Arial" w:eastAsia="Times New Roman" w:hAnsi="Arial" w:cs="Arial"/>
                <w:color w:val="000000"/>
                <w:sz w:val="21"/>
                <w:szCs w:val="21"/>
              </w:rPr>
            </w:pPr>
            <w:r w:rsidRPr="0017409A">
              <w:rPr>
                <w:rFonts w:ascii="Arial" w:eastAsia="Times New Roman" w:hAnsi="Arial" w:cs="Arial"/>
                <w:color w:val="000000"/>
                <w:sz w:val="21"/>
                <w:szCs w:val="21"/>
              </w:rPr>
              <w:t>3 de enero de 2022</w:t>
            </w:r>
          </w:p>
        </w:tc>
        <w:tc>
          <w:tcPr>
            <w:tcW w:w="1714" w:type="dxa"/>
            <w:tcBorders>
              <w:top w:val="single" w:sz="4" w:space="0" w:color="auto"/>
            </w:tcBorders>
            <w:vAlign w:val="center"/>
          </w:tcPr>
          <w:p w14:paraId="52BCF5C5" w14:textId="77777777" w:rsidR="0017409A" w:rsidRPr="0017409A" w:rsidRDefault="0017409A" w:rsidP="0017409A">
            <w:pPr>
              <w:autoSpaceDE w:val="0"/>
              <w:autoSpaceDN w:val="0"/>
              <w:adjustRightInd w:val="0"/>
              <w:spacing w:after="120" w:line="276" w:lineRule="auto"/>
              <w:jc w:val="center"/>
              <w:rPr>
                <w:rFonts w:ascii="Arial" w:eastAsia="Times New Roman" w:hAnsi="Arial" w:cs="Arial"/>
                <w:color w:val="000000"/>
                <w:sz w:val="21"/>
                <w:szCs w:val="21"/>
              </w:rPr>
            </w:pPr>
            <w:r w:rsidRPr="0017409A">
              <w:rPr>
                <w:rFonts w:ascii="Arial" w:hAnsi="Arial" w:cs="Arial"/>
                <w:sz w:val="21"/>
                <w:szCs w:val="21"/>
              </w:rPr>
              <w:t>1 de febrero de 2022</w:t>
            </w:r>
          </w:p>
        </w:tc>
      </w:tr>
      <w:tr w:rsidR="0017409A" w:rsidRPr="0017409A" w14:paraId="2F422CD4" w14:textId="77777777" w:rsidTr="002C68F4">
        <w:tc>
          <w:tcPr>
            <w:tcW w:w="333" w:type="dxa"/>
            <w:vAlign w:val="center"/>
          </w:tcPr>
          <w:p w14:paraId="088468AD" w14:textId="77777777" w:rsidR="0017409A" w:rsidRPr="0017409A" w:rsidRDefault="0017409A" w:rsidP="0017409A">
            <w:pPr>
              <w:autoSpaceDE w:val="0"/>
              <w:autoSpaceDN w:val="0"/>
              <w:adjustRightInd w:val="0"/>
              <w:spacing w:after="120" w:line="276" w:lineRule="auto"/>
              <w:jc w:val="center"/>
              <w:rPr>
                <w:rFonts w:ascii="Arial" w:eastAsia="Times New Roman" w:hAnsi="Arial" w:cs="Arial"/>
                <w:b/>
                <w:bCs/>
                <w:color w:val="000000"/>
                <w:sz w:val="21"/>
                <w:szCs w:val="21"/>
              </w:rPr>
            </w:pPr>
            <w:r w:rsidRPr="0017409A">
              <w:rPr>
                <w:rFonts w:ascii="Arial" w:eastAsia="Times New Roman" w:hAnsi="Arial" w:cs="Arial"/>
                <w:b/>
                <w:bCs/>
                <w:color w:val="000000"/>
                <w:sz w:val="21"/>
                <w:szCs w:val="21"/>
              </w:rPr>
              <w:lastRenderedPageBreak/>
              <w:t>2</w:t>
            </w:r>
          </w:p>
        </w:tc>
        <w:tc>
          <w:tcPr>
            <w:tcW w:w="2898" w:type="dxa"/>
          </w:tcPr>
          <w:p w14:paraId="5AB07882" w14:textId="77777777" w:rsidR="0017409A" w:rsidRPr="0017409A" w:rsidRDefault="0017409A" w:rsidP="0017409A">
            <w:pPr>
              <w:autoSpaceDE w:val="0"/>
              <w:autoSpaceDN w:val="0"/>
              <w:adjustRightInd w:val="0"/>
              <w:spacing w:after="120" w:line="276" w:lineRule="auto"/>
              <w:jc w:val="both"/>
              <w:rPr>
                <w:rFonts w:ascii="Arial" w:eastAsia="Times New Roman" w:hAnsi="Arial" w:cs="Arial"/>
                <w:color w:val="000000"/>
                <w:sz w:val="21"/>
                <w:szCs w:val="21"/>
              </w:rPr>
            </w:pPr>
            <w:r w:rsidRPr="0017409A">
              <w:rPr>
                <w:rFonts w:ascii="Arial" w:eastAsia="Times New Roman" w:hAnsi="Arial" w:cs="Arial"/>
                <w:color w:val="000000"/>
                <w:sz w:val="21"/>
                <w:szCs w:val="21"/>
              </w:rPr>
              <w:t>Entidades del sector central y del sector descentralizado de los niveles municipal y distrital de los municipios y distritos que sean capitales de departamentos;</w:t>
            </w:r>
          </w:p>
        </w:tc>
        <w:tc>
          <w:tcPr>
            <w:tcW w:w="1660" w:type="dxa"/>
            <w:vAlign w:val="center"/>
          </w:tcPr>
          <w:p w14:paraId="3F0BEDE4" w14:textId="77777777" w:rsidR="0017409A" w:rsidRPr="0017409A" w:rsidRDefault="0017409A" w:rsidP="0017409A">
            <w:pPr>
              <w:jc w:val="center"/>
              <w:rPr>
                <w:rFonts w:ascii="Arial" w:hAnsi="Arial" w:cs="Arial"/>
                <w:sz w:val="21"/>
                <w:szCs w:val="21"/>
              </w:rPr>
            </w:pPr>
            <w:r w:rsidRPr="0017409A">
              <w:rPr>
                <w:rFonts w:ascii="Arial" w:hAnsi="Arial" w:cs="Arial"/>
                <w:sz w:val="21"/>
                <w:szCs w:val="21"/>
              </w:rPr>
              <w:t>1 de febrero de 2022.</w:t>
            </w:r>
          </w:p>
          <w:p w14:paraId="47B2156D" w14:textId="77777777" w:rsidR="0017409A" w:rsidRPr="0017409A" w:rsidRDefault="0017409A" w:rsidP="0017409A">
            <w:pPr>
              <w:ind w:firstLine="708"/>
              <w:jc w:val="center"/>
              <w:rPr>
                <w:rFonts w:ascii="Arial" w:hAnsi="Arial" w:cs="Arial"/>
                <w:sz w:val="21"/>
                <w:szCs w:val="21"/>
              </w:rPr>
            </w:pPr>
          </w:p>
          <w:p w14:paraId="15ECC906" w14:textId="77777777" w:rsidR="0017409A" w:rsidRPr="0017409A" w:rsidRDefault="0017409A" w:rsidP="0017409A">
            <w:pPr>
              <w:autoSpaceDE w:val="0"/>
              <w:autoSpaceDN w:val="0"/>
              <w:adjustRightInd w:val="0"/>
              <w:spacing w:after="120" w:line="276" w:lineRule="auto"/>
              <w:jc w:val="center"/>
              <w:rPr>
                <w:rFonts w:ascii="Arial" w:eastAsia="Times New Roman" w:hAnsi="Arial" w:cs="Arial"/>
                <w:color w:val="000000"/>
                <w:sz w:val="21"/>
                <w:szCs w:val="21"/>
              </w:rPr>
            </w:pPr>
          </w:p>
        </w:tc>
        <w:tc>
          <w:tcPr>
            <w:tcW w:w="1787" w:type="dxa"/>
            <w:gridSpan w:val="2"/>
            <w:vAlign w:val="center"/>
          </w:tcPr>
          <w:p w14:paraId="37E8972A" w14:textId="77777777" w:rsidR="0017409A" w:rsidRPr="0017409A" w:rsidRDefault="0017409A" w:rsidP="0017409A">
            <w:pPr>
              <w:jc w:val="center"/>
              <w:rPr>
                <w:rFonts w:ascii="Arial" w:hAnsi="Arial" w:cs="Arial"/>
                <w:sz w:val="21"/>
                <w:szCs w:val="21"/>
              </w:rPr>
            </w:pPr>
            <w:r w:rsidRPr="0017409A">
              <w:rPr>
                <w:rFonts w:ascii="Arial" w:hAnsi="Arial" w:cs="Arial"/>
                <w:sz w:val="21"/>
                <w:szCs w:val="21"/>
              </w:rPr>
              <w:t>1 de febrero de 2022</w:t>
            </w:r>
          </w:p>
          <w:p w14:paraId="70FBF1A2" w14:textId="77777777" w:rsidR="0017409A" w:rsidRPr="0017409A" w:rsidRDefault="0017409A" w:rsidP="0017409A">
            <w:pPr>
              <w:ind w:firstLine="708"/>
              <w:jc w:val="center"/>
              <w:rPr>
                <w:rFonts w:ascii="Arial" w:hAnsi="Arial" w:cs="Arial"/>
                <w:sz w:val="21"/>
                <w:szCs w:val="21"/>
              </w:rPr>
            </w:pPr>
            <w:r w:rsidRPr="0017409A">
              <w:rPr>
                <w:rFonts w:ascii="Arial" w:hAnsi="Arial" w:cs="Arial"/>
                <w:sz w:val="21"/>
                <w:szCs w:val="21"/>
              </w:rPr>
              <w:t>.</w:t>
            </w:r>
          </w:p>
          <w:p w14:paraId="0C71C9B8" w14:textId="77777777" w:rsidR="0017409A" w:rsidRPr="0017409A" w:rsidRDefault="0017409A" w:rsidP="0017409A">
            <w:pPr>
              <w:autoSpaceDE w:val="0"/>
              <w:autoSpaceDN w:val="0"/>
              <w:adjustRightInd w:val="0"/>
              <w:spacing w:after="120" w:line="276" w:lineRule="auto"/>
              <w:jc w:val="center"/>
              <w:rPr>
                <w:rFonts w:ascii="Arial" w:eastAsia="Times New Roman" w:hAnsi="Arial" w:cs="Arial"/>
                <w:color w:val="000000"/>
                <w:sz w:val="21"/>
                <w:szCs w:val="21"/>
              </w:rPr>
            </w:pPr>
          </w:p>
        </w:tc>
        <w:tc>
          <w:tcPr>
            <w:tcW w:w="1714" w:type="dxa"/>
            <w:vAlign w:val="center"/>
          </w:tcPr>
          <w:p w14:paraId="045440AF" w14:textId="77777777" w:rsidR="0017409A" w:rsidRPr="0017409A" w:rsidRDefault="0017409A" w:rsidP="0017409A">
            <w:pPr>
              <w:autoSpaceDE w:val="0"/>
              <w:autoSpaceDN w:val="0"/>
              <w:adjustRightInd w:val="0"/>
              <w:spacing w:after="120" w:line="276" w:lineRule="auto"/>
              <w:jc w:val="center"/>
              <w:rPr>
                <w:rFonts w:ascii="Arial" w:eastAsia="Times New Roman" w:hAnsi="Arial" w:cs="Arial"/>
                <w:color w:val="000000"/>
                <w:sz w:val="21"/>
                <w:szCs w:val="21"/>
              </w:rPr>
            </w:pPr>
            <w:r w:rsidRPr="0017409A">
              <w:rPr>
                <w:rFonts w:ascii="Arial" w:hAnsi="Arial" w:cs="Arial"/>
                <w:sz w:val="21"/>
                <w:szCs w:val="21"/>
              </w:rPr>
              <w:t>1 de marzo de 2022</w:t>
            </w:r>
          </w:p>
        </w:tc>
      </w:tr>
      <w:tr w:rsidR="0017409A" w:rsidRPr="0017409A" w14:paraId="701A6034" w14:textId="77777777" w:rsidTr="002C68F4">
        <w:tc>
          <w:tcPr>
            <w:tcW w:w="333" w:type="dxa"/>
            <w:vAlign w:val="center"/>
          </w:tcPr>
          <w:p w14:paraId="18BE7DC9" w14:textId="77777777" w:rsidR="0017409A" w:rsidRPr="0017409A" w:rsidRDefault="0017409A" w:rsidP="0017409A">
            <w:pPr>
              <w:autoSpaceDE w:val="0"/>
              <w:autoSpaceDN w:val="0"/>
              <w:adjustRightInd w:val="0"/>
              <w:spacing w:after="120" w:line="276" w:lineRule="auto"/>
              <w:jc w:val="center"/>
              <w:rPr>
                <w:rFonts w:ascii="Arial" w:eastAsia="Times New Roman" w:hAnsi="Arial" w:cs="Arial"/>
                <w:b/>
                <w:bCs/>
                <w:color w:val="000000"/>
                <w:sz w:val="21"/>
                <w:szCs w:val="21"/>
              </w:rPr>
            </w:pPr>
            <w:r w:rsidRPr="0017409A">
              <w:rPr>
                <w:rFonts w:ascii="Arial" w:eastAsia="Times New Roman" w:hAnsi="Arial" w:cs="Arial"/>
                <w:b/>
                <w:bCs/>
                <w:color w:val="000000"/>
                <w:sz w:val="21"/>
                <w:szCs w:val="21"/>
              </w:rPr>
              <w:t>3</w:t>
            </w:r>
          </w:p>
        </w:tc>
        <w:tc>
          <w:tcPr>
            <w:tcW w:w="2898" w:type="dxa"/>
          </w:tcPr>
          <w:p w14:paraId="5EEC4768" w14:textId="77777777" w:rsidR="0017409A" w:rsidRPr="0017409A" w:rsidRDefault="0017409A" w:rsidP="0017409A">
            <w:pPr>
              <w:autoSpaceDE w:val="0"/>
              <w:autoSpaceDN w:val="0"/>
              <w:adjustRightInd w:val="0"/>
              <w:spacing w:after="120" w:line="276" w:lineRule="auto"/>
              <w:jc w:val="both"/>
              <w:rPr>
                <w:rFonts w:ascii="Arial" w:eastAsia="Times New Roman" w:hAnsi="Arial" w:cs="Arial"/>
                <w:color w:val="000000"/>
                <w:sz w:val="21"/>
                <w:szCs w:val="21"/>
              </w:rPr>
            </w:pPr>
            <w:r w:rsidRPr="0017409A">
              <w:rPr>
                <w:rFonts w:ascii="Arial" w:eastAsia="Times New Roman" w:hAnsi="Arial" w:cs="Arial"/>
                <w:color w:val="000000"/>
                <w:sz w:val="21"/>
                <w:szCs w:val="21"/>
              </w:rPr>
              <w:t>Entidades del sector central y del sector descentralizado del nivel departamental, así como las de los municipios de categorías especial,1, 2 y 3, no cobijadas por los numerales anteriores;</w:t>
            </w:r>
          </w:p>
        </w:tc>
        <w:tc>
          <w:tcPr>
            <w:tcW w:w="1660" w:type="dxa"/>
            <w:vAlign w:val="center"/>
          </w:tcPr>
          <w:p w14:paraId="297C543F" w14:textId="77777777" w:rsidR="0017409A" w:rsidRPr="0017409A" w:rsidRDefault="0017409A" w:rsidP="0017409A">
            <w:pPr>
              <w:jc w:val="center"/>
              <w:rPr>
                <w:rFonts w:ascii="Arial" w:hAnsi="Arial" w:cs="Arial"/>
                <w:sz w:val="21"/>
                <w:szCs w:val="21"/>
              </w:rPr>
            </w:pPr>
            <w:r w:rsidRPr="0017409A">
              <w:rPr>
                <w:rFonts w:ascii="Arial" w:hAnsi="Arial" w:cs="Arial"/>
                <w:sz w:val="21"/>
                <w:szCs w:val="21"/>
              </w:rPr>
              <w:t>1 de marzo de 2022</w:t>
            </w:r>
          </w:p>
          <w:p w14:paraId="21B8CB35" w14:textId="77777777" w:rsidR="0017409A" w:rsidRPr="0017409A" w:rsidRDefault="0017409A" w:rsidP="0017409A">
            <w:pPr>
              <w:autoSpaceDE w:val="0"/>
              <w:autoSpaceDN w:val="0"/>
              <w:adjustRightInd w:val="0"/>
              <w:spacing w:after="120" w:line="276" w:lineRule="auto"/>
              <w:jc w:val="center"/>
              <w:rPr>
                <w:rFonts w:ascii="Arial" w:eastAsia="Times New Roman" w:hAnsi="Arial" w:cs="Arial"/>
                <w:color w:val="000000"/>
                <w:sz w:val="21"/>
                <w:szCs w:val="21"/>
              </w:rPr>
            </w:pPr>
          </w:p>
        </w:tc>
        <w:tc>
          <w:tcPr>
            <w:tcW w:w="1787" w:type="dxa"/>
            <w:gridSpan w:val="2"/>
            <w:vAlign w:val="center"/>
          </w:tcPr>
          <w:p w14:paraId="49586D52" w14:textId="77777777" w:rsidR="0017409A" w:rsidRPr="0017409A" w:rsidRDefault="0017409A" w:rsidP="0017409A">
            <w:pPr>
              <w:jc w:val="center"/>
              <w:rPr>
                <w:rFonts w:ascii="Arial" w:hAnsi="Arial" w:cs="Arial"/>
                <w:sz w:val="21"/>
                <w:szCs w:val="21"/>
              </w:rPr>
            </w:pPr>
            <w:r w:rsidRPr="0017409A">
              <w:rPr>
                <w:rFonts w:ascii="Arial" w:hAnsi="Arial" w:cs="Arial"/>
                <w:sz w:val="21"/>
                <w:szCs w:val="21"/>
              </w:rPr>
              <w:t>1 de marzo de 2022</w:t>
            </w:r>
          </w:p>
          <w:p w14:paraId="6066BE0D" w14:textId="77777777" w:rsidR="0017409A" w:rsidRPr="0017409A" w:rsidRDefault="0017409A" w:rsidP="0017409A">
            <w:pPr>
              <w:autoSpaceDE w:val="0"/>
              <w:autoSpaceDN w:val="0"/>
              <w:adjustRightInd w:val="0"/>
              <w:spacing w:after="120" w:line="276" w:lineRule="auto"/>
              <w:jc w:val="center"/>
              <w:rPr>
                <w:rFonts w:ascii="Arial" w:eastAsia="Times New Roman" w:hAnsi="Arial" w:cs="Arial"/>
                <w:color w:val="000000"/>
                <w:sz w:val="21"/>
                <w:szCs w:val="21"/>
              </w:rPr>
            </w:pPr>
          </w:p>
        </w:tc>
        <w:tc>
          <w:tcPr>
            <w:tcW w:w="1714" w:type="dxa"/>
            <w:vAlign w:val="center"/>
          </w:tcPr>
          <w:p w14:paraId="6095DBB4" w14:textId="77777777" w:rsidR="0017409A" w:rsidRPr="0017409A" w:rsidRDefault="0017409A" w:rsidP="0017409A">
            <w:pPr>
              <w:autoSpaceDE w:val="0"/>
              <w:autoSpaceDN w:val="0"/>
              <w:adjustRightInd w:val="0"/>
              <w:spacing w:after="120" w:line="276" w:lineRule="auto"/>
              <w:jc w:val="center"/>
              <w:rPr>
                <w:rFonts w:ascii="Arial" w:eastAsia="Times New Roman" w:hAnsi="Arial" w:cs="Arial"/>
                <w:color w:val="000000"/>
                <w:sz w:val="21"/>
                <w:szCs w:val="21"/>
              </w:rPr>
            </w:pPr>
            <w:r w:rsidRPr="0017409A">
              <w:rPr>
                <w:rFonts w:ascii="Arial" w:eastAsia="Times New Roman" w:hAnsi="Arial" w:cs="Arial"/>
                <w:color w:val="000000"/>
                <w:sz w:val="21"/>
                <w:szCs w:val="21"/>
              </w:rPr>
              <w:t>1 de abril de 2022</w:t>
            </w:r>
          </w:p>
        </w:tc>
      </w:tr>
      <w:tr w:rsidR="0017409A" w:rsidRPr="0017409A" w14:paraId="264E2335" w14:textId="77777777" w:rsidTr="002C68F4">
        <w:tc>
          <w:tcPr>
            <w:tcW w:w="333" w:type="dxa"/>
            <w:vAlign w:val="center"/>
          </w:tcPr>
          <w:p w14:paraId="3EE9A699" w14:textId="77777777" w:rsidR="0017409A" w:rsidRPr="0017409A" w:rsidRDefault="0017409A" w:rsidP="0017409A">
            <w:pPr>
              <w:autoSpaceDE w:val="0"/>
              <w:autoSpaceDN w:val="0"/>
              <w:adjustRightInd w:val="0"/>
              <w:spacing w:after="120" w:line="276" w:lineRule="auto"/>
              <w:jc w:val="center"/>
              <w:rPr>
                <w:rFonts w:ascii="Arial" w:eastAsia="Times New Roman" w:hAnsi="Arial" w:cs="Arial"/>
                <w:b/>
                <w:bCs/>
                <w:color w:val="000000"/>
                <w:sz w:val="21"/>
                <w:szCs w:val="21"/>
              </w:rPr>
            </w:pPr>
            <w:r w:rsidRPr="0017409A">
              <w:rPr>
                <w:rFonts w:ascii="Arial" w:eastAsia="Times New Roman" w:hAnsi="Arial" w:cs="Arial"/>
                <w:b/>
                <w:bCs/>
                <w:color w:val="000000"/>
                <w:sz w:val="21"/>
                <w:szCs w:val="21"/>
              </w:rPr>
              <w:t>4</w:t>
            </w:r>
          </w:p>
        </w:tc>
        <w:tc>
          <w:tcPr>
            <w:tcW w:w="2898" w:type="dxa"/>
          </w:tcPr>
          <w:p w14:paraId="24A9113A" w14:textId="77777777" w:rsidR="0017409A" w:rsidRPr="0017409A" w:rsidRDefault="0017409A" w:rsidP="0017409A">
            <w:pPr>
              <w:autoSpaceDE w:val="0"/>
              <w:autoSpaceDN w:val="0"/>
              <w:adjustRightInd w:val="0"/>
              <w:spacing w:after="120" w:line="276" w:lineRule="auto"/>
              <w:jc w:val="both"/>
              <w:rPr>
                <w:rFonts w:ascii="Arial" w:eastAsia="Times New Roman" w:hAnsi="Arial" w:cs="Arial"/>
                <w:color w:val="000000"/>
                <w:sz w:val="21"/>
                <w:szCs w:val="21"/>
              </w:rPr>
            </w:pPr>
            <w:r w:rsidRPr="0017409A">
              <w:rPr>
                <w:rFonts w:ascii="Arial" w:eastAsia="Times New Roman" w:hAnsi="Arial" w:cs="Arial"/>
                <w:color w:val="000000"/>
                <w:sz w:val="21"/>
                <w:szCs w:val="21"/>
              </w:rPr>
              <w:t>Entidades del sector central y del sector descentralizado del nivel municipal, en las categorías 4, 5 y 6, al igual que las demás entidades estatales regidas por el Estatuto General de la Administración Pública no cobijadas por los anteriores numerales;</w:t>
            </w:r>
          </w:p>
        </w:tc>
        <w:tc>
          <w:tcPr>
            <w:tcW w:w="1660" w:type="dxa"/>
            <w:vAlign w:val="center"/>
          </w:tcPr>
          <w:p w14:paraId="0506A927" w14:textId="77777777" w:rsidR="0017409A" w:rsidRPr="0017409A" w:rsidRDefault="0017409A" w:rsidP="0017409A">
            <w:pPr>
              <w:autoSpaceDE w:val="0"/>
              <w:autoSpaceDN w:val="0"/>
              <w:adjustRightInd w:val="0"/>
              <w:spacing w:after="120" w:line="276" w:lineRule="auto"/>
              <w:jc w:val="center"/>
              <w:rPr>
                <w:rFonts w:ascii="Arial" w:eastAsia="Times New Roman" w:hAnsi="Arial" w:cs="Arial"/>
                <w:color w:val="000000"/>
                <w:sz w:val="21"/>
                <w:szCs w:val="21"/>
              </w:rPr>
            </w:pPr>
            <w:r w:rsidRPr="0017409A">
              <w:rPr>
                <w:rFonts w:ascii="Arial" w:hAnsi="Arial" w:cs="Arial"/>
                <w:sz w:val="21"/>
                <w:szCs w:val="21"/>
              </w:rPr>
              <w:t>1 de abril de 2022</w:t>
            </w:r>
          </w:p>
        </w:tc>
        <w:tc>
          <w:tcPr>
            <w:tcW w:w="1787" w:type="dxa"/>
            <w:gridSpan w:val="2"/>
            <w:vAlign w:val="center"/>
          </w:tcPr>
          <w:p w14:paraId="6B93F0CB" w14:textId="77777777" w:rsidR="0017409A" w:rsidRPr="0017409A" w:rsidRDefault="0017409A" w:rsidP="0017409A">
            <w:pPr>
              <w:autoSpaceDE w:val="0"/>
              <w:autoSpaceDN w:val="0"/>
              <w:adjustRightInd w:val="0"/>
              <w:spacing w:after="120" w:line="276" w:lineRule="auto"/>
              <w:jc w:val="center"/>
              <w:rPr>
                <w:rFonts w:ascii="Arial" w:eastAsia="Times New Roman" w:hAnsi="Arial" w:cs="Arial"/>
                <w:color w:val="000000"/>
                <w:sz w:val="21"/>
                <w:szCs w:val="21"/>
              </w:rPr>
            </w:pPr>
            <w:r w:rsidRPr="0017409A">
              <w:rPr>
                <w:rFonts w:ascii="Arial" w:hAnsi="Arial" w:cs="Arial"/>
                <w:sz w:val="21"/>
                <w:szCs w:val="21"/>
              </w:rPr>
              <w:t>1 de abril de 2022</w:t>
            </w:r>
          </w:p>
        </w:tc>
        <w:tc>
          <w:tcPr>
            <w:tcW w:w="1714" w:type="dxa"/>
            <w:vAlign w:val="center"/>
          </w:tcPr>
          <w:p w14:paraId="25897B5B" w14:textId="77777777" w:rsidR="0017409A" w:rsidRPr="0017409A" w:rsidRDefault="0017409A" w:rsidP="0017409A">
            <w:pPr>
              <w:autoSpaceDE w:val="0"/>
              <w:autoSpaceDN w:val="0"/>
              <w:adjustRightInd w:val="0"/>
              <w:spacing w:after="120" w:line="276" w:lineRule="auto"/>
              <w:jc w:val="center"/>
              <w:rPr>
                <w:rFonts w:ascii="Arial" w:eastAsia="Times New Roman" w:hAnsi="Arial" w:cs="Arial"/>
                <w:color w:val="000000"/>
                <w:sz w:val="21"/>
                <w:szCs w:val="21"/>
              </w:rPr>
            </w:pPr>
            <w:r w:rsidRPr="0017409A">
              <w:rPr>
                <w:rFonts w:ascii="Arial" w:eastAsia="Times New Roman" w:hAnsi="Arial" w:cs="Arial"/>
                <w:color w:val="000000"/>
                <w:sz w:val="21"/>
                <w:szCs w:val="21"/>
              </w:rPr>
              <w:t>2 de mayo de 2022</w:t>
            </w:r>
          </w:p>
        </w:tc>
      </w:tr>
    </w:tbl>
    <w:p w14:paraId="1EA9773B" w14:textId="77777777" w:rsidR="0017409A" w:rsidRPr="0017409A" w:rsidRDefault="0017409A" w:rsidP="0017409A">
      <w:pPr>
        <w:spacing w:after="0" w:line="276" w:lineRule="auto"/>
        <w:jc w:val="both"/>
        <w:rPr>
          <w:rFonts w:ascii="Arial" w:hAnsi="Arial" w:cs="Arial"/>
        </w:rPr>
      </w:pPr>
    </w:p>
    <w:p w14:paraId="664FD724" w14:textId="39DCBEB7" w:rsidR="0017409A" w:rsidRDefault="0017409A" w:rsidP="00145F4B">
      <w:pPr>
        <w:autoSpaceDE w:val="0"/>
        <w:autoSpaceDN w:val="0"/>
        <w:adjustRightInd w:val="0"/>
        <w:spacing w:after="0" w:line="276" w:lineRule="auto"/>
        <w:ind w:firstLine="708"/>
        <w:jc w:val="both"/>
        <w:rPr>
          <w:rFonts w:ascii="Arial" w:hAnsi="Arial" w:cs="Arial"/>
        </w:rPr>
      </w:pPr>
      <w:r w:rsidRPr="0017409A">
        <w:rPr>
          <w:rFonts w:ascii="Arial" w:hAnsi="Arial" w:cs="Arial"/>
        </w:rPr>
        <w:t>Como se aprecia, estos grupos están conformados en función de criterios asociados a la naturaleza jurídica y administrativa de las entidades, como lo son su pertenencia al sector central o descentralizado, su clasificación en los niveles municipal, distrital o departamental, la condición de capital de departamento, la categorización municipal y unos criterios residuales. En atención a esto, para establecer si determinada entidad estatal est</w:t>
      </w:r>
      <w:r w:rsidR="007C51E7">
        <w:rPr>
          <w:rFonts w:ascii="Arial" w:hAnsi="Arial" w:cs="Arial"/>
        </w:rPr>
        <w:t>aba</w:t>
      </w:r>
      <w:r w:rsidRPr="0017409A">
        <w:rPr>
          <w:rFonts w:ascii="Arial" w:hAnsi="Arial" w:cs="Arial"/>
        </w:rPr>
        <w:t xml:space="preserve"> a la fecha obligada a implementar documentos tipo en sus procesos de licitación de obra pública de infraestructura social, debe determinarse el grupo y los criterios en los que se ubica la entidad. </w:t>
      </w:r>
      <w:r w:rsidR="00111CB4">
        <w:rPr>
          <w:rFonts w:ascii="Arial" w:hAnsi="Arial" w:cs="Arial"/>
        </w:rPr>
        <w:t>Lo anterior, sin perjuicio de precisar que, de acuerdo con las fechas explicadas, actualmente dichos documentos tipo son obligatorios para todas las entidades sometidas a su contenido.</w:t>
      </w:r>
    </w:p>
    <w:p w14:paraId="1A29596F" w14:textId="77777777" w:rsidR="00145F4B" w:rsidRPr="0017409A" w:rsidRDefault="00145F4B" w:rsidP="00145F4B">
      <w:pPr>
        <w:autoSpaceDE w:val="0"/>
        <w:autoSpaceDN w:val="0"/>
        <w:adjustRightInd w:val="0"/>
        <w:spacing w:after="0" w:line="276" w:lineRule="auto"/>
        <w:ind w:firstLine="708"/>
        <w:jc w:val="both"/>
        <w:rPr>
          <w:rFonts w:ascii="Arial" w:hAnsi="Arial" w:cs="Arial"/>
        </w:rPr>
      </w:pPr>
    </w:p>
    <w:p w14:paraId="651B1FCB" w14:textId="77777777" w:rsidR="006C5583" w:rsidRPr="00727F2C" w:rsidRDefault="006C5583" w:rsidP="00145F4B">
      <w:pPr>
        <w:spacing w:after="0"/>
        <w:jc w:val="both"/>
        <w:rPr>
          <w:rFonts w:ascii="Arial" w:hAnsi="Arial" w:cs="Arial"/>
          <w:b/>
          <w:bCs/>
          <w:lang w:val="es-ES" w:eastAsia="es-CO"/>
        </w:rPr>
      </w:pPr>
      <w:r w:rsidRPr="00727F2C">
        <w:rPr>
          <w:rFonts w:ascii="Arial" w:hAnsi="Arial" w:cs="Arial"/>
          <w:b/>
          <w:bCs/>
          <w:lang w:val="es-ES" w:eastAsia="es-CO"/>
        </w:rPr>
        <w:t xml:space="preserve">2.3.  </w:t>
      </w:r>
      <w:r w:rsidRPr="00727F2C">
        <w:rPr>
          <w:rFonts w:ascii="Arial" w:hAnsi="Arial" w:cs="Arial"/>
          <w:b/>
          <w:bCs/>
          <w:lang w:eastAsia="es-CO"/>
        </w:rPr>
        <w:t>La expedición del Decreto 1860 de 2021</w:t>
      </w:r>
      <w:r w:rsidRPr="00727F2C">
        <w:rPr>
          <w:rFonts w:ascii="Arial" w:eastAsia="Arial" w:hAnsi="Arial" w:cs="Arial"/>
          <w:b/>
          <w:bCs/>
          <w:lang w:val="es-ES" w:eastAsia="es-MX"/>
        </w:rPr>
        <w:t xml:space="preserve"> </w:t>
      </w:r>
      <w:r w:rsidRPr="00727F2C">
        <w:rPr>
          <w:rFonts w:ascii="Arial" w:hAnsi="Arial" w:cs="Arial"/>
          <w:b/>
          <w:bCs/>
          <w:lang w:eastAsia="es-CO"/>
        </w:rPr>
        <w:t>que incorpora una reglamentación detallada de los artículos 31</w:t>
      </w:r>
      <w:r>
        <w:rPr>
          <w:rFonts w:ascii="Arial" w:hAnsi="Arial" w:cs="Arial"/>
          <w:b/>
          <w:bCs/>
          <w:lang w:eastAsia="es-CO"/>
        </w:rPr>
        <w:t xml:space="preserve"> y </w:t>
      </w:r>
      <w:r w:rsidRPr="00727F2C">
        <w:rPr>
          <w:rFonts w:ascii="Arial" w:hAnsi="Arial" w:cs="Arial"/>
          <w:b/>
          <w:bCs/>
          <w:lang w:eastAsia="es-CO"/>
        </w:rPr>
        <w:t>32</w:t>
      </w:r>
      <w:r>
        <w:rPr>
          <w:rFonts w:ascii="Arial" w:hAnsi="Arial" w:cs="Arial"/>
          <w:b/>
          <w:bCs/>
          <w:lang w:eastAsia="es-CO"/>
        </w:rPr>
        <w:t xml:space="preserve"> de la </w:t>
      </w:r>
      <w:r w:rsidRPr="00727F2C">
        <w:rPr>
          <w:rFonts w:ascii="Arial" w:hAnsi="Arial" w:cs="Arial"/>
          <w:b/>
          <w:bCs/>
          <w:lang w:eastAsia="es-CO"/>
        </w:rPr>
        <w:t>Ley 2069 de 2020</w:t>
      </w:r>
    </w:p>
    <w:p w14:paraId="5C9FA4D5" w14:textId="77777777" w:rsidR="006C5583" w:rsidRPr="00727F2C" w:rsidRDefault="006C5583" w:rsidP="00145F4B">
      <w:pPr>
        <w:spacing w:after="0" w:line="276" w:lineRule="auto"/>
        <w:ind w:right="51"/>
        <w:jc w:val="both"/>
        <w:rPr>
          <w:rFonts w:ascii="Arial" w:eastAsia="Arial" w:hAnsi="Arial" w:cs="Arial"/>
          <w:color w:val="000000" w:themeColor="text1"/>
          <w:lang w:val="es-ES" w:eastAsia="es-CO"/>
        </w:rPr>
      </w:pPr>
    </w:p>
    <w:p w14:paraId="73836368" w14:textId="77777777" w:rsidR="006C5583" w:rsidRPr="00727F2C" w:rsidRDefault="006C5583" w:rsidP="00145F4B">
      <w:pPr>
        <w:spacing w:after="120" w:line="276" w:lineRule="auto"/>
        <w:jc w:val="both"/>
        <w:rPr>
          <w:rFonts w:ascii="Arial" w:eastAsia="Arial" w:hAnsi="Arial" w:cs="Arial"/>
          <w:bCs/>
          <w:szCs w:val="24"/>
          <w:lang w:val="es-ES" w:eastAsia="es-CO"/>
        </w:rPr>
      </w:pPr>
      <w:r w:rsidRPr="00727F2C">
        <w:rPr>
          <w:rFonts w:ascii="Arial" w:eastAsia="Arial" w:hAnsi="Arial" w:cs="Arial"/>
          <w:szCs w:val="24"/>
          <w:lang w:val="es-ES" w:eastAsia="es-CO"/>
        </w:rPr>
        <w:t>El Congreso de la República</w:t>
      </w:r>
      <w:r w:rsidRPr="00727F2C">
        <w:rPr>
          <w:rFonts w:ascii="Arial" w:eastAsia="Arial" w:hAnsi="Arial" w:cs="Arial"/>
          <w:szCs w:val="24"/>
          <w:lang w:eastAsia="es-MX"/>
        </w:rPr>
        <w:t xml:space="preserve"> </w:t>
      </w:r>
      <w:r w:rsidRPr="00727F2C">
        <w:rPr>
          <w:rFonts w:ascii="Arial" w:eastAsia="Arial" w:hAnsi="Arial" w:cs="Arial"/>
          <w:szCs w:val="24"/>
          <w:lang w:val="es-ES" w:eastAsia="es-CO"/>
        </w:rPr>
        <w:t>expidió la Ley 2069 d</w:t>
      </w:r>
      <w:r w:rsidRPr="00727F2C">
        <w:rPr>
          <w:rFonts w:ascii="Arial" w:eastAsia="Arial" w:hAnsi="Arial" w:cs="Arial"/>
          <w:szCs w:val="24"/>
          <w:lang w:eastAsia="es-CO"/>
        </w:rPr>
        <w:t>el 31 de diciembre de 2020,</w:t>
      </w:r>
      <w:r w:rsidRPr="00727F2C">
        <w:rPr>
          <w:rFonts w:ascii="Arial" w:eastAsia="Arial" w:hAnsi="Arial" w:cs="Arial"/>
          <w:szCs w:val="24"/>
          <w:lang w:val="es-ES" w:eastAsia="es-CO"/>
        </w:rPr>
        <w:t xml:space="preserve"> </w:t>
      </w:r>
      <w:r>
        <w:rPr>
          <w:rFonts w:ascii="Arial" w:eastAsia="Arial" w:hAnsi="Arial" w:cs="Arial"/>
          <w:szCs w:val="24"/>
          <w:lang w:val="es-ES" w:eastAsia="es-CO"/>
        </w:rPr>
        <w:t>«</w:t>
      </w:r>
      <w:r w:rsidRPr="00727F2C">
        <w:rPr>
          <w:rFonts w:ascii="Arial" w:eastAsia="Arial" w:hAnsi="Arial" w:cs="Arial"/>
          <w:szCs w:val="24"/>
          <w:lang w:val="es-ES" w:eastAsia="es-CO"/>
        </w:rPr>
        <w:t>Por medio de la cual se impulsa el emprendimiento en Colombia</w:t>
      </w:r>
      <w:r>
        <w:rPr>
          <w:rFonts w:ascii="Arial" w:eastAsia="Arial" w:hAnsi="Arial" w:cs="Arial"/>
          <w:szCs w:val="24"/>
          <w:lang w:val="es-ES" w:eastAsia="es-CO"/>
        </w:rPr>
        <w:t>»</w:t>
      </w:r>
      <w:r w:rsidRPr="00727F2C">
        <w:rPr>
          <w:rFonts w:ascii="Arial" w:eastAsia="Arial" w:hAnsi="Arial" w:cs="Arial"/>
          <w:szCs w:val="24"/>
          <w:lang w:val="es-ES" w:eastAsia="es-CO"/>
        </w:rPr>
        <w:t xml:space="preserve">, </w:t>
      </w:r>
      <w:r>
        <w:rPr>
          <w:rFonts w:ascii="Arial" w:eastAsia="Arial" w:hAnsi="Arial" w:cs="Arial"/>
          <w:szCs w:val="24"/>
          <w:lang w:val="es-ES" w:eastAsia="es-CO"/>
        </w:rPr>
        <w:t xml:space="preserve">en esta se </w:t>
      </w:r>
      <w:r w:rsidRPr="00727F2C">
        <w:rPr>
          <w:rFonts w:ascii="Arial" w:eastAsia="Arial" w:hAnsi="Arial" w:cs="Arial"/>
          <w:szCs w:val="24"/>
          <w:lang w:val="es-ES" w:eastAsia="es-CO"/>
        </w:rPr>
        <w:t xml:space="preserve">establece un marco regulatorio que propicia el emprendimiento, el crecimiento, la consolidación y la sostenibilidad de las empresas, con el fin de aumentar el bienestar social y generar </w:t>
      </w:r>
      <w:r w:rsidRPr="00727F2C">
        <w:rPr>
          <w:rFonts w:ascii="Arial" w:eastAsia="Arial" w:hAnsi="Arial" w:cs="Arial"/>
          <w:szCs w:val="24"/>
          <w:lang w:val="es-ES" w:eastAsia="es-CO"/>
        </w:rPr>
        <w:lastRenderedPageBreak/>
        <w:t xml:space="preserve">equidad. Concretamente, </w:t>
      </w:r>
      <w:r w:rsidRPr="00727F2C">
        <w:rPr>
          <w:rFonts w:ascii="Arial" w:eastAsia="Arial" w:hAnsi="Arial" w:cs="Arial"/>
          <w:bCs/>
          <w:szCs w:val="24"/>
          <w:lang w:val="es-ES" w:eastAsia="es-CO"/>
        </w:rPr>
        <w:t xml:space="preserve">el «Capítulo III- Compras públicas» de la Ley 2069 de 2020 </w:t>
      </w:r>
      <w:r w:rsidRPr="00727F2C">
        <w:rPr>
          <w:rFonts w:ascii="Arial" w:eastAsia="Times New Roman" w:hAnsi="Arial" w:cs="Arial"/>
          <w:szCs w:val="24"/>
          <w:lang w:eastAsia="es-MX"/>
        </w:rPr>
        <w:t>–artículos 3</w:t>
      </w:r>
      <w:r>
        <w:rPr>
          <w:rFonts w:ascii="Arial" w:eastAsia="Times New Roman" w:hAnsi="Arial" w:cs="Arial"/>
          <w:szCs w:val="24"/>
          <w:lang w:eastAsia="es-MX"/>
        </w:rPr>
        <w:t xml:space="preserve">1 y 32− </w:t>
      </w:r>
      <w:r w:rsidRPr="00727F2C">
        <w:rPr>
          <w:rFonts w:ascii="Arial" w:eastAsia="Times New Roman" w:hAnsi="Arial" w:cs="Arial"/>
          <w:szCs w:val="24"/>
          <w:lang w:eastAsia="es-MX"/>
        </w:rPr>
        <w:t>contiene</w:t>
      </w:r>
      <w:r>
        <w:rPr>
          <w:rFonts w:ascii="Arial" w:eastAsia="Times New Roman" w:hAnsi="Arial" w:cs="Arial"/>
          <w:szCs w:val="24"/>
          <w:lang w:eastAsia="es-MX"/>
        </w:rPr>
        <w:t>n</w:t>
      </w:r>
      <w:r w:rsidRPr="00727F2C">
        <w:rPr>
          <w:rFonts w:ascii="Arial" w:eastAsia="Times New Roman" w:hAnsi="Arial" w:cs="Arial"/>
          <w:szCs w:val="24"/>
          <w:lang w:eastAsia="es-MX"/>
        </w:rPr>
        <w:t xml:space="preserve"> normas que modifican</w:t>
      </w:r>
      <w:r w:rsidRPr="00727F2C">
        <w:rPr>
          <w:rFonts w:ascii="Arial" w:eastAsia="Times New Roman" w:hAnsi="Arial" w:cs="Arial"/>
          <w:spacing w:val="1"/>
          <w:szCs w:val="24"/>
          <w:lang w:eastAsia="es-MX"/>
        </w:rPr>
        <w:t xml:space="preserve"> </w:t>
      </w:r>
      <w:r w:rsidRPr="00727F2C">
        <w:rPr>
          <w:rFonts w:ascii="Arial" w:eastAsia="Times New Roman" w:hAnsi="Arial" w:cs="Arial"/>
          <w:szCs w:val="24"/>
          <w:lang w:eastAsia="es-MX"/>
        </w:rPr>
        <w:t>algunos</w:t>
      </w:r>
      <w:r w:rsidRPr="00727F2C">
        <w:rPr>
          <w:rFonts w:ascii="Arial" w:eastAsia="Times New Roman" w:hAnsi="Arial" w:cs="Arial"/>
          <w:spacing w:val="1"/>
          <w:szCs w:val="24"/>
          <w:lang w:eastAsia="es-MX"/>
        </w:rPr>
        <w:t xml:space="preserve"> </w:t>
      </w:r>
      <w:r w:rsidRPr="00727F2C">
        <w:rPr>
          <w:rFonts w:ascii="Arial" w:eastAsia="Times New Roman" w:hAnsi="Arial" w:cs="Arial"/>
          <w:szCs w:val="24"/>
          <w:lang w:eastAsia="es-MX"/>
        </w:rPr>
        <w:t>aspectos</w:t>
      </w:r>
      <w:r w:rsidRPr="00727F2C">
        <w:rPr>
          <w:rFonts w:ascii="Arial" w:eastAsia="Times New Roman" w:hAnsi="Arial" w:cs="Arial"/>
          <w:spacing w:val="1"/>
          <w:szCs w:val="24"/>
          <w:lang w:eastAsia="es-MX"/>
        </w:rPr>
        <w:t xml:space="preserve"> </w:t>
      </w:r>
      <w:r w:rsidRPr="00727F2C">
        <w:rPr>
          <w:rFonts w:ascii="Arial" w:eastAsia="Times New Roman" w:hAnsi="Arial" w:cs="Arial"/>
          <w:szCs w:val="24"/>
          <w:lang w:eastAsia="es-MX"/>
        </w:rPr>
        <w:t>de</w:t>
      </w:r>
      <w:r w:rsidRPr="00727F2C">
        <w:rPr>
          <w:rFonts w:ascii="Arial" w:eastAsia="Times New Roman" w:hAnsi="Arial" w:cs="Arial"/>
          <w:spacing w:val="1"/>
          <w:szCs w:val="24"/>
          <w:lang w:eastAsia="es-MX"/>
        </w:rPr>
        <w:t xml:space="preserve"> </w:t>
      </w:r>
      <w:r w:rsidRPr="00727F2C">
        <w:rPr>
          <w:rFonts w:ascii="Arial" w:eastAsia="Times New Roman" w:hAnsi="Arial" w:cs="Arial"/>
          <w:szCs w:val="24"/>
          <w:lang w:eastAsia="es-MX"/>
        </w:rPr>
        <w:t>la</w:t>
      </w:r>
      <w:r w:rsidRPr="00727F2C">
        <w:rPr>
          <w:rFonts w:ascii="Arial" w:eastAsia="Times New Roman" w:hAnsi="Arial" w:cs="Arial"/>
          <w:spacing w:val="1"/>
          <w:szCs w:val="24"/>
          <w:lang w:eastAsia="es-MX"/>
        </w:rPr>
        <w:t xml:space="preserve"> </w:t>
      </w:r>
      <w:r w:rsidRPr="00727F2C">
        <w:rPr>
          <w:rFonts w:ascii="Arial" w:eastAsia="Times New Roman" w:hAnsi="Arial" w:cs="Arial"/>
          <w:szCs w:val="24"/>
          <w:lang w:eastAsia="es-MX"/>
        </w:rPr>
        <w:t>contratación</w:t>
      </w:r>
      <w:r w:rsidRPr="00727F2C">
        <w:rPr>
          <w:rFonts w:ascii="Arial" w:eastAsia="Times New Roman" w:hAnsi="Arial" w:cs="Arial"/>
          <w:spacing w:val="1"/>
          <w:szCs w:val="24"/>
          <w:lang w:eastAsia="es-MX"/>
        </w:rPr>
        <w:t xml:space="preserve"> </w:t>
      </w:r>
      <w:r w:rsidRPr="00727F2C">
        <w:rPr>
          <w:rFonts w:ascii="Arial" w:eastAsia="Times New Roman" w:hAnsi="Arial" w:cs="Arial"/>
          <w:szCs w:val="24"/>
          <w:lang w:eastAsia="es-MX"/>
        </w:rPr>
        <w:t>estatal</w:t>
      </w:r>
      <w:r w:rsidRPr="00727F2C">
        <w:rPr>
          <w:rFonts w:ascii="Arial" w:eastAsia="Times New Roman" w:hAnsi="Arial" w:cs="Arial"/>
          <w:spacing w:val="1"/>
          <w:szCs w:val="24"/>
          <w:lang w:eastAsia="es-MX"/>
        </w:rPr>
        <w:t xml:space="preserve"> </w:t>
      </w:r>
      <w:r w:rsidRPr="00727F2C">
        <w:rPr>
          <w:rFonts w:ascii="Arial" w:eastAsia="Times New Roman" w:hAnsi="Arial" w:cs="Arial"/>
          <w:szCs w:val="24"/>
          <w:lang w:eastAsia="es-MX"/>
        </w:rPr>
        <w:t>para</w:t>
      </w:r>
      <w:r w:rsidRPr="00727F2C">
        <w:rPr>
          <w:rFonts w:ascii="Arial" w:eastAsia="Times New Roman" w:hAnsi="Arial" w:cs="Arial"/>
          <w:spacing w:val="1"/>
          <w:szCs w:val="24"/>
          <w:lang w:eastAsia="es-MX"/>
        </w:rPr>
        <w:t xml:space="preserve"> </w:t>
      </w:r>
      <w:r w:rsidRPr="00727F2C">
        <w:rPr>
          <w:rFonts w:ascii="Arial" w:eastAsia="Times New Roman" w:hAnsi="Arial" w:cs="Arial"/>
          <w:szCs w:val="24"/>
          <w:lang w:eastAsia="es-MX"/>
        </w:rPr>
        <w:t>promover</w:t>
      </w:r>
      <w:r w:rsidRPr="00727F2C">
        <w:rPr>
          <w:rFonts w:ascii="Arial" w:eastAsia="Times New Roman" w:hAnsi="Arial" w:cs="Arial"/>
          <w:spacing w:val="1"/>
          <w:szCs w:val="24"/>
          <w:lang w:eastAsia="es-MX"/>
        </w:rPr>
        <w:t xml:space="preserve"> </w:t>
      </w:r>
      <w:r w:rsidRPr="00727F2C">
        <w:rPr>
          <w:rFonts w:ascii="Arial" w:eastAsia="Times New Roman" w:hAnsi="Arial" w:cs="Arial"/>
          <w:szCs w:val="24"/>
          <w:lang w:eastAsia="es-MX"/>
        </w:rPr>
        <w:t>el</w:t>
      </w:r>
      <w:r w:rsidRPr="00727F2C">
        <w:rPr>
          <w:rFonts w:ascii="Arial" w:eastAsia="Times New Roman" w:hAnsi="Arial" w:cs="Arial"/>
          <w:spacing w:val="1"/>
          <w:szCs w:val="24"/>
          <w:lang w:eastAsia="es-MX"/>
        </w:rPr>
        <w:t xml:space="preserve"> </w:t>
      </w:r>
      <w:r w:rsidRPr="00727F2C">
        <w:rPr>
          <w:rFonts w:ascii="Arial" w:eastAsia="Times New Roman" w:hAnsi="Arial" w:cs="Arial"/>
          <w:szCs w:val="24"/>
          <w:lang w:eastAsia="es-MX"/>
        </w:rPr>
        <w:t>emprendimiento,</w:t>
      </w:r>
      <w:r>
        <w:rPr>
          <w:rFonts w:ascii="Arial" w:eastAsia="Times New Roman" w:hAnsi="Arial" w:cs="Arial"/>
          <w:szCs w:val="24"/>
          <w:lang w:eastAsia="es-MX"/>
        </w:rPr>
        <w:t xml:space="preserve"> en su orden disponen de</w:t>
      </w:r>
      <w:r w:rsidRPr="00727F2C">
        <w:rPr>
          <w:rFonts w:ascii="Arial" w:eastAsia="Times New Roman" w:hAnsi="Arial" w:cs="Arial"/>
          <w:szCs w:val="24"/>
          <w:lang w:eastAsia="es-MX"/>
        </w:rPr>
        <w:t>:</w:t>
      </w:r>
      <w:r w:rsidRPr="00727F2C">
        <w:rPr>
          <w:rFonts w:ascii="Arial" w:eastAsia="Arial" w:hAnsi="Arial" w:cs="Arial"/>
          <w:bCs/>
          <w:szCs w:val="24"/>
          <w:lang w:eastAsia="es-CO"/>
        </w:rPr>
        <w:t xml:space="preserve"> i) criterios diferenciales para las </w:t>
      </w:r>
      <w:proofErr w:type="spellStart"/>
      <w:r w:rsidRPr="00727F2C">
        <w:rPr>
          <w:rFonts w:ascii="Arial" w:eastAsia="Arial" w:hAnsi="Arial" w:cs="Arial"/>
          <w:bCs/>
          <w:szCs w:val="24"/>
          <w:lang w:eastAsia="es-CO"/>
        </w:rPr>
        <w:t>Mipyme</w:t>
      </w:r>
      <w:proofErr w:type="spellEnd"/>
      <w:r w:rsidRPr="00727F2C">
        <w:rPr>
          <w:rFonts w:ascii="Arial" w:eastAsia="Arial" w:hAnsi="Arial" w:cs="Arial"/>
          <w:bCs/>
          <w:szCs w:val="24"/>
          <w:lang w:eastAsia="es-CO"/>
        </w:rPr>
        <w:t xml:space="preserve"> en el sistema de compras públicas</w:t>
      </w:r>
      <w:r>
        <w:rPr>
          <w:rFonts w:ascii="Arial" w:eastAsia="Arial" w:hAnsi="Arial" w:cs="Arial"/>
          <w:bCs/>
          <w:szCs w:val="24"/>
          <w:lang w:eastAsia="es-CO"/>
        </w:rPr>
        <w:t xml:space="preserve"> y</w:t>
      </w:r>
      <w:r w:rsidRPr="00727F2C">
        <w:rPr>
          <w:rFonts w:ascii="Arial" w:eastAsia="Arial" w:hAnsi="Arial" w:cs="Arial"/>
          <w:bCs/>
          <w:szCs w:val="24"/>
          <w:lang w:eastAsia="es-CO"/>
        </w:rPr>
        <w:t xml:space="preserve"> </w:t>
      </w:r>
      <w:proofErr w:type="spellStart"/>
      <w:r w:rsidRPr="00727F2C">
        <w:rPr>
          <w:rFonts w:ascii="Arial" w:eastAsia="Arial" w:hAnsi="Arial" w:cs="Arial"/>
          <w:bCs/>
          <w:szCs w:val="24"/>
          <w:lang w:eastAsia="es-CO"/>
        </w:rPr>
        <w:t>ii</w:t>
      </w:r>
      <w:proofErr w:type="spellEnd"/>
      <w:r w:rsidRPr="00727F2C">
        <w:rPr>
          <w:rFonts w:ascii="Arial" w:eastAsia="Arial" w:hAnsi="Arial" w:cs="Arial"/>
          <w:bCs/>
          <w:szCs w:val="24"/>
          <w:lang w:eastAsia="es-CO"/>
        </w:rPr>
        <w:t>) criterios diferenciales para los emprendimientos y empresas de mujeres en el sistema de compras públicas</w:t>
      </w:r>
      <w:r>
        <w:rPr>
          <w:rFonts w:ascii="Arial" w:eastAsia="Arial" w:hAnsi="Arial" w:cs="Arial"/>
          <w:bCs/>
          <w:szCs w:val="24"/>
          <w:lang w:eastAsia="es-CO"/>
        </w:rPr>
        <w:t xml:space="preserve">. </w:t>
      </w:r>
    </w:p>
    <w:p w14:paraId="1289796E" w14:textId="77777777" w:rsidR="006C5583" w:rsidRPr="00727F2C" w:rsidRDefault="006C5583" w:rsidP="00145F4B">
      <w:pPr>
        <w:spacing w:after="120" w:line="276" w:lineRule="auto"/>
        <w:ind w:firstLine="708"/>
        <w:jc w:val="both"/>
        <w:rPr>
          <w:rFonts w:ascii="Arial" w:eastAsia="Arial" w:hAnsi="Arial" w:cs="Arial"/>
          <w:szCs w:val="24"/>
          <w:lang w:eastAsia="es-CO"/>
        </w:rPr>
      </w:pPr>
      <w:r w:rsidRPr="00727F2C">
        <w:rPr>
          <w:rFonts w:ascii="Arial" w:eastAsia="Arial" w:hAnsi="Arial" w:cs="Arial"/>
          <w:szCs w:val="24"/>
          <w:lang w:val="es-ES" w:eastAsia="es-CO"/>
        </w:rPr>
        <w:t>De esta forma, el artículo 31 de la Ley 2069 de 2020</w:t>
      </w:r>
      <w:r w:rsidRPr="00727F2C">
        <w:rPr>
          <w:rFonts w:ascii="Arial" w:eastAsia="Arial" w:hAnsi="Arial" w:cs="Arial"/>
          <w:szCs w:val="24"/>
          <w:lang w:eastAsia="es-CO"/>
        </w:rPr>
        <w:t xml:space="preserve"> </w:t>
      </w:r>
      <w:r w:rsidRPr="00727F2C">
        <w:rPr>
          <w:rFonts w:ascii="Arial" w:eastAsia="Arial" w:hAnsi="Arial" w:cs="Arial"/>
          <w:bCs/>
          <w:szCs w:val="24"/>
          <w:lang w:val="es-MX" w:eastAsia="es-CO"/>
        </w:rPr>
        <w:t xml:space="preserve">introduce criterios diferenciales para el acceso de las </w:t>
      </w:r>
      <w:proofErr w:type="spellStart"/>
      <w:r w:rsidRPr="00727F2C">
        <w:rPr>
          <w:rFonts w:ascii="Arial" w:eastAsia="Arial" w:hAnsi="Arial" w:cs="Arial"/>
          <w:bCs/>
          <w:szCs w:val="24"/>
          <w:lang w:val="es-MX" w:eastAsia="es-CO"/>
        </w:rPr>
        <w:t>Mipyme</w:t>
      </w:r>
      <w:proofErr w:type="spellEnd"/>
      <w:r w:rsidRPr="00727F2C">
        <w:rPr>
          <w:rFonts w:ascii="Arial" w:eastAsia="Arial" w:hAnsi="Arial" w:cs="Arial"/>
          <w:bCs/>
          <w:szCs w:val="24"/>
          <w:lang w:val="es-MX" w:eastAsia="es-CO"/>
        </w:rPr>
        <w:t xml:space="preserve"> al sistema de compras y contratación pública. Para estos efectos, el inciso primero dispone que «Las Entidades Estatales de acuerdo con el análisis de Sector </w:t>
      </w:r>
      <w:bookmarkStart w:id="2" w:name="_Hlk63767562"/>
      <w:r w:rsidRPr="00727F2C">
        <w:rPr>
          <w:rFonts w:ascii="Arial" w:eastAsia="Arial" w:hAnsi="Arial" w:cs="Arial"/>
          <w:bCs/>
          <w:szCs w:val="24"/>
          <w:lang w:val="es-MX" w:eastAsia="es-CO"/>
        </w:rPr>
        <w:t>podrán incluir, en los Documentos del Proceso, requisitos diferenciales y puntajes adicionales</w:t>
      </w:r>
      <w:bookmarkEnd w:id="2"/>
      <w:r w:rsidRPr="00727F2C">
        <w:rPr>
          <w:rFonts w:ascii="Arial" w:eastAsia="Arial" w:hAnsi="Arial" w:cs="Arial"/>
          <w:bCs/>
          <w:szCs w:val="24"/>
          <w:lang w:val="es-MX" w:eastAsia="es-CO"/>
        </w:rPr>
        <w:t xml:space="preserve">, en función del tamaño empresarial para la promoción del acceso de las MIPYMES al mercado de Compras Públicas». Esto significa que, la aplicación de los criterios diferenciales, los cuales incluyen tanto los requisitos diferenciales como los puntajes adicionales, depende de las conclusiones del estudio del sector. Esta norma </w:t>
      </w:r>
      <w:r w:rsidRPr="00727F2C">
        <w:rPr>
          <w:rFonts w:ascii="Arial" w:eastAsia="Arial" w:hAnsi="Arial" w:cs="Arial"/>
          <w:szCs w:val="24"/>
          <w:lang w:eastAsia="es-CO"/>
        </w:rPr>
        <w:t>dispone que el Gobierno Nacional reglamentará la definición de los criterios diferenciales</w:t>
      </w:r>
      <w:r w:rsidRPr="00727F2C">
        <w:rPr>
          <w:rFonts w:ascii="Arial" w:eastAsia="Arial" w:hAnsi="Arial" w:cs="Arial"/>
          <w:szCs w:val="24"/>
          <w:lang w:val="es-ES" w:eastAsia="es-CO"/>
        </w:rPr>
        <w:t xml:space="preserve"> para promover y facilitar el acceso de las </w:t>
      </w:r>
      <w:proofErr w:type="spellStart"/>
      <w:r w:rsidRPr="00727F2C">
        <w:rPr>
          <w:rFonts w:ascii="Arial" w:eastAsia="Arial" w:hAnsi="Arial" w:cs="Arial"/>
          <w:szCs w:val="24"/>
          <w:lang w:val="es-ES" w:eastAsia="es-CO"/>
        </w:rPr>
        <w:t>Mipyme</w:t>
      </w:r>
      <w:proofErr w:type="spellEnd"/>
      <w:r w:rsidRPr="00727F2C">
        <w:rPr>
          <w:rFonts w:ascii="Arial" w:eastAsia="Arial" w:hAnsi="Arial" w:cs="Arial"/>
          <w:szCs w:val="24"/>
          <w:lang w:val="es-ES" w:eastAsia="es-CO"/>
        </w:rPr>
        <w:t xml:space="preserve"> al mercado de compras públicas</w:t>
      </w:r>
      <w:r w:rsidRPr="00727F2C">
        <w:rPr>
          <w:rFonts w:ascii="Arial" w:eastAsia="Arial" w:hAnsi="Arial" w:cs="Arial"/>
          <w:szCs w:val="24"/>
          <w:lang w:eastAsia="es-CO"/>
        </w:rPr>
        <w:t xml:space="preserve">, estableciendo reglas objetivas para su implementación, las cuales priorizarán la contratación de producción nacional, sin perjuicio de los compromisos comerciales adquiridos con otros Estados. </w:t>
      </w:r>
    </w:p>
    <w:p w14:paraId="3F04331F" w14:textId="77777777" w:rsidR="006C5583" w:rsidRPr="00727F2C" w:rsidRDefault="006C5583" w:rsidP="006C5583">
      <w:pPr>
        <w:spacing w:after="120" w:line="276" w:lineRule="auto"/>
        <w:ind w:firstLine="708"/>
        <w:jc w:val="both"/>
        <w:rPr>
          <w:rFonts w:ascii="Arial" w:eastAsia="Arial" w:hAnsi="Arial" w:cs="Arial"/>
          <w:bCs/>
          <w:szCs w:val="24"/>
          <w:lang w:val="es-MX" w:eastAsia="es-CO"/>
        </w:rPr>
      </w:pPr>
      <w:r>
        <w:rPr>
          <w:rFonts w:ascii="Arial" w:eastAsia="Arial" w:hAnsi="Arial" w:cs="Arial"/>
          <w:szCs w:val="24"/>
          <w:lang w:eastAsia="es-CO"/>
        </w:rPr>
        <w:t>Por su parte, e</w:t>
      </w:r>
      <w:r w:rsidRPr="00727F2C">
        <w:rPr>
          <w:rFonts w:ascii="Arial" w:eastAsia="Arial" w:hAnsi="Arial" w:cs="Arial"/>
          <w:szCs w:val="24"/>
          <w:lang w:eastAsia="es-CO"/>
        </w:rPr>
        <w:t xml:space="preserve">l artículo 32, de manera análoga a los dispuesto en el artículo anterior, </w:t>
      </w:r>
      <w:r w:rsidRPr="00727F2C">
        <w:rPr>
          <w:rFonts w:ascii="Arial" w:eastAsia="Times New Roman" w:hAnsi="Arial" w:cs="Arial"/>
          <w:szCs w:val="24"/>
          <w:lang w:eastAsia="es-MX"/>
        </w:rPr>
        <w:t xml:space="preserve">regula criterios diferenciales para los </w:t>
      </w:r>
      <w:r>
        <w:rPr>
          <w:rFonts w:ascii="Arial" w:eastAsia="Times New Roman" w:hAnsi="Arial" w:cs="Arial"/>
          <w:szCs w:val="24"/>
          <w:lang w:eastAsia="es-MX"/>
        </w:rPr>
        <w:t>«</w:t>
      </w:r>
      <w:r w:rsidRPr="00727F2C">
        <w:rPr>
          <w:rFonts w:ascii="Arial" w:eastAsia="Times New Roman" w:hAnsi="Arial" w:cs="Arial"/>
          <w:szCs w:val="24"/>
          <w:lang w:eastAsia="es-MX"/>
        </w:rPr>
        <w:t>emprendimientos y empresas de mujeres</w:t>
      </w:r>
      <w:r>
        <w:rPr>
          <w:rFonts w:ascii="Arial" w:eastAsia="Times New Roman" w:hAnsi="Arial" w:cs="Arial"/>
          <w:szCs w:val="24"/>
          <w:lang w:eastAsia="es-MX"/>
        </w:rPr>
        <w:t>»</w:t>
      </w:r>
      <w:r w:rsidRPr="00727F2C">
        <w:rPr>
          <w:rFonts w:ascii="Arial" w:eastAsia="Times New Roman" w:hAnsi="Arial" w:cs="Arial"/>
          <w:szCs w:val="24"/>
          <w:lang w:eastAsia="es-MX"/>
        </w:rPr>
        <w:t xml:space="preserve"> en el sistema de compras y contratación pública y establece la necesidad de reglamentación de la definición de </w:t>
      </w:r>
      <w:r>
        <w:rPr>
          <w:rFonts w:ascii="Arial" w:eastAsia="Times New Roman" w:hAnsi="Arial" w:cs="Arial"/>
          <w:szCs w:val="24"/>
          <w:lang w:eastAsia="es-MX"/>
        </w:rPr>
        <w:t>«</w:t>
      </w:r>
      <w:r w:rsidRPr="00727F2C">
        <w:rPr>
          <w:rFonts w:ascii="Arial" w:eastAsia="Times New Roman" w:hAnsi="Arial" w:cs="Arial"/>
          <w:szCs w:val="24"/>
          <w:lang w:eastAsia="es-MX"/>
        </w:rPr>
        <w:t>emprendimientos y empresas de mujeres</w:t>
      </w:r>
      <w:r>
        <w:rPr>
          <w:rFonts w:ascii="Arial" w:eastAsia="Times New Roman" w:hAnsi="Arial" w:cs="Arial"/>
          <w:szCs w:val="24"/>
          <w:lang w:eastAsia="es-MX"/>
        </w:rPr>
        <w:t>»</w:t>
      </w:r>
      <w:r w:rsidRPr="00727F2C">
        <w:rPr>
          <w:rFonts w:ascii="Arial" w:eastAsia="Times New Roman" w:hAnsi="Arial" w:cs="Arial"/>
          <w:szCs w:val="24"/>
          <w:lang w:eastAsia="es-MX"/>
        </w:rPr>
        <w:t xml:space="preserve"> por parte del Gobierno Nacional</w:t>
      </w:r>
      <w:r w:rsidRPr="00727F2C">
        <w:rPr>
          <w:rFonts w:ascii="Arial" w:eastAsia="Arial" w:hAnsi="Arial" w:cs="Arial"/>
          <w:bCs/>
          <w:szCs w:val="24"/>
          <w:lang w:val="es-MX" w:eastAsia="es-CO"/>
        </w:rPr>
        <w:t>. Estos criterios diferenciales –que incluyen tanto los requisitos diferenciales como los puntajes adicionales– aplican a los procesos de licitación pública, selección abreviada de menor cuantía y concurso de méritos, excluyendo las demás modalidades de selección del artículo 2 de la Ley 1150 de 2007</w:t>
      </w:r>
      <w:r>
        <w:rPr>
          <w:rFonts w:ascii="Arial" w:eastAsia="Arial" w:hAnsi="Arial" w:cs="Arial"/>
          <w:bCs/>
          <w:szCs w:val="24"/>
          <w:lang w:val="es-MX" w:eastAsia="es-CO"/>
        </w:rPr>
        <w:t xml:space="preserve"> −</w:t>
      </w:r>
      <w:r w:rsidRPr="00727F2C">
        <w:rPr>
          <w:rFonts w:ascii="Arial" w:eastAsia="Arial" w:hAnsi="Arial" w:cs="Arial"/>
          <w:bCs/>
          <w:szCs w:val="24"/>
          <w:lang w:val="es-MX" w:eastAsia="es-CO"/>
        </w:rPr>
        <w:t>esto es a los procesos de mínima cuantía y a la contratación directa</w:t>
      </w:r>
      <w:r>
        <w:rPr>
          <w:rFonts w:ascii="Arial" w:eastAsia="Arial" w:hAnsi="Arial" w:cs="Arial"/>
          <w:bCs/>
          <w:szCs w:val="24"/>
          <w:lang w:val="es-MX" w:eastAsia="es-CO"/>
        </w:rPr>
        <w:t>−</w:t>
      </w:r>
      <w:r w:rsidRPr="00727F2C">
        <w:rPr>
          <w:rFonts w:ascii="Arial" w:eastAsia="Arial" w:hAnsi="Arial" w:cs="Arial"/>
          <w:bCs/>
          <w:szCs w:val="24"/>
          <w:lang w:val="es-MX" w:eastAsia="es-CO"/>
        </w:rPr>
        <w:t xml:space="preserve">. La norma en comento también se extiende a todos los procedimientos competitivos previstos en el manual de las Entidades excluidas de la Ley 80 de 1993.  </w:t>
      </w:r>
    </w:p>
    <w:p w14:paraId="1F2A1504" w14:textId="77777777" w:rsidR="006C5583" w:rsidRPr="00727F2C" w:rsidRDefault="006C5583" w:rsidP="006C5583">
      <w:pPr>
        <w:spacing w:after="120" w:line="276" w:lineRule="auto"/>
        <w:ind w:firstLine="708"/>
        <w:jc w:val="both"/>
        <w:rPr>
          <w:rFonts w:ascii="Arial" w:eastAsia="Arial" w:hAnsi="Arial" w:cs="Arial"/>
          <w:szCs w:val="24"/>
          <w:lang w:val="es-ES" w:eastAsia="es-CO"/>
        </w:rPr>
      </w:pPr>
      <w:r w:rsidRPr="00727F2C">
        <w:rPr>
          <w:rFonts w:ascii="Arial" w:eastAsia="Arial" w:hAnsi="Arial" w:cs="Arial"/>
          <w:szCs w:val="24"/>
          <w:lang w:val="es-ES" w:eastAsia="es-CO"/>
        </w:rPr>
        <w:t xml:space="preserve">En todo caso, es conveniente resaltar que, de igual forma a como se previó para los criterios diferenciales de </w:t>
      </w:r>
      <w:proofErr w:type="spellStart"/>
      <w:r w:rsidRPr="00727F2C">
        <w:rPr>
          <w:rFonts w:ascii="Arial" w:eastAsia="Arial" w:hAnsi="Arial" w:cs="Arial"/>
          <w:szCs w:val="24"/>
          <w:lang w:val="es-ES" w:eastAsia="es-CO"/>
        </w:rPr>
        <w:t>Mipyme</w:t>
      </w:r>
      <w:proofErr w:type="spellEnd"/>
      <w:r w:rsidRPr="00727F2C">
        <w:rPr>
          <w:rFonts w:ascii="Arial" w:eastAsia="Arial" w:hAnsi="Arial" w:cs="Arial"/>
          <w:szCs w:val="24"/>
          <w:lang w:val="es-ES" w:eastAsia="es-CO"/>
        </w:rPr>
        <w:t xml:space="preserve">, estos criterios se crearon con el propósito de incentivar los emprendimientos y empresas de mujeres en el sistema de compras públicas, sin perjuicio de los compromisos adquiridos por Colombia en los acuerdos comerciales en vigor. </w:t>
      </w:r>
    </w:p>
    <w:p w14:paraId="2C74EB62" w14:textId="77777777" w:rsidR="006C5583" w:rsidRPr="00727F2C" w:rsidRDefault="006C5583" w:rsidP="006C5583">
      <w:pPr>
        <w:spacing w:after="120" w:line="276" w:lineRule="auto"/>
        <w:jc w:val="both"/>
        <w:rPr>
          <w:rFonts w:ascii="Arial" w:eastAsia="Arial" w:hAnsi="Arial" w:cs="Arial"/>
          <w:szCs w:val="24"/>
          <w:lang w:eastAsia="es-CO"/>
        </w:rPr>
      </w:pPr>
      <w:r>
        <w:rPr>
          <w:rFonts w:ascii="Arial" w:eastAsia="Arial" w:hAnsi="Arial" w:cs="Arial"/>
          <w:szCs w:val="24"/>
          <w:lang w:val="es-ES" w:eastAsia="es-CO"/>
        </w:rPr>
        <w:tab/>
      </w:r>
      <w:r w:rsidRPr="00727F2C">
        <w:rPr>
          <w:rFonts w:ascii="Arial" w:eastAsia="Arial" w:hAnsi="Arial" w:cs="Arial"/>
          <w:szCs w:val="24"/>
          <w:lang w:val="es-ES" w:eastAsia="es-CO"/>
        </w:rPr>
        <w:t>Con fundamento en lo anterior, el Gobierno Nacional expidió el Decreto 1860 de 2021 que</w:t>
      </w:r>
      <w:r w:rsidRPr="00727F2C">
        <w:rPr>
          <w:rFonts w:ascii="Arial" w:eastAsia="Arial" w:hAnsi="Arial" w:cs="Arial"/>
          <w:szCs w:val="24"/>
          <w:lang w:eastAsia="es-CO"/>
        </w:rPr>
        <w:t xml:space="preserve"> modificó el Decreto 1082 de 2015, Único Reglamentario del Sector Administrativo de Planeación Nacional, incorporando una regulación detallada de las normas anteriormente citadas para la efectiva aplicación de la Ley 2069 de 2020 en el </w:t>
      </w:r>
      <w:r w:rsidRPr="00727F2C">
        <w:rPr>
          <w:rFonts w:ascii="Arial" w:eastAsia="Arial" w:hAnsi="Arial" w:cs="Arial"/>
          <w:szCs w:val="24"/>
          <w:lang w:eastAsia="es-CO"/>
        </w:rPr>
        <w:lastRenderedPageBreak/>
        <w:t xml:space="preserve">sistema de compras y contratación pública, </w:t>
      </w:r>
      <w:r w:rsidRPr="00727F2C">
        <w:rPr>
          <w:rFonts w:ascii="Arial" w:eastAsia="Times New Roman" w:hAnsi="Arial" w:cs="Arial"/>
          <w:szCs w:val="24"/>
          <w:lang w:eastAsia="es-MX"/>
        </w:rPr>
        <w:t>además de incluir algunas disposiciones adicionales para la reglamentación efectiva de la citada Ley</w:t>
      </w:r>
      <w:r w:rsidRPr="00727F2C">
        <w:rPr>
          <w:rFonts w:ascii="Arial" w:eastAsia="Times New Roman" w:hAnsi="Arial" w:cs="Arial"/>
          <w:szCs w:val="24"/>
          <w:vertAlign w:val="superscript"/>
          <w:lang w:eastAsia="es-MX"/>
        </w:rPr>
        <w:footnoteReference w:id="6"/>
      </w:r>
      <w:r w:rsidRPr="00727F2C">
        <w:rPr>
          <w:rFonts w:ascii="Arial" w:eastAsia="Times New Roman" w:hAnsi="Arial" w:cs="Arial"/>
          <w:szCs w:val="24"/>
          <w:lang w:eastAsia="es-MX"/>
        </w:rPr>
        <w:t>.</w:t>
      </w:r>
      <w:r w:rsidRPr="00727F2C">
        <w:rPr>
          <w:rFonts w:ascii="Arial" w:eastAsia="Arial" w:hAnsi="Arial" w:cs="Arial"/>
          <w:szCs w:val="24"/>
          <w:lang w:eastAsia="es-CO"/>
        </w:rPr>
        <w:t xml:space="preserve"> </w:t>
      </w:r>
    </w:p>
    <w:p w14:paraId="1C76D988" w14:textId="77777777" w:rsidR="006C5583" w:rsidRPr="00727F2C" w:rsidRDefault="006C5583" w:rsidP="006C5583">
      <w:pPr>
        <w:spacing w:after="120" w:line="276" w:lineRule="auto"/>
        <w:ind w:firstLine="708"/>
        <w:jc w:val="both"/>
        <w:rPr>
          <w:rFonts w:ascii="Arial" w:eastAsia="Arial" w:hAnsi="Arial" w:cs="Arial"/>
          <w:bCs/>
          <w:szCs w:val="24"/>
          <w:lang w:val="es-ES" w:eastAsia="es-CO"/>
        </w:rPr>
      </w:pPr>
      <w:r w:rsidRPr="00727F2C">
        <w:rPr>
          <w:rFonts w:ascii="Arial" w:eastAsia="Arial" w:hAnsi="Arial" w:cs="Arial"/>
          <w:szCs w:val="24"/>
          <w:lang w:val="es-ES" w:eastAsia="es-CO"/>
        </w:rPr>
        <w:t xml:space="preserve">De esta manera, el artículo 3 del Decreto 1860 de 2021, adicionó </w:t>
      </w:r>
      <w:r w:rsidRPr="00727F2C">
        <w:rPr>
          <w:rFonts w:ascii="Arial" w:eastAsia="Arial" w:hAnsi="Arial" w:cs="Arial"/>
          <w:bCs/>
          <w:szCs w:val="24"/>
          <w:lang w:val="es-ES" w:eastAsia="es-CO"/>
        </w:rPr>
        <w:t xml:space="preserve">los artículos </w:t>
      </w:r>
      <w:r w:rsidRPr="00727F2C">
        <w:rPr>
          <w:rFonts w:ascii="Arial" w:eastAsia="Arial" w:hAnsi="Arial" w:cs="Arial"/>
          <w:bCs/>
          <w:szCs w:val="24"/>
          <w:lang w:eastAsia="es-CO"/>
        </w:rPr>
        <w:t>2.2.1.2.4.2.14, 2.2.1.2.4.2.15</w:t>
      </w:r>
      <w:r>
        <w:rPr>
          <w:rFonts w:ascii="Arial" w:eastAsia="Arial" w:hAnsi="Arial" w:cs="Arial"/>
          <w:bCs/>
          <w:szCs w:val="24"/>
          <w:lang w:val="es-ES" w:eastAsia="es-CO"/>
        </w:rPr>
        <w:t xml:space="preserve"> </w:t>
      </w:r>
      <w:r w:rsidRPr="00727F2C">
        <w:rPr>
          <w:rFonts w:ascii="Arial" w:eastAsia="Arial" w:hAnsi="Arial" w:cs="Arial"/>
          <w:szCs w:val="24"/>
          <w:lang w:eastAsia="es-CO"/>
        </w:rPr>
        <w:t>y</w:t>
      </w:r>
      <w:r w:rsidRPr="00727F2C">
        <w:rPr>
          <w:rFonts w:ascii="Arial" w:eastAsia="Arial" w:hAnsi="Arial" w:cs="Arial"/>
          <w:b/>
          <w:bCs/>
          <w:szCs w:val="24"/>
          <w:lang w:eastAsia="es-CO"/>
        </w:rPr>
        <w:t xml:space="preserve"> </w:t>
      </w:r>
      <w:r w:rsidRPr="00727F2C">
        <w:rPr>
          <w:rFonts w:ascii="Arial" w:eastAsia="Arial" w:hAnsi="Arial" w:cs="Arial"/>
          <w:szCs w:val="24"/>
          <w:lang w:eastAsia="es-CO"/>
        </w:rPr>
        <w:t>2.2.1.2.4.2.18</w:t>
      </w:r>
      <w:r w:rsidRPr="00727F2C">
        <w:rPr>
          <w:rFonts w:ascii="Arial" w:eastAsia="Arial" w:hAnsi="Arial" w:cs="Arial"/>
          <w:b/>
          <w:bCs/>
          <w:szCs w:val="24"/>
          <w:lang w:eastAsia="es-CO"/>
        </w:rPr>
        <w:t xml:space="preserve"> </w:t>
      </w:r>
      <w:r w:rsidRPr="00727F2C">
        <w:rPr>
          <w:rFonts w:ascii="Arial" w:eastAsia="Arial" w:hAnsi="Arial" w:cs="Arial"/>
          <w:bCs/>
          <w:szCs w:val="24"/>
          <w:lang w:val="es-ES" w:eastAsia="es-CO"/>
        </w:rPr>
        <w:t xml:space="preserve">al Decreto 1082 de 2015 </w:t>
      </w:r>
      <w:r>
        <w:rPr>
          <w:rFonts w:ascii="Arial" w:eastAsia="Arial" w:hAnsi="Arial" w:cs="Arial"/>
          <w:bCs/>
          <w:szCs w:val="24"/>
          <w:lang w:val="es-ES" w:eastAsia="es-CO"/>
        </w:rPr>
        <w:t>reglamentando</w:t>
      </w:r>
      <w:r w:rsidRPr="00727F2C">
        <w:rPr>
          <w:rFonts w:ascii="Arial" w:eastAsia="Arial" w:hAnsi="Arial" w:cs="Arial"/>
          <w:bCs/>
          <w:szCs w:val="24"/>
          <w:lang w:val="es-ES" w:eastAsia="es-CO"/>
        </w:rPr>
        <w:t xml:space="preserve">, en su orden, los siguientes aspectos: </w:t>
      </w:r>
      <w:r w:rsidRPr="00727F2C">
        <w:rPr>
          <w:rFonts w:ascii="Arial" w:eastAsia="Arial" w:hAnsi="Arial" w:cs="Arial"/>
          <w:szCs w:val="24"/>
          <w:lang w:val="es-ES" w:eastAsia="es-CO"/>
        </w:rPr>
        <w:t xml:space="preserve">i) </w:t>
      </w:r>
      <w:r w:rsidRPr="00727F2C">
        <w:rPr>
          <w:rFonts w:ascii="Arial" w:eastAsia="Arial" w:hAnsi="Arial" w:cs="Arial"/>
          <w:bCs/>
          <w:szCs w:val="24"/>
          <w:lang w:val="es-ES" w:eastAsia="es-CO"/>
        </w:rPr>
        <w:t xml:space="preserve">la definición de </w:t>
      </w:r>
      <w:r>
        <w:rPr>
          <w:rFonts w:ascii="Arial" w:eastAsia="Arial" w:hAnsi="Arial" w:cs="Arial"/>
          <w:bCs/>
          <w:i/>
          <w:iCs/>
          <w:szCs w:val="24"/>
          <w:lang w:val="es-ES" w:eastAsia="es-CO"/>
        </w:rPr>
        <w:t>«</w:t>
      </w:r>
      <w:r w:rsidRPr="00727F2C">
        <w:rPr>
          <w:rFonts w:ascii="Arial" w:eastAsia="Arial" w:hAnsi="Arial" w:cs="Arial"/>
          <w:bCs/>
          <w:i/>
          <w:iCs/>
          <w:szCs w:val="24"/>
          <w:lang w:val="es-ES" w:eastAsia="es-CO"/>
        </w:rPr>
        <w:t>emprendimientos y empresas de mujeres</w:t>
      </w:r>
      <w:r>
        <w:rPr>
          <w:rFonts w:ascii="Arial" w:eastAsia="Arial" w:hAnsi="Arial" w:cs="Arial"/>
          <w:bCs/>
          <w:i/>
          <w:iCs/>
          <w:szCs w:val="24"/>
          <w:lang w:val="es-ES" w:eastAsia="es-CO"/>
        </w:rPr>
        <w:t>»</w:t>
      </w:r>
      <w:r w:rsidRPr="00727F2C">
        <w:rPr>
          <w:rFonts w:ascii="Arial" w:eastAsia="Arial" w:hAnsi="Arial" w:cs="Arial"/>
          <w:bCs/>
          <w:szCs w:val="24"/>
          <w:lang w:val="es-ES" w:eastAsia="es-CO"/>
        </w:rPr>
        <w:t xml:space="preserve"> en el sistema de compras y contratación pública y la forma de acreditación en cada caso, </w:t>
      </w:r>
      <w:proofErr w:type="spellStart"/>
      <w:r w:rsidRPr="00727F2C">
        <w:rPr>
          <w:rFonts w:ascii="Arial" w:eastAsia="Arial" w:hAnsi="Arial" w:cs="Arial"/>
          <w:bCs/>
          <w:szCs w:val="24"/>
          <w:lang w:val="es-ES" w:eastAsia="es-CO"/>
        </w:rPr>
        <w:t>ii</w:t>
      </w:r>
      <w:proofErr w:type="spellEnd"/>
      <w:r w:rsidRPr="00727F2C">
        <w:rPr>
          <w:rFonts w:ascii="Arial" w:eastAsia="Arial" w:hAnsi="Arial" w:cs="Arial"/>
          <w:bCs/>
          <w:szCs w:val="24"/>
          <w:lang w:val="es-ES" w:eastAsia="es-CO"/>
        </w:rPr>
        <w:t xml:space="preserve">) los criterios diferenciales en favor de estos </w:t>
      </w:r>
      <w:r>
        <w:rPr>
          <w:rFonts w:ascii="Arial" w:eastAsia="Arial" w:hAnsi="Arial" w:cs="Arial"/>
          <w:bCs/>
          <w:i/>
          <w:iCs/>
          <w:szCs w:val="24"/>
          <w:lang w:val="es-ES" w:eastAsia="es-CO"/>
        </w:rPr>
        <w:t>«</w:t>
      </w:r>
      <w:r w:rsidRPr="00727F2C">
        <w:rPr>
          <w:rFonts w:ascii="Arial" w:eastAsia="Arial" w:hAnsi="Arial" w:cs="Arial"/>
          <w:bCs/>
          <w:i/>
          <w:iCs/>
          <w:szCs w:val="24"/>
          <w:lang w:val="es-ES" w:eastAsia="es-CO"/>
        </w:rPr>
        <w:t>emprendimientos y empresas de mujeres</w:t>
      </w:r>
      <w:r>
        <w:rPr>
          <w:rFonts w:ascii="Arial" w:eastAsia="Arial" w:hAnsi="Arial" w:cs="Arial"/>
          <w:bCs/>
          <w:i/>
          <w:iCs/>
          <w:szCs w:val="24"/>
          <w:lang w:val="es-ES" w:eastAsia="es-CO"/>
        </w:rPr>
        <w:t>»</w:t>
      </w:r>
      <w:r w:rsidRPr="00727F2C">
        <w:rPr>
          <w:rFonts w:ascii="Arial" w:eastAsia="Arial" w:hAnsi="Arial" w:cs="Arial"/>
          <w:bCs/>
          <w:szCs w:val="24"/>
          <w:lang w:val="es-ES" w:eastAsia="es-CO"/>
        </w:rPr>
        <w:t xml:space="preserve"> </w:t>
      </w:r>
      <w:r>
        <w:rPr>
          <w:rFonts w:ascii="Arial" w:eastAsia="Arial" w:hAnsi="Arial" w:cs="Arial"/>
          <w:bCs/>
          <w:szCs w:val="24"/>
          <w:lang w:val="es-ES" w:eastAsia="es-CO"/>
        </w:rPr>
        <w:t xml:space="preserve">y </w:t>
      </w:r>
      <w:proofErr w:type="spellStart"/>
      <w:r w:rsidRPr="006B6658">
        <w:rPr>
          <w:rFonts w:ascii="Arial" w:eastAsia="Arial" w:hAnsi="Arial" w:cs="Arial"/>
          <w:bCs/>
          <w:szCs w:val="24"/>
          <w:lang w:val="es-ES" w:eastAsia="es-CO"/>
        </w:rPr>
        <w:t>i</w:t>
      </w:r>
      <w:r>
        <w:rPr>
          <w:rFonts w:ascii="Arial" w:eastAsia="Arial" w:hAnsi="Arial" w:cs="Arial"/>
          <w:bCs/>
          <w:szCs w:val="24"/>
          <w:lang w:val="es-ES" w:eastAsia="es-CO"/>
        </w:rPr>
        <w:t>i</w:t>
      </w:r>
      <w:r w:rsidRPr="006B6658">
        <w:rPr>
          <w:rFonts w:ascii="Arial" w:eastAsia="Arial" w:hAnsi="Arial" w:cs="Arial"/>
          <w:bCs/>
          <w:szCs w:val="24"/>
          <w:lang w:val="es-ES" w:eastAsia="es-CO"/>
        </w:rPr>
        <w:t>i</w:t>
      </w:r>
      <w:proofErr w:type="spellEnd"/>
      <w:r w:rsidRPr="003579A9">
        <w:rPr>
          <w:rFonts w:ascii="Arial" w:eastAsia="Arial" w:hAnsi="Arial" w:cs="Arial"/>
          <w:bCs/>
          <w:szCs w:val="24"/>
          <w:lang w:val="es-ES" w:eastAsia="es-CO"/>
        </w:rPr>
        <w:t xml:space="preserve">) los criterios diferenciales en favor de las </w:t>
      </w:r>
      <w:proofErr w:type="spellStart"/>
      <w:r w:rsidRPr="003579A9">
        <w:rPr>
          <w:rFonts w:ascii="Arial" w:eastAsia="Arial" w:hAnsi="Arial" w:cs="Arial"/>
          <w:bCs/>
          <w:szCs w:val="24"/>
          <w:lang w:val="es-ES" w:eastAsia="es-CO"/>
        </w:rPr>
        <w:t>Mipyme</w:t>
      </w:r>
      <w:proofErr w:type="spellEnd"/>
      <w:r w:rsidRPr="003579A9">
        <w:rPr>
          <w:rFonts w:ascii="Arial" w:eastAsia="Arial" w:hAnsi="Arial" w:cs="Arial"/>
          <w:bCs/>
          <w:szCs w:val="24"/>
          <w:lang w:val="es-ES" w:eastAsia="es-CO"/>
        </w:rPr>
        <w:t xml:space="preserve"> domiciliadas en Colombia.</w:t>
      </w:r>
      <w:r w:rsidRPr="00727F2C">
        <w:rPr>
          <w:rFonts w:ascii="Arial" w:eastAsia="Arial" w:hAnsi="Arial" w:cs="Arial"/>
          <w:bCs/>
          <w:szCs w:val="24"/>
          <w:lang w:val="es-ES" w:eastAsia="es-CO"/>
        </w:rPr>
        <w:t xml:space="preserve"> </w:t>
      </w:r>
    </w:p>
    <w:p w14:paraId="16840276" w14:textId="77777777" w:rsidR="006C5583" w:rsidRPr="006B6658" w:rsidRDefault="006C5583" w:rsidP="006C5583">
      <w:pPr>
        <w:spacing w:after="0" w:line="276" w:lineRule="auto"/>
        <w:jc w:val="both"/>
        <w:rPr>
          <w:rFonts w:ascii="Arial" w:eastAsia="Times New Roman" w:hAnsi="Arial" w:cs="Arial"/>
          <w:lang w:eastAsia="es-MX"/>
        </w:rPr>
      </w:pPr>
      <w:r>
        <w:rPr>
          <w:rFonts w:ascii="Arial" w:eastAsia="Arial" w:hAnsi="Arial" w:cs="Arial"/>
          <w:szCs w:val="24"/>
          <w:lang w:val="es-ES" w:eastAsia="es-CO"/>
        </w:rPr>
        <w:tab/>
      </w:r>
      <w:r w:rsidRPr="006B6658">
        <w:rPr>
          <w:rFonts w:ascii="Arial" w:eastAsia="Times New Roman" w:hAnsi="Arial" w:cs="Arial"/>
          <w:lang w:eastAsia="es-MX"/>
        </w:rPr>
        <w:t xml:space="preserve">Así las cosas, en </w:t>
      </w:r>
      <w:r>
        <w:rPr>
          <w:rFonts w:ascii="Arial" w:eastAsia="Times New Roman" w:hAnsi="Arial" w:cs="Arial"/>
          <w:lang w:eastAsia="es-MX"/>
        </w:rPr>
        <w:t>los</w:t>
      </w:r>
      <w:r w:rsidRPr="006B6658">
        <w:rPr>
          <w:rFonts w:ascii="Arial" w:eastAsia="Times New Roman" w:hAnsi="Arial" w:cs="Arial"/>
          <w:lang w:eastAsia="es-MX"/>
        </w:rPr>
        <w:t xml:space="preserve"> </w:t>
      </w:r>
      <w:r>
        <w:rPr>
          <w:rFonts w:ascii="Arial" w:eastAsia="Times New Roman" w:hAnsi="Arial" w:cs="Arial"/>
          <w:lang w:eastAsia="es-MX"/>
        </w:rPr>
        <w:t xml:space="preserve">siguiente </w:t>
      </w:r>
      <w:r w:rsidRPr="006B6658">
        <w:rPr>
          <w:rFonts w:ascii="Arial" w:eastAsia="Times New Roman" w:hAnsi="Arial" w:cs="Arial"/>
          <w:lang w:eastAsia="es-MX"/>
        </w:rPr>
        <w:t>numeral</w:t>
      </w:r>
      <w:r>
        <w:rPr>
          <w:rFonts w:ascii="Arial" w:eastAsia="Times New Roman" w:hAnsi="Arial" w:cs="Arial"/>
          <w:lang w:eastAsia="es-MX"/>
        </w:rPr>
        <w:t>es</w:t>
      </w:r>
      <w:r w:rsidRPr="006B6658">
        <w:rPr>
          <w:rFonts w:ascii="Arial" w:eastAsia="Times New Roman" w:hAnsi="Arial" w:cs="Arial"/>
          <w:lang w:eastAsia="es-MX"/>
        </w:rPr>
        <w:t xml:space="preserve"> se explicará</w:t>
      </w:r>
      <w:r>
        <w:rPr>
          <w:rFonts w:ascii="Arial" w:eastAsia="Times New Roman" w:hAnsi="Arial" w:cs="Arial"/>
          <w:lang w:eastAsia="es-MX"/>
        </w:rPr>
        <w:t>,</w:t>
      </w:r>
      <w:r w:rsidRPr="006B6658">
        <w:rPr>
          <w:rFonts w:ascii="Arial" w:eastAsia="Times New Roman" w:hAnsi="Arial" w:cs="Arial"/>
          <w:lang w:eastAsia="es-MX"/>
        </w:rPr>
        <w:t xml:space="preserve"> </w:t>
      </w:r>
      <w:r>
        <w:rPr>
          <w:rFonts w:ascii="Arial" w:eastAsia="Times New Roman" w:hAnsi="Arial" w:cs="Arial"/>
          <w:lang w:eastAsia="es-MX"/>
        </w:rPr>
        <w:t xml:space="preserve">por una parte, </w:t>
      </w:r>
      <w:r w:rsidRPr="006B6658">
        <w:rPr>
          <w:rFonts w:ascii="Arial" w:eastAsia="Times New Roman" w:hAnsi="Arial" w:cs="Arial"/>
          <w:lang w:eastAsia="es-MX"/>
        </w:rPr>
        <w:t>la reglamentación del Decreto 1860 de 2021</w:t>
      </w:r>
      <w:r>
        <w:rPr>
          <w:rFonts w:ascii="Arial" w:eastAsia="Times New Roman" w:hAnsi="Arial" w:cs="Arial"/>
          <w:lang w:eastAsia="es-MX"/>
        </w:rPr>
        <w:t xml:space="preserve"> en relación con los siguientes aspectos: </w:t>
      </w:r>
      <w:r w:rsidRPr="006B6658">
        <w:rPr>
          <w:rFonts w:ascii="Arial" w:eastAsia="Times New Roman" w:hAnsi="Arial" w:cs="Arial"/>
          <w:lang w:eastAsia="es-MX"/>
        </w:rPr>
        <w:t xml:space="preserve">i) la regulación de los criterios diferenciales en favor de las </w:t>
      </w:r>
      <w:proofErr w:type="spellStart"/>
      <w:r w:rsidRPr="006B6658">
        <w:rPr>
          <w:rFonts w:ascii="Arial" w:eastAsia="Times New Roman" w:hAnsi="Arial" w:cs="Arial"/>
          <w:lang w:eastAsia="es-MX"/>
        </w:rPr>
        <w:t>Mipyme</w:t>
      </w:r>
      <w:proofErr w:type="spellEnd"/>
      <w:r w:rsidRPr="006B6658">
        <w:rPr>
          <w:rFonts w:ascii="Arial" w:eastAsia="Times New Roman" w:hAnsi="Arial" w:cs="Arial"/>
          <w:lang w:eastAsia="es-MX"/>
        </w:rPr>
        <w:t xml:space="preserve"> nacionales</w:t>
      </w:r>
      <w:r>
        <w:rPr>
          <w:rFonts w:ascii="Arial" w:eastAsia="Times New Roman" w:hAnsi="Arial" w:cs="Arial"/>
          <w:lang w:eastAsia="es-MX"/>
        </w:rPr>
        <w:t xml:space="preserve"> y </w:t>
      </w:r>
      <w:proofErr w:type="spellStart"/>
      <w:r w:rsidRPr="006B6658">
        <w:rPr>
          <w:rFonts w:ascii="Arial" w:eastAsia="Times New Roman" w:hAnsi="Arial" w:cs="Arial"/>
          <w:lang w:eastAsia="es-MX"/>
        </w:rPr>
        <w:t>ii</w:t>
      </w:r>
      <w:proofErr w:type="spellEnd"/>
      <w:r w:rsidRPr="006B6658">
        <w:rPr>
          <w:rFonts w:ascii="Arial" w:eastAsia="Times New Roman" w:hAnsi="Arial" w:cs="Arial"/>
          <w:lang w:eastAsia="es-MX"/>
        </w:rPr>
        <w:t>) la regulación de los criterios diferenciales en favor de los emprendimientos y empresas de mujeres</w:t>
      </w:r>
      <w:r>
        <w:rPr>
          <w:rFonts w:ascii="Arial" w:eastAsia="Times New Roman" w:hAnsi="Arial" w:cs="Arial"/>
          <w:lang w:eastAsia="es-MX"/>
        </w:rPr>
        <w:t xml:space="preserve">. </w:t>
      </w:r>
      <w:r w:rsidRPr="002F1A35">
        <w:rPr>
          <w:rFonts w:ascii="Arial" w:eastAsia="Times New Roman" w:hAnsi="Arial" w:cs="Arial"/>
          <w:lang w:eastAsia="es-MX"/>
        </w:rPr>
        <w:t xml:space="preserve">Por otra parte, se hará referencia a la </w:t>
      </w:r>
      <w:proofErr w:type="gramStart"/>
      <w:r w:rsidRPr="002F1A35">
        <w:rPr>
          <w:rFonts w:ascii="Arial" w:eastAsia="Times New Roman" w:hAnsi="Arial" w:cs="Arial"/>
          <w:lang w:eastAsia="es-MX"/>
        </w:rPr>
        <w:t>entrada en vigencia</w:t>
      </w:r>
      <w:proofErr w:type="gramEnd"/>
      <w:r w:rsidRPr="002F1A35">
        <w:rPr>
          <w:rFonts w:ascii="Arial" w:eastAsia="Times New Roman" w:hAnsi="Arial" w:cs="Arial"/>
          <w:lang w:eastAsia="es-MX"/>
        </w:rPr>
        <w:t xml:space="preserve"> del Decreto 1860 de 2021.</w:t>
      </w:r>
      <w:r>
        <w:rPr>
          <w:rFonts w:ascii="Arial" w:eastAsia="Times New Roman" w:hAnsi="Arial" w:cs="Arial"/>
          <w:lang w:eastAsia="es-MX"/>
        </w:rPr>
        <w:t xml:space="preserve"> </w:t>
      </w:r>
    </w:p>
    <w:p w14:paraId="615F2A5A" w14:textId="77777777" w:rsidR="006C5583" w:rsidRPr="00727F2C" w:rsidRDefault="006C5583" w:rsidP="006C5583">
      <w:pPr>
        <w:spacing w:after="0" w:line="240" w:lineRule="auto"/>
        <w:jc w:val="both"/>
        <w:rPr>
          <w:rFonts w:ascii="Geomanist Light" w:eastAsia="Arial" w:hAnsi="Geomanist Light" w:cs="Times New Roman"/>
          <w:szCs w:val="24"/>
          <w:lang w:eastAsia="es-MX"/>
        </w:rPr>
      </w:pPr>
    </w:p>
    <w:p w14:paraId="1AE8B576" w14:textId="77777777" w:rsidR="006C5583" w:rsidRPr="00FD76D5" w:rsidRDefault="006C5583" w:rsidP="006C5583">
      <w:pPr>
        <w:spacing w:after="0" w:line="276" w:lineRule="auto"/>
        <w:jc w:val="both"/>
        <w:rPr>
          <w:rFonts w:ascii="Arial" w:hAnsi="Arial" w:cs="Arial"/>
          <w:b/>
          <w:bCs/>
          <w:lang w:val="es-ES"/>
        </w:rPr>
      </w:pPr>
      <w:r>
        <w:rPr>
          <w:rFonts w:ascii="Arial" w:hAnsi="Arial" w:cs="Arial"/>
          <w:b/>
          <w:bCs/>
          <w:lang w:val="es-ES"/>
        </w:rPr>
        <w:t xml:space="preserve">2.3.1.  </w:t>
      </w:r>
      <w:r w:rsidRPr="00FD76D5">
        <w:rPr>
          <w:rFonts w:ascii="Arial" w:hAnsi="Arial" w:cs="Arial"/>
          <w:b/>
          <w:bCs/>
          <w:lang w:val="es-ES"/>
        </w:rPr>
        <w:t xml:space="preserve">Regulación de los criterios diferenciales en favor de las </w:t>
      </w:r>
      <w:proofErr w:type="spellStart"/>
      <w:r w:rsidRPr="00FD76D5">
        <w:rPr>
          <w:rFonts w:ascii="Arial" w:hAnsi="Arial" w:cs="Arial"/>
          <w:b/>
          <w:bCs/>
          <w:lang w:val="es-ES"/>
        </w:rPr>
        <w:t>Mipyme</w:t>
      </w:r>
      <w:proofErr w:type="spellEnd"/>
      <w:r w:rsidRPr="00FD76D5">
        <w:rPr>
          <w:rFonts w:ascii="Arial" w:hAnsi="Arial" w:cs="Arial"/>
          <w:b/>
          <w:bCs/>
          <w:lang w:val="es-ES"/>
        </w:rPr>
        <w:t xml:space="preserve"> nacionales en el Decreto 1860 de 2021</w:t>
      </w:r>
    </w:p>
    <w:p w14:paraId="6C861F85" w14:textId="77777777" w:rsidR="006C5583" w:rsidRDefault="006C5583" w:rsidP="006C5583">
      <w:pPr>
        <w:spacing w:after="0" w:line="276" w:lineRule="auto"/>
        <w:jc w:val="both"/>
        <w:rPr>
          <w:rFonts w:ascii="Arial" w:eastAsia="Times New Roman" w:hAnsi="Arial" w:cs="Arial"/>
          <w:color w:val="000000" w:themeColor="text1"/>
          <w:lang w:eastAsia="es-MX"/>
        </w:rPr>
      </w:pPr>
    </w:p>
    <w:p w14:paraId="70741F3C" w14:textId="77777777" w:rsidR="006C5583" w:rsidRPr="006B6658" w:rsidRDefault="006C5583" w:rsidP="006C5583">
      <w:pPr>
        <w:spacing w:after="120" w:line="276" w:lineRule="auto"/>
        <w:jc w:val="both"/>
        <w:rPr>
          <w:rFonts w:ascii="Arial" w:eastAsia="Arial" w:hAnsi="Arial" w:cs="Arial"/>
          <w:lang w:eastAsia="es-MX"/>
        </w:rPr>
      </w:pPr>
      <w:bookmarkStart w:id="3" w:name="_Hlk110840316"/>
      <w:r w:rsidRPr="006B6658">
        <w:rPr>
          <w:rFonts w:ascii="Arial" w:eastAsia="Times New Roman" w:hAnsi="Arial" w:cs="Arial"/>
          <w:color w:val="000000" w:themeColor="text1"/>
          <w:lang w:eastAsia="es-MX"/>
        </w:rPr>
        <w:t xml:space="preserve">El artículo 3 del Decreto 1860 de 2021, que adicionó </w:t>
      </w:r>
      <w:r w:rsidRPr="006B6658">
        <w:rPr>
          <w:rFonts w:ascii="Arial" w:eastAsia="Times New Roman" w:hAnsi="Arial" w:cs="Arial"/>
          <w:bCs/>
          <w:color w:val="000000" w:themeColor="text1"/>
          <w:lang w:eastAsia="es-MX"/>
        </w:rPr>
        <w:t xml:space="preserve">el artículo 2.2.1.2.4.2.18 al </w:t>
      </w:r>
      <w:r w:rsidRPr="006B6658">
        <w:rPr>
          <w:rFonts w:ascii="Arial" w:eastAsia="Times New Roman" w:hAnsi="Arial" w:cs="Arial"/>
          <w:lang w:eastAsia="es-MX"/>
        </w:rPr>
        <w:t xml:space="preserve">Decreto 1082 de 2015 regula los criterios diferenciales para </w:t>
      </w:r>
      <w:proofErr w:type="spellStart"/>
      <w:r w:rsidRPr="006B6658">
        <w:rPr>
          <w:rFonts w:ascii="Arial" w:eastAsia="Times New Roman" w:hAnsi="Arial" w:cs="Arial"/>
          <w:lang w:eastAsia="es-MX"/>
        </w:rPr>
        <w:t>Mipyme</w:t>
      </w:r>
      <w:proofErr w:type="spellEnd"/>
      <w:r w:rsidRPr="006B6658">
        <w:rPr>
          <w:rFonts w:ascii="Arial" w:eastAsia="Times New Roman" w:hAnsi="Arial" w:cs="Arial"/>
          <w:lang w:eastAsia="es-MX"/>
        </w:rPr>
        <w:t xml:space="preserve"> en el sistema de compras públicas. Conforme a esta norma las entidades estatales indistintamente de su régimen de contratación, los patrimonios autónomos constituidos por entidades estatales y los particulares que ejecuten recursos públicos establecerán condiciones habilitantes diferenciales que promuevan y faciliten la participación en los procedimientos de selección competitivos de las </w:t>
      </w:r>
      <w:proofErr w:type="spellStart"/>
      <w:r w:rsidRPr="006B6658">
        <w:rPr>
          <w:rFonts w:ascii="Arial" w:eastAsia="Times New Roman" w:hAnsi="Arial" w:cs="Arial"/>
          <w:lang w:eastAsia="es-MX"/>
        </w:rPr>
        <w:t>Mipyme</w:t>
      </w:r>
      <w:proofErr w:type="spellEnd"/>
      <w:r w:rsidRPr="006B6658">
        <w:rPr>
          <w:rFonts w:ascii="Arial" w:eastAsia="Times New Roman" w:hAnsi="Arial" w:cs="Arial"/>
          <w:lang w:eastAsia="es-MX"/>
        </w:rPr>
        <w:t xml:space="preserve"> domiciliadas en Colombia. </w:t>
      </w:r>
    </w:p>
    <w:p w14:paraId="31DF2C9F" w14:textId="77777777" w:rsidR="006C5583" w:rsidRDefault="006C5583" w:rsidP="006C5583">
      <w:pPr>
        <w:spacing w:after="120" w:line="276" w:lineRule="auto"/>
        <w:jc w:val="both"/>
        <w:rPr>
          <w:rFonts w:ascii="Arial" w:eastAsia="Times New Roman" w:hAnsi="Arial" w:cs="Arial"/>
          <w:color w:val="000000" w:themeColor="text1"/>
          <w:lang w:eastAsia="es-MX"/>
        </w:rPr>
      </w:pPr>
      <w:r>
        <w:rPr>
          <w:rFonts w:ascii="Arial" w:eastAsia="Arial" w:hAnsi="Arial" w:cs="Arial"/>
          <w:lang w:eastAsia="es-MX"/>
        </w:rPr>
        <w:tab/>
      </w:r>
      <w:r w:rsidRPr="006B6658">
        <w:rPr>
          <w:rFonts w:ascii="Arial" w:eastAsia="Times New Roman" w:hAnsi="Arial" w:cs="Arial"/>
          <w:lang w:eastAsia="es-MX"/>
        </w:rPr>
        <w:t xml:space="preserve">Estos criterios en favor de las </w:t>
      </w:r>
      <w:proofErr w:type="spellStart"/>
      <w:r w:rsidRPr="006B6658">
        <w:rPr>
          <w:rFonts w:ascii="Arial" w:eastAsia="Times New Roman" w:hAnsi="Arial" w:cs="Arial"/>
          <w:lang w:eastAsia="es-MX"/>
        </w:rPr>
        <w:t>Mipyme</w:t>
      </w:r>
      <w:proofErr w:type="spellEnd"/>
      <w:r w:rsidRPr="006B6658">
        <w:rPr>
          <w:rFonts w:ascii="Arial" w:eastAsia="Times New Roman" w:hAnsi="Arial" w:cs="Arial"/>
          <w:lang w:eastAsia="es-MX"/>
        </w:rPr>
        <w:t xml:space="preserve"> buscan reducir las asimetrías entre estas y las grandes empresas para vincularse como proveedoras al mercado de compras públicas y, en consecuencia, promover y facilitar la participación en los procedimientos de selección competitivos de las </w:t>
      </w:r>
      <w:proofErr w:type="spellStart"/>
      <w:r w:rsidRPr="006B6658">
        <w:rPr>
          <w:rFonts w:ascii="Arial" w:eastAsia="Times New Roman" w:hAnsi="Arial" w:cs="Arial"/>
          <w:lang w:eastAsia="es-MX"/>
        </w:rPr>
        <w:t>Mipyme</w:t>
      </w:r>
      <w:proofErr w:type="spellEnd"/>
      <w:r w:rsidRPr="006B6658">
        <w:rPr>
          <w:rFonts w:ascii="Arial" w:eastAsia="Times New Roman" w:hAnsi="Arial" w:cs="Arial"/>
          <w:lang w:eastAsia="es-MX"/>
        </w:rPr>
        <w:t xml:space="preserve"> domiciliadas en Colombia. Para estos efectos, el artículo </w:t>
      </w:r>
      <w:r w:rsidRPr="005B759B">
        <w:rPr>
          <w:rFonts w:ascii="Arial" w:eastAsia="Times New Roman" w:hAnsi="Arial" w:cs="Arial"/>
          <w:lang w:eastAsia="es-MX"/>
        </w:rPr>
        <w:t xml:space="preserve">2.2.1.2.4.2.18 del </w:t>
      </w:r>
      <w:r w:rsidRPr="006B6658">
        <w:rPr>
          <w:rFonts w:ascii="Arial" w:eastAsia="Times New Roman" w:hAnsi="Arial" w:cs="Arial"/>
          <w:lang w:eastAsia="es-MX"/>
        </w:rPr>
        <w:t xml:space="preserve">Decreto 1082 de 2015 estableció que, </w:t>
      </w:r>
      <w:r w:rsidRPr="005B759B">
        <w:rPr>
          <w:rFonts w:ascii="Arial" w:eastAsia="Times New Roman" w:hAnsi="Arial" w:cs="Arial"/>
          <w:lang w:eastAsia="es-MX"/>
        </w:rPr>
        <w:t xml:space="preserve">según los resultados del análisis del sector, </w:t>
      </w:r>
      <w:r w:rsidRPr="006B6658">
        <w:rPr>
          <w:rFonts w:ascii="Arial" w:eastAsia="Times New Roman" w:hAnsi="Arial" w:cs="Arial"/>
          <w:lang w:eastAsia="es-MX"/>
        </w:rPr>
        <w:t xml:space="preserve">en función de los criterios de clasificación empresarial, los documentos del proceso deberán incorporar </w:t>
      </w:r>
      <w:r w:rsidRPr="006B6658">
        <w:rPr>
          <w:rFonts w:ascii="Arial" w:eastAsia="Times New Roman" w:hAnsi="Arial" w:cs="Arial"/>
          <w:color w:val="000000" w:themeColor="text1"/>
          <w:lang w:eastAsia="es-MX"/>
        </w:rPr>
        <w:t xml:space="preserve">requisitos habilitantes diferenciales relacionados con alguno o algunos de los siguientes aspectos: i) tiempo de experiencia, </w:t>
      </w:r>
      <w:proofErr w:type="spellStart"/>
      <w:r w:rsidRPr="006B6658">
        <w:rPr>
          <w:rFonts w:ascii="Arial" w:eastAsia="Times New Roman" w:hAnsi="Arial" w:cs="Arial"/>
          <w:color w:val="000000" w:themeColor="text1"/>
          <w:lang w:eastAsia="es-MX"/>
        </w:rPr>
        <w:lastRenderedPageBreak/>
        <w:t>ii</w:t>
      </w:r>
      <w:proofErr w:type="spellEnd"/>
      <w:r w:rsidRPr="006B6658">
        <w:rPr>
          <w:rFonts w:ascii="Arial" w:eastAsia="Times New Roman" w:hAnsi="Arial" w:cs="Arial"/>
          <w:color w:val="000000" w:themeColor="text1"/>
          <w:lang w:eastAsia="es-MX"/>
        </w:rPr>
        <w:t xml:space="preserve">) número de contratos para la acreditación de la experiencia, </w:t>
      </w:r>
      <w:proofErr w:type="spellStart"/>
      <w:r w:rsidRPr="006B6658">
        <w:rPr>
          <w:rFonts w:ascii="Arial" w:eastAsia="Times New Roman" w:hAnsi="Arial" w:cs="Arial"/>
          <w:color w:val="000000" w:themeColor="text1"/>
          <w:lang w:eastAsia="es-MX"/>
        </w:rPr>
        <w:t>iii</w:t>
      </w:r>
      <w:proofErr w:type="spellEnd"/>
      <w:r w:rsidRPr="006B6658">
        <w:rPr>
          <w:rFonts w:ascii="Arial" w:eastAsia="Times New Roman" w:hAnsi="Arial" w:cs="Arial"/>
          <w:color w:val="000000" w:themeColor="text1"/>
          <w:lang w:eastAsia="es-MX"/>
        </w:rPr>
        <w:t xml:space="preserve">) índices de capacidad financiera, </w:t>
      </w:r>
      <w:proofErr w:type="spellStart"/>
      <w:r w:rsidRPr="006B6658">
        <w:rPr>
          <w:rFonts w:ascii="Arial" w:eastAsia="Times New Roman" w:hAnsi="Arial" w:cs="Arial"/>
          <w:color w:val="000000" w:themeColor="text1"/>
          <w:lang w:eastAsia="es-MX"/>
        </w:rPr>
        <w:t>iv</w:t>
      </w:r>
      <w:proofErr w:type="spellEnd"/>
      <w:r w:rsidRPr="006B6658">
        <w:rPr>
          <w:rFonts w:ascii="Arial" w:eastAsia="Times New Roman" w:hAnsi="Arial" w:cs="Arial"/>
          <w:color w:val="000000" w:themeColor="text1"/>
          <w:lang w:eastAsia="es-MX"/>
        </w:rPr>
        <w:t xml:space="preserve">) índices de capacidad organizacional y v) valor de la garantía de seriedad de la oferta. </w:t>
      </w:r>
    </w:p>
    <w:p w14:paraId="59BF91EC" w14:textId="77777777" w:rsidR="006C5583" w:rsidRPr="006B6658" w:rsidRDefault="006C5583" w:rsidP="006C5583">
      <w:pPr>
        <w:spacing w:after="120" w:line="276" w:lineRule="auto"/>
        <w:ind w:firstLine="708"/>
        <w:jc w:val="both"/>
        <w:rPr>
          <w:rFonts w:ascii="Arial" w:eastAsia="Times New Roman" w:hAnsi="Arial" w:cs="Arial"/>
          <w:lang w:eastAsia="es-MX"/>
        </w:rPr>
      </w:pPr>
      <w:r>
        <w:rPr>
          <w:rFonts w:ascii="Arial" w:eastAsia="Times New Roman" w:hAnsi="Arial" w:cs="Arial"/>
          <w:color w:val="000000" w:themeColor="text1"/>
          <w:lang w:eastAsia="es-MX"/>
        </w:rPr>
        <w:t xml:space="preserve">Lo anterior </w:t>
      </w:r>
      <w:r w:rsidRPr="006B6658">
        <w:rPr>
          <w:rFonts w:ascii="Arial" w:eastAsia="Times New Roman" w:hAnsi="Arial" w:cs="Arial"/>
          <w:color w:val="000000" w:themeColor="text1"/>
          <w:lang w:eastAsia="es-MX"/>
        </w:rPr>
        <w:t xml:space="preserve">significa que para la determinación de los criterios diferenciales para </w:t>
      </w:r>
      <w:proofErr w:type="spellStart"/>
      <w:r w:rsidRPr="006B6658">
        <w:rPr>
          <w:rFonts w:ascii="Arial" w:eastAsia="Times New Roman" w:hAnsi="Arial" w:cs="Arial"/>
          <w:color w:val="000000" w:themeColor="text1"/>
          <w:lang w:eastAsia="es-MX"/>
        </w:rPr>
        <w:t>Mipyme</w:t>
      </w:r>
      <w:proofErr w:type="spellEnd"/>
      <w:r w:rsidRPr="006B6658">
        <w:rPr>
          <w:rFonts w:ascii="Arial" w:eastAsia="Times New Roman" w:hAnsi="Arial" w:cs="Arial"/>
          <w:color w:val="000000" w:themeColor="text1"/>
          <w:lang w:eastAsia="es-MX"/>
        </w:rPr>
        <w:t xml:space="preserve">, las entidades podrán escoger uno o algunos de estos requisitos habilitantes, los cuales deberán fijarse respetando las condiciones habilitantes requeridas para el cumplimiento adecuado del contrato. En tal sentido, se establecerán condiciones más exigentes respecto a alguno o algunos de los criterios de participación antes enunciados frente a los demás proponentes que concurran al procedimiento de selección que no sean </w:t>
      </w:r>
      <w:proofErr w:type="spellStart"/>
      <w:r w:rsidRPr="006B6658">
        <w:rPr>
          <w:rFonts w:ascii="Arial" w:eastAsia="Times New Roman" w:hAnsi="Arial" w:cs="Arial"/>
          <w:color w:val="000000" w:themeColor="text1"/>
          <w:lang w:eastAsia="es-MX"/>
        </w:rPr>
        <w:t>Mipyme</w:t>
      </w:r>
      <w:proofErr w:type="spellEnd"/>
      <w:r w:rsidRPr="006B6658">
        <w:rPr>
          <w:rFonts w:ascii="Arial" w:eastAsia="Times New Roman" w:hAnsi="Arial" w:cs="Arial"/>
          <w:color w:val="000000" w:themeColor="text1"/>
          <w:lang w:eastAsia="es-MX"/>
        </w:rPr>
        <w:t xml:space="preserve">. </w:t>
      </w:r>
    </w:p>
    <w:bookmarkEnd w:id="3"/>
    <w:p w14:paraId="254DF37C" w14:textId="77777777" w:rsidR="006C5583" w:rsidRPr="006B6658" w:rsidRDefault="006C5583" w:rsidP="006C5583">
      <w:pPr>
        <w:spacing w:after="120" w:line="276" w:lineRule="auto"/>
        <w:ind w:firstLine="708"/>
        <w:jc w:val="both"/>
        <w:rPr>
          <w:rFonts w:ascii="Arial" w:eastAsia="Times New Roman" w:hAnsi="Arial" w:cs="Arial"/>
          <w:color w:val="000000" w:themeColor="text1"/>
          <w:lang w:eastAsia="es-MX"/>
        </w:rPr>
      </w:pPr>
      <w:r w:rsidRPr="006B6658">
        <w:rPr>
          <w:rFonts w:ascii="Arial" w:eastAsia="Times New Roman" w:hAnsi="Arial" w:cs="Arial"/>
          <w:lang w:eastAsia="es-MX"/>
        </w:rPr>
        <w:t xml:space="preserve">Asimismo, el decreto dispone que, con excepción de los procedimientos de selección abreviada por subasta inversa y de mínima cuantía, las entidades sometidas al Estatuto General de Contratación de la Administración Pública, teniendo en cuenta los criterios de clasificación empresarial, podrán establecer puntajes adicionales que en ningún caso podrán superar el cero punto veinticinco por ciento (0.25%) del valor total de los puntos establecidos en los pliegos de condiciones o documentos equivalentes. Como se observa, se estableció un porcentaje techo para el respectivo puntaje adicional, lo que significa que las entidades pueden otorgar el puntaje máximo de hasta el cero punto veinticinco por ciento (0.25%) del valor total de los puntos establecidos o un puntaje menor. </w:t>
      </w:r>
      <w:r w:rsidRPr="006B6658">
        <w:rPr>
          <w:rFonts w:ascii="Arial" w:eastAsia="Times New Roman" w:hAnsi="Arial" w:cs="Arial"/>
          <w:color w:val="000000" w:themeColor="text1"/>
          <w:lang w:eastAsia="es-MX"/>
        </w:rPr>
        <w:t xml:space="preserve">Esto con el objeto de que la aplicación del incentivo no vaya en desmedro de la escogencia de la oferta más favorable para la entidad, conforme el deber de selección objetiva exige, </w:t>
      </w:r>
      <w:r>
        <w:rPr>
          <w:rFonts w:ascii="Arial" w:eastAsia="Times New Roman" w:hAnsi="Arial" w:cs="Arial"/>
          <w:color w:val="000000" w:themeColor="text1"/>
          <w:lang w:eastAsia="es-MX"/>
        </w:rPr>
        <w:t>por</w:t>
      </w:r>
      <w:r w:rsidRPr="006B6658">
        <w:rPr>
          <w:rFonts w:ascii="Arial" w:eastAsia="Times New Roman" w:hAnsi="Arial" w:cs="Arial"/>
          <w:color w:val="000000" w:themeColor="text1"/>
          <w:lang w:eastAsia="es-MX"/>
        </w:rPr>
        <w:t xml:space="preserve"> lo que </w:t>
      </w:r>
      <w:r>
        <w:rPr>
          <w:rFonts w:ascii="Arial" w:eastAsia="Times New Roman" w:hAnsi="Arial" w:cs="Arial"/>
          <w:color w:val="000000" w:themeColor="text1"/>
          <w:lang w:eastAsia="es-MX"/>
        </w:rPr>
        <w:t xml:space="preserve">el reglamento estimó como </w:t>
      </w:r>
      <w:r w:rsidRPr="006B6658">
        <w:rPr>
          <w:rFonts w:ascii="Arial" w:eastAsia="Times New Roman" w:hAnsi="Arial" w:cs="Arial"/>
          <w:color w:val="000000" w:themeColor="text1"/>
          <w:lang w:eastAsia="es-MX"/>
        </w:rPr>
        <w:t xml:space="preserve">adecuado el porcentaje señalado. </w:t>
      </w:r>
    </w:p>
    <w:p w14:paraId="3A82B357" w14:textId="77777777" w:rsidR="006C5583" w:rsidRDefault="006C5583" w:rsidP="006C5583">
      <w:pPr>
        <w:spacing w:after="0" w:line="276" w:lineRule="auto"/>
        <w:ind w:firstLine="708"/>
        <w:jc w:val="both"/>
        <w:rPr>
          <w:rFonts w:ascii="Arial" w:eastAsia="Times New Roman" w:hAnsi="Arial" w:cs="Arial"/>
          <w:color w:val="000000" w:themeColor="text1"/>
          <w:lang w:eastAsia="es-MX"/>
        </w:rPr>
      </w:pPr>
      <w:r w:rsidRPr="006B6658">
        <w:rPr>
          <w:rFonts w:ascii="Arial" w:eastAsia="Times New Roman" w:hAnsi="Arial" w:cs="Arial"/>
          <w:lang w:eastAsia="es-MX"/>
        </w:rPr>
        <w:t xml:space="preserve">En lo relativo a la aplicación de los criterios diferenciales y puntajes adicionales para proponentes plurales solo se aplicarán si por lo menos uno de los integrantes acredita la calidad de </w:t>
      </w:r>
      <w:proofErr w:type="spellStart"/>
      <w:r w:rsidRPr="006B6658">
        <w:rPr>
          <w:rFonts w:ascii="Arial" w:eastAsia="Times New Roman" w:hAnsi="Arial" w:cs="Arial"/>
          <w:lang w:eastAsia="es-MX"/>
        </w:rPr>
        <w:t>Mipyme</w:t>
      </w:r>
      <w:proofErr w:type="spellEnd"/>
      <w:r w:rsidRPr="006B6658">
        <w:rPr>
          <w:rFonts w:ascii="Arial" w:eastAsia="Times New Roman" w:hAnsi="Arial" w:cs="Arial"/>
          <w:lang w:eastAsia="es-MX"/>
        </w:rPr>
        <w:t xml:space="preserve"> y tiene una participación igual o superior al diez por ciento (10%) en el consorcio o en la unión temporal.</w:t>
      </w:r>
      <w:r>
        <w:rPr>
          <w:rFonts w:ascii="Arial" w:eastAsia="Times New Roman" w:hAnsi="Arial" w:cs="Arial"/>
          <w:lang w:eastAsia="es-MX"/>
        </w:rPr>
        <w:t xml:space="preserve"> Así mismo, </w:t>
      </w:r>
      <w:r w:rsidRPr="006B6658">
        <w:rPr>
          <w:rFonts w:ascii="Arial" w:eastAsia="Times New Roman" w:hAnsi="Arial" w:cs="Arial"/>
          <w:lang w:eastAsia="es-MX"/>
        </w:rPr>
        <w:t xml:space="preserve">de conformidad con el parágrafo 3 del artículo </w:t>
      </w:r>
      <w:r w:rsidRPr="006B6658">
        <w:rPr>
          <w:rFonts w:ascii="Arial" w:eastAsia="Times New Roman" w:hAnsi="Arial" w:cs="Arial"/>
          <w:bCs/>
          <w:lang w:eastAsia="es-MX"/>
        </w:rPr>
        <w:t xml:space="preserve">2.2.1.2.4.2.18 del </w:t>
      </w:r>
      <w:r w:rsidRPr="006B6658">
        <w:rPr>
          <w:rFonts w:ascii="Arial" w:eastAsia="Times New Roman" w:hAnsi="Arial" w:cs="Arial"/>
          <w:lang w:eastAsia="es-MX"/>
        </w:rPr>
        <w:t>Decreto 1082 de 2015 los criterios diferenciales y puntajes adicionales en favor de las micro, pequeñas y medianas empresas no</w:t>
      </w:r>
      <w:r w:rsidRPr="006B6658">
        <w:rPr>
          <w:rFonts w:ascii="Arial" w:eastAsia="Times New Roman" w:hAnsi="Arial" w:cs="Arial"/>
          <w:color w:val="000000" w:themeColor="text1"/>
          <w:lang w:eastAsia="es-MX"/>
        </w:rPr>
        <w:t xml:space="preserve"> se aplicarán cuando se limiten las convocatorias a </w:t>
      </w:r>
      <w:proofErr w:type="spellStart"/>
      <w:r w:rsidRPr="006B6658">
        <w:rPr>
          <w:rFonts w:ascii="Arial" w:eastAsia="Times New Roman" w:hAnsi="Arial" w:cs="Arial"/>
          <w:color w:val="000000" w:themeColor="text1"/>
          <w:lang w:eastAsia="es-MX"/>
        </w:rPr>
        <w:t>Mipyme</w:t>
      </w:r>
      <w:proofErr w:type="spellEnd"/>
      <w:r w:rsidRPr="006B6658">
        <w:rPr>
          <w:rFonts w:ascii="Arial" w:eastAsia="Times New Roman" w:hAnsi="Arial" w:cs="Arial"/>
          <w:color w:val="000000" w:themeColor="text1"/>
          <w:lang w:eastAsia="es-MX"/>
        </w:rPr>
        <w:t xml:space="preserve"> en los términos de los artículos 2.2.1.2.4.2.2 y 2.2.1.2.4.2.3 de este Decreto. </w:t>
      </w:r>
    </w:p>
    <w:p w14:paraId="4326DB89" w14:textId="77777777" w:rsidR="006C5583" w:rsidRPr="006B6658" w:rsidRDefault="006C5583" w:rsidP="006C5583">
      <w:pPr>
        <w:spacing w:after="0" w:line="276" w:lineRule="auto"/>
        <w:ind w:firstLine="708"/>
        <w:jc w:val="both"/>
        <w:rPr>
          <w:rFonts w:ascii="Arial" w:eastAsia="Times New Roman" w:hAnsi="Arial" w:cs="Arial"/>
          <w:color w:val="000000" w:themeColor="text1"/>
          <w:lang w:eastAsia="es-MX"/>
        </w:rPr>
      </w:pPr>
    </w:p>
    <w:p w14:paraId="44C0E2D2" w14:textId="77777777" w:rsidR="006C5583" w:rsidRPr="005B759B" w:rsidRDefault="006C5583" w:rsidP="006C5583">
      <w:pPr>
        <w:spacing w:after="0"/>
        <w:jc w:val="both"/>
        <w:rPr>
          <w:rFonts w:ascii="Arial" w:hAnsi="Arial" w:cs="Arial"/>
          <w:b/>
          <w:lang w:val="es-ES"/>
        </w:rPr>
      </w:pPr>
      <w:r>
        <w:rPr>
          <w:rFonts w:ascii="Arial" w:hAnsi="Arial" w:cs="Arial"/>
          <w:b/>
          <w:lang w:val="es-ES"/>
        </w:rPr>
        <w:t xml:space="preserve">2.3.2. </w:t>
      </w:r>
      <w:r w:rsidRPr="005B759B">
        <w:rPr>
          <w:rFonts w:ascii="Arial" w:hAnsi="Arial" w:cs="Arial"/>
          <w:b/>
          <w:lang w:val="es-ES"/>
        </w:rPr>
        <w:t>La regulación de los criterios diferenciales en favor de los emprendimientos y empresas de mujeres en el Decreto 1860 de 2021</w:t>
      </w:r>
    </w:p>
    <w:p w14:paraId="36CA7A24" w14:textId="77777777" w:rsidR="006C5583" w:rsidRPr="00727F2C" w:rsidRDefault="006C5583" w:rsidP="006C5583">
      <w:pPr>
        <w:spacing w:after="0" w:line="240" w:lineRule="auto"/>
        <w:jc w:val="both"/>
        <w:rPr>
          <w:rFonts w:ascii="Geomanist Light" w:eastAsia="Calibri" w:hAnsi="Geomanist Light" w:cs="Calibri"/>
          <w:b/>
          <w:color w:val="002060"/>
          <w:sz w:val="24"/>
          <w:lang w:val="es-ES" w:eastAsia="es-CO"/>
        </w:rPr>
      </w:pPr>
    </w:p>
    <w:p w14:paraId="10BC877B" w14:textId="77777777" w:rsidR="006C5583" w:rsidRPr="006B6658" w:rsidRDefault="006C5583" w:rsidP="006C5583">
      <w:pPr>
        <w:spacing w:after="120" w:line="276" w:lineRule="auto"/>
        <w:jc w:val="both"/>
        <w:rPr>
          <w:rFonts w:ascii="Arial" w:eastAsia="Arial" w:hAnsi="Arial" w:cs="Arial"/>
          <w:szCs w:val="24"/>
          <w:lang w:eastAsia="es-MX"/>
        </w:rPr>
      </w:pPr>
      <w:bookmarkStart w:id="4" w:name="_Hlk99965062"/>
      <w:r w:rsidRPr="006B6658">
        <w:rPr>
          <w:rFonts w:ascii="Arial" w:eastAsia="Times New Roman" w:hAnsi="Arial" w:cs="Arial"/>
          <w:szCs w:val="24"/>
          <w:lang w:eastAsia="es-MX"/>
        </w:rPr>
        <w:t xml:space="preserve">Como primer presupuesto para la regulación de los criterios diferenciales </w:t>
      </w:r>
      <w:r>
        <w:rPr>
          <w:rFonts w:ascii="Arial" w:eastAsia="Times New Roman" w:hAnsi="Arial" w:cs="Arial"/>
          <w:szCs w:val="24"/>
          <w:lang w:eastAsia="es-MX"/>
        </w:rPr>
        <w:t>en</w:t>
      </w:r>
      <w:r w:rsidRPr="006B6658">
        <w:rPr>
          <w:rFonts w:ascii="Arial" w:eastAsia="Times New Roman" w:hAnsi="Arial" w:cs="Arial"/>
          <w:szCs w:val="24"/>
          <w:lang w:eastAsia="es-MX"/>
        </w:rPr>
        <w:t xml:space="preserve"> favor de los </w:t>
      </w:r>
      <w:r w:rsidRPr="006B6658">
        <w:rPr>
          <w:rFonts w:ascii="Arial" w:eastAsia="Times New Roman" w:hAnsi="Arial" w:cs="Arial"/>
          <w:color w:val="000000" w:themeColor="text1"/>
          <w:szCs w:val="24"/>
          <w:lang w:eastAsia="es-MX"/>
        </w:rPr>
        <w:t>emprendimientos y empresas de mujeres, el artículo el 3 del Decreto 1860 de 2021, que adicionó el artículo 2.2.1.2.4.2.14</w:t>
      </w:r>
      <w:r>
        <w:rPr>
          <w:rStyle w:val="Refdenotaalpie"/>
          <w:rFonts w:ascii="Arial" w:eastAsia="Times New Roman" w:hAnsi="Arial" w:cs="Arial"/>
          <w:color w:val="000000" w:themeColor="text1"/>
          <w:szCs w:val="24"/>
          <w:lang w:eastAsia="es-MX"/>
        </w:rPr>
        <w:footnoteReference w:id="7"/>
      </w:r>
      <w:r w:rsidRPr="006B6658">
        <w:rPr>
          <w:rFonts w:ascii="Arial" w:eastAsia="Times New Roman" w:hAnsi="Arial" w:cs="Arial"/>
          <w:color w:val="000000" w:themeColor="text1"/>
          <w:szCs w:val="24"/>
          <w:lang w:eastAsia="es-MX"/>
        </w:rPr>
        <w:t xml:space="preserve"> a</w:t>
      </w:r>
      <w:bookmarkStart w:id="5" w:name="_Hlk95815294"/>
      <w:r w:rsidRPr="006B6658">
        <w:rPr>
          <w:rFonts w:ascii="Arial" w:eastAsia="Times New Roman" w:hAnsi="Arial" w:cs="Arial"/>
          <w:color w:val="000000" w:themeColor="text1"/>
          <w:szCs w:val="24"/>
          <w:lang w:eastAsia="es-MX"/>
        </w:rPr>
        <w:t xml:space="preserve">l </w:t>
      </w:r>
      <w:r w:rsidRPr="006B6658">
        <w:rPr>
          <w:rFonts w:ascii="Arial" w:eastAsia="Times New Roman" w:hAnsi="Arial" w:cs="Arial"/>
          <w:szCs w:val="24"/>
          <w:lang w:eastAsia="es-MX"/>
        </w:rPr>
        <w:t>Decreto 1082 de 2015</w:t>
      </w:r>
      <w:bookmarkEnd w:id="5"/>
      <w:r w:rsidRPr="006B6658">
        <w:rPr>
          <w:rFonts w:ascii="Arial" w:eastAsia="Times New Roman" w:hAnsi="Arial" w:cs="Arial"/>
          <w:szCs w:val="24"/>
          <w:lang w:eastAsia="es-MX"/>
        </w:rPr>
        <w:t xml:space="preserve">, </w:t>
      </w:r>
      <w:r w:rsidRPr="006B6658">
        <w:rPr>
          <w:rFonts w:ascii="Arial" w:eastAsia="Times New Roman" w:hAnsi="Arial" w:cs="Arial"/>
          <w:color w:val="000000" w:themeColor="text1"/>
          <w:szCs w:val="24"/>
          <w:lang w:eastAsia="es-MX"/>
        </w:rPr>
        <w:t xml:space="preserve">incorpora la definición </w:t>
      </w:r>
      <w:r w:rsidRPr="006B6658">
        <w:rPr>
          <w:rFonts w:ascii="Arial" w:eastAsia="Times New Roman" w:hAnsi="Arial" w:cs="Arial"/>
          <w:color w:val="000000" w:themeColor="text1"/>
          <w:szCs w:val="24"/>
          <w:lang w:eastAsia="es-MX"/>
        </w:rPr>
        <w:lastRenderedPageBreak/>
        <w:t xml:space="preserve">de emprendimientos y empresas de mujeres para que puedan aplicarse los criterios diferenciales. </w:t>
      </w:r>
      <w:r w:rsidRPr="006B6658">
        <w:rPr>
          <w:rFonts w:ascii="Arial" w:eastAsia="Arial" w:hAnsi="Arial" w:cs="Arial"/>
          <w:szCs w:val="24"/>
          <w:lang w:eastAsia="es-MX"/>
        </w:rPr>
        <w:t xml:space="preserve">De esta manera, los criterios diferenciales en favor de emprendimientos y empresas de mujeres incluidos en el Decreto 1860 de 2021 únicamente se aplicarán a los proponentes que acrediten alguna de las condiciones señaladas en el artículo 2.2.1.2.4.2.14 del Decreto 1082 de 2015. </w:t>
      </w:r>
    </w:p>
    <w:p w14:paraId="2BA62957" w14:textId="77777777" w:rsidR="006C5583" w:rsidRPr="006B6658" w:rsidRDefault="006C5583" w:rsidP="006C5583">
      <w:pPr>
        <w:spacing w:after="120" w:line="276" w:lineRule="auto"/>
        <w:ind w:firstLine="708"/>
        <w:jc w:val="both"/>
        <w:rPr>
          <w:rFonts w:ascii="Arial" w:eastAsia="Times New Roman" w:hAnsi="Arial" w:cs="Arial"/>
          <w:szCs w:val="24"/>
          <w:lang w:eastAsia="es-MX"/>
        </w:rPr>
      </w:pPr>
      <w:r w:rsidRPr="006B6658">
        <w:rPr>
          <w:rFonts w:ascii="Arial" w:eastAsia="Times New Roman" w:hAnsi="Arial" w:cs="Arial"/>
          <w:color w:val="000000" w:themeColor="text1"/>
          <w:szCs w:val="24"/>
          <w:lang w:eastAsia="es-MX"/>
        </w:rPr>
        <w:t xml:space="preserve">Por otro lado, el artículo 3 del Decreto 1860 de 2021 adicionó </w:t>
      </w:r>
      <w:r w:rsidRPr="006B6658">
        <w:rPr>
          <w:rFonts w:ascii="Arial" w:eastAsia="Times New Roman" w:hAnsi="Arial" w:cs="Arial"/>
          <w:bCs/>
          <w:color w:val="000000" w:themeColor="text1"/>
          <w:szCs w:val="24"/>
          <w:lang w:eastAsia="es-MX"/>
        </w:rPr>
        <w:t>el artículo 2.2.1.2.4.2.15</w:t>
      </w:r>
      <w:r>
        <w:rPr>
          <w:rStyle w:val="Refdenotaalpie"/>
          <w:rFonts w:ascii="Arial" w:eastAsia="Times New Roman" w:hAnsi="Arial" w:cs="Arial"/>
          <w:bCs/>
          <w:color w:val="000000" w:themeColor="text1"/>
          <w:szCs w:val="24"/>
          <w:lang w:eastAsia="es-MX"/>
        </w:rPr>
        <w:footnoteReference w:id="8"/>
      </w:r>
      <w:r w:rsidRPr="006B6658">
        <w:rPr>
          <w:rFonts w:ascii="Arial" w:eastAsia="Times New Roman" w:hAnsi="Arial" w:cs="Arial"/>
          <w:bCs/>
          <w:color w:val="000000" w:themeColor="text1"/>
          <w:szCs w:val="24"/>
          <w:lang w:eastAsia="es-MX"/>
        </w:rPr>
        <w:t xml:space="preserve"> al </w:t>
      </w:r>
      <w:r w:rsidRPr="006B6658">
        <w:rPr>
          <w:rFonts w:ascii="Arial" w:eastAsia="Times New Roman" w:hAnsi="Arial" w:cs="Arial"/>
          <w:szCs w:val="24"/>
          <w:lang w:eastAsia="es-MX"/>
        </w:rPr>
        <w:t xml:space="preserve">Decreto 1082 de 2015 que estableció </w:t>
      </w:r>
      <w:r w:rsidRPr="006B6658">
        <w:rPr>
          <w:rFonts w:ascii="Arial" w:eastAsia="Times New Roman" w:hAnsi="Arial" w:cs="Arial"/>
          <w:color w:val="000000" w:themeColor="text1"/>
          <w:szCs w:val="24"/>
          <w:lang w:eastAsia="es-MX"/>
        </w:rPr>
        <w:t xml:space="preserve">unas reglas objetivas que </w:t>
      </w:r>
      <w:r w:rsidRPr="006B6658">
        <w:rPr>
          <w:rFonts w:ascii="Arial" w:eastAsia="Times New Roman" w:hAnsi="Arial" w:cs="Arial"/>
          <w:color w:val="000000" w:themeColor="text1"/>
          <w:szCs w:val="24"/>
          <w:lang w:eastAsia="es-MX"/>
        </w:rPr>
        <w:lastRenderedPageBreak/>
        <w:t xml:space="preserve">garantizan una aplicación uniforme de los criterios diferenciales a favor de empresas y emprendimientos de mujeres. </w:t>
      </w:r>
      <w:r>
        <w:rPr>
          <w:rFonts w:ascii="Arial" w:eastAsia="Times New Roman" w:hAnsi="Arial" w:cs="Arial"/>
          <w:szCs w:val="24"/>
          <w:lang w:eastAsia="es-MX"/>
        </w:rPr>
        <w:t>De esta forma, se dispuso de</w:t>
      </w:r>
      <w:r w:rsidRPr="006B6658">
        <w:rPr>
          <w:rFonts w:ascii="Arial" w:eastAsia="Times New Roman" w:hAnsi="Arial" w:cs="Arial"/>
          <w:szCs w:val="24"/>
          <w:lang w:eastAsia="es-MX"/>
        </w:rPr>
        <w:t xml:space="preserve"> criterios diferenciales que incluyen tanto las condiciones habilitantes como los puntajes adicionales </w:t>
      </w:r>
      <w:r>
        <w:rPr>
          <w:rFonts w:ascii="Arial" w:eastAsia="Times New Roman" w:hAnsi="Arial" w:cs="Arial"/>
          <w:szCs w:val="24"/>
          <w:lang w:eastAsia="es-MX"/>
        </w:rPr>
        <w:t xml:space="preserve">que </w:t>
      </w:r>
      <w:r w:rsidRPr="006B6658">
        <w:rPr>
          <w:rFonts w:ascii="Arial" w:eastAsia="Times New Roman" w:hAnsi="Arial" w:cs="Arial"/>
          <w:szCs w:val="24"/>
          <w:lang w:eastAsia="es-MX"/>
        </w:rPr>
        <w:t xml:space="preserve">aplican a los procesos de licitación pública, selección abreviada de menor cuantía y concurso de méritos, excluyendo las demás modalidades de selección del artículo 2 de la Ley 1150 de 2007, esto es, a la mínima cuantía y a la contratación directa. </w:t>
      </w:r>
    </w:p>
    <w:p w14:paraId="208CB62A" w14:textId="77777777" w:rsidR="006C5583" w:rsidRDefault="006C5583" w:rsidP="006C5583">
      <w:pPr>
        <w:spacing w:after="120" w:line="276" w:lineRule="auto"/>
        <w:ind w:firstLine="708"/>
        <w:jc w:val="both"/>
        <w:rPr>
          <w:rFonts w:ascii="Arial" w:eastAsia="Times New Roman" w:hAnsi="Arial" w:cs="Arial"/>
          <w:szCs w:val="24"/>
          <w:lang w:eastAsia="es-MX"/>
        </w:rPr>
      </w:pPr>
      <w:r w:rsidRPr="006B6658">
        <w:rPr>
          <w:rFonts w:ascii="Arial" w:eastAsia="Times New Roman" w:hAnsi="Arial" w:cs="Arial"/>
          <w:szCs w:val="24"/>
          <w:lang w:eastAsia="es-MX"/>
        </w:rPr>
        <w:t xml:space="preserve">En este sentido, de manera análoga a lo dispuesto en la regulación de los criterios diferenciales para </w:t>
      </w:r>
      <w:proofErr w:type="spellStart"/>
      <w:r w:rsidRPr="006B6658">
        <w:rPr>
          <w:rFonts w:ascii="Arial" w:eastAsia="Times New Roman" w:hAnsi="Arial" w:cs="Arial"/>
          <w:szCs w:val="24"/>
          <w:lang w:eastAsia="es-MX"/>
        </w:rPr>
        <w:t>Mipyme</w:t>
      </w:r>
      <w:proofErr w:type="spellEnd"/>
      <w:r w:rsidRPr="006B6658">
        <w:rPr>
          <w:rFonts w:ascii="Arial" w:eastAsia="Times New Roman" w:hAnsi="Arial" w:cs="Arial"/>
          <w:szCs w:val="24"/>
          <w:lang w:eastAsia="es-MX"/>
        </w:rPr>
        <w:t xml:space="preserve">, se determinó que en los documentos del proceso </w:t>
      </w:r>
      <w:r>
        <w:rPr>
          <w:rFonts w:ascii="Arial" w:eastAsia="Times New Roman" w:hAnsi="Arial" w:cs="Arial"/>
          <w:szCs w:val="24"/>
          <w:lang w:eastAsia="es-MX"/>
        </w:rPr>
        <w:t xml:space="preserve">se </w:t>
      </w:r>
      <w:r w:rsidRPr="006B6658">
        <w:rPr>
          <w:rFonts w:ascii="Arial" w:eastAsia="Times New Roman" w:hAnsi="Arial" w:cs="Arial"/>
          <w:szCs w:val="24"/>
          <w:lang w:eastAsia="es-MX"/>
        </w:rPr>
        <w:t xml:space="preserve">deben incorporar requisitos habilitantes diferenciales para los emprendimientos y empresas de mujeres relacionados con alguno o algunos de los siguientes aspectos: i) tiempo de experiencia, </w:t>
      </w:r>
      <w:proofErr w:type="spellStart"/>
      <w:r w:rsidRPr="006B6658">
        <w:rPr>
          <w:rFonts w:ascii="Arial" w:eastAsia="Times New Roman" w:hAnsi="Arial" w:cs="Arial"/>
          <w:szCs w:val="24"/>
          <w:lang w:eastAsia="es-MX"/>
        </w:rPr>
        <w:t>ii</w:t>
      </w:r>
      <w:proofErr w:type="spellEnd"/>
      <w:r w:rsidRPr="006B6658">
        <w:rPr>
          <w:rFonts w:ascii="Arial" w:eastAsia="Times New Roman" w:hAnsi="Arial" w:cs="Arial"/>
          <w:szCs w:val="24"/>
          <w:lang w:eastAsia="es-MX"/>
        </w:rPr>
        <w:t xml:space="preserve">) número de contratos para la acreditación de la experiencia, </w:t>
      </w:r>
      <w:proofErr w:type="spellStart"/>
      <w:r w:rsidRPr="006B6658">
        <w:rPr>
          <w:rFonts w:ascii="Arial" w:eastAsia="Times New Roman" w:hAnsi="Arial" w:cs="Arial"/>
          <w:szCs w:val="24"/>
          <w:lang w:eastAsia="es-MX"/>
        </w:rPr>
        <w:t>iii</w:t>
      </w:r>
      <w:proofErr w:type="spellEnd"/>
      <w:r w:rsidRPr="006B6658">
        <w:rPr>
          <w:rFonts w:ascii="Arial" w:eastAsia="Times New Roman" w:hAnsi="Arial" w:cs="Arial"/>
          <w:szCs w:val="24"/>
          <w:lang w:eastAsia="es-MX"/>
        </w:rPr>
        <w:t xml:space="preserve">) índices de capacidad financiera, </w:t>
      </w:r>
      <w:proofErr w:type="spellStart"/>
      <w:r w:rsidRPr="006B6658">
        <w:rPr>
          <w:rFonts w:ascii="Arial" w:eastAsia="Times New Roman" w:hAnsi="Arial" w:cs="Arial"/>
          <w:szCs w:val="24"/>
          <w:lang w:eastAsia="es-MX"/>
        </w:rPr>
        <w:t>iv</w:t>
      </w:r>
      <w:proofErr w:type="spellEnd"/>
      <w:r w:rsidRPr="006B6658">
        <w:rPr>
          <w:rFonts w:ascii="Arial" w:eastAsia="Times New Roman" w:hAnsi="Arial" w:cs="Arial"/>
          <w:szCs w:val="24"/>
          <w:lang w:eastAsia="es-MX"/>
        </w:rPr>
        <w:t xml:space="preserve">) índices de capacidad organizacional y v) valor de la garantía de seriedad de la oferta. </w:t>
      </w:r>
      <w:bookmarkEnd w:id="4"/>
    </w:p>
    <w:p w14:paraId="51352EA4" w14:textId="77777777" w:rsidR="006C5583" w:rsidRPr="006B6658" w:rsidRDefault="006C5583" w:rsidP="006C5583">
      <w:pPr>
        <w:spacing w:after="120" w:line="276" w:lineRule="auto"/>
        <w:ind w:firstLine="708"/>
        <w:jc w:val="both"/>
        <w:rPr>
          <w:rFonts w:ascii="Arial" w:eastAsia="Times New Roman" w:hAnsi="Arial" w:cs="Arial"/>
          <w:color w:val="000000" w:themeColor="text1"/>
          <w:szCs w:val="24"/>
          <w:lang w:eastAsia="es-MX"/>
        </w:rPr>
      </w:pPr>
      <w:r w:rsidRPr="006B6658">
        <w:rPr>
          <w:rFonts w:ascii="Arial" w:eastAsia="Times New Roman" w:hAnsi="Arial" w:cs="Arial"/>
          <w:szCs w:val="24"/>
          <w:lang w:eastAsia="es-MX"/>
        </w:rPr>
        <w:t xml:space="preserve">Igualmente, el decreto dispone que, con excepción de los procedimientos de selección donde el menor precio ofrecido sea el único factor de evaluación, las entidades otorgarán un puntaje adicional hasta el cero punto veinticinco por ciento (0.25%) del valor total de los puntos establecidos en los pliegos de condiciones o documentos </w:t>
      </w:r>
      <w:r w:rsidRPr="006B6658">
        <w:rPr>
          <w:rFonts w:ascii="Arial" w:eastAsia="Times New Roman" w:hAnsi="Arial" w:cs="Arial"/>
          <w:szCs w:val="24"/>
          <w:lang w:eastAsia="es-MX"/>
        </w:rPr>
        <w:lastRenderedPageBreak/>
        <w:t xml:space="preserve">equivalentes, a los proponentes que acrediten alguno de los supuestos señalados en el artículo </w:t>
      </w:r>
      <w:r w:rsidRPr="006B6658">
        <w:rPr>
          <w:rFonts w:ascii="Arial" w:eastAsia="Arial" w:hAnsi="Arial" w:cs="Arial"/>
          <w:szCs w:val="24"/>
          <w:lang w:eastAsia="es-MX"/>
        </w:rPr>
        <w:t>2.2.1.2.4.2.14 del Decreto 1082 de 2015</w:t>
      </w:r>
      <w:r w:rsidRPr="006B6658">
        <w:rPr>
          <w:rFonts w:ascii="Arial" w:eastAsia="Times New Roman" w:hAnsi="Arial" w:cs="Arial"/>
          <w:szCs w:val="24"/>
          <w:lang w:eastAsia="es-MX"/>
        </w:rPr>
        <w:t xml:space="preserve">. </w:t>
      </w:r>
    </w:p>
    <w:p w14:paraId="004B2B10" w14:textId="77777777" w:rsidR="006C5583" w:rsidRPr="006B6658" w:rsidRDefault="006C5583" w:rsidP="006C5583">
      <w:pPr>
        <w:spacing w:after="120" w:line="276" w:lineRule="auto"/>
        <w:ind w:firstLine="708"/>
        <w:jc w:val="both"/>
        <w:rPr>
          <w:rFonts w:ascii="Arial" w:eastAsia="Times New Roman" w:hAnsi="Arial" w:cs="Arial"/>
          <w:color w:val="000000" w:themeColor="text1"/>
          <w:szCs w:val="24"/>
          <w:lang w:eastAsia="es-MX"/>
        </w:rPr>
      </w:pPr>
      <w:r w:rsidRPr="006B6658">
        <w:rPr>
          <w:rFonts w:ascii="Arial" w:eastAsia="Times New Roman" w:hAnsi="Arial" w:cs="Arial"/>
          <w:szCs w:val="24"/>
          <w:lang w:eastAsia="es-MX"/>
        </w:rPr>
        <w:t xml:space="preserve">En lo relativo a la aplicación de los criterios y puntajes diferenciales para proponentes plurales en los que participen empresas y emprendimientos de mujeres, el decreto </w:t>
      </w:r>
      <w:r>
        <w:rPr>
          <w:rFonts w:ascii="Arial" w:eastAsia="Times New Roman" w:hAnsi="Arial" w:cs="Arial"/>
          <w:szCs w:val="24"/>
          <w:lang w:eastAsia="es-MX"/>
        </w:rPr>
        <w:t xml:space="preserve">señala </w:t>
      </w:r>
      <w:r w:rsidRPr="006B6658">
        <w:rPr>
          <w:rFonts w:ascii="Arial" w:eastAsia="Times New Roman" w:hAnsi="Arial" w:cs="Arial"/>
          <w:szCs w:val="24"/>
          <w:lang w:eastAsia="es-MX"/>
        </w:rPr>
        <w:t>que los requisitos y criterios diferenciales solo se aplicarán cuando por lo menos uno de los integrantes acredit</w:t>
      </w:r>
      <w:r>
        <w:rPr>
          <w:rFonts w:ascii="Arial" w:eastAsia="Times New Roman" w:hAnsi="Arial" w:cs="Arial"/>
          <w:szCs w:val="24"/>
          <w:lang w:eastAsia="es-MX"/>
        </w:rPr>
        <w:t>e</w:t>
      </w:r>
      <w:r w:rsidRPr="006B6658">
        <w:rPr>
          <w:rFonts w:ascii="Arial" w:eastAsia="Times New Roman" w:hAnsi="Arial" w:cs="Arial"/>
          <w:szCs w:val="24"/>
          <w:lang w:eastAsia="es-MX"/>
        </w:rPr>
        <w:t xml:space="preserve"> </w:t>
      </w:r>
      <w:r>
        <w:rPr>
          <w:rFonts w:ascii="Arial" w:eastAsia="Times New Roman" w:hAnsi="Arial" w:cs="Arial"/>
          <w:szCs w:val="24"/>
          <w:lang w:eastAsia="es-MX"/>
        </w:rPr>
        <w:t>dicha condición</w:t>
      </w:r>
      <w:r w:rsidRPr="006B6658">
        <w:rPr>
          <w:rFonts w:ascii="Arial" w:eastAsia="Times New Roman" w:hAnsi="Arial" w:cs="Arial"/>
          <w:szCs w:val="24"/>
          <w:lang w:eastAsia="es-MX"/>
        </w:rPr>
        <w:t xml:space="preserve"> y </w:t>
      </w:r>
      <w:r>
        <w:rPr>
          <w:rFonts w:ascii="Arial" w:eastAsia="Times New Roman" w:hAnsi="Arial" w:cs="Arial"/>
          <w:szCs w:val="24"/>
          <w:lang w:eastAsia="es-MX"/>
        </w:rPr>
        <w:t>tenga</w:t>
      </w:r>
      <w:r w:rsidRPr="006B6658">
        <w:rPr>
          <w:rFonts w:ascii="Arial" w:eastAsia="Times New Roman" w:hAnsi="Arial" w:cs="Arial"/>
          <w:szCs w:val="24"/>
          <w:lang w:eastAsia="es-MX"/>
        </w:rPr>
        <w:t xml:space="preserve"> una participación de al menos el diez por ciento (10%) en la estructura plural. De esta manera, los emprendimientos y empresas de mujeres se verán beneficiados de los referidos in</w:t>
      </w:r>
      <w:r w:rsidRPr="006B6658">
        <w:rPr>
          <w:rFonts w:ascii="Arial" w:eastAsia="Times New Roman" w:hAnsi="Arial" w:cs="Arial"/>
          <w:color w:val="000000" w:themeColor="text1"/>
          <w:szCs w:val="24"/>
          <w:lang w:eastAsia="es-MX"/>
        </w:rPr>
        <w:t xml:space="preserve">centivos por la presentación de ofertas </w:t>
      </w:r>
      <w:r>
        <w:rPr>
          <w:rFonts w:ascii="Arial" w:eastAsia="Times New Roman" w:hAnsi="Arial" w:cs="Arial"/>
          <w:color w:val="000000" w:themeColor="text1"/>
          <w:szCs w:val="24"/>
          <w:lang w:eastAsia="es-MX"/>
        </w:rPr>
        <w:t>mediante</w:t>
      </w:r>
      <w:r w:rsidRPr="006B6658">
        <w:rPr>
          <w:rFonts w:ascii="Arial" w:eastAsia="Times New Roman" w:hAnsi="Arial" w:cs="Arial"/>
          <w:color w:val="000000" w:themeColor="text1"/>
          <w:szCs w:val="24"/>
          <w:lang w:eastAsia="es-MX"/>
        </w:rPr>
        <w:t xml:space="preserve"> proponentes plurales, en los que pueden asociarse con otras empresas o proponentes que fortalezcan sus capacidades y experiencia.</w:t>
      </w:r>
    </w:p>
    <w:p w14:paraId="5EBFC45A" w14:textId="77777777" w:rsidR="006C5583" w:rsidRPr="006B6658" w:rsidRDefault="006C5583" w:rsidP="006C5583">
      <w:pPr>
        <w:spacing w:after="120" w:line="276" w:lineRule="auto"/>
        <w:ind w:firstLine="708"/>
        <w:jc w:val="both"/>
        <w:rPr>
          <w:rFonts w:ascii="Arial" w:eastAsia="Times New Roman" w:hAnsi="Arial" w:cs="Arial"/>
          <w:szCs w:val="24"/>
          <w:lang w:val="es-ES" w:eastAsia="es-MX"/>
        </w:rPr>
      </w:pPr>
      <w:r w:rsidRPr="006B6658">
        <w:rPr>
          <w:rFonts w:ascii="Arial" w:eastAsia="Times New Roman" w:hAnsi="Arial" w:cs="Arial"/>
          <w:szCs w:val="24"/>
          <w:lang w:eastAsia="es-MX"/>
        </w:rPr>
        <w:t>Según la norma en comento</w:t>
      </w:r>
      <w:r>
        <w:rPr>
          <w:rFonts w:ascii="Arial" w:eastAsia="Times New Roman" w:hAnsi="Arial" w:cs="Arial"/>
          <w:szCs w:val="24"/>
          <w:lang w:eastAsia="es-MX"/>
        </w:rPr>
        <w:t>,</w:t>
      </w:r>
      <w:r w:rsidRPr="006B6658">
        <w:rPr>
          <w:rFonts w:ascii="Arial" w:eastAsia="Times New Roman" w:hAnsi="Arial" w:cs="Arial"/>
          <w:szCs w:val="24"/>
          <w:lang w:eastAsia="es-MX"/>
        </w:rPr>
        <w:t xml:space="preserve"> las entidades incluirán estos requisitos diferenciales y puntajes adicionales de acuerdo con los resultados del análisis del sector, desde la perspectiva del estudio de la oferta de las obras, bienes o servicios que requiere, sin perjuicio de los compromisos adquiridos por Colombia en los Acuerdos Comerciales vigentes. </w:t>
      </w:r>
    </w:p>
    <w:p w14:paraId="7DDC8BBB" w14:textId="77777777" w:rsidR="006C5583" w:rsidRPr="006B6658" w:rsidRDefault="006C5583" w:rsidP="006C5583">
      <w:pPr>
        <w:spacing w:after="0" w:line="276" w:lineRule="auto"/>
        <w:ind w:firstLine="708"/>
        <w:jc w:val="both"/>
        <w:rPr>
          <w:rFonts w:ascii="Arial" w:eastAsia="Times New Roman" w:hAnsi="Arial" w:cs="Arial"/>
          <w:szCs w:val="24"/>
          <w:lang w:eastAsia="es-MX"/>
        </w:rPr>
      </w:pPr>
      <w:r w:rsidRPr="006B6658">
        <w:rPr>
          <w:rFonts w:ascii="Arial" w:eastAsia="Times New Roman" w:hAnsi="Arial" w:cs="Arial"/>
          <w:szCs w:val="24"/>
          <w:lang w:eastAsia="es-MX"/>
        </w:rPr>
        <w:t xml:space="preserve">Finalmente, el </w:t>
      </w:r>
      <w:r w:rsidRPr="006B6658">
        <w:rPr>
          <w:rFonts w:ascii="Arial" w:eastAsia="Times New Roman" w:hAnsi="Arial" w:cs="Arial"/>
          <w:bCs/>
          <w:szCs w:val="24"/>
          <w:lang w:eastAsia="es-MX"/>
        </w:rPr>
        <w:t xml:space="preserve">artículo 2.2.1.2.4.2.15 del </w:t>
      </w:r>
      <w:r w:rsidRPr="006B6658">
        <w:rPr>
          <w:rFonts w:ascii="Arial" w:eastAsia="Times New Roman" w:hAnsi="Arial" w:cs="Arial"/>
          <w:szCs w:val="24"/>
          <w:lang w:eastAsia="es-MX"/>
        </w:rPr>
        <w:t xml:space="preserve">Decreto 1082 de 2015 señala que los incentivos contractuales para las empresas y emprendimientos de mujeres no excluyen la aplicación de los criterios diferenciales para </w:t>
      </w:r>
      <w:proofErr w:type="spellStart"/>
      <w:r w:rsidRPr="006B6658">
        <w:rPr>
          <w:rFonts w:ascii="Arial" w:eastAsia="Times New Roman" w:hAnsi="Arial" w:cs="Arial"/>
          <w:szCs w:val="24"/>
          <w:lang w:eastAsia="es-MX"/>
        </w:rPr>
        <w:t>Mipyme</w:t>
      </w:r>
      <w:proofErr w:type="spellEnd"/>
      <w:r w:rsidRPr="006B6658">
        <w:rPr>
          <w:rFonts w:ascii="Arial" w:eastAsia="Times New Roman" w:hAnsi="Arial" w:cs="Arial"/>
          <w:szCs w:val="24"/>
          <w:lang w:eastAsia="es-MX"/>
        </w:rPr>
        <w:t xml:space="preserve"> en el sistema de compras públicas. Esto significa que los criterios diferenciales que favorezcan a los proponentes que acrediten la calidad de emprendimiento y empresas de mujeres se acumulan con los criterios diferenciales establecidos en favor de aquellos que también ostentan la calidad de </w:t>
      </w:r>
      <w:proofErr w:type="spellStart"/>
      <w:r w:rsidRPr="006B6658">
        <w:rPr>
          <w:rFonts w:ascii="Arial" w:eastAsia="Times New Roman" w:hAnsi="Arial" w:cs="Arial"/>
          <w:szCs w:val="24"/>
          <w:lang w:eastAsia="es-MX"/>
        </w:rPr>
        <w:t>Mipyme</w:t>
      </w:r>
      <w:proofErr w:type="spellEnd"/>
      <w:r w:rsidRPr="006B6658">
        <w:rPr>
          <w:rFonts w:ascii="Arial" w:eastAsia="Times New Roman" w:hAnsi="Arial" w:cs="Arial"/>
          <w:szCs w:val="24"/>
          <w:lang w:eastAsia="es-MX"/>
        </w:rPr>
        <w:t xml:space="preserve">. </w:t>
      </w:r>
    </w:p>
    <w:p w14:paraId="10E987C3" w14:textId="77777777" w:rsidR="006C5583" w:rsidRDefault="006C5583" w:rsidP="006C5583">
      <w:pPr>
        <w:spacing w:after="0" w:line="276" w:lineRule="auto"/>
        <w:jc w:val="both"/>
        <w:rPr>
          <w:rFonts w:ascii="Arial" w:eastAsia="Times New Roman" w:hAnsi="Arial" w:cs="Arial"/>
          <w:szCs w:val="24"/>
          <w:lang w:eastAsia="es-MX"/>
        </w:rPr>
      </w:pPr>
      <w:r>
        <w:rPr>
          <w:rFonts w:ascii="Arial" w:eastAsia="Times New Roman" w:hAnsi="Arial" w:cs="Arial"/>
          <w:szCs w:val="24"/>
          <w:lang w:eastAsia="es-MX"/>
        </w:rPr>
        <w:tab/>
      </w:r>
    </w:p>
    <w:p w14:paraId="6A09FD02" w14:textId="77777777" w:rsidR="006C5583" w:rsidRPr="005B759B" w:rsidRDefault="006C5583" w:rsidP="006C5583">
      <w:pPr>
        <w:spacing w:after="0" w:line="276" w:lineRule="auto"/>
        <w:jc w:val="both"/>
        <w:rPr>
          <w:rFonts w:ascii="Arial" w:eastAsia="Times New Roman" w:hAnsi="Arial" w:cs="Arial"/>
          <w:b/>
          <w:bCs/>
          <w:lang w:eastAsia="es-MX"/>
        </w:rPr>
      </w:pPr>
      <w:r>
        <w:rPr>
          <w:rFonts w:ascii="Arial" w:hAnsi="Arial" w:cs="Arial"/>
          <w:b/>
          <w:bCs/>
        </w:rPr>
        <w:t xml:space="preserve">2.3.3. </w:t>
      </w:r>
      <w:r w:rsidRPr="005B759B">
        <w:rPr>
          <w:rFonts w:ascii="Arial" w:hAnsi="Arial" w:cs="Arial"/>
          <w:b/>
          <w:bCs/>
        </w:rPr>
        <w:t>Vigencia del Decreto 1860 de 2021</w:t>
      </w:r>
    </w:p>
    <w:p w14:paraId="1C3C2645" w14:textId="77777777" w:rsidR="006C5583" w:rsidRDefault="006C5583" w:rsidP="006C5583">
      <w:pPr>
        <w:spacing w:after="0" w:line="276" w:lineRule="auto"/>
        <w:jc w:val="both"/>
        <w:rPr>
          <w:rFonts w:ascii="Arial" w:eastAsia="Times New Roman" w:hAnsi="Arial" w:cs="Arial"/>
          <w:szCs w:val="24"/>
          <w:lang w:eastAsia="es-MX"/>
        </w:rPr>
      </w:pPr>
    </w:p>
    <w:p w14:paraId="4A94F829" w14:textId="77777777" w:rsidR="006C5583" w:rsidRDefault="006C5583" w:rsidP="006C5583">
      <w:pPr>
        <w:spacing w:after="120" w:line="276" w:lineRule="auto"/>
        <w:jc w:val="both"/>
        <w:rPr>
          <w:rFonts w:ascii="Arial" w:eastAsia="Arial" w:hAnsi="Arial" w:cs="Arial"/>
          <w:lang w:val="es-ES" w:eastAsia="es-CO"/>
        </w:rPr>
      </w:pPr>
      <w:bookmarkStart w:id="6" w:name="_Hlk105683807"/>
      <w:r>
        <w:rPr>
          <w:rFonts w:ascii="Arial" w:eastAsia="Times New Roman" w:hAnsi="Arial" w:cs="Arial"/>
          <w:szCs w:val="24"/>
          <w:lang w:eastAsia="es-MX"/>
        </w:rPr>
        <w:t>Para aplicar las disposiciones contenidas en el Decreto 1860 de 2021, el artículo 8</w:t>
      </w:r>
      <w:r>
        <w:rPr>
          <w:rStyle w:val="Refdenotaalpie"/>
          <w:rFonts w:ascii="Arial" w:eastAsia="Times New Roman" w:hAnsi="Arial" w:cs="Arial"/>
          <w:szCs w:val="24"/>
          <w:lang w:eastAsia="es-MX"/>
        </w:rPr>
        <w:footnoteReference w:id="9"/>
      </w:r>
      <w:r>
        <w:rPr>
          <w:rFonts w:ascii="Arial" w:eastAsia="Times New Roman" w:hAnsi="Arial" w:cs="Arial"/>
          <w:szCs w:val="24"/>
          <w:lang w:eastAsia="es-MX"/>
        </w:rPr>
        <w:t xml:space="preserve"> de dicho decreto estableció el momento a partir del cual sus disposiciones surtirían efectos.</w:t>
      </w:r>
      <w:r>
        <w:rPr>
          <w:rFonts w:ascii="Arial" w:eastAsia="Calibri" w:hAnsi="Arial" w:cs="Arial"/>
        </w:rPr>
        <w:t xml:space="preserve"> </w:t>
      </w:r>
      <w:r>
        <w:rPr>
          <w:rFonts w:ascii="Arial" w:eastAsia="Calibri" w:hAnsi="Arial" w:cs="Arial"/>
        </w:rPr>
        <w:lastRenderedPageBreak/>
        <w:t xml:space="preserve">De esta forma, se estableció que estas </w:t>
      </w:r>
      <w:r>
        <w:rPr>
          <w:rFonts w:ascii="Arial" w:eastAsia="Arial" w:hAnsi="Arial" w:cs="Arial"/>
          <w:lang w:val="es-ES" w:eastAsia="es-CO"/>
        </w:rPr>
        <w:t xml:space="preserve">aplicarán a los procesos de selección cuya invitación, aviso de convocatoria o documento equivalente –según corresponda–, se publique después de los tres (3) meses de su expedición. </w:t>
      </w:r>
    </w:p>
    <w:p w14:paraId="50012797" w14:textId="77777777" w:rsidR="006C5583" w:rsidRDefault="006C5583" w:rsidP="006C5583">
      <w:pPr>
        <w:autoSpaceDE w:val="0"/>
        <w:autoSpaceDN w:val="0"/>
        <w:adjustRightInd w:val="0"/>
        <w:spacing w:after="120" w:line="276" w:lineRule="auto"/>
        <w:ind w:firstLine="708"/>
        <w:jc w:val="both"/>
        <w:rPr>
          <w:rFonts w:ascii="Arial" w:eastAsia="Arial" w:hAnsi="Arial" w:cs="Arial"/>
          <w:lang w:eastAsia="es-MX"/>
        </w:rPr>
      </w:pPr>
      <w:r>
        <w:rPr>
          <w:rFonts w:ascii="Arial" w:eastAsia="Arial" w:hAnsi="Arial" w:cs="Arial"/>
          <w:lang w:val="es-ES" w:eastAsia="es-CO"/>
        </w:rPr>
        <w:t xml:space="preserve">No obstante, en relación con </w:t>
      </w:r>
      <w:r w:rsidRPr="008D1D26">
        <w:rPr>
          <w:rFonts w:ascii="Arial" w:eastAsia="Arial" w:hAnsi="Arial" w:cs="Arial"/>
          <w:lang w:val="es-ES" w:eastAsia="es-CO"/>
        </w:rPr>
        <w:t xml:space="preserve">los procesos de contratación que se </w:t>
      </w:r>
      <w:r>
        <w:rPr>
          <w:rFonts w:ascii="Arial" w:eastAsia="Arial" w:hAnsi="Arial" w:cs="Arial"/>
          <w:lang w:val="es-ES" w:eastAsia="es-CO"/>
        </w:rPr>
        <w:t xml:space="preserve">rijan por los </w:t>
      </w:r>
      <w:r w:rsidRPr="008D1D26">
        <w:rPr>
          <w:rFonts w:ascii="Arial" w:eastAsia="Arial" w:hAnsi="Arial" w:cs="Arial"/>
          <w:lang w:val="es-ES" w:eastAsia="es-CO"/>
        </w:rPr>
        <w:t xml:space="preserve">Documentos </w:t>
      </w:r>
      <w:r>
        <w:rPr>
          <w:rFonts w:ascii="Arial" w:eastAsia="Arial" w:hAnsi="Arial" w:cs="Arial"/>
          <w:lang w:val="es-ES" w:eastAsia="es-CO"/>
        </w:rPr>
        <w:t>T</w:t>
      </w:r>
      <w:r w:rsidRPr="008D1D26">
        <w:rPr>
          <w:rFonts w:ascii="Arial" w:eastAsia="Arial" w:hAnsi="Arial" w:cs="Arial"/>
          <w:lang w:val="es-ES" w:eastAsia="es-CO"/>
        </w:rPr>
        <w:t>ipo</w:t>
      </w:r>
      <w:r>
        <w:rPr>
          <w:rFonts w:ascii="Arial" w:eastAsia="Arial" w:hAnsi="Arial" w:cs="Arial"/>
          <w:lang w:val="es-ES" w:eastAsia="es-CO"/>
        </w:rPr>
        <w:t xml:space="preserve">, en el parágrafo del artículo se dispuso que </w:t>
      </w:r>
      <w:r w:rsidRPr="008D1D26">
        <w:rPr>
          <w:rFonts w:ascii="Arial" w:eastAsia="Arial" w:hAnsi="Arial" w:cs="Arial"/>
          <w:lang w:val="es-ES" w:eastAsia="es-CO"/>
        </w:rPr>
        <w:t>las disposiciones contenidas en el</w:t>
      </w:r>
      <w:r>
        <w:rPr>
          <w:rFonts w:ascii="Arial" w:eastAsia="Arial" w:hAnsi="Arial" w:cs="Arial"/>
          <w:lang w:val="es-ES" w:eastAsia="es-CO"/>
        </w:rPr>
        <w:t xml:space="preserve"> Decreto</w:t>
      </w:r>
      <w:r w:rsidRPr="008D1D26">
        <w:rPr>
          <w:rFonts w:ascii="Arial" w:eastAsia="Arial" w:hAnsi="Arial" w:cs="Arial"/>
          <w:lang w:val="es-ES" w:eastAsia="es-CO"/>
        </w:rPr>
        <w:t xml:space="preserve"> no se aplicar</w:t>
      </w:r>
      <w:r>
        <w:rPr>
          <w:rFonts w:ascii="Arial" w:eastAsia="Arial" w:hAnsi="Arial" w:cs="Arial"/>
          <w:lang w:val="es-ES" w:eastAsia="es-CO"/>
        </w:rPr>
        <w:t>í</w:t>
      </w:r>
      <w:r w:rsidRPr="008D1D26">
        <w:rPr>
          <w:rFonts w:ascii="Arial" w:eastAsia="Arial" w:hAnsi="Arial" w:cs="Arial"/>
          <w:lang w:val="es-ES" w:eastAsia="es-CO"/>
        </w:rPr>
        <w:t xml:space="preserve">an a </w:t>
      </w:r>
      <w:r>
        <w:rPr>
          <w:rFonts w:ascii="Arial" w:eastAsia="Arial" w:hAnsi="Arial" w:cs="Arial"/>
          <w:lang w:val="es-ES" w:eastAsia="es-CO"/>
        </w:rPr>
        <w:t>dichos</w:t>
      </w:r>
      <w:r w:rsidRPr="008D1D26">
        <w:rPr>
          <w:rFonts w:ascii="Arial" w:eastAsia="Arial" w:hAnsi="Arial" w:cs="Arial"/>
          <w:lang w:val="es-ES" w:eastAsia="es-CO"/>
        </w:rPr>
        <w:t xml:space="preserve"> procesos hasta que </w:t>
      </w:r>
      <w:r>
        <w:rPr>
          <w:rFonts w:ascii="Arial" w:eastAsia="Arial" w:hAnsi="Arial" w:cs="Arial"/>
          <w:lang w:val="es-ES" w:eastAsia="es-CO"/>
        </w:rPr>
        <w:t xml:space="preserve">la </w:t>
      </w:r>
      <w:r w:rsidRPr="008D1D26">
        <w:rPr>
          <w:rFonts w:ascii="Arial" w:eastAsia="Arial" w:hAnsi="Arial" w:cs="Arial"/>
          <w:lang w:val="es-ES" w:eastAsia="es-CO"/>
        </w:rPr>
        <w:t>Agencia</w:t>
      </w:r>
      <w:r>
        <w:rPr>
          <w:rFonts w:ascii="Arial" w:eastAsia="Arial" w:hAnsi="Arial" w:cs="Arial"/>
          <w:lang w:val="es-ES" w:eastAsia="es-CO"/>
        </w:rPr>
        <w:t xml:space="preserve"> Nacional de Contratación Pública − Colombia Compra Eficiente</w:t>
      </w:r>
      <w:r w:rsidRPr="008D1D26">
        <w:rPr>
          <w:rFonts w:ascii="Arial" w:eastAsia="Arial" w:hAnsi="Arial" w:cs="Arial"/>
          <w:lang w:val="es-ES" w:eastAsia="es-CO"/>
        </w:rPr>
        <w:t xml:space="preserve"> incorpore</w:t>
      </w:r>
      <w:r>
        <w:rPr>
          <w:rFonts w:ascii="Arial" w:eastAsia="Arial" w:hAnsi="Arial" w:cs="Arial"/>
          <w:lang w:val="es-ES" w:eastAsia="es-CO"/>
        </w:rPr>
        <w:t xml:space="preserve"> en estos documentos </w:t>
      </w:r>
      <w:r w:rsidRPr="008D1D26">
        <w:rPr>
          <w:rFonts w:ascii="Arial" w:eastAsia="Arial" w:hAnsi="Arial" w:cs="Arial"/>
          <w:lang w:val="es-ES" w:eastAsia="es-CO"/>
        </w:rPr>
        <w:t>las modificaciones pertinentes</w:t>
      </w:r>
      <w:r>
        <w:rPr>
          <w:rFonts w:ascii="Arial" w:eastAsia="Arial" w:hAnsi="Arial" w:cs="Arial"/>
          <w:lang w:val="es-ES" w:eastAsia="es-CO"/>
        </w:rPr>
        <w:t>. Para el efecto, se señaló que la Agencia tendría un plazo de seis (6) meses contados a partir de la expedición del reglamento para adecuar los documentos tipo a las disposiciones del Decreto</w:t>
      </w:r>
      <w:r w:rsidRPr="008D1D26">
        <w:rPr>
          <w:rFonts w:ascii="Arial" w:eastAsia="Arial" w:hAnsi="Arial" w:cs="Arial"/>
          <w:lang w:val="es-ES" w:eastAsia="es-CO"/>
        </w:rPr>
        <w:t>.</w:t>
      </w:r>
      <w:r>
        <w:rPr>
          <w:rFonts w:ascii="Arial" w:eastAsia="Arial" w:hAnsi="Arial" w:cs="Arial"/>
          <w:lang w:val="es-ES" w:eastAsia="es-CO"/>
        </w:rPr>
        <w:t xml:space="preserve"> En este sentido, hasta que la adecuación no ocurra</w:t>
      </w:r>
      <w:r w:rsidRPr="008D1D26">
        <w:rPr>
          <w:rFonts w:ascii="Arial" w:eastAsia="Arial" w:hAnsi="Arial" w:cs="Arial"/>
          <w:lang w:val="es-ES" w:eastAsia="es-CO"/>
        </w:rPr>
        <w:t xml:space="preserve"> se continuarán aplicando los instrumentos y </w:t>
      </w:r>
      <w:r w:rsidRPr="008D1D26">
        <w:rPr>
          <w:rFonts w:ascii="Arial" w:eastAsia="Arial" w:hAnsi="Arial" w:cs="Arial"/>
          <w:lang w:eastAsia="es-MX"/>
        </w:rPr>
        <w:t>las normas vigentes anteriores a la expedición del</w:t>
      </w:r>
      <w:r>
        <w:rPr>
          <w:rFonts w:ascii="Arial" w:eastAsia="Arial" w:hAnsi="Arial" w:cs="Arial"/>
          <w:lang w:eastAsia="es-MX"/>
        </w:rPr>
        <w:t xml:space="preserve"> reglamento, conforme a la regulación contenida en los Documentos Tipo vigentes.</w:t>
      </w:r>
    </w:p>
    <w:p w14:paraId="5758BEDF" w14:textId="77777777" w:rsidR="006C5583" w:rsidRDefault="006C5583" w:rsidP="006C5583">
      <w:pPr>
        <w:spacing w:after="120" w:line="276" w:lineRule="auto"/>
        <w:ind w:firstLine="708"/>
        <w:jc w:val="both"/>
        <w:rPr>
          <w:rFonts w:ascii="Arial" w:eastAsia="Arial" w:hAnsi="Arial" w:cs="Arial"/>
          <w:lang w:val="es-ES" w:eastAsia="es-CO"/>
        </w:rPr>
      </w:pPr>
      <w:r w:rsidRPr="00B31310">
        <w:rPr>
          <w:rFonts w:ascii="Arial" w:eastAsia="Arial" w:hAnsi="Arial" w:cs="Arial"/>
          <w:lang w:val="es-ES" w:eastAsia="es-CO"/>
        </w:rPr>
        <w:t xml:space="preserve">Sin perjuicio de lo anterior, el segundo inciso del parágrafo señala una regla distinta en relación con la </w:t>
      </w:r>
      <w:proofErr w:type="gramStart"/>
      <w:r w:rsidRPr="00B31310">
        <w:rPr>
          <w:rFonts w:ascii="Arial" w:eastAsia="Arial" w:hAnsi="Arial" w:cs="Arial"/>
          <w:lang w:val="es-ES" w:eastAsia="es-CO"/>
        </w:rPr>
        <w:t>entrada en vigencia</w:t>
      </w:r>
      <w:proofErr w:type="gramEnd"/>
      <w:r w:rsidRPr="00B31310">
        <w:rPr>
          <w:rFonts w:ascii="Arial" w:eastAsia="Arial" w:hAnsi="Arial" w:cs="Arial"/>
          <w:lang w:val="es-ES" w:eastAsia="es-CO"/>
        </w:rPr>
        <w:t xml:space="preserve"> del artículo 5 del reglamento</w:t>
      </w:r>
      <w:r>
        <w:rPr>
          <w:rFonts w:ascii="Arial" w:eastAsia="Arial" w:hAnsi="Arial" w:cs="Arial"/>
          <w:lang w:val="es-ES" w:eastAsia="es-CO"/>
        </w:rPr>
        <w:t>, en relación con los procesos regidos por documentos tipo</w:t>
      </w:r>
      <w:r w:rsidRPr="00B31310">
        <w:rPr>
          <w:rFonts w:ascii="Arial" w:eastAsia="Arial" w:hAnsi="Arial" w:cs="Arial"/>
          <w:lang w:val="es-ES" w:eastAsia="es-CO"/>
        </w:rPr>
        <w:t xml:space="preserve">. </w:t>
      </w:r>
      <w:r>
        <w:rPr>
          <w:rFonts w:ascii="Arial" w:eastAsia="Arial" w:hAnsi="Arial" w:cs="Arial"/>
          <w:lang w:val="es-ES" w:eastAsia="es-CO"/>
        </w:rPr>
        <w:t xml:space="preserve">De esta forma se previó que este entrará a regir </w:t>
      </w:r>
      <w:r w:rsidRPr="002C1B8D">
        <w:rPr>
          <w:rFonts w:ascii="Arial" w:eastAsia="Arial" w:hAnsi="Arial" w:cs="Arial"/>
          <w:lang w:val="es-ES" w:eastAsia="es-CO"/>
        </w:rPr>
        <w:t xml:space="preserve">en aquellos </w:t>
      </w:r>
      <w:r>
        <w:rPr>
          <w:rFonts w:ascii="Arial" w:eastAsia="Arial" w:hAnsi="Arial" w:cs="Arial"/>
          <w:lang w:val="es-ES" w:eastAsia="es-CO"/>
        </w:rPr>
        <w:t>procesos</w:t>
      </w:r>
      <w:r w:rsidRPr="002C1B8D">
        <w:rPr>
          <w:rFonts w:ascii="Arial" w:eastAsia="Arial" w:hAnsi="Arial" w:cs="Arial"/>
          <w:lang w:val="es-ES" w:eastAsia="es-CO"/>
        </w:rPr>
        <w:t xml:space="preserve"> en los que </w:t>
      </w:r>
      <w:r w:rsidRPr="002C1B8D">
        <w:rPr>
          <w:rFonts w:ascii="Arial" w:hAnsi="Arial" w:cs="Arial"/>
        </w:rPr>
        <w:t>la</w:t>
      </w:r>
      <w:r w:rsidRPr="00B31310">
        <w:rPr>
          <w:rFonts w:ascii="Arial" w:hAnsi="Arial" w:cs="Arial"/>
        </w:rPr>
        <w:t xml:space="preserve"> publicación del aviso de convocatoria o </w:t>
      </w:r>
      <w:r w:rsidRPr="00B31310">
        <w:rPr>
          <w:rFonts w:ascii="Arial" w:eastAsia="Arial" w:hAnsi="Arial" w:cs="Arial"/>
          <w:lang w:val="es-ES" w:eastAsia="es-CO"/>
        </w:rPr>
        <w:t>la invitación −según corresponda−, se realice a los tres (3) meses de la expedición del</w:t>
      </w:r>
      <w:r>
        <w:rPr>
          <w:rFonts w:ascii="Arial" w:eastAsia="Arial" w:hAnsi="Arial" w:cs="Arial"/>
          <w:lang w:val="es-ES" w:eastAsia="es-CO"/>
        </w:rPr>
        <w:t xml:space="preserve"> Decreto</w:t>
      </w:r>
      <w:r w:rsidRPr="00B31310">
        <w:rPr>
          <w:rFonts w:ascii="Arial" w:eastAsia="Arial" w:hAnsi="Arial" w:cs="Arial"/>
          <w:lang w:val="es-ES" w:eastAsia="es-CO"/>
        </w:rPr>
        <w:t>.</w:t>
      </w:r>
    </w:p>
    <w:p w14:paraId="029F43E3" w14:textId="77777777" w:rsidR="006C5583" w:rsidRDefault="006C5583" w:rsidP="006C5583">
      <w:pPr>
        <w:spacing w:after="120" w:line="276" w:lineRule="auto"/>
        <w:ind w:firstLine="708"/>
        <w:jc w:val="both"/>
        <w:rPr>
          <w:rFonts w:ascii="Arial" w:eastAsia="Times New Roman" w:hAnsi="Arial" w:cs="Arial"/>
          <w:color w:val="000000" w:themeColor="text1"/>
          <w:lang w:eastAsia="es-MX"/>
        </w:rPr>
      </w:pPr>
      <w:r>
        <w:rPr>
          <w:rFonts w:ascii="Arial" w:eastAsia="Times New Roman" w:hAnsi="Arial" w:cs="Arial"/>
          <w:color w:val="000000" w:themeColor="text1"/>
          <w:lang w:eastAsia="es-MX"/>
        </w:rPr>
        <w:t xml:space="preserve">Conforme con el contenido del parágrafo, la </w:t>
      </w:r>
      <w:proofErr w:type="gramStart"/>
      <w:r>
        <w:rPr>
          <w:rFonts w:ascii="Arial" w:eastAsia="Times New Roman" w:hAnsi="Arial" w:cs="Arial"/>
          <w:color w:val="000000" w:themeColor="text1"/>
          <w:lang w:eastAsia="es-MX"/>
        </w:rPr>
        <w:t>entrada en vigencia</w:t>
      </w:r>
      <w:proofErr w:type="gramEnd"/>
      <w:r>
        <w:rPr>
          <w:rFonts w:ascii="Arial" w:eastAsia="Times New Roman" w:hAnsi="Arial" w:cs="Arial"/>
          <w:color w:val="000000" w:themeColor="text1"/>
          <w:lang w:eastAsia="es-MX"/>
        </w:rPr>
        <w:t xml:space="preserve"> del Decreto 1860 de 2021, en relación con los procesos contractuales regidos documentos tipo, dependerá de si se trata del artículo 5 del Decreto o de cualquier otro. De esta forma, en el primer supuesto, </w:t>
      </w:r>
      <w:r>
        <w:rPr>
          <w:rFonts w:ascii="Arial" w:eastAsia="Arial" w:hAnsi="Arial" w:cs="Arial"/>
          <w:lang w:val="es-ES" w:eastAsia="es-CO"/>
        </w:rPr>
        <w:t>t</w:t>
      </w:r>
      <w:r w:rsidRPr="00B31310">
        <w:rPr>
          <w:rFonts w:ascii="Arial" w:eastAsia="Arial" w:hAnsi="Arial" w:cs="Arial"/>
          <w:lang w:val="es-ES" w:eastAsia="es-CO"/>
        </w:rPr>
        <w:t xml:space="preserve">eniendo en cuenta que el Decreto fue expedido el 24 de diciembre de 2021, las disposiciones contenidas en el artículo 5 </w:t>
      </w:r>
      <w:r>
        <w:rPr>
          <w:rFonts w:ascii="Arial" w:eastAsia="Arial" w:hAnsi="Arial" w:cs="Arial"/>
          <w:lang w:val="es-ES" w:eastAsia="es-CO"/>
        </w:rPr>
        <w:t xml:space="preserve">relacionadas con la limitación a </w:t>
      </w:r>
      <w:proofErr w:type="spellStart"/>
      <w:r>
        <w:rPr>
          <w:rFonts w:ascii="Arial" w:eastAsia="Arial" w:hAnsi="Arial" w:cs="Arial"/>
          <w:lang w:val="es-ES" w:eastAsia="es-CO"/>
        </w:rPr>
        <w:t>Mipymes</w:t>
      </w:r>
      <w:proofErr w:type="spellEnd"/>
      <w:r>
        <w:rPr>
          <w:rFonts w:ascii="Arial" w:eastAsia="Arial" w:hAnsi="Arial" w:cs="Arial"/>
          <w:lang w:val="es-ES" w:eastAsia="es-CO"/>
        </w:rPr>
        <w:t xml:space="preserve">, </w:t>
      </w:r>
      <w:r w:rsidRPr="00B31310">
        <w:rPr>
          <w:rFonts w:ascii="Arial" w:eastAsia="Arial" w:hAnsi="Arial" w:cs="Arial"/>
          <w:lang w:val="es-ES" w:eastAsia="es-CO"/>
        </w:rPr>
        <w:t xml:space="preserve">son obligatorias desde </w:t>
      </w:r>
      <w:r w:rsidRPr="00B31310">
        <w:rPr>
          <w:rFonts w:ascii="Arial" w:hAnsi="Arial" w:cs="Arial"/>
        </w:rPr>
        <w:t>el 24 de marzo de 2022</w:t>
      </w:r>
      <w:r>
        <w:rPr>
          <w:rFonts w:ascii="Arial" w:hAnsi="Arial" w:cs="Arial"/>
        </w:rPr>
        <w:t>.</w:t>
      </w:r>
      <w:r>
        <w:rPr>
          <w:rFonts w:ascii="Arial" w:eastAsia="Times New Roman" w:hAnsi="Arial" w:cs="Arial"/>
          <w:color w:val="000000" w:themeColor="text1"/>
          <w:lang w:eastAsia="es-MX"/>
        </w:rPr>
        <w:t xml:space="preserve"> No obstante, si se trata de los otros artículos del Decreto, su </w:t>
      </w:r>
      <w:proofErr w:type="gramStart"/>
      <w:r>
        <w:rPr>
          <w:rFonts w:ascii="Arial" w:eastAsia="Times New Roman" w:hAnsi="Arial" w:cs="Arial"/>
          <w:color w:val="000000" w:themeColor="text1"/>
          <w:lang w:eastAsia="es-MX"/>
        </w:rPr>
        <w:t>entrada en vigencia</w:t>
      </w:r>
      <w:proofErr w:type="gramEnd"/>
      <w:r>
        <w:rPr>
          <w:rFonts w:ascii="Arial" w:eastAsia="Times New Roman" w:hAnsi="Arial" w:cs="Arial"/>
          <w:color w:val="000000" w:themeColor="text1"/>
          <w:lang w:eastAsia="es-MX"/>
        </w:rPr>
        <w:t xml:space="preserve"> está condicionada a la modificación de los documentos tipo por parte de la Agencia Nacional de Contratación Pública – Colombia Compra Eficiente.</w:t>
      </w:r>
    </w:p>
    <w:p w14:paraId="32FC0AE5" w14:textId="1656D7C9" w:rsidR="006C5583" w:rsidRDefault="006C5583" w:rsidP="006C5583">
      <w:pPr>
        <w:spacing w:after="120"/>
        <w:ind w:firstLine="709"/>
        <w:jc w:val="both"/>
        <w:rPr>
          <w:rFonts w:ascii="Arial" w:hAnsi="Arial" w:cs="Arial"/>
        </w:rPr>
      </w:pPr>
      <w:r>
        <w:rPr>
          <w:rFonts w:ascii="Arial" w:eastAsia="Times New Roman" w:hAnsi="Arial" w:cs="Arial"/>
          <w:color w:val="000000" w:themeColor="text1"/>
          <w:lang w:eastAsia="es-MX"/>
        </w:rPr>
        <w:t xml:space="preserve">Este último supuesto, es el caso del </w:t>
      </w:r>
      <w:r w:rsidRPr="00322504">
        <w:rPr>
          <w:rFonts w:ascii="Arial" w:eastAsia="Times New Roman" w:hAnsi="Arial" w:cs="Arial"/>
          <w:color w:val="000000" w:themeColor="text1"/>
          <w:lang w:eastAsia="es-MX"/>
        </w:rPr>
        <w:t xml:space="preserve">artículo 3 del Decreto 1860 de 2021, que adicionó </w:t>
      </w:r>
      <w:r w:rsidRPr="00322504">
        <w:rPr>
          <w:rFonts w:ascii="Arial" w:eastAsia="Times New Roman" w:hAnsi="Arial" w:cs="Arial"/>
          <w:bCs/>
          <w:color w:val="000000" w:themeColor="text1"/>
          <w:lang w:eastAsia="es-MX"/>
        </w:rPr>
        <w:t xml:space="preserve">el artículo </w:t>
      </w:r>
      <w:r w:rsidRPr="00322504">
        <w:rPr>
          <w:rFonts w:ascii="Arial" w:eastAsia="Times New Roman" w:hAnsi="Arial" w:cs="Arial"/>
          <w:bCs/>
          <w:color w:val="000000" w:themeColor="text1"/>
          <w:szCs w:val="24"/>
          <w:lang w:eastAsia="es-MX"/>
        </w:rPr>
        <w:t>2.2.1.2.4.2.15</w:t>
      </w:r>
      <w:r w:rsidRPr="00E10E70">
        <w:rPr>
          <w:rFonts w:ascii="Arial" w:eastAsia="Times New Roman" w:hAnsi="Arial" w:cs="Arial"/>
          <w:bCs/>
          <w:color w:val="000000" w:themeColor="text1"/>
          <w:szCs w:val="24"/>
          <w:lang w:eastAsia="es-MX"/>
        </w:rPr>
        <w:t xml:space="preserve"> y </w:t>
      </w:r>
      <w:r w:rsidRPr="00322504">
        <w:rPr>
          <w:rFonts w:ascii="Arial" w:eastAsia="Times New Roman" w:hAnsi="Arial" w:cs="Arial"/>
          <w:bCs/>
          <w:color w:val="000000" w:themeColor="text1"/>
          <w:lang w:eastAsia="es-MX"/>
        </w:rPr>
        <w:t xml:space="preserve">2.2.1.2.4.2.18 al </w:t>
      </w:r>
      <w:r w:rsidRPr="00322504">
        <w:rPr>
          <w:rFonts w:ascii="Arial" w:eastAsia="Times New Roman" w:hAnsi="Arial" w:cs="Arial"/>
          <w:lang w:eastAsia="es-MX"/>
        </w:rPr>
        <w:t>Decreto 1082 de 2015</w:t>
      </w:r>
      <w:r w:rsidRPr="00E10E70">
        <w:rPr>
          <w:rFonts w:ascii="Arial" w:eastAsia="Times New Roman" w:hAnsi="Arial" w:cs="Arial"/>
          <w:lang w:eastAsia="es-MX"/>
        </w:rPr>
        <w:t xml:space="preserve">, en los que se establecen </w:t>
      </w:r>
      <w:r>
        <w:rPr>
          <w:rFonts w:ascii="Arial" w:eastAsia="Times New Roman" w:hAnsi="Arial" w:cs="Arial"/>
          <w:lang w:eastAsia="es-MX"/>
        </w:rPr>
        <w:t>−</w:t>
      </w:r>
      <w:r w:rsidRPr="00E10E70">
        <w:rPr>
          <w:rFonts w:ascii="Arial" w:eastAsia="Times New Roman" w:hAnsi="Arial" w:cs="Arial"/>
          <w:lang w:eastAsia="es-MX"/>
        </w:rPr>
        <w:t>respectivamente</w:t>
      </w:r>
      <w:r>
        <w:rPr>
          <w:rFonts w:ascii="Arial" w:eastAsia="Times New Roman" w:hAnsi="Arial" w:cs="Arial"/>
          <w:lang w:eastAsia="es-MX"/>
        </w:rPr>
        <w:t>−</w:t>
      </w:r>
      <w:r w:rsidRPr="00E10E70">
        <w:rPr>
          <w:rFonts w:ascii="Arial" w:eastAsia="Times New Roman" w:hAnsi="Arial" w:cs="Arial"/>
          <w:lang w:eastAsia="es-MX"/>
        </w:rPr>
        <w:t xml:space="preserve"> </w:t>
      </w:r>
      <w:r w:rsidRPr="00322504">
        <w:rPr>
          <w:rFonts w:ascii="Arial" w:eastAsia="Times New Roman" w:hAnsi="Arial" w:cs="Arial"/>
          <w:color w:val="000000" w:themeColor="text1"/>
          <w:szCs w:val="24"/>
          <w:lang w:eastAsia="es-MX"/>
        </w:rPr>
        <w:t xml:space="preserve">criterios diferenciales a favor de empresas y </w:t>
      </w:r>
      <w:r w:rsidRPr="00E10E70">
        <w:rPr>
          <w:rFonts w:ascii="Arial" w:eastAsia="Times New Roman" w:hAnsi="Arial" w:cs="Arial"/>
          <w:color w:val="000000" w:themeColor="text1"/>
          <w:szCs w:val="24"/>
          <w:lang w:eastAsia="es-MX"/>
        </w:rPr>
        <w:t>e</w:t>
      </w:r>
      <w:r w:rsidRPr="00322504">
        <w:rPr>
          <w:rFonts w:ascii="Arial" w:eastAsia="Times New Roman" w:hAnsi="Arial" w:cs="Arial"/>
          <w:color w:val="000000" w:themeColor="text1"/>
          <w:szCs w:val="24"/>
          <w:lang w:eastAsia="es-MX"/>
        </w:rPr>
        <w:t>mprendimientos de mujere</w:t>
      </w:r>
      <w:r w:rsidRPr="00E10E70">
        <w:rPr>
          <w:rFonts w:ascii="Arial" w:eastAsia="Times New Roman" w:hAnsi="Arial" w:cs="Arial"/>
          <w:color w:val="000000" w:themeColor="text1"/>
          <w:szCs w:val="24"/>
          <w:lang w:eastAsia="es-MX"/>
        </w:rPr>
        <w:t xml:space="preserve">s y </w:t>
      </w:r>
      <w:r w:rsidRPr="00322504">
        <w:rPr>
          <w:rFonts w:ascii="Arial" w:eastAsia="Times New Roman" w:hAnsi="Arial" w:cs="Arial"/>
          <w:lang w:eastAsia="es-MX"/>
        </w:rPr>
        <w:t xml:space="preserve">criterios diferenciales para </w:t>
      </w:r>
      <w:proofErr w:type="spellStart"/>
      <w:r w:rsidRPr="00322504">
        <w:rPr>
          <w:rFonts w:ascii="Arial" w:eastAsia="Times New Roman" w:hAnsi="Arial" w:cs="Arial"/>
          <w:lang w:eastAsia="es-MX"/>
        </w:rPr>
        <w:t>Mipyme</w:t>
      </w:r>
      <w:proofErr w:type="spellEnd"/>
      <w:r w:rsidRPr="00322504">
        <w:rPr>
          <w:rFonts w:ascii="Arial" w:eastAsia="Times New Roman" w:hAnsi="Arial" w:cs="Arial"/>
          <w:lang w:eastAsia="es-MX"/>
        </w:rPr>
        <w:t xml:space="preserve"> en el sistema de compras públicas</w:t>
      </w:r>
      <w:r>
        <w:rPr>
          <w:rFonts w:ascii="Arial" w:eastAsia="Times New Roman" w:hAnsi="Arial" w:cs="Arial"/>
          <w:lang w:eastAsia="es-MX"/>
        </w:rPr>
        <w:t xml:space="preserve">. De esta forma, su </w:t>
      </w:r>
      <w:proofErr w:type="gramStart"/>
      <w:r>
        <w:rPr>
          <w:rFonts w:ascii="Arial" w:eastAsia="Times New Roman" w:hAnsi="Arial" w:cs="Arial"/>
          <w:lang w:eastAsia="es-MX"/>
        </w:rPr>
        <w:t>entrada en vigencia</w:t>
      </w:r>
      <w:proofErr w:type="gramEnd"/>
      <w:r>
        <w:rPr>
          <w:rFonts w:ascii="Arial" w:eastAsia="Times New Roman" w:hAnsi="Arial" w:cs="Arial"/>
          <w:lang w:eastAsia="es-MX"/>
        </w:rPr>
        <w:t xml:space="preserve"> está supeditada a que la Agencia realice su incorporación en los </w:t>
      </w:r>
      <w:r w:rsidRPr="00E10E70">
        <w:rPr>
          <w:rFonts w:ascii="Arial" w:eastAsia="Arial" w:hAnsi="Arial" w:cs="Arial"/>
          <w:lang w:val="es-ES" w:eastAsia="es-CO"/>
        </w:rPr>
        <w:t>documentos tipo</w:t>
      </w:r>
      <w:r>
        <w:rPr>
          <w:rFonts w:ascii="Arial" w:hAnsi="Arial" w:cs="Arial"/>
        </w:rPr>
        <w:t>.</w:t>
      </w:r>
    </w:p>
    <w:p w14:paraId="2E54D849" w14:textId="2DB3D06D" w:rsidR="007D5E76" w:rsidRDefault="009957AB" w:rsidP="00954CF7">
      <w:pPr>
        <w:spacing w:after="120" w:line="276" w:lineRule="auto"/>
        <w:ind w:firstLine="708"/>
        <w:jc w:val="both"/>
        <w:rPr>
          <w:rFonts w:ascii="Arial" w:hAnsi="Arial" w:cs="Arial"/>
          <w:lang w:val="es-ES"/>
        </w:rPr>
      </w:pPr>
      <w:r>
        <w:rPr>
          <w:rFonts w:ascii="Arial" w:hAnsi="Arial" w:cs="Arial"/>
        </w:rPr>
        <w:t>Así las cosas, a</w:t>
      </w:r>
      <w:r w:rsidR="00B2727B">
        <w:rPr>
          <w:rFonts w:ascii="Arial" w:hAnsi="Arial" w:cs="Arial"/>
        </w:rPr>
        <w:t xml:space="preserve">tendiendo al mandato contenido en el </w:t>
      </w:r>
      <w:r w:rsidR="008127F1">
        <w:rPr>
          <w:rFonts w:ascii="Arial" w:hAnsi="Arial" w:cs="Arial"/>
        </w:rPr>
        <w:t>inciso segundo del parágrafo del artículo 8 del Decreto 1860 de 2021, la Agencia Nacional de Contratación Pública – Colombia Compra Eficiente expidió la Resolución 275 del 24 de junio de 202</w:t>
      </w:r>
      <w:r w:rsidR="00456617">
        <w:rPr>
          <w:rFonts w:ascii="Arial" w:hAnsi="Arial" w:cs="Arial"/>
        </w:rPr>
        <w:t>2</w:t>
      </w:r>
      <w:r w:rsidR="008127F1">
        <w:rPr>
          <w:rFonts w:ascii="Arial" w:hAnsi="Arial" w:cs="Arial"/>
        </w:rPr>
        <w:t xml:space="preserve"> </w:t>
      </w:r>
      <w:r w:rsidR="00BB4F0F" w:rsidRPr="00EE4086">
        <w:rPr>
          <w:rFonts w:ascii="Arial" w:hAnsi="Arial" w:cs="Arial"/>
          <w:i/>
          <w:iCs/>
          <w:lang w:val="es-ES"/>
        </w:rPr>
        <w:t>«</w:t>
      </w:r>
      <w:r w:rsidR="00BB4F0F" w:rsidRPr="0065729D">
        <w:rPr>
          <w:rFonts w:ascii="Arial" w:hAnsi="Arial" w:cs="Arial"/>
          <w:i/>
          <w:iCs/>
        </w:rPr>
        <w:t xml:space="preserve">Por la cual se modifican los documentos tipo adoptados por la Agencia Nacional de </w:t>
      </w:r>
      <w:r w:rsidR="00BB4F0F" w:rsidRPr="0065729D">
        <w:rPr>
          <w:rFonts w:ascii="Arial" w:hAnsi="Arial" w:cs="Arial"/>
          <w:i/>
          <w:iCs/>
        </w:rPr>
        <w:lastRenderedPageBreak/>
        <w:t>Contratación Pública − Colombia Compra Eficiente</w:t>
      </w:r>
      <w:r w:rsidR="00BB4F0F" w:rsidRPr="00EE4086">
        <w:rPr>
          <w:rFonts w:ascii="Arial" w:hAnsi="Arial" w:cs="Arial"/>
          <w:i/>
          <w:iCs/>
          <w:lang w:val="es-ES"/>
        </w:rPr>
        <w:t>»</w:t>
      </w:r>
      <w:r w:rsidR="00C9018A">
        <w:rPr>
          <w:rStyle w:val="Refdenotaalpie"/>
          <w:rFonts w:ascii="Arial" w:hAnsi="Arial" w:cs="Arial"/>
          <w:i/>
          <w:iCs/>
          <w:lang w:val="es-ES"/>
        </w:rPr>
        <w:footnoteReference w:id="10"/>
      </w:r>
      <w:r w:rsidR="00CF766C">
        <w:rPr>
          <w:rFonts w:ascii="Arial" w:hAnsi="Arial" w:cs="Arial"/>
          <w:i/>
          <w:iCs/>
          <w:lang w:val="es-ES"/>
        </w:rPr>
        <w:t xml:space="preserve">. </w:t>
      </w:r>
      <w:r w:rsidR="000D08E9">
        <w:rPr>
          <w:rFonts w:ascii="Arial" w:hAnsi="Arial" w:cs="Arial"/>
          <w:lang w:val="es-ES"/>
        </w:rPr>
        <w:t>De esa forma, mediante la</w:t>
      </w:r>
      <w:r w:rsidR="00A40EB7">
        <w:rPr>
          <w:rFonts w:ascii="Arial" w:hAnsi="Arial" w:cs="Arial"/>
          <w:lang w:val="es-ES"/>
        </w:rPr>
        <w:t xml:space="preserve"> citada resolución, se modificaron los </w:t>
      </w:r>
      <w:r w:rsidR="000D08E9">
        <w:rPr>
          <w:rFonts w:ascii="Arial" w:hAnsi="Arial" w:cs="Arial"/>
          <w:lang w:val="es-ES"/>
        </w:rPr>
        <w:t xml:space="preserve">documentos tipo </w:t>
      </w:r>
      <w:r w:rsidR="00A40EB7">
        <w:rPr>
          <w:rFonts w:ascii="Arial" w:hAnsi="Arial" w:cs="Arial"/>
          <w:lang w:val="es-ES"/>
        </w:rPr>
        <w:t>p</w:t>
      </w:r>
      <w:r w:rsidR="00A40EB7" w:rsidRPr="0065729D">
        <w:rPr>
          <w:rFonts w:ascii="Arial" w:hAnsi="Arial" w:cs="Arial"/>
          <w:lang w:val="es-ES"/>
        </w:rPr>
        <w:t>ara proyectos de obra pública de infraestructura de transporte adelantados bajo la modalidad de licitación pública</w:t>
      </w:r>
      <w:r w:rsidR="007F29B0">
        <w:rPr>
          <w:rFonts w:ascii="Arial" w:hAnsi="Arial" w:cs="Arial"/>
          <w:lang w:val="es-ES"/>
        </w:rPr>
        <w:t xml:space="preserve">, </w:t>
      </w:r>
      <w:r w:rsidR="00A40EB7" w:rsidRPr="0065729D">
        <w:rPr>
          <w:rFonts w:ascii="Arial" w:hAnsi="Arial" w:cs="Arial"/>
          <w:lang w:val="es-ES"/>
        </w:rPr>
        <w:t>de selección abreviada de menor cuantía</w:t>
      </w:r>
      <w:r w:rsidR="007F29B0">
        <w:rPr>
          <w:rFonts w:ascii="Arial" w:hAnsi="Arial" w:cs="Arial"/>
          <w:lang w:val="es-ES"/>
        </w:rPr>
        <w:t xml:space="preserve">, de </w:t>
      </w:r>
      <w:r w:rsidR="00A40EB7" w:rsidRPr="0065729D">
        <w:rPr>
          <w:rFonts w:ascii="Arial" w:hAnsi="Arial" w:cs="Arial"/>
          <w:lang w:val="es-ES"/>
        </w:rPr>
        <w:t>consultoría de estudios de ingeniería de infraestructura de transporte</w:t>
      </w:r>
      <w:r w:rsidR="007F29B0">
        <w:rPr>
          <w:rFonts w:ascii="Arial" w:hAnsi="Arial" w:cs="Arial"/>
          <w:lang w:val="es-ES"/>
        </w:rPr>
        <w:t>,</w:t>
      </w:r>
      <w:r w:rsidR="00A40EB7" w:rsidRPr="0065729D">
        <w:rPr>
          <w:rFonts w:ascii="Arial" w:hAnsi="Arial" w:cs="Arial"/>
          <w:lang w:val="es-ES"/>
        </w:rPr>
        <w:t xml:space="preserve"> de licitación de obra pública para proyectos de agua potable y saneamiento básico y su modalidad de llave en mano y los documentos tipo de licitación de obra pública de infraestructura social</w:t>
      </w:r>
      <w:r w:rsidR="00EC66D7">
        <w:rPr>
          <w:rFonts w:ascii="Arial" w:hAnsi="Arial" w:cs="Arial"/>
          <w:lang w:val="es-ES"/>
        </w:rPr>
        <w:t>, con ocasión a la expedición del Decreto 1860 de 2021 y la Ley 2069 del 2020.</w:t>
      </w:r>
    </w:p>
    <w:p w14:paraId="436F8A41" w14:textId="126A2BFD" w:rsidR="00774FB8" w:rsidRDefault="00AF21E4" w:rsidP="003767F5">
      <w:pPr>
        <w:autoSpaceDE w:val="0"/>
        <w:autoSpaceDN w:val="0"/>
        <w:adjustRightInd w:val="0"/>
        <w:spacing w:after="120" w:line="276" w:lineRule="auto"/>
        <w:jc w:val="both"/>
        <w:rPr>
          <w:rFonts w:ascii="Arial" w:hAnsi="Arial" w:cs="Arial"/>
        </w:rPr>
      </w:pPr>
      <w:r>
        <w:rPr>
          <w:rFonts w:ascii="Arial" w:hAnsi="Arial" w:cs="Arial"/>
          <w:lang w:val="es-ES"/>
        </w:rPr>
        <w:tab/>
      </w:r>
      <w:r w:rsidR="00456617" w:rsidRPr="00954CF7">
        <w:rPr>
          <w:rFonts w:ascii="Arial" w:hAnsi="Arial" w:cs="Arial"/>
          <w:lang w:val="es-ES"/>
        </w:rPr>
        <w:t xml:space="preserve">Ahora bien, en cuanto a la vigencia de la Resolución 275 de 2022, el artículo </w:t>
      </w:r>
      <w:r w:rsidR="00954CF7" w:rsidRPr="00954CF7">
        <w:rPr>
          <w:rFonts w:ascii="Arial" w:hAnsi="Arial" w:cs="Arial"/>
          <w:lang w:val="es-ES"/>
        </w:rPr>
        <w:t xml:space="preserve">179 dispuso que </w:t>
      </w:r>
      <w:r w:rsidR="00954CF7" w:rsidRPr="00954CF7">
        <w:rPr>
          <w:rFonts w:ascii="Arial" w:hAnsi="Arial" w:cs="Arial"/>
        </w:rPr>
        <w:t>esta «[…]</w:t>
      </w:r>
      <w:r w:rsidR="001D38BB">
        <w:rPr>
          <w:rFonts w:ascii="Arial" w:hAnsi="Arial" w:cs="Arial"/>
        </w:rPr>
        <w:t xml:space="preserve"> </w:t>
      </w:r>
      <w:r w:rsidR="00456617" w:rsidRPr="00954CF7">
        <w:rPr>
          <w:rFonts w:ascii="Arial" w:hAnsi="Arial" w:cs="Arial"/>
        </w:rPr>
        <w:t>rige a partir de su publicación y aplicará a los Procesos de Contratación cuyo aviso de convocatoria se publique a partir del 29 de agosto de 2022</w:t>
      </w:r>
      <w:r w:rsidR="00954CF7" w:rsidRPr="00954CF7">
        <w:rPr>
          <w:rFonts w:ascii="Arial" w:hAnsi="Arial" w:cs="Arial"/>
        </w:rPr>
        <w:t>»</w:t>
      </w:r>
      <w:r w:rsidR="00456617" w:rsidRPr="00954CF7">
        <w:rPr>
          <w:rFonts w:ascii="Arial" w:hAnsi="Arial" w:cs="Arial"/>
        </w:rPr>
        <w:t xml:space="preserve">. </w:t>
      </w:r>
      <w:r w:rsidR="003767F5">
        <w:rPr>
          <w:rFonts w:ascii="Arial" w:hAnsi="Arial" w:cs="Arial"/>
        </w:rPr>
        <w:t xml:space="preserve">De esta forma, la entidad estatal </w:t>
      </w:r>
      <w:r w:rsidR="00F5310E">
        <w:rPr>
          <w:rFonts w:ascii="Arial" w:hAnsi="Arial" w:cs="Arial"/>
        </w:rPr>
        <w:t>que pretenda adelantar un proceso de selección mediante la utilización de los documentos tipo de licitación de obra pública de infraestructura social</w:t>
      </w:r>
      <w:r w:rsidR="00E45F6A">
        <w:rPr>
          <w:rFonts w:ascii="Arial" w:hAnsi="Arial" w:cs="Arial"/>
        </w:rPr>
        <w:t>, asociados a los sectores salud</w:t>
      </w:r>
      <w:r w:rsidR="00F3743D">
        <w:rPr>
          <w:rFonts w:ascii="Arial" w:hAnsi="Arial" w:cs="Arial"/>
        </w:rPr>
        <w:t>;</w:t>
      </w:r>
      <w:r w:rsidR="00E45F6A">
        <w:rPr>
          <w:rFonts w:ascii="Arial" w:hAnsi="Arial" w:cs="Arial"/>
        </w:rPr>
        <w:t xml:space="preserve"> educativo</w:t>
      </w:r>
      <w:r w:rsidR="00F3743D">
        <w:rPr>
          <w:rFonts w:ascii="Arial" w:hAnsi="Arial" w:cs="Arial"/>
        </w:rPr>
        <w:t>;</w:t>
      </w:r>
      <w:r w:rsidR="00E45F6A">
        <w:rPr>
          <w:rFonts w:ascii="Arial" w:hAnsi="Arial" w:cs="Arial"/>
        </w:rPr>
        <w:t xml:space="preserve"> y cultura, recreación y deporte, </w:t>
      </w:r>
      <w:r w:rsidR="003767F5">
        <w:rPr>
          <w:rFonts w:ascii="Arial" w:hAnsi="Arial" w:cs="Arial"/>
        </w:rPr>
        <w:t xml:space="preserve">estarán obligadas a </w:t>
      </w:r>
      <w:r w:rsidR="00D120D8">
        <w:rPr>
          <w:rFonts w:ascii="Arial" w:hAnsi="Arial" w:cs="Arial"/>
        </w:rPr>
        <w:t>aplicar las modificaciones realizadas mediante la Resolución 275 de 2022</w:t>
      </w:r>
      <w:r w:rsidR="00F275F0">
        <w:rPr>
          <w:rFonts w:ascii="Arial" w:hAnsi="Arial" w:cs="Arial"/>
        </w:rPr>
        <w:t>,</w:t>
      </w:r>
      <w:r w:rsidR="00D120D8">
        <w:rPr>
          <w:rFonts w:ascii="Arial" w:hAnsi="Arial" w:cs="Arial"/>
        </w:rPr>
        <w:t xml:space="preserve"> </w:t>
      </w:r>
      <w:r w:rsidR="003767F5">
        <w:rPr>
          <w:rFonts w:ascii="Arial" w:hAnsi="Arial" w:cs="Arial"/>
        </w:rPr>
        <w:t xml:space="preserve">si la publicación del aviso de convocatoria se realiza a partir </w:t>
      </w:r>
      <w:r w:rsidR="00F275F0">
        <w:rPr>
          <w:rFonts w:ascii="Arial" w:hAnsi="Arial" w:cs="Arial"/>
        </w:rPr>
        <w:t>d</w:t>
      </w:r>
      <w:r w:rsidR="00774FB8">
        <w:rPr>
          <w:rFonts w:ascii="Arial" w:hAnsi="Arial" w:cs="Arial"/>
        </w:rPr>
        <w:t>el 29 de agosto de 2022</w:t>
      </w:r>
      <w:r w:rsidR="00D120D8">
        <w:rPr>
          <w:rFonts w:ascii="Arial" w:hAnsi="Arial" w:cs="Arial"/>
        </w:rPr>
        <w:t>.</w:t>
      </w:r>
    </w:p>
    <w:p w14:paraId="422C88FF" w14:textId="3DA071C2" w:rsidR="003767F5" w:rsidRPr="000F6C95" w:rsidRDefault="00C15B83" w:rsidP="00F90F5D">
      <w:pPr>
        <w:autoSpaceDE w:val="0"/>
        <w:autoSpaceDN w:val="0"/>
        <w:adjustRightInd w:val="0"/>
        <w:spacing w:after="0" w:line="276" w:lineRule="auto"/>
        <w:ind w:firstLine="708"/>
        <w:jc w:val="both"/>
        <w:rPr>
          <w:rFonts w:ascii="Arial" w:eastAsia="Times New Roman" w:hAnsi="Arial" w:cs="Arial"/>
          <w:lang w:eastAsia="es-CO"/>
        </w:rPr>
      </w:pPr>
      <w:r>
        <w:rPr>
          <w:rFonts w:ascii="Arial" w:hAnsi="Arial" w:cs="Arial"/>
        </w:rPr>
        <w:t xml:space="preserve">Lo anterior </w:t>
      </w:r>
      <w:r w:rsidR="003767F5">
        <w:rPr>
          <w:rFonts w:ascii="Arial" w:hAnsi="Arial" w:cs="Arial"/>
        </w:rPr>
        <w:t xml:space="preserve">significa que </w:t>
      </w:r>
      <w:r w:rsidR="003767F5">
        <w:rPr>
          <w:rFonts w:ascii="Arial" w:eastAsia="Times New Roman" w:hAnsi="Arial" w:cs="Arial"/>
          <w:lang w:eastAsia="es-CO"/>
        </w:rPr>
        <w:t>si la entidad estatal</w:t>
      </w:r>
      <w:r w:rsidR="003767F5" w:rsidRPr="000F6C95">
        <w:rPr>
          <w:rFonts w:ascii="Arial" w:eastAsia="Times New Roman" w:hAnsi="Arial" w:cs="Arial"/>
          <w:lang w:eastAsia="es-CO"/>
        </w:rPr>
        <w:t xml:space="preserve"> </w:t>
      </w:r>
      <w:r w:rsidR="003767F5">
        <w:rPr>
          <w:rFonts w:ascii="Arial" w:eastAsia="Times New Roman" w:hAnsi="Arial" w:cs="Arial"/>
          <w:lang w:eastAsia="es-CO"/>
        </w:rPr>
        <w:t xml:space="preserve">publica </w:t>
      </w:r>
      <w:r w:rsidR="003767F5" w:rsidRPr="000F6C95">
        <w:rPr>
          <w:rFonts w:ascii="Arial" w:eastAsia="Times New Roman" w:hAnsi="Arial" w:cs="Arial"/>
          <w:lang w:eastAsia="es-CO"/>
        </w:rPr>
        <w:t xml:space="preserve">su aviso de convocatoria a partir de la fecha </w:t>
      </w:r>
      <w:r w:rsidR="003767F5">
        <w:rPr>
          <w:rFonts w:ascii="Arial" w:eastAsia="Times New Roman" w:hAnsi="Arial" w:cs="Arial"/>
          <w:lang w:eastAsia="es-CO"/>
        </w:rPr>
        <w:t xml:space="preserve">allí </w:t>
      </w:r>
      <w:r w:rsidR="003767F5" w:rsidRPr="000F6C95">
        <w:rPr>
          <w:rFonts w:ascii="Arial" w:eastAsia="Times New Roman" w:hAnsi="Arial" w:cs="Arial"/>
          <w:lang w:eastAsia="es-CO"/>
        </w:rPr>
        <w:t>determinada</w:t>
      </w:r>
      <w:r w:rsidR="003767F5">
        <w:rPr>
          <w:rFonts w:ascii="Arial" w:eastAsia="Times New Roman" w:hAnsi="Arial" w:cs="Arial"/>
          <w:lang w:eastAsia="es-CO"/>
        </w:rPr>
        <w:t xml:space="preserve"> </w:t>
      </w:r>
      <w:r w:rsidR="003767F5" w:rsidRPr="000F6C95">
        <w:rPr>
          <w:rFonts w:ascii="Arial" w:eastAsia="Times New Roman" w:hAnsi="Arial" w:cs="Arial"/>
          <w:lang w:eastAsia="es-CO"/>
        </w:rPr>
        <w:t>estaría obligada</w:t>
      </w:r>
      <w:r w:rsidR="003767F5">
        <w:rPr>
          <w:rFonts w:ascii="Arial" w:eastAsia="Times New Roman" w:hAnsi="Arial" w:cs="Arial"/>
          <w:lang w:eastAsia="es-CO"/>
        </w:rPr>
        <w:t xml:space="preserve"> </w:t>
      </w:r>
      <w:r w:rsidR="003767F5" w:rsidRPr="000F6C95">
        <w:rPr>
          <w:rFonts w:ascii="Arial" w:eastAsia="Times New Roman" w:hAnsi="Arial" w:cs="Arial"/>
          <w:lang w:eastAsia="es-CO"/>
        </w:rPr>
        <w:t>a utilizar los documentos tipo</w:t>
      </w:r>
      <w:r w:rsidR="003767F5">
        <w:rPr>
          <w:rFonts w:ascii="Arial" w:eastAsia="Times New Roman" w:hAnsi="Arial" w:cs="Arial"/>
          <w:lang w:eastAsia="es-CO"/>
        </w:rPr>
        <w:t xml:space="preserve"> de infraestructura social, particularmente, en los procesos de selección cuyo objeto consista en </w:t>
      </w:r>
      <w:r w:rsidR="003767F5">
        <w:rPr>
          <w:rFonts w:ascii="Arial" w:eastAsia="Times New Roman" w:hAnsi="Arial" w:cs="Arial"/>
          <w:color w:val="000000"/>
        </w:rPr>
        <w:t xml:space="preserve">realizar la </w:t>
      </w:r>
      <w:r w:rsidR="003767F5">
        <w:rPr>
          <w:rFonts w:ascii="Arial" w:hAnsi="Arial" w:cs="Arial"/>
        </w:rPr>
        <w:t>contratación de obras públicas en los sectores de educación</w:t>
      </w:r>
      <w:r w:rsidR="00D120D8">
        <w:rPr>
          <w:rFonts w:ascii="Arial" w:hAnsi="Arial" w:cs="Arial"/>
        </w:rPr>
        <w:t>;</w:t>
      </w:r>
      <w:r w:rsidR="003767F5">
        <w:rPr>
          <w:rFonts w:ascii="Arial" w:hAnsi="Arial" w:cs="Arial"/>
        </w:rPr>
        <w:t xml:space="preserve"> salud</w:t>
      </w:r>
      <w:r w:rsidR="00D120D8">
        <w:rPr>
          <w:rFonts w:ascii="Arial" w:hAnsi="Arial" w:cs="Arial"/>
        </w:rPr>
        <w:t>;</w:t>
      </w:r>
      <w:r w:rsidR="003767F5">
        <w:rPr>
          <w:rFonts w:ascii="Arial" w:hAnsi="Arial" w:cs="Arial"/>
        </w:rPr>
        <w:t xml:space="preserve"> y cultura, recreación y deporte</w:t>
      </w:r>
      <w:r w:rsidR="00C30FB7">
        <w:rPr>
          <w:rFonts w:ascii="Arial" w:hAnsi="Arial" w:cs="Arial"/>
        </w:rPr>
        <w:t>, con las modificaciones contenidas en la Resolución 275 de 2022.</w:t>
      </w:r>
      <w:r w:rsidR="003767F5" w:rsidRPr="00BC0F9B">
        <w:rPr>
          <w:rFonts w:ascii="Arial" w:hAnsi="Arial" w:cs="Arial"/>
        </w:rPr>
        <w:t xml:space="preserve"> </w:t>
      </w:r>
      <w:r w:rsidR="003767F5">
        <w:rPr>
          <w:rFonts w:ascii="Arial" w:eastAsia="Times New Roman" w:hAnsi="Arial" w:cs="Arial"/>
          <w:lang w:eastAsia="es-CO"/>
        </w:rPr>
        <w:t xml:space="preserve">Por el contrario, en los procesos de contratación cuyo aviso de convocatoria se publique antes de la </w:t>
      </w:r>
      <w:r w:rsidR="003767F5">
        <w:rPr>
          <w:rFonts w:ascii="Arial" w:hAnsi="Arial" w:cs="Arial"/>
        </w:rPr>
        <w:t>fecha señalada</w:t>
      </w:r>
      <w:r w:rsidR="00F6452F">
        <w:rPr>
          <w:rFonts w:ascii="Arial" w:hAnsi="Arial" w:cs="Arial"/>
        </w:rPr>
        <w:t xml:space="preserve">, </w:t>
      </w:r>
      <w:r w:rsidR="003767F5">
        <w:rPr>
          <w:rFonts w:ascii="Arial" w:hAnsi="Arial" w:cs="Arial"/>
        </w:rPr>
        <w:t xml:space="preserve">la entidad estatal no </w:t>
      </w:r>
      <w:r w:rsidR="003767F5">
        <w:rPr>
          <w:rFonts w:ascii="Arial" w:eastAsia="Times New Roman" w:hAnsi="Arial" w:cs="Arial"/>
          <w:lang w:eastAsia="es-CO"/>
        </w:rPr>
        <w:t xml:space="preserve">estaría obligada a utilizar estos documentos tipo </w:t>
      </w:r>
      <w:r w:rsidR="00F6452F">
        <w:rPr>
          <w:rFonts w:ascii="Arial" w:eastAsia="Times New Roman" w:hAnsi="Arial" w:cs="Arial"/>
          <w:lang w:eastAsia="es-CO"/>
        </w:rPr>
        <w:t xml:space="preserve">con las </w:t>
      </w:r>
      <w:r w:rsidR="00231A0F">
        <w:rPr>
          <w:rFonts w:ascii="Arial" w:eastAsia="Times New Roman" w:hAnsi="Arial" w:cs="Arial"/>
          <w:lang w:eastAsia="es-CO"/>
        </w:rPr>
        <w:t>modificaciones contenidas</w:t>
      </w:r>
      <w:r w:rsidR="00F6452F">
        <w:rPr>
          <w:rFonts w:ascii="Arial" w:eastAsia="Times New Roman" w:hAnsi="Arial" w:cs="Arial"/>
          <w:lang w:eastAsia="es-CO"/>
        </w:rPr>
        <w:t xml:space="preserve"> en la citada resolución</w:t>
      </w:r>
      <w:r w:rsidR="00D120D8">
        <w:rPr>
          <w:rFonts w:ascii="Arial" w:eastAsia="Times New Roman" w:hAnsi="Arial" w:cs="Arial"/>
          <w:lang w:eastAsia="es-CO"/>
        </w:rPr>
        <w:t>; sino los vigentes</w:t>
      </w:r>
      <w:r w:rsidR="00F275F0">
        <w:rPr>
          <w:rFonts w:ascii="Arial" w:eastAsia="Times New Roman" w:hAnsi="Arial" w:cs="Arial"/>
          <w:lang w:eastAsia="es-CO"/>
        </w:rPr>
        <w:t xml:space="preserve"> antes de la expedición de la Resolución 275 de 2022, sin que tenga que realizar alguna modificación a los pliegos de condiciones.</w:t>
      </w:r>
      <w:r w:rsidR="003767F5">
        <w:rPr>
          <w:rFonts w:ascii="Arial" w:eastAsia="Times New Roman" w:hAnsi="Arial" w:cs="Arial"/>
          <w:lang w:eastAsia="es-CO"/>
        </w:rPr>
        <w:t xml:space="preserve"> </w:t>
      </w:r>
    </w:p>
    <w:bookmarkEnd w:id="6"/>
    <w:p w14:paraId="43308393" w14:textId="77777777" w:rsidR="008D3390" w:rsidRPr="008D3390" w:rsidRDefault="008D3390" w:rsidP="00F90F5D">
      <w:pPr>
        <w:spacing w:after="0" w:line="276" w:lineRule="auto"/>
        <w:ind w:firstLine="709"/>
        <w:jc w:val="both"/>
        <w:rPr>
          <w:rFonts w:ascii="Arial" w:eastAsia="Times New Roman" w:hAnsi="Arial" w:cs="Arial"/>
          <w:color w:val="0D0D0D"/>
          <w:szCs w:val="24"/>
          <w:bdr w:val="none" w:sz="0" w:space="0" w:color="auto" w:frame="1"/>
          <w:lang w:eastAsia="es-CO"/>
        </w:rPr>
      </w:pPr>
    </w:p>
    <w:p w14:paraId="37347CBD" w14:textId="76A9AD40" w:rsidR="008D3390" w:rsidRDefault="008D3390" w:rsidP="00A12E1F">
      <w:pPr>
        <w:spacing w:after="0" w:line="276" w:lineRule="auto"/>
        <w:jc w:val="both"/>
        <w:rPr>
          <w:rFonts w:ascii="Arial" w:eastAsia="Times New Roman" w:hAnsi="Arial" w:cs="Arial"/>
          <w:b/>
          <w:bCs/>
          <w:lang w:eastAsia="es-MX"/>
        </w:rPr>
      </w:pPr>
      <w:r w:rsidRPr="008D3390">
        <w:rPr>
          <w:rFonts w:ascii="Arial" w:eastAsia="Times New Roman" w:hAnsi="Arial" w:cs="Arial"/>
          <w:b/>
          <w:bCs/>
          <w:lang w:eastAsia="es-MX"/>
        </w:rPr>
        <w:t xml:space="preserve">3. Respuesta: </w:t>
      </w:r>
    </w:p>
    <w:p w14:paraId="66685E2B" w14:textId="77777777" w:rsidR="00A12E1F" w:rsidRPr="008D3390" w:rsidRDefault="00A12E1F" w:rsidP="00A12E1F">
      <w:pPr>
        <w:spacing w:after="0" w:line="276" w:lineRule="auto"/>
        <w:jc w:val="both"/>
        <w:rPr>
          <w:rFonts w:ascii="Arial" w:eastAsia="Times New Roman" w:hAnsi="Arial" w:cs="Arial"/>
          <w:b/>
          <w:bCs/>
          <w:lang w:eastAsia="es-MX"/>
        </w:rPr>
      </w:pPr>
    </w:p>
    <w:p w14:paraId="73A22C6F" w14:textId="77777777" w:rsidR="008D3390" w:rsidRPr="008D3390" w:rsidRDefault="008D3390" w:rsidP="00A12E1F">
      <w:pPr>
        <w:spacing w:after="0" w:line="240" w:lineRule="auto"/>
        <w:ind w:left="709" w:right="709"/>
        <w:jc w:val="both"/>
        <w:rPr>
          <w:rFonts w:ascii="Arial" w:hAnsi="Arial" w:cs="Arial"/>
          <w:sz w:val="16"/>
          <w:szCs w:val="16"/>
        </w:rPr>
      </w:pPr>
    </w:p>
    <w:p w14:paraId="1431E95F" w14:textId="4C9A5B5E" w:rsidR="00F90F5D" w:rsidRDefault="00F90F5D" w:rsidP="00FE0699">
      <w:pPr>
        <w:pStyle w:val="Prrafodelista"/>
        <w:numPr>
          <w:ilvl w:val="0"/>
          <w:numId w:val="4"/>
        </w:numPr>
        <w:spacing w:after="0" w:line="240" w:lineRule="auto"/>
        <w:ind w:left="709" w:right="709" w:firstLine="0"/>
        <w:contextualSpacing w:val="0"/>
        <w:jc w:val="both"/>
        <w:rPr>
          <w:rFonts w:ascii="Arial" w:hAnsi="Arial" w:cs="Arial"/>
          <w:sz w:val="21"/>
          <w:szCs w:val="21"/>
        </w:rPr>
      </w:pPr>
      <w:r w:rsidRPr="007C3E49">
        <w:rPr>
          <w:rFonts w:ascii="Arial" w:hAnsi="Arial" w:cs="Arial"/>
          <w:sz w:val="21"/>
          <w:szCs w:val="21"/>
        </w:rPr>
        <w:t>«¿podría adelantar un proceso de selección de licitación de obra pública de educación con los pliegos diseños por el ente territorial, mientras Colombia Compra adecua los pliegos tipo con las nuevas condición evaluación en cumplimiento de su propia normativa?» y</w:t>
      </w:r>
    </w:p>
    <w:p w14:paraId="551FBA7A" w14:textId="77777777" w:rsidR="00CB24DE" w:rsidRDefault="00CB24DE" w:rsidP="00A12E1F">
      <w:pPr>
        <w:spacing w:after="0" w:line="276" w:lineRule="auto"/>
        <w:jc w:val="both"/>
        <w:rPr>
          <w:rFonts w:ascii="Arial" w:eastAsia="Calibri" w:hAnsi="Arial" w:cs="Arial"/>
          <w:szCs w:val="24"/>
          <w:lang w:eastAsia="en-GB"/>
        </w:rPr>
      </w:pPr>
    </w:p>
    <w:p w14:paraId="602C5CDD" w14:textId="29709B53" w:rsidR="00CB24DE" w:rsidRPr="00CB24DE" w:rsidRDefault="00CB24DE" w:rsidP="00340D2E">
      <w:pPr>
        <w:spacing w:after="0" w:line="276" w:lineRule="auto"/>
        <w:jc w:val="both"/>
        <w:rPr>
          <w:rFonts w:ascii="Arial" w:eastAsia="Calibri" w:hAnsi="Arial" w:cs="Arial"/>
          <w:szCs w:val="24"/>
          <w:lang w:eastAsia="en-GB"/>
        </w:rPr>
      </w:pPr>
      <w:r w:rsidRPr="00CB24DE">
        <w:rPr>
          <w:rFonts w:ascii="Arial" w:eastAsia="Calibri" w:hAnsi="Arial" w:cs="Arial"/>
          <w:szCs w:val="24"/>
          <w:lang w:eastAsia="en-GB"/>
        </w:rPr>
        <w:t xml:space="preserve">Ley 2022 de 2020 señala que los documentos tipo adoptados por la Agencia Nacional de Contratación Pública son de </w:t>
      </w:r>
      <w:r w:rsidRPr="00CB24DE">
        <w:rPr>
          <w:rFonts w:ascii="Arial" w:eastAsia="Calibri" w:hAnsi="Arial" w:cs="Arial"/>
          <w:i/>
          <w:szCs w:val="24"/>
          <w:lang w:eastAsia="en-GB"/>
        </w:rPr>
        <w:t>obligatorio</w:t>
      </w:r>
      <w:r w:rsidRPr="00CB24DE">
        <w:rPr>
          <w:rFonts w:ascii="Arial" w:eastAsia="Calibri" w:hAnsi="Arial" w:cs="Arial"/>
          <w:szCs w:val="24"/>
          <w:lang w:eastAsia="en-GB"/>
        </w:rPr>
        <w:t xml:space="preserve"> cumplimiento por todas las entidades </w:t>
      </w:r>
      <w:r w:rsidRPr="00CB24DE">
        <w:rPr>
          <w:rFonts w:ascii="Arial" w:eastAsia="Calibri" w:hAnsi="Arial" w:cs="Arial"/>
          <w:szCs w:val="24"/>
          <w:lang w:eastAsia="en-GB"/>
        </w:rPr>
        <w:lastRenderedPageBreak/>
        <w:t>públicas, cuyo régimen de contratación sea el Estatuto General de la Contratación de la Administración Pública ‒EGCAP‒. Esta obligatoriedad implica que las entidades estatales tengan que adelantar los procesos de contratación bajo las condiciones establecidas en los documentos tipo que rijan para el objeto a contratar, sin que puedan variarse los requisitos fijados en ellos. Lo anterior, por cuanto los documentos tipo se caracterizan por ser inalterables, es decir, que las entidades públicas carecen de la facultad de modificarlos, con excepción de aquellos aspectos que pueden diligenciar, es decir, las descripciones que están incluidas entre corchetes y resaltadas en gris en cada uno de los documentos tipo</w:t>
      </w:r>
      <w:r w:rsidR="000E0AD4">
        <w:rPr>
          <w:rFonts w:ascii="Arial" w:eastAsia="Calibri" w:hAnsi="Arial" w:cs="Arial"/>
          <w:szCs w:val="24"/>
          <w:lang w:eastAsia="en-GB"/>
        </w:rPr>
        <w:t xml:space="preserve"> o en lugares en que expresamente los documentos tipo admitan su modificación.</w:t>
      </w:r>
    </w:p>
    <w:p w14:paraId="20F3707D" w14:textId="77777777" w:rsidR="00CB24DE" w:rsidRPr="00CB24DE" w:rsidRDefault="00CB24DE" w:rsidP="00CB24DE">
      <w:pPr>
        <w:spacing w:before="120" w:after="120" w:line="276" w:lineRule="auto"/>
        <w:ind w:firstLine="708"/>
        <w:jc w:val="both"/>
        <w:rPr>
          <w:rFonts w:ascii="Arial" w:eastAsia="Calibri" w:hAnsi="Arial" w:cs="Arial"/>
          <w:color w:val="000000"/>
          <w:szCs w:val="24"/>
          <w:lang w:val="es-ES_tradnl" w:eastAsia="en-GB"/>
        </w:rPr>
      </w:pPr>
      <w:r w:rsidRPr="00CB24DE">
        <w:rPr>
          <w:rFonts w:ascii="Arial" w:eastAsia="Calibri" w:hAnsi="Arial" w:cs="Arial"/>
          <w:color w:val="000000"/>
          <w:szCs w:val="24"/>
          <w:lang w:eastAsia="en-GB"/>
        </w:rPr>
        <w:t>Esta es una regla que está consagrada en la</w:t>
      </w:r>
      <w:r w:rsidRPr="00CB24DE">
        <w:rPr>
          <w:rFonts w:ascii="Arial" w:eastAsia="Calibri" w:hAnsi="Arial" w:cs="Arial"/>
          <w:color w:val="000000"/>
          <w:szCs w:val="24"/>
          <w:lang w:val="es-ES_tradnl" w:eastAsia="en-GB"/>
        </w:rPr>
        <w:t xml:space="preserve">s resoluciones expedidas por la Agencia Nacional de Contratación Pública – Colombia Compra Eficiente, mediante las cuales se han adoptado los distintos documentos. Por ello, la inalterabilidad es una prohibición que consiste en que las entidades estatales no pueden incluir o modificar en los </w:t>
      </w:r>
      <w:r w:rsidRPr="00CB24DE">
        <w:rPr>
          <w:rFonts w:ascii="Arial" w:eastAsia="Calibri" w:hAnsi="Arial" w:cs="Arial"/>
          <w:i/>
          <w:iCs/>
          <w:color w:val="000000"/>
          <w:szCs w:val="24"/>
          <w:lang w:val="es-ES_tradnl" w:eastAsia="en-GB"/>
        </w:rPr>
        <w:t>Documentos del Proceso</w:t>
      </w:r>
      <w:r w:rsidRPr="00CB24DE">
        <w:rPr>
          <w:rFonts w:ascii="Arial" w:eastAsia="Calibri" w:hAnsi="Arial" w:cs="Arial"/>
          <w:color w:val="000000"/>
          <w:szCs w:val="24"/>
          <w:lang w:val="es-ES_tradnl" w:eastAsia="en-GB"/>
        </w:rPr>
        <w:t xml:space="preserve"> las condiciones habilitantes, los factores técnicos y económicos de escogencia y los sistemas de ponderación distintos a los señalados en los documentos tipo.  </w:t>
      </w:r>
    </w:p>
    <w:p w14:paraId="362F3BF6" w14:textId="01E67E6B" w:rsidR="00CB24DE" w:rsidRPr="00CB24DE" w:rsidRDefault="00CB24DE" w:rsidP="00CB24DE">
      <w:pPr>
        <w:spacing w:after="0" w:line="276" w:lineRule="auto"/>
        <w:ind w:firstLine="708"/>
        <w:jc w:val="both"/>
        <w:rPr>
          <w:rFonts w:ascii="Arial" w:eastAsia="Calibri" w:hAnsi="Arial" w:cs="Arial"/>
          <w:color w:val="000000"/>
          <w:szCs w:val="24"/>
          <w:lang w:val="es-ES_tradnl" w:eastAsia="en-GB"/>
        </w:rPr>
      </w:pPr>
      <w:r w:rsidRPr="00CB24DE">
        <w:rPr>
          <w:rFonts w:ascii="Arial" w:eastAsia="Calibri" w:hAnsi="Arial" w:cs="Arial"/>
          <w:color w:val="000000"/>
          <w:szCs w:val="24"/>
          <w:lang w:val="es-ES_tradnl" w:eastAsia="en-GB"/>
        </w:rPr>
        <w:t>En consecuencia, las condiciones establecidas en los documentos tipo son de obligatorio cumplimiento para las entidades sometidas al Estatuto General de Contratación de la Administración Pública que adelanten procesos que deban regirse por su contenido, y su alcance y ámbito de aplicación está definido en las resoluciones que los adoptan.</w:t>
      </w:r>
    </w:p>
    <w:p w14:paraId="58B0091A" w14:textId="77777777" w:rsidR="006C35DE" w:rsidRPr="006C35DE" w:rsidRDefault="006C35DE" w:rsidP="006C35DE">
      <w:pPr>
        <w:spacing w:after="120" w:line="240" w:lineRule="auto"/>
        <w:ind w:right="709"/>
        <w:jc w:val="both"/>
        <w:rPr>
          <w:rFonts w:ascii="Arial" w:hAnsi="Arial" w:cs="Arial"/>
          <w:sz w:val="21"/>
          <w:szCs w:val="21"/>
        </w:rPr>
      </w:pPr>
    </w:p>
    <w:p w14:paraId="59D2A5D8" w14:textId="6FEDB6CB" w:rsidR="00F90F5D" w:rsidRDefault="00F90F5D" w:rsidP="00FE0699">
      <w:pPr>
        <w:pStyle w:val="Prrafodelista"/>
        <w:numPr>
          <w:ilvl w:val="0"/>
          <w:numId w:val="4"/>
        </w:numPr>
        <w:spacing w:after="0" w:line="240" w:lineRule="auto"/>
        <w:ind w:left="709" w:right="709" w:firstLine="0"/>
        <w:contextualSpacing w:val="0"/>
        <w:jc w:val="both"/>
        <w:rPr>
          <w:rFonts w:ascii="Arial" w:hAnsi="Arial" w:cs="Arial"/>
          <w:sz w:val="21"/>
          <w:szCs w:val="21"/>
        </w:rPr>
      </w:pPr>
      <w:r w:rsidRPr="007C3E49">
        <w:rPr>
          <w:rFonts w:ascii="Arial" w:hAnsi="Arial" w:cs="Arial"/>
          <w:sz w:val="21"/>
          <w:szCs w:val="21"/>
        </w:rPr>
        <w:t xml:space="preserve">«De no ser posible, ¿cuál sería la forma correcta de emplear el pliego tipo e incorporar las nuevas órdenes imperativas para evaluar las condiciones diferenciales de </w:t>
      </w:r>
      <w:proofErr w:type="spellStart"/>
      <w:r w:rsidRPr="007C3E49">
        <w:rPr>
          <w:rFonts w:ascii="Arial" w:hAnsi="Arial" w:cs="Arial"/>
          <w:sz w:val="21"/>
          <w:szCs w:val="21"/>
        </w:rPr>
        <w:t>Mipymes</w:t>
      </w:r>
      <w:proofErr w:type="spellEnd"/>
      <w:r w:rsidRPr="007C3E49">
        <w:rPr>
          <w:rFonts w:ascii="Arial" w:hAnsi="Arial" w:cs="Arial"/>
          <w:sz w:val="21"/>
          <w:szCs w:val="21"/>
        </w:rPr>
        <w:t xml:space="preserve"> y emprendimiento de mujeres para llevar a cabo el proceso contractual?»</w:t>
      </w:r>
    </w:p>
    <w:p w14:paraId="0D8A88C1" w14:textId="77777777" w:rsidR="00AC38F3" w:rsidRPr="007C3E49" w:rsidRDefault="00AC38F3" w:rsidP="00AC38F3">
      <w:pPr>
        <w:pStyle w:val="Prrafodelista"/>
        <w:spacing w:after="0" w:line="240" w:lineRule="auto"/>
        <w:ind w:left="1429" w:right="709"/>
        <w:contextualSpacing w:val="0"/>
        <w:jc w:val="both"/>
        <w:rPr>
          <w:rFonts w:ascii="Arial" w:hAnsi="Arial" w:cs="Arial"/>
          <w:sz w:val="21"/>
          <w:szCs w:val="21"/>
        </w:rPr>
      </w:pPr>
    </w:p>
    <w:p w14:paraId="712CD175" w14:textId="1496E212" w:rsidR="00AC38F3" w:rsidRPr="00AC38F3" w:rsidRDefault="00AC38F3" w:rsidP="00340D2E">
      <w:pPr>
        <w:spacing w:after="120" w:line="276" w:lineRule="auto"/>
        <w:jc w:val="both"/>
        <w:rPr>
          <w:rFonts w:ascii="Arial" w:hAnsi="Arial" w:cs="Arial"/>
        </w:rPr>
      </w:pPr>
      <w:r w:rsidRPr="00AC38F3">
        <w:rPr>
          <w:rFonts w:ascii="Arial" w:hAnsi="Arial" w:cs="Arial"/>
        </w:rPr>
        <w:t xml:space="preserve">Para aplicar las disposiciones contenidas en el Decreto 1860 de 2021, el artículo 8 de dicho decreto estableció el momento a partir del cual sus disposiciones surtirían efectos. De esta forma, se estableció que estas aplicarán a los procesos de selección cuya invitación, aviso de convocatoria o documento equivalente –según corresponda–, se publique después de los tres (3) meses de su expedición. </w:t>
      </w:r>
    </w:p>
    <w:p w14:paraId="5F6C6AC4" w14:textId="77777777" w:rsidR="00AC38F3" w:rsidRPr="00AC38F3" w:rsidRDefault="00AC38F3" w:rsidP="006755B5">
      <w:pPr>
        <w:spacing w:after="120" w:line="276" w:lineRule="auto"/>
        <w:ind w:firstLine="708"/>
        <w:jc w:val="both"/>
        <w:rPr>
          <w:rFonts w:ascii="Arial" w:hAnsi="Arial" w:cs="Arial"/>
        </w:rPr>
      </w:pPr>
      <w:r w:rsidRPr="00AC38F3">
        <w:rPr>
          <w:rFonts w:ascii="Arial" w:hAnsi="Arial" w:cs="Arial"/>
        </w:rPr>
        <w:t xml:space="preserve">No obstante, en relación con los procesos de contratación que se rijan por los Documentos Tipo, en el parágrafo del artículo se dispuso que las disposiciones contenidas en el Decreto no se aplicarían a dichos procesos hasta que la Agencia Nacional de Contratación Pública − Colombia Compra Eficiente incorpore en estos documentos las modificaciones pertinentes. Para el efecto, se señaló que la Agencia tendría un plazo de seis (6) meses contados a partir de la expedición del reglamento para adecuar los documentos tipo a las disposiciones del Decreto. En este sentido, hasta que la adecuación no ocurra se continuarán aplicando los instrumentos y las </w:t>
      </w:r>
      <w:r w:rsidRPr="00AC38F3">
        <w:rPr>
          <w:rFonts w:ascii="Arial" w:hAnsi="Arial" w:cs="Arial"/>
        </w:rPr>
        <w:lastRenderedPageBreak/>
        <w:t>normas vigentes anteriores a la expedición del reglamento, conforme a la regulación contenida en los Documentos Tipo vigentes.</w:t>
      </w:r>
    </w:p>
    <w:p w14:paraId="5D48C561" w14:textId="77777777" w:rsidR="00AC38F3" w:rsidRPr="00AC38F3" w:rsidRDefault="00AC38F3" w:rsidP="006755B5">
      <w:pPr>
        <w:spacing w:after="120" w:line="276" w:lineRule="auto"/>
        <w:ind w:firstLine="708"/>
        <w:jc w:val="both"/>
        <w:rPr>
          <w:rFonts w:ascii="Arial" w:hAnsi="Arial" w:cs="Arial"/>
        </w:rPr>
      </w:pPr>
      <w:r w:rsidRPr="00AC38F3">
        <w:rPr>
          <w:rFonts w:ascii="Arial" w:hAnsi="Arial" w:cs="Arial"/>
        </w:rPr>
        <w:t xml:space="preserve">Sin perjuicio de lo anterior, el segundo inciso del parágrafo señala una regla distinta en relación con la </w:t>
      </w:r>
      <w:proofErr w:type="gramStart"/>
      <w:r w:rsidRPr="00AC38F3">
        <w:rPr>
          <w:rFonts w:ascii="Arial" w:hAnsi="Arial" w:cs="Arial"/>
        </w:rPr>
        <w:t>entrada en vigencia</w:t>
      </w:r>
      <w:proofErr w:type="gramEnd"/>
      <w:r w:rsidRPr="00AC38F3">
        <w:rPr>
          <w:rFonts w:ascii="Arial" w:hAnsi="Arial" w:cs="Arial"/>
        </w:rPr>
        <w:t xml:space="preserve"> del artículo 5 del reglamento, en relación con los procesos regidos por documentos tipo. De esta forma se previó que este entrará a regir en aquellos procesos en los que la publicación del aviso de convocatoria o la invitación −según corresponda−, se realice a los tres (3) meses de la expedición del Decreto.</w:t>
      </w:r>
    </w:p>
    <w:p w14:paraId="4BC914D2" w14:textId="77777777" w:rsidR="00AC38F3" w:rsidRPr="00AC38F3" w:rsidRDefault="00AC38F3" w:rsidP="006755B5">
      <w:pPr>
        <w:spacing w:after="120" w:line="276" w:lineRule="auto"/>
        <w:ind w:firstLine="708"/>
        <w:jc w:val="both"/>
        <w:rPr>
          <w:rFonts w:ascii="Arial" w:hAnsi="Arial" w:cs="Arial"/>
        </w:rPr>
      </w:pPr>
      <w:r w:rsidRPr="00AC38F3">
        <w:rPr>
          <w:rFonts w:ascii="Arial" w:hAnsi="Arial" w:cs="Arial"/>
        </w:rPr>
        <w:t xml:space="preserve">Conforme con el contenido del parágrafo, la </w:t>
      </w:r>
      <w:proofErr w:type="gramStart"/>
      <w:r w:rsidRPr="00AC38F3">
        <w:rPr>
          <w:rFonts w:ascii="Arial" w:hAnsi="Arial" w:cs="Arial"/>
        </w:rPr>
        <w:t>entrada en vigencia</w:t>
      </w:r>
      <w:proofErr w:type="gramEnd"/>
      <w:r w:rsidRPr="00AC38F3">
        <w:rPr>
          <w:rFonts w:ascii="Arial" w:hAnsi="Arial" w:cs="Arial"/>
        </w:rPr>
        <w:t xml:space="preserve"> del Decreto 1860 de 2021, en relación con los procesos contractuales regidos documentos tipo, dependerá de si se trata del artículo 5 del Decreto o de cualquier otro. De esta forma, en el primer supuesto, teniendo en cuenta que el Decreto fue expedido el 24 de diciembre de 2021, las disposiciones contenidas en el artículo 5 relacionadas con la limitación a </w:t>
      </w:r>
      <w:proofErr w:type="spellStart"/>
      <w:r w:rsidRPr="00AC38F3">
        <w:rPr>
          <w:rFonts w:ascii="Arial" w:hAnsi="Arial" w:cs="Arial"/>
        </w:rPr>
        <w:t>Mipymes</w:t>
      </w:r>
      <w:proofErr w:type="spellEnd"/>
      <w:r w:rsidRPr="00AC38F3">
        <w:rPr>
          <w:rFonts w:ascii="Arial" w:hAnsi="Arial" w:cs="Arial"/>
        </w:rPr>
        <w:t xml:space="preserve">, son obligatorias desde el 24 de marzo de 2022. No obstante, si se trata de los otros artículos del Decreto, su </w:t>
      </w:r>
      <w:proofErr w:type="gramStart"/>
      <w:r w:rsidRPr="00AC38F3">
        <w:rPr>
          <w:rFonts w:ascii="Arial" w:hAnsi="Arial" w:cs="Arial"/>
        </w:rPr>
        <w:t>entrada en vigencia</w:t>
      </w:r>
      <w:proofErr w:type="gramEnd"/>
      <w:r w:rsidRPr="00AC38F3">
        <w:rPr>
          <w:rFonts w:ascii="Arial" w:hAnsi="Arial" w:cs="Arial"/>
        </w:rPr>
        <w:t xml:space="preserve"> está condicionada a la modificación de los documentos tipo por parte de la Agencia Nacional de Contratación Pública – Colombia Compra Eficiente.</w:t>
      </w:r>
    </w:p>
    <w:p w14:paraId="3120D10E" w14:textId="7C309C6B" w:rsidR="008D3390" w:rsidRPr="00F90F5D" w:rsidRDefault="00AC38F3" w:rsidP="006755B5">
      <w:pPr>
        <w:spacing w:after="120" w:line="276" w:lineRule="auto"/>
        <w:ind w:firstLine="708"/>
        <w:jc w:val="both"/>
        <w:rPr>
          <w:rFonts w:ascii="Arial" w:hAnsi="Arial" w:cs="Arial"/>
        </w:rPr>
      </w:pPr>
      <w:r w:rsidRPr="00AC38F3">
        <w:rPr>
          <w:rFonts w:ascii="Arial" w:hAnsi="Arial" w:cs="Arial"/>
        </w:rPr>
        <w:t xml:space="preserve">Este último supuesto, es el caso del artículo 3 del Decreto 1860 de 2021, que adicionó el artículo 2.2.1.2.4.2.15 y 2.2.1.2.4.2.18 al Decreto 1082 de 2015, en los que se establecen −respectivamente− criterios diferenciales a favor de empresas y emprendimientos de mujeres y criterios diferenciales para </w:t>
      </w:r>
      <w:proofErr w:type="spellStart"/>
      <w:r w:rsidRPr="00AC38F3">
        <w:rPr>
          <w:rFonts w:ascii="Arial" w:hAnsi="Arial" w:cs="Arial"/>
        </w:rPr>
        <w:t>Mipyme</w:t>
      </w:r>
      <w:proofErr w:type="spellEnd"/>
      <w:r w:rsidRPr="00AC38F3">
        <w:rPr>
          <w:rFonts w:ascii="Arial" w:hAnsi="Arial" w:cs="Arial"/>
        </w:rPr>
        <w:t xml:space="preserve"> en el sistema de compras públicas. De esta forma, su </w:t>
      </w:r>
      <w:proofErr w:type="gramStart"/>
      <w:r w:rsidRPr="00AC38F3">
        <w:rPr>
          <w:rFonts w:ascii="Arial" w:hAnsi="Arial" w:cs="Arial"/>
        </w:rPr>
        <w:t>entrada en vigencia</w:t>
      </w:r>
      <w:proofErr w:type="gramEnd"/>
      <w:r w:rsidRPr="00AC38F3">
        <w:rPr>
          <w:rFonts w:ascii="Arial" w:hAnsi="Arial" w:cs="Arial"/>
        </w:rPr>
        <w:t xml:space="preserve"> está supeditada a que la Agencia realice su incorporación en los documentos tipo.</w:t>
      </w:r>
    </w:p>
    <w:p w14:paraId="0FD0CA81" w14:textId="39C95D6D" w:rsidR="006755B5" w:rsidRDefault="006755B5" w:rsidP="006755B5">
      <w:pPr>
        <w:spacing w:after="120" w:line="276" w:lineRule="auto"/>
        <w:ind w:firstLine="708"/>
        <w:jc w:val="both"/>
        <w:rPr>
          <w:rFonts w:ascii="Arial" w:hAnsi="Arial" w:cs="Arial"/>
          <w:lang w:val="es-ES"/>
        </w:rPr>
      </w:pPr>
      <w:r>
        <w:rPr>
          <w:rFonts w:ascii="Arial" w:hAnsi="Arial" w:cs="Arial"/>
        </w:rPr>
        <w:t xml:space="preserve">Así las cosas, atendiendo al mandato contenido en el inciso segundo del parágrafo del artículo 8 del Decreto 1860 de 2021, la Agencia Nacional de Contratación Pública – Colombia Compra Eficiente expidió la Resolución 275 del 24 de junio de 2022 </w:t>
      </w:r>
      <w:r w:rsidRPr="00EE4086">
        <w:rPr>
          <w:rFonts w:ascii="Arial" w:hAnsi="Arial" w:cs="Arial"/>
          <w:i/>
          <w:iCs/>
          <w:lang w:val="es-ES"/>
        </w:rPr>
        <w:t>«</w:t>
      </w:r>
      <w:r w:rsidRPr="0065729D">
        <w:rPr>
          <w:rFonts w:ascii="Arial" w:hAnsi="Arial" w:cs="Arial"/>
          <w:i/>
          <w:iCs/>
        </w:rPr>
        <w:t>Por la cual se modifican los documentos tipo adoptados por la Agencia Nacional de Contratación Pública − Colombia Compra Eficiente</w:t>
      </w:r>
      <w:r w:rsidRPr="00EE4086">
        <w:rPr>
          <w:rFonts w:ascii="Arial" w:hAnsi="Arial" w:cs="Arial"/>
          <w:i/>
          <w:iCs/>
          <w:lang w:val="es-ES"/>
        </w:rPr>
        <w:t>»</w:t>
      </w:r>
      <w:r>
        <w:rPr>
          <w:rFonts w:ascii="Arial" w:hAnsi="Arial" w:cs="Arial"/>
          <w:i/>
          <w:iCs/>
          <w:lang w:val="es-ES"/>
        </w:rPr>
        <w:t xml:space="preserve">. </w:t>
      </w:r>
      <w:r>
        <w:rPr>
          <w:rFonts w:ascii="Arial" w:hAnsi="Arial" w:cs="Arial"/>
          <w:lang w:val="es-ES"/>
        </w:rPr>
        <w:t>De esa forma, mediante la citada resolución, se modificaron los documentos tipo p</w:t>
      </w:r>
      <w:r w:rsidRPr="0065729D">
        <w:rPr>
          <w:rFonts w:ascii="Arial" w:hAnsi="Arial" w:cs="Arial"/>
          <w:lang w:val="es-ES"/>
        </w:rPr>
        <w:t>ara proyectos de obra pública de infraestructura de transporte adelantados bajo la modalidad de licitación pública</w:t>
      </w:r>
      <w:r>
        <w:rPr>
          <w:rFonts w:ascii="Arial" w:hAnsi="Arial" w:cs="Arial"/>
          <w:lang w:val="es-ES"/>
        </w:rPr>
        <w:t xml:space="preserve">, </w:t>
      </w:r>
      <w:r w:rsidRPr="0065729D">
        <w:rPr>
          <w:rFonts w:ascii="Arial" w:hAnsi="Arial" w:cs="Arial"/>
          <w:lang w:val="es-ES"/>
        </w:rPr>
        <w:t>de selección abreviada de menor cuantía</w:t>
      </w:r>
      <w:r>
        <w:rPr>
          <w:rFonts w:ascii="Arial" w:hAnsi="Arial" w:cs="Arial"/>
          <w:lang w:val="es-ES"/>
        </w:rPr>
        <w:t xml:space="preserve">, de </w:t>
      </w:r>
      <w:r w:rsidRPr="0065729D">
        <w:rPr>
          <w:rFonts w:ascii="Arial" w:hAnsi="Arial" w:cs="Arial"/>
          <w:lang w:val="es-ES"/>
        </w:rPr>
        <w:t>consultoría de estudios de ingeniería de infraestructura de transporte</w:t>
      </w:r>
      <w:r>
        <w:rPr>
          <w:rFonts w:ascii="Arial" w:hAnsi="Arial" w:cs="Arial"/>
          <w:lang w:val="es-ES"/>
        </w:rPr>
        <w:t>,</w:t>
      </w:r>
      <w:r w:rsidRPr="0065729D">
        <w:rPr>
          <w:rFonts w:ascii="Arial" w:hAnsi="Arial" w:cs="Arial"/>
          <w:lang w:val="es-ES"/>
        </w:rPr>
        <w:t xml:space="preserve"> de licitación de obra pública para proyectos de agua potable y saneamiento básico y su modalidad de llave en mano y los documentos tipo de licitación de obra pública de infraestructura social</w:t>
      </w:r>
      <w:r>
        <w:rPr>
          <w:rFonts w:ascii="Arial" w:hAnsi="Arial" w:cs="Arial"/>
          <w:lang w:val="es-ES"/>
        </w:rPr>
        <w:t>, con ocasión a la expedición del Decreto 1860 de 2021 y la Ley 2069 del 2020.</w:t>
      </w:r>
    </w:p>
    <w:p w14:paraId="45807FF0" w14:textId="77777777" w:rsidR="00F275F0" w:rsidRDefault="006755B5" w:rsidP="00F275F0">
      <w:pPr>
        <w:autoSpaceDE w:val="0"/>
        <w:autoSpaceDN w:val="0"/>
        <w:adjustRightInd w:val="0"/>
        <w:spacing w:after="120" w:line="276" w:lineRule="auto"/>
        <w:jc w:val="both"/>
        <w:rPr>
          <w:rFonts w:ascii="Arial" w:hAnsi="Arial" w:cs="Arial"/>
        </w:rPr>
      </w:pPr>
      <w:r>
        <w:rPr>
          <w:rFonts w:ascii="Arial" w:hAnsi="Arial" w:cs="Arial"/>
          <w:lang w:val="es-ES"/>
        </w:rPr>
        <w:tab/>
      </w:r>
      <w:r w:rsidR="00F275F0" w:rsidRPr="00954CF7">
        <w:rPr>
          <w:rFonts w:ascii="Arial" w:hAnsi="Arial" w:cs="Arial"/>
          <w:lang w:val="es-ES"/>
        </w:rPr>
        <w:t xml:space="preserve">Ahora bien, en cuanto a la vigencia de la Resolución 275 de 2022, el artículo 179 dispuso que </w:t>
      </w:r>
      <w:r w:rsidR="00F275F0" w:rsidRPr="00954CF7">
        <w:rPr>
          <w:rFonts w:ascii="Arial" w:hAnsi="Arial" w:cs="Arial"/>
        </w:rPr>
        <w:t>esta «[…]</w:t>
      </w:r>
      <w:r w:rsidR="00F275F0">
        <w:rPr>
          <w:rFonts w:ascii="Arial" w:hAnsi="Arial" w:cs="Arial"/>
        </w:rPr>
        <w:t xml:space="preserve"> </w:t>
      </w:r>
      <w:r w:rsidR="00F275F0" w:rsidRPr="00954CF7">
        <w:rPr>
          <w:rFonts w:ascii="Arial" w:hAnsi="Arial" w:cs="Arial"/>
        </w:rPr>
        <w:t xml:space="preserve">rige a partir de su publicación y aplicará a los Procesos de Contratación cuyo aviso de convocatoria se publique a partir del 29 de agosto de 2022». </w:t>
      </w:r>
      <w:r w:rsidR="00F275F0">
        <w:rPr>
          <w:rFonts w:ascii="Arial" w:hAnsi="Arial" w:cs="Arial"/>
        </w:rPr>
        <w:t xml:space="preserve">De esta forma, la entidad estatal que pretenda adelantar un proceso de selección mediante la utilización de los documentos tipo de licitación de obra pública de </w:t>
      </w:r>
      <w:r w:rsidR="00F275F0">
        <w:rPr>
          <w:rFonts w:ascii="Arial" w:hAnsi="Arial" w:cs="Arial"/>
        </w:rPr>
        <w:lastRenderedPageBreak/>
        <w:t>infraestructura social, asociados a los sectores salud; educativo; y cultura, recreación y deporte, estarán obligadas a aplicar las modificaciones realizadas mediante la Resolución 275 de 2022, si la publicación del aviso de convocatoria se realiza a partir del 29 de agosto de 2022.</w:t>
      </w:r>
    </w:p>
    <w:p w14:paraId="6DB8FFA3" w14:textId="77777777" w:rsidR="00F275F0" w:rsidRPr="000F6C95" w:rsidRDefault="00F275F0" w:rsidP="00F275F0">
      <w:pPr>
        <w:autoSpaceDE w:val="0"/>
        <w:autoSpaceDN w:val="0"/>
        <w:adjustRightInd w:val="0"/>
        <w:spacing w:after="0" w:line="276" w:lineRule="auto"/>
        <w:ind w:firstLine="708"/>
        <w:jc w:val="both"/>
        <w:rPr>
          <w:rFonts w:ascii="Arial" w:eastAsia="Times New Roman" w:hAnsi="Arial" w:cs="Arial"/>
          <w:lang w:eastAsia="es-CO"/>
        </w:rPr>
      </w:pPr>
      <w:r>
        <w:rPr>
          <w:rFonts w:ascii="Arial" w:hAnsi="Arial" w:cs="Arial"/>
        </w:rPr>
        <w:t xml:space="preserve">Lo anterior significa que </w:t>
      </w:r>
      <w:r>
        <w:rPr>
          <w:rFonts w:ascii="Arial" w:eastAsia="Times New Roman" w:hAnsi="Arial" w:cs="Arial"/>
          <w:lang w:eastAsia="es-CO"/>
        </w:rPr>
        <w:t>si la entidad estatal</w:t>
      </w:r>
      <w:r w:rsidRPr="000F6C95">
        <w:rPr>
          <w:rFonts w:ascii="Arial" w:eastAsia="Times New Roman" w:hAnsi="Arial" w:cs="Arial"/>
          <w:lang w:eastAsia="es-CO"/>
        </w:rPr>
        <w:t xml:space="preserve"> </w:t>
      </w:r>
      <w:r>
        <w:rPr>
          <w:rFonts w:ascii="Arial" w:eastAsia="Times New Roman" w:hAnsi="Arial" w:cs="Arial"/>
          <w:lang w:eastAsia="es-CO"/>
        </w:rPr>
        <w:t xml:space="preserve">publica </w:t>
      </w:r>
      <w:r w:rsidRPr="000F6C95">
        <w:rPr>
          <w:rFonts w:ascii="Arial" w:eastAsia="Times New Roman" w:hAnsi="Arial" w:cs="Arial"/>
          <w:lang w:eastAsia="es-CO"/>
        </w:rPr>
        <w:t xml:space="preserve">su aviso de convocatoria a partir de la fecha </w:t>
      </w:r>
      <w:r>
        <w:rPr>
          <w:rFonts w:ascii="Arial" w:eastAsia="Times New Roman" w:hAnsi="Arial" w:cs="Arial"/>
          <w:lang w:eastAsia="es-CO"/>
        </w:rPr>
        <w:t xml:space="preserve">allí </w:t>
      </w:r>
      <w:r w:rsidRPr="000F6C95">
        <w:rPr>
          <w:rFonts w:ascii="Arial" w:eastAsia="Times New Roman" w:hAnsi="Arial" w:cs="Arial"/>
          <w:lang w:eastAsia="es-CO"/>
        </w:rPr>
        <w:t>determinada</w:t>
      </w:r>
      <w:r>
        <w:rPr>
          <w:rFonts w:ascii="Arial" w:eastAsia="Times New Roman" w:hAnsi="Arial" w:cs="Arial"/>
          <w:lang w:eastAsia="es-CO"/>
        </w:rPr>
        <w:t xml:space="preserve"> </w:t>
      </w:r>
      <w:r w:rsidRPr="000F6C95">
        <w:rPr>
          <w:rFonts w:ascii="Arial" w:eastAsia="Times New Roman" w:hAnsi="Arial" w:cs="Arial"/>
          <w:lang w:eastAsia="es-CO"/>
        </w:rPr>
        <w:t>estaría obligada</w:t>
      </w:r>
      <w:r>
        <w:rPr>
          <w:rFonts w:ascii="Arial" w:eastAsia="Times New Roman" w:hAnsi="Arial" w:cs="Arial"/>
          <w:lang w:eastAsia="es-CO"/>
        </w:rPr>
        <w:t xml:space="preserve"> </w:t>
      </w:r>
      <w:r w:rsidRPr="000F6C95">
        <w:rPr>
          <w:rFonts w:ascii="Arial" w:eastAsia="Times New Roman" w:hAnsi="Arial" w:cs="Arial"/>
          <w:lang w:eastAsia="es-CO"/>
        </w:rPr>
        <w:t>a utilizar los documentos tipo</w:t>
      </w:r>
      <w:r>
        <w:rPr>
          <w:rFonts w:ascii="Arial" w:eastAsia="Times New Roman" w:hAnsi="Arial" w:cs="Arial"/>
          <w:lang w:eastAsia="es-CO"/>
        </w:rPr>
        <w:t xml:space="preserve"> de infraestructura social, particularmente, en los procesos de selección cuyo objeto consista en </w:t>
      </w:r>
      <w:r>
        <w:rPr>
          <w:rFonts w:ascii="Arial" w:eastAsia="Times New Roman" w:hAnsi="Arial" w:cs="Arial"/>
          <w:color w:val="000000"/>
        </w:rPr>
        <w:t xml:space="preserve">realizar la </w:t>
      </w:r>
      <w:r>
        <w:rPr>
          <w:rFonts w:ascii="Arial" w:hAnsi="Arial" w:cs="Arial"/>
        </w:rPr>
        <w:t>contratación de obras públicas en los sectores de educación; salud; y cultura, recreación y deporte, con las modificaciones contenidas en la Resolución 275 de 2022.</w:t>
      </w:r>
      <w:r w:rsidRPr="00BC0F9B">
        <w:rPr>
          <w:rFonts w:ascii="Arial" w:hAnsi="Arial" w:cs="Arial"/>
        </w:rPr>
        <w:t xml:space="preserve"> </w:t>
      </w:r>
      <w:r>
        <w:rPr>
          <w:rFonts w:ascii="Arial" w:eastAsia="Times New Roman" w:hAnsi="Arial" w:cs="Arial"/>
          <w:lang w:eastAsia="es-CO"/>
        </w:rPr>
        <w:t xml:space="preserve">Por el contrario, en los procesos de contratación cuyo aviso de convocatoria se publique antes de la </w:t>
      </w:r>
      <w:r>
        <w:rPr>
          <w:rFonts w:ascii="Arial" w:hAnsi="Arial" w:cs="Arial"/>
        </w:rPr>
        <w:t xml:space="preserve">fecha señalada, la entidad estatal no </w:t>
      </w:r>
      <w:r>
        <w:rPr>
          <w:rFonts w:ascii="Arial" w:eastAsia="Times New Roman" w:hAnsi="Arial" w:cs="Arial"/>
          <w:lang w:eastAsia="es-CO"/>
        </w:rPr>
        <w:t xml:space="preserve">estaría obligada a utilizar estos documentos tipo con las modificaciones contenidas en la citada resolución; sino los vigentes antes de la expedición de la Resolución 275 de 2022, sin que tenga que realizar alguna modificación a los pliegos de condiciones. </w:t>
      </w:r>
    </w:p>
    <w:p w14:paraId="63409617" w14:textId="75157F74" w:rsidR="008D3390" w:rsidRDefault="008D3390" w:rsidP="00F275F0">
      <w:pPr>
        <w:autoSpaceDE w:val="0"/>
        <w:autoSpaceDN w:val="0"/>
        <w:adjustRightInd w:val="0"/>
        <w:spacing w:after="120" w:line="276" w:lineRule="auto"/>
        <w:jc w:val="both"/>
        <w:rPr>
          <w:rFonts w:ascii="Arial" w:eastAsia="Times New Roman" w:hAnsi="Arial" w:cs="Arial"/>
          <w:color w:val="000000" w:themeColor="text1"/>
          <w:sz w:val="14"/>
          <w:szCs w:val="16"/>
          <w:lang w:eastAsia="es-CO"/>
        </w:rPr>
      </w:pPr>
    </w:p>
    <w:p w14:paraId="0447FED2" w14:textId="77777777" w:rsidR="00EA0392" w:rsidRPr="00B749D1" w:rsidRDefault="00EA0392" w:rsidP="00EA0392">
      <w:pPr>
        <w:spacing w:after="0" w:line="276" w:lineRule="auto"/>
        <w:jc w:val="both"/>
        <w:rPr>
          <w:rFonts w:ascii="Arial" w:eastAsia="Calibri" w:hAnsi="Arial" w:cs="Arial"/>
          <w:color w:val="000000"/>
          <w:lang w:val="es-ES_tradnl"/>
        </w:rPr>
      </w:pPr>
      <w:r w:rsidRPr="00B749D1">
        <w:rPr>
          <w:rFonts w:ascii="Arial" w:eastAsia="Calibri" w:hAnsi="Arial" w:cs="Arial"/>
          <w:color w:val="000000"/>
          <w:lang w:val="es-ES_tradnl"/>
        </w:rPr>
        <w:t>Este concepto tiene el alcance previsto en el artículo 28 del Código de Procedimiento Administrativo y de lo Contencioso Administrativo.</w:t>
      </w:r>
    </w:p>
    <w:p w14:paraId="54C77E60" w14:textId="77777777" w:rsidR="00EA0392" w:rsidRPr="008D3390" w:rsidRDefault="00EA0392" w:rsidP="008D3390">
      <w:pPr>
        <w:spacing w:after="0" w:line="276" w:lineRule="auto"/>
        <w:jc w:val="both"/>
        <w:rPr>
          <w:rFonts w:ascii="Arial" w:eastAsia="Times New Roman" w:hAnsi="Arial" w:cs="Arial"/>
          <w:color w:val="000000" w:themeColor="text1"/>
          <w:sz w:val="14"/>
          <w:szCs w:val="16"/>
          <w:lang w:eastAsia="es-CO"/>
        </w:rPr>
      </w:pPr>
    </w:p>
    <w:p w14:paraId="3FCAD882" w14:textId="77777777" w:rsidR="008D3390" w:rsidRPr="008D3390" w:rsidRDefault="008D3390" w:rsidP="008D3390">
      <w:pPr>
        <w:spacing w:line="276" w:lineRule="auto"/>
        <w:jc w:val="both"/>
        <w:rPr>
          <w:rFonts w:ascii="Arial" w:eastAsia="Times New Roman" w:hAnsi="Arial" w:cs="Arial"/>
          <w:color w:val="000000" w:themeColor="text1"/>
          <w:szCs w:val="24"/>
          <w:lang w:eastAsia="es-CO"/>
        </w:rPr>
      </w:pPr>
      <w:r w:rsidRPr="008D3390">
        <w:rPr>
          <w:rFonts w:ascii="Arial" w:eastAsia="Times New Roman" w:hAnsi="Arial" w:cs="Arial"/>
          <w:color w:val="000000" w:themeColor="text1"/>
          <w:szCs w:val="24"/>
          <w:lang w:eastAsia="es-CO"/>
        </w:rPr>
        <w:t>Atentamente,</w:t>
      </w:r>
    </w:p>
    <w:p w14:paraId="63E0B922" w14:textId="237C6DD9" w:rsidR="008D3390" w:rsidRDefault="00D83F98" w:rsidP="008D3390">
      <w:pPr>
        <w:spacing w:after="0" w:line="240" w:lineRule="auto"/>
        <w:jc w:val="center"/>
        <w:rPr>
          <w:rFonts w:ascii="Arial" w:eastAsia="Times New Roman" w:hAnsi="Arial" w:cs="Arial"/>
          <w:color w:val="000000" w:themeColor="text1"/>
          <w:sz w:val="18"/>
          <w:szCs w:val="20"/>
          <w:lang w:eastAsia="es-CO"/>
        </w:rPr>
      </w:pPr>
      <w:r>
        <w:rPr>
          <w:rFonts w:ascii="Arial" w:hAnsi="Arial" w:cs="Arial"/>
          <w:noProof/>
          <w:color w:val="1A1A1A" w:themeColor="background1" w:themeShade="1A"/>
        </w:rPr>
        <w:drawing>
          <wp:inline distT="0" distB="0" distL="0" distR="0" wp14:anchorId="778EF50C" wp14:editId="425BB7AF">
            <wp:extent cx="2135580" cy="826935"/>
            <wp:effectExtent l="0" t="0" r="0" b="0"/>
            <wp:docPr id="6" name="Imagen 6"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Texto, Carta&#10;&#10;Descripción generada automáticamen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64205" cy="838019"/>
                    </a:xfrm>
                    <a:prstGeom prst="rect">
                      <a:avLst/>
                    </a:prstGeom>
                    <a:noFill/>
                    <a:ln>
                      <a:noFill/>
                    </a:ln>
                  </pic:spPr>
                </pic:pic>
              </a:graphicData>
            </a:graphic>
          </wp:inline>
        </w:drawing>
      </w:r>
    </w:p>
    <w:p w14:paraId="5631A608" w14:textId="77777777" w:rsidR="00E33407" w:rsidRPr="008D3390" w:rsidRDefault="00E33407" w:rsidP="008D3390">
      <w:pPr>
        <w:spacing w:after="0" w:line="240" w:lineRule="auto"/>
        <w:jc w:val="center"/>
        <w:rPr>
          <w:rFonts w:ascii="Arial" w:eastAsia="Times New Roman" w:hAnsi="Arial" w:cs="Arial"/>
          <w:color w:val="000000" w:themeColor="text1"/>
          <w:sz w:val="18"/>
          <w:szCs w:val="20"/>
          <w:lang w:eastAsia="es-CO"/>
        </w:rPr>
      </w:pPr>
    </w:p>
    <w:tbl>
      <w:tblPr>
        <w:tblStyle w:val="Tablaconcuadrc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2"/>
        <w:gridCol w:w="4413"/>
      </w:tblGrid>
      <w:tr w:rsidR="008D3390" w:rsidRPr="008D3390" w14:paraId="7CDDC892" w14:textId="77777777" w:rsidTr="002C68F4">
        <w:trPr>
          <w:trHeight w:val="315"/>
        </w:trPr>
        <w:tc>
          <w:tcPr>
            <w:tcW w:w="812" w:type="dxa"/>
            <w:vAlign w:val="center"/>
            <w:hideMark/>
          </w:tcPr>
          <w:p w14:paraId="3F2B3940" w14:textId="77777777" w:rsidR="008D3390" w:rsidRPr="008D3390" w:rsidRDefault="008D3390" w:rsidP="008D3390">
            <w:pPr>
              <w:rPr>
                <w:rFonts w:ascii="Arial" w:eastAsia="Calibri" w:hAnsi="Arial" w:cs="Arial"/>
                <w:sz w:val="16"/>
                <w:szCs w:val="16"/>
                <w:lang w:val="es-ES_tradnl" w:eastAsia="es-ES"/>
              </w:rPr>
            </w:pPr>
            <w:r w:rsidRPr="008D3390">
              <w:rPr>
                <w:rFonts w:ascii="Arial" w:eastAsia="Calibri" w:hAnsi="Arial" w:cs="Arial"/>
                <w:sz w:val="16"/>
                <w:szCs w:val="16"/>
                <w:lang w:val="es-ES_tradnl" w:eastAsia="es-ES"/>
              </w:rPr>
              <w:t>Elaboró:</w:t>
            </w:r>
          </w:p>
        </w:tc>
        <w:tc>
          <w:tcPr>
            <w:tcW w:w="4413" w:type="dxa"/>
            <w:tcBorders>
              <w:top w:val="nil"/>
              <w:left w:val="nil"/>
              <w:bottom w:val="dotted" w:sz="4" w:space="0" w:color="7F7F7F"/>
              <w:right w:val="nil"/>
            </w:tcBorders>
            <w:vAlign w:val="center"/>
            <w:hideMark/>
          </w:tcPr>
          <w:p w14:paraId="7840154D" w14:textId="77777777" w:rsidR="008D3390" w:rsidRPr="008D3390" w:rsidRDefault="008D3390" w:rsidP="008D3390">
            <w:pPr>
              <w:rPr>
                <w:rFonts w:ascii="Arial" w:eastAsia="Calibri" w:hAnsi="Arial" w:cs="Arial"/>
                <w:sz w:val="16"/>
                <w:szCs w:val="16"/>
                <w:lang w:val="es-ES_tradnl" w:eastAsia="es-ES"/>
              </w:rPr>
            </w:pPr>
            <w:r w:rsidRPr="008D3390">
              <w:rPr>
                <w:rFonts w:ascii="Arial" w:eastAsia="Calibri" w:hAnsi="Arial" w:cs="Arial"/>
                <w:sz w:val="16"/>
                <w:szCs w:val="16"/>
                <w:lang w:val="es-ES_tradnl" w:eastAsia="es-ES"/>
              </w:rPr>
              <w:t>Carlos Mario Castrillón Endo</w:t>
            </w:r>
          </w:p>
          <w:p w14:paraId="4D7E2EFF" w14:textId="77777777" w:rsidR="008D3390" w:rsidRPr="008D3390" w:rsidRDefault="008D3390" w:rsidP="008D3390">
            <w:pPr>
              <w:rPr>
                <w:rFonts w:ascii="Arial" w:eastAsia="Calibri" w:hAnsi="Arial" w:cs="Arial"/>
                <w:sz w:val="16"/>
                <w:szCs w:val="16"/>
                <w:lang w:val="es-ES_tradnl" w:eastAsia="es-ES"/>
              </w:rPr>
            </w:pPr>
            <w:r w:rsidRPr="008D3390">
              <w:rPr>
                <w:rFonts w:ascii="Arial" w:eastAsia="Calibri" w:hAnsi="Arial" w:cs="Arial"/>
                <w:sz w:val="16"/>
                <w:szCs w:val="16"/>
                <w:lang w:val="es-ES_tradnl" w:eastAsia="es-ES"/>
              </w:rPr>
              <w:t>Contratista de la Subdirección de Gestión Contractual</w:t>
            </w:r>
          </w:p>
        </w:tc>
      </w:tr>
      <w:tr w:rsidR="008D3390" w:rsidRPr="008D3390" w14:paraId="5EA2D069" w14:textId="77777777" w:rsidTr="002C68F4">
        <w:trPr>
          <w:trHeight w:val="330"/>
        </w:trPr>
        <w:tc>
          <w:tcPr>
            <w:tcW w:w="812" w:type="dxa"/>
            <w:vAlign w:val="center"/>
            <w:hideMark/>
          </w:tcPr>
          <w:p w14:paraId="6364845F" w14:textId="77777777" w:rsidR="008D3390" w:rsidRPr="008D3390" w:rsidRDefault="008D3390" w:rsidP="008D3390">
            <w:pPr>
              <w:rPr>
                <w:rFonts w:ascii="Arial" w:eastAsia="Calibri" w:hAnsi="Arial" w:cs="Arial"/>
                <w:sz w:val="16"/>
                <w:szCs w:val="16"/>
                <w:lang w:val="es-ES_tradnl" w:eastAsia="es-ES"/>
              </w:rPr>
            </w:pPr>
            <w:r w:rsidRPr="008D3390">
              <w:rPr>
                <w:rFonts w:ascii="Arial" w:eastAsia="Calibri" w:hAnsi="Arial" w:cs="Arial"/>
                <w:sz w:val="16"/>
                <w:szCs w:val="16"/>
                <w:lang w:val="es-ES_tradnl" w:eastAsia="es-ES"/>
              </w:rPr>
              <w:t>Revisó:</w:t>
            </w:r>
          </w:p>
        </w:tc>
        <w:tc>
          <w:tcPr>
            <w:tcW w:w="4413" w:type="dxa"/>
            <w:tcBorders>
              <w:top w:val="dotted" w:sz="4" w:space="0" w:color="7F7F7F"/>
              <w:left w:val="nil"/>
              <w:bottom w:val="dotted" w:sz="4" w:space="0" w:color="7F7F7F"/>
              <w:right w:val="nil"/>
            </w:tcBorders>
            <w:vAlign w:val="center"/>
            <w:hideMark/>
          </w:tcPr>
          <w:p w14:paraId="20FCBCDF" w14:textId="77777777" w:rsidR="00397414" w:rsidRDefault="00397414" w:rsidP="00397414">
            <w:pPr>
              <w:rPr>
                <w:rFonts w:ascii="Arial" w:eastAsia="Calibri" w:hAnsi="Arial" w:cs="Arial"/>
                <w:sz w:val="16"/>
                <w:szCs w:val="16"/>
                <w:lang w:val="es-ES_tradnl" w:eastAsia="es-ES"/>
              </w:rPr>
            </w:pPr>
            <w:r>
              <w:rPr>
                <w:rFonts w:ascii="Arial" w:eastAsia="Calibri" w:hAnsi="Arial" w:cs="Arial"/>
                <w:sz w:val="16"/>
                <w:szCs w:val="16"/>
                <w:lang w:val="es-ES_tradnl" w:eastAsia="es-ES"/>
              </w:rPr>
              <w:t xml:space="preserve">Sebastián Ramírez Grisales </w:t>
            </w:r>
          </w:p>
          <w:p w14:paraId="347DF167" w14:textId="1AE6737B" w:rsidR="008D3390" w:rsidRPr="008D3390" w:rsidRDefault="00397414" w:rsidP="00397414">
            <w:pPr>
              <w:rPr>
                <w:rFonts w:ascii="Arial" w:eastAsia="Calibri" w:hAnsi="Arial" w:cs="Arial"/>
                <w:sz w:val="16"/>
                <w:szCs w:val="16"/>
                <w:lang w:val="es-ES_tradnl" w:eastAsia="es-ES"/>
              </w:rPr>
            </w:pPr>
            <w:r>
              <w:rPr>
                <w:rFonts w:ascii="Arial" w:hAnsi="Arial" w:cs="Arial"/>
                <w:color w:val="000000" w:themeColor="text1"/>
                <w:sz w:val="16"/>
                <w:szCs w:val="16"/>
                <w:lang w:val="es-ES_tradnl" w:eastAsia="es-ES"/>
              </w:rPr>
              <w:t>Contratista</w:t>
            </w:r>
            <w:r w:rsidRPr="00827918">
              <w:rPr>
                <w:rFonts w:ascii="Arial" w:hAnsi="Arial" w:cs="Arial"/>
                <w:color w:val="000000" w:themeColor="text1"/>
                <w:sz w:val="16"/>
                <w:szCs w:val="16"/>
                <w:lang w:val="es-ES_tradnl" w:eastAsia="es-ES"/>
              </w:rPr>
              <w:t xml:space="preserve"> de la Subdirección de Gestión Contractual  </w:t>
            </w:r>
          </w:p>
        </w:tc>
      </w:tr>
      <w:tr w:rsidR="008D3390" w:rsidRPr="008D3390" w14:paraId="7BB829CC" w14:textId="77777777" w:rsidTr="002C68F4">
        <w:trPr>
          <w:trHeight w:val="300"/>
        </w:trPr>
        <w:tc>
          <w:tcPr>
            <w:tcW w:w="812" w:type="dxa"/>
            <w:vAlign w:val="center"/>
            <w:hideMark/>
          </w:tcPr>
          <w:p w14:paraId="27223DBD" w14:textId="77777777" w:rsidR="008D3390" w:rsidRPr="008D3390" w:rsidRDefault="008D3390" w:rsidP="008D3390">
            <w:pPr>
              <w:rPr>
                <w:rFonts w:ascii="Arial" w:eastAsia="Calibri" w:hAnsi="Arial" w:cs="Arial"/>
                <w:sz w:val="16"/>
                <w:szCs w:val="16"/>
                <w:lang w:val="es-ES_tradnl" w:eastAsia="es-ES"/>
              </w:rPr>
            </w:pPr>
            <w:r w:rsidRPr="008D3390">
              <w:rPr>
                <w:rFonts w:ascii="Arial" w:eastAsia="Calibri" w:hAnsi="Arial" w:cs="Arial"/>
                <w:sz w:val="16"/>
                <w:szCs w:val="16"/>
                <w:lang w:val="es-ES_tradnl" w:eastAsia="es-ES"/>
              </w:rPr>
              <w:t>Aprobó:</w:t>
            </w:r>
          </w:p>
        </w:tc>
        <w:tc>
          <w:tcPr>
            <w:tcW w:w="4413" w:type="dxa"/>
            <w:tcBorders>
              <w:top w:val="dotted" w:sz="4" w:space="0" w:color="7F7F7F"/>
              <w:left w:val="nil"/>
              <w:bottom w:val="dotted" w:sz="4" w:space="0" w:color="7F7F7F"/>
              <w:right w:val="nil"/>
            </w:tcBorders>
            <w:vAlign w:val="center"/>
            <w:hideMark/>
          </w:tcPr>
          <w:p w14:paraId="67A73D38" w14:textId="77777777" w:rsidR="008D3390" w:rsidRPr="008D3390" w:rsidRDefault="008D3390" w:rsidP="008D3390">
            <w:pPr>
              <w:rPr>
                <w:rFonts w:ascii="Arial" w:eastAsia="Calibri" w:hAnsi="Arial" w:cs="Arial"/>
                <w:sz w:val="16"/>
                <w:szCs w:val="16"/>
                <w:lang w:val="pt-BR" w:eastAsia="es-ES"/>
              </w:rPr>
            </w:pPr>
            <w:r w:rsidRPr="008D3390">
              <w:rPr>
                <w:rFonts w:ascii="Arial" w:eastAsia="Calibri" w:hAnsi="Arial" w:cs="Arial"/>
                <w:sz w:val="16"/>
                <w:szCs w:val="16"/>
                <w:lang w:val="pt-BR" w:eastAsia="es-ES"/>
              </w:rPr>
              <w:t>Juan David Marín López</w:t>
            </w:r>
          </w:p>
          <w:p w14:paraId="15E48B14" w14:textId="77777777" w:rsidR="008D3390" w:rsidRPr="008D3390" w:rsidRDefault="008D3390" w:rsidP="008D3390">
            <w:pPr>
              <w:rPr>
                <w:rFonts w:ascii="Arial" w:eastAsia="Calibri" w:hAnsi="Arial" w:cs="Arial"/>
                <w:sz w:val="16"/>
                <w:szCs w:val="16"/>
                <w:lang w:val="pt-BR" w:eastAsia="es-ES"/>
              </w:rPr>
            </w:pPr>
            <w:proofErr w:type="spellStart"/>
            <w:r w:rsidRPr="008D3390">
              <w:rPr>
                <w:rFonts w:ascii="Arial" w:eastAsia="Calibri" w:hAnsi="Arial" w:cs="Arial"/>
                <w:sz w:val="16"/>
                <w:szCs w:val="16"/>
                <w:lang w:val="pt-BR" w:eastAsia="es-ES"/>
              </w:rPr>
              <w:t>Subdirector</w:t>
            </w:r>
            <w:proofErr w:type="spellEnd"/>
            <w:r w:rsidRPr="008D3390">
              <w:rPr>
                <w:rFonts w:ascii="Arial" w:eastAsia="Calibri" w:hAnsi="Arial" w:cs="Arial"/>
                <w:sz w:val="16"/>
                <w:szCs w:val="16"/>
                <w:lang w:val="pt-BR" w:eastAsia="es-ES"/>
              </w:rPr>
              <w:t xml:space="preserve"> de Gestión Contractual ANCP – CCE (E)</w:t>
            </w:r>
          </w:p>
        </w:tc>
      </w:tr>
      <w:bookmarkEnd w:id="0"/>
    </w:tbl>
    <w:p w14:paraId="65DF2FB3" w14:textId="77777777" w:rsidR="00FB347B" w:rsidRDefault="00FB347B" w:rsidP="00193555"/>
    <w:sectPr w:rsidR="00FB347B" w:rsidSect="00C734A4">
      <w:headerReference w:type="default" r:id="rId10"/>
      <w:footerReference w:type="default" r:id="rId11"/>
      <w:headerReference w:type="first" r:id="rId12"/>
      <w:footerReference w:type="first" r:id="rId13"/>
      <w:pgSz w:w="11906" w:h="16838" w:code="9"/>
      <w:pgMar w:top="1417" w:right="1701" w:bottom="1417" w:left="1701" w:header="851"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DEB9BF" w14:textId="77777777" w:rsidR="00EA4AB4" w:rsidRDefault="00EA4AB4" w:rsidP="008D3390">
      <w:pPr>
        <w:spacing w:after="0" w:line="240" w:lineRule="auto"/>
      </w:pPr>
      <w:r>
        <w:separator/>
      </w:r>
    </w:p>
  </w:endnote>
  <w:endnote w:type="continuationSeparator" w:id="0">
    <w:p w14:paraId="60E57112" w14:textId="77777777" w:rsidR="00EA4AB4" w:rsidRDefault="00EA4AB4" w:rsidP="008D33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manist Light">
    <w:altName w:val="Calibri"/>
    <w:panose1 w:val="02000503000000020004"/>
    <w:charset w:val="00"/>
    <w:family w:val="modern"/>
    <w:notTrueType/>
    <w:pitch w:val="variable"/>
    <w:sig w:usb0="A000002F" w:usb1="1000004A"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0A12AF" w14:textId="29260114" w:rsidR="00C734A4" w:rsidRDefault="00000000" w:rsidP="00C734A4">
    <w:pPr>
      <w:pStyle w:val="Piedepgina"/>
      <w:jc w:val="right"/>
      <w:rPr>
        <w:color w:val="7F7F7F" w:themeColor="text1" w:themeTint="80"/>
        <w:sz w:val="16"/>
        <w:szCs w:val="16"/>
      </w:rPr>
    </w:pPr>
  </w:p>
  <w:p w14:paraId="320437E7" w14:textId="77777777" w:rsidR="00D83F98" w:rsidRPr="001A35B9" w:rsidRDefault="00D83F98" w:rsidP="00C734A4">
    <w:pPr>
      <w:pStyle w:val="Piedepgina"/>
      <w:jc w:val="right"/>
      <w:rPr>
        <w:color w:val="7F7F7F" w:themeColor="text1" w:themeTint="80"/>
        <w:sz w:val="16"/>
        <w:szCs w:val="16"/>
      </w:rPr>
    </w:pPr>
  </w:p>
  <w:p w14:paraId="407BCD11" w14:textId="77777777" w:rsidR="00C734A4" w:rsidRDefault="00193555" w:rsidP="00C734A4">
    <w:pPr>
      <w:pStyle w:val="Piedepgina"/>
      <w:jc w:val="center"/>
    </w:pPr>
    <w:r>
      <w:rPr>
        <w:noProof/>
      </w:rPr>
      <w:drawing>
        <wp:inline distT="0" distB="0" distL="0" distR="0" wp14:anchorId="7DAACBCD" wp14:editId="1C598564">
          <wp:extent cx="5400040" cy="757643"/>
          <wp:effectExtent l="0" t="0" r="0" b="444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1">
                    <a:extLst>
                      <a:ext uri="{28A0092B-C50C-407E-A947-70E740481C1C}">
                        <a14:useLocalDpi xmlns:a14="http://schemas.microsoft.com/office/drawing/2010/main" val="0"/>
                      </a:ext>
                    </a:extLst>
                  </a:blip>
                  <a:stretch>
                    <a:fillRect/>
                  </a:stretch>
                </pic:blipFill>
                <pic:spPr>
                  <a:xfrm>
                    <a:off x="0" y="0"/>
                    <a:ext cx="5400040" cy="757643"/>
                  </a:xfrm>
                  <a:prstGeom prst="rect">
                    <a:avLst/>
                  </a:prstGeom>
                </pic:spPr>
              </pic:pic>
            </a:graphicData>
          </a:graphic>
        </wp:inline>
      </w:drawing>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1"/>
      <w:gridCol w:w="418"/>
      <w:gridCol w:w="836"/>
      <w:gridCol w:w="1897"/>
      <w:gridCol w:w="694"/>
      <w:gridCol w:w="2454"/>
      <w:gridCol w:w="1334"/>
    </w:tblGrid>
    <w:tr w:rsidR="00A278E7" w:rsidRPr="00761634" w14:paraId="68BFC4DD" w14:textId="77777777" w:rsidTr="00411765">
      <w:trPr>
        <w:trHeight w:val="229"/>
        <w:jc w:val="center"/>
      </w:trPr>
      <w:tc>
        <w:tcPr>
          <w:tcW w:w="866" w:type="dxa"/>
          <w:tcBorders>
            <w:top w:val="dotted" w:sz="4" w:space="0" w:color="808080" w:themeColor="background1" w:themeShade="80"/>
            <w:left w:val="dotted" w:sz="4" w:space="0" w:color="808080" w:themeColor="background1" w:themeShade="80"/>
            <w:bottom w:val="dotted" w:sz="4" w:space="0" w:color="808080" w:themeColor="background1" w:themeShade="80"/>
          </w:tcBorders>
          <w:shd w:val="clear" w:color="auto" w:fill="auto"/>
        </w:tcPr>
        <w:p w14:paraId="6876EB00" w14:textId="77777777" w:rsidR="00A278E7" w:rsidRPr="004D6961" w:rsidRDefault="00193555" w:rsidP="00A278E7">
          <w:pPr>
            <w:pStyle w:val="Piedepgina"/>
            <w:jc w:val="center"/>
            <w:rPr>
              <w:sz w:val="18"/>
              <w:szCs w:val="18"/>
            </w:rPr>
          </w:pPr>
          <w:r w:rsidRPr="004D6961">
            <w:rPr>
              <w:sz w:val="18"/>
              <w:szCs w:val="18"/>
            </w:rPr>
            <w:t>Versión:</w:t>
          </w:r>
        </w:p>
      </w:tc>
      <w:tc>
        <w:tcPr>
          <w:tcW w:w="421" w:type="dxa"/>
          <w:tcBorders>
            <w:top w:val="dotted" w:sz="4" w:space="0" w:color="808080" w:themeColor="background1" w:themeShade="80"/>
            <w:bottom w:val="dotted" w:sz="4" w:space="0" w:color="808080" w:themeColor="background1" w:themeShade="80"/>
            <w:right w:val="dotted" w:sz="4" w:space="0" w:color="808080" w:themeColor="background1" w:themeShade="80"/>
          </w:tcBorders>
          <w:shd w:val="clear" w:color="auto" w:fill="auto"/>
        </w:tcPr>
        <w:p w14:paraId="3522596F" w14:textId="77777777" w:rsidR="00A278E7" w:rsidRPr="004D6961" w:rsidRDefault="00193555" w:rsidP="00A278E7">
          <w:pPr>
            <w:pStyle w:val="Piedepgina"/>
            <w:jc w:val="center"/>
            <w:rPr>
              <w:sz w:val="18"/>
              <w:szCs w:val="18"/>
            </w:rPr>
          </w:pPr>
          <w:r w:rsidRPr="004D6961">
            <w:rPr>
              <w:sz w:val="18"/>
              <w:szCs w:val="18"/>
            </w:rPr>
            <w:t>0</w:t>
          </w:r>
          <w:r>
            <w:rPr>
              <w:sz w:val="18"/>
              <w:szCs w:val="18"/>
            </w:rPr>
            <w:t>2</w:t>
          </w:r>
        </w:p>
      </w:tc>
      <w:tc>
        <w:tcPr>
          <w:tcW w:w="844" w:type="dxa"/>
          <w:tcBorders>
            <w:top w:val="dotted" w:sz="4" w:space="0" w:color="808080" w:themeColor="background1" w:themeShade="80"/>
            <w:left w:val="dotted" w:sz="4" w:space="0" w:color="808080" w:themeColor="background1" w:themeShade="80"/>
            <w:bottom w:val="dotted" w:sz="4" w:space="0" w:color="808080" w:themeColor="background1" w:themeShade="80"/>
          </w:tcBorders>
          <w:shd w:val="clear" w:color="auto" w:fill="auto"/>
        </w:tcPr>
        <w:p w14:paraId="01CDC986" w14:textId="77777777" w:rsidR="00A278E7" w:rsidRPr="004D6961" w:rsidRDefault="00193555" w:rsidP="00A278E7">
          <w:pPr>
            <w:pStyle w:val="Piedepgina"/>
            <w:jc w:val="center"/>
            <w:rPr>
              <w:sz w:val="18"/>
              <w:szCs w:val="18"/>
            </w:rPr>
          </w:pPr>
          <w:r w:rsidRPr="004D6961">
            <w:rPr>
              <w:sz w:val="18"/>
              <w:szCs w:val="18"/>
            </w:rPr>
            <w:t>Código:</w:t>
          </w:r>
        </w:p>
      </w:tc>
      <w:tc>
        <w:tcPr>
          <w:tcW w:w="2073" w:type="dxa"/>
          <w:tcBorders>
            <w:top w:val="dotted" w:sz="4" w:space="0" w:color="808080" w:themeColor="background1" w:themeShade="80"/>
            <w:bottom w:val="dotted" w:sz="4" w:space="0" w:color="808080" w:themeColor="background1" w:themeShade="80"/>
            <w:right w:val="dotted" w:sz="4" w:space="0" w:color="808080" w:themeColor="background1" w:themeShade="80"/>
          </w:tcBorders>
          <w:shd w:val="clear" w:color="auto" w:fill="auto"/>
          <w:vAlign w:val="center"/>
        </w:tcPr>
        <w:p w14:paraId="4EB8D71F" w14:textId="77777777" w:rsidR="00A278E7" w:rsidRPr="004D6961" w:rsidRDefault="00193555" w:rsidP="00A278E7">
          <w:pPr>
            <w:pStyle w:val="Encabezado"/>
            <w:tabs>
              <w:tab w:val="center" w:pos="5400"/>
            </w:tabs>
            <w:jc w:val="right"/>
            <w:rPr>
              <w:color w:val="404040" w:themeColor="text1" w:themeTint="BF"/>
              <w:sz w:val="18"/>
              <w:szCs w:val="18"/>
            </w:rPr>
          </w:pPr>
          <w:r w:rsidRPr="004D6961">
            <w:rPr>
              <w:color w:val="404040" w:themeColor="text1" w:themeTint="BF"/>
              <w:sz w:val="18"/>
              <w:szCs w:val="18"/>
            </w:rPr>
            <w:t>CCE-DES-FM-17</w:t>
          </w:r>
        </w:p>
      </w:tc>
      <w:tc>
        <w:tcPr>
          <w:tcW w:w="241" w:type="dxa"/>
          <w:tcBorders>
            <w:top w:val="dotted" w:sz="4" w:space="0" w:color="808080" w:themeColor="background1" w:themeShade="80"/>
            <w:left w:val="dotted" w:sz="4" w:space="0" w:color="808080" w:themeColor="background1" w:themeShade="80"/>
            <w:bottom w:val="dotted" w:sz="4" w:space="0" w:color="808080" w:themeColor="background1" w:themeShade="80"/>
          </w:tcBorders>
          <w:shd w:val="clear" w:color="auto" w:fill="auto"/>
        </w:tcPr>
        <w:p w14:paraId="24219802" w14:textId="77777777" w:rsidR="00A278E7" w:rsidRPr="004D6961" w:rsidRDefault="00193555" w:rsidP="00A278E7">
          <w:pPr>
            <w:pStyle w:val="Piedepgina"/>
            <w:jc w:val="center"/>
            <w:rPr>
              <w:sz w:val="18"/>
              <w:szCs w:val="18"/>
            </w:rPr>
          </w:pPr>
          <w:r w:rsidRPr="004D6961">
            <w:rPr>
              <w:sz w:val="18"/>
              <w:szCs w:val="18"/>
            </w:rPr>
            <w:t>Fecha:</w:t>
          </w:r>
        </w:p>
      </w:tc>
      <w:tc>
        <w:tcPr>
          <w:tcW w:w="2643" w:type="dxa"/>
          <w:tcBorders>
            <w:top w:val="dotted" w:sz="4" w:space="0" w:color="808080" w:themeColor="background1" w:themeShade="80"/>
            <w:bottom w:val="dotted" w:sz="4" w:space="0" w:color="808080" w:themeColor="background1" w:themeShade="80"/>
            <w:right w:val="dotted" w:sz="4" w:space="0" w:color="808080" w:themeColor="background1" w:themeShade="80"/>
          </w:tcBorders>
          <w:shd w:val="clear" w:color="auto" w:fill="auto"/>
        </w:tcPr>
        <w:p w14:paraId="37D143BE" w14:textId="77777777" w:rsidR="00A278E7" w:rsidRPr="004D6961" w:rsidRDefault="00193555" w:rsidP="00A278E7">
          <w:pPr>
            <w:pStyle w:val="Piedepgina"/>
            <w:jc w:val="center"/>
            <w:rPr>
              <w:sz w:val="18"/>
              <w:szCs w:val="18"/>
            </w:rPr>
          </w:pPr>
          <w:r>
            <w:rPr>
              <w:sz w:val="18"/>
              <w:szCs w:val="18"/>
            </w:rPr>
            <w:t>03</w:t>
          </w:r>
          <w:r w:rsidRPr="004D6961">
            <w:rPr>
              <w:sz w:val="18"/>
              <w:szCs w:val="18"/>
            </w:rPr>
            <w:t xml:space="preserve"> de </w:t>
          </w:r>
          <w:r>
            <w:rPr>
              <w:sz w:val="18"/>
              <w:szCs w:val="18"/>
            </w:rPr>
            <w:t>noviembre</w:t>
          </w:r>
          <w:r w:rsidRPr="004D6961">
            <w:rPr>
              <w:sz w:val="18"/>
              <w:szCs w:val="18"/>
            </w:rPr>
            <w:t xml:space="preserve"> de 2021</w:t>
          </w:r>
        </w:p>
      </w:tc>
      <w:tc>
        <w:tcPr>
          <w:tcW w:w="1416" w:type="dxa"/>
          <w:tc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tcBorders>
          <w:shd w:val="clear" w:color="auto" w:fill="auto"/>
        </w:tcPr>
        <w:p w14:paraId="7220A0A5" w14:textId="77777777" w:rsidR="00A278E7" w:rsidRPr="004D6961" w:rsidRDefault="00193555" w:rsidP="00A278E7">
          <w:pPr>
            <w:pStyle w:val="Piedepgina"/>
            <w:jc w:val="right"/>
            <w:rPr>
              <w:sz w:val="18"/>
              <w:szCs w:val="18"/>
            </w:rPr>
          </w:pPr>
          <w:r w:rsidRPr="004D6961">
            <w:rPr>
              <w:sz w:val="18"/>
              <w:szCs w:val="18"/>
            </w:rPr>
            <w:t xml:space="preserve">Página </w:t>
          </w:r>
          <w:r w:rsidRPr="004D6961">
            <w:rPr>
              <w:b/>
              <w:bCs/>
              <w:sz w:val="18"/>
              <w:szCs w:val="18"/>
            </w:rPr>
            <w:fldChar w:fldCharType="begin"/>
          </w:r>
          <w:r w:rsidRPr="004D6961">
            <w:rPr>
              <w:b/>
              <w:bCs/>
              <w:sz w:val="18"/>
              <w:szCs w:val="18"/>
            </w:rPr>
            <w:instrText>PAGE  \* Arabic  \* MERGEFORMAT</w:instrText>
          </w:r>
          <w:r w:rsidRPr="004D6961">
            <w:rPr>
              <w:b/>
              <w:bCs/>
              <w:sz w:val="18"/>
              <w:szCs w:val="18"/>
            </w:rPr>
            <w:fldChar w:fldCharType="separate"/>
          </w:r>
          <w:r w:rsidRPr="004D6961">
            <w:rPr>
              <w:b/>
              <w:bCs/>
              <w:sz w:val="18"/>
              <w:szCs w:val="18"/>
            </w:rPr>
            <w:t>1</w:t>
          </w:r>
          <w:r w:rsidRPr="004D6961">
            <w:rPr>
              <w:b/>
              <w:bCs/>
              <w:sz w:val="18"/>
              <w:szCs w:val="18"/>
            </w:rPr>
            <w:fldChar w:fldCharType="end"/>
          </w:r>
          <w:r w:rsidRPr="004D6961">
            <w:rPr>
              <w:sz w:val="18"/>
              <w:szCs w:val="18"/>
            </w:rPr>
            <w:t xml:space="preserve"> de </w:t>
          </w:r>
          <w:r>
            <w:rPr>
              <w:b/>
              <w:bCs/>
              <w:sz w:val="18"/>
              <w:szCs w:val="18"/>
            </w:rPr>
            <w:t>1</w:t>
          </w:r>
        </w:p>
      </w:tc>
    </w:tr>
  </w:tbl>
  <w:p w14:paraId="1FF033EB" w14:textId="77777777" w:rsidR="00A278E7" w:rsidRDefault="00000000" w:rsidP="00C734A4">
    <w:pPr>
      <w:pStyle w:val="Piedepgina"/>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2F676F" w14:textId="77777777" w:rsidR="00C734A4" w:rsidRDefault="00193555" w:rsidP="00C734A4">
    <w:pPr>
      <w:pStyle w:val="Piedepgina"/>
      <w:jc w:val="center"/>
    </w:pPr>
    <w:r>
      <w:rPr>
        <w:noProof/>
      </w:rPr>
      <w:drawing>
        <wp:inline distT="0" distB="0" distL="0" distR="0" wp14:anchorId="411CE2DE" wp14:editId="0C3832DF">
          <wp:extent cx="1562642" cy="365821"/>
          <wp:effectExtent l="0" t="0" r="0" b="0"/>
          <wp:docPr id="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
                    <a:extLst>
                      <a:ext uri="{28A0092B-C50C-407E-A947-70E740481C1C}">
                        <a14:useLocalDpi xmlns:a14="http://schemas.microsoft.com/office/drawing/2010/main" val="0"/>
                      </a:ext>
                    </a:extLst>
                  </a:blip>
                  <a:stretch>
                    <a:fillRect/>
                  </a:stretch>
                </pic:blipFill>
                <pic:spPr>
                  <a:xfrm>
                    <a:off x="0" y="0"/>
                    <a:ext cx="1562642" cy="365821"/>
                  </a:xfrm>
                  <a:prstGeom prst="rect">
                    <a:avLst/>
                  </a:prstGeom>
                </pic:spPr>
              </pic:pic>
            </a:graphicData>
          </a:graphic>
        </wp:inline>
      </w:drawing>
    </w:r>
  </w:p>
  <w:p w14:paraId="449FEC09" w14:textId="77777777" w:rsidR="00C734A4" w:rsidRPr="009A67BC" w:rsidRDefault="00193555" w:rsidP="00C734A4">
    <w:pPr>
      <w:pStyle w:val="Piedepgina"/>
    </w:pPr>
    <w:r>
      <w:rPr>
        <w:noProof/>
      </w:rPr>
      <w:drawing>
        <wp:inline distT="0" distB="0" distL="0" distR="0" wp14:anchorId="63044EC8" wp14:editId="374F2A38">
          <wp:extent cx="5607050" cy="362585"/>
          <wp:effectExtent l="0" t="0" r="635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2">
                    <a:extLst>
                      <a:ext uri="{28A0092B-C50C-407E-A947-70E740481C1C}">
                        <a14:useLocalDpi xmlns:a14="http://schemas.microsoft.com/office/drawing/2010/main" val="0"/>
                      </a:ext>
                    </a:extLst>
                  </a:blip>
                  <a:stretch>
                    <a:fillRect/>
                  </a:stretch>
                </pic:blipFill>
                <pic:spPr>
                  <a:xfrm>
                    <a:off x="0" y="0"/>
                    <a:ext cx="5607050" cy="36258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850F54" w14:textId="77777777" w:rsidR="00EA4AB4" w:rsidRDefault="00EA4AB4" w:rsidP="008D3390">
      <w:pPr>
        <w:spacing w:after="0" w:line="240" w:lineRule="auto"/>
      </w:pPr>
      <w:r>
        <w:separator/>
      </w:r>
    </w:p>
  </w:footnote>
  <w:footnote w:type="continuationSeparator" w:id="0">
    <w:p w14:paraId="067F058B" w14:textId="77777777" w:rsidR="00EA4AB4" w:rsidRDefault="00EA4AB4" w:rsidP="008D3390">
      <w:pPr>
        <w:spacing w:after="0" w:line="240" w:lineRule="auto"/>
      </w:pPr>
      <w:r>
        <w:continuationSeparator/>
      </w:r>
    </w:p>
  </w:footnote>
  <w:footnote w:id="1">
    <w:p w14:paraId="73137ED5" w14:textId="77777777" w:rsidR="008D3390" w:rsidRPr="00C2278F" w:rsidRDefault="008D3390" w:rsidP="008D3390">
      <w:pPr>
        <w:pStyle w:val="Textonotapie"/>
        <w:ind w:firstLine="709"/>
        <w:jc w:val="both"/>
        <w:rPr>
          <w:rFonts w:ascii="Arial" w:hAnsi="Arial" w:cs="Arial"/>
          <w:sz w:val="19"/>
          <w:szCs w:val="19"/>
        </w:rPr>
      </w:pPr>
      <w:r w:rsidRPr="00C2278F">
        <w:rPr>
          <w:rStyle w:val="Refdenotaalpie"/>
          <w:rFonts w:ascii="Arial" w:hAnsi="Arial" w:cs="Arial"/>
          <w:sz w:val="19"/>
          <w:szCs w:val="19"/>
        </w:rPr>
        <w:footnoteRef/>
      </w:r>
      <w:r w:rsidRPr="00C2278F">
        <w:rPr>
          <w:rFonts w:ascii="Arial" w:hAnsi="Arial" w:cs="Arial"/>
          <w:sz w:val="19"/>
          <w:szCs w:val="19"/>
        </w:rPr>
        <w:t xml:space="preserve"> </w:t>
      </w:r>
      <w:r w:rsidRPr="00C2278F">
        <w:rPr>
          <w:rFonts w:ascii="Arial" w:eastAsia="Times New Roman" w:hAnsi="Arial" w:cs="Arial"/>
          <w:color w:val="000000"/>
          <w:sz w:val="19"/>
          <w:szCs w:val="19"/>
          <w:bdr w:val="none" w:sz="0" w:space="0" w:color="auto" w:frame="1"/>
          <w:lang w:eastAsia="es-CO"/>
        </w:rPr>
        <w:t>El parágrafo 3 del artículo 2 de la Ley 1150 de 2007 facultó por primera vez al Gobierno nacional para adoptar estándares generales en los pliegos de condiciones, razón por la cual dispuso lo siguiente: «El Gobierno Nacional tendrá la facultad de estandarizar las condiciones generales de los pliegos de condiciones y los contratos de las entidades estatales, cuando se trate de la adquisición o suministro de bienes y servicios de características técnicas uniformes y de común utilización por parte de las entidades». </w:t>
      </w:r>
    </w:p>
  </w:footnote>
  <w:footnote w:id="2">
    <w:p w14:paraId="4DF59F13" w14:textId="77777777" w:rsidR="008D3390" w:rsidRPr="00C2278F" w:rsidRDefault="008D3390" w:rsidP="008D3390">
      <w:pPr>
        <w:pStyle w:val="Textonotapie"/>
        <w:ind w:firstLine="708"/>
        <w:jc w:val="both"/>
        <w:rPr>
          <w:rFonts w:ascii="Arial" w:hAnsi="Arial" w:cs="Arial"/>
          <w:sz w:val="19"/>
          <w:szCs w:val="19"/>
        </w:rPr>
      </w:pPr>
      <w:r w:rsidRPr="00C2278F">
        <w:rPr>
          <w:rStyle w:val="Refdenotaalpie"/>
          <w:rFonts w:ascii="Arial" w:hAnsi="Arial" w:cs="Arial"/>
          <w:sz w:val="19"/>
          <w:szCs w:val="19"/>
        </w:rPr>
        <w:footnoteRef/>
      </w:r>
      <w:r w:rsidRPr="00C2278F">
        <w:rPr>
          <w:rFonts w:ascii="Arial" w:hAnsi="Arial" w:cs="Arial"/>
          <w:sz w:val="19"/>
          <w:szCs w:val="19"/>
        </w:rPr>
        <w:t xml:space="preserve"> El artículo 1 de la Ley 2022 de 2020 modifica el artículo 4 de la Ley 1882 de 2018, el cual adicionó el parágrafo 7 al artículo 2 de la Ley 1150 de 2007 y dispone que: «La Agencia Nacional de Contratación Pública Colombia Compra Eficiente o quien haga sus veces, adoptará documentos tipo que serán de obligatorio cumplimiento en la actividad contractual de todas las entidades sometidas al Estatuto General de Contratación de la Administración Pública.</w:t>
      </w:r>
    </w:p>
    <w:p w14:paraId="62E472BE" w14:textId="77777777" w:rsidR="008D3390" w:rsidRPr="00C2278F" w:rsidRDefault="008D3390" w:rsidP="008D3390">
      <w:pPr>
        <w:pStyle w:val="Textonotapie"/>
        <w:ind w:firstLine="708"/>
        <w:jc w:val="both"/>
        <w:rPr>
          <w:rFonts w:ascii="Arial" w:hAnsi="Arial" w:cs="Arial"/>
          <w:sz w:val="19"/>
          <w:szCs w:val="19"/>
        </w:rPr>
      </w:pPr>
      <w:r w:rsidRPr="00C2278F">
        <w:rPr>
          <w:rFonts w:ascii="Arial" w:hAnsi="Arial" w:cs="Arial"/>
          <w:sz w:val="19"/>
          <w:szCs w:val="19"/>
        </w:rPr>
        <w:t>»Dentro de estos documentos tipo, se establecerán los requisitos habilitantes, factores técnicos, económicos y otros factores de escogencia, así como aquellos requisitos que, previa justificación, representen buenas prácticas contractuales que procuren el adecuado desarrollo de los principios que rigen la contratación pública.</w:t>
      </w:r>
    </w:p>
    <w:p w14:paraId="7112D0DE" w14:textId="77777777" w:rsidR="008D3390" w:rsidRPr="00C2278F" w:rsidRDefault="008D3390" w:rsidP="008D3390">
      <w:pPr>
        <w:pStyle w:val="Textonotapie"/>
        <w:ind w:firstLine="708"/>
        <w:jc w:val="both"/>
        <w:rPr>
          <w:rFonts w:ascii="Arial" w:hAnsi="Arial" w:cs="Arial"/>
          <w:sz w:val="19"/>
          <w:szCs w:val="19"/>
        </w:rPr>
      </w:pPr>
      <w:r w:rsidRPr="00C2278F">
        <w:rPr>
          <w:rFonts w:ascii="Arial" w:hAnsi="Arial" w:cs="Arial"/>
          <w:sz w:val="19"/>
          <w:szCs w:val="19"/>
        </w:rPr>
        <w:t>»Con el ánimo de promover la descentralización, el empleo local, el desarrollo, los servicios e industria local, en la adopción de los documentos tipo, se tendrá en cuenta las características propias de las regiones, la cuantía, el fomento de la economía local y la naturaleza y especialidad de la contratación. Para tal efecto se deberá llevar a cabo un proceso de capacitación para los municipios.</w:t>
      </w:r>
    </w:p>
    <w:p w14:paraId="79E3B96C" w14:textId="77777777" w:rsidR="008D3390" w:rsidRPr="00C2278F" w:rsidRDefault="008D3390" w:rsidP="008D3390">
      <w:pPr>
        <w:pStyle w:val="Textonotapie"/>
        <w:ind w:firstLine="708"/>
        <w:jc w:val="both"/>
        <w:rPr>
          <w:rFonts w:ascii="Arial" w:hAnsi="Arial" w:cs="Arial"/>
          <w:sz w:val="19"/>
          <w:szCs w:val="19"/>
        </w:rPr>
      </w:pPr>
      <w:r w:rsidRPr="00C2278F">
        <w:rPr>
          <w:rFonts w:ascii="Arial" w:hAnsi="Arial" w:cs="Arial"/>
          <w:sz w:val="19"/>
          <w:szCs w:val="19"/>
        </w:rPr>
        <w:t>»La Agencia Nacional de Contratación Pública Colombia Compra Eficiente fijará un cronograma, y definirá en coordinación con las entidades técnicas o especializadas correspondientes el procedimiento para implementar gradualmente los documentos tipo, con el propósito de facilitar la incorporación de estos en el sistema de compra pública y deberá establecer el procedimiento para recibir y revisar comentarios de los interesados, así como un sistema para la revisión constante de los documentos tipo, que expida.</w:t>
      </w:r>
    </w:p>
    <w:p w14:paraId="304D7047" w14:textId="77777777" w:rsidR="008D3390" w:rsidRPr="00C2278F" w:rsidRDefault="008D3390" w:rsidP="008D3390">
      <w:pPr>
        <w:pStyle w:val="Textonotapie"/>
        <w:ind w:firstLine="708"/>
        <w:jc w:val="both"/>
        <w:rPr>
          <w:rFonts w:ascii="Arial" w:hAnsi="Arial" w:cs="Arial"/>
          <w:sz w:val="19"/>
          <w:szCs w:val="19"/>
          <w:lang w:val="es-ES"/>
        </w:rPr>
      </w:pPr>
      <w:r w:rsidRPr="00C2278F">
        <w:rPr>
          <w:rFonts w:ascii="Arial" w:hAnsi="Arial" w:cs="Arial"/>
          <w:sz w:val="19"/>
          <w:szCs w:val="19"/>
        </w:rPr>
        <w:t>»En todo caso, serán de uso obligatorio los documentos tipo para los pliegos de condiciones de los procesos de selección de obras públicas, interventoría para las obras públicas interventoría para consultoría de estudios y diseños para obras públicas, consultoría en ingeniería para obras, que lleven a cabo todas las entidades sometidas al Estatuto General de Contratación de la Administración Pública, en los términos fijados mediante la reglamentación correspondiente».</w:t>
      </w:r>
    </w:p>
  </w:footnote>
  <w:footnote w:id="3">
    <w:p w14:paraId="25D91A01" w14:textId="77777777" w:rsidR="008D3390" w:rsidRPr="00C2278F" w:rsidRDefault="008D3390" w:rsidP="008D3390">
      <w:pPr>
        <w:pStyle w:val="Textonotapie"/>
        <w:ind w:firstLine="708"/>
        <w:jc w:val="both"/>
        <w:rPr>
          <w:rFonts w:ascii="Arial" w:hAnsi="Arial" w:cs="Arial"/>
          <w:sz w:val="19"/>
          <w:szCs w:val="19"/>
          <w:lang w:val="es-ES"/>
        </w:rPr>
      </w:pPr>
      <w:r w:rsidRPr="00C2278F">
        <w:rPr>
          <w:rStyle w:val="Refdenotaalpie"/>
          <w:rFonts w:ascii="Arial" w:hAnsi="Arial" w:cs="Arial"/>
          <w:sz w:val="19"/>
          <w:szCs w:val="19"/>
        </w:rPr>
        <w:footnoteRef/>
      </w:r>
      <w:r w:rsidRPr="00C2278F">
        <w:rPr>
          <w:rFonts w:ascii="Arial" w:hAnsi="Arial" w:cs="Arial"/>
          <w:sz w:val="19"/>
          <w:szCs w:val="19"/>
        </w:rPr>
        <w:t xml:space="preserve"> Código: CCE-EICP-GI-14. Versión 1</w:t>
      </w:r>
    </w:p>
  </w:footnote>
  <w:footnote w:id="4">
    <w:p w14:paraId="29F52FCA" w14:textId="77777777" w:rsidR="0017409A" w:rsidRPr="009374A8" w:rsidRDefault="0017409A" w:rsidP="0017409A">
      <w:pPr>
        <w:pStyle w:val="Textonotapie"/>
        <w:ind w:firstLine="708"/>
        <w:jc w:val="both"/>
        <w:rPr>
          <w:rFonts w:ascii="Arial" w:hAnsi="Arial" w:cs="Arial"/>
          <w:sz w:val="19"/>
          <w:szCs w:val="19"/>
        </w:rPr>
      </w:pPr>
      <w:r w:rsidRPr="009374A8">
        <w:rPr>
          <w:rStyle w:val="Refdenotaalpie"/>
          <w:rFonts w:ascii="Arial" w:hAnsi="Arial" w:cs="Arial"/>
          <w:sz w:val="19"/>
          <w:szCs w:val="19"/>
        </w:rPr>
        <w:footnoteRef/>
      </w:r>
      <w:r w:rsidRPr="009374A8">
        <w:rPr>
          <w:rFonts w:ascii="Arial" w:hAnsi="Arial" w:cs="Arial"/>
          <w:sz w:val="19"/>
          <w:szCs w:val="19"/>
        </w:rPr>
        <w:t xml:space="preserve"> «Artículo 6 Vigencia. La presente resolución rige a partir de su publicación y comenzará a aplicarse, de manera gradual y progresiva, en los procedimientos de selección de licitación de obra pública de infraestructura social de acuerdo con el siguiente cronograma:</w:t>
      </w:r>
    </w:p>
    <w:p w14:paraId="3E371FCA" w14:textId="31EBCA38" w:rsidR="0017409A" w:rsidRPr="009374A8" w:rsidRDefault="007C51E7" w:rsidP="0017409A">
      <w:pPr>
        <w:pStyle w:val="Textonotapie"/>
        <w:ind w:firstLine="708"/>
        <w:jc w:val="both"/>
        <w:rPr>
          <w:rFonts w:ascii="Arial" w:hAnsi="Arial" w:cs="Arial"/>
          <w:sz w:val="19"/>
          <w:szCs w:val="19"/>
        </w:rPr>
      </w:pPr>
      <w:r>
        <w:rPr>
          <w:rFonts w:ascii="Arial" w:hAnsi="Arial" w:cs="Arial"/>
          <w:sz w:val="19"/>
          <w:szCs w:val="19"/>
        </w:rPr>
        <w:t>»</w:t>
      </w:r>
      <w:r w:rsidR="0017409A" w:rsidRPr="009374A8">
        <w:rPr>
          <w:rFonts w:ascii="Arial" w:hAnsi="Arial" w:cs="Arial"/>
          <w:sz w:val="19"/>
          <w:szCs w:val="19"/>
        </w:rPr>
        <w:t xml:space="preserve">1. Las entidades de los sectores central y descentralizado de la Rama Ejecutiva del orden nacional deberán aplicar lo dispuesto en esta resolución en los procedimientos de selección de licitación de obra pública de infraestructura social, cuyo aviso de convocatoria sea publicado a partir del 2 de noviembre de 2021. </w:t>
      </w:r>
    </w:p>
    <w:p w14:paraId="63CB6631" w14:textId="3125D908" w:rsidR="0017409A" w:rsidRPr="009374A8" w:rsidRDefault="007C51E7" w:rsidP="0017409A">
      <w:pPr>
        <w:pStyle w:val="Textonotapie"/>
        <w:ind w:firstLine="708"/>
        <w:jc w:val="both"/>
        <w:rPr>
          <w:rFonts w:ascii="Arial" w:hAnsi="Arial" w:cs="Arial"/>
          <w:sz w:val="19"/>
          <w:szCs w:val="19"/>
        </w:rPr>
      </w:pPr>
      <w:r>
        <w:rPr>
          <w:rFonts w:ascii="Arial" w:hAnsi="Arial" w:cs="Arial"/>
          <w:sz w:val="19"/>
          <w:szCs w:val="19"/>
        </w:rPr>
        <w:t>»</w:t>
      </w:r>
      <w:r w:rsidR="0017409A" w:rsidRPr="009374A8">
        <w:rPr>
          <w:rFonts w:ascii="Arial" w:hAnsi="Arial" w:cs="Arial"/>
          <w:sz w:val="19"/>
          <w:szCs w:val="19"/>
        </w:rPr>
        <w:t xml:space="preserve">2. Las entidades del sector central y del sector descentralizado de los niveles municipales y distrital de los municipios y distritos que sean capitales de departamento deberán aplicar lo dispuesto en esta resolución en los procedimientos de selección de licitación de obra pública de infraestructura social, cuyo aviso de convocatoria sea publicado a partir del 1 de febrero de 2022. </w:t>
      </w:r>
    </w:p>
    <w:p w14:paraId="0D1C4F87" w14:textId="0B6F5A08" w:rsidR="0017409A" w:rsidRPr="009374A8" w:rsidRDefault="007C51E7" w:rsidP="0017409A">
      <w:pPr>
        <w:pStyle w:val="Textonotapie"/>
        <w:ind w:firstLine="708"/>
        <w:jc w:val="both"/>
        <w:rPr>
          <w:rFonts w:ascii="Arial" w:hAnsi="Arial" w:cs="Arial"/>
          <w:sz w:val="19"/>
          <w:szCs w:val="19"/>
        </w:rPr>
      </w:pPr>
      <w:r>
        <w:rPr>
          <w:rFonts w:ascii="Arial" w:hAnsi="Arial" w:cs="Arial"/>
          <w:sz w:val="19"/>
          <w:szCs w:val="19"/>
        </w:rPr>
        <w:t>»</w:t>
      </w:r>
      <w:r w:rsidR="0017409A" w:rsidRPr="009374A8">
        <w:rPr>
          <w:rFonts w:ascii="Arial" w:hAnsi="Arial" w:cs="Arial"/>
          <w:sz w:val="19"/>
          <w:szCs w:val="19"/>
        </w:rPr>
        <w:t>3. Las entidades del sector central y del sector descentralizado del nivel departamental, así como las de los municipios de categorías especial, 1, 2 y 3, no cobijadas por los anteriores numerales del presente artículo, deberán aplicar lo dispuesto en esta resolución en los procedimientos de selección de licitación de obra pública de infraestructura social, cuyo aviso de convocatoria sea publicado a partir del 1 de marzo de 2022.</w:t>
      </w:r>
    </w:p>
    <w:p w14:paraId="1223ACD6" w14:textId="77953080" w:rsidR="0017409A" w:rsidRPr="009374A8" w:rsidRDefault="007C51E7" w:rsidP="0017409A">
      <w:pPr>
        <w:pStyle w:val="Textonotapie"/>
        <w:ind w:firstLine="708"/>
        <w:jc w:val="both"/>
        <w:rPr>
          <w:rFonts w:ascii="Arial" w:hAnsi="Arial" w:cs="Arial"/>
          <w:sz w:val="19"/>
          <w:szCs w:val="19"/>
        </w:rPr>
      </w:pPr>
      <w:r>
        <w:rPr>
          <w:rFonts w:ascii="Arial" w:hAnsi="Arial" w:cs="Arial"/>
          <w:sz w:val="19"/>
          <w:szCs w:val="19"/>
        </w:rPr>
        <w:t>»</w:t>
      </w:r>
      <w:r w:rsidR="0017409A" w:rsidRPr="009374A8">
        <w:rPr>
          <w:rFonts w:ascii="Arial" w:hAnsi="Arial" w:cs="Arial"/>
          <w:sz w:val="19"/>
          <w:szCs w:val="19"/>
        </w:rPr>
        <w:t>4. Las entidades del sector central y del sector descentralizado del nivel municipal, en las categorías 4, 5 y 6, al igual que las demás entidades estatales regidas por el Estatuto General de Contratación de la Administración Pública no cobijadas por los anteriores numerales del presente artículo, deberán aplicar lo dispuesto en esta resolución en los procedimientos de selección de licitación de obra pública de infraestructura social, cuyo aviso de convocatoria sea publicado a partir del 1 de abril de 2022.</w:t>
      </w:r>
    </w:p>
    <w:p w14:paraId="7DAA4975" w14:textId="20A85AFE" w:rsidR="0017409A" w:rsidRPr="009374A8" w:rsidRDefault="007C51E7" w:rsidP="00340D2E">
      <w:pPr>
        <w:pStyle w:val="Textonotapie"/>
        <w:ind w:firstLine="708"/>
        <w:jc w:val="both"/>
        <w:rPr>
          <w:rFonts w:ascii="Arial" w:hAnsi="Arial" w:cs="Arial"/>
          <w:sz w:val="19"/>
          <w:szCs w:val="19"/>
        </w:rPr>
      </w:pPr>
      <w:r>
        <w:rPr>
          <w:rFonts w:ascii="Arial" w:hAnsi="Arial" w:cs="Arial"/>
          <w:sz w:val="19"/>
          <w:szCs w:val="19"/>
        </w:rPr>
        <w:t>»</w:t>
      </w:r>
      <w:r w:rsidR="0017409A" w:rsidRPr="009374A8">
        <w:rPr>
          <w:rFonts w:ascii="Arial" w:hAnsi="Arial" w:cs="Arial"/>
          <w:sz w:val="19"/>
          <w:szCs w:val="19"/>
        </w:rPr>
        <w:t>Parágrafo. La aplicación de los documentos tipo de licitación de obra pública de infraestructura social en los procesos de selección comienza a ser obligatoria para las entidades estatales de acuerdo con lo dispuesto en este artículo. Esto sin perjuicio de que las entidades estatales, en el marco de la autonomía y discrecionalidad que les asiste, a modo de buena práctica contractual, decidan acoger el contenido de los documentos tipo en los procesos de selección que adelanten antes de las fechas señaladas».</w:t>
      </w:r>
    </w:p>
    <w:p w14:paraId="08D104CB" w14:textId="77777777" w:rsidR="0017409A" w:rsidRPr="009374A8" w:rsidRDefault="0017409A" w:rsidP="0017409A">
      <w:pPr>
        <w:pStyle w:val="Textonotapie"/>
        <w:rPr>
          <w:rFonts w:ascii="Arial" w:hAnsi="Arial" w:cs="Arial"/>
          <w:sz w:val="19"/>
          <w:szCs w:val="19"/>
        </w:rPr>
      </w:pPr>
    </w:p>
  </w:footnote>
  <w:footnote w:id="5">
    <w:p w14:paraId="55B199D1" w14:textId="77777777" w:rsidR="0017409A" w:rsidRPr="00CC0111" w:rsidRDefault="0017409A" w:rsidP="0017409A">
      <w:pPr>
        <w:pStyle w:val="Textonotapie"/>
        <w:ind w:firstLine="708"/>
        <w:jc w:val="both"/>
        <w:rPr>
          <w:rFonts w:ascii="Arial" w:hAnsi="Arial" w:cs="Arial"/>
          <w:sz w:val="18"/>
          <w:szCs w:val="18"/>
        </w:rPr>
      </w:pPr>
      <w:r w:rsidRPr="009374A8">
        <w:rPr>
          <w:rStyle w:val="Refdenotaalpie"/>
          <w:rFonts w:ascii="Arial" w:hAnsi="Arial" w:cs="Arial"/>
          <w:sz w:val="19"/>
          <w:szCs w:val="19"/>
        </w:rPr>
        <w:footnoteRef/>
      </w:r>
      <w:r w:rsidRPr="009374A8">
        <w:rPr>
          <w:rFonts w:ascii="Arial" w:hAnsi="Arial" w:cs="Arial"/>
          <w:sz w:val="19"/>
          <w:szCs w:val="19"/>
        </w:rPr>
        <w:t xml:space="preserve"> </w:t>
      </w:r>
      <w:r w:rsidRPr="00CC0111">
        <w:rPr>
          <w:rFonts w:ascii="Arial" w:hAnsi="Arial" w:cs="Arial"/>
          <w:sz w:val="18"/>
          <w:szCs w:val="18"/>
        </w:rPr>
        <w:t xml:space="preserve">«Artículo 4. Vigencia. La presente resolución rige a partir de su publicación y comenzará a aplicarse, de manera gradual y progresiva, en los procedimientos de selección de licitación de obra pública de infraestructura social asociados al sector de cultura, recreación y deporte, de acuerdo con el siguiente cronograma: </w:t>
      </w:r>
    </w:p>
    <w:p w14:paraId="1966B800" w14:textId="77777777" w:rsidR="0017409A" w:rsidRPr="00CC0111" w:rsidRDefault="0017409A" w:rsidP="0017409A">
      <w:pPr>
        <w:pStyle w:val="Textonotapie"/>
        <w:ind w:firstLine="708"/>
        <w:jc w:val="both"/>
        <w:rPr>
          <w:rFonts w:ascii="Arial" w:hAnsi="Arial" w:cs="Arial"/>
          <w:sz w:val="18"/>
          <w:szCs w:val="18"/>
        </w:rPr>
      </w:pPr>
      <w:r w:rsidRPr="00CC0111">
        <w:rPr>
          <w:rFonts w:ascii="Arial" w:hAnsi="Arial" w:cs="Arial"/>
          <w:sz w:val="18"/>
          <w:szCs w:val="18"/>
        </w:rPr>
        <w:t xml:space="preserve">1. Las entidades del sector central y descentralizado de la Rama Ejecutiva del orden nacional deberán aplicar lo dispuesto en esta resolución en los procedimientos de selección de licitación de obra pública, cuyo aviso de convocatoria sea publicado a partir del 1 de febrero de 2022. </w:t>
      </w:r>
    </w:p>
    <w:p w14:paraId="14ADA002" w14:textId="77777777" w:rsidR="0017409A" w:rsidRPr="00CC0111" w:rsidRDefault="0017409A" w:rsidP="0017409A">
      <w:pPr>
        <w:pStyle w:val="Textonotapie"/>
        <w:ind w:firstLine="708"/>
        <w:jc w:val="both"/>
        <w:rPr>
          <w:rFonts w:ascii="Arial" w:hAnsi="Arial" w:cs="Arial"/>
          <w:sz w:val="18"/>
          <w:szCs w:val="18"/>
        </w:rPr>
      </w:pPr>
      <w:r w:rsidRPr="00CC0111">
        <w:rPr>
          <w:rFonts w:ascii="Arial" w:hAnsi="Arial" w:cs="Arial"/>
          <w:sz w:val="18"/>
          <w:szCs w:val="18"/>
        </w:rPr>
        <w:t>2. Las entidades del sector central y del sector descentralizado de los niveles municipal y distrital de los municipios y distritos que sean capitales de departamentos deberán aplicar lo dispuesto en esta resolución en los procedimientos de selección de licitación de obra pública, cuyo aviso de convocatoria sea publicado a partir del 1 de marzo de 2022.</w:t>
      </w:r>
    </w:p>
    <w:p w14:paraId="63E0358E" w14:textId="77777777" w:rsidR="0017409A" w:rsidRPr="00CC0111" w:rsidRDefault="0017409A" w:rsidP="0017409A">
      <w:pPr>
        <w:pStyle w:val="Textonotapie"/>
        <w:ind w:firstLine="708"/>
        <w:jc w:val="both"/>
        <w:rPr>
          <w:rFonts w:ascii="Arial" w:hAnsi="Arial" w:cs="Arial"/>
          <w:sz w:val="18"/>
          <w:szCs w:val="18"/>
        </w:rPr>
      </w:pPr>
      <w:r w:rsidRPr="00CC0111">
        <w:rPr>
          <w:rFonts w:ascii="Arial" w:hAnsi="Arial" w:cs="Arial"/>
          <w:sz w:val="18"/>
          <w:szCs w:val="18"/>
        </w:rPr>
        <w:t xml:space="preserve">3. Las entidades del sector central y del sector descentralizado del nivel departamental, así como las de los municipios de categorías especial,1, 2 y 3, no cobijadas por los numerales anteriores del presente artículo, deberán aplicar lo dispuesto en esta resolución en los procedimientos de licitación de obra pública, cuyo aviso de convocatoria sea publicado a partir del 1 de abril de 2022. </w:t>
      </w:r>
    </w:p>
    <w:p w14:paraId="2B7377B5" w14:textId="77777777" w:rsidR="0017409A" w:rsidRPr="00CC0111" w:rsidRDefault="0017409A" w:rsidP="0017409A">
      <w:pPr>
        <w:pStyle w:val="Textonotapie"/>
        <w:ind w:firstLine="708"/>
        <w:jc w:val="both"/>
        <w:rPr>
          <w:rFonts w:ascii="Arial" w:hAnsi="Arial" w:cs="Arial"/>
          <w:sz w:val="18"/>
          <w:szCs w:val="18"/>
        </w:rPr>
      </w:pPr>
      <w:r w:rsidRPr="00CC0111">
        <w:rPr>
          <w:rFonts w:ascii="Arial" w:hAnsi="Arial" w:cs="Arial"/>
          <w:sz w:val="18"/>
          <w:szCs w:val="18"/>
        </w:rPr>
        <w:t>4. Las entidades del sector central y del sector descentralizado del nivel municipal, en las categorías 4, 5 y 6, al igual que las demás entidades estatales regidas por el Estatuto General de la Administración Pública no cobijadas por los anteriores numerales del presente artículo, deberán aplicar lo dispuesto en esta resolución en los procedimientos de selección de licitación de obra pública, cuyo aviso de convocatoria sea publicado a partir del 2 de mayo de 2022 […]».</w:t>
      </w:r>
    </w:p>
    <w:p w14:paraId="07C41C8B" w14:textId="77777777" w:rsidR="0017409A" w:rsidRPr="00CC0111" w:rsidRDefault="0017409A" w:rsidP="0017409A">
      <w:pPr>
        <w:pStyle w:val="Textonotapie"/>
        <w:ind w:firstLine="708"/>
        <w:jc w:val="both"/>
        <w:rPr>
          <w:rFonts w:ascii="Arial" w:hAnsi="Arial" w:cs="Arial"/>
          <w:sz w:val="18"/>
          <w:szCs w:val="18"/>
        </w:rPr>
      </w:pPr>
    </w:p>
  </w:footnote>
  <w:footnote w:id="6">
    <w:p w14:paraId="0CB8F602" w14:textId="77777777" w:rsidR="006C5583" w:rsidRPr="00E74C09" w:rsidRDefault="006C5583" w:rsidP="006C5583">
      <w:pPr>
        <w:pStyle w:val="Textonotapie"/>
        <w:ind w:firstLine="709"/>
        <w:jc w:val="both"/>
        <w:rPr>
          <w:rFonts w:ascii="Arial" w:hAnsi="Arial" w:cs="Arial"/>
          <w:sz w:val="19"/>
          <w:szCs w:val="19"/>
        </w:rPr>
      </w:pPr>
      <w:r w:rsidRPr="00E74C09">
        <w:rPr>
          <w:rStyle w:val="Refdenotaalpie"/>
          <w:rFonts w:ascii="Arial" w:hAnsi="Arial" w:cs="Arial"/>
          <w:sz w:val="19"/>
          <w:szCs w:val="19"/>
        </w:rPr>
        <w:footnoteRef/>
      </w:r>
      <w:r w:rsidRPr="00E74C09">
        <w:rPr>
          <w:rFonts w:ascii="Arial" w:hAnsi="Arial" w:cs="Arial"/>
          <w:sz w:val="19"/>
          <w:szCs w:val="19"/>
        </w:rPr>
        <w:t xml:space="preserve"> Es importante mencionar que este Decreto en el artículo 2 reglamentó el procedimiento de la mínima cuantía, incluyendo disposiciones particulares que se refieren a la contratación con Mipyme. Con base en estas disposiciones, la Agencia Nacional de Contratación Pública – Colombia Compra Eficiente expidió la Resolución 146 de 2022 «Por lo cual fue modifica los documentos tipo para proyectos de obra pública de infraestructura de transporte adelantados bajo la modalidad de mínima cuantía». En el siguiente link puede verificar la mencionada resolución: </w:t>
      </w:r>
      <w:hyperlink r:id="rId1" w:history="1">
        <w:r w:rsidRPr="00E74C09">
          <w:rPr>
            <w:rFonts w:ascii="Arial" w:hAnsi="Arial" w:cs="Arial"/>
            <w:sz w:val="19"/>
            <w:szCs w:val="19"/>
          </w:rPr>
          <w:t>https://www.colombiacompra.gov.co/content/08-modificacion-los-documentos-tipo-para-los-procesos-de-obra-publica-de-infraestructura-de</w:t>
        </w:r>
      </w:hyperlink>
      <w:r w:rsidRPr="00E74C09">
        <w:rPr>
          <w:rFonts w:ascii="Arial" w:hAnsi="Arial" w:cs="Arial"/>
          <w:sz w:val="19"/>
          <w:szCs w:val="19"/>
        </w:rPr>
        <w:t xml:space="preserve"> </w:t>
      </w:r>
    </w:p>
  </w:footnote>
  <w:footnote w:id="7">
    <w:p w14:paraId="2EC25BA8" w14:textId="77777777" w:rsidR="006C5583" w:rsidRPr="00E74C09" w:rsidRDefault="006C5583" w:rsidP="006C5583">
      <w:pPr>
        <w:pStyle w:val="NormalWeb"/>
        <w:shd w:val="clear" w:color="auto" w:fill="FFFFFF"/>
        <w:spacing w:before="0" w:beforeAutospacing="0" w:after="0" w:afterAutospacing="0"/>
        <w:ind w:firstLine="708"/>
        <w:jc w:val="both"/>
        <w:rPr>
          <w:rFonts w:ascii="Arial" w:hAnsi="Arial" w:cs="Arial"/>
          <w:color w:val="auto"/>
          <w:sz w:val="19"/>
          <w:szCs w:val="19"/>
        </w:rPr>
      </w:pPr>
      <w:r w:rsidRPr="00E74C09">
        <w:rPr>
          <w:rStyle w:val="Refdenotaalpie"/>
          <w:rFonts w:ascii="Arial" w:hAnsi="Arial" w:cs="Arial"/>
          <w:color w:val="auto"/>
          <w:sz w:val="19"/>
          <w:szCs w:val="19"/>
        </w:rPr>
        <w:footnoteRef/>
      </w:r>
      <w:r w:rsidRPr="00E74C09">
        <w:rPr>
          <w:rFonts w:ascii="Arial" w:hAnsi="Arial" w:cs="Arial"/>
          <w:color w:val="auto"/>
          <w:sz w:val="19"/>
          <w:szCs w:val="19"/>
        </w:rPr>
        <w:t xml:space="preserve"> «ARTÍCULO 2.2.1.2.4.2.14. Definición de emprendimientos y empresas de mujeres. Con el propósito de adoptar medidas afirmativas que incentiven la participación de las mujeres en el sistema de compras públicas, se entenderán como emprendimientos y empresas de mujeres aquellas que cumplan con alguna de las siguientes condiciones:</w:t>
      </w:r>
    </w:p>
    <w:p w14:paraId="714306F5" w14:textId="77777777" w:rsidR="006C5583" w:rsidRPr="00E74C09" w:rsidRDefault="006C5583" w:rsidP="006C5583">
      <w:pPr>
        <w:shd w:val="clear" w:color="auto" w:fill="FFFFFF"/>
        <w:spacing w:after="0" w:line="240" w:lineRule="auto"/>
        <w:ind w:firstLine="708"/>
        <w:jc w:val="both"/>
        <w:rPr>
          <w:rFonts w:ascii="Arial" w:eastAsia="Times New Roman" w:hAnsi="Arial" w:cs="Arial"/>
          <w:sz w:val="19"/>
          <w:szCs w:val="19"/>
          <w:lang w:eastAsia="es-CO"/>
        </w:rPr>
      </w:pPr>
      <w:r w:rsidRPr="00E74C09">
        <w:rPr>
          <w:rFonts w:ascii="Arial" w:eastAsia="Times New Roman" w:hAnsi="Arial" w:cs="Arial"/>
          <w:sz w:val="19"/>
          <w:szCs w:val="19"/>
          <w:lang w:eastAsia="es-CO"/>
        </w:rPr>
        <w:t>»1. Cuando más del cincuenta por ciento (50%) de las acciones, partes de interés o cuotas de participación de la persona jurídica pertenezcan a mujeres y los derechos de propiedad hayan pertenecido a estas durante al menos el último año anterior a la fecha de cierre del Proceso de Selección. Esta circunstancia se acreditará mediante certificación expedida por el representante legal y el revisor fiscal, cuando exista de acuerdo con los requerimientos de ley, o el contador, donde conste la distribución de los derechos en la sociedad y el tiempo en el que las mujeres han mantenido su participación.</w:t>
      </w:r>
    </w:p>
    <w:p w14:paraId="336ED76C" w14:textId="77777777" w:rsidR="006C5583" w:rsidRPr="00E74C09" w:rsidRDefault="006C5583" w:rsidP="006C5583">
      <w:pPr>
        <w:shd w:val="clear" w:color="auto" w:fill="FFFFFF"/>
        <w:spacing w:after="0" w:line="240" w:lineRule="auto"/>
        <w:ind w:firstLine="708"/>
        <w:jc w:val="both"/>
        <w:rPr>
          <w:rFonts w:ascii="Arial" w:eastAsia="Times New Roman" w:hAnsi="Arial" w:cs="Arial"/>
          <w:sz w:val="19"/>
          <w:szCs w:val="19"/>
          <w:lang w:eastAsia="es-CO"/>
        </w:rPr>
      </w:pPr>
      <w:r w:rsidRPr="00E74C09">
        <w:rPr>
          <w:rFonts w:ascii="Arial" w:eastAsia="Times New Roman" w:hAnsi="Arial" w:cs="Arial"/>
          <w:sz w:val="19"/>
          <w:szCs w:val="19"/>
          <w:lang w:eastAsia="es-CO"/>
        </w:rPr>
        <w:t>»2. Cuando por lo menos el cincuenta por ciento (50%) de los empleos del nivel directivo de la persona jurídica sean ejercidos por mujeres y éstas hayan estado vinculadas laboralmente a la empresa durante al menos el último año anterior a la fecha de cierre del Proceso de Selección en el mismo cargo u otro del mismo nivel.</w:t>
      </w:r>
    </w:p>
    <w:p w14:paraId="3E4B0BCC" w14:textId="77777777" w:rsidR="006C5583" w:rsidRPr="00E74C09" w:rsidRDefault="006C5583" w:rsidP="006C5583">
      <w:pPr>
        <w:shd w:val="clear" w:color="auto" w:fill="FFFFFF"/>
        <w:spacing w:after="0" w:line="240" w:lineRule="auto"/>
        <w:ind w:firstLine="708"/>
        <w:jc w:val="both"/>
        <w:rPr>
          <w:rFonts w:ascii="Arial" w:eastAsia="Times New Roman" w:hAnsi="Arial" w:cs="Arial"/>
          <w:sz w:val="19"/>
          <w:szCs w:val="19"/>
          <w:lang w:eastAsia="es-CO"/>
        </w:rPr>
      </w:pPr>
      <w:r w:rsidRPr="00E74C09">
        <w:rPr>
          <w:rFonts w:ascii="Arial" w:eastAsia="Times New Roman" w:hAnsi="Arial" w:cs="Arial"/>
          <w:sz w:val="19"/>
          <w:szCs w:val="19"/>
          <w:lang w:eastAsia="es-CO"/>
        </w:rPr>
        <w:t>»Se entenderá como empleos del nivel directivo aquellos cuyas funciones están relacionadas con la dirección de áreas misionales de la empresa y la toma de decisiones a nivel estratégico. En este sentido, serán cargos de nivel directivo los que dentro de la organización de la empresa se encuentran ubicados en un nivel de mando o los que por su jerarquía desempeñan cargos encaminados al cumplimiento de funciones orientadas a representar al empleador.</w:t>
      </w:r>
    </w:p>
    <w:p w14:paraId="60106879" w14:textId="77777777" w:rsidR="006C5583" w:rsidRPr="00E74C09" w:rsidRDefault="006C5583" w:rsidP="006C5583">
      <w:pPr>
        <w:shd w:val="clear" w:color="auto" w:fill="FFFFFF"/>
        <w:spacing w:after="0" w:line="240" w:lineRule="auto"/>
        <w:ind w:firstLine="708"/>
        <w:jc w:val="both"/>
        <w:rPr>
          <w:rFonts w:ascii="Arial" w:eastAsia="Times New Roman" w:hAnsi="Arial" w:cs="Arial"/>
          <w:sz w:val="19"/>
          <w:szCs w:val="19"/>
          <w:lang w:eastAsia="es-CO"/>
        </w:rPr>
      </w:pPr>
      <w:r w:rsidRPr="00E74C09">
        <w:rPr>
          <w:rFonts w:ascii="Arial" w:eastAsia="Times New Roman" w:hAnsi="Arial" w:cs="Arial"/>
          <w:sz w:val="19"/>
          <w:szCs w:val="19"/>
          <w:lang w:eastAsia="es-CO"/>
        </w:rPr>
        <w:t>»Esta circunstancia se acreditará mediante certificación expedida por el representante legal y el revisor fiscal, cuando exista de acuerdo con los requerimientos de ley, o el contador, donde se señale de manera detallada todas las personas que conforman los cargos de nivel directivo del proponente, el número de mujeres y el tiempo de vinculación.</w:t>
      </w:r>
    </w:p>
    <w:p w14:paraId="7084E237" w14:textId="77777777" w:rsidR="006C5583" w:rsidRPr="00E74C09" w:rsidRDefault="006C5583" w:rsidP="006C5583">
      <w:pPr>
        <w:shd w:val="clear" w:color="auto" w:fill="FFFFFF"/>
        <w:spacing w:after="0" w:line="240" w:lineRule="auto"/>
        <w:ind w:firstLine="708"/>
        <w:jc w:val="both"/>
        <w:rPr>
          <w:rFonts w:ascii="Arial" w:eastAsia="Times New Roman" w:hAnsi="Arial" w:cs="Arial"/>
          <w:sz w:val="19"/>
          <w:szCs w:val="19"/>
          <w:lang w:eastAsia="es-CO"/>
        </w:rPr>
      </w:pPr>
      <w:r w:rsidRPr="00E74C09">
        <w:rPr>
          <w:rFonts w:ascii="Arial" w:eastAsia="Times New Roman" w:hAnsi="Arial" w:cs="Arial"/>
          <w:sz w:val="19"/>
          <w:szCs w:val="19"/>
          <w:lang w:eastAsia="es-CO"/>
        </w:rPr>
        <w:t>»La certificación deberá relacionar el nombre completo y el número de documento de identidad de cada una de las personas que conforman el nivel directivo del proponente. Como soporte, se anexará copia de los respectivos documentos de identidad, copia de los contratos de trabajo o certificación laboral con las funciones, así como el certificado de aportes a seguridad social del último año en el que se demuestren los pagos realizados por el empleador.</w:t>
      </w:r>
    </w:p>
    <w:p w14:paraId="34E74647" w14:textId="77777777" w:rsidR="006C5583" w:rsidRPr="00E74C09" w:rsidRDefault="006C5583" w:rsidP="006C5583">
      <w:pPr>
        <w:shd w:val="clear" w:color="auto" w:fill="FFFFFF"/>
        <w:spacing w:after="0" w:line="240" w:lineRule="auto"/>
        <w:ind w:firstLine="708"/>
        <w:jc w:val="both"/>
        <w:rPr>
          <w:rFonts w:ascii="Arial" w:eastAsia="Times New Roman" w:hAnsi="Arial" w:cs="Arial"/>
          <w:sz w:val="19"/>
          <w:szCs w:val="19"/>
          <w:lang w:eastAsia="es-CO"/>
        </w:rPr>
      </w:pPr>
      <w:r w:rsidRPr="00E74C09">
        <w:rPr>
          <w:rFonts w:ascii="Arial" w:eastAsia="Times New Roman" w:hAnsi="Arial" w:cs="Arial"/>
          <w:sz w:val="19"/>
          <w:szCs w:val="19"/>
          <w:lang w:eastAsia="es-CO"/>
        </w:rPr>
        <w:t>»3. Cuando la persona natural sea una mujer y haya ejercido actividades comerciales a través de un establecimiento de comercio durante al menos el último año anterior a la fecha de cierre del proceso de selección. Esta circunstancia se acreditará mediante la copia de cédula de ciudadanía, la cédula de extranjería o el pasaporte, así como la copia del registro mercantil.</w:t>
      </w:r>
    </w:p>
    <w:p w14:paraId="277FD3A8" w14:textId="77777777" w:rsidR="006C5583" w:rsidRPr="00E74C09" w:rsidRDefault="006C5583" w:rsidP="006C5583">
      <w:pPr>
        <w:shd w:val="clear" w:color="auto" w:fill="FFFFFF"/>
        <w:spacing w:after="0" w:line="240" w:lineRule="auto"/>
        <w:ind w:firstLine="708"/>
        <w:jc w:val="both"/>
        <w:rPr>
          <w:rFonts w:ascii="Arial" w:eastAsia="Times New Roman" w:hAnsi="Arial" w:cs="Arial"/>
          <w:sz w:val="19"/>
          <w:szCs w:val="19"/>
          <w:lang w:eastAsia="es-CO"/>
        </w:rPr>
      </w:pPr>
      <w:r w:rsidRPr="00E74C09">
        <w:rPr>
          <w:rFonts w:ascii="Arial" w:eastAsia="Times New Roman" w:hAnsi="Arial" w:cs="Arial"/>
          <w:sz w:val="19"/>
          <w:szCs w:val="19"/>
          <w:lang w:eastAsia="es-CO"/>
        </w:rPr>
        <w:t>»4. Para las asociaciones y cooperativas, cuando más del cincuenta por ciento (50%) de los asociados sean mujeres y la participación haya correspondido a estas durante al menos el último año anterior a la fecha de cierre del Proceso de Selección. Esta circunstancia se acreditará mediante certificación expedida por el representante legal.</w:t>
      </w:r>
    </w:p>
    <w:p w14:paraId="6DE7A0E8" w14:textId="77777777" w:rsidR="006C5583" w:rsidRPr="00E74C09" w:rsidRDefault="006C5583" w:rsidP="006C5583">
      <w:pPr>
        <w:shd w:val="clear" w:color="auto" w:fill="FFFFFF"/>
        <w:spacing w:after="0" w:line="240" w:lineRule="auto"/>
        <w:ind w:firstLine="708"/>
        <w:jc w:val="both"/>
        <w:rPr>
          <w:rFonts w:ascii="Arial" w:hAnsi="Arial" w:cs="Arial"/>
          <w:sz w:val="19"/>
          <w:szCs w:val="19"/>
        </w:rPr>
      </w:pPr>
      <w:r w:rsidRPr="00E74C09">
        <w:rPr>
          <w:rFonts w:ascii="Arial" w:eastAsia="Times New Roman" w:hAnsi="Arial" w:cs="Arial"/>
          <w:sz w:val="19"/>
          <w:szCs w:val="19"/>
          <w:lang w:eastAsia="es-CO"/>
        </w:rPr>
        <w:t>»PARÁGRAFO. Respecto a los incentivos contractuales para los emprendimientos y empresas de mujeres, las certificaciones de trata el presente artículo deben expedirse bajo la gravedad de juramento con una fecha de máximo treinta (30) días calendario anteriores a la prevista para el cierre del procedimiento de selección».</w:t>
      </w:r>
    </w:p>
  </w:footnote>
  <w:footnote w:id="8">
    <w:p w14:paraId="6A14CC0E" w14:textId="77777777" w:rsidR="006C5583" w:rsidRPr="00E74C09" w:rsidRDefault="006C5583" w:rsidP="006C5583">
      <w:pPr>
        <w:spacing w:after="0" w:line="240" w:lineRule="auto"/>
        <w:ind w:firstLine="708"/>
        <w:jc w:val="both"/>
        <w:rPr>
          <w:rFonts w:ascii="Arial" w:eastAsia="Arial" w:hAnsi="Arial" w:cs="Arial"/>
          <w:sz w:val="19"/>
          <w:szCs w:val="19"/>
          <w:lang w:val="es-ES" w:eastAsia="es-CO"/>
        </w:rPr>
      </w:pPr>
      <w:r w:rsidRPr="00E74C09">
        <w:rPr>
          <w:rStyle w:val="Refdenotaalpie"/>
          <w:rFonts w:ascii="Arial" w:hAnsi="Arial" w:cs="Arial"/>
          <w:sz w:val="19"/>
          <w:szCs w:val="19"/>
        </w:rPr>
        <w:footnoteRef/>
      </w:r>
      <w:r w:rsidRPr="00E74C09">
        <w:rPr>
          <w:rFonts w:ascii="Arial" w:hAnsi="Arial" w:cs="Arial"/>
          <w:sz w:val="19"/>
          <w:szCs w:val="19"/>
        </w:rPr>
        <w:t xml:space="preserve"> </w:t>
      </w:r>
      <w:r w:rsidRPr="00E74C09">
        <w:rPr>
          <w:rFonts w:ascii="Arial" w:eastAsia="Arial" w:hAnsi="Arial" w:cs="Arial"/>
          <w:sz w:val="19"/>
          <w:szCs w:val="19"/>
          <w:lang w:eastAsia="es-CO"/>
        </w:rPr>
        <w:t>«Artículo 2.2.1.2.4.2.15. Criterios diferenciales para emprendimientos y empresas de mujeres en el sistema de compras públicas</w:t>
      </w:r>
      <w:r w:rsidRPr="00E74C09">
        <w:rPr>
          <w:rFonts w:ascii="Arial" w:eastAsia="Arial" w:hAnsi="Arial" w:cs="Arial"/>
          <w:i/>
          <w:iCs/>
          <w:sz w:val="19"/>
          <w:szCs w:val="19"/>
          <w:lang w:eastAsia="es-CO"/>
        </w:rPr>
        <w:t xml:space="preserve">. </w:t>
      </w:r>
      <w:r w:rsidRPr="00E74C09">
        <w:rPr>
          <w:rFonts w:ascii="Arial" w:eastAsia="Arial" w:hAnsi="Arial" w:cs="Arial"/>
          <w:sz w:val="19"/>
          <w:szCs w:val="19"/>
          <w:lang w:val="es-ES" w:eastAsia="es-CO"/>
        </w:rPr>
        <w:t xml:space="preserve">En los procesos de licitación pública, selección abreviada de menor cuantía y concurso de méritos, así como en los procesos competitivos que adelanten las Entidades Estatales no sometidas al Estatuto General de Contratación de la Administración Pública, las Entidades incluirán condiciones habilitantes para incentivar los emprendimientos y empresas de mujeres con domicilio en el territorio nacional. Para el efecto, los Documentos del Proceso deberán incorporar requisitos habilitantes diferenciales relacionados con alguno o algunos de los siguientes aspectos: </w:t>
      </w:r>
    </w:p>
    <w:p w14:paraId="3AE524F4" w14:textId="77777777" w:rsidR="006C5583" w:rsidRPr="00E74C09" w:rsidRDefault="006C5583" w:rsidP="006C5583">
      <w:pPr>
        <w:spacing w:after="0" w:line="240" w:lineRule="auto"/>
        <w:ind w:firstLine="708"/>
        <w:jc w:val="both"/>
        <w:rPr>
          <w:rFonts w:ascii="Arial" w:eastAsia="Arial" w:hAnsi="Arial" w:cs="Arial"/>
          <w:sz w:val="19"/>
          <w:szCs w:val="19"/>
          <w:lang w:val="es-ES" w:eastAsia="es-CO"/>
        </w:rPr>
      </w:pPr>
      <w:r w:rsidRPr="00E74C09">
        <w:rPr>
          <w:rFonts w:ascii="Arial" w:eastAsia="Arial" w:hAnsi="Arial" w:cs="Arial"/>
          <w:sz w:val="19"/>
          <w:szCs w:val="19"/>
          <w:lang w:val="es-ES" w:eastAsia="es-CO"/>
        </w:rPr>
        <w:t xml:space="preserve">»1. Tiempo de experiencia. </w:t>
      </w:r>
    </w:p>
    <w:p w14:paraId="03C785C0" w14:textId="77777777" w:rsidR="006C5583" w:rsidRPr="00E74C09" w:rsidRDefault="006C5583" w:rsidP="006C5583">
      <w:pPr>
        <w:spacing w:after="0" w:line="240" w:lineRule="auto"/>
        <w:ind w:firstLine="708"/>
        <w:jc w:val="both"/>
        <w:rPr>
          <w:rFonts w:ascii="Arial" w:eastAsia="Arial" w:hAnsi="Arial" w:cs="Arial"/>
          <w:sz w:val="19"/>
          <w:szCs w:val="19"/>
          <w:lang w:val="es-ES" w:eastAsia="es-CO"/>
        </w:rPr>
      </w:pPr>
      <w:r w:rsidRPr="00E74C09">
        <w:rPr>
          <w:rFonts w:ascii="Arial" w:eastAsia="Arial" w:hAnsi="Arial" w:cs="Arial"/>
          <w:sz w:val="19"/>
          <w:szCs w:val="19"/>
          <w:lang w:val="es-ES" w:eastAsia="es-CO"/>
        </w:rPr>
        <w:t xml:space="preserve">»2. Número de contratos para la acreditación de la experiencia. </w:t>
      </w:r>
    </w:p>
    <w:p w14:paraId="1862D9D0" w14:textId="77777777" w:rsidR="006C5583" w:rsidRPr="00E74C09" w:rsidRDefault="006C5583" w:rsidP="006C5583">
      <w:pPr>
        <w:spacing w:after="0" w:line="240" w:lineRule="auto"/>
        <w:ind w:firstLine="708"/>
        <w:jc w:val="both"/>
        <w:rPr>
          <w:rFonts w:ascii="Arial" w:eastAsia="Arial" w:hAnsi="Arial" w:cs="Arial"/>
          <w:sz w:val="19"/>
          <w:szCs w:val="19"/>
          <w:lang w:val="es-ES" w:eastAsia="es-CO"/>
        </w:rPr>
      </w:pPr>
      <w:r w:rsidRPr="00E74C09">
        <w:rPr>
          <w:rFonts w:ascii="Arial" w:eastAsia="Arial" w:hAnsi="Arial" w:cs="Arial"/>
          <w:sz w:val="19"/>
          <w:szCs w:val="19"/>
          <w:lang w:val="es-ES" w:eastAsia="es-CO"/>
        </w:rPr>
        <w:t xml:space="preserve">»3. Índices de capacidad financiera. </w:t>
      </w:r>
    </w:p>
    <w:p w14:paraId="234AC9D8" w14:textId="77777777" w:rsidR="006C5583" w:rsidRPr="00E74C09" w:rsidRDefault="006C5583" w:rsidP="006C5583">
      <w:pPr>
        <w:spacing w:after="0" w:line="240" w:lineRule="auto"/>
        <w:ind w:firstLine="708"/>
        <w:jc w:val="both"/>
        <w:rPr>
          <w:rFonts w:ascii="Arial" w:eastAsia="Arial" w:hAnsi="Arial" w:cs="Arial"/>
          <w:sz w:val="19"/>
          <w:szCs w:val="19"/>
          <w:lang w:val="es-ES" w:eastAsia="es-CO"/>
        </w:rPr>
      </w:pPr>
      <w:r w:rsidRPr="00E74C09">
        <w:rPr>
          <w:rFonts w:ascii="Arial" w:eastAsia="Arial" w:hAnsi="Arial" w:cs="Arial"/>
          <w:sz w:val="19"/>
          <w:szCs w:val="19"/>
          <w:lang w:val="es-ES" w:eastAsia="es-CO"/>
        </w:rPr>
        <w:t xml:space="preserve">»4. Índices de capacidad organizacional. </w:t>
      </w:r>
    </w:p>
    <w:p w14:paraId="072E2FAD" w14:textId="77777777" w:rsidR="006C5583" w:rsidRPr="00E74C09" w:rsidRDefault="006C5583" w:rsidP="006C5583">
      <w:pPr>
        <w:spacing w:after="0" w:line="240" w:lineRule="auto"/>
        <w:ind w:firstLine="708"/>
        <w:jc w:val="both"/>
        <w:rPr>
          <w:rFonts w:ascii="Arial" w:eastAsia="Arial" w:hAnsi="Arial" w:cs="Arial"/>
          <w:sz w:val="19"/>
          <w:szCs w:val="19"/>
          <w:lang w:val="es-ES" w:eastAsia="es-CO"/>
        </w:rPr>
      </w:pPr>
      <w:r w:rsidRPr="00E74C09">
        <w:rPr>
          <w:rFonts w:ascii="Arial" w:eastAsia="Arial" w:hAnsi="Arial" w:cs="Arial"/>
          <w:sz w:val="19"/>
          <w:szCs w:val="19"/>
          <w:lang w:val="es-ES" w:eastAsia="es-CO"/>
        </w:rPr>
        <w:t>»5. Valor de la garantía de seriedad de la oferta.</w:t>
      </w:r>
    </w:p>
    <w:p w14:paraId="11E7A8E9" w14:textId="77777777" w:rsidR="006C5583" w:rsidRPr="00E74C09" w:rsidRDefault="006C5583" w:rsidP="006C5583">
      <w:pPr>
        <w:spacing w:after="0" w:line="240" w:lineRule="auto"/>
        <w:ind w:firstLine="708"/>
        <w:jc w:val="both"/>
        <w:rPr>
          <w:rFonts w:ascii="Arial" w:eastAsia="Arial" w:hAnsi="Arial" w:cs="Arial"/>
          <w:sz w:val="19"/>
          <w:szCs w:val="19"/>
          <w:lang w:eastAsia="es-CO"/>
        </w:rPr>
      </w:pPr>
      <w:r w:rsidRPr="00E74C09">
        <w:rPr>
          <w:rFonts w:ascii="Arial" w:eastAsia="Arial" w:hAnsi="Arial" w:cs="Arial"/>
          <w:sz w:val="19"/>
          <w:szCs w:val="19"/>
          <w:lang w:eastAsia="es-CO"/>
        </w:rPr>
        <w:t>»Los requisitos mencionados deberán fijarse respetando las condiciones habilitantes requeridas para el cumplimiento adecuado del contrato, teniendo en cuenta el alcance de las obligaciones. En desarrollo de lo anterior, con la finalidad de beneficiar a las empresas y emprendimientos de mujeres, se establecerán condiciones más exigentes respecto a alguno o algunos de los criterios de participación antes enunciados frente a los demás proponentes que concurran al procedimiento de selección que no sean empresas o emprendimientos de mujeres.</w:t>
      </w:r>
    </w:p>
    <w:p w14:paraId="7F47BACC" w14:textId="77777777" w:rsidR="006C5583" w:rsidRPr="00E74C09" w:rsidRDefault="006C5583" w:rsidP="006C5583">
      <w:pPr>
        <w:spacing w:after="0" w:line="240" w:lineRule="auto"/>
        <w:ind w:firstLine="708"/>
        <w:jc w:val="both"/>
        <w:rPr>
          <w:rFonts w:ascii="Arial" w:eastAsia="Arial" w:hAnsi="Arial" w:cs="Arial"/>
          <w:sz w:val="19"/>
          <w:szCs w:val="19"/>
          <w:lang w:val="es-ES" w:eastAsia="es-CO"/>
        </w:rPr>
      </w:pPr>
      <w:r w:rsidRPr="00E74C09">
        <w:rPr>
          <w:rFonts w:ascii="Arial" w:eastAsia="Arial" w:hAnsi="Arial" w:cs="Arial"/>
          <w:sz w:val="19"/>
          <w:szCs w:val="19"/>
          <w:lang w:val="es-ES" w:eastAsia="es-CO"/>
        </w:rPr>
        <w:t>»De manera que no se ponga en riesgo el cumplimiento adecuado del objeto contractual, con excepción de los procedimientos donde el menor precio ofrecido sea el único factor de evaluación, las Entidades también otorgarán un puntaje adicional de hasta el cero punto veinticinco por ciento (0.25%) del valor total de los puntos establecidos en los pliegos de condiciones o documentos equivalentes, a los proponentes que acrediten alguno de los supuestos del artículo 2.2.1.2.4.2.14 del presente Decreto.</w:t>
      </w:r>
    </w:p>
    <w:p w14:paraId="7DD6213C" w14:textId="77777777" w:rsidR="006C5583" w:rsidRPr="00E74C09" w:rsidRDefault="006C5583" w:rsidP="006C5583">
      <w:pPr>
        <w:spacing w:after="0" w:line="240" w:lineRule="auto"/>
        <w:ind w:firstLine="708"/>
        <w:jc w:val="both"/>
        <w:rPr>
          <w:rFonts w:ascii="Arial" w:eastAsia="Times New Roman" w:hAnsi="Arial" w:cs="Arial"/>
          <w:sz w:val="19"/>
          <w:szCs w:val="19"/>
          <w:lang w:eastAsia="es-MX"/>
        </w:rPr>
      </w:pPr>
      <w:r w:rsidRPr="00E74C09">
        <w:rPr>
          <w:rFonts w:ascii="Arial" w:eastAsia="Times New Roman" w:hAnsi="Arial" w:cs="Arial"/>
          <w:sz w:val="19"/>
          <w:szCs w:val="19"/>
          <w:lang w:eastAsia="es-MX"/>
        </w:rPr>
        <w:t>»Las Entidades incluirán estos requisitos diferenciales y puntajes adicionales de acuerdo con los resultados del análisis del sector, desde la perspectiva del estudio de la oferta de las obras, bienes o servicios que requiere, sin perjuicio de los compromisos adquiridos por Colombia en los Acuerdos Comerciales vigentes.</w:t>
      </w:r>
    </w:p>
    <w:p w14:paraId="1AC60830" w14:textId="77777777" w:rsidR="006C5583" w:rsidRPr="00E74C09" w:rsidRDefault="006C5583" w:rsidP="006C5583">
      <w:pPr>
        <w:spacing w:after="0" w:line="240" w:lineRule="auto"/>
        <w:ind w:firstLine="708"/>
        <w:jc w:val="both"/>
        <w:rPr>
          <w:rFonts w:ascii="Arial" w:eastAsia="Arial" w:hAnsi="Arial" w:cs="Arial"/>
          <w:sz w:val="19"/>
          <w:szCs w:val="19"/>
          <w:lang w:val="es-ES" w:eastAsia="es-CO"/>
        </w:rPr>
      </w:pPr>
      <w:r w:rsidRPr="00E74C09">
        <w:rPr>
          <w:rFonts w:ascii="Arial" w:eastAsia="Arial" w:hAnsi="Arial" w:cs="Arial"/>
          <w:sz w:val="19"/>
          <w:szCs w:val="19"/>
          <w:lang w:val="es-ES" w:eastAsia="es-CO"/>
        </w:rPr>
        <w:t>»Parágrafo 1. Tratándose de proponentes plurales, los criterios diferenciales y los puntajes adicionales solo se aplicarán si por lo menos uno de los integrantes acredita que es emprendimiento y empresa de mujeres bajo los criterios dispuestos en el artículo precedente y que tiene una participación igual o superior al diez por ciento (10%) en el consorcio o la unión temporal.</w:t>
      </w:r>
    </w:p>
    <w:p w14:paraId="3A34E9FC" w14:textId="77777777" w:rsidR="006C5583" w:rsidRPr="00E74C09" w:rsidRDefault="006C5583" w:rsidP="006C5583">
      <w:pPr>
        <w:spacing w:after="0" w:line="240" w:lineRule="auto"/>
        <w:ind w:firstLine="708"/>
        <w:jc w:val="both"/>
        <w:rPr>
          <w:rFonts w:ascii="Arial" w:eastAsia="Arial" w:hAnsi="Arial" w:cs="Arial"/>
          <w:sz w:val="19"/>
          <w:szCs w:val="19"/>
          <w:lang w:val="es-ES" w:eastAsia="es-CO"/>
        </w:rPr>
      </w:pPr>
      <w:r w:rsidRPr="00E74C09">
        <w:rPr>
          <w:rFonts w:ascii="Arial" w:eastAsia="Arial" w:hAnsi="Arial" w:cs="Arial"/>
          <w:sz w:val="19"/>
          <w:szCs w:val="19"/>
          <w:lang w:val="es-ES" w:eastAsia="es-CO"/>
        </w:rPr>
        <w:t xml:space="preserve">»Parágrafo 2. Los incentivos contractuales para las empresas y emprendimientos de mujeres no excluyen la aplicación de los criterios diferenciales para Mipyme en el sistema de compras públicas». </w:t>
      </w:r>
    </w:p>
    <w:p w14:paraId="1B014C81" w14:textId="77777777" w:rsidR="006C5583" w:rsidRPr="00E74C09" w:rsidRDefault="006C5583" w:rsidP="006C5583">
      <w:pPr>
        <w:pStyle w:val="Textonotapie"/>
        <w:jc w:val="both"/>
        <w:rPr>
          <w:rFonts w:ascii="Arial" w:hAnsi="Arial" w:cs="Arial"/>
          <w:sz w:val="19"/>
          <w:szCs w:val="19"/>
          <w:lang w:val="es-CO"/>
        </w:rPr>
      </w:pPr>
    </w:p>
  </w:footnote>
  <w:footnote w:id="9">
    <w:p w14:paraId="1BE0B02E" w14:textId="77777777" w:rsidR="006C5583" w:rsidRPr="00E74C09" w:rsidRDefault="006C5583" w:rsidP="006C5583">
      <w:pPr>
        <w:pStyle w:val="NormalWeb"/>
        <w:shd w:val="clear" w:color="auto" w:fill="FFFFFF"/>
        <w:spacing w:before="0" w:beforeAutospacing="0" w:after="0" w:afterAutospacing="0"/>
        <w:ind w:firstLine="708"/>
        <w:jc w:val="both"/>
        <w:rPr>
          <w:rFonts w:ascii="Arial" w:hAnsi="Arial" w:cs="Arial"/>
          <w:color w:val="auto"/>
          <w:sz w:val="19"/>
          <w:szCs w:val="19"/>
        </w:rPr>
      </w:pPr>
      <w:r w:rsidRPr="005B759B">
        <w:rPr>
          <w:rStyle w:val="Refdenotaalpie"/>
          <w:rFonts w:ascii="Arial" w:hAnsi="Arial" w:cs="Arial"/>
          <w:sz w:val="19"/>
          <w:szCs w:val="19"/>
        </w:rPr>
        <w:footnoteRef/>
      </w:r>
      <w:r w:rsidRPr="005B759B">
        <w:rPr>
          <w:rFonts w:ascii="Arial" w:hAnsi="Arial" w:cs="Arial"/>
          <w:sz w:val="19"/>
          <w:szCs w:val="19"/>
        </w:rPr>
        <w:t xml:space="preserve"> «</w:t>
      </w:r>
      <w:r w:rsidRPr="00E74C09">
        <w:rPr>
          <w:rFonts w:ascii="Arial" w:hAnsi="Arial" w:cs="Arial"/>
          <w:color w:val="auto"/>
          <w:sz w:val="19"/>
          <w:szCs w:val="19"/>
        </w:rPr>
        <w:t>ARTÍCULO </w:t>
      </w:r>
      <w:bookmarkStart w:id="7" w:name="8"/>
      <w:r w:rsidRPr="00E74C09">
        <w:rPr>
          <w:rFonts w:ascii="Arial" w:hAnsi="Arial" w:cs="Arial"/>
          <w:color w:val="auto"/>
          <w:sz w:val="19"/>
          <w:szCs w:val="19"/>
        </w:rPr>
        <w:t> </w:t>
      </w:r>
      <w:bookmarkEnd w:id="7"/>
      <w:r w:rsidRPr="00E74C09">
        <w:rPr>
          <w:rFonts w:ascii="Arial" w:hAnsi="Arial" w:cs="Arial"/>
          <w:color w:val="auto"/>
          <w:sz w:val="19"/>
          <w:szCs w:val="19"/>
        </w:rPr>
        <w:t>8. Vigencia y derogatorias</w:t>
      </w:r>
      <w:r w:rsidRPr="00E74C09">
        <w:rPr>
          <w:rFonts w:ascii="Arial" w:hAnsi="Arial" w:cs="Arial"/>
          <w:b/>
          <w:bCs/>
          <w:color w:val="auto"/>
          <w:sz w:val="19"/>
          <w:szCs w:val="19"/>
        </w:rPr>
        <w:t>.</w:t>
      </w:r>
      <w:r w:rsidRPr="00E74C09">
        <w:rPr>
          <w:rFonts w:ascii="Arial" w:hAnsi="Arial" w:cs="Arial"/>
          <w:color w:val="auto"/>
          <w:sz w:val="19"/>
          <w:szCs w:val="19"/>
        </w:rPr>
        <w:t> Las disposiciones contenidas en el presente Decreto se aplicarán a los procedimientos de selección cuya invitación, aviso de convocatoria o documento equivalente se publique a los tres (3) meses contados a partir de su expedición. Este Decreto modifica la Subsección </w:t>
      </w:r>
      <w:hyperlink r:id="rId2" w:anchor="2.2.1.2.1.5.1" w:history="1">
        <w:r w:rsidRPr="00E74C09">
          <w:rPr>
            <w:rStyle w:val="Hipervnculo"/>
            <w:rFonts w:ascii="Arial" w:hAnsi="Arial" w:cs="Arial"/>
            <w:color w:val="auto"/>
            <w:sz w:val="19"/>
            <w:szCs w:val="19"/>
          </w:rPr>
          <w:t>5 </w:t>
        </w:r>
      </w:hyperlink>
      <w:r w:rsidRPr="00E74C09">
        <w:rPr>
          <w:rFonts w:ascii="Arial" w:hAnsi="Arial" w:cs="Arial"/>
          <w:color w:val="auto"/>
          <w:sz w:val="19"/>
          <w:szCs w:val="19"/>
        </w:rPr>
        <w:t>de la Sección 1 del Capítulo 2 del Título 1 de la Parte 2 del Libro 2, así como los artículos </w:t>
      </w:r>
      <w:hyperlink r:id="rId3" w:anchor="2.2.1.2.4.2.2" w:history="1">
        <w:r w:rsidRPr="00E74C09">
          <w:rPr>
            <w:rStyle w:val="Hipervnculo"/>
            <w:rFonts w:ascii="Arial" w:hAnsi="Arial" w:cs="Arial"/>
            <w:color w:val="auto"/>
            <w:sz w:val="19"/>
            <w:szCs w:val="19"/>
          </w:rPr>
          <w:t>2.2.1.2.4.2.2</w:t>
        </w:r>
      </w:hyperlink>
      <w:r w:rsidRPr="00E74C09">
        <w:rPr>
          <w:rFonts w:ascii="Arial" w:hAnsi="Arial" w:cs="Arial"/>
          <w:color w:val="auto"/>
          <w:sz w:val="19"/>
          <w:szCs w:val="19"/>
        </w:rPr>
        <w:t>., </w:t>
      </w:r>
      <w:hyperlink r:id="rId4" w:anchor="2.2.1.2.4.2.3" w:history="1">
        <w:r w:rsidRPr="00E74C09">
          <w:rPr>
            <w:rStyle w:val="Hipervnculo"/>
            <w:rFonts w:ascii="Arial" w:hAnsi="Arial" w:cs="Arial"/>
            <w:color w:val="auto"/>
            <w:sz w:val="19"/>
            <w:szCs w:val="19"/>
          </w:rPr>
          <w:t>2.2.1.2.4.2.3</w:t>
        </w:r>
      </w:hyperlink>
      <w:r w:rsidRPr="00E74C09">
        <w:rPr>
          <w:rFonts w:ascii="Arial" w:hAnsi="Arial" w:cs="Arial"/>
          <w:color w:val="auto"/>
          <w:sz w:val="19"/>
          <w:szCs w:val="19"/>
        </w:rPr>
        <w:t>., </w:t>
      </w:r>
      <w:hyperlink r:id="rId5" w:anchor="2.2.1.2.4.2.4" w:history="1">
        <w:r w:rsidRPr="00E74C09">
          <w:rPr>
            <w:rStyle w:val="Hipervnculo"/>
            <w:rFonts w:ascii="Arial" w:hAnsi="Arial" w:cs="Arial"/>
            <w:color w:val="auto"/>
            <w:sz w:val="19"/>
            <w:szCs w:val="19"/>
          </w:rPr>
          <w:t>2.2.1.2.4.2.4</w:t>
        </w:r>
      </w:hyperlink>
      <w:r w:rsidRPr="00E74C09">
        <w:rPr>
          <w:rFonts w:ascii="Arial" w:hAnsi="Arial" w:cs="Arial"/>
          <w:color w:val="auto"/>
          <w:sz w:val="19"/>
          <w:szCs w:val="19"/>
        </w:rPr>
        <w:t>., </w:t>
      </w:r>
      <w:hyperlink r:id="rId6" w:anchor="2.2.1.2.1.2.2" w:history="1">
        <w:r w:rsidRPr="00E74C09">
          <w:rPr>
            <w:rStyle w:val="Hipervnculo"/>
            <w:rFonts w:ascii="Arial" w:hAnsi="Arial" w:cs="Arial"/>
            <w:color w:val="auto"/>
            <w:sz w:val="19"/>
            <w:szCs w:val="19"/>
          </w:rPr>
          <w:t>2.2.1.2.1.2.2</w:t>
        </w:r>
      </w:hyperlink>
      <w:r w:rsidRPr="00E74C09">
        <w:rPr>
          <w:rFonts w:ascii="Arial" w:hAnsi="Arial" w:cs="Arial"/>
          <w:color w:val="auto"/>
          <w:sz w:val="19"/>
          <w:szCs w:val="19"/>
        </w:rPr>
        <w:t>. y </w:t>
      </w:r>
      <w:hyperlink r:id="rId7" w:anchor="2.2.1.2.4.2.8" w:history="1">
        <w:r w:rsidRPr="00E74C09">
          <w:rPr>
            <w:rStyle w:val="Hipervnculo"/>
            <w:rFonts w:ascii="Arial" w:hAnsi="Arial" w:cs="Arial"/>
            <w:color w:val="auto"/>
            <w:sz w:val="19"/>
            <w:szCs w:val="19"/>
          </w:rPr>
          <w:t>2.2.1.2.4.2.8</w:t>
        </w:r>
      </w:hyperlink>
      <w:r w:rsidRPr="00E74C09">
        <w:rPr>
          <w:rFonts w:ascii="Arial" w:hAnsi="Arial" w:cs="Arial"/>
          <w:color w:val="auto"/>
          <w:sz w:val="19"/>
          <w:szCs w:val="19"/>
        </w:rPr>
        <w:t>.; adiciona los artículos </w:t>
      </w:r>
      <w:hyperlink r:id="rId8" w:anchor="2.2.1.2.4.2.14" w:history="1">
        <w:r w:rsidRPr="00E74C09">
          <w:rPr>
            <w:rStyle w:val="Hipervnculo"/>
            <w:rFonts w:ascii="Arial" w:hAnsi="Arial" w:cs="Arial"/>
            <w:color w:val="auto"/>
            <w:sz w:val="19"/>
            <w:szCs w:val="19"/>
          </w:rPr>
          <w:t>2.2.1.2.4.2.14</w:t>
        </w:r>
      </w:hyperlink>
      <w:r w:rsidRPr="00E74C09">
        <w:rPr>
          <w:rFonts w:ascii="Arial" w:hAnsi="Arial" w:cs="Arial"/>
          <w:color w:val="auto"/>
          <w:sz w:val="19"/>
          <w:szCs w:val="19"/>
        </w:rPr>
        <w:t>., </w:t>
      </w:r>
      <w:hyperlink r:id="rId9" w:anchor="2.2.1.2.4.2.15" w:history="1">
        <w:r w:rsidRPr="00E74C09">
          <w:rPr>
            <w:rStyle w:val="Hipervnculo"/>
            <w:rFonts w:ascii="Arial" w:hAnsi="Arial" w:cs="Arial"/>
            <w:color w:val="auto"/>
            <w:sz w:val="19"/>
            <w:szCs w:val="19"/>
          </w:rPr>
          <w:t>2.2.1.2.4.2.15</w:t>
        </w:r>
      </w:hyperlink>
      <w:r w:rsidRPr="00E74C09">
        <w:rPr>
          <w:rFonts w:ascii="Arial" w:hAnsi="Arial" w:cs="Arial"/>
          <w:color w:val="auto"/>
          <w:sz w:val="19"/>
          <w:szCs w:val="19"/>
        </w:rPr>
        <w:t>., </w:t>
      </w:r>
      <w:hyperlink r:id="rId10" w:anchor="2.2.1.2.4.2.16" w:history="1">
        <w:r w:rsidRPr="00E74C09">
          <w:rPr>
            <w:rStyle w:val="Hipervnculo"/>
            <w:rFonts w:ascii="Arial" w:hAnsi="Arial" w:cs="Arial"/>
            <w:color w:val="auto"/>
            <w:sz w:val="19"/>
            <w:szCs w:val="19"/>
          </w:rPr>
          <w:t>2.2.1.2.4.2.16</w:t>
        </w:r>
      </w:hyperlink>
      <w:r w:rsidRPr="00E74C09">
        <w:rPr>
          <w:rFonts w:ascii="Arial" w:hAnsi="Arial" w:cs="Arial"/>
          <w:color w:val="auto"/>
          <w:sz w:val="19"/>
          <w:szCs w:val="19"/>
        </w:rPr>
        <w:t>., </w:t>
      </w:r>
      <w:hyperlink r:id="rId11" w:anchor="2.2.1.2.4.2.17" w:history="1">
        <w:r w:rsidRPr="00E74C09">
          <w:rPr>
            <w:rStyle w:val="Hipervnculo"/>
            <w:rFonts w:ascii="Arial" w:hAnsi="Arial" w:cs="Arial"/>
            <w:color w:val="auto"/>
            <w:sz w:val="19"/>
            <w:szCs w:val="19"/>
          </w:rPr>
          <w:t>2.2.1.2.4.2.17</w:t>
        </w:r>
      </w:hyperlink>
      <w:r w:rsidRPr="00E74C09">
        <w:rPr>
          <w:rFonts w:ascii="Arial" w:hAnsi="Arial" w:cs="Arial"/>
          <w:color w:val="auto"/>
          <w:sz w:val="19"/>
          <w:szCs w:val="19"/>
        </w:rPr>
        <w:t>. y </w:t>
      </w:r>
      <w:hyperlink r:id="rId12" w:anchor="2.2.1.2.4.2.18" w:history="1">
        <w:r w:rsidRPr="00E74C09">
          <w:rPr>
            <w:rStyle w:val="Hipervnculo"/>
            <w:rFonts w:ascii="Arial" w:hAnsi="Arial" w:cs="Arial"/>
            <w:color w:val="auto"/>
            <w:sz w:val="19"/>
            <w:szCs w:val="19"/>
          </w:rPr>
          <w:t>2.2.1.2.4.2.18</w:t>
        </w:r>
      </w:hyperlink>
      <w:r w:rsidRPr="00E74C09">
        <w:rPr>
          <w:rFonts w:ascii="Arial" w:hAnsi="Arial" w:cs="Arial"/>
          <w:color w:val="auto"/>
          <w:sz w:val="19"/>
          <w:szCs w:val="19"/>
        </w:rPr>
        <w:t>.; adiciona un </w:t>
      </w:r>
      <w:hyperlink r:id="rId13" w:anchor="2.2.1.2.3.1.9.p" w:history="1">
        <w:r w:rsidRPr="00E74C09">
          <w:rPr>
            <w:rStyle w:val="Hipervnculo"/>
            <w:rFonts w:ascii="Arial" w:hAnsi="Arial" w:cs="Arial"/>
            <w:color w:val="auto"/>
            <w:sz w:val="19"/>
            <w:szCs w:val="19"/>
          </w:rPr>
          <w:t>parágrafo </w:t>
        </w:r>
      </w:hyperlink>
      <w:r w:rsidRPr="00E74C09">
        <w:rPr>
          <w:rFonts w:ascii="Arial" w:hAnsi="Arial" w:cs="Arial"/>
          <w:color w:val="auto"/>
          <w:sz w:val="19"/>
          <w:szCs w:val="19"/>
        </w:rPr>
        <w:t>al artículo </w:t>
      </w:r>
      <w:hyperlink r:id="rId14" w:anchor="2.2.1.2.3.1.9" w:history="1">
        <w:r w:rsidRPr="00E74C09">
          <w:rPr>
            <w:rStyle w:val="Hipervnculo"/>
            <w:rFonts w:ascii="Arial" w:hAnsi="Arial" w:cs="Arial"/>
            <w:color w:val="auto"/>
            <w:sz w:val="19"/>
            <w:szCs w:val="19"/>
          </w:rPr>
          <w:t>2.2.1.2.3.1.9</w:t>
        </w:r>
      </w:hyperlink>
      <w:r w:rsidRPr="00E74C09">
        <w:rPr>
          <w:rFonts w:ascii="Arial" w:hAnsi="Arial" w:cs="Arial"/>
          <w:color w:val="auto"/>
          <w:sz w:val="19"/>
          <w:szCs w:val="19"/>
        </w:rPr>
        <w:t>; y deroga el artículo </w:t>
      </w:r>
      <w:hyperlink r:id="rId15" w:anchor="2.2.1.1.2.2.9" w:history="1">
        <w:r w:rsidRPr="00E74C09">
          <w:rPr>
            <w:rStyle w:val="Hipervnculo"/>
            <w:rFonts w:ascii="Arial" w:hAnsi="Arial" w:cs="Arial"/>
            <w:color w:val="auto"/>
            <w:sz w:val="19"/>
            <w:szCs w:val="19"/>
          </w:rPr>
          <w:t>2.2.1.1.2.2.9</w:t>
        </w:r>
      </w:hyperlink>
      <w:r w:rsidRPr="00E74C09">
        <w:rPr>
          <w:rFonts w:ascii="Arial" w:hAnsi="Arial" w:cs="Arial"/>
          <w:color w:val="auto"/>
          <w:sz w:val="19"/>
          <w:szCs w:val="19"/>
        </w:rPr>
        <w:t>. del Decreto 1082 de 2015, Único Reglamentario del Sector Administrativo de Planeación Nacional.</w:t>
      </w:r>
    </w:p>
    <w:p w14:paraId="15D39AD9" w14:textId="77777777" w:rsidR="006C5583" w:rsidRPr="00E74C09" w:rsidRDefault="006C5583" w:rsidP="006C5583">
      <w:pPr>
        <w:pStyle w:val="NormalWeb"/>
        <w:shd w:val="clear" w:color="auto" w:fill="FFFFFF"/>
        <w:spacing w:before="0" w:beforeAutospacing="0" w:after="0" w:afterAutospacing="0"/>
        <w:ind w:firstLine="708"/>
        <w:jc w:val="both"/>
        <w:rPr>
          <w:rFonts w:ascii="Arial" w:hAnsi="Arial" w:cs="Arial"/>
          <w:color w:val="auto"/>
          <w:sz w:val="19"/>
          <w:szCs w:val="19"/>
        </w:rPr>
      </w:pPr>
      <w:r w:rsidRPr="00E74C09">
        <w:rPr>
          <w:rFonts w:ascii="Arial" w:hAnsi="Arial" w:cs="Arial"/>
          <w:color w:val="auto"/>
          <w:sz w:val="19"/>
          <w:szCs w:val="19"/>
        </w:rPr>
        <w:t>«PARÁGRAFO. Los Procesos de Contratación que se rijan por los Documento Tipo continuarán aplicando estos instrumentos y las normas vigentes anteriores a la expedición de este Decreto. Por tanto, estos procedimientos de selección se realizarán conforme la regulación actual contenida en los Documentos Tipo hasta que la Agencia Nacional de Contratación Pública - Colombia Compra Eficiente expida las modificaciones a que haya lugar, conforme con las disposiciones de esta reglamentación.</w:t>
      </w:r>
    </w:p>
    <w:p w14:paraId="71E82AE8" w14:textId="77777777" w:rsidR="006C5583" w:rsidRPr="00E74C09" w:rsidRDefault="006C5583" w:rsidP="006C5583">
      <w:pPr>
        <w:pStyle w:val="NormalWeb"/>
        <w:shd w:val="clear" w:color="auto" w:fill="FFFFFF"/>
        <w:spacing w:before="0" w:beforeAutospacing="0" w:after="0" w:afterAutospacing="0"/>
        <w:ind w:firstLine="708"/>
        <w:jc w:val="both"/>
        <w:rPr>
          <w:rFonts w:ascii="Arial" w:hAnsi="Arial" w:cs="Arial"/>
          <w:color w:val="auto"/>
          <w:sz w:val="19"/>
          <w:szCs w:val="19"/>
        </w:rPr>
      </w:pPr>
      <w:r w:rsidRPr="00E74C09">
        <w:rPr>
          <w:rFonts w:ascii="Arial" w:hAnsi="Arial" w:cs="Arial"/>
          <w:color w:val="auto"/>
          <w:sz w:val="19"/>
          <w:szCs w:val="19"/>
        </w:rPr>
        <w:t> «La Agencia tendrá un plazo máximo de seis (6) meses contados a partir de la expedición de este Decreto para adecuar los Documentos Tipo a las disposiciones previstas en este reglamento. Sin perjuicio de lo anterior, el artículo 5 del presente Decreto regirá en los procesos sometidos a los Documentos Tipo en las condiciones establecidas en este artículo».</w:t>
      </w:r>
    </w:p>
    <w:p w14:paraId="72C2E955" w14:textId="77777777" w:rsidR="006C5583" w:rsidRPr="005B759B" w:rsidRDefault="006C5583" w:rsidP="006C5583">
      <w:pPr>
        <w:pStyle w:val="Textonotapie"/>
        <w:jc w:val="both"/>
        <w:rPr>
          <w:rFonts w:ascii="Arial" w:hAnsi="Arial" w:cs="Arial"/>
          <w:sz w:val="19"/>
          <w:szCs w:val="19"/>
          <w:lang w:val="es-CO"/>
        </w:rPr>
      </w:pPr>
    </w:p>
  </w:footnote>
  <w:footnote w:id="10">
    <w:p w14:paraId="664FA489" w14:textId="18506CDC" w:rsidR="00C9018A" w:rsidRPr="00A12E1F" w:rsidRDefault="00C9018A" w:rsidP="00A12E1F">
      <w:pPr>
        <w:pStyle w:val="Textonotapie"/>
        <w:ind w:firstLine="708"/>
        <w:jc w:val="both"/>
        <w:rPr>
          <w:rFonts w:ascii="Arial" w:hAnsi="Arial" w:cs="Arial"/>
          <w:sz w:val="19"/>
          <w:szCs w:val="19"/>
          <w:lang w:val="es-CO"/>
        </w:rPr>
      </w:pPr>
      <w:r>
        <w:rPr>
          <w:rStyle w:val="Refdenotaalpie"/>
        </w:rPr>
        <w:footnoteRef/>
      </w:r>
      <w:r>
        <w:t xml:space="preserve"> </w:t>
      </w:r>
      <w:r w:rsidRPr="00A12E1F">
        <w:rPr>
          <w:rFonts w:ascii="Arial" w:hAnsi="Arial" w:cs="Arial"/>
          <w:sz w:val="19"/>
          <w:szCs w:val="19"/>
          <w:lang w:val="es-CO"/>
        </w:rPr>
        <w:t xml:space="preserve">Esta Resolución se encuentra publicada en la página web de la Agencia Nacional de Contratación Pública – Colombia Compra Eficiente en el siguiente enlace: </w:t>
      </w:r>
      <w:hyperlink r:id="rId16" w:history="1">
        <w:r w:rsidR="00A12E1F" w:rsidRPr="00A12E1F">
          <w:rPr>
            <w:rStyle w:val="Hipervnculo"/>
            <w:rFonts w:ascii="Arial" w:hAnsi="Arial" w:cs="Arial"/>
            <w:sz w:val="19"/>
            <w:szCs w:val="19"/>
            <w:lang w:val="es-CO"/>
          </w:rPr>
          <w:t>https://www.colombiacompra.gov.co/content/modificacion-los-documentos-tipo-adoptados-por-la-agencia-nacional-de-contratacion-publica</w:t>
        </w:r>
      </w:hyperlink>
    </w:p>
    <w:p w14:paraId="70B1BA51" w14:textId="77777777" w:rsidR="00A12E1F" w:rsidRPr="00C9018A" w:rsidRDefault="00A12E1F" w:rsidP="00C9018A">
      <w:pPr>
        <w:pStyle w:val="Textonotapie"/>
        <w:ind w:firstLine="708"/>
        <w:rPr>
          <w:lang w:val="es-CO"/>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AB5375" w14:textId="77777777" w:rsidR="00A278E7" w:rsidRDefault="00193555">
    <w:pPr>
      <w:pStyle w:val="Encabezado"/>
    </w:pPr>
    <w:r>
      <w:rPr>
        <w:noProof/>
      </w:rPr>
      <w:drawing>
        <wp:anchor distT="0" distB="0" distL="114300" distR="114300" simplePos="0" relativeHeight="251659264" behindDoc="0" locked="0" layoutInCell="1" allowOverlap="1" wp14:anchorId="6FE3EC99" wp14:editId="15F89CF9">
          <wp:simplePos x="0" y="0"/>
          <wp:positionH relativeFrom="column">
            <wp:posOffset>2357054</wp:posOffset>
          </wp:positionH>
          <wp:positionV relativeFrom="paragraph">
            <wp:posOffset>-356870</wp:posOffset>
          </wp:positionV>
          <wp:extent cx="3157855" cy="713105"/>
          <wp:effectExtent l="0" t="0" r="4445"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57855" cy="713105"/>
                  </a:xfrm>
                  <a:prstGeom prst="rect">
                    <a:avLst/>
                  </a:prstGeom>
                  <a:noFill/>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75D6A2" w14:textId="77777777" w:rsidR="00C734A4" w:rsidRDefault="00193555" w:rsidP="00C734A4">
    <w:pPr>
      <w:pStyle w:val="Encabezado"/>
      <w:jc w:val="right"/>
      <w:rPr>
        <w:b/>
      </w:rPr>
    </w:pPr>
    <w:r>
      <w:rPr>
        <w:noProof/>
        <w:lang w:val="es-419" w:eastAsia="es-419"/>
      </w:rPr>
      <w:drawing>
        <wp:inline distT="0" distB="0" distL="0" distR="0" wp14:anchorId="315F0201" wp14:editId="24DCAE71">
          <wp:extent cx="1500803" cy="616644"/>
          <wp:effectExtent l="0" t="0" r="4445" b="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E Logo.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500803" cy="616644"/>
                  </a:xfrm>
                  <a:prstGeom prst="rect">
                    <a:avLst/>
                  </a:prstGeom>
                  <a:ln>
                    <a:noFill/>
                  </a:ln>
                  <a:extLst>
                    <a:ext uri="{53640926-AAD7-44D8-BBD7-CCE9431645EC}">
                      <a14:shadowObscured xmlns:a14="http://schemas.microsoft.com/office/drawing/2010/main"/>
                    </a:ext>
                  </a:extLst>
                </pic:spPr>
              </pic:pic>
            </a:graphicData>
          </a:graphic>
        </wp:inline>
      </w:drawing>
    </w:r>
  </w:p>
  <w:p w14:paraId="4DB7AD50" w14:textId="77777777" w:rsidR="00C734A4" w:rsidRPr="006D761F" w:rsidRDefault="00193555" w:rsidP="00C734A4">
    <w:pPr>
      <w:pStyle w:val="Ttulo1"/>
      <w:rPr>
        <w:sz w:val="24"/>
        <w:szCs w:val="24"/>
      </w:rPr>
    </w:pPr>
    <w:r w:rsidRPr="006D761F">
      <w:rPr>
        <w:sz w:val="24"/>
        <w:szCs w:val="24"/>
      </w:rPr>
      <w:t>TÍTULO DEL DOCUMENTO</w:t>
    </w:r>
  </w:p>
  <w:p w14:paraId="1A80B333" w14:textId="77777777" w:rsidR="00C734A4" w:rsidRPr="00B30435" w:rsidRDefault="00193555" w:rsidP="00C734A4">
    <w:pPr>
      <w:rPr>
        <w:color w:val="E7E6E6" w:themeColor="background2"/>
      </w:rPr>
    </w:pPr>
    <w:r w:rsidRPr="006D761F">
      <w:rPr>
        <w:color w:val="E7E6E6" w:themeColor="background2"/>
      </w:rPr>
      <w:t>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6C1CD4"/>
    <w:multiLevelType w:val="hybridMultilevel"/>
    <w:tmpl w:val="4ABC8396"/>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25887C54"/>
    <w:multiLevelType w:val="hybridMultilevel"/>
    <w:tmpl w:val="4ABC8396"/>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31386F91"/>
    <w:multiLevelType w:val="hybridMultilevel"/>
    <w:tmpl w:val="4ABC8396"/>
    <w:lvl w:ilvl="0" w:tplc="A05C7EEA">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7DDF33BD"/>
    <w:multiLevelType w:val="hybridMultilevel"/>
    <w:tmpl w:val="22DA4BCC"/>
    <w:lvl w:ilvl="0" w:tplc="BFC230EC">
      <w:start w:val="1"/>
      <w:numFmt w:val="decimal"/>
      <w:lvlText w:val="Artículo %1 –"/>
      <w:lvlJc w:val="left"/>
      <w:pPr>
        <w:ind w:left="1210" w:hanging="360"/>
      </w:pPr>
      <w:rPr>
        <w:rFonts w:ascii="Arial Narrow" w:hAnsi="Arial Narrow" w:hint="default"/>
        <w:b/>
        <w:bCs/>
        <w:i w:val="0"/>
        <w:iCs w:val="0"/>
        <w:sz w:val="22"/>
        <w:szCs w:val="22"/>
        <w:lang w:val="es-CO"/>
      </w:rPr>
    </w:lvl>
    <w:lvl w:ilvl="1" w:tplc="240A0019">
      <w:start w:val="1"/>
      <w:numFmt w:val="lowerLetter"/>
      <w:lvlText w:val="%2."/>
      <w:lvlJc w:val="left"/>
      <w:pPr>
        <w:ind w:left="1877" w:hanging="360"/>
      </w:pPr>
    </w:lvl>
    <w:lvl w:ilvl="2" w:tplc="240A001B" w:tentative="1">
      <w:start w:val="1"/>
      <w:numFmt w:val="lowerRoman"/>
      <w:lvlText w:val="%3."/>
      <w:lvlJc w:val="right"/>
      <w:pPr>
        <w:ind w:left="2597" w:hanging="180"/>
      </w:pPr>
    </w:lvl>
    <w:lvl w:ilvl="3" w:tplc="240A000F" w:tentative="1">
      <w:start w:val="1"/>
      <w:numFmt w:val="decimal"/>
      <w:lvlText w:val="%4."/>
      <w:lvlJc w:val="left"/>
      <w:pPr>
        <w:ind w:left="3317" w:hanging="360"/>
      </w:pPr>
    </w:lvl>
    <w:lvl w:ilvl="4" w:tplc="240A0019" w:tentative="1">
      <w:start w:val="1"/>
      <w:numFmt w:val="lowerLetter"/>
      <w:lvlText w:val="%5."/>
      <w:lvlJc w:val="left"/>
      <w:pPr>
        <w:ind w:left="4037" w:hanging="360"/>
      </w:pPr>
    </w:lvl>
    <w:lvl w:ilvl="5" w:tplc="240A001B" w:tentative="1">
      <w:start w:val="1"/>
      <w:numFmt w:val="lowerRoman"/>
      <w:lvlText w:val="%6."/>
      <w:lvlJc w:val="right"/>
      <w:pPr>
        <w:ind w:left="4757" w:hanging="180"/>
      </w:pPr>
    </w:lvl>
    <w:lvl w:ilvl="6" w:tplc="240A000F" w:tentative="1">
      <w:start w:val="1"/>
      <w:numFmt w:val="decimal"/>
      <w:lvlText w:val="%7."/>
      <w:lvlJc w:val="left"/>
      <w:pPr>
        <w:ind w:left="5477" w:hanging="360"/>
      </w:pPr>
    </w:lvl>
    <w:lvl w:ilvl="7" w:tplc="240A0019" w:tentative="1">
      <w:start w:val="1"/>
      <w:numFmt w:val="lowerLetter"/>
      <w:lvlText w:val="%8."/>
      <w:lvlJc w:val="left"/>
      <w:pPr>
        <w:ind w:left="6197" w:hanging="360"/>
      </w:pPr>
    </w:lvl>
    <w:lvl w:ilvl="8" w:tplc="240A001B" w:tentative="1">
      <w:start w:val="1"/>
      <w:numFmt w:val="lowerRoman"/>
      <w:lvlText w:val="%9."/>
      <w:lvlJc w:val="right"/>
      <w:pPr>
        <w:ind w:left="6917" w:hanging="180"/>
      </w:pPr>
    </w:lvl>
  </w:abstractNum>
  <w:num w:numId="1" w16cid:durableId="579759002">
    <w:abstractNumId w:val="2"/>
  </w:num>
  <w:num w:numId="2" w16cid:durableId="392394304">
    <w:abstractNumId w:val="3"/>
  </w:num>
  <w:num w:numId="3" w16cid:durableId="112335483">
    <w:abstractNumId w:val="1"/>
  </w:num>
  <w:num w:numId="4" w16cid:durableId="3758109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3390"/>
    <w:rsid w:val="000644D8"/>
    <w:rsid w:val="00081A2B"/>
    <w:rsid w:val="000D08E9"/>
    <w:rsid w:val="000E0AD4"/>
    <w:rsid w:val="00111CB4"/>
    <w:rsid w:val="00132E72"/>
    <w:rsid w:val="001425C6"/>
    <w:rsid w:val="00145F4B"/>
    <w:rsid w:val="0017409A"/>
    <w:rsid w:val="00181A0F"/>
    <w:rsid w:val="00190D84"/>
    <w:rsid w:val="00193555"/>
    <w:rsid w:val="001A5C14"/>
    <w:rsid w:val="001D38BB"/>
    <w:rsid w:val="00216146"/>
    <w:rsid w:val="00231A0F"/>
    <w:rsid w:val="00261B84"/>
    <w:rsid w:val="002B1C56"/>
    <w:rsid w:val="00323F0F"/>
    <w:rsid w:val="00325AB6"/>
    <w:rsid w:val="00340D2E"/>
    <w:rsid w:val="00346576"/>
    <w:rsid w:val="003606CF"/>
    <w:rsid w:val="003767F5"/>
    <w:rsid w:val="00397414"/>
    <w:rsid w:val="003E61B7"/>
    <w:rsid w:val="004158F3"/>
    <w:rsid w:val="00456617"/>
    <w:rsid w:val="00461192"/>
    <w:rsid w:val="00475D3D"/>
    <w:rsid w:val="00493E11"/>
    <w:rsid w:val="004956A1"/>
    <w:rsid w:val="005910BB"/>
    <w:rsid w:val="005A3892"/>
    <w:rsid w:val="00620E52"/>
    <w:rsid w:val="006755B5"/>
    <w:rsid w:val="006A53C9"/>
    <w:rsid w:val="006C35DE"/>
    <w:rsid w:val="006C5583"/>
    <w:rsid w:val="006E2D96"/>
    <w:rsid w:val="00743D1C"/>
    <w:rsid w:val="007462B9"/>
    <w:rsid w:val="00774FB8"/>
    <w:rsid w:val="007C3E49"/>
    <w:rsid w:val="007C51E7"/>
    <w:rsid w:val="007D5E76"/>
    <w:rsid w:val="007F29B0"/>
    <w:rsid w:val="008069BA"/>
    <w:rsid w:val="008127F1"/>
    <w:rsid w:val="0081773F"/>
    <w:rsid w:val="008B6A07"/>
    <w:rsid w:val="008C3924"/>
    <w:rsid w:val="008C3D0C"/>
    <w:rsid w:val="008D3390"/>
    <w:rsid w:val="00954CF7"/>
    <w:rsid w:val="00955110"/>
    <w:rsid w:val="0098741A"/>
    <w:rsid w:val="009957AB"/>
    <w:rsid w:val="009C7E4E"/>
    <w:rsid w:val="00A12E1F"/>
    <w:rsid w:val="00A40EB7"/>
    <w:rsid w:val="00A456E5"/>
    <w:rsid w:val="00A56088"/>
    <w:rsid w:val="00AC38F3"/>
    <w:rsid w:val="00AD589F"/>
    <w:rsid w:val="00AE2EBB"/>
    <w:rsid w:val="00AF21E4"/>
    <w:rsid w:val="00B02029"/>
    <w:rsid w:val="00B2727B"/>
    <w:rsid w:val="00B33003"/>
    <w:rsid w:val="00BB4F0F"/>
    <w:rsid w:val="00C15B83"/>
    <w:rsid w:val="00C30FB7"/>
    <w:rsid w:val="00C7084A"/>
    <w:rsid w:val="00C754ED"/>
    <w:rsid w:val="00C76B26"/>
    <w:rsid w:val="00C9018A"/>
    <w:rsid w:val="00CB12EE"/>
    <w:rsid w:val="00CB24DE"/>
    <w:rsid w:val="00CB379E"/>
    <w:rsid w:val="00CF766C"/>
    <w:rsid w:val="00D120D8"/>
    <w:rsid w:val="00D83F98"/>
    <w:rsid w:val="00DC64BE"/>
    <w:rsid w:val="00E33407"/>
    <w:rsid w:val="00E45F6A"/>
    <w:rsid w:val="00E5527A"/>
    <w:rsid w:val="00E9373B"/>
    <w:rsid w:val="00EA0392"/>
    <w:rsid w:val="00EA4AB4"/>
    <w:rsid w:val="00EC66D7"/>
    <w:rsid w:val="00F275F0"/>
    <w:rsid w:val="00F35C35"/>
    <w:rsid w:val="00F3743D"/>
    <w:rsid w:val="00F5310E"/>
    <w:rsid w:val="00F6452F"/>
    <w:rsid w:val="00F744F1"/>
    <w:rsid w:val="00F90F5D"/>
    <w:rsid w:val="00FB347B"/>
    <w:rsid w:val="00FE069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02B994"/>
  <w15:chartTrackingRefBased/>
  <w15:docId w15:val="{CAEA3911-AEDB-4D1E-9F6B-DC6FD481AB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3F98"/>
  </w:style>
  <w:style w:type="paragraph" w:styleId="Ttulo1">
    <w:name w:val="heading 1"/>
    <w:basedOn w:val="Normal"/>
    <w:next w:val="Normal"/>
    <w:link w:val="Ttulo1Car"/>
    <w:uiPriority w:val="9"/>
    <w:qFormat/>
    <w:rsid w:val="008D339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D3390"/>
    <w:rPr>
      <w:rFonts w:asciiTheme="majorHAnsi" w:eastAsiaTheme="majorEastAsia" w:hAnsiTheme="majorHAnsi" w:cstheme="majorBidi"/>
      <w:color w:val="2F5496" w:themeColor="accent1" w:themeShade="BF"/>
      <w:sz w:val="32"/>
      <w:szCs w:val="32"/>
    </w:rPr>
  </w:style>
  <w:style w:type="paragraph" w:styleId="Encabezado">
    <w:name w:val="header"/>
    <w:basedOn w:val="Normal"/>
    <w:link w:val="EncabezadoCar"/>
    <w:uiPriority w:val="99"/>
    <w:unhideWhenUsed/>
    <w:rsid w:val="008D3390"/>
    <w:pPr>
      <w:tabs>
        <w:tab w:val="center" w:pos="4419"/>
        <w:tab w:val="right" w:pos="8838"/>
      </w:tabs>
      <w:spacing w:after="0" w:line="240" w:lineRule="auto"/>
    </w:pPr>
    <w:rPr>
      <w:sz w:val="20"/>
    </w:rPr>
  </w:style>
  <w:style w:type="character" w:customStyle="1" w:styleId="EncabezadoCar">
    <w:name w:val="Encabezado Car"/>
    <w:basedOn w:val="Fuentedeprrafopredeter"/>
    <w:link w:val="Encabezado"/>
    <w:uiPriority w:val="99"/>
    <w:rsid w:val="008D3390"/>
    <w:rPr>
      <w:sz w:val="20"/>
    </w:rPr>
  </w:style>
  <w:style w:type="paragraph" w:styleId="Piedepgina">
    <w:name w:val="footer"/>
    <w:basedOn w:val="Normal"/>
    <w:link w:val="PiedepginaCar"/>
    <w:uiPriority w:val="99"/>
    <w:unhideWhenUsed/>
    <w:rsid w:val="008D3390"/>
    <w:pPr>
      <w:tabs>
        <w:tab w:val="center" w:pos="4419"/>
        <w:tab w:val="right" w:pos="8838"/>
      </w:tabs>
      <w:spacing w:after="0" w:line="240" w:lineRule="auto"/>
    </w:pPr>
    <w:rPr>
      <w:sz w:val="20"/>
    </w:rPr>
  </w:style>
  <w:style w:type="character" w:customStyle="1" w:styleId="PiedepginaCar">
    <w:name w:val="Pie de página Car"/>
    <w:basedOn w:val="Fuentedeprrafopredeter"/>
    <w:link w:val="Piedepgina"/>
    <w:uiPriority w:val="99"/>
    <w:rsid w:val="008D3390"/>
    <w:rPr>
      <w:sz w:val="20"/>
    </w:rPr>
  </w:style>
  <w:style w:type="table" w:styleId="Tablaconcuadrcula">
    <w:name w:val="Table Grid"/>
    <w:basedOn w:val="Tablanormal"/>
    <w:uiPriority w:val="39"/>
    <w:qFormat/>
    <w:rsid w:val="008D3390"/>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notapieCar">
    <w:name w:val="Texto nota pie Car"/>
    <w:aliases w:val="Ref. de nota al pie1 Car,Texto de nota al pie Car,referencia nota al pie Car,Appel note de bas de page Car,Footnotes refss Car,Footnote number Car,BVI fnr Car,Footnote Text Char Char Char Char Char Car,Footnote reference Car,FA Fu Car"/>
    <w:basedOn w:val="Fuentedeprrafopredeter"/>
    <w:link w:val="Textonotapie"/>
    <w:uiPriority w:val="99"/>
    <w:qFormat/>
    <w:locked/>
    <w:rsid w:val="008D3390"/>
    <w:rPr>
      <w:sz w:val="20"/>
      <w:szCs w:val="20"/>
      <w:lang w:val="es-MX"/>
    </w:rPr>
  </w:style>
  <w:style w:type="paragraph" w:styleId="Textonotapie">
    <w:name w:val="footnote text"/>
    <w:aliases w:val="Ref. de nota al pie1,Texto de nota al pie,referencia nota al pie,Appel note de bas de page,Footnotes refss,Footnote number,BVI fnr,Footnote Text Char Char Char Char Char,Footnote Text Char Char Char Char,Footnote reference,FA Fu,ft,Car"/>
    <w:basedOn w:val="Normal"/>
    <w:link w:val="TextonotapieCar"/>
    <w:uiPriority w:val="99"/>
    <w:unhideWhenUsed/>
    <w:qFormat/>
    <w:rsid w:val="008D3390"/>
    <w:pPr>
      <w:spacing w:after="0" w:line="240" w:lineRule="auto"/>
    </w:pPr>
    <w:rPr>
      <w:sz w:val="20"/>
      <w:szCs w:val="20"/>
      <w:lang w:val="es-MX"/>
    </w:rPr>
  </w:style>
  <w:style w:type="character" w:customStyle="1" w:styleId="TextonotapieCar1">
    <w:name w:val="Texto nota pie Car1"/>
    <w:basedOn w:val="Fuentedeprrafopredeter"/>
    <w:uiPriority w:val="99"/>
    <w:semiHidden/>
    <w:rsid w:val="008D3390"/>
    <w:rPr>
      <w:sz w:val="20"/>
      <w:szCs w:val="20"/>
    </w:rPr>
  </w:style>
  <w:style w:type="character" w:styleId="Refdenotaalpie">
    <w:name w:val="footnote reference"/>
    <w:aliases w:val="Ref. de nota al pie 2,Ref,de nota al pie,FC,Appel note de bas de p,f,4_G,16 Point,Superscript 6 Point,Texto nota al pie,Pie de Página,Texto de nota al pi,Nota de pie,Texto de nota al p,Footnote Reference Char3,Texto nota pie Car2,F,R"/>
    <w:basedOn w:val="Fuentedeprrafopredeter"/>
    <w:link w:val="Appelnotedebasde"/>
    <w:uiPriority w:val="99"/>
    <w:unhideWhenUsed/>
    <w:qFormat/>
    <w:rsid w:val="008D3390"/>
    <w:rPr>
      <w:vertAlign w:val="superscript"/>
    </w:rPr>
  </w:style>
  <w:style w:type="paragraph" w:customStyle="1" w:styleId="Appelnotedebasde">
    <w:name w:val="Appel note de bas de..."/>
    <w:basedOn w:val="Normal"/>
    <w:link w:val="Refdenotaalpie"/>
    <w:uiPriority w:val="99"/>
    <w:rsid w:val="008D3390"/>
    <w:pPr>
      <w:spacing w:line="240" w:lineRule="exact"/>
    </w:pPr>
    <w:rPr>
      <w:vertAlign w:val="superscript"/>
    </w:rPr>
  </w:style>
  <w:style w:type="table" w:customStyle="1" w:styleId="Tablaconcuadrcula1">
    <w:name w:val="Tabla con cuadrícula1"/>
    <w:basedOn w:val="Tablanormal"/>
    <w:next w:val="Tablaconcuadrcula"/>
    <w:uiPriority w:val="39"/>
    <w:rsid w:val="008D33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Bullet List,FooterText,List Paragraph1,numbered,Paragraphe de liste1,Bulletr List Paragraph,Foot,列出段落,列出段落1,List Paragraph2,List Paragraph21,Párrafo de lista1,Parágrafo da Lista1,リスト段落1,Listeafsnit1,lp1,Scitum normal,NORMAL,Elabora,Ha,H"/>
    <w:basedOn w:val="Normal"/>
    <w:link w:val="PrrafodelistaCar"/>
    <w:uiPriority w:val="34"/>
    <w:qFormat/>
    <w:rsid w:val="007C3E49"/>
    <w:pPr>
      <w:ind w:left="720"/>
      <w:contextualSpacing/>
    </w:pPr>
  </w:style>
  <w:style w:type="paragraph" w:styleId="Revisin">
    <w:name w:val="Revision"/>
    <w:hidden/>
    <w:uiPriority w:val="99"/>
    <w:semiHidden/>
    <w:rsid w:val="0017409A"/>
    <w:pPr>
      <w:spacing w:after="0" w:line="240" w:lineRule="auto"/>
    </w:pPr>
  </w:style>
  <w:style w:type="paragraph" w:styleId="NormalWeb">
    <w:name w:val="Normal (Web)"/>
    <w:basedOn w:val="Normal"/>
    <w:uiPriority w:val="99"/>
    <w:unhideWhenUsed/>
    <w:rsid w:val="006C5583"/>
    <w:pPr>
      <w:spacing w:before="100" w:beforeAutospacing="1" w:after="100" w:afterAutospacing="1" w:line="240" w:lineRule="auto"/>
    </w:pPr>
    <w:rPr>
      <w:rFonts w:ascii="Times New Roman" w:eastAsia="Times New Roman" w:hAnsi="Times New Roman" w:cs="Times New Roman"/>
      <w:color w:val="002060"/>
      <w:sz w:val="24"/>
      <w:szCs w:val="24"/>
      <w:lang w:eastAsia="es-CO"/>
    </w:rPr>
  </w:style>
  <w:style w:type="character" w:styleId="Hipervnculo">
    <w:name w:val="Hyperlink"/>
    <w:basedOn w:val="Fuentedeprrafopredeter"/>
    <w:uiPriority w:val="99"/>
    <w:unhideWhenUsed/>
    <w:rsid w:val="006C5583"/>
    <w:rPr>
      <w:color w:val="0000FF"/>
      <w:u w:val="single"/>
    </w:rPr>
  </w:style>
  <w:style w:type="character" w:customStyle="1" w:styleId="PrrafodelistaCar">
    <w:name w:val="Párrafo de lista Car"/>
    <w:aliases w:val="Bullet List Car,FooterText Car,List Paragraph1 Car,numbered Car,Paragraphe de liste1 Car,Bulletr List Paragraph Car,Foot Car,列出段落 Car,列出段落1 Car,List Paragraph2 Car,List Paragraph21 Car,Párrafo de lista1 Car,Parágrafo da Lista1 Car"/>
    <w:link w:val="Prrafodelista"/>
    <w:uiPriority w:val="34"/>
    <w:qFormat/>
    <w:locked/>
    <w:rsid w:val="00456617"/>
  </w:style>
  <w:style w:type="character" w:styleId="Mencinsinresolver">
    <w:name w:val="Unresolved Mention"/>
    <w:basedOn w:val="Fuentedeprrafopredeter"/>
    <w:uiPriority w:val="99"/>
    <w:semiHidden/>
    <w:unhideWhenUsed/>
    <w:rsid w:val="00A12E1F"/>
    <w:rPr>
      <w:color w:val="605E5C"/>
      <w:shd w:val="clear" w:color="auto" w:fill="E1DFDD"/>
    </w:rPr>
  </w:style>
  <w:style w:type="character" w:styleId="Refdecomentario">
    <w:name w:val="annotation reference"/>
    <w:basedOn w:val="Fuentedeprrafopredeter"/>
    <w:uiPriority w:val="99"/>
    <w:semiHidden/>
    <w:unhideWhenUsed/>
    <w:rsid w:val="00743D1C"/>
    <w:rPr>
      <w:sz w:val="16"/>
      <w:szCs w:val="16"/>
    </w:rPr>
  </w:style>
  <w:style w:type="paragraph" w:styleId="Textocomentario">
    <w:name w:val="annotation text"/>
    <w:basedOn w:val="Normal"/>
    <w:link w:val="TextocomentarioCar"/>
    <w:uiPriority w:val="99"/>
    <w:unhideWhenUsed/>
    <w:rsid w:val="00743D1C"/>
    <w:pPr>
      <w:spacing w:line="240" w:lineRule="auto"/>
    </w:pPr>
    <w:rPr>
      <w:sz w:val="20"/>
      <w:szCs w:val="20"/>
    </w:rPr>
  </w:style>
  <w:style w:type="character" w:customStyle="1" w:styleId="TextocomentarioCar">
    <w:name w:val="Texto comentario Car"/>
    <w:basedOn w:val="Fuentedeprrafopredeter"/>
    <w:link w:val="Textocomentario"/>
    <w:uiPriority w:val="99"/>
    <w:rsid w:val="00743D1C"/>
    <w:rPr>
      <w:sz w:val="20"/>
      <w:szCs w:val="20"/>
    </w:rPr>
  </w:style>
  <w:style w:type="paragraph" w:styleId="Asuntodelcomentario">
    <w:name w:val="annotation subject"/>
    <w:basedOn w:val="Textocomentario"/>
    <w:next w:val="Textocomentario"/>
    <w:link w:val="AsuntodelcomentarioCar"/>
    <w:uiPriority w:val="99"/>
    <w:semiHidden/>
    <w:unhideWhenUsed/>
    <w:rsid w:val="00743D1C"/>
    <w:rPr>
      <w:b/>
      <w:bCs/>
    </w:rPr>
  </w:style>
  <w:style w:type="character" w:customStyle="1" w:styleId="AsuntodelcomentarioCar">
    <w:name w:val="Asunto del comentario Car"/>
    <w:basedOn w:val="TextocomentarioCar"/>
    <w:link w:val="Asuntodelcomentario"/>
    <w:uiPriority w:val="99"/>
    <w:semiHidden/>
    <w:rsid w:val="00743D1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customXml" Target="../customXml/item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2" Type="http://schemas.openxmlformats.org/officeDocument/2006/relationships/image" Target="media/image7.jpg"/><Relationship Id="rId1" Type="http://schemas.openxmlformats.org/officeDocument/2006/relationships/image" Target="media/image6.png"/></Relationships>
</file>

<file path=word/_rels/footnotes.xml.rels><?xml version="1.0" encoding="UTF-8" standalone="yes"?>
<Relationships xmlns="http://schemas.openxmlformats.org/package/2006/relationships"><Relationship Id="rId8" Type="http://schemas.openxmlformats.org/officeDocument/2006/relationships/hyperlink" Target="https://www.funcionpublica.gov.co/eva/gestornormativo/norma.php?i=77653" TargetMode="External"/><Relationship Id="rId13" Type="http://schemas.openxmlformats.org/officeDocument/2006/relationships/hyperlink" Target="https://www.funcionpublica.gov.co/eva/gestornormativo/norma.php?i=77653" TargetMode="External"/><Relationship Id="rId3" Type="http://schemas.openxmlformats.org/officeDocument/2006/relationships/hyperlink" Target="https://www.funcionpublica.gov.co/eva/gestornormativo/norma.php?i=77653" TargetMode="External"/><Relationship Id="rId7" Type="http://schemas.openxmlformats.org/officeDocument/2006/relationships/hyperlink" Target="https://www.funcionpublica.gov.co/eva/gestornormativo/norma.php?i=77653" TargetMode="External"/><Relationship Id="rId12" Type="http://schemas.openxmlformats.org/officeDocument/2006/relationships/hyperlink" Target="https://www.funcionpublica.gov.co/eva/gestornormativo/norma.php?i=77653" TargetMode="External"/><Relationship Id="rId2" Type="http://schemas.openxmlformats.org/officeDocument/2006/relationships/hyperlink" Target="https://www.funcionpublica.gov.co/eva/gestornormativo/norma.php?i=77653" TargetMode="External"/><Relationship Id="rId16" Type="http://schemas.openxmlformats.org/officeDocument/2006/relationships/hyperlink" Target="https://www.colombiacompra.gov.co/content/modificacion-los-documentos-tipo-adoptados-por-la-agencia-nacional-de-contratacion-publica" TargetMode="External"/><Relationship Id="rId1" Type="http://schemas.openxmlformats.org/officeDocument/2006/relationships/hyperlink" Target="https://www.colombiacompra.gov.co/content/08-modificacion-los-documentos-tipo-para-los-procesos-de-obra-publica-de-infraestructura-de" TargetMode="External"/><Relationship Id="rId6" Type="http://schemas.openxmlformats.org/officeDocument/2006/relationships/hyperlink" Target="https://www.funcionpublica.gov.co/eva/gestornormativo/norma.php?i=77653" TargetMode="External"/><Relationship Id="rId11" Type="http://schemas.openxmlformats.org/officeDocument/2006/relationships/hyperlink" Target="https://www.funcionpublica.gov.co/eva/gestornormativo/norma.php?i=77653" TargetMode="External"/><Relationship Id="rId5" Type="http://schemas.openxmlformats.org/officeDocument/2006/relationships/hyperlink" Target="https://www.funcionpublica.gov.co/eva/gestornormativo/norma.php?i=77653" TargetMode="External"/><Relationship Id="rId15" Type="http://schemas.openxmlformats.org/officeDocument/2006/relationships/hyperlink" Target="https://www.funcionpublica.gov.co/eva/gestornormativo/norma.php?i=77653" TargetMode="External"/><Relationship Id="rId10" Type="http://schemas.openxmlformats.org/officeDocument/2006/relationships/hyperlink" Target="https://www.funcionpublica.gov.co/eva/gestornormativo/norma.php?i=77653" TargetMode="External"/><Relationship Id="rId4" Type="http://schemas.openxmlformats.org/officeDocument/2006/relationships/hyperlink" Target="https://www.funcionpublica.gov.co/eva/gestornormativo/norma.php?i=77653" TargetMode="External"/><Relationship Id="rId9" Type="http://schemas.openxmlformats.org/officeDocument/2006/relationships/hyperlink" Target="https://www.funcionpublica.gov.co/eva/gestornormativo/norma.php?i=77653" TargetMode="External"/><Relationship Id="rId14" Type="http://schemas.openxmlformats.org/officeDocument/2006/relationships/hyperlink" Target="https://www.funcionpublica.gov.co/eva/gestornormativo/norma.php?i=77653"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F2E0F32964D9B84EA054B84E5D4157A0" ma:contentTypeVersion="16" ma:contentTypeDescription="Crear nuevo documento." ma:contentTypeScope="" ma:versionID="4d0aff64a573d8785e6a72518a5ad9d8">
  <xsd:schema xmlns:xsd="http://www.w3.org/2001/XMLSchema" xmlns:xs="http://www.w3.org/2001/XMLSchema" xmlns:p="http://schemas.microsoft.com/office/2006/metadata/properties" xmlns:ns2="9d85dbaf-23eb-4e57-a637-93dcacc8b1a1" xmlns:ns3="a6cb9e4b-f1d1-4245-83ec-6cad768d538a" targetNamespace="http://schemas.microsoft.com/office/2006/metadata/properties" ma:root="true" ma:fieldsID="f36a2f457a6205ac8ec841d28bbb076c" ns2:_="" ns3:_="">
    <xsd:import namespace="9d85dbaf-23eb-4e57-a637-93dcacc8b1a1"/>
    <xsd:import namespace="a6cb9e4b-f1d1-4245-83ec-6cad768d538a"/>
    <xsd:element name="properties">
      <xsd:complexType>
        <xsd:sequence>
          <xsd:element name="documentManagement">
            <xsd:complexType>
              <xsd:all>
                <xsd:element ref="ns2:MediaServiceMetadata" minOccurs="0"/>
                <xsd:element ref="ns2:MediaServiceFastMetadata" minOccurs="0"/>
                <xsd:element ref="ns2:MediaServiceEventHashCode" minOccurs="0"/>
                <xsd:element ref="ns2:MediaServiceGenerationTime" minOccurs="0"/>
                <xsd:element ref="ns3:SharedWithUsers" minOccurs="0"/>
                <xsd:element ref="ns3:SharedWithDetails" minOccurs="0"/>
                <xsd:element ref="ns2:MediaServiceAutoTags" minOccurs="0"/>
                <xsd:element ref="ns2:MediaServiceOCR" minOccurs="0"/>
                <xsd:element ref="ns2:MediaServiceDateTaken" minOccurs="0"/>
                <xsd:element ref="ns2:MediaServiceAutoKeyPoints" minOccurs="0"/>
                <xsd:element ref="ns2:MediaServiceKeyPoints" minOccurs="0"/>
                <xsd:element ref="ns2:No"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85dbaf-23eb-4e57-a637-93dcacc8b1a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EventHashCode" ma:index="10" nillable="true" ma:displayName="MediaServiceEventHashCode" ma:hidden="true" ma:internalName="MediaServiceEventHashCode"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No" ma:index="19" nillable="true" ma:displayName="No" ma:format="Dropdown" ma:internalName="No" ma:percentage="FALSE">
      <xsd:simpleType>
        <xsd:restriction base="dms:Number"/>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Etiquetas de imagen" ma:readOnly="false" ma:fieldId="{5cf76f15-5ced-4ddc-b409-7134ff3c332f}" ma:taxonomyMulti="true" ma:sspId="d11a0eb6-ad86-4071-a759-4f0356bdcc6a"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6cb9e4b-f1d1-4245-83ec-6cad768d538a" elementFormDefault="qualified">
    <xsd:import namespace="http://schemas.microsoft.com/office/2006/documentManagement/types"/>
    <xsd:import namespace="http://schemas.microsoft.com/office/infopath/2007/PartnerControls"/>
    <xsd:element name="SharedWithUsers" ma:index="12"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talles de uso compartido" ma:internalName="SharedWithDetails" ma:readOnly="true">
      <xsd:simpleType>
        <xsd:restriction base="dms:Note">
          <xsd:maxLength value="255"/>
        </xsd:restriction>
      </xsd:simpleType>
    </xsd:element>
    <xsd:element name="TaxCatchAll" ma:index="23" nillable="true" ma:displayName="Taxonomy Catch All Column" ma:hidden="true" ma:list="{1105a6f2-09f1-4f7d-bab9-e03f1dc4ac6e}" ma:internalName="TaxCatchAll" ma:showField="CatchAllData" ma:web="a6cb9e4b-f1d1-4245-83ec-6cad768d538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No xmlns="9d85dbaf-23eb-4e57-a637-93dcacc8b1a1" xsi:nil="true"/>
    <TaxCatchAll xmlns="a6cb9e4b-f1d1-4245-83ec-6cad768d538a" xsi:nil="true"/>
    <lcf76f155ced4ddcb4097134ff3c332f xmlns="9d85dbaf-23eb-4e57-a637-93dcacc8b1a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72E96C9-7A90-41E7-9E0F-CF2BD7B15447}">
  <ds:schemaRefs>
    <ds:schemaRef ds:uri="http://schemas.openxmlformats.org/officeDocument/2006/bibliography"/>
  </ds:schemaRefs>
</ds:datastoreItem>
</file>

<file path=customXml/itemProps2.xml><?xml version="1.0" encoding="utf-8"?>
<ds:datastoreItem xmlns:ds="http://schemas.openxmlformats.org/officeDocument/2006/customXml" ds:itemID="{FC1A9548-A4E7-4B0C-828B-4000AD7FB5FF}"/>
</file>

<file path=customXml/itemProps3.xml><?xml version="1.0" encoding="utf-8"?>
<ds:datastoreItem xmlns:ds="http://schemas.openxmlformats.org/officeDocument/2006/customXml" ds:itemID="{4857F9CF-ADC6-479A-9F99-F2E264C2EA8D}"/>
</file>

<file path=customXml/itemProps4.xml><?xml version="1.0" encoding="utf-8"?>
<ds:datastoreItem xmlns:ds="http://schemas.openxmlformats.org/officeDocument/2006/customXml" ds:itemID="{6FDC82DA-EA20-44A3-B50D-E3C0512DEEBF}"/>
</file>

<file path=docProps/app.xml><?xml version="1.0" encoding="utf-8"?>
<Properties xmlns="http://schemas.openxmlformats.org/officeDocument/2006/extended-properties" xmlns:vt="http://schemas.openxmlformats.org/officeDocument/2006/docPropsVTypes">
  <Template>Normal</Template>
  <TotalTime>0</TotalTime>
  <Pages>23</Pages>
  <Words>8678</Words>
  <Characters>47734</Characters>
  <Application>Microsoft Office Word</Application>
  <DocSecurity>0</DocSecurity>
  <Lines>397</Lines>
  <Paragraphs>112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Mario Castrillon Endo</dc:creator>
  <cp:keywords/>
  <dc:description/>
  <cp:lastModifiedBy>Carlos Mario Castrillon Endo</cp:lastModifiedBy>
  <cp:revision>2</cp:revision>
  <dcterms:created xsi:type="dcterms:W3CDTF">2022-08-08T13:41:00Z</dcterms:created>
  <dcterms:modified xsi:type="dcterms:W3CDTF">2022-08-08T13:41:00Z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0x010100F2E0F32964D9B84EA054B84E5D4157A0</vt:lpwstr>
  </property>
</Properties>
</file>