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3739DD" w14:textId="373F8F25" w:rsidR="00A53021" w:rsidRPr="00D67C1A" w:rsidRDefault="00A53021" w:rsidP="00B140BD">
      <w:pPr>
        <w:widowControl w:val="0"/>
        <w:autoSpaceDE w:val="0"/>
        <w:autoSpaceDN w:val="0"/>
        <w:rPr>
          <w:rFonts w:ascii="Arial" w:eastAsia="Calibri" w:hAnsi="Arial" w:cs="Arial"/>
          <w:b/>
          <w:sz w:val="20"/>
          <w:szCs w:val="20"/>
          <w:lang w:val="es-ES_tradnl"/>
        </w:rPr>
      </w:pPr>
      <w:r w:rsidRPr="00D67C1A">
        <w:rPr>
          <w:rFonts w:ascii="Arial" w:eastAsia="Calibri" w:hAnsi="Arial" w:cs="Arial"/>
          <w:b/>
          <w:color w:val="000000"/>
          <w:sz w:val="22"/>
        </w:rPr>
        <w:t>DOCUMENTOS TIPO – Infraestructura de transporte</w:t>
      </w:r>
    </w:p>
    <w:p w14:paraId="207BA4B1" w14:textId="32E8D86E" w:rsidR="007C2EF0" w:rsidRPr="00D67C1A" w:rsidRDefault="007C2EF0" w:rsidP="00B47D0B">
      <w:pPr>
        <w:widowControl w:val="0"/>
        <w:autoSpaceDE w:val="0"/>
        <w:autoSpaceDN w:val="0"/>
        <w:rPr>
          <w:rFonts w:ascii="Arial" w:eastAsia="Calibri" w:hAnsi="Arial" w:cs="Arial"/>
          <w:sz w:val="20"/>
          <w:szCs w:val="20"/>
          <w:lang w:val="es-ES_tradnl"/>
        </w:rPr>
      </w:pPr>
    </w:p>
    <w:p w14:paraId="64AD23A1" w14:textId="1F6E78B2" w:rsidR="00C05B50" w:rsidRPr="00D67C1A" w:rsidRDefault="00A53021" w:rsidP="00B140BD">
      <w:pPr>
        <w:jc w:val="both"/>
        <w:rPr>
          <w:rFonts w:ascii="Arial" w:eastAsia="Calibri" w:hAnsi="Arial" w:cs="Arial"/>
          <w:color w:val="000000"/>
          <w:sz w:val="20"/>
          <w:szCs w:val="20"/>
        </w:rPr>
      </w:pPr>
      <w:r w:rsidRPr="00D67C1A">
        <w:rPr>
          <w:rFonts w:ascii="Arial" w:eastAsia="Calibri" w:hAnsi="Arial" w:cs="Arial"/>
          <w:color w:val="000000"/>
          <w:sz w:val="20"/>
          <w:szCs w:val="20"/>
        </w:rPr>
        <w:t>[…] la Agencia Nacional de Contratación Pública – Colombia Compra Eficiente expidió las Resoluciones No. 240 y 241 del 27 de noviembre 2020, mediante las cuales se adoptan los documentos tipo de licitación de obra pública de infraestructura de transporte – versión 3 y de selección abreviada de menor cuantía de obra de infraestructura de transporte – versión 2. Estas versiones de los documentos tipo son obligatorias a partir del 1º de enero de 2021. […]</w:t>
      </w:r>
      <w:r w:rsidR="00C05B50" w:rsidRPr="00D67C1A">
        <w:rPr>
          <w:rFonts w:ascii="Arial" w:eastAsia="Calibri" w:hAnsi="Arial" w:cs="Arial"/>
          <w:color w:val="000000"/>
          <w:sz w:val="20"/>
          <w:szCs w:val="20"/>
        </w:rPr>
        <w:t xml:space="preserve"> </w:t>
      </w:r>
      <w:r w:rsidR="00C05B50" w:rsidRPr="00D67C1A">
        <w:rPr>
          <w:rFonts w:ascii="Arial" w:eastAsia="Calibri" w:hAnsi="Arial" w:cs="Arial"/>
          <w:color w:val="000000"/>
          <w:sz w:val="20"/>
          <w:szCs w:val="20"/>
          <w:lang w:val="es-ES_tradnl"/>
        </w:rPr>
        <w:t>De igual manera, se adoptaron los documentos tipo de mínima cuantía de obra pública de infraestructura de transporte mediante la Resolución 094 del 21 de mayo de 2020.</w:t>
      </w:r>
    </w:p>
    <w:p w14:paraId="4420C4E6" w14:textId="77777777" w:rsidR="00A53021" w:rsidRPr="00D67C1A" w:rsidRDefault="00A53021" w:rsidP="00B140BD">
      <w:pPr>
        <w:jc w:val="both"/>
        <w:rPr>
          <w:rFonts w:ascii="Arial" w:eastAsia="Calibri" w:hAnsi="Arial" w:cs="Arial"/>
          <w:color w:val="000000"/>
          <w:sz w:val="20"/>
          <w:szCs w:val="20"/>
        </w:rPr>
      </w:pPr>
    </w:p>
    <w:p w14:paraId="382E8CF6" w14:textId="0D48B8E6" w:rsidR="00A53021" w:rsidRPr="00D67C1A" w:rsidRDefault="00A53021" w:rsidP="00B140BD">
      <w:pPr>
        <w:jc w:val="both"/>
        <w:rPr>
          <w:rFonts w:ascii="Arial" w:eastAsia="Calibri" w:hAnsi="Arial" w:cs="Arial"/>
          <w:color w:val="000000"/>
          <w:sz w:val="20"/>
          <w:szCs w:val="20"/>
        </w:rPr>
      </w:pPr>
      <w:r w:rsidRPr="00D67C1A">
        <w:rPr>
          <w:rFonts w:ascii="Arial" w:eastAsia="Calibri" w:hAnsi="Arial" w:cs="Arial"/>
          <w:color w:val="000000"/>
          <w:sz w:val="20"/>
          <w:szCs w:val="20"/>
        </w:rPr>
        <w:t>Además, teni</w:t>
      </w:r>
      <w:r w:rsidR="00F859FC" w:rsidRPr="00D67C1A">
        <w:rPr>
          <w:rFonts w:ascii="Arial" w:eastAsia="Calibri" w:hAnsi="Arial" w:cs="Arial"/>
          <w:color w:val="000000"/>
          <w:sz w:val="20"/>
          <w:szCs w:val="20"/>
        </w:rPr>
        <w:t>endo en cuenta que el Gobierno n</w:t>
      </w:r>
      <w:r w:rsidRPr="00D67C1A">
        <w:rPr>
          <w:rFonts w:ascii="Arial" w:eastAsia="Calibri" w:hAnsi="Arial" w:cs="Arial"/>
          <w:color w:val="000000"/>
          <w:sz w:val="20"/>
          <w:szCs w:val="20"/>
        </w:rPr>
        <w:t>acional expidió el Decreto 680 del 22 de junio de 2021 «Por el cual se modifica parcialmente el artículo 2.2.1.1.1.3.1. y se adiciona el artículo 2.2.1.2.4.2.9. al Decreto 1082 de 2015, Único Reglamentario del Sector Administrativo de Planeación Nacional, en relación con la regla de origen de servicios en el Sistema de Compra Pública», esta Agencia expidió la Resolución 304 del 13 de octubre de 2021, mediante el cual se modifican los documentos tipo indicados. Esta modificación aplica a los procesos de contratación cuyo aviso de convocatoria se publique a partir del 2 de noviembre de 2021.</w:t>
      </w:r>
    </w:p>
    <w:p w14:paraId="29C3B47A" w14:textId="49E33EB9" w:rsidR="00A53021" w:rsidRPr="00D67C1A" w:rsidRDefault="00A53021" w:rsidP="00B140BD">
      <w:pPr>
        <w:widowControl w:val="0"/>
        <w:autoSpaceDE w:val="0"/>
        <w:autoSpaceDN w:val="0"/>
        <w:rPr>
          <w:rFonts w:ascii="Arial" w:eastAsia="Calibri" w:hAnsi="Arial" w:cs="Arial"/>
          <w:sz w:val="20"/>
          <w:szCs w:val="20"/>
        </w:rPr>
      </w:pPr>
    </w:p>
    <w:p w14:paraId="6C85E9F9" w14:textId="79AFA836" w:rsidR="00BF3E13" w:rsidRPr="00D67C1A" w:rsidRDefault="002A0763" w:rsidP="00B140BD">
      <w:pPr>
        <w:jc w:val="both"/>
        <w:rPr>
          <w:rFonts w:ascii="Arial" w:eastAsia="Arial MT" w:hAnsi="Arial" w:cs="Arial"/>
          <w:b/>
          <w:sz w:val="22"/>
        </w:rPr>
      </w:pPr>
      <w:r w:rsidRPr="00D67C1A">
        <w:rPr>
          <w:rFonts w:ascii="Arial" w:eastAsia="Arial MT" w:hAnsi="Arial" w:cs="Arial"/>
          <w:b/>
          <w:sz w:val="22"/>
        </w:rPr>
        <w:t xml:space="preserve">DOCUMENTOS TIPO – Regla de inalterabilidad – Excepciones </w:t>
      </w:r>
    </w:p>
    <w:p w14:paraId="535693ED" w14:textId="77777777" w:rsidR="00BF3E13" w:rsidRPr="00D67C1A" w:rsidRDefault="00BF3E13" w:rsidP="00B140BD">
      <w:pPr>
        <w:jc w:val="both"/>
        <w:rPr>
          <w:rFonts w:ascii="Arial" w:eastAsia="Calibri" w:hAnsi="Arial" w:cs="Arial"/>
          <w:color w:val="000000"/>
          <w:sz w:val="20"/>
          <w:szCs w:val="20"/>
          <w:lang w:val="es-ES_tradnl"/>
        </w:rPr>
      </w:pPr>
    </w:p>
    <w:p w14:paraId="3EA3B90F" w14:textId="1EE7DBAE" w:rsidR="00E00C21" w:rsidRDefault="00E00C21" w:rsidP="00E00C21">
      <w:pPr>
        <w:jc w:val="both"/>
        <w:rPr>
          <w:rFonts w:ascii="Arial" w:eastAsia="Calibri" w:hAnsi="Arial" w:cs="Arial"/>
          <w:sz w:val="20"/>
          <w:szCs w:val="20"/>
          <w:lang w:val="es-ES_tradnl"/>
        </w:rPr>
      </w:pPr>
      <w:r w:rsidRPr="00D67C1A">
        <w:rPr>
          <w:rFonts w:ascii="Arial" w:eastAsia="Calibri" w:hAnsi="Arial" w:cs="Arial"/>
          <w:color w:val="000000"/>
          <w:sz w:val="20"/>
          <w:szCs w:val="20"/>
        </w:rPr>
        <w:t>[…]</w:t>
      </w:r>
      <w:r w:rsidRPr="00D67C1A">
        <w:rPr>
          <w:rFonts w:ascii="Arial" w:eastAsia="Calibri" w:hAnsi="Arial" w:cs="Arial"/>
          <w:sz w:val="20"/>
          <w:szCs w:val="20"/>
          <w:lang w:val="es-ES_tradnl"/>
        </w:rPr>
        <w:t xml:space="preserve">esta Subdirección mantiene la postura que se reitera en el presente concepto y es la siguiente: por regla general, conforme al artículo 1 de la Ley 2022 de 2020 </w:t>
      </w:r>
      <w:r w:rsidR="0093065B">
        <w:rPr>
          <w:rFonts w:ascii="Arial" w:eastAsia="Calibri" w:hAnsi="Arial" w:cs="Arial"/>
          <w:sz w:val="20"/>
          <w:szCs w:val="20"/>
          <w:lang w:val="es-ES_tradnl"/>
        </w:rPr>
        <w:t xml:space="preserve">aplica la regla de la </w:t>
      </w:r>
      <w:proofErr w:type="spellStart"/>
      <w:r w:rsidRPr="00D67C1A">
        <w:rPr>
          <w:rFonts w:ascii="Arial" w:eastAsia="Calibri" w:hAnsi="Arial" w:cs="Arial"/>
          <w:sz w:val="20"/>
          <w:szCs w:val="20"/>
          <w:lang w:val="es-ES_tradnl"/>
        </w:rPr>
        <w:t>la</w:t>
      </w:r>
      <w:proofErr w:type="spellEnd"/>
      <w:r w:rsidRPr="00D67C1A">
        <w:rPr>
          <w:rFonts w:ascii="Arial" w:eastAsia="Calibri" w:hAnsi="Arial" w:cs="Arial"/>
          <w:sz w:val="20"/>
          <w:szCs w:val="20"/>
          <w:lang w:val="es-ES_tradnl"/>
        </w:rPr>
        <w:t xml:space="preserve"> inalterabilidad de los documentos tipo, y en esta línea, las entidades públicas deberán sujetarse a las reglas establecidas en los documentos tipo, dispuestas en las diferentes resoluciones expedidas por la Agencia, por lo que no pueden hacer excepciones bajo una supuesta discrecionalidad a estas reglas que son obligatorias</w:t>
      </w:r>
      <w:r w:rsidR="0093065B">
        <w:rPr>
          <w:rFonts w:ascii="Arial" w:eastAsia="Calibri" w:hAnsi="Arial" w:cs="Arial"/>
          <w:sz w:val="20"/>
          <w:szCs w:val="20"/>
          <w:lang w:val="es-ES_tradnl"/>
        </w:rPr>
        <w:t>.</w:t>
      </w:r>
    </w:p>
    <w:p w14:paraId="3FE35563" w14:textId="0F4F9321" w:rsidR="0093065B" w:rsidRDefault="0093065B" w:rsidP="00E00C21">
      <w:pPr>
        <w:jc w:val="both"/>
        <w:rPr>
          <w:rFonts w:ascii="Arial" w:eastAsia="Calibri" w:hAnsi="Arial" w:cs="Arial"/>
          <w:sz w:val="20"/>
          <w:szCs w:val="20"/>
          <w:lang w:val="es-ES_tradnl"/>
        </w:rPr>
      </w:pPr>
    </w:p>
    <w:p w14:paraId="7ACC1C7F" w14:textId="76C265D0" w:rsidR="0093065B" w:rsidRPr="00D67C1A" w:rsidRDefault="0093065B" w:rsidP="0093065B">
      <w:pPr>
        <w:jc w:val="both"/>
        <w:rPr>
          <w:rFonts w:ascii="Arial" w:eastAsia="Calibri" w:hAnsi="Arial" w:cs="Arial"/>
          <w:sz w:val="20"/>
          <w:szCs w:val="20"/>
          <w:lang w:val="es-ES_tradnl"/>
        </w:rPr>
      </w:pPr>
      <w:r w:rsidRPr="0093065B">
        <w:rPr>
          <w:rFonts w:ascii="Arial" w:eastAsia="Calibri" w:hAnsi="Arial" w:cs="Arial"/>
          <w:sz w:val="20"/>
          <w:szCs w:val="20"/>
          <w:lang w:val="es-ES_tradnl"/>
        </w:rPr>
        <w:t xml:space="preserve">Lo anterior, sin perjuicio de las instrucciones establecidas en los mismos documentos tipo mediante las </w:t>
      </w:r>
      <w:proofErr w:type="spellStart"/>
      <w:r w:rsidRPr="0093065B">
        <w:rPr>
          <w:rFonts w:ascii="Arial" w:eastAsia="Calibri" w:hAnsi="Arial" w:cs="Arial"/>
          <w:sz w:val="20"/>
          <w:szCs w:val="20"/>
          <w:lang w:val="es-ES_tradnl"/>
        </w:rPr>
        <w:t>caules</w:t>
      </w:r>
      <w:proofErr w:type="spellEnd"/>
      <w:r w:rsidRPr="0093065B">
        <w:rPr>
          <w:rFonts w:ascii="Arial" w:eastAsia="Calibri" w:hAnsi="Arial" w:cs="Arial"/>
          <w:sz w:val="20"/>
          <w:szCs w:val="20"/>
          <w:lang w:val="es-ES_tradnl"/>
        </w:rPr>
        <w:t xml:space="preserve"> se autoriza su modificación, especialmente, en aquellos apartados entre corchetes y resaltados en gris, por lo que las entidades podrán modificar el contenido de los documentos tipo en aquellos contenidos que estos lo permitan, de acuerdo con las mismas instrucciones establecidas en los documentos tipo.</w:t>
      </w:r>
    </w:p>
    <w:p w14:paraId="697A50BA" w14:textId="269D5391" w:rsidR="002603F3" w:rsidRPr="00D67C1A" w:rsidRDefault="002603F3" w:rsidP="00E00C21">
      <w:pPr>
        <w:widowControl w:val="0"/>
        <w:autoSpaceDE w:val="0"/>
        <w:autoSpaceDN w:val="0"/>
        <w:rPr>
          <w:rFonts w:ascii="Arial MT" w:eastAsia="Arial MT" w:hAnsi="Arial MT" w:cs="Arial MT"/>
          <w:sz w:val="22"/>
        </w:rPr>
      </w:pPr>
    </w:p>
    <w:p w14:paraId="3901B6E0" w14:textId="66CEC411" w:rsidR="00E00C21" w:rsidRPr="00D67C1A" w:rsidRDefault="00E00C21" w:rsidP="00E00C21">
      <w:pPr>
        <w:spacing w:after="240"/>
        <w:jc w:val="both"/>
        <w:rPr>
          <w:rFonts w:ascii="Arial" w:eastAsia="Calibri" w:hAnsi="Arial" w:cs="Arial"/>
          <w:sz w:val="20"/>
          <w:szCs w:val="20"/>
          <w:lang w:val="es-ES_tradnl"/>
        </w:rPr>
      </w:pPr>
      <w:r w:rsidRPr="00D67C1A">
        <w:rPr>
          <w:rFonts w:ascii="Arial" w:eastAsia="Calibri" w:hAnsi="Arial" w:cs="Arial"/>
          <w:sz w:val="20"/>
          <w:szCs w:val="20"/>
          <w:lang w:val="es-ES_tradnl"/>
        </w:rPr>
        <w:t>Esta regla de inalterabilidad también aplica a los formatos, formularios y anexos implementados junto con el «Documento Base», los cuales deben usarse en el procedimiento de contratación. Estos, al igual que el «Documento Base», contienen apartes entre corchetes y resaltados en gris, los cuales deben ser diligenciados por la entidad, al igual que otros aspectos relativos a información que debe ser completada por los oferentes al hacer uso del formato</w:t>
      </w:r>
      <w:r w:rsidR="0093065B">
        <w:rPr>
          <w:rFonts w:ascii="Arial" w:eastAsia="Calibri" w:hAnsi="Arial" w:cs="Arial"/>
          <w:sz w:val="20"/>
          <w:szCs w:val="20"/>
          <w:lang w:val="es-ES_tradnl"/>
        </w:rPr>
        <w:t xml:space="preserve"> </w:t>
      </w:r>
      <w:r w:rsidR="0093065B" w:rsidRPr="0093065B">
        <w:rPr>
          <w:rFonts w:ascii="Arial" w:eastAsia="Calibri" w:hAnsi="Arial" w:cs="Arial"/>
          <w:sz w:val="20"/>
          <w:szCs w:val="20"/>
          <w:lang w:val="es-ES_tradnl"/>
        </w:rPr>
        <w:t xml:space="preserve">o instrucciones precisas que autoricen la </w:t>
      </w:r>
      <w:proofErr w:type="spellStart"/>
      <w:r w:rsidR="0093065B" w:rsidRPr="0093065B">
        <w:rPr>
          <w:rFonts w:ascii="Arial" w:eastAsia="Calibri" w:hAnsi="Arial" w:cs="Arial"/>
          <w:sz w:val="20"/>
          <w:szCs w:val="20"/>
          <w:lang w:val="es-ES_tradnl"/>
        </w:rPr>
        <w:t>modifición</w:t>
      </w:r>
      <w:proofErr w:type="spellEnd"/>
      <w:r w:rsidR="0093065B" w:rsidRPr="0093065B">
        <w:rPr>
          <w:rFonts w:ascii="Arial" w:eastAsia="Calibri" w:hAnsi="Arial" w:cs="Arial"/>
          <w:sz w:val="20"/>
          <w:szCs w:val="20"/>
          <w:lang w:val="es-ES_tradnl"/>
        </w:rPr>
        <w:t xml:space="preserve"> de su contenido</w:t>
      </w:r>
      <w:r w:rsidRPr="00D67C1A">
        <w:rPr>
          <w:rFonts w:ascii="Arial" w:eastAsia="Calibri" w:hAnsi="Arial" w:cs="Arial"/>
          <w:sz w:val="20"/>
          <w:szCs w:val="20"/>
          <w:lang w:val="es-ES_tradnl"/>
        </w:rPr>
        <w:t xml:space="preserve">. </w:t>
      </w:r>
    </w:p>
    <w:p w14:paraId="25E6C76B" w14:textId="77777777" w:rsidR="00D853DA" w:rsidRPr="00D67C1A" w:rsidRDefault="00D853DA" w:rsidP="00D853DA">
      <w:pPr>
        <w:jc w:val="both"/>
        <w:rPr>
          <w:rFonts w:ascii="Arial" w:eastAsia="Calibri" w:hAnsi="Arial" w:cs="Arial"/>
          <w:b/>
          <w:sz w:val="22"/>
          <w:lang w:val="es-ES_tradnl"/>
        </w:rPr>
      </w:pPr>
      <w:r w:rsidRPr="00D67C1A">
        <w:rPr>
          <w:rFonts w:ascii="Arial" w:eastAsia="Calibri" w:hAnsi="Arial" w:cs="Arial"/>
          <w:b/>
          <w:sz w:val="22"/>
        </w:rPr>
        <w:t xml:space="preserve">DOCUMENTOS TIPO – Formulario 1 – Presupuesto Oficial – Propuesta económica </w:t>
      </w:r>
    </w:p>
    <w:p w14:paraId="217D0AA5" w14:textId="77777777" w:rsidR="00D853DA" w:rsidRPr="00D67C1A" w:rsidRDefault="00D853DA" w:rsidP="00D853DA">
      <w:pPr>
        <w:jc w:val="both"/>
        <w:rPr>
          <w:rFonts w:ascii="Arial" w:eastAsia="Calibri" w:hAnsi="Arial" w:cs="Arial"/>
          <w:b/>
          <w:sz w:val="22"/>
          <w:lang w:val="es-ES_tradnl"/>
        </w:rPr>
      </w:pPr>
    </w:p>
    <w:p w14:paraId="52D955A3" w14:textId="79E6A12C" w:rsidR="00D853DA" w:rsidRDefault="007D4B8A" w:rsidP="00D853DA">
      <w:pPr>
        <w:jc w:val="both"/>
        <w:rPr>
          <w:rFonts w:ascii="Arial" w:eastAsia="Calibri" w:hAnsi="Arial" w:cs="Arial"/>
          <w:sz w:val="20"/>
          <w:szCs w:val="20"/>
          <w:lang w:val="es-ES_tradnl"/>
        </w:rPr>
      </w:pPr>
      <w:r w:rsidRPr="00D67C1A">
        <w:rPr>
          <w:rFonts w:ascii="Arial" w:eastAsia="Calibri" w:hAnsi="Arial" w:cs="Arial"/>
          <w:sz w:val="20"/>
          <w:szCs w:val="20"/>
          <w:lang w:val="es-ES_tradnl"/>
        </w:rPr>
        <w:t xml:space="preserve">En línea con lo anterior, el «Formulario 1 – Formulario de Presupuesto Oficial» de los Documentos tipo de licitación de obra pública de infraestructura de transporte - versión 3, permite </w:t>
      </w:r>
      <w:proofErr w:type="gramStart"/>
      <w:r w:rsidRPr="00D67C1A">
        <w:rPr>
          <w:rFonts w:ascii="Arial" w:eastAsia="Calibri" w:hAnsi="Arial" w:cs="Arial"/>
          <w:sz w:val="20"/>
          <w:szCs w:val="20"/>
          <w:lang w:val="es-ES_tradnl"/>
        </w:rPr>
        <w:t>que</w:t>
      </w:r>
      <w:proofErr w:type="gramEnd"/>
      <w:r w:rsidRPr="00D67C1A">
        <w:rPr>
          <w:rFonts w:ascii="Arial" w:eastAsia="Calibri" w:hAnsi="Arial" w:cs="Arial"/>
          <w:sz w:val="20"/>
          <w:szCs w:val="20"/>
          <w:lang w:val="es-ES_tradnl"/>
        </w:rPr>
        <w:t xml:space="preserve"> para efectos de la presentación de la propuesta económica, </w:t>
      </w:r>
      <w:r w:rsidR="00FC4DE5">
        <w:rPr>
          <w:rFonts w:ascii="Arial" w:eastAsia="Calibri" w:hAnsi="Arial" w:cs="Arial"/>
          <w:sz w:val="20"/>
          <w:szCs w:val="20"/>
          <w:lang w:val="es-ES_tradnl"/>
        </w:rPr>
        <w:t xml:space="preserve">que </w:t>
      </w:r>
      <w:r w:rsidRPr="00D67C1A">
        <w:rPr>
          <w:rFonts w:ascii="Arial" w:eastAsia="Calibri" w:hAnsi="Arial" w:cs="Arial"/>
          <w:sz w:val="20"/>
          <w:szCs w:val="20"/>
          <w:lang w:val="es-ES_tradnl"/>
        </w:rPr>
        <w:t>la entidad estatal pueda modificar el formulario o exigir otro diferente</w:t>
      </w:r>
      <w:r w:rsidR="00FC4DE5">
        <w:rPr>
          <w:rFonts w:ascii="Arial" w:eastAsia="Calibri" w:hAnsi="Arial" w:cs="Arial"/>
          <w:sz w:val="20"/>
          <w:szCs w:val="20"/>
          <w:lang w:val="es-ES_tradnl"/>
        </w:rPr>
        <w:t xml:space="preserve"> sin perjuicio de las precisiones que se realizarán en los párrafos siguientes. En este sentido</w:t>
      </w:r>
      <w:r w:rsidRPr="00D67C1A">
        <w:rPr>
          <w:rFonts w:ascii="Arial" w:eastAsia="Calibri" w:hAnsi="Arial" w:cs="Arial"/>
          <w:sz w:val="20"/>
          <w:szCs w:val="20"/>
          <w:lang w:val="es-ES_tradnl"/>
        </w:rPr>
        <w:t xml:space="preserve">, </w:t>
      </w:r>
      <w:r w:rsidR="00FC4DE5">
        <w:rPr>
          <w:rFonts w:ascii="Arial" w:eastAsia="Calibri" w:hAnsi="Arial" w:cs="Arial"/>
          <w:sz w:val="20"/>
          <w:szCs w:val="20"/>
          <w:lang w:val="es-ES_tradnl"/>
        </w:rPr>
        <w:t xml:space="preserve">el </w:t>
      </w:r>
      <w:r w:rsidRPr="00D67C1A">
        <w:rPr>
          <w:rFonts w:ascii="Arial" w:eastAsia="Calibri" w:hAnsi="Arial" w:cs="Arial"/>
          <w:sz w:val="20"/>
          <w:szCs w:val="20"/>
          <w:lang w:val="es-ES_tradnl"/>
        </w:rPr>
        <w:t xml:space="preserve">«Formulario 1» en su segunda pestaña en Excel, titulada «Formulario 1 propuesta económica» señala en la parte superior derecha: «[La entidad puede utilizar este formulario de presentación de propuesta económica de forma detallada, sin perjuicio que la entidad pueda </w:t>
      </w:r>
      <w:r w:rsidRPr="00D67C1A">
        <w:rPr>
          <w:rFonts w:ascii="Arial" w:eastAsia="Calibri" w:hAnsi="Arial" w:cs="Arial"/>
          <w:sz w:val="20"/>
          <w:szCs w:val="20"/>
          <w:lang w:val="es-ES_tradnl"/>
        </w:rPr>
        <w:lastRenderedPageBreak/>
        <w:t>modificarlo o establecer la presentación de la oferta económica con un formulario distinto al indicado.]». Igualmente, se indica que los proponentes emplearán el formulario establecido por la entidad para determinar su propuesta económica conforme al Formulario 1 - Presupuesto Oficial publicado por la Entidad. Esto significa que las entidades pueden diseñar un formulario para que los proponentes presenten su oferta económica, sin que sea obligatorio sujetarse al formulario que los documentos tipo proponen para el efecto. En todo caso, el proponente deberá emplear el formulario que establezca la entidad.</w:t>
      </w:r>
    </w:p>
    <w:p w14:paraId="1FC21B09" w14:textId="77777777" w:rsidR="00AF0BB9" w:rsidRPr="00D67C1A" w:rsidRDefault="00AF0BB9" w:rsidP="00D853DA">
      <w:pPr>
        <w:jc w:val="both"/>
        <w:rPr>
          <w:rFonts w:ascii="Arial" w:eastAsia="Calibri" w:hAnsi="Arial" w:cs="Arial"/>
          <w:sz w:val="20"/>
          <w:szCs w:val="20"/>
          <w:lang w:val="es-ES"/>
        </w:rPr>
      </w:pPr>
    </w:p>
    <w:p w14:paraId="094CFFF2" w14:textId="77777777" w:rsidR="00AB246E" w:rsidRPr="00D67C1A" w:rsidRDefault="00AB246E" w:rsidP="00AB246E">
      <w:pPr>
        <w:jc w:val="both"/>
        <w:rPr>
          <w:rFonts w:ascii="Arial" w:eastAsia="Calibri" w:hAnsi="Arial" w:cs="Arial"/>
          <w:b/>
          <w:color w:val="000000" w:themeColor="text1"/>
          <w:sz w:val="22"/>
        </w:rPr>
      </w:pPr>
      <w:r w:rsidRPr="00D67C1A">
        <w:rPr>
          <w:rFonts w:ascii="Arial" w:eastAsia="Calibri" w:hAnsi="Arial" w:cs="Arial"/>
          <w:b/>
          <w:bCs/>
          <w:sz w:val="22"/>
          <w:lang w:val="es-ES_tradnl"/>
        </w:rPr>
        <w:t xml:space="preserve">FORMULARIO 1 </w:t>
      </w:r>
      <w:r w:rsidRPr="00D67C1A">
        <w:rPr>
          <w:rFonts w:ascii="Arial" w:eastAsia="Calibri" w:hAnsi="Arial" w:cs="Arial"/>
          <w:b/>
          <w:color w:val="000000" w:themeColor="text1"/>
          <w:sz w:val="22"/>
        </w:rPr>
        <w:t>– Formulario de presupuesto oficial – Inalterabilidad – Notas 1, 2 y 3 – Componentes del AIU</w:t>
      </w:r>
    </w:p>
    <w:p w14:paraId="6A03AC5F" w14:textId="77777777" w:rsidR="00AB246E" w:rsidRPr="00D67C1A" w:rsidRDefault="00AB246E" w:rsidP="00AB246E">
      <w:pPr>
        <w:jc w:val="both"/>
        <w:rPr>
          <w:rFonts w:ascii="Arial" w:eastAsia="Calibri" w:hAnsi="Arial" w:cs="Arial"/>
          <w:sz w:val="20"/>
          <w:szCs w:val="20"/>
        </w:rPr>
      </w:pPr>
    </w:p>
    <w:p w14:paraId="29F8A0F7" w14:textId="77777777" w:rsidR="00AB246E" w:rsidRPr="00D67C1A" w:rsidRDefault="00AB246E" w:rsidP="00AB246E">
      <w:pPr>
        <w:jc w:val="both"/>
        <w:rPr>
          <w:rFonts w:ascii="Arial" w:eastAsia="Calibri" w:hAnsi="Arial" w:cs="Arial"/>
          <w:bCs/>
          <w:sz w:val="20"/>
          <w:szCs w:val="20"/>
        </w:rPr>
      </w:pPr>
      <w:r w:rsidRPr="00D67C1A">
        <w:rPr>
          <w:rFonts w:ascii="Arial" w:eastAsia="Calibri" w:hAnsi="Arial" w:cs="Arial"/>
          <w:bCs/>
          <w:sz w:val="20"/>
          <w:szCs w:val="20"/>
        </w:rPr>
        <w:t xml:space="preserve">En la primera hoja del «Formulario 1 – Formulario de Presupuesto oficial» se señala que en los procesos de contratación estructurados por precios unitarios aplican las notas 1, 2 y 3 de dicho formato y, por tanto, se diligencian las casillas de «Descripción», «Porcentaje» de la Administración, Imprevistos, Utilidad y total del A.I.U resaltados en color amarillo. En otras palabras, las entidades estatales incluirán de manera obligatoria el porcentaje de la: i) administración, </w:t>
      </w:r>
      <w:proofErr w:type="spellStart"/>
      <w:r w:rsidRPr="00D67C1A">
        <w:rPr>
          <w:rFonts w:ascii="Arial" w:eastAsia="Calibri" w:hAnsi="Arial" w:cs="Arial"/>
          <w:bCs/>
          <w:sz w:val="20"/>
          <w:szCs w:val="20"/>
        </w:rPr>
        <w:t>ii</w:t>
      </w:r>
      <w:proofErr w:type="spellEnd"/>
      <w:r w:rsidRPr="00D67C1A">
        <w:rPr>
          <w:rFonts w:ascii="Arial" w:eastAsia="Calibri" w:hAnsi="Arial" w:cs="Arial"/>
          <w:bCs/>
          <w:sz w:val="20"/>
          <w:szCs w:val="20"/>
        </w:rPr>
        <w:t xml:space="preserve">) imprevistos y </w:t>
      </w:r>
      <w:proofErr w:type="spellStart"/>
      <w:r w:rsidRPr="00D67C1A">
        <w:rPr>
          <w:rFonts w:ascii="Arial" w:eastAsia="Calibri" w:hAnsi="Arial" w:cs="Arial"/>
          <w:bCs/>
          <w:sz w:val="20"/>
          <w:szCs w:val="20"/>
        </w:rPr>
        <w:t>iii</w:t>
      </w:r>
      <w:proofErr w:type="spellEnd"/>
      <w:r w:rsidRPr="00D67C1A">
        <w:rPr>
          <w:rFonts w:ascii="Arial" w:eastAsia="Calibri" w:hAnsi="Arial" w:cs="Arial"/>
          <w:bCs/>
          <w:sz w:val="20"/>
          <w:szCs w:val="20"/>
        </w:rPr>
        <w:t>) utilidad cuando el proceso de contratación sea por precios unitarios.</w:t>
      </w:r>
    </w:p>
    <w:p w14:paraId="4243DF26" w14:textId="77777777" w:rsidR="00AB246E" w:rsidRPr="00D67C1A" w:rsidRDefault="00AB246E" w:rsidP="00AB246E">
      <w:pPr>
        <w:jc w:val="both"/>
        <w:rPr>
          <w:rFonts w:ascii="Arial" w:eastAsia="Calibri" w:hAnsi="Arial" w:cs="Arial"/>
          <w:bCs/>
          <w:sz w:val="20"/>
          <w:szCs w:val="20"/>
        </w:rPr>
      </w:pPr>
    </w:p>
    <w:p w14:paraId="40D49038" w14:textId="77777777" w:rsidR="00AB246E" w:rsidRPr="00D67C1A" w:rsidRDefault="00AB246E" w:rsidP="00AB246E">
      <w:pPr>
        <w:jc w:val="both"/>
        <w:rPr>
          <w:rFonts w:ascii="Arial" w:eastAsia="Calibri" w:hAnsi="Arial" w:cs="Arial"/>
          <w:bCs/>
          <w:sz w:val="20"/>
          <w:szCs w:val="20"/>
        </w:rPr>
      </w:pPr>
      <w:r w:rsidRPr="00D67C1A">
        <w:rPr>
          <w:rFonts w:ascii="Arial" w:eastAsia="Calibri" w:hAnsi="Arial" w:cs="Arial"/>
          <w:bCs/>
          <w:sz w:val="20"/>
          <w:szCs w:val="20"/>
        </w:rPr>
        <w:t xml:space="preserve">Al respecto, en la «Nota 1» se establece que el precio unitario incluye el valor de A.I.U. Por su parte, la «Nota 2» indica la regla que cuando la fracción decimal del peso sea igual o superior a 5 se aproximará por exceso al número entero siguiente del peso y cuando la fracción decimal del peso sea inferior a 5 se aproximará por defecto al número entero del peso. Finalmente, en la «Nota 3» se indica que el A.I.U y su discriminación debe ser en porcentaje. </w:t>
      </w:r>
    </w:p>
    <w:p w14:paraId="35AD7EE6" w14:textId="77777777" w:rsidR="00AB246E" w:rsidRPr="00D67C1A" w:rsidRDefault="00AB246E" w:rsidP="00AB246E">
      <w:pPr>
        <w:jc w:val="both"/>
        <w:rPr>
          <w:rFonts w:ascii="Arial" w:eastAsia="Calibri" w:hAnsi="Arial" w:cs="Arial"/>
          <w:bCs/>
          <w:sz w:val="20"/>
          <w:szCs w:val="20"/>
        </w:rPr>
      </w:pPr>
    </w:p>
    <w:p w14:paraId="5BEA0D21" w14:textId="77777777" w:rsidR="00AB246E" w:rsidRPr="00D67C1A" w:rsidRDefault="00AB246E" w:rsidP="00AB246E">
      <w:pPr>
        <w:jc w:val="both"/>
        <w:rPr>
          <w:rFonts w:ascii="Arial" w:eastAsia="Calibri" w:hAnsi="Arial" w:cs="Arial"/>
          <w:bCs/>
          <w:sz w:val="20"/>
          <w:szCs w:val="20"/>
        </w:rPr>
      </w:pPr>
      <w:r w:rsidRPr="00D67C1A">
        <w:rPr>
          <w:rFonts w:ascii="Arial" w:eastAsia="Calibri" w:hAnsi="Arial" w:cs="Arial"/>
          <w:bCs/>
          <w:sz w:val="20"/>
          <w:szCs w:val="20"/>
        </w:rPr>
        <w:t xml:space="preserve">De la redacción de estas notas se infiere que las entidades obligatoriamente aplicarán las notas definidas en el «Formulario 1 – Formulario del presupuesto oficial», cuando el proceso de contratación es estructurado por precios unitarios y, por ende, se incluirá el porcentaje respectivo a la: i) administración, </w:t>
      </w:r>
      <w:proofErr w:type="spellStart"/>
      <w:r w:rsidRPr="00D67C1A">
        <w:rPr>
          <w:rFonts w:ascii="Arial" w:eastAsia="Calibri" w:hAnsi="Arial" w:cs="Arial"/>
          <w:bCs/>
          <w:sz w:val="20"/>
          <w:szCs w:val="20"/>
        </w:rPr>
        <w:t>ii</w:t>
      </w:r>
      <w:proofErr w:type="spellEnd"/>
      <w:r w:rsidRPr="00D67C1A">
        <w:rPr>
          <w:rFonts w:ascii="Arial" w:eastAsia="Calibri" w:hAnsi="Arial" w:cs="Arial"/>
          <w:bCs/>
          <w:sz w:val="20"/>
          <w:szCs w:val="20"/>
        </w:rPr>
        <w:t xml:space="preserve">) imprevistos y </w:t>
      </w:r>
      <w:proofErr w:type="spellStart"/>
      <w:r w:rsidRPr="00D67C1A">
        <w:rPr>
          <w:rFonts w:ascii="Arial" w:eastAsia="Calibri" w:hAnsi="Arial" w:cs="Arial"/>
          <w:bCs/>
          <w:sz w:val="20"/>
          <w:szCs w:val="20"/>
        </w:rPr>
        <w:t>iii</w:t>
      </w:r>
      <w:proofErr w:type="spellEnd"/>
      <w:r w:rsidRPr="00D67C1A">
        <w:rPr>
          <w:rFonts w:ascii="Arial" w:eastAsia="Calibri" w:hAnsi="Arial" w:cs="Arial"/>
          <w:bCs/>
          <w:sz w:val="20"/>
          <w:szCs w:val="20"/>
        </w:rPr>
        <w:t>) utilidad. En consecuencia, las entidades no podrán omitir alguno de sus componentes y lo definirán de acuerdo con el estudio de mercado y el sector, incluyendo el valor que consideren procedente.</w:t>
      </w:r>
    </w:p>
    <w:p w14:paraId="3D068115" w14:textId="77777777" w:rsidR="00AB246E" w:rsidRPr="00D67C1A" w:rsidRDefault="00AB246E" w:rsidP="00AB246E">
      <w:pPr>
        <w:jc w:val="both"/>
        <w:rPr>
          <w:rFonts w:ascii="Arial" w:eastAsia="Calibri" w:hAnsi="Arial" w:cs="Arial"/>
          <w:sz w:val="20"/>
          <w:szCs w:val="20"/>
          <w:lang w:val="es-ES_tradnl"/>
        </w:rPr>
      </w:pPr>
    </w:p>
    <w:p w14:paraId="64E7C99A" w14:textId="57A32F59" w:rsidR="00AB246E" w:rsidRPr="00D67C1A" w:rsidRDefault="00AB246E" w:rsidP="00AB246E">
      <w:pPr>
        <w:jc w:val="both"/>
        <w:rPr>
          <w:rFonts w:ascii="Arial" w:eastAsia="Calibri" w:hAnsi="Arial" w:cs="Arial"/>
          <w:bCs/>
          <w:sz w:val="20"/>
          <w:szCs w:val="20"/>
        </w:rPr>
      </w:pPr>
    </w:p>
    <w:p w14:paraId="69DC2606" w14:textId="77777777" w:rsidR="00D853DA" w:rsidRPr="00D67C1A" w:rsidRDefault="00D853DA" w:rsidP="00D853DA">
      <w:pPr>
        <w:jc w:val="both"/>
        <w:rPr>
          <w:rFonts w:ascii="Arial" w:eastAsia="Calibri" w:hAnsi="Arial" w:cs="Arial"/>
          <w:sz w:val="20"/>
          <w:szCs w:val="20"/>
          <w:lang w:val="es-ES"/>
        </w:rPr>
      </w:pPr>
    </w:p>
    <w:p w14:paraId="1E636D2A" w14:textId="59E80C46" w:rsidR="002603F3" w:rsidRPr="00D67C1A" w:rsidRDefault="002603F3" w:rsidP="002A0763">
      <w:pPr>
        <w:widowControl w:val="0"/>
        <w:autoSpaceDE w:val="0"/>
        <w:autoSpaceDN w:val="0"/>
        <w:rPr>
          <w:rFonts w:ascii="Arial MT" w:eastAsia="Arial MT" w:hAnsi="Arial MT" w:cs="Arial MT"/>
          <w:sz w:val="22"/>
        </w:rPr>
      </w:pPr>
    </w:p>
    <w:p w14:paraId="362BBCDC" w14:textId="77FAA58D" w:rsidR="002603F3" w:rsidRPr="00D67C1A" w:rsidRDefault="002603F3" w:rsidP="002A0763">
      <w:pPr>
        <w:widowControl w:val="0"/>
        <w:autoSpaceDE w:val="0"/>
        <w:autoSpaceDN w:val="0"/>
        <w:rPr>
          <w:rFonts w:ascii="Arial MT" w:eastAsia="Arial MT" w:hAnsi="Arial MT" w:cs="Arial MT"/>
          <w:sz w:val="22"/>
        </w:rPr>
      </w:pPr>
    </w:p>
    <w:p w14:paraId="71B06DDB" w14:textId="5999E429" w:rsidR="0086272D" w:rsidRPr="00D67C1A" w:rsidRDefault="0086272D" w:rsidP="0086272D">
      <w:pPr>
        <w:widowControl w:val="0"/>
        <w:autoSpaceDE w:val="0"/>
        <w:autoSpaceDN w:val="0"/>
        <w:ind w:left="4825"/>
        <w:rPr>
          <w:rFonts w:ascii="Times New Roman" w:eastAsia="Arial MT" w:hAnsi="Arial MT" w:cs="Arial MT"/>
          <w:sz w:val="20"/>
          <w:lang w:val="es-ES"/>
        </w:rPr>
      </w:pPr>
    </w:p>
    <w:p w14:paraId="07791F22" w14:textId="77777777" w:rsidR="0086272D" w:rsidRPr="00D67C1A" w:rsidRDefault="0086272D" w:rsidP="0086272D">
      <w:pPr>
        <w:widowControl w:val="0"/>
        <w:autoSpaceDE w:val="0"/>
        <w:autoSpaceDN w:val="0"/>
        <w:spacing w:before="1"/>
        <w:rPr>
          <w:rFonts w:ascii="Times New Roman" w:eastAsia="Arial MT" w:hAnsi="Arial MT" w:cs="Arial MT"/>
          <w:sz w:val="18"/>
          <w:lang w:val="es-ES"/>
        </w:rPr>
      </w:pPr>
    </w:p>
    <w:p w14:paraId="21A3561C" w14:textId="2B5B9D75" w:rsidR="00B47D0B" w:rsidRPr="00D67C1A" w:rsidRDefault="00B47D0B">
      <w:pPr>
        <w:spacing w:after="200" w:line="276" w:lineRule="auto"/>
        <w:rPr>
          <w:rFonts w:ascii="Arial" w:eastAsia="Arial MT" w:hAnsi="Arial MT" w:cs="Arial MT"/>
          <w:b/>
          <w:color w:val="585858"/>
          <w:sz w:val="18"/>
          <w:lang w:val="es-ES"/>
        </w:rPr>
      </w:pPr>
      <w:r w:rsidRPr="00D67C1A">
        <w:rPr>
          <w:rFonts w:ascii="Arial" w:eastAsia="Arial MT" w:hAnsi="Arial MT" w:cs="Arial MT"/>
          <w:b/>
          <w:color w:val="585858"/>
          <w:sz w:val="18"/>
          <w:lang w:val="es-ES"/>
        </w:rPr>
        <w:br w:type="page"/>
      </w:r>
    </w:p>
    <w:p w14:paraId="01769909" w14:textId="17EB5EAA" w:rsidR="0086272D" w:rsidRPr="00343DF1" w:rsidRDefault="0086272D" w:rsidP="0086272D">
      <w:pPr>
        <w:widowControl w:val="0"/>
        <w:autoSpaceDE w:val="0"/>
        <w:autoSpaceDN w:val="0"/>
        <w:rPr>
          <w:rFonts w:ascii="Arial" w:eastAsia="Arial MT" w:hAnsi="Arial MT" w:cs="Arial MT"/>
          <w:sz w:val="20"/>
          <w:lang w:val="es-ES"/>
        </w:rPr>
      </w:pPr>
    </w:p>
    <w:p w14:paraId="254D6373" w14:textId="3B9B70AE" w:rsidR="00B87BF8" w:rsidRDefault="00343DF1" w:rsidP="00343DF1">
      <w:pPr>
        <w:widowControl w:val="0"/>
        <w:autoSpaceDE w:val="0"/>
        <w:autoSpaceDN w:val="0"/>
        <w:spacing w:before="144"/>
        <w:jc w:val="right"/>
        <w:rPr>
          <w:rFonts w:ascii="Arial MT" w:eastAsia="Arial MT" w:hAnsi="Arial MT" w:cs="Arial MT"/>
          <w:sz w:val="22"/>
          <w:lang w:val="es-ES"/>
        </w:rPr>
      </w:pPr>
      <w:r>
        <w:rPr>
          <w:noProof/>
          <w:lang w:val="es-CO" w:eastAsia="es-CO"/>
        </w:rPr>
        <w:drawing>
          <wp:inline distT="0" distB="0" distL="0" distR="0" wp14:anchorId="69A32136" wp14:editId="5FE9D1EA">
            <wp:extent cx="2406608" cy="63610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46161" t="48386" r="13939" b="32866"/>
                    <a:stretch/>
                  </pic:blipFill>
                  <pic:spPr bwMode="auto">
                    <a:xfrm>
                      <a:off x="0" y="0"/>
                      <a:ext cx="2423877" cy="640669"/>
                    </a:xfrm>
                    <a:prstGeom prst="rect">
                      <a:avLst/>
                    </a:prstGeom>
                    <a:ln>
                      <a:noFill/>
                    </a:ln>
                    <a:extLst>
                      <a:ext uri="{53640926-AAD7-44D8-BBD7-CCE9431645EC}">
                        <a14:shadowObscured xmlns:a14="http://schemas.microsoft.com/office/drawing/2010/main"/>
                      </a:ext>
                    </a:extLst>
                  </pic:spPr>
                </pic:pic>
              </a:graphicData>
            </a:graphic>
          </wp:inline>
        </w:drawing>
      </w:r>
    </w:p>
    <w:p w14:paraId="53D7DB75" w14:textId="77777777" w:rsidR="00327FA2" w:rsidRPr="00D67C1A" w:rsidRDefault="00327FA2" w:rsidP="00343DF1">
      <w:pPr>
        <w:widowControl w:val="0"/>
        <w:autoSpaceDE w:val="0"/>
        <w:autoSpaceDN w:val="0"/>
        <w:spacing w:before="144"/>
        <w:jc w:val="right"/>
        <w:rPr>
          <w:rFonts w:ascii="Arial MT" w:eastAsia="Arial MT" w:hAnsi="Arial MT" w:cs="Arial MT"/>
          <w:sz w:val="22"/>
          <w:lang w:val="es-ES"/>
        </w:rPr>
      </w:pPr>
    </w:p>
    <w:p w14:paraId="32A5E5CF" w14:textId="77777777" w:rsidR="00327FA2" w:rsidRPr="00D67C1A" w:rsidRDefault="00327FA2" w:rsidP="00327FA2">
      <w:pPr>
        <w:widowControl w:val="0"/>
        <w:autoSpaceDE w:val="0"/>
        <w:autoSpaceDN w:val="0"/>
        <w:spacing w:before="94"/>
        <w:ind w:right="173"/>
        <w:jc w:val="right"/>
        <w:rPr>
          <w:rFonts w:ascii="Arial" w:eastAsia="Arial MT" w:hAnsi="Arial MT" w:cs="Arial MT"/>
          <w:b/>
          <w:sz w:val="18"/>
          <w:lang w:val="es-ES"/>
        </w:rPr>
      </w:pPr>
      <w:r w:rsidRPr="00D67C1A">
        <w:rPr>
          <w:rFonts w:ascii="Arial" w:eastAsia="Arial MT" w:hAnsi="Arial MT" w:cs="Arial MT"/>
          <w:b/>
          <w:color w:val="585858"/>
          <w:sz w:val="18"/>
          <w:lang w:val="es-ES"/>
        </w:rPr>
        <w:t>CCE-DES-FM-17</w:t>
      </w:r>
    </w:p>
    <w:p w14:paraId="110CC9C9" w14:textId="136D83B5" w:rsidR="00327FA2" w:rsidRDefault="00327FA2" w:rsidP="00327FA2">
      <w:pPr>
        <w:widowControl w:val="0"/>
        <w:autoSpaceDE w:val="0"/>
        <w:autoSpaceDN w:val="0"/>
        <w:rPr>
          <w:rFonts w:ascii="Arial" w:eastAsia="Arial MT" w:hAnsi="Arial MT" w:cs="Arial MT"/>
          <w:sz w:val="20"/>
          <w:lang w:val="es-ES"/>
        </w:rPr>
      </w:pPr>
      <w:r w:rsidRPr="00343DF1">
        <w:rPr>
          <w:rFonts w:ascii="Arial" w:eastAsia="Arial MT" w:hAnsi="Arial MT" w:cs="Arial MT"/>
          <w:sz w:val="20"/>
          <w:lang w:val="es-ES"/>
        </w:rPr>
        <w:t>Bogot</w:t>
      </w:r>
      <w:r w:rsidRPr="00343DF1">
        <w:rPr>
          <w:rFonts w:ascii="Arial" w:eastAsia="Arial MT" w:hAnsi="Arial MT" w:cs="Arial MT"/>
          <w:sz w:val="20"/>
          <w:lang w:val="es-ES"/>
        </w:rPr>
        <w:t>á</w:t>
      </w:r>
      <w:r w:rsidRPr="00343DF1">
        <w:rPr>
          <w:rFonts w:ascii="Arial" w:eastAsia="Arial MT" w:hAnsi="Arial MT" w:cs="Arial MT"/>
          <w:sz w:val="20"/>
          <w:lang w:val="es-ES"/>
        </w:rPr>
        <w:t>. 27 julio 2022</w:t>
      </w:r>
    </w:p>
    <w:p w14:paraId="6B627FCF" w14:textId="3CCE05DC" w:rsidR="00327FA2" w:rsidRDefault="00327FA2" w:rsidP="00327FA2">
      <w:pPr>
        <w:widowControl w:val="0"/>
        <w:autoSpaceDE w:val="0"/>
        <w:autoSpaceDN w:val="0"/>
        <w:rPr>
          <w:rFonts w:ascii="Arial" w:eastAsia="Arial MT" w:hAnsi="Arial MT" w:cs="Arial MT"/>
          <w:sz w:val="20"/>
          <w:lang w:val="es-ES"/>
        </w:rPr>
      </w:pPr>
    </w:p>
    <w:p w14:paraId="46C3A4DC" w14:textId="77777777" w:rsidR="00327FA2" w:rsidRDefault="00327FA2" w:rsidP="00327FA2">
      <w:pPr>
        <w:widowControl w:val="0"/>
        <w:autoSpaceDE w:val="0"/>
        <w:autoSpaceDN w:val="0"/>
        <w:rPr>
          <w:rFonts w:ascii="Arial" w:eastAsia="Arial MT" w:hAnsi="Arial" w:cs="Arial"/>
          <w:sz w:val="22"/>
          <w:lang w:val="es-ES"/>
        </w:rPr>
      </w:pPr>
    </w:p>
    <w:p w14:paraId="1467BFC7" w14:textId="1B0B06B3" w:rsidR="00C175DA" w:rsidRPr="00D67C1A" w:rsidRDefault="00C175DA" w:rsidP="003707D2">
      <w:pPr>
        <w:widowControl w:val="0"/>
        <w:autoSpaceDE w:val="0"/>
        <w:autoSpaceDN w:val="0"/>
        <w:rPr>
          <w:rFonts w:ascii="Arial" w:eastAsia="Arial MT" w:hAnsi="Arial" w:cs="Arial"/>
          <w:sz w:val="22"/>
          <w:lang w:val="es-ES"/>
        </w:rPr>
      </w:pPr>
      <w:r w:rsidRPr="00D67C1A">
        <w:rPr>
          <w:rFonts w:ascii="Arial" w:eastAsia="Arial MT" w:hAnsi="Arial" w:cs="Arial"/>
          <w:sz w:val="22"/>
          <w:lang w:val="es-ES"/>
        </w:rPr>
        <w:t>Señor</w:t>
      </w:r>
    </w:p>
    <w:p w14:paraId="0C85C775" w14:textId="64B19EF2" w:rsidR="00B140BD" w:rsidRPr="00D67C1A" w:rsidRDefault="003707D2" w:rsidP="003707D2">
      <w:pPr>
        <w:widowControl w:val="0"/>
        <w:autoSpaceDE w:val="0"/>
        <w:autoSpaceDN w:val="0"/>
        <w:outlineLvl w:val="0"/>
        <w:rPr>
          <w:rFonts w:ascii="Arial" w:eastAsia="Arial" w:hAnsi="Arial" w:cs="Arial"/>
          <w:b/>
          <w:bCs/>
          <w:sz w:val="22"/>
          <w:lang w:val="es-ES"/>
        </w:rPr>
      </w:pPr>
      <w:r w:rsidRPr="00D67C1A">
        <w:rPr>
          <w:rFonts w:ascii="Arial" w:eastAsia="Arial" w:hAnsi="Arial" w:cs="Arial"/>
          <w:b/>
          <w:bCs/>
          <w:sz w:val="22"/>
          <w:lang w:val="es-ES"/>
        </w:rPr>
        <w:t>Juan Manuel Moya Barrera</w:t>
      </w:r>
    </w:p>
    <w:p w14:paraId="0D2BA121" w14:textId="560E8397" w:rsidR="003707D2" w:rsidRPr="00D67C1A" w:rsidRDefault="003707D2" w:rsidP="003707D2">
      <w:pPr>
        <w:widowControl w:val="0"/>
        <w:autoSpaceDE w:val="0"/>
        <w:autoSpaceDN w:val="0"/>
        <w:outlineLvl w:val="0"/>
        <w:rPr>
          <w:rFonts w:ascii="Arial" w:eastAsia="Arial" w:hAnsi="Arial" w:cs="Arial"/>
          <w:sz w:val="22"/>
          <w:lang w:val="es-ES"/>
        </w:rPr>
      </w:pPr>
      <w:r w:rsidRPr="00D67C1A">
        <w:rPr>
          <w:rFonts w:ascii="Arial" w:eastAsia="Arial" w:hAnsi="Arial" w:cs="Arial"/>
          <w:sz w:val="22"/>
          <w:lang w:val="es-ES"/>
        </w:rPr>
        <w:t>Bogotá D.C.</w:t>
      </w:r>
    </w:p>
    <w:p w14:paraId="3B15A18D" w14:textId="77777777" w:rsidR="003707D2" w:rsidRPr="00D67C1A" w:rsidRDefault="003707D2" w:rsidP="003707D2">
      <w:pPr>
        <w:widowControl w:val="0"/>
        <w:autoSpaceDE w:val="0"/>
        <w:autoSpaceDN w:val="0"/>
        <w:outlineLvl w:val="0"/>
        <w:rPr>
          <w:rFonts w:ascii="Arial MT" w:eastAsia="Arial MT" w:hAnsi="Arial MT" w:cs="Arial MT"/>
          <w:sz w:val="20"/>
          <w:lang w:val="es-ES"/>
        </w:rPr>
      </w:pPr>
    </w:p>
    <w:p w14:paraId="489932A0" w14:textId="50D258D2" w:rsidR="00C175DA" w:rsidRPr="00D67C1A" w:rsidRDefault="00C175DA" w:rsidP="000D5E6D">
      <w:pPr>
        <w:ind w:left="2124" w:firstLine="570"/>
        <w:rPr>
          <w:rFonts w:ascii="Arial" w:eastAsia="Calibri" w:hAnsi="Arial" w:cs="Arial"/>
          <w:b/>
          <w:sz w:val="22"/>
        </w:rPr>
      </w:pPr>
      <w:r w:rsidRPr="00D67C1A">
        <w:rPr>
          <w:rFonts w:ascii="Arial" w:eastAsia="Calibri" w:hAnsi="Arial" w:cs="Arial"/>
          <w:b/>
          <w:sz w:val="22"/>
        </w:rPr>
        <w:t xml:space="preserve">Concepto C – </w:t>
      </w:r>
      <w:r w:rsidR="0083614B" w:rsidRPr="00D67C1A">
        <w:rPr>
          <w:rFonts w:ascii="Arial" w:eastAsia="Calibri" w:hAnsi="Arial" w:cs="Arial"/>
          <w:b/>
          <w:sz w:val="22"/>
        </w:rPr>
        <w:t>4</w:t>
      </w:r>
      <w:r w:rsidR="000D5E6D" w:rsidRPr="00D67C1A">
        <w:rPr>
          <w:rFonts w:ascii="Arial" w:eastAsia="Calibri" w:hAnsi="Arial" w:cs="Arial"/>
          <w:b/>
          <w:sz w:val="22"/>
        </w:rPr>
        <w:t>78</w:t>
      </w:r>
      <w:r w:rsidRPr="00D67C1A">
        <w:rPr>
          <w:rFonts w:ascii="Arial" w:eastAsia="Calibri" w:hAnsi="Arial" w:cs="Arial"/>
          <w:b/>
          <w:sz w:val="22"/>
        </w:rPr>
        <w:t xml:space="preserve"> de </w:t>
      </w:r>
      <w:r w:rsidR="008B438D" w:rsidRPr="00D67C1A">
        <w:rPr>
          <w:rFonts w:ascii="Arial" w:eastAsia="Calibri" w:hAnsi="Arial" w:cs="Arial"/>
          <w:b/>
          <w:sz w:val="22"/>
        </w:rPr>
        <w:t>2022</w:t>
      </w:r>
    </w:p>
    <w:p w14:paraId="3838072E" w14:textId="77777777" w:rsidR="00C175DA" w:rsidRPr="00D67C1A" w:rsidRDefault="00C175DA" w:rsidP="00C175DA">
      <w:pPr>
        <w:widowControl w:val="0"/>
        <w:autoSpaceDE w:val="0"/>
        <w:autoSpaceDN w:val="0"/>
        <w:spacing w:before="10"/>
        <w:rPr>
          <w:rFonts w:ascii="Arial" w:eastAsia="Arial MT" w:hAnsi="Arial MT" w:cs="Arial MT"/>
          <w:b/>
          <w:sz w:val="22"/>
          <w:lang w:val="es-ES"/>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5A7B03" w:rsidRPr="00D67C1A" w14:paraId="64E6FFCD" w14:textId="77777777" w:rsidTr="00B1743F">
        <w:tc>
          <w:tcPr>
            <w:tcW w:w="2689" w:type="dxa"/>
          </w:tcPr>
          <w:p w14:paraId="4D8344B4" w14:textId="77777777" w:rsidR="005A7B03" w:rsidRPr="00D67C1A" w:rsidRDefault="005A7B03" w:rsidP="00B1743F">
            <w:pPr>
              <w:jc w:val="both"/>
              <w:rPr>
                <w:rFonts w:ascii="Arial" w:eastAsia="Calibri" w:hAnsi="Arial" w:cs="Arial"/>
                <w:b/>
                <w:color w:val="000000" w:themeColor="text1"/>
                <w:sz w:val="22"/>
                <w:lang w:val="es-ES_tradnl"/>
              </w:rPr>
            </w:pPr>
            <w:r w:rsidRPr="00D67C1A">
              <w:rPr>
                <w:rFonts w:ascii="Arial" w:eastAsia="Calibri" w:hAnsi="Arial" w:cs="Arial"/>
                <w:b/>
                <w:color w:val="000000" w:themeColor="text1"/>
                <w:sz w:val="22"/>
                <w:lang w:val="es-ES_tradnl"/>
              </w:rPr>
              <w:t xml:space="preserve">Temas:                                      </w:t>
            </w:r>
          </w:p>
        </w:tc>
        <w:tc>
          <w:tcPr>
            <w:tcW w:w="6237" w:type="dxa"/>
          </w:tcPr>
          <w:p w14:paraId="4BADF4FA" w14:textId="77777777" w:rsidR="005A7B03" w:rsidRPr="00D67C1A" w:rsidRDefault="005A7B03" w:rsidP="002F436E">
            <w:pPr>
              <w:jc w:val="both"/>
              <w:rPr>
                <w:rFonts w:ascii="Arial" w:eastAsia="Calibri" w:hAnsi="Arial" w:cs="Arial"/>
                <w:sz w:val="22"/>
              </w:rPr>
            </w:pPr>
            <w:r w:rsidRPr="00D67C1A">
              <w:rPr>
                <w:rFonts w:ascii="Arial" w:hAnsi="Arial" w:cs="Arial"/>
                <w:color w:val="000000" w:themeColor="text1"/>
                <w:sz w:val="22"/>
                <w:lang w:val="es-ES_tradnl"/>
              </w:rPr>
              <w:t xml:space="preserve">DOCUMENTOS TIPO – Infraestructura de transporte </w:t>
            </w:r>
            <w:proofErr w:type="gramStart"/>
            <w:r w:rsidRPr="00D67C1A">
              <w:rPr>
                <w:rFonts w:ascii="Arial" w:hAnsi="Arial" w:cs="Arial"/>
                <w:color w:val="000000" w:themeColor="text1"/>
                <w:sz w:val="22"/>
                <w:lang w:val="es-ES_tradnl"/>
              </w:rPr>
              <w:t>/  DOCUMENTOS</w:t>
            </w:r>
            <w:proofErr w:type="gramEnd"/>
            <w:r w:rsidRPr="00D67C1A">
              <w:rPr>
                <w:rFonts w:ascii="Arial" w:hAnsi="Arial" w:cs="Arial"/>
                <w:color w:val="000000" w:themeColor="text1"/>
                <w:sz w:val="22"/>
                <w:lang w:val="es-ES_tradnl"/>
              </w:rPr>
              <w:t xml:space="preserve"> TIPO – Regla de inalterabilidad – Excepciones / </w:t>
            </w:r>
            <w:r w:rsidR="00601616" w:rsidRPr="00D67C1A">
              <w:rPr>
                <w:rFonts w:ascii="Arial" w:eastAsia="Calibri" w:hAnsi="Arial" w:cs="Arial"/>
                <w:sz w:val="22"/>
              </w:rPr>
              <w:t xml:space="preserve">DOCUMENTOS TIPO – Formulario 1 – Presupuesto Oficial – Propuesta económica </w:t>
            </w:r>
            <w:r w:rsidR="00601616" w:rsidRPr="00D67C1A">
              <w:rPr>
                <w:rFonts w:ascii="Arial" w:eastAsia="Calibri" w:hAnsi="Arial" w:cs="Arial"/>
                <w:sz w:val="22"/>
                <w:lang w:val="es-ES_tradnl"/>
              </w:rPr>
              <w:t xml:space="preserve">/ </w:t>
            </w:r>
            <w:r w:rsidR="00601616" w:rsidRPr="00D67C1A">
              <w:rPr>
                <w:rFonts w:ascii="Arial" w:eastAsia="Calibri" w:hAnsi="Arial" w:cs="Arial"/>
                <w:sz w:val="22"/>
              </w:rPr>
              <w:t>FORMULARIO 1 – Formulario de presupuesto oficial – Inalterabilidad – Notas 1, 2 y 3 – Componentes del AIU</w:t>
            </w:r>
          </w:p>
          <w:p w14:paraId="3FEF92FE" w14:textId="6D64B62E" w:rsidR="00F033DB" w:rsidRPr="00D67C1A" w:rsidRDefault="00F033DB" w:rsidP="002F436E">
            <w:pPr>
              <w:jc w:val="both"/>
              <w:rPr>
                <w:rFonts w:ascii="Arial" w:hAnsi="Arial" w:cs="Arial"/>
                <w:color w:val="000000" w:themeColor="text1"/>
                <w:sz w:val="22"/>
                <w:lang w:val="es-ES"/>
              </w:rPr>
            </w:pPr>
          </w:p>
        </w:tc>
      </w:tr>
      <w:tr w:rsidR="00F033DB" w:rsidRPr="00D67C1A" w14:paraId="458602A3" w14:textId="77777777" w:rsidTr="00B1743F">
        <w:tc>
          <w:tcPr>
            <w:tcW w:w="2689" w:type="dxa"/>
          </w:tcPr>
          <w:p w14:paraId="0F847D35" w14:textId="060E6E28" w:rsidR="00F033DB" w:rsidRPr="00D67C1A" w:rsidRDefault="00F033DB" w:rsidP="00B1743F">
            <w:pPr>
              <w:jc w:val="both"/>
              <w:rPr>
                <w:rFonts w:ascii="Arial" w:eastAsia="Calibri" w:hAnsi="Arial" w:cs="Arial"/>
                <w:b/>
                <w:color w:val="000000" w:themeColor="text1"/>
                <w:sz w:val="22"/>
                <w:lang w:val="es-ES_tradnl"/>
              </w:rPr>
            </w:pPr>
            <w:r w:rsidRPr="00D67C1A">
              <w:rPr>
                <w:rFonts w:ascii="Arial" w:eastAsia="Calibri" w:hAnsi="Arial" w:cs="Arial"/>
                <w:b/>
                <w:color w:val="000000" w:themeColor="text1"/>
                <w:sz w:val="22"/>
                <w:lang w:val="es-ES_tradnl"/>
              </w:rPr>
              <w:t>Radicación</w:t>
            </w:r>
            <w:r w:rsidRPr="00D67C1A">
              <w:rPr>
                <w:rFonts w:ascii="Arial" w:eastAsia="Calibri" w:hAnsi="Arial" w:cs="Arial"/>
                <w:color w:val="000000" w:themeColor="text1"/>
                <w:sz w:val="22"/>
                <w:lang w:val="es-ES_tradnl"/>
              </w:rPr>
              <w:t>:</w:t>
            </w:r>
          </w:p>
        </w:tc>
        <w:tc>
          <w:tcPr>
            <w:tcW w:w="6237" w:type="dxa"/>
          </w:tcPr>
          <w:p w14:paraId="68C415D2" w14:textId="6140AB4E" w:rsidR="00F033DB" w:rsidRPr="00D67C1A" w:rsidRDefault="00F033DB" w:rsidP="002F436E">
            <w:pPr>
              <w:jc w:val="both"/>
              <w:rPr>
                <w:rFonts w:ascii="Arial" w:hAnsi="Arial" w:cs="Arial"/>
                <w:color w:val="000000" w:themeColor="text1"/>
                <w:sz w:val="22"/>
                <w:lang w:val="es-ES_tradnl"/>
              </w:rPr>
            </w:pPr>
            <w:r w:rsidRPr="00D67C1A">
              <w:rPr>
                <w:rFonts w:ascii="Arial" w:hAnsi="Arial" w:cs="Arial"/>
                <w:color w:val="000000" w:themeColor="text1"/>
                <w:sz w:val="22"/>
                <w:lang w:val="es-ES_tradnl"/>
              </w:rPr>
              <w:t>Respuesta a la consulta P20220609005751</w:t>
            </w:r>
          </w:p>
        </w:tc>
      </w:tr>
    </w:tbl>
    <w:p w14:paraId="1A52FB29" w14:textId="77777777" w:rsidR="00EC171C" w:rsidRPr="00D67C1A" w:rsidRDefault="00EC171C" w:rsidP="00DE7D58">
      <w:pPr>
        <w:jc w:val="both"/>
        <w:rPr>
          <w:rFonts w:ascii="Arial" w:eastAsia="Calibri" w:hAnsi="Arial" w:cs="Arial"/>
          <w:sz w:val="22"/>
          <w:lang w:val="es-CO"/>
        </w:rPr>
      </w:pPr>
    </w:p>
    <w:p w14:paraId="517A8240" w14:textId="77777777" w:rsidR="005A7B03" w:rsidRPr="00D67C1A" w:rsidRDefault="005A7B03" w:rsidP="00DE7D58">
      <w:pPr>
        <w:jc w:val="both"/>
        <w:rPr>
          <w:rFonts w:ascii="Arial" w:eastAsia="Calibri" w:hAnsi="Arial" w:cs="Arial"/>
          <w:sz w:val="22"/>
          <w:lang w:val="es-CO"/>
        </w:rPr>
      </w:pPr>
    </w:p>
    <w:p w14:paraId="23FFBBCE" w14:textId="17245CFF" w:rsidR="00904CD9" w:rsidRPr="00D67C1A" w:rsidRDefault="009F6F22" w:rsidP="00904CD9">
      <w:pPr>
        <w:rPr>
          <w:rFonts w:ascii="Arial" w:eastAsia="Calibri" w:hAnsi="Arial" w:cs="Arial"/>
          <w:sz w:val="22"/>
          <w:lang w:val="es-CO"/>
        </w:rPr>
      </w:pPr>
      <w:r w:rsidRPr="00D67C1A">
        <w:rPr>
          <w:rFonts w:ascii="Arial" w:eastAsia="Calibri" w:hAnsi="Arial" w:cs="Arial"/>
          <w:sz w:val="22"/>
          <w:lang w:val="es-CO"/>
        </w:rPr>
        <w:t>Estimad</w:t>
      </w:r>
      <w:r w:rsidR="00F033DB" w:rsidRPr="00D67C1A">
        <w:rPr>
          <w:rFonts w:ascii="Arial" w:eastAsia="Calibri" w:hAnsi="Arial" w:cs="Arial"/>
          <w:sz w:val="22"/>
          <w:lang w:val="es-CO"/>
        </w:rPr>
        <w:t>o</w:t>
      </w:r>
      <w:r w:rsidR="001B0A86" w:rsidRPr="00D67C1A">
        <w:rPr>
          <w:rFonts w:ascii="Arial" w:eastAsia="Calibri" w:hAnsi="Arial" w:cs="Arial"/>
          <w:sz w:val="22"/>
          <w:lang w:val="es-CO"/>
        </w:rPr>
        <w:t xml:space="preserve"> señor </w:t>
      </w:r>
      <w:r w:rsidR="00F033DB" w:rsidRPr="00D67C1A">
        <w:rPr>
          <w:rFonts w:ascii="Arial" w:eastAsia="Calibri" w:hAnsi="Arial" w:cs="Arial"/>
          <w:sz w:val="22"/>
          <w:lang w:val="es-CO"/>
        </w:rPr>
        <w:t>Moya</w:t>
      </w:r>
      <w:r w:rsidR="00567165" w:rsidRPr="00D67C1A">
        <w:rPr>
          <w:rFonts w:ascii="Arial" w:eastAsia="Calibri" w:hAnsi="Arial" w:cs="Arial"/>
          <w:sz w:val="22"/>
          <w:lang w:val="es-CO"/>
        </w:rPr>
        <w:t xml:space="preserve">: </w:t>
      </w:r>
    </w:p>
    <w:p w14:paraId="24D48CA1" w14:textId="77777777" w:rsidR="00904CD9" w:rsidRPr="00D67C1A" w:rsidRDefault="00904CD9" w:rsidP="00904CD9">
      <w:pPr>
        <w:rPr>
          <w:rFonts w:ascii="Arial" w:eastAsia="Calibri" w:hAnsi="Arial" w:cs="Arial"/>
          <w:sz w:val="22"/>
          <w:lang w:val="es-CO"/>
        </w:rPr>
      </w:pPr>
    </w:p>
    <w:p w14:paraId="0923B836" w14:textId="4FDC839A" w:rsidR="00904CD9" w:rsidRPr="00D67C1A" w:rsidRDefault="00912BD6" w:rsidP="00904CD9">
      <w:pPr>
        <w:spacing w:line="276" w:lineRule="auto"/>
        <w:ind w:right="49"/>
        <w:jc w:val="both"/>
        <w:rPr>
          <w:rFonts w:ascii="Arial" w:eastAsia="Calibri" w:hAnsi="Arial" w:cs="Arial"/>
          <w:sz w:val="22"/>
          <w:lang w:val="es-CO"/>
        </w:rPr>
      </w:pPr>
      <w:r w:rsidRPr="00D67C1A">
        <w:rPr>
          <w:rFonts w:ascii="Arial" w:eastAsia="Calibri" w:hAnsi="Arial" w:cs="Arial"/>
          <w:sz w:val="22"/>
          <w:lang w:val="es-ES_tradnl"/>
        </w:rPr>
        <w:t>En ejercicio de la competencia otorgada por el numeral 8 del artículo 11 y el numeral 5 del artículo 3 del Decreto Ley 4170 de 2011, la Agencia Nacional de Contratación Pública – Colombia Compra</w:t>
      </w:r>
      <w:r w:rsidR="00626B4F" w:rsidRPr="00D67C1A">
        <w:rPr>
          <w:rFonts w:ascii="Arial" w:eastAsia="Calibri" w:hAnsi="Arial" w:cs="Arial"/>
          <w:sz w:val="22"/>
          <w:lang w:val="es-ES_tradnl"/>
        </w:rPr>
        <w:t xml:space="preserve"> Efici</w:t>
      </w:r>
      <w:r w:rsidR="001A4138" w:rsidRPr="00D67C1A">
        <w:rPr>
          <w:rFonts w:ascii="Arial" w:eastAsia="Calibri" w:hAnsi="Arial" w:cs="Arial"/>
          <w:sz w:val="22"/>
          <w:lang w:val="es-ES_tradnl"/>
        </w:rPr>
        <w:t>ent</w:t>
      </w:r>
      <w:r w:rsidR="005D269B" w:rsidRPr="00D67C1A">
        <w:rPr>
          <w:rFonts w:ascii="Arial" w:eastAsia="Calibri" w:hAnsi="Arial" w:cs="Arial"/>
          <w:sz w:val="22"/>
          <w:lang w:val="es-ES_tradnl"/>
        </w:rPr>
        <w:t>e</w:t>
      </w:r>
      <w:r w:rsidR="00642694" w:rsidRPr="00D67C1A">
        <w:rPr>
          <w:rFonts w:ascii="Arial" w:eastAsia="Calibri" w:hAnsi="Arial" w:cs="Arial"/>
          <w:sz w:val="22"/>
          <w:lang w:val="es-ES_tradnl"/>
        </w:rPr>
        <w:t>,</w:t>
      </w:r>
      <w:r w:rsidR="005D269B" w:rsidRPr="00D67C1A">
        <w:rPr>
          <w:rFonts w:ascii="Arial" w:eastAsia="Calibri" w:hAnsi="Arial" w:cs="Arial"/>
          <w:sz w:val="22"/>
          <w:lang w:val="es-ES_tradnl"/>
        </w:rPr>
        <w:t xml:space="preserve"> responde su consulta del </w:t>
      </w:r>
      <w:r w:rsidR="00642694" w:rsidRPr="00D67C1A">
        <w:rPr>
          <w:rFonts w:ascii="Arial" w:eastAsia="Calibri" w:hAnsi="Arial" w:cs="Arial"/>
          <w:sz w:val="22"/>
          <w:lang w:val="es-ES_tradnl"/>
        </w:rPr>
        <w:t>9</w:t>
      </w:r>
      <w:r w:rsidR="005D269B" w:rsidRPr="00D67C1A">
        <w:rPr>
          <w:rFonts w:ascii="Arial" w:eastAsia="Calibri" w:hAnsi="Arial" w:cs="Arial"/>
          <w:sz w:val="22"/>
          <w:lang w:val="es-ES_tradnl"/>
        </w:rPr>
        <w:t xml:space="preserve"> de </w:t>
      </w:r>
      <w:r w:rsidR="00642694" w:rsidRPr="00D67C1A">
        <w:rPr>
          <w:rFonts w:ascii="Arial" w:eastAsia="Calibri" w:hAnsi="Arial" w:cs="Arial"/>
          <w:sz w:val="22"/>
          <w:lang w:val="es-ES_tradnl"/>
        </w:rPr>
        <w:t>junio</w:t>
      </w:r>
      <w:r w:rsidR="008B438D" w:rsidRPr="00D67C1A">
        <w:rPr>
          <w:rFonts w:ascii="Arial" w:eastAsia="Calibri" w:hAnsi="Arial" w:cs="Arial"/>
          <w:sz w:val="22"/>
          <w:lang w:val="es-ES_tradnl"/>
        </w:rPr>
        <w:t xml:space="preserve"> de 2022</w:t>
      </w:r>
      <w:r w:rsidR="001A4138" w:rsidRPr="00D67C1A">
        <w:rPr>
          <w:rFonts w:ascii="Arial" w:eastAsia="Calibri" w:hAnsi="Arial" w:cs="Arial"/>
          <w:sz w:val="22"/>
          <w:lang w:val="es-ES_tradnl"/>
        </w:rPr>
        <w:t xml:space="preserve">. </w:t>
      </w:r>
    </w:p>
    <w:p w14:paraId="3A5E9A2D" w14:textId="77777777" w:rsidR="00904CD9" w:rsidRPr="00D67C1A" w:rsidRDefault="00904CD9" w:rsidP="00904CD9">
      <w:pPr>
        <w:spacing w:line="276" w:lineRule="auto"/>
        <w:jc w:val="both"/>
        <w:rPr>
          <w:rFonts w:ascii="Arial" w:eastAsia="Calibri" w:hAnsi="Arial" w:cs="Arial"/>
          <w:sz w:val="22"/>
          <w:lang w:val="es-CO"/>
        </w:rPr>
      </w:pPr>
    </w:p>
    <w:p w14:paraId="5A4D90C7" w14:textId="3CFBE737" w:rsidR="00904CD9" w:rsidRPr="00D67C1A" w:rsidRDefault="00904CD9" w:rsidP="00904CD9">
      <w:pPr>
        <w:pStyle w:val="Prrafodelista"/>
        <w:numPr>
          <w:ilvl w:val="0"/>
          <w:numId w:val="6"/>
        </w:numPr>
        <w:tabs>
          <w:tab w:val="left" w:pos="284"/>
        </w:tabs>
        <w:spacing w:line="276" w:lineRule="auto"/>
        <w:ind w:left="0" w:firstLine="0"/>
        <w:jc w:val="both"/>
        <w:rPr>
          <w:rFonts w:ascii="Arial" w:eastAsia="Calibri" w:hAnsi="Arial" w:cs="Arial"/>
          <w:b/>
          <w:sz w:val="22"/>
          <w:lang w:val="es-CO"/>
        </w:rPr>
      </w:pPr>
      <w:r w:rsidRPr="00D67C1A">
        <w:rPr>
          <w:rFonts w:ascii="Arial" w:eastAsia="Calibri" w:hAnsi="Arial" w:cs="Arial"/>
          <w:b/>
          <w:sz w:val="22"/>
          <w:lang w:val="es-CO"/>
        </w:rPr>
        <w:t xml:space="preserve">Problema planteado </w:t>
      </w:r>
    </w:p>
    <w:p w14:paraId="6CB819BA" w14:textId="77777777" w:rsidR="00904CD9" w:rsidRPr="00D67C1A" w:rsidRDefault="00904CD9" w:rsidP="00FD7994">
      <w:pPr>
        <w:tabs>
          <w:tab w:val="left" w:pos="426"/>
        </w:tabs>
        <w:spacing w:line="276" w:lineRule="auto"/>
        <w:jc w:val="both"/>
        <w:rPr>
          <w:rFonts w:ascii="Arial" w:eastAsia="Calibri" w:hAnsi="Arial" w:cs="Arial"/>
          <w:b/>
          <w:sz w:val="22"/>
          <w:lang w:val="es-CO"/>
        </w:rPr>
      </w:pPr>
    </w:p>
    <w:p w14:paraId="63F8AD10" w14:textId="77777777" w:rsidR="00AD4DD0" w:rsidRPr="00D67C1A" w:rsidRDefault="00AD4DD0" w:rsidP="00AD4DD0">
      <w:pPr>
        <w:spacing w:line="276" w:lineRule="auto"/>
        <w:jc w:val="both"/>
        <w:rPr>
          <w:rFonts w:ascii="Arial" w:hAnsi="Arial" w:cs="Arial"/>
          <w:color w:val="000000" w:themeColor="text1"/>
          <w:sz w:val="22"/>
          <w:lang w:val="es-ES_tradnl"/>
        </w:rPr>
      </w:pPr>
      <w:r w:rsidRPr="00D67C1A">
        <w:rPr>
          <w:rFonts w:ascii="Arial" w:hAnsi="Arial" w:cs="Arial"/>
          <w:color w:val="000000" w:themeColor="text1"/>
          <w:sz w:val="22"/>
          <w:lang w:val="es-ES_tradnl"/>
        </w:rPr>
        <w:t xml:space="preserve">Usted formula las siguientes preguntas sobre los Documentos Tipo para obras públicas de Infraestructura de Transporte: </w:t>
      </w:r>
    </w:p>
    <w:p w14:paraId="7E7C8995" w14:textId="77777777" w:rsidR="00582241" w:rsidRPr="00D67C1A" w:rsidRDefault="00582241" w:rsidP="00582241">
      <w:pPr>
        <w:spacing w:line="276" w:lineRule="auto"/>
        <w:ind w:firstLine="708"/>
        <w:jc w:val="both"/>
        <w:rPr>
          <w:rFonts w:ascii="Arial" w:hAnsi="Arial" w:cs="Arial"/>
          <w:sz w:val="22"/>
          <w:lang w:val="es-ES"/>
        </w:rPr>
      </w:pPr>
    </w:p>
    <w:p w14:paraId="72E22BA5" w14:textId="415365A1" w:rsidR="00AD4DD0" w:rsidRPr="00D67C1A" w:rsidRDefault="00DA1498" w:rsidP="0016240C">
      <w:pPr>
        <w:pStyle w:val="Textoindependiente"/>
        <w:ind w:left="709" w:right="709"/>
        <w:jc w:val="both"/>
        <w:rPr>
          <w:rFonts w:eastAsia="Calibri"/>
          <w:color w:val="000000"/>
          <w:sz w:val="21"/>
          <w:szCs w:val="21"/>
          <w:lang w:val="es-MX"/>
        </w:rPr>
      </w:pPr>
      <w:r w:rsidRPr="00D67C1A">
        <w:rPr>
          <w:color w:val="000000" w:themeColor="text1"/>
          <w:sz w:val="21"/>
          <w:szCs w:val="21"/>
          <w:lang w:val="es-ES_tradnl"/>
        </w:rPr>
        <w:t>«</w:t>
      </w:r>
      <w:r w:rsidR="00582241" w:rsidRPr="00D67C1A">
        <w:rPr>
          <w:rFonts w:eastAsia="Calibri"/>
          <w:color w:val="000000"/>
          <w:sz w:val="21"/>
          <w:szCs w:val="21"/>
          <w:lang w:val="es-MX"/>
        </w:rPr>
        <w:t xml:space="preserve">[…] </w:t>
      </w:r>
      <w:r w:rsidR="00AD4DD0" w:rsidRPr="00D67C1A">
        <w:rPr>
          <w:rFonts w:eastAsia="Calibri"/>
          <w:color w:val="000000"/>
          <w:sz w:val="21"/>
          <w:szCs w:val="21"/>
          <w:lang w:val="es-MX"/>
        </w:rPr>
        <w:t>1. Respecto al Formulario No. 1, ¿Pueden las entidades alterar este documento tipo añadiendo más columnas requiriendo a los proponentes información adicional?</w:t>
      </w:r>
    </w:p>
    <w:p w14:paraId="69B148BB" w14:textId="77777777" w:rsidR="00AD4DD0" w:rsidRPr="00D67C1A" w:rsidRDefault="00AD4DD0" w:rsidP="0016240C">
      <w:pPr>
        <w:pStyle w:val="Textoindependiente"/>
        <w:ind w:left="709" w:right="709"/>
        <w:jc w:val="both"/>
        <w:rPr>
          <w:rFonts w:eastAsia="Calibri"/>
          <w:color w:val="000000"/>
          <w:sz w:val="21"/>
          <w:szCs w:val="21"/>
          <w:lang w:val="es-MX"/>
        </w:rPr>
      </w:pPr>
    </w:p>
    <w:p w14:paraId="00AD6BC1" w14:textId="11CFC7A8" w:rsidR="00AD4DD0" w:rsidRPr="00D67C1A" w:rsidRDefault="00AD4DD0" w:rsidP="0016240C">
      <w:pPr>
        <w:pStyle w:val="Textoindependiente"/>
        <w:ind w:left="709" w:right="709"/>
        <w:jc w:val="both"/>
        <w:rPr>
          <w:rFonts w:eastAsia="Calibri"/>
          <w:color w:val="000000"/>
          <w:sz w:val="21"/>
          <w:szCs w:val="21"/>
          <w:lang w:val="es-MX"/>
        </w:rPr>
      </w:pPr>
      <w:r w:rsidRPr="00D67C1A">
        <w:rPr>
          <w:rFonts w:eastAsia="Calibri"/>
          <w:color w:val="000000"/>
          <w:sz w:val="21"/>
          <w:szCs w:val="21"/>
          <w:lang w:val="es-MX"/>
        </w:rPr>
        <w:t xml:space="preserve">Ejemplo: El Formulario No. 1 tipo indica que la Entidad debe diligenciar los ítems del proyecto teniendo en cuenta las siguientes columnas: </w:t>
      </w:r>
      <w:proofErr w:type="spellStart"/>
      <w:r w:rsidRPr="00D67C1A">
        <w:rPr>
          <w:rFonts w:eastAsia="Calibri"/>
          <w:color w:val="000000"/>
          <w:sz w:val="21"/>
          <w:szCs w:val="21"/>
          <w:lang w:val="es-MX"/>
        </w:rPr>
        <w:t>N°</w:t>
      </w:r>
      <w:proofErr w:type="spellEnd"/>
      <w:r w:rsidRPr="00D67C1A">
        <w:rPr>
          <w:rFonts w:eastAsia="Calibri"/>
          <w:color w:val="000000"/>
          <w:sz w:val="21"/>
          <w:szCs w:val="21"/>
          <w:lang w:val="es-MX"/>
        </w:rPr>
        <w:t xml:space="preserve">, ÍTEM DE PAGO, </w:t>
      </w:r>
      <w:r w:rsidRPr="00D67C1A">
        <w:rPr>
          <w:rFonts w:eastAsia="Calibri"/>
          <w:color w:val="000000"/>
          <w:sz w:val="21"/>
          <w:szCs w:val="21"/>
          <w:lang w:val="es-MX"/>
        </w:rPr>
        <w:lastRenderedPageBreak/>
        <w:t>ESPECIFICACIONES (GENERAL Y PARTICULAR), DESCRIPCIÓN, UND.,</w:t>
      </w:r>
      <w:r w:rsidR="00DB6619" w:rsidRPr="00D67C1A">
        <w:rPr>
          <w:rFonts w:eastAsia="Calibri"/>
          <w:color w:val="000000"/>
          <w:sz w:val="21"/>
          <w:szCs w:val="21"/>
          <w:lang w:val="es-MX"/>
        </w:rPr>
        <w:t xml:space="preserve"> </w:t>
      </w:r>
      <w:r w:rsidRPr="00D67C1A">
        <w:rPr>
          <w:rFonts w:eastAsia="Calibri"/>
          <w:color w:val="000000"/>
          <w:sz w:val="21"/>
          <w:szCs w:val="21"/>
          <w:lang w:val="es-MX"/>
        </w:rPr>
        <w:t xml:space="preserve">CANTIDAD, VALOR UNITARIO y VALOR TOTAL; ¿Puede la Entidad adicionar y/o modificar las columnas del Formulario No. 1 así: </w:t>
      </w:r>
      <w:proofErr w:type="spellStart"/>
      <w:r w:rsidRPr="00D67C1A">
        <w:rPr>
          <w:rFonts w:eastAsia="Calibri"/>
          <w:color w:val="000000"/>
          <w:sz w:val="21"/>
          <w:szCs w:val="21"/>
          <w:lang w:val="es-MX"/>
        </w:rPr>
        <w:t>N°</w:t>
      </w:r>
      <w:proofErr w:type="spellEnd"/>
      <w:r w:rsidRPr="00D67C1A">
        <w:rPr>
          <w:rFonts w:eastAsia="Calibri"/>
          <w:color w:val="000000"/>
          <w:sz w:val="21"/>
          <w:szCs w:val="21"/>
          <w:lang w:val="es-MX"/>
        </w:rPr>
        <w:t>, ITEM DE PAGO, ESPECIFICACIONES (GENERAL Y PARTICULAR), DESCRIPCION, UND., CANTIDAD, VALOR UNITARIO OFICIAL (ADICIONADO EL AIU), SUBTOTAL OFICIAL, VALOR UNITARIO OFERTADO, VALOR UNITARIO OFERTADO (ADICIONADO EL AIU), SUBTOTAL OFERTADO?</w:t>
      </w:r>
    </w:p>
    <w:p w14:paraId="180B6B09" w14:textId="77777777" w:rsidR="00AD4DD0" w:rsidRPr="00D67C1A" w:rsidRDefault="00AD4DD0" w:rsidP="0016240C">
      <w:pPr>
        <w:pStyle w:val="Textoindependiente"/>
        <w:ind w:left="709" w:right="709"/>
        <w:jc w:val="both"/>
        <w:rPr>
          <w:sz w:val="21"/>
          <w:szCs w:val="21"/>
        </w:rPr>
      </w:pPr>
    </w:p>
    <w:p w14:paraId="5C98EB4D" w14:textId="4BD4B5FA" w:rsidR="00AD4DD0" w:rsidRPr="00D67C1A" w:rsidRDefault="00AD4DD0" w:rsidP="0016240C">
      <w:pPr>
        <w:pStyle w:val="Textoindependiente"/>
        <w:ind w:left="709" w:right="709"/>
        <w:jc w:val="both"/>
        <w:rPr>
          <w:rFonts w:eastAsia="Calibri"/>
          <w:color w:val="000000"/>
          <w:sz w:val="21"/>
          <w:szCs w:val="21"/>
          <w:lang w:val="es-MX"/>
        </w:rPr>
      </w:pPr>
      <w:r w:rsidRPr="00D67C1A">
        <w:rPr>
          <w:rFonts w:eastAsia="Calibri"/>
          <w:color w:val="000000"/>
          <w:sz w:val="21"/>
          <w:szCs w:val="21"/>
          <w:lang w:val="es-MX"/>
        </w:rPr>
        <w:t>Si la respuesta anterior es afirmativa, y la Entidad puede adicionar estas columnas,</w:t>
      </w:r>
      <w:r w:rsidR="0016240C" w:rsidRPr="00D67C1A">
        <w:rPr>
          <w:rFonts w:eastAsia="Calibri"/>
          <w:color w:val="000000"/>
          <w:sz w:val="21"/>
          <w:szCs w:val="21"/>
          <w:lang w:val="es-MX"/>
        </w:rPr>
        <w:t xml:space="preserve"> </w:t>
      </w:r>
      <w:r w:rsidRPr="00D67C1A">
        <w:rPr>
          <w:rFonts w:eastAsia="Calibri"/>
          <w:color w:val="000000"/>
          <w:sz w:val="21"/>
          <w:szCs w:val="21"/>
          <w:lang w:val="es-MX"/>
        </w:rPr>
        <w:t>¿Cómo se aplicaría el redondeo en las columnas VALOR UNITARIO OFERTADO Y VALOR UNITARIO OFERTADO (ADICIONADO EL AIU); ya que la columna VALOR</w:t>
      </w:r>
      <w:r w:rsidR="0016240C" w:rsidRPr="00D67C1A">
        <w:rPr>
          <w:rFonts w:eastAsia="Calibri"/>
          <w:color w:val="000000"/>
          <w:sz w:val="21"/>
          <w:szCs w:val="21"/>
          <w:lang w:val="es-MX"/>
        </w:rPr>
        <w:t xml:space="preserve"> </w:t>
      </w:r>
      <w:r w:rsidRPr="00D67C1A">
        <w:rPr>
          <w:rFonts w:eastAsia="Calibri"/>
          <w:color w:val="000000"/>
          <w:sz w:val="21"/>
          <w:szCs w:val="21"/>
          <w:lang w:val="es-MX"/>
        </w:rPr>
        <w:t>UNITARIO OFERTADO (ADICIONADO EL AIU) depende de la columna VALOR UNITARIO OFERTADO? ¿Puede la Entidad aplicar redondeos a su libre discreción?</w:t>
      </w:r>
    </w:p>
    <w:p w14:paraId="7187DFE2" w14:textId="77777777" w:rsidR="00AD4DD0" w:rsidRPr="00D67C1A" w:rsidRDefault="00AD4DD0" w:rsidP="00AD4DD0">
      <w:pPr>
        <w:pStyle w:val="Textoindependiente"/>
        <w:ind w:left="709"/>
        <w:jc w:val="both"/>
        <w:rPr>
          <w:rFonts w:eastAsia="Calibri"/>
          <w:color w:val="000000"/>
          <w:sz w:val="21"/>
          <w:szCs w:val="21"/>
          <w:lang w:val="es-MX"/>
        </w:rPr>
      </w:pPr>
    </w:p>
    <w:p w14:paraId="01B2319D" w14:textId="205D0B19" w:rsidR="00AD4DD0" w:rsidRPr="00D67C1A" w:rsidRDefault="0016240C" w:rsidP="00AD4DD0">
      <w:pPr>
        <w:ind w:left="709" w:right="709"/>
        <w:jc w:val="both"/>
        <w:rPr>
          <w:rFonts w:ascii="Arial" w:eastAsia="Calibri" w:hAnsi="Arial" w:cs="Arial"/>
          <w:color w:val="000000"/>
          <w:sz w:val="21"/>
          <w:szCs w:val="21"/>
        </w:rPr>
      </w:pPr>
      <w:r w:rsidRPr="00D67C1A">
        <w:rPr>
          <w:rFonts w:ascii="Arial" w:eastAsia="Calibri" w:hAnsi="Arial" w:cs="Arial"/>
          <w:color w:val="000000"/>
          <w:sz w:val="21"/>
          <w:szCs w:val="21"/>
        </w:rPr>
        <w:t xml:space="preserve">2. </w:t>
      </w:r>
      <w:r w:rsidR="00AD4DD0" w:rsidRPr="00D67C1A">
        <w:rPr>
          <w:rFonts w:ascii="Arial" w:eastAsia="Calibri" w:hAnsi="Arial" w:cs="Arial"/>
          <w:color w:val="000000"/>
          <w:sz w:val="21"/>
          <w:szCs w:val="21"/>
        </w:rPr>
        <w:t xml:space="preserve">De igual forma, respecto a la alteración del Formulario No. 1 tipo, ¿Puede la </w:t>
      </w:r>
      <w:proofErr w:type="gramStart"/>
      <w:r w:rsidR="00AD4DD0" w:rsidRPr="00D67C1A">
        <w:rPr>
          <w:rFonts w:ascii="Arial" w:eastAsia="Calibri" w:hAnsi="Arial" w:cs="Arial"/>
          <w:color w:val="000000"/>
          <w:sz w:val="21"/>
          <w:szCs w:val="21"/>
        </w:rPr>
        <w:t>Entidad</w:t>
      </w:r>
      <w:r w:rsidRPr="00D67C1A">
        <w:rPr>
          <w:rFonts w:ascii="Arial" w:eastAsia="Calibri" w:hAnsi="Arial" w:cs="Arial"/>
          <w:color w:val="000000"/>
          <w:sz w:val="21"/>
          <w:szCs w:val="21"/>
        </w:rPr>
        <w:t xml:space="preserve"> </w:t>
      </w:r>
      <w:r w:rsidR="00AD4DD0" w:rsidRPr="00D67C1A">
        <w:rPr>
          <w:rFonts w:ascii="Arial" w:eastAsia="Calibri" w:hAnsi="Arial" w:cs="Arial"/>
          <w:color w:val="000000"/>
          <w:sz w:val="21"/>
          <w:szCs w:val="21"/>
        </w:rPr>
        <w:t xml:space="preserve"> adicionar</w:t>
      </w:r>
      <w:proofErr w:type="gramEnd"/>
      <w:r w:rsidR="00AD4DD0" w:rsidRPr="00D67C1A">
        <w:rPr>
          <w:rFonts w:ascii="Arial" w:eastAsia="Calibri" w:hAnsi="Arial" w:cs="Arial"/>
          <w:color w:val="000000"/>
          <w:sz w:val="21"/>
          <w:szCs w:val="21"/>
        </w:rPr>
        <w:t xml:space="preserve"> Notas en este formulario?</w:t>
      </w:r>
      <w:r w:rsidR="00DA1498" w:rsidRPr="00D67C1A">
        <w:rPr>
          <w:rFonts w:ascii="Arial" w:hAnsi="Arial" w:cs="Arial"/>
          <w:color w:val="000000" w:themeColor="text1"/>
          <w:sz w:val="21"/>
          <w:szCs w:val="21"/>
          <w:lang w:val="es-ES_tradnl"/>
        </w:rPr>
        <w:t>»</w:t>
      </w:r>
    </w:p>
    <w:p w14:paraId="33FD7DD3" w14:textId="1D48B062" w:rsidR="009F6F22" w:rsidRPr="00D67C1A" w:rsidRDefault="009F6F22" w:rsidP="004A4319">
      <w:pPr>
        <w:pStyle w:val="Default"/>
        <w:ind w:left="709" w:right="709"/>
        <w:jc w:val="both"/>
        <w:rPr>
          <w:color w:val="auto"/>
          <w:sz w:val="21"/>
          <w:szCs w:val="21"/>
          <w:lang w:val="es-ES"/>
        </w:rPr>
      </w:pPr>
    </w:p>
    <w:p w14:paraId="76A6A0AF" w14:textId="77777777" w:rsidR="00003409" w:rsidRPr="00D67C1A" w:rsidRDefault="00003409" w:rsidP="004A4319">
      <w:pPr>
        <w:spacing w:line="276" w:lineRule="auto"/>
        <w:jc w:val="both"/>
        <w:rPr>
          <w:rFonts w:ascii="Arial" w:eastAsia="Calibri" w:hAnsi="Arial" w:cs="Arial"/>
          <w:b/>
          <w:sz w:val="22"/>
        </w:rPr>
      </w:pPr>
      <w:r w:rsidRPr="00D67C1A">
        <w:rPr>
          <w:rFonts w:ascii="Arial" w:eastAsia="Calibri" w:hAnsi="Arial" w:cs="Arial"/>
          <w:b/>
          <w:sz w:val="22"/>
        </w:rPr>
        <w:t>2. Consideraciones</w:t>
      </w:r>
    </w:p>
    <w:p w14:paraId="716F4877" w14:textId="77777777" w:rsidR="00003409" w:rsidRPr="00D67C1A" w:rsidRDefault="00003409" w:rsidP="004A4319">
      <w:pPr>
        <w:jc w:val="both"/>
        <w:rPr>
          <w:rFonts w:ascii="Arial" w:eastAsia="Calibri" w:hAnsi="Arial" w:cs="Arial"/>
          <w:b/>
          <w:sz w:val="22"/>
        </w:rPr>
      </w:pPr>
    </w:p>
    <w:p w14:paraId="5483E437" w14:textId="77777777" w:rsidR="00B33519" w:rsidRPr="00D67C1A" w:rsidRDefault="00B33519" w:rsidP="00B33519">
      <w:pPr>
        <w:spacing w:after="120" w:line="276" w:lineRule="auto"/>
        <w:jc w:val="both"/>
        <w:rPr>
          <w:rFonts w:ascii="Arial" w:eastAsia="Calibri" w:hAnsi="Arial" w:cs="Arial"/>
          <w:bCs/>
          <w:sz w:val="22"/>
        </w:rPr>
      </w:pPr>
      <w:r w:rsidRPr="00D67C1A">
        <w:rPr>
          <w:rFonts w:ascii="Arial" w:eastAsia="Calibri" w:hAnsi="Arial" w:cs="Arial"/>
          <w:bCs/>
          <w:sz w:val="22"/>
        </w:rPr>
        <w:t>En ejercicio de las competencias establecidas en los artículos 3.5 y 11.8 del Decreto 4170 de 2011, la Agencia Nacional de Contratación Pública – Colombia Compra Eficiente resuelve las consultas sobre los asuntos de su competencia, esto es, sobre las temáticas de la contratación estatal y compras públicas relacionadas en los artículos citados.</w:t>
      </w:r>
    </w:p>
    <w:p w14:paraId="62D6EF6A" w14:textId="77777777" w:rsidR="00B33519" w:rsidRPr="00D67C1A" w:rsidRDefault="00B33519" w:rsidP="00B33519">
      <w:pPr>
        <w:spacing w:after="120" w:line="276" w:lineRule="auto"/>
        <w:jc w:val="both"/>
        <w:rPr>
          <w:rFonts w:ascii="Arial" w:eastAsia="Calibri" w:hAnsi="Arial" w:cs="Arial"/>
          <w:sz w:val="22"/>
          <w:lang w:val="es-ES"/>
        </w:rPr>
      </w:pPr>
      <w:r w:rsidRPr="00D67C1A">
        <w:rPr>
          <w:rFonts w:ascii="Arial" w:eastAsia="Calibri" w:hAnsi="Arial" w:cs="Arial"/>
          <w:b/>
          <w:sz w:val="22"/>
        </w:rPr>
        <w:tab/>
      </w:r>
      <w:bookmarkStart w:id="0" w:name="_Hlk61701014"/>
      <w:bookmarkStart w:id="1" w:name="_Hlk62136649"/>
      <w:r w:rsidRPr="00D67C1A">
        <w:rPr>
          <w:rFonts w:ascii="Arial" w:eastAsia="Calibri" w:hAnsi="Arial" w:cs="Arial"/>
          <w:sz w:val="22"/>
          <w:lang w:val="es-ES"/>
        </w:rPr>
        <w:t xml:space="preserve">Es necesario tener en cuenta que </w:t>
      </w:r>
      <w:bookmarkStart w:id="2" w:name="_Hlk61026958"/>
      <w:r w:rsidRPr="00D67C1A">
        <w:rPr>
          <w:rFonts w:ascii="Arial" w:eastAsia="Calibri" w:hAnsi="Arial" w:cs="Arial"/>
          <w:sz w:val="22"/>
          <w:lang w:val="es-ES"/>
        </w:rPr>
        <w:t>esta entidad solo tiene competencia para responder solicitudes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w:t>
      </w:r>
      <w:r w:rsidRPr="00D67C1A">
        <w:rPr>
          <w:rFonts w:ascii="Arial" w:eastAsia="Calibri" w:hAnsi="Arial" w:cs="Arial"/>
          <w:bCs/>
          <w:sz w:val="22"/>
        </w:rPr>
        <w:t xml:space="preserve"> de todos los partícipes de la contratación estatal, ya sean reales o hipotéticos.</w:t>
      </w:r>
      <w:r w:rsidRPr="00D67C1A">
        <w:rPr>
          <w:rFonts w:ascii="Arial" w:eastAsia="Calibri" w:hAnsi="Arial" w:cs="Arial"/>
          <w:sz w:val="22"/>
          <w:lang w:val="es-ES"/>
        </w:rPr>
        <w:t xml:space="preserve"> La competencia de esta entidad se fija con límites claros, con el objeto de evitar que la Agencia actúe como una instancia de validación de las actuaciones de las entidades sujetas a la Ley 80 de 1993 o de los demás participantes de la contratación pública</w:t>
      </w:r>
      <w:r w:rsidRPr="00D67C1A">
        <w:rPr>
          <w:rFonts w:ascii="Arial" w:eastAsia="Calibri" w:hAnsi="Arial" w:cs="Arial"/>
          <w:sz w:val="22"/>
          <w:vertAlign w:val="superscript"/>
          <w:lang w:val="es-ES"/>
        </w:rPr>
        <w:footnoteReference w:id="1"/>
      </w:r>
      <w:r w:rsidRPr="00D67C1A">
        <w:rPr>
          <w:rFonts w:ascii="Arial" w:eastAsia="Calibri" w:hAnsi="Arial" w:cs="Arial"/>
          <w:sz w:val="22"/>
          <w:lang w:val="es-ES"/>
        </w:rPr>
        <w:t xml:space="preserve">. </w:t>
      </w:r>
    </w:p>
    <w:p w14:paraId="6AABA2C0" w14:textId="3661C684" w:rsidR="00B33519" w:rsidRPr="00D67C1A" w:rsidRDefault="00B33519" w:rsidP="00B33519">
      <w:pPr>
        <w:spacing w:after="120" w:line="276" w:lineRule="auto"/>
        <w:ind w:firstLine="708"/>
        <w:jc w:val="both"/>
        <w:rPr>
          <w:rFonts w:ascii="Arial" w:eastAsia="Calibri" w:hAnsi="Arial" w:cs="Arial"/>
          <w:color w:val="000000"/>
          <w:sz w:val="22"/>
          <w:lang w:val="es-ES"/>
        </w:rPr>
      </w:pPr>
      <w:r w:rsidRPr="00D67C1A">
        <w:rPr>
          <w:rFonts w:ascii="Arial" w:eastAsia="Calibri" w:hAnsi="Arial" w:cs="Arial"/>
          <w:sz w:val="22"/>
          <w:lang w:val="es-ES"/>
        </w:rPr>
        <w:lastRenderedPageBreak/>
        <w:t>Esta competencia de interpretación de normas generales, por definición, no puede extenderse a la resolución de controversias, ni a brindar asesorías sobre casos puntuales. Esto en la medida en que, para resolver una consulta de carácter particular, además de conocer un sinnúmero de detalles de la actuación administrativa, es necesario acceder al expediente, a la información concreta y a los documentos del procedimiento contractual donde surge la inquietud</w:t>
      </w:r>
      <w:bookmarkEnd w:id="2"/>
      <w:r w:rsidRPr="00D67C1A">
        <w:rPr>
          <w:rFonts w:ascii="Arial" w:eastAsia="Calibri" w:hAnsi="Arial" w:cs="Arial"/>
          <w:sz w:val="22"/>
          <w:lang w:val="es-ES"/>
        </w:rPr>
        <w:t>. Por lo anterior, previo concepto de sus órganos asesores, la solución de estos temas corresponde a la entidad que adelanta el procedimiento de selección y, en caso de conflicto, a las autoridades judiciales, fiscales y disciplinarias.</w:t>
      </w:r>
      <w:bookmarkEnd w:id="0"/>
      <w:bookmarkEnd w:id="1"/>
      <w:r w:rsidRPr="00D67C1A">
        <w:rPr>
          <w:rFonts w:ascii="Arial" w:eastAsia="Calibri" w:hAnsi="Arial" w:cs="Arial"/>
          <w:sz w:val="22"/>
          <w:lang w:val="es-ES"/>
        </w:rPr>
        <w:t xml:space="preserve"> </w:t>
      </w:r>
      <w:r w:rsidRPr="00D67C1A">
        <w:rPr>
          <w:rFonts w:ascii="Arial" w:eastAsia="Calibri" w:hAnsi="Arial" w:cs="Arial"/>
          <w:color w:val="000000"/>
          <w:sz w:val="22"/>
        </w:rPr>
        <w:t xml:space="preserve">Sin perjuicio de lo anterior, </w:t>
      </w:r>
      <w:r w:rsidRPr="00D67C1A">
        <w:rPr>
          <w:rFonts w:ascii="Arial" w:eastAsia="Calibri" w:hAnsi="Arial" w:cs="Arial"/>
          <w:color w:val="000000"/>
          <w:sz w:val="22"/>
          <w:lang w:val="es-ES"/>
        </w:rPr>
        <w:t xml:space="preserve">la Subdirección –dentro de los límites de sus atribuciones, esto es, </w:t>
      </w:r>
      <w:bookmarkStart w:id="3" w:name="_Hlk61025408"/>
      <w:r w:rsidRPr="00D67C1A">
        <w:rPr>
          <w:rFonts w:ascii="Arial" w:eastAsia="Calibri" w:hAnsi="Arial" w:cs="Arial"/>
          <w:color w:val="000000"/>
          <w:sz w:val="22"/>
          <w:lang w:val="es-ES"/>
        </w:rPr>
        <w:t>haciendo abstracción de casos particulares expuestos por cualquier peticionari</w:t>
      </w:r>
      <w:bookmarkEnd w:id="3"/>
      <w:r w:rsidRPr="00D67C1A">
        <w:rPr>
          <w:rFonts w:ascii="Arial" w:eastAsia="Calibri" w:hAnsi="Arial" w:cs="Arial"/>
          <w:color w:val="000000"/>
          <w:sz w:val="22"/>
          <w:lang w:val="es-ES"/>
        </w:rPr>
        <w:t>o– resolverá la consulta conforme a las normas generales en materia de contratación estatal.</w:t>
      </w:r>
    </w:p>
    <w:p w14:paraId="7BF71092" w14:textId="15A98EF9" w:rsidR="00F858AD" w:rsidRPr="00D67C1A" w:rsidRDefault="00B33519" w:rsidP="001F25A1">
      <w:pPr>
        <w:spacing w:after="120" w:line="276" w:lineRule="auto"/>
        <w:ind w:firstLine="709"/>
        <w:jc w:val="both"/>
        <w:rPr>
          <w:rFonts w:ascii="Arial" w:hAnsi="Arial" w:cs="Arial"/>
          <w:sz w:val="22"/>
        </w:rPr>
      </w:pPr>
      <w:r w:rsidRPr="00D67C1A">
        <w:rPr>
          <w:rFonts w:ascii="Arial" w:eastAsia="Calibri" w:hAnsi="Arial" w:cs="Arial"/>
          <w:color w:val="000000" w:themeColor="text1"/>
          <w:sz w:val="22"/>
        </w:rPr>
        <w:t>Aclarado lo anterior, p</w:t>
      </w:r>
      <w:r w:rsidR="00F858AD" w:rsidRPr="00D67C1A">
        <w:rPr>
          <w:rFonts w:ascii="Arial" w:hAnsi="Arial" w:cs="Arial"/>
          <w:sz w:val="22"/>
        </w:rPr>
        <w:t xml:space="preserve">ara absolver la consulta </w:t>
      </w:r>
      <w:proofErr w:type="gramStart"/>
      <w:r w:rsidR="00F858AD" w:rsidRPr="00D67C1A">
        <w:rPr>
          <w:rFonts w:ascii="Arial" w:hAnsi="Arial" w:cs="Arial"/>
          <w:sz w:val="22"/>
        </w:rPr>
        <w:t>planteada  se</w:t>
      </w:r>
      <w:proofErr w:type="gramEnd"/>
      <w:r w:rsidR="00F858AD" w:rsidRPr="00D67C1A">
        <w:rPr>
          <w:rFonts w:ascii="Arial" w:hAnsi="Arial" w:cs="Arial"/>
          <w:sz w:val="22"/>
        </w:rPr>
        <w:t xml:space="preserve"> abordarán los siguientes temas: i</w:t>
      </w:r>
      <w:r w:rsidR="00F858AD" w:rsidRPr="00D67C1A">
        <w:t xml:space="preserve">) </w:t>
      </w:r>
      <w:r w:rsidR="00F858AD" w:rsidRPr="00D67C1A">
        <w:rPr>
          <w:rFonts w:ascii="Arial" w:hAnsi="Arial" w:cs="Arial"/>
          <w:sz w:val="22"/>
        </w:rPr>
        <w:t xml:space="preserve">Expedición de los documentos tipo de obra pública de infraestructura de transporte; </w:t>
      </w:r>
      <w:proofErr w:type="spellStart"/>
      <w:r w:rsidR="00F858AD" w:rsidRPr="00D67C1A">
        <w:rPr>
          <w:rFonts w:ascii="Arial" w:hAnsi="Arial" w:cs="Arial"/>
          <w:sz w:val="22"/>
        </w:rPr>
        <w:t>ii</w:t>
      </w:r>
      <w:proofErr w:type="spellEnd"/>
      <w:r w:rsidR="00F858AD" w:rsidRPr="00D67C1A">
        <w:rPr>
          <w:rFonts w:ascii="Arial" w:hAnsi="Arial" w:cs="Arial"/>
          <w:sz w:val="22"/>
        </w:rPr>
        <w:t xml:space="preserve">) </w:t>
      </w:r>
      <w:r w:rsidR="006D6AB0" w:rsidRPr="00D67C1A">
        <w:rPr>
          <w:rFonts w:ascii="Arial" w:hAnsi="Arial" w:cs="Arial"/>
          <w:sz w:val="22"/>
        </w:rPr>
        <w:t>R</w:t>
      </w:r>
      <w:r w:rsidR="00F172AE" w:rsidRPr="00D67C1A">
        <w:rPr>
          <w:rFonts w:ascii="Arial" w:hAnsi="Arial" w:cs="Arial"/>
          <w:sz w:val="22"/>
        </w:rPr>
        <w:t>egla de inalterabilidad de los documentos tipo</w:t>
      </w:r>
      <w:r w:rsidR="00582241" w:rsidRPr="00D67C1A">
        <w:rPr>
          <w:rFonts w:ascii="Arial" w:hAnsi="Arial" w:cs="Arial"/>
          <w:sz w:val="22"/>
        </w:rPr>
        <w:t xml:space="preserve">, </w:t>
      </w:r>
      <w:proofErr w:type="spellStart"/>
      <w:r w:rsidR="00F172AE" w:rsidRPr="00D67C1A">
        <w:rPr>
          <w:rFonts w:ascii="Arial" w:hAnsi="Arial" w:cs="Arial"/>
          <w:sz w:val="22"/>
        </w:rPr>
        <w:t>iii</w:t>
      </w:r>
      <w:proofErr w:type="spellEnd"/>
      <w:r w:rsidR="00F172AE" w:rsidRPr="00D67C1A">
        <w:rPr>
          <w:rFonts w:ascii="Arial" w:hAnsi="Arial" w:cs="Arial"/>
          <w:sz w:val="22"/>
        </w:rPr>
        <w:t xml:space="preserve">) </w:t>
      </w:r>
      <w:r w:rsidR="006D6AB0" w:rsidRPr="00D67C1A">
        <w:rPr>
          <w:rFonts w:ascii="Arial" w:eastAsia="Calibri" w:hAnsi="Arial" w:cs="Arial"/>
          <w:bCs/>
          <w:color w:val="000000" w:themeColor="text1"/>
          <w:sz w:val="22"/>
          <w:lang w:val="es-ES_tradnl"/>
        </w:rPr>
        <w:t xml:space="preserve">Uso del </w:t>
      </w:r>
      <w:r w:rsidR="006D6AB0" w:rsidRPr="00D67C1A">
        <w:rPr>
          <w:rFonts w:ascii="Arial" w:hAnsi="Arial" w:cs="Arial"/>
          <w:color w:val="000000" w:themeColor="text1"/>
          <w:sz w:val="22"/>
          <w:lang w:val="es-ES_tradnl"/>
        </w:rPr>
        <w:t>«</w:t>
      </w:r>
      <w:r w:rsidR="006D6AB0" w:rsidRPr="00D67C1A">
        <w:rPr>
          <w:rFonts w:ascii="Arial" w:eastAsia="Calibri" w:hAnsi="Arial" w:cs="Arial"/>
          <w:bCs/>
          <w:color w:val="000000" w:themeColor="text1"/>
          <w:sz w:val="22"/>
          <w:lang w:val="es-ES_tradnl"/>
        </w:rPr>
        <w:t>Formulario 1 – Formulario de Presupuesto Oficial»</w:t>
      </w:r>
      <w:r w:rsidR="00F26E22" w:rsidRPr="00D67C1A">
        <w:rPr>
          <w:rFonts w:ascii="Arial" w:hAnsi="Arial" w:cs="Arial"/>
          <w:sz w:val="22"/>
        </w:rPr>
        <w:t>.</w:t>
      </w:r>
    </w:p>
    <w:p w14:paraId="4C356B62" w14:textId="245A6DBF" w:rsidR="003415A9" w:rsidRPr="00D67C1A" w:rsidRDefault="00F172AE" w:rsidP="004A4319">
      <w:pPr>
        <w:spacing w:line="276" w:lineRule="auto"/>
        <w:ind w:firstLine="708"/>
        <w:jc w:val="both"/>
        <w:rPr>
          <w:rStyle w:val="normaltextrun"/>
          <w:rFonts w:ascii="Arial" w:hAnsi="Arial" w:cs="Arial"/>
          <w:sz w:val="22"/>
          <w:shd w:val="clear" w:color="auto" w:fill="FFFFFF"/>
          <w:lang w:val="es-CO"/>
        </w:rPr>
      </w:pPr>
      <w:r w:rsidRPr="00D67C1A">
        <w:rPr>
          <w:rStyle w:val="normaltextrun"/>
          <w:rFonts w:ascii="Arial" w:hAnsi="Arial" w:cs="Arial"/>
          <w:sz w:val="22"/>
          <w:shd w:val="clear" w:color="auto" w:fill="FFFFFF"/>
          <w:lang w:val="es-CO"/>
        </w:rPr>
        <w:t xml:space="preserve">La Agencia Nacional de Contratación Pública − Colombia Compra Eficiente ha abordado </w:t>
      </w:r>
      <w:r w:rsidR="00F26E22" w:rsidRPr="00D67C1A">
        <w:rPr>
          <w:rStyle w:val="normaltextrun"/>
          <w:rFonts w:ascii="Arial" w:hAnsi="Arial" w:cs="Arial"/>
          <w:sz w:val="22"/>
          <w:shd w:val="clear" w:color="auto" w:fill="FFFFFF"/>
          <w:lang w:val="es-CO"/>
        </w:rPr>
        <w:t>el tema de los documentos tipo,</w:t>
      </w:r>
      <w:r w:rsidRPr="00D67C1A">
        <w:rPr>
          <w:rStyle w:val="normaltextrun"/>
          <w:rFonts w:ascii="Arial" w:hAnsi="Arial" w:cs="Arial"/>
          <w:sz w:val="22"/>
          <w:shd w:val="clear" w:color="auto" w:fill="FFFFFF"/>
          <w:lang w:val="es-CO"/>
        </w:rPr>
        <w:t xml:space="preserve"> su inalterabilidad</w:t>
      </w:r>
      <w:r w:rsidR="00F26E22" w:rsidRPr="00D67C1A">
        <w:rPr>
          <w:rStyle w:val="normaltextrun"/>
          <w:rFonts w:ascii="Arial" w:hAnsi="Arial" w:cs="Arial"/>
          <w:sz w:val="22"/>
          <w:shd w:val="clear" w:color="auto" w:fill="FFFFFF"/>
          <w:lang w:val="es-CO"/>
        </w:rPr>
        <w:t xml:space="preserve"> y las causales de rechazo</w:t>
      </w:r>
      <w:r w:rsidRPr="00D67C1A">
        <w:rPr>
          <w:rStyle w:val="normaltextrun"/>
          <w:rFonts w:ascii="Arial" w:hAnsi="Arial" w:cs="Arial"/>
          <w:sz w:val="22"/>
          <w:shd w:val="clear" w:color="auto" w:fill="FFFFFF"/>
          <w:lang w:val="es-CO"/>
        </w:rPr>
        <w:t>, entre otros, en los conceptos C–144 de 2 de marzo de 2020, C-174 del 16 de marzo de 2020, C-129 del 24 de marzo de 2020, C-193 del 6 de abril de 2020, C–189 del 8 de abril de 2020,  C-009 del 27 de abril de 2020, C-289 del 26 de mayo de 2020, C-384 del 4 de junio de 2020, C-328 del 30 de junio de 2020, C-397 del 30 de junio de 2020, C-327 del 10 de julio de 2020, C-332 del 26 de mayo de 2020, C-354 del 4 de junio de 2020, C-387 del 23 de junio de 2020, C-379 del 30 de junio de 2020, C-411 del 30 de junio de 2020, C-415 del 7 de julio de 2020, C-443 del 7 de julio de 2020, C-427 del 9 de julio de 2020, C-395 del 9 de julio de 2020, C-327 del 10 de julio de 2020, C-444 del 13 de julio de 2020, C-429 del 24 de julio de 2020, C-466 del 24 de julio de 2020, C-420 del 28 de julio de 2020, C-485 del 29 de julio de 2020, C-501 del 29 de julio de 2020, C-478 del 30 de julio de 2020, C-450 del 3 de agosto de 2020, C-497 del 6 de agosto de 2020, C-528 del 18 de agosto de 2020, C-531 del 21 agosto de 2020, C-546 del 26 de agosto de 2020, C-597 del 14 de septiembre de 2020, C-618 del 17 de septiembre de 2020, C-633 del 2 de octubre de 2020, C-630 del 21 de octubre de 2020, C-643 del 26 de octubre de 2020, C-635 del 29 de octubre de 2020, C-653 del 9 de noviembre de 2020, C-665 del 11 de noviembre de 2020, C-698 del 19 de noviembre de 2020, C-716 del 30 de noviembre de 2020, C-775 del 11 de diciembre de 2020, </w:t>
      </w:r>
      <w:r w:rsidRPr="00D67C1A">
        <w:rPr>
          <w:rStyle w:val="normaltextrun"/>
          <w:rFonts w:ascii="Arial" w:hAnsi="Arial" w:cs="Arial"/>
          <w:sz w:val="22"/>
          <w:shd w:val="clear" w:color="auto" w:fill="FFFFFF"/>
          <w:lang w:val="es-ES"/>
        </w:rPr>
        <w:t>C-031 del 1 de febrero de 2021,</w:t>
      </w:r>
      <w:r w:rsidRPr="00D67C1A">
        <w:rPr>
          <w:rStyle w:val="normaltextrun"/>
          <w:rFonts w:ascii="Arial" w:hAnsi="Arial" w:cs="Arial"/>
          <w:sz w:val="22"/>
          <w:shd w:val="clear" w:color="auto" w:fill="FFFFFF"/>
          <w:lang w:val="es-CO"/>
        </w:rPr>
        <w:t xml:space="preserve"> C-027 del 1 de marzo de 2021, C-064 del 8 de marzo 2021, </w:t>
      </w:r>
      <w:r w:rsidR="00CE5EC3" w:rsidRPr="00D67C1A">
        <w:rPr>
          <w:rFonts w:ascii="Arial" w:eastAsia="Calibri" w:hAnsi="Arial" w:cs="Arial"/>
          <w:sz w:val="22"/>
          <w:szCs w:val="20"/>
        </w:rPr>
        <w:t xml:space="preserve">C-096 del 24 de marzo de 2021, </w:t>
      </w:r>
      <w:r w:rsidR="00CE5EC3" w:rsidRPr="00D67C1A">
        <w:rPr>
          <w:rStyle w:val="normaltextrun"/>
          <w:rFonts w:ascii="Arial" w:hAnsi="Arial" w:cs="Arial"/>
          <w:sz w:val="22"/>
          <w:shd w:val="clear" w:color="auto" w:fill="FFFFFF"/>
          <w:lang w:val="es-CO"/>
        </w:rPr>
        <w:t xml:space="preserve">C-157 del 13 de abril de 2021, </w:t>
      </w:r>
      <w:r w:rsidR="00CE5EC3" w:rsidRPr="00D67C1A">
        <w:rPr>
          <w:rFonts w:ascii="Arial" w:eastAsia="Calibri" w:hAnsi="Arial" w:cs="Arial"/>
          <w:sz w:val="22"/>
          <w:szCs w:val="20"/>
        </w:rPr>
        <w:t xml:space="preserve">C-056 del 20 de abril de 2021, </w:t>
      </w:r>
      <w:r w:rsidRPr="00D67C1A">
        <w:rPr>
          <w:rStyle w:val="normaltextrun"/>
          <w:rFonts w:ascii="Arial" w:hAnsi="Arial" w:cs="Arial"/>
          <w:sz w:val="22"/>
          <w:shd w:val="clear" w:color="auto" w:fill="FFFFFF"/>
          <w:lang w:val="es-CO"/>
        </w:rPr>
        <w:t>C-204 del 6 de mayo de 2021, C-555 del 20 de octubre de 2021, C-691 del 28 de</w:t>
      </w:r>
      <w:r w:rsidR="00BB78E0" w:rsidRPr="00D67C1A">
        <w:rPr>
          <w:rStyle w:val="normaltextrun"/>
          <w:rFonts w:ascii="Arial" w:hAnsi="Arial" w:cs="Arial"/>
          <w:sz w:val="22"/>
          <w:shd w:val="clear" w:color="auto" w:fill="FFFFFF"/>
          <w:lang w:val="es-CO"/>
        </w:rPr>
        <w:t xml:space="preserve"> diciembre de 2021,</w:t>
      </w:r>
      <w:r w:rsidRPr="00D67C1A">
        <w:rPr>
          <w:rStyle w:val="normaltextrun"/>
          <w:rFonts w:ascii="Arial" w:hAnsi="Arial" w:cs="Arial"/>
          <w:sz w:val="22"/>
          <w:shd w:val="clear" w:color="auto" w:fill="FFFFFF"/>
          <w:lang w:val="es-CO"/>
        </w:rPr>
        <w:t xml:space="preserve"> C-753 del </w:t>
      </w:r>
      <w:r w:rsidR="008B438D" w:rsidRPr="00D67C1A">
        <w:rPr>
          <w:rStyle w:val="normaltextrun"/>
          <w:rFonts w:ascii="Arial" w:hAnsi="Arial" w:cs="Arial"/>
          <w:sz w:val="22"/>
          <w:shd w:val="clear" w:color="auto" w:fill="FFFFFF"/>
          <w:lang w:val="es-CO"/>
        </w:rPr>
        <w:t>06 de febrero de 2022</w:t>
      </w:r>
      <w:r w:rsidR="00F26E22" w:rsidRPr="00D67C1A">
        <w:rPr>
          <w:rStyle w:val="normaltextrun"/>
          <w:rFonts w:ascii="Arial" w:hAnsi="Arial" w:cs="Arial"/>
          <w:sz w:val="22"/>
          <w:shd w:val="clear" w:color="auto" w:fill="FFFFFF"/>
          <w:lang w:val="es-CO"/>
        </w:rPr>
        <w:t xml:space="preserve">, C-078 del 15 </w:t>
      </w:r>
      <w:r w:rsidR="00F26E22" w:rsidRPr="00D67C1A">
        <w:rPr>
          <w:rStyle w:val="normaltextrun"/>
          <w:rFonts w:ascii="Arial" w:hAnsi="Arial" w:cs="Arial"/>
          <w:sz w:val="22"/>
          <w:shd w:val="clear" w:color="auto" w:fill="FFFFFF"/>
          <w:lang w:val="es-CO"/>
        </w:rPr>
        <w:lastRenderedPageBreak/>
        <w:t>de marzo de 2022,</w:t>
      </w:r>
      <w:r w:rsidR="00BB78E0" w:rsidRPr="00D67C1A">
        <w:rPr>
          <w:rStyle w:val="normaltextrun"/>
          <w:rFonts w:ascii="Arial" w:hAnsi="Arial" w:cs="Arial"/>
          <w:sz w:val="22"/>
          <w:shd w:val="clear" w:color="auto" w:fill="FFFFFF"/>
          <w:lang w:val="es-CO"/>
        </w:rPr>
        <w:t xml:space="preserve"> C-321</w:t>
      </w:r>
      <w:r w:rsidR="00F26E22" w:rsidRPr="00D67C1A">
        <w:rPr>
          <w:rStyle w:val="normaltextrun"/>
          <w:rFonts w:ascii="Arial" w:hAnsi="Arial" w:cs="Arial"/>
          <w:sz w:val="22"/>
          <w:shd w:val="clear" w:color="auto" w:fill="FFFFFF"/>
          <w:lang w:val="es-CO"/>
        </w:rPr>
        <w:t xml:space="preserve"> del 17 de mayo de 2022, C-113 del 22 de marzo de 2022, C-178 C-186  del 12 de abril de 2022</w:t>
      </w:r>
      <w:r w:rsidR="002F436E" w:rsidRPr="00D67C1A">
        <w:rPr>
          <w:rStyle w:val="Refdenotaalpie"/>
          <w:rFonts w:ascii="Arial" w:hAnsi="Arial" w:cs="Arial"/>
          <w:sz w:val="22"/>
          <w:shd w:val="clear" w:color="auto" w:fill="FFFFFF"/>
          <w:lang w:val="es-CO"/>
        </w:rPr>
        <w:footnoteReference w:id="2"/>
      </w:r>
      <w:r w:rsidR="000D5E6D" w:rsidRPr="00D67C1A">
        <w:rPr>
          <w:rStyle w:val="normaltextrun"/>
          <w:rFonts w:ascii="Arial" w:hAnsi="Arial" w:cs="Arial"/>
          <w:sz w:val="22"/>
          <w:shd w:val="clear" w:color="auto" w:fill="FFFFFF"/>
          <w:lang w:val="es-CO"/>
        </w:rPr>
        <w:t xml:space="preserve"> y</w:t>
      </w:r>
      <w:r w:rsidR="00B5554D" w:rsidRPr="00D67C1A">
        <w:rPr>
          <w:rStyle w:val="normaltextrun"/>
          <w:rFonts w:ascii="Arial" w:hAnsi="Arial" w:cs="Arial"/>
          <w:sz w:val="22"/>
          <w:shd w:val="clear" w:color="auto" w:fill="FFFFFF"/>
          <w:lang w:val="es-CO"/>
        </w:rPr>
        <w:t xml:space="preserve"> C-444 del 30 de junio de 2022</w:t>
      </w:r>
      <w:r w:rsidR="00F26E22" w:rsidRPr="00D67C1A">
        <w:rPr>
          <w:rStyle w:val="normaltextrun"/>
          <w:rFonts w:ascii="Arial" w:hAnsi="Arial" w:cs="Arial"/>
          <w:sz w:val="22"/>
          <w:shd w:val="clear" w:color="auto" w:fill="FFFFFF"/>
          <w:lang w:val="es-CO"/>
        </w:rPr>
        <w:t>.</w:t>
      </w:r>
    </w:p>
    <w:p w14:paraId="3C310830" w14:textId="4013DE12" w:rsidR="003415A9" w:rsidRPr="00D67C1A" w:rsidRDefault="003415A9" w:rsidP="004A4319">
      <w:pPr>
        <w:spacing w:line="276" w:lineRule="auto"/>
        <w:ind w:firstLine="708"/>
        <w:jc w:val="both"/>
        <w:rPr>
          <w:rStyle w:val="normaltextrun"/>
          <w:rFonts w:ascii="Arial" w:hAnsi="Arial" w:cs="Arial"/>
          <w:sz w:val="22"/>
          <w:shd w:val="clear" w:color="auto" w:fill="FFFFFF"/>
          <w:lang w:val="es-CO"/>
        </w:rPr>
      </w:pPr>
    </w:p>
    <w:p w14:paraId="0FE5E82E" w14:textId="208F4616" w:rsidR="00F172AE" w:rsidRPr="00D67C1A" w:rsidRDefault="003415A9" w:rsidP="004A4319">
      <w:pPr>
        <w:spacing w:line="276" w:lineRule="auto"/>
        <w:ind w:firstLine="708"/>
        <w:jc w:val="both"/>
        <w:rPr>
          <w:rFonts w:ascii="Arial" w:hAnsi="Arial" w:cs="Arial"/>
          <w:sz w:val="22"/>
          <w:shd w:val="clear" w:color="auto" w:fill="FFFFFF"/>
          <w:lang w:val="es-CO"/>
        </w:rPr>
      </w:pPr>
      <w:r w:rsidRPr="00D67C1A">
        <w:rPr>
          <w:rStyle w:val="normaltextrun"/>
          <w:rFonts w:ascii="Arial" w:hAnsi="Arial" w:cs="Arial"/>
          <w:sz w:val="22"/>
          <w:shd w:val="clear" w:color="auto" w:fill="FFFFFF"/>
          <w:lang w:val="es-CO"/>
        </w:rPr>
        <w:t xml:space="preserve">Así mismo, </w:t>
      </w:r>
      <w:r w:rsidRPr="00D67C1A">
        <w:rPr>
          <w:rFonts w:ascii="Arial" w:eastAsia="Calibri" w:hAnsi="Arial" w:cs="Arial"/>
          <w:bCs/>
          <w:sz w:val="22"/>
        </w:rPr>
        <w:t xml:space="preserve">en el concepto con radicado No. 4201912000004987 del 14 de agosto de 2019, reiterado y desarrollado en los conceptos No. </w:t>
      </w:r>
      <w:r w:rsidRPr="00D67C1A">
        <w:rPr>
          <w:rFonts w:ascii="Arial" w:eastAsia="Calibri" w:hAnsi="Arial" w:cs="Arial"/>
          <w:sz w:val="22"/>
        </w:rPr>
        <w:t xml:space="preserve">4201913000005675 del 25 de septiembre de 2019, 4201912000005852 del 25 de septiembre de 2019, 4201912000006447 del 10 de octubre de 2019, </w:t>
      </w:r>
      <w:r w:rsidRPr="00D67C1A">
        <w:rPr>
          <w:rFonts w:ascii="Arial" w:hAnsi="Arial" w:cs="Arial"/>
          <w:sz w:val="22"/>
        </w:rPr>
        <w:t>4201912000006498 del 7 de octubre de 2019,</w:t>
      </w:r>
      <w:r w:rsidRPr="00D67C1A">
        <w:rPr>
          <w:rFonts w:ascii="Arial" w:eastAsia="Calibri" w:hAnsi="Arial" w:cs="Arial"/>
          <w:sz w:val="22"/>
        </w:rPr>
        <w:t xml:space="preserve"> 4201912000007471 del 13 de noviembre de 2019, C – 016 de 2020 del 21 de abril de 2020, C – 037 de 2020 del 28 de enero de 2020, C – 038 de 2020 del 28 de enero de 2020, C – 093 de 2020 del 28 de febrero de 2020, C – 133 del 30 de marzo de 2020, C – 153 del 1 de abril de 2020, C – 704 del 11 de diciembre del 2020, C – 070 del 16 de marzo de 2021, C – 204 del 6 de mayo de 2021, C – 435 de 1° de septiembre de 2021 y C-640 del 12 de noviembre de 2021 se pronunció acerca del Formulario 1 – Formulario de Presupuesto Oficial de los Documentos Tipo. </w:t>
      </w:r>
      <w:r w:rsidR="00F172AE" w:rsidRPr="00D67C1A">
        <w:rPr>
          <w:rStyle w:val="normaltextrun"/>
          <w:rFonts w:ascii="Arial" w:hAnsi="Arial" w:cs="Arial"/>
          <w:sz w:val="22"/>
          <w:shd w:val="clear" w:color="auto" w:fill="FFFFFF"/>
          <w:lang w:val="es-CO"/>
        </w:rPr>
        <w:t>Las tesis desarrolladas en estos conceptos se reiteran a continuación y se complementan en lo pertinente.</w:t>
      </w:r>
    </w:p>
    <w:p w14:paraId="3D9DB932" w14:textId="77777777" w:rsidR="00E0224A" w:rsidRPr="00D67C1A" w:rsidRDefault="00E0224A" w:rsidP="004A4319">
      <w:pPr>
        <w:spacing w:line="276" w:lineRule="auto"/>
        <w:jc w:val="both"/>
        <w:rPr>
          <w:rFonts w:ascii="Arial" w:eastAsia="Calibri" w:hAnsi="Arial" w:cs="Arial"/>
          <w:b/>
          <w:bCs/>
          <w:sz w:val="22"/>
          <w:lang w:val="es-CO"/>
        </w:rPr>
      </w:pPr>
    </w:p>
    <w:p w14:paraId="7DB757FB" w14:textId="14F8C267" w:rsidR="008B7E23" w:rsidRPr="00D67C1A" w:rsidRDefault="008B7E23" w:rsidP="004A4319">
      <w:pPr>
        <w:spacing w:line="276" w:lineRule="auto"/>
        <w:jc w:val="both"/>
        <w:rPr>
          <w:rFonts w:ascii="Arial" w:eastAsia="Calibri" w:hAnsi="Arial" w:cs="Arial"/>
          <w:b/>
          <w:bCs/>
          <w:sz w:val="22"/>
        </w:rPr>
      </w:pPr>
      <w:r w:rsidRPr="00D67C1A">
        <w:rPr>
          <w:rFonts w:ascii="Arial" w:eastAsia="Calibri" w:hAnsi="Arial" w:cs="Arial"/>
          <w:b/>
          <w:bCs/>
          <w:sz w:val="22"/>
        </w:rPr>
        <w:t>2.1. Expedición de los documentos tipo de obra pública de infraestructura de transporte</w:t>
      </w:r>
    </w:p>
    <w:p w14:paraId="7DB72FC4" w14:textId="77777777" w:rsidR="008B7E23" w:rsidRPr="00D67C1A" w:rsidRDefault="008B7E23" w:rsidP="004A4319">
      <w:pPr>
        <w:spacing w:line="276" w:lineRule="auto"/>
        <w:jc w:val="both"/>
        <w:rPr>
          <w:rFonts w:ascii="Arial" w:eastAsia="Calibri" w:hAnsi="Arial" w:cs="Arial"/>
          <w:b/>
          <w:bCs/>
          <w:sz w:val="22"/>
        </w:rPr>
      </w:pPr>
    </w:p>
    <w:p w14:paraId="77B06E82" w14:textId="4468F3C5" w:rsidR="008B7E23" w:rsidRPr="00D67C1A" w:rsidRDefault="00E36F58" w:rsidP="004A4319">
      <w:pPr>
        <w:shd w:val="clear" w:color="auto" w:fill="FFFFFF"/>
        <w:spacing w:after="120" w:line="276" w:lineRule="auto"/>
        <w:jc w:val="both"/>
        <w:rPr>
          <w:rFonts w:ascii="Arial" w:eastAsia="Calibri" w:hAnsi="Arial" w:cs="Arial"/>
          <w:sz w:val="22"/>
          <w:bdr w:val="none" w:sz="0" w:space="0" w:color="auto" w:frame="1"/>
          <w:lang w:eastAsia="es-CO"/>
        </w:rPr>
      </w:pPr>
      <w:r w:rsidRPr="00D67C1A">
        <w:rPr>
          <w:rFonts w:ascii="Arial" w:eastAsia="Calibri" w:hAnsi="Arial" w:cs="Arial"/>
          <w:sz w:val="22"/>
          <w:bdr w:val="none" w:sz="0" w:space="0" w:color="auto" w:frame="1"/>
          <w:lang w:eastAsia="es-CO"/>
        </w:rPr>
        <w:t>Los pliegos tipo tiene su origen</w:t>
      </w:r>
      <w:r w:rsidR="008B7E23" w:rsidRPr="00D67C1A">
        <w:rPr>
          <w:rFonts w:ascii="Arial" w:eastAsia="Calibri" w:hAnsi="Arial" w:cs="Arial"/>
          <w:sz w:val="22"/>
          <w:bdr w:val="none" w:sz="0" w:space="0" w:color="auto" w:frame="1"/>
          <w:lang w:eastAsia="es-CO"/>
        </w:rPr>
        <w:t xml:space="preserve"> en el 2007</w:t>
      </w:r>
      <w:r w:rsidR="00A267B5" w:rsidRPr="00D67C1A">
        <w:rPr>
          <w:rFonts w:ascii="Arial" w:eastAsia="Calibri" w:hAnsi="Arial" w:cs="Arial"/>
          <w:sz w:val="22"/>
          <w:bdr w:val="none" w:sz="0" w:space="0" w:color="auto" w:frame="1"/>
          <w:lang w:eastAsia="es-CO"/>
        </w:rPr>
        <w:t>,</w:t>
      </w:r>
      <w:r w:rsidR="008B7E23" w:rsidRPr="00D67C1A">
        <w:rPr>
          <w:rFonts w:ascii="Arial" w:eastAsia="Calibri" w:hAnsi="Arial" w:cs="Arial"/>
          <w:sz w:val="22"/>
          <w:bdr w:val="none" w:sz="0" w:space="0" w:color="auto" w:frame="1"/>
          <w:lang w:eastAsia="es-CO"/>
        </w:rPr>
        <w:t xml:space="preserve"> cuando el legislador facultó al Gobierno Nacional para adoptarlos en la compra o suministro de bienes de características técnicas uniformes</w:t>
      </w:r>
      <w:r w:rsidR="008B7E23" w:rsidRPr="00D67C1A">
        <w:rPr>
          <w:rFonts w:ascii="Arial" w:eastAsia="Calibri" w:hAnsi="Arial" w:cs="Arial"/>
          <w:sz w:val="22"/>
          <w:bdr w:val="none" w:sz="0" w:space="0" w:color="auto" w:frame="1"/>
          <w:vertAlign w:val="superscript"/>
          <w:lang w:eastAsia="es-CO"/>
        </w:rPr>
        <w:footnoteReference w:id="3"/>
      </w:r>
      <w:r w:rsidR="008B7E23" w:rsidRPr="00D67C1A">
        <w:rPr>
          <w:rFonts w:ascii="Arial" w:eastAsia="Calibri" w:hAnsi="Arial" w:cs="Arial"/>
          <w:sz w:val="22"/>
          <w:bdr w:val="none" w:sz="0" w:space="0" w:color="auto" w:frame="1"/>
          <w:lang w:eastAsia="es-CO"/>
        </w:rPr>
        <w:t>. La orientación inicial del proyecto que se convirtió en la Ley 1150 de 2007 era facultar al Gobierno Nacional para adoptar los pliegos tipo en todos los contratos estatales, pues en el proyecto el parágrafo 3º disponía que: «El Gobierno Nacional tendrá la facultad de estandarizar los pliegos de condiciones o términos de referencia y los contratos de las entidades estatales»</w:t>
      </w:r>
      <w:r w:rsidR="008B7E23" w:rsidRPr="00D67C1A">
        <w:rPr>
          <w:rFonts w:ascii="Arial" w:eastAsia="Calibri" w:hAnsi="Arial" w:cs="Arial"/>
          <w:sz w:val="22"/>
          <w:bdr w:val="none" w:sz="0" w:space="0" w:color="auto" w:frame="1"/>
          <w:vertAlign w:val="superscript"/>
          <w:lang w:eastAsia="es-CO"/>
        </w:rPr>
        <w:footnoteReference w:id="4"/>
      </w:r>
      <w:r w:rsidR="008B7E23" w:rsidRPr="00D67C1A">
        <w:rPr>
          <w:rFonts w:ascii="Arial" w:eastAsia="Calibri" w:hAnsi="Arial" w:cs="Arial"/>
          <w:sz w:val="22"/>
          <w:bdr w:val="none" w:sz="0" w:space="0" w:color="auto" w:frame="1"/>
          <w:lang w:eastAsia="es-CO"/>
        </w:rPr>
        <w:t>. </w:t>
      </w:r>
    </w:p>
    <w:p w14:paraId="468C5841" w14:textId="7DFB2DF6" w:rsidR="008B7E23" w:rsidRPr="00D67C1A" w:rsidRDefault="008B7E23" w:rsidP="00767D99">
      <w:pPr>
        <w:shd w:val="clear" w:color="auto" w:fill="FFFFFF"/>
        <w:spacing w:line="276" w:lineRule="auto"/>
        <w:ind w:firstLine="708"/>
        <w:jc w:val="both"/>
        <w:rPr>
          <w:rFonts w:ascii="Arial" w:eastAsia="Calibri" w:hAnsi="Arial" w:cs="Arial"/>
          <w:sz w:val="22"/>
          <w:bdr w:val="none" w:sz="0" w:space="0" w:color="auto" w:frame="1"/>
          <w:lang w:eastAsia="es-CO"/>
        </w:rPr>
      </w:pPr>
      <w:r w:rsidRPr="00D67C1A">
        <w:rPr>
          <w:rFonts w:ascii="Arial" w:eastAsia="Calibri" w:hAnsi="Arial" w:cs="Arial"/>
          <w:sz w:val="22"/>
          <w:bdr w:val="none" w:sz="0" w:space="0" w:color="auto" w:frame="1"/>
          <w:lang w:eastAsia="es-CO"/>
        </w:rPr>
        <w:t xml:space="preserve">La intención era agilizar y </w:t>
      </w:r>
      <w:r w:rsidR="00E36F58" w:rsidRPr="00D67C1A">
        <w:rPr>
          <w:rFonts w:ascii="Arial" w:eastAsia="Calibri" w:hAnsi="Arial" w:cs="Arial"/>
          <w:sz w:val="22"/>
          <w:bdr w:val="none" w:sz="0" w:space="0" w:color="auto" w:frame="1"/>
          <w:lang w:eastAsia="es-CO"/>
        </w:rPr>
        <w:t xml:space="preserve">generar la </w:t>
      </w:r>
      <w:r w:rsidRPr="00D67C1A">
        <w:rPr>
          <w:rFonts w:ascii="Arial" w:eastAsia="Calibri" w:hAnsi="Arial" w:cs="Arial"/>
          <w:sz w:val="22"/>
          <w:bdr w:val="none" w:sz="0" w:space="0" w:color="auto" w:frame="1"/>
          <w:lang w:eastAsia="es-CO"/>
        </w:rPr>
        <w:t xml:space="preserve">mayor transparencia a los procedimientos de selección, así como evitar el direccionamiento, razón por la cual –conforme a lo explicado </w:t>
      </w:r>
      <w:r w:rsidRPr="00D67C1A">
        <w:rPr>
          <w:rFonts w:ascii="Arial" w:eastAsia="Calibri" w:hAnsi="Arial" w:cs="Arial"/>
          <w:sz w:val="22"/>
          <w:bdr w:val="none" w:sz="0" w:space="0" w:color="auto" w:frame="1"/>
          <w:lang w:eastAsia="es-CO"/>
        </w:rPr>
        <w:lastRenderedPageBreak/>
        <w:t>en la exposición de motivos– «[…] se asigna al Gobierno Nacional la facultad de estandarizar los pliegos de condiciones y términos de referencia de los contratos, medida que redundará en la agilidad y claridad de los procedimientos»</w:t>
      </w:r>
      <w:r w:rsidRPr="00D67C1A">
        <w:rPr>
          <w:rFonts w:ascii="Arial" w:eastAsia="Calibri" w:hAnsi="Arial" w:cs="Arial"/>
          <w:sz w:val="22"/>
          <w:bdr w:val="none" w:sz="0" w:space="0" w:color="auto" w:frame="1"/>
          <w:vertAlign w:val="superscript"/>
          <w:lang w:eastAsia="es-CO"/>
        </w:rPr>
        <w:footnoteReference w:id="5"/>
      </w:r>
      <w:r w:rsidRPr="00D67C1A">
        <w:rPr>
          <w:rFonts w:ascii="Arial" w:eastAsia="Calibri" w:hAnsi="Arial" w:cs="Arial"/>
          <w:sz w:val="22"/>
          <w:bdr w:val="none" w:sz="0" w:space="0" w:color="auto" w:frame="1"/>
          <w:lang w:eastAsia="es-CO"/>
        </w:rPr>
        <w:t>. Sin embargo, en el texto aprobado, los pliegos tipo se limitaron a la adquisición o suministro de bienes de características técnicas uniformes</w:t>
      </w:r>
      <w:r w:rsidRPr="00D67C1A">
        <w:rPr>
          <w:rFonts w:ascii="Arial" w:eastAsia="Calibri" w:hAnsi="Arial" w:cs="Arial"/>
          <w:sz w:val="22"/>
          <w:bdr w:val="none" w:sz="0" w:space="0" w:color="auto" w:frame="1"/>
          <w:vertAlign w:val="superscript"/>
          <w:lang w:eastAsia="es-CO"/>
        </w:rPr>
        <w:footnoteReference w:id="6"/>
      </w:r>
      <w:r w:rsidRPr="00D67C1A">
        <w:rPr>
          <w:rFonts w:ascii="Arial" w:eastAsia="Calibri" w:hAnsi="Arial" w:cs="Arial"/>
          <w:sz w:val="22"/>
          <w:bdr w:val="none" w:sz="0" w:space="0" w:color="auto" w:frame="1"/>
          <w:lang w:eastAsia="es-CO"/>
        </w:rPr>
        <w:t>. Posteriormente, el artículo 2, parágrafo 7º, de la Ley 1150 de 2007, adicionado por el artículo 4 de la Ley 1882 de 2018, estableció la obligatoriedad de la adopción de documentos tipo para algunos contratos, en los siguientes términos: </w:t>
      </w:r>
    </w:p>
    <w:p w14:paraId="1122862A" w14:textId="77777777" w:rsidR="008B7E23" w:rsidRPr="00D67C1A" w:rsidRDefault="008B7E23" w:rsidP="00767D99">
      <w:pPr>
        <w:shd w:val="clear" w:color="auto" w:fill="FFFFFF"/>
        <w:spacing w:line="276" w:lineRule="auto"/>
        <w:ind w:firstLine="709"/>
        <w:jc w:val="both"/>
        <w:rPr>
          <w:rFonts w:ascii="Arial" w:eastAsia="Calibri" w:hAnsi="Arial" w:cs="Arial"/>
          <w:sz w:val="22"/>
          <w:lang w:eastAsia="es-CO"/>
        </w:rPr>
      </w:pPr>
    </w:p>
    <w:p w14:paraId="7481B6D9" w14:textId="1A317997" w:rsidR="008B7E23" w:rsidRPr="00D67C1A" w:rsidRDefault="00CC2A26" w:rsidP="00767D99">
      <w:pPr>
        <w:shd w:val="clear" w:color="auto" w:fill="FFFFFF"/>
        <w:ind w:left="709" w:right="709"/>
        <w:jc w:val="both"/>
        <w:rPr>
          <w:rFonts w:ascii="Arial" w:eastAsia="Calibri" w:hAnsi="Arial" w:cs="Arial"/>
          <w:sz w:val="21"/>
          <w:szCs w:val="21"/>
          <w:bdr w:val="none" w:sz="0" w:space="0" w:color="auto" w:frame="1"/>
          <w:lang w:eastAsia="es-CO"/>
        </w:rPr>
      </w:pPr>
      <w:r w:rsidRPr="00D67C1A">
        <w:rPr>
          <w:rFonts w:ascii="Arial" w:hAnsi="Arial" w:cs="Arial"/>
          <w:color w:val="000000" w:themeColor="text1"/>
          <w:sz w:val="21"/>
          <w:szCs w:val="21"/>
          <w:lang w:val="es-ES_tradnl"/>
        </w:rPr>
        <w:t>«</w:t>
      </w:r>
      <w:r w:rsidR="008B7E23" w:rsidRPr="00D67C1A">
        <w:rPr>
          <w:rFonts w:ascii="Arial" w:eastAsia="Calibri" w:hAnsi="Arial" w:cs="Arial"/>
          <w:sz w:val="21"/>
          <w:szCs w:val="21"/>
          <w:bdr w:val="none" w:sz="0" w:space="0" w:color="auto" w:frame="1"/>
          <w:lang w:eastAsia="es-CO"/>
        </w:rPr>
        <w:t>Parágrafo 7°. El Gobierno nacional adoptará documentos tipo para los pliegos de condiciones de los procesos de selección de obras públicas, interventoría para las obras públicas, interventoría para consultoría de estudios y diseños para obras públicas, consultoría en ingeniería para obras, los cuales deberán ser utilizados por todas las entidades sometidas al Estatuto General de la Contratación de la Administración Pública en los procesos de selección que adelanten. </w:t>
      </w:r>
      <w:r w:rsidR="008B7E23" w:rsidRPr="00D67C1A">
        <w:rPr>
          <w:rFonts w:ascii="Arial" w:eastAsia="Calibri" w:hAnsi="Arial" w:cs="Arial"/>
          <w:i/>
          <w:iCs/>
          <w:sz w:val="21"/>
          <w:szCs w:val="21"/>
          <w:bdr w:val="none" w:sz="0" w:space="0" w:color="auto" w:frame="1"/>
          <w:lang w:eastAsia="es-CO"/>
        </w:rPr>
        <w:t>Dentro de los documentos tipo el Gobierno adoptará de manera general y con alcance obligatorio para todas las entidades sometidas al Estatuto General de Contratación de la Administración Pública, las condiciones habilitantes, así como los factores técnicos y económicos de escogencia</w:t>
      </w:r>
      <w:r w:rsidR="008B7E23" w:rsidRPr="00D67C1A">
        <w:rPr>
          <w:rFonts w:ascii="Arial" w:eastAsia="Calibri" w:hAnsi="Arial" w:cs="Arial"/>
          <w:sz w:val="21"/>
          <w:szCs w:val="21"/>
          <w:bdr w:val="none" w:sz="0" w:space="0" w:color="auto" w:frame="1"/>
          <w:lang w:eastAsia="es-CO"/>
        </w:rPr>
        <w:t> […] </w:t>
      </w:r>
      <w:r w:rsidR="008B7E23" w:rsidRPr="00D67C1A">
        <w:rPr>
          <w:rFonts w:ascii="Arial" w:eastAsia="Calibri" w:hAnsi="Arial" w:cs="Arial"/>
          <w:i/>
          <w:iCs/>
          <w:sz w:val="21"/>
          <w:szCs w:val="21"/>
          <w:bdr w:val="none" w:sz="0" w:space="0" w:color="auto" w:frame="1"/>
          <w:lang w:eastAsia="es-CO"/>
        </w:rPr>
        <w:t>teniendo en cuenta la naturaleza y cuantía de los contratos</w:t>
      </w:r>
      <w:r w:rsidR="008B7E23" w:rsidRPr="00D67C1A">
        <w:rPr>
          <w:rFonts w:ascii="Arial" w:eastAsia="Calibri" w:hAnsi="Arial" w:cs="Arial"/>
          <w:sz w:val="21"/>
          <w:szCs w:val="21"/>
          <w:bdr w:val="none" w:sz="0" w:space="0" w:color="auto" w:frame="1"/>
          <w:lang w:eastAsia="es-CO"/>
        </w:rPr>
        <w:t> […]</w:t>
      </w:r>
      <w:r w:rsidRPr="00D67C1A">
        <w:rPr>
          <w:rFonts w:ascii="Arial" w:hAnsi="Arial" w:cs="Arial"/>
          <w:color w:val="000000" w:themeColor="text1"/>
          <w:sz w:val="21"/>
          <w:szCs w:val="21"/>
          <w:lang w:val="es-ES_tradnl"/>
        </w:rPr>
        <w:t>»</w:t>
      </w:r>
      <w:r w:rsidR="008B7E23" w:rsidRPr="00D67C1A">
        <w:rPr>
          <w:rFonts w:ascii="Arial" w:eastAsia="Calibri" w:hAnsi="Arial" w:cs="Arial"/>
          <w:sz w:val="21"/>
          <w:szCs w:val="21"/>
          <w:bdr w:val="none" w:sz="0" w:space="0" w:color="auto" w:frame="1"/>
          <w:lang w:eastAsia="es-CO"/>
        </w:rPr>
        <w:t>. (Énfasis fuera de texto) </w:t>
      </w:r>
    </w:p>
    <w:p w14:paraId="2F508883" w14:textId="77777777" w:rsidR="008B7E23" w:rsidRPr="00D67C1A" w:rsidRDefault="008B7E23" w:rsidP="00767D99">
      <w:pPr>
        <w:shd w:val="clear" w:color="auto" w:fill="FFFFFF"/>
        <w:spacing w:line="276" w:lineRule="auto"/>
        <w:ind w:left="709" w:right="709"/>
        <w:jc w:val="both"/>
        <w:rPr>
          <w:rFonts w:ascii="Arial" w:eastAsia="Calibri" w:hAnsi="Arial" w:cs="Arial"/>
          <w:sz w:val="22"/>
          <w:lang w:eastAsia="es-CO"/>
        </w:rPr>
      </w:pPr>
    </w:p>
    <w:p w14:paraId="3F91CFCC" w14:textId="1E231EBB" w:rsidR="008B7E23" w:rsidRPr="00D67C1A" w:rsidRDefault="008B7E23" w:rsidP="00767D99">
      <w:pPr>
        <w:shd w:val="clear" w:color="auto" w:fill="FFFFFF"/>
        <w:spacing w:after="120" w:line="276" w:lineRule="auto"/>
        <w:ind w:firstLine="708"/>
        <w:jc w:val="both"/>
        <w:rPr>
          <w:rFonts w:ascii="Arial" w:eastAsia="Calibri" w:hAnsi="Arial" w:cs="Arial"/>
          <w:sz w:val="22"/>
          <w:bdr w:val="none" w:sz="0" w:space="0" w:color="auto" w:frame="1"/>
          <w:lang w:eastAsia="es-CO"/>
        </w:rPr>
      </w:pPr>
      <w:r w:rsidRPr="00D67C1A">
        <w:rPr>
          <w:rFonts w:ascii="Arial" w:eastAsia="Calibri" w:hAnsi="Arial" w:cs="Arial"/>
          <w:sz w:val="22"/>
          <w:bdr w:val="none" w:sz="0" w:space="0" w:color="auto" w:frame="1"/>
          <w:lang w:eastAsia="es-CO"/>
        </w:rPr>
        <w:t>Sin embargo, el 2</w:t>
      </w:r>
      <w:r w:rsidR="00BB78E0" w:rsidRPr="00D67C1A">
        <w:rPr>
          <w:rFonts w:ascii="Arial" w:eastAsia="Calibri" w:hAnsi="Arial" w:cs="Arial"/>
          <w:sz w:val="22"/>
          <w:bdr w:val="none" w:sz="0" w:space="0" w:color="auto" w:frame="1"/>
          <w:lang w:eastAsia="es-CO"/>
        </w:rPr>
        <w:t>2 de julio de 2020 el Gobierno n</w:t>
      </w:r>
      <w:r w:rsidRPr="00D67C1A">
        <w:rPr>
          <w:rFonts w:ascii="Arial" w:eastAsia="Calibri" w:hAnsi="Arial" w:cs="Arial"/>
          <w:sz w:val="22"/>
          <w:bdr w:val="none" w:sz="0" w:space="0" w:color="auto" w:frame="1"/>
          <w:lang w:eastAsia="es-CO"/>
        </w:rPr>
        <w:t>acional sancionó la Ley 2022, que rige a partir de su publicación y cuyo artículo 1 modifica el artículo 4 de la Ley 1882 de 2018 en relación con los siguientes aspectos: i) el sujeto encargado de la adopción de los documentos tipo, ya que antes se</w:t>
      </w:r>
      <w:r w:rsidR="00523A3E" w:rsidRPr="00D67C1A">
        <w:rPr>
          <w:rFonts w:ascii="Arial" w:eastAsia="Calibri" w:hAnsi="Arial" w:cs="Arial"/>
          <w:sz w:val="22"/>
          <w:bdr w:val="none" w:sz="0" w:space="0" w:color="auto" w:frame="1"/>
          <w:lang w:eastAsia="es-CO"/>
        </w:rPr>
        <w:t xml:space="preserve"> señalaba al Gobierno n</w:t>
      </w:r>
      <w:r w:rsidRPr="00D67C1A">
        <w:rPr>
          <w:rFonts w:ascii="Arial" w:eastAsia="Calibri" w:hAnsi="Arial" w:cs="Arial"/>
          <w:sz w:val="22"/>
          <w:bdr w:val="none" w:sz="0" w:space="0" w:color="auto" w:frame="1"/>
          <w:lang w:eastAsia="es-CO"/>
        </w:rPr>
        <w:t xml:space="preserve">acional y ahora la entidad encargada directamente por la Ley es la Agencia Nacional de Contratación Pública – Colombia Compra Eficiente o quien haga sus veces; </w:t>
      </w:r>
      <w:proofErr w:type="spellStart"/>
      <w:r w:rsidRPr="00D67C1A">
        <w:rPr>
          <w:rFonts w:ascii="Arial" w:eastAsia="Calibri" w:hAnsi="Arial" w:cs="Arial"/>
          <w:sz w:val="22"/>
          <w:bdr w:val="none" w:sz="0" w:space="0" w:color="auto" w:frame="1"/>
          <w:lang w:eastAsia="es-CO"/>
        </w:rPr>
        <w:t>ii</w:t>
      </w:r>
      <w:proofErr w:type="spellEnd"/>
      <w:r w:rsidRPr="00D67C1A">
        <w:rPr>
          <w:rFonts w:ascii="Arial" w:eastAsia="Calibri" w:hAnsi="Arial" w:cs="Arial"/>
          <w:sz w:val="22"/>
          <w:bdr w:val="none" w:sz="0" w:space="0" w:color="auto" w:frame="1"/>
          <w:lang w:eastAsia="es-CO"/>
        </w:rPr>
        <w:t xml:space="preserve">) la inclusión de buenas prácticas contractuales y los principios de la contratación pública para establecer los requisitos habilitantes, factores técnicos, económicos y otros factores de escogencia en los documentos tipo; </w:t>
      </w:r>
      <w:proofErr w:type="spellStart"/>
      <w:r w:rsidRPr="00D67C1A">
        <w:rPr>
          <w:rFonts w:ascii="Arial" w:eastAsia="Calibri" w:hAnsi="Arial" w:cs="Arial"/>
          <w:sz w:val="22"/>
          <w:bdr w:val="none" w:sz="0" w:space="0" w:color="auto" w:frame="1"/>
          <w:lang w:eastAsia="es-CO"/>
        </w:rPr>
        <w:t>iii</w:t>
      </w:r>
      <w:proofErr w:type="spellEnd"/>
      <w:r w:rsidRPr="00D67C1A">
        <w:rPr>
          <w:rFonts w:ascii="Arial" w:eastAsia="Calibri" w:hAnsi="Arial" w:cs="Arial"/>
          <w:sz w:val="22"/>
          <w:bdr w:val="none" w:sz="0" w:space="0" w:color="auto" w:frame="1"/>
          <w:lang w:eastAsia="es-CO"/>
        </w:rPr>
        <w:t xml:space="preserve">) la implementación de procesos de capacitación en los municipios para la utilización de los documentos tipo, buscando el desarrollo de la economía local, y </w:t>
      </w:r>
      <w:proofErr w:type="spellStart"/>
      <w:r w:rsidRPr="00D67C1A">
        <w:rPr>
          <w:rFonts w:ascii="Arial" w:eastAsia="Calibri" w:hAnsi="Arial" w:cs="Arial"/>
          <w:sz w:val="22"/>
          <w:bdr w:val="none" w:sz="0" w:space="0" w:color="auto" w:frame="1"/>
          <w:lang w:eastAsia="es-CO"/>
        </w:rPr>
        <w:t>iv</w:t>
      </w:r>
      <w:proofErr w:type="spellEnd"/>
      <w:r w:rsidRPr="00D67C1A">
        <w:rPr>
          <w:rFonts w:ascii="Arial" w:eastAsia="Calibri" w:hAnsi="Arial" w:cs="Arial"/>
          <w:sz w:val="22"/>
          <w:bdr w:val="none" w:sz="0" w:space="0" w:color="auto" w:frame="1"/>
          <w:lang w:eastAsia="es-CO"/>
        </w:rPr>
        <w:t xml:space="preserve">) las responsabilidades para Colombia Compra Eficiente en la definición del desarrollo e implementación de los documentos tipo mediante cronogramas, coordinación con otras </w:t>
      </w:r>
      <w:r w:rsidRPr="00D67C1A">
        <w:rPr>
          <w:rFonts w:ascii="Arial" w:eastAsia="Calibri" w:hAnsi="Arial" w:cs="Arial"/>
          <w:sz w:val="22"/>
          <w:bdr w:val="none" w:sz="0" w:space="0" w:color="auto" w:frame="1"/>
          <w:lang w:eastAsia="es-CO"/>
        </w:rPr>
        <w:lastRenderedPageBreak/>
        <w:t>entidades especializadas, recepción de comentarios de los interesados y revisión de los documentos tipo expedidos</w:t>
      </w:r>
      <w:r w:rsidRPr="00D67C1A">
        <w:rPr>
          <w:rFonts w:ascii="Arial" w:eastAsia="Calibri" w:hAnsi="Arial" w:cs="Arial"/>
          <w:sz w:val="22"/>
          <w:bdr w:val="none" w:sz="0" w:space="0" w:color="auto" w:frame="1"/>
          <w:vertAlign w:val="superscript"/>
          <w:lang w:eastAsia="es-CO"/>
        </w:rPr>
        <w:footnoteReference w:id="7"/>
      </w:r>
      <w:r w:rsidRPr="00D67C1A">
        <w:rPr>
          <w:rFonts w:ascii="Arial" w:eastAsia="Calibri" w:hAnsi="Arial" w:cs="Arial"/>
          <w:sz w:val="22"/>
          <w:bdr w:val="none" w:sz="0" w:space="0" w:color="auto" w:frame="1"/>
          <w:lang w:eastAsia="es-CO"/>
        </w:rPr>
        <w:t>.  </w:t>
      </w:r>
    </w:p>
    <w:p w14:paraId="57DDA684" w14:textId="31365F7B" w:rsidR="008B7E23" w:rsidRPr="00D67C1A" w:rsidRDefault="008B7E23" w:rsidP="00767D99">
      <w:pPr>
        <w:spacing w:after="120" w:line="276" w:lineRule="auto"/>
        <w:ind w:firstLine="709"/>
        <w:jc w:val="both"/>
        <w:rPr>
          <w:rFonts w:ascii="Arial" w:eastAsia="Times New Roman" w:hAnsi="Arial" w:cs="Arial"/>
          <w:sz w:val="22"/>
          <w:bdr w:val="none" w:sz="0" w:space="0" w:color="auto" w:frame="1"/>
          <w:lang w:val="es-ES_tradnl" w:eastAsia="es-CO"/>
        </w:rPr>
      </w:pPr>
      <w:r w:rsidRPr="00D67C1A">
        <w:rPr>
          <w:rFonts w:ascii="Arial" w:eastAsia="Calibri" w:hAnsi="Arial" w:cs="Arial"/>
          <w:sz w:val="22"/>
          <w:bdr w:val="none" w:sz="0" w:space="0" w:color="auto" w:frame="1"/>
          <w:lang w:eastAsia="es-CO"/>
        </w:rPr>
        <w:t>Con fundamento en las disposiciones anteriores</w:t>
      </w:r>
      <w:r w:rsidRPr="00D67C1A">
        <w:rPr>
          <w:rFonts w:ascii="Arial" w:eastAsia="Times New Roman" w:hAnsi="Arial" w:cs="Arial"/>
          <w:sz w:val="22"/>
          <w:bdr w:val="none" w:sz="0" w:space="0" w:color="auto" w:frame="1"/>
          <w:lang w:val="es-ES_tradnl" w:eastAsia="es-CO"/>
        </w:rPr>
        <w:t>, la Agencia Nacional de Contratación Pública – Colombia Compra Eficiente expidió las Resoluciones No. 240 y 241 del 27 de noviembre 2020, mediante las cuales se adoptan los documentos tipo de licitación de obra pública de infraestructura de transporte –versión 3</w:t>
      </w:r>
      <w:r w:rsidR="00F317BC" w:rsidRPr="00D67C1A">
        <w:rPr>
          <w:rFonts w:ascii="Arial" w:eastAsia="Times New Roman" w:hAnsi="Arial" w:cs="Arial"/>
          <w:sz w:val="22"/>
          <w:bdr w:val="none" w:sz="0" w:space="0" w:color="auto" w:frame="1"/>
          <w:lang w:val="es-ES_tradnl" w:eastAsia="es-CO"/>
        </w:rPr>
        <w:t>–</w:t>
      </w:r>
      <w:r w:rsidRPr="00D67C1A">
        <w:rPr>
          <w:rFonts w:ascii="Arial" w:eastAsia="Times New Roman" w:hAnsi="Arial" w:cs="Arial"/>
          <w:sz w:val="22"/>
          <w:bdr w:val="none" w:sz="0" w:space="0" w:color="auto" w:frame="1"/>
          <w:lang w:val="es-ES_tradnl" w:eastAsia="es-CO"/>
        </w:rPr>
        <w:t xml:space="preserve"> y de selección abreviada de menor cuantía de obra de infraestructura de transporte –versión 2</w:t>
      </w:r>
      <w:r w:rsidR="00F317BC" w:rsidRPr="00D67C1A">
        <w:rPr>
          <w:rFonts w:ascii="Arial" w:eastAsia="Times New Roman" w:hAnsi="Arial" w:cs="Arial"/>
          <w:sz w:val="22"/>
          <w:bdr w:val="none" w:sz="0" w:space="0" w:color="auto" w:frame="1"/>
          <w:lang w:val="es-ES_tradnl" w:eastAsia="es-CO"/>
        </w:rPr>
        <w:softHyphen/>
      </w:r>
      <w:r w:rsidR="00EB351D" w:rsidRPr="00D67C1A">
        <w:rPr>
          <w:rFonts w:ascii="Arial" w:eastAsia="Times New Roman" w:hAnsi="Arial" w:cs="Arial"/>
          <w:sz w:val="22"/>
          <w:bdr w:val="none" w:sz="0" w:space="0" w:color="auto" w:frame="1"/>
          <w:lang w:val="es-ES_tradnl" w:eastAsia="es-CO"/>
        </w:rPr>
        <w:t>–</w:t>
      </w:r>
      <w:r w:rsidRPr="00D67C1A">
        <w:rPr>
          <w:rFonts w:ascii="Arial" w:eastAsia="Times New Roman" w:hAnsi="Arial" w:cs="Arial"/>
          <w:sz w:val="22"/>
          <w:bdr w:val="none" w:sz="0" w:space="0" w:color="auto" w:frame="1"/>
          <w:lang w:val="es-ES_tradnl" w:eastAsia="es-CO"/>
        </w:rPr>
        <w:t xml:space="preserve">. Estas versiones de los documentos tipo son obligatorias a partir del 1º de enero de 2021. No obstante, con la expedición de la Ley de Emprendimiento, estos se modificaron parcialmente mediante la Resolución No. 161 del 17 de junio de 2021 «Por la cual se modifican los documentos tipo adoptados por la Agencia Nacional de Contratación Pública – Colombia Compra Eficiente», la cual rige para los procedimientos de selección cuya invitación o aviso de convocatoria se publique a partir del 28 de junio de 2021. </w:t>
      </w:r>
      <w:r w:rsidR="002F436E" w:rsidRPr="00D67C1A">
        <w:rPr>
          <w:rFonts w:ascii="Arial" w:eastAsia="Times New Roman" w:hAnsi="Arial" w:cs="Arial"/>
          <w:sz w:val="22"/>
          <w:bdr w:val="none" w:sz="0" w:space="0" w:color="auto" w:frame="1"/>
          <w:lang w:val="es-ES_tradnl" w:eastAsia="es-CO"/>
        </w:rPr>
        <w:t xml:space="preserve">De igual manera, </w:t>
      </w:r>
      <w:r w:rsidR="00992278" w:rsidRPr="00D67C1A">
        <w:rPr>
          <w:rFonts w:ascii="Arial" w:eastAsia="Times New Roman" w:hAnsi="Arial" w:cs="Arial"/>
          <w:sz w:val="22"/>
          <w:bdr w:val="none" w:sz="0" w:space="0" w:color="auto" w:frame="1"/>
          <w:lang w:val="es-ES_tradnl" w:eastAsia="es-CO"/>
        </w:rPr>
        <w:t xml:space="preserve">se adoptaron </w:t>
      </w:r>
      <w:r w:rsidR="002F436E" w:rsidRPr="00D67C1A">
        <w:rPr>
          <w:rFonts w:ascii="Arial" w:eastAsia="Times New Roman" w:hAnsi="Arial" w:cs="Arial"/>
          <w:sz w:val="22"/>
          <w:bdr w:val="none" w:sz="0" w:space="0" w:color="auto" w:frame="1"/>
          <w:lang w:val="es-ES_tradnl" w:eastAsia="es-CO"/>
        </w:rPr>
        <w:t>los documentos tipo de mínima cuantía de obra pública de infraestructura de transporte</w:t>
      </w:r>
      <w:r w:rsidR="00992278" w:rsidRPr="00D67C1A">
        <w:rPr>
          <w:rFonts w:ascii="Arial" w:eastAsia="Times New Roman" w:hAnsi="Arial" w:cs="Arial"/>
          <w:sz w:val="22"/>
          <w:bdr w:val="none" w:sz="0" w:space="0" w:color="auto" w:frame="1"/>
          <w:lang w:val="es-ES_tradnl" w:eastAsia="es-CO"/>
        </w:rPr>
        <w:t xml:space="preserve"> mediante la</w:t>
      </w:r>
      <w:r w:rsidR="002F436E" w:rsidRPr="00D67C1A">
        <w:rPr>
          <w:rFonts w:ascii="Arial" w:eastAsia="Times New Roman" w:hAnsi="Arial" w:cs="Arial"/>
          <w:sz w:val="22"/>
          <w:bdr w:val="none" w:sz="0" w:space="0" w:color="auto" w:frame="1"/>
          <w:lang w:val="es-ES_tradnl" w:eastAsia="es-CO"/>
        </w:rPr>
        <w:t xml:space="preserve"> Resolución 094 </w:t>
      </w:r>
      <w:r w:rsidR="00992278" w:rsidRPr="00D67C1A">
        <w:rPr>
          <w:rFonts w:ascii="Arial" w:eastAsia="Times New Roman" w:hAnsi="Arial" w:cs="Arial"/>
          <w:sz w:val="22"/>
          <w:bdr w:val="none" w:sz="0" w:space="0" w:color="auto" w:frame="1"/>
          <w:lang w:val="es-ES_tradnl" w:eastAsia="es-CO"/>
        </w:rPr>
        <w:t xml:space="preserve">del 21 de mayo </w:t>
      </w:r>
      <w:r w:rsidR="002F436E" w:rsidRPr="00D67C1A">
        <w:rPr>
          <w:rFonts w:ascii="Arial" w:eastAsia="Times New Roman" w:hAnsi="Arial" w:cs="Arial"/>
          <w:sz w:val="22"/>
          <w:bdr w:val="none" w:sz="0" w:space="0" w:color="auto" w:frame="1"/>
          <w:lang w:val="es-ES_tradnl" w:eastAsia="es-CO"/>
        </w:rPr>
        <w:t>de 2020</w:t>
      </w:r>
      <w:r w:rsidR="00992278" w:rsidRPr="00D67C1A">
        <w:rPr>
          <w:rStyle w:val="Refdenotaalpie"/>
          <w:rFonts w:ascii="Arial" w:eastAsia="Calibri" w:hAnsi="Arial" w:cs="Arial"/>
        </w:rPr>
        <w:footnoteReference w:id="8"/>
      </w:r>
      <w:r w:rsidR="002F436E" w:rsidRPr="00D67C1A">
        <w:rPr>
          <w:rFonts w:ascii="Arial" w:eastAsia="Times New Roman" w:hAnsi="Arial" w:cs="Arial"/>
          <w:sz w:val="22"/>
          <w:bdr w:val="none" w:sz="0" w:space="0" w:color="auto" w:frame="1"/>
          <w:lang w:val="es-ES_tradnl" w:eastAsia="es-CO"/>
        </w:rPr>
        <w:t>.</w:t>
      </w:r>
    </w:p>
    <w:p w14:paraId="6D49F4E3" w14:textId="5B83FB65" w:rsidR="008B7E23" w:rsidRPr="00D67C1A" w:rsidRDefault="008B7E23" w:rsidP="00767D99">
      <w:pPr>
        <w:spacing w:after="120" w:line="276" w:lineRule="auto"/>
        <w:ind w:firstLine="709"/>
        <w:jc w:val="both"/>
        <w:rPr>
          <w:rFonts w:ascii="Arial" w:eastAsia="Times New Roman" w:hAnsi="Arial" w:cs="Arial"/>
          <w:sz w:val="22"/>
          <w:bdr w:val="none" w:sz="0" w:space="0" w:color="auto" w:frame="1"/>
          <w:lang w:val="es-ES_tradnl" w:eastAsia="es-CO"/>
        </w:rPr>
      </w:pPr>
      <w:r w:rsidRPr="00D67C1A">
        <w:rPr>
          <w:rFonts w:ascii="Arial" w:eastAsia="Times New Roman" w:hAnsi="Arial" w:cs="Arial"/>
          <w:sz w:val="22"/>
          <w:bdr w:val="none" w:sz="0" w:space="0" w:color="auto" w:frame="1"/>
          <w:lang w:val="es-ES_tradnl" w:eastAsia="es-CO"/>
        </w:rPr>
        <w:t>Además, tenie</w:t>
      </w:r>
      <w:r w:rsidR="00523A3E" w:rsidRPr="00D67C1A">
        <w:rPr>
          <w:rFonts w:ascii="Arial" w:eastAsia="Times New Roman" w:hAnsi="Arial" w:cs="Arial"/>
          <w:sz w:val="22"/>
          <w:bdr w:val="none" w:sz="0" w:space="0" w:color="auto" w:frame="1"/>
          <w:lang w:val="es-ES_tradnl" w:eastAsia="es-CO"/>
        </w:rPr>
        <w:t>ndo en cuenta que el Gobierno n</w:t>
      </w:r>
      <w:r w:rsidRPr="00D67C1A">
        <w:rPr>
          <w:rFonts w:ascii="Arial" w:eastAsia="Times New Roman" w:hAnsi="Arial" w:cs="Arial"/>
          <w:sz w:val="22"/>
          <w:bdr w:val="none" w:sz="0" w:space="0" w:color="auto" w:frame="1"/>
          <w:lang w:val="es-ES_tradnl" w:eastAsia="es-CO"/>
        </w:rPr>
        <w:t xml:space="preserve">acional expidió el Decreto 680 del 22 de junio de 2021 «Por el cual se modifica parcialmente el artículo 2.2.1.1.1.3.1. y se adiciona el artículo 2.2.1.2.4.2.9. al Decreto 1082 de 2015, Único Reglamentario del Sector </w:t>
      </w:r>
      <w:r w:rsidRPr="00D67C1A">
        <w:rPr>
          <w:rFonts w:ascii="Arial" w:eastAsia="Times New Roman" w:hAnsi="Arial" w:cs="Arial"/>
          <w:sz w:val="22"/>
          <w:bdr w:val="none" w:sz="0" w:space="0" w:color="auto" w:frame="1"/>
          <w:lang w:val="es-ES_tradnl" w:eastAsia="es-CO"/>
        </w:rPr>
        <w:lastRenderedPageBreak/>
        <w:t xml:space="preserve">Administrativo de Planeación Nacional, en relación con la regla de origen de servicios en el Sistema de Compra Pública», esta Agencia expidió la Resolución 304 del 13 de octubre de 2021, mediante el cual se modifican los documentos tipo indicados. Esta modificación aplica a los procesos de contratación cuyo aviso de convocatoria se publique a partir del 2 de noviembre de 2021. </w:t>
      </w:r>
    </w:p>
    <w:p w14:paraId="715028AE" w14:textId="747508F1" w:rsidR="008E4B4C" w:rsidRPr="00D67C1A" w:rsidRDefault="00C52026" w:rsidP="00767D99">
      <w:pPr>
        <w:spacing w:after="120" w:line="276" w:lineRule="auto"/>
        <w:ind w:firstLine="709"/>
        <w:jc w:val="both"/>
        <w:rPr>
          <w:rFonts w:ascii="Arial" w:eastAsia="Times New Roman" w:hAnsi="Arial" w:cs="Arial"/>
          <w:sz w:val="22"/>
          <w:bdr w:val="none" w:sz="0" w:space="0" w:color="auto" w:frame="1"/>
          <w:lang w:val="es-ES_tradnl" w:eastAsia="es-CO"/>
        </w:rPr>
      </w:pPr>
      <w:r w:rsidRPr="00D67C1A">
        <w:rPr>
          <w:rFonts w:ascii="Arial" w:hAnsi="Arial" w:cs="Arial"/>
          <w:color w:val="000000" w:themeColor="text1"/>
          <w:spacing w:val="2"/>
          <w:sz w:val="22"/>
          <w:lang w:eastAsia="es-CO"/>
        </w:rPr>
        <w:t>Finalmente, teniendo en cuenta la expedición del Decreto 1860 del 24 de diciembre de 2021, que modificó el Decreto 1082 de 2015 y reglamentó los artículos 30, 31, 32, 34 y 35 de la Ley 2069 de 2020, la Agencia modificó los diferentes documentos tipo que había expedido hasta ese momento, con la finalidad de hacerlos compatibles con la nueva regulación, por lo que se expidió la Resolución 275 del 24 de junio de 2022, «Por la cual se modifican los documentos tipo adoptados por la Agencia Nacional de Contratación Pública – Colombia Compra Eficiente». No obstante, esta última modificación aplicará a los procesos cuyo aviso de convocatoria se publique a partir del 29 de agosto de 2022. En tal sentido, teniendo en cuenta que esta última modificación no está produciendo efectos en la actualidad, las consideraciones se realizarán teniendo en cuenta el contenido de los documentos vigentes.</w:t>
      </w:r>
    </w:p>
    <w:p w14:paraId="494487A0" w14:textId="502BB278" w:rsidR="008B7E23" w:rsidRPr="00D67C1A" w:rsidRDefault="008B7E23" w:rsidP="00767D99">
      <w:pPr>
        <w:spacing w:line="276" w:lineRule="auto"/>
        <w:ind w:firstLine="709"/>
        <w:jc w:val="both"/>
        <w:rPr>
          <w:rFonts w:ascii="Arial" w:eastAsia="Calibri" w:hAnsi="Arial" w:cs="Arial"/>
          <w:sz w:val="22"/>
          <w:lang w:val="es-ES_tradnl"/>
        </w:rPr>
      </w:pPr>
      <w:r w:rsidRPr="00D67C1A">
        <w:rPr>
          <w:rFonts w:ascii="Arial" w:eastAsia="Calibri" w:hAnsi="Arial" w:cs="Arial"/>
          <w:sz w:val="22"/>
          <w:lang w:val="es-ES_tradnl" w:eastAsia="es-ES"/>
        </w:rPr>
        <w:t>Cabe aclarar que la Agencia Nacional de Contratación Pública sigue avanzando en la expedición de nuevos documentos tipo. Sin embargo, debe tenerse en cuenta que estos exigen un minucioso desarrollo</w:t>
      </w:r>
      <w:r w:rsidR="00395A3E" w:rsidRPr="00D67C1A">
        <w:rPr>
          <w:rFonts w:ascii="Arial" w:eastAsia="Calibri" w:hAnsi="Arial" w:cs="Arial"/>
          <w:sz w:val="22"/>
          <w:lang w:val="es-ES_tradnl" w:eastAsia="es-ES"/>
        </w:rPr>
        <w:t>,</w:t>
      </w:r>
      <w:r w:rsidRPr="00D67C1A">
        <w:rPr>
          <w:rFonts w:ascii="Arial" w:eastAsia="Calibri" w:hAnsi="Arial" w:cs="Arial"/>
          <w:sz w:val="22"/>
          <w:lang w:val="es-ES_tradnl" w:eastAsia="es-ES"/>
        </w:rPr>
        <w:t xml:space="preserve"> en el cual se consideran las observaciones de las entidades técnicas y especializadas, con la finalidad de expedir documentos tipo que contengan las mejores prácticas contractuales y que procuren el adecuado desarrollo de los principios que rigen la contratación pública.</w:t>
      </w:r>
    </w:p>
    <w:p w14:paraId="148F36D2" w14:textId="6627C365" w:rsidR="0069660F" w:rsidRPr="00D67C1A" w:rsidRDefault="0069660F" w:rsidP="00767D99">
      <w:pPr>
        <w:spacing w:line="276" w:lineRule="auto"/>
        <w:jc w:val="both"/>
        <w:rPr>
          <w:rFonts w:ascii="Arial" w:hAnsi="Arial" w:cs="Arial"/>
          <w:sz w:val="22"/>
          <w:bdr w:val="none" w:sz="0" w:space="0" w:color="auto" w:frame="1"/>
          <w:lang w:eastAsia="es-CO"/>
        </w:rPr>
      </w:pPr>
    </w:p>
    <w:p w14:paraId="25E4C2B0" w14:textId="42EC11EB" w:rsidR="00003409" w:rsidRPr="00D67C1A" w:rsidRDefault="008A4852" w:rsidP="00767D99">
      <w:pPr>
        <w:pStyle w:val="Normal11pt"/>
        <w:spacing w:line="276" w:lineRule="auto"/>
        <w:ind w:left="0"/>
        <w:rPr>
          <w:b/>
          <w:bCs/>
          <w:lang w:eastAsia="es-CO"/>
        </w:rPr>
      </w:pPr>
      <w:r w:rsidRPr="00D67C1A">
        <w:rPr>
          <w:b/>
          <w:bCs/>
          <w:color w:val="auto"/>
          <w:bdr w:val="none" w:sz="0" w:space="0" w:color="auto" w:frame="1"/>
          <w:lang w:eastAsia="es-CO"/>
        </w:rPr>
        <w:t>2.2.</w:t>
      </w:r>
      <w:r w:rsidR="00003409" w:rsidRPr="00D67C1A">
        <w:rPr>
          <w:b/>
          <w:bCs/>
          <w:lang w:eastAsia="es-CO"/>
        </w:rPr>
        <w:t xml:space="preserve"> </w:t>
      </w:r>
      <w:r w:rsidR="005B6435" w:rsidRPr="00D67C1A">
        <w:rPr>
          <w:b/>
          <w:bCs/>
          <w:lang w:eastAsia="es-CO"/>
        </w:rPr>
        <w:t>R</w:t>
      </w:r>
      <w:r w:rsidR="00003409" w:rsidRPr="00D67C1A">
        <w:rPr>
          <w:b/>
          <w:bCs/>
          <w:lang w:eastAsia="es-CO"/>
        </w:rPr>
        <w:t xml:space="preserve">egla de inalterabilidad de los documentos tipo y sus excepciones </w:t>
      </w:r>
    </w:p>
    <w:p w14:paraId="4FB5937E" w14:textId="77777777" w:rsidR="00E0224A" w:rsidRPr="00D67C1A" w:rsidRDefault="00E0224A" w:rsidP="00767D99">
      <w:pPr>
        <w:spacing w:line="276" w:lineRule="auto"/>
        <w:jc w:val="both"/>
        <w:rPr>
          <w:rFonts w:ascii="Arial" w:eastAsia="Calibri" w:hAnsi="Arial" w:cs="Arial"/>
          <w:sz w:val="22"/>
          <w:lang w:val="es-ES_tradnl"/>
        </w:rPr>
      </w:pPr>
    </w:p>
    <w:p w14:paraId="72DCB9E2" w14:textId="66D68B94" w:rsidR="00003409" w:rsidRPr="00D67C1A" w:rsidRDefault="00003409" w:rsidP="00767D99">
      <w:pPr>
        <w:spacing w:after="120" w:line="276" w:lineRule="auto"/>
        <w:jc w:val="both"/>
        <w:rPr>
          <w:rFonts w:ascii="Arial" w:eastAsia="Calibri" w:hAnsi="Arial" w:cs="Arial"/>
          <w:sz w:val="22"/>
          <w:lang w:val="es-ES_tradnl"/>
        </w:rPr>
      </w:pPr>
      <w:r w:rsidRPr="00D67C1A">
        <w:rPr>
          <w:rFonts w:ascii="Arial" w:eastAsia="Calibri" w:hAnsi="Arial" w:cs="Arial"/>
          <w:sz w:val="22"/>
          <w:lang w:val="es-ES_tradnl"/>
        </w:rPr>
        <w:t>Todas las resoluciones</w:t>
      </w:r>
      <w:r w:rsidRPr="00D67C1A">
        <w:rPr>
          <w:rFonts w:ascii="Arial" w:eastAsia="Calibri" w:hAnsi="Arial" w:cs="Arial"/>
          <w:sz w:val="22"/>
          <w:vertAlign w:val="superscript"/>
          <w:lang w:val="es-ES_tradnl"/>
        </w:rPr>
        <w:footnoteReference w:id="9"/>
      </w:r>
      <w:r w:rsidRPr="00D67C1A">
        <w:rPr>
          <w:rFonts w:ascii="Arial" w:eastAsia="Calibri" w:hAnsi="Arial" w:cs="Arial"/>
          <w:sz w:val="22"/>
          <w:lang w:val="es-ES_tradnl"/>
        </w:rPr>
        <w:t xml:space="preserve"> expedidas por la Agencia Nacional de Contratación Pública – Colombia Compra Eficiente, mediante las cuales se han adoptado los documentos tipo, consagran la regla de la inalterabilidad. Esta prohibición consiste en que las entidades estatales no pueden incluir o modificar en los </w:t>
      </w:r>
      <w:r w:rsidRPr="00D67C1A">
        <w:rPr>
          <w:rFonts w:ascii="Arial" w:eastAsia="Calibri" w:hAnsi="Arial" w:cs="Arial"/>
          <w:i/>
          <w:iCs/>
          <w:sz w:val="22"/>
          <w:lang w:val="es-ES_tradnl"/>
        </w:rPr>
        <w:t>Documentos del Proceso</w:t>
      </w:r>
      <w:r w:rsidRPr="00D67C1A">
        <w:rPr>
          <w:rFonts w:ascii="Arial" w:eastAsia="Calibri" w:hAnsi="Arial" w:cs="Arial"/>
          <w:sz w:val="22"/>
          <w:lang w:val="es-ES_tradnl"/>
        </w:rPr>
        <w:t xml:space="preserve"> las condiciones habilitantes, los factores técnicos y económicos de escogencia y los sistemas de ponderación distintos a los señalados en los documentos tipo. En consecuencia, las condiciones establecidas en los documentos tipo son de obligatorio cumplimiento para las entidades sometidas al Estatuto General de Contratación de la Administración Pública que adelanten procesos que deban regirse por su contenido, y no pueden variarse los requisitos </w:t>
      </w:r>
      <w:r w:rsidRPr="00D67C1A">
        <w:rPr>
          <w:rFonts w:ascii="Arial" w:eastAsia="Calibri" w:hAnsi="Arial" w:cs="Arial"/>
          <w:sz w:val="22"/>
          <w:lang w:val="es-ES_tradnl"/>
        </w:rPr>
        <w:lastRenderedPageBreak/>
        <w:t>fijados en ellos. Por lo tanto, las entidades estatales, al realizar sus procedimientos de selección, solo podrán modificarlos en los aspectos en que los documentos tipo lo permitan.</w:t>
      </w:r>
    </w:p>
    <w:p w14:paraId="5B4B5EE8" w14:textId="33806EBE" w:rsidR="00F60DF8" w:rsidRPr="00D67C1A" w:rsidRDefault="00003409" w:rsidP="00767D99">
      <w:pPr>
        <w:spacing w:after="120" w:line="276" w:lineRule="auto"/>
        <w:ind w:firstLine="709"/>
        <w:jc w:val="both"/>
        <w:rPr>
          <w:rFonts w:ascii="Arial" w:eastAsia="Calibri" w:hAnsi="Arial" w:cs="Arial"/>
          <w:sz w:val="22"/>
          <w:lang w:val="es-ES_tradnl"/>
        </w:rPr>
      </w:pPr>
      <w:r w:rsidRPr="00D67C1A">
        <w:rPr>
          <w:rFonts w:ascii="Arial" w:eastAsia="Calibri" w:hAnsi="Arial" w:cs="Arial"/>
          <w:sz w:val="22"/>
          <w:lang w:val="es-ES_tradnl"/>
        </w:rPr>
        <w:t>El fundamento legal vigente de la regla de la inalterabilidad está en el artículo 1 de la Ley 2022 de 2020, según el cual «[…] serán de obligatorio cumplimiento en la actividad contractual de todas las entidades sometidas al Estatuto General de Contratación de la Administración Pública». Pero eso no significa que antes no rigiera, pues así también lo disponía el artículo 4 de la Ley 1882 de 2018. Por vía reglamentaria, también quedó consignado en su momento el carácter inmodificable de los pliegos tipo en el artículo 1 de los Decretos 342 de 2019, Decreto 2096 de 2019 y 594 de 2020, que adicionaron, respectivamente, los artículos 2.2.1.2.6.1.4, 2.2.1.2.6.2.3 y 2.2.1.2.6.3.4 al Decreto 1082 de 2015.</w:t>
      </w:r>
      <w:r w:rsidR="00F60DF8" w:rsidRPr="00D67C1A">
        <w:rPr>
          <w:rFonts w:ascii="Arial" w:eastAsia="Calibri" w:hAnsi="Arial" w:cs="Arial"/>
          <w:sz w:val="22"/>
          <w:lang w:val="es-ES_tradnl"/>
        </w:rPr>
        <w:t xml:space="preserve"> En esta línea, las entidades públicas deberán sujetarse a las reglas establecidas en los documentos tipo, dispuestas en las diferentes resoluciones expedidas por la Agencia, por lo que no pueden hacer excepciones bajo una supuesta discrecionalidad a estas reglas que son obligatorias.  </w:t>
      </w:r>
    </w:p>
    <w:p w14:paraId="18D40512" w14:textId="61254411" w:rsidR="00003409" w:rsidRPr="00D67C1A" w:rsidRDefault="00F60DF8" w:rsidP="00767D99">
      <w:pPr>
        <w:spacing w:after="120" w:line="276" w:lineRule="auto"/>
        <w:ind w:firstLine="709"/>
        <w:jc w:val="both"/>
        <w:rPr>
          <w:rFonts w:ascii="Arial" w:eastAsia="Calibri" w:hAnsi="Arial" w:cs="Arial"/>
          <w:sz w:val="22"/>
          <w:lang w:val="es-ES_tradnl"/>
        </w:rPr>
      </w:pPr>
      <w:r w:rsidRPr="00D67C1A">
        <w:rPr>
          <w:rFonts w:ascii="Arial" w:eastAsia="Calibri" w:hAnsi="Arial" w:cs="Arial"/>
          <w:sz w:val="22"/>
          <w:lang w:val="es-ES_tradnl"/>
        </w:rPr>
        <w:t xml:space="preserve">La inalterabilidad de los documentos </w:t>
      </w:r>
      <w:r w:rsidR="00C0683D" w:rsidRPr="00D67C1A">
        <w:rPr>
          <w:rFonts w:ascii="Arial" w:eastAsia="Calibri" w:hAnsi="Arial" w:cs="Arial"/>
          <w:sz w:val="22"/>
          <w:lang w:val="es-ES_tradnl"/>
        </w:rPr>
        <w:t xml:space="preserve">tipo </w:t>
      </w:r>
      <w:r w:rsidRPr="00D67C1A">
        <w:rPr>
          <w:rFonts w:ascii="Arial" w:eastAsia="Calibri" w:hAnsi="Arial" w:cs="Arial"/>
          <w:sz w:val="22"/>
          <w:lang w:val="es-ES_tradnl"/>
        </w:rPr>
        <w:t>es una manifestación en mayor grado de las potestades regladas, lo cual implica una reducción de la discrecionalidad de la Administración en el momento de tomar una decisión en el proceso de contratación</w:t>
      </w:r>
      <w:r w:rsidRPr="00D67C1A">
        <w:rPr>
          <w:rStyle w:val="Refdenotaalpie"/>
          <w:rFonts w:ascii="Arial" w:eastAsia="Calibri" w:hAnsi="Arial" w:cs="Arial"/>
          <w:sz w:val="22"/>
          <w:lang w:val="es-ES_tradnl"/>
        </w:rPr>
        <w:footnoteReference w:id="10"/>
      </w:r>
      <w:r w:rsidRPr="00D67C1A">
        <w:rPr>
          <w:rFonts w:ascii="Arial" w:eastAsia="Calibri" w:hAnsi="Arial" w:cs="Arial"/>
          <w:sz w:val="22"/>
          <w:lang w:val="es-ES_tradnl"/>
        </w:rPr>
        <w:t>. Cada entidad pública sujeta a los documentos tipo deberá hacer una aplicación o constatación de las reglas y condiciones dispuestas en estos, salvo que las mismas posibilit</w:t>
      </w:r>
      <w:r w:rsidR="00786DDC" w:rsidRPr="00D67C1A">
        <w:rPr>
          <w:rFonts w:ascii="Arial" w:eastAsia="Calibri" w:hAnsi="Arial" w:cs="Arial"/>
          <w:sz w:val="22"/>
          <w:lang w:val="es-ES_tradnl"/>
        </w:rPr>
        <w:t>e</w:t>
      </w:r>
      <w:r w:rsidRPr="00D67C1A">
        <w:rPr>
          <w:rFonts w:ascii="Arial" w:eastAsia="Calibri" w:hAnsi="Arial" w:cs="Arial"/>
          <w:sz w:val="22"/>
          <w:lang w:val="es-ES_tradnl"/>
        </w:rPr>
        <w:t xml:space="preserve">n la discrecionalidad en determinados aspectos. </w:t>
      </w:r>
    </w:p>
    <w:p w14:paraId="18D341A8" w14:textId="176DFE9B" w:rsidR="00003409" w:rsidRPr="00D67C1A" w:rsidRDefault="00003409" w:rsidP="00767D99">
      <w:pPr>
        <w:spacing w:after="120" w:line="276" w:lineRule="auto"/>
        <w:ind w:firstLine="709"/>
        <w:jc w:val="both"/>
        <w:rPr>
          <w:rFonts w:ascii="Arial" w:eastAsia="Calibri" w:hAnsi="Arial" w:cs="Arial"/>
          <w:bCs/>
          <w:sz w:val="22"/>
          <w:lang w:val="es-ES_tradnl"/>
        </w:rPr>
      </w:pPr>
      <w:r w:rsidRPr="00D67C1A">
        <w:rPr>
          <w:rFonts w:ascii="Arial" w:eastAsia="Calibri" w:hAnsi="Arial" w:cs="Arial"/>
          <w:bCs/>
          <w:sz w:val="22"/>
          <w:lang w:val="es-ES_tradnl"/>
        </w:rPr>
        <w:t xml:space="preserve">Además, las entidades estatales deben garantizar el </w:t>
      </w:r>
      <w:r w:rsidRPr="00D67C1A">
        <w:rPr>
          <w:rFonts w:ascii="Arial" w:eastAsia="Calibri" w:hAnsi="Arial" w:cs="Arial"/>
          <w:bCs/>
          <w:i/>
          <w:iCs/>
          <w:sz w:val="22"/>
          <w:lang w:val="es-ES_tradnl"/>
        </w:rPr>
        <w:t>principio de economía</w:t>
      </w:r>
      <w:r w:rsidRPr="00D67C1A">
        <w:rPr>
          <w:rFonts w:ascii="Arial" w:eastAsia="Calibri" w:hAnsi="Arial" w:cs="Arial"/>
          <w:bCs/>
          <w:sz w:val="22"/>
          <w:lang w:val="es-ES_tradnl"/>
        </w:rPr>
        <w:t>, del cual se desprende que no pueden exigir documentos o requisitos más allá de los que permitan la Constitución, la ley y los reglamentos. Este postulado ha sido recogido no solo en la contratación estatal</w:t>
      </w:r>
      <w:r w:rsidRPr="00D67C1A">
        <w:rPr>
          <w:rFonts w:ascii="Arial" w:eastAsia="Calibri" w:hAnsi="Arial" w:cs="Arial"/>
          <w:bCs/>
          <w:sz w:val="22"/>
          <w:vertAlign w:val="superscript"/>
          <w:lang w:val="es-ES_tradnl"/>
        </w:rPr>
        <w:footnoteReference w:id="11"/>
      </w:r>
      <w:r w:rsidRPr="00D67C1A">
        <w:rPr>
          <w:rFonts w:ascii="Arial" w:eastAsia="Calibri" w:hAnsi="Arial" w:cs="Arial"/>
          <w:bCs/>
          <w:sz w:val="22"/>
          <w:lang w:val="es-ES_tradnl"/>
        </w:rPr>
        <w:t xml:space="preserve"> sino además en la normativa </w:t>
      </w:r>
      <w:proofErr w:type="spellStart"/>
      <w:r w:rsidRPr="00D67C1A">
        <w:rPr>
          <w:rFonts w:ascii="Arial" w:eastAsia="Calibri" w:hAnsi="Arial" w:cs="Arial"/>
          <w:bCs/>
          <w:sz w:val="22"/>
          <w:lang w:val="es-ES_tradnl"/>
        </w:rPr>
        <w:t>antitrámites</w:t>
      </w:r>
      <w:proofErr w:type="spellEnd"/>
      <w:r w:rsidRPr="00D67C1A">
        <w:rPr>
          <w:rFonts w:ascii="Arial" w:eastAsia="Calibri" w:hAnsi="Arial" w:cs="Arial"/>
          <w:bCs/>
          <w:sz w:val="22"/>
          <w:vertAlign w:val="superscript"/>
          <w:lang w:val="es-ES_tradnl"/>
        </w:rPr>
        <w:footnoteReference w:id="12"/>
      </w:r>
      <w:r w:rsidRPr="00D67C1A">
        <w:rPr>
          <w:rFonts w:ascii="Arial" w:eastAsia="Calibri" w:hAnsi="Arial" w:cs="Arial"/>
          <w:bCs/>
          <w:sz w:val="22"/>
          <w:lang w:val="es-ES_tradnl"/>
        </w:rPr>
        <w:t xml:space="preserve">; pues se inscribe dentro </w:t>
      </w:r>
      <w:r w:rsidRPr="00D67C1A">
        <w:rPr>
          <w:rFonts w:ascii="Arial" w:eastAsia="Calibri" w:hAnsi="Arial" w:cs="Arial"/>
          <w:bCs/>
          <w:sz w:val="22"/>
          <w:lang w:val="es-ES_tradnl"/>
        </w:rPr>
        <w:lastRenderedPageBreak/>
        <w:t>de la tendencia de simplificación y racionalización de los procedimientos administrativos. De ahí que cuando las autoridades solicitan la entrega de documentación innecesaria, desconocen el principio de economía.</w:t>
      </w:r>
    </w:p>
    <w:p w14:paraId="2568042A" w14:textId="77777777" w:rsidR="0081562A" w:rsidRPr="00D67C1A" w:rsidRDefault="0081562A" w:rsidP="00767D99">
      <w:pPr>
        <w:spacing w:after="120" w:line="276" w:lineRule="auto"/>
        <w:ind w:firstLine="709"/>
        <w:jc w:val="both"/>
        <w:rPr>
          <w:rFonts w:ascii="Arial" w:eastAsia="Calibri" w:hAnsi="Arial" w:cs="Arial"/>
          <w:bCs/>
          <w:sz w:val="22"/>
        </w:rPr>
      </w:pPr>
      <w:r w:rsidRPr="00D67C1A">
        <w:rPr>
          <w:rFonts w:ascii="Arial" w:eastAsia="Calibri" w:hAnsi="Arial" w:cs="Arial"/>
          <w:bCs/>
          <w:sz w:val="22"/>
        </w:rPr>
        <w:t xml:space="preserve">Esta regla de inalterabilidad también aplica a los formatos, formularios y anexos implementados junto con el «Documento Base», los cuales deben usarse en el procedimiento de contratación. Estos, al igual que el «Documento Base», contienen apartes entre corchetes y resaltados en gris, los cuales deben ser diligenciados por la entidad, al igual que otros aspectos relativos a información que debe ser completada por los oferentes al hacer uso del formato. </w:t>
      </w:r>
    </w:p>
    <w:p w14:paraId="7B8A93C2" w14:textId="5973F499" w:rsidR="00003409" w:rsidRPr="00D67C1A" w:rsidRDefault="00003409" w:rsidP="00767D99">
      <w:pPr>
        <w:spacing w:after="120" w:line="276" w:lineRule="auto"/>
        <w:ind w:firstLine="709"/>
        <w:jc w:val="both"/>
        <w:rPr>
          <w:rFonts w:ascii="Arial" w:eastAsia="Calibri" w:hAnsi="Arial" w:cs="Arial"/>
          <w:sz w:val="22"/>
        </w:rPr>
      </w:pPr>
      <w:r w:rsidRPr="00D67C1A">
        <w:rPr>
          <w:rFonts w:ascii="Arial" w:eastAsia="Calibri" w:hAnsi="Arial" w:cs="Arial"/>
          <w:sz w:val="22"/>
        </w:rPr>
        <w:t xml:space="preserve">Adicionalmente, la parte introductoria de los documentos base de los documentos tipo disponen que los aspectos incluidos en corchetes y resaltados en gris deben ser diligenciados por la entidad. Excepcionalmente le corresponde al proponente consignar la información incluida en corchetes y resaltada en gris, como, por ejemplo, los formatos que requieren de la firma del proponente o su representante legal. De todos modos, en cada acápite que esté resaltado en gris la entidad tendrá la libertad de determinar la información que se diligenciará en los documentos tipo, de acuerdo con su necesidad y las instrucciones de los mismos documentos tipo. </w:t>
      </w:r>
    </w:p>
    <w:p w14:paraId="6881180F" w14:textId="6AB66643" w:rsidR="0081562A" w:rsidRPr="00D67C1A" w:rsidRDefault="00003409" w:rsidP="00767D99">
      <w:pPr>
        <w:spacing w:line="276" w:lineRule="auto"/>
        <w:ind w:firstLine="709"/>
        <w:jc w:val="both"/>
        <w:rPr>
          <w:rFonts w:ascii="Arial" w:eastAsia="Calibri" w:hAnsi="Arial" w:cs="Arial"/>
          <w:bCs/>
          <w:sz w:val="22"/>
        </w:rPr>
      </w:pPr>
      <w:r w:rsidRPr="00D67C1A">
        <w:rPr>
          <w:rFonts w:ascii="Arial" w:eastAsia="Calibri" w:hAnsi="Arial" w:cs="Arial"/>
          <w:bCs/>
          <w:sz w:val="22"/>
        </w:rPr>
        <w:t>En suma, la regla general frente la aplicación de los documentos tipo</w:t>
      </w:r>
      <w:r w:rsidR="00EC171C" w:rsidRPr="00D67C1A">
        <w:rPr>
          <w:rFonts w:ascii="Arial" w:eastAsia="Calibri" w:hAnsi="Arial" w:cs="Arial"/>
          <w:bCs/>
          <w:sz w:val="22"/>
        </w:rPr>
        <w:t xml:space="preserve"> es su inalterabilidad, y no </w:t>
      </w:r>
      <w:r w:rsidRPr="00D67C1A">
        <w:rPr>
          <w:rFonts w:ascii="Arial" w:eastAsia="Calibri" w:hAnsi="Arial" w:cs="Arial"/>
          <w:bCs/>
          <w:sz w:val="22"/>
        </w:rPr>
        <w:t>podrán incluir</w:t>
      </w:r>
      <w:r w:rsidR="00EC171C" w:rsidRPr="00D67C1A">
        <w:rPr>
          <w:rFonts w:ascii="Arial" w:eastAsia="Calibri" w:hAnsi="Arial" w:cs="Arial"/>
          <w:bCs/>
          <w:sz w:val="22"/>
        </w:rPr>
        <w:t>se</w:t>
      </w:r>
      <w:r w:rsidRPr="00D67C1A">
        <w:rPr>
          <w:rFonts w:ascii="Arial" w:eastAsia="Calibri" w:hAnsi="Arial" w:cs="Arial"/>
          <w:bCs/>
          <w:sz w:val="22"/>
        </w:rPr>
        <w:t xml:space="preserve"> o modificar</w:t>
      </w:r>
      <w:r w:rsidR="00EC171C" w:rsidRPr="00D67C1A">
        <w:rPr>
          <w:rFonts w:ascii="Arial" w:eastAsia="Calibri" w:hAnsi="Arial" w:cs="Arial"/>
          <w:bCs/>
          <w:sz w:val="22"/>
        </w:rPr>
        <w:t>se</w:t>
      </w:r>
      <w:r w:rsidRPr="00D67C1A">
        <w:rPr>
          <w:rFonts w:ascii="Arial" w:eastAsia="Calibri" w:hAnsi="Arial" w:cs="Arial"/>
          <w:bCs/>
          <w:sz w:val="22"/>
        </w:rPr>
        <w:t xml:space="preserve"> en los documentos del proceso las condiciones habilitantes, los factores técnicos y económicos de escogencia y los sistemas de ponderación distintos a los señalados en los documentos tipo. En tal sentido, solo se podrán modificar aquellos contenidos que </w:t>
      </w:r>
      <w:r w:rsidR="00050E8C" w:rsidRPr="00D67C1A">
        <w:rPr>
          <w:rFonts w:ascii="Arial" w:eastAsia="Calibri" w:hAnsi="Arial" w:cs="Arial"/>
          <w:bCs/>
          <w:sz w:val="22"/>
        </w:rPr>
        <w:t xml:space="preserve">el mismo documento tipo permita, como ocurre, por ejemplo, con el «Formulario 1 – Formulario de Presupuesto Oficial», el cual permite </w:t>
      </w:r>
      <w:proofErr w:type="gramStart"/>
      <w:r w:rsidR="00050E8C" w:rsidRPr="00D67C1A">
        <w:rPr>
          <w:rFonts w:ascii="Arial" w:eastAsia="Calibri" w:hAnsi="Arial" w:cs="Arial"/>
          <w:bCs/>
          <w:sz w:val="22"/>
        </w:rPr>
        <w:t>que</w:t>
      </w:r>
      <w:proofErr w:type="gramEnd"/>
      <w:r w:rsidR="00050E8C" w:rsidRPr="00D67C1A">
        <w:rPr>
          <w:rFonts w:ascii="Arial" w:eastAsia="Calibri" w:hAnsi="Arial" w:cs="Arial"/>
          <w:bCs/>
          <w:sz w:val="22"/>
        </w:rPr>
        <w:t xml:space="preserve"> para efectos de la presentación de la propuesta económica, la entidad estatal pueda modificar el formulario o </w:t>
      </w:r>
      <w:r w:rsidR="0081562A" w:rsidRPr="00D67C1A">
        <w:rPr>
          <w:rFonts w:ascii="Arial" w:eastAsia="Calibri" w:hAnsi="Arial" w:cs="Arial"/>
          <w:bCs/>
          <w:sz w:val="22"/>
        </w:rPr>
        <w:t xml:space="preserve">exigir otro diferente. Respecto de este formulario, la Agencia Nacional de Contratación Pública - Colombia Compra Eficiente, en el concepto C-113 del 22 de marzo de </w:t>
      </w:r>
      <w:proofErr w:type="gramStart"/>
      <w:r w:rsidR="0081562A" w:rsidRPr="00D67C1A">
        <w:rPr>
          <w:rFonts w:ascii="Arial" w:eastAsia="Calibri" w:hAnsi="Arial" w:cs="Arial"/>
          <w:bCs/>
          <w:sz w:val="22"/>
        </w:rPr>
        <w:t xml:space="preserve">2022, </w:t>
      </w:r>
      <w:r w:rsidR="009B6E85" w:rsidRPr="00D67C1A">
        <w:rPr>
          <w:rFonts w:ascii="Arial" w:eastAsia="Calibri" w:hAnsi="Arial" w:cs="Arial"/>
          <w:bCs/>
          <w:sz w:val="22"/>
        </w:rPr>
        <w:t xml:space="preserve"> manifestó</w:t>
      </w:r>
      <w:proofErr w:type="gramEnd"/>
      <w:r w:rsidR="0081562A" w:rsidRPr="00D67C1A">
        <w:rPr>
          <w:rFonts w:ascii="Arial" w:eastAsia="Calibri" w:hAnsi="Arial" w:cs="Arial"/>
          <w:bCs/>
          <w:sz w:val="22"/>
        </w:rPr>
        <w:t xml:space="preserve"> lo siguiente:</w:t>
      </w:r>
    </w:p>
    <w:p w14:paraId="7B57E792" w14:textId="77777777" w:rsidR="00767D99" w:rsidRPr="00D67C1A" w:rsidRDefault="00767D99" w:rsidP="00767D99">
      <w:pPr>
        <w:tabs>
          <w:tab w:val="left" w:pos="709"/>
        </w:tabs>
        <w:ind w:left="709" w:right="709"/>
        <w:jc w:val="both"/>
        <w:rPr>
          <w:rFonts w:ascii="Arial" w:eastAsia="Calibri" w:hAnsi="Arial" w:cs="Arial"/>
          <w:sz w:val="21"/>
          <w:szCs w:val="21"/>
        </w:rPr>
      </w:pPr>
    </w:p>
    <w:p w14:paraId="5A0E1FC6" w14:textId="6FBB0B3A" w:rsidR="009B6E85" w:rsidRPr="00D67C1A" w:rsidRDefault="00CC2A26" w:rsidP="00767D99">
      <w:pPr>
        <w:tabs>
          <w:tab w:val="left" w:pos="709"/>
        </w:tabs>
        <w:ind w:left="709" w:right="709"/>
        <w:jc w:val="both"/>
        <w:rPr>
          <w:iCs/>
          <w:sz w:val="21"/>
          <w:szCs w:val="21"/>
          <w:lang w:eastAsia="es-ES" w:bidi="es-ES"/>
        </w:rPr>
      </w:pPr>
      <w:r w:rsidRPr="00D67C1A">
        <w:rPr>
          <w:rFonts w:ascii="Arial" w:hAnsi="Arial" w:cs="Arial"/>
          <w:color w:val="000000" w:themeColor="text1"/>
          <w:sz w:val="21"/>
          <w:szCs w:val="21"/>
          <w:lang w:val="es-ES_tradnl"/>
        </w:rPr>
        <w:t>«</w:t>
      </w:r>
      <w:r w:rsidR="009B6E85" w:rsidRPr="00D67C1A">
        <w:rPr>
          <w:rFonts w:ascii="Arial" w:hAnsi="Arial" w:cs="Arial"/>
          <w:sz w:val="21"/>
          <w:szCs w:val="21"/>
        </w:rPr>
        <w:t>[…]</w:t>
      </w:r>
    </w:p>
    <w:p w14:paraId="49850EF6" w14:textId="77777777" w:rsidR="00767D99" w:rsidRPr="00D67C1A" w:rsidRDefault="00050E8C" w:rsidP="00767D99">
      <w:pPr>
        <w:tabs>
          <w:tab w:val="left" w:pos="709"/>
        </w:tabs>
        <w:ind w:left="709" w:right="709"/>
        <w:jc w:val="both"/>
        <w:rPr>
          <w:rFonts w:ascii="Arial" w:hAnsi="Arial" w:cs="Arial"/>
          <w:color w:val="000000"/>
          <w:sz w:val="21"/>
          <w:szCs w:val="21"/>
          <w:lang w:val="es-ES_tradnl"/>
        </w:rPr>
      </w:pPr>
      <w:r w:rsidRPr="00D67C1A">
        <w:rPr>
          <w:rFonts w:ascii="Arial" w:eastAsia="Arial" w:hAnsi="Arial" w:cs="Arial"/>
          <w:sz w:val="21"/>
          <w:szCs w:val="21"/>
          <w:lang w:val="es-CO" w:eastAsia="es-ES" w:bidi="es-ES"/>
        </w:rPr>
        <w:t xml:space="preserve">De otra parte, </w:t>
      </w:r>
      <w:r w:rsidRPr="00D67C1A">
        <w:rPr>
          <w:rFonts w:ascii="Arial" w:eastAsia="Arial" w:hAnsi="Arial" w:cs="Arial"/>
          <w:sz w:val="21"/>
          <w:szCs w:val="21"/>
          <w:lang w:val="es-ES" w:eastAsia="es-ES" w:bidi="es-ES"/>
        </w:rPr>
        <w:t>el «Formulario 1</w:t>
      </w:r>
      <w:r w:rsidRPr="00D67C1A">
        <w:rPr>
          <w:rFonts w:ascii="Arial" w:hAnsi="Arial" w:cs="Arial"/>
          <w:sz w:val="21"/>
          <w:szCs w:val="21"/>
          <w:lang w:val="es-ES" w:eastAsia="es-ES" w:bidi="es-ES"/>
        </w:rPr>
        <w:t>» en su segunda pestaña en Excel, titulada «Formulario 1 propuesta económica»</w:t>
      </w:r>
      <w:r w:rsidRPr="00D67C1A">
        <w:rPr>
          <w:rFonts w:ascii="Arial" w:eastAsia="Arial" w:hAnsi="Arial" w:cs="Arial"/>
          <w:sz w:val="21"/>
          <w:szCs w:val="21"/>
          <w:lang w:val="es-ES" w:eastAsia="es-ES" w:bidi="es-ES"/>
        </w:rPr>
        <w:t xml:space="preserve"> señala en la parte superior derecha: «[La entidad puede utilizar este formulario de presentación de propuesta económica </w:t>
      </w:r>
      <w:r w:rsidRPr="00D67C1A">
        <w:rPr>
          <w:rFonts w:ascii="Arial" w:eastAsia="Arial" w:hAnsi="Arial" w:cs="Arial"/>
          <w:sz w:val="21"/>
          <w:szCs w:val="21"/>
          <w:lang w:val="es-ES" w:eastAsia="es-ES" w:bidi="es-ES"/>
        </w:rPr>
        <w:lastRenderedPageBreak/>
        <w:t xml:space="preserve">de forma detallada, sin perjuicio que la entidad pueda modificarlo o establecer la presentación de la oferta económica con un formulario distinto al indicado.]». </w:t>
      </w:r>
      <w:r w:rsidRPr="00D67C1A">
        <w:rPr>
          <w:rFonts w:ascii="Arial" w:hAnsi="Arial" w:cs="Arial"/>
          <w:color w:val="000000"/>
          <w:sz w:val="21"/>
          <w:szCs w:val="21"/>
          <w:lang w:val="es-ES_tradnl"/>
        </w:rPr>
        <w:t xml:space="preserve">Igualmente, se indica que los proponentes emplearán el formulario establecido por la entidad para determinar su propuesta económica conforme al Formulario </w:t>
      </w:r>
    </w:p>
    <w:p w14:paraId="0F241E73" w14:textId="0D33E053" w:rsidR="00050E8C" w:rsidRPr="00D67C1A" w:rsidRDefault="00050E8C" w:rsidP="00767D99">
      <w:pPr>
        <w:tabs>
          <w:tab w:val="left" w:pos="709"/>
        </w:tabs>
        <w:ind w:left="709" w:right="709"/>
        <w:jc w:val="both"/>
        <w:rPr>
          <w:rFonts w:ascii="Arial" w:eastAsia="Arial" w:hAnsi="Arial" w:cs="Arial"/>
          <w:bCs/>
          <w:sz w:val="21"/>
          <w:szCs w:val="21"/>
          <w:lang w:val="es-ES"/>
        </w:rPr>
      </w:pPr>
      <w:r w:rsidRPr="00D67C1A">
        <w:rPr>
          <w:rFonts w:ascii="Arial" w:hAnsi="Arial" w:cs="Arial"/>
          <w:color w:val="000000"/>
          <w:sz w:val="21"/>
          <w:szCs w:val="21"/>
          <w:lang w:val="es-ES_tradnl"/>
        </w:rPr>
        <w:t>1 - Presupuesto Oficial publicado por la Entidad. Esto</w:t>
      </w:r>
      <w:r w:rsidRPr="00D67C1A">
        <w:rPr>
          <w:rFonts w:ascii="Arial" w:hAnsi="Arial" w:cs="Arial"/>
          <w:sz w:val="21"/>
          <w:szCs w:val="21"/>
          <w:lang w:val="es-ES_tradnl"/>
        </w:rPr>
        <w:t xml:space="preserve"> significa </w:t>
      </w:r>
      <w:r w:rsidRPr="00D67C1A">
        <w:rPr>
          <w:rFonts w:ascii="Arial" w:hAnsi="Arial" w:cs="Arial"/>
          <w:sz w:val="21"/>
          <w:szCs w:val="21"/>
          <w:lang w:val="es-ES"/>
        </w:rPr>
        <w:t>que las entidades pueden diseñar un formulario para que los proponentes presenten su oferta económica, sin que sea obligatorio sujetarse al formulario que los documentos tipo proponen para el efecto.</w:t>
      </w:r>
      <w:r w:rsidRPr="00D67C1A">
        <w:rPr>
          <w:rFonts w:ascii="Arial" w:eastAsia="Arial" w:hAnsi="Arial" w:cs="Arial"/>
          <w:bCs/>
          <w:sz w:val="21"/>
          <w:szCs w:val="21"/>
          <w:lang w:val="es-ES"/>
        </w:rPr>
        <w:t xml:space="preserve"> En todo caso, el proponente deberá emplear el formulario que establezca la entidad.</w:t>
      </w:r>
      <w:r w:rsidR="00CC2A26" w:rsidRPr="00D67C1A">
        <w:rPr>
          <w:rFonts w:ascii="Arial" w:hAnsi="Arial" w:cs="Arial"/>
          <w:color w:val="000000" w:themeColor="text1"/>
          <w:sz w:val="21"/>
          <w:szCs w:val="21"/>
          <w:lang w:val="es-ES_tradnl"/>
        </w:rPr>
        <w:t>»</w:t>
      </w:r>
      <w:r w:rsidRPr="00D67C1A">
        <w:rPr>
          <w:rFonts w:ascii="Arial" w:eastAsia="Arial" w:hAnsi="Arial" w:cs="Arial"/>
          <w:bCs/>
          <w:sz w:val="21"/>
          <w:szCs w:val="21"/>
          <w:lang w:val="es-ES"/>
        </w:rPr>
        <w:t xml:space="preserve"> </w:t>
      </w:r>
    </w:p>
    <w:p w14:paraId="77ABF978" w14:textId="77777777" w:rsidR="009B6E85" w:rsidRPr="00D67C1A" w:rsidRDefault="009B6E85" w:rsidP="00767D99">
      <w:pPr>
        <w:tabs>
          <w:tab w:val="left" w:pos="709"/>
        </w:tabs>
        <w:ind w:left="709" w:right="709"/>
        <w:jc w:val="both"/>
        <w:rPr>
          <w:rFonts w:ascii="Arial" w:eastAsia="Arial" w:hAnsi="Arial" w:cs="Arial"/>
          <w:sz w:val="21"/>
          <w:szCs w:val="21"/>
          <w:lang w:val="es-ES" w:eastAsia="es-ES" w:bidi="es-ES"/>
        </w:rPr>
      </w:pPr>
    </w:p>
    <w:p w14:paraId="4FA12B3B" w14:textId="77777777" w:rsidR="00003409" w:rsidRPr="00D67C1A" w:rsidRDefault="00003409" w:rsidP="00767D99">
      <w:pPr>
        <w:spacing w:after="120" w:line="276" w:lineRule="auto"/>
        <w:ind w:firstLine="709"/>
        <w:jc w:val="both"/>
        <w:rPr>
          <w:rFonts w:ascii="Arial" w:eastAsia="Calibri" w:hAnsi="Arial" w:cs="Arial"/>
          <w:sz w:val="22"/>
        </w:rPr>
      </w:pPr>
      <w:r w:rsidRPr="00D67C1A">
        <w:rPr>
          <w:rFonts w:ascii="Arial" w:eastAsia="Calibri" w:hAnsi="Arial" w:cs="Arial"/>
          <w:sz w:val="22"/>
        </w:rPr>
        <w:t xml:space="preserve">Con todo, la regla de inalterabilidad de los documentos tipo debe armonizarse con principios de orden constitucional, especialmente con el de prevalencia del derecho sustancial, consagrado en el artículo 228 de la Constitución Política. La interpretación armónica de tales principios, a juicio de la Agencia Nacional de Contratación Pública, impide que la entidad que adelanta el proceso contractual le rinda culto a las «formas», pues, en últimas, el deber que le asiste es el de tener en cuenta y aplicar los aspectos sustanciales de los documentos tipo, sin distingo de la formalidad de la que se sirva para ello los actores de la contratación pública. </w:t>
      </w:r>
    </w:p>
    <w:p w14:paraId="4E3E1102" w14:textId="6FD85DA6" w:rsidR="00157CA4" w:rsidRPr="00D67C1A" w:rsidRDefault="00003409" w:rsidP="00767D99">
      <w:pPr>
        <w:spacing w:after="120" w:line="276" w:lineRule="auto"/>
        <w:ind w:firstLine="709"/>
        <w:jc w:val="both"/>
        <w:rPr>
          <w:rFonts w:ascii="Arial" w:eastAsia="Calibri" w:hAnsi="Arial" w:cs="Arial"/>
          <w:sz w:val="22"/>
        </w:rPr>
      </w:pPr>
      <w:r w:rsidRPr="00D67C1A">
        <w:rPr>
          <w:rFonts w:ascii="Arial" w:eastAsia="Calibri" w:hAnsi="Arial" w:cs="Arial"/>
          <w:sz w:val="22"/>
        </w:rPr>
        <w:t>El carácter inalterable de los documentos tipo no puede, entonces, hacerse extensivo a los aspectos meramente formales de tales documentos, esto es, el tamaño y tipo de letra, las márgenes o las expresiones que pretenden hacer más comprensible el documento, como es el caso de aquellas que informan que una expresión larga será referida con otra similar pero más corta. Lo anterior considerando que estos aspectos en nada afectan la aplicación y alcance de los documentos tipo, es decir, no afectan su contenido esencial y, mucho menos, las obligaciones, deberes y derechos que se derivan para las partes contratantes.</w:t>
      </w:r>
    </w:p>
    <w:p w14:paraId="3A8F09CF" w14:textId="77777777" w:rsidR="00767D99" w:rsidRPr="00D67C1A" w:rsidRDefault="00767D99" w:rsidP="00767D99">
      <w:pPr>
        <w:spacing w:line="276" w:lineRule="auto"/>
        <w:jc w:val="both"/>
        <w:rPr>
          <w:rFonts w:ascii="Arial" w:eastAsia="Calibri" w:hAnsi="Arial" w:cs="Arial"/>
          <w:b/>
          <w:bCs/>
          <w:color w:val="000000" w:themeColor="text1"/>
          <w:sz w:val="22"/>
          <w:lang w:val="es-ES_tradnl"/>
        </w:rPr>
      </w:pPr>
    </w:p>
    <w:p w14:paraId="7B91A45A" w14:textId="77777777" w:rsidR="00D921B5" w:rsidRPr="00D67C1A" w:rsidRDefault="003D5728" w:rsidP="00D921B5">
      <w:pPr>
        <w:spacing w:line="276" w:lineRule="auto"/>
        <w:jc w:val="both"/>
        <w:rPr>
          <w:rFonts w:ascii="Arial" w:eastAsia="Calibri" w:hAnsi="Arial" w:cs="Arial"/>
          <w:b/>
          <w:bCs/>
          <w:color w:val="000000"/>
          <w:sz w:val="22"/>
          <w:lang w:eastAsia="en-GB"/>
        </w:rPr>
      </w:pPr>
      <w:r w:rsidRPr="00D67C1A">
        <w:rPr>
          <w:rFonts w:ascii="Arial" w:eastAsia="Calibri" w:hAnsi="Arial" w:cs="Arial"/>
          <w:b/>
          <w:bCs/>
          <w:color w:val="000000" w:themeColor="text1"/>
          <w:sz w:val="22"/>
          <w:lang w:val="es-ES_tradnl"/>
        </w:rPr>
        <w:t xml:space="preserve">2.3. </w:t>
      </w:r>
      <w:r w:rsidR="00D921B5" w:rsidRPr="00D67C1A">
        <w:rPr>
          <w:rFonts w:ascii="Arial" w:eastAsia="Calibri" w:hAnsi="Arial" w:cs="Arial"/>
          <w:b/>
          <w:color w:val="000000"/>
          <w:sz w:val="22"/>
          <w:lang w:val="es-ES_tradnl"/>
        </w:rPr>
        <w:t>E</w:t>
      </w:r>
      <w:r w:rsidR="00D921B5" w:rsidRPr="00D67C1A">
        <w:rPr>
          <w:rFonts w:ascii="Arial" w:eastAsia="Calibri" w:hAnsi="Arial" w:cs="Arial"/>
          <w:b/>
          <w:sz w:val="22"/>
          <w:lang w:val="es-ES_tradnl"/>
        </w:rPr>
        <w:t xml:space="preserve">l </w:t>
      </w:r>
      <w:r w:rsidR="00D921B5" w:rsidRPr="00D67C1A">
        <w:rPr>
          <w:rFonts w:ascii="Arial" w:eastAsia="Calibri" w:hAnsi="Arial" w:cs="Arial"/>
          <w:b/>
          <w:sz w:val="22"/>
          <w:lang w:val="es-ES"/>
        </w:rPr>
        <w:t>«Formulario 1 – Formulario de Presupuesto Oficial</w:t>
      </w:r>
      <w:r w:rsidR="00D921B5" w:rsidRPr="00D67C1A">
        <w:rPr>
          <w:rFonts w:ascii="Arial" w:eastAsia="Calibri" w:hAnsi="Arial" w:cs="Arial"/>
          <w:sz w:val="22"/>
          <w:lang w:val="es-ES" w:eastAsia="es-ES" w:bidi="es-ES"/>
        </w:rPr>
        <w:t>»</w:t>
      </w:r>
      <w:r w:rsidR="00D921B5" w:rsidRPr="00D67C1A">
        <w:rPr>
          <w:rFonts w:ascii="Arial" w:eastAsia="Calibri" w:hAnsi="Arial" w:cs="Arial"/>
          <w:b/>
          <w:sz w:val="22"/>
          <w:lang w:val="es-ES_tradnl"/>
        </w:rPr>
        <w:t xml:space="preserve"> </w:t>
      </w:r>
    </w:p>
    <w:p w14:paraId="1D5AFE8B" w14:textId="77777777" w:rsidR="00D921B5" w:rsidRPr="00D67C1A" w:rsidRDefault="00D921B5" w:rsidP="00D921B5">
      <w:pPr>
        <w:spacing w:line="276" w:lineRule="auto"/>
        <w:jc w:val="both"/>
        <w:rPr>
          <w:rFonts w:ascii="Arial" w:eastAsia="Calibri" w:hAnsi="Arial" w:cs="Arial"/>
          <w:b/>
          <w:bCs/>
          <w:color w:val="000000"/>
          <w:sz w:val="22"/>
          <w:lang w:eastAsia="en-GB"/>
        </w:rPr>
      </w:pPr>
    </w:p>
    <w:p w14:paraId="46E3D910" w14:textId="7FE5BF63" w:rsidR="00D921B5" w:rsidRPr="00D67C1A" w:rsidRDefault="00D921B5" w:rsidP="00D921B5">
      <w:pPr>
        <w:widowControl w:val="0"/>
        <w:autoSpaceDE w:val="0"/>
        <w:autoSpaceDN w:val="0"/>
        <w:spacing w:after="120" w:line="276" w:lineRule="auto"/>
        <w:jc w:val="both"/>
        <w:rPr>
          <w:rFonts w:ascii="Arial" w:eastAsia="Arial" w:hAnsi="Arial" w:cs="Arial"/>
          <w:sz w:val="22"/>
          <w:lang w:eastAsia="es-ES" w:bidi="es-ES"/>
        </w:rPr>
      </w:pPr>
      <w:r w:rsidRPr="00D67C1A">
        <w:rPr>
          <w:rFonts w:ascii="Arial" w:eastAsia="Arial" w:hAnsi="Arial" w:cs="Arial"/>
          <w:sz w:val="22"/>
          <w:lang w:val="es-ES" w:eastAsia="es-ES" w:bidi="es-ES"/>
        </w:rPr>
        <w:t xml:space="preserve">Los documentos tipo para los procesos de licitación pública, menor cuantía y mínima cuantía de infraestructura de transporte, </w:t>
      </w:r>
      <w:r w:rsidRPr="00D67C1A">
        <w:rPr>
          <w:rFonts w:ascii="Arial" w:eastAsia="Calibri" w:hAnsi="Arial" w:cs="Arial"/>
          <w:sz w:val="22"/>
        </w:rPr>
        <w:t xml:space="preserve">contemplan el </w:t>
      </w:r>
      <w:r w:rsidRPr="00D67C1A">
        <w:rPr>
          <w:rFonts w:ascii="Arial" w:eastAsia="Arial" w:hAnsi="Arial" w:cs="Arial"/>
          <w:sz w:val="22"/>
          <w:lang w:val="es-ES" w:eastAsia="es-ES" w:bidi="es-ES"/>
        </w:rPr>
        <w:t>«Formulario 1 - Formulario de Presupuesto Oficial</w:t>
      </w:r>
      <w:r w:rsidRPr="00D67C1A">
        <w:rPr>
          <w:rFonts w:ascii="Arial" w:eastAsia="Calibri" w:hAnsi="Arial" w:cs="Arial"/>
          <w:sz w:val="22"/>
          <w:lang w:val="es-ES" w:eastAsia="es-ES" w:bidi="es-ES"/>
        </w:rPr>
        <w:t>»</w:t>
      </w:r>
      <w:r w:rsidRPr="00D67C1A">
        <w:rPr>
          <w:rFonts w:ascii="Arial" w:eastAsia="Arial" w:hAnsi="Arial" w:cs="Arial"/>
          <w:sz w:val="22"/>
          <w:lang w:val="es-ES" w:eastAsia="es-ES" w:bidi="es-ES"/>
        </w:rPr>
        <w:t>, empleado por</w:t>
      </w:r>
      <w:r w:rsidRPr="00D67C1A">
        <w:rPr>
          <w:rFonts w:ascii="Arial" w:eastAsia="Arial" w:hAnsi="Arial" w:cs="Arial"/>
          <w:sz w:val="22"/>
          <w:lang w:eastAsia="es-ES" w:bidi="es-ES"/>
        </w:rPr>
        <w:t xml:space="preserve"> la entidad para elaborar y presentar el presupuesto oficial, y mediante el cual el proponente estructura la oferta económica. </w:t>
      </w:r>
    </w:p>
    <w:p w14:paraId="2E0B07FD" w14:textId="77777777" w:rsidR="00D921B5" w:rsidRPr="00D67C1A" w:rsidRDefault="00D921B5" w:rsidP="00D921B5">
      <w:pPr>
        <w:widowControl w:val="0"/>
        <w:autoSpaceDE w:val="0"/>
        <w:autoSpaceDN w:val="0"/>
        <w:spacing w:before="120" w:line="276" w:lineRule="auto"/>
        <w:ind w:firstLine="709"/>
        <w:jc w:val="both"/>
        <w:rPr>
          <w:rFonts w:ascii="Arial" w:eastAsia="Calibri" w:hAnsi="Arial" w:cs="Arial"/>
          <w:sz w:val="22"/>
          <w:lang w:val="es-ES"/>
        </w:rPr>
      </w:pPr>
      <w:r w:rsidRPr="00D67C1A">
        <w:rPr>
          <w:rFonts w:ascii="Arial" w:eastAsia="Calibri" w:hAnsi="Arial" w:cs="Arial"/>
          <w:sz w:val="22"/>
          <w:lang w:val="es-ES"/>
        </w:rPr>
        <w:t>Este formulario lo prepara la entidad en la etapa de planeación y le permite definir el valor oficial estimado del proceso de contratación. Por tanto, las entidades estatales para su elaboración deben tener en cuenta diferentes variables</w:t>
      </w:r>
      <w:r w:rsidRPr="00D67C1A">
        <w:rPr>
          <w:rFonts w:ascii="Arial" w:eastAsia="Calibri" w:hAnsi="Arial" w:cs="Arial"/>
          <w:sz w:val="22"/>
          <w:vertAlign w:val="superscript"/>
          <w:lang w:val="es-ES"/>
        </w:rPr>
        <w:footnoteReference w:id="13"/>
      </w:r>
      <w:r w:rsidRPr="00D67C1A">
        <w:rPr>
          <w:rFonts w:ascii="Arial" w:eastAsia="Calibri" w:hAnsi="Arial" w:cs="Arial"/>
          <w:sz w:val="22"/>
          <w:lang w:val="es-ES"/>
        </w:rPr>
        <w:t>, como el objeto, alcance, obras a ejecutar, actividades, cantidades, particularidades de la zona de ejecución del proyecto, disponibilidad y distancia de fuentes de materiales, entre otros.</w:t>
      </w:r>
    </w:p>
    <w:p w14:paraId="783E5231" w14:textId="2BEC4861" w:rsidR="00D921B5" w:rsidRPr="00D67C1A" w:rsidRDefault="00D921B5" w:rsidP="00D921B5">
      <w:pPr>
        <w:widowControl w:val="0"/>
        <w:autoSpaceDE w:val="0"/>
        <w:autoSpaceDN w:val="0"/>
        <w:spacing w:before="120" w:after="120" w:line="276" w:lineRule="auto"/>
        <w:ind w:firstLine="709"/>
        <w:jc w:val="both"/>
        <w:rPr>
          <w:rFonts w:ascii="Arial" w:eastAsia="Calibri" w:hAnsi="Arial" w:cs="Arial"/>
          <w:sz w:val="22"/>
        </w:rPr>
      </w:pPr>
      <w:r w:rsidRPr="00D67C1A">
        <w:rPr>
          <w:rFonts w:ascii="Arial" w:eastAsia="Calibri" w:hAnsi="Arial" w:cs="Arial"/>
          <w:sz w:val="22"/>
          <w:lang w:val="es-ES"/>
        </w:rPr>
        <w:lastRenderedPageBreak/>
        <w:t xml:space="preserve">En los documentos tipo </w:t>
      </w:r>
      <w:r w:rsidRPr="00D67C1A">
        <w:rPr>
          <w:rFonts w:ascii="Arial" w:eastAsia="Arial" w:hAnsi="Arial" w:cs="Arial"/>
          <w:sz w:val="22"/>
          <w:lang w:val="es-ES" w:eastAsia="es-ES" w:bidi="es-ES"/>
        </w:rPr>
        <w:t xml:space="preserve">para los procesos de licitación pública, menor cuantía y mínima cuantía de obra de infraestructura de transporte </w:t>
      </w:r>
      <w:r w:rsidRPr="00D67C1A">
        <w:rPr>
          <w:rFonts w:ascii="Arial" w:eastAsia="Calibri" w:hAnsi="Arial" w:cs="Arial"/>
          <w:sz w:val="22"/>
          <w:lang w:val="es-ES"/>
        </w:rPr>
        <w:t xml:space="preserve">el «Formulario 1 – Formulario de Presupuesto Oficial» tiene dos connotaciones: i) por un lado, </w:t>
      </w:r>
      <w:r w:rsidRPr="00D67C1A">
        <w:rPr>
          <w:rFonts w:ascii="Arial" w:eastAsia="Calibri" w:hAnsi="Arial" w:cs="Arial"/>
          <w:sz w:val="22"/>
        </w:rPr>
        <w:t xml:space="preserve">es el formulario sobre el cual la entidad estructura y presenta el presupuesto oficial del procedimiento de contratación; y </w:t>
      </w:r>
      <w:proofErr w:type="spellStart"/>
      <w:r w:rsidRPr="00D67C1A">
        <w:rPr>
          <w:rFonts w:ascii="Arial" w:eastAsia="Calibri" w:hAnsi="Arial" w:cs="Arial"/>
          <w:sz w:val="22"/>
        </w:rPr>
        <w:t>ii</w:t>
      </w:r>
      <w:proofErr w:type="spellEnd"/>
      <w:r w:rsidRPr="00D67C1A">
        <w:rPr>
          <w:rFonts w:ascii="Arial" w:eastAsia="Calibri" w:hAnsi="Arial" w:cs="Arial"/>
          <w:sz w:val="22"/>
        </w:rPr>
        <w:t>) por el otro, es el formulario sobre el cual los proponentes elaboran y presentan su oferta económica. El propósito de esto es evitar la duplicidad de información y permitir que las propuestas económicas sean evaluadas con las variables, cantidades, unidades de medida y reglas consideradas por la entidad al estructurar su presupuesto oficial.</w:t>
      </w:r>
    </w:p>
    <w:p w14:paraId="09E4277A" w14:textId="30222F02" w:rsidR="00D921B5" w:rsidRPr="00D67C1A" w:rsidRDefault="00D921B5" w:rsidP="00D921B5">
      <w:pPr>
        <w:widowControl w:val="0"/>
        <w:autoSpaceDE w:val="0"/>
        <w:autoSpaceDN w:val="0"/>
        <w:spacing w:after="120" w:line="276" w:lineRule="auto"/>
        <w:ind w:firstLine="709"/>
        <w:jc w:val="both"/>
        <w:rPr>
          <w:rFonts w:ascii="Arial" w:eastAsia="Arial" w:hAnsi="Arial" w:cs="Arial"/>
          <w:iCs/>
          <w:sz w:val="22"/>
          <w:lang w:val="es-ES" w:eastAsia="es-ES" w:bidi="es-ES"/>
        </w:rPr>
      </w:pPr>
      <w:r w:rsidRPr="00D67C1A">
        <w:rPr>
          <w:rFonts w:ascii="Arial" w:eastAsia="Arial" w:hAnsi="Arial" w:cs="Arial"/>
          <w:sz w:val="22"/>
          <w:lang w:eastAsia="es-ES" w:bidi="es-ES"/>
        </w:rPr>
        <w:t xml:space="preserve">En ese contexto, se tiene, que en </w:t>
      </w:r>
      <w:r w:rsidRPr="00D67C1A">
        <w:rPr>
          <w:rFonts w:ascii="Arial" w:eastAsia="Arial" w:hAnsi="Arial" w:cs="Arial"/>
          <w:sz w:val="22"/>
          <w:lang w:val="es-ES" w:eastAsia="es-ES" w:bidi="es-ES"/>
        </w:rPr>
        <w:t xml:space="preserve">la primera hoja del Formulario 1, que corresponde al presupuesto oficial, la entidad debe enlistar los </w:t>
      </w:r>
      <w:r w:rsidRPr="00D67C1A">
        <w:rPr>
          <w:rFonts w:ascii="Arial" w:eastAsia="Arial" w:hAnsi="Arial" w:cs="Arial"/>
          <w:i/>
          <w:sz w:val="22"/>
          <w:lang w:val="es-ES" w:eastAsia="es-ES" w:bidi="es-ES"/>
        </w:rPr>
        <w:t xml:space="preserve">ítems de pago </w:t>
      </w:r>
      <w:r w:rsidRPr="00D67C1A">
        <w:rPr>
          <w:rFonts w:ascii="Arial" w:eastAsia="Arial" w:hAnsi="Arial" w:cs="Arial"/>
          <w:sz w:val="22"/>
          <w:lang w:val="es-ES" w:eastAsia="es-ES" w:bidi="es-ES"/>
        </w:rPr>
        <w:t xml:space="preserve">de los bienes, obras o servicios que se requieren para la ejecución de la obra pública de infraestructura de transporte. Además, es posible establecer: i) sus especificaciones generales y particulares, </w:t>
      </w:r>
      <w:proofErr w:type="spellStart"/>
      <w:r w:rsidRPr="00D67C1A">
        <w:rPr>
          <w:rFonts w:ascii="Arial" w:eastAsia="Arial" w:hAnsi="Arial" w:cs="Arial"/>
          <w:sz w:val="22"/>
          <w:lang w:val="es-ES" w:eastAsia="es-ES" w:bidi="es-ES"/>
        </w:rPr>
        <w:t>ii</w:t>
      </w:r>
      <w:proofErr w:type="spellEnd"/>
      <w:r w:rsidRPr="00D67C1A">
        <w:rPr>
          <w:rFonts w:ascii="Arial" w:eastAsia="Arial" w:hAnsi="Arial" w:cs="Arial"/>
          <w:sz w:val="22"/>
          <w:lang w:val="es-ES" w:eastAsia="es-ES" w:bidi="es-ES"/>
        </w:rPr>
        <w:t xml:space="preserve">) la descripción, </w:t>
      </w:r>
      <w:proofErr w:type="spellStart"/>
      <w:r w:rsidRPr="00D67C1A">
        <w:rPr>
          <w:rFonts w:ascii="Arial" w:eastAsia="Arial" w:hAnsi="Arial" w:cs="Arial"/>
          <w:sz w:val="22"/>
          <w:lang w:val="es-ES" w:eastAsia="es-ES" w:bidi="es-ES"/>
        </w:rPr>
        <w:t>iii</w:t>
      </w:r>
      <w:proofErr w:type="spellEnd"/>
      <w:r w:rsidRPr="00D67C1A">
        <w:rPr>
          <w:rFonts w:ascii="Arial" w:eastAsia="Arial" w:hAnsi="Arial" w:cs="Arial"/>
          <w:sz w:val="22"/>
          <w:lang w:val="es-ES" w:eastAsia="es-ES" w:bidi="es-ES"/>
        </w:rPr>
        <w:t xml:space="preserve">) la unidad de medida, </w:t>
      </w:r>
      <w:proofErr w:type="spellStart"/>
      <w:r w:rsidRPr="00D67C1A">
        <w:rPr>
          <w:rFonts w:ascii="Arial" w:eastAsia="Arial" w:hAnsi="Arial" w:cs="Arial"/>
          <w:sz w:val="22"/>
          <w:lang w:val="es-ES" w:eastAsia="es-ES" w:bidi="es-ES"/>
        </w:rPr>
        <w:t>iv</w:t>
      </w:r>
      <w:proofErr w:type="spellEnd"/>
      <w:r w:rsidRPr="00D67C1A">
        <w:rPr>
          <w:rFonts w:ascii="Arial" w:eastAsia="Arial" w:hAnsi="Arial" w:cs="Arial"/>
          <w:sz w:val="22"/>
          <w:lang w:val="es-ES" w:eastAsia="es-ES" w:bidi="es-ES"/>
        </w:rPr>
        <w:t xml:space="preserve">) la cantidad, v) el valor unitario y vi) el valor total de los </w:t>
      </w:r>
      <w:r w:rsidRPr="00D67C1A">
        <w:rPr>
          <w:rFonts w:ascii="Arial" w:eastAsia="Arial" w:hAnsi="Arial" w:cs="Arial"/>
          <w:i/>
          <w:sz w:val="22"/>
          <w:lang w:val="es-ES" w:eastAsia="es-ES" w:bidi="es-ES"/>
        </w:rPr>
        <w:t>ítems.</w:t>
      </w:r>
    </w:p>
    <w:p w14:paraId="10CB2899" w14:textId="42CC6CDD" w:rsidR="00D921B5" w:rsidRPr="00D67C1A" w:rsidRDefault="00D921B5" w:rsidP="00D921B5">
      <w:pPr>
        <w:widowControl w:val="0"/>
        <w:autoSpaceDE w:val="0"/>
        <w:autoSpaceDN w:val="0"/>
        <w:spacing w:after="120" w:line="276" w:lineRule="auto"/>
        <w:ind w:firstLine="709"/>
        <w:jc w:val="both"/>
        <w:rPr>
          <w:rFonts w:ascii="Arial" w:eastAsia="Arial" w:hAnsi="Arial" w:cs="Arial"/>
          <w:sz w:val="22"/>
          <w:lang w:val="es-ES" w:eastAsia="es-ES" w:bidi="es-ES"/>
        </w:rPr>
      </w:pPr>
      <w:r w:rsidRPr="00D67C1A">
        <w:rPr>
          <w:rFonts w:ascii="Arial" w:eastAsia="Arial" w:hAnsi="Arial" w:cs="Arial"/>
          <w:iCs/>
          <w:sz w:val="22"/>
          <w:lang w:val="es-ES" w:eastAsia="es-ES" w:bidi="es-ES"/>
        </w:rPr>
        <w:t xml:space="preserve">En el marco del ejercicio de planeación, la entidad podrá determinar la necesidad de establecer algunos valores topes para algunos </w:t>
      </w:r>
      <w:r w:rsidRPr="00D67C1A">
        <w:rPr>
          <w:rFonts w:ascii="Arial" w:eastAsia="Arial" w:hAnsi="Arial" w:cs="Arial"/>
          <w:i/>
          <w:sz w:val="22"/>
          <w:lang w:val="es-ES" w:eastAsia="es-ES" w:bidi="es-ES"/>
        </w:rPr>
        <w:t xml:space="preserve">ítems, </w:t>
      </w:r>
      <w:r w:rsidRPr="00D67C1A">
        <w:rPr>
          <w:rFonts w:ascii="Arial" w:eastAsia="Arial" w:hAnsi="Arial" w:cs="Arial"/>
          <w:iCs/>
          <w:sz w:val="22"/>
          <w:lang w:val="es-ES" w:eastAsia="es-ES" w:bidi="es-ES"/>
        </w:rPr>
        <w:t>los cuales no podrán ser excedidos por los proponentes al presentar sus ofertas.</w:t>
      </w:r>
      <w:r w:rsidRPr="00D67C1A">
        <w:rPr>
          <w:rFonts w:ascii="Arial" w:eastAsia="Arial" w:hAnsi="Arial" w:cs="Arial"/>
          <w:sz w:val="22"/>
          <w:lang w:val="es-ES" w:eastAsia="es-ES" w:bidi="es-ES"/>
        </w:rPr>
        <w:t xml:space="preserve"> La inclusión que hace la entidad de valores que no deben ser excedidos por los proponentes al presentar sus ofertas no es una práctica generalizada ni obligatoria para todas las entidades, por cuanto la inclusión de estos </w:t>
      </w:r>
      <w:r w:rsidRPr="00D67C1A">
        <w:rPr>
          <w:rFonts w:ascii="Arial" w:eastAsia="Arial" w:hAnsi="Arial" w:cs="Arial"/>
          <w:i/>
          <w:sz w:val="22"/>
          <w:lang w:val="es-ES" w:eastAsia="es-ES" w:bidi="es-ES"/>
        </w:rPr>
        <w:t>ítems</w:t>
      </w:r>
      <w:r w:rsidRPr="00D67C1A">
        <w:rPr>
          <w:rFonts w:ascii="Arial" w:eastAsia="Arial" w:hAnsi="Arial" w:cs="Arial"/>
          <w:sz w:val="22"/>
          <w:lang w:val="es-ES" w:eastAsia="es-ES" w:bidi="es-ES"/>
        </w:rPr>
        <w:t xml:space="preserve"> debe estar justificada en situaciones y eventos particulares de determinados procedimientos de contratación. Cuando las entidades estructuran el Formulario 1, incluyendo este tipo de </w:t>
      </w:r>
      <w:r w:rsidRPr="00D67C1A">
        <w:rPr>
          <w:rFonts w:ascii="Arial" w:eastAsia="Arial" w:hAnsi="Arial" w:cs="Arial"/>
          <w:i/>
          <w:sz w:val="22"/>
          <w:lang w:val="es-ES" w:eastAsia="es-ES" w:bidi="es-ES"/>
        </w:rPr>
        <w:t>ítems</w:t>
      </w:r>
      <w:r w:rsidRPr="00D67C1A">
        <w:rPr>
          <w:rFonts w:ascii="Arial" w:eastAsia="Arial" w:hAnsi="Arial" w:cs="Arial"/>
          <w:sz w:val="22"/>
          <w:lang w:val="es-ES" w:eastAsia="es-ES" w:bidi="es-ES"/>
        </w:rPr>
        <w:t xml:space="preserve"> y justificando su decisión, los proponentes deben incluirlos dentro de la oferta económica sin exceder el valor que la entidad ha definido, so pena del rechazo de la propuesta</w:t>
      </w:r>
      <w:r w:rsidRPr="00D67C1A">
        <w:rPr>
          <w:rFonts w:ascii="Arial" w:eastAsia="Arial" w:hAnsi="Arial" w:cs="Arial"/>
          <w:sz w:val="22"/>
          <w:vertAlign w:val="superscript"/>
          <w:lang w:val="es-ES" w:eastAsia="es-ES" w:bidi="es-ES"/>
        </w:rPr>
        <w:footnoteReference w:id="14"/>
      </w:r>
      <w:r w:rsidRPr="00D67C1A">
        <w:rPr>
          <w:rFonts w:ascii="Arial" w:eastAsia="Arial" w:hAnsi="Arial" w:cs="Arial"/>
          <w:sz w:val="22"/>
          <w:lang w:val="es-ES" w:eastAsia="es-ES" w:bidi="es-ES"/>
        </w:rPr>
        <w:t xml:space="preserve">. </w:t>
      </w:r>
    </w:p>
    <w:p w14:paraId="5CE12EAD" w14:textId="77C414E9" w:rsidR="00D921B5" w:rsidRPr="00D67C1A" w:rsidRDefault="00D921B5" w:rsidP="00D67C1A">
      <w:pPr>
        <w:widowControl w:val="0"/>
        <w:autoSpaceDE w:val="0"/>
        <w:autoSpaceDN w:val="0"/>
        <w:spacing w:after="120" w:line="276" w:lineRule="auto"/>
        <w:ind w:firstLine="709"/>
        <w:jc w:val="both"/>
        <w:rPr>
          <w:rFonts w:ascii="Arial" w:eastAsia="Arial" w:hAnsi="Arial" w:cs="Arial"/>
          <w:sz w:val="22"/>
          <w:lang w:val="es-ES" w:eastAsia="es-ES" w:bidi="es-ES"/>
        </w:rPr>
      </w:pPr>
      <w:r w:rsidRPr="00D67C1A">
        <w:rPr>
          <w:rFonts w:ascii="Arial" w:eastAsia="Arial" w:hAnsi="Arial" w:cs="Arial"/>
          <w:sz w:val="22"/>
          <w:lang w:val="es-ES" w:eastAsia="es-ES" w:bidi="es-ES"/>
        </w:rPr>
        <w:t xml:space="preserve">De igual manera, en la primera hoja del «Formulario 1 – Formulario de Presupuesto oficial» se señala que en los procesos de contratación estructurados por precios unitarios aplican las notas 1, 2 y 3 de dicho formato y, por tanto, se diligencian las casillas de «Descripción», «Porcentaje» de la Administración, Imprevistos, Utilidad y total del A.I.U resaltados en color amarillo. En otras palabras, las entidades estatales incluirán de manera obligatoria el porcentaje de la: i) administración, </w:t>
      </w:r>
      <w:proofErr w:type="spellStart"/>
      <w:r w:rsidRPr="00D67C1A">
        <w:rPr>
          <w:rFonts w:ascii="Arial" w:eastAsia="Arial" w:hAnsi="Arial" w:cs="Arial"/>
          <w:sz w:val="22"/>
          <w:lang w:val="es-ES" w:eastAsia="es-ES" w:bidi="es-ES"/>
        </w:rPr>
        <w:t>ii</w:t>
      </w:r>
      <w:proofErr w:type="spellEnd"/>
      <w:r w:rsidRPr="00D67C1A">
        <w:rPr>
          <w:rFonts w:ascii="Arial" w:eastAsia="Arial" w:hAnsi="Arial" w:cs="Arial"/>
          <w:sz w:val="22"/>
          <w:lang w:val="es-ES" w:eastAsia="es-ES" w:bidi="es-ES"/>
        </w:rPr>
        <w:t xml:space="preserve">) imprevistos y </w:t>
      </w:r>
      <w:proofErr w:type="spellStart"/>
      <w:r w:rsidRPr="00D67C1A">
        <w:rPr>
          <w:rFonts w:ascii="Arial" w:eastAsia="Arial" w:hAnsi="Arial" w:cs="Arial"/>
          <w:sz w:val="22"/>
          <w:lang w:val="es-ES" w:eastAsia="es-ES" w:bidi="es-ES"/>
        </w:rPr>
        <w:t>iii</w:t>
      </w:r>
      <w:proofErr w:type="spellEnd"/>
      <w:r w:rsidRPr="00D67C1A">
        <w:rPr>
          <w:rFonts w:ascii="Arial" w:eastAsia="Arial" w:hAnsi="Arial" w:cs="Arial"/>
          <w:sz w:val="22"/>
          <w:lang w:val="es-ES" w:eastAsia="es-ES" w:bidi="es-ES"/>
        </w:rPr>
        <w:t>) utilidad</w:t>
      </w:r>
      <w:r w:rsidR="0075475B" w:rsidRPr="00D67C1A">
        <w:rPr>
          <w:rFonts w:ascii="Arial" w:eastAsia="Arial" w:hAnsi="Arial" w:cs="Arial"/>
          <w:sz w:val="22"/>
          <w:lang w:val="es-ES" w:eastAsia="es-ES" w:bidi="es-ES"/>
        </w:rPr>
        <w:t>,</w:t>
      </w:r>
      <w:r w:rsidRPr="00D67C1A">
        <w:rPr>
          <w:rFonts w:ascii="Arial" w:eastAsia="Arial" w:hAnsi="Arial" w:cs="Arial"/>
          <w:sz w:val="22"/>
          <w:lang w:val="es-ES" w:eastAsia="es-ES" w:bidi="es-ES"/>
        </w:rPr>
        <w:t xml:space="preserve"> cuando el </w:t>
      </w:r>
      <w:r w:rsidRPr="00D67C1A">
        <w:rPr>
          <w:rFonts w:ascii="Arial" w:eastAsia="Arial" w:hAnsi="Arial" w:cs="Arial"/>
          <w:sz w:val="22"/>
          <w:lang w:val="es-ES" w:eastAsia="es-ES" w:bidi="es-ES"/>
        </w:rPr>
        <w:lastRenderedPageBreak/>
        <w:t>proceso de contratación sea por precios unitarios.</w:t>
      </w:r>
    </w:p>
    <w:p w14:paraId="45C88C6C" w14:textId="77777777" w:rsidR="00D921B5" w:rsidRPr="00D67C1A" w:rsidRDefault="00D921B5" w:rsidP="00D921B5">
      <w:pPr>
        <w:widowControl w:val="0"/>
        <w:autoSpaceDE w:val="0"/>
        <w:autoSpaceDN w:val="0"/>
        <w:spacing w:after="120" w:line="276" w:lineRule="auto"/>
        <w:ind w:firstLine="709"/>
        <w:jc w:val="both"/>
        <w:rPr>
          <w:rFonts w:ascii="Arial" w:eastAsia="Arial" w:hAnsi="Arial" w:cs="Arial"/>
          <w:sz w:val="22"/>
          <w:lang w:val="es-ES" w:eastAsia="es-ES" w:bidi="es-ES"/>
        </w:rPr>
      </w:pPr>
      <w:r w:rsidRPr="00D67C1A">
        <w:rPr>
          <w:rFonts w:ascii="Arial" w:eastAsia="Arial" w:hAnsi="Arial" w:cs="Arial"/>
          <w:sz w:val="22"/>
          <w:lang w:val="es-ES" w:eastAsia="es-ES" w:bidi="es-ES"/>
        </w:rPr>
        <w:t xml:space="preserve">Al respecto, en la «Nota 1» se establece que el precio unitario incluye el valor de A.I.U. Por su parte, la «Nota 2» indica la regla que cuando la fracción decimal del peso sea igual o superior a 5 se aproximará por exceso al número entero siguiente del peso y cuando la fracción decimal del peso sea inferior a 5 se aproximará por defecto al número entero del peso. Finalmente, en la «Nota 3» se indica que el A.I.U y su discriminación debe ser en porcentaje. </w:t>
      </w:r>
    </w:p>
    <w:p w14:paraId="115F401B" w14:textId="0E7BC031" w:rsidR="00D921B5" w:rsidRPr="00D67C1A" w:rsidRDefault="00D921B5" w:rsidP="00D757EB">
      <w:pPr>
        <w:widowControl w:val="0"/>
        <w:autoSpaceDE w:val="0"/>
        <w:autoSpaceDN w:val="0"/>
        <w:spacing w:after="120" w:line="276" w:lineRule="auto"/>
        <w:ind w:firstLine="709"/>
        <w:jc w:val="both"/>
        <w:rPr>
          <w:rFonts w:ascii="Arial" w:eastAsia="Arial" w:hAnsi="Arial" w:cs="Arial"/>
          <w:sz w:val="22"/>
          <w:lang w:val="es-ES" w:eastAsia="es-ES" w:bidi="es-ES"/>
        </w:rPr>
      </w:pPr>
      <w:r w:rsidRPr="00D67C1A">
        <w:rPr>
          <w:rFonts w:ascii="Arial" w:eastAsia="Arial" w:hAnsi="Arial" w:cs="Arial"/>
          <w:sz w:val="22"/>
          <w:lang w:val="es-ES" w:eastAsia="es-ES" w:bidi="es-ES"/>
        </w:rPr>
        <w:t xml:space="preserve">De la redacción de estas notas se infiere que las entidades obligatoriamente aplicarán las notas definidas en el «Formulario 1 – Formulario del presupuesto oficial», cuando el proceso de contratación es estructurado por precios unitarios y, por ende, se incluirá el porcentaje respectivo a la: i) administración, </w:t>
      </w:r>
      <w:proofErr w:type="spellStart"/>
      <w:r w:rsidRPr="00D67C1A">
        <w:rPr>
          <w:rFonts w:ascii="Arial" w:eastAsia="Arial" w:hAnsi="Arial" w:cs="Arial"/>
          <w:sz w:val="22"/>
          <w:lang w:val="es-ES" w:eastAsia="es-ES" w:bidi="es-ES"/>
        </w:rPr>
        <w:t>ii</w:t>
      </w:r>
      <w:proofErr w:type="spellEnd"/>
      <w:r w:rsidRPr="00D67C1A">
        <w:rPr>
          <w:rFonts w:ascii="Arial" w:eastAsia="Arial" w:hAnsi="Arial" w:cs="Arial"/>
          <w:sz w:val="22"/>
          <w:lang w:val="es-ES" w:eastAsia="es-ES" w:bidi="es-ES"/>
        </w:rPr>
        <w:t xml:space="preserve">) imprevistos y </w:t>
      </w:r>
      <w:proofErr w:type="spellStart"/>
      <w:r w:rsidRPr="00D67C1A">
        <w:rPr>
          <w:rFonts w:ascii="Arial" w:eastAsia="Arial" w:hAnsi="Arial" w:cs="Arial"/>
          <w:sz w:val="22"/>
          <w:lang w:val="es-ES" w:eastAsia="es-ES" w:bidi="es-ES"/>
        </w:rPr>
        <w:t>iii</w:t>
      </w:r>
      <w:proofErr w:type="spellEnd"/>
      <w:r w:rsidRPr="00D67C1A">
        <w:rPr>
          <w:rFonts w:ascii="Arial" w:eastAsia="Arial" w:hAnsi="Arial" w:cs="Arial"/>
          <w:sz w:val="22"/>
          <w:lang w:val="es-ES" w:eastAsia="es-ES" w:bidi="es-ES"/>
        </w:rPr>
        <w:t xml:space="preserve">) utilidad. En consecuencia, las entidades no podrán omitir alguno de sus componentes y lo definirán de acuerdo con el estudio de mercado y el sector, incluyendo el valor que consideren procedente. Además, el «Formulario 1 – Formulario de Presupuesto Oficial» señala los espacios en los cuales se incluirán estos porcentajes. Así se determina en los siguientes términos: </w:t>
      </w:r>
    </w:p>
    <w:tbl>
      <w:tblPr>
        <w:tblStyle w:val="Tablaconcuadrcula1"/>
        <w:tblW w:w="8247" w:type="dxa"/>
        <w:jc w:val="center"/>
        <w:tblInd w:w="0" w:type="dxa"/>
        <w:tblLook w:val="04A0" w:firstRow="1" w:lastRow="0" w:firstColumn="1" w:lastColumn="0" w:noHBand="0" w:noVBand="1"/>
      </w:tblPr>
      <w:tblGrid>
        <w:gridCol w:w="2794"/>
        <w:gridCol w:w="2409"/>
        <w:gridCol w:w="3044"/>
      </w:tblGrid>
      <w:tr w:rsidR="00D921B5" w:rsidRPr="00D67C1A" w14:paraId="070B864C" w14:textId="77777777" w:rsidTr="0031322C">
        <w:trPr>
          <w:trHeight w:val="541"/>
          <w:jc w:val="center"/>
        </w:trPr>
        <w:tc>
          <w:tcPr>
            <w:tcW w:w="5203" w:type="dxa"/>
            <w:gridSpan w:val="2"/>
            <w:hideMark/>
          </w:tcPr>
          <w:p w14:paraId="0E2AF59F" w14:textId="77777777" w:rsidR="00D921B5" w:rsidRPr="00D67C1A" w:rsidRDefault="00D921B5" w:rsidP="0031322C">
            <w:pPr>
              <w:jc w:val="center"/>
              <w:rPr>
                <w:rFonts w:ascii="Arial" w:hAnsi="Arial" w:cs="Arial"/>
                <w:b/>
                <w:bCs/>
                <w:sz w:val="20"/>
                <w:szCs w:val="20"/>
                <w:lang w:eastAsia="es-CO"/>
              </w:rPr>
            </w:pPr>
            <w:r w:rsidRPr="00D67C1A">
              <w:rPr>
                <w:rFonts w:ascii="Arial" w:hAnsi="Arial" w:cs="Arial"/>
                <w:b/>
                <w:bCs/>
                <w:sz w:val="20"/>
                <w:szCs w:val="20"/>
                <w:lang w:eastAsia="es-CO"/>
              </w:rPr>
              <w:t>DESCRIPCION</w:t>
            </w:r>
          </w:p>
        </w:tc>
        <w:tc>
          <w:tcPr>
            <w:tcW w:w="3044" w:type="dxa"/>
            <w:noWrap/>
            <w:hideMark/>
          </w:tcPr>
          <w:p w14:paraId="211D95E0" w14:textId="77777777" w:rsidR="00D921B5" w:rsidRPr="00D67C1A" w:rsidRDefault="00D921B5" w:rsidP="0031322C">
            <w:pPr>
              <w:jc w:val="center"/>
              <w:rPr>
                <w:rFonts w:ascii="Arial" w:hAnsi="Arial" w:cs="Arial"/>
                <w:b/>
                <w:bCs/>
                <w:sz w:val="20"/>
                <w:szCs w:val="20"/>
                <w:lang w:eastAsia="es-CO"/>
              </w:rPr>
            </w:pPr>
            <w:r w:rsidRPr="00D67C1A">
              <w:rPr>
                <w:rFonts w:ascii="Arial" w:hAnsi="Arial" w:cs="Arial"/>
                <w:b/>
                <w:bCs/>
                <w:sz w:val="20"/>
                <w:szCs w:val="20"/>
                <w:lang w:eastAsia="es-CO"/>
              </w:rPr>
              <w:t xml:space="preserve"> PORCENTAJE </w:t>
            </w:r>
          </w:p>
        </w:tc>
      </w:tr>
      <w:tr w:rsidR="00D921B5" w:rsidRPr="00D67C1A" w14:paraId="44E97273" w14:textId="77777777" w:rsidTr="0031322C">
        <w:trPr>
          <w:trHeight w:val="375"/>
          <w:jc w:val="center"/>
        </w:trPr>
        <w:tc>
          <w:tcPr>
            <w:tcW w:w="2794" w:type="dxa"/>
            <w:noWrap/>
            <w:hideMark/>
          </w:tcPr>
          <w:p w14:paraId="602BD5DE" w14:textId="77777777" w:rsidR="00D921B5" w:rsidRPr="00D67C1A" w:rsidRDefault="00D921B5" w:rsidP="0031322C">
            <w:pPr>
              <w:jc w:val="center"/>
              <w:rPr>
                <w:rFonts w:ascii="Arial" w:hAnsi="Arial" w:cs="Arial"/>
                <w:b/>
                <w:bCs/>
                <w:sz w:val="20"/>
                <w:szCs w:val="20"/>
                <w:lang w:eastAsia="es-CO"/>
              </w:rPr>
            </w:pPr>
            <w:r w:rsidRPr="00D67C1A">
              <w:rPr>
                <w:rFonts w:ascii="Arial" w:hAnsi="Arial" w:cs="Arial"/>
                <w:b/>
                <w:bCs/>
                <w:sz w:val="20"/>
                <w:szCs w:val="20"/>
                <w:lang w:eastAsia="es-CO"/>
              </w:rPr>
              <w:t>ADMINISTRACIÓN</w:t>
            </w:r>
          </w:p>
        </w:tc>
        <w:tc>
          <w:tcPr>
            <w:tcW w:w="2408" w:type="dxa"/>
            <w:noWrap/>
            <w:hideMark/>
          </w:tcPr>
          <w:p w14:paraId="0CB891B3" w14:textId="77777777" w:rsidR="00D921B5" w:rsidRPr="00D67C1A" w:rsidRDefault="00D921B5" w:rsidP="0031322C">
            <w:pPr>
              <w:jc w:val="center"/>
              <w:rPr>
                <w:rFonts w:ascii="Arial" w:hAnsi="Arial" w:cs="Arial"/>
                <w:b/>
                <w:bCs/>
                <w:sz w:val="20"/>
                <w:szCs w:val="20"/>
                <w:lang w:eastAsia="es-CO"/>
              </w:rPr>
            </w:pPr>
            <w:r w:rsidRPr="00D67C1A">
              <w:rPr>
                <w:rFonts w:ascii="Arial" w:hAnsi="Arial" w:cs="Arial"/>
                <w:b/>
                <w:bCs/>
                <w:sz w:val="20"/>
                <w:szCs w:val="20"/>
                <w:lang w:eastAsia="es-CO"/>
              </w:rPr>
              <w:t xml:space="preserve"> A= </w:t>
            </w:r>
          </w:p>
        </w:tc>
        <w:tc>
          <w:tcPr>
            <w:tcW w:w="3044" w:type="dxa"/>
            <w:noWrap/>
            <w:hideMark/>
          </w:tcPr>
          <w:p w14:paraId="1FBA30A8" w14:textId="77777777" w:rsidR="00D921B5" w:rsidRPr="00D67C1A" w:rsidRDefault="00D921B5" w:rsidP="0031322C">
            <w:pPr>
              <w:jc w:val="center"/>
              <w:rPr>
                <w:rFonts w:ascii="Arial" w:hAnsi="Arial" w:cs="Arial"/>
                <w:sz w:val="20"/>
                <w:szCs w:val="20"/>
                <w:lang w:eastAsia="es-CO"/>
              </w:rPr>
            </w:pPr>
            <w:r w:rsidRPr="00D67C1A">
              <w:rPr>
                <w:rFonts w:ascii="Arial" w:hAnsi="Arial" w:cs="Arial"/>
                <w:sz w:val="20"/>
                <w:szCs w:val="20"/>
                <w:lang w:eastAsia="es-CO"/>
              </w:rPr>
              <w:t>[Determinar por la Entidad]</w:t>
            </w:r>
          </w:p>
        </w:tc>
      </w:tr>
      <w:tr w:rsidR="00D921B5" w:rsidRPr="00D67C1A" w14:paraId="7E10710F" w14:textId="77777777" w:rsidTr="0031322C">
        <w:trPr>
          <w:trHeight w:val="349"/>
          <w:jc w:val="center"/>
        </w:trPr>
        <w:tc>
          <w:tcPr>
            <w:tcW w:w="2794" w:type="dxa"/>
            <w:hideMark/>
          </w:tcPr>
          <w:p w14:paraId="4AD88250" w14:textId="77777777" w:rsidR="00D921B5" w:rsidRPr="00D67C1A" w:rsidRDefault="00D921B5" w:rsidP="0031322C">
            <w:pPr>
              <w:jc w:val="center"/>
              <w:rPr>
                <w:rFonts w:ascii="Arial" w:hAnsi="Arial" w:cs="Arial"/>
                <w:b/>
                <w:bCs/>
                <w:sz w:val="20"/>
                <w:szCs w:val="20"/>
                <w:lang w:eastAsia="es-CO"/>
              </w:rPr>
            </w:pPr>
            <w:r w:rsidRPr="00D67C1A">
              <w:rPr>
                <w:rFonts w:ascii="Arial" w:hAnsi="Arial" w:cs="Arial"/>
                <w:b/>
                <w:bCs/>
                <w:sz w:val="20"/>
                <w:szCs w:val="20"/>
                <w:lang w:eastAsia="es-CO"/>
              </w:rPr>
              <w:t>IMPREVISTO</w:t>
            </w:r>
          </w:p>
        </w:tc>
        <w:tc>
          <w:tcPr>
            <w:tcW w:w="2408" w:type="dxa"/>
            <w:noWrap/>
            <w:hideMark/>
          </w:tcPr>
          <w:p w14:paraId="6F0C1D69" w14:textId="77777777" w:rsidR="00D921B5" w:rsidRPr="00D67C1A" w:rsidRDefault="00D921B5" w:rsidP="0031322C">
            <w:pPr>
              <w:jc w:val="center"/>
              <w:rPr>
                <w:rFonts w:ascii="Arial" w:hAnsi="Arial" w:cs="Arial"/>
                <w:b/>
                <w:bCs/>
                <w:sz w:val="20"/>
                <w:szCs w:val="20"/>
                <w:lang w:eastAsia="es-CO"/>
              </w:rPr>
            </w:pPr>
            <w:r w:rsidRPr="00D67C1A">
              <w:rPr>
                <w:rFonts w:ascii="Arial" w:hAnsi="Arial" w:cs="Arial"/>
                <w:b/>
                <w:bCs/>
                <w:sz w:val="20"/>
                <w:szCs w:val="20"/>
                <w:lang w:eastAsia="es-CO"/>
              </w:rPr>
              <w:t xml:space="preserve"> I= </w:t>
            </w:r>
          </w:p>
        </w:tc>
        <w:tc>
          <w:tcPr>
            <w:tcW w:w="3044" w:type="dxa"/>
            <w:noWrap/>
            <w:hideMark/>
          </w:tcPr>
          <w:p w14:paraId="3ED149FE" w14:textId="77777777" w:rsidR="00D921B5" w:rsidRPr="00D67C1A" w:rsidRDefault="00D921B5" w:rsidP="0031322C">
            <w:pPr>
              <w:jc w:val="center"/>
              <w:rPr>
                <w:rFonts w:ascii="Arial" w:hAnsi="Arial" w:cs="Arial"/>
                <w:sz w:val="20"/>
                <w:szCs w:val="20"/>
                <w:lang w:eastAsia="es-CO"/>
              </w:rPr>
            </w:pPr>
            <w:r w:rsidRPr="00D67C1A">
              <w:rPr>
                <w:rFonts w:ascii="Arial" w:hAnsi="Arial" w:cs="Arial"/>
                <w:sz w:val="20"/>
                <w:szCs w:val="20"/>
                <w:lang w:eastAsia="es-CO"/>
              </w:rPr>
              <w:t>[Determinar por la Entidad]</w:t>
            </w:r>
          </w:p>
        </w:tc>
      </w:tr>
      <w:tr w:rsidR="00D921B5" w:rsidRPr="00D67C1A" w14:paraId="7EE98FF7" w14:textId="77777777" w:rsidTr="0031322C">
        <w:trPr>
          <w:trHeight w:val="680"/>
          <w:jc w:val="center"/>
        </w:trPr>
        <w:tc>
          <w:tcPr>
            <w:tcW w:w="2794" w:type="dxa"/>
            <w:hideMark/>
          </w:tcPr>
          <w:p w14:paraId="57CE39D8" w14:textId="77777777" w:rsidR="00D921B5" w:rsidRPr="00D67C1A" w:rsidRDefault="00D921B5" w:rsidP="0031322C">
            <w:pPr>
              <w:jc w:val="center"/>
              <w:rPr>
                <w:rFonts w:ascii="Arial" w:hAnsi="Arial" w:cs="Arial"/>
                <w:b/>
                <w:bCs/>
                <w:sz w:val="20"/>
                <w:szCs w:val="20"/>
                <w:lang w:eastAsia="es-CO"/>
              </w:rPr>
            </w:pPr>
            <w:r w:rsidRPr="00D67C1A">
              <w:rPr>
                <w:rFonts w:ascii="Arial" w:hAnsi="Arial" w:cs="Arial"/>
                <w:b/>
                <w:bCs/>
                <w:sz w:val="20"/>
                <w:szCs w:val="20"/>
                <w:lang w:eastAsia="es-CO"/>
              </w:rPr>
              <w:t>UTILIDAD</w:t>
            </w:r>
          </w:p>
        </w:tc>
        <w:tc>
          <w:tcPr>
            <w:tcW w:w="2408" w:type="dxa"/>
            <w:noWrap/>
            <w:hideMark/>
          </w:tcPr>
          <w:p w14:paraId="1D8DF4CE" w14:textId="77777777" w:rsidR="00D921B5" w:rsidRPr="00D67C1A" w:rsidRDefault="00D921B5" w:rsidP="0031322C">
            <w:pPr>
              <w:jc w:val="center"/>
              <w:rPr>
                <w:rFonts w:ascii="Arial" w:hAnsi="Arial" w:cs="Arial"/>
                <w:b/>
                <w:bCs/>
                <w:sz w:val="20"/>
                <w:szCs w:val="20"/>
                <w:lang w:eastAsia="es-CO"/>
              </w:rPr>
            </w:pPr>
            <w:r w:rsidRPr="00D67C1A">
              <w:rPr>
                <w:rFonts w:ascii="Arial" w:hAnsi="Arial" w:cs="Arial"/>
                <w:b/>
                <w:bCs/>
                <w:sz w:val="20"/>
                <w:szCs w:val="20"/>
                <w:lang w:eastAsia="es-CO"/>
              </w:rPr>
              <w:t xml:space="preserve"> U= </w:t>
            </w:r>
          </w:p>
        </w:tc>
        <w:tc>
          <w:tcPr>
            <w:tcW w:w="3044" w:type="dxa"/>
            <w:noWrap/>
            <w:hideMark/>
          </w:tcPr>
          <w:p w14:paraId="69F53470" w14:textId="77777777" w:rsidR="00D921B5" w:rsidRPr="00D67C1A" w:rsidRDefault="00D921B5" w:rsidP="0031322C">
            <w:pPr>
              <w:jc w:val="center"/>
              <w:rPr>
                <w:rFonts w:ascii="Arial" w:hAnsi="Arial" w:cs="Arial"/>
                <w:sz w:val="20"/>
                <w:szCs w:val="20"/>
                <w:lang w:eastAsia="es-CO"/>
              </w:rPr>
            </w:pPr>
            <w:r w:rsidRPr="00D67C1A">
              <w:rPr>
                <w:rFonts w:ascii="Arial" w:hAnsi="Arial" w:cs="Arial"/>
                <w:sz w:val="20"/>
                <w:szCs w:val="20"/>
                <w:lang w:eastAsia="es-CO"/>
              </w:rPr>
              <w:t>[Determinar por la Entidad]</w:t>
            </w:r>
          </w:p>
        </w:tc>
      </w:tr>
      <w:tr w:rsidR="00D921B5" w:rsidRPr="00D67C1A" w14:paraId="31A57468" w14:textId="77777777" w:rsidTr="0031322C">
        <w:trPr>
          <w:trHeight w:val="663"/>
          <w:jc w:val="center"/>
        </w:trPr>
        <w:tc>
          <w:tcPr>
            <w:tcW w:w="2794" w:type="dxa"/>
            <w:noWrap/>
            <w:hideMark/>
          </w:tcPr>
          <w:p w14:paraId="6144EA6B" w14:textId="77777777" w:rsidR="00D921B5" w:rsidRPr="00D67C1A" w:rsidRDefault="00D921B5" w:rsidP="0031322C">
            <w:pPr>
              <w:jc w:val="center"/>
              <w:rPr>
                <w:rFonts w:ascii="Arial" w:hAnsi="Arial" w:cs="Arial"/>
                <w:b/>
                <w:bCs/>
                <w:sz w:val="20"/>
                <w:szCs w:val="20"/>
                <w:lang w:eastAsia="es-CO"/>
              </w:rPr>
            </w:pPr>
            <w:r w:rsidRPr="00D67C1A">
              <w:rPr>
                <w:rFonts w:ascii="Arial" w:hAnsi="Arial" w:cs="Arial"/>
                <w:b/>
                <w:bCs/>
                <w:sz w:val="20"/>
                <w:szCs w:val="20"/>
                <w:lang w:eastAsia="es-CO"/>
              </w:rPr>
              <w:t>TOTAL A.I.U.</w:t>
            </w:r>
          </w:p>
        </w:tc>
        <w:tc>
          <w:tcPr>
            <w:tcW w:w="2408" w:type="dxa"/>
            <w:noWrap/>
            <w:hideMark/>
          </w:tcPr>
          <w:p w14:paraId="2BE1F618" w14:textId="77777777" w:rsidR="00D921B5" w:rsidRPr="00D67C1A" w:rsidRDefault="00D921B5" w:rsidP="0031322C">
            <w:pPr>
              <w:jc w:val="center"/>
              <w:rPr>
                <w:rFonts w:ascii="Arial" w:hAnsi="Arial" w:cs="Arial"/>
                <w:b/>
                <w:bCs/>
                <w:sz w:val="20"/>
                <w:szCs w:val="20"/>
                <w:lang w:eastAsia="es-CO"/>
              </w:rPr>
            </w:pPr>
            <w:r w:rsidRPr="00D67C1A">
              <w:rPr>
                <w:rFonts w:ascii="Arial" w:hAnsi="Arial" w:cs="Arial"/>
                <w:b/>
                <w:bCs/>
                <w:sz w:val="20"/>
                <w:szCs w:val="20"/>
                <w:lang w:eastAsia="es-CO"/>
              </w:rPr>
              <w:t xml:space="preserve"> A.I.U.= </w:t>
            </w:r>
          </w:p>
        </w:tc>
        <w:tc>
          <w:tcPr>
            <w:tcW w:w="3044" w:type="dxa"/>
            <w:noWrap/>
            <w:hideMark/>
          </w:tcPr>
          <w:p w14:paraId="16AACDCA" w14:textId="77777777" w:rsidR="00D921B5" w:rsidRPr="00D67C1A" w:rsidRDefault="00D921B5" w:rsidP="0031322C">
            <w:pPr>
              <w:jc w:val="center"/>
              <w:rPr>
                <w:rFonts w:ascii="Arial" w:hAnsi="Arial" w:cs="Arial"/>
                <w:sz w:val="20"/>
                <w:szCs w:val="20"/>
                <w:lang w:eastAsia="es-CO"/>
              </w:rPr>
            </w:pPr>
            <w:r w:rsidRPr="00D67C1A">
              <w:rPr>
                <w:rFonts w:ascii="Arial" w:hAnsi="Arial" w:cs="Arial"/>
                <w:sz w:val="20"/>
                <w:szCs w:val="20"/>
                <w:lang w:eastAsia="es-CO"/>
              </w:rPr>
              <w:t>[Determinar por la Entidad]</w:t>
            </w:r>
          </w:p>
        </w:tc>
      </w:tr>
    </w:tbl>
    <w:p w14:paraId="336F9233" w14:textId="77777777" w:rsidR="00D921B5" w:rsidRPr="00D67C1A" w:rsidRDefault="00D921B5" w:rsidP="00D921B5">
      <w:pPr>
        <w:widowControl w:val="0"/>
        <w:autoSpaceDE w:val="0"/>
        <w:autoSpaceDN w:val="0"/>
        <w:spacing w:after="120" w:line="276" w:lineRule="auto"/>
        <w:ind w:firstLine="709"/>
        <w:jc w:val="both"/>
        <w:rPr>
          <w:rFonts w:ascii="Arial" w:eastAsia="Arial" w:hAnsi="Arial" w:cs="Arial"/>
          <w:sz w:val="20"/>
          <w:szCs w:val="20"/>
          <w:lang w:val="es-ES" w:eastAsia="es-ES" w:bidi="es-ES"/>
        </w:rPr>
      </w:pPr>
    </w:p>
    <w:p w14:paraId="5A486EE4" w14:textId="2A723645" w:rsidR="00D921B5" w:rsidRPr="00D67C1A" w:rsidRDefault="00D921B5" w:rsidP="00D67C1A">
      <w:pPr>
        <w:widowControl w:val="0"/>
        <w:autoSpaceDE w:val="0"/>
        <w:autoSpaceDN w:val="0"/>
        <w:spacing w:after="120" w:line="276" w:lineRule="auto"/>
        <w:ind w:firstLine="709"/>
        <w:jc w:val="both"/>
        <w:rPr>
          <w:rFonts w:ascii="Arial" w:eastAsia="Arial" w:hAnsi="Arial" w:cs="Arial"/>
          <w:sz w:val="22"/>
          <w:lang w:val="es-ES" w:eastAsia="es-ES" w:bidi="es-ES"/>
        </w:rPr>
      </w:pPr>
      <w:r w:rsidRPr="00D67C1A">
        <w:rPr>
          <w:rFonts w:ascii="Arial" w:eastAsia="Arial" w:hAnsi="Arial" w:cs="Arial"/>
          <w:sz w:val="22"/>
          <w:lang w:val="es-ES" w:eastAsia="es-ES" w:bidi="es-ES"/>
        </w:rPr>
        <w:t xml:space="preserve">En este sentido, reiterando el principio de inalterabilidad, las entidades solo pueden modificar aquello que el documento tipo permita. Por ello, debido a que la primera hoja del Formulario 1 – Formulario del Presupuesto Oficial </w:t>
      </w:r>
      <w:r w:rsidR="00E92892" w:rsidRPr="00D67C1A">
        <w:rPr>
          <w:rFonts w:ascii="Arial" w:eastAsia="Arial" w:hAnsi="Arial" w:cs="Arial"/>
          <w:sz w:val="22"/>
          <w:lang w:val="es-ES" w:eastAsia="es-ES" w:bidi="es-ES"/>
        </w:rPr>
        <w:t>parcialmente impide</w:t>
      </w:r>
      <w:r w:rsidRPr="00D67C1A">
        <w:rPr>
          <w:rFonts w:ascii="Arial" w:eastAsia="Arial" w:hAnsi="Arial" w:cs="Arial"/>
          <w:sz w:val="22"/>
          <w:lang w:val="es-ES" w:eastAsia="es-ES" w:bidi="es-ES"/>
        </w:rPr>
        <w:t xml:space="preserve"> su modificación en los procesos estructurados por precios unitarios, no será posible omitir alguno de los componentes del A.I.U. Bajo ese entendido, las entidades no podrán eliminar o modificar la fila correspondiente al imprevisto, ni eliminar o modificar las «Nota 1 a 3» que versan sobre el uso de precios unitarios con componentes del A.I.U.</w:t>
      </w:r>
    </w:p>
    <w:p w14:paraId="27D2FBCB" w14:textId="662FAE26" w:rsidR="00D921B5" w:rsidRPr="00D67C1A" w:rsidRDefault="00D921B5" w:rsidP="00D67C1A">
      <w:pPr>
        <w:widowControl w:val="0"/>
        <w:autoSpaceDE w:val="0"/>
        <w:autoSpaceDN w:val="0"/>
        <w:spacing w:before="120" w:line="276" w:lineRule="auto"/>
        <w:ind w:firstLine="709"/>
        <w:jc w:val="both"/>
        <w:rPr>
          <w:rFonts w:ascii="Arial" w:eastAsia="Arial" w:hAnsi="Arial" w:cs="Arial"/>
          <w:sz w:val="22"/>
          <w:lang w:val="es-ES" w:eastAsia="es-ES" w:bidi="es-ES"/>
        </w:rPr>
      </w:pPr>
      <w:r w:rsidRPr="00D67C1A">
        <w:rPr>
          <w:rFonts w:ascii="Arial" w:eastAsia="Arial" w:hAnsi="Arial" w:cs="Arial"/>
          <w:sz w:val="22"/>
          <w:lang w:eastAsia="es-ES" w:bidi="es-ES"/>
        </w:rPr>
        <w:t xml:space="preserve">De otra parte, </w:t>
      </w:r>
      <w:r w:rsidRPr="00D67C1A">
        <w:rPr>
          <w:rFonts w:ascii="Arial" w:eastAsia="Arial" w:hAnsi="Arial" w:cs="Arial"/>
          <w:sz w:val="22"/>
          <w:lang w:val="es-ES" w:eastAsia="es-ES" w:bidi="es-ES"/>
        </w:rPr>
        <w:t>en los documentos tipo para procesos de licitación pública de obras de infraestructura de transporte, el «Formulario 1</w:t>
      </w:r>
      <w:r w:rsidRPr="00D67C1A">
        <w:rPr>
          <w:rFonts w:ascii="Arial" w:eastAsia="Calibri" w:hAnsi="Arial" w:cs="Arial"/>
          <w:sz w:val="22"/>
          <w:lang w:val="es-ES" w:eastAsia="es-ES" w:bidi="es-ES"/>
        </w:rPr>
        <w:t>» en su segunda pestaña en Excel, titulada «Formulario 1 propuesta económica»</w:t>
      </w:r>
      <w:r w:rsidRPr="00D67C1A">
        <w:rPr>
          <w:rFonts w:ascii="Arial" w:eastAsia="Arial" w:hAnsi="Arial" w:cs="Arial"/>
          <w:sz w:val="22"/>
          <w:lang w:val="es-ES" w:eastAsia="es-ES" w:bidi="es-ES"/>
        </w:rPr>
        <w:t xml:space="preserve"> señala en la parte superior derecha: «[La entidad puede utilizar este formulario de presentación de propuesta económica de forma </w:t>
      </w:r>
      <w:r w:rsidRPr="00D67C1A">
        <w:rPr>
          <w:rFonts w:ascii="Arial" w:eastAsia="Arial" w:hAnsi="Arial" w:cs="Arial"/>
          <w:sz w:val="22"/>
          <w:lang w:val="es-ES" w:eastAsia="es-ES" w:bidi="es-ES"/>
        </w:rPr>
        <w:lastRenderedPageBreak/>
        <w:t xml:space="preserve">detallada, sin perjuicio que la entidad pueda modificarlo o establecer la presentación de la oferta económica con un formulario distinto al indicado.]». </w:t>
      </w:r>
      <w:r w:rsidRPr="00D67C1A">
        <w:rPr>
          <w:rFonts w:ascii="Arial" w:eastAsia="Calibri" w:hAnsi="Arial" w:cs="Arial"/>
          <w:color w:val="000000"/>
          <w:sz w:val="22"/>
          <w:lang w:val="es-ES_tradnl"/>
        </w:rPr>
        <w:t>Igualmente, se indica que los proponentes emplearán el formulario establecido por la entidad para determinar su propuesta económica conforme al Formulario 1 - Presupuesto Oficial publicado por la Entidad. Esto</w:t>
      </w:r>
      <w:r w:rsidRPr="00D67C1A">
        <w:rPr>
          <w:rFonts w:ascii="Arial" w:eastAsia="Calibri" w:hAnsi="Arial" w:cs="Arial"/>
          <w:sz w:val="22"/>
          <w:lang w:val="es-ES_tradnl"/>
        </w:rPr>
        <w:t xml:space="preserve"> significa </w:t>
      </w:r>
      <w:r w:rsidRPr="00D67C1A">
        <w:rPr>
          <w:rFonts w:ascii="Arial" w:eastAsia="Calibri" w:hAnsi="Arial" w:cs="Arial"/>
          <w:sz w:val="22"/>
          <w:lang w:val="es-ES"/>
        </w:rPr>
        <w:t>que las entidades pueden diseñar un formulario para que los proponentes presenten su oferta económica, sin que sea obligatorio sujetarse al formulario que los documentos tipo proponen para el efecto.</w:t>
      </w:r>
      <w:r w:rsidRPr="00D67C1A">
        <w:rPr>
          <w:rFonts w:ascii="Arial" w:eastAsia="Arial" w:hAnsi="Arial" w:cs="Arial"/>
          <w:bCs/>
          <w:sz w:val="22"/>
          <w:lang w:val="es-ES"/>
        </w:rPr>
        <w:t xml:space="preserve"> En todo caso, el proponente deberá emplear el formulario que establezca la entidad. </w:t>
      </w:r>
    </w:p>
    <w:p w14:paraId="641261DA" w14:textId="6F6BE2D2" w:rsidR="00D921B5" w:rsidRPr="00D67C1A" w:rsidRDefault="00D921B5" w:rsidP="00E92892">
      <w:pPr>
        <w:widowControl w:val="0"/>
        <w:autoSpaceDE w:val="0"/>
        <w:autoSpaceDN w:val="0"/>
        <w:spacing w:before="120" w:line="276" w:lineRule="auto"/>
        <w:ind w:firstLine="709"/>
        <w:jc w:val="both"/>
        <w:rPr>
          <w:rFonts w:ascii="Arial" w:eastAsia="Arial" w:hAnsi="Arial" w:cs="Arial"/>
          <w:bCs/>
          <w:sz w:val="22"/>
          <w:lang w:val="es-ES"/>
        </w:rPr>
      </w:pPr>
      <w:r w:rsidRPr="00D67C1A">
        <w:rPr>
          <w:rFonts w:ascii="Arial" w:eastAsia="Arial" w:hAnsi="Arial" w:cs="Arial"/>
          <w:bCs/>
          <w:sz w:val="22"/>
          <w:lang w:val="es-ES"/>
        </w:rPr>
        <w:t xml:space="preserve">Lo anterior es concordante con lo dispuesto en el numeral 4.1 del Documento Base, que establece que la entidad «debe configurar el formato de oferta económica que se encuentra en el Formulario 1 – Formulario de Presupuesto Oficial, para que sea diligenciado por los proponentes». En tales términos, la presentación de la oferta económica por parte del proponente se realizará teniendo en cuenta el formato determinado por la entidad, sea el que configure de acuerdo con el Formulario 1 o aquel que disponga sobre el particular. Adicionalmente, los proponentes al presentar su oferta deberán ceñirse a las reglas para la presentación de oferta establecidas en los numerales 2.3 y 4.1 del Documento Base, así como observar el análisis de precios unitarios, procurando no ofertar por encima de los valores tope establecidos por la entidad para algunos de los </w:t>
      </w:r>
      <w:r w:rsidRPr="00D67C1A">
        <w:rPr>
          <w:rFonts w:ascii="Arial" w:eastAsia="Arial" w:hAnsi="Arial" w:cs="Arial"/>
          <w:bCs/>
          <w:i/>
          <w:iCs/>
          <w:sz w:val="22"/>
          <w:lang w:val="es-ES"/>
        </w:rPr>
        <w:t>ítems</w:t>
      </w:r>
      <w:r w:rsidRPr="00D67C1A">
        <w:rPr>
          <w:rFonts w:ascii="Arial" w:eastAsia="Arial" w:hAnsi="Arial" w:cs="Arial"/>
          <w:bCs/>
          <w:sz w:val="22"/>
          <w:lang w:val="es-ES"/>
        </w:rPr>
        <w:t xml:space="preserve">, en caso de que se opte por dicha regulación.  </w:t>
      </w:r>
    </w:p>
    <w:p w14:paraId="01BCD09F" w14:textId="7A98C709" w:rsidR="0053424F" w:rsidRPr="00D67C1A" w:rsidRDefault="00D921B5" w:rsidP="00E92892">
      <w:pPr>
        <w:widowControl w:val="0"/>
        <w:autoSpaceDE w:val="0"/>
        <w:autoSpaceDN w:val="0"/>
        <w:spacing w:before="120" w:line="276" w:lineRule="auto"/>
        <w:ind w:firstLine="709"/>
        <w:jc w:val="both"/>
        <w:rPr>
          <w:rFonts w:ascii="Arial" w:eastAsia="Calibri" w:hAnsi="Arial" w:cs="Arial"/>
          <w:sz w:val="22"/>
          <w:lang w:val="es-ES"/>
        </w:rPr>
      </w:pPr>
      <w:r w:rsidRPr="00D67C1A">
        <w:rPr>
          <w:rFonts w:ascii="Arial" w:eastAsia="Calibri" w:hAnsi="Arial" w:cs="Arial"/>
          <w:sz w:val="22"/>
          <w:lang w:val="es-ES"/>
        </w:rPr>
        <w:t>Así las cosas, los oferentes deben usar la segunda pestaña del «Formulario 1 – Formulario de Presupuesto Oficial» puesta a disposición en formato Excel por la respectiva entidad, titulada «propuesta económica», sin perjuicio de que las entidades estatales modifiquen o establezcan la presentación de la oferta económica en un formulario distinto</w:t>
      </w:r>
      <w:r w:rsidR="00F835D8" w:rsidRPr="00D67C1A">
        <w:rPr>
          <w:rFonts w:ascii="Arial" w:eastAsia="Calibri" w:hAnsi="Arial" w:cs="Arial"/>
          <w:sz w:val="22"/>
          <w:lang w:val="es-ES"/>
        </w:rPr>
        <w:t xml:space="preserve"> o que realicen modificaciones parciales al mismo, dentro de las posibilidades que admite el mismo Formulario.</w:t>
      </w:r>
    </w:p>
    <w:p w14:paraId="2E810C13" w14:textId="1810B16A" w:rsidR="005530C0" w:rsidRPr="00D67C1A" w:rsidRDefault="005530C0" w:rsidP="00E92892">
      <w:pPr>
        <w:widowControl w:val="0"/>
        <w:autoSpaceDE w:val="0"/>
        <w:autoSpaceDN w:val="0"/>
        <w:spacing w:before="120" w:line="276" w:lineRule="auto"/>
        <w:ind w:firstLine="709"/>
        <w:jc w:val="both"/>
        <w:rPr>
          <w:rFonts w:ascii="Arial" w:eastAsia="Arial" w:hAnsi="Arial" w:cs="Arial"/>
          <w:sz w:val="22"/>
          <w:lang w:val="es-ES" w:eastAsia="es-ES" w:bidi="es-ES"/>
        </w:rPr>
      </w:pPr>
      <w:r w:rsidRPr="00D67C1A">
        <w:rPr>
          <w:rFonts w:ascii="Arial" w:eastAsia="Calibri" w:hAnsi="Arial" w:cs="Arial"/>
          <w:sz w:val="22"/>
          <w:lang w:val="es-ES"/>
        </w:rPr>
        <w:t xml:space="preserve">En línea con lo anterior, cabe precisar que </w:t>
      </w:r>
      <w:proofErr w:type="spellStart"/>
      <w:r w:rsidRPr="00D67C1A">
        <w:rPr>
          <w:rFonts w:ascii="Arial" w:eastAsia="Calibri" w:hAnsi="Arial" w:cs="Arial"/>
          <w:sz w:val="22"/>
          <w:lang w:val="es-ES"/>
        </w:rPr>
        <w:t>considraciones</w:t>
      </w:r>
      <w:proofErr w:type="spellEnd"/>
      <w:r w:rsidRPr="00D67C1A">
        <w:rPr>
          <w:rFonts w:ascii="Arial" w:eastAsia="Calibri" w:hAnsi="Arial" w:cs="Arial"/>
          <w:sz w:val="22"/>
          <w:lang w:val="es-ES"/>
        </w:rPr>
        <w:t xml:space="preserve"> similares a las realizadas frente a la primera pestaña de Excel, donde la entidad elabora el presupuesto oficial, son aplicables a la segunda pestaña donde la entidad configura el formulario mediante el cual los proponentes presentarán sus </w:t>
      </w:r>
      <w:proofErr w:type="gramStart"/>
      <w:r w:rsidRPr="00D67C1A">
        <w:rPr>
          <w:rFonts w:ascii="Arial" w:eastAsia="Calibri" w:hAnsi="Arial" w:cs="Arial"/>
          <w:sz w:val="22"/>
          <w:lang w:val="es-ES"/>
        </w:rPr>
        <w:t>ofertas económica</w:t>
      </w:r>
      <w:proofErr w:type="gramEnd"/>
      <w:r w:rsidRPr="00D67C1A">
        <w:rPr>
          <w:rFonts w:ascii="Arial" w:eastAsia="Calibri" w:hAnsi="Arial" w:cs="Arial"/>
          <w:sz w:val="22"/>
          <w:lang w:val="es-ES"/>
        </w:rPr>
        <w:t>, lo anterior debido a que ambas pestañas tienen instrucciones similares respecto a su configuración por parte de las entidades estatales. En efecto, es posible, como se señaló anteriormente, que la entidad configure un formulario distinto para la presentación de las ofertas económica</w:t>
      </w:r>
      <w:r w:rsidR="00091301" w:rsidRPr="00D67C1A">
        <w:rPr>
          <w:rFonts w:ascii="Arial" w:eastAsia="Calibri" w:hAnsi="Arial" w:cs="Arial"/>
          <w:sz w:val="22"/>
          <w:lang w:val="es-ES"/>
        </w:rPr>
        <w:t xml:space="preserve">s o que lo modifique. Sin embargo, la segunda pestaña de Excel tiene la instrucción </w:t>
      </w:r>
      <w:proofErr w:type="spellStart"/>
      <w:r w:rsidR="00091301" w:rsidRPr="00D67C1A">
        <w:rPr>
          <w:rFonts w:ascii="Arial" w:eastAsia="Calibri" w:hAnsi="Arial" w:cs="Arial"/>
          <w:sz w:val="22"/>
          <w:lang w:val="es-ES"/>
        </w:rPr>
        <w:t>consistenete</w:t>
      </w:r>
      <w:proofErr w:type="spellEnd"/>
      <w:r w:rsidR="00091301" w:rsidRPr="00D67C1A">
        <w:rPr>
          <w:rFonts w:ascii="Arial" w:eastAsia="Calibri" w:hAnsi="Arial" w:cs="Arial"/>
          <w:sz w:val="22"/>
          <w:lang w:val="es-ES"/>
        </w:rPr>
        <w:t xml:space="preserve"> en que: «</w:t>
      </w:r>
      <w:r w:rsidR="00091301" w:rsidRPr="00D67C1A">
        <w:t>c</w:t>
      </w:r>
      <w:proofErr w:type="spellStart"/>
      <w:r w:rsidR="00091301" w:rsidRPr="00D67C1A">
        <w:rPr>
          <w:rFonts w:ascii="Arial" w:eastAsia="Calibri" w:hAnsi="Arial" w:cs="Arial"/>
          <w:sz w:val="22"/>
          <w:lang w:val="es-ES"/>
        </w:rPr>
        <w:t>uando</w:t>
      </w:r>
      <w:proofErr w:type="spellEnd"/>
      <w:r w:rsidR="00091301" w:rsidRPr="00D67C1A">
        <w:rPr>
          <w:rFonts w:ascii="Arial" w:eastAsia="Calibri" w:hAnsi="Arial" w:cs="Arial"/>
          <w:sz w:val="22"/>
          <w:lang w:val="es-ES"/>
        </w:rPr>
        <w:t xml:space="preserve"> el proceso de contratación es estructurado por precios unitarios, la Entidad debe aplicar las notas 1, 2 y 3 del presente formato y las casillas de "Descripción", "Porcentaje" de la Administración, Imprevisto, </w:t>
      </w:r>
      <w:proofErr w:type="gramStart"/>
      <w:r w:rsidR="00091301" w:rsidRPr="00D67C1A">
        <w:rPr>
          <w:rFonts w:ascii="Arial" w:eastAsia="Calibri" w:hAnsi="Arial" w:cs="Arial"/>
          <w:sz w:val="22"/>
          <w:lang w:val="es-ES"/>
        </w:rPr>
        <w:t>Utilidad  y</w:t>
      </w:r>
      <w:proofErr w:type="gramEnd"/>
      <w:r w:rsidR="00091301" w:rsidRPr="00D67C1A">
        <w:rPr>
          <w:rFonts w:ascii="Arial" w:eastAsia="Calibri" w:hAnsi="Arial" w:cs="Arial"/>
          <w:sz w:val="22"/>
          <w:lang w:val="es-ES"/>
        </w:rPr>
        <w:t xml:space="preserve"> total  A.I.U.  resaltadas en color amarillo». En este sentido, cuando se trate de un proceso estructurado por precios unitarios, la entidad obligatoriamente debe mantener y aplicar las notas 1, 2 y 3; además </w:t>
      </w:r>
      <w:r w:rsidR="00091301" w:rsidRPr="00D67C1A">
        <w:rPr>
          <w:rFonts w:ascii="Arial" w:eastAsia="Calibri" w:hAnsi="Arial" w:cs="Arial"/>
          <w:sz w:val="22"/>
          <w:lang w:val="es-ES"/>
        </w:rPr>
        <w:lastRenderedPageBreak/>
        <w:t xml:space="preserve">de mantener las casillas de "Descripción", "Porcentaje" de la Administración, Imprevisto, </w:t>
      </w:r>
      <w:proofErr w:type="gramStart"/>
      <w:r w:rsidR="00091301" w:rsidRPr="00D67C1A">
        <w:rPr>
          <w:rFonts w:ascii="Arial" w:eastAsia="Calibri" w:hAnsi="Arial" w:cs="Arial"/>
          <w:sz w:val="22"/>
          <w:lang w:val="es-ES"/>
        </w:rPr>
        <w:t>Utilidad  y</w:t>
      </w:r>
      <w:proofErr w:type="gramEnd"/>
      <w:r w:rsidR="00091301" w:rsidRPr="00D67C1A">
        <w:rPr>
          <w:rFonts w:ascii="Arial" w:eastAsia="Calibri" w:hAnsi="Arial" w:cs="Arial"/>
          <w:sz w:val="22"/>
          <w:lang w:val="es-ES"/>
        </w:rPr>
        <w:t xml:space="preserve"> total  A.I.U. P</w:t>
      </w:r>
      <w:r w:rsidR="00091301" w:rsidRPr="00D67C1A">
        <w:rPr>
          <w:rFonts w:ascii="Arial" w:eastAsia="Arial" w:hAnsi="Arial" w:cs="Arial"/>
          <w:sz w:val="22"/>
          <w:lang w:val="es-ES" w:eastAsia="es-ES" w:bidi="es-ES"/>
        </w:rPr>
        <w:t xml:space="preserve">or ende, se incluirá el porcentaje respectivo a la: i) administración, </w:t>
      </w:r>
      <w:proofErr w:type="spellStart"/>
      <w:r w:rsidR="00091301" w:rsidRPr="00D67C1A">
        <w:rPr>
          <w:rFonts w:ascii="Arial" w:eastAsia="Arial" w:hAnsi="Arial" w:cs="Arial"/>
          <w:sz w:val="22"/>
          <w:lang w:val="es-ES" w:eastAsia="es-ES" w:bidi="es-ES"/>
        </w:rPr>
        <w:t>ii</w:t>
      </w:r>
      <w:proofErr w:type="spellEnd"/>
      <w:r w:rsidR="00091301" w:rsidRPr="00D67C1A">
        <w:rPr>
          <w:rFonts w:ascii="Arial" w:eastAsia="Arial" w:hAnsi="Arial" w:cs="Arial"/>
          <w:sz w:val="22"/>
          <w:lang w:val="es-ES" w:eastAsia="es-ES" w:bidi="es-ES"/>
        </w:rPr>
        <w:t xml:space="preserve">) imprevistos y </w:t>
      </w:r>
      <w:proofErr w:type="spellStart"/>
      <w:r w:rsidR="00091301" w:rsidRPr="00D67C1A">
        <w:rPr>
          <w:rFonts w:ascii="Arial" w:eastAsia="Arial" w:hAnsi="Arial" w:cs="Arial"/>
          <w:sz w:val="22"/>
          <w:lang w:val="es-ES" w:eastAsia="es-ES" w:bidi="es-ES"/>
        </w:rPr>
        <w:t>iii</w:t>
      </w:r>
      <w:proofErr w:type="spellEnd"/>
      <w:r w:rsidR="00091301" w:rsidRPr="00D67C1A">
        <w:rPr>
          <w:rFonts w:ascii="Arial" w:eastAsia="Arial" w:hAnsi="Arial" w:cs="Arial"/>
          <w:sz w:val="22"/>
          <w:lang w:val="es-ES" w:eastAsia="es-ES" w:bidi="es-ES"/>
        </w:rPr>
        <w:t xml:space="preserve">) utilidad. </w:t>
      </w:r>
    </w:p>
    <w:p w14:paraId="5372E41B" w14:textId="3E5B2F85" w:rsidR="00091301" w:rsidRPr="00D67C1A" w:rsidRDefault="00091301" w:rsidP="00E92892">
      <w:pPr>
        <w:widowControl w:val="0"/>
        <w:autoSpaceDE w:val="0"/>
        <w:autoSpaceDN w:val="0"/>
        <w:spacing w:before="120" w:line="276" w:lineRule="auto"/>
        <w:ind w:firstLine="709"/>
        <w:jc w:val="both"/>
        <w:rPr>
          <w:rFonts w:ascii="Arial" w:eastAsia="Calibri" w:hAnsi="Arial" w:cs="Arial"/>
          <w:sz w:val="22"/>
          <w:lang w:val="es-ES"/>
        </w:rPr>
      </w:pPr>
      <w:r w:rsidRPr="00D67C1A">
        <w:rPr>
          <w:rFonts w:ascii="Arial" w:eastAsia="Arial" w:hAnsi="Arial" w:cs="Arial"/>
          <w:sz w:val="22"/>
          <w:lang w:val="es-ES" w:eastAsia="es-ES" w:bidi="es-ES"/>
        </w:rPr>
        <w:t>Sin perjuicio de las restricciones anteriores, respecto a la modificación del formulario que las entidades pondrán a dispo</w:t>
      </w:r>
      <w:r w:rsidR="00856AF9" w:rsidRPr="00D67C1A">
        <w:rPr>
          <w:rFonts w:ascii="Arial" w:eastAsia="Arial" w:hAnsi="Arial" w:cs="Arial"/>
          <w:sz w:val="22"/>
          <w:lang w:val="es-ES" w:eastAsia="es-ES" w:bidi="es-ES"/>
        </w:rPr>
        <w:t>si</w:t>
      </w:r>
      <w:r w:rsidRPr="00D67C1A">
        <w:rPr>
          <w:rFonts w:ascii="Arial" w:eastAsia="Arial" w:hAnsi="Arial" w:cs="Arial"/>
          <w:sz w:val="22"/>
          <w:lang w:val="es-ES" w:eastAsia="es-ES" w:bidi="es-ES"/>
        </w:rPr>
        <w:t>ción de los oferentes para la presentación de las ofertas económicas,</w:t>
      </w:r>
      <w:r w:rsidR="00856AF9" w:rsidRPr="00D67C1A">
        <w:rPr>
          <w:rFonts w:ascii="Arial" w:eastAsia="Arial" w:hAnsi="Arial" w:cs="Arial"/>
          <w:sz w:val="22"/>
          <w:lang w:val="es-ES" w:eastAsia="es-ES" w:bidi="es-ES"/>
        </w:rPr>
        <w:t xml:space="preserve"> que aplican cuando el proceso se estructura por precios unitarios,</w:t>
      </w:r>
      <w:r w:rsidRPr="00D67C1A">
        <w:rPr>
          <w:rFonts w:ascii="Arial" w:eastAsia="Arial" w:hAnsi="Arial" w:cs="Arial"/>
          <w:sz w:val="22"/>
          <w:lang w:val="es-ES" w:eastAsia="es-ES" w:bidi="es-ES"/>
        </w:rPr>
        <w:t xml:space="preserve"> es posible, como se desprende de las instrucciones del formulario, que se realicen </w:t>
      </w:r>
      <w:proofErr w:type="spellStart"/>
      <w:r w:rsidRPr="00D67C1A">
        <w:rPr>
          <w:rFonts w:ascii="Arial" w:eastAsia="Arial" w:hAnsi="Arial" w:cs="Arial"/>
          <w:sz w:val="22"/>
          <w:lang w:val="es-ES" w:eastAsia="es-ES" w:bidi="es-ES"/>
        </w:rPr>
        <w:t>modificiones</w:t>
      </w:r>
      <w:proofErr w:type="spellEnd"/>
      <w:r w:rsidRPr="00D67C1A">
        <w:rPr>
          <w:rFonts w:ascii="Arial" w:eastAsia="Arial" w:hAnsi="Arial" w:cs="Arial"/>
          <w:sz w:val="22"/>
          <w:lang w:val="es-ES" w:eastAsia="es-ES" w:bidi="es-ES"/>
        </w:rPr>
        <w:t xml:space="preserve"> al mismo, lo que permitiría, por ejemplo, incluir notas</w:t>
      </w:r>
      <w:r w:rsidR="00A83B73" w:rsidRPr="00D67C1A">
        <w:rPr>
          <w:rFonts w:ascii="Arial" w:eastAsia="Arial" w:hAnsi="Arial" w:cs="Arial"/>
          <w:sz w:val="22"/>
          <w:lang w:val="es-ES" w:eastAsia="es-ES" w:bidi="es-ES"/>
        </w:rPr>
        <w:t xml:space="preserve"> adicionales</w:t>
      </w:r>
      <w:r w:rsidR="00856AF9" w:rsidRPr="00D67C1A">
        <w:rPr>
          <w:rFonts w:ascii="Arial" w:eastAsia="Arial" w:hAnsi="Arial" w:cs="Arial"/>
          <w:sz w:val="22"/>
          <w:lang w:val="es-ES" w:eastAsia="es-ES" w:bidi="es-ES"/>
        </w:rPr>
        <w:t xml:space="preserve">. En todo caso, </w:t>
      </w:r>
      <w:r w:rsidR="002E35BE" w:rsidRPr="00D67C1A">
        <w:rPr>
          <w:rFonts w:ascii="Arial" w:eastAsia="Arial" w:hAnsi="Arial" w:cs="Arial"/>
          <w:sz w:val="22"/>
          <w:lang w:val="es-ES" w:eastAsia="es-ES" w:bidi="es-ES"/>
        </w:rPr>
        <w:t>l</w:t>
      </w:r>
      <w:r w:rsidR="00856AF9" w:rsidRPr="00D67C1A">
        <w:rPr>
          <w:rFonts w:ascii="Arial" w:eastAsia="Arial" w:hAnsi="Arial" w:cs="Arial"/>
          <w:sz w:val="22"/>
          <w:lang w:val="es-ES" w:eastAsia="es-ES" w:bidi="es-ES"/>
        </w:rPr>
        <w:t xml:space="preserve">as eventuales </w:t>
      </w:r>
      <w:proofErr w:type="spellStart"/>
      <w:r w:rsidR="00856AF9" w:rsidRPr="00D67C1A">
        <w:rPr>
          <w:rFonts w:ascii="Arial" w:eastAsia="Arial" w:hAnsi="Arial" w:cs="Arial"/>
          <w:sz w:val="22"/>
          <w:lang w:val="es-ES" w:eastAsia="es-ES" w:bidi="es-ES"/>
        </w:rPr>
        <w:t>modifciones</w:t>
      </w:r>
      <w:proofErr w:type="spellEnd"/>
      <w:r w:rsidR="00856AF9" w:rsidRPr="00D67C1A">
        <w:rPr>
          <w:rFonts w:ascii="Arial" w:eastAsia="Arial" w:hAnsi="Arial" w:cs="Arial"/>
          <w:sz w:val="22"/>
          <w:lang w:val="es-ES" w:eastAsia="es-ES" w:bidi="es-ES"/>
        </w:rPr>
        <w:t xml:space="preserve"> que se realicen al formulario deben respetar las demás reglas establecidas en los documentos tipo, por lo que no sería posible incluir notas o </w:t>
      </w:r>
      <w:proofErr w:type="spellStart"/>
      <w:r w:rsidR="00856AF9" w:rsidRPr="00D67C1A">
        <w:rPr>
          <w:rFonts w:ascii="Arial" w:eastAsia="Arial" w:hAnsi="Arial" w:cs="Arial"/>
          <w:sz w:val="22"/>
          <w:lang w:val="es-ES" w:eastAsia="es-ES" w:bidi="es-ES"/>
        </w:rPr>
        <w:t>modificiones</w:t>
      </w:r>
      <w:proofErr w:type="spellEnd"/>
      <w:r w:rsidR="00856AF9" w:rsidRPr="00D67C1A">
        <w:rPr>
          <w:rFonts w:ascii="Arial" w:eastAsia="Arial" w:hAnsi="Arial" w:cs="Arial"/>
          <w:sz w:val="22"/>
          <w:lang w:val="es-ES" w:eastAsia="es-ES" w:bidi="es-ES"/>
        </w:rPr>
        <w:t xml:space="preserve"> que impliquen alterar otras reglas dispuestas en dichos documentos.</w:t>
      </w:r>
    </w:p>
    <w:p w14:paraId="7DDEBDD2" w14:textId="77777777" w:rsidR="00F835D8" w:rsidRPr="00D67C1A" w:rsidRDefault="00F835D8" w:rsidP="00D67C1A">
      <w:pPr>
        <w:widowControl w:val="0"/>
        <w:autoSpaceDE w:val="0"/>
        <w:autoSpaceDN w:val="0"/>
        <w:spacing w:before="120" w:line="276" w:lineRule="auto"/>
        <w:ind w:firstLine="709"/>
        <w:jc w:val="both"/>
        <w:rPr>
          <w:rFonts w:ascii="Arial" w:eastAsia="Calibri" w:hAnsi="Arial" w:cs="Arial"/>
          <w:sz w:val="22"/>
        </w:rPr>
      </w:pPr>
    </w:p>
    <w:p w14:paraId="44E20D10" w14:textId="7356ED25" w:rsidR="007C2EF0" w:rsidRPr="00D67C1A" w:rsidRDefault="007C2EF0" w:rsidP="00767D99">
      <w:pPr>
        <w:spacing w:line="276" w:lineRule="auto"/>
        <w:jc w:val="both"/>
        <w:rPr>
          <w:rFonts w:ascii="Arial" w:eastAsia="Calibri" w:hAnsi="Arial" w:cs="Arial"/>
          <w:b/>
          <w:sz w:val="22"/>
        </w:rPr>
      </w:pPr>
      <w:r w:rsidRPr="00D67C1A">
        <w:rPr>
          <w:rFonts w:ascii="Arial" w:eastAsia="Calibri" w:hAnsi="Arial" w:cs="Arial"/>
          <w:b/>
          <w:sz w:val="22"/>
        </w:rPr>
        <w:t xml:space="preserve">3. Respuesta. </w:t>
      </w:r>
    </w:p>
    <w:p w14:paraId="2F1BFB33" w14:textId="19B6DD5A" w:rsidR="007C2EF0" w:rsidRPr="00D67C1A" w:rsidRDefault="007C2EF0" w:rsidP="00802EB9">
      <w:pPr>
        <w:jc w:val="both"/>
        <w:rPr>
          <w:rFonts w:ascii="Arial" w:eastAsia="Calibri" w:hAnsi="Arial" w:cs="Arial"/>
          <w:b/>
          <w:sz w:val="22"/>
        </w:rPr>
      </w:pPr>
    </w:p>
    <w:p w14:paraId="6A3E7C3E" w14:textId="77777777" w:rsidR="00CC2A26" w:rsidRPr="00D67C1A" w:rsidRDefault="00CC2A26" w:rsidP="00CC2A26">
      <w:pPr>
        <w:pStyle w:val="Textoindependiente"/>
        <w:ind w:left="709" w:right="709"/>
        <w:jc w:val="both"/>
        <w:rPr>
          <w:rFonts w:eastAsia="Calibri"/>
          <w:color w:val="000000"/>
          <w:sz w:val="21"/>
          <w:szCs w:val="21"/>
          <w:lang w:val="es-MX"/>
        </w:rPr>
      </w:pPr>
      <w:r w:rsidRPr="00D67C1A">
        <w:rPr>
          <w:color w:val="000000" w:themeColor="text1"/>
          <w:sz w:val="21"/>
          <w:szCs w:val="21"/>
          <w:lang w:val="es-ES_tradnl"/>
        </w:rPr>
        <w:t>«</w:t>
      </w:r>
      <w:r w:rsidRPr="00D67C1A">
        <w:rPr>
          <w:rFonts w:eastAsia="Calibri"/>
          <w:color w:val="000000"/>
          <w:sz w:val="21"/>
          <w:szCs w:val="21"/>
          <w:lang w:val="es-MX"/>
        </w:rPr>
        <w:t>[…] 1. Respecto al Formulario No. 1, ¿Pueden las entidades alterar este documento tipo añadiendo más columnas requiriendo a los proponentes información adicional?</w:t>
      </w:r>
    </w:p>
    <w:p w14:paraId="7A314A6F" w14:textId="77777777" w:rsidR="00CC2A26" w:rsidRPr="00D67C1A" w:rsidRDefault="00CC2A26" w:rsidP="00CC2A26">
      <w:pPr>
        <w:pStyle w:val="Textoindependiente"/>
        <w:ind w:left="709" w:right="709"/>
        <w:jc w:val="both"/>
        <w:rPr>
          <w:rFonts w:eastAsia="Calibri"/>
          <w:color w:val="000000"/>
          <w:sz w:val="21"/>
          <w:szCs w:val="21"/>
          <w:lang w:val="es-MX"/>
        </w:rPr>
      </w:pPr>
    </w:p>
    <w:p w14:paraId="50018473" w14:textId="77777777" w:rsidR="00CC2A26" w:rsidRPr="00D67C1A" w:rsidRDefault="00CC2A26" w:rsidP="00CC2A26">
      <w:pPr>
        <w:pStyle w:val="Textoindependiente"/>
        <w:ind w:left="709" w:right="709"/>
        <w:jc w:val="both"/>
        <w:rPr>
          <w:rFonts w:eastAsia="Calibri"/>
          <w:color w:val="000000"/>
          <w:sz w:val="21"/>
          <w:szCs w:val="21"/>
          <w:lang w:val="es-MX"/>
        </w:rPr>
      </w:pPr>
      <w:r w:rsidRPr="00D67C1A">
        <w:rPr>
          <w:rFonts w:eastAsia="Calibri"/>
          <w:color w:val="000000"/>
          <w:sz w:val="21"/>
          <w:szCs w:val="21"/>
          <w:lang w:val="es-MX"/>
        </w:rPr>
        <w:t xml:space="preserve">Ejemplo: El Formulario No. 1 tipo indica que la Entidad debe diligenciar los ítems del proyecto teniendo en cuenta las siguientes columnas: </w:t>
      </w:r>
      <w:proofErr w:type="spellStart"/>
      <w:r w:rsidRPr="00D67C1A">
        <w:rPr>
          <w:rFonts w:eastAsia="Calibri"/>
          <w:color w:val="000000"/>
          <w:sz w:val="21"/>
          <w:szCs w:val="21"/>
          <w:lang w:val="es-MX"/>
        </w:rPr>
        <w:t>N°</w:t>
      </w:r>
      <w:proofErr w:type="spellEnd"/>
      <w:r w:rsidRPr="00D67C1A">
        <w:rPr>
          <w:rFonts w:eastAsia="Calibri"/>
          <w:color w:val="000000"/>
          <w:sz w:val="21"/>
          <w:szCs w:val="21"/>
          <w:lang w:val="es-MX"/>
        </w:rPr>
        <w:t xml:space="preserve">, ÍTEM DE PAGO, ESPECIFICACIONES (GENERAL Y PARTICULAR), DESCRIPCIÓN, UND., CANTIDAD, VALOR UNITARIO y VALOR TOTAL; ¿Puede la Entidad adicionar y/o modificar las columnas del Formulario No. 1 así: </w:t>
      </w:r>
      <w:proofErr w:type="spellStart"/>
      <w:r w:rsidRPr="00D67C1A">
        <w:rPr>
          <w:rFonts w:eastAsia="Calibri"/>
          <w:color w:val="000000"/>
          <w:sz w:val="21"/>
          <w:szCs w:val="21"/>
          <w:lang w:val="es-MX"/>
        </w:rPr>
        <w:t>N°</w:t>
      </w:r>
      <w:proofErr w:type="spellEnd"/>
      <w:r w:rsidRPr="00D67C1A">
        <w:rPr>
          <w:rFonts w:eastAsia="Calibri"/>
          <w:color w:val="000000"/>
          <w:sz w:val="21"/>
          <w:szCs w:val="21"/>
          <w:lang w:val="es-MX"/>
        </w:rPr>
        <w:t>, ITEM DE PAGO, ESPECIFICACIONES (GENERAL Y PARTICULAR), DESCRIPCION, UND., CANTIDAD, VALOR UNITARIO OFICIAL (ADICIONADO EL AIU), SUBTOTAL OFICIAL, VALOR UNITARIO OFERTADO, VALOR UNITARIO OFERTADO (ADICIONADO EL AIU), SUBTOTAL OFERTADO?</w:t>
      </w:r>
    </w:p>
    <w:p w14:paraId="654320FE" w14:textId="77777777" w:rsidR="00CC2A26" w:rsidRPr="00D67C1A" w:rsidRDefault="00CC2A26" w:rsidP="00CC2A26">
      <w:pPr>
        <w:pStyle w:val="Textoindependiente"/>
        <w:ind w:left="709" w:right="709"/>
        <w:jc w:val="both"/>
        <w:rPr>
          <w:sz w:val="21"/>
          <w:szCs w:val="21"/>
        </w:rPr>
      </w:pPr>
    </w:p>
    <w:p w14:paraId="5B559BB8" w14:textId="77777777" w:rsidR="00CC2A26" w:rsidRPr="00D67C1A" w:rsidRDefault="00CC2A26" w:rsidP="00CC2A26">
      <w:pPr>
        <w:pStyle w:val="Textoindependiente"/>
        <w:ind w:left="709" w:right="709"/>
        <w:jc w:val="both"/>
        <w:rPr>
          <w:rFonts w:eastAsia="Calibri"/>
          <w:color w:val="000000"/>
          <w:sz w:val="21"/>
          <w:szCs w:val="21"/>
          <w:lang w:val="es-MX"/>
        </w:rPr>
      </w:pPr>
      <w:r w:rsidRPr="00D67C1A">
        <w:rPr>
          <w:rFonts w:eastAsia="Calibri"/>
          <w:color w:val="000000"/>
          <w:sz w:val="21"/>
          <w:szCs w:val="21"/>
          <w:lang w:val="es-MX"/>
        </w:rPr>
        <w:t>Si la respuesta anterior es afirmativa, y la Entidad puede adicionar estas columnas, ¿Cómo se aplicaría el redondeo en las columnas VALOR UNITARIO OFERTADO Y VALOR UNITARIO OFERTADO (ADICIONADO EL AIU); ya que la columna VALOR UNITARIO OFERTADO (ADICIONADO EL AIU) depende de la columna VALOR UNITARIO OFERTADO? ¿Puede la Entidad aplicar redondeos a su libre discreción?</w:t>
      </w:r>
    </w:p>
    <w:p w14:paraId="7E43CDD0" w14:textId="77777777" w:rsidR="00CC2A26" w:rsidRPr="00D67C1A" w:rsidRDefault="00CC2A26" w:rsidP="00CC2A26">
      <w:pPr>
        <w:pStyle w:val="Textoindependiente"/>
        <w:ind w:left="709"/>
        <w:jc w:val="both"/>
        <w:rPr>
          <w:rFonts w:eastAsia="Calibri"/>
          <w:color w:val="000000"/>
          <w:sz w:val="21"/>
          <w:szCs w:val="21"/>
          <w:lang w:val="es-MX"/>
        </w:rPr>
      </w:pPr>
    </w:p>
    <w:p w14:paraId="6762F178" w14:textId="0A3B9AF4" w:rsidR="00621206" w:rsidRPr="00D67C1A" w:rsidRDefault="00CC2A26" w:rsidP="00CC2A26">
      <w:pPr>
        <w:ind w:left="709" w:right="709"/>
        <w:jc w:val="both"/>
        <w:rPr>
          <w:rFonts w:ascii="Arial" w:eastAsia="Calibri" w:hAnsi="Arial" w:cs="Arial"/>
          <w:color w:val="000000"/>
          <w:sz w:val="21"/>
          <w:szCs w:val="21"/>
        </w:rPr>
      </w:pPr>
      <w:r w:rsidRPr="00D67C1A">
        <w:rPr>
          <w:rFonts w:ascii="Arial" w:eastAsia="Calibri" w:hAnsi="Arial" w:cs="Arial"/>
          <w:color w:val="000000"/>
          <w:sz w:val="21"/>
          <w:szCs w:val="21"/>
        </w:rPr>
        <w:t xml:space="preserve">2. De igual forma, respecto a la alteración del Formulario No. 1 tipo, ¿Puede la </w:t>
      </w:r>
      <w:proofErr w:type="gramStart"/>
      <w:r w:rsidRPr="00D67C1A">
        <w:rPr>
          <w:rFonts w:ascii="Arial" w:eastAsia="Calibri" w:hAnsi="Arial" w:cs="Arial"/>
          <w:color w:val="000000"/>
          <w:sz w:val="21"/>
          <w:szCs w:val="21"/>
        </w:rPr>
        <w:t>Entidad  adicionar</w:t>
      </w:r>
      <w:proofErr w:type="gramEnd"/>
      <w:r w:rsidRPr="00D67C1A">
        <w:rPr>
          <w:rFonts w:ascii="Arial" w:eastAsia="Calibri" w:hAnsi="Arial" w:cs="Arial"/>
          <w:color w:val="000000"/>
          <w:sz w:val="21"/>
          <w:szCs w:val="21"/>
        </w:rPr>
        <w:t xml:space="preserve"> Notas en este formulario?</w:t>
      </w:r>
      <w:r w:rsidRPr="00D67C1A">
        <w:rPr>
          <w:rFonts w:ascii="Arial" w:hAnsi="Arial" w:cs="Arial"/>
          <w:color w:val="000000" w:themeColor="text1"/>
          <w:sz w:val="21"/>
          <w:szCs w:val="21"/>
          <w:lang w:val="es-ES_tradnl"/>
        </w:rPr>
        <w:t>»</w:t>
      </w:r>
      <w:r w:rsidR="00621206" w:rsidRPr="00D67C1A">
        <w:rPr>
          <w:rFonts w:ascii="Arial" w:eastAsia="Calibri" w:hAnsi="Arial" w:cs="Arial"/>
          <w:color w:val="000000"/>
          <w:sz w:val="21"/>
          <w:szCs w:val="21"/>
        </w:rPr>
        <w:t xml:space="preserve"> </w:t>
      </w:r>
    </w:p>
    <w:p w14:paraId="7840343D" w14:textId="7CF80EEC" w:rsidR="00AE7F59" w:rsidRPr="00D67C1A" w:rsidRDefault="00AE7F59" w:rsidP="00525253">
      <w:pPr>
        <w:ind w:left="709" w:right="709"/>
        <w:jc w:val="both"/>
        <w:rPr>
          <w:rFonts w:ascii="Arial" w:eastAsia="Calibri" w:hAnsi="Arial" w:cs="Arial"/>
          <w:color w:val="000000"/>
          <w:sz w:val="21"/>
          <w:szCs w:val="21"/>
        </w:rPr>
      </w:pPr>
    </w:p>
    <w:p w14:paraId="3162BA72" w14:textId="76F96B08" w:rsidR="00B34B73" w:rsidRPr="00D67C1A" w:rsidRDefault="00571E3F" w:rsidP="00D67C1A">
      <w:pPr>
        <w:spacing w:after="120" w:line="276" w:lineRule="auto"/>
        <w:jc w:val="both"/>
        <w:rPr>
          <w:rFonts w:ascii="Arial" w:eastAsia="Calibri" w:hAnsi="Arial" w:cs="Arial"/>
          <w:sz w:val="22"/>
          <w:lang w:val="es-ES_tradnl"/>
        </w:rPr>
      </w:pPr>
      <w:r w:rsidRPr="00D67C1A">
        <w:rPr>
          <w:rFonts w:ascii="Arial" w:hAnsi="Arial" w:cs="Arial"/>
          <w:bCs/>
          <w:sz w:val="22"/>
        </w:rPr>
        <w:t>Para efectos prácticos estas dos preguntas se agrupan por unidad de materia, y para su respuesta se precisa que, c</w:t>
      </w:r>
      <w:proofErr w:type="spellStart"/>
      <w:r w:rsidR="005946C7" w:rsidRPr="00D67C1A">
        <w:rPr>
          <w:rFonts w:ascii="Arial" w:hAnsi="Arial" w:cs="Arial"/>
          <w:color w:val="000000" w:themeColor="text1"/>
          <w:sz w:val="22"/>
          <w:lang w:val="es-ES_tradnl"/>
        </w:rPr>
        <w:t>omo</w:t>
      </w:r>
      <w:proofErr w:type="spellEnd"/>
      <w:r w:rsidR="005946C7" w:rsidRPr="00D67C1A">
        <w:rPr>
          <w:rFonts w:ascii="Arial" w:hAnsi="Arial" w:cs="Arial"/>
          <w:color w:val="000000" w:themeColor="text1"/>
          <w:sz w:val="22"/>
          <w:lang w:val="es-ES_tradnl"/>
        </w:rPr>
        <w:t xml:space="preserve"> se señaló al principio de este concepto, la Agencia Nacional de Contratación Pública – Colombia Compra Eficiente ha emitido pronunciamientos sobre el principio de inalterabilidad de los documentos tipo, el uso del Formulario 1 – Formulario de Presupuesto Oficial y la configuración del AIU en los</w:t>
      </w:r>
      <w:r w:rsidR="00E55CA3" w:rsidRPr="00D67C1A">
        <w:rPr>
          <w:rFonts w:ascii="Arial" w:hAnsi="Arial" w:cs="Arial"/>
          <w:color w:val="000000" w:themeColor="text1"/>
          <w:sz w:val="22"/>
          <w:lang w:val="es-ES_tradnl"/>
        </w:rPr>
        <w:t xml:space="preserve"> procesos </w:t>
      </w:r>
      <w:r w:rsidR="00E55CA3" w:rsidRPr="00D67C1A">
        <w:rPr>
          <w:rFonts w:ascii="Arial" w:hAnsi="Arial" w:cs="Arial"/>
          <w:color w:val="000000" w:themeColor="text1"/>
          <w:sz w:val="22"/>
          <w:lang w:val="es-ES_tradnl"/>
        </w:rPr>
        <w:lastRenderedPageBreak/>
        <w:t>regidos por</w:t>
      </w:r>
      <w:r w:rsidR="005946C7" w:rsidRPr="00D67C1A">
        <w:rPr>
          <w:rFonts w:ascii="Arial" w:hAnsi="Arial" w:cs="Arial"/>
          <w:color w:val="000000" w:themeColor="text1"/>
          <w:sz w:val="22"/>
          <w:lang w:val="es-ES_tradnl"/>
        </w:rPr>
        <w:t xml:space="preserve"> Documentos Tipo</w:t>
      </w:r>
      <w:r w:rsidR="00E55CA3" w:rsidRPr="00D67C1A">
        <w:rPr>
          <w:rFonts w:ascii="Arial" w:hAnsi="Arial" w:cs="Arial"/>
          <w:color w:val="000000" w:themeColor="text1"/>
          <w:sz w:val="22"/>
          <w:lang w:val="es-ES_tradnl"/>
        </w:rPr>
        <w:t>.</w:t>
      </w:r>
      <w:r w:rsidR="005946C7" w:rsidRPr="00D67C1A">
        <w:rPr>
          <w:rFonts w:ascii="Arial" w:hAnsi="Arial" w:cs="Arial"/>
          <w:color w:val="000000" w:themeColor="text1"/>
          <w:sz w:val="22"/>
          <w:lang w:val="es-ES_tradnl"/>
        </w:rPr>
        <w:t xml:space="preserve"> </w:t>
      </w:r>
      <w:r w:rsidR="00E55CA3" w:rsidRPr="00D67C1A">
        <w:rPr>
          <w:rFonts w:ascii="Arial" w:hAnsi="Arial" w:cs="Arial"/>
          <w:color w:val="000000" w:themeColor="text1"/>
          <w:sz w:val="22"/>
          <w:lang w:val="es-ES_tradnl"/>
        </w:rPr>
        <w:t>C</w:t>
      </w:r>
      <w:r w:rsidR="00235341" w:rsidRPr="00D67C1A">
        <w:rPr>
          <w:rFonts w:ascii="Arial" w:hAnsi="Arial" w:cs="Arial"/>
          <w:color w:val="000000" w:themeColor="text1"/>
          <w:sz w:val="22"/>
          <w:lang w:val="es-ES_tradnl"/>
        </w:rPr>
        <w:t>onforme a lo expuesto, e</w:t>
      </w:r>
      <w:r w:rsidR="00D441C6" w:rsidRPr="00D67C1A">
        <w:rPr>
          <w:rFonts w:ascii="Arial" w:hAnsi="Arial" w:cs="Arial"/>
          <w:color w:val="000000" w:themeColor="text1"/>
          <w:sz w:val="22"/>
          <w:lang w:val="es-ES_tradnl"/>
        </w:rPr>
        <w:t>sta Subdirección</w:t>
      </w:r>
      <w:r w:rsidR="005946C7" w:rsidRPr="00D67C1A">
        <w:rPr>
          <w:rFonts w:ascii="Arial" w:hAnsi="Arial" w:cs="Arial"/>
          <w:color w:val="000000" w:themeColor="text1"/>
          <w:sz w:val="22"/>
          <w:lang w:val="es-ES_tradnl"/>
        </w:rPr>
        <w:t xml:space="preserve"> mantiene </w:t>
      </w:r>
      <w:r w:rsidR="00D441C6" w:rsidRPr="00D67C1A">
        <w:rPr>
          <w:rFonts w:ascii="Arial" w:hAnsi="Arial" w:cs="Arial"/>
          <w:color w:val="000000" w:themeColor="text1"/>
          <w:sz w:val="22"/>
          <w:lang w:val="es-ES_tradnl"/>
        </w:rPr>
        <w:t>la postura que se reitera en el presente concepto</w:t>
      </w:r>
      <w:r w:rsidR="00EA538A" w:rsidRPr="00D67C1A">
        <w:rPr>
          <w:rFonts w:ascii="Arial" w:hAnsi="Arial" w:cs="Arial"/>
          <w:color w:val="000000" w:themeColor="text1"/>
          <w:sz w:val="22"/>
          <w:lang w:val="es-ES_tradnl"/>
        </w:rPr>
        <w:t xml:space="preserve"> y es la siguiente</w:t>
      </w:r>
      <w:r w:rsidR="00D441C6" w:rsidRPr="00D67C1A">
        <w:rPr>
          <w:rFonts w:ascii="Arial" w:hAnsi="Arial" w:cs="Arial"/>
          <w:color w:val="000000" w:themeColor="text1"/>
          <w:sz w:val="22"/>
          <w:lang w:val="es-ES_tradnl"/>
        </w:rPr>
        <w:t xml:space="preserve">: </w:t>
      </w:r>
      <w:r w:rsidR="00B34B73" w:rsidRPr="00D67C1A">
        <w:rPr>
          <w:rFonts w:ascii="Arial" w:hAnsi="Arial" w:cs="Arial"/>
          <w:color w:val="000000" w:themeColor="text1"/>
          <w:sz w:val="22"/>
          <w:lang w:val="es-ES_tradnl"/>
        </w:rPr>
        <w:t>p</w:t>
      </w:r>
      <w:r w:rsidR="00D441C6" w:rsidRPr="00D67C1A">
        <w:rPr>
          <w:rFonts w:ascii="Arial" w:hAnsi="Arial" w:cs="Arial"/>
          <w:color w:val="000000" w:themeColor="text1"/>
          <w:sz w:val="22"/>
          <w:lang w:val="es-ES_tradnl"/>
        </w:rPr>
        <w:t xml:space="preserve">or regla general, </w:t>
      </w:r>
      <w:r w:rsidR="00B34B73" w:rsidRPr="00D67C1A">
        <w:rPr>
          <w:rFonts w:ascii="Arial" w:hAnsi="Arial" w:cs="Arial"/>
          <w:color w:val="000000" w:themeColor="text1"/>
          <w:sz w:val="22"/>
          <w:lang w:val="es-ES_tradnl"/>
        </w:rPr>
        <w:t>c</w:t>
      </w:r>
      <w:r w:rsidR="00B34B73" w:rsidRPr="00D67C1A">
        <w:rPr>
          <w:rFonts w:ascii="Arial" w:eastAsia="Calibri" w:hAnsi="Arial" w:cs="Arial"/>
          <w:sz w:val="22"/>
          <w:lang w:val="es-ES_tradnl"/>
        </w:rPr>
        <w:t xml:space="preserve">onforme al artículo 1 de la Ley 2022 de 2020 </w:t>
      </w:r>
      <w:r w:rsidR="00E55CA3" w:rsidRPr="00D67C1A">
        <w:rPr>
          <w:rFonts w:ascii="Arial" w:eastAsia="Calibri" w:hAnsi="Arial" w:cs="Arial"/>
          <w:sz w:val="22"/>
          <w:lang w:val="es-ES_tradnl"/>
        </w:rPr>
        <w:t>aplica</w:t>
      </w:r>
      <w:r w:rsidR="00B34B73" w:rsidRPr="00D67C1A">
        <w:rPr>
          <w:rFonts w:ascii="Arial" w:eastAsia="Calibri" w:hAnsi="Arial" w:cs="Arial"/>
          <w:sz w:val="22"/>
          <w:lang w:val="es-ES_tradnl"/>
        </w:rPr>
        <w:t xml:space="preserve"> la </w:t>
      </w:r>
      <w:r w:rsidR="00E55CA3" w:rsidRPr="00D67C1A">
        <w:rPr>
          <w:rFonts w:ascii="Arial" w:eastAsia="Calibri" w:hAnsi="Arial" w:cs="Arial"/>
          <w:sz w:val="22"/>
          <w:lang w:val="es-ES_tradnl"/>
        </w:rPr>
        <w:t xml:space="preserve">regla de la </w:t>
      </w:r>
      <w:r w:rsidR="00B34B73" w:rsidRPr="00D67C1A">
        <w:rPr>
          <w:rFonts w:ascii="Arial" w:eastAsia="Calibri" w:hAnsi="Arial" w:cs="Arial"/>
          <w:sz w:val="22"/>
          <w:lang w:val="es-ES_tradnl"/>
        </w:rPr>
        <w:t xml:space="preserve">inalterabilidad de los documentos tipo, y en esta línea, las entidades públicas deberán sujetarse a las reglas establecidas en los documentos tipo, dispuestas en las diferentes resoluciones expedidas por la Agencia, por lo que no pueden hacer excepciones bajo una supuesta discrecionalidad a estas reglas que son obligatorias. </w:t>
      </w:r>
      <w:r w:rsidR="00A83B73" w:rsidRPr="00D67C1A">
        <w:rPr>
          <w:rFonts w:ascii="Arial" w:eastAsia="Calibri" w:hAnsi="Arial" w:cs="Arial"/>
          <w:sz w:val="22"/>
          <w:lang w:val="es-ES_tradnl"/>
        </w:rPr>
        <w:t xml:space="preserve">Lo anterior, sin perjuicio de las instrucciones establecidas en los mismos documentos tipo mediante las </w:t>
      </w:r>
      <w:proofErr w:type="spellStart"/>
      <w:r w:rsidR="00A83B73" w:rsidRPr="00D67C1A">
        <w:rPr>
          <w:rFonts w:ascii="Arial" w:eastAsia="Calibri" w:hAnsi="Arial" w:cs="Arial"/>
          <w:sz w:val="22"/>
          <w:lang w:val="es-ES_tradnl"/>
        </w:rPr>
        <w:t>caules</w:t>
      </w:r>
      <w:proofErr w:type="spellEnd"/>
      <w:r w:rsidR="00A83B73" w:rsidRPr="00D67C1A">
        <w:rPr>
          <w:rFonts w:ascii="Arial" w:eastAsia="Calibri" w:hAnsi="Arial" w:cs="Arial"/>
          <w:sz w:val="22"/>
          <w:lang w:val="es-ES_tradnl"/>
        </w:rPr>
        <w:t xml:space="preserve"> se autoriza su modificación, especialmente, en aquellos apartados entre corchetes y resaltados en gris, por lo que las entidades podrán modificar el contenido de los documentos tipo en aquellos contenidos que estos lo permitan, de acuerdo con las mismas instrucciones establecidas en los documentos tipo.</w:t>
      </w:r>
    </w:p>
    <w:p w14:paraId="45541023" w14:textId="598BF9F1" w:rsidR="00B34B73" w:rsidRPr="00D67C1A" w:rsidRDefault="00B34B73" w:rsidP="00D67C1A">
      <w:pPr>
        <w:spacing w:after="120" w:line="276" w:lineRule="auto"/>
        <w:ind w:firstLine="709"/>
        <w:jc w:val="both"/>
        <w:rPr>
          <w:rFonts w:ascii="Arial" w:eastAsia="Calibri" w:hAnsi="Arial" w:cs="Arial"/>
          <w:bCs/>
          <w:sz w:val="22"/>
        </w:rPr>
      </w:pPr>
      <w:r w:rsidRPr="00D67C1A">
        <w:rPr>
          <w:rFonts w:ascii="Arial" w:eastAsia="Calibri" w:hAnsi="Arial" w:cs="Arial"/>
          <w:bCs/>
          <w:sz w:val="22"/>
        </w:rPr>
        <w:t>Esta regla de inalterabilidad también aplica a los formatos, formularios y anexos implementados junto con el «Documento Base», los cuales deben usarse en el procedimiento de contratación. Estos, al igual que el «Documento Base», contienen apartes entre corchetes y resaltados en gris, los cuales deben ser diligenciados por la entidad, al igual que otros aspectos relativos a información que debe ser completada por los oferentes al hacer uso del formato</w:t>
      </w:r>
      <w:r w:rsidR="0012201D" w:rsidRPr="00D67C1A">
        <w:rPr>
          <w:rFonts w:ascii="Arial" w:eastAsia="Calibri" w:hAnsi="Arial" w:cs="Arial"/>
          <w:bCs/>
          <w:sz w:val="22"/>
        </w:rPr>
        <w:t xml:space="preserve"> o instrucciones precisas que autoricen la </w:t>
      </w:r>
      <w:proofErr w:type="spellStart"/>
      <w:r w:rsidR="0012201D" w:rsidRPr="00D67C1A">
        <w:rPr>
          <w:rFonts w:ascii="Arial" w:eastAsia="Calibri" w:hAnsi="Arial" w:cs="Arial"/>
          <w:bCs/>
          <w:sz w:val="22"/>
        </w:rPr>
        <w:t>modifición</w:t>
      </w:r>
      <w:proofErr w:type="spellEnd"/>
      <w:r w:rsidR="0012201D" w:rsidRPr="00D67C1A">
        <w:rPr>
          <w:rFonts w:ascii="Arial" w:eastAsia="Calibri" w:hAnsi="Arial" w:cs="Arial"/>
          <w:bCs/>
          <w:sz w:val="22"/>
        </w:rPr>
        <w:t xml:space="preserve"> de su contenido.</w:t>
      </w:r>
    </w:p>
    <w:p w14:paraId="69D6C875" w14:textId="6A0087A9" w:rsidR="00B90546" w:rsidRPr="00D67C1A" w:rsidRDefault="00B34B73" w:rsidP="00D67C1A">
      <w:pPr>
        <w:spacing w:after="120" w:line="276" w:lineRule="auto"/>
        <w:ind w:firstLine="709"/>
        <w:jc w:val="both"/>
        <w:rPr>
          <w:rFonts w:ascii="Arial" w:eastAsia="Arial" w:hAnsi="Arial" w:cs="Arial"/>
          <w:sz w:val="22"/>
          <w:lang w:val="es-ES" w:eastAsia="es-ES" w:bidi="es-ES"/>
        </w:rPr>
      </w:pPr>
      <w:r w:rsidRPr="00D67C1A">
        <w:rPr>
          <w:rFonts w:ascii="Arial" w:eastAsia="Calibri" w:hAnsi="Arial" w:cs="Arial"/>
          <w:sz w:val="22"/>
          <w:lang w:val="es-ES_tradnl"/>
        </w:rPr>
        <w:t xml:space="preserve"> </w:t>
      </w:r>
      <w:r w:rsidR="00EA538A" w:rsidRPr="00D67C1A">
        <w:rPr>
          <w:rFonts w:ascii="Arial" w:eastAsia="Calibri" w:hAnsi="Arial" w:cs="Arial"/>
          <w:sz w:val="22"/>
          <w:lang w:val="es-ES_tradnl"/>
        </w:rPr>
        <w:t xml:space="preserve">En línea con lo anterior, </w:t>
      </w:r>
      <w:r w:rsidR="007554BF" w:rsidRPr="00D67C1A">
        <w:rPr>
          <w:rFonts w:ascii="Arial" w:eastAsia="Calibri" w:hAnsi="Arial" w:cs="Arial"/>
          <w:sz w:val="22"/>
          <w:lang w:val="es-ES_tradnl"/>
        </w:rPr>
        <w:t>el</w:t>
      </w:r>
      <w:r w:rsidR="00EA538A" w:rsidRPr="00D67C1A">
        <w:rPr>
          <w:rFonts w:ascii="Arial" w:eastAsia="Calibri" w:hAnsi="Arial" w:cs="Arial"/>
          <w:sz w:val="22"/>
          <w:lang w:val="es-ES_tradnl"/>
        </w:rPr>
        <w:t xml:space="preserve"> </w:t>
      </w:r>
      <w:r w:rsidR="00B90546" w:rsidRPr="00D67C1A">
        <w:rPr>
          <w:rFonts w:ascii="Arial" w:eastAsia="Calibri" w:hAnsi="Arial" w:cs="Arial"/>
          <w:bCs/>
          <w:sz w:val="22"/>
        </w:rPr>
        <w:t>«Formulario 1 – Formulario de Presupuesto Oficial»</w:t>
      </w:r>
      <w:r w:rsidR="00571E3F" w:rsidRPr="00D67C1A">
        <w:rPr>
          <w:rFonts w:ascii="Arial" w:eastAsia="Calibri" w:hAnsi="Arial" w:cs="Arial"/>
          <w:bCs/>
          <w:sz w:val="22"/>
        </w:rPr>
        <w:t xml:space="preserve"> de los Documentos tipo de licitación de obra pública de infraestructura de transporte - versión 3, </w:t>
      </w:r>
      <w:r w:rsidR="00B90546" w:rsidRPr="00D67C1A">
        <w:rPr>
          <w:rFonts w:ascii="Arial" w:eastAsia="Calibri" w:hAnsi="Arial" w:cs="Arial"/>
          <w:bCs/>
          <w:sz w:val="22"/>
        </w:rPr>
        <w:t xml:space="preserve">permite </w:t>
      </w:r>
      <w:proofErr w:type="gramStart"/>
      <w:r w:rsidR="00B90546" w:rsidRPr="00D67C1A">
        <w:rPr>
          <w:rFonts w:ascii="Arial" w:eastAsia="Calibri" w:hAnsi="Arial" w:cs="Arial"/>
          <w:bCs/>
          <w:sz w:val="22"/>
        </w:rPr>
        <w:t>que</w:t>
      </w:r>
      <w:proofErr w:type="gramEnd"/>
      <w:r w:rsidR="00B90546" w:rsidRPr="00D67C1A">
        <w:rPr>
          <w:rFonts w:ascii="Arial" w:eastAsia="Calibri" w:hAnsi="Arial" w:cs="Arial"/>
          <w:bCs/>
          <w:sz w:val="22"/>
        </w:rPr>
        <w:t xml:space="preserve"> para efectos de la presentación de la propuesta económica, </w:t>
      </w:r>
      <w:r w:rsidR="0012201D" w:rsidRPr="00D67C1A">
        <w:rPr>
          <w:rFonts w:ascii="Arial" w:eastAsia="Calibri" w:hAnsi="Arial" w:cs="Arial"/>
          <w:bCs/>
          <w:sz w:val="22"/>
        </w:rPr>
        <w:t xml:space="preserve">que </w:t>
      </w:r>
      <w:r w:rsidR="00B90546" w:rsidRPr="00D67C1A">
        <w:rPr>
          <w:rFonts w:ascii="Arial" w:eastAsia="Calibri" w:hAnsi="Arial" w:cs="Arial"/>
          <w:bCs/>
          <w:sz w:val="22"/>
        </w:rPr>
        <w:t>la entidad estatal pueda modificar el formulario o exigir otro diferente</w:t>
      </w:r>
      <w:r w:rsidR="0012201D" w:rsidRPr="00D67C1A">
        <w:rPr>
          <w:rFonts w:ascii="Arial" w:eastAsia="Calibri" w:hAnsi="Arial" w:cs="Arial"/>
          <w:bCs/>
          <w:sz w:val="22"/>
        </w:rPr>
        <w:t xml:space="preserve"> –sin perjuicio de las precisiones que se realizarán en los párrafos siguientes–. En este sentido, </w:t>
      </w:r>
      <w:r w:rsidR="00B90546" w:rsidRPr="00D67C1A">
        <w:rPr>
          <w:rFonts w:ascii="Arial" w:eastAsia="Arial" w:hAnsi="Arial" w:cs="Arial"/>
          <w:sz w:val="22"/>
          <w:lang w:val="es-ES" w:eastAsia="es-ES" w:bidi="es-ES"/>
        </w:rPr>
        <w:t>el «Formulario 1</w:t>
      </w:r>
      <w:r w:rsidR="00B90546" w:rsidRPr="00D67C1A">
        <w:rPr>
          <w:rFonts w:ascii="Arial" w:eastAsia="Calibri" w:hAnsi="Arial" w:cs="Arial"/>
          <w:sz w:val="22"/>
          <w:lang w:val="es-ES" w:eastAsia="es-ES" w:bidi="es-ES"/>
        </w:rPr>
        <w:t>» en su segunda pestaña en Excel, titulada «Formulario 1 propuesta económica»</w:t>
      </w:r>
      <w:r w:rsidR="00B90546" w:rsidRPr="00D67C1A">
        <w:rPr>
          <w:rFonts w:ascii="Arial" w:eastAsia="Arial" w:hAnsi="Arial" w:cs="Arial"/>
          <w:sz w:val="22"/>
          <w:lang w:val="es-ES" w:eastAsia="es-ES" w:bidi="es-ES"/>
        </w:rPr>
        <w:t xml:space="preserve"> señala en la parte superior derecha: «[La entidad puede utilizar este formulario de presentación de propuesta económica de forma detallada, sin perjuicio que la entidad pueda modificarlo o establecer la presentación de la oferta económica con un formulario distinto al indicado.]». </w:t>
      </w:r>
      <w:r w:rsidR="00B90546" w:rsidRPr="00D67C1A">
        <w:rPr>
          <w:rFonts w:ascii="Arial" w:eastAsia="Calibri" w:hAnsi="Arial" w:cs="Arial"/>
          <w:color w:val="000000"/>
          <w:sz w:val="22"/>
          <w:lang w:val="es-ES_tradnl"/>
        </w:rPr>
        <w:t>Igualmente, se indica que los proponentes emplearán el formulario establecido por la entidad para determinar su propuesta económica conforme al Formulario 1 - Presupuesto Oficial publicado por la Entidad. Esto</w:t>
      </w:r>
      <w:r w:rsidR="00B90546" w:rsidRPr="00D67C1A">
        <w:rPr>
          <w:rFonts w:ascii="Arial" w:eastAsia="Calibri" w:hAnsi="Arial" w:cs="Arial"/>
          <w:sz w:val="22"/>
          <w:lang w:val="es-ES_tradnl"/>
        </w:rPr>
        <w:t xml:space="preserve"> significa </w:t>
      </w:r>
      <w:r w:rsidR="00B90546" w:rsidRPr="00D67C1A">
        <w:rPr>
          <w:rFonts w:ascii="Arial" w:eastAsia="Calibri" w:hAnsi="Arial" w:cs="Arial"/>
          <w:sz w:val="22"/>
          <w:lang w:val="es-ES"/>
        </w:rPr>
        <w:t>que las entidades pueden diseñar un formulario para que los proponentes presenten su oferta económica, sin que sea obligatorio sujetarse al formulario que los documentos tipo proponen para el efecto.</w:t>
      </w:r>
      <w:r w:rsidR="00B90546" w:rsidRPr="00D67C1A">
        <w:rPr>
          <w:rFonts w:ascii="Arial" w:eastAsia="Arial" w:hAnsi="Arial" w:cs="Arial"/>
          <w:bCs/>
          <w:sz w:val="22"/>
          <w:lang w:val="es-ES"/>
        </w:rPr>
        <w:t xml:space="preserve"> En todo caso, el proponente deberá emplear el formulario que establezca la entidad. </w:t>
      </w:r>
    </w:p>
    <w:p w14:paraId="6FD51F52" w14:textId="763427D1" w:rsidR="00B90546" w:rsidRPr="00D67C1A" w:rsidRDefault="00B90546" w:rsidP="00D67C1A">
      <w:pPr>
        <w:widowControl w:val="0"/>
        <w:autoSpaceDE w:val="0"/>
        <w:autoSpaceDN w:val="0"/>
        <w:spacing w:after="120" w:line="276" w:lineRule="auto"/>
        <w:ind w:firstLine="709"/>
        <w:jc w:val="both"/>
        <w:rPr>
          <w:rFonts w:ascii="Arial" w:eastAsia="Arial" w:hAnsi="Arial" w:cs="Arial"/>
          <w:bCs/>
          <w:sz w:val="22"/>
          <w:lang w:val="es-ES"/>
        </w:rPr>
      </w:pPr>
      <w:r w:rsidRPr="00D67C1A">
        <w:rPr>
          <w:rFonts w:ascii="Arial" w:eastAsia="Arial" w:hAnsi="Arial" w:cs="Arial"/>
          <w:bCs/>
          <w:sz w:val="22"/>
          <w:lang w:val="es-ES"/>
        </w:rPr>
        <w:t xml:space="preserve">Lo anterior es concordante con lo dispuesto en el numeral 4.1 del Documento Base, que establece que la entidad «debe configurar el formato de oferta económica que se encuentra en el Formulario 1 – Formulario de Presupuesto Oficial, para que sea diligenciado por los proponentes». En tales términos, la presentación de la oferta económica por parte del proponente se realizará teniendo en cuenta el formato </w:t>
      </w:r>
      <w:r w:rsidRPr="00D67C1A">
        <w:rPr>
          <w:rFonts w:ascii="Arial" w:eastAsia="Arial" w:hAnsi="Arial" w:cs="Arial"/>
          <w:bCs/>
          <w:sz w:val="22"/>
          <w:lang w:val="es-ES"/>
        </w:rPr>
        <w:lastRenderedPageBreak/>
        <w:t xml:space="preserve">determinado por la entidad, sea el que configure de acuerdo con el Formulario 1 o aquel que disponga sobre el particular.  </w:t>
      </w:r>
    </w:p>
    <w:p w14:paraId="6D09ACFA" w14:textId="3050FFD8" w:rsidR="00B34B73" w:rsidRPr="00D67C1A" w:rsidRDefault="00B90546" w:rsidP="00D67C1A">
      <w:pPr>
        <w:spacing w:after="120" w:line="276" w:lineRule="auto"/>
        <w:ind w:firstLine="709"/>
        <w:jc w:val="both"/>
        <w:rPr>
          <w:rFonts w:ascii="Arial" w:hAnsi="Arial" w:cs="Arial"/>
          <w:color w:val="000000" w:themeColor="text1"/>
          <w:sz w:val="22"/>
          <w:lang w:val="es-ES_tradnl"/>
        </w:rPr>
      </w:pPr>
      <w:r w:rsidRPr="00D67C1A">
        <w:rPr>
          <w:rFonts w:ascii="Arial" w:eastAsia="Calibri" w:hAnsi="Arial" w:cs="Arial"/>
          <w:sz w:val="22"/>
          <w:lang w:val="es-ES"/>
        </w:rPr>
        <w:t>Así las cosas, los oferentes deben usar la segunda pestaña del «Formulario 1 – Formulario de Presupuesto Oficial» puesta a disposición en formato Excel por la respectiva entidad, titulada «propuesta económica», sin perjuicio de que las entidades estatales modifiquen o establezcan la presentación de la oferta económica en un formulario distinto.</w:t>
      </w:r>
    </w:p>
    <w:p w14:paraId="5BF92E6F" w14:textId="77777777" w:rsidR="00A83B73" w:rsidRPr="00D67C1A" w:rsidRDefault="00EF0EE1" w:rsidP="00D67C1A">
      <w:pPr>
        <w:widowControl w:val="0"/>
        <w:autoSpaceDE w:val="0"/>
        <w:autoSpaceDN w:val="0"/>
        <w:spacing w:after="120" w:line="276" w:lineRule="auto"/>
        <w:ind w:firstLine="709"/>
        <w:jc w:val="both"/>
        <w:rPr>
          <w:rFonts w:ascii="Arial" w:eastAsia="Arial" w:hAnsi="Arial" w:cs="Arial"/>
          <w:sz w:val="22"/>
          <w:lang w:val="es-ES" w:eastAsia="es-ES" w:bidi="es-ES"/>
        </w:rPr>
      </w:pPr>
      <w:r w:rsidRPr="00D67C1A">
        <w:rPr>
          <w:rFonts w:ascii="Arial" w:eastAsia="Calibri" w:hAnsi="Arial" w:cs="Arial"/>
          <w:sz w:val="22"/>
        </w:rPr>
        <w:t xml:space="preserve">No obstante, dicho formulario establece la obligatoriedad de mantener cierto contenido, cuando el proceso se estructure bajo la metodología de precios unitarios, al señalar que: «Cuando el proceso de contratación es estructurado por precios unitarios, la Entidad debe aplicar las notas 1, 2 y 3 del presente formato y las casillas de "Descripción", "Porcentaje" de la Administración, Imprevisto, Utilidad y total A.I.U. resaltadas en color amarillo». </w:t>
      </w:r>
      <w:r w:rsidR="00A83B73" w:rsidRPr="00D67C1A">
        <w:rPr>
          <w:rFonts w:ascii="Arial" w:eastAsia="Calibri" w:hAnsi="Arial" w:cs="Arial"/>
          <w:sz w:val="22"/>
          <w:lang w:val="es-ES"/>
        </w:rPr>
        <w:t xml:space="preserve">En este sentido, cuando se trate de un proceso estructurado por precios unitarios, la entidad obligatoriamente debe mantener y aplicar las notas 1, 2 y 3; además de mantener las casillas de "Descripción", "Porcentaje" de la Administración, Imprevisto, </w:t>
      </w:r>
      <w:proofErr w:type="gramStart"/>
      <w:r w:rsidR="00A83B73" w:rsidRPr="00D67C1A">
        <w:rPr>
          <w:rFonts w:ascii="Arial" w:eastAsia="Calibri" w:hAnsi="Arial" w:cs="Arial"/>
          <w:sz w:val="22"/>
          <w:lang w:val="es-ES"/>
        </w:rPr>
        <w:t>Utilidad  y</w:t>
      </w:r>
      <w:proofErr w:type="gramEnd"/>
      <w:r w:rsidR="00A83B73" w:rsidRPr="00D67C1A">
        <w:rPr>
          <w:rFonts w:ascii="Arial" w:eastAsia="Calibri" w:hAnsi="Arial" w:cs="Arial"/>
          <w:sz w:val="22"/>
          <w:lang w:val="es-ES"/>
        </w:rPr>
        <w:t xml:space="preserve"> total  A.I.U. P</w:t>
      </w:r>
      <w:r w:rsidR="00A83B73" w:rsidRPr="00D67C1A">
        <w:rPr>
          <w:rFonts w:ascii="Arial" w:eastAsia="Arial" w:hAnsi="Arial" w:cs="Arial"/>
          <w:sz w:val="22"/>
          <w:lang w:val="es-ES" w:eastAsia="es-ES" w:bidi="es-ES"/>
        </w:rPr>
        <w:t xml:space="preserve">or ende, se incluirá el porcentaje respectivo a la: i) administración, </w:t>
      </w:r>
      <w:proofErr w:type="spellStart"/>
      <w:r w:rsidR="00A83B73" w:rsidRPr="00D67C1A">
        <w:rPr>
          <w:rFonts w:ascii="Arial" w:eastAsia="Arial" w:hAnsi="Arial" w:cs="Arial"/>
          <w:sz w:val="22"/>
          <w:lang w:val="es-ES" w:eastAsia="es-ES" w:bidi="es-ES"/>
        </w:rPr>
        <w:t>ii</w:t>
      </w:r>
      <w:proofErr w:type="spellEnd"/>
      <w:r w:rsidR="00A83B73" w:rsidRPr="00D67C1A">
        <w:rPr>
          <w:rFonts w:ascii="Arial" w:eastAsia="Arial" w:hAnsi="Arial" w:cs="Arial"/>
          <w:sz w:val="22"/>
          <w:lang w:val="es-ES" w:eastAsia="es-ES" w:bidi="es-ES"/>
        </w:rPr>
        <w:t xml:space="preserve">) imprevistos y </w:t>
      </w:r>
      <w:proofErr w:type="spellStart"/>
      <w:r w:rsidR="00A83B73" w:rsidRPr="00D67C1A">
        <w:rPr>
          <w:rFonts w:ascii="Arial" w:eastAsia="Arial" w:hAnsi="Arial" w:cs="Arial"/>
          <w:sz w:val="22"/>
          <w:lang w:val="es-ES" w:eastAsia="es-ES" w:bidi="es-ES"/>
        </w:rPr>
        <w:t>iii</w:t>
      </w:r>
      <w:proofErr w:type="spellEnd"/>
      <w:r w:rsidR="00A83B73" w:rsidRPr="00D67C1A">
        <w:rPr>
          <w:rFonts w:ascii="Arial" w:eastAsia="Arial" w:hAnsi="Arial" w:cs="Arial"/>
          <w:sz w:val="22"/>
          <w:lang w:val="es-ES" w:eastAsia="es-ES" w:bidi="es-ES"/>
        </w:rPr>
        <w:t xml:space="preserve">) utilidad. </w:t>
      </w:r>
    </w:p>
    <w:p w14:paraId="41B3C5AD" w14:textId="31615AED" w:rsidR="0006054C" w:rsidRPr="00D67C1A" w:rsidRDefault="00A83B73" w:rsidP="00D67C1A">
      <w:pPr>
        <w:spacing w:after="120" w:line="276" w:lineRule="auto"/>
        <w:ind w:firstLine="709"/>
        <w:jc w:val="both"/>
        <w:rPr>
          <w:rFonts w:ascii="Arial" w:eastAsia="Calibri" w:hAnsi="Arial" w:cs="Arial"/>
          <w:sz w:val="22"/>
        </w:rPr>
      </w:pPr>
      <w:r w:rsidRPr="00D67C1A">
        <w:rPr>
          <w:rFonts w:ascii="Arial" w:eastAsia="Arial" w:hAnsi="Arial" w:cs="Arial"/>
          <w:sz w:val="22"/>
          <w:lang w:val="es-ES" w:eastAsia="es-ES" w:bidi="es-ES"/>
        </w:rPr>
        <w:t xml:space="preserve">Sin perjuicio de las restricciones anteriores, respecto a la modificación del formulario que las entidades pondrán a disposición de los oferentes para la presentación de las ofertas económicas, que aplican cuando el proceso se estructura por precios unitarios, es posible, como se desprende de las instrucciones del formulario, que se realicen </w:t>
      </w:r>
      <w:proofErr w:type="spellStart"/>
      <w:r w:rsidRPr="00D67C1A">
        <w:rPr>
          <w:rFonts w:ascii="Arial" w:eastAsia="Arial" w:hAnsi="Arial" w:cs="Arial"/>
          <w:sz w:val="22"/>
          <w:lang w:val="es-ES" w:eastAsia="es-ES" w:bidi="es-ES"/>
        </w:rPr>
        <w:t>modificiones</w:t>
      </w:r>
      <w:proofErr w:type="spellEnd"/>
      <w:r w:rsidRPr="00D67C1A">
        <w:rPr>
          <w:rFonts w:ascii="Arial" w:eastAsia="Arial" w:hAnsi="Arial" w:cs="Arial"/>
          <w:sz w:val="22"/>
          <w:lang w:val="es-ES" w:eastAsia="es-ES" w:bidi="es-ES"/>
        </w:rPr>
        <w:t xml:space="preserve"> al mismo, lo que permitiría, por ejemplo, incluir notas adicionales. En todo caso, las eventuales </w:t>
      </w:r>
      <w:proofErr w:type="spellStart"/>
      <w:r w:rsidRPr="00D67C1A">
        <w:rPr>
          <w:rFonts w:ascii="Arial" w:eastAsia="Arial" w:hAnsi="Arial" w:cs="Arial"/>
          <w:sz w:val="22"/>
          <w:lang w:val="es-ES" w:eastAsia="es-ES" w:bidi="es-ES"/>
        </w:rPr>
        <w:t>modifciones</w:t>
      </w:r>
      <w:proofErr w:type="spellEnd"/>
      <w:r w:rsidRPr="00D67C1A">
        <w:rPr>
          <w:rFonts w:ascii="Arial" w:eastAsia="Arial" w:hAnsi="Arial" w:cs="Arial"/>
          <w:sz w:val="22"/>
          <w:lang w:val="es-ES" w:eastAsia="es-ES" w:bidi="es-ES"/>
        </w:rPr>
        <w:t xml:space="preserve"> que se realicen al formulario deben respetar las demás reglas establecidas en los documentos tipo, por lo que no sería posible incluir notas o </w:t>
      </w:r>
      <w:proofErr w:type="spellStart"/>
      <w:r w:rsidRPr="00D67C1A">
        <w:rPr>
          <w:rFonts w:ascii="Arial" w:eastAsia="Arial" w:hAnsi="Arial" w:cs="Arial"/>
          <w:sz w:val="22"/>
          <w:lang w:val="es-ES" w:eastAsia="es-ES" w:bidi="es-ES"/>
        </w:rPr>
        <w:t>modificiones</w:t>
      </w:r>
      <w:proofErr w:type="spellEnd"/>
      <w:r w:rsidRPr="00D67C1A">
        <w:rPr>
          <w:rFonts w:ascii="Arial" w:eastAsia="Arial" w:hAnsi="Arial" w:cs="Arial"/>
          <w:sz w:val="22"/>
          <w:lang w:val="es-ES" w:eastAsia="es-ES" w:bidi="es-ES"/>
        </w:rPr>
        <w:t xml:space="preserve"> que impliquen alterar otras reglas dispuestas en dichos documentos.</w:t>
      </w:r>
    </w:p>
    <w:p w14:paraId="022F2B08" w14:textId="5F66F61A" w:rsidR="00EF0EE1" w:rsidRPr="00D67C1A" w:rsidRDefault="00110E52" w:rsidP="00C76EB0">
      <w:pPr>
        <w:spacing w:line="276" w:lineRule="auto"/>
        <w:ind w:firstLine="709"/>
        <w:jc w:val="both"/>
        <w:rPr>
          <w:rFonts w:ascii="Arial" w:hAnsi="Arial" w:cs="Arial"/>
          <w:color w:val="000000" w:themeColor="text1"/>
          <w:sz w:val="22"/>
          <w:lang w:val="es-ES_tradnl"/>
        </w:rPr>
      </w:pPr>
      <w:r w:rsidRPr="00D67C1A">
        <w:rPr>
          <w:rFonts w:ascii="Arial" w:eastAsia="Calibri" w:hAnsi="Arial" w:cs="Arial"/>
          <w:sz w:val="22"/>
        </w:rPr>
        <w:t>Finalmente</w:t>
      </w:r>
      <w:r w:rsidR="00EF0EE1" w:rsidRPr="00D67C1A">
        <w:rPr>
          <w:rFonts w:ascii="Arial" w:eastAsia="Arial" w:hAnsi="Arial" w:cs="Arial"/>
          <w:sz w:val="22"/>
          <w:lang w:val="es-ES" w:eastAsia="es-ES" w:bidi="es-ES"/>
        </w:rPr>
        <w:t>,</w:t>
      </w:r>
      <w:r w:rsidRPr="00D67C1A">
        <w:rPr>
          <w:rFonts w:ascii="Arial" w:eastAsia="Arial" w:hAnsi="Arial" w:cs="Arial"/>
          <w:sz w:val="22"/>
          <w:lang w:val="es-ES" w:eastAsia="es-ES" w:bidi="es-ES"/>
        </w:rPr>
        <w:t xml:space="preserve"> cabe destacar que</w:t>
      </w:r>
      <w:r w:rsidR="00EF0EE1" w:rsidRPr="00D67C1A">
        <w:rPr>
          <w:rFonts w:ascii="Arial" w:eastAsia="Arial" w:hAnsi="Arial" w:cs="Arial"/>
          <w:sz w:val="22"/>
          <w:lang w:val="es-ES" w:eastAsia="es-ES" w:bidi="es-ES"/>
        </w:rPr>
        <w:t xml:space="preserve"> la «Nota 2» </w:t>
      </w:r>
      <w:proofErr w:type="spellStart"/>
      <w:r w:rsidRPr="00D67C1A">
        <w:rPr>
          <w:rFonts w:ascii="Arial" w:eastAsia="Arial" w:hAnsi="Arial" w:cs="Arial"/>
          <w:sz w:val="22"/>
          <w:lang w:val="es-ES" w:eastAsia="es-ES" w:bidi="es-ES"/>
        </w:rPr>
        <w:t>estabelce</w:t>
      </w:r>
      <w:proofErr w:type="spellEnd"/>
      <w:r w:rsidRPr="00D67C1A">
        <w:rPr>
          <w:rFonts w:ascii="Arial" w:eastAsia="Arial" w:hAnsi="Arial" w:cs="Arial"/>
          <w:sz w:val="22"/>
          <w:lang w:val="es-ES" w:eastAsia="es-ES" w:bidi="es-ES"/>
        </w:rPr>
        <w:t xml:space="preserve"> </w:t>
      </w:r>
      <w:r w:rsidR="00EF0EE1" w:rsidRPr="00D67C1A">
        <w:rPr>
          <w:rFonts w:ascii="Arial" w:eastAsia="Arial" w:hAnsi="Arial" w:cs="Arial"/>
          <w:sz w:val="22"/>
          <w:lang w:val="es-ES" w:eastAsia="es-ES" w:bidi="es-ES"/>
        </w:rPr>
        <w:t>la regla que cuando la fracción decimal del peso sea igual o superior a 5 se aproximará por exceso al número entero siguiente del peso y cuando la fracción decimal del peso sea inferior a 5 se aproximará por defecto al número entero del peso</w:t>
      </w:r>
      <w:r w:rsidR="00E7681B" w:rsidRPr="00D67C1A">
        <w:rPr>
          <w:rFonts w:ascii="Arial" w:eastAsia="Arial" w:hAnsi="Arial" w:cs="Arial"/>
          <w:sz w:val="22"/>
          <w:lang w:val="es-ES" w:eastAsia="es-ES" w:bidi="es-ES"/>
        </w:rPr>
        <w:t>, lo que resulta armónico con el numeral 4.1.2 «correcciones aritméticas» del Documento Base.</w:t>
      </w:r>
    </w:p>
    <w:p w14:paraId="5B70E2F6" w14:textId="2E11EB70" w:rsidR="006A01DD" w:rsidRPr="00D67C1A" w:rsidRDefault="006A01DD" w:rsidP="00802EB9">
      <w:pPr>
        <w:pStyle w:val="Default"/>
        <w:ind w:right="709"/>
        <w:jc w:val="both"/>
        <w:rPr>
          <w:bCs/>
          <w:sz w:val="21"/>
          <w:szCs w:val="21"/>
          <w:lang w:val="es-MX"/>
        </w:rPr>
      </w:pPr>
    </w:p>
    <w:p w14:paraId="1A44042C" w14:textId="008B61B6" w:rsidR="006A01DD" w:rsidRPr="00D67C1A" w:rsidRDefault="006A01DD" w:rsidP="00802EB9">
      <w:pPr>
        <w:spacing w:line="276" w:lineRule="auto"/>
        <w:jc w:val="both"/>
        <w:rPr>
          <w:rFonts w:ascii="Arial" w:eastAsia="Calibri" w:hAnsi="Arial" w:cs="Arial"/>
          <w:sz w:val="22"/>
        </w:rPr>
      </w:pPr>
      <w:r w:rsidRPr="00D67C1A">
        <w:rPr>
          <w:rFonts w:ascii="Arial" w:eastAsia="Calibri" w:hAnsi="Arial" w:cs="Arial"/>
          <w:sz w:val="22"/>
        </w:rPr>
        <w:t>Este concepto tiene el alcance previsto en el artículo 28 del Código de Procedimiento Administrativo y de lo Contencioso Administrativo.</w:t>
      </w:r>
    </w:p>
    <w:p w14:paraId="7E30323E" w14:textId="1A047E65" w:rsidR="00F942DB" w:rsidRPr="00D67C1A" w:rsidRDefault="00F942DB" w:rsidP="00802EB9">
      <w:pPr>
        <w:spacing w:line="276" w:lineRule="auto"/>
        <w:jc w:val="both"/>
        <w:rPr>
          <w:rFonts w:ascii="Arial" w:eastAsia="Calibri" w:hAnsi="Arial" w:cs="Arial"/>
          <w:sz w:val="22"/>
        </w:rPr>
      </w:pPr>
    </w:p>
    <w:p w14:paraId="24727D66" w14:textId="60561517" w:rsidR="000E496F" w:rsidRPr="00D67C1A" w:rsidRDefault="006A01DD" w:rsidP="006A01DD">
      <w:pPr>
        <w:pStyle w:val="NormalWeb"/>
        <w:spacing w:before="0" w:beforeAutospacing="0" w:after="0" w:afterAutospacing="0" w:line="276" w:lineRule="auto"/>
        <w:jc w:val="both"/>
        <w:rPr>
          <w:rFonts w:ascii="Arial" w:hAnsi="Arial" w:cs="Arial"/>
          <w:color w:val="000000" w:themeColor="text1"/>
          <w:sz w:val="22"/>
          <w:szCs w:val="22"/>
          <w:lang w:val="es-ES_tradnl"/>
        </w:rPr>
      </w:pPr>
      <w:r w:rsidRPr="00D67C1A">
        <w:rPr>
          <w:rFonts w:ascii="Arial" w:hAnsi="Arial" w:cs="Arial"/>
          <w:color w:val="000000" w:themeColor="text1"/>
          <w:sz w:val="22"/>
          <w:szCs w:val="22"/>
          <w:lang w:val="es-ES_tradnl"/>
        </w:rPr>
        <w:t>Atentamente,</w:t>
      </w:r>
    </w:p>
    <w:p w14:paraId="5DBFA3B0" w14:textId="3C199B13" w:rsidR="006A01DD" w:rsidRPr="00D67C1A" w:rsidRDefault="00343DF1" w:rsidP="00B60E51">
      <w:pPr>
        <w:pStyle w:val="NormalWeb"/>
        <w:spacing w:before="0" w:beforeAutospacing="0" w:after="0" w:afterAutospacing="0" w:line="276" w:lineRule="auto"/>
        <w:jc w:val="center"/>
        <w:rPr>
          <w:rFonts w:ascii="Arial" w:hAnsi="Arial" w:cs="Arial"/>
          <w:color w:val="000000" w:themeColor="text1"/>
          <w:sz w:val="22"/>
          <w:szCs w:val="22"/>
          <w:lang w:val="es-ES_tradnl"/>
        </w:rPr>
      </w:pPr>
      <w:r>
        <w:rPr>
          <w:rFonts w:ascii="Arial" w:hAnsi="Arial" w:cs="Arial"/>
          <w:noProof/>
          <w:color w:val="161616" w:themeColor="background1" w:themeShade="1A"/>
        </w:rPr>
        <w:lastRenderedPageBreak/>
        <w:drawing>
          <wp:inline distT="0" distB="0" distL="0" distR="0" wp14:anchorId="3D5EEC8A" wp14:editId="6B4AFC6F">
            <wp:extent cx="2135580" cy="826935"/>
            <wp:effectExtent l="0" t="0" r="0" b="0"/>
            <wp:docPr id="4" name="Imagen 4" descr="Texto, Cart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Texto, Carta&#10;&#10;Descripción generada automáticament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64205" cy="838019"/>
                    </a:xfrm>
                    <a:prstGeom prst="rect">
                      <a:avLst/>
                    </a:prstGeom>
                    <a:noFill/>
                    <a:ln>
                      <a:noFill/>
                    </a:ln>
                  </pic:spPr>
                </pic:pic>
              </a:graphicData>
            </a:graphic>
          </wp:inline>
        </w:drawing>
      </w:r>
    </w:p>
    <w:tbl>
      <w:tblPr>
        <w:tblStyle w:val="Tablaconcuadrcula1"/>
        <w:tblpPr w:leftFromText="141" w:rightFromText="141" w:vertAnchor="text" w:horzAnchor="margin" w:tblpY="265"/>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0"/>
        <w:gridCol w:w="4298"/>
      </w:tblGrid>
      <w:tr w:rsidR="00456B0F" w:rsidRPr="00D67C1A" w14:paraId="19EDE20F" w14:textId="77777777" w:rsidTr="0031322C">
        <w:trPr>
          <w:trHeight w:val="237"/>
        </w:trPr>
        <w:tc>
          <w:tcPr>
            <w:tcW w:w="790" w:type="dxa"/>
            <w:vAlign w:val="center"/>
          </w:tcPr>
          <w:p w14:paraId="7E24F0D9" w14:textId="77777777" w:rsidR="00456B0F" w:rsidRPr="00D67C1A" w:rsidRDefault="00456B0F" w:rsidP="0031322C">
            <w:pPr>
              <w:rPr>
                <w:rFonts w:ascii="Arial" w:hAnsi="Arial" w:cs="Arial"/>
                <w:color w:val="161616" w:themeColor="background1" w:themeShade="1A"/>
                <w:sz w:val="14"/>
                <w:szCs w:val="14"/>
                <w:lang w:val="es-ES_tradnl" w:eastAsia="es-ES"/>
              </w:rPr>
            </w:pPr>
            <w:r w:rsidRPr="00D67C1A">
              <w:rPr>
                <w:rFonts w:ascii="Arial" w:hAnsi="Arial" w:cs="Arial"/>
                <w:color w:val="161616" w:themeColor="background1" w:themeShade="1A"/>
                <w:sz w:val="14"/>
                <w:szCs w:val="14"/>
                <w:lang w:val="es-ES_tradnl" w:eastAsia="es-ES"/>
              </w:rPr>
              <w:t>Elaboró:</w:t>
            </w:r>
          </w:p>
        </w:tc>
        <w:tc>
          <w:tcPr>
            <w:tcW w:w="4298" w:type="dxa"/>
            <w:tcBorders>
              <w:bottom w:val="dotted" w:sz="4" w:space="0" w:color="7F7F7F"/>
            </w:tcBorders>
            <w:vAlign w:val="center"/>
          </w:tcPr>
          <w:p w14:paraId="6A38ACA4" w14:textId="77777777" w:rsidR="00456B0F" w:rsidRPr="00D67C1A" w:rsidRDefault="00456B0F" w:rsidP="0031322C">
            <w:pPr>
              <w:rPr>
                <w:rFonts w:ascii="Arial" w:hAnsi="Arial" w:cs="Arial"/>
                <w:color w:val="161616" w:themeColor="background1" w:themeShade="1A"/>
                <w:sz w:val="14"/>
                <w:szCs w:val="14"/>
                <w:lang w:val="es-ES_tradnl" w:eastAsia="es-ES"/>
              </w:rPr>
            </w:pPr>
            <w:r w:rsidRPr="00D67C1A">
              <w:rPr>
                <w:rFonts w:ascii="Arial" w:hAnsi="Arial" w:cs="Arial"/>
                <w:color w:val="161616" w:themeColor="background1" w:themeShade="1A"/>
                <w:sz w:val="14"/>
                <w:szCs w:val="14"/>
                <w:lang w:val="es-ES_tradnl" w:eastAsia="es-ES"/>
              </w:rPr>
              <w:t xml:space="preserve">Diana Fabiola Herrera Hernández </w:t>
            </w:r>
          </w:p>
          <w:p w14:paraId="1B43FA81" w14:textId="77777777" w:rsidR="00456B0F" w:rsidRPr="00D67C1A" w:rsidRDefault="00456B0F" w:rsidP="0031322C">
            <w:pPr>
              <w:rPr>
                <w:rFonts w:ascii="Arial" w:hAnsi="Arial" w:cs="Arial"/>
                <w:color w:val="161616" w:themeColor="background1" w:themeShade="1A"/>
                <w:sz w:val="14"/>
                <w:szCs w:val="14"/>
                <w:lang w:val="es-ES_tradnl" w:eastAsia="es-ES"/>
              </w:rPr>
            </w:pPr>
            <w:r w:rsidRPr="00D67C1A">
              <w:rPr>
                <w:rFonts w:ascii="Arial" w:hAnsi="Arial" w:cs="Arial"/>
                <w:color w:val="161616" w:themeColor="background1" w:themeShade="1A"/>
                <w:sz w:val="14"/>
                <w:szCs w:val="14"/>
                <w:lang w:val="es-ES_tradnl" w:eastAsia="es-ES"/>
              </w:rPr>
              <w:t>Contratista de la Subdirección de Gestión Contractual</w:t>
            </w:r>
          </w:p>
        </w:tc>
      </w:tr>
      <w:tr w:rsidR="00456B0F" w:rsidRPr="00D67C1A" w14:paraId="477337BB" w14:textId="77777777" w:rsidTr="0031322C">
        <w:trPr>
          <w:trHeight w:val="248"/>
        </w:trPr>
        <w:tc>
          <w:tcPr>
            <w:tcW w:w="790" w:type="dxa"/>
            <w:vAlign w:val="center"/>
          </w:tcPr>
          <w:p w14:paraId="56061FF5" w14:textId="77777777" w:rsidR="00456B0F" w:rsidRPr="00D67C1A" w:rsidRDefault="00456B0F" w:rsidP="0031322C">
            <w:pPr>
              <w:rPr>
                <w:rFonts w:ascii="Arial" w:hAnsi="Arial" w:cs="Arial"/>
                <w:color w:val="161616" w:themeColor="background1" w:themeShade="1A"/>
                <w:sz w:val="14"/>
                <w:szCs w:val="14"/>
                <w:lang w:val="es-ES_tradnl" w:eastAsia="es-ES"/>
              </w:rPr>
            </w:pPr>
            <w:r w:rsidRPr="00D67C1A">
              <w:rPr>
                <w:rFonts w:ascii="Arial" w:hAnsi="Arial" w:cs="Arial"/>
                <w:color w:val="161616" w:themeColor="background1" w:themeShade="1A"/>
                <w:sz w:val="14"/>
                <w:szCs w:val="14"/>
                <w:lang w:val="es-ES_tradnl" w:eastAsia="es-ES"/>
              </w:rPr>
              <w:t>Revisó:</w:t>
            </w:r>
          </w:p>
        </w:tc>
        <w:tc>
          <w:tcPr>
            <w:tcW w:w="4298" w:type="dxa"/>
            <w:tcBorders>
              <w:top w:val="dotted" w:sz="4" w:space="0" w:color="7F7F7F"/>
              <w:bottom w:val="dotted" w:sz="4" w:space="0" w:color="7F7F7F"/>
            </w:tcBorders>
            <w:vAlign w:val="center"/>
          </w:tcPr>
          <w:p w14:paraId="4404D0EC" w14:textId="77777777" w:rsidR="00456B0F" w:rsidRPr="00D67C1A" w:rsidRDefault="00456B0F" w:rsidP="0031322C">
            <w:pPr>
              <w:rPr>
                <w:rFonts w:ascii="Arial" w:hAnsi="Arial" w:cs="Arial"/>
                <w:sz w:val="14"/>
                <w:szCs w:val="14"/>
                <w:lang w:eastAsia="es-ES"/>
              </w:rPr>
            </w:pPr>
            <w:r w:rsidRPr="00D67C1A">
              <w:rPr>
                <w:rFonts w:ascii="Arial" w:hAnsi="Arial" w:cs="Arial"/>
                <w:sz w:val="14"/>
                <w:szCs w:val="14"/>
                <w:lang w:eastAsia="es-ES"/>
              </w:rPr>
              <w:t>Sebastián Ramírez Grisales</w:t>
            </w:r>
          </w:p>
          <w:p w14:paraId="07CFBC30" w14:textId="77777777" w:rsidR="00456B0F" w:rsidRPr="00D67C1A" w:rsidRDefault="00456B0F" w:rsidP="0031322C">
            <w:pPr>
              <w:rPr>
                <w:rFonts w:ascii="Arial" w:hAnsi="Arial" w:cs="Arial"/>
                <w:sz w:val="14"/>
                <w:szCs w:val="14"/>
                <w:lang w:eastAsia="es-ES"/>
              </w:rPr>
            </w:pPr>
            <w:r w:rsidRPr="00D67C1A">
              <w:rPr>
                <w:rFonts w:ascii="Arial" w:hAnsi="Arial" w:cs="Arial"/>
                <w:sz w:val="14"/>
                <w:szCs w:val="14"/>
                <w:lang w:eastAsia="es-ES"/>
              </w:rPr>
              <w:t>Contratista de la Subdirección de Gestión Contractual</w:t>
            </w:r>
          </w:p>
        </w:tc>
      </w:tr>
      <w:tr w:rsidR="00456B0F" w:rsidRPr="00827DBF" w14:paraId="2B79F251" w14:textId="77777777" w:rsidTr="0031322C">
        <w:trPr>
          <w:trHeight w:val="225"/>
        </w:trPr>
        <w:tc>
          <w:tcPr>
            <w:tcW w:w="790" w:type="dxa"/>
            <w:vAlign w:val="center"/>
          </w:tcPr>
          <w:p w14:paraId="2A2DE6EA" w14:textId="77777777" w:rsidR="00456B0F" w:rsidRPr="00D67C1A" w:rsidRDefault="00456B0F" w:rsidP="0031322C">
            <w:pPr>
              <w:rPr>
                <w:rFonts w:ascii="Arial" w:hAnsi="Arial" w:cs="Arial"/>
                <w:color w:val="161616" w:themeColor="background1" w:themeShade="1A"/>
                <w:sz w:val="14"/>
                <w:szCs w:val="14"/>
                <w:lang w:val="es-ES_tradnl" w:eastAsia="es-ES"/>
              </w:rPr>
            </w:pPr>
            <w:r w:rsidRPr="00D67C1A">
              <w:rPr>
                <w:rFonts w:ascii="Arial" w:hAnsi="Arial" w:cs="Arial"/>
                <w:color w:val="161616" w:themeColor="background1" w:themeShade="1A"/>
                <w:sz w:val="14"/>
                <w:szCs w:val="14"/>
                <w:lang w:val="es-ES_tradnl" w:eastAsia="es-ES"/>
              </w:rPr>
              <w:t>Aprobó:</w:t>
            </w:r>
          </w:p>
        </w:tc>
        <w:tc>
          <w:tcPr>
            <w:tcW w:w="4298" w:type="dxa"/>
            <w:tcBorders>
              <w:top w:val="dotted" w:sz="4" w:space="0" w:color="7F7F7F"/>
              <w:bottom w:val="dotted" w:sz="4" w:space="0" w:color="7F7F7F"/>
            </w:tcBorders>
            <w:vAlign w:val="center"/>
          </w:tcPr>
          <w:p w14:paraId="3E005AA7" w14:textId="77777777" w:rsidR="00456B0F" w:rsidRPr="00D67C1A" w:rsidRDefault="00456B0F" w:rsidP="0031322C">
            <w:pPr>
              <w:rPr>
                <w:rFonts w:ascii="Arial" w:hAnsi="Arial" w:cs="Arial"/>
                <w:sz w:val="14"/>
                <w:szCs w:val="14"/>
                <w:lang w:eastAsia="es-ES"/>
              </w:rPr>
            </w:pPr>
            <w:r w:rsidRPr="00D67C1A">
              <w:rPr>
                <w:rFonts w:ascii="Arial" w:hAnsi="Arial" w:cs="Arial"/>
                <w:sz w:val="14"/>
                <w:szCs w:val="14"/>
                <w:lang w:eastAsia="es-ES"/>
              </w:rPr>
              <w:t>Juan David Marín López</w:t>
            </w:r>
          </w:p>
          <w:p w14:paraId="2EA282A0" w14:textId="77777777" w:rsidR="00456B0F" w:rsidRPr="00A9373A" w:rsidRDefault="00456B0F" w:rsidP="0031322C">
            <w:pPr>
              <w:rPr>
                <w:rFonts w:ascii="Arial" w:hAnsi="Arial" w:cs="Arial"/>
                <w:sz w:val="14"/>
                <w:szCs w:val="14"/>
                <w:lang w:eastAsia="es-ES"/>
              </w:rPr>
            </w:pPr>
            <w:r w:rsidRPr="00D67C1A">
              <w:rPr>
                <w:rFonts w:ascii="Arial" w:hAnsi="Arial" w:cs="Arial"/>
                <w:sz w:val="14"/>
                <w:szCs w:val="14"/>
                <w:lang w:eastAsia="es-ES"/>
              </w:rPr>
              <w:t>Subdirector de Gestión Contractual (E)</w:t>
            </w:r>
          </w:p>
        </w:tc>
      </w:tr>
    </w:tbl>
    <w:p w14:paraId="32A7D4AA" w14:textId="77777777" w:rsidR="006A01DD" w:rsidRPr="002B79DC" w:rsidRDefault="006A01DD" w:rsidP="006A01DD">
      <w:pPr>
        <w:spacing w:line="276" w:lineRule="auto"/>
        <w:rPr>
          <w:rFonts w:ascii="Arial" w:hAnsi="Arial" w:cs="Arial"/>
          <w:sz w:val="14"/>
          <w:szCs w:val="14"/>
        </w:rPr>
      </w:pPr>
    </w:p>
    <w:p w14:paraId="0081E2F6" w14:textId="77777777" w:rsidR="006A01DD" w:rsidRPr="00F14E00" w:rsidRDefault="006A01DD" w:rsidP="003D2167">
      <w:pPr>
        <w:pStyle w:val="Default"/>
        <w:ind w:right="709"/>
        <w:jc w:val="both"/>
        <w:rPr>
          <w:bCs/>
          <w:sz w:val="21"/>
          <w:szCs w:val="21"/>
          <w:lang w:val="es-MX"/>
        </w:rPr>
      </w:pPr>
    </w:p>
    <w:sectPr w:rsidR="006A01DD" w:rsidRPr="00F14E00" w:rsidSect="005A79FE">
      <w:headerReference w:type="default" r:id="rId13"/>
      <w:footerReference w:type="default" r:id="rId14"/>
      <w:pgSz w:w="12240" w:h="15840"/>
      <w:pgMar w:top="1779" w:right="1750" w:bottom="1276"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AE44E2" w14:textId="77777777" w:rsidR="00F70751" w:rsidRDefault="00F70751">
      <w:r>
        <w:separator/>
      </w:r>
    </w:p>
  </w:endnote>
  <w:endnote w:type="continuationSeparator" w:id="0">
    <w:p w14:paraId="36A2AAFE" w14:textId="77777777" w:rsidR="00F70751" w:rsidRDefault="00F707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8D1CB" w14:textId="1AB2AE8F" w:rsidR="00F14E00" w:rsidRDefault="00F14E00" w:rsidP="00B6444C">
    <w:pPr>
      <w:pStyle w:val="Sinespaciado"/>
      <w:rPr>
        <w:rFonts w:ascii="Arial" w:hAnsi="Arial" w:cs="Arial"/>
        <w:sz w:val="18"/>
        <w:szCs w:val="18"/>
      </w:rPr>
    </w:pPr>
  </w:p>
  <w:p w14:paraId="53DF6B5B" w14:textId="77777777" w:rsidR="00F14E00" w:rsidRDefault="00F14E00" w:rsidP="00B6444C">
    <w:pPr>
      <w:pStyle w:val="Sinespaciado"/>
      <w:rPr>
        <w:rFonts w:ascii="Arial" w:hAnsi="Arial" w:cs="Arial"/>
        <w:sz w:val="18"/>
        <w:szCs w:val="18"/>
      </w:rPr>
    </w:pPr>
  </w:p>
  <w:p w14:paraId="312C4A14" w14:textId="5192B49B" w:rsidR="00F14E00" w:rsidRPr="005A79FE" w:rsidRDefault="00F14E00" w:rsidP="005A79FE">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286EB7">
      <w:rPr>
        <w:rFonts w:ascii="Arial" w:hAnsi="Arial" w:cs="Arial"/>
        <w:b/>
        <w:bCs/>
        <w:noProof/>
        <w:color w:val="7F7F7F" w:themeColor="text1" w:themeTint="80"/>
        <w:sz w:val="16"/>
        <w:szCs w:val="16"/>
      </w:rPr>
      <w:t>18</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286EB7">
      <w:rPr>
        <w:rFonts w:ascii="Arial" w:hAnsi="Arial" w:cs="Arial"/>
        <w:b/>
        <w:bCs/>
        <w:noProof/>
        <w:color w:val="7F7F7F" w:themeColor="text1" w:themeTint="80"/>
        <w:sz w:val="16"/>
        <w:szCs w:val="16"/>
      </w:rPr>
      <w:t>18</w:t>
    </w:r>
    <w:r w:rsidRPr="00084B97">
      <w:rPr>
        <w:rFonts w:ascii="Arial" w:hAnsi="Arial" w:cs="Arial"/>
        <w:b/>
        <w:bCs/>
        <w:color w:val="7F7F7F" w:themeColor="text1" w:themeTint="80"/>
        <w:sz w:val="16"/>
        <w:szCs w:val="16"/>
      </w:rPr>
      <w:fldChar w:fldCharType="end"/>
    </w:r>
  </w:p>
  <w:p w14:paraId="48FC6A04" w14:textId="4A5E79D2" w:rsidR="00F14E00" w:rsidRDefault="00F14E00" w:rsidP="007B0854">
    <w:pPr>
      <w:pStyle w:val="Piedepgina"/>
      <w:jc w:val="center"/>
      <w:rPr>
        <w:lang w:val="es-ES"/>
      </w:rPr>
    </w:pPr>
    <w:r>
      <w:rPr>
        <w:noProof/>
        <w:lang w:val="es-CO" w:eastAsia="es-CO"/>
      </w:rPr>
      <w:drawing>
        <wp:inline distT="0" distB="0" distL="0" distR="0" wp14:anchorId="608B196D" wp14:editId="577C97FD">
          <wp:extent cx="4241994" cy="595165"/>
          <wp:effectExtent l="0" t="0" r="6350" b="0"/>
          <wp:docPr id="1833779600"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pic:cNvPicPr/>
                </pic:nvPicPr>
                <pic:blipFill>
                  <a:blip r:embed="rId1">
                    <a:extLst>
                      <a:ext uri="{28A0092B-C50C-407E-A947-70E740481C1C}">
                        <a14:useLocalDpi xmlns:a14="http://schemas.microsoft.com/office/drawing/2010/main" val="0"/>
                      </a:ext>
                    </a:extLst>
                  </a:blip>
                  <a:stretch>
                    <a:fillRect/>
                  </a:stretch>
                </pic:blipFill>
                <pic:spPr>
                  <a:xfrm>
                    <a:off x="0" y="0"/>
                    <a:ext cx="4241994" cy="595165"/>
                  </a:xfrm>
                  <a:prstGeom prst="rect">
                    <a:avLst/>
                  </a:prstGeom>
                </pic:spPr>
              </pic:pic>
            </a:graphicData>
          </a:graphic>
        </wp:inline>
      </w:drawing>
    </w:r>
  </w:p>
  <w:p w14:paraId="25744B2D" w14:textId="77777777" w:rsidR="00F14E00" w:rsidRDefault="00F14E00" w:rsidP="007B0854">
    <w:pPr>
      <w:pStyle w:val="Piedepgina"/>
      <w:jc w:val="center"/>
      <w:rPr>
        <w:lang w:val="es-ES"/>
      </w:rPr>
    </w:pPr>
  </w:p>
  <w:p w14:paraId="645768A8" w14:textId="77777777" w:rsidR="00F14E00" w:rsidRPr="007B0854" w:rsidRDefault="00F14E00" w:rsidP="00A5235A">
    <w:pPr>
      <w:pStyle w:val="Piedepgina"/>
      <w:spacing w:line="120" w:lineRule="auto"/>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C0786D" w14:textId="77777777" w:rsidR="00F70751" w:rsidRDefault="00F70751">
      <w:r>
        <w:separator/>
      </w:r>
    </w:p>
  </w:footnote>
  <w:footnote w:type="continuationSeparator" w:id="0">
    <w:p w14:paraId="09BD4815" w14:textId="77777777" w:rsidR="00F70751" w:rsidRDefault="00F70751">
      <w:r>
        <w:continuationSeparator/>
      </w:r>
    </w:p>
  </w:footnote>
  <w:footnote w:id="1">
    <w:p w14:paraId="0100F070" w14:textId="77777777" w:rsidR="00B33519" w:rsidRPr="008E4B4C" w:rsidRDefault="00B33519" w:rsidP="008E4B4C">
      <w:pPr>
        <w:pStyle w:val="Textonotapie"/>
        <w:ind w:firstLine="708"/>
        <w:jc w:val="both"/>
        <w:rPr>
          <w:rFonts w:ascii="Arial" w:hAnsi="Arial" w:cs="Arial"/>
          <w:sz w:val="19"/>
          <w:szCs w:val="19"/>
          <w:lang w:val="es-ES"/>
        </w:rPr>
      </w:pPr>
      <w:r w:rsidRPr="008E4B4C">
        <w:rPr>
          <w:rStyle w:val="Refdenotaalpie"/>
          <w:rFonts w:ascii="Arial" w:hAnsi="Arial" w:cs="Arial"/>
          <w:sz w:val="19"/>
          <w:szCs w:val="19"/>
        </w:rPr>
        <w:footnoteRef/>
      </w:r>
      <w:r w:rsidRPr="008E4B4C">
        <w:rPr>
          <w:rFonts w:ascii="Arial" w:hAnsi="Arial" w:cs="Arial"/>
          <w:sz w:val="19"/>
          <w:szCs w:val="19"/>
        </w:rPr>
        <w:t xml:space="preserve"> La Agencia Nacional de Contratación Pública ‒ Colombia Compra Eficiente fue creada por el Decreto Ley 4170 de 2011. Su objetivo es servir como ente rector de la política de compras y contratación del Estado. Para tales fines, como órgano técnico especializado, le corresponde formular políticas públicas y normas y unificar los procesos de contratación estatal, con el fin de lograr una mayor eficiencia, transparencia y optimización de los recursos del Estado. El artículo 3 </w:t>
      </w:r>
      <w:r w:rsidRPr="008E4B4C">
        <w:rPr>
          <w:rFonts w:ascii="Arial" w:hAnsi="Arial" w:cs="Arial"/>
          <w:i/>
          <w:iCs/>
          <w:sz w:val="19"/>
          <w:szCs w:val="19"/>
        </w:rPr>
        <w:t xml:space="preserve">ibidem </w:t>
      </w:r>
      <w:r w:rsidRPr="008E4B4C">
        <w:rPr>
          <w:rFonts w:ascii="Arial" w:hAnsi="Arial" w:cs="Arial"/>
          <w:sz w:val="19"/>
          <w:szCs w:val="19"/>
        </w:rPr>
        <w:t>señala, de manera precisa, las funciones de Colombia Compra Eficiente. Concretamente, el numeral 5º de este artículo establece que le corresponde a esta entidad: «[a]bsolver consultas sobre la aplicación de normas de carácter general y expedir circulares externas en materia de compras y contratación pública». Seguidamente, el numeral 8º del artículo 11 ibidem señala que es función de la Subdirección de Gestión Contractual: «[a]bsolver consultas sobre la aplicación de normas de carácter general».</w:t>
      </w:r>
    </w:p>
  </w:footnote>
  <w:footnote w:id="2">
    <w:p w14:paraId="36A180EA" w14:textId="77777777" w:rsidR="002F436E" w:rsidRPr="008E4B4C" w:rsidRDefault="002F436E" w:rsidP="00D67C1A">
      <w:pPr>
        <w:pStyle w:val="Textonotapie"/>
        <w:ind w:firstLine="708"/>
        <w:jc w:val="both"/>
        <w:rPr>
          <w:rFonts w:ascii="Arial" w:hAnsi="Arial" w:cs="Arial"/>
          <w:sz w:val="19"/>
          <w:szCs w:val="19"/>
        </w:rPr>
      </w:pPr>
      <w:r w:rsidRPr="008E4B4C">
        <w:rPr>
          <w:rStyle w:val="Refdenotaalpie"/>
          <w:rFonts w:ascii="Arial" w:hAnsi="Arial" w:cs="Arial"/>
          <w:sz w:val="19"/>
          <w:szCs w:val="19"/>
        </w:rPr>
        <w:footnoteRef/>
      </w:r>
      <w:r w:rsidRPr="008E4B4C">
        <w:rPr>
          <w:rFonts w:ascii="Arial" w:hAnsi="Arial" w:cs="Arial"/>
          <w:sz w:val="19"/>
          <w:szCs w:val="19"/>
        </w:rPr>
        <w:t xml:space="preserve"> Estos conceptos pueden ser consultados en la relatoría de la Agencia Nacional de Contratación </w:t>
      </w:r>
      <w:r w:rsidRPr="008E4B4C">
        <w:rPr>
          <w:rFonts w:ascii="Arial" w:hAnsi="Arial" w:cs="Arial"/>
          <w:sz w:val="19"/>
          <w:szCs w:val="19"/>
        </w:rPr>
        <w:t xml:space="preserve">Públilca- Colombia Compra Eficiente en el siguiente enlace: </w:t>
      </w:r>
    </w:p>
    <w:p w14:paraId="7DBB33FE" w14:textId="713FC626" w:rsidR="002F436E" w:rsidRPr="008E4B4C" w:rsidRDefault="00000000" w:rsidP="00D67C1A">
      <w:pPr>
        <w:pStyle w:val="Textonotapie"/>
        <w:jc w:val="both"/>
        <w:rPr>
          <w:rFonts w:ascii="Arial" w:hAnsi="Arial" w:cs="Arial"/>
          <w:color w:val="000000" w:themeColor="text1"/>
          <w:sz w:val="19"/>
          <w:szCs w:val="19"/>
          <w:lang w:val="es-ES"/>
        </w:rPr>
      </w:pPr>
      <w:hyperlink r:id="rId1" w:history="1">
        <w:r w:rsidR="002F436E" w:rsidRPr="008E4B4C">
          <w:rPr>
            <w:rStyle w:val="Hipervnculo"/>
            <w:rFonts w:ascii="Arial" w:hAnsi="Arial" w:cs="Arial"/>
            <w:color w:val="auto"/>
            <w:sz w:val="19"/>
            <w:szCs w:val="19"/>
            <w:lang w:val="es-ES"/>
          </w:rPr>
          <w:t>http://relatoria.colombiacompra.gov.co/busqueda/conceptos</w:t>
        </w:r>
      </w:hyperlink>
    </w:p>
    <w:p w14:paraId="027524A5" w14:textId="77777777" w:rsidR="002F436E" w:rsidRPr="008E4B4C" w:rsidRDefault="002F436E" w:rsidP="00D67C1A">
      <w:pPr>
        <w:pStyle w:val="Textonotapie"/>
        <w:ind w:firstLine="708"/>
        <w:jc w:val="both"/>
        <w:rPr>
          <w:rFonts w:ascii="Arial" w:hAnsi="Arial" w:cs="Arial"/>
          <w:sz w:val="19"/>
          <w:szCs w:val="19"/>
        </w:rPr>
      </w:pPr>
    </w:p>
  </w:footnote>
  <w:footnote w:id="3">
    <w:p w14:paraId="6513D2F9" w14:textId="77777777" w:rsidR="00F14E00" w:rsidRPr="00D67C1A" w:rsidRDefault="00F14E00" w:rsidP="008E4B4C">
      <w:pPr>
        <w:pStyle w:val="Textonotapie"/>
        <w:ind w:firstLine="709"/>
        <w:jc w:val="both"/>
        <w:rPr>
          <w:rFonts w:ascii="Arial" w:eastAsia="Times New Roman" w:hAnsi="Arial" w:cs="Arial"/>
          <w:sz w:val="19"/>
          <w:szCs w:val="19"/>
          <w:bdr w:val="none" w:sz="0" w:space="0" w:color="auto" w:frame="1"/>
          <w:lang w:eastAsia="es-CO"/>
        </w:rPr>
      </w:pPr>
      <w:r w:rsidRPr="00D67C1A">
        <w:rPr>
          <w:rStyle w:val="Refdenotaalpie"/>
          <w:rFonts w:ascii="Arial" w:hAnsi="Arial" w:cs="Arial"/>
          <w:sz w:val="19"/>
          <w:szCs w:val="19"/>
        </w:rPr>
        <w:footnoteRef/>
      </w:r>
      <w:r w:rsidRPr="00D67C1A">
        <w:rPr>
          <w:rFonts w:ascii="Arial" w:hAnsi="Arial" w:cs="Arial"/>
          <w:sz w:val="19"/>
          <w:szCs w:val="19"/>
        </w:rPr>
        <w:t xml:space="preserve"> </w:t>
      </w:r>
      <w:r w:rsidRPr="00D67C1A">
        <w:rPr>
          <w:rFonts w:ascii="Arial" w:eastAsia="Times New Roman" w:hAnsi="Arial" w:cs="Arial"/>
          <w:sz w:val="19"/>
          <w:szCs w:val="19"/>
          <w:bdr w:val="none" w:sz="0" w:space="0" w:color="auto" w:frame="1"/>
          <w:lang w:eastAsia="es-CO"/>
        </w:rPr>
        <w:t>El parágrafo 3 del artículo 2 de la Ley 1150 de 2007 facultó por primera vez al Gobierno Nacional para adoptar estándares generales en los pliegos de condiciones, razón por la cual dispuso lo siguiente: «El Gobierno Nacional tendrá la facultad de estandarizar las condiciones generales de los pliegos de condiciones y los contratos de las entidades estatales, cuando se trate de la adquisición o suministro de bienes y servicios de características técnicas uniformes y de común utilización por parte de las entidades». </w:t>
      </w:r>
    </w:p>
    <w:p w14:paraId="44919018" w14:textId="77777777" w:rsidR="00F14E00" w:rsidRPr="00D67C1A" w:rsidRDefault="00F14E00" w:rsidP="008E4B4C">
      <w:pPr>
        <w:pStyle w:val="Textonotapie"/>
        <w:ind w:firstLine="709"/>
        <w:jc w:val="both"/>
        <w:rPr>
          <w:rFonts w:ascii="Arial" w:hAnsi="Arial" w:cs="Arial"/>
          <w:sz w:val="19"/>
          <w:szCs w:val="19"/>
        </w:rPr>
      </w:pPr>
    </w:p>
  </w:footnote>
  <w:footnote w:id="4">
    <w:p w14:paraId="1F51C94E" w14:textId="77777777" w:rsidR="00F14E00" w:rsidRPr="00D67C1A" w:rsidRDefault="00F14E00" w:rsidP="008E4B4C">
      <w:pPr>
        <w:pStyle w:val="Textonotapie"/>
        <w:ind w:firstLine="709"/>
        <w:jc w:val="both"/>
        <w:rPr>
          <w:rFonts w:ascii="Arial" w:eastAsia="Times New Roman" w:hAnsi="Arial" w:cs="Arial"/>
          <w:sz w:val="19"/>
          <w:szCs w:val="19"/>
          <w:bdr w:val="none" w:sz="0" w:space="0" w:color="auto" w:frame="1"/>
          <w:lang w:eastAsia="es-CO"/>
        </w:rPr>
      </w:pPr>
      <w:r w:rsidRPr="00D67C1A">
        <w:rPr>
          <w:rStyle w:val="Refdenotaalpie"/>
          <w:rFonts w:ascii="Arial" w:hAnsi="Arial" w:cs="Arial"/>
          <w:sz w:val="19"/>
          <w:szCs w:val="19"/>
        </w:rPr>
        <w:footnoteRef/>
      </w:r>
      <w:r w:rsidRPr="00D67C1A">
        <w:rPr>
          <w:rFonts w:ascii="Arial" w:hAnsi="Arial" w:cs="Arial"/>
          <w:sz w:val="19"/>
          <w:szCs w:val="19"/>
        </w:rPr>
        <w:t xml:space="preserve"> </w:t>
      </w:r>
      <w:r w:rsidRPr="00D67C1A">
        <w:rPr>
          <w:rFonts w:ascii="Arial" w:eastAsia="Times New Roman" w:hAnsi="Arial" w:cs="Arial"/>
          <w:sz w:val="19"/>
          <w:szCs w:val="19"/>
          <w:bdr w:val="none" w:sz="0" w:space="0" w:color="auto" w:frame="1"/>
          <w:lang w:eastAsia="es-CO"/>
        </w:rPr>
        <w:t>Diario Oficial. Gaceta del Congreso 458 de 2005.  </w:t>
      </w:r>
    </w:p>
    <w:p w14:paraId="1FA46DFC" w14:textId="77777777" w:rsidR="00F14E00" w:rsidRPr="00D67C1A" w:rsidRDefault="00F14E00" w:rsidP="008E4B4C">
      <w:pPr>
        <w:pStyle w:val="Textonotapie"/>
        <w:ind w:firstLine="709"/>
        <w:jc w:val="both"/>
        <w:rPr>
          <w:rFonts w:ascii="Arial" w:hAnsi="Arial" w:cs="Arial"/>
          <w:sz w:val="19"/>
          <w:szCs w:val="19"/>
        </w:rPr>
      </w:pPr>
    </w:p>
  </w:footnote>
  <w:footnote w:id="5">
    <w:p w14:paraId="021C1C51" w14:textId="77777777" w:rsidR="00F14E00" w:rsidRPr="00D67C1A" w:rsidRDefault="00F14E00" w:rsidP="008E4B4C">
      <w:pPr>
        <w:pStyle w:val="Textonotapie"/>
        <w:ind w:firstLine="709"/>
        <w:jc w:val="both"/>
        <w:rPr>
          <w:rFonts w:ascii="Arial" w:hAnsi="Arial" w:cs="Arial"/>
          <w:sz w:val="19"/>
          <w:szCs w:val="19"/>
        </w:rPr>
      </w:pPr>
      <w:r w:rsidRPr="00D67C1A">
        <w:rPr>
          <w:rStyle w:val="Refdenotaalpie"/>
          <w:rFonts w:ascii="Arial" w:hAnsi="Arial" w:cs="Arial"/>
          <w:sz w:val="19"/>
          <w:szCs w:val="19"/>
        </w:rPr>
        <w:footnoteRef/>
      </w:r>
      <w:r w:rsidRPr="00D67C1A">
        <w:rPr>
          <w:rFonts w:ascii="Arial" w:hAnsi="Arial" w:cs="Arial"/>
          <w:sz w:val="19"/>
          <w:szCs w:val="19"/>
        </w:rPr>
        <w:t xml:space="preserve"> </w:t>
      </w:r>
      <w:r w:rsidRPr="00D67C1A">
        <w:rPr>
          <w:rFonts w:ascii="Arial" w:hAnsi="Arial" w:cs="Arial"/>
          <w:sz w:val="19"/>
          <w:szCs w:val="19"/>
        </w:rPr>
        <w:t xml:space="preserve">Ibídem.  </w:t>
      </w:r>
    </w:p>
    <w:p w14:paraId="0B76F2A5" w14:textId="77777777" w:rsidR="00F14E00" w:rsidRPr="00D67C1A" w:rsidRDefault="00F14E00" w:rsidP="008E4B4C">
      <w:pPr>
        <w:pStyle w:val="Textonotapie"/>
        <w:ind w:firstLine="709"/>
        <w:jc w:val="both"/>
        <w:rPr>
          <w:rFonts w:ascii="Arial" w:hAnsi="Arial" w:cs="Arial"/>
          <w:sz w:val="19"/>
          <w:szCs w:val="19"/>
        </w:rPr>
      </w:pPr>
    </w:p>
  </w:footnote>
  <w:footnote w:id="6">
    <w:p w14:paraId="6D4765A7" w14:textId="77777777" w:rsidR="00F14E00" w:rsidRPr="00D67C1A" w:rsidRDefault="00F14E00" w:rsidP="008E4B4C">
      <w:pPr>
        <w:shd w:val="clear" w:color="auto" w:fill="FFFFFF"/>
        <w:ind w:firstLine="709"/>
        <w:jc w:val="both"/>
        <w:textAlignment w:val="baseline"/>
        <w:rPr>
          <w:rFonts w:ascii="Arial" w:hAnsi="Arial" w:cs="Arial"/>
          <w:sz w:val="19"/>
          <w:szCs w:val="19"/>
          <w:bdr w:val="none" w:sz="0" w:space="0" w:color="auto" w:frame="1"/>
          <w:lang w:eastAsia="es-CO"/>
        </w:rPr>
      </w:pPr>
      <w:r w:rsidRPr="00D67C1A">
        <w:rPr>
          <w:rStyle w:val="Refdenotaalpie"/>
          <w:rFonts w:ascii="Arial" w:hAnsi="Arial" w:cs="Arial"/>
          <w:sz w:val="19"/>
          <w:szCs w:val="19"/>
        </w:rPr>
        <w:footnoteRef/>
      </w:r>
      <w:r w:rsidRPr="00D67C1A">
        <w:rPr>
          <w:rFonts w:ascii="Arial" w:hAnsi="Arial" w:cs="Arial"/>
          <w:sz w:val="19"/>
          <w:szCs w:val="19"/>
        </w:rPr>
        <w:t xml:space="preserve"> </w:t>
      </w:r>
      <w:r w:rsidRPr="00D67C1A">
        <w:rPr>
          <w:rFonts w:ascii="Arial" w:hAnsi="Arial" w:cs="Arial"/>
          <w:sz w:val="19"/>
          <w:szCs w:val="19"/>
          <w:bdr w:val="none" w:sz="0" w:space="0" w:color="auto" w:frame="1"/>
          <w:lang w:eastAsia="es-CO"/>
        </w:rPr>
        <w:t>Diario Oficial. Gaceta del Congreso 416 de 2007, Informe de Conciliación Senado. </w:t>
      </w:r>
    </w:p>
    <w:p w14:paraId="6713B3F6" w14:textId="77777777" w:rsidR="00F14E00" w:rsidRPr="00D67C1A" w:rsidRDefault="00F14E00" w:rsidP="008E4B4C">
      <w:pPr>
        <w:shd w:val="clear" w:color="auto" w:fill="FFFFFF"/>
        <w:ind w:firstLine="709"/>
        <w:jc w:val="both"/>
        <w:textAlignment w:val="baseline"/>
        <w:rPr>
          <w:rFonts w:ascii="Arial" w:hAnsi="Arial" w:cs="Arial"/>
          <w:sz w:val="19"/>
          <w:szCs w:val="19"/>
          <w:lang w:eastAsia="es-CO"/>
        </w:rPr>
      </w:pPr>
    </w:p>
  </w:footnote>
  <w:footnote w:id="7">
    <w:p w14:paraId="79EBE278" w14:textId="77777777" w:rsidR="00F14E00" w:rsidRPr="00D67C1A" w:rsidRDefault="00F14E00" w:rsidP="008E4B4C">
      <w:pPr>
        <w:shd w:val="clear" w:color="auto" w:fill="FFFFFF"/>
        <w:ind w:firstLine="709"/>
        <w:jc w:val="both"/>
        <w:textAlignment w:val="baseline"/>
        <w:rPr>
          <w:rFonts w:ascii="Arial" w:hAnsi="Arial" w:cs="Arial"/>
          <w:sz w:val="19"/>
          <w:szCs w:val="19"/>
          <w:lang w:eastAsia="es-CO"/>
        </w:rPr>
      </w:pPr>
      <w:r w:rsidRPr="00D67C1A">
        <w:rPr>
          <w:rStyle w:val="Refdenotaalpie"/>
          <w:rFonts w:ascii="Arial" w:hAnsi="Arial" w:cs="Arial"/>
          <w:sz w:val="19"/>
          <w:szCs w:val="19"/>
        </w:rPr>
        <w:footnoteRef/>
      </w:r>
      <w:r w:rsidRPr="00D67C1A">
        <w:rPr>
          <w:rFonts w:ascii="Arial" w:hAnsi="Arial" w:cs="Arial"/>
          <w:sz w:val="19"/>
          <w:szCs w:val="19"/>
        </w:rPr>
        <w:t xml:space="preserve"> </w:t>
      </w:r>
      <w:r w:rsidRPr="00D67C1A">
        <w:rPr>
          <w:rFonts w:ascii="Arial" w:hAnsi="Arial" w:cs="Arial"/>
          <w:sz w:val="19"/>
          <w:szCs w:val="19"/>
          <w:bdr w:val="none" w:sz="0" w:space="0" w:color="auto" w:frame="1"/>
          <w:lang w:eastAsia="es-CO"/>
        </w:rPr>
        <w:t>El artículo 1 de la Ley 2022 de 2020 modifica el artículo 4 de la Ley 1882 de 2018, el cual adiciona el parágrafo 7 al artículo 2 de la Ley 1150 de 2007 y dispone que: «La Agencia Nacional de Contratación Pública Colombia Compra Eficiente o quien haga sus veces, adoptará documentos tipo que serán de obligatorio cumplimiento en la actividad contractual de todas las entidades sometidas al Estatuto General de Contratación de la Administración Pública. </w:t>
      </w:r>
    </w:p>
    <w:p w14:paraId="695C0A54" w14:textId="77777777" w:rsidR="00F14E00" w:rsidRPr="00D67C1A" w:rsidRDefault="00F14E00" w:rsidP="008E4B4C">
      <w:pPr>
        <w:shd w:val="clear" w:color="auto" w:fill="FFFFFF"/>
        <w:ind w:firstLine="709"/>
        <w:jc w:val="both"/>
        <w:textAlignment w:val="baseline"/>
        <w:rPr>
          <w:rFonts w:ascii="Arial" w:hAnsi="Arial" w:cs="Arial"/>
          <w:sz w:val="19"/>
          <w:szCs w:val="19"/>
          <w:lang w:eastAsia="es-CO"/>
        </w:rPr>
      </w:pPr>
      <w:r w:rsidRPr="00D67C1A">
        <w:rPr>
          <w:rFonts w:ascii="Arial" w:hAnsi="Arial" w:cs="Arial"/>
          <w:sz w:val="19"/>
          <w:szCs w:val="19"/>
          <w:bdr w:val="none" w:sz="0" w:space="0" w:color="auto" w:frame="1"/>
          <w:lang w:eastAsia="es-CO"/>
        </w:rPr>
        <w:t>»Dentro de estos documentos tipo, se establecerán los requisitos habilitantes, factores técnicos, económicos y otros factores de escogencia, así como aquellos requisitos que, previa justificación, representen buenas prácticas contractuales que procuren el adecuado desarrollo de los principios que rigen la contratación pública. </w:t>
      </w:r>
    </w:p>
    <w:p w14:paraId="0B0538B9" w14:textId="77777777" w:rsidR="00F14E00" w:rsidRPr="00D67C1A" w:rsidRDefault="00F14E00" w:rsidP="008E4B4C">
      <w:pPr>
        <w:shd w:val="clear" w:color="auto" w:fill="FFFFFF"/>
        <w:ind w:firstLine="709"/>
        <w:jc w:val="both"/>
        <w:textAlignment w:val="baseline"/>
        <w:rPr>
          <w:rFonts w:ascii="Arial" w:hAnsi="Arial" w:cs="Arial"/>
          <w:sz w:val="19"/>
          <w:szCs w:val="19"/>
          <w:lang w:eastAsia="es-CO"/>
        </w:rPr>
      </w:pPr>
      <w:r w:rsidRPr="00D67C1A">
        <w:rPr>
          <w:rFonts w:ascii="Arial" w:hAnsi="Arial" w:cs="Arial"/>
          <w:sz w:val="19"/>
          <w:szCs w:val="19"/>
          <w:bdr w:val="none" w:sz="0" w:space="0" w:color="auto" w:frame="1"/>
          <w:lang w:eastAsia="es-CO"/>
        </w:rPr>
        <w:t>»Con el ánimo de promover la descentralización, el empleo local, el desarrollo, los servicios e industria local, en la adopción de los documentos tipo, se tendrá en cuenta las características propias de las regiones, la cuantía, el fomento de la economía local y la naturaleza y especialidad de la contratación. Para tal efecto se deberá llevar a cabo un proceso de capacitación para los municipios. </w:t>
      </w:r>
    </w:p>
    <w:p w14:paraId="625DBC84" w14:textId="77777777" w:rsidR="00F14E00" w:rsidRPr="00D67C1A" w:rsidRDefault="00F14E00" w:rsidP="008E4B4C">
      <w:pPr>
        <w:shd w:val="clear" w:color="auto" w:fill="FFFFFF"/>
        <w:ind w:firstLine="709"/>
        <w:jc w:val="both"/>
        <w:textAlignment w:val="baseline"/>
        <w:rPr>
          <w:rFonts w:ascii="Arial" w:hAnsi="Arial" w:cs="Arial"/>
          <w:sz w:val="19"/>
          <w:szCs w:val="19"/>
          <w:lang w:eastAsia="es-CO"/>
        </w:rPr>
      </w:pPr>
      <w:r w:rsidRPr="00D67C1A">
        <w:rPr>
          <w:rFonts w:ascii="Arial" w:hAnsi="Arial" w:cs="Arial"/>
          <w:sz w:val="19"/>
          <w:szCs w:val="19"/>
          <w:bdr w:val="none" w:sz="0" w:space="0" w:color="auto" w:frame="1"/>
          <w:lang w:eastAsia="es-CO"/>
        </w:rPr>
        <w:t>»La Agencia Nacional de Contratación Pública Colombia Compra Eficiente fijará un cronograma, y definirá en coordinación con las entidades técnicas o especializadas correspondientes el procedimiento para implementar gradualmente los documentos tipo, con el propósito de facilitar la incorporación de estos en el sistema de compra pública y deberá establecer el procedimiento para recibir y revisar comentarios de los interesados, así como un sistema para la revisión constante de los documentos tipo, que expida. </w:t>
      </w:r>
    </w:p>
    <w:p w14:paraId="4115ED58" w14:textId="77777777" w:rsidR="00F14E00" w:rsidRPr="00D67C1A" w:rsidRDefault="00F14E00" w:rsidP="008E4B4C">
      <w:pPr>
        <w:shd w:val="clear" w:color="auto" w:fill="FFFFFF"/>
        <w:ind w:firstLine="709"/>
        <w:jc w:val="both"/>
        <w:textAlignment w:val="baseline"/>
        <w:rPr>
          <w:rFonts w:ascii="Arial" w:hAnsi="Arial" w:cs="Arial"/>
          <w:sz w:val="19"/>
          <w:szCs w:val="19"/>
          <w:lang w:eastAsia="es-CO"/>
        </w:rPr>
      </w:pPr>
      <w:r w:rsidRPr="00D67C1A">
        <w:rPr>
          <w:rFonts w:ascii="Arial" w:hAnsi="Arial" w:cs="Arial"/>
          <w:sz w:val="19"/>
          <w:szCs w:val="19"/>
          <w:bdr w:val="none" w:sz="0" w:space="0" w:color="auto" w:frame="1"/>
          <w:lang w:eastAsia="es-CO"/>
        </w:rPr>
        <w:t>»En todo caso, serán de uso obligatorio los documentos tipo para los pliegos de condiciones de los procesos de selección de obras públicas, interventoría para las obras públicas interventoría para consultoría de estudios y diseños para obras públicas, consultoría en ingeniería para obras, que lleven a cabo todas las entidades sometidas al Estatuto General de Contratación de la Administración Pública, en los términos fijados mediante la reglamentación correspondiente». </w:t>
      </w:r>
    </w:p>
    <w:p w14:paraId="013F1733" w14:textId="77777777" w:rsidR="00F14E00" w:rsidRPr="00D67C1A" w:rsidRDefault="00F14E00" w:rsidP="008E4B4C">
      <w:pPr>
        <w:pStyle w:val="Textonotapie"/>
        <w:ind w:firstLine="709"/>
        <w:jc w:val="both"/>
        <w:rPr>
          <w:rFonts w:ascii="Arial" w:hAnsi="Arial" w:cs="Arial"/>
          <w:sz w:val="19"/>
          <w:szCs w:val="19"/>
        </w:rPr>
      </w:pPr>
    </w:p>
  </w:footnote>
  <w:footnote w:id="8">
    <w:p w14:paraId="5BEABECC" w14:textId="77777777" w:rsidR="00992278" w:rsidRPr="008E4B4C" w:rsidRDefault="00992278" w:rsidP="00D67C1A">
      <w:pPr>
        <w:pStyle w:val="Textonotapie"/>
        <w:ind w:firstLine="708"/>
        <w:jc w:val="both"/>
        <w:rPr>
          <w:rFonts w:ascii="Arial" w:hAnsi="Arial" w:cs="Arial"/>
          <w:sz w:val="19"/>
          <w:szCs w:val="19"/>
          <w:lang w:val="es-ES"/>
        </w:rPr>
      </w:pPr>
      <w:r w:rsidRPr="008E4B4C">
        <w:rPr>
          <w:rStyle w:val="Refdenotaalpie"/>
          <w:rFonts w:ascii="Arial" w:hAnsi="Arial" w:cs="Arial"/>
          <w:sz w:val="19"/>
          <w:szCs w:val="19"/>
        </w:rPr>
        <w:footnoteRef/>
      </w:r>
      <w:r w:rsidRPr="008E4B4C">
        <w:rPr>
          <w:rFonts w:ascii="Arial" w:hAnsi="Arial" w:cs="Arial"/>
          <w:sz w:val="19"/>
          <w:szCs w:val="19"/>
        </w:rPr>
        <w:t xml:space="preserve"> Modificada por las Resoluciones No. 161 de 2020 y 146 de 2022. </w:t>
      </w:r>
    </w:p>
  </w:footnote>
  <w:footnote w:id="9">
    <w:p w14:paraId="2EC96ACD" w14:textId="6E86BFC6" w:rsidR="00F14E00" w:rsidRPr="00D67C1A" w:rsidRDefault="00F14E00" w:rsidP="008E4B4C">
      <w:pPr>
        <w:pStyle w:val="Textonotapie"/>
        <w:ind w:firstLine="709"/>
        <w:jc w:val="both"/>
        <w:rPr>
          <w:rFonts w:ascii="Arial" w:hAnsi="Arial" w:cs="Arial"/>
          <w:sz w:val="19"/>
          <w:szCs w:val="19"/>
          <w:lang w:val="es-ES"/>
        </w:rPr>
      </w:pPr>
      <w:r w:rsidRPr="00D67C1A">
        <w:rPr>
          <w:rStyle w:val="Refdenotaalpie"/>
          <w:rFonts w:ascii="Arial" w:hAnsi="Arial" w:cs="Arial"/>
          <w:sz w:val="19"/>
          <w:szCs w:val="19"/>
        </w:rPr>
        <w:footnoteRef/>
      </w:r>
      <w:r w:rsidRPr="00D67C1A">
        <w:rPr>
          <w:rFonts w:ascii="Arial" w:hAnsi="Arial" w:cs="Arial"/>
          <w:sz w:val="19"/>
          <w:szCs w:val="19"/>
        </w:rPr>
        <w:t xml:space="preserve"> </w:t>
      </w:r>
      <w:r w:rsidRPr="00D67C1A">
        <w:rPr>
          <w:rFonts w:ascii="Arial" w:hAnsi="Arial" w:cs="Arial"/>
          <w:sz w:val="19"/>
          <w:szCs w:val="19"/>
          <w:lang w:val="es-ES"/>
        </w:rPr>
        <w:t xml:space="preserve">En cuanto a las resoluciones vigentes, dicha regla se observa en el artículo 3 de las Resoluciones </w:t>
      </w:r>
      <w:bookmarkStart w:id="4" w:name="_Hlk82363077"/>
      <w:r w:rsidRPr="00D67C1A">
        <w:rPr>
          <w:rFonts w:ascii="Arial" w:hAnsi="Arial" w:cs="Arial"/>
          <w:sz w:val="19"/>
          <w:szCs w:val="19"/>
          <w:lang w:val="es-ES"/>
        </w:rPr>
        <w:t>240 de 2020, 241 de 2020, 248 de 2020, 249 de 2020, 269 de 2020, 219 de 2021, 392 de 2021, 454 de 2021, entre otras, así como lo dispuesto en el artículo 2 de la Resolución 094 de 2020</w:t>
      </w:r>
      <w:bookmarkEnd w:id="4"/>
      <w:r w:rsidRPr="00D67C1A">
        <w:rPr>
          <w:rFonts w:ascii="Arial" w:hAnsi="Arial" w:cs="Arial"/>
          <w:sz w:val="19"/>
          <w:szCs w:val="19"/>
          <w:lang w:val="es-ES"/>
        </w:rPr>
        <w:t>.</w:t>
      </w:r>
    </w:p>
    <w:p w14:paraId="00130F39" w14:textId="77777777" w:rsidR="00F14E00" w:rsidRPr="00D67C1A" w:rsidRDefault="00F14E00" w:rsidP="008E4B4C">
      <w:pPr>
        <w:pStyle w:val="Textonotapie"/>
        <w:ind w:firstLine="709"/>
        <w:jc w:val="both"/>
        <w:rPr>
          <w:rFonts w:ascii="Arial" w:hAnsi="Arial" w:cs="Arial"/>
          <w:sz w:val="19"/>
          <w:szCs w:val="19"/>
          <w:lang w:val="es-ES"/>
        </w:rPr>
      </w:pPr>
    </w:p>
  </w:footnote>
  <w:footnote w:id="10">
    <w:p w14:paraId="685B67BC" w14:textId="4A30E13B" w:rsidR="00F14E00" w:rsidRPr="00D67C1A" w:rsidRDefault="00F14E00" w:rsidP="008E4B4C">
      <w:pPr>
        <w:pStyle w:val="Textonotapie"/>
        <w:ind w:firstLine="709"/>
        <w:jc w:val="both"/>
        <w:rPr>
          <w:rFonts w:ascii="Arial" w:hAnsi="Arial" w:cs="Arial"/>
          <w:sz w:val="19"/>
          <w:szCs w:val="19"/>
        </w:rPr>
      </w:pPr>
      <w:r w:rsidRPr="00D67C1A">
        <w:rPr>
          <w:rStyle w:val="Refdenotaalpie"/>
          <w:rFonts w:ascii="Arial" w:hAnsi="Arial" w:cs="Arial"/>
          <w:sz w:val="19"/>
          <w:szCs w:val="19"/>
        </w:rPr>
        <w:footnoteRef/>
      </w:r>
      <w:r w:rsidRPr="00D67C1A">
        <w:rPr>
          <w:rFonts w:ascii="Arial" w:hAnsi="Arial" w:cs="Arial"/>
          <w:sz w:val="19"/>
          <w:szCs w:val="19"/>
        </w:rPr>
        <w:t xml:space="preserve"> En torno a las potestades regladas, García de Enterría y Fernández manifiestan: «El ejercicio de las </w:t>
      </w:r>
      <w:r w:rsidRPr="00D67C1A">
        <w:rPr>
          <w:rFonts w:ascii="Arial" w:hAnsi="Arial" w:cs="Arial"/>
          <w:sz w:val="19"/>
          <w:szCs w:val="19"/>
        </w:rPr>
        <w:t>ptestades regladas reduce a la Administración a la constatación (accertamento, en el expresivo concepto italiano) del supuesto de hecho legalmente definido de manera completa y aplicar en presencia del mismo lo que la propia Ley ha determinado también agotadoramente […] La decisión en que consista el ejercicio de la potestad es obligatoria en presencia de dicho supuesto y su contenido no puede ser configurado libremente por la Administración, sino que ha de limitarse a lo que la propia Ley ha previsto sobre ese contenido de modo preciso y completo» (GARCÍA DE ENTERRÍA, Eduardo; y FERNÁNDEZ, Tomás-Ramón. Curso de derecho administrativo. Tomo I. Madrid: Civitas, 1997. pp. 444-445)</w:t>
      </w:r>
    </w:p>
    <w:p w14:paraId="0C05B834" w14:textId="77777777" w:rsidR="00F14E00" w:rsidRPr="00D67C1A" w:rsidRDefault="00F14E00" w:rsidP="008E4B4C">
      <w:pPr>
        <w:pStyle w:val="Textonotapie"/>
        <w:ind w:firstLine="709"/>
        <w:jc w:val="both"/>
        <w:rPr>
          <w:rFonts w:ascii="Arial" w:hAnsi="Arial" w:cs="Arial"/>
          <w:sz w:val="19"/>
          <w:szCs w:val="19"/>
        </w:rPr>
      </w:pPr>
    </w:p>
  </w:footnote>
  <w:footnote w:id="11">
    <w:p w14:paraId="763B9B87" w14:textId="77777777" w:rsidR="00F14E00" w:rsidRPr="00D67C1A" w:rsidRDefault="00F14E00" w:rsidP="008E4B4C">
      <w:pPr>
        <w:pStyle w:val="Textonotapie"/>
        <w:ind w:firstLine="709"/>
        <w:jc w:val="both"/>
        <w:rPr>
          <w:rFonts w:ascii="Arial" w:hAnsi="Arial" w:cs="Arial"/>
          <w:sz w:val="19"/>
          <w:szCs w:val="19"/>
        </w:rPr>
      </w:pPr>
      <w:r w:rsidRPr="00D67C1A">
        <w:rPr>
          <w:rStyle w:val="Refdenotaalpie"/>
          <w:rFonts w:ascii="Arial" w:hAnsi="Arial" w:cs="Arial"/>
          <w:sz w:val="19"/>
          <w:szCs w:val="19"/>
        </w:rPr>
        <w:footnoteRef/>
      </w:r>
      <w:r w:rsidRPr="00D67C1A">
        <w:rPr>
          <w:rFonts w:ascii="Arial" w:hAnsi="Arial" w:cs="Arial"/>
          <w:sz w:val="19"/>
          <w:szCs w:val="19"/>
        </w:rPr>
        <w:t xml:space="preserve"> El artículo 25, numeral 1º de la Ley 80 de 1993 establece que «En las normas de selección y en los pliegos de condiciones para la escogencia de contratistas, se cumplirán y establecerán los procedimientos y etapas estrictamente necesarios para asegurar la selección objetiva de la propuesta más favorable. Para este propósito, se señalarán términos preclusivos y perentorios para las diferentes etapas de la selección y las autoridades darán impulso oficioso a las actuaciones».</w:t>
      </w:r>
    </w:p>
    <w:p w14:paraId="67CA6F1F" w14:textId="77777777" w:rsidR="00F14E00" w:rsidRPr="00D67C1A" w:rsidRDefault="00F14E00" w:rsidP="008E4B4C">
      <w:pPr>
        <w:pStyle w:val="Textonotapie"/>
        <w:ind w:firstLine="709"/>
        <w:jc w:val="both"/>
        <w:rPr>
          <w:rFonts w:ascii="Arial" w:hAnsi="Arial" w:cs="Arial"/>
          <w:sz w:val="19"/>
          <w:szCs w:val="19"/>
        </w:rPr>
      </w:pPr>
    </w:p>
  </w:footnote>
  <w:footnote w:id="12">
    <w:p w14:paraId="5C15E116" w14:textId="77777777" w:rsidR="00F14E00" w:rsidRPr="00D67C1A" w:rsidRDefault="00F14E00" w:rsidP="008E4B4C">
      <w:pPr>
        <w:ind w:firstLine="709"/>
        <w:jc w:val="both"/>
        <w:rPr>
          <w:rFonts w:ascii="Arial" w:hAnsi="Arial" w:cs="Arial"/>
          <w:sz w:val="19"/>
          <w:szCs w:val="19"/>
          <w:lang w:val="es-ES"/>
        </w:rPr>
      </w:pPr>
      <w:r w:rsidRPr="00D67C1A">
        <w:rPr>
          <w:rStyle w:val="Refdenotaalpie"/>
          <w:rFonts w:ascii="Arial" w:hAnsi="Arial" w:cs="Arial"/>
          <w:sz w:val="19"/>
          <w:szCs w:val="19"/>
        </w:rPr>
        <w:footnoteRef/>
      </w:r>
      <w:r w:rsidRPr="00D67C1A">
        <w:rPr>
          <w:rFonts w:ascii="Arial" w:hAnsi="Arial" w:cs="Arial"/>
          <w:sz w:val="19"/>
          <w:szCs w:val="19"/>
        </w:rPr>
        <w:t xml:space="preserve"> </w:t>
      </w:r>
      <w:r w:rsidRPr="00D67C1A">
        <w:rPr>
          <w:rFonts w:ascii="Arial" w:hAnsi="Arial" w:cs="Arial"/>
          <w:sz w:val="19"/>
          <w:szCs w:val="19"/>
          <w:lang w:val="es-ES"/>
        </w:rPr>
        <w:t>En efecto, el artículo 5 del Decreto 019 de 2012 prevé lo siguiente: «Las normas de procedimiento administrativo deben ser utilizadas para agilizar las decisiones; los procedimientos se deben adelantar en el menor tiempo y con la menor cantidad de gastos de quienes intervienen en ellos; las autoridades administrativas y los particulares que cumplen funciones administrativas no deben exigir más documentos y copias que los estrictamente necesarios, ni autenticaciones ni notas de presentación personal sino cuando la ley lo ordene en forma expresa, o tratándose de poderes especiales. En tal virtud, las autoridades deberán proceder con austeridad y eficiencia, optimizar el uso del tiempo y de los demás recursos, procurando el más alto nivel de calidad en sus actuaciones y la protección de los derechos de las personas».</w:t>
      </w:r>
    </w:p>
    <w:p w14:paraId="4E68E740" w14:textId="77777777" w:rsidR="00F14E00" w:rsidRPr="00D67C1A" w:rsidRDefault="00F14E00" w:rsidP="008E4B4C">
      <w:pPr>
        <w:ind w:firstLine="709"/>
        <w:jc w:val="both"/>
        <w:rPr>
          <w:rFonts w:ascii="Arial" w:hAnsi="Arial" w:cs="Arial"/>
          <w:sz w:val="19"/>
          <w:szCs w:val="19"/>
          <w:lang w:val="es-ES"/>
        </w:rPr>
      </w:pPr>
    </w:p>
  </w:footnote>
  <w:footnote w:id="13">
    <w:p w14:paraId="47C7C201" w14:textId="77777777" w:rsidR="00D921B5" w:rsidRPr="008E4B4C" w:rsidRDefault="00D921B5" w:rsidP="008E4B4C">
      <w:pPr>
        <w:pStyle w:val="Textonotapie"/>
        <w:ind w:firstLine="708"/>
        <w:jc w:val="both"/>
        <w:rPr>
          <w:rFonts w:ascii="Arial" w:hAnsi="Arial" w:cs="Arial"/>
          <w:color w:val="000000" w:themeColor="text1"/>
          <w:sz w:val="19"/>
          <w:szCs w:val="19"/>
          <w:lang w:val="es-ES"/>
        </w:rPr>
      </w:pPr>
      <w:r w:rsidRPr="008E4B4C">
        <w:rPr>
          <w:rStyle w:val="Refdenotaalpie"/>
          <w:rFonts w:ascii="Arial" w:hAnsi="Arial" w:cs="Arial"/>
          <w:color w:val="000000" w:themeColor="text1"/>
          <w:sz w:val="19"/>
          <w:szCs w:val="19"/>
        </w:rPr>
        <w:footnoteRef/>
      </w:r>
      <w:r w:rsidRPr="008E4B4C">
        <w:rPr>
          <w:rFonts w:ascii="Arial" w:hAnsi="Arial" w:cs="Arial"/>
          <w:color w:val="000000" w:themeColor="text1"/>
          <w:sz w:val="19"/>
          <w:szCs w:val="19"/>
        </w:rPr>
        <w:t xml:space="preserve"> Artículo 2.2.1.1.2.1.1. del Decreto 1082 de 2015.</w:t>
      </w:r>
    </w:p>
  </w:footnote>
  <w:footnote w:id="14">
    <w:p w14:paraId="556A8524" w14:textId="77777777" w:rsidR="00D921B5" w:rsidRPr="00D67C1A" w:rsidRDefault="00D921B5" w:rsidP="008E4B4C">
      <w:pPr>
        <w:ind w:firstLine="708"/>
        <w:jc w:val="both"/>
        <w:rPr>
          <w:rFonts w:ascii="Arial" w:hAnsi="Arial" w:cs="Arial"/>
          <w:sz w:val="19"/>
          <w:szCs w:val="19"/>
        </w:rPr>
      </w:pPr>
      <w:r w:rsidRPr="008E4B4C">
        <w:rPr>
          <w:rStyle w:val="Refdenotaalpie"/>
          <w:rFonts w:ascii="Arial" w:hAnsi="Arial" w:cs="Arial"/>
          <w:sz w:val="19"/>
          <w:szCs w:val="19"/>
        </w:rPr>
        <w:footnoteRef/>
      </w:r>
      <w:r w:rsidRPr="008E4B4C">
        <w:rPr>
          <w:rFonts w:ascii="Arial" w:hAnsi="Arial" w:cs="Arial"/>
          <w:sz w:val="19"/>
          <w:szCs w:val="19"/>
        </w:rPr>
        <w:t xml:space="preserve"> En efecto, la causal de rechazo </w:t>
      </w:r>
      <w:r w:rsidRPr="00D67C1A">
        <w:rPr>
          <w:rFonts w:ascii="Arial" w:hAnsi="Arial" w:cs="Arial"/>
          <w:sz w:val="19"/>
          <w:szCs w:val="19"/>
        </w:rPr>
        <w:t xml:space="preserve">del literal Q de los documentos tipo de licitación de obra pública de infraestructura de transporte – Versión 3 establece: «[Incluir solo cuando la forma de pago sea por precios unitarios] Superar el valor unitario de alguno o algunos de los siguientes ítems ofrecidos con respecto al valor establecido para cada ítem del presupuesto oficial: [La entidad debe incluir esta causal cuando la forma de pago sea por precios unitarios y cuando considere necesario establecer ítems del presupuesto oficial cuyo valor no pueda ser excedido por el proponente. Cuando decida incluirla, identificará en este espacio los ítems frente a los cuales aplicará la causal de rechazo. </w:t>
      </w:r>
    </w:p>
    <w:p w14:paraId="72829BAE" w14:textId="77777777" w:rsidR="00D921B5" w:rsidRPr="008E4B4C" w:rsidRDefault="00D921B5" w:rsidP="008E4B4C">
      <w:pPr>
        <w:pStyle w:val="Textonotapie"/>
        <w:ind w:firstLine="708"/>
        <w:jc w:val="both"/>
        <w:rPr>
          <w:rFonts w:ascii="Arial" w:hAnsi="Arial" w:cs="Arial"/>
          <w:sz w:val="19"/>
          <w:szCs w:val="19"/>
          <w:lang w:val="es-CO"/>
        </w:rPr>
      </w:pPr>
      <w:r w:rsidRPr="00D67C1A">
        <w:rPr>
          <w:rFonts w:ascii="Arial" w:hAnsi="Arial" w:cs="Arial"/>
          <w:sz w:val="19"/>
          <w:szCs w:val="19"/>
        </w:rPr>
        <w:t>»Para la aplicación de esta causal la entidad debe tener en cuenta que el valor unitario establecido en el Formulario 1 – Formulario de Presupuesto Oficial incluye el valor de AIU]»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B5923" w14:textId="72BD7C0A" w:rsidR="00F14E00" w:rsidRDefault="00F14E00">
    <w:pPr>
      <w:pStyle w:val="Encabezado"/>
    </w:pPr>
  </w:p>
  <w:p w14:paraId="6A4C7F2C" w14:textId="7D093DBB" w:rsidR="00F14E00" w:rsidRDefault="00F14E00">
    <w:pPr>
      <w:pStyle w:val="Encabezado"/>
    </w:pPr>
  </w:p>
  <w:p w14:paraId="055F2E1F" w14:textId="0B935ADD" w:rsidR="00F14E00" w:rsidRDefault="00F14E00">
    <w:pPr>
      <w:pStyle w:val="Encabezado"/>
    </w:pPr>
    <w:r>
      <w:rPr>
        <w:noProof/>
        <w:lang w:val="es-CO" w:eastAsia="es-CO"/>
      </w:rPr>
      <w:drawing>
        <wp:anchor distT="0" distB="0" distL="114300" distR="114300" simplePos="0" relativeHeight="251673600" behindDoc="1" locked="0" layoutInCell="1" allowOverlap="1" wp14:anchorId="1A706351" wp14:editId="7CA6CDD4">
          <wp:simplePos x="0" y="0"/>
          <wp:positionH relativeFrom="column">
            <wp:posOffset>4458335</wp:posOffset>
          </wp:positionH>
          <wp:positionV relativeFrom="paragraph">
            <wp:posOffset>171450</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1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1400574" w14:textId="61BAF652" w:rsidR="00F14E00" w:rsidRDefault="00F14E00">
    <w:pPr>
      <w:pStyle w:val="Encabezado"/>
    </w:pPr>
  </w:p>
  <w:p w14:paraId="3D323BDB" w14:textId="04AF0DE6" w:rsidR="00F14E00" w:rsidRDefault="00F14E00">
    <w:pPr>
      <w:pStyle w:val="Encabezado"/>
    </w:pPr>
  </w:p>
  <w:p w14:paraId="6520770B" w14:textId="18EB07B5" w:rsidR="00F14E00" w:rsidRDefault="00F14E0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923CB4E6"/>
    <w:lvl w:ilvl="0">
      <w:start w:val="1"/>
      <w:numFmt w:val="decimal"/>
      <w:lvlText w:val="%1."/>
      <w:lvlJc w:val="left"/>
      <w:pPr>
        <w:ind w:left="6601" w:hanging="360"/>
      </w:pPr>
      <w:rPr>
        <w:b/>
        <w:color w:val="auto"/>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2E6728C"/>
    <w:multiLevelType w:val="multilevel"/>
    <w:tmpl w:val="4E16258E"/>
    <w:lvl w:ilvl="0">
      <w:start w:val="2"/>
      <w:numFmt w:val="decimal"/>
      <w:lvlText w:val="%1."/>
      <w:lvlJc w:val="left"/>
      <w:pPr>
        <w:ind w:left="435" w:hanging="435"/>
      </w:pPr>
      <w:rPr>
        <w:rFonts w:hint="default"/>
        <w:b/>
      </w:rPr>
    </w:lvl>
    <w:lvl w:ilvl="1">
      <w:start w:val="36"/>
      <w:numFmt w:val="decimal"/>
      <w:lvlText w:val="%1.%2."/>
      <w:lvlJc w:val="left"/>
      <w:pPr>
        <w:ind w:left="435" w:hanging="43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10442D24"/>
    <w:multiLevelType w:val="multilevel"/>
    <w:tmpl w:val="B41AF78C"/>
    <w:lvl w:ilvl="0">
      <w:start w:val="1"/>
      <w:numFmt w:val="decimal"/>
      <w:lvlText w:val="%1."/>
      <w:lvlJc w:val="left"/>
      <w:pPr>
        <w:ind w:left="360" w:hanging="360"/>
      </w:pPr>
      <w:rPr>
        <w:rFonts w:hint="default"/>
        <w:color w:val="auto"/>
        <w:sz w:val="20"/>
        <w:szCs w:val="20"/>
      </w:rPr>
    </w:lvl>
    <w:lvl w:ilvl="1">
      <w:start w:val="1"/>
      <w:numFmt w:val="decimal"/>
      <w:lvlText w:val="3.%2."/>
      <w:lvlJc w:val="left"/>
      <w:pPr>
        <w:ind w:left="1004" w:hanging="720"/>
      </w:pPr>
      <w:rPr>
        <w:rFonts w:hint="default"/>
        <w:b/>
        <w:i w:val="0"/>
        <w:color w:val="000000"/>
      </w:rPr>
    </w:lvl>
    <w:lvl w:ilvl="2">
      <w:start w:val="1"/>
      <w:numFmt w:val="decimal"/>
      <w:lvlText w:val="4.1.%3."/>
      <w:lvlJc w:val="left"/>
      <w:pPr>
        <w:ind w:left="964" w:hanging="624"/>
      </w:pPr>
      <w:rPr>
        <w:rFonts w:hint="default"/>
        <w:b/>
        <w:i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BAA45F7"/>
    <w:multiLevelType w:val="hybridMultilevel"/>
    <w:tmpl w:val="B8785494"/>
    <w:lvl w:ilvl="0" w:tplc="369A2F20">
      <w:start w:val="1"/>
      <w:numFmt w:val="decimal"/>
      <w:pStyle w:val="Capitulo3"/>
      <w:lvlText w:val="3.%1."/>
      <w:lvlJc w:val="left"/>
      <w:pPr>
        <w:ind w:left="786" w:hanging="360"/>
      </w:pPr>
      <w:rPr>
        <w:rFonts w:hint="default"/>
        <w:b/>
        <w:color w:val="262626" w:themeColor="text1" w:themeTint="D9"/>
      </w:rPr>
    </w:lvl>
    <w:lvl w:ilvl="1" w:tplc="240A0019" w:tentative="1">
      <w:start w:val="1"/>
      <w:numFmt w:val="lowerLetter"/>
      <w:lvlText w:val="%2."/>
      <w:lvlJc w:val="left"/>
      <w:pPr>
        <w:ind w:left="1724" w:hanging="360"/>
      </w:pPr>
    </w:lvl>
    <w:lvl w:ilvl="2" w:tplc="240A001B">
      <w:start w:val="1"/>
      <w:numFmt w:val="lowerRoman"/>
      <w:lvlText w:val="%3."/>
      <w:lvlJc w:val="right"/>
      <w:pPr>
        <w:ind w:left="2444" w:hanging="180"/>
      </w:pPr>
    </w:lvl>
    <w:lvl w:ilvl="3" w:tplc="240A000F" w:tentative="1">
      <w:start w:val="1"/>
      <w:numFmt w:val="decimal"/>
      <w:lvlText w:val="%4."/>
      <w:lvlJc w:val="left"/>
      <w:pPr>
        <w:ind w:left="3164" w:hanging="360"/>
      </w:pPr>
    </w:lvl>
    <w:lvl w:ilvl="4" w:tplc="240A0019" w:tentative="1">
      <w:start w:val="1"/>
      <w:numFmt w:val="lowerLetter"/>
      <w:lvlText w:val="%5."/>
      <w:lvlJc w:val="left"/>
      <w:pPr>
        <w:ind w:left="3884" w:hanging="360"/>
      </w:pPr>
    </w:lvl>
    <w:lvl w:ilvl="5" w:tplc="240A001B" w:tentative="1">
      <w:start w:val="1"/>
      <w:numFmt w:val="lowerRoman"/>
      <w:lvlText w:val="%6."/>
      <w:lvlJc w:val="right"/>
      <w:pPr>
        <w:ind w:left="4604" w:hanging="180"/>
      </w:pPr>
    </w:lvl>
    <w:lvl w:ilvl="6" w:tplc="240A000F" w:tentative="1">
      <w:start w:val="1"/>
      <w:numFmt w:val="decimal"/>
      <w:lvlText w:val="%7."/>
      <w:lvlJc w:val="left"/>
      <w:pPr>
        <w:ind w:left="5324" w:hanging="360"/>
      </w:pPr>
    </w:lvl>
    <w:lvl w:ilvl="7" w:tplc="240A0019" w:tentative="1">
      <w:start w:val="1"/>
      <w:numFmt w:val="lowerLetter"/>
      <w:lvlText w:val="%8."/>
      <w:lvlJc w:val="left"/>
      <w:pPr>
        <w:ind w:left="6044" w:hanging="360"/>
      </w:pPr>
    </w:lvl>
    <w:lvl w:ilvl="8" w:tplc="240A001B" w:tentative="1">
      <w:start w:val="1"/>
      <w:numFmt w:val="lowerRoman"/>
      <w:lvlText w:val="%9."/>
      <w:lvlJc w:val="right"/>
      <w:pPr>
        <w:ind w:left="6764" w:hanging="180"/>
      </w:pPr>
    </w:lvl>
  </w:abstractNum>
  <w:abstractNum w:abstractNumId="4" w15:restartNumberingAfterBreak="0">
    <w:nsid w:val="2E52434E"/>
    <w:multiLevelType w:val="multilevel"/>
    <w:tmpl w:val="451480FA"/>
    <w:lvl w:ilvl="0">
      <w:start w:val="3"/>
      <w:numFmt w:val="decimal"/>
      <w:lvlText w:val="%1."/>
      <w:lvlJc w:val="left"/>
      <w:pPr>
        <w:ind w:left="360" w:hanging="360"/>
      </w:pPr>
      <w:rPr>
        <w:rFonts w:hint="default"/>
        <w:color w:val="3C3C3C" w:themeColor="background2" w:themeShade="40"/>
      </w:rPr>
    </w:lvl>
    <w:lvl w:ilvl="1">
      <w:start w:val="6"/>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3C3C3C" w:themeColor="background2" w:themeShade="40"/>
      </w:rPr>
    </w:lvl>
    <w:lvl w:ilvl="3">
      <w:start w:val="1"/>
      <w:numFmt w:val="decimal"/>
      <w:lvlText w:val="%1.%2.%3.%4."/>
      <w:lvlJc w:val="left"/>
      <w:pPr>
        <w:ind w:left="720" w:hanging="720"/>
      </w:pPr>
      <w:rPr>
        <w:rFonts w:hint="default"/>
        <w:color w:val="3C3C3C" w:themeColor="background2" w:themeShade="40"/>
      </w:rPr>
    </w:lvl>
    <w:lvl w:ilvl="4">
      <w:start w:val="1"/>
      <w:numFmt w:val="decimal"/>
      <w:lvlText w:val="%1.%2.%3.%4.%5."/>
      <w:lvlJc w:val="left"/>
      <w:pPr>
        <w:ind w:left="1080" w:hanging="1080"/>
      </w:pPr>
      <w:rPr>
        <w:rFonts w:hint="default"/>
        <w:color w:val="3C3C3C" w:themeColor="background2" w:themeShade="40"/>
      </w:rPr>
    </w:lvl>
    <w:lvl w:ilvl="5">
      <w:start w:val="1"/>
      <w:numFmt w:val="decimal"/>
      <w:lvlText w:val="%1.%2.%3.%4.%5.%6."/>
      <w:lvlJc w:val="left"/>
      <w:pPr>
        <w:ind w:left="1080" w:hanging="1080"/>
      </w:pPr>
      <w:rPr>
        <w:rFonts w:hint="default"/>
        <w:color w:val="3C3C3C" w:themeColor="background2" w:themeShade="40"/>
      </w:rPr>
    </w:lvl>
    <w:lvl w:ilvl="6">
      <w:start w:val="1"/>
      <w:numFmt w:val="decimal"/>
      <w:lvlText w:val="%1.%2.%3.%4.%5.%6.%7."/>
      <w:lvlJc w:val="left"/>
      <w:pPr>
        <w:ind w:left="1440" w:hanging="1440"/>
      </w:pPr>
      <w:rPr>
        <w:rFonts w:hint="default"/>
        <w:color w:val="3C3C3C" w:themeColor="background2" w:themeShade="40"/>
      </w:rPr>
    </w:lvl>
    <w:lvl w:ilvl="7">
      <w:start w:val="1"/>
      <w:numFmt w:val="decimal"/>
      <w:lvlText w:val="%1.%2.%3.%4.%5.%6.%7.%8."/>
      <w:lvlJc w:val="left"/>
      <w:pPr>
        <w:ind w:left="1440" w:hanging="1440"/>
      </w:pPr>
      <w:rPr>
        <w:rFonts w:hint="default"/>
        <w:color w:val="3C3C3C" w:themeColor="background2" w:themeShade="40"/>
      </w:rPr>
    </w:lvl>
    <w:lvl w:ilvl="8">
      <w:start w:val="1"/>
      <w:numFmt w:val="decimal"/>
      <w:lvlText w:val="%1.%2.%3.%4.%5.%6.%7.%8.%9."/>
      <w:lvlJc w:val="left"/>
      <w:pPr>
        <w:ind w:left="1800" w:hanging="1800"/>
      </w:pPr>
      <w:rPr>
        <w:rFonts w:hint="default"/>
        <w:color w:val="3C3C3C" w:themeColor="background2" w:themeShade="40"/>
      </w:rPr>
    </w:lvl>
  </w:abstractNum>
  <w:abstractNum w:abstractNumId="5"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3FF56725"/>
    <w:multiLevelType w:val="hybridMultilevel"/>
    <w:tmpl w:val="CD9EC042"/>
    <w:lvl w:ilvl="0" w:tplc="4B7C50CA">
      <w:start w:val="1"/>
      <w:numFmt w:val="upperLetter"/>
      <w:lvlText w:val="%1."/>
      <w:lvlJc w:val="left"/>
      <w:pPr>
        <w:ind w:left="710" w:hanging="71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456F63B6"/>
    <w:multiLevelType w:val="hybridMultilevel"/>
    <w:tmpl w:val="08C250DA"/>
    <w:lvl w:ilvl="0" w:tplc="0C0A0013">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588371A1"/>
    <w:multiLevelType w:val="hybridMultilevel"/>
    <w:tmpl w:val="9306F928"/>
    <w:lvl w:ilvl="0" w:tplc="30185D2E">
      <w:start w:val="1"/>
      <w:numFmt w:val="lowerLetter"/>
      <w:lvlText w:val="%1."/>
      <w:lvlJc w:val="left"/>
      <w:pPr>
        <w:ind w:left="1211" w:hanging="360"/>
      </w:pPr>
      <w:rPr>
        <w:rFonts w:asciiTheme="minorHAnsi" w:eastAsia="Times New Roman" w:hAnsiTheme="minorHAnsi" w:cstheme="minorHAnsi"/>
        <w:sz w:val="20"/>
        <w:szCs w:val="20"/>
      </w:rPr>
    </w:lvl>
    <w:lvl w:ilvl="1" w:tplc="0C0A0003">
      <w:start w:val="1"/>
      <w:numFmt w:val="bullet"/>
      <w:lvlText w:val="o"/>
      <w:lvlJc w:val="left"/>
      <w:pPr>
        <w:ind w:left="1931" w:hanging="360"/>
      </w:pPr>
      <w:rPr>
        <w:rFonts w:ascii="Courier New" w:hAnsi="Courier New" w:cs="Courier New" w:hint="default"/>
      </w:rPr>
    </w:lvl>
    <w:lvl w:ilvl="2" w:tplc="0C0A0005" w:tentative="1">
      <w:start w:val="1"/>
      <w:numFmt w:val="bullet"/>
      <w:lvlText w:val=""/>
      <w:lvlJc w:val="left"/>
      <w:pPr>
        <w:ind w:left="2651" w:hanging="360"/>
      </w:pPr>
      <w:rPr>
        <w:rFonts w:ascii="Wingdings" w:hAnsi="Wingdings" w:hint="default"/>
      </w:rPr>
    </w:lvl>
    <w:lvl w:ilvl="3" w:tplc="0C0A0001" w:tentative="1">
      <w:start w:val="1"/>
      <w:numFmt w:val="bullet"/>
      <w:lvlText w:val=""/>
      <w:lvlJc w:val="left"/>
      <w:pPr>
        <w:ind w:left="3371" w:hanging="360"/>
      </w:pPr>
      <w:rPr>
        <w:rFonts w:ascii="Symbol" w:hAnsi="Symbol" w:hint="default"/>
      </w:rPr>
    </w:lvl>
    <w:lvl w:ilvl="4" w:tplc="0C0A0003" w:tentative="1">
      <w:start w:val="1"/>
      <w:numFmt w:val="bullet"/>
      <w:lvlText w:val="o"/>
      <w:lvlJc w:val="left"/>
      <w:pPr>
        <w:ind w:left="4091" w:hanging="360"/>
      </w:pPr>
      <w:rPr>
        <w:rFonts w:ascii="Courier New" w:hAnsi="Courier New" w:cs="Courier New" w:hint="default"/>
      </w:rPr>
    </w:lvl>
    <w:lvl w:ilvl="5" w:tplc="0C0A0005" w:tentative="1">
      <w:start w:val="1"/>
      <w:numFmt w:val="bullet"/>
      <w:lvlText w:val=""/>
      <w:lvlJc w:val="left"/>
      <w:pPr>
        <w:ind w:left="4811" w:hanging="360"/>
      </w:pPr>
      <w:rPr>
        <w:rFonts w:ascii="Wingdings" w:hAnsi="Wingdings" w:hint="default"/>
      </w:rPr>
    </w:lvl>
    <w:lvl w:ilvl="6" w:tplc="0C0A0001" w:tentative="1">
      <w:start w:val="1"/>
      <w:numFmt w:val="bullet"/>
      <w:lvlText w:val=""/>
      <w:lvlJc w:val="left"/>
      <w:pPr>
        <w:ind w:left="5531" w:hanging="360"/>
      </w:pPr>
      <w:rPr>
        <w:rFonts w:ascii="Symbol" w:hAnsi="Symbol" w:hint="default"/>
      </w:rPr>
    </w:lvl>
    <w:lvl w:ilvl="7" w:tplc="0C0A0003" w:tentative="1">
      <w:start w:val="1"/>
      <w:numFmt w:val="bullet"/>
      <w:lvlText w:val="o"/>
      <w:lvlJc w:val="left"/>
      <w:pPr>
        <w:ind w:left="6251" w:hanging="360"/>
      </w:pPr>
      <w:rPr>
        <w:rFonts w:ascii="Courier New" w:hAnsi="Courier New" w:cs="Courier New" w:hint="default"/>
      </w:rPr>
    </w:lvl>
    <w:lvl w:ilvl="8" w:tplc="0C0A0005" w:tentative="1">
      <w:start w:val="1"/>
      <w:numFmt w:val="bullet"/>
      <w:lvlText w:val=""/>
      <w:lvlJc w:val="left"/>
      <w:pPr>
        <w:ind w:left="6971" w:hanging="360"/>
      </w:pPr>
      <w:rPr>
        <w:rFonts w:ascii="Wingdings" w:hAnsi="Wingdings" w:hint="default"/>
      </w:rPr>
    </w:lvl>
  </w:abstractNum>
  <w:abstractNum w:abstractNumId="11"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2" w15:restartNumberingAfterBreak="0">
    <w:nsid w:val="65D158D2"/>
    <w:multiLevelType w:val="multilevel"/>
    <w:tmpl w:val="5EF0B0CA"/>
    <w:lvl w:ilvl="0">
      <w:start w:val="2"/>
      <w:numFmt w:val="decimal"/>
      <w:lvlText w:val="%1."/>
      <w:lvlJc w:val="left"/>
      <w:pPr>
        <w:ind w:left="495" w:hanging="495"/>
      </w:pPr>
      <w:rPr>
        <w:rFonts w:hint="default"/>
        <w:b/>
      </w:rPr>
    </w:lvl>
    <w:lvl w:ilvl="1">
      <w:start w:val="3"/>
      <w:numFmt w:val="decimal"/>
      <w:lvlText w:val="%1.%2."/>
      <w:lvlJc w:val="left"/>
      <w:pPr>
        <w:ind w:left="495" w:hanging="495"/>
      </w:pPr>
      <w:rPr>
        <w:rFonts w:hint="default"/>
        <w:b/>
      </w:rPr>
    </w:lvl>
    <w:lvl w:ilvl="2">
      <w:start w:val="6"/>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3" w15:restartNumberingAfterBreak="0">
    <w:nsid w:val="6B50263C"/>
    <w:multiLevelType w:val="hybridMultilevel"/>
    <w:tmpl w:val="63E22CF2"/>
    <w:lvl w:ilvl="0" w:tplc="19D095A4">
      <w:start w:val="1"/>
      <w:numFmt w:val="upperLetter"/>
      <w:lvlText w:val="%1."/>
      <w:lvlJc w:val="left"/>
      <w:pPr>
        <w:ind w:left="710" w:hanging="71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4"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5" w15:restartNumberingAfterBreak="0">
    <w:nsid w:val="6C1365D9"/>
    <w:multiLevelType w:val="hybridMultilevel"/>
    <w:tmpl w:val="0C34695E"/>
    <w:lvl w:ilvl="0" w:tplc="DAAC72D6">
      <w:start w:val="1"/>
      <w:numFmt w:val="decimal"/>
      <w:lvlText w:val="%1."/>
      <w:lvlJc w:val="left"/>
      <w:pPr>
        <w:ind w:left="100" w:hanging="267"/>
        <w:jc w:val="left"/>
      </w:pPr>
      <w:rPr>
        <w:rFonts w:ascii="Arial MT" w:eastAsia="Arial MT" w:hAnsi="Arial MT" w:cs="Arial MT" w:hint="default"/>
        <w:w w:val="100"/>
        <w:sz w:val="24"/>
        <w:szCs w:val="24"/>
        <w:lang w:val="es-ES" w:eastAsia="en-US" w:bidi="ar-SA"/>
      </w:rPr>
    </w:lvl>
    <w:lvl w:ilvl="1" w:tplc="117C21AC">
      <w:numFmt w:val="bullet"/>
      <w:lvlText w:val="•"/>
      <w:lvlJc w:val="left"/>
      <w:pPr>
        <w:ind w:left="1036" w:hanging="267"/>
      </w:pPr>
      <w:rPr>
        <w:rFonts w:hint="default"/>
        <w:lang w:val="es-ES" w:eastAsia="en-US" w:bidi="ar-SA"/>
      </w:rPr>
    </w:lvl>
    <w:lvl w:ilvl="2" w:tplc="23528DE0">
      <w:numFmt w:val="bullet"/>
      <w:lvlText w:val="•"/>
      <w:lvlJc w:val="left"/>
      <w:pPr>
        <w:ind w:left="1972" w:hanging="267"/>
      </w:pPr>
      <w:rPr>
        <w:rFonts w:hint="default"/>
        <w:lang w:val="es-ES" w:eastAsia="en-US" w:bidi="ar-SA"/>
      </w:rPr>
    </w:lvl>
    <w:lvl w:ilvl="3" w:tplc="31808A10">
      <w:numFmt w:val="bullet"/>
      <w:lvlText w:val="•"/>
      <w:lvlJc w:val="left"/>
      <w:pPr>
        <w:ind w:left="2908" w:hanging="267"/>
      </w:pPr>
      <w:rPr>
        <w:rFonts w:hint="default"/>
        <w:lang w:val="es-ES" w:eastAsia="en-US" w:bidi="ar-SA"/>
      </w:rPr>
    </w:lvl>
    <w:lvl w:ilvl="4" w:tplc="0ACEBBC8">
      <w:numFmt w:val="bullet"/>
      <w:lvlText w:val="•"/>
      <w:lvlJc w:val="left"/>
      <w:pPr>
        <w:ind w:left="3844" w:hanging="267"/>
      </w:pPr>
      <w:rPr>
        <w:rFonts w:hint="default"/>
        <w:lang w:val="es-ES" w:eastAsia="en-US" w:bidi="ar-SA"/>
      </w:rPr>
    </w:lvl>
    <w:lvl w:ilvl="5" w:tplc="6B146B28">
      <w:numFmt w:val="bullet"/>
      <w:lvlText w:val="•"/>
      <w:lvlJc w:val="left"/>
      <w:pPr>
        <w:ind w:left="4780" w:hanging="267"/>
      </w:pPr>
      <w:rPr>
        <w:rFonts w:hint="default"/>
        <w:lang w:val="es-ES" w:eastAsia="en-US" w:bidi="ar-SA"/>
      </w:rPr>
    </w:lvl>
    <w:lvl w:ilvl="6" w:tplc="5F2EE72C">
      <w:numFmt w:val="bullet"/>
      <w:lvlText w:val="•"/>
      <w:lvlJc w:val="left"/>
      <w:pPr>
        <w:ind w:left="5716" w:hanging="267"/>
      </w:pPr>
      <w:rPr>
        <w:rFonts w:hint="default"/>
        <w:lang w:val="es-ES" w:eastAsia="en-US" w:bidi="ar-SA"/>
      </w:rPr>
    </w:lvl>
    <w:lvl w:ilvl="7" w:tplc="4612B440">
      <w:numFmt w:val="bullet"/>
      <w:lvlText w:val="•"/>
      <w:lvlJc w:val="left"/>
      <w:pPr>
        <w:ind w:left="6652" w:hanging="267"/>
      </w:pPr>
      <w:rPr>
        <w:rFonts w:hint="default"/>
        <w:lang w:val="es-ES" w:eastAsia="en-US" w:bidi="ar-SA"/>
      </w:rPr>
    </w:lvl>
    <w:lvl w:ilvl="8" w:tplc="8D16151A">
      <w:numFmt w:val="bullet"/>
      <w:lvlText w:val="•"/>
      <w:lvlJc w:val="left"/>
      <w:pPr>
        <w:ind w:left="7588" w:hanging="267"/>
      </w:pPr>
      <w:rPr>
        <w:rFonts w:hint="default"/>
        <w:lang w:val="es-ES" w:eastAsia="en-US" w:bidi="ar-SA"/>
      </w:rPr>
    </w:lvl>
  </w:abstractNum>
  <w:abstractNum w:abstractNumId="16" w15:restartNumberingAfterBreak="0">
    <w:nsid w:val="6C747154"/>
    <w:multiLevelType w:val="hybridMultilevel"/>
    <w:tmpl w:val="EFCAB862"/>
    <w:lvl w:ilvl="0" w:tplc="240A0013">
      <w:start w:val="1"/>
      <w:numFmt w:val="upperRoman"/>
      <w:lvlText w:val="%1."/>
      <w:lvlJc w:val="right"/>
      <w:pPr>
        <w:ind w:left="720" w:hanging="360"/>
      </w:pPr>
      <w:rPr>
        <w:rFonts w:hint="default"/>
      </w:rPr>
    </w:lvl>
    <w:lvl w:ilvl="1" w:tplc="0EE49D9C">
      <w:start w:val="1"/>
      <w:numFmt w:val="bullet"/>
      <w:lvlText w:val="o"/>
      <w:lvlJc w:val="left"/>
      <w:pPr>
        <w:ind w:left="1440" w:hanging="360"/>
      </w:pPr>
      <w:rPr>
        <w:rFonts w:ascii="Courier New" w:hAnsi="Courier New" w:cs="Times New Roman" w:hint="default"/>
      </w:rPr>
    </w:lvl>
    <w:lvl w:ilvl="2" w:tplc="F5DE03CA">
      <w:start w:val="1"/>
      <w:numFmt w:val="bullet"/>
      <w:lvlText w:val=""/>
      <w:lvlJc w:val="left"/>
      <w:pPr>
        <w:ind w:left="2160" w:hanging="360"/>
      </w:pPr>
      <w:rPr>
        <w:rFonts w:ascii="Wingdings" w:hAnsi="Wingdings" w:hint="default"/>
      </w:rPr>
    </w:lvl>
    <w:lvl w:ilvl="3" w:tplc="A288AAB6">
      <w:start w:val="1"/>
      <w:numFmt w:val="bullet"/>
      <w:lvlText w:val=""/>
      <w:lvlJc w:val="left"/>
      <w:pPr>
        <w:ind w:left="2880" w:hanging="360"/>
      </w:pPr>
      <w:rPr>
        <w:rFonts w:ascii="Symbol" w:hAnsi="Symbol" w:hint="default"/>
      </w:rPr>
    </w:lvl>
    <w:lvl w:ilvl="4" w:tplc="81DAFD16">
      <w:start w:val="1"/>
      <w:numFmt w:val="bullet"/>
      <w:lvlText w:val="o"/>
      <w:lvlJc w:val="left"/>
      <w:pPr>
        <w:ind w:left="3600" w:hanging="360"/>
      </w:pPr>
      <w:rPr>
        <w:rFonts w:ascii="Courier New" w:hAnsi="Courier New" w:cs="Times New Roman" w:hint="default"/>
      </w:rPr>
    </w:lvl>
    <w:lvl w:ilvl="5" w:tplc="D540ACF6">
      <w:start w:val="1"/>
      <w:numFmt w:val="bullet"/>
      <w:lvlText w:val=""/>
      <w:lvlJc w:val="left"/>
      <w:pPr>
        <w:ind w:left="4320" w:hanging="360"/>
      </w:pPr>
      <w:rPr>
        <w:rFonts w:ascii="Wingdings" w:hAnsi="Wingdings" w:hint="default"/>
      </w:rPr>
    </w:lvl>
    <w:lvl w:ilvl="6" w:tplc="CE02DD38">
      <w:start w:val="1"/>
      <w:numFmt w:val="bullet"/>
      <w:lvlText w:val=""/>
      <w:lvlJc w:val="left"/>
      <w:pPr>
        <w:ind w:left="5040" w:hanging="360"/>
      </w:pPr>
      <w:rPr>
        <w:rFonts w:ascii="Symbol" w:hAnsi="Symbol" w:hint="default"/>
      </w:rPr>
    </w:lvl>
    <w:lvl w:ilvl="7" w:tplc="63564B5A">
      <w:start w:val="1"/>
      <w:numFmt w:val="bullet"/>
      <w:lvlText w:val="o"/>
      <w:lvlJc w:val="left"/>
      <w:pPr>
        <w:ind w:left="5760" w:hanging="360"/>
      </w:pPr>
      <w:rPr>
        <w:rFonts w:ascii="Courier New" w:hAnsi="Courier New" w:cs="Times New Roman" w:hint="default"/>
      </w:rPr>
    </w:lvl>
    <w:lvl w:ilvl="8" w:tplc="477E1BD4">
      <w:start w:val="1"/>
      <w:numFmt w:val="bullet"/>
      <w:lvlText w:val=""/>
      <w:lvlJc w:val="left"/>
      <w:pPr>
        <w:ind w:left="6480" w:hanging="360"/>
      </w:pPr>
      <w:rPr>
        <w:rFonts w:ascii="Wingdings" w:hAnsi="Wingdings" w:hint="default"/>
      </w:rPr>
    </w:lvl>
  </w:abstractNum>
  <w:abstractNum w:abstractNumId="17" w15:restartNumberingAfterBreak="0">
    <w:nsid w:val="70053A3C"/>
    <w:multiLevelType w:val="hybridMultilevel"/>
    <w:tmpl w:val="B6AC8E9A"/>
    <w:lvl w:ilvl="0" w:tplc="240A0013">
      <w:start w:val="1"/>
      <w:numFmt w:val="upperRoman"/>
      <w:lvlText w:val="%1."/>
      <w:lvlJc w:val="right"/>
      <w:pPr>
        <w:ind w:left="720" w:hanging="360"/>
      </w:pPr>
      <w:rPr>
        <w:rFonts w:hint="default"/>
      </w:rPr>
    </w:lvl>
    <w:lvl w:ilvl="1" w:tplc="0EE49D9C">
      <w:start w:val="1"/>
      <w:numFmt w:val="bullet"/>
      <w:lvlText w:val="o"/>
      <w:lvlJc w:val="left"/>
      <w:pPr>
        <w:ind w:left="1440" w:hanging="360"/>
      </w:pPr>
      <w:rPr>
        <w:rFonts w:ascii="Courier New" w:hAnsi="Courier New" w:hint="default"/>
      </w:rPr>
    </w:lvl>
    <w:lvl w:ilvl="2" w:tplc="F5DE03CA">
      <w:start w:val="1"/>
      <w:numFmt w:val="bullet"/>
      <w:lvlText w:val=""/>
      <w:lvlJc w:val="left"/>
      <w:pPr>
        <w:ind w:left="2160" w:hanging="360"/>
      </w:pPr>
      <w:rPr>
        <w:rFonts w:ascii="Wingdings" w:hAnsi="Wingdings" w:hint="default"/>
      </w:rPr>
    </w:lvl>
    <w:lvl w:ilvl="3" w:tplc="A288AAB6">
      <w:start w:val="1"/>
      <w:numFmt w:val="bullet"/>
      <w:lvlText w:val=""/>
      <w:lvlJc w:val="left"/>
      <w:pPr>
        <w:ind w:left="2880" w:hanging="360"/>
      </w:pPr>
      <w:rPr>
        <w:rFonts w:ascii="Symbol" w:hAnsi="Symbol" w:hint="default"/>
      </w:rPr>
    </w:lvl>
    <w:lvl w:ilvl="4" w:tplc="81DAFD16">
      <w:start w:val="1"/>
      <w:numFmt w:val="bullet"/>
      <w:lvlText w:val="o"/>
      <w:lvlJc w:val="left"/>
      <w:pPr>
        <w:ind w:left="3600" w:hanging="360"/>
      </w:pPr>
      <w:rPr>
        <w:rFonts w:ascii="Courier New" w:hAnsi="Courier New" w:hint="default"/>
      </w:rPr>
    </w:lvl>
    <w:lvl w:ilvl="5" w:tplc="D540ACF6">
      <w:start w:val="1"/>
      <w:numFmt w:val="bullet"/>
      <w:lvlText w:val=""/>
      <w:lvlJc w:val="left"/>
      <w:pPr>
        <w:ind w:left="4320" w:hanging="360"/>
      </w:pPr>
      <w:rPr>
        <w:rFonts w:ascii="Wingdings" w:hAnsi="Wingdings" w:hint="default"/>
      </w:rPr>
    </w:lvl>
    <w:lvl w:ilvl="6" w:tplc="CE02DD38">
      <w:start w:val="1"/>
      <w:numFmt w:val="bullet"/>
      <w:lvlText w:val=""/>
      <w:lvlJc w:val="left"/>
      <w:pPr>
        <w:ind w:left="5040" w:hanging="360"/>
      </w:pPr>
      <w:rPr>
        <w:rFonts w:ascii="Symbol" w:hAnsi="Symbol" w:hint="default"/>
      </w:rPr>
    </w:lvl>
    <w:lvl w:ilvl="7" w:tplc="63564B5A">
      <w:start w:val="1"/>
      <w:numFmt w:val="bullet"/>
      <w:lvlText w:val="o"/>
      <w:lvlJc w:val="left"/>
      <w:pPr>
        <w:ind w:left="5760" w:hanging="360"/>
      </w:pPr>
      <w:rPr>
        <w:rFonts w:ascii="Courier New" w:hAnsi="Courier New" w:hint="default"/>
      </w:rPr>
    </w:lvl>
    <w:lvl w:ilvl="8" w:tplc="477E1BD4">
      <w:start w:val="1"/>
      <w:numFmt w:val="bullet"/>
      <w:lvlText w:val=""/>
      <w:lvlJc w:val="left"/>
      <w:pPr>
        <w:ind w:left="6480" w:hanging="360"/>
      </w:pPr>
      <w:rPr>
        <w:rFonts w:ascii="Wingdings" w:hAnsi="Wingdings" w:hint="default"/>
      </w:rPr>
    </w:lvl>
  </w:abstractNum>
  <w:abstractNum w:abstractNumId="18" w15:restartNumberingAfterBreak="0">
    <w:nsid w:val="716D1FFB"/>
    <w:multiLevelType w:val="multilevel"/>
    <w:tmpl w:val="399A4B3A"/>
    <w:lvl w:ilvl="0">
      <w:start w:val="2"/>
      <w:numFmt w:val="decimal"/>
      <w:lvlText w:val="%1"/>
      <w:lvlJc w:val="left"/>
      <w:pPr>
        <w:ind w:left="360" w:hanging="360"/>
      </w:pPr>
      <w:rPr>
        <w:rFonts w:hint="default"/>
      </w:rPr>
    </w:lvl>
    <w:lvl w:ilvl="1">
      <w:start w:val="1"/>
      <w:numFmt w:val="decimal"/>
      <w:lvlText w:val="%1.%2"/>
      <w:lvlJc w:val="left"/>
      <w:pPr>
        <w:ind w:left="786" w:hanging="360"/>
      </w:pPr>
      <w:rPr>
        <w:rFonts w:asciiTheme="minorHAnsi" w:hAnsiTheme="minorHAnsi" w:cstheme="minorHAnsi" w:hint="default"/>
        <w:b/>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722751352">
    <w:abstractNumId w:val="6"/>
  </w:num>
  <w:num w:numId="2" w16cid:durableId="705833396">
    <w:abstractNumId w:val="5"/>
  </w:num>
  <w:num w:numId="3" w16cid:durableId="1886017833">
    <w:abstractNumId w:val="9"/>
  </w:num>
  <w:num w:numId="4" w16cid:durableId="1869297659">
    <w:abstractNumId w:val="11"/>
  </w:num>
  <w:num w:numId="5" w16cid:durableId="1811440297">
    <w:abstractNumId w:val="14"/>
  </w:num>
  <w:num w:numId="6" w16cid:durableId="1962034888">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32496733">
    <w:abstractNumId w:val="3"/>
  </w:num>
  <w:num w:numId="8" w16cid:durableId="1966622870">
    <w:abstractNumId w:val="16"/>
  </w:num>
  <w:num w:numId="9" w16cid:durableId="1217668893">
    <w:abstractNumId w:val="3"/>
    <w:lvlOverride w:ilvl="0">
      <w:startOverride w:val="1"/>
    </w:lvlOverride>
  </w:num>
  <w:num w:numId="10" w16cid:durableId="1745057978">
    <w:abstractNumId w:val="17"/>
  </w:num>
  <w:num w:numId="11" w16cid:durableId="1276904848">
    <w:abstractNumId w:val="4"/>
  </w:num>
  <w:num w:numId="12" w16cid:durableId="1032073085">
    <w:abstractNumId w:val="18"/>
  </w:num>
  <w:num w:numId="13" w16cid:durableId="1983541113">
    <w:abstractNumId w:val="10"/>
  </w:num>
  <w:num w:numId="14" w16cid:durableId="1501429840">
    <w:abstractNumId w:val="12"/>
  </w:num>
  <w:num w:numId="15" w16cid:durableId="1108433035">
    <w:abstractNumId w:val="1"/>
  </w:num>
  <w:num w:numId="16" w16cid:durableId="20592568">
    <w:abstractNumId w:val="2"/>
  </w:num>
  <w:num w:numId="17" w16cid:durableId="543832924">
    <w:abstractNumId w:val="13"/>
  </w:num>
  <w:num w:numId="18" w16cid:durableId="467015573">
    <w:abstractNumId w:val="7"/>
  </w:num>
  <w:num w:numId="19" w16cid:durableId="1394114122">
    <w:abstractNumId w:val="15"/>
  </w:num>
  <w:num w:numId="20" w16cid:durableId="9988279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4"/>
  <w:hideSpellingErrors/>
  <w:hideGrammaticalErrors/>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CA5"/>
    <w:rsid w:val="000014F3"/>
    <w:rsid w:val="0000268F"/>
    <w:rsid w:val="00003409"/>
    <w:rsid w:val="0000404B"/>
    <w:rsid w:val="0000645E"/>
    <w:rsid w:val="0000651A"/>
    <w:rsid w:val="00006C9C"/>
    <w:rsid w:val="00010563"/>
    <w:rsid w:val="00010D56"/>
    <w:rsid w:val="000126BB"/>
    <w:rsid w:val="00012A1B"/>
    <w:rsid w:val="00013517"/>
    <w:rsid w:val="000136DC"/>
    <w:rsid w:val="00016F33"/>
    <w:rsid w:val="00016FAC"/>
    <w:rsid w:val="0001726A"/>
    <w:rsid w:val="0001795B"/>
    <w:rsid w:val="000201EA"/>
    <w:rsid w:val="00020801"/>
    <w:rsid w:val="00023441"/>
    <w:rsid w:val="00023549"/>
    <w:rsid w:val="000244AB"/>
    <w:rsid w:val="00024BE5"/>
    <w:rsid w:val="0002665B"/>
    <w:rsid w:val="00026AD9"/>
    <w:rsid w:val="000271AD"/>
    <w:rsid w:val="00027940"/>
    <w:rsid w:val="00027F74"/>
    <w:rsid w:val="000303EC"/>
    <w:rsid w:val="00032DA3"/>
    <w:rsid w:val="000365C0"/>
    <w:rsid w:val="00037112"/>
    <w:rsid w:val="00037BF5"/>
    <w:rsid w:val="00042AC5"/>
    <w:rsid w:val="00044E56"/>
    <w:rsid w:val="000503A1"/>
    <w:rsid w:val="0005095B"/>
    <w:rsid w:val="00050E8C"/>
    <w:rsid w:val="00051882"/>
    <w:rsid w:val="00055733"/>
    <w:rsid w:val="00056024"/>
    <w:rsid w:val="00056BF7"/>
    <w:rsid w:val="00057953"/>
    <w:rsid w:val="0006054C"/>
    <w:rsid w:val="0006293E"/>
    <w:rsid w:val="0006625D"/>
    <w:rsid w:val="00066C3F"/>
    <w:rsid w:val="0006738C"/>
    <w:rsid w:val="00070770"/>
    <w:rsid w:val="00070A22"/>
    <w:rsid w:val="00071D4B"/>
    <w:rsid w:val="00071D6E"/>
    <w:rsid w:val="00072969"/>
    <w:rsid w:val="0007590A"/>
    <w:rsid w:val="00080D35"/>
    <w:rsid w:val="00081AF3"/>
    <w:rsid w:val="0008260E"/>
    <w:rsid w:val="000827F2"/>
    <w:rsid w:val="00084278"/>
    <w:rsid w:val="00084DC0"/>
    <w:rsid w:val="00085CC3"/>
    <w:rsid w:val="00085D36"/>
    <w:rsid w:val="00087888"/>
    <w:rsid w:val="00090683"/>
    <w:rsid w:val="00091301"/>
    <w:rsid w:val="000939E0"/>
    <w:rsid w:val="00093D35"/>
    <w:rsid w:val="000942EB"/>
    <w:rsid w:val="0009440D"/>
    <w:rsid w:val="0009651A"/>
    <w:rsid w:val="00096EAB"/>
    <w:rsid w:val="000970AA"/>
    <w:rsid w:val="0009712F"/>
    <w:rsid w:val="000972BA"/>
    <w:rsid w:val="000A15CB"/>
    <w:rsid w:val="000A1B81"/>
    <w:rsid w:val="000A2169"/>
    <w:rsid w:val="000A2C01"/>
    <w:rsid w:val="000A3536"/>
    <w:rsid w:val="000A44E8"/>
    <w:rsid w:val="000A5189"/>
    <w:rsid w:val="000A668C"/>
    <w:rsid w:val="000A7E46"/>
    <w:rsid w:val="000B0831"/>
    <w:rsid w:val="000B103F"/>
    <w:rsid w:val="000B1C28"/>
    <w:rsid w:val="000B1DCE"/>
    <w:rsid w:val="000B26E7"/>
    <w:rsid w:val="000B3893"/>
    <w:rsid w:val="000B4FC6"/>
    <w:rsid w:val="000B53D0"/>
    <w:rsid w:val="000C0B7C"/>
    <w:rsid w:val="000C1091"/>
    <w:rsid w:val="000C2DD2"/>
    <w:rsid w:val="000C4F67"/>
    <w:rsid w:val="000C4F79"/>
    <w:rsid w:val="000C5A1F"/>
    <w:rsid w:val="000C6043"/>
    <w:rsid w:val="000C6347"/>
    <w:rsid w:val="000D0AFA"/>
    <w:rsid w:val="000D228B"/>
    <w:rsid w:val="000D5E6D"/>
    <w:rsid w:val="000E00A8"/>
    <w:rsid w:val="000E1761"/>
    <w:rsid w:val="000E1F13"/>
    <w:rsid w:val="000E2297"/>
    <w:rsid w:val="000E2B3A"/>
    <w:rsid w:val="000E496F"/>
    <w:rsid w:val="000E68FA"/>
    <w:rsid w:val="000E6962"/>
    <w:rsid w:val="000E6D84"/>
    <w:rsid w:val="000F07B8"/>
    <w:rsid w:val="000F14E8"/>
    <w:rsid w:val="000F2007"/>
    <w:rsid w:val="000F3B04"/>
    <w:rsid w:val="000F6869"/>
    <w:rsid w:val="000F7AE4"/>
    <w:rsid w:val="0010045F"/>
    <w:rsid w:val="001010FA"/>
    <w:rsid w:val="001015E9"/>
    <w:rsid w:val="001017F1"/>
    <w:rsid w:val="00102AA1"/>
    <w:rsid w:val="00103915"/>
    <w:rsid w:val="00103D3D"/>
    <w:rsid w:val="00106085"/>
    <w:rsid w:val="001065D1"/>
    <w:rsid w:val="00106B75"/>
    <w:rsid w:val="00110012"/>
    <w:rsid w:val="00110E52"/>
    <w:rsid w:val="001112CF"/>
    <w:rsid w:val="00111438"/>
    <w:rsid w:val="00111636"/>
    <w:rsid w:val="00112192"/>
    <w:rsid w:val="00112B4A"/>
    <w:rsid w:val="00112D2F"/>
    <w:rsid w:val="00114236"/>
    <w:rsid w:val="00114D72"/>
    <w:rsid w:val="001152BA"/>
    <w:rsid w:val="0011561C"/>
    <w:rsid w:val="00115D3E"/>
    <w:rsid w:val="001164BB"/>
    <w:rsid w:val="001170AB"/>
    <w:rsid w:val="001214FF"/>
    <w:rsid w:val="0012201D"/>
    <w:rsid w:val="0012244A"/>
    <w:rsid w:val="001229C6"/>
    <w:rsid w:val="00122B23"/>
    <w:rsid w:val="00123AA4"/>
    <w:rsid w:val="00124CE3"/>
    <w:rsid w:val="00124E73"/>
    <w:rsid w:val="00124EC3"/>
    <w:rsid w:val="00125291"/>
    <w:rsid w:val="0012570E"/>
    <w:rsid w:val="00125D4C"/>
    <w:rsid w:val="0012754A"/>
    <w:rsid w:val="00130333"/>
    <w:rsid w:val="00130544"/>
    <w:rsid w:val="0013236F"/>
    <w:rsid w:val="00132C50"/>
    <w:rsid w:val="001332D0"/>
    <w:rsid w:val="00133BB0"/>
    <w:rsid w:val="001344AA"/>
    <w:rsid w:val="001349B6"/>
    <w:rsid w:val="00137BA1"/>
    <w:rsid w:val="00137FFA"/>
    <w:rsid w:val="001425C5"/>
    <w:rsid w:val="001428CF"/>
    <w:rsid w:val="001448B5"/>
    <w:rsid w:val="00146179"/>
    <w:rsid w:val="00146E1D"/>
    <w:rsid w:val="00152609"/>
    <w:rsid w:val="0015382E"/>
    <w:rsid w:val="00154263"/>
    <w:rsid w:val="001550CF"/>
    <w:rsid w:val="001554A4"/>
    <w:rsid w:val="00155B6E"/>
    <w:rsid w:val="00156A50"/>
    <w:rsid w:val="00156DAF"/>
    <w:rsid w:val="00157821"/>
    <w:rsid w:val="00157CA4"/>
    <w:rsid w:val="0016135A"/>
    <w:rsid w:val="0016149E"/>
    <w:rsid w:val="0016152C"/>
    <w:rsid w:val="00161D78"/>
    <w:rsid w:val="0016240C"/>
    <w:rsid w:val="00163B50"/>
    <w:rsid w:val="00164225"/>
    <w:rsid w:val="0016511A"/>
    <w:rsid w:val="00165EA8"/>
    <w:rsid w:val="0016658C"/>
    <w:rsid w:val="0016680A"/>
    <w:rsid w:val="00167B9D"/>
    <w:rsid w:val="00167F0C"/>
    <w:rsid w:val="00170733"/>
    <w:rsid w:val="00172E0A"/>
    <w:rsid w:val="0017360F"/>
    <w:rsid w:val="001736CF"/>
    <w:rsid w:val="00174107"/>
    <w:rsid w:val="00175343"/>
    <w:rsid w:val="001755EC"/>
    <w:rsid w:val="00175795"/>
    <w:rsid w:val="00177BAA"/>
    <w:rsid w:val="00180B3B"/>
    <w:rsid w:val="00184E93"/>
    <w:rsid w:val="001900CF"/>
    <w:rsid w:val="001918D6"/>
    <w:rsid w:val="00191FB4"/>
    <w:rsid w:val="00192B77"/>
    <w:rsid w:val="001939B7"/>
    <w:rsid w:val="001963C6"/>
    <w:rsid w:val="00196917"/>
    <w:rsid w:val="0019745D"/>
    <w:rsid w:val="001A08F7"/>
    <w:rsid w:val="001A0DF1"/>
    <w:rsid w:val="001A0EC0"/>
    <w:rsid w:val="001A27D7"/>
    <w:rsid w:val="001A3721"/>
    <w:rsid w:val="001A387A"/>
    <w:rsid w:val="001A4138"/>
    <w:rsid w:val="001A569E"/>
    <w:rsid w:val="001A70EF"/>
    <w:rsid w:val="001B0A86"/>
    <w:rsid w:val="001B1BE7"/>
    <w:rsid w:val="001B2EA0"/>
    <w:rsid w:val="001B3306"/>
    <w:rsid w:val="001B464A"/>
    <w:rsid w:val="001B4A46"/>
    <w:rsid w:val="001B4BEB"/>
    <w:rsid w:val="001B528A"/>
    <w:rsid w:val="001B53B4"/>
    <w:rsid w:val="001B6044"/>
    <w:rsid w:val="001B686F"/>
    <w:rsid w:val="001B68B7"/>
    <w:rsid w:val="001B7618"/>
    <w:rsid w:val="001B7DEA"/>
    <w:rsid w:val="001C219D"/>
    <w:rsid w:val="001C33CB"/>
    <w:rsid w:val="001C4297"/>
    <w:rsid w:val="001C54B1"/>
    <w:rsid w:val="001C6128"/>
    <w:rsid w:val="001C722C"/>
    <w:rsid w:val="001D172E"/>
    <w:rsid w:val="001D4A20"/>
    <w:rsid w:val="001D4A42"/>
    <w:rsid w:val="001D5E4D"/>
    <w:rsid w:val="001E0042"/>
    <w:rsid w:val="001E008B"/>
    <w:rsid w:val="001E0545"/>
    <w:rsid w:val="001E0849"/>
    <w:rsid w:val="001E1694"/>
    <w:rsid w:val="001E1984"/>
    <w:rsid w:val="001E1A13"/>
    <w:rsid w:val="001E24F4"/>
    <w:rsid w:val="001E30CF"/>
    <w:rsid w:val="001E453C"/>
    <w:rsid w:val="001E7880"/>
    <w:rsid w:val="001F140A"/>
    <w:rsid w:val="001F1AFA"/>
    <w:rsid w:val="001F25A1"/>
    <w:rsid w:val="001F25AA"/>
    <w:rsid w:val="001F2AD0"/>
    <w:rsid w:val="001F384E"/>
    <w:rsid w:val="001F3C7B"/>
    <w:rsid w:val="001F3D53"/>
    <w:rsid w:val="001F416A"/>
    <w:rsid w:val="001F5546"/>
    <w:rsid w:val="001F6AAC"/>
    <w:rsid w:val="001F790E"/>
    <w:rsid w:val="002005CC"/>
    <w:rsid w:val="00203F1A"/>
    <w:rsid w:val="00204114"/>
    <w:rsid w:val="00204C65"/>
    <w:rsid w:val="002059AF"/>
    <w:rsid w:val="0020637E"/>
    <w:rsid w:val="002107F4"/>
    <w:rsid w:val="002131AD"/>
    <w:rsid w:val="0021327A"/>
    <w:rsid w:val="002135F3"/>
    <w:rsid w:val="002146C0"/>
    <w:rsid w:val="00214DF8"/>
    <w:rsid w:val="0021564F"/>
    <w:rsid w:val="0021571D"/>
    <w:rsid w:val="00216478"/>
    <w:rsid w:val="00216F1A"/>
    <w:rsid w:val="0021759E"/>
    <w:rsid w:val="00220CE5"/>
    <w:rsid w:val="002215FF"/>
    <w:rsid w:val="00221BD0"/>
    <w:rsid w:val="00222935"/>
    <w:rsid w:val="002236DB"/>
    <w:rsid w:val="00224570"/>
    <w:rsid w:val="0022655C"/>
    <w:rsid w:val="00233365"/>
    <w:rsid w:val="00233A24"/>
    <w:rsid w:val="0023484E"/>
    <w:rsid w:val="00234B84"/>
    <w:rsid w:val="00235341"/>
    <w:rsid w:val="00235EAA"/>
    <w:rsid w:val="00237329"/>
    <w:rsid w:val="00237CB3"/>
    <w:rsid w:val="002412CB"/>
    <w:rsid w:val="002416BA"/>
    <w:rsid w:val="00242EFF"/>
    <w:rsid w:val="00244CC4"/>
    <w:rsid w:val="002457FD"/>
    <w:rsid w:val="00245C7E"/>
    <w:rsid w:val="0024604B"/>
    <w:rsid w:val="00246B81"/>
    <w:rsid w:val="00250718"/>
    <w:rsid w:val="00251445"/>
    <w:rsid w:val="00253276"/>
    <w:rsid w:val="00253C1D"/>
    <w:rsid w:val="00254319"/>
    <w:rsid w:val="002563B9"/>
    <w:rsid w:val="0025685E"/>
    <w:rsid w:val="00256BB9"/>
    <w:rsid w:val="00256EDF"/>
    <w:rsid w:val="0025768C"/>
    <w:rsid w:val="002603F3"/>
    <w:rsid w:val="00265C96"/>
    <w:rsid w:val="00265CEB"/>
    <w:rsid w:val="00265ED0"/>
    <w:rsid w:val="00266E0C"/>
    <w:rsid w:val="00270234"/>
    <w:rsid w:val="0027071C"/>
    <w:rsid w:val="00272C62"/>
    <w:rsid w:val="00273DED"/>
    <w:rsid w:val="00275701"/>
    <w:rsid w:val="00276521"/>
    <w:rsid w:val="00283380"/>
    <w:rsid w:val="0028382A"/>
    <w:rsid w:val="00284F66"/>
    <w:rsid w:val="00285D7E"/>
    <w:rsid w:val="00285FED"/>
    <w:rsid w:val="00286A53"/>
    <w:rsid w:val="00286EB7"/>
    <w:rsid w:val="00287542"/>
    <w:rsid w:val="002877E9"/>
    <w:rsid w:val="00287A79"/>
    <w:rsid w:val="0029159E"/>
    <w:rsid w:val="00292CD9"/>
    <w:rsid w:val="00294801"/>
    <w:rsid w:val="00295418"/>
    <w:rsid w:val="0029573E"/>
    <w:rsid w:val="002A01C4"/>
    <w:rsid w:val="002A0763"/>
    <w:rsid w:val="002A3730"/>
    <w:rsid w:val="002A4E44"/>
    <w:rsid w:val="002A4F10"/>
    <w:rsid w:val="002A63F4"/>
    <w:rsid w:val="002B0564"/>
    <w:rsid w:val="002B0BD2"/>
    <w:rsid w:val="002B4907"/>
    <w:rsid w:val="002B50DA"/>
    <w:rsid w:val="002B5BCA"/>
    <w:rsid w:val="002B7DD1"/>
    <w:rsid w:val="002C0725"/>
    <w:rsid w:val="002C087E"/>
    <w:rsid w:val="002C27C5"/>
    <w:rsid w:val="002C2B17"/>
    <w:rsid w:val="002C2BF2"/>
    <w:rsid w:val="002C43B5"/>
    <w:rsid w:val="002C5940"/>
    <w:rsid w:val="002C5D89"/>
    <w:rsid w:val="002C7CF0"/>
    <w:rsid w:val="002D17B8"/>
    <w:rsid w:val="002D3456"/>
    <w:rsid w:val="002D4BB3"/>
    <w:rsid w:val="002D6190"/>
    <w:rsid w:val="002D696B"/>
    <w:rsid w:val="002D7E62"/>
    <w:rsid w:val="002D7F92"/>
    <w:rsid w:val="002E0A18"/>
    <w:rsid w:val="002E0AA8"/>
    <w:rsid w:val="002E0FAD"/>
    <w:rsid w:val="002E1964"/>
    <w:rsid w:val="002E19A6"/>
    <w:rsid w:val="002E1E7E"/>
    <w:rsid w:val="002E2947"/>
    <w:rsid w:val="002E35BE"/>
    <w:rsid w:val="002E6B6F"/>
    <w:rsid w:val="002E6F7C"/>
    <w:rsid w:val="002F0602"/>
    <w:rsid w:val="002F0800"/>
    <w:rsid w:val="002F3606"/>
    <w:rsid w:val="002F436E"/>
    <w:rsid w:val="002F4BC7"/>
    <w:rsid w:val="002F5131"/>
    <w:rsid w:val="002F6EDA"/>
    <w:rsid w:val="002F6EE0"/>
    <w:rsid w:val="002F70EB"/>
    <w:rsid w:val="002F779E"/>
    <w:rsid w:val="002F7BFE"/>
    <w:rsid w:val="0030086F"/>
    <w:rsid w:val="003033BA"/>
    <w:rsid w:val="003038BC"/>
    <w:rsid w:val="00303EFC"/>
    <w:rsid w:val="003046D6"/>
    <w:rsid w:val="003103C3"/>
    <w:rsid w:val="00310895"/>
    <w:rsid w:val="003112B5"/>
    <w:rsid w:val="0031293C"/>
    <w:rsid w:val="00313BBA"/>
    <w:rsid w:val="00313D9F"/>
    <w:rsid w:val="00314010"/>
    <w:rsid w:val="00314899"/>
    <w:rsid w:val="00314A89"/>
    <w:rsid w:val="00315623"/>
    <w:rsid w:val="00316182"/>
    <w:rsid w:val="0032072B"/>
    <w:rsid w:val="00320C7F"/>
    <w:rsid w:val="00320DFD"/>
    <w:rsid w:val="00320E68"/>
    <w:rsid w:val="00326F22"/>
    <w:rsid w:val="00327FA2"/>
    <w:rsid w:val="0033002D"/>
    <w:rsid w:val="00332906"/>
    <w:rsid w:val="00332C3C"/>
    <w:rsid w:val="00333BE1"/>
    <w:rsid w:val="00334B76"/>
    <w:rsid w:val="00336644"/>
    <w:rsid w:val="00337299"/>
    <w:rsid w:val="0033763C"/>
    <w:rsid w:val="0034149E"/>
    <w:rsid w:val="003415A9"/>
    <w:rsid w:val="00341CE5"/>
    <w:rsid w:val="00342202"/>
    <w:rsid w:val="003429C9"/>
    <w:rsid w:val="00343DF1"/>
    <w:rsid w:val="00344889"/>
    <w:rsid w:val="0034680A"/>
    <w:rsid w:val="00347661"/>
    <w:rsid w:val="003478E7"/>
    <w:rsid w:val="00347C6A"/>
    <w:rsid w:val="00351383"/>
    <w:rsid w:val="0035216C"/>
    <w:rsid w:val="00352927"/>
    <w:rsid w:val="00353FDF"/>
    <w:rsid w:val="0035453F"/>
    <w:rsid w:val="00354545"/>
    <w:rsid w:val="003555B4"/>
    <w:rsid w:val="003567B6"/>
    <w:rsid w:val="00361B65"/>
    <w:rsid w:val="00361FDA"/>
    <w:rsid w:val="00362486"/>
    <w:rsid w:val="0036497E"/>
    <w:rsid w:val="00364F1A"/>
    <w:rsid w:val="003650C9"/>
    <w:rsid w:val="00366C32"/>
    <w:rsid w:val="00370640"/>
    <w:rsid w:val="003707D2"/>
    <w:rsid w:val="0037099D"/>
    <w:rsid w:val="00372A55"/>
    <w:rsid w:val="00374F25"/>
    <w:rsid w:val="003776F1"/>
    <w:rsid w:val="00377AD6"/>
    <w:rsid w:val="00381A7D"/>
    <w:rsid w:val="00381B41"/>
    <w:rsid w:val="00383DDA"/>
    <w:rsid w:val="00384AFA"/>
    <w:rsid w:val="00384B44"/>
    <w:rsid w:val="00385EC9"/>
    <w:rsid w:val="00386456"/>
    <w:rsid w:val="00387241"/>
    <w:rsid w:val="0039010E"/>
    <w:rsid w:val="003901D8"/>
    <w:rsid w:val="003914FA"/>
    <w:rsid w:val="00391D93"/>
    <w:rsid w:val="00393184"/>
    <w:rsid w:val="0039340C"/>
    <w:rsid w:val="003934DD"/>
    <w:rsid w:val="00395A3E"/>
    <w:rsid w:val="003960C7"/>
    <w:rsid w:val="003962C5"/>
    <w:rsid w:val="003966FF"/>
    <w:rsid w:val="00396D23"/>
    <w:rsid w:val="003A02EB"/>
    <w:rsid w:val="003A046A"/>
    <w:rsid w:val="003A25E4"/>
    <w:rsid w:val="003A2C66"/>
    <w:rsid w:val="003A362C"/>
    <w:rsid w:val="003A3686"/>
    <w:rsid w:val="003A4F71"/>
    <w:rsid w:val="003A581E"/>
    <w:rsid w:val="003A651C"/>
    <w:rsid w:val="003B0B16"/>
    <w:rsid w:val="003B241A"/>
    <w:rsid w:val="003B2705"/>
    <w:rsid w:val="003B621E"/>
    <w:rsid w:val="003B79A5"/>
    <w:rsid w:val="003C40DD"/>
    <w:rsid w:val="003C4141"/>
    <w:rsid w:val="003C50C9"/>
    <w:rsid w:val="003C62BD"/>
    <w:rsid w:val="003C7DFA"/>
    <w:rsid w:val="003D2167"/>
    <w:rsid w:val="003D284B"/>
    <w:rsid w:val="003D40F4"/>
    <w:rsid w:val="003D4F72"/>
    <w:rsid w:val="003D5728"/>
    <w:rsid w:val="003D711A"/>
    <w:rsid w:val="003E05EB"/>
    <w:rsid w:val="003E07B4"/>
    <w:rsid w:val="003E11A8"/>
    <w:rsid w:val="003E14B0"/>
    <w:rsid w:val="003E3511"/>
    <w:rsid w:val="003E54CB"/>
    <w:rsid w:val="003E5505"/>
    <w:rsid w:val="003E5ED1"/>
    <w:rsid w:val="003E6682"/>
    <w:rsid w:val="003E7261"/>
    <w:rsid w:val="003E7A20"/>
    <w:rsid w:val="003F0FBE"/>
    <w:rsid w:val="003F28CF"/>
    <w:rsid w:val="003F2E7B"/>
    <w:rsid w:val="003F328D"/>
    <w:rsid w:val="003F415A"/>
    <w:rsid w:val="003F47E5"/>
    <w:rsid w:val="003F5CDD"/>
    <w:rsid w:val="003F5F8D"/>
    <w:rsid w:val="003F7E6A"/>
    <w:rsid w:val="00400083"/>
    <w:rsid w:val="0040059A"/>
    <w:rsid w:val="00400A4C"/>
    <w:rsid w:val="00402C55"/>
    <w:rsid w:val="00404A20"/>
    <w:rsid w:val="00407BD2"/>
    <w:rsid w:val="0041043C"/>
    <w:rsid w:val="00411B85"/>
    <w:rsid w:val="00411D1B"/>
    <w:rsid w:val="00411F9D"/>
    <w:rsid w:val="00412972"/>
    <w:rsid w:val="004129E3"/>
    <w:rsid w:val="004142FF"/>
    <w:rsid w:val="00414B1E"/>
    <w:rsid w:val="00415610"/>
    <w:rsid w:val="00416511"/>
    <w:rsid w:val="004200BB"/>
    <w:rsid w:val="004207E3"/>
    <w:rsid w:val="00420D01"/>
    <w:rsid w:val="0042321C"/>
    <w:rsid w:val="00423267"/>
    <w:rsid w:val="004240BB"/>
    <w:rsid w:val="00424744"/>
    <w:rsid w:val="004250CD"/>
    <w:rsid w:val="004252E8"/>
    <w:rsid w:val="004268C3"/>
    <w:rsid w:val="00426EEE"/>
    <w:rsid w:val="00426F4A"/>
    <w:rsid w:val="00430975"/>
    <w:rsid w:val="0043155D"/>
    <w:rsid w:val="004323D3"/>
    <w:rsid w:val="00432915"/>
    <w:rsid w:val="00435AA2"/>
    <w:rsid w:val="004363BC"/>
    <w:rsid w:val="00436BC5"/>
    <w:rsid w:val="00436C94"/>
    <w:rsid w:val="0043754D"/>
    <w:rsid w:val="00437BF5"/>
    <w:rsid w:val="00437BF8"/>
    <w:rsid w:val="004422D6"/>
    <w:rsid w:val="00442BFD"/>
    <w:rsid w:val="004440EF"/>
    <w:rsid w:val="00444A46"/>
    <w:rsid w:val="004453FD"/>
    <w:rsid w:val="00445EE4"/>
    <w:rsid w:val="00447095"/>
    <w:rsid w:val="00447ADC"/>
    <w:rsid w:val="004507CF"/>
    <w:rsid w:val="0045342C"/>
    <w:rsid w:val="00454B0F"/>
    <w:rsid w:val="00456B0F"/>
    <w:rsid w:val="00457983"/>
    <w:rsid w:val="00460FD4"/>
    <w:rsid w:val="0046169F"/>
    <w:rsid w:val="00463997"/>
    <w:rsid w:val="0046604D"/>
    <w:rsid w:val="004675A7"/>
    <w:rsid w:val="0047250D"/>
    <w:rsid w:val="0047444E"/>
    <w:rsid w:val="00474491"/>
    <w:rsid w:val="00474614"/>
    <w:rsid w:val="00474644"/>
    <w:rsid w:val="00474880"/>
    <w:rsid w:val="004749E6"/>
    <w:rsid w:val="0047589D"/>
    <w:rsid w:val="004768C9"/>
    <w:rsid w:val="00476A0B"/>
    <w:rsid w:val="00477A49"/>
    <w:rsid w:val="00477BFF"/>
    <w:rsid w:val="00481FA4"/>
    <w:rsid w:val="004838AB"/>
    <w:rsid w:val="00483C47"/>
    <w:rsid w:val="00485F24"/>
    <w:rsid w:val="004878C1"/>
    <w:rsid w:val="0049189C"/>
    <w:rsid w:val="00491F45"/>
    <w:rsid w:val="0049331C"/>
    <w:rsid w:val="0049505C"/>
    <w:rsid w:val="00496626"/>
    <w:rsid w:val="0049684A"/>
    <w:rsid w:val="00496EEE"/>
    <w:rsid w:val="00497B27"/>
    <w:rsid w:val="004A183E"/>
    <w:rsid w:val="004A34D2"/>
    <w:rsid w:val="004A40FC"/>
    <w:rsid w:val="004A411B"/>
    <w:rsid w:val="004A4319"/>
    <w:rsid w:val="004A488B"/>
    <w:rsid w:val="004A5C48"/>
    <w:rsid w:val="004B1AF2"/>
    <w:rsid w:val="004B219E"/>
    <w:rsid w:val="004B2A5D"/>
    <w:rsid w:val="004B40DB"/>
    <w:rsid w:val="004B4A0E"/>
    <w:rsid w:val="004B5ECB"/>
    <w:rsid w:val="004B6DE0"/>
    <w:rsid w:val="004C003F"/>
    <w:rsid w:val="004C05CA"/>
    <w:rsid w:val="004C0993"/>
    <w:rsid w:val="004C1226"/>
    <w:rsid w:val="004C1F44"/>
    <w:rsid w:val="004C1F93"/>
    <w:rsid w:val="004C247D"/>
    <w:rsid w:val="004C3FAA"/>
    <w:rsid w:val="004C5092"/>
    <w:rsid w:val="004D2B08"/>
    <w:rsid w:val="004D2C64"/>
    <w:rsid w:val="004D3473"/>
    <w:rsid w:val="004D40F7"/>
    <w:rsid w:val="004D4556"/>
    <w:rsid w:val="004D4E15"/>
    <w:rsid w:val="004D7A98"/>
    <w:rsid w:val="004E1E4A"/>
    <w:rsid w:val="004E2973"/>
    <w:rsid w:val="004E4142"/>
    <w:rsid w:val="004E5102"/>
    <w:rsid w:val="004E5B78"/>
    <w:rsid w:val="004E77C8"/>
    <w:rsid w:val="004F0B50"/>
    <w:rsid w:val="004F1050"/>
    <w:rsid w:val="004F32CC"/>
    <w:rsid w:val="004F4EB9"/>
    <w:rsid w:val="00500564"/>
    <w:rsid w:val="005019B6"/>
    <w:rsid w:val="00502467"/>
    <w:rsid w:val="005024C1"/>
    <w:rsid w:val="00502929"/>
    <w:rsid w:val="00502A2B"/>
    <w:rsid w:val="00502F06"/>
    <w:rsid w:val="005037CD"/>
    <w:rsid w:val="00503872"/>
    <w:rsid w:val="0050454C"/>
    <w:rsid w:val="00504EAC"/>
    <w:rsid w:val="005053B0"/>
    <w:rsid w:val="0051074C"/>
    <w:rsid w:val="0051089A"/>
    <w:rsid w:val="00510975"/>
    <w:rsid w:val="00510BB6"/>
    <w:rsid w:val="0051288D"/>
    <w:rsid w:val="00513A69"/>
    <w:rsid w:val="00513AE4"/>
    <w:rsid w:val="00513AF2"/>
    <w:rsid w:val="0051420E"/>
    <w:rsid w:val="005148C5"/>
    <w:rsid w:val="005152C2"/>
    <w:rsid w:val="0051623D"/>
    <w:rsid w:val="00517A9B"/>
    <w:rsid w:val="005200B5"/>
    <w:rsid w:val="0052099D"/>
    <w:rsid w:val="005216BC"/>
    <w:rsid w:val="00521B54"/>
    <w:rsid w:val="00522B0F"/>
    <w:rsid w:val="0052307C"/>
    <w:rsid w:val="005232BB"/>
    <w:rsid w:val="00523A3E"/>
    <w:rsid w:val="00523A7E"/>
    <w:rsid w:val="00524F8D"/>
    <w:rsid w:val="00525253"/>
    <w:rsid w:val="00526831"/>
    <w:rsid w:val="0052715F"/>
    <w:rsid w:val="00527891"/>
    <w:rsid w:val="00532AC6"/>
    <w:rsid w:val="0053307D"/>
    <w:rsid w:val="00533367"/>
    <w:rsid w:val="0053422D"/>
    <w:rsid w:val="0053424F"/>
    <w:rsid w:val="00535161"/>
    <w:rsid w:val="0053606E"/>
    <w:rsid w:val="00536424"/>
    <w:rsid w:val="00536C27"/>
    <w:rsid w:val="005379F9"/>
    <w:rsid w:val="005418FA"/>
    <w:rsid w:val="0054413A"/>
    <w:rsid w:val="005443C9"/>
    <w:rsid w:val="00545144"/>
    <w:rsid w:val="00545326"/>
    <w:rsid w:val="00545604"/>
    <w:rsid w:val="005457A0"/>
    <w:rsid w:val="0054784F"/>
    <w:rsid w:val="00550551"/>
    <w:rsid w:val="00550E5E"/>
    <w:rsid w:val="005530C0"/>
    <w:rsid w:val="00554C0F"/>
    <w:rsid w:val="00555AA7"/>
    <w:rsid w:val="005564CA"/>
    <w:rsid w:val="00561510"/>
    <w:rsid w:val="005620AD"/>
    <w:rsid w:val="005626E7"/>
    <w:rsid w:val="00562799"/>
    <w:rsid w:val="0056664B"/>
    <w:rsid w:val="00566BCB"/>
    <w:rsid w:val="00567165"/>
    <w:rsid w:val="005678D7"/>
    <w:rsid w:val="00571897"/>
    <w:rsid w:val="00571E3F"/>
    <w:rsid w:val="005731B5"/>
    <w:rsid w:val="0057389B"/>
    <w:rsid w:val="00573E10"/>
    <w:rsid w:val="00574D20"/>
    <w:rsid w:val="0057593D"/>
    <w:rsid w:val="00575B77"/>
    <w:rsid w:val="00575D08"/>
    <w:rsid w:val="00576B7C"/>
    <w:rsid w:val="005770F6"/>
    <w:rsid w:val="005811F1"/>
    <w:rsid w:val="00582241"/>
    <w:rsid w:val="00584E86"/>
    <w:rsid w:val="0058545D"/>
    <w:rsid w:val="00586344"/>
    <w:rsid w:val="00590DD9"/>
    <w:rsid w:val="005911A7"/>
    <w:rsid w:val="0059266D"/>
    <w:rsid w:val="00592B47"/>
    <w:rsid w:val="005938AB"/>
    <w:rsid w:val="005946C7"/>
    <w:rsid w:val="005977A4"/>
    <w:rsid w:val="005A0585"/>
    <w:rsid w:val="005A0B35"/>
    <w:rsid w:val="005A14E0"/>
    <w:rsid w:val="005A1570"/>
    <w:rsid w:val="005A34F0"/>
    <w:rsid w:val="005A456B"/>
    <w:rsid w:val="005A4A4C"/>
    <w:rsid w:val="005A5272"/>
    <w:rsid w:val="005A5275"/>
    <w:rsid w:val="005A5AF7"/>
    <w:rsid w:val="005A5BF9"/>
    <w:rsid w:val="005A6DCD"/>
    <w:rsid w:val="005A79FE"/>
    <w:rsid w:val="005A7B03"/>
    <w:rsid w:val="005B2AF3"/>
    <w:rsid w:val="005B4AA6"/>
    <w:rsid w:val="005B6435"/>
    <w:rsid w:val="005B6A46"/>
    <w:rsid w:val="005B7215"/>
    <w:rsid w:val="005B7515"/>
    <w:rsid w:val="005B7A2F"/>
    <w:rsid w:val="005C0D43"/>
    <w:rsid w:val="005C1FFD"/>
    <w:rsid w:val="005C24FC"/>
    <w:rsid w:val="005C266E"/>
    <w:rsid w:val="005C31C3"/>
    <w:rsid w:val="005C51A7"/>
    <w:rsid w:val="005C5A22"/>
    <w:rsid w:val="005C5B5C"/>
    <w:rsid w:val="005D269B"/>
    <w:rsid w:val="005D29B5"/>
    <w:rsid w:val="005D2A61"/>
    <w:rsid w:val="005D3445"/>
    <w:rsid w:val="005D4609"/>
    <w:rsid w:val="005D474D"/>
    <w:rsid w:val="005D552E"/>
    <w:rsid w:val="005E1D1D"/>
    <w:rsid w:val="005E2F44"/>
    <w:rsid w:val="005E3788"/>
    <w:rsid w:val="005E605B"/>
    <w:rsid w:val="005E67FC"/>
    <w:rsid w:val="005E7572"/>
    <w:rsid w:val="005E7A0B"/>
    <w:rsid w:val="005E7B38"/>
    <w:rsid w:val="005F0C78"/>
    <w:rsid w:val="005F1050"/>
    <w:rsid w:val="005F3431"/>
    <w:rsid w:val="005F4AAF"/>
    <w:rsid w:val="005F4BF5"/>
    <w:rsid w:val="0060010B"/>
    <w:rsid w:val="006007CC"/>
    <w:rsid w:val="00601496"/>
    <w:rsid w:val="00601616"/>
    <w:rsid w:val="00601C07"/>
    <w:rsid w:val="00601FCA"/>
    <w:rsid w:val="006030AA"/>
    <w:rsid w:val="00603BDE"/>
    <w:rsid w:val="00604673"/>
    <w:rsid w:val="0060549B"/>
    <w:rsid w:val="00605CEA"/>
    <w:rsid w:val="00610457"/>
    <w:rsid w:val="00610C94"/>
    <w:rsid w:val="0061135A"/>
    <w:rsid w:val="00611D3C"/>
    <w:rsid w:val="00612BDB"/>
    <w:rsid w:val="00612E94"/>
    <w:rsid w:val="006134DB"/>
    <w:rsid w:val="00617D73"/>
    <w:rsid w:val="00620CBF"/>
    <w:rsid w:val="00620E47"/>
    <w:rsid w:val="00621206"/>
    <w:rsid w:val="006212BE"/>
    <w:rsid w:val="0062567A"/>
    <w:rsid w:val="00625C29"/>
    <w:rsid w:val="00626B4F"/>
    <w:rsid w:val="006334A8"/>
    <w:rsid w:val="00634CC6"/>
    <w:rsid w:val="00635BA5"/>
    <w:rsid w:val="006367B1"/>
    <w:rsid w:val="00637235"/>
    <w:rsid w:val="00637830"/>
    <w:rsid w:val="0063788B"/>
    <w:rsid w:val="006404C9"/>
    <w:rsid w:val="00640F40"/>
    <w:rsid w:val="00641EB9"/>
    <w:rsid w:val="00642694"/>
    <w:rsid w:val="00642D57"/>
    <w:rsid w:val="00645ADA"/>
    <w:rsid w:val="00647622"/>
    <w:rsid w:val="00651D31"/>
    <w:rsid w:val="00651D50"/>
    <w:rsid w:val="006524BE"/>
    <w:rsid w:val="00652A5C"/>
    <w:rsid w:val="006533F8"/>
    <w:rsid w:val="00654EE4"/>
    <w:rsid w:val="00655360"/>
    <w:rsid w:val="00655371"/>
    <w:rsid w:val="006563C3"/>
    <w:rsid w:val="0065641E"/>
    <w:rsid w:val="006568E8"/>
    <w:rsid w:val="006622BE"/>
    <w:rsid w:val="006623E2"/>
    <w:rsid w:val="00666AF7"/>
    <w:rsid w:val="00667C72"/>
    <w:rsid w:val="00667EBB"/>
    <w:rsid w:val="00670B1B"/>
    <w:rsid w:val="00671F22"/>
    <w:rsid w:val="00672EEC"/>
    <w:rsid w:val="00673789"/>
    <w:rsid w:val="00673AB7"/>
    <w:rsid w:val="0067584A"/>
    <w:rsid w:val="00677F77"/>
    <w:rsid w:val="0068250F"/>
    <w:rsid w:val="00683085"/>
    <w:rsid w:val="00683332"/>
    <w:rsid w:val="0068338B"/>
    <w:rsid w:val="0068394B"/>
    <w:rsid w:val="0069158F"/>
    <w:rsid w:val="00691C58"/>
    <w:rsid w:val="00693CC2"/>
    <w:rsid w:val="0069660F"/>
    <w:rsid w:val="0069678A"/>
    <w:rsid w:val="00697665"/>
    <w:rsid w:val="00697D73"/>
    <w:rsid w:val="006A01DD"/>
    <w:rsid w:val="006A12F4"/>
    <w:rsid w:val="006A143D"/>
    <w:rsid w:val="006A1A12"/>
    <w:rsid w:val="006A1F61"/>
    <w:rsid w:val="006A25AB"/>
    <w:rsid w:val="006A27C9"/>
    <w:rsid w:val="006A2F2D"/>
    <w:rsid w:val="006A3206"/>
    <w:rsid w:val="006A3CD1"/>
    <w:rsid w:val="006A454C"/>
    <w:rsid w:val="006A58B8"/>
    <w:rsid w:val="006A64A9"/>
    <w:rsid w:val="006A6650"/>
    <w:rsid w:val="006A7FD0"/>
    <w:rsid w:val="006B161A"/>
    <w:rsid w:val="006B2195"/>
    <w:rsid w:val="006B34D7"/>
    <w:rsid w:val="006B55C5"/>
    <w:rsid w:val="006C084F"/>
    <w:rsid w:val="006C12CA"/>
    <w:rsid w:val="006C1636"/>
    <w:rsid w:val="006C4A30"/>
    <w:rsid w:val="006C5364"/>
    <w:rsid w:val="006C68E5"/>
    <w:rsid w:val="006D07CF"/>
    <w:rsid w:val="006D2391"/>
    <w:rsid w:val="006D23BA"/>
    <w:rsid w:val="006D2CB8"/>
    <w:rsid w:val="006D3287"/>
    <w:rsid w:val="006D40DC"/>
    <w:rsid w:val="006D4F07"/>
    <w:rsid w:val="006D5386"/>
    <w:rsid w:val="006D6AB0"/>
    <w:rsid w:val="006D7687"/>
    <w:rsid w:val="006D7E35"/>
    <w:rsid w:val="006E0385"/>
    <w:rsid w:val="006E0572"/>
    <w:rsid w:val="006E1324"/>
    <w:rsid w:val="006E1CCF"/>
    <w:rsid w:val="006E3872"/>
    <w:rsid w:val="006E5FAC"/>
    <w:rsid w:val="006E6D63"/>
    <w:rsid w:val="006E6E42"/>
    <w:rsid w:val="006F10DD"/>
    <w:rsid w:val="006F27FF"/>
    <w:rsid w:val="006F3DAA"/>
    <w:rsid w:val="006F3EF7"/>
    <w:rsid w:val="006F4573"/>
    <w:rsid w:val="006F77A7"/>
    <w:rsid w:val="006F79F7"/>
    <w:rsid w:val="00700377"/>
    <w:rsid w:val="007020A1"/>
    <w:rsid w:val="00702115"/>
    <w:rsid w:val="00702D2C"/>
    <w:rsid w:val="00703E2C"/>
    <w:rsid w:val="007054AA"/>
    <w:rsid w:val="00705631"/>
    <w:rsid w:val="00705FE1"/>
    <w:rsid w:val="00706399"/>
    <w:rsid w:val="00707FF5"/>
    <w:rsid w:val="00711A50"/>
    <w:rsid w:val="00711F3A"/>
    <w:rsid w:val="00713DE5"/>
    <w:rsid w:val="00714254"/>
    <w:rsid w:val="00714718"/>
    <w:rsid w:val="00714774"/>
    <w:rsid w:val="00715929"/>
    <w:rsid w:val="00715AC3"/>
    <w:rsid w:val="00716FED"/>
    <w:rsid w:val="00720966"/>
    <w:rsid w:val="007210EC"/>
    <w:rsid w:val="0072127D"/>
    <w:rsid w:val="00722363"/>
    <w:rsid w:val="007229B0"/>
    <w:rsid w:val="007252B4"/>
    <w:rsid w:val="00725AC2"/>
    <w:rsid w:val="00726DBE"/>
    <w:rsid w:val="00727A8F"/>
    <w:rsid w:val="00727EAE"/>
    <w:rsid w:val="00727FB6"/>
    <w:rsid w:val="007300F3"/>
    <w:rsid w:val="007305C3"/>
    <w:rsid w:val="00731139"/>
    <w:rsid w:val="0073364E"/>
    <w:rsid w:val="00733865"/>
    <w:rsid w:val="007348A0"/>
    <w:rsid w:val="00734D43"/>
    <w:rsid w:val="00736214"/>
    <w:rsid w:val="007363BD"/>
    <w:rsid w:val="0073763F"/>
    <w:rsid w:val="007404BC"/>
    <w:rsid w:val="00742DD2"/>
    <w:rsid w:val="00745106"/>
    <w:rsid w:val="00745E02"/>
    <w:rsid w:val="00752568"/>
    <w:rsid w:val="00752A9B"/>
    <w:rsid w:val="00752FBE"/>
    <w:rsid w:val="00753620"/>
    <w:rsid w:val="00754621"/>
    <w:rsid w:val="0075475B"/>
    <w:rsid w:val="007554BF"/>
    <w:rsid w:val="00755EFB"/>
    <w:rsid w:val="0075647A"/>
    <w:rsid w:val="00757862"/>
    <w:rsid w:val="00757A66"/>
    <w:rsid w:val="00761319"/>
    <w:rsid w:val="007634AD"/>
    <w:rsid w:val="00764CD2"/>
    <w:rsid w:val="0076566F"/>
    <w:rsid w:val="007656E6"/>
    <w:rsid w:val="00765BE2"/>
    <w:rsid w:val="007673F0"/>
    <w:rsid w:val="00767D99"/>
    <w:rsid w:val="00770B77"/>
    <w:rsid w:val="00770D63"/>
    <w:rsid w:val="00771679"/>
    <w:rsid w:val="00772C6C"/>
    <w:rsid w:val="00772FD2"/>
    <w:rsid w:val="0077336F"/>
    <w:rsid w:val="00773FAA"/>
    <w:rsid w:val="007741D9"/>
    <w:rsid w:val="007743B6"/>
    <w:rsid w:val="007748F6"/>
    <w:rsid w:val="007750BB"/>
    <w:rsid w:val="00775796"/>
    <w:rsid w:val="007765A3"/>
    <w:rsid w:val="0078122E"/>
    <w:rsid w:val="00782024"/>
    <w:rsid w:val="00783506"/>
    <w:rsid w:val="0078442B"/>
    <w:rsid w:val="00785A12"/>
    <w:rsid w:val="0078614D"/>
    <w:rsid w:val="00786DDC"/>
    <w:rsid w:val="00791C0F"/>
    <w:rsid w:val="00793845"/>
    <w:rsid w:val="0079520D"/>
    <w:rsid w:val="00795BA3"/>
    <w:rsid w:val="00796EC8"/>
    <w:rsid w:val="00797AAA"/>
    <w:rsid w:val="00797DF7"/>
    <w:rsid w:val="007A0D0E"/>
    <w:rsid w:val="007A2E32"/>
    <w:rsid w:val="007A4C5A"/>
    <w:rsid w:val="007A4CB6"/>
    <w:rsid w:val="007A615D"/>
    <w:rsid w:val="007B0646"/>
    <w:rsid w:val="007B0854"/>
    <w:rsid w:val="007B09F4"/>
    <w:rsid w:val="007B0F58"/>
    <w:rsid w:val="007B192E"/>
    <w:rsid w:val="007B24B5"/>
    <w:rsid w:val="007B3AE4"/>
    <w:rsid w:val="007B4C6A"/>
    <w:rsid w:val="007C0326"/>
    <w:rsid w:val="007C2EF0"/>
    <w:rsid w:val="007C38CA"/>
    <w:rsid w:val="007C4430"/>
    <w:rsid w:val="007C5086"/>
    <w:rsid w:val="007C6273"/>
    <w:rsid w:val="007C6410"/>
    <w:rsid w:val="007C66D7"/>
    <w:rsid w:val="007C672F"/>
    <w:rsid w:val="007C744F"/>
    <w:rsid w:val="007C7638"/>
    <w:rsid w:val="007C7F04"/>
    <w:rsid w:val="007D0305"/>
    <w:rsid w:val="007D0C22"/>
    <w:rsid w:val="007D1949"/>
    <w:rsid w:val="007D1AD1"/>
    <w:rsid w:val="007D4B8A"/>
    <w:rsid w:val="007D55E9"/>
    <w:rsid w:val="007D5E0B"/>
    <w:rsid w:val="007D632C"/>
    <w:rsid w:val="007D698F"/>
    <w:rsid w:val="007E01FC"/>
    <w:rsid w:val="007E39F0"/>
    <w:rsid w:val="007E44A3"/>
    <w:rsid w:val="007E5F95"/>
    <w:rsid w:val="007E750C"/>
    <w:rsid w:val="007E7722"/>
    <w:rsid w:val="007F0C9F"/>
    <w:rsid w:val="007F0D40"/>
    <w:rsid w:val="007F168F"/>
    <w:rsid w:val="007F367B"/>
    <w:rsid w:val="007F3D1F"/>
    <w:rsid w:val="007F4347"/>
    <w:rsid w:val="007F505E"/>
    <w:rsid w:val="007F72CB"/>
    <w:rsid w:val="007F7BDE"/>
    <w:rsid w:val="00802872"/>
    <w:rsid w:val="008028A1"/>
    <w:rsid w:val="00802A13"/>
    <w:rsid w:val="00802EB9"/>
    <w:rsid w:val="00804C29"/>
    <w:rsid w:val="00804CE6"/>
    <w:rsid w:val="00804EB1"/>
    <w:rsid w:val="00805114"/>
    <w:rsid w:val="00805603"/>
    <w:rsid w:val="00805916"/>
    <w:rsid w:val="0080594C"/>
    <w:rsid w:val="008101D2"/>
    <w:rsid w:val="008111B0"/>
    <w:rsid w:val="00811ED3"/>
    <w:rsid w:val="008127A2"/>
    <w:rsid w:val="00813504"/>
    <w:rsid w:val="00813C1B"/>
    <w:rsid w:val="0081452B"/>
    <w:rsid w:val="0081562A"/>
    <w:rsid w:val="00815851"/>
    <w:rsid w:val="008159D3"/>
    <w:rsid w:val="00816302"/>
    <w:rsid w:val="00817578"/>
    <w:rsid w:val="00817CA8"/>
    <w:rsid w:val="0082159E"/>
    <w:rsid w:val="00822D58"/>
    <w:rsid w:val="0082378E"/>
    <w:rsid w:val="008259B9"/>
    <w:rsid w:val="00826A9D"/>
    <w:rsid w:val="008272F1"/>
    <w:rsid w:val="008273B8"/>
    <w:rsid w:val="0083119B"/>
    <w:rsid w:val="0083133A"/>
    <w:rsid w:val="008322B3"/>
    <w:rsid w:val="0083271F"/>
    <w:rsid w:val="00836134"/>
    <w:rsid w:val="0083614B"/>
    <w:rsid w:val="008362A4"/>
    <w:rsid w:val="008366AF"/>
    <w:rsid w:val="00836EAB"/>
    <w:rsid w:val="00841280"/>
    <w:rsid w:val="0084152B"/>
    <w:rsid w:val="00841639"/>
    <w:rsid w:val="00842535"/>
    <w:rsid w:val="00842F23"/>
    <w:rsid w:val="008437E8"/>
    <w:rsid w:val="00843BC4"/>
    <w:rsid w:val="00843E6C"/>
    <w:rsid w:val="00845FF9"/>
    <w:rsid w:val="00847D50"/>
    <w:rsid w:val="0085092D"/>
    <w:rsid w:val="008509DD"/>
    <w:rsid w:val="00850DF5"/>
    <w:rsid w:val="0085128C"/>
    <w:rsid w:val="00852018"/>
    <w:rsid w:val="008524B4"/>
    <w:rsid w:val="0085264F"/>
    <w:rsid w:val="00852E12"/>
    <w:rsid w:val="00852F5E"/>
    <w:rsid w:val="0085374E"/>
    <w:rsid w:val="00853776"/>
    <w:rsid w:val="00854DBB"/>
    <w:rsid w:val="00855FDF"/>
    <w:rsid w:val="00856AF9"/>
    <w:rsid w:val="00857F63"/>
    <w:rsid w:val="00860B10"/>
    <w:rsid w:val="00861408"/>
    <w:rsid w:val="008617E0"/>
    <w:rsid w:val="0086272D"/>
    <w:rsid w:val="00862B2A"/>
    <w:rsid w:val="00865967"/>
    <w:rsid w:val="00865C91"/>
    <w:rsid w:val="00867771"/>
    <w:rsid w:val="008705DE"/>
    <w:rsid w:val="00872A3B"/>
    <w:rsid w:val="00873BCF"/>
    <w:rsid w:val="00874031"/>
    <w:rsid w:val="00874CC0"/>
    <w:rsid w:val="00876B53"/>
    <w:rsid w:val="00877366"/>
    <w:rsid w:val="00881730"/>
    <w:rsid w:val="008817ED"/>
    <w:rsid w:val="0088243F"/>
    <w:rsid w:val="008844BE"/>
    <w:rsid w:val="0088457C"/>
    <w:rsid w:val="00884E4C"/>
    <w:rsid w:val="00885AA7"/>
    <w:rsid w:val="00886201"/>
    <w:rsid w:val="00886412"/>
    <w:rsid w:val="008871CF"/>
    <w:rsid w:val="00887B15"/>
    <w:rsid w:val="00890882"/>
    <w:rsid w:val="008927A8"/>
    <w:rsid w:val="00893165"/>
    <w:rsid w:val="0089412F"/>
    <w:rsid w:val="00897B7A"/>
    <w:rsid w:val="008A0A11"/>
    <w:rsid w:val="008A2225"/>
    <w:rsid w:val="008A257A"/>
    <w:rsid w:val="008A265F"/>
    <w:rsid w:val="008A3228"/>
    <w:rsid w:val="008A3DB4"/>
    <w:rsid w:val="008A4852"/>
    <w:rsid w:val="008A53F7"/>
    <w:rsid w:val="008A54C1"/>
    <w:rsid w:val="008A575E"/>
    <w:rsid w:val="008A5AC8"/>
    <w:rsid w:val="008A69BA"/>
    <w:rsid w:val="008B1A31"/>
    <w:rsid w:val="008B438D"/>
    <w:rsid w:val="008B4D79"/>
    <w:rsid w:val="008B7E23"/>
    <w:rsid w:val="008C0AF6"/>
    <w:rsid w:val="008C1555"/>
    <w:rsid w:val="008C26E3"/>
    <w:rsid w:val="008C41C5"/>
    <w:rsid w:val="008C4724"/>
    <w:rsid w:val="008C7BC2"/>
    <w:rsid w:val="008D11FF"/>
    <w:rsid w:val="008D17B2"/>
    <w:rsid w:val="008D1B84"/>
    <w:rsid w:val="008D3411"/>
    <w:rsid w:val="008D3FBB"/>
    <w:rsid w:val="008D4225"/>
    <w:rsid w:val="008D4C63"/>
    <w:rsid w:val="008D5317"/>
    <w:rsid w:val="008D55E9"/>
    <w:rsid w:val="008D56F0"/>
    <w:rsid w:val="008D63A0"/>
    <w:rsid w:val="008D6B0E"/>
    <w:rsid w:val="008D76C2"/>
    <w:rsid w:val="008D776A"/>
    <w:rsid w:val="008E08B2"/>
    <w:rsid w:val="008E1C15"/>
    <w:rsid w:val="008E3219"/>
    <w:rsid w:val="008E4625"/>
    <w:rsid w:val="008E4B4C"/>
    <w:rsid w:val="008E6F70"/>
    <w:rsid w:val="008F14CC"/>
    <w:rsid w:val="008F1588"/>
    <w:rsid w:val="008F1D84"/>
    <w:rsid w:val="008F2734"/>
    <w:rsid w:val="008F4227"/>
    <w:rsid w:val="008F51F5"/>
    <w:rsid w:val="008F5C25"/>
    <w:rsid w:val="008F646E"/>
    <w:rsid w:val="008F6E4A"/>
    <w:rsid w:val="00900239"/>
    <w:rsid w:val="00900DDB"/>
    <w:rsid w:val="0090136A"/>
    <w:rsid w:val="009015DF"/>
    <w:rsid w:val="009030CB"/>
    <w:rsid w:val="00903815"/>
    <w:rsid w:val="009047C5"/>
    <w:rsid w:val="00904CD9"/>
    <w:rsid w:val="009064C4"/>
    <w:rsid w:val="009066C0"/>
    <w:rsid w:val="00907A73"/>
    <w:rsid w:val="0091085E"/>
    <w:rsid w:val="00910B86"/>
    <w:rsid w:val="00912BD6"/>
    <w:rsid w:val="009138D4"/>
    <w:rsid w:val="00914EC4"/>
    <w:rsid w:val="00914F02"/>
    <w:rsid w:val="00916C89"/>
    <w:rsid w:val="009176F3"/>
    <w:rsid w:val="00917700"/>
    <w:rsid w:val="00920389"/>
    <w:rsid w:val="0092143E"/>
    <w:rsid w:val="00921659"/>
    <w:rsid w:val="0092382D"/>
    <w:rsid w:val="00923DC9"/>
    <w:rsid w:val="00924541"/>
    <w:rsid w:val="0092462A"/>
    <w:rsid w:val="0092465E"/>
    <w:rsid w:val="0092478E"/>
    <w:rsid w:val="00924D2F"/>
    <w:rsid w:val="00926500"/>
    <w:rsid w:val="009278F1"/>
    <w:rsid w:val="0093065B"/>
    <w:rsid w:val="00931310"/>
    <w:rsid w:val="0093193A"/>
    <w:rsid w:val="00931B7E"/>
    <w:rsid w:val="00932FBD"/>
    <w:rsid w:val="00935661"/>
    <w:rsid w:val="00936908"/>
    <w:rsid w:val="00937BFF"/>
    <w:rsid w:val="009409CA"/>
    <w:rsid w:val="00944EA4"/>
    <w:rsid w:val="00945536"/>
    <w:rsid w:val="009465F7"/>
    <w:rsid w:val="00946737"/>
    <w:rsid w:val="00946CFA"/>
    <w:rsid w:val="00947DB5"/>
    <w:rsid w:val="00950258"/>
    <w:rsid w:val="0095385A"/>
    <w:rsid w:val="00955CAC"/>
    <w:rsid w:val="009568DA"/>
    <w:rsid w:val="00956C80"/>
    <w:rsid w:val="00956E82"/>
    <w:rsid w:val="0095760E"/>
    <w:rsid w:val="00957BB0"/>
    <w:rsid w:val="0096196C"/>
    <w:rsid w:val="00962034"/>
    <w:rsid w:val="00962A37"/>
    <w:rsid w:val="00964EB4"/>
    <w:rsid w:val="00965638"/>
    <w:rsid w:val="00965849"/>
    <w:rsid w:val="009701E5"/>
    <w:rsid w:val="0097090E"/>
    <w:rsid w:val="00973F55"/>
    <w:rsid w:val="009754FD"/>
    <w:rsid w:val="00975D1B"/>
    <w:rsid w:val="00976CC3"/>
    <w:rsid w:val="00977088"/>
    <w:rsid w:val="00981B5D"/>
    <w:rsid w:val="00982489"/>
    <w:rsid w:val="00983D2A"/>
    <w:rsid w:val="009859D0"/>
    <w:rsid w:val="009866C8"/>
    <w:rsid w:val="009874B4"/>
    <w:rsid w:val="009877AC"/>
    <w:rsid w:val="00987F32"/>
    <w:rsid w:val="00990A2F"/>
    <w:rsid w:val="00990EBD"/>
    <w:rsid w:val="00992278"/>
    <w:rsid w:val="009967F8"/>
    <w:rsid w:val="009A28F6"/>
    <w:rsid w:val="009A2E0F"/>
    <w:rsid w:val="009A353C"/>
    <w:rsid w:val="009A77CC"/>
    <w:rsid w:val="009A7A2E"/>
    <w:rsid w:val="009B0CB9"/>
    <w:rsid w:val="009B1BF2"/>
    <w:rsid w:val="009B29F8"/>
    <w:rsid w:val="009B4391"/>
    <w:rsid w:val="009B6E85"/>
    <w:rsid w:val="009C24BD"/>
    <w:rsid w:val="009C2A57"/>
    <w:rsid w:val="009C376A"/>
    <w:rsid w:val="009C3794"/>
    <w:rsid w:val="009C6A4B"/>
    <w:rsid w:val="009C782E"/>
    <w:rsid w:val="009D0923"/>
    <w:rsid w:val="009D0FC4"/>
    <w:rsid w:val="009D19A0"/>
    <w:rsid w:val="009D3049"/>
    <w:rsid w:val="009D424F"/>
    <w:rsid w:val="009D54EC"/>
    <w:rsid w:val="009E0D1B"/>
    <w:rsid w:val="009E2882"/>
    <w:rsid w:val="009E2A67"/>
    <w:rsid w:val="009E48B1"/>
    <w:rsid w:val="009E5CE5"/>
    <w:rsid w:val="009E7320"/>
    <w:rsid w:val="009E7C61"/>
    <w:rsid w:val="009F2377"/>
    <w:rsid w:val="009F396F"/>
    <w:rsid w:val="009F48F0"/>
    <w:rsid w:val="009F4F93"/>
    <w:rsid w:val="009F6B3F"/>
    <w:rsid w:val="009F6F22"/>
    <w:rsid w:val="00A0237A"/>
    <w:rsid w:val="00A02449"/>
    <w:rsid w:val="00A028FC"/>
    <w:rsid w:val="00A03556"/>
    <w:rsid w:val="00A035A4"/>
    <w:rsid w:val="00A036C4"/>
    <w:rsid w:val="00A044A1"/>
    <w:rsid w:val="00A04F43"/>
    <w:rsid w:val="00A059F9"/>
    <w:rsid w:val="00A06181"/>
    <w:rsid w:val="00A07446"/>
    <w:rsid w:val="00A07B99"/>
    <w:rsid w:val="00A10135"/>
    <w:rsid w:val="00A11267"/>
    <w:rsid w:val="00A118A0"/>
    <w:rsid w:val="00A132F2"/>
    <w:rsid w:val="00A14F3C"/>
    <w:rsid w:val="00A154AF"/>
    <w:rsid w:val="00A16ACF"/>
    <w:rsid w:val="00A24560"/>
    <w:rsid w:val="00A267B5"/>
    <w:rsid w:val="00A26900"/>
    <w:rsid w:val="00A26969"/>
    <w:rsid w:val="00A26D28"/>
    <w:rsid w:val="00A2737D"/>
    <w:rsid w:val="00A27EFE"/>
    <w:rsid w:val="00A3050C"/>
    <w:rsid w:val="00A305CD"/>
    <w:rsid w:val="00A308D1"/>
    <w:rsid w:val="00A316F7"/>
    <w:rsid w:val="00A32559"/>
    <w:rsid w:val="00A338FC"/>
    <w:rsid w:val="00A34378"/>
    <w:rsid w:val="00A34538"/>
    <w:rsid w:val="00A35156"/>
    <w:rsid w:val="00A37529"/>
    <w:rsid w:val="00A37A8E"/>
    <w:rsid w:val="00A41BFA"/>
    <w:rsid w:val="00A42A3B"/>
    <w:rsid w:val="00A43FD5"/>
    <w:rsid w:val="00A44DA5"/>
    <w:rsid w:val="00A470F2"/>
    <w:rsid w:val="00A47DA6"/>
    <w:rsid w:val="00A47F59"/>
    <w:rsid w:val="00A507B2"/>
    <w:rsid w:val="00A5235A"/>
    <w:rsid w:val="00A52E43"/>
    <w:rsid w:val="00A53021"/>
    <w:rsid w:val="00A533E4"/>
    <w:rsid w:val="00A53490"/>
    <w:rsid w:val="00A539FF"/>
    <w:rsid w:val="00A53B56"/>
    <w:rsid w:val="00A546CA"/>
    <w:rsid w:val="00A54AB9"/>
    <w:rsid w:val="00A55D83"/>
    <w:rsid w:val="00A572E1"/>
    <w:rsid w:val="00A578E2"/>
    <w:rsid w:val="00A61FEE"/>
    <w:rsid w:val="00A6404B"/>
    <w:rsid w:val="00A72A3B"/>
    <w:rsid w:val="00A74FC9"/>
    <w:rsid w:val="00A7716E"/>
    <w:rsid w:val="00A77505"/>
    <w:rsid w:val="00A778E5"/>
    <w:rsid w:val="00A814D6"/>
    <w:rsid w:val="00A8216B"/>
    <w:rsid w:val="00A8281A"/>
    <w:rsid w:val="00A82C85"/>
    <w:rsid w:val="00A83B73"/>
    <w:rsid w:val="00A8432B"/>
    <w:rsid w:val="00A84361"/>
    <w:rsid w:val="00A84904"/>
    <w:rsid w:val="00A852F0"/>
    <w:rsid w:val="00A87C40"/>
    <w:rsid w:val="00A97342"/>
    <w:rsid w:val="00A97AEB"/>
    <w:rsid w:val="00AA03C4"/>
    <w:rsid w:val="00AA0F9D"/>
    <w:rsid w:val="00AA18DB"/>
    <w:rsid w:val="00AA24CE"/>
    <w:rsid w:val="00AA3DEF"/>
    <w:rsid w:val="00AA442B"/>
    <w:rsid w:val="00AA52D5"/>
    <w:rsid w:val="00AA6CC1"/>
    <w:rsid w:val="00AB00BD"/>
    <w:rsid w:val="00AB05AF"/>
    <w:rsid w:val="00AB09DD"/>
    <w:rsid w:val="00AB0D4D"/>
    <w:rsid w:val="00AB0E2B"/>
    <w:rsid w:val="00AB0FFD"/>
    <w:rsid w:val="00AB14CE"/>
    <w:rsid w:val="00AB196B"/>
    <w:rsid w:val="00AB1AC8"/>
    <w:rsid w:val="00AB246E"/>
    <w:rsid w:val="00AB27FD"/>
    <w:rsid w:val="00AB30DF"/>
    <w:rsid w:val="00AB3E40"/>
    <w:rsid w:val="00AB3F4B"/>
    <w:rsid w:val="00AB47E2"/>
    <w:rsid w:val="00AB4DF6"/>
    <w:rsid w:val="00AB513F"/>
    <w:rsid w:val="00AC0EEB"/>
    <w:rsid w:val="00AC1646"/>
    <w:rsid w:val="00AC3414"/>
    <w:rsid w:val="00AC3ACC"/>
    <w:rsid w:val="00AC4527"/>
    <w:rsid w:val="00AC4C3C"/>
    <w:rsid w:val="00AC65A4"/>
    <w:rsid w:val="00AC74B4"/>
    <w:rsid w:val="00AD0308"/>
    <w:rsid w:val="00AD0B1D"/>
    <w:rsid w:val="00AD22FC"/>
    <w:rsid w:val="00AD2F7B"/>
    <w:rsid w:val="00AD3331"/>
    <w:rsid w:val="00AD47FB"/>
    <w:rsid w:val="00AD48B1"/>
    <w:rsid w:val="00AD4DD0"/>
    <w:rsid w:val="00AD5E7A"/>
    <w:rsid w:val="00AD6135"/>
    <w:rsid w:val="00AD7298"/>
    <w:rsid w:val="00AD7C52"/>
    <w:rsid w:val="00AE1289"/>
    <w:rsid w:val="00AE19FC"/>
    <w:rsid w:val="00AE4119"/>
    <w:rsid w:val="00AE4E69"/>
    <w:rsid w:val="00AE5B43"/>
    <w:rsid w:val="00AE65B9"/>
    <w:rsid w:val="00AE6D68"/>
    <w:rsid w:val="00AE7F59"/>
    <w:rsid w:val="00AF0BB9"/>
    <w:rsid w:val="00AF1383"/>
    <w:rsid w:val="00AF1ED8"/>
    <w:rsid w:val="00AF34FC"/>
    <w:rsid w:val="00AF376E"/>
    <w:rsid w:val="00AF426F"/>
    <w:rsid w:val="00AF51A9"/>
    <w:rsid w:val="00AF5CE1"/>
    <w:rsid w:val="00AF6FAC"/>
    <w:rsid w:val="00AF713D"/>
    <w:rsid w:val="00B02705"/>
    <w:rsid w:val="00B02E80"/>
    <w:rsid w:val="00B04843"/>
    <w:rsid w:val="00B05552"/>
    <w:rsid w:val="00B055C7"/>
    <w:rsid w:val="00B0560B"/>
    <w:rsid w:val="00B0615F"/>
    <w:rsid w:val="00B06243"/>
    <w:rsid w:val="00B07B48"/>
    <w:rsid w:val="00B07BE4"/>
    <w:rsid w:val="00B1060D"/>
    <w:rsid w:val="00B10D05"/>
    <w:rsid w:val="00B118E9"/>
    <w:rsid w:val="00B120C2"/>
    <w:rsid w:val="00B140BD"/>
    <w:rsid w:val="00B16E58"/>
    <w:rsid w:val="00B1743F"/>
    <w:rsid w:val="00B17763"/>
    <w:rsid w:val="00B20A74"/>
    <w:rsid w:val="00B21D6C"/>
    <w:rsid w:val="00B22E22"/>
    <w:rsid w:val="00B230FE"/>
    <w:rsid w:val="00B23606"/>
    <w:rsid w:val="00B243F7"/>
    <w:rsid w:val="00B24F2B"/>
    <w:rsid w:val="00B258A0"/>
    <w:rsid w:val="00B32C0B"/>
    <w:rsid w:val="00B32DE6"/>
    <w:rsid w:val="00B33519"/>
    <w:rsid w:val="00B33D08"/>
    <w:rsid w:val="00B34B73"/>
    <w:rsid w:val="00B36E67"/>
    <w:rsid w:val="00B371E9"/>
    <w:rsid w:val="00B41170"/>
    <w:rsid w:val="00B439B4"/>
    <w:rsid w:val="00B43C9B"/>
    <w:rsid w:val="00B441D5"/>
    <w:rsid w:val="00B4473B"/>
    <w:rsid w:val="00B46402"/>
    <w:rsid w:val="00B47D0B"/>
    <w:rsid w:val="00B50315"/>
    <w:rsid w:val="00B50DB8"/>
    <w:rsid w:val="00B512C3"/>
    <w:rsid w:val="00B5146F"/>
    <w:rsid w:val="00B5178D"/>
    <w:rsid w:val="00B525CB"/>
    <w:rsid w:val="00B531D7"/>
    <w:rsid w:val="00B53F68"/>
    <w:rsid w:val="00B548D8"/>
    <w:rsid w:val="00B54E40"/>
    <w:rsid w:val="00B5554D"/>
    <w:rsid w:val="00B5556E"/>
    <w:rsid w:val="00B55682"/>
    <w:rsid w:val="00B556C7"/>
    <w:rsid w:val="00B56262"/>
    <w:rsid w:val="00B5777C"/>
    <w:rsid w:val="00B57F79"/>
    <w:rsid w:val="00B60926"/>
    <w:rsid w:val="00B60E51"/>
    <w:rsid w:val="00B613B9"/>
    <w:rsid w:val="00B613EE"/>
    <w:rsid w:val="00B6143C"/>
    <w:rsid w:val="00B6256D"/>
    <w:rsid w:val="00B6341F"/>
    <w:rsid w:val="00B637F3"/>
    <w:rsid w:val="00B63CB2"/>
    <w:rsid w:val="00B64278"/>
    <w:rsid w:val="00B6444C"/>
    <w:rsid w:val="00B66F75"/>
    <w:rsid w:val="00B67883"/>
    <w:rsid w:val="00B71561"/>
    <w:rsid w:val="00B71E68"/>
    <w:rsid w:val="00B73B11"/>
    <w:rsid w:val="00B73E64"/>
    <w:rsid w:val="00B754CA"/>
    <w:rsid w:val="00B75BAA"/>
    <w:rsid w:val="00B75C7C"/>
    <w:rsid w:val="00B76DD3"/>
    <w:rsid w:val="00B80316"/>
    <w:rsid w:val="00B80794"/>
    <w:rsid w:val="00B80D60"/>
    <w:rsid w:val="00B81C71"/>
    <w:rsid w:val="00B81F14"/>
    <w:rsid w:val="00B82E58"/>
    <w:rsid w:val="00B8385C"/>
    <w:rsid w:val="00B87BF8"/>
    <w:rsid w:val="00B90205"/>
    <w:rsid w:val="00B90546"/>
    <w:rsid w:val="00B90B34"/>
    <w:rsid w:val="00B90BEC"/>
    <w:rsid w:val="00B914C4"/>
    <w:rsid w:val="00B91C2E"/>
    <w:rsid w:val="00B93287"/>
    <w:rsid w:val="00B94B3C"/>
    <w:rsid w:val="00BA0E6C"/>
    <w:rsid w:val="00BA1433"/>
    <w:rsid w:val="00BA2F75"/>
    <w:rsid w:val="00BA4904"/>
    <w:rsid w:val="00BA4B5B"/>
    <w:rsid w:val="00BA549C"/>
    <w:rsid w:val="00BA54F0"/>
    <w:rsid w:val="00BA67BE"/>
    <w:rsid w:val="00BA73DE"/>
    <w:rsid w:val="00BA7C2F"/>
    <w:rsid w:val="00BA7D19"/>
    <w:rsid w:val="00BB10FB"/>
    <w:rsid w:val="00BB37BD"/>
    <w:rsid w:val="00BB5C7A"/>
    <w:rsid w:val="00BB78E0"/>
    <w:rsid w:val="00BC0980"/>
    <w:rsid w:val="00BC1901"/>
    <w:rsid w:val="00BC24FF"/>
    <w:rsid w:val="00BC3610"/>
    <w:rsid w:val="00BC46FA"/>
    <w:rsid w:val="00BC4CFC"/>
    <w:rsid w:val="00BC638A"/>
    <w:rsid w:val="00BC6722"/>
    <w:rsid w:val="00BC7DCD"/>
    <w:rsid w:val="00BD0942"/>
    <w:rsid w:val="00BD16E4"/>
    <w:rsid w:val="00BD3D5B"/>
    <w:rsid w:val="00BD3F0A"/>
    <w:rsid w:val="00BD404B"/>
    <w:rsid w:val="00BD44E7"/>
    <w:rsid w:val="00BD4F98"/>
    <w:rsid w:val="00BD5979"/>
    <w:rsid w:val="00BD6F8C"/>
    <w:rsid w:val="00BD78FE"/>
    <w:rsid w:val="00BE1B2E"/>
    <w:rsid w:val="00BE32EF"/>
    <w:rsid w:val="00BE43C0"/>
    <w:rsid w:val="00BE4C31"/>
    <w:rsid w:val="00BE60C5"/>
    <w:rsid w:val="00BE6711"/>
    <w:rsid w:val="00BF0068"/>
    <w:rsid w:val="00BF0945"/>
    <w:rsid w:val="00BF0F80"/>
    <w:rsid w:val="00BF239F"/>
    <w:rsid w:val="00BF2E6F"/>
    <w:rsid w:val="00BF3779"/>
    <w:rsid w:val="00BF3E13"/>
    <w:rsid w:val="00BF3E3E"/>
    <w:rsid w:val="00BF46EB"/>
    <w:rsid w:val="00BF52BB"/>
    <w:rsid w:val="00BF59DD"/>
    <w:rsid w:val="00BF6B5E"/>
    <w:rsid w:val="00BF6F68"/>
    <w:rsid w:val="00C01360"/>
    <w:rsid w:val="00C02F56"/>
    <w:rsid w:val="00C0391F"/>
    <w:rsid w:val="00C03D7A"/>
    <w:rsid w:val="00C05B50"/>
    <w:rsid w:val="00C0683D"/>
    <w:rsid w:val="00C06C24"/>
    <w:rsid w:val="00C07969"/>
    <w:rsid w:val="00C07EFC"/>
    <w:rsid w:val="00C1063D"/>
    <w:rsid w:val="00C108FF"/>
    <w:rsid w:val="00C175DA"/>
    <w:rsid w:val="00C17996"/>
    <w:rsid w:val="00C204CE"/>
    <w:rsid w:val="00C215F9"/>
    <w:rsid w:val="00C21979"/>
    <w:rsid w:val="00C21B8B"/>
    <w:rsid w:val="00C22C1C"/>
    <w:rsid w:val="00C2341D"/>
    <w:rsid w:val="00C236F1"/>
    <w:rsid w:val="00C248E6"/>
    <w:rsid w:val="00C24D65"/>
    <w:rsid w:val="00C25356"/>
    <w:rsid w:val="00C2785E"/>
    <w:rsid w:val="00C32E42"/>
    <w:rsid w:val="00C339FE"/>
    <w:rsid w:val="00C3599D"/>
    <w:rsid w:val="00C35CCA"/>
    <w:rsid w:val="00C3789F"/>
    <w:rsid w:val="00C37E77"/>
    <w:rsid w:val="00C40C20"/>
    <w:rsid w:val="00C41A44"/>
    <w:rsid w:val="00C421D2"/>
    <w:rsid w:val="00C4266A"/>
    <w:rsid w:val="00C42BAC"/>
    <w:rsid w:val="00C4327C"/>
    <w:rsid w:val="00C439A1"/>
    <w:rsid w:val="00C43D92"/>
    <w:rsid w:val="00C43FAA"/>
    <w:rsid w:val="00C44120"/>
    <w:rsid w:val="00C44219"/>
    <w:rsid w:val="00C44D43"/>
    <w:rsid w:val="00C4553B"/>
    <w:rsid w:val="00C4688B"/>
    <w:rsid w:val="00C474F7"/>
    <w:rsid w:val="00C50FFB"/>
    <w:rsid w:val="00C51383"/>
    <w:rsid w:val="00C51D0E"/>
    <w:rsid w:val="00C52026"/>
    <w:rsid w:val="00C527CB"/>
    <w:rsid w:val="00C52AA0"/>
    <w:rsid w:val="00C54884"/>
    <w:rsid w:val="00C56658"/>
    <w:rsid w:val="00C606C0"/>
    <w:rsid w:val="00C61197"/>
    <w:rsid w:val="00C62DD6"/>
    <w:rsid w:val="00C63537"/>
    <w:rsid w:val="00C63B97"/>
    <w:rsid w:val="00C65F11"/>
    <w:rsid w:val="00C67675"/>
    <w:rsid w:val="00C713D7"/>
    <w:rsid w:val="00C74D7F"/>
    <w:rsid w:val="00C75515"/>
    <w:rsid w:val="00C76EB0"/>
    <w:rsid w:val="00C8023B"/>
    <w:rsid w:val="00C81AC2"/>
    <w:rsid w:val="00C82754"/>
    <w:rsid w:val="00C83121"/>
    <w:rsid w:val="00C83D45"/>
    <w:rsid w:val="00C8433B"/>
    <w:rsid w:val="00C845E6"/>
    <w:rsid w:val="00C8556C"/>
    <w:rsid w:val="00C85B4E"/>
    <w:rsid w:val="00C878E8"/>
    <w:rsid w:val="00C87FB1"/>
    <w:rsid w:val="00C92306"/>
    <w:rsid w:val="00C93C7B"/>
    <w:rsid w:val="00C9425D"/>
    <w:rsid w:val="00C96171"/>
    <w:rsid w:val="00C97546"/>
    <w:rsid w:val="00CA0C3E"/>
    <w:rsid w:val="00CA1540"/>
    <w:rsid w:val="00CA287E"/>
    <w:rsid w:val="00CA44C0"/>
    <w:rsid w:val="00CA44E6"/>
    <w:rsid w:val="00CA5926"/>
    <w:rsid w:val="00CA5FFD"/>
    <w:rsid w:val="00CA6253"/>
    <w:rsid w:val="00CA6B80"/>
    <w:rsid w:val="00CA73A8"/>
    <w:rsid w:val="00CB084F"/>
    <w:rsid w:val="00CB1DAE"/>
    <w:rsid w:val="00CB21C6"/>
    <w:rsid w:val="00CB28A7"/>
    <w:rsid w:val="00CB3DAB"/>
    <w:rsid w:val="00CB3E07"/>
    <w:rsid w:val="00CB4B63"/>
    <w:rsid w:val="00CB532E"/>
    <w:rsid w:val="00CB78EB"/>
    <w:rsid w:val="00CB7FCB"/>
    <w:rsid w:val="00CC00CD"/>
    <w:rsid w:val="00CC2A26"/>
    <w:rsid w:val="00CC2C34"/>
    <w:rsid w:val="00CC3766"/>
    <w:rsid w:val="00CC5BE0"/>
    <w:rsid w:val="00CC5E3E"/>
    <w:rsid w:val="00CC670C"/>
    <w:rsid w:val="00CC6D9C"/>
    <w:rsid w:val="00CC786F"/>
    <w:rsid w:val="00CD080F"/>
    <w:rsid w:val="00CD1A2C"/>
    <w:rsid w:val="00CD2F3A"/>
    <w:rsid w:val="00CD4012"/>
    <w:rsid w:val="00CD4748"/>
    <w:rsid w:val="00CD4CEE"/>
    <w:rsid w:val="00CD5F34"/>
    <w:rsid w:val="00CD64E2"/>
    <w:rsid w:val="00CE041B"/>
    <w:rsid w:val="00CE163D"/>
    <w:rsid w:val="00CE33FA"/>
    <w:rsid w:val="00CE3652"/>
    <w:rsid w:val="00CE38F9"/>
    <w:rsid w:val="00CE3953"/>
    <w:rsid w:val="00CE5EC3"/>
    <w:rsid w:val="00CE7849"/>
    <w:rsid w:val="00CF298B"/>
    <w:rsid w:val="00CF2CA1"/>
    <w:rsid w:val="00CF2EF6"/>
    <w:rsid w:val="00CF4690"/>
    <w:rsid w:val="00CF5D8B"/>
    <w:rsid w:val="00CF6B14"/>
    <w:rsid w:val="00CF7584"/>
    <w:rsid w:val="00CF7DE3"/>
    <w:rsid w:val="00D004A0"/>
    <w:rsid w:val="00D03273"/>
    <w:rsid w:val="00D0349B"/>
    <w:rsid w:val="00D035F8"/>
    <w:rsid w:val="00D04268"/>
    <w:rsid w:val="00D04F45"/>
    <w:rsid w:val="00D054BD"/>
    <w:rsid w:val="00D063D2"/>
    <w:rsid w:val="00D06D43"/>
    <w:rsid w:val="00D1185B"/>
    <w:rsid w:val="00D11E53"/>
    <w:rsid w:val="00D1318F"/>
    <w:rsid w:val="00D13CF4"/>
    <w:rsid w:val="00D15396"/>
    <w:rsid w:val="00D15D40"/>
    <w:rsid w:val="00D16345"/>
    <w:rsid w:val="00D16516"/>
    <w:rsid w:val="00D16E36"/>
    <w:rsid w:val="00D16E39"/>
    <w:rsid w:val="00D2094E"/>
    <w:rsid w:val="00D20C61"/>
    <w:rsid w:val="00D23634"/>
    <w:rsid w:val="00D24BCF"/>
    <w:rsid w:val="00D24CC2"/>
    <w:rsid w:val="00D250D0"/>
    <w:rsid w:val="00D26C96"/>
    <w:rsid w:val="00D30246"/>
    <w:rsid w:val="00D319E3"/>
    <w:rsid w:val="00D31F4A"/>
    <w:rsid w:val="00D32C9D"/>
    <w:rsid w:val="00D348D5"/>
    <w:rsid w:val="00D35D5C"/>
    <w:rsid w:val="00D361D0"/>
    <w:rsid w:val="00D36A8C"/>
    <w:rsid w:val="00D36EF3"/>
    <w:rsid w:val="00D376C1"/>
    <w:rsid w:val="00D40D90"/>
    <w:rsid w:val="00D40DDB"/>
    <w:rsid w:val="00D4187C"/>
    <w:rsid w:val="00D4245F"/>
    <w:rsid w:val="00D42812"/>
    <w:rsid w:val="00D441C6"/>
    <w:rsid w:val="00D44651"/>
    <w:rsid w:val="00D44846"/>
    <w:rsid w:val="00D45AF8"/>
    <w:rsid w:val="00D4690E"/>
    <w:rsid w:val="00D4754F"/>
    <w:rsid w:val="00D47ADA"/>
    <w:rsid w:val="00D50796"/>
    <w:rsid w:val="00D5088B"/>
    <w:rsid w:val="00D50CC2"/>
    <w:rsid w:val="00D53EA2"/>
    <w:rsid w:val="00D55E8F"/>
    <w:rsid w:val="00D56AB8"/>
    <w:rsid w:val="00D57255"/>
    <w:rsid w:val="00D577D1"/>
    <w:rsid w:val="00D627E4"/>
    <w:rsid w:val="00D63787"/>
    <w:rsid w:val="00D644AA"/>
    <w:rsid w:val="00D64797"/>
    <w:rsid w:val="00D65554"/>
    <w:rsid w:val="00D67754"/>
    <w:rsid w:val="00D67C1A"/>
    <w:rsid w:val="00D70679"/>
    <w:rsid w:val="00D710DF"/>
    <w:rsid w:val="00D729F6"/>
    <w:rsid w:val="00D72E9D"/>
    <w:rsid w:val="00D73A21"/>
    <w:rsid w:val="00D73D62"/>
    <w:rsid w:val="00D74389"/>
    <w:rsid w:val="00D74E75"/>
    <w:rsid w:val="00D757EB"/>
    <w:rsid w:val="00D76689"/>
    <w:rsid w:val="00D80EB6"/>
    <w:rsid w:val="00D8209A"/>
    <w:rsid w:val="00D82CE5"/>
    <w:rsid w:val="00D848A7"/>
    <w:rsid w:val="00D84D9D"/>
    <w:rsid w:val="00D853DA"/>
    <w:rsid w:val="00D856F4"/>
    <w:rsid w:val="00D864FC"/>
    <w:rsid w:val="00D87C9A"/>
    <w:rsid w:val="00D9054B"/>
    <w:rsid w:val="00D921B5"/>
    <w:rsid w:val="00D9294F"/>
    <w:rsid w:val="00D945B8"/>
    <w:rsid w:val="00DA01E8"/>
    <w:rsid w:val="00DA0FB4"/>
    <w:rsid w:val="00DA0FD1"/>
    <w:rsid w:val="00DA1498"/>
    <w:rsid w:val="00DA1E8F"/>
    <w:rsid w:val="00DA2FF5"/>
    <w:rsid w:val="00DA3452"/>
    <w:rsid w:val="00DA4638"/>
    <w:rsid w:val="00DA4710"/>
    <w:rsid w:val="00DA5414"/>
    <w:rsid w:val="00DA5AB1"/>
    <w:rsid w:val="00DA6EE1"/>
    <w:rsid w:val="00DA72B4"/>
    <w:rsid w:val="00DB04FC"/>
    <w:rsid w:val="00DB12BD"/>
    <w:rsid w:val="00DB2EB1"/>
    <w:rsid w:val="00DB31D9"/>
    <w:rsid w:val="00DB3448"/>
    <w:rsid w:val="00DB4398"/>
    <w:rsid w:val="00DB44D8"/>
    <w:rsid w:val="00DB49AA"/>
    <w:rsid w:val="00DB5ED4"/>
    <w:rsid w:val="00DB6619"/>
    <w:rsid w:val="00DB768D"/>
    <w:rsid w:val="00DC32BD"/>
    <w:rsid w:val="00DC3D67"/>
    <w:rsid w:val="00DC536B"/>
    <w:rsid w:val="00DC578F"/>
    <w:rsid w:val="00DC62E5"/>
    <w:rsid w:val="00DC6ACC"/>
    <w:rsid w:val="00DC753E"/>
    <w:rsid w:val="00DD0196"/>
    <w:rsid w:val="00DD0A90"/>
    <w:rsid w:val="00DD160B"/>
    <w:rsid w:val="00DD1C18"/>
    <w:rsid w:val="00DD2075"/>
    <w:rsid w:val="00DD31A9"/>
    <w:rsid w:val="00DD3432"/>
    <w:rsid w:val="00DD3F40"/>
    <w:rsid w:val="00DD70F8"/>
    <w:rsid w:val="00DD735D"/>
    <w:rsid w:val="00DD7D8D"/>
    <w:rsid w:val="00DE035A"/>
    <w:rsid w:val="00DE0618"/>
    <w:rsid w:val="00DE1FEF"/>
    <w:rsid w:val="00DE2858"/>
    <w:rsid w:val="00DE2B79"/>
    <w:rsid w:val="00DE3119"/>
    <w:rsid w:val="00DE3A59"/>
    <w:rsid w:val="00DE62DC"/>
    <w:rsid w:val="00DE6953"/>
    <w:rsid w:val="00DE6B11"/>
    <w:rsid w:val="00DE6E79"/>
    <w:rsid w:val="00DE70DC"/>
    <w:rsid w:val="00DE7D58"/>
    <w:rsid w:val="00DF02B2"/>
    <w:rsid w:val="00DF0A9C"/>
    <w:rsid w:val="00DF0AB4"/>
    <w:rsid w:val="00DF16DA"/>
    <w:rsid w:val="00DF1DAA"/>
    <w:rsid w:val="00DF236B"/>
    <w:rsid w:val="00DF4B95"/>
    <w:rsid w:val="00DF5090"/>
    <w:rsid w:val="00DF6ACD"/>
    <w:rsid w:val="00E000C8"/>
    <w:rsid w:val="00E009B9"/>
    <w:rsid w:val="00E00C21"/>
    <w:rsid w:val="00E01453"/>
    <w:rsid w:val="00E017C4"/>
    <w:rsid w:val="00E0224A"/>
    <w:rsid w:val="00E04C9B"/>
    <w:rsid w:val="00E056B2"/>
    <w:rsid w:val="00E06F42"/>
    <w:rsid w:val="00E07843"/>
    <w:rsid w:val="00E10A6D"/>
    <w:rsid w:val="00E10FCB"/>
    <w:rsid w:val="00E13AB8"/>
    <w:rsid w:val="00E13FD3"/>
    <w:rsid w:val="00E14299"/>
    <w:rsid w:val="00E144AB"/>
    <w:rsid w:val="00E163A8"/>
    <w:rsid w:val="00E17C49"/>
    <w:rsid w:val="00E17EE1"/>
    <w:rsid w:val="00E21494"/>
    <w:rsid w:val="00E23732"/>
    <w:rsid w:val="00E240E7"/>
    <w:rsid w:val="00E24319"/>
    <w:rsid w:val="00E2553E"/>
    <w:rsid w:val="00E26B49"/>
    <w:rsid w:val="00E27565"/>
    <w:rsid w:val="00E3090F"/>
    <w:rsid w:val="00E3117C"/>
    <w:rsid w:val="00E33B62"/>
    <w:rsid w:val="00E34612"/>
    <w:rsid w:val="00E36BAD"/>
    <w:rsid w:val="00E36E37"/>
    <w:rsid w:val="00E36F58"/>
    <w:rsid w:val="00E42CEA"/>
    <w:rsid w:val="00E43A34"/>
    <w:rsid w:val="00E44462"/>
    <w:rsid w:val="00E449E0"/>
    <w:rsid w:val="00E45104"/>
    <w:rsid w:val="00E453B7"/>
    <w:rsid w:val="00E45E0B"/>
    <w:rsid w:val="00E46983"/>
    <w:rsid w:val="00E50B01"/>
    <w:rsid w:val="00E50B32"/>
    <w:rsid w:val="00E52D01"/>
    <w:rsid w:val="00E55371"/>
    <w:rsid w:val="00E5557F"/>
    <w:rsid w:val="00E5588F"/>
    <w:rsid w:val="00E55CA3"/>
    <w:rsid w:val="00E57442"/>
    <w:rsid w:val="00E60196"/>
    <w:rsid w:val="00E60756"/>
    <w:rsid w:val="00E60BE9"/>
    <w:rsid w:val="00E61299"/>
    <w:rsid w:val="00E61E09"/>
    <w:rsid w:val="00E62192"/>
    <w:rsid w:val="00E621BC"/>
    <w:rsid w:val="00E63396"/>
    <w:rsid w:val="00E64B60"/>
    <w:rsid w:val="00E657D4"/>
    <w:rsid w:val="00E66E98"/>
    <w:rsid w:val="00E66ECC"/>
    <w:rsid w:val="00E67E83"/>
    <w:rsid w:val="00E737A7"/>
    <w:rsid w:val="00E74C96"/>
    <w:rsid w:val="00E7681B"/>
    <w:rsid w:val="00E768B7"/>
    <w:rsid w:val="00E76FA8"/>
    <w:rsid w:val="00E80C3F"/>
    <w:rsid w:val="00E832F8"/>
    <w:rsid w:val="00E83789"/>
    <w:rsid w:val="00E87315"/>
    <w:rsid w:val="00E874AC"/>
    <w:rsid w:val="00E911EE"/>
    <w:rsid w:val="00E91306"/>
    <w:rsid w:val="00E91477"/>
    <w:rsid w:val="00E915AC"/>
    <w:rsid w:val="00E9178F"/>
    <w:rsid w:val="00E91DA5"/>
    <w:rsid w:val="00E91E80"/>
    <w:rsid w:val="00E921B1"/>
    <w:rsid w:val="00E92892"/>
    <w:rsid w:val="00E939A8"/>
    <w:rsid w:val="00E939C0"/>
    <w:rsid w:val="00E93C78"/>
    <w:rsid w:val="00E96EC1"/>
    <w:rsid w:val="00E9754A"/>
    <w:rsid w:val="00E9760B"/>
    <w:rsid w:val="00E97732"/>
    <w:rsid w:val="00E97CC7"/>
    <w:rsid w:val="00EA04EF"/>
    <w:rsid w:val="00EA1131"/>
    <w:rsid w:val="00EA189B"/>
    <w:rsid w:val="00EA1ADA"/>
    <w:rsid w:val="00EA3483"/>
    <w:rsid w:val="00EA4DB3"/>
    <w:rsid w:val="00EA538A"/>
    <w:rsid w:val="00EA704D"/>
    <w:rsid w:val="00EA79EB"/>
    <w:rsid w:val="00EB0D81"/>
    <w:rsid w:val="00EB0DF1"/>
    <w:rsid w:val="00EB2933"/>
    <w:rsid w:val="00EB351D"/>
    <w:rsid w:val="00EB666E"/>
    <w:rsid w:val="00EB76EE"/>
    <w:rsid w:val="00EC0082"/>
    <w:rsid w:val="00EC100B"/>
    <w:rsid w:val="00EC171C"/>
    <w:rsid w:val="00EC19AB"/>
    <w:rsid w:val="00EC249E"/>
    <w:rsid w:val="00EC44C2"/>
    <w:rsid w:val="00EC5F41"/>
    <w:rsid w:val="00EC60CB"/>
    <w:rsid w:val="00EC7B4C"/>
    <w:rsid w:val="00ED0667"/>
    <w:rsid w:val="00ED0F19"/>
    <w:rsid w:val="00ED2ED4"/>
    <w:rsid w:val="00ED2EFF"/>
    <w:rsid w:val="00ED3BF4"/>
    <w:rsid w:val="00ED3C6D"/>
    <w:rsid w:val="00ED4234"/>
    <w:rsid w:val="00ED55E1"/>
    <w:rsid w:val="00ED65D6"/>
    <w:rsid w:val="00ED741C"/>
    <w:rsid w:val="00ED7F90"/>
    <w:rsid w:val="00EE094E"/>
    <w:rsid w:val="00EE1CCD"/>
    <w:rsid w:val="00EE4DB7"/>
    <w:rsid w:val="00EE5189"/>
    <w:rsid w:val="00EE776B"/>
    <w:rsid w:val="00EF0EE1"/>
    <w:rsid w:val="00EF1522"/>
    <w:rsid w:val="00EF15DA"/>
    <w:rsid w:val="00EF16DD"/>
    <w:rsid w:val="00EF2829"/>
    <w:rsid w:val="00EF5251"/>
    <w:rsid w:val="00EF66D5"/>
    <w:rsid w:val="00EF66D6"/>
    <w:rsid w:val="00F02695"/>
    <w:rsid w:val="00F033DB"/>
    <w:rsid w:val="00F03853"/>
    <w:rsid w:val="00F03D6F"/>
    <w:rsid w:val="00F04CC2"/>
    <w:rsid w:val="00F05499"/>
    <w:rsid w:val="00F058FE"/>
    <w:rsid w:val="00F060C6"/>
    <w:rsid w:val="00F06B15"/>
    <w:rsid w:val="00F0755F"/>
    <w:rsid w:val="00F109B1"/>
    <w:rsid w:val="00F1157D"/>
    <w:rsid w:val="00F11EDA"/>
    <w:rsid w:val="00F1301C"/>
    <w:rsid w:val="00F13DF7"/>
    <w:rsid w:val="00F14E00"/>
    <w:rsid w:val="00F155B7"/>
    <w:rsid w:val="00F172AE"/>
    <w:rsid w:val="00F237C9"/>
    <w:rsid w:val="00F24361"/>
    <w:rsid w:val="00F26E22"/>
    <w:rsid w:val="00F277D0"/>
    <w:rsid w:val="00F30701"/>
    <w:rsid w:val="00F317BC"/>
    <w:rsid w:val="00F36E11"/>
    <w:rsid w:val="00F379A3"/>
    <w:rsid w:val="00F42730"/>
    <w:rsid w:val="00F43415"/>
    <w:rsid w:val="00F449FE"/>
    <w:rsid w:val="00F44CA3"/>
    <w:rsid w:val="00F46903"/>
    <w:rsid w:val="00F472E1"/>
    <w:rsid w:val="00F479E0"/>
    <w:rsid w:val="00F47B8F"/>
    <w:rsid w:val="00F50F9E"/>
    <w:rsid w:val="00F52A68"/>
    <w:rsid w:val="00F55AA3"/>
    <w:rsid w:val="00F562BD"/>
    <w:rsid w:val="00F57B5D"/>
    <w:rsid w:val="00F608B9"/>
    <w:rsid w:val="00F60DB7"/>
    <w:rsid w:val="00F60DF8"/>
    <w:rsid w:val="00F60E91"/>
    <w:rsid w:val="00F62C3C"/>
    <w:rsid w:val="00F70751"/>
    <w:rsid w:val="00F70D8C"/>
    <w:rsid w:val="00F71570"/>
    <w:rsid w:val="00F72BAE"/>
    <w:rsid w:val="00F74127"/>
    <w:rsid w:val="00F74374"/>
    <w:rsid w:val="00F74FD2"/>
    <w:rsid w:val="00F7558E"/>
    <w:rsid w:val="00F76205"/>
    <w:rsid w:val="00F803F1"/>
    <w:rsid w:val="00F8177B"/>
    <w:rsid w:val="00F81A22"/>
    <w:rsid w:val="00F81B47"/>
    <w:rsid w:val="00F823C6"/>
    <w:rsid w:val="00F835D8"/>
    <w:rsid w:val="00F83B75"/>
    <w:rsid w:val="00F84899"/>
    <w:rsid w:val="00F858AD"/>
    <w:rsid w:val="00F859F0"/>
    <w:rsid w:val="00F859FC"/>
    <w:rsid w:val="00F8789E"/>
    <w:rsid w:val="00F92E29"/>
    <w:rsid w:val="00F93C66"/>
    <w:rsid w:val="00F9407E"/>
    <w:rsid w:val="00F942DB"/>
    <w:rsid w:val="00F94B56"/>
    <w:rsid w:val="00FA06A3"/>
    <w:rsid w:val="00FA0FB5"/>
    <w:rsid w:val="00FA188E"/>
    <w:rsid w:val="00FA22B3"/>
    <w:rsid w:val="00FA310C"/>
    <w:rsid w:val="00FA3B5A"/>
    <w:rsid w:val="00FA40C0"/>
    <w:rsid w:val="00FA4A30"/>
    <w:rsid w:val="00FA540E"/>
    <w:rsid w:val="00FA562B"/>
    <w:rsid w:val="00FA6587"/>
    <w:rsid w:val="00FA69B7"/>
    <w:rsid w:val="00FA79D2"/>
    <w:rsid w:val="00FB0D40"/>
    <w:rsid w:val="00FB0E35"/>
    <w:rsid w:val="00FB27D9"/>
    <w:rsid w:val="00FB301D"/>
    <w:rsid w:val="00FB309D"/>
    <w:rsid w:val="00FB3707"/>
    <w:rsid w:val="00FB42FF"/>
    <w:rsid w:val="00FB47F3"/>
    <w:rsid w:val="00FB516F"/>
    <w:rsid w:val="00FC3726"/>
    <w:rsid w:val="00FC4DE5"/>
    <w:rsid w:val="00FC639D"/>
    <w:rsid w:val="00FC711A"/>
    <w:rsid w:val="00FD2533"/>
    <w:rsid w:val="00FD3213"/>
    <w:rsid w:val="00FD39C2"/>
    <w:rsid w:val="00FD3A2E"/>
    <w:rsid w:val="00FD3BB4"/>
    <w:rsid w:val="00FD4AFF"/>
    <w:rsid w:val="00FD674C"/>
    <w:rsid w:val="00FD7994"/>
    <w:rsid w:val="00FD7A75"/>
    <w:rsid w:val="00FD7C89"/>
    <w:rsid w:val="00FE0DC4"/>
    <w:rsid w:val="00FE125A"/>
    <w:rsid w:val="00FE141E"/>
    <w:rsid w:val="00FE18E0"/>
    <w:rsid w:val="00FE2149"/>
    <w:rsid w:val="00FE21DA"/>
    <w:rsid w:val="00FE24F4"/>
    <w:rsid w:val="00FE2A33"/>
    <w:rsid w:val="00FE2B5E"/>
    <w:rsid w:val="00FE58FE"/>
    <w:rsid w:val="00FE5E5B"/>
    <w:rsid w:val="00FE5ECC"/>
    <w:rsid w:val="00FE674D"/>
    <w:rsid w:val="00FE78CB"/>
    <w:rsid w:val="00FE793C"/>
    <w:rsid w:val="00FF3657"/>
    <w:rsid w:val="00FF417D"/>
    <w:rsid w:val="00FF4A50"/>
    <w:rsid w:val="00FF5D63"/>
    <w:rsid w:val="00FF66DD"/>
    <w:rsid w:val="00FF7737"/>
    <w:rsid w:val="00FF7CFA"/>
    <w:rsid w:val="00FF7E87"/>
    <w:rsid w:val="03C30222"/>
    <w:rsid w:val="4AD19253"/>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8FC69B5"/>
  <w15:docId w15:val="{9AA5CD62-4DB0-4438-9B21-DB19E4518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0B10"/>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unhideWhenUsed/>
    <w:rsid w:val="00DA5AB1"/>
    <w:rPr>
      <w:sz w:val="20"/>
      <w:szCs w:val="20"/>
    </w:rPr>
  </w:style>
  <w:style w:type="character" w:customStyle="1" w:styleId="TextocomentarioCar">
    <w:name w:val="Texto comentario Car"/>
    <w:basedOn w:val="Fuentedeprrafopredeter"/>
    <w:link w:val="Textocomentario"/>
    <w:uiPriority w:val="99"/>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uiPriority w:val="1"/>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B0854"/>
    <w:rPr>
      <w:sz w:val="20"/>
      <w:szCs w:val="20"/>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uiPriority w:val="99"/>
    <w:qFormat/>
    <w:rsid w:val="007B0854"/>
    <w:pPr>
      <w:keepNext/>
      <w:spacing w:before="120" w:after="200" w:line="276" w:lineRule="auto"/>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F"/>
    <w:basedOn w:val="Fuentedeprrafopredeter"/>
    <w:link w:val="Appelnotedebasde"/>
    <w:uiPriority w:val="99"/>
    <w:unhideWhenUsed/>
    <w:qFormat/>
    <w:rsid w:val="007B0854"/>
    <w:rPr>
      <w:vertAlign w:val="superscript"/>
    </w:rPr>
  </w:style>
  <w:style w:type="paragraph" w:customStyle="1" w:styleId="pa22">
    <w:name w:val="pa22"/>
    <w:basedOn w:val="Normal"/>
    <w:rsid w:val="00887B15"/>
    <w:pPr>
      <w:spacing w:before="100" w:beforeAutospacing="1" w:after="100" w:afterAutospacing="1"/>
    </w:pPr>
    <w:rPr>
      <w:rFonts w:ascii="Times New Roman" w:eastAsia="Times New Roman" w:hAnsi="Times New Roman" w:cs="Times New Roman"/>
      <w:szCs w:val="24"/>
      <w:lang w:val="es-ES" w:eastAsia="es-ES"/>
    </w:rPr>
  </w:style>
  <w:style w:type="character" w:styleId="Textoennegrita">
    <w:name w:val="Strong"/>
    <w:basedOn w:val="Fuentedeprrafopredeter"/>
    <w:uiPriority w:val="22"/>
    <w:qFormat/>
    <w:rsid w:val="00AF1ED8"/>
    <w:rPr>
      <w:b/>
      <w:bCs/>
    </w:rPr>
  </w:style>
  <w:style w:type="character" w:styleId="nfasis">
    <w:name w:val="Emphasis"/>
    <w:basedOn w:val="Fuentedeprrafopredeter"/>
    <w:uiPriority w:val="20"/>
    <w:qFormat/>
    <w:rsid w:val="00AF1ED8"/>
    <w:rPr>
      <w:i/>
      <w:iCs/>
    </w:rPr>
  </w:style>
  <w:style w:type="character" w:customStyle="1" w:styleId="Mencinsinresolver1">
    <w:name w:val="Mención sin resolver1"/>
    <w:basedOn w:val="Fuentedeprrafopredeter"/>
    <w:uiPriority w:val="99"/>
    <w:semiHidden/>
    <w:unhideWhenUsed/>
    <w:rsid w:val="00620E47"/>
    <w:rPr>
      <w:color w:val="605E5C"/>
      <w:shd w:val="clear" w:color="auto" w:fill="E1DFDD"/>
    </w:rPr>
  </w:style>
  <w:style w:type="paragraph" w:customStyle="1" w:styleId="Capitulo3">
    <w:name w:val="Capitulo 3"/>
    <w:basedOn w:val="Normal"/>
    <w:qFormat/>
    <w:rsid w:val="00DF6ACD"/>
    <w:pPr>
      <w:keepNext/>
      <w:numPr>
        <w:numId w:val="7"/>
      </w:numPr>
      <w:spacing w:before="120" w:after="200" w:line="276" w:lineRule="auto"/>
      <w:outlineLvl w:val="1"/>
    </w:pPr>
    <w:rPr>
      <w:rFonts w:ascii="Arial" w:eastAsia="Times New Roman" w:hAnsi="Arial" w:cs="Arial"/>
      <w:b/>
      <w:color w:val="000000"/>
      <w:sz w:val="20"/>
      <w:szCs w:val="20"/>
      <w:lang w:val="es-CO" w:eastAsia="es-CO"/>
    </w:rPr>
  </w:style>
  <w:style w:type="paragraph" w:customStyle="1" w:styleId="InviasNormal">
    <w:name w:val="Invias Normal"/>
    <w:basedOn w:val="Normal"/>
    <w:link w:val="InviasNormalCar"/>
    <w:qFormat/>
    <w:rsid w:val="001A27D7"/>
    <w:pPr>
      <w:tabs>
        <w:tab w:val="left" w:pos="-142"/>
      </w:tabs>
      <w:autoSpaceDE w:val="0"/>
      <w:autoSpaceDN w:val="0"/>
      <w:adjustRightInd w:val="0"/>
      <w:spacing w:before="120" w:after="240"/>
      <w:jc w:val="both"/>
    </w:pPr>
    <w:rPr>
      <w:rFonts w:ascii="Arial Narrow" w:eastAsia="Times New Roman" w:hAnsi="Arial Narrow" w:cs="Times New Roman"/>
      <w:color w:val="3C3C3C" w:themeColor="background2" w:themeShade="40"/>
      <w:szCs w:val="24"/>
      <w:lang w:val="x-none" w:eastAsia="es-ES"/>
    </w:rPr>
  </w:style>
  <w:style w:type="character" w:customStyle="1" w:styleId="InviasNormalCar">
    <w:name w:val="Invias Normal Car"/>
    <w:link w:val="InviasNormal"/>
    <w:locked/>
    <w:rsid w:val="001A27D7"/>
    <w:rPr>
      <w:rFonts w:ascii="Arial Narrow" w:eastAsia="Times New Roman" w:hAnsi="Arial Narrow" w:cs="Times New Roman"/>
      <w:color w:val="3C3C3C" w:themeColor="background2" w:themeShade="40"/>
      <w:sz w:val="24"/>
      <w:szCs w:val="24"/>
      <w:lang w:val="x-none" w:eastAsia="es-ES"/>
    </w:rPr>
  </w:style>
  <w:style w:type="paragraph" w:customStyle="1" w:styleId="Entidad-Capitulo">
    <w:name w:val="Entidad-Capitulo"/>
    <w:next w:val="Normal"/>
    <w:autoRedefine/>
    <w:uiPriority w:val="99"/>
    <w:qFormat/>
    <w:rsid w:val="001A27D7"/>
    <w:pPr>
      <w:keepNext/>
      <w:spacing w:before="240" w:after="0" w:line="240" w:lineRule="auto"/>
      <w:jc w:val="center"/>
      <w:outlineLvl w:val="0"/>
    </w:pPr>
    <w:rPr>
      <w:rFonts w:ascii="Arial" w:eastAsia="Times New Roman" w:hAnsi="Arial" w:cs="Arial"/>
      <w:b/>
      <w:smallCaps/>
      <w:sz w:val="20"/>
      <w:szCs w:val="20"/>
      <w:lang w:eastAsia="es-ES"/>
    </w:rPr>
  </w:style>
  <w:style w:type="paragraph" w:styleId="Revisin">
    <w:name w:val="Revision"/>
    <w:hidden/>
    <w:uiPriority w:val="99"/>
    <w:semiHidden/>
    <w:rsid w:val="009409CA"/>
    <w:pPr>
      <w:spacing w:after="0" w:line="240" w:lineRule="auto"/>
    </w:pPr>
    <w:rPr>
      <w:sz w:val="24"/>
      <w:lang w:val="es-MX"/>
    </w:rPr>
  </w:style>
  <w:style w:type="paragraph" w:customStyle="1" w:styleId="Appelnotedebasde">
    <w:name w:val="Appel note de bas de..."/>
    <w:basedOn w:val="Normal"/>
    <w:link w:val="Refdenotaalpie"/>
    <w:uiPriority w:val="99"/>
    <w:rsid w:val="00904CD9"/>
    <w:pPr>
      <w:spacing w:after="160" w:line="240" w:lineRule="exact"/>
    </w:pPr>
    <w:rPr>
      <w:sz w:val="22"/>
      <w:vertAlign w:val="superscript"/>
      <w:lang w:val="es-CO"/>
    </w:rPr>
  </w:style>
  <w:style w:type="character" w:customStyle="1" w:styleId="NormalWebCar">
    <w:name w:val="Normal (Web) Car"/>
    <w:link w:val="NormalWeb"/>
    <w:uiPriority w:val="99"/>
    <w:locked/>
    <w:rsid w:val="00904CD9"/>
    <w:rPr>
      <w:rFonts w:ascii="Times New Roman" w:eastAsia="Times New Roman" w:hAnsi="Times New Roman" w:cs="Times New Roman"/>
      <w:sz w:val="24"/>
      <w:szCs w:val="24"/>
      <w:lang w:eastAsia="es-CO"/>
    </w:rPr>
  </w:style>
  <w:style w:type="character" w:customStyle="1" w:styleId="normaltextrun">
    <w:name w:val="normaltextrun"/>
    <w:basedOn w:val="Fuentedeprrafopredeter"/>
    <w:rsid w:val="00F0755F"/>
  </w:style>
  <w:style w:type="character" w:customStyle="1" w:styleId="Mencinsinresolver2">
    <w:name w:val="Mención sin resolver2"/>
    <w:basedOn w:val="Fuentedeprrafopredeter"/>
    <w:uiPriority w:val="99"/>
    <w:semiHidden/>
    <w:unhideWhenUsed/>
    <w:rsid w:val="00BF0068"/>
    <w:rPr>
      <w:color w:val="605E5C"/>
      <w:shd w:val="clear" w:color="auto" w:fill="E1DFDD"/>
    </w:rPr>
  </w:style>
  <w:style w:type="paragraph" w:customStyle="1" w:styleId="Normal11pt">
    <w:name w:val="Normal + 11 pt"/>
    <w:aliases w:val="Negro,Justificado,Izquierda:  -0,95 cm,Derecha:  0,04 cm"/>
    <w:basedOn w:val="Normal"/>
    <w:uiPriority w:val="99"/>
    <w:rsid w:val="002A4E44"/>
    <w:pPr>
      <w:ind w:left="-540"/>
      <w:jc w:val="both"/>
    </w:pPr>
    <w:rPr>
      <w:rFonts w:ascii="Arial" w:eastAsia="Times New Roman" w:hAnsi="Arial" w:cs="Arial"/>
      <w:color w:val="000000"/>
      <w:sz w:val="22"/>
      <w:lang w:val="es-ES_tradnl" w:eastAsia="es-ES"/>
    </w:rPr>
  </w:style>
  <w:style w:type="table" w:customStyle="1" w:styleId="Tablaconcuadrcula1">
    <w:name w:val="Tabla con cuadrícula1"/>
    <w:basedOn w:val="Tablanormal"/>
    <w:next w:val="Tablaconcuadrcula"/>
    <w:uiPriority w:val="59"/>
    <w:rsid w:val="00601C07"/>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26B4F"/>
    <w:pPr>
      <w:autoSpaceDE w:val="0"/>
      <w:autoSpaceDN w:val="0"/>
      <w:adjustRightInd w:val="0"/>
      <w:spacing w:after="0" w:line="240" w:lineRule="auto"/>
    </w:pPr>
    <w:rPr>
      <w:rFonts w:ascii="Arial" w:hAnsi="Arial" w:cs="Arial"/>
      <w:color w:val="000000"/>
      <w:sz w:val="24"/>
      <w:szCs w:val="24"/>
      <w:lang w:val="en-US"/>
    </w:rPr>
  </w:style>
  <w:style w:type="paragraph" w:customStyle="1" w:styleId="paragraph">
    <w:name w:val="paragraph"/>
    <w:basedOn w:val="Normal"/>
    <w:rsid w:val="00155B6E"/>
    <w:pPr>
      <w:spacing w:before="100" w:beforeAutospacing="1" w:after="100" w:afterAutospacing="1"/>
    </w:pPr>
    <w:rPr>
      <w:rFonts w:ascii="Times New Roman" w:eastAsia="Times New Roman" w:hAnsi="Times New Roman" w:cs="Times New Roman"/>
      <w:szCs w:val="24"/>
      <w:lang w:val="en-US"/>
    </w:rPr>
  </w:style>
  <w:style w:type="character" w:customStyle="1" w:styleId="eop">
    <w:name w:val="eop"/>
    <w:basedOn w:val="Fuentedeprrafopredeter"/>
    <w:rsid w:val="00155B6E"/>
  </w:style>
  <w:style w:type="paragraph" w:styleId="Textoindependiente">
    <w:name w:val="Body Text"/>
    <w:basedOn w:val="Normal"/>
    <w:link w:val="TextoindependienteCar"/>
    <w:uiPriority w:val="1"/>
    <w:qFormat/>
    <w:rsid w:val="00050E8C"/>
    <w:pPr>
      <w:widowControl w:val="0"/>
      <w:autoSpaceDE w:val="0"/>
      <w:autoSpaceDN w:val="0"/>
    </w:pPr>
    <w:rPr>
      <w:rFonts w:ascii="Arial" w:eastAsia="Arial" w:hAnsi="Arial" w:cs="Arial"/>
      <w:sz w:val="22"/>
      <w:lang w:val="es-ES"/>
    </w:rPr>
  </w:style>
  <w:style w:type="character" w:customStyle="1" w:styleId="TextoindependienteCar">
    <w:name w:val="Texto independiente Car"/>
    <w:basedOn w:val="Fuentedeprrafopredeter"/>
    <w:link w:val="Textoindependiente"/>
    <w:uiPriority w:val="1"/>
    <w:rsid w:val="00050E8C"/>
    <w:rPr>
      <w:rFonts w:ascii="Arial" w:eastAsia="Arial" w:hAnsi="Arial" w:cs="Arial"/>
      <w:lang w:val="es-ES"/>
    </w:rPr>
  </w:style>
  <w:style w:type="character" w:customStyle="1" w:styleId="apple-converted-space">
    <w:name w:val="apple-converted-space"/>
    <w:basedOn w:val="Fuentedeprrafopredeter"/>
    <w:rsid w:val="003D5728"/>
  </w:style>
  <w:style w:type="character" w:customStyle="1" w:styleId="Mencinsinresolver3">
    <w:name w:val="Mención sin resolver3"/>
    <w:basedOn w:val="Fuentedeprrafopredeter"/>
    <w:uiPriority w:val="99"/>
    <w:semiHidden/>
    <w:unhideWhenUsed/>
    <w:rsid w:val="000D5E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9367">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70544669">
      <w:bodyDiv w:val="1"/>
      <w:marLeft w:val="0"/>
      <w:marRight w:val="0"/>
      <w:marTop w:val="0"/>
      <w:marBottom w:val="0"/>
      <w:divBdr>
        <w:top w:val="none" w:sz="0" w:space="0" w:color="auto"/>
        <w:left w:val="none" w:sz="0" w:space="0" w:color="auto"/>
        <w:bottom w:val="none" w:sz="0" w:space="0" w:color="auto"/>
        <w:right w:val="none" w:sz="0" w:space="0" w:color="auto"/>
      </w:divBdr>
      <w:divsChild>
        <w:div w:id="1513495133">
          <w:marLeft w:val="0"/>
          <w:marRight w:val="0"/>
          <w:marTop w:val="0"/>
          <w:marBottom w:val="0"/>
          <w:divBdr>
            <w:top w:val="none" w:sz="0" w:space="0" w:color="auto"/>
            <w:left w:val="none" w:sz="0" w:space="0" w:color="auto"/>
            <w:bottom w:val="none" w:sz="0" w:space="0" w:color="auto"/>
            <w:right w:val="none" w:sz="0" w:space="0" w:color="auto"/>
          </w:divBdr>
          <w:divsChild>
            <w:div w:id="414395898">
              <w:marLeft w:val="0"/>
              <w:marRight w:val="0"/>
              <w:marTop w:val="0"/>
              <w:marBottom w:val="0"/>
              <w:divBdr>
                <w:top w:val="none" w:sz="0" w:space="0" w:color="auto"/>
                <w:left w:val="none" w:sz="0" w:space="0" w:color="auto"/>
                <w:bottom w:val="none" w:sz="0" w:space="0" w:color="auto"/>
                <w:right w:val="none" w:sz="0" w:space="0" w:color="auto"/>
              </w:divBdr>
              <w:divsChild>
                <w:div w:id="849872093">
                  <w:marLeft w:val="0"/>
                  <w:marRight w:val="0"/>
                  <w:marTop w:val="0"/>
                  <w:marBottom w:val="0"/>
                  <w:divBdr>
                    <w:top w:val="none" w:sz="0" w:space="0" w:color="auto"/>
                    <w:left w:val="none" w:sz="0" w:space="0" w:color="auto"/>
                    <w:bottom w:val="none" w:sz="0" w:space="0" w:color="auto"/>
                    <w:right w:val="none" w:sz="0" w:space="0" w:color="auto"/>
                  </w:divBdr>
                </w:div>
              </w:divsChild>
            </w:div>
            <w:div w:id="734858809">
              <w:marLeft w:val="0"/>
              <w:marRight w:val="0"/>
              <w:marTop w:val="0"/>
              <w:marBottom w:val="0"/>
              <w:divBdr>
                <w:top w:val="none" w:sz="0" w:space="0" w:color="auto"/>
                <w:left w:val="none" w:sz="0" w:space="0" w:color="auto"/>
                <w:bottom w:val="none" w:sz="0" w:space="0" w:color="auto"/>
                <w:right w:val="none" w:sz="0" w:space="0" w:color="auto"/>
              </w:divBdr>
              <w:divsChild>
                <w:div w:id="138598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397896281">
      <w:bodyDiv w:val="1"/>
      <w:marLeft w:val="0"/>
      <w:marRight w:val="0"/>
      <w:marTop w:val="0"/>
      <w:marBottom w:val="0"/>
      <w:divBdr>
        <w:top w:val="none" w:sz="0" w:space="0" w:color="auto"/>
        <w:left w:val="none" w:sz="0" w:space="0" w:color="auto"/>
        <w:bottom w:val="none" w:sz="0" w:space="0" w:color="auto"/>
        <w:right w:val="none" w:sz="0" w:space="0" w:color="auto"/>
      </w:divBdr>
    </w:div>
    <w:div w:id="410280652">
      <w:bodyDiv w:val="1"/>
      <w:marLeft w:val="0"/>
      <w:marRight w:val="0"/>
      <w:marTop w:val="0"/>
      <w:marBottom w:val="0"/>
      <w:divBdr>
        <w:top w:val="none" w:sz="0" w:space="0" w:color="auto"/>
        <w:left w:val="none" w:sz="0" w:space="0" w:color="auto"/>
        <w:bottom w:val="none" w:sz="0" w:space="0" w:color="auto"/>
        <w:right w:val="none" w:sz="0" w:space="0" w:color="auto"/>
      </w:divBdr>
    </w:div>
    <w:div w:id="538052457">
      <w:bodyDiv w:val="1"/>
      <w:marLeft w:val="0"/>
      <w:marRight w:val="0"/>
      <w:marTop w:val="0"/>
      <w:marBottom w:val="0"/>
      <w:divBdr>
        <w:top w:val="none" w:sz="0" w:space="0" w:color="auto"/>
        <w:left w:val="none" w:sz="0" w:space="0" w:color="auto"/>
        <w:bottom w:val="none" w:sz="0" w:space="0" w:color="auto"/>
        <w:right w:val="none" w:sz="0" w:space="0" w:color="auto"/>
      </w:divBdr>
      <w:divsChild>
        <w:div w:id="293679258">
          <w:marLeft w:val="0"/>
          <w:marRight w:val="0"/>
          <w:marTop w:val="0"/>
          <w:marBottom w:val="0"/>
          <w:divBdr>
            <w:top w:val="none" w:sz="0" w:space="0" w:color="auto"/>
            <w:left w:val="none" w:sz="0" w:space="0" w:color="auto"/>
            <w:bottom w:val="none" w:sz="0" w:space="0" w:color="auto"/>
            <w:right w:val="none" w:sz="0" w:space="0" w:color="auto"/>
          </w:divBdr>
          <w:divsChild>
            <w:div w:id="1751930579">
              <w:marLeft w:val="0"/>
              <w:marRight w:val="0"/>
              <w:marTop w:val="0"/>
              <w:marBottom w:val="0"/>
              <w:divBdr>
                <w:top w:val="none" w:sz="0" w:space="0" w:color="auto"/>
                <w:left w:val="none" w:sz="0" w:space="0" w:color="auto"/>
                <w:bottom w:val="none" w:sz="0" w:space="0" w:color="auto"/>
                <w:right w:val="none" w:sz="0" w:space="0" w:color="auto"/>
              </w:divBdr>
              <w:divsChild>
                <w:div w:id="1477531553">
                  <w:marLeft w:val="0"/>
                  <w:marRight w:val="0"/>
                  <w:marTop w:val="0"/>
                  <w:marBottom w:val="0"/>
                  <w:divBdr>
                    <w:top w:val="none" w:sz="0" w:space="0" w:color="auto"/>
                    <w:left w:val="none" w:sz="0" w:space="0" w:color="auto"/>
                    <w:bottom w:val="none" w:sz="0" w:space="0" w:color="auto"/>
                    <w:right w:val="none" w:sz="0" w:space="0" w:color="auto"/>
                  </w:divBdr>
                  <w:divsChild>
                    <w:div w:id="66933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9821506">
      <w:bodyDiv w:val="1"/>
      <w:marLeft w:val="0"/>
      <w:marRight w:val="0"/>
      <w:marTop w:val="0"/>
      <w:marBottom w:val="0"/>
      <w:divBdr>
        <w:top w:val="none" w:sz="0" w:space="0" w:color="auto"/>
        <w:left w:val="none" w:sz="0" w:space="0" w:color="auto"/>
        <w:bottom w:val="none" w:sz="0" w:space="0" w:color="auto"/>
        <w:right w:val="none" w:sz="0" w:space="0" w:color="auto"/>
      </w:divBdr>
    </w:div>
    <w:div w:id="657923463">
      <w:bodyDiv w:val="1"/>
      <w:marLeft w:val="0"/>
      <w:marRight w:val="0"/>
      <w:marTop w:val="0"/>
      <w:marBottom w:val="0"/>
      <w:divBdr>
        <w:top w:val="none" w:sz="0" w:space="0" w:color="auto"/>
        <w:left w:val="none" w:sz="0" w:space="0" w:color="auto"/>
        <w:bottom w:val="none" w:sz="0" w:space="0" w:color="auto"/>
        <w:right w:val="none" w:sz="0" w:space="0" w:color="auto"/>
      </w:divBdr>
    </w:div>
    <w:div w:id="742486387">
      <w:bodyDiv w:val="1"/>
      <w:marLeft w:val="0"/>
      <w:marRight w:val="0"/>
      <w:marTop w:val="0"/>
      <w:marBottom w:val="0"/>
      <w:divBdr>
        <w:top w:val="none" w:sz="0" w:space="0" w:color="auto"/>
        <w:left w:val="none" w:sz="0" w:space="0" w:color="auto"/>
        <w:bottom w:val="none" w:sz="0" w:space="0" w:color="auto"/>
        <w:right w:val="none" w:sz="0" w:space="0" w:color="auto"/>
      </w:divBdr>
    </w:div>
    <w:div w:id="773549469">
      <w:bodyDiv w:val="1"/>
      <w:marLeft w:val="0"/>
      <w:marRight w:val="0"/>
      <w:marTop w:val="0"/>
      <w:marBottom w:val="0"/>
      <w:divBdr>
        <w:top w:val="none" w:sz="0" w:space="0" w:color="auto"/>
        <w:left w:val="none" w:sz="0" w:space="0" w:color="auto"/>
        <w:bottom w:val="none" w:sz="0" w:space="0" w:color="auto"/>
        <w:right w:val="none" w:sz="0" w:space="0" w:color="auto"/>
      </w:divBdr>
      <w:divsChild>
        <w:div w:id="1693219852">
          <w:marLeft w:val="0"/>
          <w:marRight w:val="0"/>
          <w:marTop w:val="0"/>
          <w:marBottom w:val="0"/>
          <w:divBdr>
            <w:top w:val="none" w:sz="0" w:space="0" w:color="auto"/>
            <w:left w:val="none" w:sz="0" w:space="0" w:color="auto"/>
            <w:bottom w:val="none" w:sz="0" w:space="0" w:color="auto"/>
            <w:right w:val="none" w:sz="0" w:space="0" w:color="auto"/>
          </w:divBdr>
          <w:divsChild>
            <w:div w:id="2023359027">
              <w:marLeft w:val="0"/>
              <w:marRight w:val="0"/>
              <w:marTop w:val="0"/>
              <w:marBottom w:val="0"/>
              <w:divBdr>
                <w:top w:val="none" w:sz="0" w:space="0" w:color="auto"/>
                <w:left w:val="none" w:sz="0" w:space="0" w:color="auto"/>
                <w:bottom w:val="none" w:sz="0" w:space="0" w:color="auto"/>
                <w:right w:val="none" w:sz="0" w:space="0" w:color="auto"/>
              </w:divBdr>
            </w:div>
          </w:divsChild>
        </w:div>
        <w:div w:id="1795442581">
          <w:marLeft w:val="0"/>
          <w:marRight w:val="0"/>
          <w:marTop w:val="0"/>
          <w:marBottom w:val="0"/>
          <w:divBdr>
            <w:top w:val="none" w:sz="0" w:space="0" w:color="auto"/>
            <w:left w:val="none" w:sz="0" w:space="0" w:color="auto"/>
            <w:bottom w:val="none" w:sz="0" w:space="0" w:color="auto"/>
            <w:right w:val="none" w:sz="0" w:space="0" w:color="auto"/>
          </w:divBdr>
          <w:divsChild>
            <w:div w:id="14254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85883">
      <w:bodyDiv w:val="1"/>
      <w:marLeft w:val="0"/>
      <w:marRight w:val="0"/>
      <w:marTop w:val="0"/>
      <w:marBottom w:val="0"/>
      <w:divBdr>
        <w:top w:val="none" w:sz="0" w:space="0" w:color="auto"/>
        <w:left w:val="none" w:sz="0" w:space="0" w:color="auto"/>
        <w:bottom w:val="none" w:sz="0" w:space="0" w:color="auto"/>
        <w:right w:val="none" w:sz="0" w:space="0" w:color="auto"/>
      </w:divBdr>
    </w:div>
    <w:div w:id="866216845">
      <w:bodyDiv w:val="1"/>
      <w:marLeft w:val="0"/>
      <w:marRight w:val="0"/>
      <w:marTop w:val="0"/>
      <w:marBottom w:val="0"/>
      <w:divBdr>
        <w:top w:val="none" w:sz="0" w:space="0" w:color="auto"/>
        <w:left w:val="none" w:sz="0" w:space="0" w:color="auto"/>
        <w:bottom w:val="none" w:sz="0" w:space="0" w:color="auto"/>
        <w:right w:val="none" w:sz="0" w:space="0" w:color="auto"/>
      </w:divBdr>
      <w:divsChild>
        <w:div w:id="1020854864">
          <w:marLeft w:val="0"/>
          <w:marRight w:val="0"/>
          <w:marTop w:val="0"/>
          <w:marBottom w:val="0"/>
          <w:divBdr>
            <w:top w:val="none" w:sz="0" w:space="0" w:color="auto"/>
            <w:left w:val="none" w:sz="0" w:space="0" w:color="auto"/>
            <w:bottom w:val="none" w:sz="0" w:space="0" w:color="auto"/>
            <w:right w:val="none" w:sz="0" w:space="0" w:color="auto"/>
          </w:divBdr>
        </w:div>
      </w:divsChild>
    </w:div>
    <w:div w:id="893934457">
      <w:bodyDiv w:val="1"/>
      <w:marLeft w:val="0"/>
      <w:marRight w:val="0"/>
      <w:marTop w:val="0"/>
      <w:marBottom w:val="0"/>
      <w:divBdr>
        <w:top w:val="none" w:sz="0" w:space="0" w:color="auto"/>
        <w:left w:val="none" w:sz="0" w:space="0" w:color="auto"/>
        <w:bottom w:val="none" w:sz="0" w:space="0" w:color="auto"/>
        <w:right w:val="none" w:sz="0" w:space="0" w:color="auto"/>
      </w:divBdr>
    </w:div>
    <w:div w:id="928346294">
      <w:bodyDiv w:val="1"/>
      <w:marLeft w:val="0"/>
      <w:marRight w:val="0"/>
      <w:marTop w:val="0"/>
      <w:marBottom w:val="0"/>
      <w:divBdr>
        <w:top w:val="none" w:sz="0" w:space="0" w:color="auto"/>
        <w:left w:val="none" w:sz="0" w:space="0" w:color="auto"/>
        <w:bottom w:val="none" w:sz="0" w:space="0" w:color="auto"/>
        <w:right w:val="none" w:sz="0" w:space="0" w:color="auto"/>
      </w:divBdr>
    </w:div>
    <w:div w:id="947077977">
      <w:bodyDiv w:val="1"/>
      <w:marLeft w:val="0"/>
      <w:marRight w:val="0"/>
      <w:marTop w:val="0"/>
      <w:marBottom w:val="0"/>
      <w:divBdr>
        <w:top w:val="none" w:sz="0" w:space="0" w:color="auto"/>
        <w:left w:val="none" w:sz="0" w:space="0" w:color="auto"/>
        <w:bottom w:val="none" w:sz="0" w:space="0" w:color="auto"/>
        <w:right w:val="none" w:sz="0" w:space="0" w:color="auto"/>
      </w:divBdr>
    </w:div>
    <w:div w:id="953173263">
      <w:bodyDiv w:val="1"/>
      <w:marLeft w:val="0"/>
      <w:marRight w:val="0"/>
      <w:marTop w:val="0"/>
      <w:marBottom w:val="0"/>
      <w:divBdr>
        <w:top w:val="none" w:sz="0" w:space="0" w:color="auto"/>
        <w:left w:val="none" w:sz="0" w:space="0" w:color="auto"/>
        <w:bottom w:val="none" w:sz="0" w:space="0" w:color="auto"/>
        <w:right w:val="none" w:sz="0" w:space="0" w:color="auto"/>
      </w:divBdr>
    </w:div>
    <w:div w:id="962150523">
      <w:bodyDiv w:val="1"/>
      <w:marLeft w:val="0"/>
      <w:marRight w:val="0"/>
      <w:marTop w:val="0"/>
      <w:marBottom w:val="0"/>
      <w:divBdr>
        <w:top w:val="none" w:sz="0" w:space="0" w:color="auto"/>
        <w:left w:val="none" w:sz="0" w:space="0" w:color="auto"/>
        <w:bottom w:val="none" w:sz="0" w:space="0" w:color="auto"/>
        <w:right w:val="none" w:sz="0" w:space="0" w:color="auto"/>
      </w:divBdr>
    </w:div>
    <w:div w:id="974724308">
      <w:bodyDiv w:val="1"/>
      <w:marLeft w:val="0"/>
      <w:marRight w:val="0"/>
      <w:marTop w:val="0"/>
      <w:marBottom w:val="0"/>
      <w:divBdr>
        <w:top w:val="none" w:sz="0" w:space="0" w:color="auto"/>
        <w:left w:val="none" w:sz="0" w:space="0" w:color="auto"/>
        <w:bottom w:val="none" w:sz="0" w:space="0" w:color="auto"/>
        <w:right w:val="none" w:sz="0" w:space="0" w:color="auto"/>
      </w:divBdr>
    </w:div>
    <w:div w:id="1004672872">
      <w:bodyDiv w:val="1"/>
      <w:marLeft w:val="0"/>
      <w:marRight w:val="0"/>
      <w:marTop w:val="0"/>
      <w:marBottom w:val="0"/>
      <w:divBdr>
        <w:top w:val="none" w:sz="0" w:space="0" w:color="auto"/>
        <w:left w:val="none" w:sz="0" w:space="0" w:color="auto"/>
        <w:bottom w:val="none" w:sz="0" w:space="0" w:color="auto"/>
        <w:right w:val="none" w:sz="0" w:space="0" w:color="auto"/>
      </w:divBdr>
    </w:div>
    <w:div w:id="1008944424">
      <w:bodyDiv w:val="1"/>
      <w:marLeft w:val="0"/>
      <w:marRight w:val="0"/>
      <w:marTop w:val="0"/>
      <w:marBottom w:val="0"/>
      <w:divBdr>
        <w:top w:val="none" w:sz="0" w:space="0" w:color="auto"/>
        <w:left w:val="none" w:sz="0" w:space="0" w:color="auto"/>
        <w:bottom w:val="none" w:sz="0" w:space="0" w:color="auto"/>
        <w:right w:val="none" w:sz="0" w:space="0" w:color="auto"/>
      </w:divBdr>
    </w:div>
    <w:div w:id="1014107879">
      <w:bodyDiv w:val="1"/>
      <w:marLeft w:val="0"/>
      <w:marRight w:val="0"/>
      <w:marTop w:val="0"/>
      <w:marBottom w:val="0"/>
      <w:divBdr>
        <w:top w:val="none" w:sz="0" w:space="0" w:color="auto"/>
        <w:left w:val="none" w:sz="0" w:space="0" w:color="auto"/>
        <w:bottom w:val="none" w:sz="0" w:space="0" w:color="auto"/>
        <w:right w:val="none" w:sz="0" w:space="0" w:color="auto"/>
      </w:divBdr>
    </w:div>
    <w:div w:id="1213887254">
      <w:bodyDiv w:val="1"/>
      <w:marLeft w:val="0"/>
      <w:marRight w:val="0"/>
      <w:marTop w:val="0"/>
      <w:marBottom w:val="0"/>
      <w:divBdr>
        <w:top w:val="none" w:sz="0" w:space="0" w:color="auto"/>
        <w:left w:val="none" w:sz="0" w:space="0" w:color="auto"/>
        <w:bottom w:val="none" w:sz="0" w:space="0" w:color="auto"/>
        <w:right w:val="none" w:sz="0" w:space="0" w:color="auto"/>
      </w:divBdr>
    </w:div>
    <w:div w:id="1247035932">
      <w:bodyDiv w:val="1"/>
      <w:marLeft w:val="0"/>
      <w:marRight w:val="0"/>
      <w:marTop w:val="0"/>
      <w:marBottom w:val="0"/>
      <w:divBdr>
        <w:top w:val="none" w:sz="0" w:space="0" w:color="auto"/>
        <w:left w:val="none" w:sz="0" w:space="0" w:color="auto"/>
        <w:bottom w:val="none" w:sz="0" w:space="0" w:color="auto"/>
        <w:right w:val="none" w:sz="0" w:space="0" w:color="auto"/>
      </w:divBdr>
    </w:div>
    <w:div w:id="1418550300">
      <w:bodyDiv w:val="1"/>
      <w:marLeft w:val="0"/>
      <w:marRight w:val="0"/>
      <w:marTop w:val="0"/>
      <w:marBottom w:val="0"/>
      <w:divBdr>
        <w:top w:val="none" w:sz="0" w:space="0" w:color="auto"/>
        <w:left w:val="none" w:sz="0" w:space="0" w:color="auto"/>
        <w:bottom w:val="none" w:sz="0" w:space="0" w:color="auto"/>
        <w:right w:val="none" w:sz="0" w:space="0" w:color="auto"/>
      </w:divBdr>
    </w:div>
    <w:div w:id="1568954086">
      <w:bodyDiv w:val="1"/>
      <w:marLeft w:val="0"/>
      <w:marRight w:val="0"/>
      <w:marTop w:val="0"/>
      <w:marBottom w:val="0"/>
      <w:divBdr>
        <w:top w:val="none" w:sz="0" w:space="0" w:color="auto"/>
        <w:left w:val="none" w:sz="0" w:space="0" w:color="auto"/>
        <w:bottom w:val="none" w:sz="0" w:space="0" w:color="auto"/>
        <w:right w:val="none" w:sz="0" w:space="0" w:color="auto"/>
      </w:divBdr>
    </w:div>
    <w:div w:id="1716924715">
      <w:bodyDiv w:val="1"/>
      <w:marLeft w:val="0"/>
      <w:marRight w:val="0"/>
      <w:marTop w:val="0"/>
      <w:marBottom w:val="0"/>
      <w:divBdr>
        <w:top w:val="none" w:sz="0" w:space="0" w:color="auto"/>
        <w:left w:val="none" w:sz="0" w:space="0" w:color="auto"/>
        <w:bottom w:val="none" w:sz="0" w:space="0" w:color="auto"/>
        <w:right w:val="none" w:sz="0" w:space="0" w:color="auto"/>
      </w:divBdr>
    </w:div>
    <w:div w:id="1844125587">
      <w:bodyDiv w:val="1"/>
      <w:marLeft w:val="0"/>
      <w:marRight w:val="0"/>
      <w:marTop w:val="0"/>
      <w:marBottom w:val="0"/>
      <w:divBdr>
        <w:top w:val="none" w:sz="0" w:space="0" w:color="auto"/>
        <w:left w:val="none" w:sz="0" w:space="0" w:color="auto"/>
        <w:bottom w:val="none" w:sz="0" w:space="0" w:color="auto"/>
        <w:right w:val="none" w:sz="0" w:space="0" w:color="auto"/>
      </w:divBdr>
      <w:divsChild>
        <w:div w:id="376858781">
          <w:marLeft w:val="0"/>
          <w:marRight w:val="0"/>
          <w:marTop w:val="0"/>
          <w:marBottom w:val="0"/>
          <w:divBdr>
            <w:top w:val="none" w:sz="0" w:space="0" w:color="auto"/>
            <w:left w:val="none" w:sz="0" w:space="0" w:color="auto"/>
            <w:bottom w:val="none" w:sz="0" w:space="0" w:color="auto"/>
            <w:right w:val="none" w:sz="0" w:space="0" w:color="auto"/>
          </w:divBdr>
          <w:divsChild>
            <w:div w:id="558325464">
              <w:marLeft w:val="0"/>
              <w:marRight w:val="0"/>
              <w:marTop w:val="0"/>
              <w:marBottom w:val="0"/>
              <w:divBdr>
                <w:top w:val="none" w:sz="0" w:space="0" w:color="auto"/>
                <w:left w:val="none" w:sz="0" w:space="0" w:color="auto"/>
                <w:bottom w:val="none" w:sz="0" w:space="0" w:color="auto"/>
                <w:right w:val="none" w:sz="0" w:space="0" w:color="auto"/>
              </w:divBdr>
              <w:divsChild>
                <w:div w:id="141153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195364">
      <w:bodyDiv w:val="1"/>
      <w:marLeft w:val="0"/>
      <w:marRight w:val="0"/>
      <w:marTop w:val="0"/>
      <w:marBottom w:val="0"/>
      <w:divBdr>
        <w:top w:val="none" w:sz="0" w:space="0" w:color="auto"/>
        <w:left w:val="none" w:sz="0" w:space="0" w:color="auto"/>
        <w:bottom w:val="none" w:sz="0" w:space="0" w:color="auto"/>
        <w:right w:val="none" w:sz="0" w:space="0" w:color="auto"/>
      </w:divBdr>
    </w:div>
    <w:div w:id="1920285568">
      <w:bodyDiv w:val="1"/>
      <w:marLeft w:val="0"/>
      <w:marRight w:val="0"/>
      <w:marTop w:val="0"/>
      <w:marBottom w:val="0"/>
      <w:divBdr>
        <w:top w:val="none" w:sz="0" w:space="0" w:color="auto"/>
        <w:left w:val="none" w:sz="0" w:space="0" w:color="auto"/>
        <w:bottom w:val="none" w:sz="0" w:space="0" w:color="auto"/>
        <w:right w:val="none" w:sz="0" w:space="0" w:color="auto"/>
      </w:divBdr>
    </w:div>
    <w:div w:id="1968584149">
      <w:bodyDiv w:val="1"/>
      <w:marLeft w:val="0"/>
      <w:marRight w:val="0"/>
      <w:marTop w:val="0"/>
      <w:marBottom w:val="0"/>
      <w:divBdr>
        <w:top w:val="none" w:sz="0" w:space="0" w:color="auto"/>
        <w:left w:val="none" w:sz="0" w:space="0" w:color="auto"/>
        <w:bottom w:val="none" w:sz="0" w:space="0" w:color="auto"/>
        <w:right w:val="none" w:sz="0" w:space="0" w:color="auto"/>
      </w:divBdr>
      <w:divsChild>
        <w:div w:id="445658312">
          <w:marLeft w:val="0"/>
          <w:marRight w:val="0"/>
          <w:marTop w:val="0"/>
          <w:marBottom w:val="0"/>
          <w:divBdr>
            <w:top w:val="none" w:sz="0" w:space="0" w:color="auto"/>
            <w:left w:val="none" w:sz="0" w:space="0" w:color="auto"/>
            <w:bottom w:val="none" w:sz="0" w:space="0" w:color="auto"/>
            <w:right w:val="none" w:sz="0" w:space="0" w:color="auto"/>
          </w:divBdr>
          <w:divsChild>
            <w:div w:id="289482795">
              <w:marLeft w:val="0"/>
              <w:marRight w:val="0"/>
              <w:marTop w:val="0"/>
              <w:marBottom w:val="0"/>
              <w:divBdr>
                <w:top w:val="none" w:sz="0" w:space="0" w:color="auto"/>
                <w:left w:val="none" w:sz="0" w:space="0" w:color="auto"/>
                <w:bottom w:val="none" w:sz="0" w:space="0" w:color="auto"/>
                <w:right w:val="none" w:sz="0" w:space="0" w:color="auto"/>
              </w:divBdr>
              <w:divsChild>
                <w:div w:id="99490715">
                  <w:marLeft w:val="0"/>
                  <w:marRight w:val="0"/>
                  <w:marTop w:val="0"/>
                  <w:marBottom w:val="0"/>
                  <w:divBdr>
                    <w:top w:val="none" w:sz="0" w:space="0" w:color="auto"/>
                    <w:left w:val="none" w:sz="0" w:space="0" w:color="auto"/>
                    <w:bottom w:val="none" w:sz="0" w:space="0" w:color="auto"/>
                    <w:right w:val="none" w:sz="0" w:space="0" w:color="auto"/>
                  </w:divBdr>
                  <w:divsChild>
                    <w:div w:id="54540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0626520">
      <w:bodyDiv w:val="1"/>
      <w:marLeft w:val="0"/>
      <w:marRight w:val="0"/>
      <w:marTop w:val="0"/>
      <w:marBottom w:val="0"/>
      <w:divBdr>
        <w:top w:val="none" w:sz="0" w:space="0" w:color="auto"/>
        <w:left w:val="none" w:sz="0" w:space="0" w:color="auto"/>
        <w:bottom w:val="none" w:sz="0" w:space="0" w:color="auto"/>
        <w:right w:val="none" w:sz="0" w:space="0" w:color="auto"/>
      </w:divBdr>
    </w:div>
    <w:div w:id="2057849768">
      <w:bodyDiv w:val="1"/>
      <w:marLeft w:val="0"/>
      <w:marRight w:val="0"/>
      <w:marTop w:val="0"/>
      <w:marBottom w:val="0"/>
      <w:divBdr>
        <w:top w:val="none" w:sz="0" w:space="0" w:color="auto"/>
        <w:left w:val="none" w:sz="0" w:space="0" w:color="auto"/>
        <w:bottom w:val="none" w:sz="0" w:space="0" w:color="auto"/>
        <w:right w:val="none" w:sz="0" w:space="0" w:color="auto"/>
      </w:divBdr>
      <w:divsChild>
        <w:div w:id="121307556">
          <w:marLeft w:val="0"/>
          <w:marRight w:val="0"/>
          <w:marTop w:val="0"/>
          <w:marBottom w:val="0"/>
          <w:divBdr>
            <w:top w:val="none" w:sz="0" w:space="0" w:color="auto"/>
            <w:left w:val="none" w:sz="0" w:space="0" w:color="auto"/>
            <w:bottom w:val="none" w:sz="0" w:space="0" w:color="auto"/>
            <w:right w:val="none" w:sz="0" w:space="0" w:color="auto"/>
          </w:divBdr>
          <w:divsChild>
            <w:div w:id="983703154">
              <w:marLeft w:val="0"/>
              <w:marRight w:val="0"/>
              <w:marTop w:val="0"/>
              <w:marBottom w:val="0"/>
              <w:divBdr>
                <w:top w:val="none" w:sz="0" w:space="0" w:color="auto"/>
                <w:left w:val="none" w:sz="0" w:space="0" w:color="auto"/>
                <w:bottom w:val="none" w:sz="0" w:space="0" w:color="auto"/>
                <w:right w:val="none" w:sz="0" w:space="0" w:color="auto"/>
              </w:divBdr>
              <w:divsChild>
                <w:div w:id="1937709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4086665">
      <w:bodyDiv w:val="1"/>
      <w:marLeft w:val="0"/>
      <w:marRight w:val="0"/>
      <w:marTop w:val="0"/>
      <w:marBottom w:val="0"/>
      <w:divBdr>
        <w:top w:val="none" w:sz="0" w:space="0" w:color="auto"/>
        <w:left w:val="none" w:sz="0" w:space="0" w:color="auto"/>
        <w:bottom w:val="none" w:sz="0" w:space="0" w:color="auto"/>
        <w:right w:val="none" w:sz="0" w:space="0" w:color="auto"/>
      </w:divBdr>
      <w:divsChild>
        <w:div w:id="16976422">
          <w:marLeft w:val="0"/>
          <w:marRight w:val="0"/>
          <w:marTop w:val="0"/>
          <w:marBottom w:val="0"/>
          <w:divBdr>
            <w:top w:val="none" w:sz="0" w:space="0" w:color="auto"/>
            <w:left w:val="none" w:sz="0" w:space="0" w:color="auto"/>
            <w:bottom w:val="none" w:sz="0" w:space="0" w:color="auto"/>
            <w:right w:val="none" w:sz="0" w:space="0" w:color="auto"/>
          </w:divBdr>
        </w:div>
        <w:div w:id="16546744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1" Type="http://schemas.openxmlformats.org/officeDocument/2006/relationships/hyperlink" Target="http://relatoria.colombiacompra.gov.co/busqueda/concepto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4d0aff64a573d8785e6a72518a5ad9d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36a2f457a6205ac8ec841d28bbb076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2.xml><?xml version="1.0" encoding="utf-8"?>
<ds:datastoreItem xmlns:ds="http://schemas.openxmlformats.org/officeDocument/2006/customXml" ds:itemID="{A6531237-C176-4595-9494-449A98B1F907}">
  <ds:schemaRefs>
    <ds:schemaRef ds:uri="http://schemas.microsoft.com/office/2006/metadata/properties"/>
    <ds:schemaRef ds:uri="http://schemas.microsoft.com/office/infopath/2007/PartnerControls"/>
    <ds:schemaRef ds:uri="9d85dbaf-23eb-4e57-a637-93dcacc8b1a1"/>
    <ds:schemaRef ds:uri="a6cb9e4b-f1d1-4245-83ec-6cad768d538a"/>
  </ds:schemaRefs>
</ds:datastoreItem>
</file>

<file path=customXml/itemProps3.xml><?xml version="1.0" encoding="utf-8"?>
<ds:datastoreItem xmlns:ds="http://schemas.openxmlformats.org/officeDocument/2006/customXml" ds:itemID="{133D5DBE-87A6-4EEA-BF86-D395C4FFC5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5D65B01-9C9B-4F11-9EBC-CE5AFB3EC8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2</TotalTime>
  <Pages>19</Pages>
  <Words>6879</Words>
  <Characters>37840</Characters>
  <Application>Microsoft Office Word</Application>
  <DocSecurity>0</DocSecurity>
  <Lines>315</Lines>
  <Paragraphs>89</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44630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subject/>
  <dc:creator>Ximena Alejandra Cabezas Valencia</dc:creator>
  <cp:keywords/>
  <dc:description/>
  <cp:lastModifiedBy>Edwin Johan Chocontá Quintero</cp:lastModifiedBy>
  <cp:revision>3</cp:revision>
  <dcterms:created xsi:type="dcterms:W3CDTF">2022-08-04T14:52:00Z</dcterms:created>
  <dcterms:modified xsi:type="dcterms:W3CDTF">2022-08-16T15:12:00Z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