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E577" w14:textId="711EDC1B" w:rsidR="000C0444" w:rsidRDefault="002411DE" w:rsidP="000277A2">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3947551"/>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p w14:paraId="47EEE62E" w14:textId="77777777" w:rsidR="000277A2" w:rsidRPr="000277A2" w:rsidRDefault="000277A2" w:rsidP="000277A2">
      <w:pPr>
        <w:jc w:val="right"/>
        <w:rPr>
          <w:rFonts w:ascii="Arial" w:eastAsia="Calibri" w:hAnsi="Arial" w:cs="Arial"/>
          <w:b/>
          <w:color w:val="000000" w:themeColor="text1"/>
          <w:sz w:val="20"/>
          <w:szCs w:val="20"/>
          <w:lang w:val="es-ES_tradnl"/>
        </w:rPr>
      </w:pPr>
    </w:p>
    <w:bookmarkEnd w:id="3"/>
    <w:p w14:paraId="4D94176F" w14:textId="77777777" w:rsidR="0011452E" w:rsidRPr="00E858D2" w:rsidRDefault="0011452E" w:rsidP="0011452E">
      <w:pPr>
        <w:jc w:val="both"/>
        <w:rPr>
          <w:rFonts w:ascii="Arial" w:eastAsia="Calibri" w:hAnsi="Arial" w:cs="Arial"/>
          <w:b/>
          <w:sz w:val="22"/>
          <w:lang w:val="es-ES_tradnl"/>
        </w:rPr>
      </w:pPr>
    </w:p>
    <w:p w14:paraId="4553C974" w14:textId="77777777" w:rsidR="0011452E" w:rsidRPr="00E858D2" w:rsidRDefault="0011452E" w:rsidP="0011452E">
      <w:pPr>
        <w:jc w:val="both"/>
        <w:rPr>
          <w:rFonts w:ascii="Arial" w:eastAsia="Calibri" w:hAnsi="Arial" w:cs="Arial"/>
          <w:b/>
          <w:sz w:val="22"/>
          <w:lang w:val="es-ES_tradnl"/>
        </w:rPr>
      </w:pPr>
      <w:r w:rsidRPr="00E858D2">
        <w:rPr>
          <w:rFonts w:ascii="Arial" w:eastAsia="Calibri" w:hAnsi="Arial" w:cs="Arial"/>
          <w:b/>
          <w:sz w:val="22"/>
          <w:lang w:val="es-ES_tradnl"/>
        </w:rPr>
        <w:t>DOCUMENTOS TIPO – Fundamento normativo – Ley 2022 de 2020</w:t>
      </w:r>
    </w:p>
    <w:p w14:paraId="3A642F99" w14:textId="77777777" w:rsidR="0011452E" w:rsidRPr="00E858D2" w:rsidRDefault="0011452E" w:rsidP="0011452E">
      <w:pPr>
        <w:jc w:val="both"/>
        <w:rPr>
          <w:rFonts w:ascii="Arial" w:eastAsia="Calibri" w:hAnsi="Arial" w:cs="Arial"/>
          <w:b/>
          <w:sz w:val="22"/>
          <w:lang w:val="es-ES_tradnl"/>
        </w:rPr>
      </w:pPr>
    </w:p>
    <w:p w14:paraId="3082CCDC" w14:textId="7CC635EF" w:rsidR="0011452E" w:rsidRPr="00E858D2" w:rsidRDefault="0011452E" w:rsidP="0011452E">
      <w:pPr>
        <w:jc w:val="both"/>
        <w:rPr>
          <w:rFonts w:ascii="Arial" w:eastAsia="Calibri" w:hAnsi="Arial" w:cs="Arial"/>
          <w:sz w:val="20"/>
          <w:szCs w:val="20"/>
          <w:lang w:val="es-ES_tradnl"/>
        </w:rPr>
      </w:pPr>
      <w:r w:rsidRPr="00E858D2">
        <w:rPr>
          <w:rFonts w:ascii="Arial" w:eastAsia="Calibri" w:hAnsi="Arial" w:cs="Arial"/>
          <w:sz w:val="20"/>
          <w:szCs w:val="20"/>
          <w:lang w:val="es-ES_tradnl"/>
        </w:rPr>
        <w:t xml:space="preserve">[…], debe tenerse en cuenta que la </w:t>
      </w:r>
      <w:r w:rsidRPr="00E858D2">
        <w:rPr>
          <w:rFonts w:ascii="Arial" w:eastAsia="Calibri" w:hAnsi="Arial" w:cs="Arial"/>
          <w:sz w:val="20"/>
          <w:szCs w:val="20"/>
          <w:lang w:val="es-ES_tradnl"/>
        </w:rPr>
        <w:t xml:space="preserve">Ley 2022 de 2020 fue sancionada por el Presidente de la República el 22 de julio, por lo que su expedición es </w:t>
      </w:r>
      <w:proofErr w:type="spellStart"/>
      <w:proofErr w:type="gramStart"/>
      <w:r w:rsidRPr="00E858D2">
        <w:rPr>
          <w:rFonts w:ascii="Arial" w:eastAsia="Calibri" w:hAnsi="Arial" w:cs="Arial"/>
          <w:sz w:val="20"/>
          <w:szCs w:val="20"/>
          <w:lang w:val="es-ES_tradnl"/>
        </w:rPr>
        <w:t>reciente.En</w:t>
      </w:r>
      <w:proofErr w:type="spellEnd"/>
      <w:proofErr w:type="gramEnd"/>
      <w:r w:rsidRPr="00E858D2">
        <w:rPr>
          <w:rFonts w:ascii="Arial" w:eastAsia="Calibri" w:hAnsi="Arial" w:cs="Arial"/>
          <w:sz w:val="20"/>
          <w:szCs w:val="20"/>
          <w:lang w:val="es-ES_tradnl"/>
        </w:rPr>
        <w:t xml:space="preserve">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ascii="Arial" w:eastAsia="Calibri" w:hAnsi="Arial" w:cs="Arial"/>
          <w:sz w:val="20"/>
          <w:szCs w:val="20"/>
          <w:lang w:val="es-ES_tradnl"/>
        </w:rPr>
        <w:t>entró en vigencia</w:t>
      </w:r>
      <w:proofErr w:type="gramEnd"/>
      <w:r w:rsidRPr="00E858D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w:t>
      </w:r>
      <w:r w:rsidRPr="00E858D2">
        <w:rPr>
          <w:rFonts w:ascii="Arial" w:eastAsia="Calibri" w:hAnsi="Arial" w:cs="Arial"/>
          <w:sz w:val="20"/>
          <w:szCs w:val="20"/>
          <w:lang w:val="es-ES_tradnl"/>
        </w:rPr>
        <w:t>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4F9EA51" w14:textId="77777777" w:rsidR="0011452E" w:rsidRPr="00E858D2" w:rsidRDefault="0011452E" w:rsidP="0011452E">
      <w:pPr>
        <w:jc w:val="both"/>
        <w:rPr>
          <w:rFonts w:ascii="Arial" w:eastAsia="Calibri" w:hAnsi="Arial" w:cs="Arial"/>
          <w:sz w:val="20"/>
          <w:szCs w:val="20"/>
          <w:lang w:val="es-ES_tradnl"/>
        </w:rPr>
      </w:pPr>
    </w:p>
    <w:p w14:paraId="229EE976" w14:textId="77777777" w:rsidR="0011452E" w:rsidRPr="00E858D2" w:rsidRDefault="0011452E" w:rsidP="0011452E">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456F2B02" w14:textId="77777777" w:rsidR="0011452E" w:rsidRPr="00E858D2" w:rsidRDefault="0011452E" w:rsidP="0011452E">
      <w:pPr>
        <w:jc w:val="both"/>
        <w:rPr>
          <w:rFonts w:ascii="Arial" w:eastAsia="Calibri" w:hAnsi="Arial" w:cs="Arial"/>
          <w:sz w:val="20"/>
          <w:szCs w:val="20"/>
          <w:lang w:val="es-ES_tradnl"/>
        </w:rPr>
      </w:pPr>
    </w:p>
    <w:p w14:paraId="398C2EF2" w14:textId="77777777" w:rsidR="008E71A8" w:rsidRPr="008E71A8" w:rsidRDefault="008E71A8" w:rsidP="008E71A8">
      <w:pPr>
        <w:jc w:val="both"/>
        <w:rPr>
          <w:rFonts w:ascii="Arial" w:eastAsia="Calibri" w:hAnsi="Arial" w:cs="Arial"/>
          <w:sz w:val="20"/>
          <w:szCs w:val="20"/>
          <w:lang w:val="es-ES_tradnl"/>
        </w:rPr>
      </w:pPr>
      <w:r w:rsidRPr="008E71A8">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sin perjuicio de lo que se explicará en relación con el artículo 56 de la Ley 2195 de 2022,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10022CED" w14:textId="77777777" w:rsidR="0011452E" w:rsidRPr="008104E6" w:rsidRDefault="0011452E" w:rsidP="0011452E">
      <w:pPr>
        <w:jc w:val="both"/>
        <w:rPr>
          <w:rFonts w:ascii="Arial" w:eastAsia="Calibri" w:hAnsi="Arial" w:cs="Arial"/>
          <w:sz w:val="22"/>
          <w:szCs w:val="22"/>
          <w:lang w:val="es-ES_tradnl"/>
        </w:rPr>
      </w:pPr>
    </w:p>
    <w:p w14:paraId="4FDA78C8" w14:textId="77777777" w:rsidR="008104E6" w:rsidRPr="008104E6" w:rsidRDefault="008104E6" w:rsidP="008104E6">
      <w:pPr>
        <w:jc w:val="both"/>
        <w:rPr>
          <w:rFonts w:ascii="Arial" w:eastAsia="Calibri" w:hAnsi="Arial" w:cs="Arial"/>
          <w:b/>
          <w:sz w:val="22"/>
          <w:szCs w:val="22"/>
          <w:lang w:val="es-ES_tradnl"/>
        </w:rPr>
      </w:pPr>
      <w:r w:rsidRPr="008104E6">
        <w:rPr>
          <w:rFonts w:ascii="Arial" w:eastAsia="Calibri" w:hAnsi="Arial" w:cs="Arial"/>
          <w:b/>
          <w:sz w:val="22"/>
          <w:szCs w:val="22"/>
          <w:lang w:val="es-ES_tradnl"/>
        </w:rPr>
        <w:t>LEY 2195 DE 2022 – Cambios en la implementación de documentos tipo</w:t>
      </w:r>
    </w:p>
    <w:p w14:paraId="0B586601" w14:textId="77777777" w:rsidR="008104E6" w:rsidRPr="00E36D20" w:rsidRDefault="008104E6" w:rsidP="008104E6">
      <w:pPr>
        <w:jc w:val="both"/>
        <w:rPr>
          <w:rFonts w:ascii="Arial" w:hAnsi="Arial" w:cs="Arial"/>
          <w:noProof/>
          <w:color w:val="000000" w:themeColor="text1"/>
          <w:sz w:val="20"/>
          <w:szCs w:val="20"/>
          <w:lang w:val="es-ES_tradnl"/>
        </w:rPr>
      </w:pPr>
    </w:p>
    <w:p w14:paraId="75B86301" w14:textId="77777777" w:rsidR="008E71A8" w:rsidRDefault="008E71A8" w:rsidP="008104E6">
      <w:pPr>
        <w:tabs>
          <w:tab w:val="left" w:pos="0"/>
        </w:tabs>
        <w:spacing w:after="120"/>
        <w:jc w:val="both"/>
        <w:rPr>
          <w:rFonts w:ascii="Arial" w:eastAsia="Calibri" w:hAnsi="Arial" w:cs="Arial"/>
          <w:bCs/>
          <w:sz w:val="20"/>
          <w:szCs w:val="20"/>
          <w:lang w:val="es-ES_tradnl"/>
        </w:rPr>
      </w:pPr>
      <w:r w:rsidRPr="008E71A8">
        <w:rPr>
          <w:rFonts w:ascii="Arial" w:eastAsia="Calibri" w:hAnsi="Arial" w:cs="Arial"/>
          <w:bCs/>
          <w:sz w:val="20"/>
          <w:szCs w:val="20"/>
          <w:lang w:val="es-ES_tradnl"/>
        </w:rPr>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w:t>
      </w:r>
      <w:r w:rsidRPr="008E71A8">
        <w:rPr>
          <w:rFonts w:ascii="Arial" w:eastAsia="Calibri" w:hAnsi="Arial" w:cs="Arial"/>
          <w:bCs/>
          <w:sz w:val="20"/>
          <w:szCs w:val="20"/>
          <w:lang w:val="es-ES_tradnl"/>
        </w:rPr>
        <w:lastRenderedPageBreak/>
        <w:t xml:space="preserve">tratándose de objetos cobijados por documentos tipo, los mismos deberán ser contratados aplicando tales pliegos tipo y las disposiciones del EGCAP. </w:t>
      </w:r>
    </w:p>
    <w:p w14:paraId="37130D66" w14:textId="77777777" w:rsidR="008104E6" w:rsidRDefault="008104E6" w:rsidP="0011452E">
      <w:pPr>
        <w:jc w:val="both"/>
        <w:rPr>
          <w:rFonts w:ascii="Arial" w:eastAsia="Calibri" w:hAnsi="Arial" w:cs="Arial"/>
          <w:b/>
          <w:sz w:val="22"/>
          <w:lang w:val="es-ES_tradnl"/>
        </w:rPr>
      </w:pPr>
    </w:p>
    <w:p w14:paraId="3E8240D6" w14:textId="718BFB8F" w:rsidR="0011452E" w:rsidRPr="00E858D2" w:rsidRDefault="0011452E" w:rsidP="0011452E">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Documentos tipo – Estatuto General de Contratación de la Administración Pública</w:t>
      </w:r>
    </w:p>
    <w:p w14:paraId="25FE292F" w14:textId="77777777" w:rsidR="0011452E" w:rsidRPr="00E858D2" w:rsidRDefault="0011452E" w:rsidP="0011452E">
      <w:pPr>
        <w:jc w:val="both"/>
        <w:rPr>
          <w:rFonts w:ascii="Arial" w:eastAsia="Calibri" w:hAnsi="Arial" w:cs="Arial"/>
          <w:b/>
          <w:sz w:val="22"/>
          <w:lang w:val="es-ES_tradnl"/>
        </w:rPr>
      </w:pPr>
    </w:p>
    <w:p w14:paraId="41240527" w14:textId="77777777" w:rsidR="008E71A8" w:rsidRPr="008E71A8" w:rsidRDefault="008E71A8" w:rsidP="008E71A8">
      <w:pPr>
        <w:jc w:val="both"/>
        <w:rPr>
          <w:rFonts w:ascii="Arial" w:eastAsia="Calibri" w:hAnsi="Arial" w:cs="Arial"/>
          <w:bCs/>
          <w:sz w:val="20"/>
          <w:szCs w:val="22"/>
          <w:lang w:val="es-ES_tradnl"/>
        </w:rPr>
      </w:pPr>
      <w:r w:rsidRPr="008E71A8">
        <w:rPr>
          <w:rFonts w:ascii="Arial" w:eastAsia="Calibri" w:hAnsi="Arial" w:cs="Arial"/>
          <w:bCs/>
          <w:sz w:val="20"/>
          <w:szCs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8E71A8">
        <w:rPr>
          <w:rFonts w:ascii="Arial" w:eastAsia="Calibri" w:hAnsi="Arial" w:cs="Arial"/>
          <w:bCs/>
          <w:sz w:val="20"/>
          <w:szCs w:val="22"/>
          <w:lang w:val="es-ES_tradnl"/>
        </w:rPr>
        <w:t>ii</w:t>
      </w:r>
      <w:proofErr w:type="spellEnd"/>
      <w:r w:rsidRPr="008E71A8">
        <w:rPr>
          <w:rFonts w:ascii="Arial" w:eastAsia="Calibri" w:hAnsi="Arial" w:cs="Arial"/>
          <w:bCs/>
          <w:sz w:val="20"/>
          <w:szCs w:val="22"/>
          <w:lang w:val="es-ES_tradnl"/>
        </w:rPr>
        <w:t xml:space="preserve">) patrimonios autónomos o </w:t>
      </w:r>
      <w:proofErr w:type="spellStart"/>
      <w:r w:rsidRPr="008E71A8">
        <w:rPr>
          <w:rFonts w:ascii="Arial" w:eastAsia="Calibri" w:hAnsi="Arial" w:cs="Arial"/>
          <w:bCs/>
          <w:sz w:val="20"/>
          <w:szCs w:val="22"/>
          <w:lang w:val="es-ES_tradnl"/>
        </w:rPr>
        <w:t>iii</w:t>
      </w:r>
      <w:proofErr w:type="spellEnd"/>
      <w:r w:rsidRPr="008E71A8">
        <w:rPr>
          <w:rFonts w:ascii="Arial" w:eastAsia="Calibri" w:hAnsi="Arial" w:cs="Arial"/>
          <w:bCs/>
          <w:sz w:val="20"/>
          <w:szCs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4757706" w14:textId="77777777" w:rsidR="0011452E" w:rsidRPr="00E858D2" w:rsidRDefault="0011452E" w:rsidP="0011452E">
      <w:pPr>
        <w:spacing w:line="276" w:lineRule="auto"/>
        <w:jc w:val="both"/>
        <w:rPr>
          <w:rFonts w:ascii="Arial" w:hAnsi="Arial" w:cs="Arial"/>
          <w:noProof/>
          <w:sz w:val="22"/>
          <w:lang w:val="es-ES_tradnl"/>
        </w:rPr>
      </w:pPr>
    </w:p>
    <w:p w14:paraId="72396605" w14:textId="52C0A451" w:rsidR="008C6924" w:rsidRDefault="008C6924" w:rsidP="008104E6">
      <w:pPr>
        <w:tabs>
          <w:tab w:val="left" w:pos="0"/>
        </w:tabs>
        <w:spacing w:after="120"/>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LEY 2195 DE 2022 – Artículo 56 –</w:t>
      </w:r>
      <w:r w:rsidR="008104E6" w:rsidRPr="00FC3C59">
        <w:rPr>
          <w:rFonts w:ascii="Arial" w:eastAsia="Calibri" w:hAnsi="Arial" w:cs="Arial"/>
          <w:b/>
          <w:sz w:val="20"/>
          <w:szCs w:val="20"/>
          <w:lang w:val="es-ES_tradnl"/>
        </w:rPr>
        <w:t xml:space="preserve"> </w:t>
      </w:r>
      <w:r w:rsidR="008104E6" w:rsidRPr="008104E6">
        <w:rPr>
          <w:rFonts w:ascii="Arial" w:eastAsia="Calibri" w:hAnsi="Arial" w:cs="Arial"/>
          <w:b/>
          <w:sz w:val="22"/>
          <w:szCs w:val="22"/>
          <w:lang w:val="es-ES_tradnl"/>
        </w:rPr>
        <w:t>Empresas Prestadoras de servicios públicos domiciliarios</w:t>
      </w:r>
      <w:r w:rsidR="008104E6" w:rsidRPr="00FC3C59">
        <w:rPr>
          <w:rFonts w:ascii="Arial" w:eastAsia="Calibri" w:hAnsi="Arial" w:cs="Arial"/>
          <w:b/>
          <w:sz w:val="20"/>
          <w:szCs w:val="20"/>
          <w:lang w:val="es-ES_tradnl"/>
        </w:rPr>
        <w:t xml:space="preserve"> </w:t>
      </w:r>
      <w:r w:rsidR="008104E6" w:rsidRPr="00864E72">
        <w:rPr>
          <w:rFonts w:ascii="Arial" w:eastAsia="Calibri" w:hAnsi="Arial" w:cs="Arial"/>
          <w:b/>
          <w:color w:val="000000" w:themeColor="text1"/>
          <w:sz w:val="22"/>
          <w:lang w:val="es-ES_tradnl"/>
        </w:rPr>
        <w:t>–</w:t>
      </w:r>
      <w:r w:rsidR="008104E6">
        <w:rPr>
          <w:rFonts w:ascii="Arial" w:eastAsia="Calibri" w:hAnsi="Arial" w:cs="Arial"/>
          <w:b/>
          <w:color w:val="000000" w:themeColor="text1"/>
          <w:sz w:val="22"/>
          <w:lang w:val="es-ES_tradnl"/>
        </w:rPr>
        <w:t xml:space="preserve"> Aplicación</w:t>
      </w:r>
    </w:p>
    <w:p w14:paraId="436C9B61" w14:textId="77777777" w:rsidR="008104E6" w:rsidRPr="008104E6" w:rsidRDefault="008104E6" w:rsidP="008104E6">
      <w:pPr>
        <w:tabs>
          <w:tab w:val="left" w:pos="0"/>
        </w:tabs>
        <w:jc w:val="both"/>
        <w:rPr>
          <w:rFonts w:ascii="Arial" w:eastAsia="Calibri" w:hAnsi="Arial" w:cs="Arial"/>
          <w:b/>
          <w:sz w:val="20"/>
          <w:szCs w:val="20"/>
          <w:lang w:val="es-ES_tradnl"/>
        </w:rPr>
      </w:pPr>
    </w:p>
    <w:p w14:paraId="3BBE8A62" w14:textId="5AED1C4A" w:rsidR="008E71A8" w:rsidRPr="008E71A8" w:rsidRDefault="008E71A8" w:rsidP="008E71A8">
      <w:pPr>
        <w:jc w:val="both"/>
        <w:rPr>
          <w:rFonts w:ascii="Arial" w:eastAsia="Calibri" w:hAnsi="Arial" w:cs="Arial"/>
          <w:bCs/>
          <w:sz w:val="20"/>
          <w:szCs w:val="22"/>
          <w:lang w:val="es-ES_tradnl"/>
        </w:rPr>
      </w:pPr>
      <w:r>
        <w:rPr>
          <w:rFonts w:ascii="Arial" w:eastAsia="Calibri" w:hAnsi="Arial" w:cs="Arial"/>
          <w:bCs/>
          <w:sz w:val="20"/>
          <w:szCs w:val="22"/>
          <w:lang w:val="es-ES_tradnl"/>
        </w:rPr>
        <w:t>E</w:t>
      </w:r>
      <w:r w:rsidRPr="008E71A8">
        <w:rPr>
          <w:rFonts w:ascii="Arial" w:eastAsia="Calibri" w:hAnsi="Arial" w:cs="Arial"/>
          <w:bCs/>
          <w:sz w:val="20"/>
          <w:szCs w:val="22"/>
          <w:lang w:val="es-ES_tradnl"/>
        </w:rPr>
        <w:t xml:space="preserve">s preciso señalar que las empresas prestadoras de servicios públicos domiciliarios al contar con un régimen contractual distinto al establecido en el Estatuto General de Contratación de la Administración Pública, esto es, al regirse por el derecho privado conforme se expuso en el numeral 2.2, serán destinatarias del artículo 56 de la Ley 2195 de 2022, siempre que se cumplan con los presupuestos para su aplicación. Con las excepciones descritas en el parágrafo </w:t>
      </w:r>
      <w:r w:rsidRPr="008E71A8">
        <w:rPr>
          <w:rFonts w:ascii="Arial" w:eastAsia="Calibri" w:hAnsi="Arial" w:cs="Arial"/>
          <w:bCs/>
          <w:i/>
          <w:iCs/>
          <w:sz w:val="20"/>
          <w:szCs w:val="22"/>
          <w:lang w:val="es-ES_tradnl"/>
        </w:rPr>
        <w:t>ibidem</w:t>
      </w:r>
      <w:r w:rsidRPr="008E71A8">
        <w:rPr>
          <w:rFonts w:ascii="Arial" w:eastAsia="Calibri" w:hAnsi="Arial" w:cs="Arial"/>
          <w:bCs/>
          <w:sz w:val="20"/>
          <w:szCs w:val="22"/>
          <w:lang w:val="es-ES_tradnl"/>
        </w:rPr>
        <w:t xml:space="preserve">, la obligación de aplicar documentos tipo, y en general, las disposiciones del Estatuto General de Contratación de la Administración Pública se extienden no solamente a la celebración del contrato o convenio propiamente dicho, sino también a los compromisos contractuales derivados, según lo expresamente consagrado en el segundo inciso del artículo 56 de la ley citada. Lo anterior con independencia del tipo de recursos que se utilicen para su ejecución, puesto que la norma no hace distinción alguna sobre el particular. </w:t>
      </w:r>
    </w:p>
    <w:p w14:paraId="7E0FD3D2" w14:textId="77777777" w:rsidR="000A1139" w:rsidRDefault="000A1139" w:rsidP="008104E6">
      <w:pPr>
        <w:jc w:val="both"/>
        <w:rPr>
          <w:rFonts w:ascii="Arial" w:eastAsia="Calibri" w:hAnsi="Arial" w:cs="Arial"/>
          <w:bCs/>
          <w:sz w:val="20"/>
          <w:szCs w:val="22"/>
          <w:lang w:val="es-ES_tradnl"/>
        </w:rPr>
      </w:pPr>
    </w:p>
    <w:p w14:paraId="377BCFC3" w14:textId="77777777" w:rsidR="000A1139" w:rsidRPr="000A1139" w:rsidRDefault="000A1139" w:rsidP="000A1139">
      <w:pPr>
        <w:tabs>
          <w:tab w:val="left" w:pos="0"/>
        </w:tabs>
        <w:spacing w:after="120"/>
        <w:jc w:val="both"/>
        <w:rPr>
          <w:rFonts w:ascii="Arial" w:eastAsia="Calibri" w:hAnsi="Arial" w:cs="Arial"/>
          <w:bCs/>
          <w:sz w:val="20"/>
          <w:szCs w:val="22"/>
          <w:lang w:val="es-ES_tradnl"/>
        </w:rPr>
      </w:pPr>
      <w:r w:rsidRPr="000A1139">
        <w:rPr>
          <w:rFonts w:ascii="Arial" w:eastAsia="Calibri" w:hAnsi="Arial" w:cs="Arial"/>
          <w:bCs/>
          <w:sz w:val="20"/>
          <w:szCs w:val="22"/>
          <w:lang w:val="es-ES_tradnl"/>
        </w:rPr>
        <w:t>Así, para determinar si se encuentran o no obligados a aplicar documentos tipo, deberán verificar si el objeto contractual a contratar se encuentra cobijado por algún documento tipo existente. De no ser así, no solo no resultaría obligatoria la aplicación de los documentos tipo, sino que tampoco habría lugar a la aplicación del EGCAP, debido a que tal medida contemplada en el inciso segundo de la norma en comento está condicionada a la aplicación de los documentos tipo. En el caso de los documentos tipo adoptados por las Resoluciones 248 y 249 de 2020, sin perjuicio de las excepciones previstas en el parágrafo del artículo 56 de la Ley 2195 de 2022, la entidad deberá verificar que</w:t>
      </w:r>
      <w:r w:rsidRPr="000A1139">
        <w:rPr>
          <w:rFonts w:ascii="Arial" w:eastAsia="Calibri" w:hAnsi="Arial" w:cs="Arial"/>
          <w:bCs/>
          <w:sz w:val="20"/>
          <w:szCs w:val="22"/>
          <w:lang w:val="es-ES"/>
        </w:rPr>
        <w:t xml:space="preserve"> se trate de una obra pública de infraestructura de agua potable y saneamiento básico, cuyo proceso de selección deba adelantarse por licitación y que el objeto a contratar esté asociado a alguno de los tipos de obra y actividades señaladas en la </w:t>
      </w:r>
      <w:r w:rsidRPr="000A1139">
        <w:rPr>
          <w:rFonts w:ascii="Arial" w:eastAsia="Calibri" w:hAnsi="Arial" w:cs="Arial"/>
          <w:bCs/>
          <w:sz w:val="20"/>
          <w:szCs w:val="22"/>
        </w:rPr>
        <w:t>«</w:t>
      </w:r>
      <w:r w:rsidRPr="000A1139">
        <w:rPr>
          <w:rFonts w:ascii="Arial" w:eastAsia="Calibri" w:hAnsi="Arial" w:cs="Arial"/>
          <w:bCs/>
          <w:sz w:val="20"/>
          <w:szCs w:val="22"/>
          <w:lang w:val="es-ES"/>
        </w:rPr>
        <w:t>Matriz 1 – Experiencia</w:t>
      </w:r>
      <w:r w:rsidRPr="000A1139">
        <w:rPr>
          <w:rFonts w:ascii="Arial" w:eastAsia="Calibri" w:hAnsi="Arial" w:cs="Arial"/>
          <w:bCs/>
          <w:sz w:val="20"/>
          <w:szCs w:val="22"/>
          <w:lang w:val="es-MX"/>
        </w:rPr>
        <w:t xml:space="preserve">» o a los futuros documentos tipo que se adopten. </w:t>
      </w:r>
    </w:p>
    <w:p w14:paraId="5B1EF950" w14:textId="562698D1" w:rsidR="0011452E" w:rsidRDefault="0011452E" w:rsidP="000A1139">
      <w:pPr>
        <w:tabs>
          <w:tab w:val="left" w:pos="0"/>
          <w:tab w:val="left" w:pos="1650"/>
        </w:tabs>
        <w:spacing w:after="120" w:line="276" w:lineRule="auto"/>
        <w:jc w:val="both"/>
        <w:rPr>
          <w:rFonts w:ascii="Arial" w:eastAsia="Calibri" w:hAnsi="Arial" w:cs="Arial"/>
          <w:b/>
          <w:sz w:val="22"/>
          <w:lang w:val="es-ES_tradnl"/>
        </w:rPr>
      </w:pPr>
    </w:p>
    <w:p w14:paraId="0A0FA656" w14:textId="156CE09A" w:rsidR="00383B2B" w:rsidRDefault="00383B2B" w:rsidP="0011452E">
      <w:pPr>
        <w:tabs>
          <w:tab w:val="left" w:pos="0"/>
        </w:tabs>
        <w:spacing w:after="120" w:line="276" w:lineRule="auto"/>
        <w:jc w:val="both"/>
        <w:rPr>
          <w:rFonts w:ascii="Arial" w:eastAsia="Calibri" w:hAnsi="Arial" w:cs="Arial"/>
          <w:b/>
          <w:sz w:val="22"/>
          <w:lang w:val="es-ES_tradnl"/>
        </w:rPr>
      </w:pPr>
    </w:p>
    <w:p w14:paraId="0CF11FA2" w14:textId="70BD82E1" w:rsidR="00383B2B" w:rsidRDefault="0092117B" w:rsidP="0092117B">
      <w:pPr>
        <w:tabs>
          <w:tab w:val="left" w:pos="0"/>
        </w:tabs>
        <w:spacing w:after="120" w:line="276" w:lineRule="auto"/>
        <w:jc w:val="right"/>
        <w:rPr>
          <w:rFonts w:ascii="Arial" w:eastAsia="Calibri" w:hAnsi="Arial" w:cs="Arial"/>
          <w:b/>
          <w:sz w:val="22"/>
          <w:lang w:val="es-ES_tradnl"/>
        </w:rPr>
      </w:pPr>
      <w:r>
        <w:rPr>
          <w:noProof/>
        </w:rPr>
        <w:lastRenderedPageBreak/>
        <w:drawing>
          <wp:inline distT="0" distB="0" distL="0" distR="0" wp14:anchorId="3152E833" wp14:editId="3D195A49">
            <wp:extent cx="2486025" cy="8191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6025" cy="819150"/>
                    </a:xfrm>
                    <a:prstGeom prst="rect">
                      <a:avLst/>
                    </a:prstGeom>
                  </pic:spPr>
                </pic:pic>
              </a:graphicData>
            </a:graphic>
          </wp:inline>
        </w:drawing>
      </w:r>
    </w:p>
    <w:p w14:paraId="022E4F4D" w14:textId="77777777" w:rsidR="00113952" w:rsidRDefault="00113952" w:rsidP="00C118DB">
      <w:pPr>
        <w:spacing w:line="276" w:lineRule="auto"/>
        <w:jc w:val="both"/>
        <w:rPr>
          <w:rFonts w:ascii="Arial" w:hAnsi="Arial" w:cs="Arial"/>
          <w:noProof/>
          <w:color w:val="000000" w:themeColor="text1"/>
          <w:sz w:val="22"/>
        </w:rPr>
      </w:pPr>
    </w:p>
    <w:p w14:paraId="7DD48F49" w14:textId="570CF0A2"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92117B">
        <w:rPr>
          <w:rFonts w:ascii="Arial" w:hAnsi="Arial" w:cs="Arial"/>
          <w:b/>
          <w:color w:val="000000" w:themeColor="text1"/>
          <w:sz w:val="22"/>
        </w:rPr>
        <w:t>29/07/2022</w:t>
      </w:r>
    </w:p>
    <w:p w14:paraId="6A8A869B" w14:textId="77777777" w:rsidR="00B95C30" w:rsidRPr="00A51520" w:rsidRDefault="00B95C30" w:rsidP="00B95C30">
      <w:pPr>
        <w:jc w:val="both"/>
        <w:rPr>
          <w:rFonts w:ascii="Arial" w:hAnsi="Arial" w:cs="Arial"/>
          <w:b/>
          <w:color w:val="000000" w:themeColor="text1"/>
          <w:sz w:val="22"/>
          <w:lang w:val="pt-BR"/>
        </w:rPr>
      </w:pP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4BCE3E9D" w:rsidR="00B95C30" w:rsidRPr="00A51520" w:rsidRDefault="00B95C30" w:rsidP="00B95C30">
      <w:pPr>
        <w:jc w:val="both"/>
        <w:rPr>
          <w:rFonts w:ascii="Arial" w:eastAsia="Calibri" w:hAnsi="Arial" w:cs="Arial"/>
          <w:color w:val="000000" w:themeColor="text1"/>
          <w:sz w:val="22"/>
        </w:rPr>
      </w:pPr>
      <w:bookmarkStart w:id="4" w:name="_Hlk100051121"/>
      <w:r w:rsidRPr="00A51520">
        <w:rPr>
          <w:rFonts w:ascii="Arial" w:eastAsia="Calibri" w:hAnsi="Arial" w:cs="Arial"/>
          <w:color w:val="000000" w:themeColor="text1"/>
          <w:sz w:val="22"/>
        </w:rPr>
        <w:t>Señor</w:t>
      </w:r>
      <w:r w:rsidR="00F14618">
        <w:rPr>
          <w:rFonts w:ascii="Arial" w:eastAsia="Calibri" w:hAnsi="Arial" w:cs="Arial"/>
          <w:color w:val="000000" w:themeColor="text1"/>
          <w:sz w:val="22"/>
        </w:rPr>
        <w:t>a</w:t>
      </w:r>
    </w:p>
    <w:p w14:paraId="798A20AC" w14:textId="79E23898" w:rsidR="005F5F37" w:rsidRPr="00A51520" w:rsidRDefault="00782354"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Vanessa Catalina Bermeo </w:t>
      </w:r>
      <w:r w:rsidR="00F650A2">
        <w:rPr>
          <w:rFonts w:ascii="Arial" w:eastAsia="Calibri" w:hAnsi="Arial" w:cs="Arial"/>
          <w:b/>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38FDAEAA"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BA2D78">
        <w:rPr>
          <w:rFonts w:ascii="Arial" w:eastAsia="Calibri" w:hAnsi="Arial" w:cs="Arial"/>
          <w:b/>
          <w:bCs/>
          <w:color w:val="000000" w:themeColor="text1"/>
          <w:sz w:val="22"/>
          <w:lang w:val="pt-BR"/>
        </w:rPr>
        <w:t>4</w:t>
      </w:r>
      <w:r w:rsidR="00782354">
        <w:rPr>
          <w:rFonts w:ascii="Arial" w:eastAsia="Calibri" w:hAnsi="Arial" w:cs="Arial"/>
          <w:b/>
          <w:bCs/>
          <w:color w:val="000000" w:themeColor="text1"/>
          <w:sz w:val="22"/>
          <w:lang w:val="pt-BR"/>
        </w:rPr>
        <w:t>88</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3138A4">
        <w:trPr>
          <w:trHeight w:val="1735"/>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1088CC74" w:rsidR="00B95C30" w:rsidRPr="003138A4" w:rsidRDefault="00895FD3" w:rsidP="00F90FA8">
            <w:pPr>
              <w:tabs>
                <w:tab w:val="left" w:pos="0"/>
              </w:tabs>
              <w:jc w:val="both"/>
              <w:rPr>
                <w:rFonts w:ascii="Arial" w:eastAsia="Calibri" w:hAnsi="Arial" w:cs="Arial"/>
                <w:bCs/>
                <w:sz w:val="22"/>
                <w:lang w:val="es-ES_tradnl"/>
              </w:rPr>
            </w:pPr>
            <w:r w:rsidRPr="00E858D2">
              <w:rPr>
                <w:rFonts w:ascii="Arial" w:eastAsia="Calibri" w:hAnsi="Arial" w:cs="Arial"/>
                <w:bCs/>
                <w:sz w:val="22"/>
                <w:lang w:val="es-ES_tradnl"/>
              </w:rPr>
              <w:t>DOCUMENTOS TIPO – Fundamento normativo – Ley 2022 de 2020</w:t>
            </w:r>
            <w:r w:rsidR="008D30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DOCUMENTOS TIPO – Ámbito de aplicación / </w:t>
            </w:r>
            <w:r w:rsidR="006504EC" w:rsidRPr="006504EC">
              <w:rPr>
                <w:rFonts w:ascii="Arial" w:eastAsia="Calibri" w:hAnsi="Arial" w:cs="Arial"/>
                <w:bCs/>
                <w:sz w:val="22"/>
                <w:lang w:val="es-ES_tradnl"/>
              </w:rPr>
              <w:t>LEY 2195 DE 2022 – Cambios en la implementación de documentos tipo</w:t>
            </w:r>
            <w:r w:rsidR="006504EC">
              <w:rPr>
                <w:rFonts w:ascii="Arial" w:eastAsia="Calibri" w:hAnsi="Arial" w:cs="Arial"/>
                <w:bCs/>
                <w:sz w:val="22"/>
                <w:lang w:val="es-ES_tradnl"/>
              </w:rPr>
              <w:t xml:space="preserve"> /</w:t>
            </w:r>
            <w:r w:rsidR="003138A4">
              <w:rPr>
                <w:rFonts w:ascii="Arial" w:eastAsia="Calibri" w:hAnsi="Arial" w:cs="Arial"/>
                <w:b/>
                <w:bCs/>
                <w:sz w:val="22"/>
                <w:lang w:val="es-ES_tradnl"/>
              </w:rPr>
              <w:t xml:space="preserve"> </w:t>
            </w:r>
            <w:r w:rsidRPr="00E858D2">
              <w:rPr>
                <w:rFonts w:ascii="Arial" w:eastAsia="Calibri" w:hAnsi="Arial" w:cs="Arial"/>
                <w:bCs/>
                <w:sz w:val="22"/>
                <w:lang w:val="es-ES_tradnl"/>
              </w:rPr>
              <w:t xml:space="preserve">LEY 2195 DE 2022 – Artículo 56 – </w:t>
            </w:r>
            <w:r w:rsidRPr="0067060F">
              <w:rPr>
                <w:rFonts w:ascii="Arial" w:eastAsia="Calibri" w:hAnsi="Arial" w:cs="Arial"/>
                <w:bCs/>
                <w:sz w:val="22"/>
                <w:lang w:val="es-ES_tradnl"/>
              </w:rPr>
              <w:t xml:space="preserve">Documentos tipo – Estatuto General </w:t>
            </w:r>
            <w:r w:rsidRPr="006504EC">
              <w:rPr>
                <w:rFonts w:ascii="Arial" w:eastAsia="Calibri" w:hAnsi="Arial" w:cs="Arial"/>
                <w:bCs/>
                <w:sz w:val="22"/>
                <w:lang w:val="es-ES_tradnl"/>
              </w:rPr>
              <w:t xml:space="preserve">de Contratación de la Administración Pública / </w:t>
            </w:r>
            <w:r w:rsidR="003138A4" w:rsidRPr="006504EC">
              <w:rPr>
                <w:rFonts w:ascii="Arial" w:eastAsia="Calibri" w:hAnsi="Arial" w:cs="Arial"/>
                <w:sz w:val="22"/>
                <w:lang w:val="es-ES_tradnl"/>
              </w:rPr>
              <w:t xml:space="preserve">LEY 2195 DE 2022 – Artículo 56 – </w:t>
            </w:r>
            <w:r w:rsidR="006504EC" w:rsidRPr="006504EC">
              <w:rPr>
                <w:rFonts w:ascii="Arial" w:eastAsia="Calibri" w:hAnsi="Arial" w:cs="Arial"/>
                <w:bCs/>
                <w:sz w:val="22"/>
                <w:szCs w:val="22"/>
                <w:lang w:val="es-ES_tradnl"/>
              </w:rPr>
              <w:t>Empresas Prestadoras de servicios públicos domiciliarios</w:t>
            </w:r>
            <w:r w:rsidR="006504EC" w:rsidRPr="006504EC">
              <w:rPr>
                <w:rFonts w:ascii="Arial" w:eastAsia="Calibri" w:hAnsi="Arial" w:cs="Arial"/>
                <w:bCs/>
                <w:sz w:val="20"/>
                <w:szCs w:val="20"/>
                <w:lang w:val="es-ES_tradnl"/>
              </w:rPr>
              <w:t xml:space="preserve"> </w:t>
            </w:r>
            <w:r w:rsidR="006504EC" w:rsidRPr="006504EC">
              <w:rPr>
                <w:rFonts w:ascii="Arial" w:eastAsia="Calibri" w:hAnsi="Arial" w:cs="Arial"/>
                <w:bCs/>
                <w:color w:val="000000" w:themeColor="text1"/>
                <w:sz w:val="22"/>
                <w:lang w:val="es-ES_tradnl"/>
              </w:rPr>
              <w:t>– Aplicación</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7103BDCB"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782354">
              <w:rPr>
                <w:rFonts w:ascii="Arial" w:eastAsia="Calibri" w:hAnsi="Arial" w:cs="Arial"/>
                <w:color w:val="000000" w:themeColor="text1"/>
                <w:sz w:val="22"/>
                <w:lang w:val="es-ES_tradnl"/>
              </w:rPr>
              <w:t xml:space="preserve"> </w:t>
            </w:r>
            <w:r w:rsidR="00782354" w:rsidRPr="00782354">
              <w:rPr>
                <w:rFonts w:ascii="Arial" w:eastAsia="Calibri" w:hAnsi="Arial" w:cs="Arial"/>
                <w:color w:val="000000" w:themeColor="text1"/>
                <w:sz w:val="22"/>
                <w:lang w:val="es-ES_tradnl"/>
              </w:rPr>
              <w:t>P20220614005925</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0216BF11"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F14618">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F14618">
        <w:rPr>
          <w:rFonts w:ascii="Arial" w:eastAsia="Calibri" w:hAnsi="Arial" w:cs="Arial"/>
          <w:color w:val="000000" w:themeColor="text1"/>
          <w:sz w:val="22"/>
          <w:lang w:val="es-ES_tradnl"/>
        </w:rPr>
        <w:t>a</w:t>
      </w:r>
      <w:r w:rsidR="00BF4EC5" w:rsidRPr="00A51520">
        <w:rPr>
          <w:rFonts w:ascii="Arial" w:eastAsia="Calibri" w:hAnsi="Arial" w:cs="Arial"/>
          <w:color w:val="000000" w:themeColor="text1"/>
          <w:sz w:val="22"/>
          <w:lang w:val="es-ES_tradnl"/>
        </w:rPr>
        <w:t xml:space="preserve"> </w:t>
      </w:r>
      <w:r w:rsidR="00782354">
        <w:rPr>
          <w:rFonts w:ascii="Arial" w:eastAsia="Calibri" w:hAnsi="Arial" w:cs="Arial"/>
          <w:color w:val="000000" w:themeColor="text1"/>
          <w:sz w:val="22"/>
          <w:lang w:val="es-ES_tradnl"/>
        </w:rPr>
        <w:t>Bermeo</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6767AA24"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 xml:space="preserve">consulta del </w:t>
      </w:r>
      <w:r w:rsidR="00782354">
        <w:rPr>
          <w:rFonts w:ascii="Arial" w:eastAsia="Calibri" w:hAnsi="Arial" w:cs="Arial"/>
          <w:color w:val="000000" w:themeColor="text1"/>
          <w:sz w:val="22"/>
          <w:lang w:val="es-ES_tradnl"/>
        </w:rPr>
        <w:t>14</w:t>
      </w:r>
      <w:r w:rsidR="00F14618">
        <w:rPr>
          <w:rFonts w:ascii="Arial" w:eastAsia="Calibri" w:hAnsi="Arial" w:cs="Arial"/>
          <w:color w:val="000000" w:themeColor="text1"/>
          <w:sz w:val="22"/>
          <w:lang w:val="es-ES_tradnl"/>
        </w:rPr>
        <w:t xml:space="preserve"> de junio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0A5845" w14:textId="48421D65" w:rsidR="00621981" w:rsidRPr="00782354" w:rsidRDefault="00782354" w:rsidP="00782354">
      <w:pPr>
        <w:spacing w:line="276" w:lineRule="auto"/>
        <w:jc w:val="both"/>
        <w:rPr>
          <w:rFonts w:ascii="Arial" w:hAnsi="Arial" w:cs="Arial"/>
          <w:color w:val="000000" w:themeColor="text1"/>
          <w:sz w:val="21"/>
          <w:szCs w:val="21"/>
          <w:lang w:val="es-ES_tradnl"/>
        </w:rPr>
      </w:pPr>
      <w:r>
        <w:rPr>
          <w:rFonts w:ascii="Arial" w:hAnsi="Arial" w:cs="Arial"/>
          <w:sz w:val="22"/>
          <w:szCs w:val="22"/>
          <w:lang w:val="es-ES_tradnl"/>
        </w:rPr>
        <w:t>U</w:t>
      </w:r>
      <w:r w:rsidR="007838B5" w:rsidRPr="00B63B64">
        <w:rPr>
          <w:rFonts w:ascii="Arial" w:hAnsi="Arial" w:cs="Arial"/>
          <w:sz w:val="22"/>
          <w:szCs w:val="22"/>
          <w:lang w:val="es-ES_tradnl"/>
        </w:rPr>
        <w:t>sted realiza la siguiente</w:t>
      </w:r>
      <w:r>
        <w:rPr>
          <w:rFonts w:ascii="Arial" w:hAnsi="Arial" w:cs="Arial"/>
          <w:sz w:val="22"/>
          <w:szCs w:val="22"/>
          <w:lang w:val="es-ES_tradnl"/>
        </w:rPr>
        <w:t xml:space="preserve"> </w:t>
      </w:r>
      <w:r w:rsidR="007838B5" w:rsidRPr="00B63B64">
        <w:rPr>
          <w:rFonts w:ascii="Arial" w:hAnsi="Arial" w:cs="Arial"/>
          <w:sz w:val="22"/>
          <w:szCs w:val="22"/>
          <w:lang w:val="es-ES_tradnl"/>
        </w:rPr>
        <w:t>pregunta</w:t>
      </w:r>
      <w:r w:rsidR="00653FD4" w:rsidRPr="00B63B64">
        <w:rPr>
          <w:rFonts w:ascii="Arial" w:hAnsi="Arial" w:cs="Arial"/>
          <w:color w:val="000000" w:themeColor="text1"/>
          <w:sz w:val="22"/>
          <w:szCs w:val="22"/>
          <w:lang w:val="es-ES_tradnl"/>
        </w:rPr>
        <w:t>:</w:t>
      </w:r>
      <w:r w:rsidR="007838B5" w:rsidRPr="00B63B64">
        <w:rPr>
          <w:rFonts w:ascii="Arial" w:hAnsi="Arial" w:cs="Arial"/>
          <w:color w:val="000000" w:themeColor="text1"/>
          <w:sz w:val="22"/>
          <w:szCs w:val="22"/>
          <w:lang w:val="es-ES_tradnl"/>
        </w:rPr>
        <w:t xml:space="preserve"> </w:t>
      </w:r>
      <w:r w:rsidR="007838B5" w:rsidRPr="00CB65D4">
        <w:rPr>
          <w:rFonts w:ascii="Arial" w:hAnsi="Arial" w:cs="Arial"/>
          <w:color w:val="000000" w:themeColor="text1"/>
          <w:sz w:val="22"/>
          <w:szCs w:val="22"/>
          <w:lang w:val="es-ES_tradnl"/>
        </w:rPr>
        <w:t>«</w:t>
      </w:r>
      <w:r w:rsidRPr="00CB65D4">
        <w:rPr>
          <w:rFonts w:ascii="Arial" w:hAnsi="Arial" w:cs="Arial"/>
          <w:color w:val="000000" w:themeColor="text1"/>
          <w:sz w:val="22"/>
          <w:szCs w:val="22"/>
          <w:lang w:val="es-ES_tradnl"/>
        </w:rPr>
        <w:t xml:space="preserve">Con relación a la </w:t>
      </w:r>
      <w:proofErr w:type="gramStart"/>
      <w:r w:rsidRPr="00CB65D4">
        <w:rPr>
          <w:rFonts w:ascii="Arial" w:hAnsi="Arial" w:cs="Arial"/>
          <w:color w:val="000000" w:themeColor="text1"/>
          <w:sz w:val="22"/>
          <w:szCs w:val="22"/>
          <w:lang w:val="es-ES_tradnl"/>
        </w:rPr>
        <w:t>entrada en vigencia</w:t>
      </w:r>
      <w:proofErr w:type="gramEnd"/>
      <w:r w:rsidRPr="00CB65D4">
        <w:rPr>
          <w:rFonts w:ascii="Arial" w:hAnsi="Arial" w:cs="Arial"/>
          <w:color w:val="000000" w:themeColor="text1"/>
          <w:sz w:val="22"/>
          <w:szCs w:val="22"/>
          <w:lang w:val="es-ES_tradnl"/>
        </w:rPr>
        <w:t xml:space="preserve"> de la Ley 2195 de 2022 sigue teniendo vigencia el alcance del concepto C-307 de 2021 proferido por la Agencia Nacional Colombia Compra Eficiente</w:t>
      </w:r>
      <w:r w:rsidR="00B63B64" w:rsidRPr="00CB65D4">
        <w:rPr>
          <w:rFonts w:ascii="Arial" w:eastAsia="Calibri" w:hAnsi="Arial" w:cs="Arial"/>
          <w:sz w:val="22"/>
          <w:szCs w:val="22"/>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66431477" w14:textId="050B726F" w:rsidR="00621981" w:rsidRDefault="00CB65D4" w:rsidP="00CB65D4">
      <w:pPr>
        <w:spacing w:line="276" w:lineRule="auto"/>
        <w:jc w:val="both"/>
        <w:rPr>
          <w:rFonts w:ascii="Arial" w:eastAsia="Calibri" w:hAnsi="Arial" w:cs="Arial"/>
          <w:bCs/>
          <w:color w:val="000000" w:themeColor="text1"/>
          <w:sz w:val="22"/>
          <w:szCs w:val="22"/>
          <w:lang w:val="es-ES_tradnl"/>
        </w:rPr>
      </w:pPr>
      <w:r>
        <w:rPr>
          <w:rFonts w:ascii="Arial" w:eastAsia="Calibri" w:hAnsi="Arial" w:cs="Arial"/>
          <w:color w:val="000000" w:themeColor="text1"/>
          <w:sz w:val="22"/>
          <w:szCs w:val="22"/>
          <w:lang w:val="es-ES_tradnl"/>
        </w:rPr>
        <w:t xml:space="preserve">Para responder su pregunta se analizarán </w:t>
      </w:r>
      <w:r w:rsidR="001C7515" w:rsidRPr="00864E72">
        <w:rPr>
          <w:rFonts w:ascii="Arial" w:eastAsia="Calibri" w:hAnsi="Arial" w:cs="Arial"/>
          <w:color w:val="000000" w:themeColor="text1"/>
          <w:sz w:val="22"/>
          <w:szCs w:val="22"/>
          <w:lang w:val="es-ES_tradnl"/>
        </w:rPr>
        <w:t>los siguientes temas: i) fundamento normativo y ámbito de aplicación de los documentos tipo,</w:t>
      </w:r>
      <w:r w:rsidR="001C7515" w:rsidRPr="001C7515">
        <w:rPr>
          <w:rFonts w:ascii="Arial" w:eastAsia="Calibri" w:hAnsi="Arial" w:cs="Arial"/>
          <w:bCs/>
          <w:color w:val="000000" w:themeColor="text1"/>
          <w:sz w:val="22"/>
          <w:szCs w:val="22"/>
        </w:rPr>
        <w:t xml:space="preserve"> </w:t>
      </w:r>
      <w:proofErr w:type="spellStart"/>
      <w:r w:rsidR="001C7515" w:rsidRPr="00621981">
        <w:rPr>
          <w:rFonts w:ascii="Arial" w:eastAsia="Calibri" w:hAnsi="Arial" w:cs="Arial"/>
          <w:bCs/>
          <w:color w:val="000000" w:themeColor="text1"/>
          <w:sz w:val="22"/>
          <w:szCs w:val="22"/>
        </w:rPr>
        <w:t>ii</w:t>
      </w:r>
      <w:proofErr w:type="spellEnd"/>
      <w:r w:rsidR="001C7515" w:rsidRPr="00621981">
        <w:rPr>
          <w:rFonts w:ascii="Arial" w:eastAsia="Calibri" w:hAnsi="Arial" w:cs="Arial"/>
          <w:bCs/>
          <w:color w:val="000000" w:themeColor="text1"/>
          <w:sz w:val="22"/>
          <w:szCs w:val="22"/>
        </w:rPr>
        <w:t xml:space="preserve">) </w:t>
      </w:r>
      <w:r w:rsidR="009F0D40">
        <w:rPr>
          <w:rFonts w:ascii="Arial" w:eastAsia="Calibri" w:hAnsi="Arial" w:cs="Arial"/>
          <w:bCs/>
          <w:color w:val="000000" w:themeColor="text1"/>
          <w:sz w:val="22"/>
          <w:szCs w:val="22"/>
        </w:rPr>
        <w:t>c</w:t>
      </w:r>
      <w:r w:rsidR="00975140">
        <w:rPr>
          <w:rFonts w:ascii="Arial" w:eastAsia="Calibri" w:hAnsi="Arial" w:cs="Arial"/>
          <w:bCs/>
          <w:color w:val="000000" w:themeColor="text1"/>
          <w:sz w:val="22"/>
          <w:szCs w:val="22"/>
        </w:rPr>
        <w:t xml:space="preserve">onsideraciones del </w:t>
      </w:r>
      <w:r w:rsidR="00945006">
        <w:rPr>
          <w:rFonts w:ascii="Arial" w:eastAsia="Calibri" w:hAnsi="Arial" w:cs="Arial"/>
          <w:bCs/>
          <w:color w:val="000000" w:themeColor="text1"/>
          <w:sz w:val="22"/>
          <w:szCs w:val="22"/>
        </w:rPr>
        <w:t>C</w:t>
      </w:r>
      <w:r w:rsidR="00975140">
        <w:rPr>
          <w:rFonts w:ascii="Arial" w:eastAsia="Calibri" w:hAnsi="Arial" w:cs="Arial"/>
          <w:bCs/>
          <w:color w:val="000000" w:themeColor="text1"/>
          <w:sz w:val="22"/>
          <w:szCs w:val="22"/>
        </w:rPr>
        <w:t>oncepto C-307 de 2021</w:t>
      </w:r>
      <w:r w:rsidR="00B27763">
        <w:rPr>
          <w:rFonts w:ascii="Arial" w:eastAsia="Calibri" w:hAnsi="Arial" w:cs="Arial"/>
          <w:bCs/>
          <w:color w:val="000000" w:themeColor="text1"/>
          <w:sz w:val="22"/>
          <w:szCs w:val="22"/>
        </w:rPr>
        <w:t xml:space="preserve"> </w:t>
      </w:r>
      <w:r w:rsidR="00B72983">
        <w:rPr>
          <w:rFonts w:ascii="Arial" w:eastAsia="Calibri" w:hAnsi="Arial" w:cs="Arial"/>
          <w:bCs/>
          <w:color w:val="000000" w:themeColor="text1"/>
          <w:sz w:val="22"/>
          <w:szCs w:val="22"/>
        </w:rPr>
        <w:t>y</w:t>
      </w:r>
      <w:r w:rsidR="00975140">
        <w:rPr>
          <w:rFonts w:ascii="Arial" w:eastAsia="Calibri" w:hAnsi="Arial" w:cs="Arial"/>
          <w:bCs/>
          <w:color w:val="000000" w:themeColor="text1"/>
          <w:sz w:val="22"/>
          <w:szCs w:val="22"/>
        </w:rPr>
        <w:t xml:space="preserve"> </w:t>
      </w:r>
      <w:proofErr w:type="spellStart"/>
      <w:r w:rsidR="001C7515">
        <w:rPr>
          <w:rFonts w:ascii="Arial" w:eastAsia="Calibri" w:hAnsi="Arial" w:cs="Arial"/>
          <w:color w:val="000000" w:themeColor="text1"/>
          <w:sz w:val="22"/>
          <w:szCs w:val="22"/>
          <w:lang w:val="es-ES_tradnl"/>
        </w:rPr>
        <w:t>i</w:t>
      </w:r>
      <w:r w:rsidR="001C7515" w:rsidRPr="00864E72">
        <w:rPr>
          <w:rFonts w:ascii="Arial" w:eastAsia="Calibri" w:hAnsi="Arial" w:cs="Arial"/>
          <w:color w:val="000000" w:themeColor="text1"/>
          <w:sz w:val="22"/>
          <w:szCs w:val="22"/>
          <w:lang w:val="es-ES_tradnl"/>
        </w:rPr>
        <w:t>ii</w:t>
      </w:r>
      <w:proofErr w:type="spellEnd"/>
      <w:r w:rsidR="001C7515" w:rsidRPr="00864E72">
        <w:rPr>
          <w:rFonts w:ascii="Arial" w:eastAsia="Calibri" w:hAnsi="Arial" w:cs="Arial"/>
          <w:color w:val="000000" w:themeColor="text1"/>
          <w:sz w:val="22"/>
          <w:szCs w:val="22"/>
          <w:lang w:val="es-ES_tradnl"/>
        </w:rPr>
        <w:t xml:space="preserve">) alcance del artículo 56 de la Ley 2195 de 2022 frente a la implementación </w:t>
      </w:r>
      <w:r w:rsidR="001C7515" w:rsidRPr="00864E72">
        <w:rPr>
          <w:rFonts w:ascii="Arial" w:eastAsia="Calibri" w:hAnsi="Arial" w:cs="Arial"/>
          <w:color w:val="000000" w:themeColor="text1"/>
          <w:sz w:val="22"/>
          <w:szCs w:val="22"/>
          <w:lang w:val="es-ES_tradnl"/>
        </w:rPr>
        <w:lastRenderedPageBreak/>
        <w:t xml:space="preserve">obligatoria del Estatuto General de Contratación de la Administración Pública </w:t>
      </w:r>
      <w:r w:rsidR="00AA24FD">
        <w:rPr>
          <w:rFonts w:ascii="Arial" w:eastAsia="Calibri" w:hAnsi="Arial" w:cs="Arial"/>
          <w:color w:val="000000" w:themeColor="text1"/>
          <w:sz w:val="22"/>
          <w:szCs w:val="22"/>
          <w:lang w:val="es-ES_tradnl"/>
        </w:rPr>
        <w:t xml:space="preserve">–en adelante, también EGCAP– </w:t>
      </w:r>
      <w:r w:rsidR="001C7515" w:rsidRPr="00864E72">
        <w:rPr>
          <w:rFonts w:ascii="Arial" w:eastAsia="Calibri" w:hAnsi="Arial" w:cs="Arial"/>
          <w:color w:val="000000" w:themeColor="text1"/>
          <w:sz w:val="22"/>
          <w:szCs w:val="22"/>
          <w:lang w:val="es-ES_tradnl"/>
        </w:rPr>
        <w:t xml:space="preserve">y de los documentos tipo en la contratación de las entidades estatales exceptuadas y particulares.  </w:t>
      </w:r>
      <w:r w:rsidR="00621981" w:rsidRPr="00621981">
        <w:rPr>
          <w:rFonts w:ascii="Arial" w:eastAsia="Calibri" w:hAnsi="Arial" w:cs="Arial"/>
          <w:bCs/>
          <w:color w:val="000000" w:themeColor="text1"/>
          <w:sz w:val="22"/>
          <w:szCs w:val="22"/>
          <w:lang w:val="es-ES_tradnl"/>
        </w:rPr>
        <w:t xml:space="preserve"> </w:t>
      </w:r>
    </w:p>
    <w:p w14:paraId="6CD1888C" w14:textId="55B30DBB" w:rsidR="005016C7" w:rsidRPr="007537BD" w:rsidRDefault="005016C7" w:rsidP="007537BD">
      <w:pPr>
        <w:spacing w:before="120" w:line="276" w:lineRule="auto"/>
        <w:ind w:firstLine="709"/>
        <w:jc w:val="both"/>
        <w:rPr>
          <w:rFonts w:ascii="Arial" w:eastAsia="Calibri" w:hAnsi="Arial" w:cs="Arial"/>
          <w:noProof/>
          <w:color w:val="000000" w:themeColor="text1"/>
          <w:sz w:val="22"/>
          <w:lang w:val="es-ES_tradnl"/>
        </w:rPr>
      </w:pPr>
      <w:r>
        <w:rPr>
          <w:rFonts w:ascii="Arial" w:hAnsi="Arial" w:cs="Arial"/>
          <w:noProof/>
          <w:color w:val="000000" w:themeColor="text1"/>
          <w:sz w:val="22"/>
          <w:lang w:val="es-ES_tradnl"/>
        </w:rPr>
        <w:t xml:space="preserve">La Agencia Nacional de Contratación Pública – Colombia Compra Eficiente se ha pronunciado sobre el ámbito de aplicación de </w:t>
      </w:r>
      <w:r>
        <w:rPr>
          <w:rFonts w:ascii="Arial" w:eastAsia="Arial" w:hAnsi="Arial" w:cs="Arial"/>
          <w:color w:val="000000" w:themeColor="text1"/>
          <w:sz w:val="22"/>
          <w:lang w:val="es-ES_tradnl"/>
        </w:rPr>
        <w:t xml:space="preserve">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Sobre la aplicación del artículo 56 de </w:t>
      </w:r>
      <w:r w:rsidR="007537BD">
        <w:rPr>
          <w:rFonts w:ascii="Arial" w:eastAsia="Arial" w:hAnsi="Arial" w:cs="Arial"/>
          <w:color w:val="000000" w:themeColor="text1"/>
          <w:sz w:val="22"/>
          <w:lang w:val="es-ES_tradnl"/>
        </w:rPr>
        <w:t>l</w:t>
      </w:r>
      <w:r>
        <w:rPr>
          <w:rFonts w:ascii="Arial" w:eastAsia="Arial" w:hAnsi="Arial" w:cs="Arial"/>
          <w:color w:val="000000" w:themeColor="text1"/>
          <w:sz w:val="22"/>
          <w:lang w:val="es-ES_tradnl"/>
        </w:rPr>
        <w:t xml:space="preserve">a Ley 2195 de 2022 se pronunció en los conceptos </w:t>
      </w:r>
      <w:r>
        <w:rPr>
          <w:rFonts w:ascii="Arial" w:eastAsia="Calibri" w:hAnsi="Arial" w:cs="Arial"/>
          <w:color w:val="000000" w:themeColor="text1"/>
          <w:sz w:val="22"/>
          <w:lang w:val="es-ES"/>
        </w:rPr>
        <w:t xml:space="preserve">C-066 del 28 de enero de 2022, C-033 del 4 de marzo de 2022, C-049 del 07 de marzo de 2022, C-059 de 08 de marzo de 2022, C-065 del 9 de marzo de 2022, C-090 del 16 de marzo de 2022, C-087 del 17 de marzo de 2022, C-083 del 18 de marzo de 2022, C-160 del 05 de abril de 2022, </w:t>
      </w:r>
      <w:r w:rsidR="007537BD">
        <w:rPr>
          <w:rFonts w:ascii="Arial" w:eastAsia="Calibri" w:hAnsi="Arial" w:cs="Arial"/>
          <w:color w:val="000000" w:themeColor="text1"/>
          <w:sz w:val="22"/>
          <w:lang w:val="es-ES"/>
        </w:rPr>
        <w:t xml:space="preserve">C- 244 del 2 de mayo de 2022, </w:t>
      </w:r>
      <w:r>
        <w:rPr>
          <w:rFonts w:ascii="Arial" w:eastAsia="Calibri" w:hAnsi="Arial" w:cs="Arial"/>
          <w:color w:val="000000" w:themeColor="text1"/>
          <w:sz w:val="22"/>
          <w:lang w:val="es-ES"/>
        </w:rPr>
        <w:t>C-</w:t>
      </w:r>
      <w:r w:rsidR="007537BD">
        <w:rPr>
          <w:rFonts w:ascii="Arial" w:eastAsia="Calibri" w:hAnsi="Arial" w:cs="Arial"/>
          <w:color w:val="000000" w:themeColor="text1"/>
          <w:sz w:val="22"/>
          <w:lang w:val="es-ES"/>
        </w:rPr>
        <w:t>269 del 6 de mayo de 2022 y C-341 del 27 de mayo de 2022</w:t>
      </w:r>
      <w:r>
        <w:rPr>
          <w:rStyle w:val="Refdenotaalpie"/>
          <w:rFonts w:ascii="Arial" w:eastAsia="Arial" w:hAnsi="Arial" w:cs="Arial"/>
          <w:color w:val="000000" w:themeColor="text1"/>
          <w:sz w:val="22"/>
          <w:lang w:val="es-ES_tradnl"/>
        </w:rPr>
        <w:footnoteReference w:id="2"/>
      </w:r>
      <w:r>
        <w:rPr>
          <w:rFonts w:ascii="Arial" w:eastAsia="Arial" w:hAnsi="Arial" w:cs="Arial"/>
          <w:color w:val="000000" w:themeColor="text1"/>
          <w:sz w:val="22"/>
          <w:lang w:val="es-ES_tradnl"/>
        </w:rPr>
        <w:t xml:space="preserve">. Las ideas expuestas en dichas oportunidades se reiteran y se complementan a continuación:    </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2ABD2AAA" w14:textId="77777777" w:rsidR="00031AD9" w:rsidRPr="00E858D2" w:rsidRDefault="00031AD9" w:rsidP="00031AD9">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 xml:space="preserve">2.1. Fundamento normativo y ámbito de aplicación de los documentos tipo </w:t>
      </w:r>
    </w:p>
    <w:p w14:paraId="361A7647" w14:textId="77777777" w:rsidR="00031AD9" w:rsidRPr="00E858D2" w:rsidRDefault="00031AD9" w:rsidP="00031AD9">
      <w:pPr>
        <w:spacing w:line="276" w:lineRule="auto"/>
        <w:jc w:val="both"/>
        <w:rPr>
          <w:rFonts w:ascii="Arial" w:eastAsia="Arial" w:hAnsi="Arial" w:cs="Arial"/>
          <w:b/>
          <w:bCs/>
          <w:sz w:val="22"/>
          <w:lang w:val="es-ES_tradnl"/>
        </w:rPr>
      </w:pPr>
    </w:p>
    <w:p w14:paraId="30385650" w14:textId="77777777" w:rsidR="00031AD9" w:rsidRPr="00E858D2" w:rsidRDefault="00031AD9" w:rsidP="00031AD9">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3"/>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C5410B4" w14:textId="77777777" w:rsidR="00031AD9" w:rsidRPr="00E858D2" w:rsidRDefault="00031AD9" w:rsidP="00031AD9">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4011BAD5" w14:textId="77777777" w:rsidR="00031AD9" w:rsidRPr="00E858D2" w:rsidRDefault="00031AD9" w:rsidP="00031AD9">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lastRenderedPageBreak/>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03395786"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9DF507F" w14:textId="61B9BB68"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00050460" w:rsidRPr="00E858D2">
        <w:rPr>
          <w:rFonts w:ascii="Arial" w:eastAsia="Calibri" w:hAnsi="Arial" w:cs="Arial"/>
          <w:sz w:val="22"/>
          <w:lang w:val="es-ES_tradnl"/>
        </w:rPr>
        <w:t>I</w:t>
      </w:r>
      <w:r w:rsidRPr="00E858D2">
        <w:rPr>
          <w:rFonts w:ascii="Arial" w:eastAsia="Calibri" w:hAnsi="Arial" w:cs="Arial"/>
          <w:sz w:val="22"/>
          <w:lang w:val="es-ES_tradnl"/>
        </w:rPr>
        <w:t>i</w:t>
      </w:r>
      <w:proofErr w:type="spellEnd"/>
      <w:r w:rsidRPr="00E858D2">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00050460" w:rsidRPr="00E858D2">
        <w:rPr>
          <w:rFonts w:ascii="Arial" w:eastAsia="Calibri" w:hAnsi="Arial" w:cs="Arial"/>
          <w:sz w:val="22"/>
          <w:lang w:val="es-ES_tradnl"/>
        </w:rPr>
        <w:t>I</w:t>
      </w:r>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00050460" w:rsidRPr="00E858D2">
        <w:rPr>
          <w:rFonts w:ascii="Arial" w:eastAsia="Calibri" w:hAnsi="Arial" w:cs="Arial"/>
          <w:sz w:val="22"/>
          <w:lang w:val="es-ES_tradnl"/>
        </w:rPr>
        <w:t>I</w:t>
      </w:r>
      <w:r w:rsidRPr="00E858D2">
        <w:rPr>
          <w:rFonts w:ascii="Arial" w:eastAsia="Calibri" w:hAnsi="Arial" w:cs="Arial"/>
          <w:sz w:val="22"/>
          <w:lang w:val="es-ES_tradnl"/>
        </w:rPr>
        <w:t>v</w:t>
      </w:r>
      <w:proofErr w:type="spellEnd"/>
      <w:r w:rsidRPr="00E858D2">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w:t>
      </w:r>
      <w:r w:rsidR="00050460" w:rsidRPr="00E858D2">
        <w:rPr>
          <w:rFonts w:ascii="Arial" w:eastAsia="Calibri" w:hAnsi="Arial" w:cs="Arial"/>
          <w:sz w:val="22"/>
          <w:lang w:val="es-ES_tradnl"/>
        </w:rPr>
        <w:t>V</w:t>
      </w:r>
      <w:r w:rsidRPr="00E858D2">
        <w:rPr>
          <w:rFonts w:ascii="Arial" w:eastAsia="Calibri" w:hAnsi="Arial" w:cs="Arial"/>
          <w:sz w:val="22"/>
          <w:lang w:val="es-ES_tradnl"/>
        </w:rPr>
        <w:t xml:space="preserve">) El Gobierno Nacional tenía la facultad de adoptar documentos tipo en otros contratos o procesos de selección. Por último, vi) los documentos tipo serían adoptados por categorías de acuerdo con la cuantía de la contratación. </w:t>
      </w:r>
    </w:p>
    <w:p w14:paraId="17200769"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5"/>
      </w:r>
      <w:r w:rsidRPr="00E858D2">
        <w:rPr>
          <w:rFonts w:ascii="Arial" w:eastAsia="Calibri" w:hAnsi="Arial" w:cs="Arial"/>
          <w:sz w:val="22"/>
          <w:lang w:val="es-ES_tradnl"/>
        </w:rPr>
        <w:t>.</w:t>
      </w:r>
    </w:p>
    <w:p w14:paraId="42C90782"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3531E131" w14:textId="77777777" w:rsidR="00031AD9" w:rsidRPr="00E858D2" w:rsidRDefault="00031AD9" w:rsidP="00031AD9">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5598DBE8" w14:textId="77777777" w:rsidR="00031AD9" w:rsidRPr="00E858D2" w:rsidRDefault="00031AD9" w:rsidP="00031AD9">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Finalmente, se profirió el Decreto 594 de 2020, frente a los documentos tipo para los contratos de obra pública</w:t>
      </w:r>
      <w:r w:rsidRPr="00E858D2" w:rsidDel="00A434AB">
        <w:rPr>
          <w:rFonts w:ascii="Arial" w:eastAsia="Calibri" w:hAnsi="Arial" w:cs="Arial"/>
          <w:sz w:val="22"/>
          <w:szCs w:val="22"/>
          <w:lang w:val="es-ES_tradnl" w:eastAsia="en-US"/>
        </w:rPr>
        <w:t xml:space="preserve"> </w:t>
      </w:r>
      <w:r w:rsidRPr="00E858D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6" w:name="_Hlk37841850"/>
      <w:r w:rsidRPr="00E858D2">
        <w:rPr>
          <w:rFonts w:ascii="Arial" w:eastAsia="Calibri" w:hAnsi="Arial" w:cs="Arial"/>
          <w:sz w:val="22"/>
          <w:szCs w:val="22"/>
          <w:lang w:val="es-ES_tradnl" w:eastAsia="en-US"/>
        </w:rPr>
        <w:t xml:space="preserve">– Colombia Compra Eficiente, </w:t>
      </w:r>
      <w:bookmarkEnd w:id="6"/>
      <w:r w:rsidRPr="00E858D2">
        <w:rPr>
          <w:rFonts w:ascii="Arial" w:eastAsia="Calibri" w:hAnsi="Arial" w:cs="Arial"/>
          <w:sz w:val="22"/>
          <w:szCs w:val="22"/>
          <w:lang w:val="es-ES_tradnl" w:eastAsia="en-US"/>
        </w:rPr>
        <w:t xml:space="preserve">por medio </w:t>
      </w:r>
      <w:r w:rsidRPr="00E858D2">
        <w:rPr>
          <w:rFonts w:ascii="Arial" w:eastAsia="Calibri" w:hAnsi="Arial" w:cs="Arial"/>
          <w:sz w:val="22"/>
          <w:szCs w:val="22"/>
          <w:lang w:val="es-ES_tradnl" w:eastAsia="en-US"/>
        </w:rPr>
        <w:lastRenderedPageBreak/>
        <w:t>de la Resolución 1798 de 2019 –derogada por la Resolución 045 de 2020–, la Resolución 044 de 2020 y la Resolución 094 de 2020.</w:t>
      </w:r>
    </w:p>
    <w:p w14:paraId="64393B94" w14:textId="77B34F86"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6"/>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En este marco, con la finalidad de realizar un desarrollo armónico y ajustado a la ley que otorgó esta competencia, esta Agencia emitió la Resolución 160 de 2020</w:t>
      </w:r>
      <w:r w:rsidR="00050460">
        <w:rPr>
          <w:rFonts w:eastAsia="Calibri"/>
          <w:color w:val="auto"/>
        </w:rPr>
        <w:t>,</w:t>
      </w:r>
      <w:r w:rsidRPr="00E858D2">
        <w:rPr>
          <w:rFonts w:eastAsia="Calibri"/>
          <w:color w:val="auto"/>
        </w:rPr>
        <w:t xml:space="preserve">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02AF96FA" w14:textId="4B844C7C"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w:t>
      </w:r>
      <w:r w:rsidRPr="00E858D2">
        <w:rPr>
          <w:rFonts w:eastAsia="Calibri"/>
          <w:color w:val="auto"/>
        </w:rPr>
        <w:lastRenderedPageBreak/>
        <w:t>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5726FB">
        <w:rPr>
          <w:rFonts w:eastAsia="Calibri"/>
          <w:color w:val="auto"/>
        </w:rPr>
        <w:t>;</w:t>
      </w:r>
      <w:r w:rsidRPr="00E858D2">
        <w:rPr>
          <w:rFonts w:eastAsia="Calibri"/>
          <w:color w:val="auto"/>
        </w:rPr>
        <w:t xml:space="preserve"> la Resolución 249 de 2020, «Por la cual se adoptan los documentos tipo para los procesos de licitación pública para obras de infraestructura de agua potable y saneamiento básico en la modalidad llave en mano»</w:t>
      </w:r>
      <w:r w:rsidR="00CB365A">
        <w:rPr>
          <w:rFonts w:eastAsia="Calibri"/>
          <w:color w:val="auto"/>
        </w:rPr>
        <w:t>;</w:t>
      </w:r>
      <w:r w:rsidRPr="00E858D2">
        <w:rPr>
          <w:rFonts w:eastAsia="Calibri"/>
          <w:color w:val="auto"/>
        </w:rPr>
        <w:t xml:space="preserve"> y la Resolución 269 de 2020, «Por la cual se adopta el documento tipo para los procesos de gestión catastral con enfoque multipropósito que se celebren a través de contratos interadministrativos».</w:t>
      </w:r>
    </w:p>
    <w:p w14:paraId="253FB21D" w14:textId="298E9F1B" w:rsidR="00031AD9" w:rsidRPr="00E858D2" w:rsidRDefault="00031AD9" w:rsidP="00031AD9">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00DC7456">
        <w:rPr>
          <w:color w:val="auto"/>
        </w:rPr>
        <w:t>;</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w:t>
      </w:r>
      <w:r w:rsidR="00DC7456">
        <w:rPr>
          <w:color w:val="auto"/>
        </w:rPr>
        <w:t>;</w:t>
      </w:r>
      <w:r w:rsidRPr="00E858D2">
        <w:rPr>
          <w:color w:val="auto"/>
        </w:rPr>
        <w:t xml:space="preserve"> </w:t>
      </w:r>
      <w:proofErr w:type="spellStart"/>
      <w:r w:rsidRPr="00E858D2">
        <w:rPr>
          <w:color w:val="auto"/>
        </w:rPr>
        <w:t>iii</w:t>
      </w:r>
      <w:proofErr w:type="spellEnd"/>
      <w:r w:rsidRPr="00E858D2">
        <w:rPr>
          <w:color w:val="auto"/>
        </w:rPr>
        <w:t>) la Resolución 220 de 2021, «Por la cual se adoptan los documentos tipo complementarios para los procesos de licitación de obra pública de infraestructura social relacionados con el sector educativo»</w:t>
      </w:r>
      <w:r w:rsidR="00DC7456">
        <w:rPr>
          <w:color w:val="auto"/>
        </w:rPr>
        <w:t>;</w:t>
      </w:r>
      <w:r w:rsidRPr="00E858D2">
        <w:rPr>
          <w:color w:val="auto"/>
        </w:rPr>
        <w:t xml:space="preserve"> </w:t>
      </w:r>
      <w:proofErr w:type="spellStart"/>
      <w:r w:rsidRPr="00E858D2">
        <w:rPr>
          <w:color w:val="auto"/>
        </w:rPr>
        <w:t>iv</w:t>
      </w:r>
      <w:proofErr w:type="spellEnd"/>
      <w:r w:rsidRPr="00E858D2">
        <w:rPr>
          <w:color w:val="auto"/>
        </w:rPr>
        <w:t>) la Resolución 392 de 2021, «Por la cual se adoptan los documentos tipo complementarios para los procesos de licitación de obra pública de infraestructura social relacionados con el sector salud»</w:t>
      </w:r>
      <w:r w:rsidR="00C21B56">
        <w:rPr>
          <w:color w:val="auto"/>
        </w:rPr>
        <w:t>;</w:t>
      </w:r>
      <w:r w:rsidRPr="00E858D2">
        <w:rPr>
          <w:color w:val="auto"/>
        </w:rPr>
        <w:t xml:space="preserve"> y v) la Resolución 454 de 2021, «Por la cual se adoptan los documentos tipo complementarios para los procesos de licitación de obra pública de infraestructura social relacionados con el sector cultura, recreación y deporte». </w:t>
      </w:r>
    </w:p>
    <w:p w14:paraId="17A0CC58" w14:textId="72180240" w:rsidR="00031AD9" w:rsidRPr="00E858D2" w:rsidRDefault="00031AD9" w:rsidP="00031AD9">
      <w:pPr>
        <w:pStyle w:val="Normal11pt"/>
        <w:spacing w:before="120" w:after="120" w:line="276" w:lineRule="auto"/>
        <w:ind w:left="0" w:firstLine="709"/>
        <w:rPr>
          <w:color w:val="auto"/>
        </w:rPr>
      </w:pPr>
      <w:r w:rsidRPr="00E858D2">
        <w:rPr>
          <w:color w:val="auto"/>
        </w:rPr>
        <w:t>En cuanto al ámbito de aplicación de estos documentos, es preciso explicar que cada una de estas resoluciones está relacionada con un sector, un objeto contractual y una modalidad de selección específica. Esto de tal manera que</w:t>
      </w:r>
      <w:r w:rsidR="003965C8">
        <w:rPr>
          <w:color w:val="auto"/>
        </w:rPr>
        <w:t>, sin perjuicio de lo que se explicará en relación con el artículo 56 de la Ley 2195 de 2022</w:t>
      </w:r>
      <w:r w:rsidR="003965C8" w:rsidRPr="00E858D2">
        <w:rPr>
          <w:color w:val="auto"/>
        </w:rPr>
        <w:t>,</w:t>
      </w:r>
      <w:r w:rsidRPr="00E858D2">
        <w:rPr>
          <w:color w:val="auto"/>
        </w:rPr>
        <w:t xml:space="preserv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0ECC133B" w14:textId="77777777" w:rsidR="00031AD9" w:rsidRPr="00E858D2" w:rsidRDefault="00031AD9" w:rsidP="00031AD9">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w:t>
      </w:r>
      <w:r w:rsidRPr="00E858D2">
        <w:rPr>
          <w:rFonts w:ascii="Arial" w:hAnsi="Arial" w:cs="Arial"/>
          <w:sz w:val="22"/>
          <w:shd w:val="clear" w:color="auto" w:fill="FFFFFF"/>
          <w:lang w:val="es-ES_tradnl"/>
        </w:rPr>
        <w:lastRenderedPageBreak/>
        <w:t>fijados en ellos. Por lo tanto, las entidades estatales, al realizar sus procedimientos de selección, solo podrán modificarlos en los aspectos en que los documentos tipo lo permitan.</w:t>
      </w:r>
    </w:p>
    <w:p w14:paraId="460A67F2" w14:textId="3A5F081B" w:rsidR="00031AD9" w:rsidRPr="00E858D2" w:rsidRDefault="00031AD9" w:rsidP="00031AD9">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w:t>
      </w:r>
      <w:r w:rsidR="00AA24FD">
        <w:rPr>
          <w:rFonts w:eastAsia="Calibri"/>
          <w:color w:val="auto"/>
        </w:rPr>
        <w:t xml:space="preserve"> la adopción de</w:t>
      </w:r>
      <w:r w:rsidRPr="00E858D2">
        <w:rPr>
          <w:rFonts w:eastAsia="Calibri"/>
          <w:color w:val="auto"/>
        </w:rPr>
        <w:t xml:space="preserve">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8427A85"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239E25FA" w14:textId="395A5E6F" w:rsidR="00033358" w:rsidRDefault="00031AD9" w:rsidP="00031AD9">
      <w:pPr>
        <w:tabs>
          <w:tab w:val="left" w:pos="0"/>
        </w:tabs>
        <w:spacing w:line="276" w:lineRule="auto"/>
        <w:jc w:val="both"/>
        <w:rPr>
          <w:rFonts w:ascii="Arial" w:eastAsia="Calibri" w:hAnsi="Arial" w:cs="Arial"/>
          <w:b/>
          <w:bCs/>
          <w:sz w:val="22"/>
          <w:lang w:val="es-MX"/>
        </w:rPr>
      </w:pPr>
      <w:r w:rsidRPr="00E858D2">
        <w:rPr>
          <w:rFonts w:ascii="Arial" w:eastAsia="Calibri" w:hAnsi="Arial" w:cs="Arial"/>
          <w:b/>
          <w:sz w:val="22"/>
          <w:lang w:val="es-ES_tradnl"/>
        </w:rPr>
        <w:t xml:space="preserve">2.2. </w:t>
      </w:r>
      <w:bookmarkStart w:id="7" w:name="_Hlk95322387"/>
      <w:r w:rsidR="00975140">
        <w:rPr>
          <w:rFonts w:ascii="Arial" w:eastAsia="Calibri" w:hAnsi="Arial" w:cs="Arial"/>
          <w:b/>
          <w:bCs/>
          <w:sz w:val="22"/>
          <w:lang w:val="es-MX"/>
        </w:rPr>
        <w:t>Consideraciones del Concepto C-30</w:t>
      </w:r>
      <w:r w:rsidR="00295820">
        <w:rPr>
          <w:rFonts w:ascii="Arial" w:eastAsia="Calibri" w:hAnsi="Arial" w:cs="Arial"/>
          <w:b/>
          <w:bCs/>
          <w:sz w:val="22"/>
          <w:lang w:val="es-MX"/>
        </w:rPr>
        <w:t>7</w:t>
      </w:r>
      <w:r w:rsidR="00975140">
        <w:rPr>
          <w:rFonts w:ascii="Arial" w:eastAsia="Calibri" w:hAnsi="Arial" w:cs="Arial"/>
          <w:b/>
          <w:bCs/>
          <w:sz w:val="22"/>
          <w:lang w:val="es-MX"/>
        </w:rPr>
        <w:t>de 2021</w:t>
      </w:r>
    </w:p>
    <w:p w14:paraId="1DE5207B" w14:textId="7A1BD257" w:rsidR="001A43C6" w:rsidRDefault="001A43C6" w:rsidP="00031AD9">
      <w:pPr>
        <w:tabs>
          <w:tab w:val="left" w:pos="0"/>
        </w:tabs>
        <w:spacing w:line="276" w:lineRule="auto"/>
        <w:jc w:val="both"/>
        <w:rPr>
          <w:rFonts w:ascii="Arial" w:eastAsia="Calibri" w:hAnsi="Arial" w:cs="Arial"/>
          <w:b/>
          <w:bCs/>
          <w:sz w:val="22"/>
          <w:lang w:val="es-MX"/>
        </w:rPr>
      </w:pPr>
    </w:p>
    <w:p w14:paraId="660C7BC4" w14:textId="38D87E4A" w:rsidR="003852D5" w:rsidRDefault="00975140" w:rsidP="003852D5">
      <w:pPr>
        <w:spacing w:line="276" w:lineRule="auto"/>
        <w:jc w:val="both"/>
        <w:rPr>
          <w:rFonts w:ascii="Arial" w:eastAsia="Calibri" w:hAnsi="Arial" w:cs="Arial"/>
          <w:bCs/>
          <w:color w:val="000000"/>
          <w:sz w:val="22"/>
          <w:szCs w:val="22"/>
          <w:lang w:eastAsia="en-US"/>
        </w:rPr>
      </w:pPr>
      <w:r w:rsidRPr="00975140">
        <w:rPr>
          <w:rFonts w:ascii="Arial" w:eastAsia="Calibri" w:hAnsi="Arial" w:cs="Arial"/>
          <w:color w:val="000000"/>
          <w:sz w:val="22"/>
          <w:szCs w:val="22"/>
          <w:shd w:val="clear" w:color="auto" w:fill="FFFFFF"/>
          <w:lang w:val="es-ES" w:eastAsia="en-US"/>
        </w:rPr>
        <w:t>Para responder la solicitud, es necesario referenciar algunas de las consideraciones y conclusiones del Concepto C-</w:t>
      </w:r>
      <w:r w:rsidR="00295820">
        <w:rPr>
          <w:rFonts w:ascii="Arial" w:eastAsia="Calibri" w:hAnsi="Arial" w:cs="Arial"/>
          <w:color w:val="000000"/>
          <w:sz w:val="22"/>
          <w:szCs w:val="22"/>
          <w:shd w:val="clear" w:color="auto" w:fill="FFFFFF"/>
          <w:lang w:val="es-ES" w:eastAsia="en-US"/>
        </w:rPr>
        <w:t>307</w:t>
      </w:r>
      <w:r w:rsidRPr="00975140">
        <w:rPr>
          <w:rFonts w:ascii="Arial" w:eastAsia="Calibri" w:hAnsi="Arial" w:cs="Arial"/>
          <w:color w:val="000000"/>
          <w:sz w:val="22"/>
          <w:szCs w:val="22"/>
          <w:shd w:val="clear" w:color="auto" w:fill="FFFFFF"/>
          <w:lang w:val="es-ES" w:eastAsia="en-US"/>
        </w:rPr>
        <w:t xml:space="preserve"> de 2021, expedido por la Subdirección</w:t>
      </w:r>
      <w:r w:rsidRPr="00975140">
        <w:rPr>
          <w:rFonts w:ascii="Arial" w:eastAsia="Calibri" w:hAnsi="Arial" w:cs="Arial"/>
          <w:bCs/>
          <w:color w:val="000000"/>
          <w:sz w:val="22"/>
          <w:szCs w:val="22"/>
          <w:lang w:eastAsia="en-US"/>
        </w:rPr>
        <w:t xml:space="preserve"> de Gestión Contractual</w:t>
      </w:r>
      <w:r w:rsidR="00AA24FD">
        <w:rPr>
          <w:rFonts w:ascii="Arial" w:eastAsia="Calibri" w:hAnsi="Arial" w:cs="Arial"/>
          <w:bCs/>
          <w:color w:val="000000"/>
          <w:sz w:val="22"/>
          <w:szCs w:val="22"/>
          <w:lang w:eastAsia="en-US"/>
        </w:rPr>
        <w:t xml:space="preserve"> que, además, fue expedido antes de la vigencia de la Ley 2195 de 2022</w:t>
      </w:r>
      <w:r w:rsidRPr="00975140">
        <w:rPr>
          <w:rFonts w:ascii="Arial" w:eastAsia="Calibri" w:hAnsi="Arial" w:cs="Arial"/>
          <w:color w:val="000000"/>
          <w:sz w:val="22"/>
          <w:szCs w:val="22"/>
          <w:shd w:val="clear" w:color="auto" w:fill="FFFFFF"/>
          <w:lang w:val="es-ES" w:eastAsia="en-US"/>
        </w:rPr>
        <w:t xml:space="preserve">. </w:t>
      </w:r>
      <w:r w:rsidRPr="00975140">
        <w:rPr>
          <w:rFonts w:ascii="Arial" w:eastAsia="Calibri" w:hAnsi="Arial" w:cs="Arial"/>
          <w:color w:val="000000"/>
          <w:sz w:val="22"/>
          <w:szCs w:val="22"/>
          <w:lang w:val="es-ES_tradnl" w:eastAsia="en-US"/>
        </w:rPr>
        <w:t>La solicitud</w:t>
      </w:r>
      <w:r w:rsidRPr="00975140">
        <w:rPr>
          <w:rFonts w:ascii="Arial" w:eastAsia="Calibri" w:hAnsi="Arial" w:cs="Arial"/>
          <w:bCs/>
          <w:color w:val="000000"/>
          <w:sz w:val="22"/>
          <w:szCs w:val="22"/>
          <w:lang w:eastAsia="en-US"/>
        </w:rPr>
        <w:t xml:space="preserve"> que suscitó la expedición del citado concepto indagaba acerca de</w:t>
      </w:r>
      <w:r w:rsidR="00295820" w:rsidRPr="00295820">
        <w:rPr>
          <w:rFonts w:ascii="Arial" w:eastAsiaTheme="minorHAnsi" w:hAnsi="Arial" w:cs="Arial"/>
          <w:bCs/>
          <w:color w:val="000000" w:themeColor="text1"/>
          <w:sz w:val="20"/>
          <w:szCs w:val="20"/>
          <w:lang w:eastAsia="en-US"/>
        </w:rPr>
        <w:t xml:space="preserve"> </w:t>
      </w:r>
      <w:r w:rsidR="00295820" w:rsidRPr="00295820">
        <w:rPr>
          <w:rFonts w:ascii="Arial" w:eastAsia="Calibri" w:hAnsi="Arial" w:cs="Arial"/>
          <w:bCs/>
          <w:color w:val="000000"/>
          <w:sz w:val="22"/>
          <w:szCs w:val="22"/>
          <w:lang w:eastAsia="en-US"/>
        </w:rPr>
        <w:t xml:space="preserve">la aplicación de los documentos tipo cuando mediante convenio o contrato interadministrativo se transfiere a una empresa de servicios públicos domiciliarios (AAA S.A. ESP) del SGP o </w:t>
      </w:r>
      <w:r w:rsidR="00504F88">
        <w:rPr>
          <w:rFonts w:ascii="Arial" w:eastAsia="Calibri" w:hAnsi="Arial" w:cs="Arial"/>
          <w:bCs/>
          <w:color w:val="000000"/>
          <w:sz w:val="22"/>
          <w:szCs w:val="22"/>
          <w:lang w:eastAsia="en-US"/>
        </w:rPr>
        <w:t xml:space="preserve">del </w:t>
      </w:r>
      <w:r w:rsidR="00295820" w:rsidRPr="00295820">
        <w:rPr>
          <w:rFonts w:ascii="Arial" w:eastAsia="Calibri" w:hAnsi="Arial" w:cs="Arial"/>
          <w:bCs/>
          <w:color w:val="000000"/>
          <w:sz w:val="22"/>
          <w:szCs w:val="22"/>
          <w:lang w:eastAsia="en-US"/>
        </w:rPr>
        <w:t xml:space="preserve">SGR o recursos propios, para atender necesidades de la entidad territorial en el área de infraestructura de agua potable y saneamiento básico. En tal sentido, se preguntó si dicha empresa se </w:t>
      </w:r>
      <w:r w:rsidR="00504F88">
        <w:rPr>
          <w:rFonts w:ascii="Arial" w:eastAsia="Calibri" w:hAnsi="Arial" w:cs="Arial"/>
          <w:bCs/>
          <w:color w:val="000000"/>
          <w:sz w:val="22"/>
          <w:szCs w:val="22"/>
          <w:lang w:eastAsia="en-US"/>
        </w:rPr>
        <w:t xml:space="preserve">encontraba </w:t>
      </w:r>
      <w:r w:rsidR="00295820" w:rsidRPr="00295820">
        <w:rPr>
          <w:rFonts w:ascii="Arial" w:eastAsia="Calibri" w:hAnsi="Arial" w:cs="Arial"/>
          <w:bCs/>
          <w:color w:val="000000"/>
          <w:sz w:val="22"/>
          <w:szCs w:val="22"/>
          <w:lang w:eastAsia="en-US"/>
        </w:rPr>
        <w:t xml:space="preserve">obligada a </w:t>
      </w:r>
      <w:r w:rsidR="00504F88">
        <w:rPr>
          <w:rFonts w:ascii="Arial" w:eastAsia="Calibri" w:hAnsi="Arial" w:cs="Arial"/>
          <w:bCs/>
          <w:color w:val="000000"/>
          <w:sz w:val="22"/>
          <w:szCs w:val="22"/>
          <w:lang w:eastAsia="en-US"/>
        </w:rPr>
        <w:t>aplicar</w:t>
      </w:r>
      <w:r w:rsidR="00295820" w:rsidRPr="00295820">
        <w:rPr>
          <w:rFonts w:ascii="Arial" w:eastAsia="Calibri" w:hAnsi="Arial" w:cs="Arial"/>
          <w:bCs/>
          <w:color w:val="000000"/>
          <w:sz w:val="22"/>
          <w:szCs w:val="22"/>
          <w:lang w:eastAsia="en-US"/>
        </w:rPr>
        <w:t xml:space="preserve"> los documentos tipo adoptados </w:t>
      </w:r>
      <w:r w:rsidR="00504F88">
        <w:rPr>
          <w:rFonts w:ascii="Arial" w:eastAsia="Calibri" w:hAnsi="Arial" w:cs="Arial"/>
          <w:bCs/>
          <w:color w:val="000000"/>
          <w:sz w:val="22"/>
          <w:szCs w:val="22"/>
          <w:lang w:eastAsia="en-US"/>
        </w:rPr>
        <w:t>mediante</w:t>
      </w:r>
      <w:r w:rsidR="00504F88" w:rsidRPr="00295820">
        <w:rPr>
          <w:rFonts w:ascii="Arial" w:eastAsia="Calibri" w:hAnsi="Arial" w:cs="Arial"/>
          <w:bCs/>
          <w:color w:val="000000"/>
          <w:sz w:val="22"/>
          <w:szCs w:val="22"/>
          <w:lang w:eastAsia="en-US"/>
        </w:rPr>
        <w:t xml:space="preserve"> </w:t>
      </w:r>
      <w:r w:rsidR="00295820" w:rsidRPr="00295820">
        <w:rPr>
          <w:rFonts w:ascii="Arial" w:eastAsia="Calibri" w:hAnsi="Arial" w:cs="Arial"/>
          <w:bCs/>
          <w:color w:val="000000"/>
          <w:sz w:val="22"/>
          <w:szCs w:val="22"/>
          <w:lang w:eastAsia="en-US"/>
        </w:rPr>
        <w:t xml:space="preserve">las Resoluciones 248 y 249 de 2020, </w:t>
      </w:r>
      <w:r w:rsidR="00F10003">
        <w:rPr>
          <w:rFonts w:ascii="Arial" w:eastAsia="Calibri" w:hAnsi="Arial" w:cs="Arial"/>
          <w:bCs/>
          <w:color w:val="000000"/>
          <w:sz w:val="22"/>
          <w:szCs w:val="22"/>
          <w:lang w:eastAsia="en-US"/>
        </w:rPr>
        <w:t xml:space="preserve">cuando </w:t>
      </w:r>
      <w:r w:rsidR="00295820" w:rsidRPr="00295820">
        <w:rPr>
          <w:rFonts w:ascii="Arial" w:eastAsia="Calibri" w:hAnsi="Arial" w:cs="Arial"/>
          <w:bCs/>
          <w:color w:val="000000"/>
          <w:sz w:val="22"/>
          <w:szCs w:val="22"/>
          <w:lang w:eastAsia="en-US"/>
        </w:rPr>
        <w:t>celebr</w:t>
      </w:r>
      <w:r w:rsidR="00504F88">
        <w:rPr>
          <w:rFonts w:ascii="Arial" w:eastAsia="Calibri" w:hAnsi="Arial" w:cs="Arial"/>
          <w:bCs/>
          <w:color w:val="000000"/>
          <w:sz w:val="22"/>
          <w:szCs w:val="22"/>
          <w:lang w:eastAsia="en-US"/>
        </w:rPr>
        <w:t>ara</w:t>
      </w:r>
      <w:r w:rsidR="00295820" w:rsidRPr="00295820">
        <w:rPr>
          <w:rFonts w:ascii="Arial" w:eastAsia="Calibri" w:hAnsi="Arial" w:cs="Arial"/>
          <w:bCs/>
          <w:color w:val="000000"/>
          <w:sz w:val="22"/>
          <w:szCs w:val="22"/>
          <w:lang w:eastAsia="en-US"/>
        </w:rPr>
        <w:t xml:space="preserve"> los respectivos contratos que se desprend</w:t>
      </w:r>
      <w:r w:rsidR="00504F88">
        <w:rPr>
          <w:rFonts w:ascii="Arial" w:eastAsia="Calibri" w:hAnsi="Arial" w:cs="Arial"/>
          <w:bCs/>
          <w:color w:val="000000"/>
          <w:sz w:val="22"/>
          <w:szCs w:val="22"/>
          <w:lang w:eastAsia="en-US"/>
        </w:rPr>
        <w:t>ieran</w:t>
      </w:r>
      <w:r w:rsidR="00295820" w:rsidRPr="00295820">
        <w:rPr>
          <w:rFonts w:ascii="Arial" w:eastAsia="Calibri" w:hAnsi="Arial" w:cs="Arial"/>
          <w:bCs/>
          <w:color w:val="000000"/>
          <w:sz w:val="22"/>
          <w:szCs w:val="22"/>
          <w:lang w:eastAsia="en-US"/>
        </w:rPr>
        <w:t xml:space="preserve"> de las obligaciones contraídas en el contrato principal. </w:t>
      </w:r>
    </w:p>
    <w:p w14:paraId="67F11D49" w14:textId="6471C0E9" w:rsidR="00A431A2" w:rsidRPr="00A431A2" w:rsidRDefault="003852D5" w:rsidP="00A431A2">
      <w:pPr>
        <w:spacing w:before="120" w:line="276" w:lineRule="auto"/>
        <w:ind w:firstLine="709"/>
        <w:jc w:val="both"/>
        <w:rPr>
          <w:rFonts w:ascii="Arial" w:eastAsia="Calibri" w:hAnsi="Arial" w:cs="Arial"/>
          <w:color w:val="000000" w:themeColor="text1"/>
          <w:sz w:val="22"/>
          <w:lang w:val="es-ES_tradnl"/>
        </w:rPr>
      </w:pPr>
      <w:r w:rsidRPr="003852D5">
        <w:rPr>
          <w:rFonts w:ascii="Arial" w:eastAsia="Calibri" w:hAnsi="Arial" w:cs="Arial"/>
          <w:bCs/>
          <w:color w:val="000000"/>
          <w:sz w:val="22"/>
          <w:szCs w:val="22"/>
          <w:lang w:eastAsia="en-US"/>
        </w:rPr>
        <w:t xml:space="preserve">Con el fin de responder dicha petición, </w:t>
      </w:r>
      <w:r w:rsidR="00F10003">
        <w:rPr>
          <w:rFonts w:ascii="Arial" w:eastAsia="Calibri" w:hAnsi="Arial" w:cs="Arial"/>
          <w:bCs/>
          <w:color w:val="000000"/>
          <w:sz w:val="22"/>
          <w:szCs w:val="22"/>
          <w:lang w:eastAsia="en-US"/>
        </w:rPr>
        <w:t>esta</w:t>
      </w:r>
      <w:r w:rsidRPr="003852D5">
        <w:rPr>
          <w:rFonts w:ascii="Arial" w:eastAsia="Calibri" w:hAnsi="Arial" w:cs="Arial"/>
          <w:bCs/>
          <w:color w:val="000000"/>
          <w:sz w:val="22"/>
          <w:szCs w:val="22"/>
          <w:lang w:eastAsia="en-US"/>
        </w:rPr>
        <w:t xml:space="preserve"> Subdirección analizó el régimen </w:t>
      </w:r>
      <w:r w:rsidRPr="003852D5">
        <w:rPr>
          <w:rFonts w:ascii="Arial" w:eastAsia="Calibri" w:hAnsi="Arial" w:cs="Arial"/>
          <w:bCs/>
          <w:color w:val="000000"/>
          <w:sz w:val="22"/>
          <w:szCs w:val="22"/>
          <w:lang w:val="es-ES_tradnl" w:eastAsia="en-US"/>
        </w:rPr>
        <w:t>contractual aplicable a las empresas prestadoras de servicios públicos domiciliarios</w:t>
      </w:r>
      <w:r w:rsidR="001A42FB">
        <w:rPr>
          <w:rFonts w:ascii="Arial" w:eastAsia="Calibri" w:hAnsi="Arial" w:cs="Arial"/>
          <w:bCs/>
          <w:color w:val="000000"/>
          <w:sz w:val="22"/>
          <w:szCs w:val="22"/>
          <w:lang w:val="es-ES_tradnl" w:eastAsia="en-US"/>
        </w:rPr>
        <w:t>. En este contexto</w:t>
      </w:r>
      <w:r w:rsidR="00F10003">
        <w:rPr>
          <w:rFonts w:ascii="Arial" w:eastAsia="Calibri" w:hAnsi="Arial" w:cs="Arial"/>
          <w:bCs/>
          <w:color w:val="000000"/>
          <w:sz w:val="22"/>
          <w:szCs w:val="22"/>
          <w:lang w:val="es-ES_tradnl" w:eastAsia="en-US"/>
        </w:rPr>
        <w:t>,</w:t>
      </w:r>
      <w:r w:rsidR="001A42FB">
        <w:rPr>
          <w:rFonts w:ascii="Arial" w:eastAsia="Calibri" w:hAnsi="Arial" w:cs="Arial"/>
          <w:bCs/>
          <w:color w:val="000000"/>
          <w:sz w:val="22"/>
          <w:szCs w:val="22"/>
          <w:lang w:val="es-ES_tradnl" w:eastAsia="en-US"/>
        </w:rPr>
        <w:t xml:space="preserve"> se</w:t>
      </w:r>
      <w:r w:rsidRPr="003852D5">
        <w:rPr>
          <w:rFonts w:ascii="Arial" w:eastAsia="Calibri" w:hAnsi="Arial" w:cs="Arial"/>
          <w:bCs/>
          <w:color w:val="000000"/>
          <w:sz w:val="22"/>
          <w:szCs w:val="22"/>
          <w:lang w:val="es-ES_tradnl" w:eastAsia="en-US"/>
        </w:rPr>
        <w:t xml:space="preserve"> </w:t>
      </w:r>
      <w:r>
        <w:rPr>
          <w:rFonts w:ascii="Arial" w:eastAsia="Calibri" w:hAnsi="Arial" w:cs="Arial"/>
          <w:bCs/>
          <w:color w:val="000000"/>
          <w:sz w:val="22"/>
          <w:szCs w:val="22"/>
          <w:lang w:val="es-ES_tradnl" w:eastAsia="en-US"/>
        </w:rPr>
        <w:t xml:space="preserve">indicó </w:t>
      </w:r>
      <w:r w:rsidRPr="003852D5">
        <w:rPr>
          <w:rFonts w:ascii="Arial" w:eastAsia="Calibri" w:hAnsi="Arial" w:cs="Arial"/>
          <w:bCs/>
          <w:color w:val="000000"/>
          <w:sz w:val="22"/>
          <w:szCs w:val="22"/>
          <w:lang w:val="es-ES_tradnl" w:eastAsia="en-US"/>
        </w:rPr>
        <w:t xml:space="preserve">que </w:t>
      </w:r>
      <w:r w:rsidR="00A431A2">
        <w:rPr>
          <w:rFonts w:ascii="Arial" w:eastAsia="Calibri" w:hAnsi="Arial" w:cs="Arial"/>
          <w:bCs/>
          <w:color w:val="000000"/>
          <w:sz w:val="22"/>
          <w:szCs w:val="22"/>
          <w:lang w:val="es-ES_tradnl" w:eastAsia="en-US"/>
        </w:rPr>
        <w:t>en virtud d</w:t>
      </w:r>
      <w:r w:rsidR="00A431A2" w:rsidRPr="00A431A2">
        <w:rPr>
          <w:rFonts w:ascii="Arial" w:eastAsia="Calibri" w:hAnsi="Arial" w:cs="Arial"/>
          <w:color w:val="000000" w:themeColor="text1"/>
          <w:sz w:val="22"/>
          <w:lang w:val="es-ES_tradnl"/>
        </w:rPr>
        <w:t>e</w:t>
      </w:r>
      <w:r w:rsidR="00A431A2">
        <w:rPr>
          <w:rFonts w:ascii="Arial" w:eastAsia="Calibri" w:hAnsi="Arial" w:cs="Arial"/>
          <w:color w:val="000000" w:themeColor="text1"/>
          <w:sz w:val="22"/>
          <w:lang w:val="es-ES_tradnl"/>
        </w:rPr>
        <w:t xml:space="preserve"> los </w:t>
      </w:r>
      <w:r w:rsidR="00A431A2" w:rsidRPr="00A431A2">
        <w:rPr>
          <w:rFonts w:ascii="Arial" w:eastAsia="Calibri" w:hAnsi="Arial" w:cs="Arial"/>
          <w:color w:val="000000" w:themeColor="text1"/>
          <w:sz w:val="22"/>
          <w:lang w:val="es-ES_tradnl"/>
        </w:rPr>
        <w:t>artículo</w:t>
      </w:r>
      <w:r w:rsidR="006758BE">
        <w:rPr>
          <w:rFonts w:ascii="Arial" w:eastAsia="Calibri" w:hAnsi="Arial" w:cs="Arial"/>
          <w:color w:val="000000" w:themeColor="text1"/>
          <w:sz w:val="22"/>
          <w:lang w:val="es-ES_tradnl"/>
        </w:rPr>
        <w:t>s</w:t>
      </w:r>
      <w:r w:rsidR="00A431A2" w:rsidRPr="00A431A2">
        <w:rPr>
          <w:rFonts w:ascii="Arial" w:eastAsia="Calibri" w:hAnsi="Arial" w:cs="Arial"/>
          <w:color w:val="000000" w:themeColor="text1"/>
          <w:sz w:val="22"/>
          <w:lang w:val="es-ES_tradnl"/>
        </w:rPr>
        <w:t xml:space="preserve"> 31 </w:t>
      </w:r>
      <w:r w:rsidR="00A431A2">
        <w:rPr>
          <w:rFonts w:ascii="Arial" w:eastAsia="Calibri" w:hAnsi="Arial" w:cs="Arial"/>
          <w:color w:val="000000" w:themeColor="text1"/>
          <w:sz w:val="22"/>
          <w:lang w:val="es-ES_tradnl"/>
        </w:rPr>
        <w:t xml:space="preserve">y 32 </w:t>
      </w:r>
      <w:r w:rsidR="00A431A2" w:rsidRPr="00A431A2">
        <w:rPr>
          <w:rFonts w:ascii="Arial" w:eastAsia="Calibri" w:hAnsi="Arial" w:cs="Arial"/>
          <w:color w:val="000000" w:themeColor="text1"/>
          <w:sz w:val="22"/>
          <w:lang w:val="es-ES_tradnl"/>
        </w:rPr>
        <w:t xml:space="preserve">de la Ley 142 de 1994, modificado por el artículo 3 de la Ley 689 de 2001, </w:t>
      </w:r>
      <w:r w:rsidR="00A431A2" w:rsidRPr="00A431A2">
        <w:rPr>
          <w:rFonts w:ascii="Arial" w:eastAsiaTheme="minorHAnsi" w:hAnsi="Arial" w:cs="Arial"/>
          <w:color w:val="000000"/>
          <w:sz w:val="22"/>
          <w:szCs w:val="22"/>
          <w:bdr w:val="none" w:sz="0" w:space="0" w:color="auto" w:frame="1"/>
          <w:lang w:val="es-MX" w:eastAsia="en-US"/>
        </w:rPr>
        <w:t>los contratos que celebren las entidades estatales que prestan los servicios públicos domiciliarios no estarán sujetos a las disposiciones del Estatuto General de Contratación de la Administración Pública, salvo en lo que la ley disponga otra cos</w:t>
      </w:r>
      <w:r w:rsidR="00F10003">
        <w:rPr>
          <w:rFonts w:ascii="Arial" w:eastAsiaTheme="minorHAnsi" w:hAnsi="Arial" w:cs="Arial"/>
          <w:color w:val="000000"/>
          <w:sz w:val="22"/>
          <w:szCs w:val="22"/>
          <w:bdr w:val="none" w:sz="0" w:space="0" w:color="auto" w:frame="1"/>
          <w:lang w:val="es-MX" w:eastAsia="en-US"/>
        </w:rPr>
        <w:t>a y sus actos se regirán por las reglas del derecho privado</w:t>
      </w:r>
      <w:r w:rsidR="00A431A2" w:rsidRPr="00A431A2">
        <w:rPr>
          <w:rFonts w:ascii="Arial" w:eastAsia="Calibri" w:hAnsi="Arial" w:cs="Arial"/>
          <w:color w:val="000000" w:themeColor="text1"/>
          <w:sz w:val="22"/>
          <w:lang w:val="es-ES_tradnl"/>
        </w:rPr>
        <w:t>.</w:t>
      </w:r>
    </w:p>
    <w:p w14:paraId="0E18AD76" w14:textId="0BE3030F" w:rsidR="00A431A2" w:rsidRDefault="00F10003" w:rsidP="00050021">
      <w:pPr>
        <w:spacing w:before="120" w:line="276" w:lineRule="auto"/>
        <w:ind w:firstLine="709"/>
        <w:jc w:val="both"/>
        <w:rPr>
          <w:rFonts w:ascii="Arial" w:eastAsia="Calibri" w:hAnsi="Arial" w:cs="Arial"/>
          <w:bCs/>
          <w:color w:val="000000"/>
          <w:sz w:val="22"/>
          <w:szCs w:val="22"/>
          <w:lang w:val="es-ES_tradnl" w:eastAsia="en-US"/>
        </w:rPr>
      </w:pPr>
      <w:r>
        <w:rPr>
          <w:rFonts w:ascii="Arial" w:eastAsia="Calibri" w:hAnsi="Arial" w:cs="Arial"/>
          <w:color w:val="000000" w:themeColor="text1"/>
          <w:sz w:val="22"/>
          <w:lang w:val="es-ES_tradnl"/>
        </w:rPr>
        <w:t xml:space="preserve">De esta manera, se </w:t>
      </w:r>
      <w:r w:rsidR="009F74FA">
        <w:rPr>
          <w:rFonts w:ascii="Arial" w:eastAsia="Calibri" w:hAnsi="Arial" w:cs="Arial"/>
          <w:color w:val="000000" w:themeColor="text1"/>
          <w:sz w:val="22"/>
          <w:lang w:val="es-ES_tradnl"/>
        </w:rPr>
        <w:t>indicó</w:t>
      </w:r>
      <w:r>
        <w:rPr>
          <w:rFonts w:ascii="Arial" w:eastAsia="Calibri" w:hAnsi="Arial" w:cs="Arial"/>
          <w:color w:val="000000" w:themeColor="text1"/>
          <w:sz w:val="22"/>
          <w:lang w:val="es-ES_tradnl"/>
        </w:rPr>
        <w:t xml:space="preserve"> que </w:t>
      </w:r>
      <w:r w:rsidR="00A431A2" w:rsidRPr="00A431A2">
        <w:rPr>
          <w:rFonts w:ascii="Arial" w:eastAsia="Calibri" w:hAnsi="Arial" w:cs="Arial"/>
          <w:color w:val="000000" w:themeColor="text1"/>
          <w:sz w:val="22"/>
          <w:lang w:val="es-ES_tradnl"/>
        </w:rPr>
        <w:t>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00A431A2" w:rsidRPr="00A431A2">
        <w:rPr>
          <w:rFonts w:ascii="Arial" w:eastAsia="Calibri" w:hAnsi="Arial" w:cs="Arial"/>
          <w:color w:val="000000" w:themeColor="text1"/>
          <w:sz w:val="21"/>
          <w:szCs w:val="21"/>
          <w:vertAlign w:val="superscript"/>
          <w:lang w:val="es-ES_tradnl"/>
        </w:rPr>
        <w:footnoteReference w:id="7"/>
      </w:r>
      <w:r w:rsidR="00A431A2" w:rsidRPr="00A431A2">
        <w:rPr>
          <w:rFonts w:ascii="Arial" w:eastAsia="Calibri" w:hAnsi="Arial" w:cs="Arial"/>
          <w:color w:val="000000" w:themeColor="text1"/>
          <w:sz w:val="21"/>
          <w:szCs w:val="21"/>
          <w:lang w:val="es-ES_tradnl"/>
        </w:rPr>
        <w:t>.</w:t>
      </w:r>
      <w:r w:rsidR="00A431A2" w:rsidRPr="00A431A2">
        <w:rPr>
          <w:rFonts w:ascii="Arial" w:eastAsia="Calibri" w:hAnsi="Arial" w:cs="Arial"/>
          <w:color w:val="000000" w:themeColor="text1"/>
          <w:sz w:val="22"/>
          <w:lang w:val="es-ES_tradnl"/>
        </w:rPr>
        <w:t xml:space="preserve"> En otras palabras, las empresas prestadoras de servicios públicos domiciliarios se sujetan, en su actividad contractual, a las </w:t>
      </w:r>
      <w:r w:rsidR="00A431A2" w:rsidRPr="00A431A2">
        <w:rPr>
          <w:rFonts w:ascii="Arial" w:eastAsia="Calibri" w:hAnsi="Arial" w:cs="Arial"/>
          <w:color w:val="000000" w:themeColor="text1"/>
          <w:sz w:val="22"/>
          <w:lang w:val="es-ES_tradnl"/>
        </w:rPr>
        <w:lastRenderedPageBreak/>
        <w:t>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3150A58A" w14:textId="7CE28A9E" w:rsidR="00050021" w:rsidRDefault="003852D5" w:rsidP="00050021">
      <w:pPr>
        <w:spacing w:before="120" w:line="276" w:lineRule="auto"/>
        <w:ind w:firstLine="709"/>
        <w:jc w:val="both"/>
        <w:rPr>
          <w:rFonts w:ascii="Arial" w:eastAsia="Calibri" w:hAnsi="Arial" w:cs="Arial"/>
          <w:bCs/>
          <w:color w:val="000000"/>
          <w:sz w:val="22"/>
          <w:szCs w:val="22"/>
          <w:lang w:eastAsia="en-US"/>
        </w:rPr>
      </w:pPr>
      <w:r w:rsidRPr="003852D5">
        <w:rPr>
          <w:rFonts w:ascii="Arial" w:eastAsia="Calibri" w:hAnsi="Arial" w:cs="Arial"/>
          <w:bCs/>
          <w:color w:val="000000"/>
          <w:sz w:val="22"/>
          <w:szCs w:val="22"/>
          <w:lang w:val="es-ES_tradnl" w:eastAsia="en-US"/>
        </w:rPr>
        <w:t>Posteriormente, se analizó el ámbito de aplicación de los documentos tipo de</w:t>
      </w:r>
      <w:r w:rsidR="00050021">
        <w:rPr>
          <w:rFonts w:ascii="Arial" w:eastAsia="Calibri" w:hAnsi="Arial" w:cs="Arial"/>
          <w:bCs/>
          <w:color w:val="000000"/>
          <w:sz w:val="22"/>
          <w:szCs w:val="22"/>
          <w:lang w:val="es-ES_tradnl" w:eastAsia="en-US"/>
        </w:rPr>
        <w:t xml:space="preserve"> agua potable y saneamiento básico a</w:t>
      </w:r>
      <w:r w:rsidRPr="003852D5">
        <w:rPr>
          <w:rFonts w:ascii="Arial" w:eastAsia="Calibri" w:hAnsi="Arial" w:cs="Arial"/>
          <w:bCs/>
          <w:color w:val="000000"/>
          <w:sz w:val="22"/>
          <w:szCs w:val="22"/>
          <w:lang w:val="es-ES_tradnl" w:eastAsia="en-US"/>
        </w:rPr>
        <w:t>doptados mediante Resoluciones 248 y 249 de 2020</w:t>
      </w:r>
      <w:r w:rsidR="00AB04D6">
        <w:rPr>
          <w:rFonts w:ascii="Arial" w:eastAsia="Calibri" w:hAnsi="Arial" w:cs="Arial"/>
          <w:bCs/>
          <w:color w:val="000000"/>
          <w:sz w:val="22"/>
          <w:szCs w:val="22"/>
          <w:lang w:val="es-ES_tradnl" w:eastAsia="en-US"/>
        </w:rPr>
        <w:t>. En este contexto,</w:t>
      </w:r>
      <w:r w:rsidR="00AA4F3D">
        <w:rPr>
          <w:rFonts w:ascii="Arial" w:eastAsia="Calibri" w:hAnsi="Arial" w:cs="Arial"/>
          <w:bCs/>
          <w:color w:val="000000"/>
          <w:sz w:val="22"/>
          <w:szCs w:val="22"/>
          <w:lang w:val="es-ES_tradnl" w:eastAsia="en-US"/>
        </w:rPr>
        <w:t xml:space="preserve"> se </w:t>
      </w:r>
      <w:r w:rsidR="00376A1F">
        <w:rPr>
          <w:rFonts w:ascii="Arial" w:eastAsia="Calibri" w:hAnsi="Arial" w:cs="Arial"/>
          <w:bCs/>
          <w:color w:val="000000"/>
          <w:sz w:val="22"/>
          <w:szCs w:val="22"/>
          <w:lang w:val="es-ES_tradnl" w:eastAsia="en-US"/>
        </w:rPr>
        <w:t xml:space="preserve">mencionó </w:t>
      </w:r>
      <w:r w:rsidRPr="003852D5">
        <w:rPr>
          <w:rFonts w:ascii="Arial" w:eastAsia="Calibri" w:hAnsi="Arial" w:cs="Arial"/>
          <w:bCs/>
          <w:color w:val="000000"/>
          <w:sz w:val="22"/>
          <w:szCs w:val="22"/>
          <w:lang w:val="es-ES_tradnl" w:eastAsia="en-US"/>
        </w:rPr>
        <w:t xml:space="preserve">que </w:t>
      </w:r>
      <w:r w:rsidRPr="003852D5">
        <w:rPr>
          <w:rFonts w:ascii="Arial" w:eastAsia="Calibri" w:hAnsi="Arial" w:cs="Arial"/>
          <w:bCs/>
          <w:color w:val="000000"/>
          <w:sz w:val="22"/>
          <w:szCs w:val="22"/>
          <w:lang w:val="es-ES" w:eastAsia="en-US"/>
        </w:rPr>
        <w:t>los criterios para determinar si procede de forma obligatoria la contratación de una actividad mediante los documentos tipo son los siguientes: i) que se trate de una obra pública de infraestructura de agua potable y saneamiento básico, cuyo proceso de selección deba adelantarse por licitación; </w:t>
      </w:r>
      <w:proofErr w:type="spellStart"/>
      <w:r w:rsidRPr="003852D5">
        <w:rPr>
          <w:rFonts w:ascii="Arial" w:eastAsia="Calibri" w:hAnsi="Arial" w:cs="Arial"/>
          <w:bCs/>
          <w:color w:val="000000"/>
          <w:sz w:val="22"/>
          <w:szCs w:val="22"/>
          <w:lang w:val="es-ES" w:eastAsia="en-US"/>
        </w:rPr>
        <w:t>ii</w:t>
      </w:r>
      <w:proofErr w:type="spellEnd"/>
      <w:r w:rsidRPr="003852D5">
        <w:rPr>
          <w:rFonts w:ascii="Arial" w:eastAsia="Calibri" w:hAnsi="Arial" w:cs="Arial"/>
          <w:bCs/>
          <w:color w:val="000000"/>
          <w:sz w:val="22"/>
          <w:szCs w:val="22"/>
          <w:lang w:val="es-ES" w:eastAsia="en-US"/>
        </w:rPr>
        <w:t xml:space="preserve">) que </w:t>
      </w:r>
      <w:r w:rsidRPr="003852D5">
        <w:rPr>
          <w:rFonts w:ascii="Arial" w:eastAsia="Calibri" w:hAnsi="Arial" w:cs="Arial"/>
          <w:bCs/>
          <w:color w:val="000000"/>
          <w:sz w:val="22"/>
          <w:szCs w:val="22"/>
          <w:lang w:val="es-MX" w:eastAsia="en-US"/>
        </w:rPr>
        <w:t>la contratación esté sometida</w:t>
      </w:r>
      <w:r w:rsidRPr="003852D5">
        <w:rPr>
          <w:rFonts w:ascii="Arial" w:eastAsia="Calibri" w:hAnsi="Arial" w:cs="Arial"/>
          <w:bCs/>
          <w:color w:val="000000"/>
          <w:sz w:val="22"/>
          <w:szCs w:val="22"/>
          <w:lang w:val="es-ES" w:eastAsia="en-US"/>
        </w:rPr>
        <w:t xml:space="preserve"> al Estatuto General de Contratación de la Administración Pública; y </w:t>
      </w:r>
      <w:proofErr w:type="spellStart"/>
      <w:r w:rsidRPr="003852D5">
        <w:rPr>
          <w:rFonts w:ascii="Arial" w:eastAsia="Calibri" w:hAnsi="Arial" w:cs="Arial"/>
          <w:bCs/>
          <w:color w:val="000000"/>
          <w:sz w:val="22"/>
          <w:szCs w:val="22"/>
          <w:lang w:val="es-ES" w:eastAsia="en-US"/>
        </w:rPr>
        <w:t>iii</w:t>
      </w:r>
      <w:proofErr w:type="spellEnd"/>
      <w:r w:rsidRPr="003852D5">
        <w:rPr>
          <w:rFonts w:ascii="Arial" w:eastAsia="Calibri" w:hAnsi="Arial" w:cs="Arial"/>
          <w:bCs/>
          <w:color w:val="000000"/>
          <w:sz w:val="22"/>
          <w:szCs w:val="22"/>
          <w:lang w:val="es-ES" w:eastAsia="en-US"/>
        </w:rPr>
        <w:t xml:space="preserve">) que el objeto a contratar esté asociado a alguno de los tipos de obra y actividades señaladas en la </w:t>
      </w:r>
      <w:r w:rsidRPr="003852D5">
        <w:rPr>
          <w:rFonts w:ascii="Arial" w:eastAsia="Calibri" w:hAnsi="Arial" w:cs="Arial"/>
          <w:bCs/>
          <w:color w:val="000000"/>
          <w:sz w:val="22"/>
          <w:szCs w:val="22"/>
          <w:lang w:eastAsia="en-US"/>
        </w:rPr>
        <w:t>«</w:t>
      </w:r>
      <w:r w:rsidRPr="003852D5">
        <w:rPr>
          <w:rFonts w:ascii="Arial" w:eastAsia="Calibri" w:hAnsi="Arial" w:cs="Arial"/>
          <w:bCs/>
          <w:color w:val="000000"/>
          <w:sz w:val="22"/>
          <w:szCs w:val="22"/>
          <w:lang w:val="es-ES" w:eastAsia="en-US"/>
        </w:rPr>
        <w:t>Matriz 1 – Experiencia</w:t>
      </w:r>
      <w:r w:rsidRPr="003852D5">
        <w:rPr>
          <w:rFonts w:ascii="Arial" w:eastAsia="Calibri" w:hAnsi="Arial" w:cs="Arial"/>
          <w:bCs/>
          <w:color w:val="000000"/>
          <w:sz w:val="22"/>
          <w:szCs w:val="22"/>
          <w:lang w:val="es-MX" w:eastAsia="en-US"/>
        </w:rPr>
        <w:t>»</w:t>
      </w:r>
      <w:r w:rsidRPr="003852D5">
        <w:rPr>
          <w:rFonts w:ascii="Arial" w:eastAsia="Calibri" w:hAnsi="Arial" w:cs="Arial"/>
          <w:bCs/>
          <w:color w:val="000000"/>
          <w:sz w:val="22"/>
          <w:szCs w:val="22"/>
          <w:lang w:val="es-ES" w:eastAsia="en-US"/>
        </w:rPr>
        <w:t>. Así, con independencia de la procedencia de los recursos para la ejecución del contrato, la concurrencia de estos criterios hace que resulte obligatoria la aplicación de los documentos tipo.</w:t>
      </w:r>
    </w:p>
    <w:p w14:paraId="6A28B355" w14:textId="192ACC35" w:rsidR="003852D5" w:rsidRDefault="00050021" w:rsidP="00050021">
      <w:pPr>
        <w:spacing w:before="120" w:line="276" w:lineRule="auto"/>
        <w:ind w:firstLine="709"/>
        <w:jc w:val="both"/>
        <w:rPr>
          <w:rFonts w:ascii="Arial" w:eastAsia="Calibri" w:hAnsi="Arial" w:cs="Arial"/>
          <w:bCs/>
          <w:color w:val="000000"/>
          <w:sz w:val="22"/>
          <w:szCs w:val="22"/>
          <w:lang w:eastAsia="en-US"/>
        </w:rPr>
      </w:pPr>
      <w:r>
        <w:rPr>
          <w:rFonts w:ascii="Arial" w:eastAsia="Calibri" w:hAnsi="Arial" w:cs="Arial"/>
          <w:bCs/>
          <w:color w:val="000000"/>
          <w:sz w:val="22"/>
          <w:szCs w:val="22"/>
          <w:lang w:val="es-ES" w:eastAsia="en-US"/>
        </w:rPr>
        <w:t>Con fundamento en esas consideraciones</w:t>
      </w:r>
      <w:r w:rsidR="003852D5" w:rsidRPr="003852D5">
        <w:rPr>
          <w:rFonts w:ascii="Arial" w:eastAsia="Calibri" w:hAnsi="Arial" w:cs="Arial"/>
          <w:bCs/>
          <w:color w:val="000000"/>
          <w:sz w:val="22"/>
          <w:szCs w:val="22"/>
          <w:lang w:val="es-ES" w:eastAsia="en-US"/>
        </w:rPr>
        <w:t xml:space="preserve">, en el </w:t>
      </w:r>
      <w:r w:rsidR="00AE1BBA">
        <w:rPr>
          <w:rFonts w:ascii="Arial" w:eastAsia="Calibri" w:hAnsi="Arial" w:cs="Arial"/>
          <w:bCs/>
          <w:color w:val="000000"/>
          <w:sz w:val="22"/>
          <w:szCs w:val="22"/>
          <w:lang w:val="es-ES" w:eastAsia="en-US"/>
        </w:rPr>
        <w:t>C</w:t>
      </w:r>
      <w:r w:rsidR="003852D5" w:rsidRPr="003852D5">
        <w:rPr>
          <w:rFonts w:ascii="Arial" w:eastAsia="Calibri" w:hAnsi="Arial" w:cs="Arial"/>
          <w:bCs/>
          <w:color w:val="000000"/>
          <w:sz w:val="22"/>
          <w:szCs w:val="22"/>
          <w:lang w:val="es-ES" w:eastAsia="en-US"/>
        </w:rPr>
        <w:t xml:space="preserve">oncepto C-307 de 2021 se concluyó que </w:t>
      </w:r>
      <w:r w:rsidR="003852D5" w:rsidRPr="003852D5">
        <w:rPr>
          <w:rFonts w:ascii="Arial" w:eastAsia="Calibri" w:hAnsi="Arial" w:cs="Arial"/>
          <w:bCs/>
          <w:color w:val="000000"/>
          <w:sz w:val="22"/>
          <w:szCs w:val="22"/>
          <w:lang w:eastAsia="en-US"/>
        </w:rPr>
        <w:t xml:space="preserve">debido a que las empresas de servicios públicos domiciliarios </w:t>
      </w:r>
      <w:r w:rsidR="003852D5" w:rsidRPr="003852D5">
        <w:rPr>
          <w:rFonts w:ascii="Arial" w:eastAsia="Calibri" w:hAnsi="Arial" w:cs="Arial"/>
          <w:bCs/>
          <w:color w:val="000000"/>
          <w:sz w:val="22"/>
          <w:szCs w:val="22"/>
          <w:lang w:val="es-ES_tradnl" w:eastAsia="en-US"/>
        </w:rPr>
        <w:t xml:space="preserve">se sujetan, en su actividad contractual, a las disposiciones del derecho privado, los documentos tipo de </w:t>
      </w:r>
      <w:r w:rsidR="003852D5" w:rsidRPr="003852D5">
        <w:rPr>
          <w:rFonts w:ascii="Arial" w:eastAsia="Calibri" w:hAnsi="Arial" w:cs="Arial"/>
          <w:bCs/>
          <w:color w:val="000000"/>
          <w:sz w:val="22"/>
          <w:szCs w:val="22"/>
          <w:lang w:eastAsia="en-US"/>
        </w:rPr>
        <w:t xml:space="preserve">infraestructura de agua potable y saneamiento básico no son de obligatorio cumplimiento por parte de aquellas. Por consiguiente, en los casos en que las empresas de servicios públicos ejecuten proyectos de esta naturaleza, no tienen por obligación aplicar los documentos tipo, sin perjuicio de que estas los adopten como políticas de buenas prácticas contractuales. </w:t>
      </w:r>
      <w:r w:rsidR="00815C82">
        <w:rPr>
          <w:rFonts w:ascii="Arial" w:eastAsia="Calibri" w:hAnsi="Arial" w:cs="Arial"/>
          <w:bCs/>
          <w:color w:val="000000"/>
          <w:sz w:val="22"/>
          <w:szCs w:val="22"/>
          <w:lang w:eastAsia="en-US"/>
        </w:rPr>
        <w:t>Asimismo</w:t>
      </w:r>
      <w:r w:rsidR="00D64C97">
        <w:rPr>
          <w:rFonts w:ascii="Arial" w:eastAsia="Calibri" w:hAnsi="Arial" w:cs="Arial"/>
          <w:bCs/>
          <w:color w:val="000000"/>
          <w:sz w:val="22"/>
          <w:szCs w:val="22"/>
          <w:lang w:eastAsia="en-US"/>
        </w:rPr>
        <w:t>,</w:t>
      </w:r>
      <w:r w:rsidR="00815C82">
        <w:rPr>
          <w:rFonts w:ascii="Arial" w:eastAsia="Calibri" w:hAnsi="Arial" w:cs="Arial"/>
          <w:bCs/>
          <w:color w:val="000000"/>
          <w:sz w:val="22"/>
          <w:szCs w:val="22"/>
          <w:lang w:eastAsia="en-US"/>
        </w:rPr>
        <w:t xml:space="preserve"> se indicó que </w:t>
      </w:r>
      <w:r w:rsidR="00815C82">
        <w:rPr>
          <w:rFonts w:ascii="Arial" w:hAnsi="Arial" w:cs="Arial"/>
          <w:color w:val="000000"/>
          <w:sz w:val="22"/>
          <w:bdr w:val="none" w:sz="0" w:space="0" w:color="auto" w:frame="1"/>
        </w:rPr>
        <w:t>aunque se trate de entidades sujetas al derecho privado</w:t>
      </w:r>
      <w:r w:rsidR="00815C82">
        <w:rPr>
          <w:rFonts w:ascii="Arial" w:eastAsia="Calibri" w:hAnsi="Arial" w:cs="Arial"/>
          <w:color w:val="000000" w:themeColor="text1"/>
          <w:sz w:val="22"/>
          <w:lang w:val="es-ES"/>
        </w:rPr>
        <w:t xml:space="preserve">, </w:t>
      </w:r>
      <w:r w:rsidR="00815C82" w:rsidRPr="00475C92">
        <w:rPr>
          <w:rFonts w:ascii="Arial" w:eastAsia="Calibri" w:hAnsi="Arial" w:cs="Arial"/>
          <w:color w:val="000000" w:themeColor="text1"/>
          <w:sz w:val="22"/>
          <w:lang w:val="es-ES_tradnl"/>
        </w:rPr>
        <w:t>deben observar las disposiciones presupuestales, tributarias y demás normas de orden público aplicables a las entidades estatales, independientemente de su régimen contractual</w:t>
      </w:r>
      <w:r w:rsidR="007A31F6">
        <w:rPr>
          <w:rFonts w:ascii="Arial" w:eastAsia="Calibri" w:hAnsi="Arial" w:cs="Arial"/>
          <w:color w:val="000000" w:themeColor="text1"/>
          <w:sz w:val="22"/>
          <w:lang w:val="es-ES_tradnl"/>
        </w:rPr>
        <w:t>.</w:t>
      </w:r>
    </w:p>
    <w:p w14:paraId="36FB11E3" w14:textId="4E87CE62" w:rsidR="00295820" w:rsidRPr="00057B4F" w:rsidRDefault="00AA4F3D" w:rsidP="00057B4F">
      <w:pPr>
        <w:spacing w:before="120" w:line="276" w:lineRule="auto"/>
        <w:ind w:firstLine="709"/>
        <w:jc w:val="both"/>
        <w:rPr>
          <w:rFonts w:ascii="Arial" w:eastAsia="Calibri" w:hAnsi="Arial" w:cs="Arial"/>
          <w:bCs/>
          <w:sz w:val="22"/>
          <w:lang w:val="es-ES_tradnl"/>
        </w:rPr>
      </w:pPr>
      <w:r>
        <w:rPr>
          <w:rFonts w:ascii="Arial" w:eastAsia="Calibri" w:hAnsi="Arial" w:cs="Arial"/>
          <w:bCs/>
          <w:color w:val="000000"/>
          <w:sz w:val="22"/>
          <w:szCs w:val="22"/>
          <w:lang w:eastAsia="en-US"/>
        </w:rPr>
        <w:t xml:space="preserve">Sin embargo, </w:t>
      </w:r>
      <w:r w:rsidR="00815C82">
        <w:rPr>
          <w:rFonts w:ascii="Arial" w:eastAsia="Calibri" w:hAnsi="Arial" w:cs="Arial"/>
          <w:bCs/>
          <w:color w:val="000000"/>
          <w:sz w:val="22"/>
          <w:szCs w:val="22"/>
          <w:lang w:eastAsia="en-US"/>
        </w:rPr>
        <w:t>con la expedición de la Ley 2195 de 2022</w:t>
      </w:r>
      <w:r w:rsidR="00507D10">
        <w:rPr>
          <w:rFonts w:ascii="Arial" w:eastAsia="Calibri" w:hAnsi="Arial" w:cs="Arial"/>
          <w:bCs/>
          <w:color w:val="000000"/>
          <w:sz w:val="22"/>
          <w:szCs w:val="22"/>
          <w:lang w:eastAsia="en-US"/>
        </w:rPr>
        <w:t xml:space="preserve"> </w:t>
      </w:r>
      <w:r w:rsidR="00AB04D6" w:rsidRPr="00E858D2">
        <w:rPr>
          <w:rFonts w:ascii="Arial" w:eastAsia="Calibri" w:hAnsi="Arial" w:cs="Arial"/>
          <w:bCs/>
          <w:sz w:val="22"/>
          <w:lang w:val="es-ES_tradnl"/>
        </w:rPr>
        <w:t>la aplicación de los documentos tipo</w:t>
      </w:r>
      <w:r w:rsidR="007A31F6">
        <w:rPr>
          <w:rFonts w:ascii="Arial" w:eastAsia="Calibri" w:hAnsi="Arial" w:cs="Arial"/>
          <w:bCs/>
          <w:sz w:val="22"/>
          <w:lang w:val="es-ES_tradnl"/>
        </w:rPr>
        <w:t xml:space="preserve"> cambió en la medida en que </w:t>
      </w:r>
      <w:r w:rsidR="00875C2F">
        <w:rPr>
          <w:rFonts w:ascii="Arial" w:eastAsia="Calibri" w:hAnsi="Arial" w:cs="Arial"/>
          <w:bCs/>
          <w:sz w:val="22"/>
          <w:lang w:val="es-ES_tradnl"/>
        </w:rPr>
        <w:t>será obligatoria</w:t>
      </w:r>
      <w:r w:rsidR="00057B4F">
        <w:rPr>
          <w:rFonts w:ascii="Arial" w:eastAsia="Calibri" w:hAnsi="Arial" w:cs="Arial"/>
          <w:bCs/>
          <w:sz w:val="22"/>
          <w:lang w:val="es-ES_tradnl"/>
        </w:rPr>
        <w:t xml:space="preserve"> no solo </w:t>
      </w:r>
      <w:r w:rsidR="00875C2F">
        <w:rPr>
          <w:rFonts w:ascii="Arial" w:eastAsia="Calibri" w:hAnsi="Arial" w:cs="Arial"/>
          <w:bCs/>
          <w:sz w:val="22"/>
          <w:lang w:val="es-ES_tradnl"/>
        </w:rPr>
        <w:t>par</w:t>
      </w:r>
      <w:r w:rsidR="00057B4F">
        <w:rPr>
          <w:rFonts w:ascii="Arial" w:eastAsia="Calibri" w:hAnsi="Arial" w:cs="Arial"/>
          <w:bCs/>
          <w:sz w:val="22"/>
          <w:lang w:val="es-ES_tradnl"/>
        </w:rPr>
        <w:t xml:space="preserve">a </w:t>
      </w:r>
      <w:r w:rsidR="00057B4F" w:rsidRPr="00E858D2">
        <w:rPr>
          <w:rFonts w:ascii="Arial" w:eastAsia="Calibri" w:hAnsi="Arial" w:cs="Arial"/>
          <w:bCs/>
          <w:sz w:val="22"/>
          <w:lang w:val="es-ES_tradnl"/>
        </w:rPr>
        <w:t>las entidades sometidas a la Ley 80 de 1993 y la Ley 1150 de 2007</w:t>
      </w:r>
      <w:r w:rsidR="00057B4F">
        <w:rPr>
          <w:rFonts w:ascii="Arial" w:eastAsia="Calibri" w:hAnsi="Arial" w:cs="Arial"/>
          <w:bCs/>
          <w:sz w:val="22"/>
          <w:lang w:val="es-ES_tradnl"/>
        </w:rPr>
        <w:t>, sino también en el evento en que se celebren</w:t>
      </w:r>
      <w:r w:rsidR="00AB04D6" w:rsidRPr="00E858D2">
        <w:rPr>
          <w:rFonts w:ascii="Arial" w:eastAsia="Calibri" w:hAnsi="Arial" w:cs="Arial"/>
          <w:bCs/>
          <w:sz w:val="22"/>
          <w:lang w:val="es-ES_tradnl"/>
        </w:rPr>
        <w:t xml:space="preserve"> contratos o convenios interadministrativos </w:t>
      </w:r>
      <w:r w:rsidR="00504F88">
        <w:rPr>
          <w:rFonts w:ascii="Arial" w:eastAsia="Calibri" w:hAnsi="Arial" w:cs="Arial"/>
          <w:bCs/>
          <w:sz w:val="22"/>
          <w:lang w:val="es-ES_tradnl"/>
        </w:rPr>
        <w:t>por parte de una entidad regida</w:t>
      </w:r>
      <w:r w:rsidR="00AB04D6" w:rsidRPr="00E858D2">
        <w:rPr>
          <w:rFonts w:ascii="Arial" w:eastAsia="Calibri" w:hAnsi="Arial" w:cs="Arial"/>
          <w:bCs/>
          <w:sz w:val="22"/>
          <w:lang w:val="es-ES_tradnl"/>
        </w:rPr>
        <w:t xml:space="preserve"> por </w:t>
      </w:r>
      <w:r w:rsidR="00504F88">
        <w:rPr>
          <w:rFonts w:ascii="Arial" w:eastAsia="Calibri" w:hAnsi="Arial" w:cs="Arial"/>
          <w:bCs/>
          <w:sz w:val="22"/>
          <w:lang w:val="es-ES_tradnl"/>
        </w:rPr>
        <w:t xml:space="preserve">el </w:t>
      </w:r>
      <w:r w:rsidR="00AB04D6" w:rsidRPr="00E858D2">
        <w:rPr>
          <w:rFonts w:ascii="Arial" w:eastAsia="Calibri" w:hAnsi="Arial" w:cs="Arial"/>
          <w:bCs/>
          <w:sz w:val="22"/>
          <w:lang w:val="es-ES_tradnl"/>
        </w:rPr>
        <w:t>EGCAP y otros sujetos cuyo régimen de contratación es el derecho privado</w:t>
      </w:r>
      <w:r w:rsidR="00057B4F">
        <w:rPr>
          <w:rFonts w:ascii="Arial" w:eastAsia="Calibri" w:hAnsi="Arial" w:cs="Arial"/>
          <w:bCs/>
          <w:sz w:val="22"/>
          <w:lang w:val="es-ES_tradnl"/>
        </w:rPr>
        <w:t xml:space="preserve">. </w:t>
      </w:r>
      <w:r w:rsidR="00504F88">
        <w:rPr>
          <w:rFonts w:ascii="Arial" w:eastAsia="Calibri" w:hAnsi="Arial" w:cs="Arial"/>
          <w:bCs/>
          <w:sz w:val="22"/>
          <w:lang w:val="es-ES_tradnl"/>
        </w:rPr>
        <w:t xml:space="preserve">Las consideraciones relacionadas con el alcance del artículo 56 de la Ley 2195 de 2022 fueron expuestas en el Concepto C-066 de 2022, así como en los conceptos </w:t>
      </w:r>
      <w:r w:rsidR="00504F88">
        <w:rPr>
          <w:rFonts w:ascii="Arial" w:eastAsia="Calibri" w:hAnsi="Arial" w:cs="Arial"/>
          <w:color w:val="000000" w:themeColor="text1"/>
          <w:sz w:val="22"/>
          <w:lang w:val="es-ES"/>
        </w:rPr>
        <w:t>C-033 del 4 de marzo de 2022, C-049 del 07 de marzo de 2022, C-059 de 08 de marzo de 2022, C-065 del 9 de marzo de 2022, C-090 del 16 de marzo de 2022, C-087 del 17 de marzo de 2022, C-083 del 18 de marzo de 2022, C-160 del 05 de abril de 2022, C- 244 del 2 de mayo de 2022, C-269 del 6 de mayo de 2022 y C-341 del 27 de mayo de 2022, los cuales se reiteran a continuación.</w:t>
      </w:r>
    </w:p>
    <w:p w14:paraId="4323431C" w14:textId="77777777" w:rsidR="00033358" w:rsidRDefault="00033358" w:rsidP="00031AD9">
      <w:pPr>
        <w:tabs>
          <w:tab w:val="left" w:pos="0"/>
        </w:tabs>
        <w:spacing w:line="276" w:lineRule="auto"/>
        <w:jc w:val="both"/>
        <w:rPr>
          <w:rFonts w:ascii="Arial" w:eastAsia="Calibri" w:hAnsi="Arial" w:cs="Arial"/>
          <w:b/>
          <w:sz w:val="22"/>
          <w:lang w:val="es-ES_tradnl"/>
        </w:rPr>
      </w:pPr>
    </w:p>
    <w:p w14:paraId="4962FE5B" w14:textId="06C07F49" w:rsidR="00031AD9" w:rsidRPr="00E858D2" w:rsidRDefault="00033358" w:rsidP="00031AD9">
      <w:pPr>
        <w:tabs>
          <w:tab w:val="left" w:pos="0"/>
        </w:tabs>
        <w:spacing w:line="276" w:lineRule="auto"/>
        <w:jc w:val="both"/>
        <w:rPr>
          <w:rFonts w:ascii="Arial" w:eastAsia="Calibri" w:hAnsi="Arial" w:cs="Arial"/>
          <w:b/>
          <w:sz w:val="22"/>
          <w:lang w:val="es-ES_tradnl"/>
        </w:rPr>
      </w:pPr>
      <w:r>
        <w:rPr>
          <w:rFonts w:ascii="Arial" w:eastAsia="Calibri" w:hAnsi="Arial" w:cs="Arial"/>
          <w:b/>
          <w:sz w:val="22"/>
          <w:lang w:val="es-ES_tradnl"/>
        </w:rPr>
        <w:lastRenderedPageBreak/>
        <w:t xml:space="preserve">2.3 </w:t>
      </w:r>
      <w:r w:rsidR="00031AD9"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7"/>
    <w:p w14:paraId="75C4D22E"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1AC028D9" w14:textId="73E3C31B"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Conforme se explicó en el acápite</w:t>
      </w:r>
      <w:r w:rsidR="001A43C6">
        <w:rPr>
          <w:rFonts w:ascii="Arial" w:eastAsia="Calibri" w:hAnsi="Arial" w:cs="Arial"/>
          <w:bCs/>
          <w:sz w:val="22"/>
          <w:lang w:val="es-ES_tradnl"/>
        </w:rPr>
        <w:t xml:space="preserve"> 2.1</w:t>
      </w:r>
      <w:r w:rsidRPr="00E858D2">
        <w:rPr>
          <w:rFonts w:ascii="Arial" w:eastAsia="Calibri" w:hAnsi="Arial" w:cs="Arial"/>
          <w:bCs/>
          <w:sz w:val="22"/>
          <w:lang w:val="es-ES_tradnl"/>
        </w:rPr>
        <w:t xml:space="preserve">,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w:t>
      </w:r>
      <w:r w:rsidR="00AA24FD">
        <w:rPr>
          <w:rFonts w:ascii="Arial" w:eastAsia="Calibri" w:hAnsi="Arial" w:cs="Arial"/>
          <w:bCs/>
          <w:sz w:val="22"/>
          <w:lang w:val="es-ES_tradnl"/>
        </w:rPr>
        <w:t xml:space="preserve">de </w:t>
      </w:r>
      <w:r w:rsidRPr="00E858D2">
        <w:rPr>
          <w:rFonts w:ascii="Arial" w:eastAsia="Calibri" w:hAnsi="Arial" w:cs="Arial"/>
          <w:bCs/>
          <w:sz w:val="22"/>
          <w:lang w:val="es-ES_tradnl"/>
        </w:rPr>
        <w:t xml:space="preserve">la Ley 1882 de 2018 excluían del ámbito de aplicación de los documentos tipo la contratación de entidades estatales de régimen exceptuado, por lo general, sujetas al derecho privado. </w:t>
      </w:r>
    </w:p>
    <w:p w14:paraId="58EBC34E"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67B06332" w14:textId="1C50375D"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w:t>
      </w:r>
    </w:p>
    <w:p w14:paraId="74DA6986"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35ADBEF4" w14:textId="6FEA1D08" w:rsidR="00031AD9" w:rsidRPr="00E858D2" w:rsidRDefault="00031AD9" w:rsidP="008F2A43">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F64E601" w14:textId="0368B5E5" w:rsidR="00031AD9" w:rsidRPr="00E858D2" w:rsidRDefault="00031AD9" w:rsidP="008F2A43">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CD8C3B3" w14:textId="028A92EF" w:rsidR="00031AD9" w:rsidRPr="00E858D2" w:rsidRDefault="00031AD9" w:rsidP="00031AD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xml:space="preserve">. En estos casos, en </w:t>
      </w:r>
      <w:r w:rsidRPr="00E858D2">
        <w:rPr>
          <w:rFonts w:ascii="Arial" w:hAnsi="Arial" w:cs="Arial"/>
          <w:sz w:val="21"/>
          <w:szCs w:val="21"/>
          <w:lang w:val="es-ES_tradnl"/>
        </w:rPr>
        <w:lastRenderedPageBreak/>
        <w:t>los manuales de contratación de estas entidades, se fomentará como buena práctica la aplicación de los pliegos tipo.</w:t>
      </w:r>
    </w:p>
    <w:p w14:paraId="02D8964E"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4A0ACD81"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1B7ABD49"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EBC67D2" w14:textId="1C03262F" w:rsidR="00031AD9" w:rsidRDefault="00031AD9" w:rsidP="00667781">
      <w:pPr>
        <w:tabs>
          <w:tab w:val="left" w:pos="426"/>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w:t>
      </w:r>
      <w:r w:rsidR="00867624">
        <w:rPr>
          <w:rFonts w:ascii="Arial" w:eastAsia="Calibri" w:hAnsi="Arial" w:cs="Arial"/>
          <w:b/>
          <w:sz w:val="22"/>
          <w:lang w:val="es-ES_tradnl"/>
        </w:rPr>
        <w:t>3</w:t>
      </w:r>
      <w:r w:rsidRPr="00897B2E">
        <w:rPr>
          <w:rFonts w:ascii="Arial" w:eastAsia="Calibri" w:hAnsi="Arial" w:cs="Arial"/>
          <w:b/>
          <w:sz w:val="22"/>
          <w:lang w:val="es-ES_tradnl"/>
        </w:rPr>
        <w:t>.1</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Ámbito de aplicación y finalidad de la norma</w:t>
      </w:r>
    </w:p>
    <w:p w14:paraId="39AEDC56" w14:textId="77777777" w:rsidR="00667781" w:rsidRPr="00E858D2" w:rsidRDefault="00667781" w:rsidP="00667781">
      <w:pPr>
        <w:tabs>
          <w:tab w:val="left" w:pos="426"/>
        </w:tabs>
        <w:spacing w:line="276" w:lineRule="auto"/>
        <w:jc w:val="both"/>
        <w:rPr>
          <w:rFonts w:ascii="Arial" w:eastAsia="Calibri" w:hAnsi="Arial" w:cs="Arial"/>
          <w:b/>
          <w:i/>
          <w:iCs/>
          <w:sz w:val="22"/>
          <w:lang w:val="es-ES_tradnl"/>
        </w:rPr>
      </w:pPr>
    </w:p>
    <w:p w14:paraId="2CE7B603" w14:textId="77777777" w:rsidR="00031AD9" w:rsidRPr="00E858D2"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503E58F2"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2E71D2D" w14:textId="6FEE25EF"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proofErr w:type="spellStart"/>
      <w:r w:rsidRPr="00E858D2">
        <w:rPr>
          <w:rFonts w:ascii="Arial" w:eastAsia="Calibri" w:hAnsi="Arial" w:cs="Arial"/>
          <w:bCs/>
          <w:i/>
          <w:iCs/>
          <w:sz w:val="22"/>
          <w:lang w:val="es-ES_tradnl"/>
        </w:rPr>
        <w:t>ibídem</w:t>
      </w:r>
      <w:proofErr w:type="spellEnd"/>
      <w:r w:rsidR="00113F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w:t>
      </w:r>
      <w:r w:rsidRPr="00E858D2">
        <w:rPr>
          <w:rFonts w:ascii="Arial" w:eastAsia="Calibri" w:hAnsi="Arial" w:cs="Arial"/>
          <w:bCs/>
          <w:sz w:val="22"/>
          <w:lang w:val="es-ES_tradnl"/>
        </w:rPr>
        <w:lastRenderedPageBreak/>
        <w:t>aplicación de lo establecido por la Ley 2022 de 202</w:t>
      </w:r>
      <w:r w:rsidR="00113F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113FF2">
        <w:rPr>
          <w:rFonts w:ascii="Arial" w:eastAsia="Calibri" w:hAnsi="Arial" w:cs="Arial"/>
          <w:bCs/>
          <w:sz w:val="22"/>
          <w:lang w:val="es-ES_tradnl"/>
        </w:rPr>
        <w:t>fuera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756F1FB"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D8E119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w:t>
      </w:r>
      <w:bookmarkStart w:id="8" w:name="_Hlk99351345"/>
      <w:r w:rsidRPr="00E858D2">
        <w:rPr>
          <w:rFonts w:ascii="Arial" w:eastAsia="Calibri" w:hAnsi="Arial" w:cs="Arial"/>
          <w:bCs/>
          <w:sz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patrimonios autónomos 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bookmarkEnd w:id="8"/>
    <w:p w14:paraId="2E458B8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D0659F7" w14:textId="2DEF1F6E" w:rsidR="00031AD9" w:rsidRPr="00E858D2" w:rsidRDefault="00031AD9" w:rsidP="0060580F">
      <w:pPr>
        <w:tabs>
          <w:tab w:val="left" w:pos="0"/>
        </w:tabs>
        <w:spacing w:before="120"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w:t>
      </w:r>
      <w:r w:rsidRPr="00E858D2">
        <w:rPr>
          <w:rFonts w:ascii="Arial" w:eastAsia="Calibri" w:hAnsi="Arial" w:cs="Arial"/>
          <w:bCs/>
          <w:sz w:val="22"/>
          <w:lang w:val="es-ES_tradnl"/>
        </w:rPr>
        <w:lastRenderedPageBreak/>
        <w:t xml:space="preserve">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17D9193F" w14:textId="77777777" w:rsidR="00171EE0"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w:t>
      </w:r>
    </w:p>
    <w:p w14:paraId="37B61ABE" w14:textId="19CAE0CB" w:rsidR="00031AD9" w:rsidRPr="00E858D2" w:rsidRDefault="00031AD9" w:rsidP="0060580F">
      <w:pPr>
        <w:tabs>
          <w:tab w:val="left" w:pos="0"/>
        </w:tabs>
        <w:spacing w:line="276" w:lineRule="auto"/>
        <w:jc w:val="both"/>
        <w:rPr>
          <w:rFonts w:ascii="Arial" w:eastAsia="Calibri" w:hAnsi="Arial" w:cs="Arial"/>
          <w:bCs/>
          <w:sz w:val="22"/>
          <w:lang w:val="es-ES_tradnl"/>
        </w:rPr>
      </w:pPr>
    </w:p>
    <w:p w14:paraId="30AE8247" w14:textId="2DEA41CE" w:rsidR="00031AD9" w:rsidRDefault="00031AD9" w:rsidP="008F2A43">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8"/>
      </w:r>
      <w:r w:rsidRPr="00E858D2">
        <w:rPr>
          <w:rFonts w:ascii="Arial" w:eastAsia="Calibri" w:hAnsi="Arial" w:cs="Arial"/>
          <w:bCs/>
          <w:sz w:val="21"/>
          <w:szCs w:val="21"/>
          <w:lang w:val="es-ES_tradnl"/>
        </w:rPr>
        <w:t xml:space="preserve">. </w:t>
      </w:r>
    </w:p>
    <w:p w14:paraId="25A16519" w14:textId="04105497" w:rsidR="00AA42E3" w:rsidRPr="00AA42E3" w:rsidRDefault="002414D3" w:rsidP="002414D3">
      <w:pPr>
        <w:tabs>
          <w:tab w:val="left" w:pos="0"/>
          <w:tab w:val="left" w:pos="3240"/>
        </w:tabs>
        <w:spacing w:line="276" w:lineRule="auto"/>
        <w:ind w:left="709" w:right="709"/>
        <w:jc w:val="both"/>
        <w:rPr>
          <w:rFonts w:ascii="Arial" w:eastAsia="Calibri" w:hAnsi="Arial" w:cs="Arial"/>
          <w:bCs/>
          <w:sz w:val="21"/>
          <w:szCs w:val="21"/>
          <w:lang w:val="es-ES_tradnl"/>
        </w:rPr>
      </w:pPr>
      <w:r>
        <w:rPr>
          <w:rFonts w:ascii="Arial" w:eastAsia="Calibri" w:hAnsi="Arial" w:cs="Arial"/>
          <w:bCs/>
          <w:sz w:val="21"/>
          <w:szCs w:val="21"/>
          <w:lang w:val="es-ES_tradnl"/>
        </w:rPr>
        <w:tab/>
      </w:r>
    </w:p>
    <w:p w14:paraId="1F93FFB6" w14:textId="1C8B081F" w:rsidR="00995503"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113FF2">
        <w:rPr>
          <w:rFonts w:ascii="Arial" w:eastAsia="Calibri" w:hAnsi="Arial" w:cs="Arial"/>
          <w:bCs/>
          <w:sz w:val="22"/>
          <w:lang w:val="es-ES_tradnl"/>
        </w:rPr>
        <w:t>contractual</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w:t>
      </w:r>
      <w:r w:rsidRPr="00E858D2">
        <w:rPr>
          <w:rFonts w:ascii="Arial" w:eastAsia="Calibri" w:hAnsi="Arial" w:cs="Arial"/>
          <w:bCs/>
          <w:sz w:val="22"/>
          <w:lang w:val="es-ES_tradnl"/>
        </w:rPr>
        <w:lastRenderedPageBreak/>
        <w:t xml:space="preserve">la contratación derivada de obras, bienes, obras o servicios, siempre que exista documento tipo en el sector en el que se adelanta la contratación.  </w:t>
      </w:r>
    </w:p>
    <w:p w14:paraId="593E1767" w14:textId="77777777" w:rsidR="002402A8" w:rsidRPr="00E858D2" w:rsidRDefault="002402A8" w:rsidP="002402A8">
      <w:pPr>
        <w:tabs>
          <w:tab w:val="left" w:pos="0"/>
        </w:tabs>
        <w:spacing w:line="276" w:lineRule="auto"/>
        <w:jc w:val="both"/>
        <w:rPr>
          <w:rFonts w:ascii="Arial" w:eastAsia="Calibri" w:hAnsi="Arial" w:cs="Arial"/>
          <w:bCs/>
          <w:sz w:val="22"/>
          <w:lang w:val="es-ES_tradnl"/>
        </w:rPr>
      </w:pPr>
    </w:p>
    <w:p w14:paraId="4060E1EC" w14:textId="63E1E7BB" w:rsidR="00031AD9" w:rsidRPr="00E858D2" w:rsidRDefault="00031AD9" w:rsidP="0060580F">
      <w:pPr>
        <w:tabs>
          <w:tab w:val="left" w:pos="0"/>
        </w:tabs>
        <w:spacing w:line="276" w:lineRule="auto"/>
        <w:jc w:val="both"/>
        <w:rPr>
          <w:rFonts w:ascii="Arial" w:eastAsia="Calibri" w:hAnsi="Arial" w:cs="Arial"/>
          <w:bCs/>
          <w:sz w:val="22"/>
          <w:lang w:val="es-ES_tradnl"/>
        </w:rPr>
      </w:pPr>
      <w:r w:rsidRPr="00897B2E">
        <w:rPr>
          <w:rFonts w:ascii="Arial" w:eastAsia="Calibri" w:hAnsi="Arial" w:cs="Arial"/>
          <w:b/>
          <w:sz w:val="22"/>
          <w:lang w:val="es-ES_tradnl"/>
        </w:rPr>
        <w:t>2.</w:t>
      </w:r>
      <w:r w:rsidR="00867624">
        <w:rPr>
          <w:rFonts w:ascii="Arial" w:eastAsia="Calibri" w:hAnsi="Arial" w:cs="Arial"/>
          <w:b/>
          <w:sz w:val="22"/>
          <w:lang w:val="es-ES_tradnl"/>
        </w:rPr>
        <w:t>3</w:t>
      </w:r>
      <w:r w:rsidRPr="00897B2E">
        <w:rPr>
          <w:rFonts w:ascii="Arial" w:eastAsia="Calibri" w:hAnsi="Arial" w:cs="Arial"/>
          <w:b/>
          <w:sz w:val="22"/>
          <w:lang w:val="es-ES_tradnl"/>
        </w:rPr>
        <w:t>.2.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FC7E76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130493D7" w14:textId="1821C556" w:rsidR="00031AD9" w:rsidRPr="00E858D2" w:rsidRDefault="00031AD9"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9"/>
      </w:r>
      <w:r w:rsidRPr="00E858D2">
        <w:rPr>
          <w:rFonts w:ascii="Arial" w:eastAsia="Calibri" w:hAnsi="Arial" w:cs="Arial"/>
          <w:bCs/>
          <w:sz w:val="22"/>
          <w:lang w:val="es-ES_tradnl"/>
        </w:rPr>
        <w:t>.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9447E6">
        <w:rPr>
          <w:rFonts w:ascii="Arial" w:eastAsia="Calibri" w:hAnsi="Arial" w:cs="Arial"/>
          <w:bCs/>
          <w:sz w:val="22"/>
          <w:lang w:val="es-ES_tradnl"/>
        </w:rPr>
        <w:t>.</w:t>
      </w:r>
      <w:r w:rsidRPr="00E858D2">
        <w:rPr>
          <w:rFonts w:ascii="Arial" w:eastAsia="Calibri" w:hAnsi="Arial" w:cs="Arial"/>
          <w:bCs/>
          <w:sz w:val="22"/>
          <w:lang w:val="es-ES_tradnl"/>
        </w:rPr>
        <w:t xml:space="preserve">4 de la Ley 1150 de 2007, daba pie a la aplicación de normas de derecho privado, lo que evidencia una aparente tensión entre este y el artículo 56 de la Ley </w:t>
      </w:r>
      <w:r w:rsidRPr="00E858D2">
        <w:rPr>
          <w:rFonts w:ascii="Arial" w:eastAsia="Calibri" w:hAnsi="Arial" w:cs="Arial"/>
          <w:bCs/>
          <w:sz w:val="22"/>
          <w:lang w:val="es-ES_tradnl"/>
        </w:rPr>
        <w:lastRenderedPageBreak/>
        <w:t xml:space="preserve">2195 de 2022, en lo que se refiere al régimen aplicable en estas situaciones, comoquiera que en estos eventos, al tenor de lo dispuesto en esta última norma, deben aplicarse el EGCAP y los documentos tipo. </w:t>
      </w:r>
    </w:p>
    <w:p w14:paraId="31A84E8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0D9B6C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10"/>
      </w:r>
      <w:r w:rsidRPr="00E858D2">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B460EC4"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w:t>
      </w:r>
      <w:r w:rsidRPr="00E858D2">
        <w:rPr>
          <w:rFonts w:ascii="Arial" w:eastAsia="Calibri" w:hAnsi="Arial" w:cs="Arial"/>
          <w:bCs/>
          <w:sz w:val="22"/>
          <w:lang w:val="es-ES_tradnl"/>
        </w:rPr>
        <w:lastRenderedPageBreak/>
        <w:t xml:space="preserve">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9B15590" w14:textId="5A4FA10D"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contratación de bienes, obras y servicios relacionados </w:t>
      </w:r>
      <w:r w:rsidR="00B83B09">
        <w:rPr>
          <w:rFonts w:ascii="Arial" w:eastAsia="Calibri" w:hAnsi="Arial" w:cs="Arial"/>
          <w:bCs/>
          <w:sz w:val="22"/>
          <w:lang w:val="es-ES_tradnl"/>
        </w:rPr>
        <w:t xml:space="preserve">–para el cumplimiento– </w:t>
      </w:r>
      <w:r w:rsidRPr="00E858D2">
        <w:rPr>
          <w:rFonts w:ascii="Arial" w:eastAsia="Calibri" w:hAnsi="Arial" w:cs="Arial"/>
          <w:bCs/>
          <w:sz w:val="22"/>
          <w:lang w:val="es-ES_tradnl"/>
        </w:rPr>
        <w:t xml:space="preserve">con un contrato o convenio suscrito con una entidad sometida al EGCAP, siempre que exista documento tipo </w:t>
      </w:r>
      <w:r w:rsidR="00113FF2">
        <w:rPr>
          <w:rFonts w:ascii="Arial" w:eastAsia="Calibri" w:hAnsi="Arial" w:cs="Arial"/>
          <w:bCs/>
          <w:sz w:val="22"/>
          <w:lang w:val="es-ES_tradnl"/>
        </w:rPr>
        <w:t>aplicable al objeto contractual</w:t>
      </w:r>
      <w:r w:rsidRPr="00E858D2">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07502C9B" w14:textId="77777777" w:rsidR="001A7313" w:rsidRDefault="00031AD9" w:rsidP="007977F1">
      <w:pPr>
        <w:tabs>
          <w:tab w:val="left" w:pos="0"/>
        </w:tabs>
        <w:spacing w:before="120" w:line="276" w:lineRule="auto"/>
        <w:jc w:val="both"/>
        <w:rPr>
          <w:rFonts w:ascii="Arial" w:eastAsia="Calibri" w:hAnsi="Arial" w:cs="Arial"/>
          <w:b/>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113FF2">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13FF2">
        <w:rPr>
          <w:rFonts w:ascii="Arial" w:eastAsia="Calibri" w:hAnsi="Arial" w:cs="Arial"/>
          <w:bCs/>
          <w:sz w:val="22"/>
          <w:lang w:val="es-ES_tradnl"/>
        </w:rPr>
        <w:t>entidad exceptuada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2030FCCF" w14:textId="2335E668" w:rsidR="00897B2E" w:rsidRPr="00EB7EA7" w:rsidRDefault="00E0466B" w:rsidP="003859DA">
      <w:pPr>
        <w:tabs>
          <w:tab w:val="left" w:pos="0"/>
        </w:tabs>
        <w:spacing w:before="120" w:line="276" w:lineRule="auto"/>
        <w:ind w:firstLine="709"/>
        <w:jc w:val="both"/>
        <w:rPr>
          <w:rFonts w:ascii="Arial" w:eastAsia="Calibri" w:hAnsi="Arial" w:cs="Arial"/>
          <w:bCs/>
          <w:sz w:val="22"/>
          <w:lang w:val="es-ES_tradnl"/>
        </w:rPr>
      </w:pPr>
      <w:bookmarkStart w:id="9" w:name="_Hlk109977239"/>
      <w:r>
        <w:rPr>
          <w:rFonts w:ascii="Arial" w:eastAsia="Calibri" w:hAnsi="Arial" w:cs="Arial"/>
          <w:bCs/>
          <w:color w:val="000000" w:themeColor="text1"/>
          <w:sz w:val="22"/>
          <w:lang w:val="es-ES_tradnl"/>
        </w:rPr>
        <w:t xml:space="preserve">Bajo estas consideraciones, para efectos de la consulta </w:t>
      </w:r>
      <w:bookmarkStart w:id="10" w:name="_Hlk108287593"/>
      <w:r>
        <w:rPr>
          <w:rFonts w:ascii="Arial" w:eastAsia="Calibri" w:hAnsi="Arial" w:cs="Arial"/>
          <w:bCs/>
          <w:color w:val="000000" w:themeColor="text1"/>
          <w:sz w:val="22"/>
          <w:lang w:val="es-ES_tradnl"/>
        </w:rPr>
        <w:t xml:space="preserve">es preciso señalar que </w:t>
      </w:r>
      <w:r w:rsidR="00FD4E0F" w:rsidRPr="00864E72">
        <w:rPr>
          <w:rFonts w:ascii="Arial" w:eastAsia="Calibri" w:hAnsi="Arial" w:cs="Arial"/>
          <w:bCs/>
          <w:color w:val="000000" w:themeColor="text1"/>
          <w:sz w:val="22"/>
          <w:lang w:val="es-ES_tradnl"/>
        </w:rPr>
        <w:t>las empresas prestadoras de servicios públicos domiciliarios</w:t>
      </w:r>
      <w:r w:rsidR="00FD4E0F">
        <w:rPr>
          <w:rFonts w:ascii="Arial" w:eastAsia="Calibri" w:hAnsi="Arial" w:cs="Arial"/>
          <w:bCs/>
          <w:color w:val="000000" w:themeColor="text1"/>
          <w:sz w:val="22"/>
          <w:lang w:val="es-ES_tradnl"/>
        </w:rPr>
        <w:t xml:space="preserve"> </w:t>
      </w:r>
      <w:r w:rsidR="00576043" w:rsidRPr="00FC3C59">
        <w:rPr>
          <w:rFonts w:ascii="Arial" w:eastAsia="Calibri" w:hAnsi="Arial" w:cs="Arial"/>
          <w:color w:val="000000"/>
          <w:sz w:val="22"/>
          <w:lang w:val="es-ES_tradnl"/>
        </w:rPr>
        <w:t>al contar con un régimen contractual distinto al establecido en el Estatuto General de Contratación de la Administración Pública, esto es, al regirse por el derecho privado</w:t>
      </w:r>
      <w:r w:rsidR="008A20C5">
        <w:rPr>
          <w:rFonts w:ascii="Arial" w:eastAsia="Calibri" w:hAnsi="Arial" w:cs="Arial"/>
          <w:color w:val="000000"/>
          <w:sz w:val="22"/>
          <w:lang w:val="es-ES_tradnl"/>
        </w:rPr>
        <w:t xml:space="preserve"> conforme se expuso en </w:t>
      </w:r>
      <w:r w:rsidR="008A20C5">
        <w:rPr>
          <w:rFonts w:ascii="Arial" w:eastAsia="Calibri" w:hAnsi="Arial" w:cs="Arial"/>
          <w:color w:val="000000"/>
          <w:sz w:val="22"/>
          <w:lang w:val="es-ES_tradnl"/>
        </w:rPr>
        <w:lastRenderedPageBreak/>
        <w:t>el numeral 2.2</w:t>
      </w:r>
      <w:r w:rsidR="00576043" w:rsidRPr="00FC3C59">
        <w:rPr>
          <w:rFonts w:ascii="Arial" w:eastAsia="Calibri" w:hAnsi="Arial" w:cs="Arial"/>
          <w:color w:val="000000"/>
          <w:sz w:val="22"/>
          <w:lang w:val="es-ES_tradnl"/>
        </w:rPr>
        <w:t xml:space="preserve">, serán destinatarias </w:t>
      </w:r>
      <w:r w:rsidR="00AF0514">
        <w:rPr>
          <w:rFonts w:ascii="Arial" w:eastAsia="Calibri" w:hAnsi="Arial" w:cs="Arial"/>
          <w:color w:val="000000"/>
          <w:sz w:val="22"/>
          <w:lang w:val="es-ES_tradnl"/>
        </w:rPr>
        <w:t>d</w:t>
      </w:r>
      <w:r w:rsidR="00576043" w:rsidRPr="00FC3C59">
        <w:rPr>
          <w:rFonts w:ascii="Arial" w:eastAsia="Calibri" w:hAnsi="Arial" w:cs="Arial"/>
          <w:color w:val="000000"/>
          <w:sz w:val="22"/>
          <w:lang w:val="es-ES_tradnl"/>
        </w:rPr>
        <w:t>el artículo 56 de la Ley 2195 de 2022, siempre que se cumplan con los presupuestos para su aplicación</w:t>
      </w:r>
      <w:r w:rsidR="008A20C5">
        <w:rPr>
          <w:rFonts w:ascii="Arial" w:eastAsia="Calibri" w:hAnsi="Arial" w:cs="Arial"/>
          <w:color w:val="000000"/>
          <w:sz w:val="22"/>
          <w:lang w:val="es-ES_tradnl"/>
        </w:rPr>
        <w:t>.</w:t>
      </w:r>
      <w:r w:rsidR="00AE2631">
        <w:rPr>
          <w:rFonts w:ascii="Arial" w:eastAsia="Calibri" w:hAnsi="Arial" w:cs="Arial"/>
          <w:color w:val="000000"/>
          <w:sz w:val="22"/>
          <w:lang w:val="es-ES_tradnl"/>
        </w:rPr>
        <w:t xml:space="preserve"> </w:t>
      </w:r>
      <w:bookmarkStart w:id="11" w:name="_Hlk109981242"/>
      <w:r w:rsidR="00267D66">
        <w:rPr>
          <w:rFonts w:ascii="Arial" w:eastAsia="Calibri" w:hAnsi="Arial" w:cs="Arial"/>
          <w:color w:val="000000"/>
          <w:sz w:val="22"/>
          <w:lang w:val="es-ES_tradnl"/>
        </w:rPr>
        <w:t>Con las excepciones descritas en el parágrafo</w:t>
      </w:r>
      <w:r w:rsidR="008264B1">
        <w:rPr>
          <w:rFonts w:ascii="Arial" w:eastAsia="Calibri" w:hAnsi="Arial" w:cs="Arial"/>
          <w:color w:val="000000"/>
          <w:sz w:val="22"/>
          <w:lang w:val="es-ES_tradnl"/>
        </w:rPr>
        <w:t xml:space="preserve"> </w:t>
      </w:r>
      <w:r w:rsidR="008264B1" w:rsidRPr="008F2A43">
        <w:rPr>
          <w:rFonts w:ascii="Arial" w:eastAsia="Calibri" w:hAnsi="Arial" w:cs="Arial"/>
          <w:i/>
          <w:iCs/>
          <w:color w:val="000000"/>
          <w:sz w:val="22"/>
          <w:lang w:val="es-ES_tradnl"/>
        </w:rPr>
        <w:t>ibidem</w:t>
      </w:r>
      <w:bookmarkEnd w:id="11"/>
      <w:r w:rsidR="00AE2631">
        <w:rPr>
          <w:rFonts w:ascii="Arial" w:eastAsia="Calibri" w:hAnsi="Arial" w:cs="Arial"/>
          <w:color w:val="000000"/>
          <w:sz w:val="22"/>
          <w:lang w:val="es-ES_tradnl"/>
        </w:rPr>
        <w:t xml:space="preserve">, </w:t>
      </w:r>
      <w:r w:rsidR="00AE2631">
        <w:rPr>
          <w:rFonts w:ascii="Arial" w:hAnsi="Arial" w:cs="Arial"/>
          <w:color w:val="000000" w:themeColor="text1"/>
          <w:sz w:val="22"/>
          <w:szCs w:val="22"/>
          <w:shd w:val="clear" w:color="auto" w:fill="FFFFFF"/>
          <w:lang w:val="es-ES_tradnl"/>
        </w:rPr>
        <w:t>l</w:t>
      </w:r>
      <w:r w:rsidR="00AE2631" w:rsidRPr="00864E72">
        <w:rPr>
          <w:rFonts w:ascii="Arial" w:hAnsi="Arial" w:cs="Arial"/>
          <w:color w:val="000000" w:themeColor="text1"/>
          <w:sz w:val="22"/>
          <w:szCs w:val="22"/>
          <w:shd w:val="clear" w:color="auto" w:fill="FFFFFF"/>
          <w:lang w:val="es-ES_tradnl"/>
        </w:rPr>
        <w:t>a obligación de aplicar documentos tipo, y en general, las disposiciones del Estatuto General de Contratación de la Administración Pública se extiende</w:t>
      </w:r>
      <w:r w:rsidR="00AE2631">
        <w:rPr>
          <w:rFonts w:ascii="Arial" w:hAnsi="Arial" w:cs="Arial"/>
          <w:color w:val="000000" w:themeColor="text1"/>
          <w:sz w:val="22"/>
          <w:szCs w:val="22"/>
          <w:shd w:val="clear" w:color="auto" w:fill="FFFFFF"/>
          <w:lang w:val="es-ES_tradnl"/>
        </w:rPr>
        <w:t>n</w:t>
      </w:r>
      <w:r w:rsidR="00AE2631" w:rsidRPr="00864E72">
        <w:rPr>
          <w:rFonts w:ascii="Arial" w:hAnsi="Arial" w:cs="Arial"/>
          <w:color w:val="000000" w:themeColor="text1"/>
          <w:sz w:val="22"/>
          <w:szCs w:val="22"/>
          <w:shd w:val="clear" w:color="auto" w:fill="FFFFFF"/>
          <w:lang w:val="es-ES_tradnl"/>
        </w:rPr>
        <w:t xml:space="preserve"> no solamente a la celebración del contrato o convenio propiamente dicho, sino también a los compromisos contractuales derivados, según lo expresamente consagrado en el segundo inciso del artículo 56 de la ley citada. </w:t>
      </w:r>
      <w:r w:rsidR="00EB7EA7" w:rsidRPr="001A7313">
        <w:rPr>
          <w:rFonts w:ascii="Arial" w:eastAsia="Calibri" w:hAnsi="Arial" w:cs="Arial"/>
          <w:bCs/>
          <w:sz w:val="22"/>
          <w:lang w:val="es-ES_tradnl"/>
        </w:rPr>
        <w:t xml:space="preserve">Lo anterior con independencia del tipo de recursos que se utilicen para </w:t>
      </w:r>
      <w:r w:rsidR="00EB7EA7">
        <w:rPr>
          <w:rFonts w:ascii="Arial" w:eastAsia="Calibri" w:hAnsi="Arial" w:cs="Arial"/>
          <w:bCs/>
          <w:sz w:val="22"/>
          <w:lang w:val="es-ES_tradnl"/>
        </w:rPr>
        <w:t xml:space="preserve">su </w:t>
      </w:r>
      <w:r w:rsidR="00EB7EA7" w:rsidRPr="001A7313">
        <w:rPr>
          <w:rFonts w:ascii="Arial" w:eastAsia="Calibri" w:hAnsi="Arial" w:cs="Arial"/>
          <w:bCs/>
          <w:sz w:val="22"/>
          <w:lang w:val="es-ES_tradnl"/>
        </w:rPr>
        <w:t>ejecución</w:t>
      </w:r>
      <w:r w:rsidR="00EB7EA7">
        <w:rPr>
          <w:rFonts w:ascii="Arial" w:eastAsia="Calibri" w:hAnsi="Arial" w:cs="Arial"/>
          <w:bCs/>
          <w:sz w:val="22"/>
          <w:lang w:val="es-ES_tradnl"/>
        </w:rPr>
        <w:t xml:space="preserve">, </w:t>
      </w:r>
      <w:r w:rsidR="00EB7EA7" w:rsidRPr="001A7313">
        <w:rPr>
          <w:rFonts w:ascii="Arial" w:eastAsia="Calibri" w:hAnsi="Arial" w:cs="Arial"/>
          <w:bCs/>
          <w:sz w:val="22"/>
          <w:lang w:val="es-ES_tradnl"/>
        </w:rPr>
        <w:t>puesto que la norma no hace distinción alguna</w:t>
      </w:r>
      <w:r w:rsidR="00EB7EA7">
        <w:rPr>
          <w:rFonts w:ascii="Arial" w:eastAsia="Calibri" w:hAnsi="Arial" w:cs="Arial"/>
          <w:bCs/>
          <w:sz w:val="22"/>
          <w:lang w:val="es-ES_tradnl"/>
        </w:rPr>
        <w:t xml:space="preserve"> sobre el particular</w:t>
      </w:r>
      <w:r w:rsidR="00EB7EA7" w:rsidRPr="001A7313">
        <w:rPr>
          <w:rFonts w:ascii="Arial" w:eastAsia="Calibri" w:hAnsi="Arial" w:cs="Arial"/>
          <w:bCs/>
          <w:sz w:val="22"/>
          <w:lang w:val="es-ES_tradnl"/>
        </w:rPr>
        <w:t xml:space="preserve">. </w:t>
      </w:r>
      <w:bookmarkEnd w:id="9"/>
    </w:p>
    <w:p w14:paraId="31A23672" w14:textId="7EA5595F" w:rsidR="000E1AC9" w:rsidRPr="000E1AC9" w:rsidRDefault="000E1AC9" w:rsidP="000E1AC9">
      <w:pPr>
        <w:spacing w:before="120" w:line="276" w:lineRule="auto"/>
        <w:ind w:firstLine="709"/>
        <w:jc w:val="both"/>
        <w:rPr>
          <w:rFonts w:ascii="Arial" w:hAnsi="Arial" w:cs="Arial"/>
          <w:bCs/>
          <w:color w:val="000000" w:themeColor="text1"/>
          <w:sz w:val="22"/>
          <w:szCs w:val="22"/>
          <w:shd w:val="clear" w:color="auto" w:fill="FFFFFF"/>
          <w:lang w:val="es-ES_tradnl"/>
        </w:rPr>
      </w:pPr>
      <w:r>
        <w:rPr>
          <w:rFonts w:ascii="Arial" w:hAnsi="Arial" w:cs="Arial"/>
          <w:bCs/>
          <w:color w:val="000000" w:themeColor="text1"/>
          <w:sz w:val="22"/>
          <w:szCs w:val="22"/>
          <w:shd w:val="clear" w:color="auto" w:fill="FFFFFF"/>
          <w:lang w:val="es-ES_tradnl"/>
        </w:rPr>
        <w:t>Así, p</w:t>
      </w:r>
      <w:r w:rsidRPr="000E1AC9">
        <w:rPr>
          <w:rFonts w:ascii="Arial" w:hAnsi="Arial" w:cs="Arial"/>
          <w:bCs/>
          <w:color w:val="000000" w:themeColor="text1"/>
          <w:sz w:val="22"/>
          <w:szCs w:val="22"/>
          <w:shd w:val="clear" w:color="auto" w:fill="FFFFFF"/>
          <w:lang w:val="es-ES_tradnl"/>
        </w:rPr>
        <w:t xml:space="preserve">ara determinar si se encuentran o no obligados a aplicar documentos tipo, deberán verificar si el objeto contractual </w:t>
      </w:r>
      <w:r w:rsidR="008B3A08">
        <w:rPr>
          <w:rFonts w:ascii="Arial" w:hAnsi="Arial" w:cs="Arial"/>
          <w:bCs/>
          <w:color w:val="000000" w:themeColor="text1"/>
          <w:sz w:val="22"/>
          <w:szCs w:val="22"/>
          <w:shd w:val="clear" w:color="auto" w:fill="FFFFFF"/>
          <w:lang w:val="es-ES_tradnl"/>
        </w:rPr>
        <w:t>a</w:t>
      </w:r>
      <w:r w:rsidRPr="000E1AC9">
        <w:rPr>
          <w:rFonts w:ascii="Arial" w:hAnsi="Arial" w:cs="Arial"/>
          <w:bCs/>
          <w:color w:val="000000" w:themeColor="text1"/>
          <w:sz w:val="22"/>
          <w:szCs w:val="22"/>
          <w:shd w:val="clear" w:color="auto" w:fill="FFFFFF"/>
          <w:lang w:val="es-ES_tradnl"/>
        </w:rPr>
        <w:t xml:space="preserve"> contratar se encuentra cobijado por algún documento tipo existente. De no ser así, no solo no resultaría obligatoria la aplicación de los documentos tipo, sino que tampoco habría lugar a la aplicación del EGCAP, </w:t>
      </w:r>
      <w:r w:rsidR="007F28FB">
        <w:rPr>
          <w:rFonts w:ascii="Arial" w:hAnsi="Arial" w:cs="Arial"/>
          <w:bCs/>
          <w:color w:val="000000" w:themeColor="text1"/>
          <w:sz w:val="22"/>
          <w:szCs w:val="22"/>
          <w:shd w:val="clear" w:color="auto" w:fill="FFFFFF"/>
          <w:lang w:val="es-ES_tradnl"/>
        </w:rPr>
        <w:t xml:space="preserve">debido a que </w:t>
      </w:r>
      <w:r w:rsidRPr="000E1AC9">
        <w:rPr>
          <w:rFonts w:ascii="Arial" w:hAnsi="Arial" w:cs="Arial"/>
          <w:bCs/>
          <w:color w:val="000000" w:themeColor="text1"/>
          <w:sz w:val="22"/>
          <w:szCs w:val="22"/>
          <w:shd w:val="clear" w:color="auto" w:fill="FFFFFF"/>
          <w:lang w:val="es-ES_tradnl"/>
        </w:rPr>
        <w:t xml:space="preserve">tal medida contemplada en el inciso segundo de la norma en comento está condicionada a la aplicación de </w:t>
      </w:r>
      <w:r w:rsidR="00B83B09">
        <w:rPr>
          <w:rFonts w:ascii="Arial" w:hAnsi="Arial" w:cs="Arial"/>
          <w:bCs/>
          <w:color w:val="000000" w:themeColor="text1"/>
          <w:sz w:val="22"/>
          <w:szCs w:val="22"/>
          <w:shd w:val="clear" w:color="auto" w:fill="FFFFFF"/>
          <w:lang w:val="es-ES_tradnl"/>
        </w:rPr>
        <w:t xml:space="preserve">los </w:t>
      </w:r>
      <w:r w:rsidRPr="000E1AC9">
        <w:rPr>
          <w:rFonts w:ascii="Arial" w:hAnsi="Arial" w:cs="Arial"/>
          <w:bCs/>
          <w:color w:val="000000" w:themeColor="text1"/>
          <w:sz w:val="22"/>
          <w:szCs w:val="22"/>
          <w:shd w:val="clear" w:color="auto" w:fill="FFFFFF"/>
          <w:lang w:val="es-ES_tradnl"/>
        </w:rPr>
        <w:t xml:space="preserve">documentos tipo. </w:t>
      </w:r>
      <w:r w:rsidR="00383B2B">
        <w:rPr>
          <w:rFonts w:ascii="Arial" w:hAnsi="Arial" w:cs="Arial"/>
          <w:bCs/>
          <w:color w:val="000000" w:themeColor="text1"/>
          <w:sz w:val="22"/>
          <w:szCs w:val="22"/>
          <w:shd w:val="clear" w:color="auto" w:fill="FFFFFF"/>
          <w:lang w:val="es-ES_tradnl"/>
        </w:rPr>
        <w:t xml:space="preserve">En el caso de los documentos tipo adoptados por las Resoluciones 248 y 249 de 2020, </w:t>
      </w:r>
      <w:bookmarkStart w:id="12" w:name="_Hlk109981426"/>
      <w:r w:rsidR="00DA3BC0">
        <w:rPr>
          <w:rFonts w:ascii="Arial" w:hAnsi="Arial" w:cs="Arial"/>
          <w:bCs/>
          <w:color w:val="000000" w:themeColor="text1"/>
          <w:sz w:val="22"/>
          <w:szCs w:val="22"/>
          <w:shd w:val="clear" w:color="auto" w:fill="FFFFFF"/>
          <w:lang w:val="es-ES_tradnl"/>
        </w:rPr>
        <w:t xml:space="preserve">sin perjuicio de las excepciones previstas en el parágrafo del artículo 56 de la Ley </w:t>
      </w:r>
      <w:r w:rsidR="00FF0679">
        <w:rPr>
          <w:rFonts w:ascii="Arial" w:hAnsi="Arial" w:cs="Arial"/>
          <w:bCs/>
          <w:color w:val="000000" w:themeColor="text1"/>
          <w:sz w:val="22"/>
          <w:szCs w:val="22"/>
          <w:shd w:val="clear" w:color="auto" w:fill="FFFFFF"/>
          <w:lang w:val="es-ES_tradnl"/>
        </w:rPr>
        <w:t>2195 de 2022,</w:t>
      </w:r>
      <w:bookmarkEnd w:id="12"/>
      <w:r w:rsidR="00FF0679">
        <w:rPr>
          <w:rFonts w:ascii="Arial" w:hAnsi="Arial" w:cs="Arial"/>
          <w:bCs/>
          <w:color w:val="000000" w:themeColor="text1"/>
          <w:sz w:val="22"/>
          <w:szCs w:val="22"/>
          <w:shd w:val="clear" w:color="auto" w:fill="FFFFFF"/>
          <w:lang w:val="es-ES_tradnl"/>
        </w:rPr>
        <w:t xml:space="preserve"> </w:t>
      </w:r>
      <w:r w:rsidR="00383B2B">
        <w:rPr>
          <w:rFonts w:ascii="Arial" w:hAnsi="Arial" w:cs="Arial"/>
          <w:bCs/>
          <w:color w:val="000000" w:themeColor="text1"/>
          <w:sz w:val="22"/>
          <w:szCs w:val="22"/>
          <w:shd w:val="clear" w:color="auto" w:fill="FFFFFF"/>
          <w:lang w:val="es-ES_tradnl"/>
        </w:rPr>
        <w:t>la entidad deberá verificar que</w:t>
      </w:r>
      <w:r w:rsidR="003E611E" w:rsidRPr="003852D5">
        <w:rPr>
          <w:rFonts w:ascii="Arial" w:eastAsia="Calibri" w:hAnsi="Arial" w:cs="Arial"/>
          <w:bCs/>
          <w:color w:val="000000"/>
          <w:sz w:val="22"/>
          <w:szCs w:val="22"/>
          <w:lang w:val="es-ES" w:eastAsia="en-US"/>
        </w:rPr>
        <w:t xml:space="preserve"> se trate de una obra pública de infraestructura de agua potable y saneamiento básico, cuyo proceso de selección deba adelantarse por licitación</w:t>
      </w:r>
      <w:r w:rsidR="003E611E">
        <w:rPr>
          <w:rFonts w:ascii="Arial" w:eastAsia="Calibri" w:hAnsi="Arial" w:cs="Arial"/>
          <w:bCs/>
          <w:color w:val="000000"/>
          <w:sz w:val="22"/>
          <w:szCs w:val="22"/>
          <w:lang w:val="es-ES" w:eastAsia="en-US"/>
        </w:rPr>
        <w:t xml:space="preserve"> y que</w:t>
      </w:r>
      <w:r w:rsidR="003E611E" w:rsidRPr="003852D5">
        <w:rPr>
          <w:rFonts w:ascii="Arial" w:eastAsia="Calibri" w:hAnsi="Arial" w:cs="Arial"/>
          <w:bCs/>
          <w:color w:val="000000"/>
          <w:sz w:val="22"/>
          <w:szCs w:val="22"/>
          <w:lang w:val="es-ES" w:eastAsia="en-US"/>
        </w:rPr>
        <w:t xml:space="preserve"> el objeto a contratar esté asociado a alguno de los tipos de obra y actividades señaladas en la </w:t>
      </w:r>
      <w:r w:rsidR="003E611E" w:rsidRPr="003852D5">
        <w:rPr>
          <w:rFonts w:ascii="Arial" w:eastAsia="Calibri" w:hAnsi="Arial" w:cs="Arial"/>
          <w:bCs/>
          <w:color w:val="000000"/>
          <w:sz w:val="22"/>
          <w:szCs w:val="22"/>
          <w:lang w:eastAsia="en-US"/>
        </w:rPr>
        <w:t>«</w:t>
      </w:r>
      <w:r w:rsidR="003E611E" w:rsidRPr="003852D5">
        <w:rPr>
          <w:rFonts w:ascii="Arial" w:eastAsia="Calibri" w:hAnsi="Arial" w:cs="Arial"/>
          <w:bCs/>
          <w:color w:val="000000"/>
          <w:sz w:val="22"/>
          <w:szCs w:val="22"/>
          <w:lang w:val="es-ES" w:eastAsia="en-US"/>
        </w:rPr>
        <w:t>Matriz 1 – Experiencia</w:t>
      </w:r>
      <w:r w:rsidR="003E611E" w:rsidRPr="003852D5">
        <w:rPr>
          <w:rFonts w:ascii="Arial" w:eastAsia="Calibri" w:hAnsi="Arial" w:cs="Arial"/>
          <w:bCs/>
          <w:color w:val="000000"/>
          <w:sz w:val="22"/>
          <w:szCs w:val="22"/>
          <w:lang w:val="es-MX" w:eastAsia="en-US"/>
        </w:rPr>
        <w:t>»</w:t>
      </w:r>
      <w:r w:rsidR="003E611E">
        <w:rPr>
          <w:rFonts w:ascii="Arial" w:eastAsia="Calibri" w:hAnsi="Arial" w:cs="Arial"/>
          <w:bCs/>
          <w:color w:val="000000"/>
          <w:sz w:val="22"/>
          <w:szCs w:val="22"/>
          <w:lang w:val="es-MX" w:eastAsia="en-US"/>
        </w:rPr>
        <w:t xml:space="preserve"> o a los futuros documentos tipo que se adopten. </w:t>
      </w:r>
    </w:p>
    <w:bookmarkEnd w:id="10"/>
    <w:p w14:paraId="370F90A0" w14:textId="7616923F" w:rsidR="000E1AC9" w:rsidRPr="000E1AC9" w:rsidRDefault="000E1AC9" w:rsidP="000E1AC9">
      <w:pPr>
        <w:spacing w:before="120" w:line="276" w:lineRule="auto"/>
        <w:ind w:firstLine="709"/>
        <w:jc w:val="both"/>
        <w:rPr>
          <w:rFonts w:ascii="Arial" w:hAnsi="Arial" w:cs="Arial"/>
          <w:bCs/>
          <w:color w:val="000000" w:themeColor="text1"/>
          <w:sz w:val="22"/>
          <w:szCs w:val="22"/>
          <w:shd w:val="clear" w:color="auto" w:fill="FFFFFF"/>
          <w:lang w:val="es-ES_tradnl"/>
        </w:rPr>
      </w:pPr>
      <w:r w:rsidRPr="000E1AC9">
        <w:rPr>
          <w:rFonts w:ascii="Arial" w:hAnsi="Arial" w:cs="Arial"/>
          <w:bCs/>
          <w:color w:val="000000" w:themeColor="text1"/>
          <w:sz w:val="22"/>
          <w:szCs w:val="22"/>
          <w:shd w:val="clear" w:color="auto" w:fill="FFFFFF"/>
          <w:lang w:val="es-ES_tradnl"/>
        </w:rPr>
        <w:t xml:space="preserve">De esta manera, el deber de aplicar documentos tipo por parte de entidades estatales con régimen de contratación especial, patrimonios autónomos, personas naturales o jurídicas de derecho privado, solo se extiende a los procedimientos contractuales cuyos objetos y modalidades en las que deberían ser adelantados, se encuentren dentro del ámbito de aplicación de los documentos tipo vigentes.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w:t>
      </w:r>
      <w:proofErr w:type="spellStart"/>
      <w:r w:rsidRPr="000E1AC9">
        <w:rPr>
          <w:rFonts w:ascii="Arial" w:hAnsi="Arial" w:cs="Arial"/>
          <w:bCs/>
          <w:i/>
          <w:iCs/>
          <w:color w:val="000000" w:themeColor="text1"/>
          <w:sz w:val="22"/>
          <w:szCs w:val="22"/>
          <w:shd w:val="clear" w:color="auto" w:fill="FFFFFF"/>
          <w:lang w:val="es-ES_tradnl"/>
        </w:rPr>
        <w:t>ibídem</w:t>
      </w:r>
      <w:proofErr w:type="spellEnd"/>
      <w:r w:rsidRPr="000E1AC9">
        <w:rPr>
          <w:rFonts w:ascii="Arial" w:hAnsi="Arial" w:cs="Arial"/>
          <w:bCs/>
          <w:color w:val="000000" w:themeColor="text1"/>
          <w:sz w:val="22"/>
          <w:szCs w:val="22"/>
          <w:shd w:val="clear" w:color="auto" w:fill="FFFFFF"/>
          <w:lang w:val="es-ES_tradnl"/>
        </w:rPr>
        <w:t xml:space="preserve">. Esto sin perjuicio de que, en el marco de la autonomía que les corresponde, los referidos sujetos puedan incorporar o retomar componentes de los documentos tipo en sus procesos contractuales a modo de buena práctica contractual, siempre que así lo consideren pertinente. </w:t>
      </w:r>
    </w:p>
    <w:p w14:paraId="3166E7D5" w14:textId="77777777" w:rsidR="005272AC" w:rsidRPr="00EB26F2" w:rsidRDefault="005272AC" w:rsidP="000E1AC9">
      <w:pPr>
        <w:spacing w:line="276" w:lineRule="auto"/>
        <w:jc w:val="both"/>
        <w:rPr>
          <w:rFonts w:ascii="Arial" w:hAnsi="Arial" w:cs="Arial"/>
          <w:color w:val="000000" w:themeColor="text1"/>
          <w:sz w:val="22"/>
          <w:szCs w:val="22"/>
          <w:shd w:val="clear" w:color="auto" w:fill="FFFFFF"/>
          <w:lang w:val="es-ES_tradnl"/>
        </w:rPr>
      </w:pPr>
    </w:p>
    <w:p w14:paraId="5ED0E9AE" w14:textId="50F3E694" w:rsidR="00897B2E" w:rsidRPr="00E858D2" w:rsidRDefault="00897B2E" w:rsidP="00897B2E">
      <w:pPr>
        <w:tabs>
          <w:tab w:val="left" w:pos="0"/>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w:t>
      </w:r>
      <w:r w:rsidR="00867624">
        <w:rPr>
          <w:rFonts w:ascii="Arial" w:eastAsia="Calibri" w:hAnsi="Arial" w:cs="Arial"/>
          <w:b/>
          <w:sz w:val="22"/>
          <w:lang w:val="es-ES_tradnl"/>
        </w:rPr>
        <w:t>3</w:t>
      </w:r>
      <w:r w:rsidRPr="00897B2E">
        <w:rPr>
          <w:rFonts w:ascii="Arial" w:eastAsia="Calibri" w:hAnsi="Arial" w:cs="Arial"/>
          <w:b/>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A19294" w14:textId="77777777" w:rsidR="00897B2E" w:rsidRPr="00E858D2" w:rsidRDefault="00897B2E" w:rsidP="00897B2E">
      <w:pPr>
        <w:tabs>
          <w:tab w:val="left" w:pos="0"/>
        </w:tabs>
        <w:spacing w:line="276" w:lineRule="auto"/>
        <w:jc w:val="both"/>
        <w:rPr>
          <w:rFonts w:ascii="Arial" w:eastAsia="Calibri" w:hAnsi="Arial" w:cs="Arial"/>
          <w:b/>
          <w:sz w:val="22"/>
          <w:lang w:val="es-ES_tradnl"/>
        </w:rPr>
      </w:pPr>
    </w:p>
    <w:p w14:paraId="4480ED7D" w14:textId="3C5F4C89" w:rsidR="00897B2E" w:rsidRPr="00E858D2" w:rsidRDefault="007E2F33" w:rsidP="007977F1">
      <w:pPr>
        <w:tabs>
          <w:tab w:val="left" w:pos="0"/>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Ahora bien, </w:t>
      </w:r>
      <w:r w:rsidR="00897B2E" w:rsidRPr="00E858D2">
        <w:rPr>
          <w:rFonts w:ascii="Arial" w:eastAsia="Calibri" w:hAnsi="Arial" w:cs="Arial"/>
          <w:bCs/>
          <w:sz w:val="22"/>
          <w:lang w:val="es-ES_tradnl"/>
        </w:rPr>
        <w:t xml:space="preserve">es necesario precisar el alcance de los dos primeros incisos del artículo 56 a luz de lo establecido en su parágrafo, el cual excluye de la aplicación de los primeros </w:t>
      </w:r>
      <w:r w:rsidR="00897B2E" w:rsidRPr="00E858D2">
        <w:rPr>
          <w:rFonts w:ascii="Arial" w:eastAsia="Calibri" w:hAnsi="Arial" w:cs="Arial"/>
          <w:bCs/>
          <w:sz w:val="22"/>
          <w:lang w:val="es-ES_tradnl"/>
        </w:rPr>
        <w:lastRenderedPageBreak/>
        <w:t xml:space="preserve">incisos del artículo 56, a cierto tipo de entidades, en lo relacionado con la contratación de su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Conforme se desprende del texto del referido parágrafo, se exceptúa de lo señalado en los dos primeros incisos a: (i) las instituciones de educación superior públicas, (</w:t>
      </w:r>
      <w:proofErr w:type="spellStart"/>
      <w:r w:rsidR="00897B2E" w:rsidRPr="00E858D2">
        <w:rPr>
          <w:rFonts w:ascii="Arial" w:eastAsia="Calibri" w:hAnsi="Arial" w:cs="Arial"/>
          <w:bCs/>
          <w:sz w:val="22"/>
          <w:lang w:val="es-ES_tradnl"/>
        </w:rPr>
        <w:t>ii</w:t>
      </w:r>
      <w:proofErr w:type="spellEnd"/>
      <w:r w:rsidR="00897B2E" w:rsidRPr="00E858D2">
        <w:rPr>
          <w:rFonts w:ascii="Arial" w:eastAsia="Calibri" w:hAnsi="Arial" w:cs="Arial"/>
          <w:bCs/>
          <w:sz w:val="22"/>
          <w:lang w:val="es-ES_tradnl"/>
        </w:rPr>
        <w:t>) las empresas sociales del Estado, (</w:t>
      </w:r>
      <w:proofErr w:type="spellStart"/>
      <w:r w:rsidR="00897B2E" w:rsidRPr="00E858D2">
        <w:rPr>
          <w:rFonts w:ascii="Arial" w:eastAsia="Calibri" w:hAnsi="Arial" w:cs="Arial"/>
          <w:bCs/>
          <w:sz w:val="22"/>
          <w:lang w:val="es-ES_tradnl"/>
        </w:rPr>
        <w:t>iii</w:t>
      </w:r>
      <w:proofErr w:type="spellEnd"/>
      <w:r w:rsidR="00897B2E" w:rsidRPr="00E858D2">
        <w:rPr>
          <w:rFonts w:ascii="Arial" w:eastAsia="Calibri" w:hAnsi="Arial" w:cs="Arial"/>
          <w:bCs/>
          <w:sz w:val="22"/>
          <w:lang w:val="es-ES_tradnl"/>
        </w:rPr>
        <w:t>) las sociedades de economía mixta y (</w:t>
      </w:r>
      <w:proofErr w:type="spellStart"/>
      <w:r w:rsidR="00897B2E" w:rsidRPr="00E858D2">
        <w:rPr>
          <w:rFonts w:ascii="Arial" w:eastAsia="Calibri" w:hAnsi="Arial" w:cs="Arial"/>
          <w:bCs/>
          <w:sz w:val="22"/>
          <w:lang w:val="es-ES_tradnl"/>
        </w:rPr>
        <w:t>iv</w:t>
      </w:r>
      <w:proofErr w:type="spellEnd"/>
      <w:r w:rsidR="00897B2E" w:rsidRPr="00E858D2">
        <w:rPr>
          <w:rFonts w:ascii="Arial" w:eastAsia="Calibri" w:hAnsi="Arial" w:cs="Arial"/>
          <w:bCs/>
          <w:sz w:val="22"/>
          <w:lang w:val="es-ES_tradnl"/>
        </w:rPr>
        <w:t xml:space="preserve">) las empresas industriales y comerciales del Estado, únicamente, en la contratación relacionada con el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xml:space="preserve"> Esto significa que en la contratación asociada a su </w:t>
      </w:r>
      <w:r w:rsidR="00897B2E" w:rsidRPr="00E858D2">
        <w:rPr>
          <w:rFonts w:ascii="Arial" w:eastAsia="Calibri" w:hAnsi="Arial" w:cs="Arial"/>
          <w:bCs/>
          <w:i/>
          <w:iCs/>
          <w:sz w:val="22"/>
          <w:lang w:val="es-ES_tradnl"/>
        </w:rPr>
        <w:t xml:space="preserve">giro ordinario, </w:t>
      </w:r>
      <w:r w:rsidR="00897B2E"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123B751" w14:textId="566B128B" w:rsidR="00897B2E" w:rsidRPr="00E858D2" w:rsidRDefault="00897B2E" w:rsidP="007977F1">
      <w:pPr>
        <w:tabs>
          <w:tab w:val="left" w:pos="0"/>
        </w:tabs>
        <w:spacing w:before="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r>
      <w:r w:rsidR="00987716">
        <w:rPr>
          <w:rFonts w:ascii="Arial" w:eastAsia="Calibri" w:hAnsi="Arial" w:cs="Arial"/>
          <w:bCs/>
          <w:sz w:val="22"/>
          <w:lang w:val="es-ES_tradnl"/>
        </w:rPr>
        <w:t>E</w:t>
      </w:r>
      <w:r w:rsidRPr="00E858D2">
        <w:rPr>
          <w:rFonts w:ascii="Arial" w:eastAsia="Calibri" w:hAnsi="Arial" w:cs="Arial"/>
          <w:bCs/>
          <w:sz w:val="22"/>
          <w:lang w:val="es-ES_tradnl"/>
        </w:rPr>
        <w:t xml:space="preserv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11"/>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723C6F45"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w:t>
      </w:r>
      <w:r w:rsidRPr="00E858D2">
        <w:rPr>
          <w:rStyle w:val="Refdenotaalpie"/>
          <w:rFonts w:ascii="Arial" w:eastAsia="Arial" w:hAnsi="Arial" w:cs="Arial"/>
        </w:rPr>
        <w:footnoteReference w:id="12"/>
      </w:r>
      <w:r w:rsidRPr="00E858D2">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1385A9E6"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13"/>
      </w:r>
      <w:r w:rsidRPr="00E858D2">
        <w:rPr>
          <w:rFonts w:ascii="Arial" w:eastAsia="Calibri" w:hAnsi="Arial" w:cs="Arial"/>
          <w:bCs/>
          <w:sz w:val="22"/>
          <w:lang w:val="es-ES_tradnl"/>
        </w:rPr>
        <w:t xml:space="preserve">, la Sección Tercera manifestó lo siguiente: </w:t>
      </w:r>
    </w:p>
    <w:p w14:paraId="09D38B8A"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139CDC57" w14:textId="406CA0FA" w:rsidR="00897B2E" w:rsidRPr="00E858D2" w:rsidRDefault="00897B2E" w:rsidP="00897B2E">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004A188D">
        <w:rPr>
          <w:rFonts w:ascii="Arial" w:hAnsi="Arial" w:cs="Arial"/>
          <w:sz w:val="21"/>
          <w:szCs w:val="21"/>
          <w:lang w:val="es-ES_tradnl"/>
        </w:rPr>
        <w:t>.</w:t>
      </w:r>
      <w:r w:rsidRPr="00E858D2">
        <w:rPr>
          <w:rStyle w:val="Refdenotaalpie"/>
          <w:rFonts w:ascii="Arial" w:hAnsi="Arial" w:cs="Arial"/>
        </w:rPr>
        <w:footnoteReference w:id="14"/>
      </w:r>
    </w:p>
    <w:p w14:paraId="03BDB9B8" w14:textId="77777777" w:rsidR="00897B2E" w:rsidRPr="00E858D2" w:rsidRDefault="00897B2E" w:rsidP="00E6685F">
      <w:pPr>
        <w:tabs>
          <w:tab w:val="left" w:pos="0"/>
        </w:tabs>
        <w:spacing w:line="276" w:lineRule="auto"/>
        <w:jc w:val="both"/>
        <w:rPr>
          <w:rFonts w:ascii="Arial" w:eastAsia="Calibri" w:hAnsi="Arial" w:cs="Arial"/>
          <w:bCs/>
          <w:i/>
          <w:iCs/>
          <w:sz w:val="22"/>
          <w:lang w:val="es-ES_tradnl"/>
        </w:rPr>
      </w:pPr>
    </w:p>
    <w:p w14:paraId="208A7F98" w14:textId="22685F21" w:rsidR="00897B2E" w:rsidRDefault="00897B2E" w:rsidP="00225C7E">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En el mismo sentido se pronunció el Alto Tribunal de lo Contencioso Administrativo, reiterando las anteriores consideraciones, al expresar que: </w:t>
      </w:r>
    </w:p>
    <w:p w14:paraId="6700FE2F" w14:textId="77777777" w:rsidR="007977F1" w:rsidRPr="00E858D2" w:rsidRDefault="007977F1" w:rsidP="007977F1">
      <w:pPr>
        <w:tabs>
          <w:tab w:val="left" w:pos="0"/>
        </w:tabs>
        <w:spacing w:line="276" w:lineRule="auto"/>
        <w:jc w:val="both"/>
        <w:rPr>
          <w:rFonts w:ascii="Arial" w:eastAsia="Calibri" w:hAnsi="Arial" w:cs="Arial"/>
          <w:bCs/>
          <w:sz w:val="22"/>
          <w:szCs w:val="22"/>
          <w:lang w:val="es-ES_tradnl"/>
        </w:rPr>
      </w:pPr>
    </w:p>
    <w:p w14:paraId="49767E06" w14:textId="03BBFC27" w:rsidR="00897B2E" w:rsidRPr="00E858D2" w:rsidRDefault="00897B2E" w:rsidP="00225C7E">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2616AE6B" w14:textId="5DC52774" w:rsidR="00897B2E" w:rsidRPr="00E858D2" w:rsidRDefault="00897B2E" w:rsidP="00225C7E">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4F2E115E" w14:textId="6F876B53"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w:t>
      </w:r>
      <w:r w:rsidRPr="00E858D2">
        <w:rPr>
          <w:rFonts w:ascii="Arial" w:eastAsia="Calibri" w:hAnsi="Arial" w:cs="Arial"/>
          <w:bCs/>
          <w:sz w:val="21"/>
          <w:szCs w:val="21"/>
          <w:lang w:val="es-ES_tradnl"/>
        </w:rPr>
        <w:lastRenderedPageBreak/>
        <w:t>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5"/>
      </w:r>
      <w:r w:rsidRPr="00E858D2">
        <w:rPr>
          <w:rFonts w:ascii="Arial" w:eastAsia="Calibri" w:hAnsi="Arial" w:cs="Arial"/>
          <w:bCs/>
          <w:sz w:val="21"/>
          <w:szCs w:val="21"/>
          <w:lang w:val="es-ES_tradnl"/>
        </w:rPr>
        <w:t xml:space="preserve">. </w:t>
      </w:r>
    </w:p>
    <w:p w14:paraId="355D1C77"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019C87D" w14:textId="77777777" w:rsidR="00897B2E" w:rsidRPr="00E858D2" w:rsidRDefault="00897B2E" w:rsidP="0060580F">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Conforme con lo expresado en estas providencias, el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szCs w:val="22"/>
          <w:lang w:val="es-ES_tradnl"/>
        </w:rPr>
        <w:t>S]e</w:t>
      </w:r>
      <w:r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bookmarkStart w:id="13" w:name="_Hlk103089145"/>
      <w:r w:rsidRPr="00E858D2">
        <w:rPr>
          <w:rFonts w:ascii="Arial" w:eastAsia="Calibri" w:hAnsi="Arial" w:cs="Arial"/>
          <w:bCs/>
          <w:sz w:val="22"/>
          <w:szCs w:val="22"/>
          <w:lang w:val="es-ES_tradnl"/>
        </w:rPr>
        <w:t>»</w:t>
      </w:r>
      <w:bookmarkEnd w:id="13"/>
      <w:r w:rsidRPr="00E858D2">
        <w:rPr>
          <w:rStyle w:val="Refdenotaalpie"/>
          <w:rFonts w:ascii="Arial" w:eastAsia="Calibri" w:hAnsi="Arial" w:cs="Arial"/>
        </w:rPr>
        <w:footnoteReference w:id="16"/>
      </w:r>
      <w:r w:rsidRPr="00E858D2">
        <w:rPr>
          <w:rFonts w:ascii="Arial" w:eastAsia="Calibri" w:hAnsi="Arial" w:cs="Arial"/>
          <w:bCs/>
          <w:sz w:val="22"/>
          <w:szCs w:val="22"/>
          <w:lang w:val="es-ES_tradnl"/>
        </w:rPr>
        <w:t xml:space="preserve">. </w:t>
      </w:r>
    </w:p>
    <w:p w14:paraId="082D334A"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De otra parte, la doctrina societaria también se ha encargado de definir el </w:t>
      </w:r>
      <w:r w:rsidRPr="00E858D2">
        <w:rPr>
          <w:rFonts w:ascii="Arial" w:eastAsia="Calibri" w:hAnsi="Arial" w:cs="Arial"/>
          <w:bCs/>
          <w:i/>
          <w:iCs/>
          <w:sz w:val="22"/>
          <w:szCs w:val="22"/>
          <w:lang w:val="es-ES_tradnl"/>
        </w:rPr>
        <w:t>objeto social</w:t>
      </w:r>
      <w:r w:rsidRPr="00E858D2">
        <w:rPr>
          <w:rFonts w:ascii="Arial" w:eastAsia="Calibri" w:hAnsi="Arial" w:cs="Arial"/>
          <w:bCs/>
          <w:sz w:val="22"/>
          <w:szCs w:val="22"/>
          <w:lang w:val="es-ES_tradnl"/>
        </w:rPr>
        <w:t xml:space="preserve">, así como su relación con el concepto de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Al respecto, la Superintendencia de Sociedades, citando doctrina autorizada en la materia, ha señalado:</w:t>
      </w:r>
    </w:p>
    <w:p w14:paraId="4915431F"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p>
    <w:p w14:paraId="4FBCE0AA" w14:textId="77777777" w:rsidR="00897B2E" w:rsidRPr="00E858D2" w:rsidRDefault="00897B2E" w:rsidP="00897B2E">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1C03C2E2" w14:textId="392D355B"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lastRenderedPageBreak/>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17"/>
      </w:r>
      <w:r w:rsidRPr="00E858D2">
        <w:rPr>
          <w:rFonts w:ascii="Arial" w:hAnsi="Arial" w:cs="Arial"/>
          <w:sz w:val="21"/>
          <w:szCs w:val="21"/>
          <w:lang w:val="es-ES_tradnl"/>
        </w:rPr>
        <w:t>.</w:t>
      </w:r>
    </w:p>
    <w:p w14:paraId="57582BDF"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6C97E6B2" w14:textId="343BB8A0" w:rsidR="00897B2E" w:rsidRPr="00E858D2" w:rsidRDefault="00897B2E"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14"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w:t>
      </w:r>
    </w:p>
    <w:p w14:paraId="1A7A2EF5"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5C681CE2"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w:t>
      </w:r>
      <w:r w:rsidRPr="00E858D2">
        <w:rPr>
          <w:rFonts w:ascii="Arial" w:eastAsia="Calibri" w:hAnsi="Arial" w:cs="Arial"/>
          <w:bCs/>
          <w:sz w:val="22"/>
          <w:lang w:val="es-ES_tradnl"/>
        </w:rPr>
        <w:lastRenderedPageBreak/>
        <w:t>estatutarias –actos de creación y demás reglamentos–, así como a la realidad de los negocios que hacen parte de su dinámica habitual.</w:t>
      </w:r>
    </w:p>
    <w:bookmarkEnd w:id="14"/>
    <w:p w14:paraId="2128E691"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858D2">
        <w:rPr>
          <w:rFonts w:ascii="Arial" w:eastAsia="Calibri" w:hAnsi="Arial" w:cs="Arial"/>
          <w:bCs/>
          <w:i/>
          <w:iCs/>
          <w:sz w:val="22"/>
          <w:lang w:val="es-ES_tradnl"/>
        </w:rPr>
        <w:t>su giro ordinario</w:t>
      </w:r>
      <w:r w:rsidRPr="00E858D2">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392201B2"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18"/>
      </w:r>
      <w:r w:rsidRPr="00E858D2">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858D2">
        <w:rPr>
          <w:rStyle w:val="Refdenotaalpie"/>
          <w:rFonts w:ascii="Arial" w:eastAsia="Calibri" w:hAnsi="Arial" w:cs="Arial"/>
        </w:rPr>
        <w:footnoteReference w:id="19"/>
      </w:r>
      <w:r w:rsidRPr="00E858D2">
        <w:rPr>
          <w:rFonts w:ascii="Arial" w:eastAsia="Calibri" w:hAnsi="Arial" w:cs="Arial"/>
          <w:bCs/>
          <w:sz w:val="22"/>
          <w:lang w:val="es-ES_tradnl"/>
        </w:rPr>
        <w:t xml:space="preserve">. En ese sentido, en virtud de esta potestad de configuración </w:t>
      </w:r>
      <w:r w:rsidRPr="00E858D2">
        <w:rPr>
          <w:rFonts w:ascii="Arial" w:eastAsia="Calibri" w:hAnsi="Arial" w:cs="Arial"/>
          <w:bCs/>
          <w:sz w:val="22"/>
          <w:lang w:val="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20"/>
      </w:r>
      <w:r w:rsidRPr="00E858D2">
        <w:rPr>
          <w:rFonts w:ascii="Arial" w:eastAsia="Calibri" w:hAnsi="Arial" w:cs="Arial"/>
          <w:bCs/>
          <w:sz w:val="22"/>
          <w:lang w:val="es-ES_tradnl"/>
        </w:rPr>
        <w:t>.</w:t>
      </w:r>
    </w:p>
    <w:p w14:paraId="68A7EC44" w14:textId="66CD73A2" w:rsidR="00897B2E" w:rsidRPr="00E858D2" w:rsidRDefault="00897B2E" w:rsidP="007977F1">
      <w:pPr>
        <w:tabs>
          <w:tab w:val="left" w:pos="0"/>
        </w:tabs>
        <w:spacing w:before="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 con esta interpretación restrictiva</w:t>
      </w:r>
      <w:r w:rsidRPr="00E858D2">
        <w:rPr>
          <w:rStyle w:val="Refdenotaalpie"/>
          <w:rFonts w:ascii="Arial" w:eastAsia="Calibri" w:hAnsi="Arial" w:cs="Arial"/>
        </w:rPr>
        <w:footnoteReference w:id="21"/>
      </w:r>
      <w:r w:rsidRPr="00E858D2">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 xml:space="preserve">derivada del cumplimiento de </w:t>
      </w:r>
      <w:r w:rsidRPr="00E858D2">
        <w:rPr>
          <w:rFonts w:ascii="Arial" w:eastAsia="Calibri" w:hAnsi="Arial" w:cs="Arial"/>
          <w:bCs/>
          <w:sz w:val="22"/>
          <w:szCs w:val="22"/>
          <w:lang w:val="es-ES_tradnl"/>
        </w:rPr>
        <w:lastRenderedPageBreak/>
        <w:t>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22"/>
      </w:r>
      <w:r w:rsidRPr="00E858D2">
        <w:rPr>
          <w:rFonts w:ascii="Arial" w:eastAsia="Calibri" w:hAnsi="Arial" w:cs="Arial"/>
          <w:bCs/>
          <w:sz w:val="22"/>
          <w:szCs w:val="22"/>
          <w:lang w:val="es-ES_tradnl"/>
        </w:rPr>
        <w:t>, al igual que la regla según la cual «</w:t>
      </w:r>
      <w:r w:rsidRPr="00E858D2">
        <w:rPr>
          <w:rFonts w:ascii="Arial" w:hAnsi="Arial" w:cs="Arial"/>
          <w:sz w:val="22"/>
          <w:szCs w:val="22"/>
        </w:rPr>
        <w:t>Lo favorable u odioso de una disposición no se tomará en cuenta para ampliar o restringir su interpretación»</w:t>
      </w:r>
      <w:r w:rsidRPr="00E858D2">
        <w:rPr>
          <w:rStyle w:val="Refdenotaalpie"/>
          <w:rFonts w:ascii="Arial" w:hAnsi="Arial" w:cs="Arial"/>
        </w:rPr>
        <w:footnoteReference w:id="23"/>
      </w:r>
      <w:r w:rsidRPr="00E858D2">
        <w:rPr>
          <w:rFonts w:ascii="Arial" w:hAnsi="Arial" w:cs="Arial"/>
          <w:sz w:val="22"/>
          <w:szCs w:val="22"/>
        </w:rPr>
        <w:t xml:space="preserve">. </w:t>
      </w:r>
    </w:p>
    <w:p w14:paraId="6A043097" w14:textId="4E413B3B" w:rsidR="00235D5E" w:rsidRDefault="00897B2E" w:rsidP="00225C7E">
      <w:pPr>
        <w:tabs>
          <w:tab w:val="left" w:pos="0"/>
        </w:tabs>
        <w:spacing w:before="120"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xml:space="preserve">. Esto significa que tales entidades, </w:t>
      </w:r>
      <w:r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00DB13DD" w:rsidRPr="00F31CBB">
        <w:rPr>
          <w:rFonts w:ascii="Arial" w:eastAsia="Calibri" w:hAnsi="Arial" w:cs="Arial"/>
          <w:bCs/>
          <w:sz w:val="22"/>
          <w:lang w:val="es-ES_tradnl"/>
        </w:rPr>
        <w:t xml:space="preserve"> </w:t>
      </w:r>
    </w:p>
    <w:p w14:paraId="378A260B" w14:textId="13D00D7B" w:rsidR="001B2890" w:rsidRPr="00225C7E" w:rsidRDefault="001B2890" w:rsidP="00225C7E">
      <w:pPr>
        <w:spacing w:line="276" w:lineRule="auto"/>
        <w:ind w:firstLine="709"/>
        <w:jc w:val="both"/>
        <w:rPr>
          <w:rFonts w:ascii="Arial" w:hAnsi="Arial" w:cs="Arial"/>
          <w:bCs/>
          <w:color w:val="000000" w:themeColor="text1"/>
          <w:sz w:val="22"/>
          <w:szCs w:val="22"/>
          <w:shd w:val="clear" w:color="auto" w:fill="FFFFFF"/>
          <w:lang w:val="es-ES_tradnl"/>
        </w:rPr>
      </w:pPr>
      <w:bookmarkStart w:id="15" w:name="_Hlk109981985"/>
      <w:r>
        <w:rPr>
          <w:rFonts w:ascii="Arial" w:hAnsi="Arial" w:cs="Arial"/>
          <w:bCs/>
          <w:color w:val="000000" w:themeColor="text1"/>
          <w:sz w:val="22"/>
          <w:szCs w:val="22"/>
          <w:shd w:val="clear" w:color="auto" w:fill="FFFFFF"/>
          <w:lang w:val="es-ES_tradnl"/>
        </w:rPr>
        <w:t xml:space="preserve">En este orden de ideas, es pertinente indicar que </w:t>
      </w:r>
      <w:r w:rsidRPr="00864E72">
        <w:rPr>
          <w:rFonts w:ascii="Arial" w:eastAsia="Calibri" w:hAnsi="Arial" w:cs="Arial"/>
          <w:bCs/>
          <w:color w:val="000000" w:themeColor="text1"/>
          <w:sz w:val="22"/>
          <w:lang w:val="es-ES_tradnl"/>
        </w:rPr>
        <w:t xml:space="preserve">las excepciones consagradas en el parágrafo del artículo 56 de la Ley 2195 de 2022 solo se aplican a los órganos del Estado cuya naturaleza jurídica coincida con la de las entidades allí indicadas de manera </w:t>
      </w:r>
      <w:r w:rsidRPr="00864E72">
        <w:rPr>
          <w:rFonts w:ascii="Arial" w:eastAsia="Calibri" w:hAnsi="Arial" w:cs="Arial"/>
          <w:bCs/>
          <w:i/>
          <w:iCs/>
          <w:color w:val="000000" w:themeColor="text1"/>
          <w:sz w:val="22"/>
          <w:lang w:val="es-ES_tradnl"/>
        </w:rPr>
        <w:t>taxativa</w:t>
      </w:r>
      <w:r w:rsidRPr="00864E72">
        <w:rPr>
          <w:rFonts w:ascii="Arial" w:eastAsia="Calibri" w:hAnsi="Arial" w:cs="Arial"/>
          <w:bCs/>
          <w:color w:val="000000" w:themeColor="text1"/>
          <w:sz w:val="22"/>
          <w:lang w:val="es-ES_tradnl"/>
        </w:rPr>
        <w:t>, esto es, a «</w:t>
      </w:r>
      <w:r w:rsidRPr="00864E72">
        <w:rPr>
          <w:rFonts w:ascii="Arial" w:hAnsi="Arial" w:cs="Arial"/>
          <w:color w:val="000000" w:themeColor="text1"/>
        </w:rPr>
        <w:t xml:space="preserve">[…] </w:t>
      </w:r>
      <w:r w:rsidRPr="00864E72">
        <w:rPr>
          <w:rFonts w:ascii="Arial" w:eastAsia="Calibri" w:hAnsi="Arial" w:cs="Arial"/>
          <w:bCs/>
          <w:color w:val="000000" w:themeColor="text1"/>
          <w:sz w:val="22"/>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Por consiguiente, cada entidad estatal deberá analizar su naturaleza jurídica y hacer una interpretación restrictiva de este parágrafo, pues las excepciones deben leerse de manera acorde con dicho parámetro hermenéutico. Tratándose de empresas prestadoras de servicios públicos domiciliarios, no sobra indicar que la autoridad competente para resolver las consultas relacionadas con aspectos asociados a su naturaleza jurídica es la Superintendencia de Servicios Públicos Domiciliarios, de conformidad con el artículo 11, numeral 2, del Decreto </w:t>
      </w:r>
      <w:r w:rsidRPr="00864E72">
        <w:rPr>
          <w:rFonts w:ascii="Arial" w:eastAsia="Calibri" w:hAnsi="Arial" w:cs="Arial"/>
          <w:bCs/>
          <w:color w:val="000000" w:themeColor="text1"/>
          <w:sz w:val="22"/>
          <w:lang w:val="es-ES_tradnl"/>
        </w:rPr>
        <w:lastRenderedPageBreak/>
        <w:t>1369 de 2020, según el cual dicha entidad debe «Absolver las consultas jurídicas externas relativas al régimen de los servicios públicos domiciliarios».</w:t>
      </w:r>
      <w:bookmarkEnd w:id="15"/>
    </w:p>
    <w:p w14:paraId="1C567C92" w14:textId="77777777" w:rsidR="00186984" w:rsidRPr="004633CF" w:rsidRDefault="00186984" w:rsidP="001A2BDB">
      <w:pPr>
        <w:tabs>
          <w:tab w:val="left" w:pos="0"/>
        </w:tabs>
        <w:spacing w:line="276" w:lineRule="auto"/>
        <w:ind w:firstLine="709"/>
        <w:jc w:val="both"/>
        <w:rPr>
          <w:rFonts w:ascii="Arial" w:eastAsia="Calibri" w:hAnsi="Arial" w:cs="Arial"/>
          <w:bCs/>
          <w:sz w:val="22"/>
          <w:lang w:val="es-ES_tradnl"/>
        </w:rPr>
      </w:pPr>
    </w:p>
    <w:p w14:paraId="37CA9805" w14:textId="2C6D1DB7" w:rsidR="00DD5B04" w:rsidRPr="00624C21" w:rsidRDefault="004177A6" w:rsidP="00510DE9">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49375CFA" w14:textId="77777777" w:rsidR="00D633AC" w:rsidRPr="00624C21" w:rsidRDefault="00D633AC" w:rsidP="00B90E5C">
      <w:pPr>
        <w:spacing w:line="276" w:lineRule="auto"/>
        <w:jc w:val="both"/>
        <w:rPr>
          <w:rFonts w:ascii="Arial" w:hAnsi="Arial" w:cs="Arial"/>
          <w:color w:val="000000" w:themeColor="text1"/>
          <w:sz w:val="22"/>
          <w:lang w:val="es-ES_tradnl"/>
        </w:rPr>
      </w:pPr>
    </w:p>
    <w:p w14:paraId="09CFE2BB" w14:textId="3A3C5E5A" w:rsidR="00F10FC4" w:rsidRPr="00F14618" w:rsidRDefault="00F10FC4" w:rsidP="007A31F6">
      <w:pPr>
        <w:ind w:left="567" w:right="618"/>
        <w:jc w:val="both"/>
        <w:rPr>
          <w:rFonts w:ascii="Arial" w:eastAsia="Calibri" w:hAnsi="Arial" w:cs="Arial"/>
          <w:i/>
          <w:iCs/>
          <w:sz w:val="21"/>
          <w:szCs w:val="21"/>
          <w:u w:val="single"/>
        </w:rPr>
      </w:pPr>
      <w:r w:rsidRPr="00F14618">
        <w:rPr>
          <w:rFonts w:ascii="Arial" w:hAnsi="Arial" w:cs="Arial"/>
          <w:color w:val="000000" w:themeColor="text1"/>
          <w:sz w:val="21"/>
          <w:szCs w:val="21"/>
          <w:lang w:val="es-ES_tradnl"/>
        </w:rPr>
        <w:t>«</w:t>
      </w:r>
      <w:r w:rsidR="007A31F6" w:rsidRPr="00CB65D4">
        <w:rPr>
          <w:rFonts w:ascii="Arial" w:hAnsi="Arial" w:cs="Arial"/>
          <w:color w:val="000000" w:themeColor="text1"/>
          <w:sz w:val="22"/>
          <w:szCs w:val="22"/>
          <w:lang w:val="es-ES_tradnl"/>
        </w:rPr>
        <w:t xml:space="preserve">Con relación a la </w:t>
      </w:r>
      <w:proofErr w:type="gramStart"/>
      <w:r w:rsidR="007A31F6" w:rsidRPr="00CB65D4">
        <w:rPr>
          <w:rFonts w:ascii="Arial" w:hAnsi="Arial" w:cs="Arial"/>
          <w:color w:val="000000" w:themeColor="text1"/>
          <w:sz w:val="22"/>
          <w:szCs w:val="22"/>
          <w:lang w:val="es-ES_tradnl"/>
        </w:rPr>
        <w:t>entrada en vigencia</w:t>
      </w:r>
      <w:proofErr w:type="gramEnd"/>
      <w:r w:rsidR="007A31F6" w:rsidRPr="00CB65D4">
        <w:rPr>
          <w:rFonts w:ascii="Arial" w:hAnsi="Arial" w:cs="Arial"/>
          <w:color w:val="000000" w:themeColor="text1"/>
          <w:sz w:val="22"/>
          <w:szCs w:val="22"/>
          <w:lang w:val="es-ES_tradnl"/>
        </w:rPr>
        <w:t xml:space="preserve"> de la Ley 2195 de 2022 sigue teniendo vigencia el alcance del concepto C-307 de 2021 proferido por la Agencia Nacional Colombia Compra Eficiente</w:t>
      </w:r>
      <w:r w:rsidR="007A31F6" w:rsidRPr="00CB65D4">
        <w:rPr>
          <w:rFonts w:ascii="Arial" w:eastAsia="Calibri" w:hAnsi="Arial" w:cs="Arial"/>
          <w:sz w:val="22"/>
          <w:szCs w:val="22"/>
        </w:rPr>
        <w:t>».</w:t>
      </w:r>
      <w:r w:rsidRPr="00F14618">
        <w:rPr>
          <w:rFonts w:ascii="Arial" w:eastAsia="Calibri" w:hAnsi="Arial" w:cs="Arial"/>
          <w:sz w:val="21"/>
          <w:szCs w:val="21"/>
        </w:rPr>
        <w:t xml:space="preserve"> </w:t>
      </w:r>
    </w:p>
    <w:p w14:paraId="0739CDDE" w14:textId="1BE383F8" w:rsidR="00F10FC4" w:rsidRDefault="00F10FC4" w:rsidP="00F10FC4">
      <w:pPr>
        <w:ind w:right="618"/>
        <w:jc w:val="both"/>
        <w:rPr>
          <w:rFonts w:ascii="Arial" w:eastAsia="Calibri" w:hAnsi="Arial" w:cs="Arial"/>
          <w:sz w:val="21"/>
          <w:szCs w:val="21"/>
        </w:rPr>
      </w:pPr>
    </w:p>
    <w:p w14:paraId="5ED43FA1" w14:textId="76C25CCE" w:rsidR="00F10FC4" w:rsidRPr="00901768" w:rsidRDefault="00901768" w:rsidP="00F10FC4">
      <w:pPr>
        <w:spacing w:line="276" w:lineRule="auto"/>
        <w:jc w:val="both"/>
        <w:rPr>
          <w:rFonts w:ascii="Arial" w:hAnsi="Arial" w:cs="Arial"/>
          <w:bCs/>
          <w:color w:val="000000" w:themeColor="text1"/>
          <w:sz w:val="22"/>
          <w:szCs w:val="22"/>
          <w:shd w:val="clear" w:color="auto" w:fill="FFFFFF"/>
          <w:lang w:val="es-ES_tradnl"/>
        </w:rPr>
      </w:pPr>
      <w:r>
        <w:rPr>
          <w:rFonts w:ascii="Arial" w:hAnsi="Arial" w:cs="Arial"/>
          <w:bCs/>
          <w:color w:val="000000" w:themeColor="text1"/>
          <w:sz w:val="22"/>
          <w:szCs w:val="22"/>
          <w:shd w:val="clear" w:color="auto" w:fill="FFFFFF"/>
          <w:lang w:val="es-ES_tradnl"/>
        </w:rPr>
        <w:t>L</w:t>
      </w:r>
      <w:r w:rsidRPr="00901768">
        <w:rPr>
          <w:rFonts w:ascii="Arial" w:hAnsi="Arial" w:cs="Arial"/>
          <w:bCs/>
          <w:color w:val="000000" w:themeColor="text1"/>
          <w:sz w:val="22"/>
          <w:szCs w:val="22"/>
          <w:shd w:val="clear" w:color="auto" w:fill="FFFFFF"/>
          <w:lang w:val="es-ES_tradnl"/>
        </w:rPr>
        <w:t xml:space="preserve">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w:t>
      </w:r>
      <w:r w:rsidR="00A500F3">
        <w:rPr>
          <w:rFonts w:ascii="Arial" w:hAnsi="Arial" w:cs="Arial"/>
          <w:bCs/>
          <w:color w:val="000000" w:themeColor="text1"/>
          <w:sz w:val="22"/>
          <w:szCs w:val="22"/>
          <w:shd w:val="clear" w:color="auto" w:fill="FFFFFF"/>
          <w:lang w:val="es-ES_tradnl"/>
        </w:rPr>
        <w:t xml:space="preserve">de </w:t>
      </w:r>
      <w:r w:rsidRPr="00901768">
        <w:rPr>
          <w:rFonts w:ascii="Arial" w:hAnsi="Arial" w:cs="Arial"/>
          <w:bCs/>
          <w:color w:val="000000" w:themeColor="text1"/>
          <w:sz w:val="22"/>
          <w:szCs w:val="22"/>
          <w:shd w:val="clear" w:color="auto" w:fill="FFFFFF"/>
          <w:lang w:val="es-ES_tradnl"/>
        </w:rPr>
        <w:t>la Ley 1882 de 2018 excluían del ámbito de aplicación de los documentos tipo la contratación de entidades estatales de régimen exceptuado, por lo general, sujetas al derecho privado</w:t>
      </w:r>
      <w:r w:rsidR="00E01D90">
        <w:rPr>
          <w:rFonts w:ascii="Arial" w:hAnsi="Arial" w:cs="Arial"/>
          <w:bCs/>
          <w:color w:val="000000" w:themeColor="text1"/>
          <w:sz w:val="22"/>
          <w:szCs w:val="22"/>
          <w:shd w:val="clear" w:color="auto" w:fill="FFFFFF"/>
          <w:lang w:val="es-ES_tradnl"/>
        </w:rPr>
        <w:t>, consideraciones expuestas en el concepto C-307 de 2021</w:t>
      </w:r>
      <w:r w:rsidRPr="00901768">
        <w:rPr>
          <w:rFonts w:ascii="Arial" w:hAnsi="Arial" w:cs="Arial"/>
          <w:bCs/>
          <w:color w:val="000000" w:themeColor="text1"/>
          <w:sz w:val="22"/>
          <w:szCs w:val="22"/>
          <w:shd w:val="clear" w:color="auto" w:fill="FFFFFF"/>
          <w:lang w:val="es-ES_tradnl"/>
        </w:rPr>
        <w:t>. No obstante, este panorama ha variado con la reciente expedición de la Ley 2195 de 2022, «Por medio de la cual se adoptan medidas en materia de transparencia, prevención y lucha contra la corrupción y se dictan otras disposiciones».</w:t>
      </w:r>
      <w:r>
        <w:rPr>
          <w:rFonts w:ascii="Arial" w:hAnsi="Arial" w:cs="Arial"/>
          <w:bCs/>
          <w:color w:val="000000" w:themeColor="text1"/>
          <w:sz w:val="22"/>
          <w:szCs w:val="22"/>
          <w:shd w:val="clear" w:color="auto" w:fill="FFFFFF"/>
          <w:lang w:val="es-ES_tradnl"/>
        </w:rPr>
        <w:t xml:space="preserve"> En efecto, </w:t>
      </w:r>
      <w:r w:rsidR="00F10FC4" w:rsidRPr="00864E72">
        <w:rPr>
          <w:rFonts w:ascii="Arial" w:hAnsi="Arial" w:cs="Arial"/>
          <w:color w:val="000000" w:themeColor="text1"/>
          <w:sz w:val="22"/>
          <w:szCs w:val="22"/>
          <w:shd w:val="clear" w:color="auto" w:fill="FFFFFF"/>
          <w:lang w:val="es-ES_tradnl"/>
        </w:rPr>
        <w:t xml:space="preserve">en atención a lo dispuesto en los dos primeros incisos del artículo 56 de la Ley 2195 de 2022, cuando </w:t>
      </w:r>
      <w:r>
        <w:rPr>
          <w:rFonts w:ascii="Arial" w:hAnsi="Arial" w:cs="Arial"/>
          <w:color w:val="000000" w:themeColor="text1"/>
          <w:sz w:val="22"/>
          <w:szCs w:val="22"/>
          <w:shd w:val="clear" w:color="auto" w:fill="FFFFFF"/>
          <w:lang w:val="es-ES_tradnl"/>
        </w:rPr>
        <w:t>las</w:t>
      </w:r>
      <w:r w:rsidR="00F10FC4" w:rsidRPr="00864E72">
        <w:rPr>
          <w:rFonts w:ascii="Arial" w:hAnsi="Arial" w:cs="Arial"/>
          <w:color w:val="000000" w:themeColor="text1"/>
          <w:sz w:val="22"/>
          <w:szCs w:val="22"/>
          <w:shd w:val="clear" w:color="auto" w:fill="FFFFFF"/>
          <w:lang w:val="es-ES_tradnl"/>
        </w:rPr>
        <w:t xml:space="preserve"> entidades </w:t>
      </w:r>
      <w:r w:rsidRPr="00864E72">
        <w:rPr>
          <w:rFonts w:ascii="Arial" w:hAnsi="Arial" w:cs="Arial"/>
          <w:color w:val="000000" w:themeColor="text1"/>
          <w:sz w:val="22"/>
          <w:szCs w:val="22"/>
          <w:shd w:val="clear" w:color="auto" w:fill="FFFFFF"/>
          <w:lang w:val="es-ES_tradnl"/>
        </w:rPr>
        <w:t xml:space="preserve">estatales regidas por el Estatuto General de Contratación de la Administración Pública </w:t>
      </w:r>
      <w:r w:rsidR="00F10FC4" w:rsidRPr="00864E72">
        <w:rPr>
          <w:rFonts w:ascii="Arial" w:hAnsi="Arial" w:cs="Arial"/>
          <w:color w:val="000000" w:themeColor="text1"/>
          <w:sz w:val="22"/>
          <w:szCs w:val="22"/>
          <w:shd w:val="clear" w:color="auto" w:fill="FFFFFF"/>
          <w:lang w:val="es-ES_tradnl"/>
        </w:rPr>
        <w:t xml:space="preserve">suscriban convenios o contratos de cualquier índole con entidades estatales de régimen exceptuado, patrimonios autónomos, personas naturales o jurídicas de derecho privado, también deberán aplicar documentos tipo, y en general, las disposiciones del Estatuto General de Contratación de la Administración Pública. </w:t>
      </w:r>
    </w:p>
    <w:p w14:paraId="7CD4CF0D" w14:textId="58F9E682" w:rsidR="00B5400D" w:rsidRPr="00A36CED" w:rsidRDefault="00F10FC4" w:rsidP="00B5400D">
      <w:pPr>
        <w:spacing w:before="120" w:after="120" w:line="276" w:lineRule="auto"/>
        <w:ind w:firstLine="708"/>
        <w:jc w:val="both"/>
        <w:rPr>
          <w:rFonts w:ascii="Arial" w:hAnsi="Arial" w:cs="Arial"/>
          <w:sz w:val="22"/>
          <w:szCs w:val="22"/>
          <w:shd w:val="clear" w:color="auto" w:fill="FFFFFF"/>
          <w:lang w:val="es-ES_tradnl"/>
        </w:rPr>
      </w:pPr>
      <w:r>
        <w:rPr>
          <w:rFonts w:ascii="Arial" w:hAnsi="Arial" w:cs="Arial"/>
          <w:color w:val="000000" w:themeColor="text1"/>
          <w:sz w:val="22"/>
          <w:szCs w:val="22"/>
          <w:shd w:val="clear" w:color="auto" w:fill="FFFFFF"/>
          <w:lang w:val="es-ES_tradnl"/>
        </w:rPr>
        <w:t>De esta manera, l</w:t>
      </w:r>
      <w:r w:rsidRPr="00864E72">
        <w:rPr>
          <w:rFonts w:ascii="Arial" w:hAnsi="Arial" w:cs="Arial"/>
          <w:color w:val="000000" w:themeColor="text1"/>
          <w:sz w:val="22"/>
          <w:szCs w:val="22"/>
          <w:shd w:val="clear" w:color="auto" w:fill="FFFFFF"/>
          <w:lang w:val="es-ES_tradnl"/>
        </w:rPr>
        <w:t>a obligación de aplicar documentos tipo, y en general, las disposiciones del Estatuto General de Contratación de la Administración Pública se extiende</w:t>
      </w:r>
      <w:r>
        <w:rPr>
          <w:rFonts w:ascii="Arial" w:hAnsi="Arial" w:cs="Arial"/>
          <w:color w:val="000000" w:themeColor="text1"/>
          <w:sz w:val="22"/>
          <w:szCs w:val="22"/>
          <w:shd w:val="clear" w:color="auto" w:fill="FFFFFF"/>
          <w:lang w:val="es-ES_tradnl"/>
        </w:rPr>
        <w:t>n</w:t>
      </w:r>
      <w:r w:rsidRPr="00864E72">
        <w:rPr>
          <w:rFonts w:ascii="Arial" w:hAnsi="Arial" w:cs="Arial"/>
          <w:color w:val="000000" w:themeColor="text1"/>
          <w:sz w:val="22"/>
          <w:szCs w:val="22"/>
          <w:shd w:val="clear" w:color="auto" w:fill="FFFFFF"/>
          <w:lang w:val="es-ES_tradnl"/>
        </w:rPr>
        <w:t xml:space="preserve"> no solamente a la celebración del contrato o convenio propiamente dicho, sino también a los compromisos contractuales derivados, según lo expresamente consagrado en el segundo inciso del artículo 56 de la ley citada.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w:t>
      </w:r>
      <w:r w:rsidRPr="00F10FC4">
        <w:rPr>
          <w:rFonts w:ascii="Arial" w:hAnsi="Arial" w:cs="Arial"/>
          <w:color w:val="000000" w:themeColor="text1"/>
          <w:sz w:val="22"/>
          <w:szCs w:val="22"/>
          <w:shd w:val="clear" w:color="auto" w:fill="FFFFFF"/>
          <w:lang w:val="es-ES_tradnl"/>
        </w:rPr>
        <w:t>estará obligada a</w:t>
      </w:r>
      <w:r w:rsidRPr="00864E72">
        <w:rPr>
          <w:rFonts w:ascii="Arial" w:hAnsi="Arial" w:cs="Arial"/>
          <w:color w:val="000000" w:themeColor="text1"/>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w:t>
      </w:r>
      <w:r>
        <w:rPr>
          <w:rFonts w:ascii="Arial" w:hAnsi="Arial" w:cs="Arial"/>
          <w:color w:val="000000" w:themeColor="text1"/>
          <w:sz w:val="22"/>
          <w:szCs w:val="22"/>
          <w:shd w:val="clear" w:color="auto" w:fill="FFFFFF"/>
          <w:lang w:val="es-ES_tradnl"/>
        </w:rPr>
        <w:t xml:space="preserve">a. </w:t>
      </w:r>
      <w:r w:rsidR="00B5400D" w:rsidRPr="00864E72">
        <w:rPr>
          <w:rFonts w:ascii="Arial" w:hAnsi="Arial" w:cs="Arial"/>
          <w:sz w:val="22"/>
          <w:szCs w:val="22"/>
          <w:shd w:val="clear" w:color="auto" w:fill="FFFFFF"/>
          <w:lang w:val="es-ES_tradnl"/>
        </w:rPr>
        <w:t xml:space="preserve">No obstante, se encuentran exceptuadas </w:t>
      </w:r>
      <w:r w:rsidR="007D33A0">
        <w:rPr>
          <w:rFonts w:ascii="Arial" w:hAnsi="Arial" w:cs="Arial"/>
          <w:sz w:val="22"/>
          <w:szCs w:val="22"/>
          <w:shd w:val="clear" w:color="auto" w:fill="FFFFFF"/>
          <w:lang w:val="es-ES_tradnl"/>
        </w:rPr>
        <w:t>de dicha obligación</w:t>
      </w:r>
      <w:r w:rsidR="00B5400D" w:rsidRPr="00864E72">
        <w:rPr>
          <w:rFonts w:ascii="Arial" w:hAnsi="Arial" w:cs="Arial"/>
          <w:sz w:val="22"/>
          <w:szCs w:val="22"/>
          <w:shd w:val="clear" w:color="auto" w:fill="FFFFFF"/>
          <w:lang w:val="es-ES_tradnl"/>
        </w:rPr>
        <w:t xml:space="preserve"> </w:t>
      </w:r>
      <w:r w:rsidR="00B5400D" w:rsidRPr="00864E72">
        <w:rPr>
          <w:rFonts w:ascii="Arial" w:hAnsi="Arial" w:cs="Arial"/>
          <w:sz w:val="22"/>
          <w:szCs w:val="22"/>
          <w:shd w:val="clear" w:color="auto" w:fill="FFFFFF"/>
        </w:rPr>
        <w:t>las Instituciones de Educación Superior públicas, las empresas sociales del Estado, las sociedades de economía mixta y las empresas industriales y comerciales del Estado, únicamente en cuanto a la contratación de su giro ordinario</w:t>
      </w:r>
      <w:r w:rsidR="00B5400D" w:rsidRPr="00864E72">
        <w:rPr>
          <w:rFonts w:ascii="Arial" w:hAnsi="Arial" w:cs="Arial"/>
          <w:sz w:val="22"/>
          <w:szCs w:val="22"/>
          <w:shd w:val="clear" w:color="auto" w:fill="FFFFFF"/>
          <w:lang w:val="es-ES_tradnl"/>
        </w:rPr>
        <w:t>.</w:t>
      </w:r>
    </w:p>
    <w:p w14:paraId="1D3B3830" w14:textId="5E4A5F45" w:rsidR="00582F4E" w:rsidRPr="00EB7EA7" w:rsidRDefault="004B7773" w:rsidP="00EB7EA7">
      <w:pPr>
        <w:tabs>
          <w:tab w:val="left" w:pos="0"/>
        </w:tabs>
        <w:spacing w:before="120" w:line="276" w:lineRule="auto"/>
        <w:ind w:firstLine="709"/>
        <w:jc w:val="both"/>
        <w:rPr>
          <w:rFonts w:ascii="Arial" w:eastAsia="Calibri" w:hAnsi="Arial" w:cs="Arial"/>
          <w:bCs/>
          <w:sz w:val="22"/>
          <w:lang w:val="es-ES_tradnl"/>
        </w:rPr>
      </w:pPr>
      <w:r>
        <w:rPr>
          <w:rFonts w:ascii="Arial" w:eastAsia="Calibri" w:hAnsi="Arial" w:cs="Arial"/>
          <w:bCs/>
          <w:color w:val="000000" w:themeColor="text1"/>
          <w:sz w:val="22"/>
          <w:lang w:val="es-ES_tradnl"/>
        </w:rPr>
        <w:lastRenderedPageBreak/>
        <w:t xml:space="preserve">Bajo estas consideraciones, para efectos de la consulta es preciso señalar que </w:t>
      </w:r>
      <w:r w:rsidRPr="00864E72">
        <w:rPr>
          <w:rFonts w:ascii="Arial" w:eastAsia="Calibri" w:hAnsi="Arial" w:cs="Arial"/>
          <w:bCs/>
          <w:color w:val="000000" w:themeColor="text1"/>
          <w:sz w:val="22"/>
          <w:lang w:val="es-ES_tradnl"/>
        </w:rPr>
        <w:t>las empresas prestadoras de servicios públicos domiciliarios</w:t>
      </w:r>
      <w:r>
        <w:rPr>
          <w:rFonts w:ascii="Arial" w:eastAsia="Calibri" w:hAnsi="Arial" w:cs="Arial"/>
          <w:bCs/>
          <w:color w:val="000000" w:themeColor="text1"/>
          <w:sz w:val="22"/>
          <w:lang w:val="es-ES_tradnl"/>
        </w:rPr>
        <w:t xml:space="preserve"> </w:t>
      </w:r>
      <w:r w:rsidRPr="00FC3C59">
        <w:rPr>
          <w:rFonts w:ascii="Arial" w:eastAsia="Calibri" w:hAnsi="Arial" w:cs="Arial"/>
          <w:color w:val="000000"/>
          <w:sz w:val="22"/>
          <w:lang w:val="es-ES_tradnl"/>
        </w:rPr>
        <w:t>al contar con un régimen contractual distinto al establecido en el Estatuto General de Contratación de la Administración Pública, esto es, al regirse por el derecho privado</w:t>
      </w:r>
      <w:r>
        <w:rPr>
          <w:rFonts w:ascii="Arial" w:eastAsia="Calibri" w:hAnsi="Arial" w:cs="Arial"/>
          <w:color w:val="000000"/>
          <w:sz w:val="22"/>
          <w:lang w:val="es-ES_tradnl"/>
        </w:rPr>
        <w:t xml:space="preserve"> conforme se expuso en el numeral 2.2</w:t>
      </w:r>
      <w:r w:rsidRPr="00FC3C59">
        <w:rPr>
          <w:rFonts w:ascii="Arial" w:eastAsia="Calibri" w:hAnsi="Arial" w:cs="Arial"/>
          <w:color w:val="000000"/>
          <w:sz w:val="22"/>
          <w:lang w:val="es-ES_tradnl"/>
        </w:rPr>
        <w:t xml:space="preserve">, serán destinatarias </w:t>
      </w:r>
      <w:r>
        <w:rPr>
          <w:rFonts w:ascii="Arial" w:eastAsia="Calibri" w:hAnsi="Arial" w:cs="Arial"/>
          <w:color w:val="000000"/>
          <w:sz w:val="22"/>
          <w:lang w:val="es-ES_tradnl"/>
        </w:rPr>
        <w:t>d</w:t>
      </w:r>
      <w:r w:rsidRPr="00FC3C59">
        <w:rPr>
          <w:rFonts w:ascii="Arial" w:eastAsia="Calibri" w:hAnsi="Arial" w:cs="Arial"/>
          <w:color w:val="000000"/>
          <w:sz w:val="22"/>
          <w:lang w:val="es-ES_tradnl"/>
        </w:rPr>
        <w:t>el artículo 56 de la Ley 2195 de 2022, siempre que se cumplan con los presupuestos para su aplicación</w:t>
      </w:r>
      <w:r>
        <w:rPr>
          <w:rFonts w:ascii="Arial" w:eastAsia="Calibri" w:hAnsi="Arial" w:cs="Arial"/>
          <w:color w:val="000000"/>
          <w:sz w:val="22"/>
          <w:lang w:val="es-ES_tradnl"/>
        </w:rPr>
        <w:t xml:space="preserve">. Con </w:t>
      </w:r>
      <w:bookmarkStart w:id="16" w:name="_Hlk109991605"/>
      <w:r>
        <w:rPr>
          <w:rFonts w:ascii="Arial" w:eastAsia="Calibri" w:hAnsi="Arial" w:cs="Arial"/>
          <w:color w:val="000000"/>
          <w:sz w:val="22"/>
          <w:lang w:val="es-ES_tradnl"/>
        </w:rPr>
        <w:t xml:space="preserve">las excepciones descritas en el parágrafo </w:t>
      </w:r>
      <w:r w:rsidRPr="00917C8A">
        <w:rPr>
          <w:rFonts w:ascii="Arial" w:eastAsia="Calibri" w:hAnsi="Arial" w:cs="Arial"/>
          <w:i/>
          <w:iCs/>
          <w:color w:val="000000"/>
          <w:sz w:val="22"/>
          <w:lang w:val="es-ES_tradnl"/>
        </w:rPr>
        <w:t>ibidem</w:t>
      </w:r>
      <w:r>
        <w:rPr>
          <w:rFonts w:ascii="Arial" w:eastAsia="Calibri" w:hAnsi="Arial" w:cs="Arial"/>
          <w:color w:val="000000"/>
          <w:sz w:val="22"/>
          <w:lang w:val="es-ES_tradnl"/>
        </w:rPr>
        <w:t xml:space="preserve">, </w:t>
      </w:r>
      <w:r>
        <w:rPr>
          <w:rFonts w:ascii="Arial" w:hAnsi="Arial" w:cs="Arial"/>
          <w:color w:val="000000" w:themeColor="text1"/>
          <w:sz w:val="22"/>
          <w:szCs w:val="22"/>
          <w:shd w:val="clear" w:color="auto" w:fill="FFFFFF"/>
          <w:lang w:val="es-ES_tradnl"/>
        </w:rPr>
        <w:t>l</w:t>
      </w:r>
      <w:r w:rsidRPr="00864E72">
        <w:rPr>
          <w:rFonts w:ascii="Arial" w:hAnsi="Arial" w:cs="Arial"/>
          <w:color w:val="000000" w:themeColor="text1"/>
          <w:sz w:val="22"/>
          <w:szCs w:val="22"/>
          <w:shd w:val="clear" w:color="auto" w:fill="FFFFFF"/>
          <w:lang w:val="es-ES_tradnl"/>
        </w:rPr>
        <w:t>a obligación de aplicar documentos tipo, y en general, las disposiciones del Estatuto General de Contratación de la Administración Pública se extiende</w:t>
      </w:r>
      <w:r>
        <w:rPr>
          <w:rFonts w:ascii="Arial" w:hAnsi="Arial" w:cs="Arial"/>
          <w:color w:val="000000" w:themeColor="text1"/>
          <w:sz w:val="22"/>
          <w:szCs w:val="22"/>
          <w:shd w:val="clear" w:color="auto" w:fill="FFFFFF"/>
          <w:lang w:val="es-ES_tradnl"/>
        </w:rPr>
        <w:t>n</w:t>
      </w:r>
      <w:r w:rsidRPr="00864E72">
        <w:rPr>
          <w:rFonts w:ascii="Arial" w:hAnsi="Arial" w:cs="Arial"/>
          <w:color w:val="000000" w:themeColor="text1"/>
          <w:sz w:val="22"/>
          <w:szCs w:val="22"/>
          <w:shd w:val="clear" w:color="auto" w:fill="FFFFFF"/>
          <w:lang w:val="es-ES_tradnl"/>
        </w:rPr>
        <w:t xml:space="preserve"> no solamente a la celebración del contrato o convenio propiamente dicho, sino también a los compromisos contractuales derivados, según lo expresamente consagrado en el segundo inciso del artículo 56 de la ley citada. </w:t>
      </w:r>
      <w:r w:rsidRPr="001A7313">
        <w:rPr>
          <w:rFonts w:ascii="Arial" w:eastAsia="Calibri" w:hAnsi="Arial" w:cs="Arial"/>
          <w:bCs/>
          <w:sz w:val="22"/>
          <w:lang w:val="es-ES_tradnl"/>
        </w:rPr>
        <w:t xml:space="preserve">Lo anterior con independencia del tipo de recursos que se utilicen para </w:t>
      </w:r>
      <w:r>
        <w:rPr>
          <w:rFonts w:ascii="Arial" w:eastAsia="Calibri" w:hAnsi="Arial" w:cs="Arial"/>
          <w:bCs/>
          <w:sz w:val="22"/>
          <w:lang w:val="es-ES_tradnl"/>
        </w:rPr>
        <w:t xml:space="preserve">su </w:t>
      </w:r>
      <w:r w:rsidRPr="001A7313">
        <w:rPr>
          <w:rFonts w:ascii="Arial" w:eastAsia="Calibri" w:hAnsi="Arial" w:cs="Arial"/>
          <w:bCs/>
          <w:sz w:val="22"/>
          <w:lang w:val="es-ES_tradnl"/>
        </w:rPr>
        <w:t>ejecución</w:t>
      </w:r>
      <w:r>
        <w:rPr>
          <w:rFonts w:ascii="Arial" w:eastAsia="Calibri" w:hAnsi="Arial" w:cs="Arial"/>
          <w:bCs/>
          <w:sz w:val="22"/>
          <w:lang w:val="es-ES_tradnl"/>
        </w:rPr>
        <w:t xml:space="preserve">, </w:t>
      </w:r>
      <w:r w:rsidRPr="001A7313">
        <w:rPr>
          <w:rFonts w:ascii="Arial" w:eastAsia="Calibri" w:hAnsi="Arial" w:cs="Arial"/>
          <w:bCs/>
          <w:sz w:val="22"/>
          <w:lang w:val="es-ES_tradnl"/>
        </w:rPr>
        <w:t>puesto que la norma no hace distinción alguna</w:t>
      </w:r>
      <w:r>
        <w:rPr>
          <w:rFonts w:ascii="Arial" w:eastAsia="Calibri" w:hAnsi="Arial" w:cs="Arial"/>
          <w:bCs/>
          <w:sz w:val="22"/>
          <w:lang w:val="es-ES_tradnl"/>
        </w:rPr>
        <w:t xml:space="preserve"> sobre el particular</w:t>
      </w:r>
      <w:r w:rsidRPr="001A7313">
        <w:rPr>
          <w:rFonts w:ascii="Arial" w:eastAsia="Calibri" w:hAnsi="Arial" w:cs="Arial"/>
          <w:bCs/>
          <w:sz w:val="22"/>
          <w:lang w:val="es-ES_tradnl"/>
        </w:rPr>
        <w:t>.</w:t>
      </w:r>
      <w:bookmarkEnd w:id="16"/>
      <w:r w:rsidRPr="001A7313">
        <w:rPr>
          <w:rFonts w:ascii="Arial" w:eastAsia="Calibri" w:hAnsi="Arial" w:cs="Arial"/>
          <w:bCs/>
          <w:sz w:val="22"/>
          <w:lang w:val="es-ES_tradnl"/>
        </w:rPr>
        <w:t xml:space="preserve"> </w:t>
      </w:r>
    </w:p>
    <w:p w14:paraId="03E75D70" w14:textId="0C561637" w:rsidR="00582F4E" w:rsidRDefault="002C77DD" w:rsidP="002C77DD">
      <w:pPr>
        <w:spacing w:before="120" w:line="276" w:lineRule="auto"/>
        <w:ind w:firstLine="709"/>
        <w:jc w:val="both"/>
        <w:rPr>
          <w:rFonts w:ascii="Arial" w:eastAsia="Calibri" w:hAnsi="Arial" w:cs="Arial"/>
          <w:bCs/>
          <w:color w:val="000000"/>
          <w:sz w:val="22"/>
          <w:szCs w:val="22"/>
          <w:lang w:val="es-MX" w:eastAsia="en-US"/>
        </w:rPr>
      </w:pPr>
      <w:bookmarkStart w:id="17" w:name="_Hlk109991762"/>
      <w:r>
        <w:rPr>
          <w:rFonts w:ascii="Arial" w:hAnsi="Arial" w:cs="Arial"/>
          <w:bCs/>
          <w:color w:val="000000" w:themeColor="text1"/>
          <w:sz w:val="22"/>
          <w:szCs w:val="22"/>
          <w:shd w:val="clear" w:color="auto" w:fill="FFFFFF"/>
          <w:lang w:val="es-ES_tradnl"/>
        </w:rPr>
        <w:t>P</w:t>
      </w:r>
      <w:r w:rsidRPr="000E1AC9">
        <w:rPr>
          <w:rFonts w:ascii="Arial" w:hAnsi="Arial" w:cs="Arial"/>
          <w:bCs/>
          <w:color w:val="000000" w:themeColor="text1"/>
          <w:sz w:val="22"/>
          <w:szCs w:val="22"/>
          <w:shd w:val="clear" w:color="auto" w:fill="FFFFFF"/>
          <w:lang w:val="es-ES_tradnl"/>
        </w:rPr>
        <w:t xml:space="preserve">ara determinar si se encuentran o no obligados a aplicar documentos tipo, deberán verificar si el objeto contractual </w:t>
      </w:r>
      <w:r>
        <w:rPr>
          <w:rFonts w:ascii="Arial" w:hAnsi="Arial" w:cs="Arial"/>
          <w:bCs/>
          <w:color w:val="000000" w:themeColor="text1"/>
          <w:sz w:val="22"/>
          <w:szCs w:val="22"/>
          <w:shd w:val="clear" w:color="auto" w:fill="FFFFFF"/>
          <w:lang w:val="es-ES_tradnl"/>
        </w:rPr>
        <w:t>a</w:t>
      </w:r>
      <w:r w:rsidRPr="000E1AC9">
        <w:rPr>
          <w:rFonts w:ascii="Arial" w:hAnsi="Arial" w:cs="Arial"/>
          <w:bCs/>
          <w:color w:val="000000" w:themeColor="text1"/>
          <w:sz w:val="22"/>
          <w:szCs w:val="22"/>
          <w:shd w:val="clear" w:color="auto" w:fill="FFFFFF"/>
          <w:lang w:val="es-ES_tradnl"/>
        </w:rPr>
        <w:t xml:space="preserve"> contratar se encuentra cobijado por algún documento tipo existente. De no ser así, no solo no resultaría obligatoria la aplicación de los documentos tipo, sino que tampoco habría lugar a la aplicación del EGCAP, </w:t>
      </w:r>
      <w:r>
        <w:rPr>
          <w:rFonts w:ascii="Arial" w:hAnsi="Arial" w:cs="Arial"/>
          <w:bCs/>
          <w:color w:val="000000" w:themeColor="text1"/>
          <w:sz w:val="22"/>
          <w:szCs w:val="22"/>
          <w:shd w:val="clear" w:color="auto" w:fill="FFFFFF"/>
          <w:lang w:val="es-ES_tradnl"/>
        </w:rPr>
        <w:t xml:space="preserve">debido a que </w:t>
      </w:r>
      <w:r w:rsidRPr="000E1AC9">
        <w:rPr>
          <w:rFonts w:ascii="Arial" w:hAnsi="Arial" w:cs="Arial"/>
          <w:bCs/>
          <w:color w:val="000000" w:themeColor="text1"/>
          <w:sz w:val="22"/>
          <w:szCs w:val="22"/>
          <w:shd w:val="clear" w:color="auto" w:fill="FFFFFF"/>
          <w:lang w:val="es-ES_tradnl"/>
        </w:rPr>
        <w:t xml:space="preserve">tal medida contemplada en el inciso segundo de la norma en comento está condicionada a la aplicación de documentos tipo. </w:t>
      </w:r>
      <w:r>
        <w:rPr>
          <w:rFonts w:ascii="Arial" w:hAnsi="Arial" w:cs="Arial"/>
          <w:bCs/>
          <w:color w:val="000000" w:themeColor="text1"/>
          <w:sz w:val="22"/>
          <w:szCs w:val="22"/>
          <w:shd w:val="clear" w:color="auto" w:fill="FFFFFF"/>
          <w:lang w:val="es-ES_tradnl"/>
        </w:rPr>
        <w:t>En el caso de los documentos tipo adoptados por las Resoluciones 248 y 249 de 2020, sin perjuicio de las excepciones previstas en el parágrafo del artículo 56 de la Ley 2195 de 2022, la entidad deberá verificar que</w:t>
      </w:r>
      <w:r w:rsidRPr="003852D5">
        <w:rPr>
          <w:rFonts w:ascii="Arial" w:eastAsia="Calibri" w:hAnsi="Arial" w:cs="Arial"/>
          <w:bCs/>
          <w:color w:val="000000"/>
          <w:sz w:val="22"/>
          <w:szCs w:val="22"/>
          <w:lang w:val="es-ES" w:eastAsia="en-US"/>
        </w:rPr>
        <w:t xml:space="preserve"> se trate de una obra pública de infraestructura de agua potable y saneamiento básico, cuyo proceso de selección deba adelantarse por licitación</w:t>
      </w:r>
      <w:r>
        <w:rPr>
          <w:rFonts w:ascii="Arial" w:eastAsia="Calibri" w:hAnsi="Arial" w:cs="Arial"/>
          <w:bCs/>
          <w:color w:val="000000"/>
          <w:sz w:val="22"/>
          <w:szCs w:val="22"/>
          <w:lang w:val="es-ES" w:eastAsia="en-US"/>
        </w:rPr>
        <w:t xml:space="preserve"> y que</w:t>
      </w:r>
      <w:r w:rsidRPr="003852D5">
        <w:rPr>
          <w:rFonts w:ascii="Arial" w:eastAsia="Calibri" w:hAnsi="Arial" w:cs="Arial"/>
          <w:bCs/>
          <w:color w:val="000000"/>
          <w:sz w:val="22"/>
          <w:szCs w:val="22"/>
          <w:lang w:val="es-ES" w:eastAsia="en-US"/>
        </w:rPr>
        <w:t xml:space="preserve"> el objeto a contratar esté asociado a alguno de los tipos de obra y actividades señaladas en la </w:t>
      </w:r>
      <w:r w:rsidRPr="003852D5">
        <w:rPr>
          <w:rFonts w:ascii="Arial" w:eastAsia="Calibri" w:hAnsi="Arial" w:cs="Arial"/>
          <w:bCs/>
          <w:color w:val="000000"/>
          <w:sz w:val="22"/>
          <w:szCs w:val="22"/>
          <w:lang w:eastAsia="en-US"/>
        </w:rPr>
        <w:t>«</w:t>
      </w:r>
      <w:r w:rsidRPr="003852D5">
        <w:rPr>
          <w:rFonts w:ascii="Arial" w:eastAsia="Calibri" w:hAnsi="Arial" w:cs="Arial"/>
          <w:bCs/>
          <w:color w:val="000000"/>
          <w:sz w:val="22"/>
          <w:szCs w:val="22"/>
          <w:lang w:val="es-ES" w:eastAsia="en-US"/>
        </w:rPr>
        <w:t>Matriz 1 – Experiencia</w:t>
      </w:r>
      <w:r w:rsidRPr="003852D5">
        <w:rPr>
          <w:rFonts w:ascii="Arial" w:eastAsia="Calibri" w:hAnsi="Arial" w:cs="Arial"/>
          <w:bCs/>
          <w:color w:val="000000"/>
          <w:sz w:val="22"/>
          <w:szCs w:val="22"/>
          <w:lang w:val="es-MX" w:eastAsia="en-US"/>
        </w:rPr>
        <w:t>»</w:t>
      </w:r>
      <w:r>
        <w:rPr>
          <w:rFonts w:ascii="Arial" w:eastAsia="Calibri" w:hAnsi="Arial" w:cs="Arial"/>
          <w:bCs/>
          <w:color w:val="000000"/>
          <w:sz w:val="22"/>
          <w:szCs w:val="22"/>
          <w:lang w:val="es-MX" w:eastAsia="en-US"/>
        </w:rPr>
        <w:t xml:space="preserve"> o a los futuros documentos tipo que se adopten para este sector</w:t>
      </w:r>
      <w:r w:rsidR="006F1EED">
        <w:rPr>
          <w:rFonts w:ascii="Arial" w:eastAsia="Calibri" w:hAnsi="Arial" w:cs="Arial"/>
          <w:bCs/>
          <w:color w:val="000000"/>
          <w:sz w:val="22"/>
          <w:szCs w:val="22"/>
          <w:lang w:val="es-MX" w:eastAsia="en-US"/>
        </w:rPr>
        <w:t>.</w:t>
      </w:r>
    </w:p>
    <w:bookmarkEnd w:id="17"/>
    <w:p w14:paraId="3A3186F0" w14:textId="3361023A" w:rsidR="009E53D7" w:rsidRPr="000E1AC9" w:rsidRDefault="009E53D7" w:rsidP="002C77DD">
      <w:pPr>
        <w:spacing w:before="120" w:line="276" w:lineRule="auto"/>
        <w:ind w:firstLine="709"/>
        <w:jc w:val="both"/>
        <w:rPr>
          <w:rFonts w:ascii="Arial" w:hAnsi="Arial" w:cs="Arial"/>
          <w:bCs/>
          <w:color w:val="000000" w:themeColor="text1"/>
          <w:sz w:val="22"/>
          <w:szCs w:val="22"/>
          <w:shd w:val="clear" w:color="auto" w:fill="FFFFFF"/>
          <w:lang w:val="es-ES_tradnl"/>
        </w:rPr>
      </w:pPr>
      <w:r>
        <w:rPr>
          <w:rFonts w:ascii="Arial" w:hAnsi="Arial" w:cs="Arial"/>
          <w:bCs/>
          <w:color w:val="000000" w:themeColor="text1"/>
          <w:sz w:val="22"/>
          <w:szCs w:val="22"/>
          <w:shd w:val="clear" w:color="auto" w:fill="FFFFFF"/>
          <w:lang w:val="es-ES_tradnl"/>
        </w:rPr>
        <w:t xml:space="preserve">En relación con </w:t>
      </w:r>
      <w:r w:rsidRPr="00864E72">
        <w:rPr>
          <w:rFonts w:ascii="Arial" w:eastAsia="Calibri" w:hAnsi="Arial" w:cs="Arial"/>
          <w:bCs/>
          <w:color w:val="000000" w:themeColor="text1"/>
          <w:sz w:val="22"/>
          <w:lang w:val="es-ES_tradnl"/>
        </w:rPr>
        <w:t>las excepciones consagradas en el parágrafo del artículo 56 de la Ley 2195 de 2022</w:t>
      </w:r>
      <w:r w:rsidR="00E321D8">
        <w:rPr>
          <w:rFonts w:ascii="Arial" w:eastAsia="Calibri" w:hAnsi="Arial" w:cs="Arial"/>
          <w:bCs/>
          <w:color w:val="000000" w:themeColor="text1"/>
          <w:sz w:val="22"/>
          <w:lang w:val="es-ES_tradnl"/>
        </w:rPr>
        <w:t>,</w:t>
      </w:r>
      <w:r w:rsidRPr="00864E72">
        <w:rPr>
          <w:rFonts w:ascii="Arial" w:eastAsia="Calibri" w:hAnsi="Arial" w:cs="Arial"/>
          <w:bCs/>
          <w:color w:val="000000" w:themeColor="text1"/>
          <w:sz w:val="22"/>
          <w:lang w:val="es-ES_tradnl"/>
        </w:rPr>
        <w:t xml:space="preserve"> </w:t>
      </w:r>
      <w:r w:rsidRPr="00864E72">
        <w:rPr>
          <w:rFonts w:ascii="Arial" w:hAnsi="Arial" w:cs="Arial"/>
          <w:color w:val="000000" w:themeColor="text1"/>
          <w:sz w:val="22"/>
          <w:szCs w:val="22"/>
          <w:shd w:val="clear" w:color="auto" w:fill="FFFFFF"/>
          <w:lang w:val="es-ES_tradnl"/>
        </w:rPr>
        <w:t>cada entidad pública debe hacer un ejercicio de subsunción a efectos de determinar si la noma en cita resulta aplicable, dada su naturaleza jurídica. En todo caso, es de precisar que</w:t>
      </w:r>
      <w:r w:rsidR="007D33A0">
        <w:rPr>
          <w:rFonts w:ascii="Arial" w:hAnsi="Arial" w:cs="Arial"/>
          <w:color w:val="000000" w:themeColor="text1"/>
          <w:sz w:val="22"/>
          <w:szCs w:val="22"/>
          <w:shd w:val="clear" w:color="auto" w:fill="FFFFFF"/>
          <w:lang w:val="es-ES_tradnl"/>
        </w:rPr>
        <w:t>,</w:t>
      </w:r>
      <w:r w:rsidRPr="00864E72">
        <w:rPr>
          <w:rFonts w:ascii="Arial" w:hAnsi="Arial" w:cs="Arial"/>
          <w:color w:val="000000" w:themeColor="text1"/>
          <w:sz w:val="22"/>
          <w:szCs w:val="22"/>
          <w:shd w:val="clear" w:color="auto" w:fill="FFFFFF"/>
          <w:lang w:val="es-ES_tradnl"/>
        </w:rPr>
        <w:t xml:space="preserve"> en el caso de las empresas prestadoras de servicios públicos domiciliarios, la entidad competente para absolver </w:t>
      </w:r>
      <w:r w:rsidRPr="00864E72">
        <w:rPr>
          <w:rFonts w:ascii="Arial" w:eastAsia="Calibri" w:hAnsi="Arial" w:cs="Arial"/>
          <w:bCs/>
          <w:color w:val="000000" w:themeColor="text1"/>
          <w:sz w:val="22"/>
          <w:lang w:val="es-ES_tradnl"/>
        </w:rPr>
        <w:t>las consultas relacionadas con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w:t>
      </w:r>
    </w:p>
    <w:p w14:paraId="407AD420" w14:textId="77777777" w:rsidR="00F10FC4" w:rsidRPr="00864E72" w:rsidRDefault="00F10FC4" w:rsidP="00225C7E">
      <w:pPr>
        <w:tabs>
          <w:tab w:val="left" w:pos="0"/>
        </w:tabs>
        <w:spacing w:after="120" w:line="276" w:lineRule="auto"/>
        <w:jc w:val="both"/>
        <w:rPr>
          <w:rFonts w:ascii="Arial" w:eastAsia="Calibri" w:hAnsi="Arial" w:cs="Arial"/>
          <w:b/>
          <w:i/>
          <w:iCs/>
          <w:color w:val="000000" w:themeColor="text1"/>
          <w:sz w:val="22"/>
          <w:lang w:val="es-ES_tradnl"/>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lastRenderedPageBreak/>
        <w:t>Atentamente,</w:t>
      </w:r>
    </w:p>
    <w:p w14:paraId="10A1E411" w14:textId="5B8F142E" w:rsidR="00D40F8B" w:rsidRPr="00A51520" w:rsidRDefault="00A11390"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23B2BE0F" wp14:editId="0ED9FB6C">
            <wp:extent cx="2993390" cy="1164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7777777" w:rsidR="003A07D9" w:rsidRDefault="003A07D9"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130B3228" w14:textId="7B765391" w:rsidR="00DD5B04" w:rsidRPr="003A07D9" w:rsidRDefault="003A07D9"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Gestor T1-15 de la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6A06F2" w:rsidRDefault="008657C6" w:rsidP="008657C6">
            <w:r>
              <w:rPr>
                <w:rFonts w:ascii="Arial" w:eastAsia="Arial" w:hAnsi="Arial" w:cs="Arial"/>
                <w:color w:val="000000"/>
                <w:sz w:val="16"/>
                <w:szCs w:val="16"/>
              </w:rPr>
              <w:t>Juan David Marín López</w:t>
            </w:r>
          </w:p>
          <w:p w14:paraId="1ADC483B" w14:textId="0B971153" w:rsidR="00DD5B04" w:rsidRPr="00D40F8B" w:rsidRDefault="008657C6" w:rsidP="008657C6">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bookmarkEnd w:id="4"/>
    <w:p w14:paraId="4D3D318F" w14:textId="0570CAF4" w:rsidR="00FC710F" w:rsidRDefault="00FC710F">
      <w:pPr>
        <w:jc w:val="both"/>
        <w:rPr>
          <w:rFonts w:ascii="Arial" w:hAnsi="Arial" w:cs="Arial"/>
          <w:lang w:val="es-ES_tradnl"/>
        </w:rPr>
      </w:pPr>
    </w:p>
    <w:bookmarkEnd w:id="2"/>
    <w:p w14:paraId="575AF8D6" w14:textId="503E82EC" w:rsidR="003A07D9" w:rsidRPr="003A07D9" w:rsidRDefault="003A07D9" w:rsidP="003A07D9">
      <w:pPr>
        <w:tabs>
          <w:tab w:val="left" w:pos="3570"/>
        </w:tabs>
        <w:rPr>
          <w:rFonts w:ascii="Arial" w:hAnsi="Arial" w:cs="Arial"/>
          <w:lang w:val="es-ES_tradnl"/>
        </w:rPr>
      </w:pPr>
    </w:p>
    <w:sectPr w:rsidR="003A07D9" w:rsidRPr="003A07D9"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8576" w14:textId="77777777" w:rsidR="00814D66" w:rsidRDefault="00814D66">
      <w:r>
        <w:separator/>
      </w:r>
    </w:p>
  </w:endnote>
  <w:endnote w:type="continuationSeparator" w:id="0">
    <w:p w14:paraId="3CB37CCD" w14:textId="77777777" w:rsidR="00814D66" w:rsidRDefault="00814D66">
      <w:r>
        <w:continuationSeparator/>
      </w:r>
    </w:p>
  </w:endnote>
  <w:endnote w:type="continuationNotice" w:id="1">
    <w:p w14:paraId="1E9E90EE" w14:textId="77777777" w:rsidR="00814D66" w:rsidRDefault="0081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3804" w14:textId="77777777" w:rsidR="00814D66" w:rsidRDefault="00814D66">
      <w:r>
        <w:separator/>
      </w:r>
    </w:p>
  </w:footnote>
  <w:footnote w:type="continuationSeparator" w:id="0">
    <w:p w14:paraId="4E95423A" w14:textId="77777777" w:rsidR="00814D66" w:rsidRDefault="00814D66">
      <w:r>
        <w:continuationSeparator/>
      </w:r>
    </w:p>
  </w:footnote>
  <w:footnote w:type="continuationNotice" w:id="1">
    <w:p w14:paraId="470AD496" w14:textId="77777777" w:rsidR="00814D66" w:rsidRDefault="00814D66"/>
  </w:footnote>
  <w:footnote w:id="2">
    <w:p w14:paraId="2196D2C3" w14:textId="77777777" w:rsidR="005016C7" w:rsidRDefault="005016C7" w:rsidP="005016C7">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Los conceptos indicados pueden consultarse en el siguiente enlace: https://relatoria.colombiacompra.gov.co/busqueda/conceptos.</w:t>
      </w:r>
    </w:p>
  </w:footnote>
  <w:footnote w:id="3">
    <w:p w14:paraId="32FD0B6F" w14:textId="77777777" w:rsidR="00031AD9" w:rsidRPr="00640E20" w:rsidRDefault="00031AD9" w:rsidP="00113FF2">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4">
    <w:p w14:paraId="30AC710D" w14:textId="77777777" w:rsidR="00031AD9" w:rsidRPr="00640E20" w:rsidRDefault="00031AD9" w:rsidP="00D0475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279BD63" w14:textId="77777777" w:rsidR="00031AD9" w:rsidRPr="00640E20" w:rsidRDefault="00031AD9" w:rsidP="00D04750">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»La</w:t>
      </w:r>
      <w:proofErr w:type="gramEnd"/>
      <w:r w:rsidRPr="00640E20">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73636B9C" w14:textId="77777777" w:rsidR="00031AD9" w:rsidRPr="00640E20" w:rsidRDefault="00031AD9" w:rsidP="00D81718">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»Los</w:t>
      </w:r>
      <w:proofErr w:type="gramEnd"/>
      <w:r w:rsidRPr="00640E20">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5">
    <w:p w14:paraId="4824280C" w14:textId="77777777" w:rsidR="00031AD9" w:rsidRPr="00640E20" w:rsidRDefault="00031AD9" w:rsidP="00D8171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212F40" w14:textId="77777777" w:rsidR="00031AD9" w:rsidRPr="00640E20" w:rsidRDefault="00031AD9" w:rsidP="00450B1A">
      <w:pPr>
        <w:pStyle w:val="Textonotapie"/>
        <w:ind w:firstLine="709"/>
        <w:jc w:val="both"/>
        <w:rPr>
          <w:rFonts w:ascii="Arial" w:hAnsi="Arial" w:cs="Arial"/>
          <w:color w:val="000000" w:themeColor="text1"/>
          <w:sz w:val="19"/>
          <w:szCs w:val="19"/>
        </w:rPr>
      </w:pPr>
    </w:p>
  </w:footnote>
  <w:footnote w:id="6">
    <w:p w14:paraId="4A1E6A63" w14:textId="77777777" w:rsidR="00031AD9" w:rsidRPr="002830FE" w:rsidRDefault="00031AD9" w:rsidP="00450B1A">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w:t>
      </w:r>
      <w:r w:rsidRPr="002830FE">
        <w:rPr>
          <w:rFonts w:ascii="Arial" w:hAnsi="Arial" w:cs="Arial"/>
          <w:color w:val="000000" w:themeColor="text1"/>
          <w:sz w:val="19"/>
          <w:szCs w:val="19"/>
        </w:rPr>
        <w:t>2020: «</w:t>
      </w:r>
      <w:r w:rsidRPr="002830FE">
        <w:rPr>
          <w:rStyle w:val="Textoennegrita"/>
          <w:rFonts w:ascii="Arial" w:hAnsi="Arial" w:cs="Arial"/>
          <w:b w:val="0"/>
          <w:bCs w:val="0"/>
          <w:color w:val="000000" w:themeColor="text1"/>
          <w:sz w:val="19"/>
          <w:szCs w:val="19"/>
        </w:rPr>
        <w:t>Artículo 1º.</w:t>
      </w:r>
      <w:r w:rsidRPr="002830FE">
        <w:rPr>
          <w:rFonts w:ascii="Arial" w:hAnsi="Arial" w:cs="Arial"/>
          <w:color w:val="000000" w:themeColor="text1"/>
          <w:sz w:val="19"/>
          <w:szCs w:val="19"/>
        </w:rPr>
        <w:t> Modifíquese el artículo 4º de la Ley 1882 de 2018, el cual quedará así: </w:t>
      </w:r>
    </w:p>
    <w:p w14:paraId="0BE44464" w14:textId="77777777" w:rsidR="00031AD9" w:rsidRPr="002830FE"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2830FE">
        <w:rPr>
          <w:rStyle w:val="Textoennegrita"/>
          <w:rFonts w:ascii="Arial" w:hAnsi="Arial" w:cs="Arial"/>
          <w:b w:val="0"/>
          <w:bCs w:val="0"/>
          <w:color w:val="000000" w:themeColor="text1"/>
          <w:sz w:val="19"/>
          <w:szCs w:val="19"/>
        </w:rPr>
        <w:t>»Artículo</w:t>
      </w:r>
      <w:proofErr w:type="gramEnd"/>
      <w:r w:rsidRPr="002830FE">
        <w:rPr>
          <w:rStyle w:val="Textoennegrita"/>
          <w:rFonts w:ascii="Arial" w:hAnsi="Arial" w:cs="Arial"/>
          <w:b w:val="0"/>
          <w:bCs w:val="0"/>
          <w:color w:val="000000" w:themeColor="text1"/>
          <w:sz w:val="19"/>
          <w:szCs w:val="19"/>
        </w:rPr>
        <w:t xml:space="preserve"> 4º.</w:t>
      </w:r>
      <w:r w:rsidRPr="002830FE">
        <w:rPr>
          <w:rFonts w:ascii="Arial" w:hAnsi="Arial" w:cs="Arial"/>
          <w:color w:val="000000" w:themeColor="text1"/>
          <w:sz w:val="19"/>
          <w:szCs w:val="19"/>
        </w:rPr>
        <w:t> Adiciónese el siguiente parágrafo al artículo 2º de la Ley 1150 de 2007. </w:t>
      </w:r>
    </w:p>
    <w:p w14:paraId="4F205D6F"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2830FE">
        <w:rPr>
          <w:rStyle w:val="Textoennegrita"/>
          <w:rFonts w:ascii="Arial" w:hAnsi="Arial" w:cs="Arial"/>
          <w:b w:val="0"/>
          <w:bCs w:val="0"/>
          <w:color w:val="000000" w:themeColor="text1"/>
          <w:sz w:val="19"/>
          <w:szCs w:val="19"/>
        </w:rPr>
        <w:t>»Parágrafo</w:t>
      </w:r>
      <w:proofErr w:type="gramEnd"/>
      <w:r w:rsidRPr="002830FE">
        <w:rPr>
          <w:rStyle w:val="Textoennegrita"/>
          <w:rFonts w:ascii="Arial" w:hAnsi="Arial" w:cs="Arial"/>
          <w:b w:val="0"/>
          <w:bCs w:val="0"/>
          <w:color w:val="000000" w:themeColor="text1"/>
          <w:sz w:val="19"/>
          <w:szCs w:val="19"/>
        </w:rPr>
        <w:t xml:space="preserve"> 7º.</w:t>
      </w:r>
      <w:r w:rsidRPr="002830FE">
        <w:rPr>
          <w:rFonts w:ascii="Arial" w:hAnsi="Arial" w:cs="Arial"/>
          <w:color w:val="000000" w:themeColor="text1"/>
          <w:sz w:val="19"/>
          <w:szCs w:val="19"/>
        </w:rPr>
        <w:t> La Agencia Nacional de Contratación Pública Colombia Compra Eficiente o quien haga sus veces, adoptará documentos</w:t>
      </w:r>
      <w:r w:rsidRPr="00640E20">
        <w:rPr>
          <w:rFonts w:ascii="Arial" w:hAnsi="Arial" w:cs="Arial"/>
          <w:color w:val="000000" w:themeColor="text1"/>
          <w:sz w:val="19"/>
          <w:szCs w:val="19"/>
        </w:rPr>
        <w:t xml:space="preserve"> tipo que serán de obligatorio cumplimiento en la actividad contractual de todas las entidades sometidas al Estatuto General de Contratación de la Administración Pública. </w:t>
      </w:r>
    </w:p>
    <w:p w14:paraId="27AD5281"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»Dentro</w:t>
      </w:r>
      <w:proofErr w:type="gramEnd"/>
      <w:r w:rsidRPr="00640E20">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F42D6E9"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»Con</w:t>
      </w:r>
      <w:proofErr w:type="gramEnd"/>
      <w:r w:rsidRPr="00640E20">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3B7D64"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F462983"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0415FF04" w14:textId="77777777" w:rsidR="00A431A2" w:rsidRPr="00F64911" w:rsidRDefault="00A431A2" w:rsidP="00A431A2">
      <w:pPr>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Consejo de Estado. Sección Tercera, Subsección C. Sentencia del 13 de abril de 2011. </w:t>
      </w:r>
      <w:proofErr w:type="spellStart"/>
      <w:r w:rsidRPr="00F64911">
        <w:rPr>
          <w:rFonts w:ascii="Arial" w:hAnsi="Arial" w:cs="Arial"/>
          <w:color w:val="000000" w:themeColor="text1"/>
          <w:sz w:val="19"/>
          <w:szCs w:val="19"/>
          <w:lang w:val="es-ES_tradnl"/>
        </w:rPr>
        <w:t>Exp</w:t>
      </w:r>
      <w:proofErr w:type="spellEnd"/>
      <w:r w:rsidRPr="00F64911">
        <w:rPr>
          <w:rFonts w:ascii="Arial" w:hAnsi="Arial" w:cs="Arial"/>
          <w:color w:val="000000" w:themeColor="text1"/>
          <w:sz w:val="19"/>
          <w:szCs w:val="19"/>
          <w:lang w:val="es-ES_tradnl"/>
        </w:rPr>
        <w:t xml:space="preserve">. 37423. Consejero Ponente: Jaime Orlando Santofimio Gamboa. En similar sentido, puede verse la Sentencia del Consejo de Estado. Sección Tercera. Subsección B, del 15 de noviembre de 2011. </w:t>
      </w:r>
      <w:proofErr w:type="spellStart"/>
      <w:r w:rsidRPr="00F64911">
        <w:rPr>
          <w:rFonts w:ascii="Arial" w:hAnsi="Arial" w:cs="Arial"/>
          <w:color w:val="000000" w:themeColor="text1"/>
          <w:sz w:val="19"/>
          <w:szCs w:val="19"/>
          <w:lang w:val="es-ES_tradnl"/>
        </w:rPr>
        <w:t>Exp</w:t>
      </w:r>
      <w:proofErr w:type="spellEnd"/>
      <w:r w:rsidRPr="00F64911">
        <w:rPr>
          <w:rFonts w:ascii="Arial" w:hAnsi="Arial" w:cs="Arial"/>
          <w:color w:val="000000" w:themeColor="text1"/>
          <w:sz w:val="19"/>
          <w:szCs w:val="19"/>
          <w:lang w:val="es-ES_tradnl"/>
        </w:rPr>
        <w:t>. 21178. Consejera ponente: Ruth Stella Correa Palacio.</w:t>
      </w:r>
    </w:p>
    <w:p w14:paraId="5AE4ECC8" w14:textId="77777777" w:rsidR="00A431A2" w:rsidRPr="00F64911" w:rsidRDefault="00A431A2" w:rsidP="00A431A2">
      <w:pPr>
        <w:ind w:firstLine="709"/>
        <w:jc w:val="both"/>
        <w:rPr>
          <w:rFonts w:ascii="Arial" w:hAnsi="Arial" w:cs="Arial"/>
          <w:color w:val="000000" w:themeColor="text1"/>
          <w:sz w:val="19"/>
          <w:szCs w:val="19"/>
          <w:lang w:val="es-ES_tradnl"/>
        </w:rPr>
      </w:pPr>
    </w:p>
  </w:footnote>
  <w:footnote w:id="8">
    <w:p w14:paraId="01B36BAD" w14:textId="77777777" w:rsidR="00031AD9" w:rsidRPr="00B06FD5" w:rsidRDefault="00031AD9">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r w:rsidRPr="00640E20">
        <w:rPr>
          <w:rFonts w:ascii="Arial" w:hAnsi="Arial" w:cs="Arial"/>
          <w:color w:val="000000" w:themeColor="text1"/>
          <w:sz w:val="19"/>
          <w:szCs w:val="19"/>
        </w:rPr>
        <w:cr/>
      </w:r>
    </w:p>
  </w:footnote>
  <w:footnote w:id="9">
    <w:p w14:paraId="5B36713C"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color w:val="000000"/>
          <w:sz w:val="19"/>
          <w:szCs w:val="19"/>
        </w:rPr>
        <w:t>Artículo 2</w:t>
      </w:r>
      <w:proofErr w:type="gramStart"/>
      <w:r w:rsidRPr="00B06FD5">
        <w:rPr>
          <w:rStyle w:val="Textoennegrita"/>
          <w:rFonts w:ascii="Arial" w:hAnsi="Arial" w:cs="Arial"/>
          <w:color w:val="000000"/>
          <w:sz w:val="19"/>
          <w:szCs w:val="19"/>
        </w:rPr>
        <w:t>°.</w:t>
      </w:r>
      <w:r w:rsidRPr="00B06FD5">
        <w:rPr>
          <w:rStyle w:val="nfasis"/>
          <w:rFonts w:ascii="Arial" w:hAnsi="Arial" w:cs="Arial"/>
          <w:color w:val="000000"/>
          <w:sz w:val="19"/>
          <w:szCs w:val="19"/>
        </w:rPr>
        <w:t>De</w:t>
      </w:r>
      <w:proofErr w:type="gramEnd"/>
      <w:r w:rsidRPr="00B06FD5">
        <w:rPr>
          <w:rStyle w:val="nfasis"/>
          <w:rFonts w:ascii="Arial" w:hAnsi="Arial" w:cs="Arial"/>
          <w:color w:val="000000"/>
          <w:sz w:val="19"/>
          <w:szCs w:val="19"/>
        </w:rPr>
        <w:t xml:space="preserve"> las modalidades de selección.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2A2FD24"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51D61F99"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 xml:space="preserve">La modalidad de selección de contratación </w:t>
      </w:r>
      <w:proofErr w:type="gramStart"/>
      <w:r w:rsidRPr="00640E20">
        <w:rPr>
          <w:rFonts w:ascii="Arial" w:hAnsi="Arial" w:cs="Arial"/>
          <w:color w:val="000000"/>
          <w:sz w:val="19"/>
          <w:szCs w:val="19"/>
        </w:rPr>
        <w:t>directa,</w:t>
      </w:r>
      <w:proofErr w:type="gramEnd"/>
      <w:r w:rsidRPr="00640E20">
        <w:rPr>
          <w:rFonts w:ascii="Arial" w:hAnsi="Arial" w:cs="Arial"/>
          <w:color w:val="000000"/>
          <w:sz w:val="19"/>
          <w:szCs w:val="19"/>
        </w:rPr>
        <w:t xml:space="preserve"> solamente procederá en los siguientes casos: </w:t>
      </w:r>
    </w:p>
    <w:p w14:paraId="1E872267" w14:textId="77777777" w:rsidR="00031AD9" w:rsidRPr="00640E20" w:rsidRDefault="00031AD9">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13F7986" w14:textId="77777777" w:rsidR="00031AD9" w:rsidRPr="00640E20" w:rsidRDefault="00031AD9" w:rsidP="00D04750">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B25D4AF"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»Se</w:t>
      </w:r>
      <w:proofErr w:type="gramEnd"/>
      <w:r w:rsidRPr="00640E20">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55D1099"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E527AF3"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4D438D0D" w14:textId="77777777" w:rsidR="00031AD9" w:rsidRPr="00640E20" w:rsidRDefault="00031AD9" w:rsidP="00D81718">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»Estarán</w:t>
      </w:r>
      <w:proofErr w:type="gramEnd"/>
      <w:r w:rsidRPr="00640E20">
        <w:rPr>
          <w:rFonts w:ascii="Arial" w:hAnsi="Arial" w:cs="Arial"/>
          <w:color w:val="000000"/>
          <w:sz w:val="19"/>
          <w:szCs w:val="19"/>
          <w:lang w:eastAsia="es-CO"/>
        </w:rPr>
        <w:t xml:space="preserve"> exceptuados de la figura del contrato interadministrativo, los contratos de seguro de las entidades estatales[…]». </w:t>
      </w:r>
      <w:r w:rsidRPr="00640E20">
        <w:rPr>
          <w:rFonts w:ascii="Arial" w:hAnsi="Arial" w:cs="Arial"/>
          <w:sz w:val="19"/>
          <w:szCs w:val="19"/>
        </w:rPr>
        <w:t xml:space="preserve"> </w:t>
      </w:r>
    </w:p>
  </w:footnote>
  <w:footnote w:id="10">
    <w:p w14:paraId="3386FE38" w14:textId="77777777" w:rsidR="00031AD9" w:rsidRPr="00640E20" w:rsidRDefault="00031AD9" w:rsidP="00450B1A">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 xml:space="preserve">lex posterior </w:t>
      </w:r>
      <w:proofErr w:type="spellStart"/>
      <w:r w:rsidRPr="00640E20">
        <w:rPr>
          <w:rFonts w:ascii="Arial" w:hAnsi="Arial" w:cs="Arial"/>
          <w:i/>
          <w:iCs/>
          <w:sz w:val="19"/>
          <w:szCs w:val="19"/>
        </w:rPr>
        <w:t>derogat</w:t>
      </w:r>
      <w:proofErr w:type="spellEnd"/>
      <w:r w:rsidRPr="00640E20">
        <w:rPr>
          <w:rFonts w:ascii="Arial" w:hAnsi="Arial" w:cs="Arial"/>
          <w:i/>
          <w:iCs/>
          <w:sz w:val="19"/>
          <w:szCs w:val="19"/>
        </w:rPr>
        <w:t xml:space="preserve"> </w:t>
      </w:r>
      <w:proofErr w:type="spellStart"/>
      <w:r w:rsidRPr="00640E20">
        <w:rPr>
          <w:rFonts w:ascii="Arial" w:hAnsi="Arial" w:cs="Arial"/>
          <w:i/>
          <w:iCs/>
          <w:sz w:val="19"/>
          <w:szCs w:val="19"/>
        </w:rPr>
        <w:t>legi</w:t>
      </w:r>
      <w:proofErr w:type="spellEnd"/>
      <w:r w:rsidRPr="00640E20">
        <w:rPr>
          <w:rFonts w:ascii="Arial" w:hAnsi="Arial" w:cs="Arial"/>
          <w:i/>
          <w:iCs/>
          <w:sz w:val="19"/>
          <w:szCs w:val="19"/>
        </w:rPr>
        <w:t xml:space="preserve">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1D09CF5E" w14:textId="77777777" w:rsidR="00897B2E" w:rsidRPr="00640E20" w:rsidRDefault="00897B2E" w:rsidP="00897B2E">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 xml:space="preserve">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640E20">
        <w:rPr>
          <w:rFonts w:ascii="Arial" w:hAnsi="Arial" w:cs="Arial"/>
          <w:color w:val="000000" w:themeColor="text1"/>
          <w:sz w:val="19"/>
          <w:szCs w:val="19"/>
          <w:lang w:val="es-ES"/>
        </w:rPr>
        <w:t>Civitas</w:t>
      </w:r>
      <w:proofErr w:type="spellEnd"/>
      <w:r w:rsidRPr="00640E20">
        <w:rPr>
          <w:rFonts w:ascii="Arial" w:hAnsi="Arial" w:cs="Arial"/>
          <w:color w:val="000000" w:themeColor="text1"/>
          <w:sz w:val="19"/>
          <w:szCs w:val="19"/>
          <w:lang w:val="es-ES"/>
        </w:rPr>
        <w:t>, 1983. pp. 33-34).</w:t>
      </w:r>
    </w:p>
  </w:footnote>
  <w:footnote w:id="12">
    <w:p w14:paraId="1C651CD9" w14:textId="77777777" w:rsidR="00897B2E" w:rsidRPr="00832CA9" w:rsidRDefault="00897B2E" w:rsidP="00897B2E">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13">
    <w:p w14:paraId="6E10602F"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546E37D" w14:textId="77777777" w:rsidR="00897B2E" w:rsidRPr="00640E20" w:rsidRDefault="00897B2E" w:rsidP="00897B2E">
      <w:pPr>
        <w:pStyle w:val="Textonotapie"/>
        <w:ind w:firstLine="709"/>
        <w:jc w:val="both"/>
        <w:rPr>
          <w:rFonts w:ascii="Arial" w:hAnsi="Arial" w:cs="Arial"/>
          <w:color w:val="000000" w:themeColor="text1"/>
          <w:sz w:val="19"/>
          <w:szCs w:val="19"/>
        </w:rPr>
      </w:pPr>
    </w:p>
  </w:footnote>
  <w:footnote w:id="14">
    <w:p w14:paraId="0B91E1FE"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xml:space="preserve">. Subsección B. Sentencia del 12 de octubre de 2011.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20070. C.P. Danilo Rojas Betancourt.</w:t>
      </w:r>
    </w:p>
    <w:p w14:paraId="76978DDC" w14:textId="77777777" w:rsidR="00897B2E" w:rsidRPr="00640E20" w:rsidRDefault="00897B2E" w:rsidP="00897B2E">
      <w:pPr>
        <w:pStyle w:val="Textonotapie"/>
        <w:ind w:firstLine="709"/>
        <w:jc w:val="both"/>
        <w:rPr>
          <w:rFonts w:ascii="Arial" w:hAnsi="Arial" w:cs="Arial"/>
          <w:color w:val="000000" w:themeColor="text1"/>
          <w:sz w:val="19"/>
          <w:szCs w:val="19"/>
          <w:lang w:val="es-ES"/>
        </w:rPr>
      </w:pPr>
    </w:p>
  </w:footnote>
  <w:footnote w:id="15">
    <w:p w14:paraId="2F2A20CB" w14:textId="77777777" w:rsidR="00897B2E" w:rsidRPr="00640E20" w:rsidRDefault="00897B2E" w:rsidP="00897B2E">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51373. C.P. José Roberto Sáchica Méndez.</w:t>
      </w:r>
    </w:p>
    <w:p w14:paraId="7E38C690" w14:textId="77777777" w:rsidR="00897B2E" w:rsidRPr="00640E20" w:rsidRDefault="00897B2E" w:rsidP="00897B2E">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6">
    <w:p w14:paraId="632672B4"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50B4EE9" w14:textId="77777777" w:rsidR="00897B2E" w:rsidRPr="00640E20" w:rsidRDefault="00897B2E" w:rsidP="00897B2E">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11575. C.P. Alier E. Hernández Enríquez.</w:t>
      </w:r>
    </w:p>
  </w:footnote>
  <w:footnote w:id="17">
    <w:p w14:paraId="66CACD64"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0D36759C"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r w:rsidRPr="00640E20">
        <w:rPr>
          <w:rFonts w:ascii="Arial" w:hAnsi="Arial" w:cs="Arial"/>
          <w:color w:val="000000" w:themeColor="text1"/>
          <w:sz w:val="19"/>
          <w:szCs w:val="19"/>
        </w:rPr>
        <w:cr/>
      </w:r>
    </w:p>
  </w:footnote>
  <w:footnote w:id="19">
    <w:p w14:paraId="7D4A93F2"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311AA68C"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674179B" w14:textId="77777777" w:rsidR="00897B2E" w:rsidRPr="00640E20" w:rsidRDefault="00897B2E" w:rsidP="00897B2E">
      <w:pPr>
        <w:pStyle w:val="Textonotapie"/>
        <w:spacing w:after="12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w:t>
      </w:r>
      <w:proofErr w:type="spellEnd"/>
      <w:r w:rsidRPr="00640E20">
        <w:rPr>
          <w:rFonts w:ascii="Arial" w:hAnsi="Arial" w:cs="Arial"/>
          <w:color w:val="000000" w:themeColor="text1"/>
          <w:sz w:val="19"/>
          <w:szCs w:val="19"/>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EBA91D8"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iii</w:t>
      </w:r>
      <w:proofErr w:type="spellEnd"/>
      <w:r w:rsidRPr="00640E20">
        <w:rPr>
          <w:rFonts w:ascii="Arial" w:hAnsi="Arial" w:cs="Arial"/>
          <w:color w:val="000000" w:themeColor="text1"/>
          <w:sz w:val="19"/>
          <w:szCs w:val="19"/>
        </w:rPr>
        <w:t>)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2679BA9A"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0">
    <w:p w14:paraId="26F86317"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 xml:space="preserve">Consejo de Estado. Sección Tercera. Subsección A. Sentencia del 24 de junio de 2015. </w:t>
      </w:r>
      <w:proofErr w:type="spellStart"/>
      <w:r w:rsidRPr="00832CA9">
        <w:rPr>
          <w:rFonts w:ascii="Arial" w:hAnsi="Arial" w:cs="Arial"/>
          <w:color w:val="000000" w:themeColor="text1"/>
          <w:sz w:val="19"/>
          <w:szCs w:val="19"/>
        </w:rPr>
        <w:t>Exp</w:t>
      </w:r>
      <w:proofErr w:type="spellEnd"/>
      <w:r w:rsidRPr="00832CA9">
        <w:rPr>
          <w:rFonts w:ascii="Arial" w:hAnsi="Arial" w:cs="Arial"/>
          <w:color w:val="000000" w:themeColor="text1"/>
          <w:sz w:val="19"/>
          <w:szCs w:val="19"/>
        </w:rPr>
        <w:t>. 40.635. Consejero Ponente:</w:t>
      </w:r>
      <w:r w:rsidRPr="00640E20">
        <w:rPr>
          <w:rFonts w:ascii="Arial" w:hAnsi="Arial" w:cs="Arial"/>
          <w:color w:val="000000" w:themeColor="text1"/>
          <w:sz w:val="19"/>
          <w:szCs w:val="19"/>
        </w:rPr>
        <w:t xml:space="preserve"> Hernán Andrade Rincón (E).</w:t>
      </w:r>
    </w:p>
    <w:p w14:paraId="21FE253A" w14:textId="77777777" w:rsidR="00897B2E" w:rsidRPr="00640E20" w:rsidRDefault="00897B2E" w:rsidP="00897B2E">
      <w:pPr>
        <w:pStyle w:val="Textonotapie"/>
        <w:ind w:firstLine="709"/>
        <w:jc w:val="both"/>
        <w:rPr>
          <w:rFonts w:ascii="Arial" w:hAnsi="Arial" w:cs="Arial"/>
          <w:sz w:val="19"/>
          <w:szCs w:val="19"/>
          <w:lang w:val="es-ES"/>
        </w:rPr>
      </w:pPr>
    </w:p>
  </w:footnote>
  <w:footnote w:id="21">
    <w:p w14:paraId="2DE6DA91" w14:textId="77777777" w:rsidR="00897B2E" w:rsidRPr="00640E20" w:rsidRDefault="00897B2E" w:rsidP="00897B2E">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832CA9">
        <w:rPr>
          <w:rFonts w:ascii="Arial" w:hAnsi="Arial" w:cs="Arial"/>
          <w:color w:val="000000" w:themeColor="text1"/>
          <w:sz w:val="19"/>
          <w:szCs w:val="19"/>
          <w:lang w:val="es-ES"/>
        </w:rPr>
        <w:t>Namén</w:t>
      </w:r>
      <w:proofErr w:type="spellEnd"/>
      <w:r w:rsidRPr="00832CA9">
        <w:rPr>
          <w:rFonts w:ascii="Arial" w:hAnsi="Arial" w:cs="Arial"/>
          <w:color w:val="000000" w:themeColor="text1"/>
          <w:sz w:val="19"/>
          <w:szCs w:val="19"/>
          <w:lang w:val="es-ES"/>
        </w:rPr>
        <w:t xml:space="preserve"> Vargas.</w:t>
      </w:r>
    </w:p>
    <w:p w14:paraId="0C5BC4DF" w14:textId="77777777" w:rsidR="00897B2E" w:rsidRPr="00640E20" w:rsidRDefault="00897B2E" w:rsidP="00897B2E">
      <w:pPr>
        <w:pStyle w:val="Textonotapie"/>
        <w:ind w:firstLine="709"/>
        <w:jc w:val="both"/>
        <w:rPr>
          <w:rFonts w:ascii="Arial" w:hAnsi="Arial" w:cs="Arial"/>
          <w:sz w:val="19"/>
          <w:szCs w:val="19"/>
          <w:lang w:val="es-ES"/>
        </w:rPr>
      </w:pPr>
    </w:p>
  </w:footnote>
  <w:footnote w:id="22">
    <w:p w14:paraId="379C4A79"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01E1C4ED" w14:textId="77777777" w:rsidR="00897B2E" w:rsidRPr="00640E20" w:rsidRDefault="00897B2E" w:rsidP="00897B2E">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»Pero</w:t>
      </w:r>
      <w:proofErr w:type="gramEnd"/>
      <w:r w:rsidRPr="00640E20">
        <w:rPr>
          <w:rFonts w:ascii="Arial" w:hAnsi="Arial" w:cs="Arial"/>
          <w:color w:val="000000" w:themeColor="text1"/>
          <w:sz w:val="19"/>
          <w:szCs w:val="19"/>
        </w:rPr>
        <w:t xml:space="preserve"> bien se puede, para interpretar una expresión oscura de la ley, recurrir a su intención o espíritu, claramente manifestados en ella misma o en la historia fidedigna de su establecimiento».</w:t>
      </w:r>
    </w:p>
  </w:footnote>
  <w:footnote w:id="23">
    <w:p w14:paraId="4D4C57B8" w14:textId="77777777" w:rsidR="00897B2E" w:rsidRPr="00640E20" w:rsidRDefault="00897B2E" w:rsidP="00897B2E">
      <w:pPr>
        <w:pStyle w:val="Textonotapie"/>
        <w:ind w:firstLine="708"/>
        <w:rPr>
          <w:rFonts w:ascii="Arial" w:hAnsi="Arial" w:cs="Arial"/>
          <w:sz w:val="19"/>
          <w:szCs w:val="19"/>
        </w:rPr>
      </w:pPr>
    </w:p>
    <w:p w14:paraId="04CDFA5A" w14:textId="77777777" w:rsidR="00897B2E" w:rsidRPr="00640E20" w:rsidRDefault="00897B2E" w:rsidP="00897B2E">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6D0A0444" w14:textId="77777777" w:rsidR="00897B2E" w:rsidRPr="00640E20" w:rsidRDefault="00897B2E" w:rsidP="00897B2E">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7"/>
  </w:num>
  <w:num w:numId="2" w16cid:durableId="1478569355">
    <w:abstractNumId w:val="15"/>
  </w:num>
  <w:num w:numId="3" w16cid:durableId="1952978564">
    <w:abstractNumId w:val="24"/>
  </w:num>
  <w:num w:numId="4" w16cid:durableId="1315186126">
    <w:abstractNumId w:val="29"/>
  </w:num>
  <w:num w:numId="5" w16cid:durableId="1309093109">
    <w:abstractNumId w:val="33"/>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0"/>
  </w:num>
  <w:num w:numId="8" w16cid:durableId="1008755670">
    <w:abstractNumId w:val="3"/>
  </w:num>
  <w:num w:numId="9" w16cid:durableId="65764095">
    <w:abstractNumId w:val="9"/>
  </w:num>
  <w:num w:numId="10" w16cid:durableId="134960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6"/>
  </w:num>
  <w:num w:numId="13" w16cid:durableId="1145464557">
    <w:abstractNumId w:val="22"/>
  </w:num>
  <w:num w:numId="14" w16cid:durableId="848450862">
    <w:abstractNumId w:val="12"/>
  </w:num>
  <w:num w:numId="15" w16cid:durableId="19121507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35"/>
  </w:num>
  <w:num w:numId="18" w16cid:durableId="718556045">
    <w:abstractNumId w:val="25"/>
  </w:num>
  <w:num w:numId="19" w16cid:durableId="2109496769">
    <w:abstractNumId w:val="8"/>
  </w:num>
  <w:num w:numId="20" w16cid:durableId="1574777690">
    <w:abstractNumId w:val="36"/>
  </w:num>
  <w:num w:numId="21" w16cid:durableId="343829570">
    <w:abstractNumId w:val="27"/>
  </w:num>
  <w:num w:numId="22" w16cid:durableId="1521091477">
    <w:abstractNumId w:val="11"/>
  </w:num>
  <w:num w:numId="23" w16cid:durableId="1406491540">
    <w:abstractNumId w:val="10"/>
  </w:num>
  <w:num w:numId="24" w16cid:durableId="216599317">
    <w:abstractNumId w:val="31"/>
  </w:num>
  <w:num w:numId="25" w16cid:durableId="706416597">
    <w:abstractNumId w:val="19"/>
  </w:num>
  <w:num w:numId="26" w16cid:durableId="270862301">
    <w:abstractNumId w:val="34"/>
  </w:num>
  <w:num w:numId="27" w16cid:durableId="1795712713">
    <w:abstractNumId w:val="38"/>
  </w:num>
  <w:num w:numId="28" w16cid:durableId="969941319">
    <w:abstractNumId w:val="23"/>
  </w:num>
  <w:num w:numId="29" w16cid:durableId="1808891589">
    <w:abstractNumId w:val="2"/>
  </w:num>
  <w:num w:numId="30" w16cid:durableId="1508400274">
    <w:abstractNumId w:val="26"/>
  </w:num>
  <w:num w:numId="31" w16cid:durableId="1848517314">
    <w:abstractNumId w:val="20"/>
  </w:num>
  <w:num w:numId="32" w16cid:durableId="1225678077">
    <w:abstractNumId w:val="28"/>
  </w:num>
  <w:num w:numId="33" w16cid:durableId="283007414">
    <w:abstractNumId w:val="37"/>
  </w:num>
  <w:num w:numId="34" w16cid:durableId="669528079">
    <w:abstractNumId w:val="18"/>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6081"/>
    <w:rsid w:val="000165AC"/>
    <w:rsid w:val="00016651"/>
    <w:rsid w:val="00016881"/>
    <w:rsid w:val="000171A2"/>
    <w:rsid w:val="00017B65"/>
    <w:rsid w:val="00020158"/>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6EDB"/>
    <w:rsid w:val="0004716A"/>
    <w:rsid w:val="00047316"/>
    <w:rsid w:val="00047385"/>
    <w:rsid w:val="000473E8"/>
    <w:rsid w:val="00050021"/>
    <w:rsid w:val="00050460"/>
    <w:rsid w:val="000504DE"/>
    <w:rsid w:val="00051074"/>
    <w:rsid w:val="0005211A"/>
    <w:rsid w:val="00052B79"/>
    <w:rsid w:val="00052B86"/>
    <w:rsid w:val="00052EA0"/>
    <w:rsid w:val="000536E3"/>
    <w:rsid w:val="00053EDA"/>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70AF1"/>
    <w:rsid w:val="00070B59"/>
    <w:rsid w:val="000714DE"/>
    <w:rsid w:val="0007254F"/>
    <w:rsid w:val="000726D1"/>
    <w:rsid w:val="00073C30"/>
    <w:rsid w:val="00074305"/>
    <w:rsid w:val="00074B2A"/>
    <w:rsid w:val="00075057"/>
    <w:rsid w:val="00075108"/>
    <w:rsid w:val="00075B3E"/>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139"/>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5C7E"/>
    <w:rsid w:val="00226055"/>
    <w:rsid w:val="0022613F"/>
    <w:rsid w:val="00226236"/>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820"/>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245D"/>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3A8D"/>
    <w:rsid w:val="00383B2B"/>
    <w:rsid w:val="00384CD6"/>
    <w:rsid w:val="00384DF1"/>
    <w:rsid w:val="00384FF3"/>
    <w:rsid w:val="003852D5"/>
    <w:rsid w:val="003859DA"/>
    <w:rsid w:val="00386456"/>
    <w:rsid w:val="003865A9"/>
    <w:rsid w:val="00387642"/>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F3"/>
    <w:rsid w:val="003B3676"/>
    <w:rsid w:val="003B4B1C"/>
    <w:rsid w:val="003B4CB2"/>
    <w:rsid w:val="003B534F"/>
    <w:rsid w:val="003B5391"/>
    <w:rsid w:val="003B5952"/>
    <w:rsid w:val="003B65D7"/>
    <w:rsid w:val="003B65E0"/>
    <w:rsid w:val="003B6BD4"/>
    <w:rsid w:val="003B6E93"/>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44"/>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8C3"/>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63F"/>
    <w:rsid w:val="004B2197"/>
    <w:rsid w:val="004B298A"/>
    <w:rsid w:val="004B459F"/>
    <w:rsid w:val="004B578D"/>
    <w:rsid w:val="004B5BE7"/>
    <w:rsid w:val="004B5E2D"/>
    <w:rsid w:val="004B5ED5"/>
    <w:rsid w:val="004B6793"/>
    <w:rsid w:val="004B6C07"/>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6C7"/>
    <w:rsid w:val="0050284E"/>
    <w:rsid w:val="00504F88"/>
    <w:rsid w:val="00505DCB"/>
    <w:rsid w:val="005075CA"/>
    <w:rsid w:val="00507D10"/>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4233"/>
    <w:rsid w:val="005842D0"/>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5FDD"/>
    <w:rsid w:val="00596AF7"/>
    <w:rsid w:val="00596CCE"/>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FF7"/>
    <w:rsid w:val="006240EF"/>
    <w:rsid w:val="0062471F"/>
    <w:rsid w:val="00624C21"/>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4996"/>
    <w:rsid w:val="00766ECC"/>
    <w:rsid w:val="007672F3"/>
    <w:rsid w:val="007676A9"/>
    <w:rsid w:val="007677B5"/>
    <w:rsid w:val="007678B1"/>
    <w:rsid w:val="00770317"/>
    <w:rsid w:val="007708A8"/>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66"/>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AFE"/>
    <w:rsid w:val="00916FC8"/>
    <w:rsid w:val="009170D3"/>
    <w:rsid w:val="0091759C"/>
    <w:rsid w:val="00917910"/>
    <w:rsid w:val="00920026"/>
    <w:rsid w:val="0092032F"/>
    <w:rsid w:val="009203E2"/>
    <w:rsid w:val="0092117B"/>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7A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1390"/>
    <w:rsid w:val="00A12091"/>
    <w:rsid w:val="00A12355"/>
    <w:rsid w:val="00A12384"/>
    <w:rsid w:val="00A127A3"/>
    <w:rsid w:val="00A127D2"/>
    <w:rsid w:val="00A12ADA"/>
    <w:rsid w:val="00A143EC"/>
    <w:rsid w:val="00A14A60"/>
    <w:rsid w:val="00A1500F"/>
    <w:rsid w:val="00A15621"/>
    <w:rsid w:val="00A15670"/>
    <w:rsid w:val="00A157A0"/>
    <w:rsid w:val="00A1585B"/>
    <w:rsid w:val="00A15C19"/>
    <w:rsid w:val="00A1656E"/>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196"/>
    <w:rsid w:val="00B44260"/>
    <w:rsid w:val="00B44746"/>
    <w:rsid w:val="00B44854"/>
    <w:rsid w:val="00B453FE"/>
    <w:rsid w:val="00B458D0"/>
    <w:rsid w:val="00B46120"/>
    <w:rsid w:val="00B47040"/>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229E"/>
    <w:rsid w:val="00BC23C0"/>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4F3F"/>
    <w:rsid w:val="00C760DC"/>
    <w:rsid w:val="00C800AB"/>
    <w:rsid w:val="00C8082B"/>
    <w:rsid w:val="00C81A88"/>
    <w:rsid w:val="00C81AEC"/>
    <w:rsid w:val="00C81D46"/>
    <w:rsid w:val="00C820AD"/>
    <w:rsid w:val="00C82298"/>
    <w:rsid w:val="00C82F91"/>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5FC7"/>
    <w:rsid w:val="00D26C21"/>
    <w:rsid w:val="00D2742F"/>
    <w:rsid w:val="00D2754F"/>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F23"/>
    <w:rsid w:val="00DE3FF0"/>
    <w:rsid w:val="00DE4105"/>
    <w:rsid w:val="00DE5189"/>
    <w:rsid w:val="00DE6230"/>
    <w:rsid w:val="00DE7108"/>
    <w:rsid w:val="00DE78D1"/>
    <w:rsid w:val="00DF0263"/>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567"/>
    <w:rsid w:val="00F963FC"/>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AFE0C0A3-3A1C-402D-9BC7-34155830BD3E}"/>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28</Pages>
  <Words>10882</Words>
  <Characters>59852</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2022-08-01T14:11:00Z</dcterms:created>
  <dcterms:modified xsi:type="dcterms:W3CDTF">2022-08-01T14:12:00Z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