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B4B" w14:textId="77777777" w:rsidR="00787B6E" w:rsidRPr="0008465D" w:rsidRDefault="00787B6E" w:rsidP="00787B6E">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0445647D" w14:textId="77777777" w:rsidR="00787B6E" w:rsidRPr="00FA1C9E" w:rsidRDefault="00787B6E" w:rsidP="00787B6E">
      <w:pPr>
        <w:jc w:val="both"/>
        <w:rPr>
          <w:rFonts w:ascii="Arial" w:eastAsia="Calibri" w:hAnsi="Arial" w:cs="Arial"/>
          <w:b/>
          <w:bCs/>
          <w:sz w:val="20"/>
          <w:szCs w:val="20"/>
        </w:rPr>
      </w:pPr>
    </w:p>
    <w:p w14:paraId="752CB146" w14:textId="77777777" w:rsidR="00787B6E" w:rsidRPr="00173C0C" w:rsidRDefault="00787B6E" w:rsidP="00787B6E">
      <w:pPr>
        <w:jc w:val="both"/>
        <w:rPr>
          <w:rFonts w:ascii="Arial" w:eastAsia="Calibri" w:hAnsi="Arial" w:cs="Arial"/>
          <w:b/>
          <w:bCs/>
          <w:sz w:val="20"/>
          <w:szCs w:val="20"/>
          <w:lang w:val="es-ES_tradnl"/>
        </w:rPr>
      </w:pPr>
      <w:r w:rsidRPr="00173C0C">
        <w:rPr>
          <w:rFonts w:ascii="Arial" w:eastAsia="Calibri" w:hAnsi="Arial" w:cs="Arial"/>
          <w:b/>
          <w:bCs/>
          <w:sz w:val="20"/>
          <w:szCs w:val="20"/>
          <w:lang w:val="es-ES_tradnl"/>
        </w:rPr>
        <w:t xml:space="preserve">COMPETENCIA CONSULTIVA DE LA AGENCIA – Definición – Noción </w:t>
      </w:r>
    </w:p>
    <w:p w14:paraId="4E99CE87" w14:textId="77777777" w:rsidR="00787B6E" w:rsidRPr="00173C0C" w:rsidRDefault="00787B6E" w:rsidP="00787B6E">
      <w:pPr>
        <w:jc w:val="both"/>
        <w:rPr>
          <w:rFonts w:ascii="Arial" w:eastAsia="Calibri" w:hAnsi="Arial" w:cs="Arial"/>
          <w:sz w:val="20"/>
          <w:szCs w:val="20"/>
          <w:lang w:val="es-ES_tradnl"/>
        </w:rPr>
      </w:pPr>
    </w:p>
    <w:p w14:paraId="7D94F3DF" w14:textId="77777777" w:rsidR="00787B6E" w:rsidRPr="00173C0C" w:rsidRDefault="00787B6E" w:rsidP="00787B6E">
      <w:pPr>
        <w:jc w:val="both"/>
        <w:rPr>
          <w:rFonts w:ascii="Arial" w:hAnsi="Arial" w:cs="Arial"/>
          <w:color w:val="000000"/>
          <w:sz w:val="20"/>
          <w:szCs w:val="20"/>
        </w:rPr>
      </w:pPr>
      <w:r w:rsidRPr="00173C0C">
        <w:rPr>
          <w:rFonts w:ascii="Arial" w:hAnsi="Arial" w:cs="Arial"/>
          <w:color w:val="000000"/>
          <w:sz w:val="20"/>
          <w:szCs w:val="20"/>
          <w:shd w:val="clear" w:color="auto" w:fill="FFFFFF"/>
        </w:rPr>
        <w:t>Como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565CA241" w14:textId="77777777" w:rsidR="00787B6E" w:rsidRPr="00173C0C" w:rsidRDefault="00787B6E" w:rsidP="00787B6E">
      <w:pPr>
        <w:spacing w:before="120"/>
        <w:jc w:val="both"/>
        <w:rPr>
          <w:rFonts w:ascii="Arial" w:hAnsi="Arial" w:cs="Arial"/>
          <w:color w:val="000000"/>
          <w:sz w:val="20"/>
          <w:szCs w:val="20"/>
        </w:rPr>
      </w:pPr>
      <w:r w:rsidRPr="00173C0C">
        <w:rPr>
          <w:rFonts w:ascii="Arial" w:hAnsi="Arial" w:cs="Arial"/>
          <w:color w:val="000000"/>
          <w:sz w:val="20"/>
          <w:szCs w:val="20"/>
        </w:rPr>
        <w:t>Al respecto, 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173C0C">
        <w:rPr>
          <w:rFonts w:ascii="Arial" w:eastAsia="Calibri" w:hAnsi="Arial" w:cs="Arial"/>
          <w:color w:val="000000"/>
          <w:sz w:val="20"/>
          <w:szCs w:val="20"/>
        </w:rPr>
        <w:t xml:space="preserve"> </w:t>
      </w:r>
      <w:r w:rsidRPr="00173C0C">
        <w:rPr>
          <w:rFonts w:ascii="Arial" w:hAnsi="Arial" w:cs="Arial"/>
          <w:color w:val="000000"/>
          <w:sz w:val="20"/>
          <w:szCs w:val="20"/>
          <w:shd w:val="clear" w:color="auto" w:fill="FFFFFF"/>
        </w:rPr>
        <w:t> </w:t>
      </w:r>
    </w:p>
    <w:p w14:paraId="3AC97559" w14:textId="77777777" w:rsidR="00787B6E" w:rsidRPr="00173C0C" w:rsidRDefault="00787B6E" w:rsidP="00787B6E">
      <w:pPr>
        <w:spacing w:before="120"/>
        <w:jc w:val="both"/>
        <w:rPr>
          <w:rFonts w:ascii="Arial" w:hAnsi="Arial" w:cs="Arial"/>
          <w:color w:val="000000"/>
          <w:sz w:val="20"/>
          <w:szCs w:val="20"/>
        </w:rPr>
      </w:pPr>
      <w:r w:rsidRPr="00173C0C">
        <w:rPr>
          <w:rFonts w:ascii="Arial" w:hAnsi="Arial" w:cs="Arial"/>
          <w:color w:val="000000"/>
          <w:sz w:val="20"/>
          <w:szCs w:val="20"/>
        </w:rPr>
        <w:t>Por tanto, la competencia de esta Agencia se fija con límites claros, con el objeto de evitar que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173C0C">
        <w:rPr>
          <w:rFonts w:ascii="Arial" w:eastAsia="Calibri" w:hAnsi="Arial" w:cs="Arial"/>
          <w:color w:val="000000"/>
          <w:sz w:val="20"/>
          <w:szCs w:val="20"/>
        </w:rPr>
        <w:t> </w:t>
      </w:r>
    </w:p>
    <w:p w14:paraId="5DA7BA16" w14:textId="77777777" w:rsidR="00787B6E" w:rsidRPr="00173C0C" w:rsidRDefault="00787B6E" w:rsidP="00787B6E">
      <w:pPr>
        <w:jc w:val="both"/>
        <w:rPr>
          <w:rFonts w:ascii="Arial" w:eastAsia="Calibri" w:hAnsi="Arial" w:cs="Arial"/>
          <w:b/>
          <w:bCs/>
          <w:sz w:val="20"/>
          <w:szCs w:val="20"/>
          <w:lang w:val="es-ES_tradnl"/>
        </w:rPr>
      </w:pPr>
    </w:p>
    <w:p w14:paraId="069AC745" w14:textId="77777777" w:rsidR="00787B6E" w:rsidRPr="00173C0C" w:rsidRDefault="00787B6E" w:rsidP="00787B6E">
      <w:pPr>
        <w:jc w:val="both"/>
        <w:rPr>
          <w:rFonts w:ascii="Arial" w:eastAsia="Calibri" w:hAnsi="Arial" w:cs="Arial"/>
          <w:b/>
          <w:bCs/>
          <w:sz w:val="20"/>
          <w:szCs w:val="20"/>
          <w:lang w:val="es-ES_tradnl"/>
        </w:rPr>
      </w:pPr>
      <w:r w:rsidRPr="00173C0C">
        <w:rPr>
          <w:rFonts w:ascii="Arial" w:eastAsia="Calibri" w:hAnsi="Arial" w:cs="Arial"/>
          <w:b/>
          <w:bCs/>
          <w:sz w:val="20"/>
          <w:szCs w:val="20"/>
          <w:lang w:val="es-ES_tradnl"/>
        </w:rPr>
        <w:t xml:space="preserve">RÉGIMEN DE INHABILIDADES E INCOMPATIBILIDADES – Taxatividad </w:t>
      </w:r>
    </w:p>
    <w:p w14:paraId="7ADB5D68" w14:textId="77777777" w:rsidR="00787B6E" w:rsidRPr="00173C0C" w:rsidRDefault="00787B6E" w:rsidP="00787B6E">
      <w:pPr>
        <w:jc w:val="both"/>
        <w:rPr>
          <w:rFonts w:ascii="Arial" w:eastAsia="Calibri" w:hAnsi="Arial" w:cs="Arial"/>
          <w:b/>
          <w:bCs/>
          <w:sz w:val="20"/>
          <w:szCs w:val="20"/>
          <w:lang w:val="es-ES_tradnl"/>
        </w:rPr>
      </w:pPr>
    </w:p>
    <w:p w14:paraId="4C9B5997" w14:textId="59B6661C" w:rsidR="00787B6E" w:rsidRDefault="00787B6E" w:rsidP="00787B6E">
      <w:pPr>
        <w:jc w:val="both"/>
        <w:rPr>
          <w:rFonts w:ascii="Arial" w:eastAsia="Calibri" w:hAnsi="Arial" w:cs="Arial"/>
          <w:sz w:val="20"/>
          <w:szCs w:val="20"/>
          <w:lang w:val="es-ES_tradnl"/>
        </w:rPr>
      </w:pPr>
      <w:r w:rsidRPr="00173C0C">
        <w:rPr>
          <w:rFonts w:ascii="Arial" w:eastAsia="Calibri" w:hAnsi="Arial" w:cs="Arial"/>
          <w:sz w:val="20"/>
          <w:szCs w:val="20"/>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173C0C">
        <w:rPr>
          <w:rFonts w:ascii="Arial" w:eastAsia="Calibri" w:hAnsi="Arial" w:cs="Arial"/>
          <w:i/>
          <w:iCs/>
          <w:sz w:val="20"/>
          <w:szCs w:val="20"/>
          <w:lang w:val="es-ES_tradnl"/>
        </w:rPr>
        <w:t>restrictiva</w:t>
      </w:r>
      <w:r w:rsidRPr="00173C0C">
        <w:rPr>
          <w:rFonts w:ascii="Arial" w:eastAsia="Calibri" w:hAnsi="Arial" w:cs="Arial"/>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w:t>
      </w:r>
    </w:p>
    <w:p w14:paraId="45782CAB" w14:textId="77777777" w:rsidR="00D17B82" w:rsidRPr="00173C0C" w:rsidRDefault="00D17B82" w:rsidP="00787B6E">
      <w:pPr>
        <w:jc w:val="both"/>
        <w:rPr>
          <w:rFonts w:ascii="Arial" w:eastAsia="Calibri" w:hAnsi="Arial" w:cs="Arial"/>
          <w:sz w:val="20"/>
          <w:szCs w:val="20"/>
          <w:lang w:val="es-ES_tradnl"/>
        </w:rPr>
      </w:pPr>
    </w:p>
    <w:p w14:paraId="772B4479" w14:textId="610FD658" w:rsidR="00787B6E" w:rsidRPr="00D17B82" w:rsidRDefault="00787B6E" w:rsidP="00D17B82">
      <w:pPr>
        <w:jc w:val="both"/>
        <w:rPr>
          <w:rFonts w:ascii="Arial" w:eastAsia="Calibri" w:hAnsi="Arial" w:cs="Arial"/>
          <w:b/>
          <w:bCs/>
          <w:noProof/>
          <w:sz w:val="20"/>
          <w:szCs w:val="20"/>
        </w:rPr>
      </w:pPr>
      <w:r w:rsidRPr="00173C0C">
        <w:rPr>
          <w:rFonts w:ascii="Arial" w:eastAsia="Calibri" w:hAnsi="Arial" w:cs="Arial"/>
          <w:b/>
          <w:bCs/>
          <w:noProof/>
          <w:sz w:val="20"/>
          <w:szCs w:val="20"/>
        </w:rPr>
        <w:t xml:space="preserve">DE LAS CAUSALES DE RECHAZO – </w:t>
      </w:r>
      <w:r w:rsidR="00D17B82" w:rsidRPr="00173C0C">
        <w:rPr>
          <w:rFonts w:ascii="Arial" w:eastAsia="Calibri" w:hAnsi="Arial" w:cs="Arial"/>
          <w:b/>
          <w:bCs/>
          <w:noProof/>
          <w:sz w:val="20"/>
          <w:szCs w:val="20"/>
        </w:rPr>
        <w:t>Pliegos tipo</w:t>
      </w:r>
      <w:r w:rsidR="00D17B82">
        <w:rPr>
          <w:rFonts w:ascii="Arial" w:eastAsia="Calibri" w:hAnsi="Arial" w:cs="Arial"/>
          <w:b/>
          <w:bCs/>
          <w:noProof/>
          <w:sz w:val="20"/>
          <w:szCs w:val="20"/>
        </w:rPr>
        <w:t xml:space="preserve"> –</w:t>
      </w:r>
      <w:r w:rsidR="00D17B82" w:rsidRPr="00173C0C">
        <w:rPr>
          <w:rFonts w:ascii="Arial" w:eastAsia="Calibri" w:hAnsi="Arial" w:cs="Arial"/>
          <w:b/>
          <w:bCs/>
          <w:noProof/>
          <w:sz w:val="20"/>
          <w:szCs w:val="20"/>
        </w:rPr>
        <w:t xml:space="preserve"> </w:t>
      </w:r>
      <w:r w:rsidR="00D17B82">
        <w:rPr>
          <w:rFonts w:ascii="Arial" w:eastAsia="Calibri" w:hAnsi="Arial" w:cs="Arial"/>
          <w:b/>
          <w:bCs/>
          <w:noProof/>
          <w:sz w:val="20"/>
          <w:szCs w:val="20"/>
          <w:lang w:val="es-ES_tradnl"/>
        </w:rPr>
        <w:t>Taxativas e inalterables</w:t>
      </w:r>
      <w:r w:rsidR="00D17B82">
        <w:rPr>
          <w:rFonts w:ascii="Arial" w:eastAsia="Calibri" w:hAnsi="Arial" w:cs="Arial"/>
          <w:b/>
          <w:bCs/>
          <w:noProof/>
          <w:sz w:val="20"/>
          <w:szCs w:val="20"/>
        </w:rPr>
        <w:t xml:space="preserve"> </w:t>
      </w:r>
    </w:p>
    <w:p w14:paraId="51EED1F6" w14:textId="77777777" w:rsidR="00787B6E" w:rsidRPr="00173C0C" w:rsidRDefault="00787B6E" w:rsidP="00787B6E">
      <w:pPr>
        <w:spacing w:before="120"/>
        <w:jc w:val="both"/>
        <w:rPr>
          <w:rFonts w:ascii="Arial" w:hAnsi="Arial" w:cs="Arial"/>
          <w:color w:val="000000" w:themeColor="text1"/>
          <w:sz w:val="20"/>
          <w:szCs w:val="20"/>
        </w:rPr>
      </w:pPr>
      <w:r w:rsidRPr="00173C0C">
        <w:rPr>
          <w:rFonts w:ascii="Arial" w:hAnsi="Arial" w:cs="Arial"/>
          <w:color w:val="000000" w:themeColor="text1"/>
          <w:sz w:val="20"/>
          <w:szCs w:val="20"/>
        </w:rPr>
        <w:t xml:space="preserve">Esta causal de rechazo, a efectos de una de sus preguntas, debe ser interpretada de manera restrictiva, de forma tal que la indicación relativa a “[…] una misma persona natural o jurídica […]” no se puede extender a los eventos en que uno de los proponentes tenga participación accionaria en otro proponente, con independencia del porcentaje de participación, toda vez que, en estricto sentido, se trata de dos proponentes distintos, de dos personas jurídicas distintas. En otras palabras, la causal de rechazo busca evitar que una misma persona natural o jurídica presente o haga parte de más de una propuesta, por tanto, en el evento en que uno de los oferentes tenga participación accionaria en otro de los oferentes, no se configuraría la causal de rechazo porque se trataría, no de una misma persona natural o jurídica, sino de dos personas distintas. </w:t>
      </w:r>
    </w:p>
    <w:p w14:paraId="51F9BBE2" w14:textId="77777777" w:rsidR="00787B6E" w:rsidRPr="00173C0C" w:rsidRDefault="00787B6E" w:rsidP="00787B6E">
      <w:pPr>
        <w:spacing w:before="120"/>
        <w:jc w:val="both"/>
        <w:rPr>
          <w:rFonts w:ascii="Arial" w:hAnsi="Arial" w:cs="Arial"/>
          <w:color w:val="000000" w:themeColor="text1"/>
          <w:sz w:val="20"/>
          <w:szCs w:val="20"/>
        </w:rPr>
      </w:pPr>
      <w:r w:rsidRPr="00173C0C">
        <w:rPr>
          <w:rFonts w:ascii="Arial" w:hAnsi="Arial" w:cs="Arial"/>
          <w:color w:val="000000" w:themeColor="text1"/>
          <w:sz w:val="20"/>
          <w:szCs w:val="20"/>
        </w:rPr>
        <w:t xml:space="preserve">Así, con base en el artículo 98 del Código de Comercio, una misma persona jurídica implica la existencia de un único contrato de sociedad y, por contrapartida, en el supuesto de hecho preguntado, la participación accionaria de una persona jurídica en otra sociedad supone la existencia de dos contratos de sociedad. Entonces, se reitera la conclusión que acaba de exponerse, dos ofertas de dos personas jurídicas distintas, incluso si una tiene participación accionaria en la otra, no </w:t>
      </w:r>
      <w:r w:rsidRPr="00173C0C">
        <w:rPr>
          <w:rFonts w:ascii="Arial" w:hAnsi="Arial" w:cs="Arial"/>
          <w:color w:val="000000" w:themeColor="text1"/>
          <w:sz w:val="20"/>
          <w:szCs w:val="20"/>
        </w:rPr>
        <w:lastRenderedPageBreak/>
        <w:t>configura la causal de rechazo prevista en el literal b) numeral 1.15</w:t>
      </w:r>
      <w:r w:rsidRPr="00173C0C">
        <w:rPr>
          <w:rFonts w:ascii="Arial" w:hAnsi="Arial" w:cs="Arial"/>
          <w:sz w:val="20"/>
          <w:szCs w:val="20"/>
        </w:rPr>
        <w:t xml:space="preserve"> </w:t>
      </w:r>
      <w:r w:rsidRPr="00173C0C">
        <w:rPr>
          <w:rFonts w:ascii="Arial" w:hAnsi="Arial" w:cs="Arial"/>
          <w:color w:val="000000" w:themeColor="text1"/>
          <w:sz w:val="20"/>
          <w:szCs w:val="20"/>
        </w:rPr>
        <w:t>del pliego tipo «Documento Base» de «licitación de obra pública de infraestructura de transporte – Versión 3».</w:t>
      </w:r>
    </w:p>
    <w:p w14:paraId="74A9AE0E" w14:textId="77777777" w:rsidR="00787B6E" w:rsidRPr="00173C0C" w:rsidRDefault="00787B6E" w:rsidP="00787B6E">
      <w:pPr>
        <w:jc w:val="both"/>
        <w:rPr>
          <w:rFonts w:ascii="Arial" w:eastAsia="Calibri" w:hAnsi="Arial" w:cs="Arial"/>
          <w:sz w:val="20"/>
          <w:szCs w:val="20"/>
          <w:lang w:val="es-ES_tradnl"/>
        </w:rPr>
      </w:pPr>
    </w:p>
    <w:p w14:paraId="2C8750F0" w14:textId="5F2AB478" w:rsidR="00787B6E" w:rsidRPr="00173C0C" w:rsidRDefault="00787B6E" w:rsidP="00787B6E">
      <w:pPr>
        <w:jc w:val="both"/>
        <w:rPr>
          <w:rFonts w:ascii="Arial" w:eastAsia="Calibri" w:hAnsi="Arial" w:cs="Arial"/>
          <w:b/>
          <w:bCs/>
          <w:sz w:val="20"/>
          <w:szCs w:val="20"/>
          <w:lang w:val="es-ES_tradnl"/>
        </w:rPr>
      </w:pPr>
      <w:r w:rsidRPr="00173C0C">
        <w:rPr>
          <w:rFonts w:ascii="Arial" w:eastAsia="Calibri" w:hAnsi="Arial" w:cs="Arial"/>
          <w:b/>
          <w:bCs/>
          <w:sz w:val="20"/>
          <w:szCs w:val="20"/>
          <w:lang w:val="es-ES_tradnl"/>
        </w:rPr>
        <w:t xml:space="preserve">CONFLICTO DE INTERESES – </w:t>
      </w:r>
      <w:r w:rsidR="00D17B82" w:rsidRPr="00173C0C">
        <w:rPr>
          <w:rFonts w:ascii="Arial" w:eastAsia="Calibri" w:hAnsi="Arial" w:cs="Arial"/>
          <w:b/>
          <w:bCs/>
          <w:sz w:val="20"/>
          <w:szCs w:val="20"/>
          <w:lang w:val="es-ES_tradnl"/>
        </w:rPr>
        <w:t>Noción</w:t>
      </w:r>
      <w:r w:rsidR="00D17B82">
        <w:rPr>
          <w:rFonts w:ascii="Arial" w:eastAsia="Calibri" w:hAnsi="Arial" w:cs="Arial"/>
          <w:b/>
          <w:bCs/>
          <w:sz w:val="20"/>
          <w:szCs w:val="20"/>
          <w:lang w:val="es-ES_tradnl"/>
        </w:rPr>
        <w:t xml:space="preserve"> –</w:t>
      </w:r>
      <w:r w:rsidR="00D17B82" w:rsidRPr="00173C0C">
        <w:rPr>
          <w:rFonts w:ascii="Arial" w:eastAsia="Calibri" w:hAnsi="Arial" w:cs="Arial"/>
          <w:b/>
          <w:bCs/>
          <w:sz w:val="20"/>
          <w:szCs w:val="20"/>
          <w:lang w:val="es-ES_tradnl"/>
        </w:rPr>
        <w:t xml:space="preserve"> </w:t>
      </w:r>
      <w:r w:rsidRPr="00173C0C">
        <w:rPr>
          <w:rFonts w:ascii="Arial" w:eastAsia="Calibri" w:hAnsi="Arial" w:cs="Arial"/>
          <w:b/>
          <w:bCs/>
          <w:sz w:val="20"/>
          <w:szCs w:val="20"/>
          <w:lang w:val="es-ES_tradnl"/>
        </w:rPr>
        <w:t xml:space="preserve">Régimen contractual </w:t>
      </w:r>
    </w:p>
    <w:p w14:paraId="5E38D8C8" w14:textId="77777777" w:rsidR="00787B6E" w:rsidRPr="00173C0C" w:rsidRDefault="00787B6E" w:rsidP="00787B6E">
      <w:pPr>
        <w:jc w:val="both"/>
        <w:rPr>
          <w:rFonts w:ascii="Arial" w:eastAsia="Calibri" w:hAnsi="Arial" w:cs="Arial"/>
          <w:sz w:val="20"/>
          <w:szCs w:val="20"/>
          <w:lang w:val="es-ES_tradnl"/>
        </w:rPr>
      </w:pPr>
    </w:p>
    <w:p w14:paraId="45E16971" w14:textId="77777777" w:rsidR="00787B6E" w:rsidRPr="00173C0C" w:rsidRDefault="00787B6E" w:rsidP="00787B6E">
      <w:pPr>
        <w:spacing w:after="120"/>
        <w:jc w:val="both"/>
        <w:rPr>
          <w:rFonts w:ascii="Arial" w:eastAsia="Calibri" w:hAnsi="Arial" w:cs="Arial"/>
          <w:color w:val="000000" w:themeColor="text1"/>
          <w:sz w:val="20"/>
          <w:szCs w:val="20"/>
          <w:lang w:val="es-ES_tradnl"/>
        </w:rPr>
      </w:pPr>
      <w:r w:rsidRPr="00173C0C">
        <w:rPr>
          <w:rFonts w:ascii="Arial" w:eastAsia="Calibri" w:hAnsi="Arial" w:cs="Arial"/>
          <w:color w:val="000000" w:themeColor="text1"/>
          <w:sz w:val="20"/>
          <w:szCs w:val="20"/>
          <w:lang w:val="es-ES_tradnl"/>
        </w:rPr>
        <w:t xml:space="preserve">La institución jurídica de los conflictos de interés no está definida con carácter general en el ordenamiento jurídico y tampoco de forma precisa en las normas que regulan la contratación estatal, por lo que es un asunto ausente en el Estatuto General de Contratación de la Administración Pública –en adelante EGCAP–. No obstante, existen disposiciones especiales como el régimen de los congresistas, de los concejales o el régimen disciplinario de los servidores públicos, donde se definen causales de conflictos de interés.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Estatuto General de Contratación de la Administración Pública dispone que aquellos obrarán con lealtad y buena fe en las distintas etapas contractuales. </w:t>
      </w:r>
    </w:p>
    <w:p w14:paraId="7396E665" w14:textId="77777777" w:rsidR="00787B6E" w:rsidRDefault="00787B6E" w:rsidP="00787B6E">
      <w:pPr>
        <w:jc w:val="both"/>
        <w:rPr>
          <w:rFonts w:ascii="Arial" w:eastAsia="Calibri" w:hAnsi="Arial" w:cs="Arial"/>
          <w:sz w:val="20"/>
          <w:szCs w:val="20"/>
          <w:lang w:val="es-ES_tradnl"/>
        </w:rPr>
      </w:pPr>
    </w:p>
    <w:p w14:paraId="7F11A26E" w14:textId="77777777" w:rsidR="00787B6E" w:rsidRDefault="00787B6E" w:rsidP="00787B6E">
      <w:pPr>
        <w:jc w:val="both"/>
        <w:rPr>
          <w:rFonts w:ascii="Arial" w:eastAsia="Calibri" w:hAnsi="Arial" w:cs="Arial"/>
          <w:sz w:val="20"/>
          <w:szCs w:val="20"/>
          <w:lang w:val="es-ES_tradnl"/>
        </w:rPr>
      </w:pPr>
    </w:p>
    <w:p w14:paraId="62914BF9" w14:textId="77777777" w:rsidR="00787B6E" w:rsidRDefault="00787B6E" w:rsidP="00787B6E">
      <w:pPr>
        <w:jc w:val="both"/>
        <w:rPr>
          <w:rFonts w:ascii="Arial" w:eastAsia="Calibri" w:hAnsi="Arial" w:cs="Arial"/>
          <w:sz w:val="20"/>
          <w:szCs w:val="20"/>
          <w:lang w:val="es-ES_tradnl"/>
        </w:rPr>
      </w:pPr>
    </w:p>
    <w:p w14:paraId="7B1C6C97" w14:textId="77777777" w:rsidR="00787B6E" w:rsidRDefault="00787B6E" w:rsidP="00787B6E">
      <w:pPr>
        <w:jc w:val="both"/>
        <w:rPr>
          <w:rFonts w:ascii="Arial" w:eastAsia="Calibri" w:hAnsi="Arial" w:cs="Arial"/>
          <w:sz w:val="20"/>
          <w:szCs w:val="20"/>
          <w:lang w:val="es-ES_tradnl"/>
        </w:rPr>
      </w:pPr>
    </w:p>
    <w:p w14:paraId="0C7ED498" w14:textId="77777777" w:rsidR="00787B6E" w:rsidRDefault="00787B6E" w:rsidP="00787B6E">
      <w:pPr>
        <w:jc w:val="both"/>
        <w:rPr>
          <w:rFonts w:ascii="Arial" w:eastAsia="Calibri" w:hAnsi="Arial" w:cs="Arial"/>
          <w:sz w:val="20"/>
          <w:szCs w:val="20"/>
          <w:lang w:val="es-ES_tradnl"/>
        </w:rPr>
      </w:pPr>
    </w:p>
    <w:p w14:paraId="78AE88E2" w14:textId="77777777" w:rsidR="00787B6E" w:rsidRDefault="00787B6E" w:rsidP="00787B6E">
      <w:pPr>
        <w:jc w:val="both"/>
        <w:rPr>
          <w:rFonts w:ascii="Arial" w:eastAsia="Calibri" w:hAnsi="Arial" w:cs="Arial"/>
          <w:b/>
          <w:bCs/>
          <w:sz w:val="20"/>
          <w:szCs w:val="20"/>
        </w:rPr>
      </w:pPr>
    </w:p>
    <w:p w14:paraId="5AC632BF" w14:textId="77777777" w:rsidR="00787B6E" w:rsidRDefault="00787B6E" w:rsidP="00787B6E">
      <w:pPr>
        <w:jc w:val="both"/>
        <w:rPr>
          <w:rFonts w:ascii="Arial" w:eastAsia="Calibri" w:hAnsi="Arial" w:cs="Arial"/>
          <w:b/>
          <w:bCs/>
          <w:sz w:val="20"/>
          <w:szCs w:val="20"/>
        </w:rPr>
      </w:pPr>
    </w:p>
    <w:p w14:paraId="0095B1EA" w14:textId="77777777" w:rsidR="00787B6E" w:rsidRDefault="00787B6E" w:rsidP="00787B6E">
      <w:pPr>
        <w:jc w:val="both"/>
        <w:rPr>
          <w:rFonts w:ascii="Arial" w:eastAsia="Calibri" w:hAnsi="Arial" w:cs="Arial"/>
          <w:b/>
          <w:bCs/>
          <w:sz w:val="20"/>
          <w:szCs w:val="20"/>
        </w:rPr>
      </w:pPr>
    </w:p>
    <w:p w14:paraId="09D72066" w14:textId="77777777" w:rsidR="00787B6E" w:rsidRDefault="00787B6E" w:rsidP="00787B6E">
      <w:pPr>
        <w:jc w:val="both"/>
        <w:rPr>
          <w:rFonts w:ascii="Arial" w:eastAsia="Calibri" w:hAnsi="Arial" w:cs="Arial"/>
          <w:b/>
          <w:bCs/>
          <w:sz w:val="20"/>
          <w:szCs w:val="20"/>
        </w:rPr>
      </w:pPr>
    </w:p>
    <w:p w14:paraId="1D0299FD" w14:textId="77777777" w:rsidR="00787B6E" w:rsidRDefault="00787B6E" w:rsidP="00787B6E">
      <w:pPr>
        <w:jc w:val="both"/>
        <w:rPr>
          <w:rFonts w:ascii="Arial" w:eastAsia="Calibri" w:hAnsi="Arial" w:cs="Arial"/>
          <w:b/>
          <w:bCs/>
          <w:sz w:val="20"/>
          <w:szCs w:val="20"/>
        </w:rPr>
      </w:pPr>
    </w:p>
    <w:p w14:paraId="07DA2EFB" w14:textId="77777777" w:rsidR="00787B6E" w:rsidRDefault="00787B6E" w:rsidP="00787B6E">
      <w:pPr>
        <w:jc w:val="both"/>
        <w:rPr>
          <w:rFonts w:ascii="Arial" w:eastAsia="Calibri" w:hAnsi="Arial" w:cs="Arial"/>
          <w:b/>
          <w:bCs/>
          <w:sz w:val="20"/>
          <w:szCs w:val="20"/>
        </w:rPr>
      </w:pPr>
    </w:p>
    <w:p w14:paraId="58490785" w14:textId="77777777" w:rsidR="00787B6E" w:rsidRDefault="00787B6E" w:rsidP="00787B6E">
      <w:pPr>
        <w:jc w:val="both"/>
        <w:rPr>
          <w:rFonts w:ascii="Arial" w:eastAsia="Calibri" w:hAnsi="Arial" w:cs="Arial"/>
          <w:b/>
          <w:bCs/>
          <w:sz w:val="20"/>
          <w:szCs w:val="20"/>
        </w:rPr>
      </w:pPr>
    </w:p>
    <w:p w14:paraId="04B26195" w14:textId="77777777" w:rsidR="00787B6E" w:rsidRDefault="00787B6E" w:rsidP="00787B6E">
      <w:pPr>
        <w:jc w:val="both"/>
        <w:rPr>
          <w:rFonts w:ascii="Arial" w:eastAsia="Calibri" w:hAnsi="Arial" w:cs="Arial"/>
          <w:b/>
          <w:bCs/>
          <w:sz w:val="20"/>
          <w:szCs w:val="20"/>
        </w:rPr>
      </w:pPr>
    </w:p>
    <w:p w14:paraId="4A564E45" w14:textId="77777777" w:rsidR="00787B6E" w:rsidRDefault="00787B6E" w:rsidP="00787B6E">
      <w:pPr>
        <w:jc w:val="both"/>
        <w:rPr>
          <w:rFonts w:ascii="Arial" w:eastAsia="Calibri" w:hAnsi="Arial" w:cs="Arial"/>
          <w:b/>
          <w:bCs/>
          <w:sz w:val="20"/>
          <w:szCs w:val="20"/>
        </w:rPr>
      </w:pPr>
    </w:p>
    <w:p w14:paraId="6C058F4C" w14:textId="77777777" w:rsidR="00787B6E" w:rsidRDefault="00787B6E" w:rsidP="00787B6E">
      <w:pPr>
        <w:jc w:val="both"/>
        <w:rPr>
          <w:rFonts w:ascii="Arial" w:eastAsia="Calibri" w:hAnsi="Arial" w:cs="Arial"/>
          <w:b/>
          <w:bCs/>
          <w:sz w:val="20"/>
          <w:szCs w:val="20"/>
        </w:rPr>
      </w:pPr>
    </w:p>
    <w:p w14:paraId="2C573578" w14:textId="77777777" w:rsidR="00787B6E" w:rsidRDefault="00787B6E" w:rsidP="00787B6E">
      <w:pPr>
        <w:jc w:val="both"/>
        <w:rPr>
          <w:rFonts w:ascii="Arial" w:eastAsia="Calibri" w:hAnsi="Arial" w:cs="Arial"/>
          <w:b/>
          <w:bCs/>
          <w:sz w:val="20"/>
          <w:szCs w:val="20"/>
        </w:rPr>
      </w:pPr>
    </w:p>
    <w:p w14:paraId="28AB14F0" w14:textId="77777777" w:rsidR="00787B6E" w:rsidRDefault="00787B6E" w:rsidP="00787B6E">
      <w:pPr>
        <w:jc w:val="both"/>
        <w:rPr>
          <w:rFonts w:ascii="Arial" w:eastAsia="Calibri" w:hAnsi="Arial" w:cs="Arial"/>
          <w:b/>
          <w:bCs/>
          <w:sz w:val="20"/>
          <w:szCs w:val="20"/>
        </w:rPr>
      </w:pPr>
    </w:p>
    <w:p w14:paraId="464EF495" w14:textId="77777777" w:rsidR="00787B6E" w:rsidRDefault="00787B6E" w:rsidP="00787B6E">
      <w:pPr>
        <w:jc w:val="both"/>
        <w:rPr>
          <w:rFonts w:ascii="Arial" w:eastAsia="Calibri" w:hAnsi="Arial" w:cs="Arial"/>
          <w:b/>
          <w:bCs/>
          <w:sz w:val="20"/>
          <w:szCs w:val="20"/>
        </w:rPr>
      </w:pPr>
    </w:p>
    <w:p w14:paraId="5E09D736" w14:textId="77777777" w:rsidR="00787B6E" w:rsidRDefault="00787B6E" w:rsidP="00787B6E">
      <w:pPr>
        <w:jc w:val="both"/>
        <w:rPr>
          <w:rFonts w:ascii="Arial" w:eastAsia="Calibri" w:hAnsi="Arial" w:cs="Arial"/>
          <w:b/>
          <w:bCs/>
          <w:sz w:val="20"/>
          <w:szCs w:val="20"/>
        </w:rPr>
      </w:pPr>
    </w:p>
    <w:p w14:paraId="3A921FB7" w14:textId="77777777" w:rsidR="00787B6E" w:rsidRDefault="00787B6E" w:rsidP="00787B6E">
      <w:pPr>
        <w:jc w:val="both"/>
        <w:rPr>
          <w:rFonts w:ascii="Arial" w:eastAsia="Calibri" w:hAnsi="Arial" w:cs="Arial"/>
          <w:b/>
          <w:bCs/>
          <w:sz w:val="20"/>
          <w:szCs w:val="20"/>
        </w:rPr>
      </w:pPr>
    </w:p>
    <w:p w14:paraId="12D774F1" w14:textId="77777777" w:rsidR="00787B6E" w:rsidRDefault="00787B6E" w:rsidP="00787B6E">
      <w:pPr>
        <w:jc w:val="both"/>
        <w:rPr>
          <w:rFonts w:ascii="Arial" w:eastAsia="Calibri" w:hAnsi="Arial" w:cs="Arial"/>
          <w:b/>
          <w:bCs/>
          <w:sz w:val="20"/>
          <w:szCs w:val="20"/>
        </w:rPr>
      </w:pPr>
    </w:p>
    <w:p w14:paraId="6EAE03A3" w14:textId="77777777" w:rsidR="00787B6E" w:rsidRDefault="00787B6E" w:rsidP="00787B6E">
      <w:pPr>
        <w:jc w:val="both"/>
        <w:rPr>
          <w:rFonts w:ascii="Arial" w:eastAsia="Calibri" w:hAnsi="Arial" w:cs="Arial"/>
          <w:b/>
          <w:bCs/>
          <w:sz w:val="20"/>
          <w:szCs w:val="20"/>
        </w:rPr>
      </w:pPr>
    </w:p>
    <w:p w14:paraId="24CE6600" w14:textId="77777777" w:rsidR="00787B6E" w:rsidRDefault="00787B6E" w:rsidP="00787B6E">
      <w:pPr>
        <w:jc w:val="both"/>
        <w:rPr>
          <w:rFonts w:ascii="Arial" w:eastAsia="Calibri" w:hAnsi="Arial" w:cs="Arial"/>
          <w:b/>
          <w:bCs/>
          <w:sz w:val="20"/>
          <w:szCs w:val="20"/>
        </w:rPr>
      </w:pPr>
    </w:p>
    <w:p w14:paraId="1D2BC320" w14:textId="77777777" w:rsidR="00787B6E" w:rsidRDefault="00787B6E" w:rsidP="00787B6E">
      <w:pPr>
        <w:jc w:val="both"/>
        <w:rPr>
          <w:rFonts w:ascii="Arial" w:eastAsia="Calibri" w:hAnsi="Arial" w:cs="Arial"/>
          <w:b/>
          <w:bCs/>
          <w:sz w:val="20"/>
          <w:szCs w:val="20"/>
        </w:rPr>
      </w:pPr>
    </w:p>
    <w:p w14:paraId="32E97426" w14:textId="77777777" w:rsidR="00787B6E" w:rsidRDefault="00787B6E" w:rsidP="00787B6E">
      <w:pPr>
        <w:jc w:val="both"/>
        <w:rPr>
          <w:rFonts w:ascii="Arial" w:eastAsia="Calibri" w:hAnsi="Arial" w:cs="Arial"/>
          <w:b/>
          <w:bCs/>
          <w:sz w:val="20"/>
          <w:szCs w:val="20"/>
        </w:rPr>
      </w:pPr>
    </w:p>
    <w:p w14:paraId="4119A142" w14:textId="77777777" w:rsidR="00787B6E" w:rsidRDefault="00787B6E" w:rsidP="00787B6E">
      <w:pPr>
        <w:jc w:val="both"/>
        <w:rPr>
          <w:rFonts w:ascii="Arial" w:eastAsia="Calibri" w:hAnsi="Arial" w:cs="Arial"/>
          <w:b/>
          <w:bCs/>
          <w:sz w:val="20"/>
          <w:szCs w:val="20"/>
        </w:rPr>
      </w:pPr>
    </w:p>
    <w:p w14:paraId="0F4C3772" w14:textId="77777777" w:rsidR="00787B6E" w:rsidRDefault="00787B6E" w:rsidP="00787B6E">
      <w:pPr>
        <w:jc w:val="both"/>
        <w:rPr>
          <w:rFonts w:ascii="Arial" w:eastAsia="Calibri" w:hAnsi="Arial" w:cs="Arial"/>
          <w:b/>
          <w:bCs/>
          <w:sz w:val="20"/>
          <w:szCs w:val="20"/>
        </w:rPr>
      </w:pPr>
    </w:p>
    <w:p w14:paraId="79F7DB6A" w14:textId="77777777" w:rsidR="00787B6E" w:rsidRDefault="00787B6E" w:rsidP="00787B6E">
      <w:pPr>
        <w:jc w:val="both"/>
        <w:rPr>
          <w:rFonts w:ascii="Arial" w:eastAsia="Calibri" w:hAnsi="Arial" w:cs="Arial"/>
          <w:b/>
          <w:bCs/>
          <w:sz w:val="20"/>
          <w:szCs w:val="20"/>
        </w:rPr>
      </w:pPr>
    </w:p>
    <w:p w14:paraId="34A96AE5" w14:textId="77777777" w:rsidR="00787B6E" w:rsidRDefault="00787B6E" w:rsidP="00787B6E">
      <w:pPr>
        <w:jc w:val="both"/>
        <w:rPr>
          <w:rFonts w:ascii="Arial" w:eastAsia="Calibri" w:hAnsi="Arial" w:cs="Arial"/>
          <w:b/>
          <w:bCs/>
          <w:sz w:val="20"/>
          <w:szCs w:val="20"/>
        </w:rPr>
      </w:pPr>
    </w:p>
    <w:p w14:paraId="6276908E" w14:textId="77777777" w:rsidR="00787B6E" w:rsidRDefault="00787B6E" w:rsidP="00787B6E">
      <w:pPr>
        <w:jc w:val="both"/>
        <w:rPr>
          <w:rFonts w:ascii="Arial" w:eastAsia="Calibri" w:hAnsi="Arial" w:cs="Arial"/>
          <w:b/>
          <w:bCs/>
          <w:sz w:val="20"/>
          <w:szCs w:val="20"/>
        </w:rPr>
      </w:pPr>
    </w:p>
    <w:p w14:paraId="79948EB8" w14:textId="77777777" w:rsidR="00787B6E" w:rsidRDefault="00787B6E" w:rsidP="00787B6E">
      <w:pPr>
        <w:jc w:val="both"/>
        <w:rPr>
          <w:rFonts w:ascii="Arial" w:eastAsia="Calibri" w:hAnsi="Arial" w:cs="Arial"/>
          <w:b/>
          <w:bCs/>
          <w:sz w:val="20"/>
          <w:szCs w:val="20"/>
        </w:rPr>
      </w:pPr>
    </w:p>
    <w:p w14:paraId="533421B4" w14:textId="77777777" w:rsidR="00787B6E" w:rsidRPr="006E5F8D" w:rsidRDefault="00787B6E" w:rsidP="00787B6E">
      <w:pPr>
        <w:jc w:val="right"/>
      </w:pPr>
      <w:r w:rsidRPr="006E5F8D">
        <w:lastRenderedPageBreak/>
        <w:fldChar w:fldCharType="begin"/>
      </w:r>
      <w:r w:rsidRPr="006E5F8D">
        <w:instrText xml:space="preserve"> INCLUDEPICTURE "/var/folders/tb/0fmk9b510f57pz5rwhv8lnpw0000gp/T/com.microsoft.Word/WebArchiveCopyPasteTempFiles/page1image28852640" \* MERGEFORMATINET </w:instrText>
      </w:r>
      <w:r w:rsidRPr="006E5F8D">
        <w:fldChar w:fldCharType="separate"/>
      </w:r>
      <w:r w:rsidRPr="006E5F8D">
        <w:rPr>
          <w:noProof/>
        </w:rPr>
        <w:drawing>
          <wp:inline distT="0" distB="0" distL="0" distR="0" wp14:anchorId="1FB832BD" wp14:editId="787F445D">
            <wp:extent cx="2401570" cy="605790"/>
            <wp:effectExtent l="0" t="0" r="0" b="3810"/>
            <wp:docPr id="4" name="Imagen 4" descr="page1image2885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8526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6E5F8D">
        <w:fldChar w:fldCharType="end"/>
      </w:r>
    </w:p>
    <w:p w14:paraId="11FDCFC9" w14:textId="77777777" w:rsidR="00787B6E" w:rsidRPr="00FE3EAA" w:rsidRDefault="00787B6E" w:rsidP="00787B6E">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5118F9E1" w14:textId="77777777" w:rsidR="00787B6E" w:rsidRDefault="00787B6E" w:rsidP="00787B6E">
      <w:pPr>
        <w:rPr>
          <w:rFonts w:ascii="Arial" w:eastAsia="Calibri" w:hAnsi="Arial" w:cs="Arial"/>
          <w:sz w:val="22"/>
          <w:szCs w:val="22"/>
          <w:lang w:val="es-ES"/>
        </w:rPr>
      </w:pPr>
    </w:p>
    <w:p w14:paraId="46371EDB" w14:textId="77777777" w:rsidR="00787B6E" w:rsidRDefault="00787B6E" w:rsidP="00787B6E">
      <w:pPr>
        <w:rPr>
          <w:rFonts w:ascii="Arial" w:eastAsia="Calibri" w:hAnsi="Arial" w:cs="Arial"/>
          <w:sz w:val="22"/>
          <w:szCs w:val="22"/>
          <w:lang w:val="es-ES"/>
        </w:rPr>
      </w:pPr>
    </w:p>
    <w:p w14:paraId="4BA78389" w14:textId="18A67AAF" w:rsidR="00787B6E" w:rsidRDefault="00787B6E" w:rsidP="00787B6E">
      <w:pPr>
        <w:rPr>
          <w:rFonts w:ascii="Arial" w:eastAsia="Calibri" w:hAnsi="Arial" w:cs="Arial"/>
          <w:sz w:val="22"/>
          <w:szCs w:val="22"/>
          <w:lang w:val="es-ES"/>
        </w:rPr>
      </w:pPr>
      <w:r>
        <w:rPr>
          <w:rFonts w:ascii="Arial" w:eastAsia="Calibri" w:hAnsi="Arial" w:cs="Arial"/>
          <w:sz w:val="22"/>
          <w:szCs w:val="22"/>
          <w:lang w:val="es-ES"/>
        </w:rPr>
        <w:t>Bogotá D.C.,</w:t>
      </w:r>
      <w:r w:rsidR="00D17B82">
        <w:rPr>
          <w:rFonts w:ascii="Arial" w:eastAsia="Calibri" w:hAnsi="Arial" w:cs="Arial"/>
          <w:sz w:val="22"/>
          <w:szCs w:val="22"/>
          <w:lang w:val="es-ES"/>
        </w:rPr>
        <w:t xml:space="preserve"> 24 de junio de 2022</w:t>
      </w:r>
    </w:p>
    <w:p w14:paraId="746DFFA6" w14:textId="77777777" w:rsidR="00787B6E" w:rsidRDefault="00787B6E" w:rsidP="00787B6E">
      <w:pPr>
        <w:rPr>
          <w:rFonts w:ascii="Arial" w:eastAsia="Calibri" w:hAnsi="Arial" w:cs="Arial"/>
          <w:sz w:val="22"/>
          <w:szCs w:val="22"/>
          <w:lang w:val="es-ES"/>
        </w:rPr>
      </w:pPr>
    </w:p>
    <w:p w14:paraId="3AF57E30" w14:textId="77777777" w:rsidR="00787B6E" w:rsidRDefault="00787B6E" w:rsidP="00787B6E">
      <w:pPr>
        <w:rPr>
          <w:rFonts w:ascii="Arial" w:eastAsia="Calibri" w:hAnsi="Arial" w:cs="Arial"/>
          <w:sz w:val="22"/>
          <w:szCs w:val="22"/>
          <w:lang w:val="es-ES"/>
        </w:rPr>
      </w:pPr>
    </w:p>
    <w:p w14:paraId="76F6CD14" w14:textId="77777777" w:rsidR="00787B6E" w:rsidRDefault="00787B6E" w:rsidP="00787B6E">
      <w:pPr>
        <w:rPr>
          <w:rFonts w:ascii="Arial" w:eastAsia="Calibri" w:hAnsi="Arial" w:cs="Arial"/>
          <w:sz w:val="22"/>
          <w:szCs w:val="22"/>
          <w:lang w:val="es-ES"/>
        </w:rPr>
      </w:pPr>
      <w:r w:rsidRPr="006244FD">
        <w:rPr>
          <w:rFonts w:ascii="Arial" w:eastAsia="Calibri" w:hAnsi="Arial" w:cs="Arial"/>
          <w:sz w:val="22"/>
          <w:szCs w:val="22"/>
          <w:lang w:val="es-ES"/>
        </w:rPr>
        <w:t>Señor</w:t>
      </w:r>
    </w:p>
    <w:p w14:paraId="752669B4" w14:textId="77777777" w:rsidR="00787B6E" w:rsidRDefault="00787B6E" w:rsidP="00787B6E">
      <w:pPr>
        <w:rPr>
          <w:rFonts w:ascii="Arial" w:eastAsia="Calibri" w:hAnsi="Arial" w:cs="Arial"/>
          <w:b/>
          <w:bCs/>
          <w:sz w:val="22"/>
          <w:szCs w:val="22"/>
          <w:lang w:val="es-ES"/>
        </w:rPr>
      </w:pPr>
      <w:r>
        <w:rPr>
          <w:rFonts w:ascii="Arial" w:eastAsia="Calibri" w:hAnsi="Arial" w:cs="Arial"/>
          <w:b/>
          <w:bCs/>
          <w:sz w:val="22"/>
          <w:szCs w:val="22"/>
          <w:lang w:val="es-ES"/>
        </w:rPr>
        <w:t xml:space="preserve">Carlos Armando Zapata Montoya </w:t>
      </w:r>
    </w:p>
    <w:p w14:paraId="5DB21EE4" w14:textId="77777777" w:rsidR="00787B6E" w:rsidRPr="0075474F" w:rsidRDefault="00787B6E" w:rsidP="00787B6E">
      <w:pPr>
        <w:rPr>
          <w:rFonts w:ascii="Arial" w:eastAsia="Calibri" w:hAnsi="Arial" w:cs="Arial"/>
          <w:sz w:val="22"/>
          <w:szCs w:val="22"/>
          <w:lang w:val="es-ES"/>
        </w:rPr>
      </w:pPr>
      <w:r>
        <w:rPr>
          <w:rFonts w:ascii="Arial" w:eastAsia="Calibri" w:hAnsi="Arial" w:cs="Arial"/>
          <w:sz w:val="22"/>
          <w:szCs w:val="22"/>
          <w:lang w:val="es-ES"/>
        </w:rPr>
        <w:t>Bogotá, D.C.</w:t>
      </w:r>
    </w:p>
    <w:p w14:paraId="1557FE73" w14:textId="77777777" w:rsidR="00787B6E" w:rsidRDefault="00787B6E" w:rsidP="00787B6E">
      <w:pPr>
        <w:rPr>
          <w:rFonts w:ascii="Arial" w:eastAsia="Calibri" w:hAnsi="Arial" w:cs="Arial"/>
          <w:b/>
          <w:sz w:val="22"/>
          <w:szCs w:val="22"/>
          <w:lang w:val="es-ES"/>
        </w:rPr>
      </w:pPr>
    </w:p>
    <w:p w14:paraId="6BC951A6" w14:textId="77777777" w:rsidR="00787B6E" w:rsidRPr="00F35189" w:rsidRDefault="00787B6E" w:rsidP="00787B6E">
      <w:pPr>
        <w:rPr>
          <w:rFonts w:ascii="Arial" w:eastAsia="Calibri" w:hAnsi="Arial" w:cs="Arial"/>
          <w:b/>
          <w:sz w:val="22"/>
          <w:szCs w:val="22"/>
          <w:lang w:val="es-ES"/>
        </w:rPr>
      </w:pPr>
      <w:r w:rsidRPr="00924DEF">
        <w:rPr>
          <w:rFonts w:ascii="Arial" w:eastAsia="Calibri" w:hAnsi="Arial" w:cs="Arial"/>
          <w:b/>
          <w:sz w:val="22"/>
          <w:szCs w:val="22"/>
          <w:lang w:val="es-ES"/>
        </w:rPr>
        <w:t xml:space="preserve">    </w:t>
      </w:r>
      <w:r w:rsidRPr="00F35189">
        <w:rPr>
          <w:rFonts w:ascii="Arial" w:eastAsia="Calibri" w:hAnsi="Arial" w:cs="Arial"/>
          <w:b/>
          <w:sz w:val="22"/>
          <w:szCs w:val="22"/>
          <w:lang w:val="es-ES"/>
        </w:rPr>
        <w:t xml:space="preserve">                                      Concepto C – </w:t>
      </w:r>
      <w:r>
        <w:rPr>
          <w:rFonts w:ascii="Arial" w:eastAsia="Calibri" w:hAnsi="Arial" w:cs="Arial"/>
          <w:b/>
          <w:sz w:val="22"/>
          <w:szCs w:val="22"/>
          <w:lang w:val="es-ES"/>
        </w:rPr>
        <w:t>413</w:t>
      </w:r>
      <w:r w:rsidRPr="00F35189">
        <w:rPr>
          <w:rFonts w:ascii="Arial" w:eastAsia="Calibri" w:hAnsi="Arial" w:cs="Arial"/>
          <w:b/>
          <w:sz w:val="22"/>
          <w:szCs w:val="22"/>
          <w:lang w:val="es-ES"/>
        </w:rPr>
        <w:t xml:space="preserve"> de 2022</w:t>
      </w:r>
    </w:p>
    <w:p w14:paraId="254E3F46" w14:textId="77777777" w:rsidR="00787B6E" w:rsidRPr="00F35189" w:rsidRDefault="00787B6E" w:rsidP="00787B6E">
      <w:pPr>
        <w:rPr>
          <w:rFonts w:ascii="Arial" w:eastAsia="Calibri" w:hAnsi="Arial" w:cs="Arial"/>
          <w:b/>
          <w:sz w:val="22"/>
          <w:szCs w:val="22"/>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095"/>
      </w:tblGrid>
      <w:tr w:rsidR="00787B6E" w:rsidRPr="002F6BE4" w14:paraId="29424965" w14:textId="77777777" w:rsidTr="00B53228">
        <w:trPr>
          <w:trHeight w:val="550"/>
        </w:trPr>
        <w:tc>
          <w:tcPr>
            <w:tcW w:w="2552" w:type="dxa"/>
          </w:tcPr>
          <w:p w14:paraId="45DE1E8C" w14:textId="77777777" w:rsidR="00787B6E" w:rsidRDefault="00787B6E" w:rsidP="00B53228">
            <w:pPr>
              <w:rPr>
                <w:rFonts w:ascii="Arial" w:eastAsia="Calibri" w:hAnsi="Arial" w:cs="Arial"/>
                <w:lang w:val="es-ES"/>
              </w:rPr>
            </w:pPr>
            <w:r w:rsidRPr="00F35189">
              <w:rPr>
                <w:rFonts w:ascii="Arial" w:eastAsia="Calibri" w:hAnsi="Arial" w:cs="Arial"/>
                <w:lang w:val="es-ES"/>
              </w:rPr>
              <w:t xml:space="preserve">         </w:t>
            </w:r>
          </w:p>
          <w:p w14:paraId="7546AA96" w14:textId="77777777" w:rsidR="00787B6E" w:rsidRPr="00F35189" w:rsidRDefault="00787B6E" w:rsidP="00B53228">
            <w:pPr>
              <w:rPr>
                <w:rFonts w:ascii="Arial" w:eastAsia="Calibri" w:hAnsi="Arial" w:cs="Arial"/>
                <w:lang w:val="es-ES"/>
              </w:rPr>
            </w:pPr>
            <w:r w:rsidRPr="00F35189">
              <w:rPr>
                <w:rFonts w:ascii="Arial" w:eastAsia="Calibri" w:hAnsi="Arial" w:cs="Arial"/>
                <w:b/>
                <w:lang w:val="es-ES"/>
              </w:rPr>
              <w:t>Temas:</w:t>
            </w:r>
            <w:r w:rsidRPr="00F35189">
              <w:rPr>
                <w:rFonts w:ascii="Arial" w:eastAsia="Calibri" w:hAnsi="Arial" w:cs="Arial"/>
                <w:lang w:val="es-ES"/>
              </w:rPr>
              <w:t xml:space="preserve">                       </w:t>
            </w:r>
          </w:p>
        </w:tc>
        <w:tc>
          <w:tcPr>
            <w:tcW w:w="6095" w:type="dxa"/>
          </w:tcPr>
          <w:p w14:paraId="330B3281" w14:textId="77777777" w:rsidR="00787B6E" w:rsidRPr="00173C0C" w:rsidRDefault="00787B6E" w:rsidP="00B53228">
            <w:pPr>
              <w:jc w:val="both"/>
              <w:rPr>
                <w:rFonts w:ascii="Arial" w:eastAsia="Calibri" w:hAnsi="Arial" w:cs="Arial"/>
                <w:b/>
                <w:bCs/>
              </w:rPr>
            </w:pPr>
          </w:p>
          <w:p w14:paraId="4F9D5C00" w14:textId="77777777" w:rsidR="00787B6E" w:rsidRPr="00173C0C" w:rsidRDefault="00787B6E" w:rsidP="00B53228">
            <w:pPr>
              <w:jc w:val="both"/>
              <w:rPr>
                <w:rFonts w:ascii="Arial" w:eastAsia="Calibri" w:hAnsi="Arial" w:cs="Arial"/>
                <w:lang w:val="es-ES_tradnl"/>
              </w:rPr>
            </w:pPr>
            <w:r w:rsidRPr="00173C0C">
              <w:rPr>
                <w:rFonts w:ascii="Arial" w:eastAsia="Calibri" w:hAnsi="Arial" w:cs="Arial"/>
                <w:lang w:val="es-ES_tradnl"/>
              </w:rPr>
              <w:t xml:space="preserve">COMPETENCIA CONSULTIVA DE LA AGENCIA – Definición – Noción / RÉGIMEN DE INHABILIDADES E INCOMPATIBILIDADES – Taxatividad / </w:t>
            </w:r>
            <w:r w:rsidRPr="00173C0C">
              <w:rPr>
                <w:rFonts w:ascii="Arial" w:eastAsia="Calibri" w:hAnsi="Arial" w:cs="Arial"/>
                <w:noProof/>
                <w:lang w:val="es-ES_tradnl"/>
              </w:rPr>
              <w:t>T</w:t>
            </w:r>
            <w:r w:rsidRPr="00173C0C">
              <w:rPr>
                <w:rFonts w:ascii="Arial" w:eastAsia="Calibri" w:hAnsi="Arial" w:cs="Arial"/>
                <w:noProof/>
              </w:rPr>
              <w:t xml:space="preserve">AXATIVIDAD E INALTERABILIDAD DE LAS CAUSALES DE RECHAZO – Pliegos tipo / </w:t>
            </w:r>
            <w:r w:rsidRPr="00173C0C">
              <w:rPr>
                <w:rFonts w:ascii="Arial" w:eastAsia="Calibri" w:hAnsi="Arial" w:cs="Arial"/>
                <w:lang w:val="es-ES_tradnl"/>
              </w:rPr>
              <w:t>Noción – CONFLICTO DE INTERESES – Régimen contractual</w:t>
            </w:r>
          </w:p>
          <w:p w14:paraId="62DF3D5F" w14:textId="77777777" w:rsidR="00787B6E" w:rsidRPr="00173C0C" w:rsidRDefault="00787B6E" w:rsidP="00B53228">
            <w:pPr>
              <w:jc w:val="both"/>
              <w:rPr>
                <w:rFonts w:ascii="Arial" w:eastAsia="Calibri" w:hAnsi="Arial" w:cs="Arial"/>
              </w:rPr>
            </w:pPr>
          </w:p>
        </w:tc>
      </w:tr>
      <w:tr w:rsidR="00787B6E" w:rsidRPr="00F35189" w14:paraId="775AD87D" w14:textId="77777777" w:rsidTr="00B53228">
        <w:tc>
          <w:tcPr>
            <w:tcW w:w="2552" w:type="dxa"/>
          </w:tcPr>
          <w:p w14:paraId="6F066009" w14:textId="77777777" w:rsidR="00787B6E" w:rsidRPr="00F35189" w:rsidRDefault="00787B6E" w:rsidP="00B53228">
            <w:pPr>
              <w:rPr>
                <w:rFonts w:ascii="Arial" w:eastAsia="Calibri" w:hAnsi="Arial" w:cs="Arial"/>
                <w:lang w:val="es-ES"/>
              </w:rPr>
            </w:pPr>
            <w:r w:rsidRPr="00F35189">
              <w:rPr>
                <w:rFonts w:ascii="Arial" w:eastAsia="Calibri" w:hAnsi="Arial" w:cs="Arial"/>
                <w:b/>
                <w:lang w:val="es-ES"/>
              </w:rPr>
              <w:t>Radicación:</w:t>
            </w:r>
            <w:r w:rsidRPr="00F35189">
              <w:rPr>
                <w:rFonts w:ascii="Arial" w:eastAsia="Calibri" w:hAnsi="Arial" w:cs="Arial"/>
                <w:lang w:val="es-ES"/>
              </w:rPr>
              <w:t xml:space="preserve">                              </w:t>
            </w:r>
          </w:p>
        </w:tc>
        <w:tc>
          <w:tcPr>
            <w:tcW w:w="6095" w:type="dxa"/>
          </w:tcPr>
          <w:p w14:paraId="629F29E3" w14:textId="77777777" w:rsidR="00787B6E" w:rsidRPr="00173C0C" w:rsidRDefault="00787B6E" w:rsidP="00B53228">
            <w:r w:rsidRPr="00173C0C">
              <w:rPr>
                <w:rFonts w:ascii="Arial" w:eastAsia="Calibri" w:hAnsi="Arial" w:cs="Arial"/>
                <w:lang w:val="es-ES"/>
              </w:rPr>
              <w:t xml:space="preserve">Respuesta a </w:t>
            </w:r>
            <w:r w:rsidRPr="00173C0C">
              <w:rPr>
                <w:rFonts w:ascii="Arial" w:eastAsia="Calibri" w:hAnsi="Arial" w:cs="Arial"/>
                <w:color w:val="000000" w:themeColor="text1"/>
                <w:lang w:val="es-ES"/>
              </w:rPr>
              <w:t xml:space="preserve">consulta </w:t>
            </w:r>
            <w:r w:rsidRPr="00173C0C">
              <w:rPr>
                <w:rFonts w:ascii="Arial" w:hAnsi="Arial" w:cs="Arial"/>
                <w:color w:val="000000" w:themeColor="text1"/>
                <w:shd w:val="clear" w:color="auto" w:fill="FFFFFF"/>
              </w:rPr>
              <w:t>P20220513004690</w:t>
            </w:r>
          </w:p>
          <w:p w14:paraId="0F16C39B" w14:textId="77777777" w:rsidR="00787B6E" w:rsidRPr="00173C0C" w:rsidRDefault="00787B6E" w:rsidP="00B53228">
            <w:pPr>
              <w:pStyle w:val="Sinespaciado"/>
              <w:jc w:val="both"/>
              <w:rPr>
                <w:rFonts w:ascii="Arial" w:hAnsi="Arial" w:cs="Arial"/>
              </w:rPr>
            </w:pPr>
          </w:p>
        </w:tc>
      </w:tr>
    </w:tbl>
    <w:p w14:paraId="733022AD" w14:textId="77777777" w:rsidR="00787B6E" w:rsidRPr="00924DEF" w:rsidRDefault="00787B6E" w:rsidP="00787B6E">
      <w:pPr>
        <w:spacing w:line="276" w:lineRule="auto"/>
        <w:rPr>
          <w:rFonts w:ascii="Arial" w:eastAsia="Calibri" w:hAnsi="Arial" w:cs="Arial"/>
          <w:sz w:val="22"/>
          <w:szCs w:val="22"/>
          <w:lang w:val="es-ES"/>
        </w:rPr>
      </w:pPr>
    </w:p>
    <w:p w14:paraId="18AF3D03" w14:textId="77777777" w:rsidR="00787B6E" w:rsidRPr="00924DEF" w:rsidRDefault="00787B6E" w:rsidP="00787B6E">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w:t>
      </w:r>
      <w:r>
        <w:rPr>
          <w:rFonts w:ascii="Arial" w:eastAsia="Calibri" w:hAnsi="Arial" w:cs="Arial"/>
          <w:sz w:val="22"/>
          <w:szCs w:val="22"/>
          <w:lang w:val="es-ES"/>
        </w:rPr>
        <w:t>o señor Zapata:</w:t>
      </w:r>
      <w:r w:rsidRPr="00924DEF">
        <w:rPr>
          <w:rFonts w:ascii="Arial" w:eastAsia="Calibri" w:hAnsi="Arial" w:cs="Arial"/>
          <w:sz w:val="22"/>
          <w:szCs w:val="22"/>
          <w:lang w:val="es-ES"/>
        </w:rPr>
        <w:tab/>
      </w:r>
    </w:p>
    <w:p w14:paraId="15C460CD" w14:textId="77777777" w:rsidR="00787B6E" w:rsidRPr="00924DEF" w:rsidRDefault="00787B6E" w:rsidP="00787B6E">
      <w:pPr>
        <w:spacing w:line="276" w:lineRule="auto"/>
        <w:rPr>
          <w:rFonts w:ascii="Arial" w:eastAsia="Calibri" w:hAnsi="Arial" w:cs="Arial"/>
          <w:sz w:val="22"/>
          <w:szCs w:val="22"/>
          <w:lang w:val="es-ES"/>
        </w:rPr>
      </w:pPr>
    </w:p>
    <w:p w14:paraId="29C2619B" w14:textId="77777777" w:rsidR="00787B6E" w:rsidRPr="00924DEF" w:rsidRDefault="00787B6E" w:rsidP="00787B6E">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Pr>
          <w:rFonts w:ascii="Arial" w:eastAsia="Calibri" w:hAnsi="Arial" w:cs="Arial"/>
          <w:sz w:val="22"/>
          <w:szCs w:val="22"/>
          <w:lang w:val="es-ES"/>
        </w:rPr>
        <w:t>13 de mayo de 2022.</w:t>
      </w:r>
    </w:p>
    <w:p w14:paraId="21273594" w14:textId="77777777" w:rsidR="00787B6E" w:rsidRPr="00924DEF" w:rsidRDefault="00787B6E" w:rsidP="00787B6E">
      <w:pPr>
        <w:pStyle w:val="Prrafodelista"/>
        <w:spacing w:line="276" w:lineRule="auto"/>
        <w:ind w:left="0"/>
        <w:rPr>
          <w:rFonts w:ascii="Arial" w:eastAsia="Calibri" w:hAnsi="Arial" w:cs="Arial"/>
          <w:sz w:val="22"/>
          <w:lang w:val="es-ES"/>
        </w:rPr>
      </w:pPr>
    </w:p>
    <w:p w14:paraId="783F2011" w14:textId="77777777" w:rsidR="00787B6E" w:rsidRPr="00924DEF" w:rsidRDefault="00787B6E" w:rsidP="00787B6E">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28BE19F3" w14:textId="77777777" w:rsidR="00787B6E" w:rsidRPr="00924DEF" w:rsidRDefault="00787B6E" w:rsidP="00787B6E">
      <w:pPr>
        <w:rPr>
          <w:rFonts w:ascii="Arial" w:eastAsia="Calibri" w:hAnsi="Arial" w:cs="Arial"/>
          <w:sz w:val="22"/>
          <w:szCs w:val="22"/>
          <w:lang w:val="es-ES"/>
        </w:rPr>
      </w:pPr>
    </w:p>
    <w:p w14:paraId="1FF636CD" w14:textId="77777777" w:rsidR="00787B6E" w:rsidRDefault="00787B6E" w:rsidP="00787B6E">
      <w:pPr>
        <w:pStyle w:val="Sinespaciado"/>
        <w:jc w:val="both"/>
        <w:rPr>
          <w:rFonts w:ascii="Arial" w:eastAsia="Calibri" w:hAnsi="Arial" w:cs="Arial"/>
          <w:sz w:val="22"/>
          <w:lang w:val="es-ES"/>
        </w:rPr>
      </w:pPr>
      <w:r w:rsidRPr="00FE3EAA">
        <w:rPr>
          <w:rFonts w:ascii="Arial" w:eastAsia="Calibri" w:hAnsi="Arial" w:cs="Arial"/>
          <w:sz w:val="22"/>
          <w:lang w:val="es-ES"/>
        </w:rPr>
        <w:t>Usted realiza la</w:t>
      </w:r>
      <w:r>
        <w:rPr>
          <w:rFonts w:ascii="Arial" w:eastAsia="Calibri" w:hAnsi="Arial" w:cs="Arial"/>
          <w:sz w:val="22"/>
          <w:lang w:val="es-ES"/>
        </w:rPr>
        <w:t>s</w:t>
      </w:r>
      <w:r w:rsidRPr="00FE3EAA">
        <w:rPr>
          <w:rFonts w:ascii="Arial" w:eastAsia="Calibri" w:hAnsi="Arial" w:cs="Arial"/>
          <w:sz w:val="22"/>
          <w:lang w:val="es-ES"/>
        </w:rPr>
        <w:t xml:space="preserve"> siguiente</w:t>
      </w:r>
      <w:r>
        <w:rPr>
          <w:rFonts w:ascii="Arial" w:eastAsia="Calibri" w:hAnsi="Arial" w:cs="Arial"/>
          <w:sz w:val="22"/>
          <w:lang w:val="es-ES"/>
        </w:rPr>
        <w:t>s</w:t>
      </w:r>
      <w:r w:rsidRPr="00FE3EAA">
        <w:rPr>
          <w:rFonts w:ascii="Arial" w:eastAsia="Calibri" w:hAnsi="Arial" w:cs="Arial"/>
          <w:sz w:val="22"/>
          <w:lang w:val="es-ES"/>
        </w:rPr>
        <w:t xml:space="preserve"> pregunta</w:t>
      </w:r>
      <w:r>
        <w:rPr>
          <w:rFonts w:ascii="Arial" w:eastAsia="Calibri" w:hAnsi="Arial" w:cs="Arial"/>
          <w:sz w:val="22"/>
          <w:lang w:val="es-ES"/>
        </w:rPr>
        <w:t>s</w:t>
      </w:r>
      <w:r w:rsidRPr="00FE3EAA">
        <w:rPr>
          <w:rFonts w:ascii="Arial" w:eastAsia="Calibri" w:hAnsi="Arial" w:cs="Arial"/>
          <w:sz w:val="22"/>
          <w:lang w:val="es-ES"/>
        </w:rPr>
        <w:t xml:space="preserve">: </w:t>
      </w:r>
    </w:p>
    <w:p w14:paraId="43A120CD" w14:textId="77777777" w:rsidR="00787B6E" w:rsidRDefault="00787B6E" w:rsidP="00787B6E">
      <w:pPr>
        <w:pStyle w:val="Sinespaciado"/>
        <w:jc w:val="both"/>
        <w:rPr>
          <w:rFonts w:ascii="Arial" w:eastAsia="Calibri" w:hAnsi="Arial" w:cs="Arial"/>
          <w:sz w:val="22"/>
          <w:lang w:val="es-ES"/>
        </w:rPr>
      </w:pPr>
    </w:p>
    <w:p w14:paraId="17743982" w14:textId="77777777" w:rsidR="00787B6E" w:rsidRPr="00414441" w:rsidRDefault="00787B6E" w:rsidP="00787B6E">
      <w:pPr>
        <w:pStyle w:val="Sinespaciado"/>
        <w:ind w:left="708"/>
        <w:jc w:val="both"/>
        <w:rPr>
          <w:rFonts w:ascii="Arial" w:hAnsi="Arial" w:cs="Arial"/>
          <w:sz w:val="21"/>
          <w:szCs w:val="21"/>
          <w:lang w:eastAsia="es-MX"/>
        </w:rPr>
      </w:pPr>
      <w:r w:rsidRPr="002E40EF">
        <w:rPr>
          <w:rFonts w:ascii="Arial" w:hAnsi="Arial" w:cs="Arial"/>
          <w:sz w:val="21"/>
          <w:szCs w:val="21"/>
        </w:rPr>
        <w:t xml:space="preserve">«[…] </w:t>
      </w:r>
      <w:r w:rsidRPr="004D3DFE">
        <w:rPr>
          <w:rFonts w:ascii="Arial" w:hAnsi="Arial" w:cs="Arial"/>
          <w:sz w:val="21"/>
          <w:szCs w:val="21"/>
        </w:rPr>
        <w:t>«</w:t>
      </w:r>
      <w:r w:rsidRPr="00414441">
        <w:rPr>
          <w:rFonts w:ascii="Arial" w:hAnsi="Arial" w:cs="Arial"/>
          <w:sz w:val="21"/>
          <w:szCs w:val="21"/>
          <w:lang w:eastAsia="es-MX"/>
        </w:rPr>
        <w:t xml:space="preserve">1. En el caso de dos sociedades, en que la “Sociedad A” posee una participación accionaria del 20% en la “Sociedad B”, sin que exista otra vinculación empresarial entre ellas, ni se configura ninguna de las hipótesis constitutivas de una situación de control ni una situación de grupo empresarial, ¿se presenta alguna inhabilidad, incompatibilidad, conflicto de interés, causal de rechazo o existe alguna prohibición o restricción para que ambas sociedades participen en un mismo proceso de licitación de obra pública de infraestructura de transporte, presentando cada una su propia oferta, bien sea como proponentes singulares o integrando cada una diferentes estructuras plurales? </w:t>
      </w:r>
    </w:p>
    <w:p w14:paraId="60CEEC51" w14:textId="77777777" w:rsidR="00787B6E" w:rsidRPr="00414441" w:rsidRDefault="00787B6E" w:rsidP="00787B6E">
      <w:pPr>
        <w:pStyle w:val="Sinespaciado"/>
        <w:ind w:left="708"/>
        <w:jc w:val="both"/>
        <w:rPr>
          <w:rFonts w:ascii="Arial" w:hAnsi="Arial" w:cs="Arial"/>
          <w:sz w:val="21"/>
          <w:szCs w:val="21"/>
          <w:lang w:eastAsia="es-MX"/>
        </w:rPr>
      </w:pPr>
      <w:r w:rsidRPr="00414441">
        <w:rPr>
          <w:rFonts w:ascii="Arial" w:hAnsi="Arial" w:cs="Arial"/>
          <w:sz w:val="21"/>
          <w:szCs w:val="21"/>
          <w:lang w:eastAsia="es-MX"/>
        </w:rPr>
        <w:lastRenderedPageBreak/>
        <w:t xml:space="preserve">En esta misma hipótesis y sin que existan acuerdos o prácticas de ningún tipo entre estas sociedades para alterar ilícitamente el procedimiento contractual, ¿se configura una práctica anticompetitiva o un acuerdo colusorio por el solo hecho de que la “Sociedad A” posea una participación accionaria del 20% en la “Sociedad B”? </w:t>
      </w:r>
    </w:p>
    <w:p w14:paraId="7D4CD330" w14:textId="77777777" w:rsidR="00787B6E" w:rsidRDefault="00787B6E" w:rsidP="00787B6E">
      <w:pPr>
        <w:pStyle w:val="Sinespaciado"/>
        <w:ind w:left="708"/>
        <w:jc w:val="both"/>
        <w:rPr>
          <w:rFonts w:ascii="Arial" w:hAnsi="Arial" w:cs="Arial"/>
          <w:sz w:val="21"/>
          <w:szCs w:val="21"/>
          <w:lang w:eastAsia="es-MX"/>
        </w:rPr>
      </w:pPr>
    </w:p>
    <w:p w14:paraId="074ECAA2" w14:textId="77777777" w:rsidR="00787B6E" w:rsidRPr="00414441" w:rsidRDefault="00787B6E" w:rsidP="00787B6E">
      <w:pPr>
        <w:pStyle w:val="Sinespaciado"/>
        <w:ind w:left="708"/>
        <w:jc w:val="both"/>
        <w:rPr>
          <w:rFonts w:ascii="Arial" w:hAnsi="Arial" w:cs="Arial"/>
          <w:sz w:val="21"/>
          <w:szCs w:val="21"/>
          <w:lang w:eastAsia="es-MX"/>
        </w:rPr>
      </w:pPr>
      <w:r>
        <w:rPr>
          <w:rFonts w:ascii="Arial" w:hAnsi="Arial" w:cs="Arial"/>
          <w:sz w:val="21"/>
          <w:szCs w:val="21"/>
          <w:lang w:eastAsia="es-MX"/>
        </w:rPr>
        <w:t xml:space="preserve">2. </w:t>
      </w:r>
      <w:r w:rsidRPr="00414441">
        <w:rPr>
          <w:rFonts w:ascii="Arial" w:hAnsi="Arial" w:cs="Arial"/>
          <w:sz w:val="21"/>
          <w:szCs w:val="21"/>
          <w:lang w:eastAsia="es-MX"/>
        </w:rPr>
        <w:t xml:space="preserve">En el caso de dos sociedades en las que sí se configura una situación de control o una situación de grupo empresarial entre ellas, ¿se presenta alguna inhabilidad, incompatibilidad, conflicto de interés, causal de rechazo o existe alguna prohibición o restricción para que ambas sociedades participen en un mismo proceso de licitación de obra pública de infraestructura de transporte, presentando cada una su propia oferta, bien sea como proponentes singulares o integrando cada una diferentes estructuras plurales? </w:t>
      </w:r>
    </w:p>
    <w:p w14:paraId="74C0556E" w14:textId="77777777" w:rsidR="00787B6E" w:rsidRPr="00414441" w:rsidRDefault="00787B6E" w:rsidP="00787B6E">
      <w:pPr>
        <w:pStyle w:val="Sinespaciado"/>
        <w:ind w:left="708"/>
        <w:jc w:val="both"/>
        <w:rPr>
          <w:rFonts w:ascii="Arial" w:hAnsi="Arial" w:cs="Arial"/>
          <w:sz w:val="21"/>
          <w:szCs w:val="21"/>
          <w:lang w:eastAsia="es-MX"/>
        </w:rPr>
      </w:pPr>
      <w:r w:rsidRPr="00414441">
        <w:rPr>
          <w:rFonts w:ascii="Arial" w:hAnsi="Arial" w:cs="Arial"/>
          <w:sz w:val="21"/>
          <w:szCs w:val="21"/>
          <w:lang w:eastAsia="es-MX"/>
        </w:rPr>
        <w:t xml:space="preserve">En esta misma hipótesis y sin que existan acuerdos o prácticas de ningún tipo entre estas sociedades para alterar ilícitamente el procedimiento contractual, ¿se configura una práctica anticompetitiva o un acuerdo colusorio por el solo hecho de que entre estas sociedades se configure una situación de control o una situación de grupo empresarial? </w:t>
      </w:r>
    </w:p>
    <w:p w14:paraId="119A6017" w14:textId="77777777" w:rsidR="00787B6E" w:rsidRDefault="00787B6E" w:rsidP="00787B6E">
      <w:pPr>
        <w:pStyle w:val="Sinespaciado"/>
        <w:ind w:left="708"/>
        <w:jc w:val="both"/>
        <w:rPr>
          <w:rFonts w:ascii="Arial" w:hAnsi="Arial" w:cs="Arial"/>
          <w:sz w:val="21"/>
          <w:szCs w:val="21"/>
          <w:lang w:eastAsia="es-MX"/>
        </w:rPr>
      </w:pPr>
    </w:p>
    <w:p w14:paraId="6A650109" w14:textId="77777777" w:rsidR="00787B6E" w:rsidRPr="00414441" w:rsidRDefault="00787B6E" w:rsidP="00787B6E">
      <w:pPr>
        <w:pStyle w:val="Sinespaciado"/>
        <w:ind w:left="708"/>
        <w:jc w:val="both"/>
        <w:rPr>
          <w:rFonts w:ascii="Arial" w:hAnsi="Arial" w:cs="Arial"/>
          <w:sz w:val="21"/>
          <w:szCs w:val="21"/>
          <w:lang w:eastAsia="es-MX"/>
        </w:rPr>
      </w:pPr>
      <w:r>
        <w:rPr>
          <w:rFonts w:ascii="Arial" w:hAnsi="Arial" w:cs="Arial"/>
          <w:sz w:val="21"/>
          <w:szCs w:val="21"/>
          <w:lang w:eastAsia="es-MX"/>
        </w:rPr>
        <w:t xml:space="preserve">3. </w:t>
      </w:r>
      <w:r w:rsidRPr="00414441">
        <w:rPr>
          <w:rFonts w:ascii="Arial" w:hAnsi="Arial" w:cs="Arial"/>
          <w:sz w:val="21"/>
          <w:szCs w:val="21"/>
          <w:lang w:eastAsia="es-MX"/>
        </w:rPr>
        <w:t xml:space="preserve">A efectos de la causal de rechazo establecida en el literal B del numeral 1.15 del documento base para procesos de selección de licitación de obra pública de infraestructura de transporte (documentos tipo versión 3), ¿puede entenderse que la expresión “una misma persona” se hace extensiva a los casos en que una sociedad tenga participación accionaria en otra sociedad en cualquier porcentaje (20% por ejemplo), y/o a los casos en que se presentan situaciones de control o situaciones de grupo empresarial? Solicitamos aclarar lo anterior en el marco de lo previsto en el artículo 98 del Código de Comercio y demás normatividad aplicable. </w:t>
      </w:r>
    </w:p>
    <w:p w14:paraId="3FE59654" w14:textId="77777777" w:rsidR="00787B6E" w:rsidRDefault="00787B6E" w:rsidP="00787B6E">
      <w:pPr>
        <w:pStyle w:val="Sinespaciado"/>
        <w:ind w:left="708"/>
        <w:jc w:val="both"/>
        <w:rPr>
          <w:rFonts w:ascii="Arial" w:hAnsi="Arial" w:cs="Arial"/>
          <w:sz w:val="21"/>
          <w:szCs w:val="21"/>
          <w:lang w:eastAsia="es-MX"/>
        </w:rPr>
      </w:pPr>
    </w:p>
    <w:p w14:paraId="65C4E91C" w14:textId="77777777" w:rsidR="00787B6E" w:rsidRPr="00414441" w:rsidRDefault="00787B6E" w:rsidP="00787B6E">
      <w:pPr>
        <w:pStyle w:val="Sinespaciado"/>
        <w:ind w:left="708"/>
        <w:jc w:val="both"/>
        <w:rPr>
          <w:rFonts w:ascii="Arial" w:hAnsi="Arial" w:cs="Arial"/>
          <w:sz w:val="21"/>
          <w:szCs w:val="21"/>
          <w:lang w:eastAsia="es-MX"/>
        </w:rPr>
      </w:pPr>
      <w:r>
        <w:rPr>
          <w:rFonts w:ascii="Arial" w:hAnsi="Arial" w:cs="Arial"/>
          <w:sz w:val="21"/>
          <w:szCs w:val="21"/>
          <w:lang w:eastAsia="es-MX"/>
        </w:rPr>
        <w:t xml:space="preserve">4. </w:t>
      </w:r>
      <w:r w:rsidRPr="00414441">
        <w:rPr>
          <w:rFonts w:ascii="Arial" w:hAnsi="Arial" w:cs="Arial"/>
          <w:sz w:val="21"/>
          <w:szCs w:val="21"/>
          <w:lang w:eastAsia="es-MX"/>
        </w:rPr>
        <w:t>De conformidad con lo dispuesto en el numeral “3.5 EXPERIENCIA” del documento base para procesos de selección de licitación de obra pública de infraestructura de transporte (documentos tipo versión 3) y teniendo como antecedente los conceptos C-222 de 2020 y C-327 de 2020 de la ANCP CCE, ¿cuál es la regla general frente a la posibilidad de que una sociedad acredite experiencia que no ha obtenido por sí misma, sino la experiencia de su matriz, subsidiarias o integrantes del mismo grupo empresarial?.</w:t>
      </w:r>
    </w:p>
    <w:p w14:paraId="4E2FB3C8" w14:textId="77777777" w:rsidR="00787B6E" w:rsidRPr="00414441" w:rsidRDefault="00787B6E" w:rsidP="00787B6E">
      <w:pPr>
        <w:pStyle w:val="Sinespaciado"/>
        <w:ind w:left="708"/>
        <w:jc w:val="both"/>
        <w:rPr>
          <w:rFonts w:ascii="Arial" w:hAnsi="Arial" w:cs="Arial"/>
          <w:sz w:val="21"/>
          <w:szCs w:val="21"/>
          <w:lang w:eastAsia="es-MX"/>
        </w:rPr>
      </w:pPr>
    </w:p>
    <w:p w14:paraId="1710ECFB" w14:textId="77777777" w:rsidR="00787B6E" w:rsidRPr="00414441" w:rsidRDefault="00787B6E" w:rsidP="00787B6E">
      <w:pPr>
        <w:pStyle w:val="Sinespaciado"/>
        <w:ind w:left="708"/>
        <w:jc w:val="both"/>
        <w:rPr>
          <w:rFonts w:ascii="Arial" w:hAnsi="Arial" w:cs="Arial"/>
          <w:sz w:val="21"/>
          <w:szCs w:val="21"/>
          <w:lang w:eastAsia="es-MX"/>
        </w:rPr>
      </w:pPr>
      <w:r>
        <w:rPr>
          <w:rFonts w:ascii="Arial" w:hAnsi="Arial" w:cs="Arial"/>
          <w:sz w:val="21"/>
          <w:szCs w:val="21"/>
          <w:lang w:eastAsia="es-MX"/>
        </w:rPr>
        <w:t xml:space="preserve">5. </w:t>
      </w:r>
      <w:r w:rsidRPr="00414441">
        <w:rPr>
          <w:rFonts w:ascii="Arial" w:hAnsi="Arial" w:cs="Arial"/>
          <w:sz w:val="21"/>
          <w:szCs w:val="21"/>
          <w:lang w:eastAsia="es-MX"/>
        </w:rPr>
        <w:t xml:space="preserve">¿Cuál sería la excepción para que, en una licitación de obra pública de infraestructura de transporte, una sociedad acredite válidamente experiencia que no ha obtenido por sí misma, sino la experiencia de su matriz, subsidiarias o integrantes del mismo grupo empresarial? </w:t>
      </w:r>
    </w:p>
    <w:p w14:paraId="7F600D2E" w14:textId="77777777" w:rsidR="00787B6E" w:rsidRDefault="00787B6E" w:rsidP="00787B6E">
      <w:pPr>
        <w:pStyle w:val="Sinespaciado"/>
        <w:ind w:left="708"/>
        <w:jc w:val="both"/>
        <w:rPr>
          <w:rFonts w:ascii="Arial" w:hAnsi="Arial" w:cs="Arial"/>
          <w:sz w:val="21"/>
          <w:szCs w:val="21"/>
          <w:lang w:eastAsia="es-MX"/>
        </w:rPr>
      </w:pPr>
    </w:p>
    <w:p w14:paraId="22E6A02A" w14:textId="77777777" w:rsidR="00787B6E" w:rsidRPr="00B77E73" w:rsidRDefault="00787B6E" w:rsidP="00787B6E">
      <w:pPr>
        <w:pStyle w:val="Sinespaciado"/>
        <w:ind w:left="708"/>
        <w:jc w:val="both"/>
        <w:rPr>
          <w:rFonts w:ascii="Arial" w:hAnsi="Arial" w:cs="Arial"/>
          <w:sz w:val="21"/>
          <w:szCs w:val="21"/>
          <w:lang w:eastAsia="es-MX"/>
        </w:rPr>
      </w:pPr>
      <w:r>
        <w:rPr>
          <w:rFonts w:ascii="Arial" w:hAnsi="Arial" w:cs="Arial"/>
          <w:sz w:val="21"/>
          <w:szCs w:val="21"/>
          <w:lang w:eastAsia="es-MX"/>
        </w:rPr>
        <w:t xml:space="preserve">6. </w:t>
      </w:r>
      <w:r w:rsidRPr="00414441">
        <w:rPr>
          <w:rFonts w:ascii="Arial" w:hAnsi="Arial" w:cs="Arial"/>
          <w:sz w:val="21"/>
          <w:szCs w:val="21"/>
          <w:lang w:eastAsia="es-MX"/>
        </w:rPr>
        <w:t>¿Qué criterios debe tener en cuenta una entidad contratante para concluir que, en determinado proceso de selección de licitación de obra pública de infraestructura de transporte y a la luz del estudio del sector, “es necesario que el proponente acredite la experiencia de su matriz subsidiarias o integrantes del mismo grupo empresarial</w:t>
      </w:r>
      <w:r>
        <w:rPr>
          <w:rFonts w:ascii="Arial" w:hAnsi="Arial" w:cs="Arial"/>
          <w:sz w:val="21"/>
          <w:szCs w:val="21"/>
          <w:lang w:eastAsia="es-MX"/>
        </w:rPr>
        <w:t>?</w:t>
      </w:r>
      <w:r w:rsidRPr="002E40EF">
        <w:rPr>
          <w:rFonts w:ascii="Arial" w:hAnsi="Arial" w:cs="Arial"/>
          <w:sz w:val="21"/>
          <w:szCs w:val="21"/>
        </w:rPr>
        <w:t>»</w:t>
      </w:r>
      <w:r>
        <w:rPr>
          <w:rFonts w:ascii="Arial" w:hAnsi="Arial" w:cs="Arial"/>
          <w:sz w:val="21"/>
          <w:szCs w:val="21"/>
        </w:rPr>
        <w:t>.</w:t>
      </w:r>
    </w:p>
    <w:p w14:paraId="049B27E1" w14:textId="77777777" w:rsidR="00787B6E" w:rsidRDefault="00787B6E" w:rsidP="00787B6E">
      <w:pPr>
        <w:spacing w:line="276" w:lineRule="auto"/>
        <w:jc w:val="both"/>
        <w:rPr>
          <w:rFonts w:ascii="Arial" w:hAnsi="Arial" w:cs="Arial"/>
          <w:color w:val="000000"/>
          <w:sz w:val="22"/>
          <w:szCs w:val="22"/>
        </w:rPr>
      </w:pPr>
      <w:r w:rsidRPr="00FE3EAA">
        <w:rPr>
          <w:rFonts w:ascii="Arial" w:hAnsi="Arial" w:cs="Arial"/>
          <w:color w:val="000000"/>
          <w:sz w:val="22"/>
          <w:szCs w:val="22"/>
        </w:rPr>
        <w:t xml:space="preserve"> </w:t>
      </w:r>
    </w:p>
    <w:p w14:paraId="4F559431" w14:textId="77777777" w:rsidR="00787B6E" w:rsidRDefault="00787B6E" w:rsidP="00787B6E">
      <w:pPr>
        <w:spacing w:line="276" w:lineRule="auto"/>
        <w:jc w:val="both"/>
        <w:rPr>
          <w:rFonts w:ascii="Arial" w:hAnsi="Arial" w:cs="Arial"/>
          <w:color w:val="000000"/>
          <w:sz w:val="22"/>
          <w:szCs w:val="22"/>
        </w:rPr>
      </w:pPr>
    </w:p>
    <w:p w14:paraId="2122F125" w14:textId="77777777" w:rsidR="00787B6E" w:rsidRDefault="00787B6E" w:rsidP="00787B6E">
      <w:pPr>
        <w:spacing w:line="276" w:lineRule="auto"/>
        <w:jc w:val="both"/>
        <w:rPr>
          <w:rFonts w:ascii="Arial" w:hAnsi="Arial" w:cs="Arial"/>
          <w:color w:val="000000"/>
          <w:sz w:val="22"/>
          <w:szCs w:val="22"/>
        </w:rPr>
      </w:pPr>
    </w:p>
    <w:p w14:paraId="5489EE02" w14:textId="77777777" w:rsidR="00787B6E" w:rsidRPr="0075474F" w:rsidRDefault="00787B6E" w:rsidP="00787B6E">
      <w:pPr>
        <w:spacing w:line="276" w:lineRule="auto"/>
        <w:jc w:val="both"/>
        <w:rPr>
          <w:rFonts w:ascii="Arial" w:hAnsi="Arial" w:cs="Arial"/>
          <w:sz w:val="22"/>
          <w:szCs w:val="22"/>
        </w:rPr>
      </w:pPr>
    </w:p>
    <w:p w14:paraId="4A7CAD33" w14:textId="77777777" w:rsidR="00787B6E" w:rsidRDefault="00787B6E" w:rsidP="00787B6E">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lastRenderedPageBreak/>
        <w:t>2. Consideraciones</w:t>
      </w:r>
    </w:p>
    <w:p w14:paraId="2C0D5BA4" w14:textId="77777777" w:rsidR="00787B6E" w:rsidRDefault="00787B6E" w:rsidP="00787B6E">
      <w:pPr>
        <w:rPr>
          <w:rFonts w:ascii="Arial" w:hAnsi="Arial" w:cs="Arial"/>
          <w:bCs/>
          <w:sz w:val="22"/>
        </w:rPr>
      </w:pPr>
    </w:p>
    <w:p w14:paraId="17815B74" w14:textId="77777777" w:rsidR="00787B6E" w:rsidRPr="00C1373A" w:rsidRDefault="00787B6E" w:rsidP="00787B6E">
      <w:pPr>
        <w:spacing w:after="120" w:line="276" w:lineRule="auto"/>
        <w:jc w:val="both"/>
        <w:rPr>
          <w:rFonts w:ascii="Arial" w:eastAsia="Calibri" w:hAnsi="Arial" w:cs="Arial"/>
          <w:sz w:val="22"/>
          <w:szCs w:val="22"/>
          <w:lang w:val="es-ES_tradnl" w:eastAsia="es-ES_tradnl"/>
        </w:rPr>
      </w:pPr>
      <w:r w:rsidRPr="00C1373A">
        <w:rPr>
          <w:rFonts w:ascii="Arial" w:eastAsia="Calibri" w:hAnsi="Arial" w:cs="Arial"/>
          <w:sz w:val="22"/>
          <w:szCs w:val="22"/>
          <w:lang w:val="es-ES_tradnl"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589E1F72" w14:textId="77777777" w:rsidR="00787B6E" w:rsidRPr="00C1373A" w:rsidRDefault="00787B6E" w:rsidP="00787B6E">
      <w:pPr>
        <w:tabs>
          <w:tab w:val="left" w:pos="426"/>
        </w:tabs>
        <w:spacing w:after="120" w:line="276" w:lineRule="auto"/>
        <w:jc w:val="both"/>
        <w:rPr>
          <w:rFonts w:ascii="Arial" w:eastAsia="Calibri" w:hAnsi="Arial" w:cs="Arial"/>
          <w:bCs/>
          <w:sz w:val="22"/>
          <w:szCs w:val="22"/>
        </w:rPr>
      </w:pPr>
      <w:r w:rsidRPr="00C1373A">
        <w:rPr>
          <w:rFonts w:ascii="Arial" w:eastAsia="Calibri" w:hAnsi="Arial" w:cs="Arial"/>
          <w:sz w:val="22"/>
          <w:szCs w:val="22"/>
          <w:lang w:val="es-ES_tradnl" w:eastAsia="es-ES_tradnl"/>
        </w:rPr>
        <w:tab/>
      </w:r>
      <w:r w:rsidRPr="00C1373A">
        <w:rPr>
          <w:rFonts w:ascii="Arial" w:eastAsia="Calibri" w:hAnsi="Arial" w:cs="Arial"/>
          <w:sz w:val="22"/>
          <w:szCs w:val="22"/>
          <w:lang w:val="es-ES_tradnl" w:eastAsia="es-ES_tradnl"/>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C1373A">
        <w:rPr>
          <w:rFonts w:ascii="Arial" w:eastAsia="Calibri" w:hAnsi="Arial" w:cs="Arial"/>
          <w:bCs/>
          <w:sz w:val="22"/>
          <w:szCs w:val="22"/>
        </w:rPr>
        <w:t>que adelanta el procedimiento de selección y, en caso de conflicto, a las autoridades judiciales, fiscales y disciplinarias.</w:t>
      </w:r>
    </w:p>
    <w:p w14:paraId="45293BFE" w14:textId="77777777" w:rsidR="00787B6E" w:rsidRPr="004332CF" w:rsidRDefault="00787B6E" w:rsidP="00787B6E">
      <w:pPr>
        <w:spacing w:line="276" w:lineRule="auto"/>
        <w:jc w:val="both"/>
        <w:rPr>
          <w:rFonts w:ascii="Arial" w:eastAsia="Calibri" w:hAnsi="Arial" w:cs="Arial"/>
          <w:color w:val="000000" w:themeColor="text1"/>
          <w:sz w:val="22"/>
        </w:rPr>
      </w:pPr>
      <w:r w:rsidRPr="00C1373A">
        <w:rPr>
          <w:rFonts w:ascii="Arial" w:eastAsia="Calibri" w:hAnsi="Arial" w:cs="Arial"/>
          <w:bCs/>
          <w:sz w:val="22"/>
          <w:szCs w:val="22"/>
        </w:rPr>
        <w:tab/>
        <w:t>Por</w:t>
      </w:r>
      <w:r w:rsidRPr="00C1373A">
        <w:rPr>
          <w:rFonts w:ascii="Arial" w:eastAsia="Calibri" w:hAnsi="Arial" w:cs="Arial"/>
          <w:color w:val="000000" w:themeColor="text1"/>
          <w:sz w:val="22"/>
          <w:szCs w:val="22"/>
          <w:lang w:val="es-ES"/>
        </w:rPr>
        <w:t xml:space="preserve"> ello, la </w:t>
      </w:r>
      <w:r w:rsidRPr="004332CF">
        <w:rPr>
          <w:rFonts w:ascii="Arial" w:eastAsia="Calibri" w:hAnsi="Arial" w:cs="Arial"/>
          <w:color w:val="000000" w:themeColor="text1"/>
          <w:sz w:val="22"/>
          <w:szCs w:val="22"/>
          <w:lang w:val="es-ES"/>
        </w:rPr>
        <w:t>Subdirección, dentro de los límites de sus atribuciones, resolverá la consulta conforme a las normas generales en materia de contratación estatal. Con este objetivo se analizarán los siguientes temas:</w:t>
      </w:r>
      <w:r w:rsidRPr="004332CF">
        <w:rPr>
          <w:rFonts w:ascii="Arial" w:eastAsia="Calibri" w:hAnsi="Arial" w:cs="Arial"/>
          <w:sz w:val="22"/>
          <w:szCs w:val="22"/>
        </w:rPr>
        <w:t xml:space="preserve"> i) competencia consultiva de la Agencia Nacional de Contratación Pública – Colombia Compra Eficiente, </w:t>
      </w:r>
      <w:proofErr w:type="spellStart"/>
      <w:r w:rsidRPr="004332CF">
        <w:rPr>
          <w:rFonts w:ascii="Arial" w:eastAsia="Calibri" w:hAnsi="Arial" w:cs="Arial"/>
          <w:sz w:val="22"/>
          <w:szCs w:val="22"/>
        </w:rPr>
        <w:t>ii</w:t>
      </w:r>
      <w:proofErr w:type="spellEnd"/>
      <w:r w:rsidRPr="004332CF">
        <w:rPr>
          <w:rFonts w:ascii="Arial" w:eastAsia="Calibri" w:hAnsi="Arial" w:cs="Arial"/>
          <w:sz w:val="22"/>
          <w:szCs w:val="22"/>
        </w:rPr>
        <w:t xml:space="preserve">) </w:t>
      </w:r>
      <w:r w:rsidRPr="004332CF">
        <w:rPr>
          <w:rFonts w:ascii="Arial" w:hAnsi="Arial" w:cs="Arial"/>
          <w:sz w:val="22"/>
        </w:rPr>
        <w:t xml:space="preserve">Régimen de inhabilidades e incompatibilidades para contratar con el Estado, </w:t>
      </w:r>
      <w:proofErr w:type="spellStart"/>
      <w:r w:rsidRPr="004332CF">
        <w:rPr>
          <w:rFonts w:ascii="Arial" w:hAnsi="Arial" w:cs="Arial"/>
          <w:sz w:val="22"/>
        </w:rPr>
        <w:t>iii</w:t>
      </w:r>
      <w:proofErr w:type="spellEnd"/>
      <w:r w:rsidRPr="004332CF">
        <w:rPr>
          <w:rFonts w:ascii="Arial" w:hAnsi="Arial" w:cs="Arial"/>
          <w:sz w:val="22"/>
        </w:rPr>
        <w:t xml:space="preserve">) </w:t>
      </w:r>
      <w:r w:rsidRPr="004332CF">
        <w:rPr>
          <w:rFonts w:ascii="Arial" w:eastAsia="Calibri" w:hAnsi="Arial" w:cs="Arial"/>
          <w:sz w:val="22"/>
          <w:lang w:val="es-ES_tradnl"/>
        </w:rPr>
        <w:t xml:space="preserve">Alcance del régimen de inhabilidades e incompatibilidades en la contratación estatal, </w:t>
      </w:r>
      <w:proofErr w:type="spellStart"/>
      <w:r w:rsidRPr="004332CF">
        <w:rPr>
          <w:rFonts w:ascii="Arial" w:eastAsia="Calibri" w:hAnsi="Arial" w:cs="Arial"/>
          <w:sz w:val="22"/>
          <w:lang w:val="es-ES_tradnl"/>
        </w:rPr>
        <w:t>iv</w:t>
      </w:r>
      <w:proofErr w:type="spellEnd"/>
      <w:r w:rsidRPr="004332CF">
        <w:rPr>
          <w:rFonts w:ascii="Arial" w:eastAsia="Calibri" w:hAnsi="Arial" w:cs="Arial"/>
          <w:sz w:val="22"/>
          <w:lang w:val="es-ES_tradnl"/>
        </w:rPr>
        <w:t xml:space="preserve">) </w:t>
      </w:r>
      <w:r w:rsidRPr="004332CF">
        <w:rPr>
          <w:rFonts w:ascii="Arial" w:eastAsia="Calibri" w:hAnsi="Arial" w:cs="Arial"/>
          <w:noProof/>
          <w:sz w:val="22"/>
          <w:szCs w:val="22"/>
          <w:lang w:val="es-ES_tradnl"/>
        </w:rPr>
        <w:t>T</w:t>
      </w:r>
      <w:r w:rsidRPr="004332CF">
        <w:rPr>
          <w:rFonts w:ascii="Arial" w:eastAsia="Calibri" w:hAnsi="Arial" w:cs="Arial"/>
          <w:noProof/>
          <w:sz w:val="22"/>
          <w:szCs w:val="22"/>
        </w:rPr>
        <w:t xml:space="preserve">axatividad e inalterabilidad de las causales de rechazo de los pliegos tipo, v) </w:t>
      </w:r>
      <w:r w:rsidRPr="004332CF">
        <w:rPr>
          <w:rFonts w:ascii="Arial" w:eastAsia="Calibri" w:hAnsi="Arial" w:cs="Arial"/>
          <w:color w:val="000000" w:themeColor="text1"/>
          <w:sz w:val="22"/>
          <w:lang w:val="es-ES_tradnl"/>
        </w:rPr>
        <w:t xml:space="preserve">Régimen de los conflictos de interés en la contratación estatal y vi) </w:t>
      </w:r>
      <w:r w:rsidRPr="004332CF">
        <w:rPr>
          <w:rFonts w:ascii="Arial" w:eastAsia="Calibri" w:hAnsi="Arial" w:cs="Arial"/>
          <w:color w:val="000000" w:themeColor="text1"/>
          <w:sz w:val="22"/>
        </w:rPr>
        <w:t xml:space="preserve">Experiencia en la contratación pública: aproximación general al concepto y consideraciones del ente rector de la contratación pública. </w:t>
      </w:r>
    </w:p>
    <w:p w14:paraId="59EF6879" w14:textId="77777777" w:rsidR="00787B6E" w:rsidRDefault="00787B6E" w:rsidP="00787B6E">
      <w:pPr>
        <w:jc w:val="both"/>
        <w:rPr>
          <w:rFonts w:ascii="Arial" w:hAnsi="Arial" w:cs="Arial"/>
          <w:b/>
          <w:bCs/>
          <w:sz w:val="22"/>
          <w:szCs w:val="22"/>
        </w:rPr>
      </w:pPr>
    </w:p>
    <w:p w14:paraId="5087C4B2" w14:textId="77777777" w:rsidR="00787B6E" w:rsidRPr="00C3629F" w:rsidRDefault="00787B6E" w:rsidP="00787B6E">
      <w:pPr>
        <w:spacing w:line="276" w:lineRule="auto"/>
        <w:jc w:val="both"/>
        <w:rPr>
          <w:rFonts w:ascii="Arial" w:eastAsia="Calibri" w:hAnsi="Arial" w:cs="Arial"/>
          <w:b/>
          <w:bCs/>
          <w:sz w:val="22"/>
          <w:szCs w:val="22"/>
        </w:rPr>
      </w:pPr>
      <w:r>
        <w:rPr>
          <w:rFonts w:ascii="Arial" w:eastAsia="Calibri" w:hAnsi="Arial" w:cs="Arial"/>
          <w:b/>
          <w:bCs/>
          <w:sz w:val="22"/>
          <w:szCs w:val="22"/>
        </w:rPr>
        <w:t>2.</w:t>
      </w:r>
      <w:r w:rsidRPr="00C3629F">
        <w:rPr>
          <w:rFonts w:ascii="Arial" w:eastAsia="Calibri" w:hAnsi="Arial" w:cs="Arial"/>
          <w:b/>
          <w:bCs/>
          <w:sz w:val="22"/>
          <w:szCs w:val="22"/>
        </w:rPr>
        <w:t>1</w:t>
      </w:r>
      <w:r>
        <w:rPr>
          <w:rFonts w:ascii="Arial" w:eastAsia="Calibri" w:hAnsi="Arial" w:cs="Arial"/>
          <w:b/>
          <w:bCs/>
          <w:sz w:val="22"/>
          <w:szCs w:val="22"/>
        </w:rPr>
        <w:t>.</w:t>
      </w:r>
      <w:r w:rsidRPr="00C3629F">
        <w:rPr>
          <w:rFonts w:ascii="Arial" w:eastAsia="Calibri" w:hAnsi="Arial" w:cs="Arial"/>
          <w:b/>
          <w:bCs/>
          <w:sz w:val="22"/>
          <w:szCs w:val="22"/>
        </w:rPr>
        <w:t xml:space="preserve"> Competencia consultiva de la Agencia Nacional de Contratación Pública – Colombia Compra Eficiente</w:t>
      </w:r>
    </w:p>
    <w:p w14:paraId="0391B93C" w14:textId="77777777" w:rsidR="00787B6E" w:rsidRPr="00C3629F" w:rsidRDefault="00787B6E" w:rsidP="00787B6E">
      <w:pPr>
        <w:spacing w:line="276" w:lineRule="auto"/>
        <w:jc w:val="both"/>
        <w:rPr>
          <w:rFonts w:ascii="Arial" w:eastAsia="Calibri" w:hAnsi="Arial" w:cs="Arial"/>
          <w:b/>
          <w:bCs/>
          <w:sz w:val="22"/>
          <w:szCs w:val="22"/>
        </w:rPr>
      </w:pPr>
    </w:p>
    <w:p w14:paraId="087BDABD" w14:textId="77777777" w:rsidR="00787B6E" w:rsidRPr="00C3629F" w:rsidRDefault="00787B6E" w:rsidP="00787B6E">
      <w:pPr>
        <w:spacing w:line="276" w:lineRule="auto"/>
        <w:jc w:val="both"/>
        <w:rPr>
          <w:rFonts w:ascii="Arial" w:hAnsi="Arial" w:cs="Arial"/>
          <w:color w:val="000000"/>
          <w:sz w:val="22"/>
          <w:szCs w:val="22"/>
        </w:rPr>
      </w:pPr>
      <w:r>
        <w:rPr>
          <w:rFonts w:ascii="Arial" w:hAnsi="Arial" w:cs="Arial"/>
          <w:color w:val="000000"/>
          <w:sz w:val="22"/>
          <w:szCs w:val="22"/>
          <w:shd w:val="clear" w:color="auto" w:fill="FFFFFF"/>
        </w:rPr>
        <w:t>Como en la consulta que se resuelve en esta oportunidad se hacen algunos comentarios a partir de un caso concreto, e</w:t>
      </w:r>
      <w:r w:rsidRPr="00C3629F">
        <w:rPr>
          <w:rFonts w:ascii="Arial" w:hAnsi="Arial" w:cs="Arial"/>
          <w:color w:val="000000"/>
          <w:sz w:val="22"/>
          <w:szCs w:val="22"/>
          <w:shd w:val="clear" w:color="auto" w:fill="FFFFFF"/>
        </w:rPr>
        <w:t xml:space="preserve">n el presente aparte se tendrá como fundamento el concepto C-176 del 19 de abril de 2021 de esta Agencia, en el cual se analiza su función de </w:t>
      </w:r>
      <w:r w:rsidRPr="00C3629F">
        <w:rPr>
          <w:rFonts w:ascii="Arial" w:hAnsi="Arial" w:cs="Arial"/>
          <w:color w:val="000000"/>
          <w:sz w:val="22"/>
          <w:szCs w:val="22"/>
          <w:shd w:val="clear" w:color="auto" w:fill="FFFFFF"/>
        </w:rPr>
        <w:lastRenderedPageBreak/>
        <w:t>interpretación de las normas contractuales y, con base en ello, aclarar la naturaleza de los conceptos expedidos por este organismo.  </w:t>
      </w:r>
    </w:p>
    <w:p w14:paraId="12833105" w14:textId="77777777" w:rsidR="00787B6E" w:rsidRPr="00C3629F" w:rsidRDefault="00787B6E" w:rsidP="00787B6E">
      <w:pPr>
        <w:spacing w:before="120" w:line="276" w:lineRule="auto"/>
        <w:ind w:firstLine="708"/>
        <w:jc w:val="both"/>
        <w:rPr>
          <w:rFonts w:ascii="Arial" w:hAnsi="Arial" w:cs="Arial"/>
          <w:color w:val="000000"/>
          <w:sz w:val="22"/>
          <w:szCs w:val="22"/>
        </w:rPr>
      </w:pPr>
      <w:r w:rsidRPr="00C3629F">
        <w:rPr>
          <w:rFonts w:ascii="Arial" w:hAnsi="Arial" w:cs="Arial"/>
          <w:color w:val="000000"/>
          <w:sz w:val="22"/>
          <w:szCs w:val="22"/>
        </w:rPr>
        <w:t xml:space="preserve">Al respecto, </w:t>
      </w:r>
      <w:bookmarkStart w:id="0" w:name="_Hlk94773931"/>
      <w:r w:rsidRPr="00C3629F">
        <w:rPr>
          <w:rFonts w:ascii="Arial" w:hAnsi="Arial" w:cs="Arial"/>
          <w:color w:val="000000"/>
          <w:sz w:val="22"/>
          <w:szCs w:val="22"/>
        </w:rPr>
        <w:t>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C3629F">
        <w:rPr>
          <w:rFonts w:ascii="Arial" w:eastAsia="Calibri" w:hAnsi="Arial" w:cs="Arial"/>
          <w:color w:val="000000"/>
          <w:sz w:val="22"/>
          <w:szCs w:val="22"/>
        </w:rPr>
        <w:t xml:space="preserve"> </w:t>
      </w:r>
      <w:r w:rsidRPr="00C3629F">
        <w:rPr>
          <w:rFonts w:ascii="Arial" w:hAnsi="Arial" w:cs="Arial"/>
          <w:color w:val="000000"/>
          <w:sz w:val="22"/>
          <w:szCs w:val="22"/>
          <w:shd w:val="clear" w:color="auto" w:fill="FFFFFF"/>
        </w:rPr>
        <w:t> </w:t>
      </w:r>
      <w:bookmarkEnd w:id="0"/>
    </w:p>
    <w:p w14:paraId="4DFC54AC" w14:textId="77777777" w:rsidR="00787B6E" w:rsidRPr="00C3629F" w:rsidRDefault="00787B6E" w:rsidP="00787B6E">
      <w:pPr>
        <w:spacing w:before="120" w:line="276" w:lineRule="auto"/>
        <w:ind w:firstLine="708"/>
        <w:jc w:val="both"/>
        <w:rPr>
          <w:rFonts w:ascii="Arial" w:hAnsi="Arial" w:cs="Arial"/>
          <w:color w:val="000000"/>
          <w:sz w:val="22"/>
          <w:szCs w:val="22"/>
        </w:rPr>
      </w:pPr>
      <w:r w:rsidRPr="00C3629F">
        <w:rPr>
          <w:rFonts w:ascii="Arial" w:hAnsi="Arial" w:cs="Arial"/>
          <w:color w:val="000000"/>
          <w:sz w:val="22"/>
          <w:szCs w:val="22"/>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C3629F">
        <w:rPr>
          <w:rFonts w:ascii="Arial" w:hAnsi="Arial" w:cs="Arial"/>
          <w:color w:val="000000"/>
          <w:sz w:val="22"/>
          <w:szCs w:val="22"/>
          <w:vertAlign w:val="superscript"/>
        </w:rPr>
        <w:footnoteReference w:id="1"/>
      </w:r>
      <w:r w:rsidRPr="00C3629F">
        <w:rPr>
          <w:rFonts w:ascii="Arial" w:hAnsi="Arial" w:cs="Arial"/>
          <w:color w:val="000000"/>
          <w:sz w:val="22"/>
          <w:szCs w:val="22"/>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C3629F">
        <w:rPr>
          <w:rFonts w:ascii="Arial" w:eastAsia="Calibri" w:hAnsi="Arial" w:cs="Arial"/>
          <w:color w:val="000000"/>
          <w:sz w:val="22"/>
          <w:szCs w:val="22"/>
        </w:rPr>
        <w:t> </w:t>
      </w:r>
    </w:p>
    <w:p w14:paraId="64492BBD" w14:textId="77777777" w:rsidR="00787B6E" w:rsidRPr="00C3629F" w:rsidRDefault="00787B6E" w:rsidP="00787B6E">
      <w:pPr>
        <w:tabs>
          <w:tab w:val="left" w:pos="426"/>
        </w:tabs>
        <w:spacing w:before="120" w:line="276" w:lineRule="auto"/>
        <w:jc w:val="both"/>
        <w:rPr>
          <w:rFonts w:ascii="Arial" w:hAnsi="Arial" w:cs="Arial"/>
          <w:color w:val="000000"/>
          <w:sz w:val="22"/>
          <w:szCs w:val="22"/>
        </w:rPr>
      </w:pPr>
      <w:r w:rsidRPr="00C3629F">
        <w:rPr>
          <w:rFonts w:ascii="Arial" w:hAnsi="Arial" w:cs="Arial"/>
          <w:color w:val="000000"/>
          <w:sz w:val="22"/>
          <w:szCs w:val="22"/>
        </w:rPr>
        <w:tab/>
      </w:r>
      <w:r w:rsidRPr="00C3629F">
        <w:rPr>
          <w:rFonts w:ascii="Arial" w:hAnsi="Arial" w:cs="Arial"/>
          <w:color w:val="000000"/>
          <w:sz w:val="22"/>
          <w:szCs w:val="22"/>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C3629F">
        <w:rPr>
          <w:rFonts w:ascii="Arial" w:eastAsia="Calibri" w:hAnsi="Arial" w:cs="Arial"/>
          <w:bCs/>
          <w:color w:val="000000"/>
          <w:sz w:val="22"/>
          <w:szCs w:val="22"/>
        </w:rPr>
        <w:t> </w:t>
      </w:r>
    </w:p>
    <w:p w14:paraId="661FE905" w14:textId="77777777" w:rsidR="00787B6E" w:rsidRDefault="00787B6E" w:rsidP="00787B6E">
      <w:pPr>
        <w:tabs>
          <w:tab w:val="left" w:pos="426"/>
        </w:tabs>
        <w:ind w:left="709" w:right="709"/>
        <w:jc w:val="both"/>
        <w:rPr>
          <w:rFonts w:ascii="Arial" w:hAnsi="Arial" w:cs="Arial"/>
          <w:color w:val="000000"/>
          <w:sz w:val="21"/>
          <w:szCs w:val="21"/>
        </w:rPr>
      </w:pPr>
    </w:p>
    <w:p w14:paraId="713B4C37" w14:textId="77777777" w:rsidR="00787B6E" w:rsidRDefault="00787B6E" w:rsidP="00787B6E">
      <w:pPr>
        <w:tabs>
          <w:tab w:val="left" w:pos="426"/>
        </w:tabs>
        <w:spacing w:after="120"/>
        <w:ind w:left="709" w:right="709"/>
        <w:jc w:val="both"/>
        <w:rPr>
          <w:rFonts w:ascii="Arial" w:eastAsia="Calibri" w:hAnsi="Arial" w:cs="Arial"/>
          <w:bCs/>
          <w:color w:val="000000"/>
          <w:sz w:val="21"/>
          <w:szCs w:val="21"/>
        </w:rPr>
      </w:pPr>
      <w:r w:rsidRPr="004D3DFE">
        <w:rPr>
          <w:rFonts w:ascii="Arial" w:hAnsi="Arial" w:cs="Arial"/>
          <w:sz w:val="21"/>
          <w:szCs w:val="21"/>
        </w:rPr>
        <w:t>«</w:t>
      </w:r>
      <w:r w:rsidRPr="00AA370E">
        <w:rPr>
          <w:rFonts w:ascii="Arial" w:hAnsi="Arial" w:cs="Arial"/>
          <w:color w:val="000000"/>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AA370E">
        <w:rPr>
          <w:rFonts w:ascii="Arial" w:eastAsia="Calibri" w:hAnsi="Arial" w:cs="Arial"/>
          <w:bCs/>
          <w:color w:val="000000"/>
          <w:sz w:val="21"/>
          <w:szCs w:val="21"/>
        </w:rPr>
        <w:t>.</w:t>
      </w:r>
      <w:r w:rsidRPr="004D3DFE">
        <w:rPr>
          <w:rFonts w:ascii="Arial" w:hAnsi="Arial" w:cs="Arial"/>
          <w:sz w:val="21"/>
          <w:szCs w:val="21"/>
        </w:rPr>
        <w:t>»</w:t>
      </w:r>
      <w:r w:rsidRPr="00AA370E">
        <w:rPr>
          <w:rFonts w:ascii="Arial" w:eastAsia="Calibri" w:hAnsi="Arial" w:cs="Arial"/>
          <w:bCs/>
          <w:color w:val="000000"/>
          <w:sz w:val="21"/>
          <w:szCs w:val="21"/>
        </w:rPr>
        <w:t> </w:t>
      </w:r>
    </w:p>
    <w:p w14:paraId="0AE7CD4C" w14:textId="77777777" w:rsidR="00787B6E" w:rsidRPr="00AA370E" w:rsidRDefault="00787B6E" w:rsidP="00787B6E">
      <w:pPr>
        <w:tabs>
          <w:tab w:val="left" w:pos="426"/>
        </w:tabs>
        <w:ind w:left="709" w:right="709"/>
        <w:jc w:val="both"/>
        <w:rPr>
          <w:rFonts w:ascii="Arial" w:hAnsi="Arial" w:cs="Arial"/>
          <w:color w:val="000000"/>
          <w:sz w:val="21"/>
          <w:szCs w:val="21"/>
        </w:rPr>
      </w:pPr>
    </w:p>
    <w:p w14:paraId="79BBA510" w14:textId="77777777" w:rsidR="00787B6E" w:rsidRPr="00C3629F" w:rsidRDefault="00787B6E" w:rsidP="00787B6E">
      <w:pPr>
        <w:tabs>
          <w:tab w:val="left" w:pos="426"/>
        </w:tabs>
        <w:spacing w:after="120" w:line="276" w:lineRule="auto"/>
        <w:jc w:val="both"/>
        <w:rPr>
          <w:rFonts w:ascii="Arial" w:hAnsi="Arial" w:cs="Arial"/>
          <w:color w:val="000000"/>
          <w:sz w:val="22"/>
          <w:szCs w:val="22"/>
        </w:rPr>
      </w:pPr>
      <w:r>
        <w:rPr>
          <w:rFonts w:ascii="Arial" w:eastAsia="Calibri" w:hAnsi="Arial" w:cs="Arial"/>
          <w:bCs/>
          <w:color w:val="000000"/>
          <w:sz w:val="22"/>
          <w:szCs w:val="22"/>
        </w:rPr>
        <w:lastRenderedPageBreak/>
        <w:tab/>
      </w:r>
      <w:r>
        <w:rPr>
          <w:rFonts w:ascii="Arial" w:eastAsia="Calibri" w:hAnsi="Arial" w:cs="Arial"/>
          <w:bCs/>
          <w:color w:val="000000"/>
          <w:sz w:val="22"/>
          <w:szCs w:val="22"/>
        </w:rPr>
        <w:tab/>
      </w:r>
      <w:r w:rsidRPr="00C3629F">
        <w:rPr>
          <w:rFonts w:ascii="Arial" w:hAnsi="Arial" w:cs="Arial"/>
          <w:color w:val="000000"/>
          <w:sz w:val="22"/>
          <w:szCs w:val="22"/>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C3629F">
        <w:rPr>
          <w:rFonts w:ascii="Arial" w:eastAsia="Calibri" w:hAnsi="Arial" w:cs="Arial"/>
          <w:bCs/>
          <w:color w:val="000000"/>
          <w:sz w:val="22"/>
          <w:szCs w:val="22"/>
        </w:rPr>
        <w:t> </w:t>
      </w:r>
    </w:p>
    <w:p w14:paraId="2EB84974" w14:textId="77777777" w:rsidR="00787B6E" w:rsidRPr="00C3629F" w:rsidRDefault="00787B6E" w:rsidP="00787B6E">
      <w:pPr>
        <w:spacing w:before="120" w:after="120" w:line="276" w:lineRule="auto"/>
        <w:ind w:firstLine="708"/>
        <w:jc w:val="both"/>
        <w:rPr>
          <w:rFonts w:ascii="Arial" w:hAnsi="Arial" w:cs="Arial"/>
          <w:color w:val="000000"/>
          <w:sz w:val="22"/>
          <w:szCs w:val="22"/>
        </w:rPr>
      </w:pPr>
      <w:r w:rsidRPr="00C3629F">
        <w:rPr>
          <w:rFonts w:ascii="Arial" w:hAnsi="Arial" w:cs="Arial"/>
          <w:color w:val="000000"/>
          <w:sz w:val="22"/>
          <w:szCs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C3629F">
        <w:rPr>
          <w:rFonts w:ascii="Arial" w:eastAsia="Calibri" w:hAnsi="Arial" w:cs="Arial"/>
          <w:bCs/>
          <w:color w:val="000000"/>
          <w:sz w:val="22"/>
          <w:szCs w:val="22"/>
        </w:rPr>
        <w:t> </w:t>
      </w:r>
    </w:p>
    <w:p w14:paraId="6EE6BDAE" w14:textId="77777777" w:rsidR="00787B6E" w:rsidRPr="00C3629F" w:rsidRDefault="00787B6E" w:rsidP="00787B6E">
      <w:pPr>
        <w:tabs>
          <w:tab w:val="left" w:pos="709"/>
        </w:tabs>
        <w:spacing w:before="120" w:line="276" w:lineRule="auto"/>
        <w:jc w:val="both"/>
        <w:rPr>
          <w:rFonts w:ascii="Arial" w:hAnsi="Arial" w:cs="Arial"/>
          <w:color w:val="000000"/>
          <w:sz w:val="22"/>
          <w:szCs w:val="22"/>
        </w:rPr>
      </w:pPr>
      <w:r w:rsidRPr="00C3629F">
        <w:rPr>
          <w:rFonts w:ascii="Arial" w:hAnsi="Arial" w:cs="Arial"/>
          <w:color w:val="000000"/>
          <w:sz w:val="22"/>
          <w:szCs w:val="22"/>
          <w:shd w:val="clear" w:color="auto" w:fill="FFFFFF"/>
        </w:rPr>
        <w:tab/>
        <w:t>En concordancia con ello, es importante resaltar que e</w:t>
      </w:r>
      <w:r w:rsidRPr="00C3629F">
        <w:rPr>
          <w:rFonts w:ascii="Arial" w:hAnsi="Arial" w:cs="Arial"/>
          <w:color w:val="000000"/>
          <w:sz w:val="22"/>
          <w:szCs w:val="22"/>
        </w:rPr>
        <w:t>sta posición es compartida por varias entidades públicas que ejercen similar función. Por ejemplo, la Procuraduría General de la Nación</w:t>
      </w:r>
      <w:r w:rsidRPr="00C3629F">
        <w:rPr>
          <w:rFonts w:ascii="Arial" w:hAnsi="Arial" w:cs="Arial"/>
          <w:color w:val="000000"/>
          <w:sz w:val="22"/>
          <w:szCs w:val="22"/>
          <w:vertAlign w:val="superscript"/>
        </w:rPr>
        <w:footnoteReference w:id="2"/>
      </w:r>
      <w:r w:rsidRPr="00C3629F">
        <w:rPr>
          <w:rFonts w:ascii="Arial" w:hAnsi="Arial" w:cs="Arial"/>
          <w:color w:val="000000"/>
          <w:sz w:val="22"/>
          <w:szCs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C3629F">
        <w:rPr>
          <w:rFonts w:ascii="Arial" w:hAnsi="Arial" w:cs="Arial"/>
          <w:color w:val="000000"/>
          <w:sz w:val="22"/>
          <w:szCs w:val="22"/>
          <w:vertAlign w:val="superscript"/>
        </w:rPr>
        <w:footnoteReference w:id="3"/>
      </w:r>
      <w:r w:rsidRPr="00C3629F">
        <w:rPr>
          <w:rFonts w:ascii="Arial" w:hAnsi="Arial" w:cs="Arial"/>
          <w:color w:val="000000"/>
          <w:sz w:val="22"/>
          <w:szCs w:val="22"/>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C3629F">
        <w:rPr>
          <w:rFonts w:ascii="Arial" w:eastAsia="Calibri" w:hAnsi="Arial" w:cs="Arial"/>
          <w:bCs/>
          <w:color w:val="000000"/>
          <w:sz w:val="22"/>
          <w:szCs w:val="22"/>
        </w:rPr>
        <w:t> </w:t>
      </w:r>
    </w:p>
    <w:p w14:paraId="2507B48C" w14:textId="77777777" w:rsidR="00787B6E" w:rsidRPr="00C3629F" w:rsidRDefault="00787B6E" w:rsidP="00787B6E">
      <w:pPr>
        <w:tabs>
          <w:tab w:val="left" w:pos="709"/>
        </w:tabs>
        <w:spacing w:before="120" w:after="120" w:line="276" w:lineRule="auto"/>
        <w:jc w:val="both"/>
        <w:rPr>
          <w:rFonts w:ascii="Arial" w:hAnsi="Arial" w:cs="Arial"/>
          <w:color w:val="000000"/>
          <w:sz w:val="22"/>
          <w:szCs w:val="22"/>
        </w:rPr>
      </w:pPr>
      <w:r w:rsidRPr="00C3629F">
        <w:rPr>
          <w:rFonts w:ascii="Arial" w:eastAsia="Calibri" w:hAnsi="Arial" w:cs="Arial"/>
          <w:bCs/>
          <w:color w:val="000000"/>
          <w:sz w:val="22"/>
          <w:szCs w:val="22"/>
        </w:rPr>
        <w:tab/>
      </w:r>
      <w:r w:rsidRPr="00C3629F">
        <w:rPr>
          <w:rFonts w:ascii="Arial" w:hAnsi="Arial" w:cs="Arial"/>
          <w:color w:val="000000"/>
          <w:sz w:val="22"/>
          <w:szCs w:val="22"/>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C3629F">
        <w:rPr>
          <w:rFonts w:ascii="Arial" w:hAnsi="Arial" w:cs="Arial"/>
          <w:color w:val="000000"/>
          <w:sz w:val="22"/>
          <w:szCs w:val="22"/>
          <w:vertAlign w:val="superscript"/>
        </w:rPr>
        <w:footnoteReference w:id="4"/>
      </w:r>
      <w:r w:rsidRPr="00C3629F">
        <w:rPr>
          <w:rFonts w:ascii="Arial" w:hAnsi="Arial" w:cs="Arial"/>
          <w:color w:val="000000"/>
          <w:sz w:val="22"/>
          <w:szCs w:val="22"/>
        </w:rPr>
        <w:t xml:space="preserve">. </w:t>
      </w:r>
    </w:p>
    <w:p w14:paraId="33A62DE9" w14:textId="77777777" w:rsidR="00787B6E" w:rsidRPr="00C3629F" w:rsidRDefault="00787B6E" w:rsidP="00787B6E">
      <w:pPr>
        <w:spacing w:before="120" w:after="120" w:line="276" w:lineRule="auto"/>
        <w:ind w:firstLine="709"/>
        <w:jc w:val="both"/>
        <w:rPr>
          <w:rFonts w:ascii="Arial" w:hAnsi="Arial" w:cs="Arial"/>
          <w:color w:val="000000"/>
          <w:sz w:val="22"/>
          <w:szCs w:val="22"/>
        </w:rPr>
      </w:pPr>
      <w:r w:rsidRPr="00C3629F">
        <w:rPr>
          <w:rFonts w:ascii="Arial" w:hAnsi="Arial" w:cs="Arial"/>
          <w:color w:val="000000"/>
          <w:sz w:val="22"/>
          <w:szCs w:val="22"/>
        </w:rPr>
        <w:t>De este modo, las autoridades que ejercen funciones consultivas pueden expresar su interpretación de un precepto normativo</w:t>
      </w:r>
      <w:r>
        <w:rPr>
          <w:rFonts w:ascii="Arial" w:hAnsi="Arial" w:cs="Arial"/>
          <w:color w:val="000000"/>
          <w:sz w:val="22"/>
          <w:szCs w:val="22"/>
        </w:rPr>
        <w:t>,</w:t>
      </w:r>
      <w:r w:rsidRPr="00C3629F">
        <w:rPr>
          <w:rFonts w:ascii="Arial" w:hAnsi="Arial" w:cs="Arial"/>
          <w:color w:val="000000"/>
          <w:sz w:val="22"/>
          <w:szCs w:val="22"/>
        </w:rPr>
        <w:t xml:space="preserve"> que no excluye otras interpretaciones posibles, </w:t>
      </w:r>
      <w:r w:rsidRPr="00C3629F">
        <w:rPr>
          <w:rFonts w:ascii="Arial" w:hAnsi="Arial" w:cs="Arial"/>
          <w:color w:val="000000"/>
          <w:sz w:val="22"/>
          <w:szCs w:val="22"/>
        </w:rPr>
        <w:lastRenderedPageBreak/>
        <w:t xml:space="preserve">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093C0F53" w14:textId="77777777" w:rsidR="00787B6E" w:rsidRPr="00BE77FB" w:rsidRDefault="00787B6E" w:rsidP="00787B6E">
      <w:pPr>
        <w:spacing w:line="276" w:lineRule="auto"/>
        <w:ind w:firstLine="708"/>
        <w:jc w:val="both"/>
        <w:rPr>
          <w:rFonts w:ascii="Arial" w:hAnsi="Arial" w:cs="Arial"/>
          <w:color w:val="000000"/>
          <w:sz w:val="22"/>
          <w:szCs w:val="22"/>
        </w:rPr>
      </w:pPr>
      <w:r w:rsidRPr="00C3629F">
        <w:rPr>
          <w:rFonts w:ascii="Arial" w:hAnsi="Arial" w:cs="Arial"/>
          <w:color w:val="000000"/>
          <w:sz w:val="22"/>
          <w:szCs w:val="22"/>
        </w:rPr>
        <w:t>De todos modos, esto no significa</w:t>
      </w:r>
      <w:r>
        <w:rPr>
          <w:rFonts w:ascii="Arial" w:hAnsi="Arial" w:cs="Arial"/>
          <w:color w:val="000000"/>
          <w:sz w:val="22"/>
          <w:szCs w:val="22"/>
        </w:rPr>
        <w:t>, necesariamente,</w:t>
      </w:r>
      <w:r w:rsidRPr="00C3629F">
        <w:rPr>
          <w:rFonts w:ascii="Arial" w:hAnsi="Arial" w:cs="Arial"/>
          <w:color w:val="000000"/>
          <w:sz w:val="22"/>
          <w:szCs w:val="22"/>
        </w:rPr>
        <w:t xml:space="preserve"> que el criterio de una u otra tenga prevalencia sobre la otra, ya que se trata de opiniones emitidas a título de concepto, pese a que entre las entidades exista jerarquía</w:t>
      </w:r>
      <w:r>
        <w:rPr>
          <w:rFonts w:ascii="Arial" w:hAnsi="Arial" w:cs="Arial"/>
          <w:color w:val="000000"/>
          <w:sz w:val="22"/>
          <w:szCs w:val="22"/>
        </w:rPr>
        <w:t>,</w:t>
      </w:r>
      <w:r w:rsidRPr="00C3629F">
        <w:rPr>
          <w:rFonts w:ascii="Arial" w:hAnsi="Arial" w:cs="Arial"/>
          <w:color w:val="000000"/>
          <w:sz w:val="22"/>
          <w:szCs w:val="22"/>
        </w:rPr>
        <w:t xml:space="preserve"> o de la naturaleza y competencias que se prediquen de una y otra. Incluso, aun cuando los jueces interpreten con autoridad el sentido de la disposición normativa, el concepto emitido por la entidad no deja de ser un concepto y no adquiere efectos vinculantes, </w:t>
      </w:r>
      <w:r>
        <w:rPr>
          <w:rFonts w:ascii="Arial" w:hAnsi="Arial" w:cs="Arial"/>
          <w:color w:val="000000"/>
          <w:sz w:val="22"/>
          <w:szCs w:val="22"/>
        </w:rPr>
        <w:t>así</w:t>
      </w:r>
      <w:r w:rsidRPr="00C3629F">
        <w:rPr>
          <w:rFonts w:ascii="Arial" w:hAnsi="Arial" w:cs="Arial"/>
          <w:color w:val="000000"/>
          <w:sz w:val="22"/>
          <w:szCs w:val="22"/>
        </w:rPr>
        <w:t xml:space="preserve"> coincida con el de la autoridad judicial, pues, en esa hipótesis, lo que vincula es la decisión del juez, no el</w:t>
      </w:r>
      <w:r>
        <w:rPr>
          <w:rFonts w:ascii="Arial" w:hAnsi="Arial" w:cs="Arial"/>
          <w:color w:val="000000"/>
          <w:sz w:val="22"/>
          <w:szCs w:val="22"/>
        </w:rPr>
        <w:t xml:space="preserve"> concepto</w:t>
      </w:r>
      <w:r w:rsidRPr="00C3629F">
        <w:rPr>
          <w:rFonts w:ascii="Arial" w:hAnsi="Arial" w:cs="Arial"/>
          <w:color w:val="000000"/>
          <w:sz w:val="22"/>
          <w:szCs w:val="22"/>
        </w:rPr>
        <w:t xml:space="preserve"> de la entidad que ejerció la función consultiva, pues, como se viene diciendo, dicha competencia se enmarca en el artículo 28 de la Ley 1437 de 2011. </w:t>
      </w:r>
      <w:r>
        <w:rPr>
          <w:rFonts w:ascii="Arial" w:hAnsi="Arial" w:cs="Arial"/>
          <w:color w:val="000000"/>
          <w:sz w:val="22"/>
          <w:szCs w:val="22"/>
        </w:rPr>
        <w:t>Así pues, como lo establece esta forma</w:t>
      </w:r>
      <w:r w:rsidRPr="00C3629F">
        <w:rPr>
          <w:rFonts w:ascii="Arial" w:hAnsi="Arial" w:cs="Arial"/>
          <w:color w:val="000000"/>
          <w:sz w:val="22"/>
          <w:szCs w:val="22"/>
        </w:rPr>
        <w:t>, los conceptos «no serán de obligatorio cumplimiento o ejecución».</w:t>
      </w:r>
      <w:r>
        <w:rPr>
          <w:rFonts w:ascii="Arial" w:hAnsi="Arial" w:cs="Arial"/>
          <w:color w:val="000000"/>
          <w:sz w:val="22"/>
          <w:szCs w:val="22"/>
        </w:rPr>
        <w:t xml:space="preserve"> Por lo anterior, a continuación, la Agencia Nacional de Contratación Pública – Colombia Compra Eficiente hará una interpretación </w:t>
      </w:r>
      <w:r>
        <w:rPr>
          <w:rFonts w:ascii="Arial" w:hAnsi="Arial" w:cs="Arial"/>
          <w:i/>
          <w:iCs/>
          <w:color w:val="000000"/>
          <w:sz w:val="22"/>
          <w:szCs w:val="22"/>
        </w:rPr>
        <w:t>en abstracto</w:t>
      </w:r>
      <w:r>
        <w:rPr>
          <w:rFonts w:ascii="Arial" w:hAnsi="Arial" w:cs="Arial"/>
          <w:color w:val="000000"/>
          <w:sz w:val="22"/>
          <w:szCs w:val="22"/>
        </w:rPr>
        <w:t xml:space="preserve"> de los temas que se relacionan con el objeto de su consulta, con la salvedad –fundamentada en los comentarios que acaban de hacerse– de que la opinión consultiva de la Agencia no es vinculante en el procedimiento de selección particular.</w:t>
      </w:r>
    </w:p>
    <w:p w14:paraId="6024A829" w14:textId="77777777" w:rsidR="00787B6E" w:rsidRDefault="00787B6E" w:rsidP="00787B6E">
      <w:pPr>
        <w:jc w:val="both"/>
        <w:rPr>
          <w:rFonts w:ascii="Arial" w:hAnsi="Arial" w:cs="Arial"/>
          <w:b/>
          <w:bCs/>
          <w:sz w:val="22"/>
          <w:szCs w:val="22"/>
        </w:rPr>
      </w:pPr>
    </w:p>
    <w:p w14:paraId="795411E5" w14:textId="77777777" w:rsidR="00787B6E" w:rsidRPr="003953CA" w:rsidRDefault="00787B6E" w:rsidP="00787B6E">
      <w:pPr>
        <w:pStyle w:val="Sinespaciado"/>
        <w:widowControl w:val="0"/>
        <w:autoSpaceDE w:val="0"/>
        <w:autoSpaceDN w:val="0"/>
        <w:spacing w:line="276" w:lineRule="auto"/>
        <w:jc w:val="both"/>
        <w:rPr>
          <w:rFonts w:ascii="Arial" w:hAnsi="Arial" w:cs="Arial"/>
          <w:b/>
          <w:sz w:val="22"/>
        </w:rPr>
      </w:pPr>
      <w:r w:rsidRPr="003953CA">
        <w:rPr>
          <w:rFonts w:ascii="Arial" w:hAnsi="Arial" w:cs="Arial"/>
          <w:b/>
          <w:sz w:val="22"/>
        </w:rPr>
        <w:t>2.</w:t>
      </w:r>
      <w:r>
        <w:rPr>
          <w:rFonts w:ascii="Arial" w:hAnsi="Arial" w:cs="Arial"/>
          <w:b/>
          <w:sz w:val="22"/>
        </w:rPr>
        <w:t>2</w:t>
      </w:r>
      <w:r w:rsidRPr="003953CA">
        <w:rPr>
          <w:rFonts w:ascii="Arial" w:hAnsi="Arial" w:cs="Arial"/>
          <w:b/>
          <w:sz w:val="22"/>
        </w:rPr>
        <w:t xml:space="preserve">. </w:t>
      </w:r>
      <w:bookmarkStart w:id="1" w:name="_Hlk73970609"/>
      <w:r w:rsidRPr="003953CA">
        <w:rPr>
          <w:rFonts w:ascii="Arial" w:hAnsi="Arial" w:cs="Arial"/>
          <w:b/>
          <w:sz w:val="22"/>
        </w:rPr>
        <w:t xml:space="preserve">Régimen de inhabilidades e incompatibilidades para contratar con el Estado </w:t>
      </w:r>
      <w:bookmarkEnd w:id="1"/>
    </w:p>
    <w:p w14:paraId="293F78B3" w14:textId="77777777" w:rsidR="00787B6E" w:rsidRPr="003953CA" w:rsidRDefault="00787B6E" w:rsidP="00787B6E">
      <w:pPr>
        <w:pStyle w:val="Sinespaciado"/>
        <w:spacing w:line="276" w:lineRule="auto"/>
        <w:jc w:val="both"/>
        <w:rPr>
          <w:rFonts w:ascii="Arial" w:hAnsi="Arial" w:cs="Arial"/>
          <w:sz w:val="22"/>
        </w:rPr>
      </w:pPr>
    </w:p>
    <w:p w14:paraId="03064445" w14:textId="77777777" w:rsidR="00787B6E" w:rsidRPr="003953CA" w:rsidRDefault="00787B6E" w:rsidP="00787B6E">
      <w:pPr>
        <w:pStyle w:val="Sinespaciado"/>
        <w:spacing w:after="120" w:line="276" w:lineRule="auto"/>
        <w:jc w:val="both"/>
        <w:rPr>
          <w:rFonts w:ascii="Arial" w:hAnsi="Arial" w:cs="Arial"/>
          <w:sz w:val="22"/>
        </w:rPr>
      </w:pPr>
      <w:r w:rsidRPr="003953CA">
        <w:rPr>
          <w:rFonts w:ascii="Arial" w:hAnsi="Arial" w:cs="Arial"/>
          <w:sz w:val="22"/>
        </w:rPr>
        <w:t>Las inhabilidades son circunstancias establecidas por la Constitución o</w:t>
      </w:r>
      <w:r>
        <w:rPr>
          <w:rFonts w:ascii="Arial" w:hAnsi="Arial" w:cs="Arial"/>
          <w:sz w:val="22"/>
        </w:rPr>
        <w:t xml:space="preserve"> en</w:t>
      </w:r>
      <w:r w:rsidRPr="003953CA">
        <w:rPr>
          <w:rFonts w:ascii="Arial" w:hAnsi="Arial" w:cs="Arial"/>
          <w:sz w:val="22"/>
        </w:rPr>
        <w:t xml:space="preserve">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275CB5B" w14:textId="77777777" w:rsidR="00787B6E" w:rsidRPr="003953CA" w:rsidRDefault="00787B6E" w:rsidP="00787B6E">
      <w:pPr>
        <w:pStyle w:val="Sinespaciado"/>
        <w:spacing w:before="120" w:after="120" w:line="276" w:lineRule="auto"/>
        <w:ind w:firstLine="708"/>
        <w:jc w:val="both"/>
        <w:rPr>
          <w:rFonts w:ascii="Arial" w:hAnsi="Arial" w:cs="Arial"/>
          <w:sz w:val="22"/>
        </w:rPr>
      </w:pPr>
      <w:r w:rsidRPr="003953CA">
        <w:rPr>
          <w:rFonts w:ascii="Arial" w:hAnsi="Arial" w:cs="Arial"/>
          <w:sz w:val="22"/>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3953CA">
        <w:rPr>
          <w:rFonts w:ascii="Arial" w:hAnsi="Arial" w:cs="Arial"/>
          <w:sz w:val="22"/>
          <w:vertAlign w:val="superscript"/>
        </w:rPr>
        <w:footnoteReference w:id="5"/>
      </w:r>
      <w:r w:rsidRPr="003953CA">
        <w:rPr>
          <w:rFonts w:ascii="Arial" w:hAnsi="Arial" w:cs="Arial"/>
          <w:sz w:val="22"/>
        </w:rPr>
        <w:t xml:space="preserve">. </w:t>
      </w:r>
    </w:p>
    <w:p w14:paraId="1C07360F" w14:textId="77777777" w:rsidR="00787B6E" w:rsidRPr="003953CA" w:rsidRDefault="00787B6E" w:rsidP="00787B6E">
      <w:pPr>
        <w:pStyle w:val="Sinespaciado"/>
        <w:spacing w:before="120" w:after="120" w:line="276" w:lineRule="auto"/>
        <w:ind w:firstLine="709"/>
        <w:jc w:val="both"/>
        <w:rPr>
          <w:rFonts w:ascii="Arial" w:hAnsi="Arial" w:cs="Arial"/>
          <w:sz w:val="22"/>
        </w:rPr>
      </w:pPr>
      <w:r w:rsidRPr="003953CA">
        <w:rPr>
          <w:rFonts w:ascii="Arial" w:hAnsi="Arial" w:cs="Arial"/>
          <w:sz w:val="22"/>
        </w:rPr>
        <w:lastRenderedPageBreak/>
        <w:t xml:space="preserve">La consagración limitaciones que afectan la capacidad jurídica para contratar desarrolla los principios de la función administrativa consagrados en el artículo 209 de la Constitución Política, con especial énfasis </w:t>
      </w:r>
      <w:r>
        <w:rPr>
          <w:rFonts w:ascii="Arial" w:hAnsi="Arial" w:cs="Arial"/>
          <w:sz w:val="22"/>
        </w:rPr>
        <w:t>el de</w:t>
      </w:r>
      <w:r w:rsidRPr="003953CA">
        <w:rPr>
          <w:rFonts w:ascii="Arial" w:hAnsi="Arial" w:cs="Arial"/>
          <w:sz w:val="22"/>
        </w:rPr>
        <w:t xml:space="preserve"> moralidad. Así lo entiende el Consejo de Estado: </w:t>
      </w:r>
    </w:p>
    <w:p w14:paraId="5BB19951" w14:textId="77777777" w:rsidR="00787B6E" w:rsidRPr="003953CA" w:rsidRDefault="00787B6E" w:rsidP="00787B6E">
      <w:pPr>
        <w:pStyle w:val="NormalWeb"/>
        <w:shd w:val="clear" w:color="auto" w:fill="FFFFFF"/>
        <w:spacing w:before="120" w:beforeAutospacing="0" w:after="120" w:afterAutospacing="0" w:line="276" w:lineRule="auto"/>
        <w:ind w:left="709" w:right="709"/>
        <w:jc w:val="both"/>
        <w:rPr>
          <w:rFonts w:ascii="Arial" w:eastAsiaTheme="minorHAnsi" w:hAnsi="Arial" w:cs="Arial"/>
          <w:sz w:val="21"/>
          <w:szCs w:val="21"/>
          <w:lang w:val="es-ES" w:eastAsia="en-US"/>
        </w:rPr>
      </w:pPr>
      <w:bookmarkStart w:id="2" w:name="_Hlk80888801"/>
      <w:r w:rsidRPr="00626305">
        <w:rPr>
          <w:rFonts w:ascii="Arial" w:eastAsiaTheme="minorHAnsi" w:hAnsi="Arial" w:cs="Arial"/>
          <w:sz w:val="21"/>
          <w:szCs w:val="21"/>
          <w:lang w:val="es-ES" w:eastAsia="en-US"/>
        </w:rPr>
        <w:t>«</w:t>
      </w:r>
      <w:bookmarkEnd w:id="2"/>
      <w:r w:rsidRPr="003953CA">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7539749" w14:textId="77777777" w:rsidR="00787B6E" w:rsidRPr="003953CA" w:rsidRDefault="00787B6E" w:rsidP="00787B6E">
      <w:pPr>
        <w:pStyle w:val="NormalWeb"/>
        <w:shd w:val="clear" w:color="auto" w:fill="FFFFFF"/>
        <w:spacing w:before="0" w:beforeAutospacing="0" w:after="0" w:afterAutospacing="0" w:line="276" w:lineRule="auto"/>
        <w:ind w:left="709" w:right="709"/>
        <w:jc w:val="both"/>
        <w:rPr>
          <w:rFonts w:ascii="Arial" w:eastAsiaTheme="minorHAnsi" w:hAnsi="Arial" w:cs="Arial"/>
          <w:sz w:val="21"/>
          <w:szCs w:val="21"/>
          <w:lang w:val="es-ES" w:eastAsia="en-US"/>
        </w:rPr>
      </w:pPr>
      <w:r w:rsidRPr="003953CA">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Fonts w:ascii="Arial" w:eastAsiaTheme="minorHAnsi" w:hAnsi="Arial" w:cs="Arial"/>
          <w:sz w:val="21"/>
          <w:szCs w:val="21"/>
          <w:lang w:val="es-ES" w:eastAsia="en-US"/>
        </w:rPr>
        <w:t>.</w:t>
      </w:r>
      <w:r w:rsidRPr="00626305">
        <w:rPr>
          <w:rFonts w:ascii="Arial" w:eastAsiaTheme="minorHAnsi" w:hAnsi="Arial" w:cs="Arial"/>
          <w:sz w:val="21"/>
          <w:szCs w:val="21"/>
          <w:lang w:val="es-ES" w:eastAsia="en-US"/>
        </w:rPr>
        <w:t>»</w:t>
      </w:r>
      <w:r w:rsidRPr="003953CA">
        <w:rPr>
          <w:rStyle w:val="Refdenotaalpie"/>
          <w:rFonts w:ascii="Arial" w:eastAsiaTheme="minorHAnsi" w:hAnsi="Arial" w:cs="Arial"/>
          <w:sz w:val="21"/>
          <w:szCs w:val="21"/>
          <w:lang w:val="es-ES" w:eastAsia="en-US"/>
        </w:rPr>
        <w:footnoteReference w:id="6"/>
      </w:r>
      <w:r w:rsidRPr="003953CA">
        <w:rPr>
          <w:rFonts w:ascii="Arial" w:eastAsiaTheme="minorHAnsi" w:hAnsi="Arial" w:cs="Arial"/>
          <w:sz w:val="21"/>
          <w:szCs w:val="21"/>
          <w:lang w:val="es-ES" w:eastAsia="en-US"/>
        </w:rPr>
        <w:t xml:space="preserve"> </w:t>
      </w:r>
    </w:p>
    <w:p w14:paraId="6CDFA3B5" w14:textId="77777777" w:rsidR="00787B6E" w:rsidRPr="003953CA" w:rsidRDefault="00787B6E" w:rsidP="00787B6E">
      <w:pPr>
        <w:pStyle w:val="Sinespaciado"/>
        <w:spacing w:line="276" w:lineRule="auto"/>
        <w:jc w:val="both"/>
        <w:rPr>
          <w:rFonts w:ascii="Arial" w:hAnsi="Arial" w:cs="Arial"/>
          <w:sz w:val="22"/>
        </w:rPr>
      </w:pPr>
    </w:p>
    <w:p w14:paraId="5A984EF0" w14:textId="77777777" w:rsidR="00787B6E" w:rsidRPr="003953CA" w:rsidRDefault="00787B6E" w:rsidP="00787B6E">
      <w:pPr>
        <w:pStyle w:val="Sinespaciado"/>
        <w:spacing w:line="276" w:lineRule="auto"/>
        <w:ind w:firstLine="709"/>
        <w:jc w:val="both"/>
        <w:rPr>
          <w:rFonts w:ascii="Arial" w:hAnsi="Arial" w:cs="Arial"/>
          <w:sz w:val="22"/>
        </w:rPr>
      </w:pPr>
      <w:r w:rsidRPr="003953CA">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20193484" w14:textId="77777777" w:rsidR="00787B6E" w:rsidRPr="003953CA" w:rsidRDefault="00787B6E" w:rsidP="00787B6E">
      <w:pPr>
        <w:spacing w:line="276" w:lineRule="auto"/>
        <w:jc w:val="both"/>
        <w:rPr>
          <w:rFonts w:ascii="Arial" w:hAnsi="Arial" w:cs="Arial"/>
          <w:sz w:val="22"/>
          <w:shd w:val="clear" w:color="auto" w:fill="FFFFFF"/>
          <w:lang w:eastAsia="es-ES_tradnl"/>
        </w:rPr>
      </w:pPr>
    </w:p>
    <w:p w14:paraId="020071F1" w14:textId="77777777" w:rsidR="00787B6E" w:rsidRPr="003953CA" w:rsidRDefault="00787B6E" w:rsidP="00787B6E">
      <w:pPr>
        <w:spacing w:after="120" w:line="276" w:lineRule="auto"/>
        <w:ind w:left="709" w:right="709"/>
        <w:jc w:val="both"/>
        <w:rPr>
          <w:rFonts w:ascii="Arial" w:hAnsi="Arial" w:cs="Arial"/>
          <w:sz w:val="21"/>
          <w:szCs w:val="21"/>
        </w:rPr>
      </w:pPr>
      <w:r w:rsidRPr="004C74E8">
        <w:rPr>
          <w:rFonts w:ascii="Arial" w:hAnsi="Arial" w:cs="Arial"/>
          <w:sz w:val="21"/>
          <w:szCs w:val="21"/>
        </w:rPr>
        <w:t>«</w:t>
      </w:r>
      <w:r w:rsidRPr="003953CA">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w:t>
      </w:r>
      <w:r w:rsidRPr="003953CA">
        <w:rPr>
          <w:rFonts w:ascii="Arial" w:hAnsi="Arial" w:cs="Arial"/>
          <w:sz w:val="21"/>
          <w:szCs w:val="21"/>
        </w:rPr>
        <w:lastRenderedPageBreak/>
        <w:t xml:space="preserve">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se erige en causal de nulidad del contrato celebrado en esas condiciones (ley 80 de 1993, art. 44).</w:t>
      </w:r>
    </w:p>
    <w:p w14:paraId="661FD0B0" w14:textId="77777777" w:rsidR="00787B6E" w:rsidRPr="00D552AD" w:rsidRDefault="00787B6E" w:rsidP="00787B6E">
      <w:pPr>
        <w:spacing w:line="276" w:lineRule="auto"/>
        <w:ind w:left="709" w:right="709"/>
        <w:jc w:val="both"/>
        <w:rPr>
          <w:rFonts w:ascii="Arial" w:hAnsi="Arial" w:cs="Arial"/>
          <w:sz w:val="21"/>
          <w:szCs w:val="21"/>
        </w:rPr>
      </w:pPr>
      <w:r w:rsidRPr="003953C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Fonts w:ascii="Arial" w:hAnsi="Arial" w:cs="Arial"/>
          <w:sz w:val="21"/>
          <w:szCs w:val="21"/>
        </w:rPr>
        <w:t>.</w:t>
      </w:r>
      <w:r w:rsidRPr="004C74E8">
        <w:rPr>
          <w:rFonts w:ascii="Arial" w:hAnsi="Arial" w:cs="Arial"/>
          <w:sz w:val="21"/>
          <w:szCs w:val="21"/>
        </w:rPr>
        <w:t>»</w:t>
      </w:r>
      <w:r w:rsidRPr="003953CA">
        <w:rPr>
          <w:rStyle w:val="Refdenotaalpie"/>
          <w:rFonts w:ascii="Arial" w:hAnsi="Arial" w:cs="Arial"/>
          <w:sz w:val="21"/>
          <w:szCs w:val="21"/>
        </w:rPr>
        <w:footnoteReference w:id="7"/>
      </w:r>
    </w:p>
    <w:p w14:paraId="6D95DB3C" w14:textId="77777777" w:rsidR="00787B6E" w:rsidRDefault="00787B6E" w:rsidP="00787B6E">
      <w:pPr>
        <w:spacing w:line="276" w:lineRule="auto"/>
        <w:ind w:firstLine="709"/>
        <w:jc w:val="both"/>
        <w:rPr>
          <w:rFonts w:ascii="Arial" w:hAnsi="Arial" w:cs="Arial"/>
          <w:sz w:val="22"/>
        </w:rPr>
      </w:pPr>
    </w:p>
    <w:p w14:paraId="290881D6" w14:textId="77777777" w:rsidR="00787B6E" w:rsidRPr="003953CA" w:rsidRDefault="00787B6E" w:rsidP="00787B6E">
      <w:pPr>
        <w:spacing w:line="276" w:lineRule="auto"/>
        <w:ind w:firstLine="709"/>
        <w:jc w:val="both"/>
        <w:rPr>
          <w:rFonts w:ascii="Arial" w:hAnsi="Arial" w:cs="Arial"/>
          <w:sz w:val="22"/>
        </w:rPr>
      </w:pPr>
      <w:r w:rsidRPr="003953CA">
        <w:rPr>
          <w:rFonts w:ascii="Arial" w:hAnsi="Arial" w:cs="Arial"/>
          <w:sz w:val="22"/>
        </w:rPr>
        <w:t xml:space="preserve">Además, la Corte Constitucional explica que el legislador tiene la competencia para determinar qué hechos o situaciones generan inhabilidad para contratar, pues este régimen es un aspecto propio del Estatuto General de Contratación </w:t>
      </w:r>
      <w:r>
        <w:rPr>
          <w:rFonts w:ascii="Arial" w:hAnsi="Arial" w:cs="Arial"/>
          <w:sz w:val="22"/>
        </w:rPr>
        <w:t xml:space="preserve">de la Administración </w:t>
      </w:r>
      <w:r w:rsidRPr="003953CA">
        <w:rPr>
          <w:rFonts w:ascii="Arial" w:hAnsi="Arial" w:cs="Arial"/>
          <w:sz w:val="22"/>
        </w:rPr>
        <w:t>Pública, cuya expedición compete al Congreso de la República a la luz del artículo 150 de la Constitución Política, y que en esta materia rige el principio de legalidad:</w:t>
      </w:r>
    </w:p>
    <w:p w14:paraId="4669BE17" w14:textId="77777777" w:rsidR="00787B6E" w:rsidRPr="003953CA" w:rsidRDefault="00787B6E" w:rsidP="00787B6E">
      <w:pPr>
        <w:pStyle w:val="Sinespaciado"/>
        <w:tabs>
          <w:tab w:val="left" w:pos="1532"/>
        </w:tabs>
        <w:spacing w:line="276" w:lineRule="auto"/>
        <w:jc w:val="both"/>
        <w:rPr>
          <w:rFonts w:ascii="Arial" w:hAnsi="Arial" w:cs="Arial"/>
          <w:sz w:val="22"/>
        </w:rPr>
      </w:pPr>
    </w:p>
    <w:p w14:paraId="61AE5FE8" w14:textId="77777777" w:rsidR="00787B6E" w:rsidRPr="003953CA" w:rsidRDefault="00787B6E" w:rsidP="00787B6E">
      <w:pPr>
        <w:spacing w:line="276" w:lineRule="auto"/>
        <w:ind w:left="709" w:right="709"/>
        <w:jc w:val="both"/>
        <w:rPr>
          <w:rFonts w:ascii="Arial" w:hAnsi="Arial" w:cs="Arial"/>
          <w:sz w:val="21"/>
          <w:szCs w:val="21"/>
        </w:rPr>
      </w:pPr>
      <w:r w:rsidRPr="004C74E8">
        <w:rPr>
          <w:rFonts w:ascii="Arial" w:hAnsi="Arial" w:cs="Arial"/>
          <w:sz w:val="21"/>
          <w:szCs w:val="21"/>
        </w:rPr>
        <w:t>«</w:t>
      </w:r>
      <w:r w:rsidRPr="003953CA">
        <w:rPr>
          <w:rFonts w:ascii="Arial" w:hAnsi="Arial"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libértate, sino el de legalidad, el que ordena que la función pública debe someterse estrictamente a lo que disponga la Constitución y la ley (CP art. 6). </w:t>
      </w:r>
    </w:p>
    <w:p w14:paraId="79A2222B" w14:textId="77777777" w:rsidR="00787B6E" w:rsidRPr="003953CA" w:rsidRDefault="00787B6E" w:rsidP="00787B6E">
      <w:pPr>
        <w:spacing w:after="120" w:line="276" w:lineRule="auto"/>
        <w:ind w:left="709" w:right="709"/>
        <w:jc w:val="both"/>
        <w:rPr>
          <w:rFonts w:ascii="Arial" w:hAnsi="Arial" w:cs="Arial"/>
          <w:sz w:val="21"/>
          <w:szCs w:val="21"/>
        </w:rPr>
      </w:pPr>
      <w:r w:rsidRPr="003953CA">
        <w:rPr>
          <w:rFonts w:ascii="Arial" w:hAnsi="Arial" w:cs="Arial"/>
          <w:sz w:val="21"/>
          <w:szCs w:val="21"/>
        </w:rPr>
        <w:t xml:space="preserve">[…] </w:t>
      </w:r>
    </w:p>
    <w:p w14:paraId="5C05B21F" w14:textId="77777777" w:rsidR="00787B6E" w:rsidRPr="00D552AD" w:rsidRDefault="00787B6E" w:rsidP="00787B6E">
      <w:pPr>
        <w:spacing w:line="276" w:lineRule="auto"/>
        <w:ind w:left="709" w:right="709"/>
        <w:jc w:val="both"/>
        <w:rPr>
          <w:rFonts w:ascii="Arial" w:hAnsi="Arial" w:cs="Arial"/>
          <w:sz w:val="21"/>
          <w:szCs w:val="21"/>
        </w:rPr>
      </w:pPr>
      <w:r w:rsidRPr="003953CA">
        <w:rPr>
          <w:rFonts w:ascii="Arial" w:hAnsi="Arial" w:cs="Arial"/>
          <w:sz w:val="21"/>
          <w:szCs w:val="21"/>
        </w:rPr>
        <w:t xml:space="preserve">Se comprende con facilidad que el 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Pr>
          <w:rFonts w:ascii="Arial" w:hAnsi="Arial" w:cs="Arial"/>
          <w:sz w:val="21"/>
          <w:szCs w:val="21"/>
        </w:rPr>
        <w:t>.</w:t>
      </w:r>
      <w:r w:rsidRPr="004C74E8">
        <w:rPr>
          <w:rFonts w:ascii="Arial" w:hAnsi="Arial" w:cs="Arial"/>
          <w:sz w:val="21"/>
          <w:szCs w:val="21"/>
        </w:rPr>
        <w:t>»</w:t>
      </w:r>
      <w:r w:rsidRPr="003953CA">
        <w:rPr>
          <w:rStyle w:val="Refdenotaalpie"/>
          <w:rFonts w:ascii="Arial" w:hAnsi="Arial" w:cs="Arial"/>
          <w:sz w:val="21"/>
          <w:szCs w:val="21"/>
        </w:rPr>
        <w:footnoteReference w:id="8"/>
      </w:r>
    </w:p>
    <w:p w14:paraId="618F3BAE" w14:textId="77777777" w:rsidR="00787B6E" w:rsidRDefault="00787B6E" w:rsidP="00787B6E">
      <w:pPr>
        <w:spacing w:line="276" w:lineRule="auto"/>
        <w:ind w:firstLine="709"/>
        <w:jc w:val="both"/>
        <w:rPr>
          <w:rFonts w:ascii="Arial" w:hAnsi="Arial" w:cs="Arial"/>
          <w:sz w:val="22"/>
        </w:rPr>
      </w:pPr>
    </w:p>
    <w:p w14:paraId="4EF17C0B" w14:textId="77777777" w:rsidR="00787B6E" w:rsidRPr="003953CA" w:rsidRDefault="00787B6E" w:rsidP="00787B6E">
      <w:pPr>
        <w:spacing w:after="120" w:line="276" w:lineRule="auto"/>
        <w:ind w:firstLine="709"/>
        <w:jc w:val="both"/>
        <w:rPr>
          <w:rFonts w:ascii="Arial" w:hAnsi="Arial" w:cs="Arial"/>
          <w:sz w:val="22"/>
        </w:rPr>
      </w:pPr>
      <w:r w:rsidRPr="003953CA">
        <w:rPr>
          <w:rFonts w:ascii="Arial" w:hAnsi="Arial" w:cs="Arial"/>
          <w:sz w:val="22"/>
        </w:rPr>
        <w:lastRenderedPageBreak/>
        <w:t xml:space="preserve">Conviene también distinguir las fuentes de las inhabilidades, las cuales han sido clasificadas en dos (2) grupos: i) inhabilidades-sanción y </w:t>
      </w:r>
      <w:proofErr w:type="spellStart"/>
      <w:r w:rsidRPr="003953CA">
        <w:rPr>
          <w:rFonts w:ascii="Arial" w:hAnsi="Arial" w:cs="Arial"/>
          <w:sz w:val="22"/>
        </w:rPr>
        <w:t>ii</w:t>
      </w:r>
      <w:proofErr w:type="spellEnd"/>
      <w:r w:rsidRPr="003953CA">
        <w:rPr>
          <w:rFonts w:ascii="Arial" w:hAnsi="Arial" w:cs="Arial"/>
          <w:sz w:val="22"/>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3953CA">
        <w:rPr>
          <w:rStyle w:val="Refdenotaalpie"/>
          <w:rFonts w:ascii="Arial" w:hAnsi="Arial" w:cs="Arial"/>
          <w:sz w:val="22"/>
        </w:rPr>
        <w:footnoteReference w:id="9"/>
      </w:r>
      <w:r w:rsidRPr="003953CA">
        <w:rPr>
          <w:rFonts w:ascii="Arial" w:hAnsi="Arial" w:cs="Arial"/>
          <w:sz w:val="22"/>
        </w:rPr>
        <w:t xml:space="preserve">. </w:t>
      </w:r>
    </w:p>
    <w:p w14:paraId="2130992D" w14:textId="77777777" w:rsidR="00787B6E" w:rsidRPr="003953CA" w:rsidRDefault="00787B6E" w:rsidP="00787B6E">
      <w:pPr>
        <w:spacing w:before="120" w:after="120" w:line="276" w:lineRule="auto"/>
        <w:ind w:firstLine="708"/>
        <w:jc w:val="both"/>
        <w:rPr>
          <w:rFonts w:ascii="Arial" w:hAnsi="Arial" w:cs="Arial"/>
          <w:sz w:val="22"/>
        </w:rPr>
      </w:pPr>
      <w:r w:rsidRPr="003953CA">
        <w:rPr>
          <w:rFonts w:ascii="Arial" w:hAnsi="Arial" w:cs="Arial"/>
          <w:sz w:val="22"/>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60710B64" w14:textId="77777777" w:rsidR="00787B6E" w:rsidRDefault="00787B6E" w:rsidP="00787B6E">
      <w:pPr>
        <w:spacing w:before="120" w:line="276" w:lineRule="auto"/>
        <w:ind w:firstLine="709"/>
        <w:jc w:val="both"/>
        <w:rPr>
          <w:rFonts w:ascii="Arial" w:hAnsi="Arial" w:cs="Arial"/>
          <w:sz w:val="22"/>
        </w:rPr>
      </w:pPr>
      <w:r w:rsidRPr="003953CA">
        <w:rPr>
          <w:rFonts w:ascii="Arial" w:hAnsi="Arial" w:cs="Arial"/>
          <w:sz w:val="22"/>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6BCEF66F" w14:textId="77777777" w:rsidR="00787B6E" w:rsidRDefault="00787B6E" w:rsidP="00787B6E">
      <w:pPr>
        <w:spacing w:line="276" w:lineRule="auto"/>
        <w:ind w:firstLine="709"/>
        <w:jc w:val="both"/>
        <w:rPr>
          <w:rFonts w:ascii="Arial" w:hAnsi="Arial" w:cs="Arial"/>
          <w:sz w:val="22"/>
        </w:rPr>
      </w:pPr>
    </w:p>
    <w:p w14:paraId="7DD0EADE" w14:textId="77777777" w:rsidR="00787B6E" w:rsidRDefault="00787B6E" w:rsidP="00787B6E">
      <w:pPr>
        <w:tabs>
          <w:tab w:val="left" w:pos="426"/>
        </w:tabs>
        <w:spacing w:line="276" w:lineRule="auto"/>
        <w:jc w:val="both"/>
        <w:rPr>
          <w:rFonts w:ascii="Arial" w:eastAsia="Calibri" w:hAnsi="Arial" w:cs="Arial"/>
          <w:b/>
          <w:sz w:val="22"/>
          <w:lang w:val="es-ES_tradnl"/>
        </w:rPr>
      </w:pPr>
      <w:r w:rsidRPr="003953CA">
        <w:rPr>
          <w:rFonts w:ascii="Arial" w:eastAsia="Calibri" w:hAnsi="Arial" w:cs="Arial"/>
          <w:b/>
          <w:sz w:val="22"/>
          <w:lang w:val="es-ES_tradnl"/>
        </w:rPr>
        <w:t>2.</w:t>
      </w:r>
      <w:r>
        <w:rPr>
          <w:rFonts w:ascii="Arial" w:eastAsia="Calibri" w:hAnsi="Arial" w:cs="Arial"/>
          <w:b/>
          <w:sz w:val="22"/>
          <w:lang w:val="es-ES_tradnl"/>
        </w:rPr>
        <w:t>3</w:t>
      </w:r>
      <w:r w:rsidRPr="003953CA">
        <w:rPr>
          <w:rFonts w:ascii="Arial" w:eastAsia="Calibri" w:hAnsi="Arial" w:cs="Arial"/>
          <w:b/>
          <w:sz w:val="22"/>
          <w:lang w:val="es-ES_tradnl"/>
        </w:rPr>
        <w:t xml:space="preserve">. </w:t>
      </w:r>
      <w:r>
        <w:rPr>
          <w:rFonts w:ascii="Arial" w:eastAsia="Calibri" w:hAnsi="Arial" w:cs="Arial"/>
          <w:b/>
          <w:sz w:val="22"/>
          <w:lang w:val="es-ES_tradnl"/>
        </w:rPr>
        <w:t>Alcance del r</w:t>
      </w:r>
      <w:r w:rsidRPr="003953CA">
        <w:rPr>
          <w:rFonts w:ascii="Arial" w:eastAsia="Calibri" w:hAnsi="Arial" w:cs="Arial"/>
          <w:b/>
          <w:sz w:val="22"/>
          <w:lang w:val="es-ES_tradnl"/>
        </w:rPr>
        <w:t>égimen de inhabilidades e incompatibilidades en la contratación estatal</w:t>
      </w:r>
    </w:p>
    <w:p w14:paraId="52CF523D" w14:textId="77777777" w:rsidR="00787B6E" w:rsidRPr="00D552AD" w:rsidRDefault="00787B6E" w:rsidP="00787B6E">
      <w:pPr>
        <w:tabs>
          <w:tab w:val="left" w:pos="426"/>
        </w:tabs>
        <w:spacing w:line="276" w:lineRule="auto"/>
        <w:jc w:val="both"/>
        <w:rPr>
          <w:rFonts w:ascii="Arial" w:eastAsia="Calibri" w:hAnsi="Arial" w:cs="Arial"/>
          <w:b/>
          <w:sz w:val="22"/>
          <w:lang w:val="es-ES_tradnl"/>
        </w:rPr>
      </w:pPr>
    </w:p>
    <w:p w14:paraId="7692D748" w14:textId="77777777" w:rsidR="00787B6E" w:rsidRPr="003953CA" w:rsidRDefault="00787B6E" w:rsidP="00787B6E">
      <w:pPr>
        <w:spacing w:after="120" w:line="276" w:lineRule="auto"/>
        <w:jc w:val="both"/>
        <w:rPr>
          <w:rFonts w:ascii="Arial" w:eastAsia="Calibri" w:hAnsi="Arial" w:cs="Arial"/>
          <w:sz w:val="22"/>
          <w:lang w:val="es-ES_tradnl"/>
        </w:rPr>
      </w:pPr>
      <w:r w:rsidRPr="003953CA">
        <w:rPr>
          <w:rFonts w:ascii="Arial" w:eastAsia="Calibri" w:hAnsi="Arial" w:cs="Arial"/>
          <w:sz w:val="22"/>
          <w:lang w:val="es-ES_tradnl"/>
        </w:rPr>
        <w:t xml:space="preserve">En la contratación estatal, la </w:t>
      </w:r>
      <w:r w:rsidRPr="003953CA">
        <w:rPr>
          <w:rFonts w:ascii="Arial" w:eastAsia="Calibri" w:hAnsi="Arial" w:cs="Arial"/>
          <w:i/>
          <w:iCs/>
          <w:sz w:val="22"/>
          <w:lang w:val="es-ES_tradnl"/>
        </w:rPr>
        <w:t>capacidad</w:t>
      </w:r>
      <w:r w:rsidRPr="003953CA">
        <w:rPr>
          <w:rFonts w:ascii="Arial" w:eastAsia="Calibri" w:hAnsi="Arial" w:cs="Arial"/>
          <w:sz w:val="22"/>
          <w:lang w:val="es-ES_tradnl"/>
        </w:rPr>
        <w:t xml:space="preserve"> también es un requisito de validez de los contratos, tanto en el régimen de las entidades sujetas al Estatuto General de Contratación de la Administración Pública</w:t>
      </w:r>
      <w:r w:rsidRPr="003953CA">
        <w:rPr>
          <w:rFonts w:ascii="Arial" w:eastAsia="Calibri" w:hAnsi="Arial" w:cs="Arial"/>
          <w:sz w:val="22"/>
          <w:vertAlign w:val="superscript"/>
          <w:lang w:val="es-ES_tradnl"/>
        </w:rPr>
        <w:footnoteReference w:id="10"/>
      </w:r>
      <w:r w:rsidRPr="003953CA">
        <w:rPr>
          <w:rFonts w:ascii="Arial" w:eastAsia="Calibri" w:hAnsi="Arial" w:cs="Arial"/>
          <w:sz w:val="22"/>
          <w:lang w:val="es-ES_tradnl"/>
        </w:rPr>
        <w:t xml:space="preserve"> como en el de las entidades exceptuadas de aquel</w:t>
      </w:r>
      <w:r w:rsidRPr="003953CA">
        <w:rPr>
          <w:rFonts w:ascii="Arial" w:eastAsia="Calibri" w:hAnsi="Arial" w:cs="Arial"/>
          <w:sz w:val="22"/>
          <w:vertAlign w:val="superscript"/>
          <w:lang w:val="es-ES_tradnl"/>
        </w:rPr>
        <w:footnoteReference w:id="11"/>
      </w:r>
      <w:r w:rsidRPr="003953CA">
        <w:rPr>
          <w:rFonts w:ascii="Arial" w:eastAsia="Calibri" w:hAnsi="Arial" w:cs="Arial"/>
          <w:sz w:val="22"/>
          <w:lang w:val="es-ES_tradnl"/>
        </w:rPr>
        <w:t xml:space="preserve">. Si bien la </w:t>
      </w:r>
      <w:r w:rsidRPr="003953CA">
        <w:rPr>
          <w:rFonts w:ascii="Arial" w:eastAsia="Calibri" w:hAnsi="Arial" w:cs="Arial"/>
          <w:sz w:val="22"/>
          <w:lang w:val="es-ES_tradnl"/>
        </w:rPr>
        <w:lastRenderedPageBreak/>
        <w:t>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r w:rsidRPr="003953CA">
        <w:rPr>
          <w:rFonts w:ascii="Arial" w:eastAsia="Calibri" w:hAnsi="Arial" w:cs="Arial"/>
          <w:sz w:val="22"/>
          <w:vertAlign w:val="superscript"/>
          <w:lang w:val="es-ES_tradnl"/>
        </w:rPr>
        <w:footnoteReference w:id="12"/>
      </w:r>
      <w:r w:rsidRPr="003953CA">
        <w:rPr>
          <w:rFonts w:ascii="Arial" w:eastAsia="Calibri" w:hAnsi="Arial" w:cs="Arial"/>
          <w:sz w:val="22"/>
          <w:lang w:val="es-ES_tradnl"/>
        </w:rPr>
        <w:t>.</w:t>
      </w:r>
    </w:p>
    <w:p w14:paraId="7A59DF49" w14:textId="77777777" w:rsidR="00787B6E" w:rsidRPr="003953CA" w:rsidRDefault="00787B6E" w:rsidP="00787B6E">
      <w:pPr>
        <w:spacing w:before="120"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3953CA">
        <w:rPr>
          <w:rFonts w:ascii="Arial" w:eastAsia="Calibri" w:hAnsi="Arial" w:cs="Arial"/>
          <w:sz w:val="22"/>
          <w:lang w:val="es-ES_tradnl"/>
        </w:rPr>
        <w:t>ii</w:t>
      </w:r>
      <w:proofErr w:type="spellEnd"/>
      <w:r w:rsidRPr="003953CA">
        <w:rPr>
          <w:rFonts w:ascii="Arial" w:eastAsia="Calibri" w:hAnsi="Arial" w:cs="Arial"/>
          <w:sz w:val="22"/>
          <w:lang w:val="es-ES_tradnl"/>
        </w:rPr>
        <w:t xml:space="preserve">) de vínculos personales relativos al parentesco o al estado civil o </w:t>
      </w:r>
      <w:proofErr w:type="spellStart"/>
      <w:r w:rsidRPr="003953CA">
        <w:rPr>
          <w:rFonts w:ascii="Arial" w:eastAsia="Calibri" w:hAnsi="Arial" w:cs="Arial"/>
          <w:sz w:val="22"/>
          <w:lang w:val="es-ES_tradnl"/>
        </w:rPr>
        <w:t>iii</w:t>
      </w:r>
      <w:proofErr w:type="spellEnd"/>
      <w:r w:rsidRPr="003953CA">
        <w:rPr>
          <w:rFonts w:ascii="Arial" w:eastAsia="Calibri" w:hAnsi="Arial" w:cs="Arial"/>
          <w:sz w:val="22"/>
          <w:lang w:val="es-ES_tradnl"/>
        </w:rPr>
        <w:t xml:space="preserve">)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r>
        <w:rPr>
          <w:rFonts w:ascii="Arial" w:eastAsia="Calibri" w:hAnsi="Arial" w:cs="Arial"/>
          <w:sz w:val="22"/>
          <w:lang w:val="es-ES_tradnl"/>
        </w:rPr>
        <w:t>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Pr>
          <w:rStyle w:val="Refdenotaalpie"/>
          <w:rFonts w:ascii="Arial" w:eastAsia="Calibri" w:hAnsi="Arial" w:cs="Arial"/>
          <w:sz w:val="22"/>
          <w:lang w:val="es-ES_tradnl"/>
        </w:rPr>
        <w:footnoteReference w:id="13"/>
      </w:r>
      <w:r>
        <w:rPr>
          <w:rFonts w:ascii="Arial" w:eastAsia="Calibri" w:hAnsi="Arial" w:cs="Arial"/>
          <w:sz w:val="22"/>
          <w:lang w:val="es-ES_tradnl"/>
        </w:rPr>
        <w:t>.</w:t>
      </w:r>
    </w:p>
    <w:p w14:paraId="64D7F6B8" w14:textId="77777777" w:rsidR="00787B6E" w:rsidRPr="003953CA" w:rsidRDefault="00787B6E" w:rsidP="00787B6E">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De otro lado, e</w:t>
      </w:r>
      <w:r w:rsidRPr="003953CA">
        <w:rPr>
          <w:rFonts w:ascii="Arial" w:eastAsia="Calibri" w:hAnsi="Arial" w:cs="Arial"/>
          <w:sz w:val="22"/>
          <w:lang w:val="es-ES_tradnl"/>
        </w:rPr>
        <w:t xml:space="preserve">l régimen de inhabilidades e incompatibilidades en la contratación pública responde a la tendencia, vigente desde hace varias décadas en nuestro país, pero que se ha reforzado en los últimos años, de asegurar que la actividad de provisión de los </w:t>
      </w:r>
      <w:r w:rsidRPr="003953CA">
        <w:rPr>
          <w:rFonts w:ascii="Arial" w:eastAsia="Calibri" w:hAnsi="Arial" w:cs="Arial"/>
          <w:sz w:val="22"/>
          <w:lang w:val="es-ES_tradnl"/>
        </w:rPr>
        <w:lastRenderedPageBreak/>
        <w:t>bienes</w:t>
      </w:r>
      <w:r>
        <w:rPr>
          <w:rFonts w:ascii="Arial" w:eastAsia="Calibri" w:hAnsi="Arial" w:cs="Arial"/>
          <w:sz w:val="22"/>
          <w:lang w:val="es-ES_tradnl"/>
        </w:rPr>
        <w:t>, obras y</w:t>
      </w:r>
      <w:r w:rsidRPr="003953CA">
        <w:rPr>
          <w:rFonts w:ascii="Arial" w:eastAsia="Calibri" w:hAnsi="Arial" w:cs="Arial"/>
          <w:sz w:val="22"/>
          <w:lang w:val="es-ES_tradnl"/>
        </w:rPr>
        <w:t xml:space="preserve">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3953CA">
        <w:rPr>
          <w:rFonts w:ascii="Arial" w:eastAsia="Calibri" w:hAnsi="Arial" w:cs="Arial"/>
          <w:sz w:val="22"/>
          <w:lang w:val="es-ES_tradnl"/>
        </w:rPr>
        <w:t>neopunitiv</w:t>
      </w:r>
      <w:r>
        <w:rPr>
          <w:rFonts w:ascii="Arial" w:eastAsia="Calibri" w:hAnsi="Arial" w:cs="Arial"/>
          <w:sz w:val="22"/>
          <w:lang w:val="es-ES_tradnl"/>
        </w:rPr>
        <w:t>a</w:t>
      </w:r>
      <w:proofErr w:type="spellEnd"/>
      <w:r w:rsidRPr="003953CA">
        <w:rPr>
          <w:rFonts w:ascii="Arial" w:eastAsia="Calibri" w:hAnsi="Arial" w:cs="Arial"/>
          <w:sz w:val="22"/>
          <w:lang w:val="es-ES_tradnl"/>
        </w:rPr>
        <w:t>»</w:t>
      </w:r>
      <w:r w:rsidRPr="003953CA">
        <w:rPr>
          <w:rFonts w:ascii="Arial" w:eastAsia="Calibri" w:hAnsi="Arial" w:cs="Arial"/>
          <w:sz w:val="22"/>
          <w:vertAlign w:val="superscript"/>
          <w:lang w:val="es-ES_tradnl"/>
        </w:rPr>
        <w:footnoteReference w:id="14"/>
      </w:r>
      <w:r w:rsidRPr="003953CA">
        <w:rPr>
          <w:rFonts w:ascii="Arial" w:eastAsia="Calibri" w:hAnsi="Arial" w:cs="Arial"/>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C20CCC8" w14:textId="77777777" w:rsidR="00787B6E" w:rsidRDefault="00787B6E" w:rsidP="00787B6E">
      <w:pPr>
        <w:spacing w:before="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Ahora bien, las inhabilidades e incompatibilidades al ser restricciones o límites especiales a la capacidad para presentar ofertas y celebrar contratos estatales, solo pueden tipificarse en la ley </w:t>
      </w:r>
      <w:r>
        <w:rPr>
          <w:rFonts w:ascii="Arial" w:eastAsia="Calibri" w:hAnsi="Arial" w:cs="Arial"/>
          <w:sz w:val="22"/>
          <w:lang w:val="es-ES_tradnl"/>
        </w:rPr>
        <w:t xml:space="preserve">o la Constitución </w:t>
      </w:r>
      <w:r w:rsidRPr="003953CA">
        <w:rPr>
          <w:rFonts w:ascii="Arial" w:eastAsia="Calibri" w:hAnsi="Arial" w:cs="Arial"/>
          <w:sz w:val="22"/>
          <w:lang w:val="es-ES_tradnl"/>
        </w:rPr>
        <w:t xml:space="preserve">–o sea, deben satisfacer el principio de legalidad– y su interpretación debe ser </w:t>
      </w:r>
      <w:r w:rsidRPr="003953CA">
        <w:rPr>
          <w:rFonts w:ascii="Arial" w:eastAsia="Calibri" w:hAnsi="Arial" w:cs="Arial"/>
          <w:i/>
          <w:iCs/>
          <w:sz w:val="22"/>
          <w:lang w:val="es-ES_tradnl"/>
        </w:rPr>
        <w:t>restrictiva</w:t>
      </w:r>
      <w:r w:rsidRPr="003953CA">
        <w:rPr>
          <w:rFonts w:ascii="Arial" w:eastAsia="Calibri" w:hAnsi="Arial" w:cs="Arial"/>
          <w:sz w:val="22"/>
          <w:vertAlign w:val="superscript"/>
          <w:lang w:val="es-ES_tradnl"/>
        </w:rPr>
        <w:footnoteReference w:id="15"/>
      </w:r>
      <w:r w:rsidRPr="003953CA">
        <w:rPr>
          <w:rFonts w:ascii="Arial" w:eastAsia="Calibri" w:hAnsi="Arial" w:cs="Arial"/>
          <w:sz w:val="22"/>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w:t>
      </w:r>
      <w:r>
        <w:rPr>
          <w:rFonts w:ascii="Arial" w:eastAsia="Calibri" w:hAnsi="Arial" w:cs="Arial"/>
          <w:sz w:val="22"/>
          <w:lang w:val="es-ES_tradnl"/>
        </w:rPr>
        <w:t xml:space="preserve">la seguridad jurídica, </w:t>
      </w:r>
      <w:r w:rsidRPr="003953CA">
        <w:rPr>
          <w:rFonts w:ascii="Arial" w:eastAsia="Calibri" w:hAnsi="Arial" w:cs="Arial"/>
          <w:sz w:val="22"/>
          <w:lang w:val="es-ES_tradnl"/>
        </w:rPr>
        <w:t xml:space="preserve">la libre concurrencia y el ejercicio de la profesión u oficio. </w:t>
      </w:r>
    </w:p>
    <w:p w14:paraId="215CE9A1" w14:textId="77777777" w:rsidR="00787B6E" w:rsidRDefault="00787B6E" w:rsidP="00787B6E">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Con la finalidad de resolver las dudas planteadas en la presente consulta, se estudiará el artículo 8 de la Ley 80 de 1993, el cual reza de la siguiente forma: </w:t>
      </w:r>
    </w:p>
    <w:p w14:paraId="047B7838" w14:textId="77777777" w:rsidR="00787B6E" w:rsidRDefault="00787B6E" w:rsidP="00787B6E">
      <w:pPr>
        <w:pStyle w:val="Sinespaciado"/>
        <w:ind w:left="708" w:right="900"/>
        <w:jc w:val="both"/>
        <w:rPr>
          <w:rFonts w:ascii="Arial" w:hAnsi="Arial" w:cs="Arial"/>
          <w:sz w:val="21"/>
          <w:szCs w:val="21"/>
          <w:lang w:eastAsia="es-MX"/>
        </w:rPr>
      </w:pPr>
      <w:bookmarkStart w:id="3" w:name="8"/>
    </w:p>
    <w:p w14:paraId="0FBFAEB3" w14:textId="77777777" w:rsidR="00787B6E" w:rsidRPr="002E79FC" w:rsidRDefault="00787B6E" w:rsidP="00787B6E">
      <w:pPr>
        <w:pStyle w:val="Sinespaciado"/>
        <w:ind w:left="708" w:right="900"/>
        <w:jc w:val="both"/>
        <w:rPr>
          <w:rFonts w:ascii="Arial" w:hAnsi="Arial" w:cs="Arial"/>
          <w:sz w:val="21"/>
          <w:szCs w:val="21"/>
          <w:lang w:eastAsia="es-MX"/>
        </w:rPr>
      </w:pPr>
      <w:r w:rsidRPr="004D3DFE">
        <w:rPr>
          <w:rFonts w:ascii="Arial" w:hAnsi="Arial" w:cs="Arial"/>
          <w:sz w:val="21"/>
          <w:szCs w:val="21"/>
        </w:rPr>
        <w:t>«</w:t>
      </w:r>
      <w:bookmarkEnd w:id="3"/>
      <w:r w:rsidRPr="002E79FC">
        <w:rPr>
          <w:rFonts w:ascii="Arial" w:hAnsi="Arial" w:cs="Arial"/>
          <w:sz w:val="21"/>
          <w:szCs w:val="21"/>
          <w:lang w:eastAsia="es-MX"/>
        </w:rPr>
        <w:t>ARTICULO 8°. DE LAS INHABILIDADES E INCOMPATIBILIDADES PARA CONTRATAR.</w:t>
      </w:r>
    </w:p>
    <w:p w14:paraId="479DBEE7" w14:textId="77777777" w:rsidR="00787B6E" w:rsidRPr="002E79FC" w:rsidRDefault="00787B6E" w:rsidP="00787B6E">
      <w:pPr>
        <w:pStyle w:val="Sinespaciado"/>
        <w:ind w:left="708" w:right="900"/>
        <w:jc w:val="both"/>
        <w:rPr>
          <w:rFonts w:ascii="Arial" w:hAnsi="Arial" w:cs="Arial"/>
          <w:sz w:val="21"/>
          <w:szCs w:val="21"/>
          <w:lang w:eastAsia="es-MX"/>
        </w:rPr>
      </w:pPr>
    </w:p>
    <w:p w14:paraId="09B16E66"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1°. Son inhábiles para participar en licitaciones o concursos y para celebrar contratos con las entidades estatales:</w:t>
      </w:r>
    </w:p>
    <w:p w14:paraId="76E507A8" w14:textId="77777777" w:rsidR="00787B6E" w:rsidRPr="002E79FC" w:rsidRDefault="00787B6E" w:rsidP="00787B6E">
      <w:pPr>
        <w:pStyle w:val="Sinespaciado"/>
        <w:ind w:left="708" w:right="900"/>
        <w:jc w:val="both"/>
        <w:rPr>
          <w:rFonts w:ascii="Arial" w:hAnsi="Arial" w:cs="Arial"/>
          <w:sz w:val="21"/>
          <w:szCs w:val="21"/>
          <w:lang w:eastAsia="es-MX"/>
        </w:rPr>
      </w:pPr>
    </w:p>
    <w:p w14:paraId="4B63B89C"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a) Las personas que se hallen inhabilitadas para contratar por la Constitución y las leyes.</w:t>
      </w:r>
    </w:p>
    <w:p w14:paraId="4BAE06D2" w14:textId="77777777" w:rsidR="00787B6E" w:rsidRPr="002E79FC" w:rsidRDefault="00787B6E" w:rsidP="00787B6E">
      <w:pPr>
        <w:pStyle w:val="Sinespaciado"/>
        <w:ind w:left="708" w:right="900"/>
        <w:jc w:val="both"/>
        <w:rPr>
          <w:rFonts w:ascii="Arial" w:hAnsi="Arial" w:cs="Arial"/>
          <w:sz w:val="21"/>
          <w:szCs w:val="21"/>
          <w:lang w:eastAsia="es-MX"/>
        </w:rPr>
      </w:pPr>
    </w:p>
    <w:p w14:paraId="6E48916F"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b) Quienes participaron en las licitaciones o concursos o celebraron los contratos de que trata el literal anterior estando inhabilitados.</w:t>
      </w:r>
    </w:p>
    <w:p w14:paraId="710045C8" w14:textId="77777777" w:rsidR="00787B6E" w:rsidRPr="002E79FC" w:rsidRDefault="00787B6E" w:rsidP="00787B6E">
      <w:pPr>
        <w:pStyle w:val="Sinespaciado"/>
        <w:ind w:left="708" w:right="900"/>
        <w:jc w:val="both"/>
        <w:rPr>
          <w:rFonts w:ascii="Arial" w:hAnsi="Arial" w:cs="Arial"/>
          <w:sz w:val="21"/>
          <w:szCs w:val="21"/>
          <w:lang w:eastAsia="es-MX"/>
        </w:rPr>
      </w:pPr>
    </w:p>
    <w:p w14:paraId="3282109A"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c) Quienes dieron lugar a la declaratoria de caducidad.</w:t>
      </w:r>
    </w:p>
    <w:p w14:paraId="42C3C308" w14:textId="77777777" w:rsidR="00787B6E" w:rsidRPr="002E79FC" w:rsidRDefault="00787B6E" w:rsidP="00787B6E">
      <w:pPr>
        <w:pStyle w:val="Sinespaciado"/>
        <w:ind w:left="708" w:right="900"/>
        <w:jc w:val="both"/>
        <w:rPr>
          <w:rFonts w:ascii="Arial" w:hAnsi="Arial" w:cs="Arial"/>
          <w:sz w:val="21"/>
          <w:szCs w:val="21"/>
          <w:lang w:eastAsia="es-MX"/>
        </w:rPr>
      </w:pPr>
    </w:p>
    <w:p w14:paraId="6B1DD0A3"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lastRenderedPageBreak/>
        <w:t xml:space="preserve">d) Quienes en sentencia judicial hayan sido condenados a la pena accesoria de interdicción de derechos y funciones públicas y quienes hayan sido sancionados disciplinariamente con destitución. </w:t>
      </w:r>
    </w:p>
    <w:p w14:paraId="71D9E909" w14:textId="77777777" w:rsidR="00787B6E" w:rsidRPr="002E79FC" w:rsidRDefault="00787B6E" w:rsidP="00787B6E">
      <w:pPr>
        <w:pStyle w:val="Sinespaciado"/>
        <w:ind w:left="708" w:right="900"/>
        <w:jc w:val="both"/>
        <w:rPr>
          <w:rFonts w:ascii="Arial" w:hAnsi="Arial" w:cs="Arial"/>
          <w:sz w:val="21"/>
          <w:szCs w:val="21"/>
          <w:lang w:eastAsia="es-MX"/>
        </w:rPr>
      </w:pPr>
    </w:p>
    <w:p w14:paraId="4FCDE6CB"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e) Quienes sin justa causa se abstengan de suscribir el contrato estatal adjudicado.</w:t>
      </w:r>
    </w:p>
    <w:p w14:paraId="291BE293" w14:textId="77777777" w:rsidR="00787B6E" w:rsidRPr="002E79FC" w:rsidRDefault="00787B6E" w:rsidP="00787B6E">
      <w:pPr>
        <w:pStyle w:val="Sinespaciado"/>
        <w:ind w:left="708" w:right="900"/>
        <w:jc w:val="both"/>
        <w:rPr>
          <w:rFonts w:ascii="Arial" w:hAnsi="Arial" w:cs="Arial"/>
          <w:sz w:val="21"/>
          <w:szCs w:val="21"/>
          <w:lang w:eastAsia="es-MX"/>
        </w:rPr>
      </w:pPr>
    </w:p>
    <w:p w14:paraId="2DCFD94D"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f) Los servidores públicos.</w:t>
      </w:r>
    </w:p>
    <w:p w14:paraId="19D025C8" w14:textId="77777777" w:rsidR="00787B6E" w:rsidRPr="002E79FC" w:rsidRDefault="00787B6E" w:rsidP="00787B6E">
      <w:pPr>
        <w:pStyle w:val="Sinespaciado"/>
        <w:ind w:left="708" w:right="900"/>
        <w:jc w:val="both"/>
        <w:rPr>
          <w:rFonts w:ascii="Arial" w:hAnsi="Arial" w:cs="Arial"/>
          <w:sz w:val="21"/>
          <w:szCs w:val="21"/>
          <w:lang w:eastAsia="es-MX"/>
        </w:rPr>
      </w:pPr>
    </w:p>
    <w:p w14:paraId="61463615"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g) Quienes sean cónyuges o compañeros permanentes y quienes se encuentren dentro del segundo grado de consanguinidad o segundo de afinidad con cualquier otra persona que formalmente haya presentado propuesta para una misma licitación.</w:t>
      </w:r>
    </w:p>
    <w:p w14:paraId="5D95A7F5" w14:textId="77777777" w:rsidR="00787B6E" w:rsidRPr="002E79FC" w:rsidRDefault="00787B6E" w:rsidP="00787B6E">
      <w:pPr>
        <w:pStyle w:val="Sinespaciado"/>
        <w:ind w:left="708" w:right="900"/>
        <w:jc w:val="both"/>
        <w:rPr>
          <w:rFonts w:ascii="Arial" w:hAnsi="Arial" w:cs="Arial"/>
          <w:sz w:val="21"/>
          <w:szCs w:val="21"/>
          <w:lang w:eastAsia="es-MX"/>
        </w:rPr>
      </w:pPr>
    </w:p>
    <w:p w14:paraId="51594429"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6898B0C9" w14:textId="77777777" w:rsidR="00787B6E" w:rsidRPr="002E79FC" w:rsidRDefault="00787B6E" w:rsidP="00787B6E">
      <w:pPr>
        <w:pStyle w:val="Sinespaciado"/>
        <w:ind w:left="708" w:right="900"/>
        <w:jc w:val="both"/>
        <w:rPr>
          <w:rFonts w:ascii="Arial" w:hAnsi="Arial" w:cs="Arial"/>
          <w:sz w:val="21"/>
          <w:szCs w:val="21"/>
          <w:lang w:eastAsia="es-MX"/>
        </w:rPr>
      </w:pPr>
    </w:p>
    <w:p w14:paraId="44C2EB55"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i) Los socios de sociedades de personas a las cuales se haya declarado la caducidad, así como las sociedades de personas de las que aquellos formen parte con posterioridad a dicha declaratoria.</w:t>
      </w:r>
    </w:p>
    <w:p w14:paraId="04CAED54" w14:textId="77777777" w:rsidR="00787B6E" w:rsidRPr="002E79FC" w:rsidRDefault="00787B6E" w:rsidP="00787B6E">
      <w:pPr>
        <w:pStyle w:val="Sinespaciado"/>
        <w:ind w:left="708" w:right="900"/>
        <w:jc w:val="both"/>
        <w:rPr>
          <w:rFonts w:ascii="Arial" w:hAnsi="Arial" w:cs="Arial"/>
          <w:sz w:val="21"/>
          <w:szCs w:val="21"/>
          <w:lang w:eastAsia="es-MX"/>
        </w:rPr>
      </w:pPr>
    </w:p>
    <w:p w14:paraId="77FF73FF"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de la de celebración del contrato, o de la de expiración del plazo para su firma.</w:t>
      </w:r>
    </w:p>
    <w:p w14:paraId="1E11FE97" w14:textId="77777777" w:rsidR="00787B6E" w:rsidRPr="002E79FC" w:rsidRDefault="00787B6E" w:rsidP="00787B6E">
      <w:pPr>
        <w:pStyle w:val="Sinespaciado"/>
        <w:ind w:left="708" w:right="900"/>
        <w:jc w:val="both"/>
        <w:rPr>
          <w:rFonts w:ascii="Arial" w:hAnsi="Arial" w:cs="Arial"/>
          <w:sz w:val="21"/>
          <w:szCs w:val="21"/>
          <w:lang w:eastAsia="es-MX"/>
        </w:rPr>
      </w:pPr>
    </w:p>
    <w:p w14:paraId="3360B18F"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j) Literal reglamentado por el Decreto 1358 de 2020. Literal modificado por la Ley 2014 de 2019, artículo 2º.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1F889876" w14:textId="77777777" w:rsidR="00787B6E" w:rsidRPr="002E79FC" w:rsidRDefault="00787B6E" w:rsidP="00787B6E">
      <w:pPr>
        <w:pStyle w:val="Sinespaciado"/>
        <w:ind w:left="708" w:right="900"/>
        <w:jc w:val="both"/>
        <w:rPr>
          <w:rFonts w:ascii="Arial" w:hAnsi="Arial" w:cs="Arial"/>
          <w:sz w:val="21"/>
          <w:szCs w:val="21"/>
          <w:lang w:eastAsia="es-MX"/>
        </w:rPr>
      </w:pPr>
    </w:p>
    <w:p w14:paraId="564DB4B7"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 xml:space="preserve">Esta inhabilidad procederá preventivamente aún en los casos en los que esté pendiente la decisión sobre la impugnación de la sentencia condenatoria.  </w:t>
      </w:r>
    </w:p>
    <w:p w14:paraId="7E1AC61D" w14:textId="77777777" w:rsidR="00787B6E" w:rsidRPr="002E79FC" w:rsidRDefault="00787B6E" w:rsidP="00787B6E">
      <w:pPr>
        <w:pStyle w:val="Sinespaciado"/>
        <w:ind w:left="708" w:right="900"/>
        <w:jc w:val="both"/>
        <w:rPr>
          <w:rFonts w:ascii="Arial" w:hAnsi="Arial" w:cs="Arial"/>
          <w:sz w:val="21"/>
          <w:szCs w:val="21"/>
          <w:lang w:eastAsia="es-MX"/>
        </w:rPr>
      </w:pPr>
    </w:p>
    <w:p w14:paraId="642F4D7B"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 xml:space="preserve">Asimismo, la inhabilidad se extenderá a las sociedades de las que hagan parte dichas personas en calidad de administradores, representantes legales, miembros de junta directiva o de socios controlantes, a sus matrices y a sus </w:t>
      </w:r>
      <w:r w:rsidRPr="002E79FC">
        <w:rPr>
          <w:rFonts w:ascii="Arial" w:hAnsi="Arial" w:cs="Arial"/>
          <w:sz w:val="21"/>
          <w:szCs w:val="21"/>
          <w:lang w:eastAsia="es-MX"/>
        </w:rPr>
        <w:lastRenderedPageBreak/>
        <w:t>subordinadas, a los grupos empresariales a los que estas pertenezcan cuando la conducta delictiva haya sido parte de una política del grupo y a las sucursales de sociedades extranjeras, con excepción de las sociedades anónimas abiertas.</w:t>
      </w:r>
    </w:p>
    <w:p w14:paraId="05BC46C5" w14:textId="77777777" w:rsidR="00787B6E" w:rsidRPr="002E79FC" w:rsidRDefault="00787B6E" w:rsidP="00787B6E">
      <w:pPr>
        <w:pStyle w:val="Sinespaciado"/>
        <w:ind w:left="708" w:right="900"/>
        <w:jc w:val="both"/>
        <w:rPr>
          <w:rFonts w:ascii="Arial" w:hAnsi="Arial" w:cs="Arial"/>
          <w:sz w:val="21"/>
          <w:szCs w:val="21"/>
          <w:lang w:eastAsia="es-MX"/>
        </w:rPr>
      </w:pPr>
    </w:p>
    <w:p w14:paraId="22F3BA4D"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7B3EE16E" w14:textId="77777777" w:rsidR="00787B6E" w:rsidRPr="002E79FC" w:rsidRDefault="00787B6E" w:rsidP="00787B6E">
      <w:pPr>
        <w:pStyle w:val="Sinespaciado"/>
        <w:ind w:left="708" w:right="900"/>
        <w:jc w:val="both"/>
        <w:rPr>
          <w:rFonts w:ascii="Arial" w:hAnsi="Arial" w:cs="Arial"/>
          <w:sz w:val="21"/>
          <w:szCs w:val="21"/>
          <w:lang w:eastAsia="es-MX"/>
        </w:rPr>
      </w:pPr>
    </w:p>
    <w:p w14:paraId="365B2169"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p>
    <w:p w14:paraId="611D9B13" w14:textId="77777777" w:rsidR="00787B6E" w:rsidRPr="002E79FC" w:rsidRDefault="00787B6E" w:rsidP="00787B6E">
      <w:pPr>
        <w:pStyle w:val="Sinespaciado"/>
        <w:ind w:left="708" w:right="900"/>
        <w:jc w:val="both"/>
        <w:rPr>
          <w:rFonts w:ascii="Arial" w:hAnsi="Arial" w:cs="Arial"/>
          <w:sz w:val="21"/>
          <w:szCs w:val="21"/>
          <w:lang w:eastAsia="es-MX"/>
        </w:rPr>
      </w:pPr>
    </w:p>
    <w:p w14:paraId="47D31140"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k) Literal adicionado por la Ley 1474 de 2011, artículo 2º. Éste modificado por la Ley 1778 de 2016, artículo 33. Inhabilidad para contratar de quienes financien campañas políticas.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0749ACEE" w14:textId="77777777" w:rsidR="00787B6E" w:rsidRPr="002E79FC" w:rsidRDefault="00787B6E" w:rsidP="00787B6E">
      <w:pPr>
        <w:pStyle w:val="Sinespaciado"/>
        <w:ind w:left="708" w:right="900"/>
        <w:jc w:val="both"/>
        <w:rPr>
          <w:rFonts w:ascii="Arial" w:hAnsi="Arial" w:cs="Arial"/>
          <w:sz w:val="21"/>
          <w:szCs w:val="21"/>
          <w:lang w:eastAsia="es-MX"/>
        </w:rPr>
      </w:pPr>
    </w:p>
    <w:p w14:paraId="307BD06C"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18F78E49" w14:textId="77777777" w:rsidR="00787B6E" w:rsidRPr="002E79FC" w:rsidRDefault="00787B6E" w:rsidP="00787B6E">
      <w:pPr>
        <w:pStyle w:val="Sinespaciado"/>
        <w:ind w:left="708" w:right="900"/>
        <w:jc w:val="both"/>
        <w:rPr>
          <w:rFonts w:ascii="Arial" w:hAnsi="Arial" w:cs="Arial"/>
          <w:sz w:val="21"/>
          <w:szCs w:val="21"/>
          <w:lang w:eastAsia="es-MX"/>
        </w:rPr>
      </w:pPr>
    </w:p>
    <w:p w14:paraId="6C1A5232"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14:paraId="48D03389" w14:textId="77777777" w:rsidR="00787B6E" w:rsidRPr="002E79FC" w:rsidRDefault="00787B6E" w:rsidP="00787B6E">
      <w:pPr>
        <w:pStyle w:val="Sinespaciado"/>
        <w:ind w:left="708" w:right="900"/>
        <w:jc w:val="both"/>
        <w:rPr>
          <w:rFonts w:ascii="Arial" w:hAnsi="Arial" w:cs="Arial"/>
          <w:sz w:val="21"/>
          <w:szCs w:val="21"/>
          <w:lang w:eastAsia="es-MX"/>
        </w:rPr>
      </w:pPr>
    </w:p>
    <w:p w14:paraId="7655F3D8"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La inhabilidad contemplada en esta norma no se aplicará respecto de los contratos de prestación de servicios profesionales.</w:t>
      </w:r>
    </w:p>
    <w:p w14:paraId="5A78A6F2" w14:textId="77777777" w:rsidR="00787B6E" w:rsidRPr="002E79FC" w:rsidRDefault="00787B6E" w:rsidP="00787B6E">
      <w:pPr>
        <w:pStyle w:val="Sinespaciado"/>
        <w:ind w:left="708" w:right="900"/>
        <w:jc w:val="both"/>
        <w:rPr>
          <w:rFonts w:ascii="Arial" w:hAnsi="Arial" w:cs="Arial"/>
          <w:sz w:val="21"/>
          <w:szCs w:val="21"/>
          <w:lang w:eastAsia="es-MX"/>
        </w:rPr>
      </w:pPr>
    </w:p>
    <w:p w14:paraId="61A966F5"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 xml:space="preserve">k) Literal adicionado por la Ley 1474 de 2011, artículo 84, parágrafo 2º. (éste declarado exequible condicionalmente por los cargos analizados por la Corte Constitucional en la Sentencia C-434 de 2013.). El interventor que incumpla el deber de entregar información a la entidad contratante relacionada con el </w:t>
      </w:r>
      <w:r w:rsidRPr="002E79FC">
        <w:rPr>
          <w:rFonts w:ascii="Arial" w:hAnsi="Arial" w:cs="Arial"/>
          <w:sz w:val="21"/>
          <w:szCs w:val="21"/>
          <w:lang w:eastAsia="es-MX"/>
        </w:rPr>
        <w:lastRenderedPageBreak/>
        <w:t>incumplimiento del contrato, con hechos o circunstancias que puedan constituir actos de corrupción tipificados como conductas punibles, o que puedan poner o pongan en riesgo el cumplimiento del contrato.</w:t>
      </w:r>
    </w:p>
    <w:p w14:paraId="3ADFA510" w14:textId="77777777" w:rsidR="00787B6E" w:rsidRPr="002E79FC" w:rsidRDefault="00787B6E" w:rsidP="00787B6E">
      <w:pPr>
        <w:pStyle w:val="Sinespaciado"/>
        <w:ind w:left="708" w:right="900"/>
        <w:jc w:val="both"/>
        <w:rPr>
          <w:rFonts w:ascii="Arial" w:hAnsi="Arial" w:cs="Arial"/>
          <w:sz w:val="21"/>
          <w:szCs w:val="21"/>
          <w:lang w:eastAsia="es-MX"/>
        </w:rPr>
      </w:pPr>
    </w:p>
    <w:p w14:paraId="30CC2B68"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Esta inhabilidad se extenderá por un término de cinco (5) años, contados a partir de la ejecutoria del acto administrativo que así lo declare, previa la actuación administrativa correspondiente.</w:t>
      </w:r>
    </w:p>
    <w:p w14:paraId="23AA1165" w14:textId="77777777" w:rsidR="00787B6E" w:rsidRPr="002E79FC" w:rsidRDefault="00787B6E" w:rsidP="00787B6E">
      <w:pPr>
        <w:pStyle w:val="Sinespaciado"/>
        <w:ind w:left="708" w:right="900"/>
        <w:jc w:val="both"/>
        <w:rPr>
          <w:rFonts w:ascii="Arial" w:hAnsi="Arial" w:cs="Arial"/>
          <w:sz w:val="21"/>
          <w:szCs w:val="21"/>
          <w:lang w:eastAsia="es-MX"/>
        </w:rPr>
      </w:pPr>
    </w:p>
    <w:p w14:paraId="4E6A16A6"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2°. Tampoco podrán participar en licitaciones o concursos ni celebrar contratos estatales con la entidad respectiva:</w:t>
      </w:r>
    </w:p>
    <w:p w14:paraId="56F3B8AB" w14:textId="77777777" w:rsidR="00787B6E" w:rsidRPr="002E79FC" w:rsidRDefault="00787B6E" w:rsidP="00787B6E">
      <w:pPr>
        <w:pStyle w:val="Sinespaciado"/>
        <w:ind w:left="708" w:right="900"/>
        <w:jc w:val="both"/>
        <w:rPr>
          <w:rFonts w:ascii="Arial" w:hAnsi="Arial" w:cs="Arial"/>
          <w:sz w:val="21"/>
          <w:szCs w:val="21"/>
          <w:lang w:eastAsia="es-MX"/>
        </w:rPr>
      </w:pPr>
    </w:p>
    <w:p w14:paraId="5F005435"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w:t>
      </w:r>
    </w:p>
    <w:p w14:paraId="2AAB5829" w14:textId="77777777" w:rsidR="00787B6E" w:rsidRPr="002E79FC" w:rsidRDefault="00787B6E" w:rsidP="00787B6E">
      <w:pPr>
        <w:pStyle w:val="Sinespaciado"/>
        <w:ind w:left="708" w:right="900"/>
        <w:jc w:val="both"/>
        <w:rPr>
          <w:rFonts w:ascii="Arial" w:hAnsi="Arial" w:cs="Arial"/>
          <w:sz w:val="21"/>
          <w:szCs w:val="21"/>
          <w:lang w:eastAsia="es-MX"/>
        </w:rPr>
      </w:pPr>
    </w:p>
    <w:p w14:paraId="0A61EDBF"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 xml:space="preserve">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w:t>
      </w:r>
      <w:proofErr w:type="spellStart"/>
      <w:r w:rsidRPr="002E79FC">
        <w:rPr>
          <w:rFonts w:ascii="Arial" w:hAnsi="Arial" w:cs="Arial"/>
          <w:sz w:val="21"/>
          <w:szCs w:val="21"/>
          <w:lang w:eastAsia="es-MX"/>
        </w:rPr>
        <w:t>ejerzan</w:t>
      </w:r>
      <w:proofErr w:type="spellEnd"/>
      <w:r w:rsidRPr="002E79FC">
        <w:rPr>
          <w:rFonts w:ascii="Arial" w:hAnsi="Arial" w:cs="Arial"/>
          <w:sz w:val="21"/>
          <w:szCs w:val="21"/>
          <w:lang w:eastAsia="es-MX"/>
        </w:rPr>
        <w:t xml:space="preserve"> el control interno o fiscal de la entidad contratante.</w:t>
      </w:r>
    </w:p>
    <w:p w14:paraId="69EA6B7C" w14:textId="77777777" w:rsidR="00787B6E" w:rsidRPr="002E79FC" w:rsidRDefault="00787B6E" w:rsidP="00787B6E">
      <w:pPr>
        <w:pStyle w:val="Sinespaciado"/>
        <w:ind w:left="708" w:right="900"/>
        <w:jc w:val="both"/>
        <w:rPr>
          <w:rFonts w:ascii="Arial" w:hAnsi="Arial" w:cs="Arial"/>
          <w:sz w:val="21"/>
          <w:szCs w:val="21"/>
          <w:lang w:eastAsia="es-MX"/>
        </w:rPr>
      </w:pPr>
    </w:p>
    <w:p w14:paraId="612A6F9A"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 xml:space="preserve">c) El cónyuge, compañero o compañera permanente del servidor público en los niveles directivo, asesor, ejecutivo, o de un miembro de la junta o consejo directivo, o de quien ejerza funciones de control interno o de control fiscal.  </w:t>
      </w:r>
    </w:p>
    <w:p w14:paraId="340854F1" w14:textId="77777777" w:rsidR="00787B6E" w:rsidRPr="002E79FC" w:rsidRDefault="00787B6E" w:rsidP="00787B6E">
      <w:pPr>
        <w:pStyle w:val="Sinespaciado"/>
        <w:ind w:left="708" w:right="900"/>
        <w:jc w:val="both"/>
        <w:rPr>
          <w:rFonts w:ascii="Arial" w:hAnsi="Arial" w:cs="Arial"/>
          <w:sz w:val="21"/>
          <w:szCs w:val="21"/>
          <w:lang w:eastAsia="es-MX"/>
        </w:rPr>
      </w:pPr>
    </w:p>
    <w:p w14:paraId="3EAF6DE7"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6B181447" w14:textId="77777777" w:rsidR="00787B6E" w:rsidRPr="002E79FC" w:rsidRDefault="00787B6E" w:rsidP="00787B6E">
      <w:pPr>
        <w:pStyle w:val="Sinespaciado"/>
        <w:ind w:left="708" w:right="900"/>
        <w:jc w:val="both"/>
        <w:rPr>
          <w:rFonts w:ascii="Arial" w:hAnsi="Arial" w:cs="Arial"/>
          <w:sz w:val="21"/>
          <w:szCs w:val="21"/>
          <w:lang w:eastAsia="es-MX"/>
        </w:rPr>
      </w:pPr>
    </w:p>
    <w:p w14:paraId="15CECE13"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e) Los miembros de las juntas o consejos directivos. Esta incompatibilidad sólo se predica respecto de la entidad a la cual prestan sus servicios y de las del sector administrativo al que la misma esté adscrita o vinculada.</w:t>
      </w:r>
    </w:p>
    <w:p w14:paraId="39C46022" w14:textId="77777777" w:rsidR="00787B6E" w:rsidRPr="002E79FC" w:rsidRDefault="00787B6E" w:rsidP="00787B6E">
      <w:pPr>
        <w:pStyle w:val="Sinespaciado"/>
        <w:ind w:left="708" w:right="900"/>
        <w:jc w:val="both"/>
        <w:rPr>
          <w:rFonts w:ascii="Arial" w:hAnsi="Arial" w:cs="Arial"/>
          <w:sz w:val="21"/>
          <w:szCs w:val="21"/>
          <w:lang w:eastAsia="es-MX"/>
        </w:rPr>
      </w:pPr>
    </w:p>
    <w:p w14:paraId="3DA8B8CA"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f) Literal adicionado por la Ley 1474 de 2011, artículo 4º.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0CC5FF51" w14:textId="77777777" w:rsidR="00787B6E" w:rsidRPr="002E79FC" w:rsidRDefault="00787B6E" w:rsidP="00787B6E">
      <w:pPr>
        <w:pStyle w:val="Sinespaciado"/>
        <w:ind w:left="708" w:right="900"/>
        <w:jc w:val="both"/>
        <w:rPr>
          <w:rFonts w:ascii="Arial" w:hAnsi="Arial" w:cs="Arial"/>
          <w:sz w:val="21"/>
          <w:szCs w:val="21"/>
          <w:lang w:eastAsia="es-MX"/>
        </w:rPr>
      </w:pPr>
    </w:p>
    <w:p w14:paraId="22E0896A"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lastRenderedPageBreak/>
        <w:t xml:space="preserve">Esta incompatibilidad también operará para las personas que se encuentren dentro del primer grado de consanguinidad, primero de afinidad, o primero civil del </w:t>
      </w:r>
      <w:proofErr w:type="gramStart"/>
      <w:r w:rsidRPr="002E79FC">
        <w:rPr>
          <w:rFonts w:ascii="Arial" w:hAnsi="Arial" w:cs="Arial"/>
          <w:sz w:val="21"/>
          <w:szCs w:val="21"/>
          <w:lang w:eastAsia="es-MX"/>
        </w:rPr>
        <w:t>ex empleado</w:t>
      </w:r>
      <w:proofErr w:type="gramEnd"/>
      <w:r w:rsidRPr="002E79FC">
        <w:rPr>
          <w:rFonts w:ascii="Arial" w:hAnsi="Arial" w:cs="Arial"/>
          <w:sz w:val="21"/>
          <w:szCs w:val="21"/>
          <w:lang w:eastAsia="es-MX"/>
        </w:rPr>
        <w:t xml:space="preserve"> público.</w:t>
      </w:r>
    </w:p>
    <w:p w14:paraId="1B0469D2" w14:textId="77777777" w:rsidR="00787B6E" w:rsidRPr="002E79FC" w:rsidRDefault="00787B6E" w:rsidP="00787B6E">
      <w:pPr>
        <w:pStyle w:val="Sinespaciado"/>
        <w:ind w:left="708" w:right="900"/>
        <w:jc w:val="both"/>
        <w:rPr>
          <w:rFonts w:ascii="Arial" w:hAnsi="Arial" w:cs="Arial"/>
          <w:sz w:val="21"/>
          <w:szCs w:val="21"/>
          <w:lang w:eastAsia="es-MX"/>
        </w:rPr>
      </w:pPr>
    </w:p>
    <w:p w14:paraId="135C6D9E"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PARAGRAFO 1°. La inhabilidad prevista en el literal d) del ordinal 2°. de este artículo no se aplicará en relación con las corporaciones, asociaciones, fundaciones y sociedades allí mencionadas, cuando por disposición legal o estatutaria el servidor público en los niveles referidos debe desempeñar en ellas cargos de dirección o manejo.</w:t>
      </w:r>
    </w:p>
    <w:p w14:paraId="5BE5EF15" w14:textId="77777777" w:rsidR="00787B6E" w:rsidRPr="002E79FC" w:rsidRDefault="00787B6E" w:rsidP="00787B6E">
      <w:pPr>
        <w:pStyle w:val="Sinespaciado"/>
        <w:ind w:left="708" w:right="900"/>
        <w:jc w:val="both"/>
        <w:rPr>
          <w:rFonts w:ascii="Arial" w:hAnsi="Arial" w:cs="Arial"/>
          <w:sz w:val="21"/>
          <w:szCs w:val="21"/>
          <w:lang w:eastAsia="es-MX"/>
        </w:rPr>
      </w:pPr>
    </w:p>
    <w:p w14:paraId="1F11EAAC"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Inciso adicionado por la Ley 1150 de 2007, artículo 18. En las causales de inhabilidad por parentesco o por matrimonio, los vínculos desaparecen por muerte o por disolución del matrimonio.</w:t>
      </w:r>
    </w:p>
    <w:p w14:paraId="0D648D7F" w14:textId="77777777" w:rsidR="00787B6E" w:rsidRPr="002E79FC" w:rsidRDefault="00787B6E" w:rsidP="00787B6E">
      <w:pPr>
        <w:pStyle w:val="Sinespaciado"/>
        <w:ind w:left="708" w:right="900"/>
        <w:jc w:val="both"/>
        <w:rPr>
          <w:rFonts w:ascii="Arial" w:hAnsi="Arial" w:cs="Arial"/>
          <w:sz w:val="21"/>
          <w:szCs w:val="21"/>
          <w:lang w:eastAsia="es-MX"/>
        </w:rPr>
      </w:pPr>
    </w:p>
    <w:p w14:paraId="6594FFC6" w14:textId="77777777" w:rsidR="00787B6E" w:rsidRPr="002E79FC"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PARAGRAFO 2°. Para los efectos previstos en este artículo, el Gobierno Nacional determinará que debe entenderse por sociedades anónimas abiertas.</w:t>
      </w:r>
    </w:p>
    <w:p w14:paraId="20254971" w14:textId="77777777" w:rsidR="00787B6E" w:rsidRPr="002E79FC" w:rsidRDefault="00787B6E" w:rsidP="00787B6E">
      <w:pPr>
        <w:pStyle w:val="Sinespaciado"/>
        <w:ind w:left="708" w:right="900"/>
        <w:jc w:val="both"/>
        <w:rPr>
          <w:rFonts w:ascii="Arial" w:hAnsi="Arial" w:cs="Arial"/>
          <w:sz w:val="21"/>
          <w:szCs w:val="21"/>
          <w:lang w:eastAsia="es-MX"/>
        </w:rPr>
      </w:pPr>
    </w:p>
    <w:p w14:paraId="517F26DA" w14:textId="77777777" w:rsidR="00787B6E" w:rsidRPr="008A6CA5" w:rsidRDefault="00787B6E" w:rsidP="00787B6E">
      <w:pPr>
        <w:pStyle w:val="Sinespaciado"/>
        <w:ind w:left="708" w:right="900"/>
        <w:jc w:val="both"/>
        <w:rPr>
          <w:rFonts w:ascii="Arial" w:hAnsi="Arial" w:cs="Arial"/>
          <w:sz w:val="21"/>
          <w:szCs w:val="21"/>
          <w:lang w:eastAsia="es-MX"/>
        </w:rPr>
      </w:pPr>
      <w:r w:rsidRPr="002E79FC">
        <w:rPr>
          <w:rFonts w:ascii="Arial" w:hAnsi="Arial" w:cs="Arial"/>
          <w:sz w:val="21"/>
          <w:szCs w:val="21"/>
          <w:lang w:eastAsia="es-MX"/>
        </w:rPr>
        <w:t>PARÁGRAFO 3º. Adicionado por la Ley 2014 de 2019, artículo 3o. Las inhabilidades e incompatibilidades contempladas en este artículo se aplicarán a cualquier proceso de contratación privada en el que se comprometan recursos públicos</w:t>
      </w:r>
      <w:r>
        <w:rPr>
          <w:rFonts w:ascii="Arial" w:hAnsi="Arial" w:cs="Arial"/>
          <w:sz w:val="21"/>
          <w:szCs w:val="21"/>
          <w:lang w:eastAsia="es-MX"/>
        </w:rPr>
        <w:t>.</w:t>
      </w:r>
      <w:r w:rsidRPr="004D3DFE">
        <w:rPr>
          <w:rFonts w:ascii="Arial" w:hAnsi="Arial" w:cs="Arial"/>
          <w:sz w:val="21"/>
          <w:szCs w:val="21"/>
        </w:rPr>
        <w:t>»</w:t>
      </w:r>
    </w:p>
    <w:p w14:paraId="160258E2" w14:textId="77777777" w:rsidR="00787B6E" w:rsidRPr="00E13DC3" w:rsidRDefault="00787B6E" w:rsidP="00787B6E">
      <w:pPr>
        <w:ind w:left="709" w:right="709"/>
        <w:jc w:val="both"/>
        <w:rPr>
          <w:rFonts w:ascii="Arial" w:hAnsi="Arial" w:cs="Arial"/>
          <w:i/>
          <w:iCs/>
          <w:color w:val="000000" w:themeColor="text1"/>
          <w:sz w:val="20"/>
          <w:szCs w:val="20"/>
        </w:rPr>
      </w:pPr>
    </w:p>
    <w:p w14:paraId="731887DA" w14:textId="77777777" w:rsidR="00787B6E" w:rsidRDefault="00787B6E" w:rsidP="00787B6E">
      <w:pPr>
        <w:spacing w:before="120" w:after="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En la relación de las causales de inhabilidad e incompatibilidad previstas en el artículo 8 de la Ley 80 de 1993 no se evidencia alguna que haga referencia a la prohibición de participar en un proceso de selección por parte de dos las empresas en los eventos en que una de ellas tiene participación accionaria en la otra. Así las cosas, con base en el principio de interpretación taxativa y restrictiva, se puede concluir que el supuesto de hecho planteado en sus preguntas 1 y 2, no existe inhabilidad o incompatibilidad. </w:t>
      </w:r>
    </w:p>
    <w:p w14:paraId="0F20A76A" w14:textId="77777777" w:rsidR="00787B6E" w:rsidRPr="00E84F83" w:rsidRDefault="00787B6E" w:rsidP="00787B6E">
      <w:pPr>
        <w:spacing w:line="276" w:lineRule="auto"/>
        <w:ind w:firstLine="720"/>
        <w:jc w:val="both"/>
        <w:rPr>
          <w:rFonts w:ascii="Arial" w:eastAsia="Arial" w:hAnsi="Arial" w:cs="Arial"/>
          <w:color w:val="000000"/>
          <w:sz w:val="22"/>
          <w:szCs w:val="22"/>
          <w:lang w:val="es-ES_tradnl"/>
        </w:rPr>
      </w:pPr>
      <w:r>
        <w:rPr>
          <w:rFonts w:ascii="Arial" w:eastAsia="Calibri" w:hAnsi="Arial" w:cs="Arial"/>
          <w:sz w:val="22"/>
          <w:szCs w:val="22"/>
          <w:lang w:val="es-ES_tradnl"/>
        </w:rPr>
        <w:t xml:space="preserve">Además, como refuerzo de la anterior conclusión, se recuerda que </w:t>
      </w:r>
      <w:r w:rsidRPr="00E84F83">
        <w:rPr>
          <w:rFonts w:ascii="Arial" w:eastAsia="Arial" w:hAnsi="Arial" w:cs="Arial"/>
          <w:color w:val="000000"/>
          <w:sz w:val="22"/>
          <w:szCs w:val="22"/>
          <w:lang w:val="es-ES_tradnl"/>
        </w:rPr>
        <w:t>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E84F83">
        <w:rPr>
          <w:rFonts w:ascii="Arial" w:eastAsia="Arial" w:hAnsi="Arial" w:cs="Arial"/>
          <w:color w:val="000000"/>
          <w:sz w:val="22"/>
          <w:szCs w:val="22"/>
          <w:vertAlign w:val="superscript"/>
          <w:lang w:val="es-ES_tradnl"/>
        </w:rPr>
        <w:footnoteReference w:id="16"/>
      </w:r>
      <w:r w:rsidRPr="00E84F83">
        <w:rPr>
          <w:rFonts w:ascii="Arial" w:eastAsia="Arial" w:hAnsi="Arial" w:cs="Arial"/>
          <w:color w:val="000000"/>
          <w:sz w:val="22"/>
          <w:szCs w:val="22"/>
          <w:lang w:val="es-ES_tradnl"/>
        </w:rPr>
        <w:t xml:space="preserve">.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w:t>
      </w:r>
      <w:r w:rsidRPr="00E84F83">
        <w:rPr>
          <w:rFonts w:ascii="Arial" w:eastAsia="Arial" w:hAnsi="Arial" w:cs="Arial"/>
          <w:color w:val="000000"/>
          <w:sz w:val="22"/>
          <w:szCs w:val="22"/>
          <w:lang w:val="es-ES_tradnl"/>
        </w:rPr>
        <w:lastRenderedPageBreak/>
        <w:t>responsables ante las autoridades por infringir la Constitución y las leyes” lo que se traduce en que pueden hacer todo aquello que no les esté expresamente prohibido»</w:t>
      </w:r>
      <w:r w:rsidRPr="00E84F83">
        <w:rPr>
          <w:rFonts w:ascii="Arial" w:eastAsia="Arial" w:hAnsi="Arial" w:cs="Arial"/>
          <w:color w:val="000000"/>
          <w:sz w:val="22"/>
          <w:szCs w:val="22"/>
          <w:vertAlign w:val="superscript"/>
          <w:lang w:val="es-ES_tradnl"/>
        </w:rPr>
        <w:footnoteReference w:id="17"/>
      </w:r>
      <w:r w:rsidRPr="00E84F83">
        <w:rPr>
          <w:rFonts w:ascii="Arial" w:eastAsia="Arial" w:hAnsi="Arial" w:cs="Arial"/>
          <w:color w:val="000000"/>
          <w:sz w:val="22"/>
          <w:szCs w:val="22"/>
          <w:lang w:val="es-ES_tradnl"/>
        </w:rPr>
        <w:t>. En tal sentido, la Sección Tercera ha señalado que:</w:t>
      </w:r>
    </w:p>
    <w:p w14:paraId="72C352AA" w14:textId="77777777" w:rsidR="00787B6E" w:rsidRPr="00E84F83" w:rsidRDefault="00787B6E" w:rsidP="00787B6E">
      <w:pPr>
        <w:spacing w:line="276" w:lineRule="auto"/>
        <w:ind w:firstLine="720"/>
        <w:jc w:val="both"/>
        <w:rPr>
          <w:rFonts w:ascii="Arial" w:eastAsia="Arial" w:hAnsi="Arial" w:cs="Arial"/>
          <w:color w:val="000000"/>
          <w:sz w:val="22"/>
          <w:szCs w:val="22"/>
          <w:lang w:val="es-ES_tradnl"/>
        </w:rPr>
      </w:pPr>
    </w:p>
    <w:p w14:paraId="4A4736B3" w14:textId="77777777" w:rsidR="00787B6E" w:rsidRPr="00E84F83" w:rsidRDefault="00787B6E" w:rsidP="00787B6E">
      <w:pPr>
        <w:ind w:left="709" w:right="709"/>
        <w:jc w:val="both"/>
        <w:rPr>
          <w:rFonts w:ascii="Arial" w:eastAsia="Arial" w:hAnsi="Arial" w:cs="Arial"/>
          <w:color w:val="000000"/>
          <w:sz w:val="21"/>
          <w:szCs w:val="21"/>
          <w:lang w:val="es-ES_tradnl"/>
        </w:rPr>
      </w:pPr>
      <w:r w:rsidRPr="00E84F83">
        <w:rPr>
          <w:rFonts w:ascii="Arial" w:eastAsia="Arial" w:hAnsi="Arial" w:cs="Arial"/>
          <w:color w:val="000000"/>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E84F83">
        <w:rPr>
          <w:rFonts w:ascii="Arial" w:eastAsia="Arial" w:hAnsi="Arial" w:cs="Arial"/>
          <w:color w:val="000000"/>
          <w:sz w:val="21"/>
          <w:szCs w:val="21"/>
          <w:vertAlign w:val="superscript"/>
          <w:lang w:val="es-ES_tradnl"/>
        </w:rPr>
        <w:footnoteReference w:id="18"/>
      </w:r>
      <w:r w:rsidRPr="00E84F83">
        <w:rPr>
          <w:rFonts w:ascii="Arial" w:eastAsia="Arial" w:hAnsi="Arial" w:cs="Arial"/>
          <w:color w:val="000000"/>
          <w:sz w:val="21"/>
          <w:szCs w:val="21"/>
          <w:lang w:val="es-ES_tradnl"/>
        </w:rPr>
        <w:t>.</w:t>
      </w:r>
    </w:p>
    <w:p w14:paraId="290A3D15" w14:textId="77777777" w:rsidR="00787B6E" w:rsidRPr="00E84F83" w:rsidRDefault="00787B6E" w:rsidP="00787B6E">
      <w:pPr>
        <w:ind w:left="709" w:right="709"/>
        <w:jc w:val="both"/>
        <w:rPr>
          <w:rFonts w:ascii="Arial" w:eastAsia="Arial" w:hAnsi="Arial" w:cs="Arial"/>
          <w:color w:val="000000"/>
          <w:sz w:val="21"/>
          <w:szCs w:val="21"/>
          <w:lang w:val="es-ES_tradnl"/>
        </w:rPr>
      </w:pPr>
    </w:p>
    <w:p w14:paraId="08D6101F" w14:textId="77777777" w:rsidR="00787B6E" w:rsidRPr="00E84F83" w:rsidRDefault="00787B6E" w:rsidP="00787B6E">
      <w:pPr>
        <w:spacing w:line="276" w:lineRule="auto"/>
        <w:ind w:firstLine="720"/>
        <w:jc w:val="both"/>
        <w:rPr>
          <w:rFonts w:ascii="Arial" w:eastAsia="Arial" w:hAnsi="Arial" w:cs="Arial"/>
          <w:color w:val="000000"/>
          <w:sz w:val="22"/>
          <w:szCs w:val="22"/>
          <w:lang w:val="es-ES_tradnl"/>
        </w:rPr>
      </w:pPr>
      <w:r w:rsidRPr="00E84F83">
        <w:rPr>
          <w:rFonts w:ascii="Arial" w:eastAsia="Arial" w:hAnsi="Arial" w:cs="Arial"/>
          <w:color w:val="000000"/>
          <w:sz w:val="22"/>
          <w:szCs w:val="22"/>
          <w:lang w:val="es-ES_tradnl"/>
        </w:rPr>
        <w:t>También ha dicho que:</w:t>
      </w:r>
    </w:p>
    <w:p w14:paraId="17351F4D" w14:textId="77777777" w:rsidR="00787B6E" w:rsidRPr="00E84F83" w:rsidRDefault="00787B6E" w:rsidP="00787B6E">
      <w:pPr>
        <w:spacing w:line="276" w:lineRule="auto"/>
        <w:ind w:firstLine="720"/>
        <w:jc w:val="both"/>
        <w:rPr>
          <w:rFonts w:ascii="Arial" w:eastAsia="Arial" w:hAnsi="Arial" w:cs="Arial"/>
          <w:color w:val="000000"/>
          <w:sz w:val="22"/>
          <w:szCs w:val="22"/>
          <w:lang w:val="es-ES_tradnl"/>
        </w:rPr>
      </w:pPr>
    </w:p>
    <w:p w14:paraId="6BFE7CA0" w14:textId="77777777" w:rsidR="00787B6E" w:rsidRPr="00E84F83" w:rsidRDefault="00787B6E" w:rsidP="00787B6E">
      <w:pPr>
        <w:ind w:left="709" w:right="709"/>
        <w:jc w:val="both"/>
        <w:rPr>
          <w:rFonts w:ascii="Arial" w:eastAsia="Arial" w:hAnsi="Arial" w:cs="Arial"/>
          <w:color w:val="000000"/>
          <w:sz w:val="21"/>
          <w:szCs w:val="21"/>
          <w:lang w:val="es-ES_tradnl"/>
        </w:rPr>
      </w:pPr>
      <w:r w:rsidRPr="00E84F83">
        <w:rPr>
          <w:rFonts w:ascii="Arial" w:eastAsia="Arial" w:hAnsi="Arial" w:cs="Arial"/>
          <w:color w:val="000000"/>
          <w:sz w:val="21"/>
          <w:szCs w:val="21"/>
          <w:lang w:val="es-ES_tradnl"/>
        </w:rPr>
        <w:t xml:space="preserve">[…] la aplicación de estos preceptos exige una interpretación restrictiva, dado que según el principio hermenéutico pro </w:t>
      </w:r>
      <w:proofErr w:type="spellStart"/>
      <w:r w:rsidRPr="00E84F83">
        <w:rPr>
          <w:rFonts w:ascii="Arial" w:eastAsia="Arial" w:hAnsi="Arial" w:cs="Arial"/>
          <w:color w:val="000000"/>
          <w:sz w:val="21"/>
          <w:szCs w:val="21"/>
          <w:lang w:val="es-ES_tradnl"/>
        </w:rPr>
        <w:t>libertate</w:t>
      </w:r>
      <w:proofErr w:type="spellEnd"/>
      <w:r w:rsidRPr="00E84F83">
        <w:rPr>
          <w:rFonts w:ascii="Arial" w:eastAsia="Arial" w:hAnsi="Arial" w:cs="Arial"/>
          <w:color w:val="000000"/>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E84F83">
        <w:rPr>
          <w:rFonts w:ascii="Arial" w:eastAsia="Arial" w:hAnsi="Arial" w:cs="Arial"/>
          <w:color w:val="000000"/>
          <w:sz w:val="21"/>
          <w:szCs w:val="21"/>
          <w:vertAlign w:val="superscript"/>
          <w:lang w:val="es-ES_tradnl"/>
        </w:rPr>
        <w:footnoteReference w:id="19"/>
      </w:r>
      <w:r w:rsidRPr="00E84F83">
        <w:rPr>
          <w:rFonts w:ascii="Arial" w:eastAsia="Arial" w:hAnsi="Arial" w:cs="Arial"/>
          <w:color w:val="000000"/>
          <w:sz w:val="21"/>
          <w:szCs w:val="21"/>
          <w:lang w:val="es-ES_tradnl"/>
        </w:rPr>
        <w:t>.</w:t>
      </w:r>
    </w:p>
    <w:p w14:paraId="1CFFF40C" w14:textId="77777777" w:rsidR="00787B6E" w:rsidRPr="00E84F83" w:rsidRDefault="00787B6E" w:rsidP="00787B6E">
      <w:pPr>
        <w:ind w:left="709" w:right="709"/>
        <w:jc w:val="both"/>
        <w:rPr>
          <w:rFonts w:ascii="Arial" w:eastAsia="Arial" w:hAnsi="Arial" w:cs="Arial"/>
          <w:color w:val="000000"/>
          <w:sz w:val="21"/>
          <w:szCs w:val="21"/>
          <w:lang w:val="es-ES_tradnl"/>
        </w:rPr>
      </w:pPr>
    </w:p>
    <w:p w14:paraId="224235D2" w14:textId="77777777" w:rsidR="00787B6E" w:rsidRPr="00E84F83" w:rsidRDefault="00787B6E" w:rsidP="00787B6E">
      <w:pPr>
        <w:spacing w:line="276" w:lineRule="auto"/>
        <w:ind w:firstLine="720"/>
        <w:jc w:val="both"/>
        <w:rPr>
          <w:rFonts w:ascii="Arial" w:hAnsi="Arial" w:cs="Arial"/>
          <w:color w:val="000000" w:themeColor="text1"/>
          <w:sz w:val="21"/>
          <w:szCs w:val="21"/>
          <w:lang w:val="es-MX"/>
        </w:rPr>
      </w:pPr>
      <w:r w:rsidRPr="00E84F83">
        <w:rPr>
          <w:rFonts w:ascii="Arial" w:eastAsia="Arial" w:hAnsi="Arial" w:cs="Arial"/>
          <w:color w:val="000000"/>
          <w:sz w:val="22"/>
          <w:szCs w:val="22"/>
          <w:lang w:val="es-ES_tradnl"/>
        </w:rPr>
        <w:t xml:space="preserve">Como se aprecia, el principio </w:t>
      </w:r>
      <w:r w:rsidRPr="00E84F83">
        <w:rPr>
          <w:rFonts w:ascii="Arial" w:eastAsia="Arial" w:hAnsi="Arial" w:cs="Arial"/>
          <w:i/>
          <w:iCs/>
          <w:color w:val="000000"/>
          <w:sz w:val="22"/>
          <w:szCs w:val="22"/>
          <w:lang w:val="es-ES_tradnl"/>
        </w:rPr>
        <w:t xml:space="preserve">pro </w:t>
      </w:r>
      <w:proofErr w:type="spellStart"/>
      <w:r w:rsidRPr="00E84F83">
        <w:rPr>
          <w:rFonts w:ascii="Arial" w:eastAsia="Arial" w:hAnsi="Arial" w:cs="Arial"/>
          <w:i/>
          <w:iCs/>
          <w:color w:val="000000"/>
          <w:sz w:val="22"/>
          <w:szCs w:val="22"/>
          <w:lang w:val="es-ES_tradnl"/>
        </w:rPr>
        <w:t>libertate</w:t>
      </w:r>
      <w:proofErr w:type="spellEnd"/>
      <w:r w:rsidRPr="00E84F83">
        <w:rPr>
          <w:rFonts w:ascii="Arial" w:eastAsia="Arial" w:hAnsi="Arial" w:cs="Arial"/>
          <w:color w:val="000000"/>
          <w:sz w:val="22"/>
          <w:szCs w:val="22"/>
          <w:lang w:val="es-ES_tradnl"/>
        </w:rPr>
        <w:t xml:space="preserve"> es el que debe dirigir la interpretación de las disposiciones normativas que consagran restricciones de derechos, como sucede con las causales de inhabilidad e incompatibilidad en la contratación estatal.</w:t>
      </w:r>
      <w:r>
        <w:rPr>
          <w:rFonts w:ascii="Arial" w:eastAsia="Arial" w:hAnsi="Arial" w:cs="Arial"/>
          <w:color w:val="000000"/>
          <w:sz w:val="22"/>
          <w:szCs w:val="22"/>
          <w:lang w:val="es-ES_tradnl"/>
        </w:rPr>
        <w:t xml:space="preserve"> Por tanto, si el legislador no ha determinado que la participación accionaria de un oferente en otro de los oferentes es causal de inhabilidad o incompatibilidad, no le es posible al interprete realizar extensión de alguna de las causales existentes a ese supuesto fáctico.</w:t>
      </w:r>
    </w:p>
    <w:p w14:paraId="61177B60" w14:textId="77777777" w:rsidR="00787B6E" w:rsidRDefault="00787B6E" w:rsidP="00787B6E">
      <w:pPr>
        <w:spacing w:line="276" w:lineRule="auto"/>
        <w:jc w:val="both"/>
        <w:rPr>
          <w:rFonts w:ascii="Arial" w:eastAsia="Calibri" w:hAnsi="Arial" w:cs="Arial"/>
          <w:sz w:val="22"/>
          <w:szCs w:val="22"/>
          <w:lang w:val="es-ES_tradnl"/>
        </w:rPr>
      </w:pPr>
    </w:p>
    <w:p w14:paraId="5CE4F3A8" w14:textId="77777777" w:rsidR="00787B6E" w:rsidRPr="005C2ED6" w:rsidRDefault="00787B6E" w:rsidP="00787B6E">
      <w:pPr>
        <w:tabs>
          <w:tab w:val="left" w:pos="426"/>
        </w:tabs>
        <w:spacing w:line="276" w:lineRule="auto"/>
        <w:jc w:val="both"/>
        <w:rPr>
          <w:rFonts w:ascii="Arial" w:eastAsia="Calibri" w:hAnsi="Arial" w:cs="Arial"/>
          <w:b/>
          <w:noProof/>
          <w:sz w:val="22"/>
          <w:szCs w:val="22"/>
        </w:rPr>
      </w:pPr>
      <w:r w:rsidRPr="005C2ED6">
        <w:rPr>
          <w:rFonts w:ascii="Arial" w:eastAsia="Calibri" w:hAnsi="Arial" w:cs="Arial"/>
          <w:b/>
          <w:noProof/>
          <w:sz w:val="22"/>
          <w:szCs w:val="22"/>
          <w:lang w:val="es-ES_tradnl"/>
        </w:rPr>
        <w:t>2.</w:t>
      </w:r>
      <w:r>
        <w:rPr>
          <w:rFonts w:ascii="Arial" w:eastAsia="Calibri" w:hAnsi="Arial" w:cs="Arial"/>
          <w:b/>
          <w:noProof/>
          <w:sz w:val="22"/>
          <w:szCs w:val="22"/>
          <w:lang w:val="es-ES_tradnl"/>
        </w:rPr>
        <w:t>4</w:t>
      </w:r>
      <w:r w:rsidRPr="005C2ED6">
        <w:rPr>
          <w:rFonts w:ascii="Arial" w:eastAsia="Calibri" w:hAnsi="Arial" w:cs="Arial"/>
          <w:b/>
          <w:noProof/>
          <w:sz w:val="22"/>
          <w:szCs w:val="22"/>
          <w:lang w:val="es-ES_tradnl"/>
        </w:rPr>
        <w:t xml:space="preserve"> T</w:t>
      </w:r>
      <w:r w:rsidRPr="005C2ED6">
        <w:rPr>
          <w:rFonts w:ascii="Arial" w:eastAsia="Calibri" w:hAnsi="Arial" w:cs="Arial"/>
          <w:b/>
          <w:noProof/>
          <w:sz w:val="22"/>
          <w:szCs w:val="22"/>
        </w:rPr>
        <w:t>axatividad e inalterabilidad de las causales de rechazo</w:t>
      </w:r>
      <w:r>
        <w:rPr>
          <w:rFonts w:ascii="Arial" w:eastAsia="Calibri" w:hAnsi="Arial" w:cs="Arial"/>
          <w:b/>
          <w:noProof/>
          <w:sz w:val="22"/>
          <w:szCs w:val="22"/>
        </w:rPr>
        <w:t xml:space="preserve"> de los pliegos tipo</w:t>
      </w:r>
    </w:p>
    <w:p w14:paraId="56644F71" w14:textId="77777777" w:rsidR="00787B6E" w:rsidRPr="005C2ED6" w:rsidRDefault="00787B6E" w:rsidP="00787B6E">
      <w:pPr>
        <w:tabs>
          <w:tab w:val="left" w:pos="426"/>
        </w:tabs>
        <w:spacing w:line="276" w:lineRule="auto"/>
        <w:jc w:val="both"/>
        <w:rPr>
          <w:rFonts w:ascii="Arial" w:eastAsia="Calibri" w:hAnsi="Arial" w:cs="Arial"/>
          <w:b/>
          <w:noProof/>
          <w:sz w:val="22"/>
          <w:szCs w:val="22"/>
        </w:rPr>
      </w:pPr>
    </w:p>
    <w:p w14:paraId="614892F7" w14:textId="77777777" w:rsidR="00787B6E" w:rsidRPr="005C2ED6" w:rsidRDefault="00787B6E" w:rsidP="00787B6E">
      <w:pPr>
        <w:tabs>
          <w:tab w:val="left" w:pos="709"/>
          <w:tab w:val="left" w:pos="851"/>
        </w:tabs>
        <w:spacing w:after="120" w:line="276" w:lineRule="auto"/>
        <w:jc w:val="both"/>
        <w:rPr>
          <w:rFonts w:ascii="Arial" w:hAnsi="Arial" w:cs="Arial"/>
          <w:sz w:val="22"/>
          <w:szCs w:val="22"/>
        </w:rPr>
      </w:pPr>
      <w:r>
        <w:rPr>
          <w:rFonts w:ascii="Arial" w:hAnsi="Arial" w:cs="Arial"/>
          <w:sz w:val="22"/>
          <w:szCs w:val="22"/>
        </w:rPr>
        <w:t>Esta</w:t>
      </w:r>
      <w:r w:rsidRPr="005C2ED6">
        <w:rPr>
          <w:rFonts w:ascii="Arial" w:hAnsi="Arial" w:cs="Arial"/>
          <w:sz w:val="22"/>
          <w:szCs w:val="22"/>
        </w:rPr>
        <w:t xml:space="preserve"> Agencia</w:t>
      </w:r>
      <w:r>
        <w:rPr>
          <w:rFonts w:ascii="Arial" w:hAnsi="Arial" w:cs="Arial"/>
          <w:sz w:val="22"/>
          <w:szCs w:val="22"/>
        </w:rPr>
        <w:t xml:space="preserve">, </w:t>
      </w:r>
      <w:r w:rsidRPr="005C2ED6">
        <w:rPr>
          <w:rFonts w:ascii="Arial" w:hAnsi="Arial" w:cs="Arial"/>
          <w:sz w:val="22"/>
          <w:szCs w:val="22"/>
        </w:rPr>
        <w:t xml:space="preserve">mediante los conceptos con radicados Nos. 2201913000007117 del 25 de septiembre de 2019, 2201913000009538 del 23 de diciembre de 2019 y C- 716 del 30 de octubre de 2020, entre otros, ha señalado que las causales de rechazo de las ofertas </w:t>
      </w:r>
      <w:r w:rsidRPr="005C2ED6">
        <w:rPr>
          <w:rFonts w:ascii="Arial" w:hAnsi="Arial" w:cs="Arial"/>
          <w:sz w:val="22"/>
          <w:szCs w:val="22"/>
        </w:rPr>
        <w:lastRenderedPageBreak/>
        <w:t>establecidas en los documentos tipo son taxativas, descartándose la</w:t>
      </w:r>
      <w:r>
        <w:rPr>
          <w:rFonts w:ascii="Arial" w:hAnsi="Arial" w:cs="Arial"/>
          <w:sz w:val="22"/>
          <w:szCs w:val="22"/>
        </w:rPr>
        <w:t xml:space="preserve"> posibilidad de que la</w:t>
      </w:r>
      <w:r w:rsidRPr="005C2ED6">
        <w:rPr>
          <w:rFonts w:ascii="Arial" w:hAnsi="Arial" w:cs="Arial"/>
          <w:sz w:val="22"/>
          <w:szCs w:val="22"/>
        </w:rPr>
        <w:t xml:space="preserve"> entidad </w:t>
      </w:r>
      <w:r>
        <w:rPr>
          <w:rFonts w:ascii="Arial" w:hAnsi="Arial" w:cs="Arial"/>
          <w:sz w:val="22"/>
          <w:szCs w:val="22"/>
        </w:rPr>
        <w:t xml:space="preserve">estatal </w:t>
      </w:r>
      <w:r w:rsidRPr="005C2ED6">
        <w:rPr>
          <w:rFonts w:ascii="Arial" w:hAnsi="Arial" w:cs="Arial"/>
          <w:sz w:val="22"/>
          <w:szCs w:val="22"/>
        </w:rPr>
        <w:t>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p w14:paraId="383B03AB" w14:textId="77777777" w:rsidR="00787B6E" w:rsidRPr="005C2ED6" w:rsidRDefault="00787B6E" w:rsidP="00787B6E">
      <w:pPr>
        <w:tabs>
          <w:tab w:val="left" w:pos="709"/>
          <w:tab w:val="left" w:pos="851"/>
        </w:tabs>
        <w:spacing w:after="120" w:line="276" w:lineRule="auto"/>
        <w:jc w:val="both"/>
        <w:rPr>
          <w:rFonts w:ascii="Arial" w:hAnsi="Arial" w:cs="Arial"/>
          <w:color w:val="000000" w:themeColor="text1"/>
          <w:sz w:val="22"/>
          <w:szCs w:val="22"/>
        </w:rPr>
      </w:pPr>
      <w:r>
        <w:rPr>
          <w:rFonts w:ascii="Arial" w:hAnsi="Arial" w:cs="Arial"/>
          <w:sz w:val="22"/>
          <w:szCs w:val="22"/>
        </w:rPr>
        <w:tab/>
      </w:r>
      <w:r w:rsidRPr="005C2ED6">
        <w:rPr>
          <w:rFonts w:ascii="Arial" w:hAnsi="Arial" w:cs="Arial"/>
          <w:sz w:val="22"/>
          <w:szCs w:val="22"/>
        </w:rPr>
        <w:t>De acuerdo con lo anterior, al consultar el</w:t>
      </w:r>
      <w:r w:rsidRPr="005C2ED6">
        <w:rPr>
          <w:rFonts w:ascii="Arial" w:hAnsi="Arial" w:cs="Arial"/>
          <w:color w:val="000000" w:themeColor="text1"/>
          <w:sz w:val="22"/>
          <w:szCs w:val="22"/>
        </w:rPr>
        <w:t xml:space="preserve"> numeral 1.15</w:t>
      </w:r>
      <w:r w:rsidRPr="005C2ED6">
        <w:rPr>
          <w:rFonts w:ascii="Arial" w:hAnsi="Arial" w:cs="Arial"/>
          <w:sz w:val="22"/>
          <w:szCs w:val="22"/>
        </w:rPr>
        <w:t xml:space="preserve"> </w:t>
      </w:r>
      <w:r w:rsidRPr="005C2ED6">
        <w:rPr>
          <w:rFonts w:ascii="Arial" w:hAnsi="Arial" w:cs="Arial"/>
          <w:color w:val="000000" w:themeColor="text1"/>
          <w:sz w:val="22"/>
          <w:szCs w:val="22"/>
        </w:rPr>
        <w:t>del pliego tipo «Documento Base» de «licitación de obra pública de infraestructura de transporte – Versión 3», que consagra el listado de las causales de rechazo aplicables a estos procedimientos de selección</w:t>
      </w:r>
      <w:r>
        <w:rPr>
          <w:rFonts w:ascii="Arial" w:hAnsi="Arial" w:cs="Arial"/>
          <w:color w:val="000000" w:themeColor="text1"/>
          <w:sz w:val="22"/>
          <w:szCs w:val="22"/>
        </w:rPr>
        <w:t xml:space="preserve">. Una de sus preguntas se refiere a la causal contenida en el literal b), la cual indica: </w:t>
      </w:r>
    </w:p>
    <w:p w14:paraId="4B088D37" w14:textId="77777777" w:rsidR="00787B6E" w:rsidRDefault="00787B6E" w:rsidP="00787B6E">
      <w:pPr>
        <w:tabs>
          <w:tab w:val="left" w:pos="709"/>
        </w:tabs>
        <w:spacing w:after="120" w:line="276" w:lineRule="auto"/>
        <w:ind w:left="709"/>
        <w:jc w:val="both"/>
        <w:rPr>
          <w:rFonts w:ascii="Arial" w:eastAsia="Calibri" w:hAnsi="Arial" w:cs="Arial"/>
          <w:color w:val="000000"/>
          <w:sz w:val="21"/>
          <w:szCs w:val="21"/>
        </w:rPr>
      </w:pPr>
      <w:r w:rsidRPr="00B57086">
        <w:rPr>
          <w:rFonts w:ascii="Arial" w:eastAsia="Calibri" w:hAnsi="Arial" w:cs="Arial"/>
          <w:color w:val="000000"/>
          <w:sz w:val="21"/>
          <w:szCs w:val="21"/>
        </w:rPr>
        <w:t xml:space="preserve">«Son causales de rechazo de las propuestas las siguientes </w:t>
      </w:r>
      <w:r w:rsidRPr="00B57086">
        <w:rPr>
          <w:rFonts w:ascii="Arial" w:eastAsia="Calibri" w:hAnsi="Arial" w:cs="Arial"/>
          <w:color w:val="000000"/>
          <w:sz w:val="21"/>
          <w:szCs w:val="21"/>
          <w:highlight w:val="lightGray"/>
        </w:rPr>
        <w:t>[Las entidades no podrán incluir causales de rechazo distintas a las señaladas en la presente sección]</w:t>
      </w:r>
      <w:r w:rsidRPr="00B57086">
        <w:rPr>
          <w:rFonts w:ascii="Arial" w:eastAsia="Calibri" w:hAnsi="Arial" w:cs="Arial"/>
          <w:color w:val="000000"/>
          <w:sz w:val="21"/>
          <w:szCs w:val="21"/>
        </w:rPr>
        <w:t>:</w:t>
      </w:r>
    </w:p>
    <w:p w14:paraId="221E4582" w14:textId="77777777" w:rsidR="00787B6E" w:rsidRPr="00B57086" w:rsidRDefault="00787B6E" w:rsidP="00787B6E">
      <w:pPr>
        <w:tabs>
          <w:tab w:val="left" w:pos="709"/>
        </w:tabs>
        <w:spacing w:after="120" w:line="276" w:lineRule="auto"/>
        <w:ind w:left="709"/>
        <w:jc w:val="both"/>
        <w:rPr>
          <w:rFonts w:ascii="Arial" w:eastAsia="Calibri" w:hAnsi="Arial" w:cs="Arial"/>
          <w:color w:val="000000"/>
          <w:sz w:val="21"/>
          <w:szCs w:val="21"/>
        </w:rPr>
      </w:pPr>
      <w:r>
        <w:rPr>
          <w:rFonts w:ascii="Arial" w:eastAsia="Calibri" w:hAnsi="Arial" w:cs="Arial"/>
          <w:color w:val="000000"/>
          <w:sz w:val="21"/>
          <w:szCs w:val="21"/>
        </w:rPr>
        <w:t>[…]</w:t>
      </w:r>
    </w:p>
    <w:p w14:paraId="7E5D4D7C" w14:textId="77777777" w:rsidR="00787B6E" w:rsidRPr="00B57086" w:rsidRDefault="00787B6E" w:rsidP="00787B6E">
      <w:pPr>
        <w:tabs>
          <w:tab w:val="left" w:pos="709"/>
        </w:tabs>
        <w:spacing w:after="120" w:line="276" w:lineRule="auto"/>
        <w:ind w:left="709"/>
        <w:jc w:val="both"/>
        <w:rPr>
          <w:rFonts w:ascii="Arial" w:eastAsia="Calibri" w:hAnsi="Arial" w:cs="Arial"/>
          <w:color w:val="000000"/>
          <w:sz w:val="21"/>
          <w:szCs w:val="21"/>
        </w:rPr>
      </w:pPr>
      <w:r>
        <w:rPr>
          <w:rFonts w:ascii="Arial" w:eastAsia="Calibri" w:hAnsi="Arial" w:cs="Arial"/>
          <w:color w:val="000000"/>
          <w:sz w:val="21"/>
          <w:szCs w:val="21"/>
        </w:rPr>
        <w:t xml:space="preserve">B. </w:t>
      </w:r>
      <w:r w:rsidRPr="00B57086">
        <w:rPr>
          <w:rFonts w:ascii="Arial" w:eastAsia="Calibri" w:hAnsi="Arial" w:cs="Arial"/>
          <w:color w:val="000000"/>
          <w:sz w:val="21"/>
          <w:szCs w:val="21"/>
        </w:rPr>
        <w:t>Cuando una misma persona natural o jurídica, o integrante de un proponente plural presente o haga parte en más de una propuesta para el presente proceso de contratación.</w:t>
      </w:r>
    </w:p>
    <w:p w14:paraId="5C729644" w14:textId="77777777" w:rsidR="00787B6E" w:rsidRPr="00B57086" w:rsidRDefault="00787B6E" w:rsidP="00787B6E">
      <w:pPr>
        <w:tabs>
          <w:tab w:val="left" w:pos="709"/>
        </w:tabs>
        <w:spacing w:line="276" w:lineRule="auto"/>
        <w:ind w:left="709"/>
        <w:jc w:val="both"/>
        <w:rPr>
          <w:rFonts w:ascii="Arial" w:eastAsia="Calibri" w:hAnsi="Arial" w:cs="Arial"/>
          <w:color w:val="000000"/>
          <w:sz w:val="21"/>
          <w:szCs w:val="21"/>
        </w:rPr>
      </w:pPr>
      <w:r w:rsidRPr="00B57086">
        <w:rPr>
          <w:rFonts w:ascii="Arial" w:eastAsia="Calibri" w:hAnsi="Arial" w:cs="Arial"/>
          <w:color w:val="000000"/>
          <w:sz w:val="21"/>
          <w:szCs w:val="21"/>
          <w:highlight w:val="lightGray"/>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B57086">
        <w:rPr>
          <w:rFonts w:ascii="Arial" w:eastAsia="Calibri" w:hAnsi="Arial" w:cs="Arial"/>
          <w:color w:val="000000"/>
          <w:sz w:val="21"/>
          <w:szCs w:val="21"/>
        </w:rPr>
        <w:t xml:space="preserve"> </w:t>
      </w:r>
    </w:p>
    <w:p w14:paraId="32FB913C" w14:textId="77777777" w:rsidR="00787B6E" w:rsidRDefault="00787B6E" w:rsidP="00787B6E">
      <w:pPr>
        <w:spacing w:line="276" w:lineRule="auto"/>
        <w:ind w:firstLine="708"/>
        <w:jc w:val="both"/>
        <w:rPr>
          <w:rFonts w:ascii="Arial" w:hAnsi="Arial" w:cs="Arial"/>
          <w:color w:val="000000" w:themeColor="text1"/>
          <w:sz w:val="22"/>
          <w:szCs w:val="22"/>
        </w:rPr>
      </w:pPr>
    </w:p>
    <w:p w14:paraId="77FF7F2A" w14:textId="77777777" w:rsidR="00787B6E" w:rsidRDefault="00787B6E" w:rsidP="00787B6E">
      <w:pPr>
        <w:spacing w:line="276" w:lineRule="auto"/>
        <w:ind w:firstLine="708"/>
        <w:jc w:val="both"/>
        <w:rPr>
          <w:rFonts w:ascii="Arial" w:hAnsi="Arial" w:cs="Arial"/>
          <w:color w:val="000000" w:themeColor="text1"/>
          <w:sz w:val="22"/>
          <w:szCs w:val="22"/>
        </w:rPr>
      </w:pPr>
      <w:r>
        <w:rPr>
          <w:rFonts w:ascii="Arial" w:hAnsi="Arial" w:cs="Arial"/>
          <w:color w:val="000000" w:themeColor="text1"/>
          <w:sz w:val="22"/>
          <w:szCs w:val="22"/>
        </w:rPr>
        <w:t xml:space="preserve">Esta causal de rechazo, a efectos de una de sus preguntas, debe ser interpretada de manera restrictiva, de forma tal que la indicación relativa a “[…] una misma persona natural o jurídica […]” no se puede extender a los eventos en que uno de los proponentes tenga participación accionaria en otro proponente, con independencia del porcentaje de participación, toda vez que, en estricto sentido, se trata de dos proponentes distintos, de dos personas jurídicas distintas. En otras palabras, la causal de rechazo busca evitar que una misma persona natural o jurídica presente o haga parte de más de una propuesta, por tanto, en el evento en que uno de los oferentes tenga participación accionaria en otro de los oferentes, no se configuraría la causal de rechazo porque se trataría, no de una misma persona natural o jurídica, sino de dos personas distintas. </w:t>
      </w:r>
    </w:p>
    <w:p w14:paraId="1FBE5C54" w14:textId="77777777" w:rsidR="00787B6E" w:rsidRDefault="00787B6E" w:rsidP="00787B6E">
      <w:pPr>
        <w:spacing w:before="120" w:line="276" w:lineRule="auto"/>
        <w:jc w:val="both"/>
        <w:rPr>
          <w:rFonts w:ascii="Arial" w:hAnsi="Arial" w:cs="Arial"/>
          <w:color w:val="000000" w:themeColor="text1"/>
          <w:sz w:val="22"/>
          <w:szCs w:val="22"/>
        </w:rPr>
      </w:pPr>
      <w:r>
        <w:rPr>
          <w:rFonts w:ascii="Arial" w:hAnsi="Arial" w:cs="Arial"/>
          <w:color w:val="000000" w:themeColor="text1"/>
          <w:sz w:val="22"/>
          <w:szCs w:val="22"/>
        </w:rPr>
        <w:tab/>
        <w:t xml:space="preserve">Así, con base en el artículo 98 del Código de Comercio, una misma persona jurídica implica la existencia de un único contrato de sociedad y, por contrapartida, en el supuesto de hecho preguntado, la participación accionaria de una persona jurídica en otra sociedad supone la existencia de dos contratos de sociedad. Entonces, se reitera la conclusión que acaba de exponerse, dos ofertas de dos personas jurídicas distintas, incluso si una tiene participación accionaria en la otra, no configura la causal de rechazo prevista en el literal b) </w:t>
      </w:r>
      <w:r w:rsidRPr="005C2ED6">
        <w:rPr>
          <w:rFonts w:ascii="Arial" w:hAnsi="Arial" w:cs="Arial"/>
          <w:color w:val="000000" w:themeColor="text1"/>
          <w:sz w:val="22"/>
          <w:szCs w:val="22"/>
        </w:rPr>
        <w:lastRenderedPageBreak/>
        <w:t>numeral 1.15</w:t>
      </w:r>
      <w:r w:rsidRPr="005C2ED6">
        <w:rPr>
          <w:rFonts w:ascii="Arial" w:hAnsi="Arial" w:cs="Arial"/>
          <w:sz w:val="22"/>
          <w:szCs w:val="22"/>
        </w:rPr>
        <w:t xml:space="preserve"> </w:t>
      </w:r>
      <w:r w:rsidRPr="005C2ED6">
        <w:rPr>
          <w:rFonts w:ascii="Arial" w:hAnsi="Arial" w:cs="Arial"/>
          <w:color w:val="000000" w:themeColor="text1"/>
          <w:sz w:val="22"/>
          <w:szCs w:val="22"/>
        </w:rPr>
        <w:t>del pliego tipo «Documento Base» de «licitación de obra pública de infraestructura de transporte – Versión 3»</w:t>
      </w:r>
      <w:r>
        <w:rPr>
          <w:rFonts w:ascii="Arial" w:hAnsi="Arial" w:cs="Arial"/>
          <w:color w:val="000000" w:themeColor="text1"/>
          <w:sz w:val="22"/>
          <w:szCs w:val="22"/>
        </w:rPr>
        <w:t>.</w:t>
      </w:r>
    </w:p>
    <w:p w14:paraId="64E8D5E9" w14:textId="77777777" w:rsidR="00787B6E" w:rsidRDefault="00787B6E" w:rsidP="00787B6E">
      <w:pPr>
        <w:jc w:val="both"/>
        <w:rPr>
          <w:rFonts w:ascii="Arial" w:hAnsi="Arial" w:cs="Arial"/>
          <w:b/>
          <w:bCs/>
          <w:sz w:val="20"/>
          <w:szCs w:val="20"/>
        </w:rPr>
      </w:pPr>
    </w:p>
    <w:p w14:paraId="53632BDA" w14:textId="77777777" w:rsidR="00787B6E" w:rsidRPr="00DD176C" w:rsidRDefault="00787B6E" w:rsidP="00787B6E">
      <w:pPr>
        <w:spacing w:line="276" w:lineRule="auto"/>
        <w:jc w:val="both"/>
        <w:rPr>
          <w:rFonts w:ascii="Arial" w:eastAsia="Calibri" w:hAnsi="Arial" w:cs="Arial"/>
          <w:b/>
          <w:bCs/>
          <w:color w:val="000000" w:themeColor="text1"/>
          <w:sz w:val="22"/>
          <w:lang w:val="es-ES_tradnl"/>
        </w:rPr>
      </w:pPr>
      <w:r w:rsidRPr="008A2673">
        <w:rPr>
          <w:rFonts w:ascii="Arial" w:eastAsia="Calibri" w:hAnsi="Arial" w:cs="Arial"/>
          <w:b/>
          <w:color w:val="000000" w:themeColor="text1"/>
          <w:sz w:val="22"/>
        </w:rPr>
        <w:t>2.</w:t>
      </w:r>
      <w:r>
        <w:rPr>
          <w:rFonts w:ascii="Arial" w:eastAsia="Calibri" w:hAnsi="Arial" w:cs="Arial"/>
          <w:b/>
          <w:color w:val="000000" w:themeColor="text1"/>
          <w:sz w:val="22"/>
        </w:rPr>
        <w:t>5</w:t>
      </w:r>
      <w:r w:rsidRPr="008A2673">
        <w:rPr>
          <w:rFonts w:ascii="Arial" w:eastAsia="Calibri" w:hAnsi="Arial" w:cs="Arial"/>
          <w:b/>
          <w:color w:val="000000" w:themeColor="text1"/>
          <w:sz w:val="22"/>
        </w:rPr>
        <w:t xml:space="preserve">. </w:t>
      </w:r>
      <w:r w:rsidRPr="00DD176C">
        <w:rPr>
          <w:rFonts w:ascii="Arial" w:eastAsia="Calibri" w:hAnsi="Arial" w:cs="Arial"/>
          <w:b/>
          <w:bCs/>
          <w:color w:val="000000" w:themeColor="text1"/>
          <w:sz w:val="22"/>
          <w:lang w:val="es-ES_tradnl"/>
        </w:rPr>
        <w:t>Régimen de los conflictos de interés en la contratación estatal</w:t>
      </w:r>
    </w:p>
    <w:p w14:paraId="1E962CBA" w14:textId="77777777" w:rsidR="00787B6E" w:rsidRPr="00DD176C" w:rsidRDefault="00787B6E" w:rsidP="00787B6E">
      <w:pPr>
        <w:spacing w:line="276" w:lineRule="auto"/>
        <w:jc w:val="both"/>
        <w:rPr>
          <w:rFonts w:ascii="Arial" w:hAnsi="Arial" w:cs="Arial"/>
          <w:color w:val="000000" w:themeColor="text1"/>
          <w:sz w:val="22"/>
          <w:lang w:val="es-ES_tradnl"/>
        </w:rPr>
      </w:pPr>
    </w:p>
    <w:p w14:paraId="023EAFF2" w14:textId="77777777" w:rsidR="00787B6E" w:rsidRPr="00DD176C" w:rsidRDefault="00787B6E" w:rsidP="00787B6E">
      <w:pPr>
        <w:spacing w:after="120" w:line="276" w:lineRule="auto"/>
        <w:jc w:val="both"/>
        <w:rPr>
          <w:rFonts w:ascii="Arial" w:eastAsia="Calibri" w:hAnsi="Arial" w:cs="Arial"/>
          <w:color w:val="000000" w:themeColor="text1"/>
          <w:sz w:val="22"/>
          <w:lang w:val="es-ES_tradnl"/>
        </w:rPr>
      </w:pPr>
      <w:bookmarkStart w:id="4" w:name="_Hlk36672256"/>
      <w:r w:rsidRPr="00DD176C">
        <w:rPr>
          <w:rFonts w:ascii="Arial" w:eastAsia="Calibri" w:hAnsi="Arial" w:cs="Arial"/>
          <w:color w:val="000000" w:themeColor="text1"/>
          <w:sz w:val="22"/>
          <w:lang w:val="es-ES_tradnl"/>
        </w:rPr>
        <w:t>Esta Agencia ha realizado algunos pronunciamientos sobre el régimen de los conflictos de interés en la contratación estatal, consideraciones que se retomarán y complementarán en lo pertinente</w:t>
      </w:r>
      <w:r w:rsidRPr="00DD176C">
        <w:rPr>
          <w:rStyle w:val="Refdenotaalpie"/>
          <w:rFonts w:ascii="Arial" w:eastAsia="Calibri" w:hAnsi="Arial" w:cs="Arial"/>
          <w:color w:val="000000" w:themeColor="text1"/>
          <w:sz w:val="22"/>
          <w:lang w:val="es-ES_tradnl"/>
        </w:rPr>
        <w:footnoteReference w:id="20"/>
      </w:r>
      <w:r w:rsidRPr="00DD176C">
        <w:rPr>
          <w:rFonts w:ascii="Arial" w:eastAsia="Calibri" w:hAnsi="Arial" w:cs="Arial"/>
          <w:color w:val="000000" w:themeColor="text1"/>
          <w:sz w:val="22"/>
          <w:lang w:val="es-ES_tradnl"/>
        </w:rPr>
        <w:t xml:space="preserv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w:t>
      </w:r>
      <w:r>
        <w:rPr>
          <w:rFonts w:ascii="Arial" w:eastAsia="Calibri" w:hAnsi="Arial" w:cs="Arial"/>
          <w:color w:val="000000" w:themeColor="text1"/>
          <w:sz w:val="22"/>
          <w:lang w:val="es-ES_tradnl"/>
        </w:rPr>
        <w:t xml:space="preserve">En desarrollo de esta </w:t>
      </w:r>
      <w:r w:rsidRPr="00DD176C">
        <w:rPr>
          <w:rFonts w:ascii="Arial" w:eastAsia="Calibri" w:hAnsi="Arial" w:cs="Arial"/>
          <w:color w:val="000000" w:themeColor="text1"/>
          <w:sz w:val="22"/>
          <w:lang w:val="es-ES_tradnl"/>
        </w:rPr>
        <w:t xml:space="preserve">directriz, </w:t>
      </w:r>
      <w:bookmarkStart w:id="5" w:name="_Hlk36672204"/>
      <w:r w:rsidRPr="00DD176C">
        <w:rPr>
          <w:rFonts w:ascii="Arial" w:eastAsia="Calibri" w:hAnsi="Arial" w:cs="Arial"/>
          <w:color w:val="000000" w:themeColor="text1"/>
          <w:sz w:val="22"/>
          <w:lang w:val="es-ES_tradnl"/>
        </w:rPr>
        <w:t xml:space="preserve">el régimen de los </w:t>
      </w:r>
      <w:r w:rsidRPr="00DD176C">
        <w:rPr>
          <w:rFonts w:ascii="Arial" w:eastAsia="Calibri" w:hAnsi="Arial" w:cs="Arial"/>
          <w:i/>
          <w:iCs/>
          <w:color w:val="000000" w:themeColor="text1"/>
          <w:sz w:val="22"/>
          <w:lang w:val="es-ES_tradnl"/>
        </w:rPr>
        <w:t>conflictos de interés</w:t>
      </w:r>
      <w:r w:rsidRPr="00DD176C">
        <w:rPr>
          <w:rFonts w:ascii="Arial" w:eastAsia="Calibri" w:hAnsi="Arial" w:cs="Arial"/>
          <w:color w:val="000000" w:themeColor="text1"/>
          <w:sz w:val="22"/>
          <w:lang w:val="es-ES_tradnl"/>
        </w:rPr>
        <w:t xml:space="preserve"> tiene como objetivo la prevalencia del bien común sobre el particular, razón por la cual se configuran cuando </w:t>
      </w:r>
      <w:r>
        <w:rPr>
          <w:rFonts w:ascii="Arial" w:eastAsia="Calibri" w:hAnsi="Arial" w:cs="Arial"/>
          <w:color w:val="000000" w:themeColor="text1"/>
          <w:sz w:val="22"/>
          <w:lang w:val="es-ES_tradnl"/>
        </w:rPr>
        <w:t xml:space="preserve">los servidores públicos </w:t>
      </w:r>
      <w:r w:rsidRPr="00DD176C">
        <w:rPr>
          <w:rFonts w:ascii="Arial" w:eastAsia="Calibri" w:hAnsi="Arial" w:cs="Arial"/>
          <w:color w:val="000000" w:themeColor="text1"/>
          <w:sz w:val="22"/>
          <w:lang w:val="es-ES_tradnl"/>
        </w:rPr>
        <w:t xml:space="preserve">actúan influenciados por consideraciones personales que colisionan con el </w:t>
      </w:r>
      <w:r>
        <w:rPr>
          <w:rFonts w:ascii="Arial" w:eastAsia="Calibri" w:hAnsi="Arial" w:cs="Arial"/>
          <w:color w:val="000000" w:themeColor="text1"/>
          <w:sz w:val="22"/>
          <w:lang w:val="es-ES_tradnl"/>
        </w:rPr>
        <w:t>d</w:t>
      </w:r>
      <w:r w:rsidRPr="00DD176C">
        <w:rPr>
          <w:rFonts w:ascii="Arial" w:eastAsia="Calibri" w:hAnsi="Arial" w:cs="Arial"/>
          <w:color w:val="000000" w:themeColor="text1"/>
          <w:sz w:val="22"/>
          <w:lang w:val="es-ES_tradnl"/>
        </w:rPr>
        <w:t xml:space="preserve">eber de preservar su independencia e imparcialidad. En este sentido, se definen como la </w:t>
      </w:r>
      <w:bookmarkStart w:id="6" w:name="_Hlk36668905"/>
      <w:r w:rsidRPr="00DD176C">
        <w:rPr>
          <w:rFonts w:ascii="Arial" w:eastAsia="Calibri" w:hAnsi="Arial" w:cs="Arial"/>
          <w:color w:val="000000" w:themeColor="text1"/>
          <w:sz w:val="22"/>
          <w:lang w:val="es-ES_tradnl"/>
        </w:rPr>
        <w:t>concurrencia de intereses antagónicos que afectan la transparencia de las decisiones, al implicar –en detrimento del interés general– el aprovechamiento personal, familiar o particular</w:t>
      </w:r>
      <w:bookmarkEnd w:id="4"/>
      <w:bookmarkEnd w:id="5"/>
      <w:bookmarkEnd w:id="6"/>
      <w:r w:rsidRPr="00DD176C">
        <w:rPr>
          <w:rStyle w:val="Refdenotaalpie"/>
          <w:rFonts w:ascii="Arial" w:eastAsia="Calibri" w:hAnsi="Arial" w:cs="Arial"/>
          <w:color w:val="000000" w:themeColor="text1"/>
          <w:sz w:val="22"/>
          <w:lang w:val="es-ES_tradnl"/>
        </w:rPr>
        <w:footnoteReference w:id="21"/>
      </w:r>
      <w:r w:rsidRPr="00DD176C">
        <w:rPr>
          <w:rFonts w:ascii="Arial" w:eastAsia="Calibri" w:hAnsi="Arial" w:cs="Arial"/>
          <w:color w:val="000000" w:themeColor="text1"/>
          <w:sz w:val="22"/>
          <w:lang w:val="es-ES_tradnl"/>
        </w:rPr>
        <w:t>.</w:t>
      </w:r>
    </w:p>
    <w:p w14:paraId="39F07842" w14:textId="77777777" w:rsidR="00787B6E" w:rsidRPr="00DD176C" w:rsidRDefault="00787B6E" w:rsidP="00787B6E">
      <w:pPr>
        <w:spacing w:after="120"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ab/>
        <w:t xml:space="preserve">La institución </w:t>
      </w:r>
      <w:r>
        <w:rPr>
          <w:rFonts w:ascii="Arial" w:eastAsia="Calibri" w:hAnsi="Arial" w:cs="Arial"/>
          <w:color w:val="000000" w:themeColor="text1"/>
          <w:sz w:val="22"/>
          <w:lang w:val="es-ES_tradnl"/>
        </w:rPr>
        <w:t xml:space="preserve">jurídica </w:t>
      </w:r>
      <w:r w:rsidRPr="00DD176C">
        <w:rPr>
          <w:rFonts w:ascii="Arial" w:eastAsia="Calibri" w:hAnsi="Arial" w:cs="Arial"/>
          <w:color w:val="000000" w:themeColor="text1"/>
          <w:sz w:val="22"/>
          <w:lang w:val="es-ES_tradnl"/>
        </w:rPr>
        <w:t xml:space="preserve">de los conflictos de interés no está definida con carácter general en el ordenamiento jurídico y tampoco de forma precisa en las normas que regulan la contratación estatal, por lo que es un asunto ausente en el Estatuto General de Contratación de la Administración Pública –en adelante EGCAP–. No obstante, existen disposiciones especiales como el régimen de los congresistas, de los concejales o el régimen disciplinario de los servidores públicos, donde se definen causales de conflictos de interés.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Estatuto General de Contratación de la Administración Pública dispone que aquellos obrarán con lealtad y buena fe en las distintas etapas contractuales. </w:t>
      </w:r>
    </w:p>
    <w:p w14:paraId="59424F4C" w14:textId="77777777" w:rsidR="00787B6E" w:rsidRDefault="00787B6E" w:rsidP="00787B6E">
      <w:pPr>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lastRenderedPageBreak/>
        <w:tab/>
        <w:t xml:space="preserve">Sin perjuicio de lo anterior,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w:t>
      </w:r>
      <w:r>
        <w:rPr>
          <w:rFonts w:ascii="Arial" w:eastAsia="Calibri" w:hAnsi="Arial" w:cs="Arial"/>
          <w:color w:val="000000" w:themeColor="text1"/>
          <w:sz w:val="22"/>
          <w:lang w:val="es-ES_tradnl"/>
        </w:rPr>
        <w:t>menciona</w:t>
      </w:r>
      <w:r w:rsidRPr="00DD176C">
        <w:rPr>
          <w:rFonts w:ascii="Arial" w:eastAsia="Calibri" w:hAnsi="Arial" w:cs="Arial"/>
          <w:color w:val="000000" w:themeColor="text1"/>
          <w:sz w:val="22"/>
          <w:lang w:val="es-ES_tradnl"/>
        </w:rPr>
        <w:t>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5FE906DA" w14:textId="77777777" w:rsidR="00787B6E" w:rsidRDefault="00787B6E" w:rsidP="00787B6E">
      <w:pPr>
        <w:spacing w:line="276" w:lineRule="auto"/>
        <w:jc w:val="both"/>
        <w:rPr>
          <w:rFonts w:ascii="Arial" w:eastAsia="Calibri" w:hAnsi="Arial" w:cs="Arial"/>
          <w:b/>
          <w:bCs/>
          <w:color w:val="000000" w:themeColor="text1"/>
          <w:sz w:val="22"/>
          <w:lang w:val="es-ES_tradnl"/>
        </w:rPr>
      </w:pPr>
    </w:p>
    <w:p w14:paraId="09B8B6C9" w14:textId="77777777" w:rsidR="00787B6E" w:rsidRPr="00DD176C" w:rsidRDefault="00787B6E" w:rsidP="00787B6E">
      <w:pPr>
        <w:spacing w:line="276" w:lineRule="auto"/>
        <w:jc w:val="both"/>
        <w:rPr>
          <w:rFonts w:ascii="Arial" w:eastAsia="Calibri" w:hAnsi="Arial" w:cs="Arial"/>
          <w:b/>
          <w:bCs/>
          <w:color w:val="000000" w:themeColor="text1"/>
          <w:sz w:val="22"/>
          <w:lang w:val="es-ES_tradnl"/>
        </w:rPr>
      </w:pPr>
      <w:r w:rsidRPr="00DD176C">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5.1</w:t>
      </w:r>
      <w:r w:rsidRPr="00DD176C">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Posibilidad limitada de incluir causales de conflicto de interés en los pliegos de condiciones</w:t>
      </w:r>
    </w:p>
    <w:p w14:paraId="0E48EB7A" w14:textId="77777777" w:rsidR="00787B6E" w:rsidRDefault="00787B6E" w:rsidP="00787B6E">
      <w:pPr>
        <w:spacing w:line="276" w:lineRule="auto"/>
        <w:jc w:val="both"/>
        <w:rPr>
          <w:rFonts w:ascii="Arial" w:eastAsia="Calibri" w:hAnsi="Arial" w:cs="Arial"/>
          <w:color w:val="000000" w:themeColor="text1"/>
          <w:sz w:val="22"/>
          <w:lang w:val="es-ES_tradnl"/>
        </w:rPr>
      </w:pPr>
    </w:p>
    <w:p w14:paraId="1E7E727A" w14:textId="77777777" w:rsidR="00787B6E" w:rsidRPr="00DD176C" w:rsidRDefault="00787B6E" w:rsidP="00787B6E">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Es bueno resaltar, como lo señaló la Agencia Nacional de Contratación Pública – Colombia Compra Eficiente en los conceptos </w:t>
      </w:r>
      <w:r w:rsidRPr="00607CDE">
        <w:rPr>
          <w:rFonts w:ascii="Arial" w:eastAsia="Calibri" w:hAnsi="Arial" w:cs="Arial"/>
          <w:color w:val="000000" w:themeColor="text1"/>
          <w:sz w:val="22"/>
          <w:lang w:val="es-ES_tradnl"/>
        </w:rPr>
        <w:t>C-815 del 18 de febrero de 2021 y C-449 del 31 de agosto de 2021</w:t>
      </w:r>
      <w:r>
        <w:rPr>
          <w:rFonts w:ascii="Arial" w:eastAsia="Calibri" w:hAnsi="Arial" w:cs="Arial"/>
          <w:color w:val="000000" w:themeColor="text1"/>
          <w:sz w:val="22"/>
          <w:lang w:val="es-ES_tradnl"/>
        </w:rPr>
        <w:t>,</w:t>
      </w:r>
      <w:r w:rsidRPr="00DD176C">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que </w:t>
      </w:r>
      <w:r w:rsidRPr="00DD176C">
        <w:rPr>
          <w:rFonts w:ascii="Arial" w:eastAsia="Calibri" w:hAnsi="Arial" w:cs="Arial"/>
          <w:color w:val="000000" w:themeColor="text1"/>
          <w:sz w:val="22"/>
          <w:lang w:val="es-ES_tradnl"/>
        </w:rPr>
        <w:t>la doctrina</w:t>
      </w:r>
      <w:r w:rsidRPr="00DD176C">
        <w:rPr>
          <w:rStyle w:val="Refdenotaalpie"/>
          <w:rFonts w:ascii="Arial" w:eastAsia="Calibri" w:hAnsi="Arial" w:cs="Arial"/>
          <w:color w:val="000000" w:themeColor="text1"/>
          <w:sz w:val="22"/>
          <w:lang w:val="es-ES_tradnl"/>
        </w:rPr>
        <w:footnoteReference w:id="22"/>
      </w:r>
      <w:r w:rsidRPr="00DD176C">
        <w:rPr>
          <w:rFonts w:ascii="Arial" w:eastAsia="Calibri" w:hAnsi="Arial" w:cs="Arial"/>
          <w:color w:val="000000" w:themeColor="text1"/>
          <w:sz w:val="22"/>
          <w:lang w:val="es-ES_tradnl"/>
        </w:rPr>
        <w:t xml:space="preserve"> y de forma particular la Sala de Consulta y Servicio Civil del Consejo de Estado</w:t>
      </w:r>
      <w:r w:rsidRPr="00DD176C">
        <w:rPr>
          <w:rStyle w:val="Refdenotaalpie"/>
          <w:rFonts w:ascii="Arial" w:eastAsia="Calibri" w:hAnsi="Arial" w:cs="Arial"/>
          <w:color w:val="000000" w:themeColor="text1"/>
          <w:sz w:val="22"/>
          <w:lang w:val="es-ES_tradnl"/>
        </w:rPr>
        <w:footnoteReference w:id="23"/>
      </w:r>
      <w:r w:rsidRPr="00DD176C">
        <w:rPr>
          <w:rFonts w:ascii="Arial" w:eastAsia="Calibri" w:hAnsi="Arial" w:cs="Arial"/>
          <w:color w:val="000000" w:themeColor="text1"/>
          <w:sz w:val="22"/>
          <w:lang w:val="es-ES_tradnl"/>
        </w:rPr>
        <w:t>, han reconocido la posibilidad que tienen las entidades estatales de establecer conflictos de interés en sus pliegos de condiciones, diferenciando dichas causales y su regulación de las inhabilidades e incompatibilidade</w:t>
      </w:r>
      <w:r>
        <w:rPr>
          <w:rFonts w:ascii="Arial" w:eastAsia="Calibri" w:hAnsi="Arial" w:cs="Arial"/>
          <w:color w:val="000000" w:themeColor="text1"/>
          <w:sz w:val="22"/>
          <w:lang w:val="es-ES_tradnl"/>
        </w:rPr>
        <w:t>s consagradas en el Estatuto General de Contratación de la Administración Pública y demás normas complementarias</w:t>
      </w:r>
      <w:r w:rsidRPr="00DD176C">
        <w:rPr>
          <w:rFonts w:ascii="Arial" w:eastAsia="Calibri" w:hAnsi="Arial" w:cs="Arial"/>
          <w:color w:val="000000" w:themeColor="text1"/>
          <w:sz w:val="22"/>
          <w:lang w:val="es-ES_tradnl"/>
        </w:rPr>
        <w:t>. En tal sentido, se han establecido algunos requisitos y exigencias que deben cumplir dichas causales de conflicto de interés y sus consecuencias en los procedimientos de selección de contratistas o para la celebración de contratos, precisándose sus consecuencias. Así las cosas, la doctrina ha definido e identificado el origen de los conflictos de interés en los contratos estatales de la siguiente manera:</w:t>
      </w:r>
    </w:p>
    <w:p w14:paraId="73FA6CE9" w14:textId="77777777" w:rsidR="00787B6E" w:rsidRPr="00DD176C" w:rsidRDefault="00787B6E" w:rsidP="00787B6E">
      <w:pPr>
        <w:widowControl w:val="0"/>
        <w:autoSpaceDE w:val="0"/>
        <w:autoSpaceDN w:val="0"/>
        <w:spacing w:line="276" w:lineRule="auto"/>
        <w:jc w:val="both"/>
        <w:rPr>
          <w:rFonts w:ascii="Arial" w:eastAsia="Calibri" w:hAnsi="Arial" w:cs="Arial"/>
          <w:color w:val="000000" w:themeColor="text1"/>
          <w:sz w:val="22"/>
          <w:lang w:val="es-ES_tradnl"/>
        </w:rPr>
      </w:pPr>
      <w:r w:rsidRPr="00DD176C">
        <w:rPr>
          <w:rFonts w:ascii="Arial" w:eastAsia="Calibri" w:hAnsi="Arial" w:cs="Arial"/>
          <w:color w:val="000000" w:themeColor="text1"/>
          <w:sz w:val="22"/>
          <w:lang w:val="es-ES_tradnl"/>
        </w:rPr>
        <w:tab/>
      </w:r>
    </w:p>
    <w:p w14:paraId="6931287E"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bookmarkStart w:id="7" w:name="_Hlk103091320"/>
      <w:r w:rsidRPr="006337DF">
        <w:rPr>
          <w:rFonts w:ascii="Arial" w:hAnsi="Arial" w:cs="Arial"/>
          <w:sz w:val="21"/>
          <w:szCs w:val="21"/>
        </w:rPr>
        <w:t>«</w:t>
      </w:r>
      <w:bookmarkEnd w:id="7"/>
      <w:r w:rsidRPr="00DD176C">
        <w:rPr>
          <w:rFonts w:ascii="Arial" w:eastAsia="Calibri" w:hAnsi="Arial" w:cs="Arial"/>
          <w:sz w:val="21"/>
          <w:szCs w:val="21"/>
          <w:lang w:val="es-ES_tradnl"/>
        </w:rPr>
        <w:t xml:space="preserve">He sido de la tesis que la entidad no puede «inventarse» prohibiciones en los pliegos de condiciones habida consideración que su consagración es eminentemente legal; sin embargo, de tiempo atrás y a raíz de la instauración legal del Conflicto de Interés en el artículo 40 de la Ley 734 de 2002, contentiva del Código Disciplinario Único, se ha venido regulando en los pliegos de </w:t>
      </w:r>
      <w:r w:rsidRPr="00DD176C">
        <w:rPr>
          <w:rFonts w:ascii="Arial" w:eastAsia="Calibri" w:hAnsi="Arial" w:cs="Arial"/>
          <w:sz w:val="21"/>
          <w:szCs w:val="21"/>
          <w:lang w:val="es-ES_tradnl"/>
        </w:rPr>
        <w:lastRenderedPageBreak/>
        <w:t xml:space="preserve">condiciones esta figura con el fin de evitar la selección de oferentes que por alguna circunstancia pueda poner en riesgo el adecuado cumplimiento del contrato dadas las relaciones que podría existir con personas directamente involucradas en la actividad concerniente al objeto del contrato. Así mismo las entidades estatales que están por fuera del Estatuto General de Contratación, han consagrado en sus Estatutos Internos de Contratación disposiciones que regulan la materia </w:t>
      </w:r>
      <w:proofErr w:type="gramStart"/>
      <w:r w:rsidRPr="00DD176C">
        <w:rPr>
          <w:rFonts w:ascii="Arial" w:eastAsia="Calibri" w:hAnsi="Arial" w:cs="Arial"/>
          <w:sz w:val="21"/>
          <w:szCs w:val="21"/>
          <w:lang w:val="es-ES_tradnl"/>
        </w:rPr>
        <w:t>que</w:t>
      </w:r>
      <w:proofErr w:type="gramEnd"/>
      <w:r w:rsidRPr="00DD176C">
        <w:rPr>
          <w:rFonts w:ascii="Arial" w:eastAsia="Calibri" w:hAnsi="Arial" w:cs="Arial"/>
          <w:sz w:val="21"/>
          <w:szCs w:val="21"/>
          <w:lang w:val="es-ES_tradnl"/>
        </w:rPr>
        <w:t xml:space="preserve"> por supuesto resultan aplicables a sus procesos de selección, así en los pliegos de condiciones nada se diga. </w:t>
      </w:r>
    </w:p>
    <w:p w14:paraId="1DEB61BC" w14:textId="77777777" w:rsidR="00787B6E" w:rsidRPr="00DD176C" w:rsidRDefault="00787B6E" w:rsidP="00787B6E">
      <w:pPr>
        <w:ind w:left="709" w:right="709"/>
        <w:jc w:val="both"/>
        <w:rPr>
          <w:rFonts w:ascii="Arial" w:eastAsia="Calibri" w:hAnsi="Arial" w:cs="Arial"/>
          <w:color w:val="000000" w:themeColor="text1"/>
          <w:sz w:val="22"/>
          <w:lang w:val="es-ES_tradnl"/>
        </w:rPr>
      </w:pPr>
      <w:r w:rsidRPr="00DD176C">
        <w:rPr>
          <w:rFonts w:ascii="Arial" w:eastAsia="Calibri" w:hAnsi="Arial" w:cs="Arial"/>
          <w:sz w:val="21"/>
          <w:szCs w:val="21"/>
          <w:lang w:val="es-ES_tradnl"/>
        </w:rPr>
        <w:t>De manera general, habría que decir que se interpreta el conflicto de intereses como la concurrencia de intereses antagónicos, por lo que puede afectarse la transparencia de las decisiones que le competen y lo pueden llevar a adoptar determinaciones de aprovechamiento personal, familiar o particular, en detrimento del interés público.</w:t>
      </w:r>
      <w:bookmarkStart w:id="8" w:name="_Hlk103091300"/>
      <w:r w:rsidRPr="006337DF">
        <w:rPr>
          <w:rFonts w:ascii="Arial" w:hAnsi="Arial" w:cs="Arial"/>
          <w:sz w:val="21"/>
          <w:szCs w:val="21"/>
        </w:rPr>
        <w:t>»</w:t>
      </w:r>
      <w:bookmarkEnd w:id="8"/>
    </w:p>
    <w:p w14:paraId="6A113BB7" w14:textId="77777777" w:rsidR="00787B6E" w:rsidRPr="00DD176C" w:rsidRDefault="00787B6E" w:rsidP="00787B6E">
      <w:pPr>
        <w:widowControl w:val="0"/>
        <w:autoSpaceDE w:val="0"/>
        <w:autoSpaceDN w:val="0"/>
        <w:spacing w:line="276" w:lineRule="auto"/>
        <w:jc w:val="both"/>
        <w:rPr>
          <w:rFonts w:ascii="Arial" w:eastAsia="Calibri" w:hAnsi="Arial" w:cs="Arial"/>
          <w:sz w:val="22"/>
          <w:lang w:val="es-ES_tradnl"/>
        </w:rPr>
      </w:pPr>
    </w:p>
    <w:p w14:paraId="322CD431" w14:textId="77777777" w:rsidR="00787B6E" w:rsidRPr="00DD176C" w:rsidRDefault="00787B6E" w:rsidP="00787B6E">
      <w:pPr>
        <w:widowControl w:val="0"/>
        <w:autoSpaceDE w:val="0"/>
        <w:autoSpaceDN w:val="0"/>
        <w:spacing w:after="120" w:line="276" w:lineRule="auto"/>
        <w:ind w:firstLine="708"/>
        <w:jc w:val="both"/>
        <w:rPr>
          <w:rFonts w:ascii="Arial" w:eastAsia="Calibri" w:hAnsi="Arial" w:cs="Arial"/>
          <w:sz w:val="22"/>
          <w:lang w:val="es-ES_tradnl"/>
        </w:rPr>
      </w:pPr>
      <w:r w:rsidRPr="00DD176C">
        <w:rPr>
          <w:rFonts w:ascii="Arial" w:eastAsia="Calibri" w:hAnsi="Arial" w:cs="Arial"/>
          <w:sz w:val="22"/>
          <w:lang w:val="es-ES_tradnl"/>
        </w:rPr>
        <w:t>De lo anterior se desprende que el fundamento axiológico para la existencia de los conflictos de interés se encuentra en la garantía del interés público, que podría comprometerse en los supuestos en que determinado contratista pudiera actuar movido por intereses personales, que le impedirían actuar con imparcialidad y probidad en la ejecución de determinado contrato estatal.</w:t>
      </w:r>
    </w:p>
    <w:p w14:paraId="7CD5272D" w14:textId="77777777" w:rsidR="00787B6E" w:rsidRPr="00DD176C" w:rsidRDefault="00787B6E" w:rsidP="00787B6E">
      <w:pPr>
        <w:widowControl w:val="0"/>
        <w:autoSpaceDE w:val="0"/>
        <w:autoSpaceDN w:val="0"/>
        <w:spacing w:after="120" w:line="276" w:lineRule="auto"/>
        <w:ind w:firstLine="708"/>
        <w:jc w:val="both"/>
        <w:rPr>
          <w:rFonts w:ascii="Arial" w:eastAsia="Calibri" w:hAnsi="Arial" w:cs="Arial"/>
          <w:sz w:val="22"/>
          <w:lang w:val="es-ES_tradnl"/>
        </w:rPr>
      </w:pPr>
      <w:r w:rsidRPr="00DD176C">
        <w:rPr>
          <w:rFonts w:ascii="Arial" w:eastAsia="Calibri" w:hAnsi="Arial" w:cs="Arial"/>
          <w:sz w:val="22"/>
          <w:lang w:val="es-ES_tradnl"/>
        </w:rPr>
        <w:t>De esta manera, si bien el legislador establece las casuales de inhabilidad e incompatibilidad de forma general para celebrar contratos con cualquier entidad estatal o con alguna entidad estatal en particular</w:t>
      </w:r>
      <w:r>
        <w:rPr>
          <w:rFonts w:ascii="Arial" w:eastAsia="Calibri" w:hAnsi="Arial" w:cs="Arial"/>
          <w:sz w:val="22"/>
          <w:lang w:val="es-ES_tradnl"/>
        </w:rPr>
        <w:t>,</w:t>
      </w:r>
      <w:r w:rsidRPr="00DD176C">
        <w:rPr>
          <w:rFonts w:ascii="Arial" w:eastAsia="Calibri" w:hAnsi="Arial" w:cs="Arial"/>
          <w:sz w:val="22"/>
          <w:lang w:val="es-ES_tradnl"/>
        </w:rPr>
        <w:t xml:space="preserve"> los conflictos de interés suelen establecerse frente a sujetos en particular que en razón a la ejecución de una actividad anterior podrían tener una posición privilegiada en determinado procedimiento de selección. A modo de ejemplo se pueden enunciar las siguientes situaciones: i) por participar en la estructuración del mismo procedimiento de selección o proyecto que se va a ejecutar, de manera que se impida su participación para garantizar el principio de igualdad; </w:t>
      </w:r>
      <w:proofErr w:type="spellStart"/>
      <w:r w:rsidRPr="00DD176C">
        <w:rPr>
          <w:rFonts w:ascii="Arial" w:eastAsia="Calibri" w:hAnsi="Arial" w:cs="Arial"/>
          <w:sz w:val="22"/>
          <w:lang w:val="es-ES_tradnl"/>
        </w:rPr>
        <w:t>ii</w:t>
      </w:r>
      <w:proofErr w:type="spellEnd"/>
      <w:r w:rsidRPr="00DD176C">
        <w:rPr>
          <w:rFonts w:ascii="Arial" w:eastAsia="Calibri" w:hAnsi="Arial" w:cs="Arial"/>
          <w:sz w:val="22"/>
          <w:lang w:val="es-ES_tradnl"/>
        </w:rPr>
        <w:t xml:space="preserve">) cuando la ejecución de un contrato posterior pueda incidir eventualmente frente a la responsabilidad de un contrato ejecutado previamente; o </w:t>
      </w:r>
      <w:proofErr w:type="spellStart"/>
      <w:r w:rsidRPr="00DD176C">
        <w:rPr>
          <w:rFonts w:ascii="Arial" w:eastAsia="Calibri" w:hAnsi="Arial" w:cs="Arial"/>
          <w:sz w:val="22"/>
          <w:lang w:val="es-ES_tradnl"/>
        </w:rPr>
        <w:t>iii</w:t>
      </w:r>
      <w:proofErr w:type="spellEnd"/>
      <w:r w:rsidRPr="00DD176C">
        <w:rPr>
          <w:rFonts w:ascii="Arial" w:eastAsia="Calibri" w:hAnsi="Arial" w:cs="Arial"/>
          <w:sz w:val="22"/>
          <w:lang w:val="es-ES_tradnl"/>
        </w:rPr>
        <w:t xml:space="preserve">) cuando entre ambos negocios jurídicos exista alguna relación que conduzca a esta consecuencia. De otro lado, </w:t>
      </w:r>
      <w:r>
        <w:rPr>
          <w:rFonts w:ascii="Arial" w:eastAsia="Calibri" w:hAnsi="Arial" w:cs="Arial"/>
          <w:sz w:val="22"/>
          <w:lang w:val="es-ES_tradnl"/>
        </w:rPr>
        <w:t xml:space="preserve">los conflictos de interés </w:t>
      </w:r>
      <w:r w:rsidRPr="00DD176C">
        <w:rPr>
          <w:rFonts w:ascii="Arial" w:eastAsia="Calibri" w:hAnsi="Arial" w:cs="Arial"/>
          <w:sz w:val="22"/>
          <w:lang w:val="es-ES_tradnl"/>
        </w:rPr>
        <w:t xml:space="preserve">se establecen con la finalidad de evitar alguna relación particular que tengan dos contratistas, quienes estarían vinculados por intereses comunes que podrían dar lugar a algún favorecimiento, en detrimento de la adecuada ejecución del contrato. Si bien los fundamentos anteriores no son exhaustivos ni taxativos, </w:t>
      </w:r>
      <w:r>
        <w:rPr>
          <w:rFonts w:ascii="Arial" w:eastAsia="Calibri" w:hAnsi="Arial" w:cs="Arial"/>
          <w:sz w:val="22"/>
          <w:lang w:val="es-ES_tradnl"/>
        </w:rPr>
        <w:t>constituyen ejemplos que podrían servir de fundamento para</w:t>
      </w:r>
      <w:r w:rsidRPr="00DD176C">
        <w:rPr>
          <w:rFonts w:ascii="Arial" w:eastAsia="Calibri" w:hAnsi="Arial" w:cs="Arial"/>
          <w:sz w:val="22"/>
          <w:lang w:val="es-ES_tradnl"/>
        </w:rPr>
        <w:t xml:space="preserve"> la inclusión de algún conflicto de interés en un pliego de condiciones.</w:t>
      </w:r>
    </w:p>
    <w:p w14:paraId="184CDF36" w14:textId="77777777" w:rsidR="00787B6E" w:rsidRPr="00DD176C" w:rsidRDefault="00787B6E" w:rsidP="00787B6E">
      <w:pPr>
        <w:widowControl w:val="0"/>
        <w:autoSpaceDE w:val="0"/>
        <w:autoSpaceDN w:val="0"/>
        <w:spacing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 xml:space="preserve">Ahora bien, con los fundamentos anteriores no se pretende justificar la inclusión de cualquier conflicto de interés en un pliego de condiciones, máxime cuando su utilización debe ser excepcional, y su legalidad, en todo caso, corresponde decidirla al juez del contrato. Con lo anterior, simplemente se pretenden señalar algunas de las razones que dan lugar a su inclusión y su vinculación con principios como la igualdad, la imparcialidad y la prevalencia del interés general sobre el particular. </w:t>
      </w:r>
      <w:r>
        <w:rPr>
          <w:rFonts w:ascii="Arial" w:eastAsia="Calibri" w:hAnsi="Arial" w:cs="Arial"/>
          <w:sz w:val="22"/>
          <w:lang w:val="es-ES_tradnl"/>
        </w:rPr>
        <w:t>Por ello</w:t>
      </w:r>
      <w:r w:rsidRPr="00DD176C">
        <w:rPr>
          <w:rFonts w:ascii="Arial" w:eastAsia="Calibri" w:hAnsi="Arial" w:cs="Arial"/>
          <w:sz w:val="22"/>
          <w:lang w:val="es-ES_tradnl"/>
        </w:rPr>
        <w:t xml:space="preserve">, la doctrina ha precisado </w:t>
      </w:r>
      <w:r w:rsidRPr="00DD176C">
        <w:rPr>
          <w:rFonts w:ascii="Arial" w:eastAsia="Calibri" w:hAnsi="Arial" w:cs="Arial"/>
          <w:sz w:val="22"/>
          <w:lang w:val="es-ES_tradnl"/>
        </w:rPr>
        <w:lastRenderedPageBreak/>
        <w:t>algunos fundamentos concretos que dan lugar a la inclusión de estas causales de conflicto de interés:</w:t>
      </w:r>
    </w:p>
    <w:p w14:paraId="581BE9D1" w14:textId="77777777" w:rsidR="00787B6E" w:rsidRPr="00DD176C" w:rsidRDefault="00787B6E" w:rsidP="00787B6E">
      <w:pPr>
        <w:widowControl w:val="0"/>
        <w:autoSpaceDE w:val="0"/>
        <w:autoSpaceDN w:val="0"/>
        <w:spacing w:line="276" w:lineRule="auto"/>
        <w:ind w:firstLine="709"/>
        <w:jc w:val="both"/>
        <w:rPr>
          <w:rFonts w:ascii="Arial" w:eastAsia="Calibri" w:hAnsi="Arial" w:cs="Arial"/>
          <w:sz w:val="22"/>
          <w:lang w:val="es-ES_tradnl"/>
        </w:rPr>
      </w:pPr>
    </w:p>
    <w:p w14:paraId="41E5D08A"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6337DF">
        <w:rPr>
          <w:rFonts w:ascii="Arial" w:hAnsi="Arial" w:cs="Arial"/>
          <w:sz w:val="21"/>
          <w:szCs w:val="21"/>
        </w:rPr>
        <w:t>«</w:t>
      </w:r>
      <w:r w:rsidRPr="00DD176C">
        <w:rPr>
          <w:rFonts w:ascii="Arial" w:eastAsia="Calibri" w:hAnsi="Arial" w:cs="Arial"/>
          <w:sz w:val="21"/>
          <w:szCs w:val="21"/>
          <w:lang w:val="es-ES_tradnl"/>
        </w:rPr>
        <w:t xml:space="preserve">[…] en el plano de los procesos de selección, esta figura busca garantizar la objetividad y el principio de igualdad mediante la prohibición para participar y concursar respecto de personas que por alguna razón conocieron con antelación elementos esenciales del proceso o del contrato que les otorgan una ventaja en el concurso respecto de los demás y con ello la ruptura del principio inmaculado de la igualdad. </w:t>
      </w:r>
    </w:p>
    <w:p w14:paraId="287E2144" w14:textId="77777777" w:rsidR="00787B6E" w:rsidRPr="00DD176C" w:rsidRDefault="00787B6E" w:rsidP="00787B6E">
      <w:pPr>
        <w:widowControl w:val="0"/>
        <w:autoSpaceDE w:val="0"/>
        <w:autoSpaceDN w:val="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el aserto antedicho se predica en relación con la mayoría de los contratos y en donde no (sic) existe nexo entre dos o más negocios jurídicos. Ello traduce que cuando se presenta un claro vínculo entre dos contratos, si se quiere relacionados íntimamente y donde el uno depende en gran medida de los realizado por uno anterior, resulta comprensible estatuir que no puede haber ningún tipo de vínculo entre los dos contratistas o que no pueda participar en el segundo, el contratista del primero en cuanto generador de información fundamental para el segundo»</w:t>
      </w:r>
      <w:r w:rsidRPr="00DD176C">
        <w:rPr>
          <w:rStyle w:val="Refdenotaalpie"/>
          <w:rFonts w:ascii="Arial" w:eastAsia="Calibri" w:hAnsi="Arial" w:cs="Arial"/>
          <w:sz w:val="21"/>
          <w:szCs w:val="21"/>
          <w:lang w:val="es-ES_tradnl"/>
        </w:rPr>
        <w:footnoteReference w:id="24"/>
      </w:r>
      <w:r w:rsidRPr="00DD176C">
        <w:rPr>
          <w:rFonts w:ascii="Arial" w:eastAsia="Calibri" w:hAnsi="Arial" w:cs="Arial"/>
          <w:sz w:val="21"/>
          <w:szCs w:val="21"/>
          <w:lang w:val="es-ES_tradnl"/>
        </w:rPr>
        <w:t>.</w:t>
      </w:r>
    </w:p>
    <w:p w14:paraId="09CEED19" w14:textId="77777777" w:rsidR="00787B6E" w:rsidRPr="00DD176C" w:rsidRDefault="00787B6E" w:rsidP="00787B6E">
      <w:pPr>
        <w:widowControl w:val="0"/>
        <w:autoSpaceDE w:val="0"/>
        <w:autoSpaceDN w:val="0"/>
        <w:ind w:right="709"/>
        <w:jc w:val="both"/>
        <w:rPr>
          <w:rFonts w:ascii="Arial" w:eastAsia="Calibri" w:hAnsi="Arial" w:cs="Arial"/>
          <w:sz w:val="21"/>
          <w:szCs w:val="21"/>
          <w:lang w:val="es-ES_tradnl"/>
        </w:rPr>
      </w:pPr>
    </w:p>
    <w:p w14:paraId="626A7ED1" w14:textId="77777777" w:rsidR="00787B6E" w:rsidRPr="00DD176C" w:rsidRDefault="00787B6E" w:rsidP="00787B6E">
      <w:pPr>
        <w:widowControl w:val="0"/>
        <w:autoSpaceDE w:val="0"/>
        <w:autoSpaceDN w:val="0"/>
        <w:spacing w:line="276" w:lineRule="auto"/>
        <w:jc w:val="both"/>
        <w:rPr>
          <w:rFonts w:ascii="Arial" w:eastAsia="Calibri" w:hAnsi="Arial" w:cs="Arial"/>
          <w:sz w:val="22"/>
          <w:lang w:val="es-ES_tradnl"/>
        </w:rPr>
      </w:pPr>
      <w:r w:rsidRPr="00DD176C">
        <w:rPr>
          <w:rFonts w:ascii="Arial" w:eastAsia="Calibri" w:hAnsi="Arial" w:cs="Arial"/>
          <w:sz w:val="22"/>
          <w:lang w:val="es-ES_tradnl"/>
        </w:rPr>
        <w:tab/>
        <w:t>Como se esbozó con anterioridad, la Sala de Consulta y Servicio Civil del Consejo de Estado claramente ha</w:t>
      </w:r>
      <w:r>
        <w:rPr>
          <w:rFonts w:ascii="Arial" w:eastAsia="Calibri" w:hAnsi="Arial" w:cs="Arial"/>
          <w:sz w:val="22"/>
          <w:lang w:val="es-ES_tradnl"/>
        </w:rPr>
        <w:t xml:space="preserve"> </w:t>
      </w:r>
      <w:r w:rsidRPr="00DD176C">
        <w:rPr>
          <w:rFonts w:ascii="Arial" w:eastAsia="Calibri" w:hAnsi="Arial" w:cs="Arial"/>
          <w:sz w:val="22"/>
          <w:lang w:val="es-ES_tradnl"/>
        </w:rPr>
        <w:t xml:space="preserve">admitido la inclusión de causales de conflicto de interés en los pliegos de condiciones o en los contratos de las entidades estatales, siempre y cuando estas satisfagan, entre otros requisitos, los criterios de </w:t>
      </w:r>
      <w:r w:rsidRPr="00DD176C">
        <w:rPr>
          <w:rFonts w:ascii="Arial" w:eastAsia="Calibri" w:hAnsi="Arial" w:cs="Arial"/>
          <w:i/>
          <w:iCs/>
          <w:sz w:val="22"/>
          <w:lang w:val="es-ES_tradnl"/>
        </w:rPr>
        <w:t xml:space="preserve">tipicidad </w:t>
      </w:r>
      <w:r w:rsidRPr="00DD176C">
        <w:rPr>
          <w:rFonts w:ascii="Arial" w:eastAsia="Calibri" w:hAnsi="Arial" w:cs="Arial"/>
          <w:sz w:val="22"/>
          <w:lang w:val="es-ES_tradnl"/>
        </w:rPr>
        <w:t xml:space="preserve">y </w:t>
      </w:r>
      <w:r w:rsidRPr="00DD176C">
        <w:rPr>
          <w:rFonts w:ascii="Arial" w:eastAsia="Calibri" w:hAnsi="Arial" w:cs="Arial"/>
          <w:i/>
          <w:iCs/>
          <w:sz w:val="22"/>
          <w:lang w:val="es-ES_tradnl"/>
        </w:rPr>
        <w:t xml:space="preserve">objetividad. </w:t>
      </w:r>
      <w:r w:rsidRPr="00DD176C">
        <w:rPr>
          <w:rFonts w:ascii="Arial" w:eastAsia="Calibri" w:hAnsi="Arial" w:cs="Arial"/>
          <w:sz w:val="22"/>
          <w:lang w:val="es-ES_tradnl"/>
        </w:rPr>
        <w:t>En efecto, en el concepto 1.767 del 10 de agosto de 2006, con fundamento en la estipulación de una causal de conflicto de interés en un contrato, se respondió una consulta confirmando que en el caso puesto a consideración de la Sala efectivamente se presentaba un conflicto de interés por lo que «el Consultor en quien se presenta, debió separarse inmediatamente del procedimiento de licitación». En dicho Concepto se señaló, en relación con los conflictos de interés, lo siguiente, teniendo en cuenta la causal incluida en el contrato relacionado con la consulta realizada al Consejo de Estado:</w:t>
      </w:r>
    </w:p>
    <w:p w14:paraId="2A90149C" w14:textId="77777777" w:rsidR="00787B6E" w:rsidRPr="00DD176C" w:rsidRDefault="00787B6E" w:rsidP="00787B6E">
      <w:pPr>
        <w:widowControl w:val="0"/>
        <w:autoSpaceDE w:val="0"/>
        <w:autoSpaceDN w:val="0"/>
        <w:spacing w:line="276" w:lineRule="auto"/>
        <w:jc w:val="both"/>
        <w:rPr>
          <w:rFonts w:ascii="Arial" w:eastAsia="Calibri" w:hAnsi="Arial" w:cs="Arial"/>
          <w:sz w:val="22"/>
          <w:lang w:val="es-ES_tradnl"/>
        </w:rPr>
      </w:pPr>
    </w:p>
    <w:p w14:paraId="747361BC"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6337DF">
        <w:rPr>
          <w:rFonts w:ascii="Arial" w:hAnsi="Arial" w:cs="Arial"/>
          <w:sz w:val="21"/>
          <w:szCs w:val="21"/>
        </w:rPr>
        <w:t>«</w:t>
      </w:r>
      <w:r w:rsidRPr="00DD176C">
        <w:rPr>
          <w:rFonts w:ascii="Arial" w:eastAsia="Calibri" w:hAnsi="Arial" w:cs="Arial"/>
          <w:sz w:val="21"/>
          <w:szCs w:val="21"/>
          <w:lang w:val="es-ES_tradnl"/>
        </w:rPr>
        <w:t xml:space="preserve">La Sala destaca que el señalamiento contractual de la existencia de conflicto de intereses a partir de la identificación de actividades incompatibles con las tareas que le han sido contractualmente asignadas al </w:t>
      </w:r>
      <w:proofErr w:type="gramStart"/>
      <w:r w:rsidRPr="00DD176C">
        <w:rPr>
          <w:rFonts w:ascii="Arial" w:eastAsia="Calibri" w:hAnsi="Arial" w:cs="Arial"/>
          <w:sz w:val="21"/>
          <w:szCs w:val="21"/>
          <w:lang w:val="es-ES_tradnl"/>
        </w:rPr>
        <w:t>Consultor,</w:t>
      </w:r>
      <w:proofErr w:type="gramEnd"/>
      <w:r w:rsidRPr="00DD176C">
        <w:rPr>
          <w:rFonts w:ascii="Arial" w:eastAsia="Calibri" w:hAnsi="Arial" w:cs="Arial"/>
          <w:sz w:val="21"/>
          <w:szCs w:val="21"/>
          <w:lang w:val="es-ES_tradnl"/>
        </w:rPr>
        <w:t xml:space="preserve"> comporta una evaluación estrictamente objetiva, pues el comportamiento de conducta que da origen al conflicto, se presenta abstracción hecha de cualquier significado axiológico de la misma.</w:t>
      </w:r>
    </w:p>
    <w:p w14:paraId="09796AED"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El postulado ético ínsito en las cláusulas sobre </w:t>
      </w:r>
      <w:proofErr w:type="gramStart"/>
      <w:r w:rsidRPr="00DD176C">
        <w:rPr>
          <w:rFonts w:ascii="Arial" w:eastAsia="Calibri" w:hAnsi="Arial" w:cs="Arial"/>
          <w:sz w:val="21"/>
          <w:szCs w:val="21"/>
          <w:lang w:val="es-ES_tradnl"/>
        </w:rPr>
        <w:t>conflictos,</w:t>
      </w:r>
      <w:proofErr w:type="gramEnd"/>
      <w:r w:rsidRPr="00DD176C">
        <w:rPr>
          <w:rFonts w:ascii="Arial" w:eastAsia="Calibri" w:hAnsi="Arial" w:cs="Arial"/>
          <w:sz w:val="21"/>
          <w:szCs w:val="21"/>
          <w:lang w:val="es-ES_tradnl"/>
        </w:rPr>
        <w:t xml:space="preserve"> lleva a significar que el propósito de las partes contratantes es el de amparar en grado extremo los principios de transparencia, igualdad y moralidad administrativas, prohibiendo determinadas conductas, sin consideración de los resultados dañinos o inocuos de las mismas en relación con el proceso de licitación.</w:t>
      </w:r>
    </w:p>
    <w:p w14:paraId="1207C2DE"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lastRenderedPageBreak/>
        <w:t xml:space="preserve">Así las cosas, para la Sala es claro que el consultor o cualquiera de los miembros que integran la Unión Temporal, se encuentra incurso en conflicto de intereses, cuando, independientemente de la intencionalidad y de los resultados,  desarrolla una actividad incompatible con alguna de aquellas que contractualmente le han sido asignadas, como por ejemplo, participar en el análisis, discusión o evaluación de la oferta de un  proponente cuyo asesor posee relaciones comerciales o profesionales con el consultor. </w:t>
      </w:r>
    </w:p>
    <w:p w14:paraId="4ECB7E0A" w14:textId="77777777" w:rsidR="00787B6E" w:rsidRPr="00DD176C" w:rsidRDefault="00787B6E" w:rsidP="00787B6E">
      <w:pPr>
        <w:widowControl w:val="0"/>
        <w:autoSpaceDE w:val="0"/>
        <w:autoSpaceDN w:val="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Concretamente, lo que el contrato prohíbe en el presente caso, es que el consultor ejerza sus funciones dentro del proceso licitatorio cuando una persona con quien él tiene relaciones comerciales o profesionales vigentes es la asesora jurídica de uno de los proponentes. Es incompatible que el consultor atienda su relación comercial o profesional con esa persona y simultáneamente estudie, conceptúe o recomiende decisiones a la administración dentro de un proceso licitatorio en el cual esa persona presta asesoría legal a uno de los proponentes. Para el contrato, la situación descrita genera necesariamente un conflicto de intereses que se materializa en el momento en el que se conozca de la existencia de la incompatibilidad</w:t>
      </w:r>
      <w:r>
        <w:rPr>
          <w:rFonts w:ascii="Arial" w:eastAsia="Calibri" w:hAnsi="Arial" w:cs="Arial"/>
          <w:sz w:val="21"/>
          <w:szCs w:val="21"/>
          <w:lang w:val="es-ES_tradnl"/>
        </w:rPr>
        <w:t>.</w:t>
      </w:r>
      <w:r w:rsidRPr="006337DF">
        <w:rPr>
          <w:rFonts w:ascii="Arial" w:hAnsi="Arial" w:cs="Arial"/>
          <w:sz w:val="21"/>
          <w:szCs w:val="21"/>
        </w:rPr>
        <w:t>»</w:t>
      </w:r>
      <w:r w:rsidRPr="00DD176C">
        <w:rPr>
          <w:rStyle w:val="Refdenotaalpie"/>
          <w:rFonts w:ascii="Arial" w:eastAsia="Calibri" w:hAnsi="Arial" w:cs="Arial"/>
          <w:sz w:val="21"/>
          <w:szCs w:val="21"/>
          <w:lang w:val="es-ES_tradnl"/>
        </w:rPr>
        <w:footnoteReference w:id="25"/>
      </w:r>
    </w:p>
    <w:p w14:paraId="6FAF12BB" w14:textId="77777777" w:rsidR="00787B6E" w:rsidRPr="00DD176C" w:rsidRDefault="00787B6E" w:rsidP="00787B6E">
      <w:pPr>
        <w:widowControl w:val="0"/>
        <w:autoSpaceDE w:val="0"/>
        <w:autoSpaceDN w:val="0"/>
        <w:spacing w:line="276" w:lineRule="auto"/>
        <w:jc w:val="both"/>
        <w:rPr>
          <w:rFonts w:ascii="Arial" w:eastAsia="Calibri" w:hAnsi="Arial" w:cs="Arial"/>
          <w:sz w:val="22"/>
          <w:lang w:val="es-ES_tradnl"/>
        </w:rPr>
      </w:pPr>
    </w:p>
    <w:p w14:paraId="2A6E8C9E" w14:textId="77777777" w:rsidR="00787B6E" w:rsidRPr="00DD176C" w:rsidRDefault="00787B6E" w:rsidP="00787B6E">
      <w:pPr>
        <w:widowControl w:val="0"/>
        <w:autoSpaceDE w:val="0"/>
        <w:autoSpaceDN w:val="0"/>
        <w:spacing w:line="276" w:lineRule="auto"/>
        <w:ind w:firstLine="709"/>
        <w:jc w:val="both"/>
        <w:rPr>
          <w:rFonts w:ascii="Arial" w:eastAsia="Calibri" w:hAnsi="Arial" w:cs="Arial"/>
          <w:i/>
          <w:iCs/>
          <w:sz w:val="22"/>
          <w:lang w:val="es-ES_tradnl"/>
        </w:rPr>
      </w:pPr>
      <w:r w:rsidRPr="00DD176C">
        <w:rPr>
          <w:rFonts w:ascii="Arial" w:eastAsia="Calibri" w:hAnsi="Arial" w:cs="Arial"/>
          <w:sz w:val="22"/>
          <w:lang w:val="es-ES_tradnl"/>
        </w:rPr>
        <w:t xml:space="preserve">Retomando la línea del concepto anterior, la Sala de Consulta y Servicio Civil del Consejo de Estado, en concepto del 23 de marzo de 2011, admitiendo la posibilidad de establecer conflictos de interés en los pliegos de condiciones, señaló que en su inclusión se deben cumplir con los requisitos de tipicidad y objetividad. Por la relevancia de las consideraciones de dicho concepto, estas se transcriben </w:t>
      </w:r>
      <w:proofErr w:type="gramStart"/>
      <w:r w:rsidRPr="00DD176C">
        <w:rPr>
          <w:rFonts w:ascii="Arial" w:eastAsia="Calibri" w:hAnsi="Arial" w:cs="Arial"/>
          <w:i/>
          <w:iCs/>
          <w:sz w:val="22"/>
          <w:lang w:val="es-ES_tradnl"/>
        </w:rPr>
        <w:t>in extenso</w:t>
      </w:r>
      <w:proofErr w:type="gramEnd"/>
      <w:r w:rsidRPr="00DD176C">
        <w:rPr>
          <w:rFonts w:ascii="Arial" w:eastAsia="Calibri" w:hAnsi="Arial" w:cs="Arial"/>
          <w:i/>
          <w:iCs/>
          <w:sz w:val="22"/>
          <w:lang w:val="es-ES_tradnl"/>
        </w:rPr>
        <w:t>:</w:t>
      </w:r>
    </w:p>
    <w:p w14:paraId="6E154676" w14:textId="77777777" w:rsidR="00787B6E" w:rsidRPr="00DD176C" w:rsidRDefault="00787B6E" w:rsidP="00787B6E">
      <w:pPr>
        <w:widowControl w:val="0"/>
        <w:autoSpaceDE w:val="0"/>
        <w:autoSpaceDN w:val="0"/>
        <w:spacing w:line="276" w:lineRule="auto"/>
        <w:ind w:firstLine="709"/>
        <w:jc w:val="both"/>
        <w:rPr>
          <w:rFonts w:ascii="Arial" w:eastAsia="Calibri" w:hAnsi="Arial" w:cs="Arial"/>
          <w:sz w:val="22"/>
          <w:lang w:val="es-ES_tradnl"/>
        </w:rPr>
      </w:pPr>
    </w:p>
    <w:p w14:paraId="413D1E7E"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6337DF">
        <w:rPr>
          <w:rFonts w:ascii="Arial" w:hAnsi="Arial" w:cs="Arial"/>
          <w:sz w:val="21"/>
          <w:szCs w:val="21"/>
        </w:rPr>
        <w:t>«</w:t>
      </w:r>
      <w:r w:rsidRPr="00DD176C">
        <w:rPr>
          <w:rFonts w:ascii="Arial" w:eastAsia="Calibri" w:hAnsi="Arial" w:cs="Arial"/>
          <w:sz w:val="21"/>
          <w:szCs w:val="21"/>
          <w:lang w:val="es-ES_tradnl"/>
        </w:rPr>
        <w:t xml:space="preserve">Para efectos del concepto que ahora se rinde, la Sala resalta dos elementos contenidos en el texto transcrito, a saber: </w:t>
      </w:r>
      <w:r w:rsidRPr="00DD176C">
        <w:rPr>
          <w:rFonts w:ascii="Arial" w:eastAsia="Calibri" w:hAnsi="Arial" w:cs="Arial"/>
          <w:i/>
          <w:iCs/>
          <w:sz w:val="21"/>
          <w:szCs w:val="21"/>
          <w:lang w:val="es-ES_tradnl"/>
        </w:rPr>
        <w:t>la «tipicidad» y la «objetividad»,</w:t>
      </w:r>
      <w:r w:rsidRPr="00DD176C">
        <w:rPr>
          <w:rFonts w:ascii="Arial" w:eastAsia="Calibri" w:hAnsi="Arial" w:cs="Arial"/>
          <w:sz w:val="21"/>
          <w:szCs w:val="21"/>
          <w:lang w:val="es-ES_tradnl"/>
        </w:rPr>
        <w:t xml:space="preserve"> que deben predicarse de las causales que se establezcan en cada caso particular, para preservar y hacer eficaz la selección objetiva del contratista, como se explica a continuación.</w:t>
      </w:r>
    </w:p>
    <w:p w14:paraId="60C7AAE7"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La «identificación de actividades incompatibles» con las obligaciones del contratista, significa jurídicamente, </w:t>
      </w:r>
      <w:r w:rsidRPr="00DD176C">
        <w:rPr>
          <w:rFonts w:ascii="Arial" w:eastAsia="Calibri" w:hAnsi="Arial" w:cs="Arial"/>
          <w:i/>
          <w:iCs/>
          <w:sz w:val="21"/>
          <w:szCs w:val="21"/>
          <w:lang w:val="es-ES_tradnl"/>
        </w:rPr>
        <w:t>«tipificarlas», esto es, definirlas de manera concreta para derivar de ellas una consecuencia que, en el caso en estudio, tiene una naturaleza restrictiva, prohibitiva o sancionatoria</w:t>
      </w:r>
      <w:r w:rsidRPr="00DD176C">
        <w:rPr>
          <w:rFonts w:ascii="Arial" w:eastAsia="Calibri" w:hAnsi="Arial" w:cs="Arial"/>
          <w:sz w:val="21"/>
          <w:szCs w:val="21"/>
          <w:lang w:val="es-ES_tradnl"/>
        </w:rPr>
        <w:t>.</w:t>
      </w:r>
    </w:p>
    <w:p w14:paraId="66F445AB"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La «evaluación estrictamente objetiva» que debe garantizarse con las causales que se definan en un proceso contractual dado, exige, por supuesto, la «objetividad» en la determinación de las causales que se adopten.</w:t>
      </w:r>
    </w:p>
    <w:p w14:paraId="4421A496" w14:textId="77777777" w:rsidR="00787B6E" w:rsidRPr="00DD176C" w:rsidRDefault="00787B6E" w:rsidP="00787B6E">
      <w:pPr>
        <w:widowControl w:val="0"/>
        <w:autoSpaceDE w:val="0"/>
        <w:autoSpaceDN w:val="0"/>
        <w:spacing w:after="12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En términos gramaticales, el vocablo «objetivo» tiene, entre sus acepciones, las de «perteneciente o relativo al objeto en sí mismo, con independencia de la propia manera de pensar o de sentir» y «que existe realmente, fuera del sujeto que lo conoce». En tanto que la palabra «subjetivo» se define como «perteneciente o relativo al sujeto, considerado en oposición al mundo externo» y «perteneciente o relativo a nuestro modo de pensar o de sentir, y no al objeto </w:t>
      </w:r>
      <w:r w:rsidRPr="00DD176C">
        <w:rPr>
          <w:rFonts w:ascii="Arial" w:eastAsia="Calibri" w:hAnsi="Arial" w:cs="Arial"/>
          <w:sz w:val="21"/>
          <w:szCs w:val="21"/>
          <w:lang w:val="es-ES_tradnl"/>
        </w:rPr>
        <w:lastRenderedPageBreak/>
        <w:t>en sí mismo.</w:t>
      </w:r>
      <w:bookmarkStart w:id="9" w:name="_ftnref18"/>
      <w:r w:rsidRPr="00DD176C">
        <w:rPr>
          <w:rFonts w:ascii="Arial" w:eastAsia="Calibri" w:hAnsi="Arial" w:cs="Arial"/>
          <w:sz w:val="21"/>
          <w:szCs w:val="21"/>
          <w:lang w:val="es-ES_tradnl"/>
        </w:rPr>
        <w:t>»</w:t>
      </w:r>
      <w:bookmarkEnd w:id="9"/>
      <w:r w:rsidRPr="00DD176C">
        <w:rPr>
          <w:rFonts w:ascii="Arial" w:eastAsia="Calibri" w:hAnsi="Arial" w:cs="Arial"/>
          <w:sz w:val="21"/>
          <w:szCs w:val="21"/>
          <w:lang w:val="es-ES_tradnl"/>
        </w:rPr>
        <w:t xml:space="preserve"> </w:t>
      </w:r>
    </w:p>
    <w:p w14:paraId="59B3E4CF" w14:textId="77777777" w:rsidR="00787B6E" w:rsidRPr="00DD176C" w:rsidRDefault="00787B6E" w:rsidP="00787B6E">
      <w:pPr>
        <w:widowControl w:val="0"/>
        <w:autoSpaceDE w:val="0"/>
        <w:autoSpaceDN w:val="0"/>
        <w:spacing w:after="120"/>
        <w:ind w:left="709" w:right="709"/>
        <w:jc w:val="both"/>
        <w:rPr>
          <w:rFonts w:ascii="Arial" w:eastAsia="Calibri" w:hAnsi="Arial" w:cs="Arial"/>
          <w:i/>
          <w:iCs/>
          <w:sz w:val="21"/>
          <w:szCs w:val="21"/>
          <w:lang w:val="es-ES_tradnl"/>
        </w:rPr>
      </w:pPr>
      <w:r w:rsidRPr="00DD176C">
        <w:rPr>
          <w:rFonts w:ascii="Arial" w:eastAsia="Calibri" w:hAnsi="Arial" w:cs="Arial"/>
          <w:sz w:val="21"/>
          <w:szCs w:val="21"/>
          <w:lang w:val="es-ES_tradnl"/>
        </w:rPr>
        <w:t xml:space="preserve">Siguiendo el significado gramatical de los citados términos y la exigencia legal de la objetividad en la selección de contratistas, las cláusulas o reglas que se incorporen en los pliegos de condiciones y en los contratos para regular el conflicto de intereses deben tipificar las acciones u omisiones que lo generen, en forma tal que </w:t>
      </w:r>
      <w:r w:rsidRPr="00DD176C">
        <w:rPr>
          <w:rFonts w:ascii="Arial" w:eastAsia="Calibri" w:hAnsi="Arial" w:cs="Arial"/>
          <w:i/>
          <w:iCs/>
          <w:sz w:val="21"/>
          <w:szCs w:val="21"/>
          <w:lang w:val="es-ES_tradnl"/>
        </w:rPr>
        <w:t>los hechos o situaciones que se invoquen como causales del conflicto puedan ser evaluados en sí mismos, esto es, objetivamente, y no queden sujetos al criterio, opinión o juicio de las personas que, por distintas razones, pueden o deben intervenir en el proceso de que se trate. A lo cual ha de agregarse que esas cualidades de la regla permitirán que, desde el inicio del proceso contractual, los interesados estén en condiciones de decidir libremente su participación.</w:t>
      </w:r>
    </w:p>
    <w:p w14:paraId="655DBCA1" w14:textId="77777777" w:rsidR="00787B6E" w:rsidRPr="00DD176C" w:rsidRDefault="00787B6E" w:rsidP="00787B6E">
      <w:pPr>
        <w:widowControl w:val="0"/>
        <w:autoSpaceDE w:val="0"/>
        <w:autoSpaceDN w:val="0"/>
        <w:ind w:left="709" w:right="709"/>
        <w:jc w:val="both"/>
        <w:rPr>
          <w:rFonts w:ascii="Arial" w:eastAsia="Calibri" w:hAnsi="Arial" w:cs="Arial"/>
          <w:sz w:val="21"/>
          <w:szCs w:val="21"/>
          <w:lang w:val="es-ES_tradnl"/>
        </w:rPr>
      </w:pPr>
      <w:r w:rsidRPr="00DD176C">
        <w:rPr>
          <w:rFonts w:ascii="Arial" w:eastAsia="Calibri" w:hAnsi="Arial" w:cs="Arial"/>
          <w:sz w:val="21"/>
          <w:szCs w:val="21"/>
          <w:lang w:val="es-ES_tradnl"/>
        </w:rPr>
        <w:t xml:space="preserve">Aplicando los anteriores criterios a la regulación del conflicto de intereses en los pliegos que rijan un determinado proceso de selección, resulta evidente la necesidad de señalar, de manera clara y precisa, las acciones u omisiones a las que se dé como efecto prohibir la participación de una persona en el proceso de que se trate. Es </w:t>
      </w:r>
      <w:proofErr w:type="gramStart"/>
      <w:r w:rsidRPr="00DD176C">
        <w:rPr>
          <w:rFonts w:ascii="Arial" w:eastAsia="Calibri" w:hAnsi="Arial" w:cs="Arial"/>
          <w:sz w:val="21"/>
          <w:szCs w:val="21"/>
          <w:lang w:val="es-ES_tradnl"/>
        </w:rPr>
        <w:t>en razón de</w:t>
      </w:r>
      <w:proofErr w:type="gramEnd"/>
      <w:r w:rsidRPr="00DD176C">
        <w:rPr>
          <w:rFonts w:ascii="Arial" w:eastAsia="Calibri" w:hAnsi="Arial" w:cs="Arial"/>
          <w:sz w:val="21"/>
          <w:szCs w:val="21"/>
          <w:lang w:val="es-ES_tradnl"/>
        </w:rPr>
        <w:t xml:space="preserve"> este efecto </w:t>
      </w:r>
      <w:r w:rsidRPr="00DD176C">
        <w:rPr>
          <w:rFonts w:ascii="Arial" w:eastAsia="Calibri" w:hAnsi="Arial" w:cs="Arial"/>
          <w:i/>
          <w:iCs/>
          <w:sz w:val="21"/>
          <w:szCs w:val="21"/>
          <w:lang w:val="es-ES_tradnl"/>
        </w:rPr>
        <w:t>que el conflicto de intereses no puede cimentarse en definiciones ambiguas, abstractas o que permitan un margen de subjetividad en su examen</w:t>
      </w:r>
      <w:r>
        <w:rPr>
          <w:rFonts w:ascii="Arial" w:eastAsia="Calibri" w:hAnsi="Arial" w:cs="Arial"/>
          <w:i/>
          <w:iCs/>
          <w:sz w:val="21"/>
          <w:szCs w:val="21"/>
          <w:lang w:val="es-ES_tradnl"/>
        </w:rPr>
        <w:t>.</w:t>
      </w:r>
      <w:r w:rsidRPr="006337DF">
        <w:rPr>
          <w:rFonts w:ascii="Arial" w:hAnsi="Arial" w:cs="Arial"/>
          <w:sz w:val="21"/>
          <w:szCs w:val="21"/>
        </w:rPr>
        <w:t>»</w:t>
      </w:r>
      <w:r w:rsidRPr="00DD176C">
        <w:rPr>
          <w:rStyle w:val="Refdenotaalpie"/>
          <w:rFonts w:ascii="Arial" w:eastAsia="Calibri" w:hAnsi="Arial" w:cs="Arial"/>
          <w:i/>
          <w:iCs/>
          <w:sz w:val="21"/>
          <w:szCs w:val="21"/>
          <w:lang w:val="es-ES_tradnl"/>
        </w:rPr>
        <w:footnoteReference w:id="26"/>
      </w:r>
      <w:r w:rsidRPr="00DD176C">
        <w:rPr>
          <w:rFonts w:ascii="Arial" w:eastAsia="Calibri" w:hAnsi="Arial" w:cs="Arial"/>
          <w:sz w:val="21"/>
          <w:szCs w:val="21"/>
          <w:lang w:val="es-ES_tradnl"/>
        </w:rPr>
        <w:t xml:space="preserve"> (Cursiva fuera del original).</w:t>
      </w:r>
    </w:p>
    <w:p w14:paraId="581A47C0" w14:textId="77777777" w:rsidR="00787B6E" w:rsidRPr="00DD176C" w:rsidRDefault="00787B6E" w:rsidP="00787B6E">
      <w:pPr>
        <w:widowControl w:val="0"/>
        <w:autoSpaceDE w:val="0"/>
        <w:autoSpaceDN w:val="0"/>
        <w:spacing w:line="276" w:lineRule="auto"/>
        <w:jc w:val="both"/>
        <w:rPr>
          <w:rFonts w:ascii="Arial" w:eastAsia="Calibri" w:hAnsi="Arial" w:cs="Arial"/>
          <w:sz w:val="22"/>
          <w:lang w:val="es-ES_tradnl"/>
        </w:rPr>
      </w:pPr>
    </w:p>
    <w:p w14:paraId="033F73BC" w14:textId="77777777" w:rsidR="00787B6E" w:rsidRPr="00DD176C" w:rsidRDefault="00787B6E" w:rsidP="00787B6E">
      <w:pPr>
        <w:widowControl w:val="0"/>
        <w:autoSpaceDE w:val="0"/>
        <w:autoSpaceDN w:val="0"/>
        <w:spacing w:after="120"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 xml:space="preserve">De conformidad con los anteriores pronunciamientos de la Sala de Consulta y Servicio Civil del Consejo de Estado, es posible extraer las siguientes conclusiones en relación con la regulación de los conflictos de intereses en la contratación estatal: i) es posible que los pliegos de condiciones establezcan, si bien de forma restrictiva, conflictos de interés; </w:t>
      </w:r>
      <w:proofErr w:type="spellStart"/>
      <w:r w:rsidRPr="00DD176C">
        <w:rPr>
          <w:rFonts w:ascii="Arial" w:eastAsia="Calibri" w:hAnsi="Arial" w:cs="Arial"/>
          <w:sz w:val="22"/>
          <w:lang w:val="es-ES_tradnl"/>
        </w:rPr>
        <w:t>ii</w:t>
      </w:r>
      <w:proofErr w:type="spellEnd"/>
      <w:r w:rsidRPr="00DD176C">
        <w:rPr>
          <w:rFonts w:ascii="Arial" w:eastAsia="Calibri" w:hAnsi="Arial" w:cs="Arial"/>
          <w:sz w:val="22"/>
          <w:lang w:val="es-ES_tradnl"/>
        </w:rPr>
        <w:t xml:space="preserve">) estos deben </w:t>
      </w:r>
      <w:r w:rsidRPr="00DD176C">
        <w:rPr>
          <w:rFonts w:ascii="Arial" w:eastAsia="Calibri" w:hAnsi="Arial" w:cs="Arial"/>
          <w:i/>
          <w:iCs/>
          <w:sz w:val="22"/>
          <w:lang w:val="es-ES_tradnl"/>
        </w:rPr>
        <w:t>tipificarse</w:t>
      </w:r>
      <w:r w:rsidRPr="00DD176C">
        <w:rPr>
          <w:rFonts w:ascii="Arial" w:eastAsia="Calibri" w:hAnsi="Arial" w:cs="Arial"/>
          <w:sz w:val="22"/>
          <w:lang w:val="es-ES_tradnl"/>
        </w:rPr>
        <w:t xml:space="preserve">, esto es, establecerse de forma expresa y concreta en los pliegos de condiciones; </w:t>
      </w:r>
      <w:proofErr w:type="spellStart"/>
      <w:r w:rsidRPr="00DD176C">
        <w:rPr>
          <w:rFonts w:ascii="Arial" w:eastAsia="Calibri" w:hAnsi="Arial" w:cs="Arial"/>
          <w:sz w:val="22"/>
          <w:lang w:val="es-ES_tradnl"/>
        </w:rPr>
        <w:t>iii</w:t>
      </w:r>
      <w:proofErr w:type="spellEnd"/>
      <w:r w:rsidRPr="00DD176C">
        <w:rPr>
          <w:rFonts w:ascii="Arial" w:eastAsia="Calibri" w:hAnsi="Arial" w:cs="Arial"/>
          <w:sz w:val="22"/>
          <w:lang w:val="es-ES_tradnl"/>
        </w:rPr>
        <w:t xml:space="preserve">) las causales deben ser </w:t>
      </w:r>
      <w:r w:rsidRPr="00DD176C">
        <w:rPr>
          <w:rFonts w:ascii="Arial" w:eastAsia="Calibri" w:hAnsi="Arial" w:cs="Arial"/>
          <w:i/>
          <w:iCs/>
          <w:sz w:val="22"/>
          <w:lang w:val="es-ES_tradnl"/>
        </w:rPr>
        <w:t>objetivas</w:t>
      </w:r>
      <w:r w:rsidRPr="00DD176C">
        <w:rPr>
          <w:rFonts w:ascii="Arial" w:eastAsia="Calibri" w:hAnsi="Arial" w:cs="Arial"/>
          <w:sz w:val="22"/>
          <w:lang w:val="es-ES_tradnl"/>
        </w:rPr>
        <w:t xml:space="preserve">, esto es, que se describan con claridad, de manera que no resulten ambiguos dando lugar a que los intérpretes extraigan consecuencias diferentes; </w:t>
      </w:r>
      <w:proofErr w:type="spellStart"/>
      <w:r w:rsidRPr="00DD176C">
        <w:rPr>
          <w:rFonts w:ascii="Arial" w:eastAsia="Calibri" w:hAnsi="Arial" w:cs="Arial"/>
          <w:sz w:val="22"/>
          <w:lang w:val="es-ES_tradnl"/>
        </w:rPr>
        <w:t>iv</w:t>
      </w:r>
      <w:proofErr w:type="spellEnd"/>
      <w:r w:rsidRPr="00DD176C">
        <w:rPr>
          <w:rFonts w:ascii="Arial" w:eastAsia="Calibri" w:hAnsi="Arial" w:cs="Arial"/>
          <w:sz w:val="22"/>
          <w:lang w:val="es-ES_tradnl"/>
        </w:rPr>
        <w:t>) las causales no pueden ser caprichosas, por lo que su inclusión debe justificarse en salvaguardar principios superiores, como la igualdad, la imparcialidad, la transparencia, la moralidad o la selección objetiva; v) su interpretación, al igual que las causales de inhabilidad o incompatibilidad, debe ser estricta o restrictiva; vi) solo se pueden aplicar los conflictos de interés tipificados en el pliego de condiciones, en la Constitución o en la ley, de manera que su ausencia da lugar a que se parta del principio general de la capacidad contractual del proponente o contratista, de manera que la entidad no puede crear o aplicar causales que no incluyó en el pliego de condiciones</w:t>
      </w:r>
      <w:r w:rsidRPr="00DD176C">
        <w:rPr>
          <w:rStyle w:val="Refdenotaalpie"/>
          <w:rFonts w:ascii="Arial" w:eastAsia="Calibri" w:hAnsi="Arial" w:cs="Arial"/>
          <w:sz w:val="22"/>
          <w:lang w:val="es-ES_tradnl"/>
        </w:rPr>
        <w:footnoteReference w:id="27"/>
      </w:r>
      <w:r w:rsidRPr="00DD176C">
        <w:rPr>
          <w:rFonts w:ascii="Arial" w:eastAsia="Calibri" w:hAnsi="Arial" w:cs="Arial"/>
          <w:sz w:val="22"/>
          <w:lang w:val="es-ES_tradnl"/>
        </w:rPr>
        <w:t>.</w:t>
      </w:r>
    </w:p>
    <w:p w14:paraId="3447A4C0" w14:textId="77777777" w:rsidR="00787B6E" w:rsidRPr="00DD176C" w:rsidRDefault="00787B6E" w:rsidP="00787B6E">
      <w:pPr>
        <w:widowControl w:val="0"/>
        <w:autoSpaceDE w:val="0"/>
        <w:autoSpaceDN w:val="0"/>
        <w:spacing w:after="120"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lastRenderedPageBreak/>
        <w:t>Estudiados los requisitos para la inclusión de conflictos de interés en los pliegos de condiciones, resta por analizar las consecuencias que se siguen de que un oferente presente una propuesta incurriendo en alguna de estas causales, toda vez que, aunque tiene efectos similares a las inhabilidades e incompatibilidades, en realidad sus efectos son diferentes. En este sentido, debe tenerse en cuenta que el ordenamiento jurídico establece consecuencias particulares frente a la violación del régimen de inhabilidades e incompatibilidades, lo que puede dar lugar a consecuencias como el nacimiento de una nueva inhabilidad, responsabilidad disciplinaria o penal; sin embargo, al ser el conflicto de interés una institución distinta sus efectos también lo son. En concreto, la principal consecuencia de que un oferente presente una propuesta incurriendo en alguna causal de conflicto de interés resulta en que da lugar al rechazo de la propuesta, pues tal es la consecuencia que se establece en los pliegos de condiciones, sin perjuicio de otros efectos asociados a una posible indebida adjudicación de un contrato por no aplicar el conflicto de interés. Con lo anterior simplemente se destaca la idea de que desconocer una causal de conflicto de interés en un procedimiento de selección no implica necesariamente violar el régimen de inhabilidades o incompatibilidades</w:t>
      </w:r>
      <w:r w:rsidRPr="00DD176C">
        <w:rPr>
          <w:rStyle w:val="Refdenotaalpie"/>
          <w:rFonts w:ascii="Arial" w:eastAsia="Calibri" w:hAnsi="Arial" w:cs="Arial"/>
          <w:sz w:val="22"/>
          <w:lang w:val="es-ES_tradnl"/>
        </w:rPr>
        <w:footnoteReference w:id="28"/>
      </w:r>
      <w:r w:rsidRPr="00DD176C">
        <w:rPr>
          <w:rFonts w:ascii="Arial" w:eastAsia="Calibri" w:hAnsi="Arial" w:cs="Arial"/>
          <w:sz w:val="22"/>
          <w:lang w:val="es-ES_tradnl"/>
        </w:rPr>
        <w:t>.</w:t>
      </w:r>
    </w:p>
    <w:p w14:paraId="3B882F19" w14:textId="77777777" w:rsidR="00787B6E" w:rsidRPr="00DD176C" w:rsidRDefault="00787B6E" w:rsidP="00787B6E">
      <w:pPr>
        <w:widowControl w:val="0"/>
        <w:autoSpaceDE w:val="0"/>
        <w:autoSpaceDN w:val="0"/>
        <w:spacing w:after="120" w:line="276" w:lineRule="auto"/>
        <w:ind w:firstLine="709"/>
        <w:jc w:val="both"/>
        <w:rPr>
          <w:rFonts w:ascii="Arial" w:eastAsia="Calibri" w:hAnsi="Arial" w:cs="Arial"/>
          <w:sz w:val="21"/>
          <w:szCs w:val="21"/>
          <w:lang w:val="es-ES_tradnl"/>
        </w:rPr>
      </w:pPr>
      <w:r>
        <w:rPr>
          <w:rFonts w:ascii="Arial" w:eastAsia="Calibri" w:hAnsi="Arial" w:cs="Arial"/>
          <w:sz w:val="22"/>
          <w:lang w:val="es-ES_tradnl"/>
        </w:rPr>
        <w:t>Así las cosas, se observa que, en principio, el artículo 11 de la Ley 1437 de 2011 no consagra, de manera expresa, como causal de conflicto de interés, la pertenencia de una entidad pública a la junta directiva de una empresa. Sin embargo, como se indicó, el pliego de condiciones adoptado por la entidad contratante podría prever esta circunstancia. En todo caso, la posibilidad de incluir estas causales y de decretar el rechazo de la oferta con fundamento en ellas, debe regirse por el principio de interpretación restrictiva.</w:t>
      </w:r>
    </w:p>
    <w:p w14:paraId="72839849" w14:textId="77777777" w:rsidR="00787B6E" w:rsidRPr="00DD176C" w:rsidRDefault="00787B6E" w:rsidP="00787B6E">
      <w:pPr>
        <w:widowControl w:val="0"/>
        <w:autoSpaceDE w:val="0"/>
        <w:autoSpaceDN w:val="0"/>
        <w:spacing w:line="276" w:lineRule="auto"/>
        <w:ind w:firstLine="709"/>
        <w:jc w:val="both"/>
        <w:rPr>
          <w:rFonts w:ascii="Arial" w:eastAsia="Calibri" w:hAnsi="Arial" w:cs="Arial"/>
          <w:sz w:val="22"/>
          <w:lang w:val="es-ES_tradnl"/>
        </w:rPr>
      </w:pPr>
      <w:r w:rsidRPr="00DD176C">
        <w:rPr>
          <w:rFonts w:ascii="Arial" w:eastAsia="Calibri" w:hAnsi="Arial" w:cs="Arial"/>
          <w:sz w:val="22"/>
          <w:lang w:val="es-ES_tradnl"/>
        </w:rPr>
        <w:t xml:space="preserve">Luego de esta última precisión, de conformidad con las consideraciones anteriores, se responderán las preguntas de los peticionarios, de conformidad con las normas que asignan competencia consultiva a esta Agencia. En este sentido, se debe aclarar que </w:t>
      </w:r>
      <w:r w:rsidRPr="00DD176C">
        <w:rPr>
          <w:rFonts w:ascii="Arial" w:eastAsia="Calibri" w:hAnsi="Arial" w:cs="Arial"/>
          <w:color w:val="000000" w:themeColor="text1"/>
          <w:sz w:val="22"/>
          <w:lang w:val="es-ES_tradnl"/>
        </w:rPr>
        <w:t>de conformidad con la competencia otorgada por los artículos 11, numeral 8º, y 3º, numeral 5º, del Decreto Ley 4170 de 2011, la Agencia de Contratación Pública – Colombia Compra Eficiente es competente para absolver consultas sobre la aplicación de normas de carácter general en materia de contratación estatal</w:t>
      </w:r>
      <w:r w:rsidRPr="00DD176C">
        <w:rPr>
          <w:rStyle w:val="Refdenotaalpie"/>
          <w:rFonts w:ascii="Arial" w:eastAsia="Calibri" w:hAnsi="Arial" w:cs="Arial"/>
          <w:color w:val="000000" w:themeColor="text1"/>
          <w:sz w:val="22"/>
          <w:lang w:val="es-ES_tradnl"/>
        </w:rPr>
        <w:footnoteReference w:id="29"/>
      </w:r>
      <w:r w:rsidRPr="00DD176C">
        <w:rPr>
          <w:rFonts w:ascii="Arial" w:eastAsia="Calibri" w:hAnsi="Arial" w:cs="Arial"/>
          <w:color w:val="000000" w:themeColor="text1"/>
          <w:sz w:val="22"/>
          <w:lang w:val="es-ES_tradnl"/>
        </w:rPr>
        <w:t xml:space="preserve">. En tal sentido, su competencia se encuentra </w:t>
      </w:r>
      <w:r w:rsidRPr="00DD176C">
        <w:rPr>
          <w:rFonts w:ascii="Arial" w:eastAsia="Calibri" w:hAnsi="Arial" w:cs="Arial"/>
          <w:color w:val="000000" w:themeColor="text1"/>
          <w:sz w:val="22"/>
          <w:lang w:val="es-ES_tradnl"/>
        </w:rPr>
        <w:lastRenderedPageBreak/>
        <w:t>limitada por los criterios y requisitos establecidos en las disposiciones que le asignan dicha potestad, de manera que su ejercicio debe someterse a la norma habilitante, observando estrictamente el principio de legalidad. En tal sentido, esta Agencia no tiene competencia para pronunciarse sobre casos particulares o juzgar la legalidad de las actuaciones concretas realizadas por las entidades estatales, ni fungir como órgano asesor en la actividad contractual de estas entidades.</w:t>
      </w:r>
    </w:p>
    <w:p w14:paraId="3D76304A" w14:textId="77777777" w:rsidR="00787B6E" w:rsidRDefault="00787B6E" w:rsidP="00787B6E">
      <w:pPr>
        <w:spacing w:line="276" w:lineRule="auto"/>
        <w:jc w:val="both"/>
        <w:rPr>
          <w:rFonts w:ascii="Arial" w:eastAsia="Calibri" w:hAnsi="Arial" w:cs="Arial"/>
          <w:b/>
          <w:color w:val="000000" w:themeColor="text1"/>
          <w:sz w:val="22"/>
        </w:rPr>
      </w:pPr>
    </w:p>
    <w:p w14:paraId="7A2765D0" w14:textId="77777777" w:rsidR="00787B6E" w:rsidRPr="008A2673" w:rsidRDefault="00787B6E" w:rsidP="00787B6E">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2.6 </w:t>
      </w:r>
      <w:r w:rsidRPr="008A2673">
        <w:rPr>
          <w:rFonts w:ascii="Arial" w:eastAsia="Calibri" w:hAnsi="Arial" w:cs="Arial"/>
          <w:b/>
          <w:color w:val="000000" w:themeColor="text1"/>
          <w:sz w:val="22"/>
        </w:rPr>
        <w:t>Experiencia en la contratación pública: aproximación general al concepto y consideraciones del ente rector de la contratación pública</w:t>
      </w:r>
    </w:p>
    <w:p w14:paraId="5479E215" w14:textId="77777777" w:rsidR="00787B6E" w:rsidRPr="008A2673" w:rsidRDefault="00787B6E" w:rsidP="00787B6E">
      <w:pPr>
        <w:spacing w:line="276" w:lineRule="auto"/>
        <w:jc w:val="both"/>
        <w:rPr>
          <w:rFonts w:ascii="Arial" w:eastAsia="Calibri" w:hAnsi="Arial" w:cs="Arial"/>
          <w:b/>
          <w:color w:val="000000" w:themeColor="text1"/>
          <w:sz w:val="22"/>
        </w:rPr>
      </w:pPr>
    </w:p>
    <w:p w14:paraId="62E333D7" w14:textId="77777777" w:rsidR="00787B6E" w:rsidRPr="008A2673" w:rsidRDefault="00787B6E" w:rsidP="00787B6E">
      <w:pPr>
        <w:spacing w:line="276" w:lineRule="auto"/>
        <w:jc w:val="both"/>
        <w:rPr>
          <w:rFonts w:ascii="Arial" w:eastAsia="Calibri" w:hAnsi="Arial" w:cs="Arial"/>
          <w:b/>
          <w:color w:val="000000" w:themeColor="text1"/>
          <w:sz w:val="22"/>
        </w:rPr>
      </w:pPr>
      <w:r w:rsidRPr="008A2673">
        <w:rPr>
          <w:rFonts w:ascii="Arial" w:eastAsia="Calibri" w:hAnsi="Arial" w:cs="Arial"/>
          <w:b/>
          <w:color w:val="000000" w:themeColor="text1"/>
          <w:sz w:val="22"/>
        </w:rPr>
        <w:t>a) Norma general</w:t>
      </w:r>
    </w:p>
    <w:p w14:paraId="4148B4BE" w14:textId="77777777" w:rsidR="00787B6E" w:rsidRPr="008A2673" w:rsidRDefault="00787B6E" w:rsidP="00787B6E">
      <w:pPr>
        <w:spacing w:before="120" w:after="120" w:line="276" w:lineRule="auto"/>
        <w:jc w:val="both"/>
        <w:rPr>
          <w:rFonts w:ascii="Arial" w:eastAsia="Calibri" w:hAnsi="Arial" w:cs="Arial"/>
          <w:color w:val="000000" w:themeColor="text1"/>
          <w:sz w:val="22"/>
          <w:highlight w:val="yellow"/>
        </w:rPr>
      </w:pPr>
      <w:r w:rsidRPr="008A2673">
        <w:rPr>
          <w:rFonts w:ascii="Arial" w:eastAsia="Calibri" w:hAnsi="Arial" w:cs="Arial"/>
          <w:color w:val="000000" w:themeColor="text1"/>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8A2673">
        <w:rPr>
          <w:rStyle w:val="Refdenotaalpie"/>
          <w:rFonts w:ascii="Arial" w:eastAsia="Calibri" w:hAnsi="Arial" w:cs="Arial"/>
          <w:color w:val="000000" w:themeColor="text1"/>
          <w:sz w:val="22"/>
        </w:rPr>
        <w:footnoteReference w:id="30"/>
      </w:r>
      <w:r w:rsidRPr="008A2673">
        <w:rPr>
          <w:rFonts w:ascii="Arial" w:eastAsia="Calibri" w:hAnsi="Arial" w:cs="Arial"/>
          <w:color w:val="000000" w:themeColor="text1"/>
          <w:sz w:val="22"/>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w:t>
      </w:r>
      <w:r w:rsidRPr="008A2673">
        <w:rPr>
          <w:rFonts w:ascii="Arial" w:eastAsia="Calibri" w:hAnsi="Arial" w:cs="Arial"/>
          <w:color w:val="000000" w:themeColor="text1"/>
          <w:sz w:val="22"/>
        </w:rPr>
        <w:lastRenderedPageBreak/>
        <w:t>componentes como la identificación de riesgos, el mercado y precio del bien, obra o servicio a contratar</w:t>
      </w:r>
      <w:r w:rsidRPr="008A2673">
        <w:rPr>
          <w:rStyle w:val="Refdenotaalpie"/>
          <w:rFonts w:ascii="Arial" w:eastAsia="Calibri" w:hAnsi="Arial" w:cs="Arial"/>
          <w:color w:val="000000" w:themeColor="text1"/>
          <w:sz w:val="22"/>
        </w:rPr>
        <w:footnoteReference w:id="31"/>
      </w:r>
      <w:r w:rsidRPr="008A2673">
        <w:rPr>
          <w:rFonts w:ascii="Arial" w:eastAsia="Calibri" w:hAnsi="Arial" w:cs="Arial"/>
          <w:color w:val="000000" w:themeColor="text1"/>
          <w:sz w:val="22"/>
        </w:rPr>
        <w:t>.</w:t>
      </w:r>
    </w:p>
    <w:p w14:paraId="1D4ABD9C" w14:textId="77777777" w:rsidR="00787B6E" w:rsidRPr="008A2673" w:rsidRDefault="00787B6E" w:rsidP="00787B6E">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8A2673">
        <w:rPr>
          <w:rStyle w:val="Refdenotaalpie"/>
          <w:rFonts w:ascii="Arial" w:eastAsia="Calibri" w:hAnsi="Arial" w:cs="Arial"/>
          <w:color w:val="000000" w:themeColor="text1"/>
          <w:sz w:val="22"/>
        </w:rPr>
        <w:footnoteReference w:id="32"/>
      </w:r>
      <w:r w:rsidRPr="008A2673">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sea posible para la entidad o el proponente solicitar o aportar otra documentación</w:t>
      </w:r>
      <w:r w:rsidRPr="008A2673">
        <w:rPr>
          <w:rStyle w:val="Refdenotaalpie"/>
          <w:rFonts w:ascii="Arial" w:eastAsia="Calibri" w:hAnsi="Arial" w:cs="Arial"/>
          <w:color w:val="000000" w:themeColor="text1"/>
          <w:sz w:val="22"/>
        </w:rPr>
        <w:footnoteReference w:id="33"/>
      </w:r>
      <w:r w:rsidRPr="008A2673">
        <w:rPr>
          <w:rFonts w:ascii="Arial" w:eastAsia="Calibri" w:hAnsi="Arial" w:cs="Arial"/>
          <w:color w:val="000000" w:themeColor="text1"/>
          <w:sz w:val="22"/>
        </w:rPr>
        <w:t>.</w:t>
      </w:r>
    </w:p>
    <w:p w14:paraId="5758C251" w14:textId="77777777" w:rsidR="00787B6E" w:rsidRPr="008A2673" w:rsidRDefault="00787B6E" w:rsidP="00787B6E">
      <w:pPr>
        <w:spacing w:before="120"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w:t>
      </w:r>
      <w:r w:rsidRPr="008A2673">
        <w:rPr>
          <w:rFonts w:ascii="Arial" w:eastAsia="Calibri" w:hAnsi="Arial" w:cs="Arial"/>
          <w:color w:val="000000" w:themeColor="text1"/>
          <w:sz w:val="22"/>
        </w:rPr>
        <w:lastRenderedPageBreak/>
        <w:t>nivel</w:t>
      </w:r>
      <w:r w:rsidRPr="008A2673">
        <w:rPr>
          <w:rStyle w:val="Refdenotaalpie"/>
          <w:rFonts w:ascii="Arial" w:eastAsia="Calibri" w:hAnsi="Arial" w:cs="Arial"/>
          <w:color w:val="000000" w:themeColor="text1"/>
          <w:sz w:val="22"/>
        </w:rPr>
        <w:footnoteReference w:id="34"/>
      </w:r>
      <w:r w:rsidRPr="008A2673">
        <w:rPr>
          <w:rFonts w:ascii="Arial" w:eastAsia="Calibri" w:hAnsi="Arial" w:cs="Arial"/>
          <w:color w:val="000000" w:themeColor="text1"/>
          <w:sz w:val="22"/>
        </w:rPr>
        <w:t>.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0323838F" w14:textId="77777777" w:rsidR="00787B6E" w:rsidRPr="008A2673" w:rsidRDefault="00787B6E" w:rsidP="00787B6E">
      <w:pPr>
        <w:spacing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w:t>
      </w:r>
      <w:proofErr w:type="spellStart"/>
      <w:r w:rsidRPr="008A2673">
        <w:rPr>
          <w:rFonts w:ascii="Arial" w:eastAsia="Calibri" w:hAnsi="Arial" w:cs="Arial"/>
          <w:color w:val="000000" w:themeColor="text1"/>
          <w:sz w:val="22"/>
        </w:rPr>
        <w:t>esta</w:t>
      </w:r>
      <w:proofErr w:type="spellEnd"/>
      <w:r w:rsidRPr="008A2673">
        <w:rPr>
          <w:rFonts w:ascii="Arial" w:eastAsia="Calibri" w:hAnsi="Arial" w:cs="Arial"/>
          <w:color w:val="000000" w:themeColor="text1"/>
          <w:sz w:val="22"/>
        </w:rPr>
        <w:t xml:space="preserve"> determinado por el valor </w:t>
      </w:r>
      <w:r w:rsidRPr="008A2673">
        <w:rPr>
          <w:rFonts w:ascii="Arial" w:hAnsi="Arial" w:cs="Arial"/>
          <w:color w:val="000000" w:themeColor="text1"/>
          <w:sz w:val="22"/>
        </w:rPr>
        <w:t>total en pesos de los contratos que figuran en el RUP, la experiencia en ambos casos se refiere a la misma definición.</w:t>
      </w:r>
    </w:p>
    <w:p w14:paraId="047AA82B" w14:textId="77777777" w:rsidR="00787B6E" w:rsidRPr="008A2673" w:rsidRDefault="00787B6E" w:rsidP="00787B6E">
      <w:pPr>
        <w:spacing w:line="276" w:lineRule="auto"/>
        <w:jc w:val="both"/>
        <w:rPr>
          <w:rFonts w:ascii="Arial" w:eastAsia="Calibri" w:hAnsi="Arial" w:cs="Arial"/>
          <w:color w:val="000000" w:themeColor="text1"/>
          <w:sz w:val="22"/>
        </w:rPr>
      </w:pPr>
    </w:p>
    <w:p w14:paraId="70923B55" w14:textId="77777777" w:rsidR="00787B6E" w:rsidRPr="008A2673" w:rsidRDefault="00787B6E" w:rsidP="00787B6E">
      <w:pPr>
        <w:spacing w:line="276" w:lineRule="auto"/>
        <w:jc w:val="both"/>
        <w:rPr>
          <w:rFonts w:ascii="Arial" w:eastAsia="Calibri" w:hAnsi="Arial" w:cs="Arial"/>
          <w:b/>
          <w:bCs/>
          <w:color w:val="000000" w:themeColor="text1"/>
          <w:sz w:val="22"/>
        </w:rPr>
      </w:pPr>
      <w:r w:rsidRPr="008A2673">
        <w:rPr>
          <w:rFonts w:ascii="Arial" w:eastAsia="Calibri" w:hAnsi="Arial" w:cs="Arial"/>
          <w:b/>
          <w:bCs/>
          <w:color w:val="000000" w:themeColor="text1"/>
          <w:sz w:val="22"/>
        </w:rPr>
        <w:t>b) Consideraciones de Colombia Compra Eficiente respecto de la experiencia</w:t>
      </w:r>
    </w:p>
    <w:p w14:paraId="34FB282D" w14:textId="77777777" w:rsidR="00787B6E" w:rsidRPr="008A2673" w:rsidRDefault="00787B6E" w:rsidP="00787B6E">
      <w:pPr>
        <w:spacing w:line="276" w:lineRule="auto"/>
        <w:jc w:val="both"/>
        <w:rPr>
          <w:rFonts w:ascii="Arial" w:eastAsia="Calibri" w:hAnsi="Arial" w:cs="Arial"/>
          <w:b/>
          <w:bCs/>
          <w:color w:val="000000" w:themeColor="text1"/>
          <w:sz w:val="22"/>
        </w:rPr>
      </w:pPr>
    </w:p>
    <w:p w14:paraId="22411E17" w14:textId="77777777" w:rsidR="00787B6E" w:rsidRPr="008A2673" w:rsidRDefault="00787B6E" w:rsidP="00787B6E">
      <w:pPr>
        <w:spacing w:line="276" w:lineRule="auto"/>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la experiencia se tiene por la </w:t>
      </w:r>
      <w:r w:rsidRPr="008A2673">
        <w:rPr>
          <w:rFonts w:ascii="Arial" w:eastAsia="Calibri" w:hAnsi="Arial" w:cs="Arial"/>
          <w:color w:val="000000" w:themeColor="text1"/>
          <w:sz w:val="22"/>
        </w:rPr>
        <w:lastRenderedPageBreak/>
        <w:t>participación, con anterioridad, en actividades que le permitieron conocer cómo ejecutar el objeto contractual, que la entidad pretende satisfacer ahora</w:t>
      </w:r>
      <w:r w:rsidRPr="008A2673">
        <w:rPr>
          <w:rStyle w:val="Refdenotaalpie"/>
          <w:rFonts w:ascii="Arial" w:eastAsia="Calibri" w:hAnsi="Arial" w:cs="Arial"/>
          <w:color w:val="000000" w:themeColor="text1"/>
          <w:sz w:val="22"/>
        </w:rPr>
        <w:footnoteReference w:id="35"/>
      </w:r>
      <w:r w:rsidRPr="008A2673">
        <w:rPr>
          <w:rFonts w:ascii="Arial" w:eastAsia="Calibri" w:hAnsi="Arial" w:cs="Arial"/>
          <w:color w:val="000000" w:themeColor="text1"/>
          <w:sz w:val="22"/>
        </w:rPr>
        <w:t>.</w:t>
      </w:r>
    </w:p>
    <w:p w14:paraId="372C26BB" w14:textId="77777777" w:rsidR="00787B6E" w:rsidRPr="008A2673" w:rsidRDefault="00787B6E" w:rsidP="00787B6E">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w:t>
      </w:r>
      <w:proofErr w:type="gramStart"/>
      <w:r w:rsidRPr="008A2673">
        <w:rPr>
          <w:rFonts w:ascii="Arial" w:eastAsia="Calibri" w:hAnsi="Arial" w:cs="Arial"/>
          <w:color w:val="000000" w:themeColor="text1"/>
          <w:sz w:val="22"/>
        </w:rPr>
        <w:t>personal</w:t>
      </w:r>
      <w:proofErr w:type="gramEnd"/>
      <w:r w:rsidRPr="008A2673">
        <w:rPr>
          <w:rFonts w:ascii="Arial" w:eastAsia="Calibri" w:hAnsi="Arial" w:cs="Arial"/>
          <w:color w:val="000000" w:themeColor="text1"/>
          <w:sz w:val="22"/>
        </w:rPr>
        <w:t xml:space="preserve">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cuatro conclusiones relevantes para evaluar las matrices y subordinadas de las sociedades comerciales, respecto de la experiencia: </w:t>
      </w:r>
    </w:p>
    <w:p w14:paraId="33D6ADA0" w14:textId="77777777" w:rsidR="00787B6E" w:rsidRPr="008A2673" w:rsidRDefault="00787B6E" w:rsidP="00787B6E">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4DCF96DC" w14:textId="77777777" w:rsidR="00787B6E" w:rsidRPr="008A2673" w:rsidRDefault="00787B6E" w:rsidP="00787B6E">
      <w:pPr>
        <w:spacing w:before="120" w:after="120" w:line="276" w:lineRule="auto"/>
        <w:ind w:firstLine="708"/>
        <w:jc w:val="both"/>
        <w:rPr>
          <w:rFonts w:ascii="Arial" w:eastAsia="Calibri" w:hAnsi="Arial" w:cs="Arial"/>
          <w:color w:val="000000" w:themeColor="text1"/>
          <w:sz w:val="22"/>
        </w:rPr>
      </w:pPr>
      <w:proofErr w:type="spellStart"/>
      <w:r w:rsidRPr="008A2673">
        <w:rPr>
          <w:rFonts w:ascii="Arial" w:eastAsia="Calibri" w:hAnsi="Arial" w:cs="Arial"/>
          <w:color w:val="000000" w:themeColor="text1"/>
          <w:sz w:val="22"/>
        </w:rPr>
        <w:lastRenderedPageBreak/>
        <w:t>ii</w:t>
      </w:r>
      <w:proofErr w:type="spellEnd"/>
      <w:r w:rsidRPr="008A2673">
        <w:rPr>
          <w:rFonts w:ascii="Arial" w:eastAsia="Calibri" w:hAnsi="Arial" w:cs="Arial"/>
          <w:color w:val="000000" w:themeColor="text1"/>
          <w:sz w:val="22"/>
        </w:rPr>
        <w:t xml:space="preserve">)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8A2673">
        <w:rPr>
          <w:rFonts w:ascii="Arial" w:eastAsia="Calibri" w:hAnsi="Arial" w:cs="Arial"/>
          <w:color w:val="000000" w:themeColor="text1"/>
          <w:sz w:val="22"/>
        </w:rPr>
        <w:t>asociativas  ̶</w:t>
      </w:r>
      <w:proofErr w:type="gramEnd"/>
      <w:r w:rsidRPr="008A2673">
        <w:rPr>
          <w:rFonts w:ascii="Arial" w:eastAsia="Calibri" w:hAnsi="Arial" w:cs="Arial"/>
          <w:color w:val="000000" w:themeColor="text1"/>
          <w:sz w:val="22"/>
        </w:rPr>
        <w:t xml:space="preserve"> consorcios y uniones temporales ̶  que se verificará en el documento privado de constitución.</w:t>
      </w:r>
    </w:p>
    <w:p w14:paraId="2FDB578E" w14:textId="77777777" w:rsidR="00787B6E" w:rsidRPr="008A2673" w:rsidRDefault="00787B6E" w:rsidP="00787B6E">
      <w:pPr>
        <w:spacing w:before="120" w:after="120" w:line="276" w:lineRule="auto"/>
        <w:ind w:firstLine="708"/>
        <w:jc w:val="both"/>
        <w:rPr>
          <w:rFonts w:ascii="Arial" w:eastAsia="Calibri" w:hAnsi="Arial" w:cs="Arial"/>
          <w:color w:val="000000" w:themeColor="text1"/>
          <w:sz w:val="22"/>
        </w:rPr>
      </w:pPr>
      <w:proofErr w:type="spellStart"/>
      <w:r w:rsidRPr="008A2673">
        <w:rPr>
          <w:rFonts w:ascii="Arial" w:eastAsia="Calibri" w:hAnsi="Arial" w:cs="Arial"/>
          <w:color w:val="000000" w:themeColor="text1"/>
          <w:sz w:val="22"/>
        </w:rPr>
        <w:t>iii</w:t>
      </w:r>
      <w:proofErr w:type="spellEnd"/>
      <w:r w:rsidRPr="008A2673">
        <w:rPr>
          <w:rFonts w:ascii="Arial" w:eastAsia="Calibri" w:hAnsi="Arial" w:cs="Arial"/>
          <w:color w:val="000000" w:themeColor="text1"/>
          <w:sz w:val="22"/>
        </w:rPr>
        <w:t>) La experiencia se puede transferir, y es diferente a compartir, puesto que implica que la experiencia de una persona se traslada a otra, y esta última acredita esa experiencia como propia, lo cual es el caso de las figuras y reformas estatutarias como transformación, fusión y escisión.</w:t>
      </w:r>
    </w:p>
    <w:p w14:paraId="0CBAB011" w14:textId="77777777" w:rsidR="00787B6E" w:rsidRPr="008A2673" w:rsidRDefault="00787B6E" w:rsidP="00787B6E">
      <w:pPr>
        <w:spacing w:before="120" w:after="120" w:line="276" w:lineRule="auto"/>
        <w:ind w:firstLine="709"/>
        <w:jc w:val="both"/>
        <w:rPr>
          <w:rFonts w:ascii="Arial" w:eastAsia="Calibri" w:hAnsi="Arial" w:cs="Arial"/>
          <w:color w:val="000000" w:themeColor="text1"/>
          <w:sz w:val="22"/>
        </w:rPr>
      </w:pPr>
      <w:proofErr w:type="spellStart"/>
      <w:r w:rsidRPr="008A2673">
        <w:rPr>
          <w:rFonts w:ascii="Arial" w:eastAsia="Calibri" w:hAnsi="Arial" w:cs="Arial"/>
          <w:color w:val="000000" w:themeColor="text1"/>
          <w:sz w:val="22"/>
        </w:rPr>
        <w:t>iv</w:t>
      </w:r>
      <w:proofErr w:type="spellEnd"/>
      <w:r w:rsidRPr="008A2673">
        <w:rPr>
          <w:rFonts w:ascii="Arial" w:eastAsia="Calibri" w:hAnsi="Arial" w:cs="Arial"/>
          <w:color w:val="000000" w:themeColor="text1"/>
          <w:sz w:val="22"/>
        </w:rPr>
        <w:t xml:space="preserve">) Solo es posible transferir o compartir la experiencia de una persona natural o jurídica a otra, por lo cual no es posible que se acredite la experiencia adquirida por un </w:t>
      </w:r>
      <w:proofErr w:type="gramStart"/>
      <w:r w:rsidRPr="008A2673">
        <w:rPr>
          <w:rFonts w:ascii="Arial" w:eastAsia="Calibri" w:hAnsi="Arial" w:cs="Arial"/>
          <w:color w:val="000000" w:themeColor="text1"/>
          <w:sz w:val="22"/>
        </w:rPr>
        <w:t>tercero  ̶</w:t>
      </w:r>
      <w:proofErr w:type="gramEnd"/>
      <w:r w:rsidRPr="008A2673">
        <w:rPr>
          <w:rFonts w:ascii="Arial" w:eastAsia="Calibri" w:hAnsi="Arial" w:cs="Arial"/>
          <w:color w:val="000000" w:themeColor="text1"/>
          <w:sz w:val="22"/>
        </w:rPr>
        <w:t xml:space="preserve"> que es otra persona diferente a la principal ̶  sin que se relacione con lo establecido, ya que la experiencia es personal, esto es, de quien la adquirió.</w:t>
      </w:r>
    </w:p>
    <w:p w14:paraId="7101289B" w14:textId="77777777" w:rsidR="00787B6E" w:rsidRPr="008A2673" w:rsidRDefault="00787B6E" w:rsidP="00787B6E">
      <w:pPr>
        <w:spacing w:before="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No obstante, las entidades</w:t>
      </w:r>
      <w:r>
        <w:rPr>
          <w:rFonts w:ascii="Arial" w:eastAsia="Calibri" w:hAnsi="Arial" w:cs="Arial"/>
          <w:color w:val="000000" w:themeColor="text1"/>
          <w:sz w:val="22"/>
        </w:rPr>
        <w:t xml:space="preserve"> estatales</w:t>
      </w:r>
      <w:r w:rsidRPr="008A2673">
        <w:rPr>
          <w:rFonts w:ascii="Arial" w:eastAsia="Calibri" w:hAnsi="Arial" w:cs="Arial"/>
          <w:color w:val="000000" w:themeColor="text1"/>
          <w:sz w:val="22"/>
        </w:rPr>
        <w:t xml:space="preserve">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w:t>
      </w:r>
      <w:r>
        <w:rPr>
          <w:rFonts w:ascii="Arial" w:eastAsia="Calibri" w:hAnsi="Arial" w:cs="Arial"/>
          <w:color w:val="000000" w:themeColor="text1"/>
          <w:sz w:val="22"/>
        </w:rPr>
        <w:t xml:space="preserve"> Lo anterior, salvo que se trate de objetos contractuales regidos por documentos tipo, evento en el cual las reglas relativas a la experiencia exigida y a la forma de acreditación están allí previstas.</w:t>
      </w:r>
    </w:p>
    <w:p w14:paraId="547FB77F" w14:textId="77777777" w:rsidR="00787B6E" w:rsidRPr="008A2673" w:rsidRDefault="00787B6E" w:rsidP="00787B6E">
      <w:pPr>
        <w:spacing w:line="276" w:lineRule="auto"/>
        <w:jc w:val="both"/>
        <w:rPr>
          <w:rFonts w:ascii="Arial" w:eastAsia="Calibri" w:hAnsi="Arial" w:cs="Arial"/>
          <w:color w:val="000000" w:themeColor="text1"/>
          <w:sz w:val="22"/>
        </w:rPr>
      </w:pPr>
    </w:p>
    <w:p w14:paraId="42AF6046" w14:textId="77777777" w:rsidR="00787B6E" w:rsidRPr="008A2673" w:rsidRDefault="00787B6E" w:rsidP="00787B6E">
      <w:pPr>
        <w:spacing w:line="276" w:lineRule="auto"/>
        <w:jc w:val="both"/>
        <w:rPr>
          <w:rFonts w:ascii="Arial" w:eastAsia="Calibri" w:hAnsi="Arial" w:cs="Arial"/>
          <w:b/>
          <w:bCs/>
          <w:color w:val="000000" w:themeColor="text1"/>
          <w:sz w:val="22"/>
        </w:rPr>
      </w:pPr>
      <w:r w:rsidRPr="008A2673">
        <w:rPr>
          <w:rFonts w:ascii="Arial" w:eastAsia="Calibri" w:hAnsi="Arial" w:cs="Arial"/>
          <w:b/>
          <w:bCs/>
          <w:color w:val="000000" w:themeColor="text1"/>
          <w:sz w:val="22"/>
        </w:rPr>
        <w:t>c) Experiencia adquirida por matrices y subordinadas de una sociedad comercial</w:t>
      </w:r>
    </w:p>
    <w:p w14:paraId="5D0D2ECD" w14:textId="77777777" w:rsidR="00787B6E" w:rsidRPr="008A2673" w:rsidRDefault="00787B6E" w:rsidP="00787B6E">
      <w:pPr>
        <w:spacing w:line="276" w:lineRule="auto"/>
        <w:jc w:val="both"/>
        <w:rPr>
          <w:rFonts w:ascii="Arial" w:eastAsia="Calibri" w:hAnsi="Arial" w:cs="Arial"/>
          <w:b/>
          <w:bCs/>
          <w:color w:val="000000" w:themeColor="text1"/>
          <w:sz w:val="22"/>
        </w:rPr>
      </w:pPr>
    </w:p>
    <w:p w14:paraId="5DC9525A" w14:textId="77777777" w:rsidR="00787B6E" w:rsidRPr="008A2673" w:rsidRDefault="00787B6E" w:rsidP="00787B6E">
      <w:pPr>
        <w:spacing w:line="276" w:lineRule="auto"/>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El Código de Comercio, en el artículo 260, subrogado por el artículo 26 de la Ley 222 de 1995, regula las matrices y subordinadas. La norma citada contiene los siguientes conceptos: i) matriz, </w:t>
      </w:r>
      <w:proofErr w:type="spellStart"/>
      <w:r w:rsidRPr="008A2673">
        <w:rPr>
          <w:rFonts w:ascii="Arial" w:eastAsia="Calibri" w:hAnsi="Arial" w:cs="Arial"/>
          <w:color w:val="000000" w:themeColor="text1"/>
          <w:sz w:val="22"/>
        </w:rPr>
        <w:t>ii</w:t>
      </w:r>
      <w:proofErr w:type="spellEnd"/>
      <w:r w:rsidRPr="008A2673">
        <w:rPr>
          <w:rFonts w:ascii="Arial" w:eastAsia="Calibri" w:hAnsi="Arial" w:cs="Arial"/>
          <w:color w:val="000000" w:themeColor="text1"/>
          <w:sz w:val="22"/>
        </w:rPr>
        <w:t xml:space="preserve">) subordinada o controlada, </w:t>
      </w:r>
      <w:proofErr w:type="spellStart"/>
      <w:r w:rsidRPr="008A2673">
        <w:rPr>
          <w:rFonts w:ascii="Arial" w:eastAsia="Calibri" w:hAnsi="Arial" w:cs="Arial"/>
          <w:color w:val="000000" w:themeColor="text1"/>
          <w:sz w:val="22"/>
        </w:rPr>
        <w:t>iii</w:t>
      </w:r>
      <w:proofErr w:type="spellEnd"/>
      <w:r w:rsidRPr="008A2673">
        <w:rPr>
          <w:rFonts w:ascii="Arial" w:eastAsia="Calibri" w:hAnsi="Arial" w:cs="Arial"/>
          <w:color w:val="000000" w:themeColor="text1"/>
          <w:sz w:val="22"/>
        </w:rPr>
        <w:t xml:space="preserve">) filial y </w:t>
      </w:r>
      <w:proofErr w:type="spellStart"/>
      <w:r w:rsidRPr="008A2673">
        <w:rPr>
          <w:rFonts w:ascii="Arial" w:eastAsia="Calibri" w:hAnsi="Arial" w:cs="Arial"/>
          <w:color w:val="000000" w:themeColor="text1"/>
          <w:sz w:val="22"/>
        </w:rPr>
        <w:t>iv</w:t>
      </w:r>
      <w:proofErr w:type="spellEnd"/>
      <w:r w:rsidRPr="008A2673">
        <w:rPr>
          <w:rFonts w:ascii="Arial" w:eastAsia="Calibri" w:hAnsi="Arial" w:cs="Arial"/>
          <w:color w:val="000000" w:themeColor="text1"/>
          <w:sz w:val="22"/>
        </w:rPr>
        <w:t>) subsidiaria</w:t>
      </w:r>
      <w:r w:rsidRPr="008A2673">
        <w:rPr>
          <w:rStyle w:val="Refdenotaalpie"/>
          <w:rFonts w:ascii="Arial" w:eastAsia="Calibri" w:hAnsi="Arial" w:cs="Arial"/>
          <w:color w:val="000000" w:themeColor="text1"/>
          <w:sz w:val="22"/>
        </w:rPr>
        <w:footnoteReference w:id="36"/>
      </w:r>
      <w:r w:rsidRPr="008A2673">
        <w:rPr>
          <w:rFonts w:ascii="Arial" w:eastAsia="Calibri" w:hAnsi="Arial" w:cs="Arial"/>
          <w:color w:val="000000" w:themeColor="text1"/>
          <w:sz w:val="22"/>
        </w:rPr>
        <w:t xml:space="preserve">. En primer lugar, una sociedad es i) matriz cuando tiene poder de decisión frente a otras personas, </w:t>
      </w:r>
      <w:proofErr w:type="spellStart"/>
      <w:r w:rsidRPr="008A2673">
        <w:rPr>
          <w:rFonts w:ascii="Arial" w:eastAsia="Calibri" w:hAnsi="Arial" w:cs="Arial"/>
          <w:color w:val="000000" w:themeColor="text1"/>
          <w:sz w:val="22"/>
        </w:rPr>
        <w:t>ii</w:t>
      </w:r>
      <w:proofErr w:type="spellEnd"/>
      <w:r w:rsidRPr="008A2673">
        <w:rPr>
          <w:rFonts w:ascii="Arial" w:eastAsia="Calibri" w:hAnsi="Arial" w:cs="Arial"/>
          <w:color w:val="000000" w:themeColor="text1"/>
          <w:sz w:val="22"/>
        </w:rPr>
        <w:t xml:space="preserve">) la sociedad subordinada o controlada es la que no puede autodeterminarse porque sus decisiones se someten a la sociedad matriz, y esa subordinación cuando es directa se denomina </w:t>
      </w:r>
      <w:proofErr w:type="spellStart"/>
      <w:r w:rsidRPr="008A2673">
        <w:rPr>
          <w:rFonts w:ascii="Arial" w:eastAsia="Calibri" w:hAnsi="Arial" w:cs="Arial"/>
          <w:color w:val="000000" w:themeColor="text1"/>
          <w:sz w:val="22"/>
        </w:rPr>
        <w:t>iii</w:t>
      </w:r>
      <w:proofErr w:type="spellEnd"/>
      <w:r w:rsidRPr="008A2673">
        <w:rPr>
          <w:rFonts w:ascii="Arial" w:eastAsia="Calibri" w:hAnsi="Arial" w:cs="Arial"/>
          <w:color w:val="000000" w:themeColor="text1"/>
          <w:sz w:val="22"/>
        </w:rPr>
        <w:t xml:space="preserve">) filial, y cuando es indirecta, esto es, la matriz toma decisiones con el concurso o por intermedio de otras de sus sociedades subordinadas o controladas, es una </w:t>
      </w:r>
      <w:proofErr w:type="spellStart"/>
      <w:r w:rsidRPr="008A2673">
        <w:rPr>
          <w:rFonts w:ascii="Arial" w:eastAsia="Calibri" w:hAnsi="Arial" w:cs="Arial"/>
          <w:color w:val="000000" w:themeColor="text1"/>
          <w:sz w:val="22"/>
        </w:rPr>
        <w:t>iv</w:t>
      </w:r>
      <w:proofErr w:type="spellEnd"/>
      <w:r w:rsidRPr="008A2673">
        <w:rPr>
          <w:rFonts w:ascii="Arial" w:eastAsia="Calibri" w:hAnsi="Arial" w:cs="Arial"/>
          <w:color w:val="000000" w:themeColor="text1"/>
          <w:sz w:val="22"/>
        </w:rPr>
        <w:t>) sociedad subsidiaria.</w:t>
      </w:r>
    </w:p>
    <w:p w14:paraId="0F692568" w14:textId="77777777" w:rsidR="00787B6E" w:rsidRPr="008A2673" w:rsidRDefault="00787B6E" w:rsidP="00787B6E">
      <w:pPr>
        <w:spacing w:before="120"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lastRenderedPageBreak/>
        <w:t>De la norma analizada se destaca que la matriz subordina a otras personas, con lo cual se diferencian varias personas que se interrelacionan por su actividad comercial, a las que les aplica una prohibición y es que la sociedad subordinada no puede tener participación en el capital social de su matriz so pena de ineficacia de esos actos jurídicos</w:t>
      </w:r>
      <w:r w:rsidRPr="008A2673">
        <w:rPr>
          <w:rStyle w:val="Refdenotaalpie"/>
          <w:rFonts w:ascii="Arial" w:eastAsia="Calibri" w:hAnsi="Arial" w:cs="Arial"/>
          <w:color w:val="000000" w:themeColor="text1"/>
          <w:sz w:val="22"/>
        </w:rPr>
        <w:footnoteReference w:id="37"/>
      </w:r>
      <w:r w:rsidRPr="008A2673">
        <w:rPr>
          <w:rFonts w:ascii="Arial" w:eastAsia="Calibri" w:hAnsi="Arial" w:cs="Arial"/>
          <w:color w:val="000000" w:themeColor="text1"/>
          <w:sz w:val="22"/>
        </w:rPr>
        <w:t>. Esto es reafirmado por la Guía práctica régimen de matrices y subordinadas de la Superintendencia de Sociedades que señala que «Los sujetos vinculados en situación de control o grupo empresarial en los términos de la Ley 222 de 1995 conservan su individualidad; es decir, mantienen sus atributos y obligaciones propias</w:t>
      </w:r>
      <w:r w:rsidRPr="008A2673">
        <w:rPr>
          <w:rStyle w:val="Refdenotaalpie"/>
          <w:rFonts w:ascii="Arial" w:eastAsia="Calibri" w:hAnsi="Arial" w:cs="Arial"/>
          <w:color w:val="000000" w:themeColor="text1"/>
          <w:sz w:val="22"/>
        </w:rPr>
        <w:footnoteReference w:id="38"/>
      </w:r>
      <w:r w:rsidRPr="008A2673">
        <w:rPr>
          <w:rFonts w:ascii="Arial" w:eastAsia="Calibri" w:hAnsi="Arial" w:cs="Arial"/>
          <w:color w:val="000000" w:themeColor="text1"/>
          <w:sz w:val="22"/>
        </w:rPr>
        <w:t xml:space="preserve">». </w:t>
      </w:r>
    </w:p>
    <w:p w14:paraId="4FCCD109" w14:textId="77777777" w:rsidR="00787B6E" w:rsidRDefault="00787B6E" w:rsidP="00787B6E">
      <w:pPr>
        <w:spacing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Por tanto, una sociedad </w:t>
      </w:r>
      <w:proofErr w:type="gramStart"/>
      <w:r w:rsidRPr="008A2673">
        <w:rPr>
          <w:rFonts w:ascii="Arial" w:eastAsia="Calibri" w:hAnsi="Arial" w:cs="Arial"/>
          <w:color w:val="000000" w:themeColor="text1"/>
          <w:sz w:val="22"/>
        </w:rPr>
        <w:t>subordinada  ̶</w:t>
      </w:r>
      <w:proofErr w:type="gramEnd"/>
      <w:r w:rsidRPr="008A2673">
        <w:rPr>
          <w:rFonts w:ascii="Arial" w:eastAsia="Calibri" w:hAnsi="Arial" w:cs="Arial"/>
          <w:color w:val="000000" w:themeColor="text1"/>
          <w:sz w:val="22"/>
        </w:rPr>
        <w:t xml:space="preserve"> filial o subsidiaria ̶ conserva su individualidad respecto de su matriz, y al ser personas jurídicas diferentes adquieren su experiencia de forma personal e independiente, la cual pueden compartir conformando un proponente plural  ̶ unión temporal o consorcio ̶ , o transferir por fusión y escisión entre las sociedades comerciales, o por expresa disposición del pliego de condiciones que así lo autorice. Sin embargo, por la prohibición del artículo 262 del Código de Comercio, subrogado por el artículo 32 de la Ley 222 de 1995 citado, no es posible que entre una matriz y sus subordinadas se comparta la experiencia a través de la posibilidad que señala la ley para que los socios aporten su experiencia a las sociedades con menos de 3 años de constitución. Tampoco es posible transferir la experiencia por la transformación de la sociedad comercial, ya que esta reforma social del Código de Comercio</w:t>
      </w:r>
      <w:r w:rsidRPr="008A2673">
        <w:rPr>
          <w:rStyle w:val="Refdenotaalpie"/>
          <w:rFonts w:ascii="Arial" w:eastAsia="Calibri" w:hAnsi="Arial" w:cs="Arial"/>
          <w:color w:val="000000" w:themeColor="text1"/>
          <w:sz w:val="22"/>
        </w:rPr>
        <w:footnoteReference w:id="39"/>
      </w:r>
      <w:r w:rsidRPr="008A2673">
        <w:rPr>
          <w:rFonts w:ascii="Arial" w:eastAsia="Calibri" w:hAnsi="Arial" w:cs="Arial"/>
          <w:color w:val="000000" w:themeColor="text1"/>
          <w:sz w:val="22"/>
        </w:rPr>
        <w:t xml:space="preserve"> involucra una persona jurídica y no varias como es el caso de la matriz y sus subordinadas</w:t>
      </w:r>
      <w:r w:rsidRPr="008A2673">
        <w:rPr>
          <w:rStyle w:val="Refdenotaalpie"/>
          <w:rFonts w:ascii="Arial" w:eastAsia="Calibri" w:hAnsi="Arial" w:cs="Arial"/>
          <w:color w:val="000000" w:themeColor="text1"/>
          <w:sz w:val="22"/>
        </w:rPr>
        <w:footnoteReference w:id="40"/>
      </w:r>
      <w:r w:rsidRPr="008A2673">
        <w:rPr>
          <w:rFonts w:ascii="Arial" w:eastAsia="Calibri" w:hAnsi="Arial" w:cs="Arial"/>
          <w:color w:val="000000" w:themeColor="text1"/>
          <w:sz w:val="22"/>
        </w:rPr>
        <w:t>.</w:t>
      </w:r>
    </w:p>
    <w:p w14:paraId="7F7C2054" w14:textId="77777777" w:rsidR="00787B6E" w:rsidRPr="0008218B" w:rsidRDefault="00787B6E" w:rsidP="00787B6E">
      <w:pPr>
        <w:spacing w:before="120" w:line="276" w:lineRule="auto"/>
        <w:ind w:firstLine="708"/>
        <w:jc w:val="both"/>
        <w:rPr>
          <w:rFonts w:ascii="Arial" w:hAnsi="Arial" w:cs="Arial"/>
          <w:color w:val="000000" w:themeColor="text1"/>
          <w:sz w:val="22"/>
          <w:shd w:val="clear" w:color="auto" w:fill="FFFFFF"/>
          <w:lang w:val="es-ES"/>
        </w:rPr>
      </w:pPr>
      <w:r>
        <w:rPr>
          <w:rFonts w:ascii="Arial" w:eastAsia="Calibri" w:hAnsi="Arial" w:cs="Arial"/>
          <w:color w:val="000000" w:themeColor="text1"/>
          <w:sz w:val="22"/>
        </w:rPr>
        <w:lastRenderedPageBreak/>
        <w:t>Sobre este tema, en los documentos tipo de licitación de obra pública de infraestructura de transporte adoptados por esta Agencia</w:t>
      </w:r>
      <w:r w:rsidRPr="0008218B">
        <w:rPr>
          <w:rFonts w:ascii="Arial" w:hAnsi="Arial" w:cs="Arial"/>
          <w:color w:val="000000" w:themeColor="text1"/>
          <w:sz w:val="22"/>
          <w:lang w:val="es-MX"/>
        </w:rPr>
        <w:t>,</w:t>
      </w:r>
      <w:r>
        <w:rPr>
          <w:rFonts w:ascii="Arial" w:hAnsi="Arial" w:cs="Arial"/>
          <w:color w:val="000000" w:themeColor="text1"/>
          <w:sz w:val="22"/>
          <w:lang w:val="es-MX"/>
        </w:rPr>
        <w:t xml:space="preserve"> en</w:t>
      </w:r>
      <w:r w:rsidRPr="0008218B">
        <w:rPr>
          <w:rFonts w:ascii="Arial" w:hAnsi="Arial" w:cs="Arial"/>
          <w:color w:val="000000" w:themeColor="text1"/>
          <w:sz w:val="22"/>
          <w:lang w:val="es-MX"/>
        </w:rPr>
        <w:t xml:space="preserve"> la sección 3.5. del «Documento Base», señala en gris y corchetes que </w:t>
      </w:r>
      <w:r w:rsidRPr="0008218B">
        <w:rPr>
          <w:rFonts w:ascii="Arial" w:hAnsi="Arial" w:cs="Arial"/>
          <w:color w:val="000000" w:themeColor="text1"/>
          <w:sz w:val="22"/>
          <w:shd w:val="clear" w:color="auto" w:fill="FFFFFF"/>
          <w:lang w:val="es-ES"/>
        </w:rPr>
        <w:t>«[P]</w:t>
      </w:r>
      <w:proofErr w:type="spellStart"/>
      <w:r w:rsidRPr="0008218B">
        <w:rPr>
          <w:rFonts w:ascii="Arial" w:hAnsi="Arial" w:cs="Arial"/>
          <w:color w:val="000000" w:themeColor="text1"/>
          <w:sz w:val="22"/>
          <w:shd w:val="clear" w:color="auto" w:fill="FFFFFF"/>
          <w:lang w:val="es-ES"/>
        </w:rPr>
        <w:t>or</w:t>
      </w:r>
      <w:proofErr w:type="spellEnd"/>
      <w:r w:rsidRPr="0008218B">
        <w:rPr>
          <w:rFonts w:ascii="Arial" w:hAnsi="Arial" w:cs="Arial"/>
          <w:color w:val="000000" w:themeColor="text1"/>
          <w:sz w:val="22"/>
          <w:shd w:val="clear" w:color="auto" w:fill="FFFFFF"/>
          <w:lang w:val="es-ES"/>
        </w:rPr>
        <w:t xml:space="preserve"> regla general el Proponente solo puede acreditar la experiencia que ha obtenido y no la experiencia de su matriz, subsidiaria o integrantes del mismo grupo empresarial». Pese a ello, el Pliego Tipo le otorga discreción a la entidad para que «el Proponente acredite la experiencia de su matriz» «si de acuerdo con el estudio de sector es necesario» […] «como en los casos de contratos de franquicia, la Entidad Estatal debe justificar dicha circunstancia en los estudios y documentos previos e indicar en el pliego de condiciones la forma de acreditar la experiencia que no aparece en el RUP».  </w:t>
      </w:r>
    </w:p>
    <w:p w14:paraId="57F14374" w14:textId="77777777" w:rsidR="00787B6E" w:rsidRPr="0008218B" w:rsidRDefault="00787B6E" w:rsidP="00787B6E">
      <w:pPr>
        <w:spacing w:before="120" w:line="276" w:lineRule="auto"/>
        <w:jc w:val="both"/>
        <w:rPr>
          <w:rFonts w:ascii="Arial" w:hAnsi="Arial" w:cs="Arial"/>
          <w:color w:val="000000" w:themeColor="text1"/>
          <w:sz w:val="22"/>
          <w:shd w:val="clear" w:color="auto" w:fill="FFFFFF"/>
          <w:lang w:val="es-ES"/>
        </w:rPr>
      </w:pPr>
      <w:r w:rsidRPr="0008218B">
        <w:rPr>
          <w:rFonts w:ascii="Arial" w:hAnsi="Arial" w:cs="Arial"/>
          <w:color w:val="000000" w:themeColor="text1"/>
          <w:sz w:val="22"/>
          <w:shd w:val="clear" w:color="auto" w:fill="FFFFFF"/>
          <w:lang w:val="es-ES"/>
        </w:rPr>
        <w:tab/>
        <w:t xml:space="preserve">El aparte citado se encuentra en gris y corchetes en el Documento Base del Pliego Tipo; por ello la posibilidad de acreditar experiencia de la Matriz es uno de los aspectos sobre los cuales la entidad estatal tiene discrecionalidad para incluir o modificar. Sin embargo, es preciso advertir que esta facultad se encuentra supeditada a que en el estudio del sector se encuentre que ello es necesario, así como a que se justifique debidamente en los estudios y documentos previos. El Documento Base establece un ejemplo, que no es exclusivo, el caso de contratos de franquicia. Adicionalmente, es preciso </w:t>
      </w:r>
      <w:r>
        <w:rPr>
          <w:rFonts w:ascii="Arial" w:hAnsi="Arial" w:cs="Arial"/>
          <w:color w:val="000000" w:themeColor="text1"/>
          <w:sz w:val="22"/>
          <w:shd w:val="clear" w:color="auto" w:fill="FFFFFF"/>
          <w:lang w:val="es-ES"/>
        </w:rPr>
        <w:t>señalar</w:t>
      </w:r>
      <w:r w:rsidRPr="0008218B">
        <w:rPr>
          <w:rFonts w:ascii="Arial" w:hAnsi="Arial" w:cs="Arial"/>
          <w:color w:val="000000" w:themeColor="text1"/>
          <w:sz w:val="22"/>
          <w:shd w:val="clear" w:color="auto" w:fill="FFFFFF"/>
          <w:lang w:val="es-ES"/>
        </w:rPr>
        <w:t xml:space="preserve"> que en caso de que la entidad decida ejercer su discreción en el sentido de permitir esta experiencia, el pliego debe también indicar la forma en que se acreditará la experiencia que no se encuentra en el RUP. </w:t>
      </w:r>
    </w:p>
    <w:p w14:paraId="5DB5AC9B" w14:textId="77777777" w:rsidR="00787B6E" w:rsidRPr="0008218B" w:rsidRDefault="00787B6E" w:rsidP="00787B6E">
      <w:pPr>
        <w:spacing w:before="120" w:line="276" w:lineRule="auto"/>
        <w:jc w:val="both"/>
        <w:rPr>
          <w:rFonts w:ascii="Arial" w:hAnsi="Arial" w:cs="Arial"/>
          <w:color w:val="000000" w:themeColor="text1"/>
          <w:sz w:val="22"/>
          <w:shd w:val="clear" w:color="auto" w:fill="FFFFFF"/>
          <w:lang w:val="es-ES"/>
        </w:rPr>
      </w:pPr>
      <w:r w:rsidRPr="0008218B">
        <w:rPr>
          <w:rFonts w:ascii="Arial" w:hAnsi="Arial" w:cs="Arial"/>
          <w:color w:val="000000" w:themeColor="text1"/>
          <w:sz w:val="22"/>
          <w:shd w:val="clear" w:color="auto" w:fill="FFFFFF"/>
          <w:lang w:val="es-ES"/>
        </w:rPr>
        <w:tab/>
        <w:t>En ese orden de ideas, una Entidad Estatal podrá permitir la acreditación de la experiencia de la Matriz siempre y cuando ello se encuentre necesario en los estudios del sector y se justifique en los estudios y documentos previos. Por el contrario, si no se ha encontrado que esto es necesario, o no se ha justificado esta necesidad en los estudios y documentos previos, la entidad no podrá permitir la acreditación de la experiencia de la Matriz y tendrá que acogerse a la regla general establecida en el Pliego Tipo: «[…] el Proponente solo puede acreditar la experiencia que ha obtenido y no la experiencia de su matriz, subsidiaria o integrantes del mismo grupo empresarial […]»</w:t>
      </w:r>
      <w:r>
        <w:rPr>
          <w:rFonts w:ascii="Arial" w:hAnsi="Arial" w:cs="Arial"/>
          <w:color w:val="000000" w:themeColor="text1"/>
          <w:sz w:val="22"/>
          <w:shd w:val="clear" w:color="auto" w:fill="FFFFFF"/>
          <w:lang w:val="es-ES"/>
        </w:rPr>
        <w:t>.</w:t>
      </w:r>
    </w:p>
    <w:p w14:paraId="1DAB8CA1" w14:textId="77777777" w:rsidR="00787B6E" w:rsidRPr="009D7D64" w:rsidRDefault="00787B6E" w:rsidP="00787B6E">
      <w:pPr>
        <w:jc w:val="both"/>
        <w:rPr>
          <w:rFonts w:ascii="Arial" w:hAnsi="Arial" w:cs="Arial"/>
          <w:b/>
          <w:bCs/>
          <w:sz w:val="22"/>
          <w:szCs w:val="22"/>
          <w:highlight w:val="yellow"/>
        </w:rPr>
      </w:pPr>
    </w:p>
    <w:p w14:paraId="593EB98E" w14:textId="77777777" w:rsidR="00787B6E" w:rsidRDefault="00787B6E" w:rsidP="00787B6E">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566157D9" w14:textId="77777777" w:rsidR="00787B6E" w:rsidRDefault="00787B6E" w:rsidP="00787B6E">
      <w:pPr>
        <w:tabs>
          <w:tab w:val="left" w:pos="709"/>
        </w:tabs>
        <w:spacing w:line="276" w:lineRule="auto"/>
        <w:jc w:val="both"/>
        <w:rPr>
          <w:rFonts w:ascii="Arial" w:eastAsia="Calibri" w:hAnsi="Arial" w:cs="Arial"/>
          <w:b/>
          <w:sz w:val="22"/>
          <w:szCs w:val="22"/>
          <w:lang w:val="es-ES"/>
        </w:rPr>
      </w:pPr>
    </w:p>
    <w:p w14:paraId="6F7402CF" w14:textId="77777777" w:rsidR="00787B6E" w:rsidRPr="00414441" w:rsidRDefault="00787B6E" w:rsidP="00787B6E">
      <w:pPr>
        <w:pStyle w:val="Sinespaciado"/>
        <w:ind w:left="708"/>
        <w:jc w:val="both"/>
        <w:rPr>
          <w:rFonts w:ascii="Arial" w:hAnsi="Arial" w:cs="Arial"/>
          <w:sz w:val="21"/>
          <w:szCs w:val="21"/>
          <w:lang w:eastAsia="es-MX"/>
        </w:rPr>
      </w:pPr>
      <w:r w:rsidRPr="002E40EF">
        <w:rPr>
          <w:rFonts w:ascii="Arial" w:hAnsi="Arial" w:cs="Arial"/>
          <w:sz w:val="21"/>
          <w:szCs w:val="21"/>
        </w:rPr>
        <w:t xml:space="preserve">«[…] </w:t>
      </w:r>
      <w:r w:rsidRPr="004D3DFE">
        <w:rPr>
          <w:rFonts w:ascii="Arial" w:hAnsi="Arial" w:cs="Arial"/>
          <w:sz w:val="21"/>
          <w:szCs w:val="21"/>
        </w:rPr>
        <w:t>«</w:t>
      </w:r>
      <w:r w:rsidRPr="00414441">
        <w:rPr>
          <w:rFonts w:ascii="Arial" w:hAnsi="Arial" w:cs="Arial"/>
          <w:sz w:val="21"/>
          <w:szCs w:val="21"/>
          <w:lang w:eastAsia="es-MX"/>
        </w:rPr>
        <w:t xml:space="preserve">1. En el caso de dos sociedades, en que la “Sociedad A” posee una participación accionaria del 20% en la “Sociedad B”, sin que exista otra vinculación empresarial entre ellas, ni se configura ninguna de las hipótesis constitutivas de una situación de control ni una situación de grupo empresarial, ¿se presenta alguna inhabilidad, incompatibilidad, conflicto de interés, causal de rechazo o existe alguna prohibición o restricción para que ambas sociedades participen en un mismo proceso de licitación de obra pública de infraestructura de transporte, presentando cada una su propia oferta, bien sea como proponentes singulares o integrando cada una diferentes estructuras plurales? </w:t>
      </w:r>
    </w:p>
    <w:p w14:paraId="509CBD61" w14:textId="77777777" w:rsidR="00787B6E" w:rsidRPr="00414441" w:rsidRDefault="00787B6E" w:rsidP="00787B6E">
      <w:pPr>
        <w:pStyle w:val="Sinespaciado"/>
        <w:ind w:left="708"/>
        <w:jc w:val="both"/>
        <w:rPr>
          <w:rFonts w:ascii="Arial" w:hAnsi="Arial" w:cs="Arial"/>
          <w:sz w:val="21"/>
          <w:szCs w:val="21"/>
          <w:lang w:eastAsia="es-MX"/>
        </w:rPr>
      </w:pPr>
      <w:r w:rsidRPr="00414441">
        <w:rPr>
          <w:rFonts w:ascii="Arial" w:hAnsi="Arial" w:cs="Arial"/>
          <w:sz w:val="21"/>
          <w:szCs w:val="21"/>
          <w:lang w:eastAsia="es-MX"/>
        </w:rPr>
        <w:lastRenderedPageBreak/>
        <w:t xml:space="preserve">En esta misma hipótesis y sin que existan acuerdos o prácticas de ningún tipo entre estas sociedades para alterar ilícitamente el procedimiento contractual, ¿se configura una práctica anticompetitiva o un acuerdo colusorio por el solo hecho de que la “Sociedad A” posea una participación accionaria del 20% en la “Sociedad B”? </w:t>
      </w:r>
    </w:p>
    <w:p w14:paraId="281A0795" w14:textId="77777777" w:rsidR="00787B6E" w:rsidRDefault="00787B6E" w:rsidP="00787B6E">
      <w:pPr>
        <w:pStyle w:val="Sinespaciado"/>
        <w:ind w:left="708"/>
        <w:jc w:val="both"/>
        <w:rPr>
          <w:rFonts w:ascii="Arial" w:hAnsi="Arial" w:cs="Arial"/>
          <w:sz w:val="21"/>
          <w:szCs w:val="21"/>
          <w:lang w:eastAsia="es-MX"/>
        </w:rPr>
      </w:pPr>
    </w:p>
    <w:p w14:paraId="09A1B4B3" w14:textId="77777777" w:rsidR="00787B6E" w:rsidRPr="00414441" w:rsidRDefault="00787B6E" w:rsidP="00787B6E">
      <w:pPr>
        <w:pStyle w:val="Sinespaciado"/>
        <w:ind w:left="708"/>
        <w:jc w:val="both"/>
        <w:rPr>
          <w:rFonts w:ascii="Arial" w:hAnsi="Arial" w:cs="Arial"/>
          <w:sz w:val="21"/>
          <w:szCs w:val="21"/>
          <w:lang w:eastAsia="es-MX"/>
        </w:rPr>
      </w:pPr>
      <w:r>
        <w:rPr>
          <w:rFonts w:ascii="Arial" w:hAnsi="Arial" w:cs="Arial"/>
          <w:sz w:val="21"/>
          <w:szCs w:val="21"/>
          <w:lang w:eastAsia="es-MX"/>
        </w:rPr>
        <w:t xml:space="preserve">2. </w:t>
      </w:r>
      <w:r w:rsidRPr="00414441">
        <w:rPr>
          <w:rFonts w:ascii="Arial" w:hAnsi="Arial" w:cs="Arial"/>
          <w:sz w:val="21"/>
          <w:szCs w:val="21"/>
          <w:lang w:eastAsia="es-MX"/>
        </w:rPr>
        <w:t xml:space="preserve">En el caso de dos sociedades en las que sí se configura una situación de control o una situación de grupo empresarial entre ellas, ¿se presenta alguna inhabilidad, incompatibilidad, conflicto de interés, causal de rechazo o existe alguna prohibición o restricción para que ambas sociedades participen en un mismo proceso de licitación de obra pública de infraestructura de transporte, presentando cada una su propia oferta, bien sea como proponentes singulares o integrando cada una diferentes estructuras plurales? </w:t>
      </w:r>
    </w:p>
    <w:p w14:paraId="1B9DFB24" w14:textId="77777777" w:rsidR="00787B6E" w:rsidRDefault="00787B6E" w:rsidP="00787B6E">
      <w:pPr>
        <w:tabs>
          <w:tab w:val="left" w:pos="709"/>
        </w:tabs>
        <w:spacing w:line="276" w:lineRule="auto"/>
        <w:jc w:val="both"/>
        <w:rPr>
          <w:rFonts w:ascii="Arial" w:eastAsia="Calibri" w:hAnsi="Arial" w:cs="Arial"/>
          <w:b/>
          <w:sz w:val="22"/>
          <w:szCs w:val="22"/>
          <w:lang w:val="es-ES"/>
        </w:rPr>
      </w:pPr>
    </w:p>
    <w:p w14:paraId="16B84BD4" w14:textId="77777777" w:rsidR="00787B6E" w:rsidRDefault="00787B6E" w:rsidP="00787B6E">
      <w:pPr>
        <w:spacing w:before="120" w:after="120" w:line="276" w:lineRule="auto"/>
        <w:jc w:val="both"/>
        <w:rPr>
          <w:rFonts w:ascii="Arial" w:hAnsi="Arial" w:cs="Arial"/>
          <w:sz w:val="22"/>
          <w:szCs w:val="22"/>
        </w:rPr>
      </w:pPr>
      <w:r>
        <w:rPr>
          <w:rFonts w:ascii="Arial" w:hAnsi="Arial" w:cs="Arial"/>
          <w:sz w:val="22"/>
          <w:szCs w:val="22"/>
        </w:rPr>
        <w:t xml:space="preserve">De conformidad con las anteriores consideraciones, se procede a dar respuesta a las preguntas agrupándolos por unidad temática. En este sentido, en relación con las preguntas 1 y 2, en el evento en que dos sociedades (personas jurídicas distintas), con independencia del porcentaje de participación y de la existencia o no de </w:t>
      </w:r>
      <w:r w:rsidRPr="00FA6A1D">
        <w:rPr>
          <w:rFonts w:ascii="Arial" w:hAnsi="Arial" w:cs="Arial"/>
          <w:sz w:val="22"/>
          <w:szCs w:val="22"/>
        </w:rPr>
        <w:t>vinculación empresarial</w:t>
      </w:r>
      <w:r>
        <w:rPr>
          <w:rFonts w:ascii="Arial" w:hAnsi="Arial" w:cs="Arial"/>
          <w:sz w:val="22"/>
          <w:szCs w:val="22"/>
        </w:rPr>
        <w:t xml:space="preserve"> o posición de control</w:t>
      </w:r>
      <w:r w:rsidRPr="00FA6A1D">
        <w:rPr>
          <w:rFonts w:ascii="Arial" w:hAnsi="Arial" w:cs="Arial"/>
          <w:sz w:val="22"/>
          <w:szCs w:val="22"/>
        </w:rPr>
        <w:t xml:space="preserve"> entre ellas, </w:t>
      </w:r>
      <w:r>
        <w:rPr>
          <w:rFonts w:ascii="Arial" w:hAnsi="Arial" w:cs="Arial"/>
          <w:sz w:val="22"/>
          <w:szCs w:val="22"/>
        </w:rPr>
        <w:t xml:space="preserve">presenten propuestas por separado, no se configura causal de </w:t>
      </w:r>
      <w:r w:rsidRPr="00FA6A1D">
        <w:rPr>
          <w:rFonts w:ascii="Arial" w:hAnsi="Arial" w:cs="Arial"/>
          <w:sz w:val="22"/>
          <w:szCs w:val="22"/>
        </w:rPr>
        <w:t>inhabilidad</w:t>
      </w:r>
      <w:r>
        <w:rPr>
          <w:rFonts w:ascii="Arial" w:hAnsi="Arial" w:cs="Arial"/>
          <w:sz w:val="22"/>
          <w:szCs w:val="22"/>
        </w:rPr>
        <w:t xml:space="preserve"> o</w:t>
      </w:r>
      <w:r w:rsidRPr="00FA6A1D">
        <w:rPr>
          <w:rFonts w:ascii="Arial" w:hAnsi="Arial" w:cs="Arial"/>
          <w:sz w:val="22"/>
          <w:szCs w:val="22"/>
        </w:rPr>
        <w:t xml:space="preserve"> incompatibilidad, </w:t>
      </w:r>
      <w:r>
        <w:rPr>
          <w:rFonts w:ascii="Arial" w:hAnsi="Arial" w:cs="Arial"/>
          <w:sz w:val="22"/>
          <w:szCs w:val="22"/>
        </w:rPr>
        <w:t xml:space="preserve">pues el legislador no previó causal alguna en ese sentido. </w:t>
      </w:r>
    </w:p>
    <w:p w14:paraId="3741BCE3" w14:textId="77777777" w:rsidR="00787B6E" w:rsidRDefault="00787B6E" w:rsidP="00787B6E">
      <w:pPr>
        <w:spacing w:before="120" w:after="120" w:line="276" w:lineRule="auto"/>
        <w:jc w:val="both"/>
        <w:rPr>
          <w:rFonts w:ascii="Arial" w:hAnsi="Arial" w:cs="Arial"/>
          <w:sz w:val="22"/>
          <w:szCs w:val="22"/>
        </w:rPr>
      </w:pPr>
      <w:r>
        <w:rPr>
          <w:rFonts w:ascii="Arial" w:hAnsi="Arial" w:cs="Arial"/>
          <w:sz w:val="22"/>
          <w:szCs w:val="22"/>
        </w:rPr>
        <w:tab/>
        <w:t>En el mismo sentido, el evento consultado tampoco se encuentra previsto en las causales de rechazo previstas en e</w:t>
      </w:r>
      <w:r w:rsidRPr="000B26D6">
        <w:rPr>
          <w:rFonts w:ascii="Arial" w:hAnsi="Arial" w:cs="Arial"/>
          <w:sz w:val="22"/>
          <w:szCs w:val="22"/>
        </w:rPr>
        <w:t>l numeral 1.15 del pliego tipo «Documento Base» de «licitación de obra pública de infraestructura de transporte – Versión 3»</w:t>
      </w:r>
      <w:r>
        <w:rPr>
          <w:rFonts w:ascii="Arial" w:hAnsi="Arial" w:cs="Arial"/>
          <w:sz w:val="22"/>
          <w:szCs w:val="22"/>
        </w:rPr>
        <w:t xml:space="preserve"> y, por tanto, con base en el carácter obligatorio y el principio de inalterabilidad de los documentos tipo, ninguna entidad estatal podrá rechazar propuestas cuando sean presentadas por dos personas jurídicas distintas (sociedades) en donde una de ellas tenga participación accionaria en la otra.</w:t>
      </w:r>
    </w:p>
    <w:p w14:paraId="6FF82522" w14:textId="77777777" w:rsidR="00787B6E" w:rsidRDefault="00787B6E" w:rsidP="00787B6E">
      <w:pPr>
        <w:spacing w:before="120" w:line="276" w:lineRule="auto"/>
        <w:jc w:val="both"/>
        <w:rPr>
          <w:rFonts w:ascii="Arial" w:hAnsi="Arial" w:cs="Arial"/>
          <w:sz w:val="22"/>
          <w:szCs w:val="22"/>
        </w:rPr>
      </w:pPr>
      <w:r>
        <w:rPr>
          <w:rFonts w:ascii="Arial" w:hAnsi="Arial" w:cs="Arial"/>
          <w:sz w:val="22"/>
          <w:szCs w:val="22"/>
        </w:rPr>
        <w:tab/>
        <w:t xml:space="preserve">Ahora bien, el </w:t>
      </w:r>
      <w:r w:rsidRPr="000B26D6">
        <w:rPr>
          <w:rFonts w:ascii="Arial" w:hAnsi="Arial" w:cs="Arial"/>
          <w:sz w:val="22"/>
          <w:szCs w:val="22"/>
        </w:rPr>
        <w:t>numeral 1.1</w:t>
      </w:r>
      <w:r>
        <w:rPr>
          <w:rFonts w:ascii="Arial" w:hAnsi="Arial" w:cs="Arial"/>
          <w:sz w:val="22"/>
          <w:szCs w:val="22"/>
        </w:rPr>
        <w:t>4</w:t>
      </w:r>
      <w:r w:rsidRPr="000B26D6">
        <w:rPr>
          <w:rFonts w:ascii="Arial" w:hAnsi="Arial" w:cs="Arial"/>
          <w:sz w:val="22"/>
          <w:szCs w:val="22"/>
        </w:rPr>
        <w:t xml:space="preserve"> del pliego tipo «Documento Base» de «licitación de obra pública de infraestructura de transporte – Versión 3»</w:t>
      </w:r>
      <w:r>
        <w:rPr>
          <w:rFonts w:ascii="Arial" w:hAnsi="Arial" w:cs="Arial"/>
          <w:sz w:val="22"/>
          <w:szCs w:val="22"/>
        </w:rPr>
        <w:t xml:space="preserve"> regula lo relativo a los </w:t>
      </w:r>
      <w:r w:rsidRPr="00CA3183">
        <w:rPr>
          <w:rFonts w:ascii="Arial" w:hAnsi="Arial" w:cs="Arial"/>
          <w:sz w:val="22"/>
          <w:szCs w:val="22"/>
        </w:rPr>
        <w:t>conflicto</w:t>
      </w:r>
      <w:r>
        <w:rPr>
          <w:rFonts w:ascii="Arial" w:hAnsi="Arial" w:cs="Arial"/>
          <w:sz w:val="22"/>
          <w:szCs w:val="22"/>
        </w:rPr>
        <w:t>s</w:t>
      </w:r>
      <w:r w:rsidRPr="00CA3183">
        <w:rPr>
          <w:rFonts w:ascii="Arial" w:hAnsi="Arial" w:cs="Arial"/>
          <w:sz w:val="22"/>
          <w:szCs w:val="22"/>
        </w:rPr>
        <w:t xml:space="preserve"> de interés de origen constitucional o legal</w:t>
      </w:r>
      <w:r>
        <w:rPr>
          <w:rFonts w:ascii="Arial" w:hAnsi="Arial" w:cs="Arial"/>
          <w:sz w:val="22"/>
          <w:szCs w:val="22"/>
        </w:rPr>
        <w:t xml:space="preserve"> y, al respecto, indica que </w:t>
      </w:r>
      <w:r w:rsidRPr="000B26D6">
        <w:rPr>
          <w:rFonts w:ascii="Arial" w:hAnsi="Arial" w:cs="Arial"/>
          <w:sz w:val="22"/>
          <w:szCs w:val="22"/>
        </w:rPr>
        <w:t>«</w:t>
      </w:r>
      <w:r w:rsidRPr="00CA3183">
        <w:rPr>
          <w:rFonts w:ascii="Arial" w:hAnsi="Arial" w:cs="Arial"/>
          <w:sz w:val="22"/>
          <w:szCs w:val="22"/>
        </w:rPr>
        <w:t>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la ley.</w:t>
      </w:r>
      <w:r>
        <w:rPr>
          <w:rFonts w:ascii="Arial" w:hAnsi="Arial" w:cs="Arial"/>
          <w:sz w:val="22"/>
          <w:szCs w:val="22"/>
        </w:rPr>
        <w:t xml:space="preserve"> </w:t>
      </w:r>
      <w:r w:rsidRPr="00CA3183">
        <w:rPr>
          <w:rFonts w:ascii="Arial" w:hAnsi="Arial" w:cs="Arial"/>
          <w:sz w:val="22"/>
          <w:szCs w:val="22"/>
        </w:rPr>
        <w:t>Tampoco podrán participar quienes hayan realizados los estudios y diseños de la obra cuyo proceso de contratación se va a contratar.</w:t>
      </w:r>
      <w:r w:rsidRPr="000B26D6">
        <w:rPr>
          <w:rFonts w:ascii="Arial" w:hAnsi="Arial" w:cs="Arial"/>
          <w:sz w:val="22"/>
          <w:szCs w:val="22"/>
        </w:rPr>
        <w:t>»</w:t>
      </w:r>
      <w:r>
        <w:rPr>
          <w:rFonts w:ascii="Arial" w:hAnsi="Arial" w:cs="Arial"/>
          <w:sz w:val="22"/>
          <w:szCs w:val="22"/>
        </w:rPr>
        <w:t xml:space="preserve"> De este modo, al analizar ni la Constitución ni la ley</w:t>
      </w:r>
      <w:r w:rsidRPr="00EF6937">
        <w:rPr>
          <w:rFonts w:ascii="Arial" w:hAnsi="Arial" w:cs="Arial"/>
          <w:sz w:val="22"/>
          <w:szCs w:val="22"/>
        </w:rPr>
        <w:t xml:space="preserve"> </w:t>
      </w:r>
      <w:r>
        <w:rPr>
          <w:rFonts w:ascii="Arial" w:hAnsi="Arial" w:cs="Arial"/>
          <w:sz w:val="22"/>
          <w:szCs w:val="22"/>
        </w:rPr>
        <w:t xml:space="preserve">prevén, </w:t>
      </w:r>
      <w:r w:rsidRPr="00EF6937">
        <w:rPr>
          <w:rFonts w:ascii="Arial" w:hAnsi="Arial" w:cs="Arial"/>
          <w:sz w:val="22"/>
          <w:szCs w:val="22"/>
        </w:rPr>
        <w:t xml:space="preserve">de manera expresa, como causal de conflicto de interés, la </w:t>
      </w:r>
      <w:r>
        <w:rPr>
          <w:rFonts w:ascii="Arial" w:hAnsi="Arial" w:cs="Arial"/>
          <w:sz w:val="22"/>
          <w:szCs w:val="22"/>
        </w:rPr>
        <w:t xml:space="preserve">participación accionaria de un oferente en otro de los oferentes. En este evento, además, con base </w:t>
      </w:r>
      <w:r w:rsidRPr="00501C73">
        <w:rPr>
          <w:rFonts w:ascii="Arial" w:hAnsi="Arial" w:cs="Arial"/>
          <w:sz w:val="22"/>
          <w:szCs w:val="22"/>
        </w:rPr>
        <w:t>en el carácter obligatorio y el principio de inalterabilidad de los documentos tipo</w:t>
      </w:r>
      <w:r>
        <w:rPr>
          <w:rFonts w:ascii="Arial" w:hAnsi="Arial" w:cs="Arial"/>
          <w:sz w:val="22"/>
          <w:szCs w:val="22"/>
        </w:rPr>
        <w:t>, la entidad contratante no podrá incluir causales de conflicto de interés adicionales a las previstas.</w:t>
      </w:r>
    </w:p>
    <w:p w14:paraId="1DB56CEF" w14:textId="77777777" w:rsidR="00787B6E" w:rsidRDefault="00787B6E" w:rsidP="00787B6E">
      <w:pPr>
        <w:spacing w:line="276" w:lineRule="auto"/>
        <w:jc w:val="both"/>
        <w:rPr>
          <w:rFonts w:ascii="Arial" w:hAnsi="Arial" w:cs="Arial"/>
          <w:sz w:val="22"/>
          <w:szCs w:val="22"/>
        </w:rPr>
      </w:pPr>
    </w:p>
    <w:p w14:paraId="5420CFBC" w14:textId="77777777" w:rsidR="00787B6E" w:rsidRDefault="00787B6E" w:rsidP="00787B6E">
      <w:pPr>
        <w:pStyle w:val="Sinespaciado"/>
        <w:ind w:left="709" w:right="709"/>
        <w:jc w:val="both"/>
        <w:rPr>
          <w:rFonts w:ascii="Arial" w:hAnsi="Arial" w:cs="Arial"/>
          <w:sz w:val="21"/>
          <w:szCs w:val="21"/>
          <w:lang w:eastAsia="es-MX"/>
        </w:rPr>
      </w:pPr>
      <w:r>
        <w:rPr>
          <w:rFonts w:ascii="Arial" w:hAnsi="Arial" w:cs="Arial"/>
          <w:sz w:val="21"/>
          <w:szCs w:val="21"/>
          <w:lang w:eastAsia="es-MX"/>
        </w:rPr>
        <w:lastRenderedPageBreak/>
        <w:t xml:space="preserve">3. </w:t>
      </w:r>
      <w:r w:rsidRPr="00414441">
        <w:rPr>
          <w:rFonts w:ascii="Arial" w:hAnsi="Arial" w:cs="Arial"/>
          <w:sz w:val="21"/>
          <w:szCs w:val="21"/>
          <w:lang w:eastAsia="es-MX"/>
        </w:rPr>
        <w:t xml:space="preserve">A efectos de la causal de rechazo establecida en el literal B del numeral 1.15 del documento base para procesos de selección de licitación de obra pública de infraestructura de transporte (documentos tipo versión 3), ¿puede entenderse que la expresión “una misma persona” se hace extensiva a los casos en que una sociedad tenga participación accionaria en otra sociedad en cualquier porcentaje (20% por ejemplo), y/o a los casos en que se presentan situaciones de control o situaciones de grupo empresarial? Solicitamos aclarar lo anterior en el marco de lo previsto en el artículo 98 del Código de Comercio y demás normatividad aplicable. </w:t>
      </w:r>
    </w:p>
    <w:p w14:paraId="09CE4102" w14:textId="77777777" w:rsidR="00787B6E" w:rsidRPr="00414441" w:rsidRDefault="00787B6E" w:rsidP="00787B6E">
      <w:pPr>
        <w:pStyle w:val="Sinespaciado"/>
        <w:ind w:left="709" w:right="709"/>
        <w:jc w:val="both"/>
        <w:rPr>
          <w:rFonts w:ascii="Arial" w:hAnsi="Arial" w:cs="Arial"/>
          <w:sz w:val="21"/>
          <w:szCs w:val="21"/>
          <w:lang w:eastAsia="es-MX"/>
        </w:rPr>
      </w:pPr>
    </w:p>
    <w:p w14:paraId="48A097CF" w14:textId="77777777" w:rsidR="00787B6E" w:rsidRPr="002D445C" w:rsidRDefault="00787B6E" w:rsidP="00787B6E">
      <w:pPr>
        <w:spacing w:before="120" w:after="120" w:line="276" w:lineRule="auto"/>
        <w:jc w:val="both"/>
        <w:rPr>
          <w:rFonts w:ascii="Arial" w:hAnsi="Arial" w:cs="Arial"/>
          <w:sz w:val="22"/>
          <w:szCs w:val="22"/>
        </w:rPr>
      </w:pPr>
      <w:r>
        <w:rPr>
          <w:rFonts w:ascii="Arial" w:hAnsi="Arial" w:cs="Arial"/>
          <w:sz w:val="22"/>
          <w:szCs w:val="22"/>
        </w:rPr>
        <w:tab/>
        <w:t xml:space="preserve">En relación con la pregunta 3, con base en las consideraciones expuestas, la causal de rechazo prevista en el literal b) del </w:t>
      </w:r>
      <w:r w:rsidRPr="000B26D6">
        <w:rPr>
          <w:rFonts w:ascii="Arial" w:hAnsi="Arial" w:cs="Arial"/>
          <w:sz w:val="22"/>
          <w:szCs w:val="22"/>
        </w:rPr>
        <w:t>numeral 1.15 del pliego tipo «Documento Base» de «licitación de obra pública de infraestructura de transporte – Versión 3»</w:t>
      </w:r>
      <w:r>
        <w:rPr>
          <w:rFonts w:ascii="Arial" w:hAnsi="Arial" w:cs="Arial"/>
          <w:sz w:val="22"/>
          <w:szCs w:val="22"/>
        </w:rPr>
        <w:t xml:space="preserve"> d</w:t>
      </w:r>
      <w:r w:rsidRPr="002D445C">
        <w:rPr>
          <w:rFonts w:ascii="Arial" w:hAnsi="Arial" w:cs="Arial"/>
          <w:sz w:val="22"/>
          <w:szCs w:val="22"/>
        </w:rPr>
        <w:t xml:space="preserve">ebe ser interpretada de manera restrictiva, de forma tal que la indicación relativa a “[…] una misma persona natural o jurídica […]” no se puede extender a los eventos en que uno de los proponentes tenga participación accionaria en otro proponente, con independencia del porcentaje de participación, toda vez que, en estricto sentido, se trata de dos proponentes distintos, de dos personas jurídicas distintas. En otras palabras, la causal de rechazo busca evitar que una misma persona natural o jurídica presente o haga parte de más de una propuesta, por tanto, en el evento en que uno de los oferentes tenga participación accionaria en otro de los oferentes, no se configuraría la causal de rechazo porque se trataría, no de una misma persona natural o jurídica, sino de dos personas distintas. </w:t>
      </w:r>
    </w:p>
    <w:p w14:paraId="53ECAEDF" w14:textId="77777777" w:rsidR="00787B6E" w:rsidRDefault="00787B6E" w:rsidP="00787B6E">
      <w:pPr>
        <w:spacing w:before="120" w:after="120" w:line="276" w:lineRule="auto"/>
        <w:jc w:val="both"/>
        <w:rPr>
          <w:rFonts w:ascii="Arial" w:hAnsi="Arial" w:cs="Arial"/>
          <w:sz w:val="22"/>
          <w:szCs w:val="22"/>
        </w:rPr>
      </w:pPr>
      <w:r w:rsidRPr="002D445C">
        <w:rPr>
          <w:rFonts w:ascii="Arial" w:hAnsi="Arial" w:cs="Arial"/>
          <w:sz w:val="22"/>
          <w:szCs w:val="22"/>
        </w:rPr>
        <w:tab/>
        <w:t>Así, con base en el artículo 98 del Código de Comercio, una misma persona jurídica implica la existencia de un único contrato de sociedad y, por contrapartida, en el supuesto de hecho preguntado, la participación accionaria de una persona jurídica en otra sociedad supone la existencia de dos contratos de sociedad. Entonces, se reitera la conclusión que acaba de exponerse, dos ofertas de dos personas jurídicas distintas, incluso si una tiene participación accionaria en la otra, no configura la causal de rechazo prevista en el literal b) numeral 1.15 del pliego tipo «Documento Base» de «licitación de obra pública de infraestructura de transporte – Versión 3».</w:t>
      </w:r>
    </w:p>
    <w:p w14:paraId="39FD9693" w14:textId="77777777" w:rsidR="00787B6E" w:rsidRPr="00414441" w:rsidRDefault="00787B6E" w:rsidP="00787B6E">
      <w:pPr>
        <w:pStyle w:val="Sinespaciado"/>
        <w:ind w:left="709" w:right="709"/>
        <w:jc w:val="both"/>
        <w:rPr>
          <w:rFonts w:ascii="Arial" w:hAnsi="Arial" w:cs="Arial"/>
          <w:sz w:val="21"/>
          <w:szCs w:val="21"/>
          <w:lang w:eastAsia="es-MX"/>
        </w:rPr>
      </w:pPr>
      <w:r>
        <w:rPr>
          <w:rFonts w:ascii="Arial" w:hAnsi="Arial" w:cs="Arial"/>
          <w:sz w:val="21"/>
          <w:szCs w:val="21"/>
          <w:lang w:eastAsia="es-MX"/>
        </w:rPr>
        <w:t xml:space="preserve">4. </w:t>
      </w:r>
      <w:r w:rsidRPr="00414441">
        <w:rPr>
          <w:rFonts w:ascii="Arial" w:hAnsi="Arial" w:cs="Arial"/>
          <w:sz w:val="21"/>
          <w:szCs w:val="21"/>
          <w:lang w:eastAsia="es-MX"/>
        </w:rPr>
        <w:t>De conformidad con lo dispuesto en el numeral “3.5 EXPERIENCIA” del documento base para procesos de selección de licitación de obra pública de infraestructura de transporte (documentos tipo versión 3) y teniendo como antecedente los conceptos C-222 de 2020 y C-327 de 2020 de la ANCP CCE, ¿cuál es la regla general frente a la posibilidad de que una sociedad acredite experiencia que no ha obtenido por sí misma, sino la experiencia de su matriz, subsidiarias o integrantes del mismo grupo empresarial?.</w:t>
      </w:r>
    </w:p>
    <w:p w14:paraId="50865F04" w14:textId="77777777" w:rsidR="00787B6E" w:rsidRPr="00414441" w:rsidRDefault="00787B6E" w:rsidP="00787B6E">
      <w:pPr>
        <w:pStyle w:val="Sinespaciado"/>
        <w:ind w:left="709" w:right="709"/>
        <w:jc w:val="both"/>
        <w:rPr>
          <w:rFonts w:ascii="Arial" w:hAnsi="Arial" w:cs="Arial"/>
          <w:sz w:val="21"/>
          <w:szCs w:val="21"/>
          <w:lang w:eastAsia="es-MX"/>
        </w:rPr>
      </w:pPr>
    </w:p>
    <w:p w14:paraId="4DF7FF95" w14:textId="77777777" w:rsidR="00787B6E" w:rsidRPr="00414441" w:rsidRDefault="00787B6E" w:rsidP="00787B6E">
      <w:pPr>
        <w:pStyle w:val="Sinespaciado"/>
        <w:ind w:left="709" w:right="709"/>
        <w:jc w:val="both"/>
        <w:rPr>
          <w:rFonts w:ascii="Arial" w:hAnsi="Arial" w:cs="Arial"/>
          <w:sz w:val="21"/>
          <w:szCs w:val="21"/>
          <w:lang w:eastAsia="es-MX"/>
        </w:rPr>
      </w:pPr>
      <w:r>
        <w:rPr>
          <w:rFonts w:ascii="Arial" w:hAnsi="Arial" w:cs="Arial"/>
          <w:sz w:val="21"/>
          <w:szCs w:val="21"/>
          <w:lang w:eastAsia="es-MX"/>
        </w:rPr>
        <w:t xml:space="preserve">5. </w:t>
      </w:r>
      <w:r w:rsidRPr="00414441">
        <w:rPr>
          <w:rFonts w:ascii="Arial" w:hAnsi="Arial" w:cs="Arial"/>
          <w:sz w:val="21"/>
          <w:szCs w:val="21"/>
          <w:lang w:eastAsia="es-MX"/>
        </w:rPr>
        <w:t xml:space="preserve">¿Cuál sería la excepción para que, en una licitación de obra pública de infraestructura de transporte, una sociedad acredite válidamente experiencia que no ha obtenido por sí misma, sino la experiencia de su matriz, subsidiarias o integrantes del mismo grupo empresarial? </w:t>
      </w:r>
    </w:p>
    <w:p w14:paraId="3E14DCE2" w14:textId="77777777" w:rsidR="00787B6E" w:rsidRDefault="00787B6E" w:rsidP="00787B6E">
      <w:pPr>
        <w:pStyle w:val="Sinespaciado"/>
        <w:ind w:left="709" w:right="709"/>
        <w:jc w:val="both"/>
        <w:rPr>
          <w:rFonts w:ascii="Arial" w:hAnsi="Arial" w:cs="Arial"/>
          <w:sz w:val="21"/>
          <w:szCs w:val="21"/>
          <w:lang w:eastAsia="es-MX"/>
        </w:rPr>
      </w:pPr>
    </w:p>
    <w:p w14:paraId="416A9734" w14:textId="77777777" w:rsidR="00787B6E" w:rsidRDefault="00787B6E" w:rsidP="00787B6E">
      <w:pPr>
        <w:pStyle w:val="Sinespaciado"/>
        <w:ind w:left="709" w:right="709"/>
        <w:jc w:val="both"/>
        <w:rPr>
          <w:rFonts w:ascii="Arial" w:hAnsi="Arial" w:cs="Arial"/>
          <w:sz w:val="21"/>
          <w:szCs w:val="21"/>
        </w:rPr>
      </w:pPr>
      <w:r>
        <w:rPr>
          <w:rFonts w:ascii="Arial" w:hAnsi="Arial" w:cs="Arial"/>
          <w:sz w:val="21"/>
          <w:szCs w:val="21"/>
          <w:lang w:eastAsia="es-MX"/>
        </w:rPr>
        <w:t xml:space="preserve">6. </w:t>
      </w:r>
      <w:r w:rsidRPr="00414441">
        <w:rPr>
          <w:rFonts w:ascii="Arial" w:hAnsi="Arial" w:cs="Arial"/>
          <w:sz w:val="21"/>
          <w:szCs w:val="21"/>
          <w:lang w:eastAsia="es-MX"/>
        </w:rPr>
        <w:t>¿Qué criterios debe tener en cuenta una entidad contratante para concluir que, en determinado proceso de selección de licitación de obra pública de infraestructura de transporte y a la luz del estudio del sector, “es necesario que el proponente acredite la experiencia de su matriz subsidiarias o integrantes del mismo grupo empresarial</w:t>
      </w:r>
      <w:r>
        <w:rPr>
          <w:rFonts w:ascii="Arial" w:hAnsi="Arial" w:cs="Arial"/>
          <w:sz w:val="21"/>
          <w:szCs w:val="21"/>
          <w:lang w:eastAsia="es-MX"/>
        </w:rPr>
        <w:t>?</w:t>
      </w:r>
      <w:r w:rsidRPr="002E40EF">
        <w:rPr>
          <w:rFonts w:ascii="Arial" w:hAnsi="Arial" w:cs="Arial"/>
          <w:sz w:val="21"/>
          <w:szCs w:val="21"/>
        </w:rPr>
        <w:t>»</w:t>
      </w:r>
      <w:r>
        <w:rPr>
          <w:rFonts w:ascii="Arial" w:hAnsi="Arial" w:cs="Arial"/>
          <w:sz w:val="21"/>
          <w:szCs w:val="21"/>
        </w:rPr>
        <w:t>.</w:t>
      </w:r>
    </w:p>
    <w:p w14:paraId="31377C36" w14:textId="77777777" w:rsidR="00787B6E" w:rsidRPr="00C7592F" w:rsidRDefault="00787B6E" w:rsidP="00787B6E">
      <w:pPr>
        <w:pStyle w:val="Sinespaciado"/>
        <w:ind w:left="708"/>
        <w:jc w:val="both"/>
        <w:rPr>
          <w:rFonts w:ascii="Arial" w:hAnsi="Arial" w:cs="Arial"/>
          <w:sz w:val="21"/>
          <w:szCs w:val="21"/>
          <w:lang w:eastAsia="es-MX"/>
        </w:rPr>
      </w:pPr>
    </w:p>
    <w:p w14:paraId="38A4E0AF" w14:textId="77777777" w:rsidR="00787B6E" w:rsidRPr="004C545C" w:rsidRDefault="00787B6E" w:rsidP="00787B6E">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Conforme a lo dispuesto en el numeral 3.5 del documento tipo de licitación de obra pública de infraestructura de transporte-versión 3, </w:t>
      </w:r>
      <w:r>
        <w:rPr>
          <w:rFonts w:ascii="Arial" w:hAnsi="Arial" w:cs="Arial"/>
          <w:color w:val="000000" w:themeColor="text1"/>
          <w:sz w:val="22"/>
          <w:shd w:val="clear" w:color="auto" w:fill="FFFFFF"/>
          <w:lang w:val="es-ES"/>
        </w:rPr>
        <w:t xml:space="preserve">la </w:t>
      </w:r>
      <w:r w:rsidRPr="0008218B">
        <w:rPr>
          <w:rFonts w:ascii="Arial" w:hAnsi="Arial" w:cs="Arial"/>
          <w:color w:val="000000" w:themeColor="text1"/>
          <w:sz w:val="22"/>
          <w:shd w:val="clear" w:color="auto" w:fill="FFFFFF"/>
          <w:lang w:val="es-ES"/>
        </w:rPr>
        <w:t>regla general e</w:t>
      </w:r>
      <w:r>
        <w:rPr>
          <w:rFonts w:ascii="Arial" w:hAnsi="Arial" w:cs="Arial"/>
          <w:color w:val="000000" w:themeColor="text1"/>
          <w:sz w:val="22"/>
          <w:shd w:val="clear" w:color="auto" w:fill="FFFFFF"/>
          <w:lang w:val="es-ES"/>
        </w:rPr>
        <w:t>s que los</w:t>
      </w:r>
      <w:r w:rsidRPr="0008218B">
        <w:rPr>
          <w:rFonts w:ascii="Arial" w:hAnsi="Arial" w:cs="Arial"/>
          <w:color w:val="000000" w:themeColor="text1"/>
          <w:sz w:val="22"/>
          <w:shd w:val="clear" w:color="auto" w:fill="FFFFFF"/>
          <w:lang w:val="es-ES"/>
        </w:rPr>
        <w:t xml:space="preserve"> </w:t>
      </w:r>
      <w:r>
        <w:rPr>
          <w:rFonts w:ascii="Arial" w:hAnsi="Arial" w:cs="Arial"/>
          <w:color w:val="000000" w:themeColor="text1"/>
          <w:sz w:val="22"/>
          <w:shd w:val="clear" w:color="auto" w:fill="FFFFFF"/>
          <w:lang w:val="es-ES"/>
        </w:rPr>
        <w:t>p</w:t>
      </w:r>
      <w:r w:rsidRPr="0008218B">
        <w:rPr>
          <w:rFonts w:ascii="Arial" w:hAnsi="Arial" w:cs="Arial"/>
          <w:color w:val="000000" w:themeColor="text1"/>
          <w:sz w:val="22"/>
          <w:shd w:val="clear" w:color="auto" w:fill="FFFFFF"/>
          <w:lang w:val="es-ES"/>
        </w:rPr>
        <w:t>roponente</w:t>
      </w:r>
      <w:r>
        <w:rPr>
          <w:rFonts w:ascii="Arial" w:hAnsi="Arial" w:cs="Arial"/>
          <w:color w:val="000000" w:themeColor="text1"/>
          <w:sz w:val="22"/>
          <w:shd w:val="clear" w:color="auto" w:fill="FFFFFF"/>
          <w:lang w:val="es-ES"/>
        </w:rPr>
        <w:t>s</w:t>
      </w:r>
      <w:r w:rsidRPr="0008218B">
        <w:rPr>
          <w:rFonts w:ascii="Arial" w:hAnsi="Arial" w:cs="Arial"/>
          <w:color w:val="000000" w:themeColor="text1"/>
          <w:sz w:val="22"/>
          <w:shd w:val="clear" w:color="auto" w:fill="FFFFFF"/>
          <w:lang w:val="es-ES"/>
        </w:rPr>
        <w:t xml:space="preserve"> solo pued</w:t>
      </w:r>
      <w:r>
        <w:rPr>
          <w:rFonts w:ascii="Arial" w:hAnsi="Arial" w:cs="Arial"/>
          <w:color w:val="000000" w:themeColor="text1"/>
          <w:sz w:val="22"/>
          <w:shd w:val="clear" w:color="auto" w:fill="FFFFFF"/>
          <w:lang w:val="es-ES"/>
        </w:rPr>
        <w:t>an</w:t>
      </w:r>
      <w:r w:rsidRPr="0008218B">
        <w:rPr>
          <w:rFonts w:ascii="Arial" w:hAnsi="Arial" w:cs="Arial"/>
          <w:color w:val="000000" w:themeColor="text1"/>
          <w:sz w:val="22"/>
          <w:shd w:val="clear" w:color="auto" w:fill="FFFFFF"/>
          <w:lang w:val="es-ES"/>
        </w:rPr>
        <w:t xml:space="preserve"> acreditar la experiencia que ha</w:t>
      </w:r>
      <w:r>
        <w:rPr>
          <w:rFonts w:ascii="Arial" w:hAnsi="Arial" w:cs="Arial"/>
          <w:color w:val="000000" w:themeColor="text1"/>
          <w:sz w:val="22"/>
          <w:shd w:val="clear" w:color="auto" w:fill="FFFFFF"/>
          <w:lang w:val="es-ES"/>
        </w:rPr>
        <w:t>n</w:t>
      </w:r>
      <w:r w:rsidRPr="0008218B">
        <w:rPr>
          <w:rFonts w:ascii="Arial" w:hAnsi="Arial" w:cs="Arial"/>
          <w:color w:val="000000" w:themeColor="text1"/>
          <w:sz w:val="22"/>
          <w:shd w:val="clear" w:color="auto" w:fill="FFFFFF"/>
          <w:lang w:val="es-ES"/>
        </w:rPr>
        <w:t xml:space="preserve"> obtenido y no la experiencia de su matriz, subsidiaria o integrantes del mismo grupo empresarial. </w:t>
      </w:r>
      <w:r>
        <w:rPr>
          <w:rFonts w:ascii="Arial" w:hAnsi="Arial" w:cs="Arial"/>
          <w:color w:val="000000" w:themeColor="text1"/>
          <w:sz w:val="22"/>
          <w:shd w:val="clear" w:color="auto" w:fill="FFFFFF"/>
          <w:lang w:val="es-ES"/>
        </w:rPr>
        <w:t>Sin embargo</w:t>
      </w:r>
      <w:r w:rsidRPr="0008218B">
        <w:rPr>
          <w:rFonts w:ascii="Arial" w:hAnsi="Arial" w:cs="Arial"/>
          <w:color w:val="000000" w:themeColor="text1"/>
          <w:sz w:val="22"/>
          <w:shd w:val="clear" w:color="auto" w:fill="FFFFFF"/>
          <w:lang w:val="es-ES"/>
        </w:rPr>
        <w:t xml:space="preserve">, el Pliego Tipo le otorga discreción a la entidad para </w:t>
      </w:r>
      <w:r>
        <w:rPr>
          <w:rFonts w:ascii="Arial" w:hAnsi="Arial" w:cs="Arial"/>
          <w:color w:val="000000" w:themeColor="text1"/>
          <w:sz w:val="22"/>
          <w:shd w:val="clear" w:color="auto" w:fill="FFFFFF"/>
          <w:lang w:val="es-ES"/>
        </w:rPr>
        <w:t>permitir que los</w:t>
      </w:r>
      <w:r w:rsidRPr="0008218B">
        <w:rPr>
          <w:rFonts w:ascii="Arial" w:hAnsi="Arial" w:cs="Arial"/>
          <w:color w:val="000000" w:themeColor="text1"/>
          <w:sz w:val="22"/>
          <w:shd w:val="clear" w:color="auto" w:fill="FFFFFF"/>
          <w:lang w:val="es-ES"/>
        </w:rPr>
        <w:t xml:space="preserve"> </w:t>
      </w:r>
      <w:r>
        <w:rPr>
          <w:rFonts w:ascii="Arial" w:hAnsi="Arial" w:cs="Arial"/>
          <w:color w:val="000000" w:themeColor="text1"/>
          <w:sz w:val="22"/>
          <w:shd w:val="clear" w:color="auto" w:fill="FFFFFF"/>
          <w:lang w:val="es-ES"/>
        </w:rPr>
        <w:t>p</w:t>
      </w:r>
      <w:r w:rsidRPr="0008218B">
        <w:rPr>
          <w:rFonts w:ascii="Arial" w:hAnsi="Arial" w:cs="Arial"/>
          <w:color w:val="000000" w:themeColor="text1"/>
          <w:sz w:val="22"/>
          <w:shd w:val="clear" w:color="auto" w:fill="FFFFFF"/>
          <w:lang w:val="es-ES"/>
        </w:rPr>
        <w:t>roponente</w:t>
      </w:r>
      <w:r>
        <w:rPr>
          <w:rFonts w:ascii="Arial" w:hAnsi="Arial" w:cs="Arial"/>
          <w:color w:val="000000" w:themeColor="text1"/>
          <w:sz w:val="22"/>
          <w:shd w:val="clear" w:color="auto" w:fill="FFFFFF"/>
          <w:lang w:val="es-ES"/>
        </w:rPr>
        <w:t>s</w:t>
      </w:r>
      <w:r w:rsidRPr="0008218B">
        <w:rPr>
          <w:rFonts w:ascii="Arial" w:hAnsi="Arial" w:cs="Arial"/>
          <w:color w:val="000000" w:themeColor="text1"/>
          <w:sz w:val="22"/>
          <w:shd w:val="clear" w:color="auto" w:fill="FFFFFF"/>
          <w:lang w:val="es-ES"/>
        </w:rPr>
        <w:t xml:space="preserve"> acredite</w:t>
      </w:r>
      <w:r>
        <w:rPr>
          <w:rFonts w:ascii="Arial" w:hAnsi="Arial" w:cs="Arial"/>
          <w:color w:val="000000" w:themeColor="text1"/>
          <w:sz w:val="22"/>
          <w:shd w:val="clear" w:color="auto" w:fill="FFFFFF"/>
          <w:lang w:val="es-ES"/>
        </w:rPr>
        <w:t>n</w:t>
      </w:r>
      <w:r w:rsidRPr="0008218B">
        <w:rPr>
          <w:rFonts w:ascii="Arial" w:hAnsi="Arial" w:cs="Arial"/>
          <w:color w:val="000000" w:themeColor="text1"/>
          <w:sz w:val="22"/>
          <w:shd w:val="clear" w:color="auto" w:fill="FFFFFF"/>
          <w:lang w:val="es-ES"/>
        </w:rPr>
        <w:t xml:space="preserve"> la experiencia de su matriz</w:t>
      </w:r>
      <w:r>
        <w:rPr>
          <w:rFonts w:ascii="Arial" w:hAnsi="Arial" w:cs="Arial"/>
          <w:color w:val="000000" w:themeColor="text1"/>
          <w:sz w:val="22"/>
          <w:shd w:val="clear" w:color="auto" w:fill="FFFFFF"/>
          <w:lang w:val="es-ES"/>
        </w:rPr>
        <w:t>,</w:t>
      </w:r>
      <w:r w:rsidRPr="0008218B">
        <w:rPr>
          <w:rFonts w:ascii="Arial" w:hAnsi="Arial" w:cs="Arial"/>
          <w:color w:val="000000" w:themeColor="text1"/>
          <w:sz w:val="22"/>
          <w:shd w:val="clear" w:color="auto" w:fill="FFFFFF"/>
          <w:lang w:val="es-ES"/>
        </w:rPr>
        <w:t xml:space="preserve"> si de acuerdo con el estudio de sector es</w:t>
      </w:r>
      <w:r>
        <w:rPr>
          <w:rFonts w:ascii="Arial" w:hAnsi="Arial" w:cs="Arial"/>
          <w:color w:val="000000" w:themeColor="text1"/>
          <w:sz w:val="22"/>
          <w:shd w:val="clear" w:color="auto" w:fill="FFFFFF"/>
          <w:lang w:val="es-ES"/>
        </w:rPr>
        <w:t xml:space="preserve"> ello</w:t>
      </w:r>
      <w:r w:rsidRPr="0008218B">
        <w:rPr>
          <w:rFonts w:ascii="Arial" w:hAnsi="Arial" w:cs="Arial"/>
          <w:color w:val="000000" w:themeColor="text1"/>
          <w:sz w:val="22"/>
          <w:shd w:val="clear" w:color="auto" w:fill="FFFFFF"/>
          <w:lang w:val="es-ES"/>
        </w:rPr>
        <w:t xml:space="preserve"> necesario</w:t>
      </w:r>
      <w:r>
        <w:rPr>
          <w:rFonts w:ascii="Arial" w:hAnsi="Arial" w:cs="Arial"/>
          <w:color w:val="000000" w:themeColor="text1"/>
          <w:sz w:val="22"/>
          <w:shd w:val="clear" w:color="auto" w:fill="FFFFFF"/>
          <w:lang w:val="es-ES"/>
        </w:rPr>
        <w:t>,</w:t>
      </w:r>
      <w:r w:rsidRPr="0008218B">
        <w:rPr>
          <w:rFonts w:ascii="Arial" w:hAnsi="Arial" w:cs="Arial"/>
          <w:color w:val="000000" w:themeColor="text1"/>
          <w:sz w:val="22"/>
          <w:shd w:val="clear" w:color="auto" w:fill="FFFFFF"/>
          <w:lang w:val="es-ES"/>
        </w:rPr>
        <w:t xml:space="preserve"> «[…] como en los casos de contratos de franquicia, la Entidad Estatal debe justificar dicha circunstancia en los estudios y documentos previos e indicar en el pliego de condiciones la forma de acreditar la experiencia que no aparece en el RUP».  </w:t>
      </w:r>
    </w:p>
    <w:p w14:paraId="284C74D7" w14:textId="77777777" w:rsidR="00787B6E" w:rsidRPr="0008218B" w:rsidRDefault="00787B6E" w:rsidP="00787B6E">
      <w:pPr>
        <w:spacing w:before="120" w:after="120" w:line="276" w:lineRule="auto"/>
        <w:jc w:val="both"/>
        <w:rPr>
          <w:rFonts w:ascii="Arial" w:hAnsi="Arial" w:cs="Arial"/>
          <w:color w:val="000000" w:themeColor="text1"/>
          <w:sz w:val="22"/>
          <w:shd w:val="clear" w:color="auto" w:fill="FFFFFF"/>
          <w:lang w:val="es-ES"/>
        </w:rPr>
      </w:pPr>
      <w:r w:rsidRPr="0008218B">
        <w:rPr>
          <w:rFonts w:ascii="Arial" w:hAnsi="Arial" w:cs="Arial"/>
          <w:color w:val="000000" w:themeColor="text1"/>
          <w:sz w:val="22"/>
          <w:shd w:val="clear" w:color="auto" w:fill="FFFFFF"/>
          <w:lang w:val="es-ES"/>
        </w:rPr>
        <w:tab/>
        <w:t xml:space="preserve">El aparte citado se encuentra en gris y corchetes en el Documento Base del Pliego Tipo; por ello la posibilidad de acreditar experiencia de la Matriz es uno de los aspectos sobre los cuales la entidad estatal tiene discrecionalidad para incluir o modificar. Sin embargo, es preciso advertir que esta facultad se encuentra supeditada a que en el estudio del sector se encuentre que ello es necesario, así como a que se justifique debidamente en los estudios y documentos previos. El Documento Base establece un ejemplo, que no es exclusivo, el caso de contratos de franquicia. Adicionalmente, es preciso </w:t>
      </w:r>
      <w:r>
        <w:rPr>
          <w:rFonts w:ascii="Arial" w:hAnsi="Arial" w:cs="Arial"/>
          <w:color w:val="000000" w:themeColor="text1"/>
          <w:sz w:val="22"/>
          <w:shd w:val="clear" w:color="auto" w:fill="FFFFFF"/>
          <w:lang w:val="es-ES"/>
        </w:rPr>
        <w:t>señalar</w:t>
      </w:r>
      <w:r w:rsidRPr="0008218B">
        <w:rPr>
          <w:rFonts w:ascii="Arial" w:hAnsi="Arial" w:cs="Arial"/>
          <w:color w:val="000000" w:themeColor="text1"/>
          <w:sz w:val="22"/>
          <w:shd w:val="clear" w:color="auto" w:fill="FFFFFF"/>
          <w:lang w:val="es-ES"/>
        </w:rPr>
        <w:t xml:space="preserve"> que en caso de que la entidad decida ejercer su discreción en el sentido de permitir esta experiencia, el pliego debe también indicar la forma en que se acreditará la experiencia que no se encuentra en el RUP. </w:t>
      </w:r>
    </w:p>
    <w:p w14:paraId="182B18BA" w14:textId="77777777" w:rsidR="00787B6E" w:rsidRDefault="00787B6E" w:rsidP="00787B6E">
      <w:pPr>
        <w:spacing w:before="120" w:after="120" w:line="276" w:lineRule="auto"/>
        <w:ind w:firstLine="708"/>
        <w:jc w:val="both"/>
        <w:rPr>
          <w:rFonts w:ascii="Arial" w:eastAsia="Calibri" w:hAnsi="Arial" w:cs="Arial"/>
          <w:color w:val="000000" w:themeColor="text1"/>
          <w:sz w:val="22"/>
        </w:rPr>
      </w:pPr>
      <w:r>
        <w:rPr>
          <w:rFonts w:ascii="Arial" w:hAnsi="Arial" w:cs="Arial"/>
          <w:sz w:val="22"/>
          <w:szCs w:val="22"/>
        </w:rPr>
        <w:t xml:space="preserve">Con todo, las entidades estatales son autónomas en planeación y realización de los análisis sectoriales requeridos en el marco de sus procesos contractuales, actividades a partir de las cuales deben colegir la necesidad de que permitir o no la acreditación de experiencia adquirida por matrices, subordinadas, filiales o miembros de un mismo grupo empresarial. De cualquier </w:t>
      </w:r>
      <w:proofErr w:type="gramStart"/>
      <w:r>
        <w:rPr>
          <w:rFonts w:ascii="Arial" w:hAnsi="Arial" w:cs="Arial"/>
          <w:sz w:val="22"/>
          <w:szCs w:val="22"/>
        </w:rPr>
        <w:t>modo</w:t>
      </w:r>
      <w:proofErr w:type="gramEnd"/>
      <w:r>
        <w:rPr>
          <w:rFonts w:ascii="Arial" w:hAnsi="Arial" w:cs="Arial"/>
          <w:sz w:val="22"/>
          <w:szCs w:val="22"/>
        </w:rPr>
        <w:t xml:space="preserve"> corresponderá también a las entidades estudiar las condiciones en las que resulta posible la acreditación de experiencia, las cuales además deberán sujetarse a las demás condiciones del pliego de condiciones. </w:t>
      </w:r>
    </w:p>
    <w:p w14:paraId="48604906" w14:textId="77777777" w:rsidR="00787B6E" w:rsidRDefault="00787B6E" w:rsidP="00787B6E">
      <w:pPr>
        <w:spacing w:line="276" w:lineRule="auto"/>
        <w:jc w:val="both"/>
        <w:rPr>
          <w:rFonts w:ascii="Arial" w:eastAsia="Calibri" w:hAnsi="Arial" w:cs="Arial"/>
          <w:sz w:val="22"/>
          <w:szCs w:val="22"/>
          <w:lang w:val="es-ES"/>
        </w:rPr>
      </w:pPr>
    </w:p>
    <w:p w14:paraId="30DE4086" w14:textId="77777777" w:rsidR="00787B6E" w:rsidRPr="00924DEF" w:rsidRDefault="00787B6E" w:rsidP="00787B6E">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595E2A3F" w14:textId="77777777" w:rsidR="00787B6E" w:rsidRPr="00924DEF" w:rsidRDefault="00787B6E" w:rsidP="00787B6E">
      <w:pPr>
        <w:jc w:val="both"/>
        <w:rPr>
          <w:rFonts w:ascii="Arial" w:eastAsia="Calibri" w:hAnsi="Arial" w:cs="Arial"/>
          <w:sz w:val="22"/>
          <w:szCs w:val="22"/>
          <w:lang w:val="es-ES"/>
        </w:rPr>
      </w:pPr>
    </w:p>
    <w:p w14:paraId="0C879D5D" w14:textId="77777777" w:rsidR="00787B6E" w:rsidRDefault="00787B6E" w:rsidP="00787B6E">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49ACB088" w14:textId="77777777" w:rsidR="00787B6E" w:rsidRPr="00924DEF" w:rsidRDefault="00787B6E" w:rsidP="00787B6E">
      <w:pPr>
        <w:jc w:val="both"/>
        <w:rPr>
          <w:rFonts w:ascii="Arial" w:hAnsi="Arial" w:cs="Arial"/>
          <w:sz w:val="22"/>
          <w:szCs w:val="22"/>
          <w:lang w:val="es-ES" w:eastAsia="es-CO"/>
        </w:rPr>
      </w:pPr>
    </w:p>
    <w:p w14:paraId="00FD30A5" w14:textId="77777777" w:rsidR="00787B6E" w:rsidRPr="0008465D" w:rsidRDefault="00787B6E" w:rsidP="00787B6E">
      <w:pPr>
        <w:jc w:val="center"/>
        <w:rPr>
          <w:rFonts w:ascii="Arial" w:hAnsi="Arial" w:cs="Arial"/>
          <w:sz w:val="18"/>
          <w:szCs w:val="20"/>
          <w:lang w:val="es-ES" w:eastAsia="es-CO"/>
        </w:rPr>
      </w:pPr>
      <w:r>
        <w:rPr>
          <w:noProof/>
        </w:rPr>
        <w:lastRenderedPageBreak/>
        <w:drawing>
          <wp:inline distT="0" distB="0" distL="0" distR="0" wp14:anchorId="456E9D78" wp14:editId="3F9BDDD5">
            <wp:extent cx="2247182" cy="983411"/>
            <wp:effectExtent l="0" t="0" r="1270" b="7620"/>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0"/>
                    <a:stretch>
                      <a:fillRect/>
                    </a:stretch>
                  </pic:blipFill>
                  <pic:spPr>
                    <a:xfrm>
                      <a:off x="0" y="0"/>
                      <a:ext cx="2262203" cy="989984"/>
                    </a:xfrm>
                    <a:prstGeom prst="rect">
                      <a:avLst/>
                    </a:prstGeom>
                  </pic:spPr>
                </pic:pic>
              </a:graphicData>
            </a:graphic>
          </wp:inline>
        </w:drawing>
      </w:r>
    </w:p>
    <w:p w14:paraId="0C3FD840" w14:textId="77777777" w:rsidR="00787B6E" w:rsidRDefault="00787B6E" w:rsidP="00787B6E">
      <w:pPr>
        <w:jc w:val="center"/>
        <w:rPr>
          <w:rFonts w:ascii="Arial" w:hAnsi="Arial" w:cs="Arial"/>
          <w:sz w:val="18"/>
          <w:szCs w:val="20"/>
          <w:lang w:val="es-ES" w:eastAsia="es-CO"/>
        </w:rPr>
      </w:pPr>
    </w:p>
    <w:p w14:paraId="0857CC79" w14:textId="77777777" w:rsidR="00787B6E" w:rsidRDefault="00787B6E" w:rsidP="00787B6E">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87B6E" w:rsidRPr="0008465D" w14:paraId="7B8293A4" w14:textId="77777777" w:rsidTr="00B53228">
        <w:trPr>
          <w:trHeight w:val="315"/>
        </w:trPr>
        <w:tc>
          <w:tcPr>
            <w:tcW w:w="812" w:type="dxa"/>
            <w:vAlign w:val="center"/>
            <w:hideMark/>
          </w:tcPr>
          <w:p w14:paraId="2B4BE5EF" w14:textId="77777777" w:rsidR="00787B6E" w:rsidRPr="0008465D" w:rsidRDefault="00787B6E" w:rsidP="00B53228">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19C0C4DA" w14:textId="77777777" w:rsidR="00787B6E" w:rsidRPr="0008465D" w:rsidRDefault="00787B6E" w:rsidP="00B53228">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134C91D0" w14:textId="77777777" w:rsidR="00787B6E" w:rsidRPr="0008465D" w:rsidRDefault="00787B6E" w:rsidP="00B53228">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787B6E" w:rsidRPr="0008465D" w14:paraId="430CA15E" w14:textId="77777777" w:rsidTr="00B53228">
        <w:trPr>
          <w:trHeight w:val="330"/>
        </w:trPr>
        <w:tc>
          <w:tcPr>
            <w:tcW w:w="812" w:type="dxa"/>
            <w:vAlign w:val="center"/>
            <w:hideMark/>
          </w:tcPr>
          <w:p w14:paraId="5B66F02D" w14:textId="77777777" w:rsidR="00787B6E" w:rsidRPr="0008465D" w:rsidRDefault="00787B6E" w:rsidP="00B53228">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18DEAB" w14:textId="77777777" w:rsidR="00787B6E" w:rsidRDefault="00787B6E" w:rsidP="00B53228">
            <w:pPr>
              <w:rPr>
                <w:rFonts w:ascii="Arial" w:hAnsi="Arial" w:cs="Arial"/>
                <w:sz w:val="16"/>
                <w:szCs w:val="16"/>
                <w:lang w:val="es-ES" w:eastAsia="es-ES"/>
              </w:rPr>
            </w:pPr>
            <w:r>
              <w:rPr>
                <w:rFonts w:ascii="Arial" w:hAnsi="Arial" w:cs="Arial"/>
                <w:sz w:val="16"/>
                <w:szCs w:val="16"/>
                <w:lang w:val="es-ES" w:eastAsia="es-ES"/>
              </w:rPr>
              <w:t xml:space="preserve">Alejandro Sarmiento Cantillo </w:t>
            </w:r>
          </w:p>
          <w:p w14:paraId="30230450" w14:textId="77777777" w:rsidR="00787B6E" w:rsidRPr="0008465D" w:rsidRDefault="00787B6E" w:rsidP="00B53228">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p>
          <w:p w14:paraId="4A6941C3" w14:textId="77777777" w:rsidR="00787B6E" w:rsidRPr="0008465D" w:rsidRDefault="00787B6E" w:rsidP="00B53228">
            <w:pPr>
              <w:rPr>
                <w:rFonts w:ascii="Arial" w:hAnsi="Arial" w:cs="Arial"/>
                <w:sz w:val="16"/>
                <w:szCs w:val="16"/>
                <w:lang w:val="es-ES" w:eastAsia="es-ES"/>
              </w:rPr>
            </w:pPr>
          </w:p>
        </w:tc>
      </w:tr>
      <w:tr w:rsidR="00787B6E" w:rsidRPr="0008465D" w14:paraId="231E0E47" w14:textId="77777777" w:rsidTr="00B53228">
        <w:trPr>
          <w:trHeight w:val="300"/>
        </w:trPr>
        <w:tc>
          <w:tcPr>
            <w:tcW w:w="812" w:type="dxa"/>
            <w:vAlign w:val="center"/>
            <w:hideMark/>
          </w:tcPr>
          <w:p w14:paraId="56977095" w14:textId="77777777" w:rsidR="00787B6E" w:rsidRPr="0008465D" w:rsidRDefault="00787B6E" w:rsidP="00B53228">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C6F161" w14:textId="77777777" w:rsidR="00787B6E" w:rsidRPr="0008465D" w:rsidRDefault="00787B6E" w:rsidP="00B53228">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0D26C346" w14:textId="77777777" w:rsidR="00787B6E" w:rsidRPr="0008465D" w:rsidRDefault="00787B6E" w:rsidP="00B53228">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531675F6" w14:textId="77777777" w:rsidR="00787B6E" w:rsidRDefault="00787B6E" w:rsidP="00787B6E"/>
    <w:p w14:paraId="77818E3C" w14:textId="77777777" w:rsidR="00787B6E" w:rsidRDefault="00787B6E"/>
    <w:sectPr w:rsidR="00787B6E"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8E6D" w14:textId="77777777" w:rsidR="00900BB0" w:rsidRDefault="00900BB0" w:rsidP="00787B6E">
      <w:r>
        <w:separator/>
      </w:r>
    </w:p>
  </w:endnote>
  <w:endnote w:type="continuationSeparator" w:id="0">
    <w:p w14:paraId="36EF72C0" w14:textId="77777777" w:rsidR="00900BB0" w:rsidRDefault="00900BB0" w:rsidP="0078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80" w14:textId="77777777" w:rsidR="00387886" w:rsidRDefault="00000000" w:rsidP="007F1895">
    <w:pPr>
      <w:pStyle w:val="Sinespaciado"/>
      <w:jc w:val="right"/>
      <w:rPr>
        <w:rFonts w:ascii="Arial" w:hAnsi="Arial" w:cs="Arial"/>
        <w:sz w:val="18"/>
        <w:szCs w:val="18"/>
      </w:rPr>
    </w:pPr>
  </w:p>
  <w:p w14:paraId="24122555" w14:textId="77777777" w:rsidR="00387886" w:rsidRDefault="00000000" w:rsidP="007F1895">
    <w:pPr>
      <w:pStyle w:val="Sinespaciado"/>
      <w:jc w:val="right"/>
      <w:rPr>
        <w:rFonts w:ascii="Arial" w:hAnsi="Arial" w:cs="Arial"/>
        <w:sz w:val="18"/>
        <w:szCs w:val="18"/>
      </w:rPr>
    </w:pPr>
  </w:p>
  <w:p w14:paraId="672EF582" w14:textId="77777777" w:rsidR="00387886" w:rsidRPr="008217B7" w:rsidRDefault="0000000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0F8D7C95" w14:textId="77777777" w:rsidR="00387886" w:rsidRDefault="00000000" w:rsidP="007F1895">
    <w:pPr>
      <w:pStyle w:val="Piedepgina"/>
      <w:jc w:val="center"/>
      <w:rPr>
        <w:lang w:val="es-ES"/>
      </w:rPr>
    </w:pPr>
    <w:r>
      <w:rPr>
        <w:noProof/>
      </w:rPr>
      <w:drawing>
        <wp:inline distT="0" distB="0" distL="0" distR="0" wp14:anchorId="690D0F4B" wp14:editId="3510AE4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1F11960" w14:textId="77777777" w:rsidR="00387886" w:rsidRPr="00E756AC" w:rsidRDefault="00000000" w:rsidP="007F1895">
    <w:pPr>
      <w:pStyle w:val="Piedepgina"/>
      <w:jc w:val="center"/>
      <w:rPr>
        <w:sz w:val="18"/>
        <w:szCs w:val="18"/>
        <w:lang w:val="es-ES"/>
      </w:rPr>
    </w:pPr>
  </w:p>
  <w:p w14:paraId="59674905" w14:textId="77777777" w:rsidR="00387886"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2BE8" w14:textId="77777777" w:rsidR="00900BB0" w:rsidRDefault="00900BB0" w:rsidP="00787B6E">
      <w:r>
        <w:separator/>
      </w:r>
    </w:p>
  </w:footnote>
  <w:footnote w:type="continuationSeparator" w:id="0">
    <w:p w14:paraId="2C655749" w14:textId="77777777" w:rsidR="00900BB0" w:rsidRDefault="00900BB0" w:rsidP="00787B6E">
      <w:r>
        <w:continuationSeparator/>
      </w:r>
    </w:p>
  </w:footnote>
  <w:footnote w:id="1">
    <w:p w14:paraId="599A1B08" w14:textId="77777777" w:rsidR="00787B6E" w:rsidRPr="002B1E35" w:rsidRDefault="00787B6E" w:rsidP="00787B6E">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80BD5E8" w14:textId="77777777" w:rsidR="00787B6E" w:rsidRPr="002B1E35" w:rsidRDefault="00787B6E" w:rsidP="00787B6E">
      <w:pPr>
        <w:pStyle w:val="Textonotapie"/>
        <w:ind w:firstLine="709"/>
        <w:jc w:val="both"/>
        <w:rPr>
          <w:rFonts w:ascii="Arial" w:hAnsi="Arial" w:cs="Arial"/>
          <w:color w:val="000000"/>
          <w:sz w:val="19"/>
          <w:szCs w:val="19"/>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Procuraduría General de la Nación. Concepto del 15 de octubre de 2014. Procuraduría Delegada para Asuntos Disciplinarios. Radicado PAD C-114-2014.</w:t>
      </w:r>
    </w:p>
    <w:p w14:paraId="4919CA25" w14:textId="77777777" w:rsidR="00787B6E" w:rsidRPr="002B1E35" w:rsidRDefault="00787B6E" w:rsidP="00787B6E">
      <w:pPr>
        <w:pStyle w:val="Textonotapie"/>
        <w:ind w:firstLine="709"/>
        <w:jc w:val="both"/>
        <w:rPr>
          <w:rFonts w:ascii="Arial" w:hAnsi="Arial" w:cs="Arial"/>
          <w:sz w:val="19"/>
          <w:szCs w:val="19"/>
          <w:lang w:val="es-ES"/>
        </w:rPr>
      </w:pPr>
    </w:p>
  </w:footnote>
  <w:footnote w:id="3">
    <w:p w14:paraId="7D6CD55D" w14:textId="77777777" w:rsidR="00787B6E" w:rsidRPr="002B1E35" w:rsidRDefault="00787B6E" w:rsidP="00787B6E">
      <w:pPr>
        <w:pStyle w:val="Textonotapie"/>
        <w:ind w:firstLine="709"/>
        <w:jc w:val="both"/>
        <w:rPr>
          <w:rFonts w:ascii="Arial" w:hAnsi="Arial" w:cs="Arial"/>
          <w:color w:val="000000"/>
          <w:sz w:val="19"/>
          <w:szCs w:val="19"/>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Contraloría General de la República. Oficina Jurídica. Concepto 80112-OJ-008 2017.</w:t>
      </w:r>
    </w:p>
    <w:p w14:paraId="53424E84" w14:textId="77777777" w:rsidR="00787B6E" w:rsidRPr="002B1E35" w:rsidRDefault="00787B6E" w:rsidP="00787B6E">
      <w:pPr>
        <w:pStyle w:val="Textonotapie"/>
        <w:ind w:firstLine="709"/>
        <w:jc w:val="both"/>
        <w:rPr>
          <w:rFonts w:ascii="Arial" w:hAnsi="Arial" w:cs="Arial"/>
          <w:sz w:val="19"/>
          <w:szCs w:val="19"/>
          <w:lang w:val="es-ES"/>
        </w:rPr>
      </w:pPr>
    </w:p>
  </w:footnote>
  <w:footnote w:id="4">
    <w:p w14:paraId="31CAF000" w14:textId="77777777" w:rsidR="00787B6E" w:rsidRPr="002B1E35" w:rsidRDefault="00787B6E" w:rsidP="00787B6E">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5">
    <w:p w14:paraId="516605DE" w14:textId="77777777" w:rsidR="00787B6E" w:rsidRPr="00242DD6" w:rsidRDefault="00787B6E" w:rsidP="00787B6E">
      <w:pPr>
        <w:pStyle w:val="Textonotapie"/>
        <w:ind w:firstLine="708"/>
        <w:jc w:val="both"/>
        <w:rPr>
          <w:rFonts w:ascii="Arial" w:hAnsi="Arial" w:cs="Arial"/>
          <w:sz w:val="19"/>
          <w:szCs w:val="19"/>
          <w:lang w:val="pt-BR"/>
        </w:rPr>
      </w:pPr>
      <w:r w:rsidRPr="00CA3725">
        <w:rPr>
          <w:rStyle w:val="Refdenotaalpie"/>
          <w:rFonts w:ascii="Arial" w:hAnsi="Arial" w:cs="Arial"/>
          <w:sz w:val="19"/>
          <w:szCs w:val="19"/>
        </w:rPr>
        <w:footnoteRef/>
      </w:r>
      <w:r w:rsidRPr="00242DD6">
        <w:rPr>
          <w:rFonts w:ascii="Arial" w:hAnsi="Arial" w:cs="Arial"/>
          <w:sz w:val="19"/>
          <w:szCs w:val="19"/>
          <w:lang w:val="pt-BR"/>
        </w:rPr>
        <w:t xml:space="preserve"> CORTE CONSTITUCIONAL. Sentencia C-1016 de 2012. M.P. Jorge Iván Palacio. </w:t>
      </w:r>
    </w:p>
    <w:p w14:paraId="51FBF5A1" w14:textId="77777777" w:rsidR="00787B6E" w:rsidRPr="00242DD6" w:rsidRDefault="00787B6E" w:rsidP="00787B6E">
      <w:pPr>
        <w:pStyle w:val="Textonotapie"/>
        <w:ind w:firstLine="708"/>
        <w:jc w:val="both"/>
        <w:rPr>
          <w:rFonts w:ascii="Arial" w:hAnsi="Arial" w:cs="Arial"/>
          <w:sz w:val="19"/>
          <w:szCs w:val="19"/>
          <w:lang w:val="pt-BR"/>
        </w:rPr>
      </w:pPr>
    </w:p>
  </w:footnote>
  <w:footnote w:id="6">
    <w:p w14:paraId="4A0B157A" w14:textId="77777777" w:rsidR="00787B6E" w:rsidRPr="00242DD6" w:rsidRDefault="00787B6E" w:rsidP="00787B6E">
      <w:pPr>
        <w:pStyle w:val="Textonotapie"/>
        <w:ind w:firstLine="708"/>
        <w:jc w:val="both"/>
        <w:rPr>
          <w:rFonts w:ascii="Arial" w:hAnsi="Arial" w:cs="Arial"/>
          <w:sz w:val="19"/>
          <w:szCs w:val="19"/>
          <w:lang w:val="pt-BR"/>
        </w:rPr>
      </w:pPr>
      <w:r w:rsidRPr="00CA3725">
        <w:rPr>
          <w:rStyle w:val="Refdenotaalpie"/>
          <w:rFonts w:ascii="Arial" w:hAnsi="Arial" w:cs="Arial"/>
          <w:sz w:val="19"/>
          <w:szCs w:val="19"/>
        </w:rPr>
        <w:footnoteRef/>
      </w:r>
      <w:r w:rsidRPr="00CA3725">
        <w:rPr>
          <w:rFonts w:ascii="Arial" w:hAnsi="Arial" w:cs="Arial"/>
          <w:sz w:val="19"/>
          <w:szCs w:val="19"/>
        </w:rPr>
        <w:t xml:space="preserve"> CONSEJO DE ESTADO. Sección Tercera. Subsección A. Sentencia del 13 de noviembre de 2013. </w:t>
      </w:r>
      <w:r w:rsidRPr="00242DD6">
        <w:rPr>
          <w:rFonts w:ascii="Arial" w:hAnsi="Arial" w:cs="Arial"/>
          <w:sz w:val="19"/>
          <w:szCs w:val="19"/>
          <w:lang w:val="pt-BR"/>
        </w:rPr>
        <w:t xml:space="preserve">Rad. 25.646. C.P. Mauricio Fajardo Gómez.  </w:t>
      </w:r>
    </w:p>
  </w:footnote>
  <w:footnote w:id="7">
    <w:p w14:paraId="2643CA0E" w14:textId="77777777" w:rsidR="00787B6E" w:rsidRDefault="00787B6E" w:rsidP="00787B6E">
      <w:pPr>
        <w:pStyle w:val="Textonotapie"/>
        <w:ind w:firstLine="708"/>
        <w:jc w:val="both"/>
        <w:rPr>
          <w:rFonts w:ascii="Arial" w:hAnsi="Arial" w:cs="Arial"/>
          <w:sz w:val="19"/>
          <w:szCs w:val="19"/>
          <w:lang w:val="pt-BR"/>
        </w:rPr>
      </w:pPr>
      <w:r w:rsidRPr="00CA3725">
        <w:rPr>
          <w:rFonts w:ascii="Arial" w:hAnsi="Arial" w:cs="Arial"/>
          <w:sz w:val="19"/>
          <w:szCs w:val="19"/>
          <w:vertAlign w:val="superscript"/>
        </w:rPr>
        <w:footnoteRef/>
      </w:r>
      <w:r w:rsidRPr="00242DD6">
        <w:rPr>
          <w:rFonts w:ascii="Arial" w:hAnsi="Arial" w:cs="Arial"/>
          <w:sz w:val="19"/>
          <w:szCs w:val="19"/>
          <w:lang w:val="pt-BR"/>
        </w:rPr>
        <w:t xml:space="preserve"> CORTE CONSTITUCIONAL. Sentencia C-415 de 1994. M.P. Eduardo Cifuentes Muñoz. </w:t>
      </w:r>
    </w:p>
    <w:p w14:paraId="11AB41AC" w14:textId="77777777" w:rsidR="00787B6E" w:rsidRPr="00242DD6" w:rsidRDefault="00787B6E" w:rsidP="00787B6E">
      <w:pPr>
        <w:pStyle w:val="Textonotapie"/>
        <w:ind w:firstLine="708"/>
        <w:jc w:val="both"/>
        <w:rPr>
          <w:rFonts w:ascii="Arial" w:hAnsi="Arial" w:cs="Arial"/>
          <w:sz w:val="19"/>
          <w:szCs w:val="19"/>
          <w:lang w:val="pt-BR"/>
        </w:rPr>
      </w:pPr>
    </w:p>
  </w:footnote>
  <w:footnote w:id="8">
    <w:p w14:paraId="72031B01" w14:textId="77777777" w:rsidR="00787B6E" w:rsidRPr="00242DD6" w:rsidRDefault="00787B6E" w:rsidP="00787B6E">
      <w:pPr>
        <w:pStyle w:val="Textonotapie"/>
        <w:ind w:firstLine="708"/>
        <w:jc w:val="both"/>
        <w:rPr>
          <w:rFonts w:ascii="Arial" w:hAnsi="Arial" w:cs="Arial"/>
          <w:sz w:val="19"/>
          <w:szCs w:val="19"/>
          <w:lang w:val="pt-BR"/>
        </w:rPr>
      </w:pPr>
      <w:r w:rsidRPr="00CA3725">
        <w:rPr>
          <w:rStyle w:val="Refdenotaalpie"/>
          <w:rFonts w:ascii="Arial" w:hAnsi="Arial" w:cs="Arial"/>
          <w:sz w:val="19"/>
          <w:szCs w:val="19"/>
        </w:rPr>
        <w:footnoteRef/>
      </w:r>
      <w:r w:rsidRPr="00242DD6">
        <w:rPr>
          <w:rFonts w:ascii="Arial" w:hAnsi="Arial" w:cs="Arial"/>
          <w:sz w:val="19"/>
          <w:szCs w:val="19"/>
          <w:lang w:val="pt-BR"/>
        </w:rPr>
        <w:t xml:space="preserve"> Ibídem. </w:t>
      </w:r>
    </w:p>
    <w:p w14:paraId="7C2FE60D" w14:textId="77777777" w:rsidR="00787B6E" w:rsidRPr="00242DD6" w:rsidRDefault="00787B6E" w:rsidP="00787B6E">
      <w:pPr>
        <w:pStyle w:val="Textonotapie"/>
        <w:ind w:firstLine="708"/>
        <w:jc w:val="both"/>
        <w:rPr>
          <w:rFonts w:ascii="Arial" w:hAnsi="Arial" w:cs="Arial"/>
          <w:sz w:val="19"/>
          <w:szCs w:val="19"/>
          <w:lang w:val="pt-BR"/>
        </w:rPr>
      </w:pPr>
    </w:p>
  </w:footnote>
  <w:footnote w:id="9">
    <w:p w14:paraId="5499881E" w14:textId="77777777" w:rsidR="00787B6E" w:rsidRPr="00CA3725" w:rsidRDefault="00787B6E" w:rsidP="00787B6E">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242DD6">
        <w:rPr>
          <w:rFonts w:ascii="Arial" w:hAnsi="Arial" w:cs="Arial"/>
          <w:sz w:val="19"/>
          <w:szCs w:val="19"/>
          <w:lang w:val="pt-BR"/>
        </w:rPr>
        <w:t xml:space="preserve"> CORTE CONSTITUCIONAL. </w:t>
      </w:r>
      <w:r w:rsidRPr="00CA3725">
        <w:rPr>
          <w:rFonts w:ascii="Arial" w:hAnsi="Arial" w:cs="Arial"/>
          <w:sz w:val="19"/>
          <w:szCs w:val="19"/>
        </w:rPr>
        <w:t xml:space="preserve">Sentencia C-780 de 2001. M.P. Jaime Córdoba Triviño. </w:t>
      </w:r>
    </w:p>
  </w:footnote>
  <w:footnote w:id="10">
    <w:p w14:paraId="2107C96E" w14:textId="77777777" w:rsidR="00787B6E" w:rsidRPr="00CA3725" w:rsidRDefault="00787B6E" w:rsidP="00787B6E">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2C75555" w14:textId="77777777" w:rsidR="00787B6E" w:rsidRPr="00CA3725" w:rsidRDefault="00787B6E" w:rsidP="00787B6E">
      <w:pPr>
        <w:pStyle w:val="Textonotapie"/>
        <w:ind w:firstLine="709"/>
        <w:jc w:val="both"/>
        <w:rPr>
          <w:rFonts w:ascii="Arial" w:hAnsi="Arial" w:cs="Arial"/>
          <w:sz w:val="19"/>
          <w:szCs w:val="19"/>
        </w:rPr>
      </w:pPr>
      <w:proofErr w:type="gramStart"/>
      <w:r w:rsidRPr="00CA3725">
        <w:rPr>
          <w:rFonts w:ascii="Arial" w:hAnsi="Arial" w:cs="Arial"/>
          <w:sz w:val="19"/>
          <w:szCs w:val="19"/>
        </w:rPr>
        <w:t>»Las</w:t>
      </w:r>
      <w:proofErr w:type="gramEnd"/>
      <w:r w:rsidRPr="00CA3725">
        <w:rPr>
          <w:rFonts w:ascii="Arial" w:hAnsi="Arial" w:cs="Arial"/>
          <w:sz w:val="19"/>
          <w:szCs w:val="19"/>
        </w:rPr>
        <w:t xml:space="preserve"> personas jurídicas nacionales y extranjeras deberán acreditar que su duración no será inferior a la del plazo del contrato y un año más».</w:t>
      </w:r>
    </w:p>
    <w:p w14:paraId="74216595" w14:textId="77777777" w:rsidR="00787B6E" w:rsidRPr="00CA3725" w:rsidRDefault="00787B6E" w:rsidP="00787B6E">
      <w:pPr>
        <w:pStyle w:val="Textonotapie"/>
        <w:ind w:firstLine="709"/>
        <w:jc w:val="both"/>
        <w:rPr>
          <w:rFonts w:ascii="Arial" w:hAnsi="Arial" w:cs="Arial"/>
          <w:sz w:val="19"/>
          <w:szCs w:val="19"/>
        </w:rPr>
      </w:pPr>
    </w:p>
  </w:footnote>
  <w:footnote w:id="11">
    <w:p w14:paraId="4042FED0" w14:textId="77777777" w:rsidR="00787B6E" w:rsidRPr="00CA3725" w:rsidRDefault="00787B6E" w:rsidP="00787B6E">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Código Civil: «Artículo 1502. Requisitos para obligarse. Para que una persona se obligue a otra por un acto o declaración de voluntad, es necesario:</w:t>
      </w:r>
    </w:p>
    <w:p w14:paraId="65364ACD" w14:textId="77777777" w:rsidR="00787B6E" w:rsidRPr="00CA3725" w:rsidRDefault="00787B6E" w:rsidP="00787B6E">
      <w:pPr>
        <w:pStyle w:val="Textonotapie"/>
        <w:ind w:firstLine="709"/>
        <w:jc w:val="both"/>
        <w:rPr>
          <w:rFonts w:ascii="Arial" w:hAnsi="Arial" w:cs="Arial"/>
          <w:sz w:val="19"/>
          <w:szCs w:val="19"/>
        </w:rPr>
      </w:pPr>
      <w:proofErr w:type="gramStart"/>
      <w:r w:rsidRPr="00CA3725">
        <w:rPr>
          <w:rFonts w:ascii="Arial" w:hAnsi="Arial" w:cs="Arial"/>
          <w:sz w:val="19"/>
          <w:szCs w:val="19"/>
        </w:rPr>
        <w:t>»1o.</w:t>
      </w:r>
      <w:proofErr w:type="gramEnd"/>
      <w:r w:rsidRPr="00CA3725">
        <w:rPr>
          <w:rFonts w:ascii="Arial" w:hAnsi="Arial" w:cs="Arial"/>
          <w:sz w:val="19"/>
          <w:szCs w:val="19"/>
        </w:rPr>
        <w:t>) que sea legalmente capaz.</w:t>
      </w:r>
    </w:p>
    <w:p w14:paraId="6EE0811F" w14:textId="77777777" w:rsidR="00787B6E" w:rsidRPr="00CA3725" w:rsidRDefault="00787B6E" w:rsidP="00787B6E">
      <w:pPr>
        <w:pStyle w:val="Textonotapie"/>
        <w:ind w:firstLine="709"/>
        <w:jc w:val="both"/>
        <w:rPr>
          <w:rFonts w:ascii="Arial" w:hAnsi="Arial" w:cs="Arial"/>
          <w:sz w:val="19"/>
          <w:szCs w:val="19"/>
        </w:rPr>
      </w:pPr>
      <w:r w:rsidRPr="00CA3725">
        <w:rPr>
          <w:rFonts w:ascii="Arial" w:hAnsi="Arial" w:cs="Arial"/>
          <w:sz w:val="19"/>
          <w:szCs w:val="19"/>
        </w:rPr>
        <w:t>[…]</w:t>
      </w:r>
    </w:p>
    <w:p w14:paraId="35C67C9F" w14:textId="77777777" w:rsidR="00787B6E" w:rsidRPr="00CA3725" w:rsidRDefault="00787B6E" w:rsidP="00787B6E">
      <w:pPr>
        <w:pStyle w:val="Textonotapie"/>
        <w:ind w:firstLine="709"/>
        <w:jc w:val="both"/>
        <w:rPr>
          <w:rFonts w:ascii="Arial" w:hAnsi="Arial" w:cs="Arial"/>
          <w:sz w:val="19"/>
          <w:szCs w:val="19"/>
        </w:rPr>
      </w:pPr>
      <w:proofErr w:type="gramStart"/>
      <w:r w:rsidRPr="00CA3725">
        <w:rPr>
          <w:rFonts w:ascii="Arial" w:hAnsi="Arial" w:cs="Arial"/>
          <w:sz w:val="19"/>
          <w:szCs w:val="19"/>
        </w:rPr>
        <w:t>»La</w:t>
      </w:r>
      <w:proofErr w:type="gramEnd"/>
      <w:r w:rsidRPr="00CA3725">
        <w:rPr>
          <w:rFonts w:ascii="Arial" w:hAnsi="Arial" w:cs="Arial"/>
          <w:sz w:val="19"/>
          <w:szCs w:val="19"/>
        </w:rPr>
        <w:t xml:space="preserve"> capacidad legal de una persona consiste en poderse obligar por sí misma, sin el ministerio o la autorización de otra».</w:t>
      </w:r>
    </w:p>
    <w:p w14:paraId="1AA7AB11" w14:textId="77777777" w:rsidR="00787B6E" w:rsidRPr="00CA3725" w:rsidRDefault="00787B6E" w:rsidP="00787B6E">
      <w:pPr>
        <w:pStyle w:val="Textonotapie"/>
        <w:ind w:firstLine="709"/>
        <w:jc w:val="both"/>
        <w:rPr>
          <w:rFonts w:ascii="Arial" w:hAnsi="Arial" w:cs="Arial"/>
          <w:sz w:val="19"/>
          <w:szCs w:val="19"/>
        </w:rPr>
      </w:pPr>
    </w:p>
  </w:footnote>
  <w:footnote w:id="12">
    <w:p w14:paraId="2D5A73B5" w14:textId="77777777" w:rsidR="00787B6E" w:rsidRDefault="00787B6E" w:rsidP="00787B6E">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A3725">
        <w:rPr>
          <w:rFonts w:ascii="Arial" w:hAnsi="Arial" w:cs="Arial"/>
          <w:i/>
          <w:iCs/>
          <w:sz w:val="19"/>
          <w:szCs w:val="19"/>
          <w:lang w:val="es-ES"/>
        </w:rPr>
        <w:t>el régimen de inhabilidades e incompatibilidades</w:t>
      </w:r>
      <w:r w:rsidRPr="00CA3725">
        <w:rPr>
          <w:rFonts w:ascii="Arial" w:hAnsi="Arial" w:cs="Arial"/>
          <w:sz w:val="19"/>
          <w:szCs w:val="19"/>
          <w:lang w:val="es-ES"/>
        </w:rPr>
        <w:t xml:space="preserve"> (1) y la obligación de ciertos proponentes de inscribirse en el </w:t>
      </w:r>
      <w:r w:rsidRPr="00CA3725">
        <w:rPr>
          <w:rFonts w:ascii="Arial" w:hAnsi="Arial" w:cs="Arial"/>
          <w:i/>
          <w:iCs/>
          <w:sz w:val="19"/>
          <w:szCs w:val="19"/>
          <w:lang w:val="es-ES"/>
        </w:rPr>
        <w:t>registro único</w:t>
      </w:r>
      <w:r w:rsidRPr="00CA3725">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0215BA01" w14:textId="77777777" w:rsidR="00787B6E" w:rsidRPr="00CA3725" w:rsidRDefault="00787B6E" w:rsidP="00787B6E">
      <w:pPr>
        <w:pStyle w:val="Textonotapie"/>
        <w:ind w:firstLine="709"/>
        <w:jc w:val="both"/>
        <w:rPr>
          <w:rFonts w:ascii="Arial" w:hAnsi="Arial" w:cs="Arial"/>
          <w:sz w:val="19"/>
          <w:szCs w:val="19"/>
          <w:lang w:val="es-ES"/>
        </w:rPr>
      </w:pPr>
    </w:p>
  </w:footnote>
  <w:footnote w:id="13">
    <w:p w14:paraId="168D6446" w14:textId="77777777" w:rsidR="00787B6E" w:rsidRDefault="00787B6E" w:rsidP="00787B6E">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w:t>
      </w:r>
      <w:proofErr w:type="gramStart"/>
      <w:r w:rsidRPr="00E13471">
        <w:rPr>
          <w:rFonts w:ascii="Arial" w:hAnsi="Arial" w:cs="Arial"/>
          <w:sz w:val="19"/>
          <w:szCs w:val="19"/>
        </w:rPr>
        <w:t>y</w:t>
      </w:r>
      <w:proofErr w:type="gramEnd"/>
      <w:r w:rsidRPr="00E13471">
        <w:rPr>
          <w:rFonts w:ascii="Arial" w:hAnsi="Arial" w:cs="Arial"/>
          <w:sz w:val="19"/>
          <w:szCs w:val="19"/>
        </w:rPr>
        <w:t xml:space="preserve">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w:t>
      </w:r>
      <w:proofErr w:type="gramStart"/>
      <w:r w:rsidRPr="00E13471">
        <w:rPr>
          <w:rFonts w:ascii="Arial" w:hAnsi="Arial" w:cs="Arial"/>
          <w:sz w:val="19"/>
          <w:szCs w:val="19"/>
        </w:rPr>
        <w:t>que</w:t>
      </w:r>
      <w:proofErr w:type="gramEnd"/>
      <w:r w:rsidRPr="00E13471">
        <w:rPr>
          <w:rFonts w:ascii="Arial" w:hAnsi="Arial" w:cs="Arial"/>
          <w:sz w:val="19"/>
          <w:szCs w:val="19"/>
        </w:rPr>
        <w:t xml:space="preserve"> ante la semejanza de las figuras, conviene emplear un único vocablo, con lo cual serían innecesarias los intentos y las elucubraciones y explicaciones, algunas novedosas que podrían ensayarse.</w:t>
      </w:r>
      <w:r w:rsidRPr="00AD1BAE">
        <w:rPr>
          <w:rFonts w:ascii="Arial" w:hAnsi="Arial" w:cs="Arial"/>
          <w:sz w:val="19"/>
          <w:szCs w:val="19"/>
        </w:rPr>
        <w:t xml:space="preserve"> (DÁVILA VINUEZA, Luis Guillermo. Régimen jurídico de la contratación estatal. 3ª ed. Bogotá: Legis, 2016. p. 148).</w:t>
      </w:r>
    </w:p>
    <w:p w14:paraId="494C95D7" w14:textId="77777777" w:rsidR="00787B6E" w:rsidRPr="00D552AD" w:rsidRDefault="00787B6E" w:rsidP="00787B6E">
      <w:pPr>
        <w:pStyle w:val="Textonotapie"/>
        <w:ind w:firstLine="708"/>
        <w:jc w:val="both"/>
        <w:rPr>
          <w:rFonts w:ascii="Arial" w:hAnsi="Arial" w:cs="Arial"/>
          <w:sz w:val="19"/>
          <w:szCs w:val="19"/>
        </w:rPr>
      </w:pPr>
    </w:p>
  </w:footnote>
  <w:footnote w:id="14">
    <w:p w14:paraId="1A1D43BB" w14:textId="77777777" w:rsidR="00787B6E" w:rsidRPr="00AD1BAE" w:rsidRDefault="00787B6E" w:rsidP="00787B6E">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6FBC229D" w14:textId="77777777" w:rsidR="00787B6E" w:rsidRPr="00AD1BAE" w:rsidRDefault="00787B6E" w:rsidP="00787B6E">
      <w:pPr>
        <w:pStyle w:val="Textonotapie"/>
        <w:ind w:firstLine="709"/>
        <w:jc w:val="both"/>
        <w:rPr>
          <w:rFonts w:ascii="Arial" w:hAnsi="Arial" w:cs="Arial"/>
          <w:sz w:val="19"/>
          <w:szCs w:val="19"/>
          <w:lang w:val="es-ES"/>
        </w:rPr>
      </w:pPr>
    </w:p>
  </w:footnote>
  <w:footnote w:id="15">
    <w:p w14:paraId="1F88DE64" w14:textId="77777777" w:rsidR="00787B6E" w:rsidRPr="00AD1BAE" w:rsidRDefault="00787B6E" w:rsidP="00787B6E">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Ibídem. p. 69.</w:t>
      </w:r>
    </w:p>
  </w:footnote>
  <w:footnote w:id="16">
    <w:p w14:paraId="60C877D2" w14:textId="77777777" w:rsidR="00787B6E" w:rsidRPr="00C36C58" w:rsidRDefault="00787B6E" w:rsidP="00787B6E">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05A996CC" w14:textId="77777777" w:rsidR="00787B6E" w:rsidRPr="00C36C58" w:rsidRDefault="00787B6E" w:rsidP="00787B6E">
      <w:pPr>
        <w:pStyle w:val="Textonotapie"/>
        <w:ind w:firstLine="709"/>
        <w:jc w:val="both"/>
        <w:rPr>
          <w:rFonts w:ascii="Arial" w:hAnsi="Arial" w:cs="Arial"/>
          <w:color w:val="000000" w:themeColor="text1"/>
          <w:sz w:val="19"/>
          <w:szCs w:val="19"/>
          <w:lang w:val="es-ES"/>
        </w:rPr>
      </w:pPr>
    </w:p>
  </w:footnote>
  <w:footnote w:id="17">
    <w:p w14:paraId="560ACBFA" w14:textId="77777777" w:rsidR="00787B6E" w:rsidRPr="00C36C58" w:rsidRDefault="00787B6E" w:rsidP="00787B6E">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774014AD" w14:textId="77777777" w:rsidR="00787B6E" w:rsidRPr="00C36C58" w:rsidRDefault="00787B6E" w:rsidP="00787B6E">
      <w:pPr>
        <w:pStyle w:val="Textonotapie"/>
        <w:ind w:firstLine="709"/>
        <w:jc w:val="both"/>
        <w:rPr>
          <w:rFonts w:ascii="Arial" w:hAnsi="Arial" w:cs="Arial"/>
          <w:color w:val="000000" w:themeColor="text1"/>
          <w:sz w:val="19"/>
          <w:szCs w:val="19"/>
          <w:lang w:val="es-ES"/>
        </w:rPr>
      </w:pPr>
    </w:p>
  </w:footnote>
  <w:footnote w:id="18">
    <w:p w14:paraId="70662F66" w14:textId="77777777" w:rsidR="00787B6E" w:rsidRPr="00C36C58" w:rsidRDefault="00787B6E" w:rsidP="00787B6E">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1B355451" w14:textId="77777777" w:rsidR="00787B6E" w:rsidRPr="00C36C58" w:rsidRDefault="00787B6E" w:rsidP="00787B6E">
      <w:pPr>
        <w:pStyle w:val="Textonotapie"/>
        <w:ind w:firstLine="709"/>
        <w:jc w:val="both"/>
        <w:rPr>
          <w:rFonts w:ascii="Arial" w:hAnsi="Arial" w:cs="Arial"/>
          <w:color w:val="000000" w:themeColor="text1"/>
          <w:sz w:val="19"/>
          <w:szCs w:val="19"/>
          <w:lang w:val="es-ES"/>
        </w:rPr>
      </w:pPr>
    </w:p>
  </w:footnote>
  <w:footnote w:id="19">
    <w:p w14:paraId="67F06F6E" w14:textId="77777777" w:rsidR="00787B6E" w:rsidRDefault="00787B6E" w:rsidP="00787B6E">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0DEFBE28" w14:textId="77777777" w:rsidR="00787B6E" w:rsidRPr="00C36C58" w:rsidRDefault="00787B6E" w:rsidP="00787B6E">
      <w:pPr>
        <w:pStyle w:val="Textonotapie"/>
        <w:ind w:firstLine="709"/>
        <w:jc w:val="both"/>
        <w:rPr>
          <w:rFonts w:ascii="Arial" w:hAnsi="Arial" w:cs="Arial"/>
          <w:color w:val="000000" w:themeColor="text1"/>
          <w:sz w:val="19"/>
          <w:szCs w:val="19"/>
          <w:lang w:val="es-ES"/>
        </w:rPr>
      </w:pPr>
    </w:p>
  </w:footnote>
  <w:footnote w:id="20">
    <w:p w14:paraId="415ECD49" w14:textId="77777777" w:rsidR="00787B6E" w:rsidRPr="00C36C58" w:rsidRDefault="00787B6E" w:rsidP="00787B6E">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Cfr. Concepto</w:t>
      </w:r>
      <w:r>
        <w:rPr>
          <w:rFonts w:ascii="Arial" w:hAnsi="Arial" w:cs="Arial"/>
          <w:color w:val="000000" w:themeColor="text1"/>
          <w:sz w:val="19"/>
          <w:szCs w:val="19"/>
        </w:rPr>
        <w:t>s:</w:t>
      </w:r>
      <w:r w:rsidRPr="00C36C58">
        <w:rPr>
          <w:rFonts w:ascii="Arial" w:hAnsi="Arial" w:cs="Arial"/>
          <w:color w:val="000000" w:themeColor="text1"/>
          <w:sz w:val="19"/>
          <w:szCs w:val="19"/>
        </w:rPr>
        <w:t xml:space="preserve"> C</w:t>
      </w:r>
      <w:r>
        <w:rPr>
          <w:rFonts w:ascii="Arial" w:hAnsi="Arial" w:cs="Arial"/>
          <w:color w:val="000000" w:themeColor="text1"/>
          <w:sz w:val="19"/>
          <w:szCs w:val="19"/>
        </w:rPr>
        <w:t>-</w:t>
      </w:r>
      <w:r w:rsidRPr="00C36C58">
        <w:rPr>
          <w:rFonts w:ascii="Arial" w:hAnsi="Arial" w:cs="Arial"/>
          <w:color w:val="000000" w:themeColor="text1"/>
          <w:sz w:val="19"/>
          <w:szCs w:val="19"/>
        </w:rPr>
        <w:t>229 del 16 de abril de 2020</w:t>
      </w:r>
      <w:r>
        <w:rPr>
          <w:rFonts w:ascii="Arial" w:hAnsi="Arial" w:cs="Arial"/>
          <w:color w:val="000000" w:themeColor="text1"/>
          <w:sz w:val="19"/>
          <w:szCs w:val="19"/>
        </w:rPr>
        <w:t>, C-815 del 18 de febrero de 2021 y C-449 del 31 de agosto de 2021.</w:t>
      </w:r>
    </w:p>
    <w:p w14:paraId="6CF651AB" w14:textId="77777777" w:rsidR="00787B6E" w:rsidRPr="00C36C58" w:rsidRDefault="00787B6E" w:rsidP="00787B6E">
      <w:pPr>
        <w:pStyle w:val="Textonotapie"/>
        <w:ind w:firstLine="708"/>
        <w:jc w:val="both"/>
        <w:rPr>
          <w:rFonts w:ascii="Arial" w:hAnsi="Arial" w:cs="Arial"/>
          <w:color w:val="000000" w:themeColor="text1"/>
          <w:sz w:val="19"/>
          <w:szCs w:val="19"/>
          <w:lang w:val="es-CO"/>
        </w:rPr>
      </w:pPr>
    </w:p>
  </w:footnote>
  <w:footnote w:id="21">
    <w:p w14:paraId="40A7F965" w14:textId="77777777" w:rsidR="00787B6E" w:rsidRPr="00C36C58" w:rsidRDefault="00787B6E" w:rsidP="00787B6E">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Sala de Consulta y de Servicio Civil. Concepto del 23 de marzo de 2011. Rad. 2.045. C.P. Enrique José Arboleda Perdomo.</w:t>
      </w:r>
    </w:p>
    <w:p w14:paraId="07175D4E" w14:textId="77777777" w:rsidR="00787B6E" w:rsidRPr="00C36C58" w:rsidRDefault="00787B6E" w:rsidP="00787B6E">
      <w:pPr>
        <w:pStyle w:val="Textonotapie"/>
        <w:ind w:firstLine="708"/>
        <w:jc w:val="both"/>
        <w:rPr>
          <w:rFonts w:ascii="Arial" w:hAnsi="Arial" w:cs="Arial"/>
          <w:color w:val="000000" w:themeColor="text1"/>
          <w:sz w:val="19"/>
          <w:szCs w:val="19"/>
        </w:rPr>
      </w:pPr>
    </w:p>
  </w:footnote>
  <w:footnote w:id="22">
    <w:p w14:paraId="266322FF" w14:textId="77777777" w:rsidR="00787B6E" w:rsidRPr="00C36C58" w:rsidRDefault="00787B6E" w:rsidP="00787B6E">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DÁVILA VINUEZA, Luis Guillermo. Op. Cit., pp. 149-153.</w:t>
      </w:r>
    </w:p>
    <w:p w14:paraId="44426A2D" w14:textId="77777777" w:rsidR="00787B6E" w:rsidRPr="00C36C58" w:rsidRDefault="00787B6E" w:rsidP="00787B6E">
      <w:pPr>
        <w:pStyle w:val="Textonotapie"/>
        <w:ind w:firstLine="708"/>
        <w:jc w:val="both"/>
        <w:rPr>
          <w:rFonts w:ascii="Arial" w:hAnsi="Arial" w:cs="Arial"/>
          <w:color w:val="000000" w:themeColor="text1"/>
          <w:sz w:val="19"/>
          <w:szCs w:val="19"/>
          <w:lang w:val="es-CO"/>
        </w:rPr>
      </w:pPr>
    </w:p>
  </w:footnote>
  <w:footnote w:id="23">
    <w:p w14:paraId="42F01C82" w14:textId="77777777" w:rsidR="00787B6E" w:rsidRPr="00C36C58" w:rsidRDefault="00787B6E" w:rsidP="00787B6E">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Siendo los pronunciamientos más relevantes el Concepto del 10 de agosto de 2006. Exp. 1.767 –C.P. Luis Fernando Álvarez Jaramillo–, reiterado y complementado en el Concepto del 23 de marzo de 2011. Rad. 2.045 –C.P. Enrique José Arboleda Perdomo–.</w:t>
      </w:r>
    </w:p>
  </w:footnote>
  <w:footnote w:id="24">
    <w:p w14:paraId="1082911A" w14:textId="77777777" w:rsidR="00787B6E" w:rsidRPr="00C36C58" w:rsidRDefault="00787B6E" w:rsidP="00787B6E">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DÁVILA VINUEZA, Luis Guillermo. Op. Cit., pp. 150-152.</w:t>
      </w:r>
    </w:p>
    <w:p w14:paraId="7C055F2B" w14:textId="77777777" w:rsidR="00787B6E" w:rsidRPr="00C36C58" w:rsidRDefault="00787B6E" w:rsidP="00787B6E">
      <w:pPr>
        <w:pStyle w:val="Textonotapie"/>
        <w:ind w:firstLine="708"/>
        <w:jc w:val="both"/>
        <w:rPr>
          <w:rFonts w:ascii="Arial" w:hAnsi="Arial" w:cs="Arial"/>
          <w:color w:val="000000" w:themeColor="text1"/>
          <w:sz w:val="19"/>
          <w:szCs w:val="19"/>
          <w:lang w:val="es-CO"/>
        </w:rPr>
      </w:pPr>
    </w:p>
  </w:footnote>
  <w:footnote w:id="25">
    <w:p w14:paraId="7520F4D2" w14:textId="77777777" w:rsidR="00787B6E" w:rsidRPr="00C36C58" w:rsidRDefault="00787B6E" w:rsidP="00787B6E">
      <w:pPr>
        <w:pStyle w:val="Textonotapie"/>
        <w:ind w:firstLine="708"/>
        <w:jc w:val="both"/>
        <w:rPr>
          <w:rFonts w:ascii="Arial"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CONSEJO DE ESTADO. Sala de Consulta y Servicio Civil. </w:t>
      </w:r>
      <w:r w:rsidRPr="00C36C58">
        <w:rPr>
          <w:rFonts w:ascii="Arial" w:hAnsi="Arial" w:cs="Arial"/>
          <w:color w:val="000000" w:themeColor="text1"/>
          <w:sz w:val="19"/>
          <w:szCs w:val="19"/>
        </w:rPr>
        <w:t>Concepto del 23 de marzo de 2011. Rad. 2.045. C.P. Enrique José Arboleda Perdomo.</w:t>
      </w:r>
    </w:p>
  </w:footnote>
  <w:footnote w:id="26">
    <w:p w14:paraId="0C5D1467" w14:textId="77777777" w:rsidR="00787B6E" w:rsidRPr="00C36C58" w:rsidRDefault="00787B6E" w:rsidP="00787B6E">
      <w:pPr>
        <w:pStyle w:val="Textonotapie"/>
        <w:ind w:firstLine="708"/>
        <w:jc w:val="both"/>
        <w:rPr>
          <w:rFonts w:ascii="Arial" w:hAnsi="Arial" w:cs="Arial"/>
          <w:color w:val="000000" w:themeColor="text1"/>
          <w:sz w:val="19"/>
          <w:szCs w:val="19"/>
        </w:rPr>
      </w:pPr>
      <w:r w:rsidRPr="00C36C58">
        <w:rPr>
          <w:rStyle w:val="Refdenotaalpie"/>
          <w:rFonts w:ascii="Arial" w:hAnsi="Arial" w:cs="Arial"/>
          <w:sz w:val="19"/>
          <w:szCs w:val="19"/>
        </w:rPr>
        <w:footnoteRef/>
      </w:r>
      <w:r w:rsidRPr="00C36C58">
        <w:rPr>
          <w:rFonts w:ascii="Arial" w:hAnsi="Arial" w:cs="Arial"/>
          <w:sz w:val="19"/>
          <w:szCs w:val="19"/>
        </w:rPr>
        <w:t xml:space="preserve"> CONSEJO DE ESTADO. Sala de Consulta y Servicio Civil. Concepto del </w:t>
      </w:r>
      <w:r w:rsidRPr="00C36C58">
        <w:rPr>
          <w:rFonts w:ascii="Arial" w:hAnsi="Arial" w:cs="Arial"/>
          <w:color w:val="000000" w:themeColor="text1"/>
          <w:sz w:val="19"/>
          <w:szCs w:val="19"/>
        </w:rPr>
        <w:t>10 de agosto de 2006. Exp. 1.767. C.P. Luis Fernando Álvarez Jaramillo.</w:t>
      </w:r>
    </w:p>
    <w:p w14:paraId="69E46D7C" w14:textId="77777777" w:rsidR="00787B6E" w:rsidRPr="00C36C58" w:rsidRDefault="00787B6E" w:rsidP="00787B6E">
      <w:pPr>
        <w:pStyle w:val="Textonotapie"/>
        <w:ind w:firstLine="708"/>
        <w:jc w:val="both"/>
        <w:rPr>
          <w:rFonts w:ascii="Arial" w:hAnsi="Arial" w:cs="Arial"/>
          <w:sz w:val="19"/>
          <w:szCs w:val="19"/>
          <w:lang w:val="es-CO"/>
        </w:rPr>
      </w:pPr>
    </w:p>
  </w:footnote>
  <w:footnote w:id="27">
    <w:p w14:paraId="7B49257B" w14:textId="77777777" w:rsidR="00787B6E" w:rsidRPr="00C36C58" w:rsidRDefault="00787B6E" w:rsidP="00787B6E">
      <w:pPr>
        <w:pStyle w:val="Textonotapie"/>
        <w:ind w:firstLine="708"/>
        <w:jc w:val="both"/>
        <w:rPr>
          <w:rFonts w:ascii="Arial" w:eastAsia="Calibri"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Como expresa DÁVILA: «[…] </w:t>
      </w:r>
      <w:r w:rsidRPr="00C36C58">
        <w:rPr>
          <w:rFonts w:ascii="Arial" w:eastAsia="Calibri" w:hAnsi="Arial" w:cs="Arial"/>
          <w:sz w:val="19"/>
          <w:szCs w:val="19"/>
          <w:lang w:val="es-CO"/>
        </w:rPr>
        <w:t>la entidad estatal en la etapa previa o de planeación debe advertir situaciones concretas y reales que puedan implicar un conflicto de interés. Una vez hecho, debe tipificarlas de manera objetiva, clara y completa en el pliego de condiciones y consecuentemente aplicarlas de manera restrictiva y taxativa al momento de evaluar y adjudicar el contrato, no pudiéndose, so pena de violar la ley, diseñarse, crearse o inventarse alguna nueva» (DÁVILA VINUEZA, Luis Guillermo. Op. Cit., p. 151.</w:t>
      </w:r>
    </w:p>
    <w:p w14:paraId="402FCE0E" w14:textId="77777777" w:rsidR="00787B6E" w:rsidRPr="00C36C58" w:rsidRDefault="00787B6E" w:rsidP="00787B6E">
      <w:pPr>
        <w:pStyle w:val="Textonotapie"/>
        <w:ind w:firstLine="708"/>
        <w:jc w:val="both"/>
        <w:rPr>
          <w:rFonts w:ascii="Arial" w:hAnsi="Arial" w:cs="Arial"/>
          <w:sz w:val="19"/>
          <w:szCs w:val="19"/>
          <w:lang w:val="es-CO"/>
        </w:rPr>
      </w:pPr>
    </w:p>
  </w:footnote>
  <w:footnote w:id="28">
    <w:p w14:paraId="0500B7FF" w14:textId="77777777" w:rsidR="00787B6E" w:rsidRPr="00C36C58" w:rsidRDefault="00787B6E" w:rsidP="00787B6E">
      <w:pPr>
        <w:pStyle w:val="Textonotapie"/>
        <w:ind w:firstLine="708"/>
        <w:jc w:val="both"/>
        <w:rPr>
          <w:rFonts w:ascii="Arial" w:eastAsia="Calibri"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Cfr. Ibíd. </w:t>
      </w:r>
      <w:r w:rsidRPr="00C36C58">
        <w:rPr>
          <w:rFonts w:ascii="Arial" w:eastAsia="Calibri" w:hAnsi="Arial" w:cs="Arial"/>
          <w:sz w:val="19"/>
          <w:szCs w:val="19"/>
          <w:lang w:val="es-CO"/>
        </w:rPr>
        <w:t xml:space="preserve">«Cuando respecto de un oferente se configure un conflicto de interés tipificado en el pliego de condiciones, lo procedente es el rechazo de la </w:t>
      </w:r>
      <w:proofErr w:type="gramStart"/>
      <w:r w:rsidRPr="00C36C58">
        <w:rPr>
          <w:rFonts w:ascii="Arial" w:eastAsia="Calibri" w:hAnsi="Arial" w:cs="Arial"/>
          <w:sz w:val="19"/>
          <w:szCs w:val="19"/>
          <w:lang w:val="es-CO"/>
        </w:rPr>
        <w:t>propuesta</w:t>
      </w:r>
      <w:proofErr w:type="gramEnd"/>
      <w:r w:rsidRPr="00C36C58">
        <w:rPr>
          <w:rFonts w:ascii="Arial" w:eastAsia="Calibri" w:hAnsi="Arial" w:cs="Arial"/>
          <w:sz w:val="19"/>
          <w:szCs w:val="19"/>
          <w:lang w:val="es-CO"/>
        </w:rPr>
        <w:t xml:space="preserve"> pero a diferencia de las inhabilidades e incompatibilidades, no genera otro tipo de sanción como ocurre con ellas, por ejemplo, el nacimiento de una nueva inhabilidad».</w:t>
      </w:r>
    </w:p>
    <w:p w14:paraId="079F5B00" w14:textId="77777777" w:rsidR="00787B6E" w:rsidRPr="00C36C58" w:rsidRDefault="00787B6E" w:rsidP="00787B6E">
      <w:pPr>
        <w:pStyle w:val="Textonotapie"/>
        <w:ind w:firstLine="708"/>
        <w:jc w:val="both"/>
        <w:rPr>
          <w:rFonts w:ascii="Arial" w:hAnsi="Arial" w:cs="Arial"/>
          <w:sz w:val="19"/>
          <w:szCs w:val="19"/>
          <w:lang w:val="es-CO"/>
        </w:rPr>
      </w:pPr>
    </w:p>
  </w:footnote>
  <w:footnote w:id="29">
    <w:p w14:paraId="0772CCAB" w14:textId="77777777" w:rsidR="00787B6E" w:rsidRPr="00C36C58" w:rsidRDefault="00787B6E" w:rsidP="00787B6E">
      <w:pPr>
        <w:pStyle w:val="Textonotapie"/>
        <w:ind w:firstLine="708"/>
        <w:jc w:val="both"/>
        <w:rPr>
          <w:rFonts w:ascii="Arial" w:hAnsi="Arial" w:cs="Arial"/>
          <w:sz w:val="19"/>
          <w:szCs w:val="19"/>
          <w:lang w:val="es-CO"/>
        </w:rPr>
      </w:pPr>
      <w:r w:rsidRPr="00C36C58">
        <w:rPr>
          <w:rStyle w:val="Refdenotaalpie"/>
          <w:rFonts w:ascii="Arial" w:hAnsi="Arial" w:cs="Arial"/>
          <w:sz w:val="19"/>
          <w:szCs w:val="19"/>
        </w:rPr>
        <w:footnoteRef/>
      </w:r>
      <w:r w:rsidRPr="00C36C5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36C58">
        <w:rPr>
          <w:rFonts w:ascii="Arial" w:hAnsi="Arial" w:cs="Arial"/>
          <w:i/>
          <w:iCs/>
          <w:sz w:val="19"/>
          <w:szCs w:val="19"/>
        </w:rPr>
        <w:t xml:space="preserve">ibidem </w:t>
      </w:r>
      <w:r w:rsidRPr="00C36C5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0">
    <w:p w14:paraId="5A228267"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8A2673">
        <w:rPr>
          <w:rFonts w:ascii="Arial" w:hAnsi="Arial" w:cs="Arial"/>
          <w:color w:val="000000" w:themeColor="text1"/>
          <w:sz w:val="19"/>
          <w:szCs w:val="19"/>
        </w:rPr>
        <w:t>equivalentes,</w:t>
      </w:r>
      <w:proofErr w:type="gramEnd"/>
      <w:r w:rsidRPr="008A2673">
        <w:rPr>
          <w:rFonts w:ascii="Arial" w:hAnsi="Arial" w:cs="Arial"/>
          <w:color w:val="000000" w:themeColor="text1"/>
          <w:sz w:val="19"/>
          <w:szCs w:val="19"/>
        </w:rPr>
        <w:t xml:space="preserve"> tendrán en cuenta los siguientes criterios:</w:t>
      </w:r>
    </w:p>
    <w:p w14:paraId="78F191CA"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672F38F"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62F6947B" w14:textId="77777777" w:rsidR="00787B6E" w:rsidRPr="008A2673" w:rsidRDefault="00787B6E" w:rsidP="00787B6E">
      <w:pPr>
        <w:pStyle w:val="Textonotapie"/>
        <w:jc w:val="both"/>
        <w:rPr>
          <w:rFonts w:ascii="Arial" w:hAnsi="Arial" w:cs="Arial"/>
          <w:color w:val="000000" w:themeColor="text1"/>
          <w:sz w:val="19"/>
          <w:szCs w:val="19"/>
          <w:lang w:val="es-ES"/>
        </w:rPr>
      </w:pPr>
    </w:p>
  </w:footnote>
  <w:footnote w:id="31">
    <w:p w14:paraId="28AB233A"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8733B2A" w14:textId="77777777" w:rsidR="00787B6E" w:rsidRPr="008A2673" w:rsidRDefault="00787B6E" w:rsidP="00787B6E">
      <w:pPr>
        <w:pStyle w:val="Textonotapie"/>
        <w:ind w:firstLine="708"/>
        <w:jc w:val="both"/>
        <w:rPr>
          <w:rFonts w:ascii="Arial" w:hAnsi="Arial" w:cs="Arial"/>
          <w:color w:val="000000" w:themeColor="text1"/>
          <w:sz w:val="19"/>
          <w:szCs w:val="19"/>
          <w:lang w:val="es-ES"/>
        </w:rPr>
      </w:pPr>
    </w:p>
  </w:footnote>
  <w:footnote w:id="32">
    <w:p w14:paraId="07B1A4F6"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51217A8"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62225AE6"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5B0625B6" w14:textId="77777777" w:rsidR="00787B6E" w:rsidRPr="008A2673" w:rsidRDefault="00787B6E" w:rsidP="00787B6E">
      <w:pPr>
        <w:pStyle w:val="Textonotapie"/>
        <w:ind w:firstLine="708"/>
        <w:jc w:val="both"/>
        <w:rPr>
          <w:rFonts w:ascii="Arial" w:hAnsi="Arial" w:cs="Arial"/>
          <w:color w:val="000000" w:themeColor="text1"/>
          <w:sz w:val="19"/>
          <w:szCs w:val="19"/>
          <w:lang w:val="es-ES"/>
        </w:rPr>
      </w:pPr>
    </w:p>
  </w:footnote>
  <w:footnote w:id="33">
    <w:p w14:paraId="15E19023"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9633A1A"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3EB8B171" w14:textId="77777777" w:rsidR="00787B6E" w:rsidRPr="008A2673" w:rsidRDefault="00787B6E" w:rsidP="00787B6E">
      <w:pPr>
        <w:pStyle w:val="Textonotapie"/>
        <w:ind w:firstLine="708"/>
        <w:jc w:val="both"/>
        <w:rPr>
          <w:rFonts w:ascii="Arial" w:hAnsi="Arial" w:cs="Arial"/>
          <w:color w:val="000000" w:themeColor="text1"/>
          <w:sz w:val="19"/>
          <w:szCs w:val="19"/>
        </w:rPr>
      </w:pPr>
      <w:proofErr w:type="gramStart"/>
      <w:r w:rsidRPr="008A2673">
        <w:rPr>
          <w:rFonts w:ascii="Arial" w:hAnsi="Arial" w:cs="Arial"/>
          <w:color w:val="000000" w:themeColor="text1"/>
          <w:sz w:val="19"/>
          <w:szCs w:val="19"/>
        </w:rPr>
        <w:t>»El</w:t>
      </w:r>
      <w:proofErr w:type="gramEnd"/>
      <w:r w:rsidRPr="008A2673">
        <w:rPr>
          <w:rFonts w:ascii="Arial" w:hAnsi="Arial" w:cs="Arial"/>
          <w:color w:val="000000" w:themeColor="text1"/>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E7C0628" w14:textId="77777777" w:rsidR="00787B6E" w:rsidRPr="008A2673" w:rsidRDefault="00787B6E" w:rsidP="00787B6E">
      <w:pPr>
        <w:pStyle w:val="Textonotapie"/>
        <w:ind w:firstLine="708"/>
        <w:jc w:val="both"/>
        <w:rPr>
          <w:rFonts w:ascii="Arial" w:hAnsi="Arial" w:cs="Arial"/>
          <w:color w:val="000000" w:themeColor="text1"/>
          <w:sz w:val="19"/>
          <w:szCs w:val="19"/>
        </w:rPr>
      </w:pPr>
      <w:proofErr w:type="gramStart"/>
      <w:r w:rsidRPr="008A2673">
        <w:rPr>
          <w:rFonts w:ascii="Arial" w:hAnsi="Arial" w:cs="Arial"/>
          <w:color w:val="000000" w:themeColor="text1"/>
          <w:sz w:val="19"/>
          <w:szCs w:val="19"/>
        </w:rPr>
        <w:t>»No</w:t>
      </w:r>
      <w:proofErr w:type="gramEnd"/>
      <w:r w:rsidRPr="008A2673">
        <w:rPr>
          <w:rFonts w:ascii="Arial" w:hAnsi="Arial" w:cs="Arial"/>
          <w:color w:val="000000" w:themeColor="text1"/>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704F8AA" w14:textId="77777777" w:rsidR="00787B6E" w:rsidRPr="008A2673" w:rsidRDefault="00787B6E" w:rsidP="00787B6E">
      <w:pPr>
        <w:pStyle w:val="Textonotapie"/>
        <w:jc w:val="both"/>
        <w:rPr>
          <w:rFonts w:ascii="Arial" w:hAnsi="Arial" w:cs="Arial"/>
          <w:color w:val="000000" w:themeColor="text1"/>
          <w:sz w:val="19"/>
          <w:szCs w:val="19"/>
          <w:lang w:val="es-ES"/>
        </w:rPr>
      </w:pPr>
    </w:p>
  </w:footnote>
  <w:footnote w:id="34">
    <w:p w14:paraId="64C433D9"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605FE79"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»1. Si es una persona natural:</w:t>
      </w:r>
    </w:p>
    <w:p w14:paraId="3F003E5A"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»1.1. Bienes, obras y servicios que ofrecerá a las Entidades Estatales, identificados con el Clasificador de Bienes y Servicios en el tercer nivel.</w:t>
      </w:r>
    </w:p>
    <w:p w14:paraId="0764C6BC"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028CB13" w14:textId="77777777" w:rsidR="00787B6E" w:rsidRPr="008A2673" w:rsidRDefault="00787B6E" w:rsidP="00787B6E">
      <w:pPr>
        <w:pStyle w:val="Textonotapie"/>
        <w:ind w:firstLine="708"/>
        <w:jc w:val="both"/>
        <w:rPr>
          <w:rFonts w:ascii="Arial" w:hAnsi="Arial" w:cs="Arial"/>
          <w:color w:val="000000" w:themeColor="text1"/>
          <w:sz w:val="19"/>
          <w:szCs w:val="19"/>
          <w:lang w:val="es-ES"/>
        </w:rPr>
      </w:pPr>
    </w:p>
  </w:footnote>
  <w:footnote w:id="35">
    <w:p w14:paraId="78037B41"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89C6746" w14:textId="77777777" w:rsidR="00787B6E" w:rsidRPr="008A2673" w:rsidRDefault="00787B6E" w:rsidP="00787B6E">
      <w:pPr>
        <w:pStyle w:val="Textonotapie"/>
        <w:ind w:firstLine="708"/>
        <w:jc w:val="both"/>
        <w:rPr>
          <w:rFonts w:ascii="Arial" w:hAnsi="Arial" w:cs="Arial"/>
          <w:color w:val="000000" w:themeColor="text1"/>
          <w:sz w:val="19"/>
          <w:szCs w:val="19"/>
        </w:rPr>
      </w:pPr>
      <w:proofErr w:type="gramStart"/>
      <w:r w:rsidRPr="008A2673">
        <w:rPr>
          <w:rFonts w:ascii="Arial" w:hAnsi="Arial" w:cs="Arial"/>
          <w:color w:val="000000" w:themeColor="text1"/>
          <w:sz w:val="19"/>
          <w:szCs w:val="19"/>
        </w:rPr>
        <w:t>»Los</w:t>
      </w:r>
      <w:proofErr w:type="gramEnd"/>
      <w:r w:rsidRPr="008A2673">
        <w:rPr>
          <w:rFonts w:ascii="Arial" w:hAnsi="Arial" w:cs="Arial"/>
          <w:color w:val="000000" w:themeColor="text1"/>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6332A93E"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29938DEF" w14:textId="77777777" w:rsidR="00787B6E" w:rsidRPr="008A2673" w:rsidRDefault="00787B6E" w:rsidP="00787B6E">
      <w:pPr>
        <w:pStyle w:val="Textonotapie"/>
        <w:ind w:firstLine="708"/>
        <w:jc w:val="both"/>
        <w:rPr>
          <w:rFonts w:ascii="Arial" w:hAnsi="Arial" w:cs="Arial"/>
          <w:color w:val="000000" w:themeColor="text1"/>
          <w:sz w:val="19"/>
          <w:szCs w:val="19"/>
        </w:rPr>
      </w:pPr>
      <w:proofErr w:type="gramStart"/>
      <w:r w:rsidRPr="008A2673">
        <w:rPr>
          <w:rFonts w:ascii="Arial" w:hAnsi="Arial" w:cs="Arial"/>
          <w:color w:val="000000" w:themeColor="text1"/>
          <w:sz w:val="19"/>
          <w:szCs w:val="19"/>
        </w:rPr>
        <w:t>»La</w:t>
      </w:r>
      <w:proofErr w:type="gramEnd"/>
      <w:r w:rsidRPr="008A2673">
        <w:rPr>
          <w:rFonts w:ascii="Arial" w:hAnsi="Arial" w:cs="Arial"/>
          <w:color w:val="000000" w:themeColor="text1"/>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1CB8DE92" w14:textId="77777777" w:rsidR="00787B6E" w:rsidRPr="008A2673" w:rsidRDefault="00787B6E" w:rsidP="00787B6E">
      <w:pPr>
        <w:pStyle w:val="Textonotapie"/>
        <w:ind w:firstLine="708"/>
        <w:jc w:val="both"/>
        <w:rPr>
          <w:rFonts w:ascii="Arial" w:hAnsi="Arial" w:cs="Arial"/>
          <w:color w:val="000000" w:themeColor="text1"/>
          <w:sz w:val="19"/>
          <w:szCs w:val="19"/>
        </w:rPr>
      </w:pPr>
      <w:proofErr w:type="gramStart"/>
      <w:r w:rsidRPr="008A2673">
        <w:rPr>
          <w:rFonts w:ascii="Arial" w:hAnsi="Arial" w:cs="Arial"/>
          <w:color w:val="000000" w:themeColor="text1"/>
          <w:sz w:val="19"/>
          <w:szCs w:val="19"/>
        </w:rPr>
        <w:t>»La</w:t>
      </w:r>
      <w:proofErr w:type="gramEnd"/>
      <w:r w:rsidRPr="008A2673">
        <w:rPr>
          <w:rFonts w:ascii="Arial" w:hAnsi="Arial" w:cs="Arial"/>
          <w:color w:val="000000" w:themeColor="text1"/>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7B3F4B38"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4635AEC9" w14:textId="77777777" w:rsidR="00787B6E" w:rsidRPr="008A2673" w:rsidRDefault="00787B6E" w:rsidP="00787B6E">
      <w:pPr>
        <w:pStyle w:val="Textonotapie"/>
        <w:jc w:val="both"/>
        <w:rPr>
          <w:rFonts w:ascii="Arial" w:hAnsi="Arial" w:cs="Arial"/>
          <w:color w:val="000000" w:themeColor="text1"/>
          <w:sz w:val="19"/>
          <w:szCs w:val="19"/>
          <w:lang w:val="es-ES"/>
        </w:rPr>
      </w:pPr>
    </w:p>
  </w:footnote>
  <w:footnote w:id="36">
    <w:p w14:paraId="147F3036"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260.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6E693D43" w14:textId="77777777" w:rsidR="00787B6E" w:rsidRPr="008A2673" w:rsidRDefault="00787B6E" w:rsidP="00787B6E">
      <w:pPr>
        <w:pStyle w:val="Textonotapie"/>
        <w:ind w:firstLine="708"/>
        <w:jc w:val="both"/>
        <w:rPr>
          <w:rFonts w:ascii="Arial" w:hAnsi="Arial" w:cs="Arial"/>
          <w:color w:val="000000" w:themeColor="text1"/>
          <w:sz w:val="19"/>
          <w:szCs w:val="19"/>
          <w:lang w:val="es-ES"/>
        </w:rPr>
      </w:pPr>
    </w:p>
  </w:footnote>
  <w:footnote w:id="37">
    <w:p w14:paraId="566035A4" w14:textId="77777777" w:rsidR="00787B6E" w:rsidRPr="008A2673" w:rsidRDefault="00787B6E" w:rsidP="00787B6E">
      <w:pPr>
        <w:pStyle w:val="Textonotapie"/>
        <w:ind w:firstLine="708"/>
        <w:jc w:val="both"/>
        <w:rPr>
          <w:rFonts w:ascii="Arial" w:hAnsi="Arial" w:cs="Arial"/>
          <w:color w:val="000000" w:themeColor="text1"/>
          <w:sz w:val="19"/>
          <w:szCs w:val="19"/>
          <w:lang w:val="es-ES"/>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262.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footnote>
  <w:footnote w:id="38">
    <w:p w14:paraId="43F6A99F" w14:textId="77777777" w:rsidR="00787B6E" w:rsidRPr="008A2673" w:rsidRDefault="00787B6E" w:rsidP="00787B6E">
      <w:pPr>
        <w:pStyle w:val="Textonotapie"/>
        <w:ind w:firstLine="708"/>
        <w:jc w:val="both"/>
        <w:rPr>
          <w:rFonts w:ascii="Arial" w:hAnsi="Arial" w:cs="Arial"/>
          <w:color w:val="000000" w:themeColor="text1"/>
          <w:sz w:val="19"/>
          <w:szCs w:val="19"/>
        </w:rPr>
      </w:pPr>
    </w:p>
    <w:p w14:paraId="68D618D1"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Superintendencia de Sociedades, Guía práctica régimen de matrices y subordinadas. Disponible en:  https://www.supersociedades.gov.co/delegatura_ivc/CartillasyGuias/Guia_Practica_RegimenMatricesySubordinadas.pdf</w:t>
      </w:r>
    </w:p>
    <w:p w14:paraId="788304E1" w14:textId="77777777" w:rsidR="00787B6E" w:rsidRPr="008A2673" w:rsidRDefault="00787B6E" w:rsidP="00787B6E">
      <w:pPr>
        <w:pStyle w:val="Textonotapie"/>
        <w:ind w:firstLine="708"/>
        <w:jc w:val="both"/>
        <w:rPr>
          <w:rFonts w:ascii="Arial" w:hAnsi="Arial" w:cs="Arial"/>
          <w:color w:val="000000" w:themeColor="text1"/>
          <w:sz w:val="19"/>
          <w:szCs w:val="19"/>
        </w:rPr>
      </w:pPr>
    </w:p>
  </w:footnote>
  <w:footnote w:id="39">
    <w:p w14:paraId="555F2EB6" w14:textId="77777777" w:rsidR="00787B6E" w:rsidRPr="008A2673" w:rsidRDefault="00787B6E" w:rsidP="00787B6E">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3F8FE970" w14:textId="77777777" w:rsidR="00787B6E" w:rsidRPr="008A2673" w:rsidRDefault="00787B6E" w:rsidP="00787B6E">
      <w:pPr>
        <w:pStyle w:val="Textonotapie"/>
        <w:ind w:firstLine="708"/>
        <w:jc w:val="both"/>
        <w:rPr>
          <w:rFonts w:ascii="Arial" w:hAnsi="Arial" w:cs="Arial"/>
          <w:color w:val="000000" w:themeColor="text1"/>
          <w:sz w:val="19"/>
          <w:szCs w:val="19"/>
        </w:rPr>
      </w:pPr>
      <w:proofErr w:type="gramStart"/>
      <w:r w:rsidRPr="008A2673">
        <w:rPr>
          <w:rFonts w:ascii="Arial" w:hAnsi="Arial" w:cs="Arial"/>
          <w:color w:val="000000" w:themeColor="text1"/>
          <w:sz w:val="19"/>
          <w:szCs w:val="19"/>
        </w:rPr>
        <w:t>»La</w:t>
      </w:r>
      <w:proofErr w:type="gramEnd"/>
      <w:r w:rsidRPr="008A2673">
        <w:rPr>
          <w:rFonts w:ascii="Arial" w:hAnsi="Arial" w:cs="Arial"/>
          <w:color w:val="000000" w:themeColor="text1"/>
          <w:sz w:val="19"/>
          <w:szCs w:val="19"/>
        </w:rPr>
        <w:t xml:space="preserve"> transformación no producirá solución de continuidad en la existencia de la sociedad como persona jurídica, ni en sus actividades ni en su patrimonio».</w:t>
      </w:r>
    </w:p>
    <w:p w14:paraId="0EFB480E" w14:textId="77777777" w:rsidR="00787B6E" w:rsidRPr="008A2673" w:rsidRDefault="00787B6E" w:rsidP="00787B6E">
      <w:pPr>
        <w:pStyle w:val="Textonotapie"/>
        <w:ind w:firstLine="708"/>
        <w:jc w:val="both"/>
        <w:rPr>
          <w:rFonts w:ascii="Arial" w:hAnsi="Arial" w:cs="Arial"/>
          <w:color w:val="000000" w:themeColor="text1"/>
          <w:sz w:val="19"/>
          <w:szCs w:val="19"/>
          <w:lang w:val="es-ES"/>
        </w:rPr>
      </w:pPr>
    </w:p>
  </w:footnote>
  <w:footnote w:id="40">
    <w:p w14:paraId="5907F6CF" w14:textId="77777777" w:rsidR="00787B6E" w:rsidRPr="008A2673" w:rsidRDefault="00787B6E" w:rsidP="00787B6E">
      <w:pPr>
        <w:pStyle w:val="Textonotapie"/>
        <w:ind w:firstLine="708"/>
        <w:jc w:val="both"/>
        <w:rPr>
          <w:rFonts w:ascii="Arial" w:hAnsi="Arial" w:cs="Arial"/>
          <w:color w:val="000000" w:themeColor="text1"/>
          <w:sz w:val="19"/>
          <w:szCs w:val="19"/>
          <w:lang w:val="es-ES"/>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Colombia Compra Eficiente. Concepto C-002 de 2020: «[...] si una sociedad se crea como sociedad limitada, y sin “disolverse” decide adoptar la figura de sociedad anónima, lo podrá hacer mediante una reforma estatutaria, sin que se interrumpa la continuidad de la sociedad comercial o persona jurídica. Es importante destacar que en esta reforma estatutaria solo participa la sociedad involucrada, y no existen otras sociedades que se relacionen o intervengan, lo cual diferencia la transformación de otras reformas o figuras».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461B" w14:textId="77777777" w:rsidR="00387886" w:rsidRDefault="00000000">
    <w:pPr>
      <w:pStyle w:val="Encabezado"/>
    </w:pPr>
    <w:r>
      <w:rPr>
        <w:noProof/>
        <w:lang w:val="es-CO" w:eastAsia="es-CO"/>
      </w:rPr>
      <w:drawing>
        <wp:anchor distT="0" distB="0" distL="114300" distR="114300" simplePos="0" relativeHeight="251659264" behindDoc="1" locked="0" layoutInCell="1" allowOverlap="1" wp14:anchorId="61E8D53D" wp14:editId="3C4974A7">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6E"/>
    <w:rsid w:val="00230A93"/>
    <w:rsid w:val="00787B6E"/>
    <w:rsid w:val="00900BB0"/>
    <w:rsid w:val="00D17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6502"/>
  <w15:chartTrackingRefBased/>
  <w15:docId w15:val="{4D8A709B-F7DE-BB4B-9008-9DF83ECD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6E"/>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7B6E"/>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787B6E"/>
    <w:rPr>
      <w:szCs w:val="22"/>
      <w:lang w:val="es-MX"/>
    </w:rPr>
  </w:style>
  <w:style w:type="paragraph" w:styleId="Encabezado">
    <w:name w:val="header"/>
    <w:basedOn w:val="Normal"/>
    <w:link w:val="EncabezadoCar"/>
    <w:uiPriority w:val="99"/>
    <w:unhideWhenUsed/>
    <w:rsid w:val="00787B6E"/>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787B6E"/>
    <w:rPr>
      <w:szCs w:val="22"/>
      <w:lang w:val="es-MX"/>
    </w:rPr>
  </w:style>
  <w:style w:type="table" w:styleId="Tablaconcuadrcula">
    <w:name w:val="Table Grid"/>
    <w:basedOn w:val="Tablanormal"/>
    <w:uiPriority w:val="39"/>
    <w:qFormat/>
    <w:rsid w:val="00787B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787B6E"/>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787B6E"/>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87B6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87B6E"/>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87B6E"/>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87B6E"/>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87B6E"/>
    <w:rPr>
      <w:vertAlign w:val="superscript"/>
    </w:rPr>
  </w:style>
  <w:style w:type="paragraph" w:customStyle="1" w:styleId="Appelnotedebasde">
    <w:name w:val="Appel note de bas de..."/>
    <w:basedOn w:val="Normal"/>
    <w:link w:val="Refdenotaalpie"/>
    <w:uiPriority w:val="99"/>
    <w:rsid w:val="00787B6E"/>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787B6E"/>
    <w:pPr>
      <w:spacing w:before="100" w:beforeAutospacing="1" w:after="100" w:afterAutospacing="1"/>
    </w:pPr>
  </w:style>
  <w:style w:type="character" w:customStyle="1" w:styleId="NormalWebCar">
    <w:name w:val="Normal (Web) Car"/>
    <w:link w:val="NormalWeb"/>
    <w:uiPriority w:val="99"/>
    <w:rsid w:val="00787B6E"/>
    <w:rPr>
      <w:rFonts w:ascii="Times New Roman" w:eastAsia="Times New Roman" w:hAnsi="Times New Roman" w:cs="Times New Roman"/>
      <w:lang w:eastAsia="es-MX"/>
    </w:rPr>
  </w:style>
  <w:style w:type="character" w:customStyle="1" w:styleId="SinespaciadoCar">
    <w:name w:val="Sin espaciado Car"/>
    <w:aliases w:val="No Indent Car"/>
    <w:link w:val="Sinespaciado"/>
    <w:uiPriority w:val="3"/>
    <w:rsid w:val="00787B6E"/>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0732B-E761-49D0-99BC-FE5DD6F0C04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8603F9F-AAB5-456C-BE6D-940030E1817D}">
  <ds:schemaRefs>
    <ds:schemaRef ds:uri="http://schemas.microsoft.com/sharepoint/v3/contenttype/forms"/>
  </ds:schemaRefs>
</ds:datastoreItem>
</file>

<file path=customXml/itemProps3.xml><?xml version="1.0" encoding="utf-8"?>
<ds:datastoreItem xmlns:ds="http://schemas.openxmlformats.org/officeDocument/2006/customXml" ds:itemID="{7B038A1F-265B-4EDC-8D0A-C0B63DD38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13894</Words>
  <Characters>76422</Characters>
  <Application>Microsoft Office Word</Application>
  <DocSecurity>0</DocSecurity>
  <Lines>636</Lines>
  <Paragraphs>180</Paragraphs>
  <ScaleCrop>false</ScaleCrop>
  <Company/>
  <LinksUpToDate>false</LinksUpToDate>
  <CharactersWithSpaces>90136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2022-07-20T23:50:00Z</dcterms:created>
  <dcterms:modified xsi:type="dcterms:W3CDTF">2022-08-16T19:40:00Z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