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82912" w14:textId="6C255ECA" w:rsidR="00EF7D13" w:rsidRPr="007702EC" w:rsidRDefault="00EF7D13" w:rsidP="00EF7D13">
      <w:pPr>
        <w:tabs>
          <w:tab w:val="left" w:pos="426"/>
        </w:tabs>
        <w:spacing w:after="0" w:line="240" w:lineRule="auto"/>
        <w:contextualSpacing/>
        <w:jc w:val="both"/>
        <w:rPr>
          <w:rFonts w:ascii="Arial" w:eastAsia="Calibri" w:hAnsi="Arial" w:cs="Arial"/>
          <w:b/>
          <w:bCs/>
          <w:lang w:val="es-ES_tradnl"/>
        </w:rPr>
      </w:pPr>
      <w:bookmarkStart w:id="0" w:name="_Hlk77165666"/>
      <w:r w:rsidRPr="007702EC">
        <w:rPr>
          <w:rFonts w:ascii="Arial" w:eastAsia="Calibri" w:hAnsi="Arial" w:cs="Arial"/>
          <w:b/>
          <w:bCs/>
          <w:lang w:val="es-ES_tradnl"/>
        </w:rPr>
        <w:t>LEY DE GARANTÍAS ELECTORALES ─ Definición ─ Finalidad</w:t>
      </w:r>
    </w:p>
    <w:p w14:paraId="017C7BCC" w14:textId="77777777" w:rsidR="00EF7D13" w:rsidRPr="007702EC" w:rsidRDefault="00EF7D13" w:rsidP="00EF7D13">
      <w:pPr>
        <w:tabs>
          <w:tab w:val="left" w:pos="426"/>
        </w:tabs>
        <w:spacing w:after="0" w:line="240" w:lineRule="auto"/>
        <w:contextualSpacing/>
        <w:jc w:val="both"/>
        <w:rPr>
          <w:rFonts w:ascii="Arial" w:eastAsia="Calibri" w:hAnsi="Arial" w:cs="Arial"/>
          <w:b/>
          <w:bCs/>
          <w:sz w:val="20"/>
          <w:szCs w:val="20"/>
          <w:lang w:val="es-ES_tradnl"/>
        </w:rPr>
      </w:pPr>
    </w:p>
    <w:p w14:paraId="1FA5F5F0" w14:textId="77777777" w:rsidR="00EF7D13" w:rsidRPr="007702EC" w:rsidRDefault="00EF7D13" w:rsidP="00EF7D13">
      <w:pPr>
        <w:spacing w:after="0" w:line="240" w:lineRule="auto"/>
        <w:contextualSpacing/>
        <w:jc w:val="both"/>
        <w:rPr>
          <w:rFonts w:ascii="Arial" w:eastAsia="Arial" w:hAnsi="Arial" w:cs="Arial"/>
          <w:sz w:val="20"/>
          <w:szCs w:val="20"/>
          <w:lang w:val="es-ES_tradnl" w:eastAsia="es-ES" w:bidi="es-ES"/>
        </w:rPr>
      </w:pPr>
      <w:r w:rsidRPr="007702EC">
        <w:rPr>
          <w:rFonts w:ascii="Arial" w:eastAsia="Times New Roman" w:hAnsi="Arial" w:cs="Arial"/>
          <w:bCs/>
          <w:sz w:val="20"/>
          <w:szCs w:val="20"/>
          <w:lang w:val="es-ES_tradnl" w:eastAsia="es-CO"/>
        </w:rPr>
        <w:t>En el mismo sentido, 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 En esta medida, introduce limitaciones para realizar nombramientos, postulaciones, contrataciones o cualquier otro tipo de actividad que implique destinación de recursos públicos bajo el devenir propio de las entidades estatales.</w:t>
      </w:r>
      <w:r w:rsidRPr="007702EC">
        <w:rPr>
          <w:rFonts w:ascii="Arial" w:eastAsia="Arial" w:hAnsi="Arial" w:cs="Arial"/>
          <w:sz w:val="20"/>
          <w:szCs w:val="20"/>
          <w:lang w:val="es-ES_tradnl" w:eastAsia="es-ES" w:bidi="es-ES"/>
        </w:rPr>
        <w:t xml:space="preserve"> […] </w:t>
      </w:r>
    </w:p>
    <w:p w14:paraId="3CD8ADD6" w14:textId="77777777" w:rsidR="00EF7D13" w:rsidRPr="007702EC" w:rsidRDefault="00EF7D13" w:rsidP="00EF7D13">
      <w:pPr>
        <w:spacing w:after="0" w:line="240" w:lineRule="auto"/>
        <w:contextualSpacing/>
        <w:jc w:val="both"/>
        <w:rPr>
          <w:rFonts w:ascii="Arial" w:eastAsia="Arial" w:hAnsi="Arial" w:cs="Arial"/>
          <w:sz w:val="20"/>
          <w:szCs w:val="20"/>
          <w:lang w:val="es-ES_tradnl" w:eastAsia="es-ES" w:bidi="es-ES"/>
        </w:rPr>
      </w:pPr>
    </w:p>
    <w:p w14:paraId="5F91D22E" w14:textId="77777777" w:rsidR="00EF7D13" w:rsidRPr="007702EC" w:rsidRDefault="00EF7D13" w:rsidP="00EF7D13">
      <w:pPr>
        <w:spacing w:after="0" w:line="240" w:lineRule="auto"/>
        <w:contextualSpacing/>
        <w:jc w:val="both"/>
        <w:rPr>
          <w:rFonts w:ascii="Arial" w:eastAsia="Arial" w:hAnsi="Arial" w:cs="Arial"/>
          <w:sz w:val="20"/>
          <w:szCs w:val="20"/>
          <w:lang w:val="es-ES_tradnl" w:eastAsia="es-ES" w:bidi="es-ES"/>
        </w:rPr>
      </w:pPr>
      <w:r w:rsidRPr="007702EC">
        <w:rPr>
          <w:rFonts w:ascii="Arial" w:eastAsia="Arial" w:hAnsi="Arial" w:cs="Arial"/>
          <w:sz w:val="20"/>
          <w:szCs w:val="20"/>
          <w:lang w:val="es-ES_tradnl" w:eastAsia="es-ES" w:bidi="es-ES"/>
        </w:rPr>
        <w:t>[…] la Ley de Garantías Electorales fijó una serie de regulaciones y prohibiciones dirigidas a los servidores públicos. Así, con la finalidad de preservar la igualdad entre los candidatos en las elecciones, aumentó las garantías en materia de contratación, de forma que no exista siquiera sospecha de que, por ese medio, en los periodos previos a la contienda electoral, se altere las condiciones de igualdad entre los 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a nivel territorial.</w:t>
      </w:r>
    </w:p>
    <w:p w14:paraId="7839125D" w14:textId="77777777" w:rsidR="00EF7D13" w:rsidRPr="007702EC" w:rsidRDefault="00EF7D13" w:rsidP="00EF7D13">
      <w:pPr>
        <w:spacing w:after="0" w:line="240" w:lineRule="auto"/>
        <w:contextualSpacing/>
        <w:jc w:val="both"/>
        <w:rPr>
          <w:rFonts w:ascii="Arial" w:eastAsia="Arial" w:hAnsi="Arial" w:cs="Arial"/>
          <w:sz w:val="20"/>
          <w:szCs w:val="20"/>
          <w:lang w:val="es-ES_tradnl" w:eastAsia="es-ES" w:bidi="es-ES"/>
        </w:rPr>
      </w:pPr>
    </w:p>
    <w:p w14:paraId="408269F4" w14:textId="77777777" w:rsidR="00EF7D13" w:rsidRPr="007702EC" w:rsidRDefault="00EF7D13" w:rsidP="00EF7D13">
      <w:pPr>
        <w:tabs>
          <w:tab w:val="left" w:pos="426"/>
        </w:tabs>
        <w:spacing w:after="0" w:line="240" w:lineRule="auto"/>
        <w:contextualSpacing/>
        <w:jc w:val="both"/>
        <w:rPr>
          <w:rFonts w:ascii="Arial" w:eastAsia="Calibri" w:hAnsi="Arial" w:cs="Arial"/>
          <w:b/>
          <w:bCs/>
          <w:lang w:val="es-ES_tradnl"/>
        </w:rPr>
      </w:pPr>
      <w:bookmarkStart w:id="1" w:name="_Hlk77152637"/>
      <w:r w:rsidRPr="007702EC">
        <w:rPr>
          <w:rFonts w:ascii="Arial" w:eastAsia="Calibri" w:hAnsi="Arial" w:cs="Arial"/>
          <w:b/>
          <w:bCs/>
          <w:lang w:val="es-ES_tradnl"/>
        </w:rPr>
        <w:t xml:space="preserve">LEY DE GARANTÍAS ELECTORALES </w:t>
      </w:r>
      <w:bookmarkEnd w:id="1"/>
      <w:r w:rsidRPr="007702EC">
        <w:rPr>
          <w:rFonts w:ascii="Arial" w:eastAsia="Calibri" w:hAnsi="Arial" w:cs="Arial"/>
          <w:b/>
          <w:bCs/>
          <w:lang w:val="es-ES_tradnl"/>
        </w:rPr>
        <w:t xml:space="preserve">─ Restricciones </w:t>
      </w:r>
      <w:bookmarkStart w:id="2" w:name="_Hlk77157034"/>
      <w:r w:rsidRPr="007702EC">
        <w:rPr>
          <w:rFonts w:ascii="Arial" w:eastAsia="Calibri" w:hAnsi="Arial" w:cs="Arial"/>
          <w:b/>
          <w:bCs/>
          <w:lang w:val="es-ES_tradnl"/>
        </w:rPr>
        <w:t xml:space="preserve">─ </w:t>
      </w:r>
      <w:bookmarkEnd w:id="2"/>
      <w:r w:rsidRPr="007702EC">
        <w:rPr>
          <w:rFonts w:ascii="Arial" w:eastAsia="Calibri" w:hAnsi="Arial" w:cs="Arial"/>
          <w:b/>
          <w:bCs/>
          <w:lang w:val="es-ES_tradnl"/>
        </w:rPr>
        <w:t>Contratación</w:t>
      </w:r>
      <w:bookmarkStart w:id="3" w:name="_Hlk77153098"/>
      <w:r w:rsidRPr="007702EC">
        <w:rPr>
          <w:rFonts w:ascii="Arial" w:eastAsia="Calibri" w:hAnsi="Arial" w:cs="Arial"/>
          <w:b/>
          <w:bCs/>
          <w:lang w:val="es-ES_tradnl"/>
        </w:rPr>
        <w:t xml:space="preserve"> ─ Tipos de elección</w:t>
      </w:r>
      <w:bookmarkEnd w:id="3"/>
      <w:r w:rsidRPr="007702EC">
        <w:rPr>
          <w:rFonts w:ascii="Arial" w:eastAsia="Calibri" w:hAnsi="Arial" w:cs="Arial"/>
          <w:b/>
          <w:bCs/>
          <w:lang w:val="es-ES_tradnl"/>
        </w:rPr>
        <w:t xml:space="preserve"> </w:t>
      </w:r>
    </w:p>
    <w:p w14:paraId="66278C55" w14:textId="77777777" w:rsidR="00EF7D13" w:rsidRPr="007702EC" w:rsidRDefault="00EF7D13" w:rsidP="00EF7D13">
      <w:pPr>
        <w:spacing w:after="0" w:line="240" w:lineRule="auto"/>
        <w:contextualSpacing/>
        <w:jc w:val="both"/>
        <w:rPr>
          <w:rFonts w:ascii="Arial" w:eastAsia="Calibri" w:hAnsi="Arial" w:cs="Arial"/>
          <w:sz w:val="20"/>
          <w:szCs w:val="20"/>
          <w:lang w:val="es-ES_tradnl"/>
        </w:rPr>
      </w:pPr>
    </w:p>
    <w:p w14:paraId="163F78CA" w14:textId="77777777" w:rsidR="00EF7D13" w:rsidRPr="007702EC" w:rsidRDefault="00EF7D13" w:rsidP="00EF7D13">
      <w:pPr>
        <w:spacing w:after="0" w:line="240" w:lineRule="auto"/>
        <w:contextualSpacing/>
        <w:jc w:val="both"/>
        <w:rPr>
          <w:rFonts w:ascii="Arial" w:eastAsia="Arial" w:hAnsi="Arial" w:cs="Arial"/>
          <w:sz w:val="20"/>
          <w:szCs w:val="20"/>
          <w:lang w:val="es-ES_tradnl" w:eastAsia="es-ES" w:bidi="es-ES"/>
        </w:rPr>
      </w:pPr>
      <w:r w:rsidRPr="007702EC">
        <w:rPr>
          <w:rFonts w:ascii="Arial" w:eastAsia="Arial" w:hAnsi="Arial" w:cs="Arial"/>
          <w:sz w:val="20"/>
          <w:szCs w:val="20"/>
          <w:lang w:val="es-ES_tradnl" w:eastAsia="es-ES" w:bidi="es-ES"/>
        </w:rPr>
        <w:t xml:space="preserve">De conformidad con lo anterior, la Ley 996 de 2005 establece dos (2) tipos de restricciones en materia de contratación, las cuales coinciden parcialmente. </w:t>
      </w:r>
      <w:r w:rsidRPr="007702EC">
        <w:rPr>
          <w:rFonts w:ascii="Arial" w:eastAsia="Arial" w:hAnsi="Arial" w:cs="Arial"/>
          <w:i/>
          <w:iCs/>
          <w:sz w:val="20"/>
          <w:szCs w:val="20"/>
          <w:lang w:val="es-ES_tradnl" w:eastAsia="es-ES" w:bidi="es-ES"/>
        </w:rPr>
        <w:t>En primer lugar</w:t>
      </w:r>
      <w:r w:rsidRPr="007702EC">
        <w:rPr>
          <w:rFonts w:ascii="Arial" w:eastAsia="Arial" w:hAnsi="Arial" w:cs="Arial"/>
          <w:sz w:val="20"/>
          <w:szCs w:val="20"/>
          <w:lang w:val="es-ES_tradnl" w:eastAsia="es-ES" w:bidi="es-ES"/>
        </w:rPr>
        <w:t xml:space="preserve">,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w:t>
      </w:r>
      <w:r w:rsidRPr="007702EC">
        <w:rPr>
          <w:rFonts w:ascii="Arial" w:eastAsia="Arial" w:hAnsi="Arial" w:cs="Arial"/>
          <w:i/>
          <w:iCs/>
          <w:sz w:val="20"/>
          <w:szCs w:val="20"/>
          <w:lang w:val="es-ES_tradnl" w:eastAsia="es-ES" w:bidi="es-ES"/>
        </w:rPr>
        <w:t>En segundo lugar</w:t>
      </w:r>
      <w:r w:rsidRPr="007702EC">
        <w:rPr>
          <w:rFonts w:ascii="Arial" w:eastAsia="Arial" w:hAnsi="Arial" w:cs="Arial"/>
          <w:sz w:val="20"/>
          <w:szCs w:val="20"/>
          <w:lang w:val="es-ES_tradnl" w:eastAsia="es-ES" w:bidi="es-ES"/>
        </w:rPr>
        <w:t>,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p>
    <w:p w14:paraId="1C09A40B" w14:textId="77777777" w:rsidR="00EF7D13" w:rsidRPr="007702EC" w:rsidRDefault="00EF7D13" w:rsidP="00EF7D13">
      <w:pPr>
        <w:spacing w:after="0" w:line="240" w:lineRule="auto"/>
        <w:contextualSpacing/>
        <w:jc w:val="both"/>
        <w:rPr>
          <w:rFonts w:ascii="Arial" w:eastAsia="Arial" w:hAnsi="Arial" w:cs="Arial"/>
          <w:sz w:val="20"/>
          <w:szCs w:val="20"/>
          <w:lang w:val="es-ES_tradnl" w:eastAsia="es-ES" w:bidi="es-ES"/>
        </w:rPr>
      </w:pPr>
    </w:p>
    <w:p w14:paraId="38E6F87D" w14:textId="77777777" w:rsidR="00EF7D13" w:rsidRPr="007702EC" w:rsidRDefault="00EF7D13" w:rsidP="00EF7D13">
      <w:pPr>
        <w:tabs>
          <w:tab w:val="left" w:pos="426"/>
        </w:tabs>
        <w:spacing w:after="0" w:line="240" w:lineRule="auto"/>
        <w:contextualSpacing/>
        <w:jc w:val="both"/>
        <w:rPr>
          <w:rFonts w:ascii="Arial" w:eastAsia="Calibri" w:hAnsi="Arial" w:cs="Arial"/>
          <w:b/>
          <w:bCs/>
          <w:lang w:val="es-ES_tradnl"/>
        </w:rPr>
      </w:pPr>
      <w:r w:rsidRPr="007702EC">
        <w:rPr>
          <w:rFonts w:ascii="Arial" w:eastAsia="Calibri" w:hAnsi="Arial" w:cs="Arial"/>
          <w:b/>
          <w:bCs/>
          <w:lang w:val="es-ES_tradnl"/>
        </w:rPr>
        <w:t xml:space="preserve">LEY DE GARANTÍAS ELECTORALES ─ Artículo 33 ─ Prohibición ─ </w:t>
      </w:r>
      <w:bookmarkEnd w:id="0"/>
      <w:r w:rsidRPr="007702EC">
        <w:rPr>
          <w:rFonts w:ascii="Arial" w:eastAsia="Calibri" w:hAnsi="Arial" w:cs="Arial"/>
          <w:b/>
          <w:bCs/>
          <w:lang w:val="es-ES_tradnl"/>
        </w:rPr>
        <w:t>Contratación directa ─ Alcance</w:t>
      </w:r>
    </w:p>
    <w:p w14:paraId="0FD7999F" w14:textId="77777777" w:rsidR="00EF7D13" w:rsidRPr="007702EC" w:rsidRDefault="00EF7D13" w:rsidP="00EF7D13">
      <w:pPr>
        <w:tabs>
          <w:tab w:val="left" w:pos="426"/>
        </w:tabs>
        <w:spacing w:after="0" w:line="240" w:lineRule="auto"/>
        <w:contextualSpacing/>
        <w:jc w:val="both"/>
        <w:rPr>
          <w:rFonts w:ascii="Arial" w:eastAsia="Calibri" w:hAnsi="Arial" w:cs="Arial"/>
          <w:noProof/>
          <w:sz w:val="20"/>
          <w:szCs w:val="20"/>
          <w:lang w:val="es-ES_tradnl"/>
        </w:rPr>
      </w:pPr>
    </w:p>
    <w:p w14:paraId="5D2D23CE" w14:textId="77777777" w:rsidR="00EF7D13" w:rsidRPr="007702EC" w:rsidRDefault="00EF7D13" w:rsidP="00EF7D13">
      <w:pPr>
        <w:spacing w:after="0" w:line="240" w:lineRule="auto"/>
        <w:contextualSpacing/>
        <w:jc w:val="both"/>
        <w:rPr>
          <w:rFonts w:ascii="Arial" w:hAnsi="Arial" w:cs="Arial"/>
          <w:bCs/>
          <w:sz w:val="20"/>
          <w:szCs w:val="20"/>
          <w:lang w:val="es-ES_tradnl" w:eastAsia="x-none"/>
        </w:rPr>
      </w:pPr>
      <w:r w:rsidRPr="007702EC">
        <w:rPr>
          <w:rFonts w:ascii="Arial" w:hAnsi="Arial" w:cs="Arial"/>
          <w:sz w:val="20"/>
          <w:szCs w:val="20"/>
          <w:lang w:val="es-ES_tradnl" w:eastAsia="x-none"/>
        </w:rPr>
        <w:t xml:space="preserve">De acuerdo con el citado concepto, la prohibición del artículo 33 de la Ley de Garantías Electorales se refiere a </w:t>
      </w:r>
      <w:r w:rsidRPr="007702EC">
        <w:rPr>
          <w:rFonts w:ascii="Arial" w:hAnsi="Arial" w:cs="Arial"/>
          <w:sz w:val="20"/>
          <w:szCs w:val="20"/>
          <w:lang w:val="es-ES_tradnl" w:eastAsia="en-GB"/>
        </w:rPr>
        <w:t>«</w:t>
      </w:r>
      <w:r w:rsidRPr="007702EC">
        <w:rPr>
          <w:rFonts w:ascii="Arial" w:hAnsi="Arial" w:cs="Arial"/>
          <w:sz w:val="20"/>
          <w:szCs w:val="20"/>
          <w:lang w:val="es-ES_tradnl" w:eastAsia="x-none"/>
        </w:rPr>
        <w:t>cualquier sistema que no implique convocatoria pública y posibilidad de pluralidad de oferentes</w:t>
      </w:r>
      <w:r w:rsidRPr="007702EC">
        <w:rPr>
          <w:rFonts w:ascii="Arial" w:hAnsi="Arial" w:cs="Arial"/>
          <w:sz w:val="20"/>
          <w:szCs w:val="20"/>
          <w:lang w:val="es-ES_tradnl" w:eastAsia="en-GB"/>
        </w:rPr>
        <w:t>»</w:t>
      </w:r>
      <w:r w:rsidRPr="007702EC">
        <w:rPr>
          <w:rFonts w:ascii="Arial" w:hAnsi="Arial" w:cs="Arial"/>
          <w:sz w:val="20"/>
          <w:szCs w:val="20"/>
          <w:lang w:val="es-ES_tradnl" w:eastAsia="x-none"/>
        </w:rPr>
        <w:t xml:space="preserve">, por lo que excluye las demás modalidades de contratación previstas en la Ley 1150 de 2007, es decir, la licitación pública, la selección abreviada, el concurso de méritos y la mínima cuantía u otros previstos en normas especiales, que contemplen en alguna de sus etapas la posible participación de pluralidad de oferentes. Esta posición es congruente con la expedición de la Ley 1150 de 2007 que, entre otras reformas, introdujo la selección abreviada, rediseñó el concurso de méritos y sistematizó las causales de contratación directa, </w:t>
      </w:r>
      <w:r w:rsidRPr="007702EC">
        <w:rPr>
          <w:rFonts w:ascii="Arial" w:hAnsi="Arial" w:cs="Arial"/>
          <w:sz w:val="20"/>
          <w:szCs w:val="20"/>
          <w:lang w:eastAsia="x-none"/>
        </w:rPr>
        <w:t xml:space="preserve">además lo es con la posterior creación de la </w:t>
      </w:r>
      <w:r w:rsidRPr="007702EC">
        <w:rPr>
          <w:rFonts w:ascii="Arial" w:hAnsi="Arial" w:cs="Arial"/>
          <w:sz w:val="20"/>
          <w:szCs w:val="20"/>
          <w:lang w:eastAsia="x-none"/>
        </w:rPr>
        <w:lastRenderedPageBreak/>
        <w:t>modalidad de mínima cuantía establecida actualmente en el numeral 5 del artículo 2 de la Ley 1150 de 2007, de acuerdo con las modificaciones realizadas por leyes posteriores.</w:t>
      </w:r>
    </w:p>
    <w:p w14:paraId="27C374C6" w14:textId="77777777" w:rsidR="00EF7D13" w:rsidRPr="007702EC" w:rsidRDefault="00EF7D13" w:rsidP="00EF7D13">
      <w:pPr>
        <w:tabs>
          <w:tab w:val="left" w:pos="426"/>
        </w:tabs>
        <w:spacing w:after="0" w:line="240" w:lineRule="auto"/>
        <w:contextualSpacing/>
        <w:jc w:val="both"/>
        <w:rPr>
          <w:rFonts w:ascii="Arial" w:hAnsi="Arial" w:cs="Arial"/>
          <w:bCs/>
          <w:sz w:val="20"/>
          <w:szCs w:val="20"/>
          <w:lang w:val="es-ES_tradnl" w:eastAsia="x-none"/>
        </w:rPr>
      </w:pPr>
    </w:p>
    <w:p w14:paraId="106388BB" w14:textId="77777777" w:rsidR="00EF7D13" w:rsidRPr="007702EC" w:rsidRDefault="00EF7D13" w:rsidP="00EF7D13">
      <w:pPr>
        <w:tabs>
          <w:tab w:val="left" w:pos="426"/>
        </w:tabs>
        <w:spacing w:after="0" w:line="240" w:lineRule="auto"/>
        <w:contextualSpacing/>
        <w:jc w:val="both"/>
        <w:rPr>
          <w:rFonts w:ascii="Arial" w:hAnsi="Arial" w:cs="Arial"/>
          <w:bCs/>
          <w:lang w:val="es-ES_tradnl" w:eastAsia="x-none"/>
        </w:rPr>
      </w:pPr>
      <w:r w:rsidRPr="007702EC">
        <w:rPr>
          <w:rFonts w:ascii="Arial" w:eastAsia="Calibri" w:hAnsi="Arial" w:cs="Arial"/>
          <w:b/>
          <w:bCs/>
          <w:lang w:val="es-ES_tradnl"/>
        </w:rPr>
        <w:t>LEY DE GARANTÍAS ELECTORALES ─</w:t>
      </w:r>
      <w:r w:rsidRPr="007702EC">
        <w:rPr>
          <w:rFonts w:ascii="Arial" w:eastAsia="Times New Roman" w:hAnsi="Arial" w:cs="Arial"/>
          <w:b/>
          <w:bCs/>
          <w:lang w:val="es-ES_tradnl" w:eastAsia="es-CO"/>
        </w:rPr>
        <w:t xml:space="preserve"> </w:t>
      </w:r>
      <w:r w:rsidRPr="007702EC">
        <w:rPr>
          <w:rFonts w:ascii="Arial" w:eastAsia="Calibri" w:hAnsi="Arial" w:cs="Arial"/>
          <w:b/>
          <w:bCs/>
          <w:lang w:val="es-ES_tradnl"/>
        </w:rPr>
        <w:t xml:space="preserve">Artículo 33 ─ </w:t>
      </w:r>
      <w:r w:rsidRPr="007702EC">
        <w:rPr>
          <w:rFonts w:ascii="Arial" w:eastAsia="Times New Roman" w:hAnsi="Arial" w:cs="Arial"/>
          <w:b/>
          <w:bCs/>
          <w:lang w:val="es-ES_tradnl" w:eastAsia="es-CO"/>
        </w:rPr>
        <w:t>Excepciones</w:t>
      </w:r>
      <w:r w:rsidRPr="007702EC">
        <w:rPr>
          <w:rFonts w:ascii="Arial" w:eastAsia="Calibri" w:hAnsi="Arial" w:cs="Arial"/>
          <w:b/>
          <w:bCs/>
          <w:lang w:val="es-ES_tradnl"/>
        </w:rPr>
        <w:t xml:space="preserve"> </w:t>
      </w:r>
    </w:p>
    <w:p w14:paraId="55811545" w14:textId="77777777" w:rsidR="00EF7D13" w:rsidRPr="007702EC" w:rsidRDefault="00EF7D13" w:rsidP="00EF7D13">
      <w:pPr>
        <w:tabs>
          <w:tab w:val="left" w:pos="426"/>
        </w:tabs>
        <w:spacing w:after="0" w:line="240" w:lineRule="auto"/>
        <w:contextualSpacing/>
        <w:jc w:val="both"/>
        <w:rPr>
          <w:rFonts w:ascii="Arial" w:hAnsi="Arial" w:cs="Arial"/>
          <w:bCs/>
          <w:sz w:val="20"/>
          <w:szCs w:val="20"/>
          <w:lang w:val="es-ES_tradnl" w:eastAsia="x-none"/>
        </w:rPr>
      </w:pPr>
    </w:p>
    <w:p w14:paraId="5419DFC4" w14:textId="77777777" w:rsidR="00EF7D13" w:rsidRPr="007702EC" w:rsidRDefault="00EF7D13" w:rsidP="00EF7D13">
      <w:pPr>
        <w:spacing w:after="0" w:line="240" w:lineRule="auto"/>
        <w:contextualSpacing/>
        <w:jc w:val="both"/>
        <w:rPr>
          <w:rFonts w:ascii="Arial" w:hAnsi="Arial" w:cs="Arial"/>
          <w:bCs/>
          <w:sz w:val="20"/>
          <w:szCs w:val="20"/>
          <w:lang w:val="es-ES_tradnl" w:eastAsia="es-CO"/>
        </w:rPr>
      </w:pPr>
      <w:r w:rsidRPr="007702EC">
        <w:rPr>
          <w:rFonts w:ascii="Arial" w:hAnsi="Arial" w:cs="Arial"/>
          <w:bCs/>
          <w:sz w:val="20"/>
          <w:szCs w:val="20"/>
          <w:lang w:val="es-ES_tradnl" w:eastAsia="x-none"/>
        </w:rPr>
        <w:t xml:space="preserve">De otro lado, las excepciones a la restricción prevista en la Ley de Garantías, con fundamento en las cuales podrán las entidades públicas adelantar procedimientos de selección directa en períodos previos a la contienda electoral por la Presidencia, se encuentran consagradas en el inciso final del citado artículo 33 de la Ley 996 de 2005 en lo referente a i) la defensa y seguridad del Estado; </w:t>
      </w:r>
      <w:proofErr w:type="spellStart"/>
      <w:r w:rsidRPr="007702EC">
        <w:rPr>
          <w:rFonts w:ascii="Arial" w:hAnsi="Arial" w:cs="Arial"/>
          <w:bCs/>
          <w:sz w:val="20"/>
          <w:szCs w:val="20"/>
          <w:lang w:val="es-ES_tradnl" w:eastAsia="x-none"/>
        </w:rPr>
        <w:t>ii</w:t>
      </w:r>
      <w:proofErr w:type="spellEnd"/>
      <w:r w:rsidRPr="007702EC">
        <w:rPr>
          <w:rFonts w:ascii="Arial" w:hAnsi="Arial" w:cs="Arial"/>
          <w:bCs/>
          <w:sz w:val="20"/>
          <w:szCs w:val="20"/>
          <w:lang w:val="es-ES_tradnl" w:eastAsia="x-none"/>
        </w:rPr>
        <w:t xml:space="preserve">) los contratos de crédito público; </w:t>
      </w:r>
      <w:proofErr w:type="spellStart"/>
      <w:r w:rsidRPr="007702EC">
        <w:rPr>
          <w:rFonts w:ascii="Arial" w:hAnsi="Arial" w:cs="Arial"/>
          <w:bCs/>
          <w:sz w:val="20"/>
          <w:szCs w:val="20"/>
          <w:lang w:val="es-ES_tradnl" w:eastAsia="x-none"/>
        </w:rPr>
        <w:t>iii</w:t>
      </w:r>
      <w:proofErr w:type="spellEnd"/>
      <w:r w:rsidRPr="007702EC">
        <w:rPr>
          <w:rFonts w:ascii="Arial" w:hAnsi="Arial" w:cs="Arial"/>
          <w:bCs/>
          <w:sz w:val="20"/>
          <w:szCs w:val="20"/>
          <w:lang w:val="es-ES_tradnl" w:eastAsia="x-none"/>
        </w:rPr>
        <w:t xml:space="preserve">) los requeridos para cubrir las emergencias educativas, sanitarias y desastres; </w:t>
      </w:r>
      <w:proofErr w:type="spellStart"/>
      <w:r w:rsidRPr="007702EC">
        <w:rPr>
          <w:rFonts w:ascii="Arial" w:hAnsi="Arial" w:cs="Arial"/>
          <w:bCs/>
          <w:sz w:val="20"/>
          <w:szCs w:val="20"/>
          <w:lang w:val="es-ES_tradnl" w:eastAsia="x-none"/>
        </w:rPr>
        <w:t>iv</w:t>
      </w:r>
      <w:proofErr w:type="spellEnd"/>
      <w:r w:rsidRPr="007702EC">
        <w:rPr>
          <w:rFonts w:ascii="Arial" w:hAnsi="Arial" w:cs="Arial"/>
          <w:bCs/>
          <w:sz w:val="20"/>
          <w:szCs w:val="20"/>
          <w:lang w:val="es-ES_tradnl" w:eastAsia="x-none"/>
        </w:rPr>
        <w:t>)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r w:rsidRPr="007702EC">
        <w:rPr>
          <w:rFonts w:ascii="Arial" w:hAnsi="Arial" w:cs="Arial"/>
          <w:bCs/>
          <w:sz w:val="20"/>
          <w:szCs w:val="20"/>
          <w:lang w:val="es-ES_tradnl" w:eastAsia="es-CO"/>
        </w:rPr>
        <w:t xml:space="preserve"> Es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p>
    <w:p w14:paraId="7FAA4B06" w14:textId="77777777" w:rsidR="00EF7D13" w:rsidRPr="007702EC" w:rsidRDefault="00EF7D13" w:rsidP="00EF7D13">
      <w:pPr>
        <w:tabs>
          <w:tab w:val="left" w:pos="426"/>
        </w:tabs>
        <w:spacing w:after="0" w:line="240" w:lineRule="auto"/>
        <w:contextualSpacing/>
        <w:jc w:val="both"/>
        <w:rPr>
          <w:rFonts w:ascii="Arial" w:eastAsia="Calibri" w:hAnsi="Arial" w:cs="Arial"/>
          <w:b/>
          <w:bCs/>
          <w:sz w:val="20"/>
          <w:szCs w:val="20"/>
          <w:lang w:val="es-ES_tradnl"/>
        </w:rPr>
      </w:pPr>
    </w:p>
    <w:p w14:paraId="430D29CE" w14:textId="77777777" w:rsidR="00EF7D13" w:rsidRPr="007702EC" w:rsidRDefault="00EF7D13" w:rsidP="00EF7D13">
      <w:pPr>
        <w:tabs>
          <w:tab w:val="left" w:pos="426"/>
        </w:tabs>
        <w:spacing w:after="0" w:line="240" w:lineRule="auto"/>
        <w:contextualSpacing/>
        <w:jc w:val="both"/>
        <w:rPr>
          <w:rFonts w:ascii="Arial" w:eastAsia="Calibri" w:hAnsi="Arial" w:cs="Arial"/>
          <w:noProof/>
          <w:lang w:val="es-ES_tradnl"/>
        </w:rPr>
      </w:pPr>
      <w:r w:rsidRPr="007702EC">
        <w:rPr>
          <w:rFonts w:ascii="Arial" w:eastAsia="Calibri" w:hAnsi="Arial" w:cs="Arial"/>
          <w:b/>
          <w:bCs/>
          <w:lang w:val="es-ES_tradnl"/>
        </w:rPr>
        <w:t>LEY DE GARANTÍAS ELECTORALES ─</w:t>
      </w:r>
      <w:r w:rsidRPr="007702EC">
        <w:rPr>
          <w:rFonts w:ascii="Arial" w:eastAsia="Times New Roman" w:hAnsi="Arial" w:cs="Arial"/>
          <w:b/>
          <w:bCs/>
          <w:lang w:val="es-ES_tradnl" w:eastAsia="es-CO"/>
        </w:rPr>
        <w:t xml:space="preserve"> </w:t>
      </w:r>
      <w:r w:rsidRPr="007702EC">
        <w:rPr>
          <w:rFonts w:ascii="Arial" w:eastAsia="Calibri" w:hAnsi="Arial" w:cs="Arial"/>
          <w:b/>
          <w:bCs/>
          <w:lang w:val="es-ES_tradnl"/>
        </w:rPr>
        <w:t>Artículo 33 ─ Destinatarios</w:t>
      </w:r>
    </w:p>
    <w:p w14:paraId="6B098ACA" w14:textId="77777777" w:rsidR="00EF7D13" w:rsidRPr="007702EC" w:rsidRDefault="00EF7D13" w:rsidP="00EF7D13">
      <w:pPr>
        <w:tabs>
          <w:tab w:val="left" w:pos="426"/>
        </w:tabs>
        <w:spacing w:after="0" w:line="240" w:lineRule="auto"/>
        <w:contextualSpacing/>
        <w:jc w:val="both"/>
        <w:rPr>
          <w:rFonts w:ascii="Arial" w:eastAsia="Calibri" w:hAnsi="Arial" w:cs="Arial"/>
          <w:noProof/>
          <w:sz w:val="20"/>
          <w:szCs w:val="20"/>
          <w:lang w:val="es-ES_tradnl"/>
        </w:rPr>
      </w:pPr>
    </w:p>
    <w:p w14:paraId="681E681C" w14:textId="77777777" w:rsidR="00EF7D13" w:rsidRPr="007702EC" w:rsidRDefault="00EF7D13" w:rsidP="00EF7D13">
      <w:pPr>
        <w:tabs>
          <w:tab w:val="left" w:pos="426"/>
        </w:tabs>
        <w:spacing w:after="0" w:line="240" w:lineRule="auto"/>
        <w:contextualSpacing/>
        <w:jc w:val="both"/>
        <w:rPr>
          <w:rFonts w:ascii="Arial" w:hAnsi="Arial" w:cs="Arial"/>
          <w:bCs/>
          <w:sz w:val="20"/>
          <w:szCs w:val="20"/>
          <w:lang w:val="es-ES_tradnl" w:eastAsia="x-none"/>
        </w:rPr>
      </w:pPr>
      <w:r w:rsidRPr="007702EC">
        <w:rPr>
          <w:rFonts w:ascii="Arial" w:hAnsi="Arial" w:cs="Arial"/>
          <w:bCs/>
          <w:sz w:val="20"/>
          <w:szCs w:val="20"/>
          <w:lang w:val="es-ES_tradnl" w:eastAsia="x-none"/>
        </w:rPr>
        <w:t>El artículo 33 de la Ley 996 de 2005 señala expresamente a los destinatarios de la prohibición, en el sentido de que son «todos los entes del Estado», expresión que contempla a los diferentes organismos o entidades autorizadas por la ley para suscribir contratos.</w:t>
      </w:r>
      <w:r w:rsidRPr="007702EC">
        <w:rPr>
          <w:rFonts w:ascii="Arial" w:hAnsi="Arial" w:cs="Arial"/>
          <w:sz w:val="20"/>
          <w:szCs w:val="20"/>
          <w:lang w:val="es-ES_tradnl"/>
        </w:rPr>
        <w:t xml:space="preserve"> </w:t>
      </w:r>
      <w:r w:rsidRPr="007702EC">
        <w:rPr>
          <w:rFonts w:ascii="Arial" w:hAnsi="Arial" w:cs="Arial"/>
          <w:bCs/>
          <w:sz w:val="20"/>
          <w:szCs w:val="20"/>
          <w:lang w:val="es-ES_tradnl" w:eastAsia="x-none"/>
        </w:rPr>
        <w:t>En efecto, tal como lo ha sostenido el Consejo de Estado, el vocablo «todos» utilizado por el legislador comprende</w:t>
      </w:r>
      <w:r w:rsidRPr="007702EC">
        <w:rPr>
          <w:rFonts w:ascii="Arial" w:hAnsi="Arial" w:cs="Arial"/>
          <w:sz w:val="20"/>
          <w:szCs w:val="20"/>
          <w:lang w:val="es-ES_tradnl"/>
        </w:rPr>
        <w:t xml:space="preserve"> </w:t>
      </w:r>
      <w:r w:rsidRPr="007702EC">
        <w:rPr>
          <w:rFonts w:ascii="Arial" w:hAnsi="Arial" w:cs="Arial"/>
          <w:bCs/>
          <w:sz w:val="20"/>
          <w:szCs w:val="20"/>
          <w:lang w:val="es-ES_tradnl" w:eastAsia="x-none"/>
        </w:rPr>
        <w:t xml:space="preserve">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 </w:t>
      </w:r>
      <w:r w:rsidRPr="007702EC">
        <w:rPr>
          <w:rFonts w:ascii="Arial" w:eastAsia="Calibri" w:hAnsi="Arial" w:cs="Arial"/>
          <w:noProof/>
          <w:sz w:val="20"/>
          <w:szCs w:val="20"/>
          <w:lang w:val="es-ES_tradnl"/>
        </w:rPr>
        <w:t xml:space="preserve">[…] </w:t>
      </w:r>
    </w:p>
    <w:p w14:paraId="718CD668" w14:textId="77777777" w:rsidR="00EF7D13" w:rsidRPr="007702EC" w:rsidRDefault="00EF7D13" w:rsidP="00EF7D13">
      <w:pPr>
        <w:tabs>
          <w:tab w:val="left" w:pos="426"/>
        </w:tabs>
        <w:spacing w:after="0" w:line="240" w:lineRule="auto"/>
        <w:contextualSpacing/>
        <w:jc w:val="both"/>
        <w:rPr>
          <w:rFonts w:ascii="Arial" w:hAnsi="Arial" w:cs="Arial"/>
          <w:bCs/>
          <w:sz w:val="20"/>
          <w:szCs w:val="20"/>
          <w:lang w:val="es-ES_tradnl" w:eastAsia="x-none"/>
        </w:rPr>
      </w:pPr>
    </w:p>
    <w:p w14:paraId="430A44A0" w14:textId="77777777" w:rsidR="00EF7D13" w:rsidRPr="007702EC" w:rsidRDefault="00EF7D13" w:rsidP="00EF7D13">
      <w:pPr>
        <w:tabs>
          <w:tab w:val="left" w:pos="426"/>
        </w:tabs>
        <w:spacing w:after="0" w:line="240" w:lineRule="auto"/>
        <w:contextualSpacing/>
        <w:jc w:val="both"/>
        <w:rPr>
          <w:rFonts w:ascii="Arial" w:eastAsia="Calibri" w:hAnsi="Arial" w:cs="Arial"/>
          <w:b/>
          <w:bCs/>
          <w:lang w:val="es-ES_tradnl"/>
        </w:rPr>
      </w:pPr>
      <w:r w:rsidRPr="007702EC">
        <w:rPr>
          <w:rFonts w:ascii="Arial" w:eastAsia="Calibri" w:hAnsi="Arial" w:cs="Arial"/>
          <w:b/>
          <w:bCs/>
          <w:lang w:val="es-ES_tradnl"/>
        </w:rPr>
        <w:t>LEY DE GARANTÍAS ELECTORALES ─</w:t>
      </w:r>
      <w:r w:rsidRPr="007702EC">
        <w:rPr>
          <w:rFonts w:ascii="Arial" w:eastAsia="Times New Roman" w:hAnsi="Arial" w:cs="Arial"/>
          <w:b/>
          <w:bCs/>
          <w:lang w:val="es-ES_tradnl" w:eastAsia="es-CO"/>
        </w:rPr>
        <w:t xml:space="preserve"> </w:t>
      </w:r>
      <w:r w:rsidRPr="007702EC">
        <w:rPr>
          <w:rFonts w:ascii="Arial" w:eastAsia="Calibri" w:hAnsi="Arial" w:cs="Arial"/>
          <w:b/>
          <w:bCs/>
          <w:lang w:val="es-ES_tradnl"/>
        </w:rPr>
        <w:t>Artículo 33 ─ Destinatarios – Personerías municipales</w:t>
      </w:r>
    </w:p>
    <w:p w14:paraId="7BF776E1" w14:textId="77777777" w:rsidR="00EF7D13" w:rsidRPr="007702EC" w:rsidRDefault="00EF7D13" w:rsidP="00EF7D13">
      <w:pPr>
        <w:tabs>
          <w:tab w:val="left" w:pos="426"/>
        </w:tabs>
        <w:spacing w:after="0" w:line="240" w:lineRule="auto"/>
        <w:contextualSpacing/>
        <w:jc w:val="both"/>
        <w:rPr>
          <w:rFonts w:ascii="Arial" w:eastAsia="Calibri" w:hAnsi="Arial" w:cs="Arial"/>
          <w:b/>
          <w:bCs/>
          <w:sz w:val="20"/>
          <w:szCs w:val="20"/>
          <w:lang w:val="es-ES_tradnl"/>
        </w:rPr>
      </w:pPr>
    </w:p>
    <w:p w14:paraId="5F987DE3" w14:textId="77777777" w:rsidR="00EF7D13" w:rsidRDefault="00EF7D13" w:rsidP="00EF7D13">
      <w:pPr>
        <w:tabs>
          <w:tab w:val="left" w:pos="426"/>
        </w:tabs>
        <w:spacing w:after="0" w:line="240" w:lineRule="auto"/>
        <w:contextualSpacing/>
        <w:jc w:val="both"/>
        <w:rPr>
          <w:rFonts w:ascii="Arial" w:eastAsia="Calibri" w:hAnsi="Arial" w:cs="Arial"/>
          <w:bCs/>
          <w:sz w:val="20"/>
          <w:szCs w:val="20"/>
          <w:lang w:val="es-ES_tradnl"/>
        </w:rPr>
      </w:pPr>
      <w:r w:rsidRPr="007702EC">
        <w:rPr>
          <w:rFonts w:ascii="Arial" w:eastAsia="Calibri" w:hAnsi="Arial" w:cs="Arial"/>
          <w:bCs/>
          <w:sz w:val="20"/>
          <w:szCs w:val="20"/>
          <w:lang w:val="es-ES_tradnl"/>
        </w:rPr>
        <w:t xml:space="preserve">De acuerdo con lo anterior, en aras de responder el objeto de la consulta, es importante tener en cuenta que, las personerías municipales, entidad mencionada en la petición, hacen parte de la estructura del Estado delimitada por el Titulo V de la Constitución Política de Colombia. De acuerdo con el artículo 117 ibidem, el Ministerio Público, del cual hacen parte el Procurador General de la Nación, el Defensor del Pueblo, los procuradores delegados, </w:t>
      </w:r>
      <w:r w:rsidRPr="007702EC">
        <w:rPr>
          <w:rFonts w:ascii="Arial" w:eastAsia="Calibri" w:hAnsi="Arial" w:cs="Arial"/>
          <w:bCs/>
          <w:i/>
          <w:iCs/>
          <w:sz w:val="20"/>
          <w:szCs w:val="20"/>
          <w:lang w:val="es-ES_tradnl"/>
        </w:rPr>
        <w:t>personeros municipales</w:t>
      </w:r>
      <w:r w:rsidRPr="007702EC">
        <w:rPr>
          <w:rFonts w:ascii="Arial" w:eastAsia="Calibri" w:hAnsi="Arial" w:cs="Arial"/>
          <w:bCs/>
          <w:sz w:val="20"/>
          <w:szCs w:val="20"/>
          <w:lang w:val="es-ES_tradnl"/>
        </w:rPr>
        <w:t xml:space="preserve">, entre otros agentes, según el artículo 118, corresponde a la noción de órgano de control. </w:t>
      </w:r>
    </w:p>
    <w:p w14:paraId="782259E2" w14:textId="77777777" w:rsidR="00EF7D13" w:rsidRPr="007702EC" w:rsidRDefault="00EF7D13" w:rsidP="00EF7D13">
      <w:pPr>
        <w:tabs>
          <w:tab w:val="left" w:pos="426"/>
        </w:tabs>
        <w:spacing w:after="0" w:line="240" w:lineRule="auto"/>
        <w:contextualSpacing/>
        <w:jc w:val="both"/>
        <w:rPr>
          <w:rFonts w:ascii="Arial" w:eastAsia="Calibri" w:hAnsi="Arial" w:cs="Arial"/>
          <w:bCs/>
          <w:sz w:val="20"/>
          <w:szCs w:val="20"/>
          <w:lang w:val="es-ES_tradnl"/>
        </w:rPr>
      </w:pPr>
    </w:p>
    <w:p w14:paraId="58DF2CEF" w14:textId="77777777" w:rsidR="00EF7D13" w:rsidRPr="007702EC" w:rsidRDefault="00EF7D13" w:rsidP="00EF7D13">
      <w:pPr>
        <w:tabs>
          <w:tab w:val="left" w:pos="426"/>
        </w:tabs>
        <w:spacing w:after="0" w:line="240" w:lineRule="auto"/>
        <w:contextualSpacing/>
        <w:jc w:val="both"/>
        <w:rPr>
          <w:rFonts w:ascii="Arial" w:eastAsia="Calibri" w:hAnsi="Arial" w:cs="Arial"/>
          <w:bCs/>
          <w:sz w:val="20"/>
          <w:szCs w:val="20"/>
          <w:lang w:val="es-ES_tradnl"/>
        </w:rPr>
      </w:pPr>
      <w:r w:rsidRPr="007702EC">
        <w:rPr>
          <w:rFonts w:ascii="Arial" w:eastAsia="Calibri" w:hAnsi="Arial" w:cs="Arial"/>
          <w:bCs/>
          <w:sz w:val="20"/>
          <w:szCs w:val="20"/>
          <w:lang w:val="es-ES_tradnl"/>
        </w:rPr>
        <w:t xml:space="preserve">En ese sentido, si bien las personerías municipales no hacen parte de la Administración Pública, resulta palmario que estas, no solo desarrollan funciones públicas, sino que tienen un rol definido en la estructura estatal, del que se sigue su calidad de ente del Estado, a los que de manera general se refiere el artículo 33 de la Ley 996 de 2005. Esto no conduce a conclusión distinta a que las personerías, en su calidad de órganos de control, también hacen parte de los destinatarios de la prohibición a la contratación directa establecida en el artículo 33 de la Ley de Garantías Electorales. </w:t>
      </w:r>
    </w:p>
    <w:p w14:paraId="04CBB427" w14:textId="77777777" w:rsidR="00EF7D13" w:rsidRPr="007702EC" w:rsidRDefault="00EF7D13" w:rsidP="00EF7D13">
      <w:pPr>
        <w:tabs>
          <w:tab w:val="left" w:pos="426"/>
        </w:tabs>
        <w:spacing w:after="0" w:line="240" w:lineRule="auto"/>
        <w:contextualSpacing/>
        <w:jc w:val="both"/>
        <w:rPr>
          <w:rFonts w:ascii="Arial" w:eastAsia="Calibri" w:hAnsi="Arial" w:cs="Arial"/>
          <w:noProof/>
          <w:sz w:val="20"/>
          <w:szCs w:val="20"/>
          <w:lang w:val="es-ES_tradnl"/>
        </w:rPr>
      </w:pPr>
    </w:p>
    <w:p w14:paraId="15CB0227" w14:textId="77777777" w:rsidR="00EF7D13" w:rsidRDefault="00EF7D13" w:rsidP="00EF7D13">
      <w:pPr>
        <w:spacing w:after="0" w:line="240" w:lineRule="auto"/>
        <w:contextualSpacing/>
        <w:jc w:val="both"/>
        <w:rPr>
          <w:rFonts w:ascii="Arial" w:eastAsia="Calibri" w:hAnsi="Arial" w:cs="Arial"/>
          <w:b/>
          <w:bCs/>
          <w:lang w:val="es-ES_tradnl"/>
        </w:rPr>
      </w:pPr>
      <w:r w:rsidRPr="007702EC">
        <w:rPr>
          <w:rFonts w:ascii="Arial" w:eastAsia="Calibri" w:hAnsi="Arial" w:cs="Arial"/>
          <w:b/>
          <w:bCs/>
          <w:lang w:val="es-ES_tradnl"/>
        </w:rPr>
        <w:lastRenderedPageBreak/>
        <w:t>LEY DE GARANTÍAS ELECTORALES ─</w:t>
      </w:r>
      <w:r w:rsidRPr="007702EC">
        <w:rPr>
          <w:rFonts w:ascii="Arial" w:eastAsia="Times New Roman" w:hAnsi="Arial" w:cs="Arial"/>
          <w:b/>
          <w:bCs/>
          <w:lang w:val="es-ES_tradnl" w:eastAsia="es-CO"/>
        </w:rPr>
        <w:t xml:space="preserve"> </w:t>
      </w:r>
      <w:r w:rsidRPr="007702EC">
        <w:rPr>
          <w:rFonts w:ascii="Arial" w:eastAsia="Calibri" w:hAnsi="Arial" w:cs="Arial"/>
          <w:b/>
          <w:bCs/>
          <w:lang w:val="es-ES_tradnl"/>
        </w:rPr>
        <w:t>Artículo 33 ─ Prohibición ─ Contratación directa</w:t>
      </w:r>
      <w:r>
        <w:rPr>
          <w:rFonts w:ascii="Arial" w:eastAsia="Calibri" w:hAnsi="Arial" w:cs="Arial"/>
          <w:b/>
          <w:bCs/>
          <w:lang w:val="es-ES_tradnl"/>
        </w:rPr>
        <w:t xml:space="preserve"> </w:t>
      </w:r>
      <w:r w:rsidRPr="007702EC">
        <w:rPr>
          <w:rFonts w:ascii="Arial" w:eastAsia="Calibri" w:hAnsi="Arial" w:cs="Arial"/>
          <w:b/>
          <w:bCs/>
          <w:lang w:val="es-ES_tradnl"/>
        </w:rPr>
        <w:t>─</w:t>
      </w:r>
      <w:r>
        <w:rPr>
          <w:rFonts w:ascii="Arial" w:eastAsia="Calibri" w:hAnsi="Arial" w:cs="Arial"/>
          <w:b/>
          <w:bCs/>
          <w:lang w:val="es-ES_tradnl"/>
        </w:rPr>
        <w:t xml:space="preserve"> Causales h) e i) artículo 2.4 Ley 1150 de 2007 </w:t>
      </w:r>
    </w:p>
    <w:p w14:paraId="281E5EAC" w14:textId="77777777" w:rsidR="00EF7D13" w:rsidRPr="006C44CF" w:rsidRDefault="00EF7D13" w:rsidP="00EF7D13">
      <w:pPr>
        <w:spacing w:after="0" w:line="240" w:lineRule="auto"/>
        <w:contextualSpacing/>
        <w:jc w:val="both"/>
        <w:rPr>
          <w:rFonts w:ascii="Arial" w:eastAsia="Calibri" w:hAnsi="Arial" w:cs="Arial"/>
          <w:b/>
          <w:bCs/>
          <w:sz w:val="20"/>
          <w:szCs w:val="20"/>
          <w:lang w:val="es-ES_tradnl"/>
        </w:rPr>
      </w:pPr>
    </w:p>
    <w:p w14:paraId="3022B16B" w14:textId="77777777" w:rsidR="00EF7D13" w:rsidRPr="006C44CF" w:rsidRDefault="00EF7D13" w:rsidP="00EF7D13">
      <w:pPr>
        <w:spacing w:after="0" w:line="240" w:lineRule="auto"/>
        <w:contextualSpacing/>
        <w:jc w:val="both"/>
        <w:rPr>
          <w:rFonts w:ascii="Arial" w:hAnsi="Arial" w:cs="Arial"/>
          <w:sz w:val="20"/>
          <w:szCs w:val="20"/>
        </w:rPr>
      </w:pPr>
      <w:r w:rsidRPr="006C44CF">
        <w:rPr>
          <w:rFonts w:ascii="Arial" w:hAnsi="Arial" w:cs="Arial"/>
          <w:sz w:val="20"/>
          <w:szCs w:val="20"/>
          <w:lang w:val="es-ES_tradnl"/>
        </w:rPr>
        <w:t xml:space="preserve">Lo anterior supone que, tales entidades, durante los periodos preelectorales de los cuatro (4) meses previos a las elecciones presidenciales, tienen restringida la celebración contratos en aplicación de las causales de contratación directa previstas en el artículo 2-4 de la Ley 1150 de 2007, entre las que se encuentra la del literal h), alusiva a la </w:t>
      </w:r>
      <w:r w:rsidRPr="006C44CF">
        <w:rPr>
          <w:rFonts w:ascii="Arial" w:hAnsi="Arial" w:cs="Arial"/>
          <w:i/>
          <w:iCs/>
          <w:sz w:val="20"/>
          <w:szCs w:val="20"/>
          <w:lang w:val="es-ES_tradnl"/>
        </w:rPr>
        <w:t xml:space="preserve">«prestación de servicios profesionales y de apoyo a la gestión, o para la ejecución de trabajos artísticos que sólo puedan encomendarse a determinadas personas naturales» </w:t>
      </w:r>
      <w:r w:rsidRPr="006C44CF">
        <w:rPr>
          <w:rFonts w:ascii="Arial" w:hAnsi="Arial" w:cs="Arial"/>
          <w:sz w:val="20"/>
          <w:szCs w:val="20"/>
          <w:lang w:val="es-ES_tradnl"/>
        </w:rPr>
        <w:t>y la establecida en el literal i) referente al</w:t>
      </w:r>
      <w:r w:rsidRPr="006C44CF">
        <w:rPr>
          <w:rFonts w:ascii="Arial" w:hAnsi="Arial" w:cs="Arial"/>
          <w:i/>
          <w:iCs/>
          <w:sz w:val="20"/>
          <w:szCs w:val="20"/>
          <w:lang w:val="es-ES_tradnl"/>
        </w:rPr>
        <w:t xml:space="preserve"> «</w:t>
      </w:r>
      <w:r w:rsidRPr="006C44CF">
        <w:rPr>
          <w:rFonts w:ascii="Arial" w:hAnsi="Arial" w:cs="Arial"/>
          <w:i/>
          <w:iCs/>
          <w:sz w:val="20"/>
          <w:szCs w:val="20"/>
        </w:rPr>
        <w:t>arrendamiento o adquisición de inmuebles</w:t>
      </w:r>
      <w:r w:rsidRPr="006C44CF">
        <w:rPr>
          <w:rFonts w:ascii="Arial" w:hAnsi="Arial" w:cs="Arial"/>
          <w:i/>
          <w:iCs/>
          <w:sz w:val="20"/>
          <w:szCs w:val="20"/>
          <w:lang w:val="es-ES_tradnl"/>
        </w:rPr>
        <w:t>»</w:t>
      </w:r>
      <w:r w:rsidRPr="006C44CF">
        <w:rPr>
          <w:rFonts w:ascii="Arial" w:hAnsi="Arial" w:cs="Arial"/>
          <w:sz w:val="20"/>
          <w:szCs w:val="20"/>
          <w:lang w:val="es-ES_tradnl"/>
        </w:rPr>
        <w:t>.</w:t>
      </w:r>
    </w:p>
    <w:p w14:paraId="5FC07CD2" w14:textId="6D18E582" w:rsidR="00EF7D13" w:rsidRDefault="00EF7D13">
      <w:pPr>
        <w:rPr>
          <w:rFonts w:ascii="Arial" w:eastAsia="Times New Roman" w:hAnsi="Arial" w:cs="Arial"/>
          <w:b/>
          <w:bCs/>
          <w:sz w:val="16"/>
          <w:szCs w:val="16"/>
          <w:lang w:eastAsia="es-ES"/>
        </w:rPr>
      </w:pPr>
      <w:r>
        <w:rPr>
          <w:rFonts w:ascii="Arial" w:eastAsia="Times New Roman" w:hAnsi="Arial" w:cs="Arial"/>
          <w:b/>
          <w:bCs/>
          <w:sz w:val="16"/>
          <w:szCs w:val="16"/>
          <w:lang w:eastAsia="es-ES"/>
        </w:rPr>
        <w:br w:type="page"/>
      </w:r>
    </w:p>
    <w:p w14:paraId="5E18DCE6" w14:textId="1337D3AE" w:rsidR="00134409" w:rsidRPr="00FC136A" w:rsidRDefault="00134409" w:rsidP="00134409">
      <w:pPr>
        <w:spacing w:after="0" w:line="276" w:lineRule="auto"/>
        <w:contextualSpacing/>
        <w:jc w:val="right"/>
        <w:rPr>
          <w:rFonts w:ascii="Arial" w:eastAsia="Times New Roman" w:hAnsi="Arial" w:cs="Arial"/>
          <w:b/>
          <w:bCs/>
          <w:sz w:val="16"/>
          <w:szCs w:val="16"/>
          <w:lang w:eastAsia="es-ES"/>
        </w:rPr>
      </w:pPr>
      <w:r w:rsidRPr="00FC136A">
        <w:rPr>
          <w:rFonts w:ascii="Arial" w:eastAsia="Times New Roman" w:hAnsi="Arial" w:cs="Arial"/>
          <w:b/>
          <w:bCs/>
          <w:sz w:val="16"/>
          <w:szCs w:val="16"/>
          <w:lang w:eastAsia="es-ES"/>
        </w:rPr>
        <w:lastRenderedPageBreak/>
        <w:t>CCE-DES-FM-17</w:t>
      </w:r>
    </w:p>
    <w:p w14:paraId="25D6E025" w14:textId="392EA6A6" w:rsidR="00134409" w:rsidRPr="00FC136A" w:rsidRDefault="00F83A52" w:rsidP="00124012">
      <w:pPr>
        <w:tabs>
          <w:tab w:val="left" w:pos="3374"/>
        </w:tabs>
        <w:spacing w:after="0" w:line="240" w:lineRule="auto"/>
        <w:contextualSpacing/>
        <w:jc w:val="right"/>
        <w:rPr>
          <w:rFonts w:ascii="Arial" w:eastAsia="Calibri" w:hAnsi="Arial" w:cs="Arial"/>
          <w:lang w:val="es-MX"/>
        </w:rPr>
      </w:pPr>
      <w:r w:rsidRPr="008C065A">
        <w:rPr>
          <w:rFonts w:ascii="Arial" w:eastAsia="Calibri" w:hAnsi="Arial" w:cs="Arial"/>
          <w:b/>
          <w:bCs/>
          <w:noProof/>
        </w:rPr>
        <w:drawing>
          <wp:inline distT="0" distB="0" distL="0" distR="0" wp14:anchorId="4DBBFBDB" wp14:editId="3FB9DA53">
            <wp:extent cx="3183515" cy="6667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205828" cy="671423"/>
                    </a:xfrm>
                    <a:prstGeom prst="rect">
                      <a:avLst/>
                    </a:prstGeom>
                  </pic:spPr>
                </pic:pic>
              </a:graphicData>
            </a:graphic>
          </wp:inline>
        </w:drawing>
      </w:r>
    </w:p>
    <w:p w14:paraId="56CE2556" w14:textId="0A83A2D5" w:rsidR="007176AA" w:rsidRDefault="002437DA" w:rsidP="002437DA">
      <w:pPr>
        <w:tabs>
          <w:tab w:val="left" w:pos="3374"/>
        </w:tabs>
        <w:spacing w:after="0" w:line="240" w:lineRule="auto"/>
        <w:contextualSpacing/>
        <w:jc w:val="right"/>
        <w:rPr>
          <w:rFonts w:ascii="Arial" w:eastAsia="Calibri" w:hAnsi="Arial" w:cs="Arial"/>
          <w:lang w:val="es-MX"/>
        </w:rPr>
      </w:pPr>
      <w:r w:rsidRPr="002437DA">
        <w:rPr>
          <w:rFonts w:ascii="Arial" w:eastAsia="Calibri" w:hAnsi="Arial" w:cs="Arial"/>
          <w:noProof/>
          <w:lang w:val="es-MX"/>
        </w:rPr>
        <w:drawing>
          <wp:inline distT="0" distB="0" distL="0" distR="0" wp14:anchorId="770A854A" wp14:editId="21C8E052">
            <wp:extent cx="3160920" cy="871501"/>
            <wp:effectExtent l="0" t="0" r="1905" b="508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173883" cy="875075"/>
                    </a:xfrm>
                    <a:prstGeom prst="rect">
                      <a:avLst/>
                    </a:prstGeom>
                  </pic:spPr>
                </pic:pic>
              </a:graphicData>
            </a:graphic>
          </wp:inline>
        </w:drawing>
      </w:r>
    </w:p>
    <w:p w14:paraId="046692D1" w14:textId="5044781D" w:rsidR="00EF7D13" w:rsidRDefault="00EF7D13" w:rsidP="00FC4201">
      <w:pPr>
        <w:tabs>
          <w:tab w:val="left" w:pos="3374"/>
        </w:tabs>
        <w:spacing w:after="0" w:line="240" w:lineRule="auto"/>
        <w:contextualSpacing/>
        <w:rPr>
          <w:rFonts w:ascii="Arial" w:eastAsia="Calibri" w:hAnsi="Arial" w:cs="Arial"/>
          <w:lang w:val="es-MX"/>
        </w:rPr>
      </w:pPr>
    </w:p>
    <w:p w14:paraId="6DC0DED4" w14:textId="7BC2896B" w:rsidR="00723329" w:rsidRPr="00FC136A" w:rsidRDefault="00723329" w:rsidP="00FC4201">
      <w:pPr>
        <w:tabs>
          <w:tab w:val="left" w:pos="3374"/>
        </w:tabs>
        <w:spacing w:after="0" w:line="240" w:lineRule="auto"/>
        <w:contextualSpacing/>
        <w:rPr>
          <w:rFonts w:ascii="Arial" w:eastAsia="Calibri" w:hAnsi="Arial" w:cs="Arial"/>
          <w:lang w:val="es-MX"/>
        </w:rPr>
      </w:pPr>
      <w:r>
        <w:rPr>
          <w:rFonts w:ascii="Arial" w:eastAsia="Calibri" w:hAnsi="Arial" w:cs="Arial"/>
          <w:lang w:val="es-MX"/>
        </w:rPr>
        <w:t>Bogotá D.C., 24 de mayo de 2022</w:t>
      </w:r>
    </w:p>
    <w:p w14:paraId="2BC1A2E3" w14:textId="77777777" w:rsidR="00944A71" w:rsidRDefault="00944A71" w:rsidP="00FC4201">
      <w:pPr>
        <w:spacing w:after="0" w:line="240" w:lineRule="auto"/>
        <w:contextualSpacing/>
        <w:jc w:val="both"/>
        <w:rPr>
          <w:rFonts w:ascii="Arial" w:eastAsia="Calibri" w:hAnsi="Arial" w:cs="Arial"/>
        </w:rPr>
      </w:pPr>
      <w:bookmarkStart w:id="4" w:name="_Hlk96417464"/>
    </w:p>
    <w:p w14:paraId="57934331" w14:textId="4127B7C4" w:rsidR="00134409" w:rsidRPr="00FC136A" w:rsidRDefault="00134409" w:rsidP="00FC4201">
      <w:pPr>
        <w:spacing w:after="0" w:line="240" w:lineRule="auto"/>
        <w:contextualSpacing/>
        <w:jc w:val="both"/>
        <w:rPr>
          <w:rFonts w:ascii="Arial" w:eastAsia="Calibri" w:hAnsi="Arial" w:cs="Arial"/>
        </w:rPr>
      </w:pPr>
      <w:r w:rsidRPr="00FC136A">
        <w:rPr>
          <w:rFonts w:ascii="Arial" w:eastAsia="Calibri" w:hAnsi="Arial" w:cs="Arial"/>
        </w:rPr>
        <w:t>Señor</w:t>
      </w:r>
      <w:r w:rsidR="007176AA" w:rsidRPr="00FC136A">
        <w:rPr>
          <w:rFonts w:ascii="Arial" w:eastAsia="Calibri" w:hAnsi="Arial" w:cs="Arial"/>
        </w:rPr>
        <w:t>a:</w:t>
      </w:r>
    </w:p>
    <w:p w14:paraId="47859454" w14:textId="0AC51C9B" w:rsidR="00134409" w:rsidRPr="00FC136A" w:rsidRDefault="007176AA" w:rsidP="00FC4201">
      <w:pPr>
        <w:spacing w:after="0" w:line="240" w:lineRule="auto"/>
        <w:contextualSpacing/>
        <w:jc w:val="both"/>
        <w:rPr>
          <w:rFonts w:ascii="Arial" w:eastAsia="Calibri" w:hAnsi="Arial" w:cs="Arial"/>
          <w:b/>
        </w:rPr>
      </w:pPr>
      <w:r w:rsidRPr="00FC136A">
        <w:rPr>
          <w:rFonts w:ascii="Arial" w:eastAsia="Calibri" w:hAnsi="Arial" w:cs="Arial"/>
          <w:b/>
        </w:rPr>
        <w:t xml:space="preserve">Nora Marcela </w:t>
      </w:r>
      <w:proofErr w:type="spellStart"/>
      <w:r w:rsidRPr="00FC136A">
        <w:rPr>
          <w:rFonts w:ascii="Arial" w:eastAsia="Calibri" w:hAnsi="Arial" w:cs="Arial"/>
          <w:b/>
        </w:rPr>
        <w:t>Tuiran</w:t>
      </w:r>
      <w:proofErr w:type="spellEnd"/>
      <w:r w:rsidRPr="00FC136A">
        <w:rPr>
          <w:rFonts w:ascii="Arial" w:eastAsia="Calibri" w:hAnsi="Arial" w:cs="Arial"/>
          <w:b/>
        </w:rPr>
        <w:t xml:space="preserve"> Rodríguez </w:t>
      </w:r>
    </w:p>
    <w:p w14:paraId="6A983913" w14:textId="566D7579" w:rsidR="00134409" w:rsidRPr="00FC136A" w:rsidRDefault="00FC4201" w:rsidP="00FC4201">
      <w:pPr>
        <w:spacing w:after="0" w:line="240" w:lineRule="auto"/>
        <w:contextualSpacing/>
        <w:jc w:val="both"/>
        <w:rPr>
          <w:rFonts w:ascii="Arial" w:eastAsia="Calibri" w:hAnsi="Arial" w:cs="Arial"/>
        </w:rPr>
      </w:pPr>
      <w:r w:rsidRPr="00FC136A">
        <w:rPr>
          <w:rFonts w:ascii="Arial" w:hAnsi="Arial" w:cs="Arial"/>
        </w:rPr>
        <w:t>Sucre, Sincelejo</w:t>
      </w:r>
    </w:p>
    <w:p w14:paraId="6CD27095" w14:textId="77777777" w:rsidR="00134409" w:rsidRPr="00FC136A" w:rsidRDefault="00134409" w:rsidP="00FC4201">
      <w:pPr>
        <w:spacing w:after="0" w:line="240" w:lineRule="auto"/>
        <w:contextualSpacing/>
        <w:jc w:val="both"/>
        <w:rPr>
          <w:rFonts w:ascii="Arial" w:eastAsia="Calibri" w:hAnsi="Arial" w:cs="Arial"/>
        </w:rPr>
      </w:pPr>
    </w:p>
    <w:p w14:paraId="0ED61628" w14:textId="622CF2F5" w:rsidR="00134409" w:rsidRPr="00FC136A" w:rsidRDefault="00134409" w:rsidP="00FC4201">
      <w:pPr>
        <w:spacing w:after="0" w:line="240" w:lineRule="auto"/>
        <w:contextualSpacing/>
        <w:jc w:val="both"/>
        <w:rPr>
          <w:rFonts w:ascii="Arial" w:eastAsia="Calibri" w:hAnsi="Arial" w:cs="Arial"/>
          <w:b/>
        </w:rPr>
      </w:pPr>
      <w:r w:rsidRPr="00FC136A">
        <w:rPr>
          <w:rFonts w:ascii="Arial" w:eastAsia="Calibri" w:hAnsi="Arial" w:cs="Arial"/>
        </w:rPr>
        <w:t xml:space="preserve">                                            </w:t>
      </w:r>
      <w:r w:rsidRPr="00FC136A">
        <w:rPr>
          <w:rFonts w:ascii="Arial" w:eastAsia="Calibri" w:hAnsi="Arial" w:cs="Arial"/>
          <w:b/>
        </w:rPr>
        <w:t xml:space="preserve">Concepto C – </w:t>
      </w:r>
      <w:r w:rsidR="00FC4201" w:rsidRPr="00FC136A">
        <w:rPr>
          <w:rFonts w:ascii="Arial" w:eastAsia="Calibri" w:hAnsi="Arial" w:cs="Arial"/>
          <w:b/>
        </w:rPr>
        <w:t>345</w:t>
      </w:r>
      <w:r w:rsidRPr="00FC136A">
        <w:rPr>
          <w:rFonts w:ascii="Arial" w:eastAsia="Calibri" w:hAnsi="Arial" w:cs="Arial"/>
          <w:b/>
        </w:rPr>
        <w:t xml:space="preserve"> de 2022</w:t>
      </w:r>
      <w:r w:rsidRPr="00FC136A">
        <w:rPr>
          <w:rFonts w:ascii="Arial" w:eastAsia="Calibri" w:hAnsi="Arial" w:cs="Arial"/>
        </w:rPr>
        <w:t xml:space="preserve"> </w:t>
      </w:r>
    </w:p>
    <w:p w14:paraId="461CAA3D" w14:textId="77777777" w:rsidR="00134409" w:rsidRPr="00FC136A" w:rsidRDefault="00134409" w:rsidP="00FC4201">
      <w:pPr>
        <w:spacing w:after="0" w:line="240" w:lineRule="auto"/>
        <w:contextualSpacing/>
        <w:jc w:val="both"/>
        <w:rPr>
          <w:rFonts w:ascii="Arial" w:eastAsia="Calibri" w:hAnsi="Arial" w:cs="Arial"/>
          <w:b/>
        </w:rPr>
      </w:pP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FC136A" w:rsidRPr="00FC136A" w14:paraId="1B7006EC" w14:textId="77777777" w:rsidTr="00281F3C">
        <w:trPr>
          <w:trHeight w:val="485"/>
        </w:trPr>
        <w:tc>
          <w:tcPr>
            <w:tcW w:w="2689" w:type="dxa"/>
            <w:hideMark/>
          </w:tcPr>
          <w:p w14:paraId="54BBB85B" w14:textId="77777777" w:rsidR="00134409" w:rsidRPr="00FC136A" w:rsidRDefault="00134409" w:rsidP="00FC4201">
            <w:pPr>
              <w:contextualSpacing/>
              <w:rPr>
                <w:rFonts w:ascii="Arial" w:eastAsia="Calibri" w:hAnsi="Arial" w:cs="Arial"/>
                <w:noProof/>
                <w:lang w:val="es-ES_tradnl"/>
              </w:rPr>
            </w:pPr>
            <w:r w:rsidRPr="00FC136A">
              <w:rPr>
                <w:rFonts w:ascii="Arial" w:eastAsia="Calibri" w:hAnsi="Arial" w:cs="Arial"/>
                <w:b/>
                <w:noProof/>
                <w:lang w:val="es-ES_tradnl"/>
              </w:rPr>
              <w:t>Temas:</w:t>
            </w:r>
            <w:r w:rsidRPr="00FC136A">
              <w:rPr>
                <w:rFonts w:ascii="Arial" w:eastAsia="Calibri" w:hAnsi="Arial" w:cs="Arial"/>
                <w:noProof/>
                <w:lang w:val="es-ES_tradnl"/>
              </w:rPr>
              <w:t xml:space="preserve">        </w:t>
            </w:r>
          </w:p>
        </w:tc>
        <w:tc>
          <w:tcPr>
            <w:tcW w:w="6237" w:type="dxa"/>
            <w:hideMark/>
          </w:tcPr>
          <w:p w14:paraId="2AFDF112" w14:textId="1809C2A7" w:rsidR="00FC4201" w:rsidRDefault="009E3D0B" w:rsidP="00FC4201">
            <w:pPr>
              <w:tabs>
                <w:tab w:val="left" w:pos="426"/>
              </w:tabs>
              <w:contextualSpacing/>
              <w:jc w:val="both"/>
              <w:rPr>
                <w:rFonts w:ascii="Arial" w:eastAsia="Calibri" w:hAnsi="Arial" w:cs="Arial"/>
                <w:lang w:val="es-ES_tradnl"/>
              </w:rPr>
            </w:pPr>
            <w:r w:rsidRPr="006C44CF">
              <w:rPr>
                <w:rFonts w:ascii="Arial" w:eastAsia="Calibri" w:hAnsi="Arial" w:cs="Arial"/>
                <w:lang w:val="es-ES_tradnl"/>
              </w:rPr>
              <w:t>LEY DE GARANTÍAS ELECTORALES ─ Definición ─ Finalidad / LEY DE GARANTÍAS ELECTORALES ─ Restricciones ─ Contratación ─ Tipos de elección / LEY DE GARANTÍAS ELECTORALES ─ Artículo 33 ─ Prohibición ─ Contratación directa ─ Alcance / LEY DE GARANTÍAS ELECTORALES ─</w:t>
            </w:r>
            <w:r w:rsidRPr="006C44CF">
              <w:rPr>
                <w:rFonts w:ascii="Arial" w:eastAsia="Times New Roman" w:hAnsi="Arial" w:cs="Arial"/>
                <w:lang w:val="es-ES_tradnl" w:eastAsia="es-CO"/>
              </w:rPr>
              <w:t xml:space="preserve"> </w:t>
            </w:r>
            <w:r w:rsidRPr="006C44CF">
              <w:rPr>
                <w:rFonts w:ascii="Arial" w:eastAsia="Calibri" w:hAnsi="Arial" w:cs="Arial"/>
                <w:lang w:val="es-ES_tradnl"/>
              </w:rPr>
              <w:t xml:space="preserve">Artículo 33 ─ </w:t>
            </w:r>
            <w:r w:rsidRPr="006C44CF">
              <w:rPr>
                <w:rFonts w:ascii="Arial" w:eastAsia="Times New Roman" w:hAnsi="Arial" w:cs="Arial"/>
                <w:lang w:val="es-ES_tradnl" w:eastAsia="es-CO"/>
              </w:rPr>
              <w:t>Excepciones</w:t>
            </w:r>
            <w:r w:rsidRPr="006C44CF">
              <w:rPr>
                <w:rFonts w:ascii="Arial" w:eastAsia="Calibri" w:hAnsi="Arial" w:cs="Arial"/>
                <w:lang w:val="es-ES_tradnl"/>
              </w:rPr>
              <w:t xml:space="preserve"> </w:t>
            </w:r>
            <w:r w:rsidRPr="006C44CF">
              <w:rPr>
                <w:rFonts w:ascii="Arial" w:hAnsi="Arial" w:cs="Arial"/>
                <w:lang w:val="es-ES_tradnl" w:eastAsia="x-none"/>
              </w:rPr>
              <w:t xml:space="preserve">/ </w:t>
            </w:r>
            <w:r w:rsidRPr="006C44CF">
              <w:rPr>
                <w:rFonts w:ascii="Arial" w:eastAsia="Calibri" w:hAnsi="Arial" w:cs="Arial"/>
                <w:lang w:val="es-ES_tradnl"/>
              </w:rPr>
              <w:t>LEY DE GARANTÍAS ELECTORALES ─</w:t>
            </w:r>
            <w:r w:rsidRPr="006C44CF">
              <w:rPr>
                <w:rFonts w:ascii="Arial" w:eastAsia="Times New Roman" w:hAnsi="Arial" w:cs="Arial"/>
                <w:lang w:val="es-ES_tradnl" w:eastAsia="es-CO"/>
              </w:rPr>
              <w:t xml:space="preserve"> </w:t>
            </w:r>
            <w:r w:rsidRPr="006C44CF">
              <w:rPr>
                <w:rFonts w:ascii="Arial" w:eastAsia="Calibri" w:hAnsi="Arial" w:cs="Arial"/>
                <w:lang w:val="es-ES_tradnl"/>
              </w:rPr>
              <w:t xml:space="preserve">Artículo 33 ─ Destinatarios </w:t>
            </w:r>
            <w:r w:rsidRPr="006C44CF">
              <w:rPr>
                <w:rFonts w:ascii="Arial" w:eastAsia="Calibri" w:hAnsi="Arial" w:cs="Arial"/>
                <w:noProof/>
                <w:lang w:val="es-ES_tradnl"/>
              </w:rPr>
              <w:t xml:space="preserve">/ </w:t>
            </w:r>
            <w:r w:rsidRPr="006C44CF">
              <w:rPr>
                <w:rFonts w:ascii="Arial" w:eastAsia="Calibri" w:hAnsi="Arial" w:cs="Arial"/>
                <w:lang w:val="es-ES_tradnl"/>
              </w:rPr>
              <w:t>LEY DE GARANTÍAS ELECTORALES ─</w:t>
            </w:r>
            <w:r w:rsidRPr="006C44CF">
              <w:rPr>
                <w:rFonts w:ascii="Arial" w:eastAsia="Times New Roman" w:hAnsi="Arial" w:cs="Arial"/>
                <w:lang w:val="es-ES_tradnl" w:eastAsia="es-CO"/>
              </w:rPr>
              <w:t xml:space="preserve"> </w:t>
            </w:r>
            <w:r w:rsidRPr="006C44CF">
              <w:rPr>
                <w:rFonts w:ascii="Arial" w:eastAsia="Calibri" w:hAnsi="Arial" w:cs="Arial"/>
                <w:lang w:val="es-ES_tradnl"/>
              </w:rPr>
              <w:t>Artículo 33 ─ Destinatarios – Personerías municipales / LEY DE GARANTÍAS ELECTORALES ─</w:t>
            </w:r>
            <w:r w:rsidRPr="006C44CF">
              <w:rPr>
                <w:rFonts w:ascii="Arial" w:eastAsia="Times New Roman" w:hAnsi="Arial" w:cs="Arial"/>
                <w:lang w:val="es-ES_tradnl" w:eastAsia="es-CO"/>
              </w:rPr>
              <w:t xml:space="preserve"> </w:t>
            </w:r>
            <w:r w:rsidRPr="006C44CF">
              <w:rPr>
                <w:rFonts w:ascii="Arial" w:eastAsia="Calibri" w:hAnsi="Arial" w:cs="Arial"/>
                <w:lang w:val="es-ES_tradnl"/>
              </w:rPr>
              <w:t xml:space="preserve">Artículo 33 ─ Prohibición ─ Contratación directa ─ Causales h) e i) artículo 2.4 Ley 1150 de 2007 </w:t>
            </w:r>
          </w:p>
          <w:p w14:paraId="497D2DED" w14:textId="77777777" w:rsidR="007326D7" w:rsidRPr="00FC136A" w:rsidRDefault="007326D7" w:rsidP="00FC4201">
            <w:pPr>
              <w:tabs>
                <w:tab w:val="left" w:pos="426"/>
              </w:tabs>
              <w:contextualSpacing/>
              <w:jc w:val="both"/>
              <w:rPr>
                <w:rFonts w:ascii="Arial" w:eastAsia="Calibri" w:hAnsi="Arial" w:cs="Arial"/>
                <w:noProof/>
                <w:highlight w:val="yellow"/>
                <w:lang w:val="es-ES_tradnl"/>
              </w:rPr>
            </w:pPr>
          </w:p>
          <w:p w14:paraId="49F01C07" w14:textId="77777777" w:rsidR="00134409" w:rsidRPr="00FC136A" w:rsidRDefault="00134409" w:rsidP="00FC4201">
            <w:pPr>
              <w:tabs>
                <w:tab w:val="left" w:pos="426"/>
              </w:tabs>
              <w:contextualSpacing/>
              <w:jc w:val="both"/>
              <w:rPr>
                <w:rFonts w:ascii="Arial" w:eastAsia="Calibri" w:hAnsi="Arial" w:cs="Arial"/>
                <w:highlight w:val="yellow"/>
                <w:lang w:val="es-MX"/>
              </w:rPr>
            </w:pPr>
          </w:p>
        </w:tc>
      </w:tr>
      <w:tr w:rsidR="00FC136A" w:rsidRPr="00FC136A" w14:paraId="33E4387E" w14:textId="77777777" w:rsidTr="00281F3C">
        <w:tc>
          <w:tcPr>
            <w:tcW w:w="2689" w:type="dxa"/>
          </w:tcPr>
          <w:p w14:paraId="33C63F10" w14:textId="71AACAE7" w:rsidR="00134409" w:rsidRPr="00FC136A" w:rsidRDefault="00134409" w:rsidP="00FC4201">
            <w:pPr>
              <w:contextualSpacing/>
              <w:rPr>
                <w:rFonts w:ascii="Arial" w:eastAsia="Calibri" w:hAnsi="Arial" w:cs="Arial"/>
                <w:b/>
                <w:noProof/>
                <w:lang w:val="es-ES_tradnl"/>
              </w:rPr>
            </w:pPr>
            <w:r w:rsidRPr="00FC136A">
              <w:rPr>
                <w:rFonts w:ascii="Arial" w:eastAsia="Calibri" w:hAnsi="Arial" w:cs="Arial"/>
                <w:b/>
                <w:noProof/>
                <w:lang w:val="es-ES_tradnl"/>
              </w:rPr>
              <w:t>Radicación:</w:t>
            </w:r>
            <w:r w:rsidRPr="00FC136A">
              <w:rPr>
                <w:rFonts w:ascii="Arial" w:eastAsia="Calibri" w:hAnsi="Arial" w:cs="Arial"/>
                <w:noProof/>
                <w:lang w:val="es-ES_tradnl"/>
              </w:rPr>
              <w:t xml:space="preserve">                              </w:t>
            </w:r>
          </w:p>
        </w:tc>
        <w:tc>
          <w:tcPr>
            <w:tcW w:w="6237" w:type="dxa"/>
          </w:tcPr>
          <w:p w14:paraId="576E0C8C" w14:textId="1A67FC1F" w:rsidR="00134409" w:rsidRPr="00FC136A" w:rsidRDefault="00134409" w:rsidP="00FC4201">
            <w:pPr>
              <w:contextualSpacing/>
              <w:jc w:val="both"/>
              <w:rPr>
                <w:rFonts w:ascii="Arial" w:eastAsia="Calibri" w:hAnsi="Arial" w:cs="Arial"/>
                <w:noProof/>
                <w:lang w:val="es-ES_tradnl"/>
              </w:rPr>
            </w:pPr>
            <w:r w:rsidRPr="00FC136A">
              <w:rPr>
                <w:rFonts w:ascii="Arial" w:eastAsia="Calibri" w:hAnsi="Arial" w:cs="Arial"/>
                <w:noProof/>
                <w:lang w:val="es-ES_tradnl"/>
              </w:rPr>
              <w:t xml:space="preserve">Respuesta a consulta </w:t>
            </w:r>
            <w:r w:rsidR="00FC4201" w:rsidRPr="00FC136A">
              <w:rPr>
                <w:rFonts w:ascii="Arial" w:eastAsia="Calibri" w:hAnsi="Arial" w:cs="Arial"/>
                <w:noProof/>
                <w:lang w:val="es-ES_tradnl"/>
              </w:rPr>
              <w:t>P20220419003797</w:t>
            </w:r>
          </w:p>
        </w:tc>
      </w:tr>
    </w:tbl>
    <w:p w14:paraId="55580740" w14:textId="77777777" w:rsidR="00134409" w:rsidRPr="00FC136A" w:rsidRDefault="00134409" w:rsidP="00FC4201">
      <w:pPr>
        <w:spacing w:after="0" w:line="240" w:lineRule="auto"/>
        <w:contextualSpacing/>
        <w:jc w:val="both"/>
        <w:rPr>
          <w:rFonts w:ascii="Arial" w:eastAsia="Calibri" w:hAnsi="Arial" w:cs="Arial"/>
        </w:rPr>
      </w:pPr>
    </w:p>
    <w:p w14:paraId="2D1AF50C" w14:textId="77777777" w:rsidR="00134409" w:rsidRPr="00FC136A" w:rsidRDefault="00134409" w:rsidP="00FC4201">
      <w:pPr>
        <w:spacing w:after="0" w:line="240" w:lineRule="auto"/>
        <w:contextualSpacing/>
        <w:jc w:val="both"/>
        <w:rPr>
          <w:rFonts w:ascii="Arial" w:eastAsia="Calibri" w:hAnsi="Arial" w:cs="Arial"/>
        </w:rPr>
      </w:pPr>
    </w:p>
    <w:p w14:paraId="7E379C2E" w14:textId="29FEA5A9" w:rsidR="00134409" w:rsidRPr="00036112" w:rsidRDefault="00134409" w:rsidP="0020208C">
      <w:pPr>
        <w:spacing w:after="0" w:line="276" w:lineRule="auto"/>
        <w:contextualSpacing/>
        <w:jc w:val="both"/>
        <w:rPr>
          <w:rFonts w:ascii="Arial" w:eastAsia="Calibri" w:hAnsi="Arial" w:cs="Arial"/>
        </w:rPr>
      </w:pPr>
      <w:r w:rsidRPr="00036112">
        <w:rPr>
          <w:rFonts w:ascii="Arial" w:eastAsia="Calibri" w:hAnsi="Arial" w:cs="Arial"/>
        </w:rPr>
        <w:t>Estimad</w:t>
      </w:r>
      <w:r w:rsidR="00EB41A8" w:rsidRPr="00036112">
        <w:rPr>
          <w:rFonts w:ascii="Arial" w:eastAsia="Calibri" w:hAnsi="Arial" w:cs="Arial"/>
        </w:rPr>
        <w:t>a</w:t>
      </w:r>
      <w:r w:rsidRPr="00036112">
        <w:rPr>
          <w:rFonts w:ascii="Arial" w:eastAsia="Calibri" w:hAnsi="Arial" w:cs="Arial"/>
        </w:rPr>
        <w:t xml:space="preserve"> señor</w:t>
      </w:r>
      <w:r w:rsidR="00EB41A8" w:rsidRPr="00036112">
        <w:rPr>
          <w:rFonts w:ascii="Arial" w:eastAsia="Calibri" w:hAnsi="Arial" w:cs="Arial"/>
        </w:rPr>
        <w:t>a</w:t>
      </w:r>
      <w:r w:rsidRPr="00036112">
        <w:rPr>
          <w:rFonts w:ascii="Arial" w:eastAsia="Calibri" w:hAnsi="Arial" w:cs="Arial"/>
        </w:rPr>
        <w:t xml:space="preserve"> </w:t>
      </w:r>
      <w:proofErr w:type="spellStart"/>
      <w:r w:rsidR="00EB41A8" w:rsidRPr="00036112">
        <w:rPr>
          <w:rFonts w:ascii="Arial" w:eastAsia="Calibri" w:hAnsi="Arial" w:cs="Arial"/>
        </w:rPr>
        <w:t>Tuiran</w:t>
      </w:r>
      <w:proofErr w:type="spellEnd"/>
      <w:r w:rsidRPr="00036112">
        <w:rPr>
          <w:rFonts w:ascii="Arial" w:eastAsia="Calibri" w:hAnsi="Arial" w:cs="Arial"/>
        </w:rPr>
        <w:t>:</w:t>
      </w:r>
    </w:p>
    <w:p w14:paraId="366F9436" w14:textId="77777777" w:rsidR="00134409" w:rsidRPr="00036112" w:rsidRDefault="00134409" w:rsidP="0020208C">
      <w:pPr>
        <w:spacing w:after="0" w:line="276" w:lineRule="auto"/>
        <w:ind w:firstLine="709"/>
        <w:contextualSpacing/>
        <w:jc w:val="both"/>
        <w:rPr>
          <w:rFonts w:ascii="Arial" w:eastAsia="Calibri" w:hAnsi="Arial" w:cs="Arial"/>
        </w:rPr>
      </w:pPr>
    </w:p>
    <w:p w14:paraId="7195AD10" w14:textId="5A880040" w:rsidR="00134409" w:rsidRPr="00036112" w:rsidRDefault="00134409" w:rsidP="0020208C">
      <w:pPr>
        <w:spacing w:after="0" w:line="276" w:lineRule="auto"/>
        <w:ind w:right="51"/>
        <w:contextualSpacing/>
        <w:jc w:val="both"/>
        <w:rPr>
          <w:rFonts w:ascii="Arial" w:eastAsia="Calibri" w:hAnsi="Arial" w:cs="Arial"/>
        </w:rPr>
      </w:pPr>
      <w:r w:rsidRPr="00036112">
        <w:rPr>
          <w:rFonts w:ascii="Arial" w:eastAsia="Calibri" w:hAnsi="Arial" w:cs="Arial"/>
        </w:rPr>
        <w:t xml:space="preserve">En ejercicio de la competencia otorgada por el numeral 8 del artículo 11 y el numeral 5 del artículo 3 del Decreto Ley 4170 de 2011, la Agencia Nacional de Contratación Pública – Colombia Compra Eficiente responde la consulta radicada el </w:t>
      </w:r>
      <w:r w:rsidR="00C156A7" w:rsidRPr="00036112">
        <w:rPr>
          <w:rFonts w:ascii="Arial" w:eastAsia="Calibri" w:hAnsi="Arial" w:cs="Arial"/>
        </w:rPr>
        <w:t>18 de abril</w:t>
      </w:r>
      <w:r w:rsidRPr="00036112">
        <w:rPr>
          <w:rFonts w:ascii="Arial" w:eastAsia="Calibri" w:hAnsi="Arial" w:cs="Arial"/>
        </w:rPr>
        <w:t xml:space="preserve"> de 2022. </w:t>
      </w:r>
    </w:p>
    <w:p w14:paraId="161D29AA" w14:textId="77777777" w:rsidR="00134409" w:rsidRPr="001B0ECD" w:rsidRDefault="00134409" w:rsidP="0020208C">
      <w:pPr>
        <w:spacing w:after="0" w:line="276" w:lineRule="auto"/>
        <w:contextualSpacing/>
        <w:jc w:val="both"/>
        <w:rPr>
          <w:rFonts w:ascii="Arial" w:eastAsia="Calibri" w:hAnsi="Arial" w:cs="Arial"/>
        </w:rPr>
      </w:pPr>
    </w:p>
    <w:p w14:paraId="77D41321" w14:textId="77777777" w:rsidR="00134409" w:rsidRPr="001B0ECD" w:rsidRDefault="00134409" w:rsidP="0020208C">
      <w:pPr>
        <w:tabs>
          <w:tab w:val="left" w:pos="284"/>
        </w:tabs>
        <w:spacing w:after="0" w:line="276" w:lineRule="auto"/>
        <w:contextualSpacing/>
        <w:jc w:val="both"/>
        <w:rPr>
          <w:rFonts w:ascii="Arial" w:eastAsia="Calibri" w:hAnsi="Arial" w:cs="Arial"/>
          <w:b/>
        </w:rPr>
      </w:pPr>
      <w:r w:rsidRPr="001B0ECD">
        <w:rPr>
          <w:rFonts w:ascii="Arial" w:eastAsia="Calibri" w:hAnsi="Arial" w:cs="Arial"/>
          <w:b/>
        </w:rPr>
        <w:t xml:space="preserve">1. Problema planteado </w:t>
      </w:r>
    </w:p>
    <w:p w14:paraId="1DEED7EB" w14:textId="77777777" w:rsidR="00134409" w:rsidRPr="001B0ECD" w:rsidRDefault="00134409" w:rsidP="0020208C">
      <w:pPr>
        <w:tabs>
          <w:tab w:val="left" w:pos="284"/>
        </w:tabs>
        <w:spacing w:after="0" w:line="276" w:lineRule="auto"/>
        <w:ind w:firstLine="709"/>
        <w:contextualSpacing/>
        <w:jc w:val="both"/>
        <w:rPr>
          <w:rFonts w:ascii="Arial" w:eastAsia="Calibri" w:hAnsi="Arial" w:cs="Arial"/>
          <w:b/>
        </w:rPr>
      </w:pPr>
    </w:p>
    <w:p w14:paraId="4C67EE9C" w14:textId="77777777" w:rsidR="00036112" w:rsidRPr="001B0ECD" w:rsidRDefault="00134409" w:rsidP="0020208C">
      <w:pPr>
        <w:spacing w:after="0" w:line="276" w:lineRule="auto"/>
        <w:contextualSpacing/>
        <w:jc w:val="both"/>
        <w:rPr>
          <w:rFonts w:ascii="Arial" w:eastAsia="Times New Roman" w:hAnsi="Arial" w:cs="Arial"/>
          <w:lang w:eastAsia="es-ES_tradnl"/>
        </w:rPr>
      </w:pPr>
      <w:bookmarkStart w:id="5" w:name="_Hlk58917991"/>
      <w:bookmarkStart w:id="6" w:name="_Hlk56103000"/>
      <w:r w:rsidRPr="001B0ECD">
        <w:rPr>
          <w:rFonts w:ascii="Arial" w:eastAsia="Times New Roman" w:hAnsi="Arial" w:cs="Arial"/>
          <w:lang w:eastAsia="es-ES_tradnl"/>
        </w:rPr>
        <w:t xml:space="preserve">Respecto de la Ley de Garantías Electorales, usted realiza la siguiente </w:t>
      </w:r>
      <w:r w:rsidR="00036112" w:rsidRPr="001B0ECD">
        <w:rPr>
          <w:rFonts w:ascii="Arial" w:eastAsia="Times New Roman" w:hAnsi="Arial" w:cs="Arial"/>
          <w:lang w:eastAsia="es-ES_tradnl"/>
        </w:rPr>
        <w:t>consulta</w:t>
      </w:r>
      <w:r w:rsidRPr="001B0ECD">
        <w:rPr>
          <w:rFonts w:ascii="Arial" w:eastAsia="Times New Roman" w:hAnsi="Arial" w:cs="Arial"/>
          <w:lang w:eastAsia="es-ES_tradnl"/>
        </w:rPr>
        <w:t>:</w:t>
      </w:r>
    </w:p>
    <w:p w14:paraId="0AF3732F" w14:textId="77777777" w:rsidR="00036112" w:rsidRPr="001B0ECD" w:rsidRDefault="00036112" w:rsidP="001B0ECD">
      <w:pPr>
        <w:spacing w:after="0" w:line="240" w:lineRule="auto"/>
        <w:ind w:left="709" w:right="709"/>
        <w:contextualSpacing/>
        <w:jc w:val="both"/>
        <w:rPr>
          <w:rFonts w:ascii="Arial" w:eastAsia="Times New Roman" w:hAnsi="Arial" w:cs="Arial"/>
          <w:sz w:val="21"/>
          <w:szCs w:val="21"/>
          <w:lang w:eastAsia="es-ES_tradnl"/>
        </w:rPr>
      </w:pPr>
      <w:bookmarkStart w:id="7" w:name="_Hlk94514883"/>
    </w:p>
    <w:p w14:paraId="3103846B" w14:textId="08F99B84" w:rsidR="001B0ECD" w:rsidRPr="001B0ECD" w:rsidRDefault="001B0ECD" w:rsidP="001B0ECD">
      <w:pPr>
        <w:spacing w:after="0" w:line="240" w:lineRule="auto"/>
        <w:ind w:left="709" w:right="709"/>
        <w:contextualSpacing/>
        <w:jc w:val="both"/>
        <w:rPr>
          <w:rFonts w:ascii="Arial" w:hAnsi="Arial" w:cs="Arial"/>
          <w:sz w:val="21"/>
          <w:szCs w:val="21"/>
        </w:rPr>
      </w:pPr>
      <w:r w:rsidRPr="001B0ECD">
        <w:rPr>
          <w:rFonts w:ascii="Arial" w:eastAsia="Times New Roman" w:hAnsi="Arial" w:cs="Arial"/>
          <w:sz w:val="21"/>
          <w:szCs w:val="21"/>
          <w:lang w:eastAsia="es-ES_tradnl"/>
        </w:rPr>
        <w:t>«</w:t>
      </w:r>
      <w:r w:rsidRPr="001B0ECD">
        <w:rPr>
          <w:rFonts w:ascii="Arial" w:hAnsi="Arial" w:cs="Arial"/>
          <w:sz w:val="21"/>
          <w:szCs w:val="21"/>
        </w:rPr>
        <w:t xml:space="preserve">1. ¿son aplicables a las personerías municipales las restricciones en materia de contracción pública directa establecidas por la ley de garantías electorales? </w:t>
      </w:r>
    </w:p>
    <w:p w14:paraId="4AC12FE2" w14:textId="77777777" w:rsidR="001B0ECD" w:rsidRPr="001B0ECD" w:rsidRDefault="001B0ECD" w:rsidP="001B0ECD">
      <w:pPr>
        <w:spacing w:after="0" w:line="240" w:lineRule="auto"/>
        <w:ind w:left="709" w:right="709"/>
        <w:contextualSpacing/>
        <w:jc w:val="both"/>
        <w:rPr>
          <w:rFonts w:ascii="Arial" w:hAnsi="Arial" w:cs="Arial"/>
          <w:sz w:val="21"/>
          <w:szCs w:val="21"/>
        </w:rPr>
      </w:pPr>
    </w:p>
    <w:p w14:paraId="6EDE20D2" w14:textId="4F587299" w:rsidR="00134409" w:rsidRPr="001B0ECD" w:rsidRDefault="001B0ECD" w:rsidP="001B0ECD">
      <w:pPr>
        <w:spacing w:after="0" w:line="240" w:lineRule="auto"/>
        <w:ind w:left="709" w:right="709"/>
        <w:contextualSpacing/>
        <w:jc w:val="both"/>
        <w:rPr>
          <w:rFonts w:ascii="Arial" w:eastAsia="Times New Roman" w:hAnsi="Arial" w:cs="Arial"/>
          <w:sz w:val="21"/>
          <w:szCs w:val="21"/>
          <w:lang w:eastAsia="es-ES_tradnl"/>
        </w:rPr>
      </w:pPr>
      <w:r w:rsidRPr="001B0ECD">
        <w:rPr>
          <w:rFonts w:ascii="Arial" w:hAnsi="Arial" w:cs="Arial"/>
          <w:sz w:val="21"/>
          <w:szCs w:val="21"/>
        </w:rPr>
        <w:t>2. ¿pueden por necesidad del servicio, las personerías municipales en el actual periodo preelectoral, celebrar directamente contratos de arriendo de inmueble para su funcionamiento de su sede, o de prestación de servicios profesionales de asesoría contable y financiera, tendiendo en cuenta que son los únicos contratos que celebra bajo esta modalidad de forma habitual?</w:t>
      </w:r>
      <w:r w:rsidR="00134409" w:rsidRPr="001B0ECD">
        <w:rPr>
          <w:rFonts w:ascii="Arial" w:eastAsia="Times New Roman" w:hAnsi="Arial" w:cs="Arial"/>
          <w:sz w:val="21"/>
          <w:szCs w:val="21"/>
          <w:lang w:eastAsia="es-ES_tradnl"/>
        </w:rPr>
        <w:t>»</w:t>
      </w:r>
      <w:bookmarkEnd w:id="7"/>
      <w:r w:rsidRPr="001B0ECD">
        <w:rPr>
          <w:rFonts w:ascii="Arial" w:eastAsia="Times New Roman" w:hAnsi="Arial" w:cs="Arial"/>
          <w:sz w:val="21"/>
          <w:szCs w:val="21"/>
          <w:lang w:eastAsia="es-ES_tradnl"/>
        </w:rPr>
        <w:t xml:space="preserve">. </w:t>
      </w:r>
    </w:p>
    <w:p w14:paraId="5A9DF8F2" w14:textId="77777777" w:rsidR="00134409" w:rsidRPr="0020208C" w:rsidRDefault="00134409" w:rsidP="00134409">
      <w:pPr>
        <w:tabs>
          <w:tab w:val="left" w:pos="426"/>
        </w:tabs>
        <w:spacing w:after="0" w:line="276" w:lineRule="auto"/>
        <w:contextualSpacing/>
        <w:jc w:val="both"/>
        <w:rPr>
          <w:rFonts w:ascii="Arial" w:eastAsia="Calibri" w:hAnsi="Arial" w:cs="Arial"/>
        </w:rPr>
      </w:pPr>
    </w:p>
    <w:bookmarkEnd w:id="5"/>
    <w:bookmarkEnd w:id="6"/>
    <w:p w14:paraId="7964420A" w14:textId="77777777" w:rsidR="00134409" w:rsidRPr="0020208C" w:rsidRDefault="00134409" w:rsidP="00134409">
      <w:pPr>
        <w:tabs>
          <w:tab w:val="left" w:pos="284"/>
        </w:tabs>
        <w:spacing w:after="0" w:line="276" w:lineRule="auto"/>
        <w:contextualSpacing/>
        <w:jc w:val="both"/>
        <w:rPr>
          <w:rFonts w:ascii="Arial" w:eastAsia="Calibri" w:hAnsi="Arial" w:cs="Arial"/>
          <w:b/>
        </w:rPr>
      </w:pPr>
      <w:r w:rsidRPr="0020208C">
        <w:rPr>
          <w:rFonts w:ascii="Arial" w:eastAsia="Calibri" w:hAnsi="Arial" w:cs="Arial"/>
          <w:b/>
        </w:rPr>
        <w:t>2. Consideraciones</w:t>
      </w:r>
    </w:p>
    <w:p w14:paraId="16466994" w14:textId="77777777" w:rsidR="00134409" w:rsidRPr="0020208C" w:rsidRDefault="00134409" w:rsidP="00134409">
      <w:pPr>
        <w:tabs>
          <w:tab w:val="left" w:pos="426"/>
        </w:tabs>
        <w:spacing w:after="0" w:line="276" w:lineRule="auto"/>
        <w:ind w:firstLine="709"/>
        <w:contextualSpacing/>
        <w:jc w:val="both"/>
        <w:rPr>
          <w:rFonts w:ascii="Arial" w:eastAsia="Calibri" w:hAnsi="Arial" w:cs="Arial"/>
          <w:bCs/>
        </w:rPr>
      </w:pPr>
    </w:p>
    <w:p w14:paraId="7D553FEA" w14:textId="77777777" w:rsidR="00DA104E" w:rsidRPr="00DA104E" w:rsidRDefault="00DA104E" w:rsidP="00DA104E">
      <w:pPr>
        <w:spacing w:after="120" w:line="276" w:lineRule="auto"/>
        <w:jc w:val="both"/>
        <w:rPr>
          <w:rFonts w:ascii="Arial" w:eastAsia="Calibri" w:hAnsi="Arial" w:cs="Arial"/>
          <w:color w:val="000000"/>
        </w:rPr>
      </w:pPr>
      <w:bookmarkStart w:id="8" w:name="_Hlk96420693"/>
      <w:r w:rsidRPr="00DA104E">
        <w:rPr>
          <w:rFonts w:ascii="Arial" w:eastAsia="Calibri" w:hAnsi="Arial" w:cs="Arial"/>
          <w:color w:val="000000"/>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r w:rsidRPr="00DA104E">
        <w:rPr>
          <w:rFonts w:ascii="Arial" w:eastAsia="Calibri" w:hAnsi="Arial" w:cs="Arial"/>
          <w:color w:val="000000"/>
          <w:vertAlign w:val="superscript"/>
        </w:rPr>
        <w:footnoteReference w:id="1"/>
      </w:r>
      <w:r w:rsidRPr="00DA104E">
        <w:rPr>
          <w:rFonts w:ascii="Arial" w:eastAsia="Calibri" w:hAnsi="Arial" w:cs="Arial"/>
          <w:color w:val="000000"/>
        </w:rPr>
        <w:t>. Es necesario tener en cuenta que esta entidad solo tiene competencia para responder solicitudes sobre la aplicación de normas de carácter general en materia de compras y contratación pública. En ese sentido, resolver casos concretos desborda las atribuciones asignadas por el legislador extraordinario, que no concibió a Colombia Compra Eficiente como una autoridad para solucionar problemas jurídicos particulares de todos los partícipes de la contratación estatal.</w:t>
      </w:r>
    </w:p>
    <w:p w14:paraId="4A81F928" w14:textId="77777777" w:rsidR="00DA104E" w:rsidRPr="00DA104E" w:rsidRDefault="00DA104E" w:rsidP="00DA104E">
      <w:pPr>
        <w:spacing w:before="120" w:after="120" w:line="276" w:lineRule="auto"/>
        <w:ind w:firstLine="708"/>
        <w:jc w:val="both"/>
        <w:rPr>
          <w:rFonts w:ascii="Arial" w:eastAsia="Calibri" w:hAnsi="Arial" w:cs="Arial"/>
          <w:color w:val="000000"/>
        </w:rPr>
      </w:pPr>
      <w:r w:rsidRPr="00DA104E">
        <w:rPr>
          <w:rFonts w:ascii="Arial" w:eastAsia="Calibri" w:hAnsi="Arial" w:cs="Arial"/>
          <w:color w:val="000000"/>
        </w:rPr>
        <w:t xml:space="preserve">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Por lo anterior, previo concepto de sus órganos asesores, la solución de estos temas corresponde a la </w:t>
      </w:r>
      <w:r w:rsidRPr="00DA104E">
        <w:rPr>
          <w:rFonts w:ascii="Arial" w:eastAsia="Calibri" w:hAnsi="Arial" w:cs="Arial"/>
          <w:color w:val="000000"/>
        </w:rPr>
        <w:lastRenderedPageBreak/>
        <w:t>entidad que adelanta el procedimiento de selección y, en caso de conflicto, a las autoridades judiciales, fiscales y disciplinarias.</w:t>
      </w:r>
    </w:p>
    <w:p w14:paraId="774044D3" w14:textId="77777777" w:rsidR="00DA104E" w:rsidRPr="00DA104E" w:rsidRDefault="00DA104E" w:rsidP="00DA104E">
      <w:pPr>
        <w:spacing w:before="120" w:after="120" w:line="276" w:lineRule="auto"/>
        <w:ind w:firstLine="708"/>
        <w:jc w:val="both"/>
        <w:rPr>
          <w:rFonts w:ascii="Arial" w:eastAsia="Calibri" w:hAnsi="Arial" w:cs="Arial"/>
          <w:color w:val="000000"/>
        </w:rPr>
      </w:pPr>
      <w:r w:rsidRPr="00DA104E">
        <w:rPr>
          <w:rFonts w:ascii="Arial" w:eastAsia="Calibri" w:hAnsi="Arial" w:cs="Arial"/>
          <w:bCs/>
          <w:color w:val="000000"/>
          <w:lang w:eastAsia="es-CO"/>
        </w:rPr>
        <w:t>Bajo estas consideraciones, corresponde a cada entidad pública, en ejercicio de su competencia y previa valoración de los elementos fácticos y jurídicos, determinar si es procedente o no la celebración de un determinado contrato en específico. Al tratarse de un análisis que se debe realizar en cada caso concreto, la Agencia, por vía consultiva, no puede definir un criterio universal y absoluto, sino que brinda elementos hermenéuticos de carácter general para que los partícipes del sistema de compras y contratación pública adopten la decisión que corresponda, lo cual es acorde con el principio de juridicidad.</w:t>
      </w:r>
    </w:p>
    <w:p w14:paraId="24F238FD" w14:textId="46F46757" w:rsidR="003F3811" w:rsidRPr="003F3811" w:rsidRDefault="00DA104E" w:rsidP="003F3811">
      <w:pPr>
        <w:spacing w:before="120" w:after="120" w:line="276" w:lineRule="auto"/>
        <w:ind w:firstLine="708"/>
        <w:jc w:val="both"/>
        <w:rPr>
          <w:rFonts w:ascii="Arial" w:eastAsia="Calibri" w:hAnsi="Arial" w:cs="Arial"/>
          <w:color w:val="000000"/>
        </w:rPr>
      </w:pPr>
      <w:r w:rsidRPr="00DA104E">
        <w:rPr>
          <w:rFonts w:ascii="Arial" w:eastAsia="Calibri" w:hAnsi="Arial" w:cs="Arial"/>
          <w:color w:val="000000"/>
        </w:rPr>
        <w:t xml:space="preserve">Sin perjuicio de lo anterior, </w:t>
      </w:r>
      <w:r w:rsidRPr="00DA104E">
        <w:rPr>
          <w:rFonts w:ascii="Arial" w:eastAsia="Calibri" w:hAnsi="Arial" w:cs="Arial"/>
          <w:color w:val="000000"/>
          <w:lang w:val="es-ES"/>
        </w:rPr>
        <w:t xml:space="preserve">la Agencia –dentro de los límites de sus atribuciones, esto es, </w:t>
      </w:r>
      <w:bookmarkStart w:id="9" w:name="_Hlk61025408"/>
      <w:r w:rsidRPr="00DA104E">
        <w:rPr>
          <w:rFonts w:ascii="Arial" w:eastAsia="Calibri" w:hAnsi="Arial" w:cs="Arial"/>
          <w:color w:val="000000"/>
          <w:lang w:val="es-ES"/>
        </w:rPr>
        <w:t>haciendo abstracción del caso particular expuesto por el peticionario</w:t>
      </w:r>
      <w:bookmarkEnd w:id="9"/>
      <w:r w:rsidRPr="00DA104E">
        <w:rPr>
          <w:rFonts w:ascii="Arial" w:eastAsia="Calibri" w:hAnsi="Arial" w:cs="Arial"/>
          <w:color w:val="000000"/>
          <w:lang w:val="es-ES"/>
        </w:rPr>
        <w:t xml:space="preserve">– resolverá la consulta conforme a las normas generales en materia de contratación estatal. </w:t>
      </w:r>
      <w:r w:rsidRPr="00DA104E">
        <w:rPr>
          <w:rFonts w:ascii="Arial" w:eastAsia="Calibri" w:hAnsi="Arial" w:cs="Arial"/>
          <w:color w:val="000000" w:themeColor="text1"/>
          <w:lang w:val="es-ES"/>
        </w:rPr>
        <w:t>Con este objetivo se analizarán los siguientes temas</w:t>
      </w:r>
      <w:r w:rsidR="003F3811">
        <w:rPr>
          <w:rFonts w:ascii="Arial" w:eastAsia="Calibri" w:hAnsi="Arial" w:cs="Arial"/>
          <w:color w:val="000000"/>
        </w:rPr>
        <w:t xml:space="preserve">: </w:t>
      </w:r>
      <w:r w:rsidR="003F3811" w:rsidRPr="007702EC">
        <w:rPr>
          <w:rFonts w:ascii="Arial" w:eastAsia="Calibri" w:hAnsi="Arial" w:cs="Arial"/>
          <w:lang w:val="es-ES_tradnl"/>
        </w:rPr>
        <w:t xml:space="preserve">i) </w:t>
      </w:r>
      <w:r w:rsidR="000F2B5A">
        <w:rPr>
          <w:rFonts w:ascii="Arial" w:eastAsia="Calibri" w:hAnsi="Arial" w:cs="Arial"/>
          <w:lang w:val="es-ES_tradnl"/>
        </w:rPr>
        <w:t>d</w:t>
      </w:r>
      <w:r w:rsidR="003F3811" w:rsidRPr="007702EC">
        <w:rPr>
          <w:rFonts w:ascii="Arial" w:eastAsia="Calibri" w:hAnsi="Arial" w:cs="Arial"/>
          <w:lang w:val="es-ES_tradnl"/>
        </w:rPr>
        <w:t xml:space="preserve">efinición y finalidad de la Ley de Garantías Electorales: alcance de las restricciones; </w:t>
      </w:r>
      <w:proofErr w:type="spellStart"/>
      <w:r w:rsidR="003F3811" w:rsidRPr="007702EC">
        <w:rPr>
          <w:rFonts w:ascii="Arial" w:eastAsia="Calibri" w:hAnsi="Arial" w:cs="Arial"/>
          <w:lang w:val="es-ES_tradnl"/>
        </w:rPr>
        <w:t>ii</w:t>
      </w:r>
      <w:proofErr w:type="spellEnd"/>
      <w:r w:rsidR="003F3811" w:rsidRPr="007702EC">
        <w:rPr>
          <w:rFonts w:ascii="Arial" w:eastAsia="Calibri" w:hAnsi="Arial" w:cs="Arial"/>
          <w:lang w:val="es-ES_tradnl"/>
        </w:rPr>
        <w:t xml:space="preserve">) </w:t>
      </w:r>
      <w:r w:rsidR="000F2B5A">
        <w:rPr>
          <w:rFonts w:ascii="Arial" w:hAnsi="Arial" w:cs="Arial"/>
          <w:lang w:val="es-ES_tradnl" w:eastAsia="es-CO"/>
        </w:rPr>
        <w:t>r</w:t>
      </w:r>
      <w:r w:rsidR="003F3811" w:rsidRPr="007702EC">
        <w:rPr>
          <w:rFonts w:ascii="Arial" w:hAnsi="Arial" w:cs="Arial"/>
          <w:lang w:val="es-ES_tradnl" w:eastAsia="es-CO"/>
        </w:rPr>
        <w:t xml:space="preserve">estricciones especiales aplicables de cara a las elecciones presidenciales; </w:t>
      </w:r>
      <w:proofErr w:type="spellStart"/>
      <w:r w:rsidR="003F3811" w:rsidRPr="007702EC">
        <w:rPr>
          <w:rFonts w:ascii="Arial" w:hAnsi="Arial" w:cs="Arial"/>
          <w:lang w:val="es-ES_tradnl" w:eastAsia="es-CO"/>
        </w:rPr>
        <w:t>iii</w:t>
      </w:r>
      <w:proofErr w:type="spellEnd"/>
      <w:r w:rsidR="003F3811" w:rsidRPr="007702EC">
        <w:rPr>
          <w:rFonts w:ascii="Arial" w:hAnsi="Arial" w:cs="Arial"/>
          <w:lang w:val="es-ES_tradnl" w:eastAsia="es-CO"/>
        </w:rPr>
        <w:t xml:space="preserve">) ámbito de aplicación de la prohibición consagrada en el artículo 33 de la Ley 996 de 2005; </w:t>
      </w:r>
      <w:proofErr w:type="spellStart"/>
      <w:r w:rsidR="003F3811" w:rsidRPr="007702EC">
        <w:rPr>
          <w:rFonts w:ascii="Arial" w:hAnsi="Arial" w:cs="Arial"/>
          <w:lang w:val="es-ES_tradnl" w:eastAsia="es-CO"/>
        </w:rPr>
        <w:t>iv</w:t>
      </w:r>
      <w:proofErr w:type="spellEnd"/>
      <w:r w:rsidR="003F3811" w:rsidRPr="007702EC">
        <w:rPr>
          <w:rFonts w:ascii="Arial" w:hAnsi="Arial" w:cs="Arial"/>
          <w:lang w:val="es-ES_tradnl" w:eastAsia="es-CO"/>
        </w:rPr>
        <w:t xml:space="preserve">) </w:t>
      </w:r>
      <w:r w:rsidR="000F2B5A" w:rsidRPr="007702EC">
        <w:rPr>
          <w:rFonts w:ascii="Arial" w:hAnsi="Arial" w:cs="Arial"/>
          <w:lang w:eastAsia="es-CO"/>
        </w:rPr>
        <w:t>destinatarios</w:t>
      </w:r>
      <w:r w:rsidR="003F3811" w:rsidRPr="007702EC">
        <w:rPr>
          <w:rFonts w:ascii="Arial" w:hAnsi="Arial" w:cs="Arial"/>
          <w:lang w:eastAsia="es-CO"/>
        </w:rPr>
        <w:t xml:space="preserve"> de la restricción del artículo 33 de la Ley 996 de 2005</w:t>
      </w:r>
      <w:r w:rsidR="003F3811">
        <w:rPr>
          <w:rFonts w:ascii="Arial" w:hAnsi="Arial" w:cs="Arial"/>
          <w:lang w:eastAsia="es-CO"/>
        </w:rPr>
        <w:t xml:space="preserve">. </w:t>
      </w:r>
    </w:p>
    <w:p w14:paraId="761D315D" w14:textId="4FB2AD6E" w:rsidR="00134409" w:rsidRPr="00237275" w:rsidRDefault="00134409" w:rsidP="00237275">
      <w:pPr>
        <w:tabs>
          <w:tab w:val="left" w:pos="426"/>
        </w:tabs>
        <w:spacing w:before="120" w:after="0" w:line="276" w:lineRule="auto"/>
        <w:ind w:firstLine="709"/>
        <w:contextualSpacing/>
        <w:jc w:val="both"/>
        <w:rPr>
          <w:rFonts w:ascii="Arial" w:hAnsi="Arial" w:cs="Arial"/>
        </w:rPr>
      </w:pPr>
      <w:r w:rsidRPr="00237275">
        <w:rPr>
          <w:rFonts w:ascii="Arial" w:eastAsia="Calibri" w:hAnsi="Arial" w:cs="Arial"/>
          <w:bCs/>
        </w:rPr>
        <w:t xml:space="preserve">La Agencia Nacional de Contratación Pública – Colombia Compra Eficiente ha impartido lineamientos sobre la aplicación de la Ley 996 de 2005 y también se ha pronunciado al respecto, entre otros, en los Conceptos 4201912000004632 del 6 de agosto de 2019, 2201913000005655 del 8 de agosto de 2019, 2201913000006283 del 27 de agosto de 2019, 2201913000006521 del 3 de septiembre de 2019, 2201913000006634 del 6 de septiembre de 2019, 2201913000006639 del 9 de septiembre de 2019, 2201913000007430 del 7 de octubre de 2019, 2201913000007565 del 10 de octubre de 2019, 2201913000008259 del 6 de noviembre de 2019, C-074 del 17 de marzo de 2021, C-075 del 16 de marzo de 2021, C-227 de 2021 del 5 de mayo de 2021, C-259 del 2 de junio de 2021, C-296 del 22 de junio de 2021, C-337 del 13 de julio de 2021, C-350 del 16 de julio de 2021, C-352 del 27 de julio de 2021, C-374 del 16 de septiembre de 2021, C-381 del 2 de agosto de 2021, C-391 del 11 de agosto de 2021, C-396 del 13 de agosto de 2021, C-401 del 10 de agosto de 2021, C-413 del 17 de agosto de 2021, C-439  del 27 de agosto de 2021, C-456 del 3 de septiembre de 2021, C-481 del 98 de septiembre de 2021, C-495 del 15 de septiembre de 2021, C-497 del 15 de septiembre de 2021, C-499 del 15 de septiembre de 2021, C-523 del 10 de octubre de 2021, C-528 del 27 de septiembre de 2021, C-543 del 9 de noviembre de 2021, C-550 del 5 de octubre de 2021, C-557 del 7 de octubre de 2021, C-563 del 8 de octubre de 2021, C-606 del 3 de noviembre de 2021, C-614 del 2 de noviembre de 2021, C-633 del 11 de noviembre de 2021, C-634 del 11 de noviembre de 2021, C-636 </w:t>
      </w:r>
      <w:r w:rsidRPr="00237275">
        <w:rPr>
          <w:rFonts w:ascii="Arial" w:eastAsia="Calibri" w:hAnsi="Arial" w:cs="Arial"/>
          <w:bCs/>
        </w:rPr>
        <w:lastRenderedPageBreak/>
        <w:t xml:space="preserve">del 16 de noviembre de 2021, C-674 del 6 de diciembre de 2021, C-677 del 4 de diciembre de 2021, C-695 del 22 de diciembre de 2021, C-699 del 6 de enero de 2022, C-700 del 6 de enero de 2021, C-723 del 28 de diciembre de 2021, C-715 del 21 de enero de 2022, C-718 del 24 de enero de 2022, C-726 del 24 de enero de 2022, C-002 del 15 de febrero de 2022, C-003 del 1 de abril de 2022, C-004 del 1 de abril de 2022, C-005 del 16 de febrero de 2022, C-009 del 15 de febrero de 2022, C-014 del 18 de febrero de 2022, C-015 del 12 de febrero de 2022, C-015 del 14 de febrero de 2022, C-022 del 21 de febrero de 2022, C-023 del 22 de febrero de 2022, C-008 del 24 de febrero de 2022, C-042 del 4 de marzo de 2022, C-045 del 3 de marzo de 2022, C-054 del 7 de marzo de 2022, C-055 del 17 de febrero de 2022, C-064 del 8 de marzo de 2022, C-032 del 11 de marzo de 2022, C-072 del 11 de marzo de 2022, C-109 del 14 de marzo de 2022, C-073 del 14 de marzo de 2022, C-075 del 10 de marzo de 2022, C-076 del 15 de marzo de 2022, C-077 del 17 de marzo de 2022, C-092 del 16 de marzo de 2022, C-094 del 16 de marzo de 2022, C-096 del 22 de marzo de 2022, C-097 del 18 de febrero de 2022, C-098 del 9 de marzo de 2022, C-099 del 22 de marzo de 2022, C-100 del 29 de marzo de 2022, C-102 del 22 de marzo de 2022, C-103 del 17 de marzo de 2022,   </w:t>
      </w:r>
      <w:r w:rsidRPr="00237275">
        <w:rPr>
          <w:rFonts w:ascii="Arial" w:eastAsia="Times New Roman" w:hAnsi="Arial" w:cs="Arial"/>
          <w:lang w:eastAsia="es-CO"/>
        </w:rPr>
        <w:t>C-105 del 18 de marzo de 2022, C-106 del 29 de marzo de 2022, C-107 del 18 de marzo de 2022, C-111 del 22 de marzo de 2022, C-115 del 22 de marzo de 2022, C-116 del 18 de marzo de 2022, C-122 del 18 de marzo de 2022,  C-127 del 22 de marzo de 2022, C-139 del 31 de marzo de 2022, C-145 del 28 de marzo de 2022, C-146 del 25 de marzo de 2022, C-147 del 4 de abril de 2022, C-148 del 29 de marzo de 2022, C-150 del 30 de marzo de 2022, C-151 del 5 de abril de 2022, C-153 del 25 de marzo de 2022, C-155 del 1 de abril de 2022, C-156 del 28 de marzo de 2022, C-157 del 5 de abril de 2022, C-164 del 22 de marzo de 2022, C-169 del 7 de abril de 2022, C-171 del 6 de abril de 2022</w:t>
      </w:r>
      <w:r w:rsidR="00297718" w:rsidRPr="00237275">
        <w:rPr>
          <w:rFonts w:ascii="Arial" w:eastAsia="Times New Roman" w:hAnsi="Arial" w:cs="Arial"/>
          <w:lang w:eastAsia="es-CO"/>
        </w:rPr>
        <w:t>,</w:t>
      </w:r>
      <w:r w:rsidRPr="00237275">
        <w:rPr>
          <w:rFonts w:ascii="Arial" w:eastAsia="Times New Roman" w:hAnsi="Arial" w:cs="Arial"/>
          <w:lang w:eastAsia="es-CO"/>
        </w:rPr>
        <w:t xml:space="preserve"> C-216 del 9 marzo de 2022</w:t>
      </w:r>
      <w:r w:rsidR="00297718" w:rsidRPr="00237275">
        <w:rPr>
          <w:rFonts w:ascii="Arial" w:eastAsia="Times New Roman" w:hAnsi="Arial" w:cs="Arial"/>
          <w:lang w:eastAsia="es-CO"/>
        </w:rPr>
        <w:t xml:space="preserve">, </w:t>
      </w:r>
      <w:r w:rsidR="00237275" w:rsidRPr="00237275">
        <w:rPr>
          <w:rFonts w:ascii="Arial" w:eastAsia="Times New Roman" w:hAnsi="Arial" w:cs="Arial"/>
          <w:lang w:eastAsia="es-CO"/>
        </w:rPr>
        <w:t>C</w:t>
      </w:r>
      <w:r w:rsidR="00297718" w:rsidRPr="00237275">
        <w:rPr>
          <w:rFonts w:ascii="Arial" w:eastAsia="Calibri" w:hAnsi="Arial" w:cs="Arial"/>
        </w:rPr>
        <w:t xml:space="preserve">-072 del 11 de marzo de 2022, C-097 del 18 de febrero de 2022, C-116 del 18 de febrero de 2022 y C-077 del 17 de marzo de 2022, entre otros. </w:t>
      </w:r>
      <w:r w:rsidRPr="00237275">
        <w:rPr>
          <w:rFonts w:ascii="Arial" w:eastAsia="Calibri" w:hAnsi="Arial" w:cs="Arial"/>
          <w:bCs/>
        </w:rPr>
        <w:t>La tesis desarrollada en estos conceptos se reitera y complementa a continuación:</w:t>
      </w:r>
    </w:p>
    <w:bookmarkEnd w:id="8"/>
    <w:p w14:paraId="58FBA48F" w14:textId="77777777" w:rsidR="00134409" w:rsidRPr="00237275" w:rsidRDefault="00134409" w:rsidP="00237275">
      <w:pPr>
        <w:tabs>
          <w:tab w:val="left" w:pos="426"/>
        </w:tabs>
        <w:spacing w:after="0" w:line="276" w:lineRule="auto"/>
        <w:ind w:firstLine="709"/>
        <w:contextualSpacing/>
        <w:jc w:val="both"/>
        <w:rPr>
          <w:rFonts w:ascii="Arial" w:eastAsia="Calibri" w:hAnsi="Arial" w:cs="Arial"/>
          <w:b/>
          <w:bCs/>
        </w:rPr>
      </w:pPr>
    </w:p>
    <w:p w14:paraId="48E4F1D1" w14:textId="77777777" w:rsidR="00134409" w:rsidRPr="00237275" w:rsidRDefault="00134409" w:rsidP="00237275">
      <w:pPr>
        <w:tabs>
          <w:tab w:val="left" w:pos="426"/>
        </w:tabs>
        <w:spacing w:after="0" w:line="276" w:lineRule="auto"/>
        <w:contextualSpacing/>
        <w:jc w:val="both"/>
        <w:rPr>
          <w:rFonts w:ascii="Arial" w:eastAsia="Calibri" w:hAnsi="Arial" w:cs="Arial"/>
          <w:b/>
          <w:bCs/>
          <w:lang w:val="es-ES_tradnl"/>
        </w:rPr>
      </w:pPr>
      <w:r w:rsidRPr="00237275">
        <w:rPr>
          <w:rFonts w:ascii="Arial" w:eastAsia="Calibri" w:hAnsi="Arial" w:cs="Arial"/>
          <w:b/>
          <w:bCs/>
          <w:lang w:val="es-ES_tradnl"/>
        </w:rPr>
        <w:t>2.1. Definición y finalidad de la Ley de Garantías Electorales: alcance de las restricciones</w:t>
      </w:r>
    </w:p>
    <w:p w14:paraId="121DC009" w14:textId="77777777" w:rsidR="00134409" w:rsidRPr="007354FB" w:rsidRDefault="00134409" w:rsidP="00237275">
      <w:pPr>
        <w:tabs>
          <w:tab w:val="left" w:pos="426"/>
        </w:tabs>
        <w:spacing w:after="0" w:line="240" w:lineRule="auto"/>
        <w:ind w:firstLine="709"/>
        <w:contextualSpacing/>
        <w:jc w:val="both"/>
        <w:rPr>
          <w:rFonts w:ascii="Arial" w:eastAsia="Calibri" w:hAnsi="Arial" w:cs="Arial"/>
          <w:bCs/>
          <w:lang w:val="es-ES_tradnl"/>
        </w:rPr>
      </w:pPr>
    </w:p>
    <w:p w14:paraId="1A5CDC55" w14:textId="77777777" w:rsidR="00134409" w:rsidRPr="007354FB" w:rsidRDefault="00134409" w:rsidP="00134409">
      <w:pPr>
        <w:tabs>
          <w:tab w:val="left" w:pos="426"/>
        </w:tabs>
        <w:spacing w:after="120" w:line="276" w:lineRule="auto"/>
        <w:jc w:val="both"/>
        <w:rPr>
          <w:rFonts w:ascii="Arial" w:eastAsia="Times New Roman" w:hAnsi="Arial" w:cs="Arial"/>
          <w:bCs/>
          <w:lang w:val="es-ES_tradnl" w:eastAsia="es-CO"/>
        </w:rPr>
      </w:pPr>
      <w:r w:rsidRPr="007354FB">
        <w:rPr>
          <w:rFonts w:ascii="Arial" w:eastAsia="Calibri" w:hAnsi="Arial" w:cs="Arial"/>
          <w:bCs/>
          <w:lang w:val="es-ES_tradnl"/>
        </w:rPr>
        <w:t>El ordenamiento jurídico colombiano contempla previsiones claras para evitar la obtención de beneficios personales en asuntos propios de la administración pública</w:t>
      </w:r>
      <w:r w:rsidRPr="007354FB">
        <w:rPr>
          <w:rFonts w:ascii="Arial" w:eastAsia="Calibri" w:hAnsi="Arial" w:cs="Arial"/>
          <w:bCs/>
          <w:i/>
          <w:iCs/>
          <w:lang w:val="es-ES_tradnl"/>
        </w:rPr>
        <w:t xml:space="preserve">. </w:t>
      </w:r>
      <w:r w:rsidRPr="007354FB">
        <w:rPr>
          <w:rFonts w:ascii="Arial" w:eastAsia="Calibri" w:hAnsi="Arial" w:cs="Arial"/>
          <w:bCs/>
          <w:lang w:val="es-ES_tradnl"/>
        </w:rPr>
        <w:t xml:space="preserve">Por ejemplo, el artículo 127 de la Constitución Política establece una prohibición contractual a los servidores </w:t>
      </w:r>
      <w:r w:rsidRPr="007354FB">
        <w:rPr>
          <w:rFonts w:ascii="Arial" w:eastAsia="Calibri" w:hAnsi="Arial" w:cs="Arial"/>
          <w:bCs/>
          <w:lang w:val="es-ES_tradnl"/>
        </w:rPr>
        <w:lastRenderedPageBreak/>
        <w:t>públicos y en cuanto a aspectos políticos establece restricciones a ciertos empleados del Estado, incluso en época no electoral</w:t>
      </w:r>
      <w:r w:rsidRPr="007354FB">
        <w:rPr>
          <w:rFonts w:ascii="Arial" w:eastAsia="Calibri" w:hAnsi="Arial" w:cs="Arial"/>
          <w:bCs/>
          <w:vertAlign w:val="superscript"/>
          <w:lang w:val="es-ES_tradnl"/>
        </w:rPr>
        <w:footnoteReference w:id="2"/>
      </w:r>
      <w:r w:rsidRPr="007354FB">
        <w:rPr>
          <w:rFonts w:ascii="Arial" w:eastAsia="Calibri" w:hAnsi="Arial" w:cs="Arial"/>
          <w:bCs/>
          <w:lang w:val="es-ES_tradnl"/>
        </w:rPr>
        <w:t xml:space="preserve">. </w:t>
      </w:r>
    </w:p>
    <w:p w14:paraId="777D7228" w14:textId="77777777" w:rsidR="00134409" w:rsidRPr="001C572C" w:rsidRDefault="00134409" w:rsidP="00134409">
      <w:pPr>
        <w:tabs>
          <w:tab w:val="left" w:pos="426"/>
        </w:tabs>
        <w:spacing w:after="0" w:line="276" w:lineRule="auto"/>
        <w:ind w:firstLine="709"/>
        <w:contextualSpacing/>
        <w:jc w:val="both"/>
        <w:rPr>
          <w:rFonts w:ascii="Arial" w:eastAsia="Times New Roman" w:hAnsi="Arial" w:cs="Arial"/>
          <w:bCs/>
          <w:lang w:val="es-ES_tradnl" w:eastAsia="es-CO"/>
        </w:rPr>
      </w:pPr>
      <w:r w:rsidRPr="001C572C">
        <w:rPr>
          <w:rFonts w:ascii="Arial" w:eastAsia="Times New Roman" w:hAnsi="Arial" w:cs="Arial"/>
          <w:bCs/>
          <w:lang w:val="es-ES_tradnl" w:eastAsia="es-CO"/>
        </w:rPr>
        <w:t>En el mismo sentido, 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w:t>
      </w:r>
      <w:r w:rsidRPr="001C572C">
        <w:rPr>
          <w:rFonts w:ascii="Arial" w:eastAsia="Times New Roman" w:hAnsi="Arial" w:cs="Arial"/>
          <w:bCs/>
          <w:vertAlign w:val="superscript"/>
          <w:lang w:val="es-ES_tradnl" w:eastAsia="es-CO"/>
        </w:rPr>
        <w:footnoteReference w:id="3"/>
      </w:r>
      <w:r w:rsidRPr="001C572C">
        <w:rPr>
          <w:rFonts w:ascii="Arial" w:eastAsia="Times New Roman" w:hAnsi="Arial" w:cs="Arial"/>
          <w:bCs/>
          <w:lang w:val="es-ES_tradnl" w:eastAsia="es-CO"/>
        </w:rPr>
        <w:t>. En esta medida, introduce limitaciones para realizar nombramientos, postulaciones, contrataciones o cualquier otro tipo de actividad que implique destinación de recursos públicos bajo el devenir propio de las entidades estatales.</w:t>
      </w:r>
      <w:r w:rsidRPr="001C572C">
        <w:rPr>
          <w:rFonts w:ascii="Arial" w:eastAsia="Calibri" w:hAnsi="Arial" w:cs="Arial"/>
          <w:noProof/>
          <w:lang w:val="es-ES_tradnl"/>
        </w:rPr>
        <w:t xml:space="preserve"> </w:t>
      </w:r>
      <w:r w:rsidRPr="001C572C">
        <w:rPr>
          <w:rFonts w:ascii="Arial" w:eastAsia="Times New Roman" w:hAnsi="Arial" w:cs="Arial"/>
          <w:bCs/>
          <w:lang w:val="es-ES_tradnl" w:eastAsia="es-CO"/>
        </w:rPr>
        <w:t>En armonía con lo anterior, la Corte Constitucional ha abordado la definición de la Ley de Garantías Electorales. De esta manera, explica que tiene como propósito:</w:t>
      </w:r>
    </w:p>
    <w:p w14:paraId="22915B19" w14:textId="77777777" w:rsidR="00134409" w:rsidRPr="001C572C" w:rsidRDefault="00134409" w:rsidP="00134409">
      <w:pPr>
        <w:spacing w:after="0" w:line="276" w:lineRule="auto"/>
        <w:ind w:right="709"/>
        <w:contextualSpacing/>
        <w:jc w:val="both"/>
        <w:rPr>
          <w:rFonts w:ascii="Arial" w:eastAsia="Times New Roman" w:hAnsi="Arial" w:cs="Arial"/>
          <w:sz w:val="21"/>
          <w:szCs w:val="21"/>
          <w:lang w:val="es-ES_tradnl" w:eastAsia="es-CO"/>
        </w:rPr>
      </w:pPr>
    </w:p>
    <w:p w14:paraId="3D609D95" w14:textId="77777777" w:rsidR="00134409" w:rsidRPr="00C7155F" w:rsidRDefault="00134409" w:rsidP="00F72FBD">
      <w:pPr>
        <w:spacing w:after="0" w:line="240" w:lineRule="auto"/>
        <w:ind w:left="709" w:right="709"/>
        <w:contextualSpacing/>
        <w:jc w:val="both"/>
        <w:rPr>
          <w:rFonts w:ascii="Arial" w:eastAsia="Times New Roman" w:hAnsi="Arial" w:cs="Arial"/>
          <w:bCs/>
          <w:sz w:val="21"/>
          <w:szCs w:val="21"/>
          <w:lang w:val="es-ES_tradnl" w:eastAsia="es-CO"/>
        </w:rPr>
      </w:pPr>
      <w:r w:rsidRPr="00C7155F">
        <w:rPr>
          <w:rFonts w:ascii="Arial" w:eastAsia="Times New Roman" w:hAnsi="Arial" w:cs="Arial"/>
          <w:sz w:val="21"/>
          <w:szCs w:val="21"/>
          <w:lang w:val="es-ES_tradnl" w:eastAsia="es-CO"/>
        </w:rPr>
        <w:t xml:space="preserve">[…] </w:t>
      </w:r>
      <w:r w:rsidRPr="00C7155F">
        <w:rPr>
          <w:rFonts w:ascii="Arial" w:eastAsia="Times New Roman" w:hAnsi="Arial" w:cs="Arial"/>
          <w:bCs/>
          <w:sz w:val="21"/>
          <w:szCs w:val="21"/>
          <w:lang w:val="es-ES_tradnl" w:eastAsia="es-CO"/>
        </w:rPr>
        <w:t>la definición de reglas claras que permitan acceder a los canales de expresión democrática de manera efectiva e igualitaria. El objetivo de una ley de garantías es definir esas reglas.</w:t>
      </w:r>
    </w:p>
    <w:p w14:paraId="3E8A2C41" w14:textId="77777777" w:rsidR="00134409" w:rsidRPr="00C7155F" w:rsidRDefault="00134409" w:rsidP="00F72FBD">
      <w:pPr>
        <w:spacing w:after="0" w:line="240" w:lineRule="auto"/>
        <w:ind w:left="709" w:right="709"/>
        <w:contextualSpacing/>
        <w:jc w:val="both"/>
        <w:rPr>
          <w:rFonts w:ascii="Arial" w:eastAsia="Times New Roman" w:hAnsi="Arial" w:cs="Arial"/>
          <w:bCs/>
          <w:sz w:val="21"/>
          <w:szCs w:val="21"/>
          <w:lang w:val="es-ES_tradnl" w:eastAsia="es-CO"/>
        </w:rPr>
      </w:pPr>
    </w:p>
    <w:p w14:paraId="55D08C42" w14:textId="77777777" w:rsidR="00134409" w:rsidRPr="00C7155F" w:rsidRDefault="00134409" w:rsidP="00F72FBD">
      <w:pPr>
        <w:spacing w:after="0" w:line="240" w:lineRule="auto"/>
        <w:ind w:left="709" w:right="709"/>
        <w:contextualSpacing/>
        <w:jc w:val="both"/>
        <w:rPr>
          <w:rFonts w:ascii="Arial" w:eastAsia="Times New Roman" w:hAnsi="Arial" w:cs="Arial"/>
          <w:bCs/>
          <w:sz w:val="21"/>
          <w:szCs w:val="21"/>
          <w:lang w:val="es-ES_tradnl" w:eastAsia="es-CO"/>
        </w:rPr>
      </w:pPr>
      <w:r w:rsidRPr="00C7155F">
        <w:rPr>
          <w:rFonts w:ascii="Arial" w:eastAsia="Times New Roman" w:hAnsi="Arial" w:cs="Arial"/>
          <w:bCs/>
          <w:sz w:val="21"/>
          <w:szCs w:val="21"/>
          <w:lang w:val="es-ES_tradnl" w:eastAsia="es-CO"/>
        </w:rPr>
        <w:t xml:space="preserve">[…] </w:t>
      </w:r>
    </w:p>
    <w:p w14:paraId="3CA1A73A" w14:textId="77777777" w:rsidR="00134409" w:rsidRPr="00C7155F" w:rsidRDefault="00134409" w:rsidP="00F72FBD">
      <w:pPr>
        <w:spacing w:after="0" w:line="240" w:lineRule="auto"/>
        <w:ind w:left="709" w:right="709"/>
        <w:contextualSpacing/>
        <w:jc w:val="both"/>
        <w:rPr>
          <w:rFonts w:ascii="Arial" w:eastAsia="Times New Roman" w:hAnsi="Arial" w:cs="Arial"/>
          <w:bCs/>
          <w:sz w:val="21"/>
          <w:szCs w:val="21"/>
          <w:lang w:val="es-ES_tradnl" w:eastAsia="es-CO"/>
        </w:rPr>
      </w:pPr>
    </w:p>
    <w:p w14:paraId="20994173" w14:textId="77777777" w:rsidR="00134409" w:rsidRPr="00C7155F" w:rsidRDefault="00134409" w:rsidP="00F72FBD">
      <w:pPr>
        <w:spacing w:after="0" w:line="240" w:lineRule="auto"/>
        <w:ind w:left="709" w:right="709"/>
        <w:contextualSpacing/>
        <w:jc w:val="both"/>
        <w:rPr>
          <w:rFonts w:ascii="Arial" w:eastAsia="Times New Roman" w:hAnsi="Arial" w:cs="Arial"/>
          <w:bCs/>
          <w:sz w:val="21"/>
          <w:szCs w:val="21"/>
          <w:lang w:val="es-ES_tradnl" w:eastAsia="es-CO"/>
        </w:rPr>
      </w:pPr>
      <w:r w:rsidRPr="00C7155F">
        <w:rPr>
          <w:rFonts w:ascii="Arial" w:eastAsia="Times New Roman" w:hAnsi="Arial" w:cs="Arial"/>
          <w:bCs/>
          <w:sz w:val="21"/>
          <w:szCs w:val="21"/>
          <w:lang w:val="es-ES_tradnl" w:eastAsia="es-CO"/>
        </w:rPr>
        <w:t>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económico de los que se lo disputan.</w:t>
      </w:r>
      <w:r w:rsidRPr="00C7155F">
        <w:rPr>
          <w:rFonts w:ascii="Arial" w:eastAsia="Calibri" w:hAnsi="Arial" w:cs="Arial"/>
          <w:sz w:val="21"/>
          <w:szCs w:val="21"/>
          <w:vertAlign w:val="superscript"/>
          <w:lang w:val="es-ES_tradnl"/>
        </w:rPr>
        <w:footnoteReference w:id="4"/>
      </w:r>
    </w:p>
    <w:p w14:paraId="3270A967" w14:textId="77777777" w:rsidR="00134409" w:rsidRPr="002C3E77" w:rsidRDefault="00134409" w:rsidP="00134409">
      <w:pPr>
        <w:spacing w:after="0" w:line="276" w:lineRule="auto"/>
        <w:ind w:left="709" w:right="709"/>
        <w:contextualSpacing/>
        <w:jc w:val="both"/>
        <w:rPr>
          <w:rFonts w:ascii="Arial" w:eastAsia="Times New Roman" w:hAnsi="Arial" w:cs="Arial"/>
          <w:bCs/>
          <w:sz w:val="21"/>
          <w:szCs w:val="21"/>
          <w:lang w:val="es-ES_tradnl" w:eastAsia="es-CO"/>
        </w:rPr>
      </w:pPr>
    </w:p>
    <w:p w14:paraId="271F98FB" w14:textId="77777777" w:rsidR="00134409" w:rsidRPr="002C3E77" w:rsidRDefault="00134409" w:rsidP="00134409">
      <w:pPr>
        <w:spacing w:after="0" w:line="276" w:lineRule="auto"/>
        <w:ind w:firstLine="709"/>
        <w:contextualSpacing/>
        <w:jc w:val="both"/>
        <w:rPr>
          <w:rFonts w:ascii="Arial" w:eastAsia="Times New Roman" w:hAnsi="Arial" w:cs="Arial"/>
          <w:bCs/>
          <w:lang w:val="es-ES_tradnl" w:eastAsia="es-CO"/>
        </w:rPr>
      </w:pPr>
      <w:bookmarkStart w:id="10" w:name="_Hlk78818186"/>
      <w:r w:rsidRPr="002C3E77">
        <w:rPr>
          <w:rFonts w:ascii="Arial" w:eastAsia="Times New Roman" w:hAnsi="Arial" w:cs="Arial"/>
          <w:bCs/>
          <w:lang w:val="es-ES_tradnl" w:eastAsia="es-CO"/>
        </w:rPr>
        <w:t xml:space="preserve">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 </w:t>
      </w:r>
      <w:bookmarkEnd w:id="10"/>
      <w:r w:rsidRPr="002C3E77">
        <w:rPr>
          <w:rFonts w:ascii="Arial" w:eastAsia="Times New Roman" w:hAnsi="Arial" w:cs="Arial"/>
          <w:bCs/>
          <w:lang w:val="es-ES_tradnl" w:eastAsia="es-CO"/>
        </w:rPr>
        <w:t>Por ello, varias de las disposiciones de la Ley 996 de 2005, al contener normas prohibitivas, no admiten una interpretación amplia, sino que deben interpretarse restrictivamente. En efecto, la Sala de Consulta y Servicio Civil del Consejo de Estado al analizar la referida ley, precisó lo siguiente:</w:t>
      </w:r>
    </w:p>
    <w:p w14:paraId="023C9062" w14:textId="77777777" w:rsidR="00134409" w:rsidRPr="002C3E77" w:rsidRDefault="00134409" w:rsidP="00134409">
      <w:pPr>
        <w:spacing w:after="0" w:line="276" w:lineRule="auto"/>
        <w:ind w:firstLine="709"/>
        <w:contextualSpacing/>
        <w:jc w:val="both"/>
        <w:rPr>
          <w:rFonts w:ascii="Arial" w:eastAsia="Times New Roman" w:hAnsi="Arial" w:cs="Arial"/>
          <w:bCs/>
          <w:lang w:val="es-ES_tradnl" w:eastAsia="es-CO"/>
        </w:rPr>
      </w:pPr>
    </w:p>
    <w:p w14:paraId="687B9FBE" w14:textId="77777777" w:rsidR="00134409" w:rsidRPr="002D1BE3" w:rsidRDefault="00134409" w:rsidP="00134409">
      <w:pPr>
        <w:spacing w:after="0" w:line="240" w:lineRule="auto"/>
        <w:ind w:left="709" w:right="709"/>
        <w:contextualSpacing/>
        <w:jc w:val="both"/>
        <w:rPr>
          <w:rFonts w:ascii="Arial" w:eastAsia="Times New Roman" w:hAnsi="Arial" w:cs="Arial"/>
          <w:bCs/>
          <w:sz w:val="21"/>
          <w:szCs w:val="21"/>
          <w:lang w:val="es-ES_tradnl" w:eastAsia="es-CO"/>
        </w:rPr>
      </w:pPr>
      <w:r w:rsidRPr="002D1BE3">
        <w:rPr>
          <w:rFonts w:ascii="Arial" w:eastAsia="Times New Roman" w:hAnsi="Arial" w:cs="Arial"/>
          <w:bCs/>
          <w:sz w:val="21"/>
          <w:szCs w:val="21"/>
          <w:lang w:val="es-ES_tradnl" w:eastAsia="es-CO"/>
        </w:rPr>
        <w:t xml:space="preserve">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w:t>
      </w:r>
      <w:proofErr w:type="spellStart"/>
      <w:r w:rsidRPr="002D1BE3">
        <w:rPr>
          <w:rFonts w:ascii="Arial" w:eastAsia="Times New Roman" w:hAnsi="Arial" w:cs="Arial"/>
          <w:bCs/>
          <w:sz w:val="21"/>
          <w:szCs w:val="21"/>
          <w:lang w:val="es-ES_tradnl" w:eastAsia="es-CO"/>
        </w:rPr>
        <w:t>legis</w:t>
      </w:r>
      <w:proofErr w:type="spellEnd"/>
      <w:r w:rsidRPr="002D1BE3">
        <w:rPr>
          <w:rFonts w:ascii="Arial" w:eastAsia="Times New Roman" w:hAnsi="Arial" w:cs="Arial"/>
          <w:bCs/>
          <w:sz w:val="21"/>
          <w:szCs w:val="21"/>
          <w:lang w:val="es-ES_tradnl" w:eastAsia="es-CO"/>
        </w:rPr>
        <w:t xml:space="preserve">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69AC394E" w14:textId="77777777" w:rsidR="00134409" w:rsidRPr="002D1BE3" w:rsidRDefault="00134409" w:rsidP="00134409">
      <w:pPr>
        <w:spacing w:after="0" w:line="240" w:lineRule="auto"/>
        <w:ind w:left="709" w:right="709"/>
        <w:contextualSpacing/>
        <w:jc w:val="both"/>
        <w:rPr>
          <w:rFonts w:ascii="Arial" w:eastAsia="Times New Roman" w:hAnsi="Arial" w:cs="Arial"/>
          <w:bCs/>
          <w:sz w:val="21"/>
          <w:szCs w:val="21"/>
          <w:lang w:val="es-ES_tradnl" w:eastAsia="es-CO"/>
        </w:rPr>
      </w:pPr>
    </w:p>
    <w:p w14:paraId="0F1F4ACB" w14:textId="77777777" w:rsidR="00134409" w:rsidRPr="002D1BE3" w:rsidRDefault="00134409" w:rsidP="00134409">
      <w:pPr>
        <w:spacing w:after="0" w:line="240" w:lineRule="auto"/>
        <w:ind w:left="709" w:right="709"/>
        <w:contextualSpacing/>
        <w:jc w:val="both"/>
        <w:rPr>
          <w:rFonts w:ascii="Arial" w:eastAsia="Times New Roman" w:hAnsi="Arial" w:cs="Arial"/>
          <w:bCs/>
          <w:sz w:val="21"/>
          <w:szCs w:val="21"/>
          <w:lang w:val="es-ES_tradnl" w:eastAsia="es-CO"/>
        </w:rPr>
      </w:pPr>
      <w:r w:rsidRPr="002D1BE3">
        <w:rPr>
          <w:rFonts w:ascii="Arial" w:eastAsia="Times New Roman" w:hAnsi="Arial" w:cs="Arial"/>
          <w:bCs/>
          <w:sz w:val="21"/>
          <w:szCs w:val="21"/>
          <w:lang w:val="es-ES_tradnl" w:eastAsia="es-CO"/>
        </w:rPr>
        <w:t>La jurisprudencia de la Corte Constitucional</w:t>
      </w:r>
      <w:r w:rsidRPr="002D1BE3">
        <w:rPr>
          <w:rFonts w:ascii="Arial" w:eastAsia="Times New Roman" w:hAnsi="Arial" w:cs="Arial"/>
          <w:bCs/>
          <w:sz w:val="21"/>
          <w:szCs w:val="21"/>
          <w:vertAlign w:val="superscript"/>
          <w:lang w:val="es-ES_tradnl" w:eastAsia="es-CO"/>
        </w:rPr>
        <w:footnoteReference w:id="5"/>
      </w:r>
      <w:r w:rsidRPr="002D1BE3">
        <w:rPr>
          <w:rFonts w:ascii="Arial" w:eastAsia="Times New Roman" w:hAnsi="Arial" w:cs="Arial"/>
          <w:bCs/>
          <w:sz w:val="21"/>
          <w:szCs w:val="21"/>
          <w:lang w:val="es-ES_tradnl" w:eastAsia="es-CO"/>
        </w:rPr>
        <w:t> y del Consejo de Estado</w:t>
      </w:r>
      <w:r w:rsidRPr="002D1BE3">
        <w:rPr>
          <w:rFonts w:ascii="Arial" w:eastAsia="Times New Roman" w:hAnsi="Arial" w:cs="Arial"/>
          <w:bCs/>
          <w:sz w:val="21"/>
          <w:szCs w:val="21"/>
          <w:vertAlign w:val="superscript"/>
          <w:lang w:val="es-ES_tradnl" w:eastAsia="es-CO"/>
        </w:rPr>
        <w:footnoteReference w:id="6"/>
      </w:r>
      <w:r w:rsidRPr="002D1BE3">
        <w:rPr>
          <w:rFonts w:ascii="Arial" w:eastAsia="Times New Roman" w:hAnsi="Arial" w:cs="Arial"/>
          <w:bCs/>
          <w:sz w:val="21"/>
          <w:szCs w:val="21"/>
          <w:lang w:val="es-ES_tradnl" w:eastAsia="es-CO"/>
        </w:rPr>
        <w:t>,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Pr="002D1BE3">
        <w:rPr>
          <w:rFonts w:ascii="Arial" w:eastAsia="Times New Roman" w:hAnsi="Arial" w:cs="Arial"/>
          <w:bCs/>
          <w:sz w:val="21"/>
          <w:szCs w:val="21"/>
          <w:vertAlign w:val="superscript"/>
          <w:lang w:val="es-ES_tradnl" w:eastAsia="es-CO"/>
        </w:rPr>
        <w:footnoteReference w:id="7"/>
      </w:r>
      <w:r w:rsidRPr="002D1BE3">
        <w:rPr>
          <w:rFonts w:ascii="Arial" w:eastAsia="Times New Roman" w:hAnsi="Arial" w:cs="Arial"/>
          <w:bCs/>
          <w:sz w:val="21"/>
          <w:szCs w:val="21"/>
          <w:lang w:val="es-ES_tradnl" w:eastAsia="es-CO"/>
        </w:rPr>
        <w:t>.</w:t>
      </w:r>
    </w:p>
    <w:p w14:paraId="3E84FEF9" w14:textId="77777777" w:rsidR="00134409" w:rsidRPr="007176AA" w:rsidRDefault="00134409" w:rsidP="00134409">
      <w:pPr>
        <w:spacing w:after="0" w:line="276" w:lineRule="auto"/>
        <w:ind w:right="709"/>
        <w:contextualSpacing/>
        <w:jc w:val="both"/>
        <w:rPr>
          <w:rFonts w:ascii="Arial" w:eastAsia="Times New Roman" w:hAnsi="Arial" w:cs="Arial"/>
          <w:bCs/>
          <w:color w:val="FF0000"/>
          <w:sz w:val="21"/>
          <w:szCs w:val="21"/>
          <w:lang w:val="es-ES_tradnl" w:eastAsia="es-CO"/>
        </w:rPr>
      </w:pPr>
    </w:p>
    <w:p w14:paraId="0F367D43" w14:textId="77777777" w:rsidR="00134409" w:rsidRPr="0013014C" w:rsidRDefault="00134409" w:rsidP="00134409">
      <w:pPr>
        <w:spacing w:after="120" w:line="276" w:lineRule="auto"/>
        <w:jc w:val="both"/>
        <w:rPr>
          <w:rFonts w:ascii="Arial" w:eastAsia="Arial" w:hAnsi="Arial" w:cs="Arial"/>
          <w:lang w:val="es-ES_tradnl" w:eastAsia="es-ES" w:bidi="es-ES"/>
        </w:rPr>
      </w:pPr>
      <w:r w:rsidRPr="007176AA">
        <w:rPr>
          <w:rFonts w:ascii="Arial" w:eastAsia="Times New Roman" w:hAnsi="Arial" w:cs="Arial"/>
          <w:bCs/>
          <w:color w:val="FF0000"/>
          <w:lang w:val="es-ES_tradnl" w:eastAsia="es-CO"/>
        </w:rPr>
        <w:lastRenderedPageBreak/>
        <w:tab/>
      </w:r>
      <w:r w:rsidRPr="0013014C">
        <w:rPr>
          <w:rFonts w:ascii="Arial" w:eastAsia="Times New Roman" w:hAnsi="Arial" w:cs="Arial"/>
          <w:bCs/>
          <w:lang w:val="es-ES_tradnl" w:eastAsia="es-CO"/>
        </w:rPr>
        <w:t>De</w:t>
      </w:r>
      <w:r w:rsidRPr="0013014C">
        <w:rPr>
          <w:rFonts w:ascii="Arial" w:eastAsia="Arial" w:hAnsi="Arial" w:cs="Arial"/>
          <w:lang w:val="es-ES_tradnl" w:eastAsia="es-ES" w:bidi="es-ES"/>
        </w:rPr>
        <w:t xml:space="preserve"> conformidad con lo anterior, </w:t>
      </w:r>
      <w:bookmarkStart w:id="11" w:name="_Hlk77236098"/>
      <w:bookmarkStart w:id="12" w:name="_Hlk101791494"/>
      <w:r w:rsidRPr="0013014C">
        <w:rPr>
          <w:rFonts w:ascii="Arial" w:eastAsia="Arial" w:hAnsi="Arial" w:cs="Arial"/>
          <w:lang w:val="es-ES_tradnl" w:eastAsia="es-ES" w:bidi="es-ES"/>
        </w:rPr>
        <w:t>la Ley de Garantías Electorales fijó una serie de regulaciones y prohibiciones dirigidas a los servidores públicos. Así, con la finalidad de preservar la igualdad entre los candidatos en las elecciones, aumentó las garantías en materia de contratación, de forma que no exista siquiera sospecha de que, por ese medio, en los periodos previos a la contienda electoral, se altere las condiciones de igualdad entre los 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a nivel territorial.</w:t>
      </w:r>
      <w:bookmarkEnd w:id="11"/>
    </w:p>
    <w:p w14:paraId="38702EE9" w14:textId="77777777" w:rsidR="00134409" w:rsidRPr="008E3B3E" w:rsidRDefault="00134409" w:rsidP="00134409">
      <w:pPr>
        <w:spacing w:after="120" w:line="276" w:lineRule="auto"/>
        <w:ind w:firstLine="708"/>
        <w:jc w:val="both"/>
        <w:rPr>
          <w:rFonts w:ascii="Arial" w:eastAsia="Calibri" w:hAnsi="Arial" w:cs="Arial"/>
          <w:lang w:val="es-ES_tradnl"/>
        </w:rPr>
      </w:pPr>
      <w:bookmarkStart w:id="13" w:name="_Hlk101791535"/>
      <w:bookmarkEnd w:id="12"/>
      <w:r w:rsidRPr="008E3B3E">
        <w:rPr>
          <w:rFonts w:ascii="Arial" w:eastAsia="Calibri" w:hAnsi="Arial" w:cs="Arial"/>
          <w:lang w:val="es-ES_tradnl"/>
        </w:rPr>
        <w:t xml:space="preserve">Por un lado, el artículo 33 de la Ley 996 de 2005 prohíbe </w:t>
      </w:r>
      <w:r w:rsidRPr="008E3B3E">
        <w:rPr>
          <w:rFonts w:ascii="Arial" w:eastAsia="Calibri" w:hAnsi="Arial" w:cs="Arial"/>
          <w:bCs/>
          <w:lang w:val="es-ES_tradnl"/>
        </w:rPr>
        <w:t xml:space="preserve">«[…] </w:t>
      </w:r>
      <w:r w:rsidRPr="008E3B3E">
        <w:rPr>
          <w:rFonts w:ascii="Arial" w:eastAsia="Calibri" w:hAnsi="Arial" w:cs="Arial"/>
          <w:lang w:val="es-ES_tradnl"/>
        </w:rPr>
        <w:t>la contratación directa por parte de todos los entes del Estado</w:t>
      </w:r>
      <w:r w:rsidRPr="008E3B3E">
        <w:rPr>
          <w:rFonts w:ascii="Arial" w:eastAsia="Calibri" w:hAnsi="Arial" w:cs="Arial"/>
          <w:bCs/>
          <w:lang w:val="es-ES_tradnl"/>
        </w:rPr>
        <w:t>»</w:t>
      </w:r>
      <w:r w:rsidRPr="008E3B3E">
        <w:rPr>
          <w:rFonts w:ascii="Arial" w:eastAsia="Calibri" w:hAnsi="Arial" w:cs="Arial"/>
          <w:lang w:val="es-ES_tradnl"/>
        </w:rPr>
        <w:t xml:space="preserve"> durante los cuatro (4) meses anteriores a las elecciones presidenciales, salvo </w:t>
      </w:r>
      <w:r w:rsidRPr="008E3B3E">
        <w:rPr>
          <w:rFonts w:ascii="Arial" w:eastAsia="Calibri" w:hAnsi="Arial" w:cs="Arial"/>
          <w:bCs/>
          <w:lang w:val="es-ES_tradnl"/>
        </w:rPr>
        <w:t xml:space="preserve">«[…] </w:t>
      </w:r>
      <w:r w:rsidRPr="008E3B3E">
        <w:rPr>
          <w:rFonts w:ascii="Arial" w:eastAsia="Calibri" w:hAnsi="Arial" w:cs="Arial"/>
          <w:lang w:val="es-ES_tradnl"/>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8E3B3E">
        <w:rPr>
          <w:rFonts w:ascii="Arial" w:eastAsia="Calibri" w:hAnsi="Arial" w:cs="Arial"/>
          <w:bCs/>
          <w:lang w:val="es-ES_tradnl"/>
        </w:rPr>
        <w:t>»</w:t>
      </w:r>
      <w:r w:rsidRPr="008E3B3E">
        <w:rPr>
          <w:rFonts w:ascii="Arial" w:eastAsia="Calibri" w:hAnsi="Arial" w:cs="Arial"/>
          <w:bCs/>
          <w:vertAlign w:val="superscript"/>
          <w:lang w:val="es-ES_tradnl"/>
        </w:rPr>
        <w:footnoteReference w:id="8"/>
      </w:r>
      <w:r w:rsidRPr="008E3B3E">
        <w:rPr>
          <w:rFonts w:ascii="Arial" w:eastAsia="Calibri" w:hAnsi="Arial" w:cs="Arial"/>
          <w:lang w:val="es-ES_tradnl"/>
        </w:rPr>
        <w:t>.</w:t>
      </w:r>
    </w:p>
    <w:p w14:paraId="25479576" w14:textId="77777777" w:rsidR="008E3B3E" w:rsidRPr="008E3B3E" w:rsidRDefault="00134409" w:rsidP="008E3B3E">
      <w:pPr>
        <w:widowControl w:val="0"/>
        <w:autoSpaceDE w:val="0"/>
        <w:autoSpaceDN w:val="0"/>
        <w:spacing w:after="120" w:line="276" w:lineRule="auto"/>
        <w:ind w:right="113" w:firstLine="709"/>
        <w:jc w:val="both"/>
        <w:rPr>
          <w:rFonts w:ascii="Arial" w:eastAsia="Arial" w:hAnsi="Arial" w:cs="Arial"/>
          <w:lang w:val="es-ES_tradnl" w:eastAsia="es-ES" w:bidi="es-ES"/>
        </w:rPr>
      </w:pPr>
      <w:r w:rsidRPr="008E3B3E">
        <w:rPr>
          <w:rFonts w:ascii="Arial" w:eastAsia="Calibri" w:hAnsi="Arial" w:cs="Arial"/>
          <w:lang w:val="es-ES_tradnl"/>
        </w:rPr>
        <w:t xml:space="preserve">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w:t>
      </w:r>
      <w:r w:rsidRPr="008E3B3E">
        <w:rPr>
          <w:rFonts w:ascii="Arial" w:eastAsia="Calibri" w:hAnsi="Arial" w:cs="Arial"/>
          <w:bCs/>
          <w:lang w:val="es-ES_tradnl"/>
        </w:rPr>
        <w:t xml:space="preserve">«[…] </w:t>
      </w:r>
      <w:r w:rsidRPr="008E3B3E">
        <w:rPr>
          <w:rFonts w:ascii="Arial" w:eastAsia="Calibri" w:hAnsi="Arial" w:cs="Arial"/>
          <w:lang w:val="es-ES_tradnl"/>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8E3B3E">
        <w:rPr>
          <w:rFonts w:ascii="Arial" w:eastAsia="Calibri" w:hAnsi="Arial" w:cs="Arial"/>
          <w:bCs/>
          <w:sz w:val="19"/>
          <w:szCs w:val="19"/>
          <w:lang w:val="es-ES_tradnl"/>
        </w:rPr>
        <w:t>»</w:t>
      </w:r>
      <w:bookmarkEnd w:id="13"/>
      <w:r w:rsidRPr="008E3B3E">
        <w:rPr>
          <w:rFonts w:ascii="Arial" w:eastAsia="Calibri" w:hAnsi="Arial" w:cs="Arial"/>
          <w:bCs/>
          <w:sz w:val="19"/>
          <w:szCs w:val="19"/>
          <w:vertAlign w:val="superscript"/>
          <w:lang w:val="es-ES_tradnl"/>
        </w:rPr>
        <w:footnoteReference w:id="9"/>
      </w:r>
      <w:r w:rsidRPr="008E3B3E">
        <w:rPr>
          <w:rFonts w:ascii="Arial" w:eastAsia="Calibri" w:hAnsi="Arial" w:cs="Arial"/>
          <w:lang w:val="es-ES_tradnl"/>
        </w:rPr>
        <w:t>.</w:t>
      </w:r>
      <w:r w:rsidRPr="008E3B3E">
        <w:rPr>
          <w:rFonts w:ascii="Arial" w:eastAsia="Arial" w:hAnsi="Arial" w:cs="Arial"/>
          <w:lang w:val="es-ES_tradnl" w:eastAsia="es-ES" w:bidi="es-ES"/>
        </w:rPr>
        <w:t xml:space="preserve"> </w:t>
      </w:r>
    </w:p>
    <w:p w14:paraId="42C463A1" w14:textId="793FF283" w:rsidR="00134409" w:rsidRPr="008E3B3E" w:rsidRDefault="00134409" w:rsidP="008E3B3E">
      <w:pPr>
        <w:widowControl w:val="0"/>
        <w:autoSpaceDE w:val="0"/>
        <w:autoSpaceDN w:val="0"/>
        <w:spacing w:after="0" w:line="276" w:lineRule="auto"/>
        <w:ind w:right="113" w:firstLine="709"/>
        <w:contextualSpacing/>
        <w:jc w:val="both"/>
        <w:rPr>
          <w:rFonts w:ascii="Arial" w:eastAsia="Arial" w:hAnsi="Arial" w:cs="Arial"/>
          <w:lang w:val="es-ES_tradnl" w:eastAsia="es-ES" w:bidi="es-ES"/>
        </w:rPr>
      </w:pPr>
      <w:r w:rsidRPr="008E3B3E">
        <w:rPr>
          <w:rFonts w:ascii="Arial" w:eastAsia="Arial" w:hAnsi="Arial" w:cs="Arial"/>
          <w:lang w:val="es-ES_tradnl" w:eastAsia="es-ES" w:bidi="es-ES"/>
        </w:rPr>
        <w:lastRenderedPageBreak/>
        <w:t>La Sala de Consulta y Servicio Civil del Consejo de Estado ha aclarado la distinción en la aplicación de las prohibiciones de la Ley 996 de 2005, dependiendo del tipo de elección que se trate. Al respecto, considera que:</w:t>
      </w:r>
    </w:p>
    <w:p w14:paraId="032F002B" w14:textId="77777777" w:rsidR="00134409" w:rsidRPr="008E3B3E" w:rsidRDefault="00134409" w:rsidP="00134409">
      <w:pPr>
        <w:widowControl w:val="0"/>
        <w:autoSpaceDE w:val="0"/>
        <w:autoSpaceDN w:val="0"/>
        <w:spacing w:after="0" w:line="276" w:lineRule="auto"/>
        <w:ind w:left="805" w:right="812"/>
        <w:contextualSpacing/>
        <w:jc w:val="both"/>
        <w:rPr>
          <w:rFonts w:ascii="Arial" w:eastAsia="Arial" w:hAnsi="Arial" w:cs="Arial"/>
          <w:lang w:val="es-ES_tradnl" w:eastAsia="es-ES" w:bidi="es-ES"/>
        </w:rPr>
      </w:pPr>
    </w:p>
    <w:p w14:paraId="3D261B95" w14:textId="77777777" w:rsidR="00134409" w:rsidRPr="008E3B3E" w:rsidRDefault="00134409" w:rsidP="00344FA7">
      <w:pPr>
        <w:widowControl w:val="0"/>
        <w:autoSpaceDE w:val="0"/>
        <w:autoSpaceDN w:val="0"/>
        <w:spacing w:after="0" w:line="240" w:lineRule="auto"/>
        <w:ind w:left="709" w:right="709"/>
        <w:contextualSpacing/>
        <w:jc w:val="both"/>
        <w:rPr>
          <w:rFonts w:ascii="Arial" w:eastAsia="Arial" w:hAnsi="Arial" w:cs="Arial"/>
          <w:sz w:val="21"/>
          <w:szCs w:val="21"/>
          <w:lang w:val="es-ES_tradnl" w:eastAsia="es-ES" w:bidi="es-ES"/>
        </w:rPr>
      </w:pPr>
      <w:r w:rsidRPr="008E3B3E">
        <w:rPr>
          <w:rFonts w:ascii="Arial" w:eastAsia="Arial" w:hAnsi="Arial" w:cs="Arial"/>
          <w:sz w:val="21"/>
          <w:szCs w:val="21"/>
          <w:lang w:val="es-ES_tradnl" w:eastAsia="es-ES" w:bidi="es-ES"/>
        </w:rPr>
        <w:t xml:space="preserve">La interpretación sistemática de las disposiciones consagradas en los artículos 32, 33 y el parágrafo del artículo 38 de la ley 996 de 2.005 lleva a concluir que dichas normas contienen restricciones y prohibiciones para periodos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w:t>
      </w:r>
      <w:bookmarkStart w:id="16" w:name="_Hlk76109421"/>
      <w:r w:rsidRPr="008E3B3E">
        <w:rPr>
          <w:rFonts w:ascii="Arial" w:eastAsia="Arial" w:hAnsi="Arial" w:cs="Arial"/>
          <w:sz w:val="21"/>
          <w:szCs w:val="21"/>
          <w:lang w:val="es-ES_tradnl" w:eastAsia="es-ES" w:bidi="es-ES"/>
        </w:rPr>
        <w:t>se integran parcialmente</w:t>
      </w:r>
      <w:bookmarkEnd w:id="16"/>
      <w:r w:rsidRPr="008E3B3E">
        <w:rPr>
          <w:rFonts w:ascii="Arial" w:eastAsia="Arial" w:hAnsi="Arial" w:cs="Arial"/>
          <w:sz w:val="21"/>
          <w:szCs w:val="21"/>
          <w:lang w:val="es-ES_tradnl" w:eastAsia="es-ES" w:bidi="es-ES"/>
        </w:rPr>
        <w:t xml:space="preserve">, lo que permite concluir que en periodo preelectoral para elección de Presidente de la República, a todos los entes del Estado, incluidos los territoriales, se aplican las restricciones de los artículos 32 y 33 con sus excepciones, así como las del parágrafo del artículo 38. </w:t>
      </w:r>
      <w:r w:rsidRPr="008E3B3E">
        <w:rPr>
          <w:rFonts w:ascii="Arial" w:eastAsia="Arial" w:hAnsi="Arial" w:cs="Arial"/>
          <w:bCs/>
          <w:sz w:val="21"/>
          <w:szCs w:val="21"/>
          <w:lang w:val="es-ES_tradnl" w:eastAsia="es-ES" w:bidi="es-ES"/>
        </w:rPr>
        <w:t>En cambio, para elecciones en general, excluyendo las correspondientes a Presidente de la República, a las autoridades territoriales allí mencionadas sólo se aplican las restricciones contenidas en el parágrafo del artículo 38</w:t>
      </w:r>
      <w:r w:rsidRPr="008E3B3E">
        <w:rPr>
          <w:rFonts w:ascii="Arial" w:eastAsia="Arial" w:hAnsi="Arial" w:cs="Arial"/>
          <w:sz w:val="21"/>
          <w:szCs w:val="21"/>
          <w:lang w:val="es-ES_tradnl" w:eastAsia="es-ES" w:bidi="es-ES"/>
        </w:rPr>
        <w:t>.</w:t>
      </w:r>
      <w:r w:rsidRPr="008E3B3E">
        <w:rPr>
          <w:rFonts w:ascii="Arial" w:eastAsia="Arial" w:hAnsi="Arial" w:cs="Arial"/>
          <w:sz w:val="21"/>
          <w:szCs w:val="21"/>
          <w:vertAlign w:val="superscript"/>
          <w:lang w:val="es-ES_tradnl" w:eastAsia="es-ES" w:bidi="es-ES"/>
        </w:rPr>
        <w:footnoteReference w:id="10"/>
      </w:r>
    </w:p>
    <w:p w14:paraId="79FCF22D" w14:textId="77777777" w:rsidR="00134409" w:rsidRPr="008A4C18" w:rsidRDefault="00134409" w:rsidP="00134409">
      <w:pPr>
        <w:widowControl w:val="0"/>
        <w:autoSpaceDE w:val="0"/>
        <w:autoSpaceDN w:val="0"/>
        <w:spacing w:after="0" w:line="276" w:lineRule="auto"/>
        <w:contextualSpacing/>
        <w:rPr>
          <w:rFonts w:ascii="Arial" w:eastAsia="Arial" w:hAnsi="Arial" w:cs="Arial"/>
          <w:lang w:val="es-ES_tradnl" w:eastAsia="es-ES" w:bidi="es-ES"/>
        </w:rPr>
      </w:pPr>
    </w:p>
    <w:p w14:paraId="77E3B163" w14:textId="7BAD62E1" w:rsidR="00134409" w:rsidRPr="008A4C18" w:rsidRDefault="00134409" w:rsidP="00134409">
      <w:pPr>
        <w:spacing w:after="120" w:line="276" w:lineRule="auto"/>
        <w:ind w:firstLine="709"/>
        <w:jc w:val="both"/>
        <w:rPr>
          <w:rFonts w:ascii="Arial" w:eastAsia="Arial" w:hAnsi="Arial" w:cs="Arial"/>
          <w:lang w:val="es-ES_tradnl" w:eastAsia="es-ES" w:bidi="es-ES"/>
        </w:rPr>
      </w:pPr>
      <w:r w:rsidRPr="008A4C18">
        <w:rPr>
          <w:rFonts w:ascii="Arial" w:eastAsia="Arial" w:hAnsi="Arial" w:cs="Arial"/>
          <w:lang w:val="es-ES_tradnl" w:eastAsia="es-ES" w:bidi="es-ES"/>
        </w:rPr>
        <w:t xml:space="preserve">De conformidad con lo anterior, </w:t>
      </w:r>
      <w:bookmarkStart w:id="17" w:name="_Hlk77236420"/>
      <w:bookmarkStart w:id="18" w:name="_Hlk78818435"/>
      <w:bookmarkStart w:id="19" w:name="_Hlk75780333"/>
      <w:r w:rsidRPr="008A4C18">
        <w:rPr>
          <w:rFonts w:ascii="Arial" w:eastAsia="Arial" w:hAnsi="Arial" w:cs="Arial"/>
          <w:lang w:val="es-ES_tradnl" w:eastAsia="es-ES" w:bidi="es-ES"/>
        </w:rPr>
        <w:t xml:space="preserve">la Ley 996 de 2005 establece dos (2) tipos de restricciones en materia de contratación, las cuales coinciden parcialmente. </w:t>
      </w:r>
      <w:r w:rsidRPr="008A4C18">
        <w:rPr>
          <w:rFonts w:ascii="Arial" w:eastAsia="Arial" w:hAnsi="Arial" w:cs="Arial"/>
          <w:i/>
          <w:iCs/>
          <w:lang w:val="es-ES_tradnl" w:eastAsia="es-ES" w:bidi="es-ES"/>
        </w:rPr>
        <w:t>En primer lugar</w:t>
      </w:r>
      <w:r w:rsidRPr="008A4C18">
        <w:rPr>
          <w:rFonts w:ascii="Arial" w:eastAsia="Arial" w:hAnsi="Arial" w:cs="Arial"/>
          <w:lang w:val="es-ES_tradnl" w:eastAsia="es-ES" w:bidi="es-ES"/>
        </w:rPr>
        <w:t xml:space="preserve">,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w:t>
      </w:r>
      <w:r w:rsidRPr="008A4C18">
        <w:rPr>
          <w:rFonts w:ascii="Arial" w:eastAsia="Arial" w:hAnsi="Arial" w:cs="Arial"/>
          <w:i/>
          <w:iCs/>
          <w:lang w:val="es-ES_tradnl" w:eastAsia="es-ES" w:bidi="es-ES"/>
        </w:rPr>
        <w:t>En segundo lugar</w:t>
      </w:r>
      <w:r w:rsidRPr="008A4C18">
        <w:rPr>
          <w:rFonts w:ascii="Arial" w:eastAsia="Arial" w:hAnsi="Arial" w:cs="Arial"/>
          <w:lang w:val="es-ES_tradnl" w:eastAsia="es-ES" w:bidi="es-ES"/>
        </w:rPr>
        <w:t xml:space="preserve">, también se encuentra la prohibición del parágrafo del artículo 38, el cual debe aplicarse respecto de cualquier tipo de contienda electoral y que prohíbe la celebración de convenios </w:t>
      </w:r>
      <w:r w:rsidRPr="008A4C18">
        <w:rPr>
          <w:rFonts w:ascii="Arial" w:eastAsia="Arial" w:hAnsi="Arial" w:cs="Arial"/>
          <w:lang w:val="es-ES_tradnl" w:eastAsia="es-ES" w:bidi="es-ES"/>
        </w:rPr>
        <w:lastRenderedPageBreak/>
        <w:t>interadministrativos que impliquen la ejecución de recursos públicos dentro de los cuatro (4) meses anteriores a la respectiva jornada de votaciones.</w:t>
      </w:r>
      <w:bookmarkEnd w:id="17"/>
    </w:p>
    <w:bookmarkEnd w:id="18"/>
    <w:p w14:paraId="75192BB5" w14:textId="77777777" w:rsidR="00134409" w:rsidRPr="001F4D02" w:rsidRDefault="00134409" w:rsidP="00134409">
      <w:pPr>
        <w:spacing w:after="120" w:line="276" w:lineRule="auto"/>
        <w:ind w:firstLine="709"/>
        <w:jc w:val="both"/>
        <w:rPr>
          <w:rFonts w:ascii="Arial" w:eastAsia="Arial" w:hAnsi="Arial" w:cs="Arial"/>
          <w:lang w:val="es-ES_tradnl" w:eastAsia="es-ES" w:bidi="es-ES"/>
        </w:rPr>
      </w:pPr>
      <w:r w:rsidRPr="001F4D02">
        <w:rPr>
          <w:rFonts w:ascii="Arial" w:eastAsia="Arial" w:hAnsi="Arial" w:cs="Arial"/>
          <w:lang w:val="es-ES_tradnl" w:eastAsia="es-ES" w:bidi="es-ES"/>
        </w:rPr>
        <w:t>Ambas restricciones no son excluyentes, lo que permite concluir que en el período preelectoral para elección de Presidente de la República, a todos los entes del Estado, incluidos los territoriales, aplican las restricciones del artículo 33 con sus excepciones, así como las del parágrafo del artículo 38. En cambio, tratándose de elecciones en general, excluyendo las correspondientes al Presidente de la República, las autoridades allí mencionadas sólo deben aplicar las restricciones contenidas en el parágrafo del artículo 38.</w:t>
      </w:r>
    </w:p>
    <w:bookmarkEnd w:id="19"/>
    <w:p w14:paraId="61AEAB9F" w14:textId="77777777" w:rsidR="00134409" w:rsidRPr="006A3E57" w:rsidRDefault="00134409" w:rsidP="00134409">
      <w:pPr>
        <w:spacing w:after="0" w:line="276" w:lineRule="auto"/>
        <w:ind w:firstLine="709"/>
        <w:contextualSpacing/>
        <w:jc w:val="both"/>
        <w:rPr>
          <w:rFonts w:ascii="Arial" w:eastAsia="Arial" w:hAnsi="Arial" w:cs="Arial"/>
          <w:lang w:val="es-ES_tradnl" w:eastAsia="es-ES" w:bidi="es-ES"/>
        </w:rPr>
      </w:pPr>
      <w:r w:rsidRPr="006A3E57">
        <w:rPr>
          <w:rFonts w:ascii="Arial" w:eastAsia="Arial" w:hAnsi="Arial" w:cs="Arial"/>
          <w:lang w:val="es-ES_tradnl" w:eastAsia="es-ES" w:bidi="es-ES"/>
        </w:rPr>
        <w:t xml:space="preserve">La Corte Constitucional, en la Sentencia C-1153 del 11 de noviembre de 2005, señaló que, para que la garantía sea plena, era necesario que la prohibición se aplicara para el Presidente o el Vicepresidente desde que éstos –estando en ejercicio de su cargo– manifiesten el interés de ser candidato presidencial, lo cual debe ocurrir seis meses antes de la elección en primera vuelta, de acuerdo con el artículo 9 de la Ley 996 de 2005. Sin embargo, el condicionamiento impuesto por la Corte Constitucional, relacionado con el momento en que estas restricciones empiezan a regir para el Presidente y el Vicepresidente de la República, ha perdido vigencia ante la prohibición de la reelección presidencial, restablecida por el Acto Legislativo 2 de 2015, excepto para el Vicepresidente que no haya ejercido la presidencia o que la haya ejercido por un tiempo inferior a tres (3) meses durante el respectivo cuatrienio, en forma continua o discontinua, conforme al artículo 197 de la Constitución Política.  </w:t>
      </w:r>
    </w:p>
    <w:p w14:paraId="04FAF01F" w14:textId="77777777" w:rsidR="00134409" w:rsidRPr="00947A71" w:rsidRDefault="00134409" w:rsidP="00134409">
      <w:pPr>
        <w:spacing w:after="0" w:line="276" w:lineRule="auto"/>
        <w:ind w:firstLine="709"/>
        <w:contextualSpacing/>
        <w:jc w:val="both"/>
        <w:rPr>
          <w:rFonts w:ascii="Arial" w:eastAsia="Arial" w:hAnsi="Arial" w:cs="Arial"/>
          <w:lang w:val="es-ES_tradnl" w:eastAsia="es-ES" w:bidi="es-ES"/>
        </w:rPr>
      </w:pPr>
    </w:p>
    <w:p w14:paraId="29DA8452" w14:textId="77777777" w:rsidR="00134409" w:rsidRPr="00947A71" w:rsidRDefault="00134409" w:rsidP="00134409">
      <w:pPr>
        <w:spacing w:after="0" w:line="276" w:lineRule="auto"/>
        <w:contextualSpacing/>
        <w:jc w:val="both"/>
        <w:rPr>
          <w:rFonts w:ascii="Arial" w:hAnsi="Arial" w:cs="Arial"/>
          <w:b/>
          <w:lang w:val="es-ES_tradnl" w:eastAsia="es-CO"/>
        </w:rPr>
      </w:pPr>
      <w:r w:rsidRPr="00947A71">
        <w:rPr>
          <w:rFonts w:ascii="Arial" w:hAnsi="Arial" w:cs="Arial"/>
          <w:b/>
          <w:lang w:val="es-ES_tradnl" w:eastAsia="es-CO"/>
        </w:rPr>
        <w:t xml:space="preserve">2.2. </w:t>
      </w:r>
      <w:r w:rsidRPr="00947A71">
        <w:rPr>
          <w:rFonts w:ascii="Arial" w:hAnsi="Arial" w:cs="Arial"/>
          <w:b/>
          <w:bCs/>
          <w:lang w:val="es-ES_tradnl" w:eastAsia="es-CO"/>
        </w:rPr>
        <w:t>Restricciones en elecciones presidenciales: prohibición del artículo 33 de la Ley 996 de 2005</w:t>
      </w:r>
    </w:p>
    <w:p w14:paraId="3F12F3F6" w14:textId="77777777" w:rsidR="00134409" w:rsidRPr="00947A71" w:rsidRDefault="00134409" w:rsidP="00134409">
      <w:pPr>
        <w:spacing w:after="0" w:line="276" w:lineRule="auto"/>
        <w:contextualSpacing/>
        <w:jc w:val="both"/>
        <w:rPr>
          <w:rFonts w:ascii="Arial" w:hAnsi="Arial" w:cs="Arial"/>
          <w:bCs/>
          <w:lang w:val="es-ES_tradnl" w:eastAsia="x-none"/>
        </w:rPr>
      </w:pPr>
    </w:p>
    <w:p w14:paraId="55260AB8" w14:textId="77777777" w:rsidR="00134409" w:rsidRPr="00947A71" w:rsidRDefault="00134409" w:rsidP="00134409">
      <w:pPr>
        <w:spacing w:after="0" w:line="276" w:lineRule="auto"/>
        <w:contextualSpacing/>
        <w:jc w:val="both"/>
        <w:rPr>
          <w:rFonts w:ascii="Arial" w:hAnsi="Arial" w:cs="Arial"/>
          <w:bCs/>
          <w:lang w:val="es-ES_tradnl" w:eastAsia="es-CO"/>
        </w:rPr>
      </w:pPr>
      <w:r w:rsidRPr="00947A71">
        <w:rPr>
          <w:rFonts w:ascii="Arial" w:hAnsi="Arial" w:cs="Arial"/>
          <w:bCs/>
          <w:lang w:val="es-ES_tradnl" w:eastAsia="x-none"/>
        </w:rPr>
        <w:t xml:space="preserve">El ámbito material de la prohibición contenida en el artículo 33 de la ley 996 de 2005 está delimitado por la expresión </w:t>
      </w:r>
      <w:r w:rsidRPr="00947A71">
        <w:rPr>
          <w:rFonts w:ascii="Arial" w:eastAsia="Calibri" w:hAnsi="Arial" w:cs="Arial"/>
          <w:bCs/>
          <w:sz w:val="20"/>
          <w:szCs w:val="20"/>
          <w:lang w:val="es-ES_tradnl"/>
        </w:rPr>
        <w:t>«</w:t>
      </w:r>
      <w:r w:rsidRPr="00947A71">
        <w:rPr>
          <w:rFonts w:ascii="Arial" w:hAnsi="Arial" w:cs="Arial"/>
          <w:bCs/>
          <w:lang w:val="es-ES_tradnl" w:eastAsia="x-none"/>
        </w:rPr>
        <w:t>queda prohibida la contratación directa</w:t>
      </w:r>
      <w:r w:rsidRPr="00947A71">
        <w:rPr>
          <w:rFonts w:ascii="Arial" w:hAnsi="Arial" w:cs="Arial"/>
          <w:sz w:val="20"/>
          <w:szCs w:val="20"/>
          <w:lang w:val="es-ES_tradnl"/>
        </w:rPr>
        <w:t>»</w:t>
      </w:r>
      <w:r w:rsidRPr="00947A71">
        <w:rPr>
          <w:rFonts w:ascii="Arial" w:hAnsi="Arial" w:cs="Arial"/>
          <w:bCs/>
          <w:lang w:val="es-ES_tradnl" w:eastAsia="x-none"/>
        </w:rPr>
        <w:t xml:space="preserve">. </w:t>
      </w:r>
      <w:r w:rsidRPr="00947A71">
        <w:rPr>
          <w:rFonts w:ascii="Arial" w:hAnsi="Arial" w:cs="Arial"/>
          <w:lang w:val="es-ES_tradnl" w:eastAsia="es-CO"/>
        </w:rPr>
        <w:t xml:space="preserve"> A propósito de esta restricción de la Ley de Garantías Electorales, la Sala de Consulta y Servicio Civil del Consejo de Estado ha considerado que:</w:t>
      </w:r>
    </w:p>
    <w:p w14:paraId="2F761354" w14:textId="77777777" w:rsidR="00134409" w:rsidRPr="00344FA7" w:rsidRDefault="00134409" w:rsidP="00344FA7">
      <w:pPr>
        <w:spacing w:after="0" w:line="240" w:lineRule="auto"/>
        <w:ind w:left="708" w:right="709"/>
        <w:contextualSpacing/>
        <w:jc w:val="both"/>
        <w:rPr>
          <w:rFonts w:ascii="Arial" w:hAnsi="Arial" w:cs="Arial"/>
          <w:sz w:val="21"/>
          <w:szCs w:val="21"/>
          <w:lang w:val="es-ES_tradnl"/>
        </w:rPr>
      </w:pPr>
    </w:p>
    <w:p w14:paraId="5FD0593A" w14:textId="77777777" w:rsidR="00134409" w:rsidRPr="00344FA7" w:rsidRDefault="00134409" w:rsidP="00344FA7">
      <w:pPr>
        <w:spacing w:after="0" w:line="240" w:lineRule="auto"/>
        <w:ind w:left="709" w:right="709"/>
        <w:contextualSpacing/>
        <w:jc w:val="both"/>
        <w:rPr>
          <w:rFonts w:ascii="Arial" w:hAnsi="Arial" w:cs="Arial"/>
          <w:sz w:val="21"/>
          <w:szCs w:val="21"/>
          <w:lang w:val="es-ES_tradnl"/>
        </w:rPr>
      </w:pPr>
      <w:r w:rsidRPr="00344FA7">
        <w:rPr>
          <w:rFonts w:ascii="Arial" w:hAnsi="Arial" w:cs="Arial"/>
          <w:sz w:val="21"/>
          <w:szCs w:val="21"/>
          <w:lang w:val="es-ES_tradnl"/>
        </w:rPr>
        <w:t>La contratación directa es un mecanismo de selección de carácter excepcional, en virtud del cual las entidades públicas pueden contratar mediante un trámite simplificado, ágil y expedito sin necesidad de realizar previamente un proceso de licitación pública o concurso, únicamente en los casos en que expresa y taxativamente señale la ley (numeral 4, artículo 2, ley 1150 de 2007), y cumpliendo siempre los principios que rigen la contratación pública</w:t>
      </w:r>
      <w:r w:rsidRPr="00344FA7">
        <w:rPr>
          <w:rStyle w:val="Refdenotaalpie"/>
          <w:rFonts w:ascii="Arial" w:hAnsi="Arial" w:cs="Arial"/>
          <w:sz w:val="21"/>
          <w:szCs w:val="21"/>
        </w:rPr>
        <w:footnoteReference w:id="11"/>
      </w:r>
      <w:r w:rsidRPr="00344FA7">
        <w:rPr>
          <w:rFonts w:ascii="Arial" w:hAnsi="Arial" w:cs="Arial"/>
          <w:sz w:val="21"/>
          <w:szCs w:val="21"/>
          <w:lang w:val="es-ES_tradnl"/>
        </w:rPr>
        <w:t>.</w:t>
      </w:r>
    </w:p>
    <w:p w14:paraId="56FBEC7F" w14:textId="77777777" w:rsidR="00134409" w:rsidRPr="00344FA7" w:rsidRDefault="00134409" w:rsidP="00344FA7">
      <w:pPr>
        <w:spacing w:after="0" w:line="240" w:lineRule="auto"/>
        <w:ind w:left="709" w:right="709"/>
        <w:contextualSpacing/>
        <w:jc w:val="both"/>
        <w:rPr>
          <w:rFonts w:ascii="Arial" w:hAnsi="Arial" w:cs="Arial"/>
          <w:sz w:val="21"/>
          <w:szCs w:val="21"/>
          <w:lang w:val="es-ES_tradnl"/>
        </w:rPr>
      </w:pPr>
    </w:p>
    <w:p w14:paraId="19ACA998" w14:textId="77777777" w:rsidR="00134409" w:rsidRPr="00344FA7" w:rsidRDefault="00134409" w:rsidP="00344FA7">
      <w:pPr>
        <w:spacing w:after="0" w:line="240" w:lineRule="auto"/>
        <w:ind w:left="709" w:right="709"/>
        <w:contextualSpacing/>
        <w:jc w:val="both"/>
        <w:rPr>
          <w:rFonts w:ascii="Arial" w:hAnsi="Arial" w:cs="Arial"/>
          <w:sz w:val="21"/>
          <w:szCs w:val="21"/>
          <w:lang w:val="es-ES_tradnl"/>
        </w:rPr>
      </w:pPr>
      <w:r w:rsidRPr="00344FA7">
        <w:rPr>
          <w:rFonts w:ascii="Arial" w:hAnsi="Arial" w:cs="Arial"/>
          <w:sz w:val="21"/>
          <w:szCs w:val="21"/>
          <w:lang w:val="es-ES_tradnl"/>
        </w:rPr>
        <w:t xml:space="preserve">Esta Sala ha entendido </w:t>
      </w:r>
      <w:proofErr w:type="gramStart"/>
      <w:r w:rsidRPr="00344FA7">
        <w:rPr>
          <w:rFonts w:ascii="Arial" w:hAnsi="Arial" w:cs="Arial"/>
          <w:sz w:val="21"/>
          <w:szCs w:val="21"/>
          <w:lang w:val="es-ES_tradnl"/>
        </w:rPr>
        <w:t>que</w:t>
      </w:r>
      <w:proofErr w:type="gramEnd"/>
      <w:r w:rsidRPr="00344FA7">
        <w:rPr>
          <w:rFonts w:ascii="Arial" w:hAnsi="Arial" w:cs="Arial"/>
          <w:sz w:val="21"/>
          <w:szCs w:val="21"/>
          <w:lang w:val="es-ES_tradnl"/>
        </w:rPr>
        <w:t xml:space="preserve"> para los efectos de la ley de garantías, y dada su finalidad, el enunciado ´contratación directa´ es sinónimo de cualquier sistema que no implique convocatoria pública y posibilidad de pluralidad de oferentes, y que, además, no necesariamente hace referencia al procedimiento especial regulado por la ley de contratación estatal, sino a cualquier otro que prescinda de un proceso de licitación pública o concurso</w:t>
      </w:r>
      <w:r w:rsidRPr="00344FA7">
        <w:rPr>
          <w:rStyle w:val="Refdenotaalpie"/>
          <w:rFonts w:ascii="Arial" w:hAnsi="Arial" w:cs="Arial"/>
          <w:sz w:val="21"/>
          <w:szCs w:val="21"/>
        </w:rPr>
        <w:footnoteReference w:id="12"/>
      </w:r>
      <w:r w:rsidRPr="00344FA7">
        <w:rPr>
          <w:rFonts w:ascii="Arial" w:hAnsi="Arial" w:cs="Arial"/>
          <w:sz w:val="21"/>
          <w:szCs w:val="21"/>
          <w:vertAlign w:val="superscript"/>
          <w:lang w:val="es-ES_tradnl"/>
        </w:rPr>
        <w:t>.</w:t>
      </w:r>
      <w:r w:rsidRPr="00344FA7">
        <w:rPr>
          <w:rFonts w:ascii="Arial" w:hAnsi="Arial" w:cs="Arial"/>
          <w:sz w:val="21"/>
          <w:szCs w:val="21"/>
          <w:lang w:val="es-ES_tradnl"/>
        </w:rPr>
        <w:t xml:space="preserve"> Por tanto, no son materia de la prohibición las demás modalidades de selección previstas en la ley 1150 de 2007, siendo estas, la licitación pública, el concurso de méritos y la selección abreviada, razón por la cual en ese periodo preelectoral de que trata la disposición pueden las entidades públicas seguir contratando bajo estos sistemas. [...]</w:t>
      </w:r>
      <w:r w:rsidRPr="00344FA7">
        <w:rPr>
          <w:rStyle w:val="Refdenotaalpie"/>
          <w:rFonts w:ascii="Arial" w:hAnsi="Arial" w:cs="Arial"/>
          <w:sz w:val="21"/>
          <w:szCs w:val="21"/>
        </w:rPr>
        <w:footnoteReference w:id="13"/>
      </w:r>
      <w:r w:rsidRPr="00344FA7">
        <w:rPr>
          <w:rFonts w:ascii="Arial" w:hAnsi="Arial" w:cs="Arial"/>
          <w:sz w:val="21"/>
          <w:szCs w:val="21"/>
          <w:lang w:val="es-ES_tradnl"/>
        </w:rPr>
        <w:t xml:space="preserve"> .</w:t>
      </w:r>
    </w:p>
    <w:p w14:paraId="0FF2DD73" w14:textId="77777777" w:rsidR="00134409" w:rsidRPr="00E55E19" w:rsidRDefault="00134409" w:rsidP="00344FA7">
      <w:pPr>
        <w:shd w:val="clear" w:color="auto" w:fill="FFFFFF"/>
        <w:spacing w:after="0" w:line="240" w:lineRule="auto"/>
        <w:ind w:firstLine="709"/>
        <w:contextualSpacing/>
        <w:jc w:val="both"/>
        <w:rPr>
          <w:rFonts w:ascii="Arial" w:hAnsi="Arial" w:cs="Arial"/>
          <w:sz w:val="21"/>
          <w:szCs w:val="21"/>
          <w:lang w:val="es-ES_tradnl" w:eastAsia="x-none"/>
        </w:rPr>
      </w:pPr>
    </w:p>
    <w:p w14:paraId="73264536" w14:textId="77777777" w:rsidR="00134409" w:rsidRPr="00E55E19" w:rsidRDefault="00134409" w:rsidP="00134409">
      <w:pPr>
        <w:spacing w:after="120" w:line="276" w:lineRule="auto"/>
        <w:ind w:firstLine="709"/>
        <w:jc w:val="both"/>
        <w:rPr>
          <w:rFonts w:ascii="Arial" w:hAnsi="Arial" w:cs="Arial"/>
          <w:bCs/>
          <w:lang w:val="es-ES_tradnl" w:eastAsia="x-none"/>
        </w:rPr>
      </w:pPr>
      <w:r w:rsidRPr="00E55E19">
        <w:rPr>
          <w:rFonts w:ascii="Arial" w:hAnsi="Arial" w:cs="Arial"/>
          <w:lang w:val="es-ES_tradnl" w:eastAsia="x-none"/>
        </w:rPr>
        <w:t xml:space="preserve">De acuerdo con el citado concepto, la prohibición del artículo 33 de la Ley de Garantías Electorales se refiere a </w:t>
      </w:r>
      <w:r w:rsidRPr="00E55E19">
        <w:rPr>
          <w:rFonts w:ascii="Arial" w:hAnsi="Arial" w:cs="Arial"/>
          <w:sz w:val="19"/>
          <w:szCs w:val="19"/>
          <w:lang w:val="es-ES_tradnl" w:eastAsia="en-GB"/>
        </w:rPr>
        <w:t>«</w:t>
      </w:r>
      <w:r w:rsidRPr="00E55E19">
        <w:rPr>
          <w:rFonts w:ascii="Arial" w:hAnsi="Arial" w:cs="Arial"/>
          <w:lang w:val="es-ES_tradnl" w:eastAsia="x-none"/>
        </w:rPr>
        <w:t>cualquier sistema que no implique convocatoria pública y posibilidad de pluralidad de oferentes</w:t>
      </w:r>
      <w:r w:rsidRPr="00E55E19">
        <w:rPr>
          <w:rFonts w:ascii="Arial" w:hAnsi="Arial" w:cs="Arial"/>
          <w:lang w:val="es-ES_tradnl" w:eastAsia="en-GB"/>
        </w:rPr>
        <w:t>»</w:t>
      </w:r>
      <w:r w:rsidRPr="00E55E19">
        <w:rPr>
          <w:rFonts w:ascii="Arial" w:hAnsi="Arial" w:cs="Arial"/>
          <w:lang w:val="es-ES_tradnl" w:eastAsia="x-none"/>
        </w:rPr>
        <w:t>, por lo que excluye las demás modalidades de contratación previstas en la Ley 1150 de 2007, es decir, la licitación pública, la selección abreviada, el concurso de méritos y la mínima cuantía u otros previstos en normas especiales, que contemplen en alguna de sus etapas la posible participación de pluralidad de oferentes. Esta posición es congruente con la expedición de la Ley 1150 de 2007 que, entre otras reformas, introdujo la selección abreviada, rediseñó el concurso de méritos</w:t>
      </w:r>
      <w:r w:rsidRPr="00E55E19">
        <w:rPr>
          <w:rStyle w:val="Refdenotaalpie"/>
          <w:rFonts w:ascii="Arial" w:hAnsi="Arial" w:cs="Arial"/>
        </w:rPr>
        <w:footnoteReference w:id="14"/>
      </w:r>
      <w:r w:rsidRPr="00E55E19">
        <w:rPr>
          <w:rFonts w:ascii="Arial" w:hAnsi="Arial" w:cs="Arial"/>
          <w:lang w:val="es-ES_tradnl" w:eastAsia="x-none"/>
        </w:rPr>
        <w:t xml:space="preserve"> y sistematizó las causales de contratación directa</w:t>
      </w:r>
      <w:r w:rsidRPr="00E55E19">
        <w:rPr>
          <w:rStyle w:val="Refdenotaalpie"/>
          <w:rFonts w:ascii="Arial" w:hAnsi="Arial" w:cs="Arial"/>
        </w:rPr>
        <w:footnoteReference w:id="15"/>
      </w:r>
      <w:r w:rsidRPr="00E55E19">
        <w:rPr>
          <w:rFonts w:ascii="Arial" w:hAnsi="Arial" w:cs="Arial"/>
          <w:lang w:val="es-ES_tradnl" w:eastAsia="x-none"/>
        </w:rPr>
        <w:t xml:space="preserve">, </w:t>
      </w:r>
      <w:r w:rsidRPr="00E55E19">
        <w:rPr>
          <w:rFonts w:ascii="Arial" w:hAnsi="Arial" w:cs="Arial"/>
          <w:lang w:eastAsia="x-none"/>
        </w:rPr>
        <w:t>además lo es con la posterior creación de la modalidad de mínima cuantía establecida actualmente en el numeral 5 del artículo 2 de la Ley 1150 de 2007, de acuerdo con las modificaciones realizadas por leyes posteriores.</w:t>
      </w:r>
    </w:p>
    <w:p w14:paraId="1E3A30EA" w14:textId="77777777" w:rsidR="00134409" w:rsidRPr="00E55E19" w:rsidRDefault="00134409" w:rsidP="00134409">
      <w:pPr>
        <w:spacing w:after="120" w:line="276" w:lineRule="auto"/>
        <w:ind w:firstLine="709"/>
        <w:jc w:val="both"/>
        <w:rPr>
          <w:rFonts w:ascii="Arial" w:hAnsi="Arial" w:cs="Arial"/>
          <w:lang w:val="es-ES_tradnl" w:eastAsia="x-none"/>
        </w:rPr>
      </w:pPr>
      <w:r w:rsidRPr="00E55E19">
        <w:rPr>
          <w:rFonts w:ascii="Arial" w:hAnsi="Arial" w:cs="Arial"/>
          <w:lang w:val="es-ES_tradnl" w:eastAsia="x-none"/>
        </w:rPr>
        <w:t xml:space="preserve">De esta forma, con fundamento en la evolución de la normativa sobre la contratación pública, se ha depurado la noción de </w:t>
      </w:r>
      <w:r w:rsidRPr="00E55E19">
        <w:rPr>
          <w:rFonts w:ascii="Arial" w:hAnsi="Arial" w:cs="Arial"/>
          <w:sz w:val="19"/>
          <w:szCs w:val="19"/>
          <w:lang w:val="es-ES_tradnl" w:eastAsia="en-GB"/>
        </w:rPr>
        <w:t>«</w:t>
      </w:r>
      <w:r w:rsidRPr="00E55E19">
        <w:rPr>
          <w:rFonts w:ascii="Arial" w:hAnsi="Arial" w:cs="Arial"/>
          <w:lang w:val="es-ES_tradnl" w:eastAsia="x-none"/>
        </w:rPr>
        <w:t>contratación directa</w:t>
      </w:r>
      <w:r w:rsidRPr="00E55E19">
        <w:rPr>
          <w:rFonts w:ascii="Arial" w:hAnsi="Arial" w:cs="Arial"/>
          <w:lang w:val="es-ES_tradnl" w:eastAsia="en-GB"/>
        </w:rPr>
        <w:t>»</w:t>
      </w:r>
      <w:r w:rsidRPr="00E55E19">
        <w:rPr>
          <w:rFonts w:ascii="Arial" w:hAnsi="Arial" w:cs="Arial"/>
          <w:lang w:val="es-ES_tradnl" w:eastAsia="x-none"/>
        </w:rPr>
        <w:t xml:space="preserve">, precisando el Consejo de Estado –en el concepto citado– que, «aun cuando no coincide única y exactamente con la regulación que de dicho sistema de selección hace el artículo 2º de la Ley 1150 de 2007, tampoco puede afirmarse que sea cualquier procedimiento de contratación distinto de la licitación pública, pues esto sería tanto como desconocer que el legislador, no solo en el Estatuto General de la Contratación de la Administración Pública, sino también en leyes </w:t>
      </w:r>
      <w:r w:rsidRPr="00E55E19">
        <w:rPr>
          <w:rFonts w:ascii="Arial" w:hAnsi="Arial" w:cs="Arial"/>
          <w:lang w:val="es-ES_tradnl" w:eastAsia="x-none"/>
        </w:rPr>
        <w:lastRenderedPageBreak/>
        <w:t>especiales e, incluso, en el derecho privado</w:t>
      </w:r>
      <w:r w:rsidRPr="00E55E19">
        <w:rPr>
          <w:rStyle w:val="Refdenotaalpie"/>
          <w:rFonts w:ascii="Arial" w:hAnsi="Arial" w:cs="Arial"/>
        </w:rPr>
        <w:footnoteReference w:id="16"/>
      </w:r>
      <w:r w:rsidRPr="00E55E19">
        <w:rPr>
          <w:rFonts w:ascii="Arial" w:hAnsi="Arial" w:cs="Arial"/>
          <w:lang w:val="es-ES_tradnl" w:eastAsia="x-none"/>
        </w:rPr>
        <w:t>, han establecido sistemas de contratación que implican convocatoria pública y participación de varios oferentes</w:t>
      </w:r>
      <w:r w:rsidRPr="00E55E19">
        <w:rPr>
          <w:rFonts w:ascii="Arial" w:hAnsi="Arial" w:cs="Arial"/>
          <w:lang w:val="es-ES_tradnl" w:eastAsia="en-GB"/>
        </w:rPr>
        <w:t>»</w:t>
      </w:r>
      <w:r w:rsidRPr="00E55E19">
        <w:rPr>
          <w:rFonts w:ascii="Arial" w:hAnsi="Arial" w:cs="Arial"/>
          <w:lang w:val="es-ES_tradnl" w:eastAsia="x-none"/>
        </w:rPr>
        <w:t xml:space="preserve">. </w:t>
      </w:r>
    </w:p>
    <w:p w14:paraId="39734412" w14:textId="77777777" w:rsidR="00134409" w:rsidRPr="00096EFF" w:rsidRDefault="00134409" w:rsidP="00134409">
      <w:pPr>
        <w:spacing w:after="120" w:line="276" w:lineRule="auto"/>
        <w:ind w:firstLine="709"/>
        <w:jc w:val="both"/>
        <w:rPr>
          <w:rFonts w:ascii="Arial" w:hAnsi="Arial" w:cs="Arial"/>
          <w:bCs/>
          <w:lang w:val="es-ES_tradnl" w:eastAsia="es-CO"/>
        </w:rPr>
      </w:pPr>
      <w:r w:rsidRPr="00096EFF">
        <w:rPr>
          <w:rFonts w:ascii="Arial" w:hAnsi="Arial" w:cs="Arial"/>
          <w:bCs/>
          <w:lang w:val="es-ES_tradnl" w:eastAsia="x-none"/>
        </w:rPr>
        <w:t>E</w:t>
      </w:r>
      <w:r w:rsidRPr="00096EFF">
        <w:rPr>
          <w:rFonts w:ascii="Arial" w:hAnsi="Arial" w:cs="Arial"/>
          <w:lang w:val="es-ES_tradnl" w:eastAsia="x-none"/>
        </w:rPr>
        <w:t>n efecto, vale la pena mencionar que, en algunos sistemas de contratación, utilizados por entidades públicas con regímenes especiales, o sujetas al derecho privado, la convocatoria o invitación para contratar puede limitarse a aquellas personas que previamente se hayan inscrito en una lista de precalificados o de simples interesados, o en un determinado registro o banco de datos de proveedores. En estos casos, lo determinante para considerar que dicho sistema no constituye «contratación directa», es que la convocatoria para inscribirse en forma previa se haga de manera pública, y que se permita la participación de una pluralidad de oferentes</w:t>
      </w:r>
      <w:r w:rsidRPr="00096EFF">
        <w:rPr>
          <w:rStyle w:val="Refdenotaalpie"/>
          <w:rFonts w:ascii="Arial" w:hAnsi="Arial" w:cs="Arial"/>
        </w:rPr>
        <w:footnoteReference w:id="17"/>
      </w:r>
      <w:r w:rsidRPr="00096EFF">
        <w:rPr>
          <w:rFonts w:ascii="Arial" w:hAnsi="Arial" w:cs="Arial"/>
          <w:lang w:val="es-ES_tradnl" w:eastAsia="x-none"/>
        </w:rPr>
        <w:t xml:space="preserve">. </w:t>
      </w:r>
    </w:p>
    <w:p w14:paraId="16072FD2" w14:textId="3814648E" w:rsidR="00134409" w:rsidRPr="00AA036C" w:rsidRDefault="00134409" w:rsidP="00134409">
      <w:pPr>
        <w:spacing w:after="120" w:line="276" w:lineRule="auto"/>
        <w:ind w:firstLine="709"/>
        <w:jc w:val="both"/>
        <w:rPr>
          <w:rFonts w:ascii="Arial" w:hAnsi="Arial" w:cs="Arial"/>
          <w:bCs/>
          <w:lang w:val="es-ES_tradnl" w:eastAsia="es-CO"/>
        </w:rPr>
      </w:pPr>
      <w:r w:rsidRPr="00AA036C">
        <w:rPr>
          <w:rFonts w:ascii="Arial" w:hAnsi="Arial" w:cs="Arial"/>
          <w:bCs/>
          <w:lang w:val="es-ES_tradnl" w:eastAsia="es-CO"/>
        </w:rPr>
        <w:t xml:space="preserve">Como se advierte de lo anterior, el Consejo de Estado realiza una interpretación amplia de la contratación directa, para efectos de aplicar las restricciones establecidas en la Ley de Garantías, al señalar que no solo aplica frente a las entidades sometidas al Estatuto </w:t>
      </w:r>
      <w:r w:rsidR="007F0882" w:rsidRPr="00AA036C">
        <w:rPr>
          <w:rFonts w:ascii="Arial" w:hAnsi="Arial" w:cs="Arial"/>
          <w:bCs/>
          <w:lang w:val="es-ES_tradnl" w:eastAsia="es-CO"/>
        </w:rPr>
        <w:t xml:space="preserve">General </w:t>
      </w:r>
      <w:r w:rsidRPr="00AA036C">
        <w:rPr>
          <w:rFonts w:ascii="Arial" w:hAnsi="Arial" w:cs="Arial"/>
          <w:bCs/>
          <w:lang w:val="es-ES_tradnl" w:eastAsia="es-CO"/>
        </w:rPr>
        <w:t>de Contratación de la Administración Pública, sino también frente a las entidades que tengan un régimen especial de contratación. No obstante, también se observa que luego de la expedición de Ley 1150 de 2007, el Consejo de Estado comenzó a delimitar con mayor precisión el término de «contratación directa».</w:t>
      </w:r>
    </w:p>
    <w:p w14:paraId="2CC2577E" w14:textId="77777777" w:rsidR="00134409" w:rsidRPr="00AA036C" w:rsidRDefault="00134409" w:rsidP="00134409">
      <w:pPr>
        <w:spacing w:after="120" w:line="276" w:lineRule="auto"/>
        <w:ind w:firstLine="709"/>
        <w:jc w:val="both"/>
        <w:rPr>
          <w:rFonts w:ascii="Arial" w:hAnsi="Arial" w:cs="Arial"/>
          <w:bCs/>
          <w:lang w:val="es-ES_tradnl" w:eastAsia="x-none"/>
        </w:rPr>
      </w:pPr>
      <w:r w:rsidRPr="00AA036C">
        <w:rPr>
          <w:rFonts w:ascii="Arial" w:hAnsi="Arial" w:cs="Arial"/>
          <w:bCs/>
          <w:lang w:val="es-ES_tradnl" w:eastAsia="x-none"/>
        </w:rPr>
        <w:t xml:space="preserve"> </w:t>
      </w:r>
      <w:bookmarkStart w:id="20" w:name="_Hlk101791623"/>
      <w:r w:rsidRPr="00AA036C">
        <w:rPr>
          <w:rFonts w:ascii="Arial" w:hAnsi="Arial" w:cs="Arial"/>
          <w:bCs/>
          <w:lang w:val="es-ES_tradnl" w:eastAsia="x-none"/>
        </w:rPr>
        <w:t xml:space="preserve">Así las cosas, ha de entenderse que, </w:t>
      </w:r>
      <w:bookmarkStart w:id="21" w:name="_Hlk100592654"/>
      <w:r w:rsidRPr="00AA036C">
        <w:rPr>
          <w:rFonts w:ascii="Arial" w:hAnsi="Arial" w:cs="Arial"/>
          <w:bCs/>
          <w:lang w:val="es-ES_tradnl" w:eastAsia="x-none"/>
        </w:rPr>
        <w:t>para los efectos de la Ley de Garantías Electorales y, en particular, para la prohibición o 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w:t>
      </w:r>
      <w:bookmarkEnd w:id="20"/>
      <w:bookmarkEnd w:id="21"/>
      <w:r w:rsidRPr="00AA036C">
        <w:rPr>
          <w:rStyle w:val="Refdenotaalpie"/>
          <w:rFonts w:ascii="Arial" w:hAnsi="Arial" w:cs="Arial"/>
        </w:rPr>
        <w:footnoteReference w:id="18"/>
      </w:r>
      <w:r w:rsidRPr="00AA036C">
        <w:rPr>
          <w:rFonts w:ascii="Arial" w:hAnsi="Arial" w:cs="Arial"/>
          <w:bCs/>
          <w:lang w:val="es-ES_tradnl" w:eastAsia="x-none"/>
        </w:rPr>
        <w:t>.</w:t>
      </w:r>
      <w:r w:rsidRPr="00AA036C">
        <w:rPr>
          <w:rFonts w:ascii="Arial" w:hAnsi="Arial" w:cs="Arial"/>
          <w:vertAlign w:val="superscript"/>
          <w:lang w:val="es-ES_tradnl" w:eastAsia="x-none"/>
        </w:rPr>
        <w:t xml:space="preserve"> </w:t>
      </w:r>
    </w:p>
    <w:p w14:paraId="36A34C33" w14:textId="41D4E0C0" w:rsidR="00134409" w:rsidRPr="00BF3CAF" w:rsidRDefault="00134409" w:rsidP="00134409">
      <w:pPr>
        <w:spacing w:after="120" w:line="276" w:lineRule="auto"/>
        <w:ind w:firstLine="709"/>
        <w:jc w:val="both"/>
        <w:rPr>
          <w:rFonts w:ascii="Arial" w:hAnsi="Arial" w:cs="Arial"/>
          <w:lang w:val="es-ES_tradnl" w:eastAsia="x-none"/>
        </w:rPr>
      </w:pPr>
      <w:r w:rsidRPr="00BF3CAF">
        <w:rPr>
          <w:rFonts w:ascii="Arial" w:hAnsi="Arial" w:cs="Arial"/>
          <w:bCs/>
          <w:lang w:val="es-ES_tradnl" w:eastAsia="x-none"/>
        </w:rPr>
        <w:t>De lo anterior se desprende que la restricción aplica, sin perjuicio de las excepciones establecidas en la misma ley, para celebrar cualquier contrato de forma directa, esto es, sin que exista un proceso abierto y competitivo.</w:t>
      </w:r>
      <w:r w:rsidRPr="00BF3CAF">
        <w:rPr>
          <w:rFonts w:ascii="Arial" w:hAnsi="Arial" w:cs="Arial"/>
          <w:lang w:val="es-ES_tradnl" w:eastAsia="x-none"/>
        </w:rPr>
        <w:t xml:space="preserve"> Por tanto, no son materia de la prohibición las demás modalidades de selección previstas en la Ley 1150 de 2007, es decir, la licitación pública, el concurso de méritos, la selección abreviada y la mínima cuantía, razón por la cual </w:t>
      </w:r>
      <w:r w:rsidRPr="00BF3CAF">
        <w:rPr>
          <w:rFonts w:ascii="Arial" w:hAnsi="Arial" w:cs="Arial"/>
          <w:lang w:val="es-ES_tradnl" w:eastAsia="x-none"/>
        </w:rPr>
        <w:lastRenderedPageBreak/>
        <w:t>en ese período preelectoral de que trata la disposición las entidades públicas pueden seguir contratando bajo estos procedimientos.</w:t>
      </w:r>
    </w:p>
    <w:p w14:paraId="31AF08AF" w14:textId="77777777" w:rsidR="00134409" w:rsidRPr="00BF3CAF" w:rsidRDefault="00134409" w:rsidP="00134409">
      <w:pPr>
        <w:spacing w:after="120" w:line="276" w:lineRule="auto"/>
        <w:ind w:firstLine="709"/>
        <w:jc w:val="both"/>
        <w:rPr>
          <w:rFonts w:ascii="Arial" w:hAnsi="Arial" w:cs="Arial"/>
          <w:bCs/>
          <w:lang w:val="es-ES_tradnl" w:eastAsia="x-none"/>
        </w:rPr>
      </w:pPr>
      <w:r w:rsidRPr="00BF3CAF">
        <w:rPr>
          <w:rFonts w:ascii="Arial" w:hAnsi="Arial" w:cs="Arial"/>
          <w:bCs/>
          <w:lang w:val="es-ES_tradnl" w:eastAsia="es-CO"/>
        </w:rPr>
        <w:t xml:space="preserve">Como en otras oportunidades lo ha manifestado esta Agencia, las prórrogas, modificaciones o adiciones de los contratos suscritos antes de la </w:t>
      </w:r>
      <w:proofErr w:type="gramStart"/>
      <w:r w:rsidRPr="00BF3CAF">
        <w:rPr>
          <w:rFonts w:ascii="Arial" w:hAnsi="Arial" w:cs="Arial"/>
          <w:bCs/>
          <w:lang w:val="es-ES_tradnl" w:eastAsia="es-CO"/>
        </w:rPr>
        <w:t>entrada en vigencia</w:t>
      </w:r>
      <w:proofErr w:type="gramEnd"/>
      <w:r w:rsidRPr="00BF3CAF">
        <w:rPr>
          <w:rFonts w:ascii="Arial" w:hAnsi="Arial" w:cs="Arial"/>
          <w:bCs/>
          <w:lang w:val="es-ES_tradnl" w:eastAsia="es-CO"/>
        </w:rPr>
        <w:t xml:space="preserve"> de las prohibiciones anotadas, así como la cesión de los mismos, pueden tener lugar en el período de aplicación de la Ley de Garantías</w:t>
      </w:r>
      <w:r w:rsidRPr="00BF3CAF">
        <w:rPr>
          <w:rStyle w:val="Refdenotaalpie"/>
          <w:rFonts w:ascii="Arial" w:hAnsi="Arial" w:cs="Arial"/>
        </w:rPr>
        <w:footnoteReference w:id="19"/>
      </w:r>
      <w:r w:rsidRPr="00BF3CAF">
        <w:rPr>
          <w:rFonts w:ascii="Arial" w:hAnsi="Arial" w:cs="Arial"/>
          <w:bCs/>
          <w:lang w:val="es-ES_tradnl" w:eastAsia="es-CO"/>
        </w:rPr>
        <w:t>. Esto sin que ello haga nugatoria la restricción de la contratación directa y siempre que cumplan los principios de planeación, transparencia y responsabilidad.</w:t>
      </w:r>
    </w:p>
    <w:p w14:paraId="22ECF858" w14:textId="77777777" w:rsidR="00134409" w:rsidRPr="00BF3CAF" w:rsidRDefault="00134409" w:rsidP="00134409">
      <w:pPr>
        <w:spacing w:after="120" w:line="276" w:lineRule="auto"/>
        <w:ind w:firstLine="709"/>
        <w:jc w:val="both"/>
        <w:rPr>
          <w:rFonts w:ascii="Arial" w:hAnsi="Arial" w:cs="Arial"/>
          <w:bCs/>
          <w:lang w:val="es-ES_tradnl" w:eastAsia="es-CO"/>
        </w:rPr>
      </w:pPr>
      <w:bookmarkStart w:id="22" w:name="_Hlk100592684"/>
      <w:r w:rsidRPr="00BF3CAF">
        <w:rPr>
          <w:rFonts w:ascii="Arial" w:hAnsi="Arial" w:cs="Arial"/>
          <w:bCs/>
          <w:lang w:val="es-ES_tradnl" w:eastAsia="x-none"/>
        </w:rPr>
        <w:t xml:space="preserve">De otro lado, las excepciones a la restricción prevista en la Ley de Garantías, con fundamento en las cuales podrán las entidades públicas adelantar procedimientos de selección directa en períodos previos a la contienda electoral por la Presidencia, se encuentran consagradas en el inciso final del citado artículo 33 de la Ley 996 de 2005 en lo referente a i) la defensa y seguridad del Estado; </w:t>
      </w:r>
      <w:proofErr w:type="spellStart"/>
      <w:r w:rsidRPr="00BF3CAF">
        <w:rPr>
          <w:rFonts w:ascii="Arial" w:hAnsi="Arial" w:cs="Arial"/>
          <w:bCs/>
          <w:lang w:val="es-ES_tradnl" w:eastAsia="x-none"/>
        </w:rPr>
        <w:t>ii</w:t>
      </w:r>
      <w:proofErr w:type="spellEnd"/>
      <w:r w:rsidRPr="00BF3CAF">
        <w:rPr>
          <w:rFonts w:ascii="Arial" w:hAnsi="Arial" w:cs="Arial"/>
          <w:bCs/>
          <w:lang w:val="es-ES_tradnl" w:eastAsia="x-none"/>
        </w:rPr>
        <w:t xml:space="preserve">) los contratos de crédito público; </w:t>
      </w:r>
      <w:proofErr w:type="spellStart"/>
      <w:r w:rsidRPr="00BF3CAF">
        <w:rPr>
          <w:rFonts w:ascii="Arial" w:hAnsi="Arial" w:cs="Arial"/>
          <w:bCs/>
          <w:lang w:val="es-ES_tradnl" w:eastAsia="x-none"/>
        </w:rPr>
        <w:t>iii</w:t>
      </w:r>
      <w:proofErr w:type="spellEnd"/>
      <w:r w:rsidRPr="00BF3CAF">
        <w:rPr>
          <w:rFonts w:ascii="Arial" w:hAnsi="Arial" w:cs="Arial"/>
          <w:bCs/>
          <w:lang w:val="es-ES_tradnl" w:eastAsia="x-none"/>
        </w:rPr>
        <w:t xml:space="preserve">) los requeridos para cubrir las emergencias educativas, sanitarias y desastres; </w:t>
      </w:r>
      <w:proofErr w:type="spellStart"/>
      <w:r w:rsidRPr="00BF3CAF">
        <w:rPr>
          <w:rFonts w:ascii="Arial" w:hAnsi="Arial" w:cs="Arial"/>
          <w:bCs/>
          <w:lang w:val="es-ES_tradnl" w:eastAsia="x-none"/>
        </w:rPr>
        <w:t>iv</w:t>
      </w:r>
      <w:proofErr w:type="spellEnd"/>
      <w:r w:rsidRPr="00BF3CAF">
        <w:rPr>
          <w:rFonts w:ascii="Arial" w:hAnsi="Arial" w:cs="Arial"/>
          <w:bCs/>
          <w:lang w:val="es-ES_tradnl" w:eastAsia="x-none"/>
        </w:rPr>
        <w:t>)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r w:rsidRPr="00BF3CAF">
        <w:rPr>
          <w:rFonts w:ascii="Arial" w:hAnsi="Arial" w:cs="Arial"/>
          <w:bCs/>
          <w:lang w:val="es-ES_tradnl" w:eastAsia="es-CO"/>
        </w:rPr>
        <w:t xml:space="preserve"> Es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p>
    <w:bookmarkEnd w:id="22"/>
    <w:p w14:paraId="7800087B" w14:textId="77777777" w:rsidR="00134409" w:rsidRPr="00BF3CAF" w:rsidRDefault="00134409" w:rsidP="00771FB2">
      <w:pPr>
        <w:spacing w:after="0" w:line="276" w:lineRule="auto"/>
        <w:ind w:firstLine="709"/>
        <w:contextualSpacing/>
        <w:jc w:val="both"/>
        <w:rPr>
          <w:rFonts w:ascii="Arial" w:hAnsi="Arial" w:cs="Arial"/>
          <w:bCs/>
          <w:lang w:val="es-ES_tradnl" w:eastAsia="x-none"/>
        </w:rPr>
      </w:pPr>
      <w:r w:rsidRPr="00BF3CAF">
        <w:rPr>
          <w:rFonts w:ascii="Arial" w:hAnsi="Arial" w:cs="Arial"/>
          <w:bCs/>
          <w:lang w:val="es-ES_tradnl" w:eastAsia="x-none"/>
        </w:rPr>
        <w:t>En esta labor es importante tener en cuenta, como lo anotó la Corte Constitucional, en Sentencia C-1153 de noviembre 11 de 2005 que «si bien la limitación garantiza la igualdad de condiciones, también es necesario que tal limitación que pretende la igualdad no termine yendo en detrimento de intereses públicos, cuya garantía está en cabeza del ejecutivo, como son los inmersos en las excepciones para la prohibición de contratación»</w:t>
      </w:r>
      <w:r w:rsidRPr="00BF3CAF">
        <w:rPr>
          <w:rStyle w:val="Refdenotaalpie"/>
          <w:rFonts w:ascii="Arial" w:hAnsi="Arial" w:cs="Arial"/>
        </w:rPr>
        <w:footnoteReference w:id="20"/>
      </w:r>
      <w:r w:rsidRPr="00BF3CAF">
        <w:rPr>
          <w:rFonts w:ascii="Arial" w:hAnsi="Arial" w:cs="Arial"/>
          <w:bCs/>
          <w:lang w:val="es-ES_tradnl" w:eastAsia="x-none"/>
        </w:rPr>
        <w:t>. De ahí que la Corte haya señalado que las excepciones a la restricción protegen diversos tipos de urgencias de defensa, salud, educación, infraestructura vial y de servicios públicos y ecológicas, que tienden a no limitar desproporcionadamente la acción del Estado en el cumplimiento de sus fines, en procura de la igualdad entre los candidatos como garantía electoral.</w:t>
      </w:r>
    </w:p>
    <w:p w14:paraId="0977202D" w14:textId="77777777" w:rsidR="00BF3CAF" w:rsidRDefault="00BF3CAF" w:rsidP="00771FB2">
      <w:pPr>
        <w:spacing w:after="0" w:line="276" w:lineRule="auto"/>
        <w:contextualSpacing/>
        <w:jc w:val="both"/>
        <w:rPr>
          <w:rFonts w:ascii="Arial" w:hAnsi="Arial" w:cs="Arial"/>
          <w:bCs/>
          <w:color w:val="FF0000"/>
          <w:lang w:val="es-ES_tradnl" w:eastAsia="x-none"/>
        </w:rPr>
      </w:pPr>
      <w:bookmarkStart w:id="23" w:name="_Hlk100592713"/>
    </w:p>
    <w:p w14:paraId="34B40643" w14:textId="181916C9" w:rsidR="00771FB2" w:rsidRPr="00990FC7" w:rsidRDefault="00771FB2" w:rsidP="00771FB2">
      <w:pPr>
        <w:spacing w:after="0" w:line="276" w:lineRule="auto"/>
        <w:contextualSpacing/>
        <w:jc w:val="both"/>
        <w:rPr>
          <w:rFonts w:ascii="Arial" w:hAnsi="Arial" w:cs="Arial"/>
          <w:b/>
          <w:lang w:eastAsia="x-none"/>
        </w:rPr>
      </w:pPr>
      <w:r w:rsidRPr="00990FC7">
        <w:rPr>
          <w:rFonts w:ascii="Arial" w:hAnsi="Arial" w:cs="Arial"/>
          <w:b/>
          <w:lang w:eastAsia="x-none"/>
        </w:rPr>
        <w:t xml:space="preserve">2.3.  </w:t>
      </w:r>
      <w:r w:rsidR="00121FBA">
        <w:rPr>
          <w:rFonts w:ascii="Arial" w:hAnsi="Arial" w:cs="Arial"/>
          <w:b/>
          <w:lang w:eastAsia="x-none"/>
        </w:rPr>
        <w:t>D</w:t>
      </w:r>
      <w:r w:rsidRPr="00E64100">
        <w:rPr>
          <w:rFonts w:ascii="Arial" w:hAnsi="Arial" w:cs="Arial"/>
          <w:b/>
          <w:bCs/>
          <w:lang w:eastAsia="es-CO"/>
        </w:rPr>
        <w:t>estinatarios de la restricción del artículo 33 de la Ley 996 de 2005</w:t>
      </w:r>
      <w:r>
        <w:rPr>
          <w:rFonts w:ascii="Arial" w:hAnsi="Arial" w:cs="Arial"/>
          <w:b/>
          <w:bCs/>
          <w:lang w:eastAsia="es-CO"/>
        </w:rPr>
        <w:t xml:space="preserve"> </w:t>
      </w:r>
    </w:p>
    <w:p w14:paraId="12E31795" w14:textId="77777777" w:rsidR="00BF3CAF" w:rsidRPr="00654965" w:rsidRDefault="00BF3CAF" w:rsidP="00771FB2">
      <w:pPr>
        <w:spacing w:after="0" w:line="276" w:lineRule="auto"/>
        <w:contextualSpacing/>
        <w:jc w:val="both"/>
        <w:rPr>
          <w:rFonts w:ascii="Arial" w:hAnsi="Arial" w:cs="Arial"/>
          <w:bCs/>
          <w:lang w:val="es-ES_tradnl" w:eastAsia="x-none"/>
        </w:rPr>
      </w:pPr>
    </w:p>
    <w:p w14:paraId="34523F96" w14:textId="3A1A029D" w:rsidR="00134409" w:rsidRPr="00654965" w:rsidRDefault="00134409" w:rsidP="00BF3CAF">
      <w:pPr>
        <w:spacing w:before="120" w:after="0" w:line="276" w:lineRule="auto"/>
        <w:contextualSpacing/>
        <w:jc w:val="both"/>
        <w:rPr>
          <w:rFonts w:ascii="Arial" w:hAnsi="Arial" w:cs="Arial"/>
          <w:bCs/>
          <w:lang w:val="es-ES_tradnl" w:eastAsia="x-none"/>
        </w:rPr>
      </w:pPr>
      <w:r w:rsidRPr="00654965">
        <w:rPr>
          <w:rFonts w:ascii="Arial" w:hAnsi="Arial" w:cs="Arial"/>
          <w:bCs/>
          <w:lang w:val="es-ES_tradnl" w:eastAsia="x-none"/>
        </w:rPr>
        <w:t>El artículo 33 de la Ley 996 de 2005 señala expresamente a los destinatarios de la prohibición, en el sentido de que son «todos los entes del Estado», expresión que contempla a los diferentes organismos o entidades autorizadas por la ley para suscribir contratos.</w:t>
      </w:r>
      <w:r w:rsidRPr="00654965">
        <w:rPr>
          <w:rFonts w:ascii="Arial" w:hAnsi="Arial" w:cs="Arial"/>
          <w:lang w:val="es-ES_tradnl"/>
        </w:rPr>
        <w:t xml:space="preserve"> </w:t>
      </w:r>
      <w:r w:rsidRPr="00654965">
        <w:rPr>
          <w:rFonts w:ascii="Arial" w:hAnsi="Arial" w:cs="Arial"/>
          <w:bCs/>
          <w:lang w:val="es-ES_tradnl" w:eastAsia="x-none"/>
        </w:rPr>
        <w:t>En efecto, tal como lo ha sostenido el Consejo de Estado, el vocablo «todos» utilizado por el legislador comprende</w:t>
      </w:r>
      <w:r w:rsidRPr="00654965">
        <w:rPr>
          <w:rFonts w:ascii="Arial" w:hAnsi="Arial" w:cs="Arial"/>
          <w:lang w:val="es-ES_tradnl"/>
        </w:rPr>
        <w:t xml:space="preserve"> </w:t>
      </w:r>
      <w:r w:rsidRPr="00654965">
        <w:rPr>
          <w:rFonts w:ascii="Arial" w:hAnsi="Arial" w:cs="Arial"/>
          <w:bCs/>
          <w:lang w:val="es-ES_tradnl" w:eastAsia="x-none"/>
        </w:rPr>
        <w:t>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w:t>
      </w:r>
      <w:bookmarkEnd w:id="23"/>
      <w:r w:rsidRPr="00654965">
        <w:rPr>
          <w:rFonts w:ascii="Arial" w:hAnsi="Arial" w:cs="Arial"/>
          <w:bCs/>
          <w:lang w:val="es-ES_tradnl" w:eastAsia="x-none"/>
        </w:rPr>
        <w:t xml:space="preserve"> La Sala de Consulta y Servicio Civil del Consejo de Estado, en Concepto 1727 de fecha 20 de febrero de 2006, consideró que: </w:t>
      </w:r>
    </w:p>
    <w:p w14:paraId="525E1C5B" w14:textId="77777777" w:rsidR="00134409" w:rsidRPr="00654965" w:rsidRDefault="00134409" w:rsidP="00134409">
      <w:pPr>
        <w:spacing w:after="0"/>
        <w:ind w:left="708" w:right="709"/>
        <w:contextualSpacing/>
        <w:jc w:val="both"/>
        <w:rPr>
          <w:rFonts w:ascii="Arial" w:hAnsi="Arial" w:cs="Arial"/>
          <w:bCs/>
          <w:sz w:val="21"/>
          <w:szCs w:val="21"/>
          <w:lang w:val="es-ES_tradnl" w:eastAsia="x-none"/>
        </w:rPr>
      </w:pPr>
    </w:p>
    <w:p w14:paraId="7F72B81B" w14:textId="77777777" w:rsidR="00134409" w:rsidRPr="00654965" w:rsidRDefault="00134409" w:rsidP="00134409">
      <w:pPr>
        <w:spacing w:after="0"/>
        <w:ind w:left="708" w:right="709"/>
        <w:contextualSpacing/>
        <w:jc w:val="both"/>
        <w:rPr>
          <w:rFonts w:ascii="Arial" w:hAnsi="Arial" w:cs="Arial"/>
          <w:bCs/>
          <w:sz w:val="21"/>
          <w:szCs w:val="21"/>
          <w:lang w:val="es-ES_tradnl" w:eastAsia="es-CO"/>
        </w:rPr>
      </w:pPr>
      <w:r w:rsidRPr="00654965">
        <w:rPr>
          <w:rFonts w:ascii="Arial" w:hAnsi="Arial" w:cs="Arial"/>
          <w:bCs/>
          <w:sz w:val="21"/>
          <w:szCs w:val="21"/>
          <w:lang w:val="es-ES_tradnl" w:eastAsia="x-none"/>
        </w:rPr>
        <w:t>El artículo 33 de la ley 996 de 2005, efectivamente se aplica incluso a las entidades estatales con régimen especial de contratación y que están exceptuadas del ámbito de aplicación del Estatuto General de Contratación de la Administración Pública, como por ejemplo los prestadores de servicios públicos domiciliarios (empresas de servicios públicos oficiales y empresas industriales y comerciales del Estado) y a los municipios prestadores directos, incluyendo las excepciones contenidas en el segundo inciso de esta norma</w:t>
      </w:r>
      <w:r w:rsidRPr="00654965">
        <w:rPr>
          <w:rStyle w:val="Refdenotaalpie"/>
          <w:rFonts w:ascii="Arial" w:hAnsi="Arial" w:cs="Arial"/>
        </w:rPr>
        <w:footnoteReference w:id="21"/>
      </w:r>
      <w:r w:rsidRPr="00654965">
        <w:rPr>
          <w:rFonts w:ascii="Arial" w:hAnsi="Arial" w:cs="Arial"/>
          <w:bCs/>
          <w:sz w:val="21"/>
          <w:szCs w:val="21"/>
          <w:lang w:val="es-ES_tradnl" w:eastAsia="x-none"/>
        </w:rPr>
        <w:t>.</w:t>
      </w:r>
      <w:r w:rsidRPr="00654965">
        <w:rPr>
          <w:rFonts w:ascii="Arial" w:hAnsi="Arial" w:cs="Arial"/>
          <w:bCs/>
          <w:sz w:val="21"/>
          <w:szCs w:val="21"/>
          <w:lang w:val="es-ES_tradnl" w:eastAsia="es-CO"/>
        </w:rPr>
        <w:t xml:space="preserve"> </w:t>
      </w:r>
    </w:p>
    <w:p w14:paraId="6F0DD6F9" w14:textId="77777777" w:rsidR="00134409" w:rsidRPr="00654965" w:rsidRDefault="00134409" w:rsidP="00134409">
      <w:pPr>
        <w:spacing w:after="0" w:line="276" w:lineRule="auto"/>
        <w:ind w:firstLine="708"/>
        <w:contextualSpacing/>
        <w:jc w:val="both"/>
        <w:rPr>
          <w:rFonts w:ascii="Arial" w:hAnsi="Arial" w:cs="Arial"/>
          <w:bCs/>
          <w:lang w:val="es-ES_tradnl" w:eastAsia="es-CO"/>
        </w:rPr>
      </w:pPr>
    </w:p>
    <w:p w14:paraId="00FCEF58" w14:textId="28F5D3CC" w:rsidR="00134409" w:rsidRPr="00575685" w:rsidRDefault="00134409" w:rsidP="00E04E3D">
      <w:pPr>
        <w:spacing w:after="120" w:line="276" w:lineRule="auto"/>
        <w:ind w:firstLine="708"/>
        <w:jc w:val="both"/>
        <w:rPr>
          <w:rFonts w:ascii="Arial" w:hAnsi="Arial" w:cs="Arial"/>
          <w:bCs/>
          <w:lang w:val="es-ES_tradnl" w:eastAsia="x-none"/>
        </w:rPr>
      </w:pPr>
      <w:r w:rsidRPr="00575685">
        <w:rPr>
          <w:rFonts w:ascii="Arial" w:hAnsi="Arial" w:cs="Arial"/>
          <w:lang w:val="es-ES_tradnl"/>
        </w:rPr>
        <w:t xml:space="preserve">Por lo tanto, la restricción prevista en la Ley 996 de 2005, </w:t>
      </w:r>
      <w:r w:rsidRPr="00575685">
        <w:rPr>
          <w:rFonts w:ascii="Arial" w:hAnsi="Arial" w:cs="Arial"/>
          <w:bCs/>
          <w:lang w:val="es-ES_tradnl" w:eastAsia="x-none"/>
        </w:rPr>
        <w:t xml:space="preserve">teniendo en cuenta la finalidad de la </w:t>
      </w:r>
      <w:r w:rsidR="00654965" w:rsidRPr="00575685">
        <w:rPr>
          <w:rFonts w:ascii="Arial" w:hAnsi="Arial" w:cs="Arial"/>
          <w:bCs/>
          <w:lang w:val="es-ES_tradnl" w:eastAsia="x-none"/>
        </w:rPr>
        <w:t xml:space="preserve">Ley </w:t>
      </w:r>
      <w:r w:rsidRPr="00575685">
        <w:rPr>
          <w:rFonts w:ascii="Arial" w:hAnsi="Arial" w:cs="Arial"/>
          <w:bCs/>
          <w:lang w:val="es-ES_tradnl" w:eastAsia="x-none"/>
        </w:rPr>
        <w:t xml:space="preserve">de </w:t>
      </w:r>
      <w:r w:rsidR="00654965" w:rsidRPr="00575685">
        <w:rPr>
          <w:rFonts w:ascii="Arial" w:hAnsi="Arial" w:cs="Arial"/>
          <w:bCs/>
          <w:lang w:val="es-ES_tradnl" w:eastAsia="x-none"/>
        </w:rPr>
        <w:t>Garantías Electorales</w:t>
      </w:r>
      <w:r w:rsidRPr="00575685">
        <w:rPr>
          <w:rFonts w:ascii="Arial" w:hAnsi="Arial" w:cs="Arial"/>
          <w:bCs/>
          <w:lang w:val="es-ES_tradnl" w:eastAsia="x-none"/>
        </w:rPr>
        <w:t>, cobija a cualquier ente público que pueda a través de la contratación directa romper el equilibrio entre los candidatos en desarrollo de las elecciones presidenciales. Tampoco existe un supuesto de exoneración a la prohibición por tener un régimen especial de los actos o contratos, pues, la posibilidad de que los entes del Estado utilicen la contratación con fines políticos, esto es, con la intención de influir a los electores y alterar la voluntad popular en las contiendas electorales, se puede presentar tanto en la contratación regulada por la Ley 80 de 1993 como en la regida por normas especiales.</w:t>
      </w:r>
    </w:p>
    <w:p w14:paraId="30D305F0" w14:textId="59819AF8" w:rsidR="00112554" w:rsidRPr="00112554" w:rsidRDefault="00E04E3D" w:rsidP="00112554">
      <w:pPr>
        <w:tabs>
          <w:tab w:val="left" w:pos="426"/>
        </w:tabs>
        <w:spacing w:after="120" w:line="276" w:lineRule="auto"/>
        <w:jc w:val="both"/>
        <w:rPr>
          <w:rFonts w:ascii="Arial" w:eastAsia="Calibri" w:hAnsi="Arial" w:cs="Arial"/>
          <w:bCs/>
          <w:lang w:val="es-ES_tradnl"/>
        </w:rPr>
      </w:pPr>
      <w:r>
        <w:rPr>
          <w:rFonts w:ascii="Arial" w:eastAsia="Calibri" w:hAnsi="Arial" w:cs="Arial"/>
          <w:bCs/>
          <w:lang w:val="es-ES_tradnl"/>
        </w:rPr>
        <w:lastRenderedPageBreak/>
        <w:tab/>
      </w:r>
      <w:r w:rsidRPr="004E1FFE">
        <w:rPr>
          <w:rFonts w:ascii="Arial" w:eastAsia="Calibri" w:hAnsi="Arial" w:cs="Arial"/>
          <w:bCs/>
          <w:lang w:val="es-ES_tradnl"/>
        </w:rPr>
        <w:t xml:space="preserve">De acuerdo con lo anterior, en aras de responder </w:t>
      </w:r>
      <w:r w:rsidR="00411F72" w:rsidRPr="004E1FFE">
        <w:rPr>
          <w:rFonts w:ascii="Arial" w:eastAsia="Calibri" w:hAnsi="Arial" w:cs="Arial"/>
          <w:bCs/>
          <w:lang w:val="es-ES_tradnl"/>
        </w:rPr>
        <w:t>el objeto de la</w:t>
      </w:r>
      <w:r w:rsidRPr="004E1FFE">
        <w:rPr>
          <w:rFonts w:ascii="Arial" w:eastAsia="Calibri" w:hAnsi="Arial" w:cs="Arial"/>
          <w:bCs/>
          <w:lang w:val="es-ES_tradnl"/>
        </w:rPr>
        <w:t xml:space="preserve"> consulta, es importante tener en cuenta que, </w:t>
      </w:r>
      <w:r w:rsidR="00411F72" w:rsidRPr="004E1FFE">
        <w:rPr>
          <w:rFonts w:ascii="Arial" w:eastAsia="Calibri" w:hAnsi="Arial" w:cs="Arial"/>
          <w:bCs/>
          <w:lang w:val="es-ES_tradnl"/>
        </w:rPr>
        <w:t xml:space="preserve">las </w:t>
      </w:r>
      <w:r w:rsidR="004E1FFE" w:rsidRPr="004E1FFE">
        <w:rPr>
          <w:rFonts w:ascii="Arial" w:eastAsia="Calibri" w:hAnsi="Arial" w:cs="Arial"/>
          <w:bCs/>
          <w:lang w:val="es-ES_tradnl"/>
        </w:rPr>
        <w:t>personerías municipales</w:t>
      </w:r>
      <w:r w:rsidR="00411F72" w:rsidRPr="004E1FFE">
        <w:rPr>
          <w:rFonts w:ascii="Arial" w:eastAsia="Calibri" w:hAnsi="Arial" w:cs="Arial"/>
          <w:bCs/>
          <w:lang w:val="es-ES_tradnl"/>
        </w:rPr>
        <w:t xml:space="preserve">, </w:t>
      </w:r>
      <w:r w:rsidRPr="004E1FFE">
        <w:rPr>
          <w:rFonts w:ascii="Arial" w:eastAsia="Calibri" w:hAnsi="Arial" w:cs="Arial"/>
          <w:bCs/>
          <w:lang w:val="es-ES_tradnl"/>
        </w:rPr>
        <w:t xml:space="preserve">entidad mencionada en </w:t>
      </w:r>
      <w:r w:rsidR="00411F72" w:rsidRPr="004E1FFE">
        <w:rPr>
          <w:rFonts w:ascii="Arial" w:eastAsia="Calibri" w:hAnsi="Arial" w:cs="Arial"/>
          <w:bCs/>
          <w:lang w:val="es-ES_tradnl"/>
        </w:rPr>
        <w:t>la</w:t>
      </w:r>
      <w:r w:rsidRPr="004E1FFE">
        <w:rPr>
          <w:rFonts w:ascii="Arial" w:eastAsia="Calibri" w:hAnsi="Arial" w:cs="Arial"/>
          <w:bCs/>
          <w:lang w:val="es-ES_tradnl"/>
        </w:rPr>
        <w:t xml:space="preserve"> petición, hace</w:t>
      </w:r>
      <w:r w:rsidR="00411F72" w:rsidRPr="004E1FFE">
        <w:rPr>
          <w:rFonts w:ascii="Arial" w:eastAsia="Calibri" w:hAnsi="Arial" w:cs="Arial"/>
          <w:bCs/>
          <w:lang w:val="es-ES_tradnl"/>
        </w:rPr>
        <w:t>n</w:t>
      </w:r>
      <w:r w:rsidRPr="004E1FFE">
        <w:rPr>
          <w:rFonts w:ascii="Arial" w:eastAsia="Calibri" w:hAnsi="Arial" w:cs="Arial"/>
          <w:bCs/>
          <w:lang w:val="es-ES_tradnl"/>
        </w:rPr>
        <w:t xml:space="preserve"> parte de la estructura del Estado delimitada por el Titulo V de la Constitución Política</w:t>
      </w:r>
      <w:r w:rsidR="00411F72" w:rsidRPr="004E1FFE">
        <w:rPr>
          <w:rFonts w:ascii="Arial" w:eastAsia="Calibri" w:hAnsi="Arial" w:cs="Arial"/>
          <w:bCs/>
          <w:lang w:val="es-ES_tradnl"/>
        </w:rPr>
        <w:t xml:space="preserve"> de Colombia</w:t>
      </w:r>
      <w:r w:rsidRPr="004E1FFE">
        <w:rPr>
          <w:rFonts w:ascii="Arial" w:eastAsia="Calibri" w:hAnsi="Arial" w:cs="Arial"/>
          <w:bCs/>
          <w:lang w:val="es-ES_tradnl"/>
        </w:rPr>
        <w:t xml:space="preserve">. </w:t>
      </w:r>
      <w:r w:rsidR="00D93F75" w:rsidRPr="004E1FFE">
        <w:rPr>
          <w:rFonts w:ascii="Arial" w:eastAsia="Calibri" w:hAnsi="Arial" w:cs="Arial"/>
          <w:bCs/>
          <w:lang w:val="es-ES_tradnl"/>
        </w:rPr>
        <w:t>D</w:t>
      </w:r>
      <w:r w:rsidRPr="004E1FFE">
        <w:rPr>
          <w:rFonts w:ascii="Arial" w:eastAsia="Calibri" w:hAnsi="Arial" w:cs="Arial"/>
          <w:bCs/>
          <w:lang w:val="es-ES_tradnl"/>
        </w:rPr>
        <w:t>e acuerdo con el artículo 117</w:t>
      </w:r>
      <w:r w:rsidR="003447AC" w:rsidRPr="004E1FFE">
        <w:rPr>
          <w:rFonts w:ascii="Arial" w:eastAsia="Calibri" w:hAnsi="Arial" w:cs="Arial"/>
          <w:bCs/>
          <w:lang w:val="es-ES_tradnl"/>
        </w:rPr>
        <w:t xml:space="preserve"> ibidem</w:t>
      </w:r>
      <w:r w:rsidRPr="004E1FFE">
        <w:rPr>
          <w:rFonts w:ascii="Arial" w:eastAsia="Calibri" w:hAnsi="Arial" w:cs="Arial"/>
          <w:bCs/>
          <w:lang w:val="es-ES_tradnl"/>
        </w:rPr>
        <w:t xml:space="preserve">, </w:t>
      </w:r>
      <w:r w:rsidR="00D93F75" w:rsidRPr="004E1FFE">
        <w:rPr>
          <w:rFonts w:ascii="Arial" w:eastAsia="Calibri" w:hAnsi="Arial" w:cs="Arial"/>
          <w:bCs/>
          <w:lang w:val="es-ES_tradnl"/>
        </w:rPr>
        <w:t>el Ministerio Público</w:t>
      </w:r>
      <w:r w:rsidR="00526DE2" w:rsidRPr="004E1FFE">
        <w:rPr>
          <w:rFonts w:ascii="Arial" w:eastAsia="Calibri" w:hAnsi="Arial" w:cs="Arial"/>
          <w:bCs/>
          <w:lang w:val="es-ES_tradnl"/>
        </w:rPr>
        <w:t>,</w:t>
      </w:r>
      <w:r w:rsidR="00D93F75" w:rsidRPr="004E1FFE">
        <w:rPr>
          <w:rFonts w:ascii="Arial" w:eastAsia="Calibri" w:hAnsi="Arial" w:cs="Arial"/>
          <w:bCs/>
          <w:lang w:val="es-ES_tradnl"/>
        </w:rPr>
        <w:t xml:space="preserve"> </w:t>
      </w:r>
      <w:r w:rsidR="00BC2C80" w:rsidRPr="004E1FFE">
        <w:rPr>
          <w:rFonts w:ascii="Arial" w:eastAsia="Calibri" w:hAnsi="Arial" w:cs="Arial"/>
          <w:bCs/>
          <w:lang w:val="es-ES_tradnl"/>
        </w:rPr>
        <w:t xml:space="preserve">del cual hacen parte el Procurador General de la Nación, el Defensor del Pueblo, los procuradores delegados, </w:t>
      </w:r>
      <w:r w:rsidR="00BC2C80" w:rsidRPr="004E1FFE">
        <w:rPr>
          <w:rFonts w:ascii="Arial" w:eastAsia="Calibri" w:hAnsi="Arial" w:cs="Arial"/>
          <w:bCs/>
          <w:i/>
          <w:iCs/>
          <w:lang w:val="es-ES_tradnl"/>
        </w:rPr>
        <w:t>personeros municipales</w:t>
      </w:r>
      <w:r w:rsidR="00BC2C80" w:rsidRPr="004E1FFE">
        <w:rPr>
          <w:rFonts w:ascii="Arial" w:eastAsia="Calibri" w:hAnsi="Arial" w:cs="Arial"/>
          <w:bCs/>
          <w:lang w:val="es-ES_tradnl"/>
        </w:rPr>
        <w:t>, entre otros agentes, según el artículo 118</w:t>
      </w:r>
      <w:r w:rsidR="00BC2C80" w:rsidRPr="004E1FFE">
        <w:rPr>
          <w:rStyle w:val="Refdenotaalpie"/>
          <w:rFonts w:ascii="Arial" w:eastAsia="Calibri" w:hAnsi="Arial" w:cs="Arial"/>
          <w:bCs/>
          <w:lang w:val="es-ES_tradnl"/>
        </w:rPr>
        <w:footnoteReference w:id="22"/>
      </w:r>
      <w:r w:rsidR="00BC2C80" w:rsidRPr="004E1FFE">
        <w:rPr>
          <w:rFonts w:ascii="Arial" w:eastAsia="Calibri" w:hAnsi="Arial" w:cs="Arial"/>
          <w:bCs/>
          <w:lang w:val="es-ES_tradnl"/>
        </w:rPr>
        <w:t xml:space="preserve">, </w:t>
      </w:r>
      <w:r w:rsidR="00CD5BAF" w:rsidRPr="004E1FFE">
        <w:rPr>
          <w:rFonts w:ascii="Arial" w:eastAsia="Calibri" w:hAnsi="Arial" w:cs="Arial"/>
          <w:bCs/>
          <w:lang w:val="es-ES_tradnl"/>
        </w:rPr>
        <w:t>corresponde</w:t>
      </w:r>
      <w:r w:rsidR="004E1FFE" w:rsidRPr="004E1FFE">
        <w:rPr>
          <w:rFonts w:ascii="Arial" w:eastAsia="Calibri" w:hAnsi="Arial" w:cs="Arial"/>
          <w:bCs/>
          <w:lang w:val="es-ES_tradnl"/>
        </w:rPr>
        <w:t xml:space="preserve"> a</w:t>
      </w:r>
      <w:r w:rsidR="00CD5BAF" w:rsidRPr="004E1FFE">
        <w:rPr>
          <w:rFonts w:ascii="Arial" w:eastAsia="Calibri" w:hAnsi="Arial" w:cs="Arial"/>
          <w:bCs/>
          <w:lang w:val="es-ES_tradnl"/>
        </w:rPr>
        <w:t xml:space="preserve"> la noción de órgano de control</w:t>
      </w:r>
      <w:r w:rsidR="00575685" w:rsidRPr="004E1FFE">
        <w:rPr>
          <w:rFonts w:ascii="Arial" w:eastAsia="Calibri" w:hAnsi="Arial" w:cs="Arial"/>
          <w:bCs/>
          <w:lang w:val="es-ES_tradnl"/>
        </w:rPr>
        <w:t>.</w:t>
      </w:r>
      <w:r w:rsidR="00575685" w:rsidRPr="00112554">
        <w:rPr>
          <w:rFonts w:ascii="Arial" w:eastAsia="Calibri" w:hAnsi="Arial" w:cs="Arial"/>
          <w:bCs/>
          <w:lang w:val="es-ES_tradnl"/>
        </w:rPr>
        <w:t xml:space="preserve"> </w:t>
      </w:r>
    </w:p>
    <w:p w14:paraId="74B3EFAE" w14:textId="0A21FA86" w:rsidR="00112554" w:rsidRPr="00112554" w:rsidRDefault="00112554" w:rsidP="00112554">
      <w:pPr>
        <w:tabs>
          <w:tab w:val="left" w:pos="426"/>
        </w:tabs>
        <w:spacing w:after="120" w:line="276" w:lineRule="auto"/>
        <w:jc w:val="both"/>
        <w:rPr>
          <w:rFonts w:ascii="Arial" w:eastAsia="Calibri" w:hAnsi="Arial" w:cs="Arial"/>
          <w:bCs/>
          <w:lang w:val="es-ES_tradnl"/>
        </w:rPr>
      </w:pPr>
      <w:r w:rsidRPr="00112554">
        <w:rPr>
          <w:rFonts w:ascii="Arial" w:eastAsia="Calibri" w:hAnsi="Arial" w:cs="Arial"/>
          <w:bCs/>
          <w:lang w:val="es-ES_tradnl"/>
        </w:rPr>
        <w:tab/>
        <w:t xml:space="preserve">En ese sentido, si bien </w:t>
      </w:r>
      <w:r w:rsidR="004E1FFE">
        <w:rPr>
          <w:rFonts w:ascii="Arial" w:eastAsia="Calibri" w:hAnsi="Arial" w:cs="Arial"/>
          <w:bCs/>
          <w:lang w:val="es-ES_tradnl"/>
        </w:rPr>
        <w:t>las personerías municipales no</w:t>
      </w:r>
      <w:r w:rsidR="004E1FFE" w:rsidRPr="00112554">
        <w:rPr>
          <w:rFonts w:ascii="Arial" w:eastAsia="Calibri" w:hAnsi="Arial" w:cs="Arial"/>
          <w:bCs/>
          <w:lang w:val="es-ES_tradnl"/>
        </w:rPr>
        <w:t xml:space="preserve"> hacen</w:t>
      </w:r>
      <w:r w:rsidRPr="00112554">
        <w:rPr>
          <w:rFonts w:ascii="Arial" w:eastAsia="Calibri" w:hAnsi="Arial" w:cs="Arial"/>
          <w:bCs/>
          <w:lang w:val="es-ES_tradnl"/>
        </w:rPr>
        <w:t xml:space="preserve"> parte de la Administración Pública, resulta palmario que estas, no solo desarrolla</w:t>
      </w:r>
      <w:r w:rsidR="00655085">
        <w:rPr>
          <w:rFonts w:ascii="Arial" w:eastAsia="Calibri" w:hAnsi="Arial" w:cs="Arial"/>
          <w:bCs/>
          <w:lang w:val="es-ES_tradnl"/>
        </w:rPr>
        <w:t>n</w:t>
      </w:r>
      <w:r w:rsidRPr="00112554">
        <w:rPr>
          <w:rFonts w:ascii="Arial" w:eastAsia="Calibri" w:hAnsi="Arial" w:cs="Arial"/>
          <w:bCs/>
          <w:lang w:val="es-ES_tradnl"/>
        </w:rPr>
        <w:t xml:space="preserve"> funciones públicas, sino que tiene</w:t>
      </w:r>
      <w:r w:rsidR="00655085">
        <w:rPr>
          <w:rFonts w:ascii="Arial" w:eastAsia="Calibri" w:hAnsi="Arial" w:cs="Arial"/>
          <w:bCs/>
          <w:lang w:val="es-ES_tradnl"/>
        </w:rPr>
        <w:t>n</w:t>
      </w:r>
      <w:r w:rsidRPr="00112554">
        <w:rPr>
          <w:rFonts w:ascii="Arial" w:eastAsia="Calibri" w:hAnsi="Arial" w:cs="Arial"/>
          <w:bCs/>
          <w:lang w:val="es-ES_tradnl"/>
        </w:rPr>
        <w:t xml:space="preserve"> un rol definido en la estructura estatal, del que se sigue su calidad de ente del Estado, </w:t>
      </w:r>
      <w:r w:rsidR="00655085">
        <w:rPr>
          <w:rFonts w:ascii="Arial" w:eastAsia="Calibri" w:hAnsi="Arial" w:cs="Arial"/>
          <w:bCs/>
          <w:lang w:val="es-ES_tradnl"/>
        </w:rPr>
        <w:t xml:space="preserve">a </w:t>
      </w:r>
      <w:r w:rsidRPr="00112554">
        <w:rPr>
          <w:rFonts w:ascii="Arial" w:eastAsia="Calibri" w:hAnsi="Arial" w:cs="Arial"/>
          <w:bCs/>
          <w:lang w:val="es-ES_tradnl"/>
        </w:rPr>
        <w:t>los que de manera general se refiere el artículo 33 de la Ley 996 de 2005. Esto no conduce a conclusión distinta a que las personerías, en su calidad de órganos de control, también hacen parte de los destinatarios de la prohibición a la contratación directa establecida en el artículo 33</w:t>
      </w:r>
      <w:r w:rsidR="00655085">
        <w:rPr>
          <w:rFonts w:ascii="Arial" w:eastAsia="Calibri" w:hAnsi="Arial" w:cs="Arial"/>
          <w:bCs/>
          <w:lang w:val="es-ES_tradnl"/>
        </w:rPr>
        <w:t xml:space="preserve"> de la Ley de Garantías Electorales</w:t>
      </w:r>
      <w:r w:rsidRPr="00112554">
        <w:rPr>
          <w:rFonts w:ascii="Arial" w:eastAsia="Calibri" w:hAnsi="Arial" w:cs="Arial"/>
          <w:bCs/>
          <w:lang w:val="es-ES_tradnl"/>
        </w:rPr>
        <w:t xml:space="preserve">. </w:t>
      </w:r>
    </w:p>
    <w:p w14:paraId="35FEDA33" w14:textId="292D61C7" w:rsidR="00112554" w:rsidRPr="00112554" w:rsidRDefault="00112554" w:rsidP="00112554">
      <w:pPr>
        <w:spacing w:after="120" w:line="276" w:lineRule="auto"/>
        <w:ind w:firstLine="709"/>
        <w:jc w:val="both"/>
        <w:rPr>
          <w:rFonts w:ascii="Arial" w:hAnsi="Arial" w:cs="Arial"/>
          <w:color w:val="000000" w:themeColor="text1"/>
          <w:lang w:val="es-ES_tradnl"/>
        </w:rPr>
      </w:pPr>
      <w:r w:rsidRPr="004529A0">
        <w:rPr>
          <w:rFonts w:ascii="Arial" w:hAnsi="Arial" w:cs="Arial"/>
          <w:lang w:val="es-ES_tradnl"/>
        </w:rPr>
        <w:t>Lo anterior supone que tales entidades, durante los periodos preelectorales de los cuatro</w:t>
      </w:r>
      <w:r w:rsidR="00860042" w:rsidRPr="004529A0">
        <w:rPr>
          <w:rFonts w:ascii="Arial" w:hAnsi="Arial" w:cs="Arial"/>
          <w:lang w:val="es-ES_tradnl"/>
        </w:rPr>
        <w:t xml:space="preserve"> (4)</w:t>
      </w:r>
      <w:r w:rsidRPr="004529A0">
        <w:rPr>
          <w:rFonts w:ascii="Arial" w:hAnsi="Arial" w:cs="Arial"/>
          <w:lang w:val="es-ES_tradnl"/>
        </w:rPr>
        <w:t xml:space="preserve"> meses previos a las elecciones presidenciales, tienen restringida la celebración contratos en aplicación de las causales de contratación directa previstas en el artículo 2-4 de la Ley 1150 de 2007, entre las que se encuentra la del literal h), alusiva a la </w:t>
      </w:r>
      <w:r w:rsidRPr="004529A0">
        <w:rPr>
          <w:rFonts w:ascii="Arial" w:hAnsi="Arial" w:cs="Arial"/>
          <w:i/>
          <w:iCs/>
          <w:lang w:val="es-ES_tradnl"/>
        </w:rPr>
        <w:t>«prestación de servicios profesionales y de apoyo a la gestión, o para la ejecución de trabajos artísticos que sólo puedan encomendarse a determinadas personas naturales»</w:t>
      </w:r>
      <w:r w:rsidRPr="004529A0">
        <w:rPr>
          <w:rStyle w:val="Refdenotaalpie"/>
          <w:rFonts w:ascii="Arial" w:hAnsi="Arial" w:cs="Arial"/>
          <w:lang w:val="es-ES_tradnl"/>
        </w:rPr>
        <w:footnoteReference w:id="23"/>
      </w:r>
      <w:r w:rsidR="000E3FD5" w:rsidRPr="004529A0">
        <w:rPr>
          <w:rFonts w:ascii="Arial" w:hAnsi="Arial" w:cs="Arial"/>
          <w:i/>
          <w:iCs/>
          <w:lang w:val="es-ES_tradnl"/>
        </w:rPr>
        <w:t xml:space="preserve"> </w:t>
      </w:r>
      <w:r w:rsidR="000E3FD5" w:rsidRPr="004529A0">
        <w:rPr>
          <w:rFonts w:ascii="Arial" w:hAnsi="Arial" w:cs="Arial"/>
          <w:lang w:val="es-ES_tradnl"/>
        </w:rPr>
        <w:t xml:space="preserve">y </w:t>
      </w:r>
      <w:r w:rsidR="004529A0" w:rsidRPr="004529A0">
        <w:rPr>
          <w:rFonts w:ascii="Arial" w:hAnsi="Arial" w:cs="Arial"/>
          <w:lang w:val="es-ES_tradnl"/>
        </w:rPr>
        <w:t>la establecida en el literal i) referente al</w:t>
      </w:r>
      <w:r w:rsidR="004529A0" w:rsidRPr="004529A0">
        <w:rPr>
          <w:rFonts w:ascii="Arial" w:hAnsi="Arial" w:cs="Arial"/>
          <w:i/>
          <w:iCs/>
          <w:lang w:val="es-ES_tradnl"/>
        </w:rPr>
        <w:t xml:space="preserve"> «</w:t>
      </w:r>
      <w:r w:rsidR="004529A0" w:rsidRPr="004529A0">
        <w:rPr>
          <w:rFonts w:ascii="Arial" w:hAnsi="Arial" w:cs="Arial"/>
          <w:i/>
          <w:iCs/>
        </w:rPr>
        <w:t>arrendamiento o adquisición de inmuebles</w:t>
      </w:r>
      <w:r w:rsidR="004529A0" w:rsidRPr="004529A0">
        <w:rPr>
          <w:rFonts w:ascii="Arial" w:hAnsi="Arial" w:cs="Arial"/>
          <w:i/>
          <w:iCs/>
          <w:lang w:val="es-ES_tradnl"/>
        </w:rPr>
        <w:t>»</w:t>
      </w:r>
      <w:r w:rsidR="00B7096A">
        <w:rPr>
          <w:rStyle w:val="Refdenotaalpie"/>
          <w:rFonts w:ascii="Arial" w:hAnsi="Arial" w:cs="Arial"/>
          <w:i/>
          <w:iCs/>
          <w:lang w:val="es-ES_tradnl"/>
        </w:rPr>
        <w:footnoteReference w:id="24"/>
      </w:r>
      <w:r w:rsidRPr="004529A0">
        <w:rPr>
          <w:rFonts w:ascii="Arial" w:hAnsi="Arial" w:cs="Arial"/>
          <w:lang w:val="es-ES_tradnl"/>
        </w:rPr>
        <w:t xml:space="preserve">. Conforme a </w:t>
      </w:r>
      <w:r w:rsidR="00CF6E2F">
        <w:rPr>
          <w:rFonts w:ascii="Arial" w:hAnsi="Arial" w:cs="Arial"/>
          <w:lang w:val="es-ES_tradnl"/>
        </w:rPr>
        <w:t>lo dispuesto en el artículo 2 de la Ley 1150 de 2007</w:t>
      </w:r>
      <w:r w:rsidRPr="004529A0">
        <w:rPr>
          <w:rFonts w:ascii="Arial" w:hAnsi="Arial" w:cs="Arial"/>
          <w:lang w:val="es-ES_tradnl"/>
        </w:rPr>
        <w:t xml:space="preserve">, </w:t>
      </w:r>
      <w:r w:rsidR="00CF6E2F">
        <w:rPr>
          <w:rFonts w:ascii="Arial" w:hAnsi="Arial" w:cs="Arial"/>
          <w:lang w:val="es-ES_tradnl"/>
        </w:rPr>
        <w:t xml:space="preserve">los mencionados contratos </w:t>
      </w:r>
      <w:r w:rsidRPr="004529A0">
        <w:rPr>
          <w:rFonts w:ascii="Arial" w:hAnsi="Arial" w:cs="Arial"/>
          <w:lang w:val="es-ES_tradnl"/>
        </w:rPr>
        <w:t>se celebran de manera directa, independientemente de la cuantía y</w:t>
      </w:r>
      <w:r w:rsidR="00342722">
        <w:rPr>
          <w:rFonts w:ascii="Arial" w:hAnsi="Arial" w:cs="Arial"/>
          <w:lang w:val="es-ES_tradnl"/>
        </w:rPr>
        <w:t>,</w:t>
      </w:r>
      <w:r w:rsidRPr="004529A0">
        <w:rPr>
          <w:rFonts w:ascii="Arial" w:hAnsi="Arial" w:cs="Arial"/>
          <w:lang w:val="es-ES_tradnl"/>
        </w:rPr>
        <w:t xml:space="preserve"> </w:t>
      </w:r>
      <w:r w:rsidR="00072FB7">
        <w:rPr>
          <w:rFonts w:ascii="Arial" w:hAnsi="Arial" w:cs="Arial"/>
          <w:lang w:val="es-ES_tradnl"/>
        </w:rPr>
        <w:t xml:space="preserve">en el caso de la causal consagrada </w:t>
      </w:r>
      <w:r w:rsidR="00072FB7">
        <w:rPr>
          <w:rFonts w:ascii="Arial" w:hAnsi="Arial" w:cs="Arial"/>
          <w:lang w:val="es-ES_tradnl"/>
        </w:rPr>
        <w:lastRenderedPageBreak/>
        <w:t xml:space="preserve">en el literal </w:t>
      </w:r>
      <w:r w:rsidR="00342722">
        <w:rPr>
          <w:rFonts w:ascii="Arial" w:hAnsi="Arial" w:cs="Arial"/>
          <w:lang w:val="es-ES_tradnl"/>
        </w:rPr>
        <w:t xml:space="preserve">h), </w:t>
      </w:r>
      <w:r w:rsidRPr="004529A0">
        <w:rPr>
          <w:rFonts w:ascii="Arial" w:hAnsi="Arial" w:cs="Arial"/>
          <w:lang w:val="es-ES_tradnl"/>
        </w:rPr>
        <w:t>del tipo de servicio profesional, siempre que este no ingrese dentro del objeto del contrato de consultoría, pues, como lo indicó el Consejo de Estado en la sentencia de unificación jurisprudencial del 2 de diciembre de 2013</w:t>
      </w:r>
      <w:r w:rsidRPr="004529A0">
        <w:rPr>
          <w:rStyle w:val="Refdenotaalpie"/>
          <w:rFonts w:ascii="Arial" w:hAnsi="Arial" w:cs="Arial"/>
          <w:lang w:val="es-ES_tradnl"/>
        </w:rPr>
        <w:footnoteReference w:id="25"/>
      </w:r>
      <w:r w:rsidRPr="004529A0">
        <w:rPr>
          <w:rFonts w:ascii="Arial" w:hAnsi="Arial" w:cs="Arial"/>
          <w:lang w:val="es-ES_tradnl"/>
        </w:rPr>
        <w:t>, si bien en ambos existe un componente intelectual, profesional e intangible, el objeto del contrato de consultoría es especial y debe celebrarse, por regla general, precedido de un concurso de méritos</w:t>
      </w:r>
      <w:r w:rsidRPr="004529A0">
        <w:rPr>
          <w:rStyle w:val="Refdenotaalpie"/>
          <w:rFonts w:ascii="Arial" w:hAnsi="Arial" w:cs="Arial"/>
          <w:lang w:val="es-ES_tradnl"/>
        </w:rPr>
        <w:footnoteReference w:id="26"/>
      </w:r>
      <w:r w:rsidRPr="004529A0">
        <w:rPr>
          <w:rFonts w:ascii="Arial" w:hAnsi="Arial" w:cs="Arial"/>
          <w:lang w:val="es-ES_tradnl"/>
        </w:rPr>
        <w:t xml:space="preserve">. En tal sentido, al ser </w:t>
      </w:r>
      <w:r w:rsidRPr="00112554">
        <w:rPr>
          <w:rFonts w:ascii="Arial" w:hAnsi="Arial" w:cs="Arial"/>
          <w:color w:val="000000" w:themeColor="text1"/>
          <w:lang w:val="es-ES_tradnl"/>
        </w:rPr>
        <w:t>la contratación directa la modalidad aplicable para la prestación de servicios profesionales y de apoyo a la gestión</w:t>
      </w:r>
      <w:r w:rsidR="00342722">
        <w:rPr>
          <w:rFonts w:ascii="Arial" w:hAnsi="Arial" w:cs="Arial"/>
          <w:color w:val="000000" w:themeColor="text1"/>
          <w:lang w:val="es-ES_tradnl"/>
        </w:rPr>
        <w:t xml:space="preserve"> y para el </w:t>
      </w:r>
      <w:r w:rsidR="00104EC4">
        <w:rPr>
          <w:rFonts w:ascii="Arial" w:hAnsi="Arial" w:cs="Arial"/>
          <w:color w:val="000000" w:themeColor="text1"/>
          <w:lang w:val="es-ES_tradnl"/>
        </w:rPr>
        <w:t>arrendamiento</w:t>
      </w:r>
      <w:r w:rsidR="00342722">
        <w:rPr>
          <w:rFonts w:ascii="Arial" w:hAnsi="Arial" w:cs="Arial"/>
          <w:color w:val="000000" w:themeColor="text1"/>
          <w:lang w:val="es-ES_tradnl"/>
        </w:rPr>
        <w:t xml:space="preserve"> o </w:t>
      </w:r>
      <w:r w:rsidR="00104EC4">
        <w:rPr>
          <w:rFonts w:ascii="Arial" w:hAnsi="Arial" w:cs="Arial"/>
          <w:color w:val="000000" w:themeColor="text1"/>
          <w:lang w:val="es-ES_tradnl"/>
        </w:rPr>
        <w:t>adquisición de inmuebles</w:t>
      </w:r>
      <w:r w:rsidRPr="00112554">
        <w:rPr>
          <w:rFonts w:ascii="Arial" w:hAnsi="Arial" w:cs="Arial"/>
          <w:color w:val="000000" w:themeColor="text1"/>
          <w:lang w:val="es-ES_tradnl"/>
        </w:rPr>
        <w:t>, la celebración de nuevos contratos durante el periodo en el que aplica el artículo 33 de la Ley 996 de 2005, estaría restringida, sin perjuicio de que válidamente se celebren contratos en dicho lapso, amparados en alguna de las excepciones mencionadas</w:t>
      </w:r>
      <w:r w:rsidR="00087810">
        <w:rPr>
          <w:rFonts w:ascii="Arial" w:hAnsi="Arial" w:cs="Arial"/>
          <w:color w:val="000000" w:themeColor="text1"/>
          <w:lang w:val="es-ES_tradnl"/>
        </w:rPr>
        <w:t xml:space="preserve"> en el numeral anterior de este concepto</w:t>
      </w:r>
      <w:r w:rsidRPr="00112554">
        <w:rPr>
          <w:rFonts w:ascii="Arial" w:hAnsi="Arial" w:cs="Arial"/>
          <w:color w:val="000000" w:themeColor="text1"/>
          <w:lang w:val="es-ES_tradnl"/>
        </w:rPr>
        <w:t xml:space="preserve">. </w:t>
      </w:r>
    </w:p>
    <w:p w14:paraId="0D05B743" w14:textId="232C04C6" w:rsidR="00112554" w:rsidRPr="00A432CD" w:rsidRDefault="00112554" w:rsidP="00112554">
      <w:pPr>
        <w:spacing w:after="120" w:line="276" w:lineRule="auto"/>
        <w:ind w:firstLine="708"/>
        <w:jc w:val="both"/>
        <w:rPr>
          <w:rFonts w:ascii="Arial" w:eastAsia="Times New Roman" w:hAnsi="Arial" w:cs="Arial"/>
          <w:bCs/>
          <w:lang w:eastAsia="es-CO"/>
        </w:rPr>
      </w:pPr>
      <w:r w:rsidRPr="00A432CD">
        <w:rPr>
          <w:rFonts w:ascii="Arial" w:eastAsia="Times New Roman" w:hAnsi="Arial" w:cs="Arial"/>
          <w:bCs/>
          <w:lang w:val="es-ES" w:eastAsia="es-CO"/>
        </w:rPr>
        <w:t xml:space="preserve">Lo anterior sin perjuicio de la posibilidad de celebrar prórrogas, adiciones, modificaciones o cesiones de los contratos suscritos antes de la </w:t>
      </w:r>
      <w:proofErr w:type="gramStart"/>
      <w:r w:rsidRPr="00A432CD">
        <w:rPr>
          <w:rFonts w:ascii="Arial" w:eastAsia="Times New Roman" w:hAnsi="Arial" w:cs="Arial"/>
          <w:bCs/>
          <w:lang w:val="es-ES" w:eastAsia="es-CO"/>
        </w:rPr>
        <w:t>entrada en vigencia</w:t>
      </w:r>
      <w:proofErr w:type="gramEnd"/>
      <w:r w:rsidRPr="00A432CD">
        <w:rPr>
          <w:rFonts w:ascii="Arial" w:eastAsia="Times New Roman" w:hAnsi="Arial" w:cs="Arial"/>
          <w:bCs/>
          <w:lang w:val="es-ES" w:eastAsia="es-CO"/>
        </w:rPr>
        <w:t xml:space="preserve"> de las prohibiciones anotadas una vez éstas han comenzado a surtir efectos, actuaciones que pueden tener lugar, sin que con ello se transgredan las restricciones explicadas, siempre que se cumplan los principios de planeación, transparencia y responsabilidad. Esto por cuanto se ha considerado que actuaciones como cesiones, prórrogas, modificaciones y adiciones de contratos vigentes, no se encuentran dentro del ámbito de aplicación de las mencionadas restricciones. De hecho, esta fue la postura que asumió en su momento </w:t>
      </w:r>
      <w:r w:rsidR="00E97576" w:rsidRPr="00A432CD">
        <w:rPr>
          <w:rFonts w:ascii="Arial" w:eastAsia="Times New Roman" w:hAnsi="Arial" w:cs="Arial"/>
          <w:bCs/>
          <w:lang w:val="es-ES" w:eastAsia="es-CO"/>
        </w:rPr>
        <w:t xml:space="preserve">la Agencia Nacional de Contratación Estatal - </w:t>
      </w:r>
      <w:r w:rsidRPr="00A432CD">
        <w:rPr>
          <w:rFonts w:ascii="Arial" w:eastAsia="Times New Roman" w:hAnsi="Arial" w:cs="Arial"/>
          <w:bCs/>
          <w:lang w:val="es-ES" w:eastAsia="es-CO"/>
        </w:rPr>
        <w:t xml:space="preserve">Colombia Compra Eficiente en la Circular No. 3 del 16 de agosto de 2013, expedida con el fin de establecer unas pautas para el cumplimiento de las restricciones a la contratación pública establecidas en la Ley 996 de 2005, en los meses anteriores a las elecciones presidenciales que tuvieron lugar en el 2014. En el texto de la mencionada Circular, en relación con la restricción del artículo 33 </w:t>
      </w:r>
      <w:r w:rsidRPr="00A432CD">
        <w:rPr>
          <w:rFonts w:ascii="Arial" w:eastAsia="Times New Roman" w:hAnsi="Arial" w:cs="Arial"/>
          <w:bCs/>
          <w:i/>
          <w:iCs/>
          <w:lang w:val="es-ES" w:eastAsia="es-CO"/>
        </w:rPr>
        <w:t>ibidem</w:t>
      </w:r>
      <w:r w:rsidRPr="00A432CD">
        <w:rPr>
          <w:rFonts w:ascii="Arial" w:eastAsia="Times New Roman" w:hAnsi="Arial" w:cs="Arial"/>
          <w:bCs/>
          <w:lang w:val="es-ES" w:eastAsia="es-CO"/>
        </w:rPr>
        <w:t xml:space="preserve">, la Agencia sostuvo que </w:t>
      </w:r>
      <w:r w:rsidRPr="00A432CD">
        <w:rPr>
          <w:rFonts w:ascii="Arial" w:eastAsia="Times New Roman" w:hAnsi="Arial" w:cs="Arial"/>
          <w:bCs/>
          <w:lang w:eastAsia="es-CO"/>
        </w:rPr>
        <w:t xml:space="preserve">«Las prórrogas, modificaciones o adiciones, y la cesión de los contratos </w:t>
      </w:r>
      <w:r w:rsidRPr="00A432CD">
        <w:rPr>
          <w:rFonts w:ascii="Arial" w:eastAsia="Times New Roman" w:hAnsi="Arial" w:cs="Arial"/>
          <w:bCs/>
          <w:lang w:eastAsia="es-CO"/>
        </w:rPr>
        <w:lastRenderedPageBreak/>
        <w:t>suscritos antes del período de la campaña presidencial están permitidas durante la campaña de acuerdo con lo establecido en las normas aplicables, siempre que tales prórrogas, modificaciones o adiciones, y cesiones cumplan los principios de planeación, transparencia y responsabilidad»</w:t>
      </w:r>
      <w:r w:rsidRPr="00A432CD">
        <w:rPr>
          <w:rStyle w:val="Refdenotaalpie"/>
          <w:rFonts w:ascii="Arial" w:hAnsi="Arial" w:cs="Arial"/>
          <w:bCs/>
        </w:rPr>
        <w:footnoteReference w:id="27"/>
      </w:r>
      <w:r w:rsidRPr="00A432CD">
        <w:rPr>
          <w:rFonts w:ascii="Arial" w:eastAsia="Times New Roman" w:hAnsi="Arial" w:cs="Arial"/>
          <w:bCs/>
          <w:lang w:eastAsia="es-CO"/>
        </w:rPr>
        <w:t xml:space="preserve">. </w:t>
      </w:r>
    </w:p>
    <w:p w14:paraId="2F544BEC" w14:textId="715523A4" w:rsidR="00112554" w:rsidRPr="00112554" w:rsidRDefault="00112554" w:rsidP="00112554">
      <w:pPr>
        <w:spacing w:after="120" w:line="276" w:lineRule="auto"/>
        <w:ind w:firstLine="709"/>
        <w:jc w:val="both"/>
        <w:rPr>
          <w:rFonts w:ascii="Arial" w:eastAsia="Times New Roman" w:hAnsi="Arial" w:cs="Arial"/>
          <w:bCs/>
          <w:lang w:eastAsia="x-none"/>
        </w:rPr>
      </w:pPr>
      <w:r w:rsidRPr="00112554">
        <w:rPr>
          <w:rFonts w:ascii="Arial" w:eastAsia="Times New Roman" w:hAnsi="Arial" w:cs="Arial"/>
          <w:bCs/>
          <w:lang w:eastAsia="x-none"/>
        </w:rPr>
        <w:t xml:space="preserve">No obstante, debe precisarse </w:t>
      </w:r>
      <w:r w:rsidR="00EF3556" w:rsidRPr="00112554">
        <w:rPr>
          <w:rFonts w:ascii="Arial" w:eastAsia="Times New Roman" w:hAnsi="Arial" w:cs="Arial"/>
          <w:bCs/>
          <w:lang w:eastAsia="x-none"/>
        </w:rPr>
        <w:t>que,</w:t>
      </w:r>
      <w:r w:rsidRPr="00112554">
        <w:rPr>
          <w:rFonts w:ascii="Arial" w:eastAsia="Times New Roman" w:hAnsi="Arial" w:cs="Arial"/>
          <w:bCs/>
          <w:lang w:eastAsia="x-none"/>
        </w:rPr>
        <w:t xml:space="preserve"> si bien se estima válida la suscripción de las referidas actuaciones durante los períodos preelectorales en los que aplican las restricciones analizadas, en la medida en que, </w:t>
      </w:r>
      <w:r w:rsidRPr="00112554">
        <w:rPr>
          <w:rFonts w:ascii="Arial" w:eastAsia="Times New Roman" w:hAnsi="Arial" w:cs="Arial"/>
          <w:bCs/>
          <w:i/>
          <w:iCs/>
          <w:lang w:eastAsia="x-none"/>
        </w:rPr>
        <w:t>per se,</w:t>
      </w:r>
      <w:r w:rsidRPr="00112554">
        <w:rPr>
          <w:rFonts w:ascii="Arial" w:eastAsia="Times New Roman" w:hAnsi="Arial" w:cs="Arial"/>
          <w:bCs/>
          <w:lang w:eastAsia="x-none"/>
        </w:rPr>
        <w:t xml:space="preserve"> no suponen una vulneración de las prohibiciones mencionadas, ello no significa que puedan realizarse todo tipo de prórrogas, adiciones, modificaciones o cesiones sin reparar en si estas se ajustan o no a las demás disposiciones normativas conforme a las cuales deben ser realizadas. En este sentido, si, por ejemplo, en vigencia de las referidas restricciones se pretendiera realizar la cesión de un contrato, esto estaría condicionado a que el eventual cesionario del contratista fuere una persona con capacidad jurídica para ejecutar el contrato</w:t>
      </w:r>
      <w:r w:rsidRPr="00112554">
        <w:rPr>
          <w:rStyle w:val="Refdenotaalpie"/>
          <w:rFonts w:ascii="Arial" w:hAnsi="Arial" w:cs="Arial"/>
          <w:bCs/>
          <w:lang w:eastAsia="x-none"/>
        </w:rPr>
        <w:footnoteReference w:id="28"/>
      </w:r>
      <w:r w:rsidRPr="00112554">
        <w:rPr>
          <w:rFonts w:ascii="Arial" w:eastAsia="Times New Roman" w:hAnsi="Arial" w:cs="Arial"/>
          <w:bCs/>
          <w:lang w:eastAsia="x-none"/>
        </w:rPr>
        <w:t>, por lo que no resultaría viable realizar la cesión en favor de una persona objeto de alguna inhabilidad</w:t>
      </w:r>
      <w:r w:rsidRPr="00112554">
        <w:rPr>
          <w:rStyle w:val="Refdenotaalpie"/>
          <w:rFonts w:ascii="Arial" w:hAnsi="Arial" w:cs="Arial"/>
          <w:bCs/>
          <w:lang w:eastAsia="x-none"/>
        </w:rPr>
        <w:footnoteReference w:id="29"/>
      </w:r>
      <w:r w:rsidRPr="00112554">
        <w:rPr>
          <w:rFonts w:ascii="Arial" w:eastAsia="Times New Roman" w:hAnsi="Arial" w:cs="Arial"/>
          <w:bCs/>
          <w:lang w:eastAsia="x-none"/>
        </w:rPr>
        <w:t xml:space="preserve">. Además, el análisis concreto sobre la procedencia en cada caso concreto corresponde realizarlo a cada entidad estatal. </w:t>
      </w:r>
    </w:p>
    <w:p w14:paraId="4FF17A9E" w14:textId="156A5FE8" w:rsidR="00112554" w:rsidRPr="00112554" w:rsidRDefault="0009396F" w:rsidP="00EA4EF1">
      <w:pPr>
        <w:spacing w:after="0" w:line="276" w:lineRule="auto"/>
        <w:ind w:firstLine="709"/>
        <w:contextualSpacing/>
        <w:jc w:val="both"/>
        <w:rPr>
          <w:rFonts w:ascii="Arial" w:eastAsia="Times New Roman" w:hAnsi="Arial" w:cs="Arial"/>
          <w:bCs/>
          <w:lang w:eastAsia="x-none"/>
        </w:rPr>
      </w:pPr>
      <w:r>
        <w:rPr>
          <w:rFonts w:ascii="Arial" w:eastAsia="Times New Roman" w:hAnsi="Arial" w:cs="Arial"/>
          <w:bCs/>
          <w:lang w:eastAsia="x-none"/>
        </w:rPr>
        <w:t>Finalmente, d</w:t>
      </w:r>
      <w:r w:rsidR="00112554" w:rsidRPr="00112554">
        <w:rPr>
          <w:rFonts w:ascii="Arial" w:eastAsia="Times New Roman" w:hAnsi="Arial" w:cs="Arial"/>
          <w:bCs/>
          <w:lang w:eastAsia="x-none"/>
        </w:rPr>
        <w:t xml:space="preserve">ebe advertirse que estas limitaciones temporales a la contratación directa durante la campaña presidencial y a la celebración de los convenios y contratos interadministrativos frente a los comicios a cargos de elección popular, requiere que los órganos y entidades que tengan capacidad contractual planifiquen su gestión contractual con suficiente antelación a los períodos de elección presidencial o de elecciones de cualquier otro cargo, según el caso, de forma que no se vea afectada la función administrativa en </w:t>
      </w:r>
      <w:r w:rsidR="00112554" w:rsidRPr="00112554">
        <w:rPr>
          <w:rFonts w:ascii="Arial" w:eastAsia="Times New Roman" w:hAnsi="Arial" w:cs="Arial"/>
          <w:bCs/>
          <w:lang w:eastAsia="x-none"/>
        </w:rPr>
        <w:lastRenderedPageBreak/>
        <w:t xml:space="preserve">razón de la restricción impuesta por la Ley de Garantías Electorales. De ahí la importancia de que los principios de planeación, transparencia y responsabilidad se materialicen en la eventual celebración de prórrogas, modificaciones, adiciones o cesiones de los contratos vigentes suscritos antes del inicio de las restricciones aplicables, por cuenta de los artículos 33 y 38 de la Ley 996 de 2005 en materia de contratación pública. </w:t>
      </w:r>
    </w:p>
    <w:p w14:paraId="2410FEDE" w14:textId="77777777" w:rsidR="0020208C" w:rsidRPr="008B76D5" w:rsidRDefault="0020208C" w:rsidP="00EA4EF1">
      <w:pPr>
        <w:spacing w:after="0" w:line="276" w:lineRule="auto"/>
        <w:contextualSpacing/>
        <w:jc w:val="both"/>
        <w:rPr>
          <w:rFonts w:ascii="Arial" w:hAnsi="Arial" w:cs="Arial"/>
          <w:b/>
          <w:bCs/>
          <w:lang w:val="es-MX" w:eastAsia="es-CO"/>
        </w:rPr>
      </w:pPr>
    </w:p>
    <w:p w14:paraId="681A88A1" w14:textId="04008C3F" w:rsidR="00134409" w:rsidRPr="008B76D5" w:rsidRDefault="00134409" w:rsidP="00EA4EF1">
      <w:pPr>
        <w:spacing w:after="0" w:line="276" w:lineRule="auto"/>
        <w:contextualSpacing/>
        <w:jc w:val="both"/>
        <w:rPr>
          <w:rFonts w:ascii="Arial" w:eastAsia="Calibri" w:hAnsi="Arial" w:cs="Arial"/>
          <w:b/>
          <w:lang w:val="es-ES_tradnl"/>
        </w:rPr>
      </w:pPr>
      <w:r w:rsidRPr="008B76D5">
        <w:rPr>
          <w:rFonts w:ascii="Arial" w:eastAsia="Calibri" w:hAnsi="Arial" w:cs="Arial"/>
          <w:b/>
          <w:lang w:val="es-ES_tradnl"/>
        </w:rPr>
        <w:t>3. Respuesta</w:t>
      </w:r>
    </w:p>
    <w:p w14:paraId="5CF86EEA" w14:textId="77777777" w:rsidR="00134409" w:rsidRPr="008B76D5" w:rsidRDefault="00134409" w:rsidP="00EA4EF1">
      <w:pPr>
        <w:spacing w:after="0" w:line="240" w:lineRule="auto"/>
        <w:contextualSpacing/>
        <w:jc w:val="both"/>
        <w:rPr>
          <w:rFonts w:ascii="Arial" w:eastAsia="Calibri" w:hAnsi="Arial" w:cs="Arial"/>
          <w:bCs/>
          <w:lang w:val="es-ES_tradnl"/>
        </w:rPr>
      </w:pPr>
    </w:p>
    <w:p w14:paraId="646A40C2" w14:textId="00580F35" w:rsidR="008B76D5" w:rsidRDefault="008B76D5" w:rsidP="008B76D5">
      <w:pPr>
        <w:spacing w:after="0" w:line="240" w:lineRule="auto"/>
        <w:ind w:left="709" w:right="709"/>
        <w:contextualSpacing/>
        <w:jc w:val="both"/>
        <w:rPr>
          <w:rFonts w:ascii="Arial" w:hAnsi="Arial" w:cs="Arial"/>
          <w:sz w:val="21"/>
          <w:szCs w:val="21"/>
        </w:rPr>
      </w:pPr>
      <w:bookmarkStart w:id="24" w:name="_Hlk57650395"/>
      <w:r w:rsidRPr="001B0ECD">
        <w:rPr>
          <w:rFonts w:ascii="Arial" w:eastAsia="Times New Roman" w:hAnsi="Arial" w:cs="Arial"/>
          <w:sz w:val="21"/>
          <w:szCs w:val="21"/>
          <w:lang w:eastAsia="es-ES_tradnl"/>
        </w:rPr>
        <w:t>«</w:t>
      </w:r>
      <w:r w:rsidRPr="001B0ECD">
        <w:rPr>
          <w:rFonts w:ascii="Arial" w:hAnsi="Arial" w:cs="Arial"/>
          <w:sz w:val="21"/>
          <w:szCs w:val="21"/>
        </w:rPr>
        <w:t xml:space="preserve">1. ¿son aplicables a las personerías municipales las restricciones en materia de contracción pública directa establecidas por la ley de garantías electorales? </w:t>
      </w:r>
    </w:p>
    <w:p w14:paraId="4D4C0479" w14:textId="77777777" w:rsidR="002B1788" w:rsidRDefault="002B1788" w:rsidP="008B76D5">
      <w:pPr>
        <w:spacing w:after="0" w:line="240" w:lineRule="auto"/>
        <w:ind w:left="709" w:right="709"/>
        <w:contextualSpacing/>
        <w:jc w:val="both"/>
        <w:rPr>
          <w:rFonts w:ascii="Arial" w:hAnsi="Arial" w:cs="Arial"/>
          <w:sz w:val="21"/>
          <w:szCs w:val="21"/>
        </w:rPr>
      </w:pPr>
    </w:p>
    <w:p w14:paraId="14534276" w14:textId="5B43329C" w:rsidR="00134409" w:rsidRDefault="008B76D5" w:rsidP="008B76D5">
      <w:pPr>
        <w:spacing w:after="0" w:line="240" w:lineRule="auto"/>
        <w:ind w:left="709" w:right="709"/>
        <w:contextualSpacing/>
        <w:jc w:val="both"/>
        <w:rPr>
          <w:rFonts w:ascii="Arial" w:eastAsia="Times New Roman" w:hAnsi="Arial" w:cs="Arial"/>
          <w:sz w:val="21"/>
          <w:szCs w:val="21"/>
          <w:lang w:eastAsia="es-ES_tradnl"/>
        </w:rPr>
      </w:pPr>
      <w:r w:rsidRPr="001B0ECD">
        <w:rPr>
          <w:rFonts w:ascii="Arial" w:hAnsi="Arial" w:cs="Arial"/>
          <w:sz w:val="21"/>
          <w:szCs w:val="21"/>
        </w:rPr>
        <w:t>2. ¿pueden por necesidad del servicio, las personerías municipales en el actual periodo preelectoral, celebrar directamente contratos de arriendo de inmueble para su funcionamiento de su sede, o de prestación de servicios profesionales de asesoría contable y financiera, tendiendo en cuenta que son los únicos contratos que celebra bajo esta modalidad de forma habitual?</w:t>
      </w:r>
      <w:r w:rsidRPr="001B0ECD">
        <w:rPr>
          <w:rFonts w:ascii="Arial" w:eastAsia="Times New Roman" w:hAnsi="Arial" w:cs="Arial"/>
          <w:sz w:val="21"/>
          <w:szCs w:val="21"/>
          <w:lang w:eastAsia="es-ES_tradnl"/>
        </w:rPr>
        <w:t>».</w:t>
      </w:r>
    </w:p>
    <w:p w14:paraId="3BF9749F" w14:textId="3456B2B0" w:rsidR="008B76D5" w:rsidRDefault="008B76D5" w:rsidP="008B76D5">
      <w:pPr>
        <w:spacing w:after="0" w:line="240" w:lineRule="auto"/>
        <w:ind w:left="709" w:right="709"/>
        <w:contextualSpacing/>
        <w:jc w:val="both"/>
        <w:rPr>
          <w:rFonts w:ascii="Arial" w:hAnsi="Arial" w:cs="Arial"/>
          <w:sz w:val="21"/>
          <w:szCs w:val="21"/>
        </w:rPr>
      </w:pPr>
    </w:p>
    <w:p w14:paraId="1E5D3B06" w14:textId="74FB3EC1" w:rsidR="00722714" w:rsidRPr="00933FB2" w:rsidRDefault="00722714" w:rsidP="00722714">
      <w:pPr>
        <w:spacing w:after="120" w:line="276" w:lineRule="auto"/>
        <w:jc w:val="both"/>
        <w:rPr>
          <w:rFonts w:ascii="Arial" w:eastAsia="Calibri" w:hAnsi="Arial" w:cs="Arial"/>
          <w:bCs/>
          <w:color w:val="000000" w:themeColor="text1"/>
          <w:lang w:val="es-ES_tradnl"/>
        </w:rPr>
      </w:pPr>
      <w:r w:rsidRPr="00933FB2">
        <w:rPr>
          <w:rFonts w:ascii="Arial" w:eastAsia="Calibri" w:hAnsi="Arial" w:cs="Arial"/>
          <w:bCs/>
          <w:color w:val="000000" w:themeColor="text1"/>
          <w:lang w:val="es-ES"/>
        </w:rPr>
        <w:t xml:space="preserve">Con base en las consideraciones expuestas es posible afirmar que, </w:t>
      </w:r>
      <w:r w:rsidRPr="00933FB2">
        <w:rPr>
          <w:rFonts w:ascii="Arial" w:hAnsi="Arial" w:cs="Arial"/>
        </w:rPr>
        <w:t xml:space="preserve">la restricción a la contratación directa prevista en el artículo 33 de la Ley 996 de 2005 </w:t>
      </w:r>
      <w:r w:rsidRPr="00933FB2">
        <w:rPr>
          <w:rFonts w:ascii="Arial" w:hAnsi="Arial" w:cs="Arial"/>
          <w:bCs/>
          <w:lang w:eastAsia="x-none"/>
        </w:rPr>
        <w:t xml:space="preserve">cobija a «todos los entes del Estado», expresión que contempla a los diferentes organismos o entidades autorizadas por la ley para suscribir contratos,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 Esto significa que entidades como las </w:t>
      </w:r>
      <w:r w:rsidRPr="00933FB2">
        <w:rPr>
          <w:rFonts w:ascii="Arial" w:hAnsi="Arial" w:cs="Arial"/>
          <w:bCs/>
          <w:i/>
          <w:iCs/>
          <w:lang w:eastAsia="x-none"/>
        </w:rPr>
        <w:t>personerías municipales</w:t>
      </w:r>
      <w:r w:rsidRPr="00933FB2">
        <w:rPr>
          <w:rFonts w:ascii="Arial" w:hAnsi="Arial" w:cs="Arial"/>
          <w:bCs/>
          <w:lang w:eastAsia="x-none"/>
        </w:rPr>
        <w:t xml:space="preserve">, las cuales hacen parte del </w:t>
      </w:r>
      <w:r w:rsidR="00951016" w:rsidRPr="00933FB2">
        <w:rPr>
          <w:rFonts w:ascii="Arial" w:hAnsi="Arial" w:cs="Arial"/>
          <w:bCs/>
          <w:lang w:eastAsia="x-none"/>
        </w:rPr>
        <w:t xml:space="preserve">Ministerio Público, </w:t>
      </w:r>
      <w:r w:rsidRPr="00933FB2">
        <w:rPr>
          <w:rFonts w:ascii="Arial" w:hAnsi="Arial" w:cs="Arial"/>
          <w:bCs/>
          <w:lang w:eastAsia="x-none"/>
        </w:rPr>
        <w:t xml:space="preserve">a pesar no hacer parte de la Administración Pública, si se encuentran cobijados por la referida restricción, </w:t>
      </w:r>
      <w:r w:rsidR="0048020A" w:rsidRPr="00933FB2">
        <w:rPr>
          <w:rFonts w:ascii="Arial" w:hAnsi="Arial" w:cs="Arial"/>
          <w:bCs/>
          <w:lang w:eastAsia="x-none"/>
        </w:rPr>
        <w:t>en la medida que hacen</w:t>
      </w:r>
      <w:r w:rsidRPr="00933FB2">
        <w:rPr>
          <w:rFonts w:ascii="Arial" w:hAnsi="Arial" w:cs="Arial"/>
          <w:bCs/>
          <w:lang w:eastAsia="x-none"/>
        </w:rPr>
        <w:t xml:space="preserve"> parte de la estructura del Estado, conforme lo establec</w:t>
      </w:r>
      <w:r w:rsidR="0048020A" w:rsidRPr="00933FB2">
        <w:rPr>
          <w:rFonts w:ascii="Arial" w:hAnsi="Arial" w:cs="Arial"/>
          <w:bCs/>
          <w:lang w:eastAsia="x-none"/>
        </w:rPr>
        <w:t>ido en</w:t>
      </w:r>
      <w:r w:rsidRPr="00933FB2">
        <w:rPr>
          <w:rFonts w:ascii="Arial" w:hAnsi="Arial" w:cs="Arial"/>
          <w:bCs/>
          <w:lang w:eastAsia="x-none"/>
        </w:rPr>
        <w:t xml:space="preserve"> los artículos 116, 117 y 118 de la Constitución Política.    </w:t>
      </w:r>
    </w:p>
    <w:p w14:paraId="79AE1889" w14:textId="4D0CDBB8" w:rsidR="00722714" w:rsidRPr="00933FB2" w:rsidRDefault="008273F4" w:rsidP="00722714">
      <w:pPr>
        <w:spacing w:after="120" w:line="276" w:lineRule="auto"/>
        <w:ind w:firstLine="708"/>
        <w:jc w:val="both"/>
        <w:rPr>
          <w:rFonts w:ascii="Arial" w:eastAsia="Calibri" w:hAnsi="Arial" w:cs="Arial"/>
          <w:bCs/>
          <w:color w:val="000000" w:themeColor="text1"/>
          <w:lang w:val="es-ES_tradnl"/>
        </w:rPr>
      </w:pPr>
      <w:r w:rsidRPr="00933FB2">
        <w:rPr>
          <w:rFonts w:ascii="Arial" w:eastAsia="Calibri" w:hAnsi="Arial" w:cs="Arial"/>
          <w:bCs/>
          <w:color w:val="000000" w:themeColor="text1"/>
          <w:lang w:val="es-ES_tradnl"/>
        </w:rPr>
        <w:t>La mencionada</w:t>
      </w:r>
      <w:r w:rsidR="00722714" w:rsidRPr="00933FB2">
        <w:rPr>
          <w:rFonts w:ascii="Arial" w:eastAsia="Calibri" w:hAnsi="Arial" w:cs="Arial"/>
          <w:bCs/>
          <w:color w:val="000000" w:themeColor="text1"/>
          <w:lang w:val="es-ES_tradnl"/>
        </w:rPr>
        <w:t xml:space="preserve"> restricción prohíbe la contratación directa por parte de «todos los entes del Estado», durante los cuatro (4) meses anteriores a la elección presidencial y hasta la realización de la elección en la segunda vuelta, en caso de que se presente. </w:t>
      </w:r>
      <w:r w:rsidR="00740E1C" w:rsidRPr="00933FB2">
        <w:rPr>
          <w:rFonts w:ascii="Arial" w:eastAsia="Calibri" w:hAnsi="Arial" w:cs="Arial"/>
          <w:bCs/>
          <w:color w:val="000000" w:themeColor="text1"/>
          <w:lang w:val="es-ES_tradnl"/>
        </w:rPr>
        <w:t xml:space="preserve">Esto, sin perjuicio de las excepciones </w:t>
      </w:r>
      <w:r w:rsidR="00CD271D" w:rsidRPr="00933FB2">
        <w:rPr>
          <w:rFonts w:ascii="Arial" w:eastAsia="Calibri" w:hAnsi="Arial" w:cs="Arial"/>
          <w:bCs/>
          <w:color w:val="000000" w:themeColor="text1"/>
          <w:lang w:val="es-ES_tradnl"/>
        </w:rPr>
        <w:t xml:space="preserve">que </w:t>
      </w:r>
      <w:r w:rsidR="00740E1C" w:rsidRPr="00933FB2">
        <w:rPr>
          <w:rFonts w:ascii="Arial" w:eastAsia="Calibri" w:hAnsi="Arial" w:cs="Arial"/>
          <w:bCs/>
          <w:color w:val="000000" w:themeColor="text1"/>
          <w:lang w:val="es-ES_tradnl"/>
        </w:rPr>
        <w:t>consagra</w:t>
      </w:r>
      <w:r w:rsidR="00722714" w:rsidRPr="00933FB2">
        <w:rPr>
          <w:rFonts w:ascii="Arial" w:eastAsia="Calibri" w:hAnsi="Arial" w:cs="Arial"/>
          <w:bCs/>
          <w:color w:val="000000" w:themeColor="text1"/>
          <w:lang w:val="es-ES_tradnl"/>
        </w:rPr>
        <w:t xml:space="preserve"> el inciso segundo</w:t>
      </w:r>
      <w:r w:rsidR="00740E1C" w:rsidRPr="00933FB2">
        <w:rPr>
          <w:rFonts w:ascii="Arial" w:eastAsia="Calibri" w:hAnsi="Arial" w:cs="Arial"/>
          <w:bCs/>
          <w:color w:val="000000" w:themeColor="text1"/>
          <w:lang w:val="es-ES_tradnl"/>
        </w:rPr>
        <w:t xml:space="preserve"> del artículo 33</w:t>
      </w:r>
      <w:r w:rsidR="00CD271D" w:rsidRPr="00933FB2">
        <w:rPr>
          <w:rFonts w:ascii="Arial" w:eastAsia="Calibri" w:hAnsi="Arial" w:cs="Arial"/>
          <w:bCs/>
          <w:color w:val="000000" w:themeColor="text1"/>
          <w:lang w:val="es-ES_tradnl"/>
        </w:rPr>
        <w:t xml:space="preserve"> de l</w:t>
      </w:r>
      <w:r w:rsidR="00933FB2" w:rsidRPr="00933FB2">
        <w:rPr>
          <w:rFonts w:ascii="Arial" w:eastAsia="Calibri" w:hAnsi="Arial" w:cs="Arial"/>
          <w:bCs/>
          <w:color w:val="000000" w:themeColor="text1"/>
          <w:lang w:val="es-ES_tradnl"/>
        </w:rPr>
        <w:t>a</w:t>
      </w:r>
      <w:r w:rsidR="00CD271D" w:rsidRPr="00933FB2">
        <w:rPr>
          <w:rFonts w:ascii="Arial" w:eastAsia="Calibri" w:hAnsi="Arial" w:cs="Arial"/>
          <w:bCs/>
          <w:color w:val="000000" w:themeColor="text1"/>
          <w:lang w:val="es-ES_tradnl"/>
        </w:rPr>
        <w:t xml:space="preserve"> siguiente forma</w:t>
      </w:r>
      <w:r w:rsidR="00722714" w:rsidRPr="00933FB2">
        <w:rPr>
          <w:rFonts w:ascii="Arial" w:eastAsia="Calibri" w:hAnsi="Arial" w:cs="Arial"/>
          <w:bCs/>
          <w:color w:val="000000" w:themeColor="text1"/>
          <w:lang w:val="es-ES_tradnl"/>
        </w:rPr>
        <w:t xml:space="preserve">: «Queda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 </w:t>
      </w:r>
      <w:r w:rsidR="00722714" w:rsidRPr="00933FB2">
        <w:rPr>
          <w:rFonts w:ascii="Arial" w:eastAsia="Times New Roman" w:hAnsi="Arial" w:cs="Arial"/>
          <w:bCs/>
          <w:lang w:eastAsia="es-CO"/>
        </w:rPr>
        <w:t xml:space="preserve">En todo caso, es responsabilidad de la respectiva entidad, con el apoyo de sus órganos asesores, examinar </w:t>
      </w:r>
      <w:r w:rsidR="00722714" w:rsidRPr="00933FB2">
        <w:rPr>
          <w:rFonts w:ascii="Arial" w:eastAsia="Times New Roman" w:hAnsi="Arial" w:cs="Arial"/>
          <w:bCs/>
          <w:lang w:eastAsia="es-CO"/>
        </w:rPr>
        <w:lastRenderedPageBreak/>
        <w:t xml:space="preserve">en cada caso la naturaleza de las actividades que adelanta y determinar si las mismas se enmarcan </w:t>
      </w:r>
      <w:r w:rsidR="00CD271D" w:rsidRPr="00933FB2">
        <w:rPr>
          <w:rFonts w:ascii="Arial" w:eastAsia="Times New Roman" w:hAnsi="Arial" w:cs="Arial"/>
          <w:bCs/>
          <w:lang w:eastAsia="es-CO"/>
        </w:rPr>
        <w:t xml:space="preserve">o no </w:t>
      </w:r>
      <w:r w:rsidR="00722714" w:rsidRPr="00933FB2">
        <w:rPr>
          <w:rFonts w:ascii="Arial" w:eastAsia="Times New Roman" w:hAnsi="Arial" w:cs="Arial"/>
          <w:bCs/>
          <w:lang w:eastAsia="es-CO"/>
        </w:rPr>
        <w:t>en alguna de las mencionadas excepciones.</w:t>
      </w:r>
    </w:p>
    <w:p w14:paraId="00F1A562" w14:textId="3A7C3B14" w:rsidR="00134409" w:rsidRPr="00722714" w:rsidRDefault="00520CBB" w:rsidP="00722714">
      <w:pPr>
        <w:spacing w:line="276" w:lineRule="auto"/>
        <w:ind w:firstLine="709"/>
        <w:jc w:val="both"/>
        <w:rPr>
          <w:rFonts w:ascii="Arial" w:eastAsia="Calibri" w:hAnsi="Arial" w:cs="Arial"/>
          <w:bCs/>
          <w:color w:val="000000" w:themeColor="text1"/>
          <w:lang w:val="es-ES_tradnl"/>
        </w:rPr>
      </w:pPr>
      <w:r w:rsidRPr="000005C3">
        <w:rPr>
          <w:rFonts w:ascii="Arial" w:eastAsia="Calibri" w:hAnsi="Arial" w:cs="Arial"/>
          <w:bCs/>
          <w:color w:val="000000" w:themeColor="text1"/>
        </w:rPr>
        <w:t>A</w:t>
      </w:r>
      <w:r>
        <w:rPr>
          <w:rFonts w:ascii="Arial" w:eastAsia="Calibri" w:hAnsi="Arial" w:cs="Arial"/>
          <w:bCs/>
          <w:color w:val="000000" w:themeColor="text1"/>
        </w:rPr>
        <w:t xml:space="preserve">hora </w:t>
      </w:r>
      <w:r w:rsidR="00BE5372">
        <w:rPr>
          <w:rFonts w:ascii="Arial" w:eastAsia="Calibri" w:hAnsi="Arial" w:cs="Arial"/>
          <w:bCs/>
          <w:color w:val="000000" w:themeColor="text1"/>
        </w:rPr>
        <w:t>bien</w:t>
      </w:r>
      <w:r w:rsidR="00722714" w:rsidRPr="000005C3">
        <w:rPr>
          <w:rFonts w:ascii="Arial" w:eastAsia="Calibri" w:hAnsi="Arial" w:cs="Arial"/>
          <w:bCs/>
          <w:color w:val="000000" w:themeColor="text1"/>
        </w:rPr>
        <w:t>, la prohibición del artículo 33 de la Ley de Garantías Electorales se refiere a «cualquier sistema que no implique convocatoria pública y posibilidad de pluralidad de oferentes», por lo que excluye las demás modalidades de contratación previstas en la Ley 1150 de 2007, es decir, la licitación pública, la selección abreviada y el concurso de méritos u otros previstos en normas especiales. De conformidad con l</w:t>
      </w:r>
      <w:r>
        <w:rPr>
          <w:rFonts w:ascii="Arial" w:eastAsia="Calibri" w:hAnsi="Arial" w:cs="Arial"/>
          <w:bCs/>
          <w:color w:val="000000" w:themeColor="text1"/>
        </w:rPr>
        <w:t>os</w:t>
      </w:r>
      <w:r w:rsidR="00722714" w:rsidRPr="000005C3">
        <w:rPr>
          <w:rFonts w:ascii="Arial" w:eastAsia="Calibri" w:hAnsi="Arial" w:cs="Arial"/>
          <w:bCs/>
          <w:color w:val="000000" w:themeColor="text1"/>
        </w:rPr>
        <w:t xml:space="preserve"> literal</w:t>
      </w:r>
      <w:r>
        <w:rPr>
          <w:rFonts w:ascii="Arial" w:eastAsia="Calibri" w:hAnsi="Arial" w:cs="Arial"/>
          <w:bCs/>
          <w:color w:val="000000" w:themeColor="text1"/>
        </w:rPr>
        <w:t>es</w:t>
      </w:r>
      <w:r w:rsidR="00722714" w:rsidRPr="000005C3">
        <w:rPr>
          <w:rFonts w:ascii="Arial" w:eastAsia="Calibri" w:hAnsi="Arial" w:cs="Arial"/>
          <w:bCs/>
          <w:color w:val="000000" w:themeColor="text1"/>
        </w:rPr>
        <w:t xml:space="preserve"> h)</w:t>
      </w:r>
      <w:r>
        <w:rPr>
          <w:rFonts w:ascii="Arial" w:eastAsia="Calibri" w:hAnsi="Arial" w:cs="Arial"/>
          <w:bCs/>
          <w:color w:val="000000" w:themeColor="text1"/>
        </w:rPr>
        <w:t xml:space="preserve"> e i)</w:t>
      </w:r>
      <w:r w:rsidR="00722714" w:rsidRPr="000005C3">
        <w:rPr>
          <w:rFonts w:ascii="Arial" w:eastAsia="Calibri" w:hAnsi="Arial" w:cs="Arial"/>
          <w:bCs/>
          <w:color w:val="000000" w:themeColor="text1"/>
        </w:rPr>
        <w:t xml:space="preserve"> del artículo 2-4 de la Ley 1150 de 2007, la contratación directa es la modalidad aplicable a los contratos de prestación de servicios</w:t>
      </w:r>
      <w:r>
        <w:rPr>
          <w:rFonts w:ascii="Arial" w:eastAsia="Calibri" w:hAnsi="Arial" w:cs="Arial"/>
          <w:bCs/>
          <w:color w:val="000000" w:themeColor="text1"/>
        </w:rPr>
        <w:t xml:space="preserve"> y a los contratos de arrendamiento </w:t>
      </w:r>
      <w:r w:rsidR="00D83360">
        <w:rPr>
          <w:rFonts w:ascii="Arial" w:eastAsia="Calibri" w:hAnsi="Arial" w:cs="Arial"/>
          <w:bCs/>
          <w:color w:val="000000" w:themeColor="text1"/>
        </w:rPr>
        <w:t>o adquisición de inmuebles</w:t>
      </w:r>
      <w:r w:rsidR="00722714" w:rsidRPr="000005C3">
        <w:rPr>
          <w:rFonts w:ascii="Arial" w:eastAsia="Calibri" w:hAnsi="Arial" w:cs="Arial"/>
          <w:bCs/>
          <w:color w:val="000000" w:themeColor="text1"/>
        </w:rPr>
        <w:t xml:space="preserve">, lo que implica que, durante los periodos que rige la restricción </w:t>
      </w:r>
      <w:r w:rsidR="00D83360">
        <w:rPr>
          <w:rFonts w:ascii="Arial" w:eastAsia="Calibri" w:hAnsi="Arial" w:cs="Arial"/>
          <w:bCs/>
          <w:color w:val="000000" w:themeColor="text1"/>
        </w:rPr>
        <w:t>estudiada</w:t>
      </w:r>
      <w:r w:rsidR="00722714" w:rsidRPr="000005C3">
        <w:rPr>
          <w:rFonts w:ascii="Arial" w:eastAsia="Calibri" w:hAnsi="Arial" w:cs="Arial"/>
          <w:bCs/>
          <w:color w:val="000000" w:themeColor="text1"/>
        </w:rPr>
        <w:t xml:space="preserve">, no se podrán celebrar contratos en aplicación </w:t>
      </w:r>
      <w:r w:rsidR="00D83360">
        <w:rPr>
          <w:rFonts w:ascii="Arial" w:eastAsia="Calibri" w:hAnsi="Arial" w:cs="Arial"/>
          <w:bCs/>
          <w:color w:val="000000" w:themeColor="text1"/>
        </w:rPr>
        <w:t xml:space="preserve">de las </w:t>
      </w:r>
      <w:r w:rsidR="00A726A9">
        <w:rPr>
          <w:rFonts w:ascii="Arial" w:eastAsia="Calibri" w:hAnsi="Arial" w:cs="Arial"/>
          <w:bCs/>
          <w:color w:val="000000" w:themeColor="text1"/>
        </w:rPr>
        <w:t>causales citadas</w:t>
      </w:r>
      <w:r w:rsidR="00722714" w:rsidRPr="000005C3">
        <w:rPr>
          <w:rFonts w:ascii="Arial" w:eastAsia="Calibri" w:hAnsi="Arial" w:cs="Arial"/>
          <w:bCs/>
          <w:color w:val="000000" w:themeColor="text1"/>
        </w:rPr>
        <w:t xml:space="preserve">, sin que con ello se contravenga la prohibición, a menos que se celebre el contrato al amparo de alguna de las mentadas excepciones. </w:t>
      </w:r>
    </w:p>
    <w:p w14:paraId="51624949" w14:textId="77777777" w:rsidR="00134409" w:rsidRPr="00AA2516" w:rsidRDefault="00134409" w:rsidP="00134409">
      <w:pPr>
        <w:spacing w:after="0" w:line="276" w:lineRule="auto"/>
        <w:jc w:val="both"/>
        <w:rPr>
          <w:rFonts w:ascii="Arial" w:eastAsia="Calibri" w:hAnsi="Arial" w:cs="Arial"/>
          <w:lang w:val="es-ES_tradnl"/>
        </w:rPr>
      </w:pPr>
      <w:r w:rsidRPr="00AA2516">
        <w:rPr>
          <w:rFonts w:ascii="Arial" w:eastAsia="Calibri" w:hAnsi="Arial" w:cs="Arial"/>
          <w:lang w:val="es-ES_tradnl"/>
        </w:rPr>
        <w:t>Este concepto tiene el alcance previsto en el artículo 28 del Código de Procedimiento Administrativo y de lo Contencioso Administrativo.</w:t>
      </w:r>
    </w:p>
    <w:p w14:paraId="42A26790" w14:textId="77777777" w:rsidR="00134409" w:rsidRPr="00AA2516" w:rsidRDefault="00134409" w:rsidP="00134409">
      <w:pPr>
        <w:spacing w:after="0" w:line="276" w:lineRule="auto"/>
        <w:jc w:val="both"/>
        <w:rPr>
          <w:rFonts w:ascii="Calibri" w:eastAsia="Calibri" w:hAnsi="Calibri" w:cs="Times New Roman"/>
          <w:noProof/>
          <w:sz w:val="24"/>
          <w:lang w:val="es-ES_tradnl"/>
        </w:rPr>
      </w:pPr>
    </w:p>
    <w:p w14:paraId="6B6BCFC8" w14:textId="77777777" w:rsidR="00134409" w:rsidRPr="00AA2516" w:rsidRDefault="00134409" w:rsidP="00134409">
      <w:pPr>
        <w:spacing w:after="200" w:line="276" w:lineRule="auto"/>
        <w:jc w:val="both"/>
        <w:rPr>
          <w:rFonts w:ascii="Arial" w:eastAsia="Times New Roman" w:hAnsi="Arial" w:cs="Arial"/>
          <w:lang w:val="es-ES_tradnl" w:eastAsia="es-CO"/>
        </w:rPr>
      </w:pPr>
      <w:r w:rsidRPr="00AA2516">
        <w:rPr>
          <w:rFonts w:ascii="Arial" w:eastAsia="Times New Roman" w:hAnsi="Arial" w:cs="Arial"/>
          <w:lang w:val="es-ES_tradnl" w:eastAsia="es-CO"/>
        </w:rPr>
        <w:t>Atentamente,</w:t>
      </w:r>
    </w:p>
    <w:p w14:paraId="220F2F02" w14:textId="3CD913FE" w:rsidR="00134409" w:rsidRPr="00AA2516" w:rsidRDefault="00764CA3" w:rsidP="00134409">
      <w:pPr>
        <w:spacing w:after="200" w:line="276" w:lineRule="auto"/>
        <w:jc w:val="center"/>
        <w:rPr>
          <w:rFonts w:ascii="Arial" w:eastAsia="Times New Roman" w:hAnsi="Arial" w:cs="Arial"/>
          <w:sz w:val="18"/>
          <w:szCs w:val="20"/>
          <w:lang w:val="es-ES_tradnl" w:eastAsia="es-CO"/>
        </w:rPr>
      </w:pPr>
      <w:r>
        <w:rPr>
          <w:rFonts w:ascii="Arial" w:eastAsia="Calibri" w:hAnsi="Arial" w:cs="Arial"/>
          <w:b/>
          <w:bCs/>
          <w:noProof/>
          <w:color w:val="FF0000"/>
          <w:sz w:val="20"/>
          <w:szCs w:val="20"/>
          <w:lang w:val="es-MX"/>
        </w:rPr>
        <w:drawing>
          <wp:inline distT="0" distB="0" distL="0" distR="0" wp14:anchorId="6EE0D6CE" wp14:editId="429D8D61">
            <wp:extent cx="2426074" cy="1074378"/>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37274" cy="1079338"/>
                    </a:xfrm>
                    <a:prstGeom prst="rect">
                      <a:avLst/>
                    </a:prstGeom>
                    <a:noFill/>
                    <a:ln>
                      <a:noFill/>
                    </a:ln>
                  </pic:spPr>
                </pic:pic>
              </a:graphicData>
            </a:graphic>
          </wp:inline>
        </w:drawing>
      </w:r>
      <w:r w:rsidR="007F00D2">
        <w:rPr>
          <w:rFonts w:ascii="Arial" w:hAnsi="Arial" w:cs="Arial"/>
          <w:b/>
          <w:bCs/>
          <w:color w:val="FF0000"/>
          <w:sz w:val="20"/>
          <w:szCs w:val="20"/>
          <w:shd w:val="clear" w:color="auto" w:fill="FFFFFF"/>
          <w:lang w:val="es-MX"/>
        </w:rPr>
        <w:br/>
      </w:r>
    </w:p>
    <w:tbl>
      <w:tblPr>
        <w:tblStyle w:val="Tablaconcuadrcu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291"/>
      </w:tblGrid>
      <w:tr w:rsidR="00AA2516" w:rsidRPr="00AA2516" w14:paraId="2C8C4702" w14:textId="77777777" w:rsidTr="00281F3C">
        <w:trPr>
          <w:trHeight w:val="315"/>
        </w:trPr>
        <w:tc>
          <w:tcPr>
            <w:tcW w:w="812" w:type="dxa"/>
            <w:vAlign w:val="center"/>
            <w:hideMark/>
          </w:tcPr>
          <w:p w14:paraId="3B8B233D" w14:textId="77777777" w:rsidR="00134409" w:rsidRPr="00AA2516" w:rsidRDefault="00134409" w:rsidP="00281F3C">
            <w:pPr>
              <w:rPr>
                <w:rFonts w:ascii="Arial" w:eastAsia="Times New Roman" w:hAnsi="Arial" w:cs="Arial"/>
                <w:sz w:val="16"/>
                <w:szCs w:val="16"/>
                <w:lang w:val="es-ES_tradnl" w:eastAsia="es-ES"/>
              </w:rPr>
            </w:pPr>
            <w:r w:rsidRPr="00AA2516">
              <w:rPr>
                <w:rFonts w:ascii="Arial" w:eastAsia="Times New Roman" w:hAnsi="Arial" w:cs="Arial"/>
                <w:sz w:val="16"/>
                <w:szCs w:val="16"/>
                <w:lang w:val="es-ES_tradnl" w:eastAsia="es-ES"/>
              </w:rPr>
              <w:t>Elaboró:</w:t>
            </w:r>
          </w:p>
        </w:tc>
        <w:tc>
          <w:tcPr>
            <w:tcW w:w="4291" w:type="dxa"/>
            <w:tcBorders>
              <w:top w:val="nil"/>
              <w:left w:val="nil"/>
              <w:bottom w:val="dotted" w:sz="4" w:space="0" w:color="7F7F7F"/>
              <w:right w:val="nil"/>
            </w:tcBorders>
            <w:vAlign w:val="center"/>
            <w:hideMark/>
          </w:tcPr>
          <w:p w14:paraId="63D3A7E3" w14:textId="77777777" w:rsidR="00134409" w:rsidRPr="00AA2516" w:rsidRDefault="00134409" w:rsidP="00281F3C">
            <w:pPr>
              <w:rPr>
                <w:rFonts w:ascii="Arial" w:eastAsia="Times New Roman" w:hAnsi="Arial" w:cs="Arial"/>
                <w:sz w:val="16"/>
                <w:szCs w:val="16"/>
                <w:lang w:val="es-ES_tradnl" w:eastAsia="es-ES"/>
              </w:rPr>
            </w:pPr>
            <w:r w:rsidRPr="00AA2516">
              <w:rPr>
                <w:rFonts w:ascii="Arial" w:eastAsia="Times New Roman" w:hAnsi="Arial" w:cs="Arial"/>
                <w:sz w:val="16"/>
                <w:szCs w:val="16"/>
                <w:lang w:val="es-ES_tradnl" w:eastAsia="es-ES"/>
              </w:rPr>
              <w:t xml:space="preserve">Diana Lucia Saavedra Castañeda </w:t>
            </w:r>
          </w:p>
          <w:p w14:paraId="49DC894E" w14:textId="77777777" w:rsidR="00134409" w:rsidRPr="00AA2516" w:rsidRDefault="00134409" w:rsidP="00281F3C">
            <w:pPr>
              <w:rPr>
                <w:rFonts w:ascii="Arial" w:eastAsia="Times New Roman" w:hAnsi="Arial" w:cs="Arial"/>
                <w:sz w:val="16"/>
                <w:szCs w:val="16"/>
                <w:lang w:val="es-ES_tradnl" w:eastAsia="es-ES"/>
              </w:rPr>
            </w:pPr>
            <w:r w:rsidRPr="00AA2516">
              <w:rPr>
                <w:rFonts w:ascii="Arial" w:eastAsia="Times New Roman" w:hAnsi="Arial" w:cs="Arial"/>
                <w:sz w:val="16"/>
                <w:szCs w:val="16"/>
                <w:lang w:val="es-ES_tradnl" w:eastAsia="es-ES"/>
              </w:rPr>
              <w:t>Contratista de la Subdirección de Gestión Contractual</w:t>
            </w:r>
          </w:p>
        </w:tc>
      </w:tr>
      <w:tr w:rsidR="00AA2516" w:rsidRPr="00AA2516" w14:paraId="54605A37" w14:textId="77777777" w:rsidTr="00281F3C">
        <w:trPr>
          <w:trHeight w:val="330"/>
        </w:trPr>
        <w:tc>
          <w:tcPr>
            <w:tcW w:w="812" w:type="dxa"/>
            <w:vAlign w:val="center"/>
            <w:hideMark/>
          </w:tcPr>
          <w:p w14:paraId="1C8CF11E" w14:textId="77777777" w:rsidR="00134409" w:rsidRPr="00AA2516" w:rsidRDefault="00134409" w:rsidP="00281F3C">
            <w:pPr>
              <w:rPr>
                <w:rFonts w:ascii="Arial" w:eastAsia="Times New Roman" w:hAnsi="Arial" w:cs="Arial"/>
                <w:sz w:val="16"/>
                <w:szCs w:val="16"/>
                <w:lang w:val="es-ES_tradnl" w:eastAsia="es-ES"/>
              </w:rPr>
            </w:pPr>
            <w:r w:rsidRPr="00AA2516">
              <w:rPr>
                <w:rFonts w:ascii="Arial" w:eastAsia="Times New Roman" w:hAnsi="Arial" w:cs="Arial"/>
                <w:sz w:val="16"/>
                <w:szCs w:val="16"/>
                <w:lang w:val="es-ES_tradnl" w:eastAsia="es-ES"/>
              </w:rPr>
              <w:t>Revisó:</w:t>
            </w:r>
          </w:p>
        </w:tc>
        <w:tc>
          <w:tcPr>
            <w:tcW w:w="4291" w:type="dxa"/>
            <w:tcBorders>
              <w:top w:val="dotted" w:sz="4" w:space="0" w:color="7F7F7F"/>
              <w:left w:val="nil"/>
              <w:bottom w:val="dotted" w:sz="4" w:space="0" w:color="7F7F7F"/>
              <w:right w:val="nil"/>
            </w:tcBorders>
            <w:vAlign w:val="center"/>
            <w:hideMark/>
          </w:tcPr>
          <w:p w14:paraId="660ADA1F" w14:textId="77777777" w:rsidR="00134409" w:rsidRPr="00AA2516" w:rsidRDefault="00134409" w:rsidP="00281F3C">
            <w:pPr>
              <w:rPr>
                <w:rFonts w:ascii="Arial" w:eastAsia="Times New Roman" w:hAnsi="Arial" w:cs="Arial"/>
                <w:sz w:val="16"/>
                <w:szCs w:val="16"/>
                <w:lang w:val="es-ES_tradnl" w:eastAsia="es-ES"/>
              </w:rPr>
            </w:pPr>
            <w:r w:rsidRPr="00AA2516">
              <w:rPr>
                <w:rFonts w:ascii="Arial" w:eastAsia="Times New Roman" w:hAnsi="Arial" w:cs="Arial"/>
                <w:sz w:val="16"/>
                <w:szCs w:val="16"/>
                <w:lang w:val="es-ES_tradnl" w:eastAsia="es-ES"/>
              </w:rPr>
              <w:t>Alejandro Sarmiento Cantillo</w:t>
            </w:r>
          </w:p>
          <w:p w14:paraId="495EC961" w14:textId="4C6252E7" w:rsidR="00134409" w:rsidRPr="00AA2516" w:rsidRDefault="00134409" w:rsidP="00281F3C">
            <w:pPr>
              <w:rPr>
                <w:rFonts w:ascii="Arial" w:eastAsia="Times New Roman" w:hAnsi="Arial" w:cs="Arial"/>
                <w:sz w:val="16"/>
                <w:szCs w:val="16"/>
                <w:lang w:val="es-ES_tradnl" w:eastAsia="es-ES"/>
              </w:rPr>
            </w:pPr>
            <w:r w:rsidRPr="00AA2516">
              <w:rPr>
                <w:rFonts w:ascii="Arial" w:eastAsia="Times New Roman" w:hAnsi="Arial" w:cs="Arial"/>
                <w:sz w:val="16"/>
                <w:szCs w:val="16"/>
                <w:lang w:val="es-ES_tradnl" w:eastAsia="es-ES"/>
              </w:rPr>
              <w:t>Gestor T1-1</w:t>
            </w:r>
            <w:r w:rsidR="00AA2516" w:rsidRPr="00AA2516">
              <w:rPr>
                <w:rFonts w:ascii="Arial" w:eastAsia="Times New Roman" w:hAnsi="Arial" w:cs="Arial"/>
                <w:sz w:val="16"/>
                <w:szCs w:val="16"/>
                <w:lang w:val="es-ES_tradnl" w:eastAsia="es-ES"/>
              </w:rPr>
              <w:t>5</w:t>
            </w:r>
            <w:r w:rsidRPr="00AA2516">
              <w:rPr>
                <w:rFonts w:ascii="Arial" w:eastAsia="Times New Roman" w:hAnsi="Arial" w:cs="Arial"/>
                <w:sz w:val="16"/>
                <w:szCs w:val="16"/>
                <w:lang w:val="es-ES_tradnl" w:eastAsia="es-ES"/>
              </w:rPr>
              <w:t xml:space="preserve"> de la Subdirección de Gestión Contractual</w:t>
            </w:r>
          </w:p>
        </w:tc>
      </w:tr>
      <w:tr w:rsidR="00AA2516" w:rsidRPr="00AA2516" w14:paraId="6F2DAFC2" w14:textId="77777777" w:rsidTr="00281F3C">
        <w:trPr>
          <w:trHeight w:val="300"/>
        </w:trPr>
        <w:tc>
          <w:tcPr>
            <w:tcW w:w="812" w:type="dxa"/>
            <w:vAlign w:val="center"/>
            <w:hideMark/>
          </w:tcPr>
          <w:p w14:paraId="0F71D0DE" w14:textId="77777777" w:rsidR="00134409" w:rsidRPr="00AA2516" w:rsidRDefault="00134409" w:rsidP="00281F3C">
            <w:pPr>
              <w:rPr>
                <w:rFonts w:ascii="Arial" w:eastAsia="Times New Roman" w:hAnsi="Arial" w:cs="Arial"/>
                <w:sz w:val="16"/>
                <w:szCs w:val="16"/>
                <w:lang w:val="es-ES_tradnl" w:eastAsia="es-ES"/>
              </w:rPr>
            </w:pPr>
            <w:r w:rsidRPr="00AA2516">
              <w:rPr>
                <w:rFonts w:ascii="Arial" w:eastAsia="Times New Roman" w:hAnsi="Arial" w:cs="Arial"/>
                <w:sz w:val="16"/>
                <w:szCs w:val="16"/>
                <w:lang w:val="es-ES_tradnl" w:eastAsia="es-ES"/>
              </w:rPr>
              <w:t>Aprobó:</w:t>
            </w:r>
          </w:p>
        </w:tc>
        <w:tc>
          <w:tcPr>
            <w:tcW w:w="4291" w:type="dxa"/>
            <w:tcBorders>
              <w:top w:val="dotted" w:sz="4" w:space="0" w:color="7F7F7F"/>
              <w:left w:val="nil"/>
              <w:bottom w:val="dotted" w:sz="4" w:space="0" w:color="7F7F7F"/>
              <w:right w:val="nil"/>
            </w:tcBorders>
            <w:vAlign w:val="center"/>
            <w:hideMark/>
          </w:tcPr>
          <w:p w14:paraId="1C6682CF" w14:textId="77777777" w:rsidR="00134409" w:rsidRPr="00AA2516" w:rsidRDefault="00134409" w:rsidP="00281F3C">
            <w:pPr>
              <w:rPr>
                <w:rFonts w:ascii="Arial" w:eastAsia="Times New Roman" w:hAnsi="Arial" w:cs="Arial"/>
                <w:sz w:val="16"/>
                <w:szCs w:val="16"/>
                <w:lang w:val="es-ES_tradnl" w:eastAsia="es-ES"/>
              </w:rPr>
            </w:pPr>
            <w:r w:rsidRPr="00AA2516">
              <w:rPr>
                <w:rFonts w:ascii="Arial" w:eastAsia="Times New Roman" w:hAnsi="Arial" w:cs="Arial"/>
                <w:sz w:val="16"/>
                <w:szCs w:val="16"/>
                <w:lang w:val="es-ES_tradnl" w:eastAsia="es-ES"/>
              </w:rPr>
              <w:t>Jorge Augusto Tirado Navarro</w:t>
            </w:r>
          </w:p>
          <w:p w14:paraId="23B4EE7B" w14:textId="77777777" w:rsidR="00134409" w:rsidRPr="00AA2516" w:rsidRDefault="00134409" w:rsidP="00281F3C">
            <w:pPr>
              <w:rPr>
                <w:rFonts w:ascii="Arial" w:eastAsia="Times New Roman" w:hAnsi="Arial" w:cs="Arial"/>
                <w:sz w:val="16"/>
                <w:szCs w:val="16"/>
                <w:lang w:val="es-ES_tradnl" w:eastAsia="es-ES"/>
              </w:rPr>
            </w:pPr>
            <w:r w:rsidRPr="00AA2516">
              <w:rPr>
                <w:rFonts w:ascii="Arial" w:eastAsia="Times New Roman" w:hAnsi="Arial" w:cs="Arial"/>
                <w:sz w:val="16"/>
                <w:szCs w:val="16"/>
                <w:lang w:val="es-ES_tradnl" w:eastAsia="es-ES"/>
              </w:rPr>
              <w:t>Subdirector de Gestión Contractual ANCP – CCE</w:t>
            </w:r>
          </w:p>
        </w:tc>
      </w:tr>
      <w:bookmarkEnd w:id="4"/>
      <w:bookmarkEnd w:id="24"/>
    </w:tbl>
    <w:p w14:paraId="46BCA5D4" w14:textId="77777777" w:rsidR="00134409" w:rsidRPr="00AA2516" w:rsidRDefault="00134409" w:rsidP="00134409">
      <w:pPr>
        <w:tabs>
          <w:tab w:val="left" w:pos="426"/>
        </w:tabs>
        <w:spacing w:after="0" w:line="276" w:lineRule="auto"/>
        <w:ind w:firstLine="709"/>
        <w:contextualSpacing/>
        <w:jc w:val="both"/>
        <w:rPr>
          <w:rFonts w:ascii="Arial" w:eastAsia="Calibri" w:hAnsi="Arial" w:cs="Arial"/>
          <w:b/>
          <w:bCs/>
        </w:rPr>
      </w:pPr>
    </w:p>
    <w:p w14:paraId="0BB3E897" w14:textId="77777777" w:rsidR="00E0125F" w:rsidRPr="007176AA" w:rsidRDefault="00E0125F">
      <w:pPr>
        <w:rPr>
          <w:color w:val="FF0000"/>
        </w:rPr>
      </w:pPr>
    </w:p>
    <w:sectPr w:rsidR="00E0125F" w:rsidRPr="007176AA" w:rsidSect="0094721B">
      <w:headerReference w:type="default" r:id="rId13"/>
      <w:footerReference w:type="default" r:id="rId14"/>
      <w:pgSz w:w="12240" w:h="15840"/>
      <w:pgMar w:top="411" w:right="1608"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27C99" w14:textId="77777777" w:rsidR="00E70833" w:rsidRDefault="00E70833" w:rsidP="00134409">
      <w:pPr>
        <w:spacing w:after="0" w:line="240" w:lineRule="auto"/>
      </w:pPr>
      <w:r>
        <w:separator/>
      </w:r>
    </w:p>
  </w:endnote>
  <w:endnote w:type="continuationSeparator" w:id="0">
    <w:p w14:paraId="68E7952B" w14:textId="77777777" w:rsidR="00E70833" w:rsidRDefault="00E70833" w:rsidP="00134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0A5F3" w14:textId="77777777" w:rsidR="00301B6D" w:rsidRDefault="00000000" w:rsidP="00301B6D">
    <w:pPr>
      <w:pStyle w:val="Sinespaciado"/>
      <w:rPr>
        <w:rFonts w:ascii="Arial" w:hAnsi="Arial" w:cs="Arial"/>
        <w:sz w:val="18"/>
        <w:szCs w:val="18"/>
      </w:rPr>
    </w:pPr>
  </w:p>
  <w:p w14:paraId="3EBB4740" w14:textId="77777777" w:rsidR="00301B6D" w:rsidRDefault="00000000" w:rsidP="00301B6D">
    <w:pPr>
      <w:pStyle w:val="Sinespaciado"/>
      <w:rPr>
        <w:rFonts w:ascii="Arial" w:hAnsi="Arial" w:cs="Arial"/>
        <w:sz w:val="18"/>
        <w:szCs w:val="18"/>
      </w:rPr>
    </w:pPr>
  </w:p>
  <w:p w14:paraId="31A93246" w14:textId="77777777" w:rsidR="00301B6D" w:rsidRPr="00883C23" w:rsidRDefault="009E3D0B" w:rsidP="00301B6D">
    <w:pPr>
      <w:pStyle w:val="Piedepgina"/>
      <w:jc w:val="right"/>
      <w:rPr>
        <w:rFonts w:ascii="Arial" w:hAnsi="Arial" w:cs="Arial"/>
        <w:color w:val="7F7F7F"/>
        <w:sz w:val="16"/>
        <w:szCs w:val="16"/>
      </w:rPr>
    </w:pPr>
    <w:r w:rsidRPr="00883C23">
      <w:rPr>
        <w:rFonts w:ascii="Arial" w:hAnsi="Arial" w:cs="Arial"/>
        <w:bCs/>
        <w:color w:val="7F7F7F"/>
        <w:sz w:val="16"/>
        <w:szCs w:val="16"/>
      </w:rPr>
      <w:t xml:space="preserve">Página </w:t>
    </w:r>
    <w:r w:rsidRPr="00883C23">
      <w:rPr>
        <w:rFonts w:ascii="Arial" w:hAnsi="Arial" w:cs="Arial"/>
        <w:b/>
        <w:bCs/>
        <w:color w:val="7F7F7F"/>
        <w:sz w:val="16"/>
        <w:szCs w:val="16"/>
      </w:rPr>
      <w:fldChar w:fldCharType="begin"/>
    </w:r>
    <w:r w:rsidRPr="00883C23">
      <w:rPr>
        <w:rFonts w:ascii="Arial" w:hAnsi="Arial" w:cs="Arial"/>
        <w:b/>
        <w:bCs/>
        <w:color w:val="7F7F7F"/>
        <w:sz w:val="16"/>
        <w:szCs w:val="16"/>
      </w:rPr>
      <w:instrText>PAGE  \* Arabic  \* MERGEFORMAT</w:instrText>
    </w:r>
    <w:r w:rsidRPr="00883C23">
      <w:rPr>
        <w:rFonts w:ascii="Arial" w:hAnsi="Arial" w:cs="Arial"/>
        <w:b/>
        <w:bCs/>
        <w:color w:val="7F7F7F"/>
        <w:sz w:val="16"/>
        <w:szCs w:val="16"/>
      </w:rPr>
      <w:fldChar w:fldCharType="separate"/>
    </w:r>
    <w:r w:rsidRPr="00883C23">
      <w:rPr>
        <w:rFonts w:ascii="Arial" w:hAnsi="Arial" w:cs="Arial"/>
        <w:b/>
        <w:bCs/>
        <w:noProof/>
        <w:color w:val="7F7F7F"/>
        <w:sz w:val="16"/>
        <w:szCs w:val="16"/>
      </w:rPr>
      <w:t>17</w:t>
    </w:r>
    <w:r w:rsidRPr="00883C23">
      <w:rPr>
        <w:rFonts w:ascii="Arial" w:hAnsi="Arial" w:cs="Arial"/>
        <w:b/>
        <w:bCs/>
        <w:color w:val="7F7F7F"/>
        <w:sz w:val="16"/>
        <w:szCs w:val="16"/>
      </w:rPr>
      <w:fldChar w:fldCharType="end"/>
    </w:r>
    <w:r w:rsidRPr="00883C23">
      <w:rPr>
        <w:rFonts w:ascii="Arial" w:hAnsi="Arial" w:cs="Arial"/>
        <w:color w:val="7F7F7F"/>
        <w:sz w:val="16"/>
        <w:szCs w:val="16"/>
      </w:rPr>
      <w:t xml:space="preserve"> de </w:t>
    </w:r>
    <w:r w:rsidRPr="00883C23">
      <w:rPr>
        <w:rFonts w:ascii="Arial" w:hAnsi="Arial" w:cs="Arial"/>
        <w:b/>
        <w:bCs/>
        <w:color w:val="7F7F7F"/>
        <w:sz w:val="16"/>
        <w:szCs w:val="16"/>
      </w:rPr>
      <w:fldChar w:fldCharType="begin"/>
    </w:r>
    <w:r w:rsidRPr="00883C23">
      <w:rPr>
        <w:rFonts w:ascii="Arial" w:hAnsi="Arial" w:cs="Arial"/>
        <w:b/>
        <w:bCs/>
        <w:color w:val="7F7F7F"/>
        <w:sz w:val="16"/>
        <w:szCs w:val="16"/>
      </w:rPr>
      <w:instrText>NUMPAGES  \* Arabic  \* MERGEFORMAT</w:instrText>
    </w:r>
    <w:r w:rsidRPr="00883C23">
      <w:rPr>
        <w:rFonts w:ascii="Arial" w:hAnsi="Arial" w:cs="Arial"/>
        <w:b/>
        <w:bCs/>
        <w:color w:val="7F7F7F"/>
        <w:sz w:val="16"/>
        <w:szCs w:val="16"/>
      </w:rPr>
      <w:fldChar w:fldCharType="separate"/>
    </w:r>
    <w:r w:rsidRPr="00883C23">
      <w:rPr>
        <w:rFonts w:ascii="Arial" w:hAnsi="Arial" w:cs="Arial"/>
        <w:b/>
        <w:bCs/>
        <w:noProof/>
        <w:color w:val="7F7F7F"/>
        <w:sz w:val="16"/>
        <w:szCs w:val="16"/>
      </w:rPr>
      <w:t>17</w:t>
    </w:r>
    <w:r w:rsidRPr="00883C23">
      <w:rPr>
        <w:rFonts w:ascii="Arial" w:hAnsi="Arial" w:cs="Arial"/>
        <w:b/>
        <w:bCs/>
        <w:color w:val="7F7F7F"/>
        <w:sz w:val="16"/>
        <w:szCs w:val="16"/>
      </w:rPr>
      <w:fldChar w:fldCharType="end"/>
    </w:r>
  </w:p>
  <w:p w14:paraId="42FA80F8" w14:textId="77777777" w:rsidR="00301B6D" w:rsidRDefault="009E3D0B" w:rsidP="00301B6D">
    <w:pPr>
      <w:pStyle w:val="Piedepgina"/>
      <w:jc w:val="center"/>
      <w:rPr>
        <w:lang w:val="es-ES"/>
      </w:rPr>
    </w:pPr>
    <w:r>
      <w:rPr>
        <w:noProof/>
        <w:lang w:val="es-CO" w:eastAsia="es-CO"/>
      </w:rPr>
      <w:drawing>
        <wp:inline distT="0" distB="0" distL="0" distR="0" wp14:anchorId="77D7B75D" wp14:editId="29A25F60">
          <wp:extent cx="4241994" cy="595165"/>
          <wp:effectExtent l="0" t="0" r="635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1F328642" w14:textId="77777777" w:rsidR="00301B6D" w:rsidRDefault="00000000" w:rsidP="00301B6D">
    <w:pPr>
      <w:pStyle w:val="Piedepgina"/>
      <w:jc w:val="center"/>
      <w:rPr>
        <w:lang w:val="es-ES"/>
      </w:rPr>
    </w:pPr>
  </w:p>
  <w:p w14:paraId="7055557C" w14:textId="77777777" w:rsidR="00301B6D" w:rsidRPr="007B0854" w:rsidRDefault="00000000" w:rsidP="00301B6D">
    <w:pPr>
      <w:pStyle w:val="Piedepgina"/>
      <w:spacing w:line="120" w:lineRule="auto"/>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A7BB3" w14:textId="77777777" w:rsidR="00E70833" w:rsidRDefault="00E70833" w:rsidP="00134409">
      <w:pPr>
        <w:spacing w:after="0" w:line="240" w:lineRule="auto"/>
      </w:pPr>
      <w:r>
        <w:separator/>
      </w:r>
    </w:p>
  </w:footnote>
  <w:footnote w:type="continuationSeparator" w:id="0">
    <w:p w14:paraId="3FF68BEB" w14:textId="77777777" w:rsidR="00E70833" w:rsidRDefault="00E70833" w:rsidP="00134409">
      <w:pPr>
        <w:spacing w:after="0" w:line="240" w:lineRule="auto"/>
      </w:pPr>
      <w:r>
        <w:continuationSeparator/>
      </w:r>
    </w:p>
  </w:footnote>
  <w:footnote w:id="1">
    <w:p w14:paraId="69F647ED" w14:textId="77777777" w:rsidR="00DA104E" w:rsidRPr="00404EFC" w:rsidRDefault="00DA104E" w:rsidP="00404EFC">
      <w:pPr>
        <w:pStyle w:val="Textonotapie"/>
        <w:spacing w:after="0" w:line="240" w:lineRule="auto"/>
        <w:ind w:firstLine="708"/>
        <w:contextualSpacing/>
        <w:rPr>
          <w:rFonts w:ascii="Arial" w:hAnsi="Arial" w:cs="Arial"/>
          <w:sz w:val="19"/>
          <w:szCs w:val="19"/>
        </w:rPr>
      </w:pPr>
      <w:r w:rsidRPr="00404EFC">
        <w:rPr>
          <w:rStyle w:val="Refdenotaalpie"/>
          <w:rFonts w:ascii="Arial" w:hAnsi="Arial" w:cs="Arial"/>
          <w:sz w:val="19"/>
          <w:szCs w:val="19"/>
        </w:rPr>
        <w:footnoteRef/>
      </w:r>
      <w:r w:rsidRPr="00404EFC">
        <w:rPr>
          <w:rFonts w:ascii="Arial" w:hAnsi="Arial" w:cs="Arial"/>
          <w:sz w:val="19"/>
          <w:szCs w:val="19"/>
        </w:rPr>
        <w:t xml:space="preserve"> «Artículo 3°. Funciones. La Agencia Nacional de Contratación Pública –Colombia Compra Eficiente– ejercerá las siguientes funciones: </w:t>
      </w:r>
    </w:p>
    <w:p w14:paraId="28323F6B" w14:textId="77777777" w:rsidR="00DA104E" w:rsidRPr="00404EFC" w:rsidRDefault="00DA104E" w:rsidP="00404EFC">
      <w:pPr>
        <w:pStyle w:val="Textonotapie"/>
        <w:spacing w:after="0" w:line="240" w:lineRule="auto"/>
        <w:ind w:firstLine="709"/>
        <w:contextualSpacing/>
        <w:rPr>
          <w:rFonts w:ascii="Arial" w:hAnsi="Arial" w:cs="Arial"/>
          <w:sz w:val="19"/>
          <w:szCs w:val="19"/>
          <w:lang w:val="es-ES"/>
        </w:rPr>
      </w:pPr>
      <w:r w:rsidRPr="00404EFC">
        <w:rPr>
          <w:rFonts w:ascii="Arial" w:hAnsi="Arial" w:cs="Arial"/>
          <w:sz w:val="19"/>
          <w:szCs w:val="19"/>
          <w:lang w:val="es-ES"/>
        </w:rPr>
        <w:t xml:space="preserve">»[...] </w:t>
      </w:r>
    </w:p>
    <w:p w14:paraId="2AB7AA10" w14:textId="77777777" w:rsidR="00DA104E" w:rsidRPr="00404EFC" w:rsidRDefault="00DA104E" w:rsidP="00404EFC">
      <w:pPr>
        <w:pStyle w:val="Textonotapie"/>
        <w:spacing w:after="0" w:line="240" w:lineRule="auto"/>
        <w:ind w:firstLine="709"/>
        <w:contextualSpacing/>
        <w:rPr>
          <w:rFonts w:ascii="Arial" w:hAnsi="Arial" w:cs="Arial"/>
          <w:sz w:val="19"/>
          <w:szCs w:val="19"/>
          <w:lang w:val="es-ES"/>
        </w:rPr>
      </w:pPr>
      <w:r w:rsidRPr="00404EFC">
        <w:rPr>
          <w:rFonts w:ascii="Arial" w:hAnsi="Arial" w:cs="Arial"/>
          <w:sz w:val="19"/>
          <w:szCs w:val="19"/>
          <w:lang w:val="es-ES"/>
        </w:rPr>
        <w:t>»5. Absolver consultas sobre la aplicación de normas de carácter general y expedir circulares externas en materia de compras y contratación pública».</w:t>
      </w:r>
    </w:p>
    <w:p w14:paraId="6303F882" w14:textId="77777777" w:rsidR="00DA104E" w:rsidRPr="00404EFC" w:rsidRDefault="00DA104E" w:rsidP="00404EFC">
      <w:pPr>
        <w:pStyle w:val="Textonotapie"/>
        <w:spacing w:after="0" w:line="240" w:lineRule="auto"/>
        <w:ind w:firstLine="709"/>
        <w:contextualSpacing/>
        <w:rPr>
          <w:rFonts w:ascii="Arial" w:hAnsi="Arial" w:cs="Arial"/>
          <w:sz w:val="19"/>
          <w:szCs w:val="19"/>
          <w:lang w:val="es-ES"/>
        </w:rPr>
      </w:pPr>
      <w:r w:rsidRPr="00404EFC">
        <w:rPr>
          <w:rFonts w:ascii="Arial" w:eastAsia="Times New Roman" w:hAnsi="Arial" w:cs="Arial"/>
          <w:sz w:val="19"/>
          <w:szCs w:val="19"/>
          <w:lang w:val="es-CO" w:eastAsia="es-ES_tradnl"/>
        </w:rPr>
        <w:t>«</w:t>
      </w:r>
      <w:r w:rsidRPr="00404EFC">
        <w:rPr>
          <w:rFonts w:ascii="Arial" w:hAnsi="Arial" w:cs="Arial"/>
          <w:sz w:val="19"/>
          <w:szCs w:val="19"/>
          <w:lang w:val="es-ES"/>
        </w:rPr>
        <w:t xml:space="preserve">Artículo 11. Subdirección de Gestión Contractual. Son funciones de la Subdirección de Gestión Contractual las siguientes: </w:t>
      </w:r>
    </w:p>
    <w:p w14:paraId="2A61851F" w14:textId="77777777" w:rsidR="00DA104E" w:rsidRPr="00404EFC" w:rsidRDefault="00DA104E" w:rsidP="00404EFC">
      <w:pPr>
        <w:pStyle w:val="Textonotapie"/>
        <w:spacing w:after="0" w:line="240" w:lineRule="auto"/>
        <w:ind w:firstLine="709"/>
        <w:contextualSpacing/>
        <w:rPr>
          <w:rFonts w:ascii="Arial" w:hAnsi="Arial" w:cs="Arial"/>
          <w:sz w:val="19"/>
          <w:szCs w:val="19"/>
          <w:lang w:val="es-ES"/>
        </w:rPr>
      </w:pPr>
      <w:r w:rsidRPr="00404EFC">
        <w:rPr>
          <w:rFonts w:ascii="Arial" w:hAnsi="Arial" w:cs="Arial"/>
          <w:sz w:val="19"/>
          <w:szCs w:val="19"/>
          <w:lang w:val="es-ES"/>
        </w:rPr>
        <w:t xml:space="preserve">»[...] </w:t>
      </w:r>
    </w:p>
    <w:p w14:paraId="7A3CAD55" w14:textId="318CBC80" w:rsidR="00DA104E" w:rsidRDefault="00DA104E" w:rsidP="00404EFC">
      <w:pPr>
        <w:pStyle w:val="Textonotapie"/>
        <w:spacing w:after="0" w:line="240" w:lineRule="auto"/>
        <w:ind w:firstLine="708"/>
        <w:contextualSpacing/>
        <w:rPr>
          <w:rFonts w:ascii="Arial" w:hAnsi="Arial" w:cs="Arial"/>
          <w:sz w:val="19"/>
          <w:szCs w:val="19"/>
          <w:lang w:val="es-ES"/>
        </w:rPr>
      </w:pPr>
      <w:r w:rsidRPr="00404EFC">
        <w:rPr>
          <w:rFonts w:ascii="Arial" w:eastAsia="Times New Roman" w:hAnsi="Arial" w:cs="Arial"/>
          <w:sz w:val="19"/>
          <w:szCs w:val="19"/>
          <w:lang w:val="es-CO" w:eastAsia="es-ES_tradnl"/>
        </w:rPr>
        <w:t>»</w:t>
      </w:r>
      <w:r w:rsidRPr="00404EFC">
        <w:rPr>
          <w:rFonts w:ascii="Arial" w:hAnsi="Arial" w:cs="Arial"/>
          <w:sz w:val="19"/>
          <w:szCs w:val="19"/>
          <w:lang w:val="es-ES"/>
        </w:rPr>
        <w:t>8. Absolver consultas sobre la aplicación de normas de carácter general».</w:t>
      </w:r>
    </w:p>
    <w:p w14:paraId="7F283AC9" w14:textId="77777777" w:rsidR="00404EFC" w:rsidRPr="00404EFC" w:rsidRDefault="00404EFC" w:rsidP="00404EFC">
      <w:pPr>
        <w:pStyle w:val="Textonotapie"/>
        <w:spacing w:after="0" w:line="240" w:lineRule="auto"/>
        <w:ind w:firstLine="708"/>
        <w:contextualSpacing/>
        <w:rPr>
          <w:rFonts w:ascii="Arial" w:hAnsi="Arial" w:cs="Arial"/>
          <w:sz w:val="19"/>
          <w:szCs w:val="19"/>
        </w:rPr>
      </w:pPr>
    </w:p>
  </w:footnote>
  <w:footnote w:id="2">
    <w:p w14:paraId="24BE90AF" w14:textId="77777777" w:rsidR="00134409" w:rsidRPr="00404EFC" w:rsidRDefault="00134409" w:rsidP="00404EFC">
      <w:pPr>
        <w:pStyle w:val="Textonotapie"/>
        <w:spacing w:after="0" w:line="240" w:lineRule="auto"/>
        <w:ind w:firstLine="709"/>
        <w:contextualSpacing/>
        <w:rPr>
          <w:rFonts w:ascii="Arial" w:hAnsi="Arial" w:cs="Arial"/>
          <w:sz w:val="19"/>
          <w:szCs w:val="19"/>
        </w:rPr>
      </w:pPr>
      <w:r w:rsidRPr="00404EFC">
        <w:rPr>
          <w:rStyle w:val="Refdenotaalpie"/>
          <w:rFonts w:ascii="Arial" w:hAnsi="Arial" w:cs="Arial"/>
          <w:sz w:val="19"/>
          <w:szCs w:val="19"/>
        </w:rPr>
        <w:footnoteRef/>
      </w:r>
      <w:r w:rsidRPr="00404EFC">
        <w:rPr>
          <w:rFonts w:ascii="Arial" w:hAnsi="Arial" w:cs="Arial"/>
          <w:sz w:val="19"/>
          <w:szCs w:val="19"/>
        </w:rPr>
        <w:t xml:space="preserve"> El artículo 127 de la Constitución Política señala: «Los servidores públicos no podrán celebrar, por si o por interpuesta persona, o en representación de otro, contrato alguno con entidades públicas o con personas privadas que manejen o administren recursos públicos, salvo las excepciones legales. </w:t>
      </w:r>
    </w:p>
    <w:p w14:paraId="3DC13F60" w14:textId="77777777" w:rsidR="00134409" w:rsidRPr="00404EFC" w:rsidRDefault="00134409" w:rsidP="00404EFC">
      <w:pPr>
        <w:pStyle w:val="Textonotapie"/>
        <w:spacing w:after="0" w:line="240" w:lineRule="auto"/>
        <w:ind w:firstLine="709"/>
        <w:contextualSpacing/>
        <w:rPr>
          <w:rFonts w:ascii="Arial" w:hAnsi="Arial" w:cs="Arial"/>
          <w:sz w:val="19"/>
          <w:szCs w:val="19"/>
        </w:rPr>
      </w:pPr>
      <w:proofErr w:type="gramStart"/>
      <w:r w:rsidRPr="00404EFC">
        <w:rPr>
          <w:rFonts w:ascii="Arial" w:hAnsi="Arial" w:cs="Arial"/>
          <w:sz w:val="19"/>
          <w:szCs w:val="19"/>
        </w:rPr>
        <w:t>»A</w:t>
      </w:r>
      <w:proofErr w:type="gramEnd"/>
      <w:r w:rsidRPr="00404EFC">
        <w:rPr>
          <w:rFonts w:ascii="Arial" w:hAnsi="Arial" w:cs="Arial"/>
          <w:sz w:val="19"/>
          <w:szCs w:val="19"/>
        </w:rPr>
        <w:t xml:space="preserve">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 Los empleados no contemplados en esta prohibición solo podrán participar en dichas actividades y controversias en las condiciones que señale la Ley Estatutaria».</w:t>
      </w:r>
    </w:p>
    <w:p w14:paraId="39A90963" w14:textId="77777777" w:rsidR="00134409" w:rsidRPr="00404EFC" w:rsidRDefault="00134409" w:rsidP="00404EFC">
      <w:pPr>
        <w:pStyle w:val="Textonotapie"/>
        <w:spacing w:after="0" w:line="240" w:lineRule="auto"/>
        <w:ind w:firstLine="709"/>
        <w:contextualSpacing/>
        <w:rPr>
          <w:rFonts w:ascii="Arial" w:hAnsi="Arial" w:cs="Arial"/>
          <w:sz w:val="19"/>
          <w:szCs w:val="19"/>
        </w:rPr>
      </w:pPr>
    </w:p>
  </w:footnote>
  <w:footnote w:id="3">
    <w:p w14:paraId="24D9E7B2" w14:textId="77777777" w:rsidR="00134409" w:rsidRPr="00404EFC" w:rsidRDefault="00134409" w:rsidP="00404EFC">
      <w:pPr>
        <w:pStyle w:val="Textonotapie"/>
        <w:spacing w:after="0" w:line="240" w:lineRule="auto"/>
        <w:ind w:firstLine="709"/>
        <w:contextualSpacing/>
        <w:rPr>
          <w:rFonts w:ascii="Arial" w:hAnsi="Arial" w:cs="Arial"/>
          <w:sz w:val="19"/>
          <w:szCs w:val="19"/>
        </w:rPr>
      </w:pPr>
      <w:r w:rsidRPr="00404EFC">
        <w:rPr>
          <w:rStyle w:val="Refdenotaalpie"/>
          <w:rFonts w:ascii="Arial" w:hAnsi="Arial" w:cs="Arial"/>
          <w:sz w:val="19"/>
          <w:szCs w:val="19"/>
        </w:rPr>
        <w:footnoteRef/>
      </w:r>
      <w:r w:rsidRPr="00404EFC">
        <w:rPr>
          <w:rFonts w:ascii="Arial" w:hAnsi="Arial" w:cs="Arial"/>
          <w:sz w:val="19"/>
          <w:szCs w:val="19"/>
        </w:rPr>
        <w:t xml:space="preserve"> Gaceta del Congreso de la República No. 71 del 2005.</w:t>
      </w:r>
    </w:p>
    <w:p w14:paraId="569A4B24" w14:textId="77777777" w:rsidR="00134409" w:rsidRPr="00404EFC" w:rsidRDefault="00134409" w:rsidP="00404EFC">
      <w:pPr>
        <w:pStyle w:val="Textonotapie"/>
        <w:spacing w:after="0" w:line="240" w:lineRule="auto"/>
        <w:ind w:firstLine="709"/>
        <w:contextualSpacing/>
        <w:rPr>
          <w:rFonts w:ascii="Arial" w:hAnsi="Arial" w:cs="Arial"/>
          <w:sz w:val="19"/>
          <w:szCs w:val="19"/>
        </w:rPr>
      </w:pPr>
    </w:p>
  </w:footnote>
  <w:footnote w:id="4">
    <w:p w14:paraId="784175BF" w14:textId="77777777" w:rsidR="00134409" w:rsidRPr="00404EFC" w:rsidRDefault="00134409" w:rsidP="00404EFC">
      <w:pPr>
        <w:pStyle w:val="Textonotapie"/>
        <w:spacing w:after="0" w:line="240" w:lineRule="auto"/>
        <w:ind w:firstLine="709"/>
        <w:contextualSpacing/>
        <w:rPr>
          <w:rFonts w:ascii="Arial" w:hAnsi="Arial" w:cs="Arial"/>
          <w:sz w:val="19"/>
          <w:szCs w:val="19"/>
        </w:rPr>
      </w:pPr>
      <w:r w:rsidRPr="00404EFC">
        <w:rPr>
          <w:rStyle w:val="Refdenotaalpie"/>
          <w:rFonts w:ascii="Arial" w:hAnsi="Arial" w:cs="Arial"/>
          <w:sz w:val="19"/>
          <w:szCs w:val="19"/>
        </w:rPr>
        <w:footnoteRef/>
      </w:r>
      <w:r w:rsidRPr="00404EFC">
        <w:rPr>
          <w:rFonts w:ascii="Arial" w:hAnsi="Arial" w:cs="Arial"/>
          <w:sz w:val="19"/>
          <w:szCs w:val="19"/>
        </w:rPr>
        <w:t xml:space="preserve"> Corte Constitucional, Sentencia C- 1153 de 2005, M.P. Marco Gerardo Monroy Cabra.</w:t>
      </w:r>
    </w:p>
    <w:p w14:paraId="024F2025" w14:textId="77777777" w:rsidR="00134409" w:rsidRPr="00404EFC" w:rsidRDefault="00134409" w:rsidP="00404EFC">
      <w:pPr>
        <w:pStyle w:val="Textonotapie"/>
        <w:spacing w:after="0" w:line="240" w:lineRule="auto"/>
        <w:ind w:firstLine="709"/>
        <w:contextualSpacing/>
        <w:rPr>
          <w:rFonts w:ascii="Arial" w:hAnsi="Arial" w:cs="Arial"/>
          <w:sz w:val="19"/>
          <w:szCs w:val="19"/>
        </w:rPr>
      </w:pPr>
    </w:p>
  </w:footnote>
  <w:footnote w:id="5">
    <w:p w14:paraId="3090D361" w14:textId="77777777" w:rsidR="00134409" w:rsidRPr="00404EFC" w:rsidRDefault="00134409" w:rsidP="00404EFC">
      <w:pPr>
        <w:pStyle w:val="Textonotapie"/>
        <w:spacing w:after="0" w:line="240" w:lineRule="auto"/>
        <w:ind w:firstLine="709"/>
        <w:contextualSpacing/>
        <w:rPr>
          <w:rFonts w:ascii="Arial" w:hAnsi="Arial" w:cs="Arial"/>
          <w:sz w:val="19"/>
          <w:szCs w:val="19"/>
        </w:rPr>
      </w:pPr>
      <w:r w:rsidRPr="00404EFC">
        <w:rPr>
          <w:rStyle w:val="Refdenotaalpie"/>
          <w:rFonts w:ascii="Arial" w:hAnsi="Arial" w:cs="Arial"/>
          <w:sz w:val="19"/>
          <w:szCs w:val="19"/>
        </w:rPr>
        <w:footnoteRef/>
      </w:r>
      <w:r w:rsidRPr="00404EFC">
        <w:rPr>
          <w:rFonts w:ascii="Arial" w:hAnsi="Arial" w:cs="Arial"/>
          <w:sz w:val="19"/>
          <w:szCs w:val="19"/>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p w14:paraId="3F0A02F6" w14:textId="77777777" w:rsidR="00134409" w:rsidRPr="00404EFC" w:rsidRDefault="00134409" w:rsidP="00404EFC">
      <w:pPr>
        <w:pStyle w:val="Textonotapie"/>
        <w:spacing w:after="0" w:line="240" w:lineRule="auto"/>
        <w:ind w:firstLine="709"/>
        <w:contextualSpacing/>
        <w:rPr>
          <w:rFonts w:ascii="Arial" w:hAnsi="Arial" w:cs="Arial"/>
          <w:sz w:val="19"/>
          <w:szCs w:val="19"/>
        </w:rPr>
      </w:pPr>
    </w:p>
  </w:footnote>
  <w:footnote w:id="6">
    <w:p w14:paraId="7E207639" w14:textId="77777777" w:rsidR="00134409" w:rsidRPr="00404EFC" w:rsidRDefault="00134409" w:rsidP="00404EFC">
      <w:pPr>
        <w:pStyle w:val="Textonotapie"/>
        <w:spacing w:after="0" w:line="240" w:lineRule="auto"/>
        <w:ind w:firstLine="709"/>
        <w:contextualSpacing/>
        <w:rPr>
          <w:rFonts w:ascii="Arial" w:hAnsi="Arial" w:cs="Arial"/>
          <w:sz w:val="19"/>
          <w:szCs w:val="19"/>
          <w:lang w:val="es-CO"/>
        </w:rPr>
      </w:pPr>
      <w:r w:rsidRPr="00404EFC">
        <w:rPr>
          <w:rStyle w:val="Refdenotaalpie"/>
          <w:rFonts w:ascii="Arial" w:hAnsi="Arial" w:cs="Arial"/>
          <w:sz w:val="19"/>
          <w:szCs w:val="19"/>
        </w:rPr>
        <w:footnoteRef/>
      </w:r>
      <w:r w:rsidRPr="00404EFC">
        <w:rPr>
          <w:rFonts w:ascii="Arial" w:hAnsi="Arial" w:cs="Arial"/>
          <w:sz w:val="19"/>
          <w:szCs w:val="19"/>
          <w:lang w:val="es-CO"/>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footnote>
  <w:footnote w:id="7">
    <w:p w14:paraId="3E646743" w14:textId="77777777" w:rsidR="00134409" w:rsidRPr="00404EFC" w:rsidRDefault="00134409" w:rsidP="00404EFC">
      <w:pPr>
        <w:pStyle w:val="Textonotapie"/>
        <w:spacing w:after="0" w:line="240" w:lineRule="auto"/>
        <w:ind w:firstLine="709"/>
        <w:contextualSpacing/>
        <w:rPr>
          <w:rFonts w:ascii="Arial" w:hAnsi="Arial" w:cs="Arial"/>
          <w:sz w:val="19"/>
          <w:szCs w:val="19"/>
        </w:rPr>
      </w:pPr>
    </w:p>
    <w:p w14:paraId="2CDA473D" w14:textId="45642B61" w:rsidR="00134409" w:rsidRDefault="00134409" w:rsidP="00404EFC">
      <w:pPr>
        <w:pStyle w:val="Textonotapie"/>
        <w:spacing w:after="0" w:line="240" w:lineRule="auto"/>
        <w:ind w:firstLine="709"/>
        <w:contextualSpacing/>
        <w:rPr>
          <w:rFonts w:ascii="Arial" w:hAnsi="Arial" w:cs="Arial"/>
          <w:sz w:val="19"/>
          <w:szCs w:val="19"/>
        </w:rPr>
      </w:pPr>
      <w:r w:rsidRPr="00404EFC">
        <w:rPr>
          <w:rStyle w:val="Refdenotaalpie"/>
          <w:rFonts w:ascii="Arial" w:hAnsi="Arial" w:cs="Arial"/>
          <w:sz w:val="19"/>
          <w:szCs w:val="19"/>
        </w:rPr>
        <w:footnoteRef/>
      </w:r>
      <w:r w:rsidRPr="00404EFC">
        <w:rPr>
          <w:rFonts w:ascii="Arial" w:hAnsi="Arial" w:cs="Arial"/>
          <w:sz w:val="19"/>
          <w:szCs w:val="19"/>
        </w:rPr>
        <w:t xml:space="preserve"> Consejo de Estado, Sala de Consulta y Servicio Civil de fecha 24 de julio de 2013, radicado 2166, Consejero Ponente: Álvaro </w:t>
      </w:r>
      <w:proofErr w:type="spellStart"/>
      <w:r w:rsidRPr="00404EFC">
        <w:rPr>
          <w:rFonts w:ascii="Arial" w:hAnsi="Arial" w:cs="Arial"/>
          <w:sz w:val="19"/>
          <w:szCs w:val="19"/>
        </w:rPr>
        <w:t>Namén</w:t>
      </w:r>
      <w:proofErr w:type="spellEnd"/>
      <w:r w:rsidRPr="00404EFC">
        <w:rPr>
          <w:rFonts w:ascii="Arial" w:hAnsi="Arial" w:cs="Arial"/>
          <w:sz w:val="19"/>
          <w:szCs w:val="19"/>
        </w:rPr>
        <w:t xml:space="preserve"> Vargas.  </w:t>
      </w:r>
    </w:p>
    <w:p w14:paraId="2EE0F38B" w14:textId="77777777" w:rsidR="00404EFC" w:rsidRPr="00404EFC" w:rsidRDefault="00404EFC" w:rsidP="00404EFC">
      <w:pPr>
        <w:pStyle w:val="Textonotapie"/>
        <w:spacing w:after="0" w:line="240" w:lineRule="auto"/>
        <w:ind w:firstLine="709"/>
        <w:contextualSpacing/>
        <w:rPr>
          <w:rFonts w:ascii="Arial" w:hAnsi="Arial" w:cs="Arial"/>
          <w:sz w:val="19"/>
          <w:szCs w:val="19"/>
        </w:rPr>
      </w:pPr>
    </w:p>
  </w:footnote>
  <w:footnote w:id="8">
    <w:p w14:paraId="4CEBB717" w14:textId="77777777" w:rsidR="00134409" w:rsidRPr="00404EFC" w:rsidRDefault="00134409" w:rsidP="00404EFC">
      <w:pPr>
        <w:spacing w:after="0" w:line="240" w:lineRule="auto"/>
        <w:ind w:firstLine="709"/>
        <w:contextualSpacing/>
        <w:jc w:val="both"/>
        <w:rPr>
          <w:rFonts w:ascii="Arial" w:eastAsia="Times New Roman" w:hAnsi="Arial" w:cs="Arial"/>
          <w:sz w:val="19"/>
          <w:szCs w:val="19"/>
        </w:rPr>
      </w:pPr>
      <w:r w:rsidRPr="00404EFC">
        <w:rPr>
          <w:rStyle w:val="Refdenotaalpie"/>
          <w:rFonts w:ascii="Arial" w:hAnsi="Arial" w:cs="Arial"/>
          <w:sz w:val="19"/>
          <w:szCs w:val="19"/>
        </w:rPr>
        <w:footnoteRef/>
      </w:r>
      <w:r w:rsidRPr="00404EFC">
        <w:rPr>
          <w:rFonts w:ascii="Arial" w:hAnsi="Arial" w:cs="Arial"/>
          <w:sz w:val="19"/>
          <w:szCs w:val="19"/>
        </w:rPr>
        <w:t xml:space="preserve"> </w:t>
      </w:r>
      <w:bookmarkStart w:id="14" w:name="33"/>
      <w:r w:rsidRPr="00404EFC">
        <w:rPr>
          <w:rFonts w:ascii="Arial" w:eastAsia="Calibri" w:hAnsi="Arial" w:cs="Arial"/>
          <w:bCs/>
          <w:color w:val="000000"/>
          <w:sz w:val="19"/>
          <w:szCs w:val="19"/>
        </w:rPr>
        <w:t>«</w:t>
      </w:r>
      <w:r w:rsidRPr="00404EFC">
        <w:rPr>
          <w:rFonts w:ascii="Arial" w:eastAsia="Times New Roman" w:hAnsi="Arial" w:cs="Arial"/>
          <w:sz w:val="19"/>
          <w:szCs w:val="19"/>
        </w:rPr>
        <w:t>Artículo 33. Restricciones a la contratación pública.</w:t>
      </w:r>
      <w:bookmarkEnd w:id="14"/>
      <w:r w:rsidRPr="00404EFC">
        <w:rPr>
          <w:rFonts w:ascii="Arial" w:eastAsia="Times New Roman" w:hAnsi="Arial" w:cs="Arial"/>
          <w:sz w:val="19"/>
          <w:szCs w:val="19"/>
        </w:rPr>
        <w:t> Durante los cuatro (4) meses anteriores a la elección presidencial y hasta la realización de la elección en la segunda vuelta, si fuere el caso, queda prohibida la contratación directa por parte de todos los entes del Estado.</w:t>
      </w:r>
    </w:p>
    <w:p w14:paraId="09DBD596" w14:textId="77777777" w:rsidR="00134409" w:rsidRPr="00404EFC" w:rsidRDefault="00134409" w:rsidP="00404EFC">
      <w:pPr>
        <w:spacing w:after="0" w:line="240" w:lineRule="auto"/>
        <w:ind w:firstLine="709"/>
        <w:contextualSpacing/>
        <w:jc w:val="both"/>
        <w:rPr>
          <w:rFonts w:ascii="Arial" w:eastAsia="Times New Roman" w:hAnsi="Arial" w:cs="Arial"/>
          <w:sz w:val="19"/>
          <w:szCs w:val="19"/>
        </w:rPr>
      </w:pPr>
      <w:r w:rsidRPr="00404EFC">
        <w:rPr>
          <w:rFonts w:ascii="Arial" w:eastAsia="Calibri" w:hAnsi="Arial" w:cs="Arial"/>
          <w:bCs/>
          <w:color w:val="000000"/>
          <w:sz w:val="19"/>
          <w:szCs w:val="19"/>
        </w:rPr>
        <w:t>»</w:t>
      </w:r>
      <w:r w:rsidRPr="00404EFC">
        <w:rPr>
          <w:rFonts w:ascii="Arial" w:eastAsia="Times New Roman" w:hAnsi="Arial" w:cs="Arial"/>
          <w:sz w:val="19"/>
          <w:szCs w:val="19"/>
        </w:rPr>
        <w:t xml:space="preserve"> 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404EFC">
        <w:rPr>
          <w:rFonts w:ascii="Arial" w:eastAsia="Calibri" w:hAnsi="Arial" w:cs="Arial"/>
          <w:bCs/>
          <w:color w:val="000000"/>
          <w:sz w:val="19"/>
          <w:szCs w:val="19"/>
        </w:rPr>
        <w:t>»</w:t>
      </w:r>
      <w:r w:rsidRPr="00404EFC">
        <w:rPr>
          <w:rFonts w:ascii="Arial" w:eastAsia="Times New Roman" w:hAnsi="Arial" w:cs="Arial"/>
          <w:sz w:val="19"/>
          <w:szCs w:val="19"/>
        </w:rPr>
        <w:t>.</w:t>
      </w:r>
    </w:p>
  </w:footnote>
  <w:footnote w:id="9">
    <w:p w14:paraId="519D8201" w14:textId="77777777" w:rsidR="00134409" w:rsidRPr="00404EFC" w:rsidRDefault="00134409" w:rsidP="00404EFC">
      <w:pPr>
        <w:pStyle w:val="NormalWeb"/>
        <w:spacing w:before="0" w:beforeAutospacing="0" w:after="0" w:afterAutospacing="0" w:line="240" w:lineRule="auto"/>
        <w:ind w:firstLine="709"/>
        <w:contextualSpacing/>
        <w:rPr>
          <w:rFonts w:ascii="Arial" w:hAnsi="Arial" w:cs="Arial"/>
          <w:sz w:val="19"/>
          <w:szCs w:val="19"/>
        </w:rPr>
      </w:pPr>
    </w:p>
    <w:p w14:paraId="22914824" w14:textId="77777777" w:rsidR="00134409" w:rsidRPr="00404EFC" w:rsidRDefault="00134409" w:rsidP="00404EFC">
      <w:pPr>
        <w:pStyle w:val="NormalWeb"/>
        <w:spacing w:before="0" w:beforeAutospacing="0" w:after="0" w:afterAutospacing="0" w:line="240" w:lineRule="auto"/>
        <w:ind w:firstLine="709"/>
        <w:contextualSpacing/>
        <w:rPr>
          <w:rFonts w:ascii="Arial" w:hAnsi="Arial" w:cs="Arial"/>
          <w:sz w:val="19"/>
          <w:szCs w:val="19"/>
          <w:lang w:val="es-MX"/>
        </w:rPr>
      </w:pPr>
      <w:r w:rsidRPr="00404EFC">
        <w:rPr>
          <w:rStyle w:val="Refdenotaalpie"/>
          <w:rFonts w:ascii="Arial" w:hAnsi="Arial" w:cs="Arial"/>
          <w:sz w:val="19"/>
          <w:szCs w:val="19"/>
        </w:rPr>
        <w:footnoteRef/>
      </w:r>
      <w:r w:rsidRPr="00404EFC">
        <w:rPr>
          <w:rFonts w:ascii="Arial" w:hAnsi="Arial" w:cs="Arial"/>
          <w:sz w:val="19"/>
          <w:szCs w:val="19"/>
        </w:rPr>
        <w:t xml:space="preserve"> </w:t>
      </w:r>
      <w:bookmarkStart w:id="15" w:name="38"/>
      <w:r w:rsidRPr="00404EFC">
        <w:rPr>
          <w:rFonts w:ascii="Arial" w:eastAsia="Calibri" w:hAnsi="Arial" w:cs="Arial"/>
          <w:bCs/>
          <w:color w:val="000000"/>
          <w:sz w:val="19"/>
          <w:szCs w:val="19"/>
        </w:rPr>
        <w:t>«</w:t>
      </w:r>
      <w:r w:rsidRPr="00404EFC">
        <w:rPr>
          <w:rFonts w:ascii="Arial" w:hAnsi="Arial" w:cs="Arial"/>
          <w:sz w:val="19"/>
          <w:szCs w:val="19"/>
          <w:lang w:val="es-MX"/>
        </w:rPr>
        <w:t>Artículo 38. Prohibiciones para los servidores públicos. A los empleados del Estado les está prohibido:</w:t>
      </w:r>
      <w:bookmarkEnd w:id="15"/>
    </w:p>
    <w:p w14:paraId="3A895682" w14:textId="77777777" w:rsidR="00134409" w:rsidRPr="00404EFC" w:rsidRDefault="00134409" w:rsidP="00404EFC">
      <w:pPr>
        <w:pStyle w:val="NormalWeb"/>
        <w:spacing w:before="0" w:beforeAutospacing="0" w:after="0" w:afterAutospacing="0" w:line="240" w:lineRule="auto"/>
        <w:ind w:firstLine="709"/>
        <w:contextualSpacing/>
        <w:rPr>
          <w:rFonts w:ascii="Arial" w:hAnsi="Arial" w:cs="Arial"/>
          <w:sz w:val="19"/>
          <w:szCs w:val="19"/>
          <w:lang w:val="es-MX"/>
        </w:rPr>
      </w:pPr>
      <w:r w:rsidRPr="00404EFC">
        <w:rPr>
          <w:rFonts w:ascii="Arial" w:eastAsia="Calibri" w:hAnsi="Arial" w:cs="Arial"/>
          <w:bCs/>
          <w:color w:val="000000"/>
          <w:sz w:val="19"/>
          <w:szCs w:val="19"/>
        </w:rPr>
        <w:t>»</w:t>
      </w:r>
      <w:r w:rsidRPr="00404EFC">
        <w:rPr>
          <w:rFonts w:ascii="Arial" w:hAnsi="Arial" w:cs="Arial"/>
          <w:sz w:val="19"/>
          <w:szCs w:val="19"/>
          <w:lang w:val="es-MX"/>
        </w:rPr>
        <w:t xml:space="preserve"> […]</w:t>
      </w:r>
    </w:p>
    <w:p w14:paraId="41C8935E" w14:textId="5026DE3C" w:rsidR="00134409" w:rsidRDefault="00134409" w:rsidP="00404EFC">
      <w:pPr>
        <w:pStyle w:val="NormalWeb"/>
        <w:spacing w:before="0" w:beforeAutospacing="0" w:after="0" w:afterAutospacing="0" w:line="240" w:lineRule="auto"/>
        <w:ind w:firstLine="709"/>
        <w:contextualSpacing/>
        <w:rPr>
          <w:rFonts w:ascii="Arial" w:hAnsi="Arial" w:cs="Arial"/>
          <w:sz w:val="19"/>
          <w:szCs w:val="19"/>
          <w:lang w:val="es-MX"/>
        </w:rPr>
      </w:pPr>
      <w:r w:rsidRPr="00404EFC">
        <w:rPr>
          <w:rFonts w:ascii="Arial" w:eastAsia="Calibri" w:hAnsi="Arial" w:cs="Arial"/>
          <w:bCs/>
          <w:color w:val="000000"/>
          <w:sz w:val="19"/>
          <w:szCs w:val="19"/>
        </w:rPr>
        <w:t>»</w:t>
      </w:r>
      <w:r w:rsidRPr="00404EFC">
        <w:rPr>
          <w:rStyle w:val="baj"/>
          <w:rFonts w:ascii="Arial" w:hAnsi="Arial" w:cs="Arial"/>
          <w:sz w:val="19"/>
          <w:szCs w:val="19"/>
          <w:lang w:val="es-MX"/>
        </w:rPr>
        <w:t xml:space="preserve"> Parágrafo.</w:t>
      </w:r>
      <w:r w:rsidRPr="00404EFC">
        <w:rPr>
          <w:rFonts w:ascii="Arial" w:hAnsi="Arial" w:cs="Arial"/>
          <w:sz w:val="19"/>
          <w:szCs w:val="19"/>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404EFC">
        <w:rPr>
          <w:rFonts w:ascii="Arial" w:eastAsia="Calibri" w:hAnsi="Arial" w:cs="Arial"/>
          <w:bCs/>
          <w:color w:val="000000"/>
          <w:sz w:val="19"/>
          <w:szCs w:val="19"/>
        </w:rPr>
        <w:t>»</w:t>
      </w:r>
      <w:r w:rsidRPr="00404EFC">
        <w:rPr>
          <w:rFonts w:ascii="Arial" w:hAnsi="Arial" w:cs="Arial"/>
          <w:sz w:val="19"/>
          <w:szCs w:val="19"/>
          <w:lang w:val="es-MX"/>
        </w:rPr>
        <w:t>.</w:t>
      </w:r>
    </w:p>
    <w:p w14:paraId="7E2879F6" w14:textId="77777777" w:rsidR="00404EFC" w:rsidRPr="00404EFC" w:rsidRDefault="00404EFC" w:rsidP="00404EFC">
      <w:pPr>
        <w:pStyle w:val="NormalWeb"/>
        <w:spacing w:before="0" w:beforeAutospacing="0" w:after="0" w:afterAutospacing="0" w:line="240" w:lineRule="auto"/>
        <w:ind w:firstLine="709"/>
        <w:contextualSpacing/>
        <w:rPr>
          <w:rFonts w:ascii="Arial" w:hAnsi="Arial" w:cs="Arial"/>
          <w:sz w:val="19"/>
          <w:szCs w:val="19"/>
          <w:lang w:val="es-MX"/>
        </w:rPr>
      </w:pPr>
    </w:p>
  </w:footnote>
  <w:footnote w:id="10">
    <w:p w14:paraId="46CA4455" w14:textId="77777777" w:rsidR="00134409" w:rsidRPr="00404EFC" w:rsidRDefault="00134409" w:rsidP="00404EFC">
      <w:pPr>
        <w:spacing w:after="0" w:line="240" w:lineRule="auto"/>
        <w:ind w:left="100" w:right="244" w:firstLine="709"/>
        <w:contextualSpacing/>
        <w:jc w:val="both"/>
        <w:rPr>
          <w:rFonts w:ascii="Arial" w:hAnsi="Arial" w:cs="Arial"/>
          <w:sz w:val="19"/>
          <w:szCs w:val="19"/>
        </w:rPr>
      </w:pPr>
      <w:r w:rsidRPr="00404EFC">
        <w:rPr>
          <w:rStyle w:val="Refdenotaalpie"/>
          <w:rFonts w:ascii="Arial" w:hAnsi="Arial" w:cs="Arial"/>
          <w:sz w:val="19"/>
          <w:szCs w:val="19"/>
        </w:rPr>
        <w:footnoteRef/>
      </w:r>
      <w:r w:rsidRPr="00404EFC">
        <w:rPr>
          <w:rFonts w:ascii="Arial" w:hAnsi="Arial" w:cs="Arial"/>
          <w:sz w:val="19"/>
          <w:szCs w:val="19"/>
        </w:rPr>
        <w:t xml:space="preserve"> Consejo de Estado. Sala de Consulta y Servicio Civil. Concepto del 17 de febrero de 2015. C.P. William Zambrano Cetina. Radicación No. 11001-03-06-000-2015-00164-00(2269).</w:t>
      </w:r>
    </w:p>
    <w:p w14:paraId="58AC39C8" w14:textId="77777777" w:rsidR="00134409" w:rsidRPr="00404EFC" w:rsidRDefault="00134409" w:rsidP="00404EFC">
      <w:pPr>
        <w:spacing w:after="0" w:line="240" w:lineRule="auto"/>
        <w:ind w:left="100" w:right="244" w:firstLine="709"/>
        <w:contextualSpacing/>
        <w:jc w:val="both"/>
        <w:rPr>
          <w:rFonts w:ascii="Arial" w:hAnsi="Arial" w:cs="Arial"/>
          <w:sz w:val="19"/>
          <w:szCs w:val="19"/>
          <w:lang w:val="es-ES"/>
        </w:rPr>
      </w:pPr>
    </w:p>
  </w:footnote>
  <w:footnote w:id="11">
    <w:p w14:paraId="6231A3BE" w14:textId="77777777" w:rsidR="00134409" w:rsidRPr="00404EFC" w:rsidRDefault="00134409" w:rsidP="00404EFC">
      <w:pPr>
        <w:pStyle w:val="Textonotapie"/>
        <w:spacing w:after="0" w:line="240" w:lineRule="auto"/>
        <w:ind w:firstLine="709"/>
        <w:contextualSpacing/>
        <w:rPr>
          <w:rFonts w:ascii="Arial" w:hAnsi="Arial" w:cs="Arial"/>
          <w:sz w:val="19"/>
          <w:szCs w:val="19"/>
        </w:rPr>
      </w:pPr>
      <w:r w:rsidRPr="00404EFC">
        <w:rPr>
          <w:rStyle w:val="Refdenotaalpie"/>
          <w:rFonts w:ascii="Arial" w:hAnsi="Arial" w:cs="Arial"/>
          <w:sz w:val="19"/>
          <w:szCs w:val="19"/>
        </w:rPr>
        <w:footnoteRef/>
      </w:r>
      <w:r w:rsidRPr="00404EFC">
        <w:rPr>
          <w:rFonts w:ascii="Arial" w:hAnsi="Arial" w:cs="Arial"/>
          <w:sz w:val="19"/>
          <w:szCs w:val="19"/>
        </w:rPr>
        <w:t xml:space="preserve"> «</w:t>
      </w:r>
      <w:r w:rsidRPr="00404EFC">
        <w:rPr>
          <w:rFonts w:ascii="Arial" w:hAnsi="Arial" w:cs="Arial"/>
          <w:sz w:val="19"/>
          <w:szCs w:val="19"/>
          <w:lang w:val="es-ES"/>
        </w:rPr>
        <w:t xml:space="preserve">[25] </w:t>
      </w:r>
      <w:r w:rsidRPr="00404EFC">
        <w:rPr>
          <w:rFonts w:ascii="Arial" w:hAnsi="Arial" w:cs="Arial"/>
          <w:sz w:val="19"/>
          <w:szCs w:val="19"/>
        </w:rPr>
        <w:t>Cfr. Consejo de Estado. Sección Tercera. Sentencia de 3 de diciembre de 2007. Radicados: 24.715, 25.206, 25.409, 24.524, 27.834, 25.410, 26.105, 28.244, 31.447 -acumulados-».</w:t>
      </w:r>
    </w:p>
    <w:p w14:paraId="2563940E" w14:textId="77777777" w:rsidR="00134409" w:rsidRPr="00404EFC" w:rsidRDefault="00134409" w:rsidP="00404EFC">
      <w:pPr>
        <w:pStyle w:val="Textonotapie"/>
        <w:spacing w:after="0" w:line="240" w:lineRule="auto"/>
        <w:ind w:firstLine="709"/>
        <w:contextualSpacing/>
        <w:rPr>
          <w:rFonts w:ascii="Arial" w:hAnsi="Arial" w:cs="Arial"/>
          <w:sz w:val="19"/>
          <w:szCs w:val="19"/>
        </w:rPr>
      </w:pPr>
    </w:p>
  </w:footnote>
  <w:footnote w:id="12">
    <w:p w14:paraId="7833A35E" w14:textId="77777777" w:rsidR="00134409" w:rsidRPr="00404EFC" w:rsidRDefault="00134409" w:rsidP="00404EFC">
      <w:pPr>
        <w:pStyle w:val="Textonotapie"/>
        <w:spacing w:after="0" w:line="240" w:lineRule="auto"/>
        <w:ind w:firstLine="709"/>
        <w:contextualSpacing/>
        <w:rPr>
          <w:rFonts w:ascii="Arial" w:hAnsi="Arial" w:cs="Arial"/>
          <w:sz w:val="19"/>
          <w:szCs w:val="19"/>
        </w:rPr>
      </w:pPr>
      <w:r w:rsidRPr="00404EFC">
        <w:rPr>
          <w:rStyle w:val="Refdenotaalpie"/>
          <w:rFonts w:ascii="Arial" w:hAnsi="Arial" w:cs="Arial"/>
          <w:sz w:val="19"/>
          <w:szCs w:val="19"/>
        </w:rPr>
        <w:footnoteRef/>
      </w:r>
      <w:r w:rsidRPr="00404EFC">
        <w:rPr>
          <w:rFonts w:ascii="Arial" w:hAnsi="Arial" w:cs="Arial"/>
          <w:sz w:val="19"/>
          <w:szCs w:val="19"/>
        </w:rPr>
        <w:t xml:space="preserve"> «</w:t>
      </w:r>
      <w:r w:rsidRPr="00404EFC">
        <w:rPr>
          <w:rFonts w:ascii="Arial" w:hAnsi="Arial" w:cs="Arial"/>
          <w:sz w:val="19"/>
          <w:szCs w:val="19"/>
          <w:lang w:val="es-ES"/>
        </w:rPr>
        <w:t xml:space="preserve">[26] </w:t>
      </w:r>
      <w:r w:rsidRPr="00404EFC">
        <w:rPr>
          <w:rFonts w:ascii="Arial" w:hAnsi="Arial" w:cs="Arial"/>
          <w:sz w:val="19"/>
          <w:szCs w:val="19"/>
        </w:rPr>
        <w:t>Al respecto ver el concepto 1712 de 2 de febrero de 2006. Consejo de Estado Sala de Consulta y Servicio Civil».</w:t>
      </w:r>
    </w:p>
    <w:p w14:paraId="700F3585" w14:textId="77777777" w:rsidR="00134409" w:rsidRPr="00404EFC" w:rsidRDefault="00134409" w:rsidP="00404EFC">
      <w:pPr>
        <w:pStyle w:val="Textonotapie"/>
        <w:spacing w:after="0" w:line="240" w:lineRule="auto"/>
        <w:ind w:firstLine="709"/>
        <w:contextualSpacing/>
        <w:rPr>
          <w:rFonts w:ascii="Arial" w:hAnsi="Arial" w:cs="Arial"/>
          <w:sz w:val="19"/>
          <w:szCs w:val="19"/>
        </w:rPr>
      </w:pPr>
    </w:p>
  </w:footnote>
  <w:footnote w:id="13">
    <w:p w14:paraId="12853092" w14:textId="77777777" w:rsidR="00134409" w:rsidRPr="00404EFC" w:rsidRDefault="00134409" w:rsidP="00404EFC">
      <w:pPr>
        <w:pStyle w:val="Textonotapie"/>
        <w:spacing w:after="0" w:line="240" w:lineRule="auto"/>
        <w:ind w:firstLine="709"/>
        <w:contextualSpacing/>
        <w:rPr>
          <w:rFonts w:ascii="Arial" w:hAnsi="Arial" w:cs="Arial"/>
          <w:sz w:val="19"/>
          <w:szCs w:val="19"/>
        </w:rPr>
      </w:pPr>
      <w:r w:rsidRPr="00404EFC">
        <w:rPr>
          <w:rStyle w:val="Refdenotaalpie"/>
          <w:rFonts w:ascii="Arial" w:hAnsi="Arial" w:cs="Arial"/>
          <w:sz w:val="19"/>
          <w:szCs w:val="19"/>
        </w:rPr>
        <w:footnoteRef/>
      </w:r>
      <w:r w:rsidRPr="00404EFC">
        <w:rPr>
          <w:rFonts w:ascii="Arial" w:hAnsi="Arial" w:cs="Arial"/>
          <w:sz w:val="19"/>
          <w:szCs w:val="19"/>
        </w:rPr>
        <w:t xml:space="preserve"> Consejo de Estado. Sala de Consulta y Servicio Civil. Concepto del 2 de septiembre de 2013. Radicación número: 11001-03-06-000-2013-00412-00 (2168). Consejero Ponente: Álvaro </w:t>
      </w:r>
      <w:proofErr w:type="spellStart"/>
      <w:r w:rsidRPr="00404EFC">
        <w:rPr>
          <w:rFonts w:ascii="Arial" w:hAnsi="Arial" w:cs="Arial"/>
          <w:sz w:val="19"/>
          <w:szCs w:val="19"/>
        </w:rPr>
        <w:t>Namén</w:t>
      </w:r>
      <w:proofErr w:type="spellEnd"/>
      <w:r w:rsidRPr="00404EFC">
        <w:rPr>
          <w:rFonts w:ascii="Arial" w:hAnsi="Arial" w:cs="Arial"/>
          <w:sz w:val="19"/>
          <w:szCs w:val="19"/>
        </w:rPr>
        <w:t xml:space="preserve"> Vargas.</w:t>
      </w:r>
    </w:p>
  </w:footnote>
  <w:footnote w:id="14">
    <w:p w14:paraId="6FEC1A2B" w14:textId="77777777" w:rsidR="00F72FBD" w:rsidRPr="00404EFC" w:rsidRDefault="00F72FBD" w:rsidP="00404EFC">
      <w:pPr>
        <w:pStyle w:val="Textonotapie"/>
        <w:spacing w:after="0" w:line="240" w:lineRule="auto"/>
        <w:ind w:firstLine="709"/>
        <w:contextualSpacing/>
        <w:rPr>
          <w:rFonts w:ascii="Arial" w:hAnsi="Arial" w:cs="Arial"/>
          <w:sz w:val="19"/>
          <w:szCs w:val="19"/>
        </w:rPr>
      </w:pPr>
    </w:p>
    <w:p w14:paraId="1AA51141" w14:textId="464F6BEC" w:rsidR="00134409" w:rsidRPr="00404EFC" w:rsidRDefault="00134409" w:rsidP="00404EFC">
      <w:pPr>
        <w:pStyle w:val="Textonotapie"/>
        <w:spacing w:after="0" w:line="240" w:lineRule="auto"/>
        <w:ind w:firstLine="709"/>
        <w:contextualSpacing/>
        <w:rPr>
          <w:rFonts w:ascii="Arial" w:hAnsi="Arial" w:cs="Arial"/>
          <w:sz w:val="19"/>
          <w:szCs w:val="19"/>
          <w:lang w:val="es-ES"/>
        </w:rPr>
      </w:pPr>
      <w:r w:rsidRPr="00404EFC">
        <w:rPr>
          <w:rStyle w:val="Refdenotaalpie"/>
          <w:rFonts w:ascii="Arial" w:hAnsi="Arial" w:cs="Arial"/>
          <w:sz w:val="19"/>
          <w:szCs w:val="19"/>
        </w:rPr>
        <w:footnoteRef/>
      </w:r>
      <w:r w:rsidRPr="00404EFC">
        <w:rPr>
          <w:rFonts w:ascii="Arial" w:hAnsi="Arial" w:cs="Arial"/>
          <w:sz w:val="19"/>
          <w:szCs w:val="19"/>
        </w:rPr>
        <w:t xml:space="preserve"> </w:t>
      </w:r>
      <w:r w:rsidRPr="00404EFC">
        <w:rPr>
          <w:rFonts w:ascii="Arial" w:hAnsi="Arial" w:cs="Arial"/>
          <w:sz w:val="19"/>
          <w:szCs w:val="19"/>
          <w:lang w:val="es-ES"/>
        </w:rPr>
        <w:t xml:space="preserve">Artículo 2. </w:t>
      </w:r>
    </w:p>
    <w:p w14:paraId="4993B7A4" w14:textId="77777777" w:rsidR="00134409" w:rsidRPr="00404EFC" w:rsidRDefault="00134409" w:rsidP="00404EFC">
      <w:pPr>
        <w:pStyle w:val="Textonotapie"/>
        <w:spacing w:after="0" w:line="240" w:lineRule="auto"/>
        <w:ind w:firstLine="709"/>
        <w:contextualSpacing/>
        <w:rPr>
          <w:rFonts w:ascii="Arial" w:hAnsi="Arial" w:cs="Arial"/>
          <w:sz w:val="19"/>
          <w:szCs w:val="19"/>
          <w:lang w:val="es-ES"/>
        </w:rPr>
      </w:pPr>
    </w:p>
  </w:footnote>
  <w:footnote w:id="15">
    <w:p w14:paraId="42F8DDED" w14:textId="77777777" w:rsidR="00134409" w:rsidRPr="00404EFC" w:rsidRDefault="00134409" w:rsidP="00404EFC">
      <w:pPr>
        <w:pStyle w:val="Textonotapie"/>
        <w:spacing w:after="0" w:line="240" w:lineRule="auto"/>
        <w:ind w:firstLine="709"/>
        <w:contextualSpacing/>
        <w:rPr>
          <w:rFonts w:ascii="Arial" w:hAnsi="Arial" w:cs="Arial"/>
          <w:sz w:val="19"/>
          <w:szCs w:val="19"/>
          <w:lang w:val="es-ES"/>
        </w:rPr>
      </w:pPr>
      <w:r w:rsidRPr="00404EFC">
        <w:rPr>
          <w:rStyle w:val="Refdenotaalpie"/>
          <w:rFonts w:ascii="Arial" w:hAnsi="Arial" w:cs="Arial"/>
          <w:sz w:val="19"/>
          <w:szCs w:val="19"/>
        </w:rPr>
        <w:footnoteRef/>
      </w:r>
      <w:r w:rsidRPr="00404EFC">
        <w:rPr>
          <w:rFonts w:ascii="Arial" w:hAnsi="Arial" w:cs="Arial"/>
          <w:sz w:val="19"/>
          <w:szCs w:val="19"/>
        </w:rPr>
        <w:t xml:space="preserve"> </w:t>
      </w:r>
      <w:r w:rsidRPr="00404EFC">
        <w:rPr>
          <w:rFonts w:ascii="Arial" w:hAnsi="Arial" w:cs="Arial"/>
          <w:i/>
          <w:sz w:val="19"/>
          <w:szCs w:val="19"/>
          <w:lang w:val="es-ES"/>
        </w:rPr>
        <w:t>Ídem</w:t>
      </w:r>
      <w:r w:rsidRPr="00404EFC">
        <w:rPr>
          <w:rFonts w:ascii="Arial" w:hAnsi="Arial" w:cs="Arial"/>
          <w:sz w:val="19"/>
          <w:szCs w:val="19"/>
          <w:lang w:val="es-ES"/>
        </w:rPr>
        <w:t>.</w:t>
      </w:r>
    </w:p>
    <w:p w14:paraId="6066B4A6" w14:textId="77777777" w:rsidR="00134409" w:rsidRPr="00404EFC" w:rsidRDefault="00134409" w:rsidP="00404EFC">
      <w:pPr>
        <w:pStyle w:val="Textonotapie"/>
        <w:spacing w:after="0" w:line="240" w:lineRule="auto"/>
        <w:ind w:firstLine="709"/>
        <w:contextualSpacing/>
        <w:rPr>
          <w:rFonts w:ascii="Arial" w:hAnsi="Arial" w:cs="Arial"/>
          <w:sz w:val="19"/>
          <w:szCs w:val="19"/>
          <w:lang w:val="es-ES"/>
        </w:rPr>
      </w:pPr>
    </w:p>
  </w:footnote>
  <w:footnote w:id="16">
    <w:p w14:paraId="5F2D1F31" w14:textId="77777777" w:rsidR="00134409" w:rsidRPr="00404EFC" w:rsidRDefault="00134409" w:rsidP="00404EFC">
      <w:pPr>
        <w:pStyle w:val="Textonotapie"/>
        <w:spacing w:after="0" w:line="240" w:lineRule="auto"/>
        <w:ind w:firstLine="709"/>
        <w:contextualSpacing/>
        <w:rPr>
          <w:rFonts w:ascii="Arial" w:hAnsi="Arial" w:cs="Arial"/>
          <w:sz w:val="19"/>
          <w:szCs w:val="19"/>
          <w:lang w:val="es-ES"/>
        </w:rPr>
      </w:pPr>
      <w:r w:rsidRPr="00404EFC">
        <w:rPr>
          <w:rStyle w:val="Refdenotaalpie"/>
          <w:rFonts w:ascii="Arial" w:hAnsi="Arial" w:cs="Arial"/>
          <w:sz w:val="19"/>
          <w:szCs w:val="19"/>
        </w:rPr>
        <w:footnoteRef/>
      </w:r>
      <w:r w:rsidRPr="00404EFC">
        <w:rPr>
          <w:rStyle w:val="Refdenotaalpie"/>
          <w:rFonts w:ascii="Arial" w:hAnsi="Arial" w:cs="Arial"/>
          <w:sz w:val="19"/>
          <w:szCs w:val="19"/>
        </w:rPr>
        <w:t xml:space="preserve"> </w:t>
      </w:r>
      <w:r w:rsidRPr="00404EFC">
        <w:rPr>
          <w:rFonts w:ascii="Arial" w:hAnsi="Arial" w:cs="Arial"/>
          <w:sz w:val="19"/>
          <w:szCs w:val="19"/>
          <w:lang w:val="es-ES"/>
        </w:rPr>
        <w:t xml:space="preserve">«[…] A este respecto, cabe recordar que el artículo 860 del Código de Comercio regula la licitación en el derecho privado». </w:t>
      </w:r>
    </w:p>
    <w:p w14:paraId="6112814D" w14:textId="77777777" w:rsidR="00134409" w:rsidRPr="00404EFC" w:rsidRDefault="00134409" w:rsidP="00404EFC">
      <w:pPr>
        <w:pStyle w:val="Textonotapie"/>
        <w:spacing w:after="0" w:line="240" w:lineRule="auto"/>
        <w:ind w:firstLine="709"/>
        <w:contextualSpacing/>
        <w:rPr>
          <w:rFonts w:ascii="Arial" w:hAnsi="Arial" w:cs="Arial"/>
          <w:sz w:val="19"/>
          <w:szCs w:val="19"/>
          <w:lang w:val="es-ES"/>
        </w:rPr>
      </w:pPr>
    </w:p>
  </w:footnote>
  <w:footnote w:id="17">
    <w:p w14:paraId="1DF75365" w14:textId="77777777" w:rsidR="00134409" w:rsidRPr="00404EFC" w:rsidRDefault="00134409" w:rsidP="00404EFC">
      <w:pPr>
        <w:shd w:val="clear" w:color="auto" w:fill="FFFFFF"/>
        <w:spacing w:after="0" w:line="240" w:lineRule="auto"/>
        <w:ind w:firstLine="709"/>
        <w:contextualSpacing/>
        <w:jc w:val="both"/>
        <w:rPr>
          <w:rFonts w:ascii="Arial" w:hAnsi="Arial" w:cs="Arial"/>
          <w:sz w:val="19"/>
          <w:szCs w:val="19"/>
          <w:lang w:val="es-ES"/>
        </w:rPr>
      </w:pPr>
      <w:r w:rsidRPr="00404EFC">
        <w:rPr>
          <w:rStyle w:val="Refdenotaalpie"/>
          <w:rFonts w:ascii="Arial" w:hAnsi="Arial" w:cs="Arial"/>
          <w:sz w:val="19"/>
          <w:szCs w:val="19"/>
        </w:rPr>
        <w:footnoteRef/>
      </w:r>
      <w:r w:rsidRPr="00404EFC">
        <w:rPr>
          <w:rStyle w:val="Refdenotaalpie"/>
          <w:rFonts w:ascii="Arial" w:hAnsi="Arial" w:cs="Arial"/>
          <w:sz w:val="19"/>
          <w:szCs w:val="19"/>
        </w:rPr>
        <w:t xml:space="preserve"> </w:t>
      </w:r>
      <w:r w:rsidRPr="00404EFC">
        <w:rPr>
          <w:rFonts w:ascii="Arial" w:hAnsi="Arial" w:cs="Arial"/>
          <w:sz w:val="19"/>
          <w:szCs w:val="19"/>
          <w:lang w:val="es-ES"/>
        </w:rPr>
        <w:t xml:space="preserve">Consejo de Estado. Sala de Consulta y Servicio Civil, Concepto de 8 de mayo de 2018. Radicación Número: 11001-03-06-000-2018-00095-00(2382). Consejero Ponente: Álvaro </w:t>
      </w:r>
      <w:proofErr w:type="spellStart"/>
      <w:r w:rsidRPr="00404EFC">
        <w:rPr>
          <w:rFonts w:ascii="Arial" w:hAnsi="Arial" w:cs="Arial"/>
          <w:sz w:val="19"/>
          <w:szCs w:val="19"/>
          <w:lang w:val="es-ES"/>
        </w:rPr>
        <w:t>Namén</w:t>
      </w:r>
      <w:proofErr w:type="spellEnd"/>
      <w:r w:rsidRPr="00404EFC">
        <w:rPr>
          <w:rFonts w:ascii="Arial" w:hAnsi="Arial" w:cs="Arial"/>
          <w:sz w:val="19"/>
          <w:szCs w:val="19"/>
          <w:lang w:val="es-ES"/>
        </w:rPr>
        <w:t xml:space="preserve"> Vargas.</w:t>
      </w:r>
    </w:p>
    <w:p w14:paraId="34471D2A" w14:textId="77777777" w:rsidR="00134409" w:rsidRPr="00404EFC" w:rsidRDefault="00134409" w:rsidP="00404EFC">
      <w:pPr>
        <w:shd w:val="clear" w:color="auto" w:fill="FFFFFF"/>
        <w:spacing w:after="0" w:line="240" w:lineRule="auto"/>
        <w:ind w:firstLine="709"/>
        <w:contextualSpacing/>
        <w:jc w:val="both"/>
        <w:rPr>
          <w:rFonts w:ascii="Arial" w:hAnsi="Arial" w:cs="Arial"/>
          <w:sz w:val="19"/>
          <w:szCs w:val="19"/>
          <w:lang w:val="es-ES"/>
        </w:rPr>
      </w:pPr>
    </w:p>
  </w:footnote>
  <w:footnote w:id="18">
    <w:p w14:paraId="27369513" w14:textId="77777777" w:rsidR="00134409" w:rsidRPr="00404EFC" w:rsidRDefault="00134409" w:rsidP="00404EFC">
      <w:pPr>
        <w:pStyle w:val="Textonotapie"/>
        <w:spacing w:after="0" w:line="240" w:lineRule="auto"/>
        <w:ind w:firstLine="709"/>
        <w:contextualSpacing/>
        <w:rPr>
          <w:rFonts w:ascii="Arial" w:hAnsi="Arial" w:cs="Arial"/>
          <w:sz w:val="19"/>
          <w:szCs w:val="19"/>
        </w:rPr>
      </w:pPr>
      <w:r w:rsidRPr="00404EFC">
        <w:rPr>
          <w:rStyle w:val="Refdenotaalpie"/>
          <w:rFonts w:ascii="Arial" w:hAnsi="Arial" w:cs="Arial"/>
          <w:sz w:val="19"/>
          <w:szCs w:val="19"/>
        </w:rPr>
        <w:footnoteRef/>
      </w:r>
      <w:r w:rsidRPr="00404EFC">
        <w:rPr>
          <w:rFonts w:ascii="Arial" w:hAnsi="Arial" w:cs="Arial"/>
          <w:sz w:val="19"/>
          <w:szCs w:val="19"/>
        </w:rPr>
        <w:t xml:space="preserve"> Consejo de Estado. Sala de Consulta y Servicio Civil. Concepto del 08 de mayo de 2018. </w:t>
      </w:r>
      <w:proofErr w:type="spellStart"/>
      <w:r w:rsidRPr="00404EFC">
        <w:rPr>
          <w:rFonts w:ascii="Arial" w:hAnsi="Arial" w:cs="Arial"/>
          <w:sz w:val="19"/>
          <w:szCs w:val="19"/>
        </w:rPr>
        <w:t>Exp</w:t>
      </w:r>
      <w:proofErr w:type="spellEnd"/>
      <w:r w:rsidRPr="00404EFC">
        <w:rPr>
          <w:rFonts w:ascii="Arial" w:hAnsi="Arial" w:cs="Arial"/>
          <w:sz w:val="19"/>
          <w:szCs w:val="19"/>
        </w:rPr>
        <w:t xml:space="preserve">. 2.382. C.P. Álvaro </w:t>
      </w:r>
      <w:proofErr w:type="spellStart"/>
      <w:r w:rsidRPr="00404EFC">
        <w:rPr>
          <w:rFonts w:ascii="Arial" w:hAnsi="Arial" w:cs="Arial"/>
          <w:sz w:val="19"/>
          <w:szCs w:val="19"/>
        </w:rPr>
        <w:t>Namén</w:t>
      </w:r>
      <w:proofErr w:type="spellEnd"/>
      <w:r w:rsidRPr="00404EFC">
        <w:rPr>
          <w:rFonts w:ascii="Arial" w:hAnsi="Arial" w:cs="Arial"/>
          <w:sz w:val="19"/>
          <w:szCs w:val="19"/>
        </w:rPr>
        <w:t xml:space="preserve"> Vargas.</w:t>
      </w:r>
    </w:p>
    <w:p w14:paraId="7401B1F2" w14:textId="77777777" w:rsidR="00134409" w:rsidRPr="00404EFC" w:rsidRDefault="00134409" w:rsidP="00404EFC">
      <w:pPr>
        <w:pStyle w:val="Textonotapie"/>
        <w:spacing w:after="0" w:line="240" w:lineRule="auto"/>
        <w:contextualSpacing/>
        <w:rPr>
          <w:rFonts w:ascii="Arial" w:hAnsi="Arial" w:cs="Arial"/>
          <w:sz w:val="19"/>
          <w:szCs w:val="19"/>
        </w:rPr>
      </w:pPr>
    </w:p>
  </w:footnote>
  <w:footnote w:id="19">
    <w:p w14:paraId="00148C07" w14:textId="77777777" w:rsidR="00134409" w:rsidRPr="00404EFC" w:rsidRDefault="00134409" w:rsidP="00404EFC">
      <w:pPr>
        <w:pStyle w:val="Textonotapie"/>
        <w:spacing w:after="0" w:line="240" w:lineRule="auto"/>
        <w:ind w:firstLine="709"/>
        <w:contextualSpacing/>
        <w:rPr>
          <w:rFonts w:ascii="Arial" w:hAnsi="Arial" w:cs="Arial"/>
          <w:sz w:val="19"/>
          <w:szCs w:val="19"/>
        </w:rPr>
      </w:pPr>
      <w:r w:rsidRPr="00404EFC">
        <w:rPr>
          <w:rStyle w:val="Refdenotaalpie"/>
          <w:rFonts w:ascii="Arial" w:hAnsi="Arial" w:cs="Arial"/>
          <w:sz w:val="19"/>
          <w:szCs w:val="19"/>
        </w:rPr>
        <w:footnoteRef/>
      </w:r>
      <w:r w:rsidRPr="00404EFC">
        <w:rPr>
          <w:rFonts w:ascii="Arial" w:hAnsi="Arial" w:cs="Arial"/>
          <w:sz w:val="19"/>
          <w:szCs w:val="19"/>
        </w:rPr>
        <w:t xml:space="preserve"> Cfr. Concepto C-757 del 30 de diciembre de 2021.</w:t>
      </w:r>
    </w:p>
    <w:p w14:paraId="2F4C8671" w14:textId="77777777" w:rsidR="00134409" w:rsidRPr="00404EFC" w:rsidRDefault="00134409" w:rsidP="00404EFC">
      <w:pPr>
        <w:pStyle w:val="Textonotapie"/>
        <w:spacing w:after="0" w:line="240" w:lineRule="auto"/>
        <w:ind w:firstLine="709"/>
        <w:contextualSpacing/>
        <w:rPr>
          <w:rFonts w:ascii="Arial" w:hAnsi="Arial" w:cs="Arial"/>
          <w:sz w:val="19"/>
          <w:szCs w:val="19"/>
        </w:rPr>
      </w:pPr>
    </w:p>
  </w:footnote>
  <w:footnote w:id="20">
    <w:p w14:paraId="25CE62BD" w14:textId="77777777" w:rsidR="00134409" w:rsidRPr="00404EFC" w:rsidRDefault="00134409" w:rsidP="00404EFC">
      <w:pPr>
        <w:pStyle w:val="Textonotapie"/>
        <w:spacing w:after="0" w:line="240" w:lineRule="auto"/>
        <w:ind w:firstLine="709"/>
        <w:contextualSpacing/>
        <w:rPr>
          <w:rFonts w:ascii="Arial" w:hAnsi="Arial" w:cs="Arial"/>
          <w:sz w:val="19"/>
          <w:szCs w:val="19"/>
        </w:rPr>
      </w:pPr>
      <w:r w:rsidRPr="00404EFC">
        <w:rPr>
          <w:rStyle w:val="Refdenotaalpie"/>
          <w:rFonts w:ascii="Arial" w:hAnsi="Arial" w:cs="Arial"/>
          <w:sz w:val="19"/>
          <w:szCs w:val="19"/>
        </w:rPr>
        <w:footnoteRef/>
      </w:r>
      <w:r w:rsidRPr="00404EFC">
        <w:rPr>
          <w:rFonts w:ascii="Arial" w:hAnsi="Arial" w:cs="Arial"/>
          <w:sz w:val="19"/>
          <w:szCs w:val="19"/>
        </w:rPr>
        <w:t xml:space="preserve"> La Corte Constitucional mediante Sentencia C-1153-05 de 11 de noviembre de 2005, Magistrado Ponente Marco Gerardo Monroy Cabra, efectuó el Control constitucional al Proyecto de Ley Estatutaria </w:t>
      </w:r>
      <w:proofErr w:type="spellStart"/>
      <w:r w:rsidRPr="00404EFC">
        <w:rPr>
          <w:rFonts w:ascii="Arial" w:hAnsi="Arial" w:cs="Arial"/>
          <w:sz w:val="19"/>
          <w:szCs w:val="19"/>
        </w:rPr>
        <w:t>N°</w:t>
      </w:r>
      <w:proofErr w:type="spellEnd"/>
      <w:r w:rsidRPr="00404EFC">
        <w:rPr>
          <w:rFonts w:ascii="Arial" w:hAnsi="Arial" w:cs="Arial"/>
          <w:sz w:val="19"/>
          <w:szCs w:val="19"/>
        </w:rPr>
        <w:t xml:space="preserve"> 216/05 Senado, </w:t>
      </w:r>
      <w:proofErr w:type="spellStart"/>
      <w:r w:rsidRPr="00404EFC">
        <w:rPr>
          <w:rFonts w:ascii="Arial" w:hAnsi="Arial" w:cs="Arial"/>
          <w:sz w:val="19"/>
          <w:szCs w:val="19"/>
        </w:rPr>
        <w:t>N°</w:t>
      </w:r>
      <w:proofErr w:type="spellEnd"/>
      <w:r w:rsidRPr="00404EFC">
        <w:rPr>
          <w:rFonts w:ascii="Arial" w:hAnsi="Arial" w:cs="Arial"/>
          <w:sz w:val="19"/>
          <w:szCs w:val="19"/>
        </w:rPr>
        <w:t xml:space="preserve"> 235-Cámara que dio lugar a la Ley de Garantías Electorales.</w:t>
      </w:r>
    </w:p>
    <w:p w14:paraId="79AEAAEC" w14:textId="77777777" w:rsidR="00134409" w:rsidRPr="00404EFC" w:rsidRDefault="00134409" w:rsidP="00404EFC">
      <w:pPr>
        <w:pStyle w:val="Textonotapie"/>
        <w:spacing w:after="0" w:line="240" w:lineRule="auto"/>
        <w:ind w:firstLine="709"/>
        <w:contextualSpacing/>
        <w:rPr>
          <w:rFonts w:ascii="Arial" w:hAnsi="Arial" w:cs="Arial"/>
          <w:sz w:val="19"/>
          <w:szCs w:val="19"/>
        </w:rPr>
      </w:pPr>
    </w:p>
  </w:footnote>
  <w:footnote w:id="21">
    <w:p w14:paraId="3CE01DC4" w14:textId="77777777" w:rsidR="00134409" w:rsidRPr="00404EFC" w:rsidRDefault="00134409" w:rsidP="00404EFC">
      <w:pPr>
        <w:spacing w:after="0" w:line="240" w:lineRule="auto"/>
        <w:ind w:firstLine="709"/>
        <w:contextualSpacing/>
        <w:jc w:val="both"/>
        <w:rPr>
          <w:rFonts w:ascii="Arial" w:hAnsi="Arial" w:cs="Arial"/>
          <w:sz w:val="19"/>
          <w:szCs w:val="19"/>
        </w:rPr>
      </w:pPr>
      <w:r w:rsidRPr="00404EFC">
        <w:rPr>
          <w:rStyle w:val="Refdenotaalpie"/>
          <w:rFonts w:ascii="Arial" w:hAnsi="Arial" w:cs="Arial"/>
          <w:sz w:val="19"/>
          <w:szCs w:val="19"/>
        </w:rPr>
        <w:footnoteRef/>
      </w:r>
      <w:r w:rsidRPr="00404EFC">
        <w:rPr>
          <w:rFonts w:ascii="Arial" w:hAnsi="Arial" w:cs="Arial"/>
          <w:sz w:val="19"/>
          <w:szCs w:val="19"/>
        </w:rPr>
        <w:t xml:space="preserve"> Consejo de Estado. Sala de Consulta y Servicio Civil. Concepto de 20 de febrero de 2006. Radicación Número: 11001-03-06-000-2006-00026-00(1727). Consejero Ponente: Enrique José Arboleda Perdomo. Conceptuó que para las entidades que contratan por el derecho privado, estaba prohibida la contratación diferente de la licitación pública regulada por el código de comercio, criterio que luego se extendió para aquellos procesos que, en algunos sistemas de contratación utilizados por entidades públicas con regímenes especiales y establecidos en sus manuales de contratación, utilicen convocatoria de manera pública y se permita la participación de una pluralidad de oferentes.</w:t>
      </w:r>
    </w:p>
    <w:p w14:paraId="7CE2AFC2" w14:textId="77777777" w:rsidR="00134409" w:rsidRPr="00404EFC" w:rsidRDefault="00134409" w:rsidP="00404EFC">
      <w:pPr>
        <w:spacing w:after="0" w:line="240" w:lineRule="auto"/>
        <w:ind w:firstLine="709"/>
        <w:contextualSpacing/>
        <w:jc w:val="both"/>
        <w:rPr>
          <w:rFonts w:ascii="Arial" w:hAnsi="Arial" w:cs="Arial"/>
          <w:sz w:val="19"/>
          <w:szCs w:val="19"/>
        </w:rPr>
      </w:pPr>
    </w:p>
  </w:footnote>
  <w:footnote w:id="22">
    <w:p w14:paraId="6BA453D2" w14:textId="31F0D697" w:rsidR="00BC2C80" w:rsidRPr="00404EFC" w:rsidRDefault="00BC2C80" w:rsidP="00404EFC">
      <w:pPr>
        <w:pStyle w:val="Textonotapie"/>
        <w:spacing w:after="0" w:line="240" w:lineRule="auto"/>
        <w:ind w:firstLine="708"/>
        <w:contextualSpacing/>
        <w:rPr>
          <w:rFonts w:ascii="Arial" w:hAnsi="Arial" w:cs="Arial"/>
          <w:sz w:val="19"/>
          <w:szCs w:val="19"/>
        </w:rPr>
      </w:pPr>
      <w:r w:rsidRPr="00404EFC">
        <w:rPr>
          <w:rStyle w:val="Refdenotaalpie"/>
          <w:rFonts w:ascii="Arial" w:hAnsi="Arial" w:cs="Arial"/>
          <w:sz w:val="19"/>
          <w:szCs w:val="19"/>
        </w:rPr>
        <w:footnoteRef/>
      </w:r>
      <w:r w:rsidRPr="00404EFC">
        <w:rPr>
          <w:rFonts w:ascii="Arial" w:hAnsi="Arial" w:cs="Arial"/>
          <w:sz w:val="19"/>
          <w:szCs w:val="19"/>
        </w:rPr>
        <w:t xml:space="preserve"> </w:t>
      </w:r>
      <w:r w:rsidR="004E1FFE" w:rsidRPr="00404EFC">
        <w:rPr>
          <w:rFonts w:ascii="Arial" w:hAnsi="Arial" w:cs="Arial"/>
          <w:sz w:val="19"/>
          <w:szCs w:val="19"/>
        </w:rPr>
        <w:t xml:space="preserve">Constitución Política de Colombia </w:t>
      </w:r>
      <w:r w:rsidRPr="00404EFC">
        <w:rPr>
          <w:rFonts w:ascii="Arial" w:hAnsi="Arial" w:cs="Arial"/>
          <w:sz w:val="19"/>
          <w:szCs w:val="19"/>
        </w:rPr>
        <w:t>«</w:t>
      </w:r>
      <w:r w:rsidRPr="00404EFC">
        <w:rPr>
          <w:rStyle w:val="Textoennegrita"/>
          <w:rFonts w:ascii="Arial" w:hAnsi="Arial" w:cs="Arial"/>
          <w:b w:val="0"/>
          <w:bCs w:val="0"/>
          <w:color w:val="000000"/>
          <w:sz w:val="19"/>
          <w:szCs w:val="19"/>
        </w:rPr>
        <w:t>Artículo 118.</w:t>
      </w:r>
      <w:r w:rsidRPr="00404EFC">
        <w:rPr>
          <w:rFonts w:ascii="Arial" w:hAnsi="Arial" w:cs="Arial"/>
          <w:color w:val="000000"/>
          <w:sz w:val="19"/>
          <w:szCs w:val="19"/>
        </w:rPr>
        <w:t> El Ministerio Público será ejercido por el Procurador General de la Nación, por el Defensor del Pueblo, por los procuradores delegados y los agentes del ministerio público, ante las autoridades jurisdiccionales, por los personeros municipales y por los demás funcionarios que determine la ley. Al Ministerio Público corresponde la guarda y promoción de los derechos humanos, la protección del interés público y la vigilancia de la conducta oficial de quienes desempeñan funciones públicas»</w:t>
      </w:r>
      <w:r w:rsidRPr="00404EFC">
        <w:rPr>
          <w:rFonts w:ascii="Arial" w:hAnsi="Arial" w:cs="Arial"/>
          <w:sz w:val="19"/>
          <w:szCs w:val="19"/>
        </w:rPr>
        <w:t>.</w:t>
      </w:r>
    </w:p>
    <w:p w14:paraId="257E7EEA" w14:textId="77777777" w:rsidR="00145B65" w:rsidRPr="00404EFC" w:rsidRDefault="00145B65" w:rsidP="00404EFC">
      <w:pPr>
        <w:pStyle w:val="Textonotapie"/>
        <w:spacing w:after="0" w:line="240" w:lineRule="auto"/>
        <w:ind w:firstLine="708"/>
        <w:contextualSpacing/>
        <w:rPr>
          <w:rFonts w:ascii="Arial" w:hAnsi="Arial" w:cs="Arial"/>
          <w:sz w:val="19"/>
          <w:szCs w:val="19"/>
        </w:rPr>
      </w:pPr>
    </w:p>
  </w:footnote>
  <w:footnote w:id="23">
    <w:p w14:paraId="7DF9F016" w14:textId="77777777" w:rsidR="00112554" w:rsidRPr="00404EFC" w:rsidRDefault="00112554" w:rsidP="00404EFC">
      <w:pPr>
        <w:spacing w:after="0" w:line="240" w:lineRule="auto"/>
        <w:ind w:firstLine="708"/>
        <w:contextualSpacing/>
        <w:jc w:val="both"/>
        <w:rPr>
          <w:rFonts w:ascii="Arial" w:hAnsi="Arial" w:cs="Arial"/>
          <w:color w:val="000000" w:themeColor="text1"/>
          <w:sz w:val="19"/>
          <w:szCs w:val="19"/>
          <w:lang w:val="es-ES_tradnl"/>
        </w:rPr>
      </w:pPr>
      <w:r w:rsidRPr="00404EFC">
        <w:rPr>
          <w:rStyle w:val="Refdenotaalpie"/>
          <w:rFonts w:ascii="Arial" w:hAnsi="Arial" w:cs="Arial"/>
          <w:sz w:val="19"/>
          <w:szCs w:val="19"/>
        </w:rPr>
        <w:footnoteRef/>
      </w:r>
      <w:r w:rsidRPr="00404EFC">
        <w:rPr>
          <w:rFonts w:ascii="Arial" w:hAnsi="Arial" w:cs="Arial"/>
          <w:sz w:val="19"/>
          <w:szCs w:val="19"/>
        </w:rPr>
        <w:t xml:space="preserve"> </w:t>
      </w:r>
      <w:r w:rsidRPr="00404EFC">
        <w:rPr>
          <w:rFonts w:ascii="Arial" w:hAnsi="Arial" w:cs="Arial"/>
          <w:color w:val="000000" w:themeColor="text1"/>
          <w:sz w:val="19"/>
          <w:szCs w:val="19"/>
          <w:lang w:val="es-ES_tradnl"/>
        </w:rPr>
        <w:t>Así lo prevé el artículo 2, numeral 4º, literal h) de la Ley 1150 de 2007, que dispone:</w:t>
      </w:r>
    </w:p>
    <w:p w14:paraId="787C8362" w14:textId="77777777" w:rsidR="00112554" w:rsidRPr="00404EFC" w:rsidRDefault="00112554" w:rsidP="00404EFC">
      <w:pPr>
        <w:spacing w:after="0" w:line="240" w:lineRule="auto"/>
        <w:contextualSpacing/>
        <w:jc w:val="both"/>
        <w:rPr>
          <w:rFonts w:ascii="Arial" w:eastAsia="Calibri" w:hAnsi="Arial" w:cs="Arial"/>
          <w:color w:val="000000" w:themeColor="text1"/>
          <w:sz w:val="19"/>
          <w:szCs w:val="19"/>
          <w:lang w:val="es-ES_tradnl"/>
        </w:rPr>
      </w:pPr>
      <w:r w:rsidRPr="00404EFC">
        <w:rPr>
          <w:rFonts w:ascii="Arial" w:hAnsi="Arial" w:cs="Arial"/>
          <w:color w:val="000000" w:themeColor="text1"/>
          <w:sz w:val="19"/>
          <w:szCs w:val="19"/>
          <w:lang w:val="es-ES_tradnl"/>
        </w:rPr>
        <w:tab/>
        <w:t>«</w:t>
      </w:r>
      <w:r w:rsidRPr="00404EFC">
        <w:rPr>
          <w:rFonts w:ascii="Arial" w:eastAsia="Calibri" w:hAnsi="Arial" w:cs="Arial"/>
          <w:color w:val="000000" w:themeColor="text1"/>
          <w:sz w:val="19"/>
          <w:szCs w:val="19"/>
          <w:lang w:val="es-ES_tradnl"/>
        </w:rPr>
        <w:t>[…]</w:t>
      </w:r>
    </w:p>
    <w:p w14:paraId="5BC94F7F" w14:textId="77777777" w:rsidR="00112554" w:rsidRPr="00404EFC" w:rsidRDefault="00112554" w:rsidP="00404EFC">
      <w:pPr>
        <w:spacing w:after="0" w:line="240" w:lineRule="auto"/>
        <w:ind w:firstLine="708"/>
        <w:contextualSpacing/>
        <w:jc w:val="both"/>
        <w:rPr>
          <w:rFonts w:ascii="Arial" w:eastAsia="Calibri" w:hAnsi="Arial" w:cs="Arial"/>
          <w:color w:val="000000" w:themeColor="text1"/>
          <w:sz w:val="19"/>
          <w:szCs w:val="19"/>
          <w:lang w:val="es-ES_tradnl"/>
        </w:rPr>
      </w:pPr>
      <w:proofErr w:type="gramStart"/>
      <w:r w:rsidRPr="00404EFC">
        <w:rPr>
          <w:rFonts w:ascii="Arial" w:eastAsia="Calibri" w:hAnsi="Arial" w:cs="Arial"/>
          <w:color w:val="000000" w:themeColor="text1"/>
          <w:sz w:val="19"/>
          <w:szCs w:val="19"/>
          <w:lang w:val="es-ES_tradnl"/>
        </w:rPr>
        <w:t>»Contratación</w:t>
      </w:r>
      <w:proofErr w:type="gramEnd"/>
      <w:r w:rsidRPr="00404EFC">
        <w:rPr>
          <w:rFonts w:ascii="Arial" w:eastAsia="Calibri" w:hAnsi="Arial" w:cs="Arial"/>
          <w:color w:val="000000" w:themeColor="text1"/>
          <w:sz w:val="19"/>
          <w:szCs w:val="19"/>
          <w:lang w:val="es-ES_tradnl"/>
        </w:rPr>
        <w:t xml:space="preserve"> directa. La modalidad de selección de contratación </w:t>
      </w:r>
      <w:proofErr w:type="gramStart"/>
      <w:r w:rsidRPr="00404EFC">
        <w:rPr>
          <w:rFonts w:ascii="Arial" w:eastAsia="Calibri" w:hAnsi="Arial" w:cs="Arial"/>
          <w:color w:val="000000" w:themeColor="text1"/>
          <w:sz w:val="19"/>
          <w:szCs w:val="19"/>
          <w:lang w:val="es-ES_tradnl"/>
        </w:rPr>
        <w:t>directa,</w:t>
      </w:r>
      <w:proofErr w:type="gramEnd"/>
      <w:r w:rsidRPr="00404EFC">
        <w:rPr>
          <w:rFonts w:ascii="Arial" w:eastAsia="Calibri" w:hAnsi="Arial" w:cs="Arial"/>
          <w:color w:val="000000" w:themeColor="text1"/>
          <w:sz w:val="19"/>
          <w:szCs w:val="19"/>
          <w:lang w:val="es-ES_tradnl"/>
        </w:rPr>
        <w:t xml:space="preserve"> solamente procederá en los siguientes casos:</w:t>
      </w:r>
    </w:p>
    <w:p w14:paraId="54FB8F94" w14:textId="77777777" w:rsidR="00112554" w:rsidRPr="00404EFC" w:rsidRDefault="00112554" w:rsidP="00404EFC">
      <w:pPr>
        <w:spacing w:after="0" w:line="240" w:lineRule="auto"/>
        <w:contextualSpacing/>
        <w:jc w:val="both"/>
        <w:rPr>
          <w:rFonts w:ascii="Arial" w:eastAsia="Calibri" w:hAnsi="Arial" w:cs="Arial"/>
          <w:color w:val="000000" w:themeColor="text1"/>
          <w:sz w:val="19"/>
          <w:szCs w:val="19"/>
          <w:lang w:val="es-ES_tradnl"/>
        </w:rPr>
      </w:pPr>
      <w:r w:rsidRPr="00404EFC">
        <w:rPr>
          <w:rFonts w:ascii="Arial" w:eastAsia="Calibri" w:hAnsi="Arial" w:cs="Arial"/>
          <w:color w:val="000000" w:themeColor="text1"/>
          <w:sz w:val="19"/>
          <w:szCs w:val="19"/>
          <w:lang w:val="es-ES_tradnl"/>
        </w:rPr>
        <w:tab/>
        <w:t>[…]</w:t>
      </w:r>
    </w:p>
    <w:p w14:paraId="51C015CE" w14:textId="77777777" w:rsidR="00112554" w:rsidRPr="00404EFC" w:rsidRDefault="00112554" w:rsidP="00404EFC">
      <w:pPr>
        <w:spacing w:after="0" w:line="240" w:lineRule="auto"/>
        <w:ind w:firstLine="708"/>
        <w:contextualSpacing/>
        <w:jc w:val="both"/>
        <w:rPr>
          <w:rFonts w:ascii="Arial" w:eastAsia="Calibri" w:hAnsi="Arial" w:cs="Arial"/>
          <w:color w:val="000000" w:themeColor="text1"/>
          <w:sz w:val="19"/>
          <w:szCs w:val="19"/>
          <w:lang w:val="es-ES_tradnl"/>
        </w:rPr>
      </w:pPr>
      <w:r w:rsidRPr="00404EFC">
        <w:rPr>
          <w:rFonts w:ascii="Arial" w:eastAsia="Calibri" w:hAnsi="Arial" w:cs="Arial"/>
          <w:color w:val="000000" w:themeColor="text1"/>
          <w:sz w:val="19"/>
          <w:szCs w:val="19"/>
          <w:lang w:val="es-ES_tradnl"/>
        </w:rPr>
        <w:t>»h) Para la prestación de servicios profesionales y de apoyo a la gestión, o para la ejecución de trabajos artísticos que sólo puedan encomendarse a determinadas personas naturales;»</w:t>
      </w:r>
    </w:p>
    <w:p w14:paraId="51114F09" w14:textId="77777777" w:rsidR="00112554" w:rsidRPr="00404EFC" w:rsidRDefault="00112554" w:rsidP="00404EFC">
      <w:pPr>
        <w:pStyle w:val="Textonotapie"/>
        <w:spacing w:after="0" w:line="240" w:lineRule="auto"/>
        <w:contextualSpacing/>
        <w:rPr>
          <w:rFonts w:ascii="Arial" w:hAnsi="Arial" w:cs="Arial"/>
          <w:sz w:val="19"/>
          <w:szCs w:val="19"/>
          <w:lang w:val="es-ES_tradnl"/>
        </w:rPr>
      </w:pPr>
    </w:p>
  </w:footnote>
  <w:footnote w:id="24">
    <w:p w14:paraId="7409DEA5" w14:textId="36EFCB7A" w:rsidR="00B7096A" w:rsidRPr="00404EFC" w:rsidRDefault="00B7096A" w:rsidP="00404EFC">
      <w:pPr>
        <w:spacing w:after="0" w:line="240" w:lineRule="auto"/>
        <w:ind w:firstLine="708"/>
        <w:contextualSpacing/>
        <w:jc w:val="both"/>
        <w:rPr>
          <w:rFonts w:ascii="Arial" w:eastAsia="Calibri" w:hAnsi="Arial" w:cs="Arial"/>
          <w:color w:val="000000" w:themeColor="text1"/>
          <w:sz w:val="19"/>
          <w:szCs w:val="19"/>
          <w:lang w:val="es-ES_tradnl"/>
        </w:rPr>
      </w:pPr>
      <w:r w:rsidRPr="00404EFC">
        <w:rPr>
          <w:rFonts w:ascii="Arial" w:eastAsia="Calibri" w:hAnsi="Arial" w:cs="Arial"/>
          <w:color w:val="000000" w:themeColor="text1"/>
          <w:sz w:val="19"/>
          <w:szCs w:val="19"/>
          <w:vertAlign w:val="superscript"/>
          <w:lang w:val="es-ES_tradnl"/>
        </w:rPr>
        <w:footnoteRef/>
      </w:r>
      <w:r w:rsidRPr="00404EFC">
        <w:rPr>
          <w:rFonts w:ascii="Arial" w:eastAsia="Calibri" w:hAnsi="Arial" w:cs="Arial"/>
          <w:color w:val="000000" w:themeColor="text1"/>
          <w:sz w:val="19"/>
          <w:szCs w:val="19"/>
          <w:lang w:val="es-ES_tradnl"/>
        </w:rPr>
        <w:t xml:space="preserve"> </w:t>
      </w:r>
      <w:r w:rsidR="00BA560E" w:rsidRPr="00404EFC">
        <w:rPr>
          <w:rFonts w:ascii="Arial" w:hAnsi="Arial" w:cs="Arial"/>
          <w:color w:val="000000" w:themeColor="text1"/>
          <w:sz w:val="19"/>
          <w:szCs w:val="19"/>
          <w:lang w:val="es-ES_tradnl"/>
        </w:rPr>
        <w:t>«</w:t>
      </w:r>
      <w:r w:rsidR="00BA560E" w:rsidRPr="00404EFC">
        <w:rPr>
          <w:rFonts w:ascii="Arial" w:eastAsia="Calibri" w:hAnsi="Arial" w:cs="Arial"/>
          <w:color w:val="000000" w:themeColor="text1"/>
          <w:sz w:val="19"/>
          <w:szCs w:val="19"/>
          <w:lang w:val="es-ES_tradnl"/>
        </w:rPr>
        <w:t xml:space="preserve">[…] </w:t>
      </w:r>
      <w:r w:rsidRPr="00404EFC">
        <w:rPr>
          <w:rFonts w:ascii="Arial" w:eastAsia="Calibri" w:hAnsi="Arial" w:cs="Arial"/>
          <w:color w:val="000000" w:themeColor="text1"/>
          <w:sz w:val="19"/>
          <w:szCs w:val="19"/>
          <w:lang w:val="es-ES_tradnl"/>
        </w:rPr>
        <w:t>i) El arrendamiento o adquisición de inmuebles</w:t>
      </w:r>
      <w:r w:rsidR="00BA560E" w:rsidRPr="00404EFC">
        <w:rPr>
          <w:rFonts w:ascii="Arial" w:eastAsia="Calibri" w:hAnsi="Arial" w:cs="Arial"/>
          <w:color w:val="000000" w:themeColor="text1"/>
          <w:sz w:val="19"/>
          <w:szCs w:val="19"/>
          <w:lang w:val="es-ES_tradnl"/>
        </w:rPr>
        <w:t xml:space="preserve">». </w:t>
      </w:r>
    </w:p>
    <w:p w14:paraId="3B8AD17F" w14:textId="77777777" w:rsidR="00B7096A" w:rsidRPr="00404EFC" w:rsidRDefault="00B7096A" w:rsidP="00404EFC">
      <w:pPr>
        <w:spacing w:after="0" w:line="240" w:lineRule="auto"/>
        <w:ind w:firstLine="708"/>
        <w:contextualSpacing/>
        <w:jc w:val="both"/>
        <w:rPr>
          <w:rFonts w:ascii="Arial" w:eastAsia="Calibri" w:hAnsi="Arial" w:cs="Arial"/>
          <w:color w:val="000000" w:themeColor="text1"/>
          <w:sz w:val="19"/>
          <w:szCs w:val="19"/>
          <w:lang w:val="es-ES_tradnl"/>
        </w:rPr>
      </w:pPr>
    </w:p>
  </w:footnote>
  <w:footnote w:id="25">
    <w:p w14:paraId="69ACF23B" w14:textId="614F8673" w:rsidR="00112554" w:rsidRDefault="00112554" w:rsidP="00404EFC">
      <w:pPr>
        <w:pStyle w:val="Textonotapie"/>
        <w:spacing w:after="0" w:line="240" w:lineRule="auto"/>
        <w:ind w:firstLine="708"/>
        <w:contextualSpacing/>
        <w:rPr>
          <w:rFonts w:ascii="Arial" w:hAnsi="Arial" w:cs="Arial"/>
          <w:color w:val="000000" w:themeColor="text1"/>
          <w:sz w:val="19"/>
          <w:szCs w:val="19"/>
          <w:lang w:val="es-ES"/>
        </w:rPr>
      </w:pPr>
      <w:r w:rsidRPr="00404EFC">
        <w:rPr>
          <w:rStyle w:val="Refdenotaalpie"/>
          <w:rFonts w:ascii="Arial" w:hAnsi="Arial" w:cs="Arial"/>
          <w:sz w:val="19"/>
          <w:szCs w:val="19"/>
        </w:rPr>
        <w:footnoteRef/>
      </w:r>
      <w:r w:rsidRPr="00404EFC">
        <w:rPr>
          <w:rFonts w:ascii="Arial" w:hAnsi="Arial" w:cs="Arial"/>
          <w:sz w:val="19"/>
          <w:szCs w:val="19"/>
        </w:rPr>
        <w:t xml:space="preserve"> </w:t>
      </w:r>
      <w:r w:rsidRPr="00404EFC">
        <w:rPr>
          <w:rFonts w:ascii="Arial" w:hAnsi="Arial" w:cs="Arial"/>
          <w:color w:val="000000" w:themeColor="text1"/>
          <w:sz w:val="19"/>
          <w:szCs w:val="19"/>
          <w:lang w:val="es-ES"/>
        </w:rPr>
        <w:t xml:space="preserve">Consejo de Estado. Sección Tercera. Subsección C. Sentencia del 2 de diciembre de 2013. </w:t>
      </w:r>
      <w:proofErr w:type="spellStart"/>
      <w:r w:rsidRPr="00404EFC">
        <w:rPr>
          <w:rFonts w:ascii="Arial" w:hAnsi="Arial" w:cs="Arial"/>
          <w:color w:val="000000" w:themeColor="text1"/>
          <w:sz w:val="19"/>
          <w:szCs w:val="19"/>
          <w:lang w:val="es-ES"/>
        </w:rPr>
        <w:t>Exp</w:t>
      </w:r>
      <w:proofErr w:type="spellEnd"/>
      <w:r w:rsidRPr="00404EFC">
        <w:rPr>
          <w:rFonts w:ascii="Arial" w:hAnsi="Arial" w:cs="Arial"/>
          <w:color w:val="000000" w:themeColor="text1"/>
          <w:sz w:val="19"/>
          <w:szCs w:val="19"/>
          <w:lang w:val="es-ES"/>
        </w:rPr>
        <w:t>. 41719. Consejero Ponente: Jaime Orlando Santofimio Gamboa.</w:t>
      </w:r>
    </w:p>
    <w:p w14:paraId="42E5E496" w14:textId="77777777" w:rsidR="00404EFC" w:rsidRPr="00404EFC" w:rsidRDefault="00404EFC" w:rsidP="00404EFC">
      <w:pPr>
        <w:pStyle w:val="Textonotapie"/>
        <w:spacing w:after="0" w:line="240" w:lineRule="auto"/>
        <w:ind w:firstLine="708"/>
        <w:contextualSpacing/>
        <w:rPr>
          <w:rFonts w:ascii="Arial" w:hAnsi="Arial" w:cs="Arial"/>
          <w:color w:val="000000" w:themeColor="text1"/>
          <w:sz w:val="19"/>
          <w:szCs w:val="19"/>
          <w:lang w:val="es-ES"/>
        </w:rPr>
      </w:pPr>
    </w:p>
  </w:footnote>
  <w:footnote w:id="26">
    <w:p w14:paraId="2AD5A730" w14:textId="77777777" w:rsidR="00112554" w:rsidRPr="00404EFC" w:rsidRDefault="00112554" w:rsidP="00404EFC">
      <w:pPr>
        <w:pStyle w:val="Textonotapie"/>
        <w:spacing w:after="0" w:line="240" w:lineRule="auto"/>
        <w:ind w:firstLine="709"/>
        <w:contextualSpacing/>
        <w:rPr>
          <w:rFonts w:ascii="Arial" w:hAnsi="Arial" w:cs="Arial"/>
          <w:color w:val="000000" w:themeColor="text1"/>
          <w:sz w:val="19"/>
          <w:szCs w:val="19"/>
          <w:lang w:val="es-ES"/>
        </w:rPr>
      </w:pPr>
      <w:r w:rsidRPr="00404EFC">
        <w:rPr>
          <w:rStyle w:val="Refdenotaalpie"/>
          <w:rFonts w:ascii="Arial" w:hAnsi="Arial" w:cs="Arial"/>
          <w:color w:val="000000" w:themeColor="text1"/>
          <w:sz w:val="19"/>
          <w:szCs w:val="19"/>
        </w:rPr>
        <w:footnoteRef/>
      </w:r>
      <w:r w:rsidRPr="00404EFC">
        <w:rPr>
          <w:rFonts w:ascii="Arial" w:hAnsi="Arial" w:cs="Arial"/>
          <w:color w:val="000000" w:themeColor="text1"/>
          <w:sz w:val="19"/>
          <w:szCs w:val="19"/>
        </w:rPr>
        <w:t xml:space="preserve"> </w:t>
      </w:r>
      <w:proofErr w:type="spellStart"/>
      <w:r w:rsidRPr="00404EFC">
        <w:rPr>
          <w:rFonts w:ascii="Arial" w:hAnsi="Arial" w:cs="Arial"/>
          <w:color w:val="000000" w:themeColor="text1"/>
          <w:sz w:val="19"/>
          <w:szCs w:val="19"/>
          <w:lang w:val="es-ES"/>
        </w:rPr>
        <w:t>Ibíd</w:t>
      </w:r>
      <w:proofErr w:type="spellEnd"/>
      <w:r w:rsidRPr="00404EFC">
        <w:rPr>
          <w:rFonts w:ascii="Arial" w:hAnsi="Arial" w:cs="Arial"/>
          <w:color w:val="000000" w:themeColor="text1"/>
          <w:sz w:val="19"/>
          <w:szCs w:val="19"/>
          <w:lang w:val="es-ES"/>
        </w:rPr>
        <w:t>. En efecto, el numeral 2º del artículo 32 de la Ley 80 de 1993 define el contrato de consultoría así: «Son contratos de consultoría los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w:t>
      </w:r>
    </w:p>
    <w:p w14:paraId="617BA989" w14:textId="77777777" w:rsidR="00112554" w:rsidRPr="00404EFC" w:rsidRDefault="00112554" w:rsidP="00404EFC">
      <w:pPr>
        <w:pStyle w:val="Textonotapie"/>
        <w:spacing w:after="0" w:line="240" w:lineRule="auto"/>
        <w:ind w:firstLine="709"/>
        <w:contextualSpacing/>
        <w:rPr>
          <w:rFonts w:ascii="Arial" w:hAnsi="Arial" w:cs="Arial"/>
          <w:color w:val="000000" w:themeColor="text1"/>
          <w:sz w:val="19"/>
          <w:szCs w:val="19"/>
          <w:lang w:val="es-ES"/>
        </w:rPr>
      </w:pPr>
      <w:proofErr w:type="gramStart"/>
      <w:r w:rsidRPr="00404EFC">
        <w:rPr>
          <w:rFonts w:ascii="Arial" w:hAnsi="Arial" w:cs="Arial"/>
          <w:color w:val="000000" w:themeColor="text1"/>
          <w:sz w:val="19"/>
          <w:szCs w:val="19"/>
          <w:lang w:val="es-ES"/>
        </w:rPr>
        <w:t>»Son</w:t>
      </w:r>
      <w:proofErr w:type="gramEnd"/>
      <w:r w:rsidRPr="00404EFC">
        <w:rPr>
          <w:rFonts w:ascii="Arial" w:hAnsi="Arial" w:cs="Arial"/>
          <w:color w:val="000000" w:themeColor="text1"/>
          <w:sz w:val="19"/>
          <w:szCs w:val="19"/>
          <w:lang w:val="es-ES"/>
        </w:rPr>
        <w:t xml:space="preserve"> también contratos de consultoría los que tienen por objeto la interventoría, asesoría, gerencia de obra o de proyectos, dirección, programación y la ejecución de diseños, planos, anteproyectos y proyectos.</w:t>
      </w:r>
    </w:p>
    <w:p w14:paraId="6023E973" w14:textId="77777777" w:rsidR="00112554" w:rsidRPr="00404EFC" w:rsidRDefault="00112554" w:rsidP="00404EFC">
      <w:pPr>
        <w:pStyle w:val="Textonotapie"/>
        <w:spacing w:after="0" w:line="240" w:lineRule="auto"/>
        <w:ind w:firstLine="709"/>
        <w:contextualSpacing/>
        <w:rPr>
          <w:rFonts w:ascii="Arial" w:hAnsi="Arial" w:cs="Arial"/>
          <w:color w:val="000000" w:themeColor="text1"/>
          <w:sz w:val="19"/>
          <w:szCs w:val="19"/>
          <w:lang w:val="es-ES"/>
        </w:rPr>
      </w:pPr>
      <w:proofErr w:type="gramStart"/>
      <w:r w:rsidRPr="00404EFC">
        <w:rPr>
          <w:rFonts w:ascii="Arial" w:hAnsi="Arial" w:cs="Arial"/>
          <w:color w:val="000000" w:themeColor="text1"/>
          <w:sz w:val="19"/>
          <w:szCs w:val="19"/>
          <w:lang w:val="es-ES"/>
        </w:rPr>
        <w:t>»Ninguna</w:t>
      </w:r>
      <w:proofErr w:type="gramEnd"/>
      <w:r w:rsidRPr="00404EFC">
        <w:rPr>
          <w:rFonts w:ascii="Arial" w:hAnsi="Arial" w:cs="Arial"/>
          <w:color w:val="000000" w:themeColor="text1"/>
          <w:sz w:val="19"/>
          <w:szCs w:val="19"/>
          <w:lang w:val="es-ES"/>
        </w:rPr>
        <w:t xml:space="preserve"> orden del interventor de una obra podrá darse verbalmente. Es obligatorio para el interventor entregar por escrito sus órdenes o sugerencias y ellas deben </w:t>
      </w:r>
      <w:proofErr w:type="gramStart"/>
      <w:r w:rsidRPr="00404EFC">
        <w:rPr>
          <w:rFonts w:ascii="Arial" w:hAnsi="Arial" w:cs="Arial"/>
          <w:color w:val="000000" w:themeColor="text1"/>
          <w:sz w:val="19"/>
          <w:szCs w:val="19"/>
          <w:lang w:val="es-ES"/>
        </w:rPr>
        <w:t>enmarcarse dentro de</w:t>
      </w:r>
      <w:proofErr w:type="gramEnd"/>
      <w:r w:rsidRPr="00404EFC">
        <w:rPr>
          <w:rFonts w:ascii="Arial" w:hAnsi="Arial" w:cs="Arial"/>
          <w:color w:val="000000" w:themeColor="text1"/>
          <w:sz w:val="19"/>
          <w:szCs w:val="19"/>
          <w:lang w:val="es-ES"/>
        </w:rPr>
        <w:t xml:space="preserve"> los términos del respectivo contrato». </w:t>
      </w:r>
    </w:p>
    <w:p w14:paraId="5CBFC435" w14:textId="77777777" w:rsidR="00112554" w:rsidRPr="00404EFC" w:rsidRDefault="00112554" w:rsidP="00404EFC">
      <w:pPr>
        <w:pStyle w:val="Textonotapie"/>
        <w:spacing w:after="0" w:line="240" w:lineRule="auto"/>
        <w:ind w:firstLine="709"/>
        <w:contextualSpacing/>
        <w:rPr>
          <w:rFonts w:ascii="Arial" w:hAnsi="Arial" w:cs="Arial"/>
          <w:color w:val="000000" w:themeColor="text1"/>
          <w:sz w:val="19"/>
          <w:szCs w:val="19"/>
          <w:lang w:val="es-ES"/>
        </w:rPr>
      </w:pPr>
    </w:p>
  </w:footnote>
  <w:footnote w:id="27">
    <w:p w14:paraId="43D70084" w14:textId="087F1D2C" w:rsidR="00112554" w:rsidRDefault="00112554" w:rsidP="00404EFC">
      <w:pPr>
        <w:pStyle w:val="Textonotapie"/>
        <w:spacing w:after="0" w:line="240" w:lineRule="auto"/>
        <w:ind w:firstLine="709"/>
        <w:contextualSpacing/>
        <w:rPr>
          <w:rFonts w:ascii="Arial" w:hAnsi="Arial" w:cs="Arial"/>
          <w:sz w:val="19"/>
          <w:szCs w:val="19"/>
        </w:rPr>
      </w:pPr>
      <w:r w:rsidRPr="00404EFC">
        <w:rPr>
          <w:rStyle w:val="Refdenotaalpie"/>
          <w:rFonts w:ascii="Arial" w:hAnsi="Arial" w:cs="Arial"/>
          <w:sz w:val="19"/>
          <w:szCs w:val="19"/>
        </w:rPr>
        <w:footnoteRef/>
      </w:r>
      <w:r w:rsidRPr="00404EFC">
        <w:rPr>
          <w:rFonts w:ascii="Arial" w:hAnsi="Arial" w:cs="Arial"/>
          <w:sz w:val="19"/>
          <w:szCs w:val="19"/>
        </w:rPr>
        <w:t xml:space="preserve"> Agencia Nacional de contratación Pública – Colombia Compra Eficiente. Circular No. 3 del 16 de agosto de 2013. Consultada el 29 de diciembre de 2021 en la página web: </w:t>
      </w:r>
      <w:hyperlink r:id="rId1" w:history="1">
        <w:r w:rsidRPr="00404EFC">
          <w:rPr>
            <w:rStyle w:val="Hipervnculo"/>
            <w:rFonts w:ascii="Arial" w:hAnsi="Arial" w:cs="Arial"/>
            <w:sz w:val="19"/>
            <w:szCs w:val="19"/>
          </w:rPr>
          <w:t>https://colombiacompra.gov.co/sites/cce_public/files/cce_circulares/20130816circular3leygarantias.pdf</w:t>
        </w:r>
      </w:hyperlink>
      <w:r w:rsidRPr="00404EFC">
        <w:rPr>
          <w:rFonts w:ascii="Arial" w:hAnsi="Arial" w:cs="Arial"/>
          <w:sz w:val="19"/>
          <w:szCs w:val="19"/>
        </w:rPr>
        <w:t xml:space="preserve"> </w:t>
      </w:r>
    </w:p>
    <w:p w14:paraId="0F8EC9D3" w14:textId="77777777" w:rsidR="00404EFC" w:rsidRPr="00404EFC" w:rsidRDefault="00404EFC" w:rsidP="00404EFC">
      <w:pPr>
        <w:pStyle w:val="Textonotapie"/>
        <w:spacing w:after="0" w:line="240" w:lineRule="auto"/>
        <w:ind w:firstLine="709"/>
        <w:contextualSpacing/>
        <w:rPr>
          <w:rFonts w:ascii="Arial" w:hAnsi="Arial" w:cs="Arial"/>
          <w:sz w:val="19"/>
          <w:szCs w:val="19"/>
        </w:rPr>
      </w:pPr>
    </w:p>
  </w:footnote>
  <w:footnote w:id="28">
    <w:p w14:paraId="2A3BAAEF" w14:textId="77777777" w:rsidR="00112554" w:rsidRPr="00404EFC" w:rsidRDefault="00112554" w:rsidP="00404EFC">
      <w:pPr>
        <w:pStyle w:val="Textonotapie"/>
        <w:spacing w:after="0" w:line="240" w:lineRule="auto"/>
        <w:ind w:firstLine="709"/>
        <w:contextualSpacing/>
        <w:rPr>
          <w:rFonts w:ascii="Arial" w:hAnsi="Arial" w:cs="Arial"/>
          <w:sz w:val="19"/>
          <w:szCs w:val="19"/>
        </w:rPr>
      </w:pPr>
      <w:r w:rsidRPr="00404EFC">
        <w:rPr>
          <w:rStyle w:val="Refdenotaalpie"/>
          <w:rFonts w:ascii="Arial" w:hAnsi="Arial" w:cs="Arial"/>
          <w:sz w:val="19"/>
          <w:szCs w:val="19"/>
        </w:rPr>
        <w:footnoteRef/>
      </w:r>
      <w:r w:rsidRPr="00404EFC">
        <w:rPr>
          <w:rFonts w:ascii="Arial" w:hAnsi="Arial" w:cs="Arial"/>
          <w:sz w:val="19"/>
          <w:szCs w:val="19"/>
        </w:rPr>
        <w:t xml:space="preserve"> Ley 80 de 1993: «</w:t>
      </w:r>
      <w:proofErr w:type="spellStart"/>
      <w:r w:rsidRPr="00404EFC">
        <w:rPr>
          <w:rFonts w:ascii="Arial" w:hAnsi="Arial" w:cs="Arial"/>
          <w:sz w:val="19"/>
          <w:szCs w:val="19"/>
        </w:rPr>
        <w:t>Articulo</w:t>
      </w:r>
      <w:proofErr w:type="spellEnd"/>
      <w:r w:rsidRPr="00404EFC">
        <w:rPr>
          <w:rFonts w:ascii="Arial" w:hAnsi="Arial" w:cs="Arial"/>
          <w:sz w:val="19"/>
          <w:szCs w:val="19"/>
        </w:rPr>
        <w:t xml:space="preserve"> 6o. De la capacidad para contratar. Pueden celebrar contratos con las entidades estatales las personas consideradas legalmente capaces en las disposiciones vigentes […]»</w:t>
      </w:r>
    </w:p>
    <w:p w14:paraId="4E196AA4" w14:textId="77777777" w:rsidR="00112554" w:rsidRPr="00404EFC" w:rsidRDefault="00112554" w:rsidP="00404EFC">
      <w:pPr>
        <w:pStyle w:val="Textonotapie"/>
        <w:spacing w:after="0" w:line="240" w:lineRule="auto"/>
        <w:ind w:firstLine="709"/>
        <w:contextualSpacing/>
        <w:rPr>
          <w:rFonts w:ascii="Arial" w:hAnsi="Arial" w:cs="Arial"/>
          <w:sz w:val="19"/>
          <w:szCs w:val="19"/>
        </w:rPr>
      </w:pPr>
      <w:r w:rsidRPr="00404EFC">
        <w:rPr>
          <w:rFonts w:ascii="Arial" w:hAnsi="Arial" w:cs="Arial"/>
          <w:sz w:val="19"/>
          <w:szCs w:val="19"/>
        </w:rPr>
        <w:t xml:space="preserve">«Articulo 8o. De las inhabilidades e incompatibilidades para contratar. </w:t>
      </w:r>
    </w:p>
    <w:p w14:paraId="401CEAEC" w14:textId="77777777" w:rsidR="00112554" w:rsidRPr="00404EFC" w:rsidRDefault="00112554" w:rsidP="00404EFC">
      <w:pPr>
        <w:pStyle w:val="Textonotapie"/>
        <w:spacing w:after="0" w:line="240" w:lineRule="auto"/>
        <w:ind w:firstLine="709"/>
        <w:contextualSpacing/>
        <w:rPr>
          <w:rFonts w:ascii="Arial" w:hAnsi="Arial" w:cs="Arial"/>
          <w:sz w:val="19"/>
          <w:szCs w:val="19"/>
        </w:rPr>
      </w:pPr>
      <w:r w:rsidRPr="00404EFC">
        <w:rPr>
          <w:rFonts w:ascii="Arial" w:hAnsi="Arial" w:cs="Arial"/>
          <w:sz w:val="19"/>
          <w:szCs w:val="19"/>
        </w:rPr>
        <w:t>»1o. Son inhábiles para participar en licitaciones o concursos y para celebrar contratos con las entidades estatales</w:t>
      </w:r>
      <w:proofErr w:type="gramStart"/>
      <w:r w:rsidRPr="00404EFC">
        <w:rPr>
          <w:rFonts w:ascii="Arial" w:hAnsi="Arial" w:cs="Arial"/>
          <w:sz w:val="19"/>
          <w:szCs w:val="19"/>
        </w:rPr>
        <w:t>: »a</w:t>
      </w:r>
      <w:proofErr w:type="gramEnd"/>
      <w:r w:rsidRPr="00404EFC">
        <w:rPr>
          <w:rFonts w:ascii="Arial" w:hAnsi="Arial" w:cs="Arial"/>
          <w:sz w:val="19"/>
          <w:szCs w:val="19"/>
        </w:rPr>
        <w:t>) Las personas que se hallen inhabilitadas para contratar por la Constitución y las leyes […]».</w:t>
      </w:r>
    </w:p>
    <w:p w14:paraId="306D354E" w14:textId="77777777" w:rsidR="00112554" w:rsidRPr="00404EFC" w:rsidRDefault="00112554" w:rsidP="00404EFC">
      <w:pPr>
        <w:pStyle w:val="Textonotapie"/>
        <w:spacing w:after="0" w:line="240" w:lineRule="auto"/>
        <w:ind w:firstLine="709"/>
        <w:contextualSpacing/>
        <w:rPr>
          <w:rFonts w:ascii="Arial" w:hAnsi="Arial" w:cs="Arial"/>
          <w:sz w:val="19"/>
          <w:szCs w:val="19"/>
        </w:rPr>
      </w:pPr>
    </w:p>
  </w:footnote>
  <w:footnote w:id="29">
    <w:p w14:paraId="68A2B572" w14:textId="73E156E7" w:rsidR="00112554" w:rsidRDefault="00112554" w:rsidP="00404EFC">
      <w:pPr>
        <w:pStyle w:val="Textonotapie"/>
        <w:spacing w:after="0" w:line="240" w:lineRule="auto"/>
        <w:ind w:firstLine="709"/>
        <w:contextualSpacing/>
        <w:rPr>
          <w:rFonts w:ascii="Arial" w:hAnsi="Arial" w:cs="Arial"/>
          <w:sz w:val="19"/>
          <w:szCs w:val="19"/>
        </w:rPr>
      </w:pPr>
      <w:r w:rsidRPr="00404EFC">
        <w:rPr>
          <w:rStyle w:val="Refdenotaalpie"/>
          <w:rFonts w:ascii="Arial" w:hAnsi="Arial" w:cs="Arial"/>
          <w:sz w:val="19"/>
          <w:szCs w:val="19"/>
        </w:rPr>
        <w:footnoteRef/>
      </w:r>
      <w:r w:rsidRPr="00404EFC">
        <w:rPr>
          <w:rFonts w:ascii="Arial" w:hAnsi="Arial" w:cs="Arial"/>
          <w:sz w:val="19"/>
          <w:szCs w:val="19"/>
        </w:rPr>
        <w:t xml:space="preserve"> Constitución Política de Colombia: «Artículo 122. […] Sin perjuicio de las demás sanciones que establezca la ley, no podrán ser inscritos como candidatos a cargos de elección popular, ni elegidos, ni designados como servidores públicos, ni celebrar personalmente, o por interpuesta persona, contratos con el Estado, quienes hayan sido condenados, en cualquier tiempo, por la comisión de delitos que afecten el patrimonio del Estado o quienes hayan sido condenados por delitos relacionados con la pertenencia, promoción o financiación de grupos armados ilegales, delitos de lesa humanidad o por narcotráfico en Colombia o en el exterior […]».</w:t>
      </w:r>
    </w:p>
    <w:p w14:paraId="26CFBF0D" w14:textId="77777777" w:rsidR="00404EFC" w:rsidRPr="00404EFC" w:rsidRDefault="00404EFC" w:rsidP="00404EFC">
      <w:pPr>
        <w:pStyle w:val="Textonotapie"/>
        <w:spacing w:after="0" w:line="240" w:lineRule="auto"/>
        <w:ind w:firstLine="709"/>
        <w:contextualSpacing/>
        <w:rPr>
          <w:rFonts w:ascii="Arial" w:hAnsi="Arial" w:cs="Arial"/>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E464C" w14:textId="77777777" w:rsidR="00301B6D" w:rsidRDefault="009E3D0B">
    <w:pPr>
      <w:pStyle w:val="Encabezado"/>
    </w:pPr>
    <w:r>
      <w:rPr>
        <w:noProof/>
        <w:lang w:val="es-CO" w:eastAsia="es-CO"/>
      </w:rPr>
      <w:drawing>
        <wp:anchor distT="0" distB="0" distL="114300" distR="114300" simplePos="0" relativeHeight="251659264" behindDoc="1" locked="0" layoutInCell="1" allowOverlap="1" wp14:anchorId="41773D8E" wp14:editId="16814243">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2CBC3E1" w14:textId="77777777" w:rsidR="00301B6D" w:rsidRDefault="00000000" w:rsidP="00301B6D">
    <w:pPr>
      <w:pStyle w:val="Encabezado"/>
      <w:spacing w:after="0"/>
    </w:pPr>
  </w:p>
  <w:p w14:paraId="5E26424A" w14:textId="77777777" w:rsidR="00301B6D" w:rsidRDefault="0000000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409"/>
    <w:rsid w:val="00036112"/>
    <w:rsid w:val="00052577"/>
    <w:rsid w:val="00072FB7"/>
    <w:rsid w:val="000823F6"/>
    <w:rsid w:val="00087810"/>
    <w:rsid w:val="0009396F"/>
    <w:rsid w:val="00096EFF"/>
    <w:rsid w:val="000A4E0B"/>
    <w:rsid w:val="000E3FD5"/>
    <w:rsid w:val="000F2B5A"/>
    <w:rsid w:val="00104EC4"/>
    <w:rsid w:val="00112554"/>
    <w:rsid w:val="00114F61"/>
    <w:rsid w:val="00121FBA"/>
    <w:rsid w:val="00124012"/>
    <w:rsid w:val="0013014C"/>
    <w:rsid w:val="00134409"/>
    <w:rsid w:val="00145B65"/>
    <w:rsid w:val="001B0ECD"/>
    <w:rsid w:val="001C572C"/>
    <w:rsid w:val="001C6880"/>
    <w:rsid w:val="001F4D02"/>
    <w:rsid w:val="0020208C"/>
    <w:rsid w:val="00237275"/>
    <w:rsid w:val="002437DA"/>
    <w:rsid w:val="00297718"/>
    <w:rsid w:val="002B1788"/>
    <w:rsid w:val="002B2435"/>
    <w:rsid w:val="002C3E77"/>
    <w:rsid w:val="002D1BE3"/>
    <w:rsid w:val="00342722"/>
    <w:rsid w:val="003447AC"/>
    <w:rsid w:val="00344FA7"/>
    <w:rsid w:val="003B5C46"/>
    <w:rsid w:val="003E1DBA"/>
    <w:rsid w:val="003F3811"/>
    <w:rsid w:val="00404EFC"/>
    <w:rsid w:val="00411F72"/>
    <w:rsid w:val="004529A0"/>
    <w:rsid w:val="0048020A"/>
    <w:rsid w:val="004C055C"/>
    <w:rsid w:val="004E1FFE"/>
    <w:rsid w:val="004E4E92"/>
    <w:rsid w:val="00520CBB"/>
    <w:rsid w:val="00526DE2"/>
    <w:rsid w:val="00575685"/>
    <w:rsid w:val="006323C1"/>
    <w:rsid w:val="00654965"/>
    <w:rsid w:val="00655085"/>
    <w:rsid w:val="00660EAD"/>
    <w:rsid w:val="006A3E57"/>
    <w:rsid w:val="007176AA"/>
    <w:rsid w:val="00722714"/>
    <w:rsid w:val="00723329"/>
    <w:rsid w:val="007326D7"/>
    <w:rsid w:val="007354FB"/>
    <w:rsid w:val="00740E1C"/>
    <w:rsid w:val="00764CA3"/>
    <w:rsid w:val="00771FB2"/>
    <w:rsid w:val="0079785A"/>
    <w:rsid w:val="007B10AA"/>
    <w:rsid w:val="007D3A78"/>
    <w:rsid w:val="007F00D2"/>
    <w:rsid w:val="007F0882"/>
    <w:rsid w:val="008273F4"/>
    <w:rsid w:val="00827C45"/>
    <w:rsid w:val="00860042"/>
    <w:rsid w:val="008866B9"/>
    <w:rsid w:val="008A4C18"/>
    <w:rsid w:val="008B76D5"/>
    <w:rsid w:val="008E3B3E"/>
    <w:rsid w:val="00933FB2"/>
    <w:rsid w:val="00944A71"/>
    <w:rsid w:val="00947A71"/>
    <w:rsid w:val="00951016"/>
    <w:rsid w:val="0098289B"/>
    <w:rsid w:val="00984FDC"/>
    <w:rsid w:val="009E3D0B"/>
    <w:rsid w:val="00A432CD"/>
    <w:rsid w:val="00A726A9"/>
    <w:rsid w:val="00AA036C"/>
    <w:rsid w:val="00AA2516"/>
    <w:rsid w:val="00B7096A"/>
    <w:rsid w:val="00BA560E"/>
    <w:rsid w:val="00BC2C80"/>
    <w:rsid w:val="00BE5372"/>
    <w:rsid w:val="00BF3CAF"/>
    <w:rsid w:val="00C156A7"/>
    <w:rsid w:val="00C7155F"/>
    <w:rsid w:val="00CC3A31"/>
    <w:rsid w:val="00CD271D"/>
    <w:rsid w:val="00CD4A9A"/>
    <w:rsid w:val="00CD5BAF"/>
    <w:rsid w:val="00CF6E2F"/>
    <w:rsid w:val="00D44EC5"/>
    <w:rsid w:val="00D83360"/>
    <w:rsid w:val="00D93F75"/>
    <w:rsid w:val="00DA104E"/>
    <w:rsid w:val="00E0125F"/>
    <w:rsid w:val="00E04E3D"/>
    <w:rsid w:val="00E41BA6"/>
    <w:rsid w:val="00E55E19"/>
    <w:rsid w:val="00E70833"/>
    <w:rsid w:val="00E97576"/>
    <w:rsid w:val="00EA4EF1"/>
    <w:rsid w:val="00EB41A8"/>
    <w:rsid w:val="00EF3556"/>
    <w:rsid w:val="00EF7D13"/>
    <w:rsid w:val="00F72FBD"/>
    <w:rsid w:val="00F83A52"/>
    <w:rsid w:val="00FC136A"/>
    <w:rsid w:val="00FC420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DB5F3"/>
  <w15:chartTrackingRefBased/>
  <w15:docId w15:val="{026C9B9C-6D51-4E3C-AFFD-B5407EAC5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40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34409"/>
    <w:pPr>
      <w:tabs>
        <w:tab w:val="center" w:pos="4419"/>
        <w:tab w:val="right" w:pos="8838"/>
      </w:tabs>
      <w:spacing w:after="200" w:line="276" w:lineRule="auto"/>
      <w:jc w:val="both"/>
    </w:pPr>
    <w:rPr>
      <w:sz w:val="24"/>
      <w:lang w:val="es-MX"/>
    </w:rPr>
  </w:style>
  <w:style w:type="character" w:customStyle="1" w:styleId="PiedepginaCar">
    <w:name w:val="Pie de página Car"/>
    <w:basedOn w:val="Fuentedeprrafopredeter"/>
    <w:link w:val="Piedepgina"/>
    <w:uiPriority w:val="99"/>
    <w:rsid w:val="00134409"/>
    <w:rPr>
      <w:sz w:val="24"/>
      <w:lang w:val="es-MX"/>
    </w:rPr>
  </w:style>
  <w:style w:type="paragraph" w:styleId="Encabezado">
    <w:name w:val="header"/>
    <w:basedOn w:val="Normal"/>
    <w:link w:val="EncabezadoCar"/>
    <w:uiPriority w:val="99"/>
    <w:unhideWhenUsed/>
    <w:rsid w:val="00134409"/>
    <w:pPr>
      <w:tabs>
        <w:tab w:val="center" w:pos="4252"/>
        <w:tab w:val="right" w:pos="8504"/>
      </w:tabs>
      <w:spacing w:after="200" w:line="276" w:lineRule="auto"/>
      <w:jc w:val="both"/>
    </w:pPr>
    <w:rPr>
      <w:sz w:val="24"/>
      <w:lang w:val="es-MX"/>
    </w:rPr>
  </w:style>
  <w:style w:type="character" w:customStyle="1" w:styleId="EncabezadoCar">
    <w:name w:val="Encabezado Car"/>
    <w:basedOn w:val="Fuentedeprrafopredeter"/>
    <w:link w:val="Encabezado"/>
    <w:uiPriority w:val="99"/>
    <w:rsid w:val="00134409"/>
    <w:rPr>
      <w:sz w:val="24"/>
      <w:lang w:val="es-MX"/>
    </w:rPr>
  </w:style>
  <w:style w:type="paragraph" w:styleId="NormalWeb">
    <w:name w:val="Normal (Web)"/>
    <w:basedOn w:val="Normal"/>
    <w:link w:val="NormalWebCar"/>
    <w:uiPriority w:val="99"/>
    <w:unhideWhenUsed/>
    <w:rsid w:val="00134409"/>
    <w:pPr>
      <w:spacing w:before="100" w:beforeAutospacing="1" w:after="100" w:afterAutospacing="1" w:line="276" w:lineRule="auto"/>
      <w:jc w:val="both"/>
    </w:pPr>
    <w:rPr>
      <w:rFonts w:ascii="Times New Roman" w:eastAsia="Times New Roman" w:hAnsi="Times New Roman" w:cs="Times New Roman"/>
      <w:sz w:val="24"/>
      <w:szCs w:val="24"/>
      <w:lang w:eastAsia="es-CO"/>
    </w:rPr>
  </w:style>
  <w:style w:type="paragraph" w:styleId="Sinespaciado">
    <w:name w:val="No Spacing"/>
    <w:aliases w:val="No Indent"/>
    <w:uiPriority w:val="3"/>
    <w:qFormat/>
    <w:rsid w:val="00134409"/>
    <w:pPr>
      <w:spacing w:after="0" w:line="240" w:lineRule="auto"/>
      <w:jc w:val="both"/>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134409"/>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R"/>
    <w:basedOn w:val="Normal"/>
    <w:link w:val="TextonotapieCar"/>
    <w:uiPriority w:val="99"/>
    <w:unhideWhenUsed/>
    <w:qFormat/>
    <w:rsid w:val="00134409"/>
    <w:pPr>
      <w:spacing w:after="200" w:line="276" w:lineRule="auto"/>
      <w:jc w:val="both"/>
    </w:pPr>
    <w:rPr>
      <w:sz w:val="20"/>
      <w:szCs w:val="20"/>
      <w:lang w:val="es-MX"/>
    </w:rPr>
  </w:style>
  <w:style w:type="character" w:customStyle="1" w:styleId="TextonotapieCar1">
    <w:name w:val="Texto nota pie Car1"/>
    <w:basedOn w:val="Fuentedeprrafopredeter"/>
    <w:uiPriority w:val="99"/>
    <w:semiHidden/>
    <w:rsid w:val="00134409"/>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e"/>
    <w:basedOn w:val="Fuentedeprrafopredeter"/>
    <w:link w:val="Appelnotedebasde"/>
    <w:uiPriority w:val="99"/>
    <w:unhideWhenUsed/>
    <w:qFormat/>
    <w:rsid w:val="00134409"/>
    <w:rPr>
      <w:vertAlign w:val="superscript"/>
    </w:rPr>
  </w:style>
  <w:style w:type="paragraph" w:customStyle="1" w:styleId="Appelnotedebasde">
    <w:name w:val="Appel note de bas de..."/>
    <w:basedOn w:val="Normal"/>
    <w:link w:val="Refdenotaalpie"/>
    <w:uiPriority w:val="99"/>
    <w:rsid w:val="00134409"/>
    <w:pPr>
      <w:spacing w:line="240" w:lineRule="exact"/>
      <w:jc w:val="both"/>
    </w:pPr>
    <w:rPr>
      <w:vertAlign w:val="superscript"/>
    </w:rPr>
  </w:style>
  <w:style w:type="character" w:customStyle="1" w:styleId="NormalWebCar">
    <w:name w:val="Normal (Web) Car"/>
    <w:link w:val="NormalWeb"/>
    <w:uiPriority w:val="99"/>
    <w:locked/>
    <w:rsid w:val="00134409"/>
    <w:rPr>
      <w:rFonts w:ascii="Times New Roman" w:eastAsia="Times New Roman" w:hAnsi="Times New Roman" w:cs="Times New Roman"/>
      <w:sz w:val="24"/>
      <w:szCs w:val="24"/>
      <w:lang w:eastAsia="es-CO"/>
    </w:rPr>
  </w:style>
  <w:style w:type="table" w:customStyle="1" w:styleId="Tablaconcuadrcula1">
    <w:name w:val="Tabla con cuadrícula1"/>
    <w:basedOn w:val="Tablanormal"/>
    <w:next w:val="Tablaconcuadrcula"/>
    <w:uiPriority w:val="39"/>
    <w:rsid w:val="00134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134409"/>
  </w:style>
  <w:style w:type="table" w:customStyle="1" w:styleId="Tablaconcuadrcula4">
    <w:name w:val="Tabla con cuadrícula4"/>
    <w:basedOn w:val="Tablanormal"/>
    <w:next w:val="Tablaconcuadrcula"/>
    <w:uiPriority w:val="39"/>
    <w:rsid w:val="00134409"/>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134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E04E3D"/>
    <w:rPr>
      <w:b/>
      <w:bCs/>
    </w:rPr>
  </w:style>
  <w:style w:type="character" w:styleId="Hipervnculo">
    <w:name w:val="Hyperlink"/>
    <w:basedOn w:val="Fuentedeprrafopredeter"/>
    <w:uiPriority w:val="99"/>
    <w:unhideWhenUsed/>
    <w:rsid w:val="00112554"/>
    <w:rPr>
      <w:color w:val="0563C1" w:themeColor="hyperlink"/>
      <w:u w:val="single"/>
    </w:rPr>
  </w:style>
  <w:style w:type="paragraph" w:styleId="Revisin">
    <w:name w:val="Revision"/>
    <w:hidden/>
    <w:uiPriority w:val="99"/>
    <w:semiHidden/>
    <w:rsid w:val="004E4E92"/>
    <w:pPr>
      <w:spacing w:after="0" w:line="240" w:lineRule="auto"/>
    </w:pPr>
  </w:style>
  <w:style w:type="character" w:styleId="Refdecomentario">
    <w:name w:val="annotation reference"/>
    <w:basedOn w:val="Fuentedeprrafopredeter"/>
    <w:uiPriority w:val="99"/>
    <w:semiHidden/>
    <w:unhideWhenUsed/>
    <w:rsid w:val="00D44EC5"/>
    <w:rPr>
      <w:sz w:val="16"/>
      <w:szCs w:val="16"/>
    </w:rPr>
  </w:style>
  <w:style w:type="paragraph" w:styleId="Textocomentario">
    <w:name w:val="annotation text"/>
    <w:basedOn w:val="Normal"/>
    <w:link w:val="TextocomentarioCar"/>
    <w:uiPriority w:val="99"/>
    <w:semiHidden/>
    <w:unhideWhenUsed/>
    <w:rsid w:val="00D44EC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44EC5"/>
    <w:rPr>
      <w:sz w:val="20"/>
      <w:szCs w:val="20"/>
    </w:rPr>
  </w:style>
  <w:style w:type="paragraph" w:styleId="Asuntodelcomentario">
    <w:name w:val="annotation subject"/>
    <w:basedOn w:val="Textocomentario"/>
    <w:next w:val="Textocomentario"/>
    <w:link w:val="AsuntodelcomentarioCar"/>
    <w:uiPriority w:val="99"/>
    <w:semiHidden/>
    <w:unhideWhenUsed/>
    <w:rsid w:val="00D44EC5"/>
    <w:rPr>
      <w:b/>
      <w:bCs/>
    </w:rPr>
  </w:style>
  <w:style w:type="character" w:customStyle="1" w:styleId="AsuntodelcomentarioCar">
    <w:name w:val="Asunto del comentario Car"/>
    <w:basedOn w:val="TextocomentarioCar"/>
    <w:link w:val="Asuntodelcomentario"/>
    <w:uiPriority w:val="99"/>
    <w:semiHidden/>
    <w:rsid w:val="00D44EC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s://colombiacompra.gov.co/sites/cce_public/files/cce_circulares/20130816circular3leygarantia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SharedWithUsers xmlns="a6cb9e4b-f1d1-4245-83ec-6cad768d538a">
      <UserInfo>
        <DisplayName/>
        <AccountId xsi:nil="true"/>
        <AccountType/>
      </UserInfo>
    </SharedWithUsers>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27518A2-A50A-4B07-B669-31DEDA75EE26}">
  <ds:schemaRefs>
    <ds:schemaRef ds:uri="http://schemas.openxmlformats.org/officeDocument/2006/bibliography"/>
  </ds:schemaRefs>
</ds:datastoreItem>
</file>

<file path=customXml/itemProps2.xml><?xml version="1.0" encoding="utf-8"?>
<ds:datastoreItem xmlns:ds="http://schemas.openxmlformats.org/officeDocument/2006/customXml" ds:itemID="{434B184A-202E-423D-9A4F-001548D8FA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D0CF82-3C08-492A-9E6B-E374370768E1}">
  <ds:schemaRefs>
    <ds:schemaRef ds:uri="http://schemas.microsoft.com/sharepoint/v3/contenttype/forms"/>
  </ds:schemaRefs>
</ds:datastoreItem>
</file>

<file path=customXml/itemProps4.xml><?xml version="1.0" encoding="utf-8"?>
<ds:datastoreItem xmlns:ds="http://schemas.openxmlformats.org/officeDocument/2006/customXml" ds:itemID="{3C745C78-0424-462E-A1A5-1D53EDD797ED}">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21</Pages>
  <Words>7304</Words>
  <Characters>40173</Characters>
  <Application>Microsoft Office Word</Application>
  <DocSecurity>0</DocSecurity>
  <Lines>334</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Lucia Saavedra</dc:creator>
  <cp:keywords/>
  <dc:description/>
  <cp:lastModifiedBy>Martin Rojas Mejia</cp:lastModifiedBy>
  <cp:revision>12</cp:revision>
  <dcterms:created xsi:type="dcterms:W3CDTF">2022-05-24T19:48:00Z</dcterms:created>
  <dcterms:modified xsi:type="dcterms:W3CDTF">2022-08-16T19:49:00Z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Order">
    <vt:r8>25200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