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BC39" w14:textId="5F4120F9" w:rsidR="00DD3396" w:rsidRDefault="00DD3396" w:rsidP="00DD3396">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609AD35C" w14:textId="2EAB67A2" w:rsidR="00096F3F" w:rsidRDefault="00096F3F" w:rsidP="00DD3396">
      <w:pPr>
        <w:jc w:val="right"/>
        <w:rPr>
          <w:rFonts w:ascii="Arial" w:hAnsi="Arial" w:cs="Arial"/>
          <w:b/>
          <w:sz w:val="16"/>
          <w:szCs w:val="16"/>
          <w:lang w:val="es-ES" w:eastAsia="es-ES"/>
        </w:rPr>
      </w:pPr>
    </w:p>
    <w:p w14:paraId="00B38B52" w14:textId="54D73B22" w:rsidR="00096F3F" w:rsidRPr="00406EF1" w:rsidRDefault="00096F3F" w:rsidP="00096F3F">
      <w:pPr>
        <w:jc w:val="both"/>
        <w:rPr>
          <w:rFonts w:ascii="Arial" w:hAnsi="Arial" w:cs="Arial"/>
          <w:b/>
          <w:sz w:val="22"/>
          <w:szCs w:val="22"/>
          <w:lang w:val="es-ES" w:eastAsia="es-ES"/>
        </w:rPr>
      </w:pPr>
      <w:r w:rsidRPr="00406EF1">
        <w:rPr>
          <w:rFonts w:ascii="Arial" w:hAnsi="Arial" w:cs="Arial"/>
          <w:b/>
          <w:sz w:val="22"/>
          <w:szCs w:val="22"/>
          <w:lang w:val="es-ES" w:eastAsia="es-ES"/>
        </w:rPr>
        <w:t>PATRIMONIO AUT</w:t>
      </w:r>
      <w:r w:rsidR="00121559" w:rsidRPr="00406EF1">
        <w:rPr>
          <w:rFonts w:ascii="Arial" w:hAnsi="Arial" w:cs="Arial"/>
          <w:b/>
          <w:sz w:val="22"/>
          <w:szCs w:val="22"/>
          <w:lang w:val="es-ES" w:eastAsia="es-ES"/>
        </w:rPr>
        <w:t>Ó</w:t>
      </w:r>
      <w:r w:rsidRPr="00406EF1">
        <w:rPr>
          <w:rFonts w:ascii="Arial" w:hAnsi="Arial" w:cs="Arial"/>
          <w:b/>
          <w:sz w:val="22"/>
          <w:szCs w:val="22"/>
          <w:lang w:val="es-ES" w:eastAsia="es-ES"/>
        </w:rPr>
        <w:t xml:space="preserve">NOMO – </w:t>
      </w:r>
      <w:r w:rsidR="00121559" w:rsidRPr="00406EF1">
        <w:rPr>
          <w:rFonts w:ascii="Arial" w:hAnsi="Arial" w:cs="Arial"/>
          <w:b/>
          <w:sz w:val="22"/>
          <w:szCs w:val="22"/>
          <w:lang w:val="es-ES" w:eastAsia="es-ES"/>
        </w:rPr>
        <w:t>Autorización legal</w:t>
      </w:r>
    </w:p>
    <w:p w14:paraId="63C287CC" w14:textId="38E09991" w:rsidR="00096F3F" w:rsidRPr="00096F3F" w:rsidRDefault="00096F3F" w:rsidP="00096F3F">
      <w:pPr>
        <w:jc w:val="both"/>
        <w:rPr>
          <w:rFonts w:ascii="Arial" w:hAnsi="Arial" w:cs="Arial"/>
          <w:b/>
          <w:sz w:val="20"/>
          <w:szCs w:val="20"/>
          <w:lang w:val="es-ES" w:eastAsia="es-ES"/>
        </w:rPr>
      </w:pPr>
    </w:p>
    <w:p w14:paraId="09F0BBB4" w14:textId="2EC42D2C" w:rsidR="00110938" w:rsidRPr="00025B53" w:rsidRDefault="00110938" w:rsidP="00025B53">
      <w:pPr>
        <w:jc w:val="both"/>
        <w:rPr>
          <w:rFonts w:ascii="Arial" w:eastAsia="Calibri" w:hAnsi="Arial" w:cs="Arial"/>
          <w:color w:val="000000"/>
          <w:sz w:val="20"/>
          <w:szCs w:val="20"/>
          <w:lang w:val="es-ES" w:eastAsia="en-GB"/>
        </w:rPr>
      </w:pPr>
      <w:r w:rsidRPr="00025B53">
        <w:rPr>
          <w:rFonts w:ascii="Arial" w:hAnsi="Arial" w:cs="Arial"/>
          <w:color w:val="000000"/>
          <w:sz w:val="20"/>
          <w:szCs w:val="20"/>
          <w:lang w:val="es-ES" w:eastAsia="en-GB"/>
        </w:rPr>
        <w:t>En relación con los contratos fiduciarios y la «contratación derivada» de estos, e</w:t>
      </w:r>
      <w:r w:rsidRPr="00025B53">
        <w:rPr>
          <w:rFonts w:ascii="Arial" w:eastAsia="Calibri" w:hAnsi="Arial" w:cs="Arial"/>
          <w:color w:val="000000"/>
          <w:sz w:val="20"/>
          <w:szCs w:val="20"/>
          <w:lang w:val="es-ES" w:eastAsia="en-GB"/>
        </w:rPr>
        <w:t xml:space="preserve">l literal e) del numeral 1.8 de la Circular Externa Única de Colombia Compra Eficiente establece lo siguiente:(e) El SECOP debe contar con la información oficial de la contratación realizada con recursos públicos. </w:t>
      </w:r>
      <w:r w:rsidRPr="00025B53">
        <w:rPr>
          <w:rFonts w:ascii="Arial" w:eastAsia="Calibri" w:hAnsi="Arial" w:cs="Arial"/>
          <w:i/>
          <w:iCs/>
          <w:color w:val="000000"/>
          <w:sz w:val="20"/>
          <w:szCs w:val="20"/>
          <w:lang w:val="es-ES" w:eastAsia="en-GB"/>
        </w:rPr>
        <w:t>Los contratos fiduciarios entendidos como los suscritos entre la Entidad Estatal y la fiduciaria deberán ser publicados por la Entidad Estatal que lo suscriba</w:t>
      </w:r>
      <w:r w:rsidRPr="00025B53">
        <w:rPr>
          <w:rFonts w:ascii="Arial" w:eastAsia="Calibri" w:hAnsi="Arial" w:cs="Arial"/>
          <w:color w:val="000000"/>
          <w:sz w:val="20"/>
          <w:szCs w:val="20"/>
          <w:lang w:val="es-ES" w:eastAsia="en-GB"/>
        </w:rPr>
        <w:t>. Los contratos que realice la fiduciaria en virtud del contrato de fiducia o encargo fiduciario, es decir, la contratación derivada, también deberán ser publicados por la Entidad Estatal con la intervención de la fiduciaria para efectos de la firma del contrato. […]</w:t>
      </w:r>
    </w:p>
    <w:p w14:paraId="735DA89B" w14:textId="77777777" w:rsidR="00110938" w:rsidRPr="00025B53" w:rsidRDefault="00110938" w:rsidP="00025B53">
      <w:pPr>
        <w:jc w:val="both"/>
        <w:rPr>
          <w:rFonts w:ascii="Arial" w:eastAsia="Calibri" w:hAnsi="Arial" w:cs="Arial"/>
          <w:color w:val="000000"/>
          <w:sz w:val="20"/>
          <w:szCs w:val="20"/>
          <w:lang w:val="es-ES" w:eastAsia="en-GB"/>
        </w:rPr>
      </w:pPr>
      <w:r w:rsidRPr="00025B53">
        <w:rPr>
          <w:rFonts w:ascii="Arial" w:eastAsia="Calibri" w:hAnsi="Arial" w:cs="Arial"/>
          <w:color w:val="000000"/>
          <w:sz w:val="20"/>
          <w:szCs w:val="20"/>
          <w:lang w:val="es-ES" w:eastAsia="en-GB"/>
        </w:rPr>
        <w:t>En el caso de que la Entidad Estatal se niegue a publicar la contratación derivada con la intervención de la fiduciaria para efectos de la firma del contrato, la fiduciaria que actúe como vocero de los patrimonios autónomos en calidad de contratante, debe publicar toda la actividad contractual derivada en el SECOP I mediante una cuenta de entidad compradora en el módulo de régimen especial. En este caso Colombia Compra Eficiente recomienda que se cree una cuenta por patrimonio autónomo con la información correspondiente de la fiduciaria en su calidad de vocero. (Cursiva fuera de texto)</w:t>
      </w:r>
    </w:p>
    <w:p w14:paraId="16F63DC4" w14:textId="61792E39" w:rsidR="00FF3F45" w:rsidRPr="00096F3F" w:rsidRDefault="00FF3F45" w:rsidP="00096F3F">
      <w:pPr>
        <w:jc w:val="both"/>
        <w:rPr>
          <w:rFonts w:ascii="Arial" w:eastAsia="Calibri" w:hAnsi="Arial" w:cs="Arial"/>
          <w:b/>
          <w:bCs/>
          <w:sz w:val="20"/>
          <w:szCs w:val="20"/>
        </w:rPr>
      </w:pPr>
    </w:p>
    <w:p w14:paraId="7A348104" w14:textId="7B98D916" w:rsidR="00CD3C3A" w:rsidRPr="00406EF1" w:rsidRDefault="00121559" w:rsidP="00096F3F">
      <w:pPr>
        <w:jc w:val="both"/>
        <w:rPr>
          <w:rFonts w:ascii="Arial" w:eastAsia="Calibri" w:hAnsi="Arial" w:cs="Arial"/>
          <w:b/>
          <w:color w:val="000000" w:themeColor="text1"/>
          <w:sz w:val="22"/>
          <w:szCs w:val="22"/>
        </w:rPr>
      </w:pPr>
      <w:r w:rsidRPr="00406EF1">
        <w:rPr>
          <w:rFonts w:ascii="Arial" w:eastAsia="Calibri" w:hAnsi="Arial" w:cs="Arial"/>
          <w:b/>
          <w:color w:val="000000" w:themeColor="text1"/>
          <w:sz w:val="22"/>
          <w:szCs w:val="22"/>
        </w:rPr>
        <w:t>SECOP II – Deber de publicidad</w:t>
      </w:r>
    </w:p>
    <w:p w14:paraId="7C66B7C0" w14:textId="0BA428FB" w:rsidR="00096F3F" w:rsidRPr="00096F3F" w:rsidRDefault="00096F3F" w:rsidP="00096F3F">
      <w:pPr>
        <w:jc w:val="both"/>
        <w:rPr>
          <w:rFonts w:ascii="Arial" w:eastAsia="Calibri" w:hAnsi="Arial" w:cs="Arial"/>
          <w:b/>
          <w:color w:val="000000" w:themeColor="text1"/>
          <w:sz w:val="20"/>
          <w:szCs w:val="20"/>
        </w:rPr>
      </w:pPr>
    </w:p>
    <w:p w14:paraId="60223BF2" w14:textId="77777777" w:rsidR="00096F3F" w:rsidRPr="00096F3F" w:rsidRDefault="00096F3F" w:rsidP="00096F3F">
      <w:pPr>
        <w:jc w:val="both"/>
        <w:rPr>
          <w:rFonts w:ascii="Arial" w:eastAsia="Calibri" w:hAnsi="Arial" w:cs="Arial"/>
          <w:color w:val="000000" w:themeColor="text1"/>
          <w:sz w:val="20"/>
          <w:szCs w:val="20"/>
          <w:lang w:val="es-ES_tradnl"/>
        </w:rPr>
      </w:pPr>
      <w:r w:rsidRPr="00096F3F">
        <w:rPr>
          <w:rFonts w:ascii="Arial" w:eastAsia="Calibri" w:hAnsi="Arial" w:cs="Arial"/>
          <w:color w:val="000000" w:themeColor="text1"/>
          <w:sz w:val="20"/>
          <w:szCs w:val="20"/>
          <w:lang w:val="es-ES_tradnl"/>
        </w:rPr>
        <w:t xml:space="preserve">Como puede observarse, aunque la publicación en el SECOP I de los documentos relacionados con la actividad contractual ya era obligatoria para las entidades que cuentan con un régimen especial, el artículo 53 de la Ley 2195 de 2022 –que modifica el artículo 13 de la Ley 1150 de 2007– complementa ese deber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1C62A3AF" w14:textId="77777777" w:rsidR="00096F3F" w:rsidRPr="00096F3F" w:rsidRDefault="00096F3F" w:rsidP="00096F3F">
      <w:pPr>
        <w:spacing w:before="120"/>
        <w:jc w:val="both"/>
        <w:rPr>
          <w:rFonts w:ascii="Arial" w:eastAsia="Calibri" w:hAnsi="Arial" w:cs="Arial"/>
          <w:color w:val="000000" w:themeColor="text1"/>
          <w:sz w:val="20"/>
          <w:szCs w:val="20"/>
          <w:lang w:val="es-ES_tradnl"/>
        </w:rPr>
      </w:pPr>
      <w:r w:rsidRPr="00096F3F">
        <w:rPr>
          <w:rFonts w:ascii="Arial" w:eastAsia="Calibri" w:hAnsi="Arial" w:cs="Arial"/>
          <w:color w:val="000000" w:themeColor="text1"/>
          <w:sz w:val="20"/>
          <w:szCs w:val="20"/>
          <w:lang w:val="es-ES_tradnl"/>
        </w:rPr>
        <w:t>La Agencia Nacional de Contratación Pública – Colombia Compra Eficiente considera que al establecer el artículo 53 que este deber se debe cumplir en el SECOP II «o la plataforma transaccional que haga sus veces» esto debe interpretarse en el sentido 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contractual en la nueva plataforma. Por ello, esta Agencia no considera que la disposición analizada al utilizar la expresión indicada, deba entenderse como que las entidades exceptuadas del Estatuto General de Contratación de la Administración Pública pueden emplear sus páginas web o sus propios portales electrónicos, para realizar, a través de ellos, el procedimiento contractual, pues, precisamente, el artículo 53 de la Ley 2195 de 2022 unifica el régimen de publicidad de las entidades estatales en una sola plataforma, actualmente denominada SECOP II. Con esto se logra que la ciudadanía pueda encontrar en un mismo sistema la gestión de la actividad contractual del Estado, garantizándose en mayor grado la transparencia y el acceso a la documentación pública.</w:t>
      </w:r>
    </w:p>
    <w:p w14:paraId="33C4CBC6" w14:textId="77777777" w:rsidR="00096F3F" w:rsidRDefault="00096F3F" w:rsidP="008B685E">
      <w:pPr>
        <w:jc w:val="both"/>
        <w:rPr>
          <w:rFonts w:ascii="Arial" w:eastAsia="Calibri" w:hAnsi="Arial" w:cs="Arial"/>
          <w:b/>
          <w:color w:val="000000" w:themeColor="text1"/>
          <w:sz w:val="22"/>
        </w:rPr>
      </w:pPr>
    </w:p>
    <w:p w14:paraId="1D0A0029" w14:textId="23B4F4EC" w:rsidR="005F16E2" w:rsidRDefault="005F16E2" w:rsidP="008B685E">
      <w:pPr>
        <w:jc w:val="both"/>
        <w:rPr>
          <w:rFonts w:ascii="Arial" w:eastAsia="Calibri" w:hAnsi="Arial" w:cs="Arial"/>
          <w:b/>
          <w:color w:val="000000" w:themeColor="text1"/>
          <w:sz w:val="22"/>
        </w:rPr>
      </w:pPr>
    </w:p>
    <w:p w14:paraId="7024B4E8" w14:textId="4B3D2ACE" w:rsidR="005F16E2" w:rsidRDefault="005F16E2" w:rsidP="008B685E">
      <w:pPr>
        <w:jc w:val="both"/>
        <w:rPr>
          <w:rFonts w:ascii="Arial" w:eastAsia="Calibri" w:hAnsi="Arial" w:cs="Arial"/>
          <w:b/>
          <w:color w:val="000000" w:themeColor="text1"/>
          <w:sz w:val="22"/>
        </w:rPr>
      </w:pPr>
    </w:p>
    <w:p w14:paraId="04A00ADD" w14:textId="0ACD7497" w:rsidR="005F16E2" w:rsidRDefault="005F16E2" w:rsidP="008B685E">
      <w:pPr>
        <w:jc w:val="both"/>
        <w:rPr>
          <w:rFonts w:ascii="Arial" w:eastAsia="Calibri" w:hAnsi="Arial" w:cs="Arial"/>
          <w:b/>
          <w:color w:val="000000" w:themeColor="text1"/>
          <w:sz w:val="22"/>
        </w:rPr>
      </w:pPr>
    </w:p>
    <w:p w14:paraId="06FE7018" w14:textId="6A1EF4C6" w:rsidR="005F16E2" w:rsidRDefault="005F16E2" w:rsidP="008B685E">
      <w:pPr>
        <w:jc w:val="both"/>
        <w:rPr>
          <w:rFonts w:ascii="Arial" w:eastAsia="Calibri" w:hAnsi="Arial" w:cs="Arial"/>
          <w:b/>
          <w:color w:val="000000" w:themeColor="text1"/>
          <w:sz w:val="22"/>
        </w:rPr>
      </w:pPr>
    </w:p>
    <w:p w14:paraId="4BAC9904" w14:textId="2337FAF6" w:rsidR="004B61EA" w:rsidRPr="004B61EA" w:rsidRDefault="004B61EA" w:rsidP="004B61EA"/>
    <w:p w14:paraId="793AF0F6" w14:textId="77777777" w:rsidR="00096F3F" w:rsidRDefault="00096F3F" w:rsidP="00096F3F">
      <w:pPr>
        <w:rPr>
          <w:rFonts w:ascii="Arial" w:eastAsia="Calibri" w:hAnsi="Arial" w:cs="Arial"/>
          <w:b/>
          <w:bCs/>
          <w:sz w:val="20"/>
          <w:szCs w:val="20"/>
        </w:rPr>
      </w:pPr>
    </w:p>
    <w:p w14:paraId="6DE76777" w14:textId="6F49B1E7" w:rsidR="00FE3EAA" w:rsidRPr="00FE3EAA" w:rsidRDefault="004C46BC" w:rsidP="00096F3F">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2BE4C325" w14:textId="77777777" w:rsidR="00CF6814" w:rsidRDefault="00CF6814" w:rsidP="00DD3396">
      <w:pPr>
        <w:rPr>
          <w:rFonts w:ascii="Arial" w:eastAsia="Calibri" w:hAnsi="Arial" w:cs="Arial"/>
          <w:sz w:val="22"/>
          <w:szCs w:val="22"/>
          <w:lang w:val="es-ES"/>
        </w:rPr>
      </w:pPr>
    </w:p>
    <w:p w14:paraId="71BD1AA1" w14:textId="0DEB0E9D" w:rsidR="004C46BC" w:rsidRDefault="004B61EA" w:rsidP="004B61EA">
      <w:pPr>
        <w:jc w:val="right"/>
        <w:rPr>
          <w:rFonts w:ascii="Arial" w:eastAsia="Calibri" w:hAnsi="Arial" w:cs="Arial"/>
          <w:sz w:val="22"/>
          <w:szCs w:val="22"/>
          <w:lang w:val="es-ES"/>
        </w:rPr>
      </w:pPr>
      <w:r w:rsidRPr="004B61EA">
        <w:fldChar w:fldCharType="begin"/>
      </w:r>
      <w:r w:rsidRPr="004B61EA">
        <w:instrText xml:space="preserve"> INCLUDEPICTURE "/var/folders/tb/0fmk9b510f57pz5rwhv8lnpw0000gp/T/com.microsoft.Word/WebArchiveCopyPasteTempFiles/page1image42077024" \* MERGEFORMATINET </w:instrText>
      </w:r>
      <w:r w:rsidRPr="004B61EA">
        <w:fldChar w:fldCharType="separate"/>
      </w:r>
      <w:r w:rsidRPr="004B61EA">
        <w:rPr>
          <w:noProof/>
        </w:rPr>
        <w:drawing>
          <wp:inline distT="0" distB="0" distL="0" distR="0" wp14:anchorId="0D9C5B4E" wp14:editId="426770A4">
            <wp:extent cx="2401570" cy="605790"/>
            <wp:effectExtent l="0" t="0" r="0" b="3810"/>
            <wp:docPr id="1" name="Imagen 1" descr="page1image4207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20770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1570" cy="605790"/>
                    </a:xfrm>
                    <a:prstGeom prst="rect">
                      <a:avLst/>
                    </a:prstGeom>
                    <a:noFill/>
                    <a:ln>
                      <a:noFill/>
                    </a:ln>
                  </pic:spPr>
                </pic:pic>
              </a:graphicData>
            </a:graphic>
          </wp:inline>
        </w:drawing>
      </w:r>
      <w:r w:rsidRPr="004B61EA">
        <w:fldChar w:fldCharType="end"/>
      </w:r>
    </w:p>
    <w:p w14:paraId="02751DA7" w14:textId="015F36D4" w:rsidR="004C46BC" w:rsidRDefault="004C46BC" w:rsidP="00406EF1">
      <w:pPr>
        <w:spacing w:line="276" w:lineRule="auto"/>
        <w:jc w:val="both"/>
        <w:rPr>
          <w:rFonts w:ascii="Arial" w:eastAsia="Calibri" w:hAnsi="Arial" w:cs="Arial"/>
          <w:sz w:val="22"/>
          <w:szCs w:val="22"/>
          <w:lang w:val="es-ES"/>
        </w:rPr>
      </w:pPr>
      <w:r>
        <w:rPr>
          <w:rFonts w:ascii="Arial" w:eastAsia="Calibri" w:hAnsi="Arial" w:cs="Arial"/>
          <w:sz w:val="22"/>
          <w:szCs w:val="22"/>
          <w:lang w:val="es-ES"/>
        </w:rPr>
        <w:t>Bogotá D.C</w:t>
      </w:r>
      <w:r w:rsidR="00750D83">
        <w:rPr>
          <w:rFonts w:ascii="Arial" w:eastAsia="Calibri" w:hAnsi="Arial" w:cs="Arial"/>
          <w:sz w:val="22"/>
          <w:szCs w:val="22"/>
          <w:lang w:val="es-ES"/>
        </w:rPr>
        <w:t>.</w:t>
      </w:r>
      <w:r>
        <w:rPr>
          <w:rFonts w:ascii="Arial" w:eastAsia="Calibri" w:hAnsi="Arial" w:cs="Arial"/>
          <w:sz w:val="22"/>
          <w:szCs w:val="22"/>
          <w:lang w:val="es-ES"/>
        </w:rPr>
        <w:t>,</w:t>
      </w:r>
      <w:r w:rsidR="004B61EA" w:rsidRPr="00406EF1">
        <w:rPr>
          <w:rFonts w:ascii="Arial" w:eastAsia="Calibri" w:hAnsi="Arial" w:cs="Arial"/>
          <w:sz w:val="22"/>
          <w:szCs w:val="22"/>
          <w:lang w:val="es-ES"/>
        </w:rPr>
        <w:t xml:space="preserve"> </w:t>
      </w:r>
      <w:r w:rsidR="00406EF1" w:rsidRPr="00406EF1">
        <w:rPr>
          <w:rFonts w:ascii="Arial" w:eastAsia="Calibri" w:hAnsi="Arial" w:cs="Arial"/>
          <w:sz w:val="22"/>
          <w:szCs w:val="22"/>
          <w:lang w:val="es-ES"/>
        </w:rPr>
        <w:t>13 de julio de 2022</w:t>
      </w:r>
    </w:p>
    <w:p w14:paraId="4B9BB12D" w14:textId="77777777" w:rsidR="004C46BC" w:rsidRDefault="004C46BC" w:rsidP="00DD3396">
      <w:pPr>
        <w:rPr>
          <w:rFonts w:ascii="Arial" w:eastAsia="Calibri" w:hAnsi="Arial" w:cs="Arial"/>
          <w:sz w:val="22"/>
          <w:szCs w:val="22"/>
          <w:lang w:val="es-ES"/>
        </w:rPr>
      </w:pPr>
    </w:p>
    <w:p w14:paraId="42A7F8C8" w14:textId="77777777" w:rsidR="004C46BC" w:rsidRDefault="004C46BC" w:rsidP="00DD3396">
      <w:pPr>
        <w:rPr>
          <w:rFonts w:ascii="Arial" w:eastAsia="Calibri" w:hAnsi="Arial" w:cs="Arial"/>
          <w:sz w:val="22"/>
          <w:szCs w:val="22"/>
          <w:lang w:val="es-ES"/>
        </w:rPr>
      </w:pPr>
    </w:p>
    <w:p w14:paraId="43041A3F" w14:textId="7254CF7D" w:rsidR="00DD3396" w:rsidRDefault="00DD3396" w:rsidP="00DD3396">
      <w:pPr>
        <w:rPr>
          <w:rFonts w:ascii="Arial" w:eastAsia="Calibri" w:hAnsi="Arial" w:cs="Arial"/>
          <w:sz w:val="22"/>
          <w:szCs w:val="22"/>
          <w:lang w:val="es-ES"/>
        </w:rPr>
      </w:pPr>
      <w:r w:rsidRPr="006244FD">
        <w:rPr>
          <w:rFonts w:ascii="Arial" w:eastAsia="Calibri" w:hAnsi="Arial" w:cs="Arial"/>
          <w:sz w:val="22"/>
          <w:szCs w:val="22"/>
          <w:lang w:val="es-ES"/>
        </w:rPr>
        <w:t>Señor</w:t>
      </w:r>
      <w:r w:rsidR="00D037FE">
        <w:rPr>
          <w:rFonts w:ascii="Arial" w:eastAsia="Calibri" w:hAnsi="Arial" w:cs="Arial"/>
          <w:sz w:val="22"/>
          <w:szCs w:val="22"/>
          <w:lang w:val="es-ES"/>
        </w:rPr>
        <w:t>a</w:t>
      </w:r>
    </w:p>
    <w:p w14:paraId="3AA8E7A5" w14:textId="3221ED9C" w:rsidR="00D037FE" w:rsidRDefault="00D037FE" w:rsidP="00DD3396">
      <w:pPr>
        <w:rPr>
          <w:rFonts w:ascii="Arial" w:eastAsia="Calibri" w:hAnsi="Arial" w:cs="Arial"/>
          <w:b/>
          <w:bCs/>
          <w:sz w:val="22"/>
          <w:szCs w:val="22"/>
          <w:lang w:val="es-ES"/>
        </w:rPr>
      </w:pPr>
      <w:r w:rsidRPr="00D037FE">
        <w:rPr>
          <w:rFonts w:ascii="Arial" w:eastAsia="Calibri" w:hAnsi="Arial" w:cs="Arial"/>
          <w:b/>
          <w:bCs/>
          <w:sz w:val="22"/>
          <w:szCs w:val="22"/>
          <w:lang w:val="es-ES"/>
        </w:rPr>
        <w:t>Keila Duran Rodríguez</w:t>
      </w:r>
    </w:p>
    <w:p w14:paraId="75074BB3" w14:textId="0F855FCE" w:rsidR="00DD3396" w:rsidRPr="00924DEF" w:rsidRDefault="00D037FE" w:rsidP="00DD3396">
      <w:pPr>
        <w:rPr>
          <w:rFonts w:ascii="Arial" w:eastAsia="Calibri" w:hAnsi="Arial" w:cs="Arial"/>
          <w:sz w:val="22"/>
          <w:szCs w:val="22"/>
          <w:lang w:val="es-ES"/>
        </w:rPr>
      </w:pPr>
      <w:r>
        <w:rPr>
          <w:rFonts w:ascii="Arial" w:eastAsia="Calibri" w:hAnsi="Arial" w:cs="Arial"/>
          <w:sz w:val="22"/>
          <w:szCs w:val="22"/>
          <w:lang w:val="es-ES"/>
        </w:rPr>
        <w:t xml:space="preserve">Bogotá D.C, </w:t>
      </w:r>
    </w:p>
    <w:p w14:paraId="33F00292" w14:textId="77777777" w:rsidR="00DD3396" w:rsidRPr="00924DEF" w:rsidRDefault="00DD3396" w:rsidP="00DD3396">
      <w:pPr>
        <w:rPr>
          <w:rFonts w:ascii="Arial" w:eastAsia="Calibri" w:hAnsi="Arial" w:cs="Arial"/>
          <w:b/>
          <w:sz w:val="22"/>
          <w:szCs w:val="22"/>
          <w:lang w:val="es-ES"/>
        </w:rPr>
      </w:pPr>
    </w:p>
    <w:p w14:paraId="199F6E49" w14:textId="75F5A459" w:rsidR="00DD3396" w:rsidRPr="00F35189" w:rsidRDefault="00DD3396" w:rsidP="00025B53">
      <w:pPr>
        <w:jc w:val="center"/>
        <w:rPr>
          <w:rFonts w:ascii="Arial" w:eastAsia="Calibri" w:hAnsi="Arial" w:cs="Arial"/>
          <w:b/>
          <w:sz w:val="22"/>
          <w:szCs w:val="22"/>
          <w:lang w:val="es-ES"/>
        </w:rPr>
      </w:pPr>
      <w:r w:rsidRPr="00F35189">
        <w:rPr>
          <w:rFonts w:ascii="Arial" w:eastAsia="Calibri" w:hAnsi="Arial" w:cs="Arial"/>
          <w:b/>
          <w:sz w:val="22"/>
          <w:szCs w:val="22"/>
          <w:lang w:val="es-ES"/>
        </w:rPr>
        <w:t xml:space="preserve">Concepto C – </w:t>
      </w:r>
      <w:r w:rsidR="005F16E2">
        <w:rPr>
          <w:rFonts w:ascii="Arial" w:eastAsia="Calibri" w:hAnsi="Arial" w:cs="Arial"/>
          <w:b/>
          <w:sz w:val="22"/>
          <w:szCs w:val="22"/>
          <w:lang w:val="es-ES"/>
        </w:rPr>
        <w:t>422</w:t>
      </w:r>
      <w:r w:rsidRPr="00F35189">
        <w:rPr>
          <w:rFonts w:ascii="Arial" w:eastAsia="Calibri" w:hAnsi="Arial" w:cs="Arial"/>
          <w:b/>
          <w:sz w:val="22"/>
          <w:szCs w:val="22"/>
          <w:lang w:val="es-ES"/>
        </w:rPr>
        <w:t xml:space="preserve"> de 2022</w:t>
      </w:r>
    </w:p>
    <w:p w14:paraId="1456B8CB" w14:textId="77777777" w:rsidR="00DD3396" w:rsidRPr="00F35189" w:rsidRDefault="00DD3396" w:rsidP="00DD3396">
      <w:pPr>
        <w:rPr>
          <w:rFonts w:ascii="Arial" w:eastAsia="Calibri" w:hAnsi="Arial" w:cs="Arial"/>
          <w:b/>
          <w:sz w:val="22"/>
          <w:szCs w:val="22"/>
          <w:lang w:val="es-ES"/>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095"/>
      </w:tblGrid>
      <w:tr w:rsidR="00DD3396" w:rsidRPr="002F6BE4" w14:paraId="5E976589" w14:textId="77777777" w:rsidTr="002F6BE4">
        <w:trPr>
          <w:trHeight w:val="550"/>
        </w:trPr>
        <w:tc>
          <w:tcPr>
            <w:tcW w:w="2552" w:type="dxa"/>
          </w:tcPr>
          <w:p w14:paraId="5DFC0827" w14:textId="3A90D0F7" w:rsidR="00DD3396" w:rsidRPr="00DD3CDF" w:rsidRDefault="00DD3396" w:rsidP="008A5DF2">
            <w:pPr>
              <w:rPr>
                <w:rFonts w:ascii="Arial" w:eastAsia="Calibri" w:hAnsi="Arial" w:cs="Arial"/>
                <w:sz w:val="22"/>
                <w:szCs w:val="22"/>
                <w:lang w:val="es-ES"/>
              </w:rPr>
            </w:pPr>
            <w:r w:rsidRPr="00DD3CDF">
              <w:rPr>
                <w:rFonts w:ascii="Arial" w:eastAsia="Calibri" w:hAnsi="Arial" w:cs="Arial"/>
                <w:b/>
                <w:sz w:val="22"/>
                <w:szCs w:val="22"/>
                <w:lang w:val="es-ES"/>
              </w:rPr>
              <w:t>Temas:</w:t>
            </w:r>
            <w:r w:rsidR="00287580">
              <w:rPr>
                <w:rFonts w:ascii="Arial" w:eastAsia="Calibri" w:hAnsi="Arial" w:cs="Arial"/>
                <w:sz w:val="22"/>
                <w:szCs w:val="22"/>
                <w:lang w:val="es-ES"/>
              </w:rPr>
              <w:t xml:space="preserve">                  </w:t>
            </w:r>
          </w:p>
        </w:tc>
        <w:tc>
          <w:tcPr>
            <w:tcW w:w="6095" w:type="dxa"/>
          </w:tcPr>
          <w:p w14:paraId="3A65B8CB" w14:textId="77777777" w:rsidR="00096F3F" w:rsidRPr="00DD3CDF" w:rsidRDefault="00096F3F" w:rsidP="00096F3F">
            <w:pPr>
              <w:jc w:val="right"/>
              <w:rPr>
                <w:rFonts w:ascii="Arial" w:hAnsi="Arial" w:cs="Arial"/>
                <w:bCs/>
                <w:sz w:val="22"/>
                <w:szCs w:val="22"/>
                <w:lang w:val="es-ES" w:eastAsia="es-ES"/>
              </w:rPr>
            </w:pPr>
          </w:p>
          <w:p w14:paraId="7B4582A6" w14:textId="08F435C0" w:rsidR="001E528E" w:rsidRDefault="00096F3F" w:rsidP="00DD3CDF">
            <w:pPr>
              <w:jc w:val="both"/>
              <w:rPr>
                <w:rFonts w:ascii="Arial" w:eastAsia="Calibri" w:hAnsi="Arial" w:cs="Arial"/>
                <w:bCs/>
                <w:color w:val="000000" w:themeColor="text1"/>
                <w:sz w:val="22"/>
                <w:szCs w:val="22"/>
              </w:rPr>
            </w:pPr>
            <w:r w:rsidRPr="00DD3CDF">
              <w:rPr>
                <w:rFonts w:ascii="Arial" w:hAnsi="Arial" w:cs="Arial"/>
                <w:bCs/>
                <w:sz w:val="22"/>
                <w:szCs w:val="22"/>
                <w:lang w:val="es-ES" w:eastAsia="es-ES"/>
              </w:rPr>
              <w:t>PATRIMONIO AUTON</w:t>
            </w:r>
            <w:r w:rsidR="00121559">
              <w:rPr>
                <w:rFonts w:ascii="Arial" w:hAnsi="Arial" w:cs="Arial"/>
                <w:bCs/>
                <w:sz w:val="22"/>
                <w:szCs w:val="22"/>
                <w:lang w:val="es-ES" w:eastAsia="es-ES"/>
              </w:rPr>
              <w:t>Ó</w:t>
            </w:r>
            <w:r w:rsidRPr="00DD3CDF">
              <w:rPr>
                <w:rFonts w:ascii="Arial" w:hAnsi="Arial" w:cs="Arial"/>
                <w:bCs/>
                <w:sz w:val="22"/>
                <w:szCs w:val="22"/>
                <w:lang w:val="es-ES" w:eastAsia="es-ES"/>
              </w:rPr>
              <w:t xml:space="preserve">MO – </w:t>
            </w:r>
            <w:r w:rsidR="00121559">
              <w:rPr>
                <w:rFonts w:ascii="Arial" w:hAnsi="Arial" w:cs="Arial"/>
                <w:bCs/>
                <w:sz w:val="22"/>
                <w:szCs w:val="22"/>
                <w:lang w:val="es-ES" w:eastAsia="es-ES"/>
              </w:rPr>
              <w:t>Autorización legal</w:t>
            </w:r>
            <w:r w:rsidRPr="00DD3CDF">
              <w:rPr>
                <w:rFonts w:ascii="Arial" w:hAnsi="Arial" w:cs="Arial"/>
                <w:bCs/>
                <w:sz w:val="22"/>
                <w:szCs w:val="22"/>
                <w:lang w:val="es-ES" w:eastAsia="es-ES"/>
              </w:rPr>
              <w:t xml:space="preserve"> / </w:t>
            </w:r>
            <w:r w:rsidR="00121559">
              <w:rPr>
                <w:rFonts w:ascii="Arial" w:eastAsia="Calibri" w:hAnsi="Arial" w:cs="Arial"/>
                <w:bCs/>
                <w:color w:val="000000" w:themeColor="text1"/>
                <w:sz w:val="22"/>
                <w:szCs w:val="22"/>
              </w:rPr>
              <w:t>SECOP II – Deber de publicidad</w:t>
            </w:r>
            <w:r w:rsidRPr="00DD3CDF">
              <w:rPr>
                <w:rFonts w:ascii="Arial" w:eastAsia="Calibri" w:hAnsi="Arial" w:cs="Arial"/>
                <w:bCs/>
                <w:color w:val="000000" w:themeColor="text1"/>
                <w:sz w:val="22"/>
                <w:szCs w:val="22"/>
              </w:rPr>
              <w:t xml:space="preserve"> </w:t>
            </w:r>
          </w:p>
          <w:p w14:paraId="10DF38EC" w14:textId="25D1C37E" w:rsidR="00DD3CDF" w:rsidRPr="00DD3CDF" w:rsidRDefault="00DD3CDF" w:rsidP="00DD3CDF">
            <w:pPr>
              <w:jc w:val="both"/>
              <w:rPr>
                <w:rFonts w:ascii="Arial" w:eastAsia="Calibri" w:hAnsi="Arial" w:cs="Arial"/>
                <w:sz w:val="22"/>
                <w:szCs w:val="22"/>
              </w:rPr>
            </w:pPr>
          </w:p>
        </w:tc>
      </w:tr>
      <w:tr w:rsidR="00DD3396" w:rsidRPr="00F35189" w14:paraId="173B1FB9" w14:textId="77777777" w:rsidTr="002F6BE4">
        <w:tc>
          <w:tcPr>
            <w:tcW w:w="2552" w:type="dxa"/>
          </w:tcPr>
          <w:p w14:paraId="711F34A0" w14:textId="2742DF8C" w:rsidR="00DD3396" w:rsidRPr="00DD3CDF" w:rsidRDefault="00DD3396" w:rsidP="008A5DF2">
            <w:pPr>
              <w:rPr>
                <w:rFonts w:ascii="Arial" w:eastAsia="Calibri" w:hAnsi="Arial" w:cs="Arial"/>
                <w:sz w:val="22"/>
                <w:szCs w:val="22"/>
                <w:lang w:val="es-ES"/>
              </w:rPr>
            </w:pPr>
            <w:r w:rsidRPr="00DD3CDF">
              <w:rPr>
                <w:rFonts w:ascii="Arial" w:eastAsia="Calibri" w:hAnsi="Arial" w:cs="Arial"/>
                <w:b/>
                <w:sz w:val="22"/>
                <w:szCs w:val="22"/>
                <w:lang w:val="es-ES"/>
              </w:rPr>
              <w:t>Radicación:</w:t>
            </w:r>
            <w:r w:rsidR="00287580">
              <w:rPr>
                <w:rFonts w:ascii="Arial" w:eastAsia="Calibri" w:hAnsi="Arial" w:cs="Arial"/>
                <w:sz w:val="22"/>
                <w:szCs w:val="22"/>
                <w:lang w:val="es-ES"/>
              </w:rPr>
              <w:t xml:space="preserve">               </w:t>
            </w:r>
          </w:p>
        </w:tc>
        <w:tc>
          <w:tcPr>
            <w:tcW w:w="6095" w:type="dxa"/>
          </w:tcPr>
          <w:p w14:paraId="5532C1A1" w14:textId="4C2E62AC" w:rsidR="00DD3396" w:rsidRPr="00DD3CDF" w:rsidRDefault="00DD3396" w:rsidP="00FE3EAA">
            <w:pPr>
              <w:pStyle w:val="Sinespaciado"/>
              <w:jc w:val="both"/>
              <w:rPr>
                <w:rFonts w:ascii="Arial" w:hAnsi="Arial" w:cs="Arial"/>
                <w:sz w:val="22"/>
              </w:rPr>
            </w:pPr>
            <w:r w:rsidRPr="00DD3CDF">
              <w:rPr>
                <w:rFonts w:ascii="Arial" w:eastAsia="Calibri" w:hAnsi="Arial" w:cs="Arial"/>
                <w:sz w:val="22"/>
                <w:lang w:val="es-ES"/>
              </w:rPr>
              <w:t xml:space="preserve">Respuesta a consulta </w:t>
            </w:r>
            <w:r w:rsidR="00D037FE" w:rsidRPr="00DD3CDF">
              <w:rPr>
                <w:rFonts w:ascii="Arial" w:eastAsia="Calibri" w:hAnsi="Arial" w:cs="Arial"/>
                <w:sz w:val="22"/>
                <w:lang w:val="es-ES"/>
              </w:rPr>
              <w:t>P20220518004912</w:t>
            </w:r>
          </w:p>
        </w:tc>
      </w:tr>
    </w:tbl>
    <w:p w14:paraId="523CB4B4" w14:textId="77777777" w:rsidR="00DD3396" w:rsidRPr="00924DEF" w:rsidRDefault="00DD3396" w:rsidP="00DD3396">
      <w:pPr>
        <w:spacing w:line="276" w:lineRule="auto"/>
        <w:rPr>
          <w:rFonts w:ascii="Arial" w:eastAsia="Calibri" w:hAnsi="Arial" w:cs="Arial"/>
          <w:sz w:val="22"/>
          <w:szCs w:val="22"/>
          <w:lang w:val="es-ES"/>
        </w:rPr>
      </w:pPr>
    </w:p>
    <w:p w14:paraId="7DED3594" w14:textId="77777777" w:rsidR="00DD3396" w:rsidRPr="00924DEF" w:rsidRDefault="00DD3396" w:rsidP="00DD3396">
      <w:pPr>
        <w:spacing w:line="276" w:lineRule="auto"/>
        <w:rPr>
          <w:rFonts w:ascii="Arial" w:eastAsia="Calibri" w:hAnsi="Arial" w:cs="Arial"/>
          <w:sz w:val="22"/>
          <w:szCs w:val="22"/>
          <w:lang w:val="es-ES"/>
        </w:rPr>
      </w:pPr>
    </w:p>
    <w:p w14:paraId="102D66F4" w14:textId="4724E8CB" w:rsidR="00DD3396" w:rsidRPr="00924DEF" w:rsidRDefault="00DD3396" w:rsidP="00DD3396">
      <w:pPr>
        <w:tabs>
          <w:tab w:val="left" w:pos="3736"/>
        </w:tabs>
        <w:spacing w:line="276" w:lineRule="auto"/>
        <w:rPr>
          <w:rFonts w:ascii="Arial" w:eastAsia="Calibri" w:hAnsi="Arial" w:cs="Arial"/>
          <w:sz w:val="22"/>
          <w:szCs w:val="22"/>
          <w:lang w:val="es-ES"/>
        </w:rPr>
      </w:pPr>
      <w:r w:rsidRPr="00924DEF">
        <w:rPr>
          <w:rFonts w:ascii="Arial" w:eastAsia="Calibri" w:hAnsi="Arial" w:cs="Arial"/>
          <w:sz w:val="22"/>
          <w:szCs w:val="22"/>
          <w:lang w:val="es-ES"/>
        </w:rPr>
        <w:t>Estima</w:t>
      </w:r>
      <w:r w:rsidR="005F16E2">
        <w:rPr>
          <w:rFonts w:ascii="Arial" w:eastAsia="Calibri" w:hAnsi="Arial" w:cs="Arial"/>
          <w:sz w:val="22"/>
          <w:szCs w:val="22"/>
          <w:lang w:val="es-ES"/>
        </w:rPr>
        <w:t>d</w:t>
      </w:r>
      <w:r w:rsidR="00D037FE">
        <w:rPr>
          <w:rFonts w:ascii="Arial" w:eastAsia="Calibri" w:hAnsi="Arial" w:cs="Arial"/>
          <w:sz w:val="22"/>
          <w:szCs w:val="22"/>
          <w:lang w:val="es-ES"/>
        </w:rPr>
        <w:t>a Señora Duran</w:t>
      </w:r>
      <w:r w:rsidR="002A64A3">
        <w:rPr>
          <w:rFonts w:ascii="Arial" w:eastAsia="Calibri" w:hAnsi="Arial" w:cs="Arial"/>
          <w:sz w:val="22"/>
          <w:szCs w:val="22"/>
          <w:lang w:val="es-ES"/>
        </w:rPr>
        <w:t>:</w:t>
      </w:r>
      <w:r w:rsidRPr="00924DEF">
        <w:rPr>
          <w:rFonts w:ascii="Arial" w:eastAsia="Calibri" w:hAnsi="Arial" w:cs="Arial"/>
          <w:sz w:val="22"/>
          <w:szCs w:val="22"/>
          <w:lang w:val="es-ES"/>
        </w:rPr>
        <w:tab/>
      </w:r>
    </w:p>
    <w:p w14:paraId="38D35F9B" w14:textId="77777777" w:rsidR="00DD3396" w:rsidRPr="00924DEF" w:rsidRDefault="00DD3396" w:rsidP="00DD3396">
      <w:pPr>
        <w:spacing w:line="276" w:lineRule="auto"/>
        <w:rPr>
          <w:rFonts w:ascii="Arial" w:eastAsia="Calibri" w:hAnsi="Arial" w:cs="Arial"/>
          <w:sz w:val="22"/>
          <w:szCs w:val="22"/>
          <w:lang w:val="es-ES"/>
        </w:rPr>
      </w:pPr>
    </w:p>
    <w:p w14:paraId="2007834B" w14:textId="6DDD8572" w:rsidR="00DD3396" w:rsidRPr="00924DEF" w:rsidRDefault="00DD3396" w:rsidP="00DD3396">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La Agencia Nacional de Contratación Pública – Colombia Compra Eficiente, en ejercicio de la competencia otorgada por el numeral 8 del artículo 11 y el numeral 5 del artículo 3 del Decreto Ley 4170 de 2011</w:t>
      </w:r>
      <w:r>
        <w:rPr>
          <w:rFonts w:ascii="Arial" w:eastAsia="Calibri" w:hAnsi="Arial" w:cs="Arial"/>
          <w:sz w:val="22"/>
          <w:szCs w:val="22"/>
          <w:lang w:val="es-ES"/>
        </w:rPr>
        <w:t xml:space="preserve">, </w:t>
      </w:r>
      <w:r w:rsidRPr="00924DEF">
        <w:rPr>
          <w:rFonts w:ascii="Arial" w:eastAsia="Calibri" w:hAnsi="Arial" w:cs="Arial"/>
          <w:sz w:val="22"/>
          <w:szCs w:val="22"/>
          <w:lang w:val="es-ES"/>
        </w:rPr>
        <w:t xml:space="preserve">responde a su consulta del </w:t>
      </w:r>
      <w:r w:rsidR="00FE3EAA">
        <w:rPr>
          <w:rFonts w:ascii="Arial" w:eastAsia="Calibri" w:hAnsi="Arial" w:cs="Arial"/>
          <w:sz w:val="22"/>
          <w:szCs w:val="22"/>
          <w:lang w:val="es-ES"/>
        </w:rPr>
        <w:t>de</w:t>
      </w:r>
      <w:r w:rsidR="00D037FE">
        <w:rPr>
          <w:rFonts w:ascii="Arial" w:eastAsia="Calibri" w:hAnsi="Arial" w:cs="Arial"/>
          <w:sz w:val="22"/>
          <w:szCs w:val="22"/>
          <w:lang w:val="es-ES"/>
        </w:rPr>
        <w:t xml:space="preserve"> 18</w:t>
      </w:r>
      <w:r w:rsidR="00FE3EAA">
        <w:rPr>
          <w:rFonts w:ascii="Arial" w:eastAsia="Calibri" w:hAnsi="Arial" w:cs="Arial"/>
          <w:sz w:val="22"/>
          <w:szCs w:val="22"/>
          <w:lang w:val="es-ES"/>
        </w:rPr>
        <w:t xml:space="preserve"> mayo</w:t>
      </w:r>
      <w:r w:rsidR="000734EC">
        <w:rPr>
          <w:rFonts w:ascii="Arial" w:eastAsia="Calibri" w:hAnsi="Arial" w:cs="Arial"/>
          <w:sz w:val="22"/>
          <w:szCs w:val="22"/>
          <w:lang w:val="es-ES"/>
        </w:rPr>
        <w:t xml:space="preserve"> </w:t>
      </w:r>
      <w:r>
        <w:rPr>
          <w:rFonts w:ascii="Arial" w:eastAsia="Calibri" w:hAnsi="Arial" w:cs="Arial"/>
          <w:sz w:val="22"/>
          <w:szCs w:val="22"/>
          <w:lang w:val="es-ES"/>
        </w:rPr>
        <w:t>de 2022.</w:t>
      </w:r>
    </w:p>
    <w:p w14:paraId="5B44A0BF" w14:textId="77777777" w:rsidR="00DD3396" w:rsidRPr="00924DEF" w:rsidRDefault="00DD3396" w:rsidP="00DD3396">
      <w:pPr>
        <w:pStyle w:val="Prrafodelista"/>
        <w:spacing w:line="276" w:lineRule="auto"/>
        <w:ind w:left="0"/>
        <w:rPr>
          <w:rFonts w:ascii="Arial" w:eastAsia="Calibri" w:hAnsi="Arial" w:cs="Arial"/>
          <w:sz w:val="22"/>
          <w:lang w:val="es-ES"/>
        </w:rPr>
      </w:pPr>
    </w:p>
    <w:p w14:paraId="72D7AAAE" w14:textId="77777777" w:rsidR="00DD3396" w:rsidRPr="00924DEF" w:rsidRDefault="00DD3396" w:rsidP="00DD3396">
      <w:pPr>
        <w:tabs>
          <w:tab w:val="left" w:pos="0"/>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1. Problema planteado</w:t>
      </w:r>
    </w:p>
    <w:p w14:paraId="56BBD99C" w14:textId="77777777" w:rsidR="00DD3396" w:rsidRPr="00924DEF" w:rsidRDefault="00DD3396" w:rsidP="00DD3396">
      <w:pPr>
        <w:rPr>
          <w:rFonts w:ascii="Arial" w:eastAsia="Calibri" w:hAnsi="Arial" w:cs="Arial"/>
          <w:sz w:val="22"/>
          <w:szCs w:val="22"/>
          <w:lang w:val="es-ES"/>
        </w:rPr>
      </w:pPr>
    </w:p>
    <w:p w14:paraId="051A992F" w14:textId="15E97F45" w:rsidR="002E40EF" w:rsidRDefault="00DD3396" w:rsidP="00FE3EAA">
      <w:pPr>
        <w:pStyle w:val="Sinespaciado"/>
        <w:jc w:val="both"/>
        <w:rPr>
          <w:rFonts w:ascii="Arial" w:eastAsia="Calibri" w:hAnsi="Arial" w:cs="Arial"/>
          <w:sz w:val="22"/>
          <w:lang w:val="es-ES"/>
        </w:rPr>
      </w:pPr>
      <w:r w:rsidRPr="00FE3EAA">
        <w:rPr>
          <w:rFonts w:ascii="Arial" w:eastAsia="Calibri" w:hAnsi="Arial" w:cs="Arial"/>
          <w:sz w:val="22"/>
          <w:lang w:val="es-ES"/>
        </w:rPr>
        <w:t>Usted realiza la siguiente pregunta</w:t>
      </w:r>
      <w:r w:rsidR="00101B46">
        <w:rPr>
          <w:rFonts w:ascii="Arial" w:eastAsia="Calibri" w:hAnsi="Arial" w:cs="Arial"/>
          <w:sz w:val="22"/>
          <w:lang w:val="es-ES"/>
        </w:rPr>
        <w:t>, relacionada con la publicidad en el SECOP por parte de los patrimonios autónomos</w:t>
      </w:r>
      <w:r w:rsidRPr="00FE3EAA">
        <w:rPr>
          <w:rFonts w:ascii="Arial" w:eastAsia="Calibri" w:hAnsi="Arial" w:cs="Arial"/>
          <w:sz w:val="22"/>
          <w:lang w:val="es-ES"/>
        </w:rPr>
        <w:t>:</w:t>
      </w:r>
      <w:r w:rsidR="00FE3EAA" w:rsidRPr="00FE3EAA">
        <w:rPr>
          <w:rFonts w:ascii="Arial" w:eastAsia="Calibri" w:hAnsi="Arial" w:cs="Arial"/>
          <w:sz w:val="22"/>
          <w:lang w:val="es-ES"/>
        </w:rPr>
        <w:t xml:space="preserve"> </w:t>
      </w:r>
    </w:p>
    <w:p w14:paraId="0FCE11AD" w14:textId="70C8A917" w:rsidR="001032B4" w:rsidRPr="00915507" w:rsidRDefault="00FE3EAA" w:rsidP="00C750D4">
      <w:pPr>
        <w:pStyle w:val="NormalWeb"/>
        <w:ind w:left="709" w:right="709"/>
        <w:jc w:val="both"/>
        <w:rPr>
          <w:rFonts w:ascii="Arial" w:hAnsi="Arial" w:cs="Arial"/>
          <w:sz w:val="21"/>
          <w:szCs w:val="21"/>
        </w:rPr>
      </w:pPr>
      <w:r w:rsidRPr="00915507">
        <w:rPr>
          <w:rFonts w:ascii="Arial" w:hAnsi="Arial" w:cs="Arial"/>
          <w:sz w:val="21"/>
          <w:szCs w:val="21"/>
        </w:rPr>
        <w:t xml:space="preserve">«[…] </w:t>
      </w:r>
      <w:r w:rsidR="00915507" w:rsidRPr="00915507">
        <w:rPr>
          <w:rFonts w:ascii="Arial" w:hAnsi="Arial" w:cs="Arial"/>
          <w:sz w:val="21"/>
          <w:szCs w:val="21"/>
        </w:rPr>
        <w:t>Partiendo de lo anterior, sería importante conocer la posición de Colombia Compra Eficiente, sobre la obligación o aplicación de la mencionada norma, para los patrimonios autónomos, dado que las mismas no son entidades. Si es obligación de los patrimonios autónomos publicar su actividad contractual en el SECOP II partiendo de la norma de la Ley 2195 de 2022, sería importante conocer si la plataforma soporta la creación de cuentas como entidades compradoras a patrimonios autónomos que no tienen personería jurídica y se identifican con el mismo NIT</w:t>
      </w:r>
      <w:r w:rsidR="00101B46">
        <w:rPr>
          <w:rFonts w:ascii="Arial" w:hAnsi="Arial" w:cs="Arial"/>
          <w:sz w:val="21"/>
          <w:szCs w:val="21"/>
        </w:rPr>
        <w:t xml:space="preserve"> […]</w:t>
      </w:r>
      <w:r w:rsidRPr="00915507">
        <w:rPr>
          <w:rFonts w:ascii="Arial" w:hAnsi="Arial" w:cs="Arial"/>
          <w:sz w:val="21"/>
          <w:szCs w:val="21"/>
        </w:rPr>
        <w:t>»</w:t>
      </w:r>
      <w:r w:rsidR="002A083B" w:rsidRPr="00915507">
        <w:rPr>
          <w:rFonts w:ascii="Arial" w:hAnsi="Arial" w:cs="Arial"/>
          <w:sz w:val="21"/>
          <w:szCs w:val="21"/>
        </w:rPr>
        <w:t>.</w:t>
      </w:r>
    </w:p>
    <w:p w14:paraId="0439D80B" w14:textId="0543A999" w:rsidR="00DD3396" w:rsidRDefault="00DD3396" w:rsidP="00DD3396">
      <w:pPr>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2. Consideraciones</w:t>
      </w:r>
    </w:p>
    <w:p w14:paraId="3A21D8E4" w14:textId="77777777" w:rsidR="00DD3396" w:rsidRDefault="00DD3396" w:rsidP="00DD3396">
      <w:pPr>
        <w:rPr>
          <w:rFonts w:ascii="Arial" w:hAnsi="Arial" w:cs="Arial"/>
          <w:bCs/>
          <w:sz w:val="22"/>
        </w:rPr>
      </w:pPr>
    </w:p>
    <w:p w14:paraId="21FAD8C5" w14:textId="77777777" w:rsidR="00F60B77" w:rsidRPr="00C1373A" w:rsidRDefault="00F60B77" w:rsidP="00F60B77">
      <w:pPr>
        <w:spacing w:after="120" w:line="276" w:lineRule="auto"/>
        <w:jc w:val="both"/>
        <w:rPr>
          <w:rFonts w:ascii="Arial" w:eastAsia="Calibri" w:hAnsi="Arial" w:cs="Arial"/>
          <w:sz w:val="22"/>
          <w:szCs w:val="22"/>
          <w:lang w:val="es-ES_tradnl" w:eastAsia="es-ES_tradnl"/>
        </w:rPr>
      </w:pPr>
      <w:r w:rsidRPr="00C1373A">
        <w:rPr>
          <w:rFonts w:ascii="Arial" w:eastAsia="Calibri" w:hAnsi="Arial" w:cs="Arial"/>
          <w:sz w:val="22"/>
          <w:szCs w:val="22"/>
          <w:lang w:val="es-ES_tradnl" w:eastAsia="es-ES_tradnl"/>
        </w:rPr>
        <w:lastRenderedPageBreak/>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2F5ACD97" w14:textId="72D67134" w:rsidR="00F60B77" w:rsidRPr="00C1373A" w:rsidRDefault="00F60B77" w:rsidP="00F60B77">
      <w:pPr>
        <w:tabs>
          <w:tab w:val="left" w:pos="426"/>
        </w:tabs>
        <w:spacing w:after="120" w:line="276" w:lineRule="auto"/>
        <w:jc w:val="both"/>
        <w:rPr>
          <w:rFonts w:ascii="Arial" w:eastAsia="Calibri" w:hAnsi="Arial" w:cs="Arial"/>
          <w:bCs/>
          <w:sz w:val="22"/>
          <w:szCs w:val="22"/>
        </w:rPr>
      </w:pPr>
      <w:r w:rsidRPr="00C1373A">
        <w:rPr>
          <w:rFonts w:ascii="Arial" w:eastAsia="Calibri" w:hAnsi="Arial" w:cs="Arial"/>
          <w:sz w:val="22"/>
          <w:szCs w:val="22"/>
          <w:lang w:val="es-ES_tradnl" w:eastAsia="es-ES_tradnl"/>
        </w:rPr>
        <w:tab/>
      </w:r>
      <w:r w:rsidRPr="00C1373A">
        <w:rPr>
          <w:rFonts w:ascii="Arial" w:eastAsia="Calibri" w:hAnsi="Arial" w:cs="Arial"/>
          <w:sz w:val="22"/>
          <w:szCs w:val="22"/>
          <w:lang w:val="es-ES_tradnl" w:eastAsia="es-ES_tradnl"/>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w:t>
      </w:r>
      <w:r w:rsidR="002E40EF" w:rsidRPr="00C1373A">
        <w:rPr>
          <w:rFonts w:ascii="Arial" w:eastAsia="Calibri" w:hAnsi="Arial" w:cs="Arial"/>
          <w:sz w:val="22"/>
          <w:szCs w:val="22"/>
          <w:lang w:val="es-ES_tradnl" w:eastAsia="es-ES_tradnl"/>
        </w:rPr>
        <w:t>que,</w:t>
      </w:r>
      <w:r w:rsidRPr="00C1373A">
        <w:rPr>
          <w:rFonts w:ascii="Arial" w:eastAsia="Calibri" w:hAnsi="Arial" w:cs="Arial"/>
          <w:sz w:val="22"/>
          <w:szCs w:val="22"/>
          <w:lang w:val="es-ES_tradnl" w:eastAsia="es-ES_tradnl"/>
        </w:rPr>
        <w:t xml:space="preserv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w:t>
      </w:r>
      <w:r w:rsidRPr="00C1373A">
        <w:rPr>
          <w:rFonts w:ascii="Arial" w:eastAsia="Calibri" w:hAnsi="Arial" w:cs="Arial"/>
          <w:bCs/>
          <w:sz w:val="22"/>
          <w:szCs w:val="22"/>
        </w:rPr>
        <w:t>que adelanta el procedimiento de selección y, en caso de conflicto, a las autoridades judiciales, fiscales y disciplinarias.</w:t>
      </w:r>
    </w:p>
    <w:p w14:paraId="2F01838B" w14:textId="6448BE60" w:rsidR="00F60B77" w:rsidRPr="002C6099" w:rsidRDefault="00F60B77" w:rsidP="005F16E2">
      <w:pPr>
        <w:tabs>
          <w:tab w:val="left" w:pos="426"/>
        </w:tabs>
        <w:spacing w:line="276" w:lineRule="auto"/>
        <w:jc w:val="both"/>
        <w:rPr>
          <w:rFonts w:ascii="Arial" w:hAnsi="Arial" w:cs="Arial"/>
          <w:iCs/>
          <w:color w:val="000000" w:themeColor="text1"/>
          <w:sz w:val="22"/>
          <w:lang w:val="es-ES_tradnl"/>
        </w:rPr>
      </w:pPr>
      <w:r w:rsidRPr="00C1373A">
        <w:rPr>
          <w:rFonts w:ascii="Arial" w:eastAsia="Calibri" w:hAnsi="Arial" w:cs="Arial"/>
          <w:bCs/>
          <w:sz w:val="22"/>
          <w:szCs w:val="22"/>
        </w:rPr>
        <w:tab/>
      </w:r>
      <w:r w:rsidRPr="00C1373A">
        <w:rPr>
          <w:rFonts w:ascii="Arial" w:eastAsia="Calibri" w:hAnsi="Arial" w:cs="Arial"/>
          <w:bCs/>
          <w:sz w:val="22"/>
          <w:szCs w:val="22"/>
        </w:rPr>
        <w:tab/>
        <w:t>Por</w:t>
      </w:r>
      <w:r w:rsidRPr="00C1373A">
        <w:rPr>
          <w:rFonts w:ascii="Arial" w:eastAsia="Calibri" w:hAnsi="Arial" w:cs="Arial"/>
          <w:color w:val="000000" w:themeColor="text1"/>
          <w:sz w:val="22"/>
          <w:szCs w:val="22"/>
          <w:lang w:val="es-ES"/>
        </w:rPr>
        <w:t xml:space="preserve"> ello, la Subdirección, dentro de los límites de sus atribuciones, resolverá la consulta conforme a las normas generales en materia de contratación estatal. Con este objetivo se analizarán los siguientes temas</w:t>
      </w:r>
      <w:r w:rsidRPr="000673B2">
        <w:rPr>
          <w:rFonts w:ascii="Arial" w:eastAsia="Calibri" w:hAnsi="Arial" w:cs="Arial"/>
          <w:color w:val="000000" w:themeColor="text1"/>
          <w:sz w:val="22"/>
          <w:szCs w:val="22"/>
          <w:lang w:val="es-ES"/>
        </w:rPr>
        <w:t>:</w:t>
      </w:r>
      <w:r w:rsidR="006D5146">
        <w:rPr>
          <w:rFonts w:ascii="Arial" w:eastAsia="Calibri" w:hAnsi="Arial" w:cs="Arial"/>
          <w:bCs/>
          <w:sz w:val="22"/>
          <w:szCs w:val="22"/>
        </w:rPr>
        <w:t xml:space="preserve"> </w:t>
      </w:r>
      <w:r w:rsidR="00183169" w:rsidRPr="000673B2">
        <w:rPr>
          <w:rFonts w:ascii="Arial" w:eastAsia="Calibri" w:hAnsi="Arial" w:cs="Arial"/>
          <w:bCs/>
          <w:sz w:val="22"/>
          <w:szCs w:val="22"/>
        </w:rPr>
        <w:t xml:space="preserve">i) </w:t>
      </w:r>
      <w:r w:rsidR="002C6099" w:rsidRPr="000673B2">
        <w:rPr>
          <w:rFonts w:ascii="Arial" w:eastAsia="Calibri" w:hAnsi="Arial" w:cs="Arial"/>
          <w:bCs/>
          <w:sz w:val="22"/>
          <w:szCs w:val="22"/>
        </w:rPr>
        <w:t>el</w:t>
      </w:r>
      <w:r w:rsidR="002C6099">
        <w:rPr>
          <w:rFonts w:ascii="Arial" w:eastAsia="Calibri" w:hAnsi="Arial" w:cs="Arial"/>
          <w:bCs/>
          <w:sz w:val="22"/>
          <w:szCs w:val="22"/>
        </w:rPr>
        <w:t xml:space="preserve"> d</w:t>
      </w:r>
      <w:r w:rsidR="002C6099" w:rsidRPr="002C6099">
        <w:rPr>
          <w:rFonts w:ascii="Arial" w:eastAsia="Calibri" w:hAnsi="Arial" w:cs="Arial"/>
          <w:bCs/>
          <w:sz w:val="22"/>
          <w:szCs w:val="22"/>
        </w:rPr>
        <w:t>eber de publicidad en el SECOP</w:t>
      </w:r>
      <w:r w:rsidR="002C6099">
        <w:rPr>
          <w:rFonts w:ascii="Arial" w:hAnsi="Arial" w:cs="Arial"/>
          <w:iCs/>
          <w:color w:val="000000" w:themeColor="text1"/>
          <w:sz w:val="22"/>
          <w:lang w:val="es-ES_tradnl"/>
        </w:rPr>
        <w:t xml:space="preserve">; y </w:t>
      </w:r>
      <w:proofErr w:type="spellStart"/>
      <w:r w:rsidR="002C6099">
        <w:rPr>
          <w:rFonts w:ascii="Arial" w:hAnsi="Arial" w:cs="Arial"/>
          <w:iCs/>
          <w:color w:val="000000" w:themeColor="text1"/>
          <w:sz w:val="22"/>
          <w:lang w:val="es-ES_tradnl"/>
        </w:rPr>
        <w:t>ii</w:t>
      </w:r>
      <w:proofErr w:type="spellEnd"/>
      <w:r w:rsidR="002C6099">
        <w:rPr>
          <w:rFonts w:ascii="Arial" w:hAnsi="Arial" w:cs="Arial"/>
          <w:iCs/>
          <w:color w:val="000000" w:themeColor="text1"/>
          <w:sz w:val="22"/>
          <w:lang w:val="es-ES_tradnl"/>
        </w:rPr>
        <w:t>)</w:t>
      </w:r>
      <w:r w:rsidR="00000237">
        <w:rPr>
          <w:rFonts w:ascii="Arial" w:hAnsi="Arial" w:cs="Arial"/>
          <w:iCs/>
          <w:color w:val="000000" w:themeColor="text1"/>
          <w:sz w:val="22"/>
          <w:lang w:val="es-ES_tradnl"/>
        </w:rPr>
        <w:t xml:space="preserve"> </w:t>
      </w:r>
      <w:r w:rsidR="002C6099">
        <w:rPr>
          <w:rFonts w:ascii="Arial" w:hAnsi="Arial" w:cs="Arial"/>
          <w:iCs/>
          <w:color w:val="000000" w:themeColor="text1"/>
          <w:sz w:val="22"/>
          <w:lang w:val="es-ES_tradnl"/>
        </w:rPr>
        <w:t>la publicidad</w:t>
      </w:r>
      <w:r w:rsidR="002C6099" w:rsidRPr="00F05D4B">
        <w:rPr>
          <w:rFonts w:ascii="Arial" w:hAnsi="Arial" w:cs="Arial"/>
          <w:color w:val="000000"/>
          <w:sz w:val="22"/>
          <w:lang w:val="es-ES" w:eastAsia="en-GB"/>
        </w:rPr>
        <w:t xml:space="preserve"> de los contratos fiduciarios y de la «contratación derivada» de acuerdo con la Circular Externa Única.</w:t>
      </w:r>
    </w:p>
    <w:p w14:paraId="44D2CE91" w14:textId="77777777" w:rsidR="005F16E2" w:rsidRPr="00C1373A" w:rsidRDefault="005F16E2" w:rsidP="005F16E2">
      <w:pPr>
        <w:tabs>
          <w:tab w:val="left" w:pos="426"/>
        </w:tabs>
        <w:spacing w:line="276" w:lineRule="auto"/>
        <w:jc w:val="both"/>
        <w:rPr>
          <w:rFonts w:ascii="Arial" w:eastAsia="Calibri" w:hAnsi="Arial" w:cs="Arial"/>
          <w:color w:val="000000"/>
          <w:sz w:val="22"/>
          <w:szCs w:val="22"/>
          <w:lang w:val="es-ES_tradnl"/>
        </w:rPr>
      </w:pPr>
    </w:p>
    <w:p w14:paraId="7A8B7C2A" w14:textId="466C754F" w:rsidR="00000237" w:rsidRPr="00FB2962" w:rsidRDefault="00000237" w:rsidP="00000237">
      <w:pPr>
        <w:spacing w:line="276" w:lineRule="auto"/>
        <w:jc w:val="both"/>
        <w:rPr>
          <w:rFonts w:ascii="Arial" w:hAnsi="Arial" w:cs="Arial"/>
          <w:b/>
          <w:bCs/>
          <w:iCs/>
          <w:color w:val="000000" w:themeColor="text1"/>
          <w:sz w:val="22"/>
          <w:lang w:val="es-ES_tradnl"/>
        </w:rPr>
      </w:pPr>
      <w:r w:rsidRPr="00FB2962">
        <w:rPr>
          <w:rFonts w:ascii="Arial" w:hAnsi="Arial" w:cs="Arial"/>
          <w:b/>
          <w:bCs/>
          <w:iCs/>
          <w:color w:val="000000" w:themeColor="text1"/>
          <w:sz w:val="22"/>
          <w:lang w:val="es-ES_tradnl"/>
        </w:rPr>
        <w:t>2.</w:t>
      </w:r>
      <w:r w:rsidR="00FF393C">
        <w:rPr>
          <w:rFonts w:ascii="Arial" w:hAnsi="Arial" w:cs="Arial"/>
          <w:b/>
          <w:bCs/>
          <w:iCs/>
          <w:color w:val="000000" w:themeColor="text1"/>
          <w:sz w:val="22"/>
          <w:lang w:val="es-ES_tradnl"/>
        </w:rPr>
        <w:t>1</w:t>
      </w:r>
      <w:r w:rsidRPr="00FB2962">
        <w:rPr>
          <w:rFonts w:ascii="Arial" w:hAnsi="Arial" w:cs="Arial"/>
          <w:b/>
          <w:bCs/>
          <w:iCs/>
          <w:color w:val="000000" w:themeColor="text1"/>
          <w:sz w:val="22"/>
          <w:lang w:val="es-ES_tradnl"/>
        </w:rPr>
        <w:t xml:space="preserve">. Deber de </w:t>
      </w:r>
      <w:r w:rsidR="00DC48A6">
        <w:rPr>
          <w:rFonts w:ascii="Arial" w:hAnsi="Arial" w:cs="Arial"/>
          <w:b/>
          <w:bCs/>
          <w:iCs/>
          <w:color w:val="000000" w:themeColor="text1"/>
          <w:sz w:val="22"/>
          <w:lang w:val="es-ES_tradnl"/>
        </w:rPr>
        <w:t>publicidad en el SECOP</w:t>
      </w:r>
    </w:p>
    <w:p w14:paraId="3D4D9F80" w14:textId="33A59A6A" w:rsidR="00DC48A6" w:rsidRDefault="00DC48A6" w:rsidP="00000237">
      <w:pPr>
        <w:spacing w:after="120" w:line="276" w:lineRule="auto"/>
        <w:jc w:val="both"/>
        <w:rPr>
          <w:rFonts w:ascii="Arial" w:eastAsia="Calibri" w:hAnsi="Arial" w:cs="Arial"/>
          <w:sz w:val="22"/>
          <w:lang w:val="es-ES"/>
        </w:rPr>
      </w:pPr>
    </w:p>
    <w:p w14:paraId="055B8FB8" w14:textId="59FB2360" w:rsidR="00000237" w:rsidRPr="00FB2962" w:rsidRDefault="00000237" w:rsidP="00000237">
      <w:pPr>
        <w:spacing w:after="120" w:line="276" w:lineRule="auto"/>
        <w:jc w:val="both"/>
        <w:rPr>
          <w:rFonts w:ascii="Arial" w:eastAsia="Calibri" w:hAnsi="Arial" w:cs="Arial"/>
          <w:sz w:val="22"/>
          <w:lang w:val="es-ES"/>
        </w:rPr>
      </w:pPr>
      <w:r w:rsidRPr="00FB2962">
        <w:rPr>
          <w:rFonts w:ascii="Arial" w:eastAsia="Calibri" w:hAnsi="Arial" w:cs="Arial"/>
          <w:sz w:val="22"/>
          <w:lang w:val="es-ES"/>
        </w:rPr>
        <w:t>La Agencia Nacional de Contratación Pública – Colombia Compra Eficiente tiene como función</w:t>
      </w:r>
      <w:r w:rsidR="00287580">
        <w:rPr>
          <w:rFonts w:ascii="Arial" w:eastAsia="Calibri" w:hAnsi="Arial" w:cs="Arial"/>
          <w:sz w:val="22"/>
          <w:lang w:val="es-ES"/>
        </w:rPr>
        <w:t xml:space="preserve"> </w:t>
      </w:r>
      <w:r w:rsidRPr="00FB2962">
        <w:rPr>
          <w:rFonts w:ascii="Arial" w:eastAsia="Calibri" w:hAnsi="Arial" w:cs="Arial"/>
          <w:sz w:val="22"/>
          <w:lang w:val="es-ES"/>
        </w:rPr>
        <w:t>administrar el SECOP</w:t>
      </w:r>
      <w:r w:rsidRPr="00FB2962">
        <w:rPr>
          <w:rFonts w:ascii="Arial" w:eastAsia="Calibri" w:hAnsi="Arial" w:cs="Arial"/>
          <w:sz w:val="22"/>
          <w:vertAlign w:val="superscript"/>
          <w:lang w:val="es-ES"/>
        </w:rPr>
        <w:footnoteReference w:id="1"/>
      </w:r>
      <w:r w:rsidRPr="00FB2962">
        <w:rPr>
          <w:rFonts w:ascii="Arial" w:eastAsia="Calibri" w:hAnsi="Arial" w:cs="Arial"/>
          <w:sz w:val="22"/>
          <w:lang w:val="es-ES"/>
        </w:rPr>
        <w:t>, por lo cual se desarrolló la primera versión</w:t>
      </w:r>
      <w:r w:rsidR="00287580">
        <w:rPr>
          <w:rFonts w:ascii="Arial" w:eastAsia="Calibri" w:hAnsi="Arial" w:cs="Arial"/>
          <w:sz w:val="22"/>
          <w:lang w:val="es-ES"/>
        </w:rPr>
        <w:t xml:space="preserve"> </w:t>
      </w:r>
      <w:r w:rsidRPr="00FB2962">
        <w:rPr>
          <w:rFonts w:ascii="Arial" w:eastAsia="Calibri" w:hAnsi="Arial" w:cs="Arial"/>
          <w:sz w:val="22"/>
          <w:lang w:val="es-ES"/>
        </w:rPr>
        <w:t>de la plataforma</w:t>
      </w:r>
      <w:r w:rsidR="00287580">
        <w:rPr>
          <w:rFonts w:ascii="Arial" w:eastAsia="Calibri" w:hAnsi="Arial" w:cs="Arial"/>
          <w:sz w:val="22"/>
          <w:lang w:val="es-ES"/>
        </w:rPr>
        <w:t xml:space="preserve"> </w:t>
      </w:r>
      <w:r w:rsidRPr="00FB2962">
        <w:rPr>
          <w:rFonts w:ascii="Arial" w:eastAsia="Calibri" w:hAnsi="Arial" w:cs="Arial"/>
          <w:sz w:val="22"/>
          <w:lang w:val="es-ES"/>
        </w:rPr>
        <w:t xml:space="preserve">–SECOP I–, que solo funciona como medio de publicidad, es decir, no es transaccional, lo que significa que el procedimiento contractual ocurre fuera de la plataforma y a través de un expediente físico en la entidad, pero las actuaciones y los documentos se convierten en </w:t>
      </w:r>
      <w:r w:rsidRPr="00FB2962">
        <w:rPr>
          <w:rFonts w:ascii="Arial" w:eastAsia="Calibri" w:hAnsi="Arial" w:cs="Arial"/>
          <w:sz w:val="22"/>
          <w:lang w:val="es-ES"/>
        </w:rPr>
        <w:lastRenderedPageBreak/>
        <w:t>electrónicos para ser cargados a la plataforma, por quien tenga la función dentro de la entidad, de acuerdo con su organización interna.</w:t>
      </w:r>
    </w:p>
    <w:p w14:paraId="24A54456" w14:textId="19FEC1FF" w:rsidR="00000237" w:rsidRPr="00FB2962" w:rsidRDefault="00000237" w:rsidP="00000237">
      <w:pPr>
        <w:spacing w:before="120" w:after="120" w:line="276" w:lineRule="auto"/>
        <w:ind w:firstLine="708"/>
        <w:jc w:val="both"/>
        <w:rPr>
          <w:rFonts w:ascii="Arial" w:eastAsia="Calibri" w:hAnsi="Arial" w:cs="Arial"/>
          <w:sz w:val="22"/>
          <w:lang w:val="es-ES"/>
        </w:rPr>
      </w:pPr>
      <w:r w:rsidRPr="00FB2962">
        <w:rPr>
          <w:rFonts w:ascii="Arial" w:eastAsia="Calibri" w:hAnsi="Arial" w:cs="Arial"/>
          <w:sz w:val="22"/>
          <w:lang w:val="es-ES"/>
        </w:rPr>
        <w:t xml:space="preserve">El SECOP II es una plataforma </w:t>
      </w:r>
      <w:r w:rsidR="001100B1">
        <w:rPr>
          <w:rFonts w:ascii="Arial" w:eastAsia="Calibri" w:hAnsi="Arial" w:cs="Arial"/>
          <w:sz w:val="22"/>
          <w:lang w:val="es-ES"/>
        </w:rPr>
        <w:t xml:space="preserve">principalmente </w:t>
      </w:r>
      <w:r w:rsidRPr="00FB2962">
        <w:rPr>
          <w:rFonts w:ascii="Arial" w:eastAsia="Calibri" w:hAnsi="Arial" w:cs="Arial"/>
          <w:i/>
          <w:iCs/>
          <w:sz w:val="22"/>
          <w:lang w:val="es-ES"/>
        </w:rPr>
        <w:t>transaccional</w:t>
      </w:r>
      <w:r w:rsidRPr="00FB2962">
        <w:rPr>
          <w:rFonts w:ascii="Arial" w:eastAsia="Calibri" w:hAnsi="Arial" w:cs="Arial"/>
          <w:sz w:val="22"/>
          <w:lang w:val="es-ES"/>
        </w:rPr>
        <w:t>,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5E72FB47" w14:textId="12890E9E" w:rsidR="00B812F7" w:rsidRDefault="00000237" w:rsidP="00000237">
      <w:pPr>
        <w:spacing w:before="120" w:after="120" w:line="276" w:lineRule="auto"/>
        <w:ind w:firstLine="708"/>
        <w:jc w:val="both"/>
        <w:rPr>
          <w:rFonts w:ascii="Arial" w:eastAsia="Calibri" w:hAnsi="Arial" w:cs="Arial"/>
          <w:color w:val="000000" w:themeColor="text1"/>
          <w:sz w:val="22"/>
          <w:lang w:val="es-ES"/>
        </w:rPr>
      </w:pPr>
      <w:r w:rsidRPr="00FB2962">
        <w:rPr>
          <w:rFonts w:ascii="Arial" w:eastAsia="Calibri" w:hAnsi="Arial" w:cs="Arial"/>
          <w:color w:val="000000" w:themeColor="text1"/>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que dispuso: «A partir del 1 de enero de 2020, todos los procesos de contratación de las entidades relacionadas en el Anexo 1 de esta circular deberán gestionarse, exclusivamente, en el SECOP ll». Esta se modificó parcialmente, mediante la Circular Externa No. 3 de 2020. </w:t>
      </w:r>
      <w:r w:rsidR="001100B1">
        <w:rPr>
          <w:rFonts w:ascii="Arial" w:eastAsia="Calibri" w:hAnsi="Arial" w:cs="Arial"/>
          <w:color w:val="000000" w:themeColor="text1"/>
          <w:sz w:val="22"/>
          <w:lang w:val="es-ES"/>
        </w:rPr>
        <w:t>Adicionalmente</w:t>
      </w:r>
      <w:r w:rsidRPr="00FB2962">
        <w:rPr>
          <w:rFonts w:ascii="Arial" w:eastAsia="Calibri" w:hAnsi="Arial" w:cs="Arial"/>
          <w:color w:val="000000" w:themeColor="text1"/>
          <w:sz w:val="22"/>
          <w:lang w:val="es-ES"/>
        </w:rPr>
        <w:t xml:space="preserve">, esta Agencia expidió la Circular Externa No. 1 de 2021, «[…] </w:t>
      </w:r>
      <w:r w:rsidRPr="00FB2962">
        <w:rPr>
          <w:rFonts w:ascii="Arial" w:hAnsi="Arial" w:cs="Arial"/>
          <w:color w:val="000000" w:themeColor="text1"/>
          <w:sz w:val="22"/>
          <w:szCs w:val="20"/>
          <w:shd w:val="clear" w:color="auto" w:fill="FFFFFF"/>
        </w:rPr>
        <w:t>con el fin de dar directrices sobre la obligatoriedad del uso del SECOP II en 2021</w:t>
      </w:r>
      <w:r w:rsidRPr="00FB2962">
        <w:rPr>
          <w:rFonts w:ascii="Arial" w:eastAsia="Calibri" w:hAnsi="Arial" w:cs="Arial"/>
          <w:color w:val="000000" w:themeColor="text1"/>
          <w:sz w:val="22"/>
          <w:lang w:val="es-ES"/>
        </w:rPr>
        <w:t>», modificada posteriormente por la Circular No. 2 de 2021, en relación con la publicación de los procesos de contratación bajo la modalidad de concurso de méritos.</w:t>
      </w:r>
      <w:r w:rsidR="00F023B2">
        <w:rPr>
          <w:rFonts w:ascii="Arial" w:eastAsia="Calibri" w:hAnsi="Arial" w:cs="Arial"/>
          <w:color w:val="000000" w:themeColor="text1"/>
          <w:sz w:val="22"/>
          <w:lang w:val="es-ES"/>
        </w:rPr>
        <w:t xml:space="preserve"> </w:t>
      </w:r>
    </w:p>
    <w:p w14:paraId="7ADEA92A" w14:textId="77777777" w:rsidR="00000237" w:rsidRPr="00FB2962" w:rsidRDefault="00000237" w:rsidP="00000237">
      <w:pPr>
        <w:spacing w:before="120" w:line="276" w:lineRule="auto"/>
        <w:ind w:firstLine="709"/>
        <w:jc w:val="both"/>
        <w:rPr>
          <w:rFonts w:ascii="Arial" w:eastAsia="Calibri" w:hAnsi="Arial" w:cs="Arial"/>
          <w:color w:val="000000" w:themeColor="text1"/>
          <w:sz w:val="22"/>
          <w:szCs w:val="22"/>
          <w:lang w:val="es-ES_tradnl"/>
        </w:rPr>
      </w:pPr>
      <w:r w:rsidRPr="00FB2962">
        <w:rPr>
          <w:rFonts w:ascii="Arial" w:eastAsia="Calibri" w:hAnsi="Arial" w:cs="Arial"/>
          <w:color w:val="000000" w:themeColor="text1"/>
          <w:sz w:val="22"/>
          <w:szCs w:val="22"/>
          <w:lang w:val="es-ES_tradnl"/>
        </w:rPr>
        <w:t>Ahora bien, el 18 de enero del año en curso se promulgó la Ley 2195 de 2022. Según lo establece su artículo 1, esta Ley «</w:t>
      </w:r>
      <w:r w:rsidRPr="00FB2962">
        <w:rPr>
          <w:rFonts w:ascii="Arial" w:hAnsi="Arial" w:cs="Arial"/>
          <w:sz w:val="22"/>
          <w:szCs w:val="22"/>
          <w:lang w:val="es-ES_tradnl"/>
        </w:rPr>
        <w:t xml:space="preserve">[…] </w:t>
      </w:r>
      <w:r w:rsidRPr="00FB2962">
        <w:rPr>
          <w:rFonts w:ascii="Arial" w:eastAsia="Calibri" w:hAnsi="Arial" w:cs="Arial"/>
          <w:color w:val="000000" w:themeColor="text1"/>
          <w:sz w:val="22"/>
          <w:szCs w:val="22"/>
          <w:lang w:val="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w:t>
      </w:r>
      <w:proofErr w:type="spellStart"/>
      <w:r w:rsidRPr="00FB2962">
        <w:rPr>
          <w:rFonts w:ascii="Arial" w:eastAsia="Calibri" w:hAnsi="Arial" w:cs="Arial"/>
          <w:color w:val="000000" w:themeColor="text1"/>
          <w:sz w:val="22"/>
          <w:szCs w:val="22"/>
          <w:lang w:val="es-ES_tradnl"/>
        </w:rPr>
        <w:t>ii</w:t>
      </w:r>
      <w:proofErr w:type="spellEnd"/>
      <w:r w:rsidRPr="00FB2962">
        <w:rPr>
          <w:rFonts w:ascii="Arial" w:eastAsia="Calibri" w:hAnsi="Arial" w:cs="Arial"/>
          <w:color w:val="000000" w:themeColor="text1"/>
          <w:sz w:val="22"/>
          <w:szCs w:val="22"/>
          <w:lang w:val="es-ES_tradnl"/>
        </w:rPr>
        <w:t xml:space="preserve">) la inhabilidad por incumplimiento reiterado en los contratos de alimentación escolar –artículo 51–, </w:t>
      </w:r>
      <w:proofErr w:type="spellStart"/>
      <w:r w:rsidRPr="00FB2962">
        <w:rPr>
          <w:rFonts w:ascii="Arial" w:eastAsia="Calibri" w:hAnsi="Arial" w:cs="Arial"/>
          <w:color w:val="000000" w:themeColor="text1"/>
          <w:sz w:val="22"/>
          <w:szCs w:val="22"/>
          <w:lang w:val="es-ES_tradnl"/>
        </w:rPr>
        <w:t>iii</w:t>
      </w:r>
      <w:proofErr w:type="spellEnd"/>
      <w:r w:rsidRPr="00FB2962">
        <w:rPr>
          <w:rFonts w:ascii="Arial" w:eastAsia="Calibri" w:hAnsi="Arial" w:cs="Arial"/>
          <w:color w:val="000000" w:themeColor="text1"/>
          <w:sz w:val="22"/>
          <w:szCs w:val="22"/>
          <w:lang w:val="es-ES_tradnl"/>
        </w:rPr>
        <w:t xml:space="preserve">) las cláusulas excepcionales en los contratos celebrados con el objeto señalado anteriormente –artículo 52–, </w:t>
      </w:r>
      <w:proofErr w:type="spellStart"/>
      <w:r w:rsidRPr="00FB2962">
        <w:rPr>
          <w:rFonts w:ascii="Arial" w:eastAsia="Calibri" w:hAnsi="Arial" w:cs="Arial"/>
          <w:color w:val="000000" w:themeColor="text1"/>
          <w:sz w:val="22"/>
          <w:szCs w:val="22"/>
          <w:lang w:val="es-ES_tradnl"/>
        </w:rPr>
        <w:t>iv</w:t>
      </w:r>
      <w:proofErr w:type="spellEnd"/>
      <w:r w:rsidRPr="00FB2962">
        <w:rPr>
          <w:rFonts w:ascii="Arial" w:eastAsia="Calibri" w:hAnsi="Arial" w:cs="Arial"/>
          <w:color w:val="000000" w:themeColor="text1"/>
          <w:sz w:val="22"/>
          <w:szCs w:val="22"/>
          <w:lang w:val="es-ES_tradnl"/>
        </w:rPr>
        <w:t xml:space="preserve">) el deber de las entidades que cuentan con un régimen contractual especial, de publicar los documentos relacionados con su actividad contractual en el SECOP II –artículo 53–, v) la nueva causal de selección abreviada para la adquisición de bienes o servicios </w:t>
      </w:r>
      <w:r w:rsidRPr="00FB2962">
        <w:rPr>
          <w:rFonts w:ascii="Arial" w:eastAsia="Calibri" w:hAnsi="Arial" w:cs="Arial"/>
          <w:i/>
          <w:iCs/>
          <w:color w:val="000000" w:themeColor="text1"/>
          <w:sz w:val="22"/>
          <w:szCs w:val="22"/>
          <w:lang w:val="es-ES_tradnl"/>
        </w:rPr>
        <w:t>no</w:t>
      </w:r>
      <w:r w:rsidRPr="00FB2962">
        <w:rPr>
          <w:rFonts w:ascii="Arial" w:eastAsia="Calibri" w:hAnsi="Arial" w:cs="Arial"/>
          <w:color w:val="000000" w:themeColor="text1"/>
          <w:sz w:val="22"/>
          <w:szCs w:val="22"/>
          <w:lang w:val="es-ES_tradnl"/>
        </w:rPr>
        <w:t xml:space="preserve"> uniformes de común utilización –artículo 54–, vi) la obligación de adoptar el modelo de autoevaluación periódico para los sujetos obligados a implementar políticas de transparencia y ética empresarial –artículo 55–, </w:t>
      </w:r>
      <w:proofErr w:type="spellStart"/>
      <w:r w:rsidRPr="00FB2962">
        <w:rPr>
          <w:rFonts w:ascii="Arial" w:eastAsia="Calibri" w:hAnsi="Arial" w:cs="Arial"/>
          <w:color w:val="000000" w:themeColor="text1"/>
          <w:sz w:val="22"/>
          <w:szCs w:val="22"/>
          <w:lang w:val="es-ES_tradnl"/>
        </w:rPr>
        <w:t>vii</w:t>
      </w:r>
      <w:proofErr w:type="spellEnd"/>
      <w:r w:rsidRPr="00FB2962">
        <w:rPr>
          <w:rFonts w:ascii="Arial" w:eastAsia="Calibri" w:hAnsi="Arial" w:cs="Arial"/>
          <w:color w:val="000000" w:themeColor="text1"/>
          <w:sz w:val="22"/>
          <w:szCs w:val="22"/>
          <w:lang w:val="es-ES_tradnl"/>
        </w:rPr>
        <w:t xml:space="preserve">) la aplicación de los documentos tipo a entidades con régimen especial –artículo 56–, </w:t>
      </w:r>
      <w:proofErr w:type="spellStart"/>
      <w:r w:rsidRPr="00FB2962">
        <w:rPr>
          <w:rFonts w:ascii="Arial" w:eastAsia="Calibri" w:hAnsi="Arial" w:cs="Arial"/>
          <w:color w:val="000000" w:themeColor="text1"/>
          <w:sz w:val="22"/>
          <w:szCs w:val="22"/>
          <w:lang w:val="es-ES_tradnl"/>
        </w:rPr>
        <w:t>viii</w:t>
      </w:r>
      <w:proofErr w:type="spellEnd"/>
      <w:r w:rsidRPr="00FB2962">
        <w:rPr>
          <w:rFonts w:ascii="Arial" w:eastAsia="Calibri" w:hAnsi="Arial" w:cs="Arial"/>
          <w:color w:val="000000" w:themeColor="text1"/>
          <w:sz w:val="22"/>
          <w:szCs w:val="22"/>
          <w:lang w:val="es-ES_tradnl"/>
        </w:rPr>
        <w:t xml:space="preserve">) la obligación, radicada en los revisores fiscales, de denunciar los actos de </w:t>
      </w:r>
      <w:r w:rsidRPr="00FB2962">
        <w:rPr>
          <w:rFonts w:ascii="Arial" w:eastAsia="Calibri" w:hAnsi="Arial" w:cs="Arial"/>
          <w:color w:val="000000" w:themeColor="text1"/>
          <w:sz w:val="22"/>
          <w:szCs w:val="22"/>
          <w:lang w:val="es-ES_tradnl"/>
        </w:rPr>
        <w:lastRenderedPageBreak/>
        <w:t xml:space="preserve">corrupción –artículo 57–, y </w:t>
      </w:r>
      <w:proofErr w:type="spellStart"/>
      <w:r w:rsidRPr="00FB2962">
        <w:rPr>
          <w:rFonts w:ascii="Arial" w:eastAsia="Calibri" w:hAnsi="Arial" w:cs="Arial"/>
          <w:color w:val="000000" w:themeColor="text1"/>
          <w:sz w:val="22"/>
          <w:szCs w:val="22"/>
          <w:lang w:val="es-ES_tradnl"/>
        </w:rPr>
        <w:t>ix</w:t>
      </w:r>
      <w:proofErr w:type="spellEnd"/>
      <w:r w:rsidRPr="00FB2962">
        <w:rPr>
          <w:rFonts w:ascii="Arial" w:eastAsia="Calibri" w:hAnsi="Arial" w:cs="Arial"/>
          <w:color w:val="000000" w:themeColor="text1"/>
          <w:sz w:val="22"/>
          <w:szCs w:val="22"/>
          <w:lang w:val="es-ES_tradnl"/>
        </w:rPr>
        <w:t>) la reducción de puntaje por incumplimiento de contratos –artículo 58–.</w:t>
      </w:r>
    </w:p>
    <w:p w14:paraId="4B0C97F5" w14:textId="2F0276BA" w:rsidR="00000237" w:rsidRPr="00FB2962" w:rsidRDefault="00000237" w:rsidP="00000237">
      <w:pPr>
        <w:spacing w:before="120" w:line="276" w:lineRule="auto"/>
        <w:ind w:firstLine="709"/>
        <w:jc w:val="both"/>
        <w:rPr>
          <w:rFonts w:ascii="Arial" w:eastAsia="Calibri" w:hAnsi="Arial" w:cs="Arial"/>
          <w:color w:val="000000" w:themeColor="text1"/>
          <w:sz w:val="22"/>
          <w:szCs w:val="22"/>
          <w:lang w:val="es-ES_tradnl"/>
        </w:rPr>
      </w:pPr>
      <w:r w:rsidRPr="00FB2962">
        <w:rPr>
          <w:rFonts w:ascii="Arial" w:eastAsia="Calibri" w:hAnsi="Arial" w:cs="Arial"/>
          <w:color w:val="000000" w:themeColor="text1"/>
          <w:sz w:val="22"/>
          <w:szCs w:val="22"/>
          <w:lang w:val="es-ES_tradnl"/>
        </w:rPr>
        <w:t xml:space="preserve">Según se indicó, el artículo 53 de la Ley 2195 de 2022 hace obligatorio el SECOP II para las entidades </w:t>
      </w:r>
      <w:r w:rsidR="006808C4">
        <w:rPr>
          <w:rFonts w:ascii="Arial" w:eastAsia="Calibri" w:hAnsi="Arial" w:cs="Arial"/>
          <w:color w:val="000000" w:themeColor="text1"/>
          <w:sz w:val="22"/>
          <w:szCs w:val="22"/>
          <w:lang w:val="es-ES_tradnl"/>
        </w:rPr>
        <w:t xml:space="preserve">estatales </w:t>
      </w:r>
      <w:r w:rsidRPr="00FB2962">
        <w:rPr>
          <w:rFonts w:ascii="Arial" w:eastAsia="Calibri" w:hAnsi="Arial" w:cs="Arial"/>
          <w:color w:val="000000" w:themeColor="text1"/>
          <w:sz w:val="22"/>
          <w:szCs w:val="22"/>
          <w:lang w:val="es-ES_tradnl"/>
        </w:rPr>
        <w:t xml:space="preserve">exceptuadas del Estatuto General de Contratación de la Administración Pública. En efecto, esta norma </w:t>
      </w:r>
      <w:r w:rsidR="006808C4">
        <w:rPr>
          <w:rFonts w:ascii="Arial" w:eastAsia="Calibri" w:hAnsi="Arial" w:cs="Arial"/>
          <w:color w:val="000000" w:themeColor="text1"/>
          <w:sz w:val="22"/>
          <w:szCs w:val="22"/>
          <w:lang w:val="es-ES_tradnl"/>
        </w:rPr>
        <w:t>establece</w:t>
      </w:r>
      <w:r w:rsidRPr="00FB2962">
        <w:rPr>
          <w:rFonts w:ascii="Arial" w:eastAsia="Calibri" w:hAnsi="Arial" w:cs="Arial"/>
          <w:color w:val="000000" w:themeColor="text1"/>
          <w:sz w:val="22"/>
          <w:szCs w:val="22"/>
          <w:lang w:val="es-ES_tradnl"/>
        </w:rPr>
        <w:t>:</w:t>
      </w:r>
    </w:p>
    <w:p w14:paraId="3D2E7AD4" w14:textId="77777777" w:rsidR="00000237" w:rsidRPr="00FB2962" w:rsidRDefault="00000237" w:rsidP="00000237">
      <w:pPr>
        <w:ind w:left="709" w:right="709"/>
        <w:jc w:val="both"/>
        <w:rPr>
          <w:rFonts w:ascii="Arial" w:eastAsia="Calibri" w:hAnsi="Arial" w:cs="Arial"/>
          <w:color w:val="000000" w:themeColor="text1"/>
          <w:sz w:val="21"/>
          <w:szCs w:val="21"/>
          <w:lang w:val="es-ES_tradnl"/>
        </w:rPr>
      </w:pPr>
    </w:p>
    <w:p w14:paraId="3B2AF547" w14:textId="77777777" w:rsidR="00000237" w:rsidRPr="00FB2962" w:rsidRDefault="00000237" w:rsidP="00000237">
      <w:pPr>
        <w:ind w:left="709" w:right="709"/>
        <w:jc w:val="both"/>
        <w:rPr>
          <w:rFonts w:ascii="Arial" w:eastAsia="Calibri" w:hAnsi="Arial" w:cs="Arial"/>
          <w:sz w:val="21"/>
          <w:szCs w:val="21"/>
        </w:rPr>
      </w:pPr>
      <w:r w:rsidRPr="00FB2962">
        <w:rPr>
          <w:rFonts w:ascii="Arial" w:eastAsia="Calibri" w:hAnsi="Arial" w:cs="Arial"/>
          <w:sz w:val="21"/>
          <w:szCs w:val="21"/>
        </w:rPr>
        <w:t>Adiciónese los siguientes incisos al artículo 13 de la Ley 1150 de 2007, el cual quedará así:</w:t>
      </w:r>
    </w:p>
    <w:p w14:paraId="7A106B99" w14:textId="77777777" w:rsidR="00000237" w:rsidRPr="00FB2962" w:rsidRDefault="00000237" w:rsidP="00000237">
      <w:pPr>
        <w:ind w:left="709" w:right="709"/>
        <w:jc w:val="both"/>
        <w:rPr>
          <w:rFonts w:ascii="Arial" w:eastAsia="Calibri" w:hAnsi="Arial" w:cs="Arial"/>
          <w:sz w:val="21"/>
          <w:szCs w:val="21"/>
        </w:rPr>
      </w:pPr>
    </w:p>
    <w:p w14:paraId="62FCBF5F" w14:textId="77777777" w:rsidR="00000237" w:rsidRPr="00FB2962" w:rsidRDefault="00000237" w:rsidP="00000237">
      <w:pPr>
        <w:ind w:left="709" w:right="709"/>
        <w:jc w:val="both"/>
        <w:rPr>
          <w:rFonts w:ascii="Arial" w:eastAsia="Calibri" w:hAnsi="Arial" w:cs="Arial"/>
          <w:sz w:val="21"/>
          <w:szCs w:val="21"/>
        </w:rPr>
      </w:pPr>
      <w:r w:rsidRPr="00FB2962">
        <w:rPr>
          <w:rFonts w:ascii="Arial" w:eastAsia="Calibri" w:hAnsi="Arial" w:cs="Arial"/>
          <w:sz w:val="21"/>
          <w:szCs w:val="21"/>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154683D8" w14:textId="77777777" w:rsidR="00000237" w:rsidRPr="00FB2962" w:rsidRDefault="00000237" w:rsidP="00000237">
      <w:pPr>
        <w:ind w:left="709" w:right="709"/>
        <w:jc w:val="both"/>
        <w:rPr>
          <w:rFonts w:ascii="Arial" w:eastAsia="Calibri" w:hAnsi="Arial" w:cs="Arial"/>
          <w:sz w:val="21"/>
          <w:szCs w:val="21"/>
        </w:rPr>
      </w:pPr>
    </w:p>
    <w:p w14:paraId="4D3CB143" w14:textId="77777777" w:rsidR="00000237" w:rsidRPr="00FB2962" w:rsidRDefault="00000237" w:rsidP="00000237">
      <w:pPr>
        <w:ind w:left="709" w:right="709"/>
        <w:jc w:val="both"/>
        <w:rPr>
          <w:rFonts w:ascii="Arial" w:eastAsia="Calibri" w:hAnsi="Arial" w:cs="Arial"/>
          <w:i/>
          <w:iCs/>
          <w:sz w:val="21"/>
          <w:szCs w:val="21"/>
        </w:rPr>
      </w:pPr>
      <w:r w:rsidRPr="00FB2962">
        <w:rPr>
          <w:rFonts w:ascii="Arial" w:eastAsia="Calibri" w:hAnsi="Arial" w:cs="Arial"/>
          <w:i/>
          <w:iCs/>
          <w:sz w:val="21"/>
          <w:szCs w:val="21"/>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FB2962">
        <w:rPr>
          <w:rFonts w:ascii="Arial" w:eastAsia="Calibri" w:hAnsi="Arial" w:cs="Arial"/>
          <w:i/>
          <w:iCs/>
          <w:sz w:val="21"/>
          <w:szCs w:val="21"/>
        </w:rPr>
        <w:t>postcontractual</w:t>
      </w:r>
      <w:proofErr w:type="spellEnd"/>
      <w:r w:rsidRPr="00FB2962">
        <w:rPr>
          <w:rFonts w:ascii="Arial" w:eastAsia="Calibri" w:hAnsi="Arial" w:cs="Arial"/>
          <w:i/>
          <w:iCs/>
          <w:sz w:val="21"/>
          <w:szCs w:val="21"/>
        </w:rPr>
        <w:t>.</w:t>
      </w:r>
    </w:p>
    <w:p w14:paraId="2C692F3B" w14:textId="77777777" w:rsidR="00000237" w:rsidRPr="00FB2962" w:rsidRDefault="00000237" w:rsidP="00000237">
      <w:pPr>
        <w:ind w:left="709" w:right="709"/>
        <w:jc w:val="both"/>
        <w:rPr>
          <w:rFonts w:ascii="Arial" w:eastAsia="Calibri" w:hAnsi="Arial" w:cs="Arial"/>
          <w:i/>
          <w:iCs/>
          <w:sz w:val="21"/>
          <w:szCs w:val="21"/>
        </w:rPr>
      </w:pPr>
    </w:p>
    <w:p w14:paraId="5A45C6BE" w14:textId="77777777" w:rsidR="00000237" w:rsidRPr="00FB2962" w:rsidRDefault="00000237" w:rsidP="00000237">
      <w:pPr>
        <w:ind w:left="709" w:right="709"/>
        <w:jc w:val="both"/>
        <w:rPr>
          <w:rFonts w:ascii="Arial" w:eastAsia="Calibri" w:hAnsi="Arial" w:cs="Arial"/>
          <w:sz w:val="21"/>
          <w:szCs w:val="21"/>
        </w:rPr>
      </w:pPr>
      <w:r w:rsidRPr="00FB2962">
        <w:rPr>
          <w:rFonts w:ascii="Arial" w:eastAsia="Calibri" w:hAnsi="Arial" w:cs="Arial"/>
          <w:i/>
          <w:iCs/>
          <w:sz w:val="21"/>
          <w:szCs w:val="21"/>
        </w:rPr>
        <w:t>A partir de la entrada en vigencia de la presente Ley, se establecerá un periodo de transición de seis (6) meses, para que las entidades den cumplimiento efectivo a lo aquí establecido</w:t>
      </w:r>
      <w:r w:rsidRPr="00FB2962">
        <w:rPr>
          <w:rFonts w:ascii="Arial" w:eastAsia="Calibri" w:hAnsi="Arial" w:cs="Arial"/>
          <w:sz w:val="21"/>
          <w:szCs w:val="21"/>
        </w:rPr>
        <w:t>. (Cursiva fuera del original).</w:t>
      </w:r>
    </w:p>
    <w:p w14:paraId="41E65ED5" w14:textId="77777777" w:rsidR="00000237" w:rsidRPr="00FB2962" w:rsidRDefault="00000237" w:rsidP="00000237">
      <w:pPr>
        <w:spacing w:line="276" w:lineRule="auto"/>
        <w:ind w:firstLine="709"/>
        <w:jc w:val="both"/>
        <w:rPr>
          <w:rFonts w:ascii="Arial" w:eastAsia="Calibri" w:hAnsi="Arial" w:cs="Arial"/>
          <w:color w:val="000000" w:themeColor="text1"/>
          <w:sz w:val="22"/>
          <w:szCs w:val="22"/>
          <w:lang w:val="es-ES_tradnl"/>
        </w:rPr>
      </w:pPr>
    </w:p>
    <w:p w14:paraId="3DD0FC3A" w14:textId="77777777" w:rsidR="00000237" w:rsidRPr="00FB2962" w:rsidRDefault="00000237" w:rsidP="00F05D4B">
      <w:pPr>
        <w:spacing w:line="276" w:lineRule="auto"/>
        <w:ind w:firstLine="708"/>
        <w:jc w:val="both"/>
        <w:rPr>
          <w:rFonts w:ascii="Arial" w:eastAsia="Calibri" w:hAnsi="Arial" w:cs="Arial"/>
          <w:color w:val="000000" w:themeColor="text1"/>
          <w:sz w:val="22"/>
          <w:szCs w:val="22"/>
          <w:lang w:val="es-ES_tradnl"/>
        </w:rPr>
      </w:pPr>
      <w:r w:rsidRPr="00FB2962">
        <w:rPr>
          <w:rFonts w:ascii="Arial" w:eastAsia="Calibri" w:hAnsi="Arial" w:cs="Arial"/>
          <w:color w:val="000000" w:themeColor="text1"/>
          <w:sz w:val="22"/>
          <w:szCs w:val="22"/>
          <w:lang w:val="es-ES_tradnl"/>
        </w:rPr>
        <w:t xml:space="preserve">Como puede observarse, aunque la publicación en el SECOP I de los documentos relacionados con la actividad contractual ya era obligatoria para las entidades que cuentan con un régimen especial, el artículo 53 de la Ley 2195 de 2022 –que modifica el artículo 13 de la Ley 1150 de 2007– complementa ese deber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156917A9" w14:textId="77777777" w:rsidR="00000237" w:rsidRPr="00FB2962" w:rsidRDefault="00000237" w:rsidP="00000237">
      <w:pPr>
        <w:spacing w:before="120" w:line="276" w:lineRule="auto"/>
        <w:ind w:firstLine="709"/>
        <w:jc w:val="both"/>
        <w:rPr>
          <w:rFonts w:ascii="Arial" w:eastAsia="Calibri" w:hAnsi="Arial" w:cs="Arial"/>
          <w:color w:val="000000" w:themeColor="text1"/>
          <w:sz w:val="22"/>
          <w:szCs w:val="22"/>
          <w:lang w:val="es-ES_tradnl"/>
        </w:rPr>
      </w:pPr>
      <w:r w:rsidRPr="00FB2962">
        <w:rPr>
          <w:rFonts w:ascii="Arial" w:eastAsia="Calibri" w:hAnsi="Arial" w:cs="Arial"/>
          <w:color w:val="000000" w:themeColor="text1"/>
          <w:sz w:val="22"/>
          <w:szCs w:val="22"/>
          <w:lang w:val="es-ES_tradnl"/>
        </w:rPr>
        <w:t xml:space="preserve">La Agencia Nacional de Contratación Pública – Colombia Compra Eficiente considera que al establecer el artículo 53 que este deber se debe cumplir en el SECOP II «o la plataforma transaccional que haga sus veces» esto debe interpretarse en el sentido en que a pesar de que en la actualidad el SECOP II es la plataforma transaccional vigente </w:t>
      </w:r>
      <w:r w:rsidRPr="00FB2962">
        <w:rPr>
          <w:rFonts w:ascii="Arial" w:eastAsia="Calibri" w:hAnsi="Arial" w:cs="Arial"/>
          <w:color w:val="000000" w:themeColor="text1"/>
          <w:sz w:val="22"/>
          <w:szCs w:val="22"/>
          <w:lang w:val="es-ES_tradnl"/>
        </w:rPr>
        <w:lastRenderedPageBreak/>
        <w:t xml:space="preserve">en el Estado colombiano, si en el futuro esta es reemplazada por otra que tenga otra denominación, las entidades que tienen un régimen especial de contratación pública deben continuar publicando la documentación de su actividad contractual en la nueva plataforma. Por ello, esta Agencia no considera que la disposición analizada al utilizar la expresión indicada, deba entenderse </w:t>
      </w:r>
      <w:r>
        <w:rPr>
          <w:rFonts w:ascii="Arial" w:eastAsia="Calibri" w:hAnsi="Arial" w:cs="Arial"/>
          <w:color w:val="000000" w:themeColor="text1"/>
          <w:sz w:val="22"/>
          <w:szCs w:val="22"/>
          <w:lang w:val="es-ES_tradnl"/>
        </w:rPr>
        <w:t>como</w:t>
      </w:r>
      <w:r w:rsidRPr="00FB2962">
        <w:rPr>
          <w:rFonts w:ascii="Arial" w:eastAsia="Calibri" w:hAnsi="Arial" w:cs="Arial"/>
          <w:color w:val="000000" w:themeColor="text1"/>
          <w:sz w:val="22"/>
          <w:szCs w:val="22"/>
          <w:lang w:val="es-ES_tradnl"/>
        </w:rPr>
        <w:t xml:space="preserve"> que las entidades exceptuadas del Estatuto General de Contratación de la Administración Pública pueden emplear sus páginas web o sus propios portales electrónicos, para realizar, a través de ellos, el procedimiento contractual, pues, precisamente, el artículo 53 de la Ley 2195 de 2022 unifica el régimen de publicidad de las entidades estatales en una sola plataforma, actualmente denominada SECOP II. Con esto se logra que la ciudadanía pueda encontrar en un mismo sistema la gestión de la actividad contractual del Estado, garantizándose en mayor grado la transparencia y el acceso a la documentación pública.</w:t>
      </w:r>
    </w:p>
    <w:p w14:paraId="3A160A07" w14:textId="0C91814F" w:rsidR="00000237" w:rsidRPr="005B3681" w:rsidRDefault="00000237" w:rsidP="005B3681">
      <w:pPr>
        <w:spacing w:before="120" w:line="276" w:lineRule="auto"/>
        <w:ind w:firstLine="709"/>
        <w:jc w:val="both"/>
        <w:rPr>
          <w:rFonts w:ascii="Arial" w:eastAsia="Calibri" w:hAnsi="Arial" w:cs="Arial"/>
          <w:color w:val="000000" w:themeColor="text1"/>
          <w:sz w:val="22"/>
          <w:szCs w:val="22"/>
          <w:lang w:val="es-ES_tradnl"/>
        </w:rPr>
      </w:pPr>
      <w:r w:rsidRPr="00FB2962">
        <w:rPr>
          <w:rFonts w:ascii="Arial" w:eastAsia="Calibri" w:hAnsi="Arial" w:cs="Arial"/>
          <w:color w:val="000000" w:themeColor="text1"/>
          <w:sz w:val="22"/>
          <w:szCs w:val="22"/>
          <w:lang w:val="es-ES_tradnl"/>
        </w:rPr>
        <w:t xml:space="preserve">Finalmente, el referido artículo dispone, en el inciso final, que «A partir de la </w:t>
      </w:r>
      <w:proofErr w:type="gramStart"/>
      <w:r w:rsidRPr="00FB2962">
        <w:rPr>
          <w:rFonts w:ascii="Arial" w:eastAsia="Calibri" w:hAnsi="Arial" w:cs="Arial"/>
          <w:color w:val="000000" w:themeColor="text1"/>
          <w:sz w:val="22"/>
          <w:szCs w:val="22"/>
          <w:lang w:val="es-ES_tradnl"/>
        </w:rPr>
        <w:t>entrada en vigencia</w:t>
      </w:r>
      <w:proofErr w:type="gramEnd"/>
      <w:r w:rsidRPr="00FB2962">
        <w:rPr>
          <w:rFonts w:ascii="Arial" w:eastAsia="Calibri" w:hAnsi="Arial" w:cs="Arial"/>
          <w:color w:val="000000" w:themeColor="text1"/>
          <w:sz w:val="22"/>
          <w:szCs w:val="22"/>
          <w:lang w:val="es-ES_tradnl"/>
        </w:rPr>
        <w:t xml:space="preserve"> de la presente Ley, se establecerá un periodo de transición de seis (6) meses, para que las entidades den cumplimiento efectivo a lo aquí establecido». Es decir que se trata un período concedido por el </w:t>
      </w:r>
      <w:r w:rsidR="00C84E15">
        <w:rPr>
          <w:rFonts w:ascii="Arial" w:eastAsia="Calibri" w:hAnsi="Arial" w:cs="Arial"/>
          <w:color w:val="000000" w:themeColor="text1"/>
          <w:sz w:val="22"/>
          <w:szCs w:val="22"/>
          <w:lang w:val="es-ES_tradnl"/>
        </w:rPr>
        <w:t>l</w:t>
      </w:r>
      <w:r w:rsidRPr="00FB2962">
        <w:rPr>
          <w:rFonts w:ascii="Arial" w:eastAsia="Calibri" w:hAnsi="Arial" w:cs="Arial"/>
          <w:color w:val="000000" w:themeColor="text1"/>
          <w:sz w:val="22"/>
          <w:szCs w:val="22"/>
          <w:lang w:val="es-ES_tradnl"/>
        </w:rPr>
        <w:t xml:space="preserve">egislador a las entidades que tienen un régimen especial de contratación para adelantar las gestiones administrativas, técnicas y jurídicas pertinentes, a fin de cumplir lo establecido en el artículo 53. Este período de transición va del 18 de enero al 18 de julio de 2022. </w:t>
      </w:r>
    </w:p>
    <w:p w14:paraId="69DA9F69" w14:textId="74CFC719" w:rsidR="005B3681" w:rsidRDefault="00C84E15" w:rsidP="005B3681">
      <w:pPr>
        <w:spacing w:before="120"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Recientemente</w:t>
      </w:r>
      <w:r w:rsidR="005B3681">
        <w:rPr>
          <w:rFonts w:ascii="Arial" w:eastAsia="Calibri" w:hAnsi="Arial" w:cs="Arial"/>
          <w:color w:val="000000" w:themeColor="text1"/>
          <w:sz w:val="22"/>
          <w:lang w:val="es-ES"/>
        </w:rPr>
        <w:t xml:space="preserve">, la </w:t>
      </w:r>
      <w:r>
        <w:rPr>
          <w:rFonts w:ascii="Arial" w:eastAsia="Calibri" w:hAnsi="Arial" w:cs="Arial"/>
          <w:color w:val="000000" w:themeColor="text1"/>
          <w:sz w:val="22"/>
          <w:lang w:val="es-ES"/>
        </w:rPr>
        <w:t>C</w:t>
      </w:r>
      <w:r w:rsidR="005B3681">
        <w:rPr>
          <w:rFonts w:ascii="Arial" w:eastAsia="Calibri" w:hAnsi="Arial" w:cs="Arial"/>
          <w:color w:val="000000" w:themeColor="text1"/>
          <w:sz w:val="22"/>
          <w:lang w:val="es-ES"/>
        </w:rPr>
        <w:t xml:space="preserve">ircular externa No. 002 de 2022, se refirió a la utilización de la plataforma SECOP II por parte de las entidades </w:t>
      </w:r>
      <w:r w:rsidR="00874D76">
        <w:rPr>
          <w:rFonts w:ascii="Arial" w:eastAsia="Calibri" w:hAnsi="Arial" w:cs="Arial"/>
          <w:color w:val="000000" w:themeColor="text1"/>
          <w:sz w:val="22"/>
          <w:lang w:val="es-ES"/>
        </w:rPr>
        <w:t xml:space="preserve">estatales </w:t>
      </w:r>
      <w:r w:rsidR="005B3681">
        <w:rPr>
          <w:rFonts w:ascii="Arial" w:eastAsia="Calibri" w:hAnsi="Arial" w:cs="Arial"/>
          <w:color w:val="000000" w:themeColor="text1"/>
          <w:sz w:val="22"/>
          <w:lang w:val="es-ES"/>
        </w:rPr>
        <w:t xml:space="preserve">con régimen excepcional al del Estatuto General de Contratación de la Administración Pública, </w:t>
      </w:r>
      <w:r>
        <w:rPr>
          <w:rFonts w:ascii="Arial" w:eastAsia="Calibri" w:hAnsi="Arial" w:cs="Arial"/>
          <w:color w:val="000000" w:themeColor="text1"/>
          <w:sz w:val="22"/>
          <w:lang w:val="es-ES"/>
        </w:rPr>
        <w:t>concluyendo</w:t>
      </w:r>
      <w:r w:rsidR="005B3681">
        <w:rPr>
          <w:rFonts w:ascii="Arial" w:eastAsia="Calibri" w:hAnsi="Arial" w:cs="Arial"/>
          <w:color w:val="000000" w:themeColor="text1"/>
          <w:sz w:val="22"/>
          <w:lang w:val="es-ES"/>
        </w:rPr>
        <w:t xml:space="preserve"> que empezará a regir</w:t>
      </w:r>
      <w:r>
        <w:rPr>
          <w:rFonts w:ascii="Arial" w:eastAsia="Calibri" w:hAnsi="Arial" w:cs="Arial"/>
          <w:color w:val="000000" w:themeColor="text1"/>
          <w:sz w:val="22"/>
          <w:lang w:val="es-ES"/>
        </w:rPr>
        <w:t>, de acuerdo con</w:t>
      </w:r>
      <w:r w:rsidR="005B3681">
        <w:rPr>
          <w:rFonts w:ascii="Arial" w:eastAsia="Calibri" w:hAnsi="Arial" w:cs="Arial"/>
          <w:color w:val="000000" w:themeColor="text1"/>
          <w:sz w:val="22"/>
          <w:lang w:val="es-ES"/>
        </w:rPr>
        <w:t xml:space="preserve"> lo establecido en el artículo 53 de la Ley de </w:t>
      </w:r>
      <w:r>
        <w:rPr>
          <w:rFonts w:ascii="Arial" w:eastAsia="Calibri" w:hAnsi="Arial" w:cs="Arial"/>
          <w:color w:val="000000" w:themeColor="text1"/>
          <w:sz w:val="22"/>
          <w:lang w:val="es-ES"/>
        </w:rPr>
        <w:t>T</w:t>
      </w:r>
      <w:r w:rsidR="005B3681">
        <w:rPr>
          <w:rFonts w:ascii="Arial" w:eastAsia="Calibri" w:hAnsi="Arial" w:cs="Arial"/>
          <w:color w:val="000000" w:themeColor="text1"/>
          <w:sz w:val="22"/>
          <w:lang w:val="es-ES"/>
        </w:rPr>
        <w:t xml:space="preserve">ransparencia, a partir del 18 de julio de 2022 a las 23:59 horas. </w:t>
      </w:r>
    </w:p>
    <w:p w14:paraId="31D3A7AF" w14:textId="371806E6" w:rsidR="00D63711" w:rsidRDefault="00D63711" w:rsidP="00D63711">
      <w:pPr>
        <w:spacing w:line="276" w:lineRule="auto"/>
        <w:ind w:firstLine="709"/>
        <w:jc w:val="both"/>
        <w:rPr>
          <w:rFonts w:ascii="Arial" w:eastAsia="MS Mincho" w:hAnsi="Arial" w:cs="Arial"/>
          <w:sz w:val="22"/>
          <w:szCs w:val="22"/>
          <w:lang w:val="es-ES_tradnl" w:eastAsia="es-CO"/>
        </w:rPr>
      </w:pPr>
      <w:r>
        <w:rPr>
          <w:rFonts w:ascii="Arial" w:eastAsia="MS Mincho" w:hAnsi="Arial" w:cs="Arial"/>
          <w:sz w:val="22"/>
          <w:szCs w:val="22"/>
          <w:lang w:val="es-ES_tradnl" w:eastAsia="es-CO"/>
        </w:rPr>
        <w:t xml:space="preserve">No obstante lo anterior, </w:t>
      </w:r>
      <w:r w:rsidR="00874D76">
        <w:rPr>
          <w:rFonts w:ascii="Arial" w:eastAsia="MS Mincho" w:hAnsi="Arial" w:cs="Arial"/>
          <w:sz w:val="22"/>
          <w:szCs w:val="22"/>
          <w:lang w:val="es-ES_tradnl" w:eastAsia="es-CO"/>
        </w:rPr>
        <w:t xml:space="preserve">teniendo en cuenta la consulta planteada por el peticionario, </w:t>
      </w:r>
      <w:r>
        <w:rPr>
          <w:rFonts w:ascii="Arial" w:eastAsia="MS Mincho" w:hAnsi="Arial" w:cs="Arial"/>
          <w:sz w:val="22"/>
          <w:szCs w:val="22"/>
          <w:lang w:val="es-ES_tradnl" w:eastAsia="es-CO"/>
        </w:rPr>
        <w:t xml:space="preserve">en los casos en que sea posible constituir patrimonios autónomos por parte de entidades estatales, la Corte Constitucional, con apoyo en la Sala de Consulta y Servicio Civil del Consejo de Estado consideró que dichos patrimonios autónomos no pueden considerarse entidades estatales, señalando que: «[…] </w:t>
      </w:r>
      <w:r w:rsidRPr="00D85FA5">
        <w:rPr>
          <w:rFonts w:ascii="Arial" w:eastAsia="MS Mincho" w:hAnsi="Arial" w:cs="Arial"/>
          <w:sz w:val="22"/>
          <w:szCs w:val="22"/>
          <w:lang w:val="es-ES_tradnl" w:eastAsia="es-CO"/>
        </w:rPr>
        <w:t>el patrimonio autónomo es un centro de imputación de derechos y obligaciones, de carácter temporal y diferente a la persona que le dio origen (fiduciante, fideicomitente o constituyente), quien lo administra (fiduciario) y quien habrá de recibirlo (fideicomisario o beneficiario)</w:t>
      </w:r>
      <w:r>
        <w:rPr>
          <w:rFonts w:ascii="Arial" w:eastAsia="MS Mincho" w:hAnsi="Arial" w:cs="Arial"/>
          <w:sz w:val="22"/>
          <w:szCs w:val="22"/>
          <w:lang w:val="es-ES_tradnl" w:eastAsia="es-CO"/>
        </w:rPr>
        <w:t>»</w:t>
      </w:r>
      <w:r>
        <w:rPr>
          <w:rStyle w:val="Refdenotaalpie"/>
          <w:rFonts w:ascii="Arial" w:eastAsia="MS Mincho" w:hAnsi="Arial" w:cs="Arial"/>
          <w:sz w:val="22"/>
          <w:szCs w:val="22"/>
          <w:lang w:val="es-ES_tradnl" w:eastAsia="es-CO"/>
        </w:rPr>
        <w:footnoteReference w:id="2"/>
      </w:r>
      <w:r>
        <w:rPr>
          <w:rFonts w:ascii="Arial" w:eastAsia="MS Mincho" w:hAnsi="Arial" w:cs="Arial"/>
          <w:sz w:val="22"/>
          <w:szCs w:val="22"/>
          <w:lang w:val="es-ES_tradnl" w:eastAsia="es-CO"/>
        </w:rPr>
        <w:t>.</w:t>
      </w:r>
    </w:p>
    <w:p w14:paraId="3D51890C" w14:textId="77777777" w:rsidR="00D63711" w:rsidRPr="00F05D4B" w:rsidRDefault="00D63711" w:rsidP="005B3681">
      <w:pPr>
        <w:spacing w:before="120" w:after="120" w:line="276" w:lineRule="auto"/>
        <w:ind w:firstLine="708"/>
        <w:jc w:val="both"/>
        <w:rPr>
          <w:rFonts w:ascii="Arial" w:eastAsia="Calibri" w:hAnsi="Arial" w:cs="Arial"/>
          <w:color w:val="000000" w:themeColor="text1"/>
          <w:sz w:val="22"/>
          <w:lang w:val="es-ES_tradnl"/>
        </w:rPr>
      </w:pPr>
    </w:p>
    <w:p w14:paraId="7260D730" w14:textId="17A17897" w:rsidR="001100B1" w:rsidRDefault="00D63711" w:rsidP="00B8740C">
      <w:pPr>
        <w:spacing w:before="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Teniendo en cuenta lo anterior</w:t>
      </w:r>
      <w:r w:rsidR="001100B1">
        <w:rPr>
          <w:rFonts w:ascii="Arial" w:eastAsia="Calibri" w:hAnsi="Arial" w:cs="Arial"/>
          <w:color w:val="000000" w:themeColor="text1"/>
          <w:sz w:val="22"/>
          <w:lang w:val="es-ES"/>
        </w:rPr>
        <w:t xml:space="preserve">, </w:t>
      </w:r>
      <w:r w:rsidR="00874D76">
        <w:rPr>
          <w:rFonts w:ascii="Arial" w:eastAsia="Calibri" w:hAnsi="Arial" w:cs="Arial"/>
          <w:color w:val="000000" w:themeColor="text1"/>
          <w:sz w:val="22"/>
          <w:lang w:val="es-ES"/>
        </w:rPr>
        <w:t xml:space="preserve">y </w:t>
      </w:r>
      <w:r w:rsidR="001100B1">
        <w:rPr>
          <w:rFonts w:ascii="Arial" w:eastAsia="Calibri" w:hAnsi="Arial" w:cs="Arial"/>
          <w:color w:val="000000" w:themeColor="text1"/>
          <w:sz w:val="22"/>
          <w:lang w:val="es-ES"/>
        </w:rPr>
        <w:t>dada la</w:t>
      </w:r>
      <w:r w:rsidR="00B8740C">
        <w:rPr>
          <w:rFonts w:ascii="Arial" w:eastAsia="Calibri" w:hAnsi="Arial" w:cs="Arial"/>
          <w:color w:val="000000" w:themeColor="text1"/>
          <w:sz w:val="22"/>
          <w:lang w:val="es-ES"/>
        </w:rPr>
        <w:t xml:space="preserve">s particularidades </w:t>
      </w:r>
      <w:r w:rsidR="00DD3C7B">
        <w:rPr>
          <w:rFonts w:ascii="Arial" w:eastAsia="Calibri" w:hAnsi="Arial" w:cs="Arial"/>
          <w:color w:val="000000" w:themeColor="text1"/>
          <w:sz w:val="22"/>
          <w:lang w:val="es-ES"/>
        </w:rPr>
        <w:t>de</w:t>
      </w:r>
      <w:r w:rsidR="00B8740C">
        <w:rPr>
          <w:rFonts w:ascii="Arial" w:eastAsia="Calibri" w:hAnsi="Arial" w:cs="Arial"/>
          <w:color w:val="000000" w:themeColor="text1"/>
          <w:sz w:val="22"/>
          <w:lang w:val="es-ES"/>
        </w:rPr>
        <w:t xml:space="preserve"> los </w:t>
      </w:r>
      <w:r>
        <w:rPr>
          <w:rFonts w:ascii="Arial" w:eastAsia="Calibri" w:hAnsi="Arial" w:cs="Arial"/>
          <w:color w:val="000000" w:themeColor="text1"/>
          <w:sz w:val="22"/>
          <w:lang w:val="es-ES"/>
        </w:rPr>
        <w:t>patrimonios autónomos</w:t>
      </w:r>
      <w:r w:rsidR="00B8740C">
        <w:rPr>
          <w:rFonts w:ascii="Arial" w:eastAsia="Calibri" w:hAnsi="Arial" w:cs="Arial"/>
          <w:color w:val="000000" w:themeColor="text1"/>
          <w:sz w:val="22"/>
          <w:lang w:val="es-ES"/>
        </w:rPr>
        <w:t xml:space="preserve">, mediante los cuales no se crean entidades estatales, esta Agencia considera que la publicidad en el SECOP por parte de </w:t>
      </w:r>
      <w:r w:rsidR="00874D76">
        <w:rPr>
          <w:rFonts w:ascii="Arial" w:eastAsia="Calibri" w:hAnsi="Arial" w:cs="Arial"/>
          <w:color w:val="000000" w:themeColor="text1"/>
          <w:sz w:val="22"/>
          <w:lang w:val="es-ES"/>
        </w:rPr>
        <w:t>estos, cuando son</w:t>
      </w:r>
      <w:r w:rsidR="00B8740C">
        <w:rPr>
          <w:rFonts w:ascii="Arial" w:eastAsia="Calibri" w:hAnsi="Arial" w:cs="Arial"/>
          <w:color w:val="000000" w:themeColor="text1"/>
          <w:sz w:val="22"/>
          <w:lang w:val="es-ES"/>
        </w:rPr>
        <w:t xml:space="preserve"> constituidos por entidades estatales, mediante los cuales se ejecutan recursos públicos,</w:t>
      </w:r>
      <w:r w:rsidR="00DD3C7B">
        <w:rPr>
          <w:rFonts w:ascii="Arial" w:eastAsia="Calibri" w:hAnsi="Arial" w:cs="Arial"/>
          <w:color w:val="000000" w:themeColor="text1"/>
          <w:sz w:val="22"/>
          <w:lang w:val="es-ES"/>
        </w:rPr>
        <w:t xml:space="preserve"> incluso en vigencia del artículo 53 de la Ley 2195 de 2022</w:t>
      </w:r>
      <w:r w:rsidR="00B8740C">
        <w:rPr>
          <w:rFonts w:ascii="Arial" w:eastAsia="Calibri" w:hAnsi="Arial" w:cs="Arial"/>
          <w:color w:val="000000" w:themeColor="text1"/>
          <w:sz w:val="22"/>
          <w:lang w:val="es-ES"/>
        </w:rPr>
        <w:t xml:space="preserve"> debe realizarse en los términos establecidos en la Circular Externa Única expedida por la Agencia Nacional de Contratación Pública – Colombia Compra Eficiente, como administradora del SECOP</w:t>
      </w:r>
      <w:r w:rsidR="00DD3C7B">
        <w:rPr>
          <w:rFonts w:ascii="Arial" w:eastAsia="Calibri" w:hAnsi="Arial" w:cs="Arial"/>
          <w:color w:val="000000" w:themeColor="text1"/>
          <w:sz w:val="22"/>
          <w:lang w:val="es-ES"/>
        </w:rPr>
        <w:t>. En efecto,</w:t>
      </w:r>
      <w:r>
        <w:rPr>
          <w:rFonts w:ascii="Arial" w:eastAsia="Calibri" w:hAnsi="Arial" w:cs="Arial"/>
          <w:color w:val="000000" w:themeColor="text1"/>
          <w:sz w:val="22"/>
          <w:lang w:val="es-ES"/>
        </w:rPr>
        <w:t xml:space="preserve"> </w:t>
      </w:r>
      <w:r w:rsidR="00DD3C7B">
        <w:rPr>
          <w:rFonts w:ascii="Arial" w:eastAsia="Calibri" w:hAnsi="Arial" w:cs="Arial"/>
          <w:color w:val="000000" w:themeColor="text1"/>
          <w:sz w:val="22"/>
          <w:lang w:val="es-ES"/>
        </w:rPr>
        <w:t xml:space="preserve">allí </w:t>
      </w:r>
      <w:r>
        <w:rPr>
          <w:rFonts w:ascii="Arial" w:eastAsia="Calibri" w:hAnsi="Arial" w:cs="Arial"/>
          <w:color w:val="000000" w:themeColor="text1"/>
          <w:sz w:val="22"/>
          <w:lang w:val="es-ES"/>
        </w:rPr>
        <w:t>se han establecido lineamientos específicos</w:t>
      </w:r>
      <w:r w:rsidR="00874D76">
        <w:rPr>
          <w:rFonts w:ascii="Arial" w:eastAsia="Calibri" w:hAnsi="Arial" w:cs="Arial"/>
          <w:color w:val="000000" w:themeColor="text1"/>
          <w:sz w:val="22"/>
          <w:lang w:val="es-ES"/>
        </w:rPr>
        <w:t xml:space="preserve"> en la materia, en lo relacionado con la celebración </w:t>
      </w:r>
      <w:proofErr w:type="gramStart"/>
      <w:r w:rsidR="00874D76">
        <w:rPr>
          <w:rFonts w:ascii="Arial" w:eastAsia="Calibri" w:hAnsi="Arial" w:cs="Arial"/>
          <w:color w:val="000000" w:themeColor="text1"/>
          <w:sz w:val="22"/>
          <w:lang w:val="es-ES"/>
        </w:rPr>
        <w:t xml:space="preserve">de </w:t>
      </w:r>
      <w:r w:rsidR="0080589B">
        <w:rPr>
          <w:rFonts w:ascii="Arial" w:eastAsia="Calibri" w:hAnsi="Arial" w:cs="Arial"/>
          <w:color w:val="000000" w:themeColor="text1"/>
          <w:sz w:val="22"/>
          <w:lang w:val="es-ES"/>
        </w:rPr>
        <w:t xml:space="preserve"> negocios</w:t>
      </w:r>
      <w:proofErr w:type="gramEnd"/>
      <w:r w:rsidR="00874D76">
        <w:rPr>
          <w:rFonts w:ascii="Arial" w:eastAsia="Calibri" w:hAnsi="Arial" w:cs="Arial"/>
          <w:color w:val="000000" w:themeColor="text1"/>
          <w:sz w:val="22"/>
          <w:lang w:val="es-ES"/>
        </w:rPr>
        <w:t xml:space="preserve"> fiduciarios y, especialmente, de la «contratación derivada»</w:t>
      </w:r>
      <w:r w:rsidR="00B8740C">
        <w:rPr>
          <w:rFonts w:ascii="Arial" w:eastAsia="Calibri" w:hAnsi="Arial" w:cs="Arial"/>
          <w:color w:val="000000" w:themeColor="text1"/>
          <w:sz w:val="22"/>
          <w:lang w:val="es-ES"/>
        </w:rPr>
        <w:t>. En tal sentido, en el próximo acápite se analizará dicho asunto.</w:t>
      </w:r>
    </w:p>
    <w:p w14:paraId="39B00F92" w14:textId="77777777" w:rsidR="00B8740C" w:rsidRDefault="00B8740C" w:rsidP="00F05D4B">
      <w:pPr>
        <w:spacing w:before="120" w:line="276" w:lineRule="auto"/>
        <w:ind w:firstLine="709"/>
        <w:jc w:val="both"/>
        <w:rPr>
          <w:rFonts w:ascii="Arial" w:eastAsia="Calibri" w:hAnsi="Arial" w:cs="Arial"/>
          <w:color w:val="000000" w:themeColor="text1"/>
          <w:sz w:val="22"/>
          <w:lang w:val="es-ES"/>
        </w:rPr>
      </w:pPr>
    </w:p>
    <w:p w14:paraId="69F6328A" w14:textId="13D1ADB0" w:rsidR="00101B46" w:rsidRPr="002C6099" w:rsidRDefault="00101B46" w:rsidP="00101B46">
      <w:pPr>
        <w:spacing w:line="276" w:lineRule="auto"/>
        <w:jc w:val="both"/>
        <w:rPr>
          <w:rFonts w:ascii="Arial" w:hAnsi="Arial" w:cs="Arial"/>
          <w:b/>
          <w:bCs/>
          <w:color w:val="000000"/>
          <w:sz w:val="22"/>
          <w:lang w:val="es-ES" w:eastAsia="en-GB"/>
        </w:rPr>
      </w:pPr>
      <w:r w:rsidRPr="002C6099">
        <w:rPr>
          <w:rFonts w:ascii="Arial" w:hAnsi="Arial" w:cs="Arial"/>
          <w:b/>
          <w:bCs/>
          <w:color w:val="000000"/>
          <w:sz w:val="22"/>
          <w:lang w:val="es-ES" w:eastAsia="en-GB"/>
        </w:rPr>
        <w:t>2.</w:t>
      </w:r>
      <w:r w:rsidR="00DD3C7B">
        <w:rPr>
          <w:rFonts w:ascii="Arial" w:hAnsi="Arial" w:cs="Arial"/>
          <w:b/>
          <w:bCs/>
          <w:color w:val="000000"/>
          <w:sz w:val="22"/>
          <w:lang w:val="es-ES" w:eastAsia="en-GB"/>
        </w:rPr>
        <w:t>2</w:t>
      </w:r>
      <w:r w:rsidRPr="002C6099">
        <w:rPr>
          <w:rFonts w:ascii="Arial" w:hAnsi="Arial" w:cs="Arial"/>
          <w:b/>
          <w:bCs/>
          <w:color w:val="000000"/>
          <w:sz w:val="22"/>
          <w:lang w:val="es-ES" w:eastAsia="en-GB"/>
        </w:rPr>
        <w:t>. Publicidad de los contratos fiduciario</w:t>
      </w:r>
      <w:r w:rsidR="00B8740C" w:rsidRPr="00F05D4B">
        <w:rPr>
          <w:rFonts w:ascii="Arial" w:hAnsi="Arial" w:cs="Arial"/>
          <w:b/>
          <w:bCs/>
          <w:color w:val="000000"/>
          <w:sz w:val="22"/>
          <w:lang w:val="es-ES" w:eastAsia="en-GB"/>
        </w:rPr>
        <w:t>s y de la «contratación derivada»</w:t>
      </w:r>
      <w:r w:rsidRPr="002C6099">
        <w:rPr>
          <w:rFonts w:ascii="Arial" w:hAnsi="Arial" w:cs="Arial"/>
          <w:b/>
          <w:bCs/>
          <w:color w:val="000000"/>
          <w:sz w:val="22"/>
          <w:lang w:val="es-ES" w:eastAsia="en-GB"/>
        </w:rPr>
        <w:t xml:space="preserve"> </w:t>
      </w:r>
      <w:r w:rsidR="00F66536" w:rsidRPr="00F05D4B">
        <w:rPr>
          <w:rFonts w:ascii="Arial" w:hAnsi="Arial" w:cs="Arial"/>
          <w:b/>
          <w:bCs/>
          <w:color w:val="000000"/>
          <w:sz w:val="22"/>
          <w:lang w:val="es-ES" w:eastAsia="en-GB"/>
        </w:rPr>
        <w:t>de acuerdo con la Circular Externa Única</w:t>
      </w:r>
    </w:p>
    <w:p w14:paraId="24FDB57F" w14:textId="77777777" w:rsidR="00101B46" w:rsidRPr="002C6099" w:rsidRDefault="00101B46" w:rsidP="00101B46">
      <w:pPr>
        <w:spacing w:line="276" w:lineRule="auto"/>
        <w:jc w:val="both"/>
        <w:rPr>
          <w:rFonts w:ascii="Arial" w:hAnsi="Arial" w:cs="Arial"/>
          <w:b/>
          <w:bCs/>
          <w:color w:val="000000"/>
          <w:sz w:val="22"/>
          <w:lang w:val="es-ES" w:eastAsia="en-GB"/>
        </w:rPr>
      </w:pPr>
    </w:p>
    <w:p w14:paraId="3428890D" w14:textId="165FF767" w:rsidR="00101B46" w:rsidRPr="002C6099" w:rsidRDefault="00B8740C" w:rsidP="00101B46">
      <w:pPr>
        <w:spacing w:line="276" w:lineRule="auto"/>
        <w:jc w:val="both"/>
        <w:rPr>
          <w:rFonts w:ascii="Arial" w:eastAsia="Calibri" w:hAnsi="Arial" w:cs="Arial"/>
          <w:color w:val="000000"/>
          <w:sz w:val="22"/>
          <w:lang w:val="es-ES" w:eastAsia="en-GB"/>
        </w:rPr>
      </w:pPr>
      <w:r w:rsidRPr="00F05D4B">
        <w:rPr>
          <w:rFonts w:ascii="Arial" w:hAnsi="Arial" w:cs="Arial"/>
          <w:color w:val="000000"/>
          <w:sz w:val="22"/>
          <w:lang w:val="es-ES" w:eastAsia="en-GB"/>
        </w:rPr>
        <w:t>E</w:t>
      </w:r>
      <w:r w:rsidR="00101B46" w:rsidRPr="002C6099">
        <w:rPr>
          <w:rFonts w:ascii="Arial" w:hAnsi="Arial" w:cs="Arial"/>
          <w:color w:val="000000"/>
          <w:sz w:val="22"/>
          <w:lang w:val="es-ES" w:eastAsia="en-GB"/>
        </w:rPr>
        <w:t>n relación con los contratos fiduciarios</w:t>
      </w:r>
      <w:r w:rsidRPr="00F05D4B">
        <w:rPr>
          <w:rFonts w:ascii="Arial" w:hAnsi="Arial" w:cs="Arial"/>
          <w:color w:val="000000"/>
          <w:sz w:val="22"/>
          <w:lang w:val="es-ES" w:eastAsia="en-GB"/>
        </w:rPr>
        <w:t xml:space="preserve"> y la «contratación derivada» de estos</w:t>
      </w:r>
      <w:r w:rsidR="00101B46" w:rsidRPr="002C6099">
        <w:rPr>
          <w:rFonts w:ascii="Arial" w:hAnsi="Arial" w:cs="Arial"/>
          <w:color w:val="000000"/>
          <w:sz w:val="22"/>
          <w:lang w:val="es-ES" w:eastAsia="en-GB"/>
        </w:rPr>
        <w:t>, e</w:t>
      </w:r>
      <w:r w:rsidR="00101B46" w:rsidRPr="002C6099">
        <w:rPr>
          <w:rFonts w:ascii="Arial" w:eastAsia="Calibri" w:hAnsi="Arial" w:cs="Arial"/>
          <w:color w:val="000000"/>
          <w:sz w:val="22"/>
          <w:lang w:val="es-ES" w:eastAsia="en-GB"/>
        </w:rPr>
        <w:t>l literal e) del numeral 1.8 de la Circular Externa Única de Colombia Compra Eficiente establece lo siguiente</w:t>
      </w:r>
      <w:r w:rsidR="006933DE" w:rsidRPr="00F05D4B">
        <w:rPr>
          <w:rStyle w:val="Refdenotaalpie"/>
          <w:rFonts w:ascii="Arial" w:eastAsia="Calibri" w:hAnsi="Arial" w:cs="Arial"/>
          <w:color w:val="000000"/>
          <w:sz w:val="22"/>
          <w:lang w:val="es-ES" w:eastAsia="en-GB"/>
        </w:rPr>
        <w:footnoteReference w:id="3"/>
      </w:r>
      <w:r w:rsidR="00101B46" w:rsidRPr="002C6099">
        <w:rPr>
          <w:rFonts w:ascii="Arial" w:eastAsia="Calibri" w:hAnsi="Arial" w:cs="Arial"/>
          <w:color w:val="000000"/>
          <w:sz w:val="22"/>
          <w:lang w:val="es-ES" w:eastAsia="en-GB"/>
        </w:rPr>
        <w:t>:</w:t>
      </w:r>
    </w:p>
    <w:p w14:paraId="121E8F3E" w14:textId="77777777" w:rsidR="00101B46" w:rsidRPr="002C6099" w:rsidRDefault="00101B46" w:rsidP="00101B46">
      <w:pPr>
        <w:spacing w:after="120"/>
        <w:ind w:firstLine="709"/>
        <w:jc w:val="both"/>
        <w:rPr>
          <w:rFonts w:ascii="Arial" w:eastAsia="Calibri" w:hAnsi="Arial" w:cs="Arial"/>
          <w:color w:val="000000"/>
          <w:sz w:val="22"/>
          <w:lang w:val="es-ES" w:eastAsia="en-GB"/>
        </w:rPr>
      </w:pPr>
    </w:p>
    <w:p w14:paraId="3969F6FF" w14:textId="77777777" w:rsidR="00101B46" w:rsidRPr="002C6099" w:rsidRDefault="00101B46" w:rsidP="00101B46">
      <w:pPr>
        <w:ind w:left="709" w:right="709"/>
        <w:jc w:val="both"/>
        <w:rPr>
          <w:rFonts w:ascii="Arial" w:eastAsia="Calibri" w:hAnsi="Arial" w:cs="Arial"/>
          <w:color w:val="000000"/>
          <w:sz w:val="21"/>
          <w:szCs w:val="21"/>
          <w:lang w:val="es-ES" w:eastAsia="en-GB"/>
        </w:rPr>
      </w:pPr>
      <w:r w:rsidRPr="002C6099">
        <w:rPr>
          <w:rFonts w:ascii="Arial" w:eastAsia="Calibri" w:hAnsi="Arial" w:cs="Arial"/>
          <w:color w:val="000000"/>
          <w:sz w:val="21"/>
          <w:szCs w:val="21"/>
          <w:lang w:val="es-ES" w:eastAsia="en-GB"/>
        </w:rPr>
        <w:t xml:space="preserve">(e) El SECOP debe contar con la información oficial de la contratación realizada con recursos públicos. </w:t>
      </w:r>
      <w:r w:rsidRPr="002C6099">
        <w:rPr>
          <w:rFonts w:ascii="Arial" w:eastAsia="Calibri" w:hAnsi="Arial" w:cs="Arial"/>
          <w:i/>
          <w:iCs/>
          <w:color w:val="000000"/>
          <w:sz w:val="21"/>
          <w:szCs w:val="21"/>
          <w:lang w:val="es-ES" w:eastAsia="en-GB"/>
        </w:rPr>
        <w:t>Los contratos fiduciarios entendidos como los suscritos entre la Entidad Estatal y la fiduciaria deberán ser publicados por la Entidad Estatal que lo suscriba</w:t>
      </w:r>
      <w:r w:rsidRPr="002C6099">
        <w:rPr>
          <w:rFonts w:ascii="Arial" w:eastAsia="Calibri" w:hAnsi="Arial" w:cs="Arial"/>
          <w:color w:val="000000"/>
          <w:sz w:val="21"/>
          <w:szCs w:val="21"/>
          <w:lang w:val="es-ES" w:eastAsia="en-GB"/>
        </w:rPr>
        <w:t xml:space="preserve">. Los contratos que realice la fiduciaria en virtud del contrato de fiducia o encargo fiduciario, es decir, la contratación derivada, también deberán ser publicados por la Entidad Estatal con la intervención de la fiduciaria para efectos de la firma del contrato. </w:t>
      </w:r>
    </w:p>
    <w:p w14:paraId="31355454" w14:textId="77777777" w:rsidR="00101B46" w:rsidRPr="002C6099" w:rsidRDefault="00101B46" w:rsidP="00101B46">
      <w:pPr>
        <w:spacing w:after="120"/>
        <w:ind w:left="709" w:right="709"/>
        <w:jc w:val="both"/>
        <w:rPr>
          <w:rFonts w:ascii="Arial" w:eastAsia="Calibri" w:hAnsi="Arial" w:cs="Arial"/>
          <w:color w:val="000000"/>
          <w:sz w:val="21"/>
          <w:szCs w:val="21"/>
          <w:lang w:val="es-ES" w:eastAsia="en-GB"/>
        </w:rPr>
      </w:pPr>
      <w:r w:rsidRPr="002C6099">
        <w:rPr>
          <w:rFonts w:ascii="Arial" w:eastAsia="Calibri" w:hAnsi="Arial" w:cs="Arial"/>
          <w:color w:val="000000"/>
          <w:sz w:val="21"/>
          <w:szCs w:val="21"/>
          <w:lang w:val="es-ES" w:eastAsia="en-GB"/>
        </w:rPr>
        <w:t>[…]</w:t>
      </w:r>
    </w:p>
    <w:p w14:paraId="65F0DD20" w14:textId="77777777" w:rsidR="00101B46" w:rsidRPr="002C6099" w:rsidRDefault="00101B46" w:rsidP="00101B46">
      <w:pPr>
        <w:ind w:left="709" w:right="709"/>
        <w:jc w:val="both"/>
        <w:rPr>
          <w:rFonts w:ascii="Arial" w:eastAsia="Calibri" w:hAnsi="Arial" w:cs="Arial"/>
          <w:color w:val="000000"/>
          <w:sz w:val="21"/>
          <w:szCs w:val="21"/>
          <w:lang w:val="es-ES" w:eastAsia="en-GB"/>
        </w:rPr>
      </w:pPr>
      <w:r w:rsidRPr="002C6099">
        <w:rPr>
          <w:rFonts w:ascii="Arial" w:eastAsia="Calibri" w:hAnsi="Arial" w:cs="Arial"/>
          <w:color w:val="000000"/>
          <w:sz w:val="21"/>
          <w:szCs w:val="21"/>
          <w:lang w:val="es-ES" w:eastAsia="en-GB"/>
        </w:rPr>
        <w:t>En el caso de que la Entidad Estatal se niegue a publicar la contratación derivada con la intervención de la fiduciaria para efectos de la firma del contrato, la fiduciaria que actúe como vocero de los patrimonios autónomos en calidad de contratante, debe publicar toda la actividad contractual derivada en el SECOP I mediante una cuenta de entidad compradora en el módulo de régimen especial. En este caso Colombia Compra Eficiente recomienda que se cree una cuenta por patrimonio autónomo con la información correspondiente de la fiduciaria en su calidad de vocero. (Cursiva fuera de texto)</w:t>
      </w:r>
    </w:p>
    <w:p w14:paraId="646000D2" w14:textId="77777777" w:rsidR="00101B46" w:rsidRPr="002C6099" w:rsidRDefault="00101B46" w:rsidP="00101B46">
      <w:pPr>
        <w:ind w:left="709" w:right="709"/>
        <w:jc w:val="both"/>
        <w:rPr>
          <w:rFonts w:ascii="Arial" w:eastAsia="Calibri" w:hAnsi="Arial" w:cs="Arial"/>
          <w:color w:val="000000"/>
          <w:sz w:val="21"/>
          <w:szCs w:val="21"/>
          <w:lang w:val="es-ES" w:eastAsia="en-GB"/>
        </w:rPr>
      </w:pPr>
      <w:r w:rsidRPr="002C6099">
        <w:rPr>
          <w:rFonts w:ascii="Arial" w:eastAsia="Calibri" w:hAnsi="Arial" w:cs="Arial"/>
          <w:color w:val="000000"/>
          <w:sz w:val="21"/>
          <w:szCs w:val="21"/>
          <w:lang w:val="es-ES" w:eastAsia="en-GB"/>
        </w:rPr>
        <w:t>[…]</w:t>
      </w:r>
    </w:p>
    <w:p w14:paraId="520C5D37" w14:textId="77777777" w:rsidR="00101B46" w:rsidRPr="002C6099" w:rsidRDefault="00101B46" w:rsidP="00101B46">
      <w:pPr>
        <w:spacing w:line="276" w:lineRule="auto"/>
        <w:ind w:firstLine="709"/>
        <w:jc w:val="both"/>
        <w:rPr>
          <w:rFonts w:ascii="Arial" w:eastAsia="Calibri" w:hAnsi="Arial" w:cs="Arial"/>
          <w:color w:val="000000"/>
          <w:sz w:val="22"/>
          <w:lang w:val="es-ES" w:eastAsia="en-GB"/>
        </w:rPr>
      </w:pPr>
    </w:p>
    <w:p w14:paraId="3F60FA85" w14:textId="7FD97902" w:rsidR="00101B46" w:rsidRPr="002C6099" w:rsidRDefault="00101B46" w:rsidP="00101B46">
      <w:pPr>
        <w:spacing w:after="120" w:line="276" w:lineRule="auto"/>
        <w:ind w:firstLine="709"/>
        <w:jc w:val="both"/>
        <w:rPr>
          <w:rFonts w:ascii="Arial" w:hAnsi="Arial" w:cs="Arial"/>
          <w:color w:val="000000"/>
          <w:sz w:val="22"/>
          <w:lang w:val="es-ES" w:eastAsia="en-GB"/>
        </w:rPr>
      </w:pPr>
      <w:r w:rsidRPr="002C6099">
        <w:rPr>
          <w:rFonts w:ascii="Arial" w:eastAsia="Calibri" w:hAnsi="Arial" w:cs="Arial"/>
          <w:color w:val="000000"/>
          <w:sz w:val="22"/>
          <w:lang w:val="es-ES" w:eastAsia="en-GB"/>
        </w:rPr>
        <w:t>En principio, los contratos fiduciarios deben publicarse por la entidad estatal que los suscriba, de acuerdo con el régimen jurídico aplicable. La misma obligación recae sobre la «contratación derivada», que debe publicarse en el SECOP por la entidad estatal con la intervención de la fiducia para efectos de la firma del contrato.</w:t>
      </w:r>
      <w:r w:rsidRPr="002C6099">
        <w:rPr>
          <w:rFonts w:ascii="Arial" w:hAnsi="Arial" w:cs="Arial"/>
          <w:color w:val="000000"/>
          <w:sz w:val="22"/>
          <w:lang w:val="es-ES" w:eastAsia="en-GB"/>
        </w:rPr>
        <w:t xml:space="preserve"> No obstante, la Subdirección reconoce que las entidades estatales y las fiduciarias pueden acordar que la publicación de la información en el SECOP corresponda a estas últimas como voceras del patrimonio autónomo. </w:t>
      </w:r>
    </w:p>
    <w:p w14:paraId="06779D9B" w14:textId="2209820C" w:rsidR="00101B46" w:rsidRPr="002C6099" w:rsidRDefault="00101B46" w:rsidP="00101B46">
      <w:pPr>
        <w:spacing w:after="120" w:line="276" w:lineRule="auto"/>
        <w:ind w:firstLine="709"/>
        <w:jc w:val="both"/>
        <w:rPr>
          <w:rFonts w:ascii="Arial" w:hAnsi="Arial" w:cs="Arial"/>
          <w:color w:val="000000"/>
          <w:sz w:val="22"/>
          <w:lang w:val="es-ES" w:eastAsia="en-GB"/>
        </w:rPr>
      </w:pPr>
      <w:r w:rsidRPr="002C6099">
        <w:rPr>
          <w:rFonts w:ascii="Arial" w:hAnsi="Arial" w:cs="Arial"/>
          <w:color w:val="000000"/>
          <w:sz w:val="22"/>
          <w:lang w:val="es-ES" w:eastAsia="en-GB"/>
        </w:rPr>
        <w:t xml:space="preserve">Con el propósito de no interferir en el manejo propio de las relaciones contractuales entre entidades estatales y fiduciarias, las instrucciones impartidas en la Circular Externa Única buscan garantizar: i) que se cumpla la obligación legal de que el SECOP cuente «con la información oficial de la contratación realizada con dinero públicos» como lo ordena el artículo 3 de la Ley 1150 de 2007, </w:t>
      </w:r>
      <w:proofErr w:type="spellStart"/>
      <w:r w:rsidRPr="002C6099">
        <w:rPr>
          <w:rFonts w:ascii="Arial" w:hAnsi="Arial" w:cs="Arial"/>
          <w:color w:val="000000"/>
          <w:sz w:val="22"/>
          <w:lang w:val="es-ES" w:eastAsia="en-GB"/>
        </w:rPr>
        <w:t>ii</w:t>
      </w:r>
      <w:proofErr w:type="spellEnd"/>
      <w:r w:rsidRPr="002C6099">
        <w:rPr>
          <w:rFonts w:ascii="Arial" w:hAnsi="Arial" w:cs="Arial"/>
          <w:color w:val="000000"/>
          <w:sz w:val="22"/>
          <w:lang w:val="es-ES" w:eastAsia="en-GB"/>
        </w:rPr>
        <w:t xml:space="preserve">) que no exista duplicidad en la información cargada al SECOP lo que, entre otras cosas, concreta el principio de calidad de la información previsto en el artículo 3 de la Ley 1712 de 2015. </w:t>
      </w:r>
    </w:p>
    <w:p w14:paraId="35E5FC41" w14:textId="77777777" w:rsidR="00101B46" w:rsidRPr="002C6099" w:rsidRDefault="00101B46" w:rsidP="00101B46">
      <w:pPr>
        <w:spacing w:after="120" w:line="276" w:lineRule="auto"/>
        <w:ind w:firstLine="709"/>
        <w:jc w:val="both"/>
        <w:rPr>
          <w:rFonts w:ascii="Arial" w:eastAsia="Calibri" w:hAnsi="Arial" w:cs="Arial"/>
          <w:color w:val="000000"/>
          <w:sz w:val="22"/>
          <w:lang w:val="es-ES" w:eastAsia="en-GB"/>
        </w:rPr>
      </w:pPr>
      <w:r w:rsidRPr="002C6099">
        <w:rPr>
          <w:rFonts w:ascii="Arial" w:eastAsia="Calibri" w:hAnsi="Arial" w:cs="Arial"/>
          <w:color w:val="000000"/>
          <w:sz w:val="22"/>
          <w:lang w:val="es-ES" w:eastAsia="en-GB"/>
        </w:rPr>
        <w:t>Por lo anterior, la publicación de la «contratación derivada» de los contratos de fiducia corresponde a la entidad estatal fideicomitente, con intervención de la fiduciaria para efectos de la firma del contrato, o por la fiduciaria que actúe como vocera del patrimonio autónomo en calidad de contratante. Es decir, debe optarse por una de las opciones con el objetivo de evitar que la información se duplique.</w:t>
      </w:r>
    </w:p>
    <w:p w14:paraId="2C57BD6D" w14:textId="397C2FA2" w:rsidR="00F66536" w:rsidRPr="00F05D4B" w:rsidRDefault="00101B46" w:rsidP="00F66536">
      <w:pPr>
        <w:spacing w:line="276" w:lineRule="auto"/>
        <w:jc w:val="both"/>
        <w:rPr>
          <w:rFonts w:ascii="Arial" w:eastAsia="Calibri" w:hAnsi="Arial" w:cs="Arial"/>
          <w:bCs/>
          <w:color w:val="000000"/>
          <w:sz w:val="22"/>
          <w:lang w:val="es-ES" w:eastAsia="en-GB"/>
        </w:rPr>
      </w:pPr>
      <w:r w:rsidRPr="002C6099">
        <w:rPr>
          <w:rFonts w:ascii="Arial" w:eastAsia="Calibri" w:hAnsi="Arial" w:cs="Arial"/>
          <w:b/>
          <w:color w:val="000000"/>
          <w:sz w:val="22"/>
          <w:lang w:val="es-ES" w:eastAsia="en-GB"/>
        </w:rPr>
        <w:tab/>
      </w:r>
      <w:r w:rsidRPr="002C6099">
        <w:rPr>
          <w:rFonts w:ascii="Arial" w:eastAsia="Calibri" w:hAnsi="Arial" w:cs="Arial"/>
          <w:bCs/>
          <w:color w:val="000000"/>
          <w:sz w:val="22"/>
          <w:lang w:val="es-ES" w:eastAsia="en-GB"/>
        </w:rPr>
        <w:t xml:space="preserve">En relación con la plataforma en particular, SECOP I o SECOP II, debe recordarse que la obligación legal de publicar es de la entidad estatal. En consecuencia, la plataforma que debe utilizarse es aquella en la cual la entidad </w:t>
      </w:r>
      <w:r w:rsidR="00F35820" w:rsidRPr="00F05D4B">
        <w:rPr>
          <w:rFonts w:ascii="Arial" w:eastAsia="Calibri" w:hAnsi="Arial" w:cs="Arial"/>
          <w:bCs/>
          <w:color w:val="000000"/>
          <w:sz w:val="22"/>
          <w:lang w:val="es-ES" w:eastAsia="en-GB"/>
        </w:rPr>
        <w:t xml:space="preserve">estatal </w:t>
      </w:r>
      <w:r w:rsidRPr="002C6099">
        <w:rPr>
          <w:rFonts w:ascii="Arial" w:eastAsia="Calibri" w:hAnsi="Arial" w:cs="Arial"/>
          <w:bCs/>
          <w:color w:val="000000"/>
          <w:sz w:val="22"/>
          <w:lang w:val="es-ES" w:eastAsia="en-GB"/>
        </w:rPr>
        <w:t>se encuentra obligada a publicar</w:t>
      </w:r>
      <w:r w:rsidR="00F35820" w:rsidRPr="00F05D4B">
        <w:rPr>
          <w:rFonts w:ascii="Arial" w:eastAsia="Calibri" w:hAnsi="Arial" w:cs="Arial"/>
          <w:bCs/>
          <w:color w:val="000000"/>
          <w:sz w:val="22"/>
          <w:lang w:val="es-ES" w:eastAsia="en-GB"/>
        </w:rPr>
        <w:t xml:space="preserve"> de acuerdo con lo analizado en el numeral anterior y de acuerdo con las Circulares expedidas en la materia.</w:t>
      </w:r>
      <w:r w:rsidRPr="002C6099">
        <w:rPr>
          <w:rFonts w:ascii="Arial" w:eastAsia="Calibri" w:hAnsi="Arial" w:cs="Arial"/>
          <w:bCs/>
          <w:color w:val="000000"/>
          <w:sz w:val="22"/>
          <w:lang w:val="es-ES" w:eastAsia="en-GB"/>
        </w:rPr>
        <w:t xml:space="preserve"> </w:t>
      </w:r>
    </w:p>
    <w:p w14:paraId="3169A70B" w14:textId="77777777" w:rsidR="00101B46" w:rsidRPr="002C6099" w:rsidRDefault="00101B46" w:rsidP="00101B46">
      <w:pPr>
        <w:spacing w:before="120" w:after="120" w:line="276" w:lineRule="auto"/>
        <w:ind w:firstLine="709"/>
        <w:jc w:val="both"/>
        <w:rPr>
          <w:rFonts w:ascii="Arial" w:eastAsia="Calibri" w:hAnsi="Arial" w:cs="Arial"/>
          <w:color w:val="000000"/>
          <w:sz w:val="22"/>
          <w:lang w:val="es-ES" w:eastAsia="en-GB"/>
        </w:rPr>
      </w:pPr>
      <w:r w:rsidRPr="002C6099">
        <w:rPr>
          <w:rFonts w:ascii="Arial" w:eastAsia="Calibri" w:hAnsi="Arial" w:cs="Arial"/>
          <w:color w:val="000000"/>
          <w:sz w:val="22"/>
          <w:lang w:val="es-ES" w:eastAsia="en-GB"/>
        </w:rPr>
        <w:t xml:space="preserve">De otra parte, para el cumplimiento de esta obligación, se debe distinguir si el contrato a publicar está o no sometido al Régimen General de Contratación de la Administración Pública. Si lo está, «la Entidad Estatal deberá usar la funcionalidad de la modalidad de selección correspondiente», como lo dispone la Circular Externa Única de Colombia Compra Eficiente. Si no lo está, la entidad debe utilizar el módulo «Régimen Especial» del SECOP II. </w:t>
      </w:r>
      <w:r w:rsidRPr="002C6099">
        <w:rPr>
          <w:rFonts w:ascii="Arial" w:hAnsi="Arial" w:cs="Arial"/>
          <w:color w:val="000000"/>
          <w:sz w:val="22"/>
          <w:lang w:val="es-ES" w:eastAsia="en-GB"/>
        </w:rPr>
        <w:t xml:space="preserve">Para tales fines, la plataforma tiene habilitados dos módulos: i) el </w:t>
      </w:r>
      <w:r w:rsidRPr="002C6099">
        <w:rPr>
          <w:rFonts w:ascii="Arial" w:hAnsi="Arial" w:cs="Arial"/>
          <w:i/>
          <w:iCs/>
          <w:color w:val="000000"/>
          <w:sz w:val="22"/>
          <w:lang w:val="es-ES" w:eastAsia="en-GB"/>
        </w:rPr>
        <w:t>Módulo Régimen Especial −con ofertas−</w:t>
      </w:r>
      <w:r w:rsidRPr="002C6099">
        <w:rPr>
          <w:rFonts w:ascii="Arial" w:hAnsi="Arial" w:cs="Arial"/>
          <w:color w:val="000000"/>
          <w:sz w:val="22"/>
          <w:lang w:val="es-ES" w:eastAsia="en-GB"/>
        </w:rPr>
        <w:t xml:space="preserve">, dispuesto para los procesos competitivos; y </w:t>
      </w:r>
      <w:proofErr w:type="spellStart"/>
      <w:r w:rsidRPr="002C6099">
        <w:rPr>
          <w:rFonts w:ascii="Arial" w:hAnsi="Arial" w:cs="Arial"/>
          <w:color w:val="000000"/>
          <w:sz w:val="22"/>
          <w:lang w:val="es-ES" w:eastAsia="en-GB"/>
        </w:rPr>
        <w:t>ii</w:t>
      </w:r>
      <w:proofErr w:type="spellEnd"/>
      <w:r w:rsidRPr="002C6099">
        <w:rPr>
          <w:rFonts w:ascii="Arial" w:hAnsi="Arial" w:cs="Arial"/>
          <w:color w:val="000000"/>
          <w:sz w:val="22"/>
          <w:lang w:val="es-ES" w:eastAsia="en-GB"/>
        </w:rPr>
        <w:t xml:space="preserve">) </w:t>
      </w:r>
      <w:r w:rsidRPr="002C6099">
        <w:rPr>
          <w:rFonts w:ascii="Arial" w:hAnsi="Arial" w:cs="Arial"/>
          <w:i/>
          <w:iCs/>
          <w:color w:val="000000"/>
          <w:sz w:val="22"/>
          <w:lang w:val="es-ES" w:eastAsia="en-GB"/>
        </w:rPr>
        <w:t>Módulo Régimen Especial −sin ofertas−</w:t>
      </w:r>
      <w:r w:rsidRPr="002C6099">
        <w:rPr>
          <w:rFonts w:ascii="Arial" w:hAnsi="Arial" w:cs="Arial"/>
          <w:color w:val="000000"/>
          <w:sz w:val="22"/>
          <w:lang w:val="es-ES" w:eastAsia="en-GB"/>
        </w:rPr>
        <w:t xml:space="preserve">, diseñado para aquellos eventos en los que no se requiere adelantar un proceso con pluralidad de oferente. En ambos casos, </w:t>
      </w:r>
      <w:r w:rsidRPr="002C6099">
        <w:rPr>
          <w:rFonts w:ascii="Arial" w:eastAsia="Calibri" w:hAnsi="Arial" w:cs="Arial"/>
          <w:color w:val="000000"/>
          <w:sz w:val="22"/>
          <w:lang w:val="es-ES" w:eastAsia="en-GB"/>
        </w:rPr>
        <w:t>la entidad puede elegir si firma el contrato electrónicamente, esto es, utiliza el módulo de gestión contractual del SECOP II con registro por parte del proveedor y firma electrónica, o si firma el contrato en físico y publica los documentos de ejecución en la etapa precontractual del SECOP II «Etapa de Proceso».</w:t>
      </w:r>
    </w:p>
    <w:p w14:paraId="3D3A127C" w14:textId="77777777" w:rsidR="00101B46" w:rsidRPr="002C6099" w:rsidRDefault="00101B46" w:rsidP="00101B46">
      <w:pPr>
        <w:spacing w:before="120" w:after="120" w:line="276" w:lineRule="auto"/>
        <w:ind w:firstLine="709"/>
        <w:jc w:val="both"/>
        <w:rPr>
          <w:rFonts w:ascii="Arial" w:eastAsia="Calibri" w:hAnsi="Arial" w:cs="Arial"/>
          <w:color w:val="000000"/>
          <w:sz w:val="22"/>
          <w:lang w:val="es-ES" w:eastAsia="en-GB"/>
        </w:rPr>
      </w:pPr>
      <w:r w:rsidRPr="002C6099">
        <w:rPr>
          <w:rFonts w:ascii="Arial" w:eastAsia="Calibri" w:hAnsi="Arial" w:cs="Arial"/>
          <w:color w:val="000000"/>
          <w:sz w:val="22"/>
          <w:lang w:val="es-ES" w:eastAsia="en-GB"/>
        </w:rPr>
        <w:lastRenderedPageBreak/>
        <w:t xml:space="preserve">En ese sentido, «quien firma por parte de la fiduciaria tendría que crear un usuario del SECOP II y solicitar acceso a la cuenta de la Entidad Estatal para realizar la firma electrónica. En el segundo caso, quien firma por parte de la fiduciaria suscribiría el contrato en físico y la Entidad Estatal cargaría del contrato en la fase de “Proceso”. Para poder publicar el contrato y cualquier documento de ejecución contractual en la fase “Proceso” no se debe finalizar dicha etapa, pues esta acción cierra el expediente contractual impidiendo cualquier publicación posterior», según lo expone la Circular Externa. </w:t>
      </w:r>
    </w:p>
    <w:p w14:paraId="141C0C77" w14:textId="18054530" w:rsidR="00F35820" w:rsidRDefault="00F35820" w:rsidP="00B04E9F">
      <w:pPr>
        <w:spacing w:line="276" w:lineRule="auto"/>
        <w:ind w:firstLine="709"/>
        <w:jc w:val="both"/>
        <w:rPr>
          <w:rFonts w:ascii="Arial" w:eastAsia="Calibri" w:hAnsi="Arial" w:cs="Arial"/>
          <w:color w:val="000000"/>
          <w:sz w:val="22"/>
          <w:lang w:val="es-ES" w:eastAsia="en-GB"/>
        </w:rPr>
      </w:pPr>
      <w:r>
        <w:rPr>
          <w:rFonts w:ascii="Arial" w:eastAsia="Calibri" w:hAnsi="Arial" w:cs="Arial"/>
          <w:color w:val="000000"/>
          <w:sz w:val="22"/>
          <w:lang w:val="es-ES" w:eastAsia="en-GB"/>
        </w:rPr>
        <w:t>Sin perjuicio de lo anterior, como lo señala el peticionario en su solicitud y como lo establece actualmente la Circular Externa Única</w:t>
      </w:r>
      <w:r w:rsidR="00287580">
        <w:rPr>
          <w:rFonts w:ascii="Arial" w:eastAsia="Calibri" w:hAnsi="Arial" w:cs="Arial"/>
          <w:color w:val="000000"/>
          <w:sz w:val="22"/>
          <w:lang w:val="es-ES" w:eastAsia="en-GB"/>
        </w:rPr>
        <w:t>, se regula la posibilidad de que la fiduciaria que actúa como vocera del patrimonio autónomo publique</w:t>
      </w:r>
      <w:r w:rsidR="00E7063B">
        <w:rPr>
          <w:rFonts w:ascii="Arial" w:eastAsia="Calibri" w:hAnsi="Arial" w:cs="Arial"/>
          <w:color w:val="000000"/>
          <w:sz w:val="22"/>
          <w:lang w:val="es-ES" w:eastAsia="en-GB"/>
        </w:rPr>
        <w:t xml:space="preserve"> directamente</w:t>
      </w:r>
      <w:r w:rsidR="00287580">
        <w:rPr>
          <w:rFonts w:ascii="Arial" w:eastAsia="Calibri" w:hAnsi="Arial" w:cs="Arial"/>
          <w:color w:val="000000"/>
          <w:sz w:val="22"/>
          <w:lang w:val="es-ES" w:eastAsia="en-GB"/>
        </w:rPr>
        <w:t xml:space="preserve"> la actividad contractual derivada, de la siguiente manera: «</w:t>
      </w:r>
      <w:r w:rsidR="00287580" w:rsidRPr="00287580">
        <w:rPr>
          <w:rFonts w:ascii="Arial" w:eastAsia="Calibri" w:hAnsi="Arial" w:cs="Arial"/>
          <w:color w:val="000000"/>
          <w:sz w:val="22"/>
          <w:lang w:val="es-ES" w:eastAsia="en-GB"/>
        </w:rPr>
        <w:t>En</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el</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caso</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de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que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la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Entidad</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Estatal</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se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niegue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publicar</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la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contratación derivada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con</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la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intervención</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de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la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fiduciaria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para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efectos</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de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la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firma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del contrato, la fiduciaria que actúe como vocero de los patrimonios autónomos en</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calidad</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de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contratante,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debe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publicar</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toda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la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actividad</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contractual derivada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en</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el</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SECOP</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I</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mediante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una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cuenta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de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entidad</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compradora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en el</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módulo</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de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régimen</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especial.</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En este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caso</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Colombia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Compra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Eficiente recomienda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que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se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cree</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una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cuenta</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por</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patrimonio</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autónomo</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con</w:t>
      </w:r>
      <w:r w:rsidR="00287580">
        <w:rPr>
          <w:rFonts w:ascii="Arial" w:eastAsia="Calibri" w:hAnsi="Arial" w:cs="Arial"/>
          <w:color w:val="000000"/>
          <w:sz w:val="22"/>
          <w:lang w:val="es-ES" w:eastAsia="en-GB"/>
        </w:rPr>
        <w:t xml:space="preserve"> </w:t>
      </w:r>
      <w:r w:rsidR="00287580" w:rsidRPr="00287580">
        <w:rPr>
          <w:rFonts w:ascii="Arial" w:eastAsia="Calibri" w:hAnsi="Arial" w:cs="Arial"/>
          <w:color w:val="000000"/>
          <w:sz w:val="22"/>
          <w:lang w:val="es-ES" w:eastAsia="en-GB"/>
        </w:rPr>
        <w:t>la información correspondiente de la fiduciaria en su calidad de vocero</w:t>
      </w:r>
      <w:r w:rsidR="00287580">
        <w:rPr>
          <w:rFonts w:ascii="Arial" w:eastAsia="Calibri" w:hAnsi="Arial" w:cs="Arial"/>
          <w:color w:val="000000"/>
          <w:sz w:val="22"/>
          <w:lang w:val="es-ES" w:eastAsia="en-GB"/>
        </w:rPr>
        <w:t>»</w:t>
      </w:r>
      <w:r w:rsidR="00287580" w:rsidRPr="00287580">
        <w:rPr>
          <w:rFonts w:ascii="Arial" w:eastAsia="Calibri" w:hAnsi="Arial" w:cs="Arial"/>
          <w:color w:val="000000"/>
          <w:sz w:val="22"/>
          <w:lang w:val="es-ES" w:eastAsia="en-GB"/>
        </w:rPr>
        <w:t>.</w:t>
      </w:r>
      <w:r w:rsidR="00287580">
        <w:rPr>
          <w:rFonts w:ascii="Arial" w:eastAsia="Calibri" w:hAnsi="Arial" w:cs="Arial"/>
          <w:color w:val="000000"/>
          <w:sz w:val="22"/>
          <w:lang w:val="es-ES" w:eastAsia="en-GB"/>
        </w:rPr>
        <w:t xml:space="preserve"> </w:t>
      </w:r>
    </w:p>
    <w:p w14:paraId="47EC929B" w14:textId="75ECEE20" w:rsidR="00E7063B" w:rsidRDefault="00E7063B" w:rsidP="00E7063B">
      <w:pPr>
        <w:spacing w:before="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Teniendo en cuenta lo anterior, dadas las particularidades que </w:t>
      </w:r>
      <w:r w:rsidR="00DD3C7B">
        <w:rPr>
          <w:rFonts w:ascii="Arial" w:eastAsia="Calibri" w:hAnsi="Arial" w:cs="Arial"/>
          <w:color w:val="000000" w:themeColor="text1"/>
          <w:sz w:val="22"/>
          <w:lang w:val="es-ES"/>
        </w:rPr>
        <w:t>revisten</w:t>
      </w:r>
      <w:r>
        <w:rPr>
          <w:rFonts w:ascii="Arial" w:eastAsia="Calibri" w:hAnsi="Arial" w:cs="Arial"/>
          <w:color w:val="000000" w:themeColor="text1"/>
          <w:sz w:val="22"/>
          <w:lang w:val="es-ES"/>
        </w:rPr>
        <w:t xml:space="preserve"> los negocios fiduciarios, mediante los cuales no se crean entidades estatales, esta Agencia considera que la publicidad en el SECOP por parte de los patrimonios autónomos mediante los cuales se ejecutan recursos públicos, debe realizarse en los términos establecidos en el numeral 1.8 de la Circular Externa Única expedida por la Agencia Nacional de Contratación Pública – Colombia Compra Eficiente, como administradora del SECOP, en los términos explicados anteriormente.</w:t>
      </w:r>
    </w:p>
    <w:p w14:paraId="1D3C01C1" w14:textId="77777777" w:rsidR="00E7063B" w:rsidRDefault="00E7063B" w:rsidP="00B04E9F">
      <w:pPr>
        <w:spacing w:line="276" w:lineRule="auto"/>
        <w:ind w:firstLine="709"/>
        <w:jc w:val="both"/>
        <w:rPr>
          <w:rFonts w:ascii="Arial" w:eastAsia="Calibri" w:hAnsi="Arial" w:cs="Arial"/>
          <w:color w:val="000000"/>
          <w:sz w:val="22"/>
          <w:lang w:val="es-ES" w:eastAsia="en-GB"/>
        </w:rPr>
      </w:pPr>
    </w:p>
    <w:p w14:paraId="719EB4DC" w14:textId="57487882" w:rsidR="008A6195" w:rsidRDefault="00DD3396" w:rsidP="00DD3396">
      <w:pPr>
        <w:tabs>
          <w:tab w:val="left" w:pos="709"/>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3. Respuesta</w:t>
      </w:r>
    </w:p>
    <w:p w14:paraId="1023A830" w14:textId="33DAF5A1" w:rsidR="00B12A1C" w:rsidRPr="00C778C4" w:rsidRDefault="00C778C4" w:rsidP="00C778C4">
      <w:pPr>
        <w:pStyle w:val="NormalWeb"/>
        <w:ind w:left="709" w:right="709"/>
        <w:jc w:val="both"/>
        <w:rPr>
          <w:rFonts w:ascii="Arial" w:hAnsi="Arial" w:cs="Arial"/>
          <w:sz w:val="21"/>
          <w:szCs w:val="21"/>
        </w:rPr>
      </w:pPr>
      <w:r w:rsidRPr="00915507">
        <w:rPr>
          <w:rFonts w:ascii="Arial" w:hAnsi="Arial" w:cs="Arial"/>
          <w:sz w:val="21"/>
          <w:szCs w:val="21"/>
        </w:rPr>
        <w:t>«[…] Partiendo de lo anterior, sería importante conocer la posición de Colombia Compra Eficiente, sobre la obligación o aplicación de la mencionada norma, para los patrimonios autónomos, dado que las mismas no son entidades. Si es obligación de los patrimonios autónomos publicar su actividad contractual en el SECOP II partiendo de la norma de la Ley 2195 de 2022, sería importante conocer si la plataforma soporta la creación de cuentas como entidades compradoras a patrimonios autónomos que no tienen personería jurídica y se identifican con el mismo NIT</w:t>
      </w:r>
      <w:r w:rsidR="00287580">
        <w:rPr>
          <w:rFonts w:ascii="Arial" w:hAnsi="Arial" w:cs="Arial"/>
          <w:sz w:val="21"/>
          <w:szCs w:val="21"/>
        </w:rPr>
        <w:t xml:space="preserve"> […]</w:t>
      </w:r>
      <w:r w:rsidRPr="00915507">
        <w:rPr>
          <w:rFonts w:ascii="Arial" w:hAnsi="Arial" w:cs="Arial"/>
          <w:sz w:val="21"/>
          <w:szCs w:val="21"/>
        </w:rPr>
        <w:t>».</w:t>
      </w:r>
    </w:p>
    <w:p w14:paraId="40F3B613" w14:textId="1E3BAE02" w:rsidR="00CC3003" w:rsidRDefault="00C67203" w:rsidP="00C67203">
      <w:pPr>
        <w:spacing w:after="120" w:line="276" w:lineRule="auto"/>
        <w:jc w:val="both"/>
        <w:rPr>
          <w:rFonts w:ascii="Arial" w:hAnsi="Arial" w:cs="Arial"/>
          <w:color w:val="000000" w:themeColor="text1"/>
          <w:sz w:val="22"/>
        </w:rPr>
      </w:pPr>
      <w:r w:rsidRPr="0037742E">
        <w:rPr>
          <w:rFonts w:ascii="Arial" w:hAnsi="Arial" w:cs="Arial"/>
          <w:color w:val="000000" w:themeColor="text1"/>
          <w:sz w:val="22"/>
        </w:rPr>
        <w:t xml:space="preserve">De conformidad </w:t>
      </w:r>
      <w:r>
        <w:rPr>
          <w:rFonts w:ascii="Arial" w:hAnsi="Arial" w:cs="Arial"/>
          <w:color w:val="000000" w:themeColor="text1"/>
          <w:sz w:val="22"/>
        </w:rPr>
        <w:t xml:space="preserve">con las </w:t>
      </w:r>
      <w:r w:rsidRPr="00DD3CDF">
        <w:rPr>
          <w:rFonts w:ascii="Arial" w:hAnsi="Arial" w:cs="Arial"/>
          <w:color w:val="000000" w:themeColor="text1"/>
          <w:sz w:val="22"/>
        </w:rPr>
        <w:t>consideraciones anteriores y dentro del ámbito de competencias establecid</w:t>
      </w:r>
      <w:r w:rsidR="005C23AD" w:rsidRPr="00DD3CDF">
        <w:rPr>
          <w:rFonts w:ascii="Arial" w:hAnsi="Arial" w:cs="Arial"/>
          <w:color w:val="000000" w:themeColor="text1"/>
          <w:sz w:val="22"/>
        </w:rPr>
        <w:t>a</w:t>
      </w:r>
      <w:r w:rsidRPr="00DD3CDF">
        <w:rPr>
          <w:rFonts w:ascii="Arial" w:hAnsi="Arial" w:cs="Arial"/>
          <w:color w:val="000000" w:themeColor="text1"/>
          <w:sz w:val="22"/>
        </w:rPr>
        <w:t>s en el numeral 5 del artículo 3 y el numeral 8 del artículo 11 del Decreto 4170 de 2011,</w:t>
      </w:r>
      <w:r w:rsidR="00DD3CDF" w:rsidRPr="00DD3CDF">
        <w:rPr>
          <w:rFonts w:ascii="Arial" w:hAnsi="Arial" w:cs="Arial"/>
          <w:color w:val="000000" w:themeColor="text1"/>
          <w:sz w:val="22"/>
        </w:rPr>
        <w:t xml:space="preserve"> esta Agencia</w:t>
      </w:r>
      <w:r w:rsidR="00CC3003">
        <w:rPr>
          <w:rFonts w:ascii="Arial" w:hAnsi="Arial" w:cs="Arial"/>
          <w:color w:val="000000" w:themeColor="text1"/>
          <w:sz w:val="22"/>
        </w:rPr>
        <w:t>,</w:t>
      </w:r>
      <w:r w:rsidR="00DD3CDF" w:rsidRPr="00DD3CDF">
        <w:rPr>
          <w:rFonts w:ascii="Arial" w:hAnsi="Arial" w:cs="Arial"/>
          <w:color w:val="000000" w:themeColor="text1"/>
          <w:sz w:val="22"/>
        </w:rPr>
        <w:t xml:space="preserve"> </w:t>
      </w:r>
      <w:r w:rsidR="00CC3003">
        <w:rPr>
          <w:rFonts w:ascii="Arial" w:eastAsia="MS Mincho" w:hAnsi="Arial" w:cs="Arial"/>
          <w:sz w:val="22"/>
          <w:szCs w:val="22"/>
          <w:lang w:val="es-ES_tradnl" w:eastAsia="es-CO"/>
        </w:rPr>
        <w:t xml:space="preserve">teniendo en cuenta la consulta planteada por el peticionario, considera que en los casos en que sea posible constituir patrimonios autónomos por parte de entidades estatales, la Corte Constitucional, con apoyo en la Sala de Consulta y Servicio </w:t>
      </w:r>
      <w:r w:rsidR="00CC3003">
        <w:rPr>
          <w:rFonts w:ascii="Arial" w:eastAsia="MS Mincho" w:hAnsi="Arial" w:cs="Arial"/>
          <w:sz w:val="22"/>
          <w:szCs w:val="22"/>
          <w:lang w:val="es-ES_tradnl" w:eastAsia="es-CO"/>
        </w:rPr>
        <w:lastRenderedPageBreak/>
        <w:t xml:space="preserve">Civil del Consejo de Estado consideró que dichos patrimonios autónomos no pueden considerarse entidades estatales, señalando que: «[…] </w:t>
      </w:r>
      <w:r w:rsidR="00CC3003" w:rsidRPr="00D85FA5">
        <w:rPr>
          <w:rFonts w:ascii="Arial" w:eastAsia="MS Mincho" w:hAnsi="Arial" w:cs="Arial"/>
          <w:sz w:val="22"/>
          <w:szCs w:val="22"/>
          <w:lang w:val="es-ES_tradnl" w:eastAsia="es-CO"/>
        </w:rPr>
        <w:t>el patrimonio autónomo es un centro de imputación de derechos y obligaciones, de carácter temporal y diferente a la persona que le dio origen (fiduciante, fideicomitente o constituyente), quien lo administra (fiduciario) y quien habrá de recibirlo (fideicomisario o beneficiario)</w:t>
      </w:r>
      <w:r w:rsidR="00CC3003">
        <w:rPr>
          <w:rFonts w:ascii="Arial" w:eastAsia="MS Mincho" w:hAnsi="Arial" w:cs="Arial"/>
          <w:sz w:val="22"/>
          <w:szCs w:val="22"/>
          <w:lang w:val="es-ES_tradnl" w:eastAsia="es-CO"/>
        </w:rPr>
        <w:t>»</w:t>
      </w:r>
      <w:r w:rsidR="00CC3003">
        <w:rPr>
          <w:rStyle w:val="Refdenotaalpie"/>
          <w:rFonts w:ascii="Arial" w:eastAsia="MS Mincho" w:hAnsi="Arial" w:cs="Arial"/>
          <w:sz w:val="22"/>
          <w:szCs w:val="22"/>
          <w:lang w:val="es-ES_tradnl" w:eastAsia="es-CO"/>
        </w:rPr>
        <w:footnoteReference w:id="4"/>
      </w:r>
      <w:r w:rsidR="00CC3003">
        <w:rPr>
          <w:rFonts w:ascii="Arial" w:eastAsia="MS Mincho" w:hAnsi="Arial" w:cs="Arial"/>
          <w:sz w:val="22"/>
          <w:szCs w:val="22"/>
          <w:lang w:val="es-ES_tradnl" w:eastAsia="es-CO"/>
        </w:rPr>
        <w:t>.</w:t>
      </w:r>
    </w:p>
    <w:p w14:paraId="0406B49B" w14:textId="20F28704" w:rsidR="00CC3003" w:rsidRDefault="00CC3003" w:rsidP="00C67203">
      <w:pPr>
        <w:spacing w:after="120" w:line="276" w:lineRule="auto"/>
        <w:jc w:val="both"/>
        <w:rPr>
          <w:rFonts w:ascii="Arial" w:eastAsia="Calibri" w:hAnsi="Arial" w:cs="Arial"/>
          <w:color w:val="000000" w:themeColor="text1"/>
          <w:sz w:val="22"/>
          <w:lang w:val="es-ES"/>
        </w:rPr>
      </w:pPr>
      <w:r>
        <w:rPr>
          <w:rFonts w:ascii="Arial" w:hAnsi="Arial" w:cs="Arial"/>
          <w:color w:val="000000" w:themeColor="text1"/>
          <w:sz w:val="22"/>
        </w:rPr>
        <w:tab/>
        <w:t xml:space="preserve">De acuerdo con ello, y </w:t>
      </w:r>
      <w:r>
        <w:rPr>
          <w:rFonts w:ascii="Arial" w:eastAsia="Calibri" w:hAnsi="Arial" w:cs="Arial"/>
          <w:color w:val="000000" w:themeColor="text1"/>
          <w:sz w:val="22"/>
          <w:lang w:val="es-ES"/>
        </w:rPr>
        <w:t>dada las particularidades que tienen los patrimonios autónomos, mediante los cuales no se crean entidades estatales, esta Agencia considera que la publicidad en el SECOP por parte de estos, cuando son constituidos por entidades estatales, y mediante los cuales se ejecutan recursos públicos, debe realizarse en los términos establecidos en numeral 1.8 de la Circular Externa Única expedida por la Agencia Nacional de Contratación Pública – Colombia Compra Eficiente, como administradora del SECOP, en los términos explicados en el numeral 2.2. de este concepto.</w:t>
      </w:r>
    </w:p>
    <w:p w14:paraId="4F55814F" w14:textId="413BBFBD" w:rsidR="006816C0" w:rsidRPr="00FE3EAA" w:rsidRDefault="006816C0" w:rsidP="00C778C4">
      <w:pPr>
        <w:spacing w:after="120" w:line="276" w:lineRule="auto"/>
        <w:jc w:val="both"/>
        <w:rPr>
          <w:rFonts w:ascii="Arial" w:hAnsi="Arial" w:cs="Arial"/>
          <w:sz w:val="22"/>
          <w:szCs w:val="22"/>
        </w:rPr>
      </w:pPr>
    </w:p>
    <w:p w14:paraId="46CB3F9F" w14:textId="77777777" w:rsidR="00DD3396" w:rsidRPr="00924DEF" w:rsidRDefault="00DD3396" w:rsidP="00DD3396">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Este concepto tiene el alcance previsto en el artículo 28 del Código de Procedimiento Administrativo y de lo Contencioso Administrativo.</w:t>
      </w:r>
    </w:p>
    <w:p w14:paraId="7E549757" w14:textId="77777777" w:rsidR="00DD3396" w:rsidRPr="00924DEF" w:rsidRDefault="00DD3396" w:rsidP="00DD3396">
      <w:pPr>
        <w:jc w:val="both"/>
        <w:rPr>
          <w:rFonts w:ascii="Arial" w:eastAsia="Calibri" w:hAnsi="Arial" w:cs="Arial"/>
          <w:sz w:val="22"/>
          <w:szCs w:val="22"/>
          <w:lang w:val="es-ES"/>
        </w:rPr>
      </w:pPr>
    </w:p>
    <w:p w14:paraId="3721BC85" w14:textId="3E0F8F2E" w:rsidR="00F35189" w:rsidRDefault="00DD3396" w:rsidP="00DD3396">
      <w:pPr>
        <w:jc w:val="both"/>
        <w:rPr>
          <w:rFonts w:ascii="Arial" w:hAnsi="Arial" w:cs="Arial"/>
          <w:sz w:val="22"/>
          <w:szCs w:val="22"/>
          <w:lang w:val="es-ES" w:eastAsia="es-CO"/>
        </w:rPr>
      </w:pPr>
      <w:r w:rsidRPr="00924DEF">
        <w:rPr>
          <w:rFonts w:ascii="Arial" w:hAnsi="Arial" w:cs="Arial"/>
          <w:sz w:val="22"/>
          <w:szCs w:val="22"/>
          <w:lang w:val="es-ES" w:eastAsia="es-CO"/>
        </w:rPr>
        <w:t>Atentamente,</w:t>
      </w:r>
    </w:p>
    <w:p w14:paraId="75F4B658" w14:textId="77777777" w:rsidR="00BC7BCA" w:rsidRPr="00924DEF" w:rsidRDefault="00BC7BCA" w:rsidP="00DD3396">
      <w:pPr>
        <w:jc w:val="both"/>
        <w:rPr>
          <w:rFonts w:ascii="Arial" w:hAnsi="Arial" w:cs="Arial"/>
          <w:sz w:val="22"/>
          <w:szCs w:val="22"/>
          <w:lang w:val="es-ES" w:eastAsia="es-CO"/>
        </w:rPr>
      </w:pPr>
    </w:p>
    <w:p w14:paraId="1EA301F3" w14:textId="17D9C29E" w:rsidR="00DD3396" w:rsidRPr="0008465D" w:rsidRDefault="00A5796E" w:rsidP="00DD3396">
      <w:pPr>
        <w:jc w:val="center"/>
        <w:rPr>
          <w:rFonts w:ascii="Arial" w:hAnsi="Arial" w:cs="Arial"/>
          <w:sz w:val="18"/>
          <w:szCs w:val="20"/>
          <w:lang w:val="es-ES" w:eastAsia="es-CO"/>
        </w:rPr>
      </w:pPr>
      <w:r>
        <w:rPr>
          <w:noProof/>
        </w:rPr>
        <w:drawing>
          <wp:inline distT="0" distB="0" distL="0" distR="0" wp14:anchorId="180BD615" wp14:editId="19209D54">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2"/>
                    <a:stretch>
                      <a:fillRect/>
                    </a:stretch>
                  </pic:blipFill>
                  <pic:spPr>
                    <a:xfrm>
                      <a:off x="0" y="0"/>
                      <a:ext cx="2534004" cy="981212"/>
                    </a:xfrm>
                    <a:prstGeom prst="rect">
                      <a:avLst/>
                    </a:prstGeom>
                  </pic:spPr>
                </pic:pic>
              </a:graphicData>
            </a:graphic>
          </wp:inline>
        </w:drawing>
      </w:r>
    </w:p>
    <w:p w14:paraId="46A10EF9" w14:textId="04246DCB" w:rsidR="00F35189" w:rsidRDefault="003A524D" w:rsidP="00DD3396">
      <w:pPr>
        <w:jc w:val="center"/>
        <w:rPr>
          <w:rFonts w:ascii="Arial" w:hAnsi="Arial" w:cs="Arial"/>
          <w:sz w:val="18"/>
          <w:szCs w:val="20"/>
          <w:lang w:val="es-ES" w:eastAsia="es-CO"/>
        </w:rPr>
      </w:pPr>
      <w:r>
        <w:rPr>
          <w:rFonts w:ascii="Arial" w:hAnsi="Arial" w:cs="Arial"/>
          <w:sz w:val="18"/>
          <w:szCs w:val="20"/>
          <w:lang w:val="es-ES" w:eastAsia="es-CO"/>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3396" w:rsidRPr="0008465D" w14:paraId="184BA4E2" w14:textId="77777777" w:rsidTr="008A5DF2">
        <w:trPr>
          <w:trHeight w:val="315"/>
        </w:trPr>
        <w:tc>
          <w:tcPr>
            <w:tcW w:w="812" w:type="dxa"/>
            <w:vAlign w:val="center"/>
            <w:hideMark/>
          </w:tcPr>
          <w:p w14:paraId="6E5809A2"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276713B"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Camilo Perdomo Villamil</w:t>
            </w:r>
          </w:p>
          <w:p w14:paraId="54E2B521"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DD3396" w:rsidRPr="0008465D" w14:paraId="0FD9A13A" w14:textId="77777777" w:rsidTr="008A5DF2">
        <w:trPr>
          <w:trHeight w:val="330"/>
        </w:trPr>
        <w:tc>
          <w:tcPr>
            <w:tcW w:w="812" w:type="dxa"/>
            <w:vAlign w:val="center"/>
            <w:hideMark/>
          </w:tcPr>
          <w:p w14:paraId="2901292D"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C956A3B" w14:textId="63604EA2" w:rsidR="00FE3EAA" w:rsidRDefault="00FE3EAA" w:rsidP="00FE3EAA">
            <w:pPr>
              <w:rPr>
                <w:rFonts w:ascii="Arial" w:hAnsi="Arial" w:cs="Arial"/>
                <w:sz w:val="16"/>
                <w:szCs w:val="16"/>
                <w:lang w:val="es-ES" w:eastAsia="es-ES"/>
              </w:rPr>
            </w:pPr>
            <w:r>
              <w:rPr>
                <w:rFonts w:ascii="Arial" w:hAnsi="Arial" w:cs="Arial"/>
                <w:sz w:val="16"/>
                <w:szCs w:val="16"/>
                <w:lang w:val="es-ES" w:eastAsia="es-ES"/>
              </w:rPr>
              <w:t>Sebastián Ramírez Grisales</w:t>
            </w:r>
          </w:p>
          <w:p w14:paraId="60DAD42B" w14:textId="1ED41202" w:rsidR="00FE3EAA" w:rsidRPr="0008465D" w:rsidRDefault="00FE3EAA" w:rsidP="00FE3EAA">
            <w:pPr>
              <w:rPr>
                <w:rFonts w:ascii="Arial" w:hAnsi="Arial" w:cs="Arial"/>
                <w:sz w:val="16"/>
                <w:szCs w:val="16"/>
                <w:lang w:val="es-ES" w:eastAsia="es-ES"/>
              </w:rPr>
            </w:pPr>
            <w:r>
              <w:rPr>
                <w:rFonts w:ascii="Arial" w:hAnsi="Arial" w:cs="Arial"/>
                <w:sz w:val="16"/>
                <w:szCs w:val="16"/>
                <w:lang w:val="es-ES" w:eastAsia="es-ES"/>
              </w:rPr>
              <w:t>Contratista de la Subdirección de Gestión Contractual</w:t>
            </w:r>
          </w:p>
          <w:p w14:paraId="7B192CD3" w14:textId="6936312F" w:rsidR="00DD3396" w:rsidRPr="0008465D" w:rsidRDefault="00DD3396" w:rsidP="008A5DF2">
            <w:pPr>
              <w:rPr>
                <w:rFonts w:ascii="Arial" w:hAnsi="Arial" w:cs="Arial"/>
                <w:sz w:val="16"/>
                <w:szCs w:val="16"/>
                <w:lang w:val="es-ES" w:eastAsia="es-ES"/>
              </w:rPr>
            </w:pPr>
          </w:p>
        </w:tc>
      </w:tr>
      <w:tr w:rsidR="00DD3396" w:rsidRPr="0008465D" w14:paraId="22915ADC" w14:textId="77777777" w:rsidTr="008A5DF2">
        <w:trPr>
          <w:trHeight w:val="300"/>
        </w:trPr>
        <w:tc>
          <w:tcPr>
            <w:tcW w:w="812" w:type="dxa"/>
            <w:vAlign w:val="center"/>
            <w:hideMark/>
          </w:tcPr>
          <w:p w14:paraId="2B0AEA3D"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885751" w14:textId="77777777" w:rsidR="00567FBF" w:rsidRPr="00530937" w:rsidRDefault="00567FBF" w:rsidP="00567FBF">
            <w:pPr>
              <w:rPr>
                <w:rFonts w:ascii="Arial" w:eastAsia="Calibri" w:hAnsi="Arial" w:cs="Arial"/>
                <w:sz w:val="16"/>
                <w:szCs w:val="16"/>
                <w:lang w:val="pt-BR" w:eastAsia="es-ES"/>
              </w:rPr>
            </w:pPr>
            <w:r w:rsidRPr="00530937">
              <w:rPr>
                <w:rFonts w:ascii="Arial" w:eastAsia="Calibri" w:hAnsi="Arial" w:cs="Arial"/>
                <w:sz w:val="16"/>
                <w:szCs w:val="16"/>
                <w:lang w:val="pt-BR" w:eastAsia="es-ES"/>
              </w:rPr>
              <w:t>Juan David Marín López</w:t>
            </w:r>
          </w:p>
          <w:p w14:paraId="253FFB1D" w14:textId="2C211072" w:rsidR="00DD3396" w:rsidRPr="0008465D" w:rsidRDefault="00567FBF" w:rsidP="008A5DF2">
            <w:pPr>
              <w:rPr>
                <w:rFonts w:ascii="Arial" w:hAnsi="Arial" w:cs="Arial"/>
                <w:sz w:val="16"/>
                <w:szCs w:val="16"/>
                <w:lang w:val="es-ES" w:eastAsia="es-ES"/>
              </w:rPr>
            </w:pPr>
            <w:r w:rsidRPr="00530937">
              <w:rPr>
                <w:rFonts w:ascii="Arial" w:eastAsia="Calibri" w:hAnsi="Arial" w:cs="Arial"/>
                <w:sz w:val="16"/>
                <w:szCs w:val="16"/>
                <w:lang w:eastAsia="es-ES"/>
              </w:rPr>
              <w:t xml:space="preserve">Subdirector de Gestión Contractual </w:t>
            </w:r>
            <w:r w:rsidRPr="00530937">
              <w:rPr>
                <w:rFonts w:ascii="Arial" w:eastAsia="Calibri" w:hAnsi="Arial" w:cs="Arial"/>
                <w:sz w:val="16"/>
                <w:szCs w:val="16"/>
                <w:lang w:val="pt-BR" w:eastAsia="es-ES"/>
              </w:rPr>
              <w:t>(E)</w:t>
            </w:r>
          </w:p>
        </w:tc>
      </w:tr>
    </w:tbl>
    <w:p w14:paraId="79C38D80" w14:textId="77777777" w:rsidR="00B55C9B" w:rsidRDefault="00B55C9B" w:rsidP="008179EC"/>
    <w:sectPr w:rsidR="00B55C9B"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ADA7" w14:textId="77777777" w:rsidR="003F3789" w:rsidRDefault="003F3789" w:rsidP="00DD3396">
      <w:r>
        <w:separator/>
      </w:r>
    </w:p>
  </w:endnote>
  <w:endnote w:type="continuationSeparator" w:id="0">
    <w:p w14:paraId="7420EFCA" w14:textId="77777777" w:rsidR="003F3789" w:rsidRDefault="003F3789" w:rsidP="00DD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34E8" w14:textId="77777777" w:rsidR="00387886" w:rsidRDefault="00000000" w:rsidP="007F1895">
    <w:pPr>
      <w:pStyle w:val="Sinespaciado"/>
      <w:jc w:val="right"/>
      <w:rPr>
        <w:rFonts w:ascii="Arial" w:hAnsi="Arial" w:cs="Arial"/>
        <w:sz w:val="18"/>
        <w:szCs w:val="18"/>
      </w:rPr>
    </w:pPr>
  </w:p>
  <w:p w14:paraId="05CFB081" w14:textId="77777777" w:rsidR="00387886" w:rsidRDefault="00000000" w:rsidP="007F1895">
    <w:pPr>
      <w:pStyle w:val="Sinespaciado"/>
      <w:jc w:val="right"/>
      <w:rPr>
        <w:rFonts w:ascii="Arial" w:hAnsi="Arial" w:cs="Arial"/>
        <w:sz w:val="18"/>
        <w:szCs w:val="18"/>
      </w:rPr>
    </w:pPr>
  </w:p>
  <w:p w14:paraId="0BB30109" w14:textId="77777777" w:rsidR="00387886" w:rsidRPr="008217B7" w:rsidRDefault="00AB6FA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6D3B6446" w14:textId="77777777" w:rsidR="00387886" w:rsidRDefault="00AB6FA6" w:rsidP="007F1895">
    <w:pPr>
      <w:pStyle w:val="Piedepgina"/>
      <w:jc w:val="center"/>
      <w:rPr>
        <w:lang w:val="es-ES"/>
      </w:rPr>
    </w:pPr>
    <w:r>
      <w:rPr>
        <w:noProof/>
      </w:rPr>
      <w:drawing>
        <wp:inline distT="0" distB="0" distL="0" distR="0" wp14:anchorId="2E7C97FE" wp14:editId="7CDFBE9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A82BF81" w14:textId="77777777" w:rsidR="00387886" w:rsidRPr="00E756AC" w:rsidRDefault="00000000" w:rsidP="007F1895">
    <w:pPr>
      <w:pStyle w:val="Piedepgina"/>
      <w:jc w:val="center"/>
      <w:rPr>
        <w:sz w:val="18"/>
        <w:szCs w:val="18"/>
        <w:lang w:val="es-ES"/>
      </w:rPr>
    </w:pPr>
  </w:p>
  <w:p w14:paraId="24F964E6" w14:textId="77777777" w:rsidR="00387886" w:rsidRPr="00E756AC" w:rsidRDefault="00000000"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FBBE" w14:textId="77777777" w:rsidR="003F3789" w:rsidRDefault="003F3789" w:rsidP="00DD3396">
      <w:r>
        <w:separator/>
      </w:r>
    </w:p>
  </w:footnote>
  <w:footnote w:type="continuationSeparator" w:id="0">
    <w:p w14:paraId="283BF54F" w14:textId="77777777" w:rsidR="003F3789" w:rsidRDefault="003F3789" w:rsidP="00DD3396">
      <w:r>
        <w:continuationSeparator/>
      </w:r>
    </w:p>
  </w:footnote>
  <w:footnote w:id="1">
    <w:p w14:paraId="2ED8B1B9" w14:textId="77777777" w:rsidR="00000237" w:rsidRPr="006933DE" w:rsidRDefault="00000237" w:rsidP="006933DE">
      <w:pPr>
        <w:pStyle w:val="Textonotapie"/>
        <w:ind w:firstLine="708"/>
        <w:jc w:val="both"/>
        <w:rPr>
          <w:rFonts w:ascii="Arial" w:hAnsi="Arial" w:cs="Arial"/>
          <w:color w:val="000000"/>
          <w:sz w:val="19"/>
          <w:szCs w:val="19"/>
        </w:rPr>
      </w:pPr>
      <w:r w:rsidRPr="006933DE">
        <w:rPr>
          <w:rStyle w:val="Refdenotaalpie"/>
          <w:rFonts w:ascii="Arial" w:hAnsi="Arial" w:cs="Arial"/>
          <w:color w:val="000000"/>
          <w:sz w:val="19"/>
          <w:szCs w:val="19"/>
        </w:rPr>
        <w:footnoteRef/>
      </w:r>
      <w:r w:rsidRPr="006933DE">
        <w:rPr>
          <w:rFonts w:ascii="Arial" w:hAnsi="Arial" w:cs="Arial"/>
          <w:color w:val="000000"/>
          <w:sz w:val="19"/>
          <w:szCs w:val="19"/>
        </w:rPr>
        <w:t xml:space="preserve"> Decreto 4170 de 2011: «Artículo 3. Funciones: La Agencia Nacional de Contratación Pública –Colombia Compra Eficiente– ejercerá las siguientes funciones: [...]</w:t>
      </w:r>
    </w:p>
    <w:p w14:paraId="4A26D841" w14:textId="77777777" w:rsidR="00000237" w:rsidRPr="006933DE" w:rsidRDefault="00000237" w:rsidP="006933DE">
      <w:pPr>
        <w:pStyle w:val="Textonotapie"/>
        <w:ind w:firstLine="708"/>
        <w:jc w:val="both"/>
        <w:rPr>
          <w:rFonts w:ascii="Arial" w:hAnsi="Arial" w:cs="Arial"/>
          <w:color w:val="000000"/>
          <w:sz w:val="19"/>
          <w:szCs w:val="19"/>
        </w:rPr>
      </w:pPr>
      <w:r w:rsidRPr="006933DE">
        <w:rPr>
          <w:rFonts w:ascii="Arial" w:hAnsi="Arial" w:cs="Arial"/>
          <w:color w:val="000000"/>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2">
    <w:p w14:paraId="1FD4A2FE" w14:textId="77777777" w:rsidR="00D63711" w:rsidRPr="006933DE" w:rsidRDefault="00D63711" w:rsidP="00D63711">
      <w:pPr>
        <w:pStyle w:val="Textonotapie"/>
        <w:ind w:firstLine="708"/>
        <w:jc w:val="both"/>
        <w:rPr>
          <w:rFonts w:ascii="Arial" w:eastAsia="Times New Roman" w:hAnsi="Arial" w:cs="Arial"/>
          <w:sz w:val="19"/>
          <w:szCs w:val="19"/>
          <w:lang w:val="es-CO" w:eastAsia="es-MX"/>
        </w:rPr>
      </w:pPr>
      <w:r w:rsidRPr="00822679">
        <w:rPr>
          <w:rStyle w:val="Refdenotaalpie"/>
          <w:rFonts w:ascii="Arial" w:hAnsi="Arial" w:cs="Arial"/>
          <w:sz w:val="19"/>
          <w:szCs w:val="19"/>
        </w:rPr>
        <w:footnoteRef/>
      </w:r>
      <w:r w:rsidRPr="00822679">
        <w:rPr>
          <w:rFonts w:ascii="Arial" w:hAnsi="Arial" w:cs="Arial"/>
          <w:sz w:val="19"/>
          <w:szCs w:val="19"/>
        </w:rPr>
        <w:t xml:space="preserve"> </w:t>
      </w:r>
      <w:r w:rsidRPr="00822679">
        <w:rPr>
          <w:rFonts w:ascii="Arial" w:eastAsia="Times New Roman" w:hAnsi="Arial" w:cs="Arial"/>
          <w:sz w:val="19"/>
          <w:szCs w:val="19"/>
          <w:lang w:val="es-CO" w:eastAsia="es-MX"/>
        </w:rPr>
        <w:t xml:space="preserve">Corte Constitucional. Sentencia C-438 del 13 de julio de 2017. M.P. </w:t>
      </w:r>
      <w:r w:rsidRPr="006933DE">
        <w:rPr>
          <w:rFonts w:ascii="Arial" w:eastAsia="Times New Roman" w:hAnsi="Arial" w:cs="Arial"/>
          <w:sz w:val="19"/>
          <w:szCs w:val="19"/>
          <w:lang w:val="es-CO" w:eastAsia="es-MX"/>
        </w:rPr>
        <w:t>Gloria Stella Ortiz Delgado. En dicha providencia, la Corte Constitucional se apoyó en la Sala de Consulta y Servicio Civil del Consejo de Estado, que en el concepto 2.222 de 2015 resolvió una consulta acerca del Fondo Nacional de Gestión del Riesgo de Desastres, expresando que dicha Sala: «ha empleado la denominación de fondos cuentas para referirse a los fondos especiales y, al respecto, ha señalado que carecen de personería jurídica y por ende, no tienen la naturaleza jurídica de un establecimiento público y tampoco encajan en una de las otras categorías de entidades estatales, pues no son ministerios, ni departamentos administrativos, ni superintendencias, ni empresas industriales y comerciales del Estado u otra clase de órgano o entidad pública» (Consejo de Estado. Sala de Consulta y Servicio Civil. Concepto 2.222 de 2015. C.P. William Namén Vargas).</w:t>
      </w:r>
    </w:p>
    <w:p w14:paraId="3B7DA983" w14:textId="77777777" w:rsidR="00D63711" w:rsidRPr="00822679" w:rsidRDefault="00D63711" w:rsidP="00D63711">
      <w:pPr>
        <w:pStyle w:val="Textonotapie"/>
        <w:ind w:firstLine="708"/>
        <w:jc w:val="both"/>
        <w:rPr>
          <w:rFonts w:ascii="Arial" w:hAnsi="Arial" w:cs="Arial"/>
          <w:sz w:val="19"/>
          <w:szCs w:val="19"/>
          <w:lang w:val="es-CO"/>
        </w:rPr>
      </w:pPr>
    </w:p>
  </w:footnote>
  <w:footnote w:id="3">
    <w:p w14:paraId="5A6D818D" w14:textId="3B35B5F1" w:rsidR="006933DE" w:rsidRPr="00F05D4B" w:rsidRDefault="006933DE" w:rsidP="00F05D4B">
      <w:pPr>
        <w:pStyle w:val="Textonotapie"/>
        <w:ind w:firstLine="708"/>
        <w:jc w:val="both"/>
        <w:rPr>
          <w:rFonts w:ascii="Arial" w:hAnsi="Arial" w:cs="Arial"/>
          <w:sz w:val="19"/>
          <w:szCs w:val="19"/>
          <w:lang w:val="es-CO"/>
        </w:rPr>
      </w:pPr>
      <w:r w:rsidRPr="00F05D4B">
        <w:rPr>
          <w:rStyle w:val="Refdenotaalpie"/>
          <w:rFonts w:ascii="Arial" w:hAnsi="Arial" w:cs="Arial"/>
          <w:sz w:val="19"/>
          <w:szCs w:val="19"/>
        </w:rPr>
        <w:footnoteRef/>
      </w:r>
      <w:r w:rsidRPr="00F05D4B">
        <w:rPr>
          <w:rFonts w:ascii="Arial" w:hAnsi="Arial" w:cs="Arial"/>
          <w:sz w:val="19"/>
          <w:szCs w:val="19"/>
          <w:lang w:val="es-CO"/>
        </w:rPr>
        <w:t xml:space="preserve"> COLOMBIA COMPRA EFICIENTE. Circular Externa Única. Disponible en: </w:t>
      </w:r>
      <w:hyperlink r:id="rId1" w:history="1">
        <w:r w:rsidRPr="00F05D4B">
          <w:rPr>
            <w:rStyle w:val="Hipervnculo"/>
            <w:rFonts w:ascii="Arial" w:hAnsi="Arial" w:cs="Arial"/>
            <w:sz w:val="19"/>
            <w:szCs w:val="19"/>
            <w:lang w:val="es-CO"/>
          </w:rPr>
          <w:t>https://www.colombiacompra.gov.co/sites/cce_public/files/cce_circulares/cce_circular_unica.pdf</w:t>
        </w:r>
      </w:hyperlink>
      <w:r w:rsidRPr="00F05D4B">
        <w:rPr>
          <w:rFonts w:ascii="Arial" w:hAnsi="Arial" w:cs="Arial"/>
          <w:sz w:val="19"/>
          <w:szCs w:val="19"/>
          <w:lang w:val="es-CO"/>
        </w:rPr>
        <w:t xml:space="preserve"> </w:t>
      </w:r>
    </w:p>
  </w:footnote>
  <w:footnote w:id="4">
    <w:p w14:paraId="0FA01100" w14:textId="77777777" w:rsidR="00CC3003" w:rsidRPr="006933DE" w:rsidRDefault="00CC3003" w:rsidP="00CC3003">
      <w:pPr>
        <w:pStyle w:val="Textonotapie"/>
        <w:ind w:firstLine="708"/>
        <w:jc w:val="both"/>
        <w:rPr>
          <w:rFonts w:ascii="Arial" w:eastAsia="Times New Roman" w:hAnsi="Arial" w:cs="Arial"/>
          <w:sz w:val="19"/>
          <w:szCs w:val="19"/>
          <w:lang w:val="es-CO" w:eastAsia="es-MX"/>
        </w:rPr>
      </w:pPr>
      <w:r w:rsidRPr="00822679">
        <w:rPr>
          <w:rStyle w:val="Refdenotaalpie"/>
          <w:rFonts w:ascii="Arial" w:hAnsi="Arial" w:cs="Arial"/>
          <w:sz w:val="19"/>
          <w:szCs w:val="19"/>
        </w:rPr>
        <w:footnoteRef/>
      </w:r>
      <w:r w:rsidRPr="00822679">
        <w:rPr>
          <w:rFonts w:ascii="Arial" w:hAnsi="Arial" w:cs="Arial"/>
          <w:sz w:val="19"/>
          <w:szCs w:val="19"/>
        </w:rPr>
        <w:t xml:space="preserve"> </w:t>
      </w:r>
      <w:r w:rsidRPr="00822679">
        <w:rPr>
          <w:rFonts w:ascii="Arial" w:eastAsia="Times New Roman" w:hAnsi="Arial" w:cs="Arial"/>
          <w:sz w:val="19"/>
          <w:szCs w:val="19"/>
          <w:lang w:val="es-CO" w:eastAsia="es-MX"/>
        </w:rPr>
        <w:t xml:space="preserve">Corte Constitucional. Sentencia C-438 del 13 de julio de 2017. M.P. </w:t>
      </w:r>
      <w:r w:rsidRPr="006933DE">
        <w:rPr>
          <w:rFonts w:ascii="Arial" w:eastAsia="Times New Roman" w:hAnsi="Arial" w:cs="Arial"/>
          <w:sz w:val="19"/>
          <w:szCs w:val="19"/>
          <w:lang w:val="es-CO" w:eastAsia="es-MX"/>
        </w:rPr>
        <w:t>Gloria Stella Ortiz Delgado. En dicha providencia, la Corte Constitucional se apoyó en la Sala de Consulta y Servicio Civil del Consejo de Estado, que en el concepto 2.222 de 2015 resolvió una consulta acerca del Fondo Nacional de Gestión del Riesgo de Desastres, expresando que dicha Sala: «ha empleado la denominación de fondos cuentas para referirse a los fondos especiales y, al respecto, ha señalado que carecen de personería jurídica y por ende, no tienen la naturaleza jurídica de un establecimiento público y tampoco encajan en una de las otras categorías de entidades estatales, pues no son ministerios, ni departamentos administrativos, ni superintendencias, ni empresas industriales y comerciales del Estado u otra clase de órgano o entidad pública» (Consejo de Estado. Sala de Consulta y Servicio Civil. Concepto 2.222 de 2015. C.P. William Namén Vargas).</w:t>
      </w:r>
    </w:p>
    <w:p w14:paraId="0AB8D757" w14:textId="77777777" w:rsidR="00CC3003" w:rsidRPr="00822679" w:rsidRDefault="00CC3003" w:rsidP="00CC3003">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7F42" w14:textId="77777777" w:rsidR="00387886" w:rsidRDefault="00AB6FA6">
    <w:pPr>
      <w:pStyle w:val="Encabezado"/>
    </w:pPr>
    <w:r>
      <w:rPr>
        <w:noProof/>
        <w:lang w:val="es-CO" w:eastAsia="es-CO"/>
      </w:rPr>
      <w:drawing>
        <wp:anchor distT="0" distB="0" distL="114300" distR="114300" simplePos="0" relativeHeight="251659264" behindDoc="1" locked="0" layoutInCell="1" allowOverlap="1" wp14:anchorId="3F2A7C96" wp14:editId="5BFA5AD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F2F"/>
    <w:multiLevelType w:val="multilevel"/>
    <w:tmpl w:val="BCA4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136D2"/>
    <w:multiLevelType w:val="hybridMultilevel"/>
    <w:tmpl w:val="B6BA718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377F3431"/>
    <w:multiLevelType w:val="hybridMultilevel"/>
    <w:tmpl w:val="346A0E58"/>
    <w:lvl w:ilvl="0" w:tplc="240A0001">
      <w:start w:val="1"/>
      <w:numFmt w:val="bullet"/>
      <w:lvlText w:val=""/>
      <w:lvlJc w:val="left"/>
      <w:pPr>
        <w:ind w:left="1490" w:hanging="360"/>
      </w:pPr>
      <w:rPr>
        <w:rFonts w:ascii="Symbol" w:hAnsi="Symbol" w:hint="default"/>
      </w:rPr>
    </w:lvl>
    <w:lvl w:ilvl="1" w:tplc="240A0003" w:tentative="1">
      <w:start w:val="1"/>
      <w:numFmt w:val="bullet"/>
      <w:lvlText w:val="o"/>
      <w:lvlJc w:val="left"/>
      <w:pPr>
        <w:ind w:left="2210" w:hanging="360"/>
      </w:pPr>
      <w:rPr>
        <w:rFonts w:ascii="Courier New" w:hAnsi="Courier New" w:cs="Courier New" w:hint="default"/>
      </w:rPr>
    </w:lvl>
    <w:lvl w:ilvl="2" w:tplc="240A0005" w:tentative="1">
      <w:start w:val="1"/>
      <w:numFmt w:val="bullet"/>
      <w:lvlText w:val=""/>
      <w:lvlJc w:val="left"/>
      <w:pPr>
        <w:ind w:left="2930" w:hanging="360"/>
      </w:pPr>
      <w:rPr>
        <w:rFonts w:ascii="Wingdings" w:hAnsi="Wingdings" w:hint="default"/>
      </w:rPr>
    </w:lvl>
    <w:lvl w:ilvl="3" w:tplc="240A0001" w:tentative="1">
      <w:start w:val="1"/>
      <w:numFmt w:val="bullet"/>
      <w:lvlText w:val=""/>
      <w:lvlJc w:val="left"/>
      <w:pPr>
        <w:ind w:left="3650" w:hanging="360"/>
      </w:pPr>
      <w:rPr>
        <w:rFonts w:ascii="Symbol" w:hAnsi="Symbol" w:hint="default"/>
      </w:rPr>
    </w:lvl>
    <w:lvl w:ilvl="4" w:tplc="240A0003" w:tentative="1">
      <w:start w:val="1"/>
      <w:numFmt w:val="bullet"/>
      <w:lvlText w:val="o"/>
      <w:lvlJc w:val="left"/>
      <w:pPr>
        <w:ind w:left="4370" w:hanging="360"/>
      </w:pPr>
      <w:rPr>
        <w:rFonts w:ascii="Courier New" w:hAnsi="Courier New" w:cs="Courier New" w:hint="default"/>
      </w:rPr>
    </w:lvl>
    <w:lvl w:ilvl="5" w:tplc="240A0005" w:tentative="1">
      <w:start w:val="1"/>
      <w:numFmt w:val="bullet"/>
      <w:lvlText w:val=""/>
      <w:lvlJc w:val="left"/>
      <w:pPr>
        <w:ind w:left="5090" w:hanging="360"/>
      </w:pPr>
      <w:rPr>
        <w:rFonts w:ascii="Wingdings" w:hAnsi="Wingdings" w:hint="default"/>
      </w:rPr>
    </w:lvl>
    <w:lvl w:ilvl="6" w:tplc="240A0001" w:tentative="1">
      <w:start w:val="1"/>
      <w:numFmt w:val="bullet"/>
      <w:lvlText w:val=""/>
      <w:lvlJc w:val="left"/>
      <w:pPr>
        <w:ind w:left="5810" w:hanging="360"/>
      </w:pPr>
      <w:rPr>
        <w:rFonts w:ascii="Symbol" w:hAnsi="Symbol" w:hint="default"/>
      </w:rPr>
    </w:lvl>
    <w:lvl w:ilvl="7" w:tplc="240A0003" w:tentative="1">
      <w:start w:val="1"/>
      <w:numFmt w:val="bullet"/>
      <w:lvlText w:val="o"/>
      <w:lvlJc w:val="left"/>
      <w:pPr>
        <w:ind w:left="6530" w:hanging="360"/>
      </w:pPr>
      <w:rPr>
        <w:rFonts w:ascii="Courier New" w:hAnsi="Courier New" w:cs="Courier New" w:hint="default"/>
      </w:rPr>
    </w:lvl>
    <w:lvl w:ilvl="8" w:tplc="240A0005" w:tentative="1">
      <w:start w:val="1"/>
      <w:numFmt w:val="bullet"/>
      <w:lvlText w:val=""/>
      <w:lvlJc w:val="left"/>
      <w:pPr>
        <w:ind w:left="7250" w:hanging="360"/>
      </w:pPr>
      <w:rPr>
        <w:rFonts w:ascii="Wingdings" w:hAnsi="Wingdings" w:hint="default"/>
      </w:rPr>
    </w:lvl>
  </w:abstractNum>
  <w:abstractNum w:abstractNumId="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16cid:durableId="2083017203">
    <w:abstractNumId w:val="2"/>
  </w:num>
  <w:num w:numId="2" w16cid:durableId="936672831">
    <w:abstractNumId w:val="1"/>
  </w:num>
  <w:num w:numId="3" w16cid:durableId="1703359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10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96"/>
    <w:rsid w:val="00000237"/>
    <w:rsid w:val="000134F4"/>
    <w:rsid w:val="00025B53"/>
    <w:rsid w:val="00030D2F"/>
    <w:rsid w:val="000450B0"/>
    <w:rsid w:val="00052A18"/>
    <w:rsid w:val="00060385"/>
    <w:rsid w:val="00060AEB"/>
    <w:rsid w:val="000673B2"/>
    <w:rsid w:val="000734EC"/>
    <w:rsid w:val="000738B3"/>
    <w:rsid w:val="000819EB"/>
    <w:rsid w:val="0008579C"/>
    <w:rsid w:val="00096F3F"/>
    <w:rsid w:val="000A25F0"/>
    <w:rsid w:val="000B67A9"/>
    <w:rsid w:val="000E7C88"/>
    <w:rsid w:val="000F0DA0"/>
    <w:rsid w:val="000F0E49"/>
    <w:rsid w:val="00101B46"/>
    <w:rsid w:val="001032B4"/>
    <w:rsid w:val="001100B1"/>
    <w:rsid w:val="00110938"/>
    <w:rsid w:val="00121559"/>
    <w:rsid w:val="0013042F"/>
    <w:rsid w:val="001751BF"/>
    <w:rsid w:val="00182730"/>
    <w:rsid w:val="00183169"/>
    <w:rsid w:val="00186C90"/>
    <w:rsid w:val="001C24A6"/>
    <w:rsid w:val="001C3C9C"/>
    <w:rsid w:val="001D2495"/>
    <w:rsid w:val="001E528E"/>
    <w:rsid w:val="001F5EA0"/>
    <w:rsid w:val="001F6332"/>
    <w:rsid w:val="00205342"/>
    <w:rsid w:val="0020534C"/>
    <w:rsid w:val="00221626"/>
    <w:rsid w:val="00222FAB"/>
    <w:rsid w:val="00245D5A"/>
    <w:rsid w:val="0028624F"/>
    <w:rsid w:val="00287580"/>
    <w:rsid w:val="0029181B"/>
    <w:rsid w:val="002919D5"/>
    <w:rsid w:val="00291BA5"/>
    <w:rsid w:val="002943BE"/>
    <w:rsid w:val="002A083B"/>
    <w:rsid w:val="002A490E"/>
    <w:rsid w:val="002A64A3"/>
    <w:rsid w:val="002C6099"/>
    <w:rsid w:val="002D7F6C"/>
    <w:rsid w:val="002E40EF"/>
    <w:rsid w:val="002F6BE4"/>
    <w:rsid w:val="003076AF"/>
    <w:rsid w:val="00307A50"/>
    <w:rsid w:val="00311F36"/>
    <w:rsid w:val="00323D7F"/>
    <w:rsid w:val="00342F12"/>
    <w:rsid w:val="00355E65"/>
    <w:rsid w:val="00395B74"/>
    <w:rsid w:val="003A3D5D"/>
    <w:rsid w:val="003A3DEA"/>
    <w:rsid w:val="003A524D"/>
    <w:rsid w:val="003B7388"/>
    <w:rsid w:val="003D53B9"/>
    <w:rsid w:val="003E0750"/>
    <w:rsid w:val="003E17A8"/>
    <w:rsid w:val="003F3789"/>
    <w:rsid w:val="003F6D7E"/>
    <w:rsid w:val="00406EF1"/>
    <w:rsid w:val="00417909"/>
    <w:rsid w:val="0042053C"/>
    <w:rsid w:val="00427C10"/>
    <w:rsid w:val="004370CB"/>
    <w:rsid w:val="00442240"/>
    <w:rsid w:val="004431BA"/>
    <w:rsid w:val="00450FEE"/>
    <w:rsid w:val="00464326"/>
    <w:rsid w:val="004870F2"/>
    <w:rsid w:val="00490325"/>
    <w:rsid w:val="004911AA"/>
    <w:rsid w:val="004A6E04"/>
    <w:rsid w:val="004B61EA"/>
    <w:rsid w:val="004C46BC"/>
    <w:rsid w:val="004E508E"/>
    <w:rsid w:val="004F0A35"/>
    <w:rsid w:val="005304D0"/>
    <w:rsid w:val="005516C8"/>
    <w:rsid w:val="00551F4C"/>
    <w:rsid w:val="00553174"/>
    <w:rsid w:val="005620A4"/>
    <w:rsid w:val="00567FBF"/>
    <w:rsid w:val="005777B9"/>
    <w:rsid w:val="00581227"/>
    <w:rsid w:val="005934B4"/>
    <w:rsid w:val="005939DC"/>
    <w:rsid w:val="005B16AE"/>
    <w:rsid w:val="005B3681"/>
    <w:rsid w:val="005C23AD"/>
    <w:rsid w:val="005C5284"/>
    <w:rsid w:val="005F16E2"/>
    <w:rsid w:val="005F2015"/>
    <w:rsid w:val="00610587"/>
    <w:rsid w:val="00620891"/>
    <w:rsid w:val="00634376"/>
    <w:rsid w:val="00635BC1"/>
    <w:rsid w:val="00657711"/>
    <w:rsid w:val="00657F2C"/>
    <w:rsid w:val="00663ABA"/>
    <w:rsid w:val="00663E11"/>
    <w:rsid w:val="006643B7"/>
    <w:rsid w:val="006808C4"/>
    <w:rsid w:val="006816C0"/>
    <w:rsid w:val="00684CE1"/>
    <w:rsid w:val="006933DE"/>
    <w:rsid w:val="006B47E5"/>
    <w:rsid w:val="006D2290"/>
    <w:rsid w:val="006D5146"/>
    <w:rsid w:val="006D53A1"/>
    <w:rsid w:val="006E4887"/>
    <w:rsid w:val="006E6896"/>
    <w:rsid w:val="006F24BC"/>
    <w:rsid w:val="006F5B66"/>
    <w:rsid w:val="00712D06"/>
    <w:rsid w:val="00716F99"/>
    <w:rsid w:val="007275BC"/>
    <w:rsid w:val="00737B31"/>
    <w:rsid w:val="00740AE3"/>
    <w:rsid w:val="007439E0"/>
    <w:rsid w:val="00744E67"/>
    <w:rsid w:val="007472C6"/>
    <w:rsid w:val="00750D83"/>
    <w:rsid w:val="0075474F"/>
    <w:rsid w:val="00761716"/>
    <w:rsid w:val="0076758C"/>
    <w:rsid w:val="007746E2"/>
    <w:rsid w:val="00786CDD"/>
    <w:rsid w:val="00793CA3"/>
    <w:rsid w:val="0079439F"/>
    <w:rsid w:val="00797E16"/>
    <w:rsid w:val="007D145E"/>
    <w:rsid w:val="007D5CF7"/>
    <w:rsid w:val="007E720B"/>
    <w:rsid w:val="007F460D"/>
    <w:rsid w:val="0080589B"/>
    <w:rsid w:val="008179EC"/>
    <w:rsid w:val="00826C09"/>
    <w:rsid w:val="00836E8F"/>
    <w:rsid w:val="00862E0E"/>
    <w:rsid w:val="0086520C"/>
    <w:rsid w:val="008702D2"/>
    <w:rsid w:val="00874D76"/>
    <w:rsid w:val="008926F4"/>
    <w:rsid w:val="008A18BF"/>
    <w:rsid w:val="008A6195"/>
    <w:rsid w:val="008B34F2"/>
    <w:rsid w:val="008B685E"/>
    <w:rsid w:val="008F1F79"/>
    <w:rsid w:val="008F203C"/>
    <w:rsid w:val="008F659E"/>
    <w:rsid w:val="00910807"/>
    <w:rsid w:val="00915507"/>
    <w:rsid w:val="00916C1F"/>
    <w:rsid w:val="00923483"/>
    <w:rsid w:val="0093110F"/>
    <w:rsid w:val="00933CE1"/>
    <w:rsid w:val="00937E5E"/>
    <w:rsid w:val="0094418F"/>
    <w:rsid w:val="009456FD"/>
    <w:rsid w:val="00961946"/>
    <w:rsid w:val="00981C9F"/>
    <w:rsid w:val="009906CA"/>
    <w:rsid w:val="00991481"/>
    <w:rsid w:val="009A0499"/>
    <w:rsid w:val="009C1CB8"/>
    <w:rsid w:val="009D0E01"/>
    <w:rsid w:val="009E4E53"/>
    <w:rsid w:val="009F0FE0"/>
    <w:rsid w:val="00A10A6F"/>
    <w:rsid w:val="00A16EF0"/>
    <w:rsid w:val="00A2082D"/>
    <w:rsid w:val="00A32742"/>
    <w:rsid w:val="00A44DEE"/>
    <w:rsid w:val="00A46D13"/>
    <w:rsid w:val="00A547D0"/>
    <w:rsid w:val="00A56521"/>
    <w:rsid w:val="00A5796E"/>
    <w:rsid w:val="00A66F30"/>
    <w:rsid w:val="00A7208C"/>
    <w:rsid w:val="00A77E9E"/>
    <w:rsid w:val="00A82ADB"/>
    <w:rsid w:val="00A92EDF"/>
    <w:rsid w:val="00A940E1"/>
    <w:rsid w:val="00AA3FC9"/>
    <w:rsid w:val="00AA4B2A"/>
    <w:rsid w:val="00AA7EFB"/>
    <w:rsid w:val="00AB4B53"/>
    <w:rsid w:val="00AB6FA6"/>
    <w:rsid w:val="00AB7F2B"/>
    <w:rsid w:val="00AC415E"/>
    <w:rsid w:val="00AE0B71"/>
    <w:rsid w:val="00AE7FAB"/>
    <w:rsid w:val="00AF3F4F"/>
    <w:rsid w:val="00AF4401"/>
    <w:rsid w:val="00B04E9F"/>
    <w:rsid w:val="00B05DFA"/>
    <w:rsid w:val="00B12A1C"/>
    <w:rsid w:val="00B172D2"/>
    <w:rsid w:val="00B3205D"/>
    <w:rsid w:val="00B47A38"/>
    <w:rsid w:val="00B55C9B"/>
    <w:rsid w:val="00B64D5C"/>
    <w:rsid w:val="00B81010"/>
    <w:rsid w:val="00B812F7"/>
    <w:rsid w:val="00B86C95"/>
    <w:rsid w:val="00B8740C"/>
    <w:rsid w:val="00BA1A16"/>
    <w:rsid w:val="00BA25BB"/>
    <w:rsid w:val="00BA40B0"/>
    <w:rsid w:val="00BA40F4"/>
    <w:rsid w:val="00BA78A5"/>
    <w:rsid w:val="00BC7BCA"/>
    <w:rsid w:val="00BE4960"/>
    <w:rsid w:val="00C04866"/>
    <w:rsid w:val="00C1314D"/>
    <w:rsid w:val="00C1373A"/>
    <w:rsid w:val="00C254A9"/>
    <w:rsid w:val="00C27777"/>
    <w:rsid w:val="00C37296"/>
    <w:rsid w:val="00C60C53"/>
    <w:rsid w:val="00C60DD3"/>
    <w:rsid w:val="00C60F04"/>
    <w:rsid w:val="00C667C0"/>
    <w:rsid w:val="00C67203"/>
    <w:rsid w:val="00C71284"/>
    <w:rsid w:val="00C750D4"/>
    <w:rsid w:val="00C770B0"/>
    <w:rsid w:val="00C778C4"/>
    <w:rsid w:val="00C84E15"/>
    <w:rsid w:val="00C93C94"/>
    <w:rsid w:val="00CB7C3C"/>
    <w:rsid w:val="00CC0299"/>
    <w:rsid w:val="00CC3003"/>
    <w:rsid w:val="00CD0ACD"/>
    <w:rsid w:val="00CD3C3A"/>
    <w:rsid w:val="00CD47EC"/>
    <w:rsid w:val="00CE56FB"/>
    <w:rsid w:val="00CF6814"/>
    <w:rsid w:val="00CF6E82"/>
    <w:rsid w:val="00D02A03"/>
    <w:rsid w:val="00D033BF"/>
    <w:rsid w:val="00D037FE"/>
    <w:rsid w:val="00D45A94"/>
    <w:rsid w:val="00D566FD"/>
    <w:rsid w:val="00D57F71"/>
    <w:rsid w:val="00D600CD"/>
    <w:rsid w:val="00D62C7E"/>
    <w:rsid w:val="00D63711"/>
    <w:rsid w:val="00D85FA5"/>
    <w:rsid w:val="00DA0BF9"/>
    <w:rsid w:val="00DC48A6"/>
    <w:rsid w:val="00DD2E4F"/>
    <w:rsid w:val="00DD3396"/>
    <w:rsid w:val="00DD3C7B"/>
    <w:rsid w:val="00DD3CDF"/>
    <w:rsid w:val="00DD51F5"/>
    <w:rsid w:val="00DF3CC7"/>
    <w:rsid w:val="00DF6F53"/>
    <w:rsid w:val="00E002DB"/>
    <w:rsid w:val="00E13EE2"/>
    <w:rsid w:val="00E2395A"/>
    <w:rsid w:val="00E24028"/>
    <w:rsid w:val="00E31965"/>
    <w:rsid w:val="00E431A3"/>
    <w:rsid w:val="00E57CC3"/>
    <w:rsid w:val="00E7063B"/>
    <w:rsid w:val="00E7088F"/>
    <w:rsid w:val="00E95825"/>
    <w:rsid w:val="00EA3503"/>
    <w:rsid w:val="00EA6F48"/>
    <w:rsid w:val="00EB1F75"/>
    <w:rsid w:val="00EC4D8E"/>
    <w:rsid w:val="00EC7E79"/>
    <w:rsid w:val="00ED145A"/>
    <w:rsid w:val="00ED2901"/>
    <w:rsid w:val="00EE2B40"/>
    <w:rsid w:val="00EF6A38"/>
    <w:rsid w:val="00F023B2"/>
    <w:rsid w:val="00F03EF6"/>
    <w:rsid w:val="00F05D4B"/>
    <w:rsid w:val="00F07E1E"/>
    <w:rsid w:val="00F308E2"/>
    <w:rsid w:val="00F35189"/>
    <w:rsid w:val="00F35820"/>
    <w:rsid w:val="00F35FA8"/>
    <w:rsid w:val="00F55E88"/>
    <w:rsid w:val="00F60B77"/>
    <w:rsid w:val="00F6389C"/>
    <w:rsid w:val="00F658FF"/>
    <w:rsid w:val="00F66536"/>
    <w:rsid w:val="00F6693B"/>
    <w:rsid w:val="00FC5631"/>
    <w:rsid w:val="00FD5C7B"/>
    <w:rsid w:val="00FE3EAA"/>
    <w:rsid w:val="00FF393C"/>
    <w:rsid w:val="00FF3BCC"/>
    <w:rsid w:val="00FF3F45"/>
    <w:rsid w:val="00FF695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85EA"/>
  <w15:chartTrackingRefBased/>
  <w15:docId w15:val="{41C741D8-2EDD-4579-8F21-E3570F7B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D3"/>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D3396"/>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DD3396"/>
    <w:rPr>
      <w:sz w:val="24"/>
      <w:lang w:val="es-MX"/>
    </w:rPr>
  </w:style>
  <w:style w:type="paragraph" w:styleId="Encabezado">
    <w:name w:val="header"/>
    <w:basedOn w:val="Normal"/>
    <w:link w:val="EncabezadoCar"/>
    <w:uiPriority w:val="99"/>
    <w:unhideWhenUsed/>
    <w:rsid w:val="00DD3396"/>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DD3396"/>
    <w:rPr>
      <w:sz w:val="24"/>
      <w:lang w:val="es-MX"/>
    </w:rPr>
  </w:style>
  <w:style w:type="table" w:styleId="Tablaconcuadrcula">
    <w:name w:val="Table Grid"/>
    <w:basedOn w:val="Tablanormal"/>
    <w:uiPriority w:val="39"/>
    <w:qFormat/>
    <w:rsid w:val="00DD3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DD3396"/>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DD339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D339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D339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DD3396"/>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D339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D3396"/>
    <w:rPr>
      <w:vertAlign w:val="superscript"/>
    </w:rPr>
  </w:style>
  <w:style w:type="paragraph" w:customStyle="1" w:styleId="Appelnotedebasde">
    <w:name w:val="Appel note de bas de..."/>
    <w:basedOn w:val="Normal"/>
    <w:link w:val="Refdenotaalpie"/>
    <w:uiPriority w:val="99"/>
    <w:rsid w:val="00DD3396"/>
    <w:pPr>
      <w:spacing w:after="160" w:line="240" w:lineRule="exact"/>
    </w:pPr>
    <w:rPr>
      <w:rFonts w:asciiTheme="minorHAnsi" w:eastAsiaTheme="minorHAnsi" w:hAnsiTheme="minorHAnsi" w:cstheme="minorBidi"/>
      <w:sz w:val="22"/>
      <w:szCs w:val="22"/>
      <w:vertAlign w:val="superscript"/>
      <w:lang w:eastAsia="en-US"/>
    </w:rPr>
  </w:style>
  <w:style w:type="paragraph" w:styleId="NormalWeb">
    <w:name w:val="Normal (Web)"/>
    <w:basedOn w:val="Normal"/>
    <w:link w:val="NormalWebCar"/>
    <w:uiPriority w:val="99"/>
    <w:unhideWhenUsed/>
    <w:rsid w:val="00DD3396"/>
    <w:pPr>
      <w:spacing w:before="100" w:beforeAutospacing="1" w:after="100" w:afterAutospacing="1"/>
    </w:pPr>
  </w:style>
  <w:style w:type="character" w:customStyle="1" w:styleId="NormalWebCar">
    <w:name w:val="Normal (Web) Car"/>
    <w:link w:val="NormalWeb"/>
    <w:uiPriority w:val="99"/>
    <w:rsid w:val="00DD3396"/>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D3396"/>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DD3396"/>
    <w:rPr>
      <w:rFonts w:ascii="Arial" w:eastAsia="Arial" w:hAnsi="Arial" w:cs="Arial"/>
      <w:sz w:val="20"/>
      <w:szCs w:val="20"/>
      <w:lang w:val="es-ES"/>
    </w:rPr>
  </w:style>
  <w:style w:type="character" w:customStyle="1" w:styleId="baj">
    <w:name w:val="b_aj"/>
    <w:basedOn w:val="Fuentedeprrafopredeter"/>
    <w:rsid w:val="00DD3396"/>
  </w:style>
  <w:style w:type="paragraph" w:styleId="Revisin">
    <w:name w:val="Revision"/>
    <w:hidden/>
    <w:uiPriority w:val="99"/>
    <w:semiHidden/>
    <w:rsid w:val="00DD3396"/>
    <w:pPr>
      <w:spacing w:after="0"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3396"/>
    <w:rPr>
      <w:b/>
      <w:bCs/>
    </w:rPr>
  </w:style>
  <w:style w:type="character" w:styleId="nfasis">
    <w:name w:val="Emphasis"/>
    <w:basedOn w:val="Fuentedeprrafopredeter"/>
    <w:uiPriority w:val="20"/>
    <w:qFormat/>
    <w:rsid w:val="00DD3396"/>
    <w:rPr>
      <w:i/>
      <w:iCs/>
    </w:rPr>
  </w:style>
  <w:style w:type="character" w:styleId="Hipervnculo">
    <w:name w:val="Hyperlink"/>
    <w:basedOn w:val="Fuentedeprrafopredeter"/>
    <w:uiPriority w:val="99"/>
    <w:unhideWhenUsed/>
    <w:rsid w:val="00DD3396"/>
    <w:rPr>
      <w:color w:val="0563C1" w:themeColor="hyperlink"/>
      <w:u w:val="single"/>
    </w:rPr>
  </w:style>
  <w:style w:type="character" w:styleId="Mencinsinresolver">
    <w:name w:val="Unresolved Mention"/>
    <w:basedOn w:val="Fuentedeprrafopredeter"/>
    <w:uiPriority w:val="99"/>
    <w:semiHidden/>
    <w:unhideWhenUsed/>
    <w:rsid w:val="00DD3396"/>
    <w:rPr>
      <w:color w:val="605E5C"/>
      <w:shd w:val="clear" w:color="auto" w:fill="E1DFDD"/>
    </w:rPr>
  </w:style>
  <w:style w:type="character" w:styleId="Refdecomentario">
    <w:name w:val="annotation reference"/>
    <w:basedOn w:val="Fuentedeprrafopredeter"/>
    <w:uiPriority w:val="99"/>
    <w:semiHidden/>
    <w:unhideWhenUsed/>
    <w:rsid w:val="00DD3396"/>
    <w:rPr>
      <w:sz w:val="16"/>
      <w:szCs w:val="16"/>
    </w:rPr>
  </w:style>
  <w:style w:type="paragraph" w:styleId="Textocomentario">
    <w:name w:val="annotation text"/>
    <w:basedOn w:val="Normal"/>
    <w:link w:val="TextocomentarioCar"/>
    <w:uiPriority w:val="99"/>
    <w:unhideWhenUsed/>
    <w:rsid w:val="00DD3396"/>
    <w:rPr>
      <w:sz w:val="20"/>
      <w:szCs w:val="20"/>
    </w:rPr>
  </w:style>
  <w:style w:type="character" w:customStyle="1" w:styleId="TextocomentarioCar">
    <w:name w:val="Texto comentario Car"/>
    <w:basedOn w:val="Fuentedeprrafopredeter"/>
    <w:link w:val="Textocomentario"/>
    <w:uiPriority w:val="99"/>
    <w:rsid w:val="00DD339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D3396"/>
    <w:rPr>
      <w:b/>
      <w:bCs/>
    </w:rPr>
  </w:style>
  <w:style w:type="character" w:customStyle="1" w:styleId="AsuntodelcomentarioCar">
    <w:name w:val="Asunto del comentario Car"/>
    <w:basedOn w:val="TextocomentarioCar"/>
    <w:link w:val="Asuntodelcomentario"/>
    <w:uiPriority w:val="99"/>
    <w:semiHidden/>
    <w:rsid w:val="00DD3396"/>
    <w:rPr>
      <w:rFonts w:ascii="Times New Roman" w:eastAsia="Times New Roman" w:hAnsi="Times New Roman" w:cs="Times New Roman"/>
      <w:b/>
      <w:bCs/>
      <w:sz w:val="20"/>
      <w:szCs w:val="20"/>
      <w:lang w:eastAsia="es-MX"/>
    </w:rPr>
  </w:style>
  <w:style w:type="paragraph" w:customStyle="1" w:styleId="Normal11pt">
    <w:name w:val="Normal + 11 pt"/>
    <w:aliases w:val="Negro,Justificado,Izquierda:  -0,95 cm,Derecha:  0,04 cm"/>
    <w:basedOn w:val="Normal"/>
    <w:uiPriority w:val="99"/>
    <w:rsid w:val="00862E0E"/>
    <w:pPr>
      <w:ind w:left="-540"/>
      <w:jc w:val="both"/>
    </w:pPr>
    <w:rPr>
      <w:rFonts w:ascii="Arial" w:hAnsi="Arial" w:cs="Arial"/>
      <w:color w:val="000000"/>
      <w:sz w:val="22"/>
      <w:szCs w:val="22"/>
      <w:lang w:val="es-ES_tradnl" w:eastAsia="es-ES"/>
    </w:rPr>
  </w:style>
  <w:style w:type="character" w:customStyle="1" w:styleId="normaltextrun">
    <w:name w:val="normaltextrun"/>
    <w:basedOn w:val="Fuentedeprrafopredeter"/>
    <w:rsid w:val="00F6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0645">
      <w:bodyDiv w:val="1"/>
      <w:marLeft w:val="0"/>
      <w:marRight w:val="0"/>
      <w:marTop w:val="0"/>
      <w:marBottom w:val="0"/>
      <w:divBdr>
        <w:top w:val="none" w:sz="0" w:space="0" w:color="auto"/>
        <w:left w:val="none" w:sz="0" w:space="0" w:color="auto"/>
        <w:bottom w:val="none" w:sz="0" w:space="0" w:color="auto"/>
        <w:right w:val="none" w:sz="0" w:space="0" w:color="auto"/>
      </w:divBdr>
      <w:divsChild>
        <w:div w:id="802847870">
          <w:marLeft w:val="0"/>
          <w:marRight w:val="0"/>
          <w:marTop w:val="0"/>
          <w:marBottom w:val="0"/>
          <w:divBdr>
            <w:top w:val="none" w:sz="0" w:space="0" w:color="auto"/>
            <w:left w:val="none" w:sz="0" w:space="0" w:color="auto"/>
            <w:bottom w:val="none" w:sz="0" w:space="0" w:color="auto"/>
            <w:right w:val="none" w:sz="0" w:space="0" w:color="auto"/>
          </w:divBdr>
        </w:div>
      </w:divsChild>
    </w:div>
    <w:div w:id="631060158">
      <w:bodyDiv w:val="1"/>
      <w:marLeft w:val="0"/>
      <w:marRight w:val="0"/>
      <w:marTop w:val="0"/>
      <w:marBottom w:val="0"/>
      <w:divBdr>
        <w:top w:val="none" w:sz="0" w:space="0" w:color="auto"/>
        <w:left w:val="none" w:sz="0" w:space="0" w:color="auto"/>
        <w:bottom w:val="none" w:sz="0" w:space="0" w:color="auto"/>
        <w:right w:val="none" w:sz="0" w:space="0" w:color="auto"/>
      </w:divBdr>
      <w:divsChild>
        <w:div w:id="796339391">
          <w:marLeft w:val="0"/>
          <w:marRight w:val="0"/>
          <w:marTop w:val="0"/>
          <w:marBottom w:val="0"/>
          <w:divBdr>
            <w:top w:val="none" w:sz="0" w:space="0" w:color="auto"/>
            <w:left w:val="none" w:sz="0" w:space="0" w:color="auto"/>
            <w:bottom w:val="none" w:sz="0" w:space="0" w:color="auto"/>
            <w:right w:val="none" w:sz="0" w:space="0" w:color="auto"/>
          </w:divBdr>
        </w:div>
      </w:divsChild>
    </w:div>
    <w:div w:id="934244272">
      <w:bodyDiv w:val="1"/>
      <w:marLeft w:val="0"/>
      <w:marRight w:val="0"/>
      <w:marTop w:val="0"/>
      <w:marBottom w:val="0"/>
      <w:divBdr>
        <w:top w:val="none" w:sz="0" w:space="0" w:color="auto"/>
        <w:left w:val="none" w:sz="0" w:space="0" w:color="auto"/>
        <w:bottom w:val="none" w:sz="0" w:space="0" w:color="auto"/>
        <w:right w:val="none" w:sz="0" w:space="0" w:color="auto"/>
      </w:divBdr>
      <w:divsChild>
        <w:div w:id="1754354902">
          <w:marLeft w:val="0"/>
          <w:marRight w:val="0"/>
          <w:marTop w:val="0"/>
          <w:marBottom w:val="0"/>
          <w:divBdr>
            <w:top w:val="none" w:sz="0" w:space="0" w:color="auto"/>
            <w:left w:val="none" w:sz="0" w:space="0" w:color="auto"/>
            <w:bottom w:val="none" w:sz="0" w:space="0" w:color="auto"/>
            <w:right w:val="none" w:sz="0" w:space="0" w:color="auto"/>
          </w:divBdr>
          <w:divsChild>
            <w:div w:id="1682781651">
              <w:marLeft w:val="0"/>
              <w:marRight w:val="0"/>
              <w:marTop w:val="0"/>
              <w:marBottom w:val="0"/>
              <w:divBdr>
                <w:top w:val="none" w:sz="0" w:space="0" w:color="auto"/>
                <w:left w:val="none" w:sz="0" w:space="0" w:color="auto"/>
                <w:bottom w:val="none" w:sz="0" w:space="0" w:color="auto"/>
                <w:right w:val="none" w:sz="0" w:space="0" w:color="auto"/>
              </w:divBdr>
              <w:divsChild>
                <w:div w:id="18694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circulares/cce_circular_un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A7D3E-D721-413B-B099-0FE2E99C9DD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4C047DF1-58C4-43A0-80B3-17C61C02C992}">
  <ds:schemaRefs>
    <ds:schemaRef ds:uri="http://schemas.openxmlformats.org/officeDocument/2006/bibliography"/>
  </ds:schemaRefs>
</ds:datastoreItem>
</file>

<file path=customXml/itemProps3.xml><?xml version="1.0" encoding="utf-8"?>
<ds:datastoreItem xmlns:ds="http://schemas.openxmlformats.org/officeDocument/2006/customXml" ds:itemID="{2DFB682D-1209-4F2C-B88C-4C416B4A880B}">
  <ds:schemaRefs>
    <ds:schemaRef ds:uri="http://schemas.microsoft.com/sharepoint/v3/contenttype/forms"/>
  </ds:schemaRefs>
</ds:datastoreItem>
</file>

<file path=customXml/itemProps4.xml><?xml version="1.0" encoding="utf-8"?>
<ds:datastoreItem xmlns:ds="http://schemas.openxmlformats.org/officeDocument/2006/customXml" ds:itemID="{DE3A1404-1333-4D9D-A60E-4FED7C04E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3997</Words>
  <Characters>21986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Colombia Compra Eficiente</dc:creator>
  <cp:keywords/>
  <dc:description/>
  <cp:lastModifiedBy>Martin Rojas Mejia</cp:lastModifiedBy>
  <cp:revision>8</cp:revision>
  <dcterms:created xsi:type="dcterms:W3CDTF">2022-07-14T01:23:00Z</dcterms:created>
  <dcterms:modified xsi:type="dcterms:W3CDTF">2022-08-16T20:28:00Z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