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F2F9" w14:textId="77777777" w:rsidR="00DB5B9F" w:rsidRPr="001C42F8" w:rsidRDefault="00DB5B9F" w:rsidP="00DB5B9F">
      <w:pPr>
        <w:jc w:val="right"/>
        <w:rPr>
          <w:rFonts w:ascii="Arial" w:eastAsia="Calibri" w:hAnsi="Arial" w:cs="Arial"/>
          <w:b/>
          <w:color w:val="000000" w:themeColor="text1"/>
          <w:sz w:val="20"/>
          <w:szCs w:val="20"/>
          <w:lang w:val="es-ES_tradnl"/>
        </w:rPr>
      </w:pPr>
      <w:bookmarkStart w:id="0" w:name="_Hlk31875101"/>
      <w:bookmarkStart w:id="1" w:name="_Hlk29890381"/>
      <w:r w:rsidRPr="001C42F8">
        <w:rPr>
          <w:rFonts w:ascii="Arial" w:hAnsi="Arial" w:cs="Arial"/>
          <w:bCs/>
          <w:color w:val="000000" w:themeColor="text1"/>
          <w:sz w:val="16"/>
          <w:szCs w:val="16"/>
          <w:lang w:val="es-ES_tradnl" w:eastAsia="es-ES"/>
        </w:rPr>
        <w:t>CCE-DES-FM-17</w:t>
      </w:r>
    </w:p>
    <w:p w14:paraId="41C8D3FD" w14:textId="77777777" w:rsidR="00DB5B9F" w:rsidRDefault="00DB5B9F" w:rsidP="04B6DA0C">
      <w:pPr>
        <w:jc w:val="both"/>
        <w:rPr>
          <w:rFonts w:ascii="Arial" w:eastAsia="Calibri" w:hAnsi="Arial" w:cs="Arial"/>
          <w:b/>
          <w:bCs/>
          <w:sz w:val="22"/>
          <w:lang w:val="es-ES"/>
        </w:rPr>
      </w:pPr>
    </w:p>
    <w:p w14:paraId="6A8F1117" w14:textId="37548D98" w:rsidR="00EB5DF0" w:rsidRPr="00DB5B9F" w:rsidRDefault="00EB5DF0" w:rsidP="04B6DA0C">
      <w:pPr>
        <w:jc w:val="both"/>
        <w:rPr>
          <w:rFonts w:ascii="Arial" w:eastAsia="Calibri" w:hAnsi="Arial" w:cs="Arial"/>
          <w:b/>
          <w:bCs/>
          <w:sz w:val="20"/>
          <w:szCs w:val="20"/>
          <w:lang w:val="es-ES"/>
        </w:rPr>
      </w:pPr>
      <w:r w:rsidRPr="00DB5B9F">
        <w:rPr>
          <w:rFonts w:ascii="Arial" w:eastAsia="Calibri" w:hAnsi="Arial" w:cs="Arial"/>
          <w:b/>
          <w:bCs/>
          <w:sz w:val="20"/>
          <w:szCs w:val="20"/>
          <w:lang w:val="es-ES"/>
        </w:rPr>
        <w:t>CAPACIDAD FINANCIERA</w:t>
      </w:r>
      <w:r w:rsidR="1F00DCE0" w:rsidRPr="00DB5B9F">
        <w:rPr>
          <w:rFonts w:ascii="Arial" w:eastAsia="Calibri" w:hAnsi="Arial" w:cs="Arial"/>
          <w:b/>
          <w:bCs/>
          <w:sz w:val="20"/>
          <w:szCs w:val="20"/>
          <w:lang w:val="es-ES"/>
        </w:rPr>
        <w:t xml:space="preserve">, </w:t>
      </w:r>
      <w:r w:rsidRPr="00DB5B9F">
        <w:rPr>
          <w:rFonts w:ascii="Arial" w:eastAsia="Calibri" w:hAnsi="Arial" w:cs="Arial"/>
          <w:b/>
          <w:bCs/>
          <w:sz w:val="20"/>
          <w:szCs w:val="20"/>
          <w:lang w:val="es-ES"/>
        </w:rPr>
        <w:t>CAPACIDAD ORGANIZACIONAL – Conceptos – Requisitos habilitantes</w:t>
      </w:r>
    </w:p>
    <w:p w14:paraId="40772468" w14:textId="08C9998B" w:rsidR="00FD642B" w:rsidRPr="00DB5B9F" w:rsidRDefault="00FD642B" w:rsidP="00BD5429">
      <w:pPr>
        <w:jc w:val="both"/>
        <w:rPr>
          <w:rFonts w:ascii="Arial" w:eastAsia="Calibri" w:hAnsi="Arial" w:cs="Arial"/>
          <w:sz w:val="20"/>
          <w:szCs w:val="20"/>
          <w:lang w:val="es-ES_tradnl"/>
        </w:rPr>
      </w:pPr>
    </w:p>
    <w:p w14:paraId="5489F471" w14:textId="4F39EA73" w:rsidR="00000A53" w:rsidRPr="00DB5B9F" w:rsidRDefault="00D938B5" w:rsidP="00BD5429">
      <w:pPr>
        <w:jc w:val="both"/>
        <w:rPr>
          <w:rFonts w:ascii="Arial" w:eastAsia="Calibri" w:hAnsi="Arial" w:cs="Arial"/>
          <w:color w:val="000000"/>
          <w:sz w:val="20"/>
          <w:szCs w:val="20"/>
          <w:lang w:val="es-ES_tradnl"/>
        </w:rPr>
      </w:pPr>
      <w:r w:rsidRPr="00DB5B9F">
        <w:rPr>
          <w:rFonts w:ascii="Arial" w:eastAsia="Calibri" w:hAnsi="Arial" w:cs="Arial"/>
          <w:color w:val="000000"/>
          <w:sz w:val="20"/>
          <w:szCs w:val="20"/>
        </w:rPr>
        <w:t xml:space="preserve">La capacidad financiera se deriva del comportamiento contable de la empresa, su liquidez y endeudamiento, para determinar que sus recursos y solidez financiera le permita cumplir los compromisos que adquiera. </w:t>
      </w:r>
      <w:r w:rsidRPr="00DB5B9F">
        <w:rPr>
          <w:rFonts w:ascii="Arial" w:eastAsia="Calibri" w:hAnsi="Arial" w:cs="Arial"/>
          <w:color w:val="000000"/>
          <w:sz w:val="20"/>
          <w:szCs w:val="20"/>
          <w:lang w:val="es-ES_tradnl"/>
        </w:rPr>
        <w:t>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003619FE" w:rsidRPr="00DB5B9F">
        <w:rPr>
          <w:rFonts w:ascii="Arial" w:eastAsia="Calibri" w:hAnsi="Arial" w:cs="Arial"/>
          <w:color w:val="000000"/>
          <w:sz w:val="20"/>
          <w:szCs w:val="20"/>
          <w:lang w:val="es-ES_tradnl"/>
        </w:rPr>
        <w:t>.</w:t>
      </w:r>
    </w:p>
    <w:p w14:paraId="1893D28F" w14:textId="77777777" w:rsidR="00D938B5" w:rsidRPr="00DB5B9F" w:rsidRDefault="00D938B5" w:rsidP="00000A53">
      <w:pPr>
        <w:jc w:val="both"/>
        <w:rPr>
          <w:rFonts w:ascii="Arial" w:eastAsia="Calibri" w:hAnsi="Arial" w:cs="Arial"/>
          <w:b/>
          <w:sz w:val="20"/>
          <w:szCs w:val="20"/>
          <w:lang w:val="es-ES_tradnl"/>
        </w:rPr>
      </w:pPr>
    </w:p>
    <w:p w14:paraId="5A782738" w14:textId="42B20969" w:rsidR="006A0A45" w:rsidRPr="00DB5B9F" w:rsidRDefault="006A0A45" w:rsidP="006A0A45">
      <w:pPr>
        <w:jc w:val="both"/>
        <w:rPr>
          <w:rFonts w:ascii="Arial" w:eastAsia="Calibri" w:hAnsi="Arial" w:cs="Arial"/>
          <w:b/>
          <w:sz w:val="20"/>
          <w:szCs w:val="20"/>
          <w:lang w:val="es-ES_tradnl"/>
        </w:rPr>
      </w:pPr>
      <w:r w:rsidRPr="00DB5B9F">
        <w:rPr>
          <w:rFonts w:ascii="Arial" w:eastAsia="Calibri" w:hAnsi="Arial" w:cs="Arial"/>
          <w:b/>
          <w:sz w:val="20"/>
          <w:szCs w:val="20"/>
          <w:lang w:val="es-ES_tradnl"/>
        </w:rPr>
        <w:t>DECRETO 579 DE 2021 – Finalidad – Reactivación económica</w:t>
      </w:r>
    </w:p>
    <w:p w14:paraId="4E857D1D" w14:textId="77777777" w:rsidR="006A0A45" w:rsidRPr="00DB5B9F" w:rsidRDefault="006A0A45" w:rsidP="006A0A45">
      <w:pPr>
        <w:jc w:val="both"/>
        <w:rPr>
          <w:rFonts w:ascii="Arial" w:hAnsi="Arial" w:cs="Arial"/>
          <w:noProof/>
          <w:color w:val="000000" w:themeColor="text1"/>
          <w:sz w:val="20"/>
          <w:szCs w:val="20"/>
          <w:lang w:val="es-ES_tradnl"/>
        </w:rPr>
      </w:pPr>
    </w:p>
    <w:p w14:paraId="70F547DE" w14:textId="468E7817" w:rsidR="00000A53" w:rsidRPr="00DB5B9F" w:rsidRDefault="00D938B5" w:rsidP="00D938B5">
      <w:pPr>
        <w:jc w:val="both"/>
        <w:rPr>
          <w:rFonts w:ascii="Arial" w:eastAsia="Calibri" w:hAnsi="Arial" w:cs="Arial"/>
          <w:color w:val="000000" w:themeColor="text1"/>
          <w:sz w:val="20"/>
          <w:szCs w:val="20"/>
          <w:lang w:val="es-ES_tradnl"/>
        </w:rPr>
      </w:pPr>
      <w:r w:rsidRPr="00DB5B9F">
        <w:rPr>
          <w:rFonts w:ascii="Arial" w:eastAsia="Calibri"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DB5B9F">
        <w:rPr>
          <w:rFonts w:ascii="Arial" w:eastAsia="Calibri" w:hAnsi="Arial" w:cs="Arial"/>
          <w:i/>
          <w:iCs/>
          <w:color w:val="000000" w:themeColor="text1"/>
          <w:sz w:val="20"/>
          <w:szCs w:val="20"/>
          <w:lang w:val="es-ES_tradnl"/>
        </w:rPr>
        <w:t>julio</w:t>
      </w:r>
      <w:r w:rsidRPr="00DB5B9F">
        <w:rPr>
          <w:rFonts w:ascii="Arial" w:eastAsia="Calibri" w:hAnsi="Arial" w:cs="Arial"/>
          <w:color w:val="000000" w:themeColor="text1"/>
          <w:sz w:val="20"/>
          <w:szCs w:val="20"/>
          <w:lang w:val="es-ES_tradnl"/>
        </w:rPr>
        <w:t xml:space="preserve"> de 2021 las entidades estatales deberán tener en cuenta los datos sobre la capacidad financiera y organizacional de los últimos tres años, consignada en el RUP. </w:t>
      </w:r>
    </w:p>
    <w:p w14:paraId="56F6402E" w14:textId="77777777" w:rsidR="00D938B5" w:rsidRPr="00DB5B9F" w:rsidRDefault="00D938B5" w:rsidP="006A0A45">
      <w:pPr>
        <w:jc w:val="both"/>
        <w:rPr>
          <w:rFonts w:ascii="Arial" w:eastAsia="Calibri" w:hAnsi="Arial" w:cs="Arial"/>
          <w:color w:val="000000" w:themeColor="text1"/>
          <w:sz w:val="20"/>
          <w:szCs w:val="20"/>
          <w:lang w:val="es-ES_tradnl"/>
        </w:rPr>
      </w:pPr>
    </w:p>
    <w:p w14:paraId="7E5D5330" w14:textId="0E0F6D61" w:rsidR="00D938B5" w:rsidRPr="00DB5B9F" w:rsidRDefault="00D938B5" w:rsidP="00D938B5">
      <w:pPr>
        <w:jc w:val="both"/>
        <w:rPr>
          <w:rFonts w:ascii="Arial" w:eastAsia="Calibri" w:hAnsi="Arial" w:cs="Arial"/>
          <w:b/>
          <w:sz w:val="20"/>
          <w:szCs w:val="20"/>
          <w:lang w:val="es-ES_tradnl"/>
        </w:rPr>
      </w:pPr>
      <w:r w:rsidRPr="00DB5B9F">
        <w:rPr>
          <w:rFonts w:ascii="Arial" w:eastAsia="Calibri" w:hAnsi="Arial" w:cs="Arial"/>
          <w:b/>
          <w:sz w:val="20"/>
          <w:szCs w:val="20"/>
          <w:lang w:val="es-ES_tradnl"/>
        </w:rPr>
        <w:t xml:space="preserve">DECRETOS 399 Y 579 DE 2021 – Información – Capacidad financiera – Capacidad organizacional – </w:t>
      </w:r>
      <w:proofErr w:type="spellStart"/>
      <w:r w:rsidRPr="00DB5B9F">
        <w:rPr>
          <w:rFonts w:ascii="Arial" w:eastAsia="Calibri" w:hAnsi="Arial" w:cs="Arial"/>
          <w:b/>
          <w:sz w:val="20"/>
          <w:szCs w:val="20"/>
          <w:lang w:val="es-ES_tradnl"/>
        </w:rPr>
        <w:t>R</w:t>
      </w:r>
      <w:r w:rsidR="003619FE" w:rsidRPr="00DB5B9F">
        <w:rPr>
          <w:rFonts w:ascii="Arial" w:eastAsia="Calibri" w:hAnsi="Arial" w:cs="Arial"/>
          <w:b/>
          <w:sz w:val="20"/>
          <w:szCs w:val="20"/>
          <w:lang w:val="es-ES_tradnl"/>
        </w:rPr>
        <w:t>up</w:t>
      </w:r>
      <w:proofErr w:type="spellEnd"/>
    </w:p>
    <w:p w14:paraId="49696C2F" w14:textId="77777777" w:rsidR="00D938B5" w:rsidRPr="00DB5B9F" w:rsidRDefault="00D938B5" w:rsidP="00D938B5">
      <w:pPr>
        <w:jc w:val="both"/>
        <w:rPr>
          <w:rFonts w:ascii="Arial" w:eastAsia="Calibri" w:hAnsi="Arial" w:cs="Arial"/>
          <w:b/>
          <w:sz w:val="20"/>
          <w:szCs w:val="20"/>
          <w:lang w:val="es-ES_tradnl"/>
        </w:rPr>
      </w:pPr>
    </w:p>
    <w:p w14:paraId="11A10F1B" w14:textId="09B174F5" w:rsidR="006A0A45" w:rsidRPr="00DB5B9F" w:rsidRDefault="00D938B5" w:rsidP="00D938B5">
      <w:pPr>
        <w:jc w:val="both"/>
        <w:rPr>
          <w:rFonts w:ascii="Arial" w:eastAsia="Calibri" w:hAnsi="Arial" w:cs="Arial"/>
          <w:color w:val="000000" w:themeColor="text1"/>
          <w:sz w:val="20"/>
          <w:szCs w:val="20"/>
          <w:lang w:val="es-ES_tradnl"/>
        </w:rPr>
      </w:pPr>
      <w:r w:rsidRPr="00DB5B9F">
        <w:rPr>
          <w:rFonts w:ascii="Arial" w:eastAsia="Calibri" w:hAnsi="Arial" w:cs="Arial"/>
          <w:color w:val="000000" w:themeColor="text1"/>
          <w:sz w:val="20"/>
          <w:szCs w:val="20"/>
          <w:lang w:val="es-ES_tradnl"/>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Además, dicho parágrafo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DB5B9F">
        <w:rPr>
          <w:rFonts w:ascii="Arial" w:eastAsia="Calibri" w:hAnsi="Arial" w:cs="Arial"/>
          <w:color w:val="000000" w:themeColor="text1"/>
          <w:sz w:val="20"/>
          <w:szCs w:val="20"/>
          <w:lang w:val="es-ES_tradnl"/>
        </w:rPr>
        <w:t>que</w:t>
      </w:r>
      <w:proofErr w:type="gramEnd"/>
      <w:r w:rsidRPr="00DB5B9F">
        <w:rPr>
          <w:rFonts w:ascii="Arial" w:eastAsia="Calibri" w:hAnsi="Arial" w:cs="Arial"/>
          <w:color w:val="000000" w:themeColor="text1"/>
          <w:sz w:val="20"/>
          <w:szCs w:val="20"/>
          <w:lang w:val="es-ES_tradnl"/>
        </w:rPr>
        <w:t xml:space="preserve"> si el proponente tiene registrada la información de dichos años en la cámara de comercio, no deberá presentar esta información. </w:t>
      </w:r>
    </w:p>
    <w:p w14:paraId="5C02F6AA" w14:textId="4FBD9D76" w:rsidR="00D938B5" w:rsidRPr="009646C4" w:rsidRDefault="00D938B5" w:rsidP="00D938B5">
      <w:pPr>
        <w:jc w:val="both"/>
        <w:rPr>
          <w:rFonts w:ascii="Arial" w:eastAsia="Calibri" w:hAnsi="Arial" w:cs="Arial"/>
          <w:color w:val="000000" w:themeColor="text1"/>
          <w:sz w:val="20"/>
          <w:szCs w:val="20"/>
          <w:lang w:val="es-ES_tradnl"/>
        </w:rPr>
      </w:pPr>
    </w:p>
    <w:p w14:paraId="63F2FA04" w14:textId="5DFD4CD4" w:rsidR="00D938B5" w:rsidRPr="009646C4" w:rsidRDefault="00D938B5" w:rsidP="000D6A19">
      <w:pPr>
        <w:jc w:val="both"/>
        <w:rPr>
          <w:rFonts w:ascii="Arial" w:eastAsia="Calibri" w:hAnsi="Arial" w:cs="Arial"/>
          <w:b/>
          <w:sz w:val="20"/>
          <w:szCs w:val="20"/>
          <w:lang w:val="es-ES_tradnl"/>
        </w:rPr>
      </w:pPr>
      <w:r w:rsidRPr="009646C4">
        <w:rPr>
          <w:rFonts w:ascii="Arial" w:eastAsia="Calibri" w:hAnsi="Arial" w:cs="Arial"/>
          <w:b/>
          <w:sz w:val="20"/>
          <w:szCs w:val="20"/>
          <w:lang w:val="es-ES_tradnl"/>
        </w:rPr>
        <w:t>DECRETOS 399 Y 579 DE 2021 – Indicadores – Capacidad financiera – Capacidad organizacional – Período</w:t>
      </w:r>
    </w:p>
    <w:p w14:paraId="59795BE6" w14:textId="77777777" w:rsidR="000D6A19" w:rsidRPr="009646C4" w:rsidRDefault="000D6A19" w:rsidP="000D6A19">
      <w:pPr>
        <w:jc w:val="both"/>
        <w:rPr>
          <w:rFonts w:ascii="Arial" w:eastAsia="Calibri" w:hAnsi="Arial" w:cs="Arial"/>
          <w:b/>
          <w:sz w:val="20"/>
          <w:szCs w:val="20"/>
          <w:lang w:val="es-ES_tradnl"/>
        </w:rPr>
      </w:pPr>
    </w:p>
    <w:p w14:paraId="68DECDF1" w14:textId="77777777" w:rsidR="009646C4" w:rsidRPr="009646C4" w:rsidRDefault="009646C4" w:rsidP="009646C4">
      <w:pPr>
        <w:spacing w:before="120"/>
        <w:jc w:val="both"/>
        <w:rPr>
          <w:rFonts w:ascii="Arial" w:eastAsia="Calibri" w:hAnsi="Arial" w:cs="Arial"/>
          <w:color w:val="000000" w:themeColor="text1"/>
          <w:sz w:val="20"/>
          <w:szCs w:val="20"/>
          <w:lang w:val="es-ES_tradnl"/>
        </w:rPr>
      </w:pPr>
      <w:r w:rsidRPr="009646C4">
        <w:rPr>
          <w:rFonts w:ascii="Arial" w:eastAsia="Calibri" w:hAnsi="Arial" w:cs="Arial"/>
          <w:color w:val="000000" w:themeColor="text1"/>
          <w:sz w:val="20"/>
          <w:szCs w:val="20"/>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9646C4">
        <w:rPr>
          <w:rFonts w:ascii="Arial" w:hAnsi="Arial" w:cs="Arial"/>
          <w:sz w:val="20"/>
          <w:szCs w:val="20"/>
          <w:lang w:val="es-ES_tradnl"/>
        </w:rPr>
        <w:t xml:space="preserve">[…] </w:t>
      </w:r>
      <w:r w:rsidRPr="009646C4">
        <w:rPr>
          <w:rFonts w:ascii="Arial" w:eastAsia="Calibri" w:hAnsi="Arial" w:cs="Arial"/>
          <w:color w:val="000000" w:themeColor="text1"/>
          <w:sz w:val="20"/>
          <w:szCs w:val="20"/>
          <w:lang w:val="es-ES_tradnl"/>
        </w:rPr>
        <w:t xml:space="preserve">los requisitos e indicadores de la capacidad financiera y organizacional de que trata el literal (b) del artículo 2.2.1.1.1.5.6. del Decreto 1082 de 2015 corresponderán a los últimos tres (3) años fiscales anteriores a la inscripción o renovación, dependiendo de la antigüedad del </w:t>
      </w:r>
      <w:r w:rsidRPr="009646C4">
        <w:rPr>
          <w:rFonts w:ascii="Arial" w:eastAsia="Calibri" w:hAnsi="Arial" w:cs="Arial"/>
          <w:color w:val="000000" w:themeColor="text1"/>
          <w:sz w:val="20"/>
          <w:szCs w:val="20"/>
          <w:lang w:val="es-ES_tradnl"/>
        </w:rPr>
        <w:lastRenderedPageBreak/>
        <w:t>proponente». Para esto, las cámaras de comercio, a partir del 1 de julio de 2021, «</w:t>
      </w:r>
      <w:r w:rsidRPr="009646C4">
        <w:rPr>
          <w:rFonts w:ascii="Arial" w:hAnsi="Arial" w:cs="Arial"/>
          <w:sz w:val="20"/>
          <w:szCs w:val="20"/>
          <w:lang w:val="es-ES_tradnl"/>
        </w:rPr>
        <w:t>c</w:t>
      </w:r>
      <w:r w:rsidRPr="009646C4">
        <w:rPr>
          <w:rFonts w:ascii="Arial" w:eastAsia="Calibri" w:hAnsi="Arial" w:cs="Arial"/>
          <w:color w:val="000000" w:themeColor="text1"/>
          <w:sz w:val="20"/>
          <w:szCs w:val="20"/>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Pr="009646C4">
        <w:rPr>
          <w:rFonts w:ascii="Arial" w:eastAsia="Calibri" w:hAnsi="Arial" w:cs="Arial"/>
          <w:color w:val="000000" w:themeColor="text1"/>
          <w:sz w:val="20"/>
          <w:szCs w:val="20"/>
          <w:lang w:val="es-ES_tradnl"/>
        </w:rPr>
        <w:t>ii</w:t>
      </w:r>
      <w:proofErr w:type="spellEnd"/>
      <w:r w:rsidRPr="009646C4">
        <w:rPr>
          <w:rFonts w:ascii="Arial" w:eastAsia="Calibri" w:hAnsi="Arial" w:cs="Arial"/>
          <w:color w:val="000000" w:themeColor="text1"/>
          <w:sz w:val="20"/>
          <w:szCs w:val="20"/>
          <w:lang w:val="es-ES_tradnl"/>
        </w:rPr>
        <w:t xml:space="preserve">) el índice de endeudamiento y </w:t>
      </w:r>
      <w:proofErr w:type="spellStart"/>
      <w:r w:rsidRPr="009646C4">
        <w:rPr>
          <w:rFonts w:ascii="Arial" w:eastAsia="Calibri" w:hAnsi="Arial" w:cs="Arial"/>
          <w:color w:val="000000" w:themeColor="text1"/>
          <w:sz w:val="20"/>
          <w:szCs w:val="20"/>
          <w:lang w:val="es-ES_tradnl"/>
        </w:rPr>
        <w:t>iii</w:t>
      </w:r>
      <w:proofErr w:type="spellEnd"/>
      <w:r w:rsidRPr="009646C4">
        <w:rPr>
          <w:rFonts w:ascii="Arial" w:eastAsia="Calibri" w:hAnsi="Arial" w:cs="Arial"/>
          <w:color w:val="000000" w:themeColor="text1"/>
          <w:sz w:val="20"/>
          <w:szCs w:val="20"/>
          <w:lang w:val="es-ES_tradnl"/>
        </w:rPr>
        <w:t xml:space="preserve">) la razón de cobertura de intereses. Los requisitos e indicadores de capacidad organizacional son: i) la rentabilidad del patrimonio y </w:t>
      </w:r>
      <w:proofErr w:type="spellStart"/>
      <w:r w:rsidRPr="009646C4">
        <w:rPr>
          <w:rFonts w:ascii="Arial" w:eastAsia="Calibri" w:hAnsi="Arial" w:cs="Arial"/>
          <w:color w:val="000000" w:themeColor="text1"/>
          <w:sz w:val="20"/>
          <w:szCs w:val="20"/>
          <w:lang w:val="es-ES_tradnl"/>
        </w:rPr>
        <w:t>ii</w:t>
      </w:r>
      <w:proofErr w:type="spellEnd"/>
      <w:r w:rsidRPr="009646C4">
        <w:rPr>
          <w:rFonts w:ascii="Arial" w:eastAsia="Calibri" w:hAnsi="Arial" w:cs="Arial"/>
          <w:color w:val="000000" w:themeColor="text1"/>
          <w:sz w:val="20"/>
          <w:szCs w:val="20"/>
          <w:lang w:val="es-ES_tradnl"/>
        </w:rPr>
        <w:t>) la rentabilidad del activo. El segundo parágrafo transitorio establece que «El</w:t>
      </w:r>
      <w:r w:rsidRPr="009646C4">
        <w:rPr>
          <w:rFonts w:ascii="Arial" w:hAnsi="Arial" w:cs="Arial"/>
          <w:sz w:val="20"/>
          <w:szCs w:val="20"/>
          <w:lang w:val="es-ES_tradnl"/>
        </w:rPr>
        <w:t xml:space="preserve"> </w:t>
      </w:r>
      <w:r w:rsidRPr="009646C4">
        <w:rPr>
          <w:rFonts w:ascii="Arial" w:eastAsia="Calibri" w:hAnsi="Arial" w:cs="Arial"/>
          <w:color w:val="000000" w:themeColor="text1"/>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129BD2B0" w14:textId="061A8935" w:rsidR="00D938B5" w:rsidRPr="00DB5B9F" w:rsidRDefault="00D938B5" w:rsidP="00D938B5">
      <w:pPr>
        <w:jc w:val="both"/>
        <w:rPr>
          <w:rFonts w:ascii="Arial" w:hAnsi="Arial" w:cs="Arial"/>
          <w:noProof/>
          <w:color w:val="000000" w:themeColor="text1"/>
          <w:sz w:val="20"/>
          <w:szCs w:val="20"/>
          <w:lang w:val="es-ES_tradnl"/>
        </w:rPr>
      </w:pPr>
    </w:p>
    <w:p w14:paraId="53186A35" w14:textId="77777777" w:rsidR="00D938B5" w:rsidRPr="00DB5B9F" w:rsidRDefault="00D938B5" w:rsidP="000D6A19">
      <w:pPr>
        <w:jc w:val="both"/>
        <w:rPr>
          <w:rFonts w:ascii="Arial" w:eastAsia="Calibri" w:hAnsi="Arial" w:cs="Arial"/>
          <w:b/>
          <w:sz w:val="20"/>
          <w:szCs w:val="20"/>
          <w:lang w:val="es-ES_tradnl"/>
        </w:rPr>
      </w:pPr>
      <w:r w:rsidRPr="00DB5B9F">
        <w:rPr>
          <w:rFonts w:ascii="Arial" w:eastAsia="Calibri" w:hAnsi="Arial" w:cs="Arial"/>
          <w:b/>
          <w:sz w:val="20"/>
          <w:szCs w:val="20"/>
          <w:lang w:val="es-ES_tradnl"/>
        </w:rPr>
        <w:t>MEJOR AÑO FISCAL – Decretos 399 y 579 de 2021 – Capacidad financiera – Capacidad organizacional – Interpretación</w:t>
      </w:r>
    </w:p>
    <w:p w14:paraId="6A3FE75A" w14:textId="1E459055" w:rsidR="00952D7C" w:rsidRPr="00DB5B9F" w:rsidRDefault="00952D7C" w:rsidP="000D6A19">
      <w:pPr>
        <w:jc w:val="both"/>
        <w:rPr>
          <w:rFonts w:ascii="Arial" w:eastAsia="Calibri" w:hAnsi="Arial" w:cs="Arial"/>
          <w:b/>
          <w:sz w:val="20"/>
          <w:szCs w:val="20"/>
          <w:lang w:val="es-ES_tradnl"/>
        </w:rPr>
      </w:pPr>
    </w:p>
    <w:p w14:paraId="3EC4C952" w14:textId="0338D32B" w:rsidR="002C4C4D" w:rsidRPr="00DB5B9F" w:rsidRDefault="006A0A45" w:rsidP="000D6A19">
      <w:pPr>
        <w:jc w:val="both"/>
        <w:rPr>
          <w:rFonts w:ascii="Arial" w:eastAsia="Calibri" w:hAnsi="Arial" w:cs="Arial"/>
          <w:color w:val="000000" w:themeColor="text1"/>
          <w:sz w:val="20"/>
          <w:szCs w:val="20"/>
          <w:lang w:val="es-ES_tradnl"/>
        </w:rPr>
      </w:pPr>
      <w:r w:rsidRPr="00DB5B9F">
        <w:rPr>
          <w:rFonts w:ascii="Arial" w:hAnsi="Arial" w:cs="Arial"/>
          <w:color w:val="000000" w:themeColor="text1"/>
          <w:sz w:val="20"/>
          <w:szCs w:val="20"/>
          <w:lang w:val="es-ES_tradnl"/>
        </w:rPr>
        <w:t xml:space="preserve">[…] </w:t>
      </w:r>
      <w:r w:rsidR="002C4C4D" w:rsidRPr="00DB5B9F">
        <w:rPr>
          <w:rFonts w:ascii="Arial" w:eastAsia="Calibri" w:hAnsi="Arial" w:cs="Arial"/>
          <w:color w:val="000000" w:themeColor="text1"/>
          <w:sz w:val="20"/>
          <w:szCs w:val="20"/>
          <w:lang w:val="es-ES_tradnl"/>
        </w:rPr>
        <w:t>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01DFDC89" w14:textId="4DAA91C4" w:rsidR="002C4C4D" w:rsidRPr="00DB5B9F" w:rsidRDefault="002C4C4D" w:rsidP="000D6A19">
      <w:pPr>
        <w:jc w:val="both"/>
        <w:rPr>
          <w:rFonts w:ascii="Arial" w:eastAsia="Calibri" w:hAnsi="Arial" w:cs="Arial"/>
          <w:color w:val="000000" w:themeColor="text1"/>
          <w:sz w:val="20"/>
          <w:szCs w:val="20"/>
          <w:lang w:val="es-ES_tradnl" w:eastAsia="es-ES_tradnl"/>
        </w:rPr>
      </w:pPr>
      <w:r w:rsidRPr="00DB5B9F">
        <w:rPr>
          <w:rFonts w:ascii="Arial" w:eastAsia="Calibri" w:hAnsi="Arial" w:cs="Arial"/>
          <w:color w:val="000000" w:themeColor="text1"/>
          <w:sz w:val="20"/>
          <w:szCs w:val="20"/>
          <w:lang w:val="es-ES_tradnl" w:eastAsia="es-ES_tradnl"/>
        </w:rPr>
        <w:t xml:space="preserve">[…] </w:t>
      </w:r>
    </w:p>
    <w:p w14:paraId="65FD0844" w14:textId="4C23E97D" w:rsidR="002C4C4D" w:rsidRPr="00DB5B9F" w:rsidRDefault="002C4C4D" w:rsidP="000D6A19">
      <w:pPr>
        <w:jc w:val="both"/>
        <w:rPr>
          <w:rFonts w:ascii="Arial" w:eastAsia="Calibri" w:hAnsi="Arial" w:cs="Arial"/>
          <w:color w:val="000000" w:themeColor="text1"/>
          <w:sz w:val="20"/>
          <w:szCs w:val="20"/>
          <w:lang w:val="es-ES_tradnl"/>
        </w:rPr>
      </w:pPr>
      <w:r w:rsidRPr="00DB5B9F">
        <w:rPr>
          <w:rFonts w:ascii="Arial" w:eastAsia="Calibri" w:hAnsi="Arial" w:cs="Arial"/>
          <w:color w:val="000000" w:themeColor="text1"/>
          <w:sz w:val="20"/>
          <w:szCs w:val="20"/>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DB5B9F">
        <w:rPr>
          <w:rFonts w:ascii="Arial" w:hAnsi="Arial" w:cs="Arial"/>
          <w:sz w:val="20"/>
          <w:szCs w:val="20"/>
          <w:lang w:val="es-ES_tradnl"/>
        </w:rPr>
        <w:t xml:space="preserve">[…] </w:t>
      </w:r>
      <w:r w:rsidRPr="00DB5B9F">
        <w:rPr>
          <w:rFonts w:ascii="Arial" w:eastAsia="Calibri" w:hAnsi="Arial" w:cs="Arial"/>
          <w:color w:val="000000" w:themeColor="text1"/>
          <w:sz w:val="20"/>
          <w:szCs w:val="20"/>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148BC2C8" w14:textId="56478C20" w:rsidR="002C4C4D" w:rsidRPr="00DB5B9F" w:rsidRDefault="002C4C4D" w:rsidP="002C4C4D">
      <w:pPr>
        <w:jc w:val="both"/>
        <w:rPr>
          <w:rFonts w:ascii="Arial" w:eastAsia="Calibri" w:hAnsi="Arial" w:cs="Arial"/>
          <w:color w:val="000000" w:themeColor="text1"/>
          <w:sz w:val="20"/>
          <w:szCs w:val="20"/>
          <w:lang w:val="es-ES_tradnl"/>
        </w:rPr>
      </w:pPr>
    </w:p>
    <w:p w14:paraId="57B54557" w14:textId="77777777" w:rsidR="002C4C4D" w:rsidRPr="00DB5B9F" w:rsidRDefault="002C4C4D" w:rsidP="000D6A19">
      <w:pPr>
        <w:jc w:val="both"/>
        <w:rPr>
          <w:rFonts w:ascii="Arial" w:eastAsia="Calibri" w:hAnsi="Arial" w:cs="Arial"/>
          <w:b/>
          <w:bCs/>
          <w:sz w:val="20"/>
          <w:szCs w:val="20"/>
        </w:rPr>
      </w:pPr>
      <w:r w:rsidRPr="00DB5B9F">
        <w:rPr>
          <w:rFonts w:ascii="Arial" w:eastAsia="Calibri" w:hAnsi="Arial" w:cs="Arial"/>
          <w:b/>
          <w:bCs/>
          <w:sz w:val="20"/>
          <w:szCs w:val="20"/>
        </w:rPr>
        <w:t xml:space="preserve">PROPONENTES PLURALES – Mejor año fiscal – Decretos 399 y 579 de 2021 </w:t>
      </w:r>
    </w:p>
    <w:p w14:paraId="608A9707" w14:textId="5760FDE9" w:rsidR="00215533" w:rsidRPr="00DB5B9F" w:rsidRDefault="00215533" w:rsidP="000D6A19">
      <w:pPr>
        <w:jc w:val="both"/>
        <w:rPr>
          <w:rFonts w:ascii="Arial" w:eastAsia="Calibri" w:hAnsi="Arial" w:cs="Arial"/>
          <w:b/>
          <w:sz w:val="20"/>
          <w:szCs w:val="20"/>
          <w:lang w:val="es-ES_tradnl"/>
        </w:rPr>
      </w:pPr>
    </w:p>
    <w:p w14:paraId="1FD252E6" w14:textId="06FE1144" w:rsidR="002C4C4D" w:rsidRDefault="00215533" w:rsidP="000D6A19">
      <w:pPr>
        <w:jc w:val="both"/>
        <w:rPr>
          <w:rFonts w:ascii="Arial" w:eastAsia="Calibri" w:hAnsi="Arial" w:cs="Arial"/>
          <w:color w:val="000000" w:themeColor="text1"/>
          <w:sz w:val="20"/>
          <w:szCs w:val="20"/>
          <w:lang w:val="es-ES_tradnl"/>
        </w:rPr>
      </w:pPr>
      <w:r w:rsidRPr="00DB5B9F">
        <w:rPr>
          <w:rFonts w:ascii="Arial" w:eastAsia="Calibri" w:hAnsi="Arial" w:cs="Arial"/>
          <w:color w:val="000000" w:themeColor="text1"/>
          <w:sz w:val="20"/>
          <w:szCs w:val="20"/>
          <w:lang w:val="es-ES_tradnl" w:eastAsia="es-ES_tradnl"/>
        </w:rPr>
        <w:t xml:space="preserve">[…] </w:t>
      </w:r>
      <w:r w:rsidR="002C4C4D" w:rsidRPr="00DB5B9F">
        <w:rPr>
          <w:rFonts w:ascii="Arial" w:eastAsia="Calibri" w:hAnsi="Arial" w:cs="Arial"/>
          <w:color w:val="000000" w:themeColor="text1"/>
          <w:sz w:val="20"/>
          <w:szCs w:val="20"/>
          <w:lang w:val="es-ES_tradnl"/>
        </w:rPr>
        <w:t xml:space="preserve">la norma analizada en el presente concepto aplica tanto a los proponentes individuales como plurales, pues dado que el parágrafo transitorio del artículo 2.2.1.1.1.6.2 del Decreto 1082 del 2015 no realiza distinciones al respecto, tampoco sería lícito al intérprete distinguir. No obstante, tratándose de consorcios y uniones temporales una de las dificultades para aplicar la disposición radica en que los proponentes plurales no están obligados a la inscripción en el registro único de proponentes, especialmente, cuando carecen de personería jurídica a pesar de tener capacidad contractual. En este contexto, como explica la doctrina, «Si bien la ley dota de capacidad para contratar a los consorcios y uniones temporales, ello en manera alguna significa que les haya conferido personería jurídica. Actúan y participan en la contratación estatal como si la tuvieran solo que, circunscrita a un contrato estatal, que una vez liquidado, estas formas asociativas dejan de tener vigencia para el tráfico jurídico con la entidad estatal […]».  </w:t>
      </w:r>
    </w:p>
    <w:p w14:paraId="5BE914B3" w14:textId="77777777" w:rsidR="009646C4" w:rsidRPr="00DB5B9F" w:rsidRDefault="009646C4" w:rsidP="000D6A19">
      <w:pPr>
        <w:jc w:val="both"/>
        <w:rPr>
          <w:rFonts w:ascii="Arial" w:eastAsia="Calibri" w:hAnsi="Arial" w:cs="Arial"/>
          <w:color w:val="000000" w:themeColor="text1"/>
          <w:sz w:val="20"/>
          <w:szCs w:val="20"/>
          <w:lang w:val="es-ES_tradnl"/>
        </w:rPr>
      </w:pPr>
    </w:p>
    <w:p w14:paraId="62C30763" w14:textId="77777777" w:rsidR="002C4C4D" w:rsidRPr="00DB5B9F" w:rsidRDefault="002C4C4D" w:rsidP="000D6A19">
      <w:pPr>
        <w:jc w:val="both"/>
        <w:rPr>
          <w:rFonts w:ascii="Times New Roman" w:hAnsi="Times New Roman" w:cs="Times New Roman"/>
          <w:sz w:val="20"/>
          <w:szCs w:val="20"/>
          <w:lang w:eastAsia="es-MX"/>
        </w:rPr>
      </w:pPr>
      <w:r w:rsidRPr="00DB5B9F">
        <w:rPr>
          <w:rFonts w:ascii="Arial" w:eastAsia="Calibri" w:hAnsi="Arial" w:cs="Arial"/>
          <w:color w:val="000000" w:themeColor="text1"/>
          <w:sz w:val="20"/>
          <w:szCs w:val="20"/>
          <w:lang w:val="es-ES_tradnl"/>
        </w:rPr>
        <w:t>Dado que los consorcios y las uniones temporales carecen de RUP, cuando la norma se refiere a que «</w:t>
      </w:r>
      <w:r w:rsidRPr="00DB5B9F">
        <w:rPr>
          <w:rFonts w:ascii="Arial" w:hAnsi="Arial" w:cs="Arial"/>
          <w:sz w:val="20"/>
          <w:szCs w:val="20"/>
          <w:lang w:val="es-ES_tradnl"/>
        </w:rPr>
        <w:t xml:space="preserve">[…] </w:t>
      </w:r>
      <w:r w:rsidRPr="00DB5B9F">
        <w:rPr>
          <w:rFonts w:ascii="Arial" w:eastAsia="Calibri" w:hAnsi="Arial" w:cs="Arial"/>
          <w:color w:val="000000" w:themeColor="text1"/>
          <w:sz w:val="20"/>
          <w:szCs w:val="20"/>
          <w:lang w:val="es-ES_tradnl"/>
        </w:rPr>
        <w:t xml:space="preserve">las Entidades Estatales evaluarán estos indicadores, teniendo en cuenta el mejor año fiscal que se refleje en el registro de cada proponente», es necesario extender los efectos de esta última expresión a los miembros del consorcio o la unión temporal que cuenten con la información vigente </w:t>
      </w:r>
      <w:r w:rsidRPr="00DB5B9F">
        <w:rPr>
          <w:rFonts w:ascii="Arial" w:eastAsia="Calibri" w:hAnsi="Arial" w:cs="Arial"/>
          <w:color w:val="000000" w:themeColor="text1"/>
          <w:sz w:val="20"/>
          <w:szCs w:val="20"/>
          <w:lang w:val="es-ES_tradnl"/>
        </w:rPr>
        <w:lastRenderedPageBreak/>
        <w:t xml:space="preserve">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ampliando los efectos de la norma al supuesto objeto de consulta, la entidad evaluará los indicadores financieros y organizacionales con el mejor año fiscal que se refleje en el RUP de cada integrante del consorcio o la unión temporal conforme a la explicación precedente. </w:t>
      </w:r>
    </w:p>
    <w:p w14:paraId="241CE338" w14:textId="19CB1ADD" w:rsidR="006A0A45" w:rsidRPr="002C4C4D" w:rsidRDefault="006A0A45" w:rsidP="000D6A19">
      <w:pPr>
        <w:jc w:val="both"/>
        <w:rPr>
          <w:rFonts w:ascii="Arial" w:eastAsia="Calibri" w:hAnsi="Arial" w:cs="Arial"/>
          <w:sz w:val="20"/>
          <w:szCs w:val="20"/>
        </w:rPr>
      </w:pPr>
    </w:p>
    <w:p w14:paraId="20454BCA" w14:textId="1D7940B4" w:rsidR="006A0A45" w:rsidRPr="00215533" w:rsidRDefault="006A0A45" w:rsidP="000D6A19">
      <w:pPr>
        <w:rPr>
          <w:rFonts w:ascii="Arial" w:eastAsia="Calibri" w:hAnsi="Arial" w:cs="Arial"/>
          <w:sz w:val="22"/>
          <w:lang w:val="es-ES_tradnl"/>
        </w:rPr>
      </w:pPr>
    </w:p>
    <w:p w14:paraId="4FB40C56" w14:textId="6ECED549" w:rsidR="006A0A45" w:rsidRDefault="006A0A45" w:rsidP="00DF0F8E">
      <w:pPr>
        <w:rPr>
          <w:rFonts w:ascii="Arial" w:eastAsia="Calibri" w:hAnsi="Arial" w:cs="Arial"/>
          <w:sz w:val="22"/>
        </w:rPr>
      </w:pPr>
    </w:p>
    <w:p w14:paraId="0FD937CD" w14:textId="6DA601C2" w:rsidR="00215533" w:rsidRDefault="00215533" w:rsidP="00DF0F8E">
      <w:pPr>
        <w:rPr>
          <w:rFonts w:ascii="Arial" w:eastAsia="Calibri" w:hAnsi="Arial" w:cs="Arial"/>
          <w:sz w:val="22"/>
        </w:rPr>
      </w:pPr>
    </w:p>
    <w:p w14:paraId="149E5D8D" w14:textId="20990649" w:rsidR="00215533" w:rsidRDefault="00215533" w:rsidP="00DF0F8E">
      <w:pPr>
        <w:rPr>
          <w:rFonts w:ascii="Arial" w:eastAsia="Calibri" w:hAnsi="Arial" w:cs="Arial"/>
          <w:sz w:val="22"/>
        </w:rPr>
      </w:pPr>
    </w:p>
    <w:p w14:paraId="2992E8C6" w14:textId="3F5ADBD1" w:rsidR="00215533" w:rsidRDefault="00215533" w:rsidP="00DF0F8E">
      <w:pPr>
        <w:rPr>
          <w:rFonts w:ascii="Arial" w:eastAsia="Calibri" w:hAnsi="Arial" w:cs="Arial"/>
          <w:sz w:val="22"/>
        </w:rPr>
      </w:pPr>
    </w:p>
    <w:p w14:paraId="1BAFC9E7" w14:textId="41E168C0" w:rsidR="008472EF" w:rsidRDefault="008472EF" w:rsidP="00DF0F8E">
      <w:pPr>
        <w:rPr>
          <w:rFonts w:ascii="Arial" w:eastAsia="Calibri" w:hAnsi="Arial" w:cs="Arial"/>
          <w:sz w:val="22"/>
        </w:rPr>
      </w:pPr>
    </w:p>
    <w:p w14:paraId="7F7C72AD" w14:textId="64484A63" w:rsidR="008472EF" w:rsidRDefault="008472EF" w:rsidP="00DF0F8E">
      <w:pPr>
        <w:rPr>
          <w:rFonts w:ascii="Arial" w:eastAsia="Calibri" w:hAnsi="Arial" w:cs="Arial"/>
          <w:sz w:val="22"/>
        </w:rPr>
      </w:pPr>
    </w:p>
    <w:p w14:paraId="445A9567" w14:textId="6222574C" w:rsidR="008472EF" w:rsidRDefault="008472EF" w:rsidP="00DF0F8E">
      <w:pPr>
        <w:rPr>
          <w:rFonts w:ascii="Arial" w:eastAsia="Calibri" w:hAnsi="Arial" w:cs="Arial"/>
          <w:sz w:val="22"/>
        </w:rPr>
      </w:pPr>
    </w:p>
    <w:p w14:paraId="5A7BF85E" w14:textId="60F40E5B" w:rsidR="008472EF" w:rsidRDefault="008472EF" w:rsidP="00DF0F8E">
      <w:pPr>
        <w:rPr>
          <w:rFonts w:ascii="Arial" w:eastAsia="Calibri" w:hAnsi="Arial" w:cs="Arial"/>
          <w:sz w:val="22"/>
        </w:rPr>
      </w:pPr>
    </w:p>
    <w:p w14:paraId="0DD79B98" w14:textId="2378C43A" w:rsidR="008472EF" w:rsidRDefault="008472EF" w:rsidP="00DF0F8E">
      <w:pPr>
        <w:rPr>
          <w:rFonts w:ascii="Arial" w:eastAsia="Calibri" w:hAnsi="Arial" w:cs="Arial"/>
          <w:sz w:val="22"/>
        </w:rPr>
      </w:pPr>
    </w:p>
    <w:p w14:paraId="6B0CACC6" w14:textId="604D219D" w:rsidR="008472EF" w:rsidRDefault="008472EF" w:rsidP="00DF0F8E">
      <w:pPr>
        <w:rPr>
          <w:rFonts w:ascii="Arial" w:eastAsia="Calibri" w:hAnsi="Arial" w:cs="Arial"/>
          <w:sz w:val="22"/>
        </w:rPr>
      </w:pPr>
    </w:p>
    <w:p w14:paraId="0A0F5D47" w14:textId="0A7A2D16" w:rsidR="008472EF" w:rsidRDefault="008472EF" w:rsidP="00DF0F8E">
      <w:pPr>
        <w:rPr>
          <w:rFonts w:ascii="Arial" w:eastAsia="Calibri" w:hAnsi="Arial" w:cs="Arial"/>
          <w:sz w:val="22"/>
        </w:rPr>
      </w:pPr>
    </w:p>
    <w:p w14:paraId="0C2052A1" w14:textId="4F0E8F5A" w:rsidR="008472EF" w:rsidRDefault="008472EF" w:rsidP="00DF0F8E">
      <w:pPr>
        <w:rPr>
          <w:rFonts w:ascii="Arial" w:eastAsia="Calibri" w:hAnsi="Arial" w:cs="Arial"/>
          <w:sz w:val="22"/>
        </w:rPr>
      </w:pPr>
    </w:p>
    <w:p w14:paraId="7C9E579E" w14:textId="61944620" w:rsidR="008472EF" w:rsidRDefault="008472EF" w:rsidP="00DF0F8E">
      <w:pPr>
        <w:rPr>
          <w:rFonts w:ascii="Arial" w:eastAsia="Calibri" w:hAnsi="Arial" w:cs="Arial"/>
          <w:sz w:val="22"/>
        </w:rPr>
      </w:pPr>
    </w:p>
    <w:p w14:paraId="1053320A" w14:textId="62B35923" w:rsidR="008472EF" w:rsidRDefault="008472EF" w:rsidP="00DF0F8E">
      <w:pPr>
        <w:rPr>
          <w:rFonts w:ascii="Arial" w:eastAsia="Calibri" w:hAnsi="Arial" w:cs="Arial"/>
          <w:sz w:val="22"/>
        </w:rPr>
      </w:pPr>
    </w:p>
    <w:p w14:paraId="156F73B3" w14:textId="6FB667A7" w:rsidR="008472EF" w:rsidRDefault="008472EF" w:rsidP="00DF0F8E">
      <w:pPr>
        <w:rPr>
          <w:rFonts w:ascii="Arial" w:eastAsia="Calibri" w:hAnsi="Arial" w:cs="Arial"/>
          <w:sz w:val="22"/>
        </w:rPr>
      </w:pPr>
    </w:p>
    <w:p w14:paraId="43B35267" w14:textId="516D0013" w:rsidR="008472EF" w:rsidRDefault="008472EF" w:rsidP="00DF0F8E">
      <w:pPr>
        <w:rPr>
          <w:rFonts w:ascii="Arial" w:eastAsia="Calibri" w:hAnsi="Arial" w:cs="Arial"/>
          <w:sz w:val="22"/>
        </w:rPr>
      </w:pPr>
    </w:p>
    <w:p w14:paraId="5DA8BDC1" w14:textId="2D8481B0" w:rsidR="008472EF" w:rsidRDefault="008472EF" w:rsidP="00DF0F8E">
      <w:pPr>
        <w:rPr>
          <w:rFonts w:ascii="Arial" w:eastAsia="Calibri" w:hAnsi="Arial" w:cs="Arial"/>
          <w:sz w:val="22"/>
        </w:rPr>
      </w:pPr>
    </w:p>
    <w:p w14:paraId="4F6FF7FB" w14:textId="1589371F" w:rsidR="008472EF" w:rsidRDefault="008472EF" w:rsidP="00DF0F8E">
      <w:pPr>
        <w:rPr>
          <w:rFonts w:ascii="Arial" w:eastAsia="Calibri" w:hAnsi="Arial" w:cs="Arial"/>
          <w:sz w:val="22"/>
        </w:rPr>
      </w:pPr>
    </w:p>
    <w:p w14:paraId="4C14590F" w14:textId="43A96226" w:rsidR="008472EF" w:rsidRDefault="008472EF" w:rsidP="00DF0F8E">
      <w:pPr>
        <w:rPr>
          <w:rFonts w:ascii="Arial" w:eastAsia="Calibri" w:hAnsi="Arial" w:cs="Arial"/>
          <w:sz w:val="22"/>
        </w:rPr>
      </w:pPr>
    </w:p>
    <w:p w14:paraId="54273381" w14:textId="7EEFC4AF" w:rsidR="008472EF" w:rsidRDefault="008472EF" w:rsidP="00DF0F8E">
      <w:pPr>
        <w:rPr>
          <w:rFonts w:ascii="Arial" w:eastAsia="Calibri" w:hAnsi="Arial" w:cs="Arial"/>
          <w:sz w:val="22"/>
        </w:rPr>
      </w:pPr>
    </w:p>
    <w:p w14:paraId="4F597232" w14:textId="357ED57C" w:rsidR="008472EF" w:rsidRDefault="008472EF" w:rsidP="00DF0F8E">
      <w:pPr>
        <w:rPr>
          <w:rFonts w:ascii="Arial" w:eastAsia="Calibri" w:hAnsi="Arial" w:cs="Arial"/>
          <w:sz w:val="22"/>
        </w:rPr>
      </w:pPr>
    </w:p>
    <w:p w14:paraId="5DD0D069" w14:textId="2ED8283C" w:rsidR="008472EF" w:rsidRDefault="008472EF" w:rsidP="00DF0F8E">
      <w:pPr>
        <w:rPr>
          <w:rFonts w:ascii="Arial" w:eastAsia="Calibri" w:hAnsi="Arial" w:cs="Arial"/>
          <w:sz w:val="22"/>
        </w:rPr>
      </w:pPr>
    </w:p>
    <w:p w14:paraId="358C4257" w14:textId="60D9D474" w:rsidR="008472EF" w:rsidRDefault="008472EF" w:rsidP="00DF0F8E">
      <w:pPr>
        <w:rPr>
          <w:rFonts w:ascii="Arial" w:eastAsia="Calibri" w:hAnsi="Arial" w:cs="Arial"/>
          <w:sz w:val="22"/>
        </w:rPr>
      </w:pPr>
    </w:p>
    <w:p w14:paraId="1FB83F9B" w14:textId="7A6CF280" w:rsidR="008472EF" w:rsidRDefault="008472EF" w:rsidP="00DF0F8E">
      <w:pPr>
        <w:rPr>
          <w:rFonts w:ascii="Arial" w:eastAsia="Calibri" w:hAnsi="Arial" w:cs="Arial"/>
          <w:sz w:val="22"/>
        </w:rPr>
      </w:pPr>
    </w:p>
    <w:p w14:paraId="40A0067F" w14:textId="5626027D" w:rsidR="008472EF" w:rsidRDefault="008472EF" w:rsidP="00DF0F8E">
      <w:pPr>
        <w:rPr>
          <w:rFonts w:ascii="Arial" w:eastAsia="Calibri" w:hAnsi="Arial" w:cs="Arial"/>
          <w:sz w:val="22"/>
        </w:rPr>
      </w:pPr>
    </w:p>
    <w:p w14:paraId="0B3A52C6" w14:textId="578635D8" w:rsidR="008472EF" w:rsidRDefault="008472EF" w:rsidP="00DF0F8E">
      <w:pPr>
        <w:rPr>
          <w:rFonts w:ascii="Arial" w:eastAsia="Calibri" w:hAnsi="Arial" w:cs="Arial"/>
          <w:sz w:val="22"/>
        </w:rPr>
      </w:pPr>
    </w:p>
    <w:p w14:paraId="52CC76FC" w14:textId="08FD8162" w:rsidR="008472EF" w:rsidRDefault="008472EF" w:rsidP="00DF0F8E">
      <w:pPr>
        <w:rPr>
          <w:rFonts w:ascii="Arial" w:eastAsia="Calibri" w:hAnsi="Arial" w:cs="Arial"/>
          <w:sz w:val="22"/>
        </w:rPr>
      </w:pPr>
    </w:p>
    <w:p w14:paraId="00594C4B" w14:textId="7CD09BDB" w:rsidR="008472EF" w:rsidRDefault="008472EF" w:rsidP="00DF0F8E">
      <w:pPr>
        <w:rPr>
          <w:rFonts w:ascii="Arial" w:eastAsia="Calibri" w:hAnsi="Arial" w:cs="Arial"/>
          <w:sz w:val="22"/>
        </w:rPr>
      </w:pPr>
    </w:p>
    <w:p w14:paraId="69F80CC1" w14:textId="3034E33B" w:rsidR="008472EF" w:rsidRDefault="008472EF" w:rsidP="00DF0F8E">
      <w:pPr>
        <w:rPr>
          <w:rFonts w:ascii="Arial" w:eastAsia="Calibri" w:hAnsi="Arial" w:cs="Arial"/>
          <w:sz w:val="22"/>
        </w:rPr>
      </w:pPr>
    </w:p>
    <w:p w14:paraId="77FE26B2" w14:textId="77777777" w:rsidR="00DB5B9F" w:rsidRDefault="00DB5B9F" w:rsidP="00DF0F8E">
      <w:pPr>
        <w:rPr>
          <w:rFonts w:ascii="Arial" w:eastAsia="Calibri" w:hAnsi="Arial" w:cs="Arial"/>
          <w:sz w:val="22"/>
        </w:rPr>
      </w:pPr>
    </w:p>
    <w:p w14:paraId="790AB357" w14:textId="2A8EFC6E" w:rsidR="008472EF" w:rsidRDefault="008472EF" w:rsidP="00DF0F8E">
      <w:pPr>
        <w:rPr>
          <w:rFonts w:ascii="Arial" w:eastAsia="Calibri" w:hAnsi="Arial" w:cs="Arial"/>
          <w:sz w:val="22"/>
        </w:rPr>
      </w:pPr>
    </w:p>
    <w:p w14:paraId="4A76CA1F" w14:textId="4A34F003" w:rsidR="008472EF" w:rsidRDefault="008472EF" w:rsidP="00DF0F8E">
      <w:pPr>
        <w:rPr>
          <w:rFonts w:ascii="Arial" w:eastAsia="Calibri" w:hAnsi="Arial" w:cs="Arial"/>
          <w:sz w:val="22"/>
        </w:rPr>
      </w:pPr>
    </w:p>
    <w:p w14:paraId="6BE87A61" w14:textId="50ABCC87" w:rsidR="008472EF" w:rsidRDefault="008472EF" w:rsidP="00DF0F8E">
      <w:pPr>
        <w:rPr>
          <w:rFonts w:ascii="Arial" w:eastAsia="Calibri" w:hAnsi="Arial" w:cs="Arial"/>
          <w:sz w:val="22"/>
        </w:rPr>
      </w:pPr>
    </w:p>
    <w:p w14:paraId="69D24975" w14:textId="4358F55B" w:rsidR="008472EF" w:rsidRDefault="008472EF" w:rsidP="00DF0F8E">
      <w:pPr>
        <w:rPr>
          <w:rFonts w:ascii="Arial" w:eastAsia="Calibri" w:hAnsi="Arial" w:cs="Arial"/>
          <w:sz w:val="22"/>
        </w:rPr>
      </w:pPr>
    </w:p>
    <w:p w14:paraId="46C97475" w14:textId="39858286" w:rsidR="008472EF" w:rsidRDefault="008472EF" w:rsidP="00DF0F8E">
      <w:pPr>
        <w:rPr>
          <w:rFonts w:ascii="Arial" w:eastAsia="Calibri" w:hAnsi="Arial" w:cs="Arial"/>
          <w:sz w:val="22"/>
        </w:rPr>
      </w:pPr>
    </w:p>
    <w:p w14:paraId="51ED163C" w14:textId="0F7AE78C" w:rsidR="008472EF" w:rsidRDefault="008472EF" w:rsidP="00DF0F8E">
      <w:pPr>
        <w:rPr>
          <w:rFonts w:ascii="Arial" w:eastAsia="Calibri" w:hAnsi="Arial" w:cs="Arial"/>
          <w:sz w:val="22"/>
        </w:rPr>
      </w:pPr>
    </w:p>
    <w:p w14:paraId="7911A0FA" w14:textId="34597CB9" w:rsidR="008472EF" w:rsidRDefault="008472EF" w:rsidP="00DF0F8E">
      <w:pPr>
        <w:rPr>
          <w:rFonts w:ascii="Arial" w:eastAsia="Calibri" w:hAnsi="Arial" w:cs="Arial"/>
          <w:sz w:val="22"/>
        </w:rPr>
      </w:pPr>
    </w:p>
    <w:p w14:paraId="6812A03E" w14:textId="2D9A5EF7" w:rsidR="008472EF" w:rsidRDefault="008472EF" w:rsidP="00DF0F8E">
      <w:pPr>
        <w:rPr>
          <w:rFonts w:ascii="Arial" w:eastAsia="Calibri" w:hAnsi="Arial" w:cs="Arial"/>
          <w:sz w:val="22"/>
        </w:rPr>
      </w:pPr>
    </w:p>
    <w:p w14:paraId="1639E78D" w14:textId="4674BA14" w:rsidR="008472EF" w:rsidRDefault="008472EF" w:rsidP="00DF0F8E">
      <w:pPr>
        <w:rPr>
          <w:rFonts w:ascii="Arial" w:eastAsia="Calibri" w:hAnsi="Arial" w:cs="Arial"/>
          <w:sz w:val="22"/>
        </w:rPr>
      </w:pPr>
    </w:p>
    <w:p w14:paraId="07137167" w14:textId="0FF2319F" w:rsidR="008472EF" w:rsidRDefault="008472EF" w:rsidP="00DF0F8E">
      <w:pPr>
        <w:rPr>
          <w:rFonts w:ascii="Arial" w:eastAsia="Calibri" w:hAnsi="Arial" w:cs="Arial"/>
          <w:sz w:val="22"/>
        </w:rPr>
      </w:pPr>
    </w:p>
    <w:p w14:paraId="596652E3" w14:textId="7F2E4492" w:rsidR="008472EF" w:rsidRDefault="00CD361D" w:rsidP="00CD361D">
      <w:pPr>
        <w:jc w:val="right"/>
        <w:rPr>
          <w:rFonts w:ascii="Arial" w:eastAsia="Calibri" w:hAnsi="Arial" w:cs="Arial"/>
          <w:sz w:val="22"/>
        </w:rPr>
      </w:pPr>
      <w:r>
        <w:rPr>
          <w:rFonts w:ascii="Arial" w:eastAsia="Calibri" w:hAnsi="Arial" w:cs="Arial"/>
          <w:noProof/>
          <w:sz w:val="22"/>
        </w:rPr>
        <w:lastRenderedPageBreak/>
        <w:drawing>
          <wp:inline distT="0" distB="0" distL="0" distR="0" wp14:anchorId="2D098356" wp14:editId="060AB11C">
            <wp:extent cx="2258458" cy="607042"/>
            <wp:effectExtent l="0" t="0" r="254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stretch>
                      <a:fillRect/>
                    </a:stretch>
                  </pic:blipFill>
                  <pic:spPr>
                    <a:xfrm>
                      <a:off x="0" y="0"/>
                      <a:ext cx="2290185" cy="615570"/>
                    </a:xfrm>
                    <a:prstGeom prst="rect">
                      <a:avLst/>
                    </a:prstGeom>
                  </pic:spPr>
                </pic:pic>
              </a:graphicData>
            </a:graphic>
          </wp:inline>
        </w:drawing>
      </w:r>
    </w:p>
    <w:p w14:paraId="65AC6F07" w14:textId="08854309" w:rsidR="00E37B1B" w:rsidRDefault="00E37B1B" w:rsidP="00DF0F8E">
      <w:pPr>
        <w:rPr>
          <w:rFonts w:ascii="Arial" w:eastAsia="Calibri" w:hAnsi="Arial" w:cs="Arial"/>
          <w:sz w:val="22"/>
        </w:rPr>
      </w:pPr>
    </w:p>
    <w:p w14:paraId="5866722C" w14:textId="0D545A44" w:rsidR="000E519C" w:rsidRDefault="00076D8E" w:rsidP="00DF0F8E">
      <w:pPr>
        <w:rPr>
          <w:rFonts w:ascii="Arial" w:eastAsia="Calibri" w:hAnsi="Arial" w:cs="Arial"/>
          <w:sz w:val="22"/>
        </w:rPr>
      </w:pPr>
      <w:r>
        <w:rPr>
          <w:rFonts w:ascii="Arial" w:eastAsia="Calibri" w:hAnsi="Arial" w:cs="Arial"/>
          <w:sz w:val="22"/>
        </w:rPr>
        <w:t>Bogotá D.C., 5 de julio de 2022</w:t>
      </w:r>
    </w:p>
    <w:p w14:paraId="0D0AB864" w14:textId="6F509656" w:rsidR="00076D8E" w:rsidRDefault="00076D8E" w:rsidP="00DF0F8E">
      <w:pPr>
        <w:rPr>
          <w:rFonts w:ascii="Arial" w:eastAsia="Calibri" w:hAnsi="Arial" w:cs="Arial"/>
          <w:sz w:val="22"/>
        </w:rPr>
      </w:pPr>
    </w:p>
    <w:p w14:paraId="01A4626C" w14:textId="77777777" w:rsidR="00076D8E" w:rsidRDefault="00076D8E" w:rsidP="00DF0F8E">
      <w:pPr>
        <w:rPr>
          <w:rFonts w:ascii="Arial" w:eastAsia="Calibri" w:hAnsi="Arial" w:cs="Arial"/>
          <w:sz w:val="22"/>
        </w:rPr>
      </w:pPr>
    </w:p>
    <w:p w14:paraId="1F3E67BB" w14:textId="1FDF665B" w:rsidR="00AF1718" w:rsidRPr="00B31040" w:rsidRDefault="00AF1718" w:rsidP="00DF0F8E">
      <w:pPr>
        <w:rPr>
          <w:rFonts w:ascii="Arial" w:eastAsia="Calibri" w:hAnsi="Arial" w:cs="Arial"/>
          <w:sz w:val="22"/>
        </w:rPr>
      </w:pPr>
      <w:r w:rsidRPr="00B31040">
        <w:rPr>
          <w:rFonts w:ascii="Arial" w:eastAsia="Calibri" w:hAnsi="Arial" w:cs="Arial"/>
          <w:sz w:val="22"/>
        </w:rPr>
        <w:t>Señor</w:t>
      </w:r>
    </w:p>
    <w:p w14:paraId="73AD8F50" w14:textId="05B4EA18" w:rsidR="00303A29" w:rsidRPr="00B31040" w:rsidRDefault="00B31040" w:rsidP="00303A29">
      <w:pPr>
        <w:jc w:val="both"/>
        <w:rPr>
          <w:rFonts w:ascii="Arial" w:eastAsia="Calibri" w:hAnsi="Arial" w:cs="Arial"/>
          <w:b/>
          <w:bCs/>
          <w:color w:val="000000" w:themeColor="text1"/>
          <w:sz w:val="22"/>
          <w:lang w:val="es-ES_tradnl"/>
        </w:rPr>
      </w:pPr>
      <w:r w:rsidRPr="00B31040">
        <w:rPr>
          <w:rFonts w:ascii="Arial" w:eastAsia="Calibri" w:hAnsi="Arial" w:cs="Arial"/>
          <w:b/>
          <w:bCs/>
          <w:color w:val="000000" w:themeColor="text1"/>
          <w:sz w:val="22"/>
          <w:lang w:val="es-ES_tradnl"/>
        </w:rPr>
        <w:t>Jorge Alberto López Silva</w:t>
      </w:r>
    </w:p>
    <w:p w14:paraId="5292AB72" w14:textId="297B55AA" w:rsidR="00B31040" w:rsidRPr="00B31040" w:rsidRDefault="00B31040" w:rsidP="00303A29">
      <w:pPr>
        <w:jc w:val="both"/>
        <w:rPr>
          <w:rFonts w:ascii="Arial" w:eastAsia="Calibri" w:hAnsi="Arial" w:cs="Arial"/>
          <w:color w:val="000000" w:themeColor="text1"/>
          <w:sz w:val="22"/>
          <w:lang w:val="es-ES_tradnl"/>
        </w:rPr>
      </w:pPr>
      <w:r w:rsidRPr="00B31040">
        <w:rPr>
          <w:rFonts w:ascii="Arial" w:eastAsia="Calibri" w:hAnsi="Arial" w:cs="Arial"/>
          <w:color w:val="000000" w:themeColor="text1"/>
          <w:sz w:val="22"/>
          <w:lang w:val="es-ES_tradnl"/>
        </w:rPr>
        <w:t xml:space="preserve">Madrid, Cundinamarca </w:t>
      </w:r>
    </w:p>
    <w:p w14:paraId="1F0BAE2C" w14:textId="77777777" w:rsidR="002C4C4D" w:rsidRDefault="002C4C4D" w:rsidP="00303A29">
      <w:pPr>
        <w:jc w:val="both"/>
        <w:rPr>
          <w:rFonts w:ascii="Arial" w:eastAsia="Calibri" w:hAnsi="Arial" w:cs="Arial"/>
          <w:color w:val="000000" w:themeColor="text1"/>
          <w:sz w:val="22"/>
          <w:highlight w:val="yellow"/>
          <w:lang w:val="es-ES_tradnl"/>
        </w:rPr>
      </w:pPr>
    </w:p>
    <w:p w14:paraId="4D267F63" w14:textId="77777777" w:rsidR="000333CC" w:rsidRPr="009F7F17" w:rsidRDefault="000333CC" w:rsidP="00303A29">
      <w:pPr>
        <w:jc w:val="both"/>
        <w:rPr>
          <w:rFonts w:ascii="Arial" w:eastAsia="Calibri" w:hAnsi="Arial" w:cs="Arial"/>
          <w:color w:val="000000" w:themeColor="text1"/>
          <w:sz w:val="22"/>
          <w:highlight w:val="yellow"/>
          <w:lang w:val="es-ES_tradnl"/>
        </w:rPr>
      </w:pPr>
    </w:p>
    <w:p w14:paraId="645FF249" w14:textId="300FB5AF" w:rsidR="00303A29" w:rsidRPr="00AF71AA" w:rsidRDefault="00303A29" w:rsidP="00303A29">
      <w:pPr>
        <w:rPr>
          <w:rFonts w:ascii="Arial" w:eastAsia="Calibri" w:hAnsi="Arial" w:cs="Arial"/>
          <w:b/>
          <w:bCs/>
          <w:color w:val="000000" w:themeColor="text1"/>
          <w:sz w:val="22"/>
          <w:lang w:val="es-ES_tradnl"/>
        </w:rPr>
      </w:pPr>
      <w:r w:rsidRPr="00AF71AA">
        <w:rPr>
          <w:rFonts w:ascii="Arial" w:eastAsia="Calibri" w:hAnsi="Arial" w:cs="Arial"/>
          <w:b/>
          <w:bCs/>
          <w:color w:val="000000" w:themeColor="text1"/>
          <w:sz w:val="22"/>
          <w:lang w:val="es-ES_tradnl"/>
        </w:rPr>
        <w:t xml:space="preserve">                                            Concepto C </w:t>
      </w:r>
      <w:r w:rsidRPr="00063081">
        <w:rPr>
          <w:rFonts w:ascii="Arial" w:eastAsia="Calibri" w:hAnsi="Arial" w:cs="Arial"/>
          <w:b/>
          <w:bCs/>
          <w:color w:val="000000" w:themeColor="text1"/>
          <w:sz w:val="22"/>
          <w:lang w:val="es-ES_tradnl"/>
        </w:rPr>
        <w:t xml:space="preserve">‒ </w:t>
      </w:r>
      <w:r w:rsidR="00B31040">
        <w:rPr>
          <w:rFonts w:ascii="Arial" w:eastAsia="Calibri" w:hAnsi="Arial" w:cs="Arial"/>
          <w:b/>
          <w:bCs/>
          <w:color w:val="000000" w:themeColor="text1"/>
          <w:sz w:val="22"/>
          <w:lang w:val="es-ES_tradnl"/>
        </w:rPr>
        <w:t>439 de 2022</w:t>
      </w:r>
    </w:p>
    <w:p w14:paraId="7EA4AFB6" w14:textId="7980FAE7" w:rsidR="00882A7C" w:rsidRDefault="00882A7C" w:rsidP="00303A29">
      <w:pPr>
        <w:jc w:val="both"/>
        <w:rPr>
          <w:rFonts w:ascii="Arial" w:eastAsia="Calibri" w:hAnsi="Arial" w:cs="Arial"/>
          <w:color w:val="000000" w:themeColor="text1"/>
          <w:sz w:val="22"/>
          <w:lang w:val="es-ES_tradnl"/>
        </w:rPr>
      </w:pPr>
    </w:p>
    <w:p w14:paraId="6426640E" w14:textId="77777777" w:rsidR="002C4C4D" w:rsidRPr="00AF71AA" w:rsidRDefault="002C4C4D" w:rsidP="00303A29">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03A29" w:rsidRPr="00AC7A12" w14:paraId="00E2112D" w14:textId="77777777" w:rsidTr="00675DCE">
        <w:tc>
          <w:tcPr>
            <w:tcW w:w="2689" w:type="dxa"/>
          </w:tcPr>
          <w:p w14:paraId="31B9510E" w14:textId="77777777" w:rsidR="00303A29" w:rsidRPr="00AF71AA" w:rsidRDefault="00303A29" w:rsidP="00675DCE">
            <w:pPr>
              <w:jc w:val="both"/>
              <w:rPr>
                <w:rFonts w:ascii="Arial" w:eastAsia="Calibri" w:hAnsi="Arial" w:cs="Arial"/>
                <w:color w:val="000000" w:themeColor="text1"/>
                <w:sz w:val="22"/>
                <w:lang w:val="es-ES_tradnl"/>
              </w:rPr>
            </w:pPr>
            <w:r w:rsidRPr="00AF71AA">
              <w:rPr>
                <w:rFonts w:ascii="Arial" w:eastAsia="Calibri" w:hAnsi="Arial" w:cs="Arial"/>
                <w:b/>
                <w:color w:val="000000" w:themeColor="text1"/>
                <w:sz w:val="22"/>
                <w:lang w:val="es-ES_tradnl"/>
              </w:rPr>
              <w:t>Temas:</w:t>
            </w:r>
            <w:r w:rsidRPr="00AF71AA">
              <w:rPr>
                <w:rFonts w:ascii="Arial" w:eastAsia="Calibri" w:hAnsi="Arial" w:cs="Arial"/>
                <w:color w:val="000000" w:themeColor="text1"/>
                <w:sz w:val="22"/>
                <w:lang w:val="es-ES_tradnl"/>
              </w:rPr>
              <w:t xml:space="preserve">                                      </w:t>
            </w:r>
          </w:p>
        </w:tc>
        <w:tc>
          <w:tcPr>
            <w:tcW w:w="6237" w:type="dxa"/>
          </w:tcPr>
          <w:p w14:paraId="2C815AF1" w14:textId="09F53B7D" w:rsidR="002C4C4D" w:rsidRPr="002C4C4D" w:rsidRDefault="002C4C4D" w:rsidP="002C4C4D">
            <w:pPr>
              <w:jc w:val="both"/>
              <w:rPr>
                <w:rFonts w:ascii="Arial" w:eastAsia="Calibri" w:hAnsi="Arial" w:cs="Arial"/>
                <w:bCs/>
                <w:sz w:val="22"/>
              </w:rPr>
            </w:pPr>
            <w:r w:rsidRPr="002C4C4D">
              <w:rPr>
                <w:rFonts w:ascii="Arial" w:eastAsia="Calibri" w:hAnsi="Arial" w:cs="Arial"/>
                <w:bCs/>
                <w:sz w:val="22"/>
              </w:rPr>
              <w:t>REGISTRO ÚNICO DE PROPONENTES – Sujetos obligados</w:t>
            </w:r>
            <w:r w:rsidR="00DB5B9F">
              <w:rPr>
                <w:rFonts w:ascii="Arial" w:eastAsia="Calibri" w:hAnsi="Arial" w:cs="Arial"/>
                <w:bCs/>
                <w:sz w:val="22"/>
              </w:rPr>
              <w:t xml:space="preserve"> </w:t>
            </w:r>
            <w:r>
              <w:rPr>
                <w:rFonts w:ascii="Arial" w:hAnsi="Arial" w:cs="Arial"/>
                <w:noProof/>
                <w:color w:val="000000" w:themeColor="text1"/>
                <w:sz w:val="22"/>
                <w:lang w:val="es-ES_tradnl"/>
              </w:rPr>
              <w:t xml:space="preserve">/ </w:t>
            </w:r>
            <w:r w:rsidRPr="002C4C4D">
              <w:rPr>
                <w:rFonts w:ascii="Arial" w:eastAsia="Calibri" w:hAnsi="Arial" w:cs="Arial"/>
                <w:sz w:val="22"/>
                <w:lang w:val="es-ES_tradnl"/>
              </w:rPr>
              <w:t>CAPACIDAD FINANCIERA y CAPACIDAD ORGANIZACIONAL – Conceptos – Requisitos habilitantes</w:t>
            </w:r>
            <w:r w:rsidR="00DB5B9F">
              <w:rPr>
                <w:rFonts w:ascii="Arial" w:eastAsia="Calibri" w:hAnsi="Arial" w:cs="Arial"/>
                <w:sz w:val="22"/>
                <w:lang w:val="es-ES_tradnl"/>
              </w:rPr>
              <w:t xml:space="preserve"> </w:t>
            </w:r>
            <w:r w:rsidR="00215533" w:rsidRPr="002C4C4D">
              <w:rPr>
                <w:rFonts w:ascii="Arial" w:eastAsia="Calibri" w:hAnsi="Arial" w:cs="Arial"/>
                <w:sz w:val="22"/>
                <w:lang w:val="es-ES_tradnl"/>
              </w:rPr>
              <w:t xml:space="preserve">/ </w:t>
            </w:r>
            <w:r w:rsidRPr="002C4C4D">
              <w:rPr>
                <w:rFonts w:ascii="Arial" w:eastAsia="Calibri" w:hAnsi="Arial" w:cs="Arial"/>
                <w:sz w:val="22"/>
                <w:lang w:val="es-ES_tradnl"/>
              </w:rPr>
              <w:t xml:space="preserve">DECRETO 579 DE 2021 – Finalidad – Reactivación económica </w:t>
            </w:r>
            <w:r w:rsidR="00215533" w:rsidRPr="002C4C4D">
              <w:rPr>
                <w:rFonts w:ascii="Arial" w:eastAsia="Calibri" w:hAnsi="Arial" w:cs="Arial"/>
                <w:sz w:val="22"/>
                <w:lang w:val="es-ES_tradnl"/>
              </w:rPr>
              <w:t xml:space="preserve">/ </w:t>
            </w:r>
            <w:r w:rsidRPr="002C4C4D">
              <w:rPr>
                <w:rFonts w:ascii="Arial" w:eastAsia="Calibri" w:hAnsi="Arial" w:cs="Arial"/>
                <w:sz w:val="22"/>
                <w:lang w:val="es-ES_tradnl"/>
              </w:rPr>
              <w:t>DECRETOS 399 Y 579 DE 2021 – Información – Capacidad financiera – Capacidad organizacional – RUP</w:t>
            </w:r>
            <w:r w:rsidR="00DB5B9F">
              <w:rPr>
                <w:rFonts w:ascii="Arial" w:eastAsia="Calibri" w:hAnsi="Arial" w:cs="Arial"/>
                <w:sz w:val="22"/>
                <w:lang w:val="es-ES_tradnl"/>
              </w:rPr>
              <w:t xml:space="preserve"> </w:t>
            </w:r>
            <w:r w:rsidR="00215533" w:rsidRPr="002C4C4D">
              <w:rPr>
                <w:rFonts w:ascii="Arial" w:eastAsia="Calibri" w:hAnsi="Arial" w:cs="Arial"/>
                <w:sz w:val="22"/>
                <w:lang w:val="es-ES_tradnl"/>
              </w:rPr>
              <w:t xml:space="preserve">/ </w:t>
            </w:r>
            <w:r w:rsidRPr="002C4C4D">
              <w:rPr>
                <w:rFonts w:ascii="Arial" w:eastAsia="Calibri" w:hAnsi="Arial" w:cs="Arial"/>
                <w:sz w:val="22"/>
                <w:lang w:val="es-ES_tradnl"/>
              </w:rPr>
              <w:t>DECRETOS 399 Y 579 DE 2021 – Indicadores – Capacidad financiera – Capacidad organizacional – Período</w:t>
            </w:r>
            <w:r w:rsidR="00882A7C" w:rsidRPr="002C4C4D">
              <w:rPr>
                <w:rFonts w:ascii="Arial" w:eastAsia="Calibri" w:hAnsi="Arial" w:cs="Arial"/>
                <w:sz w:val="22"/>
                <w:lang w:val="es-ES_tradnl"/>
              </w:rPr>
              <w:t xml:space="preserve"> / </w:t>
            </w:r>
            <w:r w:rsidRPr="002C4C4D">
              <w:rPr>
                <w:rFonts w:ascii="Arial" w:eastAsia="Calibri" w:hAnsi="Arial" w:cs="Arial"/>
                <w:sz w:val="22"/>
                <w:lang w:val="es-ES_tradnl"/>
              </w:rPr>
              <w:t xml:space="preserve">MEJOR AÑO FISCAL – Decretos 399 y 579 de 2021 – Capacidad financiera – Capacidad organizacional – Interpretación / </w:t>
            </w:r>
            <w:r w:rsidRPr="002C4C4D">
              <w:rPr>
                <w:rFonts w:ascii="Arial" w:eastAsia="Calibri" w:hAnsi="Arial" w:cs="Arial"/>
                <w:bCs/>
                <w:sz w:val="22"/>
              </w:rPr>
              <w:t>PROPONENTES PLURALES – Mejor año fiscal – Decretos 399 y 579 de 2021</w:t>
            </w:r>
          </w:p>
          <w:p w14:paraId="70622994" w14:textId="565FB645" w:rsidR="00303A29" w:rsidRPr="000333CC" w:rsidRDefault="00303A29" w:rsidP="00882A7C">
            <w:pPr>
              <w:jc w:val="both"/>
              <w:rPr>
                <w:rFonts w:ascii="Arial" w:eastAsia="Calibri" w:hAnsi="Arial" w:cs="Arial"/>
                <w:b/>
                <w:sz w:val="22"/>
                <w:lang w:val="es-ES_tradnl"/>
              </w:rPr>
            </w:pPr>
          </w:p>
        </w:tc>
      </w:tr>
      <w:tr w:rsidR="00303A29" w:rsidRPr="00AC7A12" w14:paraId="5AF04B01" w14:textId="77777777" w:rsidTr="00675DCE">
        <w:trPr>
          <w:trHeight w:val="247"/>
        </w:trPr>
        <w:tc>
          <w:tcPr>
            <w:tcW w:w="2689" w:type="dxa"/>
          </w:tcPr>
          <w:p w14:paraId="7BB988F1" w14:textId="77777777" w:rsidR="00303A29" w:rsidRPr="00AC7A12" w:rsidRDefault="00303A29" w:rsidP="00675DCE">
            <w:pPr>
              <w:spacing w:before="12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Radicación:</w:t>
            </w:r>
            <w:r w:rsidRPr="00AC7A12">
              <w:rPr>
                <w:rFonts w:ascii="Arial" w:eastAsia="Calibri" w:hAnsi="Arial" w:cs="Arial"/>
                <w:color w:val="000000" w:themeColor="text1"/>
                <w:sz w:val="22"/>
                <w:lang w:val="es-ES_tradnl"/>
              </w:rPr>
              <w:t xml:space="preserve">                              </w:t>
            </w:r>
          </w:p>
        </w:tc>
        <w:tc>
          <w:tcPr>
            <w:tcW w:w="6237" w:type="dxa"/>
          </w:tcPr>
          <w:p w14:paraId="17C77C17" w14:textId="40825182" w:rsidR="00303A29" w:rsidRPr="00B31040" w:rsidRDefault="00303A29" w:rsidP="00B31040">
            <w:pPr>
              <w:jc w:val="both"/>
              <w:rPr>
                <w:rFonts w:ascii="Arial" w:hAnsi="Arial" w:cs="Arial"/>
                <w:sz w:val="22"/>
              </w:rPr>
            </w:pPr>
            <w:r w:rsidRPr="00AC7A12">
              <w:rPr>
                <w:rFonts w:ascii="Arial" w:eastAsia="Calibri" w:hAnsi="Arial" w:cs="Arial"/>
                <w:color w:val="000000" w:themeColor="text1"/>
                <w:sz w:val="22"/>
                <w:lang w:val="es-ES_tradnl"/>
              </w:rPr>
              <w:t xml:space="preserve">Respuesta a consulta </w:t>
            </w:r>
            <w:r w:rsidR="00B31040" w:rsidRPr="008E0950">
              <w:rPr>
                <w:rFonts w:ascii="Arial" w:hAnsi="Arial" w:cs="Arial"/>
                <w:sz w:val="22"/>
              </w:rPr>
              <w:t>P20220524005157</w:t>
            </w:r>
          </w:p>
        </w:tc>
      </w:tr>
    </w:tbl>
    <w:p w14:paraId="4F7A5E99" w14:textId="77777777" w:rsidR="00303A29" w:rsidRPr="00AC7A12" w:rsidRDefault="00303A29" w:rsidP="00303A29">
      <w:pPr>
        <w:jc w:val="both"/>
        <w:rPr>
          <w:rFonts w:ascii="Arial" w:eastAsia="Calibri" w:hAnsi="Arial" w:cs="Arial"/>
          <w:color w:val="000000" w:themeColor="text1"/>
          <w:sz w:val="22"/>
          <w:lang w:val="es-ES_tradnl"/>
        </w:rPr>
      </w:pPr>
    </w:p>
    <w:p w14:paraId="2B19C121" w14:textId="77777777" w:rsidR="00AF1718" w:rsidRPr="00D25BEF" w:rsidRDefault="00AF1718" w:rsidP="00DF0F8E">
      <w:pPr>
        <w:rPr>
          <w:rFonts w:ascii="Arial" w:eastAsia="Calibri" w:hAnsi="Arial" w:cs="Arial"/>
          <w:sz w:val="22"/>
          <w:highlight w:val="magenta"/>
        </w:rPr>
      </w:pPr>
    </w:p>
    <w:p w14:paraId="1612DE7D" w14:textId="70578923" w:rsidR="00AF1718" w:rsidRPr="009242C9" w:rsidRDefault="0030200C" w:rsidP="008B1764">
      <w:pPr>
        <w:spacing w:line="276" w:lineRule="auto"/>
        <w:rPr>
          <w:rFonts w:ascii="Arial" w:eastAsia="Calibri" w:hAnsi="Arial" w:cs="Arial"/>
          <w:sz w:val="22"/>
        </w:rPr>
      </w:pPr>
      <w:r>
        <w:rPr>
          <w:rFonts w:ascii="Arial" w:eastAsia="Calibri" w:hAnsi="Arial" w:cs="Arial"/>
          <w:sz w:val="22"/>
        </w:rPr>
        <w:t>Estimado</w:t>
      </w:r>
      <w:r w:rsidR="001E3A55" w:rsidRPr="009242C9">
        <w:rPr>
          <w:rFonts w:ascii="Arial" w:eastAsia="Calibri" w:hAnsi="Arial" w:cs="Arial"/>
          <w:sz w:val="22"/>
        </w:rPr>
        <w:t xml:space="preserve"> señor</w:t>
      </w:r>
      <w:r>
        <w:rPr>
          <w:rFonts w:ascii="Arial" w:eastAsia="Calibri" w:hAnsi="Arial" w:cs="Arial"/>
          <w:sz w:val="22"/>
        </w:rPr>
        <w:t xml:space="preserve"> </w:t>
      </w:r>
      <w:r w:rsidR="00B31040">
        <w:rPr>
          <w:rFonts w:ascii="Arial" w:eastAsia="Calibri" w:hAnsi="Arial" w:cs="Arial"/>
          <w:sz w:val="22"/>
        </w:rPr>
        <w:t>López</w:t>
      </w:r>
      <w:r w:rsidR="00D20BCC">
        <w:rPr>
          <w:rFonts w:ascii="Arial" w:eastAsia="Calibri" w:hAnsi="Arial" w:cs="Arial"/>
          <w:sz w:val="22"/>
        </w:rPr>
        <w:t>:</w:t>
      </w:r>
    </w:p>
    <w:p w14:paraId="6CEE3088" w14:textId="77777777" w:rsidR="00AF1718" w:rsidRPr="009242C9" w:rsidRDefault="00AF1718" w:rsidP="008B1764">
      <w:pPr>
        <w:spacing w:line="276" w:lineRule="auto"/>
        <w:rPr>
          <w:rFonts w:ascii="Arial" w:eastAsia="Calibri" w:hAnsi="Arial" w:cs="Arial"/>
          <w:sz w:val="22"/>
        </w:rPr>
      </w:pPr>
    </w:p>
    <w:p w14:paraId="053EA2B1" w14:textId="3769E248" w:rsidR="004C0C3B" w:rsidRDefault="00AF1718" w:rsidP="00A35A4D">
      <w:pPr>
        <w:spacing w:line="276" w:lineRule="auto"/>
        <w:jc w:val="both"/>
        <w:rPr>
          <w:rFonts w:ascii="Arial" w:eastAsia="Calibri" w:hAnsi="Arial" w:cs="Arial"/>
          <w:sz w:val="22"/>
        </w:rPr>
      </w:pPr>
      <w:r w:rsidRPr="009242C9">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9242C9">
        <w:rPr>
          <w:rFonts w:ascii="Arial" w:eastAsia="Calibri" w:hAnsi="Arial" w:cs="Arial"/>
          <w:sz w:val="22"/>
        </w:rPr>
        <w:t xml:space="preserve">te responde su </w:t>
      </w:r>
      <w:r w:rsidR="00A35A4D">
        <w:rPr>
          <w:rFonts w:ascii="Arial" w:eastAsia="Calibri" w:hAnsi="Arial" w:cs="Arial"/>
          <w:sz w:val="22"/>
        </w:rPr>
        <w:t xml:space="preserve">consulta </w:t>
      </w:r>
      <w:r w:rsidR="0030200C">
        <w:rPr>
          <w:rFonts w:ascii="Arial" w:eastAsia="Calibri" w:hAnsi="Arial" w:cs="Arial"/>
          <w:sz w:val="22"/>
        </w:rPr>
        <w:t xml:space="preserve">del </w:t>
      </w:r>
      <w:bookmarkStart w:id="2" w:name="_Hlk68679800"/>
      <w:r w:rsidR="00B31040">
        <w:rPr>
          <w:rFonts w:ascii="Arial" w:eastAsia="Calibri" w:hAnsi="Arial" w:cs="Arial"/>
          <w:sz w:val="22"/>
        </w:rPr>
        <w:t>24 de mayo de 2022</w:t>
      </w:r>
      <w:r w:rsidR="00A35A4D">
        <w:rPr>
          <w:rFonts w:ascii="Arial" w:eastAsia="Calibri" w:hAnsi="Arial" w:cs="Arial"/>
          <w:sz w:val="22"/>
        </w:rPr>
        <w:t>.</w:t>
      </w:r>
      <w:r w:rsidR="00E729F9">
        <w:rPr>
          <w:rFonts w:ascii="Arial" w:eastAsia="Calibri" w:hAnsi="Arial" w:cs="Arial"/>
          <w:sz w:val="22"/>
        </w:rPr>
        <w:t xml:space="preserve"> </w:t>
      </w:r>
    </w:p>
    <w:p w14:paraId="709B9B3D" w14:textId="77777777" w:rsidR="00A35A4D" w:rsidRDefault="00A35A4D" w:rsidP="00A35A4D">
      <w:pPr>
        <w:spacing w:line="276" w:lineRule="auto"/>
        <w:jc w:val="both"/>
        <w:rPr>
          <w:rFonts w:ascii="Arial" w:eastAsia="Calibri" w:hAnsi="Arial" w:cs="Arial"/>
          <w:sz w:val="22"/>
        </w:rPr>
      </w:pPr>
    </w:p>
    <w:p w14:paraId="34153F93" w14:textId="27290718" w:rsidR="00A35A4D" w:rsidRDefault="00A35A4D" w:rsidP="00D20BCC">
      <w:pPr>
        <w:spacing w:line="276" w:lineRule="auto"/>
        <w:jc w:val="both"/>
        <w:rPr>
          <w:rFonts w:ascii="Arial" w:eastAsia="Calibri" w:hAnsi="Arial" w:cs="Arial"/>
          <w:b/>
          <w:bCs/>
          <w:sz w:val="22"/>
        </w:rPr>
      </w:pPr>
      <w:r w:rsidRPr="00A35A4D">
        <w:rPr>
          <w:rFonts w:ascii="Arial" w:eastAsia="Calibri" w:hAnsi="Arial" w:cs="Arial"/>
          <w:b/>
          <w:bCs/>
          <w:sz w:val="22"/>
        </w:rPr>
        <w:t>1. Problema Planteado</w:t>
      </w:r>
    </w:p>
    <w:p w14:paraId="6C01FC35" w14:textId="77777777" w:rsidR="00D20BCC" w:rsidRPr="00A35A4D" w:rsidRDefault="00D20BCC" w:rsidP="00467AA4">
      <w:pPr>
        <w:spacing w:line="276" w:lineRule="auto"/>
        <w:jc w:val="both"/>
        <w:rPr>
          <w:rFonts w:ascii="Arial" w:eastAsia="Calibri" w:hAnsi="Arial" w:cs="Arial"/>
          <w:b/>
          <w:bCs/>
          <w:sz w:val="22"/>
        </w:rPr>
      </w:pPr>
    </w:p>
    <w:p w14:paraId="3978EEC6" w14:textId="130FF02F" w:rsidR="00A35A4D" w:rsidRDefault="0030200C" w:rsidP="00467AA4">
      <w:pPr>
        <w:spacing w:line="276" w:lineRule="auto"/>
        <w:jc w:val="both"/>
        <w:rPr>
          <w:rFonts w:ascii="Arial" w:eastAsia="Calibri" w:hAnsi="Arial" w:cs="Arial"/>
          <w:sz w:val="22"/>
        </w:rPr>
      </w:pPr>
      <w:r>
        <w:rPr>
          <w:rFonts w:ascii="Arial" w:eastAsia="Calibri" w:hAnsi="Arial" w:cs="Arial"/>
          <w:sz w:val="22"/>
        </w:rPr>
        <w:t>En relación con el Decreto 579 de 2021, u</w:t>
      </w:r>
      <w:r w:rsidR="00A35A4D">
        <w:rPr>
          <w:rFonts w:ascii="Arial" w:eastAsia="Calibri" w:hAnsi="Arial" w:cs="Arial"/>
          <w:sz w:val="22"/>
        </w:rPr>
        <w:t>sted realiza la siguiente consulta:</w:t>
      </w:r>
    </w:p>
    <w:p w14:paraId="26C41CB6" w14:textId="77777777" w:rsidR="00D20BCC" w:rsidRDefault="00D20BCC" w:rsidP="00B31040">
      <w:pPr>
        <w:ind w:left="709" w:right="709"/>
        <w:jc w:val="both"/>
        <w:rPr>
          <w:rFonts w:ascii="Arial" w:eastAsia="Calibri" w:hAnsi="Arial" w:cs="Arial"/>
          <w:sz w:val="22"/>
        </w:rPr>
      </w:pPr>
    </w:p>
    <w:p w14:paraId="52F09711" w14:textId="197605B7" w:rsidR="00B31040" w:rsidRDefault="00B31040" w:rsidP="000E519C">
      <w:pPr>
        <w:pStyle w:val="Sinespaciado"/>
        <w:ind w:left="709" w:right="709"/>
        <w:jc w:val="both"/>
        <w:rPr>
          <w:rFonts w:ascii="Arial" w:hAnsi="Arial" w:cs="Arial"/>
          <w:sz w:val="21"/>
          <w:szCs w:val="21"/>
        </w:rPr>
      </w:pPr>
      <w:bookmarkStart w:id="3" w:name="_Hlk103091320"/>
      <w:bookmarkEnd w:id="2"/>
      <w:r w:rsidRPr="006337DF">
        <w:rPr>
          <w:rFonts w:ascii="Arial" w:hAnsi="Arial" w:cs="Arial"/>
          <w:sz w:val="21"/>
          <w:szCs w:val="21"/>
        </w:rPr>
        <w:t>«</w:t>
      </w:r>
      <w:bookmarkEnd w:id="3"/>
      <w:r w:rsidRPr="008E0950">
        <w:rPr>
          <w:rFonts w:ascii="Arial" w:hAnsi="Arial" w:cs="Arial"/>
          <w:sz w:val="21"/>
          <w:szCs w:val="21"/>
        </w:rPr>
        <w:t xml:space="preserve">1. ¿Cómo aplicar el Decreto 579 de 2021 en cuanto a la posibilidad de que los proponentes plurales elijan el mejor corte financiero? pueden hacerlo individualmente? o deben elegir el mismo corte para todos los miembros?   </w:t>
      </w:r>
    </w:p>
    <w:p w14:paraId="5FC5F2D4" w14:textId="77777777" w:rsidR="00C249BD" w:rsidRPr="008E0950" w:rsidRDefault="00C249BD" w:rsidP="000E519C">
      <w:pPr>
        <w:pStyle w:val="Sinespaciado"/>
        <w:ind w:left="709" w:right="709"/>
        <w:jc w:val="both"/>
        <w:rPr>
          <w:rFonts w:ascii="Arial" w:hAnsi="Arial" w:cs="Arial"/>
          <w:sz w:val="21"/>
          <w:szCs w:val="21"/>
        </w:rPr>
      </w:pPr>
    </w:p>
    <w:p w14:paraId="72E0516C" w14:textId="77777777" w:rsidR="00B31040" w:rsidRPr="008E0950" w:rsidRDefault="00B31040" w:rsidP="000E519C">
      <w:pPr>
        <w:pStyle w:val="Sinespaciado"/>
        <w:ind w:left="709" w:right="709"/>
        <w:jc w:val="both"/>
        <w:rPr>
          <w:rFonts w:ascii="Arial" w:hAnsi="Arial" w:cs="Arial"/>
          <w:sz w:val="21"/>
          <w:szCs w:val="21"/>
        </w:rPr>
      </w:pPr>
      <w:r w:rsidRPr="008E0950">
        <w:rPr>
          <w:rFonts w:ascii="Arial" w:hAnsi="Arial" w:cs="Arial"/>
          <w:sz w:val="21"/>
          <w:szCs w:val="21"/>
        </w:rPr>
        <w:lastRenderedPageBreak/>
        <w:t>2. ¿Es posible incluir en el pliego una nota que establezca que en caso de proponentes plurales todos los participantes deberán elegir el mismo año de corte financiero?</w:t>
      </w:r>
      <w:bookmarkStart w:id="4" w:name="_Hlk103091300"/>
      <w:r w:rsidRPr="006337DF">
        <w:rPr>
          <w:rFonts w:ascii="Arial" w:hAnsi="Arial" w:cs="Arial"/>
          <w:sz w:val="21"/>
          <w:szCs w:val="21"/>
        </w:rPr>
        <w:t>»</w:t>
      </w:r>
      <w:bookmarkEnd w:id="4"/>
      <w:r w:rsidRPr="008E0950">
        <w:rPr>
          <w:rFonts w:ascii="Arial" w:hAnsi="Arial" w:cs="Arial"/>
          <w:sz w:val="21"/>
          <w:szCs w:val="21"/>
        </w:rPr>
        <w:t xml:space="preserve"> </w:t>
      </w:r>
    </w:p>
    <w:p w14:paraId="5330AE48" w14:textId="77777777" w:rsidR="00A33A35" w:rsidRPr="00A35A4D" w:rsidRDefault="00A33A35" w:rsidP="00E92E85">
      <w:pPr>
        <w:ind w:left="709" w:right="709"/>
        <w:jc w:val="both"/>
        <w:rPr>
          <w:rFonts w:ascii="Arial" w:eastAsia="Calibri" w:hAnsi="Arial" w:cs="Arial"/>
          <w:sz w:val="21"/>
          <w:szCs w:val="21"/>
        </w:rPr>
      </w:pPr>
    </w:p>
    <w:p w14:paraId="0F4078A4" w14:textId="71AD59B1" w:rsidR="004C0C3B" w:rsidRDefault="00EA46A5" w:rsidP="00E92E85">
      <w:pPr>
        <w:pStyle w:val="Prrafodelista"/>
        <w:tabs>
          <w:tab w:val="left" w:pos="0"/>
          <w:tab w:val="left" w:pos="284"/>
        </w:tabs>
        <w:ind w:left="0"/>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2. </w:t>
      </w:r>
      <w:r w:rsidR="004C0C3B" w:rsidRPr="00AC7A12">
        <w:rPr>
          <w:rFonts w:ascii="Arial" w:eastAsia="Calibri" w:hAnsi="Arial" w:cs="Arial"/>
          <w:b/>
          <w:color w:val="000000" w:themeColor="text1"/>
          <w:sz w:val="22"/>
          <w:lang w:val="es-ES_tradnl"/>
        </w:rPr>
        <w:t>Consideraciones</w:t>
      </w:r>
    </w:p>
    <w:p w14:paraId="2256D24A" w14:textId="65A8D085" w:rsidR="00D20BCC" w:rsidRDefault="00D20BCC" w:rsidP="00E92E85">
      <w:pPr>
        <w:pStyle w:val="Prrafodelista"/>
        <w:tabs>
          <w:tab w:val="left" w:pos="0"/>
          <w:tab w:val="left" w:pos="284"/>
        </w:tabs>
        <w:ind w:left="0"/>
        <w:jc w:val="both"/>
        <w:rPr>
          <w:rFonts w:ascii="Arial" w:eastAsia="Calibri" w:hAnsi="Arial" w:cs="Arial"/>
          <w:b/>
          <w:color w:val="000000" w:themeColor="text1"/>
          <w:sz w:val="22"/>
          <w:lang w:val="es-ES_tradnl"/>
        </w:rPr>
      </w:pPr>
    </w:p>
    <w:p w14:paraId="641268B5" w14:textId="28F1307C" w:rsidR="00F53DBD" w:rsidRDefault="00F53DBD" w:rsidP="00F53DBD">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La Subdirección de Gestión Contractual responderá la consulta, luego de analizar los siguientes temas: i) requisitos habilitantes de capacidad financiera y organizacional y </w:t>
      </w: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xml:space="preserve">) modificaciones introducidas por los Decretos 399 de 2021 y 579 de 2021, frente a la información del RUP, así como a la verificación de la capacidad financiera y organizacional del proponente. </w:t>
      </w:r>
    </w:p>
    <w:p w14:paraId="2A9561FA" w14:textId="27F30CF6" w:rsidR="00F53DBD" w:rsidRPr="00152E87" w:rsidRDefault="00F53DBD" w:rsidP="00152E87">
      <w:pPr>
        <w:spacing w:before="120" w:line="276" w:lineRule="auto"/>
        <w:ind w:firstLine="709"/>
        <w:jc w:val="both"/>
        <w:rPr>
          <w:rFonts w:ascii="Arial" w:hAnsi="Arial" w:cs="Arial"/>
          <w:color w:val="000000" w:themeColor="text1"/>
          <w:sz w:val="22"/>
          <w:lang w:val="es-ES_tradnl"/>
        </w:rPr>
      </w:pPr>
      <w:r>
        <w:rPr>
          <w:rFonts w:ascii="Arial" w:eastAsia="Calibri" w:hAnsi="Arial" w:cs="Arial"/>
          <w:sz w:val="22"/>
        </w:rPr>
        <w:t xml:space="preserve">La </w:t>
      </w:r>
      <w:r>
        <w:rPr>
          <w:rFonts w:ascii="Arial" w:hAnsi="Arial" w:cs="Arial"/>
          <w:color w:val="000000" w:themeColor="text1"/>
          <w:sz w:val="22"/>
          <w:lang w:val="es-ES_tradnl"/>
        </w:rPr>
        <w:t xml:space="preserve">Agencia Nacional de Contratación Pública – Colombia Compra Eficiente se ha pronunciado sobre la acreditación de los indicadores de capacidad financiera y organizacional de los oferentes mediante el RUP, así como el cálculo de la capacidad residual, entre otros, </w:t>
      </w:r>
      <w:r>
        <w:rPr>
          <w:rFonts w:ascii="Arial" w:eastAsia="Calibri" w:hAnsi="Arial" w:cs="Arial"/>
          <w:color w:val="000000" w:themeColor="text1"/>
          <w:sz w:val="22"/>
          <w:lang w:val="es-ES_tradnl"/>
        </w:rPr>
        <w:t xml:space="preserve">en los conceptos No. 4201912000006798 del 24 de octubre de 2019, C-002 del 12 de febrero de 2020, C-089 del 4 de marzo de 2020, C-099 del 06 de abril de 2020, C-166 del 14 de abril de 2020, C-233 del 16 de abril de 2020, C-326 del 9 de junio de 2020, C-140 del 9 de abril de 2021. Respecto de la reciente reglamentación establecida en los Decretos 399 y 579 de 2021 se pronunció en los Conceptos C-288 de 17 de junio de 2021, C-353 del 19 de julio de 2021, C-366 del 26 de julio de 2021 y C-372 del 28 de julio de 2021, </w:t>
      </w:r>
      <w:r>
        <w:rPr>
          <w:rFonts w:ascii="Arial" w:eastAsia="Calibri" w:hAnsi="Arial" w:cs="Arial"/>
          <w:sz w:val="22"/>
        </w:rPr>
        <w:t>C-406 del 8 de agosto de 2021 y C-407 del 25 de agosto de 2021</w:t>
      </w:r>
      <w:r>
        <w:rPr>
          <w:rFonts w:ascii="Arial" w:eastAsia="Calibri" w:hAnsi="Arial" w:cs="Arial"/>
          <w:color w:val="000000" w:themeColor="text1"/>
          <w:sz w:val="22"/>
          <w:lang w:val="es-ES_tradnl"/>
        </w:rPr>
        <w:t>. Las tesis de esos conceptos se reiteran a continuación:</w:t>
      </w:r>
    </w:p>
    <w:p w14:paraId="5B8D1E81" w14:textId="77777777" w:rsidR="00F53DBD" w:rsidRDefault="00F53DBD" w:rsidP="00F53DBD">
      <w:pPr>
        <w:spacing w:line="276" w:lineRule="auto"/>
        <w:jc w:val="both"/>
        <w:rPr>
          <w:rFonts w:ascii="Arial" w:eastAsia="Calibri" w:hAnsi="Arial" w:cs="Arial"/>
          <w:color w:val="000000" w:themeColor="text1"/>
          <w:sz w:val="22"/>
          <w:lang w:val="es-ES_tradnl"/>
        </w:rPr>
      </w:pPr>
    </w:p>
    <w:p w14:paraId="4FD834FF" w14:textId="668CBE4F" w:rsidR="00F53DBD" w:rsidRDefault="00F53DBD" w:rsidP="00F53DBD">
      <w:pPr>
        <w:tabs>
          <w:tab w:val="left" w:pos="426"/>
          <w:tab w:val="left" w:pos="851"/>
        </w:tabs>
        <w:jc w:val="both"/>
        <w:rPr>
          <w:rFonts w:ascii="Arial" w:eastAsia="Times New Roman" w:hAnsi="Arial" w:cs="Arial"/>
          <w:b/>
          <w:bCs/>
          <w:color w:val="000000" w:themeColor="text1"/>
          <w:sz w:val="22"/>
          <w:szCs w:val="24"/>
          <w:lang w:val="es-ES"/>
        </w:rPr>
      </w:pPr>
      <w:r>
        <w:rPr>
          <w:rFonts w:ascii="Arial" w:eastAsia="Calibri" w:hAnsi="Arial" w:cs="Arial"/>
          <w:b/>
          <w:color w:val="000000" w:themeColor="text1"/>
          <w:sz w:val="22"/>
          <w:lang w:val="es-ES_tradnl"/>
        </w:rPr>
        <w:t>2.</w:t>
      </w:r>
      <w:r w:rsidR="00B31040">
        <w:rPr>
          <w:rFonts w:ascii="Arial" w:eastAsia="Calibri" w:hAnsi="Arial" w:cs="Arial"/>
          <w:b/>
          <w:color w:val="000000" w:themeColor="text1"/>
          <w:sz w:val="22"/>
          <w:lang w:val="es-ES_tradnl"/>
        </w:rPr>
        <w:t>1</w:t>
      </w:r>
      <w:r>
        <w:rPr>
          <w:rFonts w:ascii="Arial" w:eastAsia="Calibri" w:hAnsi="Arial" w:cs="Arial"/>
          <w:b/>
          <w:color w:val="000000" w:themeColor="text1"/>
          <w:sz w:val="22"/>
          <w:lang w:val="es-ES_tradnl"/>
        </w:rPr>
        <w:t xml:space="preserve">. </w:t>
      </w:r>
      <w:r>
        <w:rPr>
          <w:rFonts w:ascii="Arial" w:hAnsi="Arial" w:cs="Arial"/>
          <w:b/>
          <w:bCs/>
          <w:color w:val="000000" w:themeColor="text1"/>
          <w:sz w:val="22"/>
          <w:lang w:val="es-ES"/>
        </w:rPr>
        <w:t>Requisitos habilitantes como criterios obligatorios para participar en los procedimientos de selección: especial referencia a la capacidad financiera y organizacional</w:t>
      </w:r>
    </w:p>
    <w:p w14:paraId="3475F753" w14:textId="77777777" w:rsidR="00F53DBD" w:rsidRDefault="00F53DBD" w:rsidP="00F53DBD">
      <w:pPr>
        <w:tabs>
          <w:tab w:val="left" w:pos="426"/>
        </w:tabs>
        <w:spacing w:line="276" w:lineRule="auto"/>
        <w:jc w:val="both"/>
        <w:rPr>
          <w:rFonts w:ascii="Arial" w:eastAsia="Calibri" w:hAnsi="Arial" w:cs="Arial"/>
          <w:b/>
          <w:color w:val="000000" w:themeColor="text1"/>
          <w:sz w:val="22"/>
          <w:lang w:val="es-ES_tradnl"/>
        </w:rPr>
      </w:pPr>
    </w:p>
    <w:p w14:paraId="2C9DF914" w14:textId="77777777" w:rsidR="00F53DBD" w:rsidRDefault="00F53DBD" w:rsidP="00F53DBD">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Los </w:t>
      </w:r>
      <w:r>
        <w:rPr>
          <w:rFonts w:ascii="Arial" w:eastAsia="Calibri" w:hAnsi="Arial" w:cs="Arial"/>
          <w:i/>
          <w:iCs/>
          <w:color w:val="000000" w:themeColor="text1"/>
          <w:sz w:val="22"/>
          <w:lang w:val="es-ES_tradnl"/>
        </w:rPr>
        <w:t>requisitos habilitantes</w:t>
      </w:r>
      <w:r>
        <w:rPr>
          <w:rFonts w:ascii="Arial" w:eastAsia="Calibri" w:hAnsi="Arial" w:cs="Arial"/>
          <w:color w:val="000000" w:themeColor="text1"/>
          <w:sz w:val="22"/>
          <w:lang w:val="es-ES_tradnl"/>
        </w:rPr>
        <w:t xml:space="preserve">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 Se diferencian de los </w:t>
      </w:r>
      <w:r>
        <w:rPr>
          <w:rFonts w:ascii="Arial" w:eastAsia="Calibri" w:hAnsi="Arial" w:cs="Arial"/>
          <w:i/>
          <w:iCs/>
          <w:color w:val="000000" w:themeColor="text1"/>
          <w:sz w:val="22"/>
          <w:lang w:val="es-ES_tradnl"/>
        </w:rPr>
        <w:t>criterios de evaluación</w:t>
      </w:r>
      <w:r>
        <w:rPr>
          <w:rFonts w:ascii="Arial" w:eastAsia="Calibri" w:hAnsi="Arial" w:cs="Arial"/>
          <w:color w:val="000000" w:themeColor="text1"/>
          <w:sz w:val="22"/>
          <w:lang w:val="es-ES_tradnl"/>
        </w:rPr>
        <w:t xml:space="preserve"> –también conocidos como </w:t>
      </w:r>
      <w:r>
        <w:rPr>
          <w:rFonts w:ascii="Arial" w:eastAsia="Calibri" w:hAnsi="Arial" w:cs="Arial"/>
          <w:i/>
          <w:iCs/>
          <w:color w:val="000000" w:themeColor="text1"/>
          <w:sz w:val="22"/>
          <w:lang w:val="es-ES_tradnl"/>
        </w:rPr>
        <w:t>criterios de calificación</w:t>
      </w:r>
      <w:r>
        <w:rPr>
          <w:rFonts w:ascii="Arial" w:eastAsia="Calibri" w:hAnsi="Arial" w:cs="Arial"/>
          <w:color w:val="000000" w:themeColor="text1"/>
          <w:sz w:val="22"/>
          <w:lang w:val="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43694A82" w14:textId="77777777" w:rsidR="00F53DBD" w:rsidRDefault="00F53DBD" w:rsidP="00F53DBD">
      <w:pPr>
        <w:spacing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w:t>
      </w:r>
      <w:r>
        <w:rPr>
          <w:rFonts w:ascii="Arial" w:eastAsia="Calibri" w:hAnsi="Arial" w:cs="Arial"/>
          <w:color w:val="000000" w:themeColor="text1"/>
          <w:sz w:val="22"/>
          <w:lang w:val="es-ES_tradnl"/>
        </w:rPr>
        <w:lastRenderedPageBreak/>
        <w:t>los oferentes de subsanar los defectos que se presenten en la prueba de tales requisitos, de conformidad con el artículo 5, parágrafos 1º al 4º, de la Ley 1150 de 2007.</w:t>
      </w:r>
    </w:p>
    <w:p w14:paraId="395C39B0" w14:textId="77777777" w:rsidR="00F53DBD" w:rsidRDefault="00F53DBD" w:rsidP="00F53DBD">
      <w:pPr>
        <w:spacing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w:t>
      </w:r>
      <w:r>
        <w:rPr>
          <w:rFonts w:ascii="Arial" w:eastAsia="Calibri" w:hAnsi="Arial" w:cs="Arial"/>
          <w:i/>
          <w:iCs/>
          <w:color w:val="000000" w:themeColor="text1"/>
          <w:sz w:val="22"/>
          <w:lang w:val="es-ES_tradnl"/>
        </w:rPr>
        <w:t>entre otros</w:t>
      </w:r>
      <w:r>
        <w:rPr>
          <w:rFonts w:ascii="Arial" w:eastAsia="Calibri" w:hAnsi="Arial" w:cs="Arial"/>
          <w:color w:val="000000" w:themeColor="text1"/>
          <w:sz w:val="22"/>
          <w:lang w:val="es-ES_tradnl"/>
        </w:rPr>
        <w:t xml:space="preserve">, los siguientes: i) la capacidad jurídica; </w:t>
      </w: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xml:space="preserve">) la experiencia; </w:t>
      </w:r>
      <w:proofErr w:type="spellStart"/>
      <w:r>
        <w:rPr>
          <w:rFonts w:ascii="Arial" w:eastAsia="Calibri" w:hAnsi="Arial" w:cs="Arial"/>
          <w:color w:val="000000" w:themeColor="text1"/>
          <w:sz w:val="22"/>
          <w:lang w:val="es-ES_tradnl"/>
        </w:rPr>
        <w:t>iii</w:t>
      </w:r>
      <w:proofErr w:type="spellEnd"/>
      <w:r>
        <w:rPr>
          <w:rFonts w:ascii="Arial" w:eastAsia="Calibri" w:hAnsi="Arial" w:cs="Arial"/>
          <w:color w:val="000000" w:themeColor="text1"/>
          <w:sz w:val="22"/>
          <w:lang w:val="es-ES_tradnl"/>
        </w:rPr>
        <w:t xml:space="preserve">) la capacidad financiera y </w:t>
      </w:r>
      <w:proofErr w:type="spellStart"/>
      <w:r>
        <w:rPr>
          <w:rFonts w:ascii="Arial" w:eastAsia="Calibri" w:hAnsi="Arial" w:cs="Arial"/>
          <w:color w:val="000000" w:themeColor="text1"/>
          <w:sz w:val="22"/>
          <w:lang w:val="es-ES_tradnl"/>
        </w:rPr>
        <w:t>iv</w:t>
      </w:r>
      <w:proofErr w:type="spellEnd"/>
      <w:r>
        <w:rPr>
          <w:rFonts w:ascii="Arial" w:eastAsia="Calibri" w:hAnsi="Arial" w:cs="Arial"/>
          <w:color w:val="000000" w:themeColor="text1"/>
          <w:sz w:val="22"/>
          <w:lang w:val="es-ES_tradnl"/>
        </w:rPr>
        <w:t xml:space="preserve">) la capacidad de organización. En efecto, la normativa citada prescribe lo siguiente: </w:t>
      </w:r>
    </w:p>
    <w:p w14:paraId="221DF453" w14:textId="77777777" w:rsidR="00F53DBD" w:rsidRDefault="00F53DBD" w:rsidP="00F53DBD">
      <w:pPr>
        <w:jc w:val="both"/>
        <w:rPr>
          <w:rFonts w:ascii="Arial" w:eastAsia="Calibri" w:hAnsi="Arial" w:cs="Arial"/>
          <w:color w:val="000000" w:themeColor="text1"/>
          <w:sz w:val="22"/>
          <w:lang w:val="es-ES_tradnl"/>
        </w:rPr>
      </w:pPr>
    </w:p>
    <w:p w14:paraId="7232D064" w14:textId="77777777" w:rsidR="00F53DBD" w:rsidRDefault="00F53DBD" w:rsidP="00F53DBD">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Artículo 5. De la Selección Objetiva. </w:t>
      </w:r>
    </w:p>
    <w:p w14:paraId="22718E08" w14:textId="77777777" w:rsidR="00F53DBD" w:rsidRDefault="00F53DBD" w:rsidP="00F53DBD">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p>
    <w:p w14:paraId="79628C90" w14:textId="77777777" w:rsidR="00F53DBD" w:rsidRDefault="00F53DBD" w:rsidP="00F53DBD">
      <w:pPr>
        <w:pStyle w:val="Prrafodelista"/>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54B77157" w14:textId="77777777" w:rsidR="00F53DBD" w:rsidRDefault="00F53DBD" w:rsidP="00F53DBD">
      <w:pPr>
        <w:spacing w:line="276" w:lineRule="auto"/>
        <w:ind w:right="709"/>
        <w:jc w:val="both"/>
        <w:rPr>
          <w:rFonts w:ascii="Arial" w:eastAsia="Calibri" w:hAnsi="Arial" w:cs="Arial"/>
          <w:color w:val="000000" w:themeColor="text1"/>
          <w:sz w:val="22"/>
          <w:szCs w:val="24"/>
          <w:lang w:val="es-ES_tradnl"/>
        </w:rPr>
      </w:pPr>
    </w:p>
    <w:p w14:paraId="1C83E85B" w14:textId="77777777" w:rsidR="00F53DBD" w:rsidRDefault="00F53DBD" w:rsidP="00F53DBD">
      <w:pPr>
        <w:spacing w:after="120" w:line="276" w:lineRule="auto"/>
        <w:ind w:firstLine="708"/>
        <w:jc w:val="both"/>
        <w:rPr>
          <w:rFonts w:ascii="Arial" w:eastAsia="Times New Roman" w:hAnsi="Arial" w:cs="Arial"/>
          <w:b/>
          <w:bCs/>
          <w:color w:val="000000"/>
          <w:sz w:val="22"/>
          <w:bdr w:val="none" w:sz="0" w:space="0" w:color="auto" w:frame="1"/>
          <w:lang w:val="es-CO" w:eastAsia="es-MX"/>
        </w:rPr>
      </w:pPr>
      <w:r>
        <w:rPr>
          <w:rFonts w:ascii="Arial" w:hAnsi="Arial" w:cs="Arial"/>
          <w:color w:val="000000" w:themeColor="text1"/>
          <w:sz w:val="22"/>
          <w:lang w:val="es-ES_tradnl"/>
        </w:rPr>
        <w:t xml:space="preserve">Una vez fijados los requisitos habilitantes por la entidad estatal, quienes presenten ofertas deben </w:t>
      </w:r>
      <w:r>
        <w:rPr>
          <w:rFonts w:ascii="Arial" w:hAnsi="Arial" w:cs="Arial"/>
          <w:bCs/>
          <w:i/>
          <w:iCs/>
          <w:color w:val="000000" w:themeColor="text1"/>
          <w:sz w:val="22"/>
          <w:lang w:val="es-ES_tradnl"/>
        </w:rPr>
        <w:t>acreditar</w:t>
      </w:r>
      <w:r>
        <w:rPr>
          <w:rFonts w:ascii="Arial" w:hAnsi="Arial" w:cs="Arial"/>
          <w:color w:val="000000" w:themeColor="text1"/>
          <w:sz w:val="22"/>
          <w:lang w:val="es-ES_tradnl"/>
        </w:rPr>
        <w:t xml:space="preserve"> que cumplen con los mismos, so pena de rechazo. </w:t>
      </w:r>
      <w:r>
        <w:rPr>
          <w:rFonts w:ascii="Arial" w:eastAsia="Calibri" w:hAnsi="Arial" w:cs="Arial"/>
          <w:color w:val="000000" w:themeColor="text1"/>
          <w:sz w:val="22"/>
          <w:lang w:val="es-ES_tradnl"/>
        </w:rPr>
        <w:t>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y organizacional, así como la clasificación del proponente</w:t>
      </w:r>
      <w:r>
        <w:rPr>
          <w:rStyle w:val="Refdenotaalpie"/>
          <w:rFonts w:ascii="Arial" w:eastAsia="Calibri" w:hAnsi="Arial" w:cs="Arial"/>
          <w:color w:val="000000" w:themeColor="text1"/>
          <w:sz w:val="22"/>
          <w:lang w:val="es-ES_tradnl"/>
        </w:rPr>
        <w:footnoteReference w:id="1"/>
      </w:r>
      <w:r>
        <w:rPr>
          <w:rFonts w:ascii="Arial" w:eastAsia="Calibri" w:hAnsi="Arial" w:cs="Arial"/>
          <w:color w:val="000000" w:themeColor="text1"/>
          <w:sz w:val="22"/>
          <w:lang w:val="es-ES_tradnl"/>
        </w:rPr>
        <w:t xml:space="preserve">. De la misma manera es </w:t>
      </w:r>
      <w:r>
        <w:rPr>
          <w:rFonts w:ascii="Arial" w:eastAsia="Calibri" w:hAnsi="Arial" w:cs="Arial"/>
          <w:color w:val="000000" w:themeColor="text1"/>
          <w:sz w:val="22"/>
          <w:lang w:val="es-ES_tradnl"/>
        </w:rPr>
        <w:lastRenderedPageBreak/>
        <w:t>pertinente mencionar que existen determinados procesos donde se excepciona el mencionado registro y la clasificación del proponente, siendo estos los siguientes: contratación directa, contratos para la prestación de servicios de salud, contratos de mínima cuantía, entre otros, conforme al artículo 6 de la Ley 1150 de 2007</w:t>
      </w:r>
      <w:r>
        <w:rPr>
          <w:rStyle w:val="Refdenotaalpie"/>
          <w:rFonts w:ascii="Arial" w:eastAsia="Calibri" w:hAnsi="Arial" w:cs="Arial"/>
          <w:color w:val="000000" w:themeColor="text1"/>
          <w:sz w:val="22"/>
          <w:lang w:val="es-ES_tradnl"/>
        </w:rPr>
        <w:footnoteReference w:id="2"/>
      </w:r>
      <w:r>
        <w:rPr>
          <w:rFonts w:ascii="Arial" w:eastAsia="Calibri" w:hAnsi="Arial" w:cs="Arial"/>
          <w:color w:val="000000" w:themeColor="text1"/>
          <w:sz w:val="22"/>
          <w:lang w:val="es-ES_tradnl"/>
        </w:rPr>
        <w:t xml:space="preserve">. </w:t>
      </w:r>
    </w:p>
    <w:p w14:paraId="0B75A50E" w14:textId="77777777" w:rsidR="00F53DBD" w:rsidRDefault="00F53DBD" w:rsidP="00F53DBD">
      <w:pPr>
        <w:spacing w:before="120" w:after="120" w:line="276" w:lineRule="auto"/>
        <w:ind w:firstLine="567"/>
        <w:jc w:val="both"/>
        <w:rPr>
          <w:rFonts w:ascii="Arial" w:eastAsia="Calibri" w:hAnsi="Arial" w:cs="Arial"/>
          <w:color w:val="000000"/>
          <w:sz w:val="22"/>
          <w:highlight w:val="yellow"/>
          <w:lang w:eastAsia="es-ES_tradnl"/>
        </w:rPr>
      </w:pPr>
      <w:r>
        <w:rPr>
          <w:rFonts w:ascii="Arial" w:eastAsia="Calibri" w:hAnsi="Arial" w:cs="Arial"/>
          <w:color w:val="000000"/>
          <w:sz w:val="22"/>
        </w:rPr>
        <w:t>Dentro de los requisitos habilitantes se destaca la capacidad financiera y organizacional del proponente. Al respecto, la entidad, como responsable de la estructuración de su procedimiento de selección, es autónoma para requerir la capacidad financiera y la capacidad organizacional necesaria de acuerdo con el objeto contractual que se pretende satisfacer. Según el artículo 2.2.1.1.1.6.2 del Decreto 1082 de 2015, la entidad debe tener en cuenta, para la determinación de la capacidad financiera y organizacional, el estudio del sector y sus componentes como la identificación de riesgos y el mercado y precio del bien, obra o servicio a contratar</w:t>
      </w:r>
      <w:r>
        <w:rPr>
          <w:rFonts w:ascii="Arial" w:eastAsia="Calibri" w:hAnsi="Arial" w:cs="Arial"/>
          <w:color w:val="000000"/>
          <w:sz w:val="22"/>
          <w:vertAlign w:val="superscript"/>
        </w:rPr>
        <w:footnoteReference w:id="3"/>
      </w:r>
      <w:r>
        <w:rPr>
          <w:rFonts w:ascii="Arial" w:eastAsia="Calibri" w:hAnsi="Arial" w:cs="Arial"/>
          <w:color w:val="000000"/>
          <w:sz w:val="22"/>
        </w:rPr>
        <w:t>.</w:t>
      </w:r>
    </w:p>
    <w:p w14:paraId="3B49D431" w14:textId="77777777" w:rsidR="00F53DBD" w:rsidRDefault="00F53DBD" w:rsidP="00F53DBD">
      <w:pPr>
        <w:spacing w:before="120" w:after="120" w:line="276" w:lineRule="auto"/>
        <w:ind w:firstLine="708"/>
        <w:jc w:val="both"/>
        <w:rPr>
          <w:rFonts w:ascii="Arial" w:eastAsia="Calibri" w:hAnsi="Arial" w:cs="Arial"/>
          <w:color w:val="000000"/>
          <w:sz w:val="22"/>
          <w:lang w:val="es-ES_tradnl"/>
        </w:rPr>
      </w:pPr>
      <w:r>
        <w:rPr>
          <w:rFonts w:ascii="Arial" w:eastAsia="Calibri" w:hAnsi="Arial" w:cs="Arial"/>
          <w:color w:val="000000"/>
          <w:sz w:val="22"/>
        </w:rPr>
        <w:t xml:space="preserve">La capacidad financiera se deriva del comportamiento contable de la empresa, su liquidez y endeudamiento, para determinar que sus recursos y solidez financiera le permita cumplir los compromisos que adquiera. </w:t>
      </w:r>
      <w:r>
        <w:rPr>
          <w:rFonts w:ascii="Arial" w:eastAsia="Calibri" w:hAnsi="Arial" w:cs="Arial"/>
          <w:color w:val="000000"/>
          <w:sz w:val="22"/>
          <w:lang w:val="es-ES_tradnl"/>
        </w:rPr>
        <w:t>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Pr>
          <w:rFonts w:ascii="Arial" w:eastAsia="Calibri" w:hAnsi="Arial" w:cs="Arial"/>
          <w:color w:val="000000"/>
          <w:sz w:val="22"/>
          <w:vertAlign w:val="superscript"/>
          <w:lang w:val="es-ES_tradnl"/>
        </w:rPr>
        <w:footnoteReference w:id="4"/>
      </w:r>
      <w:r>
        <w:rPr>
          <w:rFonts w:ascii="Arial" w:eastAsia="Calibri" w:hAnsi="Arial" w:cs="Arial"/>
          <w:color w:val="000000"/>
          <w:sz w:val="22"/>
          <w:lang w:val="es-ES_tradnl"/>
        </w:rPr>
        <w:t xml:space="preserve">. La capacidad organizacional, por su parte, «[…] es la aptitud de un proponente para cumplir </w:t>
      </w:r>
      <w:r>
        <w:rPr>
          <w:rFonts w:ascii="Arial" w:eastAsia="Calibri" w:hAnsi="Arial" w:cs="Arial"/>
          <w:color w:val="000000"/>
          <w:sz w:val="22"/>
          <w:lang w:val="es-ES_tradnl"/>
        </w:rPr>
        <w:lastRenderedPageBreak/>
        <w:t>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Pr>
          <w:rFonts w:ascii="Arial" w:eastAsia="Calibri" w:hAnsi="Arial" w:cs="Arial"/>
          <w:color w:val="000000"/>
          <w:sz w:val="22"/>
          <w:vertAlign w:val="superscript"/>
          <w:lang w:val="es-ES_tradnl"/>
        </w:rPr>
        <w:footnoteReference w:id="5"/>
      </w:r>
      <w:r>
        <w:rPr>
          <w:rFonts w:ascii="Arial" w:eastAsia="Calibri" w:hAnsi="Arial" w:cs="Arial"/>
          <w:color w:val="000000"/>
          <w:sz w:val="22"/>
          <w:lang w:val="es-ES_tradnl"/>
        </w:rPr>
        <w:t xml:space="preserve">. </w:t>
      </w:r>
    </w:p>
    <w:p w14:paraId="1A5E27EE" w14:textId="77777777" w:rsidR="00F53DBD" w:rsidRDefault="00F53DBD" w:rsidP="00F53DBD">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Respecto a la capacidad financiera, esta debe acreditarse en el RUP con los estados financieros del proponente, suscritos por el representante legal y el revisor fiscal, si cuenta con tales documentos. De este modo, lo que se verifica con el registro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del artículo 2.2.1.1.1.5.3 del Decreto 1082 de 2015.</w:t>
      </w:r>
    </w:p>
    <w:p w14:paraId="292E9DEB" w14:textId="77777777" w:rsidR="00F53DBD" w:rsidRDefault="00F53DBD" w:rsidP="00F53DBD">
      <w:pPr>
        <w:spacing w:before="120" w:after="120" w:line="276" w:lineRule="auto"/>
        <w:ind w:firstLine="708"/>
        <w:jc w:val="both"/>
        <w:rPr>
          <w:rFonts w:ascii="Arial" w:eastAsia="Calibri" w:hAnsi="Arial" w:cs="Arial"/>
          <w:color w:val="000000"/>
          <w:sz w:val="22"/>
          <w:lang w:val="es-ES_tradnl"/>
        </w:rPr>
      </w:pPr>
      <w:r>
        <w:rPr>
          <w:rFonts w:ascii="Arial" w:eastAsia="Calibri" w:hAnsi="Arial" w:cs="Arial"/>
          <w:color w:val="000000"/>
          <w:sz w:val="22"/>
          <w:lang w:val="es-ES_tradnl"/>
        </w:rPr>
        <w:t>La Agencia Nacional de Contratación Pública – Colombia Compra Eficiente puso a disposición de los interesados el «Manual para determinar y verificar los requisitos habilitantes en los procesos de contratación». En dicho Manual se plantean definiciones para cada requisito habilitante y se indican lineamientos orientadores que las entidades pueden considerar para establecerlos, en este caso, para exigir la capacidad financiera y la capacidad organizacional. En ese sentido, la capacidad financiera que la entidad requiera para un proceso de contratación debe ser adecuada y proporcional a la naturaleza y al valor del contrato. Además, los requisitos de capacidad financiera deben ser establecidos con fundamento en los Estudios del Sector.</w:t>
      </w:r>
    </w:p>
    <w:p w14:paraId="7C6D0CA5" w14:textId="77777777" w:rsidR="00F53DBD" w:rsidRDefault="00F53DBD" w:rsidP="00F53DBD">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 xml:space="preserve">En atención a la naturaleza del contrato a suscribir y su valor, plazo y forma de pago, la entidad debe usar los indicadores que considere adecuados respecto del objeto del proceso de contratación, para lo cual no es suficiente la aplicación mecánica de fórmulas financieras, pues deben conocer cada indicador, sus fórmulas de cálculo y su interpretación. Según el artículo 2.2.1.1.1.5.3. del Decreto 1082 de 2015, son indicadores de la capacidad financiera los siguientes: i) el </w:t>
      </w:r>
      <w:r>
        <w:rPr>
          <w:rFonts w:ascii="Arial" w:eastAsia="Calibri" w:hAnsi="Arial" w:cs="Arial"/>
          <w:i/>
          <w:iCs/>
          <w:color w:val="000000"/>
          <w:sz w:val="22"/>
          <w:lang w:val="es-ES_tradnl"/>
        </w:rPr>
        <w:t>índice de liquidez</w:t>
      </w:r>
      <w:r>
        <w:rPr>
          <w:rFonts w:ascii="Arial" w:eastAsia="Calibri" w:hAnsi="Arial" w:cs="Arial"/>
          <w:color w:val="000000"/>
          <w:sz w:val="22"/>
          <w:lang w:val="es-ES_tradnl"/>
        </w:rPr>
        <w:t xml:space="preserve">, que corresponde a la división entre el activo corriente y el pasivo corriente, y que determina la capacidad que tiene el proponente para cumplir con sus obligaciones de corto plazo; </w:t>
      </w:r>
      <w:proofErr w:type="spellStart"/>
      <w:r>
        <w:rPr>
          <w:rFonts w:ascii="Arial" w:eastAsia="Calibri" w:hAnsi="Arial" w:cs="Arial"/>
          <w:color w:val="000000"/>
          <w:sz w:val="22"/>
          <w:lang w:val="es-ES_tradnl"/>
        </w:rPr>
        <w:t>ii</w:t>
      </w:r>
      <w:proofErr w:type="spellEnd"/>
      <w:r>
        <w:rPr>
          <w:rFonts w:ascii="Arial" w:eastAsia="Calibri" w:hAnsi="Arial" w:cs="Arial"/>
          <w:color w:val="000000"/>
          <w:sz w:val="22"/>
          <w:lang w:val="es-ES_tradnl"/>
        </w:rPr>
        <w:t xml:space="preserve">) el </w:t>
      </w:r>
      <w:r>
        <w:rPr>
          <w:rFonts w:ascii="Arial" w:eastAsia="Calibri" w:hAnsi="Arial" w:cs="Arial"/>
          <w:i/>
          <w:iCs/>
          <w:color w:val="000000"/>
          <w:sz w:val="22"/>
          <w:lang w:val="es-ES_tradnl"/>
        </w:rPr>
        <w:t>índice de endeudamiento</w:t>
      </w:r>
      <w:r>
        <w:rPr>
          <w:rFonts w:ascii="Arial" w:eastAsia="Calibri" w:hAnsi="Arial" w:cs="Arial"/>
          <w:color w:val="000000"/>
          <w:sz w:val="22"/>
          <w:lang w:val="es-ES_tradnl"/>
        </w:rPr>
        <w:t xml:space="preserve">, que se calcula dividiendo el pasivo total por el activo total, el cual determina el grado de endeudamiento en la estructura de financiación del proponente; y </w:t>
      </w:r>
      <w:proofErr w:type="spellStart"/>
      <w:r>
        <w:rPr>
          <w:rFonts w:ascii="Arial" w:eastAsia="Calibri" w:hAnsi="Arial" w:cs="Arial"/>
          <w:color w:val="000000"/>
          <w:sz w:val="22"/>
          <w:lang w:val="es-ES_tradnl"/>
        </w:rPr>
        <w:t>iii</w:t>
      </w:r>
      <w:proofErr w:type="spellEnd"/>
      <w:r>
        <w:rPr>
          <w:rFonts w:ascii="Arial" w:eastAsia="Calibri" w:hAnsi="Arial" w:cs="Arial"/>
          <w:color w:val="000000"/>
          <w:sz w:val="22"/>
          <w:lang w:val="es-ES_tradnl"/>
        </w:rPr>
        <w:t xml:space="preserve">) la </w:t>
      </w:r>
      <w:r>
        <w:rPr>
          <w:rFonts w:ascii="Arial" w:eastAsia="Calibri" w:hAnsi="Arial" w:cs="Arial"/>
          <w:i/>
          <w:iCs/>
          <w:color w:val="000000"/>
          <w:sz w:val="22"/>
          <w:lang w:val="es-ES_tradnl"/>
        </w:rPr>
        <w:t>razón de cobertura de intereses</w:t>
      </w:r>
      <w:r>
        <w:rPr>
          <w:rFonts w:ascii="Arial" w:eastAsia="Calibri" w:hAnsi="Arial" w:cs="Arial"/>
          <w:color w:val="000000"/>
          <w:sz w:val="22"/>
          <w:lang w:val="es-ES_tradnl"/>
        </w:rPr>
        <w:t xml:space="preserve">, que es igual a la utilidad operacional, sobre los gastos de intereses, y que refleja la capacidad del proponente para cumplir con sus obligaciones financieras. Adicionalmente, la Agencia Nacional de Contratación Pública – Colombia Compra Eficiente recomienda valorar otro tipo </w:t>
      </w:r>
      <w:r>
        <w:rPr>
          <w:rFonts w:ascii="Arial" w:eastAsia="Calibri" w:hAnsi="Arial" w:cs="Arial"/>
          <w:color w:val="000000"/>
          <w:sz w:val="22"/>
          <w:lang w:val="es-ES_tradnl"/>
        </w:rPr>
        <w:lastRenderedPageBreak/>
        <w:t xml:space="preserve">de indicadores como el </w:t>
      </w:r>
      <w:r>
        <w:rPr>
          <w:rFonts w:ascii="Arial" w:eastAsia="Calibri" w:hAnsi="Arial" w:cs="Arial"/>
          <w:i/>
          <w:iCs/>
          <w:color w:val="000000"/>
          <w:sz w:val="22"/>
          <w:lang w:val="es-ES_tradnl"/>
        </w:rPr>
        <w:t>capital de trabajo</w:t>
      </w:r>
      <w:r>
        <w:rPr>
          <w:rFonts w:ascii="Arial" w:eastAsia="Calibri" w:hAnsi="Arial" w:cs="Arial"/>
          <w:color w:val="000000"/>
          <w:sz w:val="22"/>
          <w:lang w:val="es-ES_tradnl"/>
        </w:rPr>
        <w:t xml:space="preserve">, la </w:t>
      </w:r>
      <w:r>
        <w:rPr>
          <w:rFonts w:ascii="Arial" w:eastAsia="Calibri" w:hAnsi="Arial" w:cs="Arial"/>
          <w:i/>
          <w:iCs/>
          <w:color w:val="000000"/>
          <w:sz w:val="22"/>
          <w:lang w:val="es-ES_tradnl"/>
        </w:rPr>
        <w:t>razón de efectivo</w:t>
      </w:r>
      <w:r>
        <w:rPr>
          <w:rFonts w:ascii="Arial" w:eastAsia="Calibri" w:hAnsi="Arial" w:cs="Arial"/>
          <w:color w:val="000000"/>
          <w:sz w:val="22"/>
          <w:lang w:val="es-ES_tradnl"/>
        </w:rPr>
        <w:t xml:space="preserve">, la denominada </w:t>
      </w:r>
      <w:r>
        <w:rPr>
          <w:rFonts w:ascii="Arial" w:eastAsia="Calibri" w:hAnsi="Arial" w:cs="Arial"/>
          <w:i/>
          <w:iCs/>
          <w:color w:val="000000"/>
          <w:sz w:val="22"/>
          <w:lang w:val="es-ES_tradnl"/>
        </w:rPr>
        <w:t>prueba ácida</w:t>
      </w:r>
      <w:r>
        <w:rPr>
          <w:rFonts w:ascii="Arial" w:eastAsia="Calibri" w:hAnsi="Arial" w:cs="Arial"/>
          <w:color w:val="000000"/>
          <w:sz w:val="22"/>
          <w:vertAlign w:val="superscript"/>
          <w:lang w:val="es-ES_tradnl"/>
        </w:rPr>
        <w:footnoteReference w:id="6"/>
      </w:r>
      <w:r>
        <w:rPr>
          <w:rFonts w:ascii="Arial" w:eastAsia="Calibri" w:hAnsi="Arial" w:cs="Arial"/>
          <w:color w:val="000000"/>
          <w:sz w:val="22"/>
          <w:lang w:val="es-ES_tradnl"/>
        </w:rPr>
        <w:t xml:space="preserve">, la </w:t>
      </w:r>
      <w:r>
        <w:rPr>
          <w:rFonts w:ascii="Arial" w:eastAsia="Calibri" w:hAnsi="Arial" w:cs="Arial"/>
          <w:i/>
          <w:iCs/>
          <w:color w:val="000000"/>
          <w:sz w:val="22"/>
          <w:lang w:val="es-ES_tradnl"/>
        </w:rPr>
        <w:t xml:space="preserve">concentración de endeudamiento a corto </w:t>
      </w:r>
      <w:r>
        <w:rPr>
          <w:rFonts w:ascii="Arial" w:eastAsia="Calibri" w:hAnsi="Arial" w:cs="Arial"/>
          <w:color w:val="000000"/>
          <w:sz w:val="22"/>
          <w:lang w:val="es-ES_tradnl"/>
        </w:rPr>
        <w:t>y</w:t>
      </w:r>
      <w:r>
        <w:rPr>
          <w:rFonts w:ascii="Arial" w:eastAsia="Calibri" w:hAnsi="Arial" w:cs="Arial"/>
          <w:i/>
          <w:iCs/>
          <w:color w:val="000000"/>
          <w:sz w:val="22"/>
          <w:lang w:val="es-ES_tradnl"/>
        </w:rPr>
        <w:t xml:space="preserve"> a largo plazo</w:t>
      </w:r>
      <w:r>
        <w:rPr>
          <w:rFonts w:ascii="Arial" w:eastAsia="Calibri" w:hAnsi="Arial" w:cs="Arial"/>
          <w:color w:val="000000"/>
          <w:sz w:val="22"/>
          <w:lang w:val="es-ES_tradnl"/>
        </w:rPr>
        <w:t xml:space="preserve"> y el </w:t>
      </w:r>
      <w:r>
        <w:rPr>
          <w:rFonts w:ascii="Arial" w:eastAsia="Calibri" w:hAnsi="Arial" w:cs="Arial"/>
          <w:i/>
          <w:iCs/>
          <w:color w:val="000000"/>
          <w:sz w:val="22"/>
          <w:lang w:val="es-ES_tradnl"/>
        </w:rPr>
        <w:t>patrimonio</w:t>
      </w:r>
      <w:r>
        <w:rPr>
          <w:rStyle w:val="Refdenotaalpie"/>
          <w:rFonts w:ascii="Arial" w:eastAsia="Calibri" w:hAnsi="Arial" w:cs="Arial"/>
          <w:i/>
          <w:iCs/>
          <w:color w:val="000000"/>
          <w:sz w:val="22"/>
          <w:lang w:val="es-ES_tradnl"/>
        </w:rPr>
        <w:footnoteReference w:id="7"/>
      </w:r>
      <w:r>
        <w:rPr>
          <w:rFonts w:ascii="Arial" w:eastAsia="Calibri" w:hAnsi="Arial" w:cs="Arial"/>
          <w:color w:val="000000"/>
          <w:sz w:val="22"/>
          <w:lang w:val="es-ES_tradnl"/>
        </w:rPr>
        <w:t>.</w:t>
      </w:r>
    </w:p>
    <w:p w14:paraId="7E8B12B2" w14:textId="77777777" w:rsidR="00F53DBD" w:rsidRDefault="00F53DBD" w:rsidP="00F53DBD">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 xml:space="preserve">La </w:t>
      </w:r>
      <w:r>
        <w:rPr>
          <w:rFonts w:ascii="Arial" w:eastAsia="Calibri" w:hAnsi="Arial" w:cs="Arial"/>
          <w:bCs/>
          <w:i/>
          <w:iCs/>
          <w:color w:val="000000"/>
          <w:sz w:val="22"/>
          <w:lang w:val="es-ES_tradnl"/>
        </w:rPr>
        <w:t>capacidad de organización</w:t>
      </w:r>
      <w:r>
        <w:rPr>
          <w:rFonts w:ascii="Arial" w:eastAsia="Calibri" w:hAnsi="Arial" w:cs="Arial"/>
          <w:color w:val="000000"/>
          <w:sz w:val="22"/>
          <w:lang w:val="es-ES_tradnl"/>
        </w:rPr>
        <w:t xml:space="preserve">, según el «Manual para determinar y verificar los requisitos habilitantes en los Procesos de Contratación», elaborado por esta Agencia, 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Pr>
          <w:rFonts w:ascii="Arial" w:eastAsia="Calibri" w:hAnsi="Arial" w:cs="Arial"/>
          <w:i/>
          <w:iCs/>
          <w:color w:val="000000"/>
          <w:sz w:val="22"/>
          <w:lang w:val="es-ES_tradnl"/>
        </w:rPr>
        <w:t>rentabilidad del patrimonio</w:t>
      </w:r>
      <w:r>
        <w:rPr>
          <w:rFonts w:ascii="Arial" w:eastAsia="Calibri" w:hAnsi="Arial" w:cs="Arial"/>
          <w:color w:val="000000"/>
          <w:sz w:val="22"/>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Pr>
          <w:rFonts w:ascii="Arial" w:eastAsia="Calibri" w:hAnsi="Arial" w:cs="Arial"/>
          <w:i/>
          <w:iCs/>
          <w:color w:val="000000"/>
          <w:sz w:val="22"/>
          <w:lang w:val="es-ES_tradnl"/>
        </w:rPr>
        <w:t>rentabilidad del activo</w:t>
      </w:r>
      <w:r>
        <w:rPr>
          <w:rFonts w:ascii="Arial" w:eastAsia="Calibri" w:hAnsi="Arial" w:cs="Arial"/>
          <w:color w:val="000000"/>
          <w:sz w:val="22"/>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38592123" w14:textId="77777777" w:rsidR="00F53DBD" w:rsidRDefault="00F53DBD" w:rsidP="00F53DBD">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 xml:space="preserve">A juicio de esta Agencia, también son relevantes los siguientes indicadores, pero únicamente en aquellos casos en los que, por las características del objeto a contratar, la naturaleza o la complejidad del proceso de contratación, se requieran: i) margen bruto; </w:t>
      </w:r>
      <w:proofErr w:type="spellStart"/>
      <w:r>
        <w:rPr>
          <w:rFonts w:ascii="Arial" w:eastAsia="Calibri" w:hAnsi="Arial" w:cs="Arial"/>
          <w:color w:val="000000"/>
          <w:sz w:val="22"/>
          <w:lang w:val="es-ES_tradnl"/>
        </w:rPr>
        <w:t>ii</w:t>
      </w:r>
      <w:proofErr w:type="spellEnd"/>
      <w:r>
        <w:rPr>
          <w:rFonts w:ascii="Arial" w:eastAsia="Calibri" w:hAnsi="Arial" w:cs="Arial"/>
          <w:color w:val="000000"/>
          <w:sz w:val="22"/>
          <w:lang w:val="es-ES_tradnl"/>
        </w:rPr>
        <w:t xml:space="preserve">) margen operacional; </w:t>
      </w:r>
      <w:proofErr w:type="spellStart"/>
      <w:r>
        <w:rPr>
          <w:rFonts w:ascii="Arial" w:eastAsia="Calibri" w:hAnsi="Arial" w:cs="Arial"/>
          <w:color w:val="000000"/>
          <w:sz w:val="22"/>
          <w:lang w:val="es-ES_tradnl"/>
        </w:rPr>
        <w:t>iii</w:t>
      </w:r>
      <w:proofErr w:type="spellEnd"/>
      <w:r>
        <w:rPr>
          <w:rFonts w:ascii="Arial" w:eastAsia="Calibri" w:hAnsi="Arial" w:cs="Arial"/>
          <w:color w:val="000000"/>
          <w:sz w:val="22"/>
          <w:lang w:val="es-ES_tradnl"/>
        </w:rPr>
        <w:t xml:space="preserve">) margen neto; </w:t>
      </w:r>
      <w:proofErr w:type="spellStart"/>
      <w:r>
        <w:rPr>
          <w:rFonts w:ascii="Arial" w:eastAsia="Calibri" w:hAnsi="Arial" w:cs="Arial"/>
          <w:color w:val="000000"/>
          <w:sz w:val="22"/>
          <w:lang w:val="es-ES_tradnl"/>
        </w:rPr>
        <w:t>iv</w:t>
      </w:r>
      <w:proofErr w:type="spellEnd"/>
      <w:r>
        <w:rPr>
          <w:rFonts w:ascii="Arial" w:eastAsia="Calibri" w:hAnsi="Arial" w:cs="Arial"/>
          <w:color w:val="000000"/>
          <w:sz w:val="22"/>
          <w:lang w:val="es-ES_tradnl"/>
        </w:rPr>
        <w:t xml:space="preserve">) retorno sobre capital invertido; v) rotación de activos totales; vi) rotación de activos fijos; y </w:t>
      </w:r>
      <w:proofErr w:type="spellStart"/>
      <w:r>
        <w:rPr>
          <w:rFonts w:ascii="Arial" w:eastAsia="Calibri" w:hAnsi="Arial" w:cs="Arial"/>
          <w:color w:val="000000"/>
          <w:sz w:val="22"/>
          <w:lang w:val="es-ES_tradnl"/>
        </w:rPr>
        <w:t>vii</w:t>
      </w:r>
      <w:proofErr w:type="spellEnd"/>
      <w:r>
        <w:rPr>
          <w:rFonts w:ascii="Arial" w:eastAsia="Calibri" w:hAnsi="Arial" w:cs="Arial"/>
          <w:color w:val="000000"/>
          <w:sz w:val="22"/>
          <w:lang w:val="es-ES_tradnl"/>
        </w:rPr>
        <w:t>) rotación de inventarios</w:t>
      </w:r>
      <w:r>
        <w:rPr>
          <w:rStyle w:val="Refdenotaalpie"/>
          <w:rFonts w:ascii="Arial" w:eastAsia="Calibri" w:hAnsi="Arial" w:cs="Arial"/>
          <w:color w:val="000000"/>
          <w:sz w:val="22"/>
          <w:lang w:val="es-ES_tradnl"/>
        </w:rPr>
        <w:footnoteReference w:id="8"/>
      </w:r>
      <w:r>
        <w:rPr>
          <w:rFonts w:ascii="Arial" w:eastAsia="Calibri" w:hAnsi="Arial" w:cs="Arial"/>
          <w:color w:val="000000"/>
          <w:sz w:val="22"/>
          <w:lang w:val="es-ES_tradnl"/>
        </w:rPr>
        <w:t>.</w:t>
      </w:r>
    </w:p>
    <w:p w14:paraId="4E5919E6" w14:textId="77777777" w:rsidR="00F53DBD" w:rsidRDefault="00F53DBD" w:rsidP="00F53DBD">
      <w:pPr>
        <w:spacing w:before="120" w:line="276" w:lineRule="auto"/>
        <w:ind w:firstLine="708"/>
        <w:jc w:val="both"/>
        <w:rPr>
          <w:rFonts w:ascii="Arial" w:eastAsia="Calibri" w:hAnsi="Arial" w:cs="Arial"/>
          <w:color w:val="000000"/>
          <w:sz w:val="22"/>
          <w:lang w:val="es-ES_tradnl"/>
        </w:rPr>
      </w:pPr>
      <w:r>
        <w:rPr>
          <w:rFonts w:ascii="Arial" w:eastAsia="Calibri" w:hAnsi="Arial" w:cs="Arial"/>
          <w:color w:val="000000"/>
          <w:sz w:val="22"/>
          <w:lang w:val="es-ES_tradnl"/>
        </w:rPr>
        <w:t>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Pr>
          <w:rFonts w:ascii="Arial" w:eastAsia="Calibri" w:hAnsi="Arial" w:cs="Arial"/>
          <w:color w:val="000000"/>
          <w:sz w:val="22"/>
          <w:vertAlign w:val="superscript"/>
          <w:lang w:val="es-ES_tradnl"/>
        </w:rPr>
        <w:footnoteReference w:id="9"/>
      </w:r>
      <w:r>
        <w:rPr>
          <w:rFonts w:ascii="Arial" w:eastAsia="Calibri" w:hAnsi="Arial" w:cs="Arial"/>
          <w:color w:val="000000"/>
          <w:sz w:val="22"/>
          <w:lang w:val="es-ES_tradnl"/>
        </w:rPr>
        <w:t xml:space="preserve">. </w:t>
      </w:r>
      <w:r>
        <w:rPr>
          <w:rFonts w:ascii="Arial" w:eastAsia="Calibri" w:hAnsi="Arial" w:cs="Arial"/>
          <w:color w:val="000000"/>
          <w:sz w:val="22"/>
          <w:lang w:val="es-ES_tradnl"/>
        </w:rPr>
        <w:lastRenderedPageBreak/>
        <w:t xml:space="preserve">Igualmente, la capacidad organizacional se mide mediante los siguientes indicadores: i) rentabilidad del patrimonio y </w:t>
      </w:r>
      <w:proofErr w:type="spellStart"/>
      <w:r>
        <w:rPr>
          <w:rFonts w:ascii="Arial" w:eastAsia="Calibri" w:hAnsi="Arial" w:cs="Arial"/>
          <w:color w:val="000000"/>
          <w:sz w:val="22"/>
          <w:lang w:val="es-ES_tradnl"/>
        </w:rPr>
        <w:t>ii</w:t>
      </w:r>
      <w:proofErr w:type="spellEnd"/>
      <w:r>
        <w:rPr>
          <w:rFonts w:ascii="Arial" w:eastAsia="Calibri" w:hAnsi="Arial" w:cs="Arial"/>
          <w:color w:val="000000"/>
          <w:sz w:val="22"/>
          <w:lang w:val="es-ES_tradnl"/>
        </w:rPr>
        <w:t>)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Pr>
          <w:rFonts w:ascii="Arial" w:eastAsia="Calibri" w:hAnsi="Arial" w:cs="Arial"/>
          <w:color w:val="000000"/>
          <w:sz w:val="22"/>
          <w:vertAlign w:val="superscript"/>
          <w:lang w:val="es-ES_tradnl"/>
        </w:rPr>
        <w:footnoteReference w:id="10"/>
      </w:r>
      <w:r>
        <w:rPr>
          <w:rFonts w:ascii="Arial" w:eastAsia="Calibri" w:hAnsi="Arial" w:cs="Arial"/>
          <w:color w:val="000000"/>
          <w:sz w:val="22"/>
          <w:lang w:val="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4B4372C2" w14:textId="77777777" w:rsidR="00F53DBD" w:rsidRDefault="00F53DBD" w:rsidP="00F53DBD">
      <w:pPr>
        <w:spacing w:line="276" w:lineRule="auto"/>
        <w:jc w:val="both"/>
        <w:rPr>
          <w:rFonts w:ascii="Arial" w:eastAsia="Calibri" w:hAnsi="Arial" w:cs="Arial"/>
          <w:b/>
          <w:bCs/>
          <w:color w:val="000000" w:themeColor="text1"/>
          <w:sz w:val="22"/>
          <w:lang w:val="es-ES_tradnl"/>
        </w:rPr>
      </w:pPr>
    </w:p>
    <w:p w14:paraId="75964D06" w14:textId="0FCF7DBA" w:rsidR="00F53DBD" w:rsidRDefault="00F53DBD" w:rsidP="00F53DBD">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2.</w:t>
      </w:r>
      <w:r w:rsidR="00B31040">
        <w:rPr>
          <w:rFonts w:ascii="Arial" w:eastAsia="Calibri" w:hAnsi="Arial" w:cs="Arial"/>
          <w:b/>
          <w:bCs/>
          <w:color w:val="000000" w:themeColor="text1"/>
          <w:sz w:val="22"/>
          <w:lang w:val="es-ES_tradnl"/>
        </w:rPr>
        <w:t>2</w:t>
      </w:r>
      <w:r>
        <w:rPr>
          <w:rFonts w:ascii="Arial" w:eastAsia="Calibri" w:hAnsi="Arial" w:cs="Arial"/>
          <w:b/>
          <w:bCs/>
          <w:color w:val="000000" w:themeColor="text1"/>
          <w:sz w:val="22"/>
          <w:lang w:val="es-ES_tradnl"/>
        </w:rPr>
        <w:t>. Modificaciones introducidas por los Decretos 399 de 2021 y 579 de 2021, frente a la información del RUP, así como a la verificación de la capacidad financiera y organizacional del proponente</w:t>
      </w:r>
    </w:p>
    <w:p w14:paraId="2215C323" w14:textId="77777777" w:rsidR="00F53DBD" w:rsidRDefault="00F53DBD" w:rsidP="00F53DBD">
      <w:pPr>
        <w:spacing w:line="276" w:lineRule="auto"/>
        <w:jc w:val="both"/>
        <w:rPr>
          <w:rFonts w:ascii="Arial" w:eastAsia="Calibri" w:hAnsi="Arial" w:cs="Arial"/>
          <w:color w:val="000000" w:themeColor="text1"/>
          <w:sz w:val="22"/>
          <w:lang w:val="es-ES_tradnl"/>
        </w:rPr>
      </w:pPr>
    </w:p>
    <w:p w14:paraId="37EBD52E" w14:textId="77777777" w:rsidR="00F53DBD" w:rsidRDefault="00F53DBD" w:rsidP="00F53DBD">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Pr>
          <w:rFonts w:ascii="Arial" w:eastAsia="Calibri" w:hAnsi="Arial" w:cs="Arial"/>
          <w:i/>
          <w:iCs/>
          <w:color w:val="000000" w:themeColor="text1"/>
          <w:sz w:val="22"/>
          <w:lang w:val="es-ES_tradnl"/>
        </w:rPr>
        <w:t>julio</w:t>
      </w:r>
      <w:r>
        <w:rPr>
          <w:rFonts w:ascii="Arial" w:eastAsia="Calibri" w:hAnsi="Arial" w:cs="Arial"/>
          <w:color w:val="000000" w:themeColor="text1"/>
          <w:sz w:val="22"/>
          <w:lang w:val="es-ES_tradnl"/>
        </w:rPr>
        <w:t xml:space="preserve"> de 2021</w:t>
      </w:r>
      <w:r>
        <w:rPr>
          <w:rStyle w:val="Refdenotaalpie"/>
          <w:rFonts w:ascii="Arial" w:eastAsia="Calibri" w:hAnsi="Arial" w:cs="Arial"/>
          <w:color w:val="000000" w:themeColor="text1"/>
          <w:sz w:val="22"/>
          <w:lang w:val="es-ES_tradnl"/>
        </w:rPr>
        <w:footnoteReference w:id="11"/>
      </w:r>
      <w:r>
        <w:rPr>
          <w:rFonts w:ascii="Arial" w:eastAsia="Calibri" w:hAnsi="Arial" w:cs="Arial"/>
          <w:color w:val="000000" w:themeColor="text1"/>
          <w:sz w:val="22"/>
          <w:lang w:val="es-ES_tradnl"/>
        </w:rPr>
        <w:t xml:space="preserve"> las entidades estatales deberán tener en cuenta los datos sobre la capacidad financiera y organizacional de los últimos tres años, consignada en el RUP. Así lo justifica textualmente el reglamento mencionado, en sus consideraciones:</w:t>
      </w:r>
    </w:p>
    <w:p w14:paraId="6D5E19C7" w14:textId="77777777" w:rsidR="00F53DBD" w:rsidRDefault="00F53DBD" w:rsidP="00F53DBD">
      <w:pPr>
        <w:ind w:left="709" w:right="709"/>
        <w:jc w:val="both"/>
        <w:rPr>
          <w:rFonts w:ascii="Arial" w:eastAsia="Calibri" w:hAnsi="Arial" w:cs="Arial"/>
          <w:color w:val="000000" w:themeColor="text1"/>
          <w:sz w:val="21"/>
          <w:szCs w:val="21"/>
          <w:lang w:val="es-ES_tradnl"/>
        </w:rPr>
      </w:pPr>
    </w:p>
    <w:p w14:paraId="520B9213" w14:textId="0970A63A" w:rsidR="00F53DBD" w:rsidRDefault="00F53DBD" w:rsidP="00467AA4">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lastRenderedPageBreak/>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28E36E4A" w14:textId="41A5B3AC" w:rsidR="00F53DBD" w:rsidRDefault="00F53DBD" w:rsidP="00467AA4">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w:t>
      </w:r>
      <w:proofErr w:type="gramStart"/>
      <w:r>
        <w:rPr>
          <w:rFonts w:ascii="Arial" w:eastAsia="Calibri" w:hAnsi="Arial" w:cs="Arial"/>
          <w:color w:val="000000" w:themeColor="text1"/>
          <w:sz w:val="21"/>
          <w:szCs w:val="21"/>
          <w:lang w:val="es-ES_tradnl"/>
        </w:rPr>
        <w:t>sectores</w:t>
      </w:r>
      <w:proofErr w:type="gramEnd"/>
      <w:r>
        <w:rPr>
          <w:rFonts w:ascii="Arial" w:eastAsia="Calibri" w:hAnsi="Arial" w:cs="Arial"/>
          <w:color w:val="000000" w:themeColor="text1"/>
          <w:sz w:val="21"/>
          <w:szCs w:val="21"/>
          <w:lang w:val="es-ES_tradnl"/>
        </w:rPr>
        <w:t xml:space="preserve"> económicos han sufrido efectos negativos a causa de esta.</w:t>
      </w:r>
    </w:p>
    <w:p w14:paraId="154AB87E" w14:textId="0CEA9498" w:rsidR="00F53DBD" w:rsidRDefault="00F53DBD" w:rsidP="00467AA4">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6E9486CC" w14:textId="77777777" w:rsidR="00F53DBD" w:rsidRDefault="00F53DBD" w:rsidP="00F53DBD">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530435D2" w14:textId="77777777" w:rsidR="00F53DBD" w:rsidRDefault="00F53DBD" w:rsidP="00F53DBD">
      <w:pPr>
        <w:spacing w:line="276" w:lineRule="auto"/>
        <w:jc w:val="both"/>
        <w:rPr>
          <w:rFonts w:ascii="Arial" w:eastAsia="Calibri" w:hAnsi="Arial" w:cs="Arial"/>
          <w:color w:val="000000" w:themeColor="text1"/>
          <w:sz w:val="22"/>
          <w:lang w:val="es-ES_tradnl"/>
        </w:rPr>
      </w:pPr>
    </w:p>
    <w:p w14:paraId="6391A0EA" w14:textId="77777777" w:rsidR="00F53DBD" w:rsidRDefault="00F53DBD" w:rsidP="00F53DBD">
      <w:pPr>
        <w:spacing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tal sentido, el artículo 4 del Decreto 399 de 2021 adicionó dos parágrafos transitorios al artículo 2.2.1.1.1.5.2. del Decreto 1082 de 2015, que a su vez fueron sustituidos posteriormente por el artículo 1 del Decreto 579 del 31 de mayo de 2021</w:t>
      </w:r>
      <w:r>
        <w:rPr>
          <w:rStyle w:val="Refdenotaalpie"/>
          <w:rFonts w:ascii="Arial" w:eastAsia="Calibri" w:hAnsi="Arial" w:cs="Arial"/>
          <w:color w:val="000000" w:themeColor="text1"/>
          <w:sz w:val="22"/>
          <w:lang w:val="es-ES_tradnl"/>
        </w:rPr>
        <w:footnoteReference w:id="12"/>
      </w:r>
      <w:r>
        <w:rPr>
          <w:rFonts w:ascii="Arial" w:eastAsia="Calibri" w:hAnsi="Arial" w:cs="Arial"/>
          <w:color w:val="000000" w:themeColor="text1"/>
          <w:sz w:val="22"/>
          <w:lang w:val="es-ES_tradnl"/>
        </w:rPr>
        <w:t xml:space="preserve">. El </w:t>
      </w:r>
      <w:r>
        <w:rPr>
          <w:rFonts w:ascii="Arial" w:eastAsia="Calibri" w:hAnsi="Arial" w:cs="Arial"/>
          <w:color w:val="000000" w:themeColor="text1"/>
          <w:sz w:val="22"/>
          <w:lang w:val="es-ES_tradnl"/>
        </w:rPr>
        <w:lastRenderedPageBreak/>
        <w:t xml:space="preserve">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Además, dicho parágrafo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Pr>
          <w:rFonts w:ascii="Arial" w:eastAsia="Calibri" w:hAnsi="Arial" w:cs="Arial"/>
          <w:color w:val="000000" w:themeColor="text1"/>
          <w:sz w:val="22"/>
          <w:lang w:val="es-ES_tradnl"/>
        </w:rPr>
        <w:t>que</w:t>
      </w:r>
      <w:proofErr w:type="gramEnd"/>
      <w:r>
        <w:rPr>
          <w:rFonts w:ascii="Arial" w:eastAsia="Calibri" w:hAnsi="Arial" w:cs="Arial"/>
          <w:color w:val="000000" w:themeColor="text1"/>
          <w:sz w:val="22"/>
          <w:lang w:val="es-ES_tradnl"/>
        </w:rPr>
        <w:t xml:space="preserve"> si el proponente tiene registrada la información de dichos años en la cámara de comercio, no deberá presentar esta información.</w:t>
      </w:r>
    </w:p>
    <w:p w14:paraId="64D712DD"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El parágrafo transitorio 2 establece </w:t>
      </w:r>
      <w:proofErr w:type="gramStart"/>
      <w:r>
        <w:rPr>
          <w:rFonts w:ascii="Arial" w:eastAsia="Calibri" w:hAnsi="Arial" w:cs="Arial"/>
          <w:color w:val="000000" w:themeColor="text1"/>
          <w:sz w:val="22"/>
          <w:lang w:val="es-ES_tradnl"/>
        </w:rPr>
        <w:t>que</w:t>
      </w:r>
      <w:proofErr w:type="gramEnd"/>
      <w:r>
        <w:rPr>
          <w:rFonts w:ascii="Arial" w:eastAsia="Calibri" w:hAnsi="Arial" w:cs="Arial"/>
          <w:color w:val="000000" w:themeColor="text1"/>
          <w:sz w:val="22"/>
          <w:lang w:val="es-ES_tradnl"/>
        </w:rPr>
        <w:t xml:space="preserve"> en el año 2022, para la inscripción en el RUP o para su renovación, el interesado debe reportar la información contable y los estados financieros, de los tres últimos años fiscales. Además, reitera </w:t>
      </w:r>
      <w:proofErr w:type="gramStart"/>
      <w:r>
        <w:rPr>
          <w:rFonts w:ascii="Arial" w:eastAsia="Calibri" w:hAnsi="Arial" w:cs="Arial"/>
          <w:color w:val="000000" w:themeColor="text1"/>
          <w:sz w:val="22"/>
          <w:lang w:val="es-ES_tradnl"/>
        </w:rPr>
        <w:t>que</w:t>
      </w:r>
      <w:proofErr w:type="gramEnd"/>
      <w:r>
        <w:rPr>
          <w:rFonts w:ascii="Arial" w:eastAsia="Calibri" w:hAnsi="Arial" w:cs="Arial"/>
          <w:color w:val="000000" w:themeColor="text1"/>
          <w:sz w:val="22"/>
          <w:lang w:val="es-ES_tradnl"/>
        </w:rPr>
        <w:t xml:space="preserve"> si aquel no cuenta con la información financiera de dichos años, por no tener la antigüedad suficiente, podrá aportar la información de su primer cierre fiscal. Igualmente, señala </w:t>
      </w:r>
      <w:proofErr w:type="gramStart"/>
      <w:r>
        <w:rPr>
          <w:rFonts w:ascii="Arial" w:eastAsia="Calibri" w:hAnsi="Arial" w:cs="Arial"/>
          <w:color w:val="000000" w:themeColor="text1"/>
          <w:sz w:val="22"/>
          <w:lang w:val="es-ES_tradnl"/>
        </w:rPr>
        <w:t>que</w:t>
      </w:r>
      <w:proofErr w:type="gramEnd"/>
      <w:r>
        <w:rPr>
          <w:rFonts w:ascii="Arial" w:eastAsia="Calibri" w:hAnsi="Arial" w:cs="Arial"/>
          <w:color w:val="000000" w:themeColor="text1"/>
          <w:sz w:val="22"/>
          <w:lang w:val="es-ES_tradnl"/>
        </w:rPr>
        <w:t xml:space="preserve"> si la información del interesado correspondiente a los años 2019 y/o 2020 reposa en la cámara de comercio, no se tendrá que presentar de nuevo, porque conservará firmeza para efectos de su certificación.</w:t>
      </w:r>
    </w:p>
    <w:p w14:paraId="29FB8AAB" w14:textId="0EB2FB02"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Pr>
          <w:rFonts w:ascii="Arial" w:hAnsi="Arial" w:cs="Arial"/>
          <w:sz w:val="22"/>
          <w:lang w:val="es-ES_tradnl"/>
        </w:rPr>
        <w:t xml:space="preserve">[…] </w:t>
      </w:r>
      <w:r>
        <w:rPr>
          <w:rFonts w:ascii="Arial" w:eastAsia="Calibri" w:hAnsi="Arial" w:cs="Arial"/>
          <w:color w:val="000000" w:themeColor="text1"/>
          <w:sz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Pr>
          <w:rFonts w:ascii="Arial" w:hAnsi="Arial" w:cs="Arial"/>
          <w:sz w:val="22"/>
          <w:lang w:val="es-ES_tradnl"/>
        </w:rPr>
        <w:t>c</w:t>
      </w:r>
      <w:r>
        <w:rPr>
          <w:rFonts w:ascii="Arial" w:eastAsia="Calibri" w:hAnsi="Arial" w:cs="Arial"/>
          <w:color w:val="000000" w:themeColor="text1"/>
          <w:sz w:val="22"/>
          <w:lang w:val="es-ES_tradnl"/>
        </w:rPr>
        <w:t xml:space="preserve">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xml:space="preserve">) el índice de </w:t>
      </w:r>
      <w:r>
        <w:rPr>
          <w:rFonts w:ascii="Arial" w:eastAsia="Calibri" w:hAnsi="Arial" w:cs="Arial"/>
          <w:color w:val="000000" w:themeColor="text1"/>
          <w:sz w:val="22"/>
          <w:lang w:val="es-ES_tradnl"/>
        </w:rPr>
        <w:lastRenderedPageBreak/>
        <w:t xml:space="preserve">endeudamiento y </w:t>
      </w:r>
      <w:proofErr w:type="spellStart"/>
      <w:r>
        <w:rPr>
          <w:rFonts w:ascii="Arial" w:eastAsia="Calibri" w:hAnsi="Arial" w:cs="Arial"/>
          <w:color w:val="000000" w:themeColor="text1"/>
          <w:sz w:val="22"/>
          <w:lang w:val="es-ES_tradnl"/>
        </w:rPr>
        <w:t>iii</w:t>
      </w:r>
      <w:proofErr w:type="spellEnd"/>
      <w:r>
        <w:rPr>
          <w:rFonts w:ascii="Arial" w:eastAsia="Calibri" w:hAnsi="Arial" w:cs="Arial"/>
          <w:color w:val="000000" w:themeColor="text1"/>
          <w:sz w:val="22"/>
          <w:lang w:val="es-ES_tradnl"/>
        </w:rPr>
        <w:t xml:space="preserve">) la razón de cobertura de intereses. Los requisitos e indicadores de capacidad organizacional son: i) la rentabilidad del patrimonio y </w:t>
      </w: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la rentabilidad del activo. El segundo parágrafo transitorio establece que «El</w:t>
      </w:r>
      <w:r>
        <w:rPr>
          <w:rFonts w:ascii="Arial" w:hAnsi="Arial" w:cs="Arial"/>
          <w:sz w:val="22"/>
          <w:lang w:val="es-ES_tradnl"/>
        </w:rPr>
        <w:t xml:space="preserve"> </w:t>
      </w:r>
      <w:r>
        <w:rPr>
          <w:rFonts w:ascii="Arial" w:eastAsia="Calibri" w:hAnsi="Arial" w:cs="Arial"/>
          <w:color w:val="000000" w:themeColor="text1"/>
          <w:sz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3203888E"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otro lado, el artículo 6 del Decreto 399 de 2021 adiciona un parágrafo transitorio –sustituido después por el artículo 3 del Decreto 579 de 2021– al artículo 2.2.1.1.1.6.2. del Decreto 1082 de 2015</w:t>
      </w:r>
      <w:r>
        <w:rPr>
          <w:rStyle w:val="Refdenotaalpie"/>
          <w:rFonts w:ascii="Arial" w:eastAsia="Calibri" w:hAnsi="Arial" w:cs="Arial"/>
          <w:color w:val="000000" w:themeColor="text1"/>
          <w:sz w:val="22"/>
          <w:lang w:val="es-ES_tradnl"/>
        </w:rPr>
        <w:footnoteReference w:id="13"/>
      </w:r>
      <w:r>
        <w:rPr>
          <w:rFonts w:ascii="Arial" w:eastAsia="Calibri" w:hAnsi="Arial" w:cs="Arial"/>
          <w:color w:val="000000" w:themeColor="text1"/>
          <w:sz w:val="22"/>
          <w:lang w:val="es-ES_tradnl"/>
        </w:rPr>
        <w:t>, con el siguiente contenido:</w:t>
      </w:r>
    </w:p>
    <w:p w14:paraId="4C9A7F89" w14:textId="77777777" w:rsidR="00F53DBD" w:rsidRDefault="00F53DBD" w:rsidP="00F53DBD">
      <w:pPr>
        <w:ind w:left="709" w:right="709"/>
        <w:jc w:val="both"/>
        <w:rPr>
          <w:rFonts w:ascii="Arial" w:eastAsia="Calibri" w:hAnsi="Arial" w:cs="Arial"/>
          <w:color w:val="000000" w:themeColor="text1"/>
          <w:sz w:val="21"/>
          <w:szCs w:val="21"/>
          <w:lang w:val="es-ES_tradnl"/>
        </w:rPr>
      </w:pPr>
    </w:p>
    <w:p w14:paraId="5E1B7D57" w14:textId="77777777" w:rsidR="00F53DBD" w:rsidRDefault="00F53DBD" w:rsidP="00F53DBD">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5FA452E3" w14:textId="77777777" w:rsidR="00F53DBD" w:rsidRDefault="00F53DBD" w:rsidP="00F53DBD">
      <w:pPr>
        <w:ind w:left="709" w:right="709"/>
        <w:jc w:val="both"/>
        <w:rPr>
          <w:rFonts w:ascii="Arial" w:eastAsia="Calibri" w:hAnsi="Arial" w:cs="Arial"/>
          <w:color w:val="000000" w:themeColor="text1"/>
          <w:sz w:val="21"/>
          <w:szCs w:val="21"/>
          <w:lang w:val="es-ES_tradnl"/>
        </w:rPr>
      </w:pPr>
    </w:p>
    <w:p w14:paraId="3E0CB7F7" w14:textId="77777777" w:rsidR="00F53DBD" w:rsidRDefault="00F53DBD" w:rsidP="00F53DBD">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08FA4EFB" w14:textId="77777777" w:rsidR="00F53DBD" w:rsidRDefault="00F53DBD" w:rsidP="00F53DBD">
      <w:pPr>
        <w:spacing w:line="276" w:lineRule="auto"/>
        <w:jc w:val="both"/>
        <w:rPr>
          <w:rFonts w:ascii="Arial" w:eastAsia="Calibri" w:hAnsi="Arial" w:cs="Arial"/>
          <w:color w:val="000000" w:themeColor="text1"/>
          <w:sz w:val="22"/>
          <w:lang w:val="es-ES_tradnl"/>
        </w:rPr>
      </w:pPr>
    </w:p>
    <w:p w14:paraId="05B4BB45" w14:textId="77777777" w:rsidR="00F53DBD" w:rsidRDefault="00F53DBD" w:rsidP="00F53DBD">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se observa, el parágrafo transitorio, agregado al artículo 2.2.1.1.1.6.2. del Decreto 1082 de 2015 por el artículo 6 del Decreto 399 de 2021 y sustituido por el artículo 3 del Decreto 579 de 2021, establece que:</w:t>
      </w:r>
    </w:p>
    <w:p w14:paraId="0180EF82"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4A70EC7F"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proofErr w:type="spellStart"/>
      <w:r>
        <w:rPr>
          <w:rFonts w:ascii="Arial" w:eastAsia="Calibri" w:hAnsi="Arial" w:cs="Arial"/>
          <w:color w:val="000000" w:themeColor="text1"/>
          <w:sz w:val="22"/>
          <w:lang w:val="es-ES_tradnl"/>
        </w:rPr>
        <w:t>ii</w:t>
      </w:r>
      <w:proofErr w:type="spellEnd"/>
      <w:r>
        <w:rPr>
          <w:rFonts w:ascii="Arial" w:eastAsia="Calibri" w:hAnsi="Arial" w:cs="Arial"/>
          <w:color w:val="000000" w:themeColor="text1"/>
          <w:sz w:val="22"/>
          <w:lang w:val="es-ES_tradnl"/>
        </w:rPr>
        <w:t xml:space="preserve">) Las entidades estatales conservan su discrecionalidad administrativa para determinar los requisitos habilitantes de capacidad financiera y organizacional, pero «En </w:t>
      </w:r>
      <w:r>
        <w:rPr>
          <w:rFonts w:ascii="Arial" w:eastAsia="Calibri" w:hAnsi="Arial" w:cs="Arial"/>
          <w:color w:val="000000" w:themeColor="text1"/>
          <w:sz w:val="22"/>
          <w:lang w:val="es-ES_tradnl"/>
        </w:rPr>
        <w:lastRenderedPageBreak/>
        <w:t>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692DACA9"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proofErr w:type="spellStart"/>
      <w:r>
        <w:rPr>
          <w:rFonts w:ascii="Arial" w:eastAsia="Calibri" w:hAnsi="Arial" w:cs="Arial"/>
          <w:color w:val="000000" w:themeColor="text1"/>
          <w:sz w:val="22"/>
          <w:lang w:val="es-ES_tradnl"/>
        </w:rPr>
        <w:t>iii</w:t>
      </w:r>
      <w:proofErr w:type="spellEnd"/>
      <w:r>
        <w:rPr>
          <w:rFonts w:ascii="Arial" w:eastAsia="Calibri" w:hAnsi="Arial" w:cs="Arial"/>
          <w:color w:val="000000" w:themeColor="text1"/>
          <w:sz w:val="22"/>
          <w:lang w:val="es-ES_tradnl"/>
        </w:rPr>
        <w:t>) En los procesos de selección cuyo acto administrativo de apertura o invitación se publique a partir del 1 de julio de 2021 las entidades estatales deberán tener en cuenta la información financiera y organizacional que esté vigente y en firme en el RUP.</w:t>
      </w:r>
    </w:p>
    <w:p w14:paraId="1845C39C"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proofErr w:type="spellStart"/>
      <w:r>
        <w:rPr>
          <w:rFonts w:ascii="Arial" w:eastAsia="Calibri" w:hAnsi="Arial" w:cs="Arial"/>
          <w:color w:val="000000" w:themeColor="text1"/>
          <w:sz w:val="22"/>
          <w:lang w:val="es-ES_tradnl"/>
        </w:rPr>
        <w:t>iv</w:t>
      </w:r>
      <w:proofErr w:type="spellEnd"/>
      <w:r>
        <w:rPr>
          <w:rFonts w:ascii="Arial" w:eastAsia="Calibri" w:hAnsi="Arial" w:cs="Arial"/>
          <w:color w:val="000000" w:themeColor="text1"/>
          <w:sz w:val="22"/>
          <w:lang w:val="es-ES_tradnl"/>
        </w:rPr>
        <w:t xml:space="preserve">) A partir de la fecha establecida anteriormente, la evaluación de los indicadores de capacidad </w:t>
      </w:r>
      <w:r>
        <w:rPr>
          <w:rFonts w:ascii="Arial" w:eastAsia="Calibri" w:hAnsi="Arial" w:cs="Arial"/>
          <w:i/>
          <w:iCs/>
          <w:color w:val="000000" w:themeColor="text1"/>
          <w:sz w:val="22"/>
          <w:lang w:val="es-ES_tradnl"/>
        </w:rPr>
        <w:t>financiera –</w:t>
      </w:r>
      <w:r>
        <w:rPr>
          <w:rFonts w:ascii="Arial" w:eastAsia="Calibri" w:hAnsi="Arial" w:cs="Arial"/>
          <w:color w:val="000000" w:themeColor="text1"/>
          <w:sz w:val="22"/>
          <w:lang w:val="es-ES_tradnl"/>
        </w:rPr>
        <w:t xml:space="preserve">índice de liquidez, índice de endeudamiento y razón de cobertura de intereses– y </w:t>
      </w:r>
      <w:r>
        <w:rPr>
          <w:rFonts w:ascii="Arial" w:eastAsia="Calibri" w:hAnsi="Arial" w:cs="Arial"/>
          <w:i/>
          <w:iCs/>
          <w:color w:val="000000" w:themeColor="text1"/>
          <w:sz w:val="22"/>
          <w:lang w:val="es-ES_tradnl"/>
        </w:rPr>
        <w:t>organizacional</w:t>
      </w:r>
      <w:r>
        <w:rPr>
          <w:rFonts w:ascii="Arial" w:eastAsia="Calibri" w:hAnsi="Arial" w:cs="Arial"/>
          <w:color w:val="000000" w:themeColor="text1"/>
          <w:sz w:val="22"/>
          <w:lang w:val="es-ES_tradnl"/>
        </w:rPr>
        <w:t xml:space="preserve"> –rentabilidad del patrimonio y rentabilidad del activo–, se deberá realizar por parte de las entidades estatales «teniendo en cuenta </w:t>
      </w:r>
      <w:r>
        <w:rPr>
          <w:rFonts w:ascii="Arial" w:eastAsia="Calibri" w:hAnsi="Arial" w:cs="Arial"/>
          <w:i/>
          <w:iCs/>
          <w:color w:val="000000" w:themeColor="text1"/>
          <w:sz w:val="22"/>
          <w:lang w:val="es-ES_tradnl"/>
        </w:rPr>
        <w:t>el mejor año fiscal que se refleje en el registro</w:t>
      </w:r>
      <w:r>
        <w:rPr>
          <w:rFonts w:ascii="Arial" w:eastAsia="Calibri" w:hAnsi="Arial" w:cs="Arial"/>
          <w:color w:val="000000" w:themeColor="text1"/>
          <w:sz w:val="22"/>
          <w:lang w:val="es-ES_tradnl"/>
        </w:rPr>
        <w:t xml:space="preserve"> de cada proponente» (énfasis fuera de texto). </w:t>
      </w:r>
    </w:p>
    <w:p w14:paraId="476E06F2"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Pr>
          <w:rFonts w:ascii="Arial" w:hAnsi="Arial" w:cs="Arial"/>
          <w:sz w:val="22"/>
          <w:lang w:val="es-ES_tradnl"/>
        </w:rPr>
        <w:t xml:space="preserve">[…] </w:t>
      </w:r>
      <w:r>
        <w:rPr>
          <w:rFonts w:ascii="Arial" w:eastAsia="Calibri" w:hAnsi="Arial" w:cs="Arial"/>
          <w:color w:val="000000" w:themeColor="text1"/>
          <w:sz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630D527F"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Pr>
          <w:rFonts w:ascii="Arial" w:eastAsia="Calibri" w:hAnsi="Arial" w:cs="Arial"/>
          <w:i/>
          <w:iCs/>
          <w:color w:val="000000" w:themeColor="text1"/>
          <w:sz w:val="22"/>
          <w:lang w:val="es-ES_tradnl"/>
        </w:rPr>
        <w:t>por cada indicador</w:t>
      </w:r>
      <w:r>
        <w:rPr>
          <w:rFonts w:ascii="Arial" w:eastAsia="Calibri" w:hAnsi="Arial" w:cs="Arial"/>
          <w:color w:val="000000" w:themeColor="text1"/>
          <w:sz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 </w:t>
      </w:r>
    </w:p>
    <w:p w14:paraId="1122B126" w14:textId="77777777"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Aunque la referida norma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w:t>
      </w:r>
      <w:r>
        <w:rPr>
          <w:rFonts w:ascii="Arial" w:eastAsia="Calibri" w:hAnsi="Arial" w:cs="Arial"/>
          <w:color w:val="000000" w:themeColor="text1"/>
          <w:sz w:val="22"/>
          <w:lang w:val="es-ES_tradnl"/>
        </w:rPr>
        <w:lastRenderedPageBreak/>
        <w:t>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7AF2BE91" w14:textId="41F039BD" w:rsidR="00F53DBD" w:rsidRDefault="00F53DBD" w:rsidP="00F53DBD">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Se concluye entonces que, según la finalidad de los Decretos 399 y 579 de 2021, el «mejor año fiscal» es, objetivamente, aquel en el que, vistos en su conjunto los indicadores </w:t>
      </w:r>
      <w:proofErr w:type="spellStart"/>
      <w:r w:rsidR="00556E55">
        <w:rPr>
          <w:rFonts w:ascii="Arial" w:eastAsia="Calibri" w:hAnsi="Arial" w:cs="Arial"/>
          <w:color w:val="000000" w:themeColor="text1"/>
          <w:sz w:val="22"/>
          <w:lang w:val="es-ES_tradnl"/>
        </w:rPr>
        <w:t>h</w:t>
      </w:r>
      <w:r>
        <w:rPr>
          <w:rFonts w:ascii="Arial" w:eastAsia="Calibri" w:hAnsi="Arial" w:cs="Arial"/>
          <w:color w:val="000000" w:themeColor="text1"/>
          <w:sz w:val="22"/>
          <w:lang w:val="es-ES_tradnl"/>
        </w:rPr>
        <w:t>de</w:t>
      </w:r>
      <w:proofErr w:type="spellEnd"/>
      <w:r>
        <w:rPr>
          <w:rFonts w:ascii="Arial" w:eastAsia="Calibri" w:hAnsi="Arial" w:cs="Arial"/>
          <w:color w:val="000000" w:themeColor="text1"/>
          <w:sz w:val="22"/>
          <w:lang w:val="es-ES_tradnl"/>
        </w:rPr>
        <w:t xml:space="preserv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4D85B09E" w14:textId="77777777" w:rsidR="00F53DBD" w:rsidRDefault="00F53DBD" w:rsidP="00467AA4">
      <w:pPr>
        <w:spacing w:before="120"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Ahora bien, la norma analizada en el presente concepto aplica tanto a los proponentes individuales como plurales, pues dado que el parágrafo transitorio del artículo 2.2.1.1.1.6.2 del Decreto 1082 del 2015 no realiza distinciones al respecto, tampoco sería lícito al intérprete distinguir. No obstante, tratándose de consorcios y uniones temporales una de las dificultades para aplicar la disposición radica en que los proponentes plurales no están obligados a la inscripción en el registro único de proponentes, especialmente, cuando carecen de personería jurídica a pesar de tener capacidad contractual. En este contexto, como explica la doctrina, «Si bien la ley dota de capacidad para contratar a los consorcios y uniones temporales, ello en manera alguna significa que les haya conferido personería jurídica. Actúan y participan en la contratación estatal como si la tuvieran solo que, circunscrita a un contrato estatal, que una vez liquidado, estas formas asociativas dejan de tener vigencia para el tráfico jurídico con la entidad estatal […]»</w:t>
      </w:r>
      <w:r>
        <w:rPr>
          <w:rStyle w:val="Refdenotaalpie"/>
          <w:rFonts w:ascii="Arial" w:eastAsia="Calibri" w:hAnsi="Arial" w:cs="Arial"/>
          <w:color w:val="000000" w:themeColor="text1"/>
          <w:sz w:val="22"/>
          <w:lang w:val="es-ES_tradnl"/>
        </w:rPr>
        <w:footnoteReference w:id="14"/>
      </w:r>
      <w:r>
        <w:rPr>
          <w:rFonts w:ascii="Arial" w:eastAsia="Calibri" w:hAnsi="Arial" w:cs="Arial"/>
          <w:color w:val="000000" w:themeColor="text1"/>
          <w:sz w:val="22"/>
          <w:lang w:val="es-ES_tradnl"/>
        </w:rPr>
        <w:t xml:space="preserve">.  </w:t>
      </w:r>
    </w:p>
    <w:p w14:paraId="27063DED" w14:textId="68F85690" w:rsidR="00E1590B" w:rsidRDefault="00F53DBD" w:rsidP="008472EF">
      <w:pPr>
        <w:spacing w:line="276" w:lineRule="auto"/>
        <w:ind w:firstLine="708"/>
        <w:jc w:val="both"/>
        <w:rPr>
          <w:rFonts w:ascii="Times New Roman" w:hAnsi="Times New Roman" w:cs="Times New Roman"/>
          <w:szCs w:val="24"/>
          <w:lang w:eastAsia="es-MX"/>
        </w:rPr>
      </w:pPr>
      <w:r>
        <w:rPr>
          <w:rFonts w:ascii="Arial" w:eastAsia="Calibri" w:hAnsi="Arial" w:cs="Arial"/>
          <w:color w:val="000000" w:themeColor="text1"/>
          <w:sz w:val="22"/>
          <w:lang w:val="es-ES_tradnl"/>
        </w:rPr>
        <w:t>Dado que los consorcios y las uniones temporales carecen de RUP, cuando la norma se refiere a que «</w:t>
      </w:r>
      <w:r>
        <w:rPr>
          <w:rFonts w:ascii="Arial" w:hAnsi="Arial" w:cs="Arial"/>
          <w:sz w:val="22"/>
          <w:lang w:val="es-ES_tradnl"/>
        </w:rPr>
        <w:t xml:space="preserve">[…] </w:t>
      </w:r>
      <w:r>
        <w:rPr>
          <w:rFonts w:ascii="Arial" w:eastAsia="Calibri" w:hAnsi="Arial" w:cs="Arial"/>
          <w:color w:val="000000" w:themeColor="text1"/>
          <w:sz w:val="22"/>
          <w:lang w:val="es-ES_tradnl"/>
        </w:rPr>
        <w:t xml:space="preserve">las Entidades Estatales evaluarán estos indicadores, teniendo en cuenta el mejor año fiscal que se refleje en el registro de cada proponente», es necesario </w:t>
      </w:r>
      <w:r>
        <w:rPr>
          <w:rFonts w:ascii="Arial" w:eastAsia="Calibri" w:hAnsi="Arial" w:cs="Arial"/>
          <w:color w:val="000000" w:themeColor="text1"/>
          <w:sz w:val="22"/>
          <w:lang w:val="es-ES_tradnl"/>
        </w:rPr>
        <w:lastRenderedPageBreak/>
        <w:t>extender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ampliando los efectos de la norma al supuesto objeto de consulta, la entidad evaluará los indicadores financieros y organizacionales con el mejor año fiscal que se refleje en el RUP de cada integrante del consorcio o la unión temporal conforme a la explicación precedent</w:t>
      </w:r>
      <w:r w:rsidR="00C249BD">
        <w:rPr>
          <w:rFonts w:ascii="Arial" w:eastAsia="Calibri" w:hAnsi="Arial" w:cs="Arial"/>
          <w:color w:val="000000" w:themeColor="text1"/>
          <w:sz w:val="22"/>
          <w:lang w:val="es-ES_tradnl"/>
        </w:rPr>
        <w:t>e, al margen de que este año haya sido o no él señalado por los proponentes.</w:t>
      </w:r>
      <w:r>
        <w:rPr>
          <w:rFonts w:ascii="Arial" w:eastAsia="Calibri" w:hAnsi="Arial" w:cs="Arial"/>
          <w:color w:val="000000" w:themeColor="text1"/>
          <w:sz w:val="22"/>
          <w:lang w:val="es-ES_tradnl"/>
        </w:rPr>
        <w:t xml:space="preserve"> </w:t>
      </w:r>
    </w:p>
    <w:p w14:paraId="7428EE4B" w14:textId="77777777" w:rsidR="008472EF" w:rsidRPr="008472EF" w:rsidRDefault="008472EF" w:rsidP="008472EF">
      <w:pPr>
        <w:spacing w:line="276" w:lineRule="auto"/>
        <w:ind w:firstLine="708"/>
        <w:jc w:val="both"/>
        <w:rPr>
          <w:rFonts w:ascii="Times New Roman" w:hAnsi="Times New Roman" w:cs="Times New Roman"/>
          <w:szCs w:val="24"/>
          <w:lang w:eastAsia="es-MX"/>
        </w:rPr>
      </w:pPr>
    </w:p>
    <w:p w14:paraId="4FE0E790" w14:textId="4277EE3B" w:rsidR="004C0C3B" w:rsidRPr="00AC7A12" w:rsidRDefault="004C0C3B">
      <w:pPr>
        <w:tabs>
          <w:tab w:val="left" w:pos="0"/>
        </w:tabs>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3. Respuesta</w:t>
      </w:r>
    </w:p>
    <w:p w14:paraId="022069DD" w14:textId="77777777" w:rsidR="004C0C3B" w:rsidRPr="00467AA4" w:rsidRDefault="004C0C3B" w:rsidP="00467AA4">
      <w:pPr>
        <w:autoSpaceDE w:val="0"/>
        <w:autoSpaceDN w:val="0"/>
        <w:adjustRightInd w:val="0"/>
        <w:spacing w:line="276" w:lineRule="auto"/>
        <w:ind w:left="709" w:right="709"/>
        <w:jc w:val="both"/>
        <w:rPr>
          <w:rFonts w:ascii="Arial" w:hAnsi="Arial" w:cs="Arial"/>
          <w:sz w:val="22"/>
        </w:rPr>
      </w:pPr>
    </w:p>
    <w:p w14:paraId="597E4835" w14:textId="77777777" w:rsidR="00C249BD" w:rsidRDefault="00C249BD" w:rsidP="00C249BD">
      <w:pPr>
        <w:pStyle w:val="Sinespaciado"/>
        <w:ind w:left="709" w:right="709"/>
        <w:jc w:val="both"/>
        <w:rPr>
          <w:rFonts w:ascii="Arial" w:hAnsi="Arial" w:cs="Arial"/>
          <w:sz w:val="21"/>
          <w:szCs w:val="21"/>
        </w:rPr>
      </w:pPr>
      <w:r w:rsidRPr="006337DF">
        <w:rPr>
          <w:rFonts w:ascii="Arial" w:hAnsi="Arial" w:cs="Arial"/>
          <w:sz w:val="21"/>
          <w:szCs w:val="21"/>
        </w:rPr>
        <w:t>«</w:t>
      </w:r>
      <w:r w:rsidRPr="008E0950">
        <w:rPr>
          <w:rFonts w:ascii="Arial" w:hAnsi="Arial" w:cs="Arial"/>
          <w:sz w:val="21"/>
          <w:szCs w:val="21"/>
        </w:rPr>
        <w:t xml:space="preserve">1. ¿Cómo aplicar el Decreto 579 de 2021 en cuanto a la posibilidad de que los proponentes plurales elijan el mejor corte financiero? pueden hacerlo individualmente? o deben elegir el mismo corte para todos los miembros?   </w:t>
      </w:r>
    </w:p>
    <w:p w14:paraId="5CA51209" w14:textId="77777777" w:rsidR="00C249BD" w:rsidRPr="008E0950" w:rsidRDefault="00C249BD" w:rsidP="00C249BD">
      <w:pPr>
        <w:pStyle w:val="Sinespaciado"/>
        <w:ind w:left="709" w:right="709"/>
        <w:jc w:val="both"/>
        <w:rPr>
          <w:rFonts w:ascii="Arial" w:hAnsi="Arial" w:cs="Arial"/>
          <w:sz w:val="21"/>
          <w:szCs w:val="21"/>
        </w:rPr>
      </w:pPr>
    </w:p>
    <w:p w14:paraId="43B1DBFB" w14:textId="77777777" w:rsidR="00C249BD" w:rsidRPr="008E0950" w:rsidRDefault="00C249BD" w:rsidP="00C249BD">
      <w:pPr>
        <w:pStyle w:val="Sinespaciado"/>
        <w:ind w:left="709" w:right="709"/>
        <w:jc w:val="both"/>
        <w:rPr>
          <w:rFonts w:ascii="Arial" w:hAnsi="Arial" w:cs="Arial"/>
          <w:sz w:val="21"/>
          <w:szCs w:val="21"/>
        </w:rPr>
      </w:pPr>
      <w:r w:rsidRPr="008E0950">
        <w:rPr>
          <w:rFonts w:ascii="Arial" w:hAnsi="Arial" w:cs="Arial"/>
          <w:sz w:val="21"/>
          <w:szCs w:val="21"/>
        </w:rPr>
        <w:t>2. ¿Es posible incluir en el pliego una nota que establezca que en caso de proponentes plurales todos los participantes deberán elegir el mismo año de corte financiero?</w:t>
      </w:r>
      <w:r w:rsidRPr="006337DF">
        <w:rPr>
          <w:rFonts w:ascii="Arial" w:hAnsi="Arial" w:cs="Arial"/>
          <w:sz w:val="21"/>
          <w:szCs w:val="21"/>
        </w:rPr>
        <w:t>»</w:t>
      </w:r>
      <w:r w:rsidRPr="008E0950">
        <w:rPr>
          <w:rFonts w:ascii="Arial" w:hAnsi="Arial" w:cs="Arial"/>
          <w:sz w:val="21"/>
          <w:szCs w:val="21"/>
        </w:rPr>
        <w:t xml:space="preserve"> </w:t>
      </w:r>
    </w:p>
    <w:p w14:paraId="05477349" w14:textId="77777777" w:rsidR="00495FB2" w:rsidRPr="00467AA4" w:rsidRDefault="00495FB2" w:rsidP="00467AA4">
      <w:pPr>
        <w:spacing w:line="276" w:lineRule="auto"/>
        <w:ind w:left="709" w:right="709"/>
        <w:jc w:val="both"/>
        <w:rPr>
          <w:rFonts w:ascii="Arial" w:eastAsia="Calibri" w:hAnsi="Arial" w:cs="Arial"/>
          <w:sz w:val="22"/>
        </w:rPr>
      </w:pPr>
    </w:p>
    <w:p w14:paraId="3CD18118" w14:textId="44FC1EB9" w:rsidR="007C3412" w:rsidRDefault="00B31040" w:rsidP="00B31040">
      <w:pPr>
        <w:spacing w:line="276" w:lineRule="auto"/>
        <w:jc w:val="both"/>
        <w:rPr>
          <w:rFonts w:ascii="Arial" w:eastAsia="Calibri" w:hAnsi="Arial" w:cs="Arial"/>
          <w:color w:val="000000" w:themeColor="text1"/>
          <w:sz w:val="22"/>
          <w:lang w:val="es-ES_tradnl"/>
        </w:rPr>
      </w:pPr>
      <w:r>
        <w:rPr>
          <w:rFonts w:ascii="Arial" w:hAnsi="Arial" w:cs="Arial"/>
          <w:sz w:val="22"/>
        </w:rPr>
        <w:t>De conformidad con las anteriores consideraciones, es posible concluir, en primer lugar,</w:t>
      </w:r>
      <w:r w:rsidR="008472EF">
        <w:rPr>
          <w:rFonts w:ascii="Arial" w:hAnsi="Arial" w:cs="Arial"/>
          <w:sz w:val="22"/>
        </w:rPr>
        <w:t xml:space="preserve"> que la noción de </w:t>
      </w:r>
      <w:r w:rsidR="007C3412">
        <w:rPr>
          <w:rFonts w:ascii="Arial" w:eastAsia="Calibri" w:hAnsi="Arial" w:cs="Arial"/>
          <w:color w:val="000000" w:themeColor="text1"/>
          <w:sz w:val="22"/>
          <w:lang w:val="es-ES_tradnl"/>
        </w:rPr>
        <w:t xml:space="preserve">«mejor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w:t>
      </w:r>
    </w:p>
    <w:p w14:paraId="17336A23" w14:textId="2A7B8CC5" w:rsidR="00152457" w:rsidRDefault="00152457" w:rsidP="00B31040">
      <w:pPr>
        <w:spacing w:line="276" w:lineRule="auto"/>
        <w:jc w:val="both"/>
        <w:rPr>
          <w:rFonts w:ascii="Arial" w:eastAsia="Calibri" w:hAnsi="Arial" w:cs="Arial"/>
          <w:color w:val="000000" w:themeColor="text1"/>
          <w:sz w:val="22"/>
          <w:lang w:val="es-ES_tradnl"/>
        </w:rPr>
      </w:pPr>
    </w:p>
    <w:p w14:paraId="382D5D4D" w14:textId="1EB7204E" w:rsidR="00B31040" w:rsidRDefault="00152457" w:rsidP="00FD2DFE">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Por </w:t>
      </w:r>
      <w:proofErr w:type="gramStart"/>
      <w:r>
        <w:rPr>
          <w:rFonts w:ascii="Arial" w:eastAsia="Calibri" w:hAnsi="Arial" w:cs="Arial"/>
          <w:color w:val="000000" w:themeColor="text1"/>
          <w:sz w:val="22"/>
          <w:lang w:val="es-ES_tradnl"/>
        </w:rPr>
        <w:t>último</w:t>
      </w:r>
      <w:proofErr w:type="gramEnd"/>
      <w:r>
        <w:rPr>
          <w:rFonts w:ascii="Arial" w:eastAsia="Calibri" w:hAnsi="Arial" w:cs="Arial"/>
          <w:color w:val="000000" w:themeColor="text1"/>
          <w:sz w:val="22"/>
          <w:lang w:val="es-ES_tradnl"/>
        </w:rPr>
        <w:t xml:space="preserve"> es pertinente aclarar, </w:t>
      </w:r>
      <w:r w:rsidR="00B31040">
        <w:rPr>
          <w:rFonts w:ascii="Arial" w:hAnsi="Arial" w:cs="Arial"/>
          <w:sz w:val="22"/>
        </w:rPr>
        <w:t xml:space="preserve">que </w:t>
      </w:r>
      <w:r w:rsidR="00B31040" w:rsidRPr="002D1D81">
        <w:rPr>
          <w:rFonts w:ascii="Arial" w:eastAsia="Calibri" w:hAnsi="Arial" w:cs="Arial"/>
          <w:color w:val="000000" w:themeColor="text1"/>
          <w:sz w:val="22"/>
          <w:lang w:val="es-ES_tradnl"/>
        </w:rPr>
        <w:t>el parágrafo transitorio del artículo 2.2.1.1.1.6.2 del Decreto 1082 del 2015 no realiz</w:t>
      </w:r>
      <w:r w:rsidR="00B31040">
        <w:rPr>
          <w:rFonts w:ascii="Arial" w:eastAsia="Calibri" w:hAnsi="Arial" w:cs="Arial"/>
          <w:color w:val="000000" w:themeColor="text1"/>
          <w:sz w:val="22"/>
          <w:lang w:val="es-ES_tradnl"/>
        </w:rPr>
        <w:t>ó</w:t>
      </w:r>
      <w:r w:rsidR="00B31040" w:rsidRPr="002D1D81">
        <w:rPr>
          <w:rFonts w:ascii="Arial" w:eastAsia="Calibri" w:hAnsi="Arial" w:cs="Arial"/>
          <w:color w:val="000000" w:themeColor="text1"/>
          <w:sz w:val="22"/>
          <w:lang w:val="es-ES_tradnl"/>
        </w:rPr>
        <w:t xml:space="preserve"> distinciones entre el proponente individual y plural</w:t>
      </w:r>
      <w:r w:rsidR="00B31040">
        <w:rPr>
          <w:rFonts w:ascii="Arial" w:eastAsia="Calibri" w:hAnsi="Arial" w:cs="Arial"/>
          <w:color w:val="000000" w:themeColor="text1"/>
          <w:sz w:val="22"/>
          <w:lang w:val="es-ES_tradnl"/>
        </w:rPr>
        <w:t xml:space="preserve">. Por tanto, cuando </w:t>
      </w:r>
      <w:r w:rsidR="00B31040" w:rsidRPr="002D1D81">
        <w:rPr>
          <w:rFonts w:ascii="Arial" w:eastAsia="Calibri" w:hAnsi="Arial" w:cs="Arial"/>
          <w:color w:val="000000" w:themeColor="text1"/>
          <w:sz w:val="22"/>
          <w:lang w:val="es-ES_tradnl"/>
        </w:rPr>
        <w:t>la norma se refiere a que «</w:t>
      </w:r>
      <w:r w:rsidR="00B31040" w:rsidRPr="002D1D81">
        <w:rPr>
          <w:rFonts w:ascii="Arial" w:hAnsi="Arial" w:cs="Arial"/>
          <w:sz w:val="22"/>
          <w:lang w:val="es-ES_tradnl"/>
        </w:rPr>
        <w:t xml:space="preserve">[…] </w:t>
      </w:r>
      <w:r w:rsidR="00B31040" w:rsidRPr="002D1D81">
        <w:rPr>
          <w:rFonts w:ascii="Arial" w:eastAsia="Calibri" w:hAnsi="Arial" w:cs="Arial"/>
          <w:color w:val="000000" w:themeColor="text1"/>
          <w:sz w:val="22"/>
          <w:lang w:val="es-ES_tradnl"/>
        </w:rPr>
        <w:t xml:space="preserve">las Entidades Estatales evaluarán estos indicadores, teniendo en cuenta el mejor año fiscal que se refleje en el registro de cada proponente» es necesario extender los efectos de esta última expresión a los miembros del consorcio o la unión temporal que cuenten con la información vigente y en firme en el RUP. Esto en la medida que, si bien los proponentes plurales carecen de personería, el parágrafo transitorio del artículo 2.2.1.1.1.6.2 del Decreto 1082 del 2015 puede aplicarse a cada uno de los integrantes que deba inscribirse en el registro conforme al artículo 6 de la Ley 1150 de 2007. En este caso, ampliando los efectos de la norma al supuesto objeto de consulta, </w:t>
      </w:r>
      <w:r w:rsidR="00B31040" w:rsidRPr="002D1D81">
        <w:rPr>
          <w:rFonts w:ascii="Arial" w:eastAsia="Calibri" w:hAnsi="Arial" w:cs="Arial"/>
          <w:color w:val="000000" w:themeColor="text1"/>
          <w:sz w:val="22"/>
          <w:lang w:val="es-ES_tradnl"/>
        </w:rPr>
        <w:lastRenderedPageBreak/>
        <w:t xml:space="preserve">la entidad </w:t>
      </w:r>
      <w:r w:rsidR="00B31040">
        <w:rPr>
          <w:rFonts w:ascii="Arial" w:eastAsia="Calibri" w:hAnsi="Arial" w:cs="Arial"/>
          <w:color w:val="000000" w:themeColor="text1"/>
          <w:sz w:val="22"/>
          <w:lang w:val="es-ES_tradnl"/>
        </w:rPr>
        <w:t xml:space="preserve">deberá </w:t>
      </w:r>
      <w:r w:rsidR="00B31040" w:rsidRPr="002D1D81">
        <w:rPr>
          <w:rFonts w:ascii="Arial" w:eastAsia="Calibri" w:hAnsi="Arial" w:cs="Arial"/>
          <w:color w:val="000000" w:themeColor="text1"/>
          <w:sz w:val="22"/>
          <w:lang w:val="es-ES_tradnl"/>
        </w:rPr>
        <w:t>evaluar los indicadores financieros y organizacionales con el mejor año fiscal que se refleje en el RUP de cada integrante del consorcio o la unión temporal conforme a lo explicado en el concepto</w:t>
      </w:r>
      <w:r w:rsidR="00C249BD">
        <w:rPr>
          <w:rFonts w:ascii="Arial" w:eastAsia="Calibri" w:hAnsi="Arial" w:cs="Arial"/>
          <w:color w:val="000000" w:themeColor="text1"/>
          <w:sz w:val="22"/>
          <w:lang w:val="es-ES_tradnl"/>
        </w:rPr>
        <w:t xml:space="preserve">, independientemente de que haya sido este o no el señalado por los proponentes. </w:t>
      </w:r>
    </w:p>
    <w:p w14:paraId="6263188A" w14:textId="77777777" w:rsidR="00C249BD" w:rsidRDefault="00C249BD" w:rsidP="00152457">
      <w:pPr>
        <w:spacing w:line="276" w:lineRule="auto"/>
        <w:ind w:firstLine="708"/>
        <w:jc w:val="both"/>
        <w:rPr>
          <w:rFonts w:ascii="Arial" w:eastAsia="Calibri" w:hAnsi="Arial" w:cs="Arial"/>
          <w:color w:val="000000" w:themeColor="text1"/>
          <w:sz w:val="22"/>
          <w:lang w:val="es-ES_tradnl"/>
        </w:rPr>
      </w:pPr>
    </w:p>
    <w:p w14:paraId="5CED47BC" w14:textId="15E5E525" w:rsidR="008472EF" w:rsidRDefault="008472EF" w:rsidP="00B31040">
      <w:pPr>
        <w:spacing w:line="276" w:lineRule="auto"/>
        <w:jc w:val="both"/>
        <w:rPr>
          <w:rFonts w:ascii="Arial" w:eastAsia="Calibri" w:hAnsi="Arial" w:cs="Arial"/>
          <w:color w:val="000000" w:themeColor="text1"/>
          <w:sz w:val="22"/>
          <w:lang w:val="es-ES_tradnl"/>
        </w:rPr>
      </w:pPr>
    </w:p>
    <w:p w14:paraId="2F947ADC" w14:textId="6E3A0929" w:rsidR="008472EF" w:rsidRPr="002D1D81" w:rsidRDefault="008472EF" w:rsidP="00B31040">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r>
    </w:p>
    <w:p w14:paraId="45B24B94" w14:textId="4EF122F9" w:rsidR="000333CC" w:rsidRDefault="000333CC" w:rsidP="00467AA4">
      <w:pPr>
        <w:spacing w:after="120" w:line="276" w:lineRule="auto"/>
        <w:jc w:val="both"/>
        <w:rPr>
          <w:rFonts w:ascii="Arial" w:hAnsi="Arial" w:cs="Arial"/>
          <w:color w:val="000000" w:themeColor="text1"/>
          <w:sz w:val="22"/>
          <w:lang w:val="es-ES_tradnl"/>
        </w:rPr>
      </w:pPr>
    </w:p>
    <w:p w14:paraId="7E797FBA" w14:textId="6235754E" w:rsidR="00A64171" w:rsidRDefault="00A64171" w:rsidP="00A64171">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503552DF" w14:textId="77777777" w:rsidR="00B31040" w:rsidRDefault="00B31040" w:rsidP="00E71381">
      <w:pPr>
        <w:spacing w:line="276" w:lineRule="auto"/>
        <w:rPr>
          <w:rFonts w:ascii="Arial" w:hAnsi="Arial" w:cs="Arial"/>
          <w:color w:val="000000" w:themeColor="text1"/>
          <w:sz w:val="22"/>
          <w:lang w:val="es-ES_tradnl"/>
        </w:rPr>
      </w:pPr>
    </w:p>
    <w:p w14:paraId="6E44D3B8" w14:textId="19B0E087"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p w14:paraId="3745E4FE" w14:textId="26AF66A1" w:rsidR="00083231" w:rsidRDefault="00CD361D" w:rsidP="004D3CBD">
      <w:pPr>
        <w:spacing w:line="276" w:lineRule="auto"/>
        <w:jc w:val="center"/>
        <w:rPr>
          <w:rFonts w:ascii="Arial" w:hAnsi="Arial" w:cs="Arial"/>
          <w:noProof/>
          <w:lang w:val="en-US"/>
        </w:rPr>
      </w:pPr>
      <w:r>
        <w:rPr>
          <w:noProof/>
        </w:rPr>
        <w:drawing>
          <wp:inline distT="0" distB="0" distL="0" distR="0" wp14:anchorId="3200F9DE" wp14:editId="6A7E8925">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stretch>
                      <a:fillRect/>
                    </a:stretch>
                  </pic:blipFill>
                  <pic:spPr>
                    <a:xfrm>
                      <a:off x="0" y="0"/>
                      <a:ext cx="2534004" cy="981212"/>
                    </a:xfrm>
                    <a:prstGeom prst="rect">
                      <a:avLst/>
                    </a:prstGeom>
                  </pic:spPr>
                </pic:pic>
              </a:graphicData>
            </a:graphic>
          </wp:inline>
        </w:drawing>
      </w:r>
    </w:p>
    <w:p w14:paraId="64D80206" w14:textId="5CA650DD" w:rsidR="00083231" w:rsidRPr="00FD2DFE" w:rsidRDefault="00083231" w:rsidP="00E37B1B">
      <w:pPr>
        <w:spacing w:line="276" w:lineRule="auto"/>
        <w:rPr>
          <w:rFonts w:ascii="Arial" w:hAnsi="Arial" w:cs="Arial"/>
          <w:noProof/>
          <w:sz w:val="16"/>
          <w:szCs w:val="16"/>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530937" w14:paraId="2E979D08" w14:textId="77777777" w:rsidTr="00C968EC">
        <w:trPr>
          <w:trHeight w:val="315"/>
        </w:trPr>
        <w:tc>
          <w:tcPr>
            <w:tcW w:w="812" w:type="dxa"/>
            <w:vAlign w:val="center"/>
          </w:tcPr>
          <w:p w14:paraId="1606F074" w14:textId="77777777" w:rsidR="00214878" w:rsidRPr="00FD2DFE" w:rsidRDefault="00214878" w:rsidP="00DF0F8E">
            <w:pPr>
              <w:rPr>
                <w:rFonts w:ascii="Arial" w:eastAsia="Times New Roman" w:hAnsi="Arial" w:cs="Arial"/>
                <w:sz w:val="16"/>
                <w:szCs w:val="16"/>
                <w:lang w:eastAsia="es-ES"/>
              </w:rPr>
            </w:pPr>
            <w:r w:rsidRPr="00FD2DFE">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2343580D" w14:textId="62304C5F" w:rsidR="00214878" w:rsidRPr="00FD2DFE" w:rsidRDefault="00DB5B9F" w:rsidP="00DF0F8E">
            <w:pPr>
              <w:rPr>
                <w:rFonts w:ascii="Arial" w:eastAsia="Times New Roman" w:hAnsi="Arial" w:cs="Arial"/>
                <w:sz w:val="16"/>
                <w:szCs w:val="16"/>
                <w:lang w:eastAsia="es-ES"/>
              </w:rPr>
            </w:pPr>
            <w:r w:rsidRPr="00FD2DFE">
              <w:rPr>
                <w:rFonts w:ascii="Arial" w:eastAsia="Times New Roman" w:hAnsi="Arial" w:cs="Arial"/>
                <w:sz w:val="16"/>
                <w:szCs w:val="16"/>
                <w:lang w:eastAsia="es-ES"/>
              </w:rPr>
              <w:t xml:space="preserve">Camilo Perdomo Villamil </w:t>
            </w:r>
          </w:p>
          <w:p w14:paraId="6995B041" w14:textId="5DBB425B" w:rsidR="00214878" w:rsidRPr="00FD2DFE" w:rsidRDefault="00A60725" w:rsidP="004B2EF6">
            <w:pPr>
              <w:rPr>
                <w:rFonts w:ascii="Arial" w:eastAsia="Times New Roman" w:hAnsi="Arial" w:cs="Arial"/>
                <w:sz w:val="16"/>
                <w:szCs w:val="16"/>
                <w:lang w:eastAsia="es-ES"/>
              </w:rPr>
            </w:pPr>
            <w:r w:rsidRPr="00FD2DFE">
              <w:rPr>
                <w:rFonts w:ascii="Arial" w:eastAsia="Times New Roman" w:hAnsi="Arial" w:cs="Arial"/>
                <w:sz w:val="16"/>
                <w:szCs w:val="16"/>
                <w:lang w:eastAsia="es-ES"/>
              </w:rPr>
              <w:t>Contratista</w:t>
            </w:r>
            <w:r w:rsidR="004B2EF6" w:rsidRPr="00FD2DFE">
              <w:rPr>
                <w:rFonts w:ascii="Arial" w:eastAsia="Times New Roman" w:hAnsi="Arial" w:cs="Arial"/>
                <w:sz w:val="16"/>
                <w:szCs w:val="16"/>
                <w:lang w:eastAsia="es-ES"/>
              </w:rPr>
              <w:t xml:space="preserve"> de la Subdirección de Gestión Contractual </w:t>
            </w:r>
            <w:r w:rsidRPr="00FD2DFE">
              <w:rPr>
                <w:rFonts w:ascii="Arial" w:eastAsia="Times New Roman" w:hAnsi="Arial" w:cs="Arial"/>
                <w:sz w:val="16"/>
                <w:szCs w:val="16"/>
                <w:lang w:eastAsia="es-ES"/>
              </w:rPr>
              <w:t xml:space="preserve"> </w:t>
            </w:r>
          </w:p>
        </w:tc>
      </w:tr>
      <w:tr w:rsidR="00CA7FEF" w:rsidRPr="00530937" w14:paraId="1EFBDAAD" w14:textId="77777777" w:rsidTr="00C968EC">
        <w:trPr>
          <w:trHeight w:val="330"/>
        </w:trPr>
        <w:tc>
          <w:tcPr>
            <w:tcW w:w="812" w:type="dxa"/>
            <w:vAlign w:val="center"/>
          </w:tcPr>
          <w:p w14:paraId="09701992" w14:textId="77777777" w:rsidR="00214878" w:rsidRPr="00FD2DFE" w:rsidRDefault="00214878" w:rsidP="00DF0F8E">
            <w:pPr>
              <w:rPr>
                <w:rFonts w:ascii="Arial" w:eastAsia="Times New Roman" w:hAnsi="Arial" w:cs="Arial"/>
                <w:sz w:val="16"/>
                <w:szCs w:val="16"/>
                <w:lang w:eastAsia="es-ES"/>
              </w:rPr>
            </w:pPr>
            <w:r w:rsidRPr="00FD2DFE">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2CD86A6C" w:rsidR="0014392D" w:rsidRPr="00FD2DFE" w:rsidRDefault="002923DB" w:rsidP="00DF0F8E">
            <w:pPr>
              <w:rPr>
                <w:rFonts w:ascii="Arial" w:hAnsi="Arial" w:cs="Arial"/>
                <w:sz w:val="16"/>
                <w:szCs w:val="16"/>
                <w:lang w:eastAsia="es-ES"/>
              </w:rPr>
            </w:pPr>
            <w:r w:rsidRPr="00FD2DFE">
              <w:rPr>
                <w:rFonts w:ascii="Arial" w:hAnsi="Arial" w:cs="Arial"/>
                <w:sz w:val="16"/>
                <w:szCs w:val="16"/>
                <w:lang w:eastAsia="es-ES"/>
              </w:rPr>
              <w:t xml:space="preserve">Alejandro Sarmiento Cantillo </w:t>
            </w:r>
          </w:p>
          <w:p w14:paraId="6B6BBB43" w14:textId="1B8AB117" w:rsidR="00214878" w:rsidRPr="00FD2DFE" w:rsidRDefault="0014392D" w:rsidP="00DF0F8E">
            <w:pPr>
              <w:rPr>
                <w:rFonts w:ascii="Arial" w:eastAsia="Times New Roman" w:hAnsi="Arial" w:cs="Arial"/>
                <w:sz w:val="16"/>
                <w:szCs w:val="16"/>
                <w:lang w:eastAsia="es-ES"/>
              </w:rPr>
            </w:pPr>
            <w:r w:rsidRPr="00FD2DFE">
              <w:rPr>
                <w:rFonts w:ascii="Arial" w:hAnsi="Arial" w:cs="Arial"/>
                <w:sz w:val="16"/>
                <w:szCs w:val="16"/>
                <w:lang w:eastAsia="es-ES"/>
              </w:rPr>
              <w:t>Gestor T1-1</w:t>
            </w:r>
            <w:r w:rsidR="0030200C" w:rsidRPr="00FD2DFE">
              <w:rPr>
                <w:rFonts w:ascii="Arial" w:hAnsi="Arial" w:cs="Arial"/>
                <w:sz w:val="16"/>
                <w:szCs w:val="16"/>
                <w:lang w:eastAsia="es-ES"/>
              </w:rPr>
              <w:t>5</w:t>
            </w:r>
            <w:r w:rsidRPr="00FD2DFE">
              <w:rPr>
                <w:rFonts w:ascii="Arial" w:hAnsi="Arial" w:cs="Arial"/>
                <w:sz w:val="16"/>
                <w:szCs w:val="16"/>
                <w:lang w:eastAsia="es-ES"/>
              </w:rPr>
              <w:t xml:space="preserve"> de la Subdirección de Gestión Contractual</w:t>
            </w:r>
          </w:p>
        </w:tc>
      </w:tr>
      <w:tr w:rsidR="00530937" w:rsidRPr="00530937" w14:paraId="24C3AA5B" w14:textId="77777777" w:rsidTr="00C968EC">
        <w:trPr>
          <w:trHeight w:val="300"/>
        </w:trPr>
        <w:tc>
          <w:tcPr>
            <w:tcW w:w="812" w:type="dxa"/>
            <w:vAlign w:val="center"/>
          </w:tcPr>
          <w:p w14:paraId="3F00D087" w14:textId="77777777" w:rsidR="00530937" w:rsidRPr="00FD2DFE" w:rsidRDefault="00530937" w:rsidP="00530937">
            <w:pPr>
              <w:rPr>
                <w:rFonts w:ascii="Arial" w:eastAsia="Times New Roman" w:hAnsi="Arial" w:cs="Arial"/>
                <w:sz w:val="16"/>
                <w:szCs w:val="16"/>
                <w:lang w:eastAsia="es-ES"/>
              </w:rPr>
            </w:pPr>
            <w:r w:rsidRPr="00FD2DFE">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1250DE1" w14:textId="77777777" w:rsidR="00530937" w:rsidRPr="00530937" w:rsidRDefault="00530937" w:rsidP="00530937">
            <w:pPr>
              <w:rPr>
                <w:rFonts w:ascii="Arial" w:eastAsia="Calibri" w:hAnsi="Arial" w:cs="Arial"/>
                <w:sz w:val="16"/>
                <w:szCs w:val="16"/>
                <w:lang w:val="pt-BR" w:eastAsia="es-ES"/>
              </w:rPr>
            </w:pPr>
            <w:r w:rsidRPr="00530937">
              <w:rPr>
                <w:rFonts w:ascii="Arial" w:eastAsia="Calibri" w:hAnsi="Arial" w:cs="Arial"/>
                <w:sz w:val="16"/>
                <w:szCs w:val="16"/>
                <w:lang w:val="pt-BR" w:eastAsia="es-ES"/>
              </w:rPr>
              <w:t>Juan David Marín López</w:t>
            </w:r>
          </w:p>
          <w:p w14:paraId="1D1409AB" w14:textId="2B813226" w:rsidR="00530937" w:rsidRPr="00FD2DFE" w:rsidRDefault="00530937" w:rsidP="00530937">
            <w:pPr>
              <w:rPr>
                <w:rFonts w:ascii="Arial" w:eastAsia="Times New Roman" w:hAnsi="Arial" w:cs="Arial"/>
                <w:sz w:val="16"/>
                <w:szCs w:val="16"/>
                <w:lang w:eastAsia="es-ES"/>
              </w:rPr>
            </w:pPr>
            <w:r w:rsidRPr="00530937">
              <w:rPr>
                <w:rFonts w:ascii="Arial" w:eastAsia="Calibri" w:hAnsi="Arial" w:cs="Arial"/>
                <w:sz w:val="16"/>
                <w:szCs w:val="16"/>
                <w:lang w:eastAsia="es-ES"/>
              </w:rPr>
              <w:t xml:space="preserve">Subdirector de Gestión Contractual de la </w:t>
            </w:r>
            <w:r w:rsidRPr="00530937">
              <w:rPr>
                <w:rFonts w:ascii="Arial" w:eastAsia="Calibri" w:hAnsi="Arial" w:cs="Arial"/>
                <w:sz w:val="16"/>
                <w:szCs w:val="16"/>
                <w:lang w:val="pt-BR" w:eastAsia="es-ES"/>
              </w:rPr>
              <w:t>ANCP – CCE (E)</w:t>
            </w:r>
          </w:p>
        </w:tc>
      </w:tr>
    </w:tbl>
    <w:p w14:paraId="255137A6" w14:textId="2FF7AD15" w:rsidR="00530937" w:rsidRPr="003443CF" w:rsidRDefault="00530937" w:rsidP="00530937">
      <w:pPr>
        <w:jc w:val="center"/>
        <w:rPr>
          <w:rFonts w:ascii="Arial" w:hAnsi="Arial" w:cs="Arial"/>
          <w:sz w:val="18"/>
          <w:szCs w:val="20"/>
          <w:lang w:eastAsia="es-CO"/>
        </w:rPr>
      </w:pPr>
      <w:bookmarkStart w:id="5" w:name="_Hlk107478123"/>
      <w:bookmarkEnd w:id="0"/>
      <w:bookmarkEnd w:id="1"/>
    </w:p>
    <w:bookmarkEnd w:id="5"/>
    <w:p w14:paraId="0EEB665C" w14:textId="77777777" w:rsidR="00737DB6" w:rsidRPr="0014392D" w:rsidRDefault="00737DB6" w:rsidP="00DF0F8E">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87C4" w14:textId="77777777" w:rsidR="00481E1A" w:rsidRDefault="00481E1A">
      <w:r>
        <w:separator/>
      </w:r>
    </w:p>
  </w:endnote>
  <w:endnote w:type="continuationSeparator" w:id="0">
    <w:p w14:paraId="40F74CC7" w14:textId="77777777" w:rsidR="00481E1A" w:rsidRDefault="0048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12EFC405"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37B1B">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37B1B">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577F" w14:textId="77777777" w:rsidR="00481E1A" w:rsidRDefault="00481E1A">
      <w:r>
        <w:separator/>
      </w:r>
    </w:p>
  </w:footnote>
  <w:footnote w:type="continuationSeparator" w:id="0">
    <w:p w14:paraId="3D2BF61E" w14:textId="77777777" w:rsidR="00481E1A" w:rsidRDefault="00481E1A">
      <w:r>
        <w:continuationSeparator/>
      </w:r>
    </w:p>
  </w:footnote>
  <w:footnote w:id="1">
    <w:p w14:paraId="74C5C88C" w14:textId="77777777" w:rsidR="00F53DBD" w:rsidRDefault="00F53DBD" w:rsidP="00F53DBD">
      <w:pPr>
        <w:pStyle w:val="NormalWeb"/>
        <w:spacing w:before="0" w:beforeAutospacing="0" w:after="0" w:afterAutospacing="0"/>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Art 6 Ley 1150 de 2007 “</w:t>
      </w:r>
      <w:r>
        <w:rPr>
          <w:rFonts w:ascii="Arial" w:hAnsi="Arial" w:cs="Arial"/>
          <w:color w:val="000000" w:themeColor="text1"/>
          <w:sz w:val="19"/>
          <w:szCs w:val="19"/>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2AB8DA1" w14:textId="77777777" w:rsidR="00F53DBD" w:rsidRDefault="00F53DBD" w:rsidP="00F53DBD">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A65538B" w14:textId="77777777" w:rsidR="00F53DBD" w:rsidRDefault="00F53DBD" w:rsidP="00F53DBD">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En dicho registro constará la información relacionada con la experiencia, capacidad jurídica, financiera y de organización del proponente y su clasificación”.</w:t>
      </w:r>
    </w:p>
    <w:p w14:paraId="4C42F794" w14:textId="77777777" w:rsidR="00F53DBD" w:rsidRDefault="00F53DBD" w:rsidP="00F53DBD">
      <w:pPr>
        <w:pStyle w:val="NormalWeb"/>
        <w:spacing w:before="0" w:beforeAutospacing="0" w:after="0" w:afterAutospacing="0"/>
        <w:ind w:firstLine="708"/>
        <w:jc w:val="both"/>
        <w:rPr>
          <w:rFonts w:ascii="Arial" w:hAnsi="Arial" w:cs="Arial"/>
          <w:color w:val="000000" w:themeColor="text1"/>
          <w:sz w:val="19"/>
          <w:szCs w:val="19"/>
        </w:rPr>
      </w:pPr>
    </w:p>
  </w:footnote>
  <w:footnote w:id="2">
    <w:p w14:paraId="4020BAD0" w14:textId="77777777" w:rsidR="00F53DBD" w:rsidRDefault="00F53DBD" w:rsidP="00F53DBD">
      <w:pPr>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42AB936E" w14:textId="77777777" w:rsidR="00F53DBD" w:rsidRDefault="00F53DBD" w:rsidP="00F53DBD">
      <w:pPr>
        <w:pStyle w:val="Textonotapie"/>
        <w:rPr>
          <w:lang w:val="es-ES"/>
        </w:rPr>
      </w:pPr>
    </w:p>
  </w:footnote>
  <w:footnote w:id="3">
    <w:p w14:paraId="4B43C2F2" w14:textId="77777777" w:rsidR="00F53DBD" w:rsidRDefault="00F53DBD" w:rsidP="00F53DBD">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019A8B8B" w14:textId="77777777" w:rsidR="00F53DBD" w:rsidRDefault="00F53DBD" w:rsidP="00F53DBD">
      <w:pPr>
        <w:pStyle w:val="Textonotapie"/>
        <w:ind w:firstLine="708"/>
        <w:jc w:val="both"/>
        <w:rPr>
          <w:rFonts w:ascii="Arial" w:hAnsi="Arial" w:cs="Arial"/>
          <w:sz w:val="19"/>
          <w:szCs w:val="19"/>
          <w:lang w:val="es-ES"/>
        </w:rPr>
      </w:pPr>
    </w:p>
  </w:footnote>
  <w:footnote w:id="4">
    <w:p w14:paraId="20E80DDE"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Disponible en:</w:t>
      </w:r>
    </w:p>
    <w:p w14:paraId="0168C43C" w14:textId="77777777" w:rsidR="00F53DBD" w:rsidRDefault="00000000" w:rsidP="00F53DBD">
      <w:pPr>
        <w:pStyle w:val="Textonotapie"/>
        <w:ind w:firstLine="709"/>
        <w:jc w:val="both"/>
        <w:rPr>
          <w:rFonts w:ascii="Arial" w:hAnsi="Arial" w:cs="Arial"/>
          <w:sz w:val="19"/>
          <w:szCs w:val="19"/>
          <w:lang w:val="es-ES"/>
        </w:rPr>
      </w:pPr>
      <w:hyperlink r:id="rId1" w:history="1">
        <w:r w:rsidR="00F53DBD">
          <w:rPr>
            <w:rStyle w:val="Hipervnculo"/>
            <w:rFonts w:ascii="Arial" w:hAnsi="Arial" w:cs="Arial"/>
            <w:color w:val="0070C0"/>
            <w:sz w:val="19"/>
            <w:szCs w:val="19"/>
            <w:lang w:val="es-ES"/>
          </w:rPr>
          <w:t>https://www.colombiacompra.gov.co/sites/cce_public/files/cce_documents/cce_manual_requisitos_habilitantes.pdf</w:t>
        </w:r>
      </w:hyperlink>
      <w:r w:rsidR="00F53DBD">
        <w:rPr>
          <w:rFonts w:ascii="Arial" w:hAnsi="Arial" w:cs="Arial"/>
          <w:sz w:val="19"/>
          <w:szCs w:val="19"/>
          <w:lang w:val="es-ES"/>
        </w:rPr>
        <w:t xml:space="preserve">. </w:t>
      </w:r>
    </w:p>
  </w:footnote>
  <w:footnote w:id="5">
    <w:p w14:paraId="2B3CF4D2" w14:textId="77777777" w:rsidR="00F53DBD" w:rsidRDefault="00F53DBD" w:rsidP="00F53DBD">
      <w:pPr>
        <w:pStyle w:val="Textonotapie"/>
        <w:ind w:firstLine="709"/>
        <w:jc w:val="both"/>
        <w:rPr>
          <w:rFonts w:ascii="Arial" w:hAnsi="Arial" w:cs="Arial"/>
          <w:sz w:val="19"/>
          <w:szCs w:val="19"/>
        </w:rPr>
      </w:pPr>
    </w:p>
    <w:p w14:paraId="5C88F544"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Ibíd.</w:t>
      </w:r>
    </w:p>
  </w:footnote>
  <w:footnote w:id="6">
    <w:p w14:paraId="0D361EA7" w14:textId="77777777" w:rsidR="00F53DBD" w:rsidRDefault="00F53DBD" w:rsidP="00F53DBD">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7042A430" w14:textId="77777777" w:rsidR="00F53DBD" w:rsidRDefault="00F53DBD" w:rsidP="00F53DBD">
      <w:pPr>
        <w:pStyle w:val="Textonotapie"/>
        <w:ind w:firstLine="708"/>
        <w:jc w:val="both"/>
        <w:rPr>
          <w:rFonts w:ascii="Arial" w:hAnsi="Arial" w:cs="Arial"/>
          <w:sz w:val="19"/>
          <w:szCs w:val="19"/>
          <w:lang w:val="es-ES"/>
        </w:rPr>
      </w:pPr>
    </w:p>
  </w:footnote>
  <w:footnote w:id="7">
    <w:p w14:paraId="47A1B621" w14:textId="77777777" w:rsidR="00F53DBD" w:rsidRDefault="00F53DBD" w:rsidP="00F53DBD">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r:id="rId2" w:history="1">
        <w:r>
          <w:rPr>
            <w:rStyle w:val="Hipervnculo"/>
            <w:rFonts w:ascii="Arial" w:hAnsi="Arial" w:cs="Arial"/>
            <w:color w:val="0070C0"/>
            <w:sz w:val="19"/>
            <w:szCs w:val="19"/>
            <w:lang w:val="es-ES"/>
          </w:rPr>
          <w:t>https://colombiacompra.gov.co/sites/default/files/manuales/20140901_manual_requisitos_habilitantes_4_web.pdf</w:t>
        </w:r>
      </w:hyperlink>
      <w:r>
        <w:rPr>
          <w:rFonts w:ascii="Arial" w:hAnsi="Arial" w:cs="Arial"/>
          <w:sz w:val="19"/>
          <w:szCs w:val="19"/>
          <w:lang w:val="es-ES"/>
        </w:rPr>
        <w:t xml:space="preserve">. </w:t>
      </w:r>
    </w:p>
    <w:p w14:paraId="21D4F106" w14:textId="77777777" w:rsidR="00F53DBD" w:rsidRDefault="00F53DBD" w:rsidP="00F53DBD">
      <w:pPr>
        <w:pStyle w:val="Textonotapie"/>
        <w:ind w:firstLine="567"/>
        <w:jc w:val="both"/>
        <w:rPr>
          <w:rFonts w:ascii="Arial" w:hAnsi="Arial" w:cs="Arial"/>
          <w:sz w:val="19"/>
          <w:szCs w:val="19"/>
          <w:lang w:val="es-ES"/>
        </w:rPr>
      </w:pPr>
    </w:p>
  </w:footnote>
  <w:footnote w:id="8">
    <w:p w14:paraId="012F2F47"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Ibídem.</w:t>
      </w:r>
    </w:p>
  </w:footnote>
  <w:footnote w:id="9">
    <w:p w14:paraId="0A355DD6" w14:textId="77777777" w:rsidR="00F53DBD" w:rsidRDefault="00F53DBD" w:rsidP="00F53DBD">
      <w:pPr>
        <w:pStyle w:val="Textonotapie"/>
        <w:ind w:firstLine="709"/>
        <w:jc w:val="both"/>
        <w:rPr>
          <w:rFonts w:ascii="Arial" w:hAnsi="Arial" w:cs="Arial"/>
          <w:sz w:val="19"/>
          <w:szCs w:val="19"/>
        </w:rPr>
      </w:pPr>
    </w:p>
    <w:p w14:paraId="3C5D8035" w14:textId="77777777" w:rsidR="00F53DBD" w:rsidRDefault="00F53DBD" w:rsidP="00F53DBD">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6A0C4FB3" w14:textId="77777777" w:rsidR="00F53DBD" w:rsidRDefault="00F53DBD" w:rsidP="00F53DBD">
      <w:pPr>
        <w:pStyle w:val="Textonotapie"/>
        <w:ind w:firstLine="709"/>
        <w:jc w:val="both"/>
        <w:rPr>
          <w:rFonts w:ascii="Arial" w:hAnsi="Arial" w:cs="Arial"/>
          <w:sz w:val="19"/>
          <w:szCs w:val="19"/>
        </w:rPr>
      </w:pPr>
      <w:r>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10">
    <w:p w14:paraId="755A7179" w14:textId="77777777" w:rsidR="00F53DBD" w:rsidRDefault="00F53DBD" w:rsidP="00F53DBD">
      <w:pPr>
        <w:pStyle w:val="Textonotapie"/>
        <w:ind w:firstLine="709"/>
        <w:jc w:val="both"/>
        <w:rPr>
          <w:rFonts w:ascii="Arial" w:hAnsi="Arial" w:cs="Arial"/>
          <w:sz w:val="19"/>
          <w:szCs w:val="19"/>
        </w:rPr>
      </w:pPr>
    </w:p>
    <w:p w14:paraId="29C01AEE"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11">
    <w:p w14:paraId="49D5EC8F" w14:textId="77777777" w:rsidR="00F53DBD" w:rsidRDefault="00F53DBD" w:rsidP="00F53DBD">
      <w:pPr>
        <w:pStyle w:val="Textonotapie"/>
        <w:ind w:firstLine="709"/>
        <w:jc w:val="both"/>
        <w:rPr>
          <w:rFonts w:ascii="Arial" w:hAnsi="Arial" w:cs="Arial"/>
          <w:sz w:val="19"/>
          <w:szCs w:val="19"/>
        </w:rPr>
      </w:pPr>
    </w:p>
    <w:p w14:paraId="2EE10A75"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En efecto</w:t>
      </w:r>
      <w:r>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Pr>
          <w:rFonts w:ascii="Arial" w:hAnsi="Arial" w:cs="Arial"/>
          <w:i/>
          <w:iCs/>
          <w:sz w:val="19"/>
          <w:szCs w:val="19"/>
          <w:lang w:val="es-ES"/>
        </w:rPr>
        <w:t>julio</w:t>
      </w:r>
      <w:r>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12">
    <w:p w14:paraId="0A5B028C"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607D78BE" w14:textId="77777777" w:rsidR="00F53DBD" w:rsidRDefault="00F53DBD" w:rsidP="00F53DBD">
      <w:pPr>
        <w:pStyle w:val="Textonotapie"/>
        <w:ind w:firstLine="709"/>
        <w:jc w:val="both"/>
        <w:rPr>
          <w:rFonts w:ascii="Arial" w:hAnsi="Arial" w:cs="Arial"/>
          <w:sz w:val="19"/>
          <w:szCs w:val="19"/>
          <w:lang w:val="es-ES"/>
        </w:rPr>
      </w:pPr>
      <w:r>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88E0097" w14:textId="77777777" w:rsidR="00F53DBD" w:rsidRDefault="00F53DBD" w:rsidP="00F53DBD">
      <w:pPr>
        <w:pStyle w:val="Textonotapie"/>
        <w:ind w:firstLine="709"/>
        <w:jc w:val="both"/>
        <w:rPr>
          <w:rFonts w:ascii="Arial" w:hAnsi="Arial" w:cs="Arial"/>
          <w:sz w:val="19"/>
          <w:szCs w:val="19"/>
          <w:lang w:val="es-ES"/>
        </w:rPr>
      </w:pPr>
      <w:r>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0AB98C75" w14:textId="77777777" w:rsidR="00F53DBD" w:rsidRDefault="00F53DBD" w:rsidP="00F53DBD">
      <w:pPr>
        <w:pStyle w:val="Textonotapie"/>
        <w:ind w:firstLine="709"/>
        <w:jc w:val="both"/>
        <w:rPr>
          <w:rFonts w:ascii="Arial" w:hAnsi="Arial" w:cs="Arial"/>
          <w:sz w:val="19"/>
          <w:szCs w:val="19"/>
          <w:lang w:val="es-ES"/>
        </w:rPr>
      </w:pPr>
      <w:r>
        <w:rPr>
          <w:rFonts w:ascii="Arial" w:hAnsi="Arial" w:cs="Arial"/>
          <w:sz w:val="19"/>
          <w:szCs w:val="19"/>
          <w:lang w:val="es-ES"/>
        </w:rPr>
        <w:t>»El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0B4E11B0" w14:textId="77777777" w:rsidR="00F53DBD" w:rsidRDefault="00F53DBD" w:rsidP="00F53DBD">
      <w:pPr>
        <w:pStyle w:val="Textonotapie"/>
        <w:ind w:firstLine="709"/>
        <w:jc w:val="both"/>
        <w:rPr>
          <w:rFonts w:ascii="Arial" w:hAnsi="Arial" w:cs="Arial"/>
          <w:sz w:val="19"/>
          <w:szCs w:val="19"/>
          <w:lang w:val="es-ES"/>
        </w:rPr>
      </w:pPr>
      <w:r>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D0954B8" w14:textId="77777777" w:rsidR="00F53DBD" w:rsidRDefault="00F53DBD" w:rsidP="00F53DBD">
      <w:pPr>
        <w:pStyle w:val="Textonotapie"/>
        <w:ind w:firstLine="709"/>
        <w:jc w:val="both"/>
        <w:rPr>
          <w:rFonts w:ascii="Arial" w:hAnsi="Arial" w:cs="Arial"/>
          <w:sz w:val="19"/>
          <w:szCs w:val="19"/>
          <w:lang w:val="es-ES"/>
        </w:rPr>
      </w:pPr>
      <w:r>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7A03F121" w14:textId="77777777" w:rsidR="00F53DBD" w:rsidRDefault="00F53DBD" w:rsidP="00F53DBD">
      <w:pPr>
        <w:pStyle w:val="Textonotapie"/>
        <w:ind w:firstLine="709"/>
        <w:jc w:val="both"/>
        <w:rPr>
          <w:rFonts w:ascii="Arial" w:hAnsi="Arial" w:cs="Arial"/>
          <w:sz w:val="19"/>
          <w:szCs w:val="19"/>
          <w:lang w:val="es-ES"/>
        </w:rPr>
      </w:pPr>
      <w:r>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04467A79" w14:textId="77777777" w:rsidR="00F53DBD" w:rsidRDefault="00F53DBD" w:rsidP="00F53DBD">
      <w:pPr>
        <w:pStyle w:val="Textonotapie"/>
        <w:ind w:firstLine="709"/>
        <w:jc w:val="both"/>
        <w:rPr>
          <w:rFonts w:ascii="Arial" w:hAnsi="Arial" w:cs="Arial"/>
          <w:sz w:val="19"/>
          <w:szCs w:val="19"/>
          <w:lang w:val="es-CO"/>
        </w:rPr>
      </w:pPr>
      <w:r>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3">
    <w:p w14:paraId="1ED5349F" w14:textId="77777777" w:rsidR="00F53DBD" w:rsidRDefault="00F53DBD" w:rsidP="00F53DBD">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Debe recordarse que el artículo 2.2.1.1.1.6.2. del Decreto 1082 de 2015 prevé lo siguiente: «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4">
    <w:p w14:paraId="7450883B" w14:textId="77777777" w:rsidR="00F53DBD" w:rsidRDefault="00F53DBD" w:rsidP="00F53DBD">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DÁVILA VINUEZA, Luis Guillermo. Régimen jurídico de la contratación estatal. 3ª ed. Bogotá: Legis, 2016. p. 104.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518815366">
    <w:abstractNumId w:val="3"/>
  </w:num>
  <w:num w:numId="2" w16cid:durableId="669138392">
    <w:abstractNumId w:val="2"/>
  </w:num>
  <w:num w:numId="3" w16cid:durableId="661591440">
    <w:abstractNumId w:val="4"/>
  </w:num>
  <w:num w:numId="4" w16cid:durableId="90859304">
    <w:abstractNumId w:val="5"/>
  </w:num>
  <w:num w:numId="5" w16cid:durableId="335351185">
    <w:abstractNumId w:val="9"/>
  </w:num>
  <w:num w:numId="6" w16cid:durableId="119538227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129318">
    <w:abstractNumId w:val="6"/>
  </w:num>
  <w:num w:numId="8" w16cid:durableId="1234198477">
    <w:abstractNumId w:val="1"/>
  </w:num>
  <w:num w:numId="9" w16cid:durableId="857352062">
    <w:abstractNumId w:val="8"/>
  </w:num>
  <w:num w:numId="10" w16cid:durableId="976758864">
    <w:abstractNumId w:val="7"/>
  </w:num>
  <w:num w:numId="11" w16cid:durableId="18012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53"/>
    <w:rsid w:val="00002773"/>
    <w:rsid w:val="0000537F"/>
    <w:rsid w:val="00007845"/>
    <w:rsid w:val="00015559"/>
    <w:rsid w:val="00015DF9"/>
    <w:rsid w:val="000162C3"/>
    <w:rsid w:val="00016DCE"/>
    <w:rsid w:val="00023000"/>
    <w:rsid w:val="0002383B"/>
    <w:rsid w:val="00023BE4"/>
    <w:rsid w:val="00023C87"/>
    <w:rsid w:val="000242AA"/>
    <w:rsid w:val="0002551F"/>
    <w:rsid w:val="0003000D"/>
    <w:rsid w:val="00031FC6"/>
    <w:rsid w:val="000333CC"/>
    <w:rsid w:val="00033B21"/>
    <w:rsid w:val="00035210"/>
    <w:rsid w:val="00036204"/>
    <w:rsid w:val="000419E3"/>
    <w:rsid w:val="00043688"/>
    <w:rsid w:val="0004523D"/>
    <w:rsid w:val="000455B5"/>
    <w:rsid w:val="00056788"/>
    <w:rsid w:val="00056886"/>
    <w:rsid w:val="00060398"/>
    <w:rsid w:val="00063081"/>
    <w:rsid w:val="00064E2F"/>
    <w:rsid w:val="00065BD4"/>
    <w:rsid w:val="000672C2"/>
    <w:rsid w:val="000709B9"/>
    <w:rsid w:val="0007113B"/>
    <w:rsid w:val="00074108"/>
    <w:rsid w:val="00076D8E"/>
    <w:rsid w:val="00080394"/>
    <w:rsid w:val="0008130D"/>
    <w:rsid w:val="00081F09"/>
    <w:rsid w:val="00083231"/>
    <w:rsid w:val="00086C1E"/>
    <w:rsid w:val="00090BDF"/>
    <w:rsid w:val="00091F03"/>
    <w:rsid w:val="0009216F"/>
    <w:rsid w:val="0009351A"/>
    <w:rsid w:val="000942A0"/>
    <w:rsid w:val="000942EB"/>
    <w:rsid w:val="000950AA"/>
    <w:rsid w:val="000A3D48"/>
    <w:rsid w:val="000A711E"/>
    <w:rsid w:val="000A785D"/>
    <w:rsid w:val="000B103F"/>
    <w:rsid w:val="000B2127"/>
    <w:rsid w:val="000B57BB"/>
    <w:rsid w:val="000B6AB4"/>
    <w:rsid w:val="000C0959"/>
    <w:rsid w:val="000C19E1"/>
    <w:rsid w:val="000D02B3"/>
    <w:rsid w:val="000D0CE3"/>
    <w:rsid w:val="000D3A92"/>
    <w:rsid w:val="000D4A92"/>
    <w:rsid w:val="000D6137"/>
    <w:rsid w:val="000D6A19"/>
    <w:rsid w:val="000E1BF2"/>
    <w:rsid w:val="000E3C36"/>
    <w:rsid w:val="000E4B5C"/>
    <w:rsid w:val="000E519C"/>
    <w:rsid w:val="000E699E"/>
    <w:rsid w:val="000E730C"/>
    <w:rsid w:val="000F0BAE"/>
    <w:rsid w:val="000F14E8"/>
    <w:rsid w:val="000F18A6"/>
    <w:rsid w:val="000F5FEF"/>
    <w:rsid w:val="00101D47"/>
    <w:rsid w:val="00103915"/>
    <w:rsid w:val="00110320"/>
    <w:rsid w:val="001103A2"/>
    <w:rsid w:val="00113958"/>
    <w:rsid w:val="001154E8"/>
    <w:rsid w:val="00121CD3"/>
    <w:rsid w:val="00122B23"/>
    <w:rsid w:val="00123889"/>
    <w:rsid w:val="00125924"/>
    <w:rsid w:val="00127300"/>
    <w:rsid w:val="001302FD"/>
    <w:rsid w:val="00134E7D"/>
    <w:rsid w:val="001353DC"/>
    <w:rsid w:val="0013568D"/>
    <w:rsid w:val="0013799F"/>
    <w:rsid w:val="00137BCE"/>
    <w:rsid w:val="00137FFA"/>
    <w:rsid w:val="00141FAC"/>
    <w:rsid w:val="001428A2"/>
    <w:rsid w:val="001434BC"/>
    <w:rsid w:val="001437AF"/>
    <w:rsid w:val="0014392D"/>
    <w:rsid w:val="00143A66"/>
    <w:rsid w:val="001475AE"/>
    <w:rsid w:val="00152457"/>
    <w:rsid w:val="00152E87"/>
    <w:rsid w:val="00161B7E"/>
    <w:rsid w:val="00166B32"/>
    <w:rsid w:val="00175FDC"/>
    <w:rsid w:val="0018007B"/>
    <w:rsid w:val="001821C5"/>
    <w:rsid w:val="00193EFC"/>
    <w:rsid w:val="001A36A3"/>
    <w:rsid w:val="001A5B93"/>
    <w:rsid w:val="001A695E"/>
    <w:rsid w:val="001A7009"/>
    <w:rsid w:val="001B493A"/>
    <w:rsid w:val="001B4D2D"/>
    <w:rsid w:val="001B744D"/>
    <w:rsid w:val="001C01AC"/>
    <w:rsid w:val="001C47C6"/>
    <w:rsid w:val="001C560B"/>
    <w:rsid w:val="001C67D0"/>
    <w:rsid w:val="001C6B55"/>
    <w:rsid w:val="001E0660"/>
    <w:rsid w:val="001E0B25"/>
    <w:rsid w:val="001E37F8"/>
    <w:rsid w:val="001E3A55"/>
    <w:rsid w:val="001E62AF"/>
    <w:rsid w:val="001E770F"/>
    <w:rsid w:val="001F2A9C"/>
    <w:rsid w:val="001F5CA2"/>
    <w:rsid w:val="002002A3"/>
    <w:rsid w:val="00202F2E"/>
    <w:rsid w:val="002056AE"/>
    <w:rsid w:val="00210361"/>
    <w:rsid w:val="00212674"/>
    <w:rsid w:val="0021312A"/>
    <w:rsid w:val="00213765"/>
    <w:rsid w:val="00213E60"/>
    <w:rsid w:val="00214878"/>
    <w:rsid w:val="00215533"/>
    <w:rsid w:val="00220DCB"/>
    <w:rsid w:val="00224AFF"/>
    <w:rsid w:val="00224B81"/>
    <w:rsid w:val="00230492"/>
    <w:rsid w:val="00231C01"/>
    <w:rsid w:val="00232C3A"/>
    <w:rsid w:val="002330A3"/>
    <w:rsid w:val="002346FC"/>
    <w:rsid w:val="00234B84"/>
    <w:rsid w:val="00237377"/>
    <w:rsid w:val="00237D96"/>
    <w:rsid w:val="002411E9"/>
    <w:rsid w:val="00242ED7"/>
    <w:rsid w:val="0024357A"/>
    <w:rsid w:val="0024480D"/>
    <w:rsid w:val="002454B3"/>
    <w:rsid w:val="00250EB5"/>
    <w:rsid w:val="00255AFA"/>
    <w:rsid w:val="0026156A"/>
    <w:rsid w:val="0026186C"/>
    <w:rsid w:val="00261A2E"/>
    <w:rsid w:val="002630D9"/>
    <w:rsid w:val="002706B4"/>
    <w:rsid w:val="0027103D"/>
    <w:rsid w:val="0027359F"/>
    <w:rsid w:val="00280995"/>
    <w:rsid w:val="00280E65"/>
    <w:rsid w:val="0028687E"/>
    <w:rsid w:val="00286DB6"/>
    <w:rsid w:val="00287A42"/>
    <w:rsid w:val="002918F7"/>
    <w:rsid w:val="002923DB"/>
    <w:rsid w:val="002932EB"/>
    <w:rsid w:val="00293C69"/>
    <w:rsid w:val="00294025"/>
    <w:rsid w:val="00294A08"/>
    <w:rsid w:val="002A008E"/>
    <w:rsid w:val="002A36A9"/>
    <w:rsid w:val="002A4D54"/>
    <w:rsid w:val="002B3D4E"/>
    <w:rsid w:val="002C3D5A"/>
    <w:rsid w:val="002C4C4D"/>
    <w:rsid w:val="002C71CA"/>
    <w:rsid w:val="002C7E55"/>
    <w:rsid w:val="002C7E5B"/>
    <w:rsid w:val="002D1AA6"/>
    <w:rsid w:val="002D7A0C"/>
    <w:rsid w:val="002E1753"/>
    <w:rsid w:val="002E6F9C"/>
    <w:rsid w:val="002E7375"/>
    <w:rsid w:val="002E79A9"/>
    <w:rsid w:val="002F2195"/>
    <w:rsid w:val="002F33C3"/>
    <w:rsid w:val="003011A3"/>
    <w:rsid w:val="0030200C"/>
    <w:rsid w:val="00302E69"/>
    <w:rsid w:val="00303001"/>
    <w:rsid w:val="003033BA"/>
    <w:rsid w:val="00303A29"/>
    <w:rsid w:val="00305947"/>
    <w:rsid w:val="00306259"/>
    <w:rsid w:val="003067C4"/>
    <w:rsid w:val="00313908"/>
    <w:rsid w:val="003159B5"/>
    <w:rsid w:val="00315C98"/>
    <w:rsid w:val="00323084"/>
    <w:rsid w:val="00323E51"/>
    <w:rsid w:val="003321AC"/>
    <w:rsid w:val="0033352A"/>
    <w:rsid w:val="00333DBC"/>
    <w:rsid w:val="00341A74"/>
    <w:rsid w:val="0034680A"/>
    <w:rsid w:val="003471F9"/>
    <w:rsid w:val="00352311"/>
    <w:rsid w:val="00353E32"/>
    <w:rsid w:val="0035441E"/>
    <w:rsid w:val="003544BB"/>
    <w:rsid w:val="00356E6F"/>
    <w:rsid w:val="003600DB"/>
    <w:rsid w:val="003605A4"/>
    <w:rsid w:val="003619FE"/>
    <w:rsid w:val="00363113"/>
    <w:rsid w:val="003644CA"/>
    <w:rsid w:val="003649A2"/>
    <w:rsid w:val="003657FD"/>
    <w:rsid w:val="003729F7"/>
    <w:rsid w:val="00372B16"/>
    <w:rsid w:val="00372BA8"/>
    <w:rsid w:val="003751BE"/>
    <w:rsid w:val="00376566"/>
    <w:rsid w:val="0038295A"/>
    <w:rsid w:val="00385399"/>
    <w:rsid w:val="00386456"/>
    <w:rsid w:val="00387590"/>
    <w:rsid w:val="00392F03"/>
    <w:rsid w:val="003945B8"/>
    <w:rsid w:val="00395355"/>
    <w:rsid w:val="00395C94"/>
    <w:rsid w:val="00397B0C"/>
    <w:rsid w:val="003A1AAE"/>
    <w:rsid w:val="003A581E"/>
    <w:rsid w:val="003B0B5A"/>
    <w:rsid w:val="003B4F39"/>
    <w:rsid w:val="003C0C02"/>
    <w:rsid w:val="003C12EA"/>
    <w:rsid w:val="003C43B0"/>
    <w:rsid w:val="003D14E8"/>
    <w:rsid w:val="003D29F7"/>
    <w:rsid w:val="003D2AA2"/>
    <w:rsid w:val="003D4BB2"/>
    <w:rsid w:val="003D7DB6"/>
    <w:rsid w:val="003E4ED2"/>
    <w:rsid w:val="003F2F99"/>
    <w:rsid w:val="003F6F8C"/>
    <w:rsid w:val="00400DDE"/>
    <w:rsid w:val="004049F6"/>
    <w:rsid w:val="00405662"/>
    <w:rsid w:val="00410870"/>
    <w:rsid w:val="004110F1"/>
    <w:rsid w:val="00414A77"/>
    <w:rsid w:val="00416B88"/>
    <w:rsid w:val="00417402"/>
    <w:rsid w:val="00417B35"/>
    <w:rsid w:val="0042489D"/>
    <w:rsid w:val="00425163"/>
    <w:rsid w:val="0043152C"/>
    <w:rsid w:val="00432163"/>
    <w:rsid w:val="00434BC9"/>
    <w:rsid w:val="004422D6"/>
    <w:rsid w:val="00443F10"/>
    <w:rsid w:val="00445F18"/>
    <w:rsid w:val="004513E8"/>
    <w:rsid w:val="00462527"/>
    <w:rsid w:val="00467240"/>
    <w:rsid w:val="00467950"/>
    <w:rsid w:val="00467AA4"/>
    <w:rsid w:val="00477B6D"/>
    <w:rsid w:val="00481E1A"/>
    <w:rsid w:val="00483490"/>
    <w:rsid w:val="00487048"/>
    <w:rsid w:val="0048706D"/>
    <w:rsid w:val="00490869"/>
    <w:rsid w:val="0049197E"/>
    <w:rsid w:val="00495206"/>
    <w:rsid w:val="00495FB2"/>
    <w:rsid w:val="004A34D2"/>
    <w:rsid w:val="004A51B7"/>
    <w:rsid w:val="004B2AA5"/>
    <w:rsid w:val="004B2EF6"/>
    <w:rsid w:val="004B6213"/>
    <w:rsid w:val="004B62BE"/>
    <w:rsid w:val="004B635E"/>
    <w:rsid w:val="004B6CD1"/>
    <w:rsid w:val="004C0C3B"/>
    <w:rsid w:val="004C35C3"/>
    <w:rsid w:val="004C56C4"/>
    <w:rsid w:val="004C5CB7"/>
    <w:rsid w:val="004C64DF"/>
    <w:rsid w:val="004D021E"/>
    <w:rsid w:val="004D1A6F"/>
    <w:rsid w:val="004D2202"/>
    <w:rsid w:val="004D2FE0"/>
    <w:rsid w:val="004D3CBD"/>
    <w:rsid w:val="004D6F1F"/>
    <w:rsid w:val="004E2DEA"/>
    <w:rsid w:val="004E420A"/>
    <w:rsid w:val="004E56A1"/>
    <w:rsid w:val="004E6117"/>
    <w:rsid w:val="004F1A74"/>
    <w:rsid w:val="004F2C07"/>
    <w:rsid w:val="004F34C0"/>
    <w:rsid w:val="004F3CEB"/>
    <w:rsid w:val="004F3E22"/>
    <w:rsid w:val="004F4C0F"/>
    <w:rsid w:val="0050193D"/>
    <w:rsid w:val="00501AD2"/>
    <w:rsid w:val="00504B90"/>
    <w:rsid w:val="00507B55"/>
    <w:rsid w:val="0051074C"/>
    <w:rsid w:val="00512714"/>
    <w:rsid w:val="00513AF2"/>
    <w:rsid w:val="0051416A"/>
    <w:rsid w:val="00517832"/>
    <w:rsid w:val="00525997"/>
    <w:rsid w:val="00525AC7"/>
    <w:rsid w:val="00525C51"/>
    <w:rsid w:val="00530937"/>
    <w:rsid w:val="005356EA"/>
    <w:rsid w:val="0053681E"/>
    <w:rsid w:val="005400DA"/>
    <w:rsid w:val="0054229C"/>
    <w:rsid w:val="005427CF"/>
    <w:rsid w:val="0054413A"/>
    <w:rsid w:val="005441E1"/>
    <w:rsid w:val="00546CA7"/>
    <w:rsid w:val="00550FD8"/>
    <w:rsid w:val="00553EAD"/>
    <w:rsid w:val="005564CA"/>
    <w:rsid w:val="00556E55"/>
    <w:rsid w:val="00557C64"/>
    <w:rsid w:val="00561B6B"/>
    <w:rsid w:val="0056302E"/>
    <w:rsid w:val="005637B5"/>
    <w:rsid w:val="00572EF9"/>
    <w:rsid w:val="00573371"/>
    <w:rsid w:val="00576219"/>
    <w:rsid w:val="005774F2"/>
    <w:rsid w:val="005776D4"/>
    <w:rsid w:val="0058665A"/>
    <w:rsid w:val="005909E4"/>
    <w:rsid w:val="00593EF9"/>
    <w:rsid w:val="00594657"/>
    <w:rsid w:val="00597CC7"/>
    <w:rsid w:val="005A2895"/>
    <w:rsid w:val="005A3893"/>
    <w:rsid w:val="005A4AEC"/>
    <w:rsid w:val="005A7711"/>
    <w:rsid w:val="005B0500"/>
    <w:rsid w:val="005B0CD4"/>
    <w:rsid w:val="005B11C6"/>
    <w:rsid w:val="005B1CFC"/>
    <w:rsid w:val="005B57CE"/>
    <w:rsid w:val="005B6063"/>
    <w:rsid w:val="005C27D6"/>
    <w:rsid w:val="005C50CF"/>
    <w:rsid w:val="005C7CDD"/>
    <w:rsid w:val="005D0519"/>
    <w:rsid w:val="005D18A0"/>
    <w:rsid w:val="005D1B45"/>
    <w:rsid w:val="005D25BD"/>
    <w:rsid w:val="005D69B0"/>
    <w:rsid w:val="005D6C98"/>
    <w:rsid w:val="005E27F2"/>
    <w:rsid w:val="005E3FDC"/>
    <w:rsid w:val="005E46CB"/>
    <w:rsid w:val="005E55D7"/>
    <w:rsid w:val="005E5AD9"/>
    <w:rsid w:val="005F0CCA"/>
    <w:rsid w:val="00600AC5"/>
    <w:rsid w:val="00601FE3"/>
    <w:rsid w:val="00603D82"/>
    <w:rsid w:val="006042B9"/>
    <w:rsid w:val="00604F33"/>
    <w:rsid w:val="00606730"/>
    <w:rsid w:val="00611EDE"/>
    <w:rsid w:val="00615A40"/>
    <w:rsid w:val="0062065E"/>
    <w:rsid w:val="00621149"/>
    <w:rsid w:val="0062127A"/>
    <w:rsid w:val="00621E35"/>
    <w:rsid w:val="0062303B"/>
    <w:rsid w:val="006245AB"/>
    <w:rsid w:val="00625D9A"/>
    <w:rsid w:val="00636072"/>
    <w:rsid w:val="00642B0D"/>
    <w:rsid w:val="00644299"/>
    <w:rsid w:val="0064486D"/>
    <w:rsid w:val="00644D3C"/>
    <w:rsid w:val="00645D51"/>
    <w:rsid w:val="006535D1"/>
    <w:rsid w:val="00654AA6"/>
    <w:rsid w:val="00655371"/>
    <w:rsid w:val="00656629"/>
    <w:rsid w:val="00662A05"/>
    <w:rsid w:val="00664D8D"/>
    <w:rsid w:val="00667133"/>
    <w:rsid w:val="006735A6"/>
    <w:rsid w:val="006754C6"/>
    <w:rsid w:val="00676EE8"/>
    <w:rsid w:val="006819BE"/>
    <w:rsid w:val="00684673"/>
    <w:rsid w:val="00685F97"/>
    <w:rsid w:val="00687C15"/>
    <w:rsid w:val="00687EC0"/>
    <w:rsid w:val="00690936"/>
    <w:rsid w:val="00697665"/>
    <w:rsid w:val="006A0A45"/>
    <w:rsid w:val="006A7FD0"/>
    <w:rsid w:val="006B0278"/>
    <w:rsid w:val="006B1E14"/>
    <w:rsid w:val="006B3A0D"/>
    <w:rsid w:val="006B6ED7"/>
    <w:rsid w:val="006C0BAA"/>
    <w:rsid w:val="006C1231"/>
    <w:rsid w:val="006C1A51"/>
    <w:rsid w:val="006C68E6"/>
    <w:rsid w:val="006D079A"/>
    <w:rsid w:val="006D1878"/>
    <w:rsid w:val="006D32A2"/>
    <w:rsid w:val="006D66A7"/>
    <w:rsid w:val="006D7687"/>
    <w:rsid w:val="006D79C0"/>
    <w:rsid w:val="006E0572"/>
    <w:rsid w:val="006E3A29"/>
    <w:rsid w:val="006E54A1"/>
    <w:rsid w:val="006E6613"/>
    <w:rsid w:val="00700D9E"/>
    <w:rsid w:val="00702385"/>
    <w:rsid w:val="00702B97"/>
    <w:rsid w:val="00704381"/>
    <w:rsid w:val="00705631"/>
    <w:rsid w:val="0071041D"/>
    <w:rsid w:val="0071115F"/>
    <w:rsid w:val="0071707F"/>
    <w:rsid w:val="007262E7"/>
    <w:rsid w:val="00727C3C"/>
    <w:rsid w:val="0073099C"/>
    <w:rsid w:val="007337AB"/>
    <w:rsid w:val="00734B73"/>
    <w:rsid w:val="00735EB6"/>
    <w:rsid w:val="00735F4B"/>
    <w:rsid w:val="00737DB6"/>
    <w:rsid w:val="00740246"/>
    <w:rsid w:val="007424A8"/>
    <w:rsid w:val="00742DD2"/>
    <w:rsid w:val="00743288"/>
    <w:rsid w:val="00744529"/>
    <w:rsid w:val="007452CF"/>
    <w:rsid w:val="0075010E"/>
    <w:rsid w:val="00751379"/>
    <w:rsid w:val="0075647A"/>
    <w:rsid w:val="00756B38"/>
    <w:rsid w:val="007575ED"/>
    <w:rsid w:val="007609E9"/>
    <w:rsid w:val="007618B2"/>
    <w:rsid w:val="007634AD"/>
    <w:rsid w:val="00764561"/>
    <w:rsid w:val="00764F47"/>
    <w:rsid w:val="00771390"/>
    <w:rsid w:val="00780638"/>
    <w:rsid w:val="0078122E"/>
    <w:rsid w:val="00781AA8"/>
    <w:rsid w:val="0078365A"/>
    <w:rsid w:val="0079134A"/>
    <w:rsid w:val="00795113"/>
    <w:rsid w:val="00796A87"/>
    <w:rsid w:val="007A1E2C"/>
    <w:rsid w:val="007A5A1D"/>
    <w:rsid w:val="007A6A34"/>
    <w:rsid w:val="007B0854"/>
    <w:rsid w:val="007B0C66"/>
    <w:rsid w:val="007C1E02"/>
    <w:rsid w:val="007C1FB0"/>
    <w:rsid w:val="007C3412"/>
    <w:rsid w:val="007D3323"/>
    <w:rsid w:val="007D3EDD"/>
    <w:rsid w:val="007E193F"/>
    <w:rsid w:val="007E24A0"/>
    <w:rsid w:val="007E306B"/>
    <w:rsid w:val="007E331A"/>
    <w:rsid w:val="007E37E0"/>
    <w:rsid w:val="007E4343"/>
    <w:rsid w:val="007E5FB3"/>
    <w:rsid w:val="007E6D71"/>
    <w:rsid w:val="007F1C74"/>
    <w:rsid w:val="007F5937"/>
    <w:rsid w:val="007F7255"/>
    <w:rsid w:val="007F72CB"/>
    <w:rsid w:val="00801F73"/>
    <w:rsid w:val="00801F90"/>
    <w:rsid w:val="00802FF0"/>
    <w:rsid w:val="008065A8"/>
    <w:rsid w:val="00810875"/>
    <w:rsid w:val="00811EDD"/>
    <w:rsid w:val="008147E8"/>
    <w:rsid w:val="00816B40"/>
    <w:rsid w:val="00817635"/>
    <w:rsid w:val="008229F3"/>
    <w:rsid w:val="00824A6D"/>
    <w:rsid w:val="0083119B"/>
    <w:rsid w:val="00835C7D"/>
    <w:rsid w:val="00836EAB"/>
    <w:rsid w:val="00837C23"/>
    <w:rsid w:val="008472EF"/>
    <w:rsid w:val="0085092D"/>
    <w:rsid w:val="00854B8E"/>
    <w:rsid w:val="008615FD"/>
    <w:rsid w:val="00862405"/>
    <w:rsid w:val="00863745"/>
    <w:rsid w:val="00863BD9"/>
    <w:rsid w:val="008662E2"/>
    <w:rsid w:val="0086710D"/>
    <w:rsid w:val="00871A33"/>
    <w:rsid w:val="00874B3D"/>
    <w:rsid w:val="00881234"/>
    <w:rsid w:val="00882A7C"/>
    <w:rsid w:val="00884F75"/>
    <w:rsid w:val="008865C0"/>
    <w:rsid w:val="0088776A"/>
    <w:rsid w:val="008903AE"/>
    <w:rsid w:val="008941DC"/>
    <w:rsid w:val="00894712"/>
    <w:rsid w:val="00896CE7"/>
    <w:rsid w:val="008A29B2"/>
    <w:rsid w:val="008A56B5"/>
    <w:rsid w:val="008A7BB3"/>
    <w:rsid w:val="008B1764"/>
    <w:rsid w:val="008B1E60"/>
    <w:rsid w:val="008B5730"/>
    <w:rsid w:val="008B79E0"/>
    <w:rsid w:val="008C3F2E"/>
    <w:rsid w:val="008C449B"/>
    <w:rsid w:val="008C5FE5"/>
    <w:rsid w:val="008D12DE"/>
    <w:rsid w:val="008D170E"/>
    <w:rsid w:val="008D7064"/>
    <w:rsid w:val="008E1C15"/>
    <w:rsid w:val="008E2530"/>
    <w:rsid w:val="008E3555"/>
    <w:rsid w:val="008F06D2"/>
    <w:rsid w:val="008F53F4"/>
    <w:rsid w:val="00900697"/>
    <w:rsid w:val="00901339"/>
    <w:rsid w:val="00902872"/>
    <w:rsid w:val="009047C5"/>
    <w:rsid w:val="00905611"/>
    <w:rsid w:val="009101AA"/>
    <w:rsid w:val="00911BF7"/>
    <w:rsid w:val="00913B77"/>
    <w:rsid w:val="00916DB5"/>
    <w:rsid w:val="00921955"/>
    <w:rsid w:val="00921B59"/>
    <w:rsid w:val="009242C9"/>
    <w:rsid w:val="00932ABE"/>
    <w:rsid w:val="00933AF7"/>
    <w:rsid w:val="00935D4A"/>
    <w:rsid w:val="00936EF8"/>
    <w:rsid w:val="00941B45"/>
    <w:rsid w:val="00941BB1"/>
    <w:rsid w:val="00947945"/>
    <w:rsid w:val="00951524"/>
    <w:rsid w:val="00952D7C"/>
    <w:rsid w:val="0095385A"/>
    <w:rsid w:val="00954AC6"/>
    <w:rsid w:val="00962013"/>
    <w:rsid w:val="009646C4"/>
    <w:rsid w:val="00965006"/>
    <w:rsid w:val="009660C9"/>
    <w:rsid w:val="00966595"/>
    <w:rsid w:val="00971321"/>
    <w:rsid w:val="009769F6"/>
    <w:rsid w:val="00981254"/>
    <w:rsid w:val="009859D4"/>
    <w:rsid w:val="0098629E"/>
    <w:rsid w:val="009A7EAF"/>
    <w:rsid w:val="009B343E"/>
    <w:rsid w:val="009B3E7E"/>
    <w:rsid w:val="009B42A9"/>
    <w:rsid w:val="009B6B8C"/>
    <w:rsid w:val="009C0366"/>
    <w:rsid w:val="009C2375"/>
    <w:rsid w:val="009C50D0"/>
    <w:rsid w:val="009E452B"/>
    <w:rsid w:val="009F12D8"/>
    <w:rsid w:val="00A04B11"/>
    <w:rsid w:val="00A06772"/>
    <w:rsid w:val="00A074BF"/>
    <w:rsid w:val="00A0798E"/>
    <w:rsid w:val="00A10741"/>
    <w:rsid w:val="00A12E39"/>
    <w:rsid w:val="00A1500F"/>
    <w:rsid w:val="00A17103"/>
    <w:rsid w:val="00A17228"/>
    <w:rsid w:val="00A21E32"/>
    <w:rsid w:val="00A23EDF"/>
    <w:rsid w:val="00A241AD"/>
    <w:rsid w:val="00A24322"/>
    <w:rsid w:val="00A24560"/>
    <w:rsid w:val="00A24FCF"/>
    <w:rsid w:val="00A31BC6"/>
    <w:rsid w:val="00A33A35"/>
    <w:rsid w:val="00A34538"/>
    <w:rsid w:val="00A35A4D"/>
    <w:rsid w:val="00A45F5D"/>
    <w:rsid w:val="00A461DC"/>
    <w:rsid w:val="00A50EA1"/>
    <w:rsid w:val="00A5472B"/>
    <w:rsid w:val="00A54843"/>
    <w:rsid w:val="00A54FA1"/>
    <w:rsid w:val="00A562DC"/>
    <w:rsid w:val="00A60725"/>
    <w:rsid w:val="00A60A14"/>
    <w:rsid w:val="00A614E3"/>
    <w:rsid w:val="00A620C8"/>
    <w:rsid w:val="00A64171"/>
    <w:rsid w:val="00A64ADC"/>
    <w:rsid w:val="00A66E29"/>
    <w:rsid w:val="00A67F5B"/>
    <w:rsid w:val="00A7104E"/>
    <w:rsid w:val="00A737CD"/>
    <w:rsid w:val="00A774DC"/>
    <w:rsid w:val="00A8084F"/>
    <w:rsid w:val="00A835CF"/>
    <w:rsid w:val="00A8663D"/>
    <w:rsid w:val="00A94F84"/>
    <w:rsid w:val="00A95A3C"/>
    <w:rsid w:val="00A95E66"/>
    <w:rsid w:val="00AA3584"/>
    <w:rsid w:val="00AA442B"/>
    <w:rsid w:val="00AA6D04"/>
    <w:rsid w:val="00AA707B"/>
    <w:rsid w:val="00AB177F"/>
    <w:rsid w:val="00AB31E7"/>
    <w:rsid w:val="00AB4034"/>
    <w:rsid w:val="00AB427C"/>
    <w:rsid w:val="00AB6622"/>
    <w:rsid w:val="00AB7B09"/>
    <w:rsid w:val="00AC1E82"/>
    <w:rsid w:val="00AC345B"/>
    <w:rsid w:val="00AD0EDA"/>
    <w:rsid w:val="00AD2CDF"/>
    <w:rsid w:val="00AD2E3C"/>
    <w:rsid w:val="00AE3C7C"/>
    <w:rsid w:val="00AE4F70"/>
    <w:rsid w:val="00AF1718"/>
    <w:rsid w:val="00AF2440"/>
    <w:rsid w:val="00AF4C70"/>
    <w:rsid w:val="00AF798A"/>
    <w:rsid w:val="00B004FA"/>
    <w:rsid w:val="00B04EDB"/>
    <w:rsid w:val="00B05DB0"/>
    <w:rsid w:val="00B11CB1"/>
    <w:rsid w:val="00B14855"/>
    <w:rsid w:val="00B158C1"/>
    <w:rsid w:val="00B159A0"/>
    <w:rsid w:val="00B2165B"/>
    <w:rsid w:val="00B22E22"/>
    <w:rsid w:val="00B26B8B"/>
    <w:rsid w:val="00B31040"/>
    <w:rsid w:val="00B333CE"/>
    <w:rsid w:val="00B36C98"/>
    <w:rsid w:val="00B524EA"/>
    <w:rsid w:val="00B525CB"/>
    <w:rsid w:val="00B53388"/>
    <w:rsid w:val="00B54897"/>
    <w:rsid w:val="00B56418"/>
    <w:rsid w:val="00B5658E"/>
    <w:rsid w:val="00B60344"/>
    <w:rsid w:val="00B61BDD"/>
    <w:rsid w:val="00B61FD8"/>
    <w:rsid w:val="00B6341B"/>
    <w:rsid w:val="00B63CB2"/>
    <w:rsid w:val="00B654E1"/>
    <w:rsid w:val="00B65ABA"/>
    <w:rsid w:val="00B74072"/>
    <w:rsid w:val="00B817A1"/>
    <w:rsid w:val="00B851DC"/>
    <w:rsid w:val="00B92E37"/>
    <w:rsid w:val="00B93513"/>
    <w:rsid w:val="00B965F8"/>
    <w:rsid w:val="00B96D69"/>
    <w:rsid w:val="00B974DE"/>
    <w:rsid w:val="00BB2C01"/>
    <w:rsid w:val="00BB6857"/>
    <w:rsid w:val="00BC1B41"/>
    <w:rsid w:val="00BC50A8"/>
    <w:rsid w:val="00BD0D6C"/>
    <w:rsid w:val="00BD1EF0"/>
    <w:rsid w:val="00BD422F"/>
    <w:rsid w:val="00BD511C"/>
    <w:rsid w:val="00BD5429"/>
    <w:rsid w:val="00BD5D8F"/>
    <w:rsid w:val="00BD78FE"/>
    <w:rsid w:val="00BE0EDB"/>
    <w:rsid w:val="00BE53EA"/>
    <w:rsid w:val="00BF1906"/>
    <w:rsid w:val="00BF46F6"/>
    <w:rsid w:val="00BF624E"/>
    <w:rsid w:val="00C00988"/>
    <w:rsid w:val="00C03DC6"/>
    <w:rsid w:val="00C07C55"/>
    <w:rsid w:val="00C17D54"/>
    <w:rsid w:val="00C22B69"/>
    <w:rsid w:val="00C24131"/>
    <w:rsid w:val="00C249BD"/>
    <w:rsid w:val="00C343AD"/>
    <w:rsid w:val="00C34742"/>
    <w:rsid w:val="00C34B22"/>
    <w:rsid w:val="00C35F7C"/>
    <w:rsid w:val="00C371A6"/>
    <w:rsid w:val="00C451D7"/>
    <w:rsid w:val="00C464E0"/>
    <w:rsid w:val="00C5124A"/>
    <w:rsid w:val="00C5128E"/>
    <w:rsid w:val="00C523AA"/>
    <w:rsid w:val="00C67FE4"/>
    <w:rsid w:val="00C7160E"/>
    <w:rsid w:val="00C762CE"/>
    <w:rsid w:val="00C77958"/>
    <w:rsid w:val="00C8313C"/>
    <w:rsid w:val="00C8545A"/>
    <w:rsid w:val="00C913C9"/>
    <w:rsid w:val="00C914CD"/>
    <w:rsid w:val="00C91F0D"/>
    <w:rsid w:val="00C93A8A"/>
    <w:rsid w:val="00C93EB1"/>
    <w:rsid w:val="00C95BB1"/>
    <w:rsid w:val="00C968EC"/>
    <w:rsid w:val="00CA3F2F"/>
    <w:rsid w:val="00CA6816"/>
    <w:rsid w:val="00CA7FEF"/>
    <w:rsid w:val="00CB345A"/>
    <w:rsid w:val="00CB6EA4"/>
    <w:rsid w:val="00CB78B3"/>
    <w:rsid w:val="00CC00CD"/>
    <w:rsid w:val="00CC1660"/>
    <w:rsid w:val="00CC1C7B"/>
    <w:rsid w:val="00CC7BB6"/>
    <w:rsid w:val="00CC7FF4"/>
    <w:rsid w:val="00CD20BC"/>
    <w:rsid w:val="00CD361D"/>
    <w:rsid w:val="00CD3ACB"/>
    <w:rsid w:val="00CD5C88"/>
    <w:rsid w:val="00CE14B9"/>
    <w:rsid w:val="00CE1F6E"/>
    <w:rsid w:val="00CE20F7"/>
    <w:rsid w:val="00CE352A"/>
    <w:rsid w:val="00CE675D"/>
    <w:rsid w:val="00CF10C1"/>
    <w:rsid w:val="00CF2489"/>
    <w:rsid w:val="00CF2BDE"/>
    <w:rsid w:val="00CF2E86"/>
    <w:rsid w:val="00CF415E"/>
    <w:rsid w:val="00D02B5B"/>
    <w:rsid w:val="00D05F6E"/>
    <w:rsid w:val="00D10740"/>
    <w:rsid w:val="00D10E69"/>
    <w:rsid w:val="00D117C5"/>
    <w:rsid w:val="00D11A67"/>
    <w:rsid w:val="00D11A85"/>
    <w:rsid w:val="00D12AA3"/>
    <w:rsid w:val="00D154D2"/>
    <w:rsid w:val="00D1627F"/>
    <w:rsid w:val="00D16E39"/>
    <w:rsid w:val="00D20BCC"/>
    <w:rsid w:val="00D2531F"/>
    <w:rsid w:val="00D25BEF"/>
    <w:rsid w:val="00D25C34"/>
    <w:rsid w:val="00D309A0"/>
    <w:rsid w:val="00D35139"/>
    <w:rsid w:val="00D40B1F"/>
    <w:rsid w:val="00D41357"/>
    <w:rsid w:val="00D433FD"/>
    <w:rsid w:val="00D51773"/>
    <w:rsid w:val="00D52F10"/>
    <w:rsid w:val="00D5689F"/>
    <w:rsid w:val="00D613ED"/>
    <w:rsid w:val="00D65CD6"/>
    <w:rsid w:val="00D72E9D"/>
    <w:rsid w:val="00D73D97"/>
    <w:rsid w:val="00D74CDA"/>
    <w:rsid w:val="00D7670E"/>
    <w:rsid w:val="00D77683"/>
    <w:rsid w:val="00D802C1"/>
    <w:rsid w:val="00D81907"/>
    <w:rsid w:val="00D82CE5"/>
    <w:rsid w:val="00D84EE3"/>
    <w:rsid w:val="00D8586C"/>
    <w:rsid w:val="00D85C49"/>
    <w:rsid w:val="00D938B5"/>
    <w:rsid w:val="00DA3351"/>
    <w:rsid w:val="00DA4E96"/>
    <w:rsid w:val="00DA5AB1"/>
    <w:rsid w:val="00DB07B5"/>
    <w:rsid w:val="00DB1270"/>
    <w:rsid w:val="00DB36AB"/>
    <w:rsid w:val="00DB5578"/>
    <w:rsid w:val="00DB5B9F"/>
    <w:rsid w:val="00DC0152"/>
    <w:rsid w:val="00DC5121"/>
    <w:rsid w:val="00DC62E5"/>
    <w:rsid w:val="00DD07F7"/>
    <w:rsid w:val="00DD20BA"/>
    <w:rsid w:val="00DD312A"/>
    <w:rsid w:val="00DD65EB"/>
    <w:rsid w:val="00DD735D"/>
    <w:rsid w:val="00DE098E"/>
    <w:rsid w:val="00DE3119"/>
    <w:rsid w:val="00DF02DC"/>
    <w:rsid w:val="00DF0F8E"/>
    <w:rsid w:val="00DF236B"/>
    <w:rsid w:val="00DF248A"/>
    <w:rsid w:val="00DF2D13"/>
    <w:rsid w:val="00E07CDA"/>
    <w:rsid w:val="00E13AB8"/>
    <w:rsid w:val="00E144B9"/>
    <w:rsid w:val="00E1590B"/>
    <w:rsid w:val="00E16729"/>
    <w:rsid w:val="00E27C85"/>
    <w:rsid w:val="00E33B62"/>
    <w:rsid w:val="00E357DC"/>
    <w:rsid w:val="00E37B1B"/>
    <w:rsid w:val="00E40151"/>
    <w:rsid w:val="00E429C9"/>
    <w:rsid w:val="00E44E00"/>
    <w:rsid w:val="00E53964"/>
    <w:rsid w:val="00E5542E"/>
    <w:rsid w:val="00E57323"/>
    <w:rsid w:val="00E57B05"/>
    <w:rsid w:val="00E602F2"/>
    <w:rsid w:val="00E63AED"/>
    <w:rsid w:val="00E65F49"/>
    <w:rsid w:val="00E6610F"/>
    <w:rsid w:val="00E67ED7"/>
    <w:rsid w:val="00E71381"/>
    <w:rsid w:val="00E7138C"/>
    <w:rsid w:val="00E729F9"/>
    <w:rsid w:val="00E7595D"/>
    <w:rsid w:val="00E80C82"/>
    <w:rsid w:val="00E80EA2"/>
    <w:rsid w:val="00E86B19"/>
    <w:rsid w:val="00E91586"/>
    <w:rsid w:val="00E92E85"/>
    <w:rsid w:val="00E93373"/>
    <w:rsid w:val="00E96901"/>
    <w:rsid w:val="00EA46A5"/>
    <w:rsid w:val="00EA4E7D"/>
    <w:rsid w:val="00EA76D7"/>
    <w:rsid w:val="00EB0629"/>
    <w:rsid w:val="00EB3130"/>
    <w:rsid w:val="00EB5DF0"/>
    <w:rsid w:val="00EC6330"/>
    <w:rsid w:val="00ED3998"/>
    <w:rsid w:val="00ED7FE6"/>
    <w:rsid w:val="00EE6289"/>
    <w:rsid w:val="00EF3687"/>
    <w:rsid w:val="00EF50AD"/>
    <w:rsid w:val="00EF7874"/>
    <w:rsid w:val="00EF7D7B"/>
    <w:rsid w:val="00EF7DB4"/>
    <w:rsid w:val="00F00113"/>
    <w:rsid w:val="00F01AB0"/>
    <w:rsid w:val="00F01D75"/>
    <w:rsid w:val="00F021D7"/>
    <w:rsid w:val="00F024CB"/>
    <w:rsid w:val="00F03745"/>
    <w:rsid w:val="00F03964"/>
    <w:rsid w:val="00F05293"/>
    <w:rsid w:val="00F05E4F"/>
    <w:rsid w:val="00F13A3B"/>
    <w:rsid w:val="00F22044"/>
    <w:rsid w:val="00F25F34"/>
    <w:rsid w:val="00F30C9A"/>
    <w:rsid w:val="00F36A58"/>
    <w:rsid w:val="00F4285A"/>
    <w:rsid w:val="00F444A4"/>
    <w:rsid w:val="00F45FE4"/>
    <w:rsid w:val="00F53DBD"/>
    <w:rsid w:val="00F53F6D"/>
    <w:rsid w:val="00F55260"/>
    <w:rsid w:val="00F57426"/>
    <w:rsid w:val="00F617C8"/>
    <w:rsid w:val="00F618CA"/>
    <w:rsid w:val="00F62CF6"/>
    <w:rsid w:val="00F63E8C"/>
    <w:rsid w:val="00F64252"/>
    <w:rsid w:val="00F65ACD"/>
    <w:rsid w:val="00F674F7"/>
    <w:rsid w:val="00F70C89"/>
    <w:rsid w:val="00F71DB8"/>
    <w:rsid w:val="00F7402A"/>
    <w:rsid w:val="00F74D1D"/>
    <w:rsid w:val="00F75297"/>
    <w:rsid w:val="00F77524"/>
    <w:rsid w:val="00F82CE2"/>
    <w:rsid w:val="00F83681"/>
    <w:rsid w:val="00F8436F"/>
    <w:rsid w:val="00F84787"/>
    <w:rsid w:val="00F84899"/>
    <w:rsid w:val="00F859F0"/>
    <w:rsid w:val="00F9050C"/>
    <w:rsid w:val="00F910A1"/>
    <w:rsid w:val="00F9296B"/>
    <w:rsid w:val="00F974BA"/>
    <w:rsid w:val="00FA0C11"/>
    <w:rsid w:val="00FA7689"/>
    <w:rsid w:val="00FA7D4C"/>
    <w:rsid w:val="00FB2622"/>
    <w:rsid w:val="00FB289E"/>
    <w:rsid w:val="00FB46F8"/>
    <w:rsid w:val="00FB7733"/>
    <w:rsid w:val="00FC180A"/>
    <w:rsid w:val="00FC5199"/>
    <w:rsid w:val="00FD1663"/>
    <w:rsid w:val="00FD2DFE"/>
    <w:rsid w:val="00FD642B"/>
    <w:rsid w:val="00FD7573"/>
    <w:rsid w:val="00FE141E"/>
    <w:rsid w:val="00FE3005"/>
    <w:rsid w:val="00FF4936"/>
    <w:rsid w:val="00FF4BB8"/>
    <w:rsid w:val="00FF51FE"/>
    <w:rsid w:val="00FF6BBB"/>
    <w:rsid w:val="00FF767D"/>
    <w:rsid w:val="04B6DA0C"/>
    <w:rsid w:val="1126E876"/>
    <w:rsid w:val="1F00DCE0"/>
    <w:rsid w:val="27CBFCDF"/>
    <w:rsid w:val="2926657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611EDE"/>
    <w:rPr>
      <w:color w:val="605E5C"/>
      <w:shd w:val="clear" w:color="auto" w:fill="E1DFDD"/>
    </w:rPr>
  </w:style>
  <w:style w:type="paragraph" w:customStyle="1" w:styleId="CM8">
    <w:name w:val="CM8"/>
    <w:basedOn w:val="Default"/>
    <w:next w:val="Default"/>
    <w:uiPriority w:val="99"/>
    <w:rsid w:val="000419E3"/>
    <w:rPr>
      <w:color w:val="auto"/>
    </w:rPr>
  </w:style>
  <w:style w:type="table" w:customStyle="1" w:styleId="Tablaconcuadrcula1">
    <w:name w:val="Tabla con cuadrícula1"/>
    <w:basedOn w:val="Tablanormal"/>
    <w:next w:val="Tablaconcuadrcula"/>
    <w:uiPriority w:val="59"/>
    <w:qFormat/>
    <w:rsid w:val="0053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74052330">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default/files/manuales/20140901_manual_requisitos_habilitantes_4_web.pdf" TargetMode="External"/><Relationship Id="rId1" Type="http://schemas.openxmlformats.org/officeDocument/2006/relationships/hyperlink" Target="https://www.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E6EE94BF-1D34-4529-BF75-3ADBCFF8F987}">
  <ds:schemaRefs>
    <ds:schemaRef ds:uri="http://schemas.openxmlformats.org/officeDocument/2006/bibliography"/>
  </ds:schemaRefs>
</ds:datastoreItem>
</file>

<file path=customXml/itemProps3.xml><?xml version="1.0" encoding="utf-8"?>
<ds:datastoreItem xmlns:ds="http://schemas.openxmlformats.org/officeDocument/2006/customXml" ds:itemID="{0DB25EB6-1C2C-4A5D-A1A9-EC715AC67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12</TotalTime>
  <Pages>17</Pages>
  <Words>6443</Words>
  <Characters>35441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Martin Rojas Mejia</cp:lastModifiedBy>
  <cp:revision>4</cp:revision>
  <dcterms:created xsi:type="dcterms:W3CDTF">2022-07-01T01:08:00Z</dcterms:created>
  <dcterms:modified xsi:type="dcterms:W3CDTF">2022-08-16T20:42:00Z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