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A4DFE" w:rsidR="00456D00" w:rsidP="00456D00" w:rsidRDefault="00456D00" w14:paraId="75BBC78A" w14:textId="77777777">
      <w:pPr>
        <w:spacing w:after="0" w:line="240" w:lineRule="auto"/>
        <w:contextualSpacing/>
        <w:jc w:val="both"/>
        <w:rPr>
          <w:rFonts w:ascii="Arial" w:hAnsi="Arial" w:cs="Arial"/>
          <w:b/>
          <w:bCs/>
          <w:iCs/>
          <w:lang w:val="es-ES_tradnl"/>
        </w:rPr>
      </w:pPr>
      <w:bookmarkStart w:name="_Hlk109054766" w:id="0"/>
      <w:r w:rsidRPr="002A4DFE">
        <w:rPr>
          <w:rFonts w:ascii="Arial" w:hAnsi="Arial" w:cs="Arial"/>
          <w:b/>
          <w:bCs/>
          <w:iCs/>
          <w:lang w:val="es-ES_tradnl"/>
        </w:rPr>
        <w:t xml:space="preserve">DEBER DE PUBLICIDAD </w:t>
      </w:r>
      <w:r w:rsidRPr="002A4DFE">
        <w:rPr>
          <w:rFonts w:ascii="Arial" w:hAnsi="Arial" w:eastAsia="Calibri" w:cs="Arial"/>
          <w:b/>
          <w:lang w:val="es-ES_tradnl"/>
        </w:rPr>
        <w:t>–</w:t>
      </w:r>
      <w:r w:rsidRPr="002A4DFE">
        <w:rPr>
          <w:rFonts w:ascii="Arial" w:hAnsi="Arial" w:cs="Arial"/>
          <w:b/>
          <w:bCs/>
          <w:iCs/>
          <w:lang w:val="es-ES_tradnl"/>
        </w:rPr>
        <w:t xml:space="preserve"> Entidades Estatales exceptuadas del Estatuto General de Contratación de la Administración Pública</w:t>
      </w:r>
    </w:p>
    <w:p w:rsidRPr="002A4DFE" w:rsidR="00456D00" w:rsidP="00456D00" w:rsidRDefault="00456D00" w14:paraId="3FE2FB5C" w14:textId="77777777">
      <w:pPr>
        <w:spacing w:after="0" w:line="240" w:lineRule="auto"/>
        <w:contextualSpacing/>
        <w:jc w:val="both"/>
        <w:rPr>
          <w:rFonts w:ascii="Arial" w:hAnsi="Arial" w:cs="Arial"/>
          <w:b/>
          <w:bCs/>
          <w:iCs/>
          <w:sz w:val="20"/>
          <w:szCs w:val="20"/>
          <w:lang w:val="es-ES_tradnl"/>
        </w:rPr>
      </w:pPr>
    </w:p>
    <w:p w:rsidR="00456D00" w:rsidP="00456D00" w:rsidRDefault="00456D00" w14:paraId="01D1C694" w14:textId="77777777">
      <w:pPr>
        <w:pStyle w:val="Textoindependiente"/>
        <w:spacing w:after="0"/>
        <w:contextualSpacing/>
        <w:jc w:val="both"/>
        <w:rPr>
          <w:rFonts w:ascii="Arial" w:hAnsi="Arial" w:cs="Arial"/>
          <w:sz w:val="20"/>
          <w:szCs w:val="20"/>
        </w:rPr>
      </w:pPr>
      <w:r w:rsidRPr="002A4DFE">
        <w:rPr>
          <w:rFonts w:ascii="Arial" w:hAnsi="Arial" w:cs="Arial"/>
          <w:sz w:val="20"/>
          <w:szCs w:val="20"/>
        </w:rPr>
        <w:t>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a través de los medios y procedimientos que establezca la</w:t>
      </w:r>
      <w:r w:rsidRPr="002A4DFE">
        <w:rPr>
          <w:rFonts w:ascii="Arial" w:hAnsi="Arial" w:cs="Arial"/>
          <w:spacing w:val="-2"/>
          <w:sz w:val="20"/>
          <w:szCs w:val="20"/>
        </w:rPr>
        <w:t xml:space="preserve"> </w:t>
      </w:r>
      <w:r w:rsidRPr="002A4DFE">
        <w:rPr>
          <w:rFonts w:ascii="Arial" w:hAnsi="Arial" w:cs="Arial"/>
          <w:sz w:val="20"/>
          <w:szCs w:val="20"/>
        </w:rPr>
        <w:t xml:space="preserve">ley. Y el principio de buena fe hace referencia al deber de todo sujeto obligado de cumplir con las obligaciones derivadas del derecho de acceso a la información pública con motivación honesta, leal y desprovista de cualquier intención dolosa o culposa. </w:t>
      </w:r>
    </w:p>
    <w:p w:rsidRPr="002A4DFE" w:rsidR="00456D00" w:rsidP="00456D00" w:rsidRDefault="00456D00" w14:paraId="67BBBA2F" w14:textId="77777777">
      <w:pPr>
        <w:pStyle w:val="Textoindependiente"/>
        <w:spacing w:after="0"/>
        <w:contextualSpacing/>
        <w:jc w:val="both"/>
        <w:rPr>
          <w:rFonts w:ascii="Arial" w:hAnsi="Arial" w:cs="Arial"/>
          <w:sz w:val="20"/>
          <w:szCs w:val="20"/>
        </w:rPr>
      </w:pPr>
    </w:p>
    <w:p w:rsidRPr="002A4DFE" w:rsidR="00456D00" w:rsidP="00456D00" w:rsidRDefault="00456D00" w14:paraId="27E2938A" w14:textId="77777777">
      <w:pPr>
        <w:pStyle w:val="Textoindependiente"/>
        <w:spacing w:after="0"/>
        <w:contextualSpacing/>
        <w:jc w:val="both"/>
        <w:rPr>
          <w:rFonts w:ascii="Arial" w:hAnsi="Arial" w:eastAsia="Arial MT" w:cs="Arial"/>
          <w:sz w:val="20"/>
          <w:szCs w:val="20"/>
          <w:lang w:val="es-ES" w:eastAsia="en-US"/>
        </w:rPr>
      </w:pPr>
      <w:r w:rsidRPr="002A4DFE">
        <w:rPr>
          <w:rFonts w:ascii="Arial" w:hAnsi="Arial" w:cs="Arial"/>
          <w:sz w:val="20"/>
          <w:szCs w:val="20"/>
        </w:rPr>
        <w:t xml:space="preserve">La citada Ley establece, en el literal e) del artículo 9, que los </w:t>
      </w:r>
      <w:r w:rsidRPr="002A4DFE">
        <w:rPr>
          <w:rFonts w:ascii="Arial" w:hAnsi="Arial" w:cs="Arial"/>
          <w:i/>
          <w:iCs/>
          <w:sz w:val="20"/>
          <w:szCs w:val="20"/>
        </w:rPr>
        <w:t xml:space="preserve">sujetos obligados </w:t>
      </w:r>
      <w:r w:rsidRPr="002A4DFE">
        <w:rPr>
          <w:rFonts w:ascii="Arial" w:hAnsi="Arial" w:cs="Arial"/>
          <w:sz w:val="20"/>
          <w:szCs w:val="20"/>
        </w:rPr>
        <w:t xml:space="preserve">deben publicar la información relativa a su contratación. </w:t>
      </w:r>
      <w:r w:rsidRPr="002A4DFE">
        <w:rPr>
          <w:rFonts w:ascii="Arial" w:hAnsi="Arial" w:eastAsia="Arial MT" w:cs="Arial"/>
          <w:sz w:val="20"/>
          <w:szCs w:val="20"/>
          <w:lang w:val="es-ES" w:eastAsia="en-US"/>
        </w:rPr>
        <w:t xml:space="preserve">El artículo 5 </w:t>
      </w:r>
      <w:r w:rsidRPr="002A4DFE">
        <w:rPr>
          <w:rFonts w:ascii="Arial" w:hAnsi="Arial" w:eastAsia="Arial MT" w:cs="Arial"/>
          <w:i/>
          <w:iCs/>
          <w:sz w:val="20"/>
          <w:szCs w:val="20"/>
          <w:lang w:val="es-ES" w:eastAsia="en-US"/>
        </w:rPr>
        <w:t>ibidem</w:t>
      </w:r>
      <w:r w:rsidRPr="002A4DFE">
        <w:rPr>
          <w:rFonts w:ascii="Arial" w:hAnsi="Arial" w:eastAsia="Arial MT" w:cs="Arial"/>
          <w:sz w:val="20"/>
          <w:szCs w:val="20"/>
          <w:lang w:val="es-ES" w:eastAsia="en-US"/>
        </w:rPr>
        <w:t xml:space="preserve">,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 </w:t>
      </w:r>
    </w:p>
    <w:p w:rsidRPr="002A4DFE" w:rsidR="00456D00" w:rsidP="00456D00" w:rsidRDefault="00456D00" w14:paraId="3A42E648" w14:textId="77777777">
      <w:pPr>
        <w:pStyle w:val="Textoindependiente"/>
        <w:spacing w:after="0"/>
        <w:contextualSpacing/>
        <w:jc w:val="both"/>
        <w:rPr>
          <w:rFonts w:ascii="Arial" w:hAnsi="Arial" w:cs="Arial"/>
          <w:sz w:val="20"/>
          <w:szCs w:val="20"/>
        </w:rPr>
      </w:pPr>
    </w:p>
    <w:p w:rsidRPr="002A4DFE" w:rsidR="00456D00" w:rsidP="00456D00" w:rsidRDefault="00456D00" w14:paraId="33892722" w14:textId="77777777">
      <w:pPr>
        <w:spacing w:after="0" w:line="240" w:lineRule="auto"/>
        <w:contextualSpacing/>
        <w:jc w:val="both"/>
        <w:rPr>
          <w:rFonts w:ascii="Arial" w:hAnsi="Arial" w:cs="Arial"/>
          <w:b/>
          <w:bCs/>
          <w:iCs/>
          <w:lang w:val="es-ES_tradnl"/>
        </w:rPr>
      </w:pPr>
      <w:r w:rsidRPr="002A4DFE">
        <w:rPr>
          <w:rFonts w:ascii="Arial" w:hAnsi="Arial" w:cs="Arial"/>
          <w:b/>
          <w:bCs/>
          <w:iCs/>
          <w:lang w:val="es-ES_tradnl"/>
        </w:rPr>
        <w:t xml:space="preserve">SECOP II </w:t>
      </w:r>
      <w:r w:rsidRPr="002A4DFE">
        <w:rPr>
          <w:rFonts w:ascii="Arial" w:hAnsi="Arial" w:eastAsia="Calibri" w:cs="Arial"/>
          <w:b/>
          <w:lang w:val="es-ES_tradnl"/>
        </w:rPr>
        <w:t>–</w:t>
      </w:r>
      <w:r w:rsidRPr="002A4DFE">
        <w:rPr>
          <w:rFonts w:ascii="Arial" w:hAnsi="Arial" w:cs="Arial"/>
          <w:b/>
          <w:bCs/>
          <w:iCs/>
          <w:lang w:val="es-ES_tradnl"/>
        </w:rPr>
        <w:t xml:space="preserve"> Deber de publicidad </w:t>
      </w:r>
      <w:r w:rsidRPr="002A4DFE">
        <w:rPr>
          <w:rFonts w:ascii="Arial" w:hAnsi="Arial" w:eastAsia="Calibri" w:cs="Arial"/>
          <w:b/>
          <w:lang w:val="es-ES_tradnl"/>
        </w:rPr>
        <w:t>–</w:t>
      </w:r>
      <w:r w:rsidRPr="002A4DFE">
        <w:rPr>
          <w:rFonts w:ascii="Arial" w:hAnsi="Arial" w:cs="Arial"/>
          <w:b/>
          <w:bCs/>
          <w:iCs/>
          <w:lang w:val="es-ES_tradnl"/>
        </w:rPr>
        <w:t xml:space="preserve"> Entidades Estatales exceptuadas del Estatuto General de Contratación de la Administración Pública – Modificación artículo 53 de la Ley 2195 de 2022</w:t>
      </w:r>
    </w:p>
    <w:p w:rsidRPr="002A4DFE" w:rsidR="00456D00" w:rsidP="00456D00" w:rsidRDefault="00456D00" w14:paraId="2FAF0810" w14:textId="77777777">
      <w:pPr>
        <w:spacing w:after="0" w:line="240" w:lineRule="auto"/>
        <w:contextualSpacing/>
        <w:jc w:val="both"/>
        <w:rPr>
          <w:rFonts w:ascii="Arial" w:hAnsi="Arial" w:cs="Arial"/>
          <w:b/>
          <w:bCs/>
          <w:iCs/>
          <w:sz w:val="20"/>
          <w:szCs w:val="20"/>
          <w:lang w:val="es-ES_tradnl"/>
        </w:rPr>
      </w:pPr>
    </w:p>
    <w:p w:rsidRPr="002A4DFE" w:rsidR="00456D00" w:rsidP="00456D00" w:rsidRDefault="00456D00" w14:paraId="68D516F1" w14:textId="77777777">
      <w:pPr>
        <w:spacing w:after="0" w:line="240" w:lineRule="auto"/>
        <w:contextualSpacing/>
        <w:jc w:val="both"/>
        <w:rPr>
          <w:rFonts w:ascii="Arial" w:hAnsi="Arial" w:cs="Arial"/>
          <w:sz w:val="20"/>
          <w:szCs w:val="20"/>
        </w:rPr>
      </w:pPr>
      <w:r w:rsidRPr="002A4DFE">
        <w:rPr>
          <w:rFonts w:ascii="Arial" w:hAnsi="Arial" w:cs="Arial"/>
          <w:sz w:val="20"/>
          <w:szCs w:val="20"/>
        </w:rPr>
        <w:t xml:space="preserve">Las anteriores disposiciones normativas fueron complementadas con la expedición de la Ley 2195 de 2022, por medio de la cual se adoptan medidas en materia de transparencia, prevención y lucha contra la corrupción. </w:t>
      </w:r>
      <w:r w:rsidRPr="002A4DFE">
        <w:rPr>
          <w:rFonts w:ascii="Arial" w:hAnsi="Arial" w:eastAsia="Calibri" w:cs="Arial"/>
          <w:sz w:val="20"/>
          <w:szCs w:val="20"/>
          <w:lang w:val="es-ES_tradnl" w:eastAsia="es-ES_tradnl"/>
        </w:rPr>
        <w:t>Según el artículo 1, esta Ley «</w:t>
      </w:r>
      <w:r w:rsidRPr="002A4DFE">
        <w:rPr>
          <w:rFonts w:ascii="Arial" w:hAnsi="Arial" w:eastAsia="Times New Roman" w:cs="Arial"/>
          <w:sz w:val="20"/>
          <w:szCs w:val="20"/>
          <w:lang w:val="es-ES_tradnl" w:eastAsia="es-ES_tradnl"/>
        </w:rPr>
        <w:t xml:space="preserve">[…] </w:t>
      </w:r>
      <w:r w:rsidRPr="002A4DFE">
        <w:rPr>
          <w:rFonts w:ascii="Arial" w:hAnsi="Arial" w:eastAsia="Calibri" w:cs="Arial"/>
          <w:sz w:val="20"/>
          <w:szCs w:val="20"/>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w:t>
      </w:r>
      <w:r w:rsidRPr="002A4DFE">
        <w:rPr>
          <w:rFonts w:ascii="Arial" w:hAnsi="Arial" w:cs="Arial"/>
          <w:sz w:val="20"/>
          <w:szCs w:val="20"/>
        </w:rPr>
        <w:t>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rsidRPr="002A4DFE" w:rsidR="00456D00" w:rsidP="00456D00" w:rsidRDefault="00456D00" w14:paraId="51DE002E" w14:textId="77777777">
      <w:pPr>
        <w:spacing w:after="0" w:line="240" w:lineRule="auto"/>
        <w:contextualSpacing/>
        <w:jc w:val="both"/>
        <w:rPr>
          <w:rFonts w:ascii="Arial" w:hAnsi="Arial" w:cs="Arial"/>
          <w:b/>
          <w:bCs/>
          <w:iCs/>
          <w:sz w:val="20"/>
          <w:szCs w:val="20"/>
          <w:lang w:val="es-ES_tradnl"/>
        </w:rPr>
      </w:pPr>
    </w:p>
    <w:p w:rsidRPr="002A4DFE" w:rsidR="00456D00" w:rsidP="00456D00" w:rsidRDefault="00456D00" w14:paraId="4CB9BC60" w14:textId="77777777">
      <w:pPr>
        <w:spacing w:after="0" w:line="240" w:lineRule="auto"/>
        <w:contextualSpacing/>
        <w:jc w:val="both"/>
        <w:rPr>
          <w:rFonts w:ascii="Arial" w:hAnsi="Arial" w:eastAsia="Calibri" w:cs="Arial"/>
          <w:b/>
          <w:lang w:val="es-ES_tradnl"/>
        </w:rPr>
      </w:pPr>
      <w:r w:rsidRPr="002A4DFE">
        <w:rPr>
          <w:rFonts w:ascii="Arial" w:hAnsi="Arial" w:eastAsia="Calibri" w:cs="Arial"/>
          <w:b/>
          <w:lang w:val="es-ES_tradnl"/>
        </w:rPr>
        <w:t>SECOP II –</w:t>
      </w:r>
      <w:r w:rsidRPr="002A4DFE">
        <w:rPr>
          <w:rFonts w:ascii="Arial" w:hAnsi="Arial" w:cs="Arial"/>
          <w:b/>
          <w:bCs/>
          <w:iCs/>
          <w:lang w:val="es-ES_tradnl"/>
        </w:rPr>
        <w:t xml:space="preserve"> Deber de publicidad </w:t>
      </w:r>
      <w:r w:rsidRPr="002A4DFE">
        <w:rPr>
          <w:rFonts w:ascii="Arial" w:hAnsi="Arial" w:eastAsia="Calibri" w:cs="Arial"/>
          <w:b/>
          <w:lang w:val="es-ES_tradnl"/>
        </w:rPr>
        <w:t>–</w:t>
      </w:r>
      <w:r w:rsidRPr="002A4DFE">
        <w:rPr>
          <w:rFonts w:ascii="Arial" w:hAnsi="Arial" w:cs="Arial"/>
          <w:b/>
          <w:bCs/>
          <w:iCs/>
          <w:lang w:val="es-ES_tradnl"/>
        </w:rPr>
        <w:t xml:space="preserve"> Entidades Estatales exceptuadas </w:t>
      </w:r>
      <w:r w:rsidRPr="002A4DFE">
        <w:rPr>
          <w:rFonts w:ascii="Arial" w:hAnsi="Arial" w:eastAsia="Calibri" w:cs="Arial"/>
          <w:b/>
          <w:lang w:val="es-ES_tradnl"/>
        </w:rPr>
        <w:t>–</w:t>
      </w:r>
      <w:r w:rsidRPr="002A4DFE">
        <w:rPr>
          <w:rFonts w:ascii="Arial" w:hAnsi="Arial" w:cs="Arial"/>
          <w:b/>
          <w:bCs/>
          <w:iCs/>
          <w:lang w:val="es-ES_tradnl"/>
        </w:rPr>
        <w:t xml:space="preserve"> </w:t>
      </w:r>
      <w:r w:rsidRPr="002A4DFE">
        <w:rPr>
          <w:rFonts w:ascii="Arial" w:hAnsi="Arial" w:eastAsia="Calibri" w:cs="Arial"/>
          <w:b/>
          <w:lang w:val="es-ES_tradnl"/>
        </w:rPr>
        <w:t xml:space="preserve">Documentos relacionados con la actividad contractual  </w:t>
      </w:r>
    </w:p>
    <w:p w:rsidRPr="002A4DFE" w:rsidR="00456D00" w:rsidP="00456D00" w:rsidRDefault="00456D00" w14:paraId="0C7C9CA6" w14:textId="77777777">
      <w:pPr>
        <w:spacing w:after="0" w:line="240" w:lineRule="auto"/>
        <w:contextualSpacing/>
        <w:jc w:val="both"/>
        <w:rPr>
          <w:rFonts w:ascii="Arial" w:hAnsi="Arial" w:eastAsia="Calibri" w:cs="Arial"/>
          <w:b/>
          <w:sz w:val="20"/>
          <w:szCs w:val="20"/>
          <w:lang w:val="es-ES_tradnl"/>
        </w:rPr>
      </w:pPr>
    </w:p>
    <w:p w:rsidRPr="002A4DFE" w:rsidR="00456D00" w:rsidP="00456D00" w:rsidRDefault="00456D00" w14:paraId="239243C1" w14:textId="77777777">
      <w:pPr>
        <w:spacing w:after="0" w:line="240" w:lineRule="auto"/>
        <w:contextualSpacing/>
        <w:jc w:val="both"/>
        <w:rPr>
          <w:rFonts w:ascii="Arial" w:hAnsi="Arial" w:eastAsia="Calibri" w:cs="Arial"/>
          <w:sz w:val="20"/>
          <w:szCs w:val="20"/>
          <w:lang w:val="es-ES_tradnl"/>
        </w:rPr>
      </w:pPr>
      <w:r w:rsidRPr="002A4DFE">
        <w:rPr>
          <w:rFonts w:ascii="Arial" w:hAnsi="Arial" w:eastAsia="Calibri" w:cs="Arial"/>
          <w:sz w:val="20"/>
          <w:szCs w:val="20"/>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2A4DFE">
        <w:rPr>
          <w:rFonts w:ascii="Arial" w:hAnsi="Arial" w:eastAsia="Calibri" w:cs="Arial"/>
          <w:i/>
          <w:iCs/>
          <w:sz w:val="20"/>
          <w:szCs w:val="20"/>
          <w:lang w:val="es-ES_tradnl"/>
        </w:rPr>
        <w:t>actividad contractual,</w:t>
      </w:r>
      <w:r w:rsidRPr="002A4DFE">
        <w:rPr>
          <w:rFonts w:ascii="Arial" w:hAnsi="Arial" w:eastAsia="Calibri" w:cs="Arial"/>
          <w:sz w:val="20"/>
          <w:szCs w:val="20"/>
          <w:lang w:val="es-ES_tradnl"/>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w:t>
      </w:r>
      <w:r w:rsidRPr="002A4DFE">
        <w:rPr>
          <w:rFonts w:ascii="Arial" w:hAnsi="Arial" w:eastAsia="Calibri" w:cs="Arial"/>
          <w:sz w:val="20"/>
          <w:szCs w:val="20"/>
          <w:lang w:val="es-ES_tradnl"/>
        </w:rPr>
        <w:lastRenderedPageBreak/>
        <w:t xml:space="preserve">excepción relacionada con la naturaleza u objeto contractual, por lo que no puede colegirse que los procesos de contratación relacionados con asuntos </w:t>
      </w:r>
      <w:r w:rsidRPr="002A4DFE">
        <w:rPr>
          <w:rFonts w:ascii="Arial" w:hAnsi="Arial" w:eastAsia="Calibri" w:cs="Arial"/>
          <w:i/>
          <w:iCs/>
          <w:sz w:val="20"/>
          <w:szCs w:val="20"/>
          <w:lang w:val="es-ES_tradnl"/>
        </w:rPr>
        <w:t>«no misionales»</w:t>
      </w:r>
      <w:r w:rsidRPr="002A4DFE">
        <w:rPr>
          <w:rFonts w:ascii="Arial" w:hAnsi="Arial" w:eastAsia="Calibri" w:cs="Arial"/>
          <w:sz w:val="20"/>
          <w:szCs w:val="20"/>
          <w:lang w:val="es-ES_tradnl"/>
        </w:rPr>
        <w:t xml:space="preserve"> estén </w:t>
      </w:r>
      <w:r w:rsidRPr="002A4DFE">
        <w:rPr>
          <w:rFonts w:ascii="Arial" w:hAnsi="Arial" w:eastAsia="Calibri" w:cs="Arial"/>
          <w:i/>
          <w:iCs/>
          <w:sz w:val="20"/>
          <w:szCs w:val="20"/>
          <w:lang w:val="es-ES_tradnl"/>
        </w:rPr>
        <w:t>per se</w:t>
      </w:r>
      <w:r w:rsidRPr="002A4DFE">
        <w:rPr>
          <w:rFonts w:ascii="Arial" w:hAnsi="Arial" w:eastAsia="Calibri" w:cs="Arial"/>
          <w:sz w:val="20"/>
          <w:szCs w:val="20"/>
          <w:lang w:val="es-ES_tradnl"/>
        </w:rPr>
        <w:t xml:space="preserve"> excluidos del deber de publicidad. </w:t>
      </w:r>
    </w:p>
    <w:p w:rsidRPr="002A4DFE" w:rsidR="00456D00" w:rsidP="00456D00" w:rsidRDefault="00456D00" w14:paraId="3D3E0679" w14:textId="77777777">
      <w:pPr>
        <w:spacing w:after="0" w:line="240" w:lineRule="auto"/>
        <w:contextualSpacing/>
        <w:jc w:val="both"/>
        <w:rPr>
          <w:rFonts w:ascii="Arial" w:hAnsi="Arial" w:eastAsia="Calibri" w:cs="Arial"/>
          <w:sz w:val="20"/>
          <w:szCs w:val="20"/>
          <w:lang w:val="es-ES_tradnl"/>
        </w:rPr>
      </w:pPr>
    </w:p>
    <w:p w:rsidRPr="002A4DFE" w:rsidR="00456D00" w:rsidP="00456D00" w:rsidRDefault="00456D00" w14:paraId="0F8B351D" w14:textId="77777777">
      <w:pPr>
        <w:spacing w:after="0" w:line="240" w:lineRule="auto"/>
        <w:contextualSpacing/>
        <w:jc w:val="both"/>
        <w:rPr>
          <w:rFonts w:ascii="Arial" w:hAnsi="Arial" w:eastAsia="Calibri" w:cs="Arial"/>
          <w:b/>
          <w:lang w:val="es-ES_tradnl"/>
        </w:rPr>
      </w:pPr>
      <w:r w:rsidRPr="002A4DFE">
        <w:rPr>
          <w:rFonts w:ascii="Arial" w:hAnsi="Arial" w:eastAsia="Calibri" w:cs="Arial"/>
          <w:b/>
          <w:lang w:val="es-ES_tradnl"/>
        </w:rPr>
        <w:t>SECOP II –</w:t>
      </w:r>
      <w:r w:rsidRPr="002A4DFE">
        <w:rPr>
          <w:rFonts w:ascii="Arial" w:hAnsi="Arial" w:cs="Arial"/>
          <w:b/>
          <w:bCs/>
          <w:iCs/>
          <w:lang w:val="es-ES_tradnl"/>
        </w:rPr>
        <w:t xml:space="preserve"> Deber de public</w:t>
      </w:r>
      <w:r>
        <w:rPr>
          <w:rFonts w:ascii="Arial" w:hAnsi="Arial" w:cs="Arial"/>
          <w:b/>
          <w:bCs/>
          <w:iCs/>
          <w:lang w:val="es-ES_tradnl"/>
        </w:rPr>
        <w:t>idad</w:t>
      </w:r>
      <w:r w:rsidRPr="002A4DFE">
        <w:rPr>
          <w:rFonts w:ascii="Arial" w:hAnsi="Arial" w:cs="Arial"/>
          <w:b/>
          <w:bCs/>
          <w:iCs/>
          <w:lang w:val="es-ES_tradnl"/>
        </w:rPr>
        <w:t xml:space="preserve"> </w:t>
      </w:r>
      <w:r w:rsidRPr="002A4DFE">
        <w:rPr>
          <w:rFonts w:ascii="Arial" w:hAnsi="Arial" w:eastAsia="Calibri" w:cs="Arial"/>
          <w:b/>
          <w:lang w:val="es-ES_tradnl"/>
        </w:rPr>
        <w:t>–</w:t>
      </w:r>
      <w:r w:rsidRPr="002A4DFE">
        <w:rPr>
          <w:rFonts w:ascii="Arial" w:hAnsi="Arial" w:cs="Arial"/>
          <w:b/>
          <w:bCs/>
          <w:iCs/>
          <w:lang w:val="es-ES_tradnl"/>
        </w:rPr>
        <w:t xml:space="preserve"> Entidades Estatales exceptuadas </w:t>
      </w:r>
      <w:r w:rsidRPr="002A4DFE">
        <w:rPr>
          <w:rFonts w:ascii="Arial" w:hAnsi="Arial" w:eastAsia="Calibri" w:cs="Arial"/>
          <w:b/>
          <w:lang w:val="es-ES_tradnl"/>
        </w:rPr>
        <w:t>–</w:t>
      </w:r>
      <w:r w:rsidRPr="002A4DFE">
        <w:rPr>
          <w:rFonts w:ascii="Arial" w:hAnsi="Arial" w:cs="Arial"/>
          <w:b/>
          <w:bCs/>
          <w:iCs/>
          <w:lang w:val="es-ES_tradnl"/>
        </w:rPr>
        <w:t xml:space="preserve"> </w:t>
      </w:r>
      <w:r w:rsidRPr="002A4DFE">
        <w:rPr>
          <w:rFonts w:ascii="Arial" w:hAnsi="Arial" w:eastAsia="Calibri" w:cs="Arial"/>
          <w:b/>
          <w:lang w:val="es-ES_tradnl"/>
        </w:rPr>
        <w:t xml:space="preserve">Vigencia   </w:t>
      </w:r>
    </w:p>
    <w:p w:rsidRPr="002A4DFE" w:rsidR="00456D00" w:rsidP="00456D00" w:rsidRDefault="00456D00" w14:paraId="6A815540" w14:textId="77777777">
      <w:pPr>
        <w:spacing w:after="0" w:line="240" w:lineRule="auto"/>
        <w:contextualSpacing/>
        <w:jc w:val="both"/>
        <w:rPr>
          <w:rFonts w:ascii="Arial" w:hAnsi="Arial" w:eastAsia="Calibri" w:cs="Arial"/>
          <w:sz w:val="20"/>
          <w:szCs w:val="20"/>
          <w:lang w:val="es-ES_tradnl"/>
        </w:rPr>
      </w:pPr>
    </w:p>
    <w:p w:rsidRPr="002A4DFE" w:rsidR="00456D00" w:rsidP="00456D00" w:rsidRDefault="00456D00" w14:paraId="7EB06F88" w14:textId="77777777">
      <w:pPr>
        <w:spacing w:after="0" w:line="240" w:lineRule="auto"/>
        <w:contextualSpacing/>
        <w:jc w:val="both"/>
        <w:rPr>
          <w:rFonts w:ascii="Arial" w:hAnsi="Arial" w:eastAsia="Calibri" w:cs="Arial"/>
          <w:sz w:val="20"/>
          <w:szCs w:val="20"/>
          <w:lang w:val="es-ES_tradnl"/>
        </w:rPr>
      </w:pPr>
      <w:r w:rsidRPr="002A4DFE">
        <w:rPr>
          <w:rFonts w:ascii="Arial" w:hAnsi="Arial" w:eastAsia="Calibri" w:cs="Arial"/>
          <w:sz w:val="20"/>
          <w:szCs w:val="20"/>
          <w:lang w:val="es-ES_tradnl"/>
        </w:rPr>
        <w:t>Finalmente, el inciso final del artículo 53 dispone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va del 18 de enero al 18 de julio de 2022.</w:t>
      </w:r>
    </w:p>
    <w:p w:rsidRPr="002A4DFE" w:rsidR="00456D00" w:rsidP="00456D00" w:rsidRDefault="00456D00" w14:paraId="51B3BB34" w14:textId="77777777">
      <w:pPr>
        <w:spacing w:after="0" w:line="240" w:lineRule="auto"/>
        <w:contextualSpacing/>
        <w:jc w:val="both"/>
        <w:rPr>
          <w:rFonts w:ascii="Arial" w:hAnsi="Arial" w:eastAsia="Calibri" w:cs="Arial"/>
          <w:b/>
          <w:sz w:val="20"/>
          <w:szCs w:val="20"/>
          <w:lang w:val="es-ES_tradnl"/>
        </w:rPr>
      </w:pPr>
    </w:p>
    <w:p w:rsidRPr="002A4DFE" w:rsidR="00456D00" w:rsidP="00456D00" w:rsidRDefault="00456D00" w14:paraId="77218B09" w14:textId="77777777">
      <w:pPr>
        <w:spacing w:after="0" w:line="240" w:lineRule="auto"/>
        <w:contextualSpacing/>
        <w:jc w:val="both"/>
        <w:rPr>
          <w:rFonts w:ascii="Arial" w:hAnsi="Arial" w:eastAsia="Calibri" w:cs="Arial"/>
          <w:b/>
          <w:lang w:val="es-ES_tradnl"/>
        </w:rPr>
      </w:pPr>
      <w:r w:rsidRPr="002A4DFE">
        <w:rPr>
          <w:rFonts w:ascii="Arial" w:hAnsi="Arial" w:eastAsia="Calibri" w:cs="Arial"/>
          <w:b/>
          <w:lang w:val="es-ES_tradnl"/>
        </w:rPr>
        <w:t>SECOP II –</w:t>
      </w:r>
      <w:r w:rsidRPr="002A4DFE">
        <w:rPr>
          <w:rFonts w:ascii="Arial" w:hAnsi="Arial" w:cs="Arial"/>
          <w:b/>
          <w:bCs/>
          <w:iCs/>
          <w:lang w:val="es-ES_tradnl"/>
        </w:rPr>
        <w:t xml:space="preserve"> Deber de public</w:t>
      </w:r>
      <w:r>
        <w:rPr>
          <w:rFonts w:ascii="Arial" w:hAnsi="Arial" w:cs="Arial"/>
          <w:b/>
          <w:bCs/>
          <w:iCs/>
          <w:lang w:val="es-ES_tradnl"/>
        </w:rPr>
        <w:t>idad</w:t>
      </w:r>
      <w:r w:rsidRPr="002A4DFE">
        <w:rPr>
          <w:rFonts w:ascii="Arial" w:hAnsi="Arial" w:cs="Arial"/>
          <w:b/>
          <w:bCs/>
          <w:iCs/>
          <w:lang w:val="es-ES_tradnl"/>
        </w:rPr>
        <w:t xml:space="preserve"> </w:t>
      </w:r>
      <w:r w:rsidRPr="002A4DFE">
        <w:rPr>
          <w:rFonts w:ascii="Arial" w:hAnsi="Arial" w:eastAsia="Calibri" w:cs="Arial"/>
          <w:b/>
          <w:lang w:val="es-ES_tradnl"/>
        </w:rPr>
        <w:t xml:space="preserve">– </w:t>
      </w:r>
      <w:r w:rsidRPr="002A4DFE">
        <w:rPr>
          <w:rFonts w:ascii="Arial" w:hAnsi="Arial" w:cs="Arial"/>
          <w:b/>
          <w:bCs/>
          <w:iCs/>
          <w:lang w:val="es-ES_tradnl"/>
        </w:rPr>
        <w:t xml:space="preserve">Entidades Estatales exceptuadas </w:t>
      </w:r>
      <w:r w:rsidRPr="002A4DFE">
        <w:rPr>
          <w:rFonts w:ascii="Arial" w:hAnsi="Arial" w:eastAsia="Calibri" w:cs="Arial"/>
          <w:b/>
          <w:lang w:val="es-ES_tradnl"/>
        </w:rPr>
        <w:t>– Uso</w:t>
      </w:r>
    </w:p>
    <w:p w:rsidRPr="002A4DFE" w:rsidR="00456D00" w:rsidP="00456D00" w:rsidRDefault="00456D00" w14:paraId="5CDFCD9B" w14:textId="77777777">
      <w:pPr>
        <w:spacing w:after="0" w:line="240" w:lineRule="auto"/>
        <w:contextualSpacing/>
        <w:jc w:val="both"/>
        <w:rPr>
          <w:rFonts w:ascii="Arial" w:hAnsi="Arial" w:eastAsia="Calibri" w:cs="Arial"/>
          <w:b/>
          <w:sz w:val="20"/>
          <w:szCs w:val="20"/>
          <w:lang w:val="es-ES_tradnl"/>
        </w:rPr>
      </w:pPr>
    </w:p>
    <w:bookmarkEnd w:id="0"/>
    <w:p w:rsidR="00456D00" w:rsidP="00456D00" w:rsidRDefault="00456D00" w14:paraId="10DF9E89" w14:textId="77777777">
      <w:pPr>
        <w:autoSpaceDE w:val="0"/>
        <w:autoSpaceDN w:val="0"/>
        <w:adjustRightInd w:val="0"/>
        <w:spacing w:after="0" w:line="240" w:lineRule="auto"/>
        <w:contextualSpacing/>
        <w:jc w:val="both"/>
        <w:rPr>
          <w:rFonts w:ascii="Arial" w:hAnsi="Arial" w:cs="Arial"/>
          <w:sz w:val="20"/>
          <w:szCs w:val="20"/>
          <w:lang w:val="es-MX"/>
        </w:rPr>
      </w:pPr>
      <w:r w:rsidRPr="002A4DFE">
        <w:rPr>
          <w:rFonts w:ascii="Arial" w:hAnsi="Arial" w:eastAsia="Calibri" w:cs="Arial"/>
          <w:iCs/>
          <w:sz w:val="20"/>
          <w:szCs w:val="20"/>
          <w:lang w:val="es-ES" w:eastAsia="es-ES_tradnl"/>
        </w:rPr>
        <w:t>[…] dado que el artículo 53 de la Ley 2195 de 2022 no cambió la forma en que se perfeccionan los contratos suscritos por estas entidades exceptuadas, para cumplir con el deber de publicidad que les asiste, estas podrán elegir cualquiera de las siguientes opciones:</w:t>
      </w:r>
      <w:r>
        <w:rPr>
          <w:rFonts w:ascii="Arial" w:hAnsi="Arial" w:eastAsia="Calibri" w:cs="Arial"/>
          <w:iCs/>
          <w:sz w:val="20"/>
          <w:szCs w:val="20"/>
          <w:lang w:val="es-ES" w:eastAsia="es-ES_tradnl"/>
        </w:rPr>
        <w:t xml:space="preserve"> 1. </w:t>
      </w:r>
      <w:r w:rsidRPr="002A4DFE">
        <w:rPr>
          <w:rFonts w:ascii="Arial" w:hAnsi="Arial" w:cs="Arial"/>
          <w:sz w:val="20"/>
          <w:szCs w:val="20"/>
          <w:lang w:val="es-ES"/>
        </w:rPr>
        <w:t>F</w:t>
      </w:r>
      <w:r w:rsidRPr="002A4DFE">
        <w:rPr>
          <w:rFonts w:ascii="Arial" w:hAnsi="Arial" w:cs="Arial"/>
          <w:sz w:val="20"/>
          <w:szCs w:val="20"/>
          <w:lang w:val="es-MX"/>
        </w:rPr>
        <w:t>irmar el contrato electrónicamente, es decir, realizar un uso transaccional de la plataforma.</w:t>
      </w:r>
      <w:r>
        <w:rPr>
          <w:rFonts w:ascii="Arial" w:hAnsi="Arial" w:cs="Arial"/>
          <w:sz w:val="20"/>
          <w:szCs w:val="20"/>
          <w:lang w:val="es-MX"/>
        </w:rPr>
        <w:t xml:space="preserve">2. </w:t>
      </w:r>
      <w:r w:rsidRPr="002A4DFE">
        <w:rPr>
          <w:rFonts w:ascii="Arial" w:hAnsi="Arial" w:cs="Arial"/>
          <w:sz w:val="20"/>
          <w:szCs w:val="20"/>
          <w:lang w:val="es-MX"/>
        </w:rPr>
        <w:t>Firmar el contrato en físico y publica los documentos de ejecución en la etapa precontractual del SECOP II, es decir, realizar un uso publicitario de la plataforma.</w:t>
      </w:r>
    </w:p>
    <w:p w:rsidRPr="002A4DFE" w:rsidR="00456D00" w:rsidP="00456D00" w:rsidRDefault="00456D00" w14:paraId="6DD19E78" w14:textId="77777777">
      <w:pPr>
        <w:autoSpaceDE w:val="0"/>
        <w:autoSpaceDN w:val="0"/>
        <w:adjustRightInd w:val="0"/>
        <w:spacing w:after="0" w:line="240" w:lineRule="auto"/>
        <w:contextualSpacing/>
        <w:jc w:val="both"/>
        <w:rPr>
          <w:rFonts w:ascii="Arial" w:hAnsi="Arial" w:cs="Arial"/>
          <w:sz w:val="20"/>
          <w:szCs w:val="20"/>
          <w:lang w:val="es-MX"/>
        </w:rPr>
      </w:pPr>
    </w:p>
    <w:p w:rsidRPr="002A4DFE" w:rsidR="00456D00" w:rsidP="00456D00" w:rsidRDefault="00456D00" w14:paraId="1DB96459" w14:textId="77777777">
      <w:pPr>
        <w:autoSpaceDE w:val="0"/>
        <w:autoSpaceDN w:val="0"/>
        <w:adjustRightInd w:val="0"/>
        <w:spacing w:after="0" w:line="240" w:lineRule="auto"/>
        <w:contextualSpacing/>
        <w:jc w:val="both"/>
        <w:rPr>
          <w:rFonts w:ascii="Arial" w:hAnsi="Arial" w:eastAsia="Times New Roman" w:cs="Arial"/>
          <w:sz w:val="20"/>
          <w:szCs w:val="20"/>
          <w:lang w:eastAsia="es-ES_tradnl"/>
        </w:rPr>
      </w:pPr>
      <w:r w:rsidRPr="002A4DFE">
        <w:rPr>
          <w:rFonts w:ascii="Arial" w:hAnsi="Arial" w:eastAsia="Times New Roman" w:cs="Arial"/>
          <w:sz w:val="20"/>
          <w:szCs w:val="20"/>
          <w:lang w:eastAsia="es-ES_tradnl"/>
        </w:rPr>
        <w:t>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w:t>
      </w:r>
    </w:p>
    <w:p w:rsidR="00456D00" w:rsidP="00456D00" w:rsidRDefault="00456D00" w14:paraId="6C4B5C75" w14:textId="77777777">
      <w:pPr>
        <w:autoSpaceDE w:val="0"/>
        <w:autoSpaceDN w:val="0"/>
        <w:adjustRightInd w:val="0"/>
        <w:spacing w:after="0" w:line="240" w:lineRule="auto"/>
        <w:contextualSpacing/>
        <w:jc w:val="both"/>
        <w:rPr>
          <w:rFonts w:ascii="Arial" w:hAnsi="Arial" w:eastAsia="Times New Roman" w:cs="Arial"/>
          <w:sz w:val="20"/>
          <w:szCs w:val="20"/>
          <w:lang w:eastAsia="es-ES_tradnl"/>
        </w:rPr>
      </w:pPr>
    </w:p>
    <w:p w:rsidRPr="002A4DFE" w:rsidR="00456D00" w:rsidP="00456D00" w:rsidRDefault="00456D00" w14:paraId="2226E233" w14:textId="77777777">
      <w:pPr>
        <w:autoSpaceDE w:val="0"/>
        <w:autoSpaceDN w:val="0"/>
        <w:adjustRightInd w:val="0"/>
        <w:spacing w:after="0" w:line="240" w:lineRule="auto"/>
        <w:contextualSpacing/>
        <w:jc w:val="both"/>
        <w:rPr>
          <w:rFonts w:ascii="Arial" w:hAnsi="Arial" w:eastAsia="Times New Roman" w:cs="Arial"/>
          <w:sz w:val="20"/>
          <w:szCs w:val="20"/>
          <w:lang w:eastAsia="es-ES_tradnl"/>
        </w:rPr>
      </w:pPr>
      <w:r w:rsidRPr="002A4DFE">
        <w:rPr>
          <w:rFonts w:ascii="Arial" w:hAnsi="Arial" w:eastAsia="Times New Roman" w:cs="Arial"/>
          <w:sz w:val="20"/>
          <w:szCs w:val="20"/>
          <w:lang w:eastAsia="es-ES_tradnl"/>
        </w:rPr>
        <w:t>En el segundo caso, si decide utilizar el SECOP II como herramienta de publicidad, deberá crear el proceso de contratación en el SECOP II mediante el módulo «</w:t>
      </w:r>
      <w:r w:rsidRPr="002A4DFE">
        <w:rPr>
          <w:rFonts w:ascii="Arial" w:hAnsi="Arial" w:eastAsia="Times New Roman" w:cs="Arial"/>
          <w:i/>
          <w:iCs/>
          <w:sz w:val="20"/>
          <w:szCs w:val="20"/>
          <w:lang w:eastAsia="es-ES_tradnl"/>
        </w:rPr>
        <w:t>Contratación Régimen Especial (sin ofertas)»</w:t>
      </w:r>
      <w:r w:rsidRPr="002A4DFE">
        <w:rPr>
          <w:rFonts w:ascii="Arial" w:hAnsi="Arial" w:eastAsia="Times New Roman" w:cs="Arial"/>
          <w:sz w:val="20"/>
          <w:szCs w:val="20"/>
          <w:lang w:eastAsia="es-ES_tradnl"/>
        </w:rPr>
        <w:t>, cargar todos los documentos del proceso en la sección dispuesta para ello y publicar el proceso. La publicación de los documentos de la gestión contractual, incluido el contrato firmado manuscritamente, se debe realizar mediante modificaciones al proceso a través de la opción “Modificaciones/Adendas”. Sin embargo, las entidades públicas deberán tener en cuenta que si utilizan esta opción, no deben dar clic en “</w:t>
      </w:r>
      <w:r w:rsidRPr="002A4DFE">
        <w:rPr>
          <w:rFonts w:ascii="Arial" w:hAnsi="Arial" w:eastAsia="Times New Roman" w:cs="Arial"/>
          <w:i/>
          <w:iCs/>
          <w:sz w:val="20"/>
          <w:szCs w:val="20"/>
          <w:lang w:eastAsia="es-ES_tradnl"/>
        </w:rPr>
        <w:t>Finalizar</w:t>
      </w:r>
      <w:r w:rsidRPr="002A4DFE">
        <w:rPr>
          <w:rFonts w:ascii="Arial" w:hAnsi="Arial" w:eastAsia="Times New Roman" w:cs="Arial"/>
          <w:sz w:val="20"/>
          <w:szCs w:val="20"/>
          <w:lang w:eastAsia="es-ES_tradnl"/>
        </w:rPr>
        <w:t>” después de publicar el proceso, en tanto que la plataforma cierra el expediente y no permite la publicación posterior de ningún otro documento.</w:t>
      </w:r>
    </w:p>
    <w:p w:rsidRPr="00BD40F9" w:rsidR="00FB17D4" w:rsidP="00FB17D4" w:rsidRDefault="00FB17D4" w14:paraId="1AED7B87" w14:textId="77777777">
      <w:pPr>
        <w:spacing w:after="0" w:line="276" w:lineRule="auto"/>
        <w:jc w:val="both"/>
        <w:rPr>
          <w:rFonts w:ascii="Arial" w:hAnsi="Arial" w:eastAsia="Times New Roman" w:cs="Arial"/>
          <w:noProof/>
          <w:szCs w:val="24"/>
          <w:lang w:eastAsia="es-ES_tradnl"/>
        </w:rPr>
      </w:pPr>
    </w:p>
    <w:p w:rsidRPr="00BD40F9" w:rsidR="00FB17D4" w:rsidP="00FB17D4" w:rsidRDefault="00FB17D4" w14:paraId="23A8B772"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1A925C3E"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7BE98977"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494B9D5B"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74E08119"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63C5A280"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2FF8039C"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58AF3BDB"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559825A3"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48E8B954" w14:textId="77777777">
      <w:pPr>
        <w:spacing w:after="0" w:line="276" w:lineRule="auto"/>
        <w:jc w:val="both"/>
        <w:rPr>
          <w:rFonts w:ascii="Arial" w:hAnsi="Arial" w:eastAsia="Calibri" w:cs="Arial"/>
          <w:b/>
          <w:szCs w:val="24"/>
          <w:lang w:val="es-ES_tradnl" w:eastAsia="es-ES_tradnl"/>
        </w:rPr>
      </w:pPr>
    </w:p>
    <w:p w:rsidRPr="00BD40F9" w:rsidR="00FB17D4" w:rsidP="00FB17D4" w:rsidRDefault="00FB17D4" w14:paraId="231AA090" w14:textId="77777777">
      <w:pPr>
        <w:spacing w:after="0" w:line="276" w:lineRule="auto"/>
        <w:jc w:val="both"/>
        <w:rPr>
          <w:rFonts w:ascii="Arial" w:hAnsi="Arial" w:eastAsia="Calibri" w:cs="Arial"/>
          <w:b/>
          <w:szCs w:val="24"/>
          <w:lang w:val="es-ES_tradnl" w:eastAsia="es-ES_tradnl"/>
        </w:rPr>
      </w:pPr>
    </w:p>
    <w:p w:rsidR="00456D00" w:rsidRDefault="00456D00" w14:paraId="0D9929EB" w14:textId="77777777">
      <w:pPr>
        <w:rPr>
          <w:rFonts w:ascii="Arial" w:hAnsi="Arial" w:eastAsia="Times New Roman" w:cs="Arial"/>
          <w:bCs/>
          <w:sz w:val="16"/>
          <w:szCs w:val="16"/>
          <w:lang w:val="es-ES_tradnl" w:eastAsia="es-ES"/>
        </w:rPr>
      </w:pPr>
      <w:bookmarkStart w:name="_Hlk28946138" w:id="1"/>
      <w:bookmarkStart w:name="_Hlk29548183" w:id="2"/>
      <w:r>
        <w:rPr>
          <w:rFonts w:ascii="Arial" w:hAnsi="Arial" w:eastAsia="Times New Roman" w:cs="Arial"/>
          <w:bCs/>
          <w:sz w:val="16"/>
          <w:szCs w:val="16"/>
          <w:lang w:val="es-ES_tradnl" w:eastAsia="es-ES"/>
        </w:rPr>
        <w:br w:type="page"/>
      </w:r>
    </w:p>
    <w:p w:rsidRPr="00BD40F9" w:rsidR="00D43E0F" w:rsidP="00456D00" w:rsidRDefault="00D43E0F" w14:paraId="37F0C8E7" w14:textId="6E45FA1D">
      <w:pPr>
        <w:jc w:val="right"/>
        <w:rPr>
          <w:rFonts w:ascii="Arial" w:hAnsi="Arial" w:eastAsia="Calibri" w:cs="Arial"/>
          <w:b/>
          <w:sz w:val="20"/>
          <w:szCs w:val="20"/>
          <w:lang w:val="es-ES_tradnl" w:eastAsia="es-ES_tradnl"/>
        </w:rPr>
      </w:pPr>
      <w:r w:rsidRPr="00BD40F9">
        <w:rPr>
          <w:rFonts w:ascii="Arial" w:hAnsi="Arial" w:eastAsia="Times New Roman" w:cs="Arial"/>
          <w:bCs/>
          <w:sz w:val="16"/>
          <w:szCs w:val="16"/>
          <w:lang w:val="es-ES_tradnl" w:eastAsia="es-ES"/>
        </w:rPr>
        <w:t>CCE-DES-FM-17</w:t>
      </w:r>
      <w:bookmarkEnd w:id="1"/>
      <w:bookmarkEnd w:id="2"/>
    </w:p>
    <w:p w:rsidRPr="00BD40F9" w:rsidR="00FB17D4" w:rsidP="00CF236A" w:rsidRDefault="00CF236A" w14:paraId="72839F4F" w14:textId="64D8FBBB">
      <w:pPr>
        <w:spacing w:after="0" w:line="240" w:lineRule="auto"/>
        <w:jc w:val="right"/>
        <w:rPr>
          <w:rFonts w:ascii="Arial" w:hAnsi="Arial" w:eastAsia="Times New Roman" w:cs="Arial"/>
          <w:bCs/>
          <w:szCs w:val="24"/>
          <w:lang w:val="es-ES_tradnl" w:eastAsia="es-ES_tradnl"/>
        </w:rPr>
      </w:pPr>
      <w:r w:rsidRPr="00E15CCE">
        <w:rPr>
          <w:noProof/>
          <w:lang w:val="es-ES"/>
        </w:rPr>
        <w:drawing>
          <wp:inline distT="0" distB="0" distL="0" distR="0" wp14:anchorId="733E28B2" wp14:editId="0948FC06">
            <wp:extent cx="2966838" cy="623712"/>
            <wp:effectExtent l="0" t="0" r="5080" b="5080"/>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1"/>
                    <a:stretch>
                      <a:fillRect/>
                    </a:stretch>
                  </pic:blipFill>
                  <pic:spPr>
                    <a:xfrm>
                      <a:off x="0" y="0"/>
                      <a:ext cx="3037639" cy="638596"/>
                    </a:xfrm>
                    <a:prstGeom prst="rect">
                      <a:avLst/>
                    </a:prstGeom>
                  </pic:spPr>
                </pic:pic>
              </a:graphicData>
            </a:graphic>
          </wp:inline>
        </w:drawing>
      </w:r>
    </w:p>
    <w:p w:rsidRPr="00BD40F9" w:rsidR="00D43E0F" w:rsidP="00CE3EDA" w:rsidRDefault="00CE3EDA" w14:paraId="56479063" w14:textId="6D33DA7E">
      <w:pPr>
        <w:spacing w:after="0" w:line="240" w:lineRule="auto"/>
        <w:contextualSpacing/>
        <w:jc w:val="right"/>
        <w:rPr>
          <w:rFonts w:ascii="Arial" w:hAnsi="Arial" w:eastAsia="Calibri" w:cs="Arial"/>
          <w:szCs w:val="24"/>
          <w:lang w:val="es-ES_tradnl" w:eastAsia="es-ES_tradnl"/>
        </w:rPr>
      </w:pPr>
      <w:r>
        <w:rPr>
          <w:noProof/>
        </w:rPr>
        <w:drawing>
          <wp:inline distT="0" distB="0" distL="0" distR="0" wp14:anchorId="7951F494" wp14:editId="6513E936">
            <wp:extent cx="2867332" cy="794030"/>
            <wp:effectExtent l="0" t="0" r="0" b="635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2"/>
                    <a:stretch>
                      <a:fillRect/>
                    </a:stretch>
                  </pic:blipFill>
                  <pic:spPr>
                    <a:xfrm>
                      <a:off x="0" y="0"/>
                      <a:ext cx="2889537" cy="800179"/>
                    </a:xfrm>
                    <a:prstGeom prst="rect">
                      <a:avLst/>
                    </a:prstGeom>
                  </pic:spPr>
                </pic:pic>
              </a:graphicData>
            </a:graphic>
          </wp:inline>
        </w:drawing>
      </w:r>
    </w:p>
    <w:p w:rsidRPr="00BD40F9" w:rsidR="007F4C9B" w:rsidP="006B19A4" w:rsidRDefault="007F4C9B" w14:paraId="6B5F56F2" w14:textId="77777777">
      <w:pPr>
        <w:spacing w:after="0" w:line="240" w:lineRule="auto"/>
        <w:contextualSpacing/>
        <w:jc w:val="both"/>
        <w:rPr>
          <w:rFonts w:ascii="Arial" w:hAnsi="Arial" w:eastAsia="Calibri" w:cs="Arial"/>
          <w:szCs w:val="24"/>
          <w:lang w:val="es-ES_tradnl" w:eastAsia="es-ES_tradnl"/>
        </w:rPr>
      </w:pPr>
    </w:p>
    <w:p w:rsidRPr="00BD40F9" w:rsidR="00FB17D4" w:rsidP="006B19A4" w:rsidRDefault="00FB17D4" w14:paraId="3E839D93" w14:textId="2F7C8002">
      <w:pPr>
        <w:spacing w:after="0" w:line="240" w:lineRule="auto"/>
        <w:contextualSpacing/>
        <w:jc w:val="both"/>
        <w:rPr>
          <w:rFonts w:ascii="Arial" w:hAnsi="Arial" w:eastAsia="Calibri" w:cs="Arial"/>
          <w:szCs w:val="24"/>
          <w:lang w:val="es-ES_tradnl" w:eastAsia="es-ES_tradnl"/>
        </w:rPr>
      </w:pPr>
      <w:bookmarkStart w:name="_Hlk109055567" w:id="3"/>
      <w:r w:rsidRPr="00BD40F9">
        <w:rPr>
          <w:rFonts w:ascii="Arial" w:hAnsi="Arial" w:eastAsia="Calibri" w:cs="Arial"/>
          <w:szCs w:val="24"/>
          <w:lang w:val="es-ES_tradnl" w:eastAsia="es-ES_tradnl"/>
        </w:rPr>
        <w:t>Doctor</w:t>
      </w:r>
    </w:p>
    <w:p w:rsidRPr="00BD40F9" w:rsidR="00FB17D4" w:rsidP="006B19A4" w:rsidRDefault="00FB17D4" w14:paraId="5A40DE40" w14:textId="23CC3312">
      <w:pPr>
        <w:spacing w:after="0" w:line="240" w:lineRule="auto"/>
        <w:contextualSpacing/>
        <w:jc w:val="both"/>
        <w:rPr>
          <w:rFonts w:ascii="Arial" w:hAnsi="Arial" w:eastAsia="Calibri" w:cs="Arial"/>
          <w:b/>
          <w:szCs w:val="24"/>
          <w:lang w:val="es-ES_tradnl" w:eastAsia="es-ES_tradnl"/>
        </w:rPr>
      </w:pPr>
      <w:r w:rsidRPr="00BD40F9">
        <w:rPr>
          <w:rFonts w:ascii="Arial" w:hAnsi="Arial" w:eastAsia="Calibri" w:cs="Arial"/>
          <w:b/>
          <w:szCs w:val="24"/>
          <w:lang w:val="es-ES_tradnl" w:eastAsia="es-ES_tradnl"/>
        </w:rPr>
        <w:t xml:space="preserve">Luis </w:t>
      </w:r>
      <w:r w:rsidRPr="00BD40F9" w:rsidR="00FA6D7D">
        <w:rPr>
          <w:rFonts w:ascii="Arial" w:hAnsi="Arial" w:eastAsia="Calibri" w:cs="Arial"/>
          <w:b/>
          <w:szCs w:val="24"/>
          <w:lang w:val="es-ES_tradnl" w:eastAsia="es-ES_tradnl"/>
        </w:rPr>
        <w:t>Elías</w:t>
      </w:r>
      <w:r w:rsidRPr="00BD40F9">
        <w:rPr>
          <w:rFonts w:ascii="Arial" w:hAnsi="Arial" w:eastAsia="Calibri" w:cs="Arial"/>
          <w:b/>
          <w:szCs w:val="24"/>
          <w:lang w:val="es-ES_tradnl" w:eastAsia="es-ES_tradnl"/>
        </w:rPr>
        <w:t xml:space="preserve"> Evan Dur</w:t>
      </w:r>
      <w:r w:rsidR="0038007F">
        <w:rPr>
          <w:rFonts w:ascii="Arial" w:hAnsi="Arial" w:eastAsia="Calibri" w:cs="Arial"/>
          <w:b/>
          <w:szCs w:val="24"/>
          <w:lang w:val="es-ES_tradnl" w:eastAsia="es-ES_tradnl"/>
        </w:rPr>
        <w:t>á</w:t>
      </w:r>
      <w:r w:rsidRPr="00BD40F9">
        <w:rPr>
          <w:rFonts w:ascii="Arial" w:hAnsi="Arial" w:eastAsia="Calibri" w:cs="Arial"/>
          <w:b/>
          <w:szCs w:val="24"/>
          <w:lang w:val="es-ES_tradnl" w:eastAsia="es-ES_tradnl"/>
        </w:rPr>
        <w:t>n</w:t>
      </w:r>
    </w:p>
    <w:p w:rsidRPr="00BD40F9" w:rsidR="00FB17D4" w:rsidP="006B19A4" w:rsidRDefault="00FB17D4" w14:paraId="5B4E95CB" w14:textId="284462EF">
      <w:pPr>
        <w:spacing w:after="0" w:line="240" w:lineRule="auto"/>
        <w:contextualSpacing/>
        <w:jc w:val="both"/>
        <w:rPr>
          <w:rFonts w:ascii="Arial" w:hAnsi="Arial" w:eastAsia="Calibri" w:cs="Arial"/>
          <w:bCs/>
          <w:szCs w:val="24"/>
          <w:lang w:val="es-ES_tradnl" w:eastAsia="es-ES_tradnl"/>
        </w:rPr>
      </w:pPr>
      <w:r w:rsidRPr="00BD40F9">
        <w:rPr>
          <w:rFonts w:ascii="Arial" w:hAnsi="Arial" w:eastAsia="Calibri" w:cs="Arial"/>
          <w:bCs/>
          <w:szCs w:val="24"/>
          <w:lang w:val="es-ES_tradnl" w:eastAsia="es-ES_tradnl"/>
        </w:rPr>
        <w:t>Coordinador de Planeación Macroeconómica – Gerencia de Abastecimiento</w:t>
      </w:r>
    </w:p>
    <w:p w:rsidRPr="00BD40F9" w:rsidR="00FB17D4" w:rsidP="006B19A4" w:rsidRDefault="00FB17D4" w14:paraId="62943AFF" w14:textId="63510BA5">
      <w:pPr>
        <w:spacing w:after="0" w:line="240" w:lineRule="auto"/>
        <w:contextualSpacing/>
        <w:jc w:val="both"/>
        <w:rPr>
          <w:rFonts w:ascii="Arial" w:hAnsi="Arial" w:eastAsia="Calibri" w:cs="Arial"/>
          <w:b/>
          <w:szCs w:val="24"/>
          <w:lang w:val="es-ES_tradnl" w:eastAsia="es-ES_tradnl"/>
        </w:rPr>
      </w:pPr>
      <w:r w:rsidRPr="00BD40F9">
        <w:rPr>
          <w:rFonts w:ascii="Arial" w:hAnsi="Arial" w:eastAsia="Calibri" w:cs="Arial"/>
          <w:b/>
          <w:szCs w:val="24"/>
          <w:lang w:val="es-ES_tradnl" w:eastAsia="es-ES_tradnl"/>
        </w:rPr>
        <w:t>Ecopetrol S.A.</w:t>
      </w:r>
    </w:p>
    <w:p w:rsidRPr="00BD40F9" w:rsidR="00FB17D4" w:rsidP="006B19A4" w:rsidRDefault="00FB17D4" w14:paraId="059B32E4" w14:textId="77777777">
      <w:pPr>
        <w:spacing w:after="0" w:line="240" w:lineRule="auto"/>
        <w:contextualSpacing/>
        <w:jc w:val="both"/>
        <w:rPr>
          <w:rFonts w:ascii="Arial" w:hAnsi="Arial" w:eastAsia="Calibri" w:cs="Arial"/>
          <w:szCs w:val="24"/>
          <w:lang w:val="es-ES_tradnl" w:eastAsia="es-ES_tradnl"/>
        </w:rPr>
      </w:pPr>
      <w:r w:rsidRPr="00BD40F9">
        <w:rPr>
          <w:rFonts w:ascii="Arial" w:hAnsi="Arial" w:eastAsia="Calibri" w:cs="Arial"/>
          <w:szCs w:val="24"/>
          <w:lang w:val="es-ES_tradnl" w:eastAsia="es-ES_tradnl"/>
        </w:rPr>
        <w:t>Bogotá D.C.</w:t>
      </w:r>
    </w:p>
    <w:p w:rsidRPr="00BD40F9" w:rsidR="00FB17D4" w:rsidP="006B19A4" w:rsidRDefault="00FB17D4" w14:paraId="39DA1E5F" w14:textId="740709AA">
      <w:pPr>
        <w:spacing w:after="0" w:line="240" w:lineRule="auto"/>
        <w:contextualSpacing/>
        <w:rPr>
          <w:rFonts w:ascii="Arial" w:hAnsi="Arial" w:eastAsia="Calibri" w:cs="Arial"/>
          <w:szCs w:val="24"/>
          <w:lang w:val="es-ES_tradnl" w:eastAsia="es-ES_tradnl"/>
        </w:rPr>
      </w:pPr>
    </w:p>
    <w:p w:rsidRPr="00BD40F9" w:rsidR="00FB17D4" w:rsidP="006B19A4" w:rsidRDefault="00FB17D4" w14:paraId="7FCBE246" w14:textId="332B298A">
      <w:pPr>
        <w:spacing w:after="0" w:line="240" w:lineRule="auto"/>
        <w:contextualSpacing/>
        <w:rPr>
          <w:rFonts w:ascii="Arial" w:hAnsi="Arial" w:eastAsia="Calibri" w:cs="Arial"/>
          <w:b/>
          <w:bCs/>
          <w:szCs w:val="24"/>
          <w:lang w:val="es-ES_tradnl" w:eastAsia="es-ES_tradnl"/>
        </w:rPr>
      </w:pPr>
      <w:r w:rsidRPr="00BD40F9">
        <w:rPr>
          <w:rFonts w:ascii="Arial" w:hAnsi="Arial" w:eastAsia="Calibri" w:cs="Arial"/>
          <w:szCs w:val="24"/>
          <w:lang w:val="es-ES_tradnl" w:eastAsia="es-ES_tradnl"/>
        </w:rPr>
        <w:t xml:space="preserve">                                            </w:t>
      </w:r>
      <w:r w:rsidRPr="00BD40F9">
        <w:rPr>
          <w:rFonts w:ascii="Arial" w:hAnsi="Arial" w:eastAsia="Calibri" w:cs="Arial"/>
          <w:b/>
          <w:bCs/>
          <w:szCs w:val="24"/>
          <w:lang w:val="es-ES_tradnl" w:eastAsia="es-ES_tradnl"/>
        </w:rPr>
        <w:t xml:space="preserve">Concepto C ‒ </w:t>
      </w:r>
      <w:r w:rsidRPr="00BD40F9" w:rsidR="00502056">
        <w:rPr>
          <w:rFonts w:ascii="Arial" w:hAnsi="Arial" w:eastAsia="Calibri" w:cs="Arial"/>
          <w:b/>
          <w:bCs/>
          <w:szCs w:val="24"/>
          <w:lang w:val="es-ES_tradnl" w:eastAsia="es-ES_tradnl"/>
        </w:rPr>
        <w:t>480</w:t>
      </w:r>
      <w:r w:rsidRPr="00BD40F9">
        <w:rPr>
          <w:rFonts w:ascii="Arial" w:hAnsi="Arial" w:eastAsia="Calibri" w:cs="Arial"/>
          <w:b/>
          <w:bCs/>
          <w:szCs w:val="24"/>
          <w:lang w:val="es-ES_tradnl" w:eastAsia="es-ES_tradnl"/>
        </w:rPr>
        <w:t xml:space="preserve"> de 2022</w:t>
      </w:r>
    </w:p>
    <w:p w:rsidRPr="00BD40F9" w:rsidR="00FB17D4" w:rsidP="006B19A4" w:rsidRDefault="00FB17D4" w14:paraId="4BB4875F" w14:textId="77777777">
      <w:pPr>
        <w:spacing w:after="0" w:line="240" w:lineRule="auto"/>
        <w:contextualSpacing/>
        <w:jc w:val="both"/>
        <w:rPr>
          <w:rFonts w:ascii="Arial" w:hAnsi="Arial" w:eastAsia="Calibri" w:cs="Arial"/>
          <w:szCs w:val="24"/>
          <w:lang w:val="es-ES_tradnl" w:eastAsia="es-ES_tradnl"/>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D40F9" w:rsidR="008A6A89" w:rsidTr="00D240DE" w14:paraId="0A8D998C" w14:textId="77777777">
        <w:tc>
          <w:tcPr>
            <w:tcW w:w="2689" w:type="dxa"/>
          </w:tcPr>
          <w:p w:rsidRPr="00BD40F9" w:rsidR="00FB17D4" w:rsidP="006B19A4" w:rsidRDefault="00FB17D4" w14:paraId="67BA2FBC" w14:textId="77777777">
            <w:pPr>
              <w:contextualSpacing/>
              <w:jc w:val="both"/>
              <w:rPr>
                <w:rFonts w:ascii="Arial" w:hAnsi="Arial" w:eastAsia="Calibri" w:cs="Arial"/>
                <w:szCs w:val="24"/>
                <w:lang w:val="es-ES_tradnl" w:eastAsia="es-ES_tradnl"/>
              </w:rPr>
            </w:pPr>
            <w:r w:rsidRPr="00BD40F9">
              <w:rPr>
                <w:rFonts w:ascii="Arial" w:hAnsi="Arial" w:eastAsia="Calibri" w:cs="Arial"/>
                <w:b/>
                <w:szCs w:val="24"/>
                <w:lang w:val="es-ES_tradnl" w:eastAsia="es-ES_tradnl"/>
              </w:rPr>
              <w:t>Temas:</w:t>
            </w:r>
            <w:r w:rsidRPr="00BD40F9">
              <w:rPr>
                <w:rFonts w:ascii="Arial" w:hAnsi="Arial" w:eastAsia="Calibri" w:cs="Arial"/>
                <w:szCs w:val="24"/>
                <w:lang w:val="es-ES_tradnl" w:eastAsia="es-ES_tradnl"/>
              </w:rPr>
              <w:t xml:space="preserve">                                      </w:t>
            </w:r>
          </w:p>
        </w:tc>
        <w:tc>
          <w:tcPr>
            <w:tcW w:w="6237" w:type="dxa"/>
          </w:tcPr>
          <w:p w:rsidRPr="00913E6A" w:rsidR="00456D00" w:rsidP="00456D00" w:rsidRDefault="00456D00" w14:paraId="1D093D84" w14:textId="77777777">
            <w:pPr>
              <w:jc w:val="both"/>
              <w:rPr>
                <w:rFonts w:ascii="Arial" w:hAnsi="Arial" w:eastAsia="Calibri" w:cs="Arial"/>
                <w:lang w:val="es-ES_tradnl"/>
              </w:rPr>
            </w:pPr>
            <w:r w:rsidRPr="00913E6A">
              <w:rPr>
                <w:rFonts w:ascii="Arial" w:hAnsi="Arial" w:cs="Arial"/>
                <w:iCs/>
                <w:lang w:val="es-ES_tradnl"/>
              </w:rPr>
              <w:t xml:space="preserve">DEBER DE PUBLICIDAD </w:t>
            </w:r>
            <w:r w:rsidRPr="00913E6A">
              <w:rPr>
                <w:rFonts w:ascii="Arial" w:hAnsi="Arial" w:eastAsia="Calibri" w:cs="Arial"/>
                <w:lang w:val="es-ES_tradnl"/>
              </w:rPr>
              <w:t>–</w:t>
            </w:r>
            <w:r w:rsidRPr="00913E6A">
              <w:rPr>
                <w:rFonts w:ascii="Arial" w:hAnsi="Arial" w:cs="Arial"/>
                <w:iCs/>
                <w:lang w:val="es-ES_tradnl"/>
              </w:rPr>
              <w:t xml:space="preserve"> Entidades Estatales exceptuadas del Estatuto General de Contratación de la Administración Pública / SECOP II </w:t>
            </w:r>
            <w:r w:rsidRPr="00913E6A">
              <w:rPr>
                <w:rFonts w:ascii="Arial" w:hAnsi="Arial" w:eastAsia="Calibri" w:cs="Arial"/>
                <w:lang w:val="es-ES_tradnl"/>
              </w:rPr>
              <w:t>–</w:t>
            </w:r>
            <w:r w:rsidRPr="00913E6A">
              <w:rPr>
                <w:rFonts w:ascii="Arial" w:hAnsi="Arial" w:cs="Arial"/>
                <w:iCs/>
                <w:lang w:val="es-ES_tradnl"/>
              </w:rPr>
              <w:t xml:space="preserve"> Deber de publicidad </w:t>
            </w:r>
            <w:r w:rsidRPr="00913E6A">
              <w:rPr>
                <w:rFonts w:ascii="Arial" w:hAnsi="Arial" w:eastAsia="Calibri" w:cs="Arial"/>
                <w:lang w:val="es-ES_tradnl"/>
              </w:rPr>
              <w:t>–</w:t>
            </w:r>
            <w:r w:rsidRPr="00913E6A">
              <w:rPr>
                <w:rFonts w:ascii="Arial" w:hAnsi="Arial" w:cs="Arial"/>
                <w:iCs/>
                <w:lang w:val="es-ES_tradnl"/>
              </w:rPr>
              <w:t xml:space="preserve"> Entidades Estatales exceptuadas del Estatuto General de Contratación de la Administración Pública – Modificación artículo 53 de la Ley 2195 de 2022 / </w:t>
            </w:r>
            <w:r w:rsidRPr="00913E6A">
              <w:rPr>
                <w:rFonts w:ascii="Arial" w:hAnsi="Arial" w:eastAsia="Calibri" w:cs="Arial"/>
                <w:lang w:val="es-ES_tradnl"/>
              </w:rPr>
              <w:t>SECOP II –</w:t>
            </w:r>
            <w:r w:rsidRPr="00913E6A">
              <w:rPr>
                <w:rFonts w:ascii="Arial" w:hAnsi="Arial" w:cs="Arial"/>
                <w:iCs/>
                <w:lang w:val="es-ES_tradnl"/>
              </w:rPr>
              <w:t xml:space="preserve"> Deber de publicidad </w:t>
            </w:r>
            <w:r w:rsidRPr="00913E6A">
              <w:rPr>
                <w:rFonts w:ascii="Arial" w:hAnsi="Arial" w:eastAsia="Calibri" w:cs="Arial"/>
                <w:lang w:val="es-ES_tradnl"/>
              </w:rPr>
              <w:t>–</w:t>
            </w:r>
            <w:r w:rsidRPr="00913E6A">
              <w:rPr>
                <w:rFonts w:ascii="Arial" w:hAnsi="Arial" w:cs="Arial"/>
                <w:iCs/>
                <w:lang w:val="es-ES_tradnl"/>
              </w:rPr>
              <w:t xml:space="preserve"> Entidades Estatales exceptuadas </w:t>
            </w:r>
            <w:r w:rsidRPr="00913E6A">
              <w:rPr>
                <w:rFonts w:ascii="Arial" w:hAnsi="Arial" w:eastAsia="Calibri" w:cs="Arial"/>
                <w:lang w:val="es-ES_tradnl"/>
              </w:rPr>
              <w:t>–</w:t>
            </w:r>
            <w:r w:rsidRPr="00913E6A">
              <w:rPr>
                <w:rFonts w:ascii="Arial" w:hAnsi="Arial" w:cs="Arial"/>
                <w:iCs/>
                <w:lang w:val="es-ES_tradnl"/>
              </w:rPr>
              <w:t xml:space="preserve"> </w:t>
            </w:r>
            <w:r w:rsidRPr="00913E6A">
              <w:rPr>
                <w:rFonts w:ascii="Arial" w:hAnsi="Arial" w:eastAsia="Calibri" w:cs="Arial"/>
                <w:lang w:val="es-ES_tradnl"/>
              </w:rPr>
              <w:t>Documentos relacionados con la actividad contractual / SECOP II –</w:t>
            </w:r>
            <w:r w:rsidRPr="00913E6A">
              <w:rPr>
                <w:rFonts w:ascii="Arial" w:hAnsi="Arial" w:cs="Arial"/>
                <w:iCs/>
                <w:lang w:val="es-ES_tradnl"/>
              </w:rPr>
              <w:t xml:space="preserve"> Deber de publicidad </w:t>
            </w:r>
            <w:r w:rsidRPr="00913E6A">
              <w:rPr>
                <w:rFonts w:ascii="Arial" w:hAnsi="Arial" w:eastAsia="Calibri" w:cs="Arial"/>
                <w:lang w:val="es-ES_tradnl"/>
              </w:rPr>
              <w:t>–</w:t>
            </w:r>
            <w:r w:rsidRPr="00913E6A">
              <w:rPr>
                <w:rFonts w:ascii="Arial" w:hAnsi="Arial" w:cs="Arial"/>
                <w:iCs/>
                <w:lang w:val="es-ES_tradnl"/>
              </w:rPr>
              <w:t xml:space="preserve"> Entidades Estatales exceptuadas </w:t>
            </w:r>
            <w:r w:rsidRPr="00913E6A">
              <w:rPr>
                <w:rFonts w:ascii="Arial" w:hAnsi="Arial" w:eastAsia="Calibri" w:cs="Arial"/>
                <w:lang w:val="es-ES_tradnl"/>
              </w:rPr>
              <w:t>–</w:t>
            </w:r>
            <w:r w:rsidRPr="00913E6A">
              <w:rPr>
                <w:rFonts w:ascii="Arial" w:hAnsi="Arial" w:cs="Arial"/>
                <w:iCs/>
                <w:lang w:val="es-ES_tradnl"/>
              </w:rPr>
              <w:t xml:space="preserve"> </w:t>
            </w:r>
            <w:r w:rsidRPr="00913E6A">
              <w:rPr>
                <w:rFonts w:ascii="Arial" w:hAnsi="Arial" w:eastAsia="Calibri" w:cs="Arial"/>
                <w:lang w:val="es-ES_tradnl"/>
              </w:rPr>
              <w:t>Vigencia   / SECOP II –</w:t>
            </w:r>
            <w:r w:rsidRPr="00913E6A">
              <w:rPr>
                <w:rFonts w:ascii="Arial" w:hAnsi="Arial" w:cs="Arial"/>
                <w:iCs/>
                <w:lang w:val="es-ES_tradnl"/>
              </w:rPr>
              <w:t xml:space="preserve"> Deber de publicidad </w:t>
            </w:r>
            <w:r w:rsidRPr="00913E6A">
              <w:rPr>
                <w:rFonts w:ascii="Arial" w:hAnsi="Arial" w:eastAsia="Calibri" w:cs="Arial"/>
                <w:lang w:val="es-ES_tradnl"/>
              </w:rPr>
              <w:t xml:space="preserve">– </w:t>
            </w:r>
            <w:r w:rsidRPr="00913E6A">
              <w:rPr>
                <w:rFonts w:ascii="Arial" w:hAnsi="Arial" w:cs="Arial"/>
                <w:iCs/>
                <w:lang w:val="es-ES_tradnl"/>
              </w:rPr>
              <w:t xml:space="preserve">Entidades Estatales exceptuadas </w:t>
            </w:r>
            <w:r w:rsidRPr="00913E6A">
              <w:rPr>
                <w:rFonts w:ascii="Arial" w:hAnsi="Arial" w:eastAsia="Calibri" w:cs="Arial"/>
                <w:lang w:val="es-ES_tradnl"/>
              </w:rPr>
              <w:t>– Uso</w:t>
            </w:r>
          </w:p>
          <w:p w:rsidRPr="00BD40F9" w:rsidR="005A64C5" w:rsidP="006B19A4" w:rsidRDefault="005A64C5" w14:paraId="6CC63289" w14:textId="1CC05E2B">
            <w:pPr>
              <w:contextualSpacing/>
              <w:jc w:val="both"/>
              <w:rPr>
                <w:rFonts w:ascii="Arial" w:hAnsi="Arial" w:eastAsia="Times New Roman" w:cs="Arial"/>
                <w:bCs/>
                <w:szCs w:val="24"/>
                <w:lang w:val="es-ES_tradnl" w:eastAsia="es-ES_tradnl"/>
              </w:rPr>
            </w:pPr>
          </w:p>
        </w:tc>
      </w:tr>
      <w:tr w:rsidRPr="00BD40F9" w:rsidR="00BD648C" w:rsidTr="00D240DE" w14:paraId="554F8540" w14:textId="77777777">
        <w:tc>
          <w:tcPr>
            <w:tcW w:w="2689" w:type="dxa"/>
          </w:tcPr>
          <w:p w:rsidRPr="00BD40F9" w:rsidR="00FB17D4" w:rsidP="006B19A4" w:rsidRDefault="00FB17D4" w14:paraId="7548595C" w14:textId="77777777">
            <w:pPr>
              <w:contextualSpacing/>
              <w:jc w:val="both"/>
              <w:rPr>
                <w:rFonts w:ascii="Arial" w:hAnsi="Arial" w:eastAsia="Calibri" w:cs="Arial"/>
                <w:b/>
                <w:szCs w:val="24"/>
                <w:lang w:val="es-ES_tradnl" w:eastAsia="es-ES_tradnl"/>
              </w:rPr>
            </w:pPr>
            <w:r w:rsidRPr="00BD40F9">
              <w:rPr>
                <w:rFonts w:ascii="Arial" w:hAnsi="Arial" w:eastAsia="Calibri" w:cs="Arial"/>
                <w:b/>
                <w:szCs w:val="24"/>
                <w:lang w:val="es-ES_tradnl" w:eastAsia="es-ES_tradnl"/>
              </w:rPr>
              <w:t>Radicación:</w:t>
            </w:r>
            <w:r w:rsidRPr="00BD40F9">
              <w:rPr>
                <w:rFonts w:ascii="Arial" w:hAnsi="Arial" w:eastAsia="Calibri" w:cs="Arial"/>
                <w:szCs w:val="24"/>
                <w:lang w:val="es-ES_tradnl" w:eastAsia="es-ES_tradnl"/>
              </w:rPr>
              <w:t xml:space="preserve">                              </w:t>
            </w:r>
          </w:p>
        </w:tc>
        <w:tc>
          <w:tcPr>
            <w:tcW w:w="6237" w:type="dxa"/>
          </w:tcPr>
          <w:p w:rsidRPr="00BD40F9" w:rsidR="00FB17D4" w:rsidP="006B19A4" w:rsidRDefault="00FB17D4" w14:paraId="739925E4" w14:textId="519E4334">
            <w:pPr>
              <w:contextualSpacing/>
              <w:jc w:val="both"/>
              <w:rPr>
                <w:rFonts w:ascii="Arial" w:hAnsi="Arial" w:eastAsia="Calibri" w:cs="Arial"/>
                <w:szCs w:val="24"/>
                <w:lang w:val="es-ES_tradnl" w:eastAsia="es-ES_tradnl"/>
              </w:rPr>
            </w:pPr>
            <w:r w:rsidRPr="00BD40F9">
              <w:rPr>
                <w:rFonts w:ascii="Arial" w:hAnsi="Arial" w:eastAsia="Calibri" w:cs="Arial"/>
                <w:szCs w:val="24"/>
                <w:lang w:val="es-ES_tradnl" w:eastAsia="es-ES_tradnl"/>
              </w:rPr>
              <w:t xml:space="preserve">Respuesta a consulta # </w:t>
            </w:r>
            <w:r w:rsidRPr="00BD40F9" w:rsidR="00502056">
              <w:rPr>
                <w:rFonts w:ascii="Arial" w:hAnsi="Arial" w:eastAsia="Calibri" w:cs="Arial"/>
                <w:szCs w:val="24"/>
                <w:lang w:val="es-ES_tradnl" w:eastAsia="es-ES_tradnl"/>
              </w:rPr>
              <w:t>P20220601005410</w:t>
            </w:r>
          </w:p>
        </w:tc>
      </w:tr>
    </w:tbl>
    <w:p w:rsidRPr="00BD40F9" w:rsidR="00FB17D4" w:rsidP="006B19A4" w:rsidRDefault="00FB17D4" w14:paraId="66B7D7F7" w14:textId="77777777">
      <w:pPr>
        <w:spacing w:after="0" w:line="240" w:lineRule="auto"/>
        <w:contextualSpacing/>
        <w:jc w:val="both"/>
        <w:rPr>
          <w:rFonts w:ascii="Arial" w:hAnsi="Arial" w:eastAsia="Calibri" w:cs="Arial"/>
          <w:szCs w:val="24"/>
          <w:lang w:val="es-ES_tradnl" w:eastAsia="es-ES_tradnl"/>
        </w:rPr>
      </w:pPr>
    </w:p>
    <w:p w:rsidRPr="00BD40F9" w:rsidR="00FB17D4" w:rsidP="006B19A4" w:rsidRDefault="00FB17D4" w14:paraId="35E51844" w14:textId="77777777">
      <w:pPr>
        <w:spacing w:after="0" w:line="240" w:lineRule="auto"/>
        <w:contextualSpacing/>
        <w:jc w:val="both"/>
        <w:rPr>
          <w:rFonts w:ascii="Arial" w:hAnsi="Arial" w:eastAsia="Calibri" w:cs="Arial"/>
          <w:szCs w:val="24"/>
          <w:lang w:val="es-ES_tradnl" w:eastAsia="es-ES_tradnl"/>
        </w:rPr>
      </w:pPr>
    </w:p>
    <w:p w:rsidRPr="00BD40F9" w:rsidR="00FB17D4" w:rsidP="006B19A4" w:rsidRDefault="00FB17D4" w14:paraId="30E0B402" w14:textId="25AD02A2">
      <w:pPr>
        <w:spacing w:after="0" w:line="240" w:lineRule="auto"/>
        <w:contextualSpacing/>
        <w:jc w:val="both"/>
        <w:rPr>
          <w:rFonts w:ascii="Arial" w:hAnsi="Arial" w:eastAsia="Calibri" w:cs="Arial"/>
          <w:szCs w:val="24"/>
          <w:lang w:val="es-ES_tradnl" w:eastAsia="es-ES_tradnl"/>
        </w:rPr>
      </w:pPr>
      <w:r w:rsidRPr="00BD40F9">
        <w:rPr>
          <w:rFonts w:ascii="Arial" w:hAnsi="Arial" w:eastAsia="Calibri" w:cs="Arial"/>
          <w:szCs w:val="24"/>
          <w:lang w:val="es-ES_tradnl" w:eastAsia="es-ES_tradnl"/>
        </w:rPr>
        <w:t>Estimad</w:t>
      </w:r>
      <w:r w:rsidRPr="00BD40F9" w:rsidR="00151B52">
        <w:rPr>
          <w:rFonts w:ascii="Arial" w:hAnsi="Arial" w:eastAsia="Calibri" w:cs="Arial"/>
          <w:szCs w:val="24"/>
          <w:lang w:val="es-ES_tradnl" w:eastAsia="es-ES_tradnl"/>
        </w:rPr>
        <w:t>o</w:t>
      </w:r>
      <w:r w:rsidRPr="00BD40F9">
        <w:rPr>
          <w:rFonts w:ascii="Arial" w:hAnsi="Arial" w:eastAsia="Calibri" w:cs="Arial"/>
          <w:szCs w:val="24"/>
          <w:lang w:val="es-ES_tradnl" w:eastAsia="es-ES_tradnl"/>
        </w:rPr>
        <w:t xml:space="preserve"> </w:t>
      </w:r>
      <w:r w:rsidRPr="00BD40F9" w:rsidR="00151B52">
        <w:rPr>
          <w:rFonts w:ascii="Arial" w:hAnsi="Arial" w:eastAsia="Calibri" w:cs="Arial"/>
          <w:szCs w:val="24"/>
          <w:lang w:val="es-ES_tradnl" w:eastAsia="es-ES_tradnl"/>
        </w:rPr>
        <w:t>doctor</w:t>
      </w:r>
      <w:r w:rsidRPr="00BD40F9">
        <w:rPr>
          <w:rFonts w:ascii="Arial" w:hAnsi="Arial" w:eastAsia="Calibri" w:cs="Arial"/>
          <w:szCs w:val="24"/>
          <w:lang w:val="es-ES_tradnl" w:eastAsia="es-ES_tradnl"/>
        </w:rPr>
        <w:t xml:space="preserve"> </w:t>
      </w:r>
      <w:r w:rsidRPr="00BD40F9" w:rsidR="00151B52">
        <w:rPr>
          <w:rFonts w:ascii="Arial" w:hAnsi="Arial" w:eastAsia="Calibri" w:cs="Arial"/>
          <w:szCs w:val="24"/>
          <w:lang w:val="es-ES_tradnl" w:eastAsia="es-ES_tradnl"/>
        </w:rPr>
        <w:t>Evan</w:t>
      </w:r>
      <w:r w:rsidRPr="00BD40F9" w:rsidR="00274337">
        <w:rPr>
          <w:rFonts w:ascii="Arial" w:hAnsi="Arial" w:eastAsia="Calibri" w:cs="Arial"/>
          <w:szCs w:val="24"/>
          <w:lang w:val="es-ES_tradnl" w:eastAsia="es-ES_tradnl"/>
        </w:rPr>
        <w:t xml:space="preserve"> Dur</w:t>
      </w:r>
      <w:r w:rsidR="0038007F">
        <w:rPr>
          <w:rFonts w:ascii="Arial" w:hAnsi="Arial" w:eastAsia="Calibri" w:cs="Arial"/>
          <w:szCs w:val="24"/>
          <w:lang w:val="es-ES_tradnl" w:eastAsia="es-ES_tradnl"/>
        </w:rPr>
        <w:t>á</w:t>
      </w:r>
      <w:r w:rsidRPr="00BD40F9" w:rsidR="00274337">
        <w:rPr>
          <w:rFonts w:ascii="Arial" w:hAnsi="Arial" w:eastAsia="Calibri" w:cs="Arial"/>
          <w:szCs w:val="24"/>
          <w:lang w:val="es-ES_tradnl" w:eastAsia="es-ES_tradnl"/>
        </w:rPr>
        <w:t>n</w:t>
      </w:r>
      <w:r w:rsidRPr="00BD40F9">
        <w:rPr>
          <w:rFonts w:ascii="Arial" w:hAnsi="Arial" w:eastAsia="Calibri" w:cs="Arial"/>
          <w:szCs w:val="24"/>
          <w:lang w:val="es-ES_tradnl" w:eastAsia="es-ES_tradnl"/>
        </w:rPr>
        <w:t>:</w:t>
      </w:r>
    </w:p>
    <w:p w:rsidRPr="00BD40F9" w:rsidR="00FB17D4" w:rsidP="006B19A4" w:rsidRDefault="00FB17D4" w14:paraId="37667942" w14:textId="77777777">
      <w:pPr>
        <w:spacing w:after="0" w:line="240" w:lineRule="auto"/>
        <w:contextualSpacing/>
        <w:jc w:val="both"/>
        <w:rPr>
          <w:rFonts w:ascii="Arial" w:hAnsi="Arial" w:eastAsia="Calibri" w:cs="Arial"/>
          <w:szCs w:val="24"/>
          <w:lang w:val="es-ES_tradnl" w:eastAsia="es-ES_tradnl"/>
        </w:rPr>
      </w:pPr>
    </w:p>
    <w:p w:rsidRPr="00BD40F9" w:rsidR="00FB17D4" w:rsidP="00BD648C" w:rsidRDefault="00FB17D4" w14:paraId="7146AC38" w14:textId="012AB375">
      <w:pPr>
        <w:spacing w:after="0" w:line="276" w:lineRule="auto"/>
        <w:contextualSpacing/>
        <w:jc w:val="both"/>
        <w:rPr>
          <w:rFonts w:ascii="Arial" w:hAnsi="Arial" w:eastAsia="Calibri" w:cs="Arial"/>
          <w:szCs w:val="24"/>
          <w:lang w:val="es-ES_tradnl" w:eastAsia="es-ES_tradnl"/>
        </w:rPr>
      </w:pPr>
      <w:r w:rsidRPr="00BD40F9">
        <w:rPr>
          <w:rFonts w:ascii="Arial" w:hAnsi="Arial" w:eastAsia="Calibri" w:cs="Arial"/>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BD40F9" w:rsidR="00956DE4">
        <w:rPr>
          <w:rFonts w:ascii="Arial" w:hAnsi="Arial" w:eastAsia="Calibri" w:cs="Arial"/>
          <w:szCs w:val="24"/>
          <w:lang w:val="es-ES_tradnl" w:eastAsia="es-ES_tradnl"/>
        </w:rPr>
        <w:t>1 de junio</w:t>
      </w:r>
      <w:r w:rsidRPr="00BD40F9">
        <w:rPr>
          <w:rFonts w:ascii="Arial" w:hAnsi="Arial" w:eastAsia="Calibri" w:cs="Arial"/>
          <w:szCs w:val="24"/>
          <w:lang w:val="es-ES_tradnl" w:eastAsia="es-ES_tradnl"/>
        </w:rPr>
        <w:t xml:space="preserve"> de 2022.</w:t>
      </w:r>
    </w:p>
    <w:p w:rsidRPr="00BD40F9" w:rsidR="00FB17D4" w:rsidP="006B19A4" w:rsidRDefault="00FB17D4" w14:paraId="3F49D8FB" w14:textId="77777777">
      <w:pPr>
        <w:spacing w:after="0" w:line="240" w:lineRule="auto"/>
        <w:contextualSpacing/>
        <w:jc w:val="both"/>
        <w:rPr>
          <w:rFonts w:ascii="Arial" w:hAnsi="Arial" w:eastAsia="Calibri" w:cs="Arial"/>
          <w:b/>
          <w:szCs w:val="24"/>
          <w:lang w:val="es-ES_tradnl" w:eastAsia="es-ES_tradnl"/>
        </w:rPr>
      </w:pPr>
    </w:p>
    <w:p w:rsidRPr="00BD40F9" w:rsidR="00FB17D4" w:rsidP="006B19A4" w:rsidRDefault="00FB17D4" w14:paraId="0F15D9BF" w14:textId="77777777">
      <w:pPr>
        <w:numPr>
          <w:ilvl w:val="0"/>
          <w:numId w:val="1"/>
        </w:numPr>
        <w:tabs>
          <w:tab w:val="left" w:pos="0"/>
          <w:tab w:val="left" w:pos="142"/>
          <w:tab w:val="left" w:pos="284"/>
        </w:tabs>
        <w:spacing w:after="0" w:line="240" w:lineRule="auto"/>
        <w:ind w:left="360"/>
        <w:contextualSpacing/>
        <w:jc w:val="both"/>
        <w:rPr>
          <w:rFonts w:ascii="Arial" w:hAnsi="Arial" w:eastAsia="Calibri" w:cs="Arial"/>
          <w:b/>
          <w:lang w:val="es-ES_tradnl"/>
        </w:rPr>
      </w:pPr>
      <w:r w:rsidRPr="00BD40F9">
        <w:rPr>
          <w:rFonts w:ascii="Arial" w:hAnsi="Arial" w:eastAsia="Calibri" w:cs="Arial"/>
          <w:b/>
          <w:lang w:val="es-ES_tradnl"/>
        </w:rPr>
        <w:t xml:space="preserve">Problema planteado </w:t>
      </w:r>
    </w:p>
    <w:p w:rsidRPr="00BD40F9" w:rsidR="00FB17D4" w:rsidP="006B19A4" w:rsidRDefault="00FB17D4" w14:paraId="544F2F94" w14:textId="77777777">
      <w:pPr>
        <w:tabs>
          <w:tab w:val="left" w:pos="426"/>
        </w:tabs>
        <w:spacing w:after="0" w:line="240" w:lineRule="auto"/>
        <w:contextualSpacing/>
        <w:jc w:val="both"/>
        <w:rPr>
          <w:rFonts w:ascii="Arial" w:hAnsi="Arial" w:eastAsia="Calibri" w:cs="Arial"/>
          <w:b/>
          <w:szCs w:val="24"/>
          <w:lang w:val="es-ES_tradnl" w:eastAsia="es-ES_tradnl"/>
        </w:rPr>
      </w:pPr>
    </w:p>
    <w:p w:rsidRPr="00BD40F9" w:rsidR="00FB17D4" w:rsidP="00BD648C" w:rsidRDefault="0054261D" w14:paraId="7CE12DA2" w14:textId="383E852C">
      <w:pPr>
        <w:spacing w:after="0" w:line="276" w:lineRule="auto"/>
        <w:contextualSpacing/>
        <w:jc w:val="both"/>
        <w:rPr>
          <w:rFonts w:ascii="Arial" w:hAnsi="Arial" w:eastAsia="Times New Roman" w:cs="Arial"/>
          <w:szCs w:val="24"/>
          <w:lang w:val="es-ES_tradnl" w:eastAsia="es-ES_tradnl"/>
        </w:rPr>
      </w:pPr>
      <w:r w:rsidRPr="00BD40F9">
        <w:rPr>
          <w:rFonts w:ascii="Arial" w:hAnsi="Arial" w:eastAsia="Times New Roman" w:cs="Arial"/>
          <w:szCs w:val="24"/>
          <w:lang w:val="es-ES_tradnl" w:eastAsia="es-ES_tradnl"/>
        </w:rPr>
        <w:t>Respecto de la aplicación del artículo 53 de la Ley</w:t>
      </w:r>
      <w:r w:rsidRPr="00BD40F9" w:rsidR="008C2192">
        <w:rPr>
          <w:rFonts w:ascii="Arial" w:hAnsi="Arial" w:eastAsia="Times New Roman" w:cs="Arial"/>
          <w:szCs w:val="24"/>
          <w:lang w:val="es-ES_tradnl" w:eastAsia="es-ES_tradnl"/>
        </w:rPr>
        <w:t xml:space="preserve"> 2195 de 2022,</w:t>
      </w:r>
      <w:r w:rsidRPr="00BD40F9">
        <w:rPr>
          <w:rFonts w:ascii="Arial" w:hAnsi="Arial" w:eastAsia="Times New Roman" w:cs="Arial"/>
          <w:szCs w:val="24"/>
          <w:lang w:val="es-ES_tradnl" w:eastAsia="es-ES_tradnl"/>
        </w:rPr>
        <w:t xml:space="preserve"> </w:t>
      </w:r>
      <w:r w:rsidRPr="00BD40F9" w:rsidR="008C2192">
        <w:rPr>
          <w:rFonts w:ascii="Arial" w:hAnsi="Arial" w:eastAsia="Times New Roman" w:cs="Arial"/>
          <w:szCs w:val="24"/>
          <w:lang w:val="es-ES_tradnl" w:eastAsia="es-ES_tradnl"/>
        </w:rPr>
        <w:t>u</w:t>
      </w:r>
      <w:r w:rsidRPr="00BD40F9" w:rsidR="00FB17D4">
        <w:rPr>
          <w:rFonts w:ascii="Arial" w:hAnsi="Arial" w:eastAsia="Times New Roman" w:cs="Arial"/>
          <w:szCs w:val="24"/>
          <w:lang w:val="es-ES_tradnl" w:eastAsia="es-ES_tradnl"/>
        </w:rPr>
        <w:t>sted realiza la</w:t>
      </w:r>
      <w:r w:rsidRPr="00BD40F9" w:rsidR="007F5378">
        <w:rPr>
          <w:rFonts w:ascii="Arial" w:hAnsi="Arial" w:eastAsia="Times New Roman" w:cs="Arial"/>
          <w:szCs w:val="24"/>
          <w:lang w:val="es-ES_tradnl" w:eastAsia="es-ES_tradnl"/>
        </w:rPr>
        <w:t>s</w:t>
      </w:r>
      <w:r w:rsidRPr="00BD40F9" w:rsidR="00FB17D4">
        <w:rPr>
          <w:rFonts w:ascii="Arial" w:hAnsi="Arial" w:eastAsia="Times New Roman" w:cs="Arial"/>
          <w:szCs w:val="24"/>
          <w:lang w:val="es-ES_tradnl" w:eastAsia="es-ES_tradnl"/>
        </w:rPr>
        <w:t xml:space="preserve"> siguiente</w:t>
      </w:r>
      <w:r w:rsidRPr="00BD40F9" w:rsidR="007F5378">
        <w:rPr>
          <w:rFonts w:ascii="Arial" w:hAnsi="Arial" w:eastAsia="Times New Roman" w:cs="Arial"/>
          <w:szCs w:val="24"/>
          <w:lang w:val="es-ES_tradnl" w:eastAsia="es-ES_tradnl"/>
        </w:rPr>
        <w:t>s</w:t>
      </w:r>
      <w:r w:rsidRPr="00BD40F9" w:rsidR="00FB17D4">
        <w:rPr>
          <w:rFonts w:ascii="Arial" w:hAnsi="Arial" w:eastAsia="Times New Roman" w:cs="Arial"/>
          <w:szCs w:val="24"/>
          <w:lang w:val="es-ES_tradnl" w:eastAsia="es-ES_tradnl"/>
        </w:rPr>
        <w:t xml:space="preserve"> consulta</w:t>
      </w:r>
      <w:r w:rsidRPr="00BD40F9" w:rsidR="007F5378">
        <w:rPr>
          <w:rFonts w:ascii="Arial" w:hAnsi="Arial" w:eastAsia="Times New Roman" w:cs="Arial"/>
          <w:szCs w:val="24"/>
          <w:lang w:val="es-ES_tradnl" w:eastAsia="es-ES_tradnl"/>
        </w:rPr>
        <w:t>s</w:t>
      </w:r>
      <w:r w:rsidRPr="00BD40F9" w:rsidR="00FB17D4">
        <w:rPr>
          <w:rFonts w:ascii="Arial" w:hAnsi="Arial" w:eastAsia="Times New Roman" w:cs="Arial"/>
          <w:szCs w:val="24"/>
          <w:lang w:val="es-ES_tradnl" w:eastAsia="es-ES_tradnl"/>
        </w:rPr>
        <w:t xml:space="preserve">: </w:t>
      </w:r>
    </w:p>
    <w:p w:rsidRPr="00BD40F9" w:rsidR="00FB17D4" w:rsidP="00BD648C" w:rsidRDefault="00FB17D4" w14:paraId="65A09D21" w14:textId="77777777">
      <w:pPr>
        <w:spacing w:after="0" w:line="276" w:lineRule="auto"/>
        <w:contextualSpacing/>
        <w:jc w:val="both"/>
        <w:rPr>
          <w:rFonts w:ascii="Arial" w:hAnsi="Arial" w:eastAsia="Times New Roman" w:cs="Arial"/>
          <w:szCs w:val="24"/>
          <w:lang w:val="es-ES_tradnl" w:eastAsia="es-ES_tradnl"/>
        </w:rPr>
      </w:pPr>
    </w:p>
    <w:p w:rsidRPr="00BD40F9" w:rsidR="00377AD3" w:rsidP="00BD648C" w:rsidRDefault="00FB17D4" w14:paraId="67BC2DB7" w14:textId="28D27DC6">
      <w:pPr>
        <w:spacing w:after="0" w:line="240" w:lineRule="auto"/>
        <w:ind w:left="709" w:right="709"/>
        <w:contextualSpacing/>
        <w:jc w:val="both"/>
        <w:rPr>
          <w:rFonts w:ascii="Arial" w:hAnsi="Arial" w:cs="Arial"/>
          <w:sz w:val="21"/>
          <w:szCs w:val="21"/>
        </w:rPr>
      </w:pPr>
      <w:r w:rsidRPr="00BD40F9">
        <w:rPr>
          <w:rFonts w:ascii="Arial" w:hAnsi="Arial" w:eastAsia="Times New Roman" w:cs="Arial"/>
          <w:sz w:val="21"/>
          <w:szCs w:val="21"/>
          <w:lang w:val="es-ES_tradnl" w:eastAsia="es-ES_tradnl"/>
        </w:rPr>
        <w:t>«</w:t>
      </w:r>
      <w:r w:rsidRPr="00BD40F9" w:rsidR="00B73330">
        <w:rPr>
          <w:rFonts w:ascii="Arial" w:hAnsi="Arial" w:eastAsia="Times New Roman" w:cs="Arial"/>
          <w:sz w:val="21"/>
          <w:szCs w:val="21"/>
          <w:lang w:val="es-ES_tradnl" w:eastAsia="es-ES_tradnl"/>
        </w:rPr>
        <w:t xml:space="preserve">[…] </w:t>
      </w:r>
      <w:r w:rsidRPr="00BD40F9" w:rsidR="00377AD3">
        <w:rPr>
          <w:rFonts w:ascii="Arial" w:hAnsi="Arial" w:cs="Arial"/>
          <w:sz w:val="21"/>
          <w:szCs w:val="21"/>
        </w:rPr>
        <w:t xml:space="preserve">1. Oportunidad de la publicidad: El Derecho Privado no establece ni exige la publicación de la actividad contractual que sea impulsada por las entidades de régimen jurídico especial (el Derecho Privado como consideración general), siendo la regla general la reserva y confidencialidad de los actos y contratos en virtud de disposiciones como los artículo 61 del Código de Comercio, 260 de la Decisión 486 del Acuerdo de Cartagena y las demás que protegen la información y limitan su circulación y acceso por terceros no autorizados. </w:t>
      </w:r>
    </w:p>
    <w:p w:rsidRPr="00BD40F9" w:rsidR="00377AD3" w:rsidP="00BD648C" w:rsidRDefault="00377AD3" w14:paraId="68FF5CF7" w14:textId="77777777">
      <w:pPr>
        <w:spacing w:after="0" w:line="240" w:lineRule="auto"/>
        <w:ind w:left="709" w:right="709"/>
        <w:contextualSpacing/>
        <w:jc w:val="both"/>
        <w:rPr>
          <w:rFonts w:ascii="Arial" w:hAnsi="Arial" w:cs="Arial"/>
          <w:sz w:val="21"/>
          <w:szCs w:val="21"/>
        </w:rPr>
      </w:pPr>
    </w:p>
    <w:p w:rsidRPr="00BD40F9" w:rsidR="00377AD3" w:rsidP="00BD648C" w:rsidRDefault="00377AD3" w14:paraId="44D07740" w14:textId="3932B2BA">
      <w:pPr>
        <w:spacing w:after="0" w:line="240" w:lineRule="auto"/>
        <w:ind w:left="709" w:right="709"/>
        <w:contextualSpacing/>
        <w:jc w:val="both"/>
        <w:rPr>
          <w:rFonts w:ascii="Arial" w:hAnsi="Arial" w:eastAsia="Times New Roman" w:cs="Arial"/>
          <w:sz w:val="21"/>
          <w:szCs w:val="21"/>
          <w:lang w:val="es-ES_tradnl" w:eastAsia="es-ES_tradnl"/>
        </w:rPr>
      </w:pPr>
      <w:r w:rsidRPr="00BD40F9">
        <w:rPr>
          <w:rFonts w:ascii="Arial" w:hAnsi="Arial" w:cs="Arial"/>
          <w:sz w:val="21"/>
          <w:szCs w:val="21"/>
        </w:rPr>
        <w:t>Por los motivos anteriores la regla de publicidad que rige para la publicación de la actividad contractual de entidades de régimen especial es en la actualidad el artículo 53 de la Ley 2195 de 2022, norma que se circunscribe a establecer la regla de publicidad de la actividad contractual en el SECOP II sin alcance transaccional para entes como Ecopetrol, sin desconocer la vigencia de otras disposiciones legales, muchas de ellas jerárquicamente superiores, como las leyes 1712 de 2014 y 1755 de 2015, que protegen el tratamiento reservado de la información y de la documentación que responda a alguna de los supuestos de reserva o confidencialidad legalmente establecidos.</w:t>
      </w:r>
    </w:p>
    <w:p w:rsidRPr="00BD40F9" w:rsidR="00377AD3" w:rsidP="00BD648C" w:rsidRDefault="00377AD3" w14:paraId="7D667877" w14:textId="0D447E75">
      <w:pPr>
        <w:spacing w:after="0" w:line="240" w:lineRule="auto"/>
        <w:ind w:left="709" w:right="709"/>
        <w:contextualSpacing/>
        <w:jc w:val="both"/>
        <w:rPr>
          <w:rFonts w:ascii="Arial" w:hAnsi="Arial" w:eastAsia="Times New Roman" w:cs="Arial"/>
          <w:sz w:val="21"/>
          <w:szCs w:val="21"/>
          <w:lang w:val="es-ES_tradnl" w:eastAsia="es-ES_tradnl"/>
        </w:rPr>
      </w:pPr>
    </w:p>
    <w:p w:rsidRPr="00BD40F9" w:rsidR="005E75C0" w:rsidP="00BD648C" w:rsidRDefault="005E75C0" w14:paraId="35577F0A" w14:textId="77777777">
      <w:pPr>
        <w:spacing w:after="0" w:line="240" w:lineRule="auto"/>
        <w:ind w:left="709" w:right="709"/>
        <w:contextualSpacing/>
        <w:jc w:val="both"/>
        <w:rPr>
          <w:rFonts w:ascii="Arial" w:hAnsi="Arial" w:cs="Arial"/>
          <w:sz w:val="21"/>
          <w:szCs w:val="21"/>
        </w:rPr>
      </w:pPr>
      <w:r w:rsidRPr="00BD40F9">
        <w:rPr>
          <w:rFonts w:ascii="Arial" w:hAnsi="Arial" w:cs="Arial"/>
          <w:sz w:val="21"/>
          <w:szCs w:val="21"/>
        </w:rPr>
        <w:t xml:space="preserve">En esa misma línea la ley acota el alcance de la regla de la publicidad a la carga de publicar la actividad contractual en el SECOP II, guardándose silencio respecto de la oportunidad. Al considerarse que el SECOP II funciona de manera esencialmente distinta para entes de régimen especial versus entes sujetos a la Ley 80 de 1993 y sus reformas, se hace indispensable definir un término razonable que cumpla con las expectativas de publicidad de la actividad contractual sin confundir la finalidad y función del SECOP II cuando actúa como herramienta de transaccionalidad contractual. En ese orden, se manifestó a los asistentes de la sesión pasada, que la oportunidad para el cargue de la información por los tiempos que demanda el proceso tecnológico desde la generación del documento, su clasificación hasta su confirmación como información divulgable podría ascender a quince días para su registro en SECOP. </w:t>
      </w:r>
    </w:p>
    <w:p w:rsidRPr="00BD40F9" w:rsidR="005E75C0" w:rsidP="00BD648C" w:rsidRDefault="005E75C0" w14:paraId="4A65F21F" w14:textId="77777777">
      <w:pPr>
        <w:spacing w:after="0" w:line="240" w:lineRule="auto"/>
        <w:ind w:left="709" w:right="709"/>
        <w:contextualSpacing/>
        <w:jc w:val="both"/>
        <w:rPr>
          <w:rFonts w:ascii="Arial" w:hAnsi="Arial" w:cs="Arial"/>
          <w:sz w:val="21"/>
          <w:szCs w:val="21"/>
        </w:rPr>
      </w:pPr>
    </w:p>
    <w:p w:rsidRPr="00BD40F9" w:rsidR="00FD70D8" w:rsidP="00BD648C" w:rsidRDefault="005E75C0" w14:paraId="013FF310" w14:textId="77777777">
      <w:pPr>
        <w:spacing w:after="0" w:line="240" w:lineRule="auto"/>
        <w:ind w:left="709" w:right="709"/>
        <w:contextualSpacing/>
        <w:jc w:val="both"/>
        <w:rPr>
          <w:rFonts w:ascii="Arial" w:hAnsi="Arial" w:cs="Arial"/>
          <w:sz w:val="21"/>
          <w:szCs w:val="21"/>
        </w:rPr>
      </w:pPr>
      <w:r w:rsidRPr="00BD40F9">
        <w:rPr>
          <w:rFonts w:ascii="Arial" w:hAnsi="Arial" w:cs="Arial"/>
          <w:sz w:val="21"/>
          <w:szCs w:val="21"/>
        </w:rPr>
        <w:t xml:space="preserve">En las condiciones anotadas respetuosamente les manifestamos nuestro compromiso en dar fiel cumplimiento a las exigencias de publicidad de la actividad contractual de los documentos que tengan la connotación de ser divulgados al público en general. Para tales fines es fundamental coordinar y confirmar conjuntamente con ustedes como término razonable para el cargue y registro del acto o documento publicable en contratos y convenios suscritos por Ecopetrol S.A., un plazo no menor a quince días siguientes al cierre proceso corporativo correspondiente, considerando la ausencia de norma que imponga un término perentorio en estos casos, las complejidades logísticas, operacionales y tecnológicas requeridas y que para los entes de régimen especial el SECOP II no es herramienta transaccional. </w:t>
      </w:r>
    </w:p>
    <w:p w:rsidRPr="00BD40F9" w:rsidR="00FD70D8" w:rsidP="00BD648C" w:rsidRDefault="00FD70D8" w14:paraId="2D8D558C" w14:textId="77777777">
      <w:pPr>
        <w:spacing w:after="0" w:line="240" w:lineRule="auto"/>
        <w:ind w:left="709" w:right="709"/>
        <w:contextualSpacing/>
        <w:jc w:val="both"/>
        <w:rPr>
          <w:rFonts w:ascii="Arial" w:hAnsi="Arial" w:cs="Arial"/>
          <w:sz w:val="21"/>
          <w:szCs w:val="21"/>
        </w:rPr>
      </w:pPr>
    </w:p>
    <w:p w:rsidRPr="00BD40F9" w:rsidR="00FD70D8" w:rsidP="00BD648C" w:rsidRDefault="005E75C0" w14:paraId="7FBE36FF" w14:textId="77777777">
      <w:pPr>
        <w:spacing w:after="0" w:line="240" w:lineRule="auto"/>
        <w:ind w:left="709" w:right="709"/>
        <w:contextualSpacing/>
        <w:jc w:val="both"/>
        <w:rPr>
          <w:rFonts w:ascii="Arial" w:hAnsi="Arial" w:cs="Arial"/>
          <w:sz w:val="21"/>
          <w:szCs w:val="21"/>
        </w:rPr>
      </w:pPr>
      <w:r w:rsidRPr="00BD40F9">
        <w:rPr>
          <w:rFonts w:ascii="Arial" w:hAnsi="Arial" w:cs="Arial"/>
          <w:sz w:val="21"/>
          <w:szCs w:val="21"/>
        </w:rPr>
        <w:t xml:space="preserve">2. Ecopetrol como operador en salud vinculan profesionales médicos a través de figuras especiales cuya formación y contenidos no están conformados por los actos propios y típicos de una actividad contractual en los términos expuestos por la norma. Las vinculaciones del personal en salud las lleva a cabo Ecopetrol como operador en salud del régimen especial exceptuado conforme a la ley 100 de 1993, y no como empresa que desarrolla actividades en el sector hidrocarburífero. </w:t>
      </w:r>
    </w:p>
    <w:p w:rsidRPr="00BD40F9" w:rsidR="00FD70D8" w:rsidP="00BD648C" w:rsidRDefault="00FD70D8" w14:paraId="0AD74973" w14:textId="77777777">
      <w:pPr>
        <w:spacing w:after="0" w:line="240" w:lineRule="auto"/>
        <w:ind w:left="709" w:right="709"/>
        <w:contextualSpacing/>
        <w:jc w:val="both"/>
        <w:rPr>
          <w:rFonts w:ascii="Arial" w:hAnsi="Arial" w:cs="Arial"/>
          <w:sz w:val="21"/>
          <w:szCs w:val="21"/>
        </w:rPr>
      </w:pPr>
    </w:p>
    <w:p w:rsidRPr="00BD40F9" w:rsidR="00FD70D8" w:rsidP="00BD648C" w:rsidRDefault="005E75C0" w14:paraId="525AA7E7" w14:textId="77777777">
      <w:pPr>
        <w:spacing w:after="0" w:line="240" w:lineRule="auto"/>
        <w:ind w:left="709" w:right="709"/>
        <w:contextualSpacing/>
        <w:jc w:val="both"/>
        <w:rPr>
          <w:rFonts w:ascii="Arial" w:hAnsi="Arial" w:cs="Arial"/>
          <w:sz w:val="21"/>
          <w:szCs w:val="21"/>
        </w:rPr>
      </w:pPr>
      <w:r w:rsidRPr="00BD40F9">
        <w:rPr>
          <w:rFonts w:ascii="Arial" w:hAnsi="Arial" w:cs="Arial"/>
          <w:sz w:val="21"/>
          <w:szCs w:val="21"/>
        </w:rPr>
        <w:t xml:space="preserve">Por las circunstancias señaladas, las vinculaciones del personal en salud responden al instrumento de las adscripciones que muestran la adhesión del personal a las condiciones y reglamentaciones que Ecopetrol como operador de salud diseña, al igual que a la regulación emanada de las autoridades que integra el sector administrativo de salud, para el cumplimiento de sus actividades y en favor de los usuarios del servicio de salud especial y excepcional conforme lo establece la ley 100. </w:t>
      </w:r>
    </w:p>
    <w:p w:rsidRPr="00BD40F9" w:rsidR="00FD70D8" w:rsidP="00BD648C" w:rsidRDefault="00FD70D8" w14:paraId="399DE91A" w14:textId="77777777">
      <w:pPr>
        <w:spacing w:after="0" w:line="240" w:lineRule="auto"/>
        <w:ind w:left="709" w:right="709"/>
        <w:contextualSpacing/>
        <w:jc w:val="both"/>
        <w:rPr>
          <w:rFonts w:ascii="Arial" w:hAnsi="Arial" w:cs="Arial"/>
          <w:sz w:val="21"/>
          <w:szCs w:val="21"/>
        </w:rPr>
      </w:pPr>
    </w:p>
    <w:p w:rsidRPr="00BD40F9" w:rsidR="005E75C0" w:rsidP="00BD648C" w:rsidRDefault="005E75C0" w14:paraId="17B4135E" w14:textId="7AE83749">
      <w:pPr>
        <w:spacing w:after="0" w:line="240" w:lineRule="auto"/>
        <w:ind w:left="709" w:right="709"/>
        <w:contextualSpacing/>
        <w:jc w:val="both"/>
        <w:rPr>
          <w:rFonts w:ascii="Arial" w:hAnsi="Arial" w:eastAsia="Times New Roman" w:cs="Arial"/>
          <w:sz w:val="21"/>
          <w:szCs w:val="21"/>
          <w:lang w:val="es-ES_tradnl" w:eastAsia="es-ES_tradnl"/>
        </w:rPr>
      </w:pPr>
      <w:r w:rsidRPr="00BD40F9">
        <w:rPr>
          <w:rFonts w:ascii="Arial" w:hAnsi="Arial" w:cs="Arial"/>
          <w:sz w:val="21"/>
          <w:szCs w:val="21"/>
        </w:rPr>
        <w:t>Las particularidades descritas nos permiten pensar que no responden aquellas vinculaciones a la naturaleza de la actividad contractual con vocación de ser publicada conforme las previsiones de la ley 2195, en donde Ecopetrol, como se ha dicho, no interviene como ente contratante para la provisión de bienes y servicios requeridos para su actividad empresarial como empresa del sector energético sino como operador de salud conforme a las previsiones del modelo de seguridad social vigente.</w:t>
      </w:r>
    </w:p>
    <w:p w:rsidRPr="00BD40F9" w:rsidR="00377AD3" w:rsidP="00BD648C" w:rsidRDefault="00377AD3" w14:paraId="2EA759BA" w14:textId="77777777">
      <w:pPr>
        <w:spacing w:after="0" w:line="240" w:lineRule="auto"/>
        <w:ind w:left="709" w:right="709"/>
        <w:contextualSpacing/>
        <w:jc w:val="both"/>
        <w:rPr>
          <w:rFonts w:ascii="Arial" w:hAnsi="Arial" w:eastAsia="Times New Roman" w:cs="Arial"/>
          <w:sz w:val="21"/>
          <w:szCs w:val="21"/>
          <w:lang w:val="es-ES_tradnl" w:eastAsia="es-ES_tradnl"/>
        </w:rPr>
      </w:pPr>
    </w:p>
    <w:p w:rsidRPr="00BD40F9" w:rsidR="00FB17D4" w:rsidP="00BD648C" w:rsidRDefault="00B73330" w14:paraId="624513F7" w14:textId="6407EE8D">
      <w:pPr>
        <w:spacing w:after="0" w:line="240" w:lineRule="auto"/>
        <w:ind w:left="709" w:right="709"/>
        <w:contextualSpacing/>
        <w:jc w:val="both"/>
        <w:rPr>
          <w:rFonts w:ascii="Arial" w:hAnsi="Arial" w:eastAsia="Times New Roman" w:cs="Arial"/>
          <w:sz w:val="21"/>
          <w:szCs w:val="21"/>
          <w:lang w:eastAsia="es-ES_tradnl"/>
        </w:rPr>
      </w:pPr>
      <w:r w:rsidRPr="00BD40F9">
        <w:rPr>
          <w:rFonts w:ascii="Arial" w:hAnsi="Arial" w:cs="Arial"/>
          <w:sz w:val="21"/>
          <w:szCs w:val="21"/>
        </w:rPr>
        <w:t>Teniendo en cuenta lo anterior, solicitamos orientación y confirmación de los entendimientos frente a las consideraciones planteadas y así establecer el alcance y aplicabilidad de las publicaciones en SECOP II, en aras de dar cumplimiento a las disposiciones de la Ley de Transparencia (Ley 2195 de 2022), particularmente asociados a los dos tópicos desarrollados con anterioridad. […]</w:t>
      </w:r>
      <w:r w:rsidRPr="00BD40F9" w:rsidR="00FB17D4">
        <w:rPr>
          <w:rFonts w:ascii="Arial" w:hAnsi="Arial" w:eastAsia="Times New Roman" w:cs="Arial"/>
          <w:sz w:val="21"/>
          <w:szCs w:val="21"/>
          <w:lang w:val="es-ES_tradnl" w:eastAsia="es-ES_tradnl"/>
        </w:rPr>
        <w:t>» (</w:t>
      </w:r>
      <w:r w:rsidRPr="00BD40F9" w:rsidR="00EC71E9">
        <w:rPr>
          <w:rFonts w:ascii="Arial" w:hAnsi="Arial" w:eastAsia="Times New Roman" w:cs="Arial"/>
          <w:sz w:val="21"/>
          <w:szCs w:val="21"/>
          <w:lang w:val="es-ES_tradnl" w:eastAsia="es-ES_tradnl"/>
        </w:rPr>
        <w:t>SIC</w:t>
      </w:r>
      <w:r w:rsidRPr="00BD40F9" w:rsidR="00FB17D4">
        <w:rPr>
          <w:rFonts w:ascii="Arial" w:hAnsi="Arial" w:eastAsia="Times New Roman" w:cs="Arial"/>
          <w:sz w:val="21"/>
          <w:szCs w:val="21"/>
          <w:lang w:val="es-ES_tradnl" w:eastAsia="es-ES_tradnl"/>
        </w:rPr>
        <w:t>).</w:t>
      </w:r>
    </w:p>
    <w:p w:rsidRPr="00BD40F9" w:rsidR="00FB17D4" w:rsidP="009307C5" w:rsidRDefault="00FB17D4" w14:paraId="0F1BCCBD" w14:textId="77777777">
      <w:pPr>
        <w:spacing w:after="0" w:line="240" w:lineRule="auto"/>
        <w:ind w:right="709"/>
        <w:contextualSpacing/>
        <w:jc w:val="both"/>
        <w:rPr>
          <w:rFonts w:ascii="Arial" w:hAnsi="Arial" w:eastAsia="Times New Roman" w:cs="Arial"/>
          <w:szCs w:val="24"/>
          <w:lang w:eastAsia="es-ES_tradnl"/>
        </w:rPr>
      </w:pPr>
    </w:p>
    <w:p w:rsidRPr="00BD40F9" w:rsidR="00FB17D4" w:rsidP="009307C5" w:rsidRDefault="00FB17D4" w14:paraId="388A389D" w14:textId="77777777">
      <w:pPr>
        <w:numPr>
          <w:ilvl w:val="0"/>
          <w:numId w:val="1"/>
        </w:numPr>
        <w:tabs>
          <w:tab w:val="left" w:pos="0"/>
          <w:tab w:val="left" w:pos="284"/>
        </w:tabs>
        <w:spacing w:after="0" w:line="240" w:lineRule="auto"/>
        <w:ind w:left="360"/>
        <w:contextualSpacing/>
        <w:jc w:val="both"/>
        <w:rPr>
          <w:rFonts w:ascii="Arial" w:hAnsi="Arial" w:eastAsia="Calibri" w:cs="Arial"/>
          <w:b/>
          <w:lang w:val="es-ES_tradnl"/>
        </w:rPr>
      </w:pPr>
      <w:r w:rsidRPr="00BD40F9">
        <w:rPr>
          <w:rFonts w:ascii="Arial" w:hAnsi="Arial" w:eastAsia="Calibri" w:cs="Arial"/>
          <w:b/>
          <w:lang w:val="es-ES_tradnl"/>
        </w:rPr>
        <w:t>Consideraciones</w:t>
      </w:r>
    </w:p>
    <w:p w:rsidRPr="00BD40F9" w:rsidR="00FB17D4" w:rsidP="009307C5" w:rsidRDefault="00FB17D4" w14:paraId="29AAC397" w14:textId="77777777">
      <w:pPr>
        <w:spacing w:after="0" w:line="240" w:lineRule="auto"/>
        <w:contextualSpacing/>
        <w:jc w:val="both"/>
        <w:rPr>
          <w:rFonts w:ascii="Arial" w:hAnsi="Arial" w:eastAsia="Calibri" w:cs="Arial"/>
          <w:lang w:val="es-ES_tradnl" w:eastAsia="es-ES_tradnl"/>
        </w:rPr>
      </w:pPr>
    </w:p>
    <w:p w:rsidRPr="00BD40F9" w:rsidR="009307C5" w:rsidP="001F3B64" w:rsidRDefault="009307C5" w14:paraId="54A4343F" w14:textId="77777777">
      <w:pPr>
        <w:spacing w:after="120" w:line="276" w:lineRule="auto"/>
        <w:jc w:val="both"/>
        <w:rPr>
          <w:rFonts w:ascii="Arial" w:hAnsi="Arial" w:eastAsia="Calibri" w:cs="Arial"/>
          <w:lang w:val="es-ES_tradnl"/>
        </w:rPr>
      </w:pPr>
      <w:r w:rsidRPr="00BD40F9">
        <w:rPr>
          <w:rFonts w:ascii="Arial" w:hAnsi="Arial" w:eastAsia="Arial" w:cs="Arial"/>
          <w:lang w:val="es-MX"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BD40F9">
        <w:rPr>
          <w:rFonts w:ascii="Arial" w:hAnsi="Arial" w:eastAsia="Arial" w:cs="Arial"/>
          <w:vertAlign w:val="superscript"/>
          <w:lang w:val="es-MX" w:eastAsia="es-ES_tradnl"/>
        </w:rPr>
        <w:footnoteReference w:id="1"/>
      </w:r>
      <w:r w:rsidRPr="00BD40F9">
        <w:rPr>
          <w:rFonts w:ascii="Arial" w:hAnsi="Arial" w:eastAsia="Arial" w:cs="Arial"/>
          <w:lang w:val="es-MX" w:eastAsia="es-ES_tradnl"/>
        </w:rPr>
        <w:t xml:space="preserve">. </w:t>
      </w:r>
      <w:r w:rsidRPr="00BD40F9">
        <w:rPr>
          <w:rFonts w:ascii="Arial" w:hAnsi="Arial" w:eastAsia="Calibri"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rsidRPr="00BD40F9" w:rsidR="009307C5" w:rsidP="001F3B64" w:rsidRDefault="009307C5" w14:paraId="3A754282" w14:textId="49BB095A">
      <w:pPr>
        <w:spacing w:after="120" w:line="276" w:lineRule="auto"/>
        <w:ind w:firstLine="708"/>
        <w:jc w:val="both"/>
        <w:rPr>
          <w:rFonts w:ascii="Arial" w:hAnsi="Arial" w:eastAsia="Calibri" w:cs="Arial"/>
          <w:lang w:val="es-ES_tradnl"/>
        </w:rPr>
      </w:pPr>
      <w:r w:rsidRPr="00BD40F9">
        <w:rPr>
          <w:rFonts w:ascii="Arial" w:hAnsi="Arial" w:eastAsia="Calibri"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rsidRPr="00BD40F9" w:rsidR="00FB17D4" w:rsidP="001F3B64" w:rsidRDefault="00E711BD" w14:paraId="171E488E" w14:textId="5B2DCEED">
      <w:pPr>
        <w:spacing w:before="120" w:after="120" w:line="276" w:lineRule="auto"/>
        <w:ind w:firstLine="708"/>
        <w:jc w:val="both"/>
        <w:rPr>
          <w:rFonts w:ascii="Arial" w:hAnsi="Arial" w:eastAsia="Times New Roman" w:cs="Arial"/>
          <w:szCs w:val="24"/>
          <w:lang w:val="es-ES_tradnl" w:eastAsia="es-ES_tradnl"/>
        </w:rPr>
      </w:pPr>
      <w:r w:rsidRPr="00BD40F9">
        <w:rPr>
          <w:rFonts w:ascii="Arial" w:hAnsi="Arial" w:eastAsia="Calibri" w:cs="Arial"/>
        </w:rPr>
        <w:t>Así las cosas</w:t>
      </w:r>
      <w:r w:rsidRPr="00BD40F9" w:rsidR="0082538E">
        <w:rPr>
          <w:rFonts w:ascii="Arial" w:hAnsi="Arial" w:eastAsia="Calibri" w:cs="Arial"/>
        </w:rPr>
        <w:t xml:space="preserve">, </w:t>
      </w:r>
      <w:r w:rsidRPr="00BD40F9" w:rsidR="0082538E">
        <w:rPr>
          <w:rFonts w:ascii="Arial" w:hAnsi="Arial" w:eastAsia="Calibri" w:cs="Arial"/>
          <w:lang w:val="es-ES"/>
        </w:rPr>
        <w:t xml:space="preserve">la Agencia –dentro de los límites de sus atribuciones, esto es, </w:t>
      </w:r>
      <w:bookmarkStart w:name="_Hlk61025408" w:id="4"/>
      <w:r w:rsidRPr="00BD40F9" w:rsidR="0082538E">
        <w:rPr>
          <w:rFonts w:ascii="Arial" w:hAnsi="Arial" w:eastAsia="Calibri" w:cs="Arial"/>
          <w:lang w:val="es-ES"/>
        </w:rPr>
        <w:t>haciendo abstracción del caso particular expuesto</w:t>
      </w:r>
      <w:bookmarkEnd w:id="4"/>
      <w:r w:rsidRPr="00BD40F9" w:rsidR="00DD3FBE">
        <w:rPr>
          <w:rFonts w:ascii="Arial" w:hAnsi="Arial" w:eastAsia="Calibri" w:cs="Arial"/>
          <w:lang w:val="es-ES"/>
        </w:rPr>
        <w:t xml:space="preserve">, </w:t>
      </w:r>
      <w:r w:rsidRPr="00BD40F9" w:rsidR="0082538E">
        <w:rPr>
          <w:rFonts w:ascii="Arial" w:hAnsi="Arial" w:eastAsia="Calibri" w:cs="Arial"/>
          <w:lang w:val="es-ES"/>
        </w:rPr>
        <w:t>resolverá la consulta conforme a las normas generales en materia de contratación estatal. Con este objetivo se analizarán los siguientes temas</w:t>
      </w:r>
      <w:r w:rsidRPr="00BD40F9" w:rsidR="0082538E">
        <w:rPr>
          <w:rFonts w:ascii="Arial" w:hAnsi="Arial" w:eastAsia="Calibri" w:cs="Arial"/>
        </w:rPr>
        <w:t xml:space="preserve">: </w:t>
      </w:r>
      <w:r w:rsidRPr="00BD40F9" w:rsidR="0082538E">
        <w:rPr>
          <w:rFonts w:ascii="Arial" w:hAnsi="Arial" w:eastAsia="Calibri" w:cs="Arial"/>
          <w:lang w:val="es-ES_tradnl"/>
        </w:rPr>
        <w:t>i</w:t>
      </w:r>
      <w:r w:rsidRPr="00BD40F9" w:rsidR="00FB17D4">
        <w:rPr>
          <w:rFonts w:ascii="Arial" w:hAnsi="Arial" w:eastAsia="Times New Roman" w:cs="Arial"/>
          <w:szCs w:val="24"/>
          <w:lang w:val="es-ES_tradnl" w:eastAsia="es-ES_tradnl"/>
        </w:rPr>
        <w:t>) deber de las entidades estatales, exceptuadas del Estatuto General de Contratación de la Administración Pública, de publicar los documentos relacionados con su actividad contractual en el SECOP II, previsto en el artículo 53 de la Ley 2195 de 2022</w:t>
      </w:r>
      <w:r w:rsidRPr="00BD40F9" w:rsidR="00653D03">
        <w:rPr>
          <w:rFonts w:ascii="Arial" w:hAnsi="Arial" w:eastAsia="Times New Roman" w:cs="Arial"/>
          <w:szCs w:val="24"/>
          <w:lang w:val="es-ES_tradnl" w:eastAsia="es-ES_tradnl"/>
        </w:rPr>
        <w:t xml:space="preserve">; </w:t>
      </w:r>
      <w:r w:rsidR="00D77B72">
        <w:rPr>
          <w:rFonts w:ascii="Arial" w:hAnsi="Arial" w:eastAsia="Times New Roman" w:cs="Arial"/>
          <w:szCs w:val="24"/>
          <w:lang w:val="es-ES_tradnl" w:eastAsia="es-ES_tradnl"/>
        </w:rPr>
        <w:t xml:space="preserve">y </w:t>
      </w:r>
      <w:r w:rsidRPr="00BD40F9" w:rsidR="00BC31B2">
        <w:rPr>
          <w:rFonts w:ascii="Arial" w:hAnsi="Arial" w:eastAsia="Times New Roman" w:cs="Arial"/>
          <w:szCs w:val="24"/>
          <w:lang w:val="es-ES_tradnl" w:eastAsia="es-ES_tradnl"/>
        </w:rPr>
        <w:t xml:space="preserve">ii) </w:t>
      </w:r>
      <w:r w:rsidR="00D77B72">
        <w:rPr>
          <w:rFonts w:ascii="Arial" w:hAnsi="Arial" w:eastAsia="Calibri" w:cs="Arial"/>
          <w:lang w:val="es-ES_tradnl" w:eastAsia="es-ES_tradnl"/>
        </w:rPr>
        <w:t>u</w:t>
      </w:r>
      <w:r w:rsidRPr="00BD40F9" w:rsidR="00BC31B2">
        <w:rPr>
          <w:rFonts w:ascii="Arial" w:hAnsi="Arial" w:eastAsia="Calibri" w:cs="Arial"/>
          <w:lang w:val="es-ES_tradnl" w:eastAsia="es-ES_tradnl"/>
        </w:rPr>
        <w:t xml:space="preserve">so del SECOP II por las entidades con </w:t>
      </w:r>
      <w:r w:rsidRPr="00BD40F9" w:rsidR="00BC31B2">
        <w:rPr>
          <w:rFonts w:ascii="Arial" w:hAnsi="Arial" w:eastAsia="Times New Roman" w:cs="Arial"/>
          <w:iCs/>
          <w:lang w:val="es-ES_tradnl" w:eastAsia="es-ES_tradnl"/>
        </w:rPr>
        <w:t>exceptuadas del Estatuto General de Contratación de la Administración Pública.</w:t>
      </w:r>
    </w:p>
    <w:p w:rsidRPr="00BD40F9" w:rsidR="00FB17D4" w:rsidP="001F3B64" w:rsidRDefault="00FB17D4" w14:paraId="3F32A4F9" w14:textId="437DB148">
      <w:pPr>
        <w:spacing w:before="120" w:after="0" w:line="276" w:lineRule="auto"/>
        <w:ind w:firstLine="709"/>
        <w:jc w:val="both"/>
        <w:rPr>
          <w:rFonts w:ascii="Arial" w:hAnsi="Arial" w:eastAsia="Calibri" w:cs="Arial"/>
          <w:szCs w:val="24"/>
          <w:lang w:val="es-ES" w:eastAsia="es-ES_tradnl"/>
        </w:rPr>
      </w:pPr>
      <w:r w:rsidRPr="00BD40F9">
        <w:rPr>
          <w:rFonts w:ascii="Arial" w:hAnsi="Arial" w:eastAsia="Times New Roman" w:cs="Arial"/>
          <w:szCs w:val="24"/>
          <w:lang w:val="es-ES_tradnl" w:eastAsia="es-ES_tradnl"/>
        </w:rPr>
        <w:t xml:space="preserve">La Agencia Nacional de Contratación Pública – Colombia Compra Eficiente </w:t>
      </w:r>
      <w:r w:rsidRPr="00BD40F9">
        <w:rPr>
          <w:rFonts w:ascii="Arial" w:hAnsi="Arial" w:eastAsia="Times New Roman" w:cs="Arial"/>
          <w:szCs w:val="24"/>
          <w:lang w:eastAsia="es-ES_tradnl"/>
        </w:rPr>
        <w:t xml:space="preserve">se ha pronunciado en múltiples ocasiones sobre los principios de publicidad y de acceso a la información pública en la contratación estatal, y sobre </w:t>
      </w:r>
      <w:r w:rsidRPr="00BD40F9">
        <w:rPr>
          <w:rFonts w:ascii="Arial" w:hAnsi="Arial" w:eastAsia="Calibri" w:cs="Arial"/>
          <w:szCs w:val="24"/>
          <w:lang w:val="es-ES" w:eastAsia="es-ES_tradnl"/>
        </w:rPr>
        <w:t xml:space="preserve">los fundamentos normativos del deber de publicar la documentación contractual en </w:t>
      </w:r>
      <w:r w:rsidR="00D77B72">
        <w:rPr>
          <w:rFonts w:ascii="Arial" w:hAnsi="Arial" w:eastAsia="Calibri" w:cs="Arial"/>
          <w:szCs w:val="24"/>
          <w:lang w:val="es-ES" w:eastAsia="es-ES_tradnl"/>
        </w:rPr>
        <w:t xml:space="preserve">el SECOP </w:t>
      </w:r>
      <w:r w:rsidRPr="00BD40F9" w:rsidR="004A2783">
        <w:rPr>
          <w:rFonts w:ascii="Arial" w:hAnsi="Arial" w:eastAsia="Calibri" w:cs="Arial"/>
          <w:szCs w:val="24"/>
          <w:lang w:val="es-ES" w:eastAsia="es-ES_tradnl"/>
        </w:rPr>
        <w:t xml:space="preserve">en conceptos como </w:t>
      </w:r>
      <w:r w:rsidR="00D77B72">
        <w:rPr>
          <w:rFonts w:ascii="Arial" w:hAnsi="Arial" w:eastAsia="Calibri" w:cs="Arial"/>
          <w:szCs w:val="24"/>
          <w:lang w:val="es-ES" w:eastAsia="es-ES_tradnl"/>
        </w:rPr>
        <w:t xml:space="preserve">el </w:t>
      </w:r>
      <w:r w:rsidRPr="00BD40F9">
        <w:rPr>
          <w:rFonts w:ascii="Arial" w:hAnsi="Arial" w:eastAsia="Times New Roman" w:cs="Arial"/>
          <w:szCs w:val="24"/>
          <w:lang w:eastAsia="es-ES_tradnl"/>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w:t>
      </w:r>
      <w:r w:rsidRPr="00BD40F9">
        <w:rPr>
          <w:rFonts w:ascii="Arial" w:hAnsi="Arial" w:eastAsia="Times New Roman" w:cs="Arial"/>
          <w:szCs w:val="24"/>
          <w:lang w:val="es-ES_tradnl" w:eastAsia="es-ES_tradnl"/>
        </w:rPr>
        <w:t>. De igual manera, recientemente se pronunció sobre la interpretación del artículo 53 de la Ley 2195 de 2022, en los conceptos C-049 del 7 de marzo de 2022</w:t>
      </w:r>
      <w:r w:rsidRPr="00BD40F9" w:rsidR="005F0600">
        <w:rPr>
          <w:rFonts w:ascii="Arial" w:hAnsi="Arial" w:eastAsia="Times New Roman" w:cs="Arial"/>
          <w:szCs w:val="24"/>
          <w:lang w:val="es-ES_tradnl" w:eastAsia="es-ES_tradnl"/>
        </w:rPr>
        <w:t>,</w:t>
      </w:r>
      <w:r w:rsidRPr="00BD40F9">
        <w:rPr>
          <w:rFonts w:ascii="Arial" w:hAnsi="Arial" w:eastAsia="Times New Roman" w:cs="Arial"/>
          <w:szCs w:val="24"/>
          <w:lang w:val="es-ES_tradnl" w:eastAsia="es-ES_tradnl"/>
        </w:rPr>
        <w:t xml:space="preserve"> C-120 del 22 de marzo de 2022</w:t>
      </w:r>
      <w:r w:rsidRPr="00BD40F9" w:rsidR="005F0600">
        <w:rPr>
          <w:rFonts w:ascii="Arial" w:hAnsi="Arial" w:eastAsia="Times New Roman" w:cs="Arial"/>
          <w:szCs w:val="24"/>
          <w:lang w:val="es-ES_tradnl" w:eastAsia="es-ES_tradnl"/>
        </w:rPr>
        <w:t>, C-124 de</w:t>
      </w:r>
      <w:r w:rsidRPr="00BD40F9" w:rsidR="00F37B74">
        <w:rPr>
          <w:rFonts w:ascii="Arial" w:hAnsi="Arial" w:eastAsia="Times New Roman" w:cs="Arial"/>
          <w:szCs w:val="24"/>
          <w:lang w:val="es-ES_tradnl" w:eastAsia="es-ES_tradnl"/>
        </w:rPr>
        <w:t xml:space="preserve">l 22 de marzo de 2022, </w:t>
      </w:r>
      <w:r w:rsidRPr="00BD40F9" w:rsidR="005A49DF">
        <w:rPr>
          <w:rFonts w:ascii="Arial" w:hAnsi="Arial" w:eastAsia="Times New Roman" w:cs="Arial"/>
          <w:szCs w:val="24"/>
          <w:lang w:val="es-ES_tradnl" w:eastAsia="es-ES_tradnl"/>
        </w:rPr>
        <w:t>C-132 del 28 de marzo de 2022</w:t>
      </w:r>
      <w:r w:rsidRPr="00BD40F9" w:rsidR="00A26DF8">
        <w:rPr>
          <w:rFonts w:ascii="Arial" w:hAnsi="Arial" w:eastAsia="Times New Roman" w:cs="Arial"/>
          <w:szCs w:val="24"/>
          <w:lang w:val="es-ES_tradnl" w:eastAsia="es-ES_tradnl"/>
        </w:rPr>
        <w:t xml:space="preserve"> y C-348 del </w:t>
      </w:r>
      <w:r w:rsidRPr="00BD40F9" w:rsidR="006F057E">
        <w:rPr>
          <w:rFonts w:ascii="Arial" w:hAnsi="Arial" w:eastAsia="Times New Roman" w:cs="Arial"/>
          <w:szCs w:val="24"/>
          <w:lang w:val="es-ES_tradnl" w:eastAsia="es-ES_tradnl"/>
        </w:rPr>
        <w:t>13 de junio de 2022</w:t>
      </w:r>
      <w:r w:rsidRPr="00BD40F9">
        <w:rPr>
          <w:rFonts w:ascii="Arial" w:hAnsi="Arial" w:eastAsia="Times New Roman" w:cs="Arial"/>
          <w:szCs w:val="24"/>
          <w:lang w:val="es-ES_tradnl" w:eastAsia="es-ES_tradnl"/>
        </w:rPr>
        <w:t>. Las ideas expuestas en dichas oportunidades se reiteran a continuación</w:t>
      </w:r>
      <w:r w:rsidRPr="00BD40F9" w:rsidR="006F057E">
        <w:rPr>
          <w:rFonts w:ascii="Arial" w:hAnsi="Arial" w:eastAsia="Times New Roman" w:cs="Arial"/>
          <w:szCs w:val="24"/>
          <w:lang w:val="es-ES_tradnl" w:eastAsia="es-ES_tradnl"/>
        </w:rPr>
        <w:t xml:space="preserve"> y se complementan en lo pertinente</w:t>
      </w:r>
      <w:r w:rsidRPr="00BD40F9">
        <w:rPr>
          <w:rFonts w:ascii="Arial" w:hAnsi="Arial" w:eastAsia="Times New Roman" w:cs="Arial"/>
          <w:szCs w:val="24"/>
          <w:lang w:val="es-ES_tradnl" w:eastAsia="es-ES_tradnl"/>
        </w:rPr>
        <w:t>.</w:t>
      </w:r>
    </w:p>
    <w:p w:rsidRPr="00BD40F9" w:rsidR="00FB17D4" w:rsidP="008D20B4" w:rsidRDefault="00FB17D4" w14:paraId="118525ED" w14:textId="57E5FFD9">
      <w:pPr>
        <w:spacing w:after="0" w:line="240" w:lineRule="auto"/>
        <w:contextualSpacing/>
        <w:jc w:val="both"/>
        <w:rPr>
          <w:rFonts w:ascii="Arial" w:hAnsi="Arial" w:eastAsia="Calibri" w:cs="Arial"/>
          <w:b/>
          <w:lang w:val="es-ES" w:eastAsia="es-ES_tradnl"/>
        </w:rPr>
      </w:pPr>
    </w:p>
    <w:p w:rsidRPr="00BD40F9" w:rsidR="003E3306" w:rsidP="008D20B4" w:rsidRDefault="00FB17D4" w14:paraId="39DD5946" w14:textId="06DED2E5">
      <w:pPr>
        <w:spacing w:after="0" w:line="240" w:lineRule="auto"/>
        <w:contextualSpacing/>
        <w:jc w:val="both"/>
        <w:rPr>
          <w:rFonts w:ascii="Arial" w:hAnsi="Arial" w:cs="Arial"/>
          <w:b/>
          <w:bCs/>
          <w:iCs/>
          <w:lang w:val="es-ES_tradnl"/>
        </w:rPr>
      </w:pPr>
      <w:r w:rsidRPr="00BD40F9">
        <w:rPr>
          <w:rFonts w:ascii="Arial" w:hAnsi="Arial" w:eastAsia="Times New Roman" w:cs="Arial"/>
          <w:b/>
          <w:bCs/>
          <w:iCs/>
          <w:lang w:val="es-ES_tradnl" w:eastAsia="es-ES_tradnl"/>
        </w:rPr>
        <w:t>2.</w:t>
      </w:r>
      <w:r w:rsidR="00F41594">
        <w:rPr>
          <w:rFonts w:ascii="Arial" w:hAnsi="Arial" w:eastAsia="Times New Roman" w:cs="Arial"/>
          <w:b/>
          <w:bCs/>
          <w:iCs/>
          <w:lang w:val="es-ES_tradnl" w:eastAsia="es-ES_tradnl"/>
        </w:rPr>
        <w:t>1</w:t>
      </w:r>
      <w:r w:rsidRPr="00BD40F9">
        <w:rPr>
          <w:rFonts w:ascii="Arial" w:hAnsi="Arial" w:eastAsia="Times New Roman" w:cs="Arial"/>
          <w:b/>
          <w:bCs/>
          <w:iCs/>
          <w:lang w:val="es-ES_tradnl" w:eastAsia="es-ES_tradnl"/>
        </w:rPr>
        <w:t xml:space="preserve">. Deber de las entidades estatales, exceptuadas del Estatuto General de Contratación de la Administración Pública, de publicar los documentos relacionados con su actividad contractual en el SECOP II. </w:t>
      </w:r>
      <w:r w:rsidRPr="00BD40F9" w:rsidR="003E3306">
        <w:rPr>
          <w:rFonts w:ascii="Arial" w:hAnsi="Arial" w:cs="Arial"/>
          <w:b/>
          <w:bCs/>
          <w:iCs/>
          <w:lang w:val="es-ES_tradnl"/>
        </w:rPr>
        <w:t>Modificación introducida por el artículo 53 de la Ley 2195 de 2022</w:t>
      </w:r>
    </w:p>
    <w:p w:rsidRPr="00BD40F9" w:rsidR="00FB17D4" w:rsidP="008D20B4" w:rsidRDefault="00FB17D4" w14:paraId="4B52F098" w14:textId="77777777">
      <w:pPr>
        <w:spacing w:after="0" w:line="240" w:lineRule="auto"/>
        <w:contextualSpacing/>
        <w:jc w:val="both"/>
        <w:rPr>
          <w:rFonts w:ascii="Arial" w:hAnsi="Arial" w:eastAsia="Calibri" w:cs="Arial"/>
          <w:lang w:val="es-ES_tradnl" w:eastAsia="es-ES_tradnl"/>
        </w:rPr>
      </w:pPr>
    </w:p>
    <w:p w:rsidRPr="00BD40F9" w:rsidR="00FA2ECB" w:rsidP="00B7075F" w:rsidRDefault="007D3434" w14:paraId="70515091" w14:textId="5CD7F229">
      <w:pPr>
        <w:pStyle w:val="Textoindependiente"/>
        <w:spacing w:line="276" w:lineRule="auto"/>
        <w:jc w:val="both"/>
        <w:rPr>
          <w:rFonts w:ascii="Arial" w:hAnsi="Arial" w:cs="Arial"/>
          <w:sz w:val="22"/>
          <w:szCs w:val="22"/>
        </w:rPr>
      </w:pPr>
      <w:bookmarkStart w:name="_Hlk109055109" w:id="5"/>
      <w:bookmarkStart w:name="_Hlk109111865" w:id="6"/>
      <w:r w:rsidRPr="00BD40F9">
        <w:rPr>
          <w:rFonts w:ascii="Arial" w:hAnsi="Arial" w:cs="Arial"/>
          <w:sz w:val="22"/>
          <w:szCs w:val="22"/>
        </w:rPr>
        <w:t>La Ley 1712 de 2014, por medio de la cual se crea la Ley de Transparencia y del Derecho de Acceso a la Información Pública Nacional y se dictan otras disposiciones, identifica como principios que orientan el derecho de acceso a la información públic</w:t>
      </w:r>
      <w:r w:rsidRPr="00BD40F9" w:rsidR="00610D75">
        <w:rPr>
          <w:rFonts w:ascii="Arial" w:hAnsi="Arial" w:cs="Arial"/>
          <w:sz w:val="22"/>
          <w:szCs w:val="22"/>
        </w:rPr>
        <w:t>a</w:t>
      </w:r>
      <w:r w:rsidRPr="00BD40F9" w:rsidR="007C3D8F">
        <w:rPr>
          <w:rFonts w:ascii="Arial" w:hAnsi="Arial" w:cs="Arial"/>
          <w:sz w:val="22"/>
          <w:szCs w:val="22"/>
        </w:rPr>
        <w:t>,</w:t>
      </w:r>
      <w:r w:rsidRPr="00BD40F9">
        <w:rPr>
          <w:rFonts w:ascii="Arial" w:hAnsi="Arial" w:cs="Arial"/>
          <w:sz w:val="22"/>
          <w:szCs w:val="22"/>
        </w:rPr>
        <w:t xml:space="preserve"> el </w:t>
      </w:r>
      <w:r w:rsidRPr="00BD40F9" w:rsidR="00610D75">
        <w:rPr>
          <w:rFonts w:ascii="Arial" w:hAnsi="Arial" w:cs="Arial"/>
          <w:sz w:val="22"/>
          <w:szCs w:val="22"/>
        </w:rPr>
        <w:t xml:space="preserve">principio </w:t>
      </w:r>
      <w:r w:rsidRPr="00BD40F9">
        <w:rPr>
          <w:rFonts w:ascii="Arial" w:hAnsi="Arial" w:cs="Arial"/>
          <w:sz w:val="22"/>
          <w:szCs w:val="22"/>
        </w:rPr>
        <w:t xml:space="preserve">de máxima publicidad, </w:t>
      </w:r>
      <w:r w:rsidRPr="00BD40F9" w:rsidR="00610D75">
        <w:rPr>
          <w:rFonts w:ascii="Arial" w:hAnsi="Arial" w:cs="Arial"/>
          <w:sz w:val="22"/>
          <w:szCs w:val="22"/>
        </w:rPr>
        <w:t xml:space="preserve">el </w:t>
      </w:r>
      <w:r w:rsidRPr="00BD40F9" w:rsidR="00055FCD">
        <w:rPr>
          <w:rFonts w:ascii="Arial" w:hAnsi="Arial" w:cs="Arial"/>
          <w:sz w:val="22"/>
          <w:szCs w:val="22"/>
        </w:rPr>
        <w:t xml:space="preserve">principio </w:t>
      </w:r>
      <w:r w:rsidRPr="00BD40F9" w:rsidR="00610D75">
        <w:rPr>
          <w:rFonts w:ascii="Arial" w:hAnsi="Arial" w:cs="Arial"/>
          <w:sz w:val="22"/>
          <w:szCs w:val="22"/>
        </w:rPr>
        <w:t xml:space="preserve">de </w:t>
      </w:r>
      <w:r w:rsidRPr="00BD40F9">
        <w:rPr>
          <w:rFonts w:ascii="Arial" w:hAnsi="Arial" w:cs="Arial"/>
          <w:sz w:val="22"/>
          <w:szCs w:val="22"/>
        </w:rPr>
        <w:t xml:space="preserve">transparencia en la información y </w:t>
      </w:r>
      <w:r w:rsidRPr="00BD40F9" w:rsidR="00446E60">
        <w:rPr>
          <w:rFonts w:ascii="Arial" w:hAnsi="Arial" w:cs="Arial"/>
          <w:sz w:val="22"/>
          <w:szCs w:val="22"/>
        </w:rPr>
        <w:t>el</w:t>
      </w:r>
      <w:r w:rsidRPr="00BD40F9" w:rsidR="00421BCB">
        <w:rPr>
          <w:rFonts w:ascii="Arial" w:hAnsi="Arial" w:cs="Arial"/>
          <w:sz w:val="22"/>
          <w:szCs w:val="22"/>
        </w:rPr>
        <w:t xml:space="preserve"> principio de</w:t>
      </w:r>
      <w:r w:rsidRPr="00BD40F9" w:rsidR="00446E60">
        <w:rPr>
          <w:rFonts w:ascii="Arial" w:hAnsi="Arial" w:cs="Arial"/>
          <w:sz w:val="22"/>
          <w:szCs w:val="22"/>
        </w:rPr>
        <w:t xml:space="preserve"> </w:t>
      </w:r>
      <w:r w:rsidRPr="00BD40F9">
        <w:rPr>
          <w:rFonts w:ascii="Arial" w:hAnsi="Arial" w:cs="Arial"/>
          <w:sz w:val="22"/>
          <w:szCs w:val="22"/>
        </w:rPr>
        <w:t>buena fe. El principio de máxima publicidad establece que «toda información en posesión, bajo control o custodia de un sujeto obligado es pública y no podrá ser reservada o limitada sino por disposición constitucional o legal»</w:t>
      </w:r>
      <w:r w:rsidRPr="00BD40F9">
        <w:rPr>
          <w:rStyle w:val="Refdenotaalpie"/>
          <w:rFonts w:ascii="Arial" w:hAnsi="Arial" w:cs="Arial"/>
          <w:sz w:val="22"/>
          <w:szCs w:val="22"/>
        </w:rPr>
        <w:footnoteReference w:id="2"/>
      </w:r>
      <w:r w:rsidRPr="00BD40F9">
        <w:rPr>
          <w:rFonts w:ascii="Arial" w:hAnsi="Arial" w:cs="Arial"/>
          <w:sz w:val="22"/>
          <w:szCs w:val="22"/>
        </w:rPr>
        <w:t>. El principio de transparencia en la información alude al deber de los sujetos de proporcionar y facilitar el acceso a la misma en los términos más amplios posibles, a través de los medios y procedimientos que establezca la</w:t>
      </w:r>
      <w:r w:rsidRPr="00BD40F9">
        <w:rPr>
          <w:rFonts w:ascii="Arial" w:hAnsi="Arial" w:cs="Arial"/>
          <w:spacing w:val="-2"/>
          <w:sz w:val="22"/>
          <w:szCs w:val="22"/>
        </w:rPr>
        <w:t xml:space="preserve"> </w:t>
      </w:r>
      <w:r w:rsidRPr="00BD40F9">
        <w:rPr>
          <w:rFonts w:ascii="Arial" w:hAnsi="Arial" w:cs="Arial"/>
          <w:sz w:val="22"/>
          <w:szCs w:val="22"/>
        </w:rPr>
        <w:t>ley</w:t>
      </w:r>
      <w:r w:rsidRPr="00BD40F9" w:rsidR="00F3516B">
        <w:rPr>
          <w:rStyle w:val="Refdenotaalpie"/>
          <w:rFonts w:ascii="Arial" w:hAnsi="Arial" w:cs="Arial"/>
          <w:sz w:val="22"/>
          <w:szCs w:val="22"/>
        </w:rPr>
        <w:footnoteReference w:id="3"/>
      </w:r>
      <w:r w:rsidRPr="00BD40F9">
        <w:rPr>
          <w:rFonts w:ascii="Arial" w:hAnsi="Arial" w:cs="Arial"/>
          <w:sz w:val="22"/>
          <w:szCs w:val="22"/>
        </w:rPr>
        <w:t>.</w:t>
      </w:r>
      <w:r w:rsidRPr="00BD40F9" w:rsidR="00D50201">
        <w:rPr>
          <w:rFonts w:ascii="Arial" w:hAnsi="Arial" w:cs="Arial"/>
          <w:sz w:val="22"/>
          <w:szCs w:val="22"/>
        </w:rPr>
        <w:t xml:space="preserve"> Y el principio de buena fe </w:t>
      </w:r>
      <w:r w:rsidRPr="00BD40F9" w:rsidR="00686310">
        <w:rPr>
          <w:rFonts w:ascii="Arial" w:hAnsi="Arial" w:cs="Arial"/>
          <w:sz w:val="22"/>
          <w:szCs w:val="22"/>
        </w:rPr>
        <w:t xml:space="preserve">hace referencia </w:t>
      </w:r>
      <w:r w:rsidRPr="00BD40F9" w:rsidR="00356780">
        <w:rPr>
          <w:rFonts w:ascii="Arial" w:hAnsi="Arial" w:cs="Arial"/>
          <w:sz w:val="22"/>
          <w:szCs w:val="22"/>
        </w:rPr>
        <w:t xml:space="preserve">al deber de todo sujeto obligado de cumplir con las obligaciones derivadas </w:t>
      </w:r>
      <w:r w:rsidR="00D77B72">
        <w:rPr>
          <w:rFonts w:ascii="Arial" w:hAnsi="Arial" w:cs="Arial"/>
          <w:sz w:val="22"/>
          <w:szCs w:val="22"/>
        </w:rPr>
        <w:t xml:space="preserve">del </w:t>
      </w:r>
      <w:r w:rsidRPr="00BD40F9" w:rsidR="00646E89">
        <w:rPr>
          <w:rFonts w:ascii="Arial" w:hAnsi="Arial" w:cs="Arial"/>
          <w:sz w:val="22"/>
          <w:szCs w:val="22"/>
        </w:rPr>
        <w:t xml:space="preserve">derecho de acceso a la información pública con motivación honesta, leal y desprovista de cualquier intención </w:t>
      </w:r>
      <w:r w:rsidRPr="00BD40F9" w:rsidR="001A5C54">
        <w:rPr>
          <w:rFonts w:ascii="Arial" w:hAnsi="Arial" w:cs="Arial"/>
          <w:sz w:val="22"/>
          <w:szCs w:val="22"/>
        </w:rPr>
        <w:t>dolosa o culposa</w:t>
      </w:r>
      <w:bookmarkEnd w:id="5"/>
      <w:r w:rsidRPr="00BD40F9" w:rsidR="006E4BF6">
        <w:rPr>
          <w:rStyle w:val="Refdenotaalpie"/>
          <w:rFonts w:ascii="Arial" w:hAnsi="Arial" w:cs="Arial"/>
          <w:sz w:val="22"/>
          <w:szCs w:val="22"/>
        </w:rPr>
        <w:footnoteReference w:id="4"/>
      </w:r>
      <w:r w:rsidRPr="00BD40F9" w:rsidR="001A5C54">
        <w:rPr>
          <w:rFonts w:ascii="Arial" w:hAnsi="Arial" w:cs="Arial"/>
          <w:sz w:val="22"/>
          <w:szCs w:val="22"/>
        </w:rPr>
        <w:t xml:space="preserve">. </w:t>
      </w:r>
    </w:p>
    <w:p w:rsidRPr="00BD40F9" w:rsidR="00FA2ECB" w:rsidP="00B7075F" w:rsidRDefault="007D3434" w14:paraId="31655661" w14:textId="19F0E671">
      <w:pPr>
        <w:pStyle w:val="Textoindependiente"/>
        <w:spacing w:line="276" w:lineRule="auto"/>
        <w:ind w:firstLine="708"/>
        <w:jc w:val="both"/>
        <w:rPr>
          <w:rFonts w:ascii="Arial" w:hAnsi="Arial" w:cs="Arial"/>
          <w:sz w:val="22"/>
          <w:szCs w:val="22"/>
        </w:rPr>
      </w:pPr>
      <w:r w:rsidRPr="00BD40F9">
        <w:rPr>
          <w:rFonts w:ascii="Arial" w:hAnsi="Arial" w:cs="Arial"/>
          <w:sz w:val="22"/>
          <w:szCs w:val="22"/>
        </w:rPr>
        <w:t xml:space="preserve">La citada </w:t>
      </w:r>
      <w:r w:rsidRPr="00BD40F9" w:rsidR="00F22293">
        <w:rPr>
          <w:rFonts w:ascii="Arial" w:hAnsi="Arial" w:cs="Arial"/>
          <w:sz w:val="22"/>
          <w:szCs w:val="22"/>
        </w:rPr>
        <w:t xml:space="preserve">Ley </w:t>
      </w:r>
      <w:r w:rsidRPr="00BD40F9">
        <w:rPr>
          <w:rFonts w:ascii="Arial" w:hAnsi="Arial" w:cs="Arial"/>
          <w:sz w:val="22"/>
          <w:szCs w:val="22"/>
        </w:rPr>
        <w:t xml:space="preserve">establece, en el literal e) del artículo 9, que los </w:t>
      </w:r>
      <w:r w:rsidRPr="00BD40F9">
        <w:rPr>
          <w:rFonts w:ascii="Arial" w:hAnsi="Arial" w:cs="Arial"/>
          <w:i/>
          <w:iCs/>
          <w:sz w:val="22"/>
          <w:szCs w:val="22"/>
        </w:rPr>
        <w:t>sujetos obligados</w:t>
      </w:r>
      <w:r w:rsidRPr="00BD40F9" w:rsidR="00FA2ECB">
        <w:rPr>
          <w:rFonts w:ascii="Arial" w:hAnsi="Arial" w:cs="Arial"/>
          <w:i/>
          <w:iCs/>
          <w:sz w:val="22"/>
          <w:szCs w:val="22"/>
        </w:rPr>
        <w:t xml:space="preserve"> </w:t>
      </w:r>
      <w:r w:rsidRPr="00BD40F9">
        <w:rPr>
          <w:rFonts w:ascii="Arial" w:hAnsi="Arial" w:cs="Arial"/>
          <w:sz w:val="22"/>
          <w:szCs w:val="22"/>
        </w:rPr>
        <w:t>deben publicar la información relativa a su contratación</w:t>
      </w:r>
      <w:r w:rsidRPr="00BD40F9" w:rsidR="00A449E2">
        <w:rPr>
          <w:rFonts w:ascii="Arial" w:hAnsi="Arial" w:cs="Arial"/>
          <w:sz w:val="22"/>
          <w:szCs w:val="22"/>
        </w:rPr>
        <w:t>.</w:t>
      </w:r>
      <w:r w:rsidRPr="00BD40F9" w:rsidR="00FA2ECB">
        <w:rPr>
          <w:rFonts w:ascii="Arial" w:hAnsi="Arial" w:cs="Arial"/>
          <w:sz w:val="22"/>
          <w:szCs w:val="22"/>
        </w:rPr>
        <w:t xml:space="preserve"> </w:t>
      </w:r>
      <w:r w:rsidRPr="00BD40F9" w:rsidR="00FA2ECB">
        <w:rPr>
          <w:rFonts w:ascii="Arial" w:hAnsi="Arial" w:eastAsia="Arial MT" w:cs="Arial"/>
          <w:sz w:val="22"/>
          <w:szCs w:val="22"/>
          <w:lang w:val="es-ES" w:eastAsia="en-US"/>
        </w:rPr>
        <w:t xml:space="preserve">El artículo 5 </w:t>
      </w:r>
      <w:r w:rsidRPr="00BD40F9" w:rsidR="00FA2ECB">
        <w:rPr>
          <w:rFonts w:ascii="Arial" w:hAnsi="Arial" w:eastAsia="Arial MT" w:cs="Arial"/>
          <w:i/>
          <w:iCs/>
          <w:sz w:val="22"/>
          <w:szCs w:val="22"/>
          <w:lang w:val="es-ES" w:eastAsia="en-US"/>
        </w:rPr>
        <w:t>ibidem</w:t>
      </w:r>
      <w:r w:rsidRPr="00BD40F9" w:rsidR="00FA2ECB">
        <w:rPr>
          <w:rFonts w:ascii="Arial" w:hAnsi="Arial" w:eastAsia="Arial MT" w:cs="Arial"/>
          <w:sz w:val="22"/>
          <w:szCs w:val="22"/>
          <w:lang w:val="es-ES" w:eastAsia="en-US"/>
        </w:rPr>
        <w:t>,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bookmarkEnd w:id="6"/>
      <w:r w:rsidRPr="00BD40F9" w:rsidR="00FA2ECB">
        <w:rPr>
          <w:rStyle w:val="Refdenotaalpie"/>
          <w:rFonts w:ascii="Arial" w:hAnsi="Arial" w:cs="Arial"/>
          <w:sz w:val="22"/>
          <w:szCs w:val="22"/>
        </w:rPr>
        <w:footnoteReference w:id="5"/>
      </w:r>
      <w:r w:rsidRPr="00BD40F9" w:rsidR="00FA2ECB">
        <w:rPr>
          <w:rFonts w:ascii="Arial" w:hAnsi="Arial" w:eastAsia="Arial MT" w:cs="Arial"/>
          <w:sz w:val="22"/>
          <w:szCs w:val="22"/>
          <w:lang w:val="es-ES" w:eastAsia="en-US"/>
        </w:rPr>
        <w:t>.</w:t>
      </w:r>
      <w:r w:rsidRPr="00BD40F9" w:rsidR="00FA2ECB">
        <w:rPr>
          <w:rFonts w:ascii="Arial" w:hAnsi="Arial" w:cs="Arial"/>
          <w:sz w:val="22"/>
          <w:szCs w:val="22"/>
        </w:rPr>
        <w:t xml:space="preserve"> </w:t>
      </w:r>
    </w:p>
    <w:p w:rsidRPr="00BD40F9" w:rsidR="007D3434" w:rsidP="00B7075F" w:rsidRDefault="00A449E2" w14:paraId="7BD14A2E" w14:textId="4FAA9045">
      <w:pPr>
        <w:pStyle w:val="Textoindependiente"/>
        <w:spacing w:before="2" w:line="276" w:lineRule="auto"/>
        <w:ind w:firstLine="709"/>
        <w:jc w:val="both"/>
        <w:rPr>
          <w:rFonts w:ascii="Arial" w:hAnsi="Arial" w:cs="Arial"/>
          <w:sz w:val="22"/>
          <w:szCs w:val="22"/>
        </w:rPr>
      </w:pPr>
      <w:r w:rsidRPr="00BD40F9">
        <w:rPr>
          <w:rFonts w:ascii="Arial" w:hAnsi="Arial" w:cs="Arial"/>
          <w:sz w:val="22"/>
          <w:szCs w:val="22"/>
        </w:rPr>
        <w:t>La anterior obligación</w:t>
      </w:r>
      <w:r w:rsidRPr="00BD40F9" w:rsidR="007D3434">
        <w:rPr>
          <w:rFonts w:ascii="Arial" w:hAnsi="Arial" w:cs="Arial"/>
          <w:sz w:val="22"/>
          <w:szCs w:val="22"/>
        </w:rPr>
        <w:t xml:space="preserve"> fue desarrollada por el artículo 2.1.1.2.1.7. del Decreto Único Reglamentario 1081 de 2015</w:t>
      </w:r>
      <w:r w:rsidRPr="00BD40F9" w:rsidR="007D3434">
        <w:rPr>
          <w:rStyle w:val="Refdenotaalpie"/>
          <w:rFonts w:ascii="Arial" w:hAnsi="Arial" w:cs="Arial"/>
          <w:sz w:val="22"/>
          <w:szCs w:val="22"/>
        </w:rPr>
        <w:footnoteReference w:id="6"/>
      </w:r>
      <w:r w:rsidRPr="00BD40F9" w:rsidR="007D3434">
        <w:rPr>
          <w:rFonts w:ascii="Arial" w:hAnsi="Arial" w:cs="Arial"/>
          <w:sz w:val="22"/>
          <w:szCs w:val="22"/>
        </w:rPr>
        <w:t>, el cual dispone que la publicación de la información contractual de los sujetos obligados,</w:t>
      </w:r>
      <w:r w:rsidRPr="00BD40F9" w:rsidR="007D3434">
        <w:rPr>
          <w:rFonts w:ascii="Arial" w:hAnsi="Arial" w:cs="Arial"/>
          <w:spacing w:val="3"/>
          <w:sz w:val="22"/>
          <w:szCs w:val="22"/>
        </w:rPr>
        <w:t xml:space="preserve"> </w:t>
      </w:r>
      <w:r w:rsidRPr="00BD40F9" w:rsidR="007D3434">
        <w:rPr>
          <w:rFonts w:ascii="Arial" w:hAnsi="Arial" w:cs="Arial"/>
          <w:sz w:val="22"/>
          <w:szCs w:val="22"/>
        </w:rPr>
        <w:t xml:space="preserve">que contratan con cargo a recursos públicos, debe hacerse en el Sistema Electrónico de Contratación Pública ─ SECOP. </w:t>
      </w:r>
    </w:p>
    <w:p w:rsidRPr="00BD40F9" w:rsidR="00AE0F7B" w:rsidP="00B7075F" w:rsidRDefault="007D3434" w14:paraId="583ECC2F" w14:textId="4806F784">
      <w:pPr>
        <w:pStyle w:val="Textoindependiente"/>
        <w:spacing w:line="276" w:lineRule="auto"/>
        <w:ind w:firstLine="709"/>
        <w:jc w:val="both"/>
        <w:rPr>
          <w:rFonts w:ascii="Arial" w:hAnsi="Arial" w:cs="Arial"/>
          <w:sz w:val="22"/>
          <w:szCs w:val="22"/>
        </w:rPr>
      </w:pPr>
      <w:r w:rsidRPr="00BD40F9">
        <w:rPr>
          <w:rFonts w:ascii="Arial" w:hAnsi="Arial" w:cs="Arial"/>
          <w:sz w:val="22"/>
          <w:szCs w:val="22"/>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r w:rsidR="00AE0F7B">
        <w:rPr>
          <w:rFonts w:ascii="Arial" w:hAnsi="Arial" w:cs="Arial"/>
          <w:sz w:val="22"/>
          <w:szCs w:val="22"/>
        </w:rPr>
        <w:t xml:space="preserve"> Además de lo anterior, </w:t>
      </w:r>
      <w:r w:rsidR="003003F5">
        <w:rPr>
          <w:rFonts w:ascii="Arial" w:hAnsi="Arial" w:cs="Arial"/>
          <w:sz w:val="22"/>
          <w:szCs w:val="22"/>
        </w:rPr>
        <w:t>es de</w:t>
      </w:r>
      <w:r w:rsidR="00AE0F7B">
        <w:rPr>
          <w:rFonts w:ascii="Arial" w:hAnsi="Arial" w:cs="Arial"/>
          <w:sz w:val="22"/>
          <w:szCs w:val="22"/>
        </w:rPr>
        <w:t xml:space="preserve"> precisar que el artículo 3 de la Ley 1150 de 2007 ya había establecido que el Sistema Electrónico para la Contratación Pública – SECOP «</w:t>
      </w:r>
      <w:r w:rsidRPr="008F04CD" w:rsidR="00AE0F7B">
        <w:rPr>
          <w:rFonts w:ascii="Arial" w:hAnsi="Arial" w:cs="Arial"/>
          <w:sz w:val="22"/>
          <w:szCs w:val="22"/>
        </w:rPr>
        <w:t>Contará con la información oficial de la contratación realizada con dineros públicos</w:t>
      </w:r>
      <w:r w:rsidR="00AE0F7B">
        <w:rPr>
          <w:rFonts w:ascii="Arial" w:hAnsi="Arial" w:cs="Arial"/>
          <w:sz w:val="22"/>
          <w:szCs w:val="22"/>
        </w:rPr>
        <w:t>»</w:t>
      </w:r>
      <w:r w:rsidR="00AE0F7B">
        <w:rPr>
          <w:rStyle w:val="Refdenotaalpie"/>
          <w:rFonts w:ascii="Arial" w:hAnsi="Arial" w:cs="Arial"/>
          <w:sz w:val="22"/>
          <w:szCs w:val="22"/>
        </w:rPr>
        <w:footnoteReference w:id="7"/>
      </w:r>
      <w:r w:rsidR="00AE0F7B">
        <w:rPr>
          <w:rFonts w:ascii="Arial" w:hAnsi="Arial" w:cs="Arial"/>
          <w:sz w:val="22"/>
          <w:szCs w:val="22"/>
        </w:rPr>
        <w:t>.</w:t>
      </w:r>
    </w:p>
    <w:p w:rsidRPr="00BD40F9" w:rsidR="007D3434" w:rsidP="0020722C" w:rsidRDefault="007D3434" w14:paraId="53375335" w14:textId="4E524D0F">
      <w:pPr>
        <w:spacing w:after="0" w:line="276" w:lineRule="auto"/>
        <w:ind w:firstLine="709"/>
        <w:contextualSpacing/>
        <w:jc w:val="both"/>
        <w:rPr>
          <w:rFonts w:ascii="Arial" w:hAnsi="Arial" w:cs="Arial"/>
        </w:rPr>
      </w:pPr>
      <w:bookmarkStart w:name="_Hlk109111930" w:id="8"/>
      <w:r w:rsidRPr="00BD40F9">
        <w:rPr>
          <w:rFonts w:ascii="Arial" w:hAnsi="Arial" w:cs="Arial"/>
        </w:rPr>
        <w:t xml:space="preserve">Las anteriores disposiciones normativas fueron complementadas con la expedición de la Ley 2195 de 2022, </w:t>
      </w:r>
      <w:r w:rsidRPr="00BD40F9" w:rsidR="0093061A">
        <w:rPr>
          <w:rFonts w:ascii="Arial" w:hAnsi="Arial" w:cs="Arial"/>
        </w:rPr>
        <w:t>por medio de la cual se adoptan medidas en materia de transparencia, prevención</w:t>
      </w:r>
      <w:r w:rsidRPr="00BD40F9" w:rsidR="006F4CAF">
        <w:rPr>
          <w:rFonts w:ascii="Arial" w:hAnsi="Arial" w:cs="Arial"/>
        </w:rPr>
        <w:t xml:space="preserve"> y lucha contra la corrupción.</w:t>
      </w:r>
      <w:r w:rsidRPr="00BD40F9" w:rsidR="00905CEC">
        <w:rPr>
          <w:rFonts w:ascii="Arial" w:hAnsi="Arial" w:cs="Arial"/>
        </w:rPr>
        <w:t xml:space="preserve"> </w:t>
      </w:r>
      <w:r w:rsidRPr="00BD40F9" w:rsidR="00905CEC">
        <w:rPr>
          <w:rFonts w:ascii="Arial" w:hAnsi="Arial" w:eastAsia="Calibri" w:cs="Arial"/>
          <w:lang w:val="es-ES_tradnl" w:eastAsia="es-ES_tradnl"/>
        </w:rPr>
        <w:t>Según el artículo 1, esta Ley «</w:t>
      </w:r>
      <w:r w:rsidRPr="00BD40F9" w:rsidR="00905CEC">
        <w:rPr>
          <w:rFonts w:ascii="Arial" w:hAnsi="Arial" w:eastAsia="Times New Roman" w:cs="Arial"/>
          <w:lang w:val="es-ES_tradnl" w:eastAsia="es-ES_tradnl"/>
        </w:rPr>
        <w:t xml:space="preserve">[…] </w:t>
      </w:r>
      <w:r w:rsidRPr="00BD40F9" w:rsidR="00905CEC">
        <w:rPr>
          <w:rFonts w:ascii="Arial" w:hAnsi="Arial" w:eastAsia="Calibri"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w:t>
      </w:r>
      <w:r w:rsidRPr="00BD40F9" w:rsidR="00FD7B08">
        <w:rPr>
          <w:rFonts w:ascii="Arial" w:hAnsi="Arial" w:eastAsia="Calibri" w:cs="Arial"/>
          <w:lang w:val="es-ES_tradnl" w:eastAsia="es-ES_tradnl"/>
        </w:rPr>
        <w:t xml:space="preserve">Dentro del capítulo VIII de esta Ley, que lleva por título «Disposiciones en materia contractual para la moralización y la transparencia», se ubica </w:t>
      </w:r>
      <w:r w:rsidRPr="00BD40F9" w:rsidR="006F4CAF">
        <w:rPr>
          <w:rFonts w:ascii="Arial" w:hAnsi="Arial" w:cs="Arial"/>
        </w:rPr>
        <w:t xml:space="preserve">el </w:t>
      </w:r>
      <w:r w:rsidRPr="00BD40F9" w:rsidR="0093061A">
        <w:rPr>
          <w:rFonts w:ascii="Arial" w:hAnsi="Arial" w:cs="Arial"/>
        </w:rPr>
        <w:t>artículo 53</w:t>
      </w:r>
      <w:r w:rsidRPr="00BD40F9" w:rsidR="00DE64FE">
        <w:rPr>
          <w:rFonts w:ascii="Arial" w:hAnsi="Arial" w:cs="Arial"/>
        </w:rPr>
        <w:t xml:space="preserve">, </w:t>
      </w:r>
      <w:r w:rsidRPr="00BD40F9" w:rsidR="00B93F90">
        <w:rPr>
          <w:rFonts w:ascii="Arial" w:hAnsi="Arial" w:cs="Arial"/>
        </w:rPr>
        <w:t>mediante el cual se adiciona el artículo 13 de la Ley 1150 de 2007</w:t>
      </w:r>
      <w:r w:rsidRPr="00BD40F9" w:rsidR="006E7ACB">
        <w:rPr>
          <w:rFonts w:ascii="Arial" w:hAnsi="Arial" w:cs="Arial"/>
        </w:rPr>
        <w:t xml:space="preserve">. La referida disposición </w:t>
      </w:r>
      <w:r w:rsidRPr="00BD40F9" w:rsidR="00031C68">
        <w:rPr>
          <w:rFonts w:ascii="Arial" w:hAnsi="Arial" w:cs="Arial"/>
        </w:rPr>
        <w:t>les</w:t>
      </w:r>
      <w:r w:rsidRPr="00BD40F9">
        <w:rPr>
          <w:rFonts w:ascii="Arial" w:hAnsi="Arial" w:cs="Arial"/>
        </w:rPr>
        <w:t xml:space="preserve">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w:t>
      </w:r>
      <w:r w:rsidR="006378C7">
        <w:rPr>
          <w:rFonts w:ascii="Arial" w:hAnsi="Arial" w:cs="Arial"/>
        </w:rPr>
        <w:t>–</w:t>
      </w:r>
      <w:r w:rsidRPr="00BD40F9">
        <w:rPr>
          <w:rFonts w:ascii="Arial" w:hAnsi="Arial" w:cs="Arial"/>
        </w:rPr>
        <w:t xml:space="preserve">SECOP II- o la plataforma transaccional que haga sus veces. </w:t>
      </w:r>
      <w:bookmarkEnd w:id="8"/>
      <w:r w:rsidRPr="00BD40F9">
        <w:rPr>
          <w:rFonts w:ascii="Arial" w:hAnsi="Arial" w:cs="Arial"/>
        </w:rPr>
        <w:t xml:space="preserve">Al respecto, la </w:t>
      </w:r>
      <w:r w:rsidRPr="00BD40F9" w:rsidR="006E7ACB">
        <w:rPr>
          <w:rFonts w:ascii="Arial" w:hAnsi="Arial" w:cs="Arial"/>
        </w:rPr>
        <w:t>norma</w:t>
      </w:r>
      <w:r w:rsidRPr="00BD40F9">
        <w:rPr>
          <w:rFonts w:ascii="Arial" w:hAnsi="Arial" w:cs="Arial"/>
        </w:rPr>
        <w:t xml:space="preserve"> citada de manera expresa señala:</w:t>
      </w:r>
    </w:p>
    <w:p w:rsidRPr="00BD40F9" w:rsidR="007D3434" w:rsidP="00E00E46" w:rsidRDefault="007D3434" w14:paraId="0C800BCC" w14:textId="77777777">
      <w:pPr>
        <w:spacing w:after="0" w:line="240" w:lineRule="auto"/>
        <w:ind w:firstLine="301"/>
        <w:contextualSpacing/>
        <w:rPr>
          <w:rFonts w:ascii="Work Sans" w:hAnsi="Work Sans"/>
        </w:rPr>
      </w:pPr>
    </w:p>
    <w:p w:rsidRPr="00BD40F9" w:rsidR="007D3434" w:rsidP="00E00E46" w:rsidRDefault="007D3434" w14:paraId="27514809" w14:textId="77777777">
      <w:pPr>
        <w:spacing w:after="0" w:line="240" w:lineRule="auto"/>
        <w:ind w:left="709" w:right="709"/>
        <w:contextualSpacing/>
        <w:jc w:val="both"/>
        <w:rPr>
          <w:rFonts w:ascii="Arial" w:hAnsi="Arial" w:eastAsia="Calibri" w:cs="Arial"/>
          <w:sz w:val="21"/>
          <w:szCs w:val="21"/>
        </w:rPr>
      </w:pPr>
      <w:r w:rsidRPr="00BD40F9">
        <w:rPr>
          <w:rFonts w:ascii="Arial" w:hAnsi="Arial" w:eastAsia="Calibri" w:cs="Arial"/>
          <w:sz w:val="21"/>
          <w:szCs w:val="21"/>
        </w:rPr>
        <w:t>Adiciónese los siguientes incisos al artículo 13 de la Ley 1150 de 2007, el cual quedará así:</w:t>
      </w:r>
    </w:p>
    <w:p w:rsidRPr="00BD40F9" w:rsidR="007D3434" w:rsidP="00E00E46" w:rsidRDefault="007D3434" w14:paraId="74453A36" w14:textId="77777777">
      <w:pPr>
        <w:spacing w:after="0" w:line="240" w:lineRule="auto"/>
        <w:ind w:left="709" w:right="709"/>
        <w:contextualSpacing/>
        <w:jc w:val="both"/>
        <w:rPr>
          <w:rFonts w:ascii="Arial" w:hAnsi="Arial" w:eastAsia="Calibri" w:cs="Arial"/>
          <w:sz w:val="21"/>
          <w:szCs w:val="21"/>
        </w:rPr>
      </w:pPr>
    </w:p>
    <w:p w:rsidRPr="00BD40F9" w:rsidR="007D3434" w:rsidP="00E00E46" w:rsidRDefault="007D3434" w14:paraId="1ED72B9F" w14:textId="77777777">
      <w:pPr>
        <w:spacing w:after="0" w:line="240" w:lineRule="auto"/>
        <w:ind w:left="709" w:right="709"/>
        <w:contextualSpacing/>
        <w:jc w:val="both"/>
        <w:rPr>
          <w:rFonts w:ascii="Arial" w:hAnsi="Arial" w:eastAsia="Calibri" w:cs="Arial"/>
          <w:sz w:val="21"/>
          <w:szCs w:val="21"/>
        </w:rPr>
      </w:pPr>
      <w:r w:rsidRPr="00BD40F9">
        <w:rPr>
          <w:rFonts w:ascii="Arial" w:hAnsi="Arial" w:eastAsia="Calibri"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BD40F9" w:rsidR="007D3434" w:rsidP="00E00E46" w:rsidRDefault="007D3434" w14:paraId="3FB12BEF" w14:textId="77777777">
      <w:pPr>
        <w:spacing w:after="0" w:line="240" w:lineRule="auto"/>
        <w:ind w:left="709" w:right="709"/>
        <w:contextualSpacing/>
        <w:jc w:val="both"/>
        <w:rPr>
          <w:rFonts w:ascii="Arial" w:hAnsi="Arial" w:eastAsia="Calibri" w:cs="Arial"/>
          <w:sz w:val="21"/>
          <w:szCs w:val="21"/>
        </w:rPr>
      </w:pPr>
    </w:p>
    <w:p w:rsidRPr="00BD40F9" w:rsidR="007D3434" w:rsidP="00E00E46" w:rsidRDefault="007D3434" w14:paraId="0AEF3A02" w14:textId="46630494">
      <w:pPr>
        <w:spacing w:after="0" w:line="240" w:lineRule="auto"/>
        <w:ind w:left="709" w:right="709"/>
        <w:contextualSpacing/>
        <w:jc w:val="both"/>
        <w:rPr>
          <w:rFonts w:ascii="Arial" w:hAnsi="Arial" w:eastAsia="Calibri" w:cs="Arial"/>
          <w:i/>
          <w:iCs/>
          <w:sz w:val="21"/>
          <w:szCs w:val="21"/>
        </w:rPr>
      </w:pPr>
      <w:r w:rsidRPr="00BD40F9">
        <w:rPr>
          <w:rFonts w:ascii="Arial" w:hAnsi="Arial" w:eastAsia="Calibri" w:cs="Arial"/>
          <w:i/>
          <w:iCs/>
          <w:sz w:val="21"/>
          <w:szCs w:val="21"/>
        </w:rPr>
        <w:t xml:space="preserve">En desarrollo de los anteriores principios, deberán publicar los documentos relacionados con su actividad contractual en el Sistema Electrónico para la Contratación </w:t>
      </w:r>
      <w:r w:rsidRPr="00BD40F9" w:rsidR="006378C7">
        <w:rPr>
          <w:rFonts w:ascii="Arial" w:hAnsi="Arial" w:eastAsia="Calibri" w:cs="Arial"/>
          <w:i/>
          <w:iCs/>
          <w:sz w:val="21"/>
          <w:szCs w:val="21"/>
        </w:rPr>
        <w:t>P</w:t>
      </w:r>
      <w:r w:rsidR="006378C7">
        <w:rPr>
          <w:rFonts w:ascii="Arial" w:hAnsi="Arial" w:eastAsia="Calibri" w:cs="Arial"/>
          <w:i/>
          <w:iCs/>
          <w:sz w:val="21"/>
          <w:szCs w:val="21"/>
        </w:rPr>
        <w:t>ública</w:t>
      </w:r>
      <w:r w:rsidRPr="00BD40F9" w:rsidR="006378C7">
        <w:rPr>
          <w:rFonts w:ascii="Arial" w:hAnsi="Arial" w:eastAsia="Calibri" w:cs="Arial"/>
          <w:i/>
          <w:iCs/>
          <w:sz w:val="21"/>
          <w:szCs w:val="21"/>
        </w:rPr>
        <w:t xml:space="preserve"> </w:t>
      </w:r>
      <w:r w:rsidRPr="00BD40F9">
        <w:rPr>
          <w:rFonts w:ascii="Arial" w:hAnsi="Arial" w:eastAsia="Calibri" w:cs="Arial"/>
          <w:i/>
          <w:iCs/>
          <w:sz w:val="21"/>
          <w:szCs w:val="21"/>
        </w:rPr>
        <w:t>–SECOP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rsidRPr="00BD40F9" w:rsidR="007D3434" w:rsidP="00E00E46" w:rsidRDefault="007D3434" w14:paraId="16910B76" w14:textId="77777777">
      <w:pPr>
        <w:spacing w:after="0" w:line="240" w:lineRule="auto"/>
        <w:ind w:left="709" w:right="709"/>
        <w:contextualSpacing/>
        <w:jc w:val="both"/>
        <w:rPr>
          <w:rFonts w:ascii="Arial" w:hAnsi="Arial" w:eastAsia="Calibri" w:cs="Arial"/>
          <w:sz w:val="21"/>
          <w:szCs w:val="21"/>
        </w:rPr>
      </w:pPr>
    </w:p>
    <w:p w:rsidRPr="00BD40F9" w:rsidR="007D3434" w:rsidP="00E00E46" w:rsidRDefault="007D3434" w14:paraId="55717233" w14:textId="77777777">
      <w:pPr>
        <w:spacing w:after="0" w:line="240" w:lineRule="auto"/>
        <w:ind w:left="709" w:right="709"/>
        <w:contextualSpacing/>
        <w:jc w:val="both"/>
        <w:rPr>
          <w:rFonts w:ascii="Arial" w:hAnsi="Arial" w:eastAsia="Calibri" w:cs="Arial"/>
          <w:sz w:val="21"/>
          <w:szCs w:val="21"/>
        </w:rPr>
      </w:pPr>
      <w:r w:rsidRPr="00BD40F9">
        <w:rPr>
          <w:rFonts w:ascii="Arial" w:hAnsi="Arial" w:eastAsia="Calibri" w:cs="Arial"/>
          <w:sz w:val="21"/>
          <w:szCs w:val="21"/>
        </w:rPr>
        <w:t>A partir de la entrada en vigencia de la presente Ley, se establecerá un periodo de transición de seis (6) meses, para que las entidades den cumplimiento efectivo a lo aquí establecido. (Cursiva fuera del original).</w:t>
      </w:r>
    </w:p>
    <w:p w:rsidRPr="00BD40F9" w:rsidR="00294774" w:rsidP="00E00E46" w:rsidRDefault="00294774" w14:paraId="28B2006D" w14:textId="77777777">
      <w:pPr>
        <w:spacing w:after="0" w:line="240" w:lineRule="auto"/>
        <w:ind w:firstLine="709"/>
        <w:contextualSpacing/>
        <w:jc w:val="both"/>
        <w:rPr>
          <w:rFonts w:eastAsia="Calibri"/>
          <w:lang w:val="es-ES_tradnl"/>
        </w:rPr>
      </w:pPr>
    </w:p>
    <w:p w:rsidRPr="00BD40F9" w:rsidR="002352CE" w:rsidP="00835E90" w:rsidRDefault="007D3434" w14:paraId="68122E95" w14:textId="5FB36A38">
      <w:pPr>
        <w:spacing w:after="120" w:line="276" w:lineRule="auto"/>
        <w:ind w:firstLine="709"/>
        <w:jc w:val="both"/>
        <w:rPr>
          <w:rFonts w:ascii="Arial" w:hAnsi="Arial" w:eastAsia="Calibri" w:cs="Arial"/>
          <w:lang w:val="es-ES_tradnl" w:eastAsia="es-ES_tradnl"/>
        </w:rPr>
      </w:pPr>
      <w:r w:rsidRPr="00BD40F9">
        <w:rPr>
          <w:rFonts w:ascii="Arial" w:hAnsi="Arial" w:eastAsia="Calibri" w:cs="Arial"/>
          <w:lang w:val="es-ES_tradnl"/>
        </w:rPr>
        <w:t xml:space="preserve">Cabe destacar que cuando la norma trascrita hace referencia a que el mencionado deber de publicidad debe cumplirse en el SECOP II o </w:t>
      </w:r>
      <w:r w:rsidRPr="00BD40F9">
        <w:rPr>
          <w:rFonts w:ascii="Arial" w:hAnsi="Arial" w:cs="Arial"/>
        </w:rPr>
        <w:t>«</w:t>
      </w:r>
      <w:r w:rsidRPr="00BD40F9">
        <w:rPr>
          <w:rFonts w:ascii="Arial" w:hAnsi="Arial" w:eastAsia="Calibri" w:cs="Arial"/>
          <w:lang w:val="es-ES_tradnl"/>
        </w:rPr>
        <w:t>la plataforma transaccional que haga sus veces</w:t>
      </w:r>
      <w:r w:rsidRPr="00BD40F9">
        <w:rPr>
          <w:rFonts w:ascii="Arial" w:hAnsi="Arial" w:cs="Arial"/>
        </w:rPr>
        <w:t>»</w:t>
      </w:r>
      <w:r w:rsidRPr="00BD40F9">
        <w:rPr>
          <w:rFonts w:ascii="Arial" w:hAnsi="Arial" w:eastAsia="Calibri" w:cs="Arial"/>
          <w:lang w:val="es-ES_tradnl"/>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Pr="00BD40F9">
        <w:rPr>
          <w:rFonts w:ascii="Arial" w:hAnsi="Arial" w:cs="Arial"/>
        </w:rPr>
        <w:t>«</w:t>
      </w:r>
      <w:r w:rsidRPr="00BD40F9">
        <w:rPr>
          <w:rFonts w:ascii="Arial" w:hAnsi="Arial" w:eastAsia="Calibri" w:cs="Arial"/>
          <w:lang w:val="es-ES_tradnl"/>
        </w:rPr>
        <w:t>la plataforma que haga sus veces</w:t>
      </w:r>
      <w:r w:rsidRPr="00BD40F9">
        <w:rPr>
          <w:rFonts w:ascii="Arial" w:hAnsi="Arial" w:cs="Arial"/>
        </w:rPr>
        <w:t>»</w:t>
      </w:r>
      <w:r w:rsidRPr="00BD40F9">
        <w:rPr>
          <w:rFonts w:ascii="Arial" w:hAnsi="Arial" w:eastAsia="Calibri" w:cs="Arial"/>
          <w:lang w:val="es-ES_tradnl"/>
        </w:rPr>
        <w:t xml:space="preserve"> no puede interpretarse como una autorización para que las entidades obligadas en virtud del artículo 53 de la Ley 2195 de 2022 pueden emplear sus páginas web o sus propios portales electrónicos para cumplir con el deber de publicidad que les asiste. </w:t>
      </w:r>
      <w:r w:rsidRPr="00BD40F9" w:rsidR="002352CE">
        <w:rPr>
          <w:rFonts w:ascii="Arial" w:hAnsi="Arial" w:eastAsia="Calibri" w:cs="Arial"/>
          <w:lang w:val="es-ES_tradnl" w:eastAsia="es-ES_tradnl"/>
        </w:rPr>
        <w:t>Con esto se logra que la ciudadanía pueda encontrar en un mismo sistema la gestión de la actividad contractual del Estado, garantizándose en mayor grado la transparencia y el acceso a la documentación pública.</w:t>
      </w:r>
    </w:p>
    <w:p w:rsidRPr="00BD40F9" w:rsidR="007D3434" w:rsidP="00835E90" w:rsidRDefault="007D3434" w14:paraId="570B6017" w14:textId="1F4EB4B5">
      <w:pPr>
        <w:spacing w:before="120" w:after="120" w:line="276" w:lineRule="auto"/>
        <w:ind w:firstLine="709"/>
        <w:jc w:val="both"/>
        <w:rPr>
          <w:rFonts w:ascii="Arial" w:hAnsi="Arial" w:eastAsia="Calibri" w:cs="Arial"/>
          <w:lang w:val="es-ES_tradnl"/>
        </w:rPr>
      </w:pPr>
      <w:bookmarkStart w:name="_Hlk109111956" w:id="9"/>
      <w:r w:rsidRPr="00BD40F9">
        <w:rPr>
          <w:rFonts w:ascii="Arial" w:hAnsi="Arial" w:eastAsia="Calibri" w:cs="Arial"/>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BD40F9">
        <w:rPr>
          <w:rFonts w:ascii="Arial" w:hAnsi="Arial" w:eastAsia="Calibri" w:cs="Arial"/>
          <w:i/>
          <w:iCs/>
          <w:lang w:val="es-ES_tradnl"/>
        </w:rPr>
        <w:t>actividad contractual,</w:t>
      </w:r>
      <w:r w:rsidRPr="00BD40F9">
        <w:rPr>
          <w:rFonts w:ascii="Arial" w:hAnsi="Arial" w:eastAsia="Calibri" w:cs="Arial"/>
          <w:lang w:val="es-ES_tradnl"/>
        </w:rPr>
        <w:t xml:space="preserve"> la cual define como «[…] los documentos, contratos, actos e información generada por oferentes, contratista, contratante, supervisor o interventor, tanto en la </w:t>
      </w:r>
      <w:r w:rsidRPr="008F04CD">
        <w:rPr>
          <w:rFonts w:ascii="Arial" w:hAnsi="Arial" w:eastAsia="Calibri" w:cs="Arial"/>
          <w:lang w:val="es-ES_tradnl"/>
        </w:rPr>
        <w:t>etapa precontractual, como en la contractual y la postcontractual</w:t>
      </w:r>
      <w:r w:rsidRPr="00BD40F9">
        <w:rPr>
          <w:rFonts w:ascii="Arial" w:hAnsi="Arial" w:eastAsia="Calibri" w:cs="Arial"/>
          <w:lang w:val="es-ES_tradnl"/>
        </w:rPr>
        <w:t xml:space="preserve">». En ese sentido, el artículo 53 de la Ley 2195 de 2022 establece el deber de publicar toda aquella información relacionada con el respectivo contrato, sin incluir ninguna excepción relacionada con la naturaleza u objeto </w:t>
      </w:r>
      <w:r w:rsidRPr="00BD40F9" w:rsidR="00AB62F0">
        <w:rPr>
          <w:rFonts w:ascii="Arial" w:hAnsi="Arial" w:eastAsia="Calibri" w:cs="Arial"/>
          <w:lang w:val="es-ES_tradnl"/>
        </w:rPr>
        <w:t>contractual</w:t>
      </w:r>
      <w:r w:rsidRPr="00BD40F9">
        <w:rPr>
          <w:rFonts w:ascii="Arial" w:hAnsi="Arial" w:eastAsia="Calibri" w:cs="Arial"/>
          <w:lang w:val="es-ES_tradnl"/>
        </w:rPr>
        <w:t xml:space="preserve">, por lo que no puede colegirse que los procesos de contratación relacionados con asuntos </w:t>
      </w:r>
      <w:r w:rsidRPr="00BD40F9">
        <w:rPr>
          <w:rFonts w:ascii="Arial" w:hAnsi="Arial" w:eastAsia="Calibri" w:cs="Arial"/>
          <w:i/>
          <w:iCs/>
          <w:lang w:val="es-ES_tradnl"/>
        </w:rPr>
        <w:t>«no misionales»</w:t>
      </w:r>
      <w:r w:rsidRPr="00BD40F9">
        <w:rPr>
          <w:rFonts w:ascii="Arial" w:hAnsi="Arial" w:eastAsia="Calibri" w:cs="Arial"/>
          <w:lang w:val="es-ES_tradnl"/>
        </w:rPr>
        <w:t xml:space="preserve"> estén </w:t>
      </w:r>
      <w:r w:rsidRPr="00BD40F9">
        <w:rPr>
          <w:rFonts w:ascii="Arial" w:hAnsi="Arial" w:eastAsia="Calibri" w:cs="Arial"/>
          <w:i/>
          <w:iCs/>
          <w:lang w:val="es-ES_tradnl"/>
        </w:rPr>
        <w:t>per se</w:t>
      </w:r>
      <w:r w:rsidRPr="00BD40F9">
        <w:rPr>
          <w:rFonts w:ascii="Arial" w:hAnsi="Arial" w:eastAsia="Calibri" w:cs="Arial"/>
          <w:lang w:val="es-ES_tradnl"/>
        </w:rPr>
        <w:t xml:space="preserve"> excluidos del deber de publicidad. </w:t>
      </w:r>
    </w:p>
    <w:bookmarkEnd w:id="9"/>
    <w:p w:rsidRPr="00BD40F9" w:rsidR="007D3434" w:rsidP="00835E90" w:rsidRDefault="007D3434" w14:paraId="6A72394E" w14:textId="63847DC8">
      <w:pPr>
        <w:spacing w:before="120" w:after="120" w:line="276" w:lineRule="auto"/>
        <w:ind w:firstLine="709"/>
        <w:jc w:val="both"/>
        <w:rPr>
          <w:rFonts w:ascii="Arial" w:hAnsi="Arial" w:eastAsia="Calibri" w:cs="Arial"/>
          <w:lang w:val="es-ES_tradnl"/>
        </w:rPr>
      </w:pPr>
      <w:r w:rsidRPr="00BD40F9">
        <w:rPr>
          <w:rFonts w:ascii="Arial" w:hAnsi="Arial" w:eastAsia="Calibri" w:cs="Arial"/>
          <w:lang w:val="es-ES_tradnl"/>
        </w:rPr>
        <w:t xml:space="preserve">Por lo tanto, para que las entidades exceptuadas cumplan con el deber de publicidad consagrado en el artículo 53 de la Ley 2195 de 2022, se requiere que publiquen en el SECOP II todo documento expedido durante las diferentes etapas del </w:t>
      </w:r>
      <w:r w:rsidR="00F41594">
        <w:rPr>
          <w:rFonts w:ascii="Arial" w:hAnsi="Arial" w:eastAsia="Calibri" w:cs="Arial"/>
          <w:lang w:val="es-ES_tradnl"/>
        </w:rPr>
        <w:t>proceso contractual</w:t>
      </w:r>
      <w:r w:rsidRPr="00BD40F9">
        <w:rPr>
          <w:rFonts w:ascii="Arial" w:hAnsi="Arial" w:eastAsia="Calibri" w:cs="Arial"/>
          <w:lang w:val="es-ES_tradnl"/>
        </w:rPr>
        <w:t xml:space="preserve">, abarcando desde la fase previa a su celebración, pasando por la ejecución y hasta la fase posterior a su ejecución. </w:t>
      </w:r>
    </w:p>
    <w:p w:rsidRPr="00BD40F9" w:rsidR="00F12475" w:rsidP="0054342F" w:rsidRDefault="007D3434" w14:paraId="76CED7B5" w14:textId="7AB0D999">
      <w:pPr>
        <w:spacing w:before="120" w:after="120" w:line="276" w:lineRule="auto"/>
        <w:ind w:firstLine="709"/>
        <w:jc w:val="both"/>
        <w:rPr>
          <w:rFonts w:ascii="Arial" w:hAnsi="Arial" w:eastAsia="Calibri" w:cs="Arial"/>
          <w:lang w:val="es-ES"/>
        </w:rPr>
      </w:pPr>
      <w:r w:rsidRPr="00BD40F9">
        <w:rPr>
          <w:rFonts w:ascii="Arial" w:hAnsi="Arial" w:eastAsia="Calibri" w:cs="Arial"/>
          <w:lang w:val="es-ES"/>
        </w:rPr>
        <w:t>Sin perjuicio de lo anterior, vale la pena aclarar que el cumplimiento del deber de publicación de la documentación contractual debe armonizarse con las normas aplicables al tipo de información que estas contienen</w:t>
      </w:r>
      <w:r w:rsidRPr="00BD40F9">
        <w:rPr>
          <w:rStyle w:val="Refdenotaalpie"/>
          <w:rFonts w:ascii="Arial" w:hAnsi="Arial" w:eastAsia="Calibri" w:cs="Arial"/>
          <w:lang w:val="es-ES"/>
        </w:rPr>
        <w:footnoteReference w:id="8"/>
      </w:r>
      <w:r w:rsidRPr="00BD40F9">
        <w:rPr>
          <w:rFonts w:ascii="Arial" w:hAnsi="Arial" w:eastAsia="Calibri" w:cs="Arial"/>
          <w:lang w:val="es-ES"/>
        </w:rPr>
        <w:t xml:space="preserve">. </w:t>
      </w:r>
    </w:p>
    <w:p w:rsidRPr="00BD40F9" w:rsidR="007D3434" w:rsidP="00835E90" w:rsidRDefault="007D3434" w14:paraId="098A8D00" w14:textId="40AF81B1">
      <w:pPr>
        <w:spacing w:before="120" w:after="120" w:line="276" w:lineRule="auto"/>
        <w:ind w:firstLine="709"/>
        <w:jc w:val="both"/>
        <w:rPr>
          <w:rFonts w:ascii="Arial" w:hAnsi="Arial" w:eastAsia="Calibri" w:cs="Arial"/>
          <w:lang w:val="es-ES_tradnl"/>
        </w:rPr>
      </w:pPr>
      <w:bookmarkStart w:name="_Hlk109111976" w:id="10"/>
      <w:r w:rsidRPr="00BD40F9">
        <w:rPr>
          <w:rFonts w:ascii="Arial" w:hAnsi="Arial" w:eastAsia="Calibri" w:cs="Arial"/>
          <w:lang w:val="es-ES_tradnl"/>
        </w:rPr>
        <w:t xml:space="preserve">Finalmente, el </w:t>
      </w:r>
      <w:r w:rsidRPr="00BD40F9" w:rsidR="009365D1">
        <w:rPr>
          <w:rFonts w:ascii="Arial" w:hAnsi="Arial" w:eastAsia="Calibri" w:cs="Arial"/>
          <w:lang w:val="es-ES_tradnl"/>
        </w:rPr>
        <w:t xml:space="preserve">inciso final del </w:t>
      </w:r>
      <w:r w:rsidRPr="00BD40F9">
        <w:rPr>
          <w:rFonts w:ascii="Arial" w:hAnsi="Arial" w:eastAsia="Calibri" w:cs="Arial"/>
          <w:lang w:val="es-ES_tradnl"/>
        </w:rPr>
        <w:t>artículo</w:t>
      </w:r>
      <w:r w:rsidRPr="00BD40F9" w:rsidR="009365D1">
        <w:rPr>
          <w:rFonts w:ascii="Arial" w:hAnsi="Arial" w:eastAsia="Calibri" w:cs="Arial"/>
          <w:lang w:val="es-ES_tradnl"/>
        </w:rPr>
        <w:t xml:space="preserve"> 53</w:t>
      </w:r>
      <w:r w:rsidRPr="00BD40F9">
        <w:rPr>
          <w:rFonts w:ascii="Arial" w:hAnsi="Arial" w:eastAsia="Calibri" w:cs="Arial"/>
          <w:lang w:val="es-ES_tradnl"/>
        </w:rPr>
        <w:t xml:space="preserve"> dispone que «A partir de la entrada en vigencia de la presente Ley, se establecerá un periodo de transición de seis (6) meses, para que las entidades den cumplimiento efectivo a lo aquí establecido». Es decir</w:t>
      </w:r>
      <w:r w:rsidRPr="00BD40F9" w:rsidR="00525A72">
        <w:rPr>
          <w:rFonts w:ascii="Arial" w:hAnsi="Arial" w:eastAsia="Calibri" w:cs="Arial"/>
          <w:lang w:val="es-ES_tradnl"/>
        </w:rPr>
        <w:t>,</w:t>
      </w:r>
      <w:r w:rsidRPr="00BD40F9">
        <w:rPr>
          <w:rFonts w:ascii="Arial" w:hAnsi="Arial" w:eastAsia="Calibri" w:cs="Arial"/>
          <w:lang w:val="es-ES_tradnl"/>
        </w:rPr>
        <w:t xml:space="preserve"> que se trata un período concedido por el Legislador a las entidades que tienen un régimen especial de contratación para adelantar las gestiones administrativas, técnicas y jurídicas pertinentes, a fin de cumplir lo establecido en el artículo </w:t>
      </w:r>
      <w:r w:rsidRPr="00BD40F9" w:rsidR="00525A72">
        <w:rPr>
          <w:rFonts w:ascii="Arial" w:hAnsi="Arial" w:eastAsia="Calibri" w:cs="Arial"/>
          <w:lang w:val="es-ES_tradnl"/>
        </w:rPr>
        <w:t>citado.</w:t>
      </w:r>
      <w:r w:rsidRPr="00BD40F9">
        <w:rPr>
          <w:rFonts w:ascii="Arial" w:hAnsi="Arial" w:eastAsia="Calibri" w:cs="Arial"/>
          <w:lang w:val="es-ES_tradnl"/>
        </w:rPr>
        <w:t xml:space="preserve"> Este período de transición va del 18 de enero al 18 de julio de 2022.</w:t>
      </w:r>
    </w:p>
    <w:bookmarkEnd w:id="10"/>
    <w:p w:rsidRPr="00BD40F9" w:rsidR="007D3434" w:rsidP="00ED2BA4" w:rsidRDefault="007D3434" w14:paraId="234FFC10" w14:textId="6D98B6DE">
      <w:pPr>
        <w:spacing w:after="0" w:line="276" w:lineRule="auto"/>
        <w:ind w:firstLine="709"/>
        <w:jc w:val="both"/>
        <w:rPr>
          <w:rFonts w:ascii="Arial" w:hAnsi="Arial" w:eastAsia="Calibri" w:cs="Arial"/>
          <w:lang w:val="es-ES_tradnl"/>
        </w:rPr>
      </w:pPr>
      <w:r w:rsidRPr="00BD40F9">
        <w:rPr>
          <w:rFonts w:ascii="Arial" w:hAnsi="Arial" w:eastAsia="Calibri" w:cs="Arial"/>
          <w:lang w:val="es-ES_tradn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w:t>
      </w:r>
      <w:r w:rsidR="00854BC7">
        <w:rPr>
          <w:rFonts w:ascii="Arial" w:hAnsi="Arial" w:eastAsia="Calibri" w:cs="Arial"/>
          <w:lang w:val="es-ES_tradnl"/>
        </w:rPr>
        <w:t>,</w:t>
      </w:r>
      <w:r w:rsidRPr="00BD40F9">
        <w:rPr>
          <w:rFonts w:ascii="Arial" w:hAnsi="Arial" w:eastAsia="Calibri" w:cs="Arial"/>
          <w:lang w:val="es-ES_tradnl"/>
        </w:rPr>
        <w:t xml:space="preserve"> el 18 de julio de 2022</w:t>
      </w:r>
      <w:r w:rsidR="00854BC7">
        <w:rPr>
          <w:rStyle w:val="Refdenotaalpie"/>
          <w:rFonts w:ascii="Arial" w:hAnsi="Arial" w:eastAsia="Calibri" w:cs="Arial"/>
          <w:lang w:val="es-ES_tradnl"/>
        </w:rPr>
        <w:footnoteReference w:id="9"/>
      </w:r>
      <w:r w:rsidRPr="00BD40F9">
        <w:rPr>
          <w:rFonts w:ascii="Arial" w:hAnsi="Arial" w:eastAsia="Calibri" w:cs="Arial"/>
          <w:lang w:val="es-ES_tradnl"/>
        </w:rPr>
        <w:t>.</w:t>
      </w:r>
      <w:r w:rsidR="00854BC7">
        <w:rPr>
          <w:rFonts w:ascii="Arial" w:hAnsi="Arial" w:eastAsia="Calibri" w:cs="Arial"/>
          <w:lang w:val="es-ES_tradnl"/>
        </w:rPr>
        <w:t xml:space="preserve"> </w:t>
      </w:r>
    </w:p>
    <w:p w:rsidRPr="00BD40F9" w:rsidR="00ED2BA4" w:rsidP="00A42AD1" w:rsidRDefault="00ED2BA4" w14:paraId="54A1E84C" w14:textId="77777777">
      <w:pPr>
        <w:spacing w:after="0" w:line="276" w:lineRule="auto"/>
        <w:ind w:firstLine="709"/>
        <w:contextualSpacing/>
        <w:jc w:val="both"/>
        <w:rPr>
          <w:rFonts w:ascii="Arial" w:hAnsi="Arial" w:eastAsia="Calibri" w:cs="Arial"/>
          <w:lang w:val="es-ES_tradnl"/>
        </w:rPr>
      </w:pPr>
    </w:p>
    <w:p w:rsidRPr="00BD40F9" w:rsidR="00EB5459" w:rsidP="00A42AD1" w:rsidRDefault="00EB5459" w14:paraId="24EC86D6" w14:textId="77777777">
      <w:pPr>
        <w:spacing w:after="0" w:line="276" w:lineRule="auto"/>
        <w:contextualSpacing/>
        <w:jc w:val="both"/>
        <w:rPr>
          <w:rFonts w:ascii="Arial" w:hAnsi="Arial" w:eastAsia="Calibri" w:cs="Arial"/>
          <w:b/>
          <w:bCs/>
          <w:lang w:val="es-ES_tradnl" w:eastAsia="es-ES_tradnl"/>
        </w:rPr>
      </w:pPr>
      <w:r w:rsidRPr="00BD40F9">
        <w:rPr>
          <w:rFonts w:ascii="Arial" w:hAnsi="Arial" w:eastAsia="Calibri" w:cs="Arial"/>
          <w:b/>
          <w:bCs/>
          <w:lang w:val="es-ES_tradnl" w:eastAsia="es-ES_tradnl"/>
        </w:rPr>
        <w:t xml:space="preserve">2.2. Uso del SECOP II por las entidades con </w:t>
      </w:r>
      <w:r w:rsidRPr="00BD40F9">
        <w:rPr>
          <w:rFonts w:ascii="Arial" w:hAnsi="Arial" w:eastAsia="Times New Roman" w:cs="Arial"/>
          <w:b/>
          <w:bCs/>
          <w:iCs/>
          <w:lang w:val="es-ES_tradnl" w:eastAsia="es-ES_tradnl"/>
        </w:rPr>
        <w:t>exceptuadas del Estatuto General de Contratación de la Administración Pública</w:t>
      </w:r>
    </w:p>
    <w:p w:rsidRPr="00BD40F9" w:rsidR="00EB5459" w:rsidP="00A42AD1" w:rsidRDefault="00EB5459" w14:paraId="20FD7744" w14:textId="77777777">
      <w:pPr>
        <w:spacing w:after="0" w:line="276" w:lineRule="auto"/>
        <w:contextualSpacing/>
        <w:jc w:val="both"/>
        <w:rPr>
          <w:rFonts w:ascii="Arial" w:hAnsi="Arial" w:eastAsia="Calibri" w:cs="Arial"/>
          <w:b/>
          <w:bCs/>
          <w:lang w:val="es-ES_tradnl" w:eastAsia="es-ES_tradnl"/>
        </w:rPr>
      </w:pPr>
    </w:p>
    <w:p w:rsidRPr="00BD40F9" w:rsidR="00EB5459" w:rsidP="002C7241" w:rsidRDefault="00EB5459" w14:paraId="36D53608" w14:textId="77777777">
      <w:pPr>
        <w:spacing w:after="120" w:line="276" w:lineRule="auto"/>
        <w:jc w:val="both"/>
        <w:rPr>
          <w:rFonts w:ascii="Arial" w:hAnsi="Arial" w:eastAsia="Calibri" w:cs="Arial"/>
          <w:lang w:val="es-ES_tradnl" w:eastAsia="es-ES_tradnl"/>
        </w:rPr>
      </w:pPr>
      <w:r w:rsidRPr="00BD40F9">
        <w:rPr>
          <w:rFonts w:ascii="Arial" w:hAnsi="Arial" w:eastAsia="Calibri" w:cs="Arial"/>
          <w:lang w:val="es-ES_tradnl" w:eastAsia="es-ES_tradnl"/>
        </w:rPr>
        <w:t>Con el propósito de garantizar el cumplimiento del mencionado deber de publicidad, la Agencia Nacional de Contratación Pública - Colombia Compra Eficiente, en su calidad de administrador del SECOP, en los términos establecidos en el numeral 8 del artículo 3 del Decreto-Ley 4170</w:t>
      </w:r>
      <w:r w:rsidRPr="00BD40F9">
        <w:rPr>
          <w:rFonts w:ascii="Arial" w:hAnsi="Arial" w:eastAsia="Calibri" w:cs="Arial"/>
          <w:vertAlign w:val="superscript"/>
          <w:lang w:val="es-ES_tradnl" w:eastAsia="es-ES_tradnl"/>
        </w:rPr>
        <w:footnoteReference w:id="10"/>
      </w:r>
      <w:r w:rsidRPr="00BD40F9">
        <w:rPr>
          <w:rFonts w:ascii="Arial" w:hAnsi="Arial" w:eastAsia="Calibri" w:cs="Arial"/>
          <w:lang w:val="es-ES_tradnl" w:eastAsia="es-ES_tradnl"/>
        </w:rPr>
        <w:t>, tiene dispuesto dos módulos para las entidades estatales con régimen especial, los cuales son:</w:t>
      </w:r>
    </w:p>
    <w:p w:rsidRPr="00BD40F9" w:rsidR="00EB5459" w:rsidP="002C7241" w:rsidRDefault="00EB5459" w14:paraId="2C86B1F1" w14:textId="77777777">
      <w:pPr>
        <w:numPr>
          <w:ilvl w:val="0"/>
          <w:numId w:val="3"/>
        </w:numPr>
        <w:spacing w:after="120" w:line="276" w:lineRule="auto"/>
        <w:jc w:val="both"/>
        <w:rPr>
          <w:rFonts w:ascii="Arial" w:hAnsi="Arial" w:cs="Arial"/>
          <w:u w:val="single"/>
          <w:lang w:val="es-MX" w:eastAsia="es-ES"/>
        </w:rPr>
      </w:pPr>
      <w:r w:rsidRPr="00BD40F9">
        <w:rPr>
          <w:rFonts w:ascii="Arial" w:hAnsi="Arial" w:eastAsia="Times New Roman" w:cs="Arial"/>
          <w:b/>
          <w:bCs/>
          <w:lang w:val="es-MX" w:eastAsia="es-ES"/>
        </w:rPr>
        <w:t>Contratación Régimen Especial (con ofertas)</w:t>
      </w:r>
      <w:r w:rsidRPr="00BD40F9">
        <w:rPr>
          <w:rFonts w:ascii="Arial" w:hAnsi="Arial" w:eastAsia="Calibri" w:cs="Arial"/>
          <w:iCs/>
          <w:vertAlign w:val="superscript"/>
          <w:lang w:val="es-ES"/>
        </w:rPr>
        <w:footnoteReference w:id="11"/>
      </w:r>
      <w:r w:rsidRPr="00BD40F9">
        <w:rPr>
          <w:rFonts w:ascii="Arial" w:hAnsi="Arial" w:eastAsia="Times New Roman" w:cs="Arial"/>
          <w:b/>
          <w:bCs/>
          <w:lang w:val="es-MX" w:eastAsia="es-ES"/>
        </w:rPr>
        <w:t>:</w:t>
      </w:r>
      <w:r w:rsidRPr="00BD40F9">
        <w:rPr>
          <w:rFonts w:ascii="Arial" w:hAnsi="Arial" w:eastAsia="Times New Roman" w:cs="Arial"/>
          <w:lang w:val="es-MX" w:eastAsia="es-ES"/>
        </w:rPr>
        <w:t xml:space="preserve"> Permite a las entidades gestionar sus procesos competitivos de contratación. Mediante este módulo las entidades pueden adelantar el proceso de contratación de manera transaccional, es decir, que </w:t>
      </w:r>
      <w:r w:rsidRPr="00BD40F9">
        <w:rPr>
          <w:rFonts w:ascii="Arial" w:hAnsi="Arial" w:eastAsia="Times New Roman" w:cs="Arial"/>
          <w:lang w:val="es-MX" w:eastAsia="es-CO"/>
        </w:rPr>
        <w:t xml:space="preserve">a través de este módulo las entidades estatales pueden estructurar el proceso de contratación, recibir ofertas de los proveedores, generar el contrato de electrónico y realizar la gestión contractual. </w:t>
      </w:r>
    </w:p>
    <w:p w:rsidRPr="00992653" w:rsidR="00992653" w:rsidP="008F04CD" w:rsidRDefault="00EB5459" w14:paraId="5F434696" w14:textId="16AC5F42">
      <w:pPr>
        <w:numPr>
          <w:ilvl w:val="0"/>
          <w:numId w:val="3"/>
        </w:numPr>
        <w:spacing w:after="120" w:line="276" w:lineRule="auto"/>
        <w:jc w:val="both"/>
        <w:rPr>
          <w:rFonts w:ascii="Arial" w:hAnsi="Arial" w:cs="Arial"/>
          <w:u w:val="single"/>
          <w:lang w:val="es-MX" w:eastAsia="es-ES"/>
        </w:rPr>
      </w:pPr>
      <w:r w:rsidRPr="00BD40F9">
        <w:rPr>
          <w:rFonts w:ascii="Arial" w:hAnsi="Arial" w:eastAsia="Times New Roman" w:cs="Arial"/>
          <w:b/>
          <w:bCs/>
          <w:lang w:val="es-MX" w:eastAsia="es-ES"/>
        </w:rPr>
        <w:t>Contratación Régimen Especial (sin ofertas)</w:t>
      </w:r>
      <w:r w:rsidRPr="00BD40F9">
        <w:rPr>
          <w:rFonts w:ascii="Arial" w:hAnsi="Arial" w:eastAsia="Calibri" w:cs="Arial"/>
          <w:iCs/>
          <w:vertAlign w:val="superscript"/>
          <w:lang w:val="es-ES"/>
        </w:rPr>
        <w:footnoteReference w:id="12"/>
      </w:r>
      <w:r w:rsidRPr="00BD40F9">
        <w:rPr>
          <w:rFonts w:ascii="Arial" w:hAnsi="Arial" w:eastAsia="Times New Roman" w:cs="Arial"/>
          <w:b/>
          <w:bCs/>
          <w:lang w:val="es-MX" w:eastAsia="es-ES"/>
        </w:rPr>
        <w:t>:</w:t>
      </w:r>
      <w:r w:rsidRPr="00BD40F9">
        <w:rPr>
          <w:rFonts w:ascii="Arial" w:hAnsi="Arial" w:eastAsia="Times New Roman" w:cs="Arial"/>
          <w:lang w:val="es-MX" w:eastAsia="es-ES"/>
        </w:rPr>
        <w:t xml:space="preserve"> Este módulo permite a las entidades gestionar sus procesos de selección directos. Asimismo, este módulo </w:t>
      </w:r>
      <w:r w:rsidRPr="00BD40F9">
        <w:rPr>
          <w:rFonts w:ascii="Arial" w:hAnsi="Arial" w:cs="Arial"/>
          <w:lang w:val="es-MX"/>
        </w:rPr>
        <w:t xml:space="preserve">permite estructurar los procesos de contratación, publicar documentos generados por fuera de la plataforma y realizar la gestión contractual en línea. </w:t>
      </w:r>
    </w:p>
    <w:p w:rsidRPr="00BD40F9" w:rsidR="00EB5459" w:rsidP="008F04CD" w:rsidRDefault="00EB5459" w14:paraId="563EDCCC" w14:textId="77777777">
      <w:pPr>
        <w:autoSpaceDE w:val="0"/>
        <w:autoSpaceDN w:val="0"/>
        <w:adjustRightInd w:val="0"/>
        <w:spacing w:after="120" w:line="276" w:lineRule="auto"/>
        <w:ind w:firstLine="708"/>
        <w:jc w:val="both"/>
        <w:rPr>
          <w:rFonts w:ascii="Arial" w:hAnsi="Arial" w:eastAsia="Calibri" w:cs="Arial"/>
          <w:iCs/>
          <w:lang w:val="es-ES" w:eastAsia="es-ES_tradnl"/>
        </w:rPr>
      </w:pPr>
      <w:r w:rsidRPr="00BD40F9">
        <w:rPr>
          <w:rFonts w:ascii="Arial" w:hAnsi="Arial" w:eastAsia="Calibri" w:cs="Arial"/>
          <w:iCs/>
          <w:lang w:val="es-ES" w:eastAsia="es-ES_tradnl"/>
        </w:rPr>
        <w:t xml:space="preserve">Ahora bien, </w:t>
      </w:r>
      <w:bookmarkStart w:name="_Hlk109112150" w:id="11"/>
      <w:r w:rsidRPr="00BD40F9">
        <w:rPr>
          <w:rFonts w:ascii="Arial" w:hAnsi="Arial" w:eastAsia="Calibri" w:cs="Arial"/>
          <w:iCs/>
          <w:lang w:val="es-ES" w:eastAsia="es-ES_tradnl"/>
        </w:rPr>
        <w:t>dado que el artículo 53 de la Ley 2195 de 2022 no cambió la forma en que se perfeccionan los contratos suscritos por estas entidades exceptuadas, para cumplir con el deber de publicidad que les asiste, estas podrán elegir cualquiera de las siguientes opciones:</w:t>
      </w:r>
    </w:p>
    <w:p w:rsidRPr="00BD40F9" w:rsidR="00EB5459" w:rsidP="002C7241" w:rsidRDefault="00EB5459" w14:paraId="44A9510E" w14:textId="77777777">
      <w:pPr>
        <w:numPr>
          <w:ilvl w:val="0"/>
          <w:numId w:val="2"/>
        </w:numPr>
        <w:autoSpaceDE w:val="0"/>
        <w:autoSpaceDN w:val="0"/>
        <w:adjustRightInd w:val="0"/>
        <w:spacing w:after="120" w:line="276" w:lineRule="auto"/>
        <w:jc w:val="both"/>
        <w:rPr>
          <w:rFonts w:ascii="Arial" w:hAnsi="Arial" w:eastAsia="Calibri" w:cs="Arial"/>
          <w:iCs/>
          <w:lang w:val="es-ES"/>
        </w:rPr>
      </w:pPr>
      <w:r w:rsidRPr="00BD40F9">
        <w:rPr>
          <w:rFonts w:ascii="Arial" w:hAnsi="Arial" w:cs="Arial"/>
          <w:lang w:val="es-ES"/>
        </w:rPr>
        <w:t>F</w:t>
      </w:r>
      <w:r w:rsidRPr="00BD40F9">
        <w:rPr>
          <w:rFonts w:ascii="Arial" w:hAnsi="Arial" w:cs="Arial"/>
          <w:lang w:val="es-MX"/>
        </w:rPr>
        <w:t>irmar el contrato electrónicamente, es decir, realizar un uso transaccional de la plataforma.</w:t>
      </w:r>
    </w:p>
    <w:p w:rsidRPr="00BD40F9" w:rsidR="00EB5459" w:rsidP="002C7241" w:rsidRDefault="00EB5459" w14:paraId="2E9762D9" w14:textId="77777777">
      <w:pPr>
        <w:numPr>
          <w:ilvl w:val="0"/>
          <w:numId w:val="2"/>
        </w:numPr>
        <w:autoSpaceDE w:val="0"/>
        <w:autoSpaceDN w:val="0"/>
        <w:adjustRightInd w:val="0"/>
        <w:spacing w:after="120" w:line="276" w:lineRule="auto"/>
        <w:jc w:val="both"/>
        <w:rPr>
          <w:rFonts w:ascii="Arial" w:hAnsi="Arial" w:cs="Arial"/>
          <w:lang w:val="es-MX"/>
        </w:rPr>
      </w:pPr>
      <w:r w:rsidRPr="00BD40F9">
        <w:rPr>
          <w:rFonts w:ascii="Arial" w:hAnsi="Arial" w:cs="Arial"/>
          <w:lang w:val="es-MX"/>
        </w:rPr>
        <w:t>Firmar el contrato en físico y publica los documentos de ejecución en la etapa precontractual del SECOP II, es decir, realizar un uso publicitario de la plataforma.</w:t>
      </w:r>
    </w:p>
    <w:p w:rsidRPr="00BD40F9" w:rsidR="00EB5459" w:rsidP="008F04CD" w:rsidRDefault="00EB5459" w14:paraId="00B7F3BB" w14:textId="3EB0D0C4">
      <w:pPr>
        <w:autoSpaceDE w:val="0"/>
        <w:autoSpaceDN w:val="0"/>
        <w:adjustRightInd w:val="0"/>
        <w:spacing w:after="120" w:line="276" w:lineRule="auto"/>
        <w:ind w:firstLine="708"/>
        <w:jc w:val="both"/>
        <w:rPr>
          <w:rFonts w:ascii="Arial" w:hAnsi="Arial" w:eastAsia="Times New Roman" w:cs="Arial"/>
          <w:lang w:eastAsia="es-ES_tradnl"/>
        </w:rPr>
      </w:pPr>
      <w:r w:rsidRPr="00BD40F9">
        <w:rPr>
          <w:rFonts w:ascii="Arial" w:hAnsi="Arial" w:eastAsia="Times New Roman" w:cs="Arial"/>
          <w:lang w:eastAsia="es-ES_tradnl"/>
        </w:rPr>
        <w:t xml:space="preserve">En el primer caso, si la entidad opta por hacer uso de la plataforma de manera transaccional (firmando el contrato electrónicamente), deberá utilizar el módulo de </w:t>
      </w:r>
      <w:r w:rsidR="00AE0F7B">
        <w:rPr>
          <w:rFonts w:ascii="Arial" w:hAnsi="Arial" w:eastAsia="Times New Roman" w:cs="Arial"/>
          <w:lang w:eastAsia="es-ES_tradnl"/>
        </w:rPr>
        <w:t>«</w:t>
      </w:r>
      <w:r w:rsidRPr="00BD40F9">
        <w:rPr>
          <w:rFonts w:ascii="Arial" w:hAnsi="Arial" w:eastAsia="Times New Roman" w:cs="Arial"/>
          <w:lang w:eastAsia="es-ES_tradnl"/>
        </w:rPr>
        <w:t>Contratación Régimen Especial</w:t>
      </w:r>
      <w:r w:rsidR="00AE0F7B">
        <w:rPr>
          <w:rFonts w:ascii="Arial" w:hAnsi="Arial" w:eastAsia="Times New Roman" w:cs="Arial"/>
          <w:lang w:eastAsia="es-ES_tradnl"/>
        </w:rPr>
        <w:t>»</w:t>
      </w:r>
      <w:r w:rsidRPr="00BD40F9">
        <w:rPr>
          <w:rFonts w:ascii="Arial" w:hAnsi="Arial" w:eastAsia="Times New Roman" w:cs="Arial"/>
          <w:lang w:eastAsia="es-ES_tradnl"/>
        </w:rPr>
        <w:t>, estructurar el proceso de contratación, generar el contrato electrónico y realizar la gestión contractual en línea a través de la plataforma.</w:t>
      </w:r>
    </w:p>
    <w:p w:rsidRPr="00BD40F9" w:rsidR="00EB5459" w:rsidP="002C7241" w:rsidRDefault="00EB5459" w14:paraId="2C0DF8B1" w14:textId="29924EDD">
      <w:pPr>
        <w:autoSpaceDE w:val="0"/>
        <w:autoSpaceDN w:val="0"/>
        <w:adjustRightInd w:val="0"/>
        <w:spacing w:after="120" w:line="276" w:lineRule="auto"/>
        <w:ind w:firstLine="357"/>
        <w:jc w:val="both"/>
        <w:rPr>
          <w:rFonts w:ascii="Arial" w:hAnsi="Arial" w:eastAsia="Times New Roman" w:cs="Arial"/>
          <w:lang w:eastAsia="es-ES_tradnl"/>
        </w:rPr>
      </w:pPr>
      <w:r w:rsidRPr="00BD40F9">
        <w:rPr>
          <w:rFonts w:ascii="Arial" w:hAnsi="Arial" w:eastAsia="Times New Roman" w:cs="Arial"/>
          <w:lang w:eastAsia="es-ES_tradnl"/>
        </w:rPr>
        <w:t xml:space="preserve">En el segundo caso, si decide utilizar el SECOP II como herramienta de publicidad, deberá crear el proceso de contratación en el SECOP II mediante el módulo </w:t>
      </w:r>
      <w:r w:rsidR="00AE0F7B">
        <w:rPr>
          <w:rFonts w:ascii="Arial" w:hAnsi="Arial" w:eastAsia="Times New Roman" w:cs="Arial"/>
          <w:lang w:eastAsia="es-ES_tradnl"/>
        </w:rPr>
        <w:t>«</w:t>
      </w:r>
      <w:r w:rsidRPr="00BD40F9">
        <w:rPr>
          <w:rFonts w:ascii="Arial" w:hAnsi="Arial" w:eastAsia="Times New Roman" w:cs="Arial"/>
          <w:i/>
          <w:iCs/>
          <w:lang w:eastAsia="es-ES_tradnl"/>
        </w:rPr>
        <w:t>Contratación Régimen Especial (sin ofertas)</w:t>
      </w:r>
      <w:r w:rsidR="00AE0F7B">
        <w:rPr>
          <w:rFonts w:ascii="Arial" w:hAnsi="Arial" w:eastAsia="Times New Roman" w:cs="Arial"/>
          <w:i/>
          <w:iCs/>
          <w:lang w:eastAsia="es-ES_tradnl"/>
        </w:rPr>
        <w:t>»</w:t>
      </w:r>
      <w:r w:rsidRPr="00BD40F9">
        <w:rPr>
          <w:rFonts w:ascii="Arial" w:hAnsi="Arial" w:eastAsia="Times New Roman" w:cs="Arial"/>
          <w:lang w:eastAsia="es-ES_tradnl"/>
        </w:rPr>
        <w:t>, cargar todos los documentos del proceso en la sección dispuesta para ello y publicar el proceso. La publicación de los documentos de la gestión contractual, incluido el contrato firmado manuscritamente, se debe realizar mediante modificaciones al proceso a través de la opción “Modificaciones/Adendas”. Sin embargo, las entidades públicas deberán tener en cuenta que</w:t>
      </w:r>
      <w:r w:rsidR="00ED4094">
        <w:rPr>
          <w:rFonts w:ascii="Arial" w:hAnsi="Arial" w:eastAsia="Times New Roman" w:cs="Arial"/>
          <w:lang w:eastAsia="es-ES_tradnl"/>
        </w:rPr>
        <w:t xml:space="preserve"> </w:t>
      </w:r>
      <w:r w:rsidRPr="00BD40F9">
        <w:rPr>
          <w:rFonts w:ascii="Arial" w:hAnsi="Arial" w:eastAsia="Times New Roman" w:cs="Arial"/>
          <w:lang w:eastAsia="es-ES_tradnl"/>
        </w:rPr>
        <w:t>si utilizan esta opción, no deben dar clic en “</w:t>
      </w:r>
      <w:r w:rsidRPr="00BD40F9">
        <w:rPr>
          <w:rFonts w:ascii="Arial" w:hAnsi="Arial" w:eastAsia="Times New Roman" w:cs="Arial"/>
          <w:i/>
          <w:iCs/>
          <w:lang w:eastAsia="es-ES_tradnl"/>
        </w:rPr>
        <w:t>Finalizar</w:t>
      </w:r>
      <w:r w:rsidRPr="00BD40F9">
        <w:rPr>
          <w:rFonts w:ascii="Arial" w:hAnsi="Arial" w:eastAsia="Times New Roman" w:cs="Arial"/>
          <w:lang w:eastAsia="es-ES_tradnl"/>
        </w:rPr>
        <w:t>” después de publicar el proceso, en tanto que la plataforma cierra el expediente y no permite la publicación posterior de ningún otro documento.</w:t>
      </w:r>
    </w:p>
    <w:bookmarkEnd w:id="11"/>
    <w:p w:rsidRPr="00BD40F9" w:rsidR="007B33BE" w:rsidP="002C7241" w:rsidRDefault="00AE0F7B" w14:paraId="39E19356" w14:textId="47EA54B3">
      <w:pPr>
        <w:spacing w:after="120" w:line="276" w:lineRule="auto"/>
        <w:ind w:firstLine="709"/>
        <w:jc w:val="both"/>
        <w:rPr>
          <w:rFonts w:ascii="Arial" w:hAnsi="Arial" w:eastAsia="Calibri" w:cs="Arial"/>
          <w:lang w:val="es-ES_tradnl"/>
        </w:rPr>
      </w:pPr>
      <w:r>
        <w:rPr>
          <w:rFonts w:ascii="Arial" w:hAnsi="Arial" w:eastAsia="Calibri" w:cs="Arial"/>
          <w:lang w:val="es-ES_tradnl" w:eastAsia="es-ES_tradnl"/>
        </w:rPr>
        <w:t>Ahora bien, re</w:t>
      </w:r>
      <w:r w:rsidRPr="00BD40F9" w:rsidR="00CA614F">
        <w:rPr>
          <w:rFonts w:ascii="Arial" w:hAnsi="Arial" w:eastAsia="Calibri" w:cs="Arial"/>
          <w:lang w:val="es-ES_tradnl" w:eastAsia="es-ES_tradnl"/>
        </w:rPr>
        <w:t xml:space="preserve">specto al término para publicar los documentos en el SECOP II, </w:t>
      </w:r>
      <w:r w:rsidRPr="00BD40F9" w:rsidR="007B33BE">
        <w:rPr>
          <w:rFonts w:ascii="Arial" w:hAnsi="Arial" w:eastAsia="Calibri" w:cs="Arial"/>
          <w:lang w:val="es-ES_tradnl" w:eastAsia="es-ES_tradnl"/>
        </w:rPr>
        <w:t>debe señalarse</w:t>
      </w:r>
      <w:r w:rsidR="000F6E43">
        <w:rPr>
          <w:rFonts w:ascii="Arial" w:hAnsi="Arial" w:eastAsia="Calibri" w:cs="Arial"/>
          <w:lang w:val="es-ES_tradnl" w:eastAsia="es-ES_tradnl"/>
        </w:rPr>
        <w:t>,</w:t>
      </w:r>
      <w:r w:rsidRPr="00BD40F9" w:rsidR="007B33BE">
        <w:rPr>
          <w:rFonts w:ascii="Arial" w:hAnsi="Arial" w:eastAsia="Calibri" w:cs="Arial"/>
          <w:lang w:val="es-ES_tradnl" w:eastAsia="es-ES_tradnl"/>
        </w:rPr>
        <w:t xml:space="preserve"> tal y como se expuso en el numeral anterior,</w:t>
      </w:r>
      <w:r w:rsidR="000F6E43">
        <w:rPr>
          <w:rFonts w:ascii="Arial" w:hAnsi="Arial" w:eastAsia="Calibri" w:cs="Arial"/>
          <w:lang w:val="es-ES_tradnl" w:eastAsia="es-ES_tradnl"/>
        </w:rPr>
        <w:t xml:space="preserve"> que</w:t>
      </w:r>
      <w:r w:rsidRPr="00BD40F9" w:rsidR="007B33BE">
        <w:rPr>
          <w:rFonts w:ascii="Arial" w:hAnsi="Arial" w:eastAsia="Calibri" w:cs="Arial"/>
          <w:lang w:val="es-ES_tradnl" w:eastAsia="es-ES_tradnl"/>
        </w:rPr>
        <w:t xml:space="preserve"> </w:t>
      </w:r>
      <w:r w:rsidRPr="00BD40F9" w:rsidR="00A90047">
        <w:rPr>
          <w:rFonts w:ascii="Arial" w:hAnsi="Arial" w:eastAsia="Calibri" w:cs="Arial"/>
          <w:lang w:val="es-ES"/>
        </w:rPr>
        <w:t xml:space="preserve">el deber de publicar los documentos relacionados con la contratación </w:t>
      </w:r>
      <w:r>
        <w:rPr>
          <w:rFonts w:ascii="Arial" w:hAnsi="Arial" w:eastAsia="Calibri" w:cs="Arial"/>
          <w:lang w:val="es-ES"/>
        </w:rPr>
        <w:t xml:space="preserve">también </w:t>
      </w:r>
      <w:r w:rsidRPr="00BD40F9" w:rsidR="007B33BE">
        <w:rPr>
          <w:rFonts w:ascii="Arial" w:hAnsi="Arial" w:eastAsia="Calibri" w:cs="Arial"/>
          <w:lang w:val="es-ES"/>
        </w:rPr>
        <w:t xml:space="preserve">se </w:t>
      </w:r>
      <w:r w:rsidRPr="00BD40F9" w:rsidR="00A90047">
        <w:rPr>
          <w:rFonts w:ascii="Arial" w:hAnsi="Arial" w:eastAsia="Calibri" w:cs="Arial"/>
          <w:lang w:val="es-ES"/>
        </w:rPr>
        <w:t xml:space="preserve">encuentra regulado </w:t>
      </w:r>
      <w:r w:rsidRPr="00BD40F9" w:rsidR="007B33BE">
        <w:rPr>
          <w:rFonts w:ascii="Arial" w:hAnsi="Arial" w:eastAsia="Calibri" w:cs="Arial"/>
          <w:lang w:val="es-ES"/>
        </w:rPr>
        <w:t>en</w:t>
      </w:r>
      <w:r w:rsidRPr="00BD40F9" w:rsidR="00A90047">
        <w:rPr>
          <w:rFonts w:ascii="Arial" w:hAnsi="Arial" w:eastAsia="Calibri" w:cs="Arial"/>
          <w:lang w:val="es-ES"/>
        </w:rPr>
        <w:t xml:space="preserve"> la Ley 1712 de 2014, </w:t>
      </w:r>
      <w:r w:rsidRPr="00BD40F9" w:rsidR="007B33BE">
        <w:rPr>
          <w:rFonts w:ascii="Arial" w:hAnsi="Arial" w:eastAsia="Calibri" w:cs="Arial"/>
          <w:lang w:val="es-ES"/>
        </w:rPr>
        <w:t>que</w:t>
      </w:r>
      <w:r w:rsidRPr="00BD40F9" w:rsidR="00A90047">
        <w:rPr>
          <w:rFonts w:ascii="Arial" w:hAnsi="Arial" w:eastAsia="Calibri" w:cs="Arial"/>
          <w:lang w:val="es-ES"/>
        </w:rPr>
        <w:t xml:space="preserve">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w:t>
      </w:r>
      <w:r w:rsidR="00ED4094">
        <w:rPr>
          <w:rFonts w:ascii="Arial" w:hAnsi="Arial" w:eastAsia="Calibri" w:cs="Arial"/>
          <w:lang w:val="es-ES"/>
        </w:rPr>
        <w:t xml:space="preserve"> </w:t>
      </w:r>
      <w:r w:rsidRPr="00BD40F9" w:rsidR="00A90047">
        <w:rPr>
          <w:rFonts w:ascii="Arial" w:hAnsi="Arial" w:eastAsia="Calibri" w:cs="Arial"/>
          <w:lang w:val="es-ES"/>
        </w:rPr>
        <w:t xml:space="preserve">en el artículo 2.1.1.2.1.7, que las entidades deberán publicar en el SECOP </w:t>
      </w:r>
      <w:r w:rsidRPr="00BD40F9" w:rsidR="00A90047">
        <w:rPr>
          <w:rFonts w:ascii="Arial" w:hAnsi="Arial" w:cs="Arial"/>
          <w:lang w:val="es-ES"/>
        </w:rPr>
        <w:t>la información de su gestión contractual</w:t>
      </w:r>
      <w:r w:rsidRPr="00BD40F9" w:rsidR="00A90047">
        <w:rPr>
          <w:rStyle w:val="Refdenotaalpie"/>
          <w:rFonts w:ascii="Arial" w:hAnsi="Arial" w:cs="Arial"/>
          <w:lang w:val="es-ES"/>
        </w:rPr>
        <w:footnoteReference w:id="13"/>
      </w:r>
      <w:r w:rsidRPr="00BD40F9" w:rsidR="00A90047">
        <w:rPr>
          <w:rFonts w:ascii="Arial" w:hAnsi="Arial" w:eastAsia="Calibri" w:cs="Arial"/>
          <w:lang w:val="es-ES"/>
        </w:rPr>
        <w:t xml:space="preserve">. </w:t>
      </w:r>
      <w:r w:rsidRPr="00BD40F9" w:rsidR="002C7241">
        <w:rPr>
          <w:rFonts w:ascii="Arial" w:hAnsi="Arial" w:eastAsia="Calibri" w:cs="Arial"/>
          <w:lang w:val="es-ES"/>
        </w:rPr>
        <w:t xml:space="preserve">Asimismo, este precepto consagra que: </w:t>
      </w:r>
      <w:r w:rsidRPr="00BD40F9" w:rsidR="007B33BE">
        <w:rPr>
          <w:rFonts w:ascii="Arial" w:hAnsi="Arial" w:eastAsia="Calibri" w:cs="Arial"/>
          <w:lang w:val="es-ES"/>
        </w:rPr>
        <w:t xml:space="preserve">«De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En armonía con lo anterior, el inciso segundo de dicho artículo precisa el momento para realizar la publicación, remitiendo al mismo plazo establecido en el artículo 2.2.1.1.1.7.1 del Decreto 1082 de 2015, esto es, dentro de los </w:t>
      </w:r>
      <w:r w:rsidRPr="00BD40F9" w:rsidR="002C7241">
        <w:rPr>
          <w:rFonts w:ascii="Arial" w:hAnsi="Arial" w:eastAsia="Calibri" w:cs="Arial"/>
          <w:lang w:val="es-ES"/>
        </w:rPr>
        <w:t>tres (</w:t>
      </w:r>
      <w:r w:rsidRPr="00BD40F9" w:rsidR="007B33BE">
        <w:rPr>
          <w:rFonts w:ascii="Arial" w:hAnsi="Arial" w:eastAsia="Calibri" w:cs="Arial"/>
          <w:lang w:val="es-ES"/>
        </w:rPr>
        <w:t>3</w:t>
      </w:r>
      <w:r w:rsidRPr="00BD40F9" w:rsidR="002C7241">
        <w:rPr>
          <w:rFonts w:ascii="Arial" w:hAnsi="Arial" w:eastAsia="Calibri" w:cs="Arial"/>
          <w:lang w:val="es-ES"/>
        </w:rPr>
        <w:t>)</w:t>
      </w:r>
      <w:r w:rsidRPr="00BD40F9" w:rsidR="007B33BE">
        <w:rPr>
          <w:rFonts w:ascii="Arial" w:hAnsi="Arial" w:eastAsia="Calibri" w:cs="Arial"/>
          <w:lang w:val="es-ES"/>
        </w:rPr>
        <w:t xml:space="preserve"> días siguientes a la expedición del documento. En efecto, el inciso indicado establece: «Los sujetos obligados que contratan con cargo a recursos públicos deben publicar la información de su gestión contractual en el plazo previsto en el artículo 19 del Decreto 1510 de 2013, o el que lo modifique, sustituya o adicione». Cabe aclarar que el artículo 19 indicado fue compilado en el artículo 2.2.1.1.1.7.1 del Decreto 1082 de 2015. </w:t>
      </w:r>
    </w:p>
    <w:p w:rsidRPr="00BD40F9" w:rsidR="00FB17D4" w:rsidP="00A42AD1" w:rsidRDefault="00C62964" w14:paraId="00194475" w14:textId="2359FCBB">
      <w:pPr>
        <w:spacing w:after="0" w:line="276" w:lineRule="auto"/>
        <w:ind w:firstLine="709"/>
        <w:contextualSpacing/>
        <w:jc w:val="both"/>
        <w:rPr>
          <w:rFonts w:ascii="Arial" w:hAnsi="Arial" w:eastAsia="Calibri" w:cs="Arial"/>
          <w:lang w:val="es-ES_tradnl" w:eastAsia="es-ES_tradnl"/>
        </w:rPr>
      </w:pPr>
      <w:r>
        <w:rPr>
          <w:rFonts w:ascii="Arial" w:hAnsi="Arial" w:eastAsia="Calibri" w:cs="Arial"/>
          <w:lang w:val="es-ES_tradnl" w:eastAsia="es-ES_tradnl"/>
        </w:rPr>
        <w:t>E</w:t>
      </w:r>
      <w:r w:rsidR="00B97C44">
        <w:rPr>
          <w:rFonts w:ascii="Arial" w:hAnsi="Arial" w:eastAsia="Calibri" w:cs="Arial"/>
          <w:lang w:val="es-ES_tradnl" w:eastAsia="es-ES_tradnl"/>
        </w:rPr>
        <w:t>n armonía con lo anterior,</w:t>
      </w:r>
      <w:r w:rsidRPr="00BD40F9" w:rsidR="00F52E98">
        <w:rPr>
          <w:rFonts w:ascii="Arial" w:hAnsi="Arial" w:eastAsia="Calibri" w:cs="Arial"/>
          <w:lang w:val="es-ES_tradnl" w:eastAsia="es-ES_tradnl"/>
        </w:rPr>
        <w:t xml:space="preserve"> </w:t>
      </w:r>
      <w:r w:rsidRPr="00BD40F9" w:rsidR="00F52E98">
        <w:rPr>
          <w:rFonts w:ascii="Arial" w:hAnsi="Arial" w:eastAsia="Calibri" w:cs="Arial"/>
          <w:lang w:val="es-ES"/>
        </w:rPr>
        <w:t>la Circular 002 del 1 de junio de 2022</w:t>
      </w:r>
      <w:r w:rsidRPr="00BD40F9" w:rsidR="00F52E98">
        <w:rPr>
          <w:rStyle w:val="Refdenotaalpie"/>
          <w:rFonts w:ascii="Arial" w:hAnsi="Arial" w:eastAsia="Calibri" w:cs="Arial"/>
          <w:lang w:val="es-ES"/>
        </w:rPr>
        <w:footnoteReference w:id="14"/>
      </w:r>
      <w:r w:rsidRPr="00BD40F9" w:rsidR="00F52E98">
        <w:rPr>
          <w:rFonts w:ascii="Arial" w:hAnsi="Arial" w:eastAsia="Calibri" w:cs="Arial"/>
          <w:lang w:val="es-ES"/>
        </w:rPr>
        <w:t>,</w:t>
      </w:r>
      <w:r w:rsidR="0008094E">
        <w:rPr>
          <w:rFonts w:ascii="Arial" w:hAnsi="Arial" w:eastAsia="Calibri" w:cs="Arial"/>
          <w:lang w:val="es-ES"/>
        </w:rPr>
        <w:t xml:space="preserve"> relacionada con la aplicación del artículo 53 de la Ley 2195 de 2022,</w:t>
      </w:r>
      <w:r w:rsidRPr="00BD40F9" w:rsidR="00F52E98">
        <w:rPr>
          <w:rFonts w:ascii="Arial" w:hAnsi="Arial" w:eastAsia="Calibri" w:cs="Arial"/>
          <w:lang w:val="es-ES"/>
        </w:rPr>
        <w:t xml:space="preserve"> dictada por el Departamento Administrativo de la Presidencia</w:t>
      </w:r>
      <w:r w:rsidR="0008094E">
        <w:rPr>
          <w:rFonts w:ascii="Arial" w:hAnsi="Arial" w:eastAsia="Calibri" w:cs="Arial"/>
          <w:lang w:val="es-ES"/>
        </w:rPr>
        <w:t>,</w:t>
      </w:r>
      <w:r w:rsidRPr="00BD40F9" w:rsidR="00F52E98">
        <w:rPr>
          <w:rFonts w:ascii="Arial" w:hAnsi="Arial" w:eastAsia="Calibri" w:cs="Arial"/>
          <w:lang w:val="es-ES"/>
        </w:rPr>
        <w:t xml:space="preserve"> en relación con el plazo para cargar los documentos </w:t>
      </w:r>
      <w:r w:rsidR="0008094E">
        <w:rPr>
          <w:rFonts w:ascii="Arial" w:hAnsi="Arial" w:eastAsia="Calibri" w:cs="Arial"/>
          <w:lang w:val="es-ES"/>
        </w:rPr>
        <w:t>señaló lo sigu</w:t>
      </w:r>
      <w:r w:rsidR="00446ED1">
        <w:rPr>
          <w:rFonts w:ascii="Arial" w:hAnsi="Arial" w:eastAsia="Calibri" w:cs="Arial"/>
          <w:lang w:val="es-ES"/>
        </w:rPr>
        <w:t>ie</w:t>
      </w:r>
      <w:r w:rsidR="0008094E">
        <w:rPr>
          <w:rFonts w:ascii="Arial" w:hAnsi="Arial" w:eastAsia="Calibri" w:cs="Arial"/>
          <w:lang w:val="es-ES"/>
        </w:rPr>
        <w:t>nte</w:t>
      </w:r>
      <w:r w:rsidRPr="00BD40F9" w:rsidR="00FB17D4">
        <w:rPr>
          <w:rFonts w:ascii="Arial" w:hAnsi="Arial" w:eastAsia="Calibri" w:cs="Arial"/>
          <w:lang w:val="es-ES_tradnl" w:eastAsia="es-ES_tradnl"/>
        </w:rPr>
        <w:t>:</w:t>
      </w:r>
    </w:p>
    <w:p w:rsidRPr="00BD40F9" w:rsidR="00A42AD1" w:rsidP="002C7241" w:rsidRDefault="00A42AD1" w14:paraId="1176EFF6" w14:textId="77777777">
      <w:pPr>
        <w:spacing w:after="0" w:line="276" w:lineRule="auto"/>
        <w:ind w:firstLine="709"/>
        <w:contextualSpacing/>
        <w:jc w:val="both"/>
        <w:rPr>
          <w:rFonts w:ascii="Arial" w:hAnsi="Arial" w:eastAsia="Calibri" w:cs="Arial"/>
          <w:lang w:val="es-ES_tradnl" w:eastAsia="es-ES_tradnl"/>
        </w:rPr>
      </w:pPr>
    </w:p>
    <w:p w:rsidRPr="00BD40F9" w:rsidR="00FB17D4" w:rsidP="008F04CD" w:rsidRDefault="0008094E" w14:paraId="21578C6D" w14:textId="20182F2C">
      <w:pPr>
        <w:spacing w:after="0" w:line="240" w:lineRule="auto"/>
        <w:ind w:left="709" w:right="709"/>
        <w:contextualSpacing/>
        <w:jc w:val="both"/>
        <w:rPr>
          <w:rFonts w:ascii="Arial" w:hAnsi="Arial" w:eastAsia="Times New Roman" w:cs="Arial"/>
          <w:sz w:val="21"/>
          <w:szCs w:val="21"/>
          <w:lang w:eastAsia="es-ES_tradnl"/>
        </w:rPr>
      </w:pPr>
      <w:r w:rsidRPr="008F04CD">
        <w:rPr>
          <w:rFonts w:ascii="Arial" w:hAnsi="Arial" w:eastAsia="Times New Roman" w:cs="Arial"/>
          <w:sz w:val="21"/>
          <w:szCs w:val="21"/>
          <w:lang w:eastAsia="es-ES_tradnl"/>
        </w:rPr>
        <w:t xml:space="preserve">Si se utiliza el SECOP </w:t>
      </w:r>
      <w:r>
        <w:rPr>
          <w:rFonts w:ascii="Arial" w:hAnsi="Arial" w:eastAsia="Times New Roman" w:cs="Arial"/>
          <w:sz w:val="21"/>
          <w:szCs w:val="21"/>
          <w:lang w:eastAsia="es-ES_tradnl"/>
        </w:rPr>
        <w:t>II</w:t>
      </w:r>
      <w:r w:rsidRPr="008F04CD">
        <w:rPr>
          <w:rFonts w:ascii="Arial" w:hAnsi="Arial" w:eastAsia="Times New Roman" w:cs="Arial"/>
          <w:sz w:val="21"/>
          <w:szCs w:val="21"/>
          <w:lang w:eastAsia="es-ES_tradnl"/>
        </w:rPr>
        <w:t xml:space="preserve"> como herramienta de publicidad, la publicación de los documentos relacionados con la actividad contractual deberá realizarse dentro de los 3 días siguientes a su expedición, en aplicación de lo dispuesto en el artículo 2.1.1.2.1.7. del Decreto 1081 de 2015, el cual remite al artículo 2.2.1.1.1.7.1. del Decreto 1082 de 2015, en el que se hace referencia al plazo en cita</w:t>
      </w:r>
      <w:r>
        <w:rPr>
          <w:rFonts w:ascii="Arial" w:hAnsi="Arial" w:eastAsia="Times New Roman" w:cs="Arial"/>
          <w:sz w:val="21"/>
          <w:szCs w:val="21"/>
          <w:lang w:eastAsia="es-ES_tradnl"/>
        </w:rPr>
        <w:t>.</w:t>
      </w:r>
    </w:p>
    <w:p w:rsidRPr="00BD40F9" w:rsidR="00A42AD1" w:rsidP="008F04CD" w:rsidRDefault="00A42AD1" w14:paraId="2C4C53B0" w14:textId="77777777">
      <w:pPr>
        <w:spacing w:after="0" w:line="240" w:lineRule="auto"/>
        <w:ind w:left="709" w:right="709"/>
        <w:contextualSpacing/>
        <w:jc w:val="both"/>
        <w:rPr>
          <w:rFonts w:ascii="Arial" w:hAnsi="Arial" w:eastAsia="Times New Roman" w:cs="Arial"/>
          <w:sz w:val="21"/>
          <w:szCs w:val="21"/>
          <w:lang w:eastAsia="es-ES_tradnl"/>
        </w:rPr>
      </w:pPr>
    </w:p>
    <w:p w:rsidRPr="00BD40F9" w:rsidR="007F3196" w:rsidP="008F04CD" w:rsidRDefault="007F3196" w14:paraId="3FE1F7F3" w14:textId="1AE05C94">
      <w:pPr>
        <w:spacing w:after="0" w:line="240" w:lineRule="auto"/>
        <w:ind w:left="709" w:right="709"/>
        <w:contextualSpacing/>
        <w:jc w:val="both"/>
        <w:rPr>
          <w:rFonts w:ascii="Arial" w:hAnsi="Arial" w:eastAsia="Calibri" w:cs="Arial"/>
          <w:sz w:val="21"/>
          <w:szCs w:val="21"/>
          <w:lang w:val="es-ES_tradnl" w:eastAsia="es-ES_tradnl"/>
        </w:rPr>
      </w:pPr>
      <w:r w:rsidRPr="00BD40F9">
        <w:rPr>
          <w:rFonts w:ascii="Arial" w:hAnsi="Arial" w:eastAsia="Times New Roman" w:cs="Arial"/>
          <w:sz w:val="21"/>
          <w:szCs w:val="21"/>
          <w:lang w:eastAsia="es-ES_tradnl"/>
        </w:rPr>
        <w:t xml:space="preserve">Si se hace uso de la plataforma de manera transaccional, la publicación de los documentos </w:t>
      </w:r>
      <w:r w:rsidRPr="00BD40F9" w:rsidR="006027D2">
        <w:rPr>
          <w:rFonts w:ascii="Arial" w:hAnsi="Arial" w:eastAsia="Times New Roman" w:cs="Arial"/>
          <w:sz w:val="21"/>
          <w:szCs w:val="21"/>
          <w:lang w:eastAsia="es-ES_tradnl"/>
        </w:rPr>
        <w:t xml:space="preserve">relacionados con la actividad contractual deberá realizarse en los términos establecidos en el cronograma </w:t>
      </w:r>
      <w:r w:rsidRPr="00BD40F9" w:rsidR="00817D1A">
        <w:rPr>
          <w:rFonts w:ascii="Arial" w:hAnsi="Arial" w:eastAsia="Times New Roman" w:cs="Arial"/>
          <w:sz w:val="21"/>
          <w:szCs w:val="21"/>
          <w:lang w:eastAsia="es-ES_tradnl"/>
        </w:rPr>
        <w:t xml:space="preserve">del proceso de selección y las reglas </w:t>
      </w:r>
      <w:r w:rsidRPr="00BD40F9" w:rsidR="00042D85">
        <w:rPr>
          <w:rFonts w:ascii="Arial" w:hAnsi="Arial" w:eastAsia="Times New Roman" w:cs="Arial"/>
          <w:sz w:val="21"/>
          <w:szCs w:val="21"/>
          <w:lang w:eastAsia="es-ES_tradnl"/>
        </w:rPr>
        <w:t xml:space="preserve">aplicables a cada modalidad de contratación en particular, de acuerdo con cada Manual de Contratación. </w:t>
      </w:r>
    </w:p>
    <w:p w:rsidR="00FB17D4" w:rsidP="002C7241" w:rsidRDefault="00FB17D4" w14:paraId="36B2F8EE" w14:textId="35FF46DF">
      <w:pPr>
        <w:spacing w:after="0" w:line="276" w:lineRule="auto"/>
        <w:contextualSpacing/>
        <w:jc w:val="both"/>
        <w:rPr>
          <w:rFonts w:ascii="Arial" w:hAnsi="Arial" w:eastAsia="Calibri" w:cs="Arial"/>
          <w:b/>
          <w:bCs/>
          <w:szCs w:val="24"/>
          <w:lang w:val="es-ES" w:eastAsia="es-ES_tradnl"/>
        </w:rPr>
      </w:pPr>
    </w:p>
    <w:p w:rsidRPr="008F04CD" w:rsidR="00332C44" w:rsidP="008F04CD" w:rsidRDefault="00332C44" w14:paraId="69A97E4F" w14:textId="6F249D41">
      <w:pPr>
        <w:spacing w:after="0" w:line="276" w:lineRule="auto"/>
        <w:ind w:firstLine="708"/>
        <w:contextualSpacing/>
        <w:jc w:val="both"/>
        <w:rPr>
          <w:rFonts w:ascii="Arial" w:hAnsi="Arial" w:eastAsia="Calibri" w:cs="Arial"/>
          <w:lang w:val="es-ES" w:eastAsia="es-ES_tradnl"/>
        </w:rPr>
      </w:pPr>
      <w:r w:rsidRPr="008F04CD">
        <w:rPr>
          <w:rFonts w:ascii="Arial" w:hAnsi="Arial" w:eastAsia="Calibri" w:cs="Arial"/>
          <w:lang w:val="es-ES" w:eastAsia="es-ES_tradnl"/>
        </w:rPr>
        <w:t xml:space="preserve">De conformidad con lo expuesto se concluye que el término que tienen </w:t>
      </w:r>
      <w:r w:rsidRPr="008F04CD" w:rsidR="00807C05">
        <w:rPr>
          <w:rFonts w:ascii="Arial" w:hAnsi="Arial" w:eastAsia="Calibri" w:cs="Arial"/>
          <w:lang w:val="es-ES" w:eastAsia="es-ES_tradnl"/>
        </w:rPr>
        <w:t xml:space="preserve">las </w:t>
      </w:r>
      <w:r w:rsidRPr="008F04CD" w:rsidR="00807C05">
        <w:rPr>
          <w:rFonts w:ascii="Arial" w:hAnsi="Arial" w:cs="Arial"/>
          <w:color w:val="333333"/>
          <w:shd w:val="clear" w:color="auto" w:fill="FFFFFF"/>
        </w:rPr>
        <w:t xml:space="preserve">entidades estatales que por disposición legal cuenten con un régimen contractual excepcional al del Estatuto General de Contratación de la Administración </w:t>
      </w:r>
      <w:r w:rsidRPr="00A82C61" w:rsidR="00A82C61">
        <w:rPr>
          <w:rFonts w:ascii="Arial" w:hAnsi="Arial" w:cs="Arial"/>
          <w:color w:val="333333"/>
          <w:shd w:val="clear" w:color="auto" w:fill="FFFFFF"/>
        </w:rPr>
        <w:t>Pública</w:t>
      </w:r>
      <w:r w:rsidRPr="008F04CD" w:rsidR="00807C05">
        <w:rPr>
          <w:rFonts w:ascii="Arial" w:hAnsi="Arial" w:cs="Arial"/>
          <w:color w:val="333333"/>
          <w:shd w:val="clear" w:color="auto" w:fill="FFFFFF"/>
        </w:rPr>
        <w:t xml:space="preserve">, para publicar en el </w:t>
      </w:r>
      <w:r w:rsidRPr="008F04CD" w:rsidR="008F04CD">
        <w:rPr>
          <w:rFonts w:ascii="Arial" w:hAnsi="Arial" w:cs="Arial"/>
          <w:color w:val="333333"/>
          <w:shd w:val="clear" w:color="auto" w:fill="FFFFFF"/>
        </w:rPr>
        <w:t xml:space="preserve">SECOP </w:t>
      </w:r>
      <w:r w:rsidRPr="008F04CD" w:rsidR="00807C05">
        <w:rPr>
          <w:rFonts w:ascii="Arial" w:hAnsi="Arial" w:cs="Arial"/>
          <w:color w:val="333333"/>
          <w:shd w:val="clear" w:color="auto" w:fill="FFFFFF"/>
        </w:rPr>
        <w:t>II es de 3 días</w:t>
      </w:r>
      <w:r w:rsidRPr="008F04CD" w:rsidR="00A82C61">
        <w:rPr>
          <w:rFonts w:ascii="Arial" w:hAnsi="Arial" w:cs="Arial"/>
          <w:color w:val="333333"/>
          <w:shd w:val="clear" w:color="auto" w:fill="FFFFFF"/>
        </w:rPr>
        <w:t>. L</w:t>
      </w:r>
      <w:r w:rsidR="001E471D">
        <w:rPr>
          <w:rFonts w:ascii="Arial" w:hAnsi="Arial" w:cs="Arial"/>
          <w:color w:val="333333"/>
          <w:shd w:val="clear" w:color="auto" w:fill="FFFFFF"/>
        </w:rPr>
        <w:t>o</w:t>
      </w:r>
      <w:r w:rsidRPr="008F04CD" w:rsidR="00A82C61">
        <w:rPr>
          <w:rFonts w:ascii="Arial" w:hAnsi="Arial" w:cs="Arial"/>
          <w:color w:val="333333"/>
          <w:shd w:val="clear" w:color="auto" w:fill="FFFFFF"/>
        </w:rPr>
        <w:t xml:space="preserve"> anterior, sin perjuicio de que dichas entidades hagan uso transaccional de la plataforma, caso en el cual la publicación de los documentos deberá hacerse en tiempo real, de acuerdo al cronograma definido para </w:t>
      </w:r>
      <w:r w:rsidRPr="008F04CD" w:rsidR="008F04CD">
        <w:rPr>
          <w:rFonts w:ascii="Arial" w:hAnsi="Arial" w:cs="Arial"/>
          <w:color w:val="333333"/>
          <w:shd w:val="clear" w:color="auto" w:fill="FFFFFF"/>
        </w:rPr>
        <w:t>el proceso</w:t>
      </w:r>
      <w:r w:rsidRPr="008F04CD" w:rsidR="00A82C61">
        <w:rPr>
          <w:rFonts w:ascii="Arial" w:hAnsi="Arial" w:cs="Arial"/>
          <w:color w:val="333333"/>
          <w:shd w:val="clear" w:color="auto" w:fill="FFFFFF"/>
        </w:rPr>
        <w:t xml:space="preserve"> </w:t>
      </w:r>
      <w:r w:rsidRPr="00A82C61" w:rsidR="00A82C61">
        <w:rPr>
          <w:rFonts w:ascii="Arial" w:hAnsi="Arial" w:cs="Arial"/>
          <w:color w:val="333333"/>
          <w:shd w:val="clear" w:color="auto" w:fill="FFFFFF"/>
        </w:rPr>
        <w:t>de selección</w:t>
      </w:r>
      <w:r w:rsidRPr="008F04CD" w:rsidR="00A82C61">
        <w:rPr>
          <w:rFonts w:ascii="Arial" w:hAnsi="Arial" w:cs="Arial"/>
          <w:color w:val="333333"/>
          <w:shd w:val="clear" w:color="auto" w:fill="FFFFFF"/>
        </w:rPr>
        <w:t>.</w:t>
      </w:r>
    </w:p>
    <w:p w:rsidRPr="00BD40F9" w:rsidR="00332C44" w:rsidP="002C7241" w:rsidRDefault="00332C44" w14:paraId="61A8CD40" w14:textId="77777777">
      <w:pPr>
        <w:spacing w:after="0" w:line="276" w:lineRule="auto"/>
        <w:contextualSpacing/>
        <w:jc w:val="both"/>
        <w:rPr>
          <w:rFonts w:ascii="Arial" w:hAnsi="Arial" w:eastAsia="Calibri" w:cs="Arial"/>
          <w:b/>
          <w:bCs/>
          <w:szCs w:val="24"/>
          <w:lang w:val="es-ES" w:eastAsia="es-ES_tradnl"/>
        </w:rPr>
      </w:pPr>
    </w:p>
    <w:p w:rsidRPr="00BD40F9" w:rsidR="00FB17D4" w:rsidP="00FB17D4" w:rsidRDefault="00FB17D4" w14:paraId="0B04994E" w14:textId="77777777">
      <w:pPr>
        <w:tabs>
          <w:tab w:val="left" w:pos="0"/>
        </w:tabs>
        <w:spacing w:after="0" w:line="240" w:lineRule="auto"/>
        <w:jc w:val="both"/>
        <w:rPr>
          <w:rFonts w:ascii="Arial" w:hAnsi="Arial" w:eastAsia="Calibri" w:cs="Arial"/>
          <w:b/>
          <w:szCs w:val="24"/>
          <w:lang w:val="es-ES_tradnl" w:eastAsia="es-ES_tradnl"/>
        </w:rPr>
      </w:pPr>
      <w:r w:rsidRPr="00BD40F9">
        <w:rPr>
          <w:rFonts w:ascii="Arial" w:hAnsi="Arial" w:eastAsia="Calibri" w:cs="Arial"/>
          <w:b/>
          <w:szCs w:val="24"/>
          <w:lang w:val="es-ES_tradnl" w:eastAsia="es-ES_tradnl"/>
        </w:rPr>
        <w:t>3. Respuesta</w:t>
      </w:r>
    </w:p>
    <w:p w:rsidRPr="00BD40F9" w:rsidR="00FB17D4" w:rsidP="00FB17D4" w:rsidRDefault="00FB17D4" w14:paraId="4A7A0CD1" w14:textId="77777777">
      <w:pPr>
        <w:tabs>
          <w:tab w:val="left" w:pos="0"/>
        </w:tabs>
        <w:spacing w:after="0" w:line="240" w:lineRule="auto"/>
        <w:jc w:val="both"/>
        <w:rPr>
          <w:rFonts w:ascii="Arial" w:hAnsi="Arial" w:eastAsia="Calibri" w:cs="Arial"/>
          <w:szCs w:val="24"/>
          <w:lang w:val="es-ES_tradnl" w:eastAsia="es-ES_tradnl"/>
        </w:rPr>
      </w:pPr>
    </w:p>
    <w:p w:rsidRPr="00BD40F9" w:rsidR="00165FC7" w:rsidP="00165FC7" w:rsidRDefault="00165FC7" w14:paraId="49DBFCD4" w14:textId="77777777">
      <w:pPr>
        <w:spacing w:after="0" w:line="240" w:lineRule="auto"/>
        <w:ind w:left="709" w:right="709"/>
        <w:contextualSpacing/>
        <w:jc w:val="both"/>
        <w:rPr>
          <w:rFonts w:ascii="Arial" w:hAnsi="Arial" w:cs="Arial"/>
          <w:sz w:val="21"/>
          <w:szCs w:val="21"/>
        </w:rPr>
      </w:pPr>
      <w:r w:rsidRPr="00BD40F9">
        <w:rPr>
          <w:rFonts w:ascii="Arial" w:hAnsi="Arial" w:eastAsia="Times New Roman" w:cs="Arial"/>
          <w:sz w:val="21"/>
          <w:szCs w:val="21"/>
          <w:lang w:val="es-ES_tradnl" w:eastAsia="es-ES_tradnl"/>
        </w:rPr>
        <w:t xml:space="preserve">«[…] </w:t>
      </w:r>
      <w:r w:rsidRPr="00BD40F9">
        <w:rPr>
          <w:rFonts w:ascii="Arial" w:hAnsi="Arial" w:cs="Arial"/>
          <w:sz w:val="21"/>
          <w:szCs w:val="21"/>
        </w:rPr>
        <w:t xml:space="preserve">1. Oportunidad de la publicidad: El Derecho Privado no establece ni exige la publicación de la actividad contractual que sea impulsada por las entidades de régimen jurídico especial (el Derecho Privado como consideración general), siendo la regla general la reserva y confidencialidad de los actos y contratos en virtud de disposiciones como los artículo 61 del Código de Comercio, 260 de la Decisión 486 del Acuerdo de Cartagena y las demás que protegen la información y limitan su circulación y acceso por terceros no autorizados. </w:t>
      </w:r>
    </w:p>
    <w:p w:rsidRPr="00BD40F9" w:rsidR="00165FC7" w:rsidP="00165FC7" w:rsidRDefault="00165FC7" w14:paraId="177F3AF8" w14:textId="77777777">
      <w:pPr>
        <w:spacing w:after="0" w:line="240" w:lineRule="auto"/>
        <w:ind w:left="709" w:right="709"/>
        <w:contextualSpacing/>
        <w:jc w:val="both"/>
        <w:rPr>
          <w:rFonts w:ascii="Arial" w:hAnsi="Arial" w:cs="Arial"/>
          <w:sz w:val="21"/>
          <w:szCs w:val="21"/>
        </w:rPr>
      </w:pPr>
    </w:p>
    <w:p w:rsidRPr="00BD40F9" w:rsidR="00165FC7" w:rsidP="00165FC7" w:rsidRDefault="00165FC7" w14:paraId="0705E96E" w14:textId="77777777">
      <w:pPr>
        <w:spacing w:after="0" w:line="240" w:lineRule="auto"/>
        <w:ind w:left="709" w:right="709"/>
        <w:contextualSpacing/>
        <w:jc w:val="both"/>
        <w:rPr>
          <w:rFonts w:ascii="Arial" w:hAnsi="Arial" w:eastAsia="Times New Roman" w:cs="Arial"/>
          <w:sz w:val="21"/>
          <w:szCs w:val="21"/>
          <w:lang w:val="es-ES_tradnl" w:eastAsia="es-ES_tradnl"/>
        </w:rPr>
      </w:pPr>
      <w:r w:rsidRPr="00BD40F9">
        <w:rPr>
          <w:rFonts w:ascii="Arial" w:hAnsi="Arial" w:cs="Arial"/>
          <w:sz w:val="21"/>
          <w:szCs w:val="21"/>
        </w:rPr>
        <w:t>Por los motivos anteriores la regla de publicidad que rige para la publicación de la actividad contractual de entidades de régimen especial es en la actualidad el artículo 53 de la Ley 2195 de 2022, norma que se circunscribe a establecer la regla de publicidad de la actividad contractual en el SECOP II sin alcance transaccional para entes como Ecopetrol, sin desconocer la vigencia de otras disposiciones legales, muchas de ellas jerárquicamente superiores, como las leyes 1712 de 2014 y 1755 de 2015, que protegen el tratamiento reservado de la información y de la documentación que responda a alguna de los supuestos de reserva o confidencialidad legalmente establecidos.</w:t>
      </w:r>
    </w:p>
    <w:p w:rsidRPr="00BD40F9" w:rsidR="00165FC7" w:rsidP="00165FC7" w:rsidRDefault="00165FC7" w14:paraId="08D8D052" w14:textId="77777777">
      <w:pPr>
        <w:spacing w:after="0" w:line="240" w:lineRule="auto"/>
        <w:ind w:left="709" w:right="709"/>
        <w:contextualSpacing/>
        <w:jc w:val="both"/>
        <w:rPr>
          <w:rFonts w:ascii="Arial" w:hAnsi="Arial" w:eastAsia="Times New Roman" w:cs="Arial"/>
          <w:sz w:val="21"/>
          <w:szCs w:val="21"/>
          <w:lang w:val="es-ES_tradnl" w:eastAsia="es-ES_tradnl"/>
        </w:rPr>
      </w:pPr>
    </w:p>
    <w:p w:rsidRPr="00BD40F9" w:rsidR="00165FC7" w:rsidP="00165FC7" w:rsidRDefault="00165FC7" w14:paraId="00BC857A" w14:textId="77777777">
      <w:pPr>
        <w:spacing w:after="0" w:line="240" w:lineRule="auto"/>
        <w:ind w:left="709" w:right="709"/>
        <w:contextualSpacing/>
        <w:jc w:val="both"/>
        <w:rPr>
          <w:rFonts w:ascii="Arial" w:hAnsi="Arial" w:cs="Arial"/>
          <w:sz w:val="21"/>
          <w:szCs w:val="21"/>
        </w:rPr>
      </w:pPr>
      <w:r w:rsidRPr="00BD40F9">
        <w:rPr>
          <w:rFonts w:ascii="Arial" w:hAnsi="Arial" w:cs="Arial"/>
          <w:sz w:val="21"/>
          <w:szCs w:val="21"/>
        </w:rPr>
        <w:t xml:space="preserve">En esa misma línea la ley acota el alcance de la regla de la publicidad a la carga de publicar la actividad contractual en el SECOP II, guardándose silencio respecto de la oportunidad. Al considerarse que el SECOP II funciona de manera esencialmente distinta para entes de régimen especial versus entes sujetos a la Ley 80 de 1993 y sus reformas, se hace indispensable definir un término razonable que cumpla con las expectativas de publicidad de la actividad contractual sin confundir la finalidad y función del SECOP II cuando actúa como herramienta de transaccionalidad contractual. En ese orden, se manifestó a los asistentes de la sesión pasada, que la oportunidad para el cargue de la información por los tiempos que demanda el proceso tecnológico desde la generación del documento, su clasificación hasta su confirmación como información divulgable podría ascender a quince días para su registro en SECOP. </w:t>
      </w:r>
    </w:p>
    <w:p w:rsidRPr="00BD40F9" w:rsidR="00165FC7" w:rsidP="00165FC7" w:rsidRDefault="00165FC7" w14:paraId="5B5948D3" w14:textId="77777777">
      <w:pPr>
        <w:spacing w:after="0" w:line="240" w:lineRule="auto"/>
        <w:ind w:left="709" w:right="709"/>
        <w:contextualSpacing/>
        <w:jc w:val="both"/>
        <w:rPr>
          <w:rFonts w:ascii="Arial" w:hAnsi="Arial" w:cs="Arial"/>
          <w:sz w:val="21"/>
          <w:szCs w:val="21"/>
        </w:rPr>
      </w:pPr>
    </w:p>
    <w:p w:rsidRPr="00BD40F9" w:rsidR="00165FC7" w:rsidP="00165FC7" w:rsidRDefault="00165FC7" w14:paraId="7E396236" w14:textId="7DFDEA47">
      <w:pPr>
        <w:spacing w:after="0" w:line="240" w:lineRule="auto"/>
        <w:ind w:left="709" w:right="709"/>
        <w:contextualSpacing/>
        <w:jc w:val="both"/>
        <w:rPr>
          <w:rFonts w:ascii="Arial" w:hAnsi="Arial" w:eastAsia="Times New Roman" w:cs="Arial"/>
          <w:sz w:val="21"/>
          <w:szCs w:val="21"/>
          <w:lang w:eastAsia="es-ES_tradnl"/>
        </w:rPr>
      </w:pPr>
      <w:r w:rsidRPr="00BD40F9">
        <w:rPr>
          <w:rFonts w:ascii="Arial" w:hAnsi="Arial" w:cs="Arial"/>
          <w:sz w:val="21"/>
          <w:szCs w:val="21"/>
        </w:rPr>
        <w:t xml:space="preserve">En las condiciones anotadas respetuosamente les manifestamos nuestro compromiso en dar fiel cumplimiento a las exigencias de publicidad de la actividad contractual de los documentos que tengan la connotación de ser divulgados al público en general. Para tales fines es fundamental coordinar y confirmar conjuntamente con ustedes como término razonable para el cargue y registro del acto o documento publicable en contratos y convenios suscritos por Ecopetrol S.A., un plazo no menor a quince días siguientes al cierre proceso corporativo correspondiente, considerando la ausencia de norma que imponga un término perentorio en estos casos, las complejidades logísticas, </w:t>
      </w:r>
    </w:p>
    <w:p w:rsidRPr="00BD40F9" w:rsidR="00FB17D4" w:rsidP="00FB17D4" w:rsidRDefault="00FB17D4" w14:paraId="6CC4C008" w14:textId="77777777">
      <w:pPr>
        <w:spacing w:after="0" w:line="240" w:lineRule="auto"/>
        <w:ind w:left="709" w:right="709"/>
        <w:jc w:val="both"/>
        <w:rPr>
          <w:rFonts w:ascii="Arial" w:hAnsi="Arial" w:eastAsia="Times New Roman" w:cs="Arial"/>
          <w:sz w:val="21"/>
          <w:szCs w:val="21"/>
          <w:lang w:val="es-ES_tradnl" w:eastAsia="es-ES_tradnl"/>
        </w:rPr>
      </w:pPr>
    </w:p>
    <w:p w:rsidR="007967C8" w:rsidP="0DAEC460" w:rsidRDefault="00165FC7" w14:paraId="66EFD5FE" w14:textId="202E2A08">
      <w:pPr>
        <w:pStyle w:val="Normal"/>
        <w:spacing w:after="120" w:line="276" w:lineRule="auto"/>
        <w:jc w:val="both"/>
        <w:rPr>
          <w:rFonts w:ascii="Arial" w:hAnsi="Arial" w:eastAsia="Calibri" w:cs="Arial"/>
          <w:lang w:val="es-ES" w:eastAsia="es-ES"/>
        </w:rPr>
      </w:pPr>
      <w:r w:rsidRPr="0DAEC460" w:rsidR="00165FC7">
        <w:rPr>
          <w:rFonts w:ascii="Arial" w:hAnsi="Arial" w:eastAsia="Calibri" w:cs="Arial"/>
          <w:lang w:val="es-ES" w:eastAsia="es-ES"/>
        </w:rPr>
        <w:t>Conforme a lo antes expuesto, si bien</w:t>
      </w:r>
      <w:r w:rsidRPr="0DAEC460" w:rsidR="00FB17D4">
        <w:rPr>
          <w:rFonts w:ascii="Arial" w:hAnsi="Arial" w:eastAsia="Calibri" w:cs="Arial"/>
          <w:lang w:val="es-ES" w:eastAsia="es-ES"/>
        </w:rPr>
        <w:t xml:space="preserve"> la publicación en el SECOP de los documentos relacionados con la actividad contractual ya era obligatoria para las entidades que cuentan con un régimen especial, el artículo 53 de la Ley 2195 de 2022 –que modifica el artículo 13 de la Ley 1150 de 2007– complementa ese deber con la exigencia de emplear el SECOP II. En otras palabras, en el artículo 53 de la Ley 2195 de 2022 el Congreso de la República dispone que las entidades estatales </w:t>
      </w:r>
      <w:r w:rsidRPr="0DAEC460" w:rsidR="00FB17D4">
        <w:rPr>
          <w:rFonts w:ascii="Arial" w:hAnsi="Arial" w:eastAsia="Calibri" w:cs="Arial"/>
          <w:lang w:val="es-ES" w:eastAsia="es-ES"/>
        </w:rPr>
        <w:t>en tramitar en el SECOP II –es decir en la plataforma transaccional vigente– su acti</w:t>
      </w:r>
      <w:r w:rsidRPr="0DAEC460" w:rsidR="0DAEC460">
        <w:rPr>
          <w:rFonts w:ascii="Arial" w:hAnsi="Arial" w:eastAsia="Calibri" w:cs="Arial"/>
          <w:lang w:val="es-ES" w:eastAsia="es-ES"/>
        </w:rPr>
        <w:t xml:space="preserve"> </w:t>
      </w:r>
      <w:r w:rsidRPr="0DAEC460" w:rsidR="00FB17D4">
        <w:rPr>
          <w:rFonts w:ascii="Arial" w:hAnsi="Arial" w:eastAsia="Calibri" w:cs="Arial"/>
          <w:lang w:val="es-ES" w:eastAsia="es-ES"/>
        </w:rPr>
        <w:t xml:space="preserve">exceptuadas del Estatuto General de Contratación de la Administración Pública debvidad contractual. </w:t>
      </w:r>
    </w:p>
    <w:p w:rsidRPr="00BD40F9" w:rsidR="006B79F0" w:rsidP="008F04CD" w:rsidRDefault="00165FC7" w14:paraId="68FA9AC4" w14:textId="3E31139C">
      <w:pPr>
        <w:spacing w:after="120" w:line="276" w:lineRule="auto"/>
        <w:ind w:firstLine="708"/>
        <w:jc w:val="both"/>
        <w:rPr>
          <w:rFonts w:ascii="Arial" w:hAnsi="Arial" w:eastAsia="Calibri" w:cs="Arial"/>
          <w:lang w:val="es-ES"/>
        </w:rPr>
      </w:pPr>
      <w:r w:rsidRPr="00BD40F9">
        <w:rPr>
          <w:rFonts w:ascii="Arial" w:hAnsi="Arial" w:eastAsia="Calibri" w:cs="Arial"/>
          <w:lang w:val="es-ES_tradnl" w:eastAsia="es-ES_tradnl"/>
        </w:rPr>
        <w:t xml:space="preserve">Respecto al término para publicar los documentos en el SECOP II, </w:t>
      </w:r>
      <w:r w:rsidR="000D2FC6">
        <w:rPr>
          <w:rFonts w:ascii="Arial" w:hAnsi="Arial" w:eastAsia="Calibri" w:cs="Arial"/>
          <w:lang w:val="es-ES_tradnl" w:eastAsia="es-ES_tradnl"/>
        </w:rPr>
        <w:t xml:space="preserve">sin perjuicio del uso eminentemente transaccional de la plataforma, </w:t>
      </w:r>
      <w:r w:rsidRPr="00BD40F9">
        <w:rPr>
          <w:rFonts w:ascii="Arial" w:hAnsi="Arial" w:eastAsia="Calibri" w:cs="Arial"/>
          <w:lang w:val="es-ES_tradnl" w:eastAsia="es-ES_tradnl"/>
        </w:rPr>
        <w:t xml:space="preserve">debe señalarse </w:t>
      </w:r>
      <w:r w:rsidR="007967C8">
        <w:rPr>
          <w:rFonts w:ascii="Arial" w:hAnsi="Arial" w:eastAsia="Calibri" w:cs="Arial"/>
          <w:lang w:val="es-ES_tradnl" w:eastAsia="es-ES_tradnl"/>
        </w:rPr>
        <w:t xml:space="preserve">que </w:t>
      </w:r>
      <w:r w:rsidRPr="00BD40F9">
        <w:rPr>
          <w:rFonts w:ascii="Arial" w:hAnsi="Arial" w:eastAsia="Calibri" w:cs="Arial"/>
          <w:lang w:val="es-ES"/>
        </w:rPr>
        <w:t xml:space="preserve">la Ley 1712 de 2014, fue reglamentada por el Decreto 103 de 2015, hoy compilado en el Decreto 1081 de 2015. Este último señala, en el artículo 2.1.1.2.1.7, que las entidades deberán publicar en el SECOP </w:t>
      </w:r>
      <w:r w:rsidRPr="00BD40F9">
        <w:rPr>
          <w:rFonts w:ascii="Arial" w:hAnsi="Arial" w:cs="Arial"/>
          <w:lang w:val="es-ES"/>
        </w:rPr>
        <w:t>la información de su gestión contractual</w:t>
      </w:r>
      <w:r w:rsidRPr="00BD40F9">
        <w:rPr>
          <w:rStyle w:val="Refdenotaalpie"/>
          <w:rFonts w:ascii="Arial" w:hAnsi="Arial" w:cs="Arial"/>
          <w:lang w:val="es-ES"/>
        </w:rPr>
        <w:footnoteReference w:id="15"/>
      </w:r>
      <w:r w:rsidRPr="00BD40F9">
        <w:rPr>
          <w:rFonts w:ascii="Arial" w:hAnsi="Arial" w:eastAsia="Calibri" w:cs="Arial"/>
          <w:lang w:val="es-ES"/>
        </w:rPr>
        <w:t>.</w:t>
      </w:r>
      <w:r w:rsidRPr="00BD40F9" w:rsidR="006B79F0">
        <w:rPr>
          <w:rFonts w:ascii="Arial" w:hAnsi="Arial" w:eastAsia="Calibri" w:cs="Arial"/>
          <w:lang w:val="es-ES"/>
        </w:rPr>
        <w:t xml:space="preserve"> El </w:t>
      </w:r>
      <w:r w:rsidRPr="00BD40F9">
        <w:rPr>
          <w:rFonts w:ascii="Arial" w:hAnsi="Arial" w:eastAsia="Calibri" w:cs="Arial"/>
          <w:lang w:val="es-ES"/>
        </w:rPr>
        <w:t>inciso segundo de dicho artículo precisa el momento para realizar la publicación, remitiendo al mismo plazo establecido en el artículo 2.2.1.1.1.7.1 del Decreto 1082 de 2015, esto es, dentro de los tres (3) días siguientes a la expedición del documento. En efecto, el inciso indicado establece: «Los sujetos obligados que contratan con cargo a recursos públicos deben publicar la información de su gestión contractual en el plazo previsto en el artículo 19 del Decreto 1510 de 2013, o el que lo modifique, sustituya o adicione». Cabe aclarar que el artículo 19 indicado fue compilado en el artículo 2.2.1.1.1.7.1 del Decreto 1082 de 2015. En este sentido, se colige que el artículo 2.1.1.2.1.7 del Decreto 1081 de 2015 estableció el mismo término de publicidad de los sujetos que contraten con cargo a recursos públicos, al establecido para las entidades sometidas al EGCAP</w:t>
      </w:r>
      <w:r w:rsidRPr="00BD40F9" w:rsidR="006B79F0">
        <w:rPr>
          <w:rFonts w:ascii="Arial" w:hAnsi="Arial" w:eastAsia="Calibri" w:cs="Arial"/>
          <w:lang w:val="es-ES"/>
        </w:rPr>
        <w:t>, esto es</w:t>
      </w:r>
      <w:r w:rsidR="007967C8">
        <w:rPr>
          <w:rFonts w:ascii="Arial" w:hAnsi="Arial" w:eastAsia="Calibri" w:cs="Arial"/>
          <w:lang w:val="es-ES"/>
        </w:rPr>
        <w:t>,</w:t>
      </w:r>
      <w:r w:rsidRPr="00BD40F9" w:rsidR="006B79F0">
        <w:rPr>
          <w:rFonts w:ascii="Arial" w:hAnsi="Arial" w:eastAsia="Calibri" w:cs="Arial"/>
          <w:lang w:val="es-ES"/>
        </w:rPr>
        <w:t xml:space="preserve"> los tres (3) días siguientes a la expedición del documento.</w:t>
      </w:r>
    </w:p>
    <w:p w:rsidRPr="00BD40F9" w:rsidR="006B79F0" w:rsidP="008A6A89" w:rsidRDefault="006B79F0" w14:paraId="7F1E8E75" w14:textId="15D6005C">
      <w:pPr>
        <w:spacing w:after="120" w:line="276" w:lineRule="auto"/>
        <w:ind w:firstLine="708"/>
        <w:jc w:val="both"/>
        <w:rPr>
          <w:rFonts w:ascii="Arial" w:hAnsi="Arial" w:eastAsia="Times New Roman" w:cs="Arial"/>
          <w:lang w:eastAsia="es-ES_tradnl"/>
        </w:rPr>
      </w:pPr>
      <w:r w:rsidRPr="00BD40F9">
        <w:rPr>
          <w:rFonts w:ascii="Arial" w:hAnsi="Arial" w:eastAsia="Calibri" w:cs="Arial"/>
          <w:lang w:val="es-ES"/>
        </w:rPr>
        <w:t xml:space="preserve">En concordancia con la norma anterior, </w:t>
      </w:r>
      <w:r w:rsidRPr="00BD40F9" w:rsidR="00165FC7">
        <w:rPr>
          <w:rFonts w:ascii="Arial" w:hAnsi="Arial" w:eastAsia="Calibri" w:cs="Arial"/>
          <w:lang w:val="es-ES"/>
        </w:rPr>
        <w:t xml:space="preserve">la Circular 002 del 1 de junio de 2022, dictada por el Departamento Administrativo de la Presidencia </w:t>
      </w:r>
      <w:r w:rsidRPr="00BD40F9">
        <w:rPr>
          <w:rFonts w:ascii="Arial" w:hAnsi="Arial" w:eastAsia="Calibri" w:cs="Arial"/>
          <w:lang w:val="es-ES"/>
        </w:rPr>
        <w:t xml:space="preserve">señala respecto del plazo para publicar los documentos en el SECOP II cuando esta plataforma se utiliza </w:t>
      </w:r>
      <w:r w:rsidRPr="00BD40F9">
        <w:rPr>
          <w:rFonts w:ascii="Arial" w:hAnsi="Arial" w:eastAsia="Times New Roman" w:cs="Arial"/>
          <w:lang w:eastAsia="es-ES_tradnl"/>
        </w:rPr>
        <w:t xml:space="preserve">como herramienta de publicidad, que la publicación de los documentos relacionados con la actividad contractual deberá realizarse dentro de los tres (3) días siguientes a su expedición. </w:t>
      </w:r>
    </w:p>
    <w:p w:rsidRPr="00BD40F9" w:rsidR="00165FC7" w:rsidP="00513C05" w:rsidRDefault="006B79F0" w14:paraId="3FF016CE" w14:textId="57C01C7E">
      <w:pPr>
        <w:spacing w:after="0" w:line="276" w:lineRule="auto"/>
        <w:ind w:firstLine="709"/>
        <w:contextualSpacing/>
        <w:jc w:val="both"/>
        <w:rPr>
          <w:rFonts w:ascii="Arial" w:hAnsi="Arial" w:eastAsia="Calibri" w:cs="Arial"/>
          <w:lang w:val="es-ES_tradnl" w:eastAsia="es-ES_tradnl"/>
        </w:rPr>
      </w:pPr>
      <w:r w:rsidRPr="00BD40F9">
        <w:rPr>
          <w:rFonts w:ascii="Arial" w:hAnsi="Arial" w:eastAsia="Times New Roman" w:cs="Arial"/>
          <w:lang w:eastAsia="es-ES_tradnl"/>
        </w:rPr>
        <w:t>Así las cosas, se concluye que el plazo</w:t>
      </w:r>
      <w:r w:rsidRPr="00BD40F9" w:rsidR="008A6A89">
        <w:rPr>
          <w:rFonts w:ascii="Arial" w:hAnsi="Arial" w:eastAsia="Times New Roman" w:cs="Arial"/>
          <w:lang w:eastAsia="es-ES_tradnl"/>
        </w:rPr>
        <w:t xml:space="preserve"> dado a las entidades para cumplir con la obligación de publicar los documentos relacionados con su actividad contractual en el SECOP proviene de un mandato legal y reglamentario, por lo que esta Agencia no puede contradecir las normas que regulan la materia y fijar un plazo diferente al señalado. </w:t>
      </w:r>
    </w:p>
    <w:p w:rsidRPr="00BD40F9" w:rsidR="00165FC7" w:rsidP="00513C05" w:rsidRDefault="00165FC7" w14:paraId="6E254D47" w14:textId="77777777">
      <w:pPr>
        <w:spacing w:after="0" w:line="240" w:lineRule="auto"/>
        <w:ind w:left="709" w:right="709"/>
        <w:contextualSpacing/>
        <w:jc w:val="both"/>
        <w:rPr>
          <w:rFonts w:ascii="Arial" w:hAnsi="Arial" w:cs="Arial"/>
          <w:sz w:val="21"/>
          <w:szCs w:val="21"/>
        </w:rPr>
      </w:pPr>
    </w:p>
    <w:p w:rsidRPr="00BD40F9" w:rsidR="00165FC7" w:rsidP="00513C05" w:rsidRDefault="00165FC7" w14:paraId="28129CEC" w14:textId="77777777">
      <w:pPr>
        <w:spacing w:after="0" w:line="240" w:lineRule="auto"/>
        <w:ind w:left="709" w:right="709"/>
        <w:contextualSpacing/>
        <w:jc w:val="both"/>
        <w:rPr>
          <w:rFonts w:ascii="Arial" w:hAnsi="Arial" w:cs="Arial"/>
          <w:sz w:val="21"/>
          <w:szCs w:val="21"/>
        </w:rPr>
      </w:pPr>
      <w:r w:rsidRPr="00BD40F9">
        <w:rPr>
          <w:rFonts w:ascii="Arial" w:hAnsi="Arial" w:cs="Arial"/>
          <w:sz w:val="21"/>
          <w:szCs w:val="21"/>
        </w:rPr>
        <w:t xml:space="preserve">2. Ecopetrol como operador en salud vinculan profesionales médicos a través de figuras especiales cuya formación y contenidos no están conformados por los actos propios y típicos de una actividad contractual en los términos expuestos por la norma. Las vinculaciones del personal en salud las lleva a cabo Ecopetrol como operador en salud del régimen especial exceptuado conforme a la ley 100 de 1993, y no como empresa que desarrolla actividades en el sector hidrocarburífero. </w:t>
      </w:r>
    </w:p>
    <w:p w:rsidRPr="00BD40F9" w:rsidR="00165FC7" w:rsidP="00513C05" w:rsidRDefault="00165FC7" w14:paraId="6D1AD496" w14:textId="77777777">
      <w:pPr>
        <w:spacing w:after="0" w:line="240" w:lineRule="auto"/>
        <w:ind w:left="709" w:right="709"/>
        <w:contextualSpacing/>
        <w:jc w:val="both"/>
        <w:rPr>
          <w:rFonts w:ascii="Arial" w:hAnsi="Arial" w:cs="Arial"/>
          <w:sz w:val="21"/>
          <w:szCs w:val="21"/>
        </w:rPr>
      </w:pPr>
    </w:p>
    <w:p w:rsidRPr="00BD40F9" w:rsidR="00165FC7" w:rsidP="00513C05" w:rsidRDefault="00165FC7" w14:paraId="395A69F1" w14:textId="77777777">
      <w:pPr>
        <w:spacing w:after="0" w:line="240" w:lineRule="auto"/>
        <w:ind w:left="709" w:right="709"/>
        <w:contextualSpacing/>
        <w:jc w:val="both"/>
        <w:rPr>
          <w:rFonts w:ascii="Arial" w:hAnsi="Arial" w:cs="Arial"/>
          <w:sz w:val="21"/>
          <w:szCs w:val="21"/>
        </w:rPr>
      </w:pPr>
      <w:r w:rsidRPr="00BD40F9">
        <w:rPr>
          <w:rFonts w:ascii="Arial" w:hAnsi="Arial" w:cs="Arial"/>
          <w:sz w:val="21"/>
          <w:szCs w:val="21"/>
        </w:rPr>
        <w:t xml:space="preserve">Por las circunstancias señaladas, las vinculaciones del personal en salud responden al instrumento de las adscripciones que muestran la adhesión del personal a las condiciones y reglamentaciones que Ecopetrol como operador de salud diseña, al igual que a la regulación emanada de las autoridades que integra el sector administrativo de salud, para el cumplimiento de sus actividades y en favor de los usuarios del servicio de salud especial y excepcional conforme lo establece la ley 100. </w:t>
      </w:r>
    </w:p>
    <w:p w:rsidRPr="00BD40F9" w:rsidR="00165FC7" w:rsidP="00513C05" w:rsidRDefault="00165FC7" w14:paraId="5C9F084F" w14:textId="77777777">
      <w:pPr>
        <w:spacing w:after="0" w:line="240" w:lineRule="auto"/>
        <w:ind w:left="709" w:right="709"/>
        <w:contextualSpacing/>
        <w:jc w:val="both"/>
        <w:rPr>
          <w:rFonts w:ascii="Arial" w:hAnsi="Arial" w:cs="Arial"/>
          <w:sz w:val="21"/>
          <w:szCs w:val="21"/>
        </w:rPr>
      </w:pPr>
    </w:p>
    <w:p w:rsidRPr="00BD40F9" w:rsidR="00165FC7" w:rsidP="00513C05" w:rsidRDefault="00165FC7" w14:paraId="5C0E9CA8" w14:textId="77777777">
      <w:pPr>
        <w:spacing w:after="0" w:line="240" w:lineRule="auto"/>
        <w:ind w:left="709" w:right="709"/>
        <w:contextualSpacing/>
        <w:jc w:val="both"/>
        <w:rPr>
          <w:rFonts w:ascii="Arial" w:hAnsi="Arial" w:eastAsia="Times New Roman" w:cs="Arial"/>
          <w:sz w:val="21"/>
          <w:szCs w:val="21"/>
          <w:lang w:val="es-ES_tradnl" w:eastAsia="es-ES_tradnl"/>
        </w:rPr>
      </w:pPr>
      <w:r w:rsidRPr="00BD40F9">
        <w:rPr>
          <w:rFonts w:ascii="Arial" w:hAnsi="Arial" w:cs="Arial"/>
          <w:sz w:val="21"/>
          <w:szCs w:val="21"/>
        </w:rPr>
        <w:t>Las particularidades descritas nos permiten pensar que no responden aquellas vinculaciones a la naturaleza de la actividad contractual con vocación de ser publicada conforme las previsiones de la ley 2195, en donde Ecopetrol, como se ha dicho, no interviene como ente contratante para la provisión de bienes y servicios requeridos para su actividad empresarial como empresa del sector energético sino como operador de salud conforme a las previsiones del modelo de seguridad social vigente.</w:t>
      </w:r>
    </w:p>
    <w:p w:rsidRPr="00BD40F9" w:rsidR="00165FC7" w:rsidP="00513C05" w:rsidRDefault="00165FC7" w14:paraId="379CD0B1" w14:textId="77777777">
      <w:pPr>
        <w:spacing w:after="0" w:line="240" w:lineRule="auto"/>
        <w:ind w:left="709" w:right="709"/>
        <w:contextualSpacing/>
        <w:jc w:val="both"/>
        <w:rPr>
          <w:rFonts w:ascii="Arial" w:hAnsi="Arial" w:eastAsia="Times New Roman" w:cs="Arial"/>
          <w:sz w:val="21"/>
          <w:szCs w:val="21"/>
          <w:lang w:val="es-ES_tradnl" w:eastAsia="es-ES_tradnl"/>
        </w:rPr>
      </w:pPr>
    </w:p>
    <w:p w:rsidRPr="00BD40F9" w:rsidR="00165FC7" w:rsidP="00513C05" w:rsidRDefault="00165FC7" w14:paraId="15FEF337" w14:textId="77777777">
      <w:pPr>
        <w:spacing w:after="0" w:line="240" w:lineRule="auto"/>
        <w:ind w:left="709" w:right="709"/>
        <w:contextualSpacing/>
        <w:jc w:val="both"/>
        <w:rPr>
          <w:rFonts w:ascii="Arial" w:hAnsi="Arial" w:eastAsia="Times New Roman" w:cs="Arial"/>
          <w:sz w:val="21"/>
          <w:szCs w:val="21"/>
          <w:lang w:eastAsia="es-ES_tradnl"/>
        </w:rPr>
      </w:pPr>
      <w:r w:rsidRPr="00BD40F9">
        <w:rPr>
          <w:rFonts w:ascii="Arial" w:hAnsi="Arial" w:cs="Arial"/>
          <w:sz w:val="21"/>
          <w:szCs w:val="21"/>
        </w:rPr>
        <w:t>Teniendo en cuenta lo anterior, solicitamos orientación y confirmación de los entendimientos frente a las consideraciones planteadas y así establecer el alcance y aplicabilidad de las publicaciones en SECOP II, en aras de dar cumplimiento a las disposiciones de la Ley de Transparencia (Ley 2195 de 2022), particularmente asociados a los dos tópicos desarrollados con anterioridad. […]</w:t>
      </w:r>
      <w:r w:rsidRPr="00BD40F9">
        <w:rPr>
          <w:rFonts w:ascii="Arial" w:hAnsi="Arial" w:eastAsia="Times New Roman" w:cs="Arial"/>
          <w:sz w:val="21"/>
          <w:szCs w:val="21"/>
          <w:lang w:val="es-ES_tradnl" w:eastAsia="es-ES_tradnl"/>
        </w:rPr>
        <w:t>» (SIC).</w:t>
      </w:r>
    </w:p>
    <w:p w:rsidRPr="00BD40F9" w:rsidR="00895FFC" w:rsidP="00513C05" w:rsidRDefault="00895FFC" w14:paraId="32FA345D" w14:textId="43B7A588">
      <w:pPr>
        <w:spacing w:after="0" w:line="240" w:lineRule="auto"/>
        <w:contextualSpacing/>
        <w:jc w:val="both"/>
        <w:rPr>
          <w:rFonts w:ascii="Arial" w:hAnsi="Arial" w:eastAsia="Calibri" w:cs="Arial"/>
          <w:lang w:val="es-ES" w:eastAsia="es-ES"/>
        </w:rPr>
      </w:pPr>
    </w:p>
    <w:p w:rsidR="00500D70" w:rsidP="008F04CD" w:rsidRDefault="00513C05" w14:paraId="5F02B538" w14:textId="03F4A3F9">
      <w:pPr>
        <w:spacing w:before="120" w:after="120" w:line="276" w:lineRule="auto"/>
        <w:jc w:val="both"/>
        <w:rPr>
          <w:rFonts w:ascii="Arial" w:hAnsi="Arial" w:eastAsia="Calibri" w:cs="Arial"/>
          <w:lang w:val="es-ES_tradnl"/>
        </w:rPr>
      </w:pPr>
      <w:r w:rsidRPr="00BD40F9">
        <w:rPr>
          <w:rFonts w:ascii="Arial" w:hAnsi="Arial" w:eastAsia="Calibri" w:cs="Arial"/>
          <w:lang w:val="es-ES_tradnl"/>
        </w:rPr>
        <w:t xml:space="preserve">Tal y como se señaló en las consideraciones del presente concepto, es preciso advertir que el artículo 53 de la Ley 2195 de 2022 hace referencia a la obligación de las entidades exceptuadas de publicar los documentos relacionados con su </w:t>
      </w:r>
      <w:r w:rsidRPr="00BD40F9">
        <w:rPr>
          <w:rFonts w:ascii="Arial" w:hAnsi="Arial" w:eastAsia="Calibri" w:cs="Arial"/>
          <w:i/>
          <w:iCs/>
          <w:lang w:val="es-ES_tradnl"/>
        </w:rPr>
        <w:t>actividad contractual,</w:t>
      </w:r>
      <w:r w:rsidRPr="00BD40F9">
        <w:rPr>
          <w:rFonts w:ascii="Arial" w:hAnsi="Arial" w:eastAsia="Calibri" w:cs="Arial"/>
          <w:lang w:val="es-ES_tradnl"/>
        </w:rPr>
        <w:t xml:space="preserve"> la cual define como «[…] los documentos, contratos, actos e información generada por oferentes, contratista, contratante, supervisor o interventor, tanto en la </w:t>
      </w:r>
      <w:r w:rsidRPr="00BD40F9">
        <w:rPr>
          <w:rFonts w:ascii="Arial" w:hAnsi="Arial" w:eastAsia="Calibri" w:cs="Arial"/>
          <w:i/>
          <w:iCs/>
          <w:lang w:val="es-ES_tradnl"/>
        </w:rPr>
        <w:t>etapa precontractual, como en la contractual y la postcontractual</w:t>
      </w:r>
      <w:r w:rsidRPr="00BD40F9">
        <w:rPr>
          <w:rFonts w:ascii="Arial" w:hAnsi="Arial" w:eastAsia="Calibri" w:cs="Arial"/>
          <w:lang w:val="es-ES_tradnl"/>
        </w:rPr>
        <w:t>». En ese sentido, la citada disposición establece el deber de publicar toda aquella información relacionada con el respectivo contrato, sin incluir ninguna excepción relacionada con la naturaleza u objeto contractual</w:t>
      </w:r>
      <w:r w:rsidRPr="00BD40F9" w:rsidR="00FE7DDF">
        <w:rPr>
          <w:rFonts w:ascii="Arial" w:hAnsi="Arial" w:eastAsia="Calibri" w:cs="Arial"/>
          <w:lang w:val="es-ES_tradnl"/>
        </w:rPr>
        <w:t xml:space="preserve">. </w:t>
      </w:r>
      <w:r w:rsidRPr="00BD40F9">
        <w:rPr>
          <w:rFonts w:ascii="Arial" w:hAnsi="Arial" w:eastAsia="Calibri" w:cs="Arial"/>
          <w:lang w:val="es-ES_tradnl"/>
        </w:rPr>
        <w:t xml:space="preserve">Por lo tanto, para que las entidades exceptuadas cumplan con el deber de publicidad consagrado en el artículo 53 de la Ley 2195 de 2022, se requiere que publiquen en el SECOP II todo documento expedido durante las diferentes etapas del </w:t>
      </w:r>
      <w:r w:rsidR="00FE7CC9">
        <w:rPr>
          <w:rFonts w:ascii="Arial" w:hAnsi="Arial" w:eastAsia="Calibri" w:cs="Arial"/>
          <w:lang w:val="es-ES_tradnl"/>
        </w:rPr>
        <w:t>proceso contractual</w:t>
      </w:r>
      <w:r w:rsidRPr="00BD40F9">
        <w:rPr>
          <w:rFonts w:ascii="Arial" w:hAnsi="Arial" w:eastAsia="Calibri" w:cs="Arial"/>
          <w:lang w:val="es-ES_tradnl"/>
        </w:rPr>
        <w:t>, abarcando desde la fase previa a su celebración, pasando por la ejecución y hasta la fase posterior a su ejecución</w:t>
      </w:r>
      <w:r w:rsidR="00606ED0">
        <w:rPr>
          <w:rFonts w:ascii="Arial" w:hAnsi="Arial" w:eastAsia="Calibri" w:cs="Arial"/>
          <w:lang w:val="es-ES_tradnl"/>
        </w:rPr>
        <w:t>.</w:t>
      </w:r>
    </w:p>
    <w:p w:rsidRPr="008F04CD" w:rsidR="00FE7DDF" w:rsidP="00FE7CC9" w:rsidRDefault="00FE7DDF" w14:paraId="51C42BEC" w14:textId="6742651D">
      <w:pPr>
        <w:spacing w:before="120" w:after="120" w:line="276" w:lineRule="auto"/>
        <w:ind w:firstLine="708"/>
        <w:jc w:val="both"/>
        <w:rPr>
          <w:rFonts w:ascii="Arial" w:hAnsi="Arial" w:cs="Arial"/>
          <w:lang w:val="es-ES"/>
        </w:rPr>
      </w:pPr>
      <w:r w:rsidRPr="00BD40F9">
        <w:rPr>
          <w:rFonts w:ascii="Arial" w:hAnsi="Arial" w:eastAsia="Calibri" w:cs="Arial"/>
          <w:lang w:val="es-ES_tradnl"/>
        </w:rPr>
        <w:t xml:space="preserve">Ahora bien, </w:t>
      </w:r>
      <w:r w:rsidRPr="00BD40F9">
        <w:rPr>
          <w:rFonts w:ascii="Arial" w:hAnsi="Arial" w:cs="Arial"/>
          <w:lang w:val="es-ES"/>
        </w:rPr>
        <w:t>le corresponderá a cada entidad definir</w:t>
      </w:r>
      <w:r w:rsidRPr="00BD40F9" w:rsidR="00C71498">
        <w:rPr>
          <w:rFonts w:ascii="Arial" w:hAnsi="Arial" w:cs="Arial"/>
          <w:lang w:val="es-ES"/>
        </w:rPr>
        <w:t xml:space="preserve"> cuáles de las actividades que desarrolla se encuentran cobijadas por </w:t>
      </w:r>
      <w:r w:rsidR="00606ED0">
        <w:rPr>
          <w:rFonts w:ascii="Arial" w:hAnsi="Arial" w:cs="Arial"/>
          <w:lang w:val="es-ES"/>
        </w:rPr>
        <w:t>el deber de publicidad explicado en las consideraciones anteriores</w:t>
      </w:r>
      <w:r w:rsidRPr="00BD40F9" w:rsidR="00C71498">
        <w:rPr>
          <w:rFonts w:ascii="Arial" w:hAnsi="Arial" w:cs="Arial"/>
          <w:lang w:val="es-ES"/>
        </w:rPr>
        <w:t xml:space="preserve">, con el fin de determinar si son objeto de la obligación consagrada en el artículo objeto de estudio. Para el caso de la </w:t>
      </w:r>
      <w:r w:rsidRPr="008F04CD" w:rsidR="00C71498">
        <w:rPr>
          <w:rFonts w:ascii="Arial" w:hAnsi="Arial" w:cs="Arial"/>
          <w:lang w:val="es-ES"/>
        </w:rPr>
        <w:t xml:space="preserve">vinculación de profesionales médicos esta Agencia debe señalar que no es posible pronunciarse </w:t>
      </w:r>
      <w:r w:rsidRPr="008F04CD" w:rsidR="007700A9">
        <w:rPr>
          <w:rFonts w:ascii="Arial" w:hAnsi="Arial" w:cs="Arial"/>
          <w:lang w:val="es-ES"/>
        </w:rPr>
        <w:t>sobre estos caso</w:t>
      </w:r>
      <w:r w:rsidR="00417EFE">
        <w:rPr>
          <w:rFonts w:ascii="Arial" w:hAnsi="Arial" w:cs="Arial"/>
          <w:lang w:val="es-ES"/>
        </w:rPr>
        <w:t>s</w:t>
      </w:r>
      <w:r w:rsidRPr="008F04CD" w:rsidR="007700A9">
        <w:rPr>
          <w:rFonts w:ascii="Arial" w:hAnsi="Arial" w:cs="Arial"/>
          <w:lang w:val="es-ES"/>
        </w:rPr>
        <w:t xml:space="preserve"> particulares</w:t>
      </w:r>
      <w:r w:rsidRPr="008F04CD" w:rsidR="00C71498">
        <w:rPr>
          <w:rFonts w:ascii="Arial" w:hAnsi="Arial" w:cs="Arial"/>
          <w:lang w:val="es-ES"/>
        </w:rPr>
        <w:t xml:space="preserve">, </w:t>
      </w:r>
      <w:r w:rsidR="005D456B">
        <w:rPr>
          <w:rFonts w:ascii="Arial" w:hAnsi="Arial" w:cs="Arial"/>
          <w:lang w:val="es-ES"/>
        </w:rPr>
        <w:t xml:space="preserve">debido al ámbito de competencias señalado en las consideraciones y, adicionalmente, </w:t>
      </w:r>
      <w:r w:rsidRPr="008F04CD" w:rsidR="00C71498">
        <w:rPr>
          <w:rFonts w:ascii="Arial" w:hAnsi="Arial" w:cs="Arial"/>
          <w:lang w:val="es-ES"/>
        </w:rPr>
        <w:t xml:space="preserve">dado que no se conoce la naturaleza de la vinculación de estos profesionales, </w:t>
      </w:r>
      <w:r w:rsidRPr="008F04CD" w:rsidR="00684C4B">
        <w:rPr>
          <w:rFonts w:ascii="Arial" w:hAnsi="Arial" w:cs="Arial"/>
          <w:lang w:val="es-ES"/>
        </w:rPr>
        <w:t>de lo cual dependerá si rige o no la obligación de publicar los documentos relacionados con la actividad contractual</w:t>
      </w:r>
      <w:r w:rsidRPr="008F04CD" w:rsidR="00C71498">
        <w:rPr>
          <w:rFonts w:ascii="Arial" w:hAnsi="Arial" w:cs="Arial"/>
          <w:lang w:val="es-ES"/>
        </w:rPr>
        <w:t xml:space="preserve">. </w:t>
      </w:r>
    </w:p>
    <w:p w:rsidRPr="00BD40F9" w:rsidR="00FB17D4" w:rsidP="00FB17D4" w:rsidRDefault="00FB17D4" w14:paraId="28BF3CE6" w14:textId="77777777">
      <w:pPr>
        <w:spacing w:after="0" w:line="276" w:lineRule="auto"/>
        <w:jc w:val="both"/>
        <w:rPr>
          <w:rFonts w:ascii="Arial" w:hAnsi="Arial" w:eastAsia="Times New Roman" w:cs="Arial"/>
          <w:szCs w:val="24"/>
          <w:lang w:val="es-ES_tradnl" w:eastAsia="es-ES_tradnl"/>
        </w:rPr>
      </w:pPr>
      <w:r w:rsidRPr="00BD40F9">
        <w:rPr>
          <w:rFonts w:ascii="Arial" w:hAnsi="Arial" w:eastAsia="Times New Roman" w:cs="Arial"/>
          <w:szCs w:val="24"/>
          <w:lang w:val="es-ES_tradnl" w:eastAsia="es-ES_tradnl"/>
        </w:rPr>
        <w:t>Este concepto tiene el alcance previsto en el artículo 28 del Código de Procedimiento Administrativo y de lo Contencioso Administrativo.</w:t>
      </w:r>
    </w:p>
    <w:p w:rsidRPr="00BD40F9" w:rsidR="00FB17D4" w:rsidP="00FB17D4" w:rsidRDefault="00FB17D4" w14:paraId="4B8FFF0C" w14:textId="77777777">
      <w:pPr>
        <w:spacing w:after="0" w:line="276" w:lineRule="auto"/>
        <w:jc w:val="both"/>
        <w:rPr>
          <w:rFonts w:ascii="Arial" w:hAnsi="Arial" w:eastAsia="Times New Roman" w:cs="Arial"/>
          <w:lang w:val="es-ES_tradnl" w:eastAsia="es-CO"/>
        </w:rPr>
      </w:pPr>
    </w:p>
    <w:p w:rsidRPr="00BD40F9" w:rsidR="00FB17D4" w:rsidP="00FB17D4" w:rsidRDefault="00FB17D4" w14:paraId="6E3851BD" w14:textId="77777777">
      <w:pPr>
        <w:spacing w:after="0" w:line="276" w:lineRule="auto"/>
        <w:jc w:val="both"/>
        <w:rPr>
          <w:rFonts w:ascii="Arial" w:hAnsi="Arial" w:eastAsia="Times New Roman" w:cs="Arial"/>
          <w:lang w:val="es-ES_tradnl" w:eastAsia="es-CO"/>
        </w:rPr>
      </w:pPr>
      <w:r w:rsidRPr="00BD40F9">
        <w:rPr>
          <w:rFonts w:ascii="Arial" w:hAnsi="Arial" w:eastAsia="Times New Roman" w:cs="Arial"/>
          <w:lang w:val="es-ES_tradnl" w:eastAsia="es-CO"/>
        </w:rPr>
        <w:t>Atentamente,</w:t>
      </w:r>
    </w:p>
    <w:p w:rsidRPr="00BD40F9" w:rsidR="00BC31B2" w:rsidP="00BC31B2" w:rsidRDefault="00A30578" w14:paraId="05623D97" w14:textId="759F673B">
      <w:pPr>
        <w:spacing w:before="120" w:after="0" w:line="276" w:lineRule="auto"/>
        <w:jc w:val="center"/>
        <w:rPr>
          <w:rFonts w:ascii="Arial" w:hAnsi="Arial" w:cs="Arial"/>
          <w:color w:val="000000" w:themeColor="text1"/>
          <w:sz w:val="18"/>
          <w:szCs w:val="20"/>
          <w:lang w:val="es-ES_tradnl" w:eastAsia="es-CO"/>
        </w:rPr>
      </w:pPr>
      <w:bookmarkStart w:name="_Hlk108446929" w:id="12"/>
      <w:r w:rsidRPr="00B56176">
        <w:rPr>
          <w:rFonts w:ascii="Arial" w:hAnsi="Arial" w:eastAsia="Times New Roman" w:cs="Arial"/>
          <w:noProof/>
          <w:color w:val="FF0000"/>
          <w:lang w:eastAsia="es-CO"/>
        </w:rPr>
        <w:drawing>
          <wp:inline distT="0" distB="0" distL="0" distR="0" wp14:anchorId="7F483F69" wp14:editId="11B59E73">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D40F9" w:rsidR="00BC31B2" w:rsidTr="00293086" w14:paraId="25608953" w14:textId="77777777">
        <w:trPr>
          <w:trHeight w:val="315"/>
        </w:trPr>
        <w:tc>
          <w:tcPr>
            <w:tcW w:w="812" w:type="dxa"/>
            <w:vAlign w:val="center"/>
            <w:hideMark/>
          </w:tcPr>
          <w:p w:rsidRPr="00BD40F9" w:rsidR="00BC31B2" w:rsidP="00293086" w:rsidRDefault="00BC31B2" w14:paraId="24E16CB3" w14:textId="77777777">
            <w:pPr>
              <w:jc w:val="both"/>
              <w:rPr>
                <w:rFonts w:ascii="Arial" w:hAnsi="Arial" w:eastAsia="Times New Roman" w:cs="Arial"/>
                <w:color w:val="000000" w:themeColor="text1"/>
                <w:sz w:val="16"/>
                <w:szCs w:val="16"/>
                <w:lang w:val="es-ES_tradnl" w:eastAsia="es-ES"/>
              </w:rPr>
            </w:pPr>
            <w:r w:rsidRPr="00BD40F9">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BD40F9" w:rsidR="00BC31B2" w:rsidP="00293086" w:rsidRDefault="00BC31B2" w14:paraId="7713D442" w14:textId="77777777">
            <w:pPr>
              <w:jc w:val="both"/>
              <w:rPr>
                <w:rFonts w:ascii="Arial" w:hAnsi="Arial" w:eastAsia="Times New Roman" w:cs="Arial"/>
                <w:color w:val="000000" w:themeColor="text1"/>
                <w:sz w:val="16"/>
                <w:szCs w:val="16"/>
                <w:lang w:val="es-ES_tradnl" w:eastAsia="es-ES"/>
              </w:rPr>
            </w:pPr>
            <w:r w:rsidRPr="00BD40F9">
              <w:rPr>
                <w:rFonts w:ascii="Arial" w:hAnsi="Arial" w:eastAsia="Times New Roman" w:cs="Arial"/>
                <w:color w:val="000000" w:themeColor="text1"/>
                <w:sz w:val="16"/>
                <w:szCs w:val="16"/>
                <w:lang w:val="es-ES_tradnl" w:eastAsia="es-ES"/>
              </w:rPr>
              <w:t>Diana Lucia Saavedra Castañeda</w:t>
            </w:r>
          </w:p>
          <w:p w:rsidRPr="00BD40F9" w:rsidR="00BC31B2" w:rsidP="00293086" w:rsidRDefault="00BC31B2" w14:paraId="4EC2E1E2" w14:textId="77777777">
            <w:pPr>
              <w:jc w:val="both"/>
              <w:rPr>
                <w:rFonts w:ascii="Arial" w:hAnsi="Arial" w:eastAsia="Times New Roman" w:cs="Arial"/>
                <w:color w:val="000000" w:themeColor="text1"/>
                <w:sz w:val="16"/>
                <w:szCs w:val="16"/>
                <w:lang w:val="es-ES_tradnl" w:eastAsia="es-ES"/>
              </w:rPr>
            </w:pPr>
            <w:r w:rsidRPr="00BD40F9">
              <w:rPr>
                <w:rFonts w:ascii="Arial" w:hAnsi="Arial" w:eastAsia="Times New Roman" w:cs="Arial"/>
                <w:color w:val="000000" w:themeColor="text1"/>
                <w:sz w:val="16"/>
                <w:szCs w:val="16"/>
                <w:lang w:val="es-ES_tradnl" w:eastAsia="es-ES"/>
              </w:rPr>
              <w:t xml:space="preserve">Contratista de la Subdirección de Gestión Contractual  </w:t>
            </w:r>
          </w:p>
        </w:tc>
      </w:tr>
      <w:tr w:rsidRPr="00BD40F9" w:rsidR="00BC31B2" w:rsidTr="00293086" w14:paraId="2CA592D2" w14:textId="77777777">
        <w:trPr>
          <w:trHeight w:val="330"/>
        </w:trPr>
        <w:tc>
          <w:tcPr>
            <w:tcW w:w="812" w:type="dxa"/>
            <w:vAlign w:val="center"/>
            <w:hideMark/>
          </w:tcPr>
          <w:p w:rsidRPr="00BD40F9" w:rsidR="00BC31B2" w:rsidP="00293086" w:rsidRDefault="00BC31B2" w14:paraId="0380F00D" w14:textId="77777777">
            <w:pPr>
              <w:jc w:val="both"/>
              <w:rPr>
                <w:rFonts w:ascii="Arial" w:hAnsi="Arial" w:eastAsia="Times New Roman" w:cs="Arial"/>
                <w:color w:val="000000" w:themeColor="text1"/>
                <w:sz w:val="16"/>
                <w:szCs w:val="16"/>
                <w:lang w:val="es-ES_tradnl" w:eastAsia="es-ES"/>
              </w:rPr>
            </w:pPr>
            <w:r w:rsidRPr="00BD40F9">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D40F9" w:rsidR="00BC31B2" w:rsidP="00293086" w:rsidRDefault="00BC31B2" w14:paraId="0485CD5C" w14:textId="79A6FA1B">
            <w:pPr>
              <w:rPr>
                <w:rFonts w:ascii="Arial" w:hAnsi="Arial" w:cs="Arial"/>
                <w:color w:val="000000" w:themeColor="text1"/>
                <w:sz w:val="16"/>
                <w:szCs w:val="16"/>
                <w:lang w:eastAsia="es-ES"/>
              </w:rPr>
            </w:pPr>
            <w:r w:rsidRPr="00BD40F9">
              <w:rPr>
                <w:rFonts w:ascii="Arial" w:hAnsi="Arial" w:cs="Arial"/>
                <w:color w:val="000000" w:themeColor="text1"/>
                <w:sz w:val="16"/>
                <w:szCs w:val="16"/>
                <w:lang w:eastAsia="es-ES"/>
              </w:rPr>
              <w:t xml:space="preserve">Sebastián Ramírez Griales </w:t>
            </w:r>
          </w:p>
          <w:p w:rsidRPr="00BD40F9" w:rsidR="00BC31B2" w:rsidP="00293086" w:rsidRDefault="00500D70" w14:paraId="1C240376" w14:textId="792DEBFD">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Contratista</w:t>
            </w:r>
            <w:r w:rsidRPr="00BD40F9" w:rsidR="00BC31B2">
              <w:rPr>
                <w:rFonts w:ascii="Arial" w:hAnsi="Arial" w:eastAsia="Times New Roman" w:cs="Arial"/>
                <w:color w:val="000000" w:themeColor="text1"/>
                <w:sz w:val="16"/>
                <w:szCs w:val="16"/>
                <w:lang w:val="es-ES_tradnl" w:eastAsia="es-ES"/>
              </w:rPr>
              <w:t xml:space="preserve"> de la Subdirección de Gestión Contractual</w:t>
            </w:r>
          </w:p>
        </w:tc>
      </w:tr>
      <w:tr w:rsidRPr="00991DDD" w:rsidR="00BC31B2" w:rsidTr="00293086" w14:paraId="0BDCD101" w14:textId="77777777">
        <w:trPr>
          <w:trHeight w:val="300"/>
        </w:trPr>
        <w:tc>
          <w:tcPr>
            <w:tcW w:w="812" w:type="dxa"/>
            <w:vAlign w:val="center"/>
            <w:hideMark/>
          </w:tcPr>
          <w:p w:rsidRPr="00BD40F9" w:rsidR="00BC31B2" w:rsidP="00293086" w:rsidRDefault="00BC31B2" w14:paraId="66FE4AAB" w14:textId="77777777">
            <w:pPr>
              <w:jc w:val="both"/>
              <w:rPr>
                <w:rFonts w:ascii="Arial" w:hAnsi="Arial" w:eastAsia="Times New Roman" w:cs="Arial"/>
                <w:color w:val="000000" w:themeColor="text1"/>
                <w:sz w:val="16"/>
                <w:szCs w:val="16"/>
                <w:lang w:val="es-ES_tradnl" w:eastAsia="es-ES"/>
              </w:rPr>
            </w:pPr>
            <w:r w:rsidRPr="00BD40F9">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D40F9" w:rsidR="00BC31B2" w:rsidP="00293086" w:rsidRDefault="00BC31B2" w14:paraId="44836DCB" w14:textId="77777777">
            <w:pPr>
              <w:jc w:val="both"/>
              <w:rPr>
                <w:rFonts w:ascii="Arial" w:hAnsi="Arial" w:eastAsia="Times New Roman" w:cs="Arial"/>
                <w:color w:val="000000" w:themeColor="text1"/>
                <w:sz w:val="16"/>
                <w:szCs w:val="16"/>
                <w:lang w:val="es-ES_tradnl" w:eastAsia="es-ES"/>
              </w:rPr>
            </w:pPr>
            <w:r w:rsidRPr="00BD40F9">
              <w:rPr>
                <w:rFonts w:ascii="Arial" w:hAnsi="Arial" w:eastAsia="Times New Roman" w:cs="Arial"/>
                <w:color w:val="000000" w:themeColor="text1"/>
                <w:sz w:val="16"/>
                <w:szCs w:val="16"/>
                <w:lang w:val="es-ES_tradnl" w:eastAsia="es-ES"/>
              </w:rPr>
              <w:t>Juan David Marín López</w:t>
            </w:r>
          </w:p>
          <w:p w:rsidRPr="00D1707E" w:rsidR="00BC31B2" w:rsidP="00293086" w:rsidRDefault="00BC31B2" w14:paraId="0117DF43" w14:textId="71C33CAC">
            <w:pPr>
              <w:jc w:val="both"/>
              <w:rPr>
                <w:rFonts w:ascii="Arial" w:hAnsi="Arial" w:eastAsia="Times New Roman" w:cs="Arial"/>
                <w:color w:val="000000" w:themeColor="text1"/>
                <w:sz w:val="16"/>
                <w:szCs w:val="16"/>
                <w:lang w:val="es-ES_tradnl" w:eastAsia="es-ES"/>
              </w:rPr>
            </w:pPr>
            <w:r w:rsidRPr="00BD40F9">
              <w:rPr>
                <w:rFonts w:ascii="Arial" w:hAnsi="Arial" w:eastAsia="Times New Roman" w:cs="Arial"/>
                <w:color w:val="000000" w:themeColor="text1"/>
                <w:sz w:val="16"/>
                <w:szCs w:val="16"/>
                <w:lang w:val="es-ES_tradnl" w:eastAsia="es-ES"/>
              </w:rPr>
              <w:t>Subdirector de Gestión Contractual (E)</w:t>
            </w:r>
          </w:p>
        </w:tc>
      </w:tr>
      <w:bookmarkEnd w:id="12"/>
    </w:tbl>
    <w:p w:rsidRPr="008A6A89" w:rsidR="00BC31B2" w:rsidP="00FB17D4" w:rsidRDefault="00BC31B2" w14:paraId="0D2FFF4F" w14:textId="77777777">
      <w:pPr>
        <w:spacing w:after="0" w:line="276" w:lineRule="auto"/>
        <w:jc w:val="both"/>
        <w:rPr>
          <w:rFonts w:ascii="Arial" w:hAnsi="Arial" w:eastAsia="Times New Roman" w:cs="Arial"/>
          <w:lang w:val="es-ES_tradnl" w:eastAsia="es-CO"/>
        </w:rPr>
      </w:pPr>
    </w:p>
    <w:p w:rsidRPr="008A6A89" w:rsidR="00FB17D4" w:rsidP="00FB17D4" w:rsidRDefault="00FB17D4" w14:paraId="40F01D03" w14:textId="77777777">
      <w:pPr>
        <w:spacing w:after="0" w:line="240" w:lineRule="auto"/>
        <w:jc w:val="both"/>
        <w:rPr>
          <w:rFonts w:ascii="Arial" w:hAnsi="Arial" w:eastAsia="Times New Roman" w:cs="Arial"/>
          <w:sz w:val="24"/>
          <w:szCs w:val="24"/>
          <w:lang w:val="es-ES_tradnl" w:eastAsia="es-ES_tradnl"/>
        </w:rPr>
      </w:pPr>
    </w:p>
    <w:bookmarkEnd w:id="3"/>
    <w:p w:rsidRPr="008A6A89" w:rsidR="005B7448" w:rsidRDefault="005B7448" w14:paraId="5695E237" w14:textId="77777777"/>
    <w:sectPr w:rsidRPr="008A6A89" w:rsidR="005B7448" w:rsidSect="005D791B">
      <w:headerReference w:type="default" r:id="rId14"/>
      <w:footerReference w:type="default" r:id="rId15"/>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CDC" w:rsidP="00FB17D4" w:rsidRDefault="009D4CDC" w14:paraId="27F5C51A" w14:textId="77777777">
      <w:pPr>
        <w:spacing w:after="0" w:line="240" w:lineRule="auto"/>
      </w:pPr>
      <w:r>
        <w:separator/>
      </w:r>
    </w:p>
  </w:endnote>
  <w:endnote w:type="continuationSeparator" w:id="0">
    <w:p w:rsidR="009D4CDC" w:rsidP="00FB17D4" w:rsidRDefault="009D4CDC" w14:paraId="369A18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A59DE" w:rsidP="00322937" w:rsidRDefault="00A30578" w14:paraId="37680960" w14:textId="77777777">
    <w:pPr>
      <w:pStyle w:val="Sinespaciado"/>
      <w:jc w:val="right"/>
      <w:rPr>
        <w:rFonts w:ascii="Arial" w:hAnsi="Arial" w:cs="Arial"/>
        <w:sz w:val="18"/>
        <w:szCs w:val="18"/>
      </w:rPr>
    </w:pPr>
  </w:p>
  <w:p w:rsidRPr="00FB17D4" w:rsidR="006A59DE" w:rsidP="00FE42ED" w:rsidRDefault="002972B7" w14:paraId="2D3C8B62" w14:textId="77777777">
    <w:pPr>
      <w:pStyle w:val="Piedepgina"/>
      <w:jc w:val="right"/>
      <w:rPr>
        <w:rFonts w:ascii="Arial" w:hAnsi="Arial" w:cs="Arial"/>
        <w:color w:val="7F7F7F"/>
        <w:sz w:val="16"/>
        <w:szCs w:val="16"/>
      </w:rPr>
    </w:pPr>
    <w:r w:rsidRPr="00FB17D4">
      <w:rPr>
        <w:rFonts w:ascii="Arial" w:hAnsi="Arial" w:cs="Arial"/>
        <w:bCs/>
        <w:color w:val="7F7F7F"/>
        <w:sz w:val="16"/>
        <w:szCs w:val="16"/>
      </w:rPr>
      <w:t xml:space="preserve">Página </w:t>
    </w:r>
    <w:r w:rsidRPr="00FB17D4">
      <w:rPr>
        <w:rFonts w:ascii="Arial" w:hAnsi="Arial" w:cs="Arial"/>
        <w:b/>
        <w:bCs/>
        <w:color w:val="7F7F7F"/>
        <w:sz w:val="16"/>
        <w:szCs w:val="16"/>
      </w:rPr>
      <w:fldChar w:fldCharType="begin"/>
    </w:r>
    <w:r w:rsidRPr="00FB17D4">
      <w:rPr>
        <w:rFonts w:ascii="Arial" w:hAnsi="Arial" w:cs="Arial"/>
        <w:b/>
        <w:bCs/>
        <w:color w:val="7F7F7F"/>
        <w:sz w:val="16"/>
        <w:szCs w:val="16"/>
      </w:rPr>
      <w:instrText>PAGE  \* Arabic  \* MERGEFORMAT</w:instrText>
    </w:r>
    <w:r w:rsidRPr="00FB17D4">
      <w:rPr>
        <w:rFonts w:ascii="Arial" w:hAnsi="Arial" w:cs="Arial"/>
        <w:b/>
        <w:bCs/>
        <w:color w:val="7F7F7F"/>
        <w:sz w:val="16"/>
        <w:szCs w:val="16"/>
      </w:rPr>
      <w:fldChar w:fldCharType="separate"/>
    </w:r>
    <w:r w:rsidRPr="00FB17D4">
      <w:rPr>
        <w:rFonts w:ascii="Arial" w:hAnsi="Arial" w:cs="Arial"/>
        <w:b/>
        <w:bCs/>
        <w:noProof/>
        <w:color w:val="7F7F7F"/>
        <w:sz w:val="16"/>
        <w:szCs w:val="16"/>
      </w:rPr>
      <w:t>2</w:t>
    </w:r>
    <w:r w:rsidRPr="00FB17D4">
      <w:rPr>
        <w:rFonts w:ascii="Arial" w:hAnsi="Arial" w:cs="Arial"/>
        <w:b/>
        <w:bCs/>
        <w:color w:val="7F7F7F"/>
        <w:sz w:val="16"/>
        <w:szCs w:val="16"/>
      </w:rPr>
      <w:fldChar w:fldCharType="end"/>
    </w:r>
    <w:r w:rsidRPr="00FB17D4">
      <w:rPr>
        <w:rFonts w:ascii="Arial" w:hAnsi="Arial" w:cs="Arial"/>
        <w:color w:val="7F7F7F"/>
        <w:sz w:val="16"/>
        <w:szCs w:val="16"/>
      </w:rPr>
      <w:t xml:space="preserve"> de </w:t>
    </w:r>
    <w:r w:rsidRPr="00FB17D4">
      <w:rPr>
        <w:rFonts w:ascii="Arial" w:hAnsi="Arial" w:cs="Arial"/>
        <w:b/>
        <w:bCs/>
        <w:color w:val="7F7F7F"/>
        <w:sz w:val="16"/>
        <w:szCs w:val="16"/>
      </w:rPr>
      <w:fldChar w:fldCharType="begin"/>
    </w:r>
    <w:r w:rsidRPr="00FB17D4">
      <w:rPr>
        <w:rFonts w:ascii="Arial" w:hAnsi="Arial" w:cs="Arial"/>
        <w:b/>
        <w:bCs/>
        <w:color w:val="7F7F7F"/>
        <w:sz w:val="16"/>
        <w:szCs w:val="16"/>
      </w:rPr>
      <w:instrText>NUMPAGES  \* Arabic  \* MERGEFORMAT</w:instrText>
    </w:r>
    <w:r w:rsidRPr="00FB17D4">
      <w:rPr>
        <w:rFonts w:ascii="Arial" w:hAnsi="Arial" w:cs="Arial"/>
        <w:b/>
        <w:bCs/>
        <w:color w:val="7F7F7F"/>
        <w:sz w:val="16"/>
        <w:szCs w:val="16"/>
      </w:rPr>
      <w:fldChar w:fldCharType="separate"/>
    </w:r>
    <w:r w:rsidRPr="00FB17D4">
      <w:rPr>
        <w:rFonts w:ascii="Arial" w:hAnsi="Arial" w:cs="Arial"/>
        <w:b/>
        <w:bCs/>
        <w:noProof/>
        <w:color w:val="7F7F7F"/>
        <w:sz w:val="16"/>
        <w:szCs w:val="16"/>
      </w:rPr>
      <w:t>15</w:t>
    </w:r>
    <w:r w:rsidRPr="00FB17D4">
      <w:rPr>
        <w:rFonts w:ascii="Arial" w:hAnsi="Arial" w:cs="Arial"/>
        <w:b/>
        <w:bCs/>
        <w:color w:val="7F7F7F"/>
        <w:sz w:val="16"/>
        <w:szCs w:val="16"/>
      </w:rPr>
      <w:fldChar w:fldCharType="end"/>
    </w:r>
  </w:p>
  <w:p w:rsidR="006A59DE" w:rsidP="00322937" w:rsidRDefault="002972B7" w14:paraId="06BBEA79" w14:textId="77777777">
    <w:pPr>
      <w:pStyle w:val="Piedepgina"/>
      <w:jc w:val="center"/>
      <w:rPr>
        <w:lang w:val="es-ES"/>
      </w:rPr>
    </w:pPr>
    <w:r>
      <w:rPr>
        <w:noProof/>
        <w:lang w:val="es-ES_tradnl" w:eastAsia="es-ES_tradnl"/>
      </w:rPr>
      <w:drawing>
        <wp:inline distT="0" distB="0" distL="0" distR="0" wp14:anchorId="7D9A63F3" wp14:editId="26F95F0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6A59DE" w:rsidP="007B0854" w:rsidRDefault="00A30578" w14:paraId="721EDC73" w14:textId="77777777">
    <w:pPr>
      <w:pStyle w:val="Piedepgina"/>
      <w:jc w:val="center"/>
      <w:rPr>
        <w:lang w:val="es-ES"/>
      </w:rPr>
    </w:pPr>
  </w:p>
  <w:p w:rsidRPr="007B0854" w:rsidR="006A59DE" w:rsidP="007B0854" w:rsidRDefault="00A30578" w14:paraId="24FC2655"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CDC" w:rsidP="00FB17D4" w:rsidRDefault="009D4CDC" w14:paraId="5E5A86F4" w14:textId="77777777">
      <w:pPr>
        <w:spacing w:after="0" w:line="240" w:lineRule="auto"/>
      </w:pPr>
      <w:r>
        <w:separator/>
      </w:r>
    </w:p>
  </w:footnote>
  <w:footnote w:type="continuationSeparator" w:id="0">
    <w:p w:rsidR="009D4CDC" w:rsidP="00FB17D4" w:rsidRDefault="009D4CDC" w14:paraId="363493D4" w14:textId="77777777">
      <w:pPr>
        <w:spacing w:after="0" w:line="240" w:lineRule="auto"/>
      </w:pPr>
      <w:r>
        <w:continuationSeparator/>
      </w:r>
    </w:p>
  </w:footnote>
  <w:footnote w:id="1">
    <w:p w:rsidRPr="00D77B72" w:rsidR="009307C5" w:rsidP="00D77B72" w:rsidRDefault="009307C5" w14:paraId="76B8C20C" w14:textId="732E9D51">
      <w:pPr>
        <w:pBdr>
          <w:top w:val="nil"/>
          <w:left w:val="nil"/>
          <w:bottom w:val="nil"/>
          <w:right w:val="nil"/>
          <w:between w:val="nil"/>
        </w:pBdr>
        <w:spacing w:after="0" w:line="240" w:lineRule="auto"/>
        <w:ind w:firstLine="709"/>
        <w:jc w:val="both"/>
        <w:rPr>
          <w:rFonts w:ascii="Arial" w:hAnsi="Arial" w:eastAsia="Arial" w:cs="Arial"/>
          <w:sz w:val="19"/>
          <w:szCs w:val="19"/>
        </w:rPr>
      </w:pPr>
      <w:r w:rsidRPr="00D77B72">
        <w:rPr>
          <w:rFonts w:ascii="Arial" w:hAnsi="Arial" w:cs="Arial"/>
          <w:sz w:val="19"/>
          <w:szCs w:val="19"/>
          <w:vertAlign w:val="superscript"/>
        </w:rPr>
        <w:footnoteRef/>
      </w:r>
      <w:r w:rsidRPr="00D77B72">
        <w:rPr>
          <w:rFonts w:ascii="Arial" w:hAnsi="Arial" w:eastAsia="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77B72">
        <w:rPr>
          <w:rFonts w:ascii="Arial" w:hAnsi="Arial" w:eastAsia="Arial" w:cs="Arial"/>
          <w:i/>
          <w:sz w:val="19"/>
          <w:szCs w:val="19"/>
        </w:rPr>
        <w:t xml:space="preserve">ibídem </w:t>
      </w:r>
      <w:r w:rsidRPr="00D77B72">
        <w:rPr>
          <w:rFonts w:ascii="Arial" w:hAnsi="Arial" w:eastAsia="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rsidRPr="00D77B72" w:rsidR="0007194A" w:rsidP="00D77B72" w:rsidRDefault="0007194A" w14:paraId="5E56140D" w14:textId="77777777">
      <w:pPr>
        <w:pBdr>
          <w:top w:val="nil"/>
          <w:left w:val="nil"/>
          <w:bottom w:val="nil"/>
          <w:right w:val="nil"/>
          <w:between w:val="nil"/>
        </w:pBdr>
        <w:spacing w:after="0" w:line="240" w:lineRule="auto"/>
        <w:ind w:firstLine="709"/>
        <w:jc w:val="both"/>
        <w:rPr>
          <w:rFonts w:ascii="Arial" w:hAnsi="Arial" w:eastAsia="Arial" w:cs="Arial"/>
          <w:sz w:val="19"/>
          <w:szCs w:val="19"/>
        </w:rPr>
      </w:pPr>
    </w:p>
  </w:footnote>
  <w:footnote w:id="2">
    <w:p w:rsidRPr="00D77B72" w:rsidR="007D3434" w:rsidP="00D77B72" w:rsidRDefault="007D3434" w14:paraId="7B6753EB" w14:textId="463AEF89">
      <w:pPr>
        <w:spacing w:after="0" w:line="240" w:lineRule="auto"/>
        <w:ind w:firstLine="707"/>
        <w:jc w:val="both"/>
        <w:rPr>
          <w:rFonts w:ascii="Arial" w:hAnsi="Arial" w:cs="Arial"/>
          <w:sz w:val="19"/>
          <w:szCs w:val="19"/>
        </w:rPr>
      </w:pPr>
      <w:r w:rsidRPr="00D77B72">
        <w:rPr>
          <w:rStyle w:val="Refdenotaalpie"/>
          <w:rFonts w:ascii="Arial" w:hAnsi="Arial" w:cs="Arial"/>
          <w:sz w:val="19"/>
          <w:szCs w:val="19"/>
        </w:rPr>
        <w:footnoteRef/>
      </w:r>
      <w:r w:rsidRPr="00D77B72">
        <w:rPr>
          <w:rFonts w:ascii="Arial" w:hAnsi="Arial" w:cs="Arial"/>
          <w:sz w:val="19"/>
          <w:szCs w:val="19"/>
          <w:vertAlign w:val="superscript"/>
        </w:rPr>
        <w:t xml:space="preserve"> </w:t>
      </w:r>
      <w:r w:rsidRPr="00D77B72">
        <w:rPr>
          <w:rFonts w:ascii="Arial" w:hAnsi="Arial" w:cs="Arial"/>
          <w:sz w:val="19"/>
          <w:szCs w:val="19"/>
        </w:rPr>
        <w:t>Ley 1712 de 2014: «Artículo 2. Toda información en posesión, bajo control o custodia de un sujeto obligado es pública y no podrá ser reservada o limitada sino por disposición constitucional o legal, de conformidad con la presente ley».</w:t>
      </w:r>
    </w:p>
  </w:footnote>
  <w:footnote w:id="3">
    <w:p w:rsidRPr="00D77B72" w:rsidR="00B24157" w:rsidP="00D77B72" w:rsidRDefault="00B24157" w14:paraId="058B049D" w14:textId="77777777">
      <w:pPr>
        <w:pStyle w:val="Textonotapie"/>
        <w:jc w:val="both"/>
        <w:rPr>
          <w:rFonts w:ascii="Arial" w:hAnsi="Arial" w:cs="Arial"/>
          <w:sz w:val="19"/>
          <w:szCs w:val="19"/>
        </w:rPr>
      </w:pPr>
    </w:p>
    <w:p w:rsidRPr="00D77B72" w:rsidR="000C68FC" w:rsidP="00D77B72" w:rsidRDefault="00F3516B" w14:paraId="2D6F7606" w14:textId="09EC8A22">
      <w:pPr>
        <w:pStyle w:val="Textonotapie"/>
        <w:ind w:firstLine="707"/>
        <w:jc w:val="both"/>
        <w:rPr>
          <w:rFonts w:ascii="Arial" w:hAnsi="Arial" w:cs="Arial"/>
          <w:sz w:val="19"/>
          <w:szCs w:val="19"/>
          <w:lang w:val="es-CO"/>
        </w:rPr>
      </w:pPr>
      <w:r w:rsidRPr="00D77B72">
        <w:rPr>
          <w:rStyle w:val="Refdenotaalpie"/>
          <w:rFonts w:ascii="Arial" w:hAnsi="Arial" w:cs="Arial"/>
          <w:sz w:val="19"/>
          <w:szCs w:val="19"/>
        </w:rPr>
        <w:footnoteRef/>
      </w:r>
      <w:r w:rsidRPr="00D77B72">
        <w:rPr>
          <w:rFonts w:ascii="Arial" w:hAnsi="Arial" w:cs="Arial"/>
          <w:sz w:val="19"/>
          <w:szCs w:val="19"/>
          <w:vertAlign w:val="superscript"/>
        </w:rPr>
        <w:t xml:space="preserve"> </w:t>
      </w:r>
      <w:r w:rsidRPr="00D77B72">
        <w:rPr>
          <w:rFonts w:ascii="Arial" w:hAnsi="Arial" w:cs="Arial"/>
          <w:sz w:val="19"/>
          <w:szCs w:val="19"/>
        </w:rPr>
        <w:t xml:space="preserve">Ley 1712 de 2014: «Artículo 3. </w:t>
      </w:r>
      <w:bookmarkStart w:name="3" w:id="7"/>
      <w:r w:rsidRPr="00D77B72" w:rsidR="00B24157">
        <w:rPr>
          <w:rFonts w:ascii="Arial" w:hAnsi="Arial" w:cs="Arial"/>
          <w:sz w:val="19"/>
          <w:szCs w:val="19"/>
          <w:lang w:val="es-CO"/>
        </w:rPr>
        <w:t>Otros principios de la transparencia y acceso a la información pública.</w:t>
      </w:r>
      <w:bookmarkEnd w:id="7"/>
      <w:r w:rsidRPr="00D77B72" w:rsidR="00B24157">
        <w:rPr>
          <w:rFonts w:ascii="Arial" w:hAnsi="Arial" w:cs="Arial"/>
          <w:sz w:val="19"/>
          <w:szCs w:val="19"/>
          <w:lang w:val="es-CO"/>
        </w:rPr>
        <w:t> </w:t>
      </w:r>
    </w:p>
    <w:p w:rsidRPr="00D77B72" w:rsidR="00B24157" w:rsidP="00D77B72" w:rsidRDefault="00B24157" w14:paraId="55A38D81" w14:textId="5E95A1DD">
      <w:pPr>
        <w:pStyle w:val="Textonotapie"/>
        <w:ind w:firstLine="707"/>
        <w:jc w:val="both"/>
        <w:rPr>
          <w:rFonts w:ascii="Arial" w:hAnsi="Arial" w:cs="Arial"/>
          <w:sz w:val="19"/>
          <w:szCs w:val="19"/>
          <w:lang w:val="es-CO"/>
        </w:rPr>
      </w:pPr>
      <w:r w:rsidRPr="00D77B72">
        <w:rPr>
          <w:rFonts w:ascii="Arial" w:hAnsi="Arial" w:cs="Arial"/>
          <w:sz w:val="19"/>
          <w:szCs w:val="19"/>
          <w:lang w:val="es-CO"/>
        </w:rPr>
        <w:t>[…]</w:t>
      </w:r>
    </w:p>
    <w:p w:rsidRPr="00D77B72" w:rsidR="006E4BF6" w:rsidP="00D77B72" w:rsidRDefault="006E4BF6" w14:paraId="3B0D2D04" w14:textId="0CD729DC">
      <w:pPr>
        <w:pStyle w:val="Textonotapie"/>
        <w:ind w:firstLine="707"/>
        <w:jc w:val="both"/>
        <w:rPr>
          <w:rFonts w:ascii="Arial" w:hAnsi="Arial" w:cs="Arial"/>
          <w:sz w:val="19"/>
          <w:szCs w:val="19"/>
        </w:rPr>
      </w:pPr>
      <w:r w:rsidRPr="00D77B72">
        <w:rPr>
          <w:rStyle w:val="baj"/>
          <w:rFonts w:ascii="Arial" w:hAnsi="Arial" w:cs="Arial"/>
          <w:b/>
          <w:bCs/>
          <w:sz w:val="19"/>
          <w:szCs w:val="19"/>
        </w:rPr>
        <w:t>Principio de transparencia</w:t>
      </w:r>
      <w:r w:rsidRPr="00D77B72">
        <w:rPr>
          <w:rFonts w:ascii="Arial" w:hAnsi="Arial" w:cs="Arial"/>
          <w:sz w:val="19"/>
          <w:szCs w:val="19"/>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Pr="00D77B72" w:rsidR="001F7C30" w:rsidP="00D77B72" w:rsidRDefault="001F7C30" w14:paraId="356DA262" w14:textId="77777777">
      <w:pPr>
        <w:pStyle w:val="Textonotapie"/>
        <w:jc w:val="both"/>
        <w:rPr>
          <w:rFonts w:ascii="Arial" w:hAnsi="Arial" w:cs="Arial"/>
          <w:sz w:val="19"/>
          <w:szCs w:val="19"/>
          <w:lang w:val="es-CO"/>
        </w:rPr>
      </w:pPr>
    </w:p>
  </w:footnote>
  <w:footnote w:id="4">
    <w:p w:rsidRPr="00D77B72" w:rsidR="006E4BF6" w:rsidP="00D77B72" w:rsidRDefault="006E4BF6" w14:paraId="7E2075EE" w14:textId="13FCE641">
      <w:pPr>
        <w:pStyle w:val="Textonotapie"/>
        <w:ind w:firstLine="707"/>
        <w:jc w:val="both"/>
        <w:rPr>
          <w:rFonts w:ascii="Arial" w:hAnsi="Arial" w:cs="Arial"/>
          <w:sz w:val="19"/>
          <w:szCs w:val="19"/>
          <w:lang w:val="es-CO"/>
        </w:rPr>
      </w:pPr>
      <w:r w:rsidRPr="00D77B72">
        <w:rPr>
          <w:rStyle w:val="Refdenotaalpie"/>
          <w:rFonts w:ascii="Arial" w:hAnsi="Arial" w:cs="Arial"/>
          <w:sz w:val="19"/>
          <w:szCs w:val="19"/>
        </w:rPr>
        <w:footnoteRef/>
      </w:r>
      <w:r w:rsidRPr="00D77B72">
        <w:rPr>
          <w:rFonts w:ascii="Arial" w:hAnsi="Arial" w:cs="Arial"/>
          <w:sz w:val="19"/>
          <w:szCs w:val="19"/>
          <w:vertAlign w:val="superscript"/>
        </w:rPr>
        <w:t xml:space="preserve"> </w:t>
      </w:r>
      <w:r w:rsidRPr="00D77B72">
        <w:rPr>
          <w:rFonts w:ascii="Arial" w:hAnsi="Arial" w:cs="Arial"/>
          <w:sz w:val="19"/>
          <w:szCs w:val="19"/>
        </w:rPr>
        <w:t xml:space="preserve">Ley 1712 de 2014: «Artículo 3. </w:t>
      </w:r>
      <w:r w:rsidRPr="00D77B72">
        <w:rPr>
          <w:rFonts w:ascii="Arial" w:hAnsi="Arial" w:cs="Arial"/>
          <w:sz w:val="19"/>
          <w:szCs w:val="19"/>
          <w:lang w:val="es-CO"/>
        </w:rPr>
        <w:t>Otros principios de la transparencia y acceso a la información pública. </w:t>
      </w:r>
    </w:p>
    <w:p w:rsidRPr="00D77B72" w:rsidR="006E4BF6" w:rsidP="00D77B72" w:rsidRDefault="006E4BF6" w14:paraId="0D162228" w14:textId="1B2C451F">
      <w:pPr>
        <w:pStyle w:val="Textonotapie"/>
        <w:ind w:firstLine="707"/>
        <w:jc w:val="both"/>
        <w:rPr>
          <w:rFonts w:ascii="Arial" w:hAnsi="Arial" w:cs="Arial"/>
          <w:sz w:val="19"/>
          <w:szCs w:val="19"/>
          <w:lang w:val="es-ES"/>
        </w:rPr>
      </w:pPr>
      <w:r w:rsidRPr="00D77B72">
        <w:rPr>
          <w:rFonts w:ascii="Arial" w:hAnsi="Arial" w:cs="Arial"/>
          <w:sz w:val="19"/>
          <w:szCs w:val="19"/>
          <w:lang w:val="es-ES"/>
        </w:rPr>
        <w:t>[…]</w:t>
      </w:r>
    </w:p>
    <w:p w:rsidRPr="00D77B72" w:rsidR="006E4BF6" w:rsidP="00D77B72" w:rsidRDefault="00D63EEC" w14:paraId="5FF1D39E" w14:textId="0A8B8165">
      <w:pPr>
        <w:pStyle w:val="Textonotapie"/>
        <w:ind w:firstLine="707"/>
        <w:jc w:val="both"/>
        <w:rPr>
          <w:rFonts w:ascii="Arial" w:hAnsi="Arial" w:cs="Arial"/>
          <w:sz w:val="19"/>
          <w:szCs w:val="19"/>
          <w:lang w:val="es-ES"/>
        </w:rPr>
      </w:pPr>
      <w:r w:rsidRPr="00D77B72">
        <w:rPr>
          <w:rStyle w:val="baj"/>
          <w:rFonts w:ascii="Arial" w:hAnsi="Arial" w:cs="Arial"/>
          <w:b/>
          <w:bCs/>
          <w:sz w:val="19"/>
          <w:szCs w:val="19"/>
        </w:rPr>
        <w:t>Principio de buena fe</w:t>
      </w:r>
      <w:r w:rsidRPr="00D77B72">
        <w:rPr>
          <w:rFonts w:ascii="Arial" w:hAnsi="Arial" w:cs="Arial"/>
          <w:sz w:val="19"/>
          <w:szCs w:val="19"/>
        </w:rPr>
        <w:t>. En virtud del cual todo sujeto obligado, al cumplir con las obligaciones derivadas del derecho de acceso a la información pública, lo hará con motivación honesta, leal y desprovista de cualquier intención dolosa o culposa.</w:t>
      </w:r>
    </w:p>
  </w:footnote>
  <w:footnote w:id="5">
    <w:p w:rsidRPr="00D77B72" w:rsidR="00FA2ECB" w:rsidP="00D77B72" w:rsidRDefault="00FA2ECB" w14:paraId="54B90527" w14:textId="77777777">
      <w:pPr>
        <w:spacing w:after="0" w:line="240" w:lineRule="auto"/>
        <w:ind w:firstLine="707"/>
        <w:jc w:val="both"/>
        <w:rPr>
          <w:rFonts w:ascii="Arial" w:hAnsi="Arial" w:cs="Arial"/>
          <w:sz w:val="19"/>
          <w:szCs w:val="19"/>
        </w:rPr>
      </w:pPr>
    </w:p>
    <w:p w:rsidRPr="00D77B72" w:rsidR="00FA2ECB" w:rsidP="00D77B72" w:rsidRDefault="00FA2ECB" w14:paraId="59078268" w14:textId="77777777">
      <w:pPr>
        <w:spacing w:after="0" w:line="240" w:lineRule="auto"/>
        <w:ind w:firstLine="707"/>
        <w:jc w:val="both"/>
        <w:rPr>
          <w:rFonts w:ascii="Arial" w:hAnsi="Arial" w:cs="Arial"/>
          <w:sz w:val="19"/>
          <w:szCs w:val="19"/>
        </w:rPr>
      </w:pPr>
      <w:r w:rsidRPr="00D77B72">
        <w:rPr>
          <w:rStyle w:val="Refdenotaalpie"/>
          <w:rFonts w:ascii="Arial" w:hAnsi="Arial" w:cs="Arial"/>
          <w:sz w:val="19"/>
          <w:szCs w:val="19"/>
        </w:rPr>
        <w:footnoteRef/>
      </w:r>
      <w:r w:rsidRPr="00D77B72">
        <w:rPr>
          <w:rFonts w:ascii="Arial" w:hAnsi="Arial" w:cs="Arial"/>
          <w:sz w:val="19"/>
          <w:szCs w:val="19"/>
        </w:rPr>
        <w:t xml:space="preserve"> Ley 1712 de 2014: «Artículo 5. Ámbito de aplicación. Las disposiciones de esta ley serán aplicables a las siguientes personas en calidad de sujetos obligados:</w:t>
      </w:r>
    </w:p>
    <w:p w:rsidRPr="00D77B72" w:rsidR="00FA2ECB" w:rsidP="00D77B72" w:rsidRDefault="00FA2ECB" w14:paraId="1022B670" w14:textId="77777777">
      <w:pPr>
        <w:spacing w:after="0" w:line="240" w:lineRule="auto"/>
        <w:ind w:firstLine="707"/>
        <w:jc w:val="both"/>
        <w:rPr>
          <w:rFonts w:ascii="Arial" w:hAnsi="Arial" w:cs="Arial"/>
          <w:sz w:val="19"/>
          <w:szCs w:val="19"/>
        </w:rPr>
      </w:pPr>
      <w:r w:rsidRPr="00D77B72">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D77B72" w:rsidR="00FA2ECB" w:rsidP="00D77B72" w:rsidRDefault="00FA2ECB" w14:paraId="1EBD9452" w14:textId="77777777">
      <w:pPr>
        <w:pStyle w:val="Textonotapie"/>
        <w:jc w:val="both"/>
        <w:rPr>
          <w:rFonts w:ascii="Arial" w:hAnsi="Arial" w:cs="Arial"/>
          <w:sz w:val="19"/>
          <w:szCs w:val="19"/>
        </w:rPr>
      </w:pPr>
    </w:p>
  </w:footnote>
  <w:footnote w:id="6">
    <w:p w:rsidRPr="00D77B72" w:rsidR="007D3434" w:rsidP="00D77B72" w:rsidRDefault="007D3434" w14:paraId="2302604A" w14:textId="77777777">
      <w:pPr>
        <w:spacing w:after="0" w:line="240" w:lineRule="auto"/>
        <w:ind w:firstLine="709"/>
        <w:jc w:val="both"/>
        <w:rPr>
          <w:rFonts w:ascii="Arial" w:hAnsi="Arial" w:cs="Arial"/>
          <w:sz w:val="19"/>
          <w:szCs w:val="19"/>
        </w:rPr>
      </w:pPr>
      <w:r w:rsidRPr="00D77B72">
        <w:rPr>
          <w:rStyle w:val="Refdenotaalpie"/>
          <w:rFonts w:ascii="Arial" w:hAnsi="Arial" w:cs="Arial"/>
          <w:sz w:val="19"/>
          <w:szCs w:val="19"/>
        </w:rPr>
        <w:footnoteRef/>
      </w:r>
      <w:r w:rsidRPr="00D77B72">
        <w:rPr>
          <w:rFonts w:ascii="Arial" w:hAnsi="Arial" w:cs="Arial"/>
          <w:sz w:val="19"/>
          <w:szCs w:val="19"/>
        </w:rPr>
        <w:t xml:space="preserve">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rsidRPr="00D77B72" w:rsidR="007D3434" w:rsidP="00D77B72" w:rsidRDefault="007D3434" w14:paraId="2D34B96C" w14:textId="77777777">
      <w:pPr>
        <w:spacing w:after="0" w:line="240" w:lineRule="auto"/>
        <w:ind w:firstLine="708"/>
        <w:jc w:val="both"/>
        <w:rPr>
          <w:rFonts w:ascii="Arial" w:hAnsi="Arial" w:cs="Arial"/>
          <w:sz w:val="19"/>
          <w:szCs w:val="19"/>
        </w:rPr>
      </w:pPr>
      <w:r w:rsidRPr="00D77B72">
        <w:rPr>
          <w:rFonts w:ascii="Arial" w:hAnsi="Arial" w:cs="Arial"/>
          <w:sz w:val="19"/>
          <w:szCs w:val="19"/>
        </w:rPr>
        <w:t>[…].</w:t>
      </w:r>
    </w:p>
    <w:p w:rsidRPr="00D77B72" w:rsidR="007D3434" w:rsidP="00D77B72" w:rsidRDefault="007D3434" w14:paraId="5ABA2319" w14:textId="77777777">
      <w:pPr>
        <w:spacing w:after="0" w:line="240" w:lineRule="auto"/>
        <w:ind w:firstLine="709"/>
        <w:jc w:val="both"/>
        <w:rPr>
          <w:rFonts w:ascii="Arial" w:hAnsi="Arial" w:cs="Arial"/>
          <w:sz w:val="19"/>
          <w:szCs w:val="19"/>
        </w:rPr>
      </w:pPr>
      <w:r w:rsidRPr="00D77B72">
        <w:rPr>
          <w:rFonts w:ascii="Arial" w:hAnsi="Arial" w:cs="Arial"/>
          <w:sz w:val="19"/>
          <w:szCs w:val="19"/>
        </w:rPr>
        <w:t>«Los sujetos obligados que contratan con recursos públicos y recursos privados, deben publicar la información de su gestión contractual con cargo a recursos públicos en el Sistema Electrónico para la Contratación Pública [SECOP]».</w:t>
      </w:r>
    </w:p>
    <w:p w:rsidRPr="00D77B72" w:rsidR="007D3434" w:rsidP="00D77B72" w:rsidRDefault="007D3434" w14:paraId="31E15F22" w14:textId="77777777">
      <w:pPr>
        <w:pStyle w:val="Textonotapie"/>
        <w:jc w:val="both"/>
        <w:rPr>
          <w:rFonts w:ascii="Arial" w:hAnsi="Arial" w:cs="Arial"/>
          <w:sz w:val="19"/>
          <w:szCs w:val="19"/>
        </w:rPr>
      </w:pPr>
    </w:p>
  </w:footnote>
  <w:footnote w:id="7">
    <w:p w:rsidRPr="008F04CD" w:rsidR="00AE0F7B" w:rsidP="008F04CD" w:rsidRDefault="00AE0F7B" w14:paraId="39A39321" w14:textId="2FCE9401">
      <w:pPr>
        <w:spacing w:after="0" w:line="240" w:lineRule="auto"/>
        <w:ind w:firstLine="709"/>
        <w:jc w:val="both"/>
        <w:rPr>
          <w:rFonts w:ascii="Arial" w:hAnsi="Arial" w:cs="Arial"/>
          <w:sz w:val="19"/>
          <w:szCs w:val="19"/>
        </w:rPr>
      </w:pPr>
      <w:r>
        <w:rPr>
          <w:rStyle w:val="Refdenotaalpie"/>
        </w:rPr>
        <w:footnoteRef/>
      </w:r>
      <w:r>
        <w:t xml:space="preserve"> </w:t>
      </w:r>
      <w:r w:rsidR="007018C6">
        <w:t xml:space="preserve">«[…] </w:t>
      </w:r>
      <w:r w:rsidRPr="008F04CD" w:rsidR="007018C6">
        <w:rPr>
          <w:rFonts w:ascii="Arial" w:hAnsi="Arial" w:cs="Arial"/>
          <w:sz w:val="19"/>
          <w:szCs w:val="19"/>
        </w:rPr>
        <w:t>El Gobierno Nacional desarrollará el Sistema Electrónico para la Contratación Pública, Secop, el cual:</w:t>
      </w:r>
    </w:p>
    <w:p w:rsidRPr="008F04CD" w:rsidR="007018C6" w:rsidP="008F04CD" w:rsidRDefault="00B97C44" w14:paraId="2AF6404E" w14:textId="0638FAAF">
      <w:pPr>
        <w:spacing w:after="0" w:line="240" w:lineRule="auto"/>
        <w:ind w:firstLine="709"/>
        <w:jc w:val="both"/>
        <w:rPr>
          <w:rFonts w:ascii="Arial" w:hAnsi="Arial" w:cs="Arial"/>
          <w:sz w:val="19"/>
          <w:szCs w:val="19"/>
        </w:rPr>
      </w:pPr>
      <w:r>
        <w:rPr>
          <w:rFonts w:ascii="Arial" w:hAnsi="Arial" w:cs="Arial"/>
          <w:sz w:val="19"/>
          <w:szCs w:val="19"/>
        </w:rPr>
        <w:t>»</w:t>
      </w:r>
      <w:r w:rsidRPr="008F04CD" w:rsidR="007018C6">
        <w:rPr>
          <w:rFonts w:ascii="Arial" w:hAnsi="Arial" w:cs="Arial"/>
          <w:sz w:val="19"/>
          <w:szCs w:val="19"/>
        </w:rPr>
        <w:t>[…]</w:t>
      </w:r>
    </w:p>
    <w:p w:rsidRPr="008F04CD" w:rsidR="007018C6" w:rsidP="008F04CD" w:rsidRDefault="007018C6" w14:paraId="389DA198" w14:textId="5C5352D2">
      <w:pPr>
        <w:spacing w:after="0" w:line="240" w:lineRule="auto"/>
        <w:ind w:firstLine="709"/>
        <w:jc w:val="both"/>
        <w:rPr>
          <w:rFonts w:ascii="Arial" w:hAnsi="Arial" w:cs="Arial"/>
          <w:sz w:val="19"/>
          <w:szCs w:val="19"/>
        </w:rPr>
      </w:pPr>
      <w:r>
        <w:rPr>
          <w:rFonts w:ascii="Arial" w:hAnsi="Arial" w:cs="Arial"/>
          <w:sz w:val="19"/>
          <w:szCs w:val="19"/>
        </w:rPr>
        <w:t>»</w:t>
      </w:r>
      <w:r w:rsidRPr="008F04CD">
        <w:rPr>
          <w:rFonts w:ascii="Arial" w:hAnsi="Arial" w:cs="Arial"/>
          <w:sz w:val="19"/>
          <w:szCs w:val="19"/>
        </w:rPr>
        <w:t>c) Contará con la información oficial de la contratación realizada con dineros públicos, para lo cual establecerá los patrones a que haya lugar y se encargará de su difusión a través de canales electrónicos […]</w:t>
      </w:r>
      <w:r>
        <w:rPr>
          <w:rFonts w:ascii="Arial" w:hAnsi="Arial" w:cs="Arial"/>
          <w:sz w:val="19"/>
          <w:szCs w:val="19"/>
        </w:rPr>
        <w:t>».</w:t>
      </w:r>
    </w:p>
  </w:footnote>
  <w:footnote w:id="8">
    <w:p w:rsidRPr="00D77B72" w:rsidR="007D3434" w:rsidP="00D77B72" w:rsidRDefault="007D3434" w14:paraId="2E0B6828" w14:textId="77777777">
      <w:pPr>
        <w:pStyle w:val="Textonotapie"/>
        <w:ind w:firstLine="708"/>
        <w:jc w:val="both"/>
        <w:rPr>
          <w:rFonts w:ascii="Arial" w:hAnsi="Arial" w:cs="Arial"/>
          <w:sz w:val="19"/>
          <w:szCs w:val="19"/>
        </w:rPr>
      </w:pPr>
      <w:r w:rsidRPr="00D77B72">
        <w:rPr>
          <w:rStyle w:val="Refdenotaalpie"/>
          <w:rFonts w:ascii="Arial" w:hAnsi="Arial" w:cs="Arial"/>
          <w:sz w:val="19"/>
          <w:szCs w:val="19"/>
        </w:rPr>
        <w:footnoteRef/>
      </w:r>
      <w:r w:rsidRPr="00D77B72">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rsidRPr="00D77B72" w:rsidR="007D3434" w:rsidP="00D77B72" w:rsidRDefault="007D3434" w14:paraId="06A780FB" w14:textId="77777777">
      <w:pPr>
        <w:pStyle w:val="Textonotapie"/>
        <w:ind w:firstLine="708"/>
        <w:jc w:val="both"/>
        <w:rPr>
          <w:rFonts w:ascii="Arial" w:hAnsi="Arial" w:cs="Arial"/>
          <w:sz w:val="19"/>
          <w:szCs w:val="19"/>
        </w:rPr>
      </w:pPr>
      <w:r w:rsidRPr="00D77B72">
        <w:rPr>
          <w:rFonts w:ascii="Arial" w:hAnsi="Arial" w:cs="Arial"/>
          <w:sz w:val="19"/>
          <w:szCs w:val="19"/>
        </w:rPr>
        <w:t xml:space="preserve">»1. Los relacionados con la defensa o seguridad nacionales.  </w:t>
      </w:r>
    </w:p>
    <w:p w:rsidRPr="00D77B72" w:rsidR="007D3434" w:rsidP="00D77B72" w:rsidRDefault="007D3434" w14:paraId="630BC45F" w14:textId="77777777">
      <w:pPr>
        <w:pStyle w:val="Textonotapie"/>
        <w:ind w:firstLine="708"/>
        <w:jc w:val="both"/>
        <w:rPr>
          <w:rFonts w:ascii="Arial" w:hAnsi="Arial" w:cs="Arial"/>
          <w:sz w:val="19"/>
          <w:szCs w:val="19"/>
        </w:rPr>
      </w:pPr>
      <w:r w:rsidRPr="00D77B72">
        <w:rPr>
          <w:rFonts w:ascii="Arial" w:hAnsi="Arial" w:cs="Arial"/>
          <w:sz w:val="19"/>
          <w:szCs w:val="19"/>
        </w:rPr>
        <w:t xml:space="preserve">»2. Las instrucciones en materia diplomática o sobre negociaciones reservadas.  </w:t>
      </w:r>
    </w:p>
    <w:p w:rsidRPr="00D77B72" w:rsidR="007D3434" w:rsidP="00D77B72" w:rsidRDefault="007D3434" w14:paraId="55794A46" w14:textId="77777777">
      <w:pPr>
        <w:pStyle w:val="Textonotapie"/>
        <w:ind w:firstLine="708"/>
        <w:jc w:val="both"/>
        <w:rPr>
          <w:rFonts w:ascii="Arial" w:hAnsi="Arial" w:cs="Arial"/>
          <w:sz w:val="19"/>
          <w:szCs w:val="19"/>
        </w:rPr>
      </w:pPr>
      <w:r w:rsidRPr="00D77B72">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rsidRPr="00D77B72" w:rsidR="007D3434" w:rsidP="00D77B72" w:rsidRDefault="007D3434" w14:paraId="29235080" w14:textId="77777777">
      <w:pPr>
        <w:pStyle w:val="Textonotapie"/>
        <w:ind w:firstLine="708"/>
        <w:jc w:val="both"/>
        <w:rPr>
          <w:rFonts w:ascii="Arial" w:hAnsi="Arial" w:cs="Arial"/>
          <w:sz w:val="19"/>
          <w:szCs w:val="19"/>
        </w:rPr>
      </w:pPr>
      <w:r w:rsidRPr="00D77B72">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rsidRPr="00D77B72" w:rsidR="007D3434" w:rsidP="00D77B72" w:rsidRDefault="007D3434" w14:paraId="4AD3F5A6" w14:textId="77777777">
      <w:pPr>
        <w:pStyle w:val="Textonotapie"/>
        <w:ind w:firstLine="708"/>
        <w:jc w:val="both"/>
        <w:rPr>
          <w:rFonts w:ascii="Arial" w:hAnsi="Arial" w:cs="Arial"/>
          <w:sz w:val="19"/>
          <w:szCs w:val="19"/>
        </w:rPr>
      </w:pPr>
      <w:r w:rsidRPr="00D77B72">
        <w:rPr>
          <w:rFonts w:ascii="Arial" w:hAnsi="Arial" w:cs="Arial"/>
          <w:sz w:val="19"/>
          <w:szCs w:val="19"/>
        </w:rPr>
        <w:t xml:space="preserve">»5. Los datos referentes a la información financiera y comercial, en los términos de la Ley Estatutaria 1266 de 2008.  </w:t>
      </w:r>
    </w:p>
    <w:p w:rsidRPr="00D77B72" w:rsidR="007D3434" w:rsidP="00D77B72" w:rsidRDefault="007D3434" w14:paraId="4083AF28" w14:textId="77777777">
      <w:pPr>
        <w:pStyle w:val="Textonotapie"/>
        <w:ind w:firstLine="708"/>
        <w:jc w:val="both"/>
        <w:rPr>
          <w:rFonts w:ascii="Arial" w:hAnsi="Arial" w:cs="Arial"/>
          <w:sz w:val="19"/>
          <w:szCs w:val="19"/>
        </w:rPr>
      </w:pPr>
      <w:r w:rsidRPr="00D77B72">
        <w:rPr>
          <w:rFonts w:ascii="Arial" w:hAnsi="Arial" w:cs="Arial"/>
          <w:sz w:val="19"/>
          <w:szCs w:val="19"/>
        </w:rPr>
        <w:t xml:space="preserve">»6. Los protegidos por el secreto comercial o industrial, así como los planes estratégicos de las empresas públicas de servicios públicos.  </w:t>
      </w:r>
    </w:p>
    <w:p w:rsidRPr="00D77B72" w:rsidR="007D3434" w:rsidP="00D77B72" w:rsidRDefault="007D3434" w14:paraId="16E360CF" w14:textId="77777777">
      <w:pPr>
        <w:pStyle w:val="Textonotapie"/>
        <w:ind w:firstLine="708"/>
        <w:jc w:val="both"/>
        <w:rPr>
          <w:rFonts w:ascii="Arial" w:hAnsi="Arial" w:cs="Arial"/>
          <w:sz w:val="19"/>
          <w:szCs w:val="19"/>
        </w:rPr>
      </w:pPr>
      <w:r w:rsidRPr="00D77B72">
        <w:rPr>
          <w:rFonts w:ascii="Arial" w:hAnsi="Arial" w:cs="Arial"/>
          <w:sz w:val="19"/>
          <w:szCs w:val="19"/>
        </w:rPr>
        <w:t xml:space="preserve">»7. Los amparados por el secreto profesional.  </w:t>
      </w:r>
    </w:p>
    <w:p w:rsidRPr="00D77B72" w:rsidR="007D3434" w:rsidP="00D77B72" w:rsidRDefault="007D3434" w14:paraId="2C059F6C" w14:textId="77777777">
      <w:pPr>
        <w:pStyle w:val="Textonotapie"/>
        <w:ind w:firstLine="708"/>
        <w:jc w:val="both"/>
        <w:rPr>
          <w:rFonts w:ascii="Arial" w:hAnsi="Arial" w:cs="Arial"/>
          <w:sz w:val="19"/>
          <w:szCs w:val="19"/>
        </w:rPr>
      </w:pPr>
      <w:r w:rsidRPr="00D77B72">
        <w:rPr>
          <w:rFonts w:ascii="Arial" w:hAnsi="Arial" w:cs="Arial"/>
          <w:sz w:val="19"/>
          <w:szCs w:val="19"/>
        </w:rPr>
        <w:t xml:space="preserve">»8. Los datos genéticos humanos.  </w:t>
      </w:r>
    </w:p>
    <w:p w:rsidRPr="00D77B72" w:rsidR="007D3434" w:rsidP="00D77B72" w:rsidRDefault="007D3434" w14:paraId="6EC1AAE1" w14:textId="16588679">
      <w:pPr>
        <w:pStyle w:val="Textonotapie"/>
        <w:ind w:firstLine="708"/>
        <w:jc w:val="both"/>
        <w:rPr>
          <w:rFonts w:ascii="Arial" w:hAnsi="Arial" w:cs="Arial"/>
          <w:sz w:val="19"/>
          <w:szCs w:val="19"/>
        </w:rPr>
      </w:pPr>
      <w:r w:rsidRPr="00D77B72">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rsidRPr="00D77B72" w:rsidR="00835E90" w:rsidP="00D77B72" w:rsidRDefault="00835E90" w14:paraId="5D2B9B1C" w14:textId="77777777">
      <w:pPr>
        <w:pStyle w:val="Textonotapie"/>
        <w:ind w:firstLine="708"/>
        <w:jc w:val="both"/>
        <w:rPr>
          <w:rFonts w:ascii="Arial" w:hAnsi="Arial" w:cs="Arial"/>
          <w:sz w:val="19"/>
          <w:szCs w:val="19"/>
        </w:rPr>
      </w:pPr>
    </w:p>
  </w:footnote>
  <w:footnote w:id="9">
    <w:p w:rsidR="00854BC7" w:rsidP="008F04CD" w:rsidRDefault="00854BC7" w14:paraId="4402B881" w14:textId="045A8F0D">
      <w:pPr>
        <w:pStyle w:val="Textonotapie"/>
        <w:ind w:firstLine="708"/>
        <w:jc w:val="both"/>
      </w:pPr>
      <w:r>
        <w:rPr>
          <w:rStyle w:val="Refdenotaalpie"/>
        </w:rPr>
        <w:footnoteRef/>
      </w:r>
      <w:r>
        <w:t xml:space="preserve"> </w:t>
      </w:r>
      <w:r w:rsidRPr="008F04CD">
        <w:rPr>
          <w:rFonts w:ascii="Arial" w:hAnsi="Arial" w:eastAsia="Calibri" w:cs="Arial"/>
          <w:sz w:val="19"/>
          <w:szCs w:val="19"/>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p w:rsidRPr="008F04CD" w:rsidR="00854BC7" w:rsidP="008F04CD" w:rsidRDefault="00854BC7" w14:paraId="095955B9" w14:textId="77777777">
      <w:pPr>
        <w:pStyle w:val="Textonotapie"/>
        <w:ind w:firstLine="708"/>
        <w:rPr>
          <w:lang w:val="es-CO"/>
        </w:rPr>
      </w:pPr>
    </w:p>
  </w:footnote>
  <w:footnote w:id="10">
    <w:p w:rsidRPr="00D77B72" w:rsidR="00EB5459" w:rsidP="00D77B72" w:rsidRDefault="00EB5459" w14:paraId="4022D514" w14:textId="77777777">
      <w:pPr>
        <w:pStyle w:val="Textonotapie"/>
        <w:ind w:firstLine="708"/>
        <w:jc w:val="both"/>
        <w:rPr>
          <w:rFonts w:ascii="Arial" w:hAnsi="Arial" w:cs="Arial"/>
          <w:sz w:val="19"/>
          <w:szCs w:val="19"/>
        </w:rPr>
      </w:pPr>
      <w:r w:rsidRPr="00D77B72">
        <w:rPr>
          <w:rStyle w:val="Refdenotaalpie"/>
          <w:rFonts w:ascii="Arial" w:hAnsi="Arial" w:cs="Arial"/>
          <w:sz w:val="19"/>
          <w:szCs w:val="19"/>
        </w:rPr>
        <w:footnoteRef/>
      </w:r>
      <w:r w:rsidRPr="00D77B72">
        <w:rPr>
          <w:rFonts w:ascii="Arial" w:hAnsi="Arial" w:cs="Arial"/>
          <w:sz w:val="19"/>
          <w:szCs w:val="19"/>
        </w:rPr>
        <w:t xml:space="preserve"> Decreto 4170 de 2011: «Artículo 3. Funciones: La Agencia Nacional de Contratación Pública –Colombia Compra Eficiente– ejercerá las siguientes funciones: [...]</w:t>
      </w:r>
    </w:p>
    <w:p w:rsidRPr="00D77B72" w:rsidR="00EB5459" w:rsidP="00D77B72" w:rsidRDefault="00EB5459" w14:paraId="13553CEB" w14:textId="77777777">
      <w:pPr>
        <w:pStyle w:val="Textonotapie"/>
        <w:ind w:firstLine="708"/>
        <w:jc w:val="both"/>
        <w:rPr>
          <w:rFonts w:ascii="Arial" w:hAnsi="Arial" w:cs="Arial"/>
          <w:sz w:val="19"/>
          <w:szCs w:val="19"/>
        </w:rPr>
      </w:pPr>
      <w:r w:rsidRPr="00D77B72">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rsidRPr="00D77B72" w:rsidR="00EB5459" w:rsidP="00D77B72" w:rsidRDefault="00EB5459" w14:paraId="480EBAAB" w14:textId="77777777">
      <w:pPr>
        <w:pStyle w:val="Textonotapie"/>
        <w:jc w:val="both"/>
        <w:rPr>
          <w:rFonts w:ascii="Arial" w:hAnsi="Arial" w:cs="Arial"/>
          <w:sz w:val="19"/>
          <w:szCs w:val="19"/>
          <w:lang w:val="es-ES"/>
        </w:rPr>
      </w:pPr>
    </w:p>
  </w:footnote>
  <w:footnote w:id="11">
    <w:p w:rsidRPr="00D77B72" w:rsidR="00EB5459" w:rsidP="00D77B72" w:rsidRDefault="00EB5459" w14:paraId="781C0DE8" w14:textId="77777777">
      <w:pPr>
        <w:pStyle w:val="Textonotapie"/>
        <w:ind w:firstLine="708"/>
        <w:jc w:val="both"/>
        <w:rPr>
          <w:rStyle w:val="Hipervnculo"/>
          <w:rFonts w:ascii="Arial" w:hAnsi="Arial" w:cs="Arial"/>
          <w:color w:val="auto"/>
          <w:sz w:val="19"/>
          <w:szCs w:val="19"/>
        </w:rPr>
      </w:pPr>
      <w:r w:rsidRPr="00D77B72">
        <w:rPr>
          <w:rStyle w:val="Refdenotaalpie"/>
          <w:rFonts w:ascii="Arial" w:hAnsi="Arial" w:cs="Arial"/>
          <w:sz w:val="19"/>
          <w:szCs w:val="19"/>
        </w:rPr>
        <w:footnoteRef/>
      </w:r>
      <w:r w:rsidRPr="00D77B72">
        <w:rPr>
          <w:rFonts w:ascii="Arial" w:hAnsi="Arial" w:cs="Arial"/>
          <w:sz w:val="19"/>
          <w:szCs w:val="19"/>
        </w:rPr>
        <w:t xml:space="preserve"> En el siguiente link se puede consultar la Guía para gestionar o publicar los procesos de Régimen Especial con oferta en el SECOP II:  </w:t>
      </w:r>
      <w:hyperlink w:history="1" r:id="rId1">
        <w:r w:rsidRPr="00D77B72">
          <w:rPr>
            <w:rStyle w:val="Hipervnculo"/>
            <w:rFonts w:ascii="Arial" w:hAnsi="Arial" w:cs="Arial"/>
            <w:color w:val="auto"/>
            <w:sz w:val="19"/>
            <w:szCs w:val="19"/>
          </w:rPr>
          <w:t>https://www.colombiacompra.gov.co/node/23628</w:t>
        </w:r>
      </w:hyperlink>
    </w:p>
    <w:p w:rsidRPr="00D77B72" w:rsidR="00EB5459" w:rsidP="00D77B72" w:rsidRDefault="00EB5459" w14:paraId="674E6AAD" w14:textId="77777777">
      <w:pPr>
        <w:pStyle w:val="Textonotapie"/>
        <w:ind w:firstLine="708"/>
        <w:jc w:val="both"/>
        <w:rPr>
          <w:rFonts w:ascii="Arial" w:hAnsi="Arial" w:cs="Arial"/>
          <w:sz w:val="19"/>
          <w:szCs w:val="19"/>
        </w:rPr>
      </w:pPr>
      <w:r w:rsidRPr="00D77B72">
        <w:rPr>
          <w:rFonts w:ascii="Arial" w:hAnsi="Arial" w:cs="Arial"/>
          <w:sz w:val="19"/>
          <w:szCs w:val="19"/>
        </w:rPr>
        <w:t xml:space="preserve"> </w:t>
      </w:r>
    </w:p>
  </w:footnote>
  <w:footnote w:id="12">
    <w:p w:rsidRPr="00D77B72" w:rsidR="00EB5459" w:rsidP="00D77B72" w:rsidRDefault="00EB5459" w14:paraId="465F502E" w14:textId="77777777">
      <w:pPr>
        <w:pStyle w:val="Textonotapie"/>
        <w:ind w:firstLine="708"/>
        <w:jc w:val="both"/>
        <w:rPr>
          <w:rFonts w:ascii="Arial" w:hAnsi="Arial" w:cs="Arial"/>
          <w:sz w:val="19"/>
          <w:szCs w:val="19"/>
        </w:rPr>
      </w:pPr>
      <w:r w:rsidRPr="00D77B72">
        <w:rPr>
          <w:rStyle w:val="Refdenotaalpie"/>
          <w:rFonts w:ascii="Arial" w:hAnsi="Arial" w:cs="Arial"/>
          <w:sz w:val="19"/>
          <w:szCs w:val="19"/>
        </w:rPr>
        <w:footnoteRef/>
      </w:r>
      <w:r w:rsidRPr="00D77B72">
        <w:rPr>
          <w:rFonts w:ascii="Arial" w:hAnsi="Arial" w:cs="Arial"/>
          <w:sz w:val="19"/>
          <w:szCs w:val="19"/>
        </w:rPr>
        <w:t xml:space="preserve"> En el siguiente link se puede consultar la Guía para gestionar o publicar los procesos de Régimen Especial sin oferta en el SECOP II:   </w:t>
      </w:r>
      <w:hyperlink w:history="1" r:id="rId2">
        <w:r w:rsidRPr="00D77B72">
          <w:rPr>
            <w:rStyle w:val="Hipervnculo"/>
            <w:rFonts w:ascii="Arial" w:hAnsi="Arial" w:cs="Arial"/>
            <w:color w:val="auto"/>
            <w:sz w:val="19"/>
            <w:szCs w:val="19"/>
          </w:rPr>
          <w:t>https://www.colombiacompra.gov.co/node/30741</w:t>
        </w:r>
      </w:hyperlink>
    </w:p>
  </w:footnote>
  <w:footnote w:id="13">
    <w:p w:rsidRPr="00D77B72" w:rsidR="00A90047" w:rsidP="00D77B72" w:rsidRDefault="00A90047" w14:paraId="752C3F41" w14:textId="77777777">
      <w:pPr>
        <w:pStyle w:val="NormalWeb"/>
        <w:spacing w:before="0" w:beforeAutospacing="0" w:after="0" w:afterAutospacing="0"/>
        <w:ind w:firstLine="708"/>
        <w:jc w:val="both"/>
        <w:rPr>
          <w:rFonts w:ascii="Arial" w:hAnsi="Arial" w:cs="Arial"/>
          <w:color w:val="000000"/>
          <w:sz w:val="19"/>
          <w:szCs w:val="19"/>
        </w:rPr>
      </w:pPr>
      <w:r w:rsidRPr="00D77B72">
        <w:rPr>
          <w:rStyle w:val="Refdenotaalpie"/>
          <w:rFonts w:ascii="Arial" w:hAnsi="Arial" w:cs="Arial"/>
          <w:sz w:val="19"/>
          <w:szCs w:val="19"/>
        </w:rPr>
        <w:footnoteRef/>
      </w:r>
      <w:r w:rsidRPr="00D77B72">
        <w:rPr>
          <w:rFonts w:ascii="Arial" w:hAnsi="Arial" w:cs="Arial"/>
          <w:sz w:val="19"/>
          <w:szCs w:val="19"/>
        </w:rPr>
        <w:t xml:space="preserve"> Decreto 1081 de 2015 «</w:t>
      </w:r>
      <w:r w:rsidRPr="00D77B72">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D77B72" w:rsidR="00A90047" w:rsidP="00D77B72" w:rsidRDefault="00A90047" w14:paraId="3D83A9E2" w14:textId="77777777">
      <w:pPr>
        <w:spacing w:after="0" w:line="240" w:lineRule="auto"/>
        <w:jc w:val="both"/>
        <w:rPr>
          <w:rFonts w:ascii="Arial" w:hAnsi="Arial" w:eastAsia="Times New Roman" w:cs="Arial"/>
          <w:color w:val="000000"/>
          <w:sz w:val="19"/>
          <w:szCs w:val="19"/>
          <w:lang w:eastAsia="es-CO"/>
        </w:rPr>
      </w:pPr>
      <w:r w:rsidRPr="00D77B72">
        <w:rPr>
          <w:rFonts w:ascii="Arial" w:hAnsi="Arial" w:eastAsia="Times New Roman" w:cs="Arial"/>
          <w:color w:val="000000"/>
          <w:sz w:val="19"/>
          <w:szCs w:val="19"/>
          <w:lang w:eastAsia="es-CO"/>
        </w:rPr>
        <w:t>  </w:t>
      </w:r>
      <w:r w:rsidRPr="00D77B72">
        <w:rPr>
          <w:rFonts w:ascii="Arial" w:hAnsi="Arial" w:eastAsia="Times New Roman" w:cs="Arial"/>
          <w:color w:val="000000"/>
          <w:sz w:val="19"/>
          <w:szCs w:val="19"/>
          <w:lang w:eastAsia="es-CO"/>
        </w:rPr>
        <w:tab/>
      </w:r>
      <w:r w:rsidRPr="00D77B72">
        <w:rPr>
          <w:rFonts w:ascii="Arial" w:hAnsi="Arial" w:eastAsia="Times New Roman" w:cs="Arial"/>
          <w:color w:val="000000"/>
          <w:sz w:val="19"/>
          <w:szCs w:val="19"/>
          <w:lang w:eastAsia="es-CO"/>
        </w:rPr>
        <w:t>»Los sujetos obligados que contratan con cargo a recursos públicos deben publicar la información de su gestión contractual en el plazo previsto en el artículo 19 del Decreto 1510 de 2013, o el que lo modifique, sustituya o adicione. </w:t>
      </w:r>
    </w:p>
    <w:p w:rsidRPr="00D77B72" w:rsidR="00A90047" w:rsidP="00D77B72" w:rsidRDefault="00A90047" w14:paraId="7F1913F2" w14:textId="77777777">
      <w:pPr>
        <w:spacing w:after="0" w:line="240" w:lineRule="auto"/>
        <w:jc w:val="both"/>
        <w:rPr>
          <w:rFonts w:ascii="Arial" w:hAnsi="Arial" w:cs="Arial"/>
          <w:sz w:val="19"/>
          <w:szCs w:val="19"/>
        </w:rPr>
      </w:pPr>
      <w:r w:rsidRPr="00D77B72">
        <w:rPr>
          <w:rFonts w:ascii="Arial" w:hAnsi="Arial" w:eastAsia="Times New Roman" w:cs="Arial"/>
          <w:color w:val="000000"/>
          <w:sz w:val="19"/>
          <w:szCs w:val="19"/>
          <w:lang w:eastAsia="es-CO"/>
        </w:rPr>
        <w:t>  </w:t>
      </w:r>
      <w:r w:rsidRPr="00D77B72">
        <w:rPr>
          <w:rFonts w:ascii="Arial" w:hAnsi="Arial" w:eastAsia="Times New Roman" w:cs="Arial"/>
          <w:color w:val="000000"/>
          <w:sz w:val="19"/>
          <w:szCs w:val="19"/>
          <w:lang w:eastAsia="es-CO"/>
        </w:rPr>
        <w:tab/>
      </w:r>
      <w:r w:rsidRPr="00D77B72">
        <w:rPr>
          <w:rFonts w:ascii="Arial" w:hAnsi="Arial" w:eastAsia="Times New Roman" w:cs="Arial"/>
          <w:color w:val="000000"/>
          <w:sz w:val="19"/>
          <w:szCs w:val="19"/>
          <w:lang w:eastAsia="es-CO"/>
        </w:rPr>
        <w:t>»Los sujetos obligados que contratan con recursos públicos y recursos privados, deben publicar la información de su gestión contractual con cargo a recursos públicos en el Sistema Electrónico para la Contratación Pública (SECOP)</w:t>
      </w:r>
      <w:r w:rsidRPr="00D77B72">
        <w:rPr>
          <w:rFonts w:ascii="Arial" w:hAnsi="Arial" w:cs="Arial"/>
          <w:sz w:val="19"/>
          <w:szCs w:val="19"/>
        </w:rPr>
        <w:t>».</w:t>
      </w:r>
    </w:p>
    <w:p w:rsidRPr="00D77B72" w:rsidR="00A90047" w:rsidP="00D77B72" w:rsidRDefault="00A90047" w14:paraId="001F2ABF" w14:textId="77777777">
      <w:pPr>
        <w:spacing w:after="0" w:line="240" w:lineRule="auto"/>
        <w:jc w:val="both"/>
        <w:rPr>
          <w:rFonts w:ascii="Arial" w:hAnsi="Arial" w:eastAsia="Times New Roman" w:cs="Arial"/>
          <w:color w:val="000000"/>
          <w:sz w:val="19"/>
          <w:szCs w:val="19"/>
          <w:lang w:eastAsia="es-CO"/>
        </w:rPr>
      </w:pPr>
    </w:p>
  </w:footnote>
  <w:footnote w:id="14">
    <w:p w:rsidRPr="00D77B72" w:rsidR="00F52E98" w:rsidP="00D77B72" w:rsidRDefault="00F52E98" w14:paraId="6873C3D8" w14:textId="77777777">
      <w:pPr>
        <w:autoSpaceDE w:val="0"/>
        <w:autoSpaceDN w:val="0"/>
        <w:adjustRightInd w:val="0"/>
        <w:spacing w:after="0" w:line="240" w:lineRule="auto"/>
        <w:ind w:firstLine="708"/>
        <w:jc w:val="both"/>
        <w:rPr>
          <w:rFonts w:ascii="Arial" w:hAnsi="Arial" w:eastAsia="Times New Roman" w:cs="Arial"/>
          <w:sz w:val="19"/>
          <w:szCs w:val="19"/>
          <w:lang w:eastAsia="es-ES_tradnl"/>
        </w:rPr>
      </w:pPr>
      <w:r w:rsidRPr="00D77B72">
        <w:rPr>
          <w:rStyle w:val="Refdenotaalpie"/>
          <w:rFonts w:ascii="Arial" w:hAnsi="Arial" w:cs="Arial"/>
          <w:sz w:val="19"/>
          <w:szCs w:val="19"/>
        </w:rPr>
        <w:footnoteRef/>
      </w:r>
      <w:r w:rsidRPr="00D77B72">
        <w:rPr>
          <w:rFonts w:ascii="Arial" w:hAnsi="Arial" w:cs="Arial"/>
          <w:sz w:val="19"/>
          <w:szCs w:val="19"/>
        </w:rPr>
        <w:t xml:space="preserve"> E</w:t>
      </w:r>
      <w:r w:rsidRPr="00D77B72">
        <w:rPr>
          <w:rFonts w:ascii="Arial" w:hAnsi="Arial" w:eastAsia="Calibri" w:cs="Arial"/>
          <w:sz w:val="19"/>
          <w:szCs w:val="19"/>
          <w:lang w:val="es-ES_tradnl" w:eastAsia="es-ES_tradnl"/>
        </w:rPr>
        <w:t xml:space="preserve">l pasado </w:t>
      </w:r>
      <w:r w:rsidRPr="00D77B72">
        <w:rPr>
          <w:rFonts w:ascii="Arial" w:hAnsi="Arial" w:eastAsia="Calibri" w:cs="Arial"/>
          <w:sz w:val="19"/>
          <w:szCs w:val="19"/>
          <w:lang w:val="es-ES" w:eastAsia="es-ES_tradnl"/>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ii) reserva de los documentos relacionados con la actividad contractual y; iii) régimen de transición de los contratos celebrados con anterioridad a la entrada en vigencia de la obligación consagrada en el artículo 53 de la Ley 2195 de 2022. La mencionada guía contiene una serie de instrucciones con miras a garantizar el cumplimiento del deber legal por parte de las entidades estatales exceptuadas del Estatuto General de Contratación Pública. </w:t>
      </w:r>
    </w:p>
  </w:footnote>
  <w:footnote w:id="15">
    <w:p w:rsidRPr="00D77B72" w:rsidR="00165FC7" w:rsidP="00D77B72" w:rsidRDefault="00165FC7" w14:paraId="204130C9" w14:textId="77777777">
      <w:pPr>
        <w:pStyle w:val="NormalWeb"/>
        <w:spacing w:before="0" w:beforeAutospacing="0" w:after="0" w:afterAutospacing="0"/>
        <w:ind w:firstLine="708"/>
        <w:jc w:val="both"/>
        <w:rPr>
          <w:rFonts w:ascii="Arial" w:hAnsi="Arial" w:cs="Arial"/>
          <w:color w:val="000000"/>
          <w:sz w:val="19"/>
          <w:szCs w:val="19"/>
        </w:rPr>
      </w:pPr>
      <w:r w:rsidRPr="00D77B72">
        <w:rPr>
          <w:rStyle w:val="Refdenotaalpie"/>
          <w:rFonts w:ascii="Arial" w:hAnsi="Arial" w:cs="Arial"/>
          <w:sz w:val="19"/>
          <w:szCs w:val="19"/>
        </w:rPr>
        <w:footnoteRef/>
      </w:r>
      <w:r w:rsidRPr="00D77B72">
        <w:rPr>
          <w:rFonts w:ascii="Arial" w:hAnsi="Arial" w:cs="Arial"/>
          <w:sz w:val="19"/>
          <w:szCs w:val="19"/>
        </w:rPr>
        <w:t xml:space="preserve"> Decreto 1081 de 2015 «</w:t>
      </w:r>
      <w:r w:rsidRPr="00D77B72">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D77B72" w:rsidR="00165FC7" w:rsidP="00D77B72" w:rsidRDefault="00165FC7" w14:paraId="7FF9591F" w14:textId="77777777">
      <w:pPr>
        <w:spacing w:after="0" w:line="240" w:lineRule="auto"/>
        <w:jc w:val="both"/>
        <w:rPr>
          <w:rFonts w:ascii="Arial" w:hAnsi="Arial" w:eastAsia="Times New Roman" w:cs="Arial"/>
          <w:color w:val="000000"/>
          <w:sz w:val="19"/>
          <w:szCs w:val="19"/>
          <w:lang w:eastAsia="es-CO"/>
        </w:rPr>
      </w:pPr>
      <w:r w:rsidRPr="00D77B72">
        <w:rPr>
          <w:rFonts w:ascii="Arial" w:hAnsi="Arial" w:eastAsia="Times New Roman" w:cs="Arial"/>
          <w:color w:val="000000"/>
          <w:sz w:val="19"/>
          <w:szCs w:val="19"/>
          <w:lang w:eastAsia="es-CO"/>
        </w:rPr>
        <w:t>  </w:t>
      </w:r>
      <w:r w:rsidRPr="00D77B72">
        <w:rPr>
          <w:rFonts w:ascii="Arial" w:hAnsi="Arial" w:eastAsia="Times New Roman" w:cs="Arial"/>
          <w:color w:val="000000"/>
          <w:sz w:val="19"/>
          <w:szCs w:val="19"/>
          <w:lang w:eastAsia="es-CO"/>
        </w:rPr>
        <w:tab/>
      </w:r>
      <w:r w:rsidRPr="00D77B72">
        <w:rPr>
          <w:rFonts w:ascii="Arial" w:hAnsi="Arial" w:eastAsia="Times New Roman" w:cs="Arial"/>
          <w:color w:val="000000"/>
          <w:sz w:val="19"/>
          <w:szCs w:val="19"/>
          <w:lang w:eastAsia="es-CO"/>
        </w:rPr>
        <w:t>»Los sujetos obligados que contratan con cargo a recursos públicos deben publicar la información de su gestión contractual en el plazo previsto en el artículo 19 del Decreto 1510 de 2013, o el que lo modifique, sustituya o adicione. </w:t>
      </w:r>
    </w:p>
    <w:p w:rsidRPr="00D77B72" w:rsidR="00165FC7" w:rsidP="00D77B72" w:rsidRDefault="00165FC7" w14:paraId="1BDCECC1" w14:textId="77777777">
      <w:pPr>
        <w:spacing w:after="0" w:line="240" w:lineRule="auto"/>
        <w:jc w:val="both"/>
        <w:rPr>
          <w:rFonts w:ascii="Arial" w:hAnsi="Arial" w:cs="Arial"/>
          <w:sz w:val="19"/>
          <w:szCs w:val="19"/>
        </w:rPr>
      </w:pPr>
      <w:r w:rsidRPr="00D77B72">
        <w:rPr>
          <w:rFonts w:ascii="Arial" w:hAnsi="Arial" w:eastAsia="Times New Roman" w:cs="Arial"/>
          <w:color w:val="000000"/>
          <w:sz w:val="19"/>
          <w:szCs w:val="19"/>
          <w:lang w:eastAsia="es-CO"/>
        </w:rPr>
        <w:t>  </w:t>
      </w:r>
      <w:r w:rsidRPr="00D77B72">
        <w:rPr>
          <w:rFonts w:ascii="Arial" w:hAnsi="Arial" w:eastAsia="Times New Roman" w:cs="Arial"/>
          <w:color w:val="000000"/>
          <w:sz w:val="19"/>
          <w:szCs w:val="19"/>
          <w:lang w:eastAsia="es-CO"/>
        </w:rPr>
        <w:tab/>
      </w:r>
      <w:r w:rsidRPr="00D77B72">
        <w:rPr>
          <w:rFonts w:ascii="Arial" w:hAnsi="Arial" w:eastAsia="Times New Roman" w:cs="Arial"/>
          <w:color w:val="000000"/>
          <w:sz w:val="19"/>
          <w:szCs w:val="19"/>
          <w:lang w:eastAsia="es-CO"/>
        </w:rPr>
        <w:t>»Los sujetos obligados que contratan con recursos públicos y recursos privados, deben publicar la información de su gestión contractual con cargo a recursos públicos en el Sistema Electrónico para la Contratación Pública (SECOP)</w:t>
      </w:r>
      <w:r w:rsidRPr="00D77B72">
        <w:rPr>
          <w:rFonts w:ascii="Arial" w:hAnsi="Arial" w:cs="Arial"/>
          <w:sz w:val="19"/>
          <w:szCs w:val="19"/>
        </w:rPr>
        <w:t>».</w:t>
      </w:r>
    </w:p>
    <w:p w:rsidRPr="00D77B72" w:rsidR="00165FC7" w:rsidP="00D77B72" w:rsidRDefault="00165FC7" w14:paraId="05737093" w14:textId="77777777">
      <w:pPr>
        <w:spacing w:after="0" w:line="240" w:lineRule="auto"/>
        <w:jc w:val="both"/>
        <w:rPr>
          <w:rFonts w:ascii="Arial" w:hAnsi="Arial" w:eastAsia="Times New Roman" w:cs="Arial"/>
          <w:color w:val="000000"/>
          <w:sz w:val="19"/>
          <w:szCs w:val="19"/>
          <w:lang w:eastAsia="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A59DE" w:rsidRDefault="002972B7" w14:paraId="48ECC7AB" w14:textId="77777777">
    <w:pPr>
      <w:pStyle w:val="Encabezado"/>
    </w:pPr>
    <w:r>
      <w:rPr>
        <w:noProof/>
        <w:lang w:val="es-ES_tradnl" w:eastAsia="es-ES_tradnl"/>
      </w:rPr>
      <w:drawing>
        <wp:anchor distT="0" distB="0" distL="114300" distR="114300" simplePos="0" relativeHeight="251659264" behindDoc="1" locked="0" layoutInCell="1" allowOverlap="1" wp14:anchorId="6BEEA0EE" wp14:editId="3CA0BDB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hint="default" w:ascii="Symbol" w:hAnsi="Symbol"/>
        <w:color w:val="000000" w:themeColor="text1"/>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40F82114"/>
    <w:multiLevelType w:val="hybridMultilevel"/>
    <w:tmpl w:val="B6C06020"/>
    <w:lvl w:ilvl="0" w:tplc="2F4CFC7C">
      <w:start w:val="1"/>
      <w:numFmt w:val="decimal"/>
      <w:lvlText w:val="%1."/>
      <w:lvlJc w:val="left"/>
      <w:pPr>
        <w:ind w:left="720" w:hanging="360"/>
      </w:pPr>
      <w:rPr>
        <w:rFonts w:ascii="Arial" w:hAnsi="Arial" w:cs="Arial" w:eastAsia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0409909">
    <w:abstractNumId w:val="0"/>
  </w:num>
  <w:num w:numId="2" w16cid:durableId="2043675015">
    <w:abstractNumId w:val="2"/>
  </w:num>
  <w:num w:numId="3" w16cid:durableId="125535586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D4"/>
    <w:rsid w:val="000024AE"/>
    <w:rsid w:val="00020808"/>
    <w:rsid w:val="00031C68"/>
    <w:rsid w:val="00034F85"/>
    <w:rsid w:val="00037098"/>
    <w:rsid w:val="00042D85"/>
    <w:rsid w:val="00055FCD"/>
    <w:rsid w:val="0007194A"/>
    <w:rsid w:val="0008094E"/>
    <w:rsid w:val="00081E88"/>
    <w:rsid w:val="00095A0C"/>
    <w:rsid w:val="000A03AA"/>
    <w:rsid w:val="000C68FC"/>
    <w:rsid w:val="000D1357"/>
    <w:rsid w:val="000D2ED5"/>
    <w:rsid w:val="000D2FC6"/>
    <w:rsid w:val="000F6E43"/>
    <w:rsid w:val="00151B52"/>
    <w:rsid w:val="00165FC7"/>
    <w:rsid w:val="0017048C"/>
    <w:rsid w:val="001A3FD4"/>
    <w:rsid w:val="001A5C54"/>
    <w:rsid w:val="001D4556"/>
    <w:rsid w:val="001E01A7"/>
    <w:rsid w:val="001E471D"/>
    <w:rsid w:val="001F296E"/>
    <w:rsid w:val="001F3302"/>
    <w:rsid w:val="001F3B64"/>
    <w:rsid w:val="001F7C30"/>
    <w:rsid w:val="0020722C"/>
    <w:rsid w:val="002352CE"/>
    <w:rsid w:val="00236367"/>
    <w:rsid w:val="00274337"/>
    <w:rsid w:val="00293267"/>
    <w:rsid w:val="00294774"/>
    <w:rsid w:val="002958EE"/>
    <w:rsid w:val="0029598B"/>
    <w:rsid w:val="002972B7"/>
    <w:rsid w:val="002A6C0D"/>
    <w:rsid w:val="002B2AFE"/>
    <w:rsid w:val="002B2EA0"/>
    <w:rsid w:val="002B7916"/>
    <w:rsid w:val="002C7241"/>
    <w:rsid w:val="002F6963"/>
    <w:rsid w:val="003003F5"/>
    <w:rsid w:val="00315D90"/>
    <w:rsid w:val="00332C44"/>
    <w:rsid w:val="00340D81"/>
    <w:rsid w:val="00356780"/>
    <w:rsid w:val="00377AD3"/>
    <w:rsid w:val="0038007F"/>
    <w:rsid w:val="003973D6"/>
    <w:rsid w:val="003A68DE"/>
    <w:rsid w:val="003B2318"/>
    <w:rsid w:val="003B4BBC"/>
    <w:rsid w:val="003B7EC7"/>
    <w:rsid w:val="003C0D74"/>
    <w:rsid w:val="003C6147"/>
    <w:rsid w:val="003C7345"/>
    <w:rsid w:val="003D1315"/>
    <w:rsid w:val="003D6056"/>
    <w:rsid w:val="003E0D5E"/>
    <w:rsid w:val="003E3306"/>
    <w:rsid w:val="00401D20"/>
    <w:rsid w:val="00402D60"/>
    <w:rsid w:val="00417EFE"/>
    <w:rsid w:val="00421BCB"/>
    <w:rsid w:val="004223B1"/>
    <w:rsid w:val="00425FB5"/>
    <w:rsid w:val="00446E60"/>
    <w:rsid w:val="00446ED1"/>
    <w:rsid w:val="00456D00"/>
    <w:rsid w:val="00463B4C"/>
    <w:rsid w:val="00470267"/>
    <w:rsid w:val="00473548"/>
    <w:rsid w:val="00474705"/>
    <w:rsid w:val="00495490"/>
    <w:rsid w:val="004A2783"/>
    <w:rsid w:val="004E2995"/>
    <w:rsid w:val="00500D70"/>
    <w:rsid w:val="00502056"/>
    <w:rsid w:val="00504B5F"/>
    <w:rsid w:val="00513A3D"/>
    <w:rsid w:val="00513C05"/>
    <w:rsid w:val="00525A72"/>
    <w:rsid w:val="0053168C"/>
    <w:rsid w:val="0054261D"/>
    <w:rsid w:val="0054342F"/>
    <w:rsid w:val="00553E49"/>
    <w:rsid w:val="00595E59"/>
    <w:rsid w:val="005A49DF"/>
    <w:rsid w:val="005A64C5"/>
    <w:rsid w:val="005B7448"/>
    <w:rsid w:val="005D00C8"/>
    <w:rsid w:val="005D456B"/>
    <w:rsid w:val="005E75C0"/>
    <w:rsid w:val="005F0600"/>
    <w:rsid w:val="005F0A06"/>
    <w:rsid w:val="006027D2"/>
    <w:rsid w:val="00606ED0"/>
    <w:rsid w:val="00610D75"/>
    <w:rsid w:val="006378C7"/>
    <w:rsid w:val="00646E89"/>
    <w:rsid w:val="00653215"/>
    <w:rsid w:val="00653D03"/>
    <w:rsid w:val="00684C0A"/>
    <w:rsid w:val="00684C4B"/>
    <w:rsid w:val="00686310"/>
    <w:rsid w:val="00694088"/>
    <w:rsid w:val="006A6E92"/>
    <w:rsid w:val="006B19A4"/>
    <w:rsid w:val="006B35FC"/>
    <w:rsid w:val="006B79F0"/>
    <w:rsid w:val="006D5A68"/>
    <w:rsid w:val="006E4BF6"/>
    <w:rsid w:val="006E7ACB"/>
    <w:rsid w:val="006F057E"/>
    <w:rsid w:val="006F4CAF"/>
    <w:rsid w:val="007012B8"/>
    <w:rsid w:val="007018C6"/>
    <w:rsid w:val="00720710"/>
    <w:rsid w:val="007257BD"/>
    <w:rsid w:val="00736F5E"/>
    <w:rsid w:val="007512DA"/>
    <w:rsid w:val="007669E1"/>
    <w:rsid w:val="007700A9"/>
    <w:rsid w:val="00771127"/>
    <w:rsid w:val="007967C8"/>
    <w:rsid w:val="007B33BE"/>
    <w:rsid w:val="007C126C"/>
    <w:rsid w:val="007C3D8F"/>
    <w:rsid w:val="007D3434"/>
    <w:rsid w:val="007F3196"/>
    <w:rsid w:val="007F4C9B"/>
    <w:rsid w:val="007F5378"/>
    <w:rsid w:val="00807C05"/>
    <w:rsid w:val="00817D1A"/>
    <w:rsid w:val="0082538E"/>
    <w:rsid w:val="00835E90"/>
    <w:rsid w:val="00837CAA"/>
    <w:rsid w:val="008438ED"/>
    <w:rsid w:val="00854BC7"/>
    <w:rsid w:val="00884898"/>
    <w:rsid w:val="00890C48"/>
    <w:rsid w:val="00895FFC"/>
    <w:rsid w:val="008A6A89"/>
    <w:rsid w:val="008C16AD"/>
    <w:rsid w:val="008C2192"/>
    <w:rsid w:val="008D20B4"/>
    <w:rsid w:val="008D4570"/>
    <w:rsid w:val="008D4BD0"/>
    <w:rsid w:val="008D7382"/>
    <w:rsid w:val="008F04CD"/>
    <w:rsid w:val="00905CEC"/>
    <w:rsid w:val="0093061A"/>
    <w:rsid w:val="009307C5"/>
    <w:rsid w:val="009365D1"/>
    <w:rsid w:val="009366FF"/>
    <w:rsid w:val="00955FDF"/>
    <w:rsid w:val="00956DE4"/>
    <w:rsid w:val="00992653"/>
    <w:rsid w:val="009A3294"/>
    <w:rsid w:val="009A71B6"/>
    <w:rsid w:val="009D4CDC"/>
    <w:rsid w:val="00A14306"/>
    <w:rsid w:val="00A24344"/>
    <w:rsid w:val="00A26DF8"/>
    <w:rsid w:val="00A30578"/>
    <w:rsid w:val="00A42AD1"/>
    <w:rsid w:val="00A449E2"/>
    <w:rsid w:val="00A53C4D"/>
    <w:rsid w:val="00A82C61"/>
    <w:rsid w:val="00A86AF0"/>
    <w:rsid w:val="00A90047"/>
    <w:rsid w:val="00A971E8"/>
    <w:rsid w:val="00AB62F0"/>
    <w:rsid w:val="00AD1E01"/>
    <w:rsid w:val="00AE0F7B"/>
    <w:rsid w:val="00AF50F1"/>
    <w:rsid w:val="00B24157"/>
    <w:rsid w:val="00B36341"/>
    <w:rsid w:val="00B5020B"/>
    <w:rsid w:val="00B66087"/>
    <w:rsid w:val="00B7075F"/>
    <w:rsid w:val="00B73330"/>
    <w:rsid w:val="00B93775"/>
    <w:rsid w:val="00B93F90"/>
    <w:rsid w:val="00B9543E"/>
    <w:rsid w:val="00B97C44"/>
    <w:rsid w:val="00BC31B2"/>
    <w:rsid w:val="00BD28D0"/>
    <w:rsid w:val="00BD40F9"/>
    <w:rsid w:val="00BD648C"/>
    <w:rsid w:val="00BD6AD8"/>
    <w:rsid w:val="00BE2705"/>
    <w:rsid w:val="00C553EC"/>
    <w:rsid w:val="00C61E25"/>
    <w:rsid w:val="00C62964"/>
    <w:rsid w:val="00C6316F"/>
    <w:rsid w:val="00C71498"/>
    <w:rsid w:val="00C96ABA"/>
    <w:rsid w:val="00CA0BD3"/>
    <w:rsid w:val="00CA614F"/>
    <w:rsid w:val="00CE3EDA"/>
    <w:rsid w:val="00CF236A"/>
    <w:rsid w:val="00D37D8C"/>
    <w:rsid w:val="00D43E0F"/>
    <w:rsid w:val="00D50201"/>
    <w:rsid w:val="00D54163"/>
    <w:rsid w:val="00D63EEC"/>
    <w:rsid w:val="00D77B72"/>
    <w:rsid w:val="00DA73ED"/>
    <w:rsid w:val="00DB556F"/>
    <w:rsid w:val="00DC04AE"/>
    <w:rsid w:val="00DC5052"/>
    <w:rsid w:val="00DD3FBE"/>
    <w:rsid w:val="00DE64FE"/>
    <w:rsid w:val="00E00E46"/>
    <w:rsid w:val="00E15C6B"/>
    <w:rsid w:val="00E33C0F"/>
    <w:rsid w:val="00E44C9B"/>
    <w:rsid w:val="00E711BD"/>
    <w:rsid w:val="00EB5459"/>
    <w:rsid w:val="00EC20C2"/>
    <w:rsid w:val="00EC71E9"/>
    <w:rsid w:val="00ED2BA4"/>
    <w:rsid w:val="00ED4094"/>
    <w:rsid w:val="00EF2AF2"/>
    <w:rsid w:val="00EF3C60"/>
    <w:rsid w:val="00F00408"/>
    <w:rsid w:val="00F12475"/>
    <w:rsid w:val="00F20BB1"/>
    <w:rsid w:val="00F21D01"/>
    <w:rsid w:val="00F22293"/>
    <w:rsid w:val="00F3516B"/>
    <w:rsid w:val="00F37B74"/>
    <w:rsid w:val="00F41594"/>
    <w:rsid w:val="00F52E98"/>
    <w:rsid w:val="00F5423D"/>
    <w:rsid w:val="00F676D4"/>
    <w:rsid w:val="00F97838"/>
    <w:rsid w:val="00FA2ECB"/>
    <w:rsid w:val="00FA6D7D"/>
    <w:rsid w:val="00FB17D4"/>
    <w:rsid w:val="00FC4821"/>
    <w:rsid w:val="00FD70D8"/>
    <w:rsid w:val="00FD7B08"/>
    <w:rsid w:val="00FE7CC9"/>
    <w:rsid w:val="00FE7DDF"/>
    <w:rsid w:val="00FF2E2E"/>
    <w:rsid w:val="0DAEC4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0A55"/>
  <w15:chartTrackingRefBased/>
  <w15:docId w15:val="{D6BFE992-65FA-470E-A9C4-65AB24540F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semiHidden/>
    <w:unhideWhenUsed/>
    <w:rsid w:val="00FB17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rsid w:val="00FB17D4"/>
  </w:style>
  <w:style w:type="paragraph" w:styleId="Encabezado">
    <w:name w:val="header"/>
    <w:basedOn w:val="Normal"/>
    <w:link w:val="EncabezadoCar"/>
    <w:uiPriority w:val="99"/>
    <w:semiHidden/>
    <w:unhideWhenUsed/>
    <w:rsid w:val="00FB17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rsid w:val="00FB17D4"/>
  </w:style>
  <w:style w:type="paragraph" w:styleId="Sinespaciado">
    <w:name w:val="No Spacing"/>
    <w:uiPriority w:val="1"/>
    <w:qFormat/>
    <w:rsid w:val="00FB17D4"/>
    <w:pPr>
      <w:spacing w:after="0" w:line="240" w:lineRule="auto"/>
    </w:pPr>
  </w:style>
  <w:style w:type="table" w:styleId="Tablaconcuadrcula1" w:customStyle="1">
    <w:name w:val="Tabla con cuadrícula1"/>
    <w:basedOn w:val="Tablanormal"/>
    <w:next w:val="Tablaconcuadrcula"/>
    <w:uiPriority w:val="59"/>
    <w:rsid w:val="00FB17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1" w:customStyle="1">
    <w:name w:val="Hipervínculo1"/>
    <w:basedOn w:val="Fuentedeprrafopredeter"/>
    <w:uiPriority w:val="99"/>
    <w:unhideWhenUsed/>
    <w:rsid w:val="00FB17D4"/>
    <w:rPr>
      <w:color w:val="F2F2F2"/>
      <w:u w:val="singl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B17D4"/>
    <w:rPr>
      <w:sz w:val="20"/>
      <w:szCs w:val="20"/>
      <w:lang w:val="es-MX"/>
    </w:rPr>
  </w:style>
  <w:style w:type="paragraph" w:styleId="Car1" w:customStyle="1">
    <w:name w:val="Car1"/>
    <w:basedOn w:val="Normal"/>
    <w:next w:val="Textonotapie"/>
    <w:uiPriority w:val="99"/>
    <w:unhideWhenUsed/>
    <w:qFormat/>
    <w:rsid w:val="00FB17D4"/>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B17D4"/>
    <w:rPr>
      <w:vertAlign w:val="superscript"/>
    </w:rPr>
  </w:style>
  <w:style w:type="paragraph" w:styleId="Appelnotedebasde" w:customStyle="1">
    <w:name w:val="Appel note de bas de..."/>
    <w:basedOn w:val="Normal"/>
    <w:link w:val="Refdenotaalpie"/>
    <w:uiPriority w:val="99"/>
    <w:rsid w:val="00FB17D4"/>
    <w:pPr>
      <w:spacing w:line="240" w:lineRule="exact"/>
    </w:pPr>
    <w:rPr>
      <w:vertAlign w:val="superscript"/>
    </w:rPr>
  </w:style>
  <w:style w:type="table" w:styleId="Tablaconcuadrcula">
    <w:name w:val="Table Grid"/>
    <w:basedOn w:val="Tablanormal"/>
    <w:uiPriority w:val="39"/>
    <w:rsid w:val="00FB17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B17D4"/>
    <w:rPr>
      <w:color w:val="0563C1" w:themeColor="hyperlink"/>
      <w:u w:val="single"/>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B17D4"/>
    <w:pPr>
      <w:spacing w:after="0" w:line="240" w:lineRule="auto"/>
    </w:pPr>
    <w:rPr>
      <w:sz w:val="20"/>
      <w:szCs w:val="20"/>
      <w:lang w:val="es-MX"/>
    </w:rPr>
  </w:style>
  <w:style w:type="character" w:styleId="TextonotapieCar1" w:customStyle="1">
    <w:name w:val="Texto nota pie Car1"/>
    <w:basedOn w:val="Fuentedeprrafopredeter"/>
    <w:uiPriority w:val="99"/>
    <w:semiHidden/>
    <w:rsid w:val="00FB17D4"/>
    <w:rPr>
      <w:sz w:val="20"/>
      <w:szCs w:val="20"/>
    </w:rPr>
  </w:style>
  <w:style w:type="paragraph" w:styleId="Prrafodelista">
    <w:name w:val="List Paragraph"/>
    <w:basedOn w:val="Normal"/>
    <w:uiPriority w:val="34"/>
    <w:qFormat/>
    <w:rsid w:val="00FD70D8"/>
    <w:pPr>
      <w:ind w:left="720"/>
      <w:contextualSpacing/>
    </w:pPr>
  </w:style>
  <w:style w:type="character" w:styleId="Refdecomentario">
    <w:name w:val="annotation reference"/>
    <w:basedOn w:val="Fuentedeprrafopredeter"/>
    <w:uiPriority w:val="99"/>
    <w:semiHidden/>
    <w:unhideWhenUsed/>
    <w:rsid w:val="00463B4C"/>
    <w:rPr>
      <w:sz w:val="16"/>
      <w:szCs w:val="16"/>
    </w:rPr>
  </w:style>
  <w:style w:type="paragraph" w:styleId="Textocomentario">
    <w:name w:val="annotation text"/>
    <w:basedOn w:val="Normal"/>
    <w:link w:val="TextocomentarioCar"/>
    <w:uiPriority w:val="99"/>
    <w:unhideWhenUsed/>
    <w:rsid w:val="00463B4C"/>
    <w:pPr>
      <w:spacing w:line="240" w:lineRule="auto"/>
    </w:pPr>
    <w:rPr>
      <w:sz w:val="20"/>
      <w:szCs w:val="20"/>
    </w:rPr>
  </w:style>
  <w:style w:type="character" w:styleId="TextocomentarioCar" w:customStyle="1">
    <w:name w:val="Texto comentario Car"/>
    <w:basedOn w:val="Fuentedeprrafopredeter"/>
    <w:link w:val="Textocomentario"/>
    <w:uiPriority w:val="99"/>
    <w:rsid w:val="00463B4C"/>
    <w:rPr>
      <w:sz w:val="20"/>
      <w:szCs w:val="20"/>
    </w:rPr>
  </w:style>
  <w:style w:type="paragraph" w:styleId="Asuntodelcomentario">
    <w:name w:val="annotation subject"/>
    <w:basedOn w:val="Textocomentario"/>
    <w:next w:val="Textocomentario"/>
    <w:link w:val="AsuntodelcomentarioCar"/>
    <w:uiPriority w:val="99"/>
    <w:semiHidden/>
    <w:unhideWhenUsed/>
    <w:rsid w:val="00463B4C"/>
    <w:rPr>
      <w:b/>
      <w:bCs/>
    </w:rPr>
  </w:style>
  <w:style w:type="character" w:styleId="AsuntodelcomentarioCar" w:customStyle="1">
    <w:name w:val="Asunto del comentario Car"/>
    <w:basedOn w:val="TextocomentarioCar"/>
    <w:link w:val="Asuntodelcomentario"/>
    <w:uiPriority w:val="99"/>
    <w:semiHidden/>
    <w:rsid w:val="00463B4C"/>
    <w:rPr>
      <w:b/>
      <w:bCs/>
      <w:sz w:val="20"/>
      <w:szCs w:val="20"/>
    </w:rPr>
  </w:style>
  <w:style w:type="paragraph" w:styleId="Textoindependiente">
    <w:name w:val="Body Text"/>
    <w:basedOn w:val="Normal"/>
    <w:link w:val="TextoindependienteCar"/>
    <w:rsid w:val="007D3434"/>
    <w:pPr>
      <w:spacing w:after="120" w:line="240" w:lineRule="auto"/>
    </w:pPr>
    <w:rPr>
      <w:rFonts w:ascii="Times New Roman" w:hAnsi="Times New Roman" w:eastAsia="Times New Roman" w:cs="Times New Roman"/>
      <w:sz w:val="24"/>
      <w:szCs w:val="24"/>
      <w:lang w:eastAsia="es-CO"/>
    </w:rPr>
  </w:style>
  <w:style w:type="character" w:styleId="TextoindependienteCar" w:customStyle="1">
    <w:name w:val="Texto independiente Car"/>
    <w:basedOn w:val="Fuentedeprrafopredeter"/>
    <w:link w:val="Textoindependiente"/>
    <w:rsid w:val="007D3434"/>
    <w:rPr>
      <w:rFonts w:ascii="Times New Roman" w:hAnsi="Times New Roman" w:eastAsia="Times New Roman" w:cs="Times New Roman"/>
      <w:sz w:val="24"/>
      <w:szCs w:val="24"/>
      <w:lang w:eastAsia="es-CO"/>
    </w:rPr>
  </w:style>
  <w:style w:type="character" w:styleId="baj" w:customStyle="1">
    <w:name w:val="b_aj"/>
    <w:basedOn w:val="Fuentedeprrafopredeter"/>
    <w:rsid w:val="006E4BF6"/>
  </w:style>
  <w:style w:type="paragraph" w:styleId="NormalWeb">
    <w:name w:val="Normal (Web)"/>
    <w:basedOn w:val="Normal"/>
    <w:link w:val="NormalWebCar"/>
    <w:uiPriority w:val="99"/>
    <w:unhideWhenUsed/>
    <w:rsid w:val="00A90047"/>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ar" w:customStyle="1">
    <w:name w:val="Normal (Web) Car"/>
    <w:link w:val="NormalWeb"/>
    <w:uiPriority w:val="99"/>
    <w:rsid w:val="00A90047"/>
    <w:rPr>
      <w:rFonts w:ascii="Times New Roman" w:hAnsi="Times New Roman" w:eastAsia="Times New Roman" w:cs="Times New Roman"/>
      <w:sz w:val="24"/>
      <w:szCs w:val="24"/>
      <w:lang w:eastAsia="es-CO"/>
    </w:rPr>
  </w:style>
  <w:style w:type="paragraph" w:styleId="Revisin">
    <w:name w:val="Revision"/>
    <w:hidden/>
    <w:uiPriority w:val="99"/>
    <w:semiHidden/>
    <w:rsid w:val="00D77B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node/30741" TargetMode="External"/><Relationship Id="rId1" Type="http://schemas.openxmlformats.org/officeDocument/2006/relationships/hyperlink" Target="https://www.colombiacompra.gov.co/node/236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374A7-85C2-43EA-9491-690A41634143}">
  <ds:schemaRefs>
    <ds:schemaRef ds:uri="http://schemas.openxmlformats.org/officeDocument/2006/bibliography"/>
  </ds:schemaRefs>
</ds:datastoreItem>
</file>

<file path=customXml/itemProps2.xml><?xml version="1.0" encoding="utf-8"?>
<ds:datastoreItem xmlns:ds="http://schemas.openxmlformats.org/officeDocument/2006/customXml" ds:itemID="{E2CB162F-D4D9-4B3B-B3CE-E8027314514D}">
  <ds:schemaRefs>
    <ds:schemaRef ds:uri="http://purl.org/dc/terms/"/>
    <ds:schemaRef ds:uri="http://www.w3.org/XML/1998/namespace"/>
    <ds:schemaRef ds:uri="9d85dbaf-23eb-4e57-a637-93dcacc8b1a1"/>
    <ds:schemaRef ds:uri="http://schemas.microsoft.com/office/2006/metadata/properties"/>
    <ds:schemaRef ds:uri="a6cb9e4b-f1d1-4245-83ec-6cad768d538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5098E32-44AB-4578-9213-385C26A6DB70}">
  <ds:schemaRefs>
    <ds:schemaRef ds:uri="http://schemas.microsoft.com/sharepoint/v3/contenttype/forms"/>
  </ds:schemaRefs>
</ds:datastoreItem>
</file>

<file path=customXml/itemProps4.xml><?xml version="1.0" encoding="utf-8"?>
<ds:datastoreItem xmlns:ds="http://schemas.openxmlformats.org/officeDocument/2006/customXml" ds:itemID="{D3F788A6-E7A8-421D-A5BF-978A6911B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Diana Lucia Saavedra</dc:creator>
  <keywords/>
  <dc:description/>
  <lastModifiedBy>Diana Lucia Saavedra</lastModifiedBy>
  <revision>6</revision>
  <dcterms:created xsi:type="dcterms:W3CDTF">2022-07-19T13:43:00.0000000Z</dcterms:created>
  <dcterms:modified xsi:type="dcterms:W3CDTF">2022-07-19T13:55:53.4618852Z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