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2D0B" w14:textId="72562C25" w:rsidR="00904AFB" w:rsidRDefault="00904AFB" w:rsidP="009D1356">
      <w:pPr>
        <w:spacing w:after="0" w:line="240" w:lineRule="auto"/>
        <w:jc w:val="both"/>
        <w:rPr>
          <w:rFonts w:ascii="Arial" w:eastAsia="Calibri" w:hAnsi="Arial" w:cs="Arial"/>
          <w:b/>
          <w:lang w:val="es-MX"/>
        </w:rPr>
      </w:pPr>
      <w:bookmarkStart w:id="0" w:name="_Hlk63880273"/>
      <w:r w:rsidRPr="009D1356">
        <w:rPr>
          <w:rFonts w:ascii="Arial" w:eastAsia="Calibri" w:hAnsi="Arial" w:cs="Arial"/>
          <w:b/>
          <w:lang w:val="es-MX"/>
        </w:rPr>
        <w:t xml:space="preserve">DOCUMENTOS TIPO – </w:t>
      </w:r>
      <w:r w:rsidR="00317D51">
        <w:rPr>
          <w:rFonts w:ascii="Arial" w:eastAsia="Calibri" w:hAnsi="Arial" w:cs="Arial"/>
          <w:b/>
          <w:lang w:val="es-MX"/>
        </w:rPr>
        <w:t>Fundamento normativo – Inalterabilidad</w:t>
      </w:r>
    </w:p>
    <w:p w14:paraId="60F3278F" w14:textId="6B41727C" w:rsidR="00904AFB" w:rsidRDefault="00904AFB" w:rsidP="009D1356">
      <w:pPr>
        <w:spacing w:after="0" w:line="240" w:lineRule="auto"/>
        <w:jc w:val="both"/>
        <w:rPr>
          <w:rFonts w:ascii="Arial" w:eastAsia="Calibri" w:hAnsi="Arial" w:cs="Arial"/>
          <w:b/>
          <w:lang w:val="es-MX"/>
        </w:rPr>
      </w:pPr>
    </w:p>
    <w:p w14:paraId="1F360498" w14:textId="16C5CF70" w:rsidR="009D1356" w:rsidRDefault="00B279E0" w:rsidP="0083335F">
      <w:pPr>
        <w:spacing w:after="0" w:line="240" w:lineRule="auto"/>
        <w:jc w:val="both"/>
        <w:rPr>
          <w:rFonts w:ascii="Arial" w:eastAsia="Calibri" w:hAnsi="Arial" w:cs="Arial"/>
          <w:sz w:val="20"/>
          <w:szCs w:val="20"/>
          <w:lang w:val="es-MX"/>
        </w:rPr>
      </w:pPr>
      <w:r w:rsidRPr="00B279E0">
        <w:rPr>
          <w:rFonts w:ascii="Arial" w:eastAsia="Calibri" w:hAnsi="Arial" w:cs="Arial"/>
          <w:sz w:val="20"/>
          <w:szCs w:val="20"/>
          <w:lang w:val="es-MX"/>
        </w:rPr>
        <w:t>Con posterioridad a la adopción de los anteriores documentos tipo, se expidió la Ley 2022 de 2020, norma que modificó 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específicamente, a la Agencia Nacional de Contratación Pública – Colombia Compra Eficiente la competencia para su adopción. 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w:t>
      </w:r>
    </w:p>
    <w:p w14:paraId="6F410443" w14:textId="5C64E730" w:rsidR="004A6D58" w:rsidRDefault="004A6D58" w:rsidP="0083335F">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w:t>
      </w:r>
    </w:p>
    <w:p w14:paraId="26060D6E" w14:textId="3C55AF8B" w:rsidR="004A6D58" w:rsidRPr="009D1356" w:rsidRDefault="00B279E0" w:rsidP="0083335F">
      <w:pPr>
        <w:spacing w:after="0" w:line="240" w:lineRule="auto"/>
        <w:jc w:val="both"/>
        <w:rPr>
          <w:rFonts w:ascii="Arial" w:eastAsia="Calibri" w:hAnsi="Arial" w:cs="Arial"/>
          <w:sz w:val="20"/>
          <w:szCs w:val="20"/>
          <w:lang w:val="es-MX"/>
        </w:rPr>
      </w:pPr>
      <w:r w:rsidRPr="00B279E0">
        <w:rPr>
          <w:rFonts w:ascii="Arial" w:eastAsia="Calibri" w:hAnsi="Arial" w:cs="Arial"/>
          <w:sz w:val="20"/>
          <w:szCs w:val="20"/>
          <w:lang w:val="es-MX"/>
        </w:rPr>
        <w:t>Es importante advertir que todas las resoluciones mediante las que se han adoptado documentos tipo consagran la regla de la inalterabilidad. Esta prohibición consiste en que las entidades estatales no pueden incluir o modificar en los Documentos del Proceso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65AEF97" w14:textId="77777777" w:rsidR="009D1356" w:rsidRPr="004A6D58" w:rsidRDefault="009D1356" w:rsidP="009D1356">
      <w:pPr>
        <w:spacing w:after="0" w:line="240" w:lineRule="auto"/>
        <w:contextualSpacing/>
        <w:jc w:val="both"/>
        <w:rPr>
          <w:rFonts w:ascii="Arial" w:eastAsia="Calibri" w:hAnsi="Arial" w:cs="Arial"/>
          <w:highlight w:val="yellow"/>
          <w:lang w:val="es-MX"/>
        </w:rPr>
      </w:pPr>
    </w:p>
    <w:p w14:paraId="19A672C9" w14:textId="198EE175" w:rsidR="009D1356" w:rsidRPr="009D1356" w:rsidRDefault="009D1356" w:rsidP="009D1356">
      <w:pPr>
        <w:spacing w:after="0" w:line="240" w:lineRule="auto"/>
        <w:jc w:val="both"/>
        <w:rPr>
          <w:rFonts w:ascii="Arial" w:eastAsia="Calibri" w:hAnsi="Arial" w:cs="Arial"/>
          <w:b/>
          <w:lang w:val="es-MX"/>
        </w:rPr>
      </w:pPr>
      <w:r w:rsidRPr="009D1356">
        <w:rPr>
          <w:rFonts w:ascii="Arial" w:eastAsia="Calibri" w:hAnsi="Arial" w:cs="Arial"/>
          <w:b/>
          <w:lang w:val="es-MX"/>
        </w:rPr>
        <w:t>DOCUMENTOS TIPO – Infraestructura de agua potable y saneamiento básico – Infraestructura de transporte – Concurrencia – Selección</w:t>
      </w:r>
    </w:p>
    <w:p w14:paraId="218E5779" w14:textId="77777777" w:rsidR="009D1356" w:rsidRPr="009D1356" w:rsidRDefault="009D1356" w:rsidP="009D1356">
      <w:pPr>
        <w:spacing w:after="0" w:line="240" w:lineRule="auto"/>
        <w:contextualSpacing/>
        <w:jc w:val="both"/>
        <w:rPr>
          <w:rFonts w:ascii="Arial" w:eastAsia="Calibri" w:hAnsi="Arial" w:cs="Arial"/>
          <w:sz w:val="20"/>
          <w:szCs w:val="20"/>
          <w:highlight w:val="yellow"/>
          <w:lang w:val="es-MX"/>
        </w:rPr>
      </w:pPr>
    </w:p>
    <w:p w14:paraId="65B750E3" w14:textId="04AFCD59" w:rsidR="00134045" w:rsidRDefault="00134045" w:rsidP="00134045">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 xml:space="preserve">[…] </w:t>
      </w:r>
      <w:r w:rsidRPr="00134045">
        <w:rPr>
          <w:rFonts w:ascii="Arial" w:eastAsia="Calibri" w:hAnsi="Arial" w:cs="Arial"/>
          <w:sz w:val="20"/>
          <w:szCs w:val="20"/>
          <w:lang w:val="es-MX"/>
        </w:rPr>
        <w:t>dado que es posible que concurran en un objeto contractual intervenciones de infraestructura de transporte con obras públicas de agua potable y saneamiento básico, y viceversa, generándose la duda sobre qué documentos tipo deben aplicarse, las Resoluciones No. 248 y 249 de 2020 incluyeron criterios para resolver estas situaciones. El artículo 5 de estos actos administrativos contempla dos reglas que deben aplicarse de manera sucesiva y excluyente, para determinar los documentos tipo aplicables, e incluso justificar técnicamente dicha escogencia en el estudio previo.</w:t>
      </w:r>
    </w:p>
    <w:p w14:paraId="676589C6" w14:textId="77777777" w:rsidR="00134045" w:rsidRPr="00134045" w:rsidRDefault="00134045" w:rsidP="00134045">
      <w:pPr>
        <w:spacing w:after="0" w:line="240" w:lineRule="auto"/>
        <w:jc w:val="both"/>
        <w:rPr>
          <w:rFonts w:ascii="Arial" w:eastAsia="Calibri" w:hAnsi="Arial" w:cs="Arial"/>
          <w:sz w:val="20"/>
          <w:szCs w:val="20"/>
          <w:lang w:val="es-MX"/>
        </w:rPr>
      </w:pPr>
    </w:p>
    <w:p w14:paraId="0B890626" w14:textId="44A71318" w:rsidR="00C36BA8" w:rsidRDefault="00134045" w:rsidP="00134045">
      <w:pPr>
        <w:spacing w:after="0" w:line="240" w:lineRule="auto"/>
        <w:jc w:val="both"/>
        <w:rPr>
          <w:rFonts w:ascii="Arial" w:eastAsia="Calibri" w:hAnsi="Arial" w:cs="Arial"/>
          <w:sz w:val="20"/>
          <w:szCs w:val="20"/>
          <w:lang w:val="es-MX"/>
        </w:rPr>
      </w:pPr>
      <w:r w:rsidRPr="00134045">
        <w:rPr>
          <w:rFonts w:ascii="Arial" w:eastAsia="Calibri" w:hAnsi="Arial" w:cs="Arial"/>
          <w:sz w:val="20"/>
          <w:szCs w:val="20"/>
          <w:lang w:val="es-MX"/>
        </w:rPr>
        <w:t>La aplicación de la primera de estas reglas implica determinar si el proceso de contratación requiere o no autorización del Viceministerio de Agua Potable y Saneamiento Básico, en caso de necesitarse deberán aplicarse los documentos tipo de agua potable y saneamiento básico. De no requerirse la referida autorización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técnicamente, lo que tiene mayor peso en el impacto del proyecto o lo que abarca una mayor proporción del presupuesto oficial son las obras de agua potable y saneamiento básico, deberán aplicarse los documentos tipo adoptados por las Resoluciones No. 248 y 249 de 2020, y en caso contrario los de obra pública de infraestructura de transporte en la modalidad que corresponda. En todo caso, independientemente de cuales sean los documentos tipo que se opten por aplicar, la entidad deberá justificar técnicamente su decisión en los estudios previos.</w:t>
      </w:r>
    </w:p>
    <w:p w14:paraId="01EB688F" w14:textId="77777777" w:rsidR="00C36BA8" w:rsidRPr="00C36BA8" w:rsidRDefault="00C36BA8" w:rsidP="00C36BA8">
      <w:pPr>
        <w:spacing w:after="0" w:line="240" w:lineRule="auto"/>
        <w:jc w:val="both"/>
        <w:rPr>
          <w:rFonts w:ascii="Arial" w:eastAsia="Calibri" w:hAnsi="Arial" w:cs="Arial"/>
          <w:sz w:val="20"/>
          <w:szCs w:val="20"/>
          <w:lang w:val="es-MX"/>
        </w:rPr>
      </w:pPr>
    </w:p>
    <w:p w14:paraId="11356B28" w14:textId="5846EE2C" w:rsidR="009D1356" w:rsidRDefault="00134045" w:rsidP="00C36BA8">
      <w:pPr>
        <w:spacing w:after="0" w:line="240" w:lineRule="auto"/>
        <w:jc w:val="both"/>
        <w:rPr>
          <w:rFonts w:ascii="Arial" w:eastAsia="Calibri" w:hAnsi="Arial" w:cs="Arial"/>
          <w:sz w:val="20"/>
          <w:szCs w:val="20"/>
          <w:lang w:val="es-MX"/>
        </w:rPr>
      </w:pPr>
      <w:r w:rsidRPr="00134045">
        <w:rPr>
          <w:rFonts w:ascii="Arial" w:eastAsia="Calibri" w:hAnsi="Arial" w:cs="Arial"/>
          <w:sz w:val="20"/>
          <w:szCs w:val="20"/>
          <w:lang w:val="es-MX"/>
        </w:rPr>
        <w:t xml:space="preserve">En ese orden, escogidos los documentos tipo aplicables conforme a las anteriores reglas, las obras que no encajen dentro del ámbito de aplicación de estos, serán consideradas obras adicionales en los términos del artículo 4 de la Resolución No. 240 de 2020, o el artículo 4 de las Resoluciones No. 248 y 249 de 2020. Esto significa que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las Resoluciones No. 248 y 249 de 2020 respecto de la parte del objeto contractual concerniente a obra pública de infraestructura de transporte. Asimismo, si la entidad contratante determina que deben aplicarse los documentos tipo de infraestructura de transporte, le corresponderá aplicar el artículo 4 de la Resolución No. 240 de 2020, en lo relativo a la intervención de la infraestructura de agua potable o saneamiento básico.  </w:t>
      </w:r>
    </w:p>
    <w:p w14:paraId="3F768E4B" w14:textId="423DA884" w:rsidR="00CB7D66" w:rsidRPr="00AC1992" w:rsidRDefault="00CB7D66" w:rsidP="00C36BA8">
      <w:pPr>
        <w:spacing w:after="0" w:line="240" w:lineRule="auto"/>
        <w:jc w:val="both"/>
        <w:rPr>
          <w:rFonts w:ascii="Arial" w:eastAsia="Calibri" w:hAnsi="Arial" w:cs="Arial"/>
          <w:lang w:val="es-MX"/>
        </w:rPr>
      </w:pPr>
    </w:p>
    <w:p w14:paraId="52769E8D" w14:textId="2D899893" w:rsidR="00CB7D66" w:rsidRDefault="00CB7D66" w:rsidP="00C36BA8">
      <w:pPr>
        <w:spacing w:after="0" w:line="240" w:lineRule="auto"/>
        <w:jc w:val="both"/>
        <w:rPr>
          <w:rFonts w:ascii="Arial" w:eastAsia="Calibri" w:hAnsi="Arial" w:cs="Arial"/>
          <w:b/>
          <w:bCs/>
          <w:lang w:val="es-MX"/>
        </w:rPr>
      </w:pPr>
      <w:r w:rsidRPr="00AC1992">
        <w:rPr>
          <w:rFonts w:ascii="Arial" w:eastAsia="Calibri" w:hAnsi="Arial" w:cs="Arial"/>
          <w:b/>
          <w:bCs/>
          <w:lang w:val="es-MX"/>
        </w:rPr>
        <w:t xml:space="preserve">EXPERIENCIA – Concurrencia – Combinación </w:t>
      </w:r>
    </w:p>
    <w:p w14:paraId="12AF1DD1" w14:textId="6317894E" w:rsidR="00FC1DC3" w:rsidRDefault="00FC1DC3" w:rsidP="00C36BA8">
      <w:pPr>
        <w:spacing w:after="0" w:line="240" w:lineRule="auto"/>
        <w:jc w:val="both"/>
        <w:rPr>
          <w:rFonts w:ascii="Arial" w:eastAsia="Calibri" w:hAnsi="Arial" w:cs="Arial"/>
          <w:b/>
          <w:bCs/>
          <w:lang w:val="es-MX"/>
        </w:rPr>
      </w:pPr>
    </w:p>
    <w:p w14:paraId="1A5C2773" w14:textId="10220191" w:rsidR="00134045" w:rsidRDefault="00134045" w:rsidP="00134045">
      <w:pPr>
        <w:spacing w:after="0" w:line="240" w:lineRule="auto"/>
        <w:jc w:val="both"/>
        <w:rPr>
          <w:rFonts w:ascii="Arial" w:eastAsia="Calibri" w:hAnsi="Arial" w:cs="Arial"/>
          <w:sz w:val="20"/>
          <w:szCs w:val="20"/>
          <w:lang w:val="es-MX"/>
        </w:rPr>
      </w:pPr>
      <w:r w:rsidRPr="00134045">
        <w:rPr>
          <w:rFonts w:ascii="Arial" w:eastAsia="Calibri" w:hAnsi="Arial" w:cs="Arial"/>
          <w:sz w:val="20"/>
          <w:szCs w:val="20"/>
          <w:lang w:val="es-MX"/>
        </w:rPr>
        <w:t xml:space="preserve">En caso de que se determine que los documentos tipo que deben aplicarse son los de agua potable y saneamiento básico, siendo adicional la intervención de la infraestructura de transporte, además de los parámetros del artículo 4 de las Resoluciones No. 248 y 249 de 2020, la entidad deberá aplicar el numeral 3.5.1. del documento base. Este numeral está dirigido a que la entidad determine la complejidad técnica del proyecto de acuerdo con lo establecido en la Matriz 1, justificando los requisitos de experiencia general y específica exigibles. Además, este numeral incluye una regla especial para los eventos en los que la obra pública de agua potable y saneamiento básico concurra con la de infraestructura de transporte. </w:t>
      </w:r>
    </w:p>
    <w:p w14:paraId="03A2C756" w14:textId="77777777" w:rsidR="00134045" w:rsidRPr="00134045" w:rsidRDefault="00134045" w:rsidP="00134045">
      <w:pPr>
        <w:spacing w:after="0" w:line="240" w:lineRule="auto"/>
        <w:jc w:val="both"/>
        <w:rPr>
          <w:rFonts w:ascii="Arial" w:eastAsia="Calibri" w:hAnsi="Arial" w:cs="Arial"/>
          <w:sz w:val="20"/>
          <w:szCs w:val="20"/>
          <w:lang w:val="es-MX"/>
        </w:rPr>
      </w:pPr>
    </w:p>
    <w:p w14:paraId="18FB5FE3" w14:textId="5C62292A" w:rsidR="00FC1DC3" w:rsidRPr="00FC1DC3" w:rsidRDefault="00134045" w:rsidP="00134045">
      <w:pPr>
        <w:spacing w:after="0" w:line="240" w:lineRule="auto"/>
        <w:jc w:val="both"/>
        <w:rPr>
          <w:rFonts w:ascii="Arial" w:eastAsia="Calibri" w:hAnsi="Arial" w:cs="Arial"/>
          <w:sz w:val="20"/>
          <w:szCs w:val="20"/>
          <w:lang w:val="es-MX"/>
        </w:rPr>
      </w:pPr>
      <w:r w:rsidRPr="00134045">
        <w:rPr>
          <w:rFonts w:ascii="Arial" w:eastAsia="Calibri" w:hAnsi="Arial" w:cs="Arial"/>
          <w:sz w:val="20"/>
          <w:szCs w:val="20"/>
          <w:lang w:val="es-MX"/>
        </w:rPr>
        <w:t>Según esta regla, la entidad debe configurar la experiencia exigible combinando la Matriz 1 de los documentos tipo de agua potable y saneamiento básico con la de los documentos tipo de infraestructura de transporte, de tal manera que el requisito de experiencia adicional a exigirse en virtud del artículo 4 de las Resoluciones No. 248 y 249 de 2020, estará determinado por esta última. Esto significa que, por ejemplo, si se requiere contratar el mejoramiento o la construcción de una red de alcantarillado que implica la intervención de vías terciarias, en lo concerniente a los requisitos de experiencia general y específica deberán exigirse los establecidos para la actividad 2.1 o 2.2 de la Matriz 1 adoptada por las Resoluciones No. 248 y 249 de 2020 , los cuales deberán combinarse con los establecidos para las actividades 2.1, 2.2. o 2.3 de la Matriz 1 de los «Documentos Tipo – Versión 3» de licitación pública para obra de infraestructura de transporte , o la actividad constructiva pertinente al tipo de infraestructura de transporte categorizadas en el tipo de infraestructura en vías terciarias.</w:t>
      </w:r>
    </w:p>
    <w:p w14:paraId="495C8817" w14:textId="5FF52F78" w:rsidR="009D1356" w:rsidRDefault="009D1356" w:rsidP="009D1356">
      <w:pPr>
        <w:spacing w:after="0" w:line="240" w:lineRule="auto"/>
        <w:jc w:val="both"/>
        <w:rPr>
          <w:rFonts w:ascii="Arial" w:eastAsia="Calibri" w:hAnsi="Arial" w:cs="Arial"/>
          <w:b/>
          <w:sz w:val="20"/>
          <w:szCs w:val="20"/>
          <w:highlight w:val="yellow"/>
          <w:lang w:val="es-MX"/>
        </w:rPr>
      </w:pPr>
    </w:p>
    <w:p w14:paraId="5C2B0055" w14:textId="77777777" w:rsidR="00AC1992" w:rsidRPr="009D1356" w:rsidRDefault="00AC1992" w:rsidP="009D1356">
      <w:pPr>
        <w:spacing w:after="0" w:line="240" w:lineRule="auto"/>
        <w:jc w:val="both"/>
        <w:rPr>
          <w:rFonts w:ascii="Arial" w:eastAsia="Calibri" w:hAnsi="Arial" w:cs="Arial"/>
          <w:b/>
          <w:sz w:val="20"/>
          <w:szCs w:val="20"/>
          <w:highlight w:val="yellow"/>
          <w:lang w:val="es-MX"/>
        </w:rPr>
      </w:pPr>
    </w:p>
    <w:p w14:paraId="7F4A41C7" w14:textId="56A63E49" w:rsidR="009D1356" w:rsidRDefault="009D1356" w:rsidP="00657188">
      <w:pPr>
        <w:spacing w:line="276" w:lineRule="auto"/>
        <w:jc w:val="right"/>
        <w:rPr>
          <w:rFonts w:ascii="Arial" w:hAnsi="Arial" w:cs="Arial"/>
          <w:sz w:val="20"/>
          <w:szCs w:val="20"/>
        </w:rPr>
      </w:pPr>
    </w:p>
    <w:p w14:paraId="42B06D95" w14:textId="0568B8A9" w:rsidR="00E4273B" w:rsidRDefault="00E4273B" w:rsidP="00657188">
      <w:pPr>
        <w:spacing w:line="276" w:lineRule="auto"/>
        <w:jc w:val="right"/>
        <w:rPr>
          <w:rFonts w:ascii="Arial" w:hAnsi="Arial" w:cs="Arial"/>
          <w:sz w:val="20"/>
          <w:szCs w:val="20"/>
        </w:rPr>
      </w:pPr>
    </w:p>
    <w:p w14:paraId="1D80E278" w14:textId="747CDC79" w:rsidR="00E4273B" w:rsidRDefault="00E4273B" w:rsidP="00657188">
      <w:pPr>
        <w:spacing w:line="276" w:lineRule="auto"/>
        <w:jc w:val="right"/>
        <w:rPr>
          <w:rFonts w:ascii="Arial" w:hAnsi="Arial" w:cs="Arial"/>
          <w:sz w:val="20"/>
          <w:szCs w:val="20"/>
        </w:rPr>
      </w:pPr>
    </w:p>
    <w:p w14:paraId="752307B6" w14:textId="5BEBD7C3" w:rsidR="00E4273B" w:rsidRDefault="00E4273B" w:rsidP="00657188">
      <w:pPr>
        <w:spacing w:line="276" w:lineRule="auto"/>
        <w:jc w:val="right"/>
        <w:rPr>
          <w:rFonts w:ascii="Arial" w:hAnsi="Arial" w:cs="Arial"/>
          <w:sz w:val="20"/>
          <w:szCs w:val="20"/>
        </w:rPr>
      </w:pPr>
    </w:p>
    <w:p w14:paraId="01C13D6B" w14:textId="6D5DE2B9" w:rsidR="00E4273B" w:rsidRDefault="00E4273B" w:rsidP="00657188">
      <w:pPr>
        <w:spacing w:line="276" w:lineRule="auto"/>
        <w:jc w:val="right"/>
        <w:rPr>
          <w:rFonts w:ascii="Arial" w:hAnsi="Arial" w:cs="Arial"/>
          <w:sz w:val="20"/>
          <w:szCs w:val="20"/>
        </w:rPr>
      </w:pPr>
    </w:p>
    <w:p w14:paraId="45CFBD88" w14:textId="0B67C937" w:rsidR="00E4273B" w:rsidRDefault="00E4273B" w:rsidP="00657188">
      <w:pPr>
        <w:spacing w:line="276" w:lineRule="auto"/>
        <w:jc w:val="right"/>
        <w:rPr>
          <w:rFonts w:ascii="Arial" w:hAnsi="Arial" w:cs="Arial"/>
          <w:sz w:val="20"/>
          <w:szCs w:val="20"/>
        </w:rPr>
      </w:pPr>
    </w:p>
    <w:p w14:paraId="430EB7A0" w14:textId="77777777" w:rsidR="00B97A99" w:rsidRDefault="00B97A99" w:rsidP="00657188">
      <w:pPr>
        <w:spacing w:line="276" w:lineRule="auto"/>
        <w:jc w:val="right"/>
        <w:rPr>
          <w:rFonts w:ascii="Arial" w:hAnsi="Arial" w:cs="Arial"/>
          <w:sz w:val="20"/>
          <w:szCs w:val="20"/>
        </w:rPr>
      </w:pPr>
    </w:p>
    <w:p w14:paraId="188EBF8B" w14:textId="77777777" w:rsidR="00E4273B" w:rsidRDefault="00E4273B" w:rsidP="00657188">
      <w:pPr>
        <w:spacing w:line="276" w:lineRule="auto"/>
        <w:jc w:val="right"/>
        <w:rPr>
          <w:rFonts w:ascii="Arial" w:hAnsi="Arial" w:cs="Arial"/>
          <w:sz w:val="20"/>
          <w:szCs w:val="20"/>
        </w:rPr>
      </w:pPr>
    </w:p>
    <w:p w14:paraId="45BA6AA3" w14:textId="67E231BB" w:rsidR="00F718C6" w:rsidRDefault="003A6D8A" w:rsidP="00C72541">
      <w:pPr>
        <w:spacing w:after="0" w:line="276" w:lineRule="auto"/>
        <w:jc w:val="right"/>
        <w:rPr>
          <w:rFonts w:ascii="Arial" w:eastAsia="Calibri" w:hAnsi="Arial" w:cs="Arial"/>
          <w:b/>
          <w:bCs/>
          <w:sz w:val="16"/>
          <w:szCs w:val="16"/>
        </w:rPr>
      </w:pPr>
      <w:r w:rsidRPr="0080533E">
        <w:rPr>
          <w:rFonts w:ascii="Arial" w:hAnsi="Arial" w:cs="Arial"/>
          <w:b/>
          <w:bCs/>
          <w:sz w:val="16"/>
          <w:szCs w:val="16"/>
        </w:rPr>
        <w:t>C</w:t>
      </w:r>
      <w:r w:rsidR="00657188" w:rsidRPr="0080533E">
        <w:rPr>
          <w:rFonts w:ascii="Arial" w:hAnsi="Arial" w:cs="Arial"/>
          <w:b/>
          <w:bCs/>
          <w:sz w:val="16"/>
          <w:szCs w:val="16"/>
        </w:rPr>
        <w:t>CE-DES-FM-17</w:t>
      </w:r>
    </w:p>
    <w:p w14:paraId="6B9AD12F" w14:textId="77777777" w:rsidR="00C72541" w:rsidRPr="00C72541" w:rsidRDefault="00C72541" w:rsidP="00C72541">
      <w:pPr>
        <w:spacing w:after="0" w:line="276" w:lineRule="auto"/>
        <w:jc w:val="right"/>
        <w:rPr>
          <w:rFonts w:ascii="Arial" w:eastAsia="Calibri" w:hAnsi="Arial" w:cs="Arial"/>
          <w:b/>
          <w:bCs/>
          <w:sz w:val="16"/>
          <w:szCs w:val="16"/>
        </w:rPr>
      </w:pPr>
    </w:p>
    <w:p w14:paraId="157CEE69" w14:textId="74A56FB0" w:rsidR="00743E8C" w:rsidRDefault="0080533E" w:rsidP="0080533E">
      <w:pPr>
        <w:tabs>
          <w:tab w:val="left" w:pos="3374"/>
        </w:tabs>
        <w:spacing w:after="0"/>
        <w:jc w:val="right"/>
        <w:rPr>
          <w:rFonts w:ascii="Arial" w:eastAsia="Calibri" w:hAnsi="Arial" w:cs="Arial"/>
        </w:rPr>
      </w:pPr>
      <w:r>
        <w:rPr>
          <w:rFonts w:ascii="Arial" w:eastAsia="Calibri" w:hAnsi="Arial" w:cs="Arial"/>
          <w:noProof/>
        </w:rPr>
        <w:drawing>
          <wp:inline distT="0" distB="0" distL="0" distR="0" wp14:anchorId="5065C6B3" wp14:editId="2748491E">
            <wp:extent cx="2769981" cy="746596"/>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83832" cy="750329"/>
                    </a:xfrm>
                    <a:prstGeom prst="rect">
                      <a:avLst/>
                    </a:prstGeom>
                  </pic:spPr>
                </pic:pic>
              </a:graphicData>
            </a:graphic>
          </wp:inline>
        </w:drawing>
      </w:r>
    </w:p>
    <w:p w14:paraId="5637E3AD" w14:textId="77777777" w:rsidR="00C72541" w:rsidRDefault="00C72541" w:rsidP="00657188">
      <w:pPr>
        <w:spacing w:after="0"/>
        <w:rPr>
          <w:rFonts w:ascii="Arial" w:eastAsia="Calibri" w:hAnsi="Arial" w:cs="Arial"/>
        </w:rPr>
      </w:pPr>
      <w:bookmarkStart w:id="1" w:name="_Hlk63878566"/>
      <w:bookmarkStart w:id="2" w:name="_Hlk110517336"/>
    </w:p>
    <w:p w14:paraId="0E9192A7" w14:textId="77777777" w:rsidR="00C72541" w:rsidRDefault="00C72541" w:rsidP="00657188">
      <w:pPr>
        <w:spacing w:after="0"/>
        <w:rPr>
          <w:rFonts w:ascii="Arial" w:eastAsia="Calibri" w:hAnsi="Arial" w:cs="Arial"/>
        </w:rPr>
      </w:pPr>
    </w:p>
    <w:p w14:paraId="1205CDD1" w14:textId="392654D7" w:rsidR="00657188" w:rsidRPr="009A4A28" w:rsidRDefault="00657188" w:rsidP="00657188">
      <w:pPr>
        <w:spacing w:after="0"/>
        <w:rPr>
          <w:rFonts w:ascii="Arial" w:eastAsia="Calibri" w:hAnsi="Arial" w:cs="Arial"/>
        </w:rPr>
      </w:pPr>
      <w:r w:rsidRPr="009A4A28">
        <w:rPr>
          <w:rFonts w:ascii="Arial" w:eastAsia="Calibri" w:hAnsi="Arial" w:cs="Arial"/>
        </w:rPr>
        <w:t>Señor</w:t>
      </w:r>
    </w:p>
    <w:p w14:paraId="03B5964F" w14:textId="42AF31CD" w:rsidR="00657188" w:rsidRPr="009A4A28" w:rsidRDefault="0021676F" w:rsidP="00657188">
      <w:pPr>
        <w:spacing w:after="0"/>
        <w:rPr>
          <w:rFonts w:ascii="Arial" w:eastAsia="Calibri" w:hAnsi="Arial" w:cs="Arial"/>
          <w:b/>
          <w:lang w:val="es-ES"/>
        </w:rPr>
      </w:pPr>
      <w:r>
        <w:rPr>
          <w:rFonts w:ascii="Arial" w:eastAsia="Calibri" w:hAnsi="Arial" w:cs="Arial"/>
          <w:b/>
          <w:lang w:val="es-ES"/>
        </w:rPr>
        <w:t>Rogers Carlos Aguirre Bejarano</w:t>
      </w:r>
    </w:p>
    <w:p w14:paraId="6853FDD5" w14:textId="1F2C2FC6" w:rsidR="00657188" w:rsidRDefault="004B5582" w:rsidP="00657188">
      <w:pPr>
        <w:spacing w:after="0"/>
        <w:rPr>
          <w:rFonts w:ascii="Arial" w:eastAsia="Calibri" w:hAnsi="Arial" w:cs="Arial"/>
        </w:rPr>
      </w:pPr>
      <w:r>
        <w:rPr>
          <w:rFonts w:ascii="Arial" w:eastAsia="Calibri" w:hAnsi="Arial" w:cs="Arial"/>
        </w:rPr>
        <w:t>Bogotá D.C.</w:t>
      </w:r>
    </w:p>
    <w:p w14:paraId="793DC9DD" w14:textId="77777777" w:rsidR="00657188" w:rsidRDefault="00657188" w:rsidP="00657188">
      <w:pPr>
        <w:spacing w:after="0"/>
        <w:rPr>
          <w:rFonts w:ascii="Arial" w:eastAsia="Calibri" w:hAnsi="Arial" w:cs="Arial"/>
        </w:rPr>
      </w:pPr>
      <w:r>
        <w:rPr>
          <w:rFonts w:ascii="Arial" w:eastAsia="Calibri" w:hAnsi="Arial" w:cs="Arial"/>
        </w:rPr>
        <w:t xml:space="preserve">                                            </w:t>
      </w:r>
    </w:p>
    <w:p w14:paraId="52761C4B" w14:textId="77777777" w:rsidR="00657188" w:rsidRPr="009A4A28" w:rsidRDefault="00657188" w:rsidP="00657188">
      <w:pPr>
        <w:spacing w:after="0"/>
        <w:rPr>
          <w:rFonts w:ascii="Arial" w:eastAsia="Calibri" w:hAnsi="Arial" w:cs="Arial"/>
        </w:rPr>
      </w:pPr>
    </w:p>
    <w:p w14:paraId="6CC58035" w14:textId="36438253" w:rsidR="00B546DB" w:rsidRPr="009A4A28" w:rsidRDefault="00657188" w:rsidP="00465318">
      <w:pPr>
        <w:spacing w:after="0"/>
        <w:rPr>
          <w:rFonts w:ascii="Arial" w:eastAsia="Calibri" w:hAnsi="Arial" w:cs="Arial"/>
          <w:b/>
        </w:rPr>
      </w:pPr>
      <w:r>
        <w:rPr>
          <w:rFonts w:ascii="Arial" w:eastAsia="Calibri" w:hAnsi="Arial" w:cs="Arial"/>
          <w:b/>
        </w:rPr>
        <w:t xml:space="preserve">                                            </w:t>
      </w:r>
      <w:r w:rsidRPr="009A4A28">
        <w:rPr>
          <w:rFonts w:ascii="Arial" w:eastAsia="Calibri" w:hAnsi="Arial" w:cs="Arial"/>
          <w:b/>
        </w:rPr>
        <w:t xml:space="preserve">Concepto C </w:t>
      </w:r>
      <w:r>
        <w:rPr>
          <w:rFonts w:ascii="Arial" w:eastAsia="Calibri" w:hAnsi="Arial" w:cs="Arial"/>
          <w:b/>
        </w:rPr>
        <w:t>–</w:t>
      </w:r>
      <w:r w:rsidRPr="009A4A28">
        <w:rPr>
          <w:rFonts w:ascii="Arial" w:eastAsia="Calibri" w:hAnsi="Arial" w:cs="Arial"/>
          <w:b/>
        </w:rPr>
        <w:t xml:space="preserve"> </w:t>
      </w:r>
      <w:r w:rsidR="0021676F">
        <w:rPr>
          <w:rFonts w:ascii="Arial" w:eastAsia="Calibri" w:hAnsi="Arial" w:cs="Arial"/>
          <w:b/>
        </w:rPr>
        <w:t xml:space="preserve">211 </w:t>
      </w:r>
      <w:r w:rsidRPr="009A4A28">
        <w:rPr>
          <w:rFonts w:ascii="Arial" w:eastAsia="Calibri" w:hAnsi="Arial" w:cs="Arial"/>
          <w:b/>
        </w:rPr>
        <w:t>de 202</w:t>
      </w:r>
      <w:r w:rsidR="0021676F">
        <w:rPr>
          <w:rFonts w:ascii="Arial" w:eastAsia="Calibri" w:hAnsi="Arial" w:cs="Arial"/>
          <w:b/>
        </w:rPr>
        <w:t>2</w:t>
      </w:r>
    </w:p>
    <w:p w14:paraId="5DA7DD62" w14:textId="77777777" w:rsidR="00657188" w:rsidRPr="009A4A28" w:rsidRDefault="00657188" w:rsidP="00465318">
      <w:pPr>
        <w:spacing w:after="0"/>
        <w:rPr>
          <w:rFonts w:ascii="Arial" w:eastAsia="Calibri" w:hAnsi="Arial"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57188" w:rsidRPr="009A4A28" w14:paraId="62C14388" w14:textId="77777777" w:rsidTr="00673C14">
        <w:tc>
          <w:tcPr>
            <w:tcW w:w="2689" w:type="dxa"/>
            <w:hideMark/>
          </w:tcPr>
          <w:p w14:paraId="0BE4EB78" w14:textId="77777777" w:rsidR="00657188" w:rsidRPr="009A4A28" w:rsidRDefault="00657188" w:rsidP="00673C14">
            <w:pPr>
              <w:rPr>
                <w:rFonts w:ascii="Arial" w:eastAsia="Calibri" w:hAnsi="Arial" w:cs="Arial"/>
              </w:rPr>
            </w:pPr>
            <w:r w:rsidRPr="009A4A28">
              <w:rPr>
                <w:rFonts w:ascii="Arial" w:eastAsia="Calibri" w:hAnsi="Arial" w:cs="Arial"/>
                <w:b/>
              </w:rPr>
              <w:t>Temas:</w:t>
            </w:r>
            <w:r w:rsidRPr="009A4A28">
              <w:rPr>
                <w:rFonts w:ascii="Arial" w:eastAsia="Calibri" w:hAnsi="Arial" w:cs="Arial"/>
              </w:rPr>
              <w:t xml:space="preserve">           </w:t>
            </w:r>
          </w:p>
          <w:p w14:paraId="682A1F87" w14:textId="77777777" w:rsidR="00657188" w:rsidRPr="009A4A28" w:rsidRDefault="00657188" w:rsidP="00673C14">
            <w:pPr>
              <w:rPr>
                <w:rFonts w:ascii="Arial" w:eastAsia="Calibri" w:hAnsi="Arial" w:cs="Arial"/>
              </w:rPr>
            </w:pPr>
            <w:r w:rsidRPr="009A4A28">
              <w:rPr>
                <w:rFonts w:ascii="Arial" w:eastAsia="Calibri" w:hAnsi="Arial" w:cs="Arial"/>
              </w:rPr>
              <w:t xml:space="preserve">                           </w:t>
            </w:r>
          </w:p>
        </w:tc>
        <w:tc>
          <w:tcPr>
            <w:tcW w:w="6237" w:type="dxa"/>
            <w:hideMark/>
          </w:tcPr>
          <w:p w14:paraId="33085C14" w14:textId="55FDA322" w:rsidR="00657188" w:rsidRPr="009A4A28" w:rsidRDefault="00730994" w:rsidP="00673C14">
            <w:pPr>
              <w:spacing w:after="120"/>
              <w:jc w:val="both"/>
              <w:rPr>
                <w:rFonts w:ascii="Arial" w:eastAsia="Calibri" w:hAnsi="Arial" w:cs="Arial"/>
              </w:rPr>
            </w:pPr>
            <w:r w:rsidRPr="00730994">
              <w:rPr>
                <w:rFonts w:ascii="Arial" w:eastAsia="Calibri" w:hAnsi="Arial" w:cs="Arial"/>
              </w:rPr>
              <w:t>DOCUMENTOS TIPO – Fundamento normativo – Inalterabilidad</w:t>
            </w:r>
            <w:r w:rsidR="009E583F">
              <w:rPr>
                <w:rFonts w:ascii="Arial" w:eastAsia="Calibri" w:hAnsi="Arial" w:cs="Arial"/>
              </w:rPr>
              <w:t xml:space="preserve"> / </w:t>
            </w:r>
            <w:r w:rsidR="009E583F" w:rsidRPr="009E583F">
              <w:rPr>
                <w:rFonts w:ascii="Arial" w:eastAsia="Calibri" w:hAnsi="Arial" w:cs="Arial"/>
              </w:rPr>
              <w:t>DOCUMENTOS TIPO – Infraestructura de agua potable y saneamiento básico – Infraestructura de transporte – Concurrencia – Selección</w:t>
            </w:r>
            <w:r w:rsidR="009E583F">
              <w:rPr>
                <w:rFonts w:ascii="Arial" w:eastAsia="Calibri" w:hAnsi="Arial" w:cs="Arial"/>
              </w:rPr>
              <w:t xml:space="preserve"> / </w:t>
            </w:r>
            <w:r w:rsidR="009E583F" w:rsidRPr="009E583F">
              <w:rPr>
                <w:rFonts w:ascii="Arial" w:eastAsia="Calibri" w:hAnsi="Arial" w:cs="Arial"/>
              </w:rPr>
              <w:t>EXPERIENCIA – Concurrencia – Combinación</w:t>
            </w:r>
          </w:p>
        </w:tc>
      </w:tr>
      <w:tr w:rsidR="00657188" w:rsidRPr="009A4A28" w14:paraId="35EF18DF" w14:textId="77777777" w:rsidTr="00673C14">
        <w:tc>
          <w:tcPr>
            <w:tcW w:w="2689" w:type="dxa"/>
          </w:tcPr>
          <w:p w14:paraId="2B489133" w14:textId="77777777" w:rsidR="00657188" w:rsidRPr="009A4A28" w:rsidRDefault="00657188" w:rsidP="00673C14">
            <w:pPr>
              <w:rPr>
                <w:rFonts w:ascii="Arial" w:eastAsia="Calibri" w:hAnsi="Arial" w:cs="Arial"/>
                <w:b/>
              </w:rPr>
            </w:pPr>
            <w:r w:rsidRPr="009A4A28">
              <w:rPr>
                <w:rFonts w:ascii="Arial" w:eastAsia="Calibri" w:hAnsi="Arial" w:cs="Arial"/>
                <w:b/>
              </w:rPr>
              <w:t>Radicación:</w:t>
            </w:r>
            <w:r w:rsidRPr="009A4A28">
              <w:rPr>
                <w:rFonts w:ascii="Arial" w:eastAsia="Calibri" w:hAnsi="Arial" w:cs="Arial"/>
              </w:rPr>
              <w:t xml:space="preserve">                              </w:t>
            </w:r>
          </w:p>
        </w:tc>
        <w:tc>
          <w:tcPr>
            <w:tcW w:w="6237" w:type="dxa"/>
          </w:tcPr>
          <w:p w14:paraId="19F70E5F" w14:textId="1596C6E4" w:rsidR="00657188" w:rsidRPr="009A4A28" w:rsidRDefault="00657188" w:rsidP="00673C14">
            <w:pPr>
              <w:jc w:val="both"/>
              <w:rPr>
                <w:rFonts w:ascii="Arial" w:eastAsia="Calibri" w:hAnsi="Arial" w:cs="Arial"/>
              </w:rPr>
            </w:pPr>
            <w:r w:rsidRPr="009A4A28">
              <w:rPr>
                <w:rFonts w:ascii="Arial" w:eastAsia="Calibri" w:hAnsi="Arial" w:cs="Arial"/>
              </w:rPr>
              <w:t>Respuesta a consulta</w:t>
            </w:r>
            <w:r w:rsidR="0021676F">
              <w:rPr>
                <w:rFonts w:ascii="Arial" w:eastAsia="Calibri" w:hAnsi="Arial" w:cs="Arial"/>
              </w:rPr>
              <w:t xml:space="preserve"> </w:t>
            </w:r>
            <w:r w:rsidR="0021676F" w:rsidRPr="0021676F">
              <w:rPr>
                <w:rFonts w:ascii="Arial" w:eastAsia="Calibri" w:hAnsi="Arial" w:cs="Arial"/>
              </w:rPr>
              <w:t>P20220617006105</w:t>
            </w:r>
          </w:p>
        </w:tc>
      </w:tr>
    </w:tbl>
    <w:p w14:paraId="3099EBFE" w14:textId="77777777" w:rsidR="00657188" w:rsidRPr="009A4A28" w:rsidRDefault="00657188" w:rsidP="00465318">
      <w:pPr>
        <w:spacing w:after="0"/>
        <w:jc w:val="both"/>
        <w:rPr>
          <w:rFonts w:ascii="Arial" w:eastAsia="Calibri" w:hAnsi="Arial" w:cs="Arial"/>
        </w:rPr>
      </w:pPr>
    </w:p>
    <w:p w14:paraId="1BFF45F8" w14:textId="77777777" w:rsidR="00657188" w:rsidRPr="009A4A28" w:rsidRDefault="00657188" w:rsidP="00465318">
      <w:pPr>
        <w:spacing w:after="0"/>
        <w:rPr>
          <w:rFonts w:ascii="Arial" w:eastAsia="Calibri" w:hAnsi="Arial" w:cs="Arial"/>
        </w:rPr>
      </w:pPr>
    </w:p>
    <w:p w14:paraId="2B2BF4A4" w14:textId="1FED6D0F" w:rsidR="00657188" w:rsidRPr="009A4A28" w:rsidRDefault="00657188" w:rsidP="00465318">
      <w:pPr>
        <w:spacing w:after="0"/>
        <w:rPr>
          <w:rFonts w:ascii="Arial" w:eastAsia="Calibri" w:hAnsi="Arial" w:cs="Arial"/>
        </w:rPr>
      </w:pPr>
      <w:r w:rsidRPr="009A4A28">
        <w:rPr>
          <w:rFonts w:ascii="Arial" w:eastAsia="Calibri" w:hAnsi="Arial" w:cs="Arial"/>
        </w:rPr>
        <w:t>Estimad</w:t>
      </w:r>
      <w:r w:rsidR="00D3794E">
        <w:rPr>
          <w:rFonts w:ascii="Arial" w:eastAsia="Calibri" w:hAnsi="Arial" w:cs="Arial"/>
        </w:rPr>
        <w:t>o</w:t>
      </w:r>
      <w:r w:rsidRPr="009A4A28">
        <w:rPr>
          <w:rFonts w:ascii="Arial" w:eastAsia="Calibri" w:hAnsi="Arial" w:cs="Arial"/>
        </w:rPr>
        <w:t xml:space="preserve"> señor</w:t>
      </w:r>
      <w:r w:rsidR="0021676F">
        <w:rPr>
          <w:rFonts w:ascii="Arial" w:eastAsia="Calibri" w:hAnsi="Arial" w:cs="Arial"/>
        </w:rPr>
        <w:t xml:space="preserve"> Aguirre Bejarano:</w:t>
      </w:r>
    </w:p>
    <w:p w14:paraId="5054FE3C" w14:textId="77777777" w:rsidR="00657188" w:rsidRPr="009A4A28" w:rsidRDefault="00657188" w:rsidP="00465318">
      <w:pPr>
        <w:spacing w:after="0"/>
        <w:rPr>
          <w:rFonts w:ascii="Arial" w:eastAsia="Calibri" w:hAnsi="Arial" w:cs="Arial"/>
        </w:rPr>
      </w:pPr>
    </w:p>
    <w:p w14:paraId="67AA28A6" w14:textId="4A20AC64" w:rsidR="00657188" w:rsidRPr="009A4A28" w:rsidRDefault="00657188" w:rsidP="00657188">
      <w:pPr>
        <w:spacing w:after="0" w:line="276" w:lineRule="auto"/>
        <w:jc w:val="both"/>
        <w:rPr>
          <w:rFonts w:ascii="Arial" w:eastAsia="Calibri" w:hAnsi="Arial" w:cs="Arial"/>
        </w:rPr>
      </w:pPr>
      <w:r w:rsidRPr="009A4A28">
        <w:rPr>
          <w:rFonts w:ascii="Arial" w:eastAsia="Calibri" w:hAnsi="Arial" w:cs="Arial"/>
        </w:rPr>
        <w:t xml:space="preserve">En ejercicio de la competencia otorgada por el numeral 8 del artículo 11 y el numeral 5 del artículo 3 del Decreto Ley 4170 de 2011, la Agencia Nacional de Contratación Pública </w:t>
      </w:r>
      <w:r w:rsidR="00B546DB">
        <w:rPr>
          <w:rFonts w:ascii="Arial" w:eastAsia="Calibri" w:hAnsi="Arial" w:cs="Arial"/>
        </w:rPr>
        <w:t>–</w:t>
      </w:r>
      <w:r w:rsidRPr="009A4A28">
        <w:rPr>
          <w:rFonts w:ascii="Arial" w:eastAsia="Calibri" w:hAnsi="Arial" w:cs="Arial"/>
        </w:rPr>
        <w:t xml:space="preserve"> Colombia Compra Eficiente responde su consulta del</w:t>
      </w:r>
      <w:r w:rsidR="00AC3E1A">
        <w:rPr>
          <w:rFonts w:ascii="Arial" w:eastAsia="Calibri" w:hAnsi="Arial" w:cs="Arial"/>
        </w:rPr>
        <w:t xml:space="preserve"> 1</w:t>
      </w:r>
      <w:r w:rsidR="0021676F">
        <w:rPr>
          <w:rFonts w:ascii="Arial" w:eastAsia="Calibri" w:hAnsi="Arial" w:cs="Arial"/>
        </w:rPr>
        <w:t>7 junio</w:t>
      </w:r>
      <w:r w:rsidRPr="009A4A28">
        <w:rPr>
          <w:rFonts w:ascii="Arial" w:eastAsia="Calibri" w:hAnsi="Arial" w:cs="Arial"/>
        </w:rPr>
        <w:t xml:space="preserve"> del 202</w:t>
      </w:r>
      <w:r w:rsidR="0021676F">
        <w:rPr>
          <w:rFonts w:ascii="Arial" w:eastAsia="Calibri" w:hAnsi="Arial" w:cs="Arial"/>
        </w:rPr>
        <w:t>2</w:t>
      </w:r>
      <w:r w:rsidRPr="009A4A28">
        <w:rPr>
          <w:rFonts w:ascii="Arial" w:eastAsia="Calibri" w:hAnsi="Arial" w:cs="Arial"/>
        </w:rPr>
        <w:t>.</w:t>
      </w:r>
    </w:p>
    <w:p w14:paraId="05E654E1" w14:textId="77777777" w:rsidR="00657188" w:rsidRPr="009A4A28" w:rsidRDefault="00657188" w:rsidP="00657188">
      <w:pPr>
        <w:spacing w:after="0" w:line="276" w:lineRule="auto"/>
        <w:jc w:val="both"/>
        <w:rPr>
          <w:rFonts w:ascii="Arial" w:eastAsia="Calibri" w:hAnsi="Arial" w:cs="Arial"/>
        </w:rPr>
      </w:pPr>
    </w:p>
    <w:p w14:paraId="7052F6C7" w14:textId="5A5E98C5" w:rsidR="00657188" w:rsidRPr="009A4A28" w:rsidRDefault="00657188" w:rsidP="00657188">
      <w:pPr>
        <w:pStyle w:val="Prrafodelista"/>
        <w:tabs>
          <w:tab w:val="left" w:pos="284"/>
        </w:tabs>
        <w:spacing w:line="276" w:lineRule="auto"/>
        <w:ind w:left="0"/>
        <w:jc w:val="both"/>
        <w:rPr>
          <w:rFonts w:ascii="Arial" w:eastAsia="Calibri" w:hAnsi="Arial" w:cs="Arial"/>
          <w:b/>
          <w:sz w:val="22"/>
        </w:rPr>
      </w:pPr>
      <w:bookmarkStart w:id="3" w:name="_Hlk29890381"/>
      <w:r w:rsidRPr="009A4A28">
        <w:rPr>
          <w:rFonts w:ascii="Arial" w:eastAsia="Calibri" w:hAnsi="Arial" w:cs="Arial"/>
          <w:b/>
          <w:sz w:val="22"/>
        </w:rPr>
        <w:t>1. Problema</w:t>
      </w:r>
      <w:r w:rsidR="00D3794E">
        <w:rPr>
          <w:rFonts w:ascii="Arial" w:eastAsia="Calibri" w:hAnsi="Arial" w:cs="Arial"/>
          <w:b/>
          <w:sz w:val="22"/>
        </w:rPr>
        <w:t>s</w:t>
      </w:r>
      <w:r w:rsidRPr="009A4A28">
        <w:rPr>
          <w:rFonts w:ascii="Arial" w:eastAsia="Calibri" w:hAnsi="Arial" w:cs="Arial"/>
          <w:b/>
          <w:sz w:val="22"/>
        </w:rPr>
        <w:t xml:space="preserve"> planteado</w:t>
      </w:r>
      <w:r w:rsidR="00D3794E">
        <w:rPr>
          <w:rFonts w:ascii="Arial" w:eastAsia="Calibri" w:hAnsi="Arial" w:cs="Arial"/>
          <w:b/>
          <w:sz w:val="22"/>
        </w:rPr>
        <w:t>s</w:t>
      </w:r>
    </w:p>
    <w:p w14:paraId="39D23597" w14:textId="77777777" w:rsidR="00657188" w:rsidRPr="009A4A28" w:rsidRDefault="00657188" w:rsidP="00657188">
      <w:pPr>
        <w:tabs>
          <w:tab w:val="left" w:pos="426"/>
        </w:tabs>
        <w:spacing w:after="0" w:line="276" w:lineRule="auto"/>
        <w:jc w:val="both"/>
        <w:rPr>
          <w:rFonts w:ascii="Arial" w:eastAsia="Calibri" w:hAnsi="Arial" w:cs="Arial"/>
          <w:b/>
        </w:rPr>
      </w:pPr>
    </w:p>
    <w:p w14:paraId="60068478" w14:textId="1CF7101A" w:rsidR="00677990" w:rsidRDefault="0021676F" w:rsidP="007A4273">
      <w:pPr>
        <w:tabs>
          <w:tab w:val="left" w:pos="426"/>
        </w:tabs>
        <w:spacing w:after="0" w:line="276" w:lineRule="auto"/>
        <w:jc w:val="both"/>
        <w:rPr>
          <w:rFonts w:ascii="Arial" w:eastAsia="Calibri" w:hAnsi="Arial" w:cs="Arial"/>
        </w:rPr>
      </w:pPr>
      <w:bookmarkStart w:id="4" w:name="_Hlk70578063"/>
      <w:bookmarkStart w:id="5" w:name="_Hlk68679800"/>
      <w:r>
        <w:rPr>
          <w:rFonts w:ascii="Arial" w:eastAsia="Calibri" w:hAnsi="Arial" w:cs="Arial"/>
        </w:rPr>
        <w:t xml:space="preserve">Usted realiza las siguientes preguntas: </w:t>
      </w:r>
      <w:bookmarkEnd w:id="4"/>
      <w:bookmarkEnd w:id="5"/>
    </w:p>
    <w:p w14:paraId="4D3183AC" w14:textId="7F95293C" w:rsidR="0021676F" w:rsidRDefault="0021676F" w:rsidP="007A4273">
      <w:pPr>
        <w:tabs>
          <w:tab w:val="left" w:pos="426"/>
        </w:tabs>
        <w:spacing w:after="0" w:line="276" w:lineRule="auto"/>
        <w:jc w:val="both"/>
        <w:rPr>
          <w:rFonts w:ascii="Arial" w:eastAsia="Calibri" w:hAnsi="Arial" w:cs="Arial"/>
        </w:rPr>
      </w:pPr>
    </w:p>
    <w:p w14:paraId="49804CAD" w14:textId="384C230A" w:rsidR="0021676F" w:rsidRPr="0021676F" w:rsidRDefault="0021676F" w:rsidP="0021676F">
      <w:pPr>
        <w:tabs>
          <w:tab w:val="left" w:pos="426"/>
        </w:tabs>
        <w:spacing w:after="0" w:line="240" w:lineRule="auto"/>
        <w:ind w:left="709" w:right="709"/>
        <w:jc w:val="both"/>
        <w:rPr>
          <w:rFonts w:ascii="Arial" w:eastAsia="Calibri" w:hAnsi="Arial" w:cs="Arial"/>
          <w:sz w:val="21"/>
          <w:szCs w:val="21"/>
        </w:rPr>
      </w:pPr>
      <w:r w:rsidRPr="0021676F">
        <w:rPr>
          <w:rFonts w:ascii="Arial" w:eastAsia="Calibri" w:hAnsi="Arial" w:cs="Arial"/>
          <w:sz w:val="21"/>
          <w:szCs w:val="21"/>
        </w:rPr>
        <w:t>1. Un proceso de contratación que tiene por objeto el mejoramiento y/o construcción de alcantarillas en vías [sic] terciarias. ¿Debe realizarse por pliegos tipo?.</w:t>
      </w:r>
    </w:p>
    <w:p w14:paraId="5A0A677B" w14:textId="77777777" w:rsidR="0021676F" w:rsidRPr="0021676F" w:rsidRDefault="0021676F" w:rsidP="0021676F">
      <w:pPr>
        <w:tabs>
          <w:tab w:val="left" w:pos="426"/>
        </w:tabs>
        <w:spacing w:after="0" w:line="240" w:lineRule="auto"/>
        <w:ind w:left="709" w:right="709"/>
        <w:jc w:val="both"/>
        <w:rPr>
          <w:rFonts w:ascii="Arial" w:eastAsia="Calibri" w:hAnsi="Arial" w:cs="Arial"/>
          <w:sz w:val="21"/>
          <w:szCs w:val="21"/>
        </w:rPr>
      </w:pPr>
    </w:p>
    <w:p w14:paraId="185BD524" w14:textId="3DA2D585" w:rsidR="0021676F" w:rsidRPr="0021676F" w:rsidRDefault="0021676F" w:rsidP="0021676F">
      <w:pPr>
        <w:tabs>
          <w:tab w:val="left" w:pos="426"/>
        </w:tabs>
        <w:spacing w:after="0" w:line="240" w:lineRule="auto"/>
        <w:ind w:left="709" w:right="709"/>
        <w:jc w:val="both"/>
        <w:rPr>
          <w:rFonts w:ascii="Arial" w:eastAsia="Calibri" w:hAnsi="Arial" w:cs="Arial"/>
          <w:sz w:val="21"/>
          <w:szCs w:val="21"/>
        </w:rPr>
      </w:pPr>
      <w:r w:rsidRPr="0021676F">
        <w:rPr>
          <w:rFonts w:ascii="Arial" w:eastAsia="Calibri" w:hAnsi="Arial" w:cs="Arial"/>
          <w:sz w:val="21"/>
          <w:szCs w:val="21"/>
        </w:rPr>
        <w:t xml:space="preserve">2. En caso que la respuesta anterior sea </w:t>
      </w:r>
      <w:proofErr w:type="spellStart"/>
      <w:r w:rsidRPr="0021676F">
        <w:rPr>
          <w:rFonts w:ascii="Arial" w:eastAsia="Calibri" w:hAnsi="Arial" w:cs="Arial"/>
          <w:sz w:val="21"/>
          <w:szCs w:val="21"/>
        </w:rPr>
        <w:t>positivia</w:t>
      </w:r>
      <w:proofErr w:type="spellEnd"/>
      <w:r w:rsidRPr="0021676F">
        <w:rPr>
          <w:rFonts w:ascii="Arial" w:eastAsia="Calibri" w:hAnsi="Arial" w:cs="Arial"/>
          <w:sz w:val="21"/>
          <w:szCs w:val="21"/>
        </w:rPr>
        <w:t xml:space="preserve"> [sic], ¿Cuál [sic] sería el criterio de experiencia a solicitar?</w:t>
      </w:r>
    </w:p>
    <w:p w14:paraId="5E226406" w14:textId="77777777" w:rsidR="00657188" w:rsidRPr="009A4A28" w:rsidRDefault="00657188" w:rsidP="00657188">
      <w:pPr>
        <w:tabs>
          <w:tab w:val="left" w:pos="426"/>
        </w:tabs>
        <w:spacing w:after="0" w:line="276" w:lineRule="auto"/>
        <w:jc w:val="both"/>
        <w:rPr>
          <w:rFonts w:ascii="Arial" w:eastAsia="Calibri" w:hAnsi="Arial" w:cs="Arial"/>
        </w:rPr>
      </w:pPr>
    </w:p>
    <w:p w14:paraId="68641DC2" w14:textId="77777777" w:rsidR="00657188" w:rsidRPr="009A4A28" w:rsidRDefault="00657188" w:rsidP="00657188">
      <w:pPr>
        <w:tabs>
          <w:tab w:val="left" w:pos="426"/>
        </w:tabs>
        <w:spacing w:after="0" w:line="276" w:lineRule="auto"/>
        <w:jc w:val="both"/>
        <w:rPr>
          <w:rFonts w:ascii="Arial" w:eastAsia="Calibri" w:hAnsi="Arial" w:cs="Arial"/>
          <w:b/>
        </w:rPr>
      </w:pPr>
      <w:r w:rsidRPr="009A4A28">
        <w:rPr>
          <w:rFonts w:ascii="Arial" w:eastAsia="Calibri" w:hAnsi="Arial" w:cs="Arial"/>
          <w:b/>
        </w:rPr>
        <w:t>2. Consideraciones</w:t>
      </w:r>
    </w:p>
    <w:p w14:paraId="63D684AD" w14:textId="77777777" w:rsidR="00657188" w:rsidRDefault="00657188" w:rsidP="00657188">
      <w:pPr>
        <w:spacing w:after="0" w:line="240" w:lineRule="auto"/>
        <w:ind w:firstLine="708"/>
        <w:jc w:val="both"/>
        <w:rPr>
          <w:rFonts w:ascii="Arial" w:eastAsia="Calibri" w:hAnsi="Arial" w:cs="Arial"/>
        </w:rPr>
      </w:pPr>
    </w:p>
    <w:p w14:paraId="51667FC2" w14:textId="73F276A7" w:rsidR="00C57ED7" w:rsidRDefault="00657188" w:rsidP="00C57ED7">
      <w:pPr>
        <w:spacing w:after="120" w:line="276" w:lineRule="auto"/>
        <w:jc w:val="both"/>
        <w:rPr>
          <w:rFonts w:ascii="Arial" w:eastAsia="Calibri" w:hAnsi="Arial" w:cs="Arial"/>
        </w:rPr>
      </w:pPr>
      <w:bookmarkStart w:id="6" w:name="_Hlk63843962"/>
      <w:r w:rsidRPr="009A4A28">
        <w:rPr>
          <w:rFonts w:ascii="Arial" w:eastAsia="Calibri" w:hAnsi="Arial" w:cs="Arial"/>
        </w:rPr>
        <w:t xml:space="preserve">La Agencia </w:t>
      </w:r>
      <w:r w:rsidRPr="009A4A28">
        <w:rPr>
          <w:rFonts w:ascii="Arial" w:eastAsia="Calibri" w:hAnsi="Arial" w:cs="Arial"/>
          <w:bCs/>
        </w:rPr>
        <w:t>Nacional de Contratación Pública – Colombia Compra Eficiente,</w:t>
      </w:r>
      <w:r w:rsidRPr="009A4A28">
        <w:t xml:space="preserve"> </w:t>
      </w:r>
      <w:r w:rsidRPr="009A4A28">
        <w:rPr>
          <w:rFonts w:ascii="Arial" w:eastAsia="Calibri" w:hAnsi="Arial" w:cs="Arial"/>
          <w:bCs/>
        </w:rPr>
        <w:t>en el concepto con radicado No. 4201912000004855 del 13 de agosto de 2019, reiterado y desarrollado en los conceptos No.</w:t>
      </w:r>
      <w:r>
        <w:rPr>
          <w:rFonts w:ascii="Arial" w:eastAsia="Calibri" w:hAnsi="Arial" w:cs="Arial"/>
          <w:bCs/>
        </w:rPr>
        <w:t xml:space="preserve"> </w:t>
      </w:r>
      <w:r w:rsidRPr="009A4A28">
        <w:rPr>
          <w:rFonts w:ascii="Arial" w:eastAsia="Calibri" w:hAnsi="Arial" w:cs="Arial"/>
        </w:rPr>
        <w:t>4201912000006117 del 7 de septiembre de 2019</w:t>
      </w:r>
      <w:r>
        <w:rPr>
          <w:rFonts w:ascii="Arial" w:eastAsia="Calibri" w:hAnsi="Arial" w:cs="Arial"/>
        </w:rPr>
        <w:t>,</w:t>
      </w:r>
      <w:r w:rsidRPr="009A4A28">
        <w:rPr>
          <w:rFonts w:ascii="Arial" w:eastAsia="Calibri" w:hAnsi="Arial" w:cs="Arial"/>
          <w:bCs/>
        </w:rPr>
        <w:t xml:space="preserve"> 4201912000005786 del 7 de octubre de 2019</w:t>
      </w:r>
      <w:r w:rsidRPr="009A4A28">
        <w:rPr>
          <w:rFonts w:ascii="Arial" w:eastAsia="Calibri" w:hAnsi="Arial" w:cs="Arial"/>
        </w:rPr>
        <w:t>,</w:t>
      </w:r>
      <w:r>
        <w:rPr>
          <w:rFonts w:ascii="Arial" w:eastAsia="Calibri" w:hAnsi="Arial" w:cs="Arial"/>
        </w:rPr>
        <w:t xml:space="preserve"> </w:t>
      </w:r>
      <w:r w:rsidRPr="009A4A28">
        <w:rPr>
          <w:rFonts w:ascii="Arial" w:hAnsi="Arial" w:cs="Arial"/>
        </w:rPr>
        <w:t>4201912000006928, 4201912000006929 y 4201913000006952 del 8 de octubre de 2019,</w:t>
      </w:r>
      <w:r>
        <w:rPr>
          <w:rFonts w:ascii="Arial" w:hAnsi="Arial" w:cs="Arial"/>
        </w:rPr>
        <w:t xml:space="preserve"> </w:t>
      </w:r>
      <w:r w:rsidRPr="009A4A28">
        <w:rPr>
          <w:rFonts w:ascii="Arial" w:eastAsia="Calibri" w:hAnsi="Arial" w:cs="Arial"/>
        </w:rPr>
        <w:t>4201912000006613 del 24 de octubre de 2019</w:t>
      </w:r>
      <w:r>
        <w:rPr>
          <w:rFonts w:ascii="Arial" w:eastAsia="Calibri" w:hAnsi="Arial" w:cs="Arial"/>
        </w:rPr>
        <w:t xml:space="preserve">, </w:t>
      </w:r>
      <w:r w:rsidRPr="009A4A28">
        <w:rPr>
          <w:rFonts w:ascii="Arial" w:eastAsia="Calibri" w:hAnsi="Arial" w:cs="Arial"/>
        </w:rPr>
        <w:t>4201912000006576 del 6 de noviembre de 2019, 4201912000007375 y 4201912000007452 del 14 de noviembre de 2019,</w:t>
      </w:r>
      <w:r>
        <w:rPr>
          <w:rFonts w:ascii="Arial" w:eastAsia="Calibri" w:hAnsi="Arial" w:cs="Arial"/>
        </w:rPr>
        <w:t xml:space="preserve"> </w:t>
      </w:r>
      <w:r w:rsidRPr="009A4A28">
        <w:rPr>
          <w:rFonts w:ascii="Arial" w:eastAsia="Calibri" w:hAnsi="Arial" w:cs="Arial"/>
        </w:rPr>
        <w:t>4201912000007166 del 2 de diciembre de 2019</w:t>
      </w:r>
      <w:r>
        <w:rPr>
          <w:rFonts w:ascii="Arial" w:eastAsia="Calibri" w:hAnsi="Arial" w:cs="Arial"/>
        </w:rPr>
        <w:t>,</w:t>
      </w:r>
      <w:r w:rsidRPr="009A4A28">
        <w:rPr>
          <w:rFonts w:ascii="Arial" w:eastAsia="Calibri" w:hAnsi="Arial" w:cs="Arial"/>
        </w:rPr>
        <w:t xml:space="preserve"> 4201912000007996 del 9 de diciembre de 2019</w:t>
      </w:r>
      <w:r>
        <w:rPr>
          <w:rFonts w:ascii="Arial" w:eastAsia="Calibri" w:hAnsi="Arial" w:cs="Arial"/>
        </w:rPr>
        <w:t xml:space="preserve">, </w:t>
      </w:r>
      <w:r w:rsidRPr="009A4A28">
        <w:rPr>
          <w:rFonts w:ascii="Arial" w:eastAsia="Calibri" w:hAnsi="Arial" w:cs="Arial"/>
        </w:rPr>
        <w:t>4201912000007465 del 13 de diciembre de 2019, 4201912000007755</w:t>
      </w:r>
      <w:r>
        <w:rPr>
          <w:rFonts w:ascii="Arial" w:eastAsia="Calibri" w:hAnsi="Arial" w:cs="Arial"/>
        </w:rPr>
        <w:t xml:space="preserve"> y </w:t>
      </w:r>
      <w:r w:rsidRPr="009A4A28">
        <w:rPr>
          <w:rFonts w:ascii="Arial" w:eastAsia="Calibri" w:hAnsi="Arial" w:cs="Arial"/>
        </w:rPr>
        <w:t>4201912000007931 del 20 de diciembre de 2019, 4201912000008017 del 26 de diciembre de 2019, 4201912000008465 del 8 de enero de 20</w:t>
      </w:r>
      <w:r>
        <w:rPr>
          <w:rFonts w:ascii="Arial" w:eastAsia="Calibri" w:hAnsi="Arial" w:cs="Arial"/>
        </w:rPr>
        <w:t>20</w:t>
      </w:r>
      <w:r w:rsidRPr="009A4A28">
        <w:rPr>
          <w:rFonts w:ascii="Arial" w:eastAsia="Calibri" w:hAnsi="Arial" w:cs="Arial"/>
        </w:rPr>
        <w:t>, C-133 del 30 de marzo de 2020</w:t>
      </w:r>
      <w:r>
        <w:rPr>
          <w:rFonts w:ascii="Arial" w:eastAsia="Calibri" w:hAnsi="Arial" w:cs="Arial"/>
        </w:rPr>
        <w:t>,</w:t>
      </w:r>
      <w:r w:rsidRPr="009A4A28">
        <w:rPr>
          <w:rFonts w:ascii="Arial" w:eastAsia="Calibri" w:hAnsi="Arial" w:cs="Arial"/>
        </w:rPr>
        <w:t xml:space="preserve"> C-144 del 2 de marzo de 2020</w:t>
      </w:r>
      <w:r w:rsidR="00900F87">
        <w:rPr>
          <w:rFonts w:ascii="Arial" w:eastAsia="Calibri" w:hAnsi="Arial" w:cs="Arial"/>
        </w:rPr>
        <w:t>,</w:t>
      </w:r>
      <w:r>
        <w:rPr>
          <w:rFonts w:ascii="Arial" w:eastAsia="Calibri" w:hAnsi="Arial" w:cs="Arial"/>
        </w:rPr>
        <w:t xml:space="preserve"> C-596 del 8 de septiembre de 2020</w:t>
      </w:r>
      <w:r w:rsidR="00F1479C">
        <w:rPr>
          <w:rFonts w:ascii="Arial" w:eastAsia="Calibri" w:hAnsi="Arial" w:cs="Arial"/>
        </w:rPr>
        <w:t xml:space="preserve">, </w:t>
      </w:r>
      <w:r w:rsidR="00900F87">
        <w:rPr>
          <w:rFonts w:ascii="Arial" w:eastAsia="Calibri" w:hAnsi="Arial" w:cs="Arial"/>
        </w:rPr>
        <w:t>C-033 del 1 de marzo de 2021</w:t>
      </w:r>
      <w:r w:rsidR="006958C9">
        <w:rPr>
          <w:rFonts w:ascii="Arial" w:eastAsia="Calibri" w:hAnsi="Arial" w:cs="Arial"/>
        </w:rPr>
        <w:t>,</w:t>
      </w:r>
      <w:r w:rsidR="00F1479C">
        <w:rPr>
          <w:rFonts w:ascii="Arial" w:eastAsia="Calibri" w:hAnsi="Arial" w:cs="Arial"/>
        </w:rPr>
        <w:t xml:space="preserve"> C-064 del 8 de marzo de 202</w:t>
      </w:r>
      <w:r w:rsidR="00290C1C">
        <w:rPr>
          <w:rFonts w:ascii="Arial" w:eastAsia="Calibri" w:hAnsi="Arial" w:cs="Arial"/>
        </w:rPr>
        <w:t>1</w:t>
      </w:r>
      <w:r w:rsidR="006958C9">
        <w:rPr>
          <w:rFonts w:ascii="Arial" w:eastAsia="Calibri" w:hAnsi="Arial" w:cs="Arial"/>
        </w:rPr>
        <w:t xml:space="preserve"> y C-142 del 7 de abril de 2021</w:t>
      </w:r>
      <w:r w:rsidR="0029072B">
        <w:rPr>
          <w:rFonts w:ascii="Arial" w:eastAsia="Calibri" w:hAnsi="Arial" w:cs="Arial"/>
        </w:rPr>
        <w:t xml:space="preserve"> y C-186 del 29 de abril de 2021</w:t>
      </w:r>
      <w:r w:rsidR="00900F87">
        <w:rPr>
          <w:rFonts w:ascii="Arial" w:eastAsia="Calibri" w:hAnsi="Arial" w:cs="Arial"/>
        </w:rPr>
        <w:t>,</w:t>
      </w:r>
      <w:r>
        <w:rPr>
          <w:rFonts w:ascii="Arial" w:eastAsia="Calibri" w:hAnsi="Arial" w:cs="Arial"/>
        </w:rPr>
        <w:t xml:space="preserve"> </w:t>
      </w:r>
      <w:r w:rsidRPr="009A4A28">
        <w:rPr>
          <w:rFonts w:ascii="Arial" w:eastAsia="Calibri" w:hAnsi="Arial" w:cs="Arial"/>
        </w:rPr>
        <w:t xml:space="preserve">estudió </w:t>
      </w:r>
      <w:r w:rsidR="00290C1C">
        <w:rPr>
          <w:rFonts w:ascii="Arial" w:eastAsia="Calibri" w:hAnsi="Arial" w:cs="Arial"/>
        </w:rPr>
        <w:t>el contexto normativo de los documentos tipo, su inalterabilidad y la solicitud de</w:t>
      </w:r>
      <w:r>
        <w:rPr>
          <w:rFonts w:ascii="Arial" w:eastAsia="Calibri" w:hAnsi="Arial" w:cs="Arial"/>
        </w:rPr>
        <w:t xml:space="preserve"> experiencia en procesos adelantados con documentos tipo,</w:t>
      </w:r>
      <w:r w:rsidRPr="009A4A28">
        <w:rPr>
          <w:rFonts w:ascii="Arial" w:eastAsia="Calibri" w:hAnsi="Arial" w:cs="Arial"/>
        </w:rPr>
        <w:t xml:space="preserve"> cuando </w:t>
      </w:r>
      <w:r>
        <w:rPr>
          <w:rFonts w:ascii="Arial" w:eastAsia="Calibri" w:hAnsi="Arial" w:cs="Arial"/>
        </w:rPr>
        <w:t>el objeto contractual involucra</w:t>
      </w:r>
      <w:r w:rsidRPr="009A4A28">
        <w:rPr>
          <w:rFonts w:ascii="Arial" w:eastAsia="Calibri" w:hAnsi="Arial" w:cs="Arial"/>
        </w:rPr>
        <w:t xml:space="preserve"> </w:t>
      </w:r>
      <w:r w:rsidR="00290C1C">
        <w:rPr>
          <w:rFonts w:ascii="Arial" w:eastAsia="Calibri" w:hAnsi="Arial" w:cs="Arial"/>
        </w:rPr>
        <w:t xml:space="preserve">infraestructura de </w:t>
      </w:r>
      <w:r w:rsidR="006958C9">
        <w:rPr>
          <w:rFonts w:ascii="Arial" w:eastAsia="Calibri" w:hAnsi="Arial" w:cs="Arial"/>
        </w:rPr>
        <w:t>agua potable y saneamiento básico</w:t>
      </w:r>
      <w:r w:rsidR="00290C1C">
        <w:rPr>
          <w:rFonts w:ascii="Arial" w:eastAsia="Calibri" w:hAnsi="Arial" w:cs="Arial"/>
        </w:rPr>
        <w:t xml:space="preserve"> e infraestructura de </w:t>
      </w:r>
      <w:r w:rsidR="006958C9">
        <w:rPr>
          <w:rFonts w:ascii="Arial" w:eastAsia="Calibri" w:hAnsi="Arial" w:cs="Arial"/>
        </w:rPr>
        <w:t>transporte</w:t>
      </w:r>
      <w:r>
        <w:rPr>
          <w:rFonts w:ascii="Arial" w:eastAsia="Calibri" w:hAnsi="Arial" w:cs="Arial"/>
        </w:rPr>
        <w:t>.</w:t>
      </w:r>
    </w:p>
    <w:p w14:paraId="37ACBB96" w14:textId="258FED9B" w:rsidR="00657188" w:rsidRDefault="00C57ED7" w:rsidP="00C57ED7">
      <w:pPr>
        <w:spacing w:after="0" w:line="276" w:lineRule="auto"/>
        <w:ind w:firstLine="709"/>
        <w:jc w:val="both"/>
        <w:rPr>
          <w:rFonts w:ascii="Arial" w:eastAsia="Calibri" w:hAnsi="Arial" w:cs="Arial"/>
        </w:rPr>
      </w:pPr>
      <w:r>
        <w:rPr>
          <w:rFonts w:ascii="Arial" w:hAnsi="Arial" w:cs="Arial"/>
          <w:lang w:val="es-ES_tradnl"/>
        </w:rPr>
        <w:t>As</w:t>
      </w:r>
      <w:r w:rsidR="00017384">
        <w:rPr>
          <w:rFonts w:ascii="Arial" w:hAnsi="Arial" w:cs="Arial"/>
          <w:lang w:val="es-ES_tradnl"/>
        </w:rPr>
        <w:t>i</w:t>
      </w:r>
      <w:r>
        <w:rPr>
          <w:rFonts w:ascii="Arial" w:hAnsi="Arial" w:cs="Arial"/>
          <w:lang w:val="es-ES_tradnl"/>
        </w:rPr>
        <w:t>mismo, esta Agencia</w:t>
      </w:r>
      <w:r w:rsidRPr="00350FFC">
        <w:rPr>
          <w:rFonts w:ascii="Arial" w:hAnsi="Arial" w:cs="Arial"/>
          <w:lang w:val="es-ES_tradnl"/>
        </w:rPr>
        <w:t xml:space="preserve"> se pronunció sobre la definición y el alcance de los documentos tipo en l</w:t>
      </w:r>
      <w:r>
        <w:rPr>
          <w:rFonts w:ascii="Arial" w:hAnsi="Arial" w:cs="Arial"/>
          <w:lang w:val="es-ES_tradnl"/>
        </w:rPr>
        <w:t>os conceptos</w:t>
      </w:r>
      <w:r w:rsidRPr="00350FFC">
        <w:rPr>
          <w:rFonts w:ascii="Arial" w:hAnsi="Arial" w:cs="Arial"/>
          <w:shd w:val="clear" w:color="auto" w:fill="FFFFFF"/>
        </w:rPr>
        <w:t xml:space="preserve"> C-507 del 19 de septiembre de 2021, C-512 del 22 de septiembre de 2021, C-531 del 27 de septiembre de 2021, C-541 del 27 de septiembre de 2021, C-555 del 20 de octubre de 2021, C-556 del 11 de noviembre de 2021, C-565 del 11 de octubre de 2021, C-566 del 11 de octubre de 2021, C-580 del 13 de octubre de 2021, C-595 del 22 de octubre de 2021, C-599 del 26 de octubre de 2021, C-601 del 25 de octubre de 2021, C-612 del 29 de octubre de 2021, C-624 del 8 de noviembre de 2021, C-632 del 19 de noviembre de 2021, C-641 del 17 de octubre de 2021, C-643 del 17 de octubre de 2021, C-655 del 22 de octubre de 2021,</w:t>
      </w:r>
      <w:r w:rsidR="00FF12D8">
        <w:rPr>
          <w:rFonts w:ascii="Arial" w:hAnsi="Arial" w:cs="Arial"/>
          <w:shd w:val="clear" w:color="auto" w:fill="FFFFFF"/>
        </w:rPr>
        <w:t xml:space="preserve"> C-657</w:t>
      </w:r>
      <w:r w:rsidR="00867D40">
        <w:rPr>
          <w:rFonts w:ascii="Arial" w:hAnsi="Arial" w:cs="Arial"/>
          <w:shd w:val="clear" w:color="auto" w:fill="FFFFFF"/>
        </w:rPr>
        <w:t xml:space="preserve"> del 17 de diciembre de 2021,</w:t>
      </w:r>
      <w:r w:rsidRPr="00350FFC">
        <w:rPr>
          <w:rFonts w:ascii="Arial" w:hAnsi="Arial" w:cs="Arial"/>
          <w:shd w:val="clear" w:color="auto" w:fill="FFFFFF"/>
        </w:rPr>
        <w:t xml:space="preserve"> C-680 del 9 de diciembre de 202, C-684 del 20 de diciembre de 2021, C-691 del 28 de diciembre de 2021, C-705 del 5 de enero de 2022, C-706 del 17 de enero de 2022, C-722 del 20 de diciembre de 2021, C-751 del 7 de febrero de 2022</w:t>
      </w:r>
      <w:r>
        <w:rPr>
          <w:rFonts w:ascii="Arial" w:hAnsi="Arial" w:cs="Arial"/>
          <w:shd w:val="clear" w:color="auto" w:fill="FFFFFF"/>
        </w:rPr>
        <w:t>, entre otros</w:t>
      </w:r>
      <w:r>
        <w:rPr>
          <w:rStyle w:val="Refdenotaalpie"/>
          <w:rFonts w:ascii="Arial" w:hAnsi="Arial" w:cs="Arial"/>
          <w:shd w:val="clear" w:color="auto" w:fill="FFFFFF"/>
        </w:rPr>
        <w:footnoteReference w:id="1"/>
      </w:r>
      <w:r w:rsidRPr="00350FFC">
        <w:rPr>
          <w:rFonts w:ascii="Arial" w:hAnsi="Arial" w:cs="Arial"/>
          <w:shd w:val="clear" w:color="auto" w:fill="FFFFFF"/>
        </w:rPr>
        <w:t>.</w:t>
      </w:r>
      <w:r w:rsidR="00657188">
        <w:rPr>
          <w:rFonts w:ascii="Arial" w:eastAsia="Calibri" w:hAnsi="Arial" w:cs="Arial"/>
        </w:rPr>
        <w:t xml:space="preserve"> Algunos de los argumentos</w:t>
      </w:r>
      <w:r w:rsidR="00657188" w:rsidRPr="009A4A28">
        <w:rPr>
          <w:rFonts w:ascii="Arial" w:eastAsia="Calibri" w:hAnsi="Arial" w:cs="Arial"/>
        </w:rPr>
        <w:t xml:space="preserve"> </w:t>
      </w:r>
      <w:r w:rsidR="00657188">
        <w:rPr>
          <w:rFonts w:ascii="Arial" w:eastAsia="Calibri" w:hAnsi="Arial" w:cs="Arial"/>
        </w:rPr>
        <w:t xml:space="preserve">expuestos </w:t>
      </w:r>
      <w:r w:rsidR="00657188" w:rsidRPr="009A4A28">
        <w:rPr>
          <w:rFonts w:ascii="Arial" w:eastAsia="Calibri" w:hAnsi="Arial" w:cs="Arial"/>
        </w:rPr>
        <w:t xml:space="preserve">se </w:t>
      </w:r>
      <w:r w:rsidR="00657188">
        <w:rPr>
          <w:rFonts w:ascii="Arial" w:eastAsia="Calibri" w:hAnsi="Arial" w:cs="Arial"/>
        </w:rPr>
        <w:t>r</w:t>
      </w:r>
      <w:r w:rsidR="000F3607">
        <w:rPr>
          <w:rFonts w:ascii="Arial" w:eastAsia="Calibri" w:hAnsi="Arial" w:cs="Arial"/>
        </w:rPr>
        <w:t>eiteran</w:t>
      </w:r>
      <w:r>
        <w:rPr>
          <w:rFonts w:ascii="Arial" w:eastAsia="Calibri" w:hAnsi="Arial" w:cs="Arial"/>
        </w:rPr>
        <w:t xml:space="preserve"> y complementan </w:t>
      </w:r>
      <w:r w:rsidR="00657188" w:rsidRPr="009A4A28">
        <w:rPr>
          <w:rFonts w:ascii="Arial" w:eastAsia="Calibri" w:hAnsi="Arial" w:cs="Arial"/>
        </w:rPr>
        <w:t>a continuación</w:t>
      </w:r>
      <w:r w:rsidR="000F3607">
        <w:rPr>
          <w:rFonts w:ascii="Arial" w:eastAsia="Calibri" w:hAnsi="Arial" w:cs="Arial"/>
        </w:rPr>
        <w:t>:</w:t>
      </w:r>
    </w:p>
    <w:p w14:paraId="50645FF0" w14:textId="725E3783" w:rsidR="00290C1C" w:rsidRPr="009B4ADF" w:rsidRDefault="009B4ADF" w:rsidP="009B4ADF">
      <w:pPr>
        <w:spacing w:after="0" w:line="276" w:lineRule="auto"/>
        <w:jc w:val="both"/>
        <w:rPr>
          <w:rFonts w:ascii="Arial" w:eastAsia="Calibri" w:hAnsi="Arial" w:cs="Arial"/>
          <w:b/>
          <w:bCs/>
        </w:rPr>
      </w:pPr>
      <w:r w:rsidRPr="009B4ADF">
        <w:rPr>
          <w:rFonts w:ascii="Arial" w:eastAsia="Calibri" w:hAnsi="Arial" w:cs="Arial"/>
          <w:b/>
          <w:bCs/>
        </w:rPr>
        <w:lastRenderedPageBreak/>
        <w:t>2.1. Fundamento normativo y ámbito de aplicación de los documentos tipo</w:t>
      </w:r>
    </w:p>
    <w:p w14:paraId="2384892A" w14:textId="2E8ECB61" w:rsidR="009B4ADF" w:rsidRDefault="009B4ADF" w:rsidP="009B4ADF">
      <w:pPr>
        <w:spacing w:after="0" w:line="276" w:lineRule="auto"/>
        <w:jc w:val="both"/>
        <w:rPr>
          <w:rFonts w:ascii="Arial" w:eastAsia="Calibri" w:hAnsi="Arial" w:cs="Arial"/>
        </w:rPr>
      </w:pPr>
    </w:p>
    <w:p w14:paraId="6FC03854" w14:textId="77777777" w:rsidR="009B4ADF" w:rsidRPr="00E858D2" w:rsidRDefault="009B4ADF" w:rsidP="009B4ADF">
      <w:pPr>
        <w:spacing w:after="120" w:line="276" w:lineRule="auto"/>
        <w:jc w:val="both"/>
        <w:rPr>
          <w:rFonts w:ascii="Arial" w:eastAsia="Calibri" w:hAnsi="Arial" w:cs="Arial"/>
          <w:lang w:val="es-ES_tradnl"/>
        </w:rPr>
      </w:pPr>
      <w:r w:rsidRPr="00E858D2">
        <w:rPr>
          <w:rFonts w:ascii="Arial" w:eastAsia="Calibri" w:hAnsi="Arial" w:cs="Arial"/>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2"/>
      </w:r>
      <w:r w:rsidRPr="00E858D2">
        <w:rPr>
          <w:rFonts w:ascii="Arial" w:eastAsia="Calibri" w:hAnsi="Arial" w:cs="Arial"/>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0696FC6" w14:textId="15586998" w:rsidR="008E5711" w:rsidRPr="00E858D2" w:rsidRDefault="009B4ADF" w:rsidP="002D5846">
      <w:pPr>
        <w:spacing w:line="276" w:lineRule="auto"/>
        <w:ind w:firstLine="708"/>
        <w:jc w:val="both"/>
        <w:rPr>
          <w:rFonts w:ascii="Arial" w:eastAsia="Calibri" w:hAnsi="Arial" w:cs="Arial"/>
          <w:lang w:val="es-ES_tradnl"/>
        </w:rPr>
      </w:pPr>
      <w:r w:rsidRPr="00E858D2">
        <w:rPr>
          <w:rFonts w:ascii="Arial" w:eastAsia="Calibri" w:hAnsi="Arial" w:cs="Arial"/>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2D388EF9" w14:textId="77777777" w:rsidR="009B4ADF" w:rsidRPr="00E858D2" w:rsidRDefault="009B4ADF" w:rsidP="009B4ADF">
      <w:pPr>
        <w:spacing w:before="120" w:after="120" w:line="276" w:lineRule="auto"/>
        <w:ind w:firstLine="708"/>
        <w:jc w:val="both"/>
        <w:rPr>
          <w:rFonts w:ascii="Arial" w:eastAsia="Calibri" w:hAnsi="Arial" w:cs="Arial"/>
          <w:lang w:val="es-ES_tradnl"/>
        </w:rPr>
      </w:pPr>
      <w:r w:rsidRPr="00E858D2">
        <w:rPr>
          <w:rFonts w:ascii="Arial" w:eastAsia="Calibri" w:hAnsi="Arial" w:cs="Arial"/>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3"/>
      </w:r>
      <w:r w:rsidRPr="00E858D2">
        <w:rPr>
          <w:rFonts w:ascii="Arial" w:eastAsia="Calibri" w:hAnsi="Arial" w:cs="Arial"/>
          <w:lang w:val="es-ES_tradnl"/>
        </w:rPr>
        <w:t>.</w:t>
      </w:r>
    </w:p>
    <w:p w14:paraId="6DD1A23F" w14:textId="77777777" w:rsidR="009B4ADF" w:rsidRPr="00E858D2" w:rsidRDefault="009B4ADF" w:rsidP="009B4ADF">
      <w:pPr>
        <w:spacing w:before="120" w:after="120" w:line="276" w:lineRule="auto"/>
        <w:jc w:val="both"/>
        <w:rPr>
          <w:rFonts w:ascii="Arial" w:eastAsia="Calibri" w:hAnsi="Arial" w:cs="Arial"/>
          <w:lang w:val="es-ES_tradnl"/>
        </w:rPr>
      </w:pPr>
      <w:r w:rsidRPr="00E858D2">
        <w:rPr>
          <w:rFonts w:ascii="Arial" w:eastAsia="Calibri" w:hAnsi="Arial" w:cs="Arial"/>
          <w:lang w:val="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1E4A4925" w14:textId="77777777" w:rsidR="009B4ADF" w:rsidRPr="00E858D2" w:rsidRDefault="009B4ADF" w:rsidP="009B4ADF">
      <w:pPr>
        <w:spacing w:before="120" w:after="120" w:line="276" w:lineRule="auto"/>
        <w:jc w:val="both"/>
        <w:rPr>
          <w:rFonts w:ascii="Arial" w:eastAsia="Calibri" w:hAnsi="Arial" w:cs="Arial"/>
          <w:lang w:val="es-ES_tradnl"/>
        </w:rPr>
      </w:pPr>
      <w:r w:rsidRPr="00E858D2">
        <w:rPr>
          <w:rFonts w:ascii="Arial" w:eastAsia="Calibri" w:hAnsi="Arial" w:cs="Arial"/>
          <w:lang w:val="es-ES_tradnl"/>
        </w:rPr>
        <w:tab/>
        <w:t xml:space="preserve">De la norma descrita se concluía lo siguiente: i) la adopción de los documentos tipo estaba en cabeza del Gobierno Nacional. </w:t>
      </w:r>
      <w:proofErr w:type="spellStart"/>
      <w:r w:rsidRPr="00E858D2">
        <w:rPr>
          <w:rFonts w:ascii="Arial" w:eastAsia="Calibri" w:hAnsi="Arial" w:cs="Arial"/>
          <w:lang w:val="es-ES_tradnl"/>
        </w:rPr>
        <w:t>ii</w:t>
      </w:r>
      <w:proofErr w:type="spellEnd"/>
      <w:r w:rsidRPr="00E858D2">
        <w:rPr>
          <w:rFonts w:ascii="Arial" w:eastAsia="Calibri" w:hAnsi="Arial" w:cs="Arial"/>
          <w:lang w:val="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858D2">
        <w:rPr>
          <w:rFonts w:ascii="Arial" w:eastAsia="Calibri" w:hAnsi="Arial" w:cs="Arial"/>
          <w:lang w:val="es-ES_tradnl"/>
        </w:rPr>
        <w:t>iii</w:t>
      </w:r>
      <w:proofErr w:type="spellEnd"/>
      <w:r w:rsidRPr="00E858D2">
        <w:rPr>
          <w:rFonts w:ascii="Arial" w:eastAsia="Calibri" w:hAnsi="Arial" w:cs="Arial"/>
          <w:lang w:val="es-ES_tradnl"/>
        </w:rPr>
        <w:t xml:space="preserve">) Eran de obligatorio cumplimiento por parte de todas las entidades sometidas al Estatuto General de Contratación de la Administración Pública. </w:t>
      </w:r>
      <w:proofErr w:type="spellStart"/>
      <w:r w:rsidRPr="00E858D2">
        <w:rPr>
          <w:rFonts w:ascii="Arial" w:eastAsia="Calibri" w:hAnsi="Arial" w:cs="Arial"/>
          <w:lang w:val="es-ES_tradnl"/>
        </w:rPr>
        <w:t>iv</w:t>
      </w:r>
      <w:proofErr w:type="spellEnd"/>
      <w:r w:rsidRPr="00E858D2">
        <w:rPr>
          <w:rFonts w:ascii="Arial" w:eastAsia="Calibri" w:hAnsi="Arial" w:cs="Arial"/>
          <w:lang w:val="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22E4C678" w14:textId="77777777" w:rsidR="009B4ADF" w:rsidRPr="00E858D2" w:rsidRDefault="009B4ADF" w:rsidP="009B4ADF">
      <w:pPr>
        <w:spacing w:before="120" w:after="120" w:line="276" w:lineRule="auto"/>
        <w:jc w:val="both"/>
        <w:rPr>
          <w:rFonts w:ascii="Arial" w:eastAsia="Calibri" w:hAnsi="Arial" w:cs="Arial"/>
          <w:lang w:val="es-ES_tradnl"/>
        </w:rPr>
      </w:pPr>
      <w:r w:rsidRPr="00E858D2">
        <w:rPr>
          <w:rFonts w:ascii="Arial" w:eastAsia="Calibri" w:hAnsi="Arial" w:cs="Arial"/>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7" w:name="_Hlk48665985"/>
      <w:r w:rsidRPr="00E858D2">
        <w:rPr>
          <w:rFonts w:ascii="Arial" w:eastAsia="Calibri" w:hAnsi="Arial" w:cs="Arial"/>
          <w:lang w:val="es-ES_tradnl"/>
        </w:rPr>
        <w:t>y los criterios de escogencia, elementos propios del procedimiento de selección del contratista, materia en la que existe reserva de ley y que no se encuentra atribuida a la regulación de las entidades territoriales</w:t>
      </w:r>
      <w:bookmarkEnd w:id="7"/>
      <w:r w:rsidRPr="00E858D2">
        <w:rPr>
          <w:rFonts w:ascii="Arial" w:eastAsia="Calibri" w:hAnsi="Arial" w:cs="Arial"/>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4"/>
      </w:r>
      <w:r w:rsidRPr="00E858D2">
        <w:rPr>
          <w:rFonts w:ascii="Arial" w:eastAsia="Calibri" w:hAnsi="Arial" w:cs="Arial"/>
          <w:lang w:val="es-ES_tradnl"/>
        </w:rPr>
        <w:t>.</w:t>
      </w:r>
    </w:p>
    <w:p w14:paraId="3D9E9BA5" w14:textId="77777777" w:rsidR="009B4ADF" w:rsidRPr="00E858D2" w:rsidRDefault="009B4ADF" w:rsidP="009B4ADF">
      <w:pPr>
        <w:spacing w:before="120" w:after="120" w:line="276" w:lineRule="auto"/>
        <w:jc w:val="both"/>
        <w:rPr>
          <w:rFonts w:ascii="Arial" w:eastAsia="Calibri" w:hAnsi="Arial" w:cs="Arial"/>
          <w:lang w:val="es-ES_tradnl"/>
        </w:rPr>
      </w:pPr>
      <w:r w:rsidRPr="00E858D2">
        <w:rPr>
          <w:rFonts w:ascii="Arial" w:eastAsia="Calibri" w:hAnsi="Arial" w:cs="Arial"/>
          <w:lang w:val="es-ES_tradnl"/>
        </w:rPr>
        <w:lastRenderedPageBreak/>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08C5EFAC" w14:textId="77777777" w:rsidR="009B4ADF" w:rsidRPr="00E858D2" w:rsidRDefault="009B4ADF" w:rsidP="009B4ADF">
      <w:pPr>
        <w:spacing w:before="120" w:after="120" w:line="276" w:lineRule="auto"/>
        <w:jc w:val="both"/>
        <w:rPr>
          <w:rFonts w:ascii="Arial" w:eastAsia="Calibri" w:hAnsi="Arial" w:cs="Arial"/>
          <w:lang w:val="es-ES_tradnl"/>
        </w:rPr>
      </w:pPr>
      <w:r w:rsidRPr="00E858D2">
        <w:rPr>
          <w:rFonts w:ascii="Arial" w:eastAsia="Calibri" w:hAnsi="Arial" w:cs="Arial"/>
          <w:lang w:val="es-ES_tradnl"/>
        </w:rPr>
        <w:tab/>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2C884E16" w14:textId="77777777" w:rsidR="009B4ADF" w:rsidRPr="00E858D2" w:rsidRDefault="009B4ADF" w:rsidP="009B4ADF">
      <w:pPr>
        <w:spacing w:before="120" w:after="120" w:line="276" w:lineRule="auto"/>
        <w:ind w:firstLine="708"/>
        <w:jc w:val="both"/>
        <w:rPr>
          <w:rFonts w:ascii="Arial" w:eastAsia="Calibri" w:hAnsi="Arial" w:cs="Arial"/>
          <w:lang w:val="es-ES_tradnl"/>
        </w:rPr>
      </w:pPr>
      <w:r w:rsidRPr="00E858D2">
        <w:rPr>
          <w:rFonts w:ascii="Arial" w:eastAsia="Calibri" w:hAnsi="Arial" w:cs="Arial"/>
          <w:lang w:val="es-ES_tradnl"/>
        </w:rPr>
        <w:t>Finalmente, se profirió el Decreto 594 de 2020, frente a los documentos tipo para los contratos de obra pública</w:t>
      </w:r>
      <w:r w:rsidRPr="00E858D2" w:rsidDel="00A434AB">
        <w:rPr>
          <w:rFonts w:ascii="Arial" w:eastAsia="Calibri" w:hAnsi="Arial" w:cs="Arial"/>
          <w:lang w:val="es-ES_tradnl"/>
        </w:rPr>
        <w:t xml:space="preserve"> </w:t>
      </w:r>
      <w:r w:rsidRPr="00E858D2">
        <w:rPr>
          <w:rFonts w:ascii="Arial" w:eastAsia="Calibri" w:hAnsi="Arial" w:cs="Arial"/>
          <w:lang w:val="es-ES_tradnl"/>
        </w:rPr>
        <w:t xml:space="preserve">de infraestructura de transporte que se surtieran por la modalidad de mínima cuantía. Estos documentos fueron implementados y desarrollados por la Agencia Nacional de Contratación Pública </w:t>
      </w:r>
      <w:bookmarkStart w:id="8" w:name="_Hlk37841850"/>
      <w:r w:rsidRPr="00E858D2">
        <w:rPr>
          <w:rFonts w:ascii="Arial" w:eastAsia="Calibri" w:hAnsi="Arial" w:cs="Arial"/>
          <w:lang w:val="es-ES_tradnl"/>
        </w:rPr>
        <w:t xml:space="preserve">– Colombia Compra Eficiente, </w:t>
      </w:r>
      <w:bookmarkEnd w:id="8"/>
      <w:r w:rsidRPr="00E858D2">
        <w:rPr>
          <w:rFonts w:ascii="Arial" w:eastAsia="Calibri" w:hAnsi="Arial" w:cs="Arial"/>
          <w:lang w:val="es-ES_tradnl"/>
        </w:rPr>
        <w:t>por medio de la Resolución 1798 de 2019 –derogada por la Resolución 045 de 2020–, la Resolución 044 de 2020 y la Resolución 094 de 2020.</w:t>
      </w:r>
    </w:p>
    <w:p w14:paraId="0428691A" w14:textId="23E97149" w:rsidR="009B4ADF" w:rsidRPr="00E858D2" w:rsidRDefault="009B4ADF" w:rsidP="009B4ADF">
      <w:pPr>
        <w:pStyle w:val="Normal11pt"/>
        <w:spacing w:before="120" w:line="276" w:lineRule="auto"/>
        <w:ind w:left="0" w:firstLine="709"/>
        <w:rPr>
          <w:rFonts w:eastAsia="Calibri"/>
          <w:color w:val="auto"/>
        </w:rPr>
      </w:pPr>
      <w:bookmarkStart w:id="9" w:name="_Hlk110516812"/>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5"/>
      </w:r>
      <w:r w:rsidRPr="00E858D2">
        <w:rPr>
          <w:rFonts w:eastAsia="Calibri"/>
          <w:color w:val="auto"/>
        </w:rPr>
        <w:t xml:space="preserve">. Con esta modificación, si bien se </w:t>
      </w:r>
      <w:r w:rsidRPr="00E858D2">
        <w:rPr>
          <w:rFonts w:eastAsia="Calibri"/>
          <w:color w:val="auto"/>
        </w:rPr>
        <w:lastRenderedPageBreak/>
        <w:t xml:space="preserve">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En este marco, con la finalidad de realizar un desarrollo armónico y ajustado a la ley que otorgó esta competencia, esta Agencia emitió la Resolución 160 de 2020</w:t>
      </w:r>
      <w:r w:rsidR="008F3530">
        <w:rPr>
          <w:rFonts w:eastAsia="Calibri"/>
          <w:color w:val="auto"/>
        </w:rPr>
        <w:t>,</w:t>
      </w:r>
      <w:r w:rsidRPr="00E858D2">
        <w:rPr>
          <w:rFonts w:eastAsia="Calibri"/>
          <w:color w:val="auto"/>
        </w:rPr>
        <w:t xml:space="preserve">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bookmarkEnd w:id="9"/>
    <w:p w14:paraId="1D54CC62" w14:textId="4099253E" w:rsidR="009B4ADF" w:rsidRPr="00E858D2" w:rsidRDefault="009B4ADF" w:rsidP="009B4ADF">
      <w:pPr>
        <w:pStyle w:val="Normal11pt"/>
        <w:spacing w:before="120" w:line="276" w:lineRule="auto"/>
        <w:ind w:left="0" w:firstLine="709"/>
        <w:rPr>
          <w:rFonts w:eastAsia="Calibri"/>
          <w:color w:val="auto"/>
        </w:rPr>
      </w:pPr>
      <w:r w:rsidRPr="00E858D2">
        <w:rPr>
          <w:rFonts w:eastAsia="Calibri"/>
          <w:color w:val="auto"/>
        </w:rPr>
        <w:t>De igual manera, se expidió la Resolución 241 de 2020, «Por la cual se actualizan los Documentos Tipo para los procesos de selección abreviada de menor cuantía de obra pública de infraestructura de transporte y se deroga la Resolución 0044 de 2020». Por otra parte, se expidió la Resolución 248 de 2020, «Por la cual se adoptan los documentos tipo para los procesos de licitación pública para obras de infraestructura de agua potable y saneamiento básico»</w:t>
      </w:r>
      <w:r w:rsidR="00002572">
        <w:rPr>
          <w:rFonts w:eastAsia="Calibri"/>
          <w:color w:val="auto"/>
        </w:rPr>
        <w:t>;</w:t>
      </w:r>
      <w:r w:rsidRPr="00E858D2">
        <w:rPr>
          <w:rFonts w:eastAsia="Calibri"/>
          <w:color w:val="auto"/>
        </w:rPr>
        <w:t xml:space="preserve"> la Resolución 249 de 2020, «Por la cual se adoptan los documentos tipo para los procesos de licitación pública para obras de infraestructura de agua potable y saneamiento básico en la modalidad llave en mano»</w:t>
      </w:r>
      <w:r w:rsidR="00002572">
        <w:rPr>
          <w:rFonts w:eastAsia="Calibri"/>
          <w:color w:val="auto"/>
        </w:rPr>
        <w:t>;</w:t>
      </w:r>
      <w:r w:rsidRPr="00E858D2">
        <w:rPr>
          <w:rFonts w:eastAsia="Calibri"/>
          <w:color w:val="auto"/>
        </w:rPr>
        <w:t xml:space="preserve"> y la Resolución 269 de 2020, «Por la cual se adopta el documento tipo para los procesos de gestión catastral con enfoque multipropósito que se celebren a través de contratos interadministrativos».</w:t>
      </w:r>
    </w:p>
    <w:p w14:paraId="59319F72" w14:textId="18F21496" w:rsidR="009B4ADF" w:rsidRDefault="009B4ADF" w:rsidP="009B4ADF">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00002572">
        <w:rPr>
          <w:color w:val="auto"/>
        </w:rPr>
        <w:t>;</w:t>
      </w:r>
      <w:r w:rsidRPr="00E858D2">
        <w:rPr>
          <w:rFonts w:eastAsia="Calibri"/>
          <w:color w:val="auto"/>
        </w:rPr>
        <w:t xml:space="preserve"> </w:t>
      </w:r>
      <w:proofErr w:type="spellStart"/>
      <w:r w:rsidRPr="00E858D2">
        <w:rPr>
          <w:rFonts w:eastAsia="Calibri"/>
          <w:color w:val="auto"/>
        </w:rPr>
        <w:t>ii</w:t>
      </w:r>
      <w:proofErr w:type="spellEnd"/>
      <w:r w:rsidRPr="00E858D2">
        <w:rPr>
          <w:rFonts w:eastAsia="Calibri"/>
          <w:color w:val="auto"/>
        </w:rPr>
        <w:t>) la Resolución 219 de 2020,</w:t>
      </w:r>
      <w:r w:rsidRPr="00E858D2">
        <w:rPr>
          <w:color w:val="auto"/>
        </w:rPr>
        <w:t xml:space="preserve"> «Por la cual se adoptan los documentos tipo para los procesos de licitación de obra pública de infraestructura social»</w:t>
      </w:r>
      <w:r w:rsidR="00505CB9">
        <w:rPr>
          <w:color w:val="auto"/>
        </w:rPr>
        <w:t>;</w:t>
      </w:r>
      <w:r w:rsidRPr="00E858D2">
        <w:rPr>
          <w:color w:val="auto"/>
        </w:rPr>
        <w:t xml:space="preserve"> </w:t>
      </w:r>
      <w:proofErr w:type="spellStart"/>
      <w:r w:rsidRPr="00E858D2">
        <w:rPr>
          <w:color w:val="auto"/>
        </w:rPr>
        <w:t>iii</w:t>
      </w:r>
      <w:proofErr w:type="spellEnd"/>
      <w:r w:rsidRPr="00E858D2">
        <w:rPr>
          <w:color w:val="auto"/>
        </w:rPr>
        <w:t xml:space="preserve">) la Resolución 220 de 2021, «Por la cual se adoptan los documentos tipo complementarios para los </w:t>
      </w:r>
      <w:r w:rsidRPr="00E858D2">
        <w:rPr>
          <w:color w:val="auto"/>
        </w:rPr>
        <w:lastRenderedPageBreak/>
        <w:t>procesos de licitación de obra pública de infraestructura social relacionados con el sector educativo»</w:t>
      </w:r>
      <w:r w:rsidR="00505CB9">
        <w:rPr>
          <w:color w:val="auto"/>
        </w:rPr>
        <w:t>;</w:t>
      </w:r>
      <w:r w:rsidRPr="00E858D2">
        <w:rPr>
          <w:color w:val="auto"/>
        </w:rPr>
        <w:t xml:space="preserve"> </w:t>
      </w:r>
      <w:proofErr w:type="spellStart"/>
      <w:r w:rsidRPr="00E858D2">
        <w:rPr>
          <w:color w:val="auto"/>
        </w:rPr>
        <w:t>iv</w:t>
      </w:r>
      <w:proofErr w:type="spellEnd"/>
      <w:r w:rsidRPr="00E858D2">
        <w:rPr>
          <w:color w:val="auto"/>
        </w:rPr>
        <w:t>) la Resolución 392 de 2021, «Por la cual se adoptan los documentos tipo complementarios para los procesos de licitación de obra pública de infraestructura social relacionados con el sector salud»</w:t>
      </w:r>
      <w:r w:rsidR="00505CB9">
        <w:rPr>
          <w:color w:val="auto"/>
        </w:rPr>
        <w:t>;</w:t>
      </w:r>
      <w:r w:rsidRPr="00E858D2">
        <w:rPr>
          <w:color w:val="auto"/>
        </w:rPr>
        <w:t xml:space="preserve"> y v) la Resolución 454 de 2021, «Por la cual se adoptan los documentos tipo complementarios para los procesos de licitación de obra pública de infraestructura social relacionados con el sector cultura, recreación y deporte». </w:t>
      </w:r>
    </w:p>
    <w:p w14:paraId="7F79C33B" w14:textId="6AF3DE8B" w:rsidR="00A35798" w:rsidRPr="00E858D2" w:rsidRDefault="00A35798" w:rsidP="00496C7D">
      <w:pPr>
        <w:pStyle w:val="Normal11pt"/>
        <w:spacing w:before="120" w:line="276" w:lineRule="auto"/>
        <w:ind w:left="0" w:firstLine="709"/>
        <w:rPr>
          <w:color w:val="auto"/>
        </w:rPr>
      </w:pPr>
      <w:r>
        <w:rPr>
          <w:color w:val="auto"/>
        </w:rPr>
        <w:t xml:space="preserve">Igualmente, la Agencia expidió recientemente la Resolución </w:t>
      </w:r>
      <w:r w:rsidR="00496C7D">
        <w:rPr>
          <w:color w:val="auto"/>
        </w:rPr>
        <w:t>326 del 22 de julio de 2022, «</w:t>
      </w:r>
      <w:r w:rsidR="00496C7D" w:rsidRPr="00496C7D">
        <w:rPr>
          <w:color w:val="auto"/>
          <w:lang w:val="es-CO"/>
        </w:rPr>
        <w:t>Por la cual se actualizan los documentos tipo para los procesos de contratación de concurso de méritos para contratar la interventoría de obras públicas de infraestructura de transporte y se deroga la Resolución 256 de 2020</w:t>
      </w:r>
      <w:r w:rsidR="00496C7D">
        <w:rPr>
          <w:color w:val="auto"/>
          <w:lang w:val="es-CO"/>
        </w:rPr>
        <w:t>»</w:t>
      </w:r>
      <w:r w:rsidR="00EE3F32">
        <w:rPr>
          <w:color w:val="auto"/>
          <w:lang w:val="es-CO"/>
        </w:rPr>
        <w:t xml:space="preserve">; así como la Resolución </w:t>
      </w:r>
      <w:r w:rsidR="002B1B62" w:rsidRPr="002B1B62">
        <w:rPr>
          <w:color w:val="auto"/>
          <w:lang w:val="es-CO"/>
        </w:rPr>
        <w:t>333 del 27 de julio de 2022</w:t>
      </w:r>
      <w:r w:rsidR="002B1B62">
        <w:rPr>
          <w:color w:val="auto"/>
          <w:lang w:val="es-CO"/>
        </w:rPr>
        <w:t>, «</w:t>
      </w:r>
      <w:r w:rsidR="002B1B62" w:rsidRPr="002B1B62">
        <w:rPr>
          <w:color w:val="auto"/>
          <w:lang w:val="es-CO"/>
        </w:rPr>
        <w:t>Por la cual se adoptan los documentos tipo para los procesos de selección de concurso de méritos para contratar la interventoría de obras públicas de infraestructura de agua potable y saneamiento básico</w:t>
      </w:r>
      <w:r w:rsidR="002B1B62">
        <w:rPr>
          <w:color w:val="auto"/>
          <w:lang w:val="es-CO"/>
        </w:rPr>
        <w:t>»</w:t>
      </w:r>
      <w:r w:rsidR="002B1B62" w:rsidRPr="002B1B62">
        <w:rPr>
          <w:color w:val="auto"/>
          <w:lang w:val="es-CO"/>
        </w:rPr>
        <w:t>.</w:t>
      </w:r>
    </w:p>
    <w:p w14:paraId="5FBEBC11" w14:textId="77777777" w:rsidR="009B4ADF" w:rsidRPr="00E858D2" w:rsidRDefault="009B4ADF" w:rsidP="009B4ADF">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3341C858" w14:textId="77777777" w:rsidR="009B4ADF" w:rsidRPr="00E858D2" w:rsidRDefault="009B4ADF" w:rsidP="009B4ADF">
      <w:pPr>
        <w:spacing w:line="276" w:lineRule="auto"/>
        <w:ind w:firstLine="708"/>
        <w:jc w:val="both"/>
        <w:rPr>
          <w:rFonts w:ascii="Arial" w:hAnsi="Arial" w:cs="Arial"/>
          <w:shd w:val="clear" w:color="auto" w:fill="FFFFFF"/>
          <w:lang w:val="es-ES_tradnl"/>
        </w:rPr>
      </w:pPr>
      <w:bookmarkStart w:id="10" w:name="_Hlk108606631"/>
      <w:r w:rsidRPr="00E858D2">
        <w:rPr>
          <w:rFonts w:ascii="Arial" w:hAnsi="Arial" w:cs="Arial"/>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hd w:val="clear" w:color="auto" w:fill="FFFFFF"/>
          <w:lang w:val="es-ES_tradnl"/>
        </w:rPr>
        <w:t>Documentos del Proceso</w:t>
      </w:r>
      <w:r w:rsidRPr="00E858D2">
        <w:rPr>
          <w:rFonts w:ascii="Arial" w:hAnsi="Arial" w:cs="Arial"/>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bookmarkEnd w:id="10"/>
    <w:p w14:paraId="42F1EA2B" w14:textId="6B9DA49B" w:rsidR="00B85AD7" w:rsidRDefault="009B4ADF" w:rsidP="00B85AD7">
      <w:pPr>
        <w:pStyle w:val="Normal11pt"/>
        <w:spacing w:before="120" w:line="276" w:lineRule="auto"/>
        <w:ind w:left="0" w:firstLine="709"/>
        <w:rPr>
          <w:rFonts w:eastAsia="Calibri"/>
          <w:color w:val="auto"/>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136C189A" w14:textId="77777777" w:rsidR="00B85AD7" w:rsidRDefault="00B85AD7" w:rsidP="00B85AD7">
      <w:pPr>
        <w:spacing w:after="0" w:line="276" w:lineRule="auto"/>
        <w:jc w:val="both"/>
        <w:rPr>
          <w:rFonts w:ascii="Arial" w:eastAsia="Calibri" w:hAnsi="Arial" w:cs="Arial"/>
          <w:b/>
          <w:bCs/>
        </w:rPr>
      </w:pPr>
    </w:p>
    <w:p w14:paraId="1DF75BC8" w14:textId="19C0C5AC" w:rsidR="00B85AD7" w:rsidRDefault="00B85AD7" w:rsidP="00B85AD7">
      <w:pPr>
        <w:spacing w:after="0" w:line="276" w:lineRule="auto"/>
        <w:jc w:val="both"/>
        <w:rPr>
          <w:rFonts w:ascii="Arial" w:eastAsia="Calibri" w:hAnsi="Arial" w:cs="Arial"/>
          <w:b/>
          <w:bCs/>
        </w:rPr>
      </w:pPr>
      <w:r w:rsidRPr="00C91142">
        <w:rPr>
          <w:rFonts w:ascii="Arial" w:eastAsia="Calibri" w:hAnsi="Arial" w:cs="Arial"/>
          <w:b/>
          <w:bCs/>
        </w:rPr>
        <w:t xml:space="preserve">2.2. Experiencia en los procesos que involucran infraestructura de agua potable y saneamiento básico e infraestructura de transporte </w:t>
      </w:r>
    </w:p>
    <w:p w14:paraId="3588C46D" w14:textId="77777777" w:rsidR="00B85AD7" w:rsidRPr="00290C1C" w:rsidRDefault="00B85AD7" w:rsidP="00B85AD7">
      <w:pPr>
        <w:spacing w:after="0" w:line="276" w:lineRule="auto"/>
        <w:jc w:val="both"/>
        <w:rPr>
          <w:rFonts w:ascii="Arial" w:eastAsia="Calibri" w:hAnsi="Arial" w:cs="Arial"/>
          <w:b/>
          <w:bCs/>
        </w:rPr>
      </w:pPr>
    </w:p>
    <w:p w14:paraId="070D0459" w14:textId="0B670321" w:rsidR="00DF0F32" w:rsidRPr="00675F66" w:rsidRDefault="00DF0F32" w:rsidP="00B279E0">
      <w:pPr>
        <w:spacing w:line="276" w:lineRule="auto"/>
        <w:jc w:val="both"/>
        <w:rPr>
          <w:rFonts w:ascii="Arial" w:eastAsia="Calibri" w:hAnsi="Arial" w:cs="Arial"/>
          <w:bCs/>
          <w:lang w:val="es-ES_tradnl"/>
        </w:rPr>
      </w:pPr>
      <w:r>
        <w:rPr>
          <w:rFonts w:ascii="Arial" w:eastAsia="Calibri" w:hAnsi="Arial" w:cs="Arial"/>
          <w:lang w:val="es-MX"/>
        </w:rPr>
        <w:t xml:space="preserve">Como se explicó en el apartado precedente, </w:t>
      </w:r>
      <w:r w:rsidRPr="00675F66">
        <w:rPr>
          <w:rFonts w:ascii="Arial" w:eastAsia="Calibri" w:hAnsi="Arial" w:cs="Arial"/>
          <w:lang w:val="es-MX"/>
        </w:rPr>
        <w:t>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Pr>
          <w:rFonts w:ascii="Arial" w:hAnsi="Arial" w:cs="Arial"/>
          <w:bCs/>
          <w:lang w:eastAsia="es-MX"/>
        </w:rPr>
        <w:t xml:space="preserve"> </w:t>
      </w:r>
      <w:r w:rsidRPr="00675F66">
        <w:rPr>
          <w:rFonts w:ascii="Arial" w:hAnsi="Arial" w:cs="Arial"/>
          <w:bCs/>
          <w:lang w:eastAsia="es-MX"/>
        </w:rPr>
        <w:t xml:space="preserve">Estos documentos fueron modificados mediante la </w:t>
      </w:r>
      <w:r w:rsidRPr="00675F66">
        <w:rPr>
          <w:rFonts w:ascii="Arial" w:hAnsi="Arial" w:cs="Arial"/>
          <w:bCs/>
          <w:lang w:val="es-MX" w:eastAsia="es-MX"/>
        </w:rPr>
        <w:t>Resolución 161 del 17 de junio de 2021</w:t>
      </w:r>
      <w:r w:rsidRPr="00675F66">
        <w:rPr>
          <w:rFonts w:ascii="Arial" w:hAnsi="Arial" w:cs="Arial"/>
          <w:bCs/>
          <w:lang w:eastAsia="es-MX"/>
        </w:rPr>
        <w:t xml:space="preserve">. Con base en esta resolución se </w:t>
      </w:r>
      <w:r w:rsidRPr="00675F66">
        <w:rPr>
          <w:rFonts w:ascii="Arial" w:hAnsi="Arial" w:cs="Arial"/>
          <w:bCs/>
          <w:lang w:val="es-ES_tradnl" w:eastAsia="es-MX"/>
        </w:rPr>
        <w:t xml:space="preserve">estandarizó la acreditación de los factores de desempate del artículo 35 de la Ley 2069 de 2020, dirigido a los procesos de selección que deban adelantarse con documentos tipo y se realizaron modificaciones a los documentos base, formatos y anexos de los documentos tipo. </w:t>
      </w:r>
    </w:p>
    <w:p w14:paraId="196C70B3" w14:textId="77777777" w:rsidR="00DF0F32" w:rsidRPr="00675F66" w:rsidRDefault="00DF0F32" w:rsidP="00DF0F32">
      <w:pPr>
        <w:spacing w:before="120" w:line="276" w:lineRule="auto"/>
        <w:ind w:firstLine="709"/>
        <w:jc w:val="both"/>
        <w:rPr>
          <w:rFonts w:ascii="Arial" w:eastAsia="Calibri" w:hAnsi="Arial" w:cs="Arial"/>
          <w:color w:val="000000"/>
          <w:lang w:val="es-ES_tradnl"/>
        </w:rPr>
      </w:pPr>
      <w:r w:rsidRPr="00675F66">
        <w:rPr>
          <w:rFonts w:ascii="Arial" w:eastAsia="Calibri" w:hAnsi="Arial" w:cs="Arial"/>
          <w:bCs/>
          <w:lang w:val="es-ES_tradnl"/>
        </w:rPr>
        <w:t xml:space="preserve">Posteriormente, se profirió la Resolución 173 del 30 de junio de 2021, </w:t>
      </w:r>
      <w:r w:rsidRPr="00675F66">
        <w:rPr>
          <w:rFonts w:ascii="Arial" w:eastAsia="Calibri" w:hAnsi="Arial" w:cs="Arial"/>
          <w:lang w:val="es-MX"/>
        </w:rPr>
        <w:t>«</w:t>
      </w:r>
      <w:r w:rsidRPr="00675F66">
        <w:rPr>
          <w:rFonts w:ascii="Arial" w:eastAsia="Calibri" w:hAnsi="Arial" w:cs="Arial"/>
          <w:bCs/>
        </w:rPr>
        <w:t>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w:t>
      </w:r>
      <w:r w:rsidRPr="00675F66">
        <w:rPr>
          <w:rFonts w:ascii="Arial" w:eastAsia="Calibri" w:hAnsi="Arial" w:cs="Arial"/>
          <w:color w:val="0D0D0D"/>
          <w:lang w:val="es-MX"/>
        </w:rPr>
        <w:t xml:space="preserve">». </w:t>
      </w:r>
      <w:r w:rsidRPr="00675F66">
        <w:rPr>
          <w:rFonts w:ascii="Arial" w:eastAsia="Calibri" w:hAnsi="Arial" w:cs="Arial"/>
          <w:bCs/>
        </w:rPr>
        <w:t xml:space="preserve">Su expedición se realizó debido a la necesidad de ajustar el contenido de la «Matriz 1 </w:t>
      </w:r>
      <w:r>
        <w:rPr>
          <w:rFonts w:ascii="Arial" w:eastAsia="Calibri" w:hAnsi="Arial" w:cs="Arial"/>
          <w:bCs/>
        </w:rPr>
        <w:t xml:space="preserve">– </w:t>
      </w:r>
      <w:r w:rsidRPr="00675F66">
        <w:rPr>
          <w:rFonts w:ascii="Arial" w:eastAsia="Calibri" w:hAnsi="Arial" w:cs="Arial"/>
          <w:bCs/>
        </w:rPr>
        <w:t xml:space="preserve">Experiencia» en estos documentos tipo, en atención a las peticiones y observaciones realizadas por los ciudadanos y las entidades técnicas del sector que participaron en la construcción de estos documentos, que identificaron algunos aspectos en la «Matriz 1 – Experiencia» que debían modificarse. </w:t>
      </w:r>
      <w:r w:rsidRPr="00675F66">
        <w:rPr>
          <w:rFonts w:ascii="Arial" w:eastAsia="Calibri" w:hAnsi="Arial" w:cs="Arial"/>
          <w:color w:val="000000"/>
        </w:rPr>
        <w:t>D</w:t>
      </w:r>
      <w:r w:rsidRPr="00675F66">
        <w:rPr>
          <w:rFonts w:ascii="Arial" w:eastAsia="Calibri" w:hAnsi="Arial" w:cs="Arial"/>
          <w:bCs/>
        </w:rPr>
        <w:t>e conformidad con el artículo 3 de dicha resolución</w:t>
      </w:r>
      <w:r w:rsidRPr="00675F66">
        <w:rPr>
          <w:rFonts w:ascii="Arial" w:eastAsia="Calibri" w:hAnsi="Arial" w:cs="Arial"/>
          <w:bCs/>
          <w:lang w:val="es-ES_tradnl"/>
        </w:rPr>
        <w:t>, estas</w:t>
      </w:r>
      <w:r w:rsidRPr="00675F66">
        <w:rPr>
          <w:rFonts w:ascii="Arial" w:eastAsia="Calibri" w:hAnsi="Arial" w:cs="Arial"/>
          <w:bCs/>
        </w:rPr>
        <w:t xml:space="preserve"> modificaciones comenzaron a ser obligatorias en</w:t>
      </w:r>
      <w:r w:rsidRPr="00675F66">
        <w:rPr>
          <w:rFonts w:ascii="Arial" w:eastAsia="Calibri" w:hAnsi="Arial" w:cs="Arial"/>
          <w:color w:val="000000"/>
          <w:lang w:val="es-ES_tradnl"/>
        </w:rPr>
        <w:t xml:space="preserve"> los procesos de selección cuyos avisos de convocatoria se publicaron a partir del 12 de julio de 2021.</w:t>
      </w:r>
    </w:p>
    <w:p w14:paraId="702C3680" w14:textId="77777777" w:rsidR="00DF0F32" w:rsidRPr="00270466" w:rsidRDefault="00DF0F32" w:rsidP="00DF0F32">
      <w:pPr>
        <w:spacing w:before="120" w:after="120" w:line="276" w:lineRule="auto"/>
        <w:ind w:firstLine="709"/>
        <w:jc w:val="both"/>
        <w:rPr>
          <w:rFonts w:ascii="Arial" w:hAnsi="Arial" w:cs="Arial"/>
          <w:bdr w:val="none" w:sz="0" w:space="0" w:color="auto" w:frame="1"/>
          <w:lang w:val="es-ES_tradnl" w:eastAsia="es-CO"/>
        </w:rPr>
      </w:pPr>
      <w:r w:rsidRPr="00270466">
        <w:rPr>
          <w:rFonts w:ascii="Arial" w:hAnsi="Arial" w:cs="Arial"/>
          <w:spacing w:val="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w:t>
      </w:r>
      <w:r w:rsidRPr="00CF18E6">
        <w:rPr>
          <w:rFonts w:ascii="Arial" w:hAnsi="Arial" w:cs="Arial"/>
          <w:spacing w:val="2"/>
          <w:lang w:eastAsia="es-CO"/>
        </w:rPr>
        <w:t>documentos tipo</w:t>
      </w:r>
      <w:r w:rsidRPr="00270466">
        <w:rPr>
          <w:rFonts w:ascii="Arial" w:hAnsi="Arial" w:cs="Arial"/>
          <w:spacing w:val="2"/>
          <w:lang w:eastAsia="es-CO"/>
        </w:rPr>
        <w:t xml:space="preserve"> a las disposiciones previstas en dicho decreto.</w:t>
      </w:r>
      <w:r w:rsidRPr="00270466">
        <w:rPr>
          <w:rFonts w:ascii="Arial" w:hAnsi="Arial" w:cs="Arial"/>
          <w:bdr w:val="none" w:sz="0" w:space="0" w:color="auto" w:frame="1"/>
          <w:lang w:eastAsia="es-CO"/>
        </w:rPr>
        <w:t xml:space="preserve"> En este sentido, </w:t>
      </w:r>
      <w:r w:rsidRPr="00270466">
        <w:rPr>
          <w:rFonts w:ascii="Arial" w:hAnsi="Arial" w:cs="Arial"/>
          <w:bdr w:val="none" w:sz="0" w:space="0" w:color="auto" w:frame="1"/>
          <w:lang w:val="es-ES_tradnl" w:eastAsia="es-CO"/>
        </w:rPr>
        <w:t>la Agencia modificó los documentos tipo mediante la Resolución 304 del 13 de octubre de 2021, la cual comenzó a regir para los procesos de contratación cuyo aviso de convocatoria se publique a partir del 2 de noviembre de 2021.</w:t>
      </w:r>
    </w:p>
    <w:p w14:paraId="50D1A025" w14:textId="0AB2D4C6" w:rsidR="00DF0F32" w:rsidRPr="00B279E0" w:rsidRDefault="00DF0F32" w:rsidP="00B279E0">
      <w:pPr>
        <w:spacing w:line="276" w:lineRule="auto"/>
        <w:ind w:firstLine="709"/>
        <w:jc w:val="both"/>
        <w:rPr>
          <w:rFonts w:ascii="Arial" w:hAnsi="Arial" w:cs="Arial"/>
          <w:spacing w:val="2"/>
          <w:lang w:eastAsia="es-CO"/>
        </w:rPr>
      </w:pPr>
      <w:r w:rsidRPr="00270466">
        <w:rPr>
          <w:rFonts w:ascii="Arial" w:hAnsi="Arial" w:cs="Arial"/>
          <w:spacing w:val="2"/>
          <w:lang w:eastAsia="es-CO"/>
        </w:rPr>
        <w:lastRenderedPageBreak/>
        <w:t>Finalmente, con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De esta manera,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 Así las cosas, teniendo en cuenta que esta última modificación no está produciendo efectos en la actualidad, las consideraciones se realizarán teniendo en cuenta el contenido de los documentos vigentes.</w:t>
      </w:r>
    </w:p>
    <w:p w14:paraId="5AE448FC" w14:textId="54EF4A5F" w:rsidR="00B85AD7" w:rsidRDefault="00D829A1" w:rsidP="00B279E0">
      <w:pPr>
        <w:spacing w:after="120" w:line="276" w:lineRule="auto"/>
        <w:ind w:firstLine="708"/>
        <w:jc w:val="both"/>
        <w:rPr>
          <w:rFonts w:ascii="Arial" w:eastAsia="Calibri" w:hAnsi="Arial" w:cs="Arial"/>
        </w:rPr>
      </w:pPr>
      <w:r>
        <w:rPr>
          <w:rFonts w:ascii="Arial" w:eastAsia="Calibri" w:hAnsi="Arial" w:cs="Arial"/>
        </w:rPr>
        <w:t>Ahora bien, d</w:t>
      </w:r>
      <w:r w:rsidR="00B85AD7">
        <w:rPr>
          <w:rFonts w:ascii="Arial" w:eastAsia="Calibri" w:hAnsi="Arial" w:cs="Arial"/>
        </w:rPr>
        <w:t>ado que es posible que concurran en un objeto contractual intervenciones de infraestructura de transporte con obras públicas de agua potable y saneamiento básico, y viceversa, generándose la duda sobre qué documentos tipo deben aplicarse, las Resoluciones No. 248 y 249 de 2020 incluyeron criterios para resolver estas situaciones. El artículo 5 de estos actos administrativos contempla dos reglas que deben aplicarse de manera sucesiva y excluyente, para determinar los documentos tipo aplicables, e incluso justificar técnicamente dicha escogencia en el estudio previo</w:t>
      </w:r>
      <w:r w:rsidR="00B85AD7">
        <w:rPr>
          <w:rStyle w:val="Refdenotaalpie"/>
          <w:rFonts w:ascii="Arial" w:eastAsia="Calibri" w:hAnsi="Arial" w:cs="Arial"/>
        </w:rPr>
        <w:footnoteReference w:id="6"/>
      </w:r>
      <w:r w:rsidR="00B85AD7">
        <w:rPr>
          <w:rFonts w:ascii="Arial" w:eastAsia="Calibri" w:hAnsi="Arial" w:cs="Arial"/>
        </w:rPr>
        <w:t>.</w:t>
      </w:r>
    </w:p>
    <w:p w14:paraId="02D0DF04" w14:textId="77777777" w:rsidR="00B85AD7" w:rsidRDefault="00B85AD7" w:rsidP="00B85AD7">
      <w:pPr>
        <w:spacing w:after="120" w:line="276" w:lineRule="auto"/>
        <w:ind w:firstLine="708"/>
        <w:jc w:val="both"/>
        <w:rPr>
          <w:rFonts w:ascii="Arial" w:eastAsia="Calibri" w:hAnsi="Arial" w:cs="Arial"/>
        </w:rPr>
      </w:pPr>
      <w:r>
        <w:rPr>
          <w:rFonts w:ascii="Arial" w:eastAsia="Calibri" w:hAnsi="Arial" w:cs="Arial"/>
        </w:rPr>
        <w:t xml:space="preserve">La aplicación de la primera de estas reglas implica determinar si el proceso de contratación requiere o no autorización del Viceministerio de Agua Potable y Saneamiento Básico, en caso de necesitarse deberán aplicarse los documentos tipo de agua potable y saneamiento básico. De no requerirse la referida autorización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técnicamente, lo que tiene mayor peso en el impacto del proyecto o lo que abarca una mayor proporción del presupuesto oficial son las obras de agua potable y saneamiento </w:t>
      </w:r>
      <w:r>
        <w:rPr>
          <w:rFonts w:ascii="Arial" w:eastAsia="Calibri" w:hAnsi="Arial" w:cs="Arial"/>
        </w:rPr>
        <w:lastRenderedPageBreak/>
        <w:t>básico, deberán aplicarse los documentos tipo adoptados por las Resoluciones No. 248 y 249 de 2020, y en caso contrario los de obra pública de infraestructura de transporte en la modalidad que corresponda. En todo caso, independientemente de cuales sean los documentos tipo que se opten por aplicar, la entidad deberá justificar técnicamente su decisión en los estudios previos.</w:t>
      </w:r>
    </w:p>
    <w:p w14:paraId="22084C69" w14:textId="77777777" w:rsidR="00B85AD7" w:rsidRDefault="00B85AD7" w:rsidP="00B85AD7">
      <w:pPr>
        <w:spacing w:after="120" w:line="276" w:lineRule="auto"/>
        <w:ind w:firstLine="708"/>
        <w:jc w:val="both"/>
        <w:rPr>
          <w:rFonts w:ascii="Arial" w:eastAsia="Calibri" w:hAnsi="Arial" w:cs="Arial"/>
        </w:rPr>
      </w:pPr>
      <w:r>
        <w:rPr>
          <w:rFonts w:ascii="Arial" w:eastAsia="Calibri" w:hAnsi="Arial" w:cs="Arial"/>
        </w:rPr>
        <w:t>En ese orden, escogidos los documentos tipo aplicables conforme a las anteriores reglas, las obras que no encajen dentro del ámbito de aplicación de estos, serán consideradas obras adicionales en los términos del artículo 4 de la Resolución No. 240 de 2020, o el artículo 4 de las Resoluciones No. 248 y 249 de 2020</w:t>
      </w:r>
      <w:r>
        <w:rPr>
          <w:rStyle w:val="Refdenotaalpie"/>
          <w:rFonts w:ascii="Arial" w:eastAsia="Calibri" w:hAnsi="Arial" w:cs="Arial"/>
        </w:rPr>
        <w:footnoteReference w:id="7"/>
      </w:r>
      <w:r>
        <w:rPr>
          <w:rFonts w:ascii="Arial" w:eastAsia="Calibri" w:hAnsi="Arial" w:cs="Arial"/>
        </w:rPr>
        <w:t xml:space="preserve">. Esto significa que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las Resoluciones No. 248 y 249 de 2020 respecto de la parte del objeto contractual concerniente a obra pública de infraestructura de transporte. Asimismo, si la entidad contratante determina que deben aplicarse los documentos tipo de infraestructura de transporte, le corresponderá aplicar el artículo 4 de la Resolución No. 240 de 2020, en lo relativo a la intervención de la infraestructura de agua potable o saneamiento básico. </w:t>
      </w:r>
      <w:r w:rsidRPr="00C50D39">
        <w:rPr>
          <w:rFonts w:ascii="Arial" w:eastAsia="Calibri" w:hAnsi="Arial" w:cs="Arial"/>
        </w:rPr>
        <w:t xml:space="preserve"> </w:t>
      </w:r>
    </w:p>
    <w:p w14:paraId="33681537" w14:textId="77777777" w:rsidR="00B85AD7" w:rsidRDefault="00B85AD7" w:rsidP="00B85AD7">
      <w:pPr>
        <w:spacing w:after="120" w:line="276" w:lineRule="auto"/>
        <w:jc w:val="both"/>
        <w:rPr>
          <w:rFonts w:ascii="Arial" w:eastAsia="Calibri" w:hAnsi="Arial" w:cs="Arial"/>
        </w:rPr>
      </w:pPr>
      <w:r>
        <w:rPr>
          <w:rFonts w:ascii="Arial" w:eastAsia="Calibri" w:hAnsi="Arial" w:cs="Arial"/>
        </w:rPr>
        <w:tab/>
        <w:t>En caso de que se determine que los documentos tipo que deben aplicarse son los de agua potable y saneamiento básico, siendo adicional la intervención de la infraestructura de transporte, además de los parámetros del artículo 4 de las Resoluciones No. 248 y 249 de 2020, la entidad deberá aplicar el numeral 3.5.1. del documento base. Este numeral está dirigido a que la entidad determine la complejidad técnica del proyecto de acuerdo con lo establecido en la Matriz 1, justificando los requisitos de experiencia general y específica exigibles. Además, este numeral incluye una regla especial para los eventos en los que la obra pública de agua potable y saneamiento básico concurra con la de infraestructura de transporte</w:t>
      </w:r>
      <w:r>
        <w:rPr>
          <w:rStyle w:val="Refdenotaalpie"/>
          <w:rFonts w:ascii="Arial" w:eastAsia="Calibri" w:hAnsi="Arial" w:cs="Arial"/>
        </w:rPr>
        <w:footnoteReference w:id="8"/>
      </w:r>
      <w:r>
        <w:rPr>
          <w:rFonts w:ascii="Arial" w:eastAsia="Calibri" w:hAnsi="Arial" w:cs="Arial"/>
        </w:rPr>
        <w:t xml:space="preserve">. </w:t>
      </w:r>
    </w:p>
    <w:p w14:paraId="3B02AAE2" w14:textId="09D0BB86" w:rsidR="00B85AD7" w:rsidRDefault="00B85AD7" w:rsidP="00B85AD7">
      <w:pPr>
        <w:spacing w:after="120" w:line="276" w:lineRule="auto"/>
        <w:ind w:firstLine="708"/>
        <w:jc w:val="both"/>
        <w:rPr>
          <w:rFonts w:ascii="Arial" w:eastAsia="Calibri" w:hAnsi="Arial" w:cs="Arial"/>
        </w:rPr>
      </w:pPr>
      <w:r>
        <w:rPr>
          <w:rFonts w:ascii="Arial" w:eastAsia="Calibri" w:hAnsi="Arial" w:cs="Arial"/>
        </w:rPr>
        <w:lastRenderedPageBreak/>
        <w:t xml:space="preserve">Según esta regla, la entidad debe configurar la experiencia exigible combinando la Matriz 1 de los documentos tipo de agua potable y saneamiento básico con la de los documentos tipo de infraestructura de transporte, de tal manera que el requisito de experiencia adicional a exigirse en virtud del artículo 4 de las Resoluciones No. 248 y 249 de 2020, estará determinado por esta última. Esto significa que, por ejemplo, si se requiere contratar el mejoramiento </w:t>
      </w:r>
      <w:r w:rsidR="00A36000">
        <w:rPr>
          <w:rFonts w:ascii="Arial" w:eastAsia="Calibri" w:hAnsi="Arial" w:cs="Arial"/>
        </w:rPr>
        <w:t>o la construcción de</w:t>
      </w:r>
      <w:r>
        <w:rPr>
          <w:rFonts w:ascii="Arial" w:eastAsia="Calibri" w:hAnsi="Arial" w:cs="Arial"/>
        </w:rPr>
        <w:t xml:space="preserve"> una red de alcantarillado que implica la intervención de </w:t>
      </w:r>
      <w:r w:rsidR="00A36000">
        <w:rPr>
          <w:rFonts w:ascii="Arial" w:eastAsia="Calibri" w:hAnsi="Arial" w:cs="Arial"/>
        </w:rPr>
        <w:t>vías terciarias</w:t>
      </w:r>
      <w:r w:rsidR="00404548">
        <w:rPr>
          <w:rFonts w:ascii="Arial" w:eastAsia="Calibri" w:hAnsi="Arial" w:cs="Arial"/>
        </w:rPr>
        <w:t xml:space="preserve">, </w:t>
      </w:r>
      <w:r>
        <w:rPr>
          <w:rFonts w:ascii="Arial" w:eastAsia="Calibri" w:hAnsi="Arial" w:cs="Arial"/>
        </w:rPr>
        <w:t xml:space="preserve">en lo concerniente a los requisitos de experiencia general y específica deberán exigirse los establecidos para la actividad </w:t>
      </w:r>
      <w:r w:rsidR="00E654E0">
        <w:rPr>
          <w:rFonts w:ascii="Arial" w:eastAsia="Calibri" w:hAnsi="Arial" w:cs="Arial"/>
        </w:rPr>
        <w:t>2.1 o 2</w:t>
      </w:r>
      <w:r>
        <w:rPr>
          <w:rFonts w:ascii="Arial" w:eastAsia="Calibri" w:hAnsi="Arial" w:cs="Arial"/>
        </w:rPr>
        <w:t>.2 de la Matriz 1 adoptada por las Resoluciones No. 248 y 249 de 2020</w:t>
      </w:r>
      <w:r>
        <w:rPr>
          <w:rStyle w:val="Refdenotaalpie"/>
          <w:rFonts w:ascii="Arial" w:eastAsia="Calibri" w:hAnsi="Arial" w:cs="Arial"/>
        </w:rPr>
        <w:footnoteReference w:id="9"/>
      </w:r>
      <w:r>
        <w:rPr>
          <w:rFonts w:ascii="Arial" w:eastAsia="Calibri" w:hAnsi="Arial" w:cs="Arial"/>
        </w:rPr>
        <w:t>, los cuales deberán combinarse con los establecidos para la</w:t>
      </w:r>
      <w:r w:rsidR="003524A3">
        <w:rPr>
          <w:rFonts w:ascii="Arial" w:eastAsia="Calibri" w:hAnsi="Arial" w:cs="Arial"/>
        </w:rPr>
        <w:t xml:space="preserve">s actividades </w:t>
      </w:r>
      <w:r w:rsidR="002206BB">
        <w:rPr>
          <w:rFonts w:ascii="Arial" w:eastAsia="Calibri" w:hAnsi="Arial" w:cs="Arial"/>
        </w:rPr>
        <w:t xml:space="preserve">2.1, 2.2. o 2.3 </w:t>
      </w:r>
      <w:r>
        <w:rPr>
          <w:rFonts w:ascii="Arial" w:eastAsia="Calibri" w:hAnsi="Arial" w:cs="Arial"/>
        </w:rPr>
        <w:t>de la Matriz 1 de los «Documentos Tipo – Versión 3» de licitación pública para obra de infraestructura de transporte</w:t>
      </w:r>
      <w:r>
        <w:rPr>
          <w:rStyle w:val="Refdenotaalpie"/>
          <w:rFonts w:ascii="Arial" w:eastAsia="Calibri" w:hAnsi="Arial" w:cs="Arial"/>
        </w:rPr>
        <w:footnoteReference w:id="10"/>
      </w:r>
      <w:r>
        <w:rPr>
          <w:rFonts w:ascii="Arial" w:eastAsia="Calibri" w:hAnsi="Arial" w:cs="Arial"/>
        </w:rPr>
        <w:t xml:space="preserve">, o la actividad constructiva pertinente al tipo de infraestructura de transporte categorizadas en el tipo de infraestructura </w:t>
      </w:r>
      <w:r w:rsidR="005C1AB1">
        <w:rPr>
          <w:rFonts w:ascii="Arial" w:eastAsia="Calibri" w:hAnsi="Arial" w:cs="Arial"/>
        </w:rPr>
        <w:t>en vías terciarias.</w:t>
      </w:r>
      <w:r>
        <w:rPr>
          <w:rFonts w:ascii="Arial" w:eastAsia="Calibri" w:hAnsi="Arial" w:cs="Arial"/>
        </w:rPr>
        <w:t xml:space="preserve"> </w:t>
      </w:r>
    </w:p>
    <w:p w14:paraId="70627A03" w14:textId="42554291" w:rsidR="00B85AD7" w:rsidRDefault="00B85AD7" w:rsidP="00B85AD7">
      <w:pPr>
        <w:spacing w:after="120" w:line="276" w:lineRule="auto"/>
        <w:ind w:firstLine="708"/>
        <w:jc w:val="both"/>
        <w:rPr>
          <w:rFonts w:ascii="Arial" w:eastAsia="Calibri" w:hAnsi="Arial" w:cs="Arial"/>
        </w:rPr>
      </w:pPr>
      <w:r>
        <w:rPr>
          <w:rFonts w:ascii="Arial" w:eastAsia="Calibri" w:hAnsi="Arial" w:cs="Arial"/>
        </w:rPr>
        <w:t>A efectos de determinar el requisito de experiencia adicional</w:t>
      </w:r>
      <w:r w:rsidR="00EA7827">
        <w:rPr>
          <w:rFonts w:ascii="Arial" w:eastAsia="Calibri" w:hAnsi="Arial" w:cs="Arial"/>
        </w:rPr>
        <w:t>,</w:t>
      </w:r>
      <w:r>
        <w:rPr>
          <w:rFonts w:ascii="Arial" w:eastAsia="Calibri" w:hAnsi="Arial" w:cs="Arial"/>
        </w:rPr>
        <w:t xml:space="preserve"> será relevante la equivalencia en SMMLV de la proporción del presupuesto oficial que ocupan las obras de infraestructura de transporte. Lo anterior en la medida en que este dato es necesario para acotar la experiencia exigible, dado que la Matriz 1 establece requisitos de experiencia diferenciales en función de la cantidad de SMMLV en los que esté tasado el presupuesto oficial de la obra.   </w:t>
      </w:r>
    </w:p>
    <w:p w14:paraId="0CEFC419" w14:textId="77777777" w:rsidR="00B85AD7" w:rsidRPr="00C50D39" w:rsidRDefault="00B85AD7" w:rsidP="00B85AD7">
      <w:pPr>
        <w:spacing w:after="120" w:line="276" w:lineRule="auto"/>
        <w:ind w:firstLine="708"/>
        <w:jc w:val="both"/>
        <w:rPr>
          <w:rFonts w:ascii="Arial" w:eastAsia="Calibri" w:hAnsi="Arial" w:cs="Arial"/>
        </w:rPr>
      </w:pPr>
      <w:r>
        <w:rPr>
          <w:rFonts w:ascii="Arial" w:eastAsia="Calibri" w:hAnsi="Arial" w:cs="Arial"/>
        </w:rPr>
        <w:t xml:space="preserve">Esta equivalencia en SMMLV de la proporción del presupuesto oficial destinada a las obras adicionales a las de agua potable y saneamiento básico, también será relevante para determinar cuáles de los documentos tipo de infraestructura de transporte son los aplicables para determinar el requisito de experiencia adicional. En principio, si la cantidad de SMMLV excede la menor cuantía de la entidad –según el artículo 2, numeral 2 de la Ley 1150 de 2007–, deberá aplicarse la Matriz 1 de los documentos tipo de licitación de obra pública –Versión 3– expedidos mediante Resolución No. 240 de 2020. Si dicha proporción </w:t>
      </w:r>
      <w:r>
        <w:rPr>
          <w:rFonts w:ascii="Arial" w:eastAsia="Calibri" w:hAnsi="Arial" w:cs="Arial"/>
        </w:rPr>
        <w:lastRenderedPageBreak/>
        <w:t xml:space="preserve">del presupuesto oficial se encuentra dentro del rango de la menor cuantía de la entidad, el requisito de experiencia adicional deberá configurarse aplicando la Matriz 1 de los documentos tipo de selección abreviada de menor cuantía–Versión 2– adoptados mediante la Resolución No. 241 de 2020. Del mismo modo, si dicha proporción del presupuesto oficial no supera el 10% de la menor cuantía de la entidad, el requisito de experiencia adicional será determinado por la Matriz 1 de los documentos tipo para procesos de mínima cuantía, implementados por la Resolución No. 094 de 2020. </w:t>
      </w:r>
    </w:p>
    <w:p w14:paraId="6542A20F" w14:textId="77777777" w:rsidR="00B85AD7" w:rsidRDefault="00B85AD7" w:rsidP="00B85AD7">
      <w:pPr>
        <w:spacing w:after="120" w:line="276" w:lineRule="auto"/>
        <w:ind w:firstLine="708"/>
        <w:jc w:val="both"/>
        <w:rPr>
          <w:rFonts w:ascii="Arial" w:eastAsia="Calibri" w:hAnsi="Arial" w:cs="Arial"/>
        </w:rPr>
      </w:pPr>
      <w:r>
        <w:rPr>
          <w:rFonts w:ascii="Arial" w:eastAsia="Calibri" w:hAnsi="Arial" w:cs="Arial"/>
        </w:rPr>
        <w:t>Además del numeral 3.5.1 del Documento Base, la entidad deberá diligenciaros apartados resaltados en gris entre corchetes de los literales A) y G) del numeral 3.5.2. del Documento Base siguiendo las instrucciones allí establecidas</w:t>
      </w:r>
      <w:r>
        <w:rPr>
          <w:rStyle w:val="Refdenotaalpie"/>
          <w:rFonts w:ascii="Arial" w:eastAsia="Calibri" w:hAnsi="Arial" w:cs="Arial"/>
        </w:rPr>
        <w:footnoteReference w:id="11"/>
      </w:r>
      <w:r>
        <w:rPr>
          <w:rFonts w:ascii="Arial" w:eastAsia="Calibri" w:hAnsi="Arial" w:cs="Arial"/>
        </w:rPr>
        <w:t>. En el literal A) la entidad debe establecer los requisitos de experiencia general y especifica principales, esto es, los exigibles según la Matriz 1 de agua potable y saneamiento básico. De otra parte, en el literal G) la entidad deberá consignar la experiencia adicional que exigirá para evaluar la idoneidad frente a los bienes o servicios adicionales a la obra pública de agua potable y saneamiento básico, según los parámetros del artículo 4</w:t>
      </w:r>
      <w:r w:rsidRPr="00FF79A5">
        <w:rPr>
          <w:rFonts w:ascii="Arial" w:eastAsia="Calibri" w:hAnsi="Arial" w:cs="Arial"/>
        </w:rPr>
        <w:t xml:space="preserve"> de </w:t>
      </w:r>
      <w:r>
        <w:rPr>
          <w:rFonts w:ascii="Arial" w:eastAsia="Calibri" w:hAnsi="Arial" w:cs="Arial"/>
        </w:rPr>
        <w:t xml:space="preserve">las Resoluciones No. 248 y 249 de 2020, estando vedado exigir </w:t>
      </w:r>
      <w:r w:rsidRPr="00FF79A5">
        <w:rPr>
          <w:rFonts w:ascii="Arial" w:eastAsia="Calibri" w:hAnsi="Arial" w:cs="Arial"/>
        </w:rPr>
        <w:t>volúmenes</w:t>
      </w:r>
      <w:r>
        <w:rPr>
          <w:rFonts w:ascii="Arial" w:eastAsia="Calibri" w:hAnsi="Arial" w:cs="Arial"/>
        </w:rPr>
        <w:t xml:space="preserve">, </w:t>
      </w:r>
      <w:r w:rsidRPr="00FF79A5">
        <w:rPr>
          <w:rFonts w:ascii="Arial" w:eastAsia="Calibri" w:hAnsi="Arial" w:cs="Arial"/>
        </w:rPr>
        <w:t>cantidades de obra específica</w:t>
      </w:r>
      <w:r>
        <w:rPr>
          <w:rFonts w:ascii="Arial" w:eastAsia="Calibri" w:hAnsi="Arial" w:cs="Arial"/>
        </w:rPr>
        <w:t>s</w:t>
      </w:r>
      <w:r w:rsidRPr="00FF79A5">
        <w:rPr>
          <w:rFonts w:ascii="Arial" w:eastAsia="Calibri" w:hAnsi="Arial" w:cs="Arial"/>
        </w:rPr>
        <w:t xml:space="preserve"> expresadas en SMMLV</w:t>
      </w:r>
      <w:r>
        <w:rPr>
          <w:rFonts w:ascii="Arial" w:eastAsia="Calibri" w:hAnsi="Arial" w:cs="Arial"/>
        </w:rPr>
        <w:t xml:space="preserve"> o experiencia </w:t>
      </w:r>
      <w:r w:rsidRPr="00FF79A5">
        <w:rPr>
          <w:rFonts w:ascii="Arial" w:eastAsia="Calibri" w:hAnsi="Arial" w:cs="Arial"/>
        </w:rPr>
        <w:t xml:space="preserve">relacionada con Planes de Manejo Ambiental, Planes de Manejo de Tránsito o el Plan de Adaptación de la Guía Ambiental, </w:t>
      </w:r>
      <w:r>
        <w:rPr>
          <w:rFonts w:ascii="Arial" w:eastAsia="Calibri" w:hAnsi="Arial" w:cs="Arial"/>
        </w:rPr>
        <w:t>ya que tales planes</w:t>
      </w:r>
      <w:r w:rsidRPr="00FF79A5">
        <w:rPr>
          <w:rFonts w:ascii="Arial" w:eastAsia="Calibri" w:hAnsi="Arial" w:cs="Arial"/>
        </w:rPr>
        <w:t xml:space="preserve"> no son bienes o servicios ajenos a la obra pública de </w:t>
      </w:r>
      <w:r>
        <w:rPr>
          <w:rFonts w:ascii="Arial" w:eastAsia="Calibri" w:hAnsi="Arial" w:cs="Arial"/>
        </w:rPr>
        <w:t>agua potable y saneamiento básico</w:t>
      </w:r>
      <w:r>
        <w:rPr>
          <w:rStyle w:val="Refdenotaalpie"/>
          <w:rFonts w:ascii="Arial" w:eastAsia="Calibri" w:hAnsi="Arial" w:cs="Arial"/>
        </w:rPr>
        <w:footnoteReference w:id="12"/>
      </w:r>
      <w:r>
        <w:rPr>
          <w:rFonts w:ascii="Arial" w:eastAsia="Calibri" w:hAnsi="Arial" w:cs="Arial"/>
        </w:rPr>
        <w:t>.</w:t>
      </w:r>
    </w:p>
    <w:p w14:paraId="48501561" w14:textId="01EAB428" w:rsidR="00B85AD7" w:rsidRDefault="00B85AD7" w:rsidP="00B85AD7">
      <w:pPr>
        <w:spacing w:after="0" w:line="276" w:lineRule="auto"/>
        <w:ind w:firstLine="709"/>
        <w:jc w:val="both"/>
        <w:rPr>
          <w:rFonts w:ascii="Arial" w:eastAsia="Calibri" w:hAnsi="Arial" w:cs="Arial"/>
        </w:rPr>
      </w:pPr>
      <w:r>
        <w:rPr>
          <w:rFonts w:ascii="Arial" w:eastAsia="Calibri" w:hAnsi="Arial" w:cs="Arial"/>
        </w:rPr>
        <w:lastRenderedPageBreak/>
        <w:t>Adicionalmente, de acuerdo con su pregunta sobre cuál debe ser la experiencia</w:t>
      </w:r>
      <w:r w:rsidR="00842F50">
        <w:rPr>
          <w:rFonts w:ascii="Arial" w:eastAsia="Calibri" w:hAnsi="Arial" w:cs="Arial"/>
        </w:rPr>
        <w:t xml:space="preserve"> </w:t>
      </w:r>
      <w:r>
        <w:rPr>
          <w:rFonts w:ascii="Arial" w:eastAsia="Calibri" w:hAnsi="Arial" w:cs="Arial"/>
        </w:rPr>
        <w:t>cuando existe la concurrencia entre agua potable y saneamiento básico e infraestructura de transporte, una vez seleccionados un pliego tipo o el otro según las reglas señaladas, se debe tener en cuenta que esto debe ser establecido por la entidad contratante en el numeral 3.5.1 del Documento base, discrecionalmente y de acuerdo con el objeto a contratar. Para esto es necesario tener como referente la regla 6 de la «Matriz 1 – Experiencia» de los pliegos tipo de agua potable, la cual dispone que:</w:t>
      </w:r>
    </w:p>
    <w:p w14:paraId="435114B6" w14:textId="77777777" w:rsidR="00B85AD7" w:rsidRDefault="00B85AD7" w:rsidP="00B85AD7">
      <w:pPr>
        <w:spacing w:after="0" w:line="276" w:lineRule="auto"/>
        <w:ind w:firstLine="709"/>
        <w:jc w:val="both"/>
        <w:rPr>
          <w:rFonts w:ascii="Arial" w:eastAsia="Calibri" w:hAnsi="Arial" w:cs="Arial"/>
        </w:rPr>
      </w:pPr>
    </w:p>
    <w:p w14:paraId="1894683B" w14:textId="3868BC60" w:rsidR="00B85AD7" w:rsidRDefault="00B85AD7" w:rsidP="00B85AD7">
      <w:pPr>
        <w:spacing w:after="0" w:line="240" w:lineRule="auto"/>
        <w:ind w:left="709" w:right="709"/>
        <w:jc w:val="both"/>
        <w:rPr>
          <w:rFonts w:ascii="Arial" w:eastAsia="Calibri" w:hAnsi="Arial" w:cs="Arial"/>
          <w:sz w:val="21"/>
          <w:szCs w:val="21"/>
        </w:rPr>
      </w:pPr>
      <w:r w:rsidRPr="00DA1A26">
        <w:rPr>
          <w:rFonts w:ascii="Arial" w:eastAsia="Calibri" w:hAnsi="Arial" w:cs="Arial"/>
          <w:sz w:val="21"/>
          <w:szCs w:val="21"/>
        </w:rPr>
        <w:t>vi) Cuando el objeto del proceso de contratación contemple la ejecución de dos o más “Actividades a Contratar” (ej.: 1.1 y 3.1),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que para las actividades a contratar, diferentes a la de mayor relevancia, la “Matriz 1- Experiencia” no contemple la experiencia específica, se podrá solicitar la experiencia general de la actividad, como específica.</w:t>
      </w:r>
    </w:p>
    <w:p w14:paraId="6130EEB5" w14:textId="77777777" w:rsidR="002C51A8" w:rsidRDefault="002C51A8" w:rsidP="00B279E0">
      <w:pPr>
        <w:pStyle w:val="paragraph"/>
        <w:spacing w:before="0" w:beforeAutospacing="0" w:after="120" w:afterAutospacing="0"/>
        <w:ind w:left="703" w:right="703"/>
        <w:jc w:val="both"/>
        <w:textAlignment w:val="baseline"/>
        <w:rPr>
          <w:rFonts w:ascii="Segoe UI" w:hAnsi="Segoe UI" w:cs="Segoe UI"/>
          <w:sz w:val="18"/>
          <w:szCs w:val="18"/>
        </w:rPr>
      </w:pPr>
      <w:r>
        <w:rPr>
          <w:rStyle w:val="normaltextrun"/>
          <w:rFonts w:ascii="Arial" w:hAnsi="Arial" w:cs="Arial"/>
          <w:sz w:val="21"/>
          <w:szCs w:val="21"/>
        </w:rPr>
        <w:t>[…] </w:t>
      </w:r>
      <w:r>
        <w:rPr>
          <w:rStyle w:val="eop"/>
          <w:rFonts w:ascii="Arial" w:hAnsi="Arial" w:cs="Arial"/>
          <w:sz w:val="21"/>
          <w:szCs w:val="21"/>
        </w:rPr>
        <w:t> </w:t>
      </w:r>
    </w:p>
    <w:p w14:paraId="250F8D10" w14:textId="394E8B5B" w:rsidR="002C51A8" w:rsidRPr="00B279E0" w:rsidRDefault="002C51A8" w:rsidP="00B279E0">
      <w:pPr>
        <w:pStyle w:val="paragraph"/>
        <w:spacing w:before="0" w:beforeAutospacing="0" w:after="0" w:afterAutospacing="0"/>
        <w:ind w:left="705" w:right="705"/>
        <w:jc w:val="both"/>
        <w:textAlignment w:val="baseline"/>
        <w:rPr>
          <w:rFonts w:ascii="Segoe UI" w:hAnsi="Segoe UI" w:cs="Segoe UI"/>
          <w:sz w:val="18"/>
          <w:szCs w:val="18"/>
        </w:rPr>
      </w:pPr>
      <w:r>
        <w:rPr>
          <w:rStyle w:val="normaltextrun"/>
          <w:rFonts w:ascii="Arial" w:hAnsi="Arial" w:cs="Arial"/>
          <w:sz w:val="21"/>
          <w:szCs w:val="21"/>
        </w:rPr>
        <w:t>Nota: Estas reglas de combinación de experiencia son extensivas cuando se realiza la combinación de experiencia entre diferentes matrices de documento tipo, p. ej.: la matriz de agua potable y la matriz de infraestructura de transporte, se aplicarán las mismas reglas establecidas en esta sección.</w:t>
      </w:r>
    </w:p>
    <w:p w14:paraId="106F584F" w14:textId="77777777" w:rsidR="00B85AD7" w:rsidRPr="00234F80" w:rsidRDefault="00B85AD7" w:rsidP="00B85AD7">
      <w:pPr>
        <w:spacing w:after="0" w:line="276" w:lineRule="auto"/>
        <w:ind w:left="709" w:right="709"/>
        <w:jc w:val="both"/>
        <w:rPr>
          <w:rFonts w:ascii="Arial" w:eastAsia="Calibri" w:hAnsi="Arial" w:cs="Arial"/>
        </w:rPr>
      </w:pPr>
    </w:p>
    <w:p w14:paraId="1A9B7D02" w14:textId="7A832AAC" w:rsidR="00B85AD7" w:rsidRDefault="00B85AD7" w:rsidP="00B279E0">
      <w:pPr>
        <w:spacing w:after="0" w:line="276" w:lineRule="auto"/>
        <w:ind w:firstLine="708"/>
        <w:jc w:val="both"/>
        <w:rPr>
          <w:rFonts w:ascii="Arial" w:eastAsia="Calibri" w:hAnsi="Arial" w:cs="Arial"/>
        </w:rPr>
      </w:pPr>
      <w:r>
        <w:rPr>
          <w:rFonts w:ascii="Arial" w:eastAsia="Calibri" w:hAnsi="Arial" w:cs="Arial"/>
        </w:rPr>
        <w:t xml:space="preserve">De esta manera, la entidad debe tener en cuenta la actividad a contratar de mayor relevancia de lo relacionado con agua potable y saneamiento básico, o con infraestructura de transporte y fijar así la experiencia, requiriendo la experiencia general o la experiencia específica que establece la matriz 1 de la actividad de infraestructura de transporte que </w:t>
      </w:r>
      <w:r w:rsidR="00F72C84">
        <w:rPr>
          <w:rFonts w:ascii="Arial" w:eastAsia="Calibri" w:hAnsi="Arial" w:cs="Arial"/>
        </w:rPr>
        <w:t>se</w:t>
      </w:r>
      <w:r w:rsidR="002C0DF4">
        <w:rPr>
          <w:rFonts w:ascii="Arial" w:eastAsia="Calibri" w:hAnsi="Arial" w:cs="Arial"/>
        </w:rPr>
        <w:t>a adecuada y proporcional</w:t>
      </w:r>
      <w:r w:rsidR="00F72C84">
        <w:rPr>
          <w:rFonts w:ascii="Arial" w:eastAsia="Calibri" w:hAnsi="Arial" w:cs="Arial"/>
        </w:rPr>
        <w:t xml:space="preserve"> </w:t>
      </w:r>
      <w:r>
        <w:rPr>
          <w:rFonts w:ascii="Arial" w:eastAsia="Calibri" w:hAnsi="Arial" w:cs="Arial"/>
        </w:rPr>
        <w:t>a</w:t>
      </w:r>
      <w:r w:rsidR="002C0DF4">
        <w:rPr>
          <w:rFonts w:ascii="Arial" w:eastAsia="Calibri" w:hAnsi="Arial" w:cs="Arial"/>
        </w:rPr>
        <w:t>l</w:t>
      </w:r>
      <w:r>
        <w:rPr>
          <w:rFonts w:ascii="Arial" w:eastAsia="Calibri" w:hAnsi="Arial" w:cs="Arial"/>
        </w:rPr>
        <w:t xml:space="preserve"> objeto a contratar</w:t>
      </w:r>
      <w:r w:rsidR="002C0DF4">
        <w:rPr>
          <w:rFonts w:ascii="Arial" w:eastAsia="Calibri" w:hAnsi="Arial" w:cs="Arial"/>
        </w:rPr>
        <w:t xml:space="preserve"> con el respectivo proceso  de selección</w:t>
      </w:r>
      <w:r>
        <w:rPr>
          <w:rFonts w:ascii="Arial" w:eastAsia="Calibri" w:hAnsi="Arial" w:cs="Arial"/>
        </w:rPr>
        <w:t>, o, viceversa, solicitando dicha experiencia de esa matriz pero de los documentos tipo de agua y saneamiento básico.</w:t>
      </w:r>
      <w:r w:rsidR="00DE695A">
        <w:rPr>
          <w:rFonts w:ascii="Arial" w:eastAsia="Calibri" w:hAnsi="Arial" w:cs="Arial"/>
        </w:rPr>
        <w:t xml:space="preserve"> </w:t>
      </w:r>
      <w:r w:rsidR="00DE695A">
        <w:rPr>
          <w:rStyle w:val="normaltextrun"/>
          <w:rFonts w:ascii="Arial" w:hAnsi="Arial" w:cs="Arial"/>
          <w:color w:val="000000"/>
          <w:shd w:val="clear" w:color="auto" w:fill="FFFFFF"/>
        </w:rPr>
        <w:t xml:space="preserve">Por tanto, las reglas de combinación de experiencia entre las matrices de agua potable y de infraestructura de transporte son jurídicamente relevantes cuando se cumple con alguno de los criterios dispuestos en el artículo 5 de las </w:t>
      </w:r>
      <w:r w:rsidR="00DE695A">
        <w:rPr>
          <w:rStyle w:val="normaltextrun"/>
          <w:rFonts w:ascii="Arial" w:hAnsi="Arial" w:cs="Arial"/>
          <w:color w:val="000000"/>
          <w:shd w:val="clear" w:color="auto" w:fill="FFFFFF"/>
        </w:rPr>
        <w:lastRenderedPageBreak/>
        <w:t>Resoluciones No. 248 y 249 de 2020. De lo contrario, si la entidad contratante determina que deben aplicarse los documentos tipo de infraestructura de transporte, le corresponderá estarse a lo dispuesto en el artículo 4 de la Resolución No. 240 de 2020, en lo relativo a la intervención de la infraestructura de agua potable o saneamiento básico.</w:t>
      </w:r>
      <w:r w:rsidR="00DE695A">
        <w:rPr>
          <w:rStyle w:val="eop"/>
          <w:rFonts w:ascii="Arial" w:hAnsi="Arial" w:cs="Arial"/>
          <w:color w:val="000000"/>
          <w:shd w:val="clear" w:color="auto" w:fill="FFFFFF"/>
        </w:rPr>
        <w:t> </w:t>
      </w:r>
    </w:p>
    <w:p w14:paraId="171952FE" w14:textId="7504B2D7" w:rsidR="00D04721" w:rsidRPr="002D47BE" w:rsidRDefault="00B85AD7" w:rsidP="00B279E0">
      <w:pPr>
        <w:spacing w:after="0" w:line="276" w:lineRule="auto"/>
        <w:jc w:val="both"/>
        <w:rPr>
          <w:rFonts w:ascii="Arial" w:eastAsia="Calibri" w:hAnsi="Arial" w:cs="Arial"/>
        </w:rPr>
      </w:pPr>
      <w:r w:rsidRPr="009A4A28">
        <w:rPr>
          <w:rFonts w:ascii="Arial" w:eastAsia="Calibri" w:hAnsi="Arial" w:cs="Arial"/>
        </w:rPr>
        <w:t xml:space="preserve"> </w:t>
      </w:r>
      <w:bookmarkEnd w:id="6"/>
    </w:p>
    <w:p w14:paraId="003217C1" w14:textId="178ECAF1" w:rsidR="00657188" w:rsidRPr="009A4A28" w:rsidRDefault="00657188" w:rsidP="00657188">
      <w:pPr>
        <w:pStyle w:val="Prrafodelista"/>
        <w:tabs>
          <w:tab w:val="left" w:pos="284"/>
        </w:tabs>
        <w:spacing w:line="276" w:lineRule="auto"/>
        <w:ind w:left="0"/>
        <w:jc w:val="both"/>
        <w:rPr>
          <w:rFonts w:ascii="Arial" w:eastAsia="Calibri" w:hAnsi="Arial" w:cs="Arial"/>
          <w:sz w:val="22"/>
        </w:rPr>
      </w:pPr>
      <w:r w:rsidRPr="009A4A28">
        <w:rPr>
          <w:rFonts w:ascii="Arial" w:eastAsia="Calibri" w:hAnsi="Arial" w:cs="Arial"/>
          <w:b/>
          <w:sz w:val="22"/>
        </w:rPr>
        <w:t>3. Respuesta</w:t>
      </w:r>
      <w:r w:rsidR="00B36AD0">
        <w:rPr>
          <w:rFonts w:ascii="Arial" w:eastAsia="Calibri" w:hAnsi="Arial" w:cs="Arial"/>
          <w:b/>
          <w:sz w:val="22"/>
        </w:rPr>
        <w:t>s</w:t>
      </w:r>
    </w:p>
    <w:p w14:paraId="1CC5E948" w14:textId="77777777" w:rsidR="00657188" w:rsidRPr="009A4A28" w:rsidRDefault="00657188" w:rsidP="00657188">
      <w:pPr>
        <w:spacing w:after="0" w:line="276" w:lineRule="auto"/>
        <w:ind w:left="709" w:right="709"/>
        <w:jc w:val="both"/>
        <w:rPr>
          <w:rFonts w:ascii="Arial" w:eastAsia="Calibri" w:hAnsi="Arial" w:cs="Arial"/>
          <w:i/>
        </w:rPr>
      </w:pPr>
    </w:p>
    <w:p w14:paraId="528A5D7D" w14:textId="77777777" w:rsidR="00F62361" w:rsidRPr="0021676F" w:rsidRDefault="00F62361" w:rsidP="00F62361">
      <w:pPr>
        <w:tabs>
          <w:tab w:val="left" w:pos="426"/>
        </w:tabs>
        <w:spacing w:after="0" w:line="240" w:lineRule="auto"/>
        <w:ind w:left="709" w:right="709"/>
        <w:jc w:val="both"/>
        <w:rPr>
          <w:rFonts w:ascii="Arial" w:eastAsia="Calibri" w:hAnsi="Arial" w:cs="Arial"/>
          <w:sz w:val="21"/>
          <w:szCs w:val="21"/>
        </w:rPr>
      </w:pPr>
      <w:r w:rsidRPr="0021676F">
        <w:rPr>
          <w:rFonts w:ascii="Arial" w:eastAsia="Calibri" w:hAnsi="Arial" w:cs="Arial"/>
          <w:sz w:val="21"/>
          <w:szCs w:val="21"/>
        </w:rPr>
        <w:t>1. Un proceso de contratación que tiene por objeto el mejoramiento y/o construcción de alcantarillas en vías [sic] terciarias. ¿Debe realizarse por pliegos tipo?.</w:t>
      </w:r>
    </w:p>
    <w:p w14:paraId="21316046" w14:textId="77777777" w:rsidR="00F62361" w:rsidRPr="0021676F" w:rsidRDefault="00F62361" w:rsidP="00F62361">
      <w:pPr>
        <w:tabs>
          <w:tab w:val="left" w:pos="426"/>
        </w:tabs>
        <w:spacing w:after="0" w:line="240" w:lineRule="auto"/>
        <w:ind w:left="709" w:right="709"/>
        <w:jc w:val="both"/>
        <w:rPr>
          <w:rFonts w:ascii="Arial" w:eastAsia="Calibri" w:hAnsi="Arial" w:cs="Arial"/>
          <w:sz w:val="21"/>
          <w:szCs w:val="21"/>
        </w:rPr>
      </w:pPr>
    </w:p>
    <w:p w14:paraId="7E472B6D" w14:textId="77777777" w:rsidR="00F62361" w:rsidRPr="0021676F" w:rsidRDefault="00F62361" w:rsidP="00F62361">
      <w:pPr>
        <w:tabs>
          <w:tab w:val="left" w:pos="426"/>
        </w:tabs>
        <w:spacing w:after="0" w:line="240" w:lineRule="auto"/>
        <w:ind w:left="709" w:right="709"/>
        <w:jc w:val="both"/>
        <w:rPr>
          <w:rFonts w:ascii="Arial" w:eastAsia="Calibri" w:hAnsi="Arial" w:cs="Arial"/>
          <w:sz w:val="21"/>
          <w:szCs w:val="21"/>
        </w:rPr>
      </w:pPr>
      <w:r w:rsidRPr="0021676F">
        <w:rPr>
          <w:rFonts w:ascii="Arial" w:eastAsia="Calibri" w:hAnsi="Arial" w:cs="Arial"/>
          <w:sz w:val="21"/>
          <w:szCs w:val="21"/>
        </w:rPr>
        <w:t xml:space="preserve">2. En caso que la respuesta anterior sea </w:t>
      </w:r>
      <w:proofErr w:type="spellStart"/>
      <w:r w:rsidRPr="0021676F">
        <w:rPr>
          <w:rFonts w:ascii="Arial" w:eastAsia="Calibri" w:hAnsi="Arial" w:cs="Arial"/>
          <w:sz w:val="21"/>
          <w:szCs w:val="21"/>
        </w:rPr>
        <w:t>positivia</w:t>
      </w:r>
      <w:proofErr w:type="spellEnd"/>
      <w:r w:rsidRPr="0021676F">
        <w:rPr>
          <w:rFonts w:ascii="Arial" w:eastAsia="Calibri" w:hAnsi="Arial" w:cs="Arial"/>
          <w:sz w:val="21"/>
          <w:szCs w:val="21"/>
        </w:rPr>
        <w:t xml:space="preserve"> [sic], ¿Cuál [sic] sería el criterio de experiencia a solicitar?</w:t>
      </w:r>
    </w:p>
    <w:p w14:paraId="6F934267" w14:textId="2AF34AD3" w:rsidR="00657188" w:rsidRPr="00D04721" w:rsidRDefault="00657188" w:rsidP="00465318">
      <w:pPr>
        <w:spacing w:after="0" w:line="240" w:lineRule="auto"/>
        <w:ind w:left="709" w:right="709"/>
        <w:jc w:val="both"/>
        <w:rPr>
          <w:rFonts w:ascii="Arial" w:eastAsia="Calibri" w:hAnsi="Arial" w:cs="Arial"/>
        </w:rPr>
      </w:pPr>
    </w:p>
    <w:p w14:paraId="74B746B7" w14:textId="2EF23D02" w:rsidR="00407633" w:rsidRDefault="00A061DD" w:rsidP="00407633">
      <w:pPr>
        <w:spacing w:after="120" w:line="276" w:lineRule="auto"/>
        <w:jc w:val="both"/>
        <w:rPr>
          <w:rFonts w:ascii="Arial" w:eastAsia="Calibri" w:hAnsi="Arial" w:cs="Arial"/>
        </w:rPr>
      </w:pPr>
      <w:r>
        <w:rPr>
          <w:rFonts w:ascii="Arial" w:eastAsia="Calibri" w:hAnsi="Arial" w:cs="Arial"/>
        </w:rPr>
        <w:t>L</w:t>
      </w:r>
      <w:r w:rsidRPr="00A061DD">
        <w:rPr>
          <w:rFonts w:ascii="Arial" w:eastAsia="Calibri" w:hAnsi="Arial" w:cs="Arial"/>
        </w:rPr>
        <w:t xml:space="preserve">a definición de si a un proceso de contratación le aplican los documentos tipo radicará en si el contrato a ejecutar </w:t>
      </w:r>
      <w:r w:rsidR="0005533D" w:rsidRPr="00A061DD">
        <w:rPr>
          <w:rFonts w:ascii="Arial" w:eastAsia="Calibri" w:hAnsi="Arial" w:cs="Arial"/>
        </w:rPr>
        <w:t>se enmarca en</w:t>
      </w:r>
      <w:r w:rsidRPr="00A061DD">
        <w:rPr>
          <w:rFonts w:ascii="Arial" w:eastAsia="Calibri" w:hAnsi="Arial" w:cs="Arial"/>
        </w:rPr>
        <w:t xml:space="preserve"> las actividades establecidas en la matriz de experiencia del documento tipo, de modo que las entidades estatales sometidas al Estatuto General de Contratación de la Administración Pública deberán aplicar los documentos tipo en dichos supuestos. En todo caso, independientemente de la correspondencia entre el objeto a contratar y alguna de las actividades tipificadas en las matrices de experiencia, la aplicación del documento tipo solo será forzosa, si además el correspondiente documento tipo ha sido expedido para la modalidad de escogencia en la que se debe adelantar el proceso de selección.</w:t>
      </w:r>
    </w:p>
    <w:p w14:paraId="0A492C92" w14:textId="47E47B94" w:rsidR="00407633" w:rsidRDefault="009A6468" w:rsidP="00407633">
      <w:pPr>
        <w:spacing w:after="120" w:line="276" w:lineRule="auto"/>
        <w:ind w:firstLine="709"/>
        <w:jc w:val="both"/>
        <w:rPr>
          <w:rFonts w:ascii="Arial" w:eastAsia="Calibri" w:hAnsi="Arial" w:cs="Arial"/>
        </w:rPr>
      </w:pPr>
      <w:r>
        <w:rPr>
          <w:rFonts w:ascii="Arial" w:eastAsia="Calibri" w:hAnsi="Arial" w:cs="Arial"/>
        </w:rPr>
        <w:t xml:space="preserve">Sin perjuicio de lo anterior, es bueno señalar que, en el caso de </w:t>
      </w:r>
      <w:r w:rsidR="005D68E5">
        <w:rPr>
          <w:rFonts w:ascii="Arial" w:eastAsia="Calibri" w:hAnsi="Arial" w:cs="Arial"/>
        </w:rPr>
        <w:t xml:space="preserve">las actividades de mejoramiento y/o construcción de alcantarillados, </w:t>
      </w:r>
      <w:r w:rsidR="00316328">
        <w:rPr>
          <w:rFonts w:ascii="Arial" w:eastAsia="Calibri" w:hAnsi="Arial" w:cs="Arial"/>
        </w:rPr>
        <w:t xml:space="preserve">estas se encuentran contenidas dentro de las obras de alcantarillados de la Matriz 1 de Experiencia de los documentos tipo de licitación </w:t>
      </w:r>
      <w:r w:rsidR="00AF73D5">
        <w:rPr>
          <w:rFonts w:ascii="Arial" w:eastAsia="Calibri" w:hAnsi="Arial" w:cs="Arial"/>
        </w:rPr>
        <w:t xml:space="preserve">de infraestructura de agua potable y </w:t>
      </w:r>
      <w:r w:rsidR="00407633">
        <w:rPr>
          <w:rFonts w:ascii="Arial" w:eastAsia="Calibri" w:hAnsi="Arial" w:cs="Arial"/>
        </w:rPr>
        <w:t>saneamiento</w:t>
      </w:r>
      <w:r w:rsidR="00AF73D5">
        <w:rPr>
          <w:rFonts w:ascii="Arial" w:eastAsia="Calibri" w:hAnsi="Arial" w:cs="Arial"/>
        </w:rPr>
        <w:t xml:space="preserve"> básico. Por su parte, </w:t>
      </w:r>
      <w:r w:rsidR="00170047">
        <w:rPr>
          <w:rFonts w:ascii="Arial" w:eastAsia="Calibri" w:hAnsi="Arial" w:cs="Arial"/>
        </w:rPr>
        <w:t xml:space="preserve">la Matriz 1 de Experiencia de los documentos tipo </w:t>
      </w:r>
      <w:r w:rsidR="00407633">
        <w:rPr>
          <w:rFonts w:ascii="Arial" w:eastAsia="Calibri" w:hAnsi="Arial" w:cs="Arial"/>
        </w:rPr>
        <w:t>de licitación</w:t>
      </w:r>
      <w:r w:rsidR="00170047">
        <w:rPr>
          <w:rFonts w:ascii="Arial" w:eastAsia="Calibri" w:hAnsi="Arial" w:cs="Arial"/>
        </w:rPr>
        <w:t xml:space="preserve"> de obra pública de infraestructura de transporte, </w:t>
      </w:r>
      <w:r w:rsidR="00E51C0E">
        <w:rPr>
          <w:rFonts w:ascii="Arial" w:eastAsia="Calibri" w:hAnsi="Arial" w:cs="Arial"/>
        </w:rPr>
        <w:t xml:space="preserve">contempla varias actividades </w:t>
      </w:r>
      <w:r w:rsidR="00407633">
        <w:rPr>
          <w:rFonts w:ascii="Arial" w:eastAsia="Calibri" w:hAnsi="Arial" w:cs="Arial"/>
        </w:rPr>
        <w:t>relativas</w:t>
      </w:r>
      <w:r w:rsidR="00E51C0E">
        <w:rPr>
          <w:rFonts w:ascii="Arial" w:eastAsia="Calibri" w:hAnsi="Arial" w:cs="Arial"/>
        </w:rPr>
        <w:t xml:space="preserve"> a obras en </w:t>
      </w:r>
      <w:r w:rsidR="00407633">
        <w:rPr>
          <w:rFonts w:ascii="Arial" w:eastAsia="Calibri" w:hAnsi="Arial" w:cs="Arial"/>
        </w:rPr>
        <w:t>vías</w:t>
      </w:r>
      <w:r w:rsidR="00E51C0E">
        <w:rPr>
          <w:rFonts w:ascii="Arial" w:eastAsia="Calibri" w:hAnsi="Arial" w:cs="Arial"/>
        </w:rPr>
        <w:t xml:space="preserve"> terciarias. En ese sentido, en relación con su consulta, los documentos tipo </w:t>
      </w:r>
      <w:r w:rsidR="00407633">
        <w:rPr>
          <w:rFonts w:ascii="Arial" w:eastAsia="Calibri" w:hAnsi="Arial" w:cs="Arial"/>
        </w:rPr>
        <w:t xml:space="preserve">sería aplicables, en principio, a ese tipo de actividades. </w:t>
      </w:r>
    </w:p>
    <w:p w14:paraId="11EB31A8" w14:textId="77777777" w:rsidR="00A56629" w:rsidRDefault="00A56629" w:rsidP="00B279E0">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sz w:val="22"/>
          <w:szCs w:val="22"/>
        </w:rPr>
        <w:t>Dado que es posible que concurran en un objeto contractual intervenciones de infraestructura de transporte con obras públicas de agua potable y saneamiento básico, y viceversa, generándose la duda sobre qué documentos tipo deben aplicarse, las Resoluciones No. 248 y 249 de 2020 incluyeron criterios para resolver estas situaciones. El artículo 5 de estos actos administrativos contempla dos reglas que deben aplicarse de manera sucesiva y excluyente, para determinar los documentos tipo aplicables, e incluso justificar técnicamente dicha escogencia en el estudio previo.</w:t>
      </w:r>
      <w:r>
        <w:rPr>
          <w:rStyle w:val="eop"/>
          <w:rFonts w:ascii="Arial" w:hAnsi="Arial" w:cs="Arial"/>
          <w:sz w:val="22"/>
          <w:szCs w:val="22"/>
        </w:rPr>
        <w:t> </w:t>
      </w:r>
    </w:p>
    <w:p w14:paraId="06DCAC63" w14:textId="77777777" w:rsidR="00A56629" w:rsidRDefault="00A56629" w:rsidP="00B279E0">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sz w:val="22"/>
          <w:szCs w:val="22"/>
        </w:rPr>
        <w:lastRenderedPageBreak/>
        <w:t>La aplicación de la primera de estas reglas implica determinar si el proceso de contratación requiere o no autorización del Viceministerio de Agua Potable y Saneamiento Básico, en caso de necesitarse deberán aplicarse los documentos tipo de agua potable y saneamiento básico. De no requerirse la referida autorización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técnicamente, lo que tiene mayor peso en el impacto del proyecto o lo que abarca una mayor proporción del presupuesto oficial son las obras de agua potable y saneamiento básico, deberán aplicarse los documentos tipo adoptados por las Resoluciones No. 248 y 249 de 2020, y en caso contrario los de obra pública de infraestructura de transporte en la modalidad que corresponda. En todo caso, independientemente de cuales sean los documentos tipo que se pretendan aplicar, la entidad deberá justificar técnicamente su decisión en los estudios previos.</w:t>
      </w:r>
      <w:r>
        <w:rPr>
          <w:rStyle w:val="eop"/>
          <w:rFonts w:ascii="Arial" w:hAnsi="Arial" w:cs="Arial"/>
          <w:sz w:val="22"/>
          <w:szCs w:val="22"/>
        </w:rPr>
        <w:t> </w:t>
      </w:r>
    </w:p>
    <w:p w14:paraId="5ACE07D6" w14:textId="77777777" w:rsidR="00A56629" w:rsidRDefault="00A56629" w:rsidP="00B279E0">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sz w:val="22"/>
          <w:szCs w:val="22"/>
        </w:rPr>
        <w:t>En caso de que se determine que los documentos tipo que deben aplicarse son los de agua potable y saneamiento básico, siendo adicional la intervención de la infraestructura de transporte, además de los parámetros del artículo 4 de las Resoluciones No. 248 y 249 de 2020, la entidad deberá aplicar el numeral 3.5.1. del documento base. Este numeral dispone que «[…]</w:t>
      </w:r>
      <w:r>
        <w:rPr>
          <w:rStyle w:val="normaltextrun"/>
          <w:rFonts w:ascii="Calibri" w:hAnsi="Calibri" w:cs="Calibri"/>
          <w:lang w:val="es-MX"/>
        </w:rPr>
        <w:t xml:space="preserve"> </w:t>
      </w:r>
      <w:r>
        <w:rPr>
          <w:rStyle w:val="normaltextrun"/>
          <w:rFonts w:ascii="Arial" w:hAnsi="Arial" w:cs="Arial"/>
          <w:sz w:val="22"/>
          <w:szCs w:val="22"/>
        </w:rPr>
        <w:t>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más relevante (desde el punto de vista presupuestal, o impacto social, o mayor complejidad técnica)». </w:t>
      </w:r>
      <w:r>
        <w:rPr>
          <w:rStyle w:val="eop"/>
          <w:rFonts w:ascii="Arial" w:hAnsi="Arial" w:cs="Arial"/>
          <w:sz w:val="22"/>
          <w:szCs w:val="22"/>
        </w:rPr>
        <w:t> </w:t>
      </w:r>
    </w:p>
    <w:p w14:paraId="1B287389" w14:textId="77777777" w:rsidR="00B279E0" w:rsidRDefault="00A56629" w:rsidP="00B279E0">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sz w:val="22"/>
          <w:szCs w:val="22"/>
        </w:rPr>
        <w:t>Según esta regla, la entidad debe configurar la experiencia exigible combinando la Matriz 1 de los documentos tipo de agua potable y saneamiento básico con la de los documentos tipo de infraestructura de transporte, de tal manera que el requisito de experiencia adicional a exigirse en virtud del artículo 4 de las Resoluciones No. 248 y 249 de 2020, estará determinado por esta última. Para esto es necesario tener como referente la regla 6 de la «Matriz 1 – Experiencia» de los pliegos tipo de agua potable, así como la nota de la matriz.</w:t>
      </w:r>
      <w:r>
        <w:rPr>
          <w:rStyle w:val="eop"/>
          <w:rFonts w:ascii="Arial" w:hAnsi="Arial" w:cs="Arial"/>
          <w:sz w:val="22"/>
          <w:szCs w:val="22"/>
        </w:rPr>
        <w:t> </w:t>
      </w:r>
    </w:p>
    <w:p w14:paraId="79238B1D" w14:textId="7336DF7B" w:rsidR="00ED210E" w:rsidRPr="00B279E0" w:rsidRDefault="00A56629" w:rsidP="00B279E0">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sz w:val="22"/>
          <w:szCs w:val="22"/>
        </w:rPr>
        <w:t xml:space="preserve">Por tanto, las reglas de combinación de experiencia entre las matrices de agua potable y de infraestructura de transporte son jurídicamente relevantes cuando se cumple con alguno de los criterios dispuestos en el artículo 5 de las Resoluciones No. 248 y 249 de 2020. De lo contrario, si la entidad contratante determina que deben aplicarse los documentos tipo de infraestructura de transporte, le corresponderá estarse a lo dispuesto </w:t>
      </w:r>
      <w:r>
        <w:rPr>
          <w:rStyle w:val="normaltextrun"/>
          <w:rFonts w:ascii="Arial" w:hAnsi="Arial" w:cs="Arial"/>
          <w:sz w:val="22"/>
          <w:szCs w:val="22"/>
        </w:rPr>
        <w:lastRenderedPageBreak/>
        <w:t>en el artículo 4 de la Resolución No. 240 de 2020, en lo relativo a la intervención de la infraestructura de agua potable o saneamiento básico.</w:t>
      </w:r>
      <w:r>
        <w:rPr>
          <w:rStyle w:val="eop"/>
          <w:rFonts w:ascii="Arial" w:hAnsi="Arial" w:cs="Arial"/>
          <w:sz w:val="22"/>
          <w:szCs w:val="22"/>
        </w:rPr>
        <w:t> </w:t>
      </w:r>
    </w:p>
    <w:p w14:paraId="56169DDF" w14:textId="6987B3FF" w:rsidR="00490891" w:rsidRDefault="00490891" w:rsidP="00B279E0">
      <w:pPr>
        <w:spacing w:after="0" w:line="276" w:lineRule="auto"/>
        <w:ind w:firstLine="708"/>
        <w:jc w:val="both"/>
        <w:rPr>
          <w:rFonts w:ascii="Arial" w:eastAsia="Calibri" w:hAnsi="Arial" w:cs="Arial"/>
        </w:rPr>
      </w:pPr>
      <w:r>
        <w:rPr>
          <w:rFonts w:ascii="Arial" w:eastAsia="Calibri" w:hAnsi="Arial" w:cs="Arial"/>
        </w:rPr>
        <w:t xml:space="preserve">Ahora bien, corresponderá a la entidad establecer y determinar cuál es la actividad a contratar, o la combinación de estas, que hacen parte de la </w:t>
      </w:r>
      <w:r w:rsidR="00261E14">
        <w:rPr>
          <w:rFonts w:ascii="Arial" w:eastAsia="Calibri" w:hAnsi="Arial" w:cs="Arial"/>
        </w:rPr>
        <w:t>«</w:t>
      </w:r>
      <w:r>
        <w:rPr>
          <w:rFonts w:ascii="Arial" w:eastAsia="Calibri" w:hAnsi="Arial" w:cs="Arial"/>
        </w:rPr>
        <w:t>Matriz 1 – Experiencia</w:t>
      </w:r>
      <w:r w:rsidR="00261E14">
        <w:rPr>
          <w:rFonts w:ascii="Arial" w:eastAsia="Calibri" w:hAnsi="Arial" w:cs="Arial"/>
        </w:rPr>
        <w:t>»</w:t>
      </w:r>
      <w:r>
        <w:rPr>
          <w:rFonts w:ascii="Arial" w:eastAsia="Calibri" w:hAnsi="Arial" w:cs="Arial"/>
        </w:rPr>
        <w:t xml:space="preserve"> teniendo en consideración el alcance del proceso de contratación. </w:t>
      </w:r>
    </w:p>
    <w:p w14:paraId="46A54225" w14:textId="77777777" w:rsidR="00C90582" w:rsidRPr="009A4A28" w:rsidRDefault="00C90582" w:rsidP="00B279E0">
      <w:pPr>
        <w:autoSpaceDE w:val="0"/>
        <w:autoSpaceDN w:val="0"/>
        <w:adjustRightInd w:val="0"/>
        <w:spacing w:after="120" w:line="276" w:lineRule="auto"/>
        <w:jc w:val="both"/>
        <w:rPr>
          <w:rFonts w:ascii="Arial" w:eastAsia="Calibri" w:hAnsi="Arial" w:cs="Arial"/>
        </w:rPr>
      </w:pPr>
    </w:p>
    <w:p w14:paraId="1ADAB6FF" w14:textId="0374DBFA" w:rsidR="00117FBF" w:rsidRDefault="00657188" w:rsidP="00117FBF">
      <w:pPr>
        <w:spacing w:line="276" w:lineRule="auto"/>
        <w:jc w:val="both"/>
        <w:rPr>
          <w:rFonts w:ascii="Arial" w:eastAsia="Calibri" w:hAnsi="Arial" w:cs="Arial"/>
        </w:rPr>
      </w:pPr>
      <w:r w:rsidRPr="009A4A28">
        <w:rPr>
          <w:rFonts w:ascii="Arial" w:eastAsia="Calibri" w:hAnsi="Arial" w:cs="Arial"/>
        </w:rPr>
        <w:t>Este concepto tiene el alcance previsto en el artículo 28 del Código de Procedimiento Administrativo y de lo Contencioso Administrativo.</w:t>
      </w:r>
    </w:p>
    <w:p w14:paraId="4FD70BF6" w14:textId="77777777" w:rsidR="00117FBF" w:rsidRDefault="00117FBF" w:rsidP="00117FBF">
      <w:pPr>
        <w:spacing w:line="276" w:lineRule="auto"/>
        <w:jc w:val="both"/>
        <w:rPr>
          <w:rFonts w:ascii="Arial" w:hAnsi="Arial" w:cs="Arial"/>
          <w:lang w:eastAsia="es-CO"/>
        </w:rPr>
      </w:pPr>
      <w:bookmarkStart w:id="11" w:name="_Hlk50986665"/>
      <w:bookmarkStart w:id="12" w:name="_Hlk55258198"/>
    </w:p>
    <w:p w14:paraId="48EA6A68" w14:textId="3527B853" w:rsidR="00657188" w:rsidRPr="00117FBF" w:rsidRDefault="00657188" w:rsidP="00117FBF">
      <w:pPr>
        <w:spacing w:line="276" w:lineRule="auto"/>
        <w:jc w:val="both"/>
        <w:rPr>
          <w:rFonts w:ascii="Arial" w:eastAsia="Calibri" w:hAnsi="Arial" w:cs="Arial"/>
        </w:rPr>
      </w:pPr>
      <w:r>
        <w:rPr>
          <w:rFonts w:ascii="Arial" w:hAnsi="Arial" w:cs="Arial"/>
          <w:lang w:eastAsia="es-CO"/>
        </w:rPr>
        <w:t>Atentamente,</w:t>
      </w:r>
    </w:p>
    <w:bookmarkEnd w:id="0"/>
    <w:bookmarkEnd w:id="1"/>
    <w:bookmarkEnd w:id="3"/>
    <w:bookmarkEnd w:id="11"/>
    <w:bookmarkEnd w:id="12"/>
    <w:p w14:paraId="38EA7201" w14:textId="56827A72" w:rsidR="00117FBF" w:rsidRPr="00991B59" w:rsidRDefault="002521BB" w:rsidP="00991B59">
      <w:pPr>
        <w:jc w:val="center"/>
        <w:rPr>
          <w:rFonts w:ascii="Arial" w:hAnsi="Arial" w:cs="Arial"/>
          <w:lang w:val="es-ES" w:eastAsia="es-CO"/>
        </w:rPr>
      </w:pPr>
      <w:r>
        <w:rPr>
          <w:rFonts w:ascii="Arial" w:hAnsi="Arial" w:cs="Arial"/>
          <w:noProof/>
          <w:lang w:val="es-ES" w:eastAsia="es-CO"/>
        </w:rPr>
        <w:drawing>
          <wp:inline distT="0" distB="0" distL="0" distR="0" wp14:anchorId="66A0430D" wp14:editId="2D39292F">
            <wp:extent cx="2534004" cy="981212"/>
            <wp:effectExtent l="0" t="0" r="0" b="952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17FBF" w:rsidRPr="00946E02" w14:paraId="6F4513D0" w14:textId="77777777" w:rsidTr="00221539">
        <w:trPr>
          <w:trHeight w:val="315"/>
        </w:trPr>
        <w:tc>
          <w:tcPr>
            <w:tcW w:w="812" w:type="dxa"/>
            <w:vAlign w:val="center"/>
            <w:hideMark/>
          </w:tcPr>
          <w:p w14:paraId="1524547A" w14:textId="77777777" w:rsidR="00117FBF" w:rsidRPr="00946E02" w:rsidRDefault="00117FBF" w:rsidP="00221539">
            <w:pPr>
              <w:rPr>
                <w:rFonts w:ascii="Arial" w:hAnsi="Arial" w:cs="Arial"/>
                <w:sz w:val="16"/>
                <w:szCs w:val="16"/>
                <w:lang w:val="es-ES" w:eastAsia="es-ES"/>
              </w:rPr>
            </w:pPr>
            <w:r w:rsidRPr="00946E02">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DC98412" w14:textId="77777777" w:rsidR="00117FBF" w:rsidRPr="00946E02" w:rsidRDefault="00117FBF" w:rsidP="00221539">
            <w:pPr>
              <w:rPr>
                <w:rFonts w:ascii="Arial" w:hAnsi="Arial" w:cs="Arial"/>
                <w:sz w:val="16"/>
                <w:szCs w:val="16"/>
                <w:lang w:val="es-ES" w:eastAsia="es-ES"/>
              </w:rPr>
            </w:pPr>
            <w:r>
              <w:rPr>
                <w:rFonts w:ascii="Arial" w:hAnsi="Arial" w:cs="Arial"/>
                <w:sz w:val="16"/>
                <w:szCs w:val="16"/>
                <w:lang w:val="es-ES" w:eastAsia="es-ES"/>
              </w:rPr>
              <w:t xml:space="preserve">Kevin </w:t>
            </w:r>
            <w:proofErr w:type="spellStart"/>
            <w:r>
              <w:rPr>
                <w:rFonts w:ascii="Arial" w:hAnsi="Arial" w:cs="Arial"/>
                <w:sz w:val="16"/>
                <w:szCs w:val="16"/>
                <w:lang w:val="es-ES" w:eastAsia="es-ES"/>
              </w:rPr>
              <w:t>Arlid</w:t>
            </w:r>
            <w:proofErr w:type="spellEnd"/>
            <w:r>
              <w:rPr>
                <w:rFonts w:ascii="Arial" w:hAnsi="Arial" w:cs="Arial"/>
                <w:sz w:val="16"/>
                <w:szCs w:val="16"/>
                <w:lang w:val="es-ES" w:eastAsia="es-ES"/>
              </w:rPr>
              <w:t xml:space="preserve"> Herrera Santa</w:t>
            </w:r>
          </w:p>
          <w:p w14:paraId="26DC5F69" w14:textId="77777777" w:rsidR="00117FBF" w:rsidRPr="00946E02" w:rsidRDefault="00117FBF" w:rsidP="00221539">
            <w:pPr>
              <w:rPr>
                <w:rFonts w:ascii="Arial" w:hAnsi="Arial" w:cs="Arial"/>
                <w:sz w:val="16"/>
                <w:szCs w:val="16"/>
                <w:lang w:val="es-ES" w:eastAsia="es-ES"/>
              </w:rPr>
            </w:pPr>
            <w:r>
              <w:rPr>
                <w:rFonts w:ascii="Arial" w:hAnsi="Arial" w:cs="Arial"/>
                <w:sz w:val="16"/>
                <w:szCs w:val="16"/>
                <w:lang w:val="es-ES" w:eastAsia="es-ES"/>
              </w:rPr>
              <w:t>Analista T2-04</w:t>
            </w:r>
            <w:r w:rsidRPr="00946E02">
              <w:rPr>
                <w:rFonts w:ascii="Arial" w:hAnsi="Arial" w:cs="Arial"/>
                <w:sz w:val="16"/>
                <w:szCs w:val="16"/>
                <w:lang w:val="es-ES" w:eastAsia="es-ES"/>
              </w:rPr>
              <w:t xml:space="preserve"> de la Subdirección de Gestión Contractual</w:t>
            </w:r>
          </w:p>
        </w:tc>
      </w:tr>
      <w:tr w:rsidR="00117FBF" w:rsidRPr="00946E02" w14:paraId="52D45C92" w14:textId="77777777" w:rsidTr="00221539">
        <w:trPr>
          <w:trHeight w:val="330"/>
        </w:trPr>
        <w:tc>
          <w:tcPr>
            <w:tcW w:w="812" w:type="dxa"/>
            <w:vAlign w:val="center"/>
            <w:hideMark/>
          </w:tcPr>
          <w:p w14:paraId="4815F624" w14:textId="77777777" w:rsidR="00117FBF" w:rsidRPr="00946E02" w:rsidRDefault="00117FBF" w:rsidP="00221539">
            <w:pPr>
              <w:rPr>
                <w:rFonts w:ascii="Arial" w:hAnsi="Arial" w:cs="Arial"/>
                <w:sz w:val="16"/>
                <w:szCs w:val="16"/>
                <w:lang w:val="es-ES" w:eastAsia="es-ES"/>
              </w:rPr>
            </w:pPr>
            <w:r w:rsidRPr="00946E02">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90AC5B" w14:textId="7475B5C9" w:rsidR="00117FBF" w:rsidRPr="00946E02" w:rsidRDefault="00117FBF" w:rsidP="00221539">
            <w:pPr>
              <w:rPr>
                <w:rFonts w:ascii="Arial" w:hAnsi="Arial" w:cs="Arial"/>
                <w:sz w:val="16"/>
                <w:szCs w:val="16"/>
                <w:lang w:val="es-ES" w:eastAsia="es-ES"/>
              </w:rPr>
            </w:pPr>
            <w:r>
              <w:rPr>
                <w:rFonts w:ascii="Arial" w:hAnsi="Arial" w:cs="Arial"/>
                <w:sz w:val="16"/>
                <w:szCs w:val="16"/>
                <w:lang w:val="es-ES" w:eastAsia="es-ES"/>
              </w:rPr>
              <w:t xml:space="preserve">Juan David Montoya </w:t>
            </w:r>
            <w:r w:rsidR="00991B59">
              <w:rPr>
                <w:rFonts w:ascii="Arial" w:hAnsi="Arial" w:cs="Arial"/>
                <w:sz w:val="16"/>
                <w:szCs w:val="16"/>
                <w:lang w:val="es-ES" w:eastAsia="es-ES"/>
              </w:rPr>
              <w:t>Penagos</w:t>
            </w:r>
          </w:p>
          <w:p w14:paraId="0230DA68" w14:textId="77777777" w:rsidR="00117FBF" w:rsidRPr="00946E02" w:rsidRDefault="00117FBF" w:rsidP="00221539">
            <w:pPr>
              <w:rPr>
                <w:rFonts w:ascii="Arial" w:hAnsi="Arial" w:cs="Arial"/>
                <w:sz w:val="16"/>
                <w:szCs w:val="16"/>
                <w:lang w:val="es-ES" w:eastAsia="es-ES"/>
              </w:rPr>
            </w:pPr>
            <w:r>
              <w:rPr>
                <w:rFonts w:ascii="Arial" w:hAnsi="Arial" w:cs="Arial"/>
                <w:sz w:val="16"/>
                <w:szCs w:val="16"/>
                <w:lang w:val="es-ES" w:eastAsia="es-ES"/>
              </w:rPr>
              <w:t xml:space="preserve">Gestor T1-15 </w:t>
            </w:r>
            <w:r w:rsidRPr="00946E02">
              <w:rPr>
                <w:rFonts w:ascii="Arial" w:hAnsi="Arial" w:cs="Arial"/>
                <w:sz w:val="16"/>
                <w:szCs w:val="16"/>
                <w:lang w:val="es-ES" w:eastAsia="es-ES"/>
              </w:rPr>
              <w:t xml:space="preserve">de la Subdirección de Gestión Contractual </w:t>
            </w:r>
          </w:p>
          <w:p w14:paraId="273775DD" w14:textId="77777777" w:rsidR="00117FBF" w:rsidRPr="00946E02" w:rsidRDefault="00117FBF" w:rsidP="00221539">
            <w:pPr>
              <w:rPr>
                <w:rFonts w:ascii="Arial" w:hAnsi="Arial" w:cs="Arial"/>
                <w:sz w:val="16"/>
                <w:szCs w:val="16"/>
                <w:lang w:val="es-ES" w:eastAsia="es-ES"/>
              </w:rPr>
            </w:pPr>
            <w:proofErr w:type="spellStart"/>
            <w:r w:rsidRPr="00946E02">
              <w:rPr>
                <w:rFonts w:ascii="Arial" w:hAnsi="Arial" w:cs="Arial"/>
                <w:sz w:val="16"/>
                <w:szCs w:val="16"/>
                <w:lang w:val="es-ES" w:eastAsia="es-ES"/>
              </w:rPr>
              <w:t>Karlo</w:t>
            </w:r>
            <w:proofErr w:type="spellEnd"/>
            <w:r w:rsidRPr="00946E02">
              <w:rPr>
                <w:rFonts w:ascii="Arial" w:hAnsi="Arial" w:cs="Arial"/>
                <w:sz w:val="16"/>
                <w:szCs w:val="16"/>
                <w:lang w:val="es-ES" w:eastAsia="es-ES"/>
              </w:rPr>
              <w:t xml:space="preserve"> Fernández Cala</w:t>
            </w:r>
          </w:p>
          <w:p w14:paraId="15B16DF7" w14:textId="77777777" w:rsidR="00117FBF" w:rsidRPr="00946E02" w:rsidRDefault="00117FBF" w:rsidP="00221539">
            <w:pPr>
              <w:rPr>
                <w:rFonts w:ascii="Arial" w:hAnsi="Arial" w:cs="Arial"/>
                <w:sz w:val="16"/>
                <w:szCs w:val="16"/>
                <w:lang w:val="es-ES" w:eastAsia="es-ES"/>
              </w:rPr>
            </w:pPr>
            <w:r w:rsidRPr="00946E02">
              <w:rPr>
                <w:rFonts w:ascii="Arial" w:hAnsi="Arial" w:cs="Arial"/>
                <w:sz w:val="16"/>
                <w:szCs w:val="16"/>
                <w:lang w:val="es-ES" w:eastAsia="es-ES"/>
              </w:rPr>
              <w:t>Gestor T1-15 de la Dirección General</w:t>
            </w:r>
          </w:p>
        </w:tc>
      </w:tr>
      <w:tr w:rsidR="00117FBF" w:rsidRPr="00C00312" w14:paraId="0AB9ECDB" w14:textId="77777777" w:rsidTr="00221539">
        <w:trPr>
          <w:trHeight w:val="300"/>
        </w:trPr>
        <w:tc>
          <w:tcPr>
            <w:tcW w:w="812" w:type="dxa"/>
            <w:vAlign w:val="center"/>
            <w:hideMark/>
          </w:tcPr>
          <w:p w14:paraId="37F01D96" w14:textId="77777777" w:rsidR="00117FBF" w:rsidRPr="00946E02" w:rsidRDefault="00117FBF" w:rsidP="00221539">
            <w:pPr>
              <w:rPr>
                <w:rFonts w:ascii="Arial" w:hAnsi="Arial" w:cs="Arial"/>
                <w:sz w:val="16"/>
                <w:szCs w:val="16"/>
                <w:lang w:val="es-ES" w:eastAsia="es-ES"/>
              </w:rPr>
            </w:pPr>
            <w:r w:rsidRPr="00946E02">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ABE773" w14:textId="77777777" w:rsidR="00117FBF" w:rsidRPr="00946E02" w:rsidRDefault="00117FBF" w:rsidP="00221539">
            <w:pPr>
              <w:rPr>
                <w:rFonts w:ascii="Arial" w:hAnsi="Arial" w:cs="Arial"/>
                <w:sz w:val="16"/>
                <w:szCs w:val="16"/>
                <w:lang w:val="es-ES" w:eastAsia="es-ES"/>
              </w:rPr>
            </w:pPr>
            <w:r w:rsidRPr="00946E02">
              <w:rPr>
                <w:rFonts w:ascii="Arial" w:hAnsi="Arial" w:cs="Arial"/>
                <w:sz w:val="16"/>
                <w:szCs w:val="16"/>
                <w:lang w:val="es-ES" w:eastAsia="es-ES"/>
              </w:rPr>
              <w:t>J</w:t>
            </w:r>
            <w:r>
              <w:rPr>
                <w:rFonts w:ascii="Arial" w:hAnsi="Arial" w:cs="Arial"/>
                <w:sz w:val="16"/>
                <w:szCs w:val="16"/>
                <w:lang w:val="es-ES" w:eastAsia="es-ES"/>
              </w:rPr>
              <w:t>uan David Marín López</w:t>
            </w:r>
          </w:p>
          <w:p w14:paraId="0ADAE618" w14:textId="77777777" w:rsidR="00117FBF" w:rsidRPr="00C00312" w:rsidRDefault="00117FBF" w:rsidP="00221539">
            <w:pPr>
              <w:rPr>
                <w:rFonts w:ascii="Arial" w:hAnsi="Arial" w:cs="Arial"/>
                <w:sz w:val="16"/>
                <w:szCs w:val="16"/>
                <w:lang w:val="es-ES" w:eastAsia="es-ES"/>
              </w:rPr>
            </w:pPr>
            <w:r w:rsidRPr="00946E02">
              <w:rPr>
                <w:rFonts w:ascii="Arial" w:hAnsi="Arial" w:cs="Arial"/>
                <w:sz w:val="16"/>
                <w:szCs w:val="16"/>
                <w:lang w:val="es-ES" w:eastAsia="es-ES"/>
              </w:rPr>
              <w:t>Subdirector de Gestión Contractual</w:t>
            </w:r>
            <w:r>
              <w:rPr>
                <w:rFonts w:ascii="Arial" w:hAnsi="Arial" w:cs="Arial"/>
                <w:sz w:val="16"/>
                <w:szCs w:val="16"/>
                <w:lang w:val="es-ES" w:eastAsia="es-ES"/>
              </w:rPr>
              <w:t xml:space="preserve"> (E)</w:t>
            </w:r>
            <w:r w:rsidRPr="00946E02">
              <w:rPr>
                <w:rFonts w:ascii="Arial" w:hAnsi="Arial" w:cs="Arial"/>
                <w:sz w:val="16"/>
                <w:szCs w:val="16"/>
                <w:lang w:val="es-ES" w:eastAsia="es-ES"/>
              </w:rPr>
              <w:t xml:space="preserve"> ANCP – CCE</w:t>
            </w:r>
          </w:p>
        </w:tc>
      </w:tr>
      <w:bookmarkEnd w:id="2"/>
    </w:tbl>
    <w:p w14:paraId="40B81C4D" w14:textId="77777777" w:rsidR="00560F36" w:rsidRPr="00657188" w:rsidRDefault="00560F36"/>
    <w:sectPr w:rsidR="00560F36" w:rsidRPr="00657188"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05F9" w14:textId="77777777" w:rsidR="00547BFA" w:rsidRDefault="00547BFA" w:rsidP="00C94306">
      <w:pPr>
        <w:spacing w:after="0" w:line="240" w:lineRule="auto"/>
      </w:pPr>
      <w:r>
        <w:separator/>
      </w:r>
    </w:p>
  </w:endnote>
  <w:endnote w:type="continuationSeparator" w:id="0">
    <w:p w14:paraId="29DB06E3" w14:textId="77777777" w:rsidR="00547BFA" w:rsidRDefault="00547BFA" w:rsidP="00C9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856" w14:textId="77777777" w:rsidR="00E70851" w:rsidRDefault="00620317" w:rsidP="007B0854">
    <w:pPr>
      <w:pStyle w:val="Sinespaciado"/>
      <w:jc w:val="center"/>
      <w:rPr>
        <w:rFonts w:ascii="Arial" w:hAnsi="Arial" w:cs="Arial"/>
        <w:sz w:val="18"/>
        <w:szCs w:val="18"/>
      </w:rPr>
    </w:pPr>
  </w:p>
  <w:p w14:paraId="232DA6CF" w14:textId="77777777" w:rsidR="00E70851" w:rsidRPr="009D1356" w:rsidRDefault="00181D8D" w:rsidP="005A79FE">
    <w:pPr>
      <w:pStyle w:val="Piedepgina"/>
      <w:jc w:val="right"/>
      <w:rPr>
        <w:rFonts w:ascii="Arial" w:hAnsi="Arial" w:cs="Arial"/>
        <w:color w:val="7F7F7F"/>
        <w:sz w:val="16"/>
        <w:szCs w:val="16"/>
      </w:rPr>
    </w:pPr>
    <w:r w:rsidRPr="009D1356">
      <w:rPr>
        <w:rFonts w:ascii="Arial" w:hAnsi="Arial" w:cs="Arial"/>
        <w:bCs/>
        <w:color w:val="7F7F7F"/>
        <w:sz w:val="16"/>
        <w:szCs w:val="16"/>
      </w:rPr>
      <w:t xml:space="preserve">Página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PAGE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w:t>
    </w:r>
    <w:r w:rsidRPr="009D1356">
      <w:rPr>
        <w:rFonts w:ascii="Arial" w:hAnsi="Arial" w:cs="Arial"/>
        <w:b/>
        <w:bCs/>
        <w:color w:val="7F7F7F"/>
        <w:sz w:val="16"/>
        <w:szCs w:val="16"/>
      </w:rPr>
      <w:fldChar w:fldCharType="end"/>
    </w:r>
    <w:r w:rsidRPr="009D1356">
      <w:rPr>
        <w:rFonts w:ascii="Arial" w:hAnsi="Arial" w:cs="Arial"/>
        <w:color w:val="7F7F7F"/>
        <w:sz w:val="16"/>
        <w:szCs w:val="16"/>
      </w:rPr>
      <w:t xml:space="preserve"> de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NUMPAGES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10</w:t>
    </w:r>
    <w:r w:rsidRPr="009D1356">
      <w:rPr>
        <w:rFonts w:ascii="Arial" w:hAnsi="Arial" w:cs="Arial"/>
        <w:b/>
        <w:bCs/>
        <w:color w:val="7F7F7F"/>
        <w:sz w:val="16"/>
        <w:szCs w:val="16"/>
      </w:rPr>
      <w:fldChar w:fldCharType="end"/>
    </w:r>
  </w:p>
  <w:p w14:paraId="29650554" w14:textId="77777777" w:rsidR="00E70851" w:rsidRDefault="00181D8D" w:rsidP="007B0854">
    <w:pPr>
      <w:pStyle w:val="Piedepgina"/>
      <w:jc w:val="center"/>
      <w:rPr>
        <w:lang w:val="es-ES"/>
      </w:rPr>
    </w:pPr>
    <w:r>
      <w:rPr>
        <w:noProof/>
      </w:rPr>
      <w:drawing>
        <wp:inline distT="0" distB="0" distL="0" distR="0" wp14:anchorId="402F7AED" wp14:editId="788B9C4D">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238A2ED9" w14:textId="77777777" w:rsidR="00E70851" w:rsidRPr="007B0854" w:rsidRDefault="0062031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2621" w14:textId="77777777" w:rsidR="00547BFA" w:rsidRDefault="00547BFA" w:rsidP="00C94306">
      <w:pPr>
        <w:spacing w:after="0" w:line="240" w:lineRule="auto"/>
      </w:pPr>
      <w:r>
        <w:separator/>
      </w:r>
    </w:p>
  </w:footnote>
  <w:footnote w:type="continuationSeparator" w:id="0">
    <w:p w14:paraId="174B5A8C" w14:textId="77777777" w:rsidR="00547BFA" w:rsidRDefault="00547BFA" w:rsidP="00C94306">
      <w:pPr>
        <w:spacing w:after="0" w:line="240" w:lineRule="auto"/>
      </w:pPr>
      <w:r>
        <w:continuationSeparator/>
      </w:r>
    </w:p>
  </w:footnote>
  <w:footnote w:id="1">
    <w:p w14:paraId="7F3E3675" w14:textId="77777777" w:rsidR="00C57ED7" w:rsidRDefault="00C57ED7" w:rsidP="00C57ED7">
      <w:pPr>
        <w:pStyle w:val="Textonotapie"/>
        <w:ind w:firstLine="708"/>
        <w:jc w:val="both"/>
        <w:rPr>
          <w:rFonts w:ascii="Arial" w:hAnsi="Arial" w:cs="Arial"/>
          <w:color w:val="000000" w:themeColor="text1"/>
          <w:sz w:val="19"/>
          <w:szCs w:val="19"/>
        </w:rPr>
      </w:pPr>
      <w:r w:rsidRPr="006D71E6">
        <w:rPr>
          <w:rStyle w:val="Refdenotaalpie"/>
          <w:rFonts w:ascii="Arial" w:hAnsi="Arial" w:cs="Arial"/>
          <w:sz w:val="19"/>
          <w:szCs w:val="19"/>
        </w:rPr>
        <w:footnoteRef/>
      </w:r>
      <w:r w:rsidRPr="006D71E6">
        <w:rPr>
          <w:rFonts w:ascii="Arial" w:hAnsi="Arial" w:cs="Arial"/>
          <w:sz w:val="19"/>
          <w:szCs w:val="19"/>
        </w:rPr>
        <w:t xml:space="preserve"> La Agencia también se ha referido a temas relacionados con la aplicación de documentos tipo en los conceptos C-144 del 2 de marzo de 2020, C-143 del 18 de marzo de 2020, C-286 del 26 de mayo de 2020, C-450 del 3 de agosto de 2020, C-643 del 26 de octubre de 2020, C-773 del 14 de enero de 2021, C-789 del 19 de enero de 2021, C-011 del 16 de febrero de 2021, C-031 del 1 de febrero de 2021, C-064 del 8 de marzo de 2021, C-071 del 17 de marzo de 2021, C-083 del 18 de marzo de 2021, C-153 del 20 de abril de 2021, C-157 del 13 de abril de 2021, C-179 del 28 de abril de 2021, C-204 del 6 de mayo de 2021, C-212 del 12 de julio de 2021, C-217 del 14 de mayo de 2021, C-232 del 24 de mayo de 2021, C-263 del 3 de junio de 2021, C-266 del 3 de junio de 2021, C-267 del 2 de junio de 2021, C-268 de 3 de junio de 2021, C-287 del 18 de junio de 2021, C-301 del 16 de junio de 2021, C-304 del 28 de junio de 2021, C-361 del 9 de agosto de 2021, C-370 del 28 de julio de 2021, C-380 del 29 de julio de 2021, C-383 del 2 de agosto de 2021, C-402 del 19 de agosto de 2021, C-405 del 10 de agosto de 2021, C-450 del 31 de agosto de 2021, C-461 del 30 de agosto de 2021, C-464 del 13 de septiembre de 2021, C-470 del 7 de septiembre de 2021, C-471 del 30 de agosto de 2021, C-477 del 6 de septiembre de 2021, C-479 del 9 de septiembre de 2021, C-492 del 14 de septiembre de 2021, C-493 del 14 de septiembre de 2021</w:t>
      </w:r>
      <w:r>
        <w:rPr>
          <w:rFonts w:ascii="Arial" w:hAnsi="Arial" w:cs="Arial"/>
          <w:sz w:val="19"/>
          <w:szCs w:val="19"/>
        </w:rPr>
        <w:t>, C-569 del 12 de octubre de 2021, C-679 del 25 de enero de 2022, C-033 del 7 de marzo de 2022, C-212 del 21 de abril de 2022, C-218 del 22 de abril de 2022 y C-302 del 11 de mayo de 2022.</w:t>
      </w:r>
      <w:r w:rsidRPr="006D71E6">
        <w:rPr>
          <w:rFonts w:ascii="Arial" w:hAnsi="Arial" w:cs="Arial"/>
          <w:sz w:val="19"/>
          <w:szCs w:val="19"/>
        </w:rPr>
        <w:t xml:space="preserve"> Estos y otros conceptos se encuentran disponibles en la página web: </w:t>
      </w:r>
      <w:hyperlink r:id="rId1" w:history="1">
        <w:r w:rsidRPr="00633D7D">
          <w:rPr>
            <w:rStyle w:val="Hipervnculo"/>
            <w:rFonts w:ascii="Arial" w:hAnsi="Arial" w:cs="Arial"/>
            <w:color w:val="000000" w:themeColor="text1"/>
            <w:sz w:val="19"/>
            <w:szCs w:val="19"/>
          </w:rPr>
          <w:t>https://relatoria.colombiacompra.gov.co/</w:t>
        </w:r>
      </w:hyperlink>
      <w:r w:rsidRPr="00633D7D">
        <w:rPr>
          <w:rFonts w:ascii="Arial" w:hAnsi="Arial" w:cs="Arial"/>
          <w:color w:val="000000" w:themeColor="text1"/>
          <w:sz w:val="19"/>
          <w:szCs w:val="19"/>
        </w:rPr>
        <w:t xml:space="preserve"> </w:t>
      </w:r>
    </w:p>
    <w:p w14:paraId="10BC26DC" w14:textId="77777777" w:rsidR="00C57ED7" w:rsidRPr="006D71E6" w:rsidRDefault="00C57ED7" w:rsidP="00C57ED7">
      <w:pPr>
        <w:pStyle w:val="Textonotapie"/>
        <w:ind w:firstLine="708"/>
        <w:jc w:val="both"/>
        <w:rPr>
          <w:rFonts w:ascii="Arial" w:hAnsi="Arial" w:cs="Arial"/>
          <w:sz w:val="19"/>
          <w:szCs w:val="19"/>
        </w:rPr>
      </w:pPr>
    </w:p>
  </w:footnote>
  <w:footnote w:id="2">
    <w:p w14:paraId="57C9896E" w14:textId="77777777" w:rsidR="009B4ADF" w:rsidRPr="00640E20" w:rsidRDefault="009B4ADF" w:rsidP="009B4ADF">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3">
    <w:p w14:paraId="69AA322D" w14:textId="77777777" w:rsidR="009B4ADF" w:rsidRPr="00640E20" w:rsidRDefault="009B4ADF" w:rsidP="009B4ADF">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153D3CC" w14:textId="77777777" w:rsidR="009B4ADF" w:rsidRPr="00640E20" w:rsidRDefault="009B4ADF" w:rsidP="009B4ADF">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47F0FEB8" w14:textId="77777777" w:rsidR="009B4ADF" w:rsidRPr="00640E20" w:rsidRDefault="009B4ADF" w:rsidP="009B4ADF">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4">
    <w:p w14:paraId="0368A8DF" w14:textId="77777777" w:rsidR="009B4ADF" w:rsidRPr="00640E20" w:rsidRDefault="009B4ADF" w:rsidP="009B4ADF">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61232630" w14:textId="77777777" w:rsidR="009B4ADF" w:rsidRPr="00640E20" w:rsidRDefault="009B4ADF" w:rsidP="009B4ADF">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Ley 2022 de 2020: «</w:t>
      </w:r>
      <w:r w:rsidRPr="00A83DE5">
        <w:rPr>
          <w:rStyle w:val="Textoennegrita"/>
          <w:rFonts w:ascii="Arial" w:hAnsi="Arial" w:cs="Arial"/>
          <w:color w:val="000000" w:themeColor="text1"/>
          <w:sz w:val="19"/>
          <w:szCs w:val="19"/>
        </w:rPr>
        <w:t>Artículo 1º.</w:t>
      </w:r>
      <w:r w:rsidRPr="00640E20">
        <w:rPr>
          <w:rFonts w:ascii="Arial" w:hAnsi="Arial" w:cs="Arial"/>
          <w:color w:val="000000" w:themeColor="text1"/>
          <w:sz w:val="19"/>
          <w:szCs w:val="19"/>
        </w:rPr>
        <w:t> Modifíquese el artículo 4º de la Ley 1882 de 2018, el cual quedará así: </w:t>
      </w:r>
    </w:p>
    <w:p w14:paraId="1C7CDB9A" w14:textId="77777777" w:rsidR="009B4ADF" w:rsidRPr="00640E20" w:rsidRDefault="009B4ADF" w:rsidP="009B4ADF">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color w:val="000000" w:themeColor="text1"/>
          <w:sz w:val="19"/>
          <w:szCs w:val="19"/>
        </w:rPr>
        <w:t>»Artículo 4º.</w:t>
      </w:r>
      <w:r w:rsidRPr="00640E20">
        <w:rPr>
          <w:rFonts w:ascii="Arial" w:hAnsi="Arial" w:cs="Arial"/>
          <w:color w:val="000000" w:themeColor="text1"/>
          <w:sz w:val="19"/>
          <w:szCs w:val="19"/>
        </w:rPr>
        <w:t> Adiciónese el siguiente parágrafo al artículo 2º de la Ley 1150 de 2007. </w:t>
      </w:r>
    </w:p>
    <w:p w14:paraId="7D016674" w14:textId="77777777" w:rsidR="009B4ADF" w:rsidRPr="00640E20" w:rsidRDefault="009B4ADF" w:rsidP="009B4ADF">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color w:val="000000" w:themeColor="text1"/>
          <w:sz w:val="19"/>
          <w:szCs w:val="19"/>
        </w:rPr>
        <w:t>»Parágrafo 7º.</w:t>
      </w:r>
      <w:r w:rsidRPr="00640E20">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39C4633B" w14:textId="77777777" w:rsidR="009B4ADF" w:rsidRPr="00640E20" w:rsidRDefault="009B4ADF" w:rsidP="009B4ADF">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E1FA846" w14:textId="77777777" w:rsidR="009B4ADF" w:rsidRPr="00640E20" w:rsidRDefault="009B4ADF" w:rsidP="009B4ADF">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F87571A" w14:textId="77777777" w:rsidR="009B4ADF" w:rsidRPr="00640E20" w:rsidRDefault="009B4ADF" w:rsidP="009B4ADF">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62559D5" w14:textId="77777777" w:rsidR="009B4ADF" w:rsidRPr="00640E20" w:rsidRDefault="009B4ADF" w:rsidP="009B4ADF">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356FA3FA" w14:textId="77777777" w:rsidR="00B85AD7" w:rsidRPr="00673C14" w:rsidRDefault="00B85AD7" w:rsidP="00B85AD7">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Agencia Nacional de Contratación Pública – Colombia Compra Eficiente. Resolución No. 248</w:t>
      </w:r>
      <w:r>
        <w:rPr>
          <w:rFonts w:ascii="Arial" w:hAnsi="Arial" w:cs="Arial"/>
          <w:sz w:val="19"/>
          <w:szCs w:val="19"/>
        </w:rPr>
        <w:t xml:space="preserve"> y 249</w:t>
      </w:r>
      <w:r w:rsidRPr="00673C14">
        <w:rPr>
          <w:rFonts w:ascii="Arial" w:hAnsi="Arial" w:cs="Arial"/>
          <w:sz w:val="19"/>
          <w:szCs w:val="19"/>
        </w:rPr>
        <w:t xml:space="preserve"> de 2020: «Artículo 5. Proyectos que contengan la ejecución de obra pública de infraestructura de transporte. Cuando el objeto contractual incluya actividades de obra pública de infraestructura de transporte y de agua potable y saneamiento básico, la entidad utilizará las siguientes reglas de forma sucesiva y excluyente para definir qué documento tipo debe aplicar: </w:t>
      </w:r>
    </w:p>
    <w:p w14:paraId="16F27C20" w14:textId="77777777" w:rsidR="00B85AD7" w:rsidRPr="00673C14" w:rsidRDefault="00B85AD7" w:rsidP="00B85AD7">
      <w:pPr>
        <w:spacing w:after="0"/>
        <w:ind w:firstLine="708"/>
        <w:jc w:val="both"/>
        <w:rPr>
          <w:rFonts w:ascii="Arial" w:hAnsi="Arial" w:cs="Arial"/>
          <w:sz w:val="19"/>
          <w:szCs w:val="19"/>
        </w:rPr>
      </w:pPr>
      <w:r w:rsidRPr="00673C14">
        <w:rPr>
          <w:rFonts w:ascii="Arial" w:hAnsi="Arial" w:cs="Arial"/>
          <w:sz w:val="19"/>
          <w:szCs w:val="19"/>
        </w:rPr>
        <w:t xml:space="preserve">»1. Si el proceso de contratación requiere autorización del Viceministerio de Agua Potable y Saneamiento Básico, aplicará los documentos tipo para obras de infraestructura de agua potable y saneamiento básico. </w:t>
      </w:r>
    </w:p>
    <w:p w14:paraId="6F9083FB" w14:textId="77777777" w:rsidR="00B85AD7" w:rsidRPr="00673C14" w:rsidRDefault="00B85AD7" w:rsidP="00B85AD7">
      <w:pPr>
        <w:spacing w:after="0"/>
        <w:ind w:firstLine="708"/>
        <w:jc w:val="both"/>
        <w:rPr>
          <w:rFonts w:ascii="Arial" w:hAnsi="Arial" w:cs="Arial"/>
          <w:sz w:val="19"/>
          <w:szCs w:val="19"/>
        </w:rPr>
      </w:pPr>
      <w:r w:rsidRPr="00673C14">
        <w:rPr>
          <w:rFonts w:ascii="Arial" w:hAnsi="Arial" w:cs="Arial"/>
          <w:sz w:val="19"/>
          <w:szCs w:val="19"/>
        </w:rPr>
        <w:t xml:space="preserve">»2. La entidad definirá qué documento tipo debe aplicar dependiendo de la relevancia técnica del proyecto, impacto o el valor que representa en el presupuesto oficial. </w:t>
      </w:r>
    </w:p>
    <w:p w14:paraId="16242268" w14:textId="77777777" w:rsidR="00B85AD7" w:rsidRPr="008022E3" w:rsidRDefault="00B85AD7" w:rsidP="00B85AD7">
      <w:pPr>
        <w:spacing w:after="0"/>
        <w:ind w:firstLine="708"/>
        <w:jc w:val="both"/>
        <w:rPr>
          <w:rFonts w:ascii="Arial" w:hAnsi="Arial" w:cs="Arial"/>
          <w:sz w:val="19"/>
          <w:szCs w:val="19"/>
        </w:rPr>
      </w:pPr>
      <w:r w:rsidRPr="00673C14">
        <w:rPr>
          <w:rFonts w:ascii="Arial" w:hAnsi="Arial" w:cs="Arial"/>
          <w:sz w:val="19"/>
          <w:szCs w:val="19"/>
        </w:rPr>
        <w:t>»Parágrafo: La entidad justificará en el estudio previo los motivos técnicos que soportan la escogencia de un determinado documento tipo».</w:t>
      </w:r>
    </w:p>
    <w:p w14:paraId="0348AAC1" w14:textId="77777777" w:rsidR="00B85AD7" w:rsidRPr="00673C14" w:rsidRDefault="00B85AD7" w:rsidP="00B85AD7">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7">
    <w:p w14:paraId="15CB5FB8" w14:textId="77777777" w:rsidR="00B85AD7" w:rsidRPr="00453EE0" w:rsidRDefault="00B85AD7" w:rsidP="00B85AD7">
      <w:pPr>
        <w:pStyle w:val="Textonotapie"/>
        <w:ind w:firstLine="708"/>
        <w:jc w:val="both"/>
        <w:rPr>
          <w:lang w:val="es-ES"/>
        </w:rPr>
      </w:pPr>
      <w:r>
        <w:rPr>
          <w:rStyle w:val="Refdenotaalpie"/>
        </w:rPr>
        <w:footnoteRef/>
      </w:r>
      <w:r>
        <w:t xml:space="preserve"> </w:t>
      </w:r>
      <w:r w:rsidRPr="00453EE0">
        <w:rPr>
          <w:rFonts w:ascii="Arial" w:eastAsia="Times New Roman" w:hAnsi="Arial" w:cs="Arial"/>
          <w:sz w:val="19"/>
          <w:szCs w:val="19"/>
          <w:lang w:val="x-none" w:eastAsia="es-ES"/>
        </w:rPr>
        <w:t>Resolución 248 del 2020: «Artículo 4. Bienes o servicios adicionales a la obra pública de agua</w:t>
      </w:r>
      <w:r>
        <w:rPr>
          <w:rFonts w:ascii="Arial" w:eastAsia="Times New Roman" w:hAnsi="Arial" w:cs="Arial"/>
          <w:sz w:val="19"/>
          <w:szCs w:val="19"/>
          <w:lang w:val="es-ES" w:eastAsia="es-ES"/>
        </w:rPr>
        <w:t xml:space="preserve"> </w:t>
      </w:r>
      <w:r w:rsidRPr="00453EE0">
        <w:rPr>
          <w:rFonts w:ascii="Arial" w:eastAsia="Times New Roman" w:hAnsi="Arial" w:cs="Arial"/>
          <w:sz w:val="19"/>
          <w:szCs w:val="19"/>
          <w:lang w:val="x-none" w:eastAsia="es-ES"/>
        </w:rPr>
        <w:t>potable y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r>
        <w:rPr>
          <w:rFonts w:ascii="Arial" w:eastAsia="Times New Roman" w:hAnsi="Arial" w:cs="Arial"/>
          <w:sz w:val="19"/>
          <w:szCs w:val="19"/>
          <w:lang w:val="x-none" w:eastAsia="es-ES"/>
        </w:rPr>
        <w:t>[</w:t>
      </w:r>
      <w:r>
        <w:rPr>
          <w:rFonts w:ascii="Arial" w:eastAsia="Times New Roman" w:hAnsi="Arial" w:cs="Arial"/>
          <w:sz w:val="19"/>
          <w:szCs w:val="19"/>
          <w:lang w:val="es-ES" w:eastAsia="es-ES"/>
        </w:rPr>
        <w:t>...</w:t>
      </w:r>
      <w:r>
        <w:rPr>
          <w:rFonts w:ascii="Arial" w:eastAsia="Times New Roman" w:hAnsi="Arial" w:cs="Arial"/>
          <w:sz w:val="19"/>
          <w:szCs w:val="19"/>
          <w:lang w:val="x-none" w:eastAsia="es-ES"/>
        </w:rPr>
        <w:t>]»</w:t>
      </w:r>
      <w:r>
        <w:rPr>
          <w:rFonts w:ascii="Arial" w:eastAsia="Times New Roman" w:hAnsi="Arial" w:cs="Arial"/>
          <w:sz w:val="19"/>
          <w:szCs w:val="19"/>
          <w:lang w:val="es-ES" w:eastAsia="es-ES"/>
        </w:rPr>
        <w:t>.</w:t>
      </w:r>
    </w:p>
    <w:p w14:paraId="3623D2C4" w14:textId="77777777" w:rsidR="00B85AD7" w:rsidRPr="00453EE0" w:rsidRDefault="00B85AD7" w:rsidP="00B85AD7">
      <w:pPr>
        <w:pStyle w:val="Textonotapie"/>
        <w:ind w:firstLine="708"/>
        <w:rPr>
          <w:lang w:val="es-ES"/>
        </w:rPr>
      </w:pPr>
    </w:p>
  </w:footnote>
  <w:footnote w:id="8">
    <w:p w14:paraId="1759672C" w14:textId="77777777" w:rsidR="00B85AD7" w:rsidRPr="00673C14" w:rsidRDefault="00B85AD7" w:rsidP="00B85AD7">
      <w:pPr>
        <w:pStyle w:val="InviasNormal"/>
        <w:spacing w:before="0" w:after="0" w:line="276" w:lineRule="auto"/>
        <w:outlineLvl w:val="2"/>
        <w:rPr>
          <w:rFonts w:ascii="Arial" w:eastAsia="Arial" w:hAnsi="Arial" w:cs="Arial"/>
          <w:b/>
          <w:bCs/>
          <w:color w:val="auto"/>
          <w:sz w:val="19"/>
          <w:szCs w:val="19"/>
          <w:lang w:val="es-CO"/>
        </w:rPr>
      </w:pPr>
      <w:r w:rsidRPr="00673C14">
        <w:rPr>
          <w:rFonts w:ascii="Arial" w:hAnsi="Arial" w:cs="Arial"/>
          <w:sz w:val="19"/>
          <w:szCs w:val="19"/>
        </w:rPr>
        <w:tab/>
      </w:r>
      <w:r w:rsidRPr="008022E3">
        <w:rPr>
          <w:rStyle w:val="Refdenotaalpie"/>
          <w:rFonts w:ascii="Arial" w:hAnsi="Arial" w:cs="Arial"/>
          <w:sz w:val="19"/>
          <w:szCs w:val="19"/>
        </w:rPr>
        <w:footnoteRef/>
      </w:r>
      <w:r w:rsidRPr="00673C14">
        <w:rPr>
          <w:rFonts w:ascii="Arial" w:eastAsiaTheme="majorEastAsia" w:hAnsi="Arial" w:cs="Arial"/>
          <w:b/>
          <w:caps/>
          <w:color w:val="000000" w:themeColor="text1"/>
          <w:sz w:val="19"/>
          <w:szCs w:val="19"/>
          <w:lang w:val="es-MX"/>
        </w:rPr>
        <w:t xml:space="preserve"> «</w:t>
      </w:r>
      <w:r w:rsidRPr="00673C14">
        <w:rPr>
          <w:rFonts w:ascii="Arial" w:hAnsi="Arial" w:cs="Arial"/>
          <w:color w:val="auto"/>
          <w:sz w:val="19"/>
          <w:szCs w:val="19"/>
          <w:lang w:val="es-CO"/>
        </w:rPr>
        <w:t>3.5.1.</w:t>
      </w:r>
      <w:r w:rsidRPr="00673C14">
        <w:rPr>
          <w:rFonts w:ascii="Arial" w:hAnsi="Arial" w:cs="Arial"/>
          <w:b/>
          <w:bCs/>
          <w:color w:val="auto"/>
          <w:sz w:val="19"/>
          <w:szCs w:val="19"/>
          <w:lang w:val="es-CO"/>
        </w:rPr>
        <w:t xml:space="preserve"> </w:t>
      </w:r>
      <w:r w:rsidRPr="00673C14">
        <w:rPr>
          <w:rFonts w:ascii="Arial" w:hAnsi="Arial" w:cs="Arial"/>
          <w:color w:val="auto"/>
          <w:sz w:val="19"/>
          <w:szCs w:val="19"/>
        </w:rPr>
        <w:t>DETERMINACIÓN DE LOS REQUISITOS MÍNIMOS DE EXPERIENCIA SEGÚN LA MATRIZ 1 – EXPERIENCIA</w:t>
      </w:r>
      <w:r w:rsidRPr="00673C14">
        <w:rPr>
          <w:rFonts w:ascii="Arial" w:hAnsi="Arial" w:cs="Arial"/>
          <w:b/>
          <w:bCs/>
          <w:color w:val="auto"/>
          <w:sz w:val="19"/>
          <w:szCs w:val="19"/>
        </w:rPr>
        <w:t xml:space="preserve"> </w:t>
      </w:r>
    </w:p>
    <w:p w14:paraId="5BD7BEC7" w14:textId="77777777" w:rsidR="00B85AD7" w:rsidRPr="00673C14" w:rsidRDefault="00B85AD7" w:rsidP="00B85AD7">
      <w:pPr>
        <w:pStyle w:val="InviasNormal"/>
        <w:spacing w:before="0" w:after="0" w:line="276" w:lineRule="auto"/>
        <w:rPr>
          <w:rFonts w:ascii="Arial" w:hAnsi="Arial" w:cs="Arial"/>
          <w:color w:val="auto"/>
          <w:sz w:val="19"/>
          <w:szCs w:val="19"/>
        </w:rPr>
      </w:pPr>
      <w:r w:rsidRPr="00673C14">
        <w:rPr>
          <w:rFonts w:ascii="Arial" w:hAnsi="Arial" w:cs="Arial"/>
          <w:color w:val="auto"/>
          <w:sz w:val="19"/>
          <w:szCs w:val="19"/>
          <w:lang w:val="es-CO"/>
        </w:rPr>
        <w:tab/>
        <w:t>»</w:t>
      </w:r>
      <w:r w:rsidRPr="00673C14">
        <w:rPr>
          <w:rFonts w:ascii="Arial" w:hAnsi="Arial" w:cs="Arial"/>
          <w:color w:val="auto"/>
          <w:sz w:val="19"/>
          <w:szCs w:val="19"/>
        </w:rPr>
        <w:t xml:space="preserve">La complejidad técnica del proyecto se establece de la siguiente manera, en concordancia con lo previsto en la “Matriz 1 – Experiencia”: </w:t>
      </w:r>
    </w:p>
    <w:p w14:paraId="7EBEB02E" w14:textId="77777777" w:rsidR="00B85AD7" w:rsidRPr="00673C14" w:rsidRDefault="00B85AD7" w:rsidP="00B85AD7">
      <w:pPr>
        <w:pStyle w:val="InviasNormal"/>
        <w:spacing w:before="0" w:after="0"/>
        <w:rPr>
          <w:rFonts w:ascii="Arial" w:hAnsi="Arial" w:cs="Arial"/>
          <w:color w:val="auto"/>
          <w:sz w:val="19"/>
          <w:szCs w:val="19"/>
          <w:highlight w:val="lightGray"/>
          <w:lang w:val="es-CO"/>
        </w:rPr>
      </w:pPr>
      <w:r w:rsidRPr="00673C14">
        <w:rPr>
          <w:rFonts w:ascii="Arial" w:hAnsi="Arial" w:cs="Arial"/>
          <w:color w:val="auto"/>
          <w:sz w:val="19"/>
          <w:szCs w:val="19"/>
          <w:lang w:val="es-CO"/>
        </w:rPr>
        <w:tab/>
        <w:t>»</w:t>
      </w:r>
      <w:r w:rsidRPr="00673C14">
        <w:rPr>
          <w:rFonts w:ascii="Arial" w:hAnsi="Arial" w:cs="Arial"/>
          <w:color w:val="auto"/>
          <w:sz w:val="19"/>
          <w:szCs w:val="19"/>
          <w:highlight w:val="lightGray"/>
          <w:lang w:val="es-CO"/>
        </w:rPr>
        <w:t>[</w:t>
      </w:r>
      <w:r w:rsidRPr="00673C14">
        <w:rPr>
          <w:rFonts w:ascii="Arial" w:hAnsi="Arial" w:cs="Arial"/>
          <w:color w:val="auto"/>
          <w:sz w:val="19"/>
          <w:szCs w:val="19"/>
          <w:highlight w:val="lightGray"/>
        </w:rPr>
        <w:t>La entidad debe indicar en esta sección la forma de análisis y establecimiento de las condiciones de experiencia, tanto general como específica en los casos con que la Matriz 1 – Experiencia, cuente con esta. Asimismo, 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mas relevante (desde el punto de vista presupuestal, o impacto social, o mayor complejidad técnica).</w:t>
      </w:r>
      <w:r w:rsidRPr="00673C14">
        <w:rPr>
          <w:rFonts w:ascii="Arial" w:hAnsi="Arial" w:cs="Arial"/>
          <w:color w:val="auto"/>
          <w:sz w:val="19"/>
          <w:szCs w:val="19"/>
          <w:highlight w:val="lightGray"/>
          <w:lang w:val="es-CO"/>
        </w:rPr>
        <w:t>]».</w:t>
      </w:r>
    </w:p>
    <w:p w14:paraId="7479D762" w14:textId="77777777" w:rsidR="00B85AD7" w:rsidRPr="00673C14" w:rsidRDefault="00B85AD7" w:rsidP="00B85AD7">
      <w:pPr>
        <w:pStyle w:val="Textonotapie"/>
        <w:rPr>
          <w:rFonts w:ascii="Arial" w:hAnsi="Arial" w:cs="Arial"/>
          <w:sz w:val="19"/>
          <w:szCs w:val="19"/>
          <w:lang w:val="es-CO"/>
        </w:rPr>
      </w:pPr>
    </w:p>
  </w:footnote>
  <w:footnote w:id="9">
    <w:p w14:paraId="0148C26B" w14:textId="76AD9387" w:rsidR="00B85AD7" w:rsidRPr="00D77589" w:rsidRDefault="00B85AD7" w:rsidP="00D77589">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007D6FF9" w:rsidRPr="007D6FF9">
        <w:rPr>
          <w:rFonts w:ascii="Arial" w:hAnsi="Arial" w:cs="Arial"/>
          <w:sz w:val="19"/>
          <w:szCs w:val="19"/>
        </w:rPr>
        <w:t>2.1 PROYECTOS DE CONSTRUCCIÓN DE ALCANTARILLADOS SANITARIOS Y/O PLUVIALES Y/O COMBINADO (URBANOS Y/O RURALES) Y/U OBRAS COMPLEMENTARIAS</w:t>
      </w:r>
      <w:r w:rsidRPr="00673C14">
        <w:rPr>
          <w:rFonts w:ascii="Arial" w:eastAsia="Calibri" w:hAnsi="Arial" w:cs="Arial"/>
          <w:sz w:val="19"/>
          <w:szCs w:val="19"/>
        </w:rPr>
        <w:t>»</w:t>
      </w:r>
      <w:r w:rsidR="007D6FF9">
        <w:rPr>
          <w:rFonts w:ascii="Arial" w:eastAsia="Calibri" w:hAnsi="Arial" w:cs="Arial"/>
          <w:sz w:val="19"/>
          <w:szCs w:val="19"/>
        </w:rPr>
        <w:t>, o «</w:t>
      </w:r>
      <w:r w:rsidR="00D77589" w:rsidRPr="00D77589">
        <w:rPr>
          <w:rFonts w:ascii="Arial" w:eastAsia="Calibri" w:hAnsi="Arial" w:cs="Arial"/>
          <w:sz w:val="19"/>
          <w:szCs w:val="19"/>
        </w:rPr>
        <w:t>2.2 PROYECTOS DE OPTIMIZACIÓN Y/O MEJORAMIENTO Y/O REHABILITACIÓN Y/O REFORZAMIENTO Y/O RECONSTRUCCIÓN Y/O REPOSICIÓN DE ALCANTARILLADOS Y/O REDES DE ALCANTARILLADO SANITARIOS Y/O PLUVIALES Y/O COMBINADO (URBANOS Y/O RURALES)</w:t>
      </w:r>
      <w:r w:rsidR="00D77589">
        <w:rPr>
          <w:rFonts w:ascii="Arial" w:eastAsia="Calibri" w:hAnsi="Arial" w:cs="Arial"/>
          <w:sz w:val="19"/>
          <w:szCs w:val="19"/>
        </w:rPr>
        <w:t>»</w:t>
      </w:r>
    </w:p>
    <w:p w14:paraId="5F572111" w14:textId="77777777" w:rsidR="00B85AD7" w:rsidRPr="00673C14" w:rsidRDefault="00B85AD7" w:rsidP="00B85AD7">
      <w:pPr>
        <w:pStyle w:val="Textonotapie"/>
        <w:ind w:firstLine="708"/>
        <w:jc w:val="both"/>
        <w:rPr>
          <w:rFonts w:ascii="Arial" w:hAnsi="Arial" w:cs="Arial"/>
          <w:sz w:val="19"/>
          <w:szCs w:val="19"/>
          <w:lang w:val="es-CO"/>
        </w:rPr>
      </w:pPr>
    </w:p>
  </w:footnote>
  <w:footnote w:id="10">
    <w:p w14:paraId="2C9C6ABC" w14:textId="4FC3152C" w:rsidR="00B85AD7" w:rsidRPr="004F4E5C" w:rsidRDefault="00B85AD7" w:rsidP="0071649E">
      <w:pPr>
        <w:ind w:firstLine="709"/>
        <w:jc w:val="both"/>
        <w:rPr>
          <w:rFonts w:ascii="Arial" w:hAnsi="Arial" w:cs="Arial"/>
          <w:sz w:val="19"/>
          <w:szCs w:val="19"/>
          <w:lang w:val="es-MX"/>
        </w:rPr>
      </w:pPr>
      <w:r w:rsidRPr="008022E3">
        <w:rPr>
          <w:rStyle w:val="Refdenotaalpie"/>
          <w:rFonts w:ascii="Arial" w:hAnsi="Arial" w:cs="Arial"/>
          <w:sz w:val="19"/>
          <w:szCs w:val="19"/>
        </w:rPr>
        <w:footnoteRef/>
      </w:r>
      <w:r w:rsidRPr="008022E3">
        <w:rPr>
          <w:rFonts w:ascii="Arial" w:hAnsi="Arial" w:cs="Arial"/>
          <w:sz w:val="19"/>
          <w:szCs w:val="19"/>
        </w:rPr>
        <w:t xml:space="preserve"> </w:t>
      </w:r>
      <w:r w:rsidR="002206BB">
        <w:rPr>
          <w:rFonts w:ascii="Arial" w:hAnsi="Arial" w:cs="Arial"/>
          <w:sz w:val="19"/>
          <w:szCs w:val="19"/>
        </w:rPr>
        <w:t>«</w:t>
      </w:r>
      <w:r w:rsidR="002206BB" w:rsidRPr="002206BB">
        <w:rPr>
          <w:rFonts w:ascii="Arial" w:hAnsi="Arial" w:cs="Arial"/>
          <w:sz w:val="19"/>
          <w:szCs w:val="19"/>
        </w:rPr>
        <w:t>2.1 PROYECTOS DE CONSTRUCCIÓN DE VÍAS TERCIARIAS</w:t>
      </w:r>
      <w:r w:rsidR="004F4E5C">
        <w:rPr>
          <w:rFonts w:ascii="Arial" w:hAnsi="Arial" w:cs="Arial"/>
          <w:sz w:val="19"/>
          <w:szCs w:val="19"/>
        </w:rPr>
        <w:t>»; «</w:t>
      </w:r>
      <w:r w:rsidR="004F4E5C" w:rsidRPr="004F4E5C">
        <w:rPr>
          <w:rFonts w:ascii="Arial" w:hAnsi="Arial" w:cs="Arial"/>
          <w:sz w:val="19"/>
          <w:szCs w:val="19"/>
          <w:lang w:val="es-MX"/>
        </w:rPr>
        <w:t>2.2 MEJORAMIENTO EN VÍAS TERCIARIAS</w:t>
      </w:r>
      <w:r w:rsidR="004F4E5C">
        <w:rPr>
          <w:rFonts w:ascii="Arial" w:hAnsi="Arial" w:cs="Arial"/>
          <w:sz w:val="19"/>
          <w:szCs w:val="19"/>
          <w:lang w:val="es-MX"/>
        </w:rPr>
        <w:t xml:space="preserve">», o </w:t>
      </w:r>
      <w:r w:rsidR="0062025A">
        <w:rPr>
          <w:rFonts w:ascii="Arial" w:hAnsi="Arial" w:cs="Arial"/>
          <w:sz w:val="19"/>
          <w:szCs w:val="19"/>
          <w:lang w:val="es-MX"/>
        </w:rPr>
        <w:t>«</w:t>
      </w:r>
      <w:r w:rsidR="0062025A" w:rsidRPr="0062025A">
        <w:rPr>
          <w:rFonts w:ascii="Arial" w:hAnsi="Arial" w:cs="Arial"/>
          <w:sz w:val="19"/>
          <w:szCs w:val="19"/>
          <w:lang w:val="es-MX"/>
        </w:rPr>
        <w:t>2.3 MANTENIMIENTO O REHABILITACIÓN EN VÍAS TERCIARIAS</w:t>
      </w:r>
      <w:r w:rsidR="0062025A">
        <w:rPr>
          <w:rFonts w:ascii="Arial" w:hAnsi="Arial" w:cs="Arial"/>
          <w:sz w:val="19"/>
          <w:szCs w:val="19"/>
          <w:lang w:val="es-MX"/>
        </w:rPr>
        <w:t>»</w:t>
      </w:r>
      <w:r w:rsidR="0071649E">
        <w:rPr>
          <w:rFonts w:ascii="Arial" w:hAnsi="Arial" w:cs="Arial"/>
          <w:sz w:val="19"/>
          <w:szCs w:val="19"/>
          <w:lang w:val="es-MX"/>
        </w:rPr>
        <w:t>.</w:t>
      </w:r>
    </w:p>
    <w:p w14:paraId="07B78046" w14:textId="77777777" w:rsidR="00B85AD7" w:rsidRPr="00673C14" w:rsidRDefault="00B85AD7" w:rsidP="00B85AD7">
      <w:pPr>
        <w:pStyle w:val="Textonotapie"/>
        <w:ind w:firstLine="708"/>
        <w:jc w:val="both"/>
        <w:rPr>
          <w:rFonts w:ascii="Arial" w:hAnsi="Arial" w:cs="Arial"/>
          <w:sz w:val="19"/>
          <w:szCs w:val="19"/>
          <w:lang w:val="es-CO"/>
        </w:rPr>
      </w:pPr>
      <w:r w:rsidRPr="00673C14">
        <w:rPr>
          <w:rFonts w:ascii="Arial" w:hAnsi="Arial" w:cs="Arial"/>
          <w:sz w:val="19"/>
          <w:szCs w:val="19"/>
        </w:rPr>
        <w:t xml:space="preserve"> </w:t>
      </w:r>
    </w:p>
  </w:footnote>
  <w:footnote w:id="11">
    <w:p w14:paraId="25C0A5F8" w14:textId="77777777" w:rsidR="00B85AD7" w:rsidRPr="008022E3" w:rsidRDefault="00B85AD7" w:rsidP="00B85AD7">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La posibilidad de diligenciar los apartados resaltados en gris entre corchetes constituye una excepción a la regla inalterabilidad de los documentos tipo, establecida respecto de los documentos tipo de licitación de obra pública de infraestructura de transporte en los artículos 2.2.1.2.6.1.4 del Decreto 1082 de 2015 y 3 de la Resolución No. 240 de 2020, los cuales coinciden en señalar que: «[…] Las entidades estatales contratantes no podrán incluir o modificar dentro de los Documentos del Proceso las condiciones habilitantes, los factores técnicos y económicos de escogencia y los sistemas de ponderación distintos a los señalados en los Documentos Tipo». </w:t>
      </w:r>
    </w:p>
    <w:p w14:paraId="6AABD8D5" w14:textId="77777777" w:rsidR="00B85AD7" w:rsidRPr="00673C14" w:rsidRDefault="00B85AD7" w:rsidP="00B85AD7">
      <w:pPr>
        <w:spacing w:after="0"/>
        <w:ind w:firstLine="708"/>
        <w:jc w:val="both"/>
        <w:rPr>
          <w:rFonts w:ascii="Arial" w:hAnsi="Arial" w:cs="Arial"/>
          <w:sz w:val="19"/>
          <w:szCs w:val="19"/>
        </w:rPr>
      </w:pPr>
      <w:r w:rsidRPr="008022E3">
        <w:rPr>
          <w:rFonts w:ascii="Arial" w:hAnsi="Arial" w:cs="Arial"/>
          <w:sz w:val="19"/>
          <w:szCs w:val="19"/>
        </w:rPr>
        <w:t>El propósito de tal diligenciamiento es que las entidades pu</w:t>
      </w:r>
      <w:r w:rsidRPr="00673C14">
        <w:rPr>
          <w:rFonts w:ascii="Arial" w:hAnsi="Arial" w:cs="Arial"/>
          <w:sz w:val="19"/>
          <w:szCs w:val="19"/>
        </w:rPr>
        <w:t xml:space="preserve">edan adaptar el Documento Base a las particularidades del objeto contractual, conservando los requisitos habilitantes, factores técnicos y económicos de escogencia y sistemas de ponderación estandarizados con la expedición del Documento Base. Conforme a esto, el diligenciamiento de estos espacios debe hacer siguiendo estrictamente las instrucciones establecidas en el Pliego Tipo, en la medida que la regla general es su inalterabilidad. </w:t>
      </w:r>
    </w:p>
    <w:p w14:paraId="5DAA56FE" w14:textId="77777777" w:rsidR="00B85AD7" w:rsidRPr="00673C14" w:rsidRDefault="00B85AD7" w:rsidP="00B85AD7">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12">
    <w:p w14:paraId="6AD83286" w14:textId="77777777" w:rsidR="00B85AD7" w:rsidRPr="00673C14" w:rsidRDefault="00B85AD7" w:rsidP="00B85AD7">
      <w:pPr>
        <w:keepNext/>
        <w:keepLines/>
        <w:numPr>
          <w:ilvl w:val="2"/>
          <w:numId w:val="0"/>
        </w:numPr>
        <w:spacing w:after="0"/>
        <w:ind w:firstLine="708"/>
        <w:jc w:val="both"/>
        <w:outlineLvl w:val="2"/>
        <w:rPr>
          <w:rFonts w:ascii="Arial" w:eastAsiaTheme="majorEastAsia" w:hAnsi="Arial" w:cs="Arial"/>
          <w:b/>
          <w:caps/>
          <w:color w:val="000000" w:themeColor="text1"/>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hAnsi="Arial" w:cs="Arial"/>
          <w:sz w:val="19"/>
          <w:szCs w:val="19"/>
        </w:rPr>
        <w:t>Agencia Nacional de Contratación Pública – Colombia Compra Eficiente. Resoluci</w:t>
      </w:r>
      <w:r>
        <w:rPr>
          <w:rFonts w:ascii="Arial" w:hAnsi="Arial" w:cs="Arial"/>
          <w:sz w:val="19"/>
          <w:szCs w:val="19"/>
        </w:rPr>
        <w:t>ones</w:t>
      </w:r>
      <w:r w:rsidRPr="008022E3">
        <w:rPr>
          <w:rFonts w:ascii="Arial" w:hAnsi="Arial" w:cs="Arial"/>
          <w:sz w:val="19"/>
          <w:szCs w:val="19"/>
        </w:rPr>
        <w:t xml:space="preserve"> No. 24</w:t>
      </w:r>
      <w:r w:rsidRPr="00673C14">
        <w:rPr>
          <w:rFonts w:ascii="Arial" w:hAnsi="Arial" w:cs="Arial"/>
          <w:sz w:val="19"/>
          <w:szCs w:val="19"/>
        </w:rPr>
        <w:t>8</w:t>
      </w:r>
      <w:r>
        <w:rPr>
          <w:rFonts w:ascii="Arial" w:hAnsi="Arial" w:cs="Arial"/>
          <w:sz w:val="19"/>
          <w:szCs w:val="19"/>
        </w:rPr>
        <w:t xml:space="preserve"> y 249</w:t>
      </w:r>
      <w:r w:rsidRPr="00673C14">
        <w:rPr>
          <w:rFonts w:ascii="Arial" w:hAnsi="Arial" w:cs="Arial"/>
          <w:sz w:val="19"/>
          <w:szCs w:val="19"/>
        </w:rPr>
        <w:t xml:space="preserve"> de 2020. Documento Base o Pliego Tipo:</w:t>
      </w:r>
      <w:r w:rsidRPr="00673C14">
        <w:rPr>
          <w:rFonts w:ascii="Arial" w:eastAsiaTheme="majorEastAsia" w:hAnsi="Arial" w:cs="Arial"/>
          <w:b/>
          <w:caps/>
          <w:color w:val="000000" w:themeColor="text1"/>
          <w:sz w:val="19"/>
          <w:szCs w:val="19"/>
        </w:rPr>
        <w:t xml:space="preserve"> «</w:t>
      </w:r>
      <w:r w:rsidRPr="00673C14">
        <w:rPr>
          <w:rFonts w:ascii="Arial" w:eastAsiaTheme="majorEastAsia" w:hAnsi="Arial" w:cs="Arial"/>
          <w:bCs/>
          <w:caps/>
          <w:color w:val="000000" w:themeColor="text1"/>
          <w:sz w:val="19"/>
          <w:szCs w:val="19"/>
        </w:rPr>
        <w:t>3.5.2.CARACTERÍSTICAS DE LOS CONTRATOS PRESENTADOS PARA ACREDITAR LA EXPERIENCIA EXIGIDA</w:t>
      </w:r>
    </w:p>
    <w:p w14:paraId="0317403C" w14:textId="77777777" w:rsidR="00B85AD7" w:rsidRPr="00673C14" w:rsidRDefault="00B85AD7" w:rsidP="00B85AD7">
      <w:pPr>
        <w:spacing w:after="0"/>
        <w:ind w:firstLine="708"/>
        <w:jc w:val="both"/>
        <w:rPr>
          <w:rFonts w:ascii="Arial" w:hAnsi="Arial" w:cs="Arial"/>
          <w:color w:val="000000" w:themeColor="text1"/>
          <w:sz w:val="19"/>
          <w:szCs w:val="19"/>
        </w:rPr>
      </w:pPr>
      <w:r w:rsidRPr="00673C14">
        <w:rPr>
          <w:rFonts w:ascii="Arial" w:hAnsi="Arial" w:cs="Arial"/>
          <w:color w:val="000000" w:themeColor="text1"/>
          <w:sz w:val="19"/>
          <w:szCs w:val="19"/>
        </w:rPr>
        <w:t>»Los contratos para acreditar la experiencia exigida deberán cumplir las siguientes características:</w:t>
      </w:r>
    </w:p>
    <w:p w14:paraId="2E07F386" w14:textId="77777777" w:rsidR="00B85AD7" w:rsidRPr="00673C14" w:rsidRDefault="00B85AD7" w:rsidP="00B85AD7">
      <w:pPr>
        <w:spacing w:after="0"/>
        <w:ind w:firstLine="708"/>
        <w:contextualSpacing/>
        <w:jc w:val="both"/>
        <w:rPr>
          <w:rFonts w:ascii="Arial" w:hAnsi="Arial" w:cs="Arial"/>
          <w:color w:val="000000" w:themeColor="text1"/>
          <w:sz w:val="19"/>
          <w:szCs w:val="19"/>
        </w:rPr>
      </w:pPr>
      <w:r w:rsidRPr="00673C14">
        <w:rPr>
          <w:rFonts w:ascii="Arial" w:hAnsi="Arial" w:cs="Arial"/>
          <w:color w:val="000000" w:themeColor="text1"/>
          <w:sz w:val="19"/>
          <w:szCs w:val="19"/>
        </w:rPr>
        <w:t>»[…]</w:t>
      </w:r>
    </w:p>
    <w:p w14:paraId="0216183A" w14:textId="77777777" w:rsidR="00B85AD7" w:rsidRPr="00673C14" w:rsidRDefault="00B85AD7" w:rsidP="00B85AD7">
      <w:pPr>
        <w:spacing w:after="0"/>
        <w:ind w:firstLine="708"/>
        <w:contextualSpacing/>
        <w:jc w:val="both"/>
        <w:rPr>
          <w:rFonts w:ascii="Arial" w:hAnsi="Arial" w:cs="Arial"/>
          <w:color w:val="000000" w:themeColor="text1"/>
          <w:sz w:val="19"/>
          <w:szCs w:val="19"/>
          <w:highlight w:val="lightGray"/>
        </w:rPr>
      </w:pPr>
      <w:r w:rsidRPr="00673C14">
        <w:rPr>
          <w:rFonts w:ascii="Arial" w:hAnsi="Arial" w:cs="Arial"/>
          <w:color w:val="000000" w:themeColor="text1"/>
          <w:sz w:val="19"/>
          <w:szCs w:val="19"/>
        </w:rPr>
        <w:t>»</w:t>
      </w:r>
      <w:r w:rsidRPr="008022E3">
        <w:rPr>
          <w:rFonts w:ascii="Arial" w:hAnsi="Arial" w:cs="Arial"/>
          <w:color w:val="000000" w:themeColor="text1"/>
          <w:sz w:val="19"/>
          <w:szCs w:val="19"/>
        </w:rPr>
        <w:t>G.</w:t>
      </w:r>
      <w:r w:rsidRPr="008022E3">
        <w:rPr>
          <w:rFonts w:ascii="Arial" w:hAnsi="Arial" w:cs="Arial"/>
          <w:color w:val="000000" w:themeColor="text1"/>
          <w:sz w:val="19"/>
          <w:szCs w:val="19"/>
        </w:rPr>
        <w:tab/>
      </w:r>
      <w:r w:rsidRPr="00673C14">
        <w:rPr>
          <w:rFonts w:ascii="Arial" w:hAnsi="Arial" w:cs="Arial"/>
          <w:color w:val="000000" w:themeColor="text1"/>
          <w:sz w:val="19"/>
          <w:szCs w:val="19"/>
          <w:highlight w:val="lightGray"/>
        </w:rPr>
        <w:t>[Cuando el objeto contractual incluya bienes o servicios ajenos a la obra pública de infraestructura para agua potable y saneamiento básico, y de manera excepcional requiere incluir experiencia adicional para evaluar la idoneidad respecto de los bienes o servicios ajenos a la obra pública, la entidad estatal deberá seguir los parámetros establecidos en el artículo 4 de la Resolución 248 de 2020.</w:t>
      </w:r>
    </w:p>
    <w:p w14:paraId="24AC2A8F" w14:textId="77777777" w:rsidR="00B85AD7" w:rsidRPr="00673C14" w:rsidRDefault="00B85AD7" w:rsidP="00B85AD7">
      <w:pPr>
        <w:spacing w:after="0"/>
        <w:ind w:firstLine="708"/>
        <w:contextualSpacing/>
        <w:jc w:val="both"/>
        <w:rPr>
          <w:rFonts w:ascii="Arial" w:hAnsi="Arial" w:cs="Arial"/>
          <w:color w:val="000000" w:themeColor="text1"/>
          <w:sz w:val="19"/>
          <w:szCs w:val="19"/>
          <w:highlight w:val="lightGray"/>
        </w:rPr>
      </w:pPr>
      <w:r w:rsidRPr="00673C14">
        <w:rPr>
          <w:rFonts w:ascii="Arial" w:hAnsi="Arial" w:cs="Arial"/>
          <w:color w:val="000000" w:themeColor="text1"/>
          <w:sz w:val="19"/>
          <w:szCs w:val="19"/>
          <w:highlight w:val="lightGray"/>
        </w:rPr>
        <w:t>Conforme a esta disposición, la Entidad no puede requerir experiencia adicional que incluya volúmenes o cantidades de obra específica expresadas en SMMLV]</w:t>
      </w:r>
    </w:p>
    <w:p w14:paraId="7BE98059" w14:textId="77777777" w:rsidR="00B85AD7" w:rsidRPr="00673C14" w:rsidRDefault="00B85AD7" w:rsidP="00B85AD7">
      <w:pPr>
        <w:spacing w:after="0"/>
        <w:ind w:firstLine="708"/>
        <w:contextualSpacing/>
        <w:jc w:val="both"/>
        <w:rPr>
          <w:rFonts w:ascii="Arial" w:hAnsi="Arial" w:cs="Arial"/>
          <w:color w:val="000000" w:themeColor="text1"/>
          <w:sz w:val="19"/>
          <w:szCs w:val="19"/>
        </w:rPr>
      </w:pPr>
      <w:r w:rsidRPr="00673C14">
        <w:rPr>
          <w:rFonts w:ascii="Arial" w:hAnsi="Arial" w:cs="Arial"/>
          <w:color w:val="000000" w:themeColor="text1"/>
          <w:sz w:val="19"/>
          <w:szCs w:val="19"/>
          <w:highlight w:val="lightGray"/>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para agua potable y saneamiento básico] […]»</w:t>
      </w:r>
    </w:p>
    <w:p w14:paraId="47EDC35A" w14:textId="77777777" w:rsidR="00B85AD7" w:rsidRPr="00673C14" w:rsidRDefault="00B85AD7" w:rsidP="00B85AD7">
      <w:pPr>
        <w:pStyle w:val="Textonotapie"/>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5EBC" w14:textId="77777777" w:rsidR="00E70851" w:rsidRDefault="00620317">
    <w:pPr>
      <w:pStyle w:val="Encabezado"/>
    </w:pPr>
  </w:p>
  <w:p w14:paraId="6ADE0D6A" w14:textId="77777777" w:rsidR="00E70851" w:rsidRDefault="00620317">
    <w:pPr>
      <w:pStyle w:val="Encabezado"/>
    </w:pPr>
  </w:p>
  <w:p w14:paraId="63B58169" w14:textId="77777777" w:rsidR="00E70851" w:rsidRDefault="00181D8D">
    <w:pPr>
      <w:pStyle w:val="Encabezado"/>
    </w:pPr>
    <w:r>
      <w:rPr>
        <w:noProof/>
        <w:lang w:val="es-CO" w:eastAsia="es-CO"/>
      </w:rPr>
      <w:drawing>
        <wp:anchor distT="0" distB="0" distL="114300" distR="114300" simplePos="0" relativeHeight="251659264" behindDoc="1" locked="0" layoutInCell="1" allowOverlap="1" wp14:anchorId="7396E154" wp14:editId="7E4F384A">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2742F" w14:textId="77777777" w:rsidR="00E70851" w:rsidRDefault="00620317">
    <w:pPr>
      <w:pStyle w:val="Encabezado"/>
    </w:pPr>
  </w:p>
  <w:p w14:paraId="3B9FFD26" w14:textId="77777777" w:rsidR="00E70851" w:rsidRDefault="00620317">
    <w:pPr>
      <w:pStyle w:val="Encabezado"/>
    </w:pPr>
  </w:p>
  <w:p w14:paraId="03BF7EFD" w14:textId="2DFD5333" w:rsidR="00E70851" w:rsidRDefault="00620317">
    <w:pPr>
      <w:pStyle w:val="Encabezado"/>
    </w:pPr>
  </w:p>
  <w:p w14:paraId="6A6DA43D" w14:textId="77777777" w:rsidR="00C72541" w:rsidRDefault="00C725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DC52852"/>
    <w:multiLevelType w:val="multilevel"/>
    <w:tmpl w:val="F5C2CC9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3.5.%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249697888">
    <w:abstractNumId w:val="6"/>
  </w:num>
  <w:num w:numId="2" w16cid:durableId="428624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7234681">
    <w:abstractNumId w:val="3"/>
  </w:num>
  <w:num w:numId="4" w16cid:durableId="1489126707">
    <w:abstractNumId w:val="2"/>
  </w:num>
  <w:num w:numId="5" w16cid:durableId="1912235312">
    <w:abstractNumId w:val="4"/>
  </w:num>
  <w:num w:numId="6" w16cid:durableId="1252813126">
    <w:abstractNumId w:val="7"/>
  </w:num>
  <w:num w:numId="7" w16cid:durableId="1098215918">
    <w:abstractNumId w:val="10"/>
  </w:num>
  <w:num w:numId="8" w16cid:durableId="7236064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18068">
    <w:abstractNumId w:val="5"/>
  </w:num>
  <w:num w:numId="10" w16cid:durableId="1414354508">
    <w:abstractNumId w:val="9"/>
  </w:num>
  <w:num w:numId="11" w16cid:durableId="179246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9"/>
    <w:rsid w:val="00002572"/>
    <w:rsid w:val="0000259C"/>
    <w:rsid w:val="000053FB"/>
    <w:rsid w:val="000100CD"/>
    <w:rsid w:val="00012565"/>
    <w:rsid w:val="00014E0B"/>
    <w:rsid w:val="00017384"/>
    <w:rsid w:val="000174D9"/>
    <w:rsid w:val="0003530C"/>
    <w:rsid w:val="00051A86"/>
    <w:rsid w:val="0005533D"/>
    <w:rsid w:val="000754D1"/>
    <w:rsid w:val="00075AA7"/>
    <w:rsid w:val="00077348"/>
    <w:rsid w:val="00080F0B"/>
    <w:rsid w:val="00081320"/>
    <w:rsid w:val="00081951"/>
    <w:rsid w:val="000858C5"/>
    <w:rsid w:val="000A1457"/>
    <w:rsid w:val="000A3A1D"/>
    <w:rsid w:val="000A46D0"/>
    <w:rsid w:val="000A4B50"/>
    <w:rsid w:val="000A4E51"/>
    <w:rsid w:val="000A7F78"/>
    <w:rsid w:val="000B3D5F"/>
    <w:rsid w:val="000B500F"/>
    <w:rsid w:val="000B5954"/>
    <w:rsid w:val="000C185B"/>
    <w:rsid w:val="000D6386"/>
    <w:rsid w:val="000E2A66"/>
    <w:rsid w:val="000F3607"/>
    <w:rsid w:val="001104A2"/>
    <w:rsid w:val="00116A12"/>
    <w:rsid w:val="00116C9F"/>
    <w:rsid w:val="00117FBF"/>
    <w:rsid w:val="00134045"/>
    <w:rsid w:val="00140248"/>
    <w:rsid w:val="00144CB4"/>
    <w:rsid w:val="001465E2"/>
    <w:rsid w:val="001472D1"/>
    <w:rsid w:val="00160295"/>
    <w:rsid w:val="00162861"/>
    <w:rsid w:val="00170047"/>
    <w:rsid w:val="00170735"/>
    <w:rsid w:val="00177CD2"/>
    <w:rsid w:val="00181D8D"/>
    <w:rsid w:val="0018665E"/>
    <w:rsid w:val="0018717F"/>
    <w:rsid w:val="00190B30"/>
    <w:rsid w:val="00194767"/>
    <w:rsid w:val="001A0D18"/>
    <w:rsid w:val="001A5F16"/>
    <w:rsid w:val="001B6B18"/>
    <w:rsid w:val="001B6C29"/>
    <w:rsid w:val="001D51E4"/>
    <w:rsid w:val="001D77AA"/>
    <w:rsid w:val="001E30F0"/>
    <w:rsid w:val="001E3D77"/>
    <w:rsid w:val="002029F6"/>
    <w:rsid w:val="00204109"/>
    <w:rsid w:val="002153DC"/>
    <w:rsid w:val="0021676F"/>
    <w:rsid w:val="002206BB"/>
    <w:rsid w:val="00231123"/>
    <w:rsid w:val="002332AC"/>
    <w:rsid w:val="00234C61"/>
    <w:rsid w:val="00234F80"/>
    <w:rsid w:val="002521BB"/>
    <w:rsid w:val="00255B59"/>
    <w:rsid w:val="00261E14"/>
    <w:rsid w:val="002645D3"/>
    <w:rsid w:val="0026530E"/>
    <w:rsid w:val="00266A5F"/>
    <w:rsid w:val="00285636"/>
    <w:rsid w:val="0028588C"/>
    <w:rsid w:val="00286814"/>
    <w:rsid w:val="00286EE5"/>
    <w:rsid w:val="0029072B"/>
    <w:rsid w:val="00290C1C"/>
    <w:rsid w:val="0029594A"/>
    <w:rsid w:val="002A194D"/>
    <w:rsid w:val="002B1699"/>
    <w:rsid w:val="002B1B62"/>
    <w:rsid w:val="002B30EA"/>
    <w:rsid w:val="002B3492"/>
    <w:rsid w:val="002B69EB"/>
    <w:rsid w:val="002C0DF4"/>
    <w:rsid w:val="002C51A8"/>
    <w:rsid w:val="002D0FBE"/>
    <w:rsid w:val="002D5846"/>
    <w:rsid w:val="002D6D67"/>
    <w:rsid w:val="002D76CA"/>
    <w:rsid w:val="002E476C"/>
    <w:rsid w:val="003000A0"/>
    <w:rsid w:val="00301338"/>
    <w:rsid w:val="00316328"/>
    <w:rsid w:val="00317D51"/>
    <w:rsid w:val="0033040D"/>
    <w:rsid w:val="00330B4E"/>
    <w:rsid w:val="00330BDC"/>
    <w:rsid w:val="00330BE2"/>
    <w:rsid w:val="00342808"/>
    <w:rsid w:val="00343F07"/>
    <w:rsid w:val="003469D2"/>
    <w:rsid w:val="0035062E"/>
    <w:rsid w:val="003524A3"/>
    <w:rsid w:val="003546C5"/>
    <w:rsid w:val="00386BAB"/>
    <w:rsid w:val="00391A88"/>
    <w:rsid w:val="00394209"/>
    <w:rsid w:val="00397A17"/>
    <w:rsid w:val="003A1526"/>
    <w:rsid w:val="003A2195"/>
    <w:rsid w:val="003A682F"/>
    <w:rsid w:val="003A6D8A"/>
    <w:rsid w:val="003B4A76"/>
    <w:rsid w:val="003B5DEF"/>
    <w:rsid w:val="003C629D"/>
    <w:rsid w:val="003F6F36"/>
    <w:rsid w:val="00403CF9"/>
    <w:rsid w:val="00404548"/>
    <w:rsid w:val="00407633"/>
    <w:rsid w:val="00413174"/>
    <w:rsid w:val="00414458"/>
    <w:rsid w:val="004163A4"/>
    <w:rsid w:val="00420C6C"/>
    <w:rsid w:val="00425912"/>
    <w:rsid w:val="00433EE2"/>
    <w:rsid w:val="00434EDB"/>
    <w:rsid w:val="00437610"/>
    <w:rsid w:val="0044463F"/>
    <w:rsid w:val="00450D20"/>
    <w:rsid w:val="00453EE0"/>
    <w:rsid w:val="00465318"/>
    <w:rsid w:val="004710C9"/>
    <w:rsid w:val="004729B2"/>
    <w:rsid w:val="00476BA8"/>
    <w:rsid w:val="00482484"/>
    <w:rsid w:val="00484ED6"/>
    <w:rsid w:val="00490891"/>
    <w:rsid w:val="00493565"/>
    <w:rsid w:val="00496C7D"/>
    <w:rsid w:val="004A6D58"/>
    <w:rsid w:val="004A768A"/>
    <w:rsid w:val="004B350D"/>
    <w:rsid w:val="004B5582"/>
    <w:rsid w:val="004B736A"/>
    <w:rsid w:val="004C4F97"/>
    <w:rsid w:val="004D5778"/>
    <w:rsid w:val="004D5D3A"/>
    <w:rsid w:val="004E4636"/>
    <w:rsid w:val="004F0157"/>
    <w:rsid w:val="004F3F40"/>
    <w:rsid w:val="004F4E5C"/>
    <w:rsid w:val="00505CB9"/>
    <w:rsid w:val="0052365C"/>
    <w:rsid w:val="00536B5D"/>
    <w:rsid w:val="00536C0F"/>
    <w:rsid w:val="0054237A"/>
    <w:rsid w:val="0054607B"/>
    <w:rsid w:val="00547BFA"/>
    <w:rsid w:val="0055435E"/>
    <w:rsid w:val="005579BE"/>
    <w:rsid w:val="00560F36"/>
    <w:rsid w:val="00562341"/>
    <w:rsid w:val="00565B47"/>
    <w:rsid w:val="00574632"/>
    <w:rsid w:val="00575933"/>
    <w:rsid w:val="005815B1"/>
    <w:rsid w:val="00596385"/>
    <w:rsid w:val="005A3747"/>
    <w:rsid w:val="005A53F6"/>
    <w:rsid w:val="005A71AF"/>
    <w:rsid w:val="005B5C63"/>
    <w:rsid w:val="005B6D58"/>
    <w:rsid w:val="005C1AB1"/>
    <w:rsid w:val="005D1AF6"/>
    <w:rsid w:val="005D68E5"/>
    <w:rsid w:val="005E34E5"/>
    <w:rsid w:val="005E4CB6"/>
    <w:rsid w:val="006118C9"/>
    <w:rsid w:val="006127C1"/>
    <w:rsid w:val="00612FC7"/>
    <w:rsid w:val="00617C1A"/>
    <w:rsid w:val="0062025A"/>
    <w:rsid w:val="00620317"/>
    <w:rsid w:val="00620DD2"/>
    <w:rsid w:val="00620E77"/>
    <w:rsid w:val="00621FDD"/>
    <w:rsid w:val="00624A65"/>
    <w:rsid w:val="006301B8"/>
    <w:rsid w:val="00635140"/>
    <w:rsid w:val="00641077"/>
    <w:rsid w:val="00644CED"/>
    <w:rsid w:val="00651CB3"/>
    <w:rsid w:val="00657188"/>
    <w:rsid w:val="00667838"/>
    <w:rsid w:val="00667C24"/>
    <w:rsid w:val="00677990"/>
    <w:rsid w:val="00681044"/>
    <w:rsid w:val="0068499F"/>
    <w:rsid w:val="00684C15"/>
    <w:rsid w:val="00692707"/>
    <w:rsid w:val="00695486"/>
    <w:rsid w:val="006958C9"/>
    <w:rsid w:val="006A70C5"/>
    <w:rsid w:val="006B5B15"/>
    <w:rsid w:val="006F1BE3"/>
    <w:rsid w:val="006F3FBC"/>
    <w:rsid w:val="0070685C"/>
    <w:rsid w:val="00707A95"/>
    <w:rsid w:val="0071649E"/>
    <w:rsid w:val="00726A77"/>
    <w:rsid w:val="00726D79"/>
    <w:rsid w:val="00730994"/>
    <w:rsid w:val="0073469B"/>
    <w:rsid w:val="007358FE"/>
    <w:rsid w:val="00737967"/>
    <w:rsid w:val="00743E8C"/>
    <w:rsid w:val="00745866"/>
    <w:rsid w:val="00774CB7"/>
    <w:rsid w:val="00780899"/>
    <w:rsid w:val="00784643"/>
    <w:rsid w:val="00785C9A"/>
    <w:rsid w:val="007979BE"/>
    <w:rsid w:val="007A1F26"/>
    <w:rsid w:val="007A4273"/>
    <w:rsid w:val="007B113D"/>
    <w:rsid w:val="007B226C"/>
    <w:rsid w:val="007C2B2E"/>
    <w:rsid w:val="007D239E"/>
    <w:rsid w:val="007D51E6"/>
    <w:rsid w:val="007D6FF9"/>
    <w:rsid w:val="007D777E"/>
    <w:rsid w:val="007F1B0A"/>
    <w:rsid w:val="007F63ED"/>
    <w:rsid w:val="008052DA"/>
    <w:rsid w:val="0080533E"/>
    <w:rsid w:val="00813007"/>
    <w:rsid w:val="00814B8C"/>
    <w:rsid w:val="00816FAB"/>
    <w:rsid w:val="008219AE"/>
    <w:rsid w:val="0083335F"/>
    <w:rsid w:val="008333E4"/>
    <w:rsid w:val="00837F10"/>
    <w:rsid w:val="00842F50"/>
    <w:rsid w:val="00842FA2"/>
    <w:rsid w:val="0085483A"/>
    <w:rsid w:val="008575F5"/>
    <w:rsid w:val="008614C5"/>
    <w:rsid w:val="00864F4E"/>
    <w:rsid w:val="0086716B"/>
    <w:rsid w:val="00867D40"/>
    <w:rsid w:val="008703A8"/>
    <w:rsid w:val="00876189"/>
    <w:rsid w:val="00884DEF"/>
    <w:rsid w:val="008B0E67"/>
    <w:rsid w:val="008B2E18"/>
    <w:rsid w:val="008D0887"/>
    <w:rsid w:val="008E5711"/>
    <w:rsid w:val="008F3530"/>
    <w:rsid w:val="00900F87"/>
    <w:rsid w:val="00904AFB"/>
    <w:rsid w:val="00904F4C"/>
    <w:rsid w:val="00916255"/>
    <w:rsid w:val="00920C21"/>
    <w:rsid w:val="009418F0"/>
    <w:rsid w:val="00956FC5"/>
    <w:rsid w:val="009828FA"/>
    <w:rsid w:val="00991B59"/>
    <w:rsid w:val="00993C9B"/>
    <w:rsid w:val="009943C4"/>
    <w:rsid w:val="00995866"/>
    <w:rsid w:val="009A6468"/>
    <w:rsid w:val="009A6802"/>
    <w:rsid w:val="009B4ADF"/>
    <w:rsid w:val="009C59CF"/>
    <w:rsid w:val="009C7B58"/>
    <w:rsid w:val="009C7FF8"/>
    <w:rsid w:val="009D1356"/>
    <w:rsid w:val="009D3211"/>
    <w:rsid w:val="009E583F"/>
    <w:rsid w:val="009F482B"/>
    <w:rsid w:val="009F4A1C"/>
    <w:rsid w:val="009F5E12"/>
    <w:rsid w:val="009F6CCD"/>
    <w:rsid w:val="00A061DD"/>
    <w:rsid w:val="00A11029"/>
    <w:rsid w:val="00A149F4"/>
    <w:rsid w:val="00A22538"/>
    <w:rsid w:val="00A22686"/>
    <w:rsid w:val="00A235E4"/>
    <w:rsid w:val="00A322D9"/>
    <w:rsid w:val="00A35798"/>
    <w:rsid w:val="00A36000"/>
    <w:rsid w:val="00A56629"/>
    <w:rsid w:val="00A56A47"/>
    <w:rsid w:val="00A61E2F"/>
    <w:rsid w:val="00A636B1"/>
    <w:rsid w:val="00A727EC"/>
    <w:rsid w:val="00A773CD"/>
    <w:rsid w:val="00A81213"/>
    <w:rsid w:val="00A84937"/>
    <w:rsid w:val="00A85C11"/>
    <w:rsid w:val="00AB2928"/>
    <w:rsid w:val="00AB7FDD"/>
    <w:rsid w:val="00AC1992"/>
    <w:rsid w:val="00AC3E1A"/>
    <w:rsid w:val="00AC4C4C"/>
    <w:rsid w:val="00AC6864"/>
    <w:rsid w:val="00AE050E"/>
    <w:rsid w:val="00AE2CEC"/>
    <w:rsid w:val="00AF5B0D"/>
    <w:rsid w:val="00AF73D5"/>
    <w:rsid w:val="00B00560"/>
    <w:rsid w:val="00B0074C"/>
    <w:rsid w:val="00B01ADD"/>
    <w:rsid w:val="00B06456"/>
    <w:rsid w:val="00B23F5E"/>
    <w:rsid w:val="00B279E0"/>
    <w:rsid w:val="00B32B12"/>
    <w:rsid w:val="00B36AD0"/>
    <w:rsid w:val="00B546DB"/>
    <w:rsid w:val="00B607FE"/>
    <w:rsid w:val="00B60DDE"/>
    <w:rsid w:val="00B6117C"/>
    <w:rsid w:val="00B70FEF"/>
    <w:rsid w:val="00B73F87"/>
    <w:rsid w:val="00B85AD7"/>
    <w:rsid w:val="00B93B16"/>
    <w:rsid w:val="00B97A99"/>
    <w:rsid w:val="00BD48A9"/>
    <w:rsid w:val="00BD5B8E"/>
    <w:rsid w:val="00BD5C31"/>
    <w:rsid w:val="00BD7AC4"/>
    <w:rsid w:val="00BE3479"/>
    <w:rsid w:val="00BE74D1"/>
    <w:rsid w:val="00BF608E"/>
    <w:rsid w:val="00C00CFE"/>
    <w:rsid w:val="00C13DE9"/>
    <w:rsid w:val="00C22364"/>
    <w:rsid w:val="00C3100F"/>
    <w:rsid w:val="00C327B3"/>
    <w:rsid w:val="00C32B09"/>
    <w:rsid w:val="00C36586"/>
    <w:rsid w:val="00C36BA8"/>
    <w:rsid w:val="00C464C7"/>
    <w:rsid w:val="00C5018E"/>
    <w:rsid w:val="00C574FD"/>
    <w:rsid w:val="00C57ED7"/>
    <w:rsid w:val="00C61528"/>
    <w:rsid w:val="00C703E1"/>
    <w:rsid w:val="00C72541"/>
    <w:rsid w:val="00C82CD7"/>
    <w:rsid w:val="00C90582"/>
    <w:rsid w:val="00C91142"/>
    <w:rsid w:val="00C92A51"/>
    <w:rsid w:val="00C94306"/>
    <w:rsid w:val="00CA60F1"/>
    <w:rsid w:val="00CB0721"/>
    <w:rsid w:val="00CB7D66"/>
    <w:rsid w:val="00CC2873"/>
    <w:rsid w:val="00CE22B0"/>
    <w:rsid w:val="00CE39E1"/>
    <w:rsid w:val="00CE45E2"/>
    <w:rsid w:val="00CE4B44"/>
    <w:rsid w:val="00CF08CB"/>
    <w:rsid w:val="00D04721"/>
    <w:rsid w:val="00D16832"/>
    <w:rsid w:val="00D251FD"/>
    <w:rsid w:val="00D3794E"/>
    <w:rsid w:val="00D4066F"/>
    <w:rsid w:val="00D42C81"/>
    <w:rsid w:val="00D47417"/>
    <w:rsid w:val="00D51874"/>
    <w:rsid w:val="00D60205"/>
    <w:rsid w:val="00D76F99"/>
    <w:rsid w:val="00D77589"/>
    <w:rsid w:val="00D829A1"/>
    <w:rsid w:val="00D8597E"/>
    <w:rsid w:val="00D96099"/>
    <w:rsid w:val="00DA008F"/>
    <w:rsid w:val="00DA0CDF"/>
    <w:rsid w:val="00DA0FFC"/>
    <w:rsid w:val="00DA1A26"/>
    <w:rsid w:val="00DA559C"/>
    <w:rsid w:val="00DB38DC"/>
    <w:rsid w:val="00DB66FA"/>
    <w:rsid w:val="00DC2E1E"/>
    <w:rsid w:val="00DD27A3"/>
    <w:rsid w:val="00DD7B66"/>
    <w:rsid w:val="00DE3824"/>
    <w:rsid w:val="00DE695A"/>
    <w:rsid w:val="00DF0F32"/>
    <w:rsid w:val="00DF6350"/>
    <w:rsid w:val="00DF66CC"/>
    <w:rsid w:val="00DF66E5"/>
    <w:rsid w:val="00E30372"/>
    <w:rsid w:val="00E3049A"/>
    <w:rsid w:val="00E36604"/>
    <w:rsid w:val="00E4273B"/>
    <w:rsid w:val="00E51C0E"/>
    <w:rsid w:val="00E638B5"/>
    <w:rsid w:val="00E654E0"/>
    <w:rsid w:val="00E66EE5"/>
    <w:rsid w:val="00E676E2"/>
    <w:rsid w:val="00E741CD"/>
    <w:rsid w:val="00E91E1C"/>
    <w:rsid w:val="00E95907"/>
    <w:rsid w:val="00E95932"/>
    <w:rsid w:val="00E96D6E"/>
    <w:rsid w:val="00EA7827"/>
    <w:rsid w:val="00EA7A30"/>
    <w:rsid w:val="00EB2005"/>
    <w:rsid w:val="00EC0B15"/>
    <w:rsid w:val="00EC0DFE"/>
    <w:rsid w:val="00EC2A06"/>
    <w:rsid w:val="00ED210E"/>
    <w:rsid w:val="00ED392C"/>
    <w:rsid w:val="00EE1797"/>
    <w:rsid w:val="00EE3F32"/>
    <w:rsid w:val="00EF0C41"/>
    <w:rsid w:val="00EF6209"/>
    <w:rsid w:val="00F10FBF"/>
    <w:rsid w:val="00F1479C"/>
    <w:rsid w:val="00F22ADA"/>
    <w:rsid w:val="00F22B91"/>
    <w:rsid w:val="00F25F4D"/>
    <w:rsid w:val="00F26B95"/>
    <w:rsid w:val="00F36BAD"/>
    <w:rsid w:val="00F45BA0"/>
    <w:rsid w:val="00F464D1"/>
    <w:rsid w:val="00F62361"/>
    <w:rsid w:val="00F718C6"/>
    <w:rsid w:val="00F72C84"/>
    <w:rsid w:val="00F73FFE"/>
    <w:rsid w:val="00F768E1"/>
    <w:rsid w:val="00F826A5"/>
    <w:rsid w:val="00F8562C"/>
    <w:rsid w:val="00F91D41"/>
    <w:rsid w:val="00F93AA7"/>
    <w:rsid w:val="00FA5E2A"/>
    <w:rsid w:val="00FB2921"/>
    <w:rsid w:val="00FC1DC3"/>
    <w:rsid w:val="00FC41BB"/>
    <w:rsid w:val="00FE3B2C"/>
    <w:rsid w:val="00FE4922"/>
    <w:rsid w:val="00FE78B6"/>
    <w:rsid w:val="00FF12D8"/>
    <w:rsid w:val="00FF28F1"/>
    <w:rsid w:val="00FF5D98"/>
    <w:rsid w:val="00FF693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BD75"/>
  <w15:chartTrackingRefBased/>
  <w15:docId w15:val="{20C547A4-6B70-4E62-9A6E-DCBE9EB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1"/>
    <w:rsid w:val="001465E2"/>
    <w:rPr>
      <w:rFonts w:ascii="Times New Roman" w:eastAsia="Times New Roman" w:hAnsi="Times New Roman" w:cs="Times New Roman"/>
      <w:sz w:val="24"/>
      <w:szCs w:val="24"/>
      <w:lang w:eastAsia="es-CO"/>
    </w:rPr>
  </w:style>
  <w:style w:type="paragraph" w:customStyle="1" w:styleId="bodytext21">
    <w:name w:val="bodytext21"/>
    <w:basedOn w:val="Normal"/>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semiHidden/>
    <w:unhideWhenUsed/>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1465E2"/>
    <w:rPr>
      <w:rFonts w:ascii="Times New Roman" w:eastAsia="Times New Roman" w:hAnsi="Times New Roman" w:cs="Times New Roman"/>
      <w:sz w:val="24"/>
      <w:szCs w:val="24"/>
      <w:lang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74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47417"/>
    <w:pPr>
      <w:spacing w:after="0" w:line="240" w:lineRule="auto"/>
    </w:pPr>
    <w:rPr>
      <w:sz w:val="20"/>
      <w:szCs w:val="20"/>
      <w:lang w:val="es-MX"/>
    </w:rPr>
  </w:style>
  <w:style w:type="character" w:customStyle="1" w:styleId="TextonotapieCar1">
    <w:name w:val="Texto nota pie Car1"/>
    <w:basedOn w:val="Fuentedeprrafopredeter"/>
    <w:uiPriority w:val="99"/>
    <w:semiHidden/>
    <w:rsid w:val="00D47417"/>
    <w:rPr>
      <w:sz w:val="20"/>
      <w:szCs w:val="20"/>
    </w:rPr>
  </w:style>
  <w:style w:type="character" w:customStyle="1" w:styleId="InviasNormalCar">
    <w:name w:val="Invias Normal Car"/>
    <w:link w:val="InviasNormal"/>
    <w:locked/>
    <w:rsid w:val="000053FB"/>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0053FB"/>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numbering" w:customStyle="1" w:styleId="Sinlista1">
    <w:name w:val="Sin lista1"/>
    <w:next w:val="Sinlista"/>
    <w:uiPriority w:val="99"/>
    <w:semiHidden/>
    <w:unhideWhenUsed/>
    <w:rsid w:val="00C94306"/>
  </w:style>
  <w:style w:type="paragraph" w:styleId="Piedepgina">
    <w:name w:val="footer"/>
    <w:basedOn w:val="Normal"/>
    <w:link w:val="PiedepginaCar"/>
    <w:uiPriority w:val="99"/>
    <w:unhideWhenUsed/>
    <w:rsid w:val="00C94306"/>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C94306"/>
    <w:rPr>
      <w:sz w:val="24"/>
      <w:lang w:val="es-MX"/>
    </w:rPr>
  </w:style>
  <w:style w:type="paragraph" w:styleId="Textodeglobo">
    <w:name w:val="Balloon Text"/>
    <w:basedOn w:val="Normal"/>
    <w:link w:val="TextodegloboCar"/>
    <w:uiPriority w:val="99"/>
    <w:semiHidden/>
    <w:unhideWhenUsed/>
    <w:rsid w:val="00C94306"/>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C94306"/>
    <w:rPr>
      <w:rFonts w:ascii="Tahoma" w:hAnsi="Tahoma" w:cs="Tahoma"/>
      <w:sz w:val="16"/>
      <w:szCs w:val="16"/>
      <w:lang w:val="es-MX"/>
    </w:rPr>
  </w:style>
  <w:style w:type="paragraph" w:styleId="Encabezado">
    <w:name w:val="header"/>
    <w:basedOn w:val="Normal"/>
    <w:link w:val="EncabezadoCar"/>
    <w:uiPriority w:val="99"/>
    <w:unhideWhenUsed/>
    <w:rsid w:val="00C94306"/>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C94306"/>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94306"/>
    <w:pPr>
      <w:spacing w:after="0" w:line="240" w:lineRule="auto"/>
      <w:ind w:left="720"/>
      <w:contextualSpacing/>
    </w:pPr>
    <w:rPr>
      <w:sz w:val="24"/>
      <w:lang w:val="es-MX"/>
    </w:rPr>
  </w:style>
  <w:style w:type="character" w:styleId="Refdecomentario">
    <w:name w:val="annotation reference"/>
    <w:basedOn w:val="Fuentedeprrafopredeter"/>
    <w:uiPriority w:val="99"/>
    <w:semiHidden/>
    <w:unhideWhenUsed/>
    <w:rsid w:val="00C94306"/>
    <w:rPr>
      <w:sz w:val="16"/>
      <w:szCs w:val="16"/>
    </w:rPr>
  </w:style>
  <w:style w:type="paragraph" w:styleId="Textocomentario">
    <w:name w:val="annotation text"/>
    <w:basedOn w:val="Normal"/>
    <w:link w:val="TextocomentarioCar"/>
    <w:uiPriority w:val="99"/>
    <w:unhideWhenUsed/>
    <w:rsid w:val="00C94306"/>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rsid w:val="00C9430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306"/>
    <w:rPr>
      <w:b/>
      <w:bCs/>
    </w:rPr>
  </w:style>
  <w:style w:type="character" w:customStyle="1" w:styleId="AsuntodelcomentarioCar">
    <w:name w:val="Asunto del comentario Car"/>
    <w:basedOn w:val="TextocomentarioCar"/>
    <w:link w:val="Asuntodelcomentario"/>
    <w:uiPriority w:val="99"/>
    <w:semiHidden/>
    <w:rsid w:val="00C94306"/>
    <w:rPr>
      <w:b/>
      <w:bCs/>
      <w:sz w:val="20"/>
      <w:szCs w:val="20"/>
      <w:lang w:val="es-MX"/>
    </w:rPr>
  </w:style>
  <w:style w:type="character" w:customStyle="1" w:styleId="Hipervnculo1">
    <w:name w:val="Hipervínculo1"/>
    <w:basedOn w:val="Fuentedeprrafopredeter"/>
    <w:uiPriority w:val="99"/>
    <w:semiHidden/>
    <w:unhideWhenUsed/>
    <w:rsid w:val="00C94306"/>
    <w:rPr>
      <w:color w:val="F2F2F2"/>
      <w:u w:val="single"/>
    </w:rPr>
  </w:style>
  <w:style w:type="paragraph" w:styleId="NormalWeb">
    <w:name w:val="Normal (Web)"/>
    <w:basedOn w:val="Normal"/>
    <w:link w:val="NormalWebCar"/>
    <w:uiPriority w:val="99"/>
    <w:unhideWhenUsed/>
    <w:rsid w:val="00C943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C94306"/>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94306"/>
    <w:rPr>
      <w:sz w:val="24"/>
      <w:lang w:val="es-MX"/>
    </w:rPr>
  </w:style>
  <w:style w:type="paragraph" w:customStyle="1" w:styleId="Capitulo1">
    <w:name w:val="Capitulo 1"/>
    <w:basedOn w:val="Normal"/>
    <w:qFormat/>
    <w:rsid w:val="00C94306"/>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C94306"/>
    <w:rPr>
      <w:vertAlign w:val="superscript"/>
    </w:rPr>
  </w:style>
  <w:style w:type="character" w:styleId="Textoennegrita">
    <w:name w:val="Strong"/>
    <w:basedOn w:val="Fuentedeprrafopredeter"/>
    <w:uiPriority w:val="22"/>
    <w:qFormat/>
    <w:rsid w:val="00C94306"/>
    <w:rPr>
      <w:b/>
      <w:bCs/>
    </w:rPr>
  </w:style>
  <w:style w:type="paragraph" w:customStyle="1" w:styleId="Default">
    <w:name w:val="Default"/>
    <w:rsid w:val="00C9430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94306"/>
    <w:rPr>
      <w:color w:val="0563C1" w:themeColor="hyperlink"/>
      <w:u w:val="single"/>
    </w:rPr>
  </w:style>
  <w:style w:type="paragraph" w:customStyle="1" w:styleId="Appelnotedebasde">
    <w:name w:val="Appel note de bas de..."/>
    <w:basedOn w:val="Normal"/>
    <w:link w:val="Refdenotaalpie"/>
    <w:uiPriority w:val="99"/>
    <w:rsid w:val="00C57ED7"/>
    <w:pPr>
      <w:spacing w:line="240" w:lineRule="exact"/>
    </w:pPr>
    <w:rPr>
      <w:vertAlign w:val="superscript"/>
    </w:rPr>
  </w:style>
  <w:style w:type="character" w:customStyle="1" w:styleId="NormalWebCar">
    <w:name w:val="Normal (Web) Car"/>
    <w:link w:val="NormalWeb"/>
    <w:uiPriority w:val="99"/>
    <w:rsid w:val="009B4ADF"/>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9B4ADF"/>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0A4E51"/>
    <w:pPr>
      <w:spacing w:after="0" w:line="240" w:lineRule="auto"/>
    </w:pPr>
  </w:style>
  <w:style w:type="character" w:styleId="Mencinsinresolver">
    <w:name w:val="Unresolved Mention"/>
    <w:basedOn w:val="Fuentedeprrafopredeter"/>
    <w:uiPriority w:val="99"/>
    <w:semiHidden/>
    <w:unhideWhenUsed/>
    <w:rsid w:val="002B1B62"/>
    <w:rPr>
      <w:color w:val="605E5C"/>
      <w:shd w:val="clear" w:color="auto" w:fill="E1DFDD"/>
    </w:rPr>
  </w:style>
  <w:style w:type="paragraph" w:customStyle="1" w:styleId="paragraph">
    <w:name w:val="paragraph"/>
    <w:basedOn w:val="Normal"/>
    <w:rsid w:val="002C51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2C51A8"/>
  </w:style>
  <w:style w:type="character" w:customStyle="1" w:styleId="eop">
    <w:name w:val="eop"/>
    <w:basedOn w:val="Fuentedeprrafopredeter"/>
    <w:rsid w:val="002C5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831">
      <w:bodyDiv w:val="1"/>
      <w:marLeft w:val="0"/>
      <w:marRight w:val="0"/>
      <w:marTop w:val="0"/>
      <w:marBottom w:val="0"/>
      <w:divBdr>
        <w:top w:val="none" w:sz="0" w:space="0" w:color="auto"/>
        <w:left w:val="none" w:sz="0" w:space="0" w:color="auto"/>
        <w:bottom w:val="none" w:sz="0" w:space="0" w:color="auto"/>
        <w:right w:val="none" w:sz="0" w:space="0" w:color="auto"/>
      </w:divBdr>
    </w:div>
    <w:div w:id="141045787">
      <w:bodyDiv w:val="1"/>
      <w:marLeft w:val="0"/>
      <w:marRight w:val="0"/>
      <w:marTop w:val="0"/>
      <w:marBottom w:val="0"/>
      <w:divBdr>
        <w:top w:val="none" w:sz="0" w:space="0" w:color="auto"/>
        <w:left w:val="none" w:sz="0" w:space="0" w:color="auto"/>
        <w:bottom w:val="none" w:sz="0" w:space="0" w:color="auto"/>
        <w:right w:val="none" w:sz="0" w:space="0" w:color="auto"/>
      </w:divBdr>
    </w:div>
    <w:div w:id="537400824">
      <w:bodyDiv w:val="1"/>
      <w:marLeft w:val="0"/>
      <w:marRight w:val="0"/>
      <w:marTop w:val="0"/>
      <w:marBottom w:val="0"/>
      <w:divBdr>
        <w:top w:val="none" w:sz="0" w:space="0" w:color="auto"/>
        <w:left w:val="none" w:sz="0" w:space="0" w:color="auto"/>
        <w:bottom w:val="none" w:sz="0" w:space="0" w:color="auto"/>
        <w:right w:val="none" w:sz="0" w:space="0" w:color="auto"/>
      </w:divBdr>
      <w:divsChild>
        <w:div w:id="454449302">
          <w:marLeft w:val="0"/>
          <w:marRight w:val="0"/>
          <w:marTop w:val="0"/>
          <w:marBottom w:val="0"/>
          <w:divBdr>
            <w:top w:val="none" w:sz="0" w:space="0" w:color="auto"/>
            <w:left w:val="none" w:sz="0" w:space="0" w:color="auto"/>
            <w:bottom w:val="none" w:sz="0" w:space="0" w:color="auto"/>
            <w:right w:val="none" w:sz="0" w:space="0" w:color="auto"/>
          </w:divBdr>
        </w:div>
        <w:div w:id="607855332">
          <w:marLeft w:val="0"/>
          <w:marRight w:val="0"/>
          <w:marTop w:val="0"/>
          <w:marBottom w:val="0"/>
          <w:divBdr>
            <w:top w:val="none" w:sz="0" w:space="0" w:color="auto"/>
            <w:left w:val="none" w:sz="0" w:space="0" w:color="auto"/>
            <w:bottom w:val="none" w:sz="0" w:space="0" w:color="auto"/>
            <w:right w:val="none" w:sz="0" w:space="0" w:color="auto"/>
          </w:divBdr>
        </w:div>
      </w:divsChild>
    </w:div>
    <w:div w:id="578104637">
      <w:bodyDiv w:val="1"/>
      <w:marLeft w:val="0"/>
      <w:marRight w:val="0"/>
      <w:marTop w:val="0"/>
      <w:marBottom w:val="0"/>
      <w:divBdr>
        <w:top w:val="none" w:sz="0" w:space="0" w:color="auto"/>
        <w:left w:val="none" w:sz="0" w:space="0" w:color="auto"/>
        <w:bottom w:val="none" w:sz="0" w:space="0" w:color="auto"/>
        <w:right w:val="none" w:sz="0" w:space="0" w:color="auto"/>
      </w:divBdr>
    </w:div>
    <w:div w:id="591161014">
      <w:bodyDiv w:val="1"/>
      <w:marLeft w:val="0"/>
      <w:marRight w:val="0"/>
      <w:marTop w:val="0"/>
      <w:marBottom w:val="0"/>
      <w:divBdr>
        <w:top w:val="none" w:sz="0" w:space="0" w:color="auto"/>
        <w:left w:val="none" w:sz="0" w:space="0" w:color="auto"/>
        <w:bottom w:val="none" w:sz="0" w:space="0" w:color="auto"/>
        <w:right w:val="none" w:sz="0" w:space="0" w:color="auto"/>
      </w:divBdr>
      <w:divsChild>
        <w:div w:id="1387141549">
          <w:marLeft w:val="0"/>
          <w:marRight w:val="0"/>
          <w:marTop w:val="0"/>
          <w:marBottom w:val="0"/>
          <w:divBdr>
            <w:top w:val="none" w:sz="0" w:space="0" w:color="auto"/>
            <w:left w:val="none" w:sz="0" w:space="0" w:color="auto"/>
            <w:bottom w:val="none" w:sz="0" w:space="0" w:color="auto"/>
            <w:right w:val="none" w:sz="0" w:space="0" w:color="auto"/>
          </w:divBdr>
        </w:div>
        <w:div w:id="151991857">
          <w:marLeft w:val="0"/>
          <w:marRight w:val="0"/>
          <w:marTop w:val="0"/>
          <w:marBottom w:val="0"/>
          <w:divBdr>
            <w:top w:val="none" w:sz="0" w:space="0" w:color="auto"/>
            <w:left w:val="none" w:sz="0" w:space="0" w:color="auto"/>
            <w:bottom w:val="none" w:sz="0" w:space="0" w:color="auto"/>
            <w:right w:val="none" w:sz="0" w:space="0" w:color="auto"/>
          </w:divBdr>
        </w:div>
        <w:div w:id="152185794">
          <w:marLeft w:val="0"/>
          <w:marRight w:val="0"/>
          <w:marTop w:val="0"/>
          <w:marBottom w:val="0"/>
          <w:divBdr>
            <w:top w:val="none" w:sz="0" w:space="0" w:color="auto"/>
            <w:left w:val="none" w:sz="0" w:space="0" w:color="auto"/>
            <w:bottom w:val="none" w:sz="0" w:space="0" w:color="auto"/>
            <w:right w:val="none" w:sz="0" w:space="0" w:color="auto"/>
          </w:divBdr>
        </w:div>
        <w:div w:id="1469322453">
          <w:marLeft w:val="0"/>
          <w:marRight w:val="0"/>
          <w:marTop w:val="0"/>
          <w:marBottom w:val="0"/>
          <w:divBdr>
            <w:top w:val="none" w:sz="0" w:space="0" w:color="auto"/>
            <w:left w:val="none" w:sz="0" w:space="0" w:color="auto"/>
            <w:bottom w:val="none" w:sz="0" w:space="0" w:color="auto"/>
            <w:right w:val="none" w:sz="0" w:space="0" w:color="auto"/>
          </w:divBdr>
        </w:div>
        <w:div w:id="1211267031">
          <w:marLeft w:val="0"/>
          <w:marRight w:val="0"/>
          <w:marTop w:val="0"/>
          <w:marBottom w:val="0"/>
          <w:divBdr>
            <w:top w:val="none" w:sz="0" w:space="0" w:color="auto"/>
            <w:left w:val="none" w:sz="0" w:space="0" w:color="auto"/>
            <w:bottom w:val="none" w:sz="0" w:space="0" w:color="auto"/>
            <w:right w:val="none" w:sz="0" w:space="0" w:color="auto"/>
          </w:divBdr>
        </w:div>
      </w:divsChild>
    </w:div>
    <w:div w:id="707490010">
      <w:bodyDiv w:val="1"/>
      <w:marLeft w:val="0"/>
      <w:marRight w:val="0"/>
      <w:marTop w:val="0"/>
      <w:marBottom w:val="0"/>
      <w:divBdr>
        <w:top w:val="none" w:sz="0" w:space="0" w:color="auto"/>
        <w:left w:val="none" w:sz="0" w:space="0" w:color="auto"/>
        <w:bottom w:val="none" w:sz="0" w:space="0" w:color="auto"/>
        <w:right w:val="none" w:sz="0" w:space="0" w:color="auto"/>
      </w:divBdr>
    </w:div>
    <w:div w:id="783959702">
      <w:bodyDiv w:val="1"/>
      <w:marLeft w:val="0"/>
      <w:marRight w:val="0"/>
      <w:marTop w:val="0"/>
      <w:marBottom w:val="0"/>
      <w:divBdr>
        <w:top w:val="none" w:sz="0" w:space="0" w:color="auto"/>
        <w:left w:val="none" w:sz="0" w:space="0" w:color="auto"/>
        <w:bottom w:val="none" w:sz="0" w:space="0" w:color="auto"/>
        <w:right w:val="none" w:sz="0" w:space="0" w:color="auto"/>
      </w:divBdr>
    </w:div>
    <w:div w:id="877401175">
      <w:bodyDiv w:val="1"/>
      <w:marLeft w:val="0"/>
      <w:marRight w:val="0"/>
      <w:marTop w:val="0"/>
      <w:marBottom w:val="0"/>
      <w:divBdr>
        <w:top w:val="none" w:sz="0" w:space="0" w:color="auto"/>
        <w:left w:val="none" w:sz="0" w:space="0" w:color="auto"/>
        <w:bottom w:val="none" w:sz="0" w:space="0" w:color="auto"/>
        <w:right w:val="none" w:sz="0" w:space="0" w:color="auto"/>
      </w:divBdr>
    </w:div>
    <w:div w:id="1330869026">
      <w:bodyDiv w:val="1"/>
      <w:marLeft w:val="0"/>
      <w:marRight w:val="0"/>
      <w:marTop w:val="0"/>
      <w:marBottom w:val="0"/>
      <w:divBdr>
        <w:top w:val="none" w:sz="0" w:space="0" w:color="auto"/>
        <w:left w:val="none" w:sz="0" w:space="0" w:color="auto"/>
        <w:bottom w:val="none" w:sz="0" w:space="0" w:color="auto"/>
        <w:right w:val="none" w:sz="0" w:space="0" w:color="auto"/>
      </w:divBdr>
    </w:div>
    <w:div w:id="20048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224AC7-A3B2-4690-9EEE-7C953982109A}">
  <ds:schemaRefs>
    <ds:schemaRef ds:uri="http://schemas.microsoft.com/sharepoint/v3/contenttype/forms"/>
  </ds:schemaRefs>
</ds:datastoreItem>
</file>

<file path=customXml/itemProps2.xml><?xml version="1.0" encoding="utf-8"?>
<ds:datastoreItem xmlns:ds="http://schemas.openxmlformats.org/officeDocument/2006/customXml" ds:itemID="{3A24771E-9541-4483-A025-B4D783A86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02392-1736-4299-B2B0-6A425A6EFBF8}">
  <ds:schemaRefs>
    <ds:schemaRef ds:uri="http://schemas.openxmlformats.org/officeDocument/2006/bibliography"/>
  </ds:schemaRefs>
</ds:datastoreItem>
</file>

<file path=customXml/itemProps4.xml><?xml version="1.0" encoding="utf-8"?>
<ds:datastoreItem xmlns:ds="http://schemas.openxmlformats.org/officeDocument/2006/customXml" ds:itemID="{9C56E8D9-3982-4342-9128-113489F254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6485</Words>
  <Characters>35671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MARIA CLAUDIA DE LA OSSA BOBADILLA</cp:lastModifiedBy>
  <cp:revision>2</cp:revision>
  <dcterms:created xsi:type="dcterms:W3CDTF">2022-08-17T19:06:00Z</dcterms:created>
  <dcterms:modified xsi:type="dcterms:W3CDTF">2022-08-17T19:06:00Z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