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DF23" w14:textId="77777777" w:rsidR="00F06958" w:rsidRPr="002E4D55" w:rsidRDefault="00F06958" w:rsidP="00F06958">
      <w:pPr>
        <w:tabs>
          <w:tab w:val="left" w:pos="426"/>
        </w:tabs>
        <w:spacing w:after="0" w:line="240" w:lineRule="auto"/>
        <w:jc w:val="both"/>
        <w:rPr>
          <w:rFonts w:ascii="Arial" w:eastAsia="Calibri" w:hAnsi="Arial" w:cs="Arial"/>
          <w:b/>
          <w:bCs/>
          <w:lang w:val="es-MX"/>
        </w:rPr>
      </w:pPr>
      <w:bookmarkStart w:id="0" w:name="_Hlk77152637"/>
      <w:bookmarkStart w:id="1" w:name="_Hlk77157066"/>
      <w:bookmarkStart w:id="2" w:name="_Hlk78821436"/>
      <w:r w:rsidRPr="002E4D55">
        <w:rPr>
          <w:rFonts w:ascii="Arial" w:eastAsia="Calibri" w:hAnsi="Arial" w:cs="Arial"/>
          <w:b/>
          <w:bCs/>
          <w:lang w:val="es-MX"/>
        </w:rPr>
        <w:t>LEY DE GARANTÍAS ELECTORALES ‒</w:t>
      </w:r>
      <w:bookmarkEnd w:id="0"/>
      <w:r w:rsidRPr="002E4D55">
        <w:rPr>
          <w:rFonts w:ascii="Arial" w:eastAsia="Calibri" w:hAnsi="Arial" w:cs="Arial"/>
          <w:b/>
          <w:bCs/>
          <w:lang w:val="es-MX"/>
        </w:rPr>
        <w:t xml:space="preserve"> Tipos de restricciones </w:t>
      </w:r>
      <w:bookmarkStart w:id="3" w:name="_Hlk77157034"/>
      <w:r w:rsidRPr="002E4D55">
        <w:rPr>
          <w:rFonts w:ascii="Arial" w:eastAsia="Calibri" w:hAnsi="Arial" w:cs="Arial"/>
          <w:b/>
          <w:bCs/>
          <w:lang w:val="es-MX"/>
        </w:rPr>
        <w:t xml:space="preserve">‒ </w:t>
      </w:r>
      <w:bookmarkStart w:id="4" w:name="_Hlk77153098"/>
      <w:bookmarkEnd w:id="3"/>
      <w:r w:rsidRPr="002E4D55">
        <w:rPr>
          <w:rFonts w:ascii="Arial" w:eastAsia="Calibri" w:hAnsi="Arial" w:cs="Arial"/>
          <w:b/>
          <w:bCs/>
          <w:lang w:val="es-MX"/>
        </w:rPr>
        <w:t xml:space="preserve">Ámbito temporal </w:t>
      </w:r>
      <w:bookmarkEnd w:id="4"/>
    </w:p>
    <w:p w14:paraId="115E3110" w14:textId="77777777" w:rsidR="00F06958" w:rsidRPr="002E4D55" w:rsidRDefault="00F06958" w:rsidP="00F06958">
      <w:pPr>
        <w:tabs>
          <w:tab w:val="left" w:pos="426"/>
        </w:tabs>
        <w:spacing w:after="0" w:line="240" w:lineRule="auto"/>
        <w:jc w:val="both"/>
        <w:rPr>
          <w:rFonts w:ascii="Arial" w:eastAsia="Calibri" w:hAnsi="Arial" w:cs="Arial"/>
          <w:b/>
          <w:bCs/>
          <w:sz w:val="20"/>
          <w:szCs w:val="20"/>
          <w:lang w:val="es-MX"/>
        </w:rPr>
      </w:pPr>
    </w:p>
    <w:bookmarkEnd w:id="1"/>
    <w:p w14:paraId="658CEEAE" w14:textId="46D73BA3" w:rsidR="00F06958" w:rsidRPr="002E4D55" w:rsidRDefault="00F06958" w:rsidP="00F06958">
      <w:pPr>
        <w:tabs>
          <w:tab w:val="left" w:pos="426"/>
        </w:tabs>
        <w:spacing w:after="0" w:line="240" w:lineRule="auto"/>
        <w:jc w:val="both"/>
        <w:rPr>
          <w:rFonts w:ascii="Arial" w:eastAsia="Calibri" w:hAnsi="Arial" w:cs="Arial"/>
          <w:noProof/>
          <w:sz w:val="20"/>
          <w:szCs w:val="20"/>
          <w:lang w:val="es-ES_tradnl"/>
        </w:rPr>
      </w:pPr>
      <w:r w:rsidRPr="002E4D55">
        <w:rPr>
          <w:rFonts w:ascii="Arial" w:eastAsia="Calibri" w:hAnsi="Arial" w:cs="Arial"/>
          <w:noProof/>
          <w:sz w:val="20"/>
          <w:szCs w:val="20"/>
          <w:lang w:val="es-ES_tradnl"/>
        </w:rPr>
        <w:t xml:space="preserve">[…] </w:t>
      </w:r>
      <w:r w:rsidR="004878C0" w:rsidRPr="002E4D55">
        <w:rPr>
          <w:rFonts w:ascii="Arial" w:eastAsia="Calibri" w:hAnsi="Arial" w:cs="Arial"/>
          <w:noProof/>
          <w:sz w:val="20"/>
          <w:szCs w:val="20"/>
          <w:lang w:val="es-ES_tradnl"/>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6AAD6811" w14:textId="77777777" w:rsidR="00F06958" w:rsidRPr="002E4D55" w:rsidRDefault="00F06958" w:rsidP="00F06958">
      <w:pPr>
        <w:tabs>
          <w:tab w:val="left" w:pos="426"/>
        </w:tabs>
        <w:spacing w:after="0" w:line="240" w:lineRule="auto"/>
        <w:jc w:val="both"/>
        <w:rPr>
          <w:rFonts w:ascii="Arial" w:eastAsia="Calibri" w:hAnsi="Arial" w:cs="Arial"/>
          <w:noProof/>
          <w:sz w:val="20"/>
          <w:szCs w:val="20"/>
          <w:lang w:val="es-ES_tradnl"/>
        </w:rPr>
      </w:pPr>
    </w:p>
    <w:p w14:paraId="197E52BB" w14:textId="38E7C983" w:rsidR="00F06958" w:rsidRPr="002E4D55" w:rsidRDefault="00F06958" w:rsidP="00F06958">
      <w:pPr>
        <w:tabs>
          <w:tab w:val="left" w:pos="426"/>
        </w:tabs>
        <w:spacing w:after="0" w:line="240" w:lineRule="auto"/>
        <w:jc w:val="both"/>
        <w:rPr>
          <w:rFonts w:ascii="Arial" w:eastAsia="Calibri" w:hAnsi="Arial" w:cs="Arial"/>
          <w:b/>
          <w:bCs/>
          <w:lang w:val="es-MX"/>
        </w:rPr>
      </w:pPr>
      <w:bookmarkStart w:id="5" w:name="_Hlk77165666"/>
      <w:r w:rsidRPr="002E4D55">
        <w:rPr>
          <w:rFonts w:ascii="Arial" w:eastAsia="Calibri" w:hAnsi="Arial" w:cs="Arial"/>
          <w:b/>
          <w:bCs/>
          <w:lang w:val="es-MX"/>
        </w:rPr>
        <w:t>LEY DE GARANTÍAS ELECTORALES ─</w:t>
      </w:r>
      <w:r w:rsidR="003A6125">
        <w:rPr>
          <w:rFonts w:ascii="Arial" w:eastAsia="Calibri" w:hAnsi="Arial" w:cs="Arial"/>
          <w:b/>
          <w:bCs/>
          <w:lang w:val="es-MX"/>
        </w:rPr>
        <w:t>-</w:t>
      </w:r>
      <w:r w:rsidRPr="002E4D55">
        <w:rPr>
          <w:rFonts w:ascii="Arial" w:eastAsia="Calibri" w:hAnsi="Arial" w:cs="Arial"/>
          <w:b/>
          <w:bCs/>
          <w:lang w:val="es-MX"/>
        </w:rPr>
        <w:t xml:space="preserve"> Prohibición ‒ </w:t>
      </w:r>
      <w:bookmarkEnd w:id="5"/>
      <w:r w:rsidRPr="002E4D55">
        <w:rPr>
          <w:rFonts w:ascii="Arial" w:eastAsia="Calibri" w:hAnsi="Arial" w:cs="Arial"/>
          <w:b/>
          <w:bCs/>
          <w:lang w:val="es-MX"/>
        </w:rPr>
        <w:t xml:space="preserve">Contratación directa ‒ Alcance – </w:t>
      </w:r>
      <w:r w:rsidRPr="002E4D55">
        <w:rPr>
          <w:rFonts w:ascii="Arial" w:eastAsia="Times New Roman" w:hAnsi="Arial" w:cs="Arial"/>
          <w:b/>
          <w:bCs/>
          <w:lang w:eastAsia="es-CO"/>
        </w:rPr>
        <w:t>Excepciones</w:t>
      </w:r>
      <w:r w:rsidRPr="002E4D55">
        <w:rPr>
          <w:rFonts w:ascii="Arial" w:eastAsia="Calibri" w:hAnsi="Arial" w:cs="Arial"/>
          <w:b/>
          <w:bCs/>
          <w:lang w:val="es-MX"/>
        </w:rPr>
        <w:t xml:space="preserve"> </w:t>
      </w:r>
    </w:p>
    <w:p w14:paraId="1E38A1C2" w14:textId="77777777" w:rsidR="00F06958" w:rsidRPr="002E4D55" w:rsidRDefault="00F06958" w:rsidP="00F06958">
      <w:pPr>
        <w:tabs>
          <w:tab w:val="left" w:pos="426"/>
        </w:tabs>
        <w:spacing w:after="0" w:line="240" w:lineRule="auto"/>
        <w:jc w:val="both"/>
        <w:rPr>
          <w:rFonts w:ascii="Arial" w:eastAsia="Calibri" w:hAnsi="Arial" w:cs="Arial"/>
          <w:noProof/>
          <w:sz w:val="20"/>
          <w:szCs w:val="20"/>
          <w:lang w:val="es-MX"/>
        </w:rPr>
      </w:pPr>
    </w:p>
    <w:p w14:paraId="7DA25070" w14:textId="681F71B4" w:rsidR="00F06958" w:rsidRPr="002E4D55" w:rsidRDefault="00F06958" w:rsidP="00F06958">
      <w:pPr>
        <w:tabs>
          <w:tab w:val="left" w:pos="426"/>
        </w:tabs>
        <w:spacing w:after="0" w:line="240" w:lineRule="auto"/>
        <w:jc w:val="both"/>
        <w:rPr>
          <w:rFonts w:ascii="Arial" w:eastAsia="Times New Roman" w:hAnsi="Arial" w:cs="Arial"/>
          <w:sz w:val="20"/>
          <w:szCs w:val="20"/>
          <w:lang w:val="es-MX" w:eastAsia="es-ES"/>
        </w:rPr>
      </w:pPr>
      <w:r w:rsidRPr="002E4D55">
        <w:rPr>
          <w:rFonts w:ascii="Arial" w:eastAsia="Calibri" w:hAnsi="Arial" w:cs="Arial"/>
          <w:noProof/>
          <w:sz w:val="20"/>
          <w:szCs w:val="20"/>
          <w:lang w:val="es-MX"/>
        </w:rPr>
        <w:t xml:space="preserve">[…] </w:t>
      </w:r>
      <w:r w:rsidR="00501F88" w:rsidRPr="002E4D55">
        <w:rPr>
          <w:rFonts w:ascii="Arial" w:eastAsia="Calibri" w:hAnsi="Arial" w:cs="Arial"/>
          <w:noProof/>
          <w:sz w:val="20"/>
          <w:szCs w:val="20"/>
          <w:lang w:val="es-MX"/>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  y sistematizó las causales de contratación directa.</w:t>
      </w:r>
    </w:p>
    <w:p w14:paraId="56F4C508" w14:textId="7A62F06B" w:rsidR="00F06958" w:rsidRPr="002E4D55" w:rsidRDefault="00AF206D" w:rsidP="00F06958">
      <w:pPr>
        <w:shd w:val="clear" w:color="auto" w:fill="FFFFFF"/>
        <w:spacing w:after="0" w:line="240" w:lineRule="auto"/>
        <w:jc w:val="both"/>
        <w:rPr>
          <w:rFonts w:ascii="Arial" w:eastAsia="Times New Roman" w:hAnsi="Arial" w:cs="Arial"/>
          <w:sz w:val="20"/>
          <w:szCs w:val="20"/>
          <w:lang w:eastAsia="es-CO"/>
        </w:rPr>
      </w:pPr>
      <w:r w:rsidRPr="002E4D55">
        <w:rPr>
          <w:rFonts w:ascii="Arial" w:eastAsia="Times New Roman" w:hAnsi="Arial" w:cs="Arial"/>
          <w:sz w:val="20"/>
          <w:szCs w:val="20"/>
          <w:lang w:eastAsia="es-CO"/>
        </w:rPr>
        <w:t>[…]</w:t>
      </w:r>
    </w:p>
    <w:p w14:paraId="7F714E9A" w14:textId="77777777" w:rsidR="00F06958" w:rsidRPr="002E4D55" w:rsidRDefault="00F06958" w:rsidP="00F06958">
      <w:pPr>
        <w:tabs>
          <w:tab w:val="left" w:pos="426"/>
        </w:tabs>
        <w:spacing w:after="0" w:line="240" w:lineRule="auto"/>
        <w:jc w:val="both"/>
        <w:rPr>
          <w:rFonts w:ascii="Arial" w:eastAsia="Calibri" w:hAnsi="Arial" w:cs="Arial"/>
          <w:noProof/>
          <w:sz w:val="20"/>
          <w:szCs w:val="20"/>
        </w:rPr>
      </w:pPr>
    </w:p>
    <w:p w14:paraId="38E1661A" w14:textId="77777777" w:rsidR="00F06958" w:rsidRPr="002E4D55" w:rsidRDefault="00F06958" w:rsidP="00F06958">
      <w:pPr>
        <w:spacing w:after="0" w:line="240" w:lineRule="auto"/>
        <w:jc w:val="both"/>
        <w:rPr>
          <w:rFonts w:ascii="Arial" w:eastAsia="Times New Roman" w:hAnsi="Arial" w:cs="Arial"/>
          <w:b/>
          <w:lang w:val="es-ES" w:eastAsia="es-CO"/>
        </w:rPr>
      </w:pPr>
      <w:r w:rsidRPr="002E4D55">
        <w:rPr>
          <w:rFonts w:ascii="Arial" w:eastAsia="Times New Roman" w:hAnsi="Arial" w:cs="Arial"/>
          <w:b/>
          <w:bCs/>
          <w:lang w:eastAsia="es-CO"/>
        </w:rPr>
        <w:t xml:space="preserve">LEY DE GARANTÍAS ELECTORALES </w:t>
      </w:r>
      <w:bookmarkStart w:id="6" w:name="_Hlk77166669"/>
      <w:r w:rsidRPr="002E4D55">
        <w:rPr>
          <w:rFonts w:ascii="Arial" w:eastAsia="Times New Roman" w:hAnsi="Arial" w:cs="Arial"/>
          <w:b/>
          <w:bCs/>
          <w:lang w:eastAsia="es-CO"/>
        </w:rPr>
        <w:t>‒</w:t>
      </w:r>
      <w:bookmarkEnd w:id="6"/>
      <w:r w:rsidRPr="002E4D55">
        <w:rPr>
          <w:rFonts w:ascii="Arial" w:eastAsia="Times New Roman" w:hAnsi="Arial" w:cs="Arial"/>
          <w:b/>
          <w:bCs/>
          <w:lang w:eastAsia="es-CO"/>
        </w:rPr>
        <w:t xml:space="preserve"> </w:t>
      </w:r>
      <w:r w:rsidRPr="002E4D55">
        <w:rPr>
          <w:rFonts w:ascii="Arial" w:eastAsia="Times New Roman" w:hAnsi="Arial" w:cs="Arial"/>
          <w:b/>
          <w:lang w:val="es-ES" w:eastAsia="es-CO"/>
        </w:rPr>
        <w:t xml:space="preserve">Prohibición del artículo 33 </w:t>
      </w:r>
      <w:r w:rsidRPr="002E4D55">
        <w:rPr>
          <w:rFonts w:ascii="Arial" w:eastAsia="Times New Roman" w:hAnsi="Arial" w:cs="Arial"/>
          <w:b/>
          <w:bCs/>
          <w:lang w:eastAsia="es-CO"/>
        </w:rPr>
        <w:t>‒ Destinatarios</w:t>
      </w:r>
    </w:p>
    <w:p w14:paraId="3A16CC89" w14:textId="77777777" w:rsidR="00F06958" w:rsidRPr="002E4D55" w:rsidRDefault="00F06958" w:rsidP="00F06958">
      <w:pPr>
        <w:tabs>
          <w:tab w:val="left" w:pos="426"/>
        </w:tabs>
        <w:spacing w:after="0" w:line="240" w:lineRule="auto"/>
        <w:jc w:val="both"/>
        <w:rPr>
          <w:rFonts w:ascii="Arial" w:eastAsia="Calibri" w:hAnsi="Arial" w:cs="Arial"/>
          <w:noProof/>
          <w:sz w:val="20"/>
          <w:szCs w:val="20"/>
          <w:lang w:val="es-ES"/>
        </w:rPr>
      </w:pPr>
    </w:p>
    <w:p w14:paraId="17B17C7D" w14:textId="2874012A" w:rsidR="00F06958" w:rsidRPr="002E4D55" w:rsidRDefault="00AF206D" w:rsidP="00F06958">
      <w:pPr>
        <w:tabs>
          <w:tab w:val="left" w:pos="426"/>
        </w:tabs>
        <w:spacing w:after="0" w:line="240" w:lineRule="auto"/>
        <w:jc w:val="both"/>
        <w:rPr>
          <w:rFonts w:ascii="Arial" w:eastAsia="Calibri" w:hAnsi="Arial" w:cs="Arial"/>
          <w:noProof/>
          <w:sz w:val="20"/>
          <w:szCs w:val="20"/>
        </w:rPr>
      </w:pPr>
      <w:r w:rsidRPr="002E4D55">
        <w:rPr>
          <w:rFonts w:ascii="Arial" w:eastAsia="Calibri" w:hAnsi="Arial" w:cs="Arial"/>
          <w:noProof/>
          <w:sz w:val="20"/>
          <w:szCs w:val="20"/>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00F06958" w:rsidRPr="002E4D55">
        <w:rPr>
          <w:rFonts w:ascii="Arial" w:eastAsia="Calibri" w:hAnsi="Arial" w:cs="Arial"/>
          <w:noProof/>
          <w:sz w:val="20"/>
          <w:szCs w:val="20"/>
        </w:rPr>
        <w:t xml:space="preserve"> […]</w:t>
      </w:r>
    </w:p>
    <w:bookmarkEnd w:id="2"/>
    <w:p w14:paraId="5F304EB7" w14:textId="77777777" w:rsidR="00F06958" w:rsidRPr="002E4D55" w:rsidRDefault="00F06958" w:rsidP="00F06958">
      <w:pPr>
        <w:tabs>
          <w:tab w:val="left" w:pos="426"/>
        </w:tabs>
        <w:spacing w:after="0" w:line="240" w:lineRule="auto"/>
        <w:jc w:val="both"/>
        <w:rPr>
          <w:rFonts w:ascii="Arial" w:eastAsia="Times New Roman" w:hAnsi="Arial" w:cs="Arial"/>
          <w:sz w:val="18"/>
          <w:szCs w:val="18"/>
          <w:lang w:val="es-MX" w:eastAsia="es-CO"/>
        </w:rPr>
      </w:pPr>
    </w:p>
    <w:p w14:paraId="5B48ACBA" w14:textId="35E9DCDC" w:rsidR="00F06958" w:rsidRPr="002E4D55" w:rsidRDefault="00957EF9" w:rsidP="00415D72">
      <w:pPr>
        <w:spacing w:after="120" w:line="240" w:lineRule="auto"/>
        <w:contextualSpacing/>
        <w:jc w:val="both"/>
        <w:rPr>
          <w:rFonts w:ascii="Arial" w:eastAsia="Calibri" w:hAnsi="Arial" w:cs="Arial"/>
          <w:sz w:val="20"/>
          <w:szCs w:val="20"/>
          <w:lang w:val="es-MX"/>
        </w:rPr>
      </w:pPr>
      <w:r w:rsidRPr="002E4D55">
        <w:rPr>
          <w:rFonts w:ascii="Arial" w:eastAsia="Calibri" w:hAnsi="Arial" w:cs="Arial"/>
          <w:sz w:val="20"/>
          <w:szCs w:val="20"/>
          <w:lang w:val="es-MX"/>
        </w:rPr>
        <w:t xml:space="preserve">[…] </w:t>
      </w:r>
      <w:r w:rsidR="00F93BBE" w:rsidRPr="002E4D55">
        <w:rPr>
          <w:rFonts w:ascii="Arial" w:eastAsia="Calibri" w:hAnsi="Arial" w:cs="Arial"/>
          <w:sz w:val="20"/>
          <w:szCs w:val="20"/>
          <w:lang w:val="es-MX"/>
        </w:rPr>
        <w:t>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67CAA2B6" w14:textId="7842FBB0" w:rsidR="003B76F1" w:rsidRPr="002E4D55" w:rsidRDefault="003B76F1" w:rsidP="00415D72">
      <w:pPr>
        <w:spacing w:after="120" w:line="240" w:lineRule="auto"/>
        <w:contextualSpacing/>
        <w:jc w:val="both"/>
        <w:rPr>
          <w:rFonts w:ascii="Arial" w:eastAsia="Calibri" w:hAnsi="Arial" w:cs="Arial"/>
          <w:sz w:val="20"/>
          <w:szCs w:val="20"/>
          <w:lang w:val="es-MX"/>
        </w:rPr>
      </w:pPr>
    </w:p>
    <w:p w14:paraId="5791A0A6" w14:textId="035F1EFC" w:rsidR="003B76F1" w:rsidRPr="006021A0" w:rsidRDefault="00FD22D1" w:rsidP="00415D72">
      <w:pPr>
        <w:spacing w:after="120" w:line="240" w:lineRule="auto"/>
        <w:contextualSpacing/>
        <w:jc w:val="both"/>
        <w:rPr>
          <w:rFonts w:ascii="Arial" w:eastAsia="Times New Roman" w:hAnsi="Arial" w:cs="Arial"/>
          <w:b/>
          <w:lang w:val="es-MX" w:eastAsia="x-none"/>
        </w:rPr>
      </w:pPr>
      <w:r w:rsidRPr="006021A0">
        <w:rPr>
          <w:rFonts w:ascii="Arial" w:eastAsia="Times New Roman" w:hAnsi="Arial" w:cs="Arial"/>
          <w:b/>
          <w:lang w:val="es-MX" w:eastAsia="x-none"/>
        </w:rPr>
        <w:t>ACUERDOS VOLUNTARIOS DE CONSERVACIÓN</w:t>
      </w:r>
      <w:r w:rsidR="003B76F1" w:rsidRPr="006021A0">
        <w:rPr>
          <w:rFonts w:ascii="Arial" w:eastAsia="Times New Roman" w:hAnsi="Arial" w:cs="Arial"/>
          <w:b/>
          <w:lang w:val="es-MX" w:eastAsia="x-none"/>
        </w:rPr>
        <w:t xml:space="preserve"> – </w:t>
      </w:r>
      <w:r w:rsidRPr="006021A0">
        <w:rPr>
          <w:rFonts w:ascii="Arial" w:eastAsia="Times New Roman" w:hAnsi="Arial" w:cs="Arial"/>
          <w:b/>
          <w:lang w:val="es-MX" w:eastAsia="x-none"/>
        </w:rPr>
        <w:t xml:space="preserve">Definición – Elementos </w:t>
      </w:r>
    </w:p>
    <w:p w14:paraId="3577D383" w14:textId="77777777" w:rsidR="003B76F1" w:rsidRPr="002E4D55" w:rsidRDefault="003B76F1" w:rsidP="00415D72">
      <w:pPr>
        <w:spacing w:after="120" w:line="240" w:lineRule="auto"/>
        <w:contextualSpacing/>
        <w:jc w:val="both"/>
        <w:rPr>
          <w:rFonts w:ascii="Arial" w:eastAsia="Times New Roman" w:hAnsi="Arial" w:cs="Arial"/>
          <w:bCs/>
          <w:sz w:val="20"/>
          <w:szCs w:val="20"/>
          <w:lang w:val="es-MX" w:eastAsia="x-none"/>
        </w:rPr>
      </w:pPr>
    </w:p>
    <w:p w14:paraId="7F8D154D" w14:textId="77777777" w:rsidR="00FD22D1" w:rsidRDefault="002E4D55" w:rsidP="00FD22D1">
      <w:pPr>
        <w:spacing w:after="0" w:line="240" w:lineRule="auto"/>
        <w:jc w:val="both"/>
        <w:rPr>
          <w:rFonts w:ascii="Arial" w:eastAsia="Calibri" w:hAnsi="Arial" w:cs="Arial"/>
          <w:sz w:val="20"/>
          <w:szCs w:val="20"/>
          <w:lang w:val="es-MX"/>
        </w:rPr>
      </w:pPr>
      <w:r w:rsidRPr="002E4D55">
        <w:rPr>
          <w:rFonts w:ascii="Arial" w:eastAsia="Calibri" w:hAnsi="Arial" w:cs="Arial"/>
          <w:sz w:val="20"/>
          <w:szCs w:val="20"/>
          <w:lang w:val="es-MX"/>
        </w:rPr>
        <w:t xml:space="preserve">Los acuerdos voluntarios de conservación, conforme con el literal c) del artículo 5 del Decreto-Ley 870 de 2017 son «el mecanismo a través del cual se formalizan los compromisos entre los </w:t>
      </w:r>
      <w:r w:rsidRPr="002E4D55">
        <w:rPr>
          <w:rFonts w:ascii="Arial" w:eastAsia="Calibri" w:hAnsi="Arial" w:cs="Arial"/>
          <w:sz w:val="20"/>
          <w:szCs w:val="20"/>
          <w:lang w:val="es-MX"/>
        </w:rPr>
        <w:lastRenderedPageBreak/>
        <w:t xml:space="preserve">interesados en los servicios ambientales y los beneficiarios del incentivo, para el desarrollo de acciones de preservación y restauración de áreas y ecosistemas estratégicos». De esta definición, se observa, en primer lugar, que en ella se establecen los pagos por servicios ambientales como el objeto de los acuerdos voluntarios de conservación, que en el artículo 4 del referido Decreto son «el incentivo económico en dinero o en especie que reconocen los interesados de los servicios ambientales a los propietarios, poseedores u ocupantes de buena fe exenta de culpa por las acciones de preservación y restauración en áreas y ecosistemas estratégicos, mediante la celebración de acuerdos voluntarios entre los interesados y beneficiarios de los servicios ambientales». Se observa que en la definición de los acuerdos voluntarios establecida por el decreto-ley se señaló que, en estos acuerdos, beneficiarios e interesados deben estipular los compromisos entre ellos, a efectos de desarrollar las acciones de preservación y restauración de las áreas o ecosistemas estratégicos. En el caso de los interesados, la principal obligación consiste en el pago de los servicios ambientales, que conforme con el artículo 2.2.9.8.1.4. del Decreto 1007 de 2018, corresponde al incentivo económico en dinero o especie reconocidos por estos sujetos a los beneficiarios por las acciones de conservación. Por su parte, los beneficiarios tendrán como compromisos u obligaciones realizar las acciones de preservación o conservación de las áreas protegidas. </w:t>
      </w:r>
    </w:p>
    <w:p w14:paraId="2D2677B3" w14:textId="12F12AD3" w:rsidR="002E4D55" w:rsidRDefault="002E4D55" w:rsidP="00FD22D1">
      <w:pPr>
        <w:spacing w:after="0" w:line="240" w:lineRule="auto"/>
        <w:jc w:val="both"/>
        <w:rPr>
          <w:rFonts w:ascii="Arial" w:eastAsia="Calibri" w:hAnsi="Arial" w:cs="Arial"/>
          <w:sz w:val="20"/>
          <w:szCs w:val="20"/>
          <w:lang w:val="es-MX"/>
        </w:rPr>
      </w:pPr>
      <w:r w:rsidRPr="00FD22D1">
        <w:rPr>
          <w:rFonts w:ascii="Arial" w:eastAsia="Calibri" w:hAnsi="Arial" w:cs="Arial"/>
          <w:sz w:val="20"/>
          <w:szCs w:val="20"/>
          <w:lang w:val="es-MX"/>
        </w:rPr>
        <w:t xml:space="preserve">En segundo lugar, se observa de las definiciones citadas que los sujetos que suscriben estos acuerdos son dos: de un lado, los interesados en servicios ambientales y, de otro, los beneficiarios del incentivo. Los primeros, conforme con el literal a) del artículo 5 del Decreto 870 de 2017, son «las personas naturales o jurídicas, públicas, privadas o mixtas, que reconocen el incentivo económico de pago por servicios ambientales de forma voluntaria o en el marco del cumplimiento de las obligaciones derivadas de autorizaciones ambientales». Los segundos, es decir, los beneficiarios del incentivo, conforme con el literal b) del artículo 5 del Decreto 870 de 2017, son «propietarios, poseedores u ocupantes de buena fe exenta de culpa de predios ubicados en las áreas y ecosistemas estratégicos, que reciben el incentivo condicionado al cumplimiento de las acciones de preservación y restauración suscritas a través de un acuerdo voluntario». </w:t>
      </w:r>
    </w:p>
    <w:p w14:paraId="4904A13E" w14:textId="51AA9107" w:rsidR="006021A0" w:rsidRPr="006021A0" w:rsidRDefault="006021A0" w:rsidP="00FD22D1">
      <w:pPr>
        <w:spacing w:after="0" w:line="240" w:lineRule="auto"/>
        <w:jc w:val="both"/>
        <w:rPr>
          <w:rFonts w:ascii="Arial" w:eastAsia="Calibri" w:hAnsi="Arial" w:cs="Arial"/>
          <w:lang w:val="es-MX"/>
        </w:rPr>
      </w:pPr>
    </w:p>
    <w:p w14:paraId="178A9AA7" w14:textId="60F75C81" w:rsidR="006021A0" w:rsidRPr="006021A0" w:rsidRDefault="006021A0" w:rsidP="00FD22D1">
      <w:pPr>
        <w:spacing w:after="0" w:line="240" w:lineRule="auto"/>
        <w:jc w:val="both"/>
        <w:rPr>
          <w:rFonts w:ascii="Arial" w:eastAsia="Calibri" w:hAnsi="Arial" w:cs="Arial"/>
          <w:b/>
          <w:bCs/>
          <w:lang w:val="es-MX"/>
        </w:rPr>
      </w:pPr>
      <w:r w:rsidRPr="006021A0">
        <w:rPr>
          <w:rFonts w:ascii="Arial" w:eastAsia="Calibri" w:hAnsi="Arial" w:cs="Arial"/>
          <w:b/>
          <w:bCs/>
          <w:lang w:val="es-MX"/>
        </w:rPr>
        <w:t xml:space="preserve">ACUERDOS VOLUNTARIOS DE CONSERVACIÓN – Naturaleza jurídica </w:t>
      </w:r>
      <w:r w:rsidR="00930485" w:rsidRPr="006021A0">
        <w:rPr>
          <w:rFonts w:ascii="Arial" w:eastAsia="Calibri" w:hAnsi="Arial" w:cs="Arial"/>
          <w:b/>
          <w:bCs/>
          <w:lang w:val="es-MX"/>
        </w:rPr>
        <w:t>– Contractual</w:t>
      </w:r>
      <w:r w:rsidRPr="006021A0">
        <w:rPr>
          <w:rFonts w:ascii="Arial" w:eastAsia="Calibri" w:hAnsi="Arial" w:cs="Arial"/>
          <w:b/>
          <w:bCs/>
          <w:lang w:val="es-MX"/>
        </w:rPr>
        <w:t xml:space="preserve"> </w:t>
      </w:r>
      <w:r>
        <w:rPr>
          <w:rFonts w:ascii="Arial" w:eastAsia="Calibri" w:hAnsi="Arial" w:cs="Arial"/>
          <w:b/>
          <w:bCs/>
          <w:lang w:val="es-MX"/>
        </w:rPr>
        <w:t xml:space="preserve">– Postura – Corte Constitucional </w:t>
      </w:r>
    </w:p>
    <w:p w14:paraId="497D3CE2" w14:textId="64959699" w:rsidR="006021A0" w:rsidRDefault="006021A0" w:rsidP="00FD22D1">
      <w:pPr>
        <w:spacing w:after="0" w:line="240" w:lineRule="auto"/>
        <w:jc w:val="both"/>
        <w:rPr>
          <w:rFonts w:ascii="Arial" w:eastAsia="Calibri" w:hAnsi="Arial" w:cs="Arial"/>
          <w:sz w:val="20"/>
          <w:szCs w:val="20"/>
          <w:lang w:val="es-MX"/>
        </w:rPr>
      </w:pPr>
    </w:p>
    <w:p w14:paraId="59BF4605" w14:textId="678C7854" w:rsidR="006021A0" w:rsidRPr="006021A0" w:rsidRDefault="006021A0" w:rsidP="00FD22D1">
      <w:pPr>
        <w:spacing w:after="0" w:line="240" w:lineRule="auto"/>
        <w:jc w:val="both"/>
        <w:rPr>
          <w:rFonts w:ascii="Arial" w:eastAsia="Calibri" w:hAnsi="Arial" w:cs="Arial"/>
          <w:sz w:val="20"/>
          <w:szCs w:val="20"/>
          <w:lang w:val="es-MX"/>
        </w:rPr>
      </w:pPr>
      <w:r w:rsidRPr="006021A0">
        <w:rPr>
          <w:rFonts w:ascii="Arial" w:eastAsia="Calibri" w:hAnsi="Arial" w:cs="Arial"/>
          <w:sz w:val="20"/>
          <w:szCs w:val="20"/>
          <w:lang w:val="es-MX"/>
        </w:rPr>
        <w:t xml:space="preserve">Ahora, estos acuerdos voluntarios tienen naturaleza contractual, como se desprende de la regulación señalada anteriormente, naturaleza que también ha sido reconocida por la Corte Constitucional, según la cual «dichos acuerdos tienen la naturaleza de ser instrumentos contractuales que formalizan voluntariamente los compromisos, en donde se indica el objeto, se definen las acciones, su periodicidad, los parámetros del incentivo, las obligaciones de las partes, e incluso las causales de incumplimiento». </w:t>
      </w:r>
    </w:p>
    <w:p w14:paraId="1DF0C904" w14:textId="395C60D7" w:rsidR="00FD22D1" w:rsidRPr="006021A0" w:rsidRDefault="00FD22D1" w:rsidP="00FD22D1">
      <w:pPr>
        <w:spacing w:after="0" w:line="240" w:lineRule="auto"/>
        <w:jc w:val="both"/>
        <w:rPr>
          <w:rFonts w:ascii="Arial" w:eastAsia="Calibri" w:hAnsi="Arial" w:cs="Arial"/>
          <w:lang w:val="es-MX"/>
        </w:rPr>
      </w:pPr>
    </w:p>
    <w:p w14:paraId="27FBEF66" w14:textId="56C55175" w:rsidR="00FD22D1" w:rsidRPr="006021A0" w:rsidRDefault="006021A0" w:rsidP="00FD22D1">
      <w:pPr>
        <w:spacing w:after="0" w:line="240" w:lineRule="auto"/>
        <w:jc w:val="both"/>
        <w:rPr>
          <w:rFonts w:ascii="Arial" w:eastAsia="Calibri" w:hAnsi="Arial" w:cs="Arial"/>
          <w:b/>
          <w:bCs/>
          <w:lang w:val="es-MX"/>
        </w:rPr>
      </w:pPr>
      <w:r w:rsidRPr="006021A0">
        <w:rPr>
          <w:rFonts w:ascii="Arial" w:eastAsia="Calibri" w:hAnsi="Arial" w:cs="Arial"/>
          <w:b/>
          <w:bCs/>
          <w:lang w:val="es-MX"/>
        </w:rPr>
        <w:t xml:space="preserve">LEY DE GARANTÍAS ELECTORALES – Aplicación – Acuerdos voluntarios de conservación </w:t>
      </w:r>
    </w:p>
    <w:p w14:paraId="29C6A52F" w14:textId="77777777" w:rsidR="006021A0" w:rsidRPr="00FD22D1" w:rsidRDefault="006021A0" w:rsidP="00FD22D1">
      <w:pPr>
        <w:spacing w:after="0" w:line="240" w:lineRule="auto"/>
        <w:jc w:val="both"/>
        <w:rPr>
          <w:rFonts w:ascii="Arial" w:eastAsia="Calibri" w:hAnsi="Arial" w:cs="Arial"/>
          <w:sz w:val="20"/>
          <w:szCs w:val="20"/>
          <w:lang w:val="es-MX"/>
        </w:rPr>
      </w:pPr>
    </w:p>
    <w:p w14:paraId="0E174B24" w14:textId="2C6C2E90" w:rsidR="00F06958" w:rsidRPr="006021A0" w:rsidRDefault="006021A0" w:rsidP="006021A0">
      <w:pPr>
        <w:spacing w:after="200" w:line="240" w:lineRule="auto"/>
        <w:jc w:val="both"/>
        <w:rPr>
          <w:rFonts w:ascii="Arial" w:eastAsia="Calibri" w:hAnsi="Arial" w:cs="Arial"/>
          <w:b/>
          <w:bCs/>
          <w:sz w:val="20"/>
          <w:szCs w:val="20"/>
          <w:lang w:val="es-MX"/>
        </w:rPr>
      </w:pPr>
      <w:r w:rsidRPr="006021A0">
        <w:rPr>
          <w:rFonts w:ascii="Arial" w:eastAsia="Calibri" w:hAnsi="Arial" w:cs="Arial"/>
          <w:sz w:val="20"/>
          <w:szCs w:val="20"/>
          <w:lang w:val="es-MX"/>
        </w:rPr>
        <w:t>S</w:t>
      </w:r>
      <w:r w:rsidR="002E4D55" w:rsidRPr="006021A0">
        <w:rPr>
          <w:rFonts w:ascii="Arial" w:eastAsia="Calibri" w:hAnsi="Arial" w:cs="Arial"/>
          <w:sz w:val="20"/>
          <w:szCs w:val="20"/>
          <w:lang w:val="es-MX"/>
        </w:rPr>
        <w:t xml:space="preserve">in perjuicio de que el análisis respecto a la aplicación de las prohibiciones establecidas en la Ley de Garantías Electorales le corresponda realizarlo a cada entidad estatal, se considera que cuando el interesado en servicios ambientales de un acuerdo voluntario de conservación sea un ente del Estado, aplicará la prohibición prevista en el artículo 33 de la Ley de Garantías Electorales, en tanto dichos contratos se celebren de forma directa. En efecto, como se explicó anteriormente, con fundamento, entre otros, en distintos pronunciamientos de la Sala de Consulta y Servicio Civil del Consejo de Estado, la prohibición de la contratación directa por parte de todos los entes del Estado no está dirigida exclusivamente a los procesos de contratación regidos por el Estatuto General de Contratación de la Administración Pública, sino que aplica «[…] sin distinción del “régimen jurídico, forma de organización o naturaleza, su pertenencia a una u otra rama del poder público o su autonomía […]», precisando que «el enunciado “contratación directa” es sinónimo de cualquier sistema que no implique convocatoria pública y posibilidad de pluralidad de oferentes, y que, </w:t>
      </w:r>
      <w:r w:rsidR="002E4D55" w:rsidRPr="006021A0">
        <w:rPr>
          <w:rFonts w:ascii="Arial" w:eastAsia="Calibri" w:hAnsi="Arial" w:cs="Arial"/>
          <w:sz w:val="20"/>
          <w:szCs w:val="20"/>
          <w:lang w:val="es-MX"/>
        </w:rPr>
        <w:lastRenderedPageBreak/>
        <w:t>además, no necesariamente hace referencia al procedimiento especial regulado por la ley de contratación estatal, sino a cual otro que prescinda de un proceso de licitación pública o concurso» . Lo anterior, sin perjuicio de las excepciones a la prohibición de contratación directa establecidas en el inciso segundo del artículo 33 de la Ley 996 de 2005, por lo que en cada contrato se deberá analizar si se configura alguno de dichos supuestos.</w:t>
      </w:r>
      <w:r w:rsidR="00F06958" w:rsidRPr="006021A0">
        <w:rPr>
          <w:rFonts w:ascii="Arial" w:eastAsia="Calibri" w:hAnsi="Arial" w:cs="Arial"/>
          <w:b/>
          <w:bCs/>
          <w:sz w:val="20"/>
          <w:szCs w:val="20"/>
          <w:lang w:val="es-MX"/>
        </w:rPr>
        <w:br w:type="page"/>
      </w:r>
    </w:p>
    <w:p w14:paraId="3398216E" w14:textId="6AA60186" w:rsidR="00F06958" w:rsidRPr="002E4D55" w:rsidRDefault="00F06958" w:rsidP="007843A9">
      <w:pPr>
        <w:spacing w:after="0" w:line="276" w:lineRule="auto"/>
        <w:jc w:val="right"/>
        <w:rPr>
          <w:rFonts w:ascii="Arial" w:eastAsia="Calibri" w:hAnsi="Arial" w:cs="Arial"/>
          <w:b/>
          <w:bCs/>
          <w:sz w:val="16"/>
          <w:szCs w:val="16"/>
        </w:rPr>
      </w:pPr>
      <w:bookmarkStart w:id="7" w:name="_Hlk29890381"/>
      <w:bookmarkEnd w:id="7"/>
      <w:r w:rsidRPr="002E4D55">
        <w:rPr>
          <w:rFonts w:ascii="Arial" w:eastAsia="Times New Roman" w:hAnsi="Arial" w:cs="Arial"/>
          <w:b/>
          <w:bCs/>
          <w:sz w:val="16"/>
          <w:szCs w:val="16"/>
          <w:lang w:eastAsia="es-ES"/>
        </w:rPr>
        <w:lastRenderedPageBreak/>
        <w:t>CCE-DES-FM-17</w:t>
      </w:r>
    </w:p>
    <w:p w14:paraId="6E474E27" w14:textId="77777777" w:rsidR="00F06958" w:rsidRPr="002E4D55" w:rsidRDefault="00F06958" w:rsidP="00F06958">
      <w:pPr>
        <w:tabs>
          <w:tab w:val="left" w:pos="3374"/>
        </w:tabs>
        <w:spacing w:after="0" w:line="240" w:lineRule="auto"/>
        <w:jc w:val="right"/>
        <w:rPr>
          <w:rFonts w:ascii="Arial" w:eastAsia="Calibri" w:hAnsi="Arial" w:cs="Arial"/>
          <w:lang w:val="es-MX"/>
        </w:rPr>
      </w:pPr>
    </w:p>
    <w:p w14:paraId="408E1C2A" w14:textId="68E83D5B" w:rsidR="00F06958" w:rsidRPr="002E4D55" w:rsidRDefault="6B403BAF" w:rsidP="003A6125">
      <w:pPr>
        <w:spacing w:after="0" w:line="240" w:lineRule="auto"/>
        <w:ind w:left="3540"/>
        <w:jc w:val="right"/>
      </w:pPr>
      <w:r>
        <w:rPr>
          <w:noProof/>
        </w:rPr>
        <w:drawing>
          <wp:inline distT="0" distB="0" distL="0" distR="0" wp14:anchorId="6016E77E" wp14:editId="564EB93C">
            <wp:extent cx="1990725" cy="533400"/>
            <wp:effectExtent l="0" t="0" r="0" b="0"/>
            <wp:docPr id="633319191" name="Imagen 63331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90725" cy="533400"/>
                    </a:xfrm>
                    <a:prstGeom prst="rect">
                      <a:avLst/>
                    </a:prstGeom>
                  </pic:spPr>
                </pic:pic>
              </a:graphicData>
            </a:graphic>
          </wp:inline>
        </w:drawing>
      </w:r>
    </w:p>
    <w:p w14:paraId="44BD9508" w14:textId="77777777" w:rsidR="00F06958" w:rsidRPr="002E4D55" w:rsidRDefault="00F06958" w:rsidP="00F06958">
      <w:pPr>
        <w:spacing w:after="0" w:line="240" w:lineRule="auto"/>
        <w:jc w:val="right"/>
        <w:rPr>
          <w:rFonts w:ascii="Arial" w:eastAsia="Calibri" w:hAnsi="Arial" w:cs="Arial"/>
        </w:rPr>
      </w:pPr>
    </w:p>
    <w:p w14:paraId="6AEE5019" w14:textId="60391211" w:rsidR="6B403BAF" w:rsidRDefault="6B403BAF" w:rsidP="6B403BAF">
      <w:pPr>
        <w:spacing w:after="0" w:line="240" w:lineRule="auto"/>
        <w:jc w:val="right"/>
        <w:rPr>
          <w:rFonts w:ascii="Arial" w:eastAsia="Calibri" w:hAnsi="Arial" w:cs="Arial"/>
        </w:rPr>
      </w:pPr>
    </w:p>
    <w:p w14:paraId="354BE2B2" w14:textId="65252E52" w:rsidR="6B403BAF" w:rsidRDefault="6B403BAF" w:rsidP="6B403BAF">
      <w:pPr>
        <w:spacing w:after="0" w:line="240" w:lineRule="auto"/>
      </w:pPr>
      <w:r w:rsidRPr="6B403BAF">
        <w:rPr>
          <w:rFonts w:ascii="Arial" w:eastAsia="Calibri" w:hAnsi="Arial" w:cs="Arial"/>
        </w:rPr>
        <w:t>Bogotá D.C., 13 Julio 2022</w:t>
      </w:r>
    </w:p>
    <w:p w14:paraId="48E86363" w14:textId="6464ABE9" w:rsidR="6B403BAF" w:rsidRDefault="6B403BAF" w:rsidP="6B403BAF">
      <w:pPr>
        <w:spacing w:after="0" w:line="240" w:lineRule="auto"/>
        <w:rPr>
          <w:rFonts w:ascii="Arial" w:eastAsia="Calibri" w:hAnsi="Arial" w:cs="Arial"/>
        </w:rPr>
      </w:pPr>
    </w:p>
    <w:p w14:paraId="3D357310" w14:textId="117FBA1B" w:rsidR="6B403BAF" w:rsidRDefault="6B403BAF" w:rsidP="6B403BAF">
      <w:pPr>
        <w:spacing w:after="0" w:line="240" w:lineRule="auto"/>
        <w:rPr>
          <w:rFonts w:ascii="Arial" w:eastAsia="Calibri" w:hAnsi="Arial" w:cs="Arial"/>
        </w:rPr>
      </w:pPr>
    </w:p>
    <w:p w14:paraId="380B3A2F" w14:textId="42992F61" w:rsidR="00F06958" w:rsidRPr="002E4D55" w:rsidRDefault="00B5657D" w:rsidP="00F06958">
      <w:pPr>
        <w:spacing w:after="0" w:line="240" w:lineRule="auto"/>
        <w:jc w:val="both"/>
        <w:rPr>
          <w:rFonts w:ascii="Arial" w:eastAsia="Calibri" w:hAnsi="Arial" w:cs="Arial"/>
        </w:rPr>
      </w:pPr>
      <w:bookmarkStart w:id="8" w:name="_Hlk96417464"/>
      <w:r w:rsidRPr="002E4D55">
        <w:rPr>
          <w:rFonts w:ascii="Arial" w:eastAsia="Calibri" w:hAnsi="Arial" w:cs="Arial"/>
        </w:rPr>
        <w:t>Doctora</w:t>
      </w:r>
    </w:p>
    <w:p w14:paraId="21C3F498" w14:textId="76DF7A65" w:rsidR="00F06958" w:rsidRPr="002E4D55" w:rsidRDefault="00FC7C05" w:rsidP="00F06958">
      <w:pPr>
        <w:spacing w:after="0" w:line="240" w:lineRule="auto"/>
        <w:jc w:val="both"/>
        <w:rPr>
          <w:rFonts w:ascii="Arial" w:eastAsia="Calibri" w:hAnsi="Arial" w:cs="Arial"/>
          <w:b/>
        </w:rPr>
      </w:pPr>
      <w:r w:rsidRPr="002E4D55">
        <w:rPr>
          <w:rFonts w:ascii="Arial" w:eastAsia="Calibri" w:hAnsi="Arial" w:cs="Arial"/>
          <w:b/>
        </w:rPr>
        <w:t xml:space="preserve">Katerin </w:t>
      </w:r>
      <w:proofErr w:type="spellStart"/>
      <w:r w:rsidRPr="002E4D55">
        <w:rPr>
          <w:rFonts w:ascii="Arial" w:eastAsia="Calibri" w:hAnsi="Arial" w:cs="Arial"/>
          <w:b/>
        </w:rPr>
        <w:t>Brigith</w:t>
      </w:r>
      <w:proofErr w:type="spellEnd"/>
      <w:r w:rsidRPr="002E4D55">
        <w:rPr>
          <w:rFonts w:ascii="Arial" w:eastAsia="Calibri" w:hAnsi="Arial" w:cs="Arial"/>
          <w:b/>
        </w:rPr>
        <w:t xml:space="preserve"> Bohórquez Nieto</w:t>
      </w:r>
      <w:r w:rsidR="00B5657D" w:rsidRPr="002E4D55">
        <w:rPr>
          <w:rFonts w:ascii="Arial" w:eastAsia="Calibri" w:hAnsi="Arial" w:cs="Arial"/>
          <w:b/>
        </w:rPr>
        <w:t xml:space="preserve"> </w:t>
      </w:r>
    </w:p>
    <w:p w14:paraId="758B24B0" w14:textId="4CDAB092" w:rsidR="00F06958" w:rsidRPr="002E4D55" w:rsidRDefault="00F06958" w:rsidP="00F06958">
      <w:pPr>
        <w:spacing w:after="0" w:line="240" w:lineRule="auto"/>
        <w:jc w:val="both"/>
        <w:rPr>
          <w:rFonts w:ascii="Arial" w:eastAsia="Calibri" w:hAnsi="Arial" w:cs="Arial"/>
        </w:rPr>
      </w:pPr>
      <w:r w:rsidRPr="002E4D55">
        <w:rPr>
          <w:rFonts w:ascii="Arial" w:eastAsia="Calibri" w:hAnsi="Arial" w:cs="Arial"/>
        </w:rPr>
        <w:t>Ciudad</w:t>
      </w:r>
    </w:p>
    <w:p w14:paraId="760B59FD" w14:textId="77777777" w:rsidR="00F06958" w:rsidRPr="002E4D55" w:rsidRDefault="00F06958" w:rsidP="00F06958">
      <w:pPr>
        <w:spacing w:after="0" w:line="240" w:lineRule="auto"/>
        <w:jc w:val="both"/>
        <w:rPr>
          <w:rFonts w:ascii="Arial" w:eastAsia="Calibri" w:hAnsi="Arial" w:cs="Arial"/>
        </w:rPr>
      </w:pPr>
    </w:p>
    <w:p w14:paraId="2C882809" w14:textId="77777777" w:rsidR="00F06958" w:rsidRPr="002E4D55" w:rsidRDefault="00F06958" w:rsidP="00F06958">
      <w:pPr>
        <w:spacing w:after="0" w:line="240" w:lineRule="auto"/>
        <w:jc w:val="both"/>
        <w:rPr>
          <w:rFonts w:ascii="Arial" w:eastAsia="Calibri" w:hAnsi="Arial" w:cs="Arial"/>
        </w:rPr>
      </w:pPr>
    </w:p>
    <w:p w14:paraId="7E74B51C" w14:textId="509EB50B" w:rsidR="00F06958" w:rsidRPr="002E4D55" w:rsidRDefault="00F06958" w:rsidP="00F06958">
      <w:pPr>
        <w:spacing w:after="0" w:line="240" w:lineRule="auto"/>
        <w:jc w:val="both"/>
        <w:rPr>
          <w:rFonts w:ascii="Arial" w:eastAsia="Calibri" w:hAnsi="Arial" w:cs="Arial"/>
        </w:rPr>
      </w:pPr>
      <w:r w:rsidRPr="002E4D55">
        <w:rPr>
          <w:rFonts w:ascii="Arial" w:eastAsia="Calibri" w:hAnsi="Arial" w:cs="Arial"/>
        </w:rPr>
        <w:t xml:space="preserve">                                            </w:t>
      </w:r>
      <w:r w:rsidRPr="002E4D55">
        <w:rPr>
          <w:rFonts w:ascii="Arial" w:eastAsia="Calibri" w:hAnsi="Arial" w:cs="Arial"/>
          <w:b/>
        </w:rPr>
        <w:t>Concepto C –</w:t>
      </w:r>
      <w:r w:rsidR="00E37FDF" w:rsidRPr="002E4D55">
        <w:rPr>
          <w:rFonts w:ascii="Arial" w:eastAsia="Calibri" w:hAnsi="Arial" w:cs="Arial"/>
          <w:b/>
        </w:rPr>
        <w:t>4</w:t>
      </w:r>
      <w:r w:rsidR="008B4AED" w:rsidRPr="002E4D55">
        <w:rPr>
          <w:rFonts w:ascii="Arial" w:eastAsia="Calibri" w:hAnsi="Arial" w:cs="Arial"/>
          <w:b/>
        </w:rPr>
        <w:t>42</w:t>
      </w:r>
      <w:r w:rsidRPr="002E4D55">
        <w:rPr>
          <w:rFonts w:ascii="Arial" w:eastAsia="Calibri" w:hAnsi="Arial" w:cs="Arial"/>
          <w:b/>
        </w:rPr>
        <w:t xml:space="preserve"> de 2022</w:t>
      </w:r>
      <w:r w:rsidRPr="002E4D55">
        <w:rPr>
          <w:rFonts w:ascii="Arial" w:eastAsia="Calibri" w:hAnsi="Arial" w:cs="Arial"/>
        </w:rPr>
        <w:t xml:space="preserve"> </w:t>
      </w:r>
    </w:p>
    <w:p w14:paraId="5E54FD30" w14:textId="77777777" w:rsidR="00F06958" w:rsidRPr="002E4D55" w:rsidRDefault="00F06958" w:rsidP="00F06958">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06958" w:rsidRPr="002E4D55" w14:paraId="5887358F" w14:textId="77777777" w:rsidTr="00B66771">
        <w:trPr>
          <w:trHeight w:val="485"/>
        </w:trPr>
        <w:tc>
          <w:tcPr>
            <w:tcW w:w="2689" w:type="dxa"/>
            <w:hideMark/>
          </w:tcPr>
          <w:p w14:paraId="7D820AC0" w14:textId="77777777" w:rsidR="00F06958" w:rsidRPr="002E4D55" w:rsidRDefault="00F06958" w:rsidP="00F06958">
            <w:pPr>
              <w:contextualSpacing/>
              <w:rPr>
                <w:rFonts w:ascii="Arial" w:eastAsia="Calibri" w:hAnsi="Arial" w:cs="Arial"/>
                <w:noProof/>
                <w:lang w:val="es-ES_tradnl"/>
              </w:rPr>
            </w:pPr>
            <w:r w:rsidRPr="002E4D55">
              <w:rPr>
                <w:rFonts w:ascii="Arial" w:eastAsia="Calibri" w:hAnsi="Arial" w:cs="Arial"/>
                <w:b/>
                <w:noProof/>
                <w:lang w:val="es-ES_tradnl"/>
              </w:rPr>
              <w:t>Temas:</w:t>
            </w:r>
            <w:r w:rsidRPr="002E4D55">
              <w:rPr>
                <w:rFonts w:ascii="Arial" w:eastAsia="Calibri" w:hAnsi="Arial" w:cs="Arial"/>
                <w:noProof/>
                <w:lang w:val="es-ES_tradnl"/>
              </w:rPr>
              <w:t xml:space="preserve">        </w:t>
            </w:r>
          </w:p>
        </w:tc>
        <w:tc>
          <w:tcPr>
            <w:tcW w:w="6237" w:type="dxa"/>
            <w:hideMark/>
          </w:tcPr>
          <w:p w14:paraId="414144DF" w14:textId="0A45F341" w:rsidR="006021A0" w:rsidRPr="006021A0" w:rsidRDefault="00F06958" w:rsidP="006021A0">
            <w:pPr>
              <w:jc w:val="both"/>
              <w:rPr>
                <w:rFonts w:ascii="Arial" w:eastAsia="Calibri" w:hAnsi="Arial" w:cs="Arial"/>
                <w:bCs/>
                <w:lang w:val="es-MX"/>
              </w:rPr>
            </w:pPr>
            <w:r w:rsidRPr="002E4D55">
              <w:rPr>
                <w:rFonts w:ascii="Arial" w:eastAsia="Calibri" w:hAnsi="Arial" w:cs="Arial"/>
                <w:bCs/>
                <w:lang w:val="es-MX"/>
              </w:rPr>
              <w:t xml:space="preserve">LEY DE GARANTÍAS ELECTORALES ‒ Tipos de restricciones ‒ Ámbito temporal / LEY DE GARANTÍAS ELECTORALES ─ Prohibición ‒ Contratación directa ‒ Alcance – Excepciones / LEY DE GARANTÍAS </w:t>
            </w:r>
            <w:r w:rsidRPr="006021A0">
              <w:rPr>
                <w:rFonts w:ascii="Arial" w:eastAsia="Calibri" w:hAnsi="Arial" w:cs="Arial"/>
                <w:bCs/>
                <w:lang w:val="es-MX"/>
              </w:rPr>
              <w:t>ELECTORALES ‒ Prohibición del artículo 33 ‒ Destinatarios</w:t>
            </w:r>
            <w:r w:rsidR="003B76F1" w:rsidRPr="006021A0">
              <w:rPr>
                <w:rFonts w:ascii="Arial" w:eastAsia="Calibri" w:hAnsi="Arial" w:cs="Arial"/>
                <w:bCs/>
                <w:lang w:val="es-MX"/>
              </w:rPr>
              <w:t xml:space="preserve">/ </w:t>
            </w:r>
            <w:r w:rsidR="00FD22D1" w:rsidRPr="006021A0">
              <w:rPr>
                <w:rFonts w:ascii="Arial" w:eastAsia="Times New Roman" w:hAnsi="Arial" w:cs="Arial"/>
                <w:bCs/>
                <w:lang w:val="es-MX" w:eastAsia="x-none"/>
              </w:rPr>
              <w:t xml:space="preserve">ACUERDOS VOLUNTARIOS DE CONSERVACIÓN – Definición – Elementos/ </w:t>
            </w:r>
            <w:r w:rsidR="006021A0" w:rsidRPr="006021A0">
              <w:rPr>
                <w:rFonts w:ascii="Arial" w:eastAsia="Calibri" w:hAnsi="Arial" w:cs="Arial"/>
                <w:bCs/>
                <w:lang w:val="es-MX"/>
              </w:rPr>
              <w:t xml:space="preserve">ACUERDOS VOLUNTARIOS DE CONSERVACIÓN – Naturaleza jurídica </w:t>
            </w:r>
            <w:proofErr w:type="gramStart"/>
            <w:r w:rsidR="006021A0" w:rsidRPr="006021A0">
              <w:rPr>
                <w:rFonts w:ascii="Arial" w:eastAsia="Calibri" w:hAnsi="Arial" w:cs="Arial"/>
                <w:bCs/>
                <w:lang w:val="es-MX"/>
              </w:rPr>
              <w:t>–  Contractual</w:t>
            </w:r>
            <w:proofErr w:type="gramEnd"/>
            <w:r w:rsidR="006021A0" w:rsidRPr="006021A0">
              <w:rPr>
                <w:rFonts w:ascii="Arial" w:eastAsia="Calibri" w:hAnsi="Arial" w:cs="Arial"/>
                <w:bCs/>
                <w:lang w:val="es-MX"/>
              </w:rPr>
              <w:t xml:space="preserve"> – Postura – Corte Constitucional / LEY DE GARANTÍAS ELECTORALES – Aplicación – Acuerdos voluntarios de conservación/ </w:t>
            </w:r>
          </w:p>
          <w:p w14:paraId="08D01744" w14:textId="7FFBE358" w:rsidR="00FD22D1" w:rsidRPr="002E4D55" w:rsidRDefault="00FD22D1" w:rsidP="003B76F1">
            <w:pPr>
              <w:spacing w:after="120"/>
              <w:contextualSpacing/>
              <w:jc w:val="both"/>
              <w:rPr>
                <w:rFonts w:ascii="Arial" w:eastAsia="Times New Roman" w:hAnsi="Arial" w:cs="Arial"/>
                <w:b/>
                <w:sz w:val="20"/>
                <w:szCs w:val="20"/>
                <w:lang w:val="es-MX" w:eastAsia="x-none"/>
              </w:rPr>
            </w:pPr>
          </w:p>
          <w:p w14:paraId="30B2DAF8" w14:textId="51846010" w:rsidR="00F06958" w:rsidRPr="002E4D55" w:rsidRDefault="00F06958" w:rsidP="00E37FDF">
            <w:pPr>
              <w:spacing w:after="120"/>
              <w:ind w:right="703"/>
              <w:jc w:val="both"/>
              <w:rPr>
                <w:rFonts w:ascii="Arial" w:eastAsia="Calibri" w:hAnsi="Arial" w:cs="Arial"/>
                <w:bCs/>
                <w:lang w:val="es-MX"/>
              </w:rPr>
            </w:pPr>
          </w:p>
        </w:tc>
      </w:tr>
      <w:tr w:rsidR="00F06958" w:rsidRPr="002E4D55" w14:paraId="69AD5E67" w14:textId="77777777" w:rsidTr="00B66771">
        <w:tc>
          <w:tcPr>
            <w:tcW w:w="2689" w:type="dxa"/>
          </w:tcPr>
          <w:p w14:paraId="561E8FA5" w14:textId="77777777" w:rsidR="00F06958" w:rsidRPr="002E4D55" w:rsidRDefault="00F06958" w:rsidP="00F06958">
            <w:pPr>
              <w:contextualSpacing/>
              <w:rPr>
                <w:rFonts w:ascii="Arial" w:eastAsia="Calibri" w:hAnsi="Arial" w:cs="Arial"/>
                <w:b/>
                <w:noProof/>
                <w:lang w:val="es-ES_tradnl"/>
              </w:rPr>
            </w:pPr>
            <w:r w:rsidRPr="002E4D55">
              <w:rPr>
                <w:rFonts w:ascii="Arial" w:eastAsia="Calibri" w:hAnsi="Arial" w:cs="Arial"/>
                <w:b/>
                <w:noProof/>
                <w:lang w:val="es-ES_tradnl"/>
              </w:rPr>
              <w:t>Radicación:</w:t>
            </w:r>
            <w:r w:rsidRPr="002E4D55">
              <w:rPr>
                <w:rFonts w:ascii="Arial" w:eastAsia="Calibri" w:hAnsi="Arial" w:cs="Arial"/>
                <w:noProof/>
                <w:lang w:val="es-ES_tradnl"/>
              </w:rPr>
              <w:t xml:space="preserve">                              </w:t>
            </w:r>
          </w:p>
        </w:tc>
        <w:tc>
          <w:tcPr>
            <w:tcW w:w="6237" w:type="dxa"/>
          </w:tcPr>
          <w:p w14:paraId="6D798342" w14:textId="3572A467" w:rsidR="00F06958" w:rsidRPr="002E4D55" w:rsidRDefault="00F06958" w:rsidP="00F06958">
            <w:pPr>
              <w:contextualSpacing/>
              <w:jc w:val="both"/>
              <w:rPr>
                <w:rFonts w:ascii="Arial" w:eastAsia="Calibri" w:hAnsi="Arial" w:cs="Arial"/>
                <w:noProof/>
                <w:lang w:val="es-ES_tradnl"/>
              </w:rPr>
            </w:pPr>
            <w:r w:rsidRPr="002E4D55">
              <w:rPr>
                <w:rFonts w:ascii="Arial" w:eastAsia="Calibri" w:hAnsi="Arial" w:cs="Arial"/>
                <w:noProof/>
                <w:lang w:val="es-ES_tradnl"/>
              </w:rPr>
              <w:t xml:space="preserve">Respuesta a consulta </w:t>
            </w:r>
            <w:r w:rsidR="00FC7C05" w:rsidRPr="002E4D55">
              <w:rPr>
                <w:rFonts w:ascii="Arial" w:eastAsia="Calibri" w:hAnsi="Arial" w:cs="Arial"/>
                <w:noProof/>
                <w:lang w:val="es-ES_tradnl"/>
              </w:rPr>
              <w:t>P20220526005238</w:t>
            </w:r>
          </w:p>
        </w:tc>
      </w:tr>
    </w:tbl>
    <w:p w14:paraId="3B0B971F" w14:textId="77777777" w:rsidR="00F06958" w:rsidRPr="002E4D55" w:rsidRDefault="00F06958" w:rsidP="00F06958">
      <w:pPr>
        <w:spacing w:after="0" w:line="240" w:lineRule="auto"/>
        <w:jc w:val="both"/>
        <w:rPr>
          <w:rFonts w:ascii="Arial" w:eastAsia="Calibri" w:hAnsi="Arial" w:cs="Arial"/>
        </w:rPr>
      </w:pPr>
    </w:p>
    <w:p w14:paraId="46B143D9" w14:textId="77777777" w:rsidR="00F06958" w:rsidRPr="002E4D55" w:rsidRDefault="00F06958" w:rsidP="00F06958">
      <w:pPr>
        <w:spacing w:after="0" w:line="240" w:lineRule="auto"/>
        <w:jc w:val="both"/>
        <w:rPr>
          <w:rFonts w:ascii="Arial" w:eastAsia="Calibri" w:hAnsi="Arial" w:cs="Arial"/>
        </w:rPr>
      </w:pPr>
    </w:p>
    <w:p w14:paraId="1984AF88" w14:textId="0A19D2C5" w:rsidR="00F06958" w:rsidRPr="002E4D55" w:rsidRDefault="00F06958" w:rsidP="00F06958">
      <w:pPr>
        <w:spacing w:after="0" w:line="276" w:lineRule="auto"/>
        <w:jc w:val="both"/>
        <w:rPr>
          <w:rFonts w:ascii="Arial" w:eastAsia="Calibri" w:hAnsi="Arial" w:cs="Arial"/>
        </w:rPr>
      </w:pPr>
      <w:r w:rsidRPr="002E4D55">
        <w:rPr>
          <w:rFonts w:ascii="Arial" w:eastAsia="Calibri" w:hAnsi="Arial" w:cs="Arial"/>
        </w:rPr>
        <w:t xml:space="preserve">Estimada </w:t>
      </w:r>
      <w:r w:rsidR="00B5657D" w:rsidRPr="002E4D55">
        <w:rPr>
          <w:rFonts w:ascii="Arial" w:eastAsia="Calibri" w:hAnsi="Arial" w:cs="Arial"/>
        </w:rPr>
        <w:t xml:space="preserve">doctora </w:t>
      </w:r>
      <w:r w:rsidR="00FC7C05" w:rsidRPr="002E4D55">
        <w:rPr>
          <w:rFonts w:ascii="Arial" w:eastAsia="Calibri" w:hAnsi="Arial" w:cs="Arial"/>
        </w:rPr>
        <w:t>Bohórquez</w:t>
      </w:r>
      <w:r w:rsidR="00B5657D" w:rsidRPr="002E4D55">
        <w:rPr>
          <w:rFonts w:ascii="Arial" w:eastAsia="Calibri" w:hAnsi="Arial" w:cs="Arial"/>
        </w:rPr>
        <w:t xml:space="preserve">: </w:t>
      </w:r>
    </w:p>
    <w:p w14:paraId="124EA3C4" w14:textId="77777777" w:rsidR="00F06958" w:rsidRPr="002E4D55" w:rsidRDefault="00F06958" w:rsidP="00F06958">
      <w:pPr>
        <w:spacing w:after="0" w:line="276" w:lineRule="auto"/>
        <w:ind w:firstLine="709"/>
        <w:jc w:val="both"/>
        <w:rPr>
          <w:rFonts w:ascii="Arial" w:eastAsia="Calibri" w:hAnsi="Arial" w:cs="Arial"/>
        </w:rPr>
      </w:pPr>
    </w:p>
    <w:p w14:paraId="6DED41E2" w14:textId="2CF6B54A" w:rsidR="00F06958" w:rsidRPr="002E4D55" w:rsidRDefault="00F06958" w:rsidP="005B74B1">
      <w:pPr>
        <w:tabs>
          <w:tab w:val="left" w:pos="8080"/>
        </w:tabs>
        <w:spacing w:after="0" w:line="276" w:lineRule="auto"/>
        <w:jc w:val="both"/>
        <w:rPr>
          <w:rFonts w:ascii="Arial" w:eastAsia="Calibri" w:hAnsi="Arial" w:cs="Arial"/>
        </w:rPr>
      </w:pPr>
      <w:r w:rsidRPr="002E4D55">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w:t>
      </w:r>
      <w:r w:rsidR="00734534" w:rsidRPr="002E4D55">
        <w:rPr>
          <w:rFonts w:ascii="Arial" w:eastAsia="Calibri" w:hAnsi="Arial" w:cs="Arial"/>
        </w:rPr>
        <w:t xml:space="preserve">su consulta del </w:t>
      </w:r>
      <w:r w:rsidR="00351C50" w:rsidRPr="002E4D55">
        <w:rPr>
          <w:rFonts w:ascii="Arial" w:eastAsia="Calibri" w:hAnsi="Arial" w:cs="Arial"/>
        </w:rPr>
        <w:t>26 de mayo de 2022</w:t>
      </w:r>
      <w:r w:rsidR="0071303C" w:rsidRPr="002E4D55">
        <w:rPr>
          <w:rFonts w:ascii="Arial" w:eastAsia="Calibri" w:hAnsi="Arial" w:cs="Arial"/>
        </w:rPr>
        <w:t>.</w:t>
      </w:r>
      <w:r w:rsidR="00351C50" w:rsidRPr="002E4D55">
        <w:rPr>
          <w:rFonts w:ascii="Arial" w:eastAsia="Calibri" w:hAnsi="Arial" w:cs="Arial"/>
        </w:rPr>
        <w:t xml:space="preserve"> </w:t>
      </w:r>
      <w:r w:rsidRPr="002E4D55">
        <w:rPr>
          <w:rFonts w:ascii="Arial" w:eastAsia="Calibri" w:hAnsi="Arial" w:cs="Arial"/>
        </w:rPr>
        <w:t xml:space="preserve"> </w:t>
      </w:r>
    </w:p>
    <w:p w14:paraId="42057755" w14:textId="77777777" w:rsidR="00F06958" w:rsidRPr="002E4D55" w:rsidRDefault="00F06958" w:rsidP="00F06958">
      <w:pPr>
        <w:spacing w:after="0" w:line="276" w:lineRule="auto"/>
        <w:jc w:val="both"/>
        <w:rPr>
          <w:rFonts w:ascii="Arial" w:eastAsia="Calibri" w:hAnsi="Arial" w:cs="Arial"/>
        </w:rPr>
      </w:pPr>
    </w:p>
    <w:p w14:paraId="66BFD803" w14:textId="77777777" w:rsidR="00F06958" w:rsidRPr="002E4D55" w:rsidRDefault="00F06958" w:rsidP="00F06958">
      <w:pPr>
        <w:tabs>
          <w:tab w:val="left" w:pos="284"/>
        </w:tabs>
        <w:spacing w:after="0" w:line="276" w:lineRule="auto"/>
        <w:jc w:val="both"/>
        <w:rPr>
          <w:rFonts w:ascii="Arial" w:eastAsia="Calibri" w:hAnsi="Arial" w:cs="Arial"/>
          <w:b/>
        </w:rPr>
      </w:pPr>
      <w:r w:rsidRPr="002E4D55">
        <w:rPr>
          <w:rFonts w:ascii="Arial" w:eastAsia="Calibri" w:hAnsi="Arial" w:cs="Arial"/>
          <w:b/>
        </w:rPr>
        <w:t xml:space="preserve">1. Problema planteado </w:t>
      </w:r>
    </w:p>
    <w:p w14:paraId="68CEC6A6" w14:textId="77777777" w:rsidR="00F06958" w:rsidRPr="002E4D55" w:rsidRDefault="00F06958" w:rsidP="00F06958">
      <w:pPr>
        <w:tabs>
          <w:tab w:val="left" w:pos="284"/>
        </w:tabs>
        <w:spacing w:after="0" w:line="276" w:lineRule="auto"/>
        <w:ind w:firstLine="709"/>
        <w:contextualSpacing/>
        <w:jc w:val="both"/>
        <w:rPr>
          <w:rFonts w:ascii="Arial" w:eastAsia="Calibri" w:hAnsi="Arial" w:cs="Arial"/>
          <w:b/>
        </w:rPr>
      </w:pPr>
    </w:p>
    <w:p w14:paraId="72228983" w14:textId="09F9AAD2" w:rsidR="00DE576A" w:rsidRPr="002E4D55" w:rsidRDefault="00426CB3" w:rsidP="002E4D55">
      <w:pPr>
        <w:pStyle w:val="Default"/>
        <w:spacing w:line="276" w:lineRule="auto"/>
        <w:jc w:val="both"/>
        <w:rPr>
          <w:sz w:val="22"/>
          <w:szCs w:val="22"/>
        </w:rPr>
      </w:pPr>
      <w:bookmarkStart w:id="9" w:name="_Hlk58917991"/>
      <w:bookmarkStart w:id="10" w:name="_Hlk56103000"/>
      <w:r w:rsidRPr="002E4D55">
        <w:rPr>
          <w:rFonts w:eastAsia="Times New Roman"/>
          <w:sz w:val="22"/>
          <w:szCs w:val="22"/>
          <w:lang w:eastAsia="es-CO"/>
        </w:rPr>
        <w:t>U</w:t>
      </w:r>
      <w:r w:rsidR="00F06958" w:rsidRPr="002E4D55">
        <w:rPr>
          <w:rFonts w:eastAsia="Times New Roman"/>
          <w:sz w:val="22"/>
          <w:szCs w:val="22"/>
          <w:lang w:eastAsia="es-CO"/>
        </w:rPr>
        <w:t xml:space="preserve">sted realiza </w:t>
      </w:r>
      <w:r w:rsidR="00351C50" w:rsidRPr="002E4D55">
        <w:rPr>
          <w:rFonts w:eastAsia="Times New Roman"/>
          <w:sz w:val="22"/>
          <w:szCs w:val="22"/>
          <w:lang w:eastAsia="es-CO"/>
        </w:rPr>
        <w:t xml:space="preserve">la siguiente pregunta: </w:t>
      </w:r>
      <w:r w:rsidR="00351C50" w:rsidRPr="002E4D55">
        <w:rPr>
          <w:sz w:val="22"/>
          <w:szCs w:val="22"/>
        </w:rPr>
        <w:t>«</w:t>
      </w:r>
      <w:r w:rsidR="0011570A" w:rsidRPr="002E4D55">
        <w:rPr>
          <w:sz w:val="22"/>
          <w:szCs w:val="22"/>
        </w:rPr>
        <w:t xml:space="preserve">con respecto al Pago por servicios ambientales - PSA está estipulado bajo la ley firmar acuerdos voluntarios de conservación, para el caso en específico de la consulta se pretende firmar acuerdos con los entes territoriales (alcaldías municipales) y nos surge el interrogante si es legal firmar dichos acuerdos en el marco de ley de garantías». </w:t>
      </w:r>
    </w:p>
    <w:p w14:paraId="6E88E70A" w14:textId="77777777" w:rsidR="00F06958" w:rsidRPr="002E4D55" w:rsidRDefault="00F06958" w:rsidP="00F06958">
      <w:pPr>
        <w:tabs>
          <w:tab w:val="left" w:pos="426"/>
        </w:tabs>
        <w:spacing w:after="0" w:line="276" w:lineRule="auto"/>
        <w:jc w:val="both"/>
        <w:rPr>
          <w:rFonts w:ascii="Arial" w:eastAsia="Calibri" w:hAnsi="Arial" w:cs="Arial"/>
        </w:rPr>
      </w:pPr>
    </w:p>
    <w:bookmarkEnd w:id="9"/>
    <w:bookmarkEnd w:id="10"/>
    <w:p w14:paraId="1514502A" w14:textId="77777777" w:rsidR="00F06958" w:rsidRPr="002E4D55" w:rsidRDefault="00F06958" w:rsidP="00F06958">
      <w:pPr>
        <w:tabs>
          <w:tab w:val="left" w:pos="284"/>
        </w:tabs>
        <w:spacing w:after="0" w:line="276" w:lineRule="auto"/>
        <w:jc w:val="both"/>
        <w:rPr>
          <w:rFonts w:ascii="Arial" w:eastAsia="Calibri" w:hAnsi="Arial" w:cs="Arial"/>
          <w:b/>
        </w:rPr>
      </w:pPr>
      <w:r w:rsidRPr="002E4D55">
        <w:rPr>
          <w:rFonts w:ascii="Arial" w:eastAsia="Calibri" w:hAnsi="Arial" w:cs="Arial"/>
          <w:b/>
        </w:rPr>
        <w:t>2. Consideraciones</w:t>
      </w:r>
    </w:p>
    <w:p w14:paraId="47541387" w14:textId="77777777" w:rsidR="00F06958" w:rsidRPr="002E4D55" w:rsidRDefault="00F06958" w:rsidP="00F06958">
      <w:pPr>
        <w:tabs>
          <w:tab w:val="left" w:pos="426"/>
        </w:tabs>
        <w:spacing w:after="0" w:line="240" w:lineRule="auto"/>
        <w:ind w:firstLine="709"/>
        <w:jc w:val="both"/>
        <w:rPr>
          <w:rFonts w:ascii="Arial" w:eastAsia="Calibri" w:hAnsi="Arial" w:cs="Arial"/>
          <w:bCs/>
        </w:rPr>
      </w:pPr>
    </w:p>
    <w:p w14:paraId="2B9AB1AC" w14:textId="06E041A9" w:rsidR="00F06958" w:rsidRPr="002E4D55" w:rsidRDefault="00F06958" w:rsidP="00DE576A">
      <w:pPr>
        <w:spacing w:after="0" w:line="276" w:lineRule="auto"/>
        <w:jc w:val="both"/>
        <w:rPr>
          <w:rFonts w:ascii="Arial" w:eastAsia="Calibri" w:hAnsi="Arial" w:cs="Arial"/>
          <w:bCs/>
          <w:lang w:val="es-MX"/>
        </w:rPr>
      </w:pPr>
      <w:bookmarkStart w:id="11" w:name="_Hlk96420693"/>
      <w:r w:rsidRPr="002E4D55">
        <w:rPr>
          <w:rFonts w:ascii="Arial" w:eastAsia="Calibri" w:hAnsi="Arial" w:cs="Arial"/>
          <w:bCs/>
        </w:rPr>
        <w:t>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C-715 del 21 de enero de 2022, C-718 del 24 de enero de 2022, C-726 del 24 de enero de 2022, C-002 del 15 de febrero de 2022</w:t>
      </w:r>
      <w:r w:rsidR="00F4207E" w:rsidRPr="002E4D55">
        <w:rPr>
          <w:rFonts w:ascii="Arial" w:eastAsia="Calibri" w:hAnsi="Arial" w:cs="Arial"/>
          <w:bCs/>
        </w:rPr>
        <w:t xml:space="preserve">, </w:t>
      </w:r>
      <w:r w:rsidRPr="002E4D55">
        <w:rPr>
          <w:rFonts w:ascii="Arial" w:eastAsia="Calibri" w:hAnsi="Arial" w:cs="Arial"/>
          <w:bCs/>
        </w:rPr>
        <w:t>C-116 del 18 de febrero de 2022</w:t>
      </w:r>
      <w:r w:rsidR="00E37FDF" w:rsidRPr="002E4D55">
        <w:rPr>
          <w:rFonts w:ascii="Arial" w:eastAsia="Calibri" w:hAnsi="Arial" w:cs="Arial"/>
          <w:bCs/>
        </w:rPr>
        <w:t>,</w:t>
      </w:r>
      <w:r w:rsidR="00F4207E" w:rsidRPr="002E4D55">
        <w:rPr>
          <w:rFonts w:ascii="Arial" w:eastAsia="Calibri" w:hAnsi="Arial" w:cs="Arial"/>
          <w:bCs/>
        </w:rPr>
        <w:t xml:space="preserve"> C-163 del 29 de marzo de 2022</w:t>
      </w:r>
      <w:r w:rsidR="00E37FDF" w:rsidRPr="002E4D55">
        <w:rPr>
          <w:rFonts w:ascii="Arial" w:eastAsia="Calibri" w:hAnsi="Arial" w:cs="Arial"/>
          <w:bCs/>
        </w:rPr>
        <w:t xml:space="preserve"> y C-268 de 3 de mayo de 2022</w:t>
      </w:r>
      <w:r w:rsidRPr="002E4D55">
        <w:rPr>
          <w:rFonts w:ascii="Arial" w:eastAsia="Calibri" w:hAnsi="Arial" w:cs="Arial"/>
          <w:bCs/>
        </w:rPr>
        <w:t>. La tesis desarrollada en estos conceptos se reitera y complementa a continuación:</w:t>
      </w:r>
    </w:p>
    <w:bookmarkEnd w:id="11"/>
    <w:p w14:paraId="689ECCF4" w14:textId="77777777" w:rsidR="00F06958" w:rsidRPr="002E4D55" w:rsidRDefault="00F06958" w:rsidP="00F06958">
      <w:pPr>
        <w:tabs>
          <w:tab w:val="left" w:pos="426"/>
        </w:tabs>
        <w:spacing w:after="0" w:line="276" w:lineRule="auto"/>
        <w:ind w:firstLine="709"/>
        <w:jc w:val="both"/>
        <w:rPr>
          <w:rFonts w:ascii="Arial" w:eastAsia="Calibri" w:hAnsi="Arial" w:cs="Arial"/>
          <w:b/>
          <w:bCs/>
        </w:rPr>
      </w:pPr>
    </w:p>
    <w:p w14:paraId="2F2992B2" w14:textId="77777777" w:rsidR="00F06958" w:rsidRPr="002E4D55" w:rsidRDefault="00F06958" w:rsidP="00F06958">
      <w:pPr>
        <w:tabs>
          <w:tab w:val="left" w:pos="426"/>
        </w:tabs>
        <w:spacing w:after="0" w:line="276" w:lineRule="auto"/>
        <w:jc w:val="both"/>
        <w:rPr>
          <w:rFonts w:ascii="Arial" w:eastAsia="Calibri" w:hAnsi="Arial" w:cs="Arial"/>
          <w:b/>
          <w:bCs/>
        </w:rPr>
      </w:pPr>
      <w:r w:rsidRPr="002E4D55">
        <w:rPr>
          <w:rFonts w:ascii="Arial" w:eastAsia="Calibri" w:hAnsi="Arial" w:cs="Arial"/>
          <w:b/>
          <w:bCs/>
        </w:rPr>
        <w:t>2.1. Definición y finalidad de la Ley de Garantías Electorales: alcance de las restricciones</w:t>
      </w:r>
    </w:p>
    <w:p w14:paraId="68ED7946" w14:textId="77777777" w:rsidR="00F06958" w:rsidRPr="002E4D55" w:rsidRDefault="00F06958" w:rsidP="00F06958">
      <w:pPr>
        <w:tabs>
          <w:tab w:val="left" w:pos="426"/>
        </w:tabs>
        <w:spacing w:after="0" w:line="276" w:lineRule="auto"/>
        <w:ind w:firstLine="709"/>
        <w:jc w:val="both"/>
        <w:rPr>
          <w:rFonts w:ascii="Arial" w:eastAsia="Calibri" w:hAnsi="Arial" w:cs="Arial"/>
          <w:bCs/>
        </w:rPr>
      </w:pPr>
    </w:p>
    <w:p w14:paraId="79525E9F" w14:textId="77777777" w:rsidR="00F06958" w:rsidRPr="002E4D55" w:rsidRDefault="00F06958" w:rsidP="00F06958">
      <w:pPr>
        <w:tabs>
          <w:tab w:val="left" w:pos="426"/>
        </w:tabs>
        <w:spacing w:after="120" w:line="276" w:lineRule="auto"/>
        <w:jc w:val="both"/>
        <w:rPr>
          <w:rFonts w:ascii="Arial" w:eastAsia="Times New Roman" w:hAnsi="Arial" w:cs="Arial"/>
          <w:bCs/>
          <w:lang w:eastAsia="es-CO"/>
        </w:rPr>
      </w:pPr>
      <w:r w:rsidRPr="002E4D55">
        <w:rPr>
          <w:rFonts w:ascii="Arial" w:eastAsia="Calibri" w:hAnsi="Arial" w:cs="Arial"/>
          <w:bCs/>
        </w:rPr>
        <w:t>El ordenamiento jurídico colombiano contempla previsiones claras para evitar la obtención de beneficios personales en asuntos propios de la administración pública</w:t>
      </w:r>
      <w:r w:rsidRPr="002E4D55">
        <w:rPr>
          <w:rFonts w:ascii="Arial" w:eastAsia="Calibri" w:hAnsi="Arial" w:cs="Arial"/>
          <w:bCs/>
          <w:i/>
          <w:iCs/>
        </w:rPr>
        <w:t xml:space="preserve">. </w:t>
      </w:r>
      <w:r w:rsidRPr="002E4D55">
        <w:rPr>
          <w:rFonts w:ascii="Arial" w:eastAsia="Calibri" w:hAnsi="Arial" w:cs="Arial"/>
          <w:bCs/>
        </w:rPr>
        <w:t>Por ejemplo, el artículo 127 de la Constitución Política establece una prohibición contractual a los servidores públicos y en cuanto a aspectos políticos establece restricciones a ciertos empleados del Estado, incluso en época no electoral</w:t>
      </w:r>
      <w:r w:rsidRPr="002E4D55">
        <w:rPr>
          <w:rFonts w:ascii="Arial" w:eastAsia="Calibri" w:hAnsi="Arial" w:cs="Arial"/>
          <w:bCs/>
          <w:vertAlign w:val="superscript"/>
        </w:rPr>
        <w:footnoteReference w:id="1"/>
      </w:r>
      <w:r w:rsidRPr="002E4D55">
        <w:rPr>
          <w:rFonts w:ascii="Arial" w:eastAsia="Calibri" w:hAnsi="Arial" w:cs="Arial"/>
          <w:bCs/>
        </w:rPr>
        <w:t xml:space="preserve">. </w:t>
      </w:r>
    </w:p>
    <w:p w14:paraId="6805050D" w14:textId="77777777" w:rsidR="00F06958" w:rsidRPr="002E4D55" w:rsidRDefault="00F06958" w:rsidP="00F06958">
      <w:pPr>
        <w:tabs>
          <w:tab w:val="left" w:pos="426"/>
        </w:tabs>
        <w:spacing w:after="0" w:line="276" w:lineRule="auto"/>
        <w:ind w:firstLine="709"/>
        <w:jc w:val="both"/>
        <w:rPr>
          <w:rFonts w:ascii="Arial" w:eastAsia="Times New Roman" w:hAnsi="Arial" w:cs="Arial"/>
          <w:bCs/>
          <w:lang w:val="es-MX" w:eastAsia="es-CO"/>
        </w:rPr>
      </w:pPr>
      <w:r w:rsidRPr="002E4D55">
        <w:rPr>
          <w:rFonts w:ascii="Arial" w:eastAsia="Times New Roman" w:hAnsi="Arial" w:cs="Arial"/>
          <w:bCs/>
          <w:lang w:eastAsia="es-CO"/>
        </w:rPr>
        <w:lastRenderedPageBreak/>
        <w:t>En el mismo sentido</w:t>
      </w:r>
      <w:r w:rsidRPr="002E4D55">
        <w:rPr>
          <w:rFonts w:ascii="Arial" w:eastAsia="Times New Roman" w:hAnsi="Arial" w:cs="Arial"/>
          <w:bCs/>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2E4D55">
        <w:rPr>
          <w:rFonts w:ascii="Arial" w:eastAsia="Times New Roman" w:hAnsi="Arial" w:cs="Arial"/>
          <w:bCs/>
          <w:vertAlign w:val="superscript"/>
          <w:lang w:val="es-MX" w:eastAsia="es-CO"/>
        </w:rPr>
        <w:footnoteReference w:id="2"/>
      </w:r>
      <w:r w:rsidRPr="002E4D55">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2E4D55">
        <w:rPr>
          <w:rFonts w:ascii="Arial" w:eastAsia="Calibri" w:hAnsi="Arial" w:cs="Arial"/>
          <w:noProof/>
          <w:lang w:val="es-ES_tradnl"/>
        </w:rPr>
        <w:t xml:space="preserve"> </w:t>
      </w:r>
      <w:r w:rsidRPr="002E4D55">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239FB757" w14:textId="77777777" w:rsidR="00F06958" w:rsidRPr="002E4D55" w:rsidRDefault="00F06958" w:rsidP="00F06958">
      <w:pPr>
        <w:spacing w:after="0" w:line="276" w:lineRule="auto"/>
        <w:ind w:right="709"/>
        <w:jc w:val="both"/>
        <w:rPr>
          <w:rFonts w:ascii="Arial" w:eastAsia="Times New Roman" w:hAnsi="Arial" w:cs="Arial"/>
          <w:sz w:val="21"/>
          <w:szCs w:val="21"/>
          <w:lang w:val="es-ES" w:eastAsia="es-CO"/>
        </w:rPr>
      </w:pPr>
    </w:p>
    <w:p w14:paraId="4149427F" w14:textId="77777777" w:rsidR="00F06958" w:rsidRPr="002E4D55" w:rsidRDefault="00F06958" w:rsidP="00F06958">
      <w:pPr>
        <w:spacing w:after="0" w:line="240" w:lineRule="auto"/>
        <w:ind w:left="709" w:right="709"/>
        <w:jc w:val="both"/>
        <w:rPr>
          <w:rFonts w:ascii="Arial" w:eastAsia="Times New Roman" w:hAnsi="Arial" w:cs="Arial"/>
          <w:bCs/>
          <w:sz w:val="21"/>
          <w:szCs w:val="21"/>
          <w:lang w:val="es-MX" w:eastAsia="es-CO"/>
        </w:rPr>
      </w:pPr>
      <w:r w:rsidRPr="002E4D55">
        <w:rPr>
          <w:rFonts w:ascii="Arial" w:eastAsia="Times New Roman" w:hAnsi="Arial" w:cs="Arial"/>
          <w:sz w:val="21"/>
          <w:szCs w:val="21"/>
          <w:lang w:val="es-ES" w:eastAsia="es-CO"/>
        </w:rPr>
        <w:t xml:space="preserve">[…] </w:t>
      </w:r>
      <w:r w:rsidRPr="002E4D55">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3288DD53" w14:textId="77777777" w:rsidR="00F06958" w:rsidRPr="002E4D55" w:rsidRDefault="00F06958" w:rsidP="00F06958">
      <w:pPr>
        <w:spacing w:after="120" w:line="240" w:lineRule="auto"/>
        <w:ind w:left="709" w:right="709"/>
        <w:jc w:val="both"/>
        <w:rPr>
          <w:rFonts w:ascii="Arial" w:eastAsia="Times New Roman" w:hAnsi="Arial" w:cs="Arial"/>
          <w:bCs/>
          <w:sz w:val="21"/>
          <w:szCs w:val="21"/>
          <w:lang w:val="es-MX" w:eastAsia="es-CO"/>
        </w:rPr>
      </w:pPr>
      <w:r w:rsidRPr="002E4D55">
        <w:rPr>
          <w:rFonts w:ascii="Arial" w:eastAsia="Times New Roman" w:hAnsi="Arial" w:cs="Arial"/>
          <w:bCs/>
          <w:sz w:val="21"/>
          <w:szCs w:val="21"/>
          <w:lang w:val="es-MX" w:eastAsia="es-CO"/>
        </w:rPr>
        <w:t xml:space="preserve">[…] </w:t>
      </w:r>
    </w:p>
    <w:p w14:paraId="479F952A" w14:textId="77777777" w:rsidR="00F06958" w:rsidRPr="002E4D55" w:rsidRDefault="00F06958" w:rsidP="00F06958">
      <w:pPr>
        <w:spacing w:after="0" w:line="240" w:lineRule="auto"/>
        <w:ind w:left="709" w:right="709"/>
        <w:jc w:val="both"/>
        <w:rPr>
          <w:rFonts w:ascii="Arial" w:eastAsia="Times New Roman" w:hAnsi="Arial" w:cs="Arial"/>
          <w:bCs/>
          <w:sz w:val="21"/>
          <w:szCs w:val="21"/>
          <w:lang w:val="es-MX" w:eastAsia="es-CO"/>
        </w:rPr>
      </w:pPr>
      <w:r w:rsidRPr="002E4D55">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2E4D55">
        <w:rPr>
          <w:rFonts w:ascii="Arial" w:eastAsia="Calibri" w:hAnsi="Arial" w:cs="Arial"/>
          <w:sz w:val="20"/>
          <w:szCs w:val="20"/>
          <w:vertAlign w:val="superscript"/>
          <w:lang w:val="es-MX"/>
        </w:rPr>
        <w:footnoteReference w:id="3"/>
      </w:r>
    </w:p>
    <w:p w14:paraId="502A4832" w14:textId="77777777" w:rsidR="00F06958" w:rsidRPr="002E4D55" w:rsidRDefault="00F06958" w:rsidP="00F06958">
      <w:pPr>
        <w:spacing w:after="0" w:line="276" w:lineRule="auto"/>
        <w:ind w:left="709" w:right="709"/>
        <w:jc w:val="both"/>
        <w:rPr>
          <w:rFonts w:ascii="Arial" w:eastAsia="Times New Roman" w:hAnsi="Arial" w:cs="Arial"/>
          <w:bCs/>
          <w:sz w:val="21"/>
          <w:szCs w:val="21"/>
          <w:lang w:val="es-MX" w:eastAsia="es-CO"/>
        </w:rPr>
      </w:pPr>
    </w:p>
    <w:p w14:paraId="01207B23" w14:textId="77777777" w:rsidR="00F06958" w:rsidRPr="002E4D55" w:rsidRDefault="00F06958" w:rsidP="00F06958">
      <w:pPr>
        <w:spacing w:after="0" w:line="276" w:lineRule="auto"/>
        <w:ind w:firstLine="709"/>
        <w:jc w:val="both"/>
        <w:rPr>
          <w:rFonts w:ascii="Arial" w:eastAsia="Times New Roman" w:hAnsi="Arial" w:cs="Arial"/>
          <w:bCs/>
          <w:lang w:val="es-MX" w:eastAsia="es-CO"/>
        </w:rPr>
      </w:pPr>
      <w:bookmarkStart w:id="12" w:name="_Hlk78818186"/>
      <w:r w:rsidRPr="002E4D55">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2"/>
      <w:r w:rsidRPr="002E4D55">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620A071" w14:textId="77777777" w:rsidR="00F06958" w:rsidRPr="002E4D55" w:rsidRDefault="00F06958" w:rsidP="00F06958">
      <w:pPr>
        <w:spacing w:after="0" w:line="276" w:lineRule="auto"/>
        <w:ind w:firstLine="709"/>
        <w:jc w:val="both"/>
        <w:rPr>
          <w:rFonts w:ascii="Arial" w:eastAsia="Times New Roman" w:hAnsi="Arial" w:cs="Arial"/>
          <w:bCs/>
          <w:lang w:val="es-MX" w:eastAsia="es-CO"/>
        </w:rPr>
      </w:pPr>
    </w:p>
    <w:p w14:paraId="3CB7E7C4" w14:textId="77777777" w:rsidR="00F06958" w:rsidRPr="002E4D55" w:rsidRDefault="00F06958" w:rsidP="00F06958">
      <w:pPr>
        <w:spacing w:after="120" w:line="240" w:lineRule="auto"/>
        <w:ind w:left="709" w:right="709"/>
        <w:jc w:val="both"/>
        <w:rPr>
          <w:rFonts w:ascii="Arial" w:eastAsia="Times New Roman" w:hAnsi="Arial" w:cs="Arial"/>
          <w:bCs/>
          <w:sz w:val="21"/>
          <w:szCs w:val="21"/>
          <w:lang w:val="es-MX" w:eastAsia="es-CO"/>
        </w:rPr>
      </w:pPr>
      <w:r w:rsidRPr="002E4D55">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2E4D55">
        <w:rPr>
          <w:rFonts w:ascii="Arial" w:eastAsia="Times New Roman" w:hAnsi="Arial" w:cs="Arial"/>
          <w:bCs/>
          <w:sz w:val="21"/>
          <w:szCs w:val="21"/>
          <w:lang w:val="es-MX" w:eastAsia="es-CO"/>
        </w:rPr>
        <w:t>legis</w:t>
      </w:r>
      <w:proofErr w:type="spellEnd"/>
      <w:r w:rsidRPr="002E4D55">
        <w:rPr>
          <w:rFonts w:ascii="Arial" w:eastAsia="Times New Roman" w:hAnsi="Arial" w:cs="Arial"/>
          <w:bCs/>
          <w:sz w:val="21"/>
          <w:szCs w:val="21"/>
          <w:lang w:val="es-MX" w:eastAsia="es-CO"/>
        </w:rPr>
        <w:t xml:space="preserve"> o iuris y la interpretación extensiva. Las normas legales de contenido prohibitivo hacen parte de un </w:t>
      </w:r>
      <w:r w:rsidRPr="002E4D55">
        <w:rPr>
          <w:rFonts w:ascii="Arial" w:eastAsia="Times New Roman" w:hAnsi="Arial" w:cs="Arial"/>
          <w:bCs/>
          <w:sz w:val="21"/>
          <w:szCs w:val="21"/>
          <w:lang w:val="es-MX" w:eastAsia="es-CO"/>
        </w:rPr>
        <w:lastRenderedPageBreak/>
        <w:t>conjunto de disposiciones que integran un régimen jurídico imperativo y de orden público, razón por la cual no son disponibles ni pueden ser derogadas, modificadas, ampliadas o adicionadas por acuerdo o convenio o acto unilateral.</w:t>
      </w:r>
    </w:p>
    <w:p w14:paraId="764331E7" w14:textId="77777777" w:rsidR="00F06958" w:rsidRPr="002E4D55" w:rsidRDefault="00F06958" w:rsidP="00F06958">
      <w:pPr>
        <w:spacing w:after="0" w:line="240" w:lineRule="auto"/>
        <w:ind w:left="709" w:right="709"/>
        <w:jc w:val="both"/>
        <w:rPr>
          <w:rFonts w:ascii="Arial" w:eastAsia="Times New Roman" w:hAnsi="Arial" w:cs="Arial"/>
          <w:bCs/>
          <w:sz w:val="21"/>
          <w:szCs w:val="21"/>
          <w:lang w:val="es-MX" w:eastAsia="es-CO"/>
        </w:rPr>
      </w:pPr>
      <w:r w:rsidRPr="002E4D55">
        <w:rPr>
          <w:rFonts w:ascii="Arial" w:eastAsia="Times New Roman" w:hAnsi="Arial" w:cs="Arial"/>
          <w:bCs/>
          <w:sz w:val="21"/>
          <w:szCs w:val="21"/>
          <w:lang w:val="es-MX" w:eastAsia="es-CO"/>
        </w:rPr>
        <w:t>La jurisprudencia de la Corte Constitucional</w:t>
      </w:r>
      <w:r w:rsidRPr="002E4D55">
        <w:rPr>
          <w:rFonts w:ascii="Arial" w:eastAsia="Times New Roman" w:hAnsi="Arial" w:cs="Arial"/>
          <w:bCs/>
          <w:sz w:val="21"/>
          <w:szCs w:val="21"/>
          <w:vertAlign w:val="superscript"/>
          <w:lang w:val="es-MX" w:eastAsia="es-CO"/>
        </w:rPr>
        <w:footnoteReference w:id="4"/>
      </w:r>
      <w:r w:rsidRPr="002E4D55">
        <w:rPr>
          <w:rFonts w:ascii="Arial" w:eastAsia="Times New Roman" w:hAnsi="Arial" w:cs="Arial"/>
          <w:bCs/>
          <w:sz w:val="21"/>
          <w:szCs w:val="21"/>
          <w:lang w:val="es-MX" w:eastAsia="es-CO"/>
        </w:rPr>
        <w:t> y del Consejo de Estado</w:t>
      </w:r>
      <w:r w:rsidRPr="002E4D55">
        <w:rPr>
          <w:rFonts w:ascii="Arial" w:eastAsia="Times New Roman" w:hAnsi="Arial" w:cs="Arial"/>
          <w:bCs/>
          <w:sz w:val="21"/>
          <w:szCs w:val="21"/>
          <w:vertAlign w:val="superscript"/>
          <w:lang w:val="es-MX" w:eastAsia="es-CO"/>
        </w:rPr>
        <w:footnoteReference w:id="5"/>
      </w:r>
      <w:r w:rsidRPr="002E4D55">
        <w:rPr>
          <w:rFonts w:ascii="Arial" w:eastAsia="Times New Roman"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2E4D55">
        <w:rPr>
          <w:rFonts w:ascii="Arial" w:eastAsia="Times New Roman" w:hAnsi="Arial" w:cs="Arial"/>
          <w:bCs/>
          <w:vertAlign w:val="superscript"/>
          <w:lang w:val="es-MX" w:eastAsia="es-CO"/>
        </w:rPr>
        <w:footnoteReference w:id="6"/>
      </w:r>
      <w:r w:rsidRPr="002E4D55">
        <w:rPr>
          <w:rFonts w:ascii="Arial" w:eastAsia="Times New Roman" w:hAnsi="Arial" w:cs="Arial"/>
          <w:bCs/>
          <w:sz w:val="21"/>
          <w:szCs w:val="21"/>
          <w:lang w:val="es-MX" w:eastAsia="es-CO"/>
        </w:rPr>
        <w:t>.</w:t>
      </w:r>
    </w:p>
    <w:p w14:paraId="0ADE53BF" w14:textId="77777777" w:rsidR="00F06958" w:rsidRPr="002E4D55" w:rsidRDefault="00F06958" w:rsidP="00F06958">
      <w:pPr>
        <w:spacing w:after="0" w:line="276" w:lineRule="auto"/>
        <w:ind w:right="709"/>
        <w:jc w:val="both"/>
        <w:rPr>
          <w:rFonts w:ascii="Arial" w:eastAsia="Times New Roman" w:hAnsi="Arial" w:cs="Arial"/>
          <w:bCs/>
          <w:sz w:val="21"/>
          <w:szCs w:val="21"/>
          <w:lang w:val="es-MX" w:eastAsia="es-CO"/>
        </w:rPr>
      </w:pPr>
    </w:p>
    <w:p w14:paraId="0E3F7E5D" w14:textId="77777777" w:rsidR="00F06958" w:rsidRPr="002E4D55" w:rsidRDefault="00F06958" w:rsidP="00F06958">
      <w:pPr>
        <w:spacing w:after="120" w:line="276" w:lineRule="auto"/>
        <w:jc w:val="both"/>
        <w:rPr>
          <w:rFonts w:ascii="Arial" w:eastAsia="Arial" w:hAnsi="Arial" w:cs="Arial"/>
          <w:lang w:val="es-ES" w:eastAsia="es-ES" w:bidi="es-ES"/>
        </w:rPr>
      </w:pPr>
      <w:r w:rsidRPr="002E4D55">
        <w:rPr>
          <w:rFonts w:ascii="Arial" w:eastAsia="Times New Roman" w:hAnsi="Arial" w:cs="Arial"/>
          <w:bCs/>
          <w:lang w:val="es-MX" w:eastAsia="es-CO"/>
        </w:rPr>
        <w:tab/>
        <w:t>De</w:t>
      </w:r>
      <w:r w:rsidRPr="002E4D55">
        <w:rPr>
          <w:rFonts w:ascii="Arial" w:eastAsia="Arial" w:hAnsi="Arial" w:cs="Arial"/>
          <w:lang w:val="es-ES" w:eastAsia="es-ES" w:bidi="es-ES"/>
        </w:rPr>
        <w:t xml:space="preserve"> conformidad con lo anterior, </w:t>
      </w:r>
      <w:bookmarkStart w:id="13" w:name="_Hlk77236098"/>
      <w:r w:rsidRPr="002E4D55">
        <w:rPr>
          <w:rFonts w:ascii="Arial" w:eastAsia="Arial" w:hAnsi="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3"/>
    </w:p>
    <w:p w14:paraId="34DF5D33" w14:textId="77777777" w:rsidR="00F06958" w:rsidRPr="002E4D55" w:rsidRDefault="00F06958" w:rsidP="00F06958">
      <w:pPr>
        <w:spacing w:after="120" w:line="276" w:lineRule="auto"/>
        <w:ind w:firstLine="708"/>
        <w:jc w:val="both"/>
        <w:rPr>
          <w:rFonts w:ascii="Arial" w:eastAsia="Calibri" w:hAnsi="Arial" w:cs="Arial"/>
        </w:rPr>
      </w:pPr>
      <w:r w:rsidRPr="002E4D55">
        <w:rPr>
          <w:rFonts w:ascii="Arial" w:eastAsia="Calibri" w:hAnsi="Arial" w:cs="Arial"/>
        </w:rPr>
        <w:t xml:space="preserve">Por un lado, el artículo 33 de la Ley 996 de 2005 prohíbe </w:t>
      </w:r>
      <w:r w:rsidRPr="002E4D55">
        <w:rPr>
          <w:rFonts w:ascii="Arial" w:eastAsia="Calibri" w:hAnsi="Arial" w:cs="Arial"/>
          <w:bCs/>
        </w:rPr>
        <w:t xml:space="preserve">«[…] </w:t>
      </w:r>
      <w:r w:rsidRPr="002E4D55">
        <w:rPr>
          <w:rFonts w:ascii="Arial" w:eastAsia="Calibri" w:hAnsi="Arial" w:cs="Arial"/>
        </w:rPr>
        <w:t>la contratación directa por parte de todos los entes del Estado</w:t>
      </w:r>
      <w:r w:rsidRPr="002E4D55">
        <w:rPr>
          <w:rFonts w:ascii="Arial" w:eastAsia="Calibri" w:hAnsi="Arial" w:cs="Arial"/>
          <w:bCs/>
        </w:rPr>
        <w:t>»</w:t>
      </w:r>
      <w:r w:rsidRPr="002E4D55">
        <w:rPr>
          <w:rFonts w:ascii="Arial" w:eastAsia="Calibri" w:hAnsi="Arial" w:cs="Arial"/>
        </w:rPr>
        <w:t xml:space="preserve"> durante los cuatro (4) meses anteriores a las elecciones presidenciales, salvo </w:t>
      </w:r>
      <w:r w:rsidRPr="002E4D55">
        <w:rPr>
          <w:rFonts w:ascii="Arial" w:eastAsia="Calibri" w:hAnsi="Arial" w:cs="Arial"/>
          <w:bCs/>
        </w:rPr>
        <w:t xml:space="preserve">«[…] </w:t>
      </w:r>
      <w:r w:rsidRPr="002E4D55">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E4D55">
        <w:rPr>
          <w:rFonts w:ascii="Arial" w:eastAsia="Calibri" w:hAnsi="Arial" w:cs="Arial"/>
          <w:bCs/>
        </w:rPr>
        <w:t>»</w:t>
      </w:r>
      <w:r w:rsidRPr="002E4D55">
        <w:rPr>
          <w:rFonts w:ascii="Arial" w:eastAsia="Calibri" w:hAnsi="Arial" w:cs="Arial"/>
          <w:bCs/>
          <w:vertAlign w:val="superscript"/>
        </w:rPr>
        <w:footnoteReference w:id="7"/>
      </w:r>
      <w:r w:rsidRPr="002E4D55">
        <w:rPr>
          <w:rFonts w:ascii="Arial" w:eastAsia="Calibri" w:hAnsi="Arial" w:cs="Arial"/>
        </w:rPr>
        <w:t>.</w:t>
      </w:r>
    </w:p>
    <w:p w14:paraId="780735D4" w14:textId="77777777" w:rsidR="00F06958" w:rsidRPr="002E4D55" w:rsidRDefault="00F06958" w:rsidP="00F06958">
      <w:pPr>
        <w:widowControl w:val="0"/>
        <w:autoSpaceDE w:val="0"/>
        <w:autoSpaceDN w:val="0"/>
        <w:spacing w:after="0" w:line="276" w:lineRule="auto"/>
        <w:ind w:right="113" w:firstLine="708"/>
        <w:jc w:val="both"/>
        <w:rPr>
          <w:rFonts w:ascii="Arial" w:eastAsia="Arial" w:hAnsi="Arial" w:cs="Arial"/>
          <w:lang w:val="es-ES" w:eastAsia="es-ES" w:bidi="es-ES"/>
        </w:rPr>
      </w:pPr>
      <w:r w:rsidRPr="002E4D55">
        <w:rPr>
          <w:rFonts w:ascii="Arial" w:eastAsia="Calibri" w:hAnsi="Arial" w:cs="Arial"/>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2E4D55">
        <w:rPr>
          <w:rFonts w:ascii="Arial" w:eastAsia="Calibri" w:hAnsi="Arial" w:cs="Arial"/>
          <w:bCs/>
        </w:rPr>
        <w:t xml:space="preserve">«[…] </w:t>
      </w:r>
      <w:r w:rsidRPr="002E4D55">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E4D55">
        <w:rPr>
          <w:rFonts w:ascii="Arial" w:eastAsia="Calibri" w:hAnsi="Arial" w:cs="Arial"/>
          <w:bCs/>
          <w:sz w:val="19"/>
          <w:szCs w:val="19"/>
        </w:rPr>
        <w:t>»</w:t>
      </w:r>
      <w:r w:rsidRPr="002E4D55">
        <w:rPr>
          <w:rFonts w:ascii="Arial" w:eastAsia="Calibri" w:hAnsi="Arial" w:cs="Arial"/>
          <w:bCs/>
          <w:sz w:val="19"/>
          <w:szCs w:val="19"/>
          <w:vertAlign w:val="superscript"/>
        </w:rPr>
        <w:footnoteReference w:id="8"/>
      </w:r>
      <w:r w:rsidRPr="002E4D55">
        <w:rPr>
          <w:rFonts w:ascii="Arial" w:eastAsia="Calibri" w:hAnsi="Arial" w:cs="Arial"/>
          <w:lang w:val="es-MX"/>
        </w:rPr>
        <w:t>.</w:t>
      </w:r>
      <w:r w:rsidRPr="002E4D55">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47A91115" w14:textId="77777777" w:rsidR="00F06958" w:rsidRPr="002E4D55" w:rsidRDefault="00F06958" w:rsidP="00F06958">
      <w:pPr>
        <w:widowControl w:val="0"/>
        <w:autoSpaceDE w:val="0"/>
        <w:autoSpaceDN w:val="0"/>
        <w:spacing w:after="0" w:line="276" w:lineRule="auto"/>
        <w:ind w:left="805" w:right="812"/>
        <w:jc w:val="both"/>
        <w:rPr>
          <w:rFonts w:ascii="Arial" w:eastAsia="Arial" w:hAnsi="Arial" w:cs="Arial"/>
          <w:lang w:val="es-ES" w:eastAsia="es-ES" w:bidi="es-ES"/>
        </w:rPr>
      </w:pPr>
    </w:p>
    <w:p w14:paraId="3C013144" w14:textId="77777777" w:rsidR="00F06958" w:rsidRPr="002E4D55" w:rsidRDefault="00F06958" w:rsidP="00F06958">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2E4D5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6" w:name="_Hlk76109421"/>
      <w:r w:rsidRPr="002E4D55">
        <w:rPr>
          <w:rFonts w:ascii="Arial" w:eastAsia="Arial" w:hAnsi="Arial" w:cs="Arial"/>
          <w:sz w:val="21"/>
          <w:szCs w:val="21"/>
          <w:lang w:val="es-ES" w:eastAsia="es-ES" w:bidi="es-ES"/>
        </w:rPr>
        <w:t>se integran parcialmente</w:t>
      </w:r>
      <w:bookmarkEnd w:id="16"/>
      <w:r w:rsidRPr="002E4D5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2E4D55">
        <w:rPr>
          <w:rFonts w:ascii="Arial" w:eastAsia="Arial" w:hAnsi="Arial" w:cs="Arial"/>
          <w:bCs/>
          <w:sz w:val="21"/>
          <w:szCs w:val="21"/>
          <w:lang w:val="es-ES" w:eastAsia="es-ES" w:bidi="es-ES"/>
        </w:rPr>
        <w:t xml:space="preserve">En cambio, para elecciones en general, excluyendo las correspondientes a </w:t>
      </w:r>
      <w:proofErr w:type="gramStart"/>
      <w:r w:rsidRPr="002E4D55">
        <w:rPr>
          <w:rFonts w:ascii="Arial" w:eastAsia="Arial" w:hAnsi="Arial" w:cs="Arial"/>
          <w:bCs/>
          <w:sz w:val="21"/>
          <w:szCs w:val="21"/>
          <w:lang w:val="es-ES" w:eastAsia="es-ES" w:bidi="es-ES"/>
        </w:rPr>
        <w:t>Presidente</w:t>
      </w:r>
      <w:proofErr w:type="gramEnd"/>
      <w:r w:rsidRPr="002E4D55">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2E4D55">
        <w:rPr>
          <w:rFonts w:ascii="Arial" w:eastAsia="Arial" w:hAnsi="Arial" w:cs="Arial"/>
          <w:sz w:val="21"/>
          <w:szCs w:val="21"/>
          <w:lang w:val="es-ES" w:eastAsia="es-ES" w:bidi="es-ES"/>
        </w:rPr>
        <w:t>.</w:t>
      </w:r>
      <w:r w:rsidRPr="002E4D55">
        <w:rPr>
          <w:rFonts w:ascii="Arial" w:eastAsia="Arial" w:hAnsi="Arial" w:cs="Arial"/>
          <w:sz w:val="21"/>
          <w:szCs w:val="21"/>
          <w:vertAlign w:val="superscript"/>
          <w:lang w:val="es-ES" w:eastAsia="es-ES" w:bidi="es-ES"/>
        </w:rPr>
        <w:footnoteReference w:id="9"/>
      </w:r>
    </w:p>
    <w:p w14:paraId="14CBC0FE" w14:textId="77777777" w:rsidR="00F06958" w:rsidRPr="002E4D55" w:rsidRDefault="00F06958" w:rsidP="00F06958">
      <w:pPr>
        <w:widowControl w:val="0"/>
        <w:autoSpaceDE w:val="0"/>
        <w:autoSpaceDN w:val="0"/>
        <w:spacing w:before="8" w:after="0" w:line="276" w:lineRule="auto"/>
        <w:rPr>
          <w:rFonts w:ascii="Arial" w:eastAsia="Arial" w:hAnsi="Arial" w:cs="Arial"/>
          <w:lang w:val="es-ES" w:eastAsia="es-ES" w:bidi="es-ES"/>
        </w:rPr>
      </w:pPr>
    </w:p>
    <w:p w14:paraId="67B78818" w14:textId="77777777" w:rsidR="00F06958" w:rsidRPr="002E4D55" w:rsidRDefault="00F06958" w:rsidP="00F06958">
      <w:pPr>
        <w:spacing w:after="120" w:line="276" w:lineRule="auto"/>
        <w:ind w:firstLine="709"/>
        <w:jc w:val="both"/>
        <w:rPr>
          <w:rFonts w:ascii="Arial" w:eastAsia="Arial" w:hAnsi="Arial" w:cs="Arial"/>
          <w:lang w:val="es-ES" w:eastAsia="es-ES" w:bidi="es-ES"/>
        </w:rPr>
      </w:pPr>
      <w:r w:rsidRPr="002E4D55">
        <w:rPr>
          <w:rFonts w:ascii="Arial" w:eastAsia="Arial" w:hAnsi="Arial" w:cs="Arial"/>
          <w:lang w:val="es-ES" w:eastAsia="es-ES" w:bidi="es-ES"/>
        </w:rPr>
        <w:t>De conformidad con lo anterior</w:t>
      </w:r>
      <w:bookmarkStart w:id="17" w:name="_Hlk99438241"/>
      <w:r w:rsidRPr="002E4D55">
        <w:rPr>
          <w:rFonts w:ascii="Arial" w:eastAsia="Arial" w:hAnsi="Arial" w:cs="Arial"/>
          <w:lang w:val="es-ES" w:eastAsia="es-ES" w:bidi="es-ES"/>
        </w:rPr>
        <w:t xml:space="preserve">, </w:t>
      </w:r>
      <w:bookmarkStart w:id="18" w:name="_Hlk77236420"/>
      <w:bookmarkStart w:id="19" w:name="_Hlk78818435"/>
      <w:bookmarkStart w:id="20" w:name="_Hlk75780333"/>
      <w:r w:rsidRPr="002E4D55">
        <w:rPr>
          <w:rFonts w:ascii="Arial" w:eastAsia="Arial" w:hAnsi="Arial" w:cs="Arial"/>
          <w:lang w:val="es-ES" w:eastAsia="es-ES" w:bidi="es-ES"/>
        </w:rPr>
        <w:t xml:space="preserve">la Ley 996 de 2005 establece dos (2) tipos de restricciones en materia de contratación, las cuales coinciden parcialmente. </w:t>
      </w:r>
      <w:r w:rsidRPr="002E4D55">
        <w:rPr>
          <w:rFonts w:ascii="Arial" w:eastAsia="Arial" w:hAnsi="Arial" w:cs="Arial"/>
          <w:i/>
          <w:iCs/>
          <w:lang w:val="es-ES" w:eastAsia="es-ES" w:bidi="es-ES"/>
        </w:rPr>
        <w:t>En primer lugar</w:t>
      </w:r>
      <w:r w:rsidRPr="002E4D55">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w:t>
      </w:r>
      <w:r w:rsidRPr="002E4D55">
        <w:rPr>
          <w:rFonts w:ascii="Arial" w:eastAsia="Arial" w:hAnsi="Arial" w:cs="Arial"/>
          <w:lang w:val="es-ES" w:eastAsia="es-ES" w:bidi="es-ES"/>
        </w:rPr>
        <w:lastRenderedPageBreak/>
        <w:t xml:space="preserve">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2E4D55">
        <w:rPr>
          <w:rFonts w:ascii="Arial" w:eastAsia="Arial" w:hAnsi="Arial" w:cs="Arial"/>
          <w:i/>
          <w:iCs/>
          <w:lang w:val="es-ES" w:eastAsia="es-ES" w:bidi="es-ES"/>
        </w:rPr>
        <w:t>En segundo lugar</w:t>
      </w:r>
      <w:r w:rsidRPr="002E4D55">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8"/>
    </w:p>
    <w:bookmarkEnd w:id="17"/>
    <w:bookmarkEnd w:id="19"/>
    <w:p w14:paraId="06ECE6ED" w14:textId="77777777" w:rsidR="00F06958" w:rsidRPr="002E4D55" w:rsidRDefault="00F06958" w:rsidP="00F06958">
      <w:pPr>
        <w:spacing w:after="120" w:line="276" w:lineRule="auto"/>
        <w:ind w:firstLine="709"/>
        <w:jc w:val="both"/>
        <w:rPr>
          <w:rFonts w:ascii="Arial" w:eastAsia="Arial" w:hAnsi="Arial" w:cs="Arial"/>
          <w:lang w:val="es-ES" w:eastAsia="es-ES" w:bidi="es-ES"/>
        </w:rPr>
      </w:pPr>
      <w:r w:rsidRPr="002E4D55">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2E4D55">
        <w:rPr>
          <w:rFonts w:ascii="Arial" w:eastAsia="Arial" w:hAnsi="Arial" w:cs="Arial"/>
          <w:lang w:val="es-ES" w:eastAsia="es-ES" w:bidi="es-ES"/>
        </w:rPr>
        <w:t>Presidente</w:t>
      </w:r>
      <w:proofErr w:type="gramEnd"/>
      <w:r w:rsidRPr="002E4D55">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2E4D55">
        <w:rPr>
          <w:rFonts w:ascii="Arial" w:eastAsia="Arial" w:hAnsi="Arial" w:cs="Arial"/>
          <w:lang w:val="es-ES" w:eastAsia="es-ES" w:bidi="es-ES"/>
        </w:rPr>
        <w:t>Presidente</w:t>
      </w:r>
      <w:proofErr w:type="gramEnd"/>
      <w:r w:rsidRPr="002E4D55">
        <w:rPr>
          <w:rFonts w:ascii="Arial" w:eastAsia="Arial" w:hAnsi="Arial" w:cs="Arial"/>
          <w:lang w:val="es-ES" w:eastAsia="es-ES" w:bidi="es-ES"/>
        </w:rPr>
        <w:t xml:space="preserve"> de la República, las autoridades allí mencionadas sólo deben aplicar las restricciones contenidas en el parágrafo del artículo 38.</w:t>
      </w:r>
    </w:p>
    <w:bookmarkEnd w:id="20"/>
    <w:p w14:paraId="4963BC48" w14:textId="6AE4F1A9" w:rsidR="00F06958" w:rsidRPr="002E4D55" w:rsidRDefault="00F06958" w:rsidP="0042362A">
      <w:pPr>
        <w:spacing w:after="0" w:line="276" w:lineRule="auto"/>
        <w:ind w:firstLine="708"/>
        <w:jc w:val="both"/>
        <w:rPr>
          <w:rFonts w:ascii="Arial" w:eastAsia="Arial" w:hAnsi="Arial" w:cs="Arial"/>
          <w:lang w:val="es-ES" w:eastAsia="es-ES" w:bidi="es-ES"/>
        </w:rPr>
      </w:pPr>
      <w:r w:rsidRPr="002E4D55">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2E4D55">
        <w:rPr>
          <w:rFonts w:ascii="Arial" w:eastAsia="Arial" w:hAnsi="Arial" w:cs="Arial"/>
          <w:lang w:val="es-ES" w:eastAsia="es-ES" w:bidi="es-ES"/>
        </w:rPr>
        <w:t>Presidente</w:t>
      </w:r>
      <w:proofErr w:type="gramEnd"/>
      <w:r w:rsidRPr="002E4D55">
        <w:rPr>
          <w:rFonts w:ascii="Arial" w:eastAsia="Arial" w:hAnsi="Arial" w:cs="Arial"/>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123AFA1D" w14:textId="77777777" w:rsidR="00F06958" w:rsidRPr="002E4D55" w:rsidRDefault="00F06958" w:rsidP="00F06958">
      <w:pPr>
        <w:spacing w:after="0" w:line="276" w:lineRule="auto"/>
        <w:jc w:val="both"/>
        <w:rPr>
          <w:rFonts w:ascii="Arial" w:eastAsia="Times New Roman" w:hAnsi="Arial" w:cs="Arial"/>
          <w:bCs/>
          <w:lang w:val="es-ES" w:eastAsia="es-CO"/>
        </w:rPr>
      </w:pPr>
    </w:p>
    <w:p w14:paraId="7B99E9D9" w14:textId="75A2510D" w:rsidR="00F06958" w:rsidRPr="002E4D55" w:rsidRDefault="00F06958" w:rsidP="00F06958">
      <w:pPr>
        <w:spacing w:after="0" w:line="276" w:lineRule="auto"/>
        <w:jc w:val="both"/>
        <w:rPr>
          <w:rFonts w:ascii="Arial" w:eastAsia="Times New Roman" w:hAnsi="Arial" w:cs="Arial"/>
          <w:b/>
          <w:lang w:val="es-ES" w:eastAsia="es-CO"/>
        </w:rPr>
      </w:pPr>
      <w:r w:rsidRPr="002E4D55">
        <w:rPr>
          <w:rFonts w:ascii="Arial" w:eastAsia="Times New Roman" w:hAnsi="Arial" w:cs="Arial"/>
          <w:b/>
          <w:lang w:val="es-ES" w:eastAsia="es-CO"/>
        </w:rPr>
        <w:t xml:space="preserve">2.2. </w:t>
      </w:r>
      <w:r w:rsidRPr="002E4D55">
        <w:rPr>
          <w:rFonts w:ascii="Arial" w:eastAsia="Times New Roman" w:hAnsi="Arial" w:cs="Arial"/>
          <w:b/>
          <w:bCs/>
          <w:lang w:val="es-MX" w:eastAsia="es-CO"/>
        </w:rPr>
        <w:t>Restricciones en elecciones presidenciales</w:t>
      </w:r>
      <w:r w:rsidR="0094120C" w:rsidRPr="002E4D55">
        <w:rPr>
          <w:rFonts w:ascii="Arial" w:eastAsia="Times New Roman" w:hAnsi="Arial" w:cs="Arial"/>
          <w:b/>
          <w:bCs/>
          <w:lang w:val="es-MX" w:eastAsia="es-CO"/>
        </w:rPr>
        <w:t>. Prohibición del artículo 33 de la Ley 996 de 2005. A</w:t>
      </w:r>
      <w:r w:rsidR="007E23D2" w:rsidRPr="002E4D55">
        <w:rPr>
          <w:rFonts w:ascii="Arial" w:eastAsia="Times New Roman" w:hAnsi="Arial" w:cs="Arial"/>
          <w:b/>
          <w:bCs/>
          <w:lang w:val="es-MX" w:eastAsia="es-CO"/>
        </w:rPr>
        <w:t>lcance</w:t>
      </w:r>
      <w:r w:rsidR="003B358B" w:rsidRPr="002E4D55">
        <w:rPr>
          <w:rFonts w:ascii="Arial" w:eastAsia="Times New Roman" w:hAnsi="Arial" w:cs="Arial"/>
          <w:b/>
          <w:bCs/>
          <w:lang w:val="es-MX" w:eastAsia="es-CO"/>
        </w:rPr>
        <w:t xml:space="preserve"> </w:t>
      </w:r>
      <w:r w:rsidR="0094120C" w:rsidRPr="002E4D55">
        <w:rPr>
          <w:rFonts w:ascii="Arial" w:eastAsia="Times New Roman" w:hAnsi="Arial" w:cs="Arial"/>
          <w:b/>
          <w:bCs/>
          <w:lang w:val="es-MX" w:eastAsia="es-CO"/>
        </w:rPr>
        <w:t xml:space="preserve">frente a los </w:t>
      </w:r>
      <w:r w:rsidR="007E23D2" w:rsidRPr="002E4D55">
        <w:rPr>
          <w:rFonts w:ascii="Arial" w:eastAsia="Times New Roman" w:hAnsi="Arial" w:cs="Arial"/>
          <w:b/>
          <w:bCs/>
          <w:lang w:val="es-MX" w:eastAsia="es-CO"/>
        </w:rPr>
        <w:t xml:space="preserve">acuerdos voluntarios de conservación </w:t>
      </w:r>
    </w:p>
    <w:p w14:paraId="5AAD1654" w14:textId="77777777" w:rsidR="00F06958" w:rsidRPr="002E4D55" w:rsidRDefault="00F06958" w:rsidP="00F06958">
      <w:pPr>
        <w:spacing w:after="0" w:line="276" w:lineRule="auto"/>
        <w:jc w:val="both"/>
        <w:rPr>
          <w:rFonts w:ascii="Arial" w:eastAsia="Times New Roman" w:hAnsi="Arial" w:cs="Arial"/>
          <w:bCs/>
          <w:lang w:val="es-MX" w:eastAsia="x-none"/>
        </w:rPr>
      </w:pPr>
    </w:p>
    <w:p w14:paraId="3D3E6EF4" w14:textId="77777777" w:rsidR="00F06958" w:rsidRPr="002E4D55" w:rsidRDefault="00F06958" w:rsidP="00F06958">
      <w:pPr>
        <w:spacing w:after="0" w:line="276" w:lineRule="auto"/>
        <w:jc w:val="both"/>
        <w:rPr>
          <w:rFonts w:ascii="Arial" w:eastAsia="Times New Roman" w:hAnsi="Arial" w:cs="Arial"/>
          <w:bCs/>
          <w:lang w:val="es-MX" w:eastAsia="es-CO"/>
        </w:rPr>
      </w:pPr>
      <w:r w:rsidRPr="002E4D55">
        <w:rPr>
          <w:rFonts w:ascii="Arial" w:eastAsia="Times New Roman" w:hAnsi="Arial" w:cs="Arial"/>
          <w:bCs/>
          <w:lang w:val="es-MX" w:eastAsia="x-none"/>
        </w:rPr>
        <w:t xml:space="preserve">El ámbito material de la prohibición contenida </w:t>
      </w:r>
      <w:bookmarkStart w:id="21" w:name="_Hlk75628761"/>
      <w:r w:rsidRPr="002E4D55">
        <w:rPr>
          <w:rFonts w:ascii="Arial" w:eastAsia="Times New Roman" w:hAnsi="Arial" w:cs="Arial"/>
          <w:bCs/>
          <w:lang w:val="es-MX" w:eastAsia="x-none"/>
        </w:rPr>
        <w:t xml:space="preserve">en el artículo 33 de la ley 996 de 2005 </w:t>
      </w:r>
      <w:bookmarkEnd w:id="21"/>
      <w:r w:rsidRPr="002E4D55">
        <w:rPr>
          <w:rFonts w:ascii="Arial" w:eastAsia="Times New Roman" w:hAnsi="Arial" w:cs="Arial"/>
          <w:bCs/>
          <w:lang w:val="es-MX" w:eastAsia="x-none"/>
        </w:rPr>
        <w:t xml:space="preserve">está delimitado por la expresión </w:t>
      </w:r>
      <w:r w:rsidRPr="002E4D55">
        <w:rPr>
          <w:rFonts w:ascii="Arial" w:eastAsia="Calibri" w:hAnsi="Arial" w:cs="Arial"/>
          <w:bCs/>
          <w:sz w:val="20"/>
          <w:szCs w:val="20"/>
          <w:lang w:val="es-MX"/>
        </w:rPr>
        <w:t>«</w:t>
      </w:r>
      <w:r w:rsidRPr="002E4D55">
        <w:rPr>
          <w:rFonts w:ascii="Arial" w:eastAsia="Times New Roman" w:hAnsi="Arial" w:cs="Arial"/>
          <w:bCs/>
          <w:lang w:val="es-MX" w:eastAsia="x-none"/>
        </w:rPr>
        <w:t>queda prohibida la contratación directa</w:t>
      </w:r>
      <w:r w:rsidRPr="002E4D55">
        <w:rPr>
          <w:rFonts w:ascii="Arial" w:eastAsia="Calibri" w:hAnsi="Arial" w:cs="Arial"/>
          <w:sz w:val="20"/>
          <w:szCs w:val="20"/>
          <w:lang w:val="es-MX"/>
        </w:rPr>
        <w:t>»</w:t>
      </w:r>
      <w:r w:rsidRPr="002E4D55">
        <w:rPr>
          <w:rFonts w:ascii="Arial" w:eastAsia="Times New Roman" w:hAnsi="Arial" w:cs="Arial"/>
          <w:bCs/>
          <w:lang w:val="es-MX" w:eastAsia="x-none"/>
        </w:rPr>
        <w:t>.</w:t>
      </w:r>
      <w:r w:rsidRPr="002E4D55">
        <w:rPr>
          <w:rFonts w:ascii="Arial" w:eastAsia="Times New Roman" w:hAnsi="Arial" w:cs="Arial"/>
          <w:lang w:val="es-MX" w:eastAsia="es-CO"/>
        </w:rPr>
        <w:t xml:space="preserve"> A propósito de </w:t>
      </w:r>
      <w:r w:rsidRPr="002E4D55">
        <w:rPr>
          <w:rFonts w:ascii="Arial" w:eastAsia="Times New Roman" w:hAnsi="Arial" w:cs="Arial"/>
          <w:lang w:eastAsia="es-CO"/>
        </w:rPr>
        <w:t>esta restricción de la Ley de Garantías Electorales, la Sala de Consulta y Servicio Civil del Consejo de Estado ha considerado que:</w:t>
      </w:r>
    </w:p>
    <w:p w14:paraId="1F3369B3" w14:textId="77777777" w:rsidR="00F06958" w:rsidRPr="002E4D55" w:rsidRDefault="00F06958" w:rsidP="00F06958">
      <w:pPr>
        <w:spacing w:after="0" w:line="276" w:lineRule="auto"/>
        <w:ind w:left="708" w:right="709"/>
        <w:jc w:val="both"/>
        <w:rPr>
          <w:rFonts w:ascii="Arial" w:eastAsia="Calibri" w:hAnsi="Arial" w:cs="Arial"/>
          <w:sz w:val="21"/>
          <w:szCs w:val="21"/>
          <w:lang w:val="es-MX"/>
        </w:rPr>
      </w:pPr>
    </w:p>
    <w:p w14:paraId="126AB074" w14:textId="77777777" w:rsidR="00F06958" w:rsidRPr="002E4D55" w:rsidRDefault="00F06958" w:rsidP="00F06958">
      <w:pPr>
        <w:spacing w:after="120" w:line="240" w:lineRule="auto"/>
        <w:ind w:left="709" w:right="709"/>
        <w:jc w:val="both"/>
        <w:rPr>
          <w:rFonts w:ascii="Arial" w:eastAsia="Calibri" w:hAnsi="Arial" w:cs="Arial"/>
          <w:sz w:val="21"/>
          <w:szCs w:val="21"/>
          <w:lang w:val="es-MX"/>
        </w:rPr>
      </w:pPr>
      <w:r w:rsidRPr="002E4D55">
        <w:rPr>
          <w:rFonts w:ascii="Arial" w:eastAsia="Calibri" w:hAnsi="Arial" w:cs="Arial"/>
          <w:sz w:val="21"/>
          <w:szCs w:val="21"/>
          <w:lang w:val="es-MX"/>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w:t>
      </w:r>
      <w:r w:rsidRPr="002E4D55">
        <w:rPr>
          <w:rFonts w:ascii="Arial" w:eastAsia="Calibri" w:hAnsi="Arial" w:cs="Arial"/>
          <w:sz w:val="21"/>
          <w:szCs w:val="21"/>
          <w:lang w:val="es-MX"/>
        </w:rPr>
        <w:lastRenderedPageBreak/>
        <w:t>taxativamente señale la ley (numeral 4, artículo 2, ley 1150 de 2007), y cumpliendo siempre los principios que rigen la contratación pública</w:t>
      </w:r>
      <w:r w:rsidRPr="002E4D55">
        <w:rPr>
          <w:rFonts w:ascii="Arial" w:eastAsia="Times New Roman" w:hAnsi="Arial" w:cs="Arial"/>
          <w:vertAlign w:val="superscript"/>
          <w:lang w:eastAsia="es-CO"/>
        </w:rPr>
        <w:footnoteReference w:id="10"/>
      </w:r>
      <w:r w:rsidRPr="002E4D55">
        <w:rPr>
          <w:rFonts w:ascii="Arial" w:eastAsia="Calibri" w:hAnsi="Arial" w:cs="Arial"/>
          <w:sz w:val="21"/>
          <w:szCs w:val="21"/>
          <w:lang w:val="es-MX"/>
        </w:rPr>
        <w:t>.</w:t>
      </w:r>
    </w:p>
    <w:p w14:paraId="21FFFD00" w14:textId="77777777" w:rsidR="00F06958" w:rsidRPr="002E4D55" w:rsidRDefault="00F06958" w:rsidP="00F06958">
      <w:pPr>
        <w:spacing w:after="0" w:line="240" w:lineRule="auto"/>
        <w:ind w:left="708" w:right="709"/>
        <w:jc w:val="both"/>
        <w:rPr>
          <w:rFonts w:ascii="Arial" w:eastAsia="Calibri" w:hAnsi="Arial" w:cs="Arial"/>
          <w:sz w:val="21"/>
          <w:szCs w:val="21"/>
          <w:lang w:val="es-MX"/>
        </w:rPr>
      </w:pPr>
      <w:r w:rsidRPr="002E4D55">
        <w:rPr>
          <w:rFonts w:ascii="Arial" w:eastAsia="Calibri" w:hAnsi="Arial" w:cs="Arial"/>
          <w:sz w:val="21"/>
          <w:szCs w:val="21"/>
          <w:lang w:val="es-MX"/>
        </w:rPr>
        <w:t xml:space="preserve">Esta Sala ha entendido </w:t>
      </w:r>
      <w:proofErr w:type="gramStart"/>
      <w:r w:rsidRPr="002E4D55">
        <w:rPr>
          <w:rFonts w:ascii="Arial" w:eastAsia="Calibri" w:hAnsi="Arial" w:cs="Arial"/>
          <w:sz w:val="21"/>
          <w:szCs w:val="21"/>
          <w:lang w:val="es-MX"/>
        </w:rPr>
        <w:t>que</w:t>
      </w:r>
      <w:proofErr w:type="gramEnd"/>
      <w:r w:rsidRPr="002E4D55">
        <w:rPr>
          <w:rFonts w:ascii="Arial" w:eastAsia="Calibri" w:hAnsi="Arial" w:cs="Arial"/>
          <w:sz w:val="21"/>
          <w:szCs w:val="21"/>
          <w:lang w:val="es-MX"/>
        </w:rPr>
        <w:t xml:space="preserve"> para los efectos de la ley de garantías, y dada su finalidad, el enunciado ´contratación directa´ es sinónimo </w:t>
      </w:r>
      <w:bookmarkStart w:id="24" w:name="_Hlk75741738"/>
      <w:r w:rsidRPr="002E4D55">
        <w:rPr>
          <w:rFonts w:ascii="Arial" w:eastAsia="Calibri" w:hAnsi="Arial" w:cs="Arial"/>
          <w:sz w:val="21"/>
          <w:szCs w:val="21"/>
          <w:lang w:val="es-MX"/>
        </w:rPr>
        <w:t xml:space="preserve">de cualquier sistema que no implique convocatoria pública y posibilidad de pluralidad de oferentes, </w:t>
      </w:r>
      <w:bookmarkEnd w:id="24"/>
      <w:r w:rsidRPr="002E4D55">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2E4D55">
        <w:rPr>
          <w:rFonts w:ascii="Arial" w:eastAsia="Times New Roman" w:hAnsi="Arial" w:cs="Arial"/>
          <w:sz w:val="21"/>
          <w:szCs w:val="21"/>
          <w:vertAlign w:val="superscript"/>
          <w:lang w:val="es-MX"/>
        </w:rPr>
        <w:footnoteReference w:id="11"/>
      </w:r>
      <w:r w:rsidRPr="002E4D55">
        <w:rPr>
          <w:rFonts w:ascii="Arial" w:eastAsia="Times New Roman" w:hAnsi="Arial" w:cs="Arial"/>
          <w:sz w:val="21"/>
          <w:szCs w:val="21"/>
          <w:vertAlign w:val="superscript"/>
          <w:lang w:val="es-MX"/>
        </w:rPr>
        <w:t>.</w:t>
      </w:r>
      <w:r w:rsidRPr="002E4D55">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2E4D55">
        <w:rPr>
          <w:rFonts w:ascii="Arial" w:eastAsia="Times New Roman" w:hAnsi="Arial" w:cs="Arial"/>
          <w:vertAlign w:val="superscript"/>
          <w:lang w:eastAsia="es-CO"/>
        </w:rPr>
        <w:footnoteReference w:id="12"/>
      </w:r>
      <w:r w:rsidRPr="002E4D55">
        <w:rPr>
          <w:rFonts w:ascii="Arial" w:eastAsia="Calibri" w:hAnsi="Arial" w:cs="Arial"/>
          <w:sz w:val="21"/>
          <w:szCs w:val="21"/>
          <w:lang w:val="es-MX"/>
        </w:rPr>
        <w:t xml:space="preserve"> .</w:t>
      </w:r>
    </w:p>
    <w:p w14:paraId="7499BEF1" w14:textId="77777777" w:rsidR="00F06958" w:rsidRPr="002E4D55" w:rsidRDefault="00F06958" w:rsidP="00F06958">
      <w:pPr>
        <w:shd w:val="clear" w:color="auto" w:fill="FFFFFF"/>
        <w:spacing w:after="0" w:line="276" w:lineRule="auto"/>
        <w:ind w:firstLine="709"/>
        <w:jc w:val="both"/>
        <w:rPr>
          <w:rFonts w:ascii="Arial" w:eastAsia="Times New Roman" w:hAnsi="Arial" w:cs="Arial"/>
          <w:lang w:eastAsia="x-none"/>
        </w:rPr>
      </w:pPr>
    </w:p>
    <w:p w14:paraId="3ACF9FBF" w14:textId="0C87B576" w:rsidR="0094120C" w:rsidRPr="002E4D55" w:rsidRDefault="0094120C" w:rsidP="00F06958">
      <w:pPr>
        <w:spacing w:after="120" w:line="276" w:lineRule="auto"/>
        <w:ind w:firstLine="708"/>
        <w:jc w:val="both"/>
        <w:rPr>
          <w:rFonts w:ascii="Arial" w:eastAsia="Times New Roman" w:hAnsi="Arial" w:cs="Arial"/>
          <w:bCs/>
          <w:lang w:eastAsia="x-none"/>
        </w:rPr>
      </w:pPr>
      <w:bookmarkStart w:id="26" w:name="_Hlk94521748"/>
      <w:r w:rsidRPr="002E4D55">
        <w:rPr>
          <w:rFonts w:ascii="Arial" w:hAnsi="Arial" w:cs="Arial"/>
          <w:color w:val="000000" w:themeColor="text1"/>
          <w:lang w:val="es-ES_tradnl" w:eastAsia="x-none"/>
        </w:rPr>
        <w:t xml:space="preserve">De acuerdo con el citado concepto, </w:t>
      </w:r>
      <w:bookmarkStart w:id="27" w:name="_Hlk98519748"/>
      <w:r w:rsidRPr="002E4D55">
        <w:rPr>
          <w:rFonts w:ascii="Arial" w:hAnsi="Arial" w:cs="Arial"/>
          <w:color w:val="000000" w:themeColor="text1"/>
          <w:lang w:val="es-ES_tradnl" w:eastAsia="x-none"/>
        </w:rPr>
        <w:t xml:space="preserve">la prohibición del artículo 33 de la Ley de Garantías Electorales se refiere a </w:t>
      </w:r>
      <w:r w:rsidRPr="002E4D55">
        <w:rPr>
          <w:rFonts w:ascii="Arial" w:hAnsi="Arial" w:cs="Arial"/>
          <w:color w:val="000000" w:themeColor="text1"/>
          <w:sz w:val="19"/>
          <w:szCs w:val="19"/>
          <w:lang w:val="es-ES_tradnl"/>
        </w:rPr>
        <w:t>«</w:t>
      </w:r>
      <w:r w:rsidRPr="002E4D55">
        <w:rPr>
          <w:rFonts w:ascii="Arial" w:hAnsi="Arial" w:cs="Arial"/>
          <w:color w:val="000000" w:themeColor="text1"/>
          <w:lang w:val="es-ES_tradnl" w:eastAsia="x-none"/>
        </w:rPr>
        <w:t>cualquier sistema que no implique convocatoria pública y posibilidad de pluralidad de oferentes</w:t>
      </w:r>
      <w:r w:rsidRPr="002E4D55">
        <w:rPr>
          <w:rFonts w:ascii="Arial" w:hAnsi="Arial" w:cs="Arial"/>
          <w:color w:val="000000" w:themeColor="text1"/>
          <w:lang w:val="es-ES_tradnl"/>
        </w:rPr>
        <w:t>»</w:t>
      </w:r>
      <w:r w:rsidRPr="002E4D55">
        <w:rPr>
          <w:rFonts w:ascii="Arial" w:hAnsi="Arial" w:cs="Arial"/>
          <w:color w:val="000000" w:themeColor="text1"/>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w:t>
      </w:r>
      <w:bookmarkEnd w:id="27"/>
      <w:r w:rsidRPr="002E4D55">
        <w:rPr>
          <w:rFonts w:ascii="Arial" w:hAnsi="Arial" w:cs="Arial"/>
          <w:color w:val="000000" w:themeColor="text1"/>
          <w:lang w:val="es-ES_tradnl" w:eastAsia="x-none"/>
        </w:rPr>
        <w:t xml:space="preserve"> Esta posición es congruente con la expedición de la Ley 1150 de 2007 que, entre otras reformas, introdujo la selección abreviada, rediseñó el concurso de méritos</w:t>
      </w:r>
      <w:r w:rsidRPr="002E4D55">
        <w:rPr>
          <w:rFonts w:ascii="Arial" w:hAnsi="Arial" w:cs="Arial"/>
          <w:color w:val="000000" w:themeColor="text1"/>
          <w:vertAlign w:val="superscript"/>
          <w:lang w:eastAsia="es-ES_tradnl"/>
        </w:rPr>
        <w:footnoteReference w:id="13"/>
      </w:r>
      <w:r w:rsidRPr="002E4D55">
        <w:rPr>
          <w:rFonts w:ascii="Arial" w:hAnsi="Arial" w:cs="Arial"/>
          <w:color w:val="000000" w:themeColor="text1"/>
          <w:lang w:val="es-ES_tradnl" w:eastAsia="x-none"/>
        </w:rPr>
        <w:t xml:space="preserve"> y sistematizó las causales de contratación directa</w:t>
      </w:r>
      <w:r w:rsidRPr="002E4D55">
        <w:rPr>
          <w:rFonts w:ascii="Arial" w:hAnsi="Arial" w:cs="Arial"/>
          <w:color w:val="000000" w:themeColor="text1"/>
          <w:vertAlign w:val="superscript"/>
          <w:lang w:eastAsia="es-ES_tradnl"/>
        </w:rPr>
        <w:footnoteReference w:id="14"/>
      </w:r>
      <w:r w:rsidRPr="002E4D55">
        <w:rPr>
          <w:rFonts w:ascii="Arial" w:hAnsi="Arial" w:cs="Arial"/>
          <w:color w:val="000000" w:themeColor="text1"/>
          <w:lang w:val="es-ES_tradnl" w:eastAsia="x-none"/>
        </w:rPr>
        <w:t xml:space="preserve">, </w:t>
      </w:r>
      <w:r w:rsidRPr="002E4D55">
        <w:rPr>
          <w:rFonts w:ascii="Arial" w:hAnsi="Arial" w:cs="Arial"/>
          <w:color w:val="000000" w:themeColor="text1"/>
          <w:lang w:eastAsia="x-none"/>
        </w:rPr>
        <w:t>además, lo es con la posterior regulación de la modalidad de mínima cuantía, establecida actualmente en el numeral 5 del artículo 2 de la Ley 1150 de 2007, de acuerdo con las modificaciones realizadas por leyes posteriores.</w:t>
      </w:r>
      <w:bookmarkEnd w:id="26"/>
    </w:p>
    <w:p w14:paraId="1282C085" w14:textId="77777777" w:rsidR="00F06958" w:rsidRPr="002E4D55" w:rsidRDefault="00F06958" w:rsidP="00F06958">
      <w:pPr>
        <w:spacing w:after="120" w:line="276" w:lineRule="auto"/>
        <w:ind w:firstLine="708"/>
        <w:jc w:val="both"/>
        <w:rPr>
          <w:rFonts w:ascii="Arial" w:eastAsia="Times New Roman" w:hAnsi="Arial" w:cs="Arial"/>
          <w:lang w:val="es-MX" w:eastAsia="x-none"/>
        </w:rPr>
      </w:pPr>
      <w:r w:rsidRPr="002E4D55">
        <w:rPr>
          <w:rFonts w:ascii="Arial" w:eastAsia="Times New Roman" w:hAnsi="Arial" w:cs="Arial"/>
          <w:lang w:eastAsia="x-none"/>
        </w:rPr>
        <w:t xml:space="preserve">De esta forma, se ha depurado la noción de </w:t>
      </w:r>
      <w:r w:rsidRPr="002E4D55">
        <w:rPr>
          <w:rFonts w:ascii="Arial" w:eastAsia="Times New Roman" w:hAnsi="Arial" w:cs="Arial"/>
          <w:sz w:val="19"/>
          <w:szCs w:val="19"/>
          <w:lang w:eastAsia="en-GB"/>
        </w:rPr>
        <w:t>«</w:t>
      </w:r>
      <w:r w:rsidRPr="002E4D55">
        <w:rPr>
          <w:rFonts w:ascii="Arial" w:eastAsia="Times New Roman" w:hAnsi="Arial" w:cs="Arial"/>
          <w:lang w:eastAsia="x-none"/>
        </w:rPr>
        <w:t>contratación directa</w:t>
      </w:r>
      <w:r w:rsidRPr="002E4D55">
        <w:rPr>
          <w:rFonts w:ascii="Arial" w:eastAsia="Times New Roman" w:hAnsi="Arial" w:cs="Arial"/>
          <w:lang w:eastAsia="en-GB"/>
        </w:rPr>
        <w:t>»</w:t>
      </w:r>
      <w:r w:rsidRPr="002E4D55">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2E4D55">
        <w:rPr>
          <w:rFonts w:ascii="Arial" w:eastAsia="Times New Roman" w:hAnsi="Arial" w:cs="Arial"/>
          <w:vertAlign w:val="superscript"/>
          <w:lang w:val="en-GB" w:eastAsia="x-none"/>
        </w:rPr>
        <w:footnoteReference w:id="15"/>
      </w:r>
      <w:r w:rsidRPr="002E4D55">
        <w:rPr>
          <w:rFonts w:ascii="Arial" w:eastAsia="Times New Roman" w:hAnsi="Arial" w:cs="Arial"/>
          <w:lang w:eastAsia="x-none"/>
        </w:rPr>
        <w:t xml:space="preserve">, han establecido </w:t>
      </w:r>
      <w:r w:rsidRPr="002E4D55">
        <w:rPr>
          <w:rFonts w:ascii="Arial" w:eastAsia="Times New Roman" w:hAnsi="Arial" w:cs="Arial"/>
          <w:lang w:eastAsia="x-none"/>
        </w:rPr>
        <w:lastRenderedPageBreak/>
        <w:t>sistemas de contratación que implican convocatoria pública y participación de varios oferentes</w:t>
      </w:r>
      <w:r w:rsidRPr="002E4D55">
        <w:rPr>
          <w:rFonts w:ascii="Arial" w:eastAsia="Times New Roman" w:hAnsi="Arial" w:cs="Arial"/>
          <w:lang w:eastAsia="en-GB"/>
        </w:rPr>
        <w:t>»</w:t>
      </w:r>
      <w:r w:rsidRPr="002E4D55">
        <w:rPr>
          <w:rFonts w:ascii="Arial" w:eastAsia="Times New Roman" w:hAnsi="Arial" w:cs="Arial"/>
          <w:lang w:eastAsia="x-none"/>
        </w:rPr>
        <w:t xml:space="preserve">. </w:t>
      </w:r>
    </w:p>
    <w:p w14:paraId="3D2076FF" w14:textId="77777777" w:rsidR="00F06958" w:rsidRPr="002E4D55" w:rsidRDefault="00F06958" w:rsidP="00F06958">
      <w:pPr>
        <w:spacing w:after="120" w:line="276" w:lineRule="auto"/>
        <w:ind w:firstLine="708"/>
        <w:jc w:val="both"/>
        <w:rPr>
          <w:rFonts w:ascii="Arial" w:eastAsia="Times New Roman" w:hAnsi="Arial" w:cs="Arial"/>
          <w:bCs/>
          <w:lang w:val="es-MX" w:eastAsia="es-CO"/>
        </w:rPr>
      </w:pPr>
      <w:r w:rsidRPr="002E4D55">
        <w:rPr>
          <w:rFonts w:ascii="Arial" w:eastAsia="Times New Roman" w:hAnsi="Arial" w:cs="Arial"/>
          <w:bCs/>
          <w:lang w:val="es-MX" w:eastAsia="x-none"/>
        </w:rPr>
        <w:t>E</w:t>
      </w:r>
      <w:r w:rsidRPr="002E4D55">
        <w:rPr>
          <w:rFonts w:ascii="Arial" w:eastAsia="Times New Roman" w:hAnsi="Arial" w:cs="Arial"/>
          <w:lang w:eastAsia="x-none"/>
        </w:rPr>
        <w:t xml:space="preserve">n efecto, vale la pena mencionar que, </w:t>
      </w:r>
      <w:bookmarkStart w:id="29" w:name="_Hlk75636073"/>
      <w:r w:rsidRPr="002E4D55">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9"/>
      <w:r w:rsidRPr="002E4D55">
        <w:rPr>
          <w:rFonts w:ascii="Arial" w:eastAsia="Times New Roman" w:hAnsi="Arial" w:cs="Arial"/>
          <w:vertAlign w:val="superscript"/>
          <w:lang w:eastAsia="x-none"/>
        </w:rPr>
        <w:footnoteReference w:id="16"/>
      </w:r>
      <w:r w:rsidRPr="002E4D55">
        <w:rPr>
          <w:rFonts w:ascii="Arial" w:eastAsia="Times New Roman" w:hAnsi="Arial" w:cs="Arial"/>
          <w:lang w:eastAsia="x-none"/>
        </w:rPr>
        <w:t xml:space="preserve">. </w:t>
      </w:r>
    </w:p>
    <w:p w14:paraId="2181F5D2" w14:textId="77777777" w:rsidR="00F06958" w:rsidRPr="002E4D55" w:rsidRDefault="00F06958" w:rsidP="00F06958">
      <w:pPr>
        <w:spacing w:after="120" w:line="276" w:lineRule="auto"/>
        <w:ind w:firstLine="708"/>
        <w:jc w:val="both"/>
        <w:rPr>
          <w:rFonts w:ascii="Arial" w:eastAsia="Times New Roman" w:hAnsi="Arial" w:cs="Arial"/>
          <w:bCs/>
          <w:lang w:val="es-MX" w:eastAsia="es-CO"/>
        </w:rPr>
      </w:pPr>
      <w:r w:rsidRPr="002E4D55">
        <w:rPr>
          <w:rFonts w:ascii="Arial" w:eastAsia="Times New Roman" w:hAnsi="Arial" w:cs="Arial"/>
          <w:bCs/>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6F102F5" w14:textId="279ACF64" w:rsidR="00D479AA" w:rsidRPr="002E4D55" w:rsidRDefault="00F06958" w:rsidP="00D73F19">
      <w:pPr>
        <w:spacing w:after="120" w:line="276" w:lineRule="auto"/>
        <w:ind w:firstLine="708"/>
        <w:jc w:val="both"/>
        <w:rPr>
          <w:rFonts w:ascii="Arial" w:eastAsia="Times New Roman" w:hAnsi="Arial" w:cs="Arial"/>
          <w:vertAlign w:val="superscript"/>
          <w:lang w:eastAsia="x-none"/>
        </w:rPr>
      </w:pPr>
      <w:bookmarkStart w:id="30" w:name="_Hlk78818796"/>
      <w:r w:rsidRPr="002E4D55">
        <w:rPr>
          <w:rFonts w:ascii="Arial" w:eastAsia="Times New Roman" w:hAnsi="Arial" w:cs="Arial"/>
          <w:bCs/>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2E4D55">
        <w:rPr>
          <w:rFonts w:ascii="Arial" w:eastAsia="Times New Roman" w:hAnsi="Arial" w:cs="Arial"/>
          <w:vertAlign w:val="superscript"/>
          <w:lang w:eastAsia="x-none"/>
        </w:rPr>
        <w:footnoteReference w:id="17"/>
      </w:r>
      <w:r w:rsidRPr="002E4D55">
        <w:rPr>
          <w:rFonts w:ascii="Arial" w:eastAsia="Times New Roman" w:hAnsi="Arial" w:cs="Arial"/>
          <w:bCs/>
          <w:lang w:val="es-MX" w:eastAsia="x-none"/>
        </w:rPr>
        <w:t>.</w:t>
      </w:r>
      <w:r w:rsidRPr="002E4D55">
        <w:rPr>
          <w:rFonts w:ascii="Arial" w:eastAsia="Times New Roman" w:hAnsi="Arial" w:cs="Arial"/>
          <w:vertAlign w:val="superscript"/>
          <w:lang w:eastAsia="x-none"/>
        </w:rPr>
        <w:t xml:space="preserve"> </w:t>
      </w:r>
    </w:p>
    <w:p w14:paraId="530EE3C6" w14:textId="6FD89744" w:rsidR="00024A8D" w:rsidRPr="002E4D55" w:rsidRDefault="00065F88" w:rsidP="003800AC">
      <w:pPr>
        <w:spacing w:after="120" w:line="276" w:lineRule="auto"/>
        <w:ind w:firstLine="708"/>
        <w:jc w:val="both"/>
        <w:rPr>
          <w:rFonts w:ascii="Arial" w:eastAsia="Times New Roman" w:hAnsi="Arial" w:cs="Arial"/>
          <w:bCs/>
          <w:lang w:val="es-MX" w:eastAsia="x-none"/>
        </w:rPr>
      </w:pPr>
      <w:r w:rsidRPr="002E4D55">
        <w:rPr>
          <w:rFonts w:ascii="Arial" w:eastAsia="Times New Roman" w:hAnsi="Arial" w:cs="Arial"/>
          <w:lang w:eastAsia="x-none"/>
        </w:rPr>
        <w:t>En relación con el objeto de su consulta</w:t>
      </w:r>
      <w:r w:rsidR="003663FD" w:rsidRPr="002E4D55">
        <w:rPr>
          <w:rFonts w:ascii="Arial" w:eastAsia="Times New Roman" w:hAnsi="Arial" w:cs="Arial"/>
          <w:lang w:eastAsia="x-none"/>
        </w:rPr>
        <w:t>,</w:t>
      </w:r>
      <w:r w:rsidRPr="002E4D55">
        <w:rPr>
          <w:rFonts w:ascii="Arial" w:eastAsia="Times New Roman" w:hAnsi="Arial" w:cs="Arial"/>
          <w:lang w:eastAsia="x-none"/>
        </w:rPr>
        <w:t xml:space="preserve"> se precisa que </w:t>
      </w:r>
      <w:r w:rsidR="00D429DC" w:rsidRPr="002E4D55">
        <w:rPr>
          <w:rFonts w:ascii="Arial" w:eastAsia="Times New Roman" w:hAnsi="Arial" w:cs="Arial"/>
          <w:lang w:eastAsia="x-none"/>
        </w:rPr>
        <w:t>los acuerdos voluntarios de conservación</w:t>
      </w:r>
      <w:r w:rsidR="00093AB6" w:rsidRPr="002E4D55">
        <w:rPr>
          <w:rFonts w:ascii="Arial" w:eastAsia="Times New Roman" w:hAnsi="Arial" w:cs="Arial"/>
          <w:lang w:eastAsia="x-none"/>
        </w:rPr>
        <w:t xml:space="preserve">, conforme con el literal </w:t>
      </w:r>
      <w:r w:rsidR="007A7878" w:rsidRPr="002E4D55">
        <w:rPr>
          <w:rFonts w:ascii="Arial" w:eastAsia="Times New Roman" w:hAnsi="Arial" w:cs="Arial"/>
          <w:lang w:eastAsia="x-none"/>
        </w:rPr>
        <w:t>c</w:t>
      </w:r>
      <w:r w:rsidR="00093AB6" w:rsidRPr="002E4D55">
        <w:rPr>
          <w:rFonts w:ascii="Arial" w:eastAsia="Times New Roman" w:hAnsi="Arial" w:cs="Arial"/>
          <w:lang w:eastAsia="x-none"/>
        </w:rPr>
        <w:t>) del artículo 5 del Decreto</w:t>
      </w:r>
      <w:r w:rsidR="003663FD" w:rsidRPr="002E4D55">
        <w:rPr>
          <w:rFonts w:ascii="Arial" w:eastAsia="Times New Roman" w:hAnsi="Arial" w:cs="Arial"/>
          <w:lang w:eastAsia="x-none"/>
        </w:rPr>
        <w:t>-L</w:t>
      </w:r>
      <w:r w:rsidR="00093AB6" w:rsidRPr="002E4D55">
        <w:rPr>
          <w:rFonts w:ascii="Arial" w:eastAsia="Times New Roman" w:hAnsi="Arial" w:cs="Arial"/>
          <w:lang w:eastAsia="x-none"/>
        </w:rPr>
        <w:t>ey 870 de 2017</w:t>
      </w:r>
      <w:r w:rsidR="007A7878" w:rsidRPr="002E4D55">
        <w:rPr>
          <w:rFonts w:ascii="Arial" w:eastAsia="Times New Roman" w:hAnsi="Arial" w:cs="Arial"/>
          <w:lang w:eastAsia="x-none"/>
        </w:rPr>
        <w:t xml:space="preserve"> </w:t>
      </w:r>
      <w:r w:rsidRPr="002E4D55">
        <w:rPr>
          <w:rFonts w:ascii="Arial" w:eastAsia="Times New Roman" w:hAnsi="Arial" w:cs="Arial"/>
          <w:lang w:eastAsia="x-none"/>
        </w:rPr>
        <w:t xml:space="preserve">son </w:t>
      </w:r>
      <w:r w:rsidR="00DB3C43" w:rsidRPr="002E4D55">
        <w:rPr>
          <w:rFonts w:ascii="Arial" w:eastAsia="Times New Roman" w:hAnsi="Arial" w:cs="Arial"/>
          <w:bCs/>
          <w:lang w:val="es-MX" w:eastAsia="x-none"/>
        </w:rPr>
        <w:t xml:space="preserve">«el mecanismo a través del cual se formalizan los compromisos entre los interesados en los servicios ambientales y los beneficiarios </w:t>
      </w:r>
      <w:r w:rsidR="00505B85" w:rsidRPr="002E4D55">
        <w:rPr>
          <w:rFonts w:ascii="Arial" w:eastAsia="Times New Roman" w:hAnsi="Arial" w:cs="Arial"/>
          <w:bCs/>
          <w:lang w:val="es-MX" w:eastAsia="x-none"/>
        </w:rPr>
        <w:t>del incentivo, para el desarrollo de acciones de preservación y restauración de áreas y ecosistemas estratégicos</w:t>
      </w:r>
      <w:r w:rsidR="009F67FA" w:rsidRPr="002E4D55">
        <w:rPr>
          <w:rFonts w:ascii="Arial" w:eastAsia="Times New Roman" w:hAnsi="Arial" w:cs="Arial"/>
          <w:bCs/>
          <w:lang w:val="es-MX" w:eastAsia="x-none"/>
        </w:rPr>
        <w:t>»</w:t>
      </w:r>
      <w:r w:rsidR="00387F30" w:rsidRPr="002E4D55">
        <w:rPr>
          <w:rFonts w:ascii="Arial" w:eastAsia="Times New Roman" w:hAnsi="Arial" w:cs="Arial"/>
          <w:bCs/>
          <w:lang w:val="es-MX" w:eastAsia="x-none"/>
        </w:rPr>
        <w:t>.</w:t>
      </w:r>
      <w:r w:rsidR="008976C4" w:rsidRPr="002E4D55">
        <w:rPr>
          <w:rFonts w:ascii="Arial" w:eastAsia="Times New Roman" w:hAnsi="Arial" w:cs="Arial"/>
          <w:bCs/>
          <w:lang w:val="es-MX" w:eastAsia="x-none"/>
        </w:rPr>
        <w:t xml:space="preserve"> </w:t>
      </w:r>
      <w:r w:rsidR="00024A8D" w:rsidRPr="002E4D55">
        <w:rPr>
          <w:rFonts w:ascii="Arial" w:eastAsia="Times New Roman" w:hAnsi="Arial" w:cs="Arial"/>
          <w:bCs/>
          <w:lang w:val="es-MX" w:eastAsia="x-none"/>
        </w:rPr>
        <w:t>De esta definición</w:t>
      </w:r>
      <w:r w:rsidR="003800AC" w:rsidRPr="002E4D55">
        <w:rPr>
          <w:rFonts w:ascii="Arial" w:eastAsia="Times New Roman" w:hAnsi="Arial" w:cs="Arial"/>
          <w:bCs/>
          <w:lang w:val="es-MX" w:eastAsia="x-none"/>
        </w:rPr>
        <w:t>, se observa, e</w:t>
      </w:r>
      <w:r w:rsidR="00024A8D" w:rsidRPr="002E4D55">
        <w:rPr>
          <w:rFonts w:ascii="Arial" w:eastAsia="Times New Roman" w:hAnsi="Arial" w:cs="Arial"/>
          <w:bCs/>
          <w:lang w:val="es-MX" w:eastAsia="x-none"/>
        </w:rPr>
        <w:t xml:space="preserve">n primer lugar, </w:t>
      </w:r>
      <w:r w:rsidR="003800AC" w:rsidRPr="002E4D55">
        <w:rPr>
          <w:rFonts w:ascii="Arial" w:eastAsia="Times New Roman" w:hAnsi="Arial" w:cs="Arial"/>
          <w:bCs/>
          <w:lang w:val="es-MX" w:eastAsia="x-none"/>
        </w:rPr>
        <w:t xml:space="preserve">que en ella se </w:t>
      </w:r>
      <w:r w:rsidR="00415CBB" w:rsidRPr="002E4D55">
        <w:rPr>
          <w:rFonts w:ascii="Arial" w:eastAsia="Times New Roman" w:hAnsi="Arial" w:cs="Arial"/>
          <w:bCs/>
          <w:lang w:val="es-MX" w:eastAsia="x-none"/>
        </w:rPr>
        <w:t>establece</w:t>
      </w:r>
      <w:r w:rsidR="003800AC" w:rsidRPr="002E4D55">
        <w:rPr>
          <w:rFonts w:ascii="Arial" w:eastAsia="Times New Roman" w:hAnsi="Arial" w:cs="Arial"/>
          <w:bCs/>
          <w:lang w:val="es-MX" w:eastAsia="x-none"/>
        </w:rPr>
        <w:t>n</w:t>
      </w:r>
      <w:r w:rsidR="009153FD" w:rsidRPr="002E4D55">
        <w:rPr>
          <w:rFonts w:ascii="Arial" w:eastAsia="Times New Roman" w:hAnsi="Arial" w:cs="Arial"/>
          <w:bCs/>
          <w:lang w:val="es-MX" w:eastAsia="x-none"/>
        </w:rPr>
        <w:t xml:space="preserve"> los pagos por servicios ambientales como el objeto </w:t>
      </w:r>
      <w:r w:rsidR="003800AC" w:rsidRPr="002E4D55">
        <w:rPr>
          <w:rFonts w:ascii="Arial" w:eastAsia="Times New Roman" w:hAnsi="Arial" w:cs="Arial"/>
          <w:bCs/>
          <w:lang w:val="es-MX" w:eastAsia="x-none"/>
        </w:rPr>
        <w:t>de los acuerdos voluntarios de conservación,</w:t>
      </w:r>
      <w:r w:rsidR="009153FD" w:rsidRPr="002E4D55">
        <w:rPr>
          <w:rFonts w:ascii="Arial" w:eastAsia="Times New Roman" w:hAnsi="Arial" w:cs="Arial"/>
          <w:bCs/>
          <w:lang w:val="es-MX" w:eastAsia="x-none"/>
        </w:rPr>
        <w:t xml:space="preserve"> que en el artículo 4 del referido Decreto son «el incentivo económico en dinero o en especie que reconocen los interesados de los servicios ambientales a los propietarios, poseedores u ocupantes de buena fe exenta de culpa por las acciones </w:t>
      </w:r>
      <w:r w:rsidR="00D473B6" w:rsidRPr="002E4D55">
        <w:rPr>
          <w:rFonts w:ascii="Arial" w:eastAsia="Times New Roman" w:hAnsi="Arial" w:cs="Arial"/>
          <w:bCs/>
          <w:lang w:val="es-MX" w:eastAsia="x-none"/>
        </w:rPr>
        <w:t xml:space="preserve">de preservación y restauración en áreas y ecosistemas estratégicos, mediante la celebración de acuerdos voluntarios entre los interesados y beneficiarios de los servicios ambientales». </w:t>
      </w:r>
    </w:p>
    <w:p w14:paraId="791A6268" w14:textId="5759080D" w:rsidR="003800AC" w:rsidRPr="002E4D55" w:rsidRDefault="003800AC" w:rsidP="00B03170">
      <w:pPr>
        <w:spacing w:after="120" w:line="276" w:lineRule="auto"/>
        <w:ind w:firstLine="708"/>
        <w:jc w:val="both"/>
        <w:rPr>
          <w:rFonts w:ascii="Arial" w:eastAsia="Times New Roman" w:hAnsi="Arial" w:cs="Arial"/>
          <w:bCs/>
          <w:lang w:val="es-MX" w:eastAsia="x-none"/>
        </w:rPr>
      </w:pPr>
      <w:r w:rsidRPr="002E4D55">
        <w:rPr>
          <w:rFonts w:ascii="Arial" w:eastAsia="Times New Roman" w:hAnsi="Arial" w:cs="Arial"/>
          <w:bCs/>
          <w:lang w:val="es-MX" w:eastAsia="x-none"/>
        </w:rPr>
        <w:t xml:space="preserve">Se observa que </w:t>
      </w:r>
      <w:r w:rsidR="003663FD" w:rsidRPr="002E4D55">
        <w:rPr>
          <w:rFonts w:ascii="Arial" w:eastAsia="Times New Roman" w:hAnsi="Arial" w:cs="Arial"/>
          <w:bCs/>
          <w:lang w:val="es-MX" w:eastAsia="x-none"/>
        </w:rPr>
        <w:t xml:space="preserve">en </w:t>
      </w:r>
      <w:r w:rsidRPr="002E4D55">
        <w:rPr>
          <w:rFonts w:ascii="Arial" w:eastAsia="Times New Roman" w:hAnsi="Arial" w:cs="Arial"/>
          <w:bCs/>
          <w:lang w:val="es-MX" w:eastAsia="x-none"/>
        </w:rPr>
        <w:t xml:space="preserve">la definición de los acuerdos voluntarios </w:t>
      </w:r>
      <w:r w:rsidR="00147A1D" w:rsidRPr="002E4D55">
        <w:rPr>
          <w:rFonts w:ascii="Arial" w:eastAsia="Times New Roman" w:hAnsi="Arial" w:cs="Arial"/>
          <w:bCs/>
          <w:lang w:val="es-MX" w:eastAsia="x-none"/>
        </w:rPr>
        <w:t xml:space="preserve">establecida </w:t>
      </w:r>
      <w:r w:rsidRPr="002E4D55">
        <w:rPr>
          <w:rFonts w:ascii="Arial" w:eastAsia="Times New Roman" w:hAnsi="Arial" w:cs="Arial"/>
          <w:bCs/>
          <w:lang w:val="es-MX" w:eastAsia="x-none"/>
        </w:rPr>
        <w:t>por el decreto</w:t>
      </w:r>
      <w:r w:rsidR="003663FD" w:rsidRPr="002E4D55">
        <w:rPr>
          <w:rFonts w:ascii="Arial" w:eastAsia="Times New Roman" w:hAnsi="Arial" w:cs="Arial"/>
          <w:bCs/>
          <w:lang w:val="es-MX" w:eastAsia="x-none"/>
        </w:rPr>
        <w:t>-</w:t>
      </w:r>
      <w:r w:rsidRPr="002E4D55">
        <w:rPr>
          <w:rFonts w:ascii="Arial" w:eastAsia="Times New Roman" w:hAnsi="Arial" w:cs="Arial"/>
          <w:bCs/>
          <w:lang w:val="es-MX" w:eastAsia="x-none"/>
        </w:rPr>
        <w:t xml:space="preserve">ley </w:t>
      </w:r>
      <w:r w:rsidR="003663FD" w:rsidRPr="002E4D55">
        <w:rPr>
          <w:rFonts w:ascii="Arial" w:eastAsia="Times New Roman" w:hAnsi="Arial" w:cs="Arial"/>
          <w:bCs/>
          <w:lang w:val="es-MX" w:eastAsia="x-none"/>
        </w:rPr>
        <w:t xml:space="preserve">se </w:t>
      </w:r>
      <w:r w:rsidR="00BF2F7B" w:rsidRPr="002E4D55">
        <w:rPr>
          <w:rFonts w:ascii="Arial" w:eastAsia="Times New Roman" w:hAnsi="Arial" w:cs="Arial"/>
          <w:bCs/>
          <w:lang w:val="es-MX" w:eastAsia="x-none"/>
        </w:rPr>
        <w:t xml:space="preserve">señaló </w:t>
      </w:r>
      <w:r w:rsidRPr="002E4D55">
        <w:rPr>
          <w:rFonts w:ascii="Arial" w:eastAsia="Times New Roman" w:hAnsi="Arial" w:cs="Arial"/>
          <w:bCs/>
          <w:lang w:val="es-MX" w:eastAsia="x-none"/>
        </w:rPr>
        <w:t>que, en estos acuerdos</w:t>
      </w:r>
      <w:r w:rsidR="003663FD" w:rsidRPr="002E4D55">
        <w:rPr>
          <w:rFonts w:ascii="Arial" w:eastAsia="Times New Roman" w:hAnsi="Arial" w:cs="Arial"/>
          <w:bCs/>
          <w:lang w:val="es-MX" w:eastAsia="x-none"/>
        </w:rPr>
        <w:t>,</w:t>
      </w:r>
      <w:r w:rsidRPr="002E4D55">
        <w:rPr>
          <w:rFonts w:ascii="Arial" w:eastAsia="Times New Roman" w:hAnsi="Arial" w:cs="Arial"/>
          <w:bCs/>
          <w:lang w:val="es-MX" w:eastAsia="x-none"/>
        </w:rPr>
        <w:t xml:space="preserve"> beneficiarios e interesados deben estipular </w:t>
      </w:r>
      <w:r w:rsidRPr="002E4D55">
        <w:rPr>
          <w:rFonts w:ascii="Arial" w:eastAsia="Times New Roman" w:hAnsi="Arial" w:cs="Arial"/>
          <w:bCs/>
          <w:lang w:val="es-MX" w:eastAsia="x-none"/>
        </w:rPr>
        <w:lastRenderedPageBreak/>
        <w:t xml:space="preserve">los compromisos </w:t>
      </w:r>
      <w:r w:rsidR="001C727E" w:rsidRPr="002E4D55">
        <w:rPr>
          <w:rFonts w:ascii="Arial" w:eastAsia="Times New Roman" w:hAnsi="Arial" w:cs="Arial"/>
          <w:bCs/>
          <w:lang w:val="es-MX" w:eastAsia="x-none"/>
        </w:rPr>
        <w:t xml:space="preserve">entre </w:t>
      </w:r>
      <w:r w:rsidR="00BF2F7B" w:rsidRPr="002E4D55">
        <w:rPr>
          <w:rFonts w:ascii="Arial" w:eastAsia="Times New Roman" w:hAnsi="Arial" w:cs="Arial"/>
          <w:bCs/>
          <w:lang w:val="es-MX" w:eastAsia="x-none"/>
        </w:rPr>
        <w:t>ellos</w:t>
      </w:r>
      <w:r w:rsidR="001C727E" w:rsidRPr="002E4D55">
        <w:rPr>
          <w:rFonts w:ascii="Arial" w:eastAsia="Times New Roman" w:hAnsi="Arial" w:cs="Arial"/>
          <w:bCs/>
          <w:lang w:val="es-MX" w:eastAsia="x-none"/>
        </w:rPr>
        <w:t>, a efectos de desarrollar las acciones de preservación y restauración de las áreas o ecosistemas estratégicos. En el caso de los interesados</w:t>
      </w:r>
      <w:r w:rsidR="003663FD" w:rsidRPr="002E4D55">
        <w:rPr>
          <w:rFonts w:ascii="Arial" w:eastAsia="Times New Roman" w:hAnsi="Arial" w:cs="Arial"/>
          <w:bCs/>
          <w:lang w:val="es-MX" w:eastAsia="x-none"/>
        </w:rPr>
        <w:t>,</w:t>
      </w:r>
      <w:r w:rsidR="00C9693D" w:rsidRPr="002E4D55">
        <w:rPr>
          <w:rFonts w:ascii="Arial" w:eastAsia="Times New Roman" w:hAnsi="Arial" w:cs="Arial"/>
          <w:bCs/>
          <w:lang w:val="es-MX" w:eastAsia="x-none"/>
        </w:rPr>
        <w:t xml:space="preserve"> la principal obligación </w:t>
      </w:r>
      <w:r w:rsidR="00BF2F7B" w:rsidRPr="002E4D55">
        <w:rPr>
          <w:rFonts w:ascii="Arial" w:eastAsia="Times New Roman" w:hAnsi="Arial" w:cs="Arial"/>
          <w:bCs/>
          <w:lang w:val="es-MX" w:eastAsia="x-none"/>
        </w:rPr>
        <w:t xml:space="preserve">consiste en </w:t>
      </w:r>
      <w:r w:rsidR="009829FC" w:rsidRPr="002E4D55">
        <w:rPr>
          <w:rFonts w:ascii="Arial" w:eastAsia="Times New Roman" w:hAnsi="Arial" w:cs="Arial"/>
          <w:bCs/>
          <w:lang w:val="es-MX" w:eastAsia="x-none"/>
        </w:rPr>
        <w:t xml:space="preserve">el pago de los servicios ambientales, que conforme con el artículo 2.2.9.8.1.4. del Decreto 1007 de 2018, </w:t>
      </w:r>
      <w:r w:rsidR="00733C19" w:rsidRPr="002E4D55">
        <w:rPr>
          <w:rFonts w:ascii="Arial" w:eastAsia="Times New Roman" w:hAnsi="Arial" w:cs="Arial"/>
          <w:bCs/>
          <w:lang w:val="es-MX" w:eastAsia="x-none"/>
        </w:rPr>
        <w:t xml:space="preserve">corresponde al incentivo económico en dinero o especie reconocidos por estos sujetos </w:t>
      </w:r>
      <w:r w:rsidR="00D44878" w:rsidRPr="002E4D55">
        <w:rPr>
          <w:rFonts w:ascii="Arial" w:eastAsia="Times New Roman" w:hAnsi="Arial" w:cs="Arial"/>
          <w:bCs/>
          <w:lang w:val="es-MX" w:eastAsia="x-none"/>
        </w:rPr>
        <w:t>a los beneficiarios por las acciones de conservación.</w:t>
      </w:r>
      <w:r w:rsidR="00D76725" w:rsidRPr="002E4D55">
        <w:rPr>
          <w:rFonts w:ascii="Arial" w:eastAsia="Times New Roman" w:hAnsi="Arial" w:cs="Arial"/>
          <w:bCs/>
          <w:lang w:val="es-MX" w:eastAsia="x-none"/>
        </w:rPr>
        <w:t xml:space="preserve"> </w:t>
      </w:r>
      <w:r w:rsidR="00D44878" w:rsidRPr="002E4D55">
        <w:rPr>
          <w:rFonts w:ascii="Arial" w:eastAsia="Times New Roman" w:hAnsi="Arial" w:cs="Arial"/>
          <w:bCs/>
          <w:lang w:val="es-MX" w:eastAsia="x-none"/>
        </w:rPr>
        <w:t xml:space="preserve">Por su parte, los beneficiarios </w:t>
      </w:r>
      <w:r w:rsidR="00493514" w:rsidRPr="002E4D55">
        <w:rPr>
          <w:rFonts w:ascii="Arial" w:eastAsia="Times New Roman" w:hAnsi="Arial" w:cs="Arial"/>
          <w:bCs/>
          <w:lang w:val="es-MX" w:eastAsia="x-none"/>
        </w:rPr>
        <w:t xml:space="preserve">tendrán como compromisos u obligaciones </w:t>
      </w:r>
      <w:r w:rsidR="00185FA2" w:rsidRPr="002E4D55">
        <w:rPr>
          <w:rFonts w:ascii="Arial" w:eastAsia="Times New Roman" w:hAnsi="Arial" w:cs="Arial"/>
          <w:bCs/>
          <w:lang w:val="es-MX" w:eastAsia="x-none"/>
        </w:rPr>
        <w:t>realizar las acciones de preservación o conservación de</w:t>
      </w:r>
      <w:r w:rsidR="002B77DC" w:rsidRPr="002E4D55">
        <w:rPr>
          <w:rFonts w:ascii="Arial" w:eastAsia="Times New Roman" w:hAnsi="Arial" w:cs="Arial"/>
          <w:bCs/>
          <w:lang w:val="es-MX" w:eastAsia="x-none"/>
        </w:rPr>
        <w:t xml:space="preserve"> </w:t>
      </w:r>
      <w:r w:rsidR="00100ECF" w:rsidRPr="002E4D55">
        <w:rPr>
          <w:rFonts w:ascii="Arial" w:eastAsia="Times New Roman" w:hAnsi="Arial" w:cs="Arial"/>
          <w:bCs/>
          <w:lang w:val="es-MX" w:eastAsia="x-none"/>
        </w:rPr>
        <w:t>las áreas protegidas</w:t>
      </w:r>
      <w:r w:rsidR="00D76725" w:rsidRPr="002E4D55">
        <w:rPr>
          <w:rFonts w:ascii="Arial" w:eastAsia="Times New Roman" w:hAnsi="Arial" w:cs="Arial"/>
          <w:bCs/>
          <w:lang w:val="es-MX" w:eastAsia="x-none"/>
        </w:rPr>
        <w:t xml:space="preserve">. </w:t>
      </w:r>
    </w:p>
    <w:p w14:paraId="03937C0B" w14:textId="0B93D4DC" w:rsidR="00D71D35" w:rsidRPr="002E4D55" w:rsidRDefault="003E5B44" w:rsidP="006C3AC9">
      <w:pPr>
        <w:spacing w:after="120" w:line="276" w:lineRule="auto"/>
        <w:ind w:firstLine="708"/>
        <w:jc w:val="both"/>
        <w:rPr>
          <w:rFonts w:ascii="Arial" w:eastAsia="Times New Roman" w:hAnsi="Arial" w:cs="Arial"/>
          <w:bCs/>
          <w:lang w:val="es-MX" w:eastAsia="x-none"/>
        </w:rPr>
      </w:pPr>
      <w:r w:rsidRPr="002E4D55">
        <w:rPr>
          <w:rFonts w:ascii="Arial" w:eastAsia="Times New Roman" w:hAnsi="Arial" w:cs="Arial"/>
          <w:bCs/>
          <w:lang w:val="es-MX" w:eastAsia="x-none"/>
        </w:rPr>
        <w:t>En segundo lugar,</w:t>
      </w:r>
      <w:r w:rsidR="00F40937" w:rsidRPr="002E4D55">
        <w:rPr>
          <w:rFonts w:ascii="Arial" w:eastAsia="Times New Roman" w:hAnsi="Arial" w:cs="Arial"/>
          <w:bCs/>
          <w:lang w:val="es-MX" w:eastAsia="x-none"/>
        </w:rPr>
        <w:t xml:space="preserve"> </w:t>
      </w:r>
      <w:r w:rsidR="00373CFA" w:rsidRPr="002E4D55">
        <w:rPr>
          <w:rFonts w:ascii="Arial" w:eastAsia="Times New Roman" w:hAnsi="Arial" w:cs="Arial"/>
          <w:bCs/>
          <w:lang w:val="es-MX" w:eastAsia="x-none"/>
        </w:rPr>
        <w:t>se observa de las definiciones citadas que los sujetos que suscriben estos acuerdos son dos: de un lado</w:t>
      </w:r>
      <w:r w:rsidR="003663FD" w:rsidRPr="002E4D55">
        <w:rPr>
          <w:rFonts w:ascii="Arial" w:eastAsia="Times New Roman" w:hAnsi="Arial" w:cs="Arial"/>
          <w:bCs/>
          <w:lang w:val="es-MX" w:eastAsia="x-none"/>
        </w:rPr>
        <w:t>,</w:t>
      </w:r>
      <w:r w:rsidR="00373CFA" w:rsidRPr="002E4D55">
        <w:rPr>
          <w:rFonts w:ascii="Arial" w:eastAsia="Times New Roman" w:hAnsi="Arial" w:cs="Arial"/>
          <w:bCs/>
          <w:lang w:val="es-MX" w:eastAsia="x-none"/>
        </w:rPr>
        <w:t xml:space="preserve"> los interesados en servicios ambientales y</w:t>
      </w:r>
      <w:r w:rsidR="003663FD" w:rsidRPr="002E4D55">
        <w:rPr>
          <w:rFonts w:ascii="Arial" w:eastAsia="Times New Roman" w:hAnsi="Arial" w:cs="Arial"/>
          <w:bCs/>
          <w:lang w:val="es-MX" w:eastAsia="x-none"/>
        </w:rPr>
        <w:t>,</w:t>
      </w:r>
      <w:r w:rsidR="00373CFA" w:rsidRPr="002E4D55">
        <w:rPr>
          <w:rFonts w:ascii="Arial" w:eastAsia="Times New Roman" w:hAnsi="Arial" w:cs="Arial"/>
          <w:bCs/>
          <w:lang w:val="es-MX" w:eastAsia="x-none"/>
        </w:rPr>
        <w:t xml:space="preserve"> de otro, los beneficiarios del incentivo. Los primeros, conforme con e</w:t>
      </w:r>
      <w:r w:rsidR="001762D1" w:rsidRPr="002E4D55">
        <w:rPr>
          <w:rFonts w:ascii="Arial" w:eastAsia="Times New Roman" w:hAnsi="Arial" w:cs="Arial"/>
          <w:bCs/>
          <w:lang w:val="es-MX" w:eastAsia="x-none"/>
        </w:rPr>
        <w:t xml:space="preserve">l literal a) del artículo 5 del Decreto 870 de 2017, son «las personas naturales o jurídicas, públicas, privadas o mixtas, </w:t>
      </w:r>
      <w:r w:rsidR="00664ACD" w:rsidRPr="002E4D55">
        <w:rPr>
          <w:rFonts w:ascii="Arial" w:eastAsia="Times New Roman" w:hAnsi="Arial" w:cs="Arial"/>
          <w:bCs/>
          <w:lang w:val="es-MX" w:eastAsia="x-none"/>
        </w:rPr>
        <w:t>que reconocen el incentivo económico de pago por servicios ambientales de forma voluntaria o en el marco del cumplimiento de las obligaciones derivadas de autorizaciones ambientales»</w:t>
      </w:r>
      <w:r w:rsidR="00ED1105" w:rsidRPr="002E4D55">
        <w:rPr>
          <w:rFonts w:ascii="Arial" w:eastAsia="Times New Roman" w:hAnsi="Arial" w:cs="Arial"/>
          <w:bCs/>
          <w:lang w:val="es-MX" w:eastAsia="x-none"/>
        </w:rPr>
        <w:t xml:space="preserve">. </w:t>
      </w:r>
      <w:r w:rsidR="00F86EC6" w:rsidRPr="002E4D55">
        <w:rPr>
          <w:rFonts w:ascii="Arial" w:eastAsia="Times New Roman" w:hAnsi="Arial" w:cs="Arial"/>
          <w:bCs/>
          <w:lang w:val="es-MX" w:eastAsia="x-none"/>
        </w:rPr>
        <w:t xml:space="preserve">Los segundos, es decir, los beneficiarios del incentivo, </w:t>
      </w:r>
      <w:r w:rsidR="00E6473F" w:rsidRPr="002E4D55">
        <w:rPr>
          <w:rFonts w:ascii="Arial" w:eastAsia="Times New Roman" w:hAnsi="Arial" w:cs="Arial"/>
          <w:bCs/>
          <w:lang w:val="es-MX" w:eastAsia="x-none"/>
        </w:rPr>
        <w:t>conforme con el literal b) del artículo 5 del Decreto 870 de 2017, son «</w:t>
      </w:r>
      <w:r w:rsidR="008104BB" w:rsidRPr="002E4D55">
        <w:rPr>
          <w:rFonts w:ascii="Arial" w:eastAsia="Times New Roman" w:hAnsi="Arial" w:cs="Arial"/>
          <w:bCs/>
          <w:lang w:val="es-MX" w:eastAsia="x-none"/>
        </w:rPr>
        <w:t xml:space="preserve">propietarios, poseedores u ocupantes de buena fe exenta de culpa de predios ubicados </w:t>
      </w:r>
      <w:r w:rsidR="001E2B7C" w:rsidRPr="002E4D55">
        <w:rPr>
          <w:rFonts w:ascii="Arial" w:eastAsia="Times New Roman" w:hAnsi="Arial" w:cs="Arial"/>
          <w:bCs/>
          <w:lang w:val="es-MX" w:eastAsia="x-none"/>
        </w:rPr>
        <w:t>en las áreas y ecosistemas estratégicos, que reciben el incentivo condicionado al cumplimiento de las acciones de preservación y restauración suscritas a través de un acuerdo voluntario»</w:t>
      </w:r>
      <w:r w:rsidR="00ED1105" w:rsidRPr="002E4D55">
        <w:rPr>
          <w:rFonts w:ascii="Arial" w:eastAsia="Times New Roman" w:hAnsi="Arial" w:cs="Arial"/>
          <w:bCs/>
          <w:lang w:val="es-MX" w:eastAsia="x-none"/>
        </w:rPr>
        <w:t xml:space="preserve">. </w:t>
      </w:r>
    </w:p>
    <w:p w14:paraId="53762125" w14:textId="12ABFC28" w:rsidR="00D72CC2" w:rsidRPr="002E4D55" w:rsidRDefault="00B03170" w:rsidP="00D72CC2">
      <w:pPr>
        <w:spacing w:after="120" w:line="276" w:lineRule="auto"/>
        <w:ind w:firstLine="708"/>
        <w:jc w:val="both"/>
        <w:rPr>
          <w:rFonts w:ascii="Arial" w:eastAsia="Times New Roman" w:hAnsi="Arial" w:cs="Arial"/>
          <w:bCs/>
          <w:lang w:val="es-MX" w:eastAsia="x-none"/>
        </w:rPr>
      </w:pPr>
      <w:r w:rsidRPr="002E4D55">
        <w:rPr>
          <w:rFonts w:ascii="Arial" w:eastAsia="Times New Roman" w:hAnsi="Arial" w:cs="Arial"/>
          <w:bCs/>
          <w:lang w:val="es-MX" w:eastAsia="x-none"/>
        </w:rPr>
        <w:t xml:space="preserve">Ahora, </w:t>
      </w:r>
      <w:r w:rsidR="00E913A4" w:rsidRPr="002E4D55">
        <w:rPr>
          <w:rFonts w:ascii="Arial" w:eastAsia="Times New Roman" w:hAnsi="Arial" w:cs="Arial"/>
          <w:bCs/>
          <w:lang w:val="es-MX" w:eastAsia="x-none"/>
        </w:rPr>
        <w:t>estos acuerdos voluntarios tienen naturaleza contractual</w:t>
      </w:r>
      <w:r w:rsidR="003663FD" w:rsidRPr="002E4D55">
        <w:rPr>
          <w:rFonts w:ascii="Arial" w:eastAsia="Times New Roman" w:hAnsi="Arial" w:cs="Arial"/>
          <w:bCs/>
          <w:lang w:val="es-MX" w:eastAsia="x-none"/>
        </w:rPr>
        <w:t>,</w:t>
      </w:r>
      <w:r w:rsidR="00E913A4" w:rsidRPr="002E4D55">
        <w:rPr>
          <w:rFonts w:ascii="Arial" w:eastAsia="Times New Roman" w:hAnsi="Arial" w:cs="Arial"/>
          <w:bCs/>
          <w:lang w:val="es-MX" w:eastAsia="x-none"/>
        </w:rPr>
        <w:t xml:space="preserve"> como se desprende de la regulación señalada</w:t>
      </w:r>
      <w:r w:rsidR="00E47779" w:rsidRPr="002E4D55">
        <w:rPr>
          <w:rFonts w:ascii="Arial" w:eastAsia="Times New Roman" w:hAnsi="Arial" w:cs="Arial"/>
          <w:bCs/>
          <w:lang w:val="es-MX" w:eastAsia="x-none"/>
        </w:rPr>
        <w:t xml:space="preserve"> anteriormente</w:t>
      </w:r>
      <w:r w:rsidR="00E913A4" w:rsidRPr="002E4D55">
        <w:rPr>
          <w:rFonts w:ascii="Arial" w:eastAsia="Times New Roman" w:hAnsi="Arial" w:cs="Arial"/>
          <w:bCs/>
          <w:lang w:val="es-MX" w:eastAsia="x-none"/>
        </w:rPr>
        <w:t xml:space="preserve">, naturaleza que también ha sido </w:t>
      </w:r>
      <w:r w:rsidR="00BF2F7B" w:rsidRPr="002E4D55">
        <w:rPr>
          <w:rFonts w:ascii="Arial" w:eastAsia="Times New Roman" w:hAnsi="Arial" w:cs="Arial"/>
          <w:bCs/>
          <w:lang w:val="es-MX" w:eastAsia="x-none"/>
        </w:rPr>
        <w:t>reconocida</w:t>
      </w:r>
      <w:r w:rsidR="00E913A4" w:rsidRPr="002E4D55">
        <w:rPr>
          <w:rFonts w:ascii="Arial" w:eastAsia="Times New Roman" w:hAnsi="Arial" w:cs="Arial"/>
          <w:bCs/>
          <w:lang w:val="es-MX" w:eastAsia="x-none"/>
        </w:rPr>
        <w:t xml:space="preserve"> por la </w:t>
      </w:r>
      <w:r w:rsidR="004F1E86" w:rsidRPr="002E4D55">
        <w:rPr>
          <w:rFonts w:ascii="Arial" w:eastAsia="Times New Roman" w:hAnsi="Arial" w:cs="Arial"/>
          <w:bCs/>
          <w:lang w:val="es-MX" w:eastAsia="x-none"/>
        </w:rPr>
        <w:t>Corte Constitucional</w:t>
      </w:r>
      <w:r w:rsidR="007D08A5" w:rsidRPr="002E4D55">
        <w:rPr>
          <w:rFonts w:ascii="Arial" w:eastAsia="Times New Roman" w:hAnsi="Arial" w:cs="Arial"/>
          <w:bCs/>
          <w:lang w:val="es-MX" w:eastAsia="x-none"/>
        </w:rPr>
        <w:t>, según la cual</w:t>
      </w:r>
      <w:r w:rsidR="00F20D64" w:rsidRPr="002E4D55">
        <w:rPr>
          <w:rFonts w:ascii="Arial" w:eastAsia="Times New Roman" w:hAnsi="Arial" w:cs="Arial"/>
          <w:bCs/>
          <w:lang w:val="es-MX" w:eastAsia="x-none"/>
        </w:rPr>
        <w:t xml:space="preserve"> «di</w:t>
      </w:r>
      <w:proofErr w:type="spellStart"/>
      <w:r w:rsidR="00F20D64" w:rsidRPr="002E4D55">
        <w:rPr>
          <w:rFonts w:ascii="Arial" w:hAnsi="Arial" w:cs="Arial"/>
          <w:color w:val="2D2D2D"/>
          <w:shd w:val="clear" w:color="auto" w:fill="FFFFFF"/>
          <w:lang w:val="es-ES"/>
        </w:rPr>
        <w:t>chos</w:t>
      </w:r>
      <w:proofErr w:type="spellEnd"/>
      <w:r w:rsidR="00F20D64" w:rsidRPr="002E4D55">
        <w:rPr>
          <w:rFonts w:ascii="Arial" w:hAnsi="Arial" w:cs="Arial"/>
          <w:color w:val="2D2D2D"/>
          <w:shd w:val="clear" w:color="auto" w:fill="FFFFFF"/>
          <w:lang w:val="es-ES"/>
        </w:rPr>
        <w:t xml:space="preserve"> acuerdos tienen la naturaleza de ser instrumentos contractuales que formalizan voluntariamente los compromisos, en donde se indica el objeto, se definen las acciones, su periodicidad, los parámetros del incentivo, las obligaciones de las partes, e incluso las causales de incumplimiento</w:t>
      </w:r>
      <w:r w:rsidR="003663FD" w:rsidRPr="002E4D55">
        <w:rPr>
          <w:rFonts w:ascii="Arial" w:hAnsi="Arial" w:cs="Arial"/>
          <w:color w:val="2D2D2D"/>
          <w:shd w:val="clear" w:color="auto" w:fill="FFFFFF"/>
          <w:lang w:val="es-ES"/>
        </w:rPr>
        <w:t>»</w:t>
      </w:r>
      <w:r w:rsidR="00F20D64" w:rsidRPr="002E4D55">
        <w:rPr>
          <w:rStyle w:val="Refdenotaalpie"/>
          <w:rFonts w:ascii="Arial" w:hAnsi="Arial" w:cs="Arial"/>
          <w:color w:val="2D2D2D"/>
          <w:shd w:val="clear" w:color="auto" w:fill="FFFFFF"/>
          <w:lang w:val="es-ES"/>
        </w:rPr>
        <w:footnoteReference w:id="18"/>
      </w:r>
      <w:r w:rsidR="00E913A4" w:rsidRPr="002E4D55">
        <w:rPr>
          <w:rFonts w:ascii="Arial" w:hAnsi="Arial" w:cs="Arial"/>
          <w:color w:val="2D2D2D"/>
          <w:shd w:val="clear" w:color="auto" w:fill="FFFFFF"/>
          <w:lang w:val="es-ES"/>
        </w:rPr>
        <w:t>. Teniendo en cuenta lo anterior,</w:t>
      </w:r>
      <w:r w:rsidR="007D08A5" w:rsidRPr="002E4D55">
        <w:rPr>
          <w:rFonts w:ascii="Arial" w:eastAsia="Times New Roman" w:hAnsi="Arial" w:cs="Arial"/>
          <w:bCs/>
          <w:lang w:val="es-MX" w:eastAsia="x-none"/>
        </w:rPr>
        <w:t xml:space="preserve"> </w:t>
      </w:r>
      <w:r w:rsidR="00600377" w:rsidRPr="002E4D55">
        <w:rPr>
          <w:rFonts w:ascii="Arial" w:eastAsia="Times New Roman" w:hAnsi="Arial" w:cs="Arial"/>
          <w:bCs/>
          <w:lang w:val="es-MX" w:eastAsia="x-none"/>
        </w:rPr>
        <w:t xml:space="preserve">cuando </w:t>
      </w:r>
      <w:r w:rsidR="00320B16" w:rsidRPr="002E4D55">
        <w:rPr>
          <w:rFonts w:ascii="Arial" w:eastAsia="Times New Roman" w:hAnsi="Arial" w:cs="Arial"/>
          <w:bCs/>
          <w:lang w:val="es-MX" w:eastAsia="x-none"/>
        </w:rPr>
        <w:t xml:space="preserve">el interesado </w:t>
      </w:r>
      <w:r w:rsidR="00D021BD" w:rsidRPr="002E4D55">
        <w:rPr>
          <w:rFonts w:ascii="Arial" w:eastAsia="Times New Roman" w:hAnsi="Arial" w:cs="Arial"/>
          <w:bCs/>
          <w:lang w:val="es-MX" w:eastAsia="x-none"/>
        </w:rPr>
        <w:t xml:space="preserve">en servicios ambientales de un acuerdo voluntario de conservación </w:t>
      </w:r>
      <w:r w:rsidR="00FA0B88" w:rsidRPr="002E4D55">
        <w:rPr>
          <w:rFonts w:ascii="Arial" w:eastAsia="Times New Roman" w:hAnsi="Arial" w:cs="Arial"/>
          <w:bCs/>
          <w:lang w:val="es-MX" w:eastAsia="x-none"/>
        </w:rPr>
        <w:t xml:space="preserve">sea un ente del </w:t>
      </w:r>
      <w:r w:rsidR="00E913A4" w:rsidRPr="002E4D55">
        <w:rPr>
          <w:rFonts w:ascii="Arial" w:eastAsia="Times New Roman" w:hAnsi="Arial" w:cs="Arial"/>
          <w:bCs/>
          <w:lang w:val="es-MX" w:eastAsia="x-none"/>
        </w:rPr>
        <w:t>E</w:t>
      </w:r>
      <w:r w:rsidR="00FA0B88" w:rsidRPr="002E4D55">
        <w:rPr>
          <w:rFonts w:ascii="Arial" w:eastAsia="Times New Roman" w:hAnsi="Arial" w:cs="Arial"/>
          <w:bCs/>
          <w:lang w:val="es-MX" w:eastAsia="x-none"/>
        </w:rPr>
        <w:t>stado</w:t>
      </w:r>
      <w:r w:rsidR="00D72CC2" w:rsidRPr="002E4D55">
        <w:rPr>
          <w:rFonts w:ascii="Arial" w:eastAsia="Times New Roman" w:hAnsi="Arial" w:cs="Arial"/>
          <w:bCs/>
          <w:lang w:val="es-MX" w:eastAsia="x-none"/>
        </w:rPr>
        <w:t xml:space="preserve">, </w:t>
      </w:r>
      <w:r w:rsidR="00D021BD" w:rsidRPr="002E4D55">
        <w:rPr>
          <w:rFonts w:ascii="Arial" w:eastAsia="Times New Roman" w:hAnsi="Arial" w:cs="Arial"/>
          <w:bCs/>
          <w:lang w:val="es-MX" w:eastAsia="x-none"/>
        </w:rPr>
        <w:t xml:space="preserve">aplicará </w:t>
      </w:r>
      <w:r w:rsidR="00EA5C34" w:rsidRPr="002E4D55">
        <w:rPr>
          <w:rFonts w:ascii="Arial" w:eastAsia="Times New Roman" w:hAnsi="Arial" w:cs="Arial"/>
          <w:bCs/>
          <w:lang w:val="es-MX" w:eastAsia="x-none"/>
        </w:rPr>
        <w:t xml:space="preserve">la prohibición </w:t>
      </w:r>
      <w:r w:rsidR="00D72CC2" w:rsidRPr="002E4D55">
        <w:rPr>
          <w:rFonts w:ascii="Arial" w:eastAsia="Times New Roman" w:hAnsi="Arial" w:cs="Arial"/>
          <w:bCs/>
          <w:lang w:val="es-MX" w:eastAsia="x-none"/>
        </w:rPr>
        <w:t xml:space="preserve">prevista en </w:t>
      </w:r>
      <w:r w:rsidR="00E913A4" w:rsidRPr="002E4D55">
        <w:rPr>
          <w:rFonts w:ascii="Arial" w:eastAsia="Times New Roman" w:hAnsi="Arial" w:cs="Arial"/>
          <w:bCs/>
          <w:lang w:val="es-MX" w:eastAsia="x-none"/>
        </w:rPr>
        <w:t xml:space="preserve">el artículo 33 de la </w:t>
      </w:r>
      <w:r w:rsidR="00D72CC2" w:rsidRPr="002E4D55">
        <w:rPr>
          <w:rFonts w:ascii="Arial" w:eastAsia="Times New Roman" w:hAnsi="Arial" w:cs="Arial"/>
          <w:bCs/>
          <w:lang w:val="es-MX" w:eastAsia="x-none"/>
        </w:rPr>
        <w:t>Ley de Garantías Electorales</w:t>
      </w:r>
      <w:r w:rsidR="00E20455" w:rsidRPr="002E4D55">
        <w:rPr>
          <w:rFonts w:ascii="Arial" w:eastAsia="Times New Roman" w:hAnsi="Arial" w:cs="Arial"/>
          <w:bCs/>
          <w:lang w:val="es-MX" w:eastAsia="x-none"/>
        </w:rPr>
        <w:t>,</w:t>
      </w:r>
      <w:r w:rsidR="00D72CC2" w:rsidRPr="002E4D55">
        <w:rPr>
          <w:rFonts w:ascii="Arial" w:eastAsia="Times New Roman" w:hAnsi="Arial" w:cs="Arial"/>
          <w:bCs/>
          <w:lang w:val="es-MX" w:eastAsia="x-none"/>
        </w:rPr>
        <w:t xml:space="preserve"> </w:t>
      </w:r>
      <w:r w:rsidR="00E913A4" w:rsidRPr="002E4D55">
        <w:rPr>
          <w:rFonts w:ascii="Arial" w:eastAsia="Times New Roman" w:hAnsi="Arial" w:cs="Arial"/>
          <w:bCs/>
          <w:lang w:val="es-MX" w:eastAsia="x-none"/>
        </w:rPr>
        <w:t>en tanto dichos contratos se celebren de forma directa</w:t>
      </w:r>
      <w:r w:rsidR="00E20455" w:rsidRPr="002E4D55">
        <w:rPr>
          <w:rFonts w:ascii="Arial" w:eastAsia="Times New Roman" w:hAnsi="Arial" w:cs="Arial"/>
          <w:bCs/>
          <w:lang w:val="es-MX" w:eastAsia="x-none"/>
        </w:rPr>
        <w:t xml:space="preserve">. En efecto, como se explicó anteriormente, con fundamento, entre otros, en distintos pronunciamientos de la Sala de Consulta y Servicio Civil del Consejo de Estado, </w:t>
      </w:r>
      <w:r w:rsidR="00E47779" w:rsidRPr="002E4D55">
        <w:rPr>
          <w:rFonts w:ascii="Arial" w:eastAsia="Times New Roman" w:hAnsi="Arial" w:cs="Arial"/>
          <w:bCs/>
          <w:lang w:val="es-MX" w:eastAsia="x-none"/>
        </w:rPr>
        <w:t xml:space="preserve">la prohibición de la </w:t>
      </w:r>
      <w:r w:rsidR="00AB5E59" w:rsidRPr="002E4D55">
        <w:rPr>
          <w:rFonts w:ascii="Arial" w:eastAsia="Times New Roman" w:hAnsi="Arial" w:cs="Arial"/>
          <w:bCs/>
          <w:lang w:val="es-MX" w:eastAsia="x-none"/>
        </w:rPr>
        <w:t xml:space="preserve">contratación directa por parte de todos los entes del Estado </w:t>
      </w:r>
      <w:r w:rsidR="00D72CC2" w:rsidRPr="002E4D55">
        <w:rPr>
          <w:rFonts w:ascii="Arial" w:eastAsia="Times New Roman" w:hAnsi="Arial" w:cs="Arial"/>
          <w:bCs/>
          <w:lang w:val="es-MX" w:eastAsia="x-none"/>
        </w:rPr>
        <w:t xml:space="preserve">no está dirigida exclusivamente a los procesos de contratación </w:t>
      </w:r>
      <w:r w:rsidR="00E20455" w:rsidRPr="002E4D55">
        <w:rPr>
          <w:rFonts w:ascii="Arial" w:eastAsia="Times New Roman" w:hAnsi="Arial" w:cs="Arial"/>
          <w:bCs/>
          <w:lang w:val="es-MX" w:eastAsia="x-none"/>
        </w:rPr>
        <w:t>regidos por el Estatuto General de Contratación de la Administración Pública</w:t>
      </w:r>
      <w:r w:rsidR="00D72CC2" w:rsidRPr="002E4D55">
        <w:rPr>
          <w:rFonts w:ascii="Arial" w:eastAsia="Times New Roman" w:hAnsi="Arial" w:cs="Arial"/>
          <w:bCs/>
          <w:lang w:val="es-MX" w:eastAsia="x-none"/>
        </w:rPr>
        <w:t xml:space="preserve">, sino que </w:t>
      </w:r>
      <w:r w:rsidR="00700F0E" w:rsidRPr="002E4D55">
        <w:rPr>
          <w:rFonts w:ascii="Arial" w:eastAsia="Times New Roman" w:hAnsi="Arial" w:cs="Arial"/>
          <w:bCs/>
          <w:lang w:val="es-MX" w:eastAsia="x-none"/>
        </w:rPr>
        <w:t xml:space="preserve">aplica «[…] </w:t>
      </w:r>
      <w:r w:rsidR="00700F0E" w:rsidRPr="002E4D55">
        <w:rPr>
          <w:rFonts w:ascii="Arial" w:hAnsi="Arial" w:cs="Arial"/>
          <w:color w:val="000000"/>
          <w:shd w:val="clear" w:color="auto" w:fill="FFFFFF"/>
        </w:rPr>
        <w:t>sin distinción del “</w:t>
      </w:r>
      <w:r w:rsidR="00700F0E" w:rsidRPr="002E4D55">
        <w:rPr>
          <w:rFonts w:ascii="Arial" w:hAnsi="Arial" w:cs="Arial"/>
          <w:i/>
          <w:color w:val="000000"/>
          <w:shd w:val="clear" w:color="auto" w:fill="FFFFFF"/>
        </w:rPr>
        <w:t>régimen jurídico, forma de organización o naturaleza, su pertenencia a una u otra rama del poder público o su autonomía […]»</w:t>
      </w:r>
      <w:r w:rsidR="00700F0E" w:rsidRPr="002E4D55">
        <w:rPr>
          <w:rFonts w:ascii="Arial" w:hAnsi="Arial" w:cs="Arial"/>
          <w:iCs/>
          <w:color w:val="000000"/>
          <w:shd w:val="clear" w:color="auto" w:fill="FFFFFF"/>
        </w:rPr>
        <w:t>, precisando que «el enunciado “contratación directa” es sinónimo de cualquier sistema que no implique convocatoria pública y posibilidad de pluralidad de oferentes, y que, además, no necesariamente hace referencia al procedimiento especial regulado por la ley de contratación estatal, sino a cual otro que prescinda de un proceso de licitación pública o concurso»</w:t>
      </w:r>
      <w:r w:rsidR="00700F0E" w:rsidRPr="002E4D55">
        <w:rPr>
          <w:rStyle w:val="Refdenotaalpie"/>
          <w:rFonts w:ascii="Arial" w:hAnsi="Arial" w:cs="Arial"/>
          <w:iCs/>
          <w:color w:val="000000"/>
          <w:shd w:val="clear" w:color="auto" w:fill="FFFFFF"/>
        </w:rPr>
        <w:footnoteReference w:id="19"/>
      </w:r>
      <w:r w:rsidR="00C1289B" w:rsidRPr="002E4D55">
        <w:rPr>
          <w:rFonts w:ascii="Arial" w:eastAsia="Times New Roman" w:hAnsi="Arial" w:cs="Arial"/>
          <w:bCs/>
          <w:lang w:val="es-MX" w:eastAsia="x-none"/>
        </w:rPr>
        <w:t xml:space="preserve">. </w:t>
      </w:r>
      <w:r w:rsidR="004415AB" w:rsidRPr="002E4D55">
        <w:rPr>
          <w:rFonts w:ascii="Arial" w:eastAsia="Times New Roman" w:hAnsi="Arial" w:cs="Arial"/>
          <w:bCs/>
          <w:lang w:val="es-MX" w:eastAsia="x-none"/>
        </w:rPr>
        <w:t xml:space="preserve">Lo anterior, sin perjuicio de las </w:t>
      </w:r>
      <w:r w:rsidR="004415AB" w:rsidRPr="002E4D55">
        <w:rPr>
          <w:rFonts w:ascii="Arial" w:eastAsia="Times New Roman" w:hAnsi="Arial" w:cs="Arial"/>
          <w:bCs/>
          <w:lang w:val="es-MX" w:eastAsia="x-none"/>
        </w:rPr>
        <w:lastRenderedPageBreak/>
        <w:t>excepciones a la prohibición de contratación directa establecidas en el inciso segundo del artículo 33 de la Ley 996 de 2005, por lo que en cada contrato se deberá analizar si se configura alguno de dichos supuestos.</w:t>
      </w:r>
    </w:p>
    <w:p w14:paraId="3E9A014C" w14:textId="77777777" w:rsidR="00F06958" w:rsidRPr="002E4D55" w:rsidRDefault="00F06958" w:rsidP="00F06958">
      <w:pPr>
        <w:spacing w:after="0" w:line="276" w:lineRule="auto"/>
        <w:ind w:firstLine="708"/>
        <w:jc w:val="both"/>
        <w:rPr>
          <w:rFonts w:ascii="Arial" w:eastAsia="Times New Roman" w:hAnsi="Arial" w:cs="Arial"/>
          <w:bCs/>
          <w:lang w:val="es-MX" w:eastAsia="x-none"/>
        </w:rPr>
      </w:pPr>
      <w:bookmarkStart w:id="31" w:name="_Hlk75783800"/>
      <w:bookmarkEnd w:id="30"/>
    </w:p>
    <w:p w14:paraId="30C3F74A" w14:textId="73C5AAEE" w:rsidR="006C029F" w:rsidRPr="002E4D55" w:rsidRDefault="00F06958" w:rsidP="00F06958">
      <w:pPr>
        <w:spacing w:after="0" w:line="276" w:lineRule="auto"/>
        <w:jc w:val="both"/>
        <w:rPr>
          <w:rFonts w:ascii="Arial" w:eastAsia="Times New Roman" w:hAnsi="Arial" w:cs="Arial"/>
          <w:b/>
          <w:lang w:val="es-MX" w:eastAsia="x-none"/>
        </w:rPr>
      </w:pPr>
      <w:r w:rsidRPr="002E4D55">
        <w:rPr>
          <w:rFonts w:ascii="Arial" w:eastAsia="Times New Roman" w:hAnsi="Arial" w:cs="Arial"/>
          <w:b/>
          <w:lang w:val="es-MX" w:eastAsia="x-none"/>
        </w:rPr>
        <w:t>2.3.  Destinatarios de la restricción del artículo 33 de la Ley 996 de 2005</w:t>
      </w:r>
    </w:p>
    <w:p w14:paraId="23F2A757" w14:textId="77777777" w:rsidR="00F06958" w:rsidRPr="002E4D55" w:rsidRDefault="00F06958" w:rsidP="00F06958">
      <w:pPr>
        <w:spacing w:after="0" w:line="276" w:lineRule="auto"/>
        <w:jc w:val="both"/>
        <w:rPr>
          <w:rFonts w:ascii="Arial" w:eastAsia="Times New Roman" w:hAnsi="Arial" w:cs="Arial"/>
          <w:bCs/>
          <w:lang w:val="es-MX" w:eastAsia="x-none"/>
        </w:rPr>
      </w:pPr>
    </w:p>
    <w:p w14:paraId="23E350BD" w14:textId="77777777" w:rsidR="009737EE" w:rsidRPr="002E4D55" w:rsidRDefault="009737EE" w:rsidP="009737EE">
      <w:pPr>
        <w:spacing w:after="120" w:line="276" w:lineRule="auto"/>
        <w:jc w:val="both"/>
        <w:rPr>
          <w:rFonts w:ascii="Arial" w:hAnsi="Arial" w:cs="Arial"/>
          <w:bCs/>
          <w:color w:val="000000" w:themeColor="text1"/>
          <w:lang w:val="es-ES_tradnl" w:eastAsia="es-CO"/>
        </w:rPr>
      </w:pPr>
      <w:bookmarkStart w:id="32" w:name="_Hlk106178149"/>
      <w:bookmarkStart w:id="33" w:name="_Hlk99438356"/>
      <w:r w:rsidRPr="002E4D55">
        <w:rPr>
          <w:rFonts w:ascii="Arial" w:hAnsi="Arial" w:cs="Arial"/>
          <w:bCs/>
          <w:color w:val="000000" w:themeColor="text1"/>
          <w:lang w:val="es-MX" w:eastAsia="x-none"/>
        </w:rPr>
        <w:t>En relación con los destinatarios de la restricción analizada, el artículo 33 de la Ley 996 de 2005 los señala expresamente,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del 20 de febrero de 2006, consideró que 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2E4D55">
        <w:rPr>
          <w:rFonts w:ascii="Arial" w:hAnsi="Arial" w:cs="Arial"/>
          <w:bCs/>
          <w:color w:val="000000" w:themeColor="text1"/>
          <w:vertAlign w:val="superscript"/>
          <w:lang w:val="es-MX" w:eastAsia="x-none"/>
        </w:rPr>
        <w:footnoteReference w:id="20"/>
      </w:r>
      <w:r w:rsidRPr="002E4D55">
        <w:rPr>
          <w:rFonts w:ascii="Arial" w:hAnsi="Arial" w:cs="Arial"/>
          <w:bCs/>
          <w:color w:val="000000" w:themeColor="text1"/>
          <w:lang w:val="es-MX" w:eastAsia="x-none"/>
        </w:rPr>
        <w:t xml:space="preserve">. </w:t>
      </w:r>
    </w:p>
    <w:bookmarkEnd w:id="32"/>
    <w:p w14:paraId="629D2426" w14:textId="77777777" w:rsidR="009737EE" w:rsidRPr="002E4D55" w:rsidRDefault="009737EE" w:rsidP="009737EE">
      <w:pPr>
        <w:spacing w:line="276" w:lineRule="auto"/>
        <w:ind w:firstLine="708"/>
        <w:jc w:val="both"/>
        <w:rPr>
          <w:rFonts w:ascii="Arial" w:hAnsi="Arial" w:cs="Arial"/>
          <w:color w:val="000000" w:themeColor="text1"/>
          <w:lang w:val="es-ES_tradnl"/>
        </w:rPr>
      </w:pPr>
      <w:r w:rsidRPr="002E4D55">
        <w:rPr>
          <w:rFonts w:ascii="Arial" w:hAnsi="Arial" w:cs="Arial"/>
          <w:bCs/>
          <w:color w:val="000000" w:themeColor="text1"/>
          <w:lang w:val="es-ES_tradnl" w:eastAsia="x-none"/>
        </w:rPr>
        <w:t>De igual forma, en Concepto 1738 de 6 de abril de 2006, también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2E4D55">
        <w:rPr>
          <w:rFonts w:ascii="Arial" w:hAnsi="Arial" w:cs="Arial"/>
          <w:color w:val="000000" w:themeColor="text1"/>
          <w:vertAlign w:val="superscript"/>
          <w:lang w:eastAsia="es-ES_tradnl"/>
        </w:rPr>
        <w:footnoteReference w:id="21"/>
      </w:r>
      <w:r w:rsidRPr="002E4D55">
        <w:rPr>
          <w:rFonts w:ascii="Arial" w:hAnsi="Arial" w:cs="Arial"/>
          <w:bCs/>
          <w:color w:val="000000" w:themeColor="text1"/>
          <w:lang w:val="es-ES_tradnl" w:eastAsia="x-none"/>
        </w:rPr>
        <w:t>.</w:t>
      </w:r>
      <w:r w:rsidRPr="002E4D55">
        <w:rPr>
          <w:rFonts w:ascii="Arial" w:hAnsi="Arial" w:cs="Arial"/>
          <w:color w:val="000000" w:themeColor="text1"/>
          <w:lang w:val="es-ES_tradnl"/>
        </w:rPr>
        <w:t xml:space="preserve"> Sin embargo, debe precisarse el siguiente aspecto que distinguió la Sala de Consulta y Servicio Civil:</w:t>
      </w:r>
    </w:p>
    <w:p w14:paraId="7EC85B17" w14:textId="77777777" w:rsidR="009737EE" w:rsidRPr="002E4D55" w:rsidRDefault="009737EE" w:rsidP="002E4D55">
      <w:pPr>
        <w:spacing w:line="240" w:lineRule="auto"/>
        <w:ind w:left="708" w:right="709"/>
        <w:jc w:val="both"/>
        <w:rPr>
          <w:rFonts w:ascii="Arial" w:hAnsi="Arial" w:cs="Arial"/>
          <w:color w:val="000000" w:themeColor="text1"/>
          <w:sz w:val="21"/>
          <w:szCs w:val="21"/>
          <w:lang w:val="es-ES_tradnl"/>
        </w:rPr>
      </w:pPr>
      <w:r w:rsidRPr="002E4D55">
        <w:rPr>
          <w:rFonts w:ascii="Arial" w:hAnsi="Arial" w:cs="Arial"/>
          <w:color w:val="000000" w:themeColor="text1"/>
          <w:sz w:val="21"/>
          <w:szCs w:val="21"/>
          <w:lang w:val="es-ES_tradnl"/>
        </w:rPr>
        <w:lastRenderedPageBreak/>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2E4D55">
        <w:rPr>
          <w:rFonts w:ascii="Arial" w:hAnsi="Arial" w:cs="Arial"/>
          <w:color w:val="000000" w:themeColor="text1"/>
          <w:vertAlign w:val="superscript"/>
          <w:lang w:eastAsia="es-ES_tradnl"/>
        </w:rPr>
        <w:footnoteReference w:id="22"/>
      </w:r>
      <w:r w:rsidRPr="002E4D55">
        <w:rPr>
          <w:rFonts w:ascii="Arial" w:hAnsi="Arial" w:cs="Arial"/>
          <w:bCs/>
          <w:color w:val="000000" w:themeColor="text1"/>
          <w:lang w:val="es-ES_tradnl" w:eastAsia="x-none"/>
        </w:rPr>
        <w:t>.</w:t>
      </w:r>
    </w:p>
    <w:p w14:paraId="3D3E146B" w14:textId="77777777" w:rsidR="009737EE" w:rsidRPr="002E4D55" w:rsidRDefault="009737EE" w:rsidP="009737EE">
      <w:pPr>
        <w:spacing w:after="120" w:line="276" w:lineRule="auto"/>
        <w:ind w:firstLine="709"/>
        <w:jc w:val="both"/>
        <w:rPr>
          <w:rFonts w:ascii="Arial" w:hAnsi="Arial" w:cs="Arial"/>
          <w:bCs/>
          <w:color w:val="000000" w:themeColor="text1"/>
          <w:lang w:val="es-ES_tradnl" w:eastAsia="x-none"/>
        </w:rPr>
      </w:pPr>
      <w:r w:rsidRPr="002E4D55">
        <w:rPr>
          <w:rFonts w:ascii="Arial" w:hAnsi="Arial" w:cs="Arial"/>
          <w:color w:val="000000" w:themeColor="text1"/>
          <w:lang w:val="es-ES_tradnl"/>
        </w:rPr>
        <w:t>Aplicando este razonamiento, se tiene, por ejemplo,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éstas entidades va a prestar un servicio […] a un particular, lo puede hacer, pues éstos se ofrecen a toda la comunidad en condiciones de igualdad. Si se supusiera que está prohibida su contratación directa, significaría la parálisis de tal actividad de interés público, lo que de ninguna manera es lo querido por la ley 996 de 2005»</w:t>
      </w:r>
      <w:r w:rsidRPr="002E4D55">
        <w:rPr>
          <w:rFonts w:ascii="Arial" w:hAnsi="Arial" w:cs="Arial"/>
          <w:color w:val="000000" w:themeColor="text1"/>
          <w:vertAlign w:val="superscript"/>
          <w:lang w:val="es-ES_tradnl"/>
        </w:rPr>
        <w:t xml:space="preserve"> </w:t>
      </w:r>
      <w:r w:rsidRPr="002E4D55">
        <w:rPr>
          <w:rFonts w:ascii="Arial" w:hAnsi="Arial" w:cs="Arial"/>
          <w:color w:val="000000" w:themeColor="text1"/>
          <w:vertAlign w:val="superscript"/>
          <w:lang w:eastAsia="es-ES_tradnl"/>
        </w:rPr>
        <w:footnoteReference w:id="23"/>
      </w:r>
      <w:r w:rsidRPr="002E4D55">
        <w:rPr>
          <w:rFonts w:ascii="Arial" w:hAnsi="Arial" w:cs="Arial"/>
          <w:color w:val="000000" w:themeColor="text1"/>
          <w:lang w:val="es-ES_tradnl"/>
        </w:rPr>
        <w:t>.</w:t>
      </w:r>
    </w:p>
    <w:p w14:paraId="11A23207" w14:textId="77777777" w:rsidR="009737EE" w:rsidRPr="002E4D55" w:rsidRDefault="009737EE" w:rsidP="009737EE">
      <w:pPr>
        <w:spacing w:after="120" w:line="276" w:lineRule="auto"/>
        <w:ind w:firstLine="709"/>
        <w:jc w:val="both"/>
        <w:rPr>
          <w:rFonts w:ascii="Arial" w:hAnsi="Arial" w:cs="Arial"/>
          <w:bCs/>
          <w:color w:val="000000" w:themeColor="text1"/>
          <w:lang w:val="es-ES_tradnl" w:eastAsia="x-none"/>
        </w:rPr>
      </w:pPr>
      <w:r w:rsidRPr="002E4D55">
        <w:rPr>
          <w:rFonts w:ascii="Arial" w:hAnsi="Arial" w:cs="Arial"/>
          <w:color w:val="000000" w:themeColor="text1"/>
          <w:lang w:val="es-ES_tradnl"/>
        </w:rPr>
        <w:t xml:space="preserve">Por lo tanto, la restricción prevista en la Ley 996 de 2005, </w:t>
      </w:r>
      <w:r w:rsidRPr="002E4D55">
        <w:rPr>
          <w:rFonts w:ascii="Arial" w:hAnsi="Arial" w:cs="Arial"/>
          <w:bCs/>
          <w:color w:val="000000" w:themeColor="text1"/>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 </w:t>
      </w:r>
    </w:p>
    <w:bookmarkEnd w:id="31"/>
    <w:bookmarkEnd w:id="33"/>
    <w:p w14:paraId="5EAAEFFC" w14:textId="77777777" w:rsidR="00F06958" w:rsidRPr="002E4D55" w:rsidRDefault="00F06958" w:rsidP="00F06958">
      <w:pPr>
        <w:spacing w:after="0" w:line="276" w:lineRule="auto"/>
        <w:jc w:val="both"/>
        <w:rPr>
          <w:rFonts w:ascii="Arial" w:eastAsia="Calibri" w:hAnsi="Arial" w:cs="Arial"/>
          <w:b/>
        </w:rPr>
      </w:pPr>
    </w:p>
    <w:p w14:paraId="5EC5703C" w14:textId="77777777" w:rsidR="00F06958" w:rsidRPr="002E4D55" w:rsidRDefault="00F06958" w:rsidP="00F06958">
      <w:pPr>
        <w:spacing w:after="0" w:line="276" w:lineRule="auto"/>
        <w:jc w:val="both"/>
        <w:rPr>
          <w:rFonts w:ascii="Arial" w:eastAsia="Times New Roman" w:hAnsi="Arial" w:cs="Arial"/>
          <w:color w:val="1A1A1A"/>
          <w:szCs w:val="24"/>
          <w:lang w:eastAsia="es-ES_tradnl"/>
        </w:rPr>
      </w:pPr>
      <w:r w:rsidRPr="002E4D55">
        <w:rPr>
          <w:rFonts w:ascii="Arial" w:eastAsia="Calibri" w:hAnsi="Arial" w:cs="Arial"/>
          <w:b/>
        </w:rPr>
        <w:t>3. Respuesta</w:t>
      </w:r>
    </w:p>
    <w:p w14:paraId="576F97E5" w14:textId="77777777" w:rsidR="00F06958" w:rsidRPr="002E4D55" w:rsidRDefault="00F06958" w:rsidP="00F06958">
      <w:pPr>
        <w:spacing w:after="0" w:line="276" w:lineRule="auto"/>
        <w:jc w:val="both"/>
        <w:rPr>
          <w:rFonts w:ascii="Arial" w:eastAsia="Calibri" w:hAnsi="Arial" w:cs="Arial"/>
          <w:bCs/>
        </w:rPr>
      </w:pPr>
    </w:p>
    <w:p w14:paraId="0E30EE97" w14:textId="750E7F82" w:rsidR="00F06958" w:rsidRPr="002E4D55" w:rsidRDefault="000E1E3D" w:rsidP="002E4D55">
      <w:pPr>
        <w:spacing w:after="0" w:line="240" w:lineRule="auto"/>
        <w:ind w:left="709" w:right="709"/>
        <w:jc w:val="both"/>
        <w:rPr>
          <w:rFonts w:ascii="Arial" w:eastAsia="Times New Roman" w:hAnsi="Arial" w:cs="Arial"/>
          <w:sz w:val="21"/>
          <w:szCs w:val="21"/>
          <w:lang w:eastAsia="es-CO"/>
        </w:rPr>
      </w:pPr>
      <w:bookmarkStart w:id="34" w:name="_Hlk57650395"/>
      <w:r w:rsidRPr="002E4D55">
        <w:rPr>
          <w:rFonts w:ascii="Arial" w:eastAsia="Times New Roman" w:hAnsi="Arial" w:cs="Arial"/>
          <w:sz w:val="21"/>
          <w:szCs w:val="21"/>
          <w:lang w:eastAsia="es-CO"/>
        </w:rPr>
        <w:t xml:space="preserve">«con respecto al Pago por servicios ambientales - PSA está estipulado bajo la ley firmar acuerdos voluntarios de conservación, para el caso en específico de la consulta se pretende firmar acuerdos con los entes territoriales (alcaldías </w:t>
      </w:r>
      <w:r w:rsidRPr="002E4D55">
        <w:rPr>
          <w:rFonts w:ascii="Arial" w:eastAsia="Times New Roman" w:hAnsi="Arial" w:cs="Arial"/>
          <w:sz w:val="21"/>
          <w:szCs w:val="21"/>
          <w:lang w:eastAsia="es-CO"/>
        </w:rPr>
        <w:lastRenderedPageBreak/>
        <w:t>municipales) y nos surge el interrogante si es legal firmar dichos acuerdos en el marco de ley de garantías».</w:t>
      </w:r>
    </w:p>
    <w:p w14:paraId="0F4BAE9D" w14:textId="77777777" w:rsidR="000E1E3D" w:rsidRPr="002E4D55" w:rsidRDefault="000E1E3D" w:rsidP="000E1E3D">
      <w:pPr>
        <w:spacing w:after="120" w:line="276" w:lineRule="auto"/>
        <w:jc w:val="both"/>
        <w:rPr>
          <w:rFonts w:ascii="Arial" w:eastAsia="Times New Roman" w:hAnsi="Arial" w:cs="Arial"/>
          <w:lang w:eastAsia="es-ES_tradnl"/>
        </w:rPr>
      </w:pPr>
    </w:p>
    <w:p w14:paraId="6A297D10" w14:textId="138FFB6F" w:rsidR="006B701E" w:rsidRPr="002E4D55" w:rsidRDefault="006B701E" w:rsidP="000E1E3D">
      <w:pPr>
        <w:spacing w:after="120" w:line="276" w:lineRule="auto"/>
        <w:jc w:val="both"/>
        <w:rPr>
          <w:rFonts w:ascii="Arial" w:eastAsia="Times New Roman" w:hAnsi="Arial" w:cs="Arial"/>
          <w:bCs/>
          <w:lang w:val="es-MX" w:eastAsia="x-none"/>
        </w:rPr>
      </w:pPr>
      <w:r w:rsidRPr="002E4D55">
        <w:rPr>
          <w:rFonts w:ascii="Arial" w:eastAsia="Times New Roman" w:hAnsi="Arial" w:cs="Arial"/>
          <w:lang w:eastAsia="x-none"/>
        </w:rPr>
        <w:t>En relación con el objeto de su consulta</w:t>
      </w:r>
      <w:r w:rsidR="00147A1D" w:rsidRPr="002E4D55">
        <w:rPr>
          <w:rFonts w:ascii="Arial" w:eastAsia="Times New Roman" w:hAnsi="Arial" w:cs="Arial"/>
          <w:lang w:eastAsia="x-none"/>
        </w:rPr>
        <w:t>,</w:t>
      </w:r>
      <w:r w:rsidRPr="002E4D55">
        <w:rPr>
          <w:rFonts w:ascii="Arial" w:eastAsia="Times New Roman" w:hAnsi="Arial" w:cs="Arial"/>
          <w:lang w:eastAsia="x-none"/>
        </w:rPr>
        <w:t xml:space="preserve"> se precisa que los acuerdos voluntarios de conservación, conforme con el literal c) del artículo 5 del Decreto</w:t>
      </w:r>
      <w:r w:rsidR="00147A1D" w:rsidRPr="002E4D55">
        <w:rPr>
          <w:rFonts w:ascii="Arial" w:eastAsia="Times New Roman" w:hAnsi="Arial" w:cs="Arial"/>
          <w:lang w:eastAsia="x-none"/>
        </w:rPr>
        <w:t>-L</w:t>
      </w:r>
      <w:r w:rsidRPr="002E4D55">
        <w:rPr>
          <w:rFonts w:ascii="Arial" w:eastAsia="Times New Roman" w:hAnsi="Arial" w:cs="Arial"/>
          <w:lang w:eastAsia="x-none"/>
        </w:rPr>
        <w:t xml:space="preserve">ey 870 de 2017 son </w:t>
      </w:r>
      <w:r w:rsidRPr="002E4D55">
        <w:rPr>
          <w:rFonts w:ascii="Arial" w:eastAsia="Times New Roman" w:hAnsi="Arial" w:cs="Arial"/>
          <w:bCs/>
          <w:lang w:val="es-MX" w:eastAsia="x-none"/>
        </w:rPr>
        <w:t xml:space="preserve">«el mecanismo a través del cual se formalizan los compromisos entre los interesados en los servicios ambientales y los beneficiarios del incentivo, para el desarrollo de acciones de preservación y restauración de áreas y ecosistemas estratégicos». De esta definición, se observa, en primer lugar, que en ella se establecen los pagos por servicios ambientales como el objeto de los acuerdos voluntarios de conservación, que en el artículo 4 del referido Decreto son «el incentivo económico en dinero o en especie que reconocen los interesados de los servicios ambientales a los propietarios, poseedores u ocupantes de buena fe exenta de culpa por las acciones de preservación y restauración en áreas y ecosistemas estratégicos, mediante la celebración de acuerdos voluntarios entre los interesados y beneficiarios de los servicios ambientales». </w:t>
      </w:r>
    </w:p>
    <w:p w14:paraId="54AFC858" w14:textId="3D0F7402" w:rsidR="006B701E" w:rsidRPr="002E4D55" w:rsidRDefault="006B701E" w:rsidP="006B701E">
      <w:pPr>
        <w:spacing w:after="120" w:line="276" w:lineRule="auto"/>
        <w:ind w:firstLine="708"/>
        <w:jc w:val="both"/>
        <w:rPr>
          <w:rFonts w:ascii="Arial" w:eastAsia="Times New Roman" w:hAnsi="Arial" w:cs="Arial"/>
          <w:bCs/>
          <w:lang w:val="es-MX" w:eastAsia="x-none"/>
        </w:rPr>
      </w:pPr>
      <w:r w:rsidRPr="002E4D55">
        <w:rPr>
          <w:rFonts w:ascii="Arial" w:eastAsia="Times New Roman" w:hAnsi="Arial" w:cs="Arial"/>
          <w:bCs/>
          <w:lang w:val="es-MX" w:eastAsia="x-none"/>
        </w:rPr>
        <w:t xml:space="preserve">Se observa que </w:t>
      </w:r>
      <w:r w:rsidR="00147A1D" w:rsidRPr="002E4D55">
        <w:rPr>
          <w:rFonts w:ascii="Arial" w:eastAsia="Times New Roman" w:hAnsi="Arial" w:cs="Arial"/>
          <w:bCs/>
          <w:lang w:val="es-MX" w:eastAsia="x-none"/>
        </w:rPr>
        <w:t xml:space="preserve">en </w:t>
      </w:r>
      <w:r w:rsidRPr="002E4D55">
        <w:rPr>
          <w:rFonts w:ascii="Arial" w:eastAsia="Times New Roman" w:hAnsi="Arial" w:cs="Arial"/>
          <w:bCs/>
          <w:lang w:val="es-MX" w:eastAsia="x-none"/>
        </w:rPr>
        <w:t xml:space="preserve">la definición de los acuerdos voluntarios </w:t>
      </w:r>
      <w:r w:rsidR="00147A1D" w:rsidRPr="002E4D55">
        <w:rPr>
          <w:rFonts w:ascii="Arial" w:eastAsia="Times New Roman" w:hAnsi="Arial" w:cs="Arial"/>
          <w:bCs/>
          <w:lang w:val="es-MX" w:eastAsia="x-none"/>
        </w:rPr>
        <w:t xml:space="preserve">establecida </w:t>
      </w:r>
      <w:r w:rsidRPr="002E4D55">
        <w:rPr>
          <w:rFonts w:ascii="Arial" w:eastAsia="Times New Roman" w:hAnsi="Arial" w:cs="Arial"/>
          <w:bCs/>
          <w:lang w:val="es-MX" w:eastAsia="x-none"/>
        </w:rPr>
        <w:t>por el decreto</w:t>
      </w:r>
      <w:r w:rsidR="00147A1D" w:rsidRPr="002E4D55">
        <w:rPr>
          <w:rFonts w:ascii="Arial" w:eastAsia="Times New Roman" w:hAnsi="Arial" w:cs="Arial"/>
          <w:bCs/>
          <w:lang w:val="es-MX" w:eastAsia="x-none"/>
        </w:rPr>
        <w:t>-</w:t>
      </w:r>
      <w:r w:rsidRPr="002E4D55">
        <w:rPr>
          <w:rFonts w:ascii="Arial" w:eastAsia="Times New Roman" w:hAnsi="Arial" w:cs="Arial"/>
          <w:bCs/>
          <w:lang w:val="es-MX" w:eastAsia="x-none"/>
        </w:rPr>
        <w:t xml:space="preserve">ley </w:t>
      </w:r>
      <w:r w:rsidR="00147A1D" w:rsidRPr="002E4D55">
        <w:rPr>
          <w:rFonts w:ascii="Arial" w:eastAsia="Times New Roman" w:hAnsi="Arial" w:cs="Arial"/>
          <w:bCs/>
          <w:lang w:val="es-MX" w:eastAsia="x-none"/>
        </w:rPr>
        <w:t xml:space="preserve">se señaló </w:t>
      </w:r>
      <w:r w:rsidRPr="002E4D55">
        <w:rPr>
          <w:rFonts w:ascii="Arial" w:eastAsia="Times New Roman" w:hAnsi="Arial" w:cs="Arial"/>
          <w:bCs/>
          <w:lang w:val="es-MX" w:eastAsia="x-none"/>
        </w:rPr>
        <w:t>que, en estos acuerdos</w:t>
      </w:r>
      <w:r w:rsidR="00147A1D" w:rsidRPr="002E4D55">
        <w:rPr>
          <w:rFonts w:ascii="Arial" w:eastAsia="Times New Roman" w:hAnsi="Arial" w:cs="Arial"/>
          <w:bCs/>
          <w:lang w:val="es-MX" w:eastAsia="x-none"/>
        </w:rPr>
        <w:t>,</w:t>
      </w:r>
      <w:r w:rsidRPr="002E4D55">
        <w:rPr>
          <w:rFonts w:ascii="Arial" w:eastAsia="Times New Roman" w:hAnsi="Arial" w:cs="Arial"/>
          <w:bCs/>
          <w:lang w:val="es-MX" w:eastAsia="x-none"/>
        </w:rPr>
        <w:t xml:space="preserve"> beneficiarios e interesados deben estipular los compromisos </w:t>
      </w:r>
      <w:r w:rsidR="00147A1D" w:rsidRPr="002E4D55">
        <w:rPr>
          <w:rFonts w:ascii="Arial" w:eastAsia="Times New Roman" w:hAnsi="Arial" w:cs="Arial"/>
          <w:bCs/>
          <w:lang w:val="es-MX" w:eastAsia="x-none"/>
        </w:rPr>
        <w:t>entre ellos</w:t>
      </w:r>
      <w:r w:rsidRPr="002E4D55">
        <w:rPr>
          <w:rFonts w:ascii="Arial" w:eastAsia="Times New Roman" w:hAnsi="Arial" w:cs="Arial"/>
          <w:bCs/>
          <w:lang w:val="es-MX" w:eastAsia="x-none"/>
        </w:rPr>
        <w:t>, a efectos de desarrollar las acciones de preservación y restauración de las áreas o ecosistemas estratégicos. En el caso de los interesados</w:t>
      </w:r>
      <w:r w:rsidR="00BF2F7B" w:rsidRPr="002E4D55">
        <w:rPr>
          <w:rFonts w:ascii="Arial" w:eastAsia="Times New Roman" w:hAnsi="Arial" w:cs="Arial"/>
          <w:bCs/>
          <w:lang w:val="es-MX" w:eastAsia="x-none"/>
        </w:rPr>
        <w:t>,</w:t>
      </w:r>
      <w:r w:rsidRPr="002E4D55">
        <w:rPr>
          <w:rFonts w:ascii="Arial" w:eastAsia="Times New Roman" w:hAnsi="Arial" w:cs="Arial"/>
          <w:bCs/>
          <w:lang w:val="es-MX" w:eastAsia="x-none"/>
        </w:rPr>
        <w:t xml:space="preserve"> la principal obligación </w:t>
      </w:r>
      <w:r w:rsidR="00BF2F7B" w:rsidRPr="002E4D55">
        <w:rPr>
          <w:rFonts w:ascii="Arial" w:eastAsia="Times New Roman" w:hAnsi="Arial" w:cs="Arial"/>
          <w:bCs/>
          <w:lang w:val="es-MX" w:eastAsia="x-none"/>
        </w:rPr>
        <w:t xml:space="preserve">consiste en </w:t>
      </w:r>
      <w:r w:rsidRPr="002E4D55">
        <w:rPr>
          <w:rFonts w:ascii="Arial" w:eastAsia="Times New Roman" w:hAnsi="Arial" w:cs="Arial"/>
          <w:bCs/>
          <w:lang w:val="es-MX" w:eastAsia="x-none"/>
        </w:rPr>
        <w:t xml:space="preserve">el pago de los servicios ambientales, que conforme con el artículo 2.2.9.8.1.4. del Decreto 1007 de 2018, corresponde al incentivo económico en dinero o especie reconocidos por estos sujetos a los beneficiarios por las acciones de conservación. Por su parte, los beneficiarios tendrán como compromisos u obligaciones realizar las acciones de preservación o conservación de las áreas protegidas. </w:t>
      </w:r>
    </w:p>
    <w:p w14:paraId="76A5C9A2" w14:textId="78387E9C" w:rsidR="006B701E" w:rsidRPr="002E4D55" w:rsidRDefault="006B701E" w:rsidP="006B701E">
      <w:pPr>
        <w:spacing w:after="120" w:line="276" w:lineRule="auto"/>
        <w:ind w:firstLine="708"/>
        <w:jc w:val="both"/>
        <w:rPr>
          <w:rFonts w:ascii="Arial" w:eastAsia="Times New Roman" w:hAnsi="Arial" w:cs="Arial"/>
          <w:bCs/>
          <w:lang w:val="es-MX" w:eastAsia="x-none"/>
        </w:rPr>
      </w:pPr>
      <w:r w:rsidRPr="002E4D55">
        <w:rPr>
          <w:rFonts w:ascii="Arial" w:eastAsia="Times New Roman" w:hAnsi="Arial" w:cs="Arial"/>
          <w:bCs/>
          <w:lang w:val="es-MX" w:eastAsia="x-none"/>
        </w:rPr>
        <w:t>En segundo lugar, se observa de las definiciones citadas que los sujetos que suscriben estos acuerdos son dos: de un lado</w:t>
      </w:r>
      <w:r w:rsidR="00BF2F7B" w:rsidRPr="002E4D55">
        <w:rPr>
          <w:rFonts w:ascii="Arial" w:eastAsia="Times New Roman" w:hAnsi="Arial" w:cs="Arial"/>
          <w:bCs/>
          <w:lang w:val="es-MX" w:eastAsia="x-none"/>
        </w:rPr>
        <w:t>,</w:t>
      </w:r>
      <w:r w:rsidRPr="002E4D55">
        <w:rPr>
          <w:rFonts w:ascii="Arial" w:eastAsia="Times New Roman" w:hAnsi="Arial" w:cs="Arial"/>
          <w:bCs/>
          <w:lang w:val="es-MX" w:eastAsia="x-none"/>
        </w:rPr>
        <w:t xml:space="preserve"> los interesados en servicios ambientales y</w:t>
      </w:r>
      <w:r w:rsidR="00BF2F7B" w:rsidRPr="002E4D55">
        <w:rPr>
          <w:rFonts w:ascii="Arial" w:eastAsia="Times New Roman" w:hAnsi="Arial" w:cs="Arial"/>
          <w:bCs/>
          <w:lang w:val="es-MX" w:eastAsia="x-none"/>
        </w:rPr>
        <w:t>,</w:t>
      </w:r>
      <w:r w:rsidRPr="002E4D55">
        <w:rPr>
          <w:rFonts w:ascii="Arial" w:eastAsia="Times New Roman" w:hAnsi="Arial" w:cs="Arial"/>
          <w:bCs/>
          <w:lang w:val="es-MX" w:eastAsia="x-none"/>
        </w:rPr>
        <w:t xml:space="preserve"> de otro, los beneficiarios del incentivo. Los primeros, conforme con el literal a) del artículo 5 del Decreto 870 de 2017, son «las personas naturales o jurídicas, públicas, privadas o mixtas, que reconocen el incentivo económico de pago por servicios ambientales de forma voluntaria o en el marco del cumplimiento de las obligaciones derivadas de autorizaciones ambientales». Los segundos, es decir, los beneficiarios del incentivo, conforme con el literal b) del artículo 5 del Decreto 870 de 2017, son «propietarios, poseedores u ocupantes de buena fe exenta de culpa de predios ubicados en las áreas y ecosistemas estratégicos, que reciben el incentivo condicionado al cumplimiento de las acciones de preservación y restauración suscritas a través de un acuerdo voluntario». </w:t>
      </w:r>
    </w:p>
    <w:p w14:paraId="51353ABF" w14:textId="28D5D991" w:rsidR="006B701E" w:rsidRPr="002E4D55" w:rsidRDefault="006B701E" w:rsidP="006B701E">
      <w:pPr>
        <w:spacing w:after="120" w:line="276" w:lineRule="auto"/>
        <w:ind w:firstLine="708"/>
        <w:jc w:val="both"/>
        <w:rPr>
          <w:rFonts w:ascii="Arial" w:eastAsia="Times New Roman" w:hAnsi="Arial" w:cs="Arial"/>
          <w:bCs/>
          <w:lang w:val="es-MX" w:eastAsia="x-none"/>
        </w:rPr>
      </w:pPr>
      <w:r w:rsidRPr="002E4D55">
        <w:rPr>
          <w:rFonts w:ascii="Arial" w:eastAsia="Times New Roman" w:hAnsi="Arial" w:cs="Arial"/>
          <w:bCs/>
          <w:lang w:val="es-MX" w:eastAsia="x-none"/>
        </w:rPr>
        <w:t xml:space="preserve">Ahora, </w:t>
      </w:r>
      <w:r w:rsidR="00BF2F7B" w:rsidRPr="002E4D55">
        <w:rPr>
          <w:rFonts w:ascii="Arial" w:eastAsia="Times New Roman" w:hAnsi="Arial" w:cs="Arial"/>
          <w:bCs/>
          <w:lang w:val="es-MX" w:eastAsia="x-none"/>
        </w:rPr>
        <w:t xml:space="preserve">estos acuerdos voluntarios tienen naturaleza contractual, como se desprende de la regulación señalada anteriormente, naturaleza que también ha sido reconocida por </w:t>
      </w:r>
      <w:r w:rsidRPr="002E4D55">
        <w:rPr>
          <w:rFonts w:ascii="Arial" w:eastAsia="Times New Roman" w:hAnsi="Arial" w:cs="Arial"/>
          <w:bCs/>
          <w:lang w:val="es-MX" w:eastAsia="x-none"/>
        </w:rPr>
        <w:t>la Corte Constitucional, según la cual «di</w:t>
      </w:r>
      <w:proofErr w:type="spellStart"/>
      <w:r w:rsidRPr="002E4D55">
        <w:rPr>
          <w:rFonts w:ascii="Arial" w:hAnsi="Arial" w:cs="Arial"/>
          <w:color w:val="2D2D2D"/>
          <w:shd w:val="clear" w:color="auto" w:fill="FFFFFF"/>
          <w:lang w:val="es-ES"/>
        </w:rPr>
        <w:t>chos</w:t>
      </w:r>
      <w:proofErr w:type="spellEnd"/>
      <w:r w:rsidRPr="002E4D55">
        <w:rPr>
          <w:rFonts w:ascii="Arial" w:hAnsi="Arial" w:cs="Arial"/>
          <w:color w:val="2D2D2D"/>
          <w:shd w:val="clear" w:color="auto" w:fill="FFFFFF"/>
          <w:lang w:val="es-ES"/>
        </w:rPr>
        <w:t xml:space="preserve"> acuerdos tienen la naturaleza de ser instrumentos contractuales que formalizan voluntariamente los compromisos, en donde se indica el objeto, se definen las acciones, su periodicidad, los parámetros del incentivo, las </w:t>
      </w:r>
      <w:r w:rsidRPr="002E4D55">
        <w:rPr>
          <w:rFonts w:ascii="Arial" w:hAnsi="Arial" w:cs="Arial"/>
          <w:color w:val="2D2D2D"/>
          <w:shd w:val="clear" w:color="auto" w:fill="FFFFFF"/>
          <w:lang w:val="es-ES"/>
        </w:rPr>
        <w:lastRenderedPageBreak/>
        <w:t>obligaciones de las partes, e incluso las causales de incumplimiento</w:t>
      </w:r>
      <w:r w:rsidR="00BF2F7B" w:rsidRPr="002E4D55">
        <w:rPr>
          <w:rFonts w:ascii="Arial" w:hAnsi="Arial" w:cs="Arial"/>
          <w:color w:val="2D2D2D"/>
          <w:shd w:val="clear" w:color="auto" w:fill="FFFFFF"/>
          <w:lang w:val="es-ES"/>
        </w:rPr>
        <w:t>»</w:t>
      </w:r>
      <w:r w:rsidRPr="002E4D55">
        <w:rPr>
          <w:rStyle w:val="Refdenotaalpie"/>
          <w:rFonts w:ascii="Arial" w:hAnsi="Arial" w:cs="Arial"/>
          <w:color w:val="2D2D2D"/>
          <w:shd w:val="clear" w:color="auto" w:fill="FFFFFF"/>
          <w:lang w:val="es-ES"/>
        </w:rPr>
        <w:footnoteReference w:id="24"/>
      </w:r>
      <w:r w:rsidR="00BF2F7B" w:rsidRPr="002E4D55">
        <w:rPr>
          <w:rFonts w:ascii="Arial" w:eastAsia="Times New Roman" w:hAnsi="Arial" w:cs="Arial"/>
          <w:bCs/>
          <w:lang w:val="es-MX" w:eastAsia="x-none"/>
        </w:rPr>
        <w:t xml:space="preserve">. </w:t>
      </w:r>
      <w:r w:rsidR="006F0C8F" w:rsidRPr="002E4D55">
        <w:rPr>
          <w:rFonts w:ascii="Arial" w:hAnsi="Arial" w:cs="Arial"/>
          <w:color w:val="2D2D2D"/>
          <w:shd w:val="clear" w:color="auto" w:fill="FFFFFF"/>
          <w:lang w:val="es-ES"/>
        </w:rPr>
        <w:t>Teniendo en cuenta lo anterior,</w:t>
      </w:r>
      <w:r w:rsidR="006F0C8F" w:rsidRPr="002E4D55">
        <w:rPr>
          <w:rFonts w:ascii="Arial" w:eastAsia="Times New Roman" w:hAnsi="Arial" w:cs="Arial"/>
          <w:bCs/>
          <w:lang w:val="es-MX" w:eastAsia="x-none"/>
        </w:rPr>
        <w:t xml:space="preserve"> sin perjuicio </w:t>
      </w:r>
      <w:r w:rsidR="00B76481" w:rsidRPr="002E4D55">
        <w:rPr>
          <w:rFonts w:ascii="Arial" w:eastAsia="Times New Roman" w:hAnsi="Arial" w:cs="Arial"/>
          <w:bCs/>
          <w:lang w:val="es-MX" w:eastAsia="x-none"/>
        </w:rPr>
        <w:t xml:space="preserve">de </w:t>
      </w:r>
      <w:r w:rsidR="006F0C8F" w:rsidRPr="002E4D55">
        <w:rPr>
          <w:rFonts w:ascii="Arial" w:eastAsia="Times New Roman" w:hAnsi="Arial" w:cs="Arial"/>
          <w:bCs/>
          <w:lang w:val="es-MX" w:eastAsia="x-none"/>
        </w:rPr>
        <w:t>que el análisis respecto a la aplicación de las prohibiciones establecidas en la Ley de Garantías Electorales le corresponda realizarlo a cada entidad</w:t>
      </w:r>
      <w:r w:rsidR="00B76481" w:rsidRPr="002E4D55">
        <w:rPr>
          <w:rFonts w:ascii="Arial" w:eastAsia="Times New Roman" w:hAnsi="Arial" w:cs="Arial"/>
          <w:bCs/>
          <w:lang w:val="es-MX" w:eastAsia="x-none"/>
        </w:rPr>
        <w:t xml:space="preserve"> estatal</w:t>
      </w:r>
      <w:r w:rsidR="006F0C8F" w:rsidRPr="002E4D55">
        <w:rPr>
          <w:rFonts w:ascii="Arial" w:eastAsia="Times New Roman" w:hAnsi="Arial" w:cs="Arial"/>
          <w:bCs/>
          <w:lang w:val="es-MX" w:eastAsia="x-none"/>
        </w:rPr>
        <w:t xml:space="preserve">, se considera que cuando el interesado en servicios ambientales de un acuerdo voluntario de conservación sea un ente del Estado, aplicará la prohibición prevista en el artículo 33 de la Ley de Garantías Electorales, en tanto dichos contratos se celebren de forma directa. En efecto, como se explicó anteriormente, con fundamento, entre otros, en distintos pronunciamientos de la Sala de Consulta y Servicio Civil del Consejo de Estado, la prohibición de la contratación directa por parte de todos los entes del Estado no está dirigida exclusivamente a los procesos de contratación regidos por el Estatuto General de Contratación de la Administración Pública, sino que aplica «[…] </w:t>
      </w:r>
      <w:r w:rsidR="006F0C8F" w:rsidRPr="002E4D55">
        <w:rPr>
          <w:rFonts w:ascii="Arial" w:hAnsi="Arial" w:cs="Arial"/>
          <w:color w:val="000000"/>
          <w:shd w:val="clear" w:color="auto" w:fill="FFFFFF"/>
        </w:rPr>
        <w:t>sin distinción del “</w:t>
      </w:r>
      <w:r w:rsidR="006F0C8F" w:rsidRPr="002E4D55">
        <w:rPr>
          <w:rFonts w:ascii="Arial" w:hAnsi="Arial" w:cs="Arial"/>
          <w:i/>
          <w:color w:val="000000"/>
          <w:shd w:val="clear" w:color="auto" w:fill="FFFFFF"/>
        </w:rPr>
        <w:t>régimen jurídico, forma de organización o naturaleza, su pertenencia a una u otra rama del poder público o su autonomía […]»</w:t>
      </w:r>
      <w:r w:rsidR="006F0C8F" w:rsidRPr="002E4D55">
        <w:rPr>
          <w:rFonts w:ascii="Arial" w:hAnsi="Arial" w:cs="Arial"/>
          <w:iCs/>
          <w:color w:val="000000"/>
          <w:shd w:val="clear" w:color="auto" w:fill="FFFFFF"/>
        </w:rPr>
        <w:t>, precisando que «el enunciado “contratación directa” es sinónimo de cualquier sistema que no implique convocatoria pública y posibilidad de pluralidad de oferentes, y que, además, no necesariamente hace referencia al procedimiento especial regulado por la ley de contratación estatal, sino a cual otro que prescinda de un proceso de licitación pública o concurso»</w:t>
      </w:r>
      <w:r w:rsidR="006F0C8F" w:rsidRPr="002E4D55">
        <w:rPr>
          <w:rStyle w:val="Refdenotaalpie"/>
          <w:rFonts w:ascii="Arial" w:hAnsi="Arial" w:cs="Arial"/>
          <w:iCs/>
          <w:color w:val="000000"/>
          <w:shd w:val="clear" w:color="auto" w:fill="FFFFFF"/>
        </w:rPr>
        <w:footnoteReference w:id="25"/>
      </w:r>
      <w:r w:rsidR="006F0C8F" w:rsidRPr="002E4D55">
        <w:rPr>
          <w:rFonts w:ascii="Arial" w:eastAsia="Times New Roman" w:hAnsi="Arial" w:cs="Arial"/>
          <w:bCs/>
          <w:lang w:val="es-MX" w:eastAsia="x-none"/>
        </w:rPr>
        <w:t>. Lo anterior, sin perjuicio de las excepciones a la prohibición de contratación directa establecidas en el inciso segundo del artículo 33 de la Ley 996 de 2005, por lo que en cada contrato se deberá analizar si se configura alguno de dichos supuestos.</w:t>
      </w:r>
    </w:p>
    <w:p w14:paraId="10100E71" w14:textId="77777777" w:rsidR="00A01FC0" w:rsidRPr="002E4D55" w:rsidRDefault="00A01FC0" w:rsidP="00F06958">
      <w:pPr>
        <w:spacing w:after="0" w:line="276" w:lineRule="auto"/>
        <w:jc w:val="both"/>
        <w:rPr>
          <w:rFonts w:ascii="Arial" w:eastAsia="Calibri" w:hAnsi="Arial" w:cs="Arial"/>
        </w:rPr>
      </w:pPr>
    </w:p>
    <w:p w14:paraId="758F71DE" w14:textId="471F1FB4" w:rsidR="00F06958" w:rsidRPr="002E4D55" w:rsidRDefault="00F06958" w:rsidP="00F06958">
      <w:pPr>
        <w:spacing w:after="0" w:line="276" w:lineRule="auto"/>
        <w:jc w:val="both"/>
        <w:rPr>
          <w:rFonts w:ascii="Times New Roman" w:eastAsia="Times New Roman" w:hAnsi="Times New Roman" w:cs="Times New Roman"/>
          <w:sz w:val="24"/>
          <w:szCs w:val="24"/>
          <w:lang w:eastAsia="es-ES_tradnl"/>
        </w:rPr>
      </w:pPr>
      <w:r w:rsidRPr="002E4D55">
        <w:rPr>
          <w:rFonts w:ascii="Arial" w:eastAsia="Calibri" w:hAnsi="Arial" w:cs="Arial"/>
        </w:rPr>
        <w:t>Este concepto tiene el alcance previsto en el artículo 28 del Código de Procedimiento Administrativo y de lo Contencioso Administrativo.</w:t>
      </w:r>
    </w:p>
    <w:p w14:paraId="1B10505B" w14:textId="77777777" w:rsidR="00F06958" w:rsidRPr="002E4D55" w:rsidRDefault="00F06958" w:rsidP="00F06958">
      <w:pPr>
        <w:spacing w:after="0" w:line="276" w:lineRule="auto"/>
        <w:jc w:val="both"/>
        <w:rPr>
          <w:rFonts w:ascii="Times New Roman" w:eastAsia="Times New Roman" w:hAnsi="Times New Roman" w:cs="Times New Roman"/>
          <w:sz w:val="24"/>
          <w:szCs w:val="24"/>
          <w:lang w:eastAsia="es-ES_tradnl"/>
        </w:rPr>
      </w:pPr>
    </w:p>
    <w:p w14:paraId="5BE76C87" w14:textId="2F084DB8" w:rsidR="00F06958" w:rsidRPr="002E4D55" w:rsidRDefault="00F06958" w:rsidP="00F06958">
      <w:pPr>
        <w:spacing w:after="200" w:line="276" w:lineRule="auto"/>
        <w:jc w:val="both"/>
        <w:rPr>
          <w:rFonts w:ascii="Arial" w:eastAsia="Times New Roman" w:hAnsi="Arial" w:cs="Arial"/>
          <w:lang w:eastAsia="es-CO"/>
        </w:rPr>
      </w:pPr>
      <w:r w:rsidRPr="6B403BAF">
        <w:rPr>
          <w:rFonts w:ascii="Arial" w:eastAsia="Times New Roman" w:hAnsi="Arial" w:cs="Arial"/>
          <w:lang w:eastAsia="es-CO"/>
        </w:rPr>
        <w:t>Atentamente,</w:t>
      </w:r>
    </w:p>
    <w:p w14:paraId="583B5D18" w14:textId="097C237F" w:rsidR="00F06958" w:rsidRPr="002E4D55" w:rsidRDefault="6B403BAF" w:rsidP="6B403BAF">
      <w:pPr>
        <w:spacing w:after="200" w:line="276" w:lineRule="auto"/>
        <w:jc w:val="center"/>
      </w:pPr>
      <w:r>
        <w:rPr>
          <w:noProof/>
        </w:rPr>
        <w:drawing>
          <wp:inline distT="0" distB="0" distL="0" distR="0" wp14:anchorId="1578A62F" wp14:editId="3AB728CE">
            <wp:extent cx="3124200" cy="1000125"/>
            <wp:effectExtent l="0" t="0" r="0" b="0"/>
            <wp:docPr id="1498658682" name="Imagen 1498658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24200" cy="10001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F06958" w:rsidRPr="002E4D55" w14:paraId="7BF56659" w14:textId="77777777" w:rsidTr="00F06958">
        <w:trPr>
          <w:trHeight w:val="315"/>
        </w:trPr>
        <w:tc>
          <w:tcPr>
            <w:tcW w:w="812" w:type="dxa"/>
            <w:vAlign w:val="center"/>
            <w:hideMark/>
          </w:tcPr>
          <w:p w14:paraId="786F4AB1" w14:textId="77777777" w:rsidR="00F06958" w:rsidRPr="002E4D55" w:rsidRDefault="00F06958" w:rsidP="00F06958">
            <w:pPr>
              <w:rPr>
                <w:rFonts w:ascii="Arial" w:eastAsia="Times New Roman" w:hAnsi="Arial" w:cs="Arial"/>
                <w:color w:val="000000"/>
                <w:sz w:val="16"/>
                <w:szCs w:val="16"/>
                <w:lang w:eastAsia="es-ES"/>
              </w:rPr>
            </w:pPr>
            <w:r w:rsidRPr="002E4D55">
              <w:rPr>
                <w:rFonts w:ascii="Arial" w:eastAsia="Times New Roman" w:hAnsi="Arial" w:cs="Arial"/>
                <w:color w:val="000000"/>
                <w:sz w:val="16"/>
                <w:szCs w:val="16"/>
                <w:lang w:eastAsia="es-ES"/>
              </w:rPr>
              <w:t>Elaboró:</w:t>
            </w:r>
          </w:p>
        </w:tc>
        <w:tc>
          <w:tcPr>
            <w:tcW w:w="4291" w:type="dxa"/>
            <w:tcBorders>
              <w:top w:val="nil"/>
              <w:left w:val="nil"/>
              <w:bottom w:val="dotted" w:sz="4" w:space="0" w:color="7F7F7F"/>
              <w:right w:val="nil"/>
            </w:tcBorders>
            <w:vAlign w:val="center"/>
            <w:hideMark/>
          </w:tcPr>
          <w:p w14:paraId="3C5D073D" w14:textId="6FD85BF4" w:rsidR="00FA6E6F" w:rsidRPr="002E4D55" w:rsidRDefault="000E1E3D" w:rsidP="00FA6E6F">
            <w:pPr>
              <w:rPr>
                <w:rFonts w:ascii="Arial" w:hAnsi="Arial" w:cs="Arial"/>
                <w:sz w:val="16"/>
                <w:szCs w:val="16"/>
                <w:lang w:eastAsia="es-ES"/>
              </w:rPr>
            </w:pPr>
            <w:r w:rsidRPr="002E4D55">
              <w:rPr>
                <w:rFonts w:ascii="Arial" w:hAnsi="Arial" w:cs="Arial"/>
                <w:sz w:val="16"/>
                <w:szCs w:val="16"/>
                <w:lang w:eastAsia="es-ES"/>
              </w:rPr>
              <w:t xml:space="preserve">Nina María Padrón Ballestas </w:t>
            </w:r>
          </w:p>
          <w:p w14:paraId="42637111" w14:textId="33816990" w:rsidR="00F06958" w:rsidRPr="002E4D55" w:rsidRDefault="000E1E3D" w:rsidP="00F06958">
            <w:pPr>
              <w:rPr>
                <w:rFonts w:ascii="Arial" w:eastAsia="Times New Roman" w:hAnsi="Arial" w:cs="Arial"/>
                <w:color w:val="000000"/>
                <w:sz w:val="16"/>
                <w:szCs w:val="16"/>
                <w:lang w:eastAsia="es-ES"/>
              </w:rPr>
            </w:pPr>
            <w:r w:rsidRPr="002E4D55">
              <w:rPr>
                <w:rFonts w:ascii="Arial" w:hAnsi="Arial" w:cs="Arial"/>
                <w:sz w:val="16"/>
                <w:szCs w:val="16"/>
                <w:lang w:eastAsia="es-ES"/>
              </w:rPr>
              <w:t>Contratista</w:t>
            </w:r>
            <w:r w:rsidR="00FA6E6F" w:rsidRPr="002E4D55">
              <w:rPr>
                <w:rFonts w:ascii="Arial" w:hAnsi="Arial" w:cs="Arial"/>
                <w:sz w:val="16"/>
                <w:szCs w:val="16"/>
                <w:lang w:eastAsia="es-ES"/>
              </w:rPr>
              <w:t xml:space="preserve"> de la Subdirección de Gestión Contractual</w:t>
            </w:r>
            <w:r w:rsidR="00FA6E6F" w:rsidRPr="002E4D55" w:rsidDel="004628B9">
              <w:rPr>
                <w:rFonts w:ascii="Arial" w:eastAsia="Times New Roman" w:hAnsi="Arial" w:cs="Arial"/>
                <w:color w:val="000000"/>
                <w:sz w:val="16"/>
                <w:szCs w:val="16"/>
                <w:lang w:eastAsia="es-ES"/>
              </w:rPr>
              <w:t xml:space="preserve"> </w:t>
            </w:r>
          </w:p>
        </w:tc>
      </w:tr>
      <w:tr w:rsidR="00F06958" w:rsidRPr="002E4D55" w14:paraId="65960D7E" w14:textId="77777777" w:rsidTr="00F06958">
        <w:trPr>
          <w:trHeight w:val="330"/>
        </w:trPr>
        <w:tc>
          <w:tcPr>
            <w:tcW w:w="812" w:type="dxa"/>
            <w:vAlign w:val="center"/>
            <w:hideMark/>
          </w:tcPr>
          <w:p w14:paraId="106467FC" w14:textId="77777777" w:rsidR="00F06958" w:rsidRPr="002E4D55" w:rsidRDefault="00F06958" w:rsidP="00F06958">
            <w:pPr>
              <w:rPr>
                <w:rFonts w:ascii="Arial" w:eastAsia="Times New Roman" w:hAnsi="Arial" w:cs="Arial"/>
                <w:color w:val="000000"/>
                <w:sz w:val="16"/>
                <w:szCs w:val="16"/>
                <w:lang w:eastAsia="es-ES"/>
              </w:rPr>
            </w:pPr>
            <w:r w:rsidRPr="002E4D55">
              <w:rPr>
                <w:rFonts w:ascii="Arial" w:eastAsia="Times New Roman" w:hAnsi="Arial" w:cs="Arial"/>
                <w:color w:val="000000"/>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76F5E790" w14:textId="48007B5D" w:rsidR="00F06958" w:rsidRPr="002E4D55" w:rsidRDefault="00D93C01" w:rsidP="00F06958">
            <w:pPr>
              <w:rPr>
                <w:rFonts w:ascii="Arial" w:eastAsia="Times New Roman" w:hAnsi="Arial" w:cs="Arial"/>
                <w:color w:val="000000"/>
                <w:sz w:val="16"/>
                <w:szCs w:val="16"/>
                <w:lang w:eastAsia="es-ES"/>
              </w:rPr>
            </w:pPr>
            <w:proofErr w:type="spellStart"/>
            <w:r w:rsidRPr="002E4D55">
              <w:rPr>
                <w:rFonts w:ascii="Arial" w:eastAsia="Times New Roman" w:hAnsi="Arial" w:cs="Arial"/>
                <w:color w:val="000000"/>
                <w:sz w:val="16"/>
                <w:szCs w:val="16"/>
                <w:lang w:eastAsia="es-ES"/>
              </w:rPr>
              <w:t>Sebastian</w:t>
            </w:r>
            <w:proofErr w:type="spellEnd"/>
            <w:r w:rsidRPr="002E4D55">
              <w:rPr>
                <w:rFonts w:ascii="Arial" w:eastAsia="Times New Roman" w:hAnsi="Arial" w:cs="Arial"/>
                <w:color w:val="000000"/>
                <w:sz w:val="16"/>
                <w:szCs w:val="16"/>
                <w:lang w:eastAsia="es-ES"/>
              </w:rPr>
              <w:t xml:space="preserve"> Ramírez Grisales </w:t>
            </w:r>
          </w:p>
          <w:p w14:paraId="52C18848" w14:textId="6C9A4E9A" w:rsidR="00F06958" w:rsidRPr="002E4D55" w:rsidRDefault="0022256D" w:rsidP="00F06958">
            <w:pPr>
              <w:rPr>
                <w:rFonts w:ascii="Arial" w:eastAsia="Times New Roman" w:hAnsi="Arial" w:cs="Arial"/>
                <w:color w:val="000000"/>
                <w:sz w:val="16"/>
                <w:szCs w:val="16"/>
                <w:lang w:eastAsia="es-ES"/>
              </w:rPr>
            </w:pPr>
            <w:r w:rsidRPr="002E4D55">
              <w:rPr>
                <w:rFonts w:ascii="Arial" w:eastAsia="Times New Roman" w:hAnsi="Arial" w:cs="Arial"/>
                <w:color w:val="000000"/>
                <w:sz w:val="16"/>
                <w:szCs w:val="16"/>
                <w:lang w:eastAsia="es-ES"/>
              </w:rPr>
              <w:t>Contratista</w:t>
            </w:r>
            <w:r w:rsidR="00F06958" w:rsidRPr="002E4D55">
              <w:rPr>
                <w:rFonts w:ascii="Arial" w:eastAsia="Times New Roman" w:hAnsi="Arial" w:cs="Arial"/>
                <w:color w:val="000000"/>
                <w:sz w:val="16"/>
                <w:szCs w:val="16"/>
                <w:lang w:eastAsia="es-ES"/>
              </w:rPr>
              <w:t xml:space="preserve"> de la Subdirección de Gestión Contractual</w:t>
            </w:r>
          </w:p>
        </w:tc>
      </w:tr>
      <w:tr w:rsidR="00F06958" w:rsidRPr="00F06958" w14:paraId="5A988643" w14:textId="77777777" w:rsidTr="00F06958">
        <w:trPr>
          <w:trHeight w:val="300"/>
        </w:trPr>
        <w:tc>
          <w:tcPr>
            <w:tcW w:w="812" w:type="dxa"/>
            <w:vAlign w:val="center"/>
            <w:hideMark/>
          </w:tcPr>
          <w:p w14:paraId="489084B9" w14:textId="77777777" w:rsidR="00F06958" w:rsidRPr="002E4D55" w:rsidRDefault="00F06958" w:rsidP="00F06958">
            <w:pPr>
              <w:rPr>
                <w:rFonts w:ascii="Arial" w:eastAsia="Times New Roman" w:hAnsi="Arial" w:cs="Arial"/>
                <w:color w:val="000000"/>
                <w:sz w:val="16"/>
                <w:szCs w:val="16"/>
                <w:lang w:eastAsia="es-ES"/>
              </w:rPr>
            </w:pPr>
            <w:r w:rsidRPr="002E4D55">
              <w:rPr>
                <w:rFonts w:ascii="Arial" w:eastAsia="Times New Roman" w:hAnsi="Arial" w:cs="Arial"/>
                <w:color w:val="000000"/>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8151C3B" w14:textId="77777777" w:rsidR="0022256D" w:rsidRPr="002E4D55" w:rsidRDefault="0022256D" w:rsidP="0022256D">
            <w:r w:rsidRPr="002E4D55">
              <w:rPr>
                <w:rFonts w:ascii="Arial" w:eastAsia="Arial" w:hAnsi="Arial" w:cs="Arial"/>
                <w:color w:val="000000"/>
                <w:sz w:val="16"/>
                <w:szCs w:val="16"/>
              </w:rPr>
              <w:t>Juan David Marín López</w:t>
            </w:r>
          </w:p>
          <w:p w14:paraId="249DF3A3" w14:textId="41B75192" w:rsidR="00F06958" w:rsidRPr="00F06958" w:rsidRDefault="0022256D" w:rsidP="00F06958">
            <w:pPr>
              <w:rPr>
                <w:rFonts w:ascii="Arial" w:eastAsia="Times New Roman" w:hAnsi="Arial" w:cs="Arial"/>
                <w:color w:val="000000"/>
                <w:sz w:val="16"/>
                <w:szCs w:val="16"/>
                <w:lang w:eastAsia="es-ES"/>
              </w:rPr>
            </w:pPr>
            <w:r w:rsidRPr="002E4D55">
              <w:rPr>
                <w:rFonts w:ascii="Arial" w:eastAsia="Arial" w:hAnsi="Arial" w:cs="Arial"/>
                <w:color w:val="000000"/>
                <w:sz w:val="16"/>
                <w:szCs w:val="16"/>
              </w:rPr>
              <w:t>Subdirector de Gestión Contractual (E)</w:t>
            </w:r>
          </w:p>
        </w:tc>
      </w:tr>
      <w:bookmarkEnd w:id="8"/>
      <w:bookmarkEnd w:id="34"/>
    </w:tbl>
    <w:p w14:paraId="28638E36" w14:textId="77777777" w:rsidR="00F06958" w:rsidRPr="00F06958" w:rsidRDefault="00F06958" w:rsidP="00F06958">
      <w:pPr>
        <w:spacing w:after="120" w:line="276" w:lineRule="auto"/>
        <w:contextualSpacing/>
        <w:jc w:val="both"/>
        <w:rPr>
          <w:rFonts w:ascii="Arial" w:eastAsia="Calibri" w:hAnsi="Arial" w:cs="Arial"/>
          <w:b/>
          <w:bCs/>
          <w:sz w:val="20"/>
          <w:szCs w:val="20"/>
          <w:lang w:val="es-MX"/>
        </w:rPr>
      </w:pPr>
    </w:p>
    <w:p w14:paraId="21D64FB0" w14:textId="77777777" w:rsidR="00F06958" w:rsidRDefault="00F06958"/>
    <w:sectPr w:rsidR="00F06958" w:rsidSect="0022256D">
      <w:headerReference w:type="default" r:id="rId12"/>
      <w:footerReference w:type="default" r:id="rId13"/>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03AB" w14:textId="77777777" w:rsidR="00333AA3" w:rsidRDefault="00333AA3" w:rsidP="00F06958">
      <w:pPr>
        <w:spacing w:after="0" w:line="240" w:lineRule="auto"/>
      </w:pPr>
      <w:r>
        <w:separator/>
      </w:r>
    </w:p>
  </w:endnote>
  <w:endnote w:type="continuationSeparator" w:id="0">
    <w:p w14:paraId="1B11B250" w14:textId="77777777" w:rsidR="00333AA3" w:rsidRDefault="00333AA3" w:rsidP="00F0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BEFA" w14:textId="77777777" w:rsidR="00412132" w:rsidRDefault="006121F5" w:rsidP="00B6444C">
    <w:pPr>
      <w:pStyle w:val="Sinespaciado"/>
      <w:rPr>
        <w:rFonts w:ascii="Arial" w:hAnsi="Arial" w:cs="Arial"/>
        <w:sz w:val="18"/>
        <w:szCs w:val="18"/>
      </w:rPr>
    </w:pPr>
  </w:p>
  <w:p w14:paraId="0856625A" w14:textId="77777777" w:rsidR="00412132" w:rsidRDefault="006121F5" w:rsidP="00B6444C">
    <w:pPr>
      <w:pStyle w:val="Sinespaciado"/>
      <w:rPr>
        <w:rFonts w:ascii="Arial" w:hAnsi="Arial" w:cs="Arial"/>
        <w:sz w:val="18"/>
        <w:szCs w:val="18"/>
      </w:rPr>
    </w:pPr>
  </w:p>
  <w:p w14:paraId="7507CEE3" w14:textId="77777777" w:rsidR="00412132" w:rsidRPr="00F06958" w:rsidRDefault="00E521C0" w:rsidP="005A79FE">
    <w:pPr>
      <w:pStyle w:val="Piedepgina"/>
      <w:jc w:val="right"/>
      <w:rPr>
        <w:rFonts w:ascii="Arial" w:hAnsi="Arial" w:cs="Arial"/>
        <w:color w:val="7F7F7F"/>
        <w:sz w:val="16"/>
        <w:szCs w:val="16"/>
      </w:rPr>
    </w:pPr>
    <w:r w:rsidRPr="00F06958">
      <w:rPr>
        <w:rFonts w:ascii="Arial" w:hAnsi="Arial" w:cs="Arial"/>
        <w:bCs/>
        <w:color w:val="7F7F7F"/>
        <w:sz w:val="16"/>
        <w:szCs w:val="16"/>
      </w:rPr>
      <w:t xml:space="preserve">Página </w:t>
    </w:r>
    <w:r w:rsidRPr="00F06958">
      <w:rPr>
        <w:rFonts w:ascii="Arial" w:hAnsi="Arial" w:cs="Arial"/>
        <w:b/>
        <w:bCs/>
        <w:color w:val="7F7F7F"/>
        <w:sz w:val="16"/>
        <w:szCs w:val="16"/>
      </w:rPr>
      <w:fldChar w:fldCharType="begin"/>
    </w:r>
    <w:r w:rsidRPr="00F06958">
      <w:rPr>
        <w:rFonts w:ascii="Arial" w:hAnsi="Arial" w:cs="Arial"/>
        <w:b/>
        <w:bCs/>
        <w:color w:val="7F7F7F"/>
        <w:sz w:val="16"/>
        <w:szCs w:val="16"/>
      </w:rPr>
      <w:instrText>PAGE  \* Arabic  \* MERGEFORMAT</w:instrText>
    </w:r>
    <w:r w:rsidRPr="00F06958">
      <w:rPr>
        <w:rFonts w:ascii="Arial" w:hAnsi="Arial" w:cs="Arial"/>
        <w:b/>
        <w:bCs/>
        <w:color w:val="7F7F7F"/>
        <w:sz w:val="16"/>
        <w:szCs w:val="16"/>
      </w:rPr>
      <w:fldChar w:fldCharType="separate"/>
    </w:r>
    <w:r w:rsidRPr="00F06958">
      <w:rPr>
        <w:rFonts w:ascii="Arial" w:hAnsi="Arial" w:cs="Arial"/>
        <w:b/>
        <w:bCs/>
        <w:noProof/>
        <w:color w:val="7F7F7F"/>
        <w:sz w:val="16"/>
        <w:szCs w:val="16"/>
      </w:rPr>
      <w:t>17</w:t>
    </w:r>
    <w:r w:rsidRPr="00F06958">
      <w:rPr>
        <w:rFonts w:ascii="Arial" w:hAnsi="Arial" w:cs="Arial"/>
        <w:b/>
        <w:bCs/>
        <w:color w:val="7F7F7F"/>
        <w:sz w:val="16"/>
        <w:szCs w:val="16"/>
      </w:rPr>
      <w:fldChar w:fldCharType="end"/>
    </w:r>
    <w:r w:rsidRPr="00F06958">
      <w:rPr>
        <w:rFonts w:ascii="Arial" w:hAnsi="Arial" w:cs="Arial"/>
        <w:color w:val="7F7F7F"/>
        <w:sz w:val="16"/>
        <w:szCs w:val="16"/>
      </w:rPr>
      <w:t xml:space="preserve"> de </w:t>
    </w:r>
    <w:r w:rsidRPr="00F06958">
      <w:rPr>
        <w:rFonts w:ascii="Arial" w:hAnsi="Arial" w:cs="Arial"/>
        <w:b/>
        <w:bCs/>
        <w:color w:val="7F7F7F"/>
        <w:sz w:val="16"/>
        <w:szCs w:val="16"/>
      </w:rPr>
      <w:fldChar w:fldCharType="begin"/>
    </w:r>
    <w:r w:rsidRPr="00F06958">
      <w:rPr>
        <w:rFonts w:ascii="Arial" w:hAnsi="Arial" w:cs="Arial"/>
        <w:b/>
        <w:bCs/>
        <w:color w:val="7F7F7F"/>
        <w:sz w:val="16"/>
        <w:szCs w:val="16"/>
      </w:rPr>
      <w:instrText>NUMPAGES  \* Arabic  \* MERGEFORMAT</w:instrText>
    </w:r>
    <w:r w:rsidRPr="00F06958">
      <w:rPr>
        <w:rFonts w:ascii="Arial" w:hAnsi="Arial" w:cs="Arial"/>
        <w:b/>
        <w:bCs/>
        <w:color w:val="7F7F7F"/>
        <w:sz w:val="16"/>
        <w:szCs w:val="16"/>
      </w:rPr>
      <w:fldChar w:fldCharType="separate"/>
    </w:r>
    <w:r w:rsidRPr="00F06958">
      <w:rPr>
        <w:rFonts w:ascii="Arial" w:hAnsi="Arial" w:cs="Arial"/>
        <w:b/>
        <w:bCs/>
        <w:noProof/>
        <w:color w:val="7F7F7F"/>
        <w:sz w:val="16"/>
        <w:szCs w:val="16"/>
      </w:rPr>
      <w:t>17</w:t>
    </w:r>
    <w:r w:rsidRPr="00F06958">
      <w:rPr>
        <w:rFonts w:ascii="Arial" w:hAnsi="Arial" w:cs="Arial"/>
        <w:b/>
        <w:bCs/>
        <w:color w:val="7F7F7F"/>
        <w:sz w:val="16"/>
        <w:szCs w:val="16"/>
      </w:rPr>
      <w:fldChar w:fldCharType="end"/>
    </w:r>
  </w:p>
  <w:p w14:paraId="4798E382" w14:textId="77777777" w:rsidR="00412132" w:rsidRDefault="00E521C0" w:rsidP="007B0854">
    <w:pPr>
      <w:pStyle w:val="Piedepgina"/>
      <w:jc w:val="center"/>
      <w:rPr>
        <w:lang w:val="es-ES"/>
      </w:rPr>
    </w:pPr>
    <w:r>
      <w:rPr>
        <w:noProof/>
        <w:lang w:eastAsia="es-CO"/>
      </w:rPr>
      <w:drawing>
        <wp:inline distT="0" distB="0" distL="0" distR="0" wp14:anchorId="3E392814" wp14:editId="31C35784">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F5CD49B" w14:textId="77777777" w:rsidR="00412132" w:rsidRDefault="006121F5" w:rsidP="007B0854">
    <w:pPr>
      <w:pStyle w:val="Piedepgina"/>
      <w:jc w:val="center"/>
      <w:rPr>
        <w:lang w:val="es-ES"/>
      </w:rPr>
    </w:pPr>
  </w:p>
  <w:p w14:paraId="37552B1B" w14:textId="77777777" w:rsidR="00412132" w:rsidRPr="007B0854" w:rsidRDefault="006121F5"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572D" w14:textId="77777777" w:rsidR="00333AA3" w:rsidRDefault="00333AA3" w:rsidP="00F06958">
      <w:pPr>
        <w:spacing w:after="0" w:line="240" w:lineRule="auto"/>
      </w:pPr>
      <w:r>
        <w:separator/>
      </w:r>
    </w:p>
  </w:footnote>
  <w:footnote w:type="continuationSeparator" w:id="0">
    <w:p w14:paraId="54F49AB8" w14:textId="77777777" w:rsidR="00333AA3" w:rsidRDefault="00333AA3" w:rsidP="00F06958">
      <w:pPr>
        <w:spacing w:after="0" w:line="240" w:lineRule="auto"/>
      </w:pPr>
      <w:r>
        <w:continuationSeparator/>
      </w:r>
    </w:p>
  </w:footnote>
  <w:footnote w:id="1">
    <w:p w14:paraId="76E291B1" w14:textId="77777777" w:rsidR="00F06958" w:rsidRPr="002E4D55" w:rsidRDefault="00F06958" w:rsidP="009737EE">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CFC378C" w14:textId="77777777" w:rsidR="00F06958" w:rsidRPr="002E4D55" w:rsidRDefault="00F06958" w:rsidP="009737EE">
      <w:pPr>
        <w:pStyle w:val="Textonotapie"/>
        <w:ind w:firstLine="709"/>
        <w:jc w:val="both"/>
        <w:rPr>
          <w:rFonts w:ascii="Arial" w:hAnsi="Arial" w:cs="Arial"/>
          <w:sz w:val="19"/>
          <w:szCs w:val="19"/>
        </w:rPr>
      </w:pPr>
      <w:proofErr w:type="gramStart"/>
      <w:r w:rsidRPr="002E4D55">
        <w:rPr>
          <w:rFonts w:ascii="Arial" w:hAnsi="Arial" w:cs="Arial"/>
          <w:sz w:val="19"/>
          <w:szCs w:val="19"/>
        </w:rPr>
        <w:t>»A</w:t>
      </w:r>
      <w:proofErr w:type="gramEnd"/>
      <w:r w:rsidRPr="002E4D55">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2">
    <w:p w14:paraId="22EBE6A1" w14:textId="77777777" w:rsidR="00F06958" w:rsidRPr="002E4D55" w:rsidRDefault="00F06958" w:rsidP="009737EE">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Gaceta del Congreso de la República No. 71 del 2005.</w:t>
      </w:r>
    </w:p>
    <w:p w14:paraId="4EFB7033" w14:textId="77777777" w:rsidR="00F06958" w:rsidRPr="002E4D55" w:rsidRDefault="00F06958" w:rsidP="009737EE">
      <w:pPr>
        <w:pStyle w:val="Textonotapie"/>
        <w:ind w:firstLine="709"/>
        <w:jc w:val="both"/>
        <w:rPr>
          <w:rFonts w:ascii="Arial" w:hAnsi="Arial" w:cs="Arial"/>
          <w:sz w:val="19"/>
          <w:szCs w:val="19"/>
        </w:rPr>
      </w:pPr>
    </w:p>
  </w:footnote>
  <w:footnote w:id="3">
    <w:p w14:paraId="1F0C39D5" w14:textId="77777777" w:rsidR="00F06958" w:rsidRPr="002E4D55" w:rsidRDefault="00F06958" w:rsidP="009737EE">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Corte Constitucional, Sentencia C- 1153 de 2005, M.P. Marco Gerardo Monroy Cabra.</w:t>
      </w:r>
    </w:p>
  </w:footnote>
  <w:footnote w:id="4">
    <w:p w14:paraId="33136A09" w14:textId="77777777" w:rsidR="00F06958" w:rsidRPr="002E4D55" w:rsidRDefault="00F06958" w:rsidP="009737EE">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14:paraId="0AD7A3F4" w14:textId="77777777" w:rsidR="00F06958" w:rsidRPr="002E4D55" w:rsidRDefault="00F06958" w:rsidP="009737EE">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14:paraId="0DB98276" w14:textId="77777777" w:rsidR="00F06958" w:rsidRPr="002E4D55" w:rsidRDefault="00F06958" w:rsidP="009737EE">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Consejo de Estado, Sala de Consulta y Servicio Civil de fecha 24 de julio de 2013, radicado 2166, </w:t>
      </w:r>
      <w:proofErr w:type="gramStart"/>
      <w:r w:rsidRPr="002E4D55">
        <w:rPr>
          <w:rFonts w:ascii="Arial" w:hAnsi="Arial" w:cs="Arial"/>
          <w:sz w:val="19"/>
          <w:szCs w:val="19"/>
        </w:rPr>
        <w:t>Consejero</w:t>
      </w:r>
      <w:proofErr w:type="gramEnd"/>
      <w:r w:rsidRPr="002E4D55">
        <w:rPr>
          <w:rFonts w:ascii="Arial" w:hAnsi="Arial" w:cs="Arial"/>
          <w:sz w:val="19"/>
          <w:szCs w:val="19"/>
        </w:rPr>
        <w:t xml:space="preserve"> Ponente: Álvaro </w:t>
      </w:r>
      <w:proofErr w:type="spellStart"/>
      <w:r w:rsidRPr="002E4D55">
        <w:rPr>
          <w:rFonts w:ascii="Arial" w:hAnsi="Arial" w:cs="Arial"/>
          <w:sz w:val="19"/>
          <w:szCs w:val="19"/>
        </w:rPr>
        <w:t>Namén</w:t>
      </w:r>
      <w:proofErr w:type="spellEnd"/>
      <w:r w:rsidRPr="002E4D55">
        <w:rPr>
          <w:rFonts w:ascii="Arial" w:hAnsi="Arial" w:cs="Arial"/>
          <w:sz w:val="19"/>
          <w:szCs w:val="19"/>
        </w:rPr>
        <w:t xml:space="preserve"> Vargas.  </w:t>
      </w:r>
    </w:p>
  </w:footnote>
  <w:footnote w:id="7">
    <w:p w14:paraId="20CEB2E6" w14:textId="77777777" w:rsidR="00F06958" w:rsidRPr="002E4D55" w:rsidRDefault="00F06958" w:rsidP="009737EE">
      <w:pPr>
        <w:spacing w:after="0" w:line="240" w:lineRule="auto"/>
        <w:ind w:firstLine="709"/>
        <w:jc w:val="both"/>
        <w:rPr>
          <w:rFonts w:ascii="Arial" w:eastAsia="Times New Roman"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w:t>
      </w:r>
      <w:bookmarkStart w:id="14" w:name="33"/>
      <w:r w:rsidRPr="002E4D55">
        <w:rPr>
          <w:rFonts w:ascii="Arial" w:eastAsia="Calibri" w:hAnsi="Arial" w:cs="Arial"/>
          <w:bCs/>
          <w:color w:val="000000"/>
          <w:sz w:val="19"/>
          <w:szCs w:val="19"/>
        </w:rPr>
        <w:t>«</w:t>
      </w:r>
      <w:r w:rsidRPr="002E4D55">
        <w:rPr>
          <w:rFonts w:ascii="Arial" w:eastAsia="Times New Roman" w:hAnsi="Arial" w:cs="Arial"/>
          <w:sz w:val="19"/>
          <w:szCs w:val="19"/>
        </w:rPr>
        <w:t>Artículo 33. Restricciones a la contratación pública.</w:t>
      </w:r>
      <w:bookmarkEnd w:id="14"/>
      <w:r w:rsidRPr="002E4D55">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34B1E6B7" w14:textId="77777777" w:rsidR="00F06958" w:rsidRPr="002E4D55" w:rsidRDefault="00F06958" w:rsidP="009737EE">
      <w:pPr>
        <w:spacing w:after="0" w:line="240" w:lineRule="auto"/>
        <w:ind w:firstLine="709"/>
        <w:jc w:val="both"/>
        <w:rPr>
          <w:rFonts w:ascii="Arial" w:eastAsia="Times New Roman" w:hAnsi="Arial" w:cs="Arial"/>
          <w:sz w:val="19"/>
          <w:szCs w:val="19"/>
        </w:rPr>
      </w:pPr>
      <w:r w:rsidRPr="002E4D55">
        <w:rPr>
          <w:rFonts w:ascii="Arial" w:eastAsia="Calibri" w:hAnsi="Arial" w:cs="Arial"/>
          <w:bCs/>
          <w:color w:val="000000"/>
          <w:sz w:val="19"/>
          <w:szCs w:val="19"/>
        </w:rPr>
        <w:t>»</w:t>
      </w:r>
      <w:r w:rsidRPr="002E4D55">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E4D55">
        <w:rPr>
          <w:rFonts w:ascii="Arial" w:eastAsia="Calibri" w:hAnsi="Arial" w:cs="Arial"/>
          <w:bCs/>
          <w:color w:val="000000"/>
          <w:sz w:val="19"/>
          <w:szCs w:val="19"/>
        </w:rPr>
        <w:t>»</w:t>
      </w:r>
      <w:r w:rsidRPr="002E4D55">
        <w:rPr>
          <w:rFonts w:ascii="Arial" w:eastAsia="Times New Roman" w:hAnsi="Arial" w:cs="Arial"/>
          <w:sz w:val="19"/>
          <w:szCs w:val="19"/>
        </w:rPr>
        <w:t>.</w:t>
      </w:r>
    </w:p>
  </w:footnote>
  <w:footnote w:id="8">
    <w:p w14:paraId="27ECC70F" w14:textId="77777777" w:rsidR="00F06958" w:rsidRPr="002E4D55" w:rsidRDefault="00F06958" w:rsidP="009737EE">
      <w:pPr>
        <w:pStyle w:val="NormalWeb"/>
        <w:spacing w:after="0" w:line="240" w:lineRule="auto"/>
        <w:ind w:firstLine="709"/>
        <w:jc w:val="both"/>
        <w:rPr>
          <w:rFonts w:ascii="Arial" w:hAnsi="Arial" w:cs="Arial"/>
          <w:sz w:val="19"/>
          <w:szCs w:val="19"/>
          <w:lang w:val="es-MX"/>
        </w:rPr>
      </w:pPr>
      <w:r w:rsidRPr="002E4D55">
        <w:rPr>
          <w:rStyle w:val="Refdenotaalpie"/>
          <w:rFonts w:ascii="Arial" w:hAnsi="Arial" w:cs="Arial"/>
          <w:sz w:val="19"/>
          <w:szCs w:val="19"/>
        </w:rPr>
        <w:footnoteRef/>
      </w:r>
      <w:r w:rsidRPr="002E4D55">
        <w:rPr>
          <w:rFonts w:ascii="Arial" w:hAnsi="Arial" w:cs="Arial"/>
          <w:sz w:val="19"/>
          <w:szCs w:val="19"/>
        </w:rPr>
        <w:t xml:space="preserve"> </w:t>
      </w:r>
      <w:bookmarkStart w:id="15" w:name="38"/>
      <w:r w:rsidRPr="002E4D55">
        <w:rPr>
          <w:rFonts w:ascii="Arial" w:eastAsia="Calibri" w:hAnsi="Arial" w:cs="Arial"/>
          <w:bCs/>
          <w:color w:val="000000"/>
          <w:sz w:val="19"/>
          <w:szCs w:val="19"/>
        </w:rPr>
        <w:t>«</w:t>
      </w:r>
      <w:r w:rsidRPr="002E4D55">
        <w:rPr>
          <w:rFonts w:ascii="Arial" w:hAnsi="Arial" w:cs="Arial"/>
          <w:sz w:val="19"/>
          <w:szCs w:val="19"/>
          <w:lang w:val="es-MX"/>
        </w:rPr>
        <w:t>Artículo 38. Prohibiciones para los servidores públicos. A los empleados del Estado les está prohibido:</w:t>
      </w:r>
      <w:bookmarkEnd w:id="15"/>
    </w:p>
    <w:p w14:paraId="419D565A" w14:textId="77777777" w:rsidR="00F06958" w:rsidRPr="002E4D55" w:rsidRDefault="00F06958" w:rsidP="009737EE">
      <w:pPr>
        <w:pStyle w:val="NormalWeb"/>
        <w:spacing w:after="0" w:line="240" w:lineRule="auto"/>
        <w:ind w:firstLine="709"/>
        <w:jc w:val="both"/>
        <w:rPr>
          <w:rFonts w:ascii="Arial" w:hAnsi="Arial" w:cs="Arial"/>
          <w:sz w:val="19"/>
          <w:szCs w:val="19"/>
          <w:lang w:val="es-MX"/>
        </w:rPr>
      </w:pPr>
      <w:r w:rsidRPr="002E4D55">
        <w:rPr>
          <w:rFonts w:ascii="Arial" w:eastAsia="Calibri" w:hAnsi="Arial" w:cs="Arial"/>
          <w:bCs/>
          <w:color w:val="000000"/>
          <w:sz w:val="19"/>
          <w:szCs w:val="19"/>
        </w:rPr>
        <w:t>»</w:t>
      </w:r>
      <w:r w:rsidRPr="002E4D55">
        <w:rPr>
          <w:rFonts w:ascii="Arial" w:hAnsi="Arial" w:cs="Arial"/>
          <w:sz w:val="19"/>
          <w:szCs w:val="19"/>
          <w:lang w:val="es-MX"/>
        </w:rPr>
        <w:t xml:space="preserve"> […]</w:t>
      </w:r>
    </w:p>
    <w:p w14:paraId="4C06949C" w14:textId="77777777" w:rsidR="00F06958" w:rsidRPr="002E4D55" w:rsidRDefault="00F06958" w:rsidP="009737EE">
      <w:pPr>
        <w:pStyle w:val="NormalWeb"/>
        <w:spacing w:after="0" w:line="240" w:lineRule="auto"/>
        <w:ind w:firstLine="709"/>
        <w:jc w:val="both"/>
        <w:rPr>
          <w:rFonts w:ascii="Arial" w:hAnsi="Arial" w:cs="Arial"/>
          <w:sz w:val="19"/>
          <w:szCs w:val="19"/>
          <w:lang w:val="es-MX"/>
        </w:rPr>
      </w:pPr>
      <w:r w:rsidRPr="002E4D55">
        <w:rPr>
          <w:rFonts w:ascii="Arial" w:eastAsia="Calibri" w:hAnsi="Arial" w:cs="Arial"/>
          <w:bCs/>
          <w:color w:val="000000"/>
          <w:sz w:val="19"/>
          <w:szCs w:val="19"/>
        </w:rPr>
        <w:t>»</w:t>
      </w:r>
      <w:r w:rsidRPr="002E4D55">
        <w:rPr>
          <w:rStyle w:val="baj"/>
          <w:rFonts w:ascii="Arial" w:hAnsi="Arial" w:cs="Arial"/>
          <w:sz w:val="19"/>
          <w:szCs w:val="19"/>
          <w:lang w:val="es-MX"/>
        </w:rPr>
        <w:t xml:space="preserve"> Parágrafo.</w:t>
      </w:r>
      <w:r w:rsidRPr="002E4D55">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E4D55">
        <w:rPr>
          <w:rFonts w:ascii="Arial" w:eastAsia="Calibri" w:hAnsi="Arial" w:cs="Arial"/>
          <w:bCs/>
          <w:color w:val="000000"/>
          <w:sz w:val="19"/>
          <w:szCs w:val="19"/>
        </w:rPr>
        <w:t>»</w:t>
      </w:r>
      <w:r w:rsidRPr="002E4D55">
        <w:rPr>
          <w:rFonts w:ascii="Arial" w:hAnsi="Arial" w:cs="Arial"/>
          <w:sz w:val="19"/>
          <w:szCs w:val="19"/>
          <w:lang w:val="es-MX"/>
        </w:rPr>
        <w:t>.</w:t>
      </w:r>
    </w:p>
  </w:footnote>
  <w:footnote w:id="9">
    <w:p w14:paraId="337FFD50" w14:textId="77777777" w:rsidR="00F06958" w:rsidRPr="002E4D55" w:rsidRDefault="00F06958" w:rsidP="002E4D55">
      <w:pPr>
        <w:spacing w:after="0" w:line="240" w:lineRule="auto"/>
        <w:ind w:firstLine="709"/>
        <w:jc w:val="both"/>
        <w:rPr>
          <w:rFonts w:ascii="Arial" w:hAnsi="Arial" w:cs="Arial"/>
          <w:sz w:val="19"/>
          <w:szCs w:val="19"/>
          <w:lang w:val="es-ES"/>
        </w:rPr>
      </w:pPr>
      <w:r w:rsidRPr="002E4D55">
        <w:rPr>
          <w:rStyle w:val="Refdenotaalpie"/>
          <w:rFonts w:ascii="Arial" w:hAnsi="Arial" w:cs="Arial"/>
          <w:sz w:val="19"/>
          <w:szCs w:val="19"/>
        </w:rPr>
        <w:footnoteRef/>
      </w:r>
      <w:r w:rsidRPr="002E4D55">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5025BB55" w14:textId="77777777" w:rsidR="00F06958" w:rsidRPr="002E4D55" w:rsidRDefault="00F06958" w:rsidP="002E4D55">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w:t>
      </w:r>
      <w:bookmarkStart w:id="22" w:name="_Hlk74272731"/>
      <w:r w:rsidRPr="002E4D55">
        <w:rPr>
          <w:rFonts w:ascii="Arial" w:hAnsi="Arial" w:cs="Arial"/>
          <w:sz w:val="19"/>
          <w:szCs w:val="19"/>
        </w:rPr>
        <w:t>«</w:t>
      </w:r>
      <w:bookmarkEnd w:id="22"/>
      <w:r w:rsidRPr="002E4D55">
        <w:rPr>
          <w:rFonts w:ascii="Arial" w:hAnsi="Arial" w:cs="Arial"/>
          <w:sz w:val="19"/>
          <w:szCs w:val="19"/>
          <w:lang w:val="es-ES"/>
        </w:rPr>
        <w:t xml:space="preserve">[25] </w:t>
      </w:r>
      <w:r w:rsidRPr="002E4D55">
        <w:rPr>
          <w:rFonts w:ascii="Arial" w:hAnsi="Arial" w:cs="Arial"/>
          <w:sz w:val="19"/>
          <w:szCs w:val="19"/>
        </w:rPr>
        <w:t>Cfr. Consejo de Estado. Sección Tercera. Sentencia de 3 de diciembre de 2007. Radicados: 24.715, 25.206, 25.409, 24.524, 27.834, 25.410, 26.105, 28.244, 31.447 -acumulados-</w:t>
      </w:r>
      <w:bookmarkStart w:id="23" w:name="_Hlk74271358"/>
      <w:r w:rsidRPr="002E4D55">
        <w:rPr>
          <w:rFonts w:ascii="Arial" w:hAnsi="Arial" w:cs="Arial"/>
          <w:sz w:val="19"/>
          <w:szCs w:val="19"/>
        </w:rPr>
        <w:t>»</w:t>
      </w:r>
      <w:bookmarkEnd w:id="23"/>
      <w:r w:rsidRPr="002E4D55">
        <w:rPr>
          <w:rFonts w:ascii="Arial" w:hAnsi="Arial" w:cs="Arial"/>
          <w:sz w:val="19"/>
          <w:szCs w:val="19"/>
        </w:rPr>
        <w:t>.</w:t>
      </w:r>
    </w:p>
    <w:p w14:paraId="52907A7A" w14:textId="77777777" w:rsidR="00F06958" w:rsidRPr="002E4D55" w:rsidRDefault="00F06958" w:rsidP="002E4D55">
      <w:pPr>
        <w:pStyle w:val="Textonotapie"/>
        <w:ind w:firstLine="709"/>
        <w:jc w:val="both"/>
        <w:rPr>
          <w:rFonts w:ascii="Arial" w:hAnsi="Arial" w:cs="Arial"/>
          <w:sz w:val="19"/>
          <w:szCs w:val="19"/>
        </w:rPr>
      </w:pPr>
    </w:p>
  </w:footnote>
  <w:footnote w:id="11">
    <w:p w14:paraId="0BB788EB" w14:textId="77777777" w:rsidR="00F06958" w:rsidRPr="002E4D55" w:rsidRDefault="00F06958" w:rsidP="002E4D55">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w:t>
      </w:r>
      <w:bookmarkStart w:id="25" w:name="_Hlk74294506"/>
      <w:r w:rsidRPr="002E4D55">
        <w:rPr>
          <w:rFonts w:ascii="Arial" w:hAnsi="Arial" w:cs="Arial"/>
          <w:sz w:val="19"/>
          <w:szCs w:val="19"/>
        </w:rPr>
        <w:t>«</w:t>
      </w:r>
      <w:r w:rsidRPr="002E4D55">
        <w:rPr>
          <w:rFonts w:ascii="Arial" w:hAnsi="Arial" w:cs="Arial"/>
          <w:sz w:val="19"/>
          <w:szCs w:val="19"/>
          <w:lang w:val="es-ES"/>
        </w:rPr>
        <w:t xml:space="preserve">[26] </w:t>
      </w:r>
      <w:bookmarkEnd w:id="25"/>
      <w:r w:rsidRPr="002E4D55">
        <w:rPr>
          <w:rFonts w:ascii="Arial" w:hAnsi="Arial" w:cs="Arial"/>
          <w:sz w:val="19"/>
          <w:szCs w:val="19"/>
        </w:rPr>
        <w:t>Al respecto ver el concepto 1712 de 2 de febrero de 2006. Consejo de Estado Sala de Consulta y Servicio Civil».</w:t>
      </w:r>
    </w:p>
  </w:footnote>
  <w:footnote w:id="12">
    <w:p w14:paraId="1B0C56BF" w14:textId="77777777" w:rsidR="00F06958" w:rsidRPr="002E4D55" w:rsidRDefault="00F06958" w:rsidP="009737EE">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2E4D55">
        <w:rPr>
          <w:rFonts w:ascii="Arial" w:hAnsi="Arial" w:cs="Arial"/>
          <w:sz w:val="19"/>
          <w:szCs w:val="19"/>
        </w:rPr>
        <w:t>Namén</w:t>
      </w:r>
      <w:proofErr w:type="spellEnd"/>
      <w:r w:rsidRPr="002E4D55">
        <w:rPr>
          <w:rFonts w:ascii="Arial" w:hAnsi="Arial" w:cs="Arial"/>
          <w:sz w:val="19"/>
          <w:szCs w:val="19"/>
        </w:rPr>
        <w:t xml:space="preserve"> Vargas.</w:t>
      </w:r>
    </w:p>
  </w:footnote>
  <w:footnote w:id="13">
    <w:p w14:paraId="58687629" w14:textId="57419D9C" w:rsidR="0094120C" w:rsidRPr="00700F0E" w:rsidRDefault="0094120C" w:rsidP="009737EE">
      <w:pPr>
        <w:pStyle w:val="Textonotapie"/>
        <w:ind w:firstLine="709"/>
        <w:jc w:val="both"/>
        <w:rPr>
          <w:rFonts w:ascii="Arial" w:hAnsi="Arial" w:cs="Arial"/>
          <w:sz w:val="19"/>
          <w:szCs w:val="19"/>
          <w:lang w:val="es-ES"/>
        </w:rPr>
      </w:pPr>
      <w:r w:rsidRPr="00700F0E">
        <w:rPr>
          <w:rStyle w:val="Refdenotaalpie"/>
          <w:rFonts w:ascii="Arial" w:hAnsi="Arial" w:cs="Arial"/>
          <w:sz w:val="19"/>
          <w:szCs w:val="19"/>
        </w:rPr>
        <w:footnoteRef/>
      </w:r>
      <w:r w:rsidRPr="00700F0E">
        <w:rPr>
          <w:rFonts w:ascii="Arial" w:hAnsi="Arial" w:cs="Arial"/>
          <w:sz w:val="19"/>
          <w:szCs w:val="19"/>
        </w:rPr>
        <w:t xml:space="preserve"> </w:t>
      </w:r>
      <w:r w:rsidRPr="00700F0E">
        <w:rPr>
          <w:rFonts w:ascii="Arial" w:hAnsi="Arial" w:cs="Arial"/>
          <w:sz w:val="19"/>
          <w:szCs w:val="19"/>
          <w:lang w:val="es-ES"/>
        </w:rPr>
        <w:t xml:space="preserve">Artículo 2. </w:t>
      </w:r>
    </w:p>
  </w:footnote>
  <w:footnote w:id="14">
    <w:p w14:paraId="579AD64F" w14:textId="6F1B9DE1" w:rsidR="0094120C" w:rsidRPr="00700F0E" w:rsidRDefault="0094120C" w:rsidP="009737EE">
      <w:pPr>
        <w:pStyle w:val="Textonotapie"/>
        <w:ind w:firstLine="709"/>
        <w:jc w:val="both"/>
        <w:rPr>
          <w:rFonts w:ascii="Arial" w:hAnsi="Arial" w:cs="Arial"/>
          <w:sz w:val="19"/>
          <w:szCs w:val="19"/>
          <w:lang w:val="es-ES"/>
        </w:rPr>
      </w:pPr>
      <w:r w:rsidRPr="00700F0E">
        <w:rPr>
          <w:rStyle w:val="Refdenotaalpie"/>
          <w:rFonts w:ascii="Arial" w:hAnsi="Arial" w:cs="Arial"/>
          <w:sz w:val="19"/>
          <w:szCs w:val="19"/>
        </w:rPr>
        <w:footnoteRef/>
      </w:r>
      <w:r w:rsidRPr="00700F0E">
        <w:rPr>
          <w:rFonts w:ascii="Arial" w:hAnsi="Arial" w:cs="Arial"/>
          <w:sz w:val="19"/>
          <w:szCs w:val="19"/>
        </w:rPr>
        <w:t xml:space="preserve"> </w:t>
      </w:r>
      <w:r w:rsidRPr="00700F0E">
        <w:rPr>
          <w:rFonts w:ascii="Arial" w:hAnsi="Arial" w:cs="Arial"/>
          <w:i/>
          <w:sz w:val="19"/>
          <w:szCs w:val="19"/>
          <w:lang w:val="es-ES"/>
        </w:rPr>
        <w:t>Ídem</w:t>
      </w:r>
      <w:r w:rsidRPr="00700F0E">
        <w:rPr>
          <w:rFonts w:ascii="Arial" w:hAnsi="Arial" w:cs="Arial"/>
          <w:sz w:val="19"/>
          <w:szCs w:val="19"/>
          <w:lang w:val="es-ES"/>
        </w:rPr>
        <w:t>.</w:t>
      </w:r>
    </w:p>
  </w:footnote>
  <w:footnote w:id="15">
    <w:p w14:paraId="11DF9B0A" w14:textId="77777777" w:rsidR="00F06958" w:rsidRPr="002E4D55" w:rsidRDefault="00F06958" w:rsidP="009737EE">
      <w:pPr>
        <w:pStyle w:val="Textonotapie"/>
        <w:ind w:firstLine="709"/>
        <w:jc w:val="both"/>
        <w:rPr>
          <w:rFonts w:ascii="Arial" w:hAnsi="Arial" w:cs="Arial"/>
          <w:sz w:val="19"/>
          <w:szCs w:val="19"/>
          <w:lang w:val="es-ES"/>
        </w:rPr>
      </w:pPr>
      <w:r w:rsidRPr="002E4D55">
        <w:rPr>
          <w:rStyle w:val="Refdenotaalpie"/>
          <w:rFonts w:ascii="Arial" w:hAnsi="Arial" w:cs="Arial"/>
          <w:sz w:val="19"/>
          <w:szCs w:val="19"/>
        </w:rPr>
        <w:footnoteRef/>
      </w:r>
      <w:r w:rsidRPr="002E4D55">
        <w:rPr>
          <w:rStyle w:val="Refdenotaalpie"/>
          <w:rFonts w:ascii="Arial" w:hAnsi="Arial" w:cs="Arial"/>
          <w:sz w:val="19"/>
          <w:szCs w:val="19"/>
        </w:rPr>
        <w:t xml:space="preserve"> </w:t>
      </w:r>
      <w:bookmarkStart w:id="28" w:name="_Hlk74297130"/>
      <w:r w:rsidRPr="002E4D55">
        <w:rPr>
          <w:rFonts w:ascii="Arial" w:hAnsi="Arial" w:cs="Arial"/>
          <w:sz w:val="19"/>
          <w:szCs w:val="19"/>
          <w:lang w:val="es-ES"/>
        </w:rPr>
        <w:t>«</w:t>
      </w:r>
      <w:bookmarkEnd w:id="28"/>
      <w:r w:rsidRPr="002E4D55">
        <w:rPr>
          <w:rFonts w:ascii="Arial" w:hAnsi="Arial" w:cs="Arial"/>
          <w:sz w:val="19"/>
          <w:szCs w:val="19"/>
          <w:lang w:val="es-ES"/>
        </w:rPr>
        <w:t xml:space="preserve">[…] A este respecto, cabe recordar que el artículo 860 del Código de Comercio regula la licitación en el derecho privado». </w:t>
      </w:r>
    </w:p>
  </w:footnote>
  <w:footnote w:id="16">
    <w:p w14:paraId="4A4B7778" w14:textId="77777777" w:rsidR="00F06958" w:rsidRPr="002E4D55" w:rsidRDefault="00F06958" w:rsidP="009737EE">
      <w:pPr>
        <w:shd w:val="clear" w:color="auto" w:fill="FFFFFF"/>
        <w:spacing w:after="0" w:line="240" w:lineRule="auto"/>
        <w:ind w:firstLine="709"/>
        <w:jc w:val="both"/>
        <w:rPr>
          <w:rFonts w:ascii="Arial" w:hAnsi="Arial" w:cs="Arial"/>
          <w:sz w:val="19"/>
          <w:szCs w:val="19"/>
          <w:lang w:val="es-ES"/>
        </w:rPr>
      </w:pPr>
      <w:r w:rsidRPr="002E4D55">
        <w:rPr>
          <w:rStyle w:val="Refdenotaalpie"/>
          <w:rFonts w:ascii="Arial" w:hAnsi="Arial" w:cs="Arial"/>
          <w:sz w:val="19"/>
          <w:szCs w:val="19"/>
        </w:rPr>
        <w:footnoteRef/>
      </w:r>
      <w:r w:rsidRPr="002E4D55">
        <w:rPr>
          <w:rStyle w:val="Refdenotaalpie"/>
          <w:rFonts w:ascii="Arial" w:hAnsi="Arial" w:cs="Arial"/>
          <w:sz w:val="19"/>
          <w:szCs w:val="19"/>
        </w:rPr>
        <w:t xml:space="preserve"> </w:t>
      </w:r>
      <w:r w:rsidRPr="002E4D55">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2E4D55">
        <w:rPr>
          <w:rFonts w:ascii="Arial" w:hAnsi="Arial" w:cs="Arial"/>
          <w:sz w:val="19"/>
          <w:szCs w:val="19"/>
          <w:lang w:val="es-ES"/>
        </w:rPr>
        <w:t>Namén</w:t>
      </w:r>
      <w:proofErr w:type="spellEnd"/>
      <w:r w:rsidRPr="002E4D55">
        <w:rPr>
          <w:rFonts w:ascii="Arial" w:hAnsi="Arial" w:cs="Arial"/>
          <w:sz w:val="19"/>
          <w:szCs w:val="19"/>
          <w:lang w:val="es-ES"/>
        </w:rPr>
        <w:t xml:space="preserve"> Vargas.</w:t>
      </w:r>
    </w:p>
  </w:footnote>
  <w:footnote w:id="17">
    <w:p w14:paraId="4C331035" w14:textId="77777777" w:rsidR="00F06958" w:rsidRPr="002E4D55" w:rsidRDefault="00F06958" w:rsidP="009737EE">
      <w:pPr>
        <w:pStyle w:val="Textonotapie"/>
        <w:ind w:firstLine="709"/>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Consejo de Estado. Sala de Consulta y Servicio Civil. Concepto del 08 de mayo de 2018. </w:t>
      </w:r>
      <w:proofErr w:type="spellStart"/>
      <w:r w:rsidRPr="002E4D55">
        <w:rPr>
          <w:rFonts w:ascii="Arial" w:hAnsi="Arial" w:cs="Arial"/>
          <w:sz w:val="19"/>
          <w:szCs w:val="19"/>
        </w:rPr>
        <w:t>Exp</w:t>
      </w:r>
      <w:proofErr w:type="spellEnd"/>
      <w:r w:rsidRPr="002E4D55">
        <w:rPr>
          <w:rFonts w:ascii="Arial" w:hAnsi="Arial" w:cs="Arial"/>
          <w:sz w:val="19"/>
          <w:szCs w:val="19"/>
        </w:rPr>
        <w:t xml:space="preserve">. 2.382. C.P. Álvaro </w:t>
      </w:r>
      <w:proofErr w:type="spellStart"/>
      <w:r w:rsidRPr="002E4D55">
        <w:rPr>
          <w:rFonts w:ascii="Arial" w:hAnsi="Arial" w:cs="Arial"/>
          <w:sz w:val="19"/>
          <w:szCs w:val="19"/>
        </w:rPr>
        <w:t>Namén</w:t>
      </w:r>
      <w:proofErr w:type="spellEnd"/>
      <w:r w:rsidRPr="002E4D55">
        <w:rPr>
          <w:rFonts w:ascii="Arial" w:hAnsi="Arial" w:cs="Arial"/>
          <w:sz w:val="19"/>
          <w:szCs w:val="19"/>
        </w:rPr>
        <w:t xml:space="preserve"> Vargas.</w:t>
      </w:r>
    </w:p>
  </w:footnote>
  <w:footnote w:id="18">
    <w:p w14:paraId="0F164309" w14:textId="266A712F" w:rsidR="00F20D64" w:rsidRPr="002E4D55" w:rsidRDefault="00F20D64" w:rsidP="002E4D55">
      <w:pPr>
        <w:pStyle w:val="Textonotapie"/>
        <w:ind w:firstLine="708"/>
        <w:jc w:val="both"/>
        <w:rPr>
          <w:rFonts w:ascii="Arial" w:hAnsi="Arial" w:cs="Arial"/>
          <w:sz w:val="19"/>
          <w:szCs w:val="19"/>
          <w:lang w:val="es-MX"/>
        </w:rPr>
      </w:pPr>
      <w:r w:rsidRPr="002E4D55">
        <w:rPr>
          <w:rStyle w:val="Refdenotaalpie"/>
          <w:rFonts w:ascii="Arial" w:hAnsi="Arial" w:cs="Arial"/>
          <w:sz w:val="19"/>
          <w:szCs w:val="19"/>
        </w:rPr>
        <w:footnoteRef/>
      </w:r>
      <w:r w:rsidRPr="002E4D55">
        <w:rPr>
          <w:rFonts w:ascii="Arial" w:hAnsi="Arial" w:cs="Arial"/>
          <w:sz w:val="19"/>
          <w:szCs w:val="19"/>
        </w:rPr>
        <w:t xml:space="preserve"> </w:t>
      </w:r>
      <w:r w:rsidRPr="002E4D55">
        <w:rPr>
          <w:rFonts w:ascii="Arial" w:hAnsi="Arial" w:cs="Arial"/>
          <w:sz w:val="19"/>
          <w:szCs w:val="19"/>
          <w:lang w:val="es-MX"/>
        </w:rPr>
        <w:t xml:space="preserve">Corte Constitucional. Sentencia </w:t>
      </w:r>
      <w:r w:rsidR="007D08A5" w:rsidRPr="002E4D55">
        <w:rPr>
          <w:rFonts w:ascii="Arial" w:hAnsi="Arial" w:cs="Arial"/>
          <w:sz w:val="19"/>
          <w:szCs w:val="19"/>
          <w:lang w:val="es-MX"/>
        </w:rPr>
        <w:t>C-644 de 18 de octubre de 2017. MP: Diana Fajardo Rivera.</w:t>
      </w:r>
    </w:p>
  </w:footnote>
  <w:footnote w:id="19">
    <w:p w14:paraId="5C6DB97D" w14:textId="53AE58AE" w:rsidR="00700F0E" w:rsidRPr="002E4D55" w:rsidRDefault="00700F0E" w:rsidP="002E4D55">
      <w:pPr>
        <w:pStyle w:val="Textonotapie"/>
        <w:ind w:firstLine="708"/>
        <w:jc w:val="both"/>
        <w:rPr>
          <w:rFonts w:ascii="Arial" w:hAnsi="Arial" w:cs="Arial"/>
          <w:sz w:val="19"/>
          <w:szCs w:val="19"/>
        </w:rPr>
      </w:pPr>
      <w:r w:rsidRPr="002E4D55">
        <w:rPr>
          <w:rStyle w:val="Refdenotaalpie"/>
          <w:rFonts w:ascii="Arial" w:hAnsi="Arial" w:cs="Arial"/>
          <w:sz w:val="19"/>
          <w:szCs w:val="19"/>
        </w:rPr>
        <w:footnoteRef/>
      </w:r>
      <w:r w:rsidRPr="002E4D55">
        <w:rPr>
          <w:rFonts w:ascii="Arial" w:hAnsi="Arial" w:cs="Arial"/>
          <w:sz w:val="19"/>
          <w:szCs w:val="19"/>
        </w:rPr>
        <w:t xml:space="preserve"> Consejo de Estado. Sala de Consulta y Servicio Civil. Concepto del 2 de septiembre de 2013. </w:t>
      </w:r>
      <w:proofErr w:type="spellStart"/>
      <w:r w:rsidRPr="002E4D55">
        <w:rPr>
          <w:rFonts w:ascii="Arial" w:hAnsi="Arial" w:cs="Arial"/>
          <w:sz w:val="19"/>
          <w:szCs w:val="19"/>
        </w:rPr>
        <w:t>Exp</w:t>
      </w:r>
      <w:proofErr w:type="spellEnd"/>
      <w:r w:rsidRPr="002E4D55">
        <w:rPr>
          <w:rFonts w:ascii="Arial" w:hAnsi="Arial" w:cs="Arial"/>
          <w:sz w:val="19"/>
          <w:szCs w:val="19"/>
        </w:rPr>
        <w:t xml:space="preserve">. 2.168. C.P. Álvaro </w:t>
      </w:r>
      <w:proofErr w:type="spellStart"/>
      <w:r w:rsidRPr="002E4D55">
        <w:rPr>
          <w:rFonts w:ascii="Arial" w:hAnsi="Arial" w:cs="Arial"/>
          <w:sz w:val="19"/>
          <w:szCs w:val="19"/>
        </w:rPr>
        <w:t>Namén</w:t>
      </w:r>
      <w:proofErr w:type="spellEnd"/>
      <w:r w:rsidRPr="002E4D55">
        <w:rPr>
          <w:rFonts w:ascii="Arial" w:hAnsi="Arial" w:cs="Arial"/>
          <w:sz w:val="19"/>
          <w:szCs w:val="19"/>
        </w:rPr>
        <w:t xml:space="preserve"> Vargas.</w:t>
      </w:r>
    </w:p>
  </w:footnote>
  <w:footnote w:id="20">
    <w:p w14:paraId="600BC543" w14:textId="508E0B53" w:rsidR="009737EE" w:rsidRPr="00431D66" w:rsidRDefault="009737EE" w:rsidP="002E4D55">
      <w:pPr>
        <w:spacing w:after="0" w:line="240" w:lineRule="auto"/>
        <w:ind w:firstLine="709"/>
        <w:jc w:val="both"/>
        <w:rPr>
          <w:rFonts w:ascii="Arial" w:hAnsi="Arial" w:cs="Arial"/>
          <w:color w:val="000000" w:themeColor="text1"/>
          <w:sz w:val="19"/>
          <w:szCs w:val="19"/>
        </w:rPr>
      </w:pPr>
      <w:r w:rsidRPr="00431D66">
        <w:rPr>
          <w:rStyle w:val="Refdenotaalpie"/>
          <w:rFonts w:ascii="Arial" w:hAnsi="Arial" w:cs="Arial"/>
          <w:color w:val="000000" w:themeColor="text1"/>
          <w:sz w:val="19"/>
          <w:szCs w:val="19"/>
        </w:rPr>
        <w:footnoteRef/>
      </w:r>
      <w:r w:rsidRPr="00431D66">
        <w:rPr>
          <w:rFonts w:ascii="Arial" w:hAnsi="Arial" w:cs="Arial"/>
          <w:color w:val="000000" w:themeColor="text1"/>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3E9B7BC6" w14:textId="77777777" w:rsidR="009737EE" w:rsidRPr="00431D66" w:rsidRDefault="009737EE" w:rsidP="009737EE">
      <w:pPr>
        <w:pStyle w:val="Textonotapie"/>
        <w:ind w:firstLine="709"/>
        <w:jc w:val="both"/>
        <w:rPr>
          <w:rFonts w:ascii="Arial" w:eastAsia="Times New Roman" w:hAnsi="Arial" w:cs="Arial"/>
          <w:bCs/>
          <w:sz w:val="19"/>
          <w:szCs w:val="19"/>
          <w:lang w:eastAsia="x-none"/>
        </w:rPr>
      </w:pPr>
      <w:r w:rsidRPr="00431D66">
        <w:rPr>
          <w:rStyle w:val="Refdenotaalpie"/>
          <w:rFonts w:ascii="Arial" w:hAnsi="Arial" w:cs="Arial"/>
          <w:sz w:val="19"/>
          <w:szCs w:val="19"/>
        </w:rPr>
        <w:footnoteRef/>
      </w:r>
      <w:r w:rsidRPr="00431D66">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431D66">
        <w:rPr>
          <w:rFonts w:ascii="Arial" w:eastAsia="Times New Roman" w:hAnsi="Arial" w:cs="Arial"/>
          <w:bCs/>
          <w:sz w:val="19"/>
          <w:szCs w:val="19"/>
          <w:lang w:eastAsia="x-none"/>
        </w:rPr>
        <w:t xml:space="preserve"> «</w:t>
      </w:r>
      <w:r w:rsidRPr="00431D66">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431D66">
        <w:rPr>
          <w:rFonts w:ascii="Arial" w:eastAsia="Times New Roman" w:hAnsi="Arial" w:cs="Arial"/>
          <w:bCs/>
          <w:sz w:val="19"/>
          <w:szCs w:val="19"/>
          <w:lang w:eastAsia="x-none"/>
        </w:rPr>
        <w:t>».</w:t>
      </w:r>
    </w:p>
    <w:p w14:paraId="6DE82C00" w14:textId="77777777" w:rsidR="009737EE" w:rsidRPr="00431D66" w:rsidRDefault="009737EE" w:rsidP="009737EE">
      <w:pPr>
        <w:pStyle w:val="Textonotapie"/>
        <w:ind w:firstLine="709"/>
        <w:jc w:val="both"/>
        <w:rPr>
          <w:rFonts w:ascii="Arial" w:eastAsia="Times New Roman" w:hAnsi="Arial" w:cs="Arial"/>
          <w:bCs/>
          <w:sz w:val="19"/>
          <w:szCs w:val="19"/>
          <w:lang w:eastAsia="x-none"/>
        </w:rPr>
      </w:pPr>
    </w:p>
  </w:footnote>
  <w:footnote w:id="22">
    <w:p w14:paraId="7EECEA5E" w14:textId="77777777" w:rsidR="009737EE" w:rsidRPr="00431D66" w:rsidRDefault="009737EE" w:rsidP="009737EE">
      <w:pPr>
        <w:pStyle w:val="Textonotapie"/>
        <w:ind w:firstLine="709"/>
        <w:jc w:val="both"/>
        <w:rPr>
          <w:rFonts w:ascii="Arial" w:hAnsi="Arial" w:cs="Arial"/>
          <w:sz w:val="19"/>
          <w:szCs w:val="19"/>
        </w:rPr>
      </w:pPr>
      <w:r w:rsidRPr="00431D66">
        <w:rPr>
          <w:rStyle w:val="Refdenotaalpie"/>
          <w:rFonts w:ascii="Arial" w:hAnsi="Arial" w:cs="Arial"/>
          <w:sz w:val="19"/>
          <w:szCs w:val="19"/>
        </w:rPr>
        <w:footnoteRef/>
      </w:r>
      <w:r w:rsidRPr="00431D66">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61E8076A" w14:textId="77777777" w:rsidR="009737EE" w:rsidRPr="00547D00" w:rsidRDefault="009737EE" w:rsidP="009737EE">
      <w:pPr>
        <w:pStyle w:val="Textonotapie"/>
        <w:ind w:firstLine="709"/>
        <w:jc w:val="both"/>
        <w:rPr>
          <w:rFonts w:ascii="Arial" w:hAnsi="Arial" w:cs="Arial"/>
          <w:sz w:val="19"/>
          <w:szCs w:val="19"/>
        </w:rPr>
      </w:pPr>
    </w:p>
  </w:footnote>
  <w:footnote w:id="23">
    <w:p w14:paraId="1D7163AC" w14:textId="77777777" w:rsidR="009737EE" w:rsidRPr="00431D66" w:rsidRDefault="009737EE" w:rsidP="009737EE">
      <w:pPr>
        <w:pStyle w:val="Textonotapie"/>
        <w:ind w:firstLine="709"/>
        <w:jc w:val="both"/>
        <w:rPr>
          <w:rFonts w:ascii="Arial" w:hAnsi="Arial" w:cs="Arial"/>
          <w:sz w:val="19"/>
          <w:szCs w:val="19"/>
        </w:rPr>
      </w:pPr>
      <w:r w:rsidRPr="00431D66">
        <w:rPr>
          <w:rStyle w:val="Refdenotaalpie"/>
          <w:rFonts w:ascii="Arial" w:hAnsi="Arial" w:cs="Arial"/>
          <w:sz w:val="19"/>
          <w:szCs w:val="19"/>
        </w:rPr>
        <w:footnoteRef/>
      </w:r>
      <w:r w:rsidRPr="00431D66">
        <w:rPr>
          <w:rFonts w:ascii="Arial" w:hAnsi="Arial" w:cs="Arial"/>
          <w:sz w:val="19"/>
          <w:szCs w:val="19"/>
        </w:rPr>
        <w:t xml:space="preserve"> Consejo de Estado. Sala de Consulta y Servicio Civil, ídem.</w:t>
      </w:r>
    </w:p>
    <w:p w14:paraId="2209821F" w14:textId="77777777" w:rsidR="009737EE" w:rsidRPr="00431D66" w:rsidRDefault="009737EE" w:rsidP="009737EE">
      <w:pPr>
        <w:pStyle w:val="Textonotapie"/>
        <w:ind w:firstLine="709"/>
        <w:jc w:val="both"/>
        <w:rPr>
          <w:rFonts w:ascii="Arial" w:hAnsi="Arial" w:cs="Arial"/>
          <w:sz w:val="19"/>
          <w:szCs w:val="19"/>
        </w:rPr>
      </w:pPr>
    </w:p>
  </w:footnote>
  <w:footnote w:id="24">
    <w:p w14:paraId="021B84A3" w14:textId="77777777" w:rsidR="006B701E" w:rsidRPr="002E4D55" w:rsidRDefault="006B701E" w:rsidP="002E4D55">
      <w:pPr>
        <w:pStyle w:val="Textonotapie"/>
        <w:ind w:firstLine="708"/>
        <w:jc w:val="both"/>
        <w:rPr>
          <w:rFonts w:ascii="Arial" w:hAnsi="Arial" w:cs="Arial"/>
          <w:sz w:val="19"/>
          <w:szCs w:val="19"/>
          <w:lang w:val="es-MX"/>
        </w:rPr>
      </w:pPr>
      <w:r w:rsidRPr="002E4D55">
        <w:rPr>
          <w:rStyle w:val="Refdenotaalpie"/>
          <w:rFonts w:ascii="Arial" w:hAnsi="Arial" w:cs="Arial"/>
          <w:sz w:val="19"/>
          <w:szCs w:val="19"/>
        </w:rPr>
        <w:footnoteRef/>
      </w:r>
      <w:r w:rsidRPr="002E4D55">
        <w:rPr>
          <w:rFonts w:ascii="Arial" w:hAnsi="Arial" w:cs="Arial"/>
          <w:sz w:val="19"/>
          <w:szCs w:val="19"/>
        </w:rPr>
        <w:t xml:space="preserve"> </w:t>
      </w:r>
      <w:r w:rsidRPr="002E4D55">
        <w:rPr>
          <w:rFonts w:ascii="Arial" w:hAnsi="Arial" w:cs="Arial"/>
          <w:sz w:val="19"/>
          <w:szCs w:val="19"/>
          <w:lang w:val="es-MX"/>
        </w:rPr>
        <w:t>Corte Constitucional. Sentencia C-644 de 18 de octubre de 2017. MP: Diana Fajardo Rivera.</w:t>
      </w:r>
    </w:p>
  </w:footnote>
  <w:footnote w:id="25">
    <w:p w14:paraId="155AA250" w14:textId="77777777" w:rsidR="006F0C8F" w:rsidRPr="00431D66" w:rsidRDefault="006F0C8F" w:rsidP="006F0C8F">
      <w:pPr>
        <w:pStyle w:val="Textonotapie"/>
        <w:ind w:firstLine="708"/>
        <w:jc w:val="both"/>
        <w:rPr>
          <w:rFonts w:ascii="Arial" w:hAnsi="Arial" w:cs="Arial"/>
          <w:sz w:val="19"/>
          <w:szCs w:val="19"/>
        </w:rPr>
      </w:pPr>
      <w:r w:rsidRPr="00431D66">
        <w:rPr>
          <w:rStyle w:val="Refdenotaalpie"/>
          <w:rFonts w:ascii="Arial" w:hAnsi="Arial" w:cs="Arial"/>
          <w:sz w:val="19"/>
          <w:szCs w:val="19"/>
        </w:rPr>
        <w:footnoteRef/>
      </w:r>
      <w:r w:rsidRPr="00431D66">
        <w:rPr>
          <w:rFonts w:ascii="Arial" w:hAnsi="Arial" w:cs="Arial"/>
          <w:sz w:val="19"/>
          <w:szCs w:val="19"/>
        </w:rPr>
        <w:t xml:space="preserve"> Consejo de Estado. Sala de Consulta y Servicio Civil. Concepto del 2 de septiembre de 2013. </w:t>
      </w:r>
      <w:proofErr w:type="spellStart"/>
      <w:r w:rsidRPr="00431D66">
        <w:rPr>
          <w:rFonts w:ascii="Arial" w:hAnsi="Arial" w:cs="Arial"/>
          <w:sz w:val="19"/>
          <w:szCs w:val="19"/>
        </w:rPr>
        <w:t>Exp</w:t>
      </w:r>
      <w:proofErr w:type="spellEnd"/>
      <w:r w:rsidRPr="00431D66">
        <w:rPr>
          <w:rFonts w:ascii="Arial" w:hAnsi="Arial" w:cs="Arial"/>
          <w:sz w:val="19"/>
          <w:szCs w:val="19"/>
        </w:rPr>
        <w:t xml:space="preserve">. 2.168. C.P. Álvaro </w:t>
      </w:r>
      <w:proofErr w:type="spellStart"/>
      <w:r w:rsidRPr="00431D66">
        <w:rPr>
          <w:rFonts w:ascii="Arial" w:hAnsi="Arial" w:cs="Arial"/>
          <w:sz w:val="19"/>
          <w:szCs w:val="19"/>
        </w:rPr>
        <w:t>Namén</w:t>
      </w:r>
      <w:proofErr w:type="spellEnd"/>
      <w:r w:rsidRPr="00431D66">
        <w:rPr>
          <w:rFonts w:ascii="Arial" w:hAnsi="Arial" w:cs="Arial"/>
          <w:sz w:val="19"/>
          <w:szCs w:val="19"/>
        </w:rPr>
        <w:t xml:space="preserve">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2BC4" w14:textId="2CCCD38F" w:rsidR="00412132" w:rsidRDefault="00E521C0">
    <w:pPr>
      <w:pStyle w:val="Encabezado"/>
    </w:pPr>
    <w:r>
      <w:rPr>
        <w:noProof/>
        <w:lang w:eastAsia="es-CO"/>
      </w:rPr>
      <w:drawing>
        <wp:anchor distT="0" distB="0" distL="114300" distR="114300" simplePos="0" relativeHeight="251659264" behindDoc="1" locked="0" layoutInCell="1" allowOverlap="1" wp14:anchorId="5869370C" wp14:editId="5771A7A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E2F32A" w14:textId="77777777" w:rsidR="00FE0395" w:rsidRDefault="006121F5" w:rsidP="00FE0395">
    <w:pPr>
      <w:pStyle w:val="Encabezado"/>
    </w:pPr>
  </w:p>
  <w:p w14:paraId="1F9780EE" w14:textId="5A607F7E" w:rsidR="00412132" w:rsidRDefault="006121F5">
    <w:pPr>
      <w:pStyle w:val="Encabezado"/>
    </w:pPr>
  </w:p>
  <w:p w14:paraId="4307DA1E" w14:textId="77777777" w:rsidR="00DE576A" w:rsidRDefault="00DE57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58"/>
    <w:rsid w:val="00015C97"/>
    <w:rsid w:val="00024A8D"/>
    <w:rsid w:val="00050AB6"/>
    <w:rsid w:val="00055261"/>
    <w:rsid w:val="00064B55"/>
    <w:rsid w:val="00065F88"/>
    <w:rsid w:val="00093AB6"/>
    <w:rsid w:val="000D0960"/>
    <w:rsid w:val="000E1E3D"/>
    <w:rsid w:val="00100ECF"/>
    <w:rsid w:val="0011570A"/>
    <w:rsid w:val="0014059A"/>
    <w:rsid w:val="00147A1D"/>
    <w:rsid w:val="001762D1"/>
    <w:rsid w:val="00185FA2"/>
    <w:rsid w:val="001C727E"/>
    <w:rsid w:val="001E2B7C"/>
    <w:rsid w:val="001F013D"/>
    <w:rsid w:val="00215DB2"/>
    <w:rsid w:val="0022256D"/>
    <w:rsid w:val="002716B1"/>
    <w:rsid w:val="002B77DC"/>
    <w:rsid w:val="002E4D55"/>
    <w:rsid w:val="00304B7F"/>
    <w:rsid w:val="00320B16"/>
    <w:rsid w:val="00333AA3"/>
    <w:rsid w:val="003430DC"/>
    <w:rsid w:val="00351C50"/>
    <w:rsid w:val="003663FD"/>
    <w:rsid w:val="003735E0"/>
    <w:rsid w:val="00373CFA"/>
    <w:rsid w:val="003800AC"/>
    <w:rsid w:val="00387F30"/>
    <w:rsid w:val="003A0A35"/>
    <w:rsid w:val="003A6125"/>
    <w:rsid w:val="003B358B"/>
    <w:rsid w:val="003B76F1"/>
    <w:rsid w:val="003D2E3F"/>
    <w:rsid w:val="003E5B44"/>
    <w:rsid w:val="00415CBB"/>
    <w:rsid w:val="00415D72"/>
    <w:rsid w:val="004213B5"/>
    <w:rsid w:val="0042362A"/>
    <w:rsid w:val="00426CB3"/>
    <w:rsid w:val="004415AB"/>
    <w:rsid w:val="004628B9"/>
    <w:rsid w:val="004829AE"/>
    <w:rsid w:val="004878C0"/>
    <w:rsid w:val="00493514"/>
    <w:rsid w:val="004A7681"/>
    <w:rsid w:val="004F1E86"/>
    <w:rsid w:val="004F3901"/>
    <w:rsid w:val="00501F88"/>
    <w:rsid w:val="00505B85"/>
    <w:rsid w:val="00537C63"/>
    <w:rsid w:val="0058192F"/>
    <w:rsid w:val="005A5495"/>
    <w:rsid w:val="005B74B1"/>
    <w:rsid w:val="00600377"/>
    <w:rsid w:val="006021A0"/>
    <w:rsid w:val="006121F5"/>
    <w:rsid w:val="00664ACD"/>
    <w:rsid w:val="006A7CC2"/>
    <w:rsid w:val="006B701E"/>
    <w:rsid w:val="006C029F"/>
    <w:rsid w:val="006C3AC9"/>
    <w:rsid w:val="006F0C8F"/>
    <w:rsid w:val="00700F0E"/>
    <w:rsid w:val="0071303C"/>
    <w:rsid w:val="00723AD7"/>
    <w:rsid w:val="00733C19"/>
    <w:rsid w:val="00734534"/>
    <w:rsid w:val="00783161"/>
    <w:rsid w:val="007843A9"/>
    <w:rsid w:val="007A628F"/>
    <w:rsid w:val="007A7878"/>
    <w:rsid w:val="007D08A5"/>
    <w:rsid w:val="007D5B43"/>
    <w:rsid w:val="007E23D2"/>
    <w:rsid w:val="008104BB"/>
    <w:rsid w:val="008976C4"/>
    <w:rsid w:val="008A5E4F"/>
    <w:rsid w:val="008B4AED"/>
    <w:rsid w:val="009153FD"/>
    <w:rsid w:val="00930485"/>
    <w:rsid w:val="0094120C"/>
    <w:rsid w:val="00957EF9"/>
    <w:rsid w:val="009737EE"/>
    <w:rsid w:val="009829FC"/>
    <w:rsid w:val="009974B8"/>
    <w:rsid w:val="009F67FA"/>
    <w:rsid w:val="00A01FC0"/>
    <w:rsid w:val="00AB5E59"/>
    <w:rsid w:val="00AF206D"/>
    <w:rsid w:val="00B03170"/>
    <w:rsid w:val="00B04908"/>
    <w:rsid w:val="00B5657D"/>
    <w:rsid w:val="00B76481"/>
    <w:rsid w:val="00BD278F"/>
    <w:rsid w:val="00BF2F7B"/>
    <w:rsid w:val="00BF311A"/>
    <w:rsid w:val="00C1289B"/>
    <w:rsid w:val="00C36265"/>
    <w:rsid w:val="00C616DD"/>
    <w:rsid w:val="00C9693D"/>
    <w:rsid w:val="00CA6585"/>
    <w:rsid w:val="00CB0213"/>
    <w:rsid w:val="00CF7702"/>
    <w:rsid w:val="00D021BD"/>
    <w:rsid w:val="00D233E5"/>
    <w:rsid w:val="00D429DC"/>
    <w:rsid w:val="00D44878"/>
    <w:rsid w:val="00D473B6"/>
    <w:rsid w:val="00D479AA"/>
    <w:rsid w:val="00D71D35"/>
    <w:rsid w:val="00D72CC2"/>
    <w:rsid w:val="00D73F19"/>
    <w:rsid w:val="00D76725"/>
    <w:rsid w:val="00D911F4"/>
    <w:rsid w:val="00D93C01"/>
    <w:rsid w:val="00D9559C"/>
    <w:rsid w:val="00DB3C43"/>
    <w:rsid w:val="00DC3185"/>
    <w:rsid w:val="00DD3B72"/>
    <w:rsid w:val="00DD7731"/>
    <w:rsid w:val="00DE576A"/>
    <w:rsid w:val="00E20455"/>
    <w:rsid w:val="00E37FDF"/>
    <w:rsid w:val="00E400C9"/>
    <w:rsid w:val="00E47779"/>
    <w:rsid w:val="00E521C0"/>
    <w:rsid w:val="00E55FE3"/>
    <w:rsid w:val="00E6473F"/>
    <w:rsid w:val="00E7386C"/>
    <w:rsid w:val="00E913A4"/>
    <w:rsid w:val="00E955EC"/>
    <w:rsid w:val="00E9704D"/>
    <w:rsid w:val="00EA5C34"/>
    <w:rsid w:val="00ED1105"/>
    <w:rsid w:val="00F06958"/>
    <w:rsid w:val="00F20D64"/>
    <w:rsid w:val="00F26614"/>
    <w:rsid w:val="00F40937"/>
    <w:rsid w:val="00F4207E"/>
    <w:rsid w:val="00F5407E"/>
    <w:rsid w:val="00F835AF"/>
    <w:rsid w:val="00F86EC6"/>
    <w:rsid w:val="00F93BBE"/>
    <w:rsid w:val="00F960B2"/>
    <w:rsid w:val="00FA0B88"/>
    <w:rsid w:val="00FA6E6F"/>
    <w:rsid w:val="00FC7C05"/>
    <w:rsid w:val="00FD22D1"/>
    <w:rsid w:val="00FE6A38"/>
    <w:rsid w:val="2E24080E"/>
    <w:rsid w:val="6B403B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08D6"/>
  <w15:chartTrackingRefBased/>
  <w15:docId w15:val="{A52C5E27-B049-4350-9B54-5BCBE0D2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69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6958"/>
  </w:style>
  <w:style w:type="paragraph" w:styleId="Encabezado">
    <w:name w:val="header"/>
    <w:basedOn w:val="Normal"/>
    <w:link w:val="EncabezadoCar"/>
    <w:uiPriority w:val="99"/>
    <w:unhideWhenUsed/>
    <w:rsid w:val="00F069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6958"/>
  </w:style>
  <w:style w:type="paragraph" w:styleId="NormalWeb">
    <w:name w:val="Normal (Web)"/>
    <w:basedOn w:val="Normal"/>
    <w:uiPriority w:val="99"/>
    <w:semiHidden/>
    <w:unhideWhenUsed/>
    <w:rsid w:val="00F06958"/>
    <w:rPr>
      <w:rFonts w:ascii="Times New Roman" w:hAnsi="Times New Roman" w:cs="Times New Roman"/>
      <w:sz w:val="24"/>
      <w:szCs w:val="24"/>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F06958"/>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F06958"/>
    <w:rPr>
      <w:sz w:val="20"/>
      <w:szCs w:val="20"/>
    </w:rPr>
  </w:style>
  <w:style w:type="table" w:styleId="Tablaconcuadrcula">
    <w:name w:val="Table Grid"/>
    <w:basedOn w:val="Tablanormal"/>
    <w:uiPriority w:val="39"/>
    <w:rsid w:val="00F0695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06958"/>
    <w:pPr>
      <w:spacing w:after="0" w:line="240" w:lineRule="auto"/>
      <w:jc w:val="both"/>
    </w:pPr>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F06958"/>
    <w:rPr>
      <w:vertAlign w:val="superscript"/>
    </w:rPr>
  </w:style>
  <w:style w:type="paragraph" w:customStyle="1" w:styleId="Appelnotedebasde">
    <w:name w:val="Appel note de bas de..."/>
    <w:basedOn w:val="Normal"/>
    <w:link w:val="Refdenotaalpie"/>
    <w:uiPriority w:val="99"/>
    <w:rsid w:val="00F06958"/>
    <w:pPr>
      <w:spacing w:line="240" w:lineRule="exact"/>
      <w:jc w:val="both"/>
    </w:pPr>
    <w:rPr>
      <w:vertAlign w:val="superscript"/>
    </w:rPr>
  </w:style>
  <w:style w:type="table" w:customStyle="1" w:styleId="Tablaconcuadrcula1">
    <w:name w:val="Tabla con cuadrícula1"/>
    <w:basedOn w:val="Tablanormal"/>
    <w:next w:val="Tablaconcuadrcula"/>
    <w:uiPriority w:val="39"/>
    <w:rsid w:val="00F0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06958"/>
  </w:style>
  <w:style w:type="paragraph" w:styleId="Prrafodelista">
    <w:name w:val="List Paragraph"/>
    <w:basedOn w:val="Normal"/>
    <w:uiPriority w:val="34"/>
    <w:qFormat/>
    <w:rsid w:val="00426CB3"/>
    <w:pPr>
      <w:ind w:left="720"/>
      <w:contextualSpacing/>
    </w:pPr>
  </w:style>
  <w:style w:type="character" w:styleId="Refdecomentario">
    <w:name w:val="annotation reference"/>
    <w:basedOn w:val="Fuentedeprrafopredeter"/>
    <w:uiPriority w:val="99"/>
    <w:semiHidden/>
    <w:unhideWhenUsed/>
    <w:rsid w:val="0014059A"/>
    <w:rPr>
      <w:sz w:val="16"/>
      <w:szCs w:val="16"/>
    </w:rPr>
  </w:style>
  <w:style w:type="paragraph" w:styleId="Textocomentario">
    <w:name w:val="annotation text"/>
    <w:basedOn w:val="Normal"/>
    <w:link w:val="TextocomentarioCar"/>
    <w:uiPriority w:val="99"/>
    <w:unhideWhenUsed/>
    <w:rsid w:val="0014059A"/>
    <w:pPr>
      <w:spacing w:line="240" w:lineRule="auto"/>
    </w:pPr>
    <w:rPr>
      <w:sz w:val="20"/>
      <w:szCs w:val="20"/>
    </w:rPr>
  </w:style>
  <w:style w:type="character" w:customStyle="1" w:styleId="TextocomentarioCar">
    <w:name w:val="Texto comentario Car"/>
    <w:basedOn w:val="Fuentedeprrafopredeter"/>
    <w:link w:val="Textocomentario"/>
    <w:uiPriority w:val="99"/>
    <w:rsid w:val="0014059A"/>
    <w:rPr>
      <w:sz w:val="20"/>
      <w:szCs w:val="20"/>
    </w:rPr>
  </w:style>
  <w:style w:type="paragraph" w:styleId="Asuntodelcomentario">
    <w:name w:val="annotation subject"/>
    <w:basedOn w:val="Textocomentario"/>
    <w:next w:val="Textocomentario"/>
    <w:link w:val="AsuntodelcomentarioCar"/>
    <w:uiPriority w:val="99"/>
    <w:semiHidden/>
    <w:unhideWhenUsed/>
    <w:rsid w:val="0014059A"/>
    <w:rPr>
      <w:b/>
      <w:bCs/>
    </w:rPr>
  </w:style>
  <w:style w:type="character" w:customStyle="1" w:styleId="AsuntodelcomentarioCar">
    <w:name w:val="Asunto del comentario Car"/>
    <w:basedOn w:val="TextocomentarioCar"/>
    <w:link w:val="Asuntodelcomentario"/>
    <w:uiPriority w:val="99"/>
    <w:semiHidden/>
    <w:rsid w:val="0014059A"/>
    <w:rPr>
      <w:b/>
      <w:bCs/>
      <w:sz w:val="20"/>
      <w:szCs w:val="20"/>
    </w:rPr>
  </w:style>
  <w:style w:type="paragraph" w:styleId="Revisin">
    <w:name w:val="Revision"/>
    <w:hidden/>
    <w:uiPriority w:val="99"/>
    <w:semiHidden/>
    <w:rsid w:val="005B74B1"/>
    <w:pPr>
      <w:spacing w:after="0" w:line="240" w:lineRule="auto"/>
    </w:pPr>
  </w:style>
  <w:style w:type="paragraph" w:customStyle="1" w:styleId="Default">
    <w:name w:val="Default"/>
    <w:rsid w:val="001157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55FDF-CC74-4F55-9B6A-232E922E85E2}">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77FFC67F-D28A-4032-A7F2-C9AC790E96B2}">
  <ds:schemaRefs>
    <ds:schemaRef ds:uri="http://schemas.openxmlformats.org/officeDocument/2006/bibliography"/>
  </ds:schemaRefs>
</ds:datastoreItem>
</file>

<file path=customXml/itemProps3.xml><?xml version="1.0" encoding="utf-8"?>
<ds:datastoreItem xmlns:ds="http://schemas.openxmlformats.org/officeDocument/2006/customXml" ds:itemID="{CD5AE70D-DCB1-4DEB-8C4B-2B346F18E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1C5C7-6CC0-4E41-B2CF-E9F7E3BA0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6566</Words>
  <Characters>36118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Edwin Johan Chocontá Quintero</cp:lastModifiedBy>
  <cp:revision>2</cp:revision>
  <dcterms:created xsi:type="dcterms:W3CDTF">2022-08-17T19:31:00Z</dcterms:created>
  <dcterms:modified xsi:type="dcterms:W3CDTF">2022-08-17T19:31:00Z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