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AB628F" w:rsidRDefault="002A3452" w:rsidP="00B32DB2">
      <w:pPr>
        <w:spacing w:before="240" w:line="276" w:lineRule="auto"/>
        <w:jc w:val="right"/>
        <w:rPr>
          <w:rFonts w:ascii="Arial" w:eastAsia="Calibri" w:hAnsi="Arial" w:cs="Arial"/>
          <w:b/>
          <w:bCs/>
          <w:sz w:val="22"/>
        </w:rPr>
      </w:pPr>
      <w:bookmarkStart w:id="0" w:name="_Hlk47949675"/>
      <w:r w:rsidRPr="009A758C">
        <w:rPr>
          <w:rFonts w:ascii="Arial" w:hAnsi="Arial" w:cs="Arial"/>
          <w:b/>
          <w:bCs/>
          <w:sz w:val="16"/>
          <w:szCs w:val="16"/>
          <w:lang w:eastAsia="es-ES"/>
        </w:rPr>
        <w:t>CCE-DES-FM-17</w:t>
      </w:r>
    </w:p>
    <w:bookmarkEnd w:id="0"/>
    <w:p w14:paraId="22BA5C5A" w14:textId="77777777" w:rsidR="002A460E" w:rsidRPr="00AD0DFE" w:rsidRDefault="002A460E" w:rsidP="003A2797">
      <w:pPr>
        <w:widowControl w:val="0"/>
        <w:autoSpaceDE w:val="0"/>
        <w:autoSpaceDN w:val="0"/>
        <w:jc w:val="both"/>
        <w:rPr>
          <w:rFonts w:ascii="Arial" w:eastAsia="Calibri" w:hAnsi="Arial" w:cs="Arial"/>
          <w:b/>
          <w:bCs/>
          <w:sz w:val="22"/>
          <w:szCs w:val="22"/>
        </w:rPr>
      </w:pPr>
      <w:r w:rsidRPr="00AD0DFE">
        <w:rPr>
          <w:rFonts w:ascii="Arial" w:eastAsia="Calibri" w:hAnsi="Arial" w:cs="Arial"/>
          <w:b/>
          <w:bCs/>
          <w:sz w:val="22"/>
          <w:szCs w:val="22"/>
        </w:rPr>
        <w:t>COMPETENCIA CONSULTIVA – Colombia Compra Eficiente – Alcance – Obligatoriedad</w:t>
      </w:r>
    </w:p>
    <w:p w14:paraId="6275B45F" w14:textId="77777777" w:rsidR="002A460E" w:rsidRPr="00EA10A1" w:rsidRDefault="002A460E" w:rsidP="003A2797">
      <w:pPr>
        <w:jc w:val="both"/>
        <w:rPr>
          <w:rFonts w:ascii="Arial" w:hAnsi="Arial" w:cs="Arial"/>
          <w:color w:val="000000"/>
          <w:sz w:val="20"/>
          <w:szCs w:val="20"/>
          <w:lang w:eastAsia="es-MX"/>
        </w:rPr>
      </w:pPr>
    </w:p>
    <w:p w14:paraId="58958BE2" w14:textId="67F86201" w:rsidR="002A460E" w:rsidRPr="00EA10A1" w:rsidRDefault="002A460E" w:rsidP="003A2797">
      <w:pPr>
        <w:spacing w:after="120"/>
        <w:jc w:val="both"/>
        <w:rPr>
          <w:rFonts w:ascii="Arial" w:hAnsi="Arial" w:cs="Arial"/>
          <w:color w:val="000000"/>
          <w:sz w:val="20"/>
          <w:szCs w:val="20"/>
          <w:lang w:eastAsia="es-MX"/>
        </w:rPr>
      </w:pPr>
      <w:r w:rsidRPr="00EA10A1">
        <w:rPr>
          <w:rFonts w:ascii="Arial" w:hAnsi="Arial" w:cs="Arial"/>
          <w:color w:val="000000"/>
          <w:sz w:val="20"/>
          <w:szCs w:val="20"/>
          <w:lang w:eastAsia="es-MX"/>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w:t>
      </w:r>
    </w:p>
    <w:p w14:paraId="7C24421A" w14:textId="77777777" w:rsidR="002A460E" w:rsidRPr="00EA10A1" w:rsidRDefault="002A460E" w:rsidP="003A2797">
      <w:pPr>
        <w:spacing w:after="120"/>
        <w:jc w:val="both"/>
        <w:rPr>
          <w:rFonts w:ascii="Arial" w:hAnsi="Arial" w:cs="Arial"/>
          <w:color w:val="000000"/>
          <w:sz w:val="20"/>
          <w:szCs w:val="20"/>
          <w:lang w:eastAsia="es-MX"/>
        </w:rPr>
      </w:pPr>
      <w:r w:rsidRPr="00EA10A1">
        <w:rPr>
          <w:rFonts w:ascii="Arial" w:hAnsi="Arial" w:cs="Arial"/>
          <w:color w:val="000000"/>
          <w:sz w:val="20"/>
          <w:szCs w:val="20"/>
          <w:lang w:eastAsia="es-MX"/>
        </w:rPr>
        <w:t>[…]</w:t>
      </w:r>
    </w:p>
    <w:p w14:paraId="1608D9F5" w14:textId="77777777" w:rsidR="002A460E" w:rsidRPr="00EA10A1" w:rsidRDefault="002A460E" w:rsidP="003A2797">
      <w:pPr>
        <w:tabs>
          <w:tab w:val="left" w:pos="426"/>
        </w:tabs>
        <w:spacing w:after="120"/>
        <w:jc w:val="both"/>
        <w:rPr>
          <w:rFonts w:ascii="Arial" w:hAnsi="Arial" w:cs="Arial"/>
          <w:color w:val="000000"/>
          <w:sz w:val="20"/>
          <w:szCs w:val="20"/>
          <w:lang w:eastAsia="es-MX"/>
        </w:rPr>
      </w:pPr>
      <w:r w:rsidRPr="00EA10A1">
        <w:rPr>
          <w:rFonts w:ascii="Arial" w:hAnsi="Arial" w:cs="Arial"/>
          <w:color w:val="000000"/>
          <w:sz w:val="20"/>
          <w:szCs w:val="2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EA10A1">
        <w:rPr>
          <w:rFonts w:ascii="Arial" w:eastAsia="Calibri" w:hAnsi="Arial" w:cs="Arial"/>
          <w:bCs/>
          <w:color w:val="000000"/>
          <w:sz w:val="20"/>
          <w:szCs w:val="20"/>
          <w:lang w:eastAsia="es-MX"/>
        </w:rPr>
        <w:t> </w:t>
      </w:r>
    </w:p>
    <w:p w14:paraId="6C9E3EE1" w14:textId="77777777" w:rsidR="002A460E" w:rsidRPr="00EA10A1" w:rsidRDefault="002A460E" w:rsidP="003A2797">
      <w:pPr>
        <w:spacing w:before="120"/>
        <w:jc w:val="both"/>
        <w:rPr>
          <w:rFonts w:ascii="Arial" w:hAnsi="Arial" w:cs="Arial"/>
          <w:color w:val="000000"/>
          <w:sz w:val="20"/>
          <w:szCs w:val="20"/>
          <w:lang w:eastAsia="es-MX"/>
        </w:rPr>
      </w:pPr>
      <w:r w:rsidRPr="00EA10A1">
        <w:rPr>
          <w:rFonts w:ascii="Arial" w:hAnsi="Arial" w:cs="Arial"/>
          <w:color w:val="000000"/>
          <w:sz w:val="20"/>
          <w:szCs w:val="2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EA10A1">
        <w:rPr>
          <w:rFonts w:ascii="Arial" w:eastAsia="Calibri" w:hAnsi="Arial" w:cs="Arial"/>
          <w:bCs/>
          <w:color w:val="000000"/>
          <w:sz w:val="20"/>
          <w:szCs w:val="20"/>
          <w:lang w:eastAsia="es-MX"/>
        </w:rPr>
        <w:t> </w:t>
      </w:r>
    </w:p>
    <w:p w14:paraId="0DDF2465" w14:textId="77777777" w:rsidR="002A460E" w:rsidRDefault="002A460E" w:rsidP="003A2797">
      <w:pPr>
        <w:tabs>
          <w:tab w:val="left" w:pos="709"/>
        </w:tabs>
        <w:jc w:val="both"/>
        <w:rPr>
          <w:rFonts w:ascii="Arial" w:eastAsia="Calibri" w:hAnsi="Arial" w:cs="Arial"/>
          <w:bCs/>
          <w:color w:val="000000"/>
          <w:sz w:val="20"/>
          <w:szCs w:val="20"/>
          <w:lang w:eastAsia="es-MX"/>
        </w:rPr>
      </w:pPr>
      <w:r w:rsidRPr="00EA10A1">
        <w:rPr>
          <w:rFonts w:ascii="Arial" w:hAnsi="Arial" w:cs="Arial"/>
          <w:color w:val="000000"/>
          <w:sz w:val="20"/>
          <w:szCs w:val="20"/>
          <w:shd w:val="clear" w:color="auto" w:fill="FFFFFF"/>
          <w:lang w:eastAsia="es-MX"/>
        </w:rPr>
        <w:t>En concordancia con ello, es importante resaltar que e</w:t>
      </w:r>
      <w:r w:rsidRPr="00EA10A1">
        <w:rPr>
          <w:rFonts w:ascii="Arial" w:hAnsi="Arial" w:cs="Arial"/>
          <w:color w:val="000000"/>
          <w:sz w:val="20"/>
          <w:szCs w:val="20"/>
          <w:lang w:eastAsia="es-MX"/>
        </w:rPr>
        <w:t>sta posición es compartida por varias entidades públicas que ejercen similar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EA10A1">
        <w:rPr>
          <w:rFonts w:ascii="Arial" w:eastAsia="Calibri" w:hAnsi="Arial" w:cs="Arial"/>
          <w:bCs/>
          <w:color w:val="000000"/>
          <w:sz w:val="20"/>
          <w:szCs w:val="20"/>
          <w:lang w:eastAsia="es-MX"/>
        </w:rPr>
        <w:t> </w:t>
      </w:r>
    </w:p>
    <w:p w14:paraId="6E32C85B" w14:textId="77777777" w:rsidR="005526A0" w:rsidRDefault="005526A0" w:rsidP="003A2797">
      <w:pPr>
        <w:tabs>
          <w:tab w:val="left" w:pos="0"/>
        </w:tabs>
        <w:jc w:val="both"/>
        <w:rPr>
          <w:rFonts w:ascii="Arial" w:eastAsia="Calibri" w:hAnsi="Arial" w:cs="Arial"/>
          <w:b/>
          <w:sz w:val="22"/>
          <w:szCs w:val="22"/>
        </w:rPr>
      </w:pPr>
    </w:p>
    <w:p w14:paraId="6EE1FAB5" w14:textId="77777777" w:rsidR="003A2797" w:rsidRPr="003A2797" w:rsidRDefault="003A2797" w:rsidP="003A2797">
      <w:pPr>
        <w:autoSpaceDE w:val="0"/>
        <w:autoSpaceDN w:val="0"/>
        <w:adjustRightInd w:val="0"/>
        <w:jc w:val="both"/>
        <w:rPr>
          <w:rFonts w:ascii="Arial" w:eastAsia="Calibri" w:hAnsi="Arial" w:cs="Arial"/>
          <w:b/>
          <w:sz w:val="22"/>
          <w:szCs w:val="22"/>
        </w:rPr>
      </w:pPr>
      <w:r w:rsidRPr="003A2797">
        <w:rPr>
          <w:rFonts w:ascii="Arial" w:eastAsia="Calibri" w:hAnsi="Arial" w:cs="Arial"/>
          <w:b/>
          <w:bCs/>
          <w:sz w:val="22"/>
          <w:szCs w:val="22"/>
        </w:rPr>
        <w:t xml:space="preserve">CAPACIDAD RESIDUAL – Saldos de Contratos en Ejecución </w:t>
      </w:r>
      <w:r w:rsidRPr="003A2797">
        <w:rPr>
          <w:rFonts w:ascii="Arial" w:eastAsia="Calibri" w:hAnsi="Arial" w:cs="Arial"/>
          <w:b/>
          <w:color w:val="000000" w:themeColor="text1"/>
          <w:sz w:val="22"/>
          <w:szCs w:val="22"/>
        </w:rPr>
        <w:t xml:space="preserve">«SCE» </w:t>
      </w:r>
      <w:r w:rsidRPr="003A2797">
        <w:rPr>
          <w:rFonts w:ascii="Arial" w:eastAsia="Calibri" w:hAnsi="Arial" w:cs="Arial"/>
          <w:b/>
          <w:bCs/>
          <w:sz w:val="22"/>
          <w:szCs w:val="22"/>
        </w:rPr>
        <w:t xml:space="preserve">– Contratos de obra – Contratos suspendidos – Saldos pendientes por ejecutar </w:t>
      </w:r>
    </w:p>
    <w:p w14:paraId="7D06E568" w14:textId="77777777" w:rsidR="003A2797" w:rsidRDefault="003A2797" w:rsidP="003A2797">
      <w:pPr>
        <w:ind w:right="49"/>
        <w:jc w:val="both"/>
        <w:rPr>
          <w:rFonts w:ascii="Arial" w:eastAsia="Calibri" w:hAnsi="Arial" w:cs="Arial"/>
          <w:bCs/>
          <w:color w:val="000000" w:themeColor="text1"/>
          <w:sz w:val="20"/>
          <w:szCs w:val="20"/>
        </w:rPr>
      </w:pPr>
    </w:p>
    <w:p w14:paraId="6E5BE9C9" w14:textId="24DE3E40" w:rsidR="003A2797" w:rsidRDefault="003A2797" w:rsidP="003A2797">
      <w:pPr>
        <w:ind w:right="49"/>
        <w:jc w:val="both"/>
        <w:rPr>
          <w:rFonts w:ascii="Arial" w:eastAsia="Calibri" w:hAnsi="Arial" w:cs="Arial"/>
          <w:bCs/>
          <w:color w:val="000000" w:themeColor="text1"/>
          <w:sz w:val="20"/>
          <w:szCs w:val="20"/>
        </w:rPr>
      </w:pPr>
      <w:r w:rsidRPr="00DB6D76">
        <w:rPr>
          <w:rFonts w:ascii="Arial" w:eastAsia="Calibri" w:hAnsi="Arial" w:cs="Arial"/>
          <w:bCs/>
          <w:color w:val="000000" w:themeColor="text1"/>
          <w:sz w:val="20"/>
          <w:szCs w:val="20"/>
        </w:rPr>
        <w:t xml:space="preserve">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«CRP». Lo anterior, en la medida en que la ejecución de los contratos en principio suspendidos puede, eventualmente, afectar la aptitud del oferente para cumplir con el contrato ofertado, razón por la que, ante la posibilidad de que tales contratos se reanuden, la Guía estimó </w:t>
      </w:r>
      <w:r w:rsidRPr="00DB6D76">
        <w:rPr>
          <w:rFonts w:ascii="Arial" w:eastAsia="Calibri" w:hAnsi="Arial" w:cs="Arial"/>
          <w:bCs/>
          <w:color w:val="000000" w:themeColor="text1"/>
          <w:sz w:val="20"/>
          <w:szCs w:val="20"/>
        </w:rPr>
        <w:lastRenderedPageBreak/>
        <w:t>necesario evaluar los saldos pendientes por ejecutar de tales contratos para determinar si el proponente cumple con la capacidad residual requerida</w:t>
      </w:r>
      <w:r>
        <w:rPr>
          <w:rFonts w:ascii="Arial" w:eastAsia="Calibri" w:hAnsi="Arial" w:cs="Arial"/>
          <w:bCs/>
          <w:color w:val="000000" w:themeColor="text1"/>
          <w:sz w:val="20"/>
          <w:szCs w:val="20"/>
        </w:rPr>
        <w:t xml:space="preserve">. </w:t>
      </w:r>
    </w:p>
    <w:p w14:paraId="74EED73F" w14:textId="09C4947C" w:rsidR="003A2797" w:rsidRDefault="003A2797" w:rsidP="003A2797">
      <w:pPr>
        <w:ind w:right="49"/>
        <w:jc w:val="both"/>
        <w:rPr>
          <w:rFonts w:ascii="Arial" w:eastAsia="Calibri" w:hAnsi="Arial" w:cs="Arial"/>
          <w:bCs/>
          <w:color w:val="000000" w:themeColor="text1"/>
          <w:sz w:val="20"/>
          <w:szCs w:val="20"/>
        </w:rPr>
      </w:pPr>
    </w:p>
    <w:p w14:paraId="538DB98E" w14:textId="77777777" w:rsidR="003A2797" w:rsidRPr="003A2797" w:rsidRDefault="003A2797" w:rsidP="003A2797">
      <w:pPr>
        <w:jc w:val="both"/>
        <w:rPr>
          <w:rFonts w:ascii="Arial" w:eastAsia="Calibri" w:hAnsi="Arial" w:cs="Arial"/>
          <w:b/>
          <w:sz w:val="22"/>
          <w:szCs w:val="22"/>
          <w:lang w:val="es-MX"/>
        </w:rPr>
      </w:pPr>
      <w:bookmarkStart w:id="1" w:name="_Hlk65849162"/>
      <w:r w:rsidRPr="003A2797">
        <w:rPr>
          <w:rFonts w:ascii="Arial" w:eastAsia="Calibri" w:hAnsi="Arial" w:cs="Arial"/>
          <w:b/>
          <w:sz w:val="22"/>
          <w:szCs w:val="22"/>
          <w:lang w:val="es-MX"/>
        </w:rPr>
        <w:t>DOCUMENTOS TIPO – Versión 3 – Licitación Pública - Capacidad residual – Rechazo de la oferta – Causales</w:t>
      </w:r>
    </w:p>
    <w:p w14:paraId="7F1470A5" w14:textId="77777777" w:rsidR="003A2797" w:rsidRPr="003A2797" w:rsidRDefault="003A2797" w:rsidP="003A2797">
      <w:pPr>
        <w:jc w:val="both"/>
        <w:rPr>
          <w:rFonts w:ascii="Arial" w:eastAsia="Calibri" w:hAnsi="Arial" w:cs="Arial"/>
          <w:sz w:val="22"/>
          <w:szCs w:val="22"/>
          <w:lang w:val="es-MX"/>
        </w:rPr>
      </w:pPr>
    </w:p>
    <w:bookmarkEnd w:id="1"/>
    <w:p w14:paraId="4E327801" w14:textId="77777777" w:rsidR="003A2797" w:rsidRDefault="003A2797" w:rsidP="003A2797">
      <w:pPr>
        <w:spacing w:before="120" w:after="120"/>
        <w:jc w:val="both"/>
        <w:rPr>
          <w:rFonts w:ascii="Arial" w:hAnsi="Arial" w:cs="Arial"/>
          <w:sz w:val="20"/>
          <w:szCs w:val="20"/>
          <w:lang w:val="es-MX"/>
        </w:rPr>
      </w:pPr>
      <w:r w:rsidRPr="00F31C2D">
        <w:rPr>
          <w:rFonts w:ascii="Arial" w:hAnsi="Arial" w:cs="Arial"/>
          <w:sz w:val="20"/>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0132A731" w14:textId="77777777" w:rsidR="003A2797" w:rsidRPr="00F31C2D" w:rsidRDefault="003A2797" w:rsidP="003A2797">
      <w:pPr>
        <w:jc w:val="both"/>
        <w:rPr>
          <w:rFonts w:ascii="Arial" w:hAnsi="Arial" w:cs="Arial"/>
          <w:sz w:val="20"/>
          <w:szCs w:val="18"/>
          <w:lang w:val="es-MX"/>
        </w:rPr>
      </w:pPr>
      <w:r w:rsidRPr="00F31C2D">
        <w:rPr>
          <w:rFonts w:ascii="Arial" w:hAnsi="Arial" w:cs="Arial"/>
          <w:sz w:val="20"/>
          <w:szCs w:val="18"/>
          <w:lang w:val="es-MX"/>
        </w:rPr>
        <w:t xml:space="preserve">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p>
    <w:p w14:paraId="0F44BAB3" w14:textId="77777777" w:rsidR="003A2797" w:rsidRPr="00F31C2D" w:rsidRDefault="003A2797" w:rsidP="003A2797">
      <w:pPr>
        <w:jc w:val="both"/>
        <w:rPr>
          <w:rFonts w:ascii="Arial" w:hAnsi="Arial" w:cs="Arial"/>
          <w:sz w:val="20"/>
          <w:szCs w:val="18"/>
          <w:lang w:val="es-MX"/>
        </w:rPr>
      </w:pPr>
      <w:r>
        <w:rPr>
          <w:rFonts w:ascii="Arial" w:hAnsi="Arial" w:cs="Arial"/>
          <w:sz w:val="20"/>
          <w:szCs w:val="18"/>
          <w:lang w:val="es-MX"/>
        </w:rPr>
        <w:t>i</w:t>
      </w:r>
      <w:r w:rsidRPr="00F31C2D">
        <w:rPr>
          <w:rFonts w:ascii="Arial" w:hAnsi="Arial" w:cs="Arial"/>
          <w:sz w:val="20"/>
          <w:szCs w:val="18"/>
          <w:lang w:val="es-MX"/>
        </w:rPr>
        <w:t xml:space="preserve">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5ABB2BD6" w14:textId="33C622D3" w:rsidR="003A2797" w:rsidRDefault="003A2797" w:rsidP="003A2797">
      <w:pPr>
        <w:jc w:val="both"/>
        <w:rPr>
          <w:rFonts w:ascii="Arial" w:hAnsi="Arial" w:cs="Arial"/>
          <w:sz w:val="20"/>
          <w:szCs w:val="18"/>
          <w:lang w:val="es-MX"/>
        </w:rPr>
      </w:pPr>
      <w:r w:rsidRPr="00F31C2D">
        <w:rPr>
          <w:rFonts w:ascii="Arial" w:hAnsi="Arial" w:cs="Arial"/>
          <w:sz w:val="20"/>
          <w:szCs w:val="18"/>
          <w:lang w:val="es-MX"/>
        </w:rPr>
        <w:t>iii) Lo dicho en los numerales precedentes tampoco descarta la posibilidad de que la entidad rechace la oferta si encuentra configurada la causal establecida en el literal H del numeral 1.15, que aplica cuando el proponente aporta información inexacta</w:t>
      </w:r>
    </w:p>
    <w:p w14:paraId="5332D2B7" w14:textId="5FCA9D0E" w:rsidR="008A5929" w:rsidRDefault="008A5929" w:rsidP="003A2797">
      <w:pPr>
        <w:jc w:val="both"/>
        <w:rPr>
          <w:rFonts w:ascii="Arial" w:hAnsi="Arial" w:cs="Arial"/>
          <w:sz w:val="20"/>
          <w:szCs w:val="18"/>
          <w:lang w:val="es-MX"/>
        </w:rPr>
      </w:pPr>
    </w:p>
    <w:p w14:paraId="4509B46D" w14:textId="77777777" w:rsidR="008A5929" w:rsidRPr="00752D23" w:rsidRDefault="008A5929" w:rsidP="008A5929">
      <w:pPr>
        <w:jc w:val="both"/>
        <w:rPr>
          <w:rFonts w:ascii="Arial" w:eastAsia="Calibri" w:hAnsi="Arial" w:cs="Arial"/>
          <w:b/>
          <w:sz w:val="22"/>
          <w:szCs w:val="22"/>
          <w:lang w:val="es-ES_tradnl" w:eastAsia="en-US"/>
        </w:rPr>
      </w:pPr>
      <w:r w:rsidRPr="00752D23">
        <w:rPr>
          <w:rFonts w:ascii="Arial" w:eastAsia="Calibri" w:hAnsi="Arial" w:cs="Arial"/>
          <w:b/>
          <w:sz w:val="22"/>
          <w:szCs w:val="22"/>
          <w:lang w:val="es-ES_tradnl" w:eastAsia="en-US"/>
        </w:rPr>
        <w:t xml:space="preserve">PRECIO ARTIFICIALMENTE BAJO </w:t>
      </w:r>
      <w:r w:rsidRPr="00752D23">
        <w:rPr>
          <w:rFonts w:ascii="Arial" w:eastAsia="Calibri" w:hAnsi="Arial" w:cs="Arial"/>
          <w:b/>
          <w:color w:val="000000"/>
          <w:sz w:val="22"/>
          <w:szCs w:val="22"/>
          <w:lang w:val="es-ES_tradnl" w:eastAsia="en-US"/>
        </w:rPr>
        <w:t>–</w:t>
      </w:r>
      <w:r w:rsidRPr="00752D23">
        <w:rPr>
          <w:rFonts w:ascii="Arial" w:eastAsia="Calibri" w:hAnsi="Arial" w:cs="Arial"/>
          <w:b/>
          <w:sz w:val="22"/>
          <w:szCs w:val="22"/>
          <w:lang w:val="es-ES_tradnl" w:eastAsia="en-US"/>
        </w:rPr>
        <w:t xml:space="preserve"> Concepto </w:t>
      </w:r>
    </w:p>
    <w:p w14:paraId="205BA040" w14:textId="77777777" w:rsidR="008A5929" w:rsidRPr="00752D23" w:rsidRDefault="008A5929" w:rsidP="008A5929">
      <w:pPr>
        <w:jc w:val="both"/>
        <w:rPr>
          <w:rFonts w:ascii="Arial" w:eastAsia="Calibri" w:hAnsi="Arial" w:cs="Arial"/>
          <w:sz w:val="20"/>
          <w:szCs w:val="20"/>
          <w:lang w:val="es-ES_tradnl" w:eastAsia="en-US"/>
        </w:rPr>
      </w:pPr>
    </w:p>
    <w:p w14:paraId="332DBB1E" w14:textId="6A0C4B64" w:rsidR="008A5929" w:rsidRDefault="00542065" w:rsidP="008A5929">
      <w:pPr>
        <w:jc w:val="both"/>
        <w:rPr>
          <w:rFonts w:ascii="Arial" w:eastAsia="Calibri" w:hAnsi="Arial" w:cs="Arial"/>
          <w:sz w:val="20"/>
          <w:szCs w:val="20"/>
          <w:lang w:val="es-ES_tradnl" w:eastAsia="en-US"/>
        </w:rPr>
      </w:pPr>
      <w:r w:rsidRPr="00542065">
        <w:rPr>
          <w:rFonts w:ascii="Arial" w:eastAsia="Calibri" w:hAnsi="Arial" w:cs="Arial"/>
          <w:sz w:val="20"/>
          <w:szCs w:val="20"/>
          <w:lang w:val="es-ES_tradnl" w:eastAsia="en-US"/>
        </w:rPr>
        <w:t xml:space="preserve">Por su parte,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resto de </w:t>
      </w:r>
      <w:proofErr w:type="gramStart"/>
      <w:r w:rsidRPr="00542065">
        <w:rPr>
          <w:rFonts w:ascii="Arial" w:eastAsia="Calibri" w:hAnsi="Arial" w:cs="Arial"/>
          <w:sz w:val="20"/>
          <w:szCs w:val="20"/>
          <w:lang w:val="es-ES_tradnl" w:eastAsia="en-US"/>
        </w:rPr>
        <w:t>proveedores</w:t>
      </w:r>
      <w:proofErr w:type="gramEnd"/>
      <w:r w:rsidRPr="00542065">
        <w:rPr>
          <w:rFonts w:ascii="Arial" w:eastAsia="Calibri" w:hAnsi="Arial" w:cs="Arial"/>
          <w:sz w:val="20"/>
          <w:szCs w:val="20"/>
          <w:lang w:val="es-ES_tradnl" w:eastAsia="en-US"/>
        </w:rPr>
        <w:t xml:space="preserve"> en el mercado», según lo establece la guía antes mencionada.</w:t>
      </w:r>
    </w:p>
    <w:p w14:paraId="74B534DC" w14:textId="77777777" w:rsidR="00542065" w:rsidRPr="00752D23" w:rsidRDefault="00542065" w:rsidP="008A5929">
      <w:pPr>
        <w:jc w:val="both"/>
        <w:rPr>
          <w:rFonts w:ascii="Arial" w:eastAsia="Calibri" w:hAnsi="Arial" w:cs="Arial"/>
          <w:sz w:val="20"/>
          <w:szCs w:val="20"/>
          <w:lang w:val="es-ES_tradnl" w:eastAsia="en-US"/>
        </w:rPr>
      </w:pPr>
    </w:p>
    <w:p w14:paraId="7C702F75" w14:textId="77777777" w:rsidR="008A5929" w:rsidRPr="00752D23" w:rsidRDefault="008A5929" w:rsidP="008A5929">
      <w:pPr>
        <w:jc w:val="both"/>
        <w:rPr>
          <w:rFonts w:ascii="Arial" w:eastAsia="Calibri" w:hAnsi="Arial" w:cs="Arial"/>
          <w:b/>
          <w:color w:val="000000"/>
          <w:sz w:val="22"/>
          <w:szCs w:val="22"/>
          <w:lang w:val="es-ES_tradnl" w:eastAsia="en-US"/>
        </w:rPr>
      </w:pPr>
      <w:r w:rsidRPr="00752D23">
        <w:rPr>
          <w:rFonts w:ascii="Arial" w:eastAsia="Calibri" w:hAnsi="Arial" w:cs="Arial"/>
          <w:b/>
          <w:color w:val="000000"/>
          <w:sz w:val="22"/>
          <w:szCs w:val="22"/>
          <w:lang w:val="es-ES_tradnl" w:eastAsia="en-US"/>
        </w:rPr>
        <w:t>OFERTA CON VALOR ARTIFICALMENTE BAJO</w:t>
      </w:r>
      <w:r>
        <w:rPr>
          <w:rFonts w:ascii="Arial" w:eastAsia="Calibri" w:hAnsi="Arial" w:cs="Arial"/>
          <w:b/>
          <w:color w:val="000000"/>
          <w:sz w:val="22"/>
          <w:szCs w:val="22"/>
          <w:lang w:val="es-ES_tradnl" w:eastAsia="en-US"/>
        </w:rPr>
        <w:t xml:space="preserve"> </w:t>
      </w:r>
      <w:r w:rsidRPr="00752D23">
        <w:rPr>
          <w:rFonts w:ascii="Arial" w:eastAsia="Calibri" w:hAnsi="Arial" w:cs="Arial"/>
          <w:b/>
          <w:color w:val="000000"/>
          <w:sz w:val="22"/>
          <w:szCs w:val="22"/>
          <w:lang w:val="es-ES_tradnl" w:eastAsia="en-US"/>
        </w:rPr>
        <w:t xml:space="preserve">– Decreto 1082 de 2015 </w:t>
      </w:r>
    </w:p>
    <w:p w14:paraId="76D9993B" w14:textId="77777777" w:rsidR="008A5929" w:rsidRPr="00752D23" w:rsidRDefault="008A5929" w:rsidP="008A5929">
      <w:pPr>
        <w:jc w:val="both"/>
        <w:rPr>
          <w:rFonts w:ascii="Arial" w:eastAsia="Calibri" w:hAnsi="Arial" w:cs="Arial"/>
          <w:b/>
          <w:bCs/>
          <w:color w:val="000000"/>
          <w:sz w:val="22"/>
          <w:szCs w:val="22"/>
          <w:lang w:val="es-MX" w:eastAsia="en-US"/>
        </w:rPr>
      </w:pPr>
    </w:p>
    <w:p w14:paraId="766C785B" w14:textId="243EDA87" w:rsidR="003D6C03" w:rsidRDefault="00542065" w:rsidP="008A5929">
      <w:pPr>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A</w:t>
      </w:r>
      <w:r w:rsidRPr="00542065">
        <w:rPr>
          <w:rFonts w:ascii="Arial" w:eastAsia="Calibri" w:hAnsi="Arial" w:cs="Arial"/>
          <w:sz w:val="20"/>
          <w:szCs w:val="20"/>
          <w:lang w:val="es-ES_tradnl" w:eastAsia="en-US"/>
        </w:rPr>
        <w:t xml:space="preserve">nte una propuesta artificialmente baja, la entidad estatal está obligada a: i) requerir al oferente para que explique las razones que sustentan el valor ofrecido; </w:t>
      </w:r>
      <w:proofErr w:type="spellStart"/>
      <w:r w:rsidRPr="00542065">
        <w:rPr>
          <w:rFonts w:ascii="Arial" w:eastAsia="Calibri" w:hAnsi="Arial" w:cs="Arial"/>
          <w:sz w:val="20"/>
          <w:szCs w:val="20"/>
          <w:lang w:val="es-ES_tradnl" w:eastAsia="en-US"/>
        </w:rPr>
        <w:t>ii</w:t>
      </w:r>
      <w:proofErr w:type="spellEnd"/>
      <w:r w:rsidRPr="00542065">
        <w:rPr>
          <w:rFonts w:ascii="Arial" w:eastAsia="Calibri" w:hAnsi="Arial" w:cs="Arial"/>
          <w:sz w:val="20"/>
          <w:szCs w:val="20"/>
          <w:lang w:val="es-ES_tradnl" w:eastAsia="en-US"/>
        </w:rPr>
        <w:t xml:space="preserve">) analizar las explicaciones; y </w:t>
      </w:r>
      <w:proofErr w:type="spellStart"/>
      <w:r w:rsidRPr="00542065">
        <w:rPr>
          <w:rFonts w:ascii="Arial" w:eastAsia="Calibri" w:hAnsi="Arial" w:cs="Arial"/>
          <w:sz w:val="20"/>
          <w:szCs w:val="20"/>
          <w:lang w:val="es-ES_tradnl" w:eastAsia="en-US"/>
        </w:rPr>
        <w:t>iii</w:t>
      </w:r>
      <w:proofErr w:type="spellEnd"/>
      <w:r w:rsidRPr="00542065">
        <w:rPr>
          <w:rFonts w:ascii="Arial" w:eastAsia="Calibri" w:hAnsi="Arial" w:cs="Arial"/>
          <w:sz w:val="20"/>
          <w:szCs w:val="20"/>
          <w:lang w:val="es-ES_tradnl" w:eastAsia="en-US"/>
        </w:rPr>
        <w:t xml:space="preserve">) con base en lo anterior, rechazar la oferta o continuar con su análisis en la fase de evaluación. Así, la entidad deberá, inicialmente, determinar si la propuesta es considerada artificialmente baja, de </w:t>
      </w:r>
      <w:r w:rsidRPr="00542065">
        <w:rPr>
          <w:rFonts w:ascii="Arial" w:eastAsia="Calibri" w:hAnsi="Arial" w:cs="Arial"/>
          <w:sz w:val="20"/>
          <w:szCs w:val="20"/>
          <w:lang w:val="es-ES_tradnl" w:eastAsia="en-US"/>
        </w:rPr>
        <w:lastRenderedPageBreak/>
        <w:t>acuerdo con la información del análisis del sector y, posteriormente, agotar el procedimiento indicado.</w:t>
      </w:r>
    </w:p>
    <w:p w14:paraId="28C06FFB" w14:textId="77777777" w:rsidR="003D6C03" w:rsidRPr="005B2BB7" w:rsidRDefault="003D6C03" w:rsidP="003D6C03">
      <w:pPr>
        <w:jc w:val="both"/>
        <w:rPr>
          <w:rFonts w:ascii="Arial" w:eastAsia="Calibri" w:hAnsi="Arial" w:cs="Arial"/>
          <w:b/>
          <w:sz w:val="22"/>
          <w:lang w:val="es-ES_tradnl"/>
        </w:rPr>
      </w:pPr>
      <w:r w:rsidRPr="005B2BB7">
        <w:rPr>
          <w:rFonts w:ascii="Arial" w:eastAsia="Calibri" w:hAnsi="Arial" w:cs="Arial"/>
          <w:b/>
          <w:sz w:val="22"/>
          <w:lang w:val="es-ES_tradnl"/>
        </w:rPr>
        <w:t xml:space="preserve">SECOP – Diferencias – SECOP I – SECOP II </w:t>
      </w:r>
    </w:p>
    <w:p w14:paraId="7994BAE3" w14:textId="77777777" w:rsidR="003D6C03" w:rsidRPr="00342ED2" w:rsidRDefault="003D6C03" w:rsidP="003D6C03">
      <w:pPr>
        <w:jc w:val="both"/>
        <w:rPr>
          <w:rFonts w:ascii="Arial" w:hAnsi="Arial" w:cs="Arial"/>
          <w:iCs/>
          <w:color w:val="000000" w:themeColor="text1"/>
          <w:sz w:val="20"/>
          <w:szCs w:val="20"/>
        </w:rPr>
      </w:pPr>
    </w:p>
    <w:p w14:paraId="72E96D62" w14:textId="77777777" w:rsidR="00542065" w:rsidRPr="00542065" w:rsidRDefault="00542065" w:rsidP="00542065">
      <w:pPr>
        <w:jc w:val="both"/>
        <w:rPr>
          <w:rFonts w:ascii="Arial" w:hAnsi="Arial" w:cs="Arial"/>
          <w:iCs/>
          <w:color w:val="000000" w:themeColor="text1"/>
          <w:sz w:val="20"/>
          <w:szCs w:val="20"/>
          <w:lang w:val="es-ES"/>
        </w:rPr>
      </w:pPr>
      <w:r w:rsidRPr="00542065">
        <w:rPr>
          <w:rFonts w:ascii="Arial" w:hAnsi="Arial" w:cs="Arial"/>
          <w:iCs/>
          <w:color w:val="000000" w:themeColor="text1"/>
          <w:sz w:val="20"/>
          <w:szCs w:val="20"/>
          <w:lang w:val="es-ES"/>
        </w:rPr>
        <w:t>Esta Agencia tiene como función  administrar el SECOP , por lo cual se desarrolló la primera versión  de 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BA990A9" w14:textId="77777777" w:rsidR="00542065" w:rsidRDefault="00542065" w:rsidP="00542065">
      <w:pPr>
        <w:jc w:val="both"/>
        <w:rPr>
          <w:rFonts w:ascii="Arial" w:hAnsi="Arial" w:cs="Arial"/>
          <w:iCs/>
          <w:color w:val="000000" w:themeColor="text1"/>
          <w:sz w:val="20"/>
          <w:szCs w:val="20"/>
          <w:lang w:val="es-ES"/>
        </w:rPr>
      </w:pPr>
    </w:p>
    <w:p w14:paraId="0346765D" w14:textId="6D6A8CD4" w:rsidR="0081103C" w:rsidRDefault="00542065" w:rsidP="00542065">
      <w:pPr>
        <w:jc w:val="both"/>
        <w:rPr>
          <w:rFonts w:ascii="Arial" w:hAnsi="Arial" w:cs="Arial"/>
          <w:iCs/>
          <w:color w:val="000000" w:themeColor="text1"/>
          <w:sz w:val="20"/>
          <w:szCs w:val="20"/>
          <w:lang w:val="es-ES"/>
        </w:rPr>
      </w:pPr>
      <w:r w:rsidRPr="00542065">
        <w:rPr>
          <w:rFonts w:ascii="Arial" w:hAnsi="Arial" w:cs="Arial"/>
          <w:iCs/>
          <w:color w:val="000000" w:themeColor="text1"/>
          <w:sz w:val="20"/>
          <w:szCs w:val="20"/>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0A19F837" w14:textId="77777777" w:rsidR="00542065" w:rsidRDefault="00542065" w:rsidP="0081103C">
      <w:pPr>
        <w:jc w:val="both"/>
        <w:rPr>
          <w:rFonts w:ascii="Arial" w:eastAsia="Calibri" w:hAnsi="Arial" w:cs="Arial"/>
          <w:b/>
          <w:bCs/>
          <w:color w:val="000000"/>
          <w:sz w:val="22"/>
          <w:lang w:val="es-ES"/>
        </w:rPr>
      </w:pPr>
    </w:p>
    <w:p w14:paraId="03E12674" w14:textId="231F7D63" w:rsidR="0081103C" w:rsidRPr="00734474" w:rsidRDefault="0081103C" w:rsidP="0081103C">
      <w:pPr>
        <w:jc w:val="both"/>
        <w:rPr>
          <w:rFonts w:ascii="Arial" w:eastAsia="Calibri" w:hAnsi="Arial" w:cs="Arial"/>
          <w:b/>
          <w:bCs/>
          <w:color w:val="000000"/>
          <w:sz w:val="22"/>
          <w:lang w:val="es-ES"/>
        </w:rPr>
      </w:pPr>
      <w:r>
        <w:rPr>
          <w:rFonts w:ascii="Arial" w:eastAsia="Calibri" w:hAnsi="Arial" w:cs="Arial"/>
          <w:b/>
          <w:bCs/>
          <w:color w:val="000000"/>
          <w:sz w:val="22"/>
          <w:lang w:val="es-ES"/>
        </w:rPr>
        <w:t xml:space="preserve">RESPONSABLES DE LA ACTIVIDAD CONTRACTUAL </w:t>
      </w:r>
      <w:r w:rsidRPr="00734474">
        <w:rPr>
          <w:rFonts w:ascii="Arial" w:eastAsia="Calibri" w:hAnsi="Arial" w:cs="Arial"/>
          <w:b/>
          <w:bCs/>
          <w:color w:val="000000"/>
          <w:sz w:val="22"/>
          <w:lang w:val="es-ES"/>
        </w:rPr>
        <w:t xml:space="preserve">– </w:t>
      </w:r>
      <w:proofErr w:type="gramStart"/>
      <w:r w:rsidRPr="00734474">
        <w:rPr>
          <w:rFonts w:ascii="Arial" w:eastAsia="Calibri" w:hAnsi="Arial" w:cs="Arial"/>
          <w:b/>
          <w:bCs/>
          <w:color w:val="000000"/>
          <w:sz w:val="22"/>
          <w:lang w:val="es-ES"/>
        </w:rPr>
        <w:t>Jefes</w:t>
      </w:r>
      <w:proofErr w:type="gramEnd"/>
      <w:r>
        <w:rPr>
          <w:rFonts w:ascii="Arial" w:eastAsia="Calibri" w:hAnsi="Arial" w:cs="Arial"/>
          <w:b/>
          <w:bCs/>
          <w:color w:val="000000"/>
          <w:sz w:val="22"/>
          <w:lang w:val="es-ES"/>
        </w:rPr>
        <w:t xml:space="preserve"> o r</w:t>
      </w:r>
      <w:r w:rsidRPr="00734474">
        <w:rPr>
          <w:rFonts w:ascii="Arial" w:eastAsia="Calibri" w:hAnsi="Arial" w:cs="Arial"/>
          <w:b/>
          <w:bCs/>
          <w:color w:val="000000"/>
          <w:sz w:val="22"/>
          <w:lang w:val="es-ES"/>
        </w:rPr>
        <w:t xml:space="preserve">epresentantes legales </w:t>
      </w:r>
      <w:r>
        <w:rPr>
          <w:rFonts w:ascii="Arial" w:eastAsia="Calibri" w:hAnsi="Arial" w:cs="Arial"/>
          <w:b/>
          <w:bCs/>
          <w:color w:val="000000"/>
          <w:sz w:val="22"/>
          <w:lang w:val="es-ES"/>
        </w:rPr>
        <w:t>de</w:t>
      </w:r>
      <w:r w:rsidRPr="00734474">
        <w:rPr>
          <w:rFonts w:ascii="Arial" w:eastAsia="Calibri" w:hAnsi="Arial" w:cs="Arial"/>
          <w:b/>
          <w:bCs/>
          <w:color w:val="000000"/>
          <w:sz w:val="22"/>
          <w:lang w:val="es-ES"/>
        </w:rPr>
        <w:t xml:space="preserve"> </w:t>
      </w:r>
      <w:r>
        <w:rPr>
          <w:rFonts w:ascii="Arial" w:eastAsia="Calibri" w:hAnsi="Arial" w:cs="Arial"/>
          <w:b/>
          <w:bCs/>
          <w:color w:val="000000"/>
          <w:sz w:val="22"/>
          <w:lang w:val="es-ES"/>
        </w:rPr>
        <w:t>e</w:t>
      </w:r>
      <w:r w:rsidRPr="00734474">
        <w:rPr>
          <w:rFonts w:ascii="Arial" w:eastAsia="Calibri" w:hAnsi="Arial" w:cs="Arial"/>
          <w:b/>
          <w:bCs/>
          <w:color w:val="000000"/>
          <w:sz w:val="22"/>
          <w:lang w:val="es-ES"/>
        </w:rPr>
        <w:t>ntidades estatales</w:t>
      </w:r>
    </w:p>
    <w:p w14:paraId="6F8CEE8E" w14:textId="77777777" w:rsidR="0081103C" w:rsidRPr="00734474" w:rsidRDefault="0081103C" w:rsidP="0081103C">
      <w:pPr>
        <w:jc w:val="both"/>
        <w:rPr>
          <w:rFonts w:ascii="Arial" w:eastAsia="Calibri" w:hAnsi="Arial" w:cs="Arial"/>
          <w:b/>
          <w:bCs/>
          <w:color w:val="000000"/>
          <w:sz w:val="22"/>
          <w:lang w:val="es-ES"/>
        </w:rPr>
      </w:pPr>
    </w:p>
    <w:p w14:paraId="41BFCA85" w14:textId="59D90554" w:rsidR="00F75800" w:rsidRDefault="00542065" w:rsidP="0081103C">
      <w:pPr>
        <w:jc w:val="both"/>
        <w:rPr>
          <w:rFonts w:ascii="Arial" w:eastAsia="Calibri" w:hAnsi="Arial" w:cs="Arial"/>
          <w:color w:val="000000"/>
          <w:sz w:val="20"/>
          <w:szCs w:val="20"/>
          <w:lang w:val="es-ES"/>
        </w:rPr>
      </w:pPr>
      <w:r>
        <w:rPr>
          <w:rFonts w:ascii="Arial" w:eastAsia="Calibri" w:hAnsi="Arial" w:cs="Arial"/>
          <w:color w:val="000000"/>
          <w:sz w:val="20"/>
          <w:szCs w:val="20"/>
          <w:lang w:val="es-ES"/>
        </w:rPr>
        <w:t>Q</w:t>
      </w:r>
      <w:r w:rsidRPr="00542065">
        <w:rPr>
          <w:rFonts w:ascii="Arial" w:eastAsia="Calibri" w:hAnsi="Arial" w:cs="Arial"/>
          <w:color w:val="000000"/>
          <w:sz w:val="20"/>
          <w:szCs w:val="20"/>
          <w:lang w:val="es-ES"/>
        </w:rPr>
        <w:t>uienes tienen la competencia y son responsables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 En consecuencia, quien tiene la competencia y responsabilidad para tramitar, adjudicar, celebrar y liquidar un contrato, es el jefe o representante legal de la entidad, o quien este delegue.</w:t>
      </w:r>
    </w:p>
    <w:p w14:paraId="276E81D3" w14:textId="77777777" w:rsidR="00542065" w:rsidRDefault="00542065" w:rsidP="0081103C">
      <w:pPr>
        <w:jc w:val="both"/>
        <w:rPr>
          <w:rFonts w:ascii="Arial" w:eastAsia="Calibri" w:hAnsi="Arial" w:cs="Arial"/>
          <w:color w:val="000000"/>
          <w:sz w:val="20"/>
          <w:szCs w:val="20"/>
          <w:lang w:val="es-ES"/>
        </w:rPr>
      </w:pPr>
    </w:p>
    <w:p w14:paraId="3DB3CED2" w14:textId="6FEB7B89" w:rsidR="00F75800" w:rsidRPr="007E3480" w:rsidRDefault="00F75800" w:rsidP="00F75800">
      <w:pPr>
        <w:rPr>
          <w:rFonts w:ascii="Arial" w:eastAsia="Calibri" w:hAnsi="Arial" w:cs="Arial"/>
          <w:b/>
          <w:color w:val="000000"/>
          <w:sz w:val="22"/>
          <w:lang w:val="es-ES_tradnl"/>
        </w:rPr>
      </w:pPr>
      <w:r w:rsidRPr="007E3480">
        <w:rPr>
          <w:rFonts w:ascii="Arial" w:hAnsi="Arial" w:cs="Arial"/>
          <w:b/>
          <w:sz w:val="22"/>
          <w:lang w:eastAsia="es-ES"/>
        </w:rPr>
        <w:t xml:space="preserve">AUDIENCIA DE ADJUDICACIÓN – </w:t>
      </w:r>
      <w:r w:rsidRPr="007E3480">
        <w:rPr>
          <w:rFonts w:ascii="Arial" w:eastAsia="Calibri" w:hAnsi="Arial" w:cs="Arial"/>
          <w:b/>
          <w:color w:val="000000"/>
          <w:sz w:val="22"/>
          <w:lang w:val="es-ES_tradnl"/>
        </w:rPr>
        <w:t>Características</w:t>
      </w:r>
      <w:r w:rsidRPr="007E3480">
        <w:rPr>
          <w:rFonts w:ascii="Arial" w:hAnsi="Arial" w:cs="Arial"/>
          <w:b/>
          <w:sz w:val="22"/>
          <w:lang w:eastAsia="es-ES"/>
        </w:rPr>
        <w:t xml:space="preserve"> </w:t>
      </w:r>
    </w:p>
    <w:p w14:paraId="3612127A" w14:textId="77777777" w:rsidR="00F75800" w:rsidRPr="007E3480" w:rsidRDefault="00F75800" w:rsidP="00F75800">
      <w:pPr>
        <w:rPr>
          <w:rFonts w:ascii="Arial" w:hAnsi="Arial" w:cs="Arial"/>
          <w:b/>
          <w:sz w:val="22"/>
          <w:lang w:eastAsia="es-ES"/>
        </w:rPr>
      </w:pPr>
      <w:r w:rsidRPr="007E3480">
        <w:rPr>
          <w:rFonts w:ascii="Arial" w:hAnsi="Arial" w:cs="Arial"/>
          <w:b/>
          <w:sz w:val="22"/>
          <w:lang w:eastAsia="es-ES"/>
        </w:rPr>
        <w:t xml:space="preserve"> </w:t>
      </w:r>
    </w:p>
    <w:p w14:paraId="49D7E162" w14:textId="25ED8C42" w:rsidR="00F75800" w:rsidRPr="003C004D" w:rsidRDefault="00F75800" w:rsidP="003C004D">
      <w:pPr>
        <w:jc w:val="both"/>
        <w:rPr>
          <w:rFonts w:ascii="Arial" w:hAnsi="Arial" w:cs="Arial"/>
          <w:sz w:val="20"/>
          <w:szCs w:val="20"/>
          <w:lang w:eastAsia="es-ES"/>
        </w:rPr>
      </w:pPr>
      <w:r w:rsidRPr="00291B63">
        <w:rPr>
          <w:rFonts w:ascii="Arial" w:hAnsi="Arial" w:cs="Arial"/>
          <w:bCs/>
          <w:sz w:val="20"/>
          <w:szCs w:val="20"/>
          <w:lang w:val="es-ES"/>
        </w:rPr>
        <w:t>La audiencia de adjudicación es la etapa del proceso de selección donde como resultado de haberse evaluado las ofertas, publicitado el resultado y de haberse respondido a las eventuales observaciones formuladas por los participantes, en ejercicio del derecho de contradicción, se escoge la propuesta más favorable a los intereses de la entidad, conforme a las reglas establecidas por el pliego de condiciones. Inicialmente, el numeral 10 del artículo 30 de la Ley 80 de 1993 establecía que la adjudicación de los procedimientos de licitación se efectuaría en audiencia pública en el evento previsto en el artículo 273 de la Constitución Política, esto es, previa orden de la autoridad de control fiscal.</w:t>
      </w:r>
    </w:p>
    <w:p w14:paraId="79EE41A4" w14:textId="77777777" w:rsidR="00F75800" w:rsidRDefault="00F75800" w:rsidP="003C004D">
      <w:pPr>
        <w:jc w:val="both"/>
        <w:rPr>
          <w:rFonts w:ascii="Arial" w:hAnsi="Arial" w:cs="Arial"/>
          <w:bCs/>
          <w:sz w:val="20"/>
          <w:szCs w:val="20"/>
          <w:lang w:val="es-ES"/>
        </w:rPr>
      </w:pPr>
      <w:r>
        <w:rPr>
          <w:rFonts w:ascii="Arial" w:hAnsi="Arial" w:cs="Arial"/>
          <w:bCs/>
          <w:sz w:val="20"/>
          <w:szCs w:val="20"/>
          <w:lang w:val="es-ES"/>
        </w:rPr>
        <w:t xml:space="preserve">[…] </w:t>
      </w:r>
    </w:p>
    <w:p w14:paraId="30967706" w14:textId="3292CF74" w:rsidR="00FD42C8" w:rsidRDefault="00B74B57" w:rsidP="002A460E">
      <w:pPr>
        <w:jc w:val="both"/>
        <w:rPr>
          <w:rFonts w:ascii="Arial" w:hAnsi="Arial" w:cs="Arial"/>
          <w:color w:val="161616" w:themeColor="background1" w:themeShade="1A"/>
          <w:sz w:val="22"/>
          <w:szCs w:val="22"/>
          <w:lang w:val="es-ES"/>
        </w:rPr>
      </w:pPr>
      <w:bookmarkStart w:id="2" w:name="_Hlk70510939"/>
      <w:r w:rsidRPr="00B74B57">
        <w:rPr>
          <w:rFonts w:ascii="Arial" w:hAnsi="Arial" w:cs="Arial"/>
          <w:sz w:val="20"/>
          <w:szCs w:val="20"/>
          <w:lang w:val="es-ES"/>
        </w:rPr>
        <w:t>Además de lo anterior, tratándose de procesos de licitación pública para selección a contratistas de obra, resulta importante tener en cuenta las modificaciones realizadas por el artículo 1 de la Ley 1882 de 2018, al artículo 30 de la Ley 80 de 1993, ya que mediante aquella disposición se adicionaron los parágrafos 2 y 3, que contienen reglas especiales en relación con este tipo de procesos. En armonía con lo cual, en el numeral 2.6. del documento base del documento tipo de licitación de obra pública de infraestructura de transporte – Versión 3 se establecieron las reglas relacionadas con la «audiencia efectiva de adjudicación». Finalmente, se precisa que la obligación de adjudicar los contratos estatales en audiencia aplica para los procesos de licitación pública; no así para las demás modalidades de selección reguladas en el artículo 2 de la Ley 1150 de 2007.</w:t>
      </w:r>
    </w:p>
    <w:p w14:paraId="25832913" w14:textId="516D1E90" w:rsidR="00FD42C8" w:rsidRDefault="00085560" w:rsidP="002A460E">
      <w:pPr>
        <w:jc w:val="both"/>
        <w:rPr>
          <w:rFonts w:ascii="Arial" w:hAnsi="Arial" w:cs="Arial"/>
          <w:color w:val="161616" w:themeColor="background1" w:themeShade="1A"/>
          <w:sz w:val="22"/>
          <w:szCs w:val="22"/>
          <w:lang w:val="es-ES"/>
        </w:rPr>
      </w:pPr>
      <w:r>
        <w:rPr>
          <w:rFonts w:ascii="_M_≤ò" w:eastAsiaTheme="minorHAnsi" w:hAnsi="_M_≤ò" w:cs="_M_≤ò"/>
          <w:color w:val="4E4D4D"/>
          <w:sz w:val="22"/>
          <w:szCs w:val="22"/>
          <w:lang w:val="es-ES_tradnl" w:eastAsia="en-US"/>
        </w:rPr>
        <w:lastRenderedPageBreak/>
        <w:t xml:space="preserve">Bogotá, 10 </w:t>
      </w:r>
      <w:proofErr w:type="gramStart"/>
      <w:r>
        <w:rPr>
          <w:rFonts w:ascii="_M_≤ò" w:eastAsiaTheme="minorHAnsi" w:hAnsi="_M_≤ò" w:cs="_M_≤ò"/>
          <w:color w:val="4E4D4D"/>
          <w:sz w:val="22"/>
          <w:szCs w:val="22"/>
          <w:lang w:val="es-ES_tradnl" w:eastAsia="en-US"/>
        </w:rPr>
        <w:t>Agosto</w:t>
      </w:r>
      <w:proofErr w:type="gramEnd"/>
      <w:r>
        <w:rPr>
          <w:rFonts w:ascii="_M_≤ò" w:eastAsiaTheme="minorHAnsi" w:hAnsi="_M_≤ò" w:cs="_M_≤ò"/>
          <w:color w:val="4E4D4D"/>
          <w:sz w:val="22"/>
          <w:szCs w:val="22"/>
          <w:lang w:val="es-ES_tradnl" w:eastAsia="en-US"/>
        </w:rPr>
        <w:t xml:space="preserve"> 2022. </w:t>
      </w:r>
      <w:r>
        <w:rPr>
          <w:rFonts w:ascii="_M_≤ò" w:eastAsiaTheme="minorHAnsi" w:hAnsi="_M_≤ò" w:cs="_M_≤ò"/>
          <w:color w:val="4E4D4D"/>
          <w:sz w:val="22"/>
          <w:szCs w:val="22"/>
          <w:lang w:val="es-ES_tradnl" w:eastAsia="en-US"/>
        </w:rPr>
        <w:tab/>
        <w:t xml:space="preserve">  </w:t>
      </w:r>
      <w:r>
        <w:rPr>
          <w:rFonts w:ascii="_M_≤ò" w:eastAsiaTheme="minorHAnsi" w:hAnsi="_M_≤ò" w:cs="_M_≤ò"/>
          <w:color w:val="4E4D4D"/>
          <w:sz w:val="22"/>
          <w:szCs w:val="22"/>
          <w:lang w:val="es-ES_tradnl" w:eastAsia="en-US"/>
        </w:rPr>
        <w:tab/>
        <w:t xml:space="preserve">  </w:t>
      </w:r>
      <w:r>
        <w:rPr>
          <w:rFonts w:ascii="_M_≤ò" w:eastAsiaTheme="minorHAnsi" w:hAnsi="_M_≤ò" w:cs="_M_≤ò"/>
          <w:color w:val="4E4D4D"/>
          <w:sz w:val="22"/>
          <w:szCs w:val="22"/>
          <w:lang w:val="es-ES_tradnl" w:eastAsia="en-US"/>
        </w:rPr>
        <w:tab/>
        <w:t xml:space="preserve">  </w:t>
      </w:r>
      <w:r>
        <w:rPr>
          <w:rFonts w:ascii="_M_≤ò" w:eastAsiaTheme="minorHAnsi" w:hAnsi="_M_≤ò" w:cs="_M_≤ò"/>
          <w:color w:val="4E4D4D"/>
          <w:sz w:val="22"/>
          <w:szCs w:val="22"/>
          <w:lang w:val="es-ES_tradnl" w:eastAsia="en-US"/>
        </w:rPr>
        <w:tab/>
        <w:t xml:space="preserve"> </w:t>
      </w:r>
      <w:r w:rsidRPr="00085560">
        <w:rPr>
          <w:rFonts w:ascii="_M_≤ò" w:eastAsiaTheme="minorHAnsi" w:hAnsi="_M_≤ò" w:cs="_M_≤ò"/>
          <w:noProof/>
          <w:color w:val="4E4D4D"/>
          <w:sz w:val="22"/>
          <w:szCs w:val="22"/>
          <w:lang w:val="es-ES_tradnl" w:eastAsia="en-US"/>
        </w:rPr>
        <w:drawing>
          <wp:inline distT="0" distB="0" distL="0" distR="0" wp14:anchorId="623A690E" wp14:editId="714C1D8D">
            <wp:extent cx="2296391" cy="56515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9528" cy="575766"/>
                    </a:xfrm>
                    <a:prstGeom prst="rect">
                      <a:avLst/>
                    </a:prstGeom>
                  </pic:spPr>
                </pic:pic>
              </a:graphicData>
            </a:graphic>
          </wp:inline>
        </w:drawing>
      </w:r>
    </w:p>
    <w:p w14:paraId="7AE20689" w14:textId="77777777" w:rsidR="00B74B57" w:rsidRDefault="00B74B57" w:rsidP="002A460E">
      <w:pPr>
        <w:jc w:val="both"/>
        <w:rPr>
          <w:rFonts w:ascii="Arial" w:hAnsi="Arial" w:cs="Arial"/>
          <w:color w:val="161616" w:themeColor="background1" w:themeShade="1A"/>
          <w:sz w:val="22"/>
          <w:szCs w:val="22"/>
          <w:lang w:val="es-ES"/>
        </w:rPr>
      </w:pPr>
    </w:p>
    <w:p w14:paraId="37F8CC19" w14:textId="4287D92D" w:rsidR="00B92052" w:rsidRPr="00085560" w:rsidRDefault="00E54365" w:rsidP="00B0182C">
      <w:pPr>
        <w:jc w:val="both"/>
        <w:rPr>
          <w:rFonts w:ascii="Arial" w:hAnsi="Arial" w:cs="Arial"/>
          <w:i/>
          <w:iCs/>
          <w:sz w:val="20"/>
          <w:szCs w:val="20"/>
        </w:rPr>
      </w:pPr>
      <w:r w:rsidRPr="00B03CFE">
        <w:rPr>
          <w:rFonts w:ascii="Arial" w:hAnsi="Arial" w:cs="Arial"/>
          <w:color w:val="161616" w:themeColor="background1" w:themeShade="1A"/>
          <w:sz w:val="22"/>
          <w:szCs w:val="22"/>
          <w:lang w:val="es-ES"/>
        </w:rPr>
        <w:t>Señor</w:t>
      </w:r>
    </w:p>
    <w:p w14:paraId="5054D7CD" w14:textId="4C3F6B00" w:rsidR="00212401" w:rsidRPr="00CF267E" w:rsidRDefault="00A8294C" w:rsidP="00B0182C">
      <w:pPr>
        <w:jc w:val="both"/>
        <w:rPr>
          <w:rFonts w:ascii="Arial" w:hAnsi="Arial" w:cs="Arial"/>
          <w:color w:val="000000" w:themeColor="text1"/>
          <w:sz w:val="22"/>
          <w:szCs w:val="22"/>
          <w:lang w:val="es-ES_tradnl"/>
        </w:rPr>
      </w:pPr>
      <w:r>
        <w:rPr>
          <w:rFonts w:ascii="Arial" w:hAnsi="Arial" w:cs="Arial"/>
          <w:b/>
          <w:bCs/>
          <w:color w:val="000000" w:themeColor="text1"/>
          <w:sz w:val="22"/>
          <w:szCs w:val="22"/>
        </w:rPr>
        <w:t xml:space="preserve">Carlos Alberto Cruz Rubio </w:t>
      </w:r>
      <w:r w:rsidR="00A878F0" w:rsidRPr="00A878F0">
        <w:rPr>
          <w:rFonts w:ascii="Arial" w:hAnsi="Arial" w:cs="Arial"/>
          <w:color w:val="000000" w:themeColor="text1"/>
          <w:sz w:val="22"/>
          <w:szCs w:val="22"/>
        </w:rPr>
        <w:cr/>
      </w:r>
      <w:r w:rsidR="00C2524E">
        <w:rPr>
          <w:rFonts w:ascii="Arial" w:hAnsi="Arial" w:cs="Arial"/>
          <w:color w:val="000000" w:themeColor="text1"/>
          <w:sz w:val="22"/>
          <w:szCs w:val="22"/>
        </w:rPr>
        <w:t>V</w:t>
      </w:r>
      <w:r>
        <w:rPr>
          <w:rFonts w:ascii="Arial" w:hAnsi="Arial" w:cs="Arial"/>
          <w:color w:val="000000" w:themeColor="text1"/>
          <w:sz w:val="22"/>
          <w:szCs w:val="22"/>
        </w:rPr>
        <w:t xml:space="preserve">illavicencio, Meta </w:t>
      </w:r>
    </w:p>
    <w:p w14:paraId="52CE7B0E" w14:textId="77777777" w:rsidR="004B3D4D" w:rsidRPr="00515D32" w:rsidRDefault="004B3D4D" w:rsidP="0081103C">
      <w:pPr>
        <w:rPr>
          <w:rFonts w:ascii="Arial" w:hAnsi="Arial" w:cs="Arial"/>
          <w:b/>
          <w:bCs/>
          <w:color w:val="161616" w:themeColor="background1" w:themeShade="1A"/>
          <w:sz w:val="22"/>
          <w:szCs w:val="22"/>
          <w:lang w:val="es-ES_tradnl"/>
        </w:rPr>
      </w:pPr>
    </w:p>
    <w:p w14:paraId="17BA6817" w14:textId="3F3C6C2A" w:rsidR="00E54365" w:rsidRPr="00515D32" w:rsidRDefault="00E54365" w:rsidP="00F06A29">
      <w:pPr>
        <w:ind w:left="2124" w:firstLine="708"/>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5A5914">
        <w:rPr>
          <w:rFonts w:ascii="Arial" w:hAnsi="Arial" w:cs="Arial"/>
          <w:b/>
          <w:bCs/>
          <w:color w:val="161616" w:themeColor="background1" w:themeShade="1A"/>
          <w:sz w:val="22"/>
          <w:szCs w:val="22"/>
          <w:lang w:val="es-ES_tradnl"/>
        </w:rPr>
        <w:t>51</w:t>
      </w:r>
      <w:r w:rsidR="002C5565">
        <w:rPr>
          <w:rFonts w:ascii="Arial" w:hAnsi="Arial" w:cs="Arial"/>
          <w:b/>
          <w:bCs/>
          <w:color w:val="161616" w:themeColor="background1" w:themeShade="1A"/>
          <w:sz w:val="22"/>
          <w:szCs w:val="22"/>
          <w:lang w:val="es-ES_tradnl"/>
        </w:rPr>
        <w:t>2</w:t>
      </w:r>
      <w:r w:rsidR="00455438">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6059F3C0" w14:textId="518EA7BC" w:rsidR="000E561B" w:rsidRPr="00F75800" w:rsidRDefault="00E54365" w:rsidP="0081103C">
      <w:pPr>
        <w:ind w:left="2824" w:hanging="2818"/>
        <w:jc w:val="both"/>
        <w:rPr>
          <w:rFonts w:ascii="Arial" w:eastAsia="Calibri" w:hAnsi="Arial" w:cs="Arial"/>
          <w:bCs/>
          <w:color w:val="161616" w:themeColor="background1" w:themeShade="1A"/>
          <w:sz w:val="22"/>
          <w:szCs w:val="22"/>
          <w:lang w:val="es-ES_tradnl"/>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3A2797" w:rsidRPr="003A2797">
        <w:rPr>
          <w:rFonts w:ascii="Arial" w:eastAsia="Calibri" w:hAnsi="Arial" w:cs="Arial"/>
          <w:bCs/>
          <w:noProof/>
          <w:color w:val="161616" w:themeColor="background1" w:themeShade="1A"/>
          <w:sz w:val="22"/>
          <w:szCs w:val="22"/>
          <w:lang w:val="es-ES_tradnl" w:eastAsia="en-US"/>
        </w:rPr>
        <w:t>COMPETENCIA CONSULTIVA – Colombia Compra Eficiente – Alcance – Obligatoriedad</w:t>
      </w:r>
      <w:r w:rsidR="003A2797">
        <w:rPr>
          <w:rFonts w:ascii="Arial" w:eastAsia="Calibri" w:hAnsi="Arial" w:cs="Arial"/>
          <w:bCs/>
          <w:noProof/>
          <w:color w:val="161616" w:themeColor="background1" w:themeShade="1A"/>
          <w:sz w:val="22"/>
          <w:szCs w:val="22"/>
          <w:lang w:val="es-ES_tradnl" w:eastAsia="en-US"/>
        </w:rPr>
        <w:t xml:space="preserve"> / </w:t>
      </w:r>
      <w:r w:rsidR="003A2797" w:rsidRPr="003A2797">
        <w:rPr>
          <w:rFonts w:ascii="Arial" w:eastAsia="Calibri" w:hAnsi="Arial" w:cs="Arial"/>
          <w:bCs/>
          <w:color w:val="161616" w:themeColor="background1" w:themeShade="1A"/>
          <w:sz w:val="22"/>
          <w:szCs w:val="22"/>
          <w:lang w:val="es-ES_tradnl"/>
        </w:rPr>
        <w:t>CAPACIDAD RESIDUAL – Saldos de Contratos en Ejecución «SCE» – Contratos de obra – Contratos suspendidos – Saldos pendientes por ejecutar</w:t>
      </w:r>
      <w:r w:rsidR="005526A0">
        <w:rPr>
          <w:rFonts w:ascii="Arial" w:eastAsia="Calibri" w:hAnsi="Arial" w:cs="Arial"/>
          <w:bCs/>
          <w:color w:val="161616" w:themeColor="background1" w:themeShade="1A"/>
          <w:sz w:val="22"/>
          <w:szCs w:val="22"/>
          <w:lang w:val="es-ES_tradnl"/>
        </w:rPr>
        <w:t xml:space="preserve"> / </w:t>
      </w:r>
      <w:r w:rsidR="003A2797" w:rsidRPr="003A2797">
        <w:rPr>
          <w:rFonts w:ascii="Arial" w:eastAsia="Calibri" w:hAnsi="Arial" w:cs="Arial"/>
          <w:bCs/>
          <w:color w:val="161616" w:themeColor="background1" w:themeShade="1A"/>
          <w:sz w:val="22"/>
          <w:szCs w:val="22"/>
          <w:lang w:val="es-ES_tradnl"/>
        </w:rPr>
        <w:t>DOCUMENTOS TIPO – Versión 3 – Licitación Pública - Capacidad residual – Rechazo de la oferta – Causales</w:t>
      </w:r>
      <w:r w:rsidR="008A5929">
        <w:rPr>
          <w:rFonts w:ascii="Arial" w:eastAsia="Calibri" w:hAnsi="Arial" w:cs="Arial"/>
          <w:bCs/>
          <w:color w:val="161616" w:themeColor="background1" w:themeShade="1A"/>
          <w:sz w:val="22"/>
          <w:szCs w:val="22"/>
          <w:lang w:val="es-ES_tradnl"/>
        </w:rPr>
        <w:t xml:space="preserve"> / </w:t>
      </w:r>
      <w:r w:rsidR="008A5929" w:rsidRPr="008A5929">
        <w:rPr>
          <w:rFonts w:ascii="Arial" w:eastAsia="Calibri" w:hAnsi="Arial" w:cs="Arial"/>
          <w:bCs/>
          <w:color w:val="161616" w:themeColor="background1" w:themeShade="1A"/>
          <w:sz w:val="22"/>
          <w:szCs w:val="22"/>
          <w:lang w:val="es-ES_tradnl"/>
        </w:rPr>
        <w:t>PRECIO ARTIFICIALMENTE BAJO – Concepto</w:t>
      </w:r>
      <w:r w:rsidR="008A5929">
        <w:rPr>
          <w:rFonts w:ascii="Arial" w:eastAsia="Calibri" w:hAnsi="Arial" w:cs="Arial"/>
          <w:bCs/>
          <w:color w:val="161616" w:themeColor="background1" w:themeShade="1A"/>
          <w:sz w:val="22"/>
          <w:szCs w:val="22"/>
          <w:lang w:val="es-ES_tradnl"/>
        </w:rPr>
        <w:t xml:space="preserve"> / </w:t>
      </w:r>
      <w:r w:rsidR="008A5929" w:rsidRPr="008A5929">
        <w:rPr>
          <w:rFonts w:ascii="Arial" w:eastAsia="Calibri" w:hAnsi="Arial" w:cs="Arial"/>
          <w:bCs/>
          <w:color w:val="161616" w:themeColor="background1" w:themeShade="1A"/>
          <w:sz w:val="22"/>
          <w:szCs w:val="22"/>
          <w:lang w:val="es-ES_tradnl"/>
        </w:rPr>
        <w:t>OFERTA CON VALOR ARTIFICALMENTE BAJO – Decreto 1082 de 2015</w:t>
      </w:r>
      <w:r w:rsidR="003D6C03">
        <w:rPr>
          <w:rFonts w:ascii="Arial" w:eastAsia="Calibri" w:hAnsi="Arial" w:cs="Arial"/>
          <w:bCs/>
          <w:color w:val="161616" w:themeColor="background1" w:themeShade="1A"/>
          <w:sz w:val="22"/>
          <w:szCs w:val="22"/>
          <w:lang w:val="es-ES_tradnl"/>
        </w:rPr>
        <w:t xml:space="preserve"> / </w:t>
      </w:r>
      <w:r w:rsidR="003D6C03" w:rsidRPr="003D6C03">
        <w:rPr>
          <w:rFonts w:ascii="Arial" w:eastAsia="Calibri" w:hAnsi="Arial" w:cs="Arial"/>
          <w:bCs/>
          <w:color w:val="161616" w:themeColor="background1" w:themeShade="1A"/>
          <w:sz w:val="22"/>
          <w:szCs w:val="22"/>
          <w:lang w:val="es-ES_tradnl"/>
        </w:rPr>
        <w:t>SECOP – Diferencias – SECOP I – SECOP II</w:t>
      </w:r>
      <w:r w:rsidR="0081103C">
        <w:rPr>
          <w:rFonts w:ascii="Arial" w:eastAsia="Calibri" w:hAnsi="Arial" w:cs="Arial"/>
          <w:bCs/>
          <w:color w:val="161616" w:themeColor="background1" w:themeShade="1A"/>
          <w:sz w:val="22"/>
          <w:szCs w:val="22"/>
          <w:lang w:val="es-ES_tradnl"/>
        </w:rPr>
        <w:t xml:space="preserve"> / </w:t>
      </w:r>
      <w:r w:rsidR="0081103C" w:rsidRPr="0081103C">
        <w:rPr>
          <w:rFonts w:ascii="Arial" w:eastAsia="Calibri" w:hAnsi="Arial" w:cs="Arial"/>
          <w:bCs/>
          <w:color w:val="161616" w:themeColor="background1" w:themeShade="1A"/>
          <w:sz w:val="22"/>
          <w:szCs w:val="22"/>
          <w:lang w:val="es-ES_tradnl"/>
        </w:rPr>
        <w:t>RESPONSABLES DE LA ACTIVIDAD CONTRACTUAL – Jefes o representantes legales de entidades estatales</w:t>
      </w:r>
      <w:r w:rsidR="00F75800">
        <w:rPr>
          <w:rFonts w:ascii="Arial" w:eastAsia="Calibri" w:hAnsi="Arial" w:cs="Arial"/>
          <w:bCs/>
          <w:color w:val="161616" w:themeColor="background1" w:themeShade="1A"/>
          <w:sz w:val="22"/>
          <w:szCs w:val="22"/>
          <w:lang w:val="es-ES_tradnl"/>
        </w:rPr>
        <w:t xml:space="preserve"> / </w:t>
      </w:r>
      <w:r w:rsidR="00F75800" w:rsidRPr="00F75800">
        <w:rPr>
          <w:rFonts w:ascii="Arial" w:eastAsia="Calibri" w:hAnsi="Arial" w:cs="Arial"/>
          <w:bCs/>
          <w:color w:val="161616" w:themeColor="background1" w:themeShade="1A"/>
          <w:sz w:val="22"/>
          <w:szCs w:val="22"/>
          <w:lang w:val="es-ES_tradnl"/>
        </w:rPr>
        <w:t>AUDIENCIA DE ADJUDICACIÓN – Características</w:t>
      </w:r>
    </w:p>
    <w:p w14:paraId="0D4EBF52" w14:textId="77777777" w:rsidR="0081103C" w:rsidRPr="0081103C" w:rsidRDefault="0081103C" w:rsidP="0081103C">
      <w:pPr>
        <w:ind w:left="2824" w:hanging="2818"/>
        <w:jc w:val="both"/>
        <w:rPr>
          <w:rFonts w:ascii="Arial" w:eastAsia="Calibri" w:hAnsi="Arial" w:cs="Arial"/>
          <w:bCs/>
          <w:color w:val="161616" w:themeColor="background1" w:themeShade="1A"/>
          <w:sz w:val="22"/>
          <w:szCs w:val="22"/>
          <w:lang w:val="es-MX"/>
        </w:rPr>
      </w:pPr>
    </w:p>
    <w:p w14:paraId="49699107" w14:textId="3C4F7EB4" w:rsidR="00E54365" w:rsidRPr="00515D32" w:rsidRDefault="00E54365" w:rsidP="00F06A29">
      <w:pPr>
        <w:ind w:left="2835" w:hanging="2835"/>
        <w:jc w:val="both"/>
        <w:rPr>
          <w:rFonts w:ascii="Arial" w:hAnsi="Arial" w:cs="Arial"/>
          <w:color w:val="161616" w:themeColor="background1" w:themeShade="1A"/>
          <w:sz w:val="22"/>
          <w:szCs w:val="22"/>
          <w:lang w:val="es-ES_tradnl"/>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t>Respuesta a consulta</w:t>
      </w:r>
      <w:r w:rsidR="00FB5E3B" w:rsidRPr="00515D32">
        <w:rPr>
          <w:rFonts w:ascii="Arial" w:eastAsia="Calibri" w:hAnsi="Arial" w:cs="Arial"/>
          <w:bCs/>
          <w:noProof/>
          <w:color w:val="161616" w:themeColor="background1" w:themeShade="1A"/>
          <w:sz w:val="22"/>
          <w:szCs w:val="22"/>
          <w:lang w:val="es-ES_tradnl" w:eastAsia="en-US"/>
        </w:rPr>
        <w:t xml:space="preserve"> </w:t>
      </w:r>
      <w:r w:rsidR="00A8294C" w:rsidRPr="00A8294C">
        <w:rPr>
          <w:rFonts w:ascii="Arial" w:eastAsia="Calibri" w:hAnsi="Arial" w:cs="Arial"/>
          <w:bCs/>
          <w:noProof/>
          <w:color w:val="161616" w:themeColor="background1" w:themeShade="1A"/>
          <w:sz w:val="22"/>
          <w:szCs w:val="22"/>
          <w:lang w:val="es-ES_tradnl" w:eastAsia="en-US"/>
        </w:rPr>
        <w:t>P20220626006357</w:t>
      </w:r>
      <w:r w:rsidR="00E111EA">
        <w:rPr>
          <w:rFonts w:ascii="Arial" w:eastAsia="Calibri" w:hAnsi="Arial" w:cs="Arial"/>
          <w:bCs/>
          <w:noProof/>
          <w:color w:val="161616" w:themeColor="background1" w:themeShade="1A"/>
          <w:sz w:val="22"/>
          <w:szCs w:val="22"/>
          <w:lang w:val="es-ES_tradnl" w:eastAsia="en-US"/>
        </w:rPr>
        <w:t xml:space="preserve"> </w:t>
      </w:r>
    </w:p>
    <w:p w14:paraId="5EF97382" w14:textId="77777777" w:rsidR="0063440E" w:rsidRPr="00515D32" w:rsidRDefault="0063440E" w:rsidP="00F06A29">
      <w:pPr>
        <w:rPr>
          <w:rFonts w:ascii="Arial" w:hAnsi="Arial" w:cs="Arial"/>
          <w:color w:val="161616" w:themeColor="background1" w:themeShade="1A"/>
          <w:sz w:val="22"/>
          <w:szCs w:val="22"/>
          <w:lang w:val="es-ES_tradnl"/>
        </w:rPr>
      </w:pPr>
    </w:p>
    <w:p w14:paraId="71ED9EB2" w14:textId="36A30BBB" w:rsidR="00E54365" w:rsidRPr="00515D32" w:rsidRDefault="00E54365" w:rsidP="00870412">
      <w:pPr>
        <w:spacing w:before="240" w:line="276" w:lineRule="auto"/>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1419D7">
        <w:rPr>
          <w:rFonts w:ascii="Arial" w:hAnsi="Arial" w:cs="Arial"/>
          <w:color w:val="161616" w:themeColor="background1" w:themeShade="1A"/>
          <w:sz w:val="22"/>
          <w:szCs w:val="22"/>
          <w:lang w:val="es-ES_tradnl"/>
        </w:rPr>
        <w:t>o</w:t>
      </w:r>
      <w:r w:rsidR="007168C5">
        <w:rPr>
          <w:rFonts w:ascii="Arial" w:hAnsi="Arial" w:cs="Arial"/>
          <w:color w:val="161616" w:themeColor="background1" w:themeShade="1A"/>
          <w:sz w:val="22"/>
          <w:szCs w:val="22"/>
          <w:lang w:val="es-ES_tradnl"/>
        </w:rPr>
        <w:t xml:space="preserve"> Señor</w:t>
      </w:r>
      <w:r w:rsidR="001419D7">
        <w:rPr>
          <w:rFonts w:ascii="Arial" w:hAnsi="Arial" w:cs="Arial"/>
          <w:color w:val="161616" w:themeColor="background1" w:themeShade="1A"/>
          <w:sz w:val="22"/>
          <w:szCs w:val="22"/>
          <w:lang w:val="es-ES_tradnl"/>
        </w:rPr>
        <w:t xml:space="preserve"> </w:t>
      </w:r>
      <w:r w:rsidR="00A8294C">
        <w:rPr>
          <w:rFonts w:ascii="Arial" w:hAnsi="Arial" w:cs="Arial"/>
          <w:color w:val="161616" w:themeColor="background1" w:themeShade="1A"/>
          <w:sz w:val="22"/>
          <w:szCs w:val="22"/>
          <w:lang w:val="es-ES_tradnl"/>
        </w:rPr>
        <w:t>Cruz</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59F550C5" w14:textId="19236383" w:rsidR="00B32DB2" w:rsidRPr="00515D32" w:rsidRDefault="00E54365"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584D9E">
        <w:rPr>
          <w:rFonts w:ascii="Arial" w:hAnsi="Arial" w:cs="Arial"/>
          <w:color w:val="161616" w:themeColor="background1" w:themeShade="1A"/>
          <w:sz w:val="22"/>
          <w:szCs w:val="22"/>
          <w:lang w:val="es-ES_tradnl"/>
        </w:rPr>
        <w:t xml:space="preserve">remitida el </w:t>
      </w:r>
      <w:r w:rsidR="00EA2015">
        <w:rPr>
          <w:rFonts w:ascii="Arial" w:hAnsi="Arial" w:cs="Arial"/>
          <w:color w:val="161616" w:themeColor="background1" w:themeShade="1A"/>
          <w:sz w:val="22"/>
          <w:szCs w:val="22"/>
          <w:lang w:val="es-ES_tradnl"/>
        </w:rPr>
        <w:t>2</w:t>
      </w:r>
      <w:r w:rsidR="00A8294C">
        <w:rPr>
          <w:rFonts w:ascii="Arial" w:hAnsi="Arial" w:cs="Arial"/>
          <w:color w:val="161616" w:themeColor="background1" w:themeShade="1A"/>
          <w:sz w:val="22"/>
          <w:szCs w:val="22"/>
          <w:lang w:val="es-ES_tradnl"/>
        </w:rPr>
        <w:t>6</w:t>
      </w:r>
      <w:r w:rsidR="00EA2015">
        <w:rPr>
          <w:rFonts w:ascii="Arial" w:hAnsi="Arial" w:cs="Arial"/>
          <w:color w:val="161616" w:themeColor="background1" w:themeShade="1A"/>
          <w:sz w:val="22"/>
          <w:szCs w:val="22"/>
          <w:lang w:val="es-ES_tradnl"/>
        </w:rPr>
        <w:t xml:space="preserve"> de </w:t>
      </w:r>
      <w:r w:rsidR="00A8294C">
        <w:rPr>
          <w:rFonts w:ascii="Arial" w:hAnsi="Arial" w:cs="Arial"/>
          <w:color w:val="161616" w:themeColor="background1" w:themeShade="1A"/>
          <w:sz w:val="22"/>
          <w:szCs w:val="22"/>
          <w:lang w:val="es-ES_tradnl"/>
        </w:rPr>
        <w:t>junio</w:t>
      </w:r>
      <w:r w:rsidR="002E257B">
        <w:rPr>
          <w:rFonts w:ascii="Arial" w:hAnsi="Arial" w:cs="Arial"/>
          <w:color w:val="161616" w:themeColor="background1" w:themeShade="1A"/>
          <w:sz w:val="22"/>
          <w:szCs w:val="22"/>
          <w:lang w:val="es-ES_tradnl"/>
        </w:rPr>
        <w:t xml:space="preserve"> </w:t>
      </w:r>
      <w:r w:rsidR="00EA2015">
        <w:rPr>
          <w:rFonts w:ascii="Arial" w:hAnsi="Arial" w:cs="Arial"/>
          <w:color w:val="161616" w:themeColor="background1" w:themeShade="1A"/>
          <w:sz w:val="22"/>
          <w:szCs w:val="22"/>
          <w:lang w:val="es-ES_tradnl"/>
        </w:rPr>
        <w:t>de 2022</w:t>
      </w:r>
      <w:r w:rsidR="002E257B">
        <w:rPr>
          <w:rFonts w:ascii="Arial" w:hAnsi="Arial" w:cs="Arial"/>
          <w:color w:val="161616" w:themeColor="background1" w:themeShade="1A"/>
          <w:sz w:val="22"/>
          <w:szCs w:val="22"/>
          <w:lang w:val="es-ES_tradnl"/>
        </w:rPr>
        <w:t xml:space="preserve">. </w:t>
      </w:r>
    </w:p>
    <w:p w14:paraId="4CDB27A1" w14:textId="23AF4B73" w:rsidR="00FB5E3B" w:rsidRPr="00515D3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18E0D975" w14:textId="27E4B297" w:rsidR="00A8294C" w:rsidRDefault="00FB5E3B"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w:t>
      </w:r>
      <w:r w:rsidR="002A460E">
        <w:rPr>
          <w:rFonts w:ascii="Arial" w:hAnsi="Arial" w:cs="Arial"/>
          <w:color w:val="161616" w:themeColor="background1" w:themeShade="1A"/>
          <w:sz w:val="22"/>
          <w:szCs w:val="22"/>
          <w:lang w:val="es-ES_tradnl"/>
        </w:rPr>
        <w:t>s</w:t>
      </w:r>
      <w:r w:rsidRPr="00515D32">
        <w:rPr>
          <w:rFonts w:ascii="Arial" w:hAnsi="Arial" w:cs="Arial"/>
          <w:color w:val="161616" w:themeColor="background1" w:themeShade="1A"/>
          <w:sz w:val="22"/>
          <w:szCs w:val="22"/>
          <w:lang w:val="es-ES_tradnl"/>
        </w:rPr>
        <w:t xml:space="preserve"> </w:t>
      </w:r>
      <w:r w:rsidR="00A8294C">
        <w:rPr>
          <w:rFonts w:ascii="Arial" w:hAnsi="Arial" w:cs="Arial"/>
          <w:color w:val="161616" w:themeColor="background1" w:themeShade="1A"/>
          <w:sz w:val="22"/>
          <w:szCs w:val="22"/>
          <w:lang w:val="es-ES_tradnl"/>
        </w:rPr>
        <w:t xml:space="preserve">siguientes preguntas </w:t>
      </w:r>
      <w:r w:rsidR="002A460E">
        <w:rPr>
          <w:rFonts w:ascii="Arial" w:hAnsi="Arial" w:cs="Arial"/>
          <w:color w:val="161616" w:themeColor="background1" w:themeShade="1A"/>
          <w:sz w:val="22"/>
          <w:szCs w:val="22"/>
          <w:lang w:val="es-ES_tradnl"/>
        </w:rPr>
        <w:t>relacionadas</w:t>
      </w:r>
      <w:r w:rsidR="00A8294C">
        <w:rPr>
          <w:rFonts w:ascii="Arial" w:hAnsi="Arial" w:cs="Arial"/>
          <w:color w:val="161616" w:themeColor="background1" w:themeShade="1A"/>
          <w:sz w:val="22"/>
          <w:szCs w:val="22"/>
          <w:lang w:val="es-ES_tradnl"/>
        </w:rPr>
        <w:t xml:space="preserve"> con los documentos tipo</w:t>
      </w:r>
      <w:r w:rsidR="002A460E">
        <w:rPr>
          <w:rFonts w:ascii="Arial" w:hAnsi="Arial" w:cs="Arial"/>
          <w:color w:val="161616" w:themeColor="background1" w:themeShade="1A"/>
          <w:sz w:val="22"/>
          <w:szCs w:val="22"/>
          <w:lang w:val="es-ES_tradnl"/>
        </w:rPr>
        <w:t xml:space="preserve"> de</w:t>
      </w:r>
      <w:r w:rsidR="00A8294C">
        <w:rPr>
          <w:rFonts w:ascii="Arial" w:hAnsi="Arial" w:cs="Arial"/>
          <w:color w:val="161616" w:themeColor="background1" w:themeShade="1A"/>
          <w:sz w:val="22"/>
          <w:szCs w:val="22"/>
          <w:lang w:val="es-ES_tradnl"/>
        </w:rPr>
        <w:t xml:space="preserve"> licitación pública </w:t>
      </w:r>
      <w:r w:rsidR="002A460E">
        <w:rPr>
          <w:rFonts w:ascii="Arial" w:hAnsi="Arial" w:cs="Arial"/>
          <w:color w:val="161616" w:themeColor="background1" w:themeShade="1A"/>
          <w:sz w:val="22"/>
          <w:szCs w:val="22"/>
          <w:lang w:val="es-ES_tradnl"/>
        </w:rPr>
        <w:t xml:space="preserve">para </w:t>
      </w:r>
      <w:r w:rsidR="00A8294C">
        <w:rPr>
          <w:rFonts w:ascii="Arial" w:hAnsi="Arial" w:cs="Arial"/>
          <w:color w:val="161616" w:themeColor="background1" w:themeShade="1A"/>
          <w:sz w:val="22"/>
          <w:szCs w:val="22"/>
          <w:lang w:val="es-ES_tradnl"/>
        </w:rPr>
        <w:t>obr</w:t>
      </w:r>
      <w:r w:rsidR="002A460E">
        <w:rPr>
          <w:rFonts w:ascii="Arial" w:hAnsi="Arial" w:cs="Arial"/>
          <w:color w:val="161616" w:themeColor="background1" w:themeShade="1A"/>
          <w:sz w:val="22"/>
          <w:szCs w:val="22"/>
          <w:lang w:val="es-ES_tradnl"/>
        </w:rPr>
        <w:t>a</w:t>
      </w:r>
      <w:r w:rsidR="00A8294C">
        <w:rPr>
          <w:rFonts w:ascii="Arial" w:hAnsi="Arial" w:cs="Arial"/>
          <w:color w:val="161616" w:themeColor="background1" w:themeShade="1A"/>
          <w:sz w:val="22"/>
          <w:szCs w:val="22"/>
          <w:lang w:val="es-ES_tradnl"/>
        </w:rPr>
        <w:t xml:space="preserve"> de infraestructura de transporte </w:t>
      </w:r>
      <w:r w:rsidR="00B04087">
        <w:rPr>
          <w:rFonts w:ascii="Arial" w:hAnsi="Arial" w:cs="Arial"/>
          <w:color w:val="161616" w:themeColor="background1" w:themeShade="1A"/>
          <w:sz w:val="22"/>
          <w:szCs w:val="22"/>
          <w:lang w:val="es-ES_tradnl"/>
        </w:rPr>
        <w:t>– V</w:t>
      </w:r>
      <w:r w:rsidR="00A8294C">
        <w:rPr>
          <w:rFonts w:ascii="Arial" w:hAnsi="Arial" w:cs="Arial"/>
          <w:color w:val="161616" w:themeColor="background1" w:themeShade="1A"/>
          <w:sz w:val="22"/>
          <w:szCs w:val="22"/>
          <w:lang w:val="es-ES_tradnl"/>
        </w:rPr>
        <w:t xml:space="preserve">ersión 3: </w:t>
      </w:r>
    </w:p>
    <w:p w14:paraId="68A25ADE" w14:textId="77777777" w:rsidR="00B10566" w:rsidRPr="009548D4" w:rsidRDefault="00B94548" w:rsidP="002A460E">
      <w:pPr>
        <w:spacing w:before="240"/>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t>«</w:t>
      </w:r>
      <w:r w:rsidR="00B10566" w:rsidRPr="009548D4">
        <w:rPr>
          <w:rFonts w:ascii="Arial" w:hAnsi="Arial" w:cs="Arial"/>
          <w:bCs/>
          <w:sz w:val="20"/>
          <w:szCs w:val="20"/>
          <w:lang w:val="es-MX" w:eastAsia="x-none"/>
        </w:rPr>
        <w:t xml:space="preserve">Pegunta 1. Si un proponente en su formato 5C formato de saldo de contratos en ejecución, por error reporta un contrato en ejecución, pero su estado y fechas de suspensión están mal, esto es motivo para ser rechazada la propuesta o la entidad debe de permitir subsanar ya que el contrato se reporto y dentro de la subsanación se realiza nuevamente la verificación si cumple con su capacidad residual y si cumple la entidad lo debe de habilitar? </w:t>
      </w:r>
    </w:p>
    <w:p w14:paraId="69C44225" w14:textId="43488FB2" w:rsidR="00B10566" w:rsidRPr="009548D4" w:rsidRDefault="00B10566" w:rsidP="002A460E">
      <w:pPr>
        <w:spacing w:before="240"/>
        <w:ind w:left="708" w:right="709"/>
        <w:jc w:val="both"/>
        <w:rPr>
          <w:rFonts w:ascii="Arial" w:hAnsi="Arial" w:cs="Arial"/>
          <w:bCs/>
          <w:sz w:val="20"/>
          <w:szCs w:val="20"/>
          <w:lang w:val="es-MX" w:eastAsia="x-none"/>
        </w:rPr>
      </w:pPr>
      <w:r w:rsidRPr="009548D4">
        <w:rPr>
          <w:rFonts w:ascii="Arial" w:hAnsi="Arial" w:cs="Arial"/>
          <w:bCs/>
          <w:sz w:val="20"/>
          <w:szCs w:val="20"/>
          <w:lang w:val="es-MX" w:eastAsia="x-none"/>
        </w:rPr>
        <w:lastRenderedPageBreak/>
        <w:t>Pregunta 2. Se le solicita a Colombia Compra Eficiente que implemente para el requerimiento por propuesta con precios artificialmente bajos, mas allá de la guía para determinación de precios bajos de Colombia Compra Eficiente, ya que muchas entidades están utilizando este requerimiento para tratar de direccionar la contratación, ya que la guía da las directrices para determinar una propuesta con precios artificialmente bajos, pero en su requerimiento al contratista es facultativo de la entidad determinar si cumple o  no con la justificación de los precios bajos, lo que esta llevando a que en muchas entidades no tienen definido el criterio y están rechazando o habilitando ofertas de manera subjetiva, por lo cual se solicita que implemente una guía especifica para rechazar o habilitar ofertas y que en esta guía se solicite lo necesario para poder justificar la oferta es decir, que se tenga definido lo que se deba de presentar para justificar la oferta, como ejemplo, el contratista debe presentar APUS, junto con los respectivo soportes de precios de los insumos, maquinaria y transporte requeridos si se presenta así y si la entidad verifica lo presentado que se habiliten las propuestas, ya que en muchos casos se presenta lo necesario para justificar la oferta y las entidades rechazan las ofertas, simplemente diciendo que la oferta no brinda garantía de ejecución para la entidad.</w:t>
      </w:r>
    </w:p>
    <w:p w14:paraId="4664ACBE" w14:textId="77777777" w:rsidR="00B10566" w:rsidRPr="009548D4" w:rsidRDefault="00B10566" w:rsidP="002A460E">
      <w:pPr>
        <w:spacing w:before="240"/>
        <w:ind w:left="708" w:right="709"/>
        <w:jc w:val="both"/>
        <w:rPr>
          <w:rFonts w:ascii="Arial" w:hAnsi="Arial" w:cs="Arial"/>
          <w:bCs/>
          <w:sz w:val="20"/>
          <w:szCs w:val="20"/>
          <w:lang w:val="es-MX" w:eastAsia="x-none"/>
        </w:rPr>
      </w:pPr>
      <w:r w:rsidRPr="009548D4">
        <w:rPr>
          <w:rFonts w:ascii="Arial" w:hAnsi="Arial" w:cs="Arial"/>
          <w:bCs/>
          <w:sz w:val="20"/>
          <w:szCs w:val="20"/>
          <w:lang w:val="es-MX" w:eastAsia="x-none"/>
        </w:rPr>
        <w:t xml:space="preserve">3. Cundo en la entidad adelanta un proceso en Secop I y se presentan observaciones de manera física, es requisito de la entidad dar publicación de las observaciones en la plataforma secop I el mismo día de radicada la observación o máximo al siguiente día, con el fin de que se garantice la transparencia y selección objetiva en el proceso?. </w:t>
      </w:r>
    </w:p>
    <w:p w14:paraId="5472E007" w14:textId="51946E9F" w:rsidR="00B10566" w:rsidRPr="009548D4" w:rsidRDefault="00B10566" w:rsidP="002A460E">
      <w:pPr>
        <w:spacing w:before="240"/>
        <w:ind w:left="708" w:right="709"/>
        <w:jc w:val="both"/>
        <w:rPr>
          <w:rFonts w:ascii="Arial" w:hAnsi="Arial" w:cs="Arial"/>
          <w:bCs/>
          <w:sz w:val="20"/>
          <w:szCs w:val="20"/>
          <w:lang w:val="es-MX" w:eastAsia="x-none"/>
        </w:rPr>
      </w:pPr>
      <w:r w:rsidRPr="009548D4">
        <w:rPr>
          <w:rFonts w:ascii="Arial" w:hAnsi="Arial" w:cs="Arial"/>
          <w:bCs/>
          <w:sz w:val="20"/>
          <w:szCs w:val="20"/>
          <w:lang w:val="es-MX" w:eastAsia="x-none"/>
        </w:rPr>
        <w:t>4. El único facultado para realizar la adjudicación de un proceso es el ordenador del gasto, o delegado mediante acto administrativo? y esta adjudicación se debe de realizar en audiencia?</w:t>
      </w:r>
    </w:p>
    <w:p w14:paraId="3E82B901" w14:textId="77777777" w:rsidR="00B10566" w:rsidRPr="009548D4" w:rsidRDefault="00B10566" w:rsidP="002A460E">
      <w:pPr>
        <w:spacing w:before="240"/>
        <w:ind w:left="708" w:right="709"/>
        <w:jc w:val="both"/>
        <w:rPr>
          <w:rFonts w:ascii="Arial" w:hAnsi="Arial" w:cs="Arial"/>
          <w:bCs/>
          <w:sz w:val="20"/>
          <w:szCs w:val="20"/>
          <w:lang w:val="es-MX" w:eastAsia="x-none"/>
        </w:rPr>
      </w:pPr>
      <w:r w:rsidRPr="009548D4">
        <w:rPr>
          <w:rFonts w:ascii="Arial" w:hAnsi="Arial" w:cs="Arial"/>
          <w:bCs/>
          <w:sz w:val="20"/>
          <w:szCs w:val="20"/>
          <w:lang w:val="es-MX" w:eastAsia="x-none"/>
        </w:rPr>
        <w:t>5. En el formato 5C es causal de rechazo, reportar un contrato en ejecución, cuando realmente estaba suspendido?</w:t>
      </w:r>
    </w:p>
    <w:p w14:paraId="6F4A16EF" w14:textId="3633BF6F" w:rsidR="00B10566" w:rsidRPr="009548D4" w:rsidRDefault="00B10566" w:rsidP="002A460E">
      <w:pPr>
        <w:spacing w:before="240"/>
        <w:ind w:left="708" w:right="709"/>
        <w:jc w:val="both"/>
        <w:rPr>
          <w:rFonts w:ascii="Arial" w:hAnsi="Arial" w:cs="Arial"/>
          <w:bCs/>
          <w:sz w:val="20"/>
          <w:szCs w:val="20"/>
          <w:lang w:val="es-MX" w:eastAsia="x-none"/>
        </w:rPr>
      </w:pPr>
      <w:r w:rsidRPr="009548D4">
        <w:rPr>
          <w:rFonts w:ascii="Arial" w:hAnsi="Arial" w:cs="Arial"/>
          <w:bCs/>
          <w:sz w:val="20"/>
          <w:szCs w:val="20"/>
          <w:lang w:val="es-MX" w:eastAsia="x-none"/>
        </w:rPr>
        <w:t>6. En el formato 5C es causal de rechazo, reportar equivocadamente mal las fechas de</w:t>
      </w:r>
      <w:r w:rsidR="002A460E" w:rsidRPr="009548D4">
        <w:rPr>
          <w:rFonts w:ascii="Arial" w:hAnsi="Arial" w:cs="Arial"/>
          <w:bCs/>
          <w:sz w:val="20"/>
          <w:szCs w:val="20"/>
          <w:lang w:val="es-MX" w:eastAsia="x-none"/>
        </w:rPr>
        <w:t xml:space="preserve"> </w:t>
      </w:r>
      <w:r w:rsidRPr="009548D4">
        <w:rPr>
          <w:rFonts w:ascii="Arial" w:hAnsi="Arial" w:cs="Arial"/>
          <w:bCs/>
          <w:sz w:val="20"/>
          <w:szCs w:val="20"/>
          <w:lang w:val="es-MX" w:eastAsia="x-none"/>
        </w:rPr>
        <w:t>suspensión de un contrato en ejecución?</w:t>
      </w:r>
    </w:p>
    <w:p w14:paraId="0144AA5A" w14:textId="56EC4C7C" w:rsidR="00B32DB2" w:rsidRPr="009548D4" w:rsidRDefault="00B10566" w:rsidP="002A460E">
      <w:pPr>
        <w:spacing w:before="240"/>
        <w:ind w:left="708" w:right="709"/>
        <w:jc w:val="both"/>
        <w:rPr>
          <w:rFonts w:ascii="Arial" w:hAnsi="Arial" w:cs="Arial"/>
          <w:bCs/>
          <w:sz w:val="20"/>
          <w:szCs w:val="20"/>
          <w:lang w:val="es-MX" w:eastAsia="x-none"/>
        </w:rPr>
      </w:pPr>
      <w:r w:rsidRPr="009548D4">
        <w:rPr>
          <w:rFonts w:ascii="Arial" w:hAnsi="Arial" w:cs="Arial"/>
          <w:bCs/>
          <w:sz w:val="20"/>
          <w:szCs w:val="20"/>
          <w:lang w:val="es-MX" w:eastAsia="x-none"/>
        </w:rPr>
        <w:t>7. En el formato 5C, Si un contrato cuenta con resolución de adjudicación, pero no tiene acta de inicio, este contrato se debe de reportar?</w:t>
      </w:r>
      <w:r w:rsidR="00EA04BE" w:rsidRPr="009548D4">
        <w:rPr>
          <w:rFonts w:ascii="Arial" w:hAnsi="Arial" w:cs="Arial"/>
          <w:bCs/>
          <w:sz w:val="20"/>
          <w:szCs w:val="20"/>
          <w:lang w:val="es-MX" w:eastAsia="x-none"/>
        </w:rPr>
        <w:t>»</w:t>
      </w:r>
      <w:r w:rsidR="00A65DB0" w:rsidRPr="009548D4">
        <w:rPr>
          <w:rFonts w:ascii="Arial" w:hAnsi="Arial" w:cs="Arial"/>
          <w:bCs/>
          <w:sz w:val="20"/>
          <w:szCs w:val="20"/>
          <w:lang w:val="es-MX" w:eastAsia="x-none"/>
        </w:rPr>
        <w:t xml:space="preserve"> (sic)</w:t>
      </w:r>
      <w:r w:rsidR="00983695" w:rsidRPr="009548D4">
        <w:rPr>
          <w:rFonts w:ascii="Arial" w:hAnsi="Arial" w:cs="Arial"/>
          <w:bCs/>
          <w:sz w:val="20"/>
          <w:szCs w:val="20"/>
          <w:lang w:val="es-MX" w:eastAsia="x-none"/>
        </w:rPr>
        <w:t>.</w:t>
      </w:r>
    </w:p>
    <w:p w14:paraId="0F58A986" w14:textId="041060E5" w:rsidR="00AA171A" w:rsidRPr="0087041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02D43E7E" w14:textId="77777777" w:rsidR="00F158B5" w:rsidRDefault="00F158B5" w:rsidP="00F158B5">
      <w:pPr>
        <w:spacing w:after="120" w:line="276" w:lineRule="auto"/>
        <w:jc w:val="both"/>
        <w:rPr>
          <w:rFonts w:ascii="Arial" w:hAnsi="Arial" w:cs="Arial"/>
          <w:bCs/>
          <w:sz w:val="22"/>
          <w:szCs w:val="22"/>
          <w:lang w:val="es-MX"/>
        </w:rPr>
      </w:pPr>
    </w:p>
    <w:p w14:paraId="47FADC88" w14:textId="35BBDB2E" w:rsidR="00F158B5" w:rsidRPr="00AD0DFE" w:rsidRDefault="00F158B5" w:rsidP="00F158B5">
      <w:pPr>
        <w:spacing w:after="120" w:line="276" w:lineRule="auto"/>
        <w:jc w:val="both"/>
        <w:rPr>
          <w:rFonts w:ascii="Arial" w:eastAsia="Calibri" w:hAnsi="Arial" w:cs="Arial"/>
          <w:color w:val="000000"/>
          <w:sz w:val="22"/>
          <w:szCs w:val="22"/>
        </w:rPr>
      </w:pPr>
      <w:r w:rsidRPr="00AD0DFE">
        <w:rPr>
          <w:rFonts w:ascii="Arial" w:hAnsi="Arial" w:cs="Arial"/>
          <w:bCs/>
          <w:sz w:val="22"/>
          <w:szCs w:val="22"/>
          <w:lang w:val="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AD0DFE">
        <w:rPr>
          <w:rFonts w:ascii="Arial" w:hAnsi="Arial" w:cs="Arial"/>
          <w:sz w:val="22"/>
          <w:szCs w:val="22"/>
          <w:lang w:val="es-ES"/>
        </w:rPr>
        <w:t xml:space="preserve">Es necesario tener en cuenta que esta entidad solo tiene competencia para responder solicitudes sobre </w:t>
      </w:r>
      <w:r w:rsidRPr="00AD0DFE">
        <w:rPr>
          <w:rFonts w:ascii="Arial" w:hAnsi="Arial" w:cs="Arial"/>
          <w:color w:val="000000"/>
          <w:sz w:val="22"/>
          <w:szCs w:val="22"/>
          <w:lang w:eastAsia="es-MX"/>
        </w:rPr>
        <w:t xml:space="preserve">la aplicación de normas de carácter general en materia de compras y contratación pública. En ese sentido, resolver consultas sobre casos particulares desborda </w:t>
      </w:r>
      <w:r w:rsidRPr="00AD0DFE">
        <w:rPr>
          <w:rFonts w:ascii="Arial" w:hAnsi="Arial" w:cs="Arial"/>
          <w:color w:val="000000"/>
          <w:sz w:val="22"/>
          <w:szCs w:val="22"/>
          <w:lang w:eastAsia="es-MX"/>
        </w:rPr>
        <w:lastRenderedPageBreak/>
        <w:t>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AD0DFE">
        <w:rPr>
          <w:rFonts w:ascii="Arial" w:eastAsia="Calibri" w:hAnsi="Arial" w:cs="Arial"/>
          <w:color w:val="000000"/>
          <w:sz w:val="22"/>
          <w:szCs w:val="22"/>
          <w:lang w:eastAsia="es-MX"/>
        </w:rPr>
        <w:t xml:space="preserve"> </w:t>
      </w:r>
      <w:r w:rsidRPr="00AD0DFE">
        <w:rPr>
          <w:rFonts w:ascii="Arial" w:hAnsi="Arial" w:cs="Arial"/>
          <w:color w:val="000000"/>
          <w:sz w:val="22"/>
          <w:szCs w:val="22"/>
          <w:shd w:val="clear" w:color="auto" w:fill="FFFFFF"/>
          <w:lang w:eastAsia="es-MX"/>
        </w:rPr>
        <w:t> </w:t>
      </w:r>
    </w:p>
    <w:p w14:paraId="7DEB2525" w14:textId="77777777" w:rsidR="00F158B5" w:rsidRPr="00AD0DFE" w:rsidRDefault="00F158B5" w:rsidP="004F49DE">
      <w:pPr>
        <w:spacing w:after="120" w:line="276" w:lineRule="auto"/>
        <w:jc w:val="both"/>
        <w:rPr>
          <w:rFonts w:ascii="Arial" w:hAnsi="Arial" w:cs="Arial"/>
          <w:color w:val="000000"/>
          <w:sz w:val="22"/>
          <w:szCs w:val="22"/>
          <w:lang w:eastAsia="es-MX"/>
        </w:rPr>
      </w:pPr>
      <w:r w:rsidRPr="00AD0DFE">
        <w:rPr>
          <w:rFonts w:ascii="Arial" w:hAnsi="Arial" w:cs="Arial"/>
          <w:color w:val="000000"/>
          <w:sz w:val="22"/>
          <w:szCs w:val="22"/>
          <w:lang w:eastAsia="es-MX"/>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AD0DFE">
        <w:rPr>
          <w:rFonts w:ascii="Arial" w:hAnsi="Arial" w:cs="Arial"/>
          <w:color w:val="000000"/>
          <w:sz w:val="22"/>
          <w:szCs w:val="22"/>
          <w:vertAlign w:val="superscript"/>
          <w:lang w:eastAsia="es-MX"/>
        </w:rPr>
        <w:footnoteReference w:id="1"/>
      </w:r>
      <w:r w:rsidRPr="00AD0DFE">
        <w:rPr>
          <w:rFonts w:ascii="Arial" w:hAnsi="Arial" w:cs="Arial"/>
          <w:color w:val="000000"/>
          <w:sz w:val="22"/>
          <w:szCs w:val="22"/>
          <w:lang w:eastAsia="es-MX"/>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4F49DE">
        <w:rPr>
          <w:rFonts w:ascii="Arial" w:hAnsi="Arial" w:cs="Arial"/>
          <w:color w:val="000000"/>
          <w:sz w:val="22"/>
          <w:szCs w:val="22"/>
          <w:lang w:eastAsia="es-MX"/>
        </w:rPr>
        <w:t> </w:t>
      </w:r>
    </w:p>
    <w:p w14:paraId="302008FE" w14:textId="30AB0EA9" w:rsidR="00F2274F" w:rsidRPr="004F49DE" w:rsidRDefault="00F158B5" w:rsidP="004F49DE">
      <w:pPr>
        <w:spacing w:after="120" w:line="276" w:lineRule="auto"/>
        <w:jc w:val="both"/>
        <w:rPr>
          <w:rFonts w:ascii="Arial" w:hAnsi="Arial" w:cs="Arial"/>
          <w:color w:val="000000"/>
          <w:sz w:val="22"/>
          <w:szCs w:val="22"/>
          <w:lang w:eastAsia="es-MX"/>
        </w:rPr>
      </w:pPr>
      <w:r w:rsidRPr="004F49DE">
        <w:rPr>
          <w:rFonts w:ascii="Arial" w:hAnsi="Arial" w:cs="Arial"/>
          <w:color w:val="000000"/>
          <w:sz w:val="22"/>
          <w:szCs w:val="22"/>
          <w:lang w:eastAsia="es-MX"/>
        </w:rPr>
        <w:tab/>
        <w:t>Por ello, la Subdirección, dentro de los límites de sus atribuciones, resolverá la consulta conforme a las normas generales en materia de contratación estatal. Con este objetivo se analizarán los siguientes temas:</w:t>
      </w:r>
      <w:r w:rsidR="00870412" w:rsidRPr="004F49DE">
        <w:rPr>
          <w:rFonts w:ascii="Arial" w:hAnsi="Arial" w:cs="Arial"/>
          <w:color w:val="000000"/>
          <w:sz w:val="22"/>
          <w:szCs w:val="22"/>
          <w:lang w:eastAsia="es-MX"/>
        </w:rPr>
        <w:t xml:space="preserve"> </w:t>
      </w:r>
      <w:r w:rsidRPr="004F49DE">
        <w:rPr>
          <w:rFonts w:ascii="Arial" w:hAnsi="Arial" w:cs="Arial"/>
          <w:color w:val="000000"/>
          <w:sz w:val="22"/>
          <w:szCs w:val="22"/>
          <w:lang w:eastAsia="es-MX"/>
        </w:rPr>
        <w:t>i) alcance de la competencia consultiva y naturaleza jurídica de los conceptos expedidos por la Agencia</w:t>
      </w:r>
      <w:r w:rsidR="00B04087">
        <w:rPr>
          <w:rFonts w:ascii="Arial" w:hAnsi="Arial" w:cs="Arial"/>
          <w:color w:val="000000"/>
          <w:sz w:val="22"/>
          <w:szCs w:val="22"/>
          <w:lang w:eastAsia="es-MX"/>
        </w:rPr>
        <w:t>,</w:t>
      </w:r>
      <w:r w:rsidRPr="004F49DE">
        <w:rPr>
          <w:rFonts w:ascii="Arial" w:hAnsi="Arial" w:cs="Arial"/>
          <w:color w:val="000000"/>
          <w:sz w:val="22"/>
          <w:szCs w:val="22"/>
          <w:lang w:eastAsia="es-MX"/>
        </w:rPr>
        <w:t xml:space="preserve"> </w:t>
      </w:r>
      <w:proofErr w:type="spellStart"/>
      <w:r w:rsidR="004F49DE" w:rsidRPr="004F49DE">
        <w:rPr>
          <w:rFonts w:ascii="Arial" w:hAnsi="Arial" w:cs="Arial"/>
          <w:color w:val="000000"/>
          <w:sz w:val="22"/>
          <w:szCs w:val="22"/>
          <w:lang w:eastAsia="es-MX"/>
        </w:rPr>
        <w:t>ii</w:t>
      </w:r>
      <w:proofErr w:type="spellEnd"/>
      <w:r w:rsidR="004F49DE" w:rsidRPr="004F49DE">
        <w:rPr>
          <w:rFonts w:ascii="Arial" w:hAnsi="Arial" w:cs="Arial"/>
          <w:color w:val="000000"/>
          <w:sz w:val="22"/>
          <w:szCs w:val="22"/>
          <w:lang w:eastAsia="es-MX"/>
        </w:rPr>
        <w:t xml:space="preserve">) capacidad residual como requisito habilitante: Saldo de Contratos en Ejecución –SCE–, </w:t>
      </w:r>
      <w:proofErr w:type="spellStart"/>
      <w:r w:rsidR="004F49DE" w:rsidRPr="004F49DE">
        <w:rPr>
          <w:rFonts w:ascii="Arial" w:hAnsi="Arial" w:cs="Arial"/>
          <w:color w:val="000000"/>
          <w:sz w:val="22"/>
          <w:szCs w:val="22"/>
          <w:lang w:eastAsia="es-MX"/>
        </w:rPr>
        <w:t>iii</w:t>
      </w:r>
      <w:proofErr w:type="spellEnd"/>
      <w:r w:rsidR="004F49DE" w:rsidRPr="004F49DE">
        <w:rPr>
          <w:rFonts w:ascii="Arial" w:hAnsi="Arial" w:cs="Arial"/>
          <w:color w:val="000000"/>
          <w:sz w:val="22"/>
          <w:szCs w:val="22"/>
          <w:lang w:eastAsia="es-MX"/>
        </w:rPr>
        <w:t xml:space="preserve">) Capacidad residual y rechazo de la oferta en los «Documentos Tipo – Versión 3» de licitación para obra pública de infraestructura de transporte, </w:t>
      </w:r>
      <w:proofErr w:type="spellStart"/>
      <w:r w:rsidR="004F49DE" w:rsidRPr="004F49DE">
        <w:rPr>
          <w:rFonts w:ascii="Arial" w:hAnsi="Arial" w:cs="Arial"/>
          <w:color w:val="000000"/>
          <w:sz w:val="22"/>
          <w:szCs w:val="22"/>
          <w:lang w:eastAsia="es-MX"/>
        </w:rPr>
        <w:t>iv</w:t>
      </w:r>
      <w:proofErr w:type="spellEnd"/>
      <w:r w:rsidR="004F49DE" w:rsidRPr="004F49DE">
        <w:rPr>
          <w:rFonts w:ascii="Arial" w:hAnsi="Arial" w:cs="Arial"/>
          <w:color w:val="000000"/>
          <w:sz w:val="22"/>
          <w:szCs w:val="22"/>
          <w:lang w:eastAsia="es-MX"/>
        </w:rPr>
        <w:t>) Regulación de los «precios artificialmente bajos» en la contratación pública</w:t>
      </w:r>
      <w:r w:rsidR="00636963">
        <w:rPr>
          <w:rFonts w:ascii="Arial" w:hAnsi="Arial" w:cs="Arial"/>
          <w:color w:val="000000"/>
          <w:sz w:val="22"/>
          <w:szCs w:val="22"/>
          <w:lang w:eastAsia="es-MX"/>
        </w:rPr>
        <w:t>,</w:t>
      </w:r>
      <w:r w:rsidR="004F49DE" w:rsidRPr="004F49DE">
        <w:rPr>
          <w:rFonts w:ascii="Arial" w:hAnsi="Arial" w:cs="Arial"/>
          <w:color w:val="000000"/>
          <w:sz w:val="22"/>
          <w:szCs w:val="22"/>
          <w:lang w:eastAsia="es-MX"/>
        </w:rPr>
        <w:t xml:space="preserve"> v)</w:t>
      </w:r>
      <w:r w:rsidR="00042041">
        <w:rPr>
          <w:rFonts w:ascii="Arial" w:hAnsi="Arial" w:cs="Arial"/>
          <w:color w:val="000000"/>
          <w:sz w:val="22"/>
          <w:szCs w:val="22"/>
          <w:lang w:eastAsia="es-MX"/>
        </w:rPr>
        <w:t xml:space="preserve"> </w:t>
      </w:r>
      <w:r w:rsidR="004B1292" w:rsidRPr="004B1292">
        <w:rPr>
          <w:rFonts w:ascii="Arial" w:hAnsi="Arial" w:cs="Arial"/>
          <w:color w:val="000000"/>
          <w:sz w:val="22"/>
          <w:szCs w:val="22"/>
          <w:lang w:eastAsia="es-MX"/>
        </w:rPr>
        <w:t>Deber de las entidades estatales de publicar los documentos relacionados con su actividad contractual en el SECOP</w:t>
      </w:r>
      <w:r w:rsidR="00636963">
        <w:rPr>
          <w:rFonts w:ascii="Arial" w:hAnsi="Arial" w:cs="Arial"/>
          <w:color w:val="000000"/>
          <w:sz w:val="22"/>
          <w:szCs w:val="22"/>
          <w:lang w:eastAsia="es-MX"/>
        </w:rPr>
        <w:t>,</w:t>
      </w:r>
      <w:r w:rsidR="004B1292" w:rsidRPr="004B1292">
        <w:rPr>
          <w:rFonts w:ascii="Arial" w:hAnsi="Arial" w:cs="Arial"/>
          <w:color w:val="000000"/>
          <w:sz w:val="22"/>
          <w:szCs w:val="22"/>
          <w:lang w:eastAsia="es-MX"/>
        </w:rPr>
        <w:t xml:space="preserve"> </w:t>
      </w:r>
      <w:r w:rsidR="004B1292">
        <w:rPr>
          <w:rFonts w:ascii="Arial" w:hAnsi="Arial" w:cs="Arial"/>
          <w:color w:val="000000"/>
          <w:sz w:val="22"/>
          <w:szCs w:val="22"/>
          <w:lang w:eastAsia="es-MX"/>
        </w:rPr>
        <w:t>vi)</w:t>
      </w:r>
      <w:r w:rsidR="0081103C">
        <w:rPr>
          <w:rFonts w:ascii="Arial" w:hAnsi="Arial" w:cs="Arial"/>
          <w:color w:val="000000"/>
          <w:sz w:val="22"/>
          <w:szCs w:val="22"/>
          <w:lang w:eastAsia="es-MX"/>
        </w:rPr>
        <w:t xml:space="preserve"> r</w:t>
      </w:r>
      <w:r w:rsidR="0081103C" w:rsidRPr="0081103C">
        <w:rPr>
          <w:rFonts w:ascii="Arial" w:hAnsi="Arial" w:cs="Arial"/>
          <w:color w:val="000000"/>
          <w:sz w:val="22"/>
          <w:szCs w:val="22"/>
          <w:lang w:eastAsia="es-MX"/>
        </w:rPr>
        <w:t>esponsables de la actividad contractual</w:t>
      </w:r>
      <w:r w:rsidR="008C01A4">
        <w:rPr>
          <w:rFonts w:ascii="Arial" w:hAnsi="Arial" w:cs="Arial"/>
          <w:color w:val="000000"/>
          <w:sz w:val="22"/>
          <w:szCs w:val="22"/>
          <w:lang w:eastAsia="es-MX"/>
        </w:rPr>
        <w:t xml:space="preserve"> y </w:t>
      </w:r>
      <w:proofErr w:type="spellStart"/>
      <w:r w:rsidR="008C01A4">
        <w:rPr>
          <w:rFonts w:ascii="Arial" w:hAnsi="Arial" w:cs="Arial"/>
          <w:color w:val="000000"/>
          <w:sz w:val="22"/>
          <w:szCs w:val="22"/>
          <w:lang w:eastAsia="es-MX"/>
        </w:rPr>
        <w:t>vii</w:t>
      </w:r>
      <w:proofErr w:type="spellEnd"/>
      <w:r w:rsidR="008C01A4">
        <w:rPr>
          <w:rFonts w:ascii="Arial" w:hAnsi="Arial" w:cs="Arial"/>
          <w:color w:val="000000"/>
          <w:sz w:val="22"/>
          <w:szCs w:val="22"/>
          <w:lang w:eastAsia="es-MX"/>
        </w:rPr>
        <w:t>) l</w:t>
      </w:r>
      <w:r w:rsidR="008C01A4" w:rsidRPr="008C01A4">
        <w:rPr>
          <w:rFonts w:ascii="Arial" w:hAnsi="Arial" w:cs="Arial"/>
          <w:color w:val="000000"/>
          <w:sz w:val="22"/>
          <w:szCs w:val="22"/>
          <w:lang w:eastAsia="es-MX"/>
        </w:rPr>
        <w:t xml:space="preserve">a audiencia de adjudicación en </w:t>
      </w:r>
      <w:r w:rsidR="00636963">
        <w:rPr>
          <w:rFonts w:ascii="Arial" w:hAnsi="Arial" w:cs="Arial"/>
          <w:color w:val="000000"/>
          <w:sz w:val="22"/>
          <w:szCs w:val="22"/>
          <w:lang w:eastAsia="es-MX"/>
        </w:rPr>
        <w:t>los procesos de</w:t>
      </w:r>
      <w:r w:rsidR="00636963" w:rsidRPr="008C01A4">
        <w:rPr>
          <w:rFonts w:ascii="Arial" w:hAnsi="Arial" w:cs="Arial"/>
          <w:color w:val="000000"/>
          <w:sz w:val="22"/>
          <w:szCs w:val="22"/>
          <w:lang w:eastAsia="es-MX"/>
        </w:rPr>
        <w:t xml:space="preserve"> </w:t>
      </w:r>
      <w:r w:rsidR="008C01A4" w:rsidRPr="008C01A4">
        <w:rPr>
          <w:rFonts w:ascii="Arial" w:hAnsi="Arial" w:cs="Arial"/>
          <w:color w:val="000000"/>
          <w:sz w:val="22"/>
          <w:szCs w:val="22"/>
          <w:lang w:eastAsia="es-MX"/>
        </w:rPr>
        <w:t>licitación pública</w:t>
      </w:r>
      <w:r w:rsidR="008C01A4">
        <w:rPr>
          <w:rFonts w:ascii="Arial" w:hAnsi="Arial" w:cs="Arial"/>
          <w:color w:val="000000"/>
          <w:sz w:val="22"/>
          <w:szCs w:val="22"/>
          <w:lang w:eastAsia="es-MX"/>
        </w:rPr>
        <w:t>.</w:t>
      </w:r>
      <w:r w:rsidR="008C2E55">
        <w:rPr>
          <w:rFonts w:ascii="Arial" w:hAnsi="Arial" w:cs="Arial"/>
          <w:color w:val="000000"/>
          <w:sz w:val="22"/>
          <w:szCs w:val="22"/>
          <w:lang w:eastAsia="es-MX"/>
        </w:rPr>
        <w:t xml:space="preserve"> </w:t>
      </w:r>
    </w:p>
    <w:p w14:paraId="6155F68E" w14:textId="77777777" w:rsidR="00F158B5" w:rsidRDefault="00F158B5" w:rsidP="00F158B5">
      <w:pPr>
        <w:tabs>
          <w:tab w:val="left" w:pos="426"/>
        </w:tabs>
        <w:spacing w:line="276" w:lineRule="auto"/>
        <w:jc w:val="both"/>
        <w:rPr>
          <w:rFonts w:ascii="Arial" w:eastAsia="Calibri" w:hAnsi="Arial" w:cs="Arial"/>
          <w:b/>
          <w:bCs/>
          <w:sz w:val="22"/>
          <w:szCs w:val="22"/>
        </w:rPr>
      </w:pPr>
    </w:p>
    <w:p w14:paraId="0D5CCFC2" w14:textId="29EC17B3" w:rsidR="00F158B5" w:rsidRPr="00AD0DFE" w:rsidRDefault="00F158B5" w:rsidP="00F158B5">
      <w:pPr>
        <w:tabs>
          <w:tab w:val="left" w:pos="426"/>
        </w:tabs>
        <w:spacing w:line="276" w:lineRule="auto"/>
        <w:jc w:val="both"/>
        <w:rPr>
          <w:rFonts w:ascii="Arial" w:eastAsia="Calibri" w:hAnsi="Arial" w:cs="Arial"/>
          <w:b/>
          <w:bCs/>
          <w:sz w:val="22"/>
          <w:szCs w:val="22"/>
        </w:rPr>
      </w:pPr>
      <w:r w:rsidRPr="00AD0DFE">
        <w:rPr>
          <w:rFonts w:ascii="Arial" w:eastAsia="Calibri" w:hAnsi="Arial" w:cs="Arial"/>
          <w:b/>
          <w:bCs/>
          <w:sz w:val="22"/>
          <w:szCs w:val="22"/>
        </w:rPr>
        <w:t>2.1. Alcance de la competencia consultiva y naturaleza jurídica de los conceptos expedidos por la Agencia</w:t>
      </w:r>
    </w:p>
    <w:p w14:paraId="3C9B0205" w14:textId="77777777" w:rsidR="00F158B5" w:rsidRPr="00AD0DFE" w:rsidRDefault="00F158B5" w:rsidP="00F158B5">
      <w:pPr>
        <w:spacing w:line="276" w:lineRule="auto"/>
        <w:jc w:val="both"/>
        <w:rPr>
          <w:rFonts w:ascii="Arial" w:hAnsi="Arial" w:cs="Arial"/>
          <w:color w:val="000000"/>
          <w:sz w:val="22"/>
          <w:szCs w:val="22"/>
          <w:shd w:val="clear" w:color="auto" w:fill="FFFFFF"/>
          <w:lang w:eastAsia="es-MX"/>
        </w:rPr>
      </w:pPr>
    </w:p>
    <w:p w14:paraId="21A94AAB" w14:textId="43992ADE" w:rsidR="00F158B5" w:rsidRPr="00AD0DFE" w:rsidRDefault="00F158B5" w:rsidP="00F158B5">
      <w:pPr>
        <w:spacing w:after="120" w:line="276" w:lineRule="auto"/>
        <w:jc w:val="both"/>
        <w:rPr>
          <w:rFonts w:ascii="Arial" w:eastAsia="Calibri" w:hAnsi="Arial" w:cs="Arial"/>
          <w:color w:val="000000" w:themeColor="text1"/>
          <w:sz w:val="22"/>
          <w:szCs w:val="22"/>
        </w:rPr>
      </w:pPr>
      <w:r w:rsidRPr="00AD0DFE">
        <w:rPr>
          <w:rFonts w:ascii="Arial" w:hAnsi="Arial" w:cs="Arial"/>
          <w:color w:val="000000"/>
          <w:sz w:val="22"/>
          <w:szCs w:val="22"/>
          <w:shd w:val="clear" w:color="auto" w:fill="FFFFFF"/>
          <w:lang w:eastAsia="es-MX"/>
        </w:rPr>
        <w:t>L</w:t>
      </w:r>
      <w:r w:rsidRPr="00AD0DFE">
        <w:rPr>
          <w:rFonts w:ascii="Arial" w:eastAsia="Calibri" w:hAnsi="Arial" w:cs="Arial"/>
          <w:color w:val="000000"/>
          <w:sz w:val="22"/>
          <w:szCs w:val="22"/>
        </w:rPr>
        <w:t xml:space="preserve">a Agencia Nacional de Contratación Pública – Colombia Compra Eficiente se ha pronunciado, sobre </w:t>
      </w:r>
      <w:r w:rsidRPr="00AD0DFE">
        <w:rPr>
          <w:rStyle w:val="normaltextrun"/>
          <w:rFonts w:ascii="Arial" w:hAnsi="Arial" w:cs="Arial"/>
          <w:color w:val="000000"/>
          <w:sz w:val="22"/>
          <w:szCs w:val="22"/>
          <w:shd w:val="clear" w:color="auto" w:fill="FFFFFF"/>
        </w:rPr>
        <w:t xml:space="preserve">el alcance de la competencia consultiva de esta Agencia, entre otros, </w:t>
      </w:r>
      <w:r w:rsidRPr="00AD0DFE">
        <w:rPr>
          <w:rStyle w:val="normaltextrun"/>
          <w:rFonts w:ascii="Arial" w:hAnsi="Arial" w:cs="Arial"/>
          <w:color w:val="000000"/>
          <w:sz w:val="22"/>
          <w:szCs w:val="22"/>
          <w:shd w:val="clear" w:color="auto" w:fill="FFFFFF"/>
        </w:rPr>
        <w:lastRenderedPageBreak/>
        <w:t xml:space="preserve">en los conceptos C-317 del 10 de junio de 2020, C-337 del 26 de junio de 2020, C-353 del 30 de junio de 2020, C-439 del 27 de julio de 2020, </w:t>
      </w:r>
      <w:r w:rsidRPr="00AD0DFE">
        <w:rPr>
          <w:rFonts w:ascii="Arial" w:hAnsi="Arial" w:cs="Arial"/>
          <w:sz w:val="22"/>
          <w:szCs w:val="22"/>
        </w:rPr>
        <w:t>C-511 del 10 de agosto de 2020, C-772 del 13 de enero de 2021, C-176 del 4 de abril de 2021, C-191 del 26 de abril de 2021, C-399 del 28 de septiembre de 2021</w:t>
      </w:r>
      <w:r w:rsidR="003D6EB5">
        <w:rPr>
          <w:rFonts w:ascii="Arial" w:hAnsi="Arial" w:cs="Arial"/>
          <w:sz w:val="22"/>
          <w:szCs w:val="22"/>
        </w:rPr>
        <w:t>,</w:t>
      </w:r>
      <w:r w:rsidRPr="00AD0DFE">
        <w:rPr>
          <w:rFonts w:ascii="Arial" w:hAnsi="Arial" w:cs="Arial"/>
          <w:sz w:val="22"/>
          <w:szCs w:val="22"/>
        </w:rPr>
        <w:t xml:space="preserve"> C-335 de 23 de mayo de 2022</w:t>
      </w:r>
      <w:r w:rsidR="003D6EB5">
        <w:rPr>
          <w:rFonts w:ascii="Arial" w:hAnsi="Arial" w:cs="Arial"/>
          <w:sz w:val="22"/>
          <w:szCs w:val="22"/>
        </w:rPr>
        <w:t xml:space="preserve"> y C-441 de 11 de julio de 2022</w:t>
      </w:r>
      <w:r w:rsidRPr="00AD0DFE">
        <w:rPr>
          <w:rFonts w:ascii="Arial" w:hAnsi="Arial" w:cs="Arial"/>
          <w:sz w:val="22"/>
          <w:szCs w:val="22"/>
        </w:rPr>
        <w:t xml:space="preserve">. </w:t>
      </w:r>
      <w:r w:rsidRPr="00AD0DFE">
        <w:rPr>
          <w:rFonts w:ascii="Arial" w:eastAsia="Calibri" w:hAnsi="Arial" w:cs="Arial"/>
          <w:color w:val="000000" w:themeColor="text1"/>
          <w:sz w:val="22"/>
          <w:szCs w:val="22"/>
        </w:rPr>
        <w:t>Algunas de las consideraciones de estos conceptos se reiteran y complementan a continuación.</w:t>
      </w:r>
    </w:p>
    <w:p w14:paraId="76A23538" w14:textId="77777777" w:rsidR="00F158B5" w:rsidRPr="00AD0DFE" w:rsidRDefault="00F158B5" w:rsidP="00F158B5">
      <w:pPr>
        <w:spacing w:line="276" w:lineRule="auto"/>
        <w:ind w:firstLine="708"/>
        <w:jc w:val="both"/>
        <w:rPr>
          <w:rFonts w:ascii="Arial" w:hAnsi="Arial" w:cs="Arial"/>
          <w:color w:val="000000"/>
          <w:sz w:val="22"/>
          <w:szCs w:val="22"/>
          <w:lang w:eastAsia="es-MX"/>
        </w:rPr>
      </w:pPr>
      <w:r w:rsidRPr="00AD0DFE">
        <w:rPr>
          <w:rFonts w:ascii="Arial" w:hAnsi="Arial" w:cs="Arial"/>
          <w:color w:val="000000"/>
          <w:sz w:val="22"/>
          <w:szCs w:val="22"/>
          <w:lang w:eastAsia="es-MX"/>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AD0DFE">
        <w:rPr>
          <w:rFonts w:ascii="Arial" w:eastAsia="Calibri" w:hAnsi="Arial" w:cs="Arial"/>
          <w:bCs/>
          <w:color w:val="000000"/>
          <w:sz w:val="22"/>
          <w:szCs w:val="22"/>
          <w:lang w:eastAsia="es-MX"/>
        </w:rPr>
        <w:t> </w:t>
      </w:r>
    </w:p>
    <w:p w14:paraId="47E0A0E6" w14:textId="77777777" w:rsidR="00F158B5" w:rsidRPr="00EA10A1" w:rsidRDefault="00F158B5" w:rsidP="00F158B5">
      <w:pPr>
        <w:tabs>
          <w:tab w:val="left" w:pos="426"/>
        </w:tabs>
        <w:spacing w:line="276" w:lineRule="auto"/>
        <w:jc w:val="both"/>
        <w:rPr>
          <w:rFonts w:ascii="Arial" w:hAnsi="Arial" w:cs="Arial"/>
          <w:color w:val="000000"/>
          <w:lang w:eastAsia="es-MX"/>
        </w:rPr>
      </w:pPr>
      <w:r w:rsidRPr="00EA10A1">
        <w:rPr>
          <w:rFonts w:ascii="Arial" w:eastAsia="Calibri" w:hAnsi="Arial" w:cs="Arial"/>
          <w:bCs/>
          <w:color w:val="000000"/>
          <w:lang w:eastAsia="es-MX"/>
        </w:rPr>
        <w:t> </w:t>
      </w:r>
    </w:p>
    <w:p w14:paraId="0F8985A1" w14:textId="77777777" w:rsidR="00F158B5" w:rsidRPr="00EA10A1" w:rsidRDefault="00F158B5" w:rsidP="00F158B5">
      <w:pPr>
        <w:tabs>
          <w:tab w:val="left" w:pos="426"/>
        </w:tabs>
        <w:ind w:left="709" w:right="709"/>
        <w:jc w:val="both"/>
        <w:rPr>
          <w:rFonts w:ascii="Arial" w:hAnsi="Arial" w:cs="Arial"/>
          <w:color w:val="000000"/>
          <w:sz w:val="21"/>
          <w:szCs w:val="21"/>
          <w:lang w:eastAsia="es-MX"/>
        </w:rPr>
      </w:pPr>
      <w:r w:rsidRPr="00EA10A1">
        <w:rPr>
          <w:rFonts w:ascii="Arial" w:hAnsi="Arial" w:cs="Arial"/>
          <w:color w:val="000000"/>
          <w:sz w:val="21"/>
          <w:szCs w:val="21"/>
          <w:lang w:eastAsia="es-MX"/>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EA10A1">
        <w:rPr>
          <w:rFonts w:ascii="Arial" w:eastAsia="Calibri" w:hAnsi="Arial" w:cs="Arial"/>
          <w:bCs/>
          <w:color w:val="000000"/>
          <w:sz w:val="21"/>
          <w:szCs w:val="21"/>
          <w:lang w:eastAsia="es-MX"/>
        </w:rPr>
        <w:t>». </w:t>
      </w:r>
    </w:p>
    <w:p w14:paraId="29D81E72" w14:textId="77777777" w:rsidR="00F158B5" w:rsidRPr="00EA10A1" w:rsidRDefault="00F158B5" w:rsidP="00F158B5">
      <w:pPr>
        <w:tabs>
          <w:tab w:val="left" w:pos="426"/>
        </w:tabs>
        <w:spacing w:line="276" w:lineRule="auto"/>
        <w:jc w:val="both"/>
        <w:rPr>
          <w:rFonts w:ascii="Arial" w:hAnsi="Arial" w:cs="Arial"/>
          <w:color w:val="000000"/>
          <w:lang w:eastAsia="es-MX"/>
        </w:rPr>
      </w:pPr>
      <w:r w:rsidRPr="00EA10A1">
        <w:rPr>
          <w:rFonts w:ascii="Arial" w:eastAsia="Calibri" w:hAnsi="Arial" w:cs="Arial"/>
          <w:bCs/>
          <w:color w:val="000000"/>
          <w:lang w:eastAsia="es-MX"/>
        </w:rPr>
        <w:t> </w:t>
      </w:r>
    </w:p>
    <w:p w14:paraId="6314D4A7" w14:textId="77777777" w:rsidR="00F158B5" w:rsidRPr="00AD0DFE" w:rsidRDefault="00F158B5" w:rsidP="00F158B5">
      <w:pPr>
        <w:spacing w:line="276" w:lineRule="auto"/>
        <w:ind w:firstLine="708"/>
        <w:jc w:val="both"/>
        <w:rPr>
          <w:rFonts w:ascii="Arial" w:hAnsi="Arial" w:cs="Arial"/>
          <w:color w:val="000000"/>
          <w:sz w:val="22"/>
          <w:szCs w:val="22"/>
          <w:lang w:eastAsia="es-MX"/>
        </w:rPr>
      </w:pPr>
      <w:r w:rsidRPr="00AD0DFE">
        <w:rPr>
          <w:rFonts w:ascii="Arial" w:hAnsi="Arial" w:cs="Arial"/>
          <w:color w:val="000000"/>
          <w:sz w:val="22"/>
          <w:szCs w:val="22"/>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AD0DFE">
        <w:rPr>
          <w:rFonts w:ascii="Arial" w:eastAsia="Calibri" w:hAnsi="Arial" w:cs="Arial"/>
          <w:bCs/>
          <w:color w:val="000000"/>
          <w:sz w:val="22"/>
          <w:szCs w:val="22"/>
          <w:lang w:eastAsia="es-MX"/>
        </w:rPr>
        <w:t> </w:t>
      </w:r>
    </w:p>
    <w:p w14:paraId="312EF152" w14:textId="77777777" w:rsidR="00F158B5" w:rsidRPr="00AD0DFE" w:rsidRDefault="00F158B5" w:rsidP="00F158B5">
      <w:pPr>
        <w:spacing w:before="120" w:line="276" w:lineRule="auto"/>
        <w:ind w:firstLine="708"/>
        <w:jc w:val="both"/>
        <w:rPr>
          <w:rFonts w:ascii="Arial" w:hAnsi="Arial" w:cs="Arial"/>
          <w:color w:val="000000"/>
          <w:sz w:val="22"/>
          <w:szCs w:val="22"/>
          <w:lang w:eastAsia="es-MX"/>
        </w:rPr>
      </w:pPr>
      <w:r w:rsidRPr="00AD0DFE">
        <w:rPr>
          <w:rFonts w:ascii="Arial" w:hAnsi="Arial" w:cs="Arial"/>
          <w:color w:val="000000"/>
          <w:sz w:val="22"/>
          <w:szCs w:val="22"/>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AD0DFE">
        <w:rPr>
          <w:rFonts w:ascii="Arial" w:eastAsia="Calibri" w:hAnsi="Arial" w:cs="Arial"/>
          <w:bCs/>
          <w:color w:val="000000"/>
          <w:sz w:val="22"/>
          <w:szCs w:val="22"/>
          <w:lang w:eastAsia="es-MX"/>
        </w:rPr>
        <w:t> </w:t>
      </w:r>
    </w:p>
    <w:p w14:paraId="70ECAAC8" w14:textId="77777777" w:rsidR="00F158B5" w:rsidRPr="00AD0DFE" w:rsidRDefault="00F158B5" w:rsidP="00F158B5">
      <w:pPr>
        <w:tabs>
          <w:tab w:val="left" w:pos="709"/>
        </w:tabs>
        <w:spacing w:before="120" w:after="120" w:line="276" w:lineRule="auto"/>
        <w:jc w:val="both"/>
        <w:rPr>
          <w:rFonts w:ascii="Arial" w:hAnsi="Arial" w:cs="Arial"/>
          <w:color w:val="000000"/>
          <w:sz w:val="22"/>
          <w:szCs w:val="22"/>
          <w:lang w:eastAsia="es-MX"/>
        </w:rPr>
      </w:pPr>
      <w:r w:rsidRPr="00AD0DFE">
        <w:rPr>
          <w:rFonts w:ascii="Arial" w:hAnsi="Arial" w:cs="Arial"/>
          <w:color w:val="000000"/>
          <w:sz w:val="22"/>
          <w:szCs w:val="22"/>
          <w:shd w:val="clear" w:color="auto" w:fill="FFFFFF"/>
          <w:lang w:eastAsia="es-MX"/>
        </w:rPr>
        <w:tab/>
        <w:t>En concordancia con ello, es importante resaltar que e</w:t>
      </w:r>
      <w:r w:rsidRPr="00AD0DFE">
        <w:rPr>
          <w:rFonts w:ascii="Arial" w:hAnsi="Arial" w:cs="Arial"/>
          <w:color w:val="000000"/>
          <w:sz w:val="22"/>
          <w:szCs w:val="22"/>
          <w:lang w:eastAsia="es-MX"/>
        </w:rPr>
        <w:t>sta posición es compartida por varias entidades públicas que ejercen similar función. Por ejemplo, la Procuraduría General de la Nación</w:t>
      </w:r>
      <w:r w:rsidRPr="00AD0DFE">
        <w:rPr>
          <w:rFonts w:ascii="Arial" w:hAnsi="Arial" w:cs="Arial"/>
          <w:color w:val="000000"/>
          <w:sz w:val="22"/>
          <w:szCs w:val="22"/>
          <w:vertAlign w:val="superscript"/>
          <w:lang w:eastAsia="es-MX"/>
        </w:rPr>
        <w:footnoteReference w:id="2"/>
      </w:r>
      <w:r w:rsidRPr="00AD0DFE">
        <w:rPr>
          <w:rFonts w:ascii="Arial" w:hAnsi="Arial" w:cs="Arial"/>
          <w:color w:val="000000"/>
          <w:sz w:val="22"/>
          <w:szCs w:val="22"/>
          <w:lang w:eastAsia="es-MX"/>
        </w:rPr>
        <w:t xml:space="preserve"> aclaró que el concepto «sólo constituye un criterio auxiliar de interpretación y que no tiene carácter vinculante de acuerdo con lo dispuesto en los </w:t>
      </w:r>
      <w:r w:rsidRPr="00AD0DFE">
        <w:rPr>
          <w:rFonts w:ascii="Arial" w:hAnsi="Arial" w:cs="Arial"/>
          <w:color w:val="000000"/>
          <w:sz w:val="22"/>
          <w:szCs w:val="22"/>
          <w:lang w:eastAsia="es-MX"/>
        </w:rPr>
        <w:lastRenderedPageBreak/>
        <w:t>artículos 230 de la Constitución Política, 5° de la Ley 153 de 1887 y 28 de la ley 1437 de 2011». Igualmente, en concepto del año 2017, la Contraloría General</w:t>
      </w:r>
      <w:r w:rsidRPr="00AD0DFE">
        <w:rPr>
          <w:rFonts w:ascii="Arial" w:hAnsi="Arial" w:cs="Arial"/>
          <w:color w:val="000000"/>
          <w:sz w:val="22"/>
          <w:szCs w:val="22"/>
          <w:vertAlign w:val="superscript"/>
          <w:lang w:eastAsia="es-MX"/>
        </w:rPr>
        <w:footnoteReference w:id="3"/>
      </w:r>
      <w:r w:rsidRPr="00AD0DFE">
        <w:rPr>
          <w:rFonts w:ascii="Arial" w:hAnsi="Arial" w:cs="Arial"/>
          <w:color w:val="000000"/>
          <w:sz w:val="22"/>
          <w:szCs w:val="22"/>
          <w:lang w:eastAsia="es-MX"/>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AD0DFE">
        <w:rPr>
          <w:rFonts w:ascii="Arial" w:eastAsia="Calibri" w:hAnsi="Arial" w:cs="Arial"/>
          <w:bCs/>
          <w:color w:val="000000"/>
          <w:sz w:val="22"/>
          <w:szCs w:val="22"/>
          <w:lang w:eastAsia="es-MX"/>
        </w:rPr>
        <w:t> </w:t>
      </w:r>
    </w:p>
    <w:p w14:paraId="4260AC3F" w14:textId="77777777" w:rsidR="00F158B5" w:rsidRPr="00AD0DFE" w:rsidRDefault="00F158B5" w:rsidP="00F158B5">
      <w:pPr>
        <w:tabs>
          <w:tab w:val="left" w:pos="709"/>
        </w:tabs>
        <w:spacing w:before="120" w:after="120" w:line="276" w:lineRule="auto"/>
        <w:jc w:val="both"/>
        <w:rPr>
          <w:rFonts w:ascii="Arial" w:hAnsi="Arial" w:cs="Arial"/>
          <w:color w:val="000000"/>
          <w:sz w:val="22"/>
          <w:szCs w:val="22"/>
          <w:lang w:eastAsia="es-MX"/>
        </w:rPr>
      </w:pPr>
      <w:r w:rsidRPr="00AD0DFE">
        <w:rPr>
          <w:rFonts w:ascii="Arial" w:eastAsia="Calibri" w:hAnsi="Arial" w:cs="Arial"/>
          <w:bCs/>
          <w:color w:val="000000"/>
          <w:sz w:val="22"/>
          <w:szCs w:val="22"/>
          <w:lang w:eastAsia="es-MX"/>
        </w:rPr>
        <w:tab/>
      </w:r>
      <w:r w:rsidRPr="00AD0DFE">
        <w:rPr>
          <w:rFonts w:ascii="Arial" w:hAnsi="Arial" w:cs="Arial"/>
          <w:color w:val="000000"/>
          <w:sz w:val="22"/>
          <w:szCs w:val="22"/>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AD0DFE">
        <w:rPr>
          <w:rFonts w:ascii="Arial" w:hAnsi="Arial" w:cs="Arial"/>
          <w:color w:val="000000"/>
          <w:sz w:val="22"/>
          <w:szCs w:val="22"/>
          <w:vertAlign w:val="superscript"/>
          <w:lang w:eastAsia="es-MX"/>
        </w:rPr>
        <w:footnoteReference w:id="4"/>
      </w:r>
      <w:r w:rsidRPr="00AD0DFE">
        <w:rPr>
          <w:rFonts w:ascii="Arial" w:hAnsi="Arial" w:cs="Arial"/>
          <w:color w:val="000000"/>
          <w:sz w:val="22"/>
          <w:szCs w:val="22"/>
          <w:lang w:eastAsia="es-MX"/>
        </w:rPr>
        <w:t xml:space="preserve">. </w:t>
      </w:r>
    </w:p>
    <w:p w14:paraId="11BCD4D1" w14:textId="77777777" w:rsidR="00F158B5" w:rsidRPr="00AD0DFE" w:rsidRDefault="00F158B5" w:rsidP="00F158B5">
      <w:pPr>
        <w:spacing w:after="120" w:line="276" w:lineRule="auto"/>
        <w:ind w:firstLine="709"/>
        <w:jc w:val="both"/>
        <w:rPr>
          <w:rFonts w:ascii="Arial" w:hAnsi="Arial" w:cs="Arial"/>
          <w:color w:val="000000"/>
          <w:sz w:val="22"/>
          <w:szCs w:val="22"/>
          <w:lang w:eastAsia="es-MX"/>
        </w:rPr>
      </w:pPr>
      <w:r w:rsidRPr="00AD0DFE">
        <w:rPr>
          <w:rFonts w:ascii="Arial" w:hAnsi="Arial" w:cs="Arial"/>
          <w:color w:val="000000"/>
          <w:sz w:val="22"/>
          <w:szCs w:val="22"/>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40DC3081" w14:textId="711EE266" w:rsidR="00F158B5" w:rsidRPr="00CD67EE" w:rsidRDefault="00F158B5" w:rsidP="00CD67EE">
      <w:pPr>
        <w:spacing w:line="276" w:lineRule="auto"/>
        <w:ind w:firstLine="709"/>
        <w:jc w:val="both"/>
        <w:rPr>
          <w:rFonts w:ascii="Arial" w:hAnsi="Arial" w:cs="Arial"/>
          <w:color w:val="000000"/>
          <w:sz w:val="22"/>
          <w:szCs w:val="22"/>
          <w:lang w:eastAsia="es-MX"/>
        </w:rPr>
      </w:pPr>
      <w:r w:rsidRPr="00AD0DFE">
        <w:rPr>
          <w:rFonts w:ascii="Arial" w:hAnsi="Arial" w:cs="Arial"/>
          <w:color w:val="000000"/>
          <w:sz w:val="22"/>
          <w:szCs w:val="22"/>
          <w:lang w:eastAsia="es-MX"/>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indicó, dicha competencia se enmarca en el artículo 28 de la Ley 1437 de 2011. En otras palabras, los conceptos «no serán de obligatorio cumplimiento o ejecución». </w:t>
      </w:r>
    </w:p>
    <w:p w14:paraId="1C22A4C2" w14:textId="77777777" w:rsidR="004F49DE" w:rsidRDefault="004F49DE" w:rsidP="00740E5C">
      <w:pPr>
        <w:spacing w:line="276" w:lineRule="auto"/>
        <w:jc w:val="both"/>
        <w:rPr>
          <w:rFonts w:ascii="Arial" w:eastAsia="Calibri" w:hAnsi="Arial" w:cs="Arial"/>
          <w:b/>
          <w:bCs/>
          <w:color w:val="000000"/>
          <w:sz w:val="22"/>
          <w:szCs w:val="22"/>
        </w:rPr>
      </w:pPr>
    </w:p>
    <w:p w14:paraId="06D42A2C" w14:textId="54354EF3" w:rsidR="00740E5C" w:rsidRPr="00740E5C" w:rsidRDefault="00740E5C" w:rsidP="00740E5C">
      <w:pPr>
        <w:spacing w:line="276" w:lineRule="auto"/>
        <w:jc w:val="both"/>
        <w:rPr>
          <w:rFonts w:ascii="Arial" w:eastAsia="Calibri" w:hAnsi="Arial" w:cs="Arial"/>
          <w:b/>
          <w:bCs/>
          <w:color w:val="000000"/>
          <w:sz w:val="22"/>
          <w:szCs w:val="22"/>
        </w:rPr>
      </w:pPr>
      <w:r w:rsidRPr="00740E5C">
        <w:rPr>
          <w:rFonts w:ascii="Arial" w:eastAsia="Calibri" w:hAnsi="Arial" w:cs="Arial"/>
          <w:b/>
          <w:bCs/>
          <w:color w:val="000000"/>
          <w:sz w:val="22"/>
          <w:szCs w:val="22"/>
        </w:rPr>
        <w:t>2.</w:t>
      </w:r>
      <w:r w:rsidR="003A2797">
        <w:rPr>
          <w:rFonts w:ascii="Arial" w:eastAsia="Calibri" w:hAnsi="Arial" w:cs="Arial"/>
          <w:b/>
          <w:bCs/>
          <w:color w:val="000000"/>
          <w:sz w:val="22"/>
          <w:szCs w:val="22"/>
        </w:rPr>
        <w:t>2</w:t>
      </w:r>
      <w:r w:rsidRPr="00740E5C">
        <w:rPr>
          <w:rFonts w:ascii="Arial" w:eastAsia="Calibri" w:hAnsi="Arial" w:cs="Arial"/>
          <w:b/>
          <w:bCs/>
          <w:color w:val="000000"/>
          <w:sz w:val="22"/>
          <w:szCs w:val="22"/>
        </w:rPr>
        <w:t xml:space="preserve">. Capacidad residual como requisito habilitante: </w:t>
      </w:r>
      <w:r w:rsidR="00174AD4">
        <w:rPr>
          <w:rFonts w:ascii="Arial" w:eastAsia="Calibri" w:hAnsi="Arial" w:cs="Arial"/>
          <w:b/>
          <w:bCs/>
          <w:color w:val="000000"/>
          <w:sz w:val="22"/>
          <w:szCs w:val="22"/>
        </w:rPr>
        <w:t>S</w:t>
      </w:r>
      <w:r w:rsidRPr="00740E5C">
        <w:rPr>
          <w:rFonts w:ascii="Arial" w:eastAsia="Calibri" w:hAnsi="Arial" w:cs="Arial"/>
          <w:b/>
          <w:bCs/>
          <w:color w:val="000000"/>
          <w:sz w:val="22"/>
          <w:szCs w:val="22"/>
        </w:rPr>
        <w:t xml:space="preserve">aldo de </w:t>
      </w:r>
      <w:r w:rsidR="00174AD4">
        <w:rPr>
          <w:rFonts w:ascii="Arial" w:eastAsia="Calibri" w:hAnsi="Arial" w:cs="Arial"/>
          <w:b/>
          <w:bCs/>
          <w:color w:val="000000"/>
          <w:sz w:val="22"/>
          <w:szCs w:val="22"/>
        </w:rPr>
        <w:t>C</w:t>
      </w:r>
      <w:r w:rsidRPr="00740E5C">
        <w:rPr>
          <w:rFonts w:ascii="Arial" w:eastAsia="Calibri" w:hAnsi="Arial" w:cs="Arial"/>
          <w:b/>
          <w:bCs/>
          <w:color w:val="000000"/>
          <w:sz w:val="22"/>
          <w:szCs w:val="22"/>
        </w:rPr>
        <w:t xml:space="preserve">ontratos en </w:t>
      </w:r>
      <w:r w:rsidR="00174AD4">
        <w:rPr>
          <w:rFonts w:ascii="Arial" w:eastAsia="Calibri" w:hAnsi="Arial" w:cs="Arial"/>
          <w:b/>
          <w:bCs/>
          <w:color w:val="000000"/>
          <w:sz w:val="22"/>
          <w:szCs w:val="22"/>
        </w:rPr>
        <w:t>E</w:t>
      </w:r>
      <w:r w:rsidRPr="00740E5C">
        <w:rPr>
          <w:rFonts w:ascii="Arial" w:eastAsia="Calibri" w:hAnsi="Arial" w:cs="Arial"/>
          <w:b/>
          <w:bCs/>
          <w:color w:val="000000"/>
          <w:sz w:val="22"/>
          <w:szCs w:val="22"/>
        </w:rPr>
        <w:t>jecución –SCE–</w:t>
      </w:r>
    </w:p>
    <w:p w14:paraId="787D8DC4" w14:textId="77777777" w:rsidR="00AC57DD" w:rsidRDefault="00AC57DD" w:rsidP="007F7D47">
      <w:pPr>
        <w:spacing w:before="240" w:after="120" w:line="276" w:lineRule="auto"/>
        <w:jc w:val="both"/>
        <w:rPr>
          <w:rFonts w:ascii="Arial" w:hAnsi="Arial" w:cs="Arial"/>
          <w:b/>
          <w:bCs/>
          <w:sz w:val="22"/>
          <w:lang w:val="es-ES"/>
        </w:rPr>
      </w:pPr>
      <w:r w:rsidRPr="00F2274F">
        <w:rPr>
          <w:rFonts w:ascii="Arial" w:hAnsi="Arial" w:cs="Arial"/>
          <w:bCs/>
          <w:color w:val="161616" w:themeColor="background1" w:themeShade="1A"/>
          <w:sz w:val="22"/>
          <w:szCs w:val="22"/>
        </w:rPr>
        <w:lastRenderedPageBreak/>
        <w:t>La Agencia Nacional de Contratación Pública − Colombia Compra Eficiente se ha pronunciado sobre la capacidad residual, y la forma como esta se debe acreditar, en los conceptos</w:t>
      </w:r>
      <w:r>
        <w:rPr>
          <w:rFonts w:ascii="Arial" w:hAnsi="Arial" w:cs="Arial"/>
          <w:bCs/>
          <w:color w:val="161616" w:themeColor="background1" w:themeShade="1A"/>
          <w:sz w:val="22"/>
          <w:szCs w:val="22"/>
        </w:rPr>
        <w:t xml:space="preserve"> </w:t>
      </w:r>
      <w:r>
        <w:rPr>
          <w:rStyle w:val="normaltextrun"/>
          <w:rFonts w:ascii="Arial" w:hAnsi="Arial" w:cs="Arial"/>
          <w:sz w:val="22"/>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Pr>
          <w:rStyle w:val="normaltextrun"/>
        </w:rPr>
        <w:t xml:space="preserve"> </w:t>
      </w:r>
      <w:r>
        <w:rPr>
          <w:rStyle w:val="normaltextrun"/>
          <w:rFonts w:ascii="Arial" w:hAnsi="Arial" w:cs="Arial"/>
          <w:sz w:val="22"/>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F2274F">
        <w:rPr>
          <w:rFonts w:ascii="Arial" w:hAnsi="Arial" w:cs="Arial"/>
          <w:bCs/>
          <w:color w:val="161616" w:themeColor="background1" w:themeShade="1A"/>
          <w:sz w:val="22"/>
          <w:szCs w:val="22"/>
        </w:rPr>
        <w:t>C-068 de</w:t>
      </w:r>
      <w:r>
        <w:rPr>
          <w:rFonts w:ascii="Arial" w:hAnsi="Arial" w:cs="Arial"/>
          <w:bCs/>
          <w:color w:val="161616" w:themeColor="background1" w:themeShade="1A"/>
          <w:sz w:val="22"/>
          <w:szCs w:val="22"/>
        </w:rPr>
        <w:t xml:space="preserve">l 9 de marzo de </w:t>
      </w:r>
      <w:r w:rsidRPr="00F2274F">
        <w:rPr>
          <w:rFonts w:ascii="Arial" w:hAnsi="Arial" w:cs="Arial"/>
          <w:bCs/>
          <w:color w:val="161616" w:themeColor="background1" w:themeShade="1A"/>
          <w:sz w:val="22"/>
          <w:szCs w:val="22"/>
        </w:rPr>
        <w:t>2022</w:t>
      </w:r>
      <w:r>
        <w:rPr>
          <w:rFonts w:ascii="Arial" w:hAnsi="Arial" w:cs="Arial"/>
          <w:bCs/>
          <w:color w:val="161616" w:themeColor="background1" w:themeShade="1A"/>
          <w:sz w:val="22"/>
          <w:szCs w:val="22"/>
        </w:rPr>
        <w:t xml:space="preserve">, </w:t>
      </w:r>
      <w:r w:rsidRPr="00F2274F">
        <w:rPr>
          <w:rFonts w:ascii="Arial" w:eastAsia="Calibri" w:hAnsi="Arial" w:cs="Arial"/>
          <w:bCs/>
          <w:sz w:val="22"/>
          <w:szCs w:val="22"/>
          <w:lang w:val="es-ES"/>
        </w:rPr>
        <w:t>C-</w:t>
      </w:r>
      <w:r>
        <w:rPr>
          <w:rFonts w:ascii="Arial" w:eastAsia="Calibri" w:hAnsi="Arial" w:cs="Arial"/>
          <w:bCs/>
          <w:sz w:val="22"/>
          <w:szCs w:val="22"/>
          <w:lang w:val="es-ES"/>
        </w:rPr>
        <w:t>220</w:t>
      </w:r>
      <w:r w:rsidRPr="00F2274F">
        <w:rPr>
          <w:rFonts w:ascii="Arial" w:eastAsia="Calibri" w:hAnsi="Arial" w:cs="Arial"/>
          <w:bCs/>
          <w:sz w:val="22"/>
          <w:szCs w:val="22"/>
          <w:lang w:val="es-ES"/>
        </w:rPr>
        <w:t xml:space="preserve"> del 22 de abril de 2022</w:t>
      </w:r>
      <w:r>
        <w:rPr>
          <w:rFonts w:ascii="Arial" w:eastAsia="Calibri" w:hAnsi="Arial" w:cs="Arial"/>
          <w:bCs/>
          <w:sz w:val="22"/>
          <w:szCs w:val="22"/>
          <w:lang w:val="es-ES"/>
        </w:rPr>
        <w:t>, C-306 de 16 de mayo de 2022 y C-351 de 23 de mayo de 2022</w:t>
      </w:r>
      <w:r>
        <w:rPr>
          <w:rFonts w:ascii="Arial" w:hAnsi="Arial" w:cs="Arial"/>
          <w:bCs/>
          <w:color w:val="161616" w:themeColor="background1" w:themeShade="1A"/>
          <w:sz w:val="22"/>
          <w:szCs w:val="22"/>
          <w:lang w:val="es-ES"/>
        </w:rPr>
        <w:t xml:space="preserve">. </w:t>
      </w:r>
      <w:r w:rsidRPr="00F2274F">
        <w:rPr>
          <w:rFonts w:ascii="Arial" w:hAnsi="Arial" w:cs="Arial"/>
          <w:bCs/>
          <w:color w:val="161616" w:themeColor="background1" w:themeShade="1A"/>
          <w:sz w:val="22"/>
          <w:szCs w:val="22"/>
        </w:rPr>
        <w:t>La tesis propuesta se expone y, en lo pertinente, se complementa a continuación:</w:t>
      </w:r>
    </w:p>
    <w:p w14:paraId="221C2D96" w14:textId="77777777" w:rsidR="00740E5C" w:rsidRPr="00740E5C" w:rsidRDefault="00740E5C" w:rsidP="00AC57DD">
      <w:pPr>
        <w:spacing w:line="276" w:lineRule="auto"/>
        <w:ind w:firstLine="708"/>
        <w:jc w:val="both"/>
        <w:rPr>
          <w:rFonts w:ascii="Arial" w:hAnsi="Arial" w:cs="Arial"/>
          <w:color w:val="000000" w:themeColor="text1"/>
          <w:sz w:val="22"/>
          <w:szCs w:val="22"/>
          <w:lang w:val="es-MX"/>
        </w:rPr>
      </w:pPr>
      <w:r w:rsidRPr="00740E5C">
        <w:rPr>
          <w:rFonts w:ascii="Arial" w:hAnsi="Arial" w:cs="Arial"/>
          <w:color w:val="000000" w:themeColor="text1"/>
          <w:sz w:val="22"/>
          <w:szCs w:val="22"/>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740E5C">
        <w:rPr>
          <w:rFonts w:ascii="Arial" w:hAnsi="Arial" w:cs="Arial"/>
          <w:color w:val="000000" w:themeColor="text1"/>
          <w:sz w:val="22"/>
          <w:szCs w:val="22"/>
          <w:vertAlign w:val="superscript"/>
          <w:lang w:val="es-MX"/>
        </w:rPr>
        <w:footnoteReference w:id="5"/>
      </w:r>
      <w:r w:rsidRPr="00740E5C">
        <w:rPr>
          <w:rFonts w:ascii="Arial" w:hAnsi="Arial" w:cs="Arial"/>
          <w:color w:val="000000" w:themeColor="text1"/>
          <w:sz w:val="22"/>
          <w:szCs w:val="22"/>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740E5C">
        <w:rPr>
          <w:rFonts w:ascii="Arial" w:eastAsia="Calibri" w:hAnsi="Arial" w:cs="Arial"/>
          <w:color w:val="000000" w:themeColor="text1"/>
          <w:sz w:val="22"/>
          <w:szCs w:val="22"/>
          <w:vertAlign w:val="superscript"/>
          <w:lang w:val="es-MX"/>
        </w:rPr>
        <w:footnoteReference w:id="6"/>
      </w:r>
      <w:r w:rsidRPr="00740E5C">
        <w:rPr>
          <w:rFonts w:ascii="Arial" w:hAnsi="Arial" w:cs="Arial"/>
          <w:color w:val="000000" w:themeColor="text1"/>
          <w:sz w:val="22"/>
          <w:szCs w:val="22"/>
          <w:lang w:val="es-MX"/>
        </w:rPr>
        <w:t>.</w:t>
      </w:r>
    </w:p>
    <w:p w14:paraId="2E0D9F79" w14:textId="77777777" w:rsidR="00740E5C" w:rsidRPr="00740E5C" w:rsidRDefault="00740E5C" w:rsidP="00740E5C">
      <w:pPr>
        <w:spacing w:before="120" w:line="276" w:lineRule="auto"/>
        <w:ind w:firstLine="708"/>
        <w:jc w:val="both"/>
        <w:rPr>
          <w:rFonts w:ascii="Arial" w:hAnsi="Arial" w:cs="Arial"/>
          <w:color w:val="000000" w:themeColor="text1"/>
          <w:sz w:val="22"/>
          <w:szCs w:val="22"/>
          <w:lang w:val="es-MX"/>
        </w:rPr>
      </w:pPr>
      <w:r w:rsidRPr="00740E5C">
        <w:rPr>
          <w:rFonts w:ascii="Arial" w:hAnsi="Arial" w:cs="Arial"/>
          <w:color w:val="000000" w:themeColor="text1"/>
          <w:sz w:val="22"/>
          <w:szCs w:val="22"/>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w:t>
      </w:r>
      <w:r w:rsidRPr="00740E5C">
        <w:rPr>
          <w:rFonts w:ascii="Arial" w:hAnsi="Arial" w:cs="Arial"/>
          <w:color w:val="000000" w:themeColor="text1"/>
          <w:sz w:val="22"/>
          <w:szCs w:val="22"/>
          <w:lang w:val="es-MX"/>
        </w:rPr>
        <w:lastRenderedPageBreak/>
        <w:t xml:space="preserve">deberá ser igual o superior al que la entidad ha establecido en los pliegos de condiciones, en los siguientes términos: </w:t>
      </w:r>
    </w:p>
    <w:p w14:paraId="5BAB9F7A" w14:textId="77777777" w:rsidR="00740E5C" w:rsidRPr="00ED0894" w:rsidRDefault="00740E5C" w:rsidP="00740E5C">
      <w:pPr>
        <w:spacing w:line="276" w:lineRule="auto"/>
        <w:ind w:firstLine="708"/>
        <w:jc w:val="both"/>
        <w:rPr>
          <w:rFonts w:ascii="Arial" w:hAnsi="Arial" w:cs="Arial"/>
          <w:color w:val="000000" w:themeColor="text1"/>
          <w:lang w:val="es-MX"/>
        </w:rPr>
      </w:pPr>
    </w:p>
    <w:p w14:paraId="6211DFD6" w14:textId="77777777" w:rsidR="00740E5C" w:rsidRPr="00ED0894" w:rsidRDefault="00740E5C" w:rsidP="00740E5C">
      <w:pPr>
        <w:spacing w:after="120"/>
        <w:ind w:left="709"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2C510BF" w14:textId="77777777" w:rsidR="00740E5C" w:rsidRPr="00ED0894" w:rsidRDefault="00740E5C" w:rsidP="00740E5C">
      <w:pPr>
        <w:ind w:left="708"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3D2060D4" w14:textId="77777777" w:rsidR="00740E5C" w:rsidRPr="00ED0894" w:rsidRDefault="00740E5C" w:rsidP="00740E5C">
      <w:pPr>
        <w:spacing w:line="276" w:lineRule="auto"/>
        <w:ind w:right="709"/>
        <w:jc w:val="both"/>
        <w:rPr>
          <w:rFonts w:ascii="Arial" w:eastAsia="Calibri" w:hAnsi="Arial" w:cs="Arial"/>
          <w:color w:val="000000" w:themeColor="text1"/>
          <w:lang w:val="es-MX"/>
        </w:rPr>
      </w:pPr>
    </w:p>
    <w:p w14:paraId="1E2F7F02" w14:textId="77777777" w:rsidR="00740E5C" w:rsidRPr="00740E5C" w:rsidRDefault="00740E5C" w:rsidP="00740E5C">
      <w:pPr>
        <w:spacing w:line="276" w:lineRule="auto"/>
        <w:ind w:firstLine="709"/>
        <w:jc w:val="both"/>
        <w:rPr>
          <w:rFonts w:ascii="Arial" w:eastAsia="Calibri" w:hAnsi="Arial" w:cs="Arial"/>
          <w:color w:val="000000" w:themeColor="text1"/>
          <w:sz w:val="22"/>
          <w:szCs w:val="22"/>
        </w:rPr>
      </w:pPr>
      <w:r w:rsidRPr="00740E5C">
        <w:rPr>
          <w:rFonts w:ascii="Arial" w:eastAsia="Calibri" w:hAnsi="Arial" w:cs="Arial"/>
          <w:color w:val="000000" w:themeColor="text1"/>
          <w:sz w:val="22"/>
          <w:szCs w:val="22"/>
          <w:lang w:val="es-MX"/>
        </w:rPr>
        <w:t xml:space="preserve">De acuerdo con </w:t>
      </w:r>
      <w:r w:rsidRPr="00740E5C">
        <w:rPr>
          <w:rFonts w:ascii="Arial" w:eastAsia="Calibri" w:hAnsi="Arial" w:cs="Arial"/>
          <w:color w:val="000000" w:themeColor="text1"/>
          <w:sz w:val="22"/>
          <w:szCs w:val="22"/>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1F2828F9" w14:textId="77777777" w:rsidR="00740E5C" w:rsidRPr="00740E5C" w:rsidRDefault="00740E5C" w:rsidP="00740E5C">
      <w:pPr>
        <w:spacing w:before="120" w:after="120" w:line="276" w:lineRule="auto"/>
        <w:ind w:firstLine="709"/>
        <w:jc w:val="both"/>
        <w:rPr>
          <w:rFonts w:ascii="Arial" w:eastAsia="Calibri" w:hAnsi="Arial" w:cs="Arial"/>
          <w:color w:val="000000" w:themeColor="text1"/>
          <w:sz w:val="22"/>
          <w:szCs w:val="22"/>
          <w:lang w:val="es-MX"/>
        </w:rPr>
      </w:pPr>
      <w:bookmarkStart w:id="3" w:name="_Hlk103608376"/>
      <w:r w:rsidRPr="00740E5C">
        <w:rPr>
          <w:rFonts w:ascii="Arial" w:eastAsia="Calibri" w:hAnsi="Arial" w:cs="Arial"/>
          <w:color w:val="000000" w:themeColor="text1"/>
          <w:sz w:val="22"/>
          <w:szCs w:val="22"/>
          <w:lang w:val="es-MX"/>
        </w:rPr>
        <w:t>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w:t>
      </w:r>
    </w:p>
    <w:p w14:paraId="62B8A99A" w14:textId="77777777" w:rsidR="00740E5C" w:rsidRPr="00740E5C" w:rsidRDefault="00740E5C" w:rsidP="00740E5C">
      <w:pPr>
        <w:spacing w:before="120" w:after="120" w:line="276" w:lineRule="auto"/>
        <w:ind w:firstLine="709"/>
        <w:jc w:val="both"/>
        <w:rPr>
          <w:rFonts w:ascii="Arial" w:hAnsi="Arial" w:cs="Arial"/>
          <w:sz w:val="22"/>
          <w:szCs w:val="22"/>
          <w:lang w:val="es-MX"/>
        </w:rPr>
      </w:pPr>
      <w:r w:rsidRPr="00740E5C">
        <w:rPr>
          <w:rFonts w:ascii="Arial" w:eastAsia="Calibri" w:hAnsi="Arial" w:cs="Arial"/>
          <w:color w:val="000000" w:themeColor="text1"/>
          <w:sz w:val="22"/>
          <w:szCs w:val="22"/>
          <w:lang w:val="es-MX"/>
        </w:rPr>
        <w:t xml:space="preserve">De igual manera, </w:t>
      </w:r>
      <w:r w:rsidRPr="00740E5C">
        <w:rPr>
          <w:rFonts w:ascii="Arial" w:hAnsi="Arial" w:cs="Arial"/>
          <w:sz w:val="22"/>
          <w:szCs w:val="22"/>
          <w:lang w:val="es-MX"/>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bookmarkEnd w:id="3"/>
      <w:r w:rsidRPr="00740E5C">
        <w:rPr>
          <w:rFonts w:ascii="Arial" w:hAnsi="Arial" w:cs="Arial"/>
          <w:sz w:val="22"/>
          <w:szCs w:val="22"/>
          <w:vertAlign w:val="superscript"/>
          <w:lang w:val="es-MX"/>
        </w:rPr>
        <w:footnoteReference w:id="7"/>
      </w:r>
      <w:r w:rsidRPr="00740E5C">
        <w:rPr>
          <w:rFonts w:ascii="Arial" w:hAnsi="Arial" w:cs="Arial"/>
          <w:sz w:val="22"/>
          <w:szCs w:val="22"/>
          <w:lang w:val="es-MX"/>
        </w:rPr>
        <w:t xml:space="preserve">. </w:t>
      </w:r>
    </w:p>
    <w:p w14:paraId="614F6E48" w14:textId="77777777" w:rsidR="00740E5C" w:rsidRPr="00740E5C" w:rsidRDefault="00740E5C" w:rsidP="00740E5C">
      <w:pPr>
        <w:spacing w:before="120" w:after="120" w:line="276" w:lineRule="auto"/>
        <w:ind w:firstLine="709"/>
        <w:jc w:val="both"/>
        <w:rPr>
          <w:rFonts w:ascii="Arial" w:eastAsia="Calibri" w:hAnsi="Arial" w:cs="Arial"/>
          <w:bCs/>
          <w:color w:val="000000" w:themeColor="text1"/>
          <w:sz w:val="22"/>
          <w:szCs w:val="22"/>
        </w:rPr>
      </w:pPr>
      <w:r w:rsidRPr="00740E5C">
        <w:rPr>
          <w:rFonts w:ascii="Arial" w:hAnsi="Arial" w:cs="Arial"/>
          <w:color w:val="000000" w:themeColor="text1"/>
          <w:sz w:val="22"/>
          <w:szCs w:val="22"/>
          <w:lang w:val="es-MX"/>
        </w:rPr>
        <w:lastRenderedPageBreak/>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3F46AB3B" w14:textId="77777777" w:rsidR="00740E5C" w:rsidRPr="00740E5C" w:rsidRDefault="00740E5C" w:rsidP="00740E5C">
      <w:pPr>
        <w:spacing w:line="276" w:lineRule="auto"/>
        <w:ind w:firstLine="709"/>
        <w:jc w:val="both"/>
        <w:rPr>
          <w:rFonts w:ascii="Arial" w:eastAsia="Calibri" w:hAnsi="Arial" w:cs="Arial"/>
          <w:bCs/>
          <w:color w:val="000000" w:themeColor="text1"/>
          <w:sz w:val="22"/>
          <w:szCs w:val="22"/>
        </w:rPr>
      </w:pPr>
      <w:r w:rsidRPr="00740E5C">
        <w:rPr>
          <w:rFonts w:ascii="Arial" w:eastAsia="Calibri" w:hAnsi="Arial" w:cs="Arial"/>
          <w:bCs/>
          <w:color w:val="000000" w:themeColor="text1"/>
          <w:sz w:val="22"/>
          <w:szCs w:val="22"/>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1523BF91" w14:textId="77777777" w:rsidR="00740E5C" w:rsidRPr="00740E5C" w:rsidRDefault="00740E5C" w:rsidP="00740E5C">
      <w:pPr>
        <w:spacing w:before="120" w:line="276" w:lineRule="auto"/>
        <w:ind w:firstLine="709"/>
        <w:jc w:val="both"/>
        <w:rPr>
          <w:rFonts w:ascii="Arial" w:eastAsia="Calibri" w:hAnsi="Arial" w:cs="Arial"/>
          <w:bCs/>
          <w:color w:val="000000" w:themeColor="text1"/>
          <w:sz w:val="22"/>
          <w:szCs w:val="22"/>
        </w:rPr>
      </w:pPr>
      <w:r w:rsidRPr="00740E5C">
        <w:rPr>
          <w:rFonts w:ascii="Arial" w:eastAsia="Calibri" w:hAnsi="Arial" w:cs="Arial"/>
          <w:bCs/>
          <w:color w:val="000000" w:themeColor="text1"/>
          <w:sz w:val="22"/>
          <w:szCs w:val="22"/>
        </w:rPr>
        <w:t xml:space="preserve">En cuanto al segundo aspecto, sobre la validación de </w:t>
      </w:r>
      <w:bookmarkStart w:id="4" w:name="_Hlk68683272"/>
      <w:r w:rsidRPr="00740E5C">
        <w:rPr>
          <w:rFonts w:ascii="Arial" w:eastAsia="Calibri" w:hAnsi="Arial" w:cs="Arial"/>
          <w:bCs/>
          <w:color w:val="000000" w:themeColor="text1"/>
          <w:sz w:val="22"/>
          <w:szCs w:val="22"/>
        </w:rPr>
        <w:t>que cada proponente cumpla con la CRPC</w:t>
      </w:r>
      <w:bookmarkEnd w:id="4"/>
      <w:r w:rsidRPr="00740E5C">
        <w:rPr>
          <w:rFonts w:ascii="Arial" w:eastAsia="Calibri" w:hAnsi="Arial" w:cs="Arial"/>
          <w:bCs/>
          <w:color w:val="000000" w:themeColor="text1"/>
          <w:sz w:val="22"/>
          <w:szCs w:val="22"/>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740E5C">
        <w:rPr>
          <w:rFonts w:ascii="Arial" w:eastAsia="Calibri" w:hAnsi="Arial" w:cs="Arial"/>
          <w:bCs/>
          <w:color w:val="000000" w:themeColor="text1"/>
          <w:sz w:val="22"/>
          <w:szCs w:val="22"/>
        </w:rPr>
        <w:t>ii</w:t>
      </w:r>
      <w:proofErr w:type="spellEnd"/>
      <w:r w:rsidRPr="00740E5C">
        <w:rPr>
          <w:rFonts w:ascii="Arial" w:eastAsia="Calibri" w:hAnsi="Arial" w:cs="Arial"/>
          <w:bCs/>
          <w:color w:val="000000" w:themeColor="text1"/>
          <w:sz w:val="22"/>
          <w:szCs w:val="22"/>
        </w:rPr>
        <w:t xml:space="preserve">) capacidad financiera «CF»; </w:t>
      </w:r>
      <w:proofErr w:type="spellStart"/>
      <w:r w:rsidRPr="00740E5C">
        <w:rPr>
          <w:rFonts w:ascii="Arial" w:eastAsia="Calibri" w:hAnsi="Arial" w:cs="Arial"/>
          <w:bCs/>
          <w:color w:val="000000" w:themeColor="text1"/>
          <w:sz w:val="22"/>
          <w:szCs w:val="22"/>
        </w:rPr>
        <w:t>iii</w:t>
      </w:r>
      <w:proofErr w:type="spellEnd"/>
      <w:r w:rsidRPr="00740E5C">
        <w:rPr>
          <w:rFonts w:ascii="Arial" w:eastAsia="Calibri" w:hAnsi="Arial" w:cs="Arial"/>
          <w:bCs/>
          <w:color w:val="000000" w:themeColor="text1"/>
          <w:sz w:val="22"/>
          <w:szCs w:val="22"/>
        </w:rPr>
        <w:t xml:space="preserve">) capacidad técnica «CT», </w:t>
      </w:r>
      <w:proofErr w:type="spellStart"/>
      <w:r w:rsidRPr="00740E5C">
        <w:rPr>
          <w:rFonts w:ascii="Arial" w:eastAsia="Calibri" w:hAnsi="Arial" w:cs="Arial"/>
          <w:bCs/>
          <w:color w:val="000000" w:themeColor="text1"/>
          <w:sz w:val="22"/>
          <w:szCs w:val="22"/>
        </w:rPr>
        <w:t>iv</w:t>
      </w:r>
      <w:proofErr w:type="spellEnd"/>
      <w:r w:rsidRPr="00740E5C">
        <w:rPr>
          <w:rFonts w:ascii="Arial" w:eastAsia="Calibri" w:hAnsi="Arial" w:cs="Arial"/>
          <w:bCs/>
          <w:color w:val="000000" w:themeColor="text1"/>
          <w:sz w:val="22"/>
          <w:szCs w:val="22"/>
        </w:rPr>
        <w:t>) capacidad de organización «CO»; y v) los saldos de los contratos en ejecución «SCE», según la siguiente formula:</w:t>
      </w:r>
    </w:p>
    <w:p w14:paraId="1778DBF2" w14:textId="77777777" w:rsidR="00740E5C" w:rsidRPr="00ED0894" w:rsidRDefault="00740E5C" w:rsidP="00740E5C">
      <w:pPr>
        <w:spacing w:line="276" w:lineRule="auto"/>
        <w:ind w:firstLine="709"/>
        <w:jc w:val="both"/>
        <w:rPr>
          <w:rFonts w:ascii="Arial" w:eastAsia="Calibri" w:hAnsi="Arial" w:cs="Arial"/>
          <w:bCs/>
          <w:color w:val="000000" w:themeColor="text1"/>
        </w:rPr>
      </w:pPr>
      <w:r w:rsidRPr="00ED0894">
        <w:rPr>
          <w:rFonts w:ascii="Arial" w:eastAsia="Calibri" w:hAnsi="Arial" w:cs="Arial"/>
          <w:bCs/>
          <w:noProof/>
          <w:color w:val="000000" w:themeColor="text1"/>
        </w:rPr>
        <w:drawing>
          <wp:anchor distT="0" distB="0" distL="0" distR="0" simplePos="0" relativeHeight="251663360" behindDoc="0" locked="0" layoutInCell="1" allowOverlap="1" wp14:anchorId="0F65C6AB" wp14:editId="4E8352C1">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129A8438" w14:textId="77777777" w:rsidR="00740E5C" w:rsidRPr="00ED0894" w:rsidRDefault="00740E5C" w:rsidP="00740E5C">
      <w:pPr>
        <w:spacing w:line="276" w:lineRule="auto"/>
        <w:jc w:val="both"/>
        <w:rPr>
          <w:rFonts w:ascii="Arial" w:eastAsia="Calibri" w:hAnsi="Arial" w:cs="Arial"/>
          <w:bCs/>
          <w:color w:val="000000" w:themeColor="text1"/>
          <w:lang w:val="es-MX"/>
        </w:rPr>
      </w:pPr>
    </w:p>
    <w:p w14:paraId="4CCF1FC0" w14:textId="77777777" w:rsidR="00740E5C" w:rsidRPr="00740E5C" w:rsidRDefault="00740E5C" w:rsidP="00740E5C">
      <w:pPr>
        <w:spacing w:line="276" w:lineRule="auto"/>
        <w:ind w:firstLine="709"/>
        <w:jc w:val="both"/>
        <w:rPr>
          <w:rFonts w:ascii="Arial" w:hAnsi="Arial" w:cs="Arial"/>
          <w:i/>
          <w:iCs/>
          <w:sz w:val="22"/>
          <w:szCs w:val="22"/>
        </w:rPr>
      </w:pPr>
      <w:r w:rsidRPr="00740E5C">
        <w:rPr>
          <w:rFonts w:ascii="Arial" w:eastAsia="Calibri" w:hAnsi="Arial" w:cs="Arial"/>
          <w:bCs/>
          <w:color w:val="000000" w:themeColor="text1"/>
          <w:sz w:val="22"/>
          <w:szCs w:val="22"/>
          <w:lang w:val="es-MX"/>
        </w:rPr>
        <w:t xml:space="preserve">Particularmente, </w:t>
      </w:r>
      <w:bookmarkStart w:id="5" w:name="_Hlk100139879"/>
      <w:r w:rsidRPr="00740E5C">
        <w:rPr>
          <w:rFonts w:ascii="Arial" w:eastAsia="Calibri" w:hAnsi="Arial" w:cs="Arial"/>
          <w:bCs/>
          <w:color w:val="000000" w:themeColor="text1"/>
          <w:sz w:val="22"/>
          <w:szCs w:val="22"/>
          <w:lang w:val="es-MX"/>
        </w:rPr>
        <w:t xml:space="preserve">respecto del factor de saldos de los contratos en ejecución </w:t>
      </w:r>
      <w:r w:rsidRPr="00740E5C">
        <w:rPr>
          <w:rFonts w:ascii="Arial" w:eastAsia="Calibri" w:hAnsi="Arial" w:cs="Arial"/>
          <w:bCs/>
          <w:color w:val="000000" w:themeColor="text1"/>
          <w:sz w:val="22"/>
          <w:szCs w:val="22"/>
        </w:rPr>
        <w:t>«SCE»,</w:t>
      </w:r>
      <w:r w:rsidRPr="00740E5C">
        <w:rPr>
          <w:rFonts w:ascii="Arial" w:hAnsi="Arial" w:cs="Arial"/>
          <w:sz w:val="22"/>
          <w:szCs w:val="22"/>
        </w:rPr>
        <w:t xml:space="preserve"> es necesario tener en cuenta que la Guía para Determinar y Verificar la Capacidad Residual del Proponente en los Procesos de Contratación de Obra Pública</w:t>
      </w:r>
      <w:r w:rsidRPr="00740E5C">
        <w:rPr>
          <w:rFonts w:ascii="Arial" w:hAnsi="Arial" w:cs="Arial"/>
          <w:i/>
          <w:iCs/>
          <w:sz w:val="22"/>
          <w:szCs w:val="22"/>
        </w:rPr>
        <w:t xml:space="preserve">, </w:t>
      </w:r>
      <w:r w:rsidRPr="00740E5C">
        <w:rPr>
          <w:rFonts w:ascii="Arial" w:hAnsi="Arial" w:cs="Arial"/>
          <w:sz w:val="22"/>
          <w:szCs w:val="22"/>
        </w:rPr>
        <w:t xml:space="preserve">define a este </w:t>
      </w:r>
      <w:r w:rsidRPr="00740E5C">
        <w:rPr>
          <w:rFonts w:ascii="Arial" w:hAnsi="Arial" w:cs="Arial"/>
          <w:sz w:val="22"/>
          <w:szCs w:val="22"/>
        </w:rPr>
        <w:lastRenderedPageBreak/>
        <w:t xml:space="preserve">factor </w:t>
      </w:r>
      <w:r w:rsidRPr="00740E5C">
        <w:rPr>
          <w:rFonts w:ascii="Arial" w:eastAsia="Calibri" w:hAnsi="Arial" w:cs="Arial"/>
          <w:bCs/>
          <w:color w:val="000000" w:themeColor="text1"/>
          <w:sz w:val="22"/>
          <w:szCs w:val="22"/>
        </w:rPr>
        <w:t>como «la suma de los montos por ejecutar de los contratos en ejecución durante los 12 meses siguientes»</w:t>
      </w:r>
      <w:bookmarkEnd w:id="5"/>
      <w:r w:rsidRPr="00740E5C">
        <w:rPr>
          <w:rFonts w:ascii="Arial" w:eastAsia="Calibri" w:hAnsi="Arial" w:cs="Arial"/>
          <w:bCs/>
          <w:color w:val="000000" w:themeColor="text1"/>
          <w:sz w:val="22"/>
          <w:szCs w:val="22"/>
        </w:rPr>
        <w:t>. Así mismo, define los</w:t>
      </w:r>
      <w:r w:rsidRPr="00740E5C">
        <w:rPr>
          <w:rFonts w:ascii="Arial" w:hAnsi="Arial" w:cs="Arial"/>
          <w:sz w:val="22"/>
          <w:szCs w:val="22"/>
        </w:rPr>
        <w:t xml:space="preserve"> </w:t>
      </w:r>
      <w:bookmarkStart w:id="6" w:name="_Hlk78819022"/>
      <w:r w:rsidRPr="00740E5C">
        <w:rPr>
          <w:rFonts w:ascii="Arial" w:hAnsi="Arial" w:cs="Arial"/>
          <w:i/>
          <w:iCs/>
          <w:sz w:val="22"/>
          <w:szCs w:val="22"/>
        </w:rPr>
        <w:t>Contratos en Ejecución</w:t>
      </w:r>
      <w:r w:rsidRPr="00740E5C">
        <w:rPr>
          <w:rFonts w:ascii="Arial" w:hAnsi="Arial" w:cs="Arial"/>
          <w:sz w:val="22"/>
          <w:szCs w:val="22"/>
        </w:rPr>
        <w:t xml:space="preserve"> </w:t>
      </w:r>
      <w:bookmarkEnd w:id="6"/>
      <w:r w:rsidRPr="00740E5C">
        <w:rPr>
          <w:rFonts w:ascii="Arial" w:hAnsi="Arial" w:cs="Arial"/>
          <w:sz w:val="22"/>
          <w:szCs w:val="22"/>
        </w:rPr>
        <w:t xml:space="preserve">de la siguiente manera: </w:t>
      </w:r>
      <w:r w:rsidRPr="00740E5C">
        <w:rPr>
          <w:rFonts w:ascii="Arial" w:hAnsi="Arial" w:cs="Arial"/>
          <w:i/>
          <w:iCs/>
          <w:sz w:val="22"/>
          <w:szCs w:val="22"/>
        </w:rPr>
        <w:t xml:space="preserve"> </w:t>
      </w:r>
    </w:p>
    <w:p w14:paraId="4101E68F" w14:textId="77777777" w:rsidR="00740E5C" w:rsidRPr="00ED0894" w:rsidRDefault="00740E5C" w:rsidP="00740E5C">
      <w:pPr>
        <w:spacing w:line="276" w:lineRule="auto"/>
        <w:ind w:firstLine="709"/>
        <w:jc w:val="both"/>
        <w:rPr>
          <w:rFonts w:ascii="Arial" w:hAnsi="Arial" w:cs="Arial"/>
        </w:rPr>
      </w:pPr>
    </w:p>
    <w:p w14:paraId="00F6E5AD" w14:textId="77777777" w:rsidR="00740E5C" w:rsidRPr="00ED0894" w:rsidRDefault="00740E5C" w:rsidP="00740E5C">
      <w:pPr>
        <w:ind w:left="709" w:right="709"/>
        <w:jc w:val="both"/>
        <w:rPr>
          <w:rFonts w:ascii="Arial" w:hAnsi="Arial" w:cs="Arial"/>
          <w:sz w:val="21"/>
          <w:szCs w:val="21"/>
        </w:rPr>
      </w:pPr>
      <w:r w:rsidRPr="00ED0894">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1AD5DCA4" w14:textId="77777777" w:rsidR="00740E5C" w:rsidRPr="00ED0894" w:rsidRDefault="00740E5C" w:rsidP="00740E5C">
      <w:pPr>
        <w:spacing w:line="276" w:lineRule="auto"/>
        <w:ind w:right="709"/>
        <w:jc w:val="both"/>
        <w:rPr>
          <w:rFonts w:ascii="Arial" w:hAnsi="Arial" w:cs="Arial"/>
        </w:rPr>
      </w:pPr>
    </w:p>
    <w:p w14:paraId="197E3B4D" w14:textId="77777777" w:rsidR="00740E5C" w:rsidRPr="00740E5C" w:rsidRDefault="00740E5C" w:rsidP="00740E5C">
      <w:pPr>
        <w:spacing w:line="276" w:lineRule="auto"/>
        <w:ind w:firstLine="709"/>
        <w:jc w:val="both"/>
        <w:rPr>
          <w:rFonts w:ascii="Arial" w:hAnsi="Arial" w:cs="Arial"/>
          <w:sz w:val="22"/>
          <w:szCs w:val="22"/>
          <w:lang w:val="es-MX"/>
        </w:rPr>
      </w:pPr>
      <w:bookmarkStart w:id="7" w:name="_Hlk100139912"/>
      <w:bookmarkStart w:id="8" w:name="_Hlk103609030"/>
      <w:r w:rsidRPr="00740E5C">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w:t>
      </w:r>
      <w:bookmarkEnd w:id="7"/>
      <w:r w:rsidRPr="00740E5C">
        <w:rPr>
          <w:rFonts w:ascii="Arial" w:hAnsi="Arial" w:cs="Arial"/>
          <w:sz w:val="22"/>
          <w:szCs w:val="22"/>
        </w:rPr>
        <w:t xml:space="preserve">. </w:t>
      </w:r>
      <w:bookmarkStart w:id="9" w:name="_Hlk100139986"/>
      <w:r w:rsidRPr="00740E5C">
        <w:rPr>
          <w:rFonts w:ascii="Arial" w:hAnsi="Arial" w:cs="Arial"/>
          <w:sz w:val="22"/>
          <w:szCs w:val="22"/>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740E5C">
        <w:rPr>
          <w:rFonts w:ascii="Arial" w:eastAsia="Calibri" w:hAnsi="Arial" w:cs="Arial"/>
          <w:b/>
          <w:color w:val="000000" w:themeColor="text1"/>
          <w:sz w:val="22"/>
          <w:szCs w:val="22"/>
        </w:rPr>
        <w:t>«</w:t>
      </w:r>
      <w:r w:rsidRPr="00740E5C">
        <w:rPr>
          <w:rFonts w:ascii="Arial" w:eastAsia="Calibri" w:hAnsi="Arial" w:cs="Arial"/>
          <w:bCs/>
          <w:color w:val="000000" w:themeColor="text1"/>
          <w:sz w:val="22"/>
          <w:szCs w:val="22"/>
        </w:rPr>
        <w:t>CRP</w:t>
      </w:r>
      <w:r w:rsidRPr="00740E5C">
        <w:rPr>
          <w:rFonts w:ascii="Arial" w:eastAsia="Calibri" w:hAnsi="Arial" w:cs="Arial"/>
          <w:b/>
          <w:color w:val="000000" w:themeColor="text1"/>
          <w:sz w:val="22"/>
          <w:szCs w:val="22"/>
        </w:rPr>
        <w:t>»</w:t>
      </w:r>
      <w:r w:rsidRPr="00740E5C">
        <w:rPr>
          <w:rFonts w:ascii="Arial" w:hAnsi="Arial" w:cs="Arial"/>
          <w:sz w:val="22"/>
          <w:szCs w:val="22"/>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8"/>
      <w:bookmarkEnd w:id="9"/>
      <w:r w:rsidRPr="00740E5C">
        <w:rPr>
          <w:rFonts w:ascii="Arial" w:hAnsi="Arial" w:cs="Arial"/>
          <w:sz w:val="22"/>
          <w:szCs w:val="22"/>
        </w:rPr>
        <w:t xml:space="preserve">. </w:t>
      </w:r>
      <w:r w:rsidRPr="00740E5C">
        <w:rPr>
          <w:rFonts w:ascii="Arial" w:hAnsi="Arial" w:cs="Arial"/>
          <w:sz w:val="22"/>
          <w:szCs w:val="22"/>
          <w:lang w:val="es-MX"/>
        </w:rPr>
        <w:t>Por lo demás, en dicha guía también se precisa que:</w:t>
      </w:r>
    </w:p>
    <w:p w14:paraId="1AB5AF09" w14:textId="77777777" w:rsidR="00740E5C" w:rsidRPr="00ED0894" w:rsidRDefault="00740E5C" w:rsidP="00740E5C">
      <w:pPr>
        <w:spacing w:line="276" w:lineRule="auto"/>
        <w:ind w:firstLine="709"/>
        <w:jc w:val="both"/>
        <w:rPr>
          <w:rFonts w:ascii="Arial" w:hAnsi="Arial" w:cs="Arial"/>
          <w:szCs w:val="20"/>
          <w:lang w:val="es-MX"/>
        </w:rPr>
      </w:pPr>
    </w:p>
    <w:p w14:paraId="4708B4FD" w14:textId="77777777" w:rsidR="00740E5C" w:rsidRPr="00ED0894" w:rsidRDefault="00740E5C" w:rsidP="00740E5C">
      <w:pPr>
        <w:ind w:left="709" w:right="709"/>
        <w:jc w:val="both"/>
        <w:rPr>
          <w:rFonts w:ascii="Arial" w:hAnsi="Arial" w:cs="Arial"/>
          <w:sz w:val="21"/>
          <w:szCs w:val="21"/>
        </w:rPr>
      </w:pPr>
      <w:bookmarkStart w:id="10" w:name="_Hlk100140013"/>
      <w:r w:rsidRPr="00ED0894">
        <w:rPr>
          <w:rFonts w:ascii="Arial" w:hAnsi="Arial"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0"/>
      <w:r w:rsidRPr="00ED0894">
        <w:rPr>
          <w:rFonts w:ascii="Arial" w:hAnsi="Arial" w:cs="Arial"/>
          <w:sz w:val="21"/>
          <w:szCs w:val="21"/>
        </w:rPr>
        <w:t>.</w:t>
      </w:r>
    </w:p>
    <w:p w14:paraId="34141F65" w14:textId="77777777" w:rsidR="00740E5C" w:rsidRPr="00ED0894" w:rsidRDefault="00740E5C" w:rsidP="00740E5C">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14:paraId="030540CF" w14:textId="77777777" w:rsidR="00740E5C" w:rsidRPr="00ED0894" w:rsidRDefault="00740E5C" w:rsidP="00740E5C">
      <w:pPr>
        <w:ind w:left="709" w:right="709"/>
        <w:jc w:val="both"/>
        <w:rPr>
          <w:rFonts w:ascii="Arial" w:hAnsi="Arial" w:cs="Arial"/>
          <w:sz w:val="21"/>
          <w:szCs w:val="21"/>
        </w:rPr>
      </w:pPr>
      <w:r w:rsidRPr="00ED0894">
        <w:rPr>
          <w:rFonts w:ascii="Arial" w:hAnsi="Arial"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ED0894">
        <w:rPr>
          <w:rFonts w:ascii="Arial" w:hAnsi="Arial" w:cs="Arial"/>
          <w:sz w:val="21"/>
          <w:szCs w:val="21"/>
        </w:rPr>
        <w:t>. (Énfasis fuera de texto)</w:t>
      </w:r>
    </w:p>
    <w:p w14:paraId="7B93F3E0" w14:textId="77777777" w:rsidR="00740E5C" w:rsidRPr="00ED0894" w:rsidRDefault="00740E5C" w:rsidP="00740E5C">
      <w:pPr>
        <w:spacing w:line="276" w:lineRule="auto"/>
        <w:ind w:firstLine="709"/>
        <w:jc w:val="both"/>
        <w:rPr>
          <w:rFonts w:ascii="Arial" w:hAnsi="Arial" w:cs="Arial"/>
        </w:rPr>
      </w:pPr>
    </w:p>
    <w:p w14:paraId="75FFDECC" w14:textId="0BEBE1EE" w:rsidR="00740E5C" w:rsidRPr="00AC57DD" w:rsidRDefault="00740E5C" w:rsidP="00740E5C">
      <w:pPr>
        <w:spacing w:line="276" w:lineRule="auto"/>
        <w:ind w:firstLine="709"/>
        <w:jc w:val="both"/>
        <w:rPr>
          <w:rFonts w:ascii="Arial" w:hAnsi="Arial" w:cs="Arial"/>
          <w:sz w:val="22"/>
          <w:szCs w:val="22"/>
        </w:rPr>
      </w:pPr>
      <w:r w:rsidRPr="00AC57DD">
        <w:rPr>
          <w:rFonts w:ascii="Arial" w:hAnsi="Arial" w:cs="Arial"/>
          <w:sz w:val="22"/>
          <w:szCs w:val="22"/>
        </w:rPr>
        <w:t xml:space="preserve">De este modo, para acreditar el factor </w:t>
      </w:r>
      <w:r w:rsidRPr="00AC57DD">
        <w:rPr>
          <w:rFonts w:ascii="Arial" w:eastAsia="Calibri" w:hAnsi="Arial" w:cs="Arial"/>
          <w:bCs/>
          <w:color w:val="000000" w:themeColor="text1"/>
          <w:sz w:val="22"/>
          <w:szCs w:val="22"/>
          <w:lang w:val="es-MX"/>
        </w:rPr>
        <w:t xml:space="preserve">saldos de los contratos en ejecución </w:t>
      </w:r>
      <w:r w:rsidRPr="00AC57DD">
        <w:rPr>
          <w:rFonts w:ascii="Arial" w:eastAsia="Calibri" w:hAnsi="Arial" w:cs="Arial"/>
          <w:bCs/>
          <w:color w:val="000000" w:themeColor="text1"/>
          <w:sz w:val="22"/>
          <w:szCs w:val="22"/>
        </w:rPr>
        <w:t>«SCE»</w:t>
      </w:r>
      <w:r w:rsidR="00636963">
        <w:rPr>
          <w:rFonts w:ascii="Arial" w:eastAsia="Calibri" w:hAnsi="Arial" w:cs="Arial"/>
          <w:bCs/>
          <w:color w:val="000000" w:themeColor="text1"/>
          <w:sz w:val="22"/>
          <w:szCs w:val="22"/>
        </w:rPr>
        <w:t>,</w:t>
      </w:r>
      <w:r w:rsidRPr="00AC57DD">
        <w:rPr>
          <w:rFonts w:ascii="Arial" w:hAnsi="Arial" w:cs="Arial"/>
          <w:sz w:val="22"/>
          <w:szCs w:val="22"/>
        </w:rPr>
        <w:t xml:space="preserve">  como lo establece la Guía, el proponente debe presentar la lista de contratos de obras </w:t>
      </w:r>
      <w:r w:rsidRPr="00AC57DD">
        <w:rPr>
          <w:rFonts w:ascii="Arial" w:hAnsi="Arial" w:cs="Arial"/>
          <w:sz w:val="22"/>
          <w:szCs w:val="22"/>
        </w:rPr>
        <w:lastRenderedPageBreak/>
        <w:t xml:space="preserve">civiles en ejecución, tanto a nivel nacional como internacional señalando: i) el valor del contrato; </w:t>
      </w:r>
      <w:proofErr w:type="spellStart"/>
      <w:r w:rsidRPr="00AC57DD">
        <w:rPr>
          <w:rFonts w:ascii="Arial" w:hAnsi="Arial" w:cs="Arial"/>
          <w:sz w:val="22"/>
          <w:szCs w:val="22"/>
        </w:rPr>
        <w:t>ii</w:t>
      </w:r>
      <w:proofErr w:type="spellEnd"/>
      <w:r w:rsidRPr="00AC57DD">
        <w:rPr>
          <w:rFonts w:ascii="Arial" w:hAnsi="Arial" w:cs="Arial"/>
          <w:sz w:val="22"/>
          <w:szCs w:val="22"/>
        </w:rPr>
        <w:t xml:space="preserve">) el plazo del contrato en meses; </w:t>
      </w:r>
      <w:proofErr w:type="spellStart"/>
      <w:r w:rsidRPr="00AC57DD">
        <w:rPr>
          <w:rFonts w:ascii="Arial" w:hAnsi="Arial" w:cs="Arial"/>
          <w:sz w:val="22"/>
          <w:szCs w:val="22"/>
        </w:rPr>
        <w:t>iii</w:t>
      </w:r>
      <w:proofErr w:type="spellEnd"/>
      <w:r w:rsidRPr="00AC57DD">
        <w:rPr>
          <w:rFonts w:ascii="Arial" w:hAnsi="Arial" w:cs="Arial"/>
          <w:sz w:val="22"/>
          <w:szCs w:val="22"/>
        </w:rPr>
        <w:t xml:space="preserve">) la fecha de inicio de las obras objeto del contrato (día, mes, año); </w:t>
      </w:r>
      <w:proofErr w:type="spellStart"/>
      <w:r w:rsidRPr="00AC57DD">
        <w:rPr>
          <w:rFonts w:ascii="Arial" w:hAnsi="Arial" w:cs="Arial"/>
          <w:sz w:val="22"/>
          <w:szCs w:val="22"/>
        </w:rPr>
        <w:t>iv</w:t>
      </w:r>
      <w:proofErr w:type="spellEnd"/>
      <w:r w:rsidRPr="00AC57DD">
        <w:rPr>
          <w:rFonts w:ascii="Arial" w:hAnsi="Arial" w:cs="Arial"/>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sidRPr="00AC57DD">
        <w:rPr>
          <w:rFonts w:ascii="Arial" w:eastAsia="Calibri" w:hAnsi="Arial" w:cs="Arial"/>
          <w:bCs/>
          <w:color w:val="000000" w:themeColor="text1"/>
          <w:sz w:val="22"/>
          <w:szCs w:val="22"/>
        </w:rPr>
        <w:t xml:space="preserve">«SCE» </w:t>
      </w:r>
      <w:r w:rsidRPr="00AC57DD">
        <w:rPr>
          <w:rFonts w:ascii="Arial" w:hAnsi="Arial" w:cs="Arial"/>
          <w:sz w:val="22"/>
          <w:szCs w:val="22"/>
        </w:rPr>
        <w:t xml:space="preserve">en los documentos tipo de licitación de obra pública para infraestructura de transporte, </w:t>
      </w:r>
      <w:bookmarkStart w:id="11" w:name="_Hlk100140108"/>
      <w:r w:rsidRPr="00AC57DD">
        <w:rPr>
          <w:rFonts w:ascii="Arial" w:hAnsi="Arial" w:cs="Arial"/>
          <w:sz w:val="22"/>
          <w:szCs w:val="22"/>
        </w:rPr>
        <w:t>el literal E del numeral 3.10.2 del documento base</w:t>
      </w:r>
      <w:bookmarkEnd w:id="11"/>
      <w:r w:rsidRPr="00AC57DD">
        <w:rPr>
          <w:rFonts w:ascii="Arial" w:hAnsi="Arial" w:cs="Arial"/>
          <w:sz w:val="22"/>
          <w:szCs w:val="22"/>
        </w:rPr>
        <w:t xml:space="preserve"> señala lo siguiente:</w:t>
      </w:r>
    </w:p>
    <w:p w14:paraId="741323C7" w14:textId="77777777" w:rsidR="00740E5C" w:rsidRPr="00ED0894" w:rsidRDefault="00740E5C" w:rsidP="00740E5C">
      <w:pPr>
        <w:spacing w:line="276" w:lineRule="auto"/>
        <w:ind w:firstLine="709"/>
        <w:jc w:val="both"/>
        <w:rPr>
          <w:rFonts w:ascii="Arial" w:hAnsi="Arial" w:cs="Arial"/>
        </w:rPr>
      </w:pPr>
    </w:p>
    <w:p w14:paraId="1D508A3F" w14:textId="77777777" w:rsidR="00740E5C" w:rsidRPr="00ED0894" w:rsidRDefault="00740E5C" w:rsidP="00740E5C">
      <w:pPr>
        <w:ind w:left="709" w:right="709"/>
        <w:jc w:val="both"/>
        <w:rPr>
          <w:rFonts w:ascii="Arial" w:eastAsia="Arial," w:hAnsi="Arial" w:cs="Arial"/>
          <w:sz w:val="21"/>
          <w:szCs w:val="21"/>
        </w:rPr>
      </w:pP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acreditar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tendrá</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cuenta</w:t>
      </w:r>
      <w:r w:rsidRPr="00ED0894">
        <w:rPr>
          <w:rFonts w:ascii="Arial" w:eastAsia="Arial," w:hAnsi="Arial" w:cs="Arial"/>
          <w:sz w:val="21"/>
          <w:szCs w:val="21"/>
        </w:rPr>
        <w:t xml:space="preserve"> </w:t>
      </w:r>
      <w:r w:rsidRPr="00ED0894">
        <w:rPr>
          <w:rFonts w:ascii="Arial" w:hAnsi="Arial" w:cs="Arial"/>
          <w:sz w:val="21"/>
          <w:szCs w:val="21"/>
        </w:rPr>
        <w:t>lo</w:t>
      </w:r>
      <w:r w:rsidRPr="00ED0894">
        <w:rPr>
          <w:rFonts w:ascii="Arial" w:eastAsia="Arial," w:hAnsi="Arial" w:cs="Arial"/>
          <w:sz w:val="21"/>
          <w:szCs w:val="21"/>
        </w:rPr>
        <w:t xml:space="preserve"> </w:t>
      </w:r>
      <w:r w:rsidRPr="00ED0894">
        <w:rPr>
          <w:rFonts w:ascii="Arial" w:hAnsi="Arial" w:cs="Arial"/>
          <w:sz w:val="21"/>
          <w:szCs w:val="21"/>
        </w:rPr>
        <w:t>siguiente:</w:t>
      </w:r>
      <w:r w:rsidRPr="00ED0894">
        <w:rPr>
          <w:rFonts w:ascii="Arial" w:eastAsia="Arial," w:hAnsi="Arial" w:cs="Arial"/>
          <w:sz w:val="21"/>
          <w:szCs w:val="21"/>
        </w:rPr>
        <w:t xml:space="preserve"> </w:t>
      </w:r>
    </w:p>
    <w:p w14:paraId="35D45D97" w14:textId="77777777" w:rsidR="00740E5C" w:rsidRPr="00ED0894" w:rsidRDefault="00740E5C" w:rsidP="00740E5C">
      <w:pPr>
        <w:ind w:right="709" w:firstLine="709"/>
        <w:jc w:val="both"/>
        <w:rPr>
          <w:rFonts w:ascii="Arial" w:eastAsia="Arial," w:hAnsi="Arial" w:cs="Arial"/>
          <w:sz w:val="21"/>
          <w:szCs w:val="21"/>
        </w:rPr>
      </w:pPr>
      <w:r w:rsidRPr="00ED0894">
        <w:rPr>
          <w:rFonts w:ascii="Arial" w:eastAsia="Arial," w:hAnsi="Arial" w:cs="Arial"/>
          <w:sz w:val="21"/>
          <w:szCs w:val="21"/>
        </w:rPr>
        <w:t>[…]</w:t>
      </w:r>
    </w:p>
    <w:p w14:paraId="2F17475E" w14:textId="77777777" w:rsidR="00740E5C" w:rsidRPr="00ED0894" w:rsidRDefault="00740E5C" w:rsidP="00740E5C">
      <w:pPr>
        <w:ind w:right="709" w:firstLine="709"/>
        <w:jc w:val="both"/>
        <w:rPr>
          <w:rFonts w:ascii="Arial" w:eastAsia="Arial," w:hAnsi="Arial" w:cs="Arial"/>
          <w:sz w:val="21"/>
          <w:szCs w:val="21"/>
        </w:rPr>
      </w:pPr>
    </w:p>
    <w:p w14:paraId="2B19AF00" w14:textId="77777777" w:rsidR="00740E5C" w:rsidRPr="00ED0894" w:rsidRDefault="00740E5C" w:rsidP="00740E5C">
      <w:pPr>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135B6247" w14:textId="77777777" w:rsidR="00740E5C" w:rsidRPr="00ED0894" w:rsidRDefault="00740E5C" w:rsidP="00740E5C">
      <w:pPr>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III.  Se tendrán en cuenta los contratos de obras civiles en ejecución suscritos por el proponente o por sociedades, consorcios o uniones temporales en los cuales el proponente tenga participación</w:t>
      </w:r>
    </w:p>
    <w:p w14:paraId="33D5F803" w14:textId="77777777" w:rsidR="00740E5C" w:rsidRPr="00ED0894" w:rsidRDefault="00740E5C" w:rsidP="00740E5C">
      <w:pPr>
        <w:ind w:left="1134" w:right="709" w:hanging="425"/>
        <w:jc w:val="both"/>
        <w:rPr>
          <w:rFonts w:ascii="Arial" w:eastAsia="Arial" w:hAnsi="Arial" w:cs="Arial"/>
          <w:i/>
          <w:iCs/>
          <w:sz w:val="21"/>
          <w:szCs w:val="21"/>
          <w:lang w:val="es-MX"/>
        </w:rPr>
      </w:pPr>
      <w:r w:rsidRPr="00ED0894">
        <w:rPr>
          <w:rFonts w:ascii="Arial" w:eastAsia="Arial" w:hAnsi="Arial" w:cs="Arial"/>
          <w:sz w:val="21"/>
          <w:szCs w:val="21"/>
          <w:lang w:val="es-MX"/>
        </w:rPr>
        <w:t xml:space="preserve">IV.  </w:t>
      </w:r>
      <w:bookmarkStart w:id="12" w:name="_Hlk100140218"/>
      <w:r w:rsidRPr="008975B8">
        <w:rPr>
          <w:rFonts w:ascii="Arial" w:eastAsia="Arial" w:hAnsi="Arial" w:cs="Arial"/>
          <w:sz w:val="21"/>
          <w:szCs w:val="21"/>
          <w:lang w:val="es-MX"/>
        </w:rPr>
        <w:t>Si</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un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contrato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encuentra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suspendido,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cálculo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(SCE)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dicho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contrato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debe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efectuarse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asumiendo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que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lo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que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falta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por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ejecutar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iniciara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la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fecha de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presentación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la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oferta</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Proceso de Contratación.</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Si</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contrato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está</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suspendido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Proponente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debe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informar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el</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saldo</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pendiente</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por</w:t>
      </w:r>
      <w:r w:rsidRPr="008975B8">
        <w:rPr>
          <w:rFonts w:ascii="Arial" w:eastAsia="Arial," w:hAnsi="Arial" w:cs="Arial"/>
          <w:sz w:val="21"/>
          <w:szCs w:val="21"/>
          <w:lang w:val="es-MX"/>
        </w:rPr>
        <w:t xml:space="preserve"> </w:t>
      </w:r>
      <w:r w:rsidRPr="008975B8">
        <w:rPr>
          <w:rFonts w:ascii="Arial" w:eastAsia="Arial" w:hAnsi="Arial" w:cs="Arial"/>
          <w:sz w:val="21"/>
          <w:szCs w:val="21"/>
          <w:lang w:val="es-MX"/>
        </w:rPr>
        <w:t>ejecutar</w:t>
      </w:r>
      <w:bookmarkEnd w:id="12"/>
      <w:r w:rsidRPr="008975B8">
        <w:rPr>
          <w:rFonts w:ascii="Arial" w:eastAsia="Arial" w:hAnsi="Arial" w:cs="Arial"/>
          <w:sz w:val="21"/>
          <w:szCs w:val="21"/>
          <w:lang w:val="es-MX"/>
        </w:rPr>
        <w:t>.</w:t>
      </w:r>
      <w:r w:rsidRPr="00ED0894">
        <w:rPr>
          <w:rFonts w:ascii="Arial" w:eastAsia="Arial" w:hAnsi="Arial" w:cs="Arial"/>
          <w:i/>
          <w:iCs/>
          <w:sz w:val="21"/>
          <w:szCs w:val="21"/>
          <w:lang w:val="es-MX"/>
        </w:rPr>
        <w:t xml:space="preserve"> </w:t>
      </w:r>
    </w:p>
    <w:p w14:paraId="32986A1A" w14:textId="685236EC" w:rsidR="00740E5C" w:rsidRPr="00ED0894" w:rsidRDefault="00740E5C" w:rsidP="00740E5C">
      <w:pPr>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 xml:space="preserve">V.  </w:t>
      </w:r>
      <w:bookmarkStart w:id="13" w:name="_Hlk100140164"/>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cálculo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debe</w:t>
      </w:r>
      <w:r w:rsidRPr="00ED0894">
        <w:rPr>
          <w:rFonts w:ascii="Arial" w:eastAsia="Arial" w:hAnsi="Arial" w:cs="Arial"/>
          <w:sz w:val="21"/>
          <w:szCs w:val="21"/>
        </w:rPr>
        <w:t xml:space="preserve"> </w:t>
      </w:r>
      <w:r w:rsidRPr="00ED0894">
        <w:rPr>
          <w:rFonts w:ascii="Arial" w:hAnsi="Arial" w:cs="Arial"/>
          <w:sz w:val="21"/>
          <w:szCs w:val="21"/>
        </w:rPr>
        <w:t>hacerse</w:t>
      </w:r>
      <w:r w:rsidRPr="00ED0894">
        <w:rPr>
          <w:rFonts w:ascii="Arial" w:eastAsia="Arial" w:hAnsi="Arial" w:cs="Arial"/>
          <w:sz w:val="21"/>
          <w:szCs w:val="21"/>
        </w:rPr>
        <w:t xml:space="preserve"> </w:t>
      </w:r>
      <w:r w:rsidRPr="00ED0894">
        <w:rPr>
          <w:rFonts w:ascii="Arial" w:hAnsi="Arial" w:cs="Arial"/>
          <w:sz w:val="21"/>
          <w:szCs w:val="21"/>
        </w:rPr>
        <w:t>linealmente</w:t>
      </w:r>
      <w:r w:rsidRPr="00ED0894">
        <w:rPr>
          <w:rFonts w:ascii="Arial" w:eastAsia="Arial" w:hAnsi="Arial" w:cs="Arial"/>
          <w:sz w:val="21"/>
          <w:szCs w:val="21"/>
        </w:rPr>
        <w:t xml:space="preserve"> </w:t>
      </w:r>
      <w:r w:rsidRPr="00ED0894">
        <w:rPr>
          <w:rFonts w:ascii="Arial" w:hAnsi="Arial" w:cs="Arial"/>
          <w:sz w:val="21"/>
          <w:szCs w:val="21"/>
        </w:rPr>
        <w:t>calculando</w:t>
      </w:r>
      <w:r w:rsidRPr="00ED0894">
        <w:rPr>
          <w:rFonts w:ascii="Arial" w:eastAsia="Arial" w:hAnsi="Arial" w:cs="Arial"/>
          <w:sz w:val="21"/>
          <w:szCs w:val="21"/>
        </w:rPr>
        <w:t xml:space="preserve"> </w:t>
      </w:r>
      <w:r w:rsidRPr="00ED0894">
        <w:rPr>
          <w:rFonts w:ascii="Arial" w:hAnsi="Arial" w:cs="Arial"/>
          <w:sz w:val="21"/>
          <w:szCs w:val="21"/>
        </w:rPr>
        <w:t>una</w:t>
      </w:r>
      <w:r w:rsidRPr="00ED0894">
        <w:rPr>
          <w:rFonts w:ascii="Arial" w:eastAsia="Arial" w:hAnsi="Arial" w:cs="Arial"/>
          <w:sz w:val="21"/>
          <w:szCs w:val="21"/>
        </w:rPr>
        <w:t xml:space="preserve"> </w:t>
      </w:r>
      <w:r w:rsidRPr="00ED0894">
        <w:rPr>
          <w:rFonts w:ascii="Arial" w:hAnsi="Arial" w:cs="Arial"/>
          <w:sz w:val="21"/>
          <w:szCs w:val="21"/>
        </w:rPr>
        <w:t>ejecución</w:t>
      </w:r>
      <w:r w:rsidRPr="00ED0894">
        <w:rPr>
          <w:rFonts w:ascii="Arial" w:eastAsia="Arial" w:hAnsi="Arial" w:cs="Arial"/>
          <w:sz w:val="21"/>
          <w:szCs w:val="21"/>
        </w:rPr>
        <w:t xml:space="preserve"> </w:t>
      </w:r>
      <w:r w:rsidRPr="00ED0894">
        <w:rPr>
          <w:rFonts w:ascii="Arial" w:hAnsi="Arial" w:cs="Arial"/>
          <w:sz w:val="21"/>
          <w:szCs w:val="21"/>
        </w:rPr>
        <w:t>diaria</w:t>
      </w:r>
      <w:r w:rsidRPr="00ED0894">
        <w:rPr>
          <w:rFonts w:ascii="Arial" w:eastAsia="Arial" w:hAnsi="Arial" w:cs="Arial"/>
          <w:sz w:val="21"/>
          <w:szCs w:val="21"/>
        </w:rPr>
        <w:t xml:space="preserve"> </w:t>
      </w:r>
      <w:r w:rsidRPr="00ED0894">
        <w:rPr>
          <w:rFonts w:ascii="Arial" w:hAnsi="Arial" w:cs="Arial"/>
          <w:sz w:val="21"/>
          <w:szCs w:val="21"/>
        </w:rPr>
        <w:t>equivalente</w:t>
      </w:r>
      <w:r w:rsidRPr="00ED0894">
        <w:rPr>
          <w:rFonts w:ascii="Arial" w:eastAsia="Arial" w:hAnsi="Arial" w:cs="Arial"/>
          <w:sz w:val="21"/>
          <w:szCs w:val="21"/>
        </w:rPr>
        <w:t xml:space="preserve"> </w:t>
      </w:r>
      <w:r w:rsidRPr="00ED0894">
        <w:rPr>
          <w:rFonts w:ascii="Arial" w:hAnsi="Arial" w:cs="Arial"/>
          <w:sz w:val="21"/>
          <w:szCs w:val="21"/>
        </w:rPr>
        <w:t>al</w:t>
      </w:r>
      <w:r w:rsidRPr="00ED0894">
        <w:rPr>
          <w:rFonts w:ascii="Arial" w:eastAsia="Arial" w:hAnsi="Arial" w:cs="Arial"/>
          <w:sz w:val="21"/>
          <w:szCs w:val="21"/>
        </w:rPr>
        <w:t xml:space="preserve"> </w:t>
      </w:r>
      <w:r w:rsidRPr="00ED0894">
        <w:rPr>
          <w:rFonts w:ascii="Arial" w:hAnsi="Arial" w:cs="Arial"/>
          <w:sz w:val="21"/>
          <w:szCs w:val="21"/>
        </w:rPr>
        <w:t>valor</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dividido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expresado</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Este</w:t>
      </w:r>
      <w:r w:rsidRPr="00ED0894">
        <w:rPr>
          <w:rFonts w:ascii="Arial" w:eastAsia="Arial" w:hAnsi="Arial" w:cs="Arial"/>
          <w:sz w:val="21"/>
          <w:szCs w:val="21"/>
        </w:rPr>
        <w:t xml:space="preserve"> </w:t>
      </w:r>
      <w:r w:rsidRPr="00ED0894">
        <w:rPr>
          <w:rFonts w:ascii="Arial" w:hAnsi="Arial" w:cs="Arial"/>
          <w:sz w:val="21"/>
          <w:szCs w:val="21"/>
        </w:rPr>
        <w:t>resultado</w:t>
      </w:r>
      <w:r w:rsidRPr="00ED0894">
        <w:rPr>
          <w:rFonts w:ascii="Arial" w:eastAsia="Arial" w:hAnsi="Arial" w:cs="Arial"/>
          <w:sz w:val="21"/>
          <w:szCs w:val="21"/>
        </w:rPr>
        <w:t xml:space="preserve"> </w:t>
      </w:r>
      <w:r w:rsidRPr="00ED0894">
        <w:rPr>
          <w:rFonts w:ascii="Arial" w:hAnsi="Arial" w:cs="Arial"/>
          <w:sz w:val="21"/>
          <w:szCs w:val="21"/>
        </w:rPr>
        <w:t>se</w:t>
      </w:r>
      <w:r w:rsidRPr="00ED0894">
        <w:rPr>
          <w:rFonts w:ascii="Arial" w:eastAsia="Arial" w:hAnsi="Arial" w:cs="Arial"/>
          <w:sz w:val="21"/>
          <w:szCs w:val="21"/>
        </w:rPr>
        <w:t xml:space="preserve"> </w:t>
      </w:r>
      <w:r w:rsidRPr="00ED0894">
        <w:rPr>
          <w:rFonts w:ascii="Arial" w:hAnsi="Arial" w:cs="Arial"/>
          <w:sz w:val="21"/>
          <w:szCs w:val="21"/>
        </w:rPr>
        <w:t>multiplica</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número</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pendientes</w:t>
      </w:r>
      <w:r w:rsidRPr="00ED0894">
        <w:rPr>
          <w:rFonts w:ascii="Arial" w:eastAsia="Arial" w:hAnsi="Arial" w:cs="Arial"/>
          <w:sz w:val="21"/>
          <w:szCs w:val="21"/>
        </w:rPr>
        <w:t xml:space="preserve"> </w:t>
      </w: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cumplir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y</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ejecutado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una estructura plural</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participación</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la respectiva estructura</w:t>
      </w:r>
      <w:bookmarkEnd w:id="13"/>
      <w:r w:rsidRPr="00ED0894">
        <w:rPr>
          <w:rFonts w:ascii="Arial" w:hAnsi="Arial" w:cs="Arial"/>
          <w:sz w:val="21"/>
          <w:szCs w:val="21"/>
        </w:rPr>
        <w:t xml:space="preserve">. </w:t>
      </w:r>
    </w:p>
    <w:p w14:paraId="1C2B2736" w14:textId="77777777" w:rsidR="00740E5C" w:rsidRPr="00ED0894" w:rsidRDefault="00740E5C" w:rsidP="00740E5C">
      <w:pPr>
        <w:spacing w:line="276" w:lineRule="auto"/>
        <w:contextualSpacing/>
        <w:jc w:val="both"/>
        <w:rPr>
          <w:rFonts w:ascii="Arial" w:eastAsia="Arial," w:hAnsi="Arial" w:cs="Arial"/>
          <w:lang w:val="es-MX"/>
        </w:rPr>
      </w:pPr>
    </w:p>
    <w:p w14:paraId="3E8C0C32" w14:textId="77777777" w:rsidR="00740E5C" w:rsidRPr="00AC57DD" w:rsidRDefault="00740E5C" w:rsidP="00740E5C">
      <w:pPr>
        <w:spacing w:line="276" w:lineRule="auto"/>
        <w:ind w:firstLine="708"/>
        <w:jc w:val="both"/>
        <w:rPr>
          <w:rFonts w:ascii="Arial" w:hAnsi="Arial" w:cs="Arial"/>
          <w:sz w:val="22"/>
          <w:szCs w:val="22"/>
        </w:rPr>
      </w:pPr>
      <w:r w:rsidRPr="00AC57DD">
        <w:rPr>
          <w:rFonts w:ascii="Arial" w:eastAsia="Arial," w:hAnsi="Arial" w:cs="Arial"/>
          <w:sz w:val="22"/>
          <w:szCs w:val="22"/>
        </w:rPr>
        <w:t xml:space="preserve">Como se aprecia, los apartados transcritos del documento base están en armonía con lo dispuesto en la </w:t>
      </w:r>
      <w:r w:rsidRPr="00AC57DD">
        <w:rPr>
          <w:rFonts w:ascii="Arial" w:hAnsi="Arial" w:cs="Arial"/>
          <w:sz w:val="22"/>
          <w:szCs w:val="22"/>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AC57DD">
        <w:rPr>
          <w:rFonts w:ascii="Arial" w:eastAsia="Calibri" w:hAnsi="Arial" w:cs="Arial"/>
          <w:color w:val="000000" w:themeColor="text1"/>
          <w:sz w:val="22"/>
          <w:szCs w:val="22"/>
          <w:lang w:val="es-MX"/>
        </w:rPr>
        <w:t xml:space="preserve">el artículo 2.2.1.1.1.6.4 del Decreto 1082 de 2015, en virtud del cual, para efectos de </w:t>
      </w:r>
      <w:r w:rsidRPr="00AC57DD">
        <w:rPr>
          <w:rFonts w:ascii="Arial" w:hAnsi="Arial" w:cs="Arial"/>
          <w:sz w:val="22"/>
          <w:szCs w:val="22"/>
          <w:lang w:val="es-MX"/>
        </w:rPr>
        <w:t xml:space="preserve">acreditar la capacidad residual del proponente, se requiere el listado de contratos de obra civiles en ejecución suscritos con entidades estatales y con entidades privadas. </w:t>
      </w:r>
    </w:p>
    <w:p w14:paraId="1DBCC23E" w14:textId="77777777" w:rsidR="00740E5C" w:rsidRPr="00AC57DD" w:rsidRDefault="00740E5C" w:rsidP="00740E5C">
      <w:pPr>
        <w:spacing w:line="276" w:lineRule="auto"/>
        <w:jc w:val="both"/>
        <w:rPr>
          <w:rFonts w:ascii="Arial" w:hAnsi="Arial" w:cs="Arial"/>
          <w:sz w:val="22"/>
          <w:szCs w:val="22"/>
        </w:rPr>
      </w:pPr>
    </w:p>
    <w:p w14:paraId="6D748376" w14:textId="21F751C6" w:rsidR="00740E5C" w:rsidRPr="00AC57DD" w:rsidRDefault="00740E5C" w:rsidP="00740E5C">
      <w:pPr>
        <w:tabs>
          <w:tab w:val="left" w:pos="426"/>
        </w:tabs>
        <w:spacing w:line="276" w:lineRule="auto"/>
        <w:jc w:val="both"/>
        <w:rPr>
          <w:rFonts w:ascii="Arial" w:hAnsi="Arial" w:cs="Arial"/>
          <w:b/>
          <w:bCs/>
          <w:sz w:val="22"/>
          <w:szCs w:val="22"/>
          <w:lang w:val="es-MX"/>
        </w:rPr>
      </w:pPr>
      <w:r w:rsidRPr="00AC57DD">
        <w:rPr>
          <w:rFonts w:ascii="Arial" w:eastAsia="Calibri" w:hAnsi="Arial" w:cs="Arial"/>
          <w:b/>
          <w:bCs/>
          <w:color w:val="000000"/>
          <w:sz w:val="22"/>
          <w:szCs w:val="22"/>
        </w:rPr>
        <w:t>2.</w:t>
      </w:r>
      <w:r w:rsidR="003A2797">
        <w:rPr>
          <w:rFonts w:ascii="Arial" w:eastAsia="Calibri" w:hAnsi="Arial" w:cs="Arial"/>
          <w:b/>
          <w:bCs/>
          <w:color w:val="000000"/>
          <w:sz w:val="22"/>
          <w:szCs w:val="22"/>
        </w:rPr>
        <w:t>3</w:t>
      </w:r>
      <w:r w:rsidRPr="00AC57DD">
        <w:rPr>
          <w:rFonts w:ascii="Arial" w:eastAsia="Calibri" w:hAnsi="Arial" w:cs="Arial"/>
          <w:b/>
          <w:bCs/>
          <w:color w:val="000000"/>
          <w:sz w:val="22"/>
          <w:szCs w:val="22"/>
        </w:rPr>
        <w:t xml:space="preserve">. Capacidad residual </w:t>
      </w:r>
      <w:r w:rsidRPr="00AC57DD">
        <w:rPr>
          <w:rFonts w:ascii="Arial" w:hAnsi="Arial" w:cs="Arial"/>
          <w:b/>
          <w:bCs/>
          <w:sz w:val="22"/>
          <w:szCs w:val="22"/>
          <w:lang w:val="es-MX"/>
        </w:rPr>
        <w:t>y rechazo de la oferta</w:t>
      </w:r>
      <w:r w:rsidRPr="00AC57DD">
        <w:rPr>
          <w:rFonts w:ascii="Arial" w:eastAsia="Calibri" w:hAnsi="Arial" w:cs="Arial"/>
          <w:b/>
          <w:bCs/>
          <w:color w:val="000000"/>
          <w:sz w:val="22"/>
          <w:szCs w:val="22"/>
        </w:rPr>
        <w:t xml:space="preserve"> en los «Documentos Tipo – Versión 3» </w:t>
      </w:r>
      <w:r w:rsidRPr="00AC57DD">
        <w:rPr>
          <w:rFonts w:ascii="Arial" w:hAnsi="Arial" w:cs="Arial"/>
          <w:b/>
          <w:bCs/>
          <w:sz w:val="22"/>
          <w:szCs w:val="22"/>
          <w:lang w:val="es-MX"/>
        </w:rPr>
        <w:t>de licitación para obra pública de infraestructura de transporte</w:t>
      </w:r>
    </w:p>
    <w:p w14:paraId="29E435E3" w14:textId="77777777" w:rsidR="00740E5C" w:rsidRPr="00AC57DD" w:rsidRDefault="00740E5C" w:rsidP="00740E5C">
      <w:pPr>
        <w:tabs>
          <w:tab w:val="left" w:pos="426"/>
        </w:tabs>
        <w:spacing w:line="276" w:lineRule="auto"/>
        <w:jc w:val="both"/>
        <w:rPr>
          <w:rFonts w:ascii="Arial" w:hAnsi="Arial" w:cs="Arial"/>
          <w:b/>
          <w:bCs/>
          <w:sz w:val="22"/>
          <w:szCs w:val="22"/>
          <w:lang w:val="es-MX"/>
        </w:rPr>
      </w:pPr>
    </w:p>
    <w:p w14:paraId="7345E1A6" w14:textId="2D5E3094" w:rsidR="008975B8" w:rsidRDefault="008975B8" w:rsidP="007F7D47">
      <w:pPr>
        <w:tabs>
          <w:tab w:val="left" w:pos="426"/>
        </w:tabs>
        <w:spacing w:after="120" w:line="276" w:lineRule="auto"/>
        <w:jc w:val="both"/>
        <w:rPr>
          <w:rFonts w:ascii="Arial" w:hAnsi="Arial" w:cs="Arial"/>
          <w:sz w:val="22"/>
          <w:szCs w:val="22"/>
          <w:lang w:val="es-MX"/>
        </w:rPr>
      </w:pPr>
      <w:r>
        <w:rPr>
          <w:rStyle w:val="normaltextrun"/>
          <w:rFonts w:ascii="Arial" w:hAnsi="Arial" w:cs="Arial"/>
          <w:sz w:val="22"/>
          <w:szCs w:val="22"/>
          <w:lang w:val="es-MX"/>
        </w:rPr>
        <w:t xml:space="preserve">Esta Agencia, </w:t>
      </w:r>
      <w:r w:rsidRPr="00ED0894">
        <w:rPr>
          <w:rStyle w:val="normaltextrun"/>
          <w:rFonts w:ascii="Arial" w:hAnsi="Arial" w:cs="Arial"/>
          <w:sz w:val="22"/>
          <w:szCs w:val="22"/>
        </w:rPr>
        <w:t>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w:t>
      </w:r>
      <w:r>
        <w:rPr>
          <w:rStyle w:val="normaltextrun"/>
          <w:rFonts w:ascii="Arial" w:hAnsi="Arial" w:cs="Arial"/>
          <w:sz w:val="22"/>
          <w:szCs w:val="22"/>
        </w:rPr>
        <w:t>,</w:t>
      </w:r>
      <w:r w:rsidRPr="00ED0894">
        <w:rPr>
          <w:rStyle w:val="normaltextrun"/>
          <w:rFonts w:ascii="Arial" w:hAnsi="Arial" w:cs="Arial"/>
          <w:sz w:val="22"/>
          <w:szCs w:val="22"/>
        </w:rPr>
        <w:t xml:space="preserve"> C-692 del 28 de diciembre de 2021</w:t>
      </w:r>
      <w:r>
        <w:rPr>
          <w:rStyle w:val="normaltextrun"/>
          <w:rFonts w:ascii="Arial" w:hAnsi="Arial" w:cs="Arial"/>
          <w:sz w:val="22"/>
          <w:szCs w:val="22"/>
        </w:rPr>
        <w:t xml:space="preserve"> y C-306 de 16 de mayo de 2022,</w:t>
      </w:r>
      <w:r w:rsidRPr="00ED0894">
        <w:rPr>
          <w:rStyle w:val="normaltextrun"/>
          <w:rFonts w:ascii="Arial" w:hAnsi="Arial" w:cs="Arial"/>
          <w:sz w:val="22"/>
          <w:szCs w:val="22"/>
        </w:rPr>
        <w:t xml:space="preserve">  analizó el rechazo de propuestas por falta de acreditación del requisito de capacidad residual.</w:t>
      </w:r>
      <w:r>
        <w:rPr>
          <w:rStyle w:val="normaltextrun"/>
          <w:rFonts w:ascii="Arial" w:hAnsi="Arial" w:cs="Arial"/>
          <w:sz w:val="22"/>
          <w:szCs w:val="22"/>
        </w:rPr>
        <w:t xml:space="preserve"> Lo expuesto se reitera y complementa en lo que corresponda.</w:t>
      </w:r>
    </w:p>
    <w:p w14:paraId="32F40E39" w14:textId="6880BB81" w:rsidR="00740E5C" w:rsidRPr="00AC57DD" w:rsidRDefault="008975B8" w:rsidP="00740E5C">
      <w:pPr>
        <w:tabs>
          <w:tab w:val="left" w:pos="426"/>
        </w:tabs>
        <w:spacing w:line="276" w:lineRule="auto"/>
        <w:jc w:val="both"/>
        <w:rPr>
          <w:rFonts w:ascii="Arial" w:eastAsia="Calibri" w:hAnsi="Arial" w:cs="Arial"/>
          <w:b/>
          <w:bCs/>
          <w:color w:val="000000"/>
          <w:sz w:val="22"/>
          <w:szCs w:val="22"/>
        </w:rPr>
      </w:pPr>
      <w:r>
        <w:rPr>
          <w:rFonts w:ascii="Arial" w:hAnsi="Arial" w:cs="Arial"/>
          <w:sz w:val="22"/>
          <w:szCs w:val="22"/>
          <w:lang w:val="es-MX"/>
        </w:rPr>
        <w:tab/>
      </w:r>
      <w:r w:rsidR="00740E5C" w:rsidRPr="00AC57DD">
        <w:rPr>
          <w:rFonts w:ascii="Arial" w:hAnsi="Arial" w:cs="Arial"/>
          <w:sz w:val="22"/>
          <w:szCs w:val="22"/>
          <w:lang w:val="es-MX"/>
        </w:rPr>
        <w:t xml:space="preserve">El numeral 3.10 del documento base de obra de licitación para obra pública de infraestructura de transporte –versión 3– establece </w:t>
      </w:r>
      <w:r w:rsidR="00740E5C" w:rsidRPr="00AC57DD">
        <w:rPr>
          <w:rFonts w:ascii="Arial" w:hAnsi="Arial" w:cs="Arial"/>
          <w:sz w:val="22"/>
          <w:szCs w:val="22"/>
        </w:rPr>
        <w:t xml:space="preserve">como requisito habilitante la capacidad residual. En este documento tipo, </w:t>
      </w:r>
      <w:r w:rsidR="00740E5C" w:rsidRPr="00AC57DD">
        <w:rPr>
          <w:rFonts w:ascii="Arial" w:hAnsi="Arial" w:cs="Arial"/>
          <w:sz w:val="22"/>
          <w:szCs w:val="22"/>
          <w:lang w:val="es-MX"/>
        </w:rPr>
        <w:t>al menos tres causales de rechazo del numeral 1.15 se relacionan con la capacidad residual como requisito habilitante, esto es, los literales E, H y Z. Estas causales disponen lo siguiente:</w:t>
      </w:r>
    </w:p>
    <w:p w14:paraId="57D2627E" w14:textId="77777777" w:rsidR="00740E5C" w:rsidRPr="00ED0894" w:rsidRDefault="00740E5C" w:rsidP="00740E5C">
      <w:pPr>
        <w:ind w:left="709" w:right="709"/>
        <w:jc w:val="both"/>
        <w:rPr>
          <w:rFonts w:ascii="Arial" w:hAnsi="Arial" w:cs="Arial"/>
          <w:b/>
          <w:bCs/>
          <w:sz w:val="21"/>
          <w:szCs w:val="21"/>
        </w:rPr>
      </w:pPr>
    </w:p>
    <w:p w14:paraId="3D19680C" w14:textId="77777777" w:rsidR="00740E5C" w:rsidRPr="00ED0894" w:rsidRDefault="00740E5C" w:rsidP="00740E5C">
      <w:pPr>
        <w:ind w:left="709" w:right="709"/>
        <w:jc w:val="both"/>
        <w:rPr>
          <w:rFonts w:ascii="Arial" w:hAnsi="Arial" w:cs="Arial"/>
          <w:b/>
          <w:bCs/>
          <w:sz w:val="21"/>
          <w:szCs w:val="21"/>
          <w:lang w:val="es-MX"/>
        </w:rPr>
      </w:pPr>
      <w:r w:rsidRPr="00ED0894">
        <w:rPr>
          <w:rFonts w:ascii="Arial" w:hAnsi="Arial" w:cs="Arial"/>
          <w:b/>
          <w:bCs/>
          <w:sz w:val="21"/>
          <w:szCs w:val="21"/>
          <w:lang w:val="es-MX"/>
        </w:rPr>
        <w:t>1.15.</w:t>
      </w:r>
      <w:r w:rsidRPr="00ED0894">
        <w:rPr>
          <w:rFonts w:ascii="Arial" w:hAnsi="Arial" w:cs="Arial"/>
          <w:b/>
          <w:bCs/>
          <w:sz w:val="21"/>
          <w:szCs w:val="21"/>
          <w:lang w:val="es-MX"/>
        </w:rPr>
        <w:tab/>
        <w:t xml:space="preserve">CAUSALES DE RECHAZO </w:t>
      </w:r>
    </w:p>
    <w:p w14:paraId="12B959E5"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Son causales de rechazo las siguientes [Las Entidades no podrán modificar o incluir causales de rechazo distintas a las señaladas en la presente sección]:</w:t>
      </w:r>
    </w:p>
    <w:p w14:paraId="6BBA6F3F" w14:textId="77777777" w:rsidR="00740E5C" w:rsidRPr="00ED0894" w:rsidRDefault="00740E5C" w:rsidP="00740E5C">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14:paraId="6A4AA18B"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E. Que el Proponente no aclare, subsane o aporte documentos necesarios para el cumplimiento de un requisito habilitante en los términos establecidos en la sección 1.6.</w:t>
      </w:r>
    </w:p>
    <w:p w14:paraId="4C2453CC"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w:t>
      </w:r>
    </w:p>
    <w:p w14:paraId="28AF8E14" w14:textId="77777777" w:rsidR="00740E5C" w:rsidRPr="00ED0894" w:rsidRDefault="00740E5C" w:rsidP="00740E5C">
      <w:pPr>
        <w:spacing w:before="120"/>
        <w:ind w:left="709" w:right="709"/>
        <w:jc w:val="both"/>
        <w:rPr>
          <w:rFonts w:ascii="Arial" w:hAnsi="Arial" w:cs="Arial"/>
          <w:sz w:val="21"/>
          <w:szCs w:val="21"/>
          <w:lang w:val="es-MX"/>
        </w:rPr>
      </w:pPr>
      <w:r w:rsidRPr="00ED0894">
        <w:rPr>
          <w:rFonts w:ascii="Arial" w:hAnsi="Arial" w:cs="Arial"/>
          <w:sz w:val="21"/>
          <w:szCs w:val="21"/>
          <w:lang w:val="es-MX"/>
        </w:rPr>
        <w:t>H. Que el Proponente aporte información inexacta sobre la cual pueda existir una posible falsedad en los términos de la sección 1.11.</w:t>
      </w:r>
    </w:p>
    <w:p w14:paraId="71EA6E5A" w14:textId="77777777" w:rsidR="00740E5C" w:rsidRPr="00ED0894" w:rsidRDefault="00740E5C" w:rsidP="00740E5C">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14:paraId="499871C6" w14:textId="77777777" w:rsidR="00740E5C" w:rsidRPr="00ED0894" w:rsidRDefault="00740E5C" w:rsidP="00740E5C">
      <w:pPr>
        <w:ind w:left="709" w:right="709"/>
        <w:jc w:val="both"/>
        <w:rPr>
          <w:rFonts w:ascii="Arial" w:hAnsi="Arial" w:cs="Arial"/>
          <w:sz w:val="21"/>
          <w:szCs w:val="21"/>
          <w:lang w:val="es-MX"/>
        </w:rPr>
      </w:pPr>
      <w:r w:rsidRPr="00ED0894">
        <w:rPr>
          <w:rFonts w:ascii="Arial" w:hAnsi="Arial" w:cs="Arial"/>
          <w:sz w:val="21"/>
          <w:szCs w:val="21"/>
          <w:lang w:val="es-MX"/>
        </w:rPr>
        <w:t xml:space="preserve">Z. </w:t>
      </w:r>
      <w:bookmarkStart w:id="14" w:name="_Hlk78878480"/>
      <w:r w:rsidRPr="00ED0894">
        <w:rPr>
          <w:rFonts w:ascii="Arial" w:hAnsi="Arial" w:cs="Arial"/>
          <w:sz w:val="21"/>
          <w:szCs w:val="21"/>
          <w:lang w:val="es-MX"/>
        </w:rPr>
        <w:t>No informar todos los contratos que el Proponente tenga en ejecución antes del cierre, necesarios para acreditar su capacidad residual conforme a la sección 3.10.</w:t>
      </w:r>
    </w:p>
    <w:bookmarkEnd w:id="14"/>
    <w:p w14:paraId="7851952A" w14:textId="77777777" w:rsidR="00740E5C" w:rsidRPr="00ED0894" w:rsidRDefault="00740E5C" w:rsidP="00740E5C">
      <w:pPr>
        <w:ind w:left="709" w:right="709"/>
        <w:jc w:val="both"/>
        <w:rPr>
          <w:rFonts w:ascii="Arial" w:hAnsi="Arial" w:cs="Arial"/>
          <w:szCs w:val="20"/>
          <w:lang w:val="es-MX"/>
        </w:rPr>
      </w:pPr>
    </w:p>
    <w:p w14:paraId="6CD45D19" w14:textId="77777777" w:rsidR="00740E5C" w:rsidRPr="00AC57DD" w:rsidRDefault="00740E5C" w:rsidP="00740E5C">
      <w:pPr>
        <w:spacing w:after="120" w:line="276" w:lineRule="auto"/>
        <w:ind w:firstLine="709"/>
        <w:jc w:val="both"/>
        <w:rPr>
          <w:rFonts w:ascii="Arial" w:hAnsi="Arial" w:cs="Arial"/>
          <w:sz w:val="22"/>
          <w:szCs w:val="22"/>
          <w:lang w:val="es-MX"/>
        </w:rPr>
      </w:pPr>
      <w:bookmarkStart w:id="15" w:name="_Hlk91596805"/>
      <w:r w:rsidRPr="00AC57DD">
        <w:rPr>
          <w:rFonts w:ascii="Arial" w:hAnsi="Arial" w:cs="Arial"/>
          <w:sz w:val="22"/>
          <w:szCs w:val="22"/>
          <w:lang w:val="es-MX"/>
        </w:rPr>
        <w:t xml:space="preserve">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w:t>
      </w:r>
      <w:r w:rsidRPr="00AC57DD">
        <w:rPr>
          <w:rFonts w:ascii="Arial" w:hAnsi="Arial" w:cs="Arial"/>
          <w:sz w:val="22"/>
          <w:szCs w:val="22"/>
          <w:lang w:val="es-MX"/>
        </w:rPr>
        <w:lastRenderedPageBreak/>
        <w:t>mediante la cual se pretenda ampliar su alcance. En ese contexto, las tres causales de rechazo mencionadas tienen el siguiente alcance:</w:t>
      </w:r>
    </w:p>
    <w:bookmarkEnd w:id="15"/>
    <w:p w14:paraId="2A047734" w14:textId="77777777" w:rsidR="00740E5C" w:rsidRPr="00AC57DD" w:rsidRDefault="00740E5C" w:rsidP="00740E5C">
      <w:pPr>
        <w:spacing w:before="120" w:after="120" w:line="276" w:lineRule="auto"/>
        <w:ind w:firstLine="709"/>
        <w:jc w:val="both"/>
        <w:rPr>
          <w:rFonts w:ascii="Arial" w:hAnsi="Arial" w:cs="Arial"/>
          <w:i/>
          <w:iCs/>
          <w:sz w:val="22"/>
          <w:szCs w:val="22"/>
          <w:lang w:val="es-MX"/>
        </w:rPr>
      </w:pPr>
      <w:r w:rsidRPr="00AC57DD">
        <w:rPr>
          <w:rFonts w:ascii="Arial" w:hAnsi="Arial" w:cs="Arial"/>
          <w:i/>
          <w:sz w:val="22"/>
          <w:szCs w:val="22"/>
          <w:lang w:val="es-MX"/>
        </w:rPr>
        <w:t>i)</w:t>
      </w:r>
      <w:r w:rsidRPr="00AC57DD">
        <w:rPr>
          <w:rFonts w:ascii="Arial" w:hAnsi="Arial" w:cs="Arial"/>
          <w:sz w:val="22"/>
          <w:szCs w:val="22"/>
          <w:lang w:val="es-MX"/>
        </w:rPr>
        <w:t xml:space="preserve"> La causal del </w:t>
      </w:r>
      <w:r w:rsidRPr="00AC57DD">
        <w:rPr>
          <w:rFonts w:ascii="Arial" w:hAnsi="Arial" w:cs="Arial"/>
          <w:i/>
          <w:iCs/>
          <w:sz w:val="22"/>
          <w:szCs w:val="22"/>
          <w:lang w:val="es-MX"/>
        </w:rPr>
        <w:t>literal Z</w:t>
      </w:r>
      <w:r w:rsidRPr="00AC57DD">
        <w:rPr>
          <w:rFonts w:ascii="Arial" w:hAnsi="Arial" w:cs="Arial"/>
          <w:sz w:val="22"/>
          <w:szCs w:val="22"/>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p>
    <w:p w14:paraId="085DC7C2" w14:textId="77777777" w:rsidR="00740E5C" w:rsidRPr="00AC57DD" w:rsidRDefault="00740E5C" w:rsidP="00740E5C">
      <w:pPr>
        <w:spacing w:before="120" w:line="276" w:lineRule="auto"/>
        <w:ind w:firstLine="708"/>
        <w:jc w:val="both"/>
        <w:rPr>
          <w:rFonts w:ascii="Arial" w:hAnsi="Arial" w:cs="Arial"/>
          <w:sz w:val="22"/>
          <w:szCs w:val="22"/>
          <w:lang w:val="es-MX"/>
        </w:rPr>
      </w:pPr>
      <w:bookmarkStart w:id="16" w:name="_Hlk91596835"/>
      <w:r w:rsidRPr="00AC57DD">
        <w:rPr>
          <w:rFonts w:ascii="Arial" w:hAnsi="Arial" w:cs="Arial"/>
          <w:i/>
          <w:sz w:val="22"/>
          <w:szCs w:val="22"/>
          <w:lang w:val="es-MX"/>
        </w:rPr>
        <w:t xml:space="preserve">ii) </w:t>
      </w:r>
      <w:r w:rsidRPr="00AC57DD">
        <w:rPr>
          <w:rFonts w:ascii="Arial" w:hAnsi="Arial" w:cs="Arial"/>
          <w:sz w:val="22"/>
          <w:szCs w:val="22"/>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AC57DD">
        <w:rPr>
          <w:rFonts w:ascii="Arial" w:hAnsi="Arial" w:cs="Arial"/>
          <w:i/>
          <w:iCs/>
          <w:sz w:val="22"/>
          <w:szCs w:val="22"/>
          <w:lang w:val="es-MX"/>
        </w:rPr>
        <w:t>literal E</w:t>
      </w:r>
      <w:r w:rsidRPr="00AC57DD">
        <w:rPr>
          <w:rFonts w:ascii="Arial" w:hAnsi="Arial" w:cs="Arial"/>
          <w:sz w:val="22"/>
          <w:szCs w:val="22"/>
          <w:lang w:val="es-MX"/>
        </w:rPr>
        <w:t xml:space="preserve"> del numeral 1.15.</w:t>
      </w:r>
      <w:bookmarkEnd w:id="16"/>
      <w:r w:rsidRPr="00AC57DD">
        <w:rPr>
          <w:rFonts w:ascii="Arial" w:hAnsi="Arial" w:cs="Arial"/>
          <w:sz w:val="22"/>
          <w:szCs w:val="22"/>
          <w:lang w:val="es-MX"/>
        </w:rPr>
        <w:t xml:space="preserve"> </w:t>
      </w:r>
    </w:p>
    <w:p w14:paraId="10C503FE" w14:textId="77777777" w:rsidR="00740E5C" w:rsidRPr="00AC57DD" w:rsidRDefault="00740E5C" w:rsidP="00740E5C">
      <w:pPr>
        <w:spacing w:before="120" w:line="276" w:lineRule="auto"/>
        <w:ind w:firstLine="708"/>
        <w:jc w:val="both"/>
        <w:rPr>
          <w:rFonts w:ascii="Arial" w:hAnsi="Arial" w:cs="Arial"/>
          <w:sz w:val="22"/>
          <w:szCs w:val="22"/>
          <w:lang w:val="es-MX"/>
        </w:rPr>
      </w:pPr>
      <w:r w:rsidRPr="00AC57DD">
        <w:rPr>
          <w:rFonts w:ascii="Arial" w:hAnsi="Arial" w:cs="Arial"/>
          <w:i/>
          <w:sz w:val="22"/>
          <w:szCs w:val="22"/>
          <w:lang w:val="es-MX"/>
        </w:rPr>
        <w:t xml:space="preserve">iii) </w:t>
      </w:r>
      <w:r w:rsidRPr="00AC57DD">
        <w:rPr>
          <w:rFonts w:ascii="Arial" w:hAnsi="Arial" w:cs="Arial"/>
          <w:sz w:val="22"/>
          <w:szCs w:val="22"/>
          <w:lang w:val="es-MX"/>
        </w:rPr>
        <w:t xml:space="preserve">Lo dicho en los numerales precedentes tampoco descarta la posibilidad de que la entidad rechace la oferta si encuentra configurada la causal establecida en </w:t>
      </w:r>
      <w:bookmarkStart w:id="17" w:name="_Hlk81383775"/>
      <w:r w:rsidRPr="00AC57DD">
        <w:rPr>
          <w:rFonts w:ascii="Arial" w:hAnsi="Arial" w:cs="Arial"/>
          <w:sz w:val="22"/>
          <w:szCs w:val="22"/>
          <w:lang w:val="es-MX"/>
        </w:rPr>
        <w:t xml:space="preserve">el </w:t>
      </w:r>
      <w:r w:rsidRPr="00AC57DD">
        <w:rPr>
          <w:rFonts w:ascii="Arial" w:hAnsi="Arial" w:cs="Arial"/>
          <w:i/>
          <w:iCs/>
          <w:sz w:val="22"/>
          <w:szCs w:val="22"/>
          <w:lang w:val="es-MX"/>
        </w:rPr>
        <w:t>literal H</w:t>
      </w:r>
      <w:r w:rsidRPr="00AC57DD">
        <w:rPr>
          <w:rFonts w:ascii="Arial" w:hAnsi="Arial" w:cs="Arial"/>
          <w:sz w:val="22"/>
          <w:szCs w:val="22"/>
          <w:lang w:val="es-MX"/>
        </w:rPr>
        <w:t xml:space="preserve"> del numeral 1.15, que aplica cuando el proponente aporta información inexacta, de acuerdo con lo señalado en el numeral 1.11. del documento base</w:t>
      </w:r>
      <w:bookmarkEnd w:id="17"/>
      <w:r w:rsidRPr="00AC57DD">
        <w:rPr>
          <w:rFonts w:ascii="Arial" w:hAnsi="Arial" w:cs="Arial"/>
          <w:sz w:val="22"/>
          <w:szCs w:val="22"/>
          <w:lang w:val="es-MX"/>
        </w:rPr>
        <w:t xml:space="preserve">: </w:t>
      </w:r>
    </w:p>
    <w:p w14:paraId="7136E8AF" w14:textId="77777777" w:rsidR="00740E5C" w:rsidRPr="00ED0894" w:rsidRDefault="00740E5C" w:rsidP="00740E5C">
      <w:pPr>
        <w:spacing w:line="276" w:lineRule="auto"/>
        <w:jc w:val="both"/>
        <w:rPr>
          <w:rFonts w:ascii="Arial" w:hAnsi="Arial" w:cs="Arial"/>
          <w:lang w:val="es-MX"/>
        </w:rPr>
      </w:pPr>
    </w:p>
    <w:p w14:paraId="6289715E" w14:textId="77777777" w:rsidR="00740E5C" w:rsidRPr="00ED0894" w:rsidRDefault="00740E5C" w:rsidP="00740E5C">
      <w:pPr>
        <w:spacing w:after="120"/>
        <w:ind w:left="709" w:right="709"/>
        <w:jc w:val="both"/>
        <w:rPr>
          <w:rFonts w:ascii="Arial" w:hAnsi="Arial" w:cs="Arial"/>
          <w:b/>
          <w:bCs/>
          <w:sz w:val="21"/>
          <w:szCs w:val="21"/>
        </w:rPr>
      </w:pPr>
      <w:r w:rsidRPr="00ED0894">
        <w:rPr>
          <w:rFonts w:ascii="Arial" w:hAnsi="Arial" w:cs="Arial"/>
          <w:b/>
          <w:bCs/>
          <w:sz w:val="21"/>
          <w:szCs w:val="21"/>
        </w:rPr>
        <w:t xml:space="preserve">1.11 INFORMACIÓN INEXACTA </w:t>
      </w:r>
    </w:p>
    <w:p w14:paraId="4DCEFD49" w14:textId="77777777" w:rsidR="00740E5C" w:rsidRPr="00ED0894" w:rsidRDefault="00740E5C" w:rsidP="00740E5C">
      <w:pPr>
        <w:spacing w:after="120"/>
        <w:ind w:left="709" w:right="709"/>
        <w:jc w:val="both"/>
        <w:rPr>
          <w:rFonts w:ascii="Arial" w:hAnsi="Arial" w:cs="Arial"/>
          <w:sz w:val="21"/>
          <w:szCs w:val="21"/>
        </w:rPr>
      </w:pPr>
      <w:r w:rsidRPr="00ED0894">
        <w:rPr>
          <w:rFonts w:ascii="Arial" w:hAnsi="Arial" w:cs="Arial"/>
          <w:sz w:val="21"/>
          <w:szCs w:val="21"/>
        </w:rPr>
        <w:t xml:space="preserve">La Entidad </w:t>
      </w:r>
      <w:bookmarkStart w:id="18" w:name="_Hlk88664526"/>
      <w:r w:rsidRPr="00ED0894">
        <w:rPr>
          <w:rFonts w:ascii="Arial" w:hAnsi="Arial" w:cs="Arial"/>
          <w:sz w:val="21"/>
          <w:szCs w:val="21"/>
        </w:rPr>
        <w:t>se reserva el derecho de verificar integralmente la información aportada por el Proponente</w:t>
      </w:r>
      <w:bookmarkEnd w:id="18"/>
      <w:r w:rsidRPr="00ED0894">
        <w:rPr>
          <w:rFonts w:ascii="Arial" w:hAnsi="Arial" w:cs="Arial"/>
          <w:sz w:val="21"/>
          <w:szCs w:val="21"/>
        </w:rPr>
        <w:t xml:space="preserve">. Para esto, puede acudir a las autoridades, personas, empresas o entidades respectivas. </w:t>
      </w:r>
    </w:p>
    <w:p w14:paraId="18D7C711" w14:textId="77777777" w:rsidR="00740E5C" w:rsidRPr="00ED0894" w:rsidRDefault="00740E5C" w:rsidP="00740E5C">
      <w:pPr>
        <w:spacing w:after="120"/>
        <w:ind w:left="709" w:right="709"/>
        <w:jc w:val="both"/>
        <w:rPr>
          <w:rFonts w:ascii="Arial" w:hAnsi="Arial" w:cs="Arial"/>
          <w:sz w:val="21"/>
          <w:szCs w:val="21"/>
        </w:rPr>
      </w:pPr>
      <w:r w:rsidRPr="00ED0894">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28FCA015" w14:textId="77777777" w:rsidR="00740E5C" w:rsidRPr="00ED0894" w:rsidRDefault="00740E5C" w:rsidP="00740E5C">
      <w:pPr>
        <w:ind w:left="709" w:right="709"/>
        <w:jc w:val="both"/>
        <w:rPr>
          <w:rFonts w:ascii="Arial" w:hAnsi="Arial" w:cs="Arial"/>
          <w:sz w:val="21"/>
          <w:szCs w:val="21"/>
        </w:rPr>
      </w:pPr>
      <w:r w:rsidRPr="00ED0894">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7E961559" w14:textId="77777777" w:rsidR="00740E5C" w:rsidRPr="00ED0894" w:rsidRDefault="00740E5C" w:rsidP="00740E5C">
      <w:pPr>
        <w:ind w:left="709" w:right="709"/>
        <w:jc w:val="both"/>
        <w:rPr>
          <w:rFonts w:ascii="Arial" w:hAnsi="Arial" w:cs="Arial"/>
          <w:sz w:val="21"/>
          <w:szCs w:val="21"/>
        </w:rPr>
      </w:pPr>
      <w:r w:rsidRPr="00ED0894">
        <w:rPr>
          <w:rFonts w:ascii="Arial" w:hAnsi="Arial" w:cs="Arial"/>
          <w:sz w:val="21"/>
          <w:szCs w:val="21"/>
        </w:rPr>
        <w:t>[…]</w:t>
      </w:r>
    </w:p>
    <w:p w14:paraId="5EBE01B9" w14:textId="77777777" w:rsidR="00740E5C" w:rsidRPr="00ED0894" w:rsidRDefault="00740E5C" w:rsidP="00740E5C">
      <w:pPr>
        <w:spacing w:line="276" w:lineRule="auto"/>
        <w:jc w:val="both"/>
        <w:rPr>
          <w:rFonts w:ascii="Arial" w:hAnsi="Arial" w:cs="Arial"/>
        </w:rPr>
      </w:pPr>
    </w:p>
    <w:p w14:paraId="3A5502EE" w14:textId="77777777" w:rsidR="00740E5C" w:rsidRPr="00AC57DD" w:rsidRDefault="00740E5C" w:rsidP="00740E5C">
      <w:pPr>
        <w:spacing w:after="120" w:line="276" w:lineRule="auto"/>
        <w:ind w:firstLine="709"/>
        <w:jc w:val="both"/>
        <w:rPr>
          <w:rFonts w:ascii="Arial" w:hAnsi="Arial" w:cs="Arial"/>
          <w:sz w:val="22"/>
          <w:szCs w:val="22"/>
        </w:rPr>
      </w:pPr>
      <w:r w:rsidRPr="00AC57DD">
        <w:rPr>
          <w:rFonts w:ascii="Arial" w:hAnsi="Arial" w:cs="Arial"/>
          <w:sz w:val="22"/>
          <w:szCs w:val="22"/>
        </w:rPr>
        <w:t xml:space="preserve">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w:t>
      </w:r>
      <w:r w:rsidRPr="00AC57DD">
        <w:rPr>
          <w:rFonts w:ascii="Arial" w:hAnsi="Arial" w:cs="Arial"/>
          <w:sz w:val="22"/>
          <w:szCs w:val="22"/>
        </w:rPr>
        <w:lastRenderedPageBreak/>
        <w:t>adecuado frente a la entidad estatal y los demás proponentes durante las diferentes etapas del procedimiento de contratación»</w:t>
      </w:r>
      <w:r w:rsidRPr="00AC57DD">
        <w:rPr>
          <w:rFonts w:ascii="Arial" w:hAnsi="Arial" w:cs="Arial"/>
          <w:sz w:val="22"/>
          <w:szCs w:val="22"/>
          <w:vertAlign w:val="superscript"/>
        </w:rPr>
        <w:footnoteReference w:id="8"/>
      </w:r>
      <w:r w:rsidRPr="00AC57DD">
        <w:rPr>
          <w:rFonts w:ascii="Arial" w:hAnsi="Arial" w:cs="Arial"/>
          <w:sz w:val="22"/>
          <w:szCs w:val="22"/>
        </w:rPr>
        <w:t>. Conforme a ello, la prerrogativa de verificación es una herramienta para que la Administración adquiera certeza frente al cumplimiento de los requisitos del procedimiento de selección y del comportamiento leal que se exige de los proponentes.</w:t>
      </w:r>
    </w:p>
    <w:p w14:paraId="6A5E2D70" w14:textId="36281493" w:rsidR="00740E5C" w:rsidRPr="00AC57DD" w:rsidRDefault="00740E5C" w:rsidP="00740E5C">
      <w:pPr>
        <w:spacing w:before="120" w:after="120" w:line="276" w:lineRule="auto"/>
        <w:ind w:firstLine="708"/>
        <w:jc w:val="both"/>
        <w:rPr>
          <w:rFonts w:ascii="Arial" w:eastAsiaTheme="minorEastAsia" w:hAnsi="Arial" w:cs="Arial"/>
          <w:sz w:val="22"/>
          <w:szCs w:val="22"/>
          <w:lang w:val="es-MX" w:eastAsia="es-CO"/>
        </w:rPr>
      </w:pPr>
      <w:r w:rsidRPr="00AC57DD">
        <w:rPr>
          <w:rFonts w:ascii="Arial" w:eastAsiaTheme="minorEastAsia" w:hAnsi="Arial" w:cs="Arial"/>
          <w:sz w:val="22"/>
          <w:szCs w:val="22"/>
          <w:lang w:eastAsia="es-CO"/>
        </w:rPr>
        <w:t>Según</w:t>
      </w:r>
      <w:r w:rsidRPr="00AC57DD">
        <w:rPr>
          <w:rFonts w:ascii="Arial" w:eastAsiaTheme="minorEastAsia" w:hAnsi="Arial" w:cs="Arial"/>
          <w:sz w:val="22"/>
          <w:szCs w:val="22"/>
          <w:lang w:val="es-MX" w:eastAsia="es-CO"/>
        </w:rPr>
        <w:t xml:space="preserve"> lo expuesto por esta Agencia</w:t>
      </w:r>
      <w:r w:rsidR="005829DE">
        <w:rPr>
          <w:rFonts w:ascii="Arial" w:eastAsiaTheme="minorEastAsia" w:hAnsi="Arial" w:cs="Arial"/>
          <w:sz w:val="22"/>
          <w:szCs w:val="22"/>
          <w:lang w:val="es-MX" w:eastAsia="es-CO"/>
        </w:rPr>
        <w:t>,</w:t>
      </w:r>
      <w:r w:rsidRPr="00AC57DD">
        <w:rPr>
          <w:rFonts w:ascii="Arial" w:eastAsiaTheme="minorEastAsia" w:hAnsi="Arial" w:cs="Arial"/>
          <w:sz w:val="22"/>
          <w:szCs w:val="22"/>
          <w:lang w:val="es-MX" w:eastAsia="es-CO"/>
        </w:rPr>
        <w:t xml:space="preserve">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3A021EBE"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lang w:val="es-MX"/>
        </w:rPr>
        <w:t xml:space="preserve">La </w:t>
      </w:r>
      <w:r w:rsidRPr="00AC57DD">
        <w:rPr>
          <w:rFonts w:ascii="Arial" w:hAnsi="Arial" w:cs="Arial"/>
          <w:sz w:val="22"/>
          <w:szCs w:val="22"/>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7E623EEE"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1A151D7C" w14:textId="77777777" w:rsidR="00740E5C" w:rsidRPr="00AC57DD" w:rsidRDefault="00740E5C" w:rsidP="00740E5C">
      <w:pPr>
        <w:spacing w:before="120" w:after="120" w:line="276" w:lineRule="auto"/>
        <w:ind w:firstLine="708"/>
        <w:jc w:val="both"/>
        <w:rPr>
          <w:rFonts w:ascii="Arial" w:hAnsi="Arial" w:cs="Arial"/>
          <w:sz w:val="22"/>
          <w:szCs w:val="22"/>
        </w:rPr>
      </w:pPr>
      <w:r w:rsidRPr="00AC57DD">
        <w:rPr>
          <w:rFonts w:ascii="Arial" w:hAnsi="Arial" w:cs="Arial"/>
          <w:sz w:val="22"/>
          <w:szCs w:val="22"/>
        </w:rPr>
        <w:lastRenderedPageBreak/>
        <w:t xml:space="preserve">Ahora bien, aunque las causales de rechazo del literal E, H y Z del numeral 1.15 de los documentos tipo se relacionan con la capacidad residual como requisito habilitante, estas se aplican en supuestos diferentes, de acuerdo con lo explicado </w:t>
      </w:r>
      <w:r w:rsidRPr="00AC57DD">
        <w:rPr>
          <w:rFonts w:ascii="Arial" w:hAnsi="Arial" w:cs="Arial"/>
          <w:i/>
          <w:sz w:val="22"/>
          <w:szCs w:val="22"/>
        </w:rPr>
        <w:t>ut supra</w:t>
      </w:r>
      <w:r w:rsidRPr="00AC57DD">
        <w:rPr>
          <w:rFonts w:ascii="Arial" w:hAnsi="Arial" w:cs="Arial"/>
          <w:sz w:val="22"/>
          <w:szCs w:val="22"/>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3718DC9D" w14:textId="77777777" w:rsidR="00740E5C" w:rsidRPr="00AC57DD" w:rsidRDefault="00740E5C" w:rsidP="00740E5C">
      <w:pPr>
        <w:spacing w:before="120" w:after="120" w:line="276" w:lineRule="auto"/>
        <w:ind w:firstLine="708"/>
        <w:jc w:val="both"/>
        <w:rPr>
          <w:rFonts w:ascii="Arial" w:hAnsi="Arial" w:cs="Arial"/>
          <w:sz w:val="22"/>
          <w:szCs w:val="22"/>
        </w:rPr>
      </w:pPr>
      <w:r w:rsidRPr="00AC57DD">
        <w:rPr>
          <w:rFonts w:ascii="Arial" w:hAnsi="Arial" w:cs="Arial"/>
          <w:sz w:val="22"/>
          <w:szCs w:val="22"/>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4FD44036" w14:textId="77777777" w:rsidR="00740E5C" w:rsidRPr="00AC57DD" w:rsidRDefault="00740E5C" w:rsidP="00740E5C">
      <w:pPr>
        <w:spacing w:before="120" w:after="120" w:line="276" w:lineRule="auto"/>
        <w:ind w:firstLine="708"/>
        <w:jc w:val="both"/>
        <w:rPr>
          <w:rFonts w:ascii="Arial" w:hAnsi="Arial" w:cs="Arial"/>
          <w:sz w:val="22"/>
          <w:szCs w:val="22"/>
        </w:rPr>
      </w:pPr>
      <w:r w:rsidRPr="00AC57DD">
        <w:rPr>
          <w:rFonts w:ascii="Arial" w:hAnsi="Arial" w:cs="Arial"/>
          <w:noProof/>
          <w:sz w:val="22"/>
          <w:szCs w:val="22"/>
        </w:rPr>
        <w:t>Ahora bien, es importate precisar que lo</w:t>
      </w:r>
      <w:r w:rsidRPr="00AC57DD">
        <w:rPr>
          <w:rFonts w:ascii="Arial" w:hAnsi="Arial" w:cs="Arial"/>
          <w:sz w:val="22"/>
          <w:szCs w:val="22"/>
        </w:rPr>
        <w:t xml:space="preserve"> expresado en el párrafo precedente no contradice lo dispuesto en el artículo 5, parágrafo 1, de la Ley 1150 de 2007, adicionado por el artículo 5 de la Ley 1882 de 2018, norma que dispone que «[…]</w:t>
      </w:r>
      <w:r w:rsidRPr="00AC57DD">
        <w:rPr>
          <w:sz w:val="22"/>
          <w:szCs w:val="22"/>
        </w:rPr>
        <w:t xml:space="preserve"> </w:t>
      </w:r>
      <w:r w:rsidRPr="00AC57DD">
        <w:rPr>
          <w:rFonts w:ascii="Arial" w:hAnsi="Arial" w:cs="Arial"/>
          <w:sz w:val="22"/>
          <w:szCs w:val="22"/>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1CB034E8"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Como se expresó, 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w:t>
      </w:r>
      <w:r w:rsidRPr="00AC57DD">
        <w:rPr>
          <w:rFonts w:ascii="Arial" w:hAnsi="Arial" w:cs="Arial"/>
          <w:sz w:val="22"/>
          <w:szCs w:val="22"/>
        </w:rPr>
        <w:lastRenderedPageBreak/>
        <w:t xml:space="preserve">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 </w:t>
      </w:r>
    </w:p>
    <w:p w14:paraId="2EEA613A"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AC57DD">
        <w:rPr>
          <w:rFonts w:ascii="Arial" w:hAnsi="Arial" w:cs="Arial"/>
          <w:i/>
          <w:sz w:val="22"/>
          <w:szCs w:val="22"/>
        </w:rPr>
        <w:t>sub examine</w:t>
      </w:r>
      <w:r w:rsidRPr="00AC57DD">
        <w:rPr>
          <w:rFonts w:ascii="Arial" w:hAnsi="Arial" w:cs="Arial"/>
          <w:sz w:val="22"/>
          <w:szCs w:val="22"/>
        </w:rPr>
        <w:t xml:space="preserve"> es desincentivar todas las prácticas fraudulentas en los procesos de contratación estatal. </w:t>
      </w:r>
    </w:p>
    <w:p w14:paraId="70A0C9B4"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Style w:val="normaltextrun"/>
          <w:rFonts w:ascii="Arial" w:hAnsi="Arial" w:cs="Arial"/>
          <w:color w:val="000000"/>
          <w:sz w:val="22"/>
          <w:szCs w:val="22"/>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w:t>
      </w:r>
      <w:proofErr w:type="spellStart"/>
      <w:r w:rsidRPr="00AC57DD">
        <w:rPr>
          <w:rStyle w:val="normaltextrun"/>
          <w:rFonts w:ascii="Arial" w:hAnsi="Arial" w:cs="Arial"/>
          <w:color w:val="000000"/>
          <w:sz w:val="22"/>
          <w:szCs w:val="22"/>
          <w:shd w:val="clear" w:color="auto" w:fill="FFFFFF"/>
        </w:rPr>
        <w:t>causal</w:t>
      </w:r>
      <w:proofErr w:type="spellEnd"/>
      <w:r w:rsidRPr="00AC57DD">
        <w:rPr>
          <w:rStyle w:val="normaltextrun"/>
          <w:rFonts w:ascii="Arial" w:hAnsi="Arial" w:cs="Arial"/>
          <w:color w:val="000000"/>
          <w:sz w:val="22"/>
          <w:szCs w:val="22"/>
          <w:shd w:val="clear" w:color="auto" w:fill="FFFFFF"/>
        </w:rPr>
        <w:t>. Por ello, si el proponente omite o se equivoca en la información específica de un contrato incluido en el formato respectivo, la entidad podrá requerirlo para que aclare la información y, en caso de no responder, rechazar la propuesta por la causal que consagra el literal E del numeral 1.15</w:t>
      </w:r>
      <w:r w:rsidRPr="00AC57DD">
        <w:rPr>
          <w:rFonts w:ascii="Arial" w:hAnsi="Arial" w:cs="Arial"/>
          <w:sz w:val="22"/>
          <w:szCs w:val="22"/>
        </w:rPr>
        <w:t xml:space="preserve">. </w:t>
      </w:r>
    </w:p>
    <w:p w14:paraId="63670436" w14:textId="77777777" w:rsidR="00740E5C" w:rsidRPr="00AC57DD" w:rsidRDefault="00740E5C" w:rsidP="00740E5C">
      <w:pPr>
        <w:spacing w:before="120" w:after="120" w:line="276" w:lineRule="auto"/>
        <w:ind w:firstLine="709"/>
        <w:jc w:val="both"/>
        <w:rPr>
          <w:rFonts w:ascii="Arial" w:hAnsi="Arial" w:cs="Arial"/>
          <w:sz w:val="22"/>
          <w:szCs w:val="22"/>
        </w:rPr>
      </w:pPr>
      <w:r w:rsidRPr="00AC57DD">
        <w:rPr>
          <w:rStyle w:val="normaltextrun"/>
          <w:rFonts w:ascii="Arial" w:hAnsi="Arial" w:cs="Arial"/>
          <w:color w:val="000000"/>
          <w:sz w:val="22"/>
          <w:szCs w:val="22"/>
          <w:shd w:val="clear" w:color="auto" w:fill="FFFFFF"/>
        </w:rPr>
        <w:t>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Por ejemplo, en el evento en que se reporten todos los contratos y la entidad advierta que se consignó información errada en el formato respectivo soportada en documentos presuntamente falsos. En este caso, los datos erróneos corresponden a información inexacta sobre la cual pueda existir una posible falsedad, lo cual da lugar a la configuración de la causal de rechazo del literal H del numeral 1.15. del documento base e impide la subsanabilidad de la oferta en este aspecto</w:t>
      </w:r>
      <w:r w:rsidRPr="00AC57DD">
        <w:rPr>
          <w:rFonts w:ascii="Arial" w:hAnsi="Arial" w:cs="Arial"/>
          <w:sz w:val="22"/>
          <w:szCs w:val="22"/>
        </w:rPr>
        <w:t xml:space="preserve">. </w:t>
      </w:r>
    </w:p>
    <w:p w14:paraId="02197558" w14:textId="77777777" w:rsidR="00740E5C" w:rsidRPr="00AC57DD" w:rsidRDefault="00740E5C" w:rsidP="00740E5C">
      <w:pPr>
        <w:spacing w:line="276" w:lineRule="auto"/>
        <w:ind w:firstLine="708"/>
        <w:jc w:val="both"/>
        <w:rPr>
          <w:rFonts w:ascii="Arial" w:hAnsi="Arial" w:cs="Arial"/>
          <w:sz w:val="22"/>
          <w:szCs w:val="22"/>
        </w:rPr>
      </w:pPr>
      <w:r w:rsidRPr="00AC57DD">
        <w:rPr>
          <w:rFonts w:ascii="Arial" w:hAnsi="Arial" w:cs="Arial"/>
          <w:sz w:val="22"/>
          <w:szCs w:val="22"/>
        </w:rPr>
        <w:lastRenderedPageBreak/>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25B76FC3" w14:textId="77777777" w:rsidR="00740E5C" w:rsidRPr="00ED0894" w:rsidRDefault="00740E5C" w:rsidP="00740E5C">
      <w:pPr>
        <w:spacing w:line="276" w:lineRule="auto"/>
        <w:ind w:firstLine="709"/>
        <w:jc w:val="both"/>
        <w:rPr>
          <w:rFonts w:ascii="Arial" w:hAnsi="Arial" w:cs="Arial"/>
        </w:rPr>
      </w:pPr>
    </w:p>
    <w:p w14:paraId="09474790" w14:textId="77777777" w:rsidR="00740E5C" w:rsidRPr="00ED0894" w:rsidRDefault="00740E5C" w:rsidP="00740E5C">
      <w:pPr>
        <w:keepNext/>
        <w:spacing w:after="120"/>
        <w:ind w:left="709" w:right="709"/>
        <w:outlineLvl w:val="1"/>
        <w:rPr>
          <w:rFonts w:ascii="Arial" w:hAnsi="Arial" w:cs="Arial"/>
          <w:b/>
          <w:sz w:val="21"/>
          <w:szCs w:val="21"/>
          <w:lang w:eastAsia="es-CO"/>
        </w:rPr>
      </w:pPr>
      <w:bookmarkStart w:id="19" w:name="_Toc32096843"/>
      <w:bookmarkStart w:id="20" w:name="_Toc32144836"/>
      <w:r w:rsidRPr="00ED0894">
        <w:rPr>
          <w:rFonts w:ascii="Arial" w:hAnsi="Arial" w:cs="Arial"/>
          <w:b/>
          <w:sz w:val="21"/>
          <w:szCs w:val="21"/>
          <w:lang w:eastAsia="es-CO"/>
        </w:rPr>
        <w:t>3.10. CAPACIDAD RESIDUAL</w:t>
      </w:r>
      <w:bookmarkEnd w:id="19"/>
      <w:bookmarkEnd w:id="20"/>
      <w:r w:rsidRPr="00ED0894">
        <w:rPr>
          <w:rFonts w:ascii="Arial" w:hAnsi="Arial" w:cs="Arial"/>
          <w:b/>
          <w:sz w:val="21"/>
          <w:szCs w:val="21"/>
          <w:lang w:eastAsia="es-CO"/>
        </w:rPr>
        <w:t xml:space="preserve"> </w:t>
      </w:r>
    </w:p>
    <w:p w14:paraId="0E9120E1" w14:textId="77777777" w:rsidR="00740E5C" w:rsidRPr="00ED0894" w:rsidRDefault="00740E5C" w:rsidP="00740E5C">
      <w:pPr>
        <w:widowControl w:val="0"/>
        <w:ind w:left="709" w:right="709"/>
        <w:jc w:val="both"/>
        <w:rPr>
          <w:rFonts w:ascii="Arial" w:eastAsia="Arial" w:hAnsi="Arial" w:cs="Arial"/>
          <w:sz w:val="21"/>
          <w:szCs w:val="21"/>
        </w:rPr>
      </w:pP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será</w:t>
      </w:r>
      <w:r w:rsidRPr="00ED0894">
        <w:rPr>
          <w:rFonts w:ascii="Arial" w:eastAsia="Arial" w:hAnsi="Arial" w:cs="Arial"/>
          <w:sz w:val="21"/>
          <w:szCs w:val="21"/>
        </w:rPr>
        <w:t xml:space="preserve"> </w:t>
      </w:r>
      <w:r w:rsidRPr="00ED0894">
        <w:rPr>
          <w:rFonts w:ascii="Arial" w:hAnsi="Arial" w:cs="Arial"/>
          <w:sz w:val="21"/>
          <w:szCs w:val="21"/>
        </w:rPr>
        <w:t>hábil</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(CRP)</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mayor</w:t>
      </w:r>
      <w:r w:rsidRPr="00ED0894">
        <w:rPr>
          <w:rFonts w:ascii="Arial" w:eastAsia="Arial" w:hAnsi="Arial" w:cs="Arial"/>
          <w:sz w:val="21"/>
          <w:szCs w:val="21"/>
        </w:rPr>
        <w:t xml:space="preserve"> </w:t>
      </w:r>
      <w:r w:rsidRPr="00ED0894">
        <w:rPr>
          <w:rFonts w:ascii="Arial" w:hAnsi="Arial" w:cs="Arial"/>
          <w:sz w:val="21"/>
          <w:szCs w:val="21"/>
        </w:rPr>
        <w:t>o</w:t>
      </w:r>
      <w:r w:rsidRPr="00ED0894">
        <w:rPr>
          <w:rFonts w:ascii="Arial" w:eastAsia="Arial" w:hAnsi="Arial" w:cs="Arial"/>
          <w:sz w:val="21"/>
          <w:szCs w:val="21"/>
        </w:rPr>
        <w:t xml:space="preserve"> </w:t>
      </w:r>
      <w:r w:rsidRPr="00ED0894">
        <w:rPr>
          <w:rFonts w:ascii="Arial" w:hAnsi="Arial" w:cs="Arial"/>
          <w:sz w:val="21"/>
          <w:szCs w:val="21"/>
        </w:rPr>
        <w:t>igual</w:t>
      </w:r>
      <w:r w:rsidRPr="00ED0894">
        <w:rPr>
          <w:rFonts w:ascii="Arial" w:eastAsia="Arial" w:hAnsi="Arial" w:cs="Arial"/>
          <w:sz w:val="21"/>
          <w:szCs w:val="21"/>
        </w:rPr>
        <w:t xml:space="preserve"> </w:t>
      </w:r>
      <w:r w:rsidRPr="00ED0894">
        <w:rPr>
          <w:rFonts w:ascii="Arial" w:hAnsi="Arial" w:cs="Arial"/>
          <w:sz w:val="21"/>
          <w:szCs w:val="21"/>
        </w:rPr>
        <w:t>a</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Proceso de Contratación</w:t>
      </w:r>
      <w:r w:rsidRPr="00ED0894">
        <w:rPr>
          <w:rFonts w:ascii="Arial" w:eastAsia="Arial" w:hAnsi="Arial" w:cs="Arial"/>
          <w:sz w:val="21"/>
          <w:szCs w:val="21"/>
        </w:rPr>
        <w:t xml:space="preserve"> </w:t>
      </w:r>
      <w:r w:rsidRPr="00ED0894">
        <w:rPr>
          <w:rFonts w:ascii="Arial" w:hAnsi="Arial" w:cs="Arial"/>
          <w:sz w:val="21"/>
          <w:szCs w:val="21"/>
        </w:rPr>
        <w:t>(CRPC).</w:t>
      </w:r>
      <w:r w:rsidRPr="00ED0894">
        <w:rPr>
          <w:rFonts w:ascii="Arial" w:eastAsia="Arial" w:hAnsi="Arial" w:cs="Arial"/>
          <w:sz w:val="21"/>
          <w:szCs w:val="21"/>
        </w:rPr>
        <w:t xml:space="preserve"> </w:t>
      </w:r>
      <w:r w:rsidRPr="00ED0894">
        <w:rPr>
          <w:rFonts w:ascii="Arial" w:hAnsi="Arial" w:cs="Arial"/>
          <w:sz w:val="21"/>
          <w:szCs w:val="21"/>
        </w:rPr>
        <w:t>Así:</w:t>
      </w:r>
      <w:r w:rsidRPr="00ED0894">
        <w:rPr>
          <w:rFonts w:ascii="Arial" w:eastAsia="Arial" w:hAnsi="Arial" w:cs="Arial"/>
          <w:sz w:val="21"/>
          <w:szCs w:val="21"/>
        </w:rPr>
        <w:t xml:space="preserve"> </w:t>
      </w:r>
    </w:p>
    <w:p w14:paraId="70A708BD" w14:textId="77777777" w:rsidR="00740E5C" w:rsidRPr="00ED0894" w:rsidRDefault="00740E5C" w:rsidP="00740E5C">
      <w:pPr>
        <w:widowControl w:val="0"/>
        <w:ind w:left="709" w:right="709"/>
        <w:jc w:val="both"/>
        <w:rPr>
          <w:rFonts w:ascii="Arial" w:eastAsia="Arial" w:hAnsi="Arial" w:cs="Arial"/>
          <w:sz w:val="21"/>
          <w:szCs w:val="21"/>
        </w:rPr>
      </w:pPr>
    </w:p>
    <w:p w14:paraId="530732EB" w14:textId="77777777" w:rsidR="00740E5C" w:rsidRPr="00ED0894" w:rsidRDefault="00740E5C" w:rsidP="00740E5C">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56394FBD" w14:textId="77777777" w:rsidR="00740E5C" w:rsidRPr="00ED0894" w:rsidRDefault="00740E5C" w:rsidP="00740E5C">
      <w:pPr>
        <w:widowControl w:val="0"/>
        <w:ind w:left="709" w:right="709"/>
        <w:jc w:val="center"/>
        <w:rPr>
          <w:rFonts w:ascii="Arial" w:hAnsi="Arial" w:cs="Arial"/>
          <w:sz w:val="21"/>
          <w:szCs w:val="21"/>
        </w:rPr>
      </w:pPr>
    </w:p>
    <w:p w14:paraId="6FB4F4DA" w14:textId="77777777" w:rsidR="00740E5C" w:rsidRPr="00ED0894" w:rsidRDefault="00740E5C" w:rsidP="00740E5C">
      <w:pPr>
        <w:widowControl w:val="0"/>
        <w:spacing w:after="120"/>
        <w:ind w:left="709" w:right="709"/>
        <w:jc w:val="both"/>
        <w:rPr>
          <w:rFonts w:ascii="Arial" w:eastAsia="Arial" w:hAnsi="Arial" w:cs="Arial"/>
          <w:sz w:val="21"/>
          <w:szCs w:val="21"/>
        </w:rPr>
      </w:pPr>
      <w:r w:rsidRPr="00ED0894">
        <w:rPr>
          <w:rFonts w:ascii="Arial" w:hAnsi="Arial" w:cs="Arial"/>
          <w:sz w:val="21"/>
          <w:szCs w:val="21"/>
        </w:rPr>
        <w:t xml:space="preserve">Los Proponentes acreditarán la capacidad residual o K de contratación conforme se describe a continuación. </w:t>
      </w:r>
      <w:r w:rsidRPr="00ED0894">
        <w:rPr>
          <w:rFonts w:ascii="Arial" w:hAnsi="Arial" w:cs="Arial"/>
          <w:i/>
          <w:iCs/>
          <w:sz w:val="21"/>
          <w:szCs w:val="21"/>
          <w:lang w:val="es-MX"/>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ED0894">
        <w:rPr>
          <w:rFonts w:ascii="Arial" w:hAnsi="Arial" w:cs="Arial"/>
          <w:sz w:val="21"/>
          <w:szCs w:val="21"/>
        </w:rPr>
        <w:t xml:space="preserve">. </w:t>
      </w:r>
    </w:p>
    <w:p w14:paraId="0C223E51" w14:textId="77777777" w:rsidR="00740E5C" w:rsidRPr="00ED0894" w:rsidRDefault="00740E5C" w:rsidP="00740E5C">
      <w:pPr>
        <w:widowControl w:val="0"/>
        <w:spacing w:after="120"/>
        <w:ind w:left="709" w:right="709"/>
        <w:jc w:val="both"/>
        <w:rPr>
          <w:rFonts w:ascii="Arial" w:hAnsi="Arial" w:cs="Arial"/>
          <w:sz w:val="21"/>
          <w:szCs w:val="21"/>
        </w:rPr>
      </w:pPr>
      <w:r w:rsidRPr="00ED0894">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18BD6B4A" w14:textId="77777777" w:rsidR="00740E5C" w:rsidRPr="00ED0894" w:rsidRDefault="00740E5C" w:rsidP="00740E5C">
      <w:pPr>
        <w:widowControl w:val="0"/>
        <w:ind w:left="709" w:right="709"/>
        <w:jc w:val="both"/>
        <w:rPr>
          <w:rFonts w:ascii="Arial" w:hAnsi="Arial" w:cs="Arial"/>
          <w:sz w:val="21"/>
          <w:szCs w:val="21"/>
        </w:rPr>
      </w:pPr>
      <w:r w:rsidRPr="00ED0894">
        <w:rPr>
          <w:rFonts w:ascii="Arial" w:hAnsi="Arial" w:cs="Arial"/>
          <w:sz w:val="21"/>
          <w:szCs w:val="21"/>
        </w:rPr>
        <w:t xml:space="preserve">[…] (Énfasis fuera de texto) </w:t>
      </w:r>
    </w:p>
    <w:p w14:paraId="35C9C2C3" w14:textId="77777777" w:rsidR="00740E5C" w:rsidRPr="00ED0894" w:rsidRDefault="00740E5C" w:rsidP="00740E5C">
      <w:pPr>
        <w:widowControl w:val="0"/>
        <w:spacing w:line="276" w:lineRule="auto"/>
        <w:ind w:right="709"/>
        <w:jc w:val="both"/>
        <w:rPr>
          <w:rFonts w:ascii="Arial" w:hAnsi="Arial" w:cs="Arial"/>
        </w:rPr>
      </w:pPr>
    </w:p>
    <w:p w14:paraId="18417441" w14:textId="77777777" w:rsidR="00740E5C" w:rsidRPr="00AC57DD" w:rsidRDefault="00740E5C" w:rsidP="00740E5C">
      <w:pPr>
        <w:spacing w:before="120" w:after="120" w:line="276" w:lineRule="auto"/>
        <w:ind w:firstLine="708"/>
        <w:jc w:val="both"/>
        <w:rPr>
          <w:rFonts w:ascii="Arial" w:eastAsiaTheme="minorEastAsia" w:hAnsi="Arial" w:cs="Arial"/>
          <w:sz w:val="22"/>
          <w:szCs w:val="22"/>
          <w:lang w:eastAsia="es-CO"/>
        </w:rPr>
      </w:pPr>
      <w:bookmarkStart w:id="21" w:name="_Hlk81551358"/>
      <w:r w:rsidRPr="00AC57DD">
        <w:rPr>
          <w:rStyle w:val="normaltextrun"/>
          <w:rFonts w:ascii="Arial" w:hAnsi="Arial" w:cs="Arial"/>
          <w:color w:val="000000"/>
          <w:sz w:val="22"/>
          <w:szCs w:val="22"/>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AC57DD">
        <w:rPr>
          <w:rFonts w:ascii="Arial" w:hAnsi="Arial" w:cs="Arial"/>
          <w:sz w:val="22"/>
          <w:szCs w:val="22"/>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21"/>
      <w:r w:rsidRPr="00AC57DD">
        <w:rPr>
          <w:rFonts w:ascii="Arial" w:hAnsi="Arial" w:cs="Arial"/>
          <w:sz w:val="22"/>
          <w:szCs w:val="22"/>
        </w:rPr>
        <w:t>Esto concuerda con la causal de rechazo prevista en el literal «H» del numeral 1.15 del documento base, el cual autoriza el rechazo de la propuesta en el evento en «</w:t>
      </w:r>
      <w:r w:rsidRPr="00AC57DD">
        <w:rPr>
          <w:rFonts w:ascii="Arial" w:eastAsia="Arial" w:hAnsi="Arial" w:cs="Arial"/>
          <w:sz w:val="22"/>
          <w:szCs w:val="22"/>
          <w:lang w:eastAsia="es-CO"/>
        </w:rPr>
        <w:t>Que</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el</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Proponente</w:t>
      </w:r>
      <w:r w:rsidRPr="00AC57DD">
        <w:rPr>
          <w:rFonts w:ascii="Arial" w:eastAsia="Arial,Calibri" w:hAnsi="Arial" w:cs="Arial"/>
          <w:sz w:val="22"/>
          <w:szCs w:val="22"/>
          <w:lang w:eastAsia="es-CO"/>
        </w:rPr>
        <w:t xml:space="preserve"> </w:t>
      </w:r>
      <w:r w:rsidRPr="00AC57DD">
        <w:rPr>
          <w:rFonts w:ascii="Arial" w:eastAsia="Arial" w:hAnsi="Arial" w:cs="Arial"/>
          <w:sz w:val="22"/>
          <w:szCs w:val="22"/>
          <w:lang w:eastAsia="es-CO"/>
        </w:rPr>
        <w:t xml:space="preserve">aporte información inexacta </w:t>
      </w:r>
      <w:r w:rsidRPr="00AC57DD">
        <w:rPr>
          <w:rFonts w:ascii="Arial" w:eastAsiaTheme="minorEastAsia" w:hAnsi="Arial" w:cs="Arial"/>
          <w:sz w:val="22"/>
          <w:szCs w:val="22"/>
          <w:lang w:eastAsia="es-CO"/>
        </w:rPr>
        <w:t>sobre la cual pueda existir una posible falsedad</w:t>
      </w:r>
      <w:r w:rsidRPr="00AC57DD" w:rsidDel="003061D1">
        <w:rPr>
          <w:rFonts w:ascii="Arial" w:eastAsiaTheme="minorEastAsia" w:hAnsi="Arial" w:cs="Arial"/>
          <w:sz w:val="22"/>
          <w:szCs w:val="22"/>
          <w:lang w:eastAsia="es-CO"/>
        </w:rPr>
        <w:t xml:space="preserve"> </w:t>
      </w:r>
      <w:r w:rsidRPr="00AC57DD">
        <w:rPr>
          <w:rFonts w:ascii="Arial" w:eastAsiaTheme="minorEastAsia" w:hAnsi="Arial" w:cs="Arial"/>
          <w:sz w:val="22"/>
          <w:szCs w:val="22"/>
          <w:lang w:eastAsia="es-CO"/>
        </w:rPr>
        <w:t>en los términos de la sección 1.11».</w:t>
      </w:r>
    </w:p>
    <w:p w14:paraId="2215AB0C" w14:textId="77777777" w:rsidR="00740E5C" w:rsidRPr="00AC57DD" w:rsidRDefault="00740E5C" w:rsidP="00740E5C">
      <w:pPr>
        <w:spacing w:before="120" w:after="120" w:line="276" w:lineRule="auto"/>
        <w:ind w:firstLine="708"/>
        <w:jc w:val="both"/>
        <w:rPr>
          <w:rFonts w:ascii="Arial" w:hAnsi="Arial" w:cs="Arial"/>
          <w:sz w:val="22"/>
          <w:szCs w:val="22"/>
        </w:rPr>
      </w:pPr>
      <w:r w:rsidRPr="00AC57DD">
        <w:rPr>
          <w:rFonts w:ascii="Arial" w:hAnsi="Arial" w:cs="Arial"/>
          <w:sz w:val="22"/>
          <w:szCs w:val="22"/>
        </w:rPr>
        <w:t>Según lo expuesto, al verificarse que el proponente no incluyó información contractual que afecte su capacidad residual, la entidad no estará en posición de solicitar aclaraciones, o acudir al régimen de subsanabilidad de ofertas</w:t>
      </w:r>
      <w:r w:rsidRPr="00AC57DD">
        <w:rPr>
          <w:rFonts w:ascii="Arial" w:hAnsi="Arial" w:cs="Arial"/>
          <w:sz w:val="22"/>
          <w:szCs w:val="22"/>
          <w:vertAlign w:val="superscript"/>
        </w:rPr>
        <w:footnoteReference w:id="9"/>
      </w:r>
      <w:r w:rsidRPr="00AC57DD">
        <w:rPr>
          <w:rFonts w:ascii="Arial" w:hAnsi="Arial" w:cs="Arial"/>
          <w:sz w:val="22"/>
          <w:szCs w:val="22"/>
        </w:rPr>
        <w:t xml:space="preserve">. Esto en la medida que tal </w:t>
      </w:r>
      <w:r w:rsidRPr="00AC57DD">
        <w:rPr>
          <w:rFonts w:ascii="Arial" w:hAnsi="Arial" w:cs="Arial"/>
          <w:sz w:val="22"/>
          <w:szCs w:val="22"/>
        </w:rPr>
        <w:lastRenderedPageBreak/>
        <w:t>circunstancia constituye una causal de rechazo en los términos de los literales H y Z del numeral 1.15 del documento base, las cuales deberán analizar, caso a caso, las entidades contratantes conforme a los parámetros antes mencionados.</w:t>
      </w:r>
    </w:p>
    <w:p w14:paraId="344F9F23" w14:textId="77777777" w:rsidR="00740E5C" w:rsidRPr="00AC57DD" w:rsidRDefault="00740E5C" w:rsidP="00740E5C">
      <w:pPr>
        <w:spacing w:before="120" w:line="276" w:lineRule="auto"/>
        <w:jc w:val="both"/>
        <w:rPr>
          <w:rFonts w:ascii="Arial" w:hAnsi="Arial" w:cs="Arial"/>
          <w:sz w:val="22"/>
          <w:szCs w:val="22"/>
        </w:rPr>
      </w:pPr>
      <w:r w:rsidRPr="00AC57DD">
        <w:rPr>
          <w:rFonts w:ascii="Arial" w:hAnsi="Arial" w:cs="Arial"/>
          <w:sz w:val="22"/>
          <w:szCs w:val="22"/>
        </w:rPr>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AC57DD">
        <w:rPr>
          <w:rFonts w:ascii="Arial" w:hAnsi="Arial" w:cs="Arial"/>
          <w:i/>
          <w:iCs/>
          <w:sz w:val="22"/>
          <w:szCs w:val="22"/>
        </w:rPr>
        <w:t>K</w:t>
      </w:r>
      <w:r w:rsidRPr="00AC57DD">
        <w:rPr>
          <w:rFonts w:ascii="Arial" w:hAnsi="Arial" w:cs="Arial"/>
          <w:sz w:val="22"/>
          <w:szCs w:val="22"/>
        </w:rPr>
        <w:t xml:space="preserve"> de contratación, facultaría a la entidad para rechazar su oferta conforme a la causal Z del numeral 1.15 del documento base o, eventualmente, por la causal del literal H </w:t>
      </w:r>
      <w:proofErr w:type="spellStart"/>
      <w:r w:rsidRPr="00AC57DD">
        <w:rPr>
          <w:rFonts w:ascii="Arial" w:hAnsi="Arial" w:cs="Arial"/>
          <w:i/>
          <w:sz w:val="22"/>
          <w:szCs w:val="22"/>
        </w:rPr>
        <w:t>ibídem</w:t>
      </w:r>
      <w:proofErr w:type="spellEnd"/>
      <w:r w:rsidRPr="00AC57DD">
        <w:rPr>
          <w:rFonts w:ascii="Arial" w:hAnsi="Arial" w:cs="Arial"/>
          <w:sz w:val="22"/>
          <w:szCs w:val="22"/>
        </w:rPr>
        <w:t>.</w:t>
      </w:r>
    </w:p>
    <w:p w14:paraId="6D98C8E5" w14:textId="5692D795" w:rsidR="00740E5C" w:rsidRDefault="00740E5C" w:rsidP="007F7D47">
      <w:pPr>
        <w:spacing w:before="120" w:after="120" w:line="276" w:lineRule="auto"/>
        <w:jc w:val="both"/>
        <w:rPr>
          <w:rFonts w:ascii="Arial" w:hAnsi="Arial" w:cs="Arial"/>
          <w:bCs/>
          <w:sz w:val="22"/>
          <w:szCs w:val="22"/>
          <w:lang w:val="es-MX"/>
        </w:rPr>
      </w:pPr>
      <w:r w:rsidRPr="00AC57DD">
        <w:rPr>
          <w:rFonts w:ascii="Arial" w:hAnsi="Arial" w:cs="Arial"/>
          <w:sz w:val="22"/>
          <w:szCs w:val="22"/>
        </w:rPr>
        <w:tab/>
        <w:t xml:space="preserve">Ahora bien, en congruencia con lo explicado en el numeral anterior, es importante tener en cuenta que </w:t>
      </w:r>
      <w:r w:rsidRPr="00AC57DD">
        <w:rPr>
          <w:rFonts w:ascii="Arial" w:hAnsi="Arial" w:cs="Arial"/>
          <w:sz w:val="22"/>
          <w:szCs w:val="22"/>
          <w:lang w:val="es-ES"/>
        </w:rPr>
        <w:t>la causal de rechazo del literal Z del numeral 1.15 del pliego aplica por «</w:t>
      </w:r>
      <w:r w:rsidRPr="00AC57DD">
        <w:rPr>
          <w:rFonts w:ascii="Arial" w:hAnsi="Arial" w:cs="Arial"/>
          <w:sz w:val="22"/>
          <w:szCs w:val="22"/>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AC57DD">
        <w:rPr>
          <w:rFonts w:ascii="Arial" w:hAnsi="Arial" w:cs="Arial"/>
          <w:bCs/>
          <w:sz w:val="22"/>
          <w:szCs w:val="22"/>
          <w:lang w:val="es-ES"/>
        </w:rPr>
        <w:t>la Guía para Determinar y Verificar la Capacidad Residual del Proponente en los Procesos de Contratación de Obra Pública, el numeral II del literal E del numeral 3.10.2 del documento base dispone que «</w:t>
      </w:r>
      <w:r w:rsidRPr="00AC57DD">
        <w:rPr>
          <w:rFonts w:ascii="Arial" w:hAnsi="Arial" w:cs="Arial"/>
          <w:bCs/>
          <w:sz w:val="22"/>
          <w:szCs w:val="22"/>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14:paraId="195FE876" w14:textId="74639C93" w:rsidR="00740E5C" w:rsidRPr="00AC57DD" w:rsidRDefault="00740E5C" w:rsidP="00740E5C">
      <w:pPr>
        <w:spacing w:line="276" w:lineRule="auto"/>
        <w:ind w:firstLine="708"/>
        <w:jc w:val="both"/>
        <w:rPr>
          <w:rFonts w:ascii="Arial" w:hAnsi="Arial" w:cs="Arial"/>
          <w:bCs/>
          <w:sz w:val="22"/>
          <w:szCs w:val="22"/>
          <w:lang w:val="es-MX"/>
        </w:rPr>
      </w:pPr>
      <w:r w:rsidRPr="00AC57DD">
        <w:rPr>
          <w:rFonts w:ascii="Arial" w:hAnsi="Arial" w:cs="Arial"/>
          <w:bCs/>
          <w:sz w:val="22"/>
          <w:szCs w:val="22"/>
          <w:lang w:val="es-MX"/>
        </w:rPr>
        <w:t xml:space="preserve">Como se observa, la definición solo aplica a los </w:t>
      </w:r>
      <w:r w:rsidRPr="00AC57DD">
        <w:rPr>
          <w:rFonts w:ascii="Arial" w:hAnsi="Arial" w:cs="Arial"/>
          <w:bCs/>
          <w:i/>
          <w:iCs/>
          <w:sz w:val="22"/>
          <w:szCs w:val="22"/>
          <w:lang w:val="es-MX"/>
        </w:rPr>
        <w:t>contratos perfeccionados</w:t>
      </w:r>
      <w:r w:rsidRPr="00AC57DD">
        <w:rPr>
          <w:rFonts w:ascii="Arial" w:hAnsi="Arial" w:cs="Arial"/>
          <w:bCs/>
          <w:sz w:val="22"/>
          <w:szCs w:val="22"/>
          <w:lang w:val="es-MX"/>
        </w:rPr>
        <w:t>, aunque estos estén suspendidos o no tengan acta de inicio. Por tanto, están fuera de esta los</w:t>
      </w:r>
      <w:r w:rsidR="00152A7E">
        <w:rPr>
          <w:rFonts w:ascii="Arial" w:hAnsi="Arial" w:cs="Arial"/>
          <w:bCs/>
          <w:sz w:val="22"/>
          <w:szCs w:val="22"/>
          <w:lang w:val="es-MX"/>
        </w:rPr>
        <w:t xml:space="preserve"> procesos de selección </w:t>
      </w:r>
      <w:r w:rsidRPr="00AC57DD">
        <w:rPr>
          <w:rFonts w:ascii="Arial" w:hAnsi="Arial" w:cs="Arial"/>
          <w:bCs/>
          <w:i/>
          <w:iCs/>
          <w:sz w:val="22"/>
          <w:szCs w:val="22"/>
          <w:lang w:val="es-MX"/>
        </w:rPr>
        <w:t>adjudicados</w:t>
      </w:r>
      <w:r w:rsidRPr="00AC57DD">
        <w:rPr>
          <w:rFonts w:ascii="Arial" w:hAnsi="Arial" w:cs="Arial"/>
          <w:bCs/>
          <w:sz w:val="22"/>
          <w:szCs w:val="22"/>
          <w:lang w:val="es-MX"/>
        </w:rPr>
        <w:t xml:space="preserve">, pues –en los términos del artículo 41 de la Ley 80 de 1993– los contratos estatales de las entidades sometidas al Estatuto General de Contratación de la Administración Pública </w:t>
      </w:r>
      <w:r w:rsidRPr="00AC57DD">
        <w:rPr>
          <w:rFonts w:ascii="Arial" w:hAnsi="Arial" w:cs="Arial"/>
          <w:bCs/>
          <w:sz w:val="22"/>
          <w:szCs w:val="22"/>
        </w:rPr>
        <w:t>se perfeccionan cuando se logre acuerdo sobre el objeto y la contraprestación y éste se eleve a escrito</w:t>
      </w:r>
      <w:r w:rsidR="00152A7E">
        <w:rPr>
          <w:rFonts w:ascii="Arial" w:hAnsi="Arial" w:cs="Arial"/>
          <w:bCs/>
          <w:sz w:val="22"/>
          <w:szCs w:val="22"/>
        </w:rPr>
        <w:t>, lo cual ocurre con la suscripción formal del contrato y no con el acto de adjudicación</w:t>
      </w:r>
      <w:r w:rsidRPr="00AC57DD">
        <w:rPr>
          <w:rFonts w:ascii="Arial" w:hAnsi="Arial" w:cs="Arial"/>
          <w:bCs/>
          <w:sz w:val="22"/>
          <w:szCs w:val="22"/>
        </w:rPr>
        <w:t xml:space="preserve">. </w:t>
      </w:r>
      <w:r w:rsidRPr="00AC57DD">
        <w:rPr>
          <w:rFonts w:ascii="Arial" w:hAnsi="Arial" w:cs="Arial"/>
          <w:sz w:val="22"/>
          <w:szCs w:val="22"/>
        </w:rPr>
        <w:t xml:space="preserve">Lo expuesto es congruente con </w:t>
      </w:r>
      <w:r w:rsidRPr="00AC57DD">
        <w:rPr>
          <w:rFonts w:ascii="Arial" w:eastAsia="Calibri" w:hAnsi="Arial" w:cs="Arial"/>
          <w:color w:val="000000" w:themeColor="text1"/>
          <w:sz w:val="22"/>
          <w:szCs w:val="22"/>
          <w:lang w:val="es-MX"/>
        </w:rPr>
        <w:t xml:space="preserve">el artículo 2.2.1.1.1.6.4 del Decreto 1082 de 2015, en virtud del cual, para efectos de </w:t>
      </w:r>
      <w:r w:rsidRPr="00AC57DD">
        <w:rPr>
          <w:rFonts w:ascii="Arial" w:hAnsi="Arial" w:cs="Arial"/>
          <w:sz w:val="22"/>
          <w:szCs w:val="22"/>
          <w:lang w:val="es-MX"/>
        </w:rPr>
        <w:t>acreditar la capacidad residual del proponente, se requiere el listado de contratos de obra civiles en ejecución suscritos con entidades estatales y con entidades privadas.</w:t>
      </w:r>
    </w:p>
    <w:p w14:paraId="19480BC8" w14:textId="6CB0145B" w:rsidR="009A23CE" w:rsidRDefault="00CB3E91" w:rsidP="00870412">
      <w:pPr>
        <w:spacing w:before="240" w:line="276" w:lineRule="auto"/>
        <w:jc w:val="both"/>
        <w:rPr>
          <w:rFonts w:ascii="Arial" w:hAnsi="Arial" w:cs="Arial"/>
          <w:b/>
          <w:bCs/>
          <w:sz w:val="22"/>
          <w:lang w:val="es-ES"/>
        </w:rPr>
      </w:pPr>
      <w:r w:rsidRPr="00CB3E91">
        <w:rPr>
          <w:rFonts w:ascii="Arial" w:eastAsia="Calibri" w:hAnsi="Arial" w:cs="Arial"/>
          <w:b/>
          <w:bCs/>
          <w:sz w:val="22"/>
          <w:szCs w:val="22"/>
        </w:rPr>
        <w:t>2.</w:t>
      </w:r>
      <w:r w:rsidR="003A2797">
        <w:rPr>
          <w:rFonts w:ascii="Arial" w:eastAsia="Calibri" w:hAnsi="Arial" w:cs="Arial"/>
          <w:b/>
          <w:bCs/>
          <w:sz w:val="22"/>
          <w:szCs w:val="22"/>
        </w:rPr>
        <w:t>4</w:t>
      </w:r>
      <w:r w:rsidRPr="00CB3E91">
        <w:rPr>
          <w:rFonts w:ascii="Arial" w:eastAsia="Calibri" w:hAnsi="Arial" w:cs="Arial"/>
          <w:b/>
          <w:bCs/>
          <w:sz w:val="22"/>
          <w:szCs w:val="22"/>
        </w:rPr>
        <w:t xml:space="preserve">. </w:t>
      </w:r>
      <w:r w:rsidR="00DC7191" w:rsidRPr="004930D7">
        <w:rPr>
          <w:rFonts w:ascii="Arial" w:eastAsia="Calibri" w:hAnsi="Arial" w:cs="Arial"/>
          <w:b/>
          <w:sz w:val="22"/>
        </w:rPr>
        <w:t>Regulación de los «precios artificialmente bajos» en la contratación pública</w:t>
      </w:r>
    </w:p>
    <w:p w14:paraId="246F3E5E" w14:textId="2110FBCD" w:rsidR="009548D4" w:rsidRDefault="00DC7191" w:rsidP="009548D4">
      <w:pPr>
        <w:spacing w:before="240" w:line="276" w:lineRule="auto"/>
        <w:ind w:right="49"/>
        <w:jc w:val="both"/>
        <w:rPr>
          <w:rFonts w:ascii="Arial" w:eastAsia="Calibri" w:hAnsi="Arial" w:cs="Arial"/>
          <w:color w:val="000000"/>
          <w:sz w:val="22"/>
          <w:szCs w:val="22"/>
          <w:lang w:val="es-ES_tradnl"/>
        </w:rPr>
      </w:pPr>
      <w:bookmarkStart w:id="22" w:name="_Hlk75784645"/>
      <w:r w:rsidRPr="00DD553A">
        <w:rPr>
          <w:rFonts w:ascii="Arial" w:eastAsia="Calibri" w:hAnsi="Arial" w:cs="Arial"/>
          <w:color w:val="000000"/>
          <w:sz w:val="22"/>
          <w:szCs w:val="22"/>
          <w:lang w:val="es-MX" w:eastAsia="en-US"/>
        </w:rPr>
        <w:lastRenderedPageBreak/>
        <w:t xml:space="preserve">La </w:t>
      </w:r>
      <w:r w:rsidRPr="00DC7191">
        <w:rPr>
          <w:rFonts w:ascii="Arial" w:eastAsia="Calibri" w:hAnsi="Arial" w:cs="Arial"/>
          <w:color w:val="000000"/>
          <w:sz w:val="22"/>
          <w:szCs w:val="22"/>
          <w:lang w:val="es-MX" w:eastAsia="en-US"/>
        </w:rPr>
        <w:t xml:space="preserve">Agencia Nacional de Contratación Pública – Colombia Compra Eficiente analizó la noción y alcance de los «precios artificialmente bajos» en los conceptos 2201913000007853 </w:t>
      </w:r>
      <w:r w:rsidRPr="00DC7191">
        <w:rPr>
          <w:rFonts w:ascii="Arial" w:eastAsia="Calibri" w:hAnsi="Arial" w:cs="Arial"/>
          <w:color w:val="000000"/>
          <w:sz w:val="22"/>
          <w:szCs w:val="22"/>
          <w:lang w:val="es-ES_tradnl"/>
        </w:rPr>
        <w:t>del 21 de octubre de 2019; 2201913000008058 del 28 de octubre de 2019; 2201913000008288 del 7 de noviembre de 2019; 2201913000009110 del 11 de diciembre de 2019; 2201913000009489 del 20 de diciembre de 2019; 2202013000000038 del 7 de enero de 2020, C–767 del 7 de enero de 2020, C</w:t>
      </w:r>
      <w:bookmarkStart w:id="23" w:name="_Hlk68610319"/>
      <w:r w:rsidRPr="00DC7191">
        <w:rPr>
          <w:rFonts w:ascii="Arial" w:eastAsia="Calibri" w:hAnsi="Arial" w:cs="Arial"/>
          <w:color w:val="000000"/>
          <w:sz w:val="22"/>
          <w:szCs w:val="22"/>
          <w:lang w:val="es-ES_tradnl"/>
        </w:rPr>
        <w:t>–</w:t>
      </w:r>
      <w:bookmarkEnd w:id="23"/>
      <w:r w:rsidRPr="00DC7191">
        <w:rPr>
          <w:rFonts w:ascii="Arial" w:eastAsia="Calibri" w:hAnsi="Arial" w:cs="Arial"/>
          <w:color w:val="000000"/>
          <w:sz w:val="22"/>
          <w:szCs w:val="22"/>
          <w:lang w:val="es-ES_tradnl"/>
        </w:rPr>
        <w:t>012 del 28 de enero de 2020, C–163 del 31 de marzo de 2020, C</w:t>
      </w:r>
      <w:bookmarkStart w:id="24" w:name="_Hlk103097560"/>
      <w:r w:rsidRPr="00DC7191">
        <w:rPr>
          <w:rFonts w:ascii="Arial" w:eastAsia="Calibri" w:hAnsi="Arial" w:cs="Arial"/>
          <w:color w:val="000000"/>
          <w:sz w:val="22"/>
          <w:szCs w:val="22"/>
          <w:lang w:val="es-ES_tradnl"/>
        </w:rPr>
        <w:t>–</w:t>
      </w:r>
      <w:bookmarkEnd w:id="24"/>
      <w:r w:rsidRPr="00DC7191">
        <w:rPr>
          <w:rFonts w:ascii="Arial" w:eastAsia="Calibri" w:hAnsi="Arial" w:cs="Arial"/>
          <w:color w:val="000000"/>
          <w:sz w:val="22"/>
          <w:szCs w:val="22"/>
          <w:lang w:val="es-ES_tradnl"/>
        </w:rPr>
        <w:t>200 del 14 de abril de 2020, C–011 del 17 de febrero de 2021, el C–112 del 7 de abril de 2021 y C-304 de 16 de mayo de 2022</w:t>
      </w:r>
      <w:r>
        <w:rPr>
          <w:rFonts w:ascii="Arial" w:eastAsia="Calibri" w:hAnsi="Arial" w:cs="Arial"/>
          <w:color w:val="000000"/>
          <w:sz w:val="22"/>
          <w:szCs w:val="22"/>
          <w:lang w:val="es-ES_tradnl"/>
        </w:rPr>
        <w:t>. La tesis se reitera a continuación.</w:t>
      </w:r>
    </w:p>
    <w:p w14:paraId="72B8273C" w14:textId="77777777" w:rsidR="00A05B7A" w:rsidRDefault="00A05B7A" w:rsidP="00A05B7A">
      <w:pPr>
        <w:tabs>
          <w:tab w:val="left" w:pos="0"/>
        </w:tabs>
        <w:spacing w:line="276" w:lineRule="auto"/>
        <w:jc w:val="both"/>
        <w:rPr>
          <w:rFonts w:ascii="Arial" w:eastAsia="Calibri" w:hAnsi="Arial" w:cs="Arial"/>
          <w:color w:val="000000"/>
          <w:sz w:val="22"/>
          <w:szCs w:val="22"/>
          <w:lang w:val="es-MX" w:eastAsia="en-US"/>
        </w:rPr>
      </w:pPr>
    </w:p>
    <w:p w14:paraId="3223BAF0" w14:textId="1DC60BC8" w:rsidR="00A05B7A" w:rsidRPr="00853515" w:rsidRDefault="00A05B7A" w:rsidP="00A05B7A">
      <w:pPr>
        <w:tabs>
          <w:tab w:val="left" w:pos="0"/>
        </w:tabs>
        <w:spacing w:line="276" w:lineRule="auto"/>
        <w:jc w:val="both"/>
        <w:rPr>
          <w:rFonts w:ascii="Arial" w:eastAsia="Calibri" w:hAnsi="Arial" w:cs="Arial"/>
          <w:color w:val="000000"/>
          <w:sz w:val="22"/>
          <w:szCs w:val="22"/>
          <w:lang w:val="es-MX" w:eastAsia="en-US"/>
        </w:rPr>
      </w:pPr>
      <w:r>
        <w:rPr>
          <w:rFonts w:ascii="Arial" w:eastAsia="Calibri" w:hAnsi="Arial" w:cs="Arial"/>
          <w:color w:val="000000"/>
          <w:sz w:val="22"/>
          <w:szCs w:val="22"/>
          <w:lang w:val="es-MX" w:eastAsia="en-US"/>
        </w:rPr>
        <w:tab/>
      </w:r>
      <w:r w:rsidRPr="00853515">
        <w:rPr>
          <w:rFonts w:ascii="Arial" w:eastAsia="Calibri" w:hAnsi="Arial" w:cs="Arial"/>
          <w:color w:val="000000"/>
          <w:sz w:val="22"/>
          <w:szCs w:val="22"/>
          <w:lang w:val="es-MX" w:eastAsia="en-US"/>
        </w:rPr>
        <w:t>Según el artículo 26.6 de la Ley 80 de 1993, los contratistas responderán cuando presenten ofertas que resulten artificialmente bajas con el propósito de obtener la adjudicación del contrato.</w:t>
      </w:r>
      <w:r w:rsidRPr="00853515">
        <w:rPr>
          <w:rFonts w:ascii="Arial" w:eastAsia="Calibri" w:hAnsi="Arial" w:cs="Arial"/>
          <w:color w:val="000000"/>
          <w:sz w:val="22"/>
          <w:szCs w:val="22"/>
          <w:lang w:val="es-ES" w:eastAsia="en-US"/>
        </w:rPr>
        <w:t xml:space="preserve"> El precio artificialmente bajo es definido como aquel que, además de ser muy reducido, no encuentra fundamento en el tráfico comercial. En este sentido, la entidad estaría imposibilitada para aceptar la propuesta artificialmente baja, so pena de la infracción de los principios de la contratación pública</w:t>
      </w:r>
      <w:r w:rsidRPr="00853515">
        <w:rPr>
          <w:rFonts w:ascii="Arial" w:eastAsia="Calibri" w:hAnsi="Arial" w:cs="Arial"/>
          <w:color w:val="000000"/>
          <w:sz w:val="22"/>
          <w:szCs w:val="22"/>
          <w:lang w:val="es-MX" w:eastAsia="en-US"/>
        </w:rPr>
        <w:t>. Así lo señalo el Consejo de Estado en sentencia del 4 de junio de 2008, en los siguientes términos</w:t>
      </w:r>
      <w:r w:rsidRPr="00853515">
        <w:rPr>
          <w:rFonts w:ascii="Arial" w:eastAsia="Calibri" w:hAnsi="Arial" w:cs="Arial"/>
          <w:color w:val="000000"/>
          <w:sz w:val="22"/>
          <w:szCs w:val="22"/>
          <w:vertAlign w:val="superscript"/>
          <w:lang w:val="es-MX" w:eastAsia="en-US"/>
        </w:rPr>
        <w:footnoteReference w:id="10"/>
      </w:r>
      <w:r w:rsidRPr="00853515">
        <w:rPr>
          <w:rFonts w:ascii="Arial" w:eastAsia="Calibri" w:hAnsi="Arial" w:cs="Arial"/>
          <w:color w:val="000000"/>
          <w:sz w:val="22"/>
          <w:szCs w:val="22"/>
          <w:lang w:val="es-MX" w:eastAsia="en-US"/>
        </w:rPr>
        <w:t>:</w:t>
      </w:r>
    </w:p>
    <w:p w14:paraId="1FC76A99" w14:textId="77777777" w:rsidR="00A05B7A" w:rsidRPr="00853515" w:rsidRDefault="00A05B7A" w:rsidP="00A05B7A">
      <w:pPr>
        <w:spacing w:line="276" w:lineRule="auto"/>
        <w:jc w:val="both"/>
        <w:rPr>
          <w:rFonts w:ascii="Arial" w:eastAsia="Calibri" w:hAnsi="Arial" w:cs="Arial"/>
          <w:color w:val="000000"/>
          <w:sz w:val="22"/>
          <w:szCs w:val="22"/>
          <w:lang w:val="es-MX" w:eastAsia="en-US"/>
        </w:rPr>
      </w:pPr>
    </w:p>
    <w:p w14:paraId="40512827" w14:textId="77777777" w:rsidR="00A05B7A" w:rsidRPr="00853515" w:rsidRDefault="00A05B7A" w:rsidP="00A05B7A">
      <w:pPr>
        <w:ind w:left="708"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047E3F55" w14:textId="77777777" w:rsidR="00A05B7A" w:rsidRPr="00853515" w:rsidRDefault="00A05B7A" w:rsidP="00A05B7A">
      <w:pPr>
        <w:spacing w:line="276" w:lineRule="auto"/>
        <w:ind w:left="709" w:right="709"/>
        <w:jc w:val="both"/>
        <w:rPr>
          <w:rFonts w:ascii="Arial" w:eastAsia="Calibri" w:hAnsi="Arial" w:cs="Arial"/>
          <w:color w:val="000000"/>
          <w:sz w:val="22"/>
          <w:szCs w:val="22"/>
          <w:lang w:val="es-MX" w:eastAsia="en-US"/>
        </w:rPr>
      </w:pPr>
    </w:p>
    <w:p w14:paraId="7A504737" w14:textId="77777777" w:rsidR="00A05B7A" w:rsidRPr="00853515" w:rsidRDefault="00A05B7A" w:rsidP="00A05B7A">
      <w:pPr>
        <w:spacing w:line="276" w:lineRule="auto"/>
        <w:ind w:firstLine="709"/>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Por su parte,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resto de proveedores en el mercado», según lo establece la guía antes mencionada.</w:t>
      </w:r>
    </w:p>
    <w:p w14:paraId="74C8F0AE"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lastRenderedPageBreak/>
        <w:t xml:space="preserve">De otro lado, el artículo 2.2.1.1.2.2.4. del Decreto 1082 de 2015 regula el procedimiento a seguir en los eventos en que se presenten propuestas con valor artificialmente bajo: </w:t>
      </w:r>
    </w:p>
    <w:p w14:paraId="5BC62C09" w14:textId="77777777" w:rsidR="00A05B7A" w:rsidRPr="00853515" w:rsidRDefault="00A05B7A" w:rsidP="00A05B7A">
      <w:pPr>
        <w:ind w:firstLine="709"/>
        <w:jc w:val="both"/>
        <w:rPr>
          <w:rFonts w:ascii="Arial" w:eastAsia="Calibri" w:hAnsi="Arial" w:cs="Arial"/>
          <w:color w:val="000000"/>
          <w:sz w:val="22"/>
          <w:szCs w:val="22"/>
          <w:lang w:val="es-MX" w:eastAsia="en-US"/>
        </w:rPr>
      </w:pPr>
    </w:p>
    <w:p w14:paraId="5C94339A" w14:textId="77777777" w:rsidR="00A05B7A" w:rsidRPr="00853515" w:rsidRDefault="00A05B7A" w:rsidP="00A05B7A">
      <w:pPr>
        <w:spacing w:after="120"/>
        <w:ind w:left="709"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3C8C8F16" w14:textId="77777777" w:rsidR="00A05B7A" w:rsidRPr="00853515" w:rsidRDefault="00A05B7A" w:rsidP="00A05B7A">
      <w:pPr>
        <w:spacing w:after="120"/>
        <w:ind w:left="709"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775A074C" w14:textId="77777777" w:rsidR="00A05B7A" w:rsidRPr="00853515" w:rsidRDefault="00A05B7A" w:rsidP="00A05B7A">
      <w:pPr>
        <w:ind w:left="708"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En la subasta inversa esta disposición es aplicable sobre el precio obtenido al final de la misma.</w:t>
      </w:r>
    </w:p>
    <w:p w14:paraId="53D6D350" w14:textId="77777777" w:rsidR="00A05B7A" w:rsidRPr="00853515" w:rsidRDefault="00A05B7A" w:rsidP="00A05B7A">
      <w:pPr>
        <w:spacing w:line="276" w:lineRule="auto"/>
        <w:ind w:left="709" w:right="709"/>
        <w:jc w:val="both"/>
        <w:rPr>
          <w:rFonts w:ascii="Arial" w:eastAsia="Calibri" w:hAnsi="Arial" w:cs="Arial"/>
          <w:color w:val="000000"/>
          <w:sz w:val="22"/>
          <w:szCs w:val="22"/>
          <w:lang w:val="es-MX" w:eastAsia="en-US"/>
        </w:rPr>
      </w:pPr>
    </w:p>
    <w:p w14:paraId="737582B2" w14:textId="77777777" w:rsidR="00A05B7A" w:rsidRPr="00853515" w:rsidRDefault="00A05B7A" w:rsidP="00A05B7A">
      <w:pPr>
        <w:spacing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De lo expuesto se desprende que, ante una propuesta artificialmente baja, la entidad estatal está obligada a: i) requerir al oferente para que explique las razones que sustentan el valor ofrecido; ii) analizar las explicaciones; y iii)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indicado. </w:t>
      </w:r>
    </w:p>
    <w:p w14:paraId="7E23D04F"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Por su parte, la «Guía para el manejo de ofertas artificialmente bajas en Procesos de Contratación» recomienda a las entidades estatales tener en cuenta la siguiente información: i) promedio del valor de las ofertas; ii) mediana del valor las ofertas;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proceso de contratación. </w:t>
      </w:r>
    </w:p>
    <w:p w14:paraId="3EFB6B66" w14:textId="77777777" w:rsidR="00A05B7A" w:rsidRPr="00853515" w:rsidRDefault="00A05B7A" w:rsidP="00A05B7A">
      <w:pPr>
        <w:spacing w:before="120" w:after="120" w:line="276" w:lineRule="auto"/>
        <w:ind w:firstLine="709"/>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Con estos datos, la entidad puede emplear herramientas para identificar ofertas que pueden ser artíficamente bajas, tales como la comparación absoluta o la comparación relativa. La comparación absoluta consiste en contrastar cada oferta con el costo estimado del bien o servicio, de acuerdo con el estudio del sector. En este caso, si se reciben menos de cinco (5) ofertas, se debe solicitar aclaración a los proponentes cuyas ofertas sean </w:t>
      </w:r>
      <w:r w:rsidRPr="00853515">
        <w:rPr>
          <w:rFonts w:ascii="Arial" w:eastAsia="Calibri" w:hAnsi="Arial" w:cs="Arial"/>
          <w:color w:val="000000"/>
          <w:sz w:val="22"/>
          <w:szCs w:val="22"/>
          <w:lang w:val="es-MX" w:eastAsia="en-US"/>
        </w:rPr>
        <w:lastRenderedPageBreak/>
        <w:t xml:space="preserve">menores en un 20%, o un mayor porcentaje en relación con el costo estimado por la entidad estatal. La comparación relativa consiste en comparar cada oferta con las demás presentadas. </w:t>
      </w:r>
    </w:p>
    <w:p w14:paraId="4E53F5E8" w14:textId="77777777" w:rsidR="00A05B7A" w:rsidRPr="00110B67" w:rsidRDefault="00A05B7A" w:rsidP="00A05B7A">
      <w:pPr>
        <w:spacing w:after="120" w:line="276" w:lineRule="auto"/>
        <w:ind w:firstLine="709"/>
        <w:jc w:val="both"/>
        <w:rPr>
          <w:rFonts w:ascii="Arial" w:eastAsia="Calibri" w:hAnsi="Arial" w:cs="Arial"/>
          <w:color w:val="000000"/>
          <w:sz w:val="22"/>
          <w:szCs w:val="22"/>
          <w:lang w:val="es-MX" w:eastAsia="en-US"/>
        </w:rPr>
      </w:pPr>
      <w:r w:rsidRPr="00337970">
        <w:rPr>
          <w:rFonts w:ascii="Arial" w:eastAsia="Calibri" w:hAnsi="Arial" w:cs="Arial"/>
          <w:color w:val="000000"/>
          <w:sz w:val="22"/>
          <w:szCs w:val="22"/>
          <w:shd w:val="clear" w:color="auto" w:fill="FFFFFF"/>
          <w:lang w:val="es-MX" w:eastAsia="en-US"/>
        </w:rPr>
        <w:t>Esta Agencia ha sugerido a las entidades aplicar la siguiente metodología para identificar ofertas con «precios artificialmente bajos», en aquellos procesos en los que hay cinco (5) o más ofertas</w:t>
      </w:r>
      <w:r w:rsidRPr="00337970">
        <w:rPr>
          <w:rFonts w:ascii="Arial" w:eastAsia="Calibri" w:hAnsi="Arial" w:cs="Arial"/>
          <w:color w:val="000000"/>
          <w:sz w:val="22"/>
          <w:szCs w:val="22"/>
          <w:lang w:val="es-MX" w:eastAsia="en-US"/>
        </w:rPr>
        <w:t xml:space="preserve">: </w:t>
      </w:r>
      <w:r w:rsidRPr="00110B67">
        <w:rPr>
          <w:rFonts w:ascii="Arial" w:eastAsia="Calibri" w:hAnsi="Arial" w:cs="Arial"/>
          <w:color w:val="000000"/>
          <w:sz w:val="22"/>
          <w:szCs w:val="22"/>
          <w:lang w:val="es-MX" w:eastAsia="en-US"/>
        </w:rPr>
        <w:t>i) Tomar el conjunto de ofertas a evaluar, ii)  calcular la mediana, o dependiendo de la dispersión de los datos el promedio, del valor de cada oferta o de cada ítem dentro de la oferta, iii) calcular la desviación estándar del conjunto y iv) determinar el valor mínimo aceptable.</w:t>
      </w:r>
      <w:r w:rsidRPr="00110B67">
        <w:rPr>
          <w:rFonts w:ascii="Arial" w:eastAsia="Calibri" w:hAnsi="Arial" w:cs="Arial"/>
          <w:color w:val="000000"/>
          <w:sz w:val="22"/>
          <w:szCs w:val="22"/>
          <w:vertAlign w:val="superscript"/>
          <w:lang w:val="es-MX" w:eastAsia="en-US"/>
        </w:rPr>
        <w:footnoteReference w:id="11"/>
      </w:r>
    </w:p>
    <w:p w14:paraId="060D948F" w14:textId="77777777" w:rsidR="00A05B7A" w:rsidRPr="00853515" w:rsidRDefault="00A05B7A" w:rsidP="00A05B7A">
      <w:pPr>
        <w:spacing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La </w:t>
      </w:r>
      <w:r w:rsidRPr="00853515">
        <w:rPr>
          <w:rFonts w:ascii="Arial" w:eastAsia="Calibri" w:hAnsi="Arial" w:cs="Arial"/>
          <w:i/>
          <w:iCs/>
          <w:color w:val="000000"/>
          <w:sz w:val="22"/>
          <w:szCs w:val="22"/>
          <w:lang w:val="es-MX" w:eastAsia="en-US"/>
        </w:rPr>
        <w:t>mediana</w:t>
      </w:r>
      <w:r w:rsidRPr="00853515">
        <w:rPr>
          <w:rFonts w:ascii="Arial" w:eastAsia="Calibri" w:hAnsi="Arial" w:cs="Arial"/>
          <w:color w:val="000000"/>
          <w:sz w:val="22"/>
          <w:szCs w:val="22"/>
          <w:lang w:val="es-MX" w:eastAsia="en-US"/>
        </w:rPr>
        <w:t xml:space="preserve"> se debe calcular ordenando los valores de mayor a menor y tomando el valor de la oferta en la mitad de la lista. Si el número de ofertas es par, caso en el cual no habrá una oferta «en la mitad», debe tomarse los dos valores del medio, se suman y dividen en dos. Posteriormente, es necesario calcular la </w:t>
      </w:r>
      <w:r w:rsidRPr="00853515">
        <w:rPr>
          <w:rFonts w:ascii="Arial" w:eastAsia="Calibri" w:hAnsi="Arial" w:cs="Arial"/>
          <w:i/>
          <w:iCs/>
          <w:color w:val="000000"/>
          <w:sz w:val="22"/>
          <w:szCs w:val="22"/>
          <w:lang w:val="es-MX" w:eastAsia="en-US"/>
        </w:rPr>
        <w:t>desviación estándar</w:t>
      </w:r>
      <w:r w:rsidRPr="00853515">
        <w:rPr>
          <w:rFonts w:ascii="Arial" w:eastAsia="Calibri" w:hAnsi="Arial" w:cs="Arial"/>
          <w:color w:val="000000"/>
          <w:sz w:val="22"/>
          <w:szCs w:val="22"/>
          <w:lang w:val="es-MX" w:eastAsia="en-US"/>
        </w:rPr>
        <w:t xml:space="preserve">, utilizando la siguiente fórmula, en la que el </w:t>
      </w:r>
      <w:r w:rsidRPr="00853515">
        <w:rPr>
          <w:rFonts w:ascii="Arial" w:eastAsia="Calibri" w:hAnsi="Arial" w:cs="Arial"/>
          <w:color w:val="000000"/>
          <w:sz w:val="22"/>
          <w:szCs w:val="22"/>
          <w:lang w:val="es-ES" w:eastAsia="en-US"/>
        </w:rPr>
        <w:t xml:space="preserve">valor </w:t>
      </w:r>
      <w:r w:rsidRPr="00853515">
        <w:rPr>
          <w:rFonts w:ascii="Arial" w:eastAsia="Calibri" w:hAnsi="Arial" w:cs="Arial"/>
          <w:i/>
          <w:color w:val="000000"/>
          <w:sz w:val="22"/>
          <w:szCs w:val="22"/>
          <w:lang w:val="es-ES" w:eastAsia="en-US"/>
        </w:rPr>
        <w:t>n</w:t>
      </w:r>
      <w:r w:rsidRPr="00853515">
        <w:rPr>
          <w:rFonts w:ascii="Arial" w:eastAsia="Calibri" w:hAnsi="Arial" w:cs="Arial"/>
          <w:color w:val="000000"/>
          <w:sz w:val="22"/>
          <w:szCs w:val="22"/>
          <w:lang w:val="es-ES" w:eastAsia="en-US"/>
        </w:rPr>
        <w:t xml:space="preserve"> es el número de ofertas</w:t>
      </w:r>
      <w:r w:rsidRPr="00853515">
        <w:rPr>
          <w:rFonts w:ascii="Arial" w:eastAsia="Calibri" w:hAnsi="Arial" w:cs="Arial"/>
          <w:color w:val="000000"/>
          <w:sz w:val="22"/>
          <w:szCs w:val="22"/>
          <w:lang w:val="es-MX" w:eastAsia="en-US"/>
        </w:rPr>
        <w:t xml:space="preserve">: </w:t>
      </w:r>
    </w:p>
    <w:p w14:paraId="5208EC2B" w14:textId="77777777" w:rsidR="00A05B7A" w:rsidRPr="00853515" w:rsidRDefault="00A05B7A" w:rsidP="00A05B7A">
      <w:pPr>
        <w:spacing w:line="276" w:lineRule="auto"/>
        <w:ind w:firstLine="708"/>
        <w:jc w:val="both"/>
        <w:rPr>
          <w:rFonts w:ascii="Arial" w:eastAsia="Calibri" w:hAnsi="Arial" w:cs="Arial"/>
          <w:color w:val="000000"/>
          <w:sz w:val="22"/>
          <w:szCs w:val="22"/>
          <w:lang w:val="es-MX" w:eastAsia="en-US"/>
        </w:rPr>
      </w:pPr>
    </w:p>
    <w:p w14:paraId="3B590CA1" w14:textId="77777777" w:rsidR="00A05B7A" w:rsidRPr="00853515" w:rsidRDefault="00A05B7A" w:rsidP="00A05B7A">
      <w:pPr>
        <w:spacing w:line="276" w:lineRule="auto"/>
        <w:jc w:val="center"/>
        <w:rPr>
          <w:rFonts w:ascii="Arial" w:eastAsia="Calibri" w:hAnsi="Arial" w:cs="Arial"/>
          <w:color w:val="000000"/>
          <w:sz w:val="22"/>
          <w:szCs w:val="22"/>
          <w:lang w:val="es-MX" w:eastAsia="en-US"/>
        </w:rPr>
      </w:pPr>
      <w:r w:rsidRPr="00853515">
        <w:rPr>
          <w:rFonts w:ascii="Arial" w:eastAsia="Calibri" w:hAnsi="Arial" w:cs="Arial"/>
          <w:noProof/>
          <w:color w:val="000000"/>
          <w:szCs w:val="22"/>
          <w:lang w:eastAsia="es-CO"/>
        </w:rPr>
        <w:drawing>
          <wp:inline distT="0" distB="0" distL="0" distR="0" wp14:anchorId="6C3DCD72" wp14:editId="19FF8328">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6246629D" w14:textId="77777777" w:rsidR="00A05B7A" w:rsidRPr="00853515" w:rsidRDefault="00A05B7A" w:rsidP="00A05B7A">
      <w:pPr>
        <w:spacing w:line="276" w:lineRule="auto"/>
        <w:jc w:val="both"/>
        <w:rPr>
          <w:rFonts w:ascii="Arial" w:eastAsia="Calibri" w:hAnsi="Arial" w:cs="Arial"/>
          <w:color w:val="000000"/>
          <w:sz w:val="22"/>
          <w:szCs w:val="22"/>
          <w:lang w:val="es-MX" w:eastAsia="en-US"/>
        </w:rPr>
      </w:pPr>
    </w:p>
    <w:p w14:paraId="414210FA" w14:textId="117A66AD" w:rsidR="00A05B7A" w:rsidRPr="00853515" w:rsidRDefault="00A05B7A" w:rsidP="00A05B7A">
      <w:pPr>
        <w:spacing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Por último, el </w:t>
      </w:r>
      <w:r w:rsidRPr="00853515">
        <w:rPr>
          <w:rFonts w:ascii="Arial" w:eastAsia="Calibri" w:hAnsi="Arial" w:cs="Arial"/>
          <w:i/>
          <w:iCs/>
          <w:color w:val="000000"/>
          <w:sz w:val="22"/>
          <w:szCs w:val="22"/>
          <w:lang w:val="es-MX" w:eastAsia="en-US"/>
        </w:rPr>
        <w:t>valor mínimo aceptable</w:t>
      </w:r>
      <w:r w:rsidRPr="00853515">
        <w:rPr>
          <w:rFonts w:ascii="Arial" w:eastAsia="Calibri" w:hAnsi="Arial" w:cs="Arial"/>
          <w:color w:val="000000"/>
          <w:sz w:val="22"/>
          <w:szCs w:val="22"/>
          <w:lang w:val="es-MX" w:eastAsia="en-US"/>
        </w:rPr>
        <w:t xml:space="preserve">, será igual a la </w:t>
      </w:r>
      <w:r w:rsidRPr="00853515">
        <w:rPr>
          <w:rFonts w:ascii="Arial" w:eastAsia="Calibri" w:hAnsi="Arial" w:cs="Arial"/>
          <w:i/>
          <w:iCs/>
          <w:color w:val="000000"/>
          <w:sz w:val="22"/>
          <w:szCs w:val="22"/>
          <w:lang w:val="es-MX" w:eastAsia="en-US"/>
        </w:rPr>
        <w:t>mediana</w:t>
      </w:r>
      <w:r w:rsidRPr="00853515">
        <w:rPr>
          <w:rFonts w:ascii="Arial" w:eastAsia="Calibri" w:hAnsi="Arial" w:cs="Arial"/>
          <w:color w:val="000000"/>
          <w:sz w:val="22"/>
          <w:szCs w:val="22"/>
          <w:lang w:val="es-MX" w:eastAsia="en-US"/>
        </w:rPr>
        <w:t xml:space="preserve"> menos la </w:t>
      </w:r>
      <w:r w:rsidRPr="00853515">
        <w:rPr>
          <w:rFonts w:ascii="Arial" w:eastAsia="Calibri" w:hAnsi="Arial" w:cs="Arial"/>
          <w:i/>
          <w:iCs/>
          <w:color w:val="000000"/>
          <w:sz w:val="22"/>
          <w:szCs w:val="22"/>
          <w:lang w:val="es-MX" w:eastAsia="en-US"/>
        </w:rPr>
        <w:t>desviación estándar</w:t>
      </w:r>
      <w:r w:rsidRPr="00853515">
        <w:rPr>
          <w:rFonts w:ascii="Arial" w:eastAsia="Calibri" w:hAnsi="Arial" w:cs="Arial"/>
          <w:color w:val="000000"/>
          <w:sz w:val="22"/>
          <w:szCs w:val="22"/>
          <w:lang w:val="es-MX" w:eastAsia="en-US"/>
        </w:rPr>
        <w:t xml:space="preserve">. De esta manera, la entidad puede identificar como ofertas artificialmente bajas las que se encuentren por debajo de ese valor mínimo. Con todo, dicho valor puede ser diferente al obtenido con la anterior metodología, dependiendo de la información y los datos con los que cuenten las entidades. </w:t>
      </w:r>
      <w:r w:rsidRPr="00853515">
        <w:rPr>
          <w:rFonts w:ascii="Arial" w:eastAsia="Calibri" w:hAnsi="Arial" w:cs="Arial"/>
          <w:color w:val="000000"/>
          <w:sz w:val="22"/>
          <w:szCs w:val="22"/>
          <w:shd w:val="clear" w:color="auto" w:fill="FFFFFF"/>
          <w:lang w:val="es-MX" w:eastAsia="en-US"/>
        </w:rPr>
        <w:t>Esto es así porque l</w:t>
      </w:r>
      <w:r w:rsidRPr="00853515">
        <w:rPr>
          <w:rFonts w:ascii="Arial" w:eastAsia="Calibri" w:hAnsi="Arial" w:cs="Arial"/>
          <w:color w:val="000000"/>
          <w:sz w:val="22"/>
          <w:szCs w:val="22"/>
          <w:shd w:val="clear" w:color="auto" w:fill="FFFFFF"/>
          <w:lang w:val="es-ES" w:eastAsia="en-US"/>
        </w:rPr>
        <w:t>as entidades pueden o no acoger la metodología explicada, toda vez que la Guía no es de obligatorio cumplimiento para las entidades, pues s</w:t>
      </w:r>
      <w:r w:rsidR="0040737C">
        <w:rPr>
          <w:rFonts w:ascii="Arial" w:eastAsia="Calibri" w:hAnsi="Arial" w:cs="Arial"/>
          <w:color w:val="000000"/>
          <w:sz w:val="22"/>
          <w:szCs w:val="22"/>
          <w:shd w:val="clear" w:color="auto" w:fill="FFFFFF"/>
          <w:lang w:val="es-ES" w:eastAsia="en-US"/>
        </w:rPr>
        <w:t>o</w:t>
      </w:r>
      <w:r w:rsidRPr="00853515">
        <w:rPr>
          <w:rFonts w:ascii="Arial" w:eastAsia="Calibri" w:hAnsi="Arial" w:cs="Arial"/>
          <w:color w:val="000000"/>
          <w:sz w:val="22"/>
          <w:szCs w:val="22"/>
          <w:shd w:val="clear" w:color="auto" w:fill="FFFFFF"/>
          <w:lang w:val="es-ES" w:eastAsia="en-US"/>
        </w:rPr>
        <w:t>lo constituye una orientación o lineamiento para sus procesos de contratación</w:t>
      </w:r>
      <w:r w:rsidRPr="00853515">
        <w:rPr>
          <w:rFonts w:ascii="Arial" w:eastAsia="Calibri" w:hAnsi="Arial" w:cs="Arial"/>
          <w:color w:val="000000"/>
          <w:sz w:val="22"/>
          <w:szCs w:val="22"/>
          <w:lang w:val="es-ES" w:eastAsia="en-US"/>
        </w:rPr>
        <w:t>.</w:t>
      </w:r>
    </w:p>
    <w:p w14:paraId="1E922EE6"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ES" w:eastAsia="en-US"/>
        </w:rPr>
      </w:pPr>
      <w:r w:rsidRPr="00853515">
        <w:rPr>
          <w:rFonts w:ascii="Arial" w:eastAsia="Calibri" w:hAnsi="Arial" w:cs="Arial"/>
          <w:color w:val="000000"/>
          <w:sz w:val="22"/>
          <w:szCs w:val="22"/>
          <w:lang w:val="es-ES" w:eastAsia="en-US"/>
        </w:rPr>
        <w:t xml:space="preserve">La Guía también contempla los casos en los que el contratista se selecciona a través de </w:t>
      </w:r>
      <w:r w:rsidRPr="00853515">
        <w:rPr>
          <w:rFonts w:ascii="Arial" w:eastAsia="Calibri" w:hAnsi="Arial" w:cs="Arial"/>
          <w:i/>
          <w:iCs/>
          <w:color w:val="000000"/>
          <w:sz w:val="22"/>
          <w:szCs w:val="22"/>
          <w:lang w:val="es-ES" w:eastAsia="en-US"/>
        </w:rPr>
        <w:t>subasta inversa</w:t>
      </w:r>
      <w:r w:rsidRPr="00853515">
        <w:rPr>
          <w:rFonts w:ascii="Arial" w:eastAsia="Calibri" w:hAnsi="Arial" w:cs="Arial"/>
          <w:color w:val="000000"/>
          <w:sz w:val="22"/>
          <w:szCs w:val="22"/>
          <w:lang w:val="es-ES" w:eastAsia="en-US"/>
        </w:rPr>
        <w:t xml:space="preserve">, en los cuales el criterio de evaluación es el precio. En este evento, la Agencia recomienda tener especial cuidado, ya que es común que ofertas competitivas puedan parecer artificialmente bajas en el desarrollo de la subasta inversa. </w:t>
      </w:r>
    </w:p>
    <w:p w14:paraId="691DEC7E"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ES" w:eastAsia="en-US"/>
        </w:rPr>
      </w:pPr>
      <w:r w:rsidRPr="00853515">
        <w:rPr>
          <w:rFonts w:ascii="Arial" w:eastAsia="Calibri" w:hAnsi="Arial" w:cs="Arial"/>
          <w:color w:val="000000"/>
          <w:sz w:val="22"/>
          <w:szCs w:val="22"/>
          <w:lang w:val="es-ES" w:eastAsia="en-US"/>
        </w:rPr>
        <w:t xml:space="preserve">En todo caso, la Guía sugiere llevar a cabo las siguientes actuaciones: i) comparar el valor de cada oferta con el costo estimado de la provisión del bien o servicio, de acuerdo con el estudio del sector que elaboró la entidad. De todos modos, la verificación de las ofertas artificialmente bajas se puede sustentar en información adicional, como, por ejemplo, los precios de fabricantes y otros factores económicos relevantes. </w:t>
      </w:r>
      <w:proofErr w:type="spellStart"/>
      <w:r w:rsidRPr="00853515">
        <w:rPr>
          <w:rFonts w:ascii="Arial" w:eastAsia="Calibri" w:hAnsi="Arial" w:cs="Arial"/>
          <w:color w:val="000000"/>
          <w:sz w:val="22"/>
          <w:szCs w:val="22"/>
          <w:lang w:val="es-ES" w:eastAsia="en-US"/>
        </w:rPr>
        <w:t>ii</w:t>
      </w:r>
      <w:proofErr w:type="spellEnd"/>
      <w:r w:rsidRPr="00853515">
        <w:rPr>
          <w:rFonts w:ascii="Arial" w:eastAsia="Calibri" w:hAnsi="Arial" w:cs="Arial"/>
          <w:color w:val="000000"/>
          <w:sz w:val="22"/>
          <w:szCs w:val="22"/>
          <w:lang w:val="es-ES" w:eastAsia="en-US"/>
        </w:rPr>
        <w:t xml:space="preserve">) Solicitar </w:t>
      </w:r>
      <w:r w:rsidRPr="00853515">
        <w:rPr>
          <w:rFonts w:ascii="Arial" w:eastAsia="Calibri" w:hAnsi="Arial" w:cs="Arial"/>
          <w:color w:val="000000"/>
          <w:sz w:val="22"/>
          <w:szCs w:val="22"/>
          <w:lang w:val="es-ES" w:eastAsia="en-US"/>
        </w:rPr>
        <w:lastRenderedPageBreak/>
        <w:t xml:space="preserve">explicaciones a los proponentes cuyas ofertas sean menores en un 20% o más en relación con el precio estimado por la Entidad Estatal. Para tales fines, se sugiere acudir al método de </w:t>
      </w:r>
      <w:r w:rsidRPr="00853515">
        <w:rPr>
          <w:rFonts w:ascii="Arial" w:eastAsia="Calibri" w:hAnsi="Arial" w:cs="Arial"/>
          <w:i/>
          <w:iCs/>
          <w:color w:val="000000"/>
          <w:sz w:val="22"/>
          <w:szCs w:val="22"/>
          <w:lang w:val="es-ES" w:eastAsia="en-US"/>
        </w:rPr>
        <w:t>comparación absoluta</w:t>
      </w:r>
      <w:r w:rsidRPr="00853515">
        <w:rPr>
          <w:rFonts w:ascii="Arial" w:eastAsia="Calibri" w:hAnsi="Arial" w:cs="Arial"/>
          <w:color w:val="000000"/>
          <w:sz w:val="22"/>
          <w:szCs w:val="22"/>
          <w:lang w:val="es-ES" w:eastAsia="en-US"/>
        </w:rPr>
        <w:t xml:space="preserve">, previamente explicado. Por último, </w:t>
      </w:r>
      <w:proofErr w:type="spellStart"/>
      <w:r w:rsidRPr="00853515">
        <w:rPr>
          <w:rFonts w:ascii="Arial" w:eastAsia="Calibri" w:hAnsi="Arial" w:cs="Arial"/>
          <w:color w:val="000000"/>
          <w:sz w:val="22"/>
          <w:szCs w:val="22"/>
          <w:lang w:val="es-ES" w:eastAsia="en-US"/>
        </w:rPr>
        <w:t>iii</w:t>
      </w:r>
      <w:proofErr w:type="spellEnd"/>
      <w:r w:rsidRPr="00853515">
        <w:rPr>
          <w:rFonts w:ascii="Arial" w:eastAsia="Calibri" w:hAnsi="Arial" w:cs="Arial"/>
          <w:color w:val="000000"/>
          <w:sz w:val="22"/>
          <w:szCs w:val="22"/>
          <w:lang w:val="es-ES" w:eastAsia="en-US"/>
        </w:rPr>
        <w:t xml:space="preserve">) analizar la información remitida por el proponente requerido y, con fundamento en esta, considerar el rechazo de las ofertas por la configuración de alguno de los eventos señalados en la Sección VII de la mencionada Guía. </w:t>
      </w:r>
      <w:r w:rsidRPr="00853515">
        <w:rPr>
          <w:rFonts w:ascii="Arial" w:eastAsia="Calibri" w:hAnsi="Arial" w:cs="Arial"/>
          <w:color w:val="000000"/>
          <w:sz w:val="22"/>
          <w:szCs w:val="22"/>
          <w:shd w:val="clear" w:color="auto" w:fill="FFFFFF"/>
          <w:lang w:val="es-ES" w:eastAsia="en-US"/>
        </w:rPr>
        <w:t>Este documento se refiere a los eventos en los que el proponente omitió diligenciar algún ítem o componente de la oferta; cometió un error aritmético en la determinación del valor total de la oferta; ofreció por una unidad de medida diferente a la solicitada por la Entidad Estatal; u ofreció condiciones técnicas o de ejecución del contrato que no se ajustan a las especificaciones requeridas por la Entidad.</w:t>
      </w:r>
      <w:r w:rsidRPr="00853515">
        <w:rPr>
          <w:rFonts w:ascii="Arial" w:eastAsia="Calibri" w:hAnsi="Arial" w:cs="Arial"/>
          <w:color w:val="000000"/>
          <w:sz w:val="22"/>
          <w:szCs w:val="22"/>
          <w:shd w:val="clear" w:color="auto" w:fill="FFFFFF"/>
          <w:lang w:val="es-MX" w:eastAsia="en-US"/>
        </w:rPr>
        <w:t> </w:t>
      </w:r>
      <w:r w:rsidRPr="00853515">
        <w:rPr>
          <w:rFonts w:ascii="Arial" w:eastAsia="Calibri" w:hAnsi="Arial" w:cs="Arial"/>
          <w:color w:val="000000"/>
          <w:sz w:val="22"/>
          <w:szCs w:val="22"/>
          <w:lang w:val="es-ES" w:eastAsia="en-US"/>
        </w:rPr>
        <w:t xml:space="preserve"> </w:t>
      </w:r>
    </w:p>
    <w:p w14:paraId="3C068DCB" w14:textId="398395EC" w:rsidR="00A05B7A" w:rsidRPr="00853515" w:rsidRDefault="00A05B7A" w:rsidP="00A05B7A">
      <w:pPr>
        <w:spacing w:before="120" w:line="276" w:lineRule="auto"/>
        <w:ind w:firstLine="708"/>
        <w:jc w:val="both"/>
        <w:rPr>
          <w:rFonts w:ascii="Arial" w:eastAsia="Calibri" w:hAnsi="Arial" w:cs="Arial"/>
          <w:color w:val="000000"/>
          <w:sz w:val="22"/>
          <w:szCs w:val="22"/>
          <w:lang w:val="es-MX" w:eastAsia="en-US"/>
        </w:rPr>
      </w:pPr>
      <w:r>
        <w:rPr>
          <w:rFonts w:ascii="Arial" w:eastAsia="Calibri" w:hAnsi="Arial" w:cs="Arial"/>
          <w:color w:val="000000"/>
          <w:sz w:val="22"/>
          <w:szCs w:val="22"/>
          <w:lang w:val="es-MX" w:eastAsia="en-US"/>
        </w:rPr>
        <w:t>Una</w:t>
      </w:r>
      <w:r w:rsidRPr="00853515">
        <w:rPr>
          <w:rFonts w:ascii="Arial" w:eastAsia="Calibri" w:hAnsi="Arial" w:cs="Arial"/>
          <w:color w:val="000000"/>
          <w:sz w:val="22"/>
          <w:szCs w:val="22"/>
          <w:lang w:val="es-MX" w:eastAsia="en-US"/>
        </w:rPr>
        <w:t xml:space="preserve"> vez que la entidad haya surtido su proceso de determinación de una propuesta como artificialmente baja y considerando que la oferta </w:t>
      </w:r>
      <w:r w:rsidR="00813644">
        <w:rPr>
          <w:rFonts w:ascii="Arial" w:eastAsia="Calibri" w:hAnsi="Arial" w:cs="Arial"/>
          <w:color w:val="000000"/>
          <w:sz w:val="22"/>
          <w:szCs w:val="22"/>
          <w:lang w:val="es-MX" w:eastAsia="en-US"/>
        </w:rPr>
        <w:t xml:space="preserve">posiblemente </w:t>
      </w:r>
      <w:r w:rsidRPr="00853515">
        <w:rPr>
          <w:rFonts w:ascii="Arial" w:eastAsia="Calibri" w:hAnsi="Arial" w:cs="Arial"/>
          <w:color w:val="000000"/>
          <w:sz w:val="22"/>
          <w:szCs w:val="22"/>
          <w:lang w:val="es-MX" w:eastAsia="en-US"/>
        </w:rPr>
        <w:t xml:space="preserve">se encuentra inmersa en esta circunstancia, es necesario requerir al oferente para que explique las razones que sustentan el valor ofrecido. Posteriormente, el comité evaluador analizará las explicaciones y decidirá si rechaza la oferta o continúa con el análisis de la misma en el proceso de evaluación de ofertas. </w:t>
      </w:r>
    </w:p>
    <w:p w14:paraId="627A6D6D" w14:textId="77777777" w:rsidR="00A05B7A" w:rsidRPr="00853515" w:rsidRDefault="00A05B7A" w:rsidP="00A05B7A">
      <w:pPr>
        <w:spacing w:before="120" w:line="276" w:lineRule="auto"/>
        <w:ind w:firstLine="709"/>
        <w:jc w:val="both"/>
        <w:rPr>
          <w:rFonts w:ascii="Arial" w:eastAsia="Calibri" w:hAnsi="Arial" w:cs="Arial"/>
          <w:color w:val="000000"/>
          <w:sz w:val="22"/>
          <w:szCs w:val="22"/>
          <w:lang w:val="es-MX" w:eastAsia="en-US"/>
        </w:rPr>
      </w:pPr>
      <w:r>
        <w:rPr>
          <w:rFonts w:ascii="Arial" w:eastAsia="Calibri" w:hAnsi="Arial" w:cs="Arial"/>
          <w:color w:val="000000"/>
          <w:sz w:val="22"/>
          <w:szCs w:val="22"/>
          <w:lang w:val="es-MX" w:eastAsia="en-US"/>
        </w:rPr>
        <w:t xml:space="preserve">Ahora bien, ciertamente, no existen normas legales o reglamentarias que </w:t>
      </w:r>
      <w:r w:rsidRPr="00853515">
        <w:rPr>
          <w:rFonts w:ascii="Arial" w:eastAsia="Calibri" w:hAnsi="Arial" w:cs="Arial"/>
          <w:color w:val="000000"/>
          <w:sz w:val="22"/>
          <w:szCs w:val="22"/>
          <w:lang w:val="es-MX" w:eastAsia="en-US"/>
        </w:rPr>
        <w:t>determin</w:t>
      </w:r>
      <w:r>
        <w:rPr>
          <w:rFonts w:ascii="Arial" w:eastAsia="Calibri" w:hAnsi="Arial" w:cs="Arial"/>
          <w:color w:val="000000"/>
          <w:sz w:val="22"/>
          <w:szCs w:val="22"/>
          <w:lang w:val="es-MX" w:eastAsia="en-US"/>
        </w:rPr>
        <w:t>e</w:t>
      </w:r>
      <w:r w:rsidRPr="00853515">
        <w:rPr>
          <w:rFonts w:ascii="Arial" w:eastAsia="Calibri" w:hAnsi="Arial" w:cs="Arial"/>
          <w:color w:val="000000"/>
          <w:sz w:val="22"/>
          <w:szCs w:val="22"/>
          <w:lang w:val="es-MX" w:eastAsia="en-US"/>
        </w:rPr>
        <w:t xml:space="preserve">n la forma </w:t>
      </w:r>
      <w:r>
        <w:rPr>
          <w:rFonts w:ascii="Arial" w:eastAsia="Calibri" w:hAnsi="Arial" w:cs="Arial"/>
          <w:color w:val="000000"/>
          <w:sz w:val="22"/>
          <w:szCs w:val="22"/>
          <w:lang w:val="es-MX" w:eastAsia="en-US"/>
        </w:rPr>
        <w:t xml:space="preserve">y </w:t>
      </w:r>
      <w:r w:rsidRPr="00853515">
        <w:rPr>
          <w:rFonts w:ascii="Arial" w:eastAsia="Calibri" w:hAnsi="Arial" w:cs="Arial"/>
          <w:color w:val="000000"/>
          <w:sz w:val="22"/>
          <w:szCs w:val="22"/>
          <w:lang w:val="es-MX" w:eastAsia="en-US"/>
        </w:rPr>
        <w:t>el momento para requerir a los proponentes para que justifiquen el precio ofertado. Por tanto, la determinación de tales asuntos es facultativa para cada entidad pública, para lo cual debe tener presentes las particularidades de cada modalidad de selección de contratistas, partiendo de la base de que la entidad solo podrá pedir explicaciones al proponente cuando conozca su oferta económica.</w:t>
      </w:r>
    </w:p>
    <w:p w14:paraId="0DC4CFC8"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En el evento en que el proponente no allegue información una vez se haya requerido, se tratará de una omisión que el comité evaluador deberá analizar. De ser el caso, podrá rechazar la oferta si la duda que tiene es de tal magnitud que no tomar la decisión podría eventualmente comprometer la legalidad del proceso.   </w:t>
      </w:r>
    </w:p>
    <w:p w14:paraId="5263F5AF"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El requerimiento debe comunicarse al proponente por el medio que la entidad considere más eficaz e idóneo, de acuerdo con el caso y las circunstancias particulares de la información objeto de requerimiento. Puede acudir a mensajes electrónicos y otros de similar informalidad. En relación con este aspecto, en el concepto del 7 de noviembre de 2019 –radicado No. 2201913000008288–, esta Agencia avaló en abstracto la idoneidad de una llamada telefónica para comunicar el requerimiento al oferente. La entidad estatal, entonces, no tiene la obligación de notificar dicho requerimiento al proponente, pues el mismo es un acto de trámite y no uno definitivo</w:t>
      </w:r>
      <w:r w:rsidRPr="00853515">
        <w:rPr>
          <w:rFonts w:ascii="Arial" w:eastAsia="Calibri" w:hAnsi="Arial" w:cs="Arial"/>
          <w:color w:val="000000"/>
          <w:sz w:val="22"/>
          <w:szCs w:val="22"/>
          <w:vertAlign w:val="superscript"/>
          <w:lang w:val="es-MX" w:eastAsia="en-US"/>
        </w:rPr>
        <w:footnoteReference w:id="12"/>
      </w:r>
      <w:r w:rsidRPr="00853515">
        <w:rPr>
          <w:rFonts w:ascii="Arial" w:eastAsia="Calibri" w:hAnsi="Arial" w:cs="Arial"/>
          <w:color w:val="000000"/>
          <w:sz w:val="22"/>
          <w:szCs w:val="22"/>
          <w:lang w:val="es-MX" w:eastAsia="en-US"/>
        </w:rPr>
        <w:t>.</w:t>
      </w:r>
    </w:p>
    <w:p w14:paraId="5FD52618"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lastRenderedPageBreak/>
        <w:t>En cuanto al término que se debe otorgar a los proponentes para que expliquen el precio ofertado, es preciso indicar que es un asunto que también queda a la discrecionalidad de la entidad. Sin embargo, la discrecionalidad debe ejercerse de manera sensata, con buen criterio y de forma prudente. Así lo explicó la Sección Quinta del Consejo de Estado en la sentencia del 10 de junio de 1992,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w:t>
      </w:r>
      <w:r w:rsidRPr="00853515">
        <w:rPr>
          <w:rFonts w:ascii="Arial" w:eastAsia="Calibri" w:hAnsi="Arial" w:cs="Arial"/>
          <w:color w:val="000000"/>
          <w:sz w:val="22"/>
          <w:szCs w:val="22"/>
          <w:vertAlign w:val="superscript"/>
          <w:lang w:val="es-MX" w:eastAsia="en-US"/>
        </w:rPr>
        <w:footnoteReference w:id="13"/>
      </w:r>
      <w:r w:rsidRPr="00853515">
        <w:rPr>
          <w:rFonts w:ascii="Arial" w:eastAsia="Calibri" w:hAnsi="Arial" w:cs="Arial"/>
          <w:color w:val="000000"/>
          <w:sz w:val="22"/>
          <w:szCs w:val="22"/>
          <w:lang w:val="es-MX" w:eastAsia="en-US"/>
        </w:rPr>
        <w:t xml:space="preserve">. </w:t>
      </w:r>
    </w:p>
    <w:p w14:paraId="0F2359A9" w14:textId="77777777" w:rsidR="00A05B7A" w:rsidRPr="00853515" w:rsidRDefault="00A05B7A" w:rsidP="00A05B7A">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La doctrina foránea se ha pronunciado en similar sentido, al argumentar que la discrecionalidad administrativa tiene dos limitantes: una, el respeto a la finalidad jurídica que justifica, que no es nada distinto a satisfacer el interés general; y otra, que el uso de la discrecionalidad sea necesaria para cumplir el interés jurídico que se tutela. En estos términos, la entidad deberá adoptar una medida que esté acorde con el interés general</w:t>
      </w:r>
      <w:r w:rsidRPr="00853515">
        <w:rPr>
          <w:rFonts w:ascii="Arial" w:eastAsia="Calibri" w:hAnsi="Arial" w:cs="Arial"/>
          <w:color w:val="000000"/>
          <w:sz w:val="22"/>
          <w:szCs w:val="22"/>
          <w:vertAlign w:val="superscript"/>
          <w:lang w:val="es-MX" w:eastAsia="en-US"/>
        </w:rPr>
        <w:footnoteReference w:id="14"/>
      </w:r>
      <w:r w:rsidRPr="00853515">
        <w:rPr>
          <w:rFonts w:ascii="Arial" w:eastAsia="Calibri" w:hAnsi="Arial" w:cs="Arial"/>
          <w:color w:val="000000"/>
          <w:sz w:val="22"/>
          <w:szCs w:val="22"/>
          <w:lang w:val="es-MX" w:eastAsia="en-US"/>
        </w:rPr>
        <w:t>.</w:t>
      </w:r>
    </w:p>
    <w:p w14:paraId="5A33744C" w14:textId="77777777" w:rsidR="00A05B7A" w:rsidRDefault="00A05B7A" w:rsidP="00A05B7A">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La entidad tiene entonces la facultad de definir el término mínimo que otorgará a los proponentes para aclarar el precio artificialmente bajo. No obstante, dicho término debe estar acorde, por un lado, con el interés general y, por el otro, con los principios de proporcionalidad y razonabilidad, así como también con los principios del Estatuto General de Contratación de la Administración Pública. </w:t>
      </w:r>
    </w:p>
    <w:p w14:paraId="03016187" w14:textId="77777777" w:rsidR="00A05B7A" w:rsidRDefault="00A05B7A" w:rsidP="00A05B7A">
      <w:pPr>
        <w:spacing w:before="120" w:line="276" w:lineRule="auto"/>
        <w:ind w:firstLine="708"/>
        <w:jc w:val="both"/>
        <w:rPr>
          <w:rFonts w:ascii="Arial" w:eastAsia="Calibri" w:hAnsi="Arial" w:cs="Arial"/>
          <w:color w:val="000000"/>
          <w:sz w:val="22"/>
          <w:szCs w:val="22"/>
          <w:lang w:val="es-ES_tradnl"/>
        </w:rPr>
      </w:pPr>
      <w:r w:rsidRPr="009A6999">
        <w:rPr>
          <w:rFonts w:ascii="Arial" w:eastAsia="Calibri" w:hAnsi="Arial" w:cs="Arial"/>
          <w:color w:val="000000"/>
          <w:sz w:val="22"/>
          <w:szCs w:val="22"/>
          <w:lang w:val="es-MX" w:eastAsia="en-US"/>
        </w:rPr>
        <w:t>Por otro lado,</w:t>
      </w:r>
      <w:r>
        <w:rPr>
          <w:rFonts w:ascii="Arial" w:eastAsia="Calibri" w:hAnsi="Arial" w:cs="Arial"/>
          <w:color w:val="000000"/>
          <w:sz w:val="22"/>
          <w:szCs w:val="22"/>
          <w:lang w:val="es-MX" w:eastAsia="en-US"/>
        </w:rPr>
        <w:t xml:space="preserve"> respecto a la solicitud de aclaración prevista en el artículo </w:t>
      </w:r>
      <w:r w:rsidRPr="0012495C">
        <w:rPr>
          <w:rFonts w:ascii="Arial" w:eastAsia="Calibri" w:hAnsi="Arial" w:cs="Arial"/>
          <w:color w:val="000000"/>
          <w:sz w:val="22"/>
          <w:szCs w:val="22"/>
          <w:lang w:val="es-MX" w:eastAsia="en-US"/>
        </w:rPr>
        <w:t>2.2.1.1.2.2.4</w:t>
      </w:r>
      <w:r>
        <w:rPr>
          <w:rFonts w:ascii="Arial" w:eastAsia="Calibri" w:hAnsi="Arial" w:cs="Arial"/>
          <w:color w:val="000000"/>
          <w:sz w:val="22"/>
          <w:szCs w:val="22"/>
          <w:lang w:val="es-MX" w:eastAsia="en-US"/>
        </w:rPr>
        <w:t xml:space="preserve"> del Decreto 1082 de 2015, esta Agencia a recomendado </w:t>
      </w:r>
      <w:r w:rsidRPr="00DD553A">
        <w:rPr>
          <w:rFonts w:ascii="Arial" w:eastAsia="Calibri" w:hAnsi="Arial" w:cs="Arial"/>
          <w:color w:val="000000"/>
          <w:sz w:val="22"/>
          <w:szCs w:val="22"/>
          <w:lang w:val="es-ES_tradnl"/>
        </w:rPr>
        <w:t>–</w:t>
      </w:r>
      <w:r>
        <w:rPr>
          <w:rFonts w:ascii="Arial" w:eastAsia="Calibri" w:hAnsi="Arial" w:cs="Arial"/>
          <w:color w:val="000000"/>
          <w:sz w:val="22"/>
          <w:szCs w:val="22"/>
          <w:lang w:val="es-ES_tradnl"/>
        </w:rPr>
        <w:t xml:space="preserve">a través de la </w:t>
      </w:r>
      <w:r w:rsidRPr="00853515">
        <w:rPr>
          <w:rFonts w:ascii="Arial" w:eastAsia="Calibri" w:hAnsi="Arial" w:cs="Arial"/>
          <w:color w:val="000000"/>
          <w:sz w:val="22"/>
          <w:szCs w:val="22"/>
          <w:lang w:val="es-ES" w:eastAsia="en-US"/>
        </w:rPr>
        <w:t>Guía para el manejo de ofertas artificialmente bajas en Procesos de Contratación</w:t>
      </w:r>
      <w:r w:rsidRPr="00DD553A">
        <w:rPr>
          <w:rFonts w:ascii="Arial" w:eastAsia="Calibri" w:hAnsi="Arial" w:cs="Arial"/>
          <w:color w:val="000000"/>
          <w:sz w:val="22"/>
          <w:szCs w:val="22"/>
          <w:lang w:val="es-ES_tradnl"/>
        </w:rPr>
        <w:t>–</w:t>
      </w:r>
      <w:r>
        <w:rPr>
          <w:rFonts w:ascii="Arial" w:eastAsia="Calibri" w:hAnsi="Arial" w:cs="Arial"/>
          <w:color w:val="000000"/>
          <w:sz w:val="22"/>
          <w:szCs w:val="22"/>
          <w:lang w:val="es-ES_tradnl"/>
        </w:rPr>
        <w:t xml:space="preserve"> </w:t>
      </w:r>
      <w:r w:rsidRPr="00D03DC8">
        <w:rPr>
          <w:rFonts w:ascii="Arial" w:eastAsia="Calibri" w:hAnsi="Arial" w:cs="Arial"/>
          <w:color w:val="000000"/>
          <w:sz w:val="22"/>
          <w:szCs w:val="22"/>
          <w:lang w:val="es-ES_tradnl"/>
        </w:rPr>
        <w:t>incluir en la solicitud de aclaración de la oferta la siguiente</w:t>
      </w:r>
      <w:r>
        <w:rPr>
          <w:rFonts w:ascii="Arial" w:eastAsia="Calibri" w:hAnsi="Arial" w:cs="Arial"/>
          <w:color w:val="000000"/>
          <w:sz w:val="22"/>
          <w:szCs w:val="22"/>
          <w:lang w:val="es-ES_tradnl"/>
        </w:rPr>
        <w:t xml:space="preserve"> </w:t>
      </w:r>
      <w:r w:rsidRPr="00D03DC8">
        <w:rPr>
          <w:rFonts w:ascii="Arial" w:eastAsia="Calibri" w:hAnsi="Arial" w:cs="Arial"/>
          <w:color w:val="000000"/>
          <w:sz w:val="22"/>
          <w:szCs w:val="22"/>
          <w:lang w:val="es-ES_tradnl"/>
        </w:rPr>
        <w:t>desagregación de su precio:</w:t>
      </w:r>
    </w:p>
    <w:p w14:paraId="67072A51" w14:textId="77777777" w:rsidR="00A05B7A" w:rsidRDefault="00A05B7A" w:rsidP="00A05B7A">
      <w:pPr>
        <w:spacing w:before="120" w:line="276" w:lineRule="auto"/>
        <w:ind w:firstLine="708"/>
        <w:jc w:val="both"/>
        <w:rPr>
          <w:rFonts w:ascii="Arial" w:eastAsia="Calibri" w:hAnsi="Arial" w:cs="Arial"/>
          <w:color w:val="000000"/>
          <w:sz w:val="22"/>
          <w:szCs w:val="22"/>
          <w:lang w:val="es-ES_tradnl"/>
        </w:rPr>
      </w:pPr>
    </w:p>
    <w:p w14:paraId="18EF6110" w14:textId="77777777" w:rsidR="00A05B7A" w:rsidRDefault="00A05B7A" w:rsidP="00A05B7A">
      <w:pPr>
        <w:autoSpaceDE w:val="0"/>
        <w:autoSpaceDN w:val="0"/>
        <w:adjustRightInd w:val="0"/>
        <w:jc w:val="center"/>
        <w:rPr>
          <w:rFonts w:ascii="HelveticaNeueLTPro-It" w:eastAsiaTheme="minorHAnsi" w:hAnsi="HelveticaNeueLTPro-It" w:cs="HelveticaNeueLTPro-It"/>
          <w:i/>
          <w:iCs/>
          <w:color w:val="58595B"/>
          <w:sz w:val="20"/>
          <w:szCs w:val="20"/>
          <w:lang w:eastAsia="en-US"/>
        </w:rPr>
      </w:pPr>
      <w:r>
        <w:rPr>
          <w:rFonts w:ascii="HelveticaNeueLTPro-It" w:eastAsiaTheme="minorHAnsi" w:hAnsi="HelveticaNeueLTPro-It" w:cs="HelveticaNeueLTPro-It"/>
          <w:i/>
          <w:iCs/>
          <w:color w:val="58595B"/>
          <w:sz w:val="20"/>
          <w:szCs w:val="20"/>
          <w:lang w:eastAsia="en-US"/>
        </w:rPr>
        <w:t>Oferta = Costo del bien, servicio u obra (insumos, equipos, personal) +</w:t>
      </w:r>
    </w:p>
    <w:p w14:paraId="326B620E" w14:textId="77777777" w:rsidR="00A05B7A" w:rsidRDefault="00A05B7A" w:rsidP="00A05B7A">
      <w:pPr>
        <w:spacing w:before="120" w:line="276" w:lineRule="auto"/>
        <w:ind w:firstLine="708"/>
        <w:jc w:val="center"/>
        <w:rPr>
          <w:rFonts w:ascii="Arial" w:eastAsia="Calibri" w:hAnsi="Arial" w:cs="Arial"/>
          <w:color w:val="000000"/>
          <w:sz w:val="22"/>
          <w:szCs w:val="22"/>
          <w:lang w:val="es-ES_tradnl"/>
        </w:rPr>
      </w:pPr>
      <w:r>
        <w:rPr>
          <w:rFonts w:ascii="HelveticaNeueLTPro-It" w:eastAsiaTheme="minorHAnsi" w:hAnsi="HelveticaNeueLTPro-It" w:cs="HelveticaNeueLTPro-It"/>
          <w:i/>
          <w:iCs/>
          <w:color w:val="58595B"/>
          <w:sz w:val="20"/>
          <w:szCs w:val="20"/>
          <w:lang w:eastAsia="en-US"/>
        </w:rPr>
        <w:t>gastos generales + imprevistos + utilidad</w:t>
      </w:r>
    </w:p>
    <w:p w14:paraId="5C9D7240" w14:textId="77777777" w:rsidR="00A05B7A" w:rsidRDefault="00A05B7A" w:rsidP="00A05B7A">
      <w:pPr>
        <w:spacing w:before="120" w:line="276" w:lineRule="auto"/>
        <w:ind w:firstLine="708"/>
        <w:jc w:val="center"/>
        <w:rPr>
          <w:rFonts w:ascii="Arial" w:eastAsia="Calibri" w:hAnsi="Arial" w:cs="Arial"/>
          <w:color w:val="000000"/>
          <w:sz w:val="22"/>
          <w:szCs w:val="22"/>
          <w:lang w:val="es-ES_tradnl"/>
        </w:rPr>
      </w:pPr>
    </w:p>
    <w:p w14:paraId="1F34DFD0" w14:textId="77777777" w:rsidR="00A05B7A" w:rsidRPr="00505A31" w:rsidRDefault="00A05B7A" w:rsidP="00A05B7A">
      <w:pPr>
        <w:spacing w:before="120" w:line="276" w:lineRule="auto"/>
        <w:ind w:firstLine="708"/>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_tradnl"/>
        </w:rPr>
        <w:lastRenderedPageBreak/>
        <w:t xml:space="preserve">La guía recomienda a las entidades estatales </w:t>
      </w:r>
      <w:r w:rsidRPr="007F7D47">
        <w:rPr>
          <w:rFonts w:ascii="Arial" w:eastAsia="Calibri" w:hAnsi="Arial" w:cs="Arial"/>
          <w:color w:val="000000"/>
          <w:sz w:val="22"/>
          <w:szCs w:val="22"/>
          <w:lang w:val="es-ES_tradnl" w:eastAsia="en-GB"/>
        </w:rPr>
        <w:t>«indagar por el costo marginal de las unidades ofrecidas por el proponente» y «[…] analizar la desagregación de precio con base en el Estudio del Sector y la información del mercado disponible». La Entidad Estatal, de ser necesario, debe pedir los mismos datos a los otros proponentes para poder</w:t>
      </w:r>
      <w:r w:rsidRPr="001832EF">
        <w:rPr>
          <w:rFonts w:ascii="Arial" w:eastAsia="Calibri" w:hAnsi="Arial" w:cs="Arial"/>
          <w:color w:val="000000"/>
          <w:sz w:val="22"/>
          <w:szCs w:val="22"/>
          <w:lang w:val="es-ES" w:eastAsia="en-US"/>
        </w:rPr>
        <w:t xml:space="preserve"> contrastarlos</w:t>
      </w:r>
      <w:r>
        <w:rPr>
          <w:rFonts w:ascii="Arial" w:eastAsia="Calibri" w:hAnsi="Arial" w:cs="Arial"/>
          <w:color w:val="000000"/>
          <w:sz w:val="22"/>
          <w:szCs w:val="22"/>
          <w:lang w:val="es-ES" w:eastAsia="en-US"/>
        </w:rPr>
        <w:t xml:space="preserve">, de igual forma </w:t>
      </w:r>
      <w:r w:rsidRPr="001832EF">
        <w:rPr>
          <w:rFonts w:ascii="Arial" w:eastAsia="Calibri" w:hAnsi="Arial" w:cs="Arial"/>
          <w:color w:val="000000"/>
          <w:sz w:val="22"/>
          <w:szCs w:val="22"/>
          <w:lang w:val="es-ES" w:eastAsia="en-US"/>
        </w:rPr>
        <w:t xml:space="preserve">puede solicitar aclaraciones tantas veces como lo considere necesario y debe dejar tiempo suficiente a los proponentes para responder. Ese tiempo debe ser proporcional a la complejidad del objeto contratado en términos de administración del riesgo y las características de especificidad del objeto. </w:t>
      </w:r>
    </w:p>
    <w:p w14:paraId="4A7AEAE1" w14:textId="1FC1A436" w:rsidR="00A05B7A" w:rsidRDefault="00A05B7A" w:rsidP="00A05B7A">
      <w:pPr>
        <w:spacing w:before="120" w:line="276" w:lineRule="auto"/>
        <w:ind w:firstLine="708"/>
        <w:jc w:val="both"/>
        <w:rPr>
          <w:rFonts w:ascii="Arial" w:eastAsia="Calibri" w:hAnsi="Arial" w:cs="Arial"/>
          <w:color w:val="000000"/>
          <w:sz w:val="22"/>
          <w:szCs w:val="22"/>
          <w:lang w:val="es-ES" w:eastAsia="en-US"/>
        </w:rPr>
      </w:pPr>
      <w:r w:rsidRPr="00853515">
        <w:rPr>
          <w:rFonts w:ascii="Arial" w:eastAsia="Calibri" w:hAnsi="Arial" w:cs="Arial"/>
          <w:color w:val="000000"/>
          <w:sz w:val="22"/>
          <w:szCs w:val="22"/>
          <w:lang w:val="es-ES" w:eastAsia="en-US"/>
        </w:rPr>
        <w:t xml:space="preserve"> </w:t>
      </w:r>
      <w:r>
        <w:rPr>
          <w:rFonts w:ascii="Arial" w:eastAsia="Calibri" w:hAnsi="Arial" w:cs="Arial"/>
          <w:color w:val="000000"/>
          <w:sz w:val="22"/>
          <w:szCs w:val="22"/>
          <w:lang w:val="es-ES" w:eastAsia="en-US"/>
        </w:rPr>
        <w:t>V</w:t>
      </w:r>
      <w:r w:rsidRPr="00853515">
        <w:rPr>
          <w:rFonts w:ascii="Arial" w:eastAsia="Calibri" w:hAnsi="Arial" w:cs="Arial"/>
          <w:color w:val="000000"/>
          <w:sz w:val="22"/>
          <w:szCs w:val="22"/>
          <w:lang w:val="es-ES" w:eastAsia="en-US"/>
        </w:rPr>
        <w:t>erificada la información remitida por el proponente, la entidad debe definir si rechaza o no la oferta. En la «</w:t>
      </w:r>
      <w:bookmarkStart w:id="25" w:name="_Hlk103099057"/>
      <w:r w:rsidRPr="00853515">
        <w:rPr>
          <w:rFonts w:ascii="Arial" w:eastAsia="Calibri" w:hAnsi="Arial" w:cs="Arial"/>
          <w:color w:val="000000"/>
          <w:sz w:val="22"/>
          <w:szCs w:val="22"/>
          <w:lang w:val="es-ES" w:eastAsia="en-US"/>
        </w:rPr>
        <w:t>Guía para el manejo de ofertas artificialmente bajas en Procesos de Contratación</w:t>
      </w:r>
      <w:bookmarkEnd w:id="25"/>
      <w:r w:rsidRPr="00853515">
        <w:rPr>
          <w:rFonts w:ascii="Arial" w:eastAsia="Calibri" w:hAnsi="Arial" w:cs="Arial"/>
          <w:color w:val="000000"/>
          <w:sz w:val="22"/>
          <w:szCs w:val="22"/>
          <w:lang w:val="es-ES" w:eastAsia="en-US"/>
        </w:rPr>
        <w:t xml:space="preserve">», la </w:t>
      </w:r>
      <w:r w:rsidRPr="00853515">
        <w:rPr>
          <w:rFonts w:ascii="Arial" w:hAnsi="Arial" w:cs="Arial"/>
          <w:color w:val="000000"/>
          <w:sz w:val="22"/>
          <w:lang w:val="es-US"/>
        </w:rPr>
        <w:t xml:space="preserve">Agencia Nacional de Contratación Pública </w:t>
      </w:r>
      <w:r w:rsidRPr="00853515">
        <w:rPr>
          <w:rFonts w:ascii="Arial" w:eastAsia="Calibri" w:hAnsi="Arial" w:cs="Arial"/>
          <w:color w:val="000000"/>
          <w:sz w:val="22"/>
          <w:szCs w:val="22"/>
          <w:lang w:val="es-ES" w:eastAsia="en-US"/>
        </w:rPr>
        <w:t xml:space="preserve">precisó que </w:t>
      </w:r>
      <w:r w:rsidR="00813644">
        <w:rPr>
          <w:rFonts w:ascii="Arial" w:eastAsia="Calibri" w:hAnsi="Arial" w:cs="Arial"/>
          <w:color w:val="000000"/>
          <w:sz w:val="22"/>
          <w:szCs w:val="22"/>
          <w:lang w:val="es-ES" w:eastAsia="en-US"/>
        </w:rPr>
        <w:t>procedería el rechazo de</w:t>
      </w:r>
      <w:r w:rsidRPr="00853515">
        <w:rPr>
          <w:rFonts w:ascii="Arial" w:eastAsia="Calibri" w:hAnsi="Arial" w:cs="Arial"/>
          <w:color w:val="000000"/>
          <w:sz w:val="22"/>
          <w:szCs w:val="22"/>
          <w:lang w:val="es-ES" w:eastAsia="en-US"/>
        </w:rPr>
        <w:t xml:space="preserve"> la propuesta en los siguientes eventos: i) «el proponente no presenta por escrito a la entidad estatal la aclaración de la oferta», </w:t>
      </w:r>
      <w:proofErr w:type="spellStart"/>
      <w:r w:rsidRPr="00853515">
        <w:rPr>
          <w:rFonts w:ascii="Arial" w:eastAsia="Calibri" w:hAnsi="Arial" w:cs="Arial"/>
          <w:color w:val="000000"/>
          <w:sz w:val="22"/>
          <w:szCs w:val="22"/>
          <w:lang w:val="es-ES" w:eastAsia="en-US"/>
        </w:rPr>
        <w:t>ii</w:t>
      </w:r>
      <w:proofErr w:type="spellEnd"/>
      <w:r w:rsidRPr="00853515">
        <w:rPr>
          <w:rFonts w:ascii="Arial" w:eastAsia="Calibri" w:hAnsi="Arial" w:cs="Arial"/>
          <w:color w:val="000000"/>
          <w:sz w:val="22"/>
          <w:szCs w:val="22"/>
          <w:lang w:val="es-ES" w:eastAsia="en-US"/>
        </w:rPr>
        <w:t xml:space="preserve">) «el proponente no envía parte o la totalidad de la información solicitada por la entidad estatal», </w:t>
      </w:r>
      <w:proofErr w:type="spellStart"/>
      <w:r w:rsidRPr="00853515">
        <w:rPr>
          <w:rFonts w:ascii="Arial" w:eastAsia="Calibri" w:hAnsi="Arial" w:cs="Arial"/>
          <w:color w:val="000000"/>
          <w:sz w:val="22"/>
          <w:szCs w:val="22"/>
          <w:lang w:val="es-ES" w:eastAsia="en-US"/>
        </w:rPr>
        <w:t>iii</w:t>
      </w:r>
      <w:proofErr w:type="spellEnd"/>
      <w:r w:rsidRPr="00853515">
        <w:rPr>
          <w:rFonts w:ascii="Arial" w:eastAsia="Calibri" w:hAnsi="Arial" w:cs="Arial"/>
          <w:color w:val="000000"/>
          <w:sz w:val="22"/>
          <w:szCs w:val="22"/>
          <w:lang w:val="es-ES" w:eastAsia="en-US"/>
        </w:rPr>
        <w:t xml:space="preserve">) «las aclaraciones del proponente no son satisfactorias para garantizar la sostenibilidad de la oferta durante la ejecución del contrato» y </w:t>
      </w:r>
      <w:proofErr w:type="spellStart"/>
      <w:r w:rsidRPr="00853515">
        <w:rPr>
          <w:rFonts w:ascii="Arial" w:eastAsia="Calibri" w:hAnsi="Arial" w:cs="Arial"/>
          <w:color w:val="000000"/>
          <w:sz w:val="22"/>
          <w:szCs w:val="22"/>
          <w:lang w:val="es-ES" w:eastAsia="en-US"/>
        </w:rPr>
        <w:t>iv</w:t>
      </w:r>
      <w:proofErr w:type="spellEnd"/>
      <w:r w:rsidRPr="00853515">
        <w:rPr>
          <w:rFonts w:ascii="Arial" w:eastAsia="Calibri" w:hAnsi="Arial" w:cs="Arial"/>
          <w:color w:val="000000"/>
          <w:sz w:val="22"/>
          <w:szCs w:val="22"/>
          <w:lang w:val="es-ES" w:eastAsia="en-US"/>
        </w:rPr>
        <w:t>) «las aclaraciones del proponente no desvirtúan la teoría de que está utilizando su oferta como parte de una estrategia colusoria o […] anticompetitiva durante el proceso de selección». Lo anterior, sin perjuicio de los eventos señalados en la Sección VII de la «Guía para el manejo de ofertas artificialmente bajas en Procesos de Contratación de Colombia Compra Eficiente», los cuales, debe advertirse, son criterios orientadores para las entidades públicas y no «causales de rechazo» en estricto sentido.</w:t>
      </w:r>
    </w:p>
    <w:p w14:paraId="68919C0B" w14:textId="4A64DBCD" w:rsidR="00A05B7A" w:rsidRDefault="00A05B7A" w:rsidP="00A05B7A">
      <w:pPr>
        <w:spacing w:before="120" w:line="276" w:lineRule="auto"/>
        <w:ind w:firstLine="708"/>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En lo relativo a los valores de la oferta relacionados con la contratación de personal, la guía no establece una regulación en concreto, ni una metodología específicamente dirigida a verificar que los componentes del precio ofrecido con relación al personal estén ajustados a la realidad del mercado. Sin embargo, en la f</w:t>
      </w:r>
      <w:r w:rsidR="00813644">
        <w:rPr>
          <w:rFonts w:ascii="Arial" w:eastAsia="Calibri" w:hAnsi="Arial" w:cs="Arial"/>
          <w:color w:val="000000"/>
          <w:sz w:val="22"/>
          <w:szCs w:val="22"/>
          <w:lang w:val="es-ES_tradnl"/>
        </w:rPr>
        <w:t>ó</w:t>
      </w:r>
      <w:r>
        <w:rPr>
          <w:rFonts w:ascii="Arial" w:eastAsia="Calibri" w:hAnsi="Arial" w:cs="Arial"/>
          <w:color w:val="000000"/>
          <w:sz w:val="22"/>
          <w:szCs w:val="22"/>
          <w:lang w:val="es-ES_tradnl"/>
        </w:rPr>
        <w:t>rmula arriba transcrita s</w:t>
      </w:r>
      <w:r w:rsidR="00813644">
        <w:rPr>
          <w:rFonts w:ascii="Arial" w:eastAsia="Calibri" w:hAnsi="Arial" w:cs="Arial"/>
          <w:color w:val="000000"/>
          <w:sz w:val="22"/>
          <w:szCs w:val="22"/>
          <w:lang w:val="es-ES_tradnl"/>
        </w:rPr>
        <w:t>í</w:t>
      </w:r>
      <w:r>
        <w:rPr>
          <w:rFonts w:ascii="Arial" w:eastAsia="Calibri" w:hAnsi="Arial" w:cs="Arial"/>
          <w:color w:val="000000"/>
          <w:sz w:val="22"/>
          <w:szCs w:val="22"/>
          <w:lang w:val="es-ES_tradnl"/>
        </w:rPr>
        <w:t xml:space="preserve"> se considera al personal como uno de los costos en los que se incurre para el suministro de un bien, la realización de una obra o la prestación de un servicio, razón por la que se recomienda requerir a los proponentes, en las solicitudes de aclaración, la desagregación de los costos de personal, al igual al de los insumos u equipos requeridos. </w:t>
      </w:r>
    </w:p>
    <w:p w14:paraId="351C37D3" w14:textId="77777777" w:rsidR="00A05B7A" w:rsidRDefault="00A05B7A" w:rsidP="00A05B7A">
      <w:pPr>
        <w:spacing w:before="120" w:line="276" w:lineRule="auto"/>
        <w:ind w:firstLine="708"/>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 xml:space="preserve">La guía tampoco indica un método en particular para solicitar o analizar la desagregación de los costos asociados al personal, en ese sentido, dentro de lo contemplado en la guía no se hace referencia a los valores del salario mínimo legal mensual vigente–SMMLV–, o de la carga prestacional correspondiente, como criterios para verificar precios artificialmente bajos en materia laboral. Sin embargo, claramente, el SMMLV y las prestaciones sociales que corresponde pagar a los empleadores son cargas económicas que tienen origen normativo en atención al cual tienen una repercusión en el </w:t>
      </w:r>
      <w:r>
        <w:rPr>
          <w:rFonts w:ascii="Arial" w:eastAsia="Calibri" w:hAnsi="Arial" w:cs="Arial"/>
          <w:color w:val="000000"/>
          <w:sz w:val="22"/>
          <w:szCs w:val="22"/>
          <w:lang w:val="es-ES_tradnl"/>
        </w:rPr>
        <w:lastRenderedPageBreak/>
        <w:t xml:space="preserve">mercado, y condicionan los costos mínimos en los que se incurre para la contratación de la fuerza laboral requerida para desarrollo de un objeto contractual. </w:t>
      </w:r>
    </w:p>
    <w:p w14:paraId="16966DBA" w14:textId="77777777" w:rsidR="00A05B7A" w:rsidRDefault="00A05B7A" w:rsidP="00A05B7A">
      <w:pPr>
        <w:spacing w:before="120" w:after="120" w:line="276" w:lineRule="auto"/>
        <w:ind w:firstLine="709"/>
        <w:jc w:val="both"/>
        <w:rPr>
          <w:rFonts w:ascii="Arial" w:hAnsi="Arial" w:cs="Arial"/>
          <w:color w:val="000000"/>
          <w:sz w:val="22"/>
          <w:szCs w:val="22"/>
          <w:shd w:val="clear" w:color="auto" w:fill="FFFFFF"/>
          <w:lang w:val="es-US"/>
        </w:rPr>
      </w:pPr>
      <w:r>
        <w:rPr>
          <w:rFonts w:ascii="Arial" w:eastAsia="Calibri" w:hAnsi="Arial" w:cs="Arial"/>
          <w:color w:val="000000"/>
          <w:sz w:val="22"/>
          <w:szCs w:val="22"/>
          <w:lang w:val="es-ES_tradnl"/>
        </w:rPr>
        <w:t>En ese sentido, si bien la guía no se refiere de manera expresa al valor del SMMLV y las prestaciones sociales como criterios a considerar para la constatación de los precios artificialmente bajos, ello no quiere decir que las entidades estatales no puedan considerarlos para realizar los análisis que les corresponden en el marco de los procesos de contratación correspondientes, particularmente, al momento de solicitar aclaraciones.</w:t>
      </w:r>
      <w:r>
        <w:rPr>
          <w:rFonts w:ascii="Arial" w:hAnsi="Arial" w:cs="Arial"/>
          <w:color w:val="000000"/>
          <w:sz w:val="22"/>
          <w:szCs w:val="22"/>
          <w:shd w:val="clear" w:color="auto" w:fill="FFFFFF"/>
          <w:lang w:val="es-US"/>
        </w:rPr>
        <w:t xml:space="preserve"> </w:t>
      </w:r>
      <w:r w:rsidRPr="00853515">
        <w:rPr>
          <w:rFonts w:ascii="Arial" w:hAnsi="Arial" w:cs="Arial"/>
          <w:color w:val="000000"/>
          <w:sz w:val="22"/>
          <w:szCs w:val="22"/>
          <w:shd w:val="clear" w:color="auto" w:fill="FFFFFF"/>
          <w:lang w:val="es-US"/>
        </w:rPr>
        <w:t xml:space="preserve">Todo lo anterior, teniendo en cuenta que la referida Guía contiene criterios orientadores para las entidades públicas, los cuales, en consecuencia, no son vinculantes ni de obligatorio acatamiento. </w:t>
      </w:r>
    </w:p>
    <w:p w14:paraId="23FC2468" w14:textId="77777777" w:rsidR="00A05B7A" w:rsidRDefault="00A05B7A" w:rsidP="00A05B7A">
      <w:pPr>
        <w:spacing w:before="120" w:after="120" w:line="276" w:lineRule="auto"/>
        <w:ind w:firstLine="709"/>
        <w:jc w:val="both"/>
        <w:rPr>
          <w:rFonts w:ascii="Arial" w:hAnsi="Arial" w:cs="Arial"/>
          <w:color w:val="000000"/>
          <w:sz w:val="22"/>
          <w:szCs w:val="22"/>
          <w:shd w:val="clear" w:color="auto" w:fill="FFFFFF"/>
          <w:lang w:val="es-US"/>
        </w:rPr>
      </w:pPr>
      <w:r>
        <w:rPr>
          <w:rFonts w:ascii="Arial" w:hAnsi="Arial" w:cs="Arial"/>
          <w:color w:val="000000"/>
          <w:sz w:val="22"/>
          <w:szCs w:val="22"/>
          <w:shd w:val="clear" w:color="auto" w:fill="FFFFFF"/>
          <w:lang w:val="es-US"/>
        </w:rPr>
        <w:t xml:space="preserve">En todo caso, conforme surge de lo aquí expuesto, debe advertirse que la regulación de los precios artificialmente bajos tiene por propósito evitar que se contrate a proponentes que, con el fin de que se les adjudiquen los contratos, realicen ofrecimientos que no correspondan con la realidad del mercado, lo que se justifica en los eventuales efectos nocivos que de ello pudieran derivar para el cumplimiento de los fines del contrato. En ese sentido, evitar que en las ofertas se omita los valores que en la práctica representan costos reales que debe asumir los eventuales contratistas para el desarrollo del objeto contractual –como, por ejemplo, los costos del personal– es precisamente el propósito de la regulación de los precios artificialmente bajos.   </w:t>
      </w:r>
    </w:p>
    <w:p w14:paraId="67AC036F" w14:textId="1E62894B" w:rsidR="00915D2F" w:rsidRDefault="00A05B7A" w:rsidP="004B45A7">
      <w:pPr>
        <w:spacing w:before="120" w:line="276" w:lineRule="auto"/>
        <w:ind w:firstLine="709"/>
        <w:jc w:val="both"/>
        <w:rPr>
          <w:rFonts w:ascii="Arial" w:hAnsi="Arial" w:cs="Arial"/>
          <w:color w:val="000000"/>
          <w:sz w:val="22"/>
          <w:szCs w:val="22"/>
          <w:shd w:val="clear" w:color="auto" w:fill="FFFFFF"/>
          <w:lang w:val="es-US"/>
        </w:rPr>
      </w:pPr>
      <w:r>
        <w:rPr>
          <w:rFonts w:ascii="Arial" w:hAnsi="Arial" w:cs="Arial"/>
          <w:color w:val="000000"/>
          <w:sz w:val="22"/>
          <w:szCs w:val="22"/>
          <w:shd w:val="clear" w:color="auto" w:fill="FFFFFF"/>
          <w:lang w:val="es-US"/>
        </w:rPr>
        <w:t>De cualquier modo</w:t>
      </w:r>
      <w:r w:rsidRPr="00853515">
        <w:rPr>
          <w:rFonts w:ascii="Arial" w:hAnsi="Arial" w:cs="Arial"/>
          <w:color w:val="000000"/>
          <w:sz w:val="22"/>
          <w:szCs w:val="22"/>
          <w:shd w:val="clear" w:color="auto" w:fill="FFFFFF"/>
          <w:lang w:val="es-US"/>
        </w:rPr>
        <w:t>, las entidades están facultadas para aplicar los criterios contenidos en la Guía o acudir, si</w:t>
      </w:r>
      <w:r>
        <w:rPr>
          <w:rFonts w:ascii="Arial" w:hAnsi="Arial" w:cs="Arial"/>
          <w:color w:val="000000"/>
          <w:sz w:val="22"/>
          <w:szCs w:val="22"/>
          <w:shd w:val="clear" w:color="auto" w:fill="FFFFFF"/>
          <w:lang w:val="es-US"/>
        </w:rPr>
        <w:t xml:space="preserve"> a</w:t>
      </w:r>
      <w:r w:rsidRPr="00853515">
        <w:rPr>
          <w:rFonts w:ascii="Arial" w:hAnsi="Arial" w:cs="Arial"/>
          <w:color w:val="000000"/>
          <w:sz w:val="22"/>
          <w:szCs w:val="22"/>
          <w:shd w:val="clear" w:color="auto" w:fill="FFFFFF"/>
          <w:lang w:val="es-US"/>
        </w:rPr>
        <w:t xml:space="preserve"> bien lo tienen, a otro tipo de criterios que consideren más apropiados para cada proceso de contratación</w:t>
      </w:r>
      <w:r w:rsidRPr="007F7D47">
        <w:rPr>
          <w:rFonts w:ascii="Arial" w:hAnsi="Arial" w:cs="Arial"/>
          <w:color w:val="000000"/>
          <w:sz w:val="22"/>
          <w:szCs w:val="22"/>
          <w:shd w:val="clear" w:color="auto" w:fill="FFFFFF"/>
          <w:lang w:val="es-US" w:eastAsia="en-GB"/>
        </w:rPr>
        <w:t xml:space="preserve">. </w:t>
      </w:r>
      <w:r w:rsidR="00C53D2D" w:rsidRPr="007F7D47">
        <w:rPr>
          <w:rFonts w:ascii="Arial" w:hAnsi="Arial" w:cs="Arial"/>
          <w:color w:val="000000"/>
          <w:sz w:val="22"/>
          <w:szCs w:val="22"/>
          <w:shd w:val="clear" w:color="auto" w:fill="FFFFFF"/>
          <w:lang w:val="es-US" w:eastAsia="en-GB"/>
        </w:rPr>
        <w:t>En este sentido, la referida Guía contiene criterios orientadores para las entidades públicas, los cuales, en consecuencia, no son vinculantes ni de obligatorio acatamiento, de manera que las entidades pueden, a partir de los datos de los que dispongan, servirse de otros métodos razonables, para aplicar el procedimiento establecido en el artículo 2.2.1.1.2.2.4 del Decreto 1082 de 2015. En otras palabras, las entidades están facultadas para aplicar los criterios contenidos en la Guía o acudir, si bien lo tienen, a otro tipo de criterios que consideren más apropiados para cada proceso de contratación</w:t>
      </w:r>
      <w:r w:rsidR="00C53D2D" w:rsidRPr="007F7D47">
        <w:rPr>
          <w:rFonts w:ascii="Arial" w:hAnsi="Arial" w:cs="Arial"/>
          <w:color w:val="000000"/>
          <w:sz w:val="22"/>
          <w:szCs w:val="22"/>
          <w:shd w:val="clear" w:color="auto" w:fill="FFFFFF"/>
          <w:lang w:val="es-US"/>
        </w:rPr>
        <w:t>.</w:t>
      </w:r>
      <w:r w:rsidR="00C53D2D">
        <w:rPr>
          <w:rFonts w:ascii="Arial" w:hAnsi="Arial" w:cs="Arial"/>
          <w:color w:val="000000"/>
          <w:sz w:val="22"/>
          <w:szCs w:val="22"/>
          <w:shd w:val="clear" w:color="auto" w:fill="FFFFFF"/>
          <w:lang w:val="es-US"/>
        </w:rPr>
        <w:t xml:space="preserve"> Lo anterior, además responde a que son muchas las circunstancias específicas que </w:t>
      </w:r>
      <w:r w:rsidR="004B45A7">
        <w:rPr>
          <w:rFonts w:ascii="Arial" w:hAnsi="Arial" w:cs="Arial"/>
          <w:color w:val="000000"/>
          <w:sz w:val="22"/>
          <w:szCs w:val="22"/>
          <w:shd w:val="clear" w:color="auto" w:fill="FFFFFF"/>
          <w:lang w:val="es-US"/>
        </w:rPr>
        <w:t>pueden</w:t>
      </w:r>
      <w:r w:rsidR="00C53D2D">
        <w:rPr>
          <w:rFonts w:ascii="Arial" w:hAnsi="Arial" w:cs="Arial"/>
          <w:color w:val="000000"/>
          <w:sz w:val="22"/>
          <w:szCs w:val="22"/>
          <w:shd w:val="clear" w:color="auto" w:fill="FFFFFF"/>
          <w:lang w:val="es-US"/>
        </w:rPr>
        <w:t xml:space="preserve"> presentarse </w:t>
      </w:r>
      <w:r w:rsidR="004B45A7">
        <w:rPr>
          <w:rFonts w:ascii="Arial" w:hAnsi="Arial" w:cs="Arial"/>
          <w:color w:val="000000"/>
          <w:sz w:val="22"/>
          <w:szCs w:val="22"/>
          <w:shd w:val="clear" w:color="auto" w:fill="FFFFFF"/>
          <w:lang w:val="es-US"/>
        </w:rPr>
        <w:t>en cada procedimiento de selección e</w:t>
      </w:r>
      <w:r w:rsidR="00F6143F">
        <w:rPr>
          <w:rFonts w:ascii="Arial" w:hAnsi="Arial" w:cs="Arial"/>
          <w:color w:val="000000"/>
          <w:sz w:val="22"/>
          <w:szCs w:val="22"/>
          <w:shd w:val="clear" w:color="auto" w:fill="FFFFFF"/>
          <w:lang w:val="es-US"/>
        </w:rPr>
        <w:t>n</w:t>
      </w:r>
      <w:r w:rsidR="004B45A7">
        <w:rPr>
          <w:rFonts w:ascii="Arial" w:hAnsi="Arial" w:cs="Arial"/>
          <w:color w:val="000000"/>
          <w:sz w:val="22"/>
          <w:szCs w:val="22"/>
          <w:shd w:val="clear" w:color="auto" w:fill="FFFFFF"/>
          <w:lang w:val="es-US"/>
        </w:rPr>
        <w:t xml:space="preserve"> concreto, y frente a cada proponente en particular, por lo cual no se considera adecuado establecer criterios absolutos, que eventualmente podrían resultar insuficientes o inadecuados en circunstancias específicas, razón por la cual esta Agencia, con fundamento en el artículo </w:t>
      </w:r>
      <w:r w:rsidR="004B45A7" w:rsidRPr="004B45A7">
        <w:rPr>
          <w:rFonts w:ascii="Arial" w:hAnsi="Arial" w:cs="Arial"/>
          <w:color w:val="000000"/>
          <w:sz w:val="22"/>
          <w:szCs w:val="22"/>
          <w:shd w:val="clear" w:color="auto" w:fill="FFFFFF"/>
          <w:lang w:val="es-US"/>
        </w:rPr>
        <w:t>2.2.1.1.2.2.4.</w:t>
      </w:r>
      <w:r w:rsidR="00CC1F51">
        <w:rPr>
          <w:rFonts w:ascii="Arial" w:hAnsi="Arial" w:cs="Arial"/>
          <w:color w:val="000000"/>
          <w:sz w:val="22"/>
          <w:szCs w:val="22"/>
          <w:shd w:val="clear" w:color="auto" w:fill="FFFFFF"/>
          <w:lang w:val="es-US"/>
        </w:rPr>
        <w:t xml:space="preserve"> del Decreto 1082 de 2015</w:t>
      </w:r>
      <w:r w:rsidR="004B45A7">
        <w:rPr>
          <w:rFonts w:ascii="Arial" w:hAnsi="Arial" w:cs="Arial"/>
          <w:color w:val="000000"/>
          <w:sz w:val="22"/>
          <w:szCs w:val="22"/>
          <w:shd w:val="clear" w:color="auto" w:fill="FFFFFF"/>
          <w:lang w:val="es-US"/>
        </w:rPr>
        <w:t xml:space="preserve">, estableció algunas recomendaciones a las entidades estatales para el manejo de </w:t>
      </w:r>
      <w:r w:rsidR="004B45A7" w:rsidRPr="004B45A7">
        <w:rPr>
          <w:rFonts w:ascii="Arial" w:hAnsi="Arial" w:cs="Arial"/>
          <w:color w:val="000000"/>
          <w:sz w:val="22"/>
          <w:szCs w:val="22"/>
          <w:shd w:val="clear" w:color="auto" w:fill="FFFFFF"/>
          <w:lang w:val="es-US"/>
        </w:rPr>
        <w:t>ofertas</w:t>
      </w:r>
      <w:r w:rsidR="004B45A7">
        <w:rPr>
          <w:rFonts w:ascii="Arial" w:hAnsi="Arial" w:cs="Arial"/>
          <w:color w:val="000000"/>
          <w:sz w:val="22"/>
          <w:szCs w:val="22"/>
          <w:shd w:val="clear" w:color="auto" w:fill="FFFFFF"/>
          <w:lang w:val="es-US"/>
        </w:rPr>
        <w:t xml:space="preserve"> </w:t>
      </w:r>
      <w:r w:rsidR="004B45A7" w:rsidRPr="004B45A7">
        <w:rPr>
          <w:rFonts w:ascii="Arial" w:hAnsi="Arial" w:cs="Arial"/>
          <w:color w:val="000000"/>
          <w:sz w:val="22"/>
          <w:szCs w:val="22"/>
          <w:shd w:val="clear" w:color="auto" w:fill="FFFFFF"/>
          <w:lang w:val="es-US"/>
        </w:rPr>
        <w:t>artificialmente bajas en</w:t>
      </w:r>
      <w:r w:rsidR="004B45A7">
        <w:rPr>
          <w:rFonts w:ascii="Arial" w:hAnsi="Arial" w:cs="Arial"/>
          <w:color w:val="000000"/>
          <w:sz w:val="22"/>
          <w:szCs w:val="22"/>
          <w:shd w:val="clear" w:color="auto" w:fill="FFFFFF"/>
          <w:lang w:val="es-US"/>
        </w:rPr>
        <w:t xml:space="preserve"> los p</w:t>
      </w:r>
      <w:r w:rsidR="004B45A7" w:rsidRPr="004B45A7">
        <w:rPr>
          <w:rFonts w:ascii="Arial" w:hAnsi="Arial" w:cs="Arial"/>
          <w:color w:val="000000"/>
          <w:sz w:val="22"/>
          <w:szCs w:val="22"/>
          <w:shd w:val="clear" w:color="auto" w:fill="FFFFFF"/>
          <w:lang w:val="es-US"/>
        </w:rPr>
        <w:t xml:space="preserve">rocesos de </w:t>
      </w:r>
      <w:r w:rsidR="004B45A7">
        <w:rPr>
          <w:rFonts w:ascii="Arial" w:hAnsi="Arial" w:cs="Arial"/>
          <w:color w:val="000000"/>
          <w:sz w:val="22"/>
          <w:szCs w:val="22"/>
          <w:shd w:val="clear" w:color="auto" w:fill="FFFFFF"/>
          <w:lang w:val="es-US"/>
        </w:rPr>
        <w:t>c</w:t>
      </w:r>
      <w:r w:rsidR="004B45A7" w:rsidRPr="004B45A7">
        <w:rPr>
          <w:rFonts w:ascii="Arial" w:hAnsi="Arial" w:cs="Arial"/>
          <w:color w:val="000000"/>
          <w:sz w:val="22"/>
          <w:szCs w:val="22"/>
          <w:shd w:val="clear" w:color="auto" w:fill="FFFFFF"/>
          <w:lang w:val="es-US"/>
        </w:rPr>
        <w:t>ontratación</w:t>
      </w:r>
      <w:r w:rsidR="00F6143F">
        <w:rPr>
          <w:rFonts w:ascii="Arial" w:hAnsi="Arial" w:cs="Arial"/>
          <w:color w:val="000000"/>
          <w:sz w:val="22"/>
          <w:szCs w:val="22"/>
          <w:shd w:val="clear" w:color="auto" w:fill="FFFFFF"/>
          <w:lang w:val="es-US"/>
        </w:rPr>
        <w:t>, para que ellas tomen las decisiones que correspondan en cada procedimiento de selección.</w:t>
      </w:r>
    </w:p>
    <w:p w14:paraId="4539B38D" w14:textId="77777777" w:rsidR="00AB0518" w:rsidRPr="007F7D47" w:rsidRDefault="00AB0518" w:rsidP="007F7D47">
      <w:pPr>
        <w:spacing w:line="276" w:lineRule="auto"/>
        <w:ind w:firstLine="709"/>
        <w:jc w:val="both"/>
        <w:rPr>
          <w:rFonts w:ascii="Arial" w:hAnsi="Arial" w:cs="Arial"/>
          <w:color w:val="000000"/>
          <w:sz w:val="22"/>
          <w:szCs w:val="22"/>
          <w:shd w:val="clear" w:color="auto" w:fill="FFFFFF"/>
          <w:lang w:val="es-US" w:eastAsia="en-GB"/>
        </w:rPr>
      </w:pPr>
    </w:p>
    <w:p w14:paraId="7E2E4527" w14:textId="14A3080D" w:rsidR="00F66CBD" w:rsidRDefault="00915D2F" w:rsidP="007F7D47">
      <w:pPr>
        <w:spacing w:line="276" w:lineRule="auto"/>
        <w:jc w:val="both"/>
        <w:rPr>
          <w:rFonts w:ascii="Arial" w:eastAsia="Calibri" w:hAnsi="Arial" w:cs="Arial"/>
          <w:color w:val="000000"/>
          <w:sz w:val="22"/>
          <w:szCs w:val="22"/>
          <w:lang w:val="es-ES" w:eastAsia="en-US"/>
        </w:rPr>
      </w:pPr>
      <w:r w:rsidRPr="00B00C57">
        <w:rPr>
          <w:rFonts w:ascii="Arial" w:hAnsi="Arial" w:cs="Arial"/>
          <w:b/>
          <w:bCs/>
          <w:iCs/>
          <w:color w:val="000000" w:themeColor="text1"/>
          <w:sz w:val="22"/>
          <w:lang w:val="es-ES_tradnl"/>
        </w:rPr>
        <w:lastRenderedPageBreak/>
        <w:t>2.</w:t>
      </w:r>
      <w:r>
        <w:rPr>
          <w:rFonts w:ascii="Arial" w:hAnsi="Arial" w:cs="Arial"/>
          <w:b/>
          <w:bCs/>
          <w:iCs/>
          <w:color w:val="000000" w:themeColor="text1"/>
          <w:sz w:val="22"/>
          <w:lang w:val="es-ES_tradnl"/>
        </w:rPr>
        <w:t>5</w:t>
      </w:r>
      <w:r w:rsidRPr="00B00C57">
        <w:rPr>
          <w:rFonts w:ascii="Arial" w:hAnsi="Arial" w:cs="Arial"/>
          <w:b/>
          <w:bCs/>
          <w:iCs/>
          <w:color w:val="000000" w:themeColor="text1"/>
          <w:sz w:val="22"/>
          <w:lang w:val="es-ES_tradnl"/>
        </w:rPr>
        <w:t>. Deber de las entidades estatales de publicar los documentos relacionados con su actividad contractual en el SECOP</w:t>
      </w:r>
      <w:r>
        <w:rPr>
          <w:rFonts w:ascii="Arial" w:eastAsia="Calibri" w:hAnsi="Arial" w:cs="Arial"/>
          <w:color w:val="000000"/>
          <w:sz w:val="22"/>
          <w:szCs w:val="22"/>
          <w:lang w:val="es-ES" w:eastAsia="en-US"/>
        </w:rPr>
        <w:t xml:space="preserve"> </w:t>
      </w:r>
    </w:p>
    <w:p w14:paraId="4D789551" w14:textId="77777777" w:rsidR="0020112B" w:rsidRPr="0020112B" w:rsidRDefault="0020112B" w:rsidP="007F7D47">
      <w:pPr>
        <w:spacing w:line="276" w:lineRule="auto"/>
        <w:jc w:val="both"/>
        <w:rPr>
          <w:rFonts w:ascii="Arial" w:eastAsia="Calibri" w:hAnsi="Arial" w:cs="Arial"/>
          <w:color w:val="000000"/>
          <w:sz w:val="22"/>
          <w:szCs w:val="22"/>
          <w:lang w:val="es-ES" w:eastAsia="en-US"/>
        </w:rPr>
      </w:pPr>
    </w:p>
    <w:p w14:paraId="01771C7F" w14:textId="77777777" w:rsidR="001E6679" w:rsidRDefault="00F66CBD" w:rsidP="00AB0518">
      <w:pPr>
        <w:spacing w:after="120" w:line="276" w:lineRule="auto"/>
        <w:jc w:val="both"/>
        <w:rPr>
          <w:rFonts w:ascii="Arial" w:hAnsi="Arial" w:cs="Arial"/>
          <w:sz w:val="22"/>
          <w:lang w:val="es-ES_tradnl"/>
        </w:rPr>
      </w:pPr>
      <w:r w:rsidRPr="00F66CBD">
        <w:rPr>
          <w:rFonts w:ascii="Arial" w:eastAsia="Calibri" w:hAnsi="Arial" w:cs="Arial"/>
          <w:sz w:val="22"/>
          <w:lang w:val="es-ES"/>
        </w:rPr>
        <w:t>La Agencia Nacional de Contratación Pública – Colombia Compra Eficiente</w:t>
      </w:r>
      <w:r>
        <w:rPr>
          <w:rFonts w:ascii="Arial" w:eastAsia="Calibri" w:hAnsi="Arial" w:cs="Arial"/>
          <w:sz w:val="22"/>
          <w:lang w:val="es-ES"/>
        </w:rPr>
        <w:t xml:space="preserve"> </w:t>
      </w:r>
      <w:r>
        <w:rPr>
          <w:rFonts w:ascii="Arial" w:hAnsi="Arial" w:cs="Arial"/>
          <w:sz w:val="22"/>
        </w:rPr>
        <w:t xml:space="preserve">se ha pronunciado en múltiples ocasiones sobre los principios de publicidad y de acceso a la información pública en la contratación estatal, y sobre </w:t>
      </w:r>
      <w:r w:rsidRPr="004E4309">
        <w:rPr>
          <w:rFonts w:ascii="Arial" w:eastAsia="Calibri" w:hAnsi="Arial" w:cs="Arial"/>
          <w:sz w:val="22"/>
          <w:lang w:val="es-ES"/>
        </w:rPr>
        <w:t>l</w:t>
      </w:r>
      <w:r>
        <w:rPr>
          <w:rFonts w:ascii="Arial" w:eastAsia="Calibri" w:hAnsi="Arial" w:cs="Arial"/>
          <w:sz w:val="22"/>
          <w:lang w:val="es-ES"/>
        </w:rPr>
        <w:t>os fundamentos normativos del deber de publicar</w:t>
      </w:r>
      <w:r w:rsidRPr="004E4309">
        <w:rPr>
          <w:rFonts w:ascii="Arial" w:eastAsia="Calibri" w:hAnsi="Arial" w:cs="Arial"/>
          <w:sz w:val="22"/>
          <w:lang w:val="es-ES"/>
        </w:rPr>
        <w:t xml:space="preserve"> </w:t>
      </w:r>
      <w:r>
        <w:rPr>
          <w:rFonts w:ascii="Arial" w:eastAsia="Calibri" w:hAnsi="Arial" w:cs="Arial"/>
          <w:sz w:val="22"/>
          <w:lang w:val="es-ES"/>
        </w:rPr>
        <w:t xml:space="preserve">la </w:t>
      </w:r>
      <w:r w:rsidRPr="004E4309">
        <w:rPr>
          <w:rFonts w:ascii="Arial" w:eastAsia="Calibri" w:hAnsi="Arial" w:cs="Arial"/>
          <w:sz w:val="22"/>
          <w:lang w:val="es-ES"/>
        </w:rPr>
        <w:t>documentación contractual en las plataformas SECOP I y SECOP II</w:t>
      </w:r>
      <w:r>
        <w:rPr>
          <w:rFonts w:ascii="Arial" w:eastAsia="Calibri" w:hAnsi="Arial" w:cs="Arial"/>
          <w:sz w:val="22"/>
          <w:lang w:val="es-ES"/>
        </w:rPr>
        <w:t xml:space="preserve">. Así lo analizó en el concepto </w:t>
      </w:r>
      <w:r>
        <w:rPr>
          <w:rFonts w:ascii="Arial" w:hAnsi="Arial" w:cs="Arial"/>
          <w:sz w:val="22"/>
        </w:rPr>
        <w:t xml:space="preserve">CU-367 del 23 de julio de 2020, reiterado en los conceptos: </w:t>
      </w:r>
      <w:r w:rsidRPr="00E73877">
        <w:rPr>
          <w:rFonts w:ascii="Arial" w:hAnsi="Arial" w:cs="Arial"/>
          <w:sz w:val="22"/>
        </w:rPr>
        <w:t>C−433 de 2</w:t>
      </w:r>
      <w:r>
        <w:rPr>
          <w:rFonts w:ascii="Arial" w:hAnsi="Arial" w:cs="Arial"/>
          <w:sz w:val="22"/>
        </w:rPr>
        <w:t xml:space="preserve">4 de julio de </w:t>
      </w:r>
      <w:r w:rsidRPr="00E73877">
        <w:rPr>
          <w:rFonts w:ascii="Arial" w:hAnsi="Arial" w:cs="Arial"/>
          <w:sz w:val="22"/>
        </w:rPr>
        <w:t>2020, C−468 del 24</w:t>
      </w:r>
      <w:r>
        <w:rPr>
          <w:rFonts w:ascii="Arial" w:hAnsi="Arial" w:cs="Arial"/>
          <w:sz w:val="22"/>
        </w:rPr>
        <w:t xml:space="preserve"> de julio de </w:t>
      </w:r>
      <w:r w:rsidRPr="00E73877">
        <w:rPr>
          <w:rFonts w:ascii="Arial" w:hAnsi="Arial" w:cs="Arial"/>
          <w:sz w:val="22"/>
        </w:rPr>
        <w:t>2020, C−474 de 24</w:t>
      </w:r>
      <w:r>
        <w:rPr>
          <w:rFonts w:ascii="Arial" w:hAnsi="Arial" w:cs="Arial"/>
          <w:sz w:val="22"/>
        </w:rPr>
        <w:t xml:space="preserve"> de julio de </w:t>
      </w:r>
      <w:r w:rsidRPr="00E73877">
        <w:rPr>
          <w:rFonts w:ascii="Arial" w:hAnsi="Arial" w:cs="Arial"/>
          <w:sz w:val="22"/>
        </w:rPr>
        <w:t>2020, C−488 del 28</w:t>
      </w:r>
      <w:r>
        <w:rPr>
          <w:rFonts w:ascii="Arial" w:hAnsi="Arial" w:cs="Arial"/>
          <w:sz w:val="22"/>
        </w:rPr>
        <w:t xml:space="preserve"> de julio de </w:t>
      </w:r>
      <w:r w:rsidRPr="00E73877">
        <w:rPr>
          <w:rFonts w:ascii="Arial" w:hAnsi="Arial" w:cs="Arial"/>
          <w:sz w:val="22"/>
        </w:rPr>
        <w:t>2020, C−544 del 21</w:t>
      </w:r>
      <w:r>
        <w:rPr>
          <w:rFonts w:ascii="Arial" w:hAnsi="Arial" w:cs="Arial"/>
          <w:sz w:val="22"/>
        </w:rPr>
        <w:t xml:space="preserve"> de agosto de </w:t>
      </w:r>
      <w:r w:rsidRPr="00E73877">
        <w:rPr>
          <w:rFonts w:ascii="Arial" w:hAnsi="Arial" w:cs="Arial"/>
          <w:sz w:val="22"/>
        </w:rPr>
        <w:t>2020, C−575 del 27</w:t>
      </w:r>
      <w:r>
        <w:rPr>
          <w:rFonts w:ascii="Arial" w:hAnsi="Arial" w:cs="Arial"/>
          <w:sz w:val="22"/>
        </w:rPr>
        <w:t xml:space="preserve"> de agosto de </w:t>
      </w:r>
      <w:r w:rsidRPr="00E73877">
        <w:rPr>
          <w:rFonts w:ascii="Arial" w:hAnsi="Arial" w:cs="Arial"/>
          <w:sz w:val="22"/>
        </w:rPr>
        <w:t>2020, C−643 del 26</w:t>
      </w:r>
      <w:r>
        <w:rPr>
          <w:rFonts w:ascii="Arial" w:hAnsi="Arial" w:cs="Arial"/>
          <w:sz w:val="22"/>
        </w:rPr>
        <w:t xml:space="preserve"> de octubre de </w:t>
      </w:r>
      <w:r w:rsidRPr="00E73877">
        <w:rPr>
          <w:rFonts w:ascii="Arial" w:hAnsi="Arial" w:cs="Arial"/>
          <w:sz w:val="22"/>
        </w:rPr>
        <w:t>2020, C−661 del 17</w:t>
      </w:r>
      <w:r>
        <w:rPr>
          <w:rFonts w:ascii="Arial" w:hAnsi="Arial" w:cs="Arial"/>
          <w:sz w:val="22"/>
        </w:rPr>
        <w:t xml:space="preserve"> de noviembre de </w:t>
      </w:r>
      <w:r w:rsidRPr="00E73877">
        <w:rPr>
          <w:rFonts w:ascii="Arial" w:hAnsi="Arial" w:cs="Arial"/>
          <w:sz w:val="22"/>
        </w:rPr>
        <w:t>2020, C-094 del 13</w:t>
      </w:r>
      <w:r>
        <w:rPr>
          <w:rFonts w:ascii="Arial" w:hAnsi="Arial" w:cs="Arial"/>
          <w:sz w:val="22"/>
        </w:rPr>
        <w:t xml:space="preserve"> de abril de </w:t>
      </w:r>
      <w:r w:rsidRPr="00E73877">
        <w:rPr>
          <w:rFonts w:ascii="Arial" w:hAnsi="Arial" w:cs="Arial"/>
          <w:sz w:val="22"/>
        </w:rPr>
        <w:t>2021, C−068 del 22</w:t>
      </w:r>
      <w:r>
        <w:rPr>
          <w:rFonts w:ascii="Arial" w:hAnsi="Arial" w:cs="Arial"/>
          <w:sz w:val="22"/>
        </w:rPr>
        <w:t xml:space="preserve"> de abril de </w:t>
      </w:r>
      <w:r w:rsidRPr="00E73877">
        <w:rPr>
          <w:rFonts w:ascii="Arial" w:hAnsi="Arial" w:cs="Arial"/>
          <w:sz w:val="22"/>
        </w:rPr>
        <w:t>2021, C-185 del 29</w:t>
      </w:r>
      <w:r>
        <w:rPr>
          <w:rFonts w:ascii="Arial" w:hAnsi="Arial" w:cs="Arial"/>
          <w:sz w:val="22"/>
        </w:rPr>
        <w:t xml:space="preserve"> de abril de 2</w:t>
      </w:r>
      <w:r w:rsidRPr="00E73877">
        <w:rPr>
          <w:rFonts w:ascii="Arial" w:hAnsi="Arial" w:cs="Arial"/>
          <w:sz w:val="22"/>
        </w:rPr>
        <w:t>021</w:t>
      </w:r>
      <w:r>
        <w:rPr>
          <w:rFonts w:ascii="Arial" w:hAnsi="Arial" w:cs="Arial"/>
          <w:sz w:val="22"/>
        </w:rPr>
        <w:t xml:space="preserve"> y C-472 del 6 de septiembre de 2021</w:t>
      </w:r>
      <w:r w:rsidRPr="00B00C57">
        <w:rPr>
          <w:rFonts w:ascii="Arial" w:hAnsi="Arial" w:cs="Arial"/>
          <w:sz w:val="22"/>
          <w:lang w:val="es-ES_tradnl"/>
        </w:rPr>
        <w:t>.</w:t>
      </w:r>
      <w:r>
        <w:rPr>
          <w:rFonts w:ascii="Arial" w:hAnsi="Arial" w:cs="Arial"/>
          <w:sz w:val="22"/>
          <w:lang w:val="es-ES_tradnl"/>
        </w:rPr>
        <w:t xml:space="preserve"> De igual manera, recientemente se pronunció sobre la interpretación del artículo 53 de la Ley 2195 de 2022, en los conceptos C-049 del 7 de marzo de 2022, C-120 del 22 de marzo de 2022 y 132 de 28 de marzo de 2022.</w:t>
      </w:r>
      <w:r w:rsidR="001E6679">
        <w:rPr>
          <w:rFonts w:ascii="Arial" w:hAnsi="Arial" w:cs="Arial"/>
          <w:sz w:val="22"/>
          <w:lang w:val="es-ES_tradnl"/>
        </w:rPr>
        <w:t xml:space="preserve"> Las tesis se </w:t>
      </w:r>
      <w:proofErr w:type="spellStart"/>
      <w:r w:rsidR="001E6679">
        <w:rPr>
          <w:rFonts w:ascii="Arial" w:hAnsi="Arial" w:cs="Arial"/>
          <w:sz w:val="22"/>
          <w:lang w:val="es-ES_tradnl"/>
        </w:rPr>
        <w:t>reiterán</w:t>
      </w:r>
      <w:proofErr w:type="spellEnd"/>
      <w:r w:rsidR="001E6679">
        <w:rPr>
          <w:rFonts w:ascii="Arial" w:hAnsi="Arial" w:cs="Arial"/>
          <w:sz w:val="22"/>
          <w:lang w:val="es-ES_tradnl"/>
        </w:rPr>
        <w:t xml:space="preserve"> en lo pertinente. </w:t>
      </w:r>
    </w:p>
    <w:p w14:paraId="536106F4" w14:textId="069ECFCD" w:rsidR="00F66CBD" w:rsidRPr="00F66CBD" w:rsidRDefault="001E6679" w:rsidP="001E6679">
      <w:pPr>
        <w:spacing w:after="120" w:line="276" w:lineRule="auto"/>
        <w:ind w:firstLine="708"/>
        <w:jc w:val="both"/>
        <w:rPr>
          <w:rFonts w:ascii="Arial" w:eastAsia="Calibri" w:hAnsi="Arial" w:cs="Arial"/>
          <w:sz w:val="22"/>
          <w:lang w:val="es-ES"/>
        </w:rPr>
      </w:pPr>
      <w:r>
        <w:rPr>
          <w:rFonts w:ascii="Arial" w:hAnsi="Arial" w:cs="Arial"/>
          <w:sz w:val="22"/>
          <w:lang w:val="es-ES_tradnl"/>
        </w:rPr>
        <w:t>Esta Agencia</w:t>
      </w:r>
      <w:r w:rsidR="00F66CBD" w:rsidRPr="00F66CBD">
        <w:rPr>
          <w:rFonts w:ascii="Arial" w:eastAsia="Calibri" w:hAnsi="Arial" w:cs="Arial"/>
          <w:sz w:val="22"/>
          <w:lang w:val="es-ES"/>
        </w:rPr>
        <w:t xml:space="preserve"> tiene como función  administrar el SECOP</w:t>
      </w:r>
      <w:r w:rsidR="00F66CBD" w:rsidRPr="00F66CBD">
        <w:rPr>
          <w:rFonts w:ascii="Arial" w:eastAsia="Calibri" w:hAnsi="Arial" w:cs="Arial"/>
          <w:sz w:val="22"/>
          <w:vertAlign w:val="superscript"/>
          <w:lang w:val="es-ES"/>
        </w:rPr>
        <w:footnoteReference w:id="15"/>
      </w:r>
      <w:r w:rsidR="00F66CBD" w:rsidRPr="00F66CBD">
        <w:rPr>
          <w:rFonts w:ascii="Arial" w:eastAsia="Calibri" w:hAnsi="Arial" w:cs="Arial"/>
          <w:sz w:val="22"/>
          <w:lang w:val="es-ES"/>
        </w:rPr>
        <w:t>, por lo cual se desarrolló la primera versión  de 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4C549FD2" w14:textId="77777777" w:rsidR="00F66CBD" w:rsidRPr="00F66CBD" w:rsidRDefault="00F66CBD" w:rsidP="00F66CBD">
      <w:pPr>
        <w:spacing w:before="120" w:after="120" w:line="276" w:lineRule="auto"/>
        <w:ind w:firstLine="708"/>
        <w:jc w:val="both"/>
        <w:rPr>
          <w:rFonts w:ascii="Arial" w:eastAsia="Calibri" w:hAnsi="Arial" w:cs="Arial"/>
          <w:sz w:val="22"/>
          <w:lang w:val="es-ES"/>
        </w:rPr>
      </w:pPr>
      <w:r w:rsidRPr="00F66CBD">
        <w:rPr>
          <w:rFonts w:ascii="Arial" w:eastAsia="Calibri" w:hAnsi="Arial" w:cs="Arial"/>
          <w:sz w:val="22"/>
          <w:lang w:val="es-ES"/>
        </w:rPr>
        <w:t xml:space="preserve">El SECOP II es una plataforma </w:t>
      </w:r>
      <w:r w:rsidRPr="00F66CBD">
        <w:rPr>
          <w:rFonts w:ascii="Arial" w:eastAsia="Calibri" w:hAnsi="Arial" w:cs="Arial"/>
          <w:i/>
          <w:iCs/>
          <w:sz w:val="22"/>
          <w:lang w:val="es-ES"/>
        </w:rPr>
        <w:t>transaccional</w:t>
      </w:r>
      <w:r w:rsidRPr="00F66CBD">
        <w:rPr>
          <w:rFonts w:ascii="Arial" w:eastAsia="Calibri" w:hAnsi="Arial" w:cs="Arial"/>
          <w:sz w:val="22"/>
          <w:lang w:val="es-ES"/>
        </w:rPr>
        <w:t>,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1A8C9DBC" w14:textId="77777777" w:rsidR="00F66CBD" w:rsidRPr="00F66CBD" w:rsidRDefault="00F66CBD" w:rsidP="00F66CBD">
      <w:pPr>
        <w:spacing w:line="276" w:lineRule="auto"/>
        <w:ind w:firstLine="708"/>
        <w:jc w:val="both"/>
        <w:rPr>
          <w:rFonts w:ascii="Arial" w:eastAsia="Calibri" w:hAnsi="Arial" w:cs="Arial"/>
          <w:sz w:val="22"/>
          <w:lang w:val="es-ES"/>
        </w:rPr>
      </w:pPr>
      <w:r w:rsidRPr="00F66CBD">
        <w:rPr>
          <w:rFonts w:ascii="Arial" w:eastAsia="Calibri" w:hAnsi="Arial" w:cs="Arial"/>
          <w:sz w:val="22"/>
          <w:lang w:val="es-ES"/>
        </w:rPr>
        <w:t xml:space="preserve">Sobre la utilización de SECOP II, es necesario aclarar que el procedimiento contractual se desarrolla en línea y dentro de la plataforma, conformándose un expediente electrónico, lo cual denota una diferencia con el SECOP I, donde el procedimiento es </w:t>
      </w:r>
      <w:r w:rsidRPr="00F66CBD">
        <w:rPr>
          <w:rFonts w:ascii="Arial" w:eastAsia="Calibri" w:hAnsi="Arial" w:cs="Arial"/>
          <w:sz w:val="22"/>
          <w:lang w:val="es-ES"/>
        </w:rPr>
        <w:lastRenderedPageBreak/>
        <w:t xml:space="preserve">físico, esto es, con documentos escritos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 </w:t>
      </w:r>
    </w:p>
    <w:p w14:paraId="1F8C01E0" w14:textId="450271E1" w:rsidR="00F66CBD" w:rsidRPr="00F66CBD" w:rsidRDefault="00F66CBD" w:rsidP="00F66CBD">
      <w:pPr>
        <w:spacing w:before="120" w:after="120" w:line="276" w:lineRule="auto"/>
        <w:ind w:firstLine="709"/>
        <w:jc w:val="both"/>
        <w:rPr>
          <w:rFonts w:ascii="Arial" w:eastAsia="Calibri" w:hAnsi="Arial" w:cs="Arial"/>
          <w:sz w:val="22"/>
          <w:lang w:val="es-ES"/>
        </w:rPr>
      </w:pPr>
      <w:r w:rsidRPr="00F66CBD">
        <w:rPr>
          <w:rFonts w:ascii="Arial" w:eastAsia="Calibri" w:hAnsi="Arial" w:cs="Arial"/>
          <w:sz w:val="22"/>
          <w:lang w:val="es-ES"/>
        </w:rPr>
        <w:t>Si bien los documentos</w:t>
      </w:r>
      <w:r w:rsidRPr="00F66CBD">
        <w:rPr>
          <w:rFonts w:ascii="Arial" w:eastAsia="Calibri" w:hAnsi="Arial" w:cs="Arial"/>
          <w:i/>
          <w:iCs/>
          <w:sz w:val="22"/>
          <w:lang w:val="es-ES"/>
        </w:rPr>
        <w:t xml:space="preserve"> </w:t>
      </w:r>
      <w:r w:rsidRPr="00F66CBD">
        <w:rPr>
          <w:rFonts w:ascii="Arial" w:eastAsia="Calibri" w:hAnsi="Arial" w:cs="Arial"/>
          <w:sz w:val="22"/>
          <w:lang w:val="es-ES"/>
        </w:rPr>
        <w:t xml:space="preserve">que deben publicarse en el SECOP II corresponden a los mismos que deben publicarse en el SECOP I, esto es, todos los expedidos con ocasión el </w:t>
      </w:r>
      <w:r w:rsidRPr="00F66CBD">
        <w:rPr>
          <w:rFonts w:ascii="Arial" w:eastAsia="Calibri" w:hAnsi="Arial" w:cs="Arial"/>
          <w:i/>
          <w:iCs/>
          <w:sz w:val="22"/>
          <w:lang w:val="es-ES"/>
        </w:rPr>
        <w:t xml:space="preserve">Proceso de Contratación </w:t>
      </w:r>
      <w:r w:rsidRPr="00F66CBD">
        <w:rPr>
          <w:rFonts w:ascii="Arial" w:eastAsia="Calibri" w:hAnsi="Arial" w:cs="Arial"/>
          <w:sz w:val="22"/>
          <w:lang w:val="es-ES"/>
        </w:rPr>
        <w:t xml:space="preserve">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w:t>
      </w:r>
      <w:r w:rsidR="00553DE0">
        <w:rPr>
          <w:rFonts w:ascii="Arial" w:eastAsia="Calibri" w:hAnsi="Arial" w:cs="Arial"/>
          <w:sz w:val="22"/>
          <w:lang w:val="es-ES"/>
        </w:rPr>
        <w:t xml:space="preserve">máximo </w:t>
      </w:r>
      <w:r w:rsidRPr="00F66CBD">
        <w:rPr>
          <w:rFonts w:ascii="Arial" w:eastAsia="Calibri" w:hAnsi="Arial" w:cs="Arial"/>
          <w:sz w:val="22"/>
          <w:lang w:val="es-ES"/>
        </w:rPr>
        <w:t xml:space="preserve">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5930BA47" w14:textId="51437A99" w:rsidR="00F66CBD" w:rsidRPr="00F66CBD" w:rsidRDefault="00F66CBD" w:rsidP="00F66CBD">
      <w:pPr>
        <w:spacing w:line="276" w:lineRule="auto"/>
        <w:ind w:firstLine="708"/>
        <w:jc w:val="both"/>
        <w:rPr>
          <w:rFonts w:ascii="Arial" w:eastAsia="Calibri" w:hAnsi="Arial" w:cs="Arial"/>
          <w:sz w:val="22"/>
          <w:lang w:val="es-ES"/>
        </w:rPr>
      </w:pPr>
      <w:bookmarkStart w:id="26" w:name="_Hlk46402307"/>
      <w:r w:rsidRPr="00F66CBD">
        <w:rPr>
          <w:rFonts w:ascii="Arial" w:eastAsia="Calibri" w:hAnsi="Arial" w:cs="Arial"/>
          <w:sz w:val="22"/>
          <w:lang w:val="es-ES"/>
        </w:rPr>
        <w:t xml:space="preserve">En ese orden, el carácter transaccional de SECOP II, como herramienta que permite no solo publicar sino también gestionar y crear </w:t>
      </w:r>
      <w:r w:rsidRPr="00F66CBD">
        <w:rPr>
          <w:rFonts w:ascii="Arial" w:eastAsia="Calibri" w:hAnsi="Arial" w:cs="Arial"/>
          <w:i/>
          <w:iCs/>
          <w:sz w:val="22"/>
          <w:lang w:val="es-ES"/>
        </w:rPr>
        <w:t xml:space="preserve">Documentos del Proceso, </w:t>
      </w:r>
      <w:r w:rsidRPr="00F66CBD">
        <w:rPr>
          <w:rFonts w:ascii="Arial" w:eastAsia="Calibri" w:hAnsi="Arial" w:cs="Arial"/>
          <w:sz w:val="22"/>
          <w:lang w:val="es-ES"/>
        </w:rPr>
        <w:t xml:space="preserve">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w:t>
      </w:r>
      <w:bookmarkEnd w:id="26"/>
    </w:p>
    <w:p w14:paraId="2C430DC3" w14:textId="77B785B2" w:rsidR="0081103C" w:rsidRPr="0081103C" w:rsidRDefault="0081103C" w:rsidP="0081103C">
      <w:pPr>
        <w:spacing w:before="240" w:line="276" w:lineRule="auto"/>
        <w:ind w:right="49"/>
        <w:jc w:val="both"/>
        <w:rPr>
          <w:rFonts w:ascii="Arial" w:eastAsia="Calibri" w:hAnsi="Arial" w:cs="Arial"/>
          <w:sz w:val="22"/>
          <w:szCs w:val="22"/>
          <w:lang w:val="es-ES"/>
        </w:rPr>
      </w:pPr>
      <w:r w:rsidRPr="0081103C">
        <w:rPr>
          <w:rFonts w:ascii="Arial" w:eastAsia="Calibri" w:hAnsi="Arial" w:cs="Arial"/>
          <w:b/>
          <w:bCs/>
          <w:sz w:val="22"/>
          <w:szCs w:val="22"/>
          <w:lang w:val="es-ES_tradnl" w:eastAsia="en-US"/>
        </w:rPr>
        <w:t>2.</w:t>
      </w:r>
      <w:r>
        <w:rPr>
          <w:rFonts w:ascii="Arial" w:eastAsia="Calibri" w:hAnsi="Arial" w:cs="Arial"/>
          <w:b/>
          <w:bCs/>
          <w:sz w:val="22"/>
          <w:szCs w:val="22"/>
          <w:lang w:val="es-ES_tradnl" w:eastAsia="en-US"/>
        </w:rPr>
        <w:t>6</w:t>
      </w:r>
      <w:r w:rsidRPr="0081103C">
        <w:rPr>
          <w:rFonts w:ascii="Arial" w:eastAsia="Calibri" w:hAnsi="Arial" w:cs="Arial"/>
          <w:b/>
          <w:bCs/>
          <w:sz w:val="22"/>
          <w:szCs w:val="22"/>
          <w:lang w:val="es-ES_tradnl" w:eastAsia="en-US"/>
        </w:rPr>
        <w:t xml:space="preserve">. Responsables de la actividad contractual </w:t>
      </w:r>
    </w:p>
    <w:p w14:paraId="2373BCCF" w14:textId="77777777" w:rsidR="0081103C" w:rsidRPr="0081103C" w:rsidRDefault="0081103C" w:rsidP="0081103C">
      <w:pPr>
        <w:tabs>
          <w:tab w:val="left" w:pos="709"/>
        </w:tabs>
        <w:spacing w:line="276" w:lineRule="auto"/>
        <w:jc w:val="both"/>
        <w:rPr>
          <w:rFonts w:ascii="Arial" w:eastAsiaTheme="minorHAnsi" w:hAnsi="Arial" w:cs="Arial"/>
          <w:sz w:val="22"/>
          <w:szCs w:val="22"/>
          <w:lang w:val="es-ES_tradnl" w:eastAsia="en-US"/>
        </w:rPr>
      </w:pPr>
    </w:p>
    <w:p w14:paraId="2A1F0D8E" w14:textId="3F0915BE" w:rsidR="0081103C" w:rsidRPr="0081103C" w:rsidRDefault="0081103C" w:rsidP="0081103C">
      <w:pPr>
        <w:spacing w:after="120" w:line="276" w:lineRule="auto"/>
        <w:jc w:val="both"/>
        <w:rPr>
          <w:rFonts w:ascii="Arial" w:eastAsia="Calibri" w:hAnsi="Arial" w:cs="Arial"/>
          <w:color w:val="000000" w:themeColor="text1"/>
          <w:sz w:val="22"/>
          <w:szCs w:val="22"/>
          <w:lang w:val="es-MX" w:eastAsia="en-US"/>
        </w:rPr>
      </w:pPr>
      <w:r w:rsidRPr="0081103C">
        <w:rPr>
          <w:rFonts w:ascii="Arial" w:eastAsia="Calibri" w:hAnsi="Arial" w:cs="Arial"/>
          <w:color w:val="000000" w:themeColor="text1"/>
          <w:sz w:val="22"/>
          <w:szCs w:val="22"/>
          <w:lang w:val="es-ES_tradnl" w:eastAsia="en-US"/>
        </w:rPr>
        <w:t>Esta Agencia se pronunció sobre los servidores responsables al interior de la entidad estatal, en relación con la actividad contractual, en el concepto 4201913000006371 de 31 de octubre de 2019. Igualmente, se analizó la delegación y desconcentración en la actividad contractual en los conceptos C-448 de 28 de julio de 2020</w:t>
      </w:r>
      <w:r>
        <w:rPr>
          <w:rFonts w:ascii="Arial" w:eastAsia="Calibri" w:hAnsi="Arial" w:cs="Arial"/>
          <w:color w:val="000000" w:themeColor="text1"/>
          <w:sz w:val="22"/>
          <w:szCs w:val="22"/>
          <w:lang w:val="es-ES_tradnl" w:eastAsia="en-US"/>
        </w:rPr>
        <w:t>,</w:t>
      </w:r>
      <w:r w:rsidRPr="0081103C">
        <w:rPr>
          <w:rFonts w:ascii="Arial" w:eastAsia="Calibri" w:hAnsi="Arial" w:cs="Arial"/>
          <w:color w:val="000000" w:themeColor="text1"/>
          <w:sz w:val="22"/>
          <w:szCs w:val="22"/>
          <w:lang w:val="es-ES_tradnl" w:eastAsia="en-US"/>
        </w:rPr>
        <w:t xml:space="preserve"> C-268 de 21 de abril de 2020</w:t>
      </w:r>
      <w:r>
        <w:rPr>
          <w:rFonts w:ascii="Arial" w:eastAsia="Calibri" w:hAnsi="Arial" w:cs="Arial"/>
          <w:color w:val="000000" w:themeColor="text1"/>
          <w:sz w:val="22"/>
          <w:szCs w:val="22"/>
          <w:lang w:val="es-ES_tradnl" w:eastAsia="en-US"/>
        </w:rPr>
        <w:t xml:space="preserve"> y C-603 de 2 de noviembre de 2021</w:t>
      </w:r>
      <w:r w:rsidRPr="0081103C">
        <w:rPr>
          <w:rFonts w:ascii="Arial" w:eastAsia="Calibri" w:hAnsi="Arial" w:cs="Arial"/>
          <w:color w:val="000000" w:themeColor="text1"/>
          <w:sz w:val="22"/>
          <w:szCs w:val="22"/>
          <w:lang w:val="es-ES_tradnl" w:eastAsia="en-US"/>
        </w:rPr>
        <w:t>.</w:t>
      </w:r>
      <w:r w:rsidRPr="0081103C">
        <w:rPr>
          <w:rFonts w:ascii="Arial" w:eastAsia="Calibri" w:hAnsi="Arial" w:cs="Arial"/>
          <w:color w:val="000000" w:themeColor="text1"/>
          <w:sz w:val="22"/>
          <w:szCs w:val="22"/>
          <w:lang w:val="es-MX" w:eastAsia="en-US"/>
        </w:rPr>
        <w:t xml:space="preserve"> Las tesis propuestas, en lo pertinente, se reiteran a continuación y se complementan en lo que corresponde.</w:t>
      </w:r>
    </w:p>
    <w:p w14:paraId="0457D333" w14:textId="6B14FD04" w:rsidR="0081103C" w:rsidRPr="0081103C" w:rsidRDefault="0081103C" w:rsidP="0081103C">
      <w:pPr>
        <w:spacing w:after="120" w:line="276" w:lineRule="auto"/>
        <w:ind w:firstLine="709"/>
        <w:jc w:val="both"/>
        <w:rPr>
          <w:rFonts w:ascii="Arial" w:eastAsia="Calibri" w:hAnsi="Arial" w:cs="Arial"/>
          <w:sz w:val="22"/>
          <w:szCs w:val="22"/>
          <w:lang w:val="es-MX" w:eastAsia="en-US"/>
        </w:rPr>
      </w:pPr>
      <w:r w:rsidRPr="0081103C">
        <w:rPr>
          <w:rFonts w:ascii="Arial" w:eastAsia="Calibri" w:hAnsi="Arial" w:cs="Arial"/>
          <w:sz w:val="22"/>
          <w:szCs w:val="22"/>
          <w:lang w:val="es-MX" w:eastAsia="en-US"/>
        </w:rPr>
        <w:t xml:space="preserve">El artículo 11 de la Ley 80 de 1993 define la competencia para dirigir procesos de selección y suscribir contratos, centralizándola en determinadas autoridades. Ahora bien, </w:t>
      </w:r>
      <w:r w:rsidRPr="0081103C">
        <w:rPr>
          <w:rFonts w:ascii="Arial" w:eastAsia="Calibri" w:hAnsi="Arial" w:cs="Arial"/>
          <w:sz w:val="22"/>
          <w:szCs w:val="22"/>
          <w:lang w:val="es-MX" w:eastAsia="en-US"/>
        </w:rPr>
        <w:lastRenderedPageBreak/>
        <w:t xml:space="preserve">de acuerdo con el </w:t>
      </w:r>
      <w:r w:rsidR="00D86E0F">
        <w:rPr>
          <w:rFonts w:ascii="Arial" w:eastAsia="Calibri" w:hAnsi="Arial" w:cs="Arial"/>
          <w:sz w:val="22"/>
          <w:szCs w:val="22"/>
          <w:lang w:val="es-MX" w:eastAsia="en-US"/>
        </w:rPr>
        <w:t>artículo 12 de</w:t>
      </w:r>
      <w:r w:rsidRPr="0081103C">
        <w:rPr>
          <w:rFonts w:ascii="Arial" w:eastAsia="Calibri" w:hAnsi="Arial" w:cs="Arial"/>
          <w:sz w:val="22"/>
          <w:szCs w:val="22"/>
          <w:lang w:val="es-MX" w:eastAsia="en-US"/>
        </w:rPr>
        <w:t xml:space="preserve"> la Ley 80 de 1993,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r w:rsidRPr="0081103C">
        <w:rPr>
          <w:rFonts w:ascii="Arial" w:eastAsia="Calibri" w:hAnsi="Arial" w:cs="Arial"/>
          <w:bCs/>
          <w:color w:val="000000" w:themeColor="text1"/>
          <w:sz w:val="21"/>
          <w:szCs w:val="21"/>
          <w:lang w:val="es-ES_tradnl" w:eastAsia="en-US"/>
        </w:rPr>
        <w:t>»</w:t>
      </w:r>
      <w:r w:rsidRPr="0081103C">
        <w:rPr>
          <w:rFonts w:ascii="Arial" w:eastAsia="Calibri" w:hAnsi="Arial" w:cs="Arial"/>
          <w:sz w:val="22"/>
          <w:szCs w:val="22"/>
          <w:lang w:val="es-MX" w:eastAsia="en-US"/>
        </w:rPr>
        <w:t xml:space="preserve">. </w:t>
      </w:r>
      <w:r w:rsidR="00D86E0F">
        <w:rPr>
          <w:rFonts w:ascii="Arial" w:eastAsia="Calibri" w:hAnsi="Arial" w:cs="Arial"/>
          <w:sz w:val="22"/>
          <w:szCs w:val="22"/>
          <w:lang w:val="es-MX" w:eastAsia="en-US"/>
        </w:rPr>
        <w:t>Además</w:t>
      </w:r>
      <w:r w:rsidRPr="0081103C">
        <w:rPr>
          <w:rFonts w:ascii="Arial" w:eastAsia="Calibri" w:hAnsi="Arial" w:cs="Arial"/>
          <w:sz w:val="22"/>
          <w:szCs w:val="22"/>
          <w:lang w:val="es-MX" w:eastAsia="en-US"/>
        </w:rPr>
        <w:t>, el artículo 25, en el numeral 9 de la misma Ley establece que «en los procesos de contratación intervendrán el jefe y las unidades asesoras y ejecutoras de la entidad que se señalen en las correspondientes normas sobre su organización y funcionamiento</w:t>
      </w:r>
      <w:r w:rsidRPr="0081103C">
        <w:rPr>
          <w:rFonts w:ascii="Arial" w:eastAsia="Calibri" w:hAnsi="Arial" w:cs="Arial"/>
          <w:bCs/>
          <w:color w:val="000000" w:themeColor="text1"/>
          <w:sz w:val="21"/>
          <w:szCs w:val="21"/>
          <w:lang w:val="es-ES_tradnl" w:eastAsia="en-US"/>
        </w:rPr>
        <w:t>»</w:t>
      </w:r>
      <w:r w:rsidRPr="0081103C">
        <w:rPr>
          <w:rFonts w:ascii="Arial" w:eastAsia="Calibri" w:hAnsi="Arial" w:cs="Arial"/>
          <w:sz w:val="22"/>
          <w:szCs w:val="22"/>
          <w:lang w:val="es-MX" w:eastAsia="en-US"/>
        </w:rPr>
        <w:t>.</w:t>
      </w:r>
    </w:p>
    <w:p w14:paraId="384DF5C0" w14:textId="3FC09758" w:rsidR="0081103C" w:rsidRPr="0081103C" w:rsidRDefault="0081103C" w:rsidP="0081103C">
      <w:pPr>
        <w:spacing w:after="120" w:line="276" w:lineRule="auto"/>
        <w:ind w:firstLine="709"/>
        <w:jc w:val="both"/>
        <w:rPr>
          <w:rFonts w:ascii="Arial" w:eastAsia="Calibri" w:hAnsi="Arial" w:cs="Arial"/>
          <w:sz w:val="22"/>
          <w:szCs w:val="22"/>
          <w:lang w:val="es-MX" w:eastAsia="en-US"/>
        </w:rPr>
      </w:pPr>
      <w:r w:rsidRPr="0081103C">
        <w:rPr>
          <w:rFonts w:ascii="Arial" w:eastAsia="Calibri" w:hAnsi="Arial" w:cs="Arial"/>
          <w:sz w:val="22"/>
          <w:szCs w:val="22"/>
          <w:lang w:val="es-MX" w:eastAsia="en-US"/>
        </w:rPr>
        <w:t xml:space="preserve">En este sentido, quienes tienen la competencia y son responsables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 En consecuencia, quien tiene la competencia y responsabilidad para tramitar, </w:t>
      </w:r>
      <w:r w:rsidR="00ED34C2">
        <w:rPr>
          <w:rFonts w:ascii="Arial" w:eastAsia="Calibri" w:hAnsi="Arial" w:cs="Arial"/>
          <w:sz w:val="22"/>
          <w:szCs w:val="22"/>
          <w:lang w:val="es-MX" w:eastAsia="en-US"/>
        </w:rPr>
        <w:t xml:space="preserve">adjudicar, </w:t>
      </w:r>
      <w:r w:rsidRPr="0081103C">
        <w:rPr>
          <w:rFonts w:ascii="Arial" w:eastAsia="Calibri" w:hAnsi="Arial" w:cs="Arial"/>
          <w:sz w:val="22"/>
          <w:szCs w:val="22"/>
          <w:lang w:val="es-MX" w:eastAsia="en-US"/>
        </w:rPr>
        <w:t>celebrar y liquidar un contrato, es el jefe o representante legal de la entidad, o quien este delegue. La Ley 80 de 1993, en el artículo 12, regula la delegación para contratar y, además, indica que es posible desconcentrar la realización de los procesos contractuales de las entidades, lo cual es función de los jefes o representantes legales de las entidades enunciadas en el artículo 2 de la Ley 80 de 1993, el cual define el concepto de entidad estatal para efectos de la misma norma, quienes pueden delegar esa función en los empleos públicos cuyo nivel jerárquico dentro de la entidad sea directivo, ejecutivo o equivalentes</w:t>
      </w:r>
      <w:r w:rsidRPr="0081103C">
        <w:rPr>
          <w:rFonts w:ascii="Arial" w:eastAsia="Calibri" w:hAnsi="Arial" w:cs="Arial"/>
          <w:sz w:val="22"/>
          <w:szCs w:val="22"/>
          <w:vertAlign w:val="superscript"/>
          <w:lang w:val="es-MX" w:eastAsia="en-US"/>
        </w:rPr>
        <w:footnoteReference w:id="16"/>
      </w:r>
      <w:r w:rsidRPr="0081103C">
        <w:rPr>
          <w:rFonts w:ascii="Arial" w:eastAsia="Calibri" w:hAnsi="Arial" w:cs="Arial"/>
          <w:sz w:val="22"/>
          <w:szCs w:val="22"/>
          <w:lang w:val="es-MX" w:eastAsia="en-US"/>
        </w:rPr>
        <w:t xml:space="preserve">. </w:t>
      </w:r>
    </w:p>
    <w:p w14:paraId="21D99B02" w14:textId="77777777" w:rsidR="0081103C" w:rsidRPr="0081103C" w:rsidRDefault="0081103C" w:rsidP="0081103C">
      <w:pPr>
        <w:spacing w:after="120" w:line="276" w:lineRule="auto"/>
        <w:ind w:firstLine="709"/>
        <w:jc w:val="both"/>
        <w:rPr>
          <w:rFonts w:ascii="Arial" w:eastAsia="Calibri" w:hAnsi="Arial" w:cs="Arial"/>
          <w:sz w:val="22"/>
          <w:szCs w:val="22"/>
          <w:lang w:val="es-MX" w:eastAsia="en-US"/>
        </w:rPr>
      </w:pPr>
      <w:r w:rsidRPr="0081103C">
        <w:rPr>
          <w:rFonts w:ascii="Arial" w:eastAsia="Calibri" w:hAnsi="Arial" w:cs="Arial"/>
          <w:sz w:val="22"/>
          <w:szCs w:val="22"/>
          <w:lang w:val="es-MX" w:eastAsia="en-US"/>
        </w:rPr>
        <w:lastRenderedPageBreak/>
        <w:t>Por ello, dado que, además de la actividad contractual, los representantes legales de las entidades cumplen con una multiplicidad de funciones diferentes, el ordenamiento jurídico dispone técnicas de organización administrativa que permiten el reparto de las tareas asignadas con miras a su cumplimiento eficaz y eficiente, razón por la cual, el artículo 209 de la Constitución Política dispone que la función administrativa se desarrolla mediante la descentralización, la delegación y la desconcentración de funciones.</w:t>
      </w:r>
    </w:p>
    <w:p w14:paraId="341C6C33" w14:textId="77777777" w:rsidR="0081103C" w:rsidRPr="0081103C" w:rsidRDefault="0081103C" w:rsidP="0081103C">
      <w:pPr>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MX" w:eastAsia="en-US"/>
        </w:rPr>
        <w:t xml:space="preserve">En cuanto a la delegación, se tiene que es </w:t>
      </w:r>
      <w:r w:rsidRPr="0081103C">
        <w:rPr>
          <w:rFonts w:ascii="Arial" w:eastAsia="Calibri" w:hAnsi="Arial" w:cs="Arial"/>
          <w:sz w:val="22"/>
          <w:szCs w:val="22"/>
          <w:lang w:val="es-ES_tradnl" w:eastAsia="en-US"/>
        </w:rPr>
        <w:t>una técnica organizacional que implica una actuación administrativa mediante la cual el titular de una función –delegante–, previa autorización expresa por parte del órgano que asignó originariamente la competencia, le otorga voluntaria y formalmente a una autoridad que ejerce un cargo subordinado –delegatario–, para que asuma una o varias de las atribuciones del primero</w:t>
      </w:r>
      <w:r w:rsidRPr="0081103C">
        <w:rPr>
          <w:rFonts w:ascii="Arial" w:eastAsia="Calibri" w:hAnsi="Arial" w:cs="Arial"/>
          <w:sz w:val="22"/>
          <w:szCs w:val="22"/>
          <w:vertAlign w:val="superscript"/>
          <w:lang w:val="es-ES_tradnl" w:eastAsia="en-US"/>
        </w:rPr>
        <w:footnoteReference w:id="17"/>
      </w:r>
      <w:r w:rsidRPr="0081103C">
        <w:rPr>
          <w:rFonts w:ascii="Arial" w:eastAsia="Calibri" w:hAnsi="Arial" w:cs="Arial"/>
          <w:sz w:val="22"/>
          <w:szCs w:val="22"/>
          <w:lang w:val="es-ES_tradnl" w:eastAsia="en-US"/>
        </w:rPr>
        <w:t xml:space="preserve">.  </w:t>
      </w:r>
    </w:p>
    <w:p w14:paraId="416FBD83" w14:textId="77777777" w:rsidR="0081103C" w:rsidRPr="0081103C" w:rsidRDefault="0081103C" w:rsidP="0081103C">
      <w:pPr>
        <w:spacing w:before="120" w:line="276" w:lineRule="auto"/>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ab/>
        <w:t xml:space="preserve">Como se observa, la facultad se limitó a la celebración de contratos, dejando dudas sobre la posibilidad de delegar la firma del acto de adjudicación; motivo por el cual, el artículo 37 del Decreto-Ley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    </w:t>
      </w:r>
    </w:p>
    <w:p w14:paraId="76C63463" w14:textId="77777777" w:rsidR="0081103C" w:rsidRPr="0081103C" w:rsidRDefault="0081103C" w:rsidP="0081103C">
      <w:pPr>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 xml:space="preserve">Así mismo,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 Además, se supedita a que no se confiera para expedir reglamentos –salvo excepciones legales–, subdelegar o transferir funciones que por su naturaleza o por mandato constitucional o legal son indelegables –art. 11–. Finalmente, los actos proferidos por el delegatario deben cumplir los mismos requisitos establecidos para su expedición por el delegante y procederán los recursos que serían susceptibles si los expidiera este, reiterando el régimen de responsabilidad y recuperación de la competencia previsto en el artículo 211 constitucional –art. 12–.  </w:t>
      </w:r>
    </w:p>
    <w:p w14:paraId="2CD4A616" w14:textId="77777777" w:rsidR="0081103C" w:rsidRPr="0081103C" w:rsidRDefault="0081103C" w:rsidP="0081103C">
      <w:pPr>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 xml:space="preserve">Sin embargo, la delegación en materia contractual es más estricta con la expedición de la Ley 1150 de 2007, pues esta ley adicionó el segundo inciso al artículo 12 de la Ley 80 de 1993 que dispuso: «En ningún caso, los jefes y representantes legales de las entidades estatales quedarán exonerados por virtud de la delegación de sus deberes </w:t>
      </w:r>
      <w:r w:rsidRPr="0081103C">
        <w:rPr>
          <w:rFonts w:ascii="Arial" w:eastAsia="Calibri" w:hAnsi="Arial" w:cs="Arial"/>
          <w:sz w:val="22"/>
          <w:szCs w:val="22"/>
          <w:lang w:val="es-ES_tradnl" w:eastAsia="en-US"/>
        </w:rPr>
        <w:lastRenderedPageBreak/>
        <w:t>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w:t>
      </w:r>
      <w:bookmarkStart w:id="27" w:name="_Hlk37168691"/>
      <w:r w:rsidRPr="0081103C">
        <w:rPr>
          <w:rFonts w:ascii="Arial" w:eastAsia="Calibri" w:hAnsi="Arial" w:cs="Arial"/>
          <w:sz w:val="22"/>
          <w:szCs w:val="22"/>
          <w:lang w:val="es-ES_tradnl" w:eastAsia="en-US"/>
        </w:rPr>
        <w:t>372 de 2002</w:t>
      </w:r>
      <w:bookmarkEnd w:id="27"/>
      <w:r w:rsidRPr="0081103C">
        <w:rPr>
          <w:rFonts w:ascii="Arial" w:eastAsia="Calibri" w:hAnsi="Arial" w:cs="Arial"/>
          <w:sz w:val="22"/>
          <w:szCs w:val="22"/>
          <w:lang w:val="es-ES_tradnl" w:eastAsia="en-US"/>
        </w:rPr>
        <w:t>– declaró que este inciso es condicionalmente exequible, en el entendido de que el delegante solo responde por la ausencia de control y vigilancia siempre que medie dolo o culpa grave</w:t>
      </w:r>
      <w:r w:rsidRPr="0081103C">
        <w:rPr>
          <w:rFonts w:ascii="Arial" w:eastAsia="Calibri" w:hAnsi="Arial" w:cs="Arial"/>
          <w:sz w:val="22"/>
          <w:szCs w:val="22"/>
          <w:vertAlign w:val="superscript"/>
          <w:lang w:val="es-ES_tradnl" w:eastAsia="en-US"/>
        </w:rPr>
        <w:footnoteReference w:id="18"/>
      </w:r>
      <w:r w:rsidRPr="0081103C">
        <w:rPr>
          <w:rFonts w:ascii="Arial" w:eastAsia="Calibri" w:hAnsi="Arial" w:cs="Arial"/>
          <w:sz w:val="22"/>
          <w:szCs w:val="22"/>
          <w:lang w:val="es-ES_tradnl" w:eastAsia="en-US"/>
        </w:rPr>
        <w:t xml:space="preserve">. Lo anterior, en la medida que: </w:t>
      </w:r>
    </w:p>
    <w:p w14:paraId="74F47806" w14:textId="77777777" w:rsidR="0081103C" w:rsidRPr="0081103C" w:rsidRDefault="0081103C" w:rsidP="0081103C">
      <w:pPr>
        <w:spacing w:line="276" w:lineRule="auto"/>
        <w:jc w:val="both"/>
        <w:rPr>
          <w:rFonts w:ascii="Arial" w:eastAsia="Calibri" w:hAnsi="Arial" w:cs="Arial"/>
          <w:sz w:val="22"/>
          <w:szCs w:val="22"/>
          <w:lang w:val="es-ES_tradnl" w:eastAsia="en-US"/>
        </w:rPr>
      </w:pPr>
    </w:p>
    <w:p w14:paraId="61AD7CCF" w14:textId="77777777" w:rsidR="0081103C" w:rsidRPr="0081103C" w:rsidRDefault="0081103C" w:rsidP="0081103C">
      <w:pPr>
        <w:ind w:left="709" w:right="709"/>
        <w:jc w:val="both"/>
        <w:rPr>
          <w:rFonts w:ascii="Arial" w:eastAsia="Calibri" w:hAnsi="Arial" w:cs="Arial"/>
          <w:sz w:val="21"/>
          <w:szCs w:val="21"/>
          <w:lang w:val="es-ES_tradnl" w:eastAsia="en-US"/>
        </w:rPr>
      </w:pPr>
      <w:r w:rsidRPr="0081103C">
        <w:rPr>
          <w:rFonts w:ascii="Arial" w:eastAsia="Calibri" w:hAnsi="Arial" w:cs="Arial"/>
          <w:sz w:val="21"/>
          <w:szCs w:val="21"/>
          <w:lang w:val="es-ES_tradnl" w:eastAsia="en-US"/>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081103C">
        <w:rPr>
          <w:rFonts w:ascii="Arial" w:eastAsia="Calibri" w:hAnsi="Arial" w:cs="Arial"/>
          <w:sz w:val="21"/>
          <w:szCs w:val="21"/>
          <w:vertAlign w:val="superscript"/>
          <w:lang w:val="es-ES_tradnl" w:eastAsia="en-US"/>
        </w:rPr>
        <w:footnoteReference w:id="19"/>
      </w:r>
      <w:r w:rsidRPr="0081103C">
        <w:rPr>
          <w:rFonts w:ascii="Arial" w:eastAsia="Calibri" w:hAnsi="Arial" w:cs="Arial"/>
          <w:sz w:val="21"/>
          <w:szCs w:val="21"/>
          <w:lang w:val="es-ES_tradnl" w:eastAsia="en-US"/>
        </w:rPr>
        <w:t xml:space="preserve">.   </w:t>
      </w:r>
    </w:p>
    <w:p w14:paraId="5799EA23" w14:textId="77777777" w:rsidR="0081103C" w:rsidRPr="0081103C" w:rsidRDefault="0081103C" w:rsidP="0081103C">
      <w:pPr>
        <w:spacing w:line="276" w:lineRule="auto"/>
        <w:jc w:val="both"/>
        <w:rPr>
          <w:rFonts w:ascii="Arial" w:eastAsia="Calibri" w:hAnsi="Arial" w:cs="Arial"/>
          <w:sz w:val="22"/>
          <w:szCs w:val="22"/>
          <w:lang w:val="es-ES_tradnl" w:eastAsia="en-US"/>
        </w:rPr>
      </w:pPr>
    </w:p>
    <w:p w14:paraId="46B831DB" w14:textId="77777777" w:rsidR="0081103C" w:rsidRPr="0081103C" w:rsidRDefault="0081103C" w:rsidP="0081103C">
      <w:pPr>
        <w:spacing w:before="120" w:line="276" w:lineRule="auto"/>
        <w:ind w:firstLine="709"/>
        <w:jc w:val="both"/>
        <w:rPr>
          <w:rFonts w:ascii="Arial" w:eastAsia="Calibri" w:hAnsi="Arial" w:cs="Arial"/>
          <w:sz w:val="22"/>
          <w:szCs w:val="22"/>
          <w:lang w:val="es-ES_tradnl" w:eastAsia="en-US"/>
        </w:rPr>
      </w:pPr>
      <w:bookmarkStart w:id="28" w:name="_Hlk37183512"/>
      <w:bookmarkStart w:id="29" w:name="_Hlk35876968"/>
      <w:r w:rsidRPr="0081103C">
        <w:rPr>
          <w:rFonts w:ascii="Arial" w:eastAsia="Calibri" w:hAnsi="Arial" w:cs="Arial"/>
          <w:sz w:val="22"/>
          <w:szCs w:val="22"/>
          <w:lang w:val="es-ES_tradnl" w:eastAsia="en-US"/>
        </w:rPr>
        <w:t xml:space="preserve">Por otro lado, al igual que la delegación, el artículo 209 de la Constitución Política de 1991 autoriza la desconcentración como técnica organizacional que atempera el rigor de la centralización. Prevista en el inciso primero del artículo 12 de la Ley 80 de 1993, permite que los representantes legales de las entidades estatales desconcentren el trámite de los procesos de selección en los funcionarios que, dentro de la entidad, ostenten cargos directivos o ejecutivos. </w:t>
      </w:r>
    </w:p>
    <w:p w14:paraId="235D830A" w14:textId="77777777" w:rsidR="0081103C" w:rsidRPr="0081103C" w:rsidRDefault="0081103C" w:rsidP="0081103C">
      <w:pPr>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Para estos efectos, la doctrina la define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garantizar los fines esenciales del Estado»</w:t>
      </w:r>
      <w:r w:rsidRPr="0081103C">
        <w:rPr>
          <w:rFonts w:ascii="Arial" w:eastAsia="Calibri" w:hAnsi="Arial" w:cs="Arial"/>
          <w:sz w:val="22"/>
          <w:szCs w:val="22"/>
          <w:vertAlign w:val="superscript"/>
          <w:lang w:val="es-ES_tradnl" w:eastAsia="en-US"/>
        </w:rPr>
        <w:footnoteReference w:id="20"/>
      </w:r>
      <w:r w:rsidRPr="0081103C">
        <w:rPr>
          <w:rFonts w:ascii="Arial" w:eastAsia="Calibri" w:hAnsi="Arial" w:cs="Arial"/>
          <w:sz w:val="22"/>
          <w:szCs w:val="22"/>
          <w:lang w:val="es-ES_tradnl" w:eastAsia="en-US"/>
        </w:rPr>
        <w:t xml:space="preserve">.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w:t>
      </w:r>
      <w:r w:rsidRPr="0081103C">
        <w:rPr>
          <w:rFonts w:ascii="Arial" w:eastAsia="Calibri" w:hAnsi="Arial" w:cs="Arial"/>
          <w:sz w:val="22"/>
          <w:szCs w:val="22"/>
          <w:lang w:val="es-ES_tradnl" w:eastAsia="en-US"/>
        </w:rPr>
        <w:lastRenderedPageBreak/>
        <w:t>y el control de las tareas asignadas</w:t>
      </w:r>
      <w:bookmarkEnd w:id="28"/>
      <w:r w:rsidRPr="0081103C">
        <w:rPr>
          <w:rFonts w:ascii="Arial" w:eastAsia="Calibri" w:hAnsi="Arial" w:cs="Arial"/>
          <w:sz w:val="22"/>
          <w:szCs w:val="22"/>
          <w:vertAlign w:val="superscript"/>
          <w:lang w:val="es-ES_tradnl" w:eastAsia="en-US"/>
        </w:rPr>
        <w:footnoteReference w:id="21"/>
      </w:r>
      <w:r w:rsidRPr="0081103C">
        <w:rPr>
          <w:rFonts w:ascii="Arial" w:eastAsia="Calibri" w:hAnsi="Arial" w:cs="Arial"/>
          <w:sz w:val="22"/>
          <w:szCs w:val="22"/>
          <w:lang w:val="es-ES_tradnl" w:eastAsia="en-US"/>
        </w:rPr>
        <w:t>. Por ello, el artículo 8 de la Ley 489 de 1998 dispone lo siguiente:</w:t>
      </w:r>
    </w:p>
    <w:p w14:paraId="5578E05C" w14:textId="77777777" w:rsidR="0081103C" w:rsidRPr="0081103C" w:rsidRDefault="0081103C" w:rsidP="0081103C">
      <w:pPr>
        <w:spacing w:line="276" w:lineRule="auto"/>
        <w:jc w:val="both"/>
        <w:rPr>
          <w:rFonts w:ascii="Arial" w:eastAsia="Calibri" w:hAnsi="Arial" w:cs="Arial"/>
          <w:sz w:val="22"/>
          <w:szCs w:val="22"/>
          <w:lang w:val="es-ES_tradnl" w:eastAsia="en-US"/>
        </w:rPr>
      </w:pPr>
    </w:p>
    <w:p w14:paraId="19441F70" w14:textId="77777777" w:rsidR="0081103C" w:rsidRPr="0081103C" w:rsidRDefault="0081103C" w:rsidP="0081103C">
      <w:pPr>
        <w:ind w:left="709" w:right="709"/>
        <w:jc w:val="both"/>
        <w:rPr>
          <w:rFonts w:ascii="Arial" w:eastAsia="Calibri" w:hAnsi="Arial" w:cs="Arial"/>
          <w:sz w:val="21"/>
          <w:szCs w:val="21"/>
          <w:lang w:val="es-ES_tradnl" w:eastAsia="en-US"/>
        </w:rPr>
      </w:pPr>
      <w:r w:rsidRPr="0081103C">
        <w:rPr>
          <w:rFonts w:ascii="Arial" w:eastAsia="Calibri" w:hAnsi="Arial" w:cs="Arial"/>
          <w:sz w:val="21"/>
          <w:szCs w:val="21"/>
          <w:lang w:val="es-ES_tradnl" w:eastAsia="en-US"/>
        </w:rPr>
        <w:t>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p>
    <w:p w14:paraId="6576C262" w14:textId="77777777" w:rsidR="0081103C" w:rsidRPr="0081103C" w:rsidRDefault="0081103C" w:rsidP="0081103C">
      <w:pPr>
        <w:spacing w:before="120"/>
        <w:ind w:left="709" w:right="709"/>
        <w:jc w:val="both"/>
        <w:rPr>
          <w:rFonts w:ascii="Arial" w:eastAsia="Calibri" w:hAnsi="Arial" w:cs="Arial"/>
          <w:sz w:val="21"/>
          <w:szCs w:val="21"/>
          <w:lang w:val="es-ES_tradnl" w:eastAsia="en-US"/>
        </w:rPr>
      </w:pPr>
      <w:r w:rsidRPr="0081103C">
        <w:rPr>
          <w:rFonts w:ascii="Arial" w:eastAsia="Calibri" w:hAnsi="Arial" w:cs="Arial"/>
          <w:sz w:val="21"/>
          <w:szCs w:val="21"/>
          <w:lang w:val="es-ES_tradnl" w:eastAsia="en-US"/>
        </w:rPr>
        <w:t>Parágrafo. En el acto correspondiente se determinarán los medios necesarios para su adecuado cumplimiento.</w:t>
      </w:r>
    </w:p>
    <w:p w14:paraId="180C1A5F" w14:textId="77777777" w:rsidR="0081103C" w:rsidRPr="0081103C" w:rsidRDefault="0081103C" w:rsidP="0081103C">
      <w:pPr>
        <w:spacing w:before="120"/>
        <w:ind w:left="709" w:right="709"/>
        <w:jc w:val="both"/>
        <w:rPr>
          <w:rFonts w:ascii="Arial" w:eastAsia="Calibri" w:hAnsi="Arial" w:cs="Arial"/>
          <w:sz w:val="21"/>
          <w:szCs w:val="21"/>
          <w:lang w:val="es-ES_tradnl" w:eastAsia="en-US"/>
        </w:rPr>
      </w:pPr>
      <w:r w:rsidRPr="0081103C">
        <w:rPr>
          <w:rFonts w:ascii="Arial" w:eastAsia="Calibri" w:hAnsi="Arial" w:cs="Arial"/>
          <w:sz w:val="21"/>
          <w:szCs w:val="21"/>
          <w:lang w:val="es-ES_tradnl" w:eastAsia="en-US"/>
        </w:rPr>
        <w:t>Los actos cumplidos por las autoridades en virtud de desconcentración administrativa sólo serán susceptibles del recurso de reposición en los términos establecidos en las normas pertinentes.</w:t>
      </w:r>
    </w:p>
    <w:p w14:paraId="235C7027" w14:textId="77777777" w:rsidR="0081103C" w:rsidRPr="0081103C" w:rsidRDefault="0081103C" w:rsidP="0081103C">
      <w:pPr>
        <w:spacing w:line="276" w:lineRule="auto"/>
        <w:jc w:val="both"/>
        <w:rPr>
          <w:rFonts w:ascii="Arial" w:eastAsia="Calibri" w:hAnsi="Arial" w:cs="Arial"/>
          <w:sz w:val="22"/>
          <w:szCs w:val="22"/>
          <w:lang w:val="es-ES_tradnl" w:eastAsia="en-US"/>
        </w:rPr>
      </w:pPr>
    </w:p>
    <w:p w14:paraId="2C474024" w14:textId="77777777" w:rsidR="0081103C" w:rsidRPr="0081103C" w:rsidRDefault="0081103C" w:rsidP="0081103C">
      <w:pPr>
        <w:spacing w:before="120" w:line="276" w:lineRule="auto"/>
        <w:ind w:firstLine="708"/>
        <w:jc w:val="both"/>
        <w:rPr>
          <w:rFonts w:ascii="Arial" w:eastAsia="Calibri" w:hAnsi="Arial" w:cs="Arial"/>
          <w:sz w:val="22"/>
          <w:szCs w:val="22"/>
          <w:lang w:val="es-ES_tradnl" w:eastAsia="en-US"/>
        </w:rPr>
      </w:pPr>
      <w:bookmarkStart w:id="30" w:name="_Hlk37183560"/>
      <w:r w:rsidRPr="0081103C">
        <w:rPr>
          <w:rFonts w:ascii="Arial" w:eastAsia="Calibri" w:hAnsi="Arial" w:cs="Arial"/>
          <w:sz w:val="22"/>
          <w:szCs w:val="22"/>
          <w:lang w:val="es-ES_tradnl" w:eastAsia="en-US"/>
        </w:rPr>
        <w:t>Con una orientación similar, aunque con sus particularidades, el parágrafo del artículo 12 de la Ley 80 de 1993 –adicionado por el artículo 21 de la Ley 1150 de 2007– dispone que «[…] se entiende por desconcentración la distribución adecuada del trabajo que realiza el jefe o representante legal de la entidad, sin que ello implique autonomía administrativa en su ejercicio […]».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w:t>
      </w:r>
      <w:bookmarkEnd w:id="29"/>
    </w:p>
    <w:p w14:paraId="447472DB" w14:textId="77777777" w:rsidR="0081103C" w:rsidRPr="0081103C" w:rsidRDefault="0081103C" w:rsidP="0081103C">
      <w:pPr>
        <w:tabs>
          <w:tab w:val="left" w:pos="851"/>
        </w:tabs>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ab/>
        <w:t xml:space="preserve">Sin perjuicio de las consideraciones precedentes, por considerarse relevante para la consulta </w:t>
      </w:r>
      <w:r w:rsidRPr="0081103C">
        <w:rPr>
          <w:rFonts w:ascii="Arial" w:eastAsia="Calibri" w:hAnsi="Arial" w:cs="Arial"/>
          <w:i/>
          <w:sz w:val="22"/>
          <w:szCs w:val="22"/>
          <w:lang w:val="es-ES_tradnl" w:eastAsia="en-US"/>
        </w:rPr>
        <w:t>sub examine</w:t>
      </w:r>
      <w:r w:rsidRPr="0081103C">
        <w:rPr>
          <w:rFonts w:ascii="Arial" w:eastAsia="Calibri" w:hAnsi="Arial" w:cs="Arial"/>
          <w:sz w:val="22"/>
          <w:szCs w:val="22"/>
          <w:lang w:val="es-ES_tradnl" w:eastAsia="en-US"/>
        </w:rPr>
        <w:t xml:space="preserve">, resulta del caso precisar que los dos fenómenos descritos previamente, esto es, la delegación y la desconcentración de funciones, no deben confundirse con la simple asignación de funciones que hace un funcionario público en relación con otro funcionario o con un empleado frente al que ostenta jerarquía, pero sin dejar de ser el titular de la función. Este fenómeno se presenta, por ejemplo, cuando el director de una entidad estatal le encarga a uno de los subdirectores –subalternos– la ejecución material de una o varias labores necesarias para el ejercicio de sus funciones, como sería la elaboración del proyecto de presupuesto de la entidad o el diseño del sistema de gestión interna de la entidad, eventos en los cuales la labor sería desempeñada materialmente por otra persona, pero por disposición de su superior jerárquico; sin </w:t>
      </w:r>
      <w:r w:rsidRPr="0081103C">
        <w:rPr>
          <w:rFonts w:ascii="Arial" w:eastAsia="Calibri" w:hAnsi="Arial" w:cs="Arial"/>
          <w:sz w:val="22"/>
          <w:szCs w:val="22"/>
          <w:lang w:val="es-ES_tradnl" w:eastAsia="en-US"/>
        </w:rPr>
        <w:lastRenderedPageBreak/>
        <w:t>embargo, el mencionado director mantiene el ejercicio de la función legalmente asignada, esto es, presenta el presupuesto y adopta el plan de gestión interna.</w:t>
      </w:r>
    </w:p>
    <w:p w14:paraId="426703DD" w14:textId="77777777" w:rsidR="0081103C" w:rsidRPr="0081103C" w:rsidRDefault="0081103C" w:rsidP="0081103C">
      <w:pPr>
        <w:tabs>
          <w:tab w:val="left" w:pos="851"/>
        </w:tabs>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Este fenómeno se justifica en la dificultad que podría representar que cada directriz del superior jerárquico deba venir acompañada por un acto de delegación o desconcentración, situación que impediría el normal funcionamiento de las entidades públicas.</w:t>
      </w:r>
    </w:p>
    <w:p w14:paraId="050C19FE" w14:textId="77777777" w:rsidR="0081103C" w:rsidRPr="0081103C" w:rsidRDefault="0081103C" w:rsidP="0081103C">
      <w:pPr>
        <w:tabs>
          <w:tab w:val="left" w:pos="851"/>
        </w:tabs>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 xml:space="preserve">Ahora bien, todos los servidores públicos que intervienen en la contratación estatal, ya sea que lo hagan en calidad de jefes o representantes legales, o en calidad de delegatarios o en calidad de funcionarios a cargo de alguna actuación derivada de la etapa precontractual, contractual o postcontractual del proceso de contratación en razón de sus funciones asignadas en la ley, el reglamento, el manual de funciones o por el superior jerárquico, están sometidos al cumplimiento del principio de responsabilidad previsto en el artículo 26 de la Ley 80 de 1993 que establece lo siguiente: </w:t>
      </w:r>
    </w:p>
    <w:p w14:paraId="3C4DDD8C" w14:textId="77777777" w:rsidR="0081103C" w:rsidRPr="0081103C" w:rsidRDefault="0081103C" w:rsidP="0081103C">
      <w:pPr>
        <w:tabs>
          <w:tab w:val="left" w:pos="851"/>
        </w:tabs>
        <w:spacing w:before="120" w:line="276" w:lineRule="auto"/>
        <w:ind w:firstLine="708"/>
        <w:jc w:val="both"/>
        <w:rPr>
          <w:rFonts w:ascii="Arial" w:eastAsia="Calibri" w:hAnsi="Arial" w:cs="Arial"/>
          <w:sz w:val="22"/>
          <w:szCs w:val="22"/>
          <w:lang w:val="es-ES_tradnl" w:eastAsia="en-US"/>
        </w:rPr>
      </w:pPr>
    </w:p>
    <w:p w14:paraId="12390726" w14:textId="77777777" w:rsidR="0081103C" w:rsidRPr="0081103C" w:rsidRDefault="0081103C" w:rsidP="0081103C">
      <w:pPr>
        <w:ind w:left="709" w:right="709"/>
        <w:jc w:val="both"/>
        <w:rPr>
          <w:rFonts w:ascii="Arial" w:eastAsia="Calibri" w:hAnsi="Arial" w:cs="Arial"/>
          <w:sz w:val="21"/>
          <w:szCs w:val="21"/>
          <w:lang w:val="es-MX" w:eastAsia="en-US"/>
        </w:rPr>
      </w:pPr>
      <w:r w:rsidRPr="0081103C">
        <w:rPr>
          <w:rFonts w:ascii="Arial" w:eastAsia="Calibri" w:hAnsi="Arial" w:cs="Arial"/>
          <w:sz w:val="21"/>
          <w:szCs w:val="21"/>
          <w:lang w:val="es-MX" w:eastAsia="en-US"/>
        </w:rPr>
        <w:t>Artículo 26. Del Principio de Responsabilidad. En virtud de este principio:</w:t>
      </w:r>
    </w:p>
    <w:p w14:paraId="30D3F4A1" w14:textId="77777777" w:rsidR="0081103C" w:rsidRPr="0081103C" w:rsidRDefault="0081103C" w:rsidP="0081103C">
      <w:pPr>
        <w:ind w:left="709" w:right="709"/>
        <w:jc w:val="both"/>
        <w:rPr>
          <w:rFonts w:ascii="Arial" w:eastAsia="Calibri" w:hAnsi="Arial" w:cs="Arial"/>
          <w:sz w:val="21"/>
          <w:szCs w:val="21"/>
          <w:lang w:val="es-MX" w:eastAsia="en-US"/>
        </w:rPr>
      </w:pPr>
    </w:p>
    <w:p w14:paraId="4E5C8454" w14:textId="77777777" w:rsidR="0081103C" w:rsidRPr="0081103C" w:rsidRDefault="0081103C" w:rsidP="0081103C">
      <w:pPr>
        <w:ind w:left="709" w:right="709"/>
        <w:jc w:val="both"/>
        <w:rPr>
          <w:rFonts w:ascii="Arial" w:eastAsia="Calibri" w:hAnsi="Arial" w:cs="Arial"/>
          <w:sz w:val="21"/>
          <w:szCs w:val="21"/>
          <w:lang w:val="es-MX" w:eastAsia="en-US"/>
        </w:rPr>
      </w:pPr>
      <w:r w:rsidRPr="0081103C">
        <w:rPr>
          <w:rFonts w:ascii="Arial" w:eastAsia="Calibri" w:hAnsi="Arial" w:cs="Arial"/>
          <w:sz w:val="21"/>
          <w:szCs w:val="21"/>
          <w:lang w:val="es-MX" w:eastAsia="en-US"/>
        </w:rPr>
        <w:t>1°. 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w:t>
      </w:r>
    </w:p>
    <w:p w14:paraId="4E4D5B10" w14:textId="77777777" w:rsidR="0081103C" w:rsidRPr="0081103C" w:rsidRDefault="0081103C" w:rsidP="0081103C">
      <w:pPr>
        <w:ind w:left="709" w:right="709"/>
        <w:jc w:val="both"/>
        <w:rPr>
          <w:rFonts w:ascii="Arial" w:eastAsia="Calibri" w:hAnsi="Arial" w:cs="Arial"/>
          <w:sz w:val="21"/>
          <w:szCs w:val="21"/>
          <w:lang w:val="es-MX" w:eastAsia="en-US"/>
        </w:rPr>
      </w:pPr>
    </w:p>
    <w:p w14:paraId="08AB58C5" w14:textId="77777777" w:rsidR="0081103C" w:rsidRPr="0081103C" w:rsidRDefault="0081103C" w:rsidP="0081103C">
      <w:pPr>
        <w:ind w:left="709" w:right="709"/>
        <w:jc w:val="both"/>
        <w:rPr>
          <w:rFonts w:ascii="Arial" w:eastAsia="Calibri" w:hAnsi="Arial" w:cs="Arial"/>
          <w:sz w:val="21"/>
          <w:szCs w:val="21"/>
          <w:lang w:val="es-MX" w:eastAsia="en-US"/>
        </w:rPr>
      </w:pPr>
      <w:r w:rsidRPr="0081103C">
        <w:rPr>
          <w:rFonts w:ascii="Arial" w:eastAsia="Calibri" w:hAnsi="Arial" w:cs="Arial"/>
          <w:sz w:val="21"/>
          <w:szCs w:val="21"/>
          <w:lang w:val="es-MX" w:eastAsia="en-US"/>
        </w:rPr>
        <w:t>2°. Los servidores públicos responderán por sus actuaciones y omisiones antijurídicas y deberán indemnizar los daños que se causen por razón de ellas.</w:t>
      </w:r>
    </w:p>
    <w:p w14:paraId="30793CE2" w14:textId="77777777" w:rsidR="0081103C" w:rsidRPr="0081103C" w:rsidRDefault="0081103C" w:rsidP="0081103C">
      <w:pPr>
        <w:ind w:left="709" w:right="709"/>
        <w:jc w:val="both"/>
        <w:rPr>
          <w:rFonts w:ascii="Arial" w:eastAsia="Calibri" w:hAnsi="Arial" w:cs="Arial"/>
          <w:sz w:val="21"/>
          <w:szCs w:val="21"/>
          <w:lang w:val="es-MX" w:eastAsia="en-US"/>
        </w:rPr>
      </w:pPr>
    </w:p>
    <w:p w14:paraId="3621703C" w14:textId="77777777" w:rsidR="0081103C" w:rsidRPr="0081103C" w:rsidRDefault="0081103C" w:rsidP="0081103C">
      <w:pPr>
        <w:ind w:left="709" w:right="709"/>
        <w:jc w:val="both"/>
        <w:rPr>
          <w:rFonts w:ascii="Arial" w:eastAsia="Calibri" w:hAnsi="Arial" w:cs="Arial"/>
          <w:sz w:val="21"/>
          <w:szCs w:val="21"/>
          <w:lang w:val="es-MX" w:eastAsia="en-US"/>
        </w:rPr>
      </w:pPr>
      <w:r w:rsidRPr="0081103C">
        <w:rPr>
          <w:rFonts w:ascii="Arial" w:eastAsia="Calibri" w:hAnsi="Arial" w:cs="Arial"/>
          <w:sz w:val="21"/>
          <w:szCs w:val="21"/>
          <w:lang w:val="es-MX" w:eastAsia="en-US"/>
        </w:rPr>
        <w:t>3°. Las entidades y los servidores públicos, responderán cuando hubieren abierto licitaciones o concursos sin haber elaborado previamente los correspondientes pliegos de condiciones, diseños, estudios, planos y evaluaciones que fueren necesarios, o cuando los pliegos de condiciones o términos de referencia hayan sido elaborados en forma incompleta, ambigua o confusa que conduzcan a interpretaciones o decisiones de carácter subjetivo por parte de aquellos.</w:t>
      </w:r>
    </w:p>
    <w:p w14:paraId="3BDB883C" w14:textId="77777777" w:rsidR="0081103C" w:rsidRPr="0081103C" w:rsidRDefault="0081103C" w:rsidP="0081103C">
      <w:pPr>
        <w:ind w:right="709"/>
        <w:jc w:val="both"/>
        <w:rPr>
          <w:rFonts w:ascii="Arial" w:eastAsia="Calibri" w:hAnsi="Arial" w:cs="Arial"/>
          <w:sz w:val="21"/>
          <w:szCs w:val="21"/>
          <w:lang w:val="es-MX" w:eastAsia="en-US"/>
        </w:rPr>
      </w:pPr>
    </w:p>
    <w:p w14:paraId="700648D9" w14:textId="77777777" w:rsidR="0081103C" w:rsidRPr="0081103C" w:rsidRDefault="0081103C" w:rsidP="0081103C">
      <w:pPr>
        <w:ind w:left="709" w:right="709"/>
        <w:jc w:val="both"/>
        <w:rPr>
          <w:rFonts w:ascii="Arial" w:eastAsia="Calibri" w:hAnsi="Arial" w:cs="Arial"/>
          <w:sz w:val="21"/>
          <w:szCs w:val="21"/>
          <w:lang w:val="es-MX" w:eastAsia="en-US"/>
        </w:rPr>
      </w:pPr>
      <w:r w:rsidRPr="0081103C">
        <w:rPr>
          <w:rFonts w:ascii="Arial" w:eastAsia="Calibri" w:hAnsi="Arial" w:cs="Arial"/>
          <w:sz w:val="21"/>
          <w:szCs w:val="21"/>
          <w:lang w:val="es-MX" w:eastAsia="en-US"/>
        </w:rPr>
        <w:t>4°. Las actuaciones de los servidores públicos estarán presididas por las reglas sobre administración de bienes ajenos y por los mandatos y postulados que gobiernan una conducta ajustada a la ética y a la justicia.</w:t>
      </w:r>
    </w:p>
    <w:p w14:paraId="3C25B1FB" w14:textId="77777777" w:rsidR="0081103C" w:rsidRPr="0081103C" w:rsidRDefault="0081103C" w:rsidP="0081103C">
      <w:pPr>
        <w:ind w:left="709" w:right="709"/>
        <w:jc w:val="both"/>
        <w:rPr>
          <w:rFonts w:ascii="Arial" w:eastAsia="Calibri" w:hAnsi="Arial" w:cs="Arial"/>
          <w:sz w:val="21"/>
          <w:szCs w:val="21"/>
          <w:lang w:val="es-MX" w:eastAsia="en-US"/>
        </w:rPr>
      </w:pPr>
    </w:p>
    <w:p w14:paraId="0D29BB7C" w14:textId="77777777" w:rsidR="0081103C" w:rsidRPr="0081103C" w:rsidRDefault="0081103C" w:rsidP="0081103C">
      <w:pPr>
        <w:ind w:left="709" w:right="709"/>
        <w:jc w:val="both"/>
        <w:rPr>
          <w:rFonts w:ascii="Arial" w:eastAsia="Calibri" w:hAnsi="Arial" w:cs="Arial"/>
          <w:sz w:val="22"/>
          <w:szCs w:val="22"/>
          <w:lang w:val="es-ES_tradnl" w:eastAsia="en-US"/>
        </w:rPr>
      </w:pPr>
      <w:r w:rsidRPr="0081103C">
        <w:rPr>
          <w:rFonts w:ascii="Arial" w:eastAsia="Calibri" w:hAnsi="Arial" w:cs="Arial"/>
          <w:sz w:val="21"/>
          <w:szCs w:val="21"/>
          <w:lang w:val="es-MX" w:eastAsia="en-US"/>
        </w:rPr>
        <w:t>5°.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w:t>
      </w:r>
    </w:p>
    <w:p w14:paraId="150A3A99" w14:textId="77777777" w:rsidR="0081103C" w:rsidRPr="0081103C" w:rsidRDefault="0081103C" w:rsidP="0081103C">
      <w:pPr>
        <w:tabs>
          <w:tab w:val="left" w:pos="851"/>
        </w:tabs>
        <w:spacing w:before="120" w:line="276" w:lineRule="auto"/>
        <w:ind w:firstLine="708"/>
        <w:jc w:val="both"/>
        <w:rPr>
          <w:rFonts w:ascii="Arial" w:eastAsia="Calibri" w:hAnsi="Arial" w:cs="Arial"/>
          <w:sz w:val="22"/>
          <w:szCs w:val="22"/>
          <w:lang w:val="es-ES_tradnl" w:eastAsia="en-US"/>
        </w:rPr>
      </w:pPr>
      <w:r w:rsidRPr="0081103C">
        <w:rPr>
          <w:rFonts w:ascii="Arial" w:eastAsia="Calibri" w:hAnsi="Arial" w:cs="Arial"/>
          <w:sz w:val="22"/>
          <w:szCs w:val="22"/>
          <w:lang w:val="es-ES_tradnl" w:eastAsia="en-US"/>
        </w:rPr>
        <w:t xml:space="preserve">[…]  </w:t>
      </w:r>
    </w:p>
    <w:bookmarkEnd w:id="30"/>
    <w:p w14:paraId="4476BC0D" w14:textId="77777777" w:rsidR="0081103C" w:rsidRPr="0081103C" w:rsidRDefault="0081103C" w:rsidP="0081103C">
      <w:pPr>
        <w:spacing w:line="276" w:lineRule="auto"/>
        <w:ind w:firstLine="709"/>
        <w:jc w:val="both"/>
        <w:rPr>
          <w:rFonts w:ascii="Arial" w:eastAsia="Calibri" w:hAnsi="Arial" w:cs="Arial"/>
          <w:sz w:val="22"/>
          <w:szCs w:val="22"/>
          <w:lang w:val="es-ES_tradnl" w:eastAsia="en-US"/>
        </w:rPr>
      </w:pPr>
    </w:p>
    <w:p w14:paraId="4C2D2784" w14:textId="77777777" w:rsidR="008B0FE7" w:rsidRDefault="0081103C" w:rsidP="007F7D47">
      <w:pPr>
        <w:spacing w:line="276" w:lineRule="auto"/>
        <w:ind w:firstLine="709"/>
        <w:jc w:val="both"/>
        <w:rPr>
          <w:rFonts w:ascii="Arial" w:eastAsia="Calibri" w:hAnsi="Arial" w:cs="Arial"/>
          <w:sz w:val="22"/>
          <w:szCs w:val="22"/>
        </w:rPr>
      </w:pPr>
      <w:r w:rsidRPr="0081103C">
        <w:rPr>
          <w:rFonts w:ascii="Arial" w:eastAsia="Calibri" w:hAnsi="Arial" w:cs="Arial"/>
          <w:sz w:val="22"/>
          <w:szCs w:val="22"/>
          <w:lang w:val="es-ES_tradnl" w:eastAsia="en-US"/>
        </w:rPr>
        <w:t xml:space="preserve">En consecuencia, las actuaciones de los servidores públicos que participan en la contratación estatal están sometidos a los controles jurídicos, de diversa índole, que existen en el ordenamiento jurídico para el efecto, cuyo ejercicio está atribuido a distintas autoridades y procedimientos especiales. Estas autoridades, luego de actuar dentro del marco del principio de legalidad, el derecho al debido proceso y de desvirtuar la garantía de la presunción de inocencia, pueden encontrar la responsabilidad penal, disciplinaria, fiscal y/o patrimonial de los servidores públicos que hayan actuado indebidamente en la actividad contractual del Estado, tal y como lo reafirma el artículo 51 de la ley 80 de 1993: </w:t>
      </w:r>
      <w:r w:rsidRPr="0081103C">
        <w:rPr>
          <w:rFonts w:ascii="Arial" w:eastAsia="Calibri" w:hAnsi="Arial" w:cs="Arial"/>
          <w:sz w:val="22"/>
          <w:szCs w:val="22"/>
          <w:lang w:val="es-MX" w:eastAsia="en-US"/>
        </w:rPr>
        <w:t>«</w:t>
      </w:r>
      <w:r w:rsidRPr="0081103C">
        <w:rPr>
          <w:rFonts w:ascii="Arial" w:eastAsia="Calibri" w:hAnsi="Arial" w:cs="Arial"/>
          <w:sz w:val="22"/>
          <w:szCs w:val="22"/>
          <w:lang w:val="es-ES_tradnl" w:eastAsia="en-US"/>
        </w:rPr>
        <w:t>El servidor público responderá disciplinaria, civil y penalmente por sus acciones y omisiones en la actuación contractual en los términos de la Constitución y de la ley</w:t>
      </w:r>
      <w:r w:rsidRPr="0081103C">
        <w:rPr>
          <w:rFonts w:ascii="Arial" w:eastAsia="Calibri" w:hAnsi="Arial" w:cs="Arial"/>
          <w:bCs/>
          <w:color w:val="000000" w:themeColor="text1"/>
          <w:sz w:val="21"/>
          <w:szCs w:val="21"/>
          <w:lang w:val="es-ES_tradnl" w:eastAsia="en-US"/>
        </w:rPr>
        <w:t>».</w:t>
      </w:r>
      <w:r w:rsidR="00DD49C4" w:rsidRPr="00DC7191">
        <w:rPr>
          <w:rFonts w:ascii="Arial" w:eastAsia="Calibri" w:hAnsi="Arial" w:cs="Arial"/>
          <w:sz w:val="22"/>
          <w:szCs w:val="22"/>
        </w:rPr>
        <w:t xml:space="preserve"> </w:t>
      </w:r>
      <w:r w:rsidR="007F4118" w:rsidRPr="00DC7191">
        <w:rPr>
          <w:rFonts w:ascii="Arial" w:eastAsia="Calibri" w:hAnsi="Arial" w:cs="Arial"/>
          <w:sz w:val="22"/>
          <w:szCs w:val="22"/>
        </w:rPr>
        <w:t xml:space="preserve"> </w:t>
      </w:r>
    </w:p>
    <w:p w14:paraId="102D46DA" w14:textId="77777777" w:rsidR="008C01A4" w:rsidRDefault="00DA191E" w:rsidP="007F7D47">
      <w:pPr>
        <w:pStyle w:val="Prrafodelista"/>
        <w:tabs>
          <w:tab w:val="left" w:pos="284"/>
        </w:tabs>
        <w:spacing w:before="0" w:after="0"/>
        <w:ind w:left="0"/>
        <w:contextualSpacing w:val="0"/>
        <w:rPr>
          <w:rFonts w:ascii="Arial" w:eastAsia="Calibri" w:hAnsi="Arial" w:cs="Arial"/>
          <w:sz w:val="22"/>
        </w:rPr>
      </w:pPr>
      <w:r w:rsidRPr="00DC7191">
        <w:rPr>
          <w:rFonts w:ascii="Arial" w:eastAsia="Calibri" w:hAnsi="Arial" w:cs="Arial"/>
          <w:sz w:val="22"/>
        </w:rPr>
        <w:t xml:space="preserve"> </w:t>
      </w:r>
    </w:p>
    <w:p w14:paraId="105F82B0" w14:textId="15417A47" w:rsidR="008C01A4" w:rsidRDefault="008C01A4" w:rsidP="007F7D47">
      <w:pPr>
        <w:pStyle w:val="Prrafodelista"/>
        <w:tabs>
          <w:tab w:val="left" w:pos="284"/>
        </w:tabs>
        <w:spacing w:before="0" w:after="0"/>
        <w:ind w:left="0"/>
        <w:contextualSpacing w:val="0"/>
        <w:rPr>
          <w:rFonts w:ascii="Arial" w:eastAsia="Calibri" w:hAnsi="Arial" w:cs="Arial"/>
          <w:b/>
          <w:sz w:val="22"/>
        </w:rPr>
      </w:pPr>
      <w:r w:rsidRPr="008C01A4">
        <w:rPr>
          <w:rFonts w:ascii="Arial" w:eastAsia="Calibri" w:hAnsi="Arial" w:cs="Arial"/>
          <w:b/>
          <w:sz w:val="22"/>
        </w:rPr>
        <w:t>2.</w:t>
      </w:r>
      <w:r>
        <w:rPr>
          <w:rFonts w:ascii="Arial" w:eastAsia="Calibri" w:hAnsi="Arial" w:cs="Arial"/>
          <w:b/>
          <w:sz w:val="22"/>
        </w:rPr>
        <w:t>7</w:t>
      </w:r>
      <w:r w:rsidRPr="008C01A4">
        <w:rPr>
          <w:rFonts w:ascii="Arial" w:eastAsia="Calibri" w:hAnsi="Arial" w:cs="Arial"/>
          <w:b/>
          <w:sz w:val="22"/>
        </w:rPr>
        <w:t xml:space="preserve">. La audiencia de adjudicación en la licitación pública </w:t>
      </w:r>
    </w:p>
    <w:p w14:paraId="0BFCA5C0" w14:textId="77777777" w:rsidR="00C8217C" w:rsidRPr="008C01A4" w:rsidRDefault="00C8217C" w:rsidP="007F7D47">
      <w:pPr>
        <w:pStyle w:val="Prrafodelista"/>
        <w:tabs>
          <w:tab w:val="left" w:pos="284"/>
        </w:tabs>
        <w:spacing w:before="0" w:after="0"/>
        <w:ind w:left="0"/>
        <w:contextualSpacing w:val="0"/>
        <w:rPr>
          <w:rFonts w:ascii="Arial" w:eastAsia="Calibri" w:hAnsi="Arial" w:cs="Arial"/>
          <w:b/>
          <w:sz w:val="22"/>
        </w:rPr>
      </w:pPr>
    </w:p>
    <w:p w14:paraId="17F2E2B3" w14:textId="1F3B7EB0" w:rsidR="008C01A4" w:rsidRDefault="008C01A4" w:rsidP="00C8217C">
      <w:pPr>
        <w:spacing w:after="120" w:line="276" w:lineRule="auto"/>
        <w:jc w:val="both"/>
        <w:rPr>
          <w:rFonts w:ascii="Arial" w:eastAsia="Calibri" w:hAnsi="Arial" w:cs="Arial"/>
          <w:sz w:val="22"/>
        </w:rPr>
      </w:pPr>
      <w:r w:rsidRPr="008D405F">
        <w:rPr>
          <w:rFonts w:ascii="Arial" w:hAnsi="Arial" w:cs="Arial"/>
          <w:sz w:val="22"/>
        </w:rPr>
        <w:t xml:space="preserve">La Agencia </w:t>
      </w:r>
      <w:r w:rsidRPr="008D405F">
        <w:rPr>
          <w:rFonts w:ascii="Arial" w:eastAsia="Calibri" w:hAnsi="Arial" w:cs="Arial"/>
          <w:sz w:val="22"/>
        </w:rPr>
        <w:t>Nacional</w:t>
      </w:r>
      <w:r w:rsidRPr="008D405F">
        <w:rPr>
          <w:rFonts w:ascii="Arial" w:hAnsi="Arial" w:cs="Arial"/>
          <w:sz w:val="22"/>
        </w:rPr>
        <w:t xml:space="preserve"> de Contratación Pública </w:t>
      </w:r>
      <w:r w:rsidR="00C8217C">
        <w:rPr>
          <w:rFonts w:ascii="Arial" w:hAnsi="Arial" w:cs="Arial"/>
          <w:sz w:val="22"/>
        </w:rPr>
        <w:t>–</w:t>
      </w:r>
      <w:r w:rsidRPr="008D405F">
        <w:rPr>
          <w:rFonts w:ascii="Arial" w:hAnsi="Arial" w:cs="Arial"/>
          <w:sz w:val="22"/>
        </w:rPr>
        <w:t xml:space="preserve"> Colombia Compra Eficiente </w:t>
      </w:r>
      <w:r w:rsidRPr="008D405F">
        <w:rPr>
          <w:rFonts w:ascii="Arial" w:eastAsia="Calibri" w:hAnsi="Arial" w:cs="Arial"/>
          <w:sz w:val="22"/>
        </w:rPr>
        <w:t xml:space="preserve">analizó la audiencia de adjudicación </w:t>
      </w:r>
      <w:r>
        <w:rPr>
          <w:rFonts w:ascii="Arial" w:eastAsia="Calibri" w:hAnsi="Arial" w:cs="Arial"/>
          <w:sz w:val="22"/>
        </w:rPr>
        <w:t xml:space="preserve">en los </w:t>
      </w:r>
      <w:r w:rsidRPr="008D405F">
        <w:rPr>
          <w:rFonts w:ascii="Arial" w:eastAsia="Calibri" w:hAnsi="Arial" w:cs="Arial"/>
          <w:sz w:val="22"/>
        </w:rPr>
        <w:t>concepto</w:t>
      </w:r>
      <w:r>
        <w:rPr>
          <w:rFonts w:ascii="Arial" w:eastAsia="Calibri" w:hAnsi="Arial" w:cs="Arial"/>
          <w:sz w:val="22"/>
        </w:rPr>
        <w:t>s</w:t>
      </w:r>
      <w:r w:rsidRPr="008D405F">
        <w:rPr>
          <w:rFonts w:ascii="Arial" w:eastAsia="Calibri" w:hAnsi="Arial" w:cs="Arial"/>
          <w:sz w:val="22"/>
        </w:rPr>
        <w:t xml:space="preserve"> con radicado No. 4201912000005935 del 25 de noviembre de 2019, reiterado y desarrollado en el concepto con radicado No. 4201912000007</w:t>
      </w:r>
      <w:r>
        <w:rPr>
          <w:rFonts w:ascii="Arial" w:eastAsia="Calibri" w:hAnsi="Arial" w:cs="Arial"/>
          <w:sz w:val="22"/>
        </w:rPr>
        <w:t xml:space="preserve">600 del 23 de diciembre de 2019, C-679 del 23 de noviembre de 2020, C-042 del 03 de marzo de 2021 y C-466 de 3 de septiembre de 2021. Lo expuesto se reitera. </w:t>
      </w:r>
    </w:p>
    <w:p w14:paraId="3B254C67" w14:textId="65A577D4" w:rsidR="008C01A4" w:rsidRPr="008C01A4" w:rsidRDefault="008C01A4" w:rsidP="008C01A4">
      <w:pPr>
        <w:spacing w:after="120" w:line="276" w:lineRule="auto"/>
        <w:ind w:firstLine="708"/>
        <w:jc w:val="both"/>
        <w:rPr>
          <w:rFonts w:ascii="Arial" w:eastAsia="Calibri" w:hAnsi="Arial" w:cs="Arial"/>
          <w:sz w:val="22"/>
          <w:szCs w:val="22"/>
          <w:lang w:val="es-MX" w:eastAsia="en-US"/>
        </w:rPr>
      </w:pPr>
      <w:r w:rsidRPr="008C01A4">
        <w:rPr>
          <w:rFonts w:ascii="Arial" w:eastAsiaTheme="minorHAnsi" w:hAnsi="Arial" w:cs="Arial"/>
          <w:color w:val="000000"/>
          <w:sz w:val="22"/>
          <w:szCs w:val="22"/>
          <w:shd w:val="clear" w:color="auto" w:fill="FFFFFF"/>
          <w:lang w:val="es-ES" w:eastAsia="en-US"/>
        </w:rPr>
        <w:t>Uno de los principios que rige la contratación del Estado es el de transparencia, cuya máxima expresión se traduce en la licitación pública. Este procedimiento se estableció como regla general en el Estatuto General de la Contratación Estatal para seleccionar al contratista, y las etapas se desarrollan mediante convocatoria pública, en igualdad de condiciones, con libre concurrencia y orientadas a seleccionar objetivamente la oferta de bienes, obras o servicios más favorable para la entidad. Esta modalidad de selección, así como las demás previstas con la expedición de la Ley 1150 de 2007 para realizarse mediante convocatoria pública, culminan con el acto de adjudicación, decisión motivada de la entidad contratante por la que se concede el derecho a celebrar el contrato al mejor oferente. </w:t>
      </w:r>
      <w:r w:rsidRPr="008C01A4">
        <w:rPr>
          <w:rFonts w:ascii="Arial" w:eastAsiaTheme="minorHAnsi" w:hAnsi="Arial" w:cs="Arial"/>
          <w:color w:val="000000"/>
          <w:sz w:val="22"/>
          <w:szCs w:val="22"/>
          <w:shd w:val="clear" w:color="auto" w:fill="FFFFFF"/>
          <w:lang w:val="es-MX" w:eastAsia="en-US"/>
        </w:rPr>
        <w:t> </w:t>
      </w:r>
      <w:r w:rsidRPr="008C01A4">
        <w:rPr>
          <w:rFonts w:ascii="Arial" w:eastAsia="Calibri" w:hAnsi="Arial" w:cs="Arial"/>
          <w:sz w:val="22"/>
          <w:szCs w:val="22"/>
          <w:lang w:val="es-MX" w:eastAsia="en-US"/>
        </w:rPr>
        <w:t xml:space="preserve"> </w:t>
      </w:r>
    </w:p>
    <w:p w14:paraId="20F0DEEE" w14:textId="77777777" w:rsidR="008C01A4" w:rsidRPr="008C01A4" w:rsidRDefault="008C01A4" w:rsidP="008C01A4">
      <w:pPr>
        <w:spacing w:before="120" w:after="120" w:line="276" w:lineRule="auto"/>
        <w:ind w:firstLine="709"/>
        <w:jc w:val="both"/>
        <w:rPr>
          <w:rFonts w:ascii="Arial" w:eastAsiaTheme="minorHAnsi" w:hAnsi="Arial" w:cs="Arial"/>
          <w:bCs/>
          <w:sz w:val="22"/>
          <w:szCs w:val="22"/>
          <w:lang w:val="es-ES" w:eastAsia="en-US"/>
        </w:rPr>
      </w:pPr>
      <w:bookmarkStart w:id="31" w:name="_Hlk80082107"/>
      <w:r w:rsidRPr="008C01A4">
        <w:rPr>
          <w:rFonts w:ascii="Arial" w:eastAsiaTheme="minorHAnsi" w:hAnsi="Arial" w:cs="Arial"/>
          <w:bCs/>
          <w:sz w:val="22"/>
          <w:szCs w:val="22"/>
          <w:lang w:val="es-ES" w:eastAsia="en-US"/>
        </w:rPr>
        <w:t xml:space="preserve">La audiencia de adjudicación es la etapa del proceso de selección donde como resultado de haberse evaluado las ofertas, publicitado el resultado y de haberse respondido a las eventuales observaciones formuladas por los participantes, en ejercicio del derecho de contradicción, se escoge la propuesta más favorable a los intereses de la entidad, conforme a las reglas establecidas por el pliego de condiciones. Inicialmente, el numeral 10 del artículo 30 de la Ley 80 de 1993 establecía que la adjudicación de los procedimientos de licitación se efectuaría en audiencia pública en el evento previsto en el </w:t>
      </w:r>
      <w:r w:rsidRPr="008C01A4">
        <w:rPr>
          <w:rFonts w:ascii="Arial" w:eastAsiaTheme="minorHAnsi" w:hAnsi="Arial" w:cs="Arial"/>
          <w:bCs/>
          <w:sz w:val="22"/>
          <w:szCs w:val="22"/>
          <w:lang w:val="es-ES" w:eastAsia="en-US"/>
        </w:rPr>
        <w:lastRenderedPageBreak/>
        <w:t>artículo 273 de la Constitución Política, esto es, previa orden de la autoridad de control fiscal</w:t>
      </w:r>
      <w:r w:rsidRPr="008C01A4">
        <w:rPr>
          <w:rFonts w:ascii="Arial" w:eastAsiaTheme="minorHAnsi" w:hAnsi="Arial" w:cs="Arial"/>
          <w:bCs/>
          <w:sz w:val="22"/>
          <w:szCs w:val="22"/>
          <w:vertAlign w:val="superscript"/>
          <w:lang w:val="es-ES" w:eastAsia="en-US"/>
        </w:rPr>
        <w:footnoteReference w:id="22"/>
      </w:r>
      <w:r w:rsidRPr="008C01A4">
        <w:rPr>
          <w:rFonts w:ascii="Arial" w:eastAsiaTheme="minorHAnsi" w:hAnsi="Arial" w:cs="Arial"/>
          <w:bCs/>
          <w:sz w:val="22"/>
          <w:szCs w:val="22"/>
          <w:lang w:val="es-ES" w:eastAsia="en-US"/>
        </w:rPr>
        <w:t>.</w:t>
      </w:r>
    </w:p>
    <w:bookmarkEnd w:id="31"/>
    <w:p w14:paraId="53A5019D" w14:textId="0A4C669A" w:rsidR="008C01A4" w:rsidRPr="008C01A4" w:rsidRDefault="008C01A4" w:rsidP="008C01A4">
      <w:pPr>
        <w:spacing w:before="120" w:after="120" w:line="276" w:lineRule="auto"/>
        <w:ind w:firstLine="709"/>
        <w:jc w:val="both"/>
        <w:rPr>
          <w:rFonts w:ascii="Arial" w:eastAsiaTheme="minorHAnsi" w:hAnsi="Arial" w:cs="Arial"/>
          <w:sz w:val="22"/>
          <w:szCs w:val="22"/>
          <w:lang w:val="es-ES" w:eastAsia="en-US"/>
        </w:rPr>
      </w:pPr>
      <w:r w:rsidRPr="008C01A4">
        <w:rPr>
          <w:rFonts w:ascii="Arial" w:eastAsiaTheme="minorHAnsi" w:hAnsi="Arial" w:cs="Arial"/>
          <w:sz w:val="22"/>
          <w:szCs w:val="22"/>
          <w:lang w:val="es-ES" w:eastAsia="en-US"/>
        </w:rPr>
        <w:t xml:space="preserve">Dicho artículo constitucional consagró una regla relativa a la publicidad de la audiencia de adjudicación por la cual, a solicitud de cualquier proponente, el Contralor General de la República y demás autoridades de control fiscal pueden ordenar que el acto de adjudicación de una licitación se lleve a cabo en audiencia pública. Asimismo, defirió a la ley la competencia para regular aspectos puntuales sobre la audiencia de adjudicación, como la forma de evaluar las propuestas y las condiciones bajo las cuales se realizaría la audiencia pública. Sobre el tema, la Ley 80 de 1993, en el artículo 30, estableció la estructura del procedimiento de selección, señalando que en la audiencia pública podrán intervenir: i) servidores públicos o contratistas que apoyaron en la estructuración del análisis del sector, estudios previos, pliego y evaluaciones, entre otros, </w:t>
      </w:r>
      <w:proofErr w:type="spellStart"/>
      <w:r w:rsidRPr="008C01A4">
        <w:rPr>
          <w:rFonts w:ascii="Arial" w:eastAsiaTheme="minorHAnsi" w:hAnsi="Arial" w:cs="Arial"/>
          <w:sz w:val="22"/>
          <w:szCs w:val="22"/>
          <w:lang w:val="es-ES" w:eastAsia="en-US"/>
        </w:rPr>
        <w:t>ii</w:t>
      </w:r>
      <w:proofErr w:type="spellEnd"/>
      <w:r w:rsidRPr="008C01A4">
        <w:rPr>
          <w:rFonts w:ascii="Arial" w:eastAsiaTheme="minorHAnsi" w:hAnsi="Arial" w:cs="Arial"/>
          <w:sz w:val="22"/>
          <w:szCs w:val="22"/>
          <w:lang w:val="es-ES" w:eastAsia="en-US"/>
        </w:rPr>
        <w:t xml:space="preserve">) oferentes o proponentes y </w:t>
      </w:r>
      <w:proofErr w:type="spellStart"/>
      <w:r w:rsidRPr="008C01A4">
        <w:rPr>
          <w:rFonts w:ascii="Arial" w:eastAsiaTheme="minorHAnsi" w:hAnsi="Arial" w:cs="Arial"/>
          <w:sz w:val="22"/>
          <w:szCs w:val="22"/>
          <w:lang w:val="es-ES" w:eastAsia="en-US"/>
        </w:rPr>
        <w:t>iii</w:t>
      </w:r>
      <w:proofErr w:type="spellEnd"/>
      <w:r w:rsidRPr="008C01A4">
        <w:rPr>
          <w:rFonts w:ascii="Arial" w:eastAsiaTheme="minorHAnsi" w:hAnsi="Arial" w:cs="Arial"/>
          <w:sz w:val="22"/>
          <w:szCs w:val="22"/>
          <w:lang w:val="es-ES" w:eastAsia="en-US"/>
        </w:rPr>
        <w:t>) otras personas que deseen asistir</w:t>
      </w:r>
      <w:r w:rsidRPr="008C01A4">
        <w:rPr>
          <w:rFonts w:ascii="Arial" w:eastAsiaTheme="minorHAnsi" w:hAnsi="Arial" w:cs="Arial"/>
          <w:sz w:val="22"/>
          <w:szCs w:val="22"/>
          <w:vertAlign w:val="superscript"/>
          <w:lang w:val="es-ES" w:eastAsia="en-US"/>
        </w:rPr>
        <w:footnoteReference w:id="23"/>
      </w:r>
      <w:r w:rsidRPr="008C01A4">
        <w:rPr>
          <w:rFonts w:ascii="Arial" w:eastAsiaTheme="minorHAnsi" w:hAnsi="Arial" w:cs="Arial"/>
          <w:sz w:val="22"/>
          <w:szCs w:val="22"/>
          <w:lang w:val="es-ES" w:eastAsia="en-US"/>
        </w:rPr>
        <w:t>. Sin embargo, además de los sujetos señalados, los oferentes pueden designar personas para que intervengan en la audiencia de adjudicación.</w:t>
      </w:r>
    </w:p>
    <w:p w14:paraId="7C3BC3DD" w14:textId="77777777" w:rsidR="008C01A4" w:rsidRPr="008C01A4" w:rsidRDefault="008C01A4" w:rsidP="008C01A4">
      <w:pPr>
        <w:spacing w:before="120" w:line="276" w:lineRule="auto"/>
        <w:ind w:firstLine="709"/>
        <w:jc w:val="both"/>
        <w:rPr>
          <w:rFonts w:ascii="Arial" w:eastAsiaTheme="minorHAnsi" w:hAnsi="Arial" w:cs="Arial"/>
          <w:sz w:val="22"/>
          <w:szCs w:val="22"/>
          <w:lang w:val="es-ES" w:eastAsia="en-US"/>
        </w:rPr>
      </w:pPr>
      <w:r w:rsidRPr="008C01A4">
        <w:rPr>
          <w:rFonts w:ascii="Arial" w:eastAsiaTheme="minorHAnsi" w:hAnsi="Arial" w:cs="Arial"/>
          <w:sz w:val="22"/>
          <w:szCs w:val="22"/>
          <w:lang w:val="es-ES" w:eastAsia="en-US"/>
        </w:rPr>
        <w:t>Posteriormente, el legislador reguló este asunto en la Ley 1150 de 2007, cuyo artículo 9 reguló la etapa de adjudicación como la fase final de los procesos de selección de contratistas del Estado</w:t>
      </w:r>
      <w:r w:rsidRPr="008C01A4">
        <w:rPr>
          <w:rFonts w:ascii="Arial" w:eastAsiaTheme="minorHAnsi" w:hAnsi="Arial" w:cs="Arial"/>
          <w:sz w:val="22"/>
          <w:szCs w:val="22"/>
          <w:vertAlign w:val="superscript"/>
          <w:lang w:val="es-ES" w:eastAsia="en-US"/>
        </w:rPr>
        <w:footnoteReference w:id="24"/>
      </w:r>
      <w:r w:rsidRPr="008C01A4">
        <w:rPr>
          <w:rFonts w:ascii="Arial" w:eastAsiaTheme="minorHAnsi" w:hAnsi="Arial" w:cs="Arial"/>
          <w:sz w:val="22"/>
          <w:szCs w:val="22"/>
          <w:lang w:val="es-ES" w:eastAsia="en-US"/>
        </w:rPr>
        <w:t xml:space="preserve">. La norma determinó que, en general, en los procesos de </w:t>
      </w:r>
      <w:r w:rsidRPr="008C01A4">
        <w:rPr>
          <w:rFonts w:ascii="Arial" w:eastAsiaTheme="minorHAnsi" w:hAnsi="Arial" w:cs="Arial"/>
          <w:sz w:val="22"/>
          <w:szCs w:val="22"/>
          <w:lang w:val="es-ES" w:eastAsia="en-US"/>
        </w:rPr>
        <w:lastRenderedPageBreak/>
        <w:t xml:space="preserve">licitación pública la adjudicación se haría, obligatoriamente, en audiencia pública. Igualmente, señaló </w:t>
      </w:r>
      <w:proofErr w:type="gramStart"/>
      <w:r w:rsidRPr="008C01A4">
        <w:rPr>
          <w:rFonts w:ascii="Arial" w:eastAsiaTheme="minorHAnsi" w:hAnsi="Arial" w:cs="Arial"/>
          <w:sz w:val="22"/>
          <w:szCs w:val="22"/>
          <w:lang w:val="es-ES" w:eastAsia="en-US"/>
        </w:rPr>
        <w:t>que</w:t>
      </w:r>
      <w:proofErr w:type="gramEnd"/>
      <w:r w:rsidRPr="008C01A4">
        <w:rPr>
          <w:rFonts w:ascii="Arial" w:eastAsiaTheme="minorHAnsi" w:hAnsi="Arial" w:cs="Arial"/>
          <w:sz w:val="22"/>
          <w:szCs w:val="22"/>
          <w:lang w:val="es-ES" w:eastAsia="en-US"/>
        </w:rPr>
        <w:t xml:space="preserve"> en dicha audiencia, y de manera previa a la decisión de adjudicación, todos los interesados podrían pronunciarse sobre las decisiones adoptadas por la entidad a las observaciones planteadas al informe de evaluación. Para la Corte Constitucional, el mecanismo de publicidad de la audiencia de adjudicación es una forma de garantizar la transparencia en las decisiones de la Administración, en desarrollo de su actividad contractual. Sobre el particular, afirmó lo siguiente: </w:t>
      </w:r>
    </w:p>
    <w:p w14:paraId="1BD601B4" w14:textId="77777777" w:rsidR="008C01A4" w:rsidRPr="008C01A4" w:rsidRDefault="008C01A4" w:rsidP="008C01A4">
      <w:pPr>
        <w:spacing w:line="276" w:lineRule="auto"/>
        <w:ind w:firstLine="705"/>
        <w:jc w:val="both"/>
        <w:rPr>
          <w:rFonts w:ascii="Arial" w:eastAsiaTheme="minorHAnsi" w:hAnsi="Arial" w:cs="Arial"/>
          <w:sz w:val="22"/>
          <w:szCs w:val="22"/>
          <w:lang w:val="es-ES" w:eastAsia="en-US"/>
        </w:rPr>
      </w:pPr>
      <w:r w:rsidRPr="008C01A4">
        <w:rPr>
          <w:rFonts w:ascii="Arial" w:eastAsiaTheme="minorHAnsi" w:hAnsi="Arial" w:cs="Arial"/>
          <w:sz w:val="22"/>
          <w:szCs w:val="22"/>
          <w:lang w:val="es-ES" w:eastAsia="en-US"/>
        </w:rPr>
        <w:tab/>
      </w:r>
    </w:p>
    <w:p w14:paraId="7C0C1926" w14:textId="70ABA20C" w:rsidR="008C01A4" w:rsidRDefault="008C01A4" w:rsidP="008C01A4">
      <w:pPr>
        <w:ind w:left="709" w:right="709"/>
        <w:jc w:val="both"/>
        <w:rPr>
          <w:rFonts w:ascii="Arial" w:eastAsiaTheme="minorHAnsi" w:hAnsi="Arial" w:cs="Arial"/>
          <w:sz w:val="21"/>
          <w:szCs w:val="21"/>
          <w:lang w:val="es-ES" w:eastAsia="en-US"/>
        </w:rPr>
      </w:pPr>
      <w:r w:rsidRPr="008C01A4">
        <w:rPr>
          <w:rFonts w:ascii="Arial" w:eastAsiaTheme="minorHAnsi" w:hAnsi="Arial" w:cs="Arial"/>
          <w:sz w:val="21"/>
          <w:szCs w:val="21"/>
          <w:lang w:val="es-ES" w:eastAsia="en-US"/>
        </w:rPr>
        <w:t>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Pr="008C01A4">
        <w:rPr>
          <w:rFonts w:ascii="Arial" w:eastAsiaTheme="minorHAnsi" w:hAnsi="Arial" w:cs="Arial"/>
          <w:sz w:val="21"/>
          <w:szCs w:val="21"/>
          <w:vertAlign w:val="superscript"/>
          <w:lang w:val="es-ES" w:eastAsia="en-US"/>
        </w:rPr>
        <w:footnoteReference w:id="25"/>
      </w:r>
      <w:r w:rsidRPr="008C01A4">
        <w:rPr>
          <w:rFonts w:ascii="Arial" w:eastAsiaTheme="minorHAnsi" w:hAnsi="Arial" w:cs="Arial"/>
          <w:sz w:val="21"/>
          <w:szCs w:val="21"/>
          <w:lang w:val="es-ES" w:eastAsia="en-US"/>
        </w:rPr>
        <w:t>.</w:t>
      </w:r>
    </w:p>
    <w:p w14:paraId="7AA0ED0B" w14:textId="6A0BD204" w:rsidR="00C8217C" w:rsidRDefault="00C8217C" w:rsidP="008C01A4">
      <w:pPr>
        <w:ind w:left="709" w:right="709"/>
        <w:jc w:val="both"/>
        <w:rPr>
          <w:rFonts w:ascii="Arial" w:eastAsiaTheme="minorHAnsi" w:hAnsi="Arial" w:cs="Arial"/>
          <w:sz w:val="21"/>
          <w:szCs w:val="21"/>
          <w:lang w:val="es-ES" w:eastAsia="en-US"/>
        </w:rPr>
      </w:pPr>
    </w:p>
    <w:p w14:paraId="772DC0EF" w14:textId="4877DFB5" w:rsidR="008C01A4" w:rsidRPr="008C01A4" w:rsidRDefault="00C8217C" w:rsidP="008C01A4">
      <w:pPr>
        <w:spacing w:line="276" w:lineRule="auto"/>
        <w:jc w:val="both"/>
        <w:rPr>
          <w:rFonts w:ascii="Arial" w:eastAsiaTheme="minorHAnsi" w:hAnsi="Arial" w:cs="Arial"/>
          <w:sz w:val="22"/>
          <w:szCs w:val="22"/>
          <w:lang w:val="es-ES" w:eastAsia="en-US"/>
        </w:rPr>
      </w:pPr>
      <w:r>
        <w:rPr>
          <w:rFonts w:ascii="Arial" w:eastAsiaTheme="minorHAnsi" w:hAnsi="Arial" w:cs="Arial"/>
          <w:sz w:val="21"/>
          <w:szCs w:val="21"/>
          <w:lang w:val="es-ES" w:eastAsia="en-US"/>
        </w:rPr>
        <w:tab/>
      </w:r>
      <w:r w:rsidRPr="007F7D47">
        <w:rPr>
          <w:rFonts w:ascii="Arial" w:eastAsiaTheme="minorHAnsi" w:hAnsi="Arial" w:cs="Arial"/>
          <w:sz w:val="22"/>
          <w:szCs w:val="22"/>
          <w:lang w:val="es-ES" w:eastAsia="en-US"/>
        </w:rPr>
        <w:t xml:space="preserve">Además de lo anterior, </w:t>
      </w:r>
      <w:r w:rsidR="002560F8" w:rsidRPr="007F7D47">
        <w:rPr>
          <w:rFonts w:ascii="Arial" w:eastAsiaTheme="minorHAnsi" w:hAnsi="Arial" w:cs="Arial"/>
          <w:sz w:val="22"/>
          <w:szCs w:val="22"/>
          <w:lang w:val="es-ES" w:eastAsia="en-US"/>
        </w:rPr>
        <w:t>tratándose de procesos de licitación pública para selección a contratistas de obra, resulta importante tener en cuenta las modificaciones realizadas por el artículo 1 de la Ley 1882 de 2018, al artículo 30 de la Ley 80 de 1993, ya que mediante aquella disposición se adicionaron los parágrafos 2 y 3, que contienen regl</w:t>
      </w:r>
      <w:r w:rsidR="002560F8">
        <w:rPr>
          <w:rFonts w:ascii="Arial" w:eastAsiaTheme="minorHAnsi" w:hAnsi="Arial" w:cs="Arial"/>
          <w:sz w:val="22"/>
          <w:szCs w:val="22"/>
          <w:lang w:val="es-ES" w:eastAsia="en-US"/>
        </w:rPr>
        <w:t>a</w:t>
      </w:r>
      <w:r w:rsidR="002560F8" w:rsidRPr="007F7D47">
        <w:rPr>
          <w:rFonts w:ascii="Arial" w:eastAsiaTheme="minorHAnsi" w:hAnsi="Arial" w:cs="Arial"/>
          <w:sz w:val="22"/>
          <w:szCs w:val="22"/>
          <w:lang w:val="es-ES" w:eastAsia="en-US"/>
        </w:rPr>
        <w:t xml:space="preserve">s especiales en relación con este tipo de procesos. En armonía con lo cual, en </w:t>
      </w:r>
      <w:r w:rsidR="002560F8">
        <w:rPr>
          <w:rFonts w:ascii="Arial" w:eastAsiaTheme="minorHAnsi" w:hAnsi="Arial" w:cs="Arial"/>
          <w:sz w:val="22"/>
          <w:szCs w:val="22"/>
          <w:lang w:val="es-ES" w:eastAsia="en-US"/>
        </w:rPr>
        <w:t xml:space="preserve">el numeral 2.6. del documento base del documento tipo de licitación de obra pública de infraestructura de transporte – Versión 3 se establecieron las reglas relacionadas con la «audiencia efectiva de adjudicación». Finalmente, se precisa que la obligación de adjudicar los </w:t>
      </w:r>
      <w:r w:rsidR="002560F8">
        <w:rPr>
          <w:rFonts w:ascii="Arial" w:eastAsiaTheme="minorHAnsi" w:hAnsi="Arial" w:cs="Arial"/>
          <w:sz w:val="22"/>
          <w:szCs w:val="22"/>
          <w:lang w:val="es-ES" w:eastAsia="en-US"/>
        </w:rPr>
        <w:lastRenderedPageBreak/>
        <w:t xml:space="preserve">contratos estatales en audiencia </w:t>
      </w:r>
      <w:r w:rsidR="00291EB5">
        <w:rPr>
          <w:rFonts w:ascii="Arial" w:eastAsiaTheme="minorHAnsi" w:hAnsi="Arial" w:cs="Arial"/>
          <w:sz w:val="22"/>
          <w:szCs w:val="22"/>
          <w:lang w:val="es-ES" w:eastAsia="en-US"/>
        </w:rPr>
        <w:t>aplica para los procesos de licitación pública; no así para las demás modalidades de selección reguladas en el artículo 2 de la Ley 1150 de 2007.</w:t>
      </w:r>
    </w:p>
    <w:p w14:paraId="0B5723FA" w14:textId="7651A596" w:rsidR="00C32018" w:rsidRDefault="00E54365" w:rsidP="00870412">
      <w:pPr>
        <w:spacing w:before="240" w:line="276" w:lineRule="auto"/>
        <w:ind w:right="79"/>
        <w:jc w:val="both"/>
        <w:rPr>
          <w:rFonts w:ascii="Arial" w:eastAsia="Calibri" w:hAnsi="Arial" w:cs="Arial"/>
          <w:b/>
          <w:noProof/>
          <w:color w:val="161616" w:themeColor="background1" w:themeShade="1A"/>
          <w:sz w:val="22"/>
          <w:szCs w:val="22"/>
          <w:lang w:val="es-ES_tradnl"/>
        </w:rPr>
      </w:pPr>
      <w:bookmarkStart w:id="32" w:name="_1y810tw" w:colFirst="0" w:colLast="0"/>
      <w:bookmarkStart w:id="33" w:name="_2xcytpi" w:colFirst="0" w:colLast="0"/>
      <w:bookmarkStart w:id="34" w:name="_1ci93xb" w:colFirst="0" w:colLast="0"/>
      <w:bookmarkStart w:id="35" w:name="_3whwml4" w:colFirst="0" w:colLast="0"/>
      <w:bookmarkEnd w:id="22"/>
      <w:bookmarkEnd w:id="32"/>
      <w:bookmarkEnd w:id="33"/>
      <w:bookmarkEnd w:id="34"/>
      <w:bookmarkEnd w:id="35"/>
      <w:r w:rsidRPr="00D86474">
        <w:rPr>
          <w:rFonts w:ascii="Arial" w:eastAsia="Calibri" w:hAnsi="Arial" w:cs="Arial"/>
          <w:b/>
          <w:noProof/>
          <w:color w:val="161616" w:themeColor="background1" w:themeShade="1A"/>
          <w:sz w:val="22"/>
          <w:szCs w:val="22"/>
          <w:lang w:val="es-ES_tradnl"/>
        </w:rPr>
        <w:t>3. Respuesta</w:t>
      </w:r>
      <w:r w:rsidR="00DC7191">
        <w:rPr>
          <w:rFonts w:ascii="Arial" w:eastAsia="Calibri" w:hAnsi="Arial" w:cs="Arial"/>
          <w:b/>
          <w:noProof/>
          <w:color w:val="161616" w:themeColor="background1" w:themeShade="1A"/>
          <w:sz w:val="22"/>
          <w:szCs w:val="22"/>
          <w:lang w:val="es-ES_tradnl"/>
        </w:rPr>
        <w:t>s</w:t>
      </w:r>
    </w:p>
    <w:p w14:paraId="354A6E78" w14:textId="77777777" w:rsidR="00113E35" w:rsidRDefault="00113E35" w:rsidP="007F7D47">
      <w:pPr>
        <w:spacing w:line="276" w:lineRule="auto"/>
        <w:ind w:right="79"/>
        <w:jc w:val="both"/>
        <w:rPr>
          <w:rFonts w:ascii="Arial" w:eastAsia="Calibri" w:hAnsi="Arial" w:cs="Arial"/>
          <w:b/>
          <w:noProof/>
          <w:color w:val="161616" w:themeColor="background1" w:themeShade="1A"/>
          <w:sz w:val="22"/>
          <w:szCs w:val="22"/>
          <w:lang w:val="es-ES_tradnl"/>
        </w:rPr>
      </w:pPr>
    </w:p>
    <w:p w14:paraId="74E6A466" w14:textId="77777777" w:rsidR="00113E35" w:rsidRPr="00631B40" w:rsidRDefault="00113E35" w:rsidP="00113E35">
      <w:pPr>
        <w:tabs>
          <w:tab w:val="left" w:pos="0"/>
        </w:tabs>
        <w:spacing w:line="276" w:lineRule="auto"/>
        <w:jc w:val="both"/>
        <w:rPr>
          <w:rFonts w:ascii="Arial" w:eastAsia="Calibri" w:hAnsi="Arial" w:cs="Arial"/>
          <w:bCs/>
          <w:color w:val="000000" w:themeColor="text1"/>
          <w:sz w:val="22"/>
          <w:lang w:val="es-ES_tradnl"/>
        </w:rPr>
      </w:pPr>
      <w:r w:rsidRPr="00631B40">
        <w:rPr>
          <w:rFonts w:ascii="Arial" w:eastAsia="Calibri" w:hAnsi="Arial" w:cs="Arial"/>
          <w:bCs/>
          <w:color w:val="000000" w:themeColor="text1"/>
          <w:sz w:val="22"/>
          <w:lang w:val="es-ES_tradnl"/>
        </w:rPr>
        <w:t>Teniendo en cuenta que frente a algunas preguntas pueden plantearse respuestas o argumentos similares, para no reiterarlos, se agruparán por bloques temáticos, absolviendo los interrogantes dentro del ámbito de competencias de esta Agencia:</w:t>
      </w:r>
    </w:p>
    <w:p w14:paraId="6D72DE87" w14:textId="77777777" w:rsidR="001E6679" w:rsidRDefault="009548D4" w:rsidP="001E6679">
      <w:pPr>
        <w:spacing w:before="240"/>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t>«</w:t>
      </w:r>
      <w:r w:rsidRPr="009548D4">
        <w:rPr>
          <w:rFonts w:ascii="Arial" w:hAnsi="Arial" w:cs="Arial"/>
          <w:bCs/>
          <w:sz w:val="20"/>
          <w:szCs w:val="20"/>
          <w:lang w:val="es-MX" w:eastAsia="x-none"/>
        </w:rPr>
        <w:t xml:space="preserve">Pegunta 1. Si un proponente en su formato 5C formato de saldo de contratos en ejecución, por error reporta un contrato en ejecución, pero su estado y fechas de suspensión están mal, esto es motivo para ser rechazada la propuesta o la entidad debe de permitir subsanar ya que el contrato se reporto y dentro de la subsanación se realiza nuevamente la verificación si cumple con su capacidad residual y si cumple la entidad lo debe de habilitar? </w:t>
      </w:r>
    </w:p>
    <w:p w14:paraId="7B21A738" w14:textId="77936ABD" w:rsidR="00DC7191" w:rsidRDefault="00DC7191" w:rsidP="007F7D47">
      <w:pPr>
        <w:ind w:left="709" w:right="709"/>
        <w:jc w:val="both"/>
        <w:rPr>
          <w:rFonts w:ascii="Arial" w:hAnsi="Arial" w:cs="Arial"/>
          <w:bCs/>
          <w:sz w:val="20"/>
          <w:szCs w:val="20"/>
          <w:lang w:val="es-MX" w:eastAsia="x-none"/>
        </w:rPr>
      </w:pPr>
      <w:r>
        <w:rPr>
          <w:rFonts w:ascii="Arial" w:hAnsi="Arial" w:cs="Arial"/>
          <w:bCs/>
          <w:sz w:val="20"/>
          <w:szCs w:val="20"/>
          <w:lang w:val="es-MX" w:eastAsia="x-none"/>
        </w:rPr>
        <w:t>[…]</w:t>
      </w:r>
    </w:p>
    <w:p w14:paraId="19B3EEEB" w14:textId="601FFCF5" w:rsidR="00DC7191" w:rsidRPr="009548D4" w:rsidRDefault="001E6679" w:rsidP="00DC7191">
      <w:pPr>
        <w:spacing w:before="240"/>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t>«</w:t>
      </w:r>
      <w:r w:rsidR="00DC7191" w:rsidRPr="009548D4">
        <w:rPr>
          <w:rFonts w:ascii="Arial" w:hAnsi="Arial" w:cs="Arial"/>
          <w:bCs/>
          <w:sz w:val="20"/>
          <w:szCs w:val="20"/>
          <w:lang w:val="es-MX" w:eastAsia="x-none"/>
        </w:rPr>
        <w:t>5. En el formato 5C es causal de rechazo, reportar un contrato en ejecución, cuando realmente estaba suspendido?</w:t>
      </w:r>
    </w:p>
    <w:p w14:paraId="26E17B13" w14:textId="46382802" w:rsidR="00DC7191" w:rsidRPr="009548D4" w:rsidRDefault="001E6679" w:rsidP="00DC7191">
      <w:pPr>
        <w:spacing w:before="240"/>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t>«</w:t>
      </w:r>
      <w:r w:rsidR="00DC7191" w:rsidRPr="009548D4">
        <w:rPr>
          <w:rFonts w:ascii="Arial" w:hAnsi="Arial" w:cs="Arial"/>
          <w:bCs/>
          <w:sz w:val="20"/>
          <w:szCs w:val="20"/>
          <w:lang w:val="es-MX" w:eastAsia="x-none"/>
        </w:rPr>
        <w:t>6. En el formato 5C es causal de rechazo, reportar equivocadamente mal las fechas de suspensión de un contrato en ejecución?</w:t>
      </w:r>
    </w:p>
    <w:p w14:paraId="333B493E" w14:textId="7363A8DE" w:rsidR="00DC7191" w:rsidRPr="009548D4" w:rsidRDefault="001E6679" w:rsidP="00DC7191">
      <w:pPr>
        <w:spacing w:before="240"/>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t>«</w:t>
      </w:r>
      <w:r w:rsidR="00DC7191" w:rsidRPr="009548D4">
        <w:rPr>
          <w:rFonts w:ascii="Arial" w:hAnsi="Arial" w:cs="Arial"/>
          <w:bCs/>
          <w:sz w:val="20"/>
          <w:szCs w:val="20"/>
          <w:lang w:val="es-MX" w:eastAsia="x-none"/>
        </w:rPr>
        <w:t>7. En el formato 5C, Si un contrato cuenta con resolución de adjudicación, pero no tiene acta de inicio, este contrato se debe de reportar?» (sic).</w:t>
      </w:r>
    </w:p>
    <w:p w14:paraId="6D7EE2D8" w14:textId="77777777" w:rsidR="00D1729C" w:rsidRDefault="00D1729C" w:rsidP="00D1729C">
      <w:pPr>
        <w:spacing w:after="120" w:line="276" w:lineRule="auto"/>
        <w:ind w:right="79"/>
        <w:jc w:val="both"/>
        <w:rPr>
          <w:rFonts w:ascii="Arial" w:hAnsi="Arial" w:cs="Arial"/>
          <w:sz w:val="22"/>
          <w:szCs w:val="22"/>
        </w:rPr>
      </w:pPr>
    </w:p>
    <w:p w14:paraId="246EA36C" w14:textId="5457F676" w:rsidR="00D1729C" w:rsidRPr="003A48FA" w:rsidRDefault="00D1729C" w:rsidP="00D1729C">
      <w:pPr>
        <w:spacing w:after="120" w:line="276" w:lineRule="auto"/>
        <w:ind w:right="79"/>
        <w:jc w:val="both"/>
        <w:rPr>
          <w:rFonts w:ascii="Arial" w:hAnsi="Arial" w:cs="Arial"/>
          <w:iCs/>
          <w:color w:val="000000" w:themeColor="text1"/>
          <w:sz w:val="22"/>
          <w:szCs w:val="22"/>
          <w:lang w:val="es-ES_tradnl"/>
        </w:rPr>
      </w:pPr>
      <w:r w:rsidRPr="003A48FA">
        <w:rPr>
          <w:rFonts w:ascii="Arial" w:hAnsi="Arial" w:cs="Arial"/>
          <w:sz w:val="22"/>
          <w:szCs w:val="22"/>
        </w:rPr>
        <w:t xml:space="preserve">De conformidad con lo expuesto, el «Saldo de Contratos en </w:t>
      </w:r>
      <w:r w:rsidR="006709A7" w:rsidRPr="003A48FA">
        <w:rPr>
          <w:rFonts w:ascii="Arial" w:hAnsi="Arial" w:cs="Arial"/>
          <w:sz w:val="22"/>
          <w:szCs w:val="22"/>
        </w:rPr>
        <w:t>E</w:t>
      </w:r>
      <w:r w:rsidRPr="003A48FA">
        <w:rPr>
          <w:rFonts w:ascii="Arial" w:hAnsi="Arial" w:cs="Arial"/>
          <w:sz w:val="22"/>
          <w:szCs w:val="22"/>
        </w:rPr>
        <w:t xml:space="preserve">jecución» corresponde a la sumatoria de los saldos de los «Contratos en ejecución» que obligan al proponente a la ejecución de obras civiles, en los que el proponente tiene obligaciones pendientes de ejecutar, bien sea con entidades estatales o entidades privadas. </w:t>
      </w:r>
      <w:r w:rsidRPr="003A48FA">
        <w:rPr>
          <w:rFonts w:ascii="Arial" w:hAnsi="Arial" w:cs="Arial"/>
          <w:iCs/>
          <w:color w:val="000000" w:themeColor="text1"/>
          <w:sz w:val="22"/>
          <w:szCs w:val="22"/>
          <w:lang w:val="es-ES_tradnl"/>
        </w:rPr>
        <w:t>Frente al particular, la «Guía para Determinar y Verificar la Capacidad Residual del Proponente en los Procesos de Contratación de Obra Pública» define los Contratos en ejecución de la siguiente manera: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2DFE8EAB" w14:textId="59E64977" w:rsidR="00DC7191" w:rsidRPr="003A48FA" w:rsidRDefault="00D1729C" w:rsidP="007F7D47">
      <w:pPr>
        <w:spacing w:after="120" w:line="276" w:lineRule="auto"/>
        <w:ind w:right="79" w:firstLine="708"/>
        <w:jc w:val="both"/>
        <w:rPr>
          <w:rFonts w:ascii="Arial" w:eastAsia="Arial" w:hAnsi="Arial" w:cs="Arial"/>
          <w:color w:val="161616" w:themeColor="background1" w:themeShade="1A"/>
          <w:sz w:val="22"/>
          <w:szCs w:val="22"/>
        </w:rPr>
      </w:pPr>
      <w:r w:rsidRPr="003A48FA">
        <w:rPr>
          <w:rFonts w:ascii="Arial" w:eastAsia="Arial" w:hAnsi="Arial" w:cs="Arial"/>
          <w:color w:val="161616" w:themeColor="background1" w:themeShade="1A"/>
          <w:sz w:val="22"/>
          <w:szCs w:val="22"/>
        </w:rPr>
        <w:t>De acuerdo con lo anterior,</w:t>
      </w:r>
      <w:r w:rsidR="006709A7" w:rsidRPr="003A48FA">
        <w:rPr>
          <w:rFonts w:ascii="Arial" w:eastAsia="Arial" w:hAnsi="Arial" w:cs="Arial"/>
          <w:color w:val="161616" w:themeColor="background1" w:themeShade="1A"/>
          <w:sz w:val="22"/>
          <w:szCs w:val="22"/>
        </w:rPr>
        <w:t xml:space="preserve"> para acreditar el factor saldos de los contratos en ejecución «SCE»  como lo establece la Guía, el proponente debe presentar la lista de contratos de obras civiles en ejecución, tanto a nivel nacional como internacional señalando: i) el valor del contrato; </w:t>
      </w:r>
      <w:proofErr w:type="spellStart"/>
      <w:r w:rsidR="006709A7" w:rsidRPr="003A48FA">
        <w:rPr>
          <w:rFonts w:ascii="Arial" w:eastAsia="Arial" w:hAnsi="Arial" w:cs="Arial"/>
          <w:color w:val="161616" w:themeColor="background1" w:themeShade="1A"/>
          <w:sz w:val="22"/>
          <w:szCs w:val="22"/>
        </w:rPr>
        <w:t>ii</w:t>
      </w:r>
      <w:proofErr w:type="spellEnd"/>
      <w:r w:rsidR="006709A7" w:rsidRPr="003A48FA">
        <w:rPr>
          <w:rFonts w:ascii="Arial" w:eastAsia="Arial" w:hAnsi="Arial" w:cs="Arial"/>
          <w:color w:val="161616" w:themeColor="background1" w:themeShade="1A"/>
          <w:sz w:val="22"/>
          <w:szCs w:val="22"/>
        </w:rPr>
        <w:t xml:space="preserve">) el plazo del contrato en meses; </w:t>
      </w:r>
      <w:proofErr w:type="spellStart"/>
      <w:r w:rsidR="006709A7" w:rsidRPr="003A48FA">
        <w:rPr>
          <w:rFonts w:ascii="Arial" w:eastAsia="Arial" w:hAnsi="Arial" w:cs="Arial"/>
          <w:color w:val="161616" w:themeColor="background1" w:themeShade="1A"/>
          <w:sz w:val="22"/>
          <w:szCs w:val="22"/>
        </w:rPr>
        <w:t>iii</w:t>
      </w:r>
      <w:proofErr w:type="spellEnd"/>
      <w:r w:rsidR="006709A7" w:rsidRPr="003A48FA">
        <w:rPr>
          <w:rFonts w:ascii="Arial" w:eastAsia="Arial" w:hAnsi="Arial" w:cs="Arial"/>
          <w:color w:val="161616" w:themeColor="background1" w:themeShade="1A"/>
          <w:sz w:val="22"/>
          <w:szCs w:val="22"/>
        </w:rPr>
        <w:t xml:space="preserve">) la fecha de inicio </w:t>
      </w:r>
      <w:r w:rsidR="006709A7" w:rsidRPr="003A48FA">
        <w:rPr>
          <w:rFonts w:ascii="Arial" w:eastAsia="Arial" w:hAnsi="Arial" w:cs="Arial"/>
          <w:color w:val="161616" w:themeColor="background1" w:themeShade="1A"/>
          <w:sz w:val="22"/>
          <w:szCs w:val="22"/>
        </w:rPr>
        <w:lastRenderedPageBreak/>
        <w:t xml:space="preserve">de las obras objeto del contrato (día, mes, año); </w:t>
      </w:r>
      <w:proofErr w:type="spellStart"/>
      <w:r w:rsidR="006709A7" w:rsidRPr="003A48FA">
        <w:rPr>
          <w:rFonts w:ascii="Arial" w:eastAsia="Arial" w:hAnsi="Arial" w:cs="Arial"/>
          <w:color w:val="161616" w:themeColor="background1" w:themeShade="1A"/>
          <w:sz w:val="22"/>
          <w:szCs w:val="22"/>
        </w:rPr>
        <w:t>iv</w:t>
      </w:r>
      <w:proofErr w:type="spellEnd"/>
      <w:r w:rsidR="006709A7" w:rsidRPr="003A48FA">
        <w:rPr>
          <w:rFonts w:ascii="Arial" w:eastAsia="Arial" w:hAnsi="Arial" w:cs="Arial"/>
          <w:color w:val="161616" w:themeColor="background1" w:themeShade="1A"/>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w:t>
      </w:r>
      <w:r w:rsidRPr="003A48FA">
        <w:rPr>
          <w:rFonts w:ascii="Arial" w:eastAsia="Arial" w:hAnsi="Arial" w:cs="Arial"/>
          <w:color w:val="161616" w:themeColor="background1" w:themeShade="1A"/>
          <w:sz w:val="22"/>
          <w:szCs w:val="22"/>
        </w:rPr>
        <w:t xml:space="preserve"> </w:t>
      </w:r>
    </w:p>
    <w:p w14:paraId="12104B0E" w14:textId="77777777" w:rsidR="00C37B92" w:rsidRDefault="003A48FA" w:rsidP="007F7D47">
      <w:pPr>
        <w:spacing w:after="120" w:line="276" w:lineRule="auto"/>
        <w:ind w:right="79" w:firstLine="708"/>
        <w:jc w:val="both"/>
        <w:rPr>
          <w:rFonts w:ascii="Arial" w:eastAsia="Arial" w:hAnsi="Arial" w:cs="Arial"/>
          <w:color w:val="161616" w:themeColor="background1" w:themeShade="1A"/>
          <w:sz w:val="22"/>
          <w:szCs w:val="22"/>
        </w:rPr>
      </w:pPr>
      <w:r w:rsidRPr="003A48FA">
        <w:rPr>
          <w:rFonts w:ascii="Arial" w:eastAsia="Arial" w:hAnsi="Arial" w:cs="Arial"/>
          <w:color w:val="161616" w:themeColor="background1" w:themeShade="1A"/>
          <w:sz w:val="22"/>
          <w:szCs w:val="22"/>
        </w:rPr>
        <w:t xml:space="preserve">De otro lado, al menos tres causales de rechazo del numeral 1.15 </w:t>
      </w:r>
      <w:r w:rsidRPr="003A48FA">
        <w:rPr>
          <w:rFonts w:ascii="Arial" w:hAnsi="Arial" w:cs="Arial"/>
          <w:sz w:val="22"/>
          <w:szCs w:val="22"/>
          <w:lang w:val="es-MX"/>
        </w:rPr>
        <w:t xml:space="preserve">del documento base de obra de licitación para obra pública de infraestructura de transporte –versión 3– </w:t>
      </w:r>
      <w:r w:rsidRPr="003A48FA">
        <w:rPr>
          <w:rFonts w:ascii="Arial" w:eastAsia="Arial" w:hAnsi="Arial" w:cs="Arial"/>
          <w:color w:val="161616" w:themeColor="background1" w:themeShade="1A"/>
          <w:sz w:val="22"/>
          <w:szCs w:val="22"/>
        </w:rPr>
        <w:t xml:space="preserve">se relacionan con la capacidad residual como requisito habilitante, esto es, los literales E, H y Z. </w:t>
      </w:r>
      <w:r w:rsidR="00C37B92">
        <w:rPr>
          <w:rFonts w:ascii="Arial" w:eastAsia="Arial" w:hAnsi="Arial" w:cs="Arial"/>
          <w:color w:val="161616" w:themeColor="background1" w:themeShade="1A"/>
          <w:sz w:val="22"/>
          <w:szCs w:val="22"/>
        </w:rPr>
        <w:t>L</w:t>
      </w:r>
      <w:r w:rsidRPr="003A48FA">
        <w:rPr>
          <w:rFonts w:ascii="Arial" w:eastAsia="Arial" w:hAnsi="Arial" w:cs="Arial"/>
          <w:color w:val="161616" w:themeColor="background1" w:themeShade="1A"/>
          <w:sz w:val="22"/>
          <w:szCs w:val="22"/>
        </w:rPr>
        <w:t>as tres causales de rechazo mencionadas tienen el siguiente alcance:</w:t>
      </w:r>
      <w:r w:rsidR="00C37B92">
        <w:rPr>
          <w:rFonts w:ascii="Arial" w:eastAsia="Arial" w:hAnsi="Arial" w:cs="Arial"/>
          <w:color w:val="161616" w:themeColor="background1" w:themeShade="1A"/>
          <w:sz w:val="22"/>
          <w:szCs w:val="22"/>
        </w:rPr>
        <w:t xml:space="preserve"> </w:t>
      </w:r>
    </w:p>
    <w:p w14:paraId="42B8D28E" w14:textId="77777777" w:rsidR="00C37B92" w:rsidRDefault="003A48FA" w:rsidP="007F7D47">
      <w:pPr>
        <w:spacing w:after="120" w:line="276" w:lineRule="auto"/>
        <w:ind w:right="79" w:firstLine="708"/>
        <w:jc w:val="both"/>
        <w:rPr>
          <w:rFonts w:ascii="Arial" w:eastAsia="Arial" w:hAnsi="Arial" w:cs="Arial"/>
          <w:color w:val="161616" w:themeColor="background1" w:themeShade="1A"/>
          <w:sz w:val="22"/>
          <w:szCs w:val="22"/>
        </w:rPr>
      </w:pPr>
      <w:r w:rsidRPr="003A48FA">
        <w:rPr>
          <w:rFonts w:ascii="Arial" w:eastAsia="Arial" w:hAnsi="Arial" w:cs="Arial"/>
          <w:color w:val="161616" w:themeColor="background1" w:themeShade="1A"/>
          <w:sz w:val="22"/>
          <w:szCs w:val="22"/>
        </w:rPr>
        <w:t xml:space="preserve">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r w:rsidR="00C37B92">
        <w:rPr>
          <w:rFonts w:ascii="Arial" w:eastAsia="Arial" w:hAnsi="Arial" w:cs="Arial"/>
          <w:color w:val="161616" w:themeColor="background1" w:themeShade="1A"/>
          <w:sz w:val="22"/>
          <w:szCs w:val="22"/>
        </w:rPr>
        <w:t xml:space="preserve"> </w:t>
      </w:r>
      <w:proofErr w:type="spellStart"/>
      <w:r w:rsidRPr="003A48FA">
        <w:rPr>
          <w:rFonts w:ascii="Arial" w:eastAsia="Arial" w:hAnsi="Arial" w:cs="Arial"/>
          <w:color w:val="161616" w:themeColor="background1" w:themeShade="1A"/>
          <w:sz w:val="22"/>
          <w:szCs w:val="22"/>
        </w:rPr>
        <w:t>ii</w:t>
      </w:r>
      <w:proofErr w:type="spellEnd"/>
      <w:r w:rsidRPr="003A48FA">
        <w:rPr>
          <w:rFonts w:ascii="Arial" w:eastAsia="Arial" w:hAnsi="Arial" w:cs="Arial"/>
          <w:color w:val="161616" w:themeColor="background1" w:themeShade="1A"/>
          <w:sz w:val="22"/>
          <w:szCs w:val="22"/>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r w:rsidR="00C37B92">
        <w:rPr>
          <w:rFonts w:ascii="Arial" w:eastAsia="Arial" w:hAnsi="Arial" w:cs="Arial"/>
          <w:color w:val="161616" w:themeColor="background1" w:themeShade="1A"/>
          <w:sz w:val="22"/>
          <w:szCs w:val="22"/>
        </w:rPr>
        <w:t xml:space="preserve"> </w:t>
      </w:r>
      <w:proofErr w:type="spellStart"/>
      <w:r w:rsidRPr="003A48FA">
        <w:rPr>
          <w:rFonts w:ascii="Arial" w:eastAsia="Arial" w:hAnsi="Arial" w:cs="Arial"/>
          <w:color w:val="161616" w:themeColor="background1" w:themeShade="1A"/>
          <w:sz w:val="22"/>
          <w:szCs w:val="22"/>
        </w:rPr>
        <w:t>iii</w:t>
      </w:r>
      <w:proofErr w:type="spellEnd"/>
      <w:r w:rsidRPr="003A48FA">
        <w:rPr>
          <w:rFonts w:ascii="Arial" w:eastAsia="Arial" w:hAnsi="Arial" w:cs="Arial"/>
          <w:color w:val="161616" w:themeColor="background1" w:themeShade="1A"/>
          <w:sz w:val="22"/>
          <w:szCs w:val="22"/>
        </w:rPr>
        <w:t xml:space="preserve">)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06FD8813" w14:textId="200208EF" w:rsidR="003A48FA" w:rsidRDefault="00C37B92" w:rsidP="007F7D47">
      <w:pPr>
        <w:spacing w:after="120" w:line="276" w:lineRule="auto"/>
        <w:ind w:right="79" w:firstLine="708"/>
        <w:jc w:val="both"/>
        <w:rPr>
          <w:rFonts w:ascii="Arial" w:eastAsia="Arial" w:hAnsi="Arial" w:cs="Arial"/>
          <w:color w:val="161616" w:themeColor="background1" w:themeShade="1A"/>
          <w:sz w:val="22"/>
          <w:szCs w:val="22"/>
        </w:rPr>
      </w:pPr>
      <w:r w:rsidRPr="00ED0894">
        <w:rPr>
          <w:rFonts w:ascii="Arial" w:hAnsi="Arial" w:cs="Arial"/>
        </w:rPr>
        <w:t>«</w:t>
      </w:r>
      <w:r w:rsidR="003A48FA" w:rsidRPr="003A48FA">
        <w:rPr>
          <w:rFonts w:ascii="Arial" w:eastAsia="Arial" w:hAnsi="Arial" w:cs="Arial"/>
          <w:color w:val="161616" w:themeColor="background1" w:themeShade="1A"/>
          <w:sz w:val="22"/>
          <w:szCs w:val="22"/>
        </w:rPr>
        <w:t>1.11 INFORMACIÓN INEXACTA</w:t>
      </w:r>
      <w:r w:rsidR="00073FE3">
        <w:rPr>
          <w:rFonts w:ascii="Arial" w:eastAsia="Arial" w:hAnsi="Arial" w:cs="Arial"/>
          <w:color w:val="161616" w:themeColor="background1" w:themeShade="1A"/>
          <w:sz w:val="22"/>
          <w:szCs w:val="22"/>
        </w:rPr>
        <w:t>. //</w:t>
      </w:r>
      <w:r w:rsidR="003A48FA" w:rsidRPr="003A48FA">
        <w:rPr>
          <w:rFonts w:ascii="Arial" w:eastAsia="Arial" w:hAnsi="Arial" w:cs="Arial"/>
          <w:color w:val="161616" w:themeColor="background1" w:themeShade="1A"/>
          <w:sz w:val="22"/>
          <w:szCs w:val="22"/>
        </w:rPr>
        <w:t xml:space="preserve"> La Entidad se reserva el derecho de verificar integralmente la información aportada por el Proponente. Para esto, puede acudir a las autoridades, personas, empresas o entidades respectivas. Cuando exista inconsistencia entre la información suministrada por el Proponente y la efectivamente verificada por la Entidad, la información que pretende demostrar el Proponente se tendrá por no acreditada. 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r w:rsidRPr="00ED0894">
        <w:rPr>
          <w:rFonts w:ascii="Arial" w:hAnsi="Arial" w:cs="Arial"/>
        </w:rPr>
        <w:t>»</w:t>
      </w:r>
      <w:r>
        <w:rPr>
          <w:rFonts w:ascii="Arial" w:eastAsia="Arial" w:hAnsi="Arial" w:cs="Arial"/>
          <w:color w:val="161616" w:themeColor="background1" w:themeShade="1A"/>
          <w:sz w:val="22"/>
          <w:szCs w:val="22"/>
        </w:rPr>
        <w:t xml:space="preserve"> </w:t>
      </w:r>
      <w:r w:rsidR="003A48FA" w:rsidRPr="003A48FA">
        <w:rPr>
          <w:rFonts w:ascii="Arial" w:eastAsia="Arial" w:hAnsi="Arial" w:cs="Arial"/>
          <w:color w:val="161616" w:themeColor="background1" w:themeShade="1A"/>
          <w:sz w:val="22"/>
          <w:szCs w:val="22"/>
        </w:rPr>
        <w:t>Este numeral faculta a la entidad estatal para verificar la información aportada, para lo cual podrá acudir a las autoridades, personas, empresas o entidades que estén en posición de otorgar la información. No obstante, tal verificación es potestativa, no obligatoria</w:t>
      </w:r>
      <w:r>
        <w:rPr>
          <w:rFonts w:ascii="Arial" w:eastAsia="Arial" w:hAnsi="Arial" w:cs="Arial"/>
          <w:color w:val="161616" w:themeColor="background1" w:themeShade="1A"/>
          <w:sz w:val="22"/>
          <w:szCs w:val="22"/>
        </w:rPr>
        <w:t>.</w:t>
      </w:r>
    </w:p>
    <w:p w14:paraId="18075A10" w14:textId="0C2565EE" w:rsidR="00C37B92" w:rsidRDefault="00C37B92" w:rsidP="007F7D47">
      <w:pPr>
        <w:spacing w:after="120" w:line="276" w:lineRule="auto"/>
        <w:ind w:right="79" w:firstLine="708"/>
        <w:jc w:val="both"/>
        <w:rPr>
          <w:rFonts w:ascii="Arial" w:eastAsia="Arial" w:hAnsi="Arial" w:cs="Arial"/>
          <w:color w:val="161616" w:themeColor="background1" w:themeShade="1A"/>
          <w:sz w:val="22"/>
          <w:szCs w:val="22"/>
        </w:rPr>
      </w:pPr>
      <w:r>
        <w:rPr>
          <w:rFonts w:ascii="Arial" w:eastAsia="Arial" w:hAnsi="Arial" w:cs="Arial"/>
          <w:color w:val="161616" w:themeColor="background1" w:themeShade="1A"/>
          <w:sz w:val="22"/>
          <w:szCs w:val="22"/>
        </w:rPr>
        <w:lastRenderedPageBreak/>
        <w:t>Finalmente, e</w:t>
      </w:r>
      <w:r w:rsidRPr="00C37B92">
        <w:rPr>
          <w:rFonts w:ascii="Arial" w:eastAsia="Arial" w:hAnsi="Arial" w:cs="Arial"/>
          <w:color w:val="161616" w:themeColor="background1" w:themeShade="1A"/>
          <w:sz w:val="22"/>
          <w:szCs w:val="22"/>
        </w:rPr>
        <w:t xml:space="preserv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46527786" w14:textId="5BB4D2CB" w:rsidR="00C37B92" w:rsidRPr="00C37B92" w:rsidRDefault="00C37B92" w:rsidP="007F7D47">
      <w:pPr>
        <w:spacing w:after="120" w:line="276" w:lineRule="auto"/>
        <w:ind w:right="79" w:firstLine="708"/>
        <w:jc w:val="both"/>
        <w:rPr>
          <w:rFonts w:ascii="Arial" w:eastAsia="Arial" w:hAnsi="Arial" w:cs="Arial"/>
          <w:color w:val="161616" w:themeColor="background1" w:themeShade="1A"/>
          <w:sz w:val="22"/>
          <w:szCs w:val="22"/>
        </w:rPr>
      </w:pPr>
      <w:r w:rsidRPr="00C37B92">
        <w:rPr>
          <w:rFonts w:ascii="Arial" w:eastAsia="Arial" w:hAnsi="Arial" w:cs="Arial"/>
          <w:color w:val="161616" w:themeColor="background1" w:themeShade="1A"/>
          <w:sz w:val="22"/>
          <w:szCs w:val="22"/>
        </w:rPr>
        <w:t xml:space="preserve">«3.10. CAPACIDAD RESIDUAL </w:t>
      </w:r>
      <w:r w:rsidR="00073FE3">
        <w:rPr>
          <w:rFonts w:ascii="Arial" w:eastAsia="Arial" w:hAnsi="Arial" w:cs="Arial"/>
          <w:color w:val="161616" w:themeColor="background1" w:themeShade="1A"/>
          <w:sz w:val="22"/>
          <w:szCs w:val="22"/>
        </w:rPr>
        <w:t xml:space="preserve">// </w:t>
      </w:r>
      <w:r w:rsidRPr="00C37B92">
        <w:rPr>
          <w:rFonts w:ascii="Arial" w:eastAsia="Arial" w:hAnsi="Arial" w:cs="Arial"/>
          <w:color w:val="161616" w:themeColor="background1" w:themeShade="1A"/>
          <w:sz w:val="22"/>
          <w:szCs w:val="22"/>
        </w:rPr>
        <w:t>El Proponente será hábil si la capacidad residual del Proponente (CRP) es mayor</w:t>
      </w:r>
      <w:r>
        <w:rPr>
          <w:rFonts w:ascii="Arial" w:eastAsia="Arial" w:hAnsi="Arial" w:cs="Arial"/>
          <w:color w:val="161616" w:themeColor="background1" w:themeShade="1A"/>
          <w:sz w:val="22"/>
          <w:szCs w:val="22"/>
        </w:rPr>
        <w:t xml:space="preserve"> </w:t>
      </w:r>
      <w:r w:rsidRPr="00C37B92">
        <w:rPr>
          <w:rFonts w:ascii="Arial" w:eastAsia="Arial" w:hAnsi="Arial" w:cs="Arial"/>
          <w:color w:val="161616" w:themeColor="background1" w:themeShade="1A"/>
          <w:sz w:val="22"/>
          <w:szCs w:val="22"/>
        </w:rPr>
        <w:t>o igual a la capacidad residual de Proceso de Contratación (CRPC). Así: CRP ≥CRPC</w:t>
      </w:r>
      <w:r>
        <w:rPr>
          <w:rFonts w:ascii="Arial" w:eastAsia="Arial" w:hAnsi="Arial" w:cs="Arial"/>
          <w:color w:val="161616" w:themeColor="background1" w:themeShade="1A"/>
          <w:sz w:val="22"/>
          <w:szCs w:val="22"/>
        </w:rPr>
        <w:t xml:space="preserve"> </w:t>
      </w:r>
      <w:r w:rsidRPr="00C37B92">
        <w:rPr>
          <w:rFonts w:ascii="Arial" w:eastAsia="Arial" w:hAnsi="Arial" w:cs="Arial"/>
          <w:color w:val="161616" w:themeColor="background1" w:themeShade="1A"/>
          <w:sz w:val="22"/>
          <w:szCs w:val="22"/>
        </w:rPr>
        <w:t xml:space="preserve">Los Proponentes acreditarán la capacidad residual o K de contratación conforme se describe a continuación. </w:t>
      </w:r>
      <w:r w:rsidR="00073FE3">
        <w:rPr>
          <w:rFonts w:ascii="Arial" w:eastAsia="Arial" w:hAnsi="Arial" w:cs="Arial"/>
          <w:color w:val="161616" w:themeColor="background1" w:themeShade="1A"/>
          <w:sz w:val="22"/>
          <w:szCs w:val="22"/>
        </w:rPr>
        <w:t xml:space="preserve">// </w:t>
      </w:r>
      <w:r w:rsidRPr="00C37B92">
        <w:rPr>
          <w:rFonts w:ascii="Arial" w:eastAsia="Arial" w:hAnsi="Arial" w:cs="Arial"/>
          <w:color w:val="161616" w:themeColor="background1" w:themeShade="1A"/>
          <w:sz w:val="22"/>
          <w:szCs w:val="22"/>
        </w:rPr>
        <w:t xml:space="preserve">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r w:rsidR="006B7ACA">
        <w:rPr>
          <w:rFonts w:ascii="Arial" w:eastAsia="Arial" w:hAnsi="Arial" w:cs="Arial"/>
          <w:color w:val="161616" w:themeColor="background1" w:themeShade="1A"/>
          <w:sz w:val="22"/>
          <w:szCs w:val="22"/>
        </w:rPr>
        <w:t xml:space="preserve"> </w:t>
      </w:r>
      <w:r w:rsidRPr="00C37B92">
        <w:rPr>
          <w:rFonts w:ascii="Arial" w:eastAsia="Arial" w:hAnsi="Arial" w:cs="Arial"/>
          <w:color w:val="161616" w:themeColor="background1" w:themeShade="1A"/>
          <w:sz w:val="22"/>
          <w:szCs w:val="22"/>
        </w:rPr>
        <w:t>Lo anterior, sin perjuicio de las acciones administrativas y/o judiciales a que haya lugar, en contra de la (s) persona (s) que haya (n) suscrito las certificaciones exigidas para el cálculo de la capacidad residual.</w:t>
      </w:r>
      <w:r w:rsidR="006B7ACA">
        <w:rPr>
          <w:rFonts w:ascii="Arial" w:eastAsia="Arial" w:hAnsi="Arial" w:cs="Arial"/>
          <w:color w:val="161616" w:themeColor="background1" w:themeShade="1A"/>
          <w:sz w:val="22"/>
          <w:szCs w:val="22"/>
        </w:rPr>
        <w:t xml:space="preserve"> </w:t>
      </w:r>
      <w:r w:rsidRPr="00C37B92">
        <w:rPr>
          <w:rFonts w:ascii="Arial" w:eastAsia="Arial" w:hAnsi="Arial" w:cs="Arial"/>
          <w:color w:val="161616" w:themeColor="background1" w:themeShade="1A"/>
          <w:sz w:val="22"/>
          <w:szCs w:val="22"/>
        </w:rPr>
        <w:t xml:space="preserve">[…]» (Énfasis fuera de texto) </w:t>
      </w:r>
    </w:p>
    <w:p w14:paraId="15393017" w14:textId="0670C92E" w:rsidR="00C37B92" w:rsidRDefault="00C37B92" w:rsidP="007F7D47">
      <w:pPr>
        <w:spacing w:after="120" w:line="276" w:lineRule="auto"/>
        <w:ind w:right="79" w:firstLine="709"/>
        <w:jc w:val="both"/>
        <w:rPr>
          <w:rFonts w:ascii="Arial" w:eastAsia="Arial" w:hAnsi="Arial" w:cs="Arial"/>
          <w:color w:val="161616" w:themeColor="background1" w:themeShade="1A"/>
          <w:sz w:val="22"/>
          <w:szCs w:val="22"/>
        </w:rPr>
      </w:pPr>
      <w:r w:rsidRPr="00C37B92">
        <w:rPr>
          <w:rFonts w:ascii="Arial" w:eastAsia="Arial" w:hAnsi="Arial" w:cs="Arial"/>
          <w:color w:val="161616" w:themeColor="background1" w:themeShade="1A"/>
          <w:sz w:val="22"/>
          <w:szCs w:val="22"/>
        </w:rPr>
        <w:t>De conformidad con esta regla, el rechazo de la oferta procede cuando en ejercicio de la potestad verificadora se advierta que se dejó de incluir información que afecta la capacidad residual del proponente, esto es, la referente a contratos de obra en ejecución.</w:t>
      </w:r>
    </w:p>
    <w:p w14:paraId="2FE2A821" w14:textId="3AB02760" w:rsidR="00073FE3" w:rsidRDefault="00073FE3" w:rsidP="00073FE3">
      <w:pPr>
        <w:spacing w:after="120" w:line="276" w:lineRule="auto"/>
        <w:ind w:right="79" w:firstLine="709"/>
        <w:jc w:val="both"/>
        <w:rPr>
          <w:rFonts w:ascii="Arial" w:eastAsia="Arial" w:hAnsi="Arial" w:cs="Arial"/>
          <w:color w:val="161616" w:themeColor="background1" w:themeShade="1A"/>
          <w:sz w:val="22"/>
          <w:szCs w:val="22"/>
        </w:rPr>
      </w:pPr>
      <w:r>
        <w:rPr>
          <w:rFonts w:ascii="Arial" w:eastAsia="Arial" w:hAnsi="Arial" w:cs="Arial"/>
          <w:color w:val="161616" w:themeColor="background1" w:themeShade="1A"/>
          <w:sz w:val="22"/>
          <w:szCs w:val="22"/>
        </w:rPr>
        <w:t>Con fundamento en las reglas anterior y las explicaciones adicionales que se realizaron en las consideraciones, corresponderá a cada entidad estatal tomar las decisiones que correspondan en cada procedimiento de selección.</w:t>
      </w:r>
    </w:p>
    <w:p w14:paraId="3AC5B28C" w14:textId="77777777" w:rsidR="005E5651" w:rsidRDefault="005E5651" w:rsidP="007F7D47">
      <w:pPr>
        <w:spacing w:before="120" w:after="120" w:line="276" w:lineRule="auto"/>
        <w:ind w:firstLine="708"/>
        <w:jc w:val="both"/>
        <w:rPr>
          <w:rFonts w:ascii="Arial" w:hAnsi="Arial" w:cs="Arial"/>
          <w:bCs/>
          <w:sz w:val="22"/>
          <w:szCs w:val="22"/>
          <w:lang w:val="es-MX"/>
        </w:rPr>
      </w:pPr>
      <w:r>
        <w:rPr>
          <w:rFonts w:ascii="Arial" w:eastAsia="Arial" w:hAnsi="Arial" w:cs="Arial"/>
          <w:color w:val="161616" w:themeColor="background1" w:themeShade="1A"/>
          <w:sz w:val="22"/>
          <w:szCs w:val="22"/>
        </w:rPr>
        <w:t xml:space="preserve">Finalmente, como se señaló en el numeral 2.3 de este concepto, </w:t>
      </w:r>
      <w:r w:rsidRPr="00AC57DD">
        <w:rPr>
          <w:rFonts w:ascii="Arial" w:hAnsi="Arial" w:cs="Arial"/>
          <w:sz w:val="22"/>
          <w:szCs w:val="22"/>
          <w:lang w:val="es-MX"/>
        </w:rPr>
        <w:t xml:space="preserve">conforme a las definiciones previstas en </w:t>
      </w:r>
      <w:r w:rsidRPr="00AC57DD">
        <w:rPr>
          <w:rFonts w:ascii="Arial" w:hAnsi="Arial" w:cs="Arial"/>
          <w:bCs/>
          <w:sz w:val="22"/>
          <w:szCs w:val="22"/>
          <w:lang w:val="es-ES"/>
        </w:rPr>
        <w:t>la Guía para Determinar y Verificar la Capacidad Residual del Proponente en los Procesos de Contratación de Obra Pública, el numeral II del literal E del numeral 3.10.2 del documento base dispone que «</w:t>
      </w:r>
      <w:r w:rsidRPr="00AC57DD">
        <w:rPr>
          <w:rFonts w:ascii="Arial" w:hAnsi="Arial" w:cs="Arial"/>
          <w:bCs/>
          <w:sz w:val="22"/>
          <w:szCs w:val="22"/>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14:paraId="4D5F661F" w14:textId="77777777" w:rsidR="005E5651" w:rsidRPr="00AC57DD" w:rsidRDefault="005E5651" w:rsidP="005E5651">
      <w:pPr>
        <w:spacing w:line="276" w:lineRule="auto"/>
        <w:ind w:firstLine="708"/>
        <w:jc w:val="both"/>
        <w:rPr>
          <w:rFonts w:ascii="Arial" w:hAnsi="Arial" w:cs="Arial"/>
          <w:bCs/>
          <w:sz w:val="22"/>
          <w:szCs w:val="22"/>
          <w:lang w:val="es-MX"/>
        </w:rPr>
      </w:pPr>
      <w:r w:rsidRPr="00AC57DD">
        <w:rPr>
          <w:rFonts w:ascii="Arial" w:hAnsi="Arial" w:cs="Arial"/>
          <w:bCs/>
          <w:sz w:val="22"/>
          <w:szCs w:val="22"/>
          <w:lang w:val="es-MX"/>
        </w:rPr>
        <w:t xml:space="preserve">Como se observa, la definición solo aplica a los </w:t>
      </w:r>
      <w:r w:rsidRPr="00AC57DD">
        <w:rPr>
          <w:rFonts w:ascii="Arial" w:hAnsi="Arial" w:cs="Arial"/>
          <w:bCs/>
          <w:i/>
          <w:iCs/>
          <w:sz w:val="22"/>
          <w:szCs w:val="22"/>
          <w:lang w:val="es-MX"/>
        </w:rPr>
        <w:t>contratos perfeccionados</w:t>
      </w:r>
      <w:r w:rsidRPr="00AC57DD">
        <w:rPr>
          <w:rFonts w:ascii="Arial" w:hAnsi="Arial" w:cs="Arial"/>
          <w:bCs/>
          <w:sz w:val="22"/>
          <w:szCs w:val="22"/>
          <w:lang w:val="es-MX"/>
        </w:rPr>
        <w:t>, aunque estos estén suspendidos o no tengan acta de inicio. Por tanto, están fuera de esta los</w:t>
      </w:r>
      <w:r>
        <w:rPr>
          <w:rFonts w:ascii="Arial" w:hAnsi="Arial" w:cs="Arial"/>
          <w:bCs/>
          <w:sz w:val="22"/>
          <w:szCs w:val="22"/>
          <w:lang w:val="es-MX"/>
        </w:rPr>
        <w:t xml:space="preserve"> procesos de selección </w:t>
      </w:r>
      <w:r w:rsidRPr="00AC57DD">
        <w:rPr>
          <w:rFonts w:ascii="Arial" w:hAnsi="Arial" w:cs="Arial"/>
          <w:bCs/>
          <w:i/>
          <w:iCs/>
          <w:sz w:val="22"/>
          <w:szCs w:val="22"/>
          <w:lang w:val="es-MX"/>
        </w:rPr>
        <w:t>adjudicados</w:t>
      </w:r>
      <w:r w:rsidRPr="00AC57DD">
        <w:rPr>
          <w:rFonts w:ascii="Arial" w:hAnsi="Arial" w:cs="Arial"/>
          <w:bCs/>
          <w:sz w:val="22"/>
          <w:szCs w:val="22"/>
          <w:lang w:val="es-MX"/>
        </w:rPr>
        <w:t xml:space="preserve">, pues –en los términos del artículo 41 de la Ley 80 de 1993– los contratos estatales de las entidades sometidas al Estatuto General de Contratación de la Administración Pública </w:t>
      </w:r>
      <w:r w:rsidRPr="00AC57DD">
        <w:rPr>
          <w:rFonts w:ascii="Arial" w:hAnsi="Arial" w:cs="Arial"/>
          <w:bCs/>
          <w:sz w:val="22"/>
          <w:szCs w:val="22"/>
        </w:rPr>
        <w:t>se perfeccionan cuando se logre acuerdo sobre el objeto y la contraprestación y éste se eleve a escrito</w:t>
      </w:r>
      <w:r>
        <w:rPr>
          <w:rFonts w:ascii="Arial" w:hAnsi="Arial" w:cs="Arial"/>
          <w:bCs/>
          <w:sz w:val="22"/>
          <w:szCs w:val="22"/>
        </w:rPr>
        <w:t xml:space="preserve">, lo cual ocurre con la suscripción </w:t>
      </w:r>
      <w:r>
        <w:rPr>
          <w:rFonts w:ascii="Arial" w:hAnsi="Arial" w:cs="Arial"/>
          <w:bCs/>
          <w:sz w:val="22"/>
          <w:szCs w:val="22"/>
        </w:rPr>
        <w:lastRenderedPageBreak/>
        <w:t>formal del contrato y no con el acto de adjudicación</w:t>
      </w:r>
      <w:r w:rsidRPr="00AC57DD">
        <w:rPr>
          <w:rFonts w:ascii="Arial" w:hAnsi="Arial" w:cs="Arial"/>
          <w:bCs/>
          <w:sz w:val="22"/>
          <w:szCs w:val="22"/>
        </w:rPr>
        <w:t xml:space="preserve">. </w:t>
      </w:r>
      <w:r w:rsidRPr="00AC57DD">
        <w:rPr>
          <w:rFonts w:ascii="Arial" w:hAnsi="Arial" w:cs="Arial"/>
          <w:sz w:val="22"/>
          <w:szCs w:val="22"/>
        </w:rPr>
        <w:t xml:space="preserve">Lo expuesto es congruente con </w:t>
      </w:r>
      <w:r w:rsidRPr="00AC57DD">
        <w:rPr>
          <w:rFonts w:ascii="Arial" w:eastAsia="Calibri" w:hAnsi="Arial" w:cs="Arial"/>
          <w:color w:val="000000" w:themeColor="text1"/>
          <w:sz w:val="22"/>
          <w:szCs w:val="22"/>
          <w:lang w:val="es-MX"/>
        </w:rPr>
        <w:t xml:space="preserve">el artículo 2.2.1.1.1.6.4 del Decreto 1082 de 2015, en virtud del cual, para efectos de </w:t>
      </w:r>
      <w:r w:rsidRPr="00AC57DD">
        <w:rPr>
          <w:rFonts w:ascii="Arial" w:hAnsi="Arial" w:cs="Arial"/>
          <w:sz w:val="22"/>
          <w:szCs w:val="22"/>
          <w:lang w:val="es-MX"/>
        </w:rPr>
        <w:t>acreditar la capacidad residual del proponente, se requiere el listado de contratos de obra civiles en ejecución suscritos con entidades estatales y con entidades privadas.</w:t>
      </w:r>
    </w:p>
    <w:p w14:paraId="12E35403" w14:textId="5FDDA381" w:rsidR="005E5651" w:rsidRPr="007F7D47" w:rsidRDefault="005E5651" w:rsidP="007F7D47">
      <w:pPr>
        <w:spacing w:line="276" w:lineRule="auto"/>
        <w:ind w:right="79" w:firstLine="709"/>
        <w:jc w:val="both"/>
        <w:rPr>
          <w:rFonts w:ascii="Arial" w:eastAsia="Arial" w:hAnsi="Arial" w:cs="Arial"/>
          <w:color w:val="161616" w:themeColor="background1" w:themeShade="1A"/>
          <w:sz w:val="22"/>
          <w:szCs w:val="22"/>
          <w:lang w:val="es-MX"/>
        </w:rPr>
      </w:pPr>
    </w:p>
    <w:p w14:paraId="26C64479" w14:textId="490D8CD8" w:rsidR="009548D4" w:rsidRDefault="001E6679" w:rsidP="005E5651">
      <w:pPr>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t>«</w:t>
      </w:r>
      <w:r w:rsidR="009548D4" w:rsidRPr="009548D4">
        <w:rPr>
          <w:rFonts w:ascii="Arial" w:hAnsi="Arial" w:cs="Arial"/>
          <w:bCs/>
          <w:sz w:val="20"/>
          <w:szCs w:val="20"/>
          <w:lang w:val="es-MX" w:eastAsia="x-none"/>
        </w:rPr>
        <w:t>Pregunta 2. Se le solicita a Colombia Compra Eficiente que implemente para el requerimiento por propuesta con precios artificialmente bajos, mas allá de la guía para determinación de precios bajos de Colombia Compra Eficiente, ya que muchas entidades están utilizando este requerimiento para tratar de direccionar la contratación, ya que la guía da las directrices para determinar una propuesta con precios artificialmente bajos, pero en su requerimiento al contratista es facultativo de la entidad determinar si cumple o  no con la justificación de los precios bajos, lo que esta llevando a que en muchas entidades no tienen definido el criterio y están rechazando o habilitando ofertas de manera subjetiva, por lo cual se solicita que implemente una guía especifica para rechazar o habilitar ofertas y que en esta guía se solicite lo necesario para poder justificar la oferta es decir, que se tenga definido lo que se deba de presentar para justificar la oferta, como ejemplo, el contratista debe presentar APUS, junto con los respectivo soportes de precios de los insumos, maquinaria y transporte requeridos si se presenta así y si la entidad verifica lo presentado que se habiliten las propuestas, ya que en muchos casos se presenta lo necesario para justificar la oferta y las entidades rechazan las ofertas, simplemente diciendo que la oferta no brinda garantía de ejecución para la entidad</w:t>
      </w:r>
      <w:r w:rsidRPr="009548D4">
        <w:rPr>
          <w:rFonts w:ascii="Arial" w:hAnsi="Arial" w:cs="Arial"/>
          <w:bCs/>
          <w:sz w:val="20"/>
          <w:szCs w:val="20"/>
          <w:lang w:val="es-MX" w:eastAsia="x-none"/>
        </w:rPr>
        <w:t>»</w:t>
      </w:r>
      <w:r w:rsidR="009548D4" w:rsidRPr="009548D4">
        <w:rPr>
          <w:rFonts w:ascii="Arial" w:hAnsi="Arial" w:cs="Arial"/>
          <w:bCs/>
          <w:sz w:val="20"/>
          <w:szCs w:val="20"/>
          <w:lang w:val="es-MX" w:eastAsia="x-none"/>
        </w:rPr>
        <w:t>.</w:t>
      </w:r>
    </w:p>
    <w:p w14:paraId="27E125B1" w14:textId="77777777" w:rsidR="005E5651" w:rsidRPr="009548D4" w:rsidRDefault="005E5651" w:rsidP="007F7D47">
      <w:pPr>
        <w:ind w:left="708" w:right="709"/>
        <w:jc w:val="both"/>
        <w:rPr>
          <w:rFonts w:ascii="Arial" w:hAnsi="Arial" w:cs="Arial"/>
          <w:bCs/>
          <w:sz w:val="20"/>
          <w:szCs w:val="20"/>
          <w:lang w:val="es-MX" w:eastAsia="x-none"/>
        </w:rPr>
      </w:pPr>
    </w:p>
    <w:p w14:paraId="39A09E6F" w14:textId="13C6030C" w:rsidR="00D1729C" w:rsidRDefault="009875AF" w:rsidP="00D1729C">
      <w:pPr>
        <w:spacing w:before="120" w:line="276" w:lineRule="auto"/>
        <w:ind w:firstLine="708"/>
        <w:jc w:val="both"/>
        <w:rPr>
          <w:rFonts w:ascii="Arial" w:eastAsia="Calibri" w:hAnsi="Arial" w:cs="Arial"/>
          <w:color w:val="000000"/>
          <w:sz w:val="22"/>
          <w:szCs w:val="22"/>
          <w:lang w:val="es-ES" w:eastAsia="en-US"/>
        </w:rPr>
      </w:pPr>
      <w:r>
        <w:rPr>
          <w:rFonts w:ascii="Arial" w:eastAsia="Calibri" w:hAnsi="Arial" w:cs="Arial"/>
          <w:color w:val="000000"/>
          <w:sz w:val="22"/>
          <w:szCs w:val="22"/>
          <w:lang w:val="es-MX" w:eastAsia="en-US"/>
        </w:rPr>
        <w:t>E</w:t>
      </w:r>
      <w:r w:rsidRPr="00853515">
        <w:rPr>
          <w:rFonts w:ascii="Arial" w:eastAsia="Calibri" w:hAnsi="Arial" w:cs="Arial"/>
          <w:color w:val="000000"/>
          <w:sz w:val="22"/>
          <w:szCs w:val="22"/>
          <w:lang w:val="es-MX" w:eastAsia="en-US"/>
        </w:rPr>
        <w:t>l artículo 26.6 de la Ley 80 de 1993</w:t>
      </w:r>
      <w:r>
        <w:rPr>
          <w:rFonts w:ascii="Arial" w:eastAsia="Calibri" w:hAnsi="Arial" w:cs="Arial"/>
          <w:color w:val="000000"/>
          <w:sz w:val="22"/>
          <w:szCs w:val="22"/>
          <w:lang w:val="es-MX" w:eastAsia="en-US"/>
        </w:rPr>
        <w:t xml:space="preserve"> establece que </w:t>
      </w:r>
      <w:r w:rsidRPr="00853515">
        <w:rPr>
          <w:rFonts w:ascii="Arial" w:eastAsia="Calibri" w:hAnsi="Arial" w:cs="Arial"/>
          <w:color w:val="000000"/>
          <w:sz w:val="22"/>
          <w:szCs w:val="22"/>
          <w:lang w:val="es-MX" w:eastAsia="en-US"/>
        </w:rPr>
        <w:t xml:space="preserve"> los contratistas responderán cuando presenten ofertas que resulten artificialmente bajas con el propósito de obtener la adjudicación del contrato.</w:t>
      </w:r>
      <w:r w:rsidRPr="00853515">
        <w:rPr>
          <w:rFonts w:ascii="Arial" w:eastAsia="Calibri" w:hAnsi="Arial" w:cs="Arial"/>
          <w:color w:val="000000"/>
          <w:sz w:val="22"/>
          <w:szCs w:val="22"/>
          <w:lang w:val="es-ES" w:eastAsia="en-US"/>
        </w:rPr>
        <w:t xml:space="preserve"> El precio artificialmente bajo es definido como aquel que, además de ser muy reducido, no encuentra fundamento en el tráfico comercial</w:t>
      </w:r>
      <w:r>
        <w:rPr>
          <w:rFonts w:ascii="Arial" w:eastAsia="Calibri" w:hAnsi="Arial" w:cs="Arial"/>
          <w:color w:val="000000"/>
          <w:sz w:val="22"/>
          <w:szCs w:val="22"/>
          <w:lang w:val="es-ES" w:eastAsia="en-US"/>
        </w:rPr>
        <w:t>.</w:t>
      </w:r>
      <w:r w:rsidR="00D1729C">
        <w:rPr>
          <w:rFonts w:ascii="Arial" w:eastAsia="Calibri" w:hAnsi="Arial" w:cs="Arial"/>
          <w:color w:val="000000"/>
          <w:sz w:val="22"/>
          <w:szCs w:val="22"/>
          <w:lang w:val="es-ES" w:eastAsia="en-US"/>
        </w:rPr>
        <w:t xml:space="preserve"> </w:t>
      </w:r>
      <w:r w:rsidR="00D1729C" w:rsidRPr="00853515">
        <w:rPr>
          <w:rFonts w:ascii="Arial" w:eastAsia="Calibri" w:hAnsi="Arial" w:cs="Arial"/>
          <w:color w:val="000000"/>
          <w:sz w:val="22"/>
          <w:szCs w:val="22"/>
          <w:lang w:val="es-MX" w:eastAsia="en-US"/>
        </w:rPr>
        <w:t>De otro lado, el artículo 2.2.1.1.2.2.4. del Decreto 1082 de 2015 regula el procedimiento a seguir en los eventos en que se presenten propuestas con valor artificialmente bajo</w:t>
      </w:r>
      <w:r w:rsidR="00D1729C">
        <w:rPr>
          <w:rFonts w:ascii="Arial" w:eastAsia="Calibri" w:hAnsi="Arial" w:cs="Arial"/>
          <w:color w:val="000000"/>
          <w:sz w:val="22"/>
          <w:szCs w:val="22"/>
          <w:lang w:val="es-MX" w:eastAsia="en-US"/>
        </w:rPr>
        <w:t xml:space="preserve">. </w:t>
      </w:r>
      <w:r w:rsidR="00D1729C" w:rsidRPr="00853515">
        <w:rPr>
          <w:rFonts w:ascii="Arial" w:eastAsia="Calibri" w:hAnsi="Arial" w:cs="Arial"/>
          <w:color w:val="000000"/>
          <w:sz w:val="22"/>
          <w:szCs w:val="22"/>
          <w:lang w:val="es-MX" w:eastAsia="en-US"/>
        </w:rPr>
        <w:t xml:space="preserve">Por su parte, la «Guía para el manejo de ofertas artificialmente bajas en Procesos de Contratación» recomienda a las entidades estatales tener en cuenta la siguiente información: i) promedio del valor de las ofertas; ii) mediana del valor las ofertas;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proceso de contratación. Con estos datos, la entidad puede emplear herramientas para identificar </w:t>
      </w:r>
      <w:r w:rsidR="005E5651">
        <w:rPr>
          <w:rFonts w:ascii="Arial" w:eastAsia="Calibri" w:hAnsi="Arial" w:cs="Arial"/>
          <w:color w:val="000000"/>
          <w:sz w:val="22"/>
          <w:szCs w:val="22"/>
          <w:lang w:val="es-MX" w:eastAsia="en-US"/>
        </w:rPr>
        <w:t xml:space="preserve">posibles </w:t>
      </w:r>
      <w:r w:rsidR="00D1729C" w:rsidRPr="00853515">
        <w:rPr>
          <w:rFonts w:ascii="Arial" w:eastAsia="Calibri" w:hAnsi="Arial" w:cs="Arial"/>
          <w:color w:val="000000"/>
          <w:sz w:val="22"/>
          <w:szCs w:val="22"/>
          <w:lang w:val="es-MX" w:eastAsia="en-US"/>
        </w:rPr>
        <w:t xml:space="preserve">ofertas que pueden ser </w:t>
      </w:r>
      <w:r w:rsidR="005E5651">
        <w:rPr>
          <w:rFonts w:ascii="Arial" w:eastAsia="Calibri" w:hAnsi="Arial" w:cs="Arial"/>
          <w:color w:val="000000"/>
          <w:sz w:val="22"/>
          <w:szCs w:val="22"/>
          <w:lang w:val="es-MX" w:eastAsia="en-US"/>
        </w:rPr>
        <w:t>artificialmente</w:t>
      </w:r>
      <w:r w:rsidR="005E5651" w:rsidRPr="00853515">
        <w:rPr>
          <w:rFonts w:ascii="Arial" w:eastAsia="Calibri" w:hAnsi="Arial" w:cs="Arial"/>
          <w:color w:val="000000"/>
          <w:sz w:val="22"/>
          <w:szCs w:val="22"/>
          <w:lang w:val="es-MX" w:eastAsia="en-US"/>
        </w:rPr>
        <w:t xml:space="preserve"> </w:t>
      </w:r>
      <w:r w:rsidR="00D1729C" w:rsidRPr="00853515">
        <w:rPr>
          <w:rFonts w:ascii="Arial" w:eastAsia="Calibri" w:hAnsi="Arial" w:cs="Arial"/>
          <w:color w:val="000000"/>
          <w:sz w:val="22"/>
          <w:szCs w:val="22"/>
          <w:lang w:val="es-MX" w:eastAsia="en-US"/>
        </w:rPr>
        <w:t>bajas</w:t>
      </w:r>
      <w:r w:rsidR="005E5651">
        <w:rPr>
          <w:rFonts w:ascii="Arial" w:eastAsia="Calibri" w:hAnsi="Arial" w:cs="Arial"/>
          <w:color w:val="000000"/>
          <w:sz w:val="22"/>
          <w:szCs w:val="22"/>
          <w:lang w:val="es-ES" w:eastAsia="en-US"/>
        </w:rPr>
        <w:t>.</w:t>
      </w:r>
    </w:p>
    <w:p w14:paraId="1DF650AE" w14:textId="74408AA7" w:rsidR="009875AF" w:rsidRDefault="009875AF" w:rsidP="00D1729C">
      <w:pPr>
        <w:spacing w:before="120" w:line="276" w:lineRule="auto"/>
        <w:ind w:firstLine="708"/>
        <w:jc w:val="both"/>
        <w:rPr>
          <w:rFonts w:ascii="Arial" w:hAnsi="Arial" w:cs="Arial"/>
          <w:color w:val="000000"/>
          <w:sz w:val="22"/>
          <w:szCs w:val="22"/>
          <w:shd w:val="clear" w:color="auto" w:fill="FFFFFF"/>
          <w:lang w:val="es-US"/>
        </w:rPr>
      </w:pPr>
      <w:r>
        <w:rPr>
          <w:rFonts w:ascii="Arial" w:hAnsi="Arial" w:cs="Arial"/>
          <w:color w:val="000000"/>
          <w:sz w:val="22"/>
          <w:szCs w:val="22"/>
          <w:shd w:val="clear" w:color="auto" w:fill="FFFFFF"/>
          <w:lang w:val="es-US"/>
        </w:rPr>
        <w:t xml:space="preserve">En todo caso, conforme surge de lo expuesto, debe advertirse que la regulación de los precios artificialmente bajos tiene por propósito evitar que se contrate a proponentes </w:t>
      </w:r>
      <w:r>
        <w:rPr>
          <w:rFonts w:ascii="Arial" w:hAnsi="Arial" w:cs="Arial"/>
          <w:color w:val="000000"/>
          <w:sz w:val="22"/>
          <w:szCs w:val="22"/>
          <w:shd w:val="clear" w:color="auto" w:fill="FFFFFF"/>
          <w:lang w:val="es-US"/>
        </w:rPr>
        <w:lastRenderedPageBreak/>
        <w:t>que, con el fin de que se les adjudiquen los contratos, realicen ofrecimientos que no correspondan con la realidad del mercado, lo que se justifica en los eventuales efectos nocivos que de ello pudieran derivar para el cumplimiento de los fines del contrato. En ese sentido, evitar que en las ofertas se omita los valores que en la práctica representan costos reales que debe asumir los eventuales contratistas para el desarrollo del objeto contractual –como, por ejemplo, los costos del personal– es precisamente el propósito de la regulación de los precios artificialmente bajos.</w:t>
      </w:r>
      <w:r w:rsidR="00D1729C">
        <w:rPr>
          <w:rFonts w:ascii="Arial" w:hAnsi="Arial" w:cs="Arial"/>
          <w:color w:val="000000"/>
          <w:sz w:val="22"/>
          <w:szCs w:val="22"/>
          <w:shd w:val="clear" w:color="auto" w:fill="FFFFFF"/>
          <w:lang w:val="es-US"/>
        </w:rPr>
        <w:t xml:space="preserve"> </w:t>
      </w:r>
    </w:p>
    <w:p w14:paraId="61578163" w14:textId="49B148DE" w:rsidR="00CC1F51" w:rsidRPr="00D1729C" w:rsidRDefault="00CC1F51" w:rsidP="00D1729C">
      <w:pPr>
        <w:spacing w:before="120" w:line="276" w:lineRule="auto"/>
        <w:ind w:firstLine="708"/>
        <w:jc w:val="both"/>
        <w:rPr>
          <w:rFonts w:ascii="Arial" w:eastAsia="Calibri" w:hAnsi="Arial" w:cs="Arial"/>
          <w:color w:val="000000"/>
          <w:sz w:val="22"/>
          <w:szCs w:val="22"/>
          <w:lang w:val="es-MX" w:eastAsia="en-US"/>
        </w:rPr>
      </w:pPr>
      <w:r>
        <w:rPr>
          <w:rFonts w:ascii="Arial" w:hAnsi="Arial" w:cs="Arial"/>
          <w:color w:val="000000"/>
          <w:sz w:val="22"/>
          <w:szCs w:val="22"/>
          <w:shd w:val="clear" w:color="auto" w:fill="FFFFFF"/>
          <w:lang w:val="es-US"/>
        </w:rPr>
        <w:t>De cualquier modo</w:t>
      </w:r>
      <w:r w:rsidRPr="00853515">
        <w:rPr>
          <w:rFonts w:ascii="Arial" w:hAnsi="Arial" w:cs="Arial"/>
          <w:color w:val="000000"/>
          <w:sz w:val="22"/>
          <w:szCs w:val="22"/>
          <w:shd w:val="clear" w:color="auto" w:fill="FFFFFF"/>
          <w:lang w:val="es-US"/>
        </w:rPr>
        <w:t>, las entidades están facultadas para aplicar los criterios contenidos en la Guía o acudir, si</w:t>
      </w:r>
      <w:r>
        <w:rPr>
          <w:rFonts w:ascii="Arial" w:hAnsi="Arial" w:cs="Arial"/>
          <w:color w:val="000000"/>
          <w:sz w:val="22"/>
          <w:szCs w:val="22"/>
          <w:shd w:val="clear" w:color="auto" w:fill="FFFFFF"/>
          <w:lang w:val="es-US"/>
        </w:rPr>
        <w:t xml:space="preserve"> a</w:t>
      </w:r>
      <w:r w:rsidRPr="00853515">
        <w:rPr>
          <w:rFonts w:ascii="Arial" w:hAnsi="Arial" w:cs="Arial"/>
          <w:color w:val="000000"/>
          <w:sz w:val="22"/>
          <w:szCs w:val="22"/>
          <w:shd w:val="clear" w:color="auto" w:fill="FFFFFF"/>
          <w:lang w:val="es-US"/>
        </w:rPr>
        <w:t xml:space="preserve"> bien lo tienen, a otro tipo de criterios que consideren más apropiados para cada proceso de contratación</w:t>
      </w:r>
      <w:r w:rsidRPr="00E648BC">
        <w:rPr>
          <w:rFonts w:ascii="Arial" w:hAnsi="Arial" w:cs="Arial"/>
          <w:color w:val="000000"/>
          <w:sz w:val="22"/>
          <w:szCs w:val="22"/>
          <w:shd w:val="clear" w:color="auto" w:fill="FFFFFF"/>
          <w:lang w:val="es-US"/>
        </w:rPr>
        <w:t xml:space="preserve">. En este sentido, </w:t>
      </w:r>
      <w:bookmarkStart w:id="36" w:name="_Hlk111021782"/>
      <w:r w:rsidRPr="00E648BC">
        <w:rPr>
          <w:rFonts w:ascii="Arial" w:hAnsi="Arial" w:cs="Arial"/>
          <w:color w:val="000000"/>
          <w:sz w:val="22"/>
          <w:szCs w:val="22"/>
          <w:shd w:val="clear" w:color="auto" w:fill="FFFFFF"/>
          <w:lang w:val="es-US"/>
        </w:rPr>
        <w:t>la referida Guía contiene criterios orientadores para las entidades públicas, los cuales, en consecuencia, no son vinculantes ni de obligatorio acatamiento, de manera que las entidades pueden, a partir de los datos de los que dispongan, servirse de otros métodos razonables, para aplicar el procedimiento establecido en el artículo 2.2.1.1.2.2.4 del Decreto 1082 de 2015. En otras palabras, las entidades están facultadas para aplicar los criterios contenidos en la Guía o acudir, si bien lo tienen, a otro tipo de criterios que consideren más apropiados para cada proceso de contratación.</w:t>
      </w:r>
      <w:r>
        <w:rPr>
          <w:rFonts w:ascii="Arial" w:hAnsi="Arial" w:cs="Arial"/>
          <w:color w:val="000000"/>
          <w:sz w:val="22"/>
          <w:szCs w:val="22"/>
          <w:shd w:val="clear" w:color="auto" w:fill="FFFFFF"/>
          <w:lang w:val="es-US"/>
        </w:rPr>
        <w:t xml:space="preserve"> Lo anterior, además responde a que son muchas las circunstancias específicas que pueden presentarse en cada procedimiento de selección en concreto, y frente a cada proponente en particular, por lo cual no se considera adecuado establecer criterios absolutos, que eventualmente podrían resultar insuficientes o inadecuados en circunstancias específicas, razón por la cual esta Agencia, con fundamento en el artículo </w:t>
      </w:r>
      <w:r w:rsidRPr="004B45A7">
        <w:rPr>
          <w:rFonts w:ascii="Arial" w:hAnsi="Arial" w:cs="Arial"/>
          <w:color w:val="000000"/>
          <w:sz w:val="22"/>
          <w:szCs w:val="22"/>
          <w:shd w:val="clear" w:color="auto" w:fill="FFFFFF"/>
          <w:lang w:val="es-US"/>
        </w:rPr>
        <w:t>2.2.1.1.2.2.4.</w:t>
      </w:r>
      <w:r>
        <w:rPr>
          <w:rFonts w:ascii="Arial" w:hAnsi="Arial" w:cs="Arial"/>
          <w:color w:val="000000"/>
          <w:sz w:val="22"/>
          <w:szCs w:val="22"/>
          <w:shd w:val="clear" w:color="auto" w:fill="FFFFFF"/>
          <w:lang w:val="es-US"/>
        </w:rPr>
        <w:t xml:space="preserve"> del Decreto 1082 de 2015, estableció algunas recomendaciones a las entidades estatales para el manejo de </w:t>
      </w:r>
      <w:r w:rsidRPr="004B45A7">
        <w:rPr>
          <w:rFonts w:ascii="Arial" w:hAnsi="Arial" w:cs="Arial"/>
          <w:color w:val="000000"/>
          <w:sz w:val="22"/>
          <w:szCs w:val="22"/>
          <w:shd w:val="clear" w:color="auto" w:fill="FFFFFF"/>
          <w:lang w:val="es-US"/>
        </w:rPr>
        <w:t>ofertas</w:t>
      </w:r>
      <w:r>
        <w:rPr>
          <w:rFonts w:ascii="Arial" w:hAnsi="Arial" w:cs="Arial"/>
          <w:color w:val="000000"/>
          <w:sz w:val="22"/>
          <w:szCs w:val="22"/>
          <w:shd w:val="clear" w:color="auto" w:fill="FFFFFF"/>
          <w:lang w:val="es-US"/>
        </w:rPr>
        <w:t xml:space="preserve"> </w:t>
      </w:r>
      <w:r w:rsidRPr="004B45A7">
        <w:rPr>
          <w:rFonts w:ascii="Arial" w:hAnsi="Arial" w:cs="Arial"/>
          <w:color w:val="000000"/>
          <w:sz w:val="22"/>
          <w:szCs w:val="22"/>
          <w:shd w:val="clear" w:color="auto" w:fill="FFFFFF"/>
          <w:lang w:val="es-US"/>
        </w:rPr>
        <w:t>artificialmente bajas en</w:t>
      </w:r>
      <w:r>
        <w:rPr>
          <w:rFonts w:ascii="Arial" w:hAnsi="Arial" w:cs="Arial"/>
          <w:color w:val="000000"/>
          <w:sz w:val="22"/>
          <w:szCs w:val="22"/>
          <w:shd w:val="clear" w:color="auto" w:fill="FFFFFF"/>
          <w:lang w:val="es-US"/>
        </w:rPr>
        <w:t xml:space="preserve"> los p</w:t>
      </w:r>
      <w:r w:rsidRPr="004B45A7">
        <w:rPr>
          <w:rFonts w:ascii="Arial" w:hAnsi="Arial" w:cs="Arial"/>
          <w:color w:val="000000"/>
          <w:sz w:val="22"/>
          <w:szCs w:val="22"/>
          <w:shd w:val="clear" w:color="auto" w:fill="FFFFFF"/>
          <w:lang w:val="es-US"/>
        </w:rPr>
        <w:t xml:space="preserve">rocesos de </w:t>
      </w:r>
      <w:r>
        <w:rPr>
          <w:rFonts w:ascii="Arial" w:hAnsi="Arial" w:cs="Arial"/>
          <w:color w:val="000000"/>
          <w:sz w:val="22"/>
          <w:szCs w:val="22"/>
          <w:shd w:val="clear" w:color="auto" w:fill="FFFFFF"/>
          <w:lang w:val="es-US"/>
        </w:rPr>
        <w:t>c</w:t>
      </w:r>
      <w:r w:rsidRPr="004B45A7">
        <w:rPr>
          <w:rFonts w:ascii="Arial" w:hAnsi="Arial" w:cs="Arial"/>
          <w:color w:val="000000"/>
          <w:sz w:val="22"/>
          <w:szCs w:val="22"/>
          <w:shd w:val="clear" w:color="auto" w:fill="FFFFFF"/>
          <w:lang w:val="es-US"/>
        </w:rPr>
        <w:t>ontratación</w:t>
      </w:r>
      <w:r>
        <w:rPr>
          <w:rFonts w:ascii="Arial" w:hAnsi="Arial" w:cs="Arial"/>
          <w:color w:val="000000"/>
          <w:sz w:val="22"/>
          <w:szCs w:val="22"/>
          <w:shd w:val="clear" w:color="auto" w:fill="FFFFFF"/>
          <w:lang w:val="es-US"/>
        </w:rPr>
        <w:t>, para que ellas tomen las decisiones que correspondan en cada procedimiento de selección.</w:t>
      </w:r>
      <w:bookmarkEnd w:id="36"/>
    </w:p>
    <w:p w14:paraId="1F3D974C" w14:textId="3DC09FF8" w:rsidR="009548D4" w:rsidRDefault="001E6679" w:rsidP="009548D4">
      <w:pPr>
        <w:spacing w:before="240"/>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t>«</w:t>
      </w:r>
      <w:r w:rsidR="009548D4" w:rsidRPr="009548D4">
        <w:rPr>
          <w:rFonts w:ascii="Arial" w:hAnsi="Arial" w:cs="Arial"/>
          <w:bCs/>
          <w:sz w:val="20"/>
          <w:szCs w:val="20"/>
          <w:lang w:val="es-MX" w:eastAsia="x-none"/>
        </w:rPr>
        <w:t>3. Cundo en la entidad adelanta un proceso en Secop I y se presentan observaciones de manera física, es requisito de la entidad dar publicación de las observaciones en la plataforma secop I el mismo día de radicada la observación o máximo al siguiente día, con el fin de que se garantice la transparencia y selección objetiva en el proceso?</w:t>
      </w:r>
      <w:r w:rsidRPr="001E6679">
        <w:rPr>
          <w:rFonts w:ascii="Arial" w:hAnsi="Arial" w:cs="Arial"/>
          <w:bCs/>
          <w:sz w:val="20"/>
          <w:szCs w:val="20"/>
          <w:lang w:val="es-MX" w:eastAsia="x-none"/>
        </w:rPr>
        <w:t xml:space="preserve"> </w:t>
      </w:r>
      <w:r w:rsidRPr="009548D4">
        <w:rPr>
          <w:rFonts w:ascii="Arial" w:hAnsi="Arial" w:cs="Arial"/>
          <w:bCs/>
          <w:sz w:val="20"/>
          <w:szCs w:val="20"/>
          <w:lang w:val="es-MX" w:eastAsia="x-none"/>
        </w:rPr>
        <w:t>»</w:t>
      </w:r>
      <w:r w:rsidR="009548D4" w:rsidRPr="009548D4">
        <w:rPr>
          <w:rFonts w:ascii="Arial" w:hAnsi="Arial" w:cs="Arial"/>
          <w:bCs/>
          <w:sz w:val="20"/>
          <w:szCs w:val="20"/>
          <w:lang w:val="es-MX" w:eastAsia="x-none"/>
        </w:rPr>
        <w:t>.</w:t>
      </w:r>
      <w:r>
        <w:rPr>
          <w:rFonts w:ascii="Arial" w:hAnsi="Arial" w:cs="Arial"/>
          <w:bCs/>
          <w:sz w:val="20"/>
          <w:szCs w:val="20"/>
          <w:lang w:val="es-MX" w:eastAsia="x-none"/>
        </w:rPr>
        <w:t xml:space="preserve"> (sic)</w:t>
      </w:r>
      <w:r w:rsidR="009548D4" w:rsidRPr="009548D4">
        <w:rPr>
          <w:rFonts w:ascii="Arial" w:hAnsi="Arial" w:cs="Arial"/>
          <w:bCs/>
          <w:sz w:val="20"/>
          <w:szCs w:val="20"/>
          <w:lang w:val="es-MX" w:eastAsia="x-none"/>
        </w:rPr>
        <w:t xml:space="preserve"> </w:t>
      </w:r>
    </w:p>
    <w:p w14:paraId="5BED3E08" w14:textId="6751B738" w:rsidR="001E6679" w:rsidRPr="001E6679" w:rsidRDefault="005E5651" w:rsidP="001E6679">
      <w:pPr>
        <w:spacing w:before="240" w:line="276" w:lineRule="auto"/>
        <w:ind w:right="-65"/>
        <w:jc w:val="both"/>
        <w:rPr>
          <w:rFonts w:ascii="Arial" w:hAnsi="Arial" w:cs="Arial"/>
          <w:color w:val="000000"/>
          <w:sz w:val="22"/>
          <w:szCs w:val="22"/>
          <w:shd w:val="clear" w:color="auto" w:fill="FFFFFF"/>
          <w:lang w:val="es-US"/>
        </w:rPr>
      </w:pPr>
      <w:r>
        <w:rPr>
          <w:rFonts w:ascii="Arial" w:hAnsi="Arial" w:cs="Arial"/>
          <w:color w:val="000000"/>
          <w:sz w:val="22"/>
          <w:szCs w:val="22"/>
          <w:shd w:val="clear" w:color="auto" w:fill="FFFFFF"/>
          <w:lang w:val="es-US"/>
        </w:rPr>
        <w:t xml:space="preserve">Sin perjuicio del deber que les asiste a las entidades estatales de respetar los principios de transparencia y selección objetiva, realizando de la forma más oportuna posible las </w:t>
      </w:r>
      <w:r w:rsidR="00D86E0F">
        <w:rPr>
          <w:rFonts w:ascii="Arial" w:hAnsi="Arial" w:cs="Arial"/>
          <w:color w:val="000000"/>
          <w:sz w:val="22"/>
          <w:szCs w:val="22"/>
          <w:shd w:val="clear" w:color="auto" w:fill="FFFFFF"/>
          <w:lang w:val="es-US"/>
        </w:rPr>
        <w:t>actuaciones</w:t>
      </w:r>
      <w:r>
        <w:rPr>
          <w:rFonts w:ascii="Arial" w:hAnsi="Arial" w:cs="Arial"/>
          <w:color w:val="000000"/>
          <w:sz w:val="22"/>
          <w:szCs w:val="22"/>
          <w:shd w:val="clear" w:color="auto" w:fill="FFFFFF"/>
          <w:lang w:val="es-US"/>
        </w:rPr>
        <w:t xml:space="preserve"> que les corresponda en desarrollo de los procedimientos de selección</w:t>
      </w:r>
      <w:r w:rsidR="00D86E0F">
        <w:rPr>
          <w:rFonts w:ascii="Arial" w:hAnsi="Arial" w:cs="Arial"/>
          <w:color w:val="000000"/>
          <w:sz w:val="22"/>
          <w:szCs w:val="22"/>
          <w:shd w:val="clear" w:color="auto" w:fill="FFFFFF"/>
          <w:lang w:val="es-US"/>
        </w:rPr>
        <w:t>, lo</w:t>
      </w:r>
      <w:r w:rsidR="001E6679" w:rsidRPr="00F66CBD">
        <w:rPr>
          <w:rFonts w:ascii="Arial" w:hAnsi="Arial" w:cs="Arial"/>
          <w:color w:val="000000"/>
          <w:sz w:val="22"/>
          <w:szCs w:val="22"/>
          <w:shd w:val="clear" w:color="auto" w:fill="FFFFFF"/>
          <w:lang w:val="es-US"/>
        </w:rPr>
        <w:t>s documentos</w:t>
      </w:r>
      <w:r w:rsidR="001E6679" w:rsidRPr="001E6679">
        <w:rPr>
          <w:rFonts w:ascii="Arial" w:hAnsi="Arial" w:cs="Arial"/>
          <w:color w:val="000000"/>
          <w:sz w:val="22"/>
          <w:szCs w:val="22"/>
          <w:shd w:val="clear" w:color="auto" w:fill="FFFFFF"/>
          <w:lang w:val="es-US"/>
        </w:rPr>
        <w:t xml:space="preserve"> del proceso de selección tramitado</w:t>
      </w:r>
      <w:r w:rsidR="00D86E0F">
        <w:rPr>
          <w:rFonts w:ascii="Arial" w:hAnsi="Arial" w:cs="Arial"/>
          <w:color w:val="000000"/>
          <w:sz w:val="22"/>
          <w:szCs w:val="22"/>
          <w:shd w:val="clear" w:color="auto" w:fill="FFFFFF"/>
          <w:lang w:val="es-US"/>
        </w:rPr>
        <w:t>s</w:t>
      </w:r>
      <w:r w:rsidR="001E6679" w:rsidRPr="001E6679">
        <w:rPr>
          <w:rFonts w:ascii="Arial" w:hAnsi="Arial" w:cs="Arial"/>
          <w:color w:val="000000"/>
          <w:sz w:val="22"/>
          <w:szCs w:val="22"/>
          <w:shd w:val="clear" w:color="auto" w:fill="FFFFFF"/>
          <w:lang w:val="es-US"/>
        </w:rPr>
        <w:t xml:space="preserve"> en uso del SECOP I se </w:t>
      </w:r>
      <w:r w:rsidR="00D86E0F">
        <w:rPr>
          <w:rFonts w:ascii="Arial" w:hAnsi="Arial" w:cs="Arial"/>
          <w:color w:val="000000"/>
          <w:sz w:val="22"/>
          <w:szCs w:val="22"/>
          <w:shd w:val="clear" w:color="auto" w:fill="FFFFFF"/>
          <w:lang w:val="es-US"/>
        </w:rPr>
        <w:t>deben</w:t>
      </w:r>
      <w:r w:rsidR="00D86E0F" w:rsidRPr="001E6679">
        <w:rPr>
          <w:rFonts w:ascii="Arial" w:hAnsi="Arial" w:cs="Arial"/>
          <w:color w:val="000000"/>
          <w:sz w:val="22"/>
          <w:szCs w:val="22"/>
          <w:shd w:val="clear" w:color="auto" w:fill="FFFFFF"/>
          <w:lang w:val="es-US"/>
        </w:rPr>
        <w:t xml:space="preserve"> </w:t>
      </w:r>
      <w:r w:rsidR="001E6679" w:rsidRPr="001E6679">
        <w:rPr>
          <w:rFonts w:ascii="Arial" w:hAnsi="Arial" w:cs="Arial"/>
          <w:color w:val="000000"/>
          <w:sz w:val="22"/>
          <w:szCs w:val="22"/>
          <w:shd w:val="clear" w:color="auto" w:fill="FFFFFF"/>
          <w:lang w:val="es-US"/>
        </w:rPr>
        <w:t xml:space="preserve">publicar en la plataforma </w:t>
      </w:r>
      <w:r w:rsidR="001E6679" w:rsidRPr="00F66CBD">
        <w:rPr>
          <w:rFonts w:ascii="Arial" w:hAnsi="Arial" w:cs="Arial"/>
          <w:color w:val="000000"/>
          <w:sz w:val="22"/>
          <w:szCs w:val="22"/>
          <w:shd w:val="clear" w:color="auto" w:fill="FFFFFF"/>
          <w:lang w:val="es-US"/>
        </w:rPr>
        <w:t xml:space="preserve">dentro del plazo </w:t>
      </w:r>
      <w:r w:rsidR="00D86E0F">
        <w:rPr>
          <w:rFonts w:ascii="Arial" w:hAnsi="Arial" w:cs="Arial"/>
          <w:color w:val="000000"/>
          <w:sz w:val="22"/>
          <w:szCs w:val="22"/>
          <w:shd w:val="clear" w:color="auto" w:fill="FFFFFF"/>
          <w:lang w:val="es-US"/>
        </w:rPr>
        <w:t xml:space="preserve">máximo </w:t>
      </w:r>
      <w:r w:rsidR="001E6679" w:rsidRPr="00F66CBD">
        <w:rPr>
          <w:rFonts w:ascii="Arial" w:hAnsi="Arial" w:cs="Arial"/>
          <w:color w:val="000000"/>
          <w:sz w:val="22"/>
          <w:szCs w:val="22"/>
          <w:shd w:val="clear" w:color="auto" w:fill="FFFFFF"/>
          <w:lang w:val="es-US"/>
        </w:rPr>
        <w:t>de tres (3) días previsto en el artículo 2.2.1.1.1.7.1 del Decreto 1082 de 2015</w:t>
      </w:r>
      <w:r w:rsidR="001E6679" w:rsidRPr="001E6679">
        <w:rPr>
          <w:rFonts w:ascii="Arial" w:hAnsi="Arial" w:cs="Arial"/>
          <w:color w:val="000000"/>
          <w:sz w:val="22"/>
          <w:szCs w:val="22"/>
          <w:shd w:val="clear" w:color="auto" w:fill="FFFFFF"/>
          <w:lang w:val="es-US"/>
        </w:rPr>
        <w:t>.</w:t>
      </w:r>
    </w:p>
    <w:p w14:paraId="18E20113" w14:textId="6D928429" w:rsidR="009548D4" w:rsidRPr="009548D4" w:rsidRDefault="001E6679" w:rsidP="009548D4">
      <w:pPr>
        <w:spacing w:before="240"/>
        <w:ind w:left="708" w:right="709"/>
        <w:jc w:val="both"/>
        <w:rPr>
          <w:rFonts w:ascii="Arial" w:hAnsi="Arial" w:cs="Arial"/>
          <w:bCs/>
          <w:sz w:val="20"/>
          <w:szCs w:val="20"/>
          <w:lang w:val="es-MX" w:eastAsia="x-none"/>
        </w:rPr>
      </w:pPr>
      <w:r w:rsidRPr="009548D4">
        <w:rPr>
          <w:rFonts w:ascii="Arial" w:hAnsi="Arial" w:cs="Arial"/>
          <w:color w:val="161616" w:themeColor="background1" w:themeShade="1A"/>
          <w:sz w:val="20"/>
          <w:szCs w:val="20"/>
          <w:lang w:val="es-ES_tradnl"/>
        </w:rPr>
        <w:lastRenderedPageBreak/>
        <w:t>«</w:t>
      </w:r>
      <w:r w:rsidR="009548D4" w:rsidRPr="009548D4">
        <w:rPr>
          <w:rFonts w:ascii="Arial" w:hAnsi="Arial" w:cs="Arial"/>
          <w:bCs/>
          <w:sz w:val="20"/>
          <w:szCs w:val="20"/>
          <w:lang w:val="es-MX" w:eastAsia="x-none"/>
        </w:rPr>
        <w:t>4. El único facultado para realizar la adjudicación de un proceso es el ordenador del gasto, o delegado mediante acto administrativo? y esta adjudicación se debe de realizar en audiencia?</w:t>
      </w:r>
      <w:r w:rsidRPr="009548D4">
        <w:rPr>
          <w:rFonts w:ascii="Arial" w:hAnsi="Arial" w:cs="Arial"/>
          <w:bCs/>
          <w:sz w:val="20"/>
          <w:szCs w:val="20"/>
          <w:lang w:val="es-MX" w:eastAsia="x-none"/>
        </w:rPr>
        <w:t>»</w:t>
      </w:r>
    </w:p>
    <w:p w14:paraId="576382C9" w14:textId="1AD39625" w:rsidR="00713BDB" w:rsidRDefault="00713BDB" w:rsidP="00713BDB">
      <w:pPr>
        <w:spacing w:line="276" w:lineRule="auto"/>
        <w:ind w:right="77"/>
        <w:jc w:val="both"/>
        <w:rPr>
          <w:rFonts w:ascii="Arial" w:hAnsi="Arial" w:cs="Arial"/>
          <w:sz w:val="22"/>
          <w:szCs w:val="22"/>
        </w:rPr>
      </w:pPr>
    </w:p>
    <w:p w14:paraId="082F600C" w14:textId="15710FAE" w:rsidR="008B0FE7" w:rsidRPr="0081103C" w:rsidRDefault="008B0FE7" w:rsidP="007F7D47">
      <w:pPr>
        <w:spacing w:after="120" w:line="276" w:lineRule="auto"/>
        <w:jc w:val="both"/>
        <w:rPr>
          <w:rFonts w:ascii="Arial" w:eastAsia="Calibri" w:hAnsi="Arial" w:cs="Arial"/>
          <w:sz w:val="22"/>
          <w:szCs w:val="22"/>
          <w:lang w:val="es-MX" w:eastAsia="en-US"/>
        </w:rPr>
      </w:pPr>
      <w:r w:rsidRPr="0081103C">
        <w:rPr>
          <w:rFonts w:ascii="Arial" w:eastAsia="Calibri" w:hAnsi="Arial" w:cs="Arial"/>
          <w:sz w:val="22"/>
          <w:szCs w:val="22"/>
          <w:lang w:val="es-MX" w:eastAsia="en-US"/>
        </w:rPr>
        <w:t xml:space="preserve">El artículo 11 de la Ley 80 de 1993 define la competencia para dirigir procesos de selección y suscribir contratos, centralizándola en determinadas autoridades. Ahora bien, de acuerdo con el </w:t>
      </w:r>
      <w:r w:rsidR="00D86E0F">
        <w:rPr>
          <w:rFonts w:ascii="Arial" w:eastAsia="Calibri" w:hAnsi="Arial" w:cs="Arial"/>
          <w:sz w:val="22"/>
          <w:szCs w:val="22"/>
          <w:lang w:val="es-MX" w:eastAsia="en-US"/>
        </w:rPr>
        <w:t>artículo 12</w:t>
      </w:r>
      <w:r w:rsidRPr="0081103C">
        <w:rPr>
          <w:rFonts w:ascii="Arial" w:eastAsia="Calibri" w:hAnsi="Arial" w:cs="Arial"/>
          <w:sz w:val="22"/>
          <w:szCs w:val="22"/>
          <w:lang w:val="es-MX" w:eastAsia="en-US"/>
        </w:rPr>
        <w:t xml:space="preserve"> la Ley 80 de 1993,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r w:rsidRPr="0081103C">
        <w:rPr>
          <w:rFonts w:ascii="Arial" w:eastAsia="Calibri" w:hAnsi="Arial" w:cs="Arial"/>
          <w:bCs/>
          <w:color w:val="000000" w:themeColor="text1"/>
          <w:sz w:val="21"/>
          <w:szCs w:val="21"/>
          <w:lang w:val="es-ES_tradnl" w:eastAsia="en-US"/>
        </w:rPr>
        <w:t>»</w:t>
      </w:r>
      <w:r w:rsidRPr="0081103C">
        <w:rPr>
          <w:rFonts w:ascii="Arial" w:eastAsia="Calibri" w:hAnsi="Arial" w:cs="Arial"/>
          <w:sz w:val="22"/>
          <w:szCs w:val="22"/>
          <w:lang w:val="es-MX" w:eastAsia="en-US"/>
        </w:rPr>
        <w:t xml:space="preserve">. </w:t>
      </w:r>
      <w:r w:rsidR="00D86E0F">
        <w:rPr>
          <w:rFonts w:ascii="Arial" w:eastAsia="Calibri" w:hAnsi="Arial" w:cs="Arial"/>
          <w:sz w:val="22"/>
          <w:szCs w:val="22"/>
          <w:lang w:val="es-MX" w:eastAsia="en-US"/>
        </w:rPr>
        <w:t>Además</w:t>
      </w:r>
      <w:r w:rsidRPr="0081103C">
        <w:rPr>
          <w:rFonts w:ascii="Arial" w:eastAsia="Calibri" w:hAnsi="Arial" w:cs="Arial"/>
          <w:sz w:val="22"/>
          <w:szCs w:val="22"/>
          <w:lang w:val="es-MX" w:eastAsia="en-US"/>
        </w:rPr>
        <w:t>, el artículo 25, en el numeral 9 de la misma Ley establece que «en los procesos de contratación intervendrán el jefe y las unidades asesoras y ejecutoras de la entidad que se señalen en las correspondientes normas sobre su organización y funcionamiento</w:t>
      </w:r>
      <w:r w:rsidRPr="0081103C">
        <w:rPr>
          <w:rFonts w:ascii="Arial" w:eastAsia="Calibri" w:hAnsi="Arial" w:cs="Arial"/>
          <w:bCs/>
          <w:color w:val="000000" w:themeColor="text1"/>
          <w:sz w:val="21"/>
          <w:szCs w:val="21"/>
          <w:lang w:val="es-ES_tradnl" w:eastAsia="en-US"/>
        </w:rPr>
        <w:t>»</w:t>
      </w:r>
      <w:r w:rsidRPr="0081103C">
        <w:rPr>
          <w:rFonts w:ascii="Arial" w:eastAsia="Calibri" w:hAnsi="Arial" w:cs="Arial"/>
          <w:sz w:val="22"/>
          <w:szCs w:val="22"/>
          <w:lang w:val="es-MX" w:eastAsia="en-US"/>
        </w:rPr>
        <w:t>.</w:t>
      </w:r>
    </w:p>
    <w:p w14:paraId="4C7E2DF4" w14:textId="2D734407" w:rsidR="002841E3" w:rsidRDefault="008B0FE7" w:rsidP="007F7D47">
      <w:pPr>
        <w:spacing w:after="120" w:line="276" w:lineRule="auto"/>
        <w:ind w:right="79" w:firstLine="709"/>
        <w:jc w:val="both"/>
        <w:rPr>
          <w:rFonts w:ascii="Arial" w:eastAsia="Calibri" w:hAnsi="Arial" w:cs="Arial"/>
          <w:sz w:val="22"/>
          <w:szCs w:val="22"/>
          <w:lang w:val="es-MX" w:eastAsia="en-US"/>
        </w:rPr>
      </w:pPr>
      <w:r w:rsidRPr="0081103C">
        <w:rPr>
          <w:rFonts w:ascii="Arial" w:eastAsia="Calibri" w:hAnsi="Arial" w:cs="Arial"/>
          <w:sz w:val="22"/>
          <w:szCs w:val="22"/>
          <w:lang w:val="es-MX" w:eastAsia="en-US"/>
        </w:rPr>
        <w:t>En este sentido, quienes tienen la competencia y son responsables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 En consecuencia, quien tiene la competencia y responsabilidad para tramitar,</w:t>
      </w:r>
      <w:r w:rsidR="00ED34C2">
        <w:rPr>
          <w:rFonts w:ascii="Arial" w:eastAsia="Calibri" w:hAnsi="Arial" w:cs="Arial"/>
          <w:sz w:val="22"/>
          <w:szCs w:val="22"/>
          <w:lang w:val="es-MX" w:eastAsia="en-US"/>
        </w:rPr>
        <w:t xml:space="preserve"> adjudicar,</w:t>
      </w:r>
      <w:r w:rsidRPr="0081103C">
        <w:rPr>
          <w:rFonts w:ascii="Arial" w:eastAsia="Calibri" w:hAnsi="Arial" w:cs="Arial"/>
          <w:sz w:val="22"/>
          <w:szCs w:val="22"/>
          <w:lang w:val="es-MX" w:eastAsia="en-US"/>
        </w:rPr>
        <w:t xml:space="preserve"> celebrar y liquidar un contrato, es el jefe o representante legal de la entidad, o quien este delegue.</w:t>
      </w:r>
      <w:r w:rsidR="00D86E0F">
        <w:rPr>
          <w:rFonts w:ascii="Arial" w:eastAsia="Calibri" w:hAnsi="Arial" w:cs="Arial"/>
          <w:sz w:val="22"/>
          <w:szCs w:val="22"/>
          <w:lang w:val="es-MX" w:eastAsia="en-US"/>
        </w:rPr>
        <w:t xml:space="preserve"> De esta manera, la adjudicación del contrato correspond</w:t>
      </w:r>
      <w:r w:rsidR="00F6355B">
        <w:rPr>
          <w:rFonts w:ascii="Arial" w:eastAsia="Calibri" w:hAnsi="Arial" w:cs="Arial"/>
          <w:sz w:val="22"/>
          <w:szCs w:val="22"/>
          <w:lang w:val="es-MX" w:eastAsia="en-US"/>
        </w:rPr>
        <w:t xml:space="preserve">e realizarla al </w:t>
      </w:r>
      <w:r w:rsidR="00F6355B" w:rsidRPr="007F7D47">
        <w:rPr>
          <w:rFonts w:ascii="Arial" w:eastAsia="Calibri" w:hAnsi="Arial" w:cs="Arial"/>
          <w:sz w:val="22"/>
          <w:szCs w:val="22"/>
          <w:lang w:val="es-MX" w:eastAsia="en-US"/>
        </w:rPr>
        <w:t>jefe o representante de la entidad</w:t>
      </w:r>
      <w:r w:rsidR="00F6355B">
        <w:rPr>
          <w:rFonts w:ascii="Arial" w:eastAsia="Calibri" w:hAnsi="Arial" w:cs="Arial"/>
          <w:sz w:val="22"/>
          <w:szCs w:val="22"/>
          <w:lang w:val="es-MX" w:eastAsia="en-US"/>
        </w:rPr>
        <w:t xml:space="preserve"> –artículo 11 de la Ley 80 de 1993–, sin perjuicio de que pueda delegar dicha competencia, en los términos del artículo 12 de la Ley 80 de 1993.</w:t>
      </w:r>
    </w:p>
    <w:p w14:paraId="1C160BFA" w14:textId="5004B80B" w:rsidR="002841E3" w:rsidRDefault="00F6355B" w:rsidP="002841E3">
      <w:pPr>
        <w:spacing w:line="276" w:lineRule="auto"/>
        <w:ind w:right="77" w:firstLine="708"/>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Finalmente, el artículo 9 de la Ley 1150 de 2007 establece que e</w:t>
      </w:r>
      <w:r w:rsidRPr="00F6355B">
        <w:rPr>
          <w:rFonts w:ascii="Arial" w:eastAsiaTheme="minorHAnsi" w:hAnsi="Arial" w:cs="Arial"/>
          <w:sz w:val="22"/>
          <w:szCs w:val="22"/>
          <w:lang w:val="es-ES" w:eastAsia="en-US"/>
        </w:rPr>
        <w:t>n el evento previsto en el artículo 273 de la Constitución Política y en general en los procesos de licitación pública, la adjudicación se hará de forma obligatoria en audiencia pública</w:t>
      </w:r>
      <w:r>
        <w:rPr>
          <w:rFonts w:ascii="Arial" w:eastAsiaTheme="minorHAnsi" w:hAnsi="Arial" w:cs="Arial"/>
          <w:sz w:val="22"/>
          <w:szCs w:val="22"/>
          <w:lang w:val="es-ES" w:eastAsia="en-US"/>
        </w:rPr>
        <w:t xml:space="preserve">. En tal sentido, la adjudicación de los procesos que se adelante mediante la modalidad de licitación, siempre </w:t>
      </w:r>
      <w:proofErr w:type="gramStart"/>
      <w:r>
        <w:rPr>
          <w:rFonts w:ascii="Arial" w:eastAsiaTheme="minorHAnsi" w:hAnsi="Arial" w:cs="Arial"/>
          <w:sz w:val="22"/>
          <w:szCs w:val="22"/>
          <w:lang w:val="es-ES" w:eastAsia="en-US"/>
        </w:rPr>
        <w:t>deben</w:t>
      </w:r>
      <w:proofErr w:type="gramEnd"/>
      <w:r>
        <w:rPr>
          <w:rFonts w:ascii="Arial" w:eastAsiaTheme="minorHAnsi" w:hAnsi="Arial" w:cs="Arial"/>
          <w:sz w:val="22"/>
          <w:szCs w:val="22"/>
          <w:lang w:val="es-ES" w:eastAsia="en-US"/>
        </w:rPr>
        <w:t xml:space="preserve"> adjudicarse en audiencia. </w:t>
      </w:r>
      <w:r w:rsidR="00FD42C8">
        <w:rPr>
          <w:rFonts w:ascii="Arial" w:eastAsiaTheme="minorHAnsi" w:hAnsi="Arial" w:cs="Arial"/>
          <w:sz w:val="22"/>
          <w:szCs w:val="22"/>
          <w:lang w:val="es-ES" w:eastAsia="en-US"/>
        </w:rPr>
        <w:t>En armonía con ello</w:t>
      </w:r>
      <w:r>
        <w:rPr>
          <w:rFonts w:ascii="Arial" w:eastAsiaTheme="minorHAnsi" w:hAnsi="Arial" w:cs="Arial"/>
          <w:sz w:val="22"/>
          <w:szCs w:val="22"/>
          <w:lang w:val="es-ES" w:eastAsia="en-US"/>
        </w:rPr>
        <w:t>, se precisa que la obligación de adjudicar los contratos estatales en audiencia aplica para los procesos de licitación pública; no así para las demás modalidades de selección reguladas en el artículo 2 de la Ley 1150 de 2007.</w:t>
      </w:r>
    </w:p>
    <w:p w14:paraId="59621BCB" w14:textId="77777777" w:rsidR="00FD42C8" w:rsidRDefault="00FD42C8" w:rsidP="002841E3">
      <w:pPr>
        <w:spacing w:line="276" w:lineRule="auto"/>
        <w:ind w:right="77" w:firstLine="708"/>
        <w:jc w:val="both"/>
        <w:rPr>
          <w:rFonts w:ascii="Arial" w:hAnsi="Arial" w:cs="Arial"/>
          <w:sz w:val="22"/>
          <w:szCs w:val="22"/>
        </w:rPr>
      </w:pPr>
    </w:p>
    <w:p w14:paraId="64BE30C1" w14:textId="6066E4F5" w:rsidR="00695B70" w:rsidRDefault="00695B70" w:rsidP="00983F3D">
      <w:pPr>
        <w:spacing w:before="240"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4D1C4C79" w14:textId="508B9E0F" w:rsidR="00103D05" w:rsidRDefault="00EE6A82" w:rsidP="00EA1918">
      <w:pPr>
        <w:spacing w:before="240" w:line="276" w:lineRule="auto"/>
        <w:jc w:val="both"/>
        <w:rPr>
          <w:rFonts w:ascii="Arial" w:hAnsi="Arial" w:cs="Arial"/>
          <w:color w:val="161616" w:themeColor="background1" w:themeShade="1A"/>
          <w:sz w:val="22"/>
          <w:szCs w:val="22"/>
          <w:lang w:val="es-ES_tradnl" w:eastAsia="es-CO"/>
        </w:rPr>
      </w:pPr>
      <w:bookmarkStart w:id="37" w:name="_Hlk50986665"/>
      <w:bookmarkStart w:id="38" w:name="_Hlk52766744"/>
      <w:r w:rsidRPr="00515D32">
        <w:rPr>
          <w:rFonts w:ascii="Arial" w:hAnsi="Arial" w:cs="Arial"/>
          <w:color w:val="161616" w:themeColor="background1" w:themeShade="1A"/>
          <w:sz w:val="22"/>
          <w:szCs w:val="22"/>
          <w:lang w:val="es-ES_tradnl" w:eastAsia="es-CO"/>
        </w:rPr>
        <w:t>Atentamente</w:t>
      </w:r>
      <w:bookmarkEnd w:id="2"/>
      <w:bookmarkEnd w:id="37"/>
      <w:bookmarkEnd w:id="38"/>
      <w:r w:rsidR="00EA1918">
        <w:rPr>
          <w:rFonts w:ascii="Arial" w:hAnsi="Arial" w:cs="Arial"/>
          <w:color w:val="161616" w:themeColor="background1" w:themeShade="1A"/>
          <w:sz w:val="22"/>
          <w:szCs w:val="22"/>
          <w:lang w:val="es-ES_tradnl" w:eastAsia="es-CO"/>
        </w:rPr>
        <w:t>,</w:t>
      </w:r>
    </w:p>
    <w:p w14:paraId="0A13210B" w14:textId="0473E98F" w:rsidR="00085560" w:rsidRDefault="00085560" w:rsidP="00085560">
      <w:r>
        <w:rPr>
          <w:rFonts w:ascii="Arial" w:hAnsi="Arial" w:cs="Arial"/>
          <w:noProof/>
          <w:sz w:val="18"/>
          <w:szCs w:val="20"/>
          <w:lang w:eastAsia="es-CO"/>
        </w:rPr>
        <w:lastRenderedPageBreak/>
        <w:drawing>
          <wp:inline distT="0" distB="0" distL="0" distR="0" wp14:anchorId="60FAA184" wp14:editId="41EB8C58">
            <wp:extent cx="3117850" cy="1211580"/>
            <wp:effectExtent l="0" t="0" r="635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r>
        <w:rPr>
          <w:color w:val="000000"/>
          <w:shd w:val="clear" w:color="auto" w:fill="FFFFFF"/>
        </w:rPr>
        <w:br/>
      </w:r>
    </w:p>
    <w:p w14:paraId="35B56F46" w14:textId="6DD3CCDE" w:rsidR="00746E08" w:rsidRDefault="00746E08" w:rsidP="00EA1918">
      <w:pPr>
        <w:spacing w:before="240"/>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6328BD" w14:paraId="47EE0A9C" w14:textId="77777777" w:rsidTr="00EA4372">
        <w:trPr>
          <w:trHeight w:val="286"/>
        </w:trPr>
        <w:tc>
          <w:tcPr>
            <w:tcW w:w="817" w:type="dxa"/>
            <w:vAlign w:val="center"/>
          </w:tcPr>
          <w:p w14:paraId="05579E3A"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Elaboró:</w:t>
            </w:r>
          </w:p>
        </w:tc>
        <w:tc>
          <w:tcPr>
            <w:tcW w:w="4445" w:type="dxa"/>
            <w:tcBorders>
              <w:bottom w:val="dotted" w:sz="4" w:space="0" w:color="7F7F7F"/>
            </w:tcBorders>
            <w:vAlign w:val="center"/>
          </w:tcPr>
          <w:p w14:paraId="0D5DC54E" w14:textId="72E88EC3" w:rsidR="008423BA" w:rsidRPr="006328BD" w:rsidRDefault="0020112B" w:rsidP="00EA4372">
            <w:pPr>
              <w:rPr>
                <w:rFonts w:ascii="Arial" w:hAnsi="Arial" w:cs="Arial"/>
                <w:sz w:val="14"/>
                <w:szCs w:val="14"/>
                <w:lang w:eastAsia="es-ES"/>
              </w:rPr>
            </w:pPr>
            <w:r>
              <w:rPr>
                <w:rFonts w:ascii="Arial" w:hAnsi="Arial" w:cs="Arial"/>
                <w:sz w:val="14"/>
                <w:szCs w:val="14"/>
                <w:lang w:eastAsia="es-ES"/>
              </w:rPr>
              <w:t>Felipe Bastidas Paredes</w:t>
            </w:r>
          </w:p>
          <w:p w14:paraId="61670314"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Contratista de la Subdirección de Gestión Contractual</w:t>
            </w:r>
          </w:p>
        </w:tc>
      </w:tr>
      <w:tr w:rsidR="008423BA" w:rsidRPr="006328BD" w14:paraId="2D328240" w14:textId="77777777" w:rsidTr="00EA4372">
        <w:trPr>
          <w:trHeight w:val="299"/>
        </w:trPr>
        <w:tc>
          <w:tcPr>
            <w:tcW w:w="817" w:type="dxa"/>
            <w:vAlign w:val="center"/>
          </w:tcPr>
          <w:p w14:paraId="1219E7C1"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37A4E093" w14:textId="4D765376" w:rsidR="008423BA" w:rsidRDefault="0020112B" w:rsidP="00EA4372">
            <w:pPr>
              <w:rPr>
                <w:rFonts w:ascii="Arial" w:hAnsi="Arial" w:cs="Arial"/>
                <w:sz w:val="14"/>
                <w:szCs w:val="14"/>
                <w:lang w:eastAsia="es-ES"/>
              </w:rPr>
            </w:pPr>
            <w:r>
              <w:rPr>
                <w:rFonts w:ascii="Arial" w:hAnsi="Arial" w:cs="Arial"/>
                <w:sz w:val="14"/>
                <w:szCs w:val="14"/>
                <w:lang w:eastAsia="es-ES"/>
              </w:rPr>
              <w:t>Sebastián Ramírez Grisales</w:t>
            </w:r>
          </w:p>
          <w:p w14:paraId="4B483BFF" w14:textId="539A444B" w:rsidR="008423BA" w:rsidRPr="006328BD" w:rsidRDefault="0020112B" w:rsidP="00EA4372">
            <w:pPr>
              <w:rPr>
                <w:rFonts w:ascii="Arial" w:hAnsi="Arial" w:cs="Arial"/>
                <w:sz w:val="14"/>
                <w:szCs w:val="14"/>
                <w:lang w:eastAsia="es-ES"/>
              </w:rPr>
            </w:pPr>
            <w:r>
              <w:rPr>
                <w:rFonts w:ascii="Arial" w:hAnsi="Arial" w:cs="Arial"/>
                <w:sz w:val="14"/>
                <w:szCs w:val="14"/>
                <w:lang w:eastAsia="es-ES"/>
              </w:rPr>
              <w:t>Contratista</w:t>
            </w:r>
            <w:r w:rsidR="008423BA" w:rsidRPr="006328BD">
              <w:rPr>
                <w:rFonts w:ascii="Arial" w:hAnsi="Arial" w:cs="Arial"/>
                <w:sz w:val="14"/>
                <w:szCs w:val="14"/>
                <w:lang w:eastAsia="es-ES"/>
              </w:rPr>
              <w:t xml:space="preserve"> de la Subdirección de Gestión Contractual</w:t>
            </w:r>
          </w:p>
        </w:tc>
      </w:tr>
      <w:tr w:rsidR="008423BA" w:rsidRPr="006328BD" w14:paraId="695797F3" w14:textId="77777777" w:rsidTr="00EA4372">
        <w:trPr>
          <w:trHeight w:val="272"/>
        </w:trPr>
        <w:tc>
          <w:tcPr>
            <w:tcW w:w="817" w:type="dxa"/>
            <w:vAlign w:val="center"/>
          </w:tcPr>
          <w:p w14:paraId="05BB9836"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08CB039F" w14:textId="5BC61F25" w:rsidR="008423BA" w:rsidRPr="006328BD" w:rsidRDefault="0020112B" w:rsidP="00EA4372">
            <w:pPr>
              <w:rPr>
                <w:rFonts w:ascii="Arial" w:hAnsi="Arial" w:cs="Arial"/>
                <w:sz w:val="14"/>
                <w:szCs w:val="14"/>
                <w:lang w:eastAsia="es-ES"/>
              </w:rPr>
            </w:pPr>
            <w:r>
              <w:rPr>
                <w:rFonts w:ascii="Arial" w:hAnsi="Arial" w:cs="Arial"/>
                <w:sz w:val="14"/>
                <w:szCs w:val="14"/>
                <w:lang w:eastAsia="es-ES"/>
              </w:rPr>
              <w:t>Juan David Marín López</w:t>
            </w:r>
          </w:p>
          <w:p w14:paraId="6F56A07C"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Subdirector de Gestión Contractual ANCP – CCE</w:t>
            </w:r>
          </w:p>
        </w:tc>
      </w:tr>
    </w:tbl>
    <w:p w14:paraId="23EAD1F9" w14:textId="1D1C6BDB" w:rsidR="008423BA" w:rsidRDefault="008423BA" w:rsidP="00B32DB2">
      <w:pPr>
        <w:spacing w:before="240"/>
        <w:jc w:val="center"/>
        <w:rPr>
          <w:rFonts w:ascii="Arial" w:hAnsi="Arial" w:cs="Arial"/>
          <w:color w:val="161616" w:themeColor="background1" w:themeShade="1A"/>
          <w:sz w:val="22"/>
          <w:szCs w:val="22"/>
          <w:lang w:val="es-ES_tradnl" w:eastAsia="es-CO"/>
        </w:rPr>
      </w:pPr>
    </w:p>
    <w:p w14:paraId="46A2D6C9" w14:textId="77777777" w:rsidR="00123BE2" w:rsidRPr="00515D32" w:rsidRDefault="00123BE2" w:rsidP="00B32DB2">
      <w:pPr>
        <w:spacing w:before="240"/>
        <w:rPr>
          <w:rFonts w:ascii="Arial" w:hAnsi="Arial" w:cs="Arial"/>
          <w:color w:val="161616" w:themeColor="background1" w:themeShade="1A"/>
          <w:sz w:val="22"/>
          <w:szCs w:val="22"/>
          <w:lang w:val="es-ES_tradnl"/>
        </w:rPr>
      </w:pPr>
    </w:p>
    <w:sectPr w:rsidR="00123BE2" w:rsidRPr="00515D32" w:rsidSect="00D650B5">
      <w:headerReference w:type="default" r:id="rId15"/>
      <w:footerReference w:type="default" r:id="rId16"/>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5E17" w14:textId="77777777" w:rsidR="008D4731" w:rsidRDefault="008D4731">
      <w:r>
        <w:separator/>
      </w:r>
    </w:p>
  </w:endnote>
  <w:endnote w:type="continuationSeparator" w:id="0">
    <w:p w14:paraId="42519FCD" w14:textId="77777777" w:rsidR="008D4731" w:rsidRDefault="008D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M_≤ò">
    <w:altName w:val="Calibri"/>
    <w:panose1 w:val="020B0604020202020204"/>
    <w:charset w:val="4D"/>
    <w:family w:val="auto"/>
    <w:pitch w:val="default"/>
    <w:sig w:usb0="00000003" w:usb1="00000000" w:usb2="00000000" w:usb3="00000000" w:csb0="00000001" w:csb1="00000000"/>
  </w:font>
  <w:font w:name="Arial,">
    <w:altName w:val="Arial"/>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panose1 w:val="020B0604020202020204"/>
    <w:charset w:val="00"/>
    <w:family w:val="roman"/>
    <w:pitch w:val="default"/>
  </w:font>
  <w:font w:name="HelveticaNeueLTPro-It">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235C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235C4">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42CCCB0A" w:rsidR="00EF64D8" w:rsidRDefault="00C2445E" w:rsidP="00322937">
    <w:pPr>
      <w:pStyle w:val="Piedepgina"/>
      <w:jc w:val="center"/>
      <w:rPr>
        <w:lang w:val="es-ES"/>
      </w:rPr>
    </w:pPr>
    <w:r>
      <w:rPr>
        <w:noProof/>
      </w:rPr>
      <w:drawing>
        <wp:inline distT="0" distB="0" distL="0" distR="0" wp14:anchorId="19E5D179" wp14:editId="4FB53D2C">
          <wp:extent cx="4547417" cy="627694"/>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05157" cy="635664"/>
                  </a:xfrm>
                  <a:prstGeom prst="rect">
                    <a:avLst/>
                  </a:prstGeom>
                </pic:spPr>
              </pic:pic>
            </a:graphicData>
          </a:graphic>
        </wp:inline>
      </w:drawing>
    </w: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AF00" w14:textId="77777777" w:rsidR="008D4731" w:rsidRDefault="008D4731">
      <w:r>
        <w:separator/>
      </w:r>
    </w:p>
  </w:footnote>
  <w:footnote w:type="continuationSeparator" w:id="0">
    <w:p w14:paraId="016CBF0E" w14:textId="77777777" w:rsidR="008D4731" w:rsidRDefault="008D4731">
      <w:r>
        <w:continuationSeparator/>
      </w:r>
    </w:p>
  </w:footnote>
  <w:footnote w:id="1">
    <w:p w14:paraId="42BD4B8D" w14:textId="77777777" w:rsidR="00F158B5" w:rsidRPr="0020112B" w:rsidRDefault="00F158B5" w:rsidP="0020112B">
      <w:pPr>
        <w:pStyle w:val="Textonotapie"/>
        <w:spacing w:line="240" w:lineRule="auto"/>
        <w:ind w:firstLine="708"/>
        <w:rPr>
          <w:rFonts w:ascii="Arial" w:hAnsi="Arial" w:cs="Arial"/>
          <w:sz w:val="18"/>
          <w:szCs w:val="18"/>
          <w:lang w:val="es-ES"/>
        </w:rPr>
      </w:pPr>
      <w:r w:rsidRPr="0020112B">
        <w:rPr>
          <w:rStyle w:val="Refdenotaalpie"/>
          <w:rFonts w:ascii="Arial" w:hAnsi="Arial" w:cs="Arial"/>
          <w:sz w:val="18"/>
          <w:szCs w:val="18"/>
        </w:rPr>
        <w:footnoteRef/>
      </w:r>
      <w:r w:rsidRPr="0020112B">
        <w:rPr>
          <w:rFonts w:ascii="Arial" w:hAnsi="Arial" w:cs="Arial"/>
          <w:sz w:val="18"/>
          <w:szCs w:val="18"/>
        </w:rPr>
        <w:t xml:space="preserve"> </w:t>
      </w:r>
      <w:r w:rsidRPr="0020112B">
        <w:rPr>
          <w:rFonts w:ascii="Arial" w:hAnsi="Arial" w:cs="Arial"/>
          <w:color w:val="000000"/>
          <w:sz w:val="18"/>
          <w:szCs w:val="18"/>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977535B" w14:textId="4D44B1AF" w:rsidR="00F158B5" w:rsidRPr="0020112B" w:rsidRDefault="00F158B5" w:rsidP="0020112B">
      <w:pPr>
        <w:pStyle w:val="Textonotapie"/>
        <w:spacing w:line="240" w:lineRule="auto"/>
        <w:ind w:firstLine="708"/>
        <w:rPr>
          <w:rFonts w:ascii="Arial" w:hAnsi="Arial" w:cs="Arial"/>
          <w:color w:val="000000"/>
          <w:sz w:val="18"/>
          <w:szCs w:val="18"/>
        </w:rPr>
      </w:pPr>
      <w:r w:rsidRPr="0020112B">
        <w:rPr>
          <w:rStyle w:val="Refdenotaalpie"/>
          <w:rFonts w:ascii="Arial" w:hAnsi="Arial" w:cs="Arial"/>
          <w:sz w:val="18"/>
          <w:szCs w:val="18"/>
        </w:rPr>
        <w:footnoteRef/>
      </w:r>
      <w:r w:rsidRPr="0020112B">
        <w:rPr>
          <w:rFonts w:ascii="Arial" w:hAnsi="Arial" w:cs="Arial"/>
          <w:sz w:val="18"/>
          <w:szCs w:val="18"/>
        </w:rPr>
        <w:t xml:space="preserve"> </w:t>
      </w:r>
      <w:r w:rsidRPr="0020112B">
        <w:rPr>
          <w:rFonts w:ascii="Arial" w:hAnsi="Arial" w:cs="Arial"/>
          <w:color w:val="000000"/>
          <w:sz w:val="18"/>
          <w:szCs w:val="18"/>
        </w:rPr>
        <w:t>Procuraduría General de la Nación. Concepto del 15 de octubre de 2014. Procuraduría Delegada para Asuntos Disciplinarios. Radicado PAD C-114-2014.</w:t>
      </w:r>
    </w:p>
  </w:footnote>
  <w:footnote w:id="3">
    <w:p w14:paraId="6295A99C" w14:textId="5F61528D" w:rsidR="00F158B5" w:rsidRPr="0020112B" w:rsidRDefault="00F158B5" w:rsidP="0020112B">
      <w:pPr>
        <w:pStyle w:val="Textonotapie"/>
        <w:spacing w:line="240" w:lineRule="auto"/>
        <w:ind w:firstLine="708"/>
        <w:rPr>
          <w:rFonts w:ascii="Arial" w:hAnsi="Arial" w:cs="Arial"/>
          <w:color w:val="000000"/>
          <w:sz w:val="18"/>
          <w:szCs w:val="18"/>
        </w:rPr>
      </w:pPr>
      <w:r w:rsidRPr="0020112B">
        <w:rPr>
          <w:rStyle w:val="Refdenotaalpie"/>
          <w:rFonts w:ascii="Arial" w:hAnsi="Arial" w:cs="Arial"/>
          <w:sz w:val="18"/>
          <w:szCs w:val="18"/>
        </w:rPr>
        <w:footnoteRef/>
      </w:r>
      <w:r w:rsidRPr="0020112B">
        <w:rPr>
          <w:rFonts w:ascii="Arial" w:hAnsi="Arial" w:cs="Arial"/>
          <w:sz w:val="18"/>
          <w:szCs w:val="18"/>
        </w:rPr>
        <w:t xml:space="preserve"> </w:t>
      </w:r>
      <w:r w:rsidRPr="0020112B">
        <w:rPr>
          <w:rFonts w:ascii="Arial" w:hAnsi="Arial" w:cs="Arial"/>
          <w:color w:val="000000"/>
          <w:sz w:val="18"/>
          <w:szCs w:val="18"/>
        </w:rPr>
        <w:t>Contraloría General de la República. Oficina Jurídica. Concepto 80112-OJ-008 2017.</w:t>
      </w:r>
    </w:p>
  </w:footnote>
  <w:footnote w:id="4">
    <w:p w14:paraId="2298AD73" w14:textId="77777777" w:rsidR="00F158B5" w:rsidRPr="0020112B" w:rsidRDefault="00F158B5" w:rsidP="0020112B">
      <w:pPr>
        <w:pStyle w:val="Textonotapie"/>
        <w:spacing w:line="240" w:lineRule="auto"/>
        <w:ind w:firstLine="708"/>
        <w:rPr>
          <w:rFonts w:ascii="Arial" w:hAnsi="Arial" w:cs="Arial"/>
          <w:sz w:val="18"/>
          <w:szCs w:val="18"/>
          <w:lang w:val="es-ES"/>
        </w:rPr>
      </w:pPr>
      <w:r w:rsidRPr="0020112B">
        <w:rPr>
          <w:rStyle w:val="Refdenotaalpie"/>
          <w:rFonts w:ascii="Arial" w:hAnsi="Arial" w:cs="Arial"/>
          <w:sz w:val="18"/>
          <w:szCs w:val="18"/>
        </w:rPr>
        <w:footnoteRef/>
      </w:r>
      <w:r w:rsidRPr="0020112B">
        <w:rPr>
          <w:rFonts w:ascii="Arial" w:hAnsi="Arial" w:cs="Arial"/>
          <w:sz w:val="18"/>
          <w:szCs w:val="18"/>
        </w:rPr>
        <w:t xml:space="preserve"> </w:t>
      </w:r>
      <w:r w:rsidRPr="0020112B">
        <w:rPr>
          <w:rFonts w:ascii="Arial" w:hAnsi="Arial" w:cs="Arial"/>
          <w:color w:val="000000"/>
          <w:sz w:val="18"/>
          <w:szCs w:val="18"/>
        </w:rPr>
        <w:t>ARBOLEDA PERDOMO, Enrique José. Comentarios al Nuevo Código de Procedimiento Administrativo y de lo Contencioso Administrativo (2ª ed.). Editorial Legis. Bogotá. 2012. p. 59</w:t>
      </w:r>
    </w:p>
  </w:footnote>
  <w:footnote w:id="5">
    <w:p w14:paraId="1F0A9EA4" w14:textId="77777777" w:rsidR="00740E5C" w:rsidRPr="0020112B" w:rsidRDefault="00740E5C" w:rsidP="0020112B">
      <w:pPr>
        <w:pStyle w:val="Textonotapie"/>
        <w:spacing w:line="240" w:lineRule="auto"/>
        <w:ind w:firstLine="709"/>
        <w:rPr>
          <w:rFonts w:ascii="Arial" w:eastAsia="Calibri" w:hAnsi="Arial" w:cs="Arial"/>
          <w:color w:val="000000" w:themeColor="text1"/>
          <w:sz w:val="18"/>
          <w:szCs w:val="18"/>
        </w:rPr>
      </w:pPr>
      <w:r w:rsidRPr="0020112B">
        <w:rPr>
          <w:rStyle w:val="Refdenotaalpie"/>
          <w:rFonts w:ascii="Arial" w:hAnsi="Arial" w:cs="Arial"/>
          <w:color w:val="000000" w:themeColor="text1"/>
          <w:sz w:val="18"/>
          <w:szCs w:val="18"/>
        </w:rPr>
        <w:footnoteRef/>
      </w:r>
      <w:r w:rsidRPr="0020112B">
        <w:rPr>
          <w:rFonts w:ascii="Arial" w:hAnsi="Arial" w:cs="Arial"/>
          <w:color w:val="000000" w:themeColor="text1"/>
          <w:sz w:val="18"/>
          <w:szCs w:val="18"/>
        </w:rPr>
        <w:t xml:space="preserve"> </w:t>
      </w:r>
      <w:r w:rsidRPr="0020112B">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574BBF6" w14:textId="77777777" w:rsidR="00740E5C" w:rsidRPr="0020112B" w:rsidRDefault="00740E5C" w:rsidP="0020112B">
      <w:pPr>
        <w:pStyle w:val="Textonotapie"/>
        <w:spacing w:line="240" w:lineRule="auto"/>
        <w:ind w:firstLine="709"/>
        <w:rPr>
          <w:rFonts w:ascii="Arial" w:eastAsia="Calibri" w:hAnsi="Arial" w:cs="Arial"/>
          <w:color w:val="000000" w:themeColor="text1"/>
          <w:sz w:val="18"/>
          <w:szCs w:val="18"/>
        </w:rPr>
      </w:pPr>
      <w:r w:rsidRPr="0020112B">
        <w:rPr>
          <w:rFonts w:ascii="Arial" w:eastAsia="Calibri" w:hAnsi="Arial" w:cs="Arial"/>
          <w:color w:val="000000" w:themeColor="text1"/>
          <w:sz w:val="18"/>
          <w:szCs w:val="18"/>
        </w:rPr>
        <w:t>[…]</w:t>
      </w:r>
    </w:p>
    <w:p w14:paraId="4E62132F" w14:textId="33A8CC1B" w:rsidR="00740E5C" w:rsidRPr="0020112B" w:rsidRDefault="00740E5C" w:rsidP="0020112B">
      <w:pPr>
        <w:pStyle w:val="Textonotapie"/>
        <w:spacing w:line="240" w:lineRule="auto"/>
        <w:ind w:firstLine="709"/>
        <w:rPr>
          <w:rFonts w:ascii="Arial" w:hAnsi="Arial" w:cs="Arial"/>
          <w:color w:val="000000" w:themeColor="text1"/>
          <w:sz w:val="18"/>
          <w:szCs w:val="18"/>
          <w:lang w:val="es-CO"/>
        </w:rPr>
      </w:pPr>
      <w:r w:rsidRPr="0020112B">
        <w:rPr>
          <w:rFonts w:ascii="Arial" w:eastAsia="Calibri" w:hAnsi="Arial" w:cs="Arial"/>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20112B">
        <w:rPr>
          <w:rFonts w:ascii="Arial" w:hAnsi="Arial" w:cs="Arial"/>
          <w:color w:val="000000" w:themeColor="text1"/>
          <w:sz w:val="18"/>
          <w:szCs w:val="18"/>
          <w:lang w:val="es-CO"/>
        </w:rPr>
        <w:t xml:space="preserve"> </w:t>
      </w:r>
    </w:p>
  </w:footnote>
  <w:footnote w:id="6">
    <w:p w14:paraId="2386C519" w14:textId="77777777" w:rsidR="00740E5C" w:rsidRPr="0020112B" w:rsidRDefault="00740E5C" w:rsidP="0020112B">
      <w:pPr>
        <w:pStyle w:val="Textonotapie"/>
        <w:spacing w:line="240" w:lineRule="auto"/>
        <w:ind w:firstLine="709"/>
        <w:rPr>
          <w:rFonts w:ascii="Arial" w:hAnsi="Arial" w:cs="Arial"/>
          <w:color w:val="000000" w:themeColor="text1"/>
          <w:sz w:val="18"/>
          <w:szCs w:val="18"/>
          <w:lang w:val="es-CO"/>
        </w:rPr>
      </w:pPr>
      <w:r w:rsidRPr="0020112B">
        <w:rPr>
          <w:rFonts w:ascii="Arial" w:eastAsia="Calibri" w:hAnsi="Arial" w:cs="Arial"/>
          <w:color w:val="000000" w:themeColor="text1"/>
          <w:sz w:val="18"/>
          <w:szCs w:val="18"/>
          <w:vertAlign w:val="superscript"/>
        </w:rPr>
        <w:footnoteRef/>
      </w:r>
      <w:r w:rsidRPr="0020112B">
        <w:rPr>
          <w:rFonts w:ascii="Arial" w:eastAsia="Calibri" w:hAnsi="Arial" w:cs="Arial"/>
          <w:color w:val="000000" w:themeColor="text1"/>
          <w:sz w:val="18"/>
          <w:szCs w:val="18"/>
          <w:vertAlign w:val="superscript"/>
        </w:rPr>
        <w:t xml:space="preserve"> </w:t>
      </w:r>
      <w:r w:rsidRPr="0020112B">
        <w:rPr>
          <w:rFonts w:ascii="Arial" w:eastAsia="Calibri" w:hAnsi="Arial" w:cs="Arial"/>
          <w:color w:val="000000" w:themeColor="text1"/>
          <w:sz w:val="18"/>
          <w:szCs w:val="18"/>
        </w:rPr>
        <w:t xml:space="preserve">Consejo de Estado. Sección Tercera. Sentencia del 26 de junio de 2003. Rad. 13.354. C.P: María Elena Giraldo Gómez. </w:t>
      </w:r>
    </w:p>
  </w:footnote>
  <w:footnote w:id="7">
    <w:p w14:paraId="04440D74" w14:textId="77777777" w:rsidR="00740E5C" w:rsidRPr="0020112B" w:rsidRDefault="00740E5C" w:rsidP="0020112B">
      <w:pPr>
        <w:pStyle w:val="NormalWeb"/>
        <w:shd w:val="clear" w:color="auto" w:fill="FFFFFF"/>
        <w:spacing w:after="0" w:line="240" w:lineRule="auto"/>
        <w:ind w:firstLine="709"/>
        <w:rPr>
          <w:rFonts w:ascii="Arial" w:hAnsi="Arial" w:cs="Arial"/>
          <w:sz w:val="18"/>
          <w:szCs w:val="18"/>
        </w:rPr>
      </w:pPr>
      <w:r w:rsidRPr="0020112B">
        <w:rPr>
          <w:rStyle w:val="Refdenotaalpie"/>
          <w:rFonts w:ascii="Arial" w:hAnsi="Arial" w:cs="Arial"/>
          <w:sz w:val="18"/>
          <w:szCs w:val="18"/>
          <w:lang w:val="es-MX"/>
        </w:rPr>
        <w:footnoteRef/>
      </w:r>
      <w:r w:rsidRPr="0020112B">
        <w:rPr>
          <w:rStyle w:val="Refdenotaalpie"/>
          <w:rFonts w:ascii="Arial" w:hAnsi="Arial" w:cs="Arial"/>
          <w:sz w:val="18"/>
          <w:szCs w:val="18"/>
          <w:lang w:val="es-MX"/>
        </w:rPr>
        <w:t xml:space="preserve"> </w:t>
      </w:r>
      <w:r w:rsidRPr="0020112B">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14:paraId="41C4C58D" w14:textId="77777777" w:rsidR="00740E5C" w:rsidRPr="0020112B" w:rsidRDefault="00740E5C" w:rsidP="0020112B">
      <w:pPr>
        <w:shd w:val="clear" w:color="auto" w:fill="FFFFFF"/>
        <w:ind w:firstLine="709"/>
        <w:jc w:val="both"/>
        <w:rPr>
          <w:rFonts w:ascii="Arial" w:hAnsi="Arial" w:cs="Arial"/>
          <w:sz w:val="18"/>
          <w:szCs w:val="18"/>
        </w:rPr>
      </w:pPr>
      <w:r w:rsidRPr="0020112B">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4DB84B8" w14:textId="77777777" w:rsidR="00740E5C" w:rsidRPr="0020112B" w:rsidRDefault="00740E5C" w:rsidP="0020112B">
      <w:pPr>
        <w:shd w:val="clear" w:color="auto" w:fill="FFFFFF"/>
        <w:ind w:firstLine="709"/>
        <w:jc w:val="both"/>
        <w:rPr>
          <w:rFonts w:ascii="Arial" w:hAnsi="Arial" w:cs="Arial"/>
          <w:sz w:val="18"/>
          <w:szCs w:val="18"/>
        </w:rPr>
      </w:pPr>
      <w:r w:rsidRPr="0020112B">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47F6028" w14:textId="77777777" w:rsidR="00740E5C" w:rsidRPr="0020112B" w:rsidRDefault="00740E5C" w:rsidP="0020112B">
      <w:pPr>
        <w:shd w:val="clear" w:color="auto" w:fill="FFFFFF"/>
        <w:ind w:firstLine="709"/>
        <w:jc w:val="both"/>
        <w:rPr>
          <w:rFonts w:ascii="Arial" w:hAnsi="Arial" w:cs="Arial"/>
          <w:sz w:val="18"/>
          <w:szCs w:val="18"/>
        </w:rPr>
      </w:pPr>
      <w:r w:rsidRPr="0020112B">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8">
    <w:p w14:paraId="0598CC28" w14:textId="77777777" w:rsidR="00740E5C" w:rsidRPr="0020112B" w:rsidRDefault="00740E5C" w:rsidP="0020112B">
      <w:pPr>
        <w:pStyle w:val="Textonotapie"/>
        <w:spacing w:line="240" w:lineRule="auto"/>
        <w:ind w:firstLine="709"/>
        <w:rPr>
          <w:rFonts w:ascii="Arial" w:hAnsi="Arial" w:cs="Arial"/>
          <w:sz w:val="18"/>
          <w:szCs w:val="18"/>
        </w:rPr>
      </w:pPr>
      <w:r w:rsidRPr="0020112B">
        <w:rPr>
          <w:rStyle w:val="Refdenotaalpie"/>
          <w:rFonts w:ascii="Arial" w:hAnsi="Arial" w:cs="Arial"/>
          <w:sz w:val="18"/>
          <w:szCs w:val="18"/>
        </w:rPr>
        <w:footnoteRef/>
      </w:r>
      <w:r w:rsidRPr="0020112B">
        <w:rPr>
          <w:rFonts w:ascii="Arial" w:hAnsi="Arial" w:cs="Arial"/>
          <w:sz w:val="18"/>
          <w:szCs w:val="18"/>
        </w:rPr>
        <w:t xml:space="preserve"> Colombia Compra Eficiente. Concepto C-297 del 4 de junio de 2020. </w:t>
      </w:r>
    </w:p>
  </w:footnote>
  <w:footnote w:id="9">
    <w:p w14:paraId="51DCC40A" w14:textId="77777777" w:rsidR="00740E5C" w:rsidRPr="0020112B" w:rsidRDefault="00740E5C" w:rsidP="0020112B">
      <w:pPr>
        <w:pStyle w:val="Textonotapie"/>
        <w:spacing w:line="240" w:lineRule="auto"/>
        <w:ind w:firstLine="708"/>
        <w:rPr>
          <w:rFonts w:ascii="Arial" w:hAnsi="Arial" w:cs="Arial"/>
          <w:sz w:val="18"/>
          <w:szCs w:val="18"/>
        </w:rPr>
      </w:pPr>
      <w:r w:rsidRPr="0020112B">
        <w:rPr>
          <w:rStyle w:val="Refdenotaalpie"/>
          <w:rFonts w:ascii="Arial" w:hAnsi="Arial" w:cs="Arial"/>
          <w:sz w:val="18"/>
          <w:szCs w:val="18"/>
        </w:rPr>
        <w:footnoteRef/>
      </w:r>
      <w:r w:rsidRPr="0020112B">
        <w:rPr>
          <w:rFonts w:ascii="Arial" w:hAnsi="Arial" w:cs="Arial"/>
          <w:sz w:val="18"/>
          <w:szCs w:val="18"/>
        </w:rPr>
        <w:t xml:space="preserve"> Concepto C-196 de 2020. Radicado de entrada No. 4202013000001559. Radicado de salida No. 2202013000002534.</w:t>
      </w:r>
    </w:p>
    <w:p w14:paraId="1D59A59A" w14:textId="77777777" w:rsidR="00740E5C" w:rsidRPr="0020112B" w:rsidRDefault="00740E5C" w:rsidP="0020112B">
      <w:pPr>
        <w:pStyle w:val="Textonotapie"/>
        <w:spacing w:line="240" w:lineRule="auto"/>
        <w:rPr>
          <w:rFonts w:ascii="Arial" w:hAnsi="Arial" w:cs="Arial"/>
          <w:sz w:val="18"/>
          <w:szCs w:val="18"/>
        </w:rPr>
      </w:pPr>
    </w:p>
  </w:footnote>
  <w:footnote w:id="10">
    <w:p w14:paraId="7A574901" w14:textId="77777777" w:rsidR="00A05B7A" w:rsidRPr="0020112B" w:rsidRDefault="00A05B7A" w:rsidP="0020112B">
      <w:pPr>
        <w:pStyle w:val="Textonotapie"/>
        <w:spacing w:line="240" w:lineRule="auto"/>
        <w:ind w:firstLine="709"/>
        <w:rPr>
          <w:rFonts w:ascii="Arial" w:hAnsi="Arial" w:cs="Arial"/>
          <w:color w:val="000000"/>
          <w:sz w:val="18"/>
          <w:szCs w:val="18"/>
          <w:lang w:val="es-ES"/>
        </w:rPr>
      </w:pPr>
      <w:r w:rsidRPr="0020112B">
        <w:rPr>
          <w:rStyle w:val="Refdenotaalpie"/>
          <w:rFonts w:ascii="Arial" w:hAnsi="Arial" w:cs="Arial"/>
          <w:color w:val="000000"/>
          <w:sz w:val="18"/>
          <w:szCs w:val="18"/>
        </w:rPr>
        <w:footnoteRef/>
      </w:r>
      <w:r w:rsidRPr="0020112B">
        <w:rPr>
          <w:rFonts w:ascii="Arial" w:hAnsi="Arial" w:cs="Arial"/>
          <w:color w:val="000000"/>
          <w:sz w:val="18"/>
          <w:szCs w:val="18"/>
        </w:rPr>
        <w:t xml:space="preserve"> Consejo de Estado. Sección Tercera. Sentencia del 4 de junio de 2008. Exp. No. 17.783. C.P. Myriam Guerrero de Escobar.</w:t>
      </w:r>
    </w:p>
  </w:footnote>
  <w:footnote w:id="11">
    <w:p w14:paraId="0198A367" w14:textId="77777777" w:rsidR="00A05B7A" w:rsidRPr="0020112B" w:rsidRDefault="00A05B7A" w:rsidP="0020112B">
      <w:pPr>
        <w:pStyle w:val="Textonotapie"/>
        <w:spacing w:line="240" w:lineRule="auto"/>
        <w:ind w:firstLine="709"/>
        <w:rPr>
          <w:rFonts w:ascii="Arial" w:hAnsi="Arial" w:cs="Arial"/>
          <w:color w:val="000000"/>
          <w:sz w:val="18"/>
          <w:szCs w:val="18"/>
          <w:lang w:val="es-ES"/>
        </w:rPr>
      </w:pPr>
      <w:r w:rsidRPr="0020112B">
        <w:rPr>
          <w:rStyle w:val="Refdenotaalpie"/>
          <w:rFonts w:ascii="Arial" w:hAnsi="Arial" w:cs="Arial"/>
          <w:color w:val="000000"/>
          <w:sz w:val="18"/>
          <w:szCs w:val="18"/>
        </w:rPr>
        <w:footnoteRef/>
      </w:r>
      <w:r w:rsidRPr="0020112B">
        <w:rPr>
          <w:rFonts w:ascii="Arial" w:hAnsi="Arial" w:cs="Arial"/>
          <w:color w:val="000000"/>
          <w:sz w:val="18"/>
          <w:szCs w:val="18"/>
        </w:rPr>
        <w:t xml:space="preserve"> Guía para el manejo de ofertas artificialmente bajas en Procesos de Contratación. p. 5.</w:t>
      </w:r>
    </w:p>
  </w:footnote>
  <w:footnote w:id="12">
    <w:p w14:paraId="2F96F862" w14:textId="02157714" w:rsidR="00A05B7A" w:rsidRPr="0020112B" w:rsidRDefault="00A05B7A" w:rsidP="0020112B">
      <w:pPr>
        <w:pStyle w:val="Textonotapie"/>
        <w:spacing w:line="240" w:lineRule="auto"/>
        <w:ind w:firstLine="709"/>
        <w:rPr>
          <w:rFonts w:ascii="Arial" w:hAnsi="Arial" w:cs="Arial"/>
          <w:color w:val="000000"/>
          <w:sz w:val="18"/>
          <w:szCs w:val="18"/>
        </w:rPr>
      </w:pPr>
      <w:r w:rsidRPr="0020112B">
        <w:rPr>
          <w:rStyle w:val="Refdenotaalpie"/>
          <w:rFonts w:ascii="Arial" w:hAnsi="Arial" w:cs="Arial"/>
          <w:color w:val="000000"/>
          <w:sz w:val="18"/>
          <w:szCs w:val="18"/>
        </w:rPr>
        <w:footnoteRef/>
      </w:r>
      <w:r w:rsidRPr="0020112B">
        <w:rPr>
          <w:rFonts w:ascii="Arial" w:hAnsi="Arial" w:cs="Arial"/>
          <w:color w:val="000000"/>
          <w:sz w:val="18"/>
          <w:szCs w:val="18"/>
        </w:rPr>
        <w:t xml:space="preserve"> De acuerdo con el Consejo de Estado, Sección Quinta, sentencia del 22 de octubre de 2009. C.P. 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footnote>
  <w:footnote w:id="13">
    <w:p w14:paraId="63747079" w14:textId="0C85E20E" w:rsidR="00A05B7A" w:rsidRPr="0020112B" w:rsidRDefault="00A05B7A" w:rsidP="0020112B">
      <w:pPr>
        <w:pStyle w:val="Textonotapie"/>
        <w:spacing w:line="240" w:lineRule="auto"/>
        <w:ind w:firstLine="709"/>
        <w:rPr>
          <w:rFonts w:ascii="Arial" w:hAnsi="Arial" w:cs="Arial"/>
          <w:color w:val="000000"/>
          <w:sz w:val="18"/>
          <w:szCs w:val="18"/>
          <w:lang w:val="es-ES"/>
        </w:rPr>
      </w:pPr>
      <w:r w:rsidRPr="0020112B">
        <w:rPr>
          <w:rStyle w:val="Refdenotaalpie"/>
          <w:rFonts w:ascii="Arial" w:hAnsi="Arial" w:cs="Arial"/>
          <w:color w:val="000000"/>
          <w:sz w:val="18"/>
          <w:szCs w:val="18"/>
        </w:rPr>
        <w:footnoteRef/>
      </w:r>
      <w:r w:rsidRPr="0020112B">
        <w:rPr>
          <w:rFonts w:ascii="Arial" w:hAnsi="Arial" w:cs="Arial"/>
          <w:color w:val="000000"/>
          <w:sz w:val="18"/>
          <w:szCs w:val="18"/>
        </w:rPr>
        <w:t xml:space="preserve"> </w:t>
      </w:r>
      <w:r w:rsidRPr="0020112B">
        <w:rPr>
          <w:rFonts w:ascii="Arial" w:hAnsi="Arial" w:cs="Arial"/>
          <w:color w:val="000000"/>
          <w:sz w:val="18"/>
          <w:szCs w:val="18"/>
          <w:lang w:val="es-ES"/>
        </w:rPr>
        <w:t xml:space="preserve">Consejo de Estado. Sección Segunda. Sentencia del 10 de junio de 1992. </w:t>
      </w:r>
      <w:r w:rsidRPr="0020112B">
        <w:rPr>
          <w:rFonts w:ascii="Arial" w:hAnsi="Arial" w:cs="Arial"/>
          <w:color w:val="000000"/>
          <w:sz w:val="18"/>
          <w:szCs w:val="18"/>
          <w:lang w:val="es-ES"/>
        </w:rPr>
        <w:t>Exp. No. 4.249. C.P. Álvaro Lecompte Luna.</w:t>
      </w:r>
    </w:p>
  </w:footnote>
  <w:footnote w:id="14">
    <w:p w14:paraId="050BC174" w14:textId="77777777" w:rsidR="00A05B7A" w:rsidRPr="0020112B" w:rsidRDefault="00A05B7A" w:rsidP="0020112B">
      <w:pPr>
        <w:pStyle w:val="Textonotapie"/>
        <w:spacing w:line="240" w:lineRule="auto"/>
        <w:ind w:firstLine="709"/>
        <w:rPr>
          <w:rFonts w:ascii="Arial" w:hAnsi="Arial" w:cs="Arial"/>
          <w:color w:val="000000"/>
          <w:sz w:val="18"/>
          <w:szCs w:val="18"/>
        </w:rPr>
      </w:pPr>
      <w:r w:rsidRPr="0020112B">
        <w:rPr>
          <w:rStyle w:val="Refdenotaalpie"/>
          <w:rFonts w:ascii="Arial" w:hAnsi="Arial" w:cs="Arial"/>
          <w:color w:val="000000"/>
          <w:sz w:val="18"/>
          <w:szCs w:val="18"/>
        </w:rPr>
        <w:footnoteRef/>
      </w:r>
      <w:r w:rsidRPr="0020112B">
        <w:rPr>
          <w:rFonts w:ascii="Arial" w:hAnsi="Arial" w:cs="Arial"/>
          <w:color w:val="000000"/>
          <w:sz w:val="18"/>
          <w:szCs w:val="18"/>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p>
  </w:footnote>
  <w:footnote w:id="15">
    <w:p w14:paraId="3D670FB5" w14:textId="77777777" w:rsidR="00F66CBD" w:rsidRPr="0020112B" w:rsidRDefault="00F66CBD" w:rsidP="0020112B">
      <w:pPr>
        <w:pStyle w:val="Textonotapie"/>
        <w:spacing w:line="240" w:lineRule="auto"/>
        <w:ind w:firstLine="709"/>
        <w:rPr>
          <w:rFonts w:ascii="Arial" w:hAnsi="Arial" w:cs="Arial"/>
          <w:color w:val="000000" w:themeColor="text1"/>
          <w:sz w:val="18"/>
          <w:szCs w:val="18"/>
        </w:rPr>
      </w:pPr>
      <w:r w:rsidRPr="0020112B">
        <w:rPr>
          <w:rStyle w:val="Refdenotaalpie"/>
          <w:rFonts w:ascii="Arial" w:hAnsi="Arial" w:cs="Arial"/>
          <w:color w:val="000000" w:themeColor="text1"/>
          <w:sz w:val="18"/>
          <w:szCs w:val="18"/>
        </w:rPr>
        <w:footnoteRef/>
      </w:r>
      <w:r w:rsidRPr="0020112B">
        <w:rPr>
          <w:rFonts w:ascii="Arial" w:hAnsi="Arial" w:cs="Arial"/>
          <w:color w:val="000000" w:themeColor="text1"/>
          <w:sz w:val="18"/>
          <w:szCs w:val="18"/>
        </w:rPr>
        <w:t xml:space="preserve"> Decreto 4170 de 2011: «Artículo 3. Funciones: La Agencia Nacional de Contratación Pública –Colombia Compra Eficiente– ejercerá las siguientes funciones: [...]</w:t>
      </w:r>
    </w:p>
    <w:p w14:paraId="35D26B65" w14:textId="77777777" w:rsidR="00F66CBD" w:rsidRPr="0020112B" w:rsidRDefault="00F66CBD" w:rsidP="0020112B">
      <w:pPr>
        <w:pStyle w:val="Textonotapie"/>
        <w:spacing w:line="240" w:lineRule="auto"/>
        <w:ind w:firstLine="709"/>
        <w:rPr>
          <w:rFonts w:ascii="Arial" w:hAnsi="Arial" w:cs="Arial"/>
          <w:color w:val="000000" w:themeColor="text1"/>
          <w:sz w:val="18"/>
          <w:szCs w:val="18"/>
        </w:rPr>
      </w:pPr>
      <w:r w:rsidRPr="0020112B">
        <w:rPr>
          <w:rFonts w:ascii="Arial" w:hAnsi="Arial" w:cs="Arial"/>
          <w:color w:val="000000" w:themeColor="text1"/>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16">
    <w:p w14:paraId="4D6BD988" w14:textId="77777777" w:rsidR="0081103C" w:rsidRPr="006C61D6" w:rsidRDefault="0081103C" w:rsidP="006C61D6">
      <w:pPr>
        <w:pStyle w:val="Textonotapie"/>
        <w:spacing w:line="240" w:lineRule="auto"/>
        <w:ind w:firstLine="708"/>
        <w:rPr>
          <w:rFonts w:ascii="Arial" w:hAnsi="Arial" w:cs="Arial"/>
          <w:sz w:val="18"/>
          <w:szCs w:val="18"/>
        </w:rPr>
      </w:pPr>
      <w:r w:rsidRPr="006C61D6">
        <w:rPr>
          <w:rStyle w:val="Refdenotaalpie"/>
          <w:rFonts w:ascii="Arial" w:hAnsi="Arial" w:cs="Arial"/>
          <w:sz w:val="18"/>
          <w:szCs w:val="18"/>
        </w:rPr>
        <w:footnoteRef/>
      </w:r>
      <w:r w:rsidRPr="006C61D6">
        <w:rPr>
          <w:rFonts w:ascii="Arial" w:hAnsi="Arial" w:cs="Arial"/>
          <w:sz w:val="18"/>
          <w:szCs w:val="18"/>
        </w:rPr>
        <w:t xml:space="preserve"> Ley 80 de 1993: «Artículo 2. De la definición de entidades, servidores y servicios públicos. Para los solos efectos de esta ley:</w:t>
      </w:r>
    </w:p>
    <w:p w14:paraId="3D850B3A" w14:textId="77777777" w:rsidR="0081103C" w:rsidRPr="006C61D6" w:rsidRDefault="0081103C" w:rsidP="006C61D6">
      <w:pPr>
        <w:pStyle w:val="Textonotapie"/>
        <w:spacing w:line="240" w:lineRule="auto"/>
        <w:ind w:firstLine="708"/>
        <w:rPr>
          <w:rFonts w:ascii="Arial" w:hAnsi="Arial" w:cs="Arial"/>
          <w:sz w:val="18"/>
          <w:szCs w:val="18"/>
        </w:rPr>
      </w:pPr>
      <w:r w:rsidRPr="006C61D6">
        <w:rPr>
          <w:rFonts w:ascii="Arial" w:hAnsi="Arial" w:cs="Arial"/>
          <w:sz w:val="18"/>
          <w:szCs w:val="18"/>
        </w:rPr>
        <w:t>«1o. Se denominan entidades estatales:</w:t>
      </w:r>
    </w:p>
    <w:p w14:paraId="340C7B39" w14:textId="77777777" w:rsidR="0081103C" w:rsidRPr="006C61D6" w:rsidRDefault="0081103C" w:rsidP="006C61D6">
      <w:pPr>
        <w:pStyle w:val="Textonotapie"/>
        <w:spacing w:line="240" w:lineRule="auto"/>
        <w:ind w:firstLine="708"/>
        <w:rPr>
          <w:rFonts w:ascii="Arial" w:hAnsi="Arial" w:cs="Arial"/>
          <w:sz w:val="18"/>
          <w:szCs w:val="18"/>
        </w:rPr>
      </w:pPr>
      <w:r w:rsidRPr="006C61D6">
        <w:rPr>
          <w:rFonts w:ascii="Arial" w:hAnsi="Arial" w:cs="Arial"/>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796BC73E" w14:textId="26051FEA" w:rsidR="0081103C" w:rsidRPr="006C61D6" w:rsidRDefault="0081103C" w:rsidP="006C61D6">
      <w:pPr>
        <w:pStyle w:val="Textonotapie"/>
        <w:spacing w:line="240" w:lineRule="auto"/>
        <w:ind w:firstLine="708"/>
        <w:rPr>
          <w:rFonts w:ascii="Arial" w:hAnsi="Arial" w:cs="Arial"/>
          <w:sz w:val="18"/>
          <w:szCs w:val="18"/>
        </w:rPr>
      </w:pPr>
      <w:r w:rsidRPr="006C61D6">
        <w:rPr>
          <w:rFonts w:ascii="Arial" w:hAnsi="Arial" w:cs="Arial"/>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36C78D69" w14:textId="77777777" w:rsidR="0081103C" w:rsidRPr="006C61D6" w:rsidRDefault="0081103C" w:rsidP="006C61D6">
      <w:pPr>
        <w:pStyle w:val="Textonotapie"/>
        <w:spacing w:line="240" w:lineRule="auto"/>
        <w:ind w:firstLine="708"/>
        <w:rPr>
          <w:rFonts w:ascii="Arial" w:hAnsi="Arial" w:cs="Arial"/>
          <w:sz w:val="18"/>
          <w:szCs w:val="18"/>
        </w:rPr>
      </w:pPr>
      <w:r w:rsidRPr="006C61D6">
        <w:rPr>
          <w:rFonts w:ascii="Arial" w:hAnsi="Arial" w:cs="Arial"/>
          <w:sz w:val="18"/>
          <w:szCs w:val="18"/>
        </w:rPr>
        <w:t>«Artículo 12. De la delegación para contratar.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p>
    <w:p w14:paraId="2088C099" w14:textId="77777777" w:rsidR="0081103C" w:rsidRPr="006C61D6" w:rsidRDefault="0081103C" w:rsidP="006C61D6">
      <w:pPr>
        <w:pStyle w:val="Textonotapie"/>
        <w:spacing w:line="240" w:lineRule="auto"/>
        <w:ind w:firstLine="708"/>
        <w:rPr>
          <w:rFonts w:ascii="Arial" w:hAnsi="Arial" w:cs="Arial"/>
          <w:sz w:val="18"/>
          <w:szCs w:val="18"/>
          <w:lang w:val="es-ES_tradnl"/>
        </w:rPr>
      </w:pPr>
    </w:p>
  </w:footnote>
  <w:footnote w:id="17">
    <w:p w14:paraId="3951840D" w14:textId="77777777" w:rsidR="0081103C" w:rsidRPr="006C61D6" w:rsidRDefault="0081103C" w:rsidP="006C61D6">
      <w:pPr>
        <w:pStyle w:val="Textonotapie"/>
        <w:spacing w:line="240" w:lineRule="auto"/>
        <w:ind w:firstLine="708"/>
        <w:rPr>
          <w:rFonts w:ascii="Arial" w:eastAsia="Calibri" w:hAnsi="Arial" w:cs="Arial"/>
          <w:sz w:val="18"/>
          <w:szCs w:val="18"/>
          <w:lang w:val="es-ES_tradnl"/>
        </w:rPr>
      </w:pPr>
      <w:r w:rsidRPr="006C61D6">
        <w:rPr>
          <w:rStyle w:val="Refdenotaalpie"/>
          <w:rFonts w:ascii="Arial" w:hAnsi="Arial" w:cs="Arial"/>
          <w:sz w:val="18"/>
          <w:szCs w:val="18"/>
        </w:rPr>
        <w:footnoteRef/>
      </w:r>
      <w:r w:rsidRPr="006C61D6">
        <w:rPr>
          <w:rFonts w:ascii="Arial" w:hAnsi="Arial" w:cs="Arial"/>
          <w:sz w:val="18"/>
          <w:szCs w:val="18"/>
        </w:rPr>
        <w:t xml:space="preserve"> </w:t>
      </w:r>
      <w:r w:rsidRPr="006C61D6">
        <w:rPr>
          <w:rFonts w:ascii="Arial" w:eastAsia="Calibri" w:hAnsi="Arial" w:cs="Arial"/>
          <w:sz w:val="18"/>
          <w:szCs w:val="18"/>
          <w:lang w:val="es-ES_tradnl"/>
        </w:rPr>
        <w:t xml:space="preserve">Cfr. CORTE CONSTITUCIONAL. Sentencia C-372 de 2002. M.P. Jaime Córdoba Triviño. </w:t>
      </w:r>
    </w:p>
    <w:p w14:paraId="0743B1BB" w14:textId="77777777" w:rsidR="0081103C" w:rsidRPr="006C61D6" w:rsidRDefault="0081103C" w:rsidP="006C61D6">
      <w:pPr>
        <w:pStyle w:val="Textonotapie"/>
        <w:spacing w:line="240" w:lineRule="auto"/>
        <w:ind w:firstLine="708"/>
        <w:rPr>
          <w:rFonts w:ascii="Arial" w:eastAsia="Calibri" w:hAnsi="Arial" w:cs="Arial"/>
          <w:sz w:val="18"/>
          <w:szCs w:val="18"/>
          <w:lang w:val="es-ES_tradnl"/>
        </w:rPr>
      </w:pPr>
    </w:p>
  </w:footnote>
  <w:footnote w:id="18">
    <w:p w14:paraId="402B2796" w14:textId="2DA62588" w:rsidR="0081103C" w:rsidRPr="006C61D6" w:rsidRDefault="0081103C" w:rsidP="006C61D6">
      <w:pPr>
        <w:pStyle w:val="Textonotapie"/>
        <w:spacing w:line="240" w:lineRule="auto"/>
        <w:ind w:firstLine="708"/>
        <w:rPr>
          <w:rFonts w:ascii="Arial" w:eastAsia="Calibri" w:hAnsi="Arial" w:cs="Arial"/>
          <w:sz w:val="18"/>
          <w:szCs w:val="18"/>
          <w:lang w:val="es-ES_tradnl"/>
        </w:rPr>
      </w:pPr>
      <w:r w:rsidRPr="006C61D6">
        <w:rPr>
          <w:rStyle w:val="Refdenotaalpie"/>
          <w:rFonts w:ascii="Arial" w:hAnsi="Arial" w:cs="Arial"/>
          <w:sz w:val="18"/>
          <w:szCs w:val="18"/>
        </w:rPr>
        <w:footnoteRef/>
      </w:r>
      <w:r w:rsidRPr="006C61D6">
        <w:rPr>
          <w:rFonts w:ascii="Arial" w:hAnsi="Arial" w:cs="Arial"/>
          <w:sz w:val="18"/>
          <w:szCs w:val="18"/>
        </w:rPr>
        <w:t xml:space="preserve"> </w:t>
      </w:r>
      <w:r w:rsidRPr="006C61D6">
        <w:rPr>
          <w:rFonts w:ascii="Arial" w:eastAsia="Calibri" w:hAnsi="Arial" w:cs="Arial"/>
          <w:sz w:val="18"/>
          <w:szCs w:val="18"/>
          <w:lang w:val="es-ES_tradnl"/>
        </w:rPr>
        <w:t>CORTE CONSTITUCIONAL. Sentencia C-</w:t>
      </w:r>
      <w:r w:rsidRPr="006C61D6">
        <w:rPr>
          <w:rFonts w:ascii="Arial" w:hAnsi="Arial" w:cs="Arial"/>
          <w:sz w:val="18"/>
          <w:szCs w:val="18"/>
        </w:rPr>
        <w:t xml:space="preserve"> </w:t>
      </w:r>
      <w:r w:rsidRPr="006C61D6">
        <w:rPr>
          <w:rFonts w:ascii="Arial" w:eastAsia="Calibri" w:hAnsi="Arial" w:cs="Arial"/>
          <w:sz w:val="18"/>
          <w:szCs w:val="18"/>
          <w:lang w:val="es-ES_tradnl"/>
        </w:rPr>
        <w:t>693 de 2008. M.P. Marco Gerardo Monroy Cabra.</w:t>
      </w:r>
    </w:p>
  </w:footnote>
  <w:footnote w:id="19">
    <w:p w14:paraId="0AB7E134" w14:textId="59FA9DDC" w:rsidR="0081103C" w:rsidRPr="006C61D6" w:rsidRDefault="0081103C" w:rsidP="006C61D6">
      <w:pPr>
        <w:pStyle w:val="Textonotapie"/>
        <w:spacing w:line="240" w:lineRule="auto"/>
        <w:ind w:firstLine="708"/>
        <w:rPr>
          <w:rFonts w:ascii="Arial" w:eastAsia="Calibri" w:hAnsi="Arial" w:cs="Arial"/>
          <w:sz w:val="18"/>
          <w:szCs w:val="18"/>
          <w:lang w:val="es-ES_tradnl"/>
        </w:rPr>
      </w:pPr>
      <w:r w:rsidRPr="006C61D6">
        <w:rPr>
          <w:rStyle w:val="Refdenotaalpie"/>
          <w:rFonts w:ascii="Arial" w:hAnsi="Arial" w:cs="Arial"/>
          <w:sz w:val="18"/>
          <w:szCs w:val="18"/>
        </w:rPr>
        <w:footnoteRef/>
      </w:r>
      <w:r w:rsidRPr="006C61D6">
        <w:rPr>
          <w:rFonts w:ascii="Arial" w:hAnsi="Arial" w:cs="Arial"/>
          <w:sz w:val="18"/>
          <w:szCs w:val="18"/>
        </w:rPr>
        <w:t xml:space="preserve"> </w:t>
      </w:r>
      <w:r w:rsidRPr="006C61D6">
        <w:rPr>
          <w:rFonts w:ascii="Arial" w:eastAsia="Calibri" w:hAnsi="Arial" w:cs="Arial"/>
          <w:sz w:val="18"/>
          <w:szCs w:val="18"/>
          <w:lang w:val="es-ES_tradnl"/>
        </w:rPr>
        <w:t>CORTE CONSTITUCIONAL. Sentencia C-382 de 2000. M.P. Antonio Barrera Carbonell.</w:t>
      </w:r>
    </w:p>
  </w:footnote>
  <w:footnote w:id="20">
    <w:p w14:paraId="06A937BB" w14:textId="7E86D763" w:rsidR="0081103C" w:rsidRPr="006C61D6" w:rsidRDefault="0081103C" w:rsidP="006C61D6">
      <w:pPr>
        <w:pStyle w:val="Textonotapie"/>
        <w:spacing w:line="240" w:lineRule="auto"/>
        <w:ind w:firstLine="708"/>
        <w:rPr>
          <w:rFonts w:ascii="Arial" w:eastAsia="Calibri" w:hAnsi="Arial" w:cs="Arial"/>
          <w:sz w:val="18"/>
          <w:szCs w:val="18"/>
          <w:lang w:val="es-ES_tradnl"/>
        </w:rPr>
      </w:pPr>
      <w:r w:rsidRPr="006C61D6">
        <w:rPr>
          <w:rStyle w:val="Refdenotaalpie"/>
          <w:rFonts w:ascii="Arial" w:hAnsi="Arial" w:cs="Arial"/>
          <w:sz w:val="18"/>
          <w:szCs w:val="18"/>
        </w:rPr>
        <w:footnoteRef/>
      </w:r>
      <w:r w:rsidRPr="006C61D6">
        <w:rPr>
          <w:rFonts w:ascii="Arial" w:hAnsi="Arial" w:cs="Arial"/>
          <w:sz w:val="18"/>
          <w:szCs w:val="18"/>
        </w:rPr>
        <w:t xml:space="preserve"> </w:t>
      </w:r>
      <w:r w:rsidRPr="006C61D6">
        <w:rPr>
          <w:rFonts w:ascii="Arial" w:eastAsia="Calibri" w:hAnsi="Arial" w:cs="Arial"/>
          <w:sz w:val="18"/>
          <w:szCs w:val="18"/>
          <w:lang w:val="es-ES_tradnl"/>
        </w:rPr>
        <w:t>HERNÁNDEZ, Pedro Alfonso. Descentralización, desconcentración y delegación en Colombia. Bogotá: Legis, 1999. p. 158.</w:t>
      </w:r>
    </w:p>
  </w:footnote>
  <w:footnote w:id="21">
    <w:p w14:paraId="24CBAA72" w14:textId="77777777" w:rsidR="0081103C" w:rsidRPr="006C61D6" w:rsidRDefault="0081103C" w:rsidP="006C61D6">
      <w:pPr>
        <w:pStyle w:val="Textonotapie"/>
        <w:spacing w:line="240" w:lineRule="auto"/>
        <w:ind w:firstLine="708"/>
        <w:rPr>
          <w:rFonts w:ascii="Arial" w:hAnsi="Arial" w:cs="Arial"/>
          <w:sz w:val="18"/>
          <w:szCs w:val="18"/>
          <w:lang w:val="es-ES"/>
        </w:rPr>
      </w:pPr>
      <w:r w:rsidRPr="006C61D6">
        <w:rPr>
          <w:rStyle w:val="Refdenotaalpie"/>
          <w:rFonts w:ascii="Arial" w:hAnsi="Arial" w:cs="Arial"/>
          <w:sz w:val="18"/>
          <w:szCs w:val="18"/>
        </w:rPr>
        <w:footnoteRef/>
      </w:r>
      <w:r w:rsidRPr="006C61D6">
        <w:rPr>
          <w:rFonts w:ascii="Arial" w:hAnsi="Arial" w:cs="Arial"/>
          <w:sz w:val="18"/>
          <w:szCs w:val="18"/>
        </w:rPr>
        <w:t xml:space="preserve"> </w:t>
      </w:r>
      <w:r w:rsidRPr="006C61D6">
        <w:rPr>
          <w:rFonts w:ascii="Arial" w:eastAsia="Calibri" w:hAnsi="Arial" w:cs="Arial"/>
          <w:sz w:val="18"/>
          <w:szCs w:val="18"/>
          <w:lang w:val="es-ES_tradnl"/>
        </w:rPr>
        <w:t xml:space="preserve">En esta medida, «Difiere […] la delegación y la desconcentración, en que la primera supone una asignación específica de funciones de un órgano que las ejecuta bajo su entera autonomía y responsabilidad, salvo que el delegante obre con dolo o culpa grave en sus funciones generales de vigilancia y control, evento en el que también sería responsable, mientras que en la segunda, esto es, la desconcentración, es el encargo que el superior hace a sus dependientes para que éstos, actuando a nombre y dirección de aquel, descongestionen la actividad administrativa» (Cfr. PALACIO HINCAPÉ, Juan Ángel. La contratación de las entidades estatales. Séptima Edición. Medellín: Librería Jurídica Sánchez, 2014. p. 97).   </w:t>
      </w:r>
      <w:r w:rsidRPr="006C61D6">
        <w:rPr>
          <w:rFonts w:ascii="Arial" w:hAnsi="Arial" w:cs="Arial"/>
          <w:sz w:val="18"/>
          <w:szCs w:val="18"/>
        </w:rPr>
        <w:t xml:space="preserve">       </w:t>
      </w:r>
    </w:p>
  </w:footnote>
  <w:footnote w:id="22">
    <w:p w14:paraId="3E717D60"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vertAlign w:val="superscript"/>
        </w:rPr>
        <w:footnoteRef/>
      </w:r>
      <w:r w:rsidRPr="006C61D6">
        <w:rPr>
          <w:rFonts w:ascii="Arial" w:hAnsi="Arial" w:cs="Arial"/>
          <w:sz w:val="18"/>
          <w:szCs w:val="18"/>
        </w:rPr>
        <w:t xml:space="preserve"> «Artículo 273. A solicitud de cualquiera de los proponentes, el Contralor General de la República y demás autoridades de control fiscal competentes, ordenarán que el acto de adjudicación de una licitación tenga lugar en audiencia pública.</w:t>
      </w:r>
    </w:p>
    <w:p w14:paraId="12B52B04" w14:textId="28DF2FAE"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»Los casos en que se aplique el mecanismo de audiencia pública, la manera como se efectuará la evaluación de las propuestas y las condiciones bajo las cuales se realizará aquella, serán señalados por la ley».</w:t>
      </w:r>
    </w:p>
  </w:footnote>
  <w:footnote w:id="23">
    <w:p w14:paraId="4B40010F"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vertAlign w:val="superscript"/>
        </w:rPr>
        <w:footnoteRef/>
      </w:r>
      <w:r w:rsidRPr="006C61D6">
        <w:rPr>
          <w:rFonts w:ascii="Arial" w:hAnsi="Arial" w:cs="Arial"/>
          <w:sz w:val="18"/>
          <w:szCs w:val="18"/>
        </w:rPr>
        <w:t xml:space="preserve"> Ley 80 de 1993: «Artículo 30. De la estructura de los procedimientos de selección. La licitación se efectuará conforme a las siguientes reglas:</w:t>
      </w:r>
    </w:p>
    <w:p w14:paraId="717576A9"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w:t>
      </w:r>
    </w:p>
    <w:p w14:paraId="425625E9"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»10. En el evento previsto en el artículo 273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7DF92080"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»De la audiencia se levantará un acta en la que se dejará constancia de las deliberaciones y decisiones que en el desarrollo de la misma se hubieren producido.</w:t>
      </w:r>
    </w:p>
    <w:p w14:paraId="717C45FF" w14:textId="1534EB4C" w:rsidR="008C01A4" w:rsidRPr="006C61D6" w:rsidRDefault="008C01A4" w:rsidP="006C61D6">
      <w:pPr>
        <w:pStyle w:val="Textonotapie"/>
        <w:spacing w:line="240" w:lineRule="auto"/>
        <w:rPr>
          <w:rFonts w:ascii="Arial" w:hAnsi="Arial" w:cs="Arial"/>
          <w:sz w:val="18"/>
          <w:szCs w:val="18"/>
        </w:rPr>
      </w:pPr>
      <w:r w:rsidRPr="006C61D6">
        <w:rPr>
          <w:rFonts w:ascii="Arial" w:hAnsi="Arial" w:cs="Arial"/>
          <w:sz w:val="18"/>
          <w:szCs w:val="18"/>
        </w:rPr>
        <w:t>[...]».</w:t>
      </w:r>
    </w:p>
  </w:footnote>
  <w:footnote w:id="24">
    <w:p w14:paraId="47962DFD"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vertAlign w:val="superscript"/>
        </w:rPr>
        <w:footnoteRef/>
      </w:r>
      <w:r w:rsidRPr="006C61D6">
        <w:rPr>
          <w:rFonts w:ascii="Arial" w:hAnsi="Arial" w:cs="Arial"/>
          <w:sz w:val="18"/>
          <w:szCs w:val="18"/>
        </w:rPr>
        <w:t xml:space="preserve"> Artículo 9: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 </w:t>
      </w:r>
    </w:p>
    <w:p w14:paraId="676F218B"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2D66BB25"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»El acto de adjudicación es irrevocable y obliga a la entidad y al adjudicatario.</w:t>
      </w:r>
    </w:p>
    <w:p w14:paraId="592658A0"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w:t>
      </w:r>
      <w:hyperlink r:id="rId1" w:tooltip="Haga clic para abrir TODA la Ley 80 de 1993" w:history="1">
        <w:r w:rsidRPr="006C61D6">
          <w:rPr>
            <w:rFonts w:ascii="Arial" w:hAnsi="Arial" w:cs="Arial"/>
            <w:sz w:val="18"/>
            <w:szCs w:val="18"/>
          </w:rPr>
          <w:t>Ley 80 de 1993</w:t>
        </w:r>
      </w:hyperlink>
      <w:r w:rsidRPr="006C61D6">
        <w:rPr>
          <w:rFonts w:ascii="Arial" w:hAnsi="Arial" w:cs="Arial"/>
          <w:sz w:val="18"/>
          <w:szCs w:val="18"/>
        </w:rPr>
        <w:t>.</w:t>
      </w:r>
    </w:p>
    <w:p w14:paraId="2F22D854" w14:textId="77777777" w:rsidR="008C01A4" w:rsidRPr="006C61D6" w:rsidRDefault="008C01A4" w:rsidP="006C61D6">
      <w:pPr>
        <w:pStyle w:val="Textonotapie"/>
        <w:spacing w:line="240" w:lineRule="auto"/>
        <w:ind w:firstLine="708"/>
        <w:rPr>
          <w:rFonts w:ascii="Arial" w:hAnsi="Arial" w:cs="Arial"/>
          <w:sz w:val="18"/>
          <w:szCs w:val="18"/>
        </w:rPr>
      </w:pPr>
      <w:r w:rsidRPr="006C61D6">
        <w:rPr>
          <w:rFonts w:ascii="Arial" w:hAnsi="Arial" w:cs="Arial"/>
          <w:sz w:val="18"/>
          <w:szCs w:val="18"/>
        </w:rPr>
        <w:t>»Sin perjuicio de las potestades a que se refiere el artículo 18 de la </w:t>
      </w:r>
      <w:hyperlink r:id="rId2" w:tooltip="Haga clic para abrir TODA la Ley 80 de 1993" w:history="1">
        <w:r w:rsidRPr="006C61D6">
          <w:rPr>
            <w:rFonts w:ascii="Arial" w:hAnsi="Arial" w:cs="Arial"/>
            <w:sz w:val="18"/>
            <w:szCs w:val="18"/>
          </w:rPr>
          <w:t>Ley 80 de 1993</w:t>
        </w:r>
      </w:hyperlink>
      <w:r w:rsidRPr="006C61D6">
        <w:rPr>
          <w:rFonts w:ascii="Arial" w:hAnsi="Arial" w:cs="Arial"/>
          <w:sz w:val="18"/>
          <w:szCs w:val="18"/>
        </w:rPr>
        <w:t>,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66D1DF10" w14:textId="77777777" w:rsidR="008C01A4" w:rsidRPr="006C61D6" w:rsidRDefault="008C01A4" w:rsidP="006C61D6">
      <w:pPr>
        <w:pStyle w:val="Textonotapie"/>
        <w:spacing w:line="240" w:lineRule="auto"/>
        <w:ind w:firstLine="708"/>
        <w:rPr>
          <w:rFonts w:ascii="Arial" w:hAnsi="Arial" w:cs="Arial"/>
          <w:sz w:val="18"/>
          <w:szCs w:val="18"/>
        </w:rPr>
      </w:pPr>
    </w:p>
  </w:footnote>
  <w:footnote w:id="25">
    <w:p w14:paraId="1C674CC5" w14:textId="77777777" w:rsidR="008C01A4" w:rsidRPr="006C61D6" w:rsidRDefault="008C01A4" w:rsidP="006C61D6">
      <w:pPr>
        <w:pStyle w:val="Textonotapie"/>
        <w:spacing w:line="240" w:lineRule="auto"/>
        <w:ind w:firstLine="709"/>
        <w:rPr>
          <w:rFonts w:ascii="Arial" w:hAnsi="Arial" w:cs="Arial"/>
          <w:sz w:val="18"/>
          <w:szCs w:val="18"/>
        </w:rPr>
      </w:pPr>
      <w:r w:rsidRPr="006C61D6">
        <w:rPr>
          <w:rStyle w:val="Refdenotaalpie"/>
          <w:rFonts w:ascii="Arial" w:hAnsi="Arial" w:cs="Arial"/>
          <w:sz w:val="18"/>
          <w:szCs w:val="18"/>
        </w:rPr>
        <w:footnoteRef/>
      </w:r>
      <w:r w:rsidRPr="006C61D6">
        <w:rPr>
          <w:rFonts w:ascii="Arial" w:hAnsi="Arial" w:cs="Arial"/>
          <w:sz w:val="18"/>
          <w:szCs w:val="18"/>
        </w:rPr>
        <w:t xml:space="preserve"> Corte Constitucional. Sentencia C-380 de 2008. M.P. Nilson Pinilla Pinilla.</w:t>
      </w:r>
    </w:p>
    <w:p w14:paraId="41F8E0E2" w14:textId="77777777" w:rsidR="008C01A4" w:rsidRPr="006C61D6" w:rsidRDefault="008C01A4" w:rsidP="006C61D6">
      <w:pPr>
        <w:pStyle w:val="Textonotapie"/>
        <w:spacing w:line="240" w:lineRule="auto"/>
        <w:ind w:firstLine="709"/>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0"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2"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7258809">
    <w:abstractNumId w:val="11"/>
  </w:num>
  <w:num w:numId="2" w16cid:durableId="1929848231">
    <w:abstractNumId w:val="9"/>
  </w:num>
  <w:num w:numId="3" w16cid:durableId="1863585604">
    <w:abstractNumId w:val="16"/>
  </w:num>
  <w:num w:numId="4" w16cid:durableId="432092555">
    <w:abstractNumId w:val="17"/>
  </w:num>
  <w:num w:numId="5" w16cid:durableId="1473058159">
    <w:abstractNumId w:val="23"/>
  </w:num>
  <w:num w:numId="6" w16cid:durableId="8501408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28112">
    <w:abstractNumId w:val="18"/>
  </w:num>
  <w:num w:numId="8" w16cid:durableId="174541266">
    <w:abstractNumId w:val="6"/>
  </w:num>
  <w:num w:numId="9" w16cid:durableId="1975721018">
    <w:abstractNumId w:val="1"/>
  </w:num>
  <w:num w:numId="10" w16cid:durableId="164057260">
    <w:abstractNumId w:val="7"/>
  </w:num>
  <w:num w:numId="11" w16cid:durableId="1954090647">
    <w:abstractNumId w:val="2"/>
  </w:num>
  <w:num w:numId="12" w16cid:durableId="813447557">
    <w:abstractNumId w:val="10"/>
  </w:num>
  <w:num w:numId="13" w16cid:durableId="1826701661">
    <w:abstractNumId w:val="3"/>
  </w:num>
  <w:num w:numId="14" w16cid:durableId="771314303">
    <w:abstractNumId w:val="20"/>
  </w:num>
  <w:num w:numId="15" w16cid:durableId="285081967">
    <w:abstractNumId w:val="15"/>
  </w:num>
  <w:num w:numId="16" w16cid:durableId="1838886472">
    <w:abstractNumId w:val="13"/>
  </w:num>
  <w:num w:numId="17" w16cid:durableId="1634560719">
    <w:abstractNumId w:val="25"/>
  </w:num>
  <w:num w:numId="18" w16cid:durableId="1872650766">
    <w:abstractNumId w:val="5"/>
  </w:num>
  <w:num w:numId="19" w16cid:durableId="1757508530">
    <w:abstractNumId w:val="12"/>
  </w:num>
  <w:num w:numId="20" w16cid:durableId="453791486">
    <w:abstractNumId w:val="14"/>
  </w:num>
  <w:num w:numId="21" w16cid:durableId="591278473">
    <w:abstractNumId w:val="22"/>
  </w:num>
  <w:num w:numId="22" w16cid:durableId="105123696">
    <w:abstractNumId w:val="8"/>
  </w:num>
  <w:num w:numId="23" w16cid:durableId="1239513320">
    <w:abstractNumId w:val="26"/>
  </w:num>
  <w:num w:numId="24" w16cid:durableId="1943106736">
    <w:abstractNumId w:val="24"/>
  </w:num>
  <w:num w:numId="25" w16cid:durableId="1233472052">
    <w:abstractNumId w:val="21"/>
  </w:num>
  <w:num w:numId="26" w16cid:durableId="8467949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660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17A2"/>
    <w:rsid w:val="0002264C"/>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352A2"/>
    <w:rsid w:val="000360E0"/>
    <w:rsid w:val="000379E3"/>
    <w:rsid w:val="00040044"/>
    <w:rsid w:val="000414BE"/>
    <w:rsid w:val="00041517"/>
    <w:rsid w:val="00042041"/>
    <w:rsid w:val="00042FD0"/>
    <w:rsid w:val="000432DF"/>
    <w:rsid w:val="00044D8C"/>
    <w:rsid w:val="00050C64"/>
    <w:rsid w:val="0005181E"/>
    <w:rsid w:val="000520BA"/>
    <w:rsid w:val="00053136"/>
    <w:rsid w:val="000540E1"/>
    <w:rsid w:val="00054817"/>
    <w:rsid w:val="000641A8"/>
    <w:rsid w:val="0006467C"/>
    <w:rsid w:val="0006474E"/>
    <w:rsid w:val="00065205"/>
    <w:rsid w:val="00066517"/>
    <w:rsid w:val="00071132"/>
    <w:rsid w:val="00071351"/>
    <w:rsid w:val="000716B2"/>
    <w:rsid w:val="00073FE3"/>
    <w:rsid w:val="0007405A"/>
    <w:rsid w:val="00074BEE"/>
    <w:rsid w:val="00074D1E"/>
    <w:rsid w:val="00075C19"/>
    <w:rsid w:val="00075D07"/>
    <w:rsid w:val="00076B31"/>
    <w:rsid w:val="000770DB"/>
    <w:rsid w:val="00080542"/>
    <w:rsid w:val="0008228E"/>
    <w:rsid w:val="000822A6"/>
    <w:rsid w:val="0008274C"/>
    <w:rsid w:val="00082CE0"/>
    <w:rsid w:val="00084B97"/>
    <w:rsid w:val="00085560"/>
    <w:rsid w:val="00086501"/>
    <w:rsid w:val="00086D8D"/>
    <w:rsid w:val="000877B5"/>
    <w:rsid w:val="000902BC"/>
    <w:rsid w:val="00091AC6"/>
    <w:rsid w:val="00092617"/>
    <w:rsid w:val="00092B6A"/>
    <w:rsid w:val="000942EB"/>
    <w:rsid w:val="000943FC"/>
    <w:rsid w:val="00095B25"/>
    <w:rsid w:val="00096C01"/>
    <w:rsid w:val="0009763D"/>
    <w:rsid w:val="000A1B61"/>
    <w:rsid w:val="000A4DD7"/>
    <w:rsid w:val="000A5915"/>
    <w:rsid w:val="000B076C"/>
    <w:rsid w:val="000B0E61"/>
    <w:rsid w:val="000B103F"/>
    <w:rsid w:val="000B14BA"/>
    <w:rsid w:val="000B2D9A"/>
    <w:rsid w:val="000B4246"/>
    <w:rsid w:val="000B5C13"/>
    <w:rsid w:val="000C00A2"/>
    <w:rsid w:val="000C0769"/>
    <w:rsid w:val="000C1515"/>
    <w:rsid w:val="000C1CBB"/>
    <w:rsid w:val="000C3232"/>
    <w:rsid w:val="000C394F"/>
    <w:rsid w:val="000C3F9B"/>
    <w:rsid w:val="000C4E3E"/>
    <w:rsid w:val="000C5512"/>
    <w:rsid w:val="000C5D99"/>
    <w:rsid w:val="000D1837"/>
    <w:rsid w:val="000D186A"/>
    <w:rsid w:val="000D25BC"/>
    <w:rsid w:val="000D5214"/>
    <w:rsid w:val="000D7953"/>
    <w:rsid w:val="000D7A0F"/>
    <w:rsid w:val="000E0DED"/>
    <w:rsid w:val="000E2239"/>
    <w:rsid w:val="000E3909"/>
    <w:rsid w:val="000E561B"/>
    <w:rsid w:val="000E6563"/>
    <w:rsid w:val="000E739D"/>
    <w:rsid w:val="000F091C"/>
    <w:rsid w:val="000F14E8"/>
    <w:rsid w:val="000F2AA2"/>
    <w:rsid w:val="000F2EE1"/>
    <w:rsid w:val="000F4695"/>
    <w:rsid w:val="000F7FC3"/>
    <w:rsid w:val="00100D69"/>
    <w:rsid w:val="00101018"/>
    <w:rsid w:val="00103915"/>
    <w:rsid w:val="00103D05"/>
    <w:rsid w:val="001041A9"/>
    <w:rsid w:val="00105AAA"/>
    <w:rsid w:val="001072DB"/>
    <w:rsid w:val="001078AA"/>
    <w:rsid w:val="00110CE1"/>
    <w:rsid w:val="001112FD"/>
    <w:rsid w:val="0011178C"/>
    <w:rsid w:val="00111CDF"/>
    <w:rsid w:val="001124EB"/>
    <w:rsid w:val="00113157"/>
    <w:rsid w:val="00113E35"/>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A7E"/>
    <w:rsid w:val="00152FDA"/>
    <w:rsid w:val="00154785"/>
    <w:rsid w:val="00155B3D"/>
    <w:rsid w:val="00155C13"/>
    <w:rsid w:val="00156216"/>
    <w:rsid w:val="0015738F"/>
    <w:rsid w:val="00160CB0"/>
    <w:rsid w:val="00161A37"/>
    <w:rsid w:val="001643A4"/>
    <w:rsid w:val="00165347"/>
    <w:rsid w:val="00165995"/>
    <w:rsid w:val="00171685"/>
    <w:rsid w:val="00172F4D"/>
    <w:rsid w:val="0017335A"/>
    <w:rsid w:val="00173B85"/>
    <w:rsid w:val="00173DE5"/>
    <w:rsid w:val="00174AD4"/>
    <w:rsid w:val="00176A9A"/>
    <w:rsid w:val="00180188"/>
    <w:rsid w:val="001824DD"/>
    <w:rsid w:val="001827CB"/>
    <w:rsid w:val="00182A86"/>
    <w:rsid w:val="00182EEE"/>
    <w:rsid w:val="0018335C"/>
    <w:rsid w:val="00185A59"/>
    <w:rsid w:val="0018635C"/>
    <w:rsid w:val="00190961"/>
    <w:rsid w:val="00191C4D"/>
    <w:rsid w:val="00192CDC"/>
    <w:rsid w:val="00192CE0"/>
    <w:rsid w:val="001961C8"/>
    <w:rsid w:val="00197BB3"/>
    <w:rsid w:val="001A0A19"/>
    <w:rsid w:val="001A0E7A"/>
    <w:rsid w:val="001A1753"/>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1AF"/>
    <w:rsid w:val="001C24BF"/>
    <w:rsid w:val="001C2ED7"/>
    <w:rsid w:val="001C47C8"/>
    <w:rsid w:val="001C5143"/>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1959"/>
    <w:rsid w:val="001E1EEE"/>
    <w:rsid w:val="001E2866"/>
    <w:rsid w:val="001E2A7A"/>
    <w:rsid w:val="001E4B0D"/>
    <w:rsid w:val="001E6679"/>
    <w:rsid w:val="001E6C8C"/>
    <w:rsid w:val="001E7D79"/>
    <w:rsid w:val="001F4619"/>
    <w:rsid w:val="001F4D43"/>
    <w:rsid w:val="001F4F5C"/>
    <w:rsid w:val="001F5388"/>
    <w:rsid w:val="001F5745"/>
    <w:rsid w:val="001F6290"/>
    <w:rsid w:val="001F6378"/>
    <w:rsid w:val="001F7341"/>
    <w:rsid w:val="001F774C"/>
    <w:rsid w:val="0020001F"/>
    <w:rsid w:val="0020059F"/>
    <w:rsid w:val="00200651"/>
    <w:rsid w:val="00200E03"/>
    <w:rsid w:val="0020112B"/>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3541"/>
    <w:rsid w:val="0021518A"/>
    <w:rsid w:val="00215618"/>
    <w:rsid w:val="00215B97"/>
    <w:rsid w:val="00216AEE"/>
    <w:rsid w:val="00216E64"/>
    <w:rsid w:val="002177D9"/>
    <w:rsid w:val="00217988"/>
    <w:rsid w:val="00217C7F"/>
    <w:rsid w:val="00220120"/>
    <w:rsid w:val="002203DA"/>
    <w:rsid w:val="00220E20"/>
    <w:rsid w:val="0022167B"/>
    <w:rsid w:val="002232F5"/>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56B1"/>
    <w:rsid w:val="002456DB"/>
    <w:rsid w:val="00246944"/>
    <w:rsid w:val="00247C35"/>
    <w:rsid w:val="0025069C"/>
    <w:rsid w:val="0025151A"/>
    <w:rsid w:val="002534F1"/>
    <w:rsid w:val="002538B5"/>
    <w:rsid w:val="00254711"/>
    <w:rsid w:val="00255215"/>
    <w:rsid w:val="00255D2C"/>
    <w:rsid w:val="002560F8"/>
    <w:rsid w:val="00256CE7"/>
    <w:rsid w:val="002576FD"/>
    <w:rsid w:val="00257918"/>
    <w:rsid w:val="00261136"/>
    <w:rsid w:val="002627A8"/>
    <w:rsid w:val="0026362F"/>
    <w:rsid w:val="00263755"/>
    <w:rsid w:val="0026403D"/>
    <w:rsid w:val="002647F7"/>
    <w:rsid w:val="00264E94"/>
    <w:rsid w:val="002654C1"/>
    <w:rsid w:val="0026616C"/>
    <w:rsid w:val="00267A47"/>
    <w:rsid w:val="00267DDA"/>
    <w:rsid w:val="002708A2"/>
    <w:rsid w:val="00271043"/>
    <w:rsid w:val="002725EE"/>
    <w:rsid w:val="00272858"/>
    <w:rsid w:val="00272FBF"/>
    <w:rsid w:val="002737FD"/>
    <w:rsid w:val="00273E83"/>
    <w:rsid w:val="00274DDF"/>
    <w:rsid w:val="00275C49"/>
    <w:rsid w:val="00275E86"/>
    <w:rsid w:val="00277969"/>
    <w:rsid w:val="002801C7"/>
    <w:rsid w:val="002841E3"/>
    <w:rsid w:val="00284D31"/>
    <w:rsid w:val="00285503"/>
    <w:rsid w:val="00285AC8"/>
    <w:rsid w:val="00285AC9"/>
    <w:rsid w:val="00286089"/>
    <w:rsid w:val="00286153"/>
    <w:rsid w:val="00287343"/>
    <w:rsid w:val="00287741"/>
    <w:rsid w:val="00290E9F"/>
    <w:rsid w:val="002914E1"/>
    <w:rsid w:val="00291C4F"/>
    <w:rsid w:val="00291EB5"/>
    <w:rsid w:val="00291FE3"/>
    <w:rsid w:val="002938BD"/>
    <w:rsid w:val="00293BBD"/>
    <w:rsid w:val="002941C6"/>
    <w:rsid w:val="00296B40"/>
    <w:rsid w:val="002A2E12"/>
    <w:rsid w:val="002A3452"/>
    <w:rsid w:val="002A3C30"/>
    <w:rsid w:val="002A3C35"/>
    <w:rsid w:val="002A460E"/>
    <w:rsid w:val="002A4F9E"/>
    <w:rsid w:val="002A5498"/>
    <w:rsid w:val="002A5F87"/>
    <w:rsid w:val="002A695B"/>
    <w:rsid w:val="002B3433"/>
    <w:rsid w:val="002B41FB"/>
    <w:rsid w:val="002B4390"/>
    <w:rsid w:val="002B55C7"/>
    <w:rsid w:val="002B6B8F"/>
    <w:rsid w:val="002C088B"/>
    <w:rsid w:val="002C216A"/>
    <w:rsid w:val="002C28E1"/>
    <w:rsid w:val="002C2B56"/>
    <w:rsid w:val="002C2D1E"/>
    <w:rsid w:val="002C32E1"/>
    <w:rsid w:val="002C40FB"/>
    <w:rsid w:val="002C4C0C"/>
    <w:rsid w:val="002C5565"/>
    <w:rsid w:val="002C57C8"/>
    <w:rsid w:val="002C6821"/>
    <w:rsid w:val="002D08FE"/>
    <w:rsid w:val="002D155C"/>
    <w:rsid w:val="002D1FC4"/>
    <w:rsid w:val="002D2CD0"/>
    <w:rsid w:val="002D3589"/>
    <w:rsid w:val="002D481A"/>
    <w:rsid w:val="002D65E2"/>
    <w:rsid w:val="002D7275"/>
    <w:rsid w:val="002E06A1"/>
    <w:rsid w:val="002E257B"/>
    <w:rsid w:val="002E7580"/>
    <w:rsid w:val="002E78D5"/>
    <w:rsid w:val="002E7979"/>
    <w:rsid w:val="002F334B"/>
    <w:rsid w:val="002F4470"/>
    <w:rsid w:val="002F7BD7"/>
    <w:rsid w:val="003016E2"/>
    <w:rsid w:val="003033BA"/>
    <w:rsid w:val="00304580"/>
    <w:rsid w:val="00304B38"/>
    <w:rsid w:val="0030589C"/>
    <w:rsid w:val="00306C30"/>
    <w:rsid w:val="00307067"/>
    <w:rsid w:val="003073C0"/>
    <w:rsid w:val="00307855"/>
    <w:rsid w:val="003078D7"/>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4011"/>
    <w:rsid w:val="0032590F"/>
    <w:rsid w:val="00327549"/>
    <w:rsid w:val="00327CEB"/>
    <w:rsid w:val="00330722"/>
    <w:rsid w:val="00331030"/>
    <w:rsid w:val="00334638"/>
    <w:rsid w:val="003404C6"/>
    <w:rsid w:val="0034096E"/>
    <w:rsid w:val="0034177C"/>
    <w:rsid w:val="00341D52"/>
    <w:rsid w:val="00341F89"/>
    <w:rsid w:val="003429F6"/>
    <w:rsid w:val="00343547"/>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18CD"/>
    <w:rsid w:val="00361BA8"/>
    <w:rsid w:val="00361F13"/>
    <w:rsid w:val="00364EF6"/>
    <w:rsid w:val="003652E7"/>
    <w:rsid w:val="00366283"/>
    <w:rsid w:val="00366693"/>
    <w:rsid w:val="00367828"/>
    <w:rsid w:val="00371F43"/>
    <w:rsid w:val="00372E26"/>
    <w:rsid w:val="003754D2"/>
    <w:rsid w:val="003757C2"/>
    <w:rsid w:val="00376930"/>
    <w:rsid w:val="00380FAE"/>
    <w:rsid w:val="00381C32"/>
    <w:rsid w:val="00381F36"/>
    <w:rsid w:val="003834F8"/>
    <w:rsid w:val="00384C43"/>
    <w:rsid w:val="00385CF3"/>
    <w:rsid w:val="00386456"/>
    <w:rsid w:val="003901B3"/>
    <w:rsid w:val="003903B0"/>
    <w:rsid w:val="00390C02"/>
    <w:rsid w:val="003912A3"/>
    <w:rsid w:val="0039143D"/>
    <w:rsid w:val="003923F8"/>
    <w:rsid w:val="003949EE"/>
    <w:rsid w:val="003964D5"/>
    <w:rsid w:val="00396918"/>
    <w:rsid w:val="003A0878"/>
    <w:rsid w:val="003A0EBE"/>
    <w:rsid w:val="003A2797"/>
    <w:rsid w:val="003A30B4"/>
    <w:rsid w:val="003A3529"/>
    <w:rsid w:val="003A48FA"/>
    <w:rsid w:val="003A4CA4"/>
    <w:rsid w:val="003A581E"/>
    <w:rsid w:val="003A5E90"/>
    <w:rsid w:val="003A6751"/>
    <w:rsid w:val="003A7F89"/>
    <w:rsid w:val="003B027A"/>
    <w:rsid w:val="003B2341"/>
    <w:rsid w:val="003B267F"/>
    <w:rsid w:val="003B3044"/>
    <w:rsid w:val="003B43DB"/>
    <w:rsid w:val="003B49DA"/>
    <w:rsid w:val="003B68EA"/>
    <w:rsid w:val="003B73DE"/>
    <w:rsid w:val="003C004D"/>
    <w:rsid w:val="003C01B1"/>
    <w:rsid w:val="003C0588"/>
    <w:rsid w:val="003C0D86"/>
    <w:rsid w:val="003C6CBA"/>
    <w:rsid w:val="003C75FC"/>
    <w:rsid w:val="003D1BE9"/>
    <w:rsid w:val="003D33FF"/>
    <w:rsid w:val="003D3D29"/>
    <w:rsid w:val="003D3D9D"/>
    <w:rsid w:val="003D43B0"/>
    <w:rsid w:val="003D45AC"/>
    <w:rsid w:val="003D527E"/>
    <w:rsid w:val="003D6C03"/>
    <w:rsid w:val="003D6EB5"/>
    <w:rsid w:val="003D78C8"/>
    <w:rsid w:val="003D7E29"/>
    <w:rsid w:val="003E04EE"/>
    <w:rsid w:val="003E0D9E"/>
    <w:rsid w:val="003E1992"/>
    <w:rsid w:val="003E1DFC"/>
    <w:rsid w:val="003E4A30"/>
    <w:rsid w:val="003E6423"/>
    <w:rsid w:val="003E6884"/>
    <w:rsid w:val="003E71FC"/>
    <w:rsid w:val="003E7AA5"/>
    <w:rsid w:val="003F00C3"/>
    <w:rsid w:val="003F0161"/>
    <w:rsid w:val="003F18DE"/>
    <w:rsid w:val="003F1D3C"/>
    <w:rsid w:val="003F4E89"/>
    <w:rsid w:val="0040246E"/>
    <w:rsid w:val="004030F2"/>
    <w:rsid w:val="00405913"/>
    <w:rsid w:val="00406251"/>
    <w:rsid w:val="00406A1A"/>
    <w:rsid w:val="0040737C"/>
    <w:rsid w:val="00407705"/>
    <w:rsid w:val="0040799E"/>
    <w:rsid w:val="004129BB"/>
    <w:rsid w:val="00412A43"/>
    <w:rsid w:val="00413C8D"/>
    <w:rsid w:val="00413E61"/>
    <w:rsid w:val="00414152"/>
    <w:rsid w:val="00414BC9"/>
    <w:rsid w:val="00415DDE"/>
    <w:rsid w:val="00416308"/>
    <w:rsid w:val="00416996"/>
    <w:rsid w:val="00417025"/>
    <w:rsid w:val="00417425"/>
    <w:rsid w:val="00420A6C"/>
    <w:rsid w:val="00421624"/>
    <w:rsid w:val="00421DF6"/>
    <w:rsid w:val="004228D3"/>
    <w:rsid w:val="00423F66"/>
    <w:rsid w:val="00423F9F"/>
    <w:rsid w:val="00425FD7"/>
    <w:rsid w:val="00426486"/>
    <w:rsid w:val="00426DD1"/>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90E"/>
    <w:rsid w:val="00446E21"/>
    <w:rsid w:val="00447165"/>
    <w:rsid w:val="00447729"/>
    <w:rsid w:val="004511B1"/>
    <w:rsid w:val="00451E90"/>
    <w:rsid w:val="00452F9A"/>
    <w:rsid w:val="00454101"/>
    <w:rsid w:val="00455438"/>
    <w:rsid w:val="00455EAA"/>
    <w:rsid w:val="00456AC2"/>
    <w:rsid w:val="00457110"/>
    <w:rsid w:val="00460D1C"/>
    <w:rsid w:val="00461E70"/>
    <w:rsid w:val="00464311"/>
    <w:rsid w:val="00466026"/>
    <w:rsid w:val="0046603E"/>
    <w:rsid w:val="00466082"/>
    <w:rsid w:val="0046653B"/>
    <w:rsid w:val="0046694E"/>
    <w:rsid w:val="00472B78"/>
    <w:rsid w:val="00472BBB"/>
    <w:rsid w:val="0047380F"/>
    <w:rsid w:val="0047426F"/>
    <w:rsid w:val="0047453E"/>
    <w:rsid w:val="004746AD"/>
    <w:rsid w:val="00474E3B"/>
    <w:rsid w:val="00475F18"/>
    <w:rsid w:val="00477498"/>
    <w:rsid w:val="00477514"/>
    <w:rsid w:val="004779F8"/>
    <w:rsid w:val="00480824"/>
    <w:rsid w:val="00480D03"/>
    <w:rsid w:val="00480ECA"/>
    <w:rsid w:val="00482900"/>
    <w:rsid w:val="00485814"/>
    <w:rsid w:val="004861E4"/>
    <w:rsid w:val="0048674D"/>
    <w:rsid w:val="004870BB"/>
    <w:rsid w:val="004872D8"/>
    <w:rsid w:val="0048754A"/>
    <w:rsid w:val="00487BC0"/>
    <w:rsid w:val="00487C10"/>
    <w:rsid w:val="00490A62"/>
    <w:rsid w:val="0049241A"/>
    <w:rsid w:val="004956F3"/>
    <w:rsid w:val="00496FA4"/>
    <w:rsid w:val="004974CD"/>
    <w:rsid w:val="004A0085"/>
    <w:rsid w:val="004A0106"/>
    <w:rsid w:val="004A0F49"/>
    <w:rsid w:val="004A34D2"/>
    <w:rsid w:val="004A4F76"/>
    <w:rsid w:val="004A677C"/>
    <w:rsid w:val="004A6841"/>
    <w:rsid w:val="004A7B59"/>
    <w:rsid w:val="004B0B42"/>
    <w:rsid w:val="004B1292"/>
    <w:rsid w:val="004B1C70"/>
    <w:rsid w:val="004B353C"/>
    <w:rsid w:val="004B3D4D"/>
    <w:rsid w:val="004B45A7"/>
    <w:rsid w:val="004B580E"/>
    <w:rsid w:val="004B6500"/>
    <w:rsid w:val="004B6E7D"/>
    <w:rsid w:val="004B7D5F"/>
    <w:rsid w:val="004C246A"/>
    <w:rsid w:val="004C31AF"/>
    <w:rsid w:val="004C3ADF"/>
    <w:rsid w:val="004C3BA4"/>
    <w:rsid w:val="004C49B9"/>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5CC"/>
    <w:rsid w:val="004E07A4"/>
    <w:rsid w:val="004E4C6D"/>
    <w:rsid w:val="004E5463"/>
    <w:rsid w:val="004E5A0D"/>
    <w:rsid w:val="004F0804"/>
    <w:rsid w:val="004F1425"/>
    <w:rsid w:val="004F16DB"/>
    <w:rsid w:val="004F30F8"/>
    <w:rsid w:val="004F3492"/>
    <w:rsid w:val="004F3517"/>
    <w:rsid w:val="004F3CDF"/>
    <w:rsid w:val="004F49DE"/>
    <w:rsid w:val="004F510B"/>
    <w:rsid w:val="004F5B24"/>
    <w:rsid w:val="004F6048"/>
    <w:rsid w:val="00501473"/>
    <w:rsid w:val="00504E1A"/>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065"/>
    <w:rsid w:val="00542B62"/>
    <w:rsid w:val="00542BA7"/>
    <w:rsid w:val="0054413A"/>
    <w:rsid w:val="0054713D"/>
    <w:rsid w:val="005472F5"/>
    <w:rsid w:val="00550567"/>
    <w:rsid w:val="00550D93"/>
    <w:rsid w:val="005514ED"/>
    <w:rsid w:val="00551FE1"/>
    <w:rsid w:val="005526A0"/>
    <w:rsid w:val="00552754"/>
    <w:rsid w:val="00553DE0"/>
    <w:rsid w:val="00554A77"/>
    <w:rsid w:val="005564CA"/>
    <w:rsid w:val="005601A8"/>
    <w:rsid w:val="00561506"/>
    <w:rsid w:val="0056182B"/>
    <w:rsid w:val="005622EB"/>
    <w:rsid w:val="00562332"/>
    <w:rsid w:val="0056311D"/>
    <w:rsid w:val="0056728F"/>
    <w:rsid w:val="00567F3B"/>
    <w:rsid w:val="00570F08"/>
    <w:rsid w:val="0057142B"/>
    <w:rsid w:val="005721B3"/>
    <w:rsid w:val="00573F4F"/>
    <w:rsid w:val="005756AA"/>
    <w:rsid w:val="0057591C"/>
    <w:rsid w:val="00575A1C"/>
    <w:rsid w:val="0057646F"/>
    <w:rsid w:val="00577148"/>
    <w:rsid w:val="005771B5"/>
    <w:rsid w:val="005829DE"/>
    <w:rsid w:val="00582AE3"/>
    <w:rsid w:val="00583D79"/>
    <w:rsid w:val="00584054"/>
    <w:rsid w:val="00584D9E"/>
    <w:rsid w:val="0058679D"/>
    <w:rsid w:val="00586BDB"/>
    <w:rsid w:val="00587458"/>
    <w:rsid w:val="005879CA"/>
    <w:rsid w:val="00587E63"/>
    <w:rsid w:val="00590380"/>
    <w:rsid w:val="005930B1"/>
    <w:rsid w:val="0059377A"/>
    <w:rsid w:val="0059502B"/>
    <w:rsid w:val="00596896"/>
    <w:rsid w:val="00597412"/>
    <w:rsid w:val="005A0414"/>
    <w:rsid w:val="005A119F"/>
    <w:rsid w:val="005A1645"/>
    <w:rsid w:val="005A2130"/>
    <w:rsid w:val="005A4FC5"/>
    <w:rsid w:val="005A5914"/>
    <w:rsid w:val="005A6AB9"/>
    <w:rsid w:val="005A7DBD"/>
    <w:rsid w:val="005B1144"/>
    <w:rsid w:val="005B1772"/>
    <w:rsid w:val="005B1817"/>
    <w:rsid w:val="005B4267"/>
    <w:rsid w:val="005B59E8"/>
    <w:rsid w:val="005B5BE2"/>
    <w:rsid w:val="005B753A"/>
    <w:rsid w:val="005C00FA"/>
    <w:rsid w:val="005C04BF"/>
    <w:rsid w:val="005C12C8"/>
    <w:rsid w:val="005C2A3B"/>
    <w:rsid w:val="005C343C"/>
    <w:rsid w:val="005C3BE4"/>
    <w:rsid w:val="005C5C9A"/>
    <w:rsid w:val="005C6A48"/>
    <w:rsid w:val="005C6C85"/>
    <w:rsid w:val="005C7184"/>
    <w:rsid w:val="005C7FC4"/>
    <w:rsid w:val="005D0467"/>
    <w:rsid w:val="005D1BC0"/>
    <w:rsid w:val="005D3155"/>
    <w:rsid w:val="005D35B6"/>
    <w:rsid w:val="005D36B1"/>
    <w:rsid w:val="005D483D"/>
    <w:rsid w:val="005D4AEF"/>
    <w:rsid w:val="005D4E8A"/>
    <w:rsid w:val="005D50CE"/>
    <w:rsid w:val="005D51FA"/>
    <w:rsid w:val="005D5B90"/>
    <w:rsid w:val="005D791B"/>
    <w:rsid w:val="005E01CE"/>
    <w:rsid w:val="005E09A6"/>
    <w:rsid w:val="005E139E"/>
    <w:rsid w:val="005E1974"/>
    <w:rsid w:val="005E2C01"/>
    <w:rsid w:val="005E363E"/>
    <w:rsid w:val="005E3B5B"/>
    <w:rsid w:val="005E42CD"/>
    <w:rsid w:val="005E4765"/>
    <w:rsid w:val="005E5651"/>
    <w:rsid w:val="005E5697"/>
    <w:rsid w:val="005E5B1E"/>
    <w:rsid w:val="005F055F"/>
    <w:rsid w:val="005F1B0F"/>
    <w:rsid w:val="005F22F9"/>
    <w:rsid w:val="005F317C"/>
    <w:rsid w:val="005F37CD"/>
    <w:rsid w:val="005F3CD0"/>
    <w:rsid w:val="005F51FB"/>
    <w:rsid w:val="005F53B6"/>
    <w:rsid w:val="005F599B"/>
    <w:rsid w:val="005F650A"/>
    <w:rsid w:val="005F68F7"/>
    <w:rsid w:val="005F788C"/>
    <w:rsid w:val="0060070B"/>
    <w:rsid w:val="006009A3"/>
    <w:rsid w:val="00602708"/>
    <w:rsid w:val="00603E4D"/>
    <w:rsid w:val="00603FBE"/>
    <w:rsid w:val="00604384"/>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30D7C"/>
    <w:rsid w:val="006318E7"/>
    <w:rsid w:val="0063224F"/>
    <w:rsid w:val="0063269D"/>
    <w:rsid w:val="00633DBF"/>
    <w:rsid w:val="006341BB"/>
    <w:rsid w:val="006343EE"/>
    <w:rsid w:val="0063440E"/>
    <w:rsid w:val="00635DED"/>
    <w:rsid w:val="0063667E"/>
    <w:rsid w:val="00636963"/>
    <w:rsid w:val="0063754D"/>
    <w:rsid w:val="00643B51"/>
    <w:rsid w:val="006441CE"/>
    <w:rsid w:val="006447B9"/>
    <w:rsid w:val="00644D7F"/>
    <w:rsid w:val="0064514E"/>
    <w:rsid w:val="00650FE8"/>
    <w:rsid w:val="00651335"/>
    <w:rsid w:val="006518DC"/>
    <w:rsid w:val="00651D7C"/>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09A7"/>
    <w:rsid w:val="0067148D"/>
    <w:rsid w:val="0067157B"/>
    <w:rsid w:val="00672272"/>
    <w:rsid w:val="00672725"/>
    <w:rsid w:val="006728A0"/>
    <w:rsid w:val="006734E6"/>
    <w:rsid w:val="006748E0"/>
    <w:rsid w:val="00674F99"/>
    <w:rsid w:val="00677097"/>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0D3D"/>
    <w:rsid w:val="006B1779"/>
    <w:rsid w:val="006B2398"/>
    <w:rsid w:val="006B24DE"/>
    <w:rsid w:val="006B2D45"/>
    <w:rsid w:val="006B318A"/>
    <w:rsid w:val="006B39D4"/>
    <w:rsid w:val="006B5019"/>
    <w:rsid w:val="006B5051"/>
    <w:rsid w:val="006B5FA9"/>
    <w:rsid w:val="006B6E0A"/>
    <w:rsid w:val="006B7ACA"/>
    <w:rsid w:val="006C06E6"/>
    <w:rsid w:val="006C116D"/>
    <w:rsid w:val="006C132E"/>
    <w:rsid w:val="006C1463"/>
    <w:rsid w:val="006C18C1"/>
    <w:rsid w:val="006C1A72"/>
    <w:rsid w:val="006C2A51"/>
    <w:rsid w:val="006C2B00"/>
    <w:rsid w:val="006C3B52"/>
    <w:rsid w:val="006C4F62"/>
    <w:rsid w:val="006C53B1"/>
    <w:rsid w:val="006C61D6"/>
    <w:rsid w:val="006C6EE9"/>
    <w:rsid w:val="006C771B"/>
    <w:rsid w:val="006C7CD4"/>
    <w:rsid w:val="006C7EC1"/>
    <w:rsid w:val="006C7F3D"/>
    <w:rsid w:val="006D0BAE"/>
    <w:rsid w:val="006D2519"/>
    <w:rsid w:val="006D5552"/>
    <w:rsid w:val="006D5B2B"/>
    <w:rsid w:val="006D6079"/>
    <w:rsid w:val="006D7687"/>
    <w:rsid w:val="006D78DC"/>
    <w:rsid w:val="006D7CF6"/>
    <w:rsid w:val="006E034F"/>
    <w:rsid w:val="006E0572"/>
    <w:rsid w:val="006E0932"/>
    <w:rsid w:val="006E131E"/>
    <w:rsid w:val="006E170C"/>
    <w:rsid w:val="006E19D3"/>
    <w:rsid w:val="006E1E98"/>
    <w:rsid w:val="006E37FA"/>
    <w:rsid w:val="006E59A1"/>
    <w:rsid w:val="006E66D9"/>
    <w:rsid w:val="006F3617"/>
    <w:rsid w:val="006F4EB3"/>
    <w:rsid w:val="006F56C4"/>
    <w:rsid w:val="006F6168"/>
    <w:rsid w:val="006F6B04"/>
    <w:rsid w:val="006F7679"/>
    <w:rsid w:val="00700370"/>
    <w:rsid w:val="00700B57"/>
    <w:rsid w:val="00700BFB"/>
    <w:rsid w:val="007014F8"/>
    <w:rsid w:val="00705403"/>
    <w:rsid w:val="00705631"/>
    <w:rsid w:val="00706C8B"/>
    <w:rsid w:val="00707531"/>
    <w:rsid w:val="00710134"/>
    <w:rsid w:val="00710DF4"/>
    <w:rsid w:val="00711205"/>
    <w:rsid w:val="00711F32"/>
    <w:rsid w:val="007136AC"/>
    <w:rsid w:val="00713BDB"/>
    <w:rsid w:val="00715437"/>
    <w:rsid w:val="00715EAA"/>
    <w:rsid w:val="0071643A"/>
    <w:rsid w:val="007168C5"/>
    <w:rsid w:val="00716CC3"/>
    <w:rsid w:val="00720050"/>
    <w:rsid w:val="007213F0"/>
    <w:rsid w:val="00722293"/>
    <w:rsid w:val="00723A5D"/>
    <w:rsid w:val="00723B38"/>
    <w:rsid w:val="00724D11"/>
    <w:rsid w:val="00726952"/>
    <w:rsid w:val="00726F60"/>
    <w:rsid w:val="00730CAD"/>
    <w:rsid w:val="00733984"/>
    <w:rsid w:val="00733BCA"/>
    <w:rsid w:val="0073441F"/>
    <w:rsid w:val="0073589B"/>
    <w:rsid w:val="00735AEF"/>
    <w:rsid w:val="00735C0B"/>
    <w:rsid w:val="00736AB2"/>
    <w:rsid w:val="00737D33"/>
    <w:rsid w:val="00740E5C"/>
    <w:rsid w:val="007412B8"/>
    <w:rsid w:val="00741A9E"/>
    <w:rsid w:val="00742281"/>
    <w:rsid w:val="00742DD2"/>
    <w:rsid w:val="00746E08"/>
    <w:rsid w:val="00747C96"/>
    <w:rsid w:val="007503E9"/>
    <w:rsid w:val="0075094E"/>
    <w:rsid w:val="007522E8"/>
    <w:rsid w:val="00755CC4"/>
    <w:rsid w:val="0075647A"/>
    <w:rsid w:val="007572F9"/>
    <w:rsid w:val="00760166"/>
    <w:rsid w:val="00760D29"/>
    <w:rsid w:val="00762948"/>
    <w:rsid w:val="00762F48"/>
    <w:rsid w:val="007634AD"/>
    <w:rsid w:val="00763845"/>
    <w:rsid w:val="00764011"/>
    <w:rsid w:val="0076432E"/>
    <w:rsid w:val="007668D9"/>
    <w:rsid w:val="00766A70"/>
    <w:rsid w:val="00766E39"/>
    <w:rsid w:val="0077057C"/>
    <w:rsid w:val="007707A7"/>
    <w:rsid w:val="00770A41"/>
    <w:rsid w:val="00770B28"/>
    <w:rsid w:val="00771DF3"/>
    <w:rsid w:val="00773CB2"/>
    <w:rsid w:val="00775563"/>
    <w:rsid w:val="00776689"/>
    <w:rsid w:val="007767FE"/>
    <w:rsid w:val="00776838"/>
    <w:rsid w:val="0078122E"/>
    <w:rsid w:val="00783A83"/>
    <w:rsid w:val="00786FF8"/>
    <w:rsid w:val="00792E66"/>
    <w:rsid w:val="00792F13"/>
    <w:rsid w:val="007930A5"/>
    <w:rsid w:val="00793E57"/>
    <w:rsid w:val="00794007"/>
    <w:rsid w:val="00795647"/>
    <w:rsid w:val="007970CB"/>
    <w:rsid w:val="007973B1"/>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2169"/>
    <w:rsid w:val="007D3671"/>
    <w:rsid w:val="007D4919"/>
    <w:rsid w:val="007D4DBE"/>
    <w:rsid w:val="007D4F06"/>
    <w:rsid w:val="007D4FD1"/>
    <w:rsid w:val="007D5C3E"/>
    <w:rsid w:val="007D6C71"/>
    <w:rsid w:val="007D7901"/>
    <w:rsid w:val="007D7DD8"/>
    <w:rsid w:val="007E02AE"/>
    <w:rsid w:val="007E0C58"/>
    <w:rsid w:val="007E1312"/>
    <w:rsid w:val="007E25A3"/>
    <w:rsid w:val="007E3ACA"/>
    <w:rsid w:val="007E5C16"/>
    <w:rsid w:val="007E676C"/>
    <w:rsid w:val="007E7A93"/>
    <w:rsid w:val="007F15AE"/>
    <w:rsid w:val="007F1C69"/>
    <w:rsid w:val="007F4032"/>
    <w:rsid w:val="007F4118"/>
    <w:rsid w:val="007F51B0"/>
    <w:rsid w:val="007F54FB"/>
    <w:rsid w:val="007F5623"/>
    <w:rsid w:val="007F573F"/>
    <w:rsid w:val="007F6A64"/>
    <w:rsid w:val="007F6B46"/>
    <w:rsid w:val="007F6D80"/>
    <w:rsid w:val="007F72CB"/>
    <w:rsid w:val="007F7D47"/>
    <w:rsid w:val="00800C47"/>
    <w:rsid w:val="0080224B"/>
    <w:rsid w:val="0080370F"/>
    <w:rsid w:val="0080514C"/>
    <w:rsid w:val="00806AD5"/>
    <w:rsid w:val="0081103C"/>
    <w:rsid w:val="008132FA"/>
    <w:rsid w:val="00813644"/>
    <w:rsid w:val="00813988"/>
    <w:rsid w:val="00814E0D"/>
    <w:rsid w:val="0081553B"/>
    <w:rsid w:val="00815BCC"/>
    <w:rsid w:val="008160B2"/>
    <w:rsid w:val="00817744"/>
    <w:rsid w:val="008178A8"/>
    <w:rsid w:val="00817C29"/>
    <w:rsid w:val="0082065D"/>
    <w:rsid w:val="00820A37"/>
    <w:rsid w:val="008217B7"/>
    <w:rsid w:val="00822950"/>
    <w:rsid w:val="0082422A"/>
    <w:rsid w:val="00824BF9"/>
    <w:rsid w:val="00830018"/>
    <w:rsid w:val="00830303"/>
    <w:rsid w:val="0083119B"/>
    <w:rsid w:val="00833039"/>
    <w:rsid w:val="00835917"/>
    <w:rsid w:val="00836EAB"/>
    <w:rsid w:val="0083782B"/>
    <w:rsid w:val="00837845"/>
    <w:rsid w:val="00840960"/>
    <w:rsid w:val="008420C6"/>
    <w:rsid w:val="008423BA"/>
    <w:rsid w:val="008445AD"/>
    <w:rsid w:val="00844864"/>
    <w:rsid w:val="00845AF5"/>
    <w:rsid w:val="00845FC4"/>
    <w:rsid w:val="00846235"/>
    <w:rsid w:val="00846B3D"/>
    <w:rsid w:val="0085092D"/>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70412"/>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168"/>
    <w:rsid w:val="00886E97"/>
    <w:rsid w:val="00887C57"/>
    <w:rsid w:val="00890D42"/>
    <w:rsid w:val="008915B7"/>
    <w:rsid w:val="00891FB0"/>
    <w:rsid w:val="008927F9"/>
    <w:rsid w:val="0089306D"/>
    <w:rsid w:val="00894211"/>
    <w:rsid w:val="00894D5C"/>
    <w:rsid w:val="008975B8"/>
    <w:rsid w:val="0089774F"/>
    <w:rsid w:val="008A18EE"/>
    <w:rsid w:val="008A1C35"/>
    <w:rsid w:val="008A1C99"/>
    <w:rsid w:val="008A1E91"/>
    <w:rsid w:val="008A2550"/>
    <w:rsid w:val="008A2823"/>
    <w:rsid w:val="008A3153"/>
    <w:rsid w:val="008A383B"/>
    <w:rsid w:val="008A4934"/>
    <w:rsid w:val="008A519B"/>
    <w:rsid w:val="008A5929"/>
    <w:rsid w:val="008B0FE7"/>
    <w:rsid w:val="008B1829"/>
    <w:rsid w:val="008B29AC"/>
    <w:rsid w:val="008B2C6A"/>
    <w:rsid w:val="008B3AED"/>
    <w:rsid w:val="008B6265"/>
    <w:rsid w:val="008B6B7E"/>
    <w:rsid w:val="008C01A4"/>
    <w:rsid w:val="008C2E55"/>
    <w:rsid w:val="008C30C7"/>
    <w:rsid w:val="008C34B5"/>
    <w:rsid w:val="008C3736"/>
    <w:rsid w:val="008C4741"/>
    <w:rsid w:val="008C5D2B"/>
    <w:rsid w:val="008C6F87"/>
    <w:rsid w:val="008C7425"/>
    <w:rsid w:val="008C7C2E"/>
    <w:rsid w:val="008D1EFE"/>
    <w:rsid w:val="008D271F"/>
    <w:rsid w:val="008D46D3"/>
    <w:rsid w:val="008D4731"/>
    <w:rsid w:val="008D56BF"/>
    <w:rsid w:val="008D572E"/>
    <w:rsid w:val="008D6907"/>
    <w:rsid w:val="008D711B"/>
    <w:rsid w:val="008D79F4"/>
    <w:rsid w:val="008D7EE7"/>
    <w:rsid w:val="008E1C15"/>
    <w:rsid w:val="008E35DC"/>
    <w:rsid w:val="008E3C08"/>
    <w:rsid w:val="008E4E6A"/>
    <w:rsid w:val="008E5687"/>
    <w:rsid w:val="008E7DBB"/>
    <w:rsid w:val="008F0B5E"/>
    <w:rsid w:val="008F0C40"/>
    <w:rsid w:val="008F2683"/>
    <w:rsid w:val="008F2D5F"/>
    <w:rsid w:val="008F39C7"/>
    <w:rsid w:val="008F538E"/>
    <w:rsid w:val="008F5551"/>
    <w:rsid w:val="008F6CB0"/>
    <w:rsid w:val="008F7712"/>
    <w:rsid w:val="00900304"/>
    <w:rsid w:val="00900817"/>
    <w:rsid w:val="009008CF"/>
    <w:rsid w:val="00900F40"/>
    <w:rsid w:val="0090222E"/>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5D2F"/>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567D"/>
    <w:rsid w:val="009458F0"/>
    <w:rsid w:val="009471A0"/>
    <w:rsid w:val="00947622"/>
    <w:rsid w:val="00951621"/>
    <w:rsid w:val="00951845"/>
    <w:rsid w:val="00951B07"/>
    <w:rsid w:val="00952E98"/>
    <w:rsid w:val="0095385A"/>
    <w:rsid w:val="009548D4"/>
    <w:rsid w:val="00955202"/>
    <w:rsid w:val="00955B44"/>
    <w:rsid w:val="00956821"/>
    <w:rsid w:val="00964425"/>
    <w:rsid w:val="00964942"/>
    <w:rsid w:val="009658C0"/>
    <w:rsid w:val="00967268"/>
    <w:rsid w:val="00967CD8"/>
    <w:rsid w:val="00970437"/>
    <w:rsid w:val="00971F9D"/>
    <w:rsid w:val="00971FAB"/>
    <w:rsid w:val="009726BB"/>
    <w:rsid w:val="0097606C"/>
    <w:rsid w:val="00976295"/>
    <w:rsid w:val="00981216"/>
    <w:rsid w:val="00982027"/>
    <w:rsid w:val="009820DB"/>
    <w:rsid w:val="0098238F"/>
    <w:rsid w:val="00983695"/>
    <w:rsid w:val="00983F3D"/>
    <w:rsid w:val="0098489D"/>
    <w:rsid w:val="00984AB9"/>
    <w:rsid w:val="009862D4"/>
    <w:rsid w:val="009875AF"/>
    <w:rsid w:val="009900DC"/>
    <w:rsid w:val="009906BE"/>
    <w:rsid w:val="0099095D"/>
    <w:rsid w:val="009916A7"/>
    <w:rsid w:val="00992127"/>
    <w:rsid w:val="009922C8"/>
    <w:rsid w:val="0099237F"/>
    <w:rsid w:val="0099262B"/>
    <w:rsid w:val="00994DF5"/>
    <w:rsid w:val="00994E2D"/>
    <w:rsid w:val="009976EE"/>
    <w:rsid w:val="009A0F94"/>
    <w:rsid w:val="009A23CE"/>
    <w:rsid w:val="009A2B57"/>
    <w:rsid w:val="009A3569"/>
    <w:rsid w:val="009A4826"/>
    <w:rsid w:val="009A60FC"/>
    <w:rsid w:val="009A758C"/>
    <w:rsid w:val="009B4776"/>
    <w:rsid w:val="009B512E"/>
    <w:rsid w:val="009B5190"/>
    <w:rsid w:val="009B5DE1"/>
    <w:rsid w:val="009B61A4"/>
    <w:rsid w:val="009C0D78"/>
    <w:rsid w:val="009C2DCC"/>
    <w:rsid w:val="009C31BE"/>
    <w:rsid w:val="009C37DC"/>
    <w:rsid w:val="009C38F7"/>
    <w:rsid w:val="009C57EF"/>
    <w:rsid w:val="009C6959"/>
    <w:rsid w:val="009C713B"/>
    <w:rsid w:val="009D3BBA"/>
    <w:rsid w:val="009D3CF6"/>
    <w:rsid w:val="009D4945"/>
    <w:rsid w:val="009D4B2F"/>
    <w:rsid w:val="009D5C7D"/>
    <w:rsid w:val="009D6E69"/>
    <w:rsid w:val="009E043B"/>
    <w:rsid w:val="009E2846"/>
    <w:rsid w:val="009E30D4"/>
    <w:rsid w:val="009E54F2"/>
    <w:rsid w:val="009E5853"/>
    <w:rsid w:val="009E5D6E"/>
    <w:rsid w:val="009E64D5"/>
    <w:rsid w:val="009F1040"/>
    <w:rsid w:val="009F261D"/>
    <w:rsid w:val="009F3602"/>
    <w:rsid w:val="009F5096"/>
    <w:rsid w:val="009F59C2"/>
    <w:rsid w:val="009F78A0"/>
    <w:rsid w:val="00A0103E"/>
    <w:rsid w:val="00A010FC"/>
    <w:rsid w:val="00A02213"/>
    <w:rsid w:val="00A03425"/>
    <w:rsid w:val="00A03867"/>
    <w:rsid w:val="00A04977"/>
    <w:rsid w:val="00A04B5C"/>
    <w:rsid w:val="00A05140"/>
    <w:rsid w:val="00A0528D"/>
    <w:rsid w:val="00A05B7A"/>
    <w:rsid w:val="00A066BD"/>
    <w:rsid w:val="00A071E0"/>
    <w:rsid w:val="00A10053"/>
    <w:rsid w:val="00A11895"/>
    <w:rsid w:val="00A12B18"/>
    <w:rsid w:val="00A13886"/>
    <w:rsid w:val="00A14415"/>
    <w:rsid w:val="00A146B7"/>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32B79"/>
    <w:rsid w:val="00A3420B"/>
    <w:rsid w:val="00A34538"/>
    <w:rsid w:val="00A350AF"/>
    <w:rsid w:val="00A35AD8"/>
    <w:rsid w:val="00A371DE"/>
    <w:rsid w:val="00A37C18"/>
    <w:rsid w:val="00A37FB6"/>
    <w:rsid w:val="00A40A28"/>
    <w:rsid w:val="00A42365"/>
    <w:rsid w:val="00A426EC"/>
    <w:rsid w:val="00A44260"/>
    <w:rsid w:val="00A462AB"/>
    <w:rsid w:val="00A46DD4"/>
    <w:rsid w:val="00A500EF"/>
    <w:rsid w:val="00A505A0"/>
    <w:rsid w:val="00A509BC"/>
    <w:rsid w:val="00A51659"/>
    <w:rsid w:val="00A5208D"/>
    <w:rsid w:val="00A529CB"/>
    <w:rsid w:val="00A531A5"/>
    <w:rsid w:val="00A5350E"/>
    <w:rsid w:val="00A5539A"/>
    <w:rsid w:val="00A568F6"/>
    <w:rsid w:val="00A57160"/>
    <w:rsid w:val="00A579E9"/>
    <w:rsid w:val="00A60441"/>
    <w:rsid w:val="00A60D5F"/>
    <w:rsid w:val="00A61297"/>
    <w:rsid w:val="00A612F6"/>
    <w:rsid w:val="00A62322"/>
    <w:rsid w:val="00A65AD5"/>
    <w:rsid w:val="00A65DB0"/>
    <w:rsid w:val="00A66BF9"/>
    <w:rsid w:val="00A7090A"/>
    <w:rsid w:val="00A7157E"/>
    <w:rsid w:val="00A715D2"/>
    <w:rsid w:val="00A734C1"/>
    <w:rsid w:val="00A73C6F"/>
    <w:rsid w:val="00A74544"/>
    <w:rsid w:val="00A74E6C"/>
    <w:rsid w:val="00A757E2"/>
    <w:rsid w:val="00A771A5"/>
    <w:rsid w:val="00A82473"/>
    <w:rsid w:val="00A8294C"/>
    <w:rsid w:val="00A83087"/>
    <w:rsid w:val="00A83E55"/>
    <w:rsid w:val="00A83F78"/>
    <w:rsid w:val="00A8570E"/>
    <w:rsid w:val="00A878F0"/>
    <w:rsid w:val="00A87ECD"/>
    <w:rsid w:val="00A91699"/>
    <w:rsid w:val="00A91BEA"/>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B0518"/>
    <w:rsid w:val="00AB0808"/>
    <w:rsid w:val="00AB2664"/>
    <w:rsid w:val="00AB3212"/>
    <w:rsid w:val="00AB3581"/>
    <w:rsid w:val="00AB35A6"/>
    <w:rsid w:val="00AB5852"/>
    <w:rsid w:val="00AB5969"/>
    <w:rsid w:val="00AB5C7F"/>
    <w:rsid w:val="00AB628F"/>
    <w:rsid w:val="00AB6591"/>
    <w:rsid w:val="00AB6875"/>
    <w:rsid w:val="00AC146A"/>
    <w:rsid w:val="00AC27E8"/>
    <w:rsid w:val="00AC4829"/>
    <w:rsid w:val="00AC4E34"/>
    <w:rsid w:val="00AC514C"/>
    <w:rsid w:val="00AC5690"/>
    <w:rsid w:val="00AC57DD"/>
    <w:rsid w:val="00AC5F3A"/>
    <w:rsid w:val="00AD1A73"/>
    <w:rsid w:val="00AD45E3"/>
    <w:rsid w:val="00AD4D49"/>
    <w:rsid w:val="00AD52AD"/>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B000D8"/>
    <w:rsid w:val="00B012D7"/>
    <w:rsid w:val="00B0182C"/>
    <w:rsid w:val="00B02774"/>
    <w:rsid w:val="00B02AD1"/>
    <w:rsid w:val="00B03CFE"/>
    <w:rsid w:val="00B04012"/>
    <w:rsid w:val="00B04087"/>
    <w:rsid w:val="00B04E6F"/>
    <w:rsid w:val="00B050B8"/>
    <w:rsid w:val="00B05411"/>
    <w:rsid w:val="00B074DD"/>
    <w:rsid w:val="00B0753B"/>
    <w:rsid w:val="00B10566"/>
    <w:rsid w:val="00B12F06"/>
    <w:rsid w:val="00B13EC0"/>
    <w:rsid w:val="00B15011"/>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C00"/>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4B57"/>
    <w:rsid w:val="00B750D9"/>
    <w:rsid w:val="00B76967"/>
    <w:rsid w:val="00B77F95"/>
    <w:rsid w:val="00B81F6E"/>
    <w:rsid w:val="00B84416"/>
    <w:rsid w:val="00B84BA7"/>
    <w:rsid w:val="00B85186"/>
    <w:rsid w:val="00B91AF0"/>
    <w:rsid w:val="00B91B8E"/>
    <w:rsid w:val="00B92052"/>
    <w:rsid w:val="00B9384C"/>
    <w:rsid w:val="00B93C9A"/>
    <w:rsid w:val="00B94548"/>
    <w:rsid w:val="00B955AB"/>
    <w:rsid w:val="00B95AC8"/>
    <w:rsid w:val="00B9618B"/>
    <w:rsid w:val="00B96AA5"/>
    <w:rsid w:val="00B97E63"/>
    <w:rsid w:val="00BA19D8"/>
    <w:rsid w:val="00BA2325"/>
    <w:rsid w:val="00BA3286"/>
    <w:rsid w:val="00BA3871"/>
    <w:rsid w:val="00BA4D28"/>
    <w:rsid w:val="00BA4E77"/>
    <w:rsid w:val="00BA60E7"/>
    <w:rsid w:val="00BB00BC"/>
    <w:rsid w:val="00BB3B04"/>
    <w:rsid w:val="00BB3EE8"/>
    <w:rsid w:val="00BB584D"/>
    <w:rsid w:val="00BB7084"/>
    <w:rsid w:val="00BB7E79"/>
    <w:rsid w:val="00BC2704"/>
    <w:rsid w:val="00BC3EC6"/>
    <w:rsid w:val="00BC4869"/>
    <w:rsid w:val="00BC7280"/>
    <w:rsid w:val="00BD120E"/>
    <w:rsid w:val="00BD15FA"/>
    <w:rsid w:val="00BD2036"/>
    <w:rsid w:val="00BD2700"/>
    <w:rsid w:val="00BD78FE"/>
    <w:rsid w:val="00BE0AD3"/>
    <w:rsid w:val="00BE15DA"/>
    <w:rsid w:val="00BE16E8"/>
    <w:rsid w:val="00BE1CEA"/>
    <w:rsid w:val="00BE2BCB"/>
    <w:rsid w:val="00BE642B"/>
    <w:rsid w:val="00BE67A9"/>
    <w:rsid w:val="00BE72D6"/>
    <w:rsid w:val="00BE7DEE"/>
    <w:rsid w:val="00BE7E91"/>
    <w:rsid w:val="00BF31BA"/>
    <w:rsid w:val="00BF3C4C"/>
    <w:rsid w:val="00BF5E9C"/>
    <w:rsid w:val="00BF618F"/>
    <w:rsid w:val="00BF653A"/>
    <w:rsid w:val="00BF6D9D"/>
    <w:rsid w:val="00BF7724"/>
    <w:rsid w:val="00C00202"/>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177"/>
    <w:rsid w:val="00C17E35"/>
    <w:rsid w:val="00C20738"/>
    <w:rsid w:val="00C20AB9"/>
    <w:rsid w:val="00C220CE"/>
    <w:rsid w:val="00C225E9"/>
    <w:rsid w:val="00C22BB6"/>
    <w:rsid w:val="00C24150"/>
    <w:rsid w:val="00C2445E"/>
    <w:rsid w:val="00C245B6"/>
    <w:rsid w:val="00C24D7E"/>
    <w:rsid w:val="00C2524E"/>
    <w:rsid w:val="00C25DEC"/>
    <w:rsid w:val="00C269AB"/>
    <w:rsid w:val="00C27711"/>
    <w:rsid w:val="00C3033B"/>
    <w:rsid w:val="00C309CE"/>
    <w:rsid w:val="00C32018"/>
    <w:rsid w:val="00C32119"/>
    <w:rsid w:val="00C34208"/>
    <w:rsid w:val="00C34AAC"/>
    <w:rsid w:val="00C3555C"/>
    <w:rsid w:val="00C366C4"/>
    <w:rsid w:val="00C373C2"/>
    <w:rsid w:val="00C374F0"/>
    <w:rsid w:val="00C375CB"/>
    <w:rsid w:val="00C37B92"/>
    <w:rsid w:val="00C404E4"/>
    <w:rsid w:val="00C41AE9"/>
    <w:rsid w:val="00C42508"/>
    <w:rsid w:val="00C42C10"/>
    <w:rsid w:val="00C42D9F"/>
    <w:rsid w:val="00C4437C"/>
    <w:rsid w:val="00C444D0"/>
    <w:rsid w:val="00C472D7"/>
    <w:rsid w:val="00C50170"/>
    <w:rsid w:val="00C50A4B"/>
    <w:rsid w:val="00C5372F"/>
    <w:rsid w:val="00C53D2D"/>
    <w:rsid w:val="00C54978"/>
    <w:rsid w:val="00C54BAF"/>
    <w:rsid w:val="00C60DBA"/>
    <w:rsid w:val="00C62699"/>
    <w:rsid w:val="00C6465E"/>
    <w:rsid w:val="00C64A86"/>
    <w:rsid w:val="00C64E43"/>
    <w:rsid w:val="00C6552A"/>
    <w:rsid w:val="00C65533"/>
    <w:rsid w:val="00C66DA8"/>
    <w:rsid w:val="00C70B9D"/>
    <w:rsid w:val="00C75629"/>
    <w:rsid w:val="00C758C6"/>
    <w:rsid w:val="00C76212"/>
    <w:rsid w:val="00C76AD9"/>
    <w:rsid w:val="00C77041"/>
    <w:rsid w:val="00C77849"/>
    <w:rsid w:val="00C77F03"/>
    <w:rsid w:val="00C818AF"/>
    <w:rsid w:val="00C81ADC"/>
    <w:rsid w:val="00C81F3D"/>
    <w:rsid w:val="00C8217C"/>
    <w:rsid w:val="00C822C2"/>
    <w:rsid w:val="00C837D5"/>
    <w:rsid w:val="00C841DD"/>
    <w:rsid w:val="00C8458D"/>
    <w:rsid w:val="00C8725E"/>
    <w:rsid w:val="00C90701"/>
    <w:rsid w:val="00C9106A"/>
    <w:rsid w:val="00C91242"/>
    <w:rsid w:val="00C91E8D"/>
    <w:rsid w:val="00C92E3E"/>
    <w:rsid w:val="00C93279"/>
    <w:rsid w:val="00C9585F"/>
    <w:rsid w:val="00C96C1B"/>
    <w:rsid w:val="00C97AAA"/>
    <w:rsid w:val="00CA059D"/>
    <w:rsid w:val="00CA2C72"/>
    <w:rsid w:val="00CA6FB7"/>
    <w:rsid w:val="00CA7385"/>
    <w:rsid w:val="00CB0765"/>
    <w:rsid w:val="00CB2B36"/>
    <w:rsid w:val="00CB2C0F"/>
    <w:rsid w:val="00CB3E91"/>
    <w:rsid w:val="00CB42FC"/>
    <w:rsid w:val="00CB5943"/>
    <w:rsid w:val="00CB619A"/>
    <w:rsid w:val="00CB63B3"/>
    <w:rsid w:val="00CB67C1"/>
    <w:rsid w:val="00CB772B"/>
    <w:rsid w:val="00CC00CD"/>
    <w:rsid w:val="00CC0339"/>
    <w:rsid w:val="00CC0B3D"/>
    <w:rsid w:val="00CC0E85"/>
    <w:rsid w:val="00CC1F51"/>
    <w:rsid w:val="00CC4DF1"/>
    <w:rsid w:val="00CC748E"/>
    <w:rsid w:val="00CD02E0"/>
    <w:rsid w:val="00CD2B8C"/>
    <w:rsid w:val="00CD305E"/>
    <w:rsid w:val="00CD4A86"/>
    <w:rsid w:val="00CD5576"/>
    <w:rsid w:val="00CD67EE"/>
    <w:rsid w:val="00CD7005"/>
    <w:rsid w:val="00CD7E27"/>
    <w:rsid w:val="00CE12E2"/>
    <w:rsid w:val="00CE15B5"/>
    <w:rsid w:val="00CE2805"/>
    <w:rsid w:val="00CE4E6E"/>
    <w:rsid w:val="00CE7A1A"/>
    <w:rsid w:val="00CF02E0"/>
    <w:rsid w:val="00CF0701"/>
    <w:rsid w:val="00CF1B01"/>
    <w:rsid w:val="00CF267E"/>
    <w:rsid w:val="00CF2CB7"/>
    <w:rsid w:val="00CF4E65"/>
    <w:rsid w:val="00CF600D"/>
    <w:rsid w:val="00CF7275"/>
    <w:rsid w:val="00CF7A13"/>
    <w:rsid w:val="00D01760"/>
    <w:rsid w:val="00D01EBF"/>
    <w:rsid w:val="00D06596"/>
    <w:rsid w:val="00D077EB"/>
    <w:rsid w:val="00D078B8"/>
    <w:rsid w:val="00D10800"/>
    <w:rsid w:val="00D12085"/>
    <w:rsid w:val="00D129EB"/>
    <w:rsid w:val="00D13D5F"/>
    <w:rsid w:val="00D15B95"/>
    <w:rsid w:val="00D16E39"/>
    <w:rsid w:val="00D170B9"/>
    <w:rsid w:val="00D1729C"/>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41655"/>
    <w:rsid w:val="00D41EE1"/>
    <w:rsid w:val="00D42298"/>
    <w:rsid w:val="00D42E4F"/>
    <w:rsid w:val="00D4320D"/>
    <w:rsid w:val="00D44E97"/>
    <w:rsid w:val="00D460D9"/>
    <w:rsid w:val="00D47709"/>
    <w:rsid w:val="00D506C0"/>
    <w:rsid w:val="00D517B4"/>
    <w:rsid w:val="00D53894"/>
    <w:rsid w:val="00D53C6C"/>
    <w:rsid w:val="00D54876"/>
    <w:rsid w:val="00D54C45"/>
    <w:rsid w:val="00D54D4B"/>
    <w:rsid w:val="00D56F1D"/>
    <w:rsid w:val="00D60327"/>
    <w:rsid w:val="00D612BB"/>
    <w:rsid w:val="00D641C3"/>
    <w:rsid w:val="00D64981"/>
    <w:rsid w:val="00D650B5"/>
    <w:rsid w:val="00D65318"/>
    <w:rsid w:val="00D66C4F"/>
    <w:rsid w:val="00D679D8"/>
    <w:rsid w:val="00D7075B"/>
    <w:rsid w:val="00D710B9"/>
    <w:rsid w:val="00D71D22"/>
    <w:rsid w:val="00D72126"/>
    <w:rsid w:val="00D72E9D"/>
    <w:rsid w:val="00D73FA7"/>
    <w:rsid w:val="00D74765"/>
    <w:rsid w:val="00D7568C"/>
    <w:rsid w:val="00D757E1"/>
    <w:rsid w:val="00D7727A"/>
    <w:rsid w:val="00D82CE5"/>
    <w:rsid w:val="00D84FE0"/>
    <w:rsid w:val="00D85A25"/>
    <w:rsid w:val="00D85C8F"/>
    <w:rsid w:val="00D86474"/>
    <w:rsid w:val="00D86E0F"/>
    <w:rsid w:val="00D87181"/>
    <w:rsid w:val="00D8736E"/>
    <w:rsid w:val="00D90EFA"/>
    <w:rsid w:val="00D914DB"/>
    <w:rsid w:val="00D92770"/>
    <w:rsid w:val="00D93287"/>
    <w:rsid w:val="00D94D04"/>
    <w:rsid w:val="00D95BD9"/>
    <w:rsid w:val="00D970D3"/>
    <w:rsid w:val="00D978B4"/>
    <w:rsid w:val="00D97DDD"/>
    <w:rsid w:val="00DA191E"/>
    <w:rsid w:val="00DA41EF"/>
    <w:rsid w:val="00DA583D"/>
    <w:rsid w:val="00DA5AB1"/>
    <w:rsid w:val="00DA77EC"/>
    <w:rsid w:val="00DA7B6E"/>
    <w:rsid w:val="00DA7CCA"/>
    <w:rsid w:val="00DB0DFA"/>
    <w:rsid w:val="00DB1542"/>
    <w:rsid w:val="00DB28B8"/>
    <w:rsid w:val="00DB3D31"/>
    <w:rsid w:val="00DB6234"/>
    <w:rsid w:val="00DB68F9"/>
    <w:rsid w:val="00DC02B2"/>
    <w:rsid w:val="00DC1562"/>
    <w:rsid w:val="00DC2AFD"/>
    <w:rsid w:val="00DC3544"/>
    <w:rsid w:val="00DC3A87"/>
    <w:rsid w:val="00DC4E41"/>
    <w:rsid w:val="00DC62E5"/>
    <w:rsid w:val="00DC7191"/>
    <w:rsid w:val="00DC743F"/>
    <w:rsid w:val="00DC78DC"/>
    <w:rsid w:val="00DD0BB0"/>
    <w:rsid w:val="00DD293E"/>
    <w:rsid w:val="00DD32A0"/>
    <w:rsid w:val="00DD3E02"/>
    <w:rsid w:val="00DD3E55"/>
    <w:rsid w:val="00DD451F"/>
    <w:rsid w:val="00DD47A2"/>
    <w:rsid w:val="00DD49C4"/>
    <w:rsid w:val="00DD5376"/>
    <w:rsid w:val="00DD54ED"/>
    <w:rsid w:val="00DD652D"/>
    <w:rsid w:val="00DD6845"/>
    <w:rsid w:val="00DD6847"/>
    <w:rsid w:val="00DD735D"/>
    <w:rsid w:val="00DD7FA8"/>
    <w:rsid w:val="00DE07A5"/>
    <w:rsid w:val="00DE247F"/>
    <w:rsid w:val="00DE308A"/>
    <w:rsid w:val="00DE3119"/>
    <w:rsid w:val="00DE3139"/>
    <w:rsid w:val="00DE3BBA"/>
    <w:rsid w:val="00DE5BCA"/>
    <w:rsid w:val="00DE6872"/>
    <w:rsid w:val="00DF0650"/>
    <w:rsid w:val="00DF20FB"/>
    <w:rsid w:val="00DF2128"/>
    <w:rsid w:val="00DF236B"/>
    <w:rsid w:val="00DF2804"/>
    <w:rsid w:val="00DF28C7"/>
    <w:rsid w:val="00DF3553"/>
    <w:rsid w:val="00DF3F8D"/>
    <w:rsid w:val="00DF64F5"/>
    <w:rsid w:val="00DF6AA5"/>
    <w:rsid w:val="00DF7086"/>
    <w:rsid w:val="00DF7F9E"/>
    <w:rsid w:val="00E00221"/>
    <w:rsid w:val="00E0048D"/>
    <w:rsid w:val="00E00F1D"/>
    <w:rsid w:val="00E018F9"/>
    <w:rsid w:val="00E019EA"/>
    <w:rsid w:val="00E02842"/>
    <w:rsid w:val="00E02B70"/>
    <w:rsid w:val="00E04A52"/>
    <w:rsid w:val="00E057C5"/>
    <w:rsid w:val="00E0677C"/>
    <w:rsid w:val="00E06A8D"/>
    <w:rsid w:val="00E10879"/>
    <w:rsid w:val="00E111EA"/>
    <w:rsid w:val="00E11408"/>
    <w:rsid w:val="00E13AB8"/>
    <w:rsid w:val="00E13D3F"/>
    <w:rsid w:val="00E1640E"/>
    <w:rsid w:val="00E16924"/>
    <w:rsid w:val="00E228D6"/>
    <w:rsid w:val="00E234D7"/>
    <w:rsid w:val="00E25CB3"/>
    <w:rsid w:val="00E27E15"/>
    <w:rsid w:val="00E3074B"/>
    <w:rsid w:val="00E31A47"/>
    <w:rsid w:val="00E32A49"/>
    <w:rsid w:val="00E33B62"/>
    <w:rsid w:val="00E34106"/>
    <w:rsid w:val="00E34DEB"/>
    <w:rsid w:val="00E354CF"/>
    <w:rsid w:val="00E356D7"/>
    <w:rsid w:val="00E359EB"/>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300"/>
    <w:rsid w:val="00E81CD9"/>
    <w:rsid w:val="00E81FD0"/>
    <w:rsid w:val="00E84BEA"/>
    <w:rsid w:val="00E87FB5"/>
    <w:rsid w:val="00E90617"/>
    <w:rsid w:val="00E90847"/>
    <w:rsid w:val="00E91B88"/>
    <w:rsid w:val="00E9622C"/>
    <w:rsid w:val="00E96F1A"/>
    <w:rsid w:val="00EA04BE"/>
    <w:rsid w:val="00EA0C86"/>
    <w:rsid w:val="00EA1918"/>
    <w:rsid w:val="00EA1DB5"/>
    <w:rsid w:val="00EA2015"/>
    <w:rsid w:val="00EA2E7A"/>
    <w:rsid w:val="00EA3761"/>
    <w:rsid w:val="00EA3916"/>
    <w:rsid w:val="00EA3B8E"/>
    <w:rsid w:val="00EA4951"/>
    <w:rsid w:val="00EA620F"/>
    <w:rsid w:val="00EB03A0"/>
    <w:rsid w:val="00EB0D38"/>
    <w:rsid w:val="00EB23D0"/>
    <w:rsid w:val="00EB2CBD"/>
    <w:rsid w:val="00EB5263"/>
    <w:rsid w:val="00EB5408"/>
    <w:rsid w:val="00EB55EE"/>
    <w:rsid w:val="00EB5A79"/>
    <w:rsid w:val="00EB5E41"/>
    <w:rsid w:val="00EC2339"/>
    <w:rsid w:val="00EC5592"/>
    <w:rsid w:val="00EC5B1B"/>
    <w:rsid w:val="00EC77E0"/>
    <w:rsid w:val="00ED0181"/>
    <w:rsid w:val="00ED05A8"/>
    <w:rsid w:val="00ED0D83"/>
    <w:rsid w:val="00ED18C9"/>
    <w:rsid w:val="00ED1921"/>
    <w:rsid w:val="00ED1A5E"/>
    <w:rsid w:val="00ED21E1"/>
    <w:rsid w:val="00ED2C7A"/>
    <w:rsid w:val="00ED3136"/>
    <w:rsid w:val="00ED34C2"/>
    <w:rsid w:val="00ED5E7E"/>
    <w:rsid w:val="00ED6D48"/>
    <w:rsid w:val="00ED716D"/>
    <w:rsid w:val="00EE084F"/>
    <w:rsid w:val="00EE2C9C"/>
    <w:rsid w:val="00EE336A"/>
    <w:rsid w:val="00EE3508"/>
    <w:rsid w:val="00EE4DB1"/>
    <w:rsid w:val="00EE506E"/>
    <w:rsid w:val="00EE55BB"/>
    <w:rsid w:val="00EE59B5"/>
    <w:rsid w:val="00EE64FF"/>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33A6"/>
    <w:rsid w:val="00F04156"/>
    <w:rsid w:val="00F04D40"/>
    <w:rsid w:val="00F05E5B"/>
    <w:rsid w:val="00F0608C"/>
    <w:rsid w:val="00F06296"/>
    <w:rsid w:val="00F06A29"/>
    <w:rsid w:val="00F074DD"/>
    <w:rsid w:val="00F0774D"/>
    <w:rsid w:val="00F077AE"/>
    <w:rsid w:val="00F10954"/>
    <w:rsid w:val="00F11955"/>
    <w:rsid w:val="00F11D29"/>
    <w:rsid w:val="00F128BC"/>
    <w:rsid w:val="00F158B5"/>
    <w:rsid w:val="00F16AE2"/>
    <w:rsid w:val="00F172E0"/>
    <w:rsid w:val="00F2035B"/>
    <w:rsid w:val="00F2107D"/>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47A21"/>
    <w:rsid w:val="00F5101F"/>
    <w:rsid w:val="00F5123F"/>
    <w:rsid w:val="00F51E02"/>
    <w:rsid w:val="00F520D5"/>
    <w:rsid w:val="00F536CD"/>
    <w:rsid w:val="00F55F3A"/>
    <w:rsid w:val="00F574CC"/>
    <w:rsid w:val="00F6029C"/>
    <w:rsid w:val="00F6064F"/>
    <w:rsid w:val="00F6143F"/>
    <w:rsid w:val="00F61B1D"/>
    <w:rsid w:val="00F61C41"/>
    <w:rsid w:val="00F61F32"/>
    <w:rsid w:val="00F62963"/>
    <w:rsid w:val="00F6355B"/>
    <w:rsid w:val="00F64812"/>
    <w:rsid w:val="00F64BC2"/>
    <w:rsid w:val="00F65EC5"/>
    <w:rsid w:val="00F65FD5"/>
    <w:rsid w:val="00F66CBD"/>
    <w:rsid w:val="00F6751F"/>
    <w:rsid w:val="00F73D70"/>
    <w:rsid w:val="00F75800"/>
    <w:rsid w:val="00F75BAD"/>
    <w:rsid w:val="00F764CE"/>
    <w:rsid w:val="00F77855"/>
    <w:rsid w:val="00F80D0F"/>
    <w:rsid w:val="00F80E8A"/>
    <w:rsid w:val="00F84899"/>
    <w:rsid w:val="00F84F4F"/>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28BF"/>
    <w:rsid w:val="00FA3221"/>
    <w:rsid w:val="00FA63A7"/>
    <w:rsid w:val="00FA6B54"/>
    <w:rsid w:val="00FB324F"/>
    <w:rsid w:val="00FB48C5"/>
    <w:rsid w:val="00FB5E3B"/>
    <w:rsid w:val="00FB5F23"/>
    <w:rsid w:val="00FC08AD"/>
    <w:rsid w:val="00FC16AE"/>
    <w:rsid w:val="00FC4AF7"/>
    <w:rsid w:val="00FC5EB6"/>
    <w:rsid w:val="00FD1C4A"/>
    <w:rsid w:val="00FD2088"/>
    <w:rsid w:val="00FD2829"/>
    <w:rsid w:val="00FD2EA3"/>
    <w:rsid w:val="00FD3F65"/>
    <w:rsid w:val="00FD42C8"/>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1C68"/>
    <w:rsid w:val="00FF4164"/>
    <w:rsid w:val="00FF485B"/>
    <w:rsid w:val="00FF4CB9"/>
    <w:rsid w:val="00FF7E3F"/>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60"/>
    <w:pPr>
      <w:spacing w:before="0" w:after="0" w:line="240" w:lineRule="auto"/>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6294">
      <w:bodyDiv w:val="1"/>
      <w:marLeft w:val="0"/>
      <w:marRight w:val="0"/>
      <w:marTop w:val="0"/>
      <w:marBottom w:val="0"/>
      <w:divBdr>
        <w:top w:val="none" w:sz="0" w:space="0" w:color="auto"/>
        <w:left w:val="none" w:sz="0" w:space="0" w:color="auto"/>
        <w:bottom w:val="none" w:sz="0" w:space="0" w:color="auto"/>
        <w:right w:val="none" w:sz="0" w:space="0" w:color="auto"/>
      </w:divBdr>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1993/L0080de1993.htm" TargetMode="External"/><Relationship Id="rId1"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44</Pages>
  <Words>17742</Words>
  <Characters>97585</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2022-08-17T19:33:00Z</dcterms:created>
  <dcterms:modified xsi:type="dcterms:W3CDTF">2022-08-17T19:33:00Z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