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579A" w14:textId="56CA0EB5" w:rsidR="0062212E" w:rsidRDefault="008A5525" w:rsidP="76A941F1">
      <w:pPr>
        <w:jc w:val="right"/>
        <w:rPr>
          <w:rFonts w:ascii="Arial" w:hAnsi="Arial" w:cs="Arial"/>
          <w:b/>
          <w:bCs/>
          <w:color w:val="000000" w:themeColor="text1"/>
          <w:sz w:val="21"/>
          <w:szCs w:val="21"/>
          <w:lang w:val="es-ES" w:eastAsia="es-ES"/>
        </w:rPr>
      </w:pPr>
      <w:bookmarkStart w:id="0" w:name="_Hlk28946138"/>
      <w:bookmarkStart w:id="1" w:name="_Hlk29548183"/>
      <w:r w:rsidRPr="76A941F1">
        <w:rPr>
          <w:rFonts w:ascii="Arial" w:hAnsi="Arial" w:cs="Arial"/>
          <w:b/>
          <w:bCs/>
          <w:color w:val="000000" w:themeColor="text1"/>
          <w:sz w:val="21"/>
          <w:szCs w:val="21"/>
          <w:lang w:val="es-ES" w:eastAsia="es-ES"/>
        </w:rPr>
        <w:t xml:space="preserve"> </w:t>
      </w:r>
    </w:p>
    <w:p w14:paraId="6CEAE9AF" w14:textId="205746A0" w:rsidR="006439B5" w:rsidRPr="002F556D" w:rsidRDefault="00D15F76" w:rsidP="006439B5">
      <w:pPr>
        <w:jc w:val="right"/>
        <w:rPr>
          <w:rFonts w:ascii="Arial" w:hAnsi="Arial" w:cs="Arial"/>
          <w:b/>
          <w:bCs/>
          <w:color w:val="000000" w:themeColor="text1"/>
          <w:sz w:val="16"/>
          <w:szCs w:val="16"/>
          <w:lang w:val="es-ES" w:eastAsia="es-ES"/>
        </w:rPr>
      </w:pPr>
      <w:r w:rsidRPr="00810952">
        <w:rPr>
          <w:rFonts w:ascii="Arial" w:hAnsi="Arial" w:cs="Arial"/>
          <w:b/>
          <w:color w:val="000000" w:themeColor="text1"/>
          <w:sz w:val="21"/>
          <w:szCs w:val="21"/>
          <w:lang w:val="es-ES_tradnl" w:eastAsia="es-ES"/>
        </w:rPr>
        <w:tab/>
      </w:r>
      <w:r w:rsidRPr="002F556D">
        <w:rPr>
          <w:rFonts w:ascii="Arial" w:hAnsi="Arial" w:cs="Arial"/>
          <w:b/>
          <w:bCs/>
          <w:color w:val="000000" w:themeColor="text1"/>
          <w:sz w:val="16"/>
          <w:szCs w:val="16"/>
          <w:lang w:val="es-ES" w:eastAsia="es-ES"/>
        </w:rPr>
        <w:t>CCE-DES-FM-17</w:t>
      </w:r>
    </w:p>
    <w:p w14:paraId="1C906668" w14:textId="77777777" w:rsidR="00FE0F24" w:rsidRDefault="00FE0F24" w:rsidP="00FA1A1E">
      <w:pPr>
        <w:jc w:val="both"/>
        <w:rPr>
          <w:rFonts w:ascii="Arial" w:hAnsi="Arial" w:cs="Arial"/>
          <w:b/>
          <w:bCs/>
          <w:color w:val="000000" w:themeColor="text1"/>
          <w:sz w:val="22"/>
          <w:lang w:val="es-ES_tradnl"/>
        </w:rPr>
      </w:pPr>
    </w:p>
    <w:p w14:paraId="7617E279" w14:textId="1CC9EDD9" w:rsidR="00FA1A1E" w:rsidRPr="002F556D" w:rsidRDefault="00FA1A1E" w:rsidP="00FA1A1E">
      <w:pPr>
        <w:jc w:val="both"/>
        <w:rPr>
          <w:rFonts w:ascii="Arial" w:hAnsi="Arial" w:cs="Arial"/>
          <w:b/>
          <w:bCs/>
          <w:color w:val="000000" w:themeColor="text1"/>
          <w:sz w:val="22"/>
          <w:lang w:val="es-ES_tradnl"/>
        </w:rPr>
      </w:pPr>
      <w:bookmarkStart w:id="2" w:name="_GoBack"/>
      <w:bookmarkEnd w:id="2"/>
      <w:r w:rsidRPr="002F556D">
        <w:rPr>
          <w:rFonts w:ascii="Arial" w:hAnsi="Arial" w:cs="Arial"/>
          <w:b/>
          <w:bCs/>
          <w:color w:val="000000" w:themeColor="text1"/>
          <w:sz w:val="22"/>
          <w:lang w:val="es-ES_tradnl"/>
        </w:rPr>
        <w:t xml:space="preserve">CONTRATO DE PRESTACIÓN DE SERVICIOS </w:t>
      </w:r>
      <w:bookmarkStart w:id="3" w:name="_Hlk39666823"/>
      <w:r w:rsidRPr="002F556D">
        <w:rPr>
          <w:rFonts w:ascii="Arial" w:eastAsia="Calibri" w:hAnsi="Arial" w:cs="Arial"/>
          <w:b/>
          <w:color w:val="000000" w:themeColor="text1"/>
          <w:sz w:val="22"/>
        </w:rPr>
        <w:t>–</w:t>
      </w:r>
      <w:bookmarkEnd w:id="3"/>
      <w:r w:rsidRPr="002F556D">
        <w:rPr>
          <w:rFonts w:ascii="Arial" w:hAnsi="Arial" w:cs="Arial"/>
          <w:b/>
          <w:bCs/>
          <w:color w:val="000000" w:themeColor="text1"/>
          <w:sz w:val="22"/>
          <w:lang w:val="es-ES_tradnl"/>
        </w:rPr>
        <w:t xml:space="preserve"> Concepto − Características</w:t>
      </w:r>
      <w:r w:rsidR="00292A1B" w:rsidRPr="002F556D">
        <w:rPr>
          <w:rFonts w:ascii="Arial" w:hAnsi="Arial" w:cs="Arial"/>
          <w:b/>
          <w:bCs/>
          <w:color w:val="000000" w:themeColor="text1"/>
          <w:sz w:val="22"/>
          <w:lang w:val="es-ES_tradnl"/>
        </w:rPr>
        <w:t xml:space="preserve"> generales</w:t>
      </w:r>
    </w:p>
    <w:p w14:paraId="0D583F3C" w14:textId="77777777" w:rsidR="00FA1A1E" w:rsidRPr="002F556D" w:rsidRDefault="00FA1A1E" w:rsidP="00FA1A1E">
      <w:pPr>
        <w:jc w:val="both"/>
        <w:rPr>
          <w:rFonts w:ascii="Arial" w:hAnsi="Arial" w:cs="Arial"/>
          <w:color w:val="000000" w:themeColor="text1"/>
          <w:sz w:val="20"/>
          <w:szCs w:val="20"/>
          <w:lang w:val="es-ES_tradnl"/>
        </w:rPr>
      </w:pPr>
    </w:p>
    <w:p w14:paraId="0D7E9D44" w14:textId="036934E5" w:rsidR="00FA1A1E" w:rsidRPr="002F556D" w:rsidRDefault="00FA1A1E" w:rsidP="00CA0F7D">
      <w:pPr>
        <w:jc w:val="both"/>
        <w:rPr>
          <w:rFonts w:ascii="Arial" w:hAnsi="Arial" w:cs="Arial"/>
          <w:color w:val="000000" w:themeColor="text1"/>
          <w:sz w:val="20"/>
          <w:szCs w:val="20"/>
          <w:lang w:val="es-ES_tradnl"/>
        </w:rPr>
      </w:pPr>
      <w:r w:rsidRPr="002F556D">
        <w:rPr>
          <w:rFonts w:ascii="Arial" w:hAnsi="Arial" w:cs="Arial"/>
          <w:color w:val="000000" w:themeColor="text1"/>
          <w:sz w:val="20"/>
          <w:szCs w:val="20"/>
          <w:lang w:val="es-ES_tradnl"/>
        </w:rPr>
        <w:t xml:space="preserve">El contrato de prestación de servicios es un contrato estatal típico regulado en </w:t>
      </w:r>
      <w:r w:rsidR="007E272E" w:rsidRPr="002F556D">
        <w:rPr>
          <w:rFonts w:ascii="Arial" w:hAnsi="Arial" w:cs="Arial"/>
          <w:color w:val="000000" w:themeColor="text1"/>
          <w:sz w:val="20"/>
          <w:szCs w:val="20"/>
          <w:lang w:val="es-ES_tradnl"/>
        </w:rPr>
        <w:t xml:space="preserve">numeral 3 del artículo 32 </w:t>
      </w:r>
      <w:r w:rsidRPr="002F556D">
        <w:rPr>
          <w:rFonts w:ascii="Arial" w:hAnsi="Arial" w:cs="Arial"/>
          <w:color w:val="000000" w:themeColor="text1"/>
          <w:sz w:val="20"/>
          <w:szCs w:val="20"/>
          <w:lang w:val="es-ES_tradnl"/>
        </w:rPr>
        <w:t xml:space="preserve">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 es posible señalar las siguientes características del contrato de prestación de servicios: i) Solo puede celebrarse para realizar «actividades relacionadas con la administración o funcionamiento de la entidad», es decir, que hagan parte de su giro ordinario o quehacer cotidiano. ii) </w:t>
      </w:r>
      <w:r w:rsidR="007E272E" w:rsidRPr="002F556D">
        <w:rPr>
          <w:rFonts w:ascii="Arial" w:hAnsi="Arial" w:cs="Arial"/>
          <w:color w:val="000000" w:themeColor="text1"/>
          <w:sz w:val="20"/>
          <w:szCs w:val="20"/>
          <w:lang w:val="es-ES_tradnl"/>
        </w:rPr>
        <w:t>Respecto del tipo de personas que pueden ser contratadas, a</w:t>
      </w:r>
      <w:r w:rsidRPr="002F556D">
        <w:rPr>
          <w:rFonts w:ascii="Arial" w:hAnsi="Arial" w:cs="Arial"/>
          <w:color w:val="000000" w:themeColor="text1"/>
          <w:sz w:val="20"/>
          <w:szCs w:val="20"/>
          <w:lang w:val="es-ES_tradnl"/>
        </w:rPr>
        <w:t xml:space="preserve">dmite que se suscriba con personas naturales o jurídicas. […] 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subordinación ni dependencia, que es uno de los elementos constitutivos del vínculo laboral […] iv) Deben ser temporales. […] v) Se celebran a través de la modalidad de contratación directa, independientemente de la cuantía y del tipo de servicio profesional, siempre que su objeto no sea la consultoría. […]. vi) </w:t>
      </w:r>
      <w:r w:rsidR="00CA0F7D" w:rsidRPr="002F556D">
        <w:rPr>
          <w:rFonts w:ascii="Arial" w:hAnsi="Arial" w:cs="Arial"/>
          <w:color w:val="000000" w:themeColor="text1"/>
          <w:sz w:val="20"/>
          <w:szCs w:val="20"/>
          <w:lang w:val="es-ES_tradnl"/>
        </w:rPr>
        <w:t>Para su celebración no</w:t>
      </w:r>
      <w:r w:rsidRPr="002F556D">
        <w:rPr>
          <w:rFonts w:ascii="Arial" w:hAnsi="Arial" w:cs="Arial"/>
          <w:color w:val="000000" w:themeColor="text1"/>
          <w:sz w:val="20"/>
          <w:szCs w:val="20"/>
          <w:lang w:val="es-ES_tradnl"/>
        </w:rPr>
        <w:t xml:space="preserve"> se requiere expedir un acto administrativo de justificación de la contratación directa. vii) El contrato admite la inclusión de cláusulas excepcionales. viii) No es obligatorio liquidar estos contratos […]. ix) Para </w:t>
      </w:r>
      <w:r w:rsidR="007E272E" w:rsidRPr="002F556D">
        <w:rPr>
          <w:rFonts w:ascii="Arial" w:hAnsi="Arial" w:cs="Arial"/>
          <w:color w:val="000000" w:themeColor="text1"/>
          <w:sz w:val="20"/>
          <w:szCs w:val="20"/>
          <w:lang w:val="es-ES_tradnl"/>
        </w:rPr>
        <w:t>su celebración</w:t>
      </w:r>
      <w:r w:rsidRPr="002F556D">
        <w:rPr>
          <w:rFonts w:ascii="Arial" w:hAnsi="Arial" w:cs="Arial"/>
          <w:color w:val="000000" w:themeColor="text1"/>
          <w:sz w:val="20"/>
          <w:szCs w:val="20"/>
          <w:lang w:val="es-ES_tradnl"/>
        </w:rPr>
        <w:t xml:space="preserve"> </w:t>
      </w:r>
      <w:r w:rsidR="00CA0F7D" w:rsidRPr="002F556D">
        <w:rPr>
          <w:rFonts w:ascii="Arial" w:hAnsi="Arial" w:cs="Arial"/>
          <w:color w:val="000000" w:themeColor="text1"/>
          <w:sz w:val="20"/>
          <w:szCs w:val="20"/>
          <w:lang w:val="es-ES_tradnl"/>
        </w:rPr>
        <w:t xml:space="preserve">el contratista </w:t>
      </w:r>
      <w:r w:rsidRPr="002F556D">
        <w:rPr>
          <w:rFonts w:ascii="Arial" w:hAnsi="Arial" w:cs="Arial"/>
          <w:color w:val="000000" w:themeColor="text1"/>
          <w:sz w:val="20"/>
          <w:szCs w:val="20"/>
          <w:lang w:val="es-ES_tradnl"/>
        </w:rPr>
        <w:t xml:space="preserve">no requiere estar inscrito en el Registro Único de Proponentes –RUP– […]. x) No es </w:t>
      </w:r>
      <w:r w:rsidR="00CA0F7D" w:rsidRPr="002F556D">
        <w:rPr>
          <w:rFonts w:ascii="Arial" w:hAnsi="Arial" w:cs="Arial"/>
          <w:color w:val="000000" w:themeColor="text1"/>
          <w:sz w:val="20"/>
          <w:szCs w:val="20"/>
          <w:lang w:val="es-ES_tradnl"/>
        </w:rPr>
        <w:t>obligatoria la exigencia de</w:t>
      </w:r>
      <w:r w:rsidRPr="002F556D">
        <w:rPr>
          <w:rFonts w:ascii="Arial" w:hAnsi="Arial" w:cs="Arial"/>
          <w:color w:val="000000" w:themeColor="text1"/>
          <w:sz w:val="20"/>
          <w:szCs w:val="20"/>
          <w:lang w:val="es-ES_tradnl"/>
        </w:rPr>
        <w:t xml:space="preserve"> garantías</w:t>
      </w:r>
      <w:r w:rsidR="00CA0F7D" w:rsidRPr="002F556D">
        <w:rPr>
          <w:rFonts w:ascii="Arial" w:hAnsi="Arial" w:cs="Arial"/>
          <w:color w:val="000000" w:themeColor="text1"/>
          <w:sz w:val="20"/>
          <w:szCs w:val="20"/>
          <w:lang w:val="es-ES_tradnl"/>
        </w:rPr>
        <w:t>; xi) Como los demás contratos estatales, se trata de un contrato solemne que debe constar por escrito y</w:t>
      </w:r>
      <w:r w:rsidR="00224EBA" w:rsidRPr="002F556D">
        <w:rPr>
          <w:rFonts w:ascii="Arial" w:hAnsi="Arial" w:cs="Arial"/>
          <w:color w:val="000000" w:themeColor="text1"/>
          <w:sz w:val="20"/>
          <w:szCs w:val="20"/>
          <w:lang w:val="es-ES_tradnl"/>
        </w:rPr>
        <w:t xml:space="preserve"> debe ser publicado en el SECOP</w:t>
      </w:r>
      <w:r w:rsidR="00CA0F7D" w:rsidRPr="002F556D">
        <w:rPr>
          <w:rFonts w:ascii="Arial" w:hAnsi="Arial" w:cs="Arial"/>
          <w:color w:val="000000" w:themeColor="text1"/>
          <w:sz w:val="20"/>
          <w:szCs w:val="20"/>
          <w:lang w:val="es-ES_tradnl"/>
        </w:rPr>
        <w:t>; xii) Como especies del género prestación de servicios, se incluyen los contratos de prestación de servicios profesionales, los contratos de prestación de servicios apoyo a la gestión y los contratos de prestación de servicios artísticos que solo pueden encomendarse a determinadas personas naturales.</w:t>
      </w:r>
    </w:p>
    <w:p w14:paraId="4DF1FE95" w14:textId="77777777" w:rsidR="00FA1A1E" w:rsidRPr="002F556D" w:rsidRDefault="00FA1A1E" w:rsidP="00FA1A1E">
      <w:pPr>
        <w:jc w:val="both"/>
        <w:rPr>
          <w:rFonts w:ascii="Arial" w:hAnsi="Arial" w:cs="Arial"/>
          <w:color w:val="000000" w:themeColor="text1"/>
          <w:sz w:val="20"/>
          <w:szCs w:val="20"/>
          <w:lang w:val="es-ES_tradnl"/>
        </w:rPr>
      </w:pPr>
    </w:p>
    <w:p w14:paraId="63B7F1DB" w14:textId="77777777" w:rsidR="00E12EB6" w:rsidRPr="002F556D" w:rsidRDefault="00E12EB6" w:rsidP="00E12EB6">
      <w:pPr>
        <w:jc w:val="both"/>
        <w:rPr>
          <w:rFonts w:ascii="Arial" w:hAnsi="Arial" w:cs="Arial"/>
          <w:b/>
          <w:bCs/>
          <w:color w:val="000000" w:themeColor="text1"/>
          <w:sz w:val="22"/>
          <w:lang w:val="es-ES_tradnl"/>
        </w:rPr>
      </w:pPr>
      <w:r w:rsidRPr="002F556D">
        <w:rPr>
          <w:rFonts w:ascii="Arial" w:hAnsi="Arial" w:cs="Arial"/>
          <w:b/>
          <w:bCs/>
          <w:color w:val="000000" w:themeColor="text1"/>
          <w:sz w:val="22"/>
          <w:lang w:val="es-ES_tradnl"/>
        </w:rPr>
        <w:t xml:space="preserve">CONTRATO DE PRESTACIÓN DE SERVICIOS – </w:t>
      </w:r>
      <w:r>
        <w:rPr>
          <w:rFonts w:ascii="Arial" w:hAnsi="Arial" w:cs="Arial"/>
          <w:b/>
          <w:bCs/>
          <w:color w:val="000000" w:themeColor="text1"/>
          <w:sz w:val="22"/>
          <w:lang w:val="es-ES_tradnl"/>
        </w:rPr>
        <w:t>Relación Laboral</w:t>
      </w:r>
      <w:r w:rsidRPr="002F556D">
        <w:rPr>
          <w:rFonts w:ascii="Arial" w:hAnsi="Arial" w:cs="Arial"/>
          <w:b/>
          <w:bCs/>
          <w:color w:val="000000" w:themeColor="text1"/>
          <w:sz w:val="22"/>
          <w:lang w:val="es-ES_tradnl"/>
        </w:rPr>
        <w:t xml:space="preserve"> – C</w:t>
      </w:r>
      <w:r>
        <w:rPr>
          <w:rFonts w:ascii="Arial" w:hAnsi="Arial" w:cs="Arial"/>
          <w:b/>
          <w:bCs/>
          <w:color w:val="000000" w:themeColor="text1"/>
          <w:sz w:val="22"/>
          <w:lang w:val="es-ES_tradnl"/>
        </w:rPr>
        <w:t xml:space="preserve">ompetencia de Colombia Compra Eficiente </w:t>
      </w:r>
    </w:p>
    <w:p w14:paraId="22C63B8C" w14:textId="77777777" w:rsidR="00E12EB6" w:rsidRPr="002F556D" w:rsidRDefault="00E12EB6" w:rsidP="00E12EB6">
      <w:pPr>
        <w:jc w:val="both"/>
        <w:rPr>
          <w:rFonts w:ascii="Arial" w:hAnsi="Arial" w:cs="Arial"/>
          <w:b/>
          <w:bCs/>
          <w:color w:val="000000" w:themeColor="text1"/>
          <w:sz w:val="22"/>
          <w:lang w:val="es-ES_tradnl"/>
        </w:rPr>
      </w:pPr>
    </w:p>
    <w:p w14:paraId="29E72D4C" w14:textId="77777777" w:rsidR="00E12EB6" w:rsidRPr="0090467F" w:rsidRDefault="00E12EB6" w:rsidP="00E12EB6">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C</w:t>
      </w:r>
      <w:r w:rsidRPr="0090467F">
        <w:rPr>
          <w:rFonts w:ascii="Arial" w:hAnsi="Arial" w:cs="Arial"/>
          <w:color w:val="000000" w:themeColor="text1"/>
          <w:sz w:val="20"/>
          <w:szCs w:val="20"/>
          <w:lang w:val="es-ES_tradnl"/>
        </w:rPr>
        <w:t>uando los contratos de prestación de servicios encubren relaciones de subordinación, el problema jurídico consiste en determinar la existencia de una posible relación laboral. En este sentido, la Agencia Nacional de Contratación Pública – Colombia Compra Eficiente no es el órgano autorizado para conceptuar sobre las implicaciones de los contratos realidad, tampoco para establecer el alcance de las sentencias de unificación del Consejo de Estado sobre conflictos en temas laborales. En otras palabras, esta entidad no puede establecer directrices al respecto, especialmente porque los lineamientos para evitar la configuración de daños antijurídicos en dicha materia corresponden a una entidad distinta.</w:t>
      </w:r>
    </w:p>
    <w:p w14:paraId="24C1825F" w14:textId="77777777" w:rsidR="00E12EB6" w:rsidRDefault="00E12EB6" w:rsidP="00E12EB6">
      <w:pPr>
        <w:jc w:val="both"/>
        <w:rPr>
          <w:rFonts w:ascii="Arial" w:hAnsi="Arial" w:cs="Arial"/>
          <w:color w:val="000000" w:themeColor="text1"/>
          <w:sz w:val="20"/>
          <w:szCs w:val="20"/>
          <w:lang w:val="es-ES_tradnl"/>
        </w:rPr>
      </w:pPr>
    </w:p>
    <w:p w14:paraId="2EB32E1C" w14:textId="77777777" w:rsidR="00E12EB6" w:rsidRDefault="00E12EB6" w:rsidP="00E12EB6">
      <w:pPr>
        <w:jc w:val="both"/>
        <w:rPr>
          <w:rFonts w:ascii="Arial" w:hAnsi="Arial" w:cs="Arial"/>
          <w:color w:val="000000" w:themeColor="text1"/>
          <w:sz w:val="20"/>
          <w:szCs w:val="20"/>
          <w:lang w:val="es-ES_tradnl"/>
        </w:rPr>
      </w:pPr>
      <w:r w:rsidRPr="0090467F">
        <w:rPr>
          <w:rFonts w:ascii="Arial" w:hAnsi="Arial" w:cs="Arial"/>
          <w:color w:val="000000" w:themeColor="text1"/>
          <w:sz w:val="20"/>
          <w:szCs w:val="20"/>
          <w:lang w:val="es-ES_tradnl"/>
        </w:rPr>
        <w:t xml:space="preserve">Por un lado, Colombia Compra Eficiente solo resuelve consultas sobre normas generales del sistema de compras y contratación pública. No obstante, si bien la jurisprudencia es una pauta de autoridad para entender el contenido de las leyes y los reglamentos, la sentencia de unificación del 9 de septiembre de 2021 fue expedida por la Sección Segunda del Consejo de Estado, la cual se encarga principalmente de resolver controversias judiciales en materia laboral, que se reitera, son ajenas a las competencias de la Agencia nacional de Contratación Pública. Por otra parte, es necesario tener en cuenta que la Directiva de la Procuraduría General de la República 001 del 4 de enero de 2021 dispuso «Exhortar a la Agencia Nacional de Defensa Jurídica del Estado, a continuar adelantando, en la órbita de la función preventiva judicial, actividades para evitar el contrato realidad con las </w:t>
      </w:r>
      <w:r w:rsidRPr="0090467F">
        <w:rPr>
          <w:rFonts w:ascii="Arial" w:hAnsi="Arial" w:cs="Arial"/>
          <w:color w:val="000000" w:themeColor="text1"/>
          <w:sz w:val="20"/>
          <w:szCs w:val="20"/>
          <w:lang w:val="es-ES_tradnl"/>
        </w:rPr>
        <w:lastRenderedPageBreak/>
        <w:t>entidades de la rama ejecutiva del nivel nacional y hacer pedagogía y brindar apoyo a las entidades territoriales».</w:t>
      </w:r>
    </w:p>
    <w:p w14:paraId="775C3184" w14:textId="64BA8CC9" w:rsidR="007D0CFB" w:rsidRPr="00E12EB6" w:rsidRDefault="007D0CFB" w:rsidP="00B2623D">
      <w:pPr>
        <w:jc w:val="both"/>
        <w:rPr>
          <w:rFonts w:ascii="Arial" w:hAnsi="Arial" w:cs="Arial"/>
          <w:color w:val="000000" w:themeColor="text1"/>
          <w:sz w:val="20"/>
          <w:szCs w:val="20"/>
          <w:lang w:val="es-ES_tradnl"/>
        </w:rPr>
      </w:pPr>
    </w:p>
    <w:p w14:paraId="4B7F9C7F" w14:textId="1A2CB8A1" w:rsidR="00EF3B2B" w:rsidRPr="007B12ED" w:rsidRDefault="00EF3B2B" w:rsidP="00EF3B2B">
      <w:pPr>
        <w:jc w:val="both"/>
        <w:rPr>
          <w:rFonts w:ascii="Arial" w:hAnsi="Arial" w:cs="Arial"/>
          <w:b/>
          <w:bCs/>
          <w:color w:val="000000" w:themeColor="text1"/>
          <w:sz w:val="22"/>
          <w:lang w:val="es-ES_tradnl"/>
        </w:rPr>
      </w:pPr>
      <w:r w:rsidRPr="007B12ED">
        <w:rPr>
          <w:rFonts w:ascii="Arial" w:hAnsi="Arial" w:cs="Arial"/>
          <w:b/>
          <w:bCs/>
          <w:color w:val="000000" w:themeColor="text1"/>
          <w:sz w:val="22"/>
          <w:lang w:val="es-ES_tradnl"/>
        </w:rPr>
        <w:t xml:space="preserve">CONTRATO DE PRESTACIÓN DE SERVICIOS PROFESIONALES – </w:t>
      </w:r>
      <w:r>
        <w:rPr>
          <w:rFonts w:ascii="Arial" w:hAnsi="Arial" w:cs="Arial"/>
          <w:b/>
          <w:bCs/>
          <w:color w:val="000000" w:themeColor="text1"/>
          <w:sz w:val="22"/>
          <w:lang w:val="es-ES_tradnl"/>
        </w:rPr>
        <w:t xml:space="preserve">Ley de Garantías Electorales – </w:t>
      </w:r>
      <w:r>
        <w:rPr>
          <w:rFonts w:ascii="Arial" w:eastAsia="Calibri" w:hAnsi="Arial" w:cs="Arial"/>
          <w:b/>
          <w:bCs/>
          <w:color w:val="000000" w:themeColor="text1"/>
          <w:sz w:val="22"/>
          <w:lang w:val="es-ES_tradnl"/>
        </w:rPr>
        <w:t>S</w:t>
      </w:r>
      <w:r w:rsidRPr="007B12ED">
        <w:rPr>
          <w:rFonts w:ascii="Arial" w:eastAsia="Calibri" w:hAnsi="Arial" w:cs="Arial"/>
          <w:b/>
          <w:bCs/>
          <w:color w:val="000000" w:themeColor="text1"/>
          <w:sz w:val="22"/>
        </w:rPr>
        <w:t>entencia</w:t>
      </w:r>
      <w:r>
        <w:rPr>
          <w:rFonts w:ascii="Arial" w:eastAsia="Calibri" w:hAnsi="Arial" w:cs="Arial"/>
          <w:b/>
          <w:bCs/>
          <w:color w:val="000000" w:themeColor="text1"/>
          <w:sz w:val="22"/>
        </w:rPr>
        <w:t xml:space="preserve"> de Unificación</w:t>
      </w:r>
      <w:r w:rsidR="00412420">
        <w:rPr>
          <w:rFonts w:ascii="Arial" w:eastAsia="Calibri" w:hAnsi="Arial" w:cs="Arial"/>
          <w:b/>
          <w:bCs/>
          <w:color w:val="000000" w:themeColor="text1"/>
          <w:sz w:val="22"/>
        </w:rPr>
        <w:t xml:space="preserve"> SUJ-025-CE-S2-2021 </w:t>
      </w:r>
    </w:p>
    <w:p w14:paraId="79A397DD" w14:textId="77777777" w:rsidR="00EF3B2B" w:rsidRPr="002F556D" w:rsidRDefault="00EF3B2B" w:rsidP="00EF3B2B">
      <w:pPr>
        <w:jc w:val="both"/>
        <w:rPr>
          <w:rFonts w:ascii="Arial" w:hAnsi="Arial" w:cs="Arial"/>
          <w:b/>
          <w:bCs/>
          <w:color w:val="000000" w:themeColor="text1"/>
          <w:sz w:val="22"/>
          <w:lang w:val="es-ES_tradnl"/>
        </w:rPr>
      </w:pPr>
    </w:p>
    <w:p w14:paraId="1405F06D" w14:textId="77777777" w:rsidR="00EF3B2B" w:rsidRDefault="00EF3B2B" w:rsidP="00EF3B2B">
      <w:pPr>
        <w:tabs>
          <w:tab w:val="left" w:pos="3374"/>
        </w:tabs>
        <w:jc w:val="both"/>
        <w:rPr>
          <w:rFonts w:ascii="Arial" w:hAnsi="Arial" w:cs="Arial"/>
          <w:color w:val="000000" w:themeColor="text1"/>
          <w:sz w:val="20"/>
          <w:szCs w:val="20"/>
          <w:lang w:val="es-ES_tradnl"/>
        </w:rPr>
      </w:pPr>
      <w:r w:rsidRPr="00D90D6C">
        <w:rPr>
          <w:rFonts w:ascii="Arial" w:hAnsi="Arial" w:cs="Arial"/>
          <w:color w:val="000000" w:themeColor="text1"/>
          <w:sz w:val="20"/>
          <w:szCs w:val="20"/>
          <w:lang w:val="es-ES_tradnl"/>
        </w:rPr>
        <w:t>Es necesario anotar que la sentencia de unificación no modifica el alcance de las prohibiciones de la Ley 996 de 2005. Por ello, las prohibiciones contempladas en dicha ley tampoco condicionan las reglas de unificación de la sentencia, pues son dos temas independientes. En consecuencia, con la asesoría de sus equipos jurídicos, corresponde a las entidades determinar de manera autónoma la viabilidad de suscribir contratos después de la vigencia de la Ley de Garantías.</w:t>
      </w:r>
    </w:p>
    <w:p w14:paraId="27970BFF" w14:textId="77777777" w:rsidR="007B12ED" w:rsidRDefault="007B12ED" w:rsidP="00B2623D">
      <w:pPr>
        <w:tabs>
          <w:tab w:val="left" w:pos="3374"/>
        </w:tabs>
        <w:jc w:val="both"/>
        <w:rPr>
          <w:rFonts w:ascii="Arial" w:hAnsi="Arial" w:cs="Arial"/>
          <w:color w:val="000000" w:themeColor="text1"/>
          <w:sz w:val="20"/>
          <w:szCs w:val="20"/>
          <w:lang w:val="es-ES_tradnl"/>
        </w:rPr>
      </w:pPr>
    </w:p>
    <w:p w14:paraId="5BEE2D95" w14:textId="77777777" w:rsidR="007B12ED" w:rsidRDefault="007B12ED" w:rsidP="00B2623D">
      <w:pPr>
        <w:tabs>
          <w:tab w:val="left" w:pos="3374"/>
        </w:tabs>
        <w:rPr>
          <w:rFonts w:ascii="Arial" w:hAnsi="Arial" w:cs="Arial"/>
          <w:color w:val="000000" w:themeColor="text1"/>
          <w:sz w:val="20"/>
          <w:szCs w:val="20"/>
          <w:lang w:val="es-ES_tradnl"/>
        </w:rPr>
      </w:pPr>
    </w:p>
    <w:p w14:paraId="4837E5E3" w14:textId="77777777" w:rsidR="007B12ED" w:rsidRDefault="007B12ED" w:rsidP="006439B5">
      <w:pPr>
        <w:tabs>
          <w:tab w:val="left" w:pos="3374"/>
        </w:tabs>
        <w:spacing w:line="276" w:lineRule="auto"/>
        <w:rPr>
          <w:rFonts w:ascii="Arial" w:hAnsi="Arial" w:cs="Arial"/>
          <w:color w:val="000000" w:themeColor="text1"/>
          <w:sz w:val="20"/>
          <w:szCs w:val="20"/>
          <w:lang w:val="es-ES_tradnl"/>
        </w:rPr>
      </w:pPr>
    </w:p>
    <w:p w14:paraId="41AE0487" w14:textId="79A8BC31" w:rsidR="007B12ED" w:rsidRDefault="007B12ED" w:rsidP="006439B5">
      <w:pPr>
        <w:tabs>
          <w:tab w:val="left" w:pos="3374"/>
        </w:tabs>
        <w:spacing w:line="276" w:lineRule="auto"/>
        <w:rPr>
          <w:rFonts w:ascii="Arial" w:hAnsi="Arial" w:cs="Arial"/>
          <w:color w:val="000000" w:themeColor="text1"/>
          <w:sz w:val="20"/>
          <w:szCs w:val="20"/>
          <w:lang w:val="es-ES_tradnl"/>
        </w:rPr>
      </w:pPr>
    </w:p>
    <w:p w14:paraId="59489C6F" w14:textId="51A6393F" w:rsidR="007B12ED" w:rsidRDefault="007B12ED" w:rsidP="006439B5">
      <w:pPr>
        <w:tabs>
          <w:tab w:val="left" w:pos="3374"/>
        </w:tabs>
        <w:spacing w:line="276" w:lineRule="auto"/>
        <w:rPr>
          <w:rFonts w:ascii="Arial" w:hAnsi="Arial" w:cs="Arial"/>
          <w:color w:val="000000" w:themeColor="text1"/>
          <w:sz w:val="20"/>
          <w:szCs w:val="20"/>
          <w:lang w:val="es-ES_tradnl"/>
        </w:rPr>
      </w:pPr>
    </w:p>
    <w:p w14:paraId="70EF0771" w14:textId="1CFD66ED" w:rsidR="007B12ED" w:rsidRDefault="007B12ED" w:rsidP="006439B5">
      <w:pPr>
        <w:tabs>
          <w:tab w:val="left" w:pos="3374"/>
        </w:tabs>
        <w:spacing w:line="276" w:lineRule="auto"/>
        <w:rPr>
          <w:rFonts w:ascii="Arial" w:hAnsi="Arial" w:cs="Arial"/>
          <w:color w:val="000000" w:themeColor="text1"/>
          <w:sz w:val="20"/>
          <w:szCs w:val="20"/>
          <w:lang w:val="es-ES_tradnl"/>
        </w:rPr>
      </w:pPr>
    </w:p>
    <w:p w14:paraId="406242BA" w14:textId="14A6AEFE" w:rsidR="007B12ED" w:rsidRDefault="007B12ED" w:rsidP="006439B5">
      <w:pPr>
        <w:tabs>
          <w:tab w:val="left" w:pos="3374"/>
        </w:tabs>
        <w:spacing w:line="276" w:lineRule="auto"/>
        <w:rPr>
          <w:rFonts w:ascii="Arial" w:hAnsi="Arial" w:cs="Arial"/>
          <w:color w:val="000000" w:themeColor="text1"/>
          <w:sz w:val="20"/>
          <w:szCs w:val="20"/>
          <w:lang w:val="es-ES_tradnl"/>
        </w:rPr>
      </w:pPr>
    </w:p>
    <w:p w14:paraId="5993FC72" w14:textId="1D4887C5" w:rsidR="007B12ED" w:rsidRDefault="007B12ED" w:rsidP="006439B5">
      <w:pPr>
        <w:tabs>
          <w:tab w:val="left" w:pos="3374"/>
        </w:tabs>
        <w:spacing w:line="276" w:lineRule="auto"/>
        <w:rPr>
          <w:rFonts w:ascii="Arial" w:hAnsi="Arial" w:cs="Arial"/>
          <w:color w:val="000000" w:themeColor="text1"/>
          <w:sz w:val="20"/>
          <w:szCs w:val="20"/>
          <w:lang w:val="es-ES_tradnl"/>
        </w:rPr>
      </w:pPr>
    </w:p>
    <w:p w14:paraId="028D48B1" w14:textId="012A63A7" w:rsidR="007B12ED" w:rsidRDefault="007B12ED" w:rsidP="006439B5">
      <w:pPr>
        <w:tabs>
          <w:tab w:val="left" w:pos="3374"/>
        </w:tabs>
        <w:spacing w:line="276" w:lineRule="auto"/>
        <w:rPr>
          <w:rFonts w:ascii="Arial" w:hAnsi="Arial" w:cs="Arial"/>
          <w:color w:val="000000" w:themeColor="text1"/>
          <w:sz w:val="20"/>
          <w:szCs w:val="20"/>
          <w:lang w:val="es-ES_tradnl"/>
        </w:rPr>
      </w:pPr>
    </w:p>
    <w:p w14:paraId="523DBDBC" w14:textId="25A4AB63" w:rsidR="007B12ED" w:rsidRDefault="007B12ED" w:rsidP="006439B5">
      <w:pPr>
        <w:tabs>
          <w:tab w:val="left" w:pos="3374"/>
        </w:tabs>
        <w:spacing w:line="276" w:lineRule="auto"/>
        <w:rPr>
          <w:rFonts w:ascii="Arial" w:hAnsi="Arial" w:cs="Arial"/>
          <w:color w:val="000000" w:themeColor="text1"/>
          <w:sz w:val="20"/>
          <w:szCs w:val="20"/>
          <w:lang w:val="es-ES_tradnl"/>
        </w:rPr>
      </w:pPr>
    </w:p>
    <w:p w14:paraId="394FB062" w14:textId="412E7B04" w:rsidR="007B12ED" w:rsidRDefault="007B12ED" w:rsidP="006439B5">
      <w:pPr>
        <w:tabs>
          <w:tab w:val="left" w:pos="3374"/>
        </w:tabs>
        <w:spacing w:line="276" w:lineRule="auto"/>
        <w:rPr>
          <w:rFonts w:ascii="Arial" w:hAnsi="Arial" w:cs="Arial"/>
          <w:color w:val="000000" w:themeColor="text1"/>
          <w:sz w:val="20"/>
          <w:szCs w:val="20"/>
          <w:lang w:val="es-ES_tradnl"/>
        </w:rPr>
      </w:pPr>
    </w:p>
    <w:p w14:paraId="2F321302" w14:textId="2F10034D" w:rsidR="007B12ED" w:rsidRDefault="007B12ED" w:rsidP="006439B5">
      <w:pPr>
        <w:tabs>
          <w:tab w:val="left" w:pos="3374"/>
        </w:tabs>
        <w:spacing w:line="276" w:lineRule="auto"/>
        <w:rPr>
          <w:rFonts w:ascii="Arial" w:hAnsi="Arial" w:cs="Arial"/>
          <w:color w:val="000000" w:themeColor="text1"/>
          <w:sz w:val="20"/>
          <w:szCs w:val="20"/>
          <w:lang w:val="es-ES_tradnl"/>
        </w:rPr>
      </w:pPr>
    </w:p>
    <w:p w14:paraId="145B7711" w14:textId="13F395B4" w:rsidR="007B12ED" w:rsidRDefault="007B12ED" w:rsidP="006439B5">
      <w:pPr>
        <w:tabs>
          <w:tab w:val="left" w:pos="3374"/>
        </w:tabs>
        <w:spacing w:line="276" w:lineRule="auto"/>
        <w:rPr>
          <w:rFonts w:ascii="Arial" w:hAnsi="Arial" w:cs="Arial"/>
          <w:color w:val="000000" w:themeColor="text1"/>
          <w:sz w:val="20"/>
          <w:szCs w:val="20"/>
          <w:lang w:val="es-ES_tradnl"/>
        </w:rPr>
      </w:pPr>
    </w:p>
    <w:p w14:paraId="02C2DBA8" w14:textId="08717787" w:rsidR="007B12ED" w:rsidRDefault="007B12ED" w:rsidP="006439B5">
      <w:pPr>
        <w:tabs>
          <w:tab w:val="left" w:pos="3374"/>
        </w:tabs>
        <w:spacing w:line="276" w:lineRule="auto"/>
        <w:rPr>
          <w:rFonts w:ascii="Arial" w:hAnsi="Arial" w:cs="Arial"/>
          <w:color w:val="000000" w:themeColor="text1"/>
          <w:sz w:val="20"/>
          <w:szCs w:val="20"/>
          <w:lang w:val="es-ES_tradnl"/>
        </w:rPr>
      </w:pPr>
    </w:p>
    <w:p w14:paraId="04033211" w14:textId="09A46D3E" w:rsidR="007B12ED" w:rsidRDefault="007B12ED" w:rsidP="006439B5">
      <w:pPr>
        <w:tabs>
          <w:tab w:val="left" w:pos="3374"/>
        </w:tabs>
        <w:spacing w:line="276" w:lineRule="auto"/>
        <w:rPr>
          <w:rFonts w:ascii="Arial" w:hAnsi="Arial" w:cs="Arial"/>
          <w:color w:val="000000" w:themeColor="text1"/>
          <w:sz w:val="20"/>
          <w:szCs w:val="20"/>
          <w:lang w:val="es-ES_tradnl"/>
        </w:rPr>
      </w:pPr>
    </w:p>
    <w:p w14:paraId="03FF9B27" w14:textId="7FEFD982" w:rsidR="007B12ED" w:rsidRDefault="007B12ED" w:rsidP="006439B5">
      <w:pPr>
        <w:tabs>
          <w:tab w:val="left" w:pos="3374"/>
        </w:tabs>
        <w:spacing w:line="276" w:lineRule="auto"/>
        <w:rPr>
          <w:rFonts w:ascii="Arial" w:hAnsi="Arial" w:cs="Arial"/>
          <w:color w:val="000000" w:themeColor="text1"/>
          <w:sz w:val="20"/>
          <w:szCs w:val="20"/>
          <w:lang w:val="es-ES_tradnl"/>
        </w:rPr>
      </w:pPr>
    </w:p>
    <w:p w14:paraId="2F784392" w14:textId="33C507D7" w:rsidR="007B12ED" w:rsidRDefault="007B12ED" w:rsidP="006439B5">
      <w:pPr>
        <w:tabs>
          <w:tab w:val="left" w:pos="3374"/>
        </w:tabs>
        <w:spacing w:line="276" w:lineRule="auto"/>
        <w:rPr>
          <w:rFonts w:ascii="Arial" w:hAnsi="Arial" w:cs="Arial"/>
          <w:color w:val="000000" w:themeColor="text1"/>
          <w:sz w:val="20"/>
          <w:szCs w:val="20"/>
          <w:lang w:val="es-ES_tradnl"/>
        </w:rPr>
      </w:pPr>
    </w:p>
    <w:p w14:paraId="28CA87BE" w14:textId="7CC6462F" w:rsidR="007B12ED" w:rsidRDefault="007B12ED" w:rsidP="006439B5">
      <w:pPr>
        <w:tabs>
          <w:tab w:val="left" w:pos="3374"/>
        </w:tabs>
        <w:spacing w:line="276" w:lineRule="auto"/>
        <w:rPr>
          <w:rFonts w:ascii="Arial" w:hAnsi="Arial" w:cs="Arial"/>
          <w:color w:val="000000" w:themeColor="text1"/>
          <w:sz w:val="20"/>
          <w:szCs w:val="20"/>
          <w:lang w:val="es-ES_tradnl"/>
        </w:rPr>
      </w:pPr>
    </w:p>
    <w:p w14:paraId="5D7F61D3" w14:textId="7AD8B317" w:rsidR="007B12ED" w:rsidRDefault="007B12ED" w:rsidP="006439B5">
      <w:pPr>
        <w:tabs>
          <w:tab w:val="left" w:pos="3374"/>
        </w:tabs>
        <w:spacing w:line="276" w:lineRule="auto"/>
        <w:rPr>
          <w:rFonts w:ascii="Arial" w:hAnsi="Arial" w:cs="Arial"/>
          <w:color w:val="000000" w:themeColor="text1"/>
          <w:sz w:val="20"/>
          <w:szCs w:val="20"/>
          <w:lang w:val="es-ES_tradnl"/>
        </w:rPr>
      </w:pPr>
    </w:p>
    <w:p w14:paraId="665B7895" w14:textId="5E2DD673" w:rsidR="007B12ED" w:rsidRDefault="007B12ED" w:rsidP="006439B5">
      <w:pPr>
        <w:tabs>
          <w:tab w:val="left" w:pos="3374"/>
        </w:tabs>
        <w:spacing w:line="276" w:lineRule="auto"/>
        <w:rPr>
          <w:rFonts w:ascii="Arial" w:hAnsi="Arial" w:cs="Arial"/>
          <w:color w:val="000000" w:themeColor="text1"/>
          <w:sz w:val="20"/>
          <w:szCs w:val="20"/>
          <w:lang w:val="es-ES_tradnl"/>
        </w:rPr>
      </w:pPr>
    </w:p>
    <w:p w14:paraId="1F88F051" w14:textId="63781489" w:rsidR="007B12ED" w:rsidRDefault="007B12ED" w:rsidP="006439B5">
      <w:pPr>
        <w:tabs>
          <w:tab w:val="left" w:pos="3374"/>
        </w:tabs>
        <w:spacing w:line="276" w:lineRule="auto"/>
        <w:rPr>
          <w:rFonts w:ascii="Arial" w:hAnsi="Arial" w:cs="Arial"/>
          <w:color w:val="000000" w:themeColor="text1"/>
          <w:sz w:val="20"/>
          <w:szCs w:val="20"/>
          <w:lang w:val="es-ES_tradnl"/>
        </w:rPr>
      </w:pPr>
    </w:p>
    <w:p w14:paraId="10B8C60E" w14:textId="1B92CB59" w:rsidR="007B12ED" w:rsidRDefault="007B12ED" w:rsidP="006439B5">
      <w:pPr>
        <w:tabs>
          <w:tab w:val="left" w:pos="3374"/>
        </w:tabs>
        <w:spacing w:line="276" w:lineRule="auto"/>
        <w:rPr>
          <w:rFonts w:ascii="Arial" w:hAnsi="Arial" w:cs="Arial"/>
          <w:color w:val="000000" w:themeColor="text1"/>
          <w:sz w:val="20"/>
          <w:szCs w:val="20"/>
          <w:lang w:val="es-ES_tradnl"/>
        </w:rPr>
      </w:pPr>
    </w:p>
    <w:p w14:paraId="698FDB03" w14:textId="77777777" w:rsidR="007B12ED" w:rsidRDefault="007B12ED" w:rsidP="006439B5">
      <w:pPr>
        <w:tabs>
          <w:tab w:val="left" w:pos="3374"/>
        </w:tabs>
        <w:spacing w:line="276" w:lineRule="auto"/>
        <w:rPr>
          <w:rFonts w:ascii="Arial" w:hAnsi="Arial" w:cs="Arial"/>
          <w:color w:val="000000" w:themeColor="text1"/>
          <w:sz w:val="20"/>
          <w:szCs w:val="20"/>
          <w:lang w:val="es-ES_tradnl"/>
        </w:rPr>
      </w:pPr>
    </w:p>
    <w:p w14:paraId="650DDFCA" w14:textId="77777777" w:rsidR="007B12ED" w:rsidRDefault="007B12ED" w:rsidP="006439B5">
      <w:pPr>
        <w:tabs>
          <w:tab w:val="left" w:pos="3374"/>
        </w:tabs>
        <w:spacing w:line="276" w:lineRule="auto"/>
        <w:rPr>
          <w:rFonts w:ascii="Arial" w:hAnsi="Arial" w:cs="Arial"/>
          <w:color w:val="000000" w:themeColor="text1"/>
          <w:sz w:val="20"/>
          <w:szCs w:val="20"/>
          <w:lang w:val="es-ES_tradnl"/>
        </w:rPr>
      </w:pPr>
    </w:p>
    <w:p w14:paraId="5A9B0B71" w14:textId="77777777" w:rsidR="007B12ED" w:rsidRDefault="007B12ED" w:rsidP="006439B5">
      <w:pPr>
        <w:tabs>
          <w:tab w:val="left" w:pos="3374"/>
        </w:tabs>
        <w:spacing w:line="276" w:lineRule="auto"/>
        <w:rPr>
          <w:rFonts w:ascii="Arial" w:hAnsi="Arial" w:cs="Arial"/>
          <w:color w:val="000000" w:themeColor="text1"/>
          <w:sz w:val="20"/>
          <w:szCs w:val="20"/>
          <w:lang w:val="es-ES_tradnl"/>
        </w:rPr>
      </w:pPr>
    </w:p>
    <w:p w14:paraId="32687208" w14:textId="77777777" w:rsidR="007B12ED" w:rsidRDefault="007B12ED" w:rsidP="006439B5">
      <w:pPr>
        <w:tabs>
          <w:tab w:val="left" w:pos="3374"/>
        </w:tabs>
        <w:spacing w:line="276" w:lineRule="auto"/>
        <w:rPr>
          <w:rFonts w:ascii="Arial" w:hAnsi="Arial" w:cs="Arial"/>
          <w:color w:val="000000" w:themeColor="text1"/>
          <w:sz w:val="20"/>
          <w:szCs w:val="20"/>
          <w:lang w:val="es-ES_tradnl"/>
        </w:rPr>
      </w:pPr>
    </w:p>
    <w:p w14:paraId="441D44B6" w14:textId="5A40D05C" w:rsidR="007B12ED" w:rsidRDefault="007B12ED" w:rsidP="006439B5">
      <w:pPr>
        <w:tabs>
          <w:tab w:val="left" w:pos="3374"/>
        </w:tabs>
        <w:spacing w:line="276" w:lineRule="auto"/>
        <w:rPr>
          <w:rFonts w:ascii="Arial" w:hAnsi="Arial" w:cs="Arial"/>
          <w:color w:val="000000" w:themeColor="text1"/>
          <w:sz w:val="20"/>
          <w:szCs w:val="20"/>
          <w:lang w:val="es-ES_tradnl"/>
        </w:rPr>
      </w:pPr>
    </w:p>
    <w:p w14:paraId="038637E9" w14:textId="77777777" w:rsidR="00EF3B2B" w:rsidRDefault="00EF3B2B" w:rsidP="006439B5">
      <w:pPr>
        <w:tabs>
          <w:tab w:val="left" w:pos="3374"/>
        </w:tabs>
        <w:spacing w:line="276" w:lineRule="auto"/>
        <w:rPr>
          <w:rFonts w:ascii="Arial" w:hAnsi="Arial" w:cs="Arial"/>
          <w:color w:val="000000" w:themeColor="text1"/>
          <w:sz w:val="20"/>
          <w:szCs w:val="20"/>
          <w:lang w:val="es-ES_tradnl"/>
        </w:rPr>
      </w:pPr>
    </w:p>
    <w:p w14:paraId="41D7954B" w14:textId="77777777" w:rsidR="007B12ED" w:rsidRDefault="007B12ED" w:rsidP="006439B5">
      <w:pPr>
        <w:tabs>
          <w:tab w:val="left" w:pos="3374"/>
        </w:tabs>
        <w:spacing w:line="276" w:lineRule="auto"/>
        <w:rPr>
          <w:rFonts w:ascii="Arial" w:hAnsi="Arial" w:cs="Arial"/>
          <w:color w:val="000000" w:themeColor="text1"/>
          <w:sz w:val="20"/>
          <w:szCs w:val="20"/>
          <w:lang w:val="es-ES_tradnl"/>
        </w:rPr>
      </w:pPr>
    </w:p>
    <w:p w14:paraId="0CECB0C1" w14:textId="4ECF6E1E" w:rsidR="007B12ED" w:rsidRDefault="007B12ED" w:rsidP="006439B5">
      <w:pPr>
        <w:tabs>
          <w:tab w:val="left" w:pos="3374"/>
        </w:tabs>
        <w:spacing w:line="276" w:lineRule="auto"/>
        <w:rPr>
          <w:rFonts w:ascii="Arial" w:hAnsi="Arial" w:cs="Arial"/>
          <w:color w:val="000000" w:themeColor="text1"/>
          <w:sz w:val="20"/>
          <w:szCs w:val="20"/>
          <w:lang w:val="es-ES_tradnl"/>
        </w:rPr>
      </w:pPr>
    </w:p>
    <w:p w14:paraId="06C04261" w14:textId="18BF2FAC" w:rsidR="00B2623D" w:rsidRDefault="00B2623D" w:rsidP="006439B5">
      <w:pPr>
        <w:tabs>
          <w:tab w:val="left" w:pos="3374"/>
        </w:tabs>
        <w:spacing w:line="276" w:lineRule="auto"/>
        <w:rPr>
          <w:rFonts w:ascii="Arial" w:hAnsi="Arial" w:cs="Arial"/>
          <w:color w:val="000000" w:themeColor="text1"/>
          <w:sz w:val="20"/>
          <w:szCs w:val="20"/>
          <w:lang w:val="es-ES_tradnl"/>
        </w:rPr>
      </w:pPr>
    </w:p>
    <w:p w14:paraId="7994A84E" w14:textId="77777777" w:rsidR="00B2623D" w:rsidRDefault="00B2623D" w:rsidP="006439B5">
      <w:pPr>
        <w:tabs>
          <w:tab w:val="left" w:pos="3374"/>
        </w:tabs>
        <w:spacing w:line="276" w:lineRule="auto"/>
        <w:rPr>
          <w:rFonts w:ascii="Arial" w:hAnsi="Arial" w:cs="Arial"/>
          <w:color w:val="000000" w:themeColor="text1"/>
          <w:sz w:val="20"/>
          <w:szCs w:val="20"/>
          <w:lang w:val="es-ES_tradnl"/>
        </w:rPr>
      </w:pPr>
    </w:p>
    <w:p w14:paraId="5A186BBC" w14:textId="77777777" w:rsidR="007B12ED" w:rsidRDefault="007B12ED" w:rsidP="006439B5">
      <w:pPr>
        <w:tabs>
          <w:tab w:val="left" w:pos="3374"/>
        </w:tabs>
        <w:spacing w:line="276" w:lineRule="auto"/>
        <w:rPr>
          <w:rFonts w:ascii="Arial" w:hAnsi="Arial" w:cs="Arial"/>
          <w:color w:val="000000" w:themeColor="text1"/>
          <w:sz w:val="20"/>
          <w:szCs w:val="20"/>
          <w:lang w:val="es-ES_tradnl"/>
        </w:rPr>
      </w:pPr>
    </w:p>
    <w:p w14:paraId="29E2B78F" w14:textId="1CDC3A86" w:rsidR="007B12ED" w:rsidRDefault="00412420" w:rsidP="006439B5">
      <w:pPr>
        <w:tabs>
          <w:tab w:val="left" w:pos="3374"/>
        </w:tabs>
        <w:spacing w:line="276" w:lineRule="auto"/>
        <w:rPr>
          <w:rFonts w:ascii="Arial" w:hAnsi="Arial" w:cs="Arial"/>
          <w:color w:val="000000" w:themeColor="text1"/>
          <w:sz w:val="20"/>
          <w:szCs w:val="20"/>
          <w:lang w:val="es-ES_tradnl"/>
        </w:rPr>
      </w:pPr>
      <w:r>
        <w:rPr>
          <w:rFonts w:ascii="_Ã$_ò" w:hAnsi="_Ã$_ò" w:cs="_Ã$_ò"/>
          <w:noProof/>
          <w:color w:val="4E4D4D"/>
          <w:sz w:val="22"/>
          <w:lang w:val="es-CO" w:eastAsia="es-CO"/>
        </w:rPr>
        <w:lastRenderedPageBreak/>
        <w:t xml:space="preserve">                                                                                     </w:t>
      </w:r>
      <w:r w:rsidRPr="00795233">
        <w:rPr>
          <w:rFonts w:ascii="_Ã$_ò" w:hAnsi="_Ã$_ò" w:cs="_Ã$_ò"/>
          <w:noProof/>
          <w:color w:val="4E4D4D"/>
          <w:sz w:val="22"/>
          <w:lang w:val="es-CO" w:eastAsia="es-CO"/>
        </w:rPr>
        <w:drawing>
          <wp:inline distT="0" distB="0" distL="0" distR="0" wp14:anchorId="6C303638" wp14:editId="109D0240">
            <wp:extent cx="2735171" cy="853440"/>
            <wp:effectExtent l="0" t="0" r="825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4362" cy="856308"/>
                    </a:xfrm>
                    <a:prstGeom prst="rect">
                      <a:avLst/>
                    </a:prstGeom>
                  </pic:spPr>
                </pic:pic>
              </a:graphicData>
            </a:graphic>
          </wp:inline>
        </w:drawing>
      </w:r>
    </w:p>
    <w:p w14:paraId="40FA7B33" w14:textId="77777777" w:rsidR="009F159E" w:rsidRDefault="009F159E" w:rsidP="006439B5">
      <w:pPr>
        <w:tabs>
          <w:tab w:val="left" w:pos="3374"/>
        </w:tabs>
        <w:spacing w:line="276" w:lineRule="auto"/>
        <w:rPr>
          <w:rFonts w:ascii="Arial" w:eastAsia="Calibri" w:hAnsi="Arial" w:cs="Arial"/>
          <w:color w:val="000000" w:themeColor="text1"/>
          <w:sz w:val="22"/>
          <w:lang w:val="es-ES_tradnl"/>
        </w:rPr>
      </w:pPr>
    </w:p>
    <w:p w14:paraId="1867A2F0" w14:textId="1EF9A6B1" w:rsidR="009F159E" w:rsidRDefault="009F159E" w:rsidP="006439B5">
      <w:pPr>
        <w:tabs>
          <w:tab w:val="left" w:pos="3374"/>
        </w:tabs>
        <w:spacing w:line="276" w:lineRule="auto"/>
        <w:rPr>
          <w:rFonts w:ascii="Arial" w:eastAsia="Calibri" w:hAnsi="Arial" w:cs="Arial"/>
          <w:color w:val="000000" w:themeColor="text1"/>
          <w:sz w:val="22"/>
          <w:lang w:val="es-ES_tradnl"/>
        </w:rPr>
      </w:pPr>
    </w:p>
    <w:p w14:paraId="3E4508E6" w14:textId="77777777" w:rsidR="00412420" w:rsidRDefault="00412420" w:rsidP="006439B5">
      <w:pPr>
        <w:tabs>
          <w:tab w:val="left" w:pos="3374"/>
        </w:tabs>
        <w:spacing w:line="276" w:lineRule="auto"/>
        <w:rPr>
          <w:rFonts w:ascii="_Ã$_ò" w:hAnsi="_Ã$_ò" w:cs="_Ã$_ò"/>
          <w:color w:val="4E4D4D"/>
          <w:sz w:val="22"/>
          <w:lang w:val="es-ES_tradnl"/>
        </w:rPr>
      </w:pPr>
      <w:r>
        <w:rPr>
          <w:rFonts w:ascii="_Ã$_ò" w:hAnsi="_Ã$_ò" w:cs="_Ã$_ò"/>
          <w:noProof/>
          <w:color w:val="4E4D4D"/>
          <w:sz w:val="22"/>
          <w:lang w:val="es-CO" w:eastAsia="es-CO"/>
        </w:rPr>
        <w:t xml:space="preserve">                                                                                                                                           </w:t>
      </w:r>
    </w:p>
    <w:p w14:paraId="711DC748" w14:textId="797323A9" w:rsidR="009F159E" w:rsidRPr="00412420" w:rsidRDefault="00412420" w:rsidP="006439B5">
      <w:pPr>
        <w:tabs>
          <w:tab w:val="left" w:pos="3374"/>
        </w:tabs>
        <w:spacing w:line="276" w:lineRule="auto"/>
        <w:rPr>
          <w:rFonts w:ascii="_Ã$_ò" w:hAnsi="_Ã$_ò" w:cs="_Ã$_ò"/>
          <w:color w:val="4E4D4D"/>
          <w:sz w:val="22"/>
          <w:lang w:val="es-ES_tradnl"/>
        </w:rPr>
      </w:pPr>
      <w:r w:rsidRPr="00412420">
        <w:rPr>
          <w:rFonts w:ascii="Arial" w:eastAsia="Calibri" w:hAnsi="Arial" w:cs="Arial"/>
          <w:color w:val="000000" w:themeColor="text1"/>
          <w:sz w:val="22"/>
          <w:lang w:val="es-ES_tradnl"/>
        </w:rPr>
        <w:t>Bogotá D.C.,</w:t>
      </w:r>
      <w:r>
        <w:rPr>
          <w:rFonts w:ascii="Arial" w:eastAsia="Calibri" w:hAnsi="Arial" w:cs="Arial"/>
          <w:color w:val="000000" w:themeColor="text1"/>
          <w:sz w:val="22"/>
          <w:lang w:val="es-ES_tradnl"/>
        </w:rPr>
        <w:t xml:space="preserve"> </w:t>
      </w:r>
      <w:r>
        <w:rPr>
          <w:rFonts w:ascii="Arial" w:hAnsi="Arial" w:cs="Arial"/>
          <w:color w:val="4E4D4D"/>
          <w:sz w:val="22"/>
          <w:lang w:val="es-ES_tradnl"/>
        </w:rPr>
        <w:t>01 a</w:t>
      </w:r>
      <w:r w:rsidRPr="00412420">
        <w:rPr>
          <w:rFonts w:ascii="Arial" w:hAnsi="Arial" w:cs="Arial"/>
          <w:color w:val="4E4D4D"/>
          <w:sz w:val="22"/>
          <w:lang w:val="es-ES_tradnl"/>
        </w:rPr>
        <w:t>gosto 2022</w:t>
      </w:r>
      <w:r>
        <w:rPr>
          <w:rFonts w:ascii="_Ã$_ò" w:hAnsi="_Ã$_ò" w:cs="_Ã$_ò"/>
          <w:color w:val="4E4D4D"/>
          <w:sz w:val="22"/>
          <w:lang w:val="es-ES_tradnl"/>
        </w:rPr>
        <w:t xml:space="preserve">                                                       </w:t>
      </w:r>
    </w:p>
    <w:p w14:paraId="64D8401F" w14:textId="77777777" w:rsidR="009F159E" w:rsidRDefault="009F159E" w:rsidP="006439B5">
      <w:pPr>
        <w:tabs>
          <w:tab w:val="left" w:pos="3374"/>
        </w:tabs>
        <w:spacing w:line="276" w:lineRule="auto"/>
        <w:rPr>
          <w:rFonts w:ascii="Arial" w:eastAsia="Calibri" w:hAnsi="Arial" w:cs="Arial"/>
          <w:color w:val="000000" w:themeColor="text1"/>
          <w:sz w:val="22"/>
          <w:lang w:val="es-ES_tradnl"/>
        </w:rPr>
      </w:pPr>
    </w:p>
    <w:p w14:paraId="6663C85C" w14:textId="69C72873" w:rsidR="00D15F76" w:rsidRPr="002F556D" w:rsidRDefault="00D15F76" w:rsidP="006439B5">
      <w:pPr>
        <w:tabs>
          <w:tab w:val="left" w:pos="3374"/>
        </w:tabs>
        <w:spacing w:line="276" w:lineRule="auto"/>
        <w:rPr>
          <w:rFonts w:ascii="Arial" w:eastAsia="Calibri" w:hAnsi="Arial" w:cs="Arial"/>
          <w:color w:val="000000" w:themeColor="text1"/>
          <w:sz w:val="22"/>
          <w:lang w:val="es-ES_tradnl"/>
        </w:rPr>
      </w:pPr>
      <w:r w:rsidRPr="002F556D">
        <w:rPr>
          <w:rFonts w:ascii="Arial" w:eastAsia="Calibri" w:hAnsi="Arial" w:cs="Arial"/>
          <w:color w:val="000000" w:themeColor="text1"/>
          <w:sz w:val="22"/>
          <w:lang w:val="es-ES_tradnl"/>
        </w:rPr>
        <w:t>Señor</w:t>
      </w:r>
      <w:r w:rsidR="007E272E" w:rsidRPr="002F556D">
        <w:rPr>
          <w:rFonts w:ascii="Arial" w:eastAsia="Calibri" w:hAnsi="Arial" w:cs="Arial"/>
          <w:color w:val="000000" w:themeColor="text1"/>
          <w:sz w:val="22"/>
          <w:lang w:val="es-ES_tradnl"/>
        </w:rPr>
        <w:t>a</w:t>
      </w:r>
    </w:p>
    <w:p w14:paraId="207F4B29" w14:textId="731A7FCA" w:rsidR="00D15F76" w:rsidRPr="002F556D" w:rsidRDefault="008F1899" w:rsidP="00D15F76">
      <w:pPr>
        <w:rPr>
          <w:rFonts w:ascii="Arial" w:hAnsi="Arial" w:cs="Arial"/>
          <w:b/>
          <w:bCs/>
          <w:sz w:val="22"/>
        </w:rPr>
      </w:pPr>
      <w:r>
        <w:rPr>
          <w:rFonts w:ascii="Arial" w:hAnsi="Arial" w:cs="Arial"/>
          <w:b/>
          <w:bCs/>
          <w:sz w:val="22"/>
        </w:rPr>
        <w:t>Karen Cristina Oñate Gutiérrez</w:t>
      </w:r>
    </w:p>
    <w:p w14:paraId="598201B3" w14:textId="2B69EED2" w:rsidR="005038A2" w:rsidRPr="002F556D" w:rsidRDefault="008F1899" w:rsidP="00D15F76">
      <w:pPr>
        <w:rPr>
          <w:rFonts w:ascii="Arial" w:hAnsi="Arial" w:cs="Arial"/>
          <w:sz w:val="22"/>
        </w:rPr>
      </w:pPr>
      <w:r>
        <w:rPr>
          <w:rFonts w:ascii="Arial" w:hAnsi="Arial" w:cs="Arial"/>
          <w:sz w:val="22"/>
        </w:rPr>
        <w:t>La Paz Robles</w:t>
      </w:r>
      <w:r w:rsidR="009F159E">
        <w:rPr>
          <w:rFonts w:ascii="Arial" w:hAnsi="Arial" w:cs="Arial"/>
          <w:sz w:val="22"/>
        </w:rPr>
        <w:t xml:space="preserve">, </w:t>
      </w:r>
      <w:r>
        <w:rPr>
          <w:rFonts w:ascii="Arial" w:hAnsi="Arial" w:cs="Arial"/>
          <w:sz w:val="22"/>
        </w:rPr>
        <w:t>Cesar</w:t>
      </w:r>
    </w:p>
    <w:p w14:paraId="5BE6E738" w14:textId="27C16774" w:rsidR="005038A2" w:rsidRPr="002F556D" w:rsidRDefault="005038A2" w:rsidP="00D15F76">
      <w:pPr>
        <w:rPr>
          <w:rFonts w:ascii="Arial" w:hAnsi="Arial" w:cs="Arial"/>
          <w:sz w:val="22"/>
        </w:rPr>
      </w:pPr>
    </w:p>
    <w:p w14:paraId="41AA8ABB" w14:textId="77777777" w:rsidR="006F5E57" w:rsidRPr="002F556D" w:rsidRDefault="006F5E57" w:rsidP="00D15F76">
      <w:pPr>
        <w:rPr>
          <w:rFonts w:ascii="Arial" w:hAnsi="Arial" w:cs="Arial"/>
          <w:sz w:val="22"/>
        </w:rPr>
      </w:pPr>
    </w:p>
    <w:p w14:paraId="3031EABD" w14:textId="14EE62B2" w:rsidR="00D15F76" w:rsidRPr="002F556D" w:rsidRDefault="009F159E" w:rsidP="00C94F0B">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D15F76" w:rsidRPr="002F556D">
        <w:rPr>
          <w:rFonts w:ascii="Arial" w:eastAsia="Calibri" w:hAnsi="Arial" w:cs="Arial"/>
          <w:b/>
          <w:color w:val="000000" w:themeColor="text1"/>
          <w:sz w:val="22"/>
          <w:lang w:val="es-ES_tradnl"/>
        </w:rPr>
        <w:t xml:space="preserve">Concepto C </w:t>
      </w:r>
      <w:r w:rsidR="005038A2" w:rsidRPr="002F556D">
        <w:rPr>
          <w:rFonts w:ascii="Arial" w:eastAsia="Calibri" w:hAnsi="Arial" w:cs="Arial"/>
          <w:b/>
          <w:color w:val="000000" w:themeColor="text1"/>
          <w:sz w:val="22"/>
          <w:lang w:val="es-ES_tradnl"/>
        </w:rPr>
        <w:t>–</w:t>
      </w:r>
      <w:r w:rsidR="00D15F76" w:rsidRPr="002F556D">
        <w:rPr>
          <w:rFonts w:ascii="Arial" w:eastAsia="Calibri" w:hAnsi="Arial" w:cs="Arial"/>
          <w:b/>
          <w:color w:val="000000" w:themeColor="text1"/>
          <w:sz w:val="22"/>
          <w:lang w:val="es-ES_tradnl"/>
        </w:rPr>
        <w:t xml:space="preserve"> </w:t>
      </w:r>
      <w:r w:rsidR="00EC2659">
        <w:rPr>
          <w:rFonts w:ascii="Arial" w:eastAsia="Calibri" w:hAnsi="Arial" w:cs="Arial"/>
          <w:b/>
          <w:color w:val="000000" w:themeColor="text1"/>
          <w:sz w:val="22"/>
          <w:lang w:val="es-ES_tradnl"/>
        </w:rPr>
        <w:t>491</w:t>
      </w:r>
      <w:r w:rsidR="00B52BC4" w:rsidRPr="002F556D">
        <w:rPr>
          <w:rFonts w:ascii="Arial" w:eastAsia="Calibri" w:hAnsi="Arial" w:cs="Arial"/>
          <w:b/>
          <w:color w:val="000000" w:themeColor="text1"/>
          <w:sz w:val="22"/>
          <w:lang w:val="es-ES_tradnl"/>
        </w:rPr>
        <w:t xml:space="preserve"> de 2022</w:t>
      </w:r>
    </w:p>
    <w:p w14:paraId="58682605" w14:textId="77777777" w:rsidR="00D15F76" w:rsidRPr="002F556D" w:rsidRDefault="00D15F76" w:rsidP="00D15F76">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5F76" w:rsidRPr="002F556D" w14:paraId="5CD0D998" w14:textId="77777777" w:rsidTr="00B8410B">
        <w:tc>
          <w:tcPr>
            <w:tcW w:w="2689" w:type="dxa"/>
            <w:hideMark/>
          </w:tcPr>
          <w:p w14:paraId="2E8783D4" w14:textId="2EA73997" w:rsidR="00D15F76" w:rsidRPr="002F556D" w:rsidRDefault="00D15F76" w:rsidP="00B8410B">
            <w:pPr>
              <w:rPr>
                <w:rFonts w:ascii="Arial" w:eastAsia="Calibri" w:hAnsi="Arial" w:cs="Arial"/>
                <w:color w:val="000000" w:themeColor="text1"/>
                <w:sz w:val="22"/>
                <w:lang w:val="es-ES_tradnl"/>
              </w:rPr>
            </w:pPr>
            <w:r w:rsidRPr="002F556D">
              <w:rPr>
                <w:rFonts w:ascii="Arial" w:eastAsia="Calibri" w:hAnsi="Arial" w:cs="Arial"/>
                <w:b/>
                <w:color w:val="000000" w:themeColor="text1"/>
                <w:sz w:val="22"/>
                <w:lang w:val="es-ES_tradnl"/>
              </w:rPr>
              <w:t>Temas:</w:t>
            </w:r>
            <w:r w:rsidR="008A5525" w:rsidRPr="002F556D">
              <w:rPr>
                <w:rFonts w:ascii="Arial" w:eastAsia="Calibri" w:hAnsi="Arial" w:cs="Arial"/>
                <w:color w:val="000000" w:themeColor="text1"/>
                <w:sz w:val="22"/>
                <w:lang w:val="es-ES_tradnl"/>
              </w:rPr>
              <w:t xml:space="preserve">     </w:t>
            </w:r>
          </w:p>
          <w:p w14:paraId="1FD93914" w14:textId="68F509E2" w:rsidR="00D15F76" w:rsidRPr="002F556D" w:rsidRDefault="008A5525" w:rsidP="00B8410B">
            <w:pPr>
              <w:rPr>
                <w:rFonts w:ascii="Arial" w:eastAsia="Calibri" w:hAnsi="Arial" w:cs="Arial"/>
                <w:color w:val="000000" w:themeColor="text1"/>
                <w:sz w:val="22"/>
                <w:lang w:val="es-ES_tradnl"/>
              </w:rPr>
            </w:pPr>
            <w:r w:rsidRPr="002F556D">
              <w:rPr>
                <w:rFonts w:ascii="Arial" w:eastAsia="Calibri" w:hAnsi="Arial" w:cs="Arial"/>
                <w:color w:val="000000" w:themeColor="text1"/>
                <w:sz w:val="22"/>
                <w:lang w:val="es-ES_tradnl"/>
              </w:rPr>
              <w:t xml:space="preserve">             </w:t>
            </w:r>
          </w:p>
        </w:tc>
        <w:tc>
          <w:tcPr>
            <w:tcW w:w="6237" w:type="dxa"/>
            <w:hideMark/>
          </w:tcPr>
          <w:p w14:paraId="2F5B4E1F" w14:textId="49BF1348" w:rsidR="00D15F76" w:rsidRPr="002F556D" w:rsidRDefault="00D15F76" w:rsidP="00C94F0B">
            <w:pPr>
              <w:spacing w:after="120"/>
              <w:jc w:val="both"/>
              <w:rPr>
                <w:rFonts w:ascii="Arial" w:eastAsia="Calibri" w:hAnsi="Arial" w:cs="Arial"/>
                <w:color w:val="000000" w:themeColor="text1"/>
                <w:sz w:val="22"/>
                <w:lang w:val="es-ES_tradnl"/>
              </w:rPr>
            </w:pPr>
            <w:r w:rsidRPr="002F556D">
              <w:rPr>
                <w:rFonts w:ascii="Arial" w:hAnsi="Arial" w:cs="Arial"/>
                <w:color w:val="000000" w:themeColor="text1"/>
                <w:sz w:val="22"/>
                <w:lang w:val="es-ES_tradnl"/>
              </w:rPr>
              <w:t xml:space="preserve">CONTRATO DE PRESTACIÓN DE SERVICIOS ― Concepto ― </w:t>
            </w:r>
            <w:r w:rsidR="00FA1A1E" w:rsidRPr="002F556D">
              <w:rPr>
                <w:rFonts w:ascii="Arial" w:hAnsi="Arial" w:cs="Arial"/>
                <w:color w:val="000000" w:themeColor="text1"/>
                <w:sz w:val="22"/>
                <w:lang w:val="es-ES_tradnl"/>
              </w:rPr>
              <w:t>Características</w:t>
            </w:r>
            <w:r w:rsidR="00F87654" w:rsidRPr="002F556D">
              <w:rPr>
                <w:rFonts w:ascii="Arial" w:hAnsi="Arial" w:cs="Arial"/>
                <w:color w:val="000000" w:themeColor="text1"/>
                <w:sz w:val="22"/>
                <w:lang w:val="es-ES_tradnl"/>
              </w:rPr>
              <w:t xml:space="preserve"> generales</w:t>
            </w:r>
            <w:r w:rsidRPr="002F556D">
              <w:rPr>
                <w:rFonts w:ascii="Arial" w:hAnsi="Arial" w:cs="Arial"/>
                <w:color w:val="000000" w:themeColor="text1"/>
                <w:sz w:val="22"/>
                <w:lang w:val="es-ES_tradnl"/>
              </w:rPr>
              <w:t xml:space="preserve"> </w:t>
            </w:r>
            <w:r w:rsidR="00BE1516" w:rsidRPr="002F556D">
              <w:rPr>
                <w:rFonts w:ascii="Arial" w:hAnsi="Arial" w:cs="Arial"/>
                <w:color w:val="000000" w:themeColor="text1"/>
                <w:sz w:val="22"/>
                <w:lang w:val="es-ES_tradnl"/>
              </w:rPr>
              <w:t xml:space="preserve">/ </w:t>
            </w:r>
            <w:r w:rsidR="00E12EB6" w:rsidRPr="00E12EB6">
              <w:rPr>
                <w:rFonts w:ascii="Arial" w:hAnsi="Arial" w:cs="Arial"/>
                <w:color w:val="000000" w:themeColor="text1"/>
                <w:sz w:val="22"/>
                <w:lang w:val="es-ES_tradnl"/>
              </w:rPr>
              <w:t xml:space="preserve">CONTRATO DE PRESTACIÓN DE SERVICIOS – Relación Laboral – Competencia de Colombia Compra Eficiente </w:t>
            </w:r>
            <w:r w:rsidR="00E12EB6">
              <w:rPr>
                <w:rFonts w:ascii="Arial" w:hAnsi="Arial" w:cs="Arial"/>
                <w:color w:val="000000" w:themeColor="text1"/>
                <w:sz w:val="22"/>
                <w:lang w:val="es-ES_tradnl"/>
              </w:rPr>
              <w:t>/</w:t>
            </w:r>
            <w:r w:rsidR="007B12ED">
              <w:rPr>
                <w:rFonts w:ascii="Arial" w:hAnsi="Arial" w:cs="Arial"/>
                <w:color w:val="000000" w:themeColor="text1"/>
                <w:sz w:val="22"/>
                <w:lang w:val="es-ES_tradnl"/>
              </w:rPr>
              <w:t xml:space="preserve"> </w:t>
            </w:r>
            <w:r w:rsidR="00EF3B2B" w:rsidRPr="00EF3B2B">
              <w:rPr>
                <w:rFonts w:ascii="Arial" w:hAnsi="Arial" w:cs="Arial"/>
                <w:color w:val="000000" w:themeColor="text1"/>
                <w:sz w:val="22"/>
                <w:lang w:val="es-ES_tradnl"/>
              </w:rPr>
              <w:t>CONTRATO DE PRESTACIÓN DE SERVICIOS PROFESIONALES – Ley de Garantías Electorales – Sentencia de Unificación SUJ-025-CE-S2-2021  del Consejo de Estado de 9 de septiembre de 2021</w:t>
            </w:r>
          </w:p>
        </w:tc>
      </w:tr>
      <w:tr w:rsidR="00D15F76" w:rsidRPr="002F556D" w14:paraId="1A823911" w14:textId="77777777" w:rsidTr="00D0079D">
        <w:tc>
          <w:tcPr>
            <w:tcW w:w="2689" w:type="dxa"/>
            <w:shd w:val="clear" w:color="auto" w:fill="auto"/>
          </w:tcPr>
          <w:p w14:paraId="5338905B" w14:textId="3762B9F6" w:rsidR="00D15F76" w:rsidRPr="002F556D" w:rsidRDefault="00D15F76">
            <w:pPr>
              <w:rPr>
                <w:rFonts w:ascii="Arial" w:eastAsia="Calibri" w:hAnsi="Arial" w:cs="Arial"/>
                <w:b/>
                <w:color w:val="000000" w:themeColor="text1"/>
                <w:sz w:val="22"/>
                <w:lang w:val="es-ES_tradnl"/>
              </w:rPr>
            </w:pPr>
            <w:r w:rsidRPr="002F556D">
              <w:rPr>
                <w:rFonts w:ascii="Arial" w:eastAsia="Calibri" w:hAnsi="Arial" w:cs="Arial"/>
                <w:b/>
                <w:color w:val="000000" w:themeColor="text1"/>
                <w:sz w:val="22"/>
                <w:lang w:val="es-ES_tradnl"/>
              </w:rPr>
              <w:t>Radicación:</w:t>
            </w:r>
            <w:r w:rsidR="008A5525" w:rsidRPr="002F556D">
              <w:rPr>
                <w:rFonts w:ascii="Arial" w:eastAsia="Calibri" w:hAnsi="Arial" w:cs="Arial"/>
                <w:color w:val="000000" w:themeColor="text1"/>
                <w:sz w:val="22"/>
                <w:lang w:val="es-ES_tradnl"/>
              </w:rPr>
              <w:t xml:space="preserve">               </w:t>
            </w:r>
          </w:p>
        </w:tc>
        <w:tc>
          <w:tcPr>
            <w:tcW w:w="6237" w:type="dxa"/>
            <w:shd w:val="clear" w:color="auto" w:fill="auto"/>
          </w:tcPr>
          <w:p w14:paraId="6F0E8145" w14:textId="7170DF90" w:rsidR="00D15F76" w:rsidRPr="002F556D" w:rsidRDefault="00D15F76" w:rsidP="00E47691">
            <w:pPr>
              <w:widowControl w:val="0"/>
              <w:autoSpaceDE w:val="0"/>
              <w:autoSpaceDN w:val="0"/>
              <w:adjustRightInd w:val="0"/>
              <w:spacing w:line="300" w:lineRule="atLeast"/>
              <w:rPr>
                <w:rFonts w:ascii="Arial" w:eastAsia="Calibri" w:hAnsi="Arial" w:cs="Arial"/>
                <w:color w:val="000000" w:themeColor="text1"/>
                <w:sz w:val="22"/>
                <w:lang w:val="es-ES_tradnl"/>
              </w:rPr>
            </w:pPr>
            <w:r w:rsidRPr="002F556D">
              <w:rPr>
                <w:rFonts w:ascii="Arial" w:eastAsia="Calibri" w:hAnsi="Arial" w:cs="Arial"/>
                <w:color w:val="000000" w:themeColor="text1"/>
                <w:sz w:val="22"/>
                <w:lang w:val="es-ES_tradnl"/>
              </w:rPr>
              <w:t xml:space="preserve">Respuesta a consulta </w:t>
            </w:r>
            <w:r w:rsidR="00EC2659" w:rsidRPr="00EC2659">
              <w:rPr>
                <w:rFonts w:ascii="Arial" w:eastAsia="Calibri" w:hAnsi="Arial" w:cs="Arial"/>
                <w:color w:val="000000" w:themeColor="text1"/>
                <w:sz w:val="22"/>
                <w:lang w:val="es-ES_tradnl"/>
              </w:rPr>
              <w:t>P20220615005992</w:t>
            </w:r>
          </w:p>
        </w:tc>
      </w:tr>
    </w:tbl>
    <w:p w14:paraId="3CE9736D" w14:textId="77777777" w:rsidR="006F5E57" w:rsidRPr="002F556D" w:rsidRDefault="006F5E57">
      <w:pPr>
        <w:rPr>
          <w:rFonts w:ascii="Arial" w:eastAsia="Calibri" w:hAnsi="Arial" w:cs="Arial"/>
          <w:color w:val="000000" w:themeColor="text1"/>
          <w:sz w:val="22"/>
          <w:lang w:val="es-ES_tradnl"/>
        </w:rPr>
      </w:pPr>
    </w:p>
    <w:p w14:paraId="42D5C484" w14:textId="77777777" w:rsidR="006F5E57" w:rsidRPr="002F556D" w:rsidRDefault="006F5E57" w:rsidP="00D15F76">
      <w:pPr>
        <w:rPr>
          <w:rFonts w:ascii="Arial" w:eastAsia="Calibri" w:hAnsi="Arial" w:cs="Arial"/>
          <w:color w:val="000000" w:themeColor="text1"/>
          <w:sz w:val="22"/>
          <w:lang w:val="es-ES_tradnl"/>
        </w:rPr>
      </w:pPr>
    </w:p>
    <w:p w14:paraId="10D4048A" w14:textId="123D8CBA" w:rsidR="00D15F76" w:rsidRPr="002F556D" w:rsidRDefault="00D15F76" w:rsidP="00D15F76">
      <w:pPr>
        <w:rPr>
          <w:rFonts w:ascii="Arial" w:eastAsia="Calibri" w:hAnsi="Arial" w:cs="Arial"/>
          <w:color w:val="000000" w:themeColor="text1"/>
          <w:sz w:val="22"/>
          <w:lang w:val="es-ES_tradnl"/>
        </w:rPr>
      </w:pPr>
      <w:r w:rsidRPr="002F556D">
        <w:rPr>
          <w:rFonts w:ascii="Arial" w:eastAsia="Calibri" w:hAnsi="Arial" w:cs="Arial"/>
          <w:color w:val="000000" w:themeColor="text1"/>
          <w:sz w:val="22"/>
          <w:lang w:val="es-ES_tradnl"/>
        </w:rPr>
        <w:t>Estimad</w:t>
      </w:r>
      <w:r w:rsidR="007E272E" w:rsidRPr="002F556D">
        <w:rPr>
          <w:rFonts w:ascii="Arial" w:eastAsia="Calibri" w:hAnsi="Arial" w:cs="Arial"/>
          <w:color w:val="000000" w:themeColor="text1"/>
          <w:sz w:val="22"/>
          <w:lang w:val="es-ES_tradnl"/>
        </w:rPr>
        <w:t xml:space="preserve">a </w:t>
      </w:r>
      <w:r w:rsidRPr="002F556D">
        <w:rPr>
          <w:rFonts w:ascii="Arial" w:eastAsia="Calibri" w:hAnsi="Arial" w:cs="Arial"/>
          <w:color w:val="000000" w:themeColor="text1"/>
          <w:sz w:val="22"/>
          <w:lang w:val="es-ES_tradnl"/>
        </w:rPr>
        <w:t>señor</w:t>
      </w:r>
      <w:r w:rsidR="007E272E" w:rsidRPr="002F556D">
        <w:rPr>
          <w:rFonts w:ascii="Arial" w:eastAsia="Calibri" w:hAnsi="Arial" w:cs="Arial"/>
          <w:color w:val="000000" w:themeColor="text1"/>
          <w:sz w:val="22"/>
          <w:lang w:val="es-ES_tradnl"/>
        </w:rPr>
        <w:t xml:space="preserve">a </w:t>
      </w:r>
      <w:r w:rsidR="003E4773">
        <w:rPr>
          <w:rFonts w:ascii="Arial" w:eastAsia="Calibri" w:hAnsi="Arial" w:cs="Arial"/>
          <w:color w:val="000000" w:themeColor="text1"/>
          <w:sz w:val="22"/>
          <w:lang w:val="es-ES_tradnl"/>
        </w:rPr>
        <w:t>Oñate</w:t>
      </w:r>
      <w:r w:rsidR="009F159E">
        <w:rPr>
          <w:rFonts w:ascii="Arial" w:eastAsia="Calibri" w:hAnsi="Arial" w:cs="Arial"/>
          <w:color w:val="000000" w:themeColor="text1"/>
          <w:sz w:val="22"/>
          <w:lang w:val="es-ES_tradnl"/>
        </w:rPr>
        <w:t>:</w:t>
      </w:r>
    </w:p>
    <w:p w14:paraId="30BEE0ED" w14:textId="77777777" w:rsidR="00D15F76" w:rsidRPr="002F556D" w:rsidRDefault="00D15F76" w:rsidP="00D15F76">
      <w:pPr>
        <w:rPr>
          <w:rFonts w:ascii="Arial" w:eastAsia="Calibri" w:hAnsi="Arial" w:cs="Arial"/>
          <w:color w:val="000000" w:themeColor="text1"/>
          <w:sz w:val="22"/>
          <w:lang w:val="es-ES_tradnl"/>
        </w:rPr>
      </w:pPr>
    </w:p>
    <w:p w14:paraId="25C79FD1" w14:textId="0AD67442" w:rsidR="00D15F76" w:rsidRPr="002F556D" w:rsidRDefault="00D15F76" w:rsidP="00D15F76">
      <w:pPr>
        <w:spacing w:line="276" w:lineRule="auto"/>
        <w:ind w:right="49"/>
        <w:jc w:val="both"/>
        <w:rPr>
          <w:rFonts w:ascii="Arial" w:eastAsia="Calibri" w:hAnsi="Arial" w:cs="Arial"/>
          <w:color w:val="000000" w:themeColor="text1"/>
          <w:sz w:val="22"/>
          <w:lang w:val="es-ES_tradnl"/>
        </w:rPr>
      </w:pPr>
      <w:r w:rsidRPr="002F556D">
        <w:rPr>
          <w:rFonts w:ascii="Arial" w:eastAsia="Calibri" w:hAnsi="Arial" w:cs="Arial"/>
          <w:color w:val="000000" w:themeColor="text1"/>
          <w:sz w:val="22"/>
          <w:lang w:val="es-ES_tradnl"/>
        </w:rPr>
        <w:t xml:space="preserve">La Agencia Nacional de Contratación Pública </w:t>
      </w:r>
      <w:r w:rsidR="006F5E57" w:rsidRPr="002F556D">
        <w:rPr>
          <w:rFonts w:ascii="Arial" w:eastAsia="Calibri" w:hAnsi="Arial" w:cs="Arial"/>
          <w:color w:val="000000" w:themeColor="text1"/>
          <w:sz w:val="22"/>
          <w:lang w:val="es-ES_tradnl"/>
        </w:rPr>
        <w:t>–</w:t>
      </w:r>
      <w:r w:rsidRPr="002F556D">
        <w:rPr>
          <w:rFonts w:ascii="Arial" w:eastAsia="Calibri" w:hAnsi="Arial" w:cs="Arial"/>
          <w:color w:val="000000" w:themeColor="text1"/>
          <w:sz w:val="22"/>
          <w:lang w:val="es-ES_tradnl"/>
        </w:rPr>
        <w:t xml:space="preserve"> Colombia Compra Eficiente</w:t>
      </w:r>
      <w:r w:rsidR="006F5E57" w:rsidRPr="002F556D">
        <w:rPr>
          <w:rFonts w:ascii="Arial" w:eastAsia="Calibri" w:hAnsi="Arial" w:cs="Arial"/>
          <w:color w:val="000000" w:themeColor="text1"/>
          <w:sz w:val="22"/>
          <w:lang w:val="es-ES_tradnl"/>
        </w:rPr>
        <w:t>, en ejercicio de la competencia otorgada por el numeral 8 del artículo 11 y el numeral 5 del artículo 3 del Decreto Ley 4170 de 2011,</w:t>
      </w:r>
      <w:r w:rsidRPr="002F556D">
        <w:rPr>
          <w:rFonts w:ascii="Arial" w:eastAsia="Calibri" w:hAnsi="Arial" w:cs="Arial"/>
          <w:color w:val="000000" w:themeColor="text1"/>
          <w:sz w:val="22"/>
          <w:lang w:val="es-ES_tradnl"/>
        </w:rPr>
        <w:t xml:space="preserve"> responde su consulta del </w:t>
      </w:r>
      <w:r w:rsidR="003E4773">
        <w:rPr>
          <w:rFonts w:ascii="Arial" w:eastAsia="Calibri" w:hAnsi="Arial" w:cs="Arial"/>
          <w:color w:val="000000" w:themeColor="text1"/>
          <w:sz w:val="22"/>
          <w:lang w:val="es-ES_tradnl"/>
        </w:rPr>
        <w:t>14</w:t>
      </w:r>
      <w:r w:rsidR="00D0079D" w:rsidRPr="002F556D">
        <w:rPr>
          <w:rFonts w:ascii="Arial" w:eastAsia="Calibri" w:hAnsi="Arial" w:cs="Arial"/>
          <w:color w:val="000000" w:themeColor="text1"/>
          <w:sz w:val="22"/>
          <w:lang w:val="es-ES_tradnl"/>
        </w:rPr>
        <w:t xml:space="preserve"> de </w:t>
      </w:r>
      <w:r w:rsidR="003E4773">
        <w:rPr>
          <w:rFonts w:ascii="Arial" w:eastAsia="Calibri" w:hAnsi="Arial" w:cs="Arial"/>
          <w:color w:val="000000" w:themeColor="text1"/>
          <w:sz w:val="22"/>
          <w:lang w:val="es-ES_tradnl"/>
        </w:rPr>
        <w:t>junio</w:t>
      </w:r>
      <w:r w:rsidR="00D0079D" w:rsidRPr="002F556D">
        <w:rPr>
          <w:rFonts w:ascii="Arial" w:eastAsia="Calibri" w:hAnsi="Arial" w:cs="Arial"/>
          <w:color w:val="000000" w:themeColor="text1"/>
          <w:sz w:val="22"/>
          <w:lang w:val="es-ES_tradnl"/>
        </w:rPr>
        <w:t xml:space="preserve"> del 2022</w:t>
      </w:r>
      <w:r w:rsidRPr="002F556D">
        <w:rPr>
          <w:rFonts w:ascii="Arial" w:eastAsia="Calibri" w:hAnsi="Arial" w:cs="Arial"/>
          <w:color w:val="000000" w:themeColor="text1"/>
          <w:sz w:val="22"/>
          <w:lang w:val="es-ES_tradnl"/>
        </w:rPr>
        <w:t xml:space="preserve">. </w:t>
      </w:r>
    </w:p>
    <w:p w14:paraId="764AE5D8" w14:textId="77777777" w:rsidR="00D15F76" w:rsidRPr="002F556D" w:rsidRDefault="00D15F76" w:rsidP="00D15F76">
      <w:pPr>
        <w:spacing w:line="276" w:lineRule="auto"/>
        <w:jc w:val="both"/>
        <w:rPr>
          <w:rFonts w:ascii="Arial" w:eastAsia="Calibri" w:hAnsi="Arial" w:cs="Arial"/>
          <w:color w:val="000000" w:themeColor="text1"/>
          <w:sz w:val="22"/>
          <w:lang w:val="es-ES_tradnl"/>
        </w:rPr>
      </w:pPr>
    </w:p>
    <w:p w14:paraId="32609644" w14:textId="21677348" w:rsidR="00D15F76" w:rsidRPr="002F556D" w:rsidRDefault="00D15F76" w:rsidP="00D15F7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2F556D">
        <w:rPr>
          <w:rFonts w:ascii="Arial" w:eastAsia="Calibri" w:hAnsi="Arial" w:cs="Arial"/>
          <w:b/>
          <w:color w:val="000000" w:themeColor="text1"/>
          <w:sz w:val="22"/>
          <w:lang w:val="es-ES_tradnl"/>
        </w:rPr>
        <w:t xml:space="preserve">Problema planteado </w:t>
      </w:r>
    </w:p>
    <w:p w14:paraId="3E717FDA" w14:textId="77777777" w:rsidR="00D15F76" w:rsidRPr="002F556D" w:rsidRDefault="00D15F76" w:rsidP="00D15F76">
      <w:pPr>
        <w:tabs>
          <w:tab w:val="left" w:pos="426"/>
        </w:tabs>
        <w:spacing w:line="276" w:lineRule="auto"/>
        <w:jc w:val="both"/>
        <w:rPr>
          <w:rFonts w:ascii="Arial" w:eastAsia="Calibri" w:hAnsi="Arial" w:cs="Arial"/>
          <w:b/>
          <w:color w:val="000000" w:themeColor="text1"/>
          <w:sz w:val="22"/>
          <w:lang w:val="es-ES_tradnl"/>
        </w:rPr>
      </w:pPr>
    </w:p>
    <w:p w14:paraId="4D9465B1" w14:textId="38F04721" w:rsidR="00D15F76" w:rsidRPr="002F556D" w:rsidRDefault="00FD6384" w:rsidP="00C94F0B">
      <w:pPr>
        <w:tabs>
          <w:tab w:val="left" w:pos="426"/>
        </w:tabs>
        <w:spacing w:line="276" w:lineRule="auto"/>
        <w:jc w:val="both"/>
        <w:rPr>
          <w:rFonts w:ascii="Arial" w:eastAsia="Calibri" w:hAnsi="Arial" w:cs="Arial"/>
          <w:color w:val="000000" w:themeColor="text1"/>
          <w:sz w:val="22"/>
          <w:lang w:val="es-ES_tradnl"/>
        </w:rPr>
      </w:pPr>
      <w:r w:rsidRPr="002F556D">
        <w:rPr>
          <w:rFonts w:ascii="Arial" w:eastAsia="Calibri" w:hAnsi="Arial" w:cs="Arial"/>
          <w:color w:val="000000" w:themeColor="text1"/>
          <w:sz w:val="22"/>
          <w:lang w:val="es-ES_tradnl"/>
        </w:rPr>
        <w:t xml:space="preserve">Respecto de </w:t>
      </w:r>
      <w:r w:rsidR="00F87654" w:rsidRPr="002F556D">
        <w:rPr>
          <w:rFonts w:ascii="Arial" w:eastAsia="Calibri" w:hAnsi="Arial" w:cs="Arial"/>
          <w:color w:val="000000" w:themeColor="text1"/>
          <w:sz w:val="22"/>
          <w:lang w:val="es-ES_tradnl"/>
        </w:rPr>
        <w:t xml:space="preserve">la celebración de </w:t>
      </w:r>
      <w:r w:rsidRPr="002F556D">
        <w:rPr>
          <w:rFonts w:ascii="Arial" w:eastAsia="Calibri" w:hAnsi="Arial" w:cs="Arial"/>
          <w:color w:val="000000" w:themeColor="text1"/>
          <w:sz w:val="22"/>
          <w:lang w:val="es-ES_tradnl"/>
        </w:rPr>
        <w:t>contratos de prestación de servicios</w:t>
      </w:r>
      <w:r w:rsidR="008A5525" w:rsidRPr="002F556D">
        <w:rPr>
          <w:rFonts w:ascii="Arial" w:eastAsia="Calibri" w:hAnsi="Arial" w:cs="Arial"/>
          <w:color w:val="000000" w:themeColor="text1"/>
          <w:sz w:val="22"/>
          <w:lang w:val="es-ES_tradnl"/>
        </w:rPr>
        <w:t xml:space="preserve"> profesionales y de apoyo a la gestión</w:t>
      </w:r>
      <w:r w:rsidR="00F87654" w:rsidRPr="002F556D">
        <w:rPr>
          <w:rFonts w:ascii="Arial" w:eastAsia="Calibri" w:hAnsi="Arial" w:cs="Arial"/>
          <w:color w:val="000000" w:themeColor="text1"/>
          <w:sz w:val="22"/>
          <w:lang w:val="es-ES_tradnl"/>
        </w:rPr>
        <w:t>,</w:t>
      </w:r>
      <w:r w:rsidRPr="002F556D">
        <w:rPr>
          <w:rFonts w:ascii="Arial" w:eastAsia="Calibri" w:hAnsi="Arial" w:cs="Arial"/>
          <w:color w:val="000000" w:themeColor="text1"/>
          <w:sz w:val="22"/>
          <w:lang w:val="es-ES_tradnl"/>
        </w:rPr>
        <w:t xml:space="preserve"> u</w:t>
      </w:r>
      <w:r w:rsidR="007702B7" w:rsidRPr="002F556D">
        <w:rPr>
          <w:rFonts w:ascii="Arial" w:eastAsia="Calibri" w:hAnsi="Arial" w:cs="Arial"/>
          <w:color w:val="000000" w:themeColor="text1"/>
          <w:sz w:val="22"/>
          <w:lang w:val="es-ES_tradnl"/>
        </w:rPr>
        <w:t xml:space="preserve">sted </w:t>
      </w:r>
      <w:r w:rsidR="00D15F76" w:rsidRPr="002F556D">
        <w:rPr>
          <w:rFonts w:ascii="Arial" w:eastAsia="Calibri" w:hAnsi="Arial" w:cs="Arial"/>
          <w:color w:val="000000" w:themeColor="text1"/>
          <w:sz w:val="22"/>
          <w:lang w:val="es-ES_tradnl"/>
        </w:rPr>
        <w:t xml:space="preserve">realiza la siguiente </w:t>
      </w:r>
      <w:r w:rsidRPr="002F556D">
        <w:rPr>
          <w:rFonts w:ascii="Arial" w:eastAsia="Calibri" w:hAnsi="Arial" w:cs="Arial"/>
          <w:color w:val="000000" w:themeColor="text1"/>
          <w:sz w:val="22"/>
          <w:lang w:val="es-ES_tradnl"/>
        </w:rPr>
        <w:t>consulta</w:t>
      </w:r>
      <w:r w:rsidR="00D15F76" w:rsidRPr="002F556D">
        <w:rPr>
          <w:rFonts w:ascii="Arial" w:eastAsia="Calibri" w:hAnsi="Arial" w:cs="Arial"/>
          <w:color w:val="000000" w:themeColor="text1"/>
          <w:sz w:val="22"/>
          <w:lang w:val="es-ES_tradnl"/>
        </w:rPr>
        <w:t>:</w:t>
      </w:r>
      <w:r w:rsidR="007702B7" w:rsidRPr="002F556D">
        <w:rPr>
          <w:rFonts w:ascii="Arial" w:eastAsia="Calibri" w:hAnsi="Arial" w:cs="Arial"/>
          <w:color w:val="000000" w:themeColor="text1"/>
          <w:sz w:val="22"/>
          <w:lang w:val="es-ES_tradnl"/>
        </w:rPr>
        <w:t xml:space="preserve"> </w:t>
      </w:r>
      <w:r w:rsidRPr="002F556D">
        <w:rPr>
          <w:rFonts w:ascii="Arial" w:eastAsia="Calibri" w:hAnsi="Arial" w:cs="Arial"/>
          <w:sz w:val="22"/>
          <w:lang w:val="es-ES_tradnl"/>
        </w:rPr>
        <w:t>«</w:t>
      </w:r>
      <w:r w:rsidR="00632D6E" w:rsidRPr="00632D6E">
        <w:rPr>
          <w:rFonts w:ascii="Arial" w:eastAsia="Calibri" w:hAnsi="Arial" w:cs="Arial"/>
          <w:sz w:val="22"/>
        </w:rPr>
        <w:t>por medio de la presente me permito muy amablemente solicitarle concepto acerca de la contratación de personal después de la ley de la garantía conforme a la sentencia unificada del consejo de estado SUJ-025-CE-S2-2021, de 9 de septiembre de 2021, debido a que existe una confusión conforme a los días establecidos en la sentencia</w:t>
      </w:r>
      <w:r w:rsidR="001851C6" w:rsidRPr="002F556D">
        <w:rPr>
          <w:rFonts w:ascii="Arial" w:eastAsia="Calibri" w:hAnsi="Arial" w:cs="Arial"/>
          <w:color w:val="000000" w:themeColor="text1"/>
          <w:sz w:val="22"/>
          <w:lang w:val="es-ES_tradnl"/>
        </w:rPr>
        <w:t>»</w:t>
      </w:r>
      <w:r w:rsidR="008A5525" w:rsidRPr="002F556D">
        <w:rPr>
          <w:rFonts w:ascii="Arial" w:eastAsia="Calibri" w:hAnsi="Arial" w:cs="Arial"/>
          <w:color w:val="000000" w:themeColor="text1"/>
          <w:sz w:val="22"/>
          <w:lang w:val="es-ES_tradnl"/>
        </w:rPr>
        <w:t>.</w:t>
      </w:r>
    </w:p>
    <w:p w14:paraId="0ED16902" w14:textId="77777777" w:rsidR="001851C6" w:rsidRPr="002F556D" w:rsidRDefault="001851C6" w:rsidP="00D15F76">
      <w:pPr>
        <w:tabs>
          <w:tab w:val="left" w:pos="426"/>
        </w:tabs>
        <w:spacing w:line="276" w:lineRule="auto"/>
        <w:jc w:val="both"/>
        <w:rPr>
          <w:rFonts w:ascii="Arial" w:eastAsia="Calibri" w:hAnsi="Arial" w:cs="Arial"/>
          <w:color w:val="000000" w:themeColor="text1"/>
          <w:sz w:val="22"/>
          <w:lang w:val="es-ES_tradnl"/>
        </w:rPr>
      </w:pPr>
    </w:p>
    <w:p w14:paraId="510E26CB" w14:textId="185527F8" w:rsidR="00D15F76" w:rsidRPr="002F556D" w:rsidRDefault="00D15F76" w:rsidP="00D15F76">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_tradnl"/>
        </w:rPr>
      </w:pPr>
      <w:r w:rsidRPr="002F556D">
        <w:rPr>
          <w:rFonts w:ascii="Arial" w:eastAsia="Calibri" w:hAnsi="Arial" w:cs="Arial"/>
          <w:b/>
          <w:color w:val="000000" w:themeColor="text1"/>
          <w:sz w:val="22"/>
          <w:lang w:val="es-ES_tradnl"/>
        </w:rPr>
        <w:t>Consideraciones</w:t>
      </w:r>
    </w:p>
    <w:p w14:paraId="15EB269E" w14:textId="77777777" w:rsidR="008A7BDF" w:rsidRPr="002F556D" w:rsidRDefault="008A7BDF" w:rsidP="008A7BDF">
      <w:pPr>
        <w:pStyle w:val="Prrafodelista"/>
        <w:tabs>
          <w:tab w:val="left" w:pos="426"/>
        </w:tabs>
        <w:spacing w:line="276" w:lineRule="auto"/>
        <w:ind w:left="284"/>
        <w:jc w:val="both"/>
        <w:rPr>
          <w:rFonts w:ascii="Arial" w:eastAsia="Calibri" w:hAnsi="Arial" w:cs="Arial"/>
          <w:b/>
          <w:color w:val="000000" w:themeColor="text1"/>
          <w:sz w:val="22"/>
          <w:lang w:val="es-ES_tradnl"/>
        </w:rPr>
      </w:pPr>
    </w:p>
    <w:bookmarkEnd w:id="0"/>
    <w:bookmarkEnd w:id="1"/>
    <w:p w14:paraId="14C91797" w14:textId="3E40A940" w:rsidR="001851C6" w:rsidRPr="002F556D" w:rsidRDefault="00D15F76" w:rsidP="002F556D">
      <w:pPr>
        <w:spacing w:after="120" w:line="276" w:lineRule="auto"/>
        <w:jc w:val="both"/>
        <w:rPr>
          <w:rFonts w:ascii="Arial" w:eastAsia="Calibri" w:hAnsi="Arial" w:cs="Arial"/>
          <w:color w:val="000000" w:themeColor="text1"/>
          <w:sz w:val="22"/>
          <w:lang w:val="es-ES_tradnl"/>
        </w:rPr>
      </w:pPr>
      <w:r w:rsidRPr="002F556D">
        <w:rPr>
          <w:rFonts w:ascii="Arial" w:eastAsia="Calibri" w:hAnsi="Arial" w:cs="Arial"/>
          <w:color w:val="000000" w:themeColor="text1"/>
          <w:sz w:val="22"/>
          <w:lang w:val="es-ES_tradnl"/>
        </w:rPr>
        <w:t xml:space="preserve">Para desarrollar el problema planteado, se abordarán los siguientes temas: i) </w:t>
      </w:r>
      <w:r w:rsidR="008A5525" w:rsidRPr="002F556D">
        <w:rPr>
          <w:rFonts w:ascii="Arial" w:eastAsia="Calibri" w:hAnsi="Arial" w:cs="Arial"/>
          <w:color w:val="000000" w:themeColor="text1"/>
          <w:sz w:val="22"/>
          <w:lang w:val="es-ES_tradnl"/>
        </w:rPr>
        <w:t>l</w:t>
      </w:r>
      <w:r w:rsidR="001851C6" w:rsidRPr="002F556D">
        <w:rPr>
          <w:rFonts w:ascii="Arial" w:eastAsia="Calibri" w:hAnsi="Arial" w:cs="Arial"/>
          <w:color w:val="000000" w:themeColor="text1"/>
          <w:sz w:val="22"/>
          <w:lang w:val="es-ES_tradnl"/>
        </w:rPr>
        <w:t>as caracter</w:t>
      </w:r>
      <w:r w:rsidR="00682553" w:rsidRPr="002F556D">
        <w:rPr>
          <w:rFonts w:ascii="Arial" w:eastAsia="Calibri" w:hAnsi="Arial" w:cs="Arial"/>
          <w:color w:val="000000" w:themeColor="text1"/>
          <w:sz w:val="22"/>
          <w:lang w:val="es-ES_tradnl"/>
        </w:rPr>
        <w:t>ísticas generales del contrato estatal</w:t>
      </w:r>
      <w:r w:rsidR="00C46B5A" w:rsidRPr="002F556D">
        <w:rPr>
          <w:rFonts w:ascii="Arial" w:eastAsia="Calibri" w:hAnsi="Arial" w:cs="Arial"/>
          <w:color w:val="000000" w:themeColor="text1"/>
          <w:sz w:val="22"/>
          <w:lang w:val="es-ES_tradnl"/>
        </w:rPr>
        <w:t xml:space="preserve"> de prestación de servicios</w:t>
      </w:r>
      <w:r w:rsidR="00632D6E">
        <w:rPr>
          <w:rFonts w:ascii="Arial" w:eastAsia="Calibri" w:hAnsi="Arial" w:cs="Arial"/>
          <w:color w:val="000000" w:themeColor="text1"/>
          <w:sz w:val="22"/>
          <w:lang w:val="es-ES_tradnl"/>
        </w:rPr>
        <w:t>, requisitos y límites para su celebración</w:t>
      </w:r>
      <w:r w:rsidR="003C49BF" w:rsidRPr="002F556D">
        <w:rPr>
          <w:rFonts w:ascii="Arial" w:eastAsia="Calibri" w:hAnsi="Arial" w:cs="Arial"/>
          <w:color w:val="000000" w:themeColor="text1"/>
          <w:sz w:val="22"/>
          <w:lang w:val="es-ES_tradnl"/>
        </w:rPr>
        <w:t>;</w:t>
      </w:r>
      <w:r w:rsidR="00C46B5A" w:rsidRPr="002F556D">
        <w:rPr>
          <w:rFonts w:ascii="Arial" w:eastAsia="Calibri" w:hAnsi="Arial" w:cs="Arial"/>
          <w:color w:val="000000" w:themeColor="text1"/>
          <w:sz w:val="22"/>
          <w:lang w:val="es-ES_tradnl"/>
        </w:rPr>
        <w:t xml:space="preserve"> </w:t>
      </w:r>
      <w:r w:rsidR="001851C6" w:rsidRPr="002F556D">
        <w:rPr>
          <w:rFonts w:ascii="Arial" w:eastAsia="Calibri" w:hAnsi="Arial" w:cs="Arial"/>
          <w:color w:val="000000" w:themeColor="text1"/>
          <w:sz w:val="22"/>
          <w:lang w:val="es-ES_tradnl"/>
        </w:rPr>
        <w:t xml:space="preserve">y ii) </w:t>
      </w:r>
      <w:r w:rsidR="008A5525" w:rsidRPr="002F556D">
        <w:rPr>
          <w:rFonts w:ascii="Arial" w:eastAsia="Calibri" w:hAnsi="Arial" w:cs="Arial"/>
          <w:color w:val="000000" w:themeColor="text1"/>
          <w:sz w:val="22"/>
          <w:lang w:val="es-ES_tradnl"/>
        </w:rPr>
        <w:t>l</w:t>
      </w:r>
      <w:r w:rsidR="001851C6" w:rsidRPr="002F556D">
        <w:rPr>
          <w:rFonts w:ascii="Arial" w:eastAsia="Calibri" w:hAnsi="Arial" w:cs="Arial"/>
          <w:color w:val="000000" w:themeColor="text1"/>
          <w:sz w:val="22"/>
          <w:lang w:val="es-ES_tradnl"/>
        </w:rPr>
        <w:t>a</w:t>
      </w:r>
      <w:r w:rsidR="00632D6E">
        <w:rPr>
          <w:rFonts w:ascii="Arial" w:eastAsia="Calibri" w:hAnsi="Arial" w:cs="Arial"/>
          <w:color w:val="000000" w:themeColor="text1"/>
          <w:sz w:val="22"/>
          <w:lang w:val="es-ES_tradnl"/>
        </w:rPr>
        <w:t xml:space="preserve">s reglas de unificación de la </w:t>
      </w:r>
      <w:r w:rsidR="004D234E">
        <w:rPr>
          <w:rFonts w:ascii="Arial" w:eastAsia="Calibri" w:hAnsi="Arial" w:cs="Arial"/>
          <w:color w:val="000000" w:themeColor="text1"/>
          <w:sz w:val="22"/>
        </w:rPr>
        <w:t>S</w:t>
      </w:r>
      <w:r w:rsidR="00E3449A">
        <w:rPr>
          <w:rFonts w:ascii="Arial" w:eastAsia="Calibri" w:hAnsi="Arial" w:cs="Arial"/>
          <w:color w:val="000000" w:themeColor="text1"/>
          <w:sz w:val="22"/>
        </w:rPr>
        <w:t xml:space="preserve">entencia </w:t>
      </w:r>
      <w:r w:rsidR="004D234E">
        <w:rPr>
          <w:rFonts w:ascii="Arial" w:eastAsia="Calibri" w:hAnsi="Arial" w:cs="Arial"/>
          <w:color w:val="000000" w:themeColor="text1"/>
          <w:sz w:val="22"/>
        </w:rPr>
        <w:t>de la Sección Segunda del Consejo de Estado del</w:t>
      </w:r>
      <w:r w:rsidR="00E3449A">
        <w:rPr>
          <w:rFonts w:ascii="Arial" w:eastAsia="Calibri" w:hAnsi="Arial" w:cs="Arial"/>
          <w:color w:val="000000" w:themeColor="text1"/>
          <w:sz w:val="22"/>
        </w:rPr>
        <w:t xml:space="preserve"> 9 de septiembre de 2021</w:t>
      </w:r>
      <w:r w:rsidR="002A425B" w:rsidRPr="002F556D">
        <w:rPr>
          <w:rFonts w:ascii="Arial" w:eastAsia="Calibri" w:hAnsi="Arial" w:cs="Arial"/>
          <w:color w:val="000000" w:themeColor="text1"/>
          <w:sz w:val="22"/>
          <w:lang w:val="es-ES_tradnl"/>
        </w:rPr>
        <w:t>.</w:t>
      </w:r>
    </w:p>
    <w:p w14:paraId="17558AE7" w14:textId="40CD0570" w:rsidR="00D326C5" w:rsidRPr="002F556D" w:rsidRDefault="00D15F76" w:rsidP="00D326C5">
      <w:pPr>
        <w:spacing w:line="276" w:lineRule="auto"/>
        <w:ind w:firstLine="708"/>
        <w:jc w:val="both"/>
        <w:rPr>
          <w:rFonts w:ascii="Arial" w:eastAsia="Calibri" w:hAnsi="Arial" w:cs="Arial"/>
          <w:sz w:val="22"/>
        </w:rPr>
      </w:pPr>
      <w:r w:rsidRPr="002F556D">
        <w:rPr>
          <w:rFonts w:ascii="Arial" w:eastAsia="Calibri" w:hAnsi="Arial" w:cs="Arial"/>
          <w:color w:val="000000" w:themeColor="text1"/>
          <w:sz w:val="22"/>
          <w:lang w:val="es-ES_tradnl"/>
        </w:rPr>
        <w:t xml:space="preserve">La Agencia Nacional de Contratación Pública – Colombia Compra Eficiente se pronunció sobre el concepto y límites del contrato de prestación de servicios </w:t>
      </w:r>
      <w:r w:rsidR="008A5525" w:rsidRPr="002F556D">
        <w:rPr>
          <w:rFonts w:ascii="Arial" w:eastAsia="Calibri" w:hAnsi="Arial" w:cs="Arial"/>
          <w:color w:val="000000" w:themeColor="text1"/>
          <w:sz w:val="22"/>
          <w:lang w:val="es-ES_tradnl"/>
        </w:rPr>
        <w:t xml:space="preserve">profesionales y de apoyo a la gestión </w:t>
      </w:r>
      <w:r w:rsidR="00B632D6" w:rsidRPr="002F556D">
        <w:rPr>
          <w:rFonts w:ascii="Arial" w:eastAsia="Calibri" w:hAnsi="Arial" w:cs="Arial"/>
          <w:color w:val="000000" w:themeColor="text1"/>
          <w:sz w:val="22"/>
          <w:lang w:val="es-ES_tradnl"/>
        </w:rPr>
        <w:t xml:space="preserve">en los </w:t>
      </w:r>
      <w:r w:rsidR="008A5525" w:rsidRPr="002F556D">
        <w:rPr>
          <w:rFonts w:ascii="Arial" w:eastAsia="Calibri" w:hAnsi="Arial" w:cs="Arial"/>
          <w:color w:val="000000" w:themeColor="text1"/>
          <w:sz w:val="22"/>
          <w:lang w:val="es-ES_tradnl"/>
        </w:rPr>
        <w:t>c</w:t>
      </w:r>
      <w:r w:rsidR="00B632D6" w:rsidRPr="002F556D">
        <w:rPr>
          <w:rFonts w:ascii="Arial" w:eastAsia="Calibri" w:hAnsi="Arial" w:cs="Arial"/>
          <w:color w:val="000000" w:themeColor="text1"/>
          <w:sz w:val="22"/>
          <w:lang w:val="es-ES_tradnl"/>
        </w:rPr>
        <w:t xml:space="preserve">onceptos C-090 del </w:t>
      </w:r>
      <w:r w:rsidR="00B632D6" w:rsidRPr="002F556D">
        <w:rPr>
          <w:rFonts w:ascii="Arial" w:hAnsi="Arial" w:cs="Arial"/>
          <w:color w:val="000000" w:themeColor="text1"/>
          <w:sz w:val="22"/>
        </w:rPr>
        <w:t xml:space="preserve">24 de febrero de 2020, </w:t>
      </w:r>
      <w:r w:rsidR="00B632D6" w:rsidRPr="002F556D">
        <w:rPr>
          <w:rFonts w:ascii="Arial" w:hAnsi="Arial" w:cs="Arial"/>
          <w:sz w:val="22"/>
        </w:rPr>
        <w:t xml:space="preserve">C-105 del </w:t>
      </w:r>
      <w:r w:rsidR="00B632D6" w:rsidRPr="002F556D">
        <w:rPr>
          <w:rFonts w:ascii="Arial" w:eastAsia="Arial" w:hAnsi="Arial" w:cs="Arial"/>
          <w:sz w:val="22"/>
          <w:lang w:val="es-ES"/>
        </w:rPr>
        <w:t xml:space="preserve">12 de marzo 03 de 2020, C-156 del 3 de abril de 2020, </w:t>
      </w:r>
      <w:r w:rsidR="00B632D6" w:rsidRPr="002F556D">
        <w:rPr>
          <w:rFonts w:ascii="Arial" w:hAnsi="Arial" w:cs="Arial"/>
          <w:sz w:val="22"/>
        </w:rPr>
        <w:t xml:space="preserve">C-188 del </w:t>
      </w:r>
      <w:r w:rsidR="00B632D6" w:rsidRPr="002F556D">
        <w:rPr>
          <w:rFonts w:ascii="Arial" w:hAnsi="Arial" w:cs="Arial"/>
          <w:color w:val="000000" w:themeColor="text1"/>
          <w:sz w:val="22"/>
          <w:lang w:val="es-CO"/>
        </w:rPr>
        <w:t xml:space="preserve">13 de abril de 2020, </w:t>
      </w:r>
      <w:r w:rsidR="00B632D6" w:rsidRPr="002F556D">
        <w:rPr>
          <w:rFonts w:ascii="Arial" w:hAnsi="Arial" w:cs="Arial"/>
          <w:sz w:val="22"/>
        </w:rPr>
        <w:t xml:space="preserve">C-208 del </w:t>
      </w:r>
      <w:r w:rsidR="00B632D6" w:rsidRPr="002F556D">
        <w:rPr>
          <w:rFonts w:ascii="Arial" w:hAnsi="Arial" w:cs="Arial"/>
          <w:color w:val="000000" w:themeColor="text1"/>
          <w:sz w:val="22"/>
        </w:rPr>
        <w:t>24 de abril de 2020</w:t>
      </w:r>
      <w:r w:rsidR="003C49BF" w:rsidRPr="002F556D">
        <w:rPr>
          <w:rFonts w:ascii="Arial" w:hAnsi="Arial" w:cs="Arial"/>
          <w:color w:val="000000" w:themeColor="text1"/>
          <w:sz w:val="22"/>
        </w:rPr>
        <w:t>;</w:t>
      </w:r>
      <w:r w:rsidR="00B632D6" w:rsidRPr="002F556D">
        <w:rPr>
          <w:rFonts w:ascii="Arial" w:hAnsi="Arial" w:cs="Arial"/>
          <w:color w:val="000000" w:themeColor="text1"/>
          <w:sz w:val="22"/>
        </w:rPr>
        <w:t xml:space="preserve"> </w:t>
      </w:r>
      <w:r w:rsidR="00E725DA" w:rsidRPr="002F556D">
        <w:rPr>
          <w:rFonts w:ascii="Arial" w:hAnsi="Arial" w:cs="Arial"/>
          <w:noProof/>
          <w:sz w:val="22"/>
          <w:lang w:val="es-ES_tradnl"/>
        </w:rPr>
        <w:t>C-138, C-005, C-006 y C-018 del 11 de mayo de 2020; C-175, C-320, C-053, C-255, C-282 y C-293 del 12 de mayo de 2020, C-288 del 27 de mayo de 2020, C-345 del 13 de mayo de 2020</w:t>
      </w:r>
      <w:r w:rsidR="00B632D6" w:rsidRPr="002F556D">
        <w:rPr>
          <w:rFonts w:ascii="Arial" w:hAnsi="Arial" w:cs="Arial"/>
          <w:color w:val="000000" w:themeColor="text1"/>
          <w:sz w:val="22"/>
        </w:rPr>
        <w:t xml:space="preserve">, </w:t>
      </w:r>
      <w:r w:rsidR="00B632D6" w:rsidRPr="002F556D">
        <w:rPr>
          <w:rFonts w:ascii="Arial" w:hAnsi="Arial" w:cs="Arial"/>
          <w:color w:val="212529"/>
          <w:sz w:val="22"/>
        </w:rPr>
        <w:t xml:space="preserve">C-414 </w:t>
      </w:r>
      <w:r w:rsidR="00B632D6" w:rsidRPr="002F556D">
        <w:rPr>
          <w:rFonts w:ascii="Arial" w:hAnsi="Arial" w:cs="Arial"/>
          <w:sz w:val="22"/>
        </w:rPr>
        <w:t>del 30 de junio de 2020</w:t>
      </w:r>
      <w:r w:rsidR="00E725DA" w:rsidRPr="002F556D">
        <w:rPr>
          <w:rFonts w:ascii="Arial" w:hAnsi="Arial" w:cs="Arial"/>
          <w:sz w:val="22"/>
        </w:rPr>
        <w:t xml:space="preserve">, </w:t>
      </w:r>
      <w:r w:rsidR="00E725DA" w:rsidRPr="002F556D">
        <w:rPr>
          <w:rFonts w:ascii="Arial" w:hAnsi="Arial" w:cs="Arial"/>
          <w:noProof/>
          <w:sz w:val="22"/>
          <w:lang w:val="es-ES_tradnl"/>
        </w:rPr>
        <w:t>C-484 del 6 de agosto de 2020, C-608 del 1 de octubre de 2020</w:t>
      </w:r>
      <w:r w:rsidR="00232691" w:rsidRPr="002F556D">
        <w:rPr>
          <w:rFonts w:ascii="Arial" w:hAnsi="Arial" w:cs="Arial"/>
          <w:noProof/>
          <w:sz w:val="22"/>
          <w:lang w:val="es-ES_tradnl"/>
        </w:rPr>
        <w:t>,</w:t>
      </w:r>
      <w:r w:rsidR="00B632D6" w:rsidRPr="002F556D">
        <w:rPr>
          <w:rFonts w:ascii="Arial" w:hAnsi="Arial" w:cs="Arial"/>
          <w:sz w:val="22"/>
        </w:rPr>
        <w:t xml:space="preserve"> C-739 del 16 de diciembre de 2020</w:t>
      </w:r>
      <w:r w:rsidR="00483702" w:rsidRPr="002F556D">
        <w:rPr>
          <w:rFonts w:ascii="Arial" w:hAnsi="Arial" w:cs="Arial"/>
          <w:sz w:val="22"/>
        </w:rPr>
        <w:t>,</w:t>
      </w:r>
      <w:r w:rsidR="00232691" w:rsidRPr="002F556D">
        <w:rPr>
          <w:rFonts w:ascii="Arial" w:hAnsi="Arial" w:cs="Arial"/>
          <w:sz w:val="22"/>
        </w:rPr>
        <w:t xml:space="preserve"> C-106 de 07 de abril de 2021</w:t>
      </w:r>
      <w:r w:rsidR="00CF2A50" w:rsidRPr="002F556D">
        <w:rPr>
          <w:rFonts w:ascii="Arial" w:hAnsi="Arial" w:cs="Arial"/>
          <w:sz w:val="22"/>
        </w:rPr>
        <w:t>,</w:t>
      </w:r>
      <w:r w:rsidR="00483702" w:rsidRPr="002F556D">
        <w:rPr>
          <w:rFonts w:ascii="Arial" w:hAnsi="Arial" w:cs="Arial"/>
          <w:sz w:val="22"/>
        </w:rPr>
        <w:t xml:space="preserve"> C-145 de 8 de abril de 2021</w:t>
      </w:r>
      <w:r w:rsidR="00D326C5" w:rsidRPr="002F556D">
        <w:rPr>
          <w:rFonts w:ascii="Arial" w:hAnsi="Arial" w:cs="Arial"/>
          <w:sz w:val="22"/>
        </w:rPr>
        <w:t>,</w:t>
      </w:r>
      <w:r w:rsidR="007364E5" w:rsidRPr="002F556D">
        <w:rPr>
          <w:rFonts w:ascii="Arial" w:hAnsi="Arial" w:cs="Arial"/>
          <w:sz w:val="22"/>
        </w:rPr>
        <w:t xml:space="preserve"> C-491 del 14 de septiembre de 2021</w:t>
      </w:r>
      <w:r w:rsidR="00D326C5" w:rsidRPr="002F556D">
        <w:rPr>
          <w:rFonts w:ascii="Arial" w:hAnsi="Arial" w:cs="Arial"/>
          <w:sz w:val="22"/>
        </w:rPr>
        <w:t xml:space="preserve"> y C- 517 </w:t>
      </w:r>
      <w:r w:rsidR="00557D78" w:rsidRPr="002F556D">
        <w:rPr>
          <w:rFonts w:ascii="Arial" w:hAnsi="Arial" w:cs="Arial"/>
          <w:sz w:val="22"/>
        </w:rPr>
        <w:t>del 30 de septiembre</w:t>
      </w:r>
      <w:r w:rsidR="00D326C5" w:rsidRPr="002F556D">
        <w:rPr>
          <w:rFonts w:ascii="Arial" w:hAnsi="Arial" w:cs="Arial"/>
          <w:sz w:val="22"/>
        </w:rPr>
        <w:t xml:space="preserve"> de 2021,</w:t>
      </w:r>
      <w:r w:rsidR="00632D6E">
        <w:rPr>
          <w:rFonts w:ascii="Arial" w:hAnsi="Arial" w:cs="Arial"/>
          <w:sz w:val="22"/>
        </w:rPr>
        <w:t xml:space="preserve"> C-707 de 17 de enero de 2022, C-019 de </w:t>
      </w:r>
      <w:r w:rsidR="009875A1">
        <w:rPr>
          <w:rFonts w:ascii="Arial" w:hAnsi="Arial" w:cs="Arial"/>
          <w:sz w:val="22"/>
        </w:rPr>
        <w:t>21</w:t>
      </w:r>
      <w:r w:rsidR="00632D6E">
        <w:rPr>
          <w:rFonts w:ascii="Arial" w:hAnsi="Arial" w:cs="Arial"/>
          <w:sz w:val="22"/>
        </w:rPr>
        <w:t xml:space="preserve"> de febrero de 2022 y C-376 de 14 de junio de 2022, </w:t>
      </w:r>
      <w:r w:rsidR="00E725DA" w:rsidRPr="002F556D">
        <w:rPr>
          <w:rFonts w:ascii="Arial" w:hAnsi="Arial" w:cs="Arial"/>
          <w:sz w:val="22"/>
        </w:rPr>
        <w:t xml:space="preserve"> entre otros. </w:t>
      </w:r>
      <w:r w:rsidR="00D326C5" w:rsidRPr="002F556D">
        <w:rPr>
          <w:rFonts w:ascii="Arial" w:eastAsia="Calibri" w:hAnsi="Arial" w:cs="Arial"/>
          <w:sz w:val="22"/>
        </w:rPr>
        <w:t>Las tesis expuestas en estos conceptos se reiteran a continuación y se complementan en lo pertinente.</w:t>
      </w:r>
    </w:p>
    <w:p w14:paraId="07C8EABB" w14:textId="733C0247" w:rsidR="00D15F76" w:rsidRPr="002F556D" w:rsidRDefault="00D15F76" w:rsidP="00D326C5">
      <w:pPr>
        <w:spacing w:line="276" w:lineRule="auto"/>
        <w:ind w:firstLine="708"/>
        <w:jc w:val="both"/>
        <w:rPr>
          <w:rFonts w:ascii="Arial" w:eastAsia="Calibri" w:hAnsi="Arial" w:cs="Arial"/>
          <w:color w:val="000000" w:themeColor="text1"/>
          <w:sz w:val="22"/>
        </w:rPr>
      </w:pPr>
    </w:p>
    <w:p w14:paraId="41E1CB4B" w14:textId="4EBB9C1B" w:rsidR="00D15F76" w:rsidRPr="002F556D" w:rsidRDefault="00D15F76" w:rsidP="00CA2FAC">
      <w:pPr>
        <w:spacing w:line="276" w:lineRule="auto"/>
        <w:jc w:val="both"/>
        <w:rPr>
          <w:rFonts w:ascii="Arial" w:eastAsia="Calibri" w:hAnsi="Arial" w:cs="Arial"/>
          <w:b/>
          <w:bCs/>
          <w:color w:val="000000" w:themeColor="text1"/>
          <w:sz w:val="22"/>
          <w:lang w:val="es-ES_tradnl"/>
        </w:rPr>
      </w:pPr>
      <w:r w:rsidRPr="002F556D">
        <w:rPr>
          <w:rFonts w:ascii="Arial" w:eastAsia="Calibri" w:hAnsi="Arial" w:cs="Arial"/>
          <w:b/>
          <w:bCs/>
          <w:color w:val="000000" w:themeColor="text1"/>
          <w:sz w:val="22"/>
          <w:lang w:val="es-ES_tradnl"/>
        </w:rPr>
        <w:t xml:space="preserve">2.1. </w:t>
      </w:r>
      <w:r w:rsidR="00632D6E" w:rsidRPr="00F95886">
        <w:rPr>
          <w:rFonts w:ascii="Arial" w:eastAsia="Calibri" w:hAnsi="Arial" w:cs="Arial"/>
          <w:b/>
          <w:bCs/>
          <w:color w:val="000000" w:themeColor="text1"/>
          <w:sz w:val="22"/>
          <w:lang w:val="es-ES_tradnl"/>
        </w:rPr>
        <w:t>Contrato de prestación de servicios profesionales. Requisitos y límites para su celebración</w:t>
      </w:r>
    </w:p>
    <w:p w14:paraId="0E40E167" w14:textId="77777777" w:rsidR="00D15F76" w:rsidRPr="002F556D" w:rsidRDefault="00D15F76" w:rsidP="00CA2FAC">
      <w:pPr>
        <w:spacing w:line="276" w:lineRule="auto"/>
        <w:jc w:val="both"/>
        <w:rPr>
          <w:rFonts w:ascii="Arial" w:eastAsia="Calibri" w:hAnsi="Arial" w:cs="Arial"/>
          <w:color w:val="000000" w:themeColor="text1"/>
          <w:sz w:val="22"/>
          <w:lang w:val="es-ES_tradnl"/>
        </w:rPr>
      </w:pPr>
    </w:p>
    <w:p w14:paraId="4455050C" w14:textId="0DE673CA" w:rsidR="00CF2A50" w:rsidRPr="002F556D" w:rsidRDefault="00CF2A50" w:rsidP="00CF2A50">
      <w:pPr>
        <w:tabs>
          <w:tab w:val="left" w:pos="0"/>
        </w:tabs>
        <w:spacing w:line="276" w:lineRule="auto"/>
        <w:jc w:val="both"/>
        <w:rPr>
          <w:rFonts w:ascii="Arial" w:eastAsia="Calibri" w:hAnsi="Arial" w:cs="Arial"/>
          <w:color w:val="000000" w:themeColor="text1"/>
          <w:sz w:val="22"/>
          <w:lang w:val="es-ES_tradnl"/>
        </w:rPr>
      </w:pPr>
      <w:r w:rsidRPr="002F556D">
        <w:rPr>
          <w:rFonts w:ascii="Arial" w:hAnsi="Arial" w:cs="Arial"/>
          <w:color w:val="000000" w:themeColor="text1"/>
          <w:sz w:val="22"/>
        </w:rPr>
        <w:t>El contrato de prestación de servicios es un contrato estatal típi</w:t>
      </w:r>
      <w:r w:rsidR="00682553" w:rsidRPr="002F556D">
        <w:rPr>
          <w:rFonts w:ascii="Arial" w:hAnsi="Arial" w:cs="Arial"/>
          <w:color w:val="000000" w:themeColor="text1"/>
          <w:sz w:val="22"/>
        </w:rPr>
        <w:t>co</w:t>
      </w:r>
      <w:r w:rsidR="000838AF" w:rsidRPr="002F556D">
        <w:rPr>
          <w:rFonts w:ascii="Arial" w:hAnsi="Arial" w:cs="Arial"/>
          <w:color w:val="000000" w:themeColor="text1"/>
          <w:sz w:val="22"/>
        </w:rPr>
        <w:t>,</w:t>
      </w:r>
      <w:r w:rsidR="00682553" w:rsidRPr="002F556D">
        <w:rPr>
          <w:rFonts w:ascii="Arial" w:hAnsi="Arial" w:cs="Arial"/>
          <w:color w:val="000000" w:themeColor="text1"/>
          <w:sz w:val="22"/>
        </w:rPr>
        <w:t xml:space="preserve"> regulado en el numeral 3 del artículo 32 </w:t>
      </w:r>
      <w:r w:rsidRPr="002F556D">
        <w:rPr>
          <w:rFonts w:ascii="Arial" w:hAnsi="Arial" w:cs="Arial"/>
          <w:color w:val="000000" w:themeColor="text1"/>
          <w:sz w:val="22"/>
        </w:rPr>
        <w:t>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2F556D">
        <w:rPr>
          <w:rFonts w:ascii="Arial" w:eastAsia="Calibri" w:hAnsi="Arial" w:cs="Arial"/>
          <w:color w:val="000000" w:themeColor="text1"/>
          <w:sz w:val="22"/>
          <w:lang w:val="es-ES_tradnl"/>
        </w:rPr>
        <w:t xml:space="preserve"> La celebración de dicho contrato debe efectuarse a través de la modalidad de contratación directa. Así lo dispone el artículo 2, numeral 4º, literal h), de la Ley 1150 de 2007:</w:t>
      </w:r>
    </w:p>
    <w:p w14:paraId="0CAF7F4B" w14:textId="77777777" w:rsidR="00CF2A50" w:rsidRPr="002F556D" w:rsidRDefault="00CF2A50" w:rsidP="00CF2A50">
      <w:pPr>
        <w:ind w:right="709"/>
        <w:jc w:val="both"/>
        <w:rPr>
          <w:rFonts w:ascii="Arial" w:eastAsia="Calibri" w:hAnsi="Arial" w:cs="Arial"/>
          <w:color w:val="000000" w:themeColor="text1"/>
          <w:sz w:val="21"/>
          <w:szCs w:val="21"/>
          <w:lang w:val="es-ES_tradnl"/>
        </w:rPr>
      </w:pPr>
    </w:p>
    <w:p w14:paraId="43B3233B" w14:textId="77777777" w:rsidR="00CF2A50" w:rsidRPr="002F556D" w:rsidRDefault="00CF2A50" w:rsidP="00CF2A50">
      <w:pPr>
        <w:ind w:left="709" w:right="758"/>
        <w:jc w:val="both"/>
        <w:rPr>
          <w:rFonts w:ascii="Arial" w:eastAsia="Calibri" w:hAnsi="Arial" w:cs="Arial"/>
          <w:color w:val="000000" w:themeColor="text1"/>
          <w:sz w:val="21"/>
          <w:szCs w:val="21"/>
        </w:rPr>
      </w:pPr>
      <w:r w:rsidRPr="002F556D">
        <w:rPr>
          <w:rFonts w:ascii="Arial" w:eastAsia="Calibri"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w:t>
      </w:r>
    </w:p>
    <w:p w14:paraId="4A5B771C" w14:textId="77777777" w:rsidR="00CF2A50" w:rsidRPr="002F556D" w:rsidRDefault="00CF2A50" w:rsidP="00CF2A50">
      <w:pPr>
        <w:spacing w:after="120"/>
        <w:ind w:left="709" w:right="760"/>
        <w:jc w:val="both"/>
        <w:rPr>
          <w:rFonts w:ascii="Arial" w:eastAsia="Calibri" w:hAnsi="Arial" w:cs="Arial"/>
          <w:color w:val="000000" w:themeColor="text1"/>
          <w:sz w:val="21"/>
          <w:szCs w:val="21"/>
        </w:rPr>
      </w:pPr>
      <w:r w:rsidRPr="002F556D">
        <w:rPr>
          <w:rFonts w:ascii="Arial" w:eastAsia="Calibri" w:hAnsi="Arial" w:cs="Arial"/>
          <w:color w:val="000000" w:themeColor="text1"/>
          <w:sz w:val="21"/>
          <w:szCs w:val="21"/>
        </w:rPr>
        <w:t>[…]</w:t>
      </w:r>
    </w:p>
    <w:p w14:paraId="31F53D7F" w14:textId="77777777" w:rsidR="00CF2A50" w:rsidRPr="002F556D" w:rsidRDefault="00CF2A50" w:rsidP="00CF2A50">
      <w:pPr>
        <w:ind w:left="709" w:right="758"/>
        <w:jc w:val="both"/>
        <w:rPr>
          <w:rFonts w:ascii="Arial" w:eastAsia="Calibri" w:hAnsi="Arial" w:cs="Arial"/>
          <w:color w:val="000000" w:themeColor="text1"/>
          <w:sz w:val="21"/>
          <w:szCs w:val="21"/>
        </w:rPr>
      </w:pPr>
      <w:r w:rsidRPr="002F556D">
        <w:rPr>
          <w:rFonts w:ascii="Arial" w:eastAsia="Calibri" w:hAnsi="Arial" w:cs="Arial"/>
          <w:color w:val="000000" w:themeColor="text1"/>
          <w:sz w:val="21"/>
          <w:szCs w:val="21"/>
        </w:rPr>
        <w:t>4. Contratación directa. La modalidad de selección de contratación directa, solamente procederá en los siguientes casos:</w:t>
      </w:r>
    </w:p>
    <w:p w14:paraId="28450030" w14:textId="77777777" w:rsidR="00CF2A50" w:rsidRPr="002F556D" w:rsidRDefault="00CF2A50" w:rsidP="00CF2A50">
      <w:pPr>
        <w:spacing w:after="120"/>
        <w:ind w:left="709" w:right="760"/>
        <w:jc w:val="both"/>
        <w:rPr>
          <w:rFonts w:ascii="Arial" w:eastAsia="Calibri" w:hAnsi="Arial" w:cs="Arial"/>
          <w:color w:val="000000" w:themeColor="text1"/>
          <w:sz w:val="21"/>
          <w:szCs w:val="21"/>
        </w:rPr>
      </w:pPr>
      <w:r w:rsidRPr="002F556D">
        <w:rPr>
          <w:rFonts w:ascii="Arial" w:eastAsia="Calibri" w:hAnsi="Arial" w:cs="Arial"/>
          <w:color w:val="000000" w:themeColor="text1"/>
          <w:sz w:val="21"/>
          <w:szCs w:val="21"/>
        </w:rPr>
        <w:t>[…]</w:t>
      </w:r>
    </w:p>
    <w:p w14:paraId="7A24FD1D" w14:textId="77777777" w:rsidR="00CF2A50" w:rsidRPr="002F556D" w:rsidRDefault="00CF2A50" w:rsidP="00CF2A50">
      <w:pPr>
        <w:ind w:left="709" w:right="758"/>
        <w:jc w:val="both"/>
        <w:rPr>
          <w:rFonts w:ascii="Arial" w:eastAsia="Calibri" w:hAnsi="Arial" w:cs="Arial"/>
          <w:color w:val="000000" w:themeColor="text1"/>
          <w:sz w:val="21"/>
          <w:szCs w:val="21"/>
        </w:rPr>
      </w:pPr>
      <w:r w:rsidRPr="002F556D">
        <w:rPr>
          <w:rFonts w:ascii="Arial" w:eastAsia="Calibri"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745AFC0C" w14:textId="77777777" w:rsidR="00C1271C" w:rsidRPr="002F556D" w:rsidRDefault="00CF2A50" w:rsidP="00CF2A50">
      <w:pPr>
        <w:tabs>
          <w:tab w:val="left" w:pos="0"/>
        </w:tabs>
        <w:spacing w:line="276" w:lineRule="auto"/>
        <w:jc w:val="both"/>
        <w:rPr>
          <w:rFonts w:ascii="Arial" w:hAnsi="Arial" w:cs="Arial"/>
          <w:noProof/>
          <w:sz w:val="22"/>
          <w:lang w:val="es-ES_tradnl"/>
        </w:rPr>
      </w:pPr>
      <w:r w:rsidRPr="002F556D">
        <w:rPr>
          <w:rFonts w:ascii="Arial" w:hAnsi="Arial" w:cs="Arial"/>
          <w:noProof/>
          <w:sz w:val="22"/>
          <w:lang w:val="es-ES_tradnl"/>
        </w:rPr>
        <w:tab/>
      </w:r>
    </w:p>
    <w:p w14:paraId="5B00607B" w14:textId="3EB83DD3" w:rsidR="00C1271C" w:rsidRPr="002F556D" w:rsidRDefault="00CE6A4E" w:rsidP="00CF2A50">
      <w:pPr>
        <w:tabs>
          <w:tab w:val="left" w:pos="0"/>
        </w:tabs>
        <w:spacing w:line="276" w:lineRule="auto"/>
        <w:jc w:val="both"/>
        <w:rPr>
          <w:rFonts w:ascii="Arial" w:hAnsi="Arial" w:cs="Arial"/>
          <w:noProof/>
          <w:sz w:val="22"/>
          <w:lang w:val="es-ES_tradnl"/>
        </w:rPr>
      </w:pPr>
      <w:r w:rsidRPr="002F556D">
        <w:rPr>
          <w:rFonts w:ascii="Arial" w:hAnsi="Arial" w:cs="Arial"/>
          <w:noProof/>
          <w:sz w:val="22"/>
          <w:lang w:val="es-ES_tradnl"/>
        </w:rPr>
        <w:lastRenderedPageBreak/>
        <w:tab/>
        <w:t>En tal sentido,</w:t>
      </w:r>
      <w:r w:rsidR="00C1271C" w:rsidRPr="002F556D">
        <w:rPr>
          <w:rFonts w:ascii="Arial" w:hAnsi="Arial" w:cs="Arial"/>
          <w:noProof/>
          <w:sz w:val="22"/>
          <w:lang w:val="es-ES_tradnl"/>
        </w:rPr>
        <w:t xml:space="preserve"> el Decreto 1082 de 2015</w:t>
      </w:r>
      <w:r w:rsidRPr="002F556D">
        <w:rPr>
          <w:rFonts w:ascii="Arial" w:hAnsi="Arial" w:cs="Arial"/>
          <w:noProof/>
          <w:sz w:val="22"/>
          <w:lang w:val="es-ES_tradnl"/>
        </w:rPr>
        <w:t xml:space="preserve">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6DCF8683" w14:textId="19695AC7" w:rsidR="00CE6A4E" w:rsidRPr="002F556D" w:rsidRDefault="00CE6A4E" w:rsidP="00CF2A50">
      <w:pPr>
        <w:tabs>
          <w:tab w:val="left" w:pos="0"/>
        </w:tabs>
        <w:spacing w:line="276" w:lineRule="auto"/>
        <w:jc w:val="both"/>
        <w:rPr>
          <w:rFonts w:ascii="Arial" w:hAnsi="Arial" w:cs="Arial"/>
          <w:noProof/>
          <w:sz w:val="22"/>
          <w:lang w:val="es-ES_tradnl"/>
        </w:rPr>
      </w:pPr>
    </w:p>
    <w:p w14:paraId="4636C1FC" w14:textId="5CF4D1D7" w:rsidR="00CE6A4E" w:rsidRPr="002F556D" w:rsidRDefault="00CE6A4E" w:rsidP="00CE6A4E">
      <w:pPr>
        <w:ind w:left="709" w:right="758"/>
        <w:jc w:val="both"/>
        <w:rPr>
          <w:rFonts w:ascii="Arial" w:hAnsi="Arial" w:cs="Arial"/>
          <w:sz w:val="21"/>
          <w:szCs w:val="21"/>
        </w:rPr>
      </w:pPr>
      <w:r w:rsidRPr="002F556D">
        <w:rPr>
          <w:rFonts w:ascii="Arial" w:hAnsi="Arial" w:cs="Arial"/>
          <w:sz w:val="21"/>
          <w:szCs w:val="21"/>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A4FCAFF" w14:textId="77777777" w:rsidR="00CE6A4E" w:rsidRPr="002F556D" w:rsidRDefault="00CE6A4E" w:rsidP="00CE6A4E">
      <w:pPr>
        <w:ind w:left="709" w:right="758"/>
        <w:jc w:val="both"/>
        <w:rPr>
          <w:rFonts w:ascii="Arial" w:hAnsi="Arial" w:cs="Arial"/>
          <w:sz w:val="21"/>
          <w:szCs w:val="21"/>
          <w:lang w:val="es-CO"/>
        </w:rPr>
      </w:pPr>
    </w:p>
    <w:p w14:paraId="3DBCC926" w14:textId="52ABD26B" w:rsidR="00CE6A4E" w:rsidRPr="002F556D" w:rsidRDefault="00CE6A4E" w:rsidP="00CE6A4E">
      <w:pPr>
        <w:ind w:left="709" w:right="758"/>
        <w:jc w:val="both"/>
        <w:rPr>
          <w:rFonts w:ascii="Arial" w:hAnsi="Arial" w:cs="Arial"/>
          <w:sz w:val="21"/>
          <w:szCs w:val="21"/>
        </w:rPr>
      </w:pPr>
      <w:r w:rsidRPr="002F556D">
        <w:rPr>
          <w:rFonts w:ascii="Arial" w:hAnsi="Arial" w:cs="Arial"/>
          <w:sz w:val="21"/>
          <w:szCs w:val="21"/>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4B42B23" w14:textId="77777777" w:rsidR="00CE6A4E" w:rsidRPr="002F556D" w:rsidRDefault="00CE6A4E" w:rsidP="00CE6A4E">
      <w:pPr>
        <w:ind w:left="709" w:right="758"/>
        <w:jc w:val="both"/>
        <w:rPr>
          <w:rFonts w:ascii="Arial" w:hAnsi="Arial" w:cs="Arial"/>
          <w:sz w:val="21"/>
          <w:szCs w:val="21"/>
        </w:rPr>
      </w:pPr>
    </w:p>
    <w:p w14:paraId="0E7D802A" w14:textId="56CBE25E" w:rsidR="00CE6A4E" w:rsidRPr="002F556D" w:rsidRDefault="00CE6A4E" w:rsidP="00CE6A4E">
      <w:pPr>
        <w:ind w:left="709" w:right="758"/>
        <w:jc w:val="both"/>
        <w:rPr>
          <w:rFonts w:ascii="Arial" w:hAnsi="Arial" w:cs="Arial"/>
          <w:sz w:val="21"/>
          <w:szCs w:val="21"/>
        </w:rPr>
      </w:pPr>
      <w:r w:rsidRPr="002F556D">
        <w:rPr>
          <w:rFonts w:ascii="Arial" w:hAnsi="Arial" w:cs="Arial"/>
          <w:sz w:val="21"/>
          <w:szCs w:val="21"/>
        </w:rPr>
        <w:t>La Entidad Estatal, para la contratación de trabajos artísticos que solamente puedan en</w:t>
      </w:r>
      <w:r w:rsidRPr="002F556D">
        <w:rPr>
          <w:rFonts w:ascii="Arial" w:hAnsi="Arial" w:cs="Arial"/>
          <w:sz w:val="21"/>
          <w:szCs w:val="21"/>
        </w:rPr>
        <w:softHyphen/>
        <w:t>comendarse a determinadas personas naturales, debe justificar esta situación en los estudios y documentos previos</w:t>
      </w:r>
      <w:r w:rsidR="008357BF" w:rsidRPr="002F556D">
        <w:rPr>
          <w:rFonts w:ascii="Arial" w:hAnsi="Arial" w:cs="Arial"/>
          <w:sz w:val="21"/>
          <w:szCs w:val="21"/>
        </w:rPr>
        <w:t>.</w:t>
      </w:r>
    </w:p>
    <w:p w14:paraId="79CC542A" w14:textId="77777777" w:rsidR="00CE6A4E" w:rsidRPr="002F556D" w:rsidRDefault="00CE6A4E" w:rsidP="00CF2A50">
      <w:pPr>
        <w:tabs>
          <w:tab w:val="left" w:pos="0"/>
        </w:tabs>
        <w:spacing w:line="276" w:lineRule="auto"/>
        <w:jc w:val="both"/>
        <w:rPr>
          <w:rFonts w:ascii="Arial" w:hAnsi="Arial" w:cs="Arial"/>
          <w:noProof/>
          <w:sz w:val="21"/>
          <w:szCs w:val="21"/>
          <w:lang w:val="es-CO"/>
        </w:rPr>
      </w:pPr>
    </w:p>
    <w:p w14:paraId="793AA55B" w14:textId="66B80B8F" w:rsidR="00CF2A50" w:rsidRPr="002F556D" w:rsidRDefault="00433A39" w:rsidP="00CF2A50">
      <w:pPr>
        <w:tabs>
          <w:tab w:val="left" w:pos="0"/>
        </w:tabs>
        <w:spacing w:line="276" w:lineRule="auto"/>
        <w:jc w:val="both"/>
        <w:rPr>
          <w:rFonts w:ascii="Arial" w:hAnsi="Arial" w:cs="Arial"/>
          <w:color w:val="000000" w:themeColor="text1"/>
          <w:sz w:val="22"/>
          <w:lang w:val="es-ES_tradnl"/>
        </w:rPr>
      </w:pPr>
      <w:r w:rsidRPr="002F556D">
        <w:rPr>
          <w:rFonts w:ascii="Arial" w:hAnsi="Arial" w:cs="Arial"/>
          <w:color w:val="000000" w:themeColor="text1"/>
          <w:sz w:val="22"/>
          <w:lang w:val="es-ES_tradnl"/>
        </w:rPr>
        <w:tab/>
      </w:r>
      <w:r w:rsidR="00CF2A50" w:rsidRPr="002F556D">
        <w:rPr>
          <w:rFonts w:ascii="Arial" w:hAnsi="Arial" w:cs="Arial"/>
          <w:color w:val="000000" w:themeColor="text1"/>
          <w:sz w:val="22"/>
          <w:lang w:val="es-ES_tradnl"/>
        </w:rPr>
        <w:t>A partir de las disposiciones citadas</w:t>
      </w:r>
      <w:r w:rsidR="000838AF" w:rsidRPr="002F556D">
        <w:rPr>
          <w:rFonts w:ascii="Arial" w:hAnsi="Arial" w:cs="Arial"/>
          <w:color w:val="000000" w:themeColor="text1"/>
          <w:sz w:val="22"/>
          <w:lang w:val="es-ES_tradnl"/>
        </w:rPr>
        <w:t>, así como de</w:t>
      </w:r>
      <w:r w:rsidR="00CF2A50" w:rsidRPr="002F556D">
        <w:rPr>
          <w:rFonts w:ascii="Arial" w:hAnsi="Arial" w:cs="Arial"/>
          <w:color w:val="000000" w:themeColor="text1"/>
          <w:sz w:val="22"/>
          <w:lang w:val="es-ES_tradnl"/>
        </w:rPr>
        <w:t xml:space="preserve"> </w:t>
      </w:r>
      <w:r w:rsidR="000838AF" w:rsidRPr="002F556D">
        <w:rPr>
          <w:rFonts w:ascii="Arial" w:hAnsi="Arial" w:cs="Arial"/>
          <w:color w:val="000000" w:themeColor="text1"/>
          <w:sz w:val="22"/>
          <w:lang w:val="es-ES_tradnl"/>
        </w:rPr>
        <w:t>la</w:t>
      </w:r>
      <w:r w:rsidRPr="002F556D">
        <w:rPr>
          <w:rFonts w:ascii="Arial" w:hAnsi="Arial" w:cs="Arial"/>
          <w:color w:val="000000" w:themeColor="text1"/>
          <w:sz w:val="22"/>
          <w:lang w:val="es-ES_tradnl"/>
        </w:rPr>
        <w:t xml:space="preserve"> reciente Sentencia de Unificación de Jurisprudencia</w:t>
      </w:r>
      <w:r w:rsidR="008A5525" w:rsidRPr="002F556D">
        <w:rPr>
          <w:rFonts w:ascii="Arial" w:hAnsi="Arial" w:cs="Arial"/>
          <w:color w:val="000000" w:themeColor="text1"/>
          <w:sz w:val="22"/>
          <w:lang w:val="es-ES_tradnl"/>
        </w:rPr>
        <w:t>l</w:t>
      </w:r>
      <w:r w:rsidRPr="002F556D">
        <w:rPr>
          <w:rFonts w:ascii="Arial" w:hAnsi="Arial" w:cs="Arial"/>
          <w:color w:val="000000" w:themeColor="text1"/>
          <w:sz w:val="22"/>
          <w:lang w:val="es-ES_tradnl"/>
        </w:rPr>
        <w:t xml:space="preserve"> del 9 de septiembre de 2021</w:t>
      </w:r>
      <w:r w:rsidR="008A5525" w:rsidRPr="002F556D">
        <w:rPr>
          <w:rFonts w:ascii="Arial" w:hAnsi="Arial" w:cs="Arial"/>
          <w:color w:val="000000" w:themeColor="text1"/>
          <w:sz w:val="22"/>
          <w:lang w:val="es-ES_tradnl"/>
        </w:rPr>
        <w:t>,</w:t>
      </w:r>
      <w:r w:rsidRPr="002F556D">
        <w:rPr>
          <w:rFonts w:ascii="Arial" w:hAnsi="Arial" w:cs="Arial"/>
          <w:color w:val="000000" w:themeColor="text1"/>
          <w:sz w:val="22"/>
          <w:lang w:val="es-ES_tradnl"/>
        </w:rPr>
        <w:t xml:space="preserve"> proferida por el Consejo de Estado</w:t>
      </w:r>
      <w:r w:rsidRPr="002F556D">
        <w:rPr>
          <w:rStyle w:val="Refdenotaalpie"/>
          <w:rFonts w:ascii="Arial" w:hAnsi="Arial" w:cs="Arial"/>
          <w:bCs/>
          <w:lang w:val="es-ES"/>
        </w:rPr>
        <w:footnoteReference w:id="1"/>
      </w:r>
      <w:r w:rsidRPr="002F556D">
        <w:rPr>
          <w:rFonts w:ascii="Arial" w:hAnsi="Arial" w:cs="Arial"/>
          <w:color w:val="000000" w:themeColor="text1"/>
          <w:sz w:val="22"/>
          <w:lang w:val="es-ES_tradnl"/>
        </w:rPr>
        <w:t xml:space="preserve">, </w:t>
      </w:r>
      <w:r w:rsidR="00CF2A50" w:rsidRPr="002F556D">
        <w:rPr>
          <w:rFonts w:ascii="Arial" w:hAnsi="Arial" w:cs="Arial"/>
          <w:color w:val="000000" w:themeColor="text1"/>
          <w:sz w:val="22"/>
          <w:lang w:val="es-ES_tradnl"/>
        </w:rPr>
        <w:t>es posible señalar las siguientes características del contrato de prestación de servicios</w:t>
      </w:r>
      <w:r w:rsidR="00CF2A50" w:rsidRPr="002F556D">
        <w:rPr>
          <w:rFonts w:ascii="Arial" w:hAnsi="Arial" w:cs="Arial"/>
          <w:noProof/>
          <w:sz w:val="22"/>
          <w:lang w:val="es-ES_tradnl"/>
        </w:rPr>
        <w:t>:</w:t>
      </w:r>
    </w:p>
    <w:p w14:paraId="59E6959C" w14:textId="4A44C797" w:rsidR="00CF2A50" w:rsidRPr="002F556D" w:rsidRDefault="00CF2A50" w:rsidP="00CF2A50">
      <w:pPr>
        <w:spacing w:before="120" w:line="276" w:lineRule="auto"/>
        <w:ind w:firstLine="709"/>
        <w:jc w:val="both"/>
        <w:rPr>
          <w:rFonts w:ascii="Arial" w:hAnsi="Arial" w:cs="Arial"/>
          <w:noProof/>
          <w:sz w:val="22"/>
          <w:lang w:val="es-ES_tradnl"/>
        </w:rPr>
      </w:pPr>
      <w:r w:rsidRPr="002F556D">
        <w:rPr>
          <w:rFonts w:ascii="Arial" w:hAnsi="Arial" w:cs="Arial"/>
          <w:noProof/>
          <w:sz w:val="22"/>
          <w:lang w:val="es-ES_tradnl"/>
        </w:rPr>
        <w:t>i) Solo puede celebrarse para realizar «actividades relacionadas con la administración o funcionamiento de la entidad», es decir, que hagan parte de su giro ordinario o quehacer cotidiano</w:t>
      </w:r>
      <w:r w:rsidR="00F71700" w:rsidRPr="002F556D">
        <w:rPr>
          <w:rStyle w:val="Refdenotaalpie"/>
          <w:rFonts w:ascii="Arial" w:hAnsi="Arial" w:cs="Arial"/>
          <w:noProof/>
          <w:sz w:val="22"/>
          <w:lang w:val="es-ES_tradnl"/>
        </w:rPr>
        <w:footnoteReference w:id="2"/>
      </w:r>
      <w:r w:rsidR="008A5525" w:rsidRPr="002F556D">
        <w:rPr>
          <w:rFonts w:ascii="Arial" w:hAnsi="Arial" w:cs="Arial"/>
          <w:noProof/>
          <w:sz w:val="22"/>
          <w:lang w:val="es-ES_tradnl"/>
        </w:rPr>
        <w:t>.</w:t>
      </w:r>
    </w:p>
    <w:p w14:paraId="7E065DC1" w14:textId="1067CBCF" w:rsidR="00CF2A50" w:rsidRPr="002F556D" w:rsidRDefault="00CF2A50" w:rsidP="009715F5">
      <w:pPr>
        <w:spacing w:before="120" w:line="276" w:lineRule="auto"/>
        <w:ind w:firstLine="709"/>
        <w:jc w:val="both"/>
        <w:rPr>
          <w:rFonts w:ascii="Arial" w:hAnsi="Arial" w:cs="Arial"/>
          <w:noProof/>
          <w:sz w:val="22"/>
          <w:lang w:val="es-ES_tradnl"/>
        </w:rPr>
      </w:pPr>
      <w:r w:rsidRPr="002F556D">
        <w:rPr>
          <w:rFonts w:ascii="Arial" w:hAnsi="Arial" w:cs="Arial"/>
          <w:noProof/>
          <w:sz w:val="22"/>
          <w:lang w:val="es-ES_tradnl"/>
        </w:rPr>
        <w:t>ii)</w:t>
      </w:r>
      <w:r w:rsidR="008A5525" w:rsidRPr="002F556D">
        <w:rPr>
          <w:rFonts w:ascii="Arial" w:hAnsi="Arial" w:cs="Arial"/>
          <w:noProof/>
          <w:sz w:val="22"/>
          <w:lang w:val="es-ES_tradnl"/>
        </w:rPr>
        <w:t xml:space="preserve"> </w:t>
      </w:r>
      <w:r w:rsidR="00F71700" w:rsidRPr="002F556D">
        <w:rPr>
          <w:rFonts w:ascii="Arial" w:hAnsi="Arial" w:cs="Arial"/>
          <w:noProof/>
          <w:sz w:val="22"/>
          <w:lang w:val="es-ES_tradnl"/>
        </w:rPr>
        <w:t>Respecto del tipo de personas que pueden ser contratadas, a</w:t>
      </w:r>
      <w:r w:rsidRPr="002F556D">
        <w:rPr>
          <w:rFonts w:ascii="Arial" w:hAnsi="Arial" w:cs="Arial"/>
          <w:noProof/>
          <w:sz w:val="22"/>
          <w:lang w:val="es-ES_tradnl"/>
        </w:rPr>
        <w:t xml:space="preserve">dmite que se suscriba con personas naturales o jurídicas. Sin embargo, cuando se celebre con aquellas, la entidad estatal debe justificar, en los estudios previos, que las actividades «no puedan realizarse con personal de planta o requieran conocimientos especializados». </w:t>
      </w:r>
      <w:r w:rsidR="009715F5" w:rsidRPr="000A091D">
        <w:rPr>
          <w:rFonts w:ascii="Arial" w:hAnsi="Arial" w:cs="Arial"/>
          <w:noProof/>
          <w:sz w:val="22"/>
          <w:lang w:val="es-ES_tradnl"/>
        </w:rPr>
        <w:t>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5547BE62" w14:textId="53CBCA86" w:rsidR="00CF2A50" w:rsidRPr="002F556D" w:rsidRDefault="00CF2A50" w:rsidP="00CF2A50">
      <w:pPr>
        <w:spacing w:before="120" w:line="276" w:lineRule="auto"/>
        <w:ind w:firstLine="709"/>
        <w:jc w:val="both"/>
        <w:rPr>
          <w:rFonts w:ascii="Arial" w:hAnsi="Arial" w:cs="Arial"/>
          <w:noProof/>
          <w:sz w:val="22"/>
          <w:lang w:val="es-ES_tradnl"/>
        </w:rPr>
      </w:pPr>
      <w:r w:rsidRPr="002F556D">
        <w:rPr>
          <w:rFonts w:ascii="Arial" w:hAnsi="Arial" w:cs="Arial"/>
          <w:noProof/>
          <w:sz w:val="22"/>
          <w:lang w:val="es-ES_tradnl"/>
        </w:rPr>
        <w:lastRenderedPageBreak/>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2F556D">
        <w:rPr>
          <w:rFonts w:ascii="Arial" w:hAnsi="Arial" w:cs="Arial"/>
          <w:i/>
          <w:noProof/>
          <w:sz w:val="22"/>
          <w:lang w:val="es-ES_tradnl"/>
        </w:rPr>
        <w:t xml:space="preserve">subordinación </w:t>
      </w:r>
      <w:r w:rsidRPr="002F556D">
        <w:rPr>
          <w:rFonts w:ascii="Arial" w:hAnsi="Arial" w:cs="Arial"/>
          <w:iCs/>
          <w:noProof/>
          <w:sz w:val="22"/>
          <w:lang w:val="es-ES_tradnl"/>
        </w:rPr>
        <w:t>ni</w:t>
      </w:r>
      <w:r w:rsidRPr="002F556D">
        <w:rPr>
          <w:rFonts w:ascii="Arial" w:hAnsi="Arial" w:cs="Arial"/>
          <w:i/>
          <w:noProof/>
          <w:sz w:val="22"/>
          <w:lang w:val="es-ES_tradnl"/>
        </w:rPr>
        <w:t xml:space="preserve"> dependencia</w:t>
      </w:r>
      <w:r w:rsidRPr="002F556D">
        <w:rPr>
          <w:rFonts w:ascii="Arial" w:hAnsi="Arial" w:cs="Arial"/>
          <w:iCs/>
          <w:noProof/>
          <w:sz w:val="22"/>
          <w:lang w:val="es-ES_tradnl"/>
        </w:rPr>
        <w:t>,</w:t>
      </w:r>
      <w:r w:rsidRPr="002F556D">
        <w:rPr>
          <w:rFonts w:ascii="Arial" w:hAnsi="Arial" w:cs="Arial"/>
          <w:noProof/>
          <w:sz w:val="22"/>
          <w:lang w:val="es-ES_tradnl"/>
        </w:rPr>
        <w:t xml:space="preserve"> que es uno de los elementos constitutivos del vínculo laboral</w:t>
      </w:r>
      <w:r w:rsidR="007364E5" w:rsidRPr="002F556D">
        <w:rPr>
          <w:rStyle w:val="Refdenotaalpie"/>
          <w:rFonts w:ascii="Arial" w:hAnsi="Arial" w:cs="Arial"/>
          <w:noProof/>
          <w:sz w:val="22"/>
          <w:lang w:val="es-ES_tradnl"/>
        </w:rPr>
        <w:footnoteReference w:id="3"/>
      </w:r>
      <w:r w:rsidRPr="002F556D">
        <w:rPr>
          <w:rFonts w:ascii="Arial" w:hAnsi="Arial" w:cs="Arial"/>
          <w:noProof/>
          <w:sz w:val="22"/>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2F556D">
        <w:rPr>
          <w:rFonts w:ascii="Arial" w:hAnsi="Arial" w:cs="Arial"/>
          <w:i/>
          <w:noProof/>
          <w:sz w:val="22"/>
          <w:lang w:val="es-ES_tradnl"/>
        </w:rPr>
        <w:t>no pueden</w:t>
      </w:r>
      <w:r w:rsidRPr="002F556D">
        <w:rPr>
          <w:rFonts w:ascii="Arial" w:hAnsi="Arial" w:cs="Arial"/>
          <w:noProof/>
          <w:sz w:val="22"/>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Pr="002F556D">
        <w:rPr>
          <w:rStyle w:val="Refdenotaalpie"/>
          <w:rFonts w:ascii="Arial" w:hAnsi="Arial" w:cs="Arial"/>
          <w:noProof/>
          <w:sz w:val="22"/>
          <w:lang w:val="es-ES_tradnl"/>
        </w:rPr>
        <w:footnoteReference w:id="4"/>
      </w:r>
      <w:r w:rsidRPr="002F556D">
        <w:rPr>
          <w:rFonts w:ascii="Arial" w:hAnsi="Arial" w:cs="Arial"/>
          <w:noProof/>
          <w:sz w:val="22"/>
          <w:lang w:val="es-ES_tradnl"/>
        </w:rPr>
        <w:t xml:space="preserve">. </w:t>
      </w:r>
    </w:p>
    <w:p w14:paraId="3C5F8673" w14:textId="5F977D38" w:rsidR="00CF2A50" w:rsidRPr="002F556D" w:rsidRDefault="00CF2A50" w:rsidP="009715F5">
      <w:pPr>
        <w:spacing w:before="120" w:line="276" w:lineRule="auto"/>
        <w:ind w:firstLine="709"/>
        <w:jc w:val="both"/>
        <w:rPr>
          <w:rFonts w:ascii="Arial" w:hAnsi="Arial" w:cs="Arial"/>
          <w:noProof/>
          <w:sz w:val="22"/>
          <w:lang w:val="es-ES_tradnl"/>
        </w:rPr>
      </w:pPr>
      <w:r w:rsidRPr="002F556D">
        <w:rPr>
          <w:rFonts w:ascii="Arial" w:hAnsi="Arial" w:cs="Arial"/>
          <w:noProof/>
          <w:sz w:val="22"/>
          <w:lang w:val="es-ES_tradnl"/>
        </w:rPr>
        <w:t xml:space="preserve">A pesar de este mandato deontológico, es posible que en la práctica se configure una relación laboral, pues el contrato de trabajo es </w:t>
      </w:r>
      <w:r w:rsidRPr="002F556D">
        <w:rPr>
          <w:rFonts w:ascii="Arial" w:hAnsi="Arial" w:cs="Arial"/>
          <w:i/>
          <w:iCs/>
          <w:noProof/>
          <w:sz w:val="22"/>
          <w:lang w:val="es-ES_tradnl"/>
        </w:rPr>
        <w:t xml:space="preserve">de </w:t>
      </w:r>
      <w:r w:rsidRPr="002F556D">
        <w:rPr>
          <w:rFonts w:ascii="Arial" w:hAnsi="Arial" w:cs="Arial"/>
          <w:i/>
          <w:noProof/>
          <w:sz w:val="22"/>
          <w:lang w:val="es-ES_tradnl"/>
        </w:rPr>
        <w:t>realidad</w:t>
      </w:r>
      <w:r w:rsidRPr="002F556D">
        <w:rPr>
          <w:rFonts w:ascii="Arial" w:hAnsi="Arial" w:cs="Arial"/>
          <w:noProof/>
          <w:sz w:val="22"/>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2F556D">
        <w:rPr>
          <w:rStyle w:val="Refdenotaalpie"/>
          <w:rFonts w:ascii="Arial" w:hAnsi="Arial" w:cs="Arial"/>
          <w:noProof/>
          <w:sz w:val="22"/>
          <w:lang w:val="es-ES_tradnl"/>
        </w:rPr>
        <w:footnoteReference w:id="5"/>
      </w:r>
      <w:r w:rsidRPr="002F556D">
        <w:rPr>
          <w:rFonts w:ascii="Arial" w:hAnsi="Arial" w:cs="Arial"/>
          <w:noProof/>
          <w:sz w:val="22"/>
          <w:lang w:val="es-ES_tradnl"/>
        </w:rPr>
        <w:t>.</w:t>
      </w:r>
      <w:r w:rsidR="009715F5">
        <w:rPr>
          <w:rFonts w:ascii="Arial" w:hAnsi="Arial" w:cs="Arial"/>
          <w:noProof/>
          <w:sz w:val="22"/>
          <w:lang w:val="es-ES_tradnl"/>
        </w:rPr>
        <w:t xml:space="preserve"> </w:t>
      </w:r>
      <w:r w:rsidR="009715F5" w:rsidRPr="000A091D">
        <w:rPr>
          <w:rFonts w:ascii="Arial" w:hAnsi="Arial" w:cs="Arial"/>
          <w:noProof/>
          <w:sz w:val="22"/>
          <w:lang w:val="es-ES_tradnl"/>
        </w:rPr>
        <w:t xml:space="preserve">Por su parte, el Consejo de Estado en sentencia de </w:t>
      </w:r>
      <w:r w:rsidR="009715F5" w:rsidRPr="000A091D">
        <w:rPr>
          <w:rFonts w:ascii="Arial" w:hAnsi="Arial" w:cs="Arial"/>
          <w:noProof/>
          <w:sz w:val="22"/>
          <w:lang w:val="es-ES_tradnl"/>
        </w:rPr>
        <w:lastRenderedPageBreak/>
        <w:t>unificación jurisprudencial del 9 de septiembre de 2021 se pronunció respecto de los criterios para identificar la existencia de una relación laboral encubierta o subyacente por contratos de prestación de servicios y definó tres reglas para el efecto</w:t>
      </w:r>
      <w:r w:rsidR="009715F5" w:rsidRPr="000A091D">
        <w:rPr>
          <w:vertAlign w:val="superscript"/>
          <w:lang w:val="es-ES_tradnl"/>
        </w:rPr>
        <w:footnoteReference w:id="6"/>
      </w:r>
      <w:r w:rsidR="003A23BA">
        <w:rPr>
          <w:rFonts w:ascii="Arial" w:hAnsi="Arial" w:cs="Arial"/>
          <w:noProof/>
          <w:sz w:val="22"/>
          <w:lang w:val="es-ES_tradnl"/>
        </w:rPr>
        <w:t xml:space="preserve">, aspectos </w:t>
      </w:r>
      <w:r w:rsidR="00325A7A">
        <w:rPr>
          <w:rFonts w:ascii="Arial" w:hAnsi="Arial" w:cs="Arial"/>
          <w:noProof/>
          <w:sz w:val="22"/>
          <w:lang w:val="es-ES_tradnl"/>
        </w:rPr>
        <w:t>que fueron aclarados posteriormente por Auto del 11 de noviembre de 2021</w:t>
      </w:r>
      <w:r w:rsidR="00947703">
        <w:rPr>
          <w:rStyle w:val="Refdenotaalpie"/>
          <w:rFonts w:ascii="Arial" w:hAnsi="Arial" w:cs="Arial"/>
          <w:noProof/>
          <w:sz w:val="22"/>
          <w:lang w:val="es-ES_tradnl"/>
        </w:rPr>
        <w:footnoteReference w:id="7"/>
      </w:r>
      <w:r w:rsidR="00325A7A">
        <w:rPr>
          <w:rFonts w:ascii="Arial" w:hAnsi="Arial" w:cs="Arial"/>
          <w:noProof/>
          <w:sz w:val="22"/>
          <w:lang w:val="es-ES_tradnl"/>
        </w:rPr>
        <w:t>.</w:t>
      </w:r>
    </w:p>
    <w:p w14:paraId="37B5C33E" w14:textId="1DA284E5" w:rsidR="00CF2A50" w:rsidRPr="002F556D" w:rsidRDefault="00EE4D9B" w:rsidP="00C94F0B">
      <w:pPr>
        <w:spacing w:before="120" w:line="276" w:lineRule="auto"/>
        <w:ind w:firstLine="709"/>
        <w:jc w:val="both"/>
        <w:rPr>
          <w:rFonts w:ascii="Arial" w:hAnsi="Arial" w:cs="Arial"/>
          <w:noProof/>
          <w:sz w:val="22"/>
          <w:lang w:val="es-ES_tradnl"/>
        </w:rPr>
      </w:pPr>
      <w:r w:rsidRPr="002F556D">
        <w:rPr>
          <w:rFonts w:ascii="Arial" w:hAnsi="Arial" w:cs="Arial"/>
          <w:noProof/>
          <w:sz w:val="22"/>
          <w:lang w:val="es-ES_tradnl"/>
        </w:rPr>
        <w:t xml:space="preserve">iv) Deben ser temporales. La sentencia de unificacion </w:t>
      </w:r>
      <w:r w:rsidR="008357BF" w:rsidRPr="002F556D">
        <w:rPr>
          <w:rFonts w:ascii="Arial" w:hAnsi="Arial" w:cs="Arial"/>
          <w:noProof/>
          <w:sz w:val="22"/>
          <w:lang w:val="es-ES_tradnl"/>
        </w:rPr>
        <w:t>jurisprudencial</w:t>
      </w:r>
      <w:r w:rsidRPr="002F556D">
        <w:rPr>
          <w:rFonts w:ascii="Arial" w:hAnsi="Arial" w:cs="Arial"/>
          <w:noProof/>
          <w:sz w:val="22"/>
          <w:lang w:val="es-ES_tradnl"/>
        </w:rPr>
        <w:t xml:space="preserve"> del Consejo de Estado</w:t>
      </w:r>
      <w:r w:rsidR="00CE3E67" w:rsidRPr="002F556D">
        <w:rPr>
          <w:rFonts w:ascii="Arial" w:hAnsi="Arial" w:cs="Arial"/>
          <w:noProof/>
          <w:sz w:val="22"/>
          <w:lang w:val="es-ES_tradnl"/>
        </w:rPr>
        <w:t xml:space="preserve"> </w:t>
      </w:r>
      <w:r w:rsidR="008357BF" w:rsidRPr="002F556D">
        <w:rPr>
          <w:rFonts w:ascii="Arial" w:hAnsi="Arial" w:cs="Arial"/>
          <w:noProof/>
          <w:sz w:val="22"/>
          <w:lang w:val="es-ES_tradnl"/>
        </w:rPr>
        <w:t>mencionada</w:t>
      </w:r>
      <w:r w:rsidR="00CE3E67" w:rsidRPr="002F556D">
        <w:rPr>
          <w:rFonts w:ascii="Arial" w:hAnsi="Arial" w:cs="Arial"/>
          <w:noProof/>
          <w:sz w:val="22"/>
          <w:lang w:val="es-ES_tradnl"/>
        </w:rPr>
        <w:t>,</w:t>
      </w:r>
      <w:r w:rsidRPr="002F556D">
        <w:rPr>
          <w:rFonts w:ascii="Arial" w:hAnsi="Arial" w:cs="Arial"/>
          <w:noProof/>
          <w:sz w:val="22"/>
          <w:lang w:val="es-ES_tradnl"/>
        </w:rPr>
        <w:t xml:space="preserve"> frente a la duración del contrato de prestación de servicios señaló que solo puede celebrarse por un </w:t>
      </w:r>
      <w:r w:rsidR="006A0904" w:rsidRPr="002F556D">
        <w:rPr>
          <w:rFonts w:ascii="Arial" w:hAnsi="Arial" w:cs="Arial"/>
          <w:noProof/>
          <w:sz w:val="22"/>
          <w:lang w:val="es-ES_tradnl"/>
        </w:rPr>
        <w:t>«</w:t>
      </w:r>
      <w:r w:rsidRPr="002F556D">
        <w:rPr>
          <w:rFonts w:ascii="Arial" w:hAnsi="Arial" w:cs="Arial"/>
          <w:noProof/>
          <w:sz w:val="22"/>
          <w:lang w:val="es-ES_tradnl"/>
        </w:rPr>
        <w:t>término estrictamente indispensable</w:t>
      </w:r>
      <w:r w:rsidR="006A0904" w:rsidRPr="002F556D">
        <w:rPr>
          <w:rFonts w:ascii="Arial" w:hAnsi="Arial" w:cs="Arial"/>
          <w:noProof/>
          <w:sz w:val="22"/>
          <w:lang w:val="es-ES_tradnl"/>
        </w:rPr>
        <w:t>».</w:t>
      </w:r>
      <w:r w:rsidR="003F57F9" w:rsidRPr="002F556D">
        <w:rPr>
          <w:rFonts w:ascii="Arial" w:hAnsi="Arial" w:cs="Arial"/>
          <w:noProof/>
          <w:sz w:val="22"/>
          <w:lang w:val="es-ES_tradnl"/>
        </w:rPr>
        <w:t xml:space="preserve"> </w:t>
      </w:r>
      <w:r w:rsidRPr="002F556D">
        <w:rPr>
          <w:rFonts w:ascii="Arial" w:hAnsi="Arial" w:cs="Arial"/>
          <w:noProof/>
          <w:sz w:val="22"/>
          <w:lang w:val="es-ES_tradnl"/>
        </w:rPr>
        <w:t xml:space="preserve">En </w:t>
      </w:r>
      <w:r w:rsidR="00DD79A6" w:rsidRPr="002F556D">
        <w:rPr>
          <w:rFonts w:ascii="Arial" w:hAnsi="Arial" w:cs="Arial"/>
          <w:noProof/>
          <w:sz w:val="22"/>
          <w:lang w:val="es-ES_tradnl"/>
        </w:rPr>
        <w:t>ese entendido</w:t>
      </w:r>
      <w:r w:rsidRPr="002F556D">
        <w:rPr>
          <w:rFonts w:ascii="Arial" w:hAnsi="Arial" w:cs="Arial"/>
          <w:noProof/>
          <w:sz w:val="22"/>
          <w:lang w:val="es-ES_tradnl"/>
        </w:rPr>
        <w:t xml:space="preserve">, unificó el sentido y alcance del </w:t>
      </w:r>
      <w:r w:rsidR="006A0904" w:rsidRPr="002F556D">
        <w:rPr>
          <w:rFonts w:ascii="Arial" w:hAnsi="Arial" w:cs="Arial"/>
          <w:noProof/>
          <w:sz w:val="22"/>
          <w:lang w:val="es-ES_tradnl"/>
        </w:rPr>
        <w:t>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sidR="0054167A">
        <w:rPr>
          <w:rFonts w:ascii="Arial" w:hAnsi="Arial" w:cs="Arial"/>
          <w:sz w:val="22"/>
        </w:rPr>
        <w:t xml:space="preserve"> </w:t>
      </w:r>
      <w:r w:rsidR="006A0904" w:rsidRPr="002F556D">
        <w:rPr>
          <w:rFonts w:ascii="Arial" w:hAnsi="Arial" w:cs="Arial"/>
          <w:sz w:val="22"/>
        </w:rPr>
        <w:t>De igual manera, señaló que «no cabe su empleo para la cobertura indefinida de necesidades permanentes o recurrentes».</w:t>
      </w:r>
      <w:r w:rsidR="008A5525" w:rsidRPr="002F556D">
        <w:rPr>
          <w:rFonts w:ascii="Arial" w:hAnsi="Arial" w:cs="Arial"/>
          <w:sz w:val="22"/>
        </w:rPr>
        <w:t xml:space="preserve"> </w:t>
      </w:r>
      <w:r w:rsidR="008357BF" w:rsidRPr="002F556D">
        <w:rPr>
          <w:rFonts w:ascii="Arial" w:hAnsi="Arial" w:cs="Arial"/>
          <w:noProof/>
          <w:sz w:val="22"/>
          <w:lang w:val="es-ES_tradnl"/>
        </w:rPr>
        <w:t>En sentido similar se manifestó</w:t>
      </w:r>
      <w:r w:rsidR="00CF2A50" w:rsidRPr="002F556D">
        <w:rPr>
          <w:rFonts w:ascii="Arial" w:hAnsi="Arial" w:cs="Arial"/>
          <w:noProof/>
          <w:sz w:val="22"/>
          <w:lang w:val="es-ES_tradnl"/>
        </w:rPr>
        <w:t xml:space="preserve"> la Corte Constitucional en la </w:t>
      </w:r>
      <w:r w:rsidR="00E649DB">
        <w:rPr>
          <w:rFonts w:ascii="Arial" w:hAnsi="Arial" w:cs="Arial"/>
          <w:noProof/>
          <w:sz w:val="22"/>
          <w:lang w:val="es-ES_tradnl"/>
        </w:rPr>
        <w:t>S</w:t>
      </w:r>
      <w:r w:rsidR="006A0904" w:rsidRPr="002F556D">
        <w:rPr>
          <w:rFonts w:ascii="Arial" w:hAnsi="Arial" w:cs="Arial"/>
          <w:noProof/>
          <w:sz w:val="22"/>
          <w:lang w:val="es-ES_tradnl"/>
        </w:rPr>
        <w:t xml:space="preserve">entencia C-154 de 1997, </w:t>
      </w:r>
      <w:r w:rsidR="00CF2A50" w:rsidRPr="002F556D">
        <w:rPr>
          <w:rFonts w:ascii="Arial" w:hAnsi="Arial" w:cs="Arial"/>
          <w:noProof/>
          <w:sz w:val="22"/>
          <w:lang w:val="es-ES_tradnl"/>
        </w:rPr>
        <w:t>expresando que:</w:t>
      </w:r>
    </w:p>
    <w:p w14:paraId="530FF6B7" w14:textId="77777777" w:rsidR="00CF2A50" w:rsidRPr="002F556D" w:rsidRDefault="00CF2A50" w:rsidP="00CF2A50">
      <w:pPr>
        <w:spacing w:line="276" w:lineRule="auto"/>
        <w:jc w:val="both"/>
        <w:rPr>
          <w:rFonts w:ascii="Arial" w:hAnsi="Arial" w:cs="Arial"/>
          <w:noProof/>
          <w:sz w:val="22"/>
          <w:lang w:val="es-ES_tradnl"/>
        </w:rPr>
      </w:pPr>
    </w:p>
    <w:p w14:paraId="2678B87A" w14:textId="77777777" w:rsidR="00CF2A50" w:rsidRPr="002F556D" w:rsidRDefault="00CF2A50" w:rsidP="00CF2A50">
      <w:pPr>
        <w:ind w:left="709" w:right="709"/>
        <w:jc w:val="both"/>
        <w:rPr>
          <w:rFonts w:ascii="Arial" w:hAnsi="Arial" w:cs="Arial"/>
          <w:noProof/>
          <w:sz w:val="21"/>
          <w:szCs w:val="21"/>
          <w:lang w:val="es-ES_tradnl"/>
        </w:rPr>
      </w:pPr>
      <w:r w:rsidRPr="002F556D">
        <w:rPr>
          <w:rFonts w:ascii="Arial" w:hAnsi="Arial" w:cs="Arial"/>
          <w:noProof/>
          <w:sz w:val="21"/>
          <w:szCs w:val="21"/>
          <w:lang w:val="es-ES_tradnl"/>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w:t>
      </w:r>
      <w:r w:rsidRPr="002F556D">
        <w:rPr>
          <w:rFonts w:ascii="Arial" w:hAnsi="Arial" w:cs="Arial"/>
          <w:noProof/>
          <w:sz w:val="21"/>
          <w:szCs w:val="21"/>
          <w:lang w:val="es-ES_tradnl"/>
        </w:rPr>
        <w:lastRenderedPageBreak/>
        <w:t>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2F556D">
        <w:rPr>
          <w:rStyle w:val="Refdenotaalpie"/>
          <w:rFonts w:ascii="Arial" w:hAnsi="Arial" w:cs="Arial"/>
          <w:noProof/>
          <w:sz w:val="21"/>
          <w:szCs w:val="21"/>
          <w:lang w:val="es-ES_tradnl"/>
        </w:rPr>
        <w:footnoteReference w:id="8"/>
      </w:r>
      <w:r w:rsidRPr="002F556D">
        <w:rPr>
          <w:rFonts w:ascii="Arial" w:hAnsi="Arial" w:cs="Arial"/>
          <w:noProof/>
          <w:sz w:val="21"/>
          <w:szCs w:val="21"/>
          <w:lang w:val="es-ES_tradnl"/>
        </w:rPr>
        <w:t>.</w:t>
      </w:r>
    </w:p>
    <w:p w14:paraId="0049ECAD" w14:textId="77777777" w:rsidR="00CF2A50" w:rsidRPr="00C94F0B" w:rsidRDefault="00CF2A50" w:rsidP="00C94F0B">
      <w:pPr>
        <w:spacing w:line="276" w:lineRule="auto"/>
        <w:ind w:left="709" w:right="709"/>
        <w:jc w:val="both"/>
        <w:rPr>
          <w:rFonts w:ascii="Arial" w:hAnsi="Arial" w:cs="Arial"/>
          <w:noProof/>
          <w:sz w:val="22"/>
          <w:lang w:val="es-ES_tradnl"/>
        </w:rPr>
      </w:pPr>
    </w:p>
    <w:p w14:paraId="30DE6C10" w14:textId="2BDD60DB" w:rsidR="00870E87" w:rsidRPr="002F556D" w:rsidRDefault="00CF2A50" w:rsidP="0026108A">
      <w:pPr>
        <w:spacing w:after="120" w:line="276" w:lineRule="auto"/>
        <w:ind w:firstLine="709"/>
        <w:jc w:val="both"/>
        <w:rPr>
          <w:rFonts w:ascii="Arial" w:hAnsi="Arial" w:cs="Arial"/>
          <w:noProof/>
          <w:sz w:val="22"/>
          <w:lang w:val="es-ES_tradnl"/>
        </w:rPr>
      </w:pPr>
      <w:r w:rsidRPr="002F556D">
        <w:rPr>
          <w:rFonts w:ascii="Arial" w:hAnsi="Arial" w:cs="Arial"/>
          <w:noProof/>
          <w:sz w:val="22"/>
          <w:lang w:val="es-ES_tradnl"/>
        </w:rPr>
        <w:t>v) Se celebran a través de la modalidad de contratación directa, independientemente de la cuantía y del tipo de servicio profesional, siempre que su objeto no sea la consultoría.</w:t>
      </w:r>
      <w:r w:rsidR="008A5525" w:rsidRPr="002F556D">
        <w:rPr>
          <w:rFonts w:ascii="Arial" w:hAnsi="Arial" w:cs="Arial"/>
          <w:noProof/>
          <w:sz w:val="22"/>
          <w:lang w:val="es-ES_tradnl"/>
        </w:rPr>
        <w:t xml:space="preserve"> </w:t>
      </w:r>
      <w:r w:rsidR="008357BF" w:rsidRPr="002F556D">
        <w:rPr>
          <w:rFonts w:ascii="Arial" w:hAnsi="Arial" w:cs="Arial"/>
          <w:noProof/>
          <w:sz w:val="22"/>
          <w:lang w:val="es-ES_tradnl"/>
        </w:rPr>
        <w:t>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008357BF" w:rsidRPr="002F556D">
        <w:rPr>
          <w:rStyle w:val="Refdenotaalpie"/>
          <w:rFonts w:ascii="Arial" w:hAnsi="Arial" w:cs="Arial"/>
          <w:noProof/>
          <w:sz w:val="22"/>
          <w:lang w:val="es-ES_tradnl"/>
        </w:rPr>
        <w:footnoteReference w:id="9"/>
      </w:r>
      <w:r w:rsidR="008357BF" w:rsidRPr="002F556D">
        <w:rPr>
          <w:rFonts w:ascii="Arial" w:hAnsi="Arial" w:cs="Arial"/>
          <w:noProof/>
          <w:sz w:val="22"/>
          <w:lang w:val="es-ES_tradnl"/>
        </w:rPr>
        <w:t>. Esto también se deriva d</w:t>
      </w:r>
      <w:r w:rsidR="00870E87" w:rsidRPr="002F556D">
        <w:rPr>
          <w:rFonts w:ascii="Arial" w:eastAsia="Calibri" w:hAnsi="Arial" w:cs="Arial"/>
          <w:color w:val="000000" w:themeColor="text1"/>
          <w:sz w:val="22"/>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r w:rsidR="0026108A">
        <w:rPr>
          <w:rFonts w:ascii="Arial" w:eastAsia="Calibri" w:hAnsi="Arial" w:cs="Arial"/>
          <w:color w:val="000000" w:themeColor="text1"/>
          <w:sz w:val="22"/>
          <w:lang w:val="es-ES_tradnl"/>
        </w:rPr>
        <w:t xml:space="preserve"> </w:t>
      </w:r>
      <w:r w:rsidR="0026108A" w:rsidRPr="000A091D">
        <w:rPr>
          <w:rFonts w:ascii="Arial" w:hAnsi="Arial" w:cs="Arial"/>
          <w:noProof/>
          <w:sz w:val="22"/>
          <w:lang w:val="es-ES_tradnl"/>
        </w:rPr>
        <w:t>Debe aclararse que no debe suscribirse un contrato de prestación de servicios profesionales para ejecutar actividades que se enmarcan en los otros contratos tipificados en el artículo 32 de la Ley 80 de 1993, como, por ejemplo, la construcción de una obra.</w:t>
      </w:r>
    </w:p>
    <w:p w14:paraId="6D31D049" w14:textId="52353FF8" w:rsidR="00CF2A50" w:rsidRPr="002F556D" w:rsidRDefault="00870E87" w:rsidP="00CF2A50">
      <w:pPr>
        <w:spacing w:after="120" w:line="276" w:lineRule="auto"/>
        <w:ind w:firstLine="709"/>
        <w:jc w:val="both"/>
        <w:rPr>
          <w:rFonts w:ascii="Arial" w:hAnsi="Arial" w:cs="Arial"/>
          <w:noProof/>
          <w:sz w:val="22"/>
          <w:lang w:val="es-ES_tradnl"/>
        </w:rPr>
      </w:pPr>
      <w:r w:rsidRPr="002F556D">
        <w:rPr>
          <w:rFonts w:ascii="Arial" w:hAnsi="Arial" w:cs="Arial"/>
          <w:noProof/>
          <w:sz w:val="22"/>
          <w:lang w:val="es-ES_tradnl"/>
        </w:rPr>
        <w:t>vi) Para su celebración</w:t>
      </w:r>
      <w:r w:rsidR="00CF2A50" w:rsidRPr="002F556D">
        <w:rPr>
          <w:rFonts w:ascii="Arial" w:hAnsi="Arial" w:cs="Arial"/>
          <w:noProof/>
          <w:sz w:val="22"/>
          <w:lang w:val="es-ES_tradnl"/>
        </w:rPr>
        <w:t xml:space="preserve"> no se requiere expedir un acto administrativo de justificación de la contratación directa</w:t>
      </w:r>
      <w:r w:rsidR="00CF2A50" w:rsidRPr="002F556D">
        <w:rPr>
          <w:rStyle w:val="Refdenotaalpie"/>
          <w:rFonts w:ascii="Arial" w:hAnsi="Arial" w:cs="Arial"/>
          <w:noProof/>
          <w:sz w:val="22"/>
          <w:lang w:val="es-ES_tradnl"/>
        </w:rPr>
        <w:footnoteReference w:id="10"/>
      </w:r>
      <w:r w:rsidR="00CF2A50" w:rsidRPr="002F556D">
        <w:rPr>
          <w:rFonts w:ascii="Arial" w:hAnsi="Arial" w:cs="Arial"/>
          <w:noProof/>
          <w:sz w:val="22"/>
          <w:lang w:val="es-ES_tradnl"/>
        </w:rPr>
        <w:t>.</w:t>
      </w:r>
    </w:p>
    <w:p w14:paraId="2B1081EC" w14:textId="56224C98" w:rsidR="00CF2A50" w:rsidRPr="002F556D" w:rsidRDefault="00CF2A50" w:rsidP="00CF2A50">
      <w:pPr>
        <w:spacing w:before="120" w:line="276" w:lineRule="auto"/>
        <w:ind w:firstLine="709"/>
        <w:jc w:val="both"/>
        <w:rPr>
          <w:rFonts w:ascii="Arial" w:hAnsi="Arial" w:cs="Arial"/>
          <w:noProof/>
          <w:sz w:val="22"/>
          <w:lang w:val="es-ES_tradnl"/>
        </w:rPr>
      </w:pPr>
      <w:r w:rsidRPr="002F556D">
        <w:rPr>
          <w:rFonts w:ascii="Arial" w:hAnsi="Arial" w:cs="Arial"/>
          <w:noProof/>
          <w:sz w:val="22"/>
          <w:lang w:val="es-ES_tradnl"/>
        </w:rPr>
        <w:t xml:space="preserve">vii) El contrato admite la inclusión de cláusulas excepcionales. En los contratos de prestación de servicios se puede pactar la caducidad, la modificación, interpretación o </w:t>
      </w:r>
      <w:r w:rsidRPr="002F556D">
        <w:rPr>
          <w:rFonts w:ascii="Arial" w:hAnsi="Arial" w:cs="Arial"/>
          <w:noProof/>
          <w:sz w:val="22"/>
          <w:lang w:val="es-ES_tradnl"/>
        </w:rPr>
        <w:lastRenderedPageBreak/>
        <w:t xml:space="preserve">terminación unilateral, como acuerdos o elementos accidentales, así que para ejercer estas exorbitancias deben incluirse expresamente, porque no se entienden pactadas </w:t>
      </w:r>
      <w:r w:rsidR="008357BF" w:rsidRPr="002F556D">
        <w:rPr>
          <w:rFonts w:ascii="Arial" w:hAnsi="Arial" w:cs="Arial"/>
          <w:noProof/>
          <w:sz w:val="22"/>
          <w:lang w:val="es-ES_tradnl"/>
        </w:rPr>
        <w:t>como cláusul</w:t>
      </w:r>
      <w:r w:rsidR="00AF33B6" w:rsidRPr="002F556D">
        <w:rPr>
          <w:rFonts w:ascii="Arial" w:hAnsi="Arial" w:cs="Arial"/>
          <w:noProof/>
          <w:sz w:val="22"/>
          <w:lang w:val="es-ES_tradnl"/>
        </w:rPr>
        <w:t>a</w:t>
      </w:r>
      <w:r w:rsidR="008357BF" w:rsidRPr="002F556D">
        <w:rPr>
          <w:rFonts w:ascii="Arial" w:hAnsi="Arial" w:cs="Arial"/>
          <w:noProof/>
          <w:sz w:val="22"/>
          <w:lang w:val="es-ES_tradnl"/>
        </w:rPr>
        <w:t xml:space="preserve"> de la </w:t>
      </w:r>
      <w:r w:rsidRPr="002F556D">
        <w:rPr>
          <w:rFonts w:ascii="Arial" w:hAnsi="Arial" w:cs="Arial"/>
          <w:noProof/>
          <w:sz w:val="22"/>
          <w:lang w:val="es-ES_tradnl"/>
        </w:rPr>
        <w:t>naturaleza. Así se infiere del artículo 14, numeral 2º, de la Ley 80 de 1993</w:t>
      </w:r>
      <w:r w:rsidRPr="002F556D">
        <w:rPr>
          <w:rStyle w:val="Refdenotaalpie"/>
          <w:rFonts w:ascii="Arial" w:hAnsi="Arial" w:cs="Arial"/>
          <w:noProof/>
          <w:sz w:val="22"/>
          <w:lang w:val="es-ES_tradnl"/>
        </w:rPr>
        <w:footnoteReference w:id="11"/>
      </w:r>
      <w:r w:rsidRPr="002F556D">
        <w:rPr>
          <w:rFonts w:ascii="Arial" w:hAnsi="Arial" w:cs="Arial"/>
          <w:noProof/>
          <w:sz w:val="22"/>
          <w:lang w:val="es-ES_tradnl"/>
        </w:rPr>
        <w:t>.</w:t>
      </w:r>
    </w:p>
    <w:p w14:paraId="335508E3" w14:textId="7DCF95D9" w:rsidR="00CF2A50" w:rsidRPr="002F556D" w:rsidRDefault="009366E7" w:rsidP="00CF2A50">
      <w:pPr>
        <w:spacing w:before="120" w:line="276" w:lineRule="auto"/>
        <w:ind w:firstLine="709"/>
        <w:jc w:val="both"/>
        <w:rPr>
          <w:rFonts w:ascii="Arial" w:hAnsi="Arial" w:cs="Arial"/>
          <w:noProof/>
          <w:sz w:val="22"/>
          <w:lang w:val="es-ES_tradnl"/>
        </w:rPr>
      </w:pPr>
      <w:r w:rsidRPr="002F556D">
        <w:rPr>
          <w:rFonts w:ascii="Arial" w:hAnsi="Arial" w:cs="Arial"/>
          <w:noProof/>
          <w:sz w:val="22"/>
          <w:lang w:val="es-ES_tradnl"/>
        </w:rPr>
        <w:t>viii) No es obligatoria la liquidación de</w:t>
      </w:r>
      <w:r w:rsidR="00CF2A50" w:rsidRPr="002F556D">
        <w:rPr>
          <w:rFonts w:ascii="Arial" w:hAnsi="Arial" w:cs="Arial"/>
          <w:noProof/>
          <w:sz w:val="22"/>
          <w:lang w:val="es-ES_tradnl"/>
        </w:rPr>
        <w:t xml:space="preserve"> estos contratos, como lo establece el artículo 217 del Decreto 019 de 2012, que modificó el artículo 60 de la Ley 80 de 1993</w:t>
      </w:r>
      <w:r w:rsidR="00CF2A50" w:rsidRPr="002F556D">
        <w:rPr>
          <w:rStyle w:val="Refdenotaalpie"/>
          <w:rFonts w:ascii="Arial" w:hAnsi="Arial" w:cs="Arial"/>
          <w:noProof/>
          <w:sz w:val="22"/>
          <w:lang w:val="es-ES_tradnl"/>
        </w:rPr>
        <w:footnoteReference w:id="12"/>
      </w:r>
      <w:r w:rsidR="00CF2A50" w:rsidRPr="002F556D">
        <w:rPr>
          <w:rFonts w:ascii="Arial" w:hAnsi="Arial" w:cs="Arial"/>
          <w:noProof/>
          <w:sz w:val="22"/>
          <w:lang w:val="es-ES_tradnl"/>
        </w:rPr>
        <w:t>.</w:t>
      </w:r>
    </w:p>
    <w:p w14:paraId="6042B13F" w14:textId="4BBE1835" w:rsidR="00CF2A50" w:rsidRPr="002F556D" w:rsidRDefault="009366E7" w:rsidP="00CF2A50">
      <w:pPr>
        <w:spacing w:before="120" w:line="276" w:lineRule="auto"/>
        <w:ind w:firstLine="709"/>
        <w:jc w:val="both"/>
        <w:rPr>
          <w:rFonts w:ascii="Arial" w:hAnsi="Arial" w:cs="Arial"/>
          <w:noProof/>
          <w:sz w:val="22"/>
          <w:lang w:val="es-ES_tradnl"/>
        </w:rPr>
      </w:pPr>
      <w:r w:rsidRPr="002F556D">
        <w:rPr>
          <w:rFonts w:ascii="Arial" w:hAnsi="Arial" w:cs="Arial"/>
          <w:noProof/>
          <w:sz w:val="22"/>
          <w:lang w:val="es-ES_tradnl"/>
        </w:rPr>
        <w:t xml:space="preserve">ix) Para su celebración el contratista no </w:t>
      </w:r>
      <w:r w:rsidR="00CF2A50" w:rsidRPr="002F556D">
        <w:rPr>
          <w:rFonts w:ascii="Arial" w:hAnsi="Arial" w:cs="Arial"/>
          <w:noProof/>
          <w:sz w:val="22"/>
          <w:lang w:val="es-ES_tradnl"/>
        </w:rPr>
        <w:t>requiere estar inscrito en el Registro Único de Proponentes –RUP–, como lo señala el artículo 6 de la Ley 1150 de 2007</w:t>
      </w:r>
      <w:r w:rsidR="00CF2A50" w:rsidRPr="002F556D">
        <w:rPr>
          <w:rStyle w:val="Refdenotaalpie"/>
          <w:rFonts w:ascii="Arial" w:hAnsi="Arial" w:cs="Arial"/>
          <w:noProof/>
          <w:sz w:val="22"/>
          <w:lang w:val="es-ES_tradnl"/>
        </w:rPr>
        <w:footnoteReference w:id="13"/>
      </w:r>
      <w:r w:rsidR="00CF2A50" w:rsidRPr="002F556D">
        <w:rPr>
          <w:rFonts w:ascii="Arial" w:hAnsi="Arial" w:cs="Arial"/>
          <w:noProof/>
          <w:sz w:val="22"/>
          <w:lang w:val="es-ES_tradnl"/>
        </w:rPr>
        <w:t>.</w:t>
      </w:r>
    </w:p>
    <w:p w14:paraId="7996B458" w14:textId="14AAC05E" w:rsidR="00CF2A50" w:rsidRPr="002F556D" w:rsidRDefault="009366E7" w:rsidP="00CF2A50">
      <w:pPr>
        <w:spacing w:before="120" w:line="276" w:lineRule="auto"/>
        <w:ind w:firstLine="708"/>
        <w:jc w:val="both"/>
        <w:rPr>
          <w:rFonts w:ascii="Arial" w:hAnsi="Arial" w:cs="Arial"/>
          <w:noProof/>
          <w:sz w:val="22"/>
          <w:lang w:val="es-ES_tradnl"/>
        </w:rPr>
      </w:pPr>
      <w:r w:rsidRPr="002F556D">
        <w:rPr>
          <w:rFonts w:ascii="Arial" w:hAnsi="Arial" w:cs="Arial"/>
          <w:noProof/>
          <w:sz w:val="22"/>
          <w:lang w:val="es-ES_tradnl"/>
        </w:rPr>
        <w:t>x) No es oblig</w:t>
      </w:r>
      <w:r w:rsidR="0002636D">
        <w:rPr>
          <w:rFonts w:ascii="Arial" w:hAnsi="Arial" w:cs="Arial"/>
          <w:noProof/>
          <w:sz w:val="22"/>
          <w:lang w:val="es-ES_tradnl"/>
        </w:rPr>
        <w:t>a</w:t>
      </w:r>
      <w:r w:rsidRPr="002F556D">
        <w:rPr>
          <w:rFonts w:ascii="Arial" w:hAnsi="Arial" w:cs="Arial"/>
          <w:noProof/>
          <w:sz w:val="22"/>
          <w:lang w:val="es-ES_tradnl"/>
        </w:rPr>
        <w:t>toria la exigencia de</w:t>
      </w:r>
      <w:r w:rsidR="00CF2A50" w:rsidRPr="002F556D">
        <w:rPr>
          <w:rFonts w:ascii="Arial" w:hAnsi="Arial" w:cs="Arial"/>
          <w:noProof/>
          <w:sz w:val="22"/>
          <w:lang w:val="es-ES_tradnl"/>
        </w:rPr>
        <w:t xml:space="preserve"> garantías</w:t>
      </w:r>
      <w:r w:rsidR="00CF2A50" w:rsidRPr="002F556D">
        <w:rPr>
          <w:rStyle w:val="Refdenotaalpie"/>
          <w:rFonts w:ascii="Arial" w:hAnsi="Arial" w:cs="Arial"/>
          <w:noProof/>
          <w:sz w:val="22"/>
          <w:lang w:val="es-ES_tradnl"/>
        </w:rPr>
        <w:footnoteReference w:id="14"/>
      </w:r>
      <w:r w:rsidR="00CF2A50" w:rsidRPr="002F556D">
        <w:rPr>
          <w:rFonts w:ascii="Arial" w:hAnsi="Arial" w:cs="Arial"/>
          <w:noProof/>
          <w:sz w:val="22"/>
          <w:lang w:val="es-ES_tradnl"/>
        </w:rPr>
        <w:t>.</w:t>
      </w:r>
    </w:p>
    <w:p w14:paraId="2AFEFE44" w14:textId="33EBC397" w:rsidR="009366E7" w:rsidRPr="002F556D" w:rsidRDefault="009366E7" w:rsidP="00CF2A50">
      <w:pPr>
        <w:spacing w:before="120" w:line="276" w:lineRule="auto"/>
        <w:ind w:firstLine="708"/>
        <w:jc w:val="both"/>
        <w:rPr>
          <w:rFonts w:ascii="Arial" w:hAnsi="Arial" w:cs="Arial"/>
          <w:noProof/>
          <w:sz w:val="22"/>
          <w:lang w:val="es-ES"/>
        </w:rPr>
      </w:pPr>
      <w:r w:rsidRPr="002F556D">
        <w:rPr>
          <w:rFonts w:ascii="Arial" w:hAnsi="Arial" w:cs="Arial"/>
          <w:noProof/>
          <w:sz w:val="22"/>
          <w:lang w:val="es-ES_tradnl"/>
        </w:rPr>
        <w:t>xi) Como los demás contratos estatales, se trata de un contrato solemne que debe constar por escrito y debe ser publicado en el SECOP.</w:t>
      </w:r>
    </w:p>
    <w:p w14:paraId="25919AD7" w14:textId="62412A5E" w:rsidR="00CF2A50" w:rsidRPr="002F556D" w:rsidRDefault="009366E7" w:rsidP="00CF2A50">
      <w:pPr>
        <w:tabs>
          <w:tab w:val="left" w:pos="0"/>
        </w:tabs>
        <w:spacing w:before="120" w:line="276" w:lineRule="auto"/>
        <w:ind w:firstLine="709"/>
        <w:jc w:val="both"/>
        <w:rPr>
          <w:rFonts w:ascii="Arial" w:hAnsi="Arial" w:cs="Arial"/>
          <w:color w:val="000000" w:themeColor="text1"/>
          <w:sz w:val="21"/>
          <w:szCs w:val="21"/>
        </w:rPr>
      </w:pPr>
      <w:r w:rsidRPr="002F556D">
        <w:rPr>
          <w:rFonts w:ascii="Arial" w:hAnsi="Arial" w:cs="Arial"/>
          <w:color w:val="000000" w:themeColor="text1"/>
          <w:sz w:val="22"/>
          <w:lang w:val="es-ES"/>
        </w:rPr>
        <w:t>xii) C</w:t>
      </w:r>
      <w:r w:rsidR="00CF2A50" w:rsidRPr="002F556D">
        <w:rPr>
          <w:rFonts w:ascii="Arial" w:hAnsi="Arial" w:cs="Arial"/>
          <w:color w:val="000000" w:themeColor="text1"/>
          <w:sz w:val="22"/>
        </w:rPr>
        <w:t xml:space="preserve">omo especies del género </w:t>
      </w:r>
      <w:r w:rsidR="00CF2A50" w:rsidRPr="002F556D">
        <w:rPr>
          <w:rFonts w:ascii="Arial" w:hAnsi="Arial" w:cs="Arial"/>
          <w:i/>
          <w:color w:val="000000" w:themeColor="text1"/>
          <w:sz w:val="22"/>
        </w:rPr>
        <w:t>prestación de servicios,</w:t>
      </w:r>
      <w:r w:rsidR="00CF2A50" w:rsidRPr="002F556D">
        <w:rPr>
          <w:rFonts w:ascii="Arial" w:hAnsi="Arial" w:cs="Arial"/>
          <w:color w:val="000000" w:themeColor="text1"/>
          <w:sz w:val="22"/>
        </w:rPr>
        <w:t xml:space="preserve"> se incluyen </w:t>
      </w:r>
      <w:r w:rsidR="00CF2A50" w:rsidRPr="002F556D">
        <w:rPr>
          <w:rFonts w:ascii="Arial" w:hAnsi="Arial" w:cs="Arial"/>
          <w:color w:val="000000" w:themeColor="text1"/>
          <w:sz w:val="22"/>
          <w:lang w:val="es-ES_tradnl"/>
        </w:rPr>
        <w:t xml:space="preserve">los </w:t>
      </w:r>
      <w:r w:rsidR="00CF2A50" w:rsidRPr="002F556D">
        <w:rPr>
          <w:rFonts w:ascii="Arial" w:hAnsi="Arial" w:cs="Arial"/>
          <w:i/>
          <w:iCs/>
          <w:color w:val="000000" w:themeColor="text1"/>
          <w:sz w:val="22"/>
          <w:lang w:val="es-ES_tradnl"/>
        </w:rPr>
        <w:t xml:space="preserve">contratos de prestación de servicios profesionales, los contratos de prestación de servicios </w:t>
      </w:r>
      <w:r w:rsidR="008357BF" w:rsidRPr="002F556D">
        <w:rPr>
          <w:rFonts w:ascii="Arial" w:hAnsi="Arial" w:cs="Arial"/>
          <w:i/>
          <w:iCs/>
          <w:color w:val="000000" w:themeColor="text1"/>
          <w:sz w:val="22"/>
          <w:lang w:val="es-ES_tradnl"/>
        </w:rPr>
        <w:t xml:space="preserve">de </w:t>
      </w:r>
      <w:r w:rsidR="00CF2A50" w:rsidRPr="002F556D">
        <w:rPr>
          <w:rFonts w:ascii="Arial" w:hAnsi="Arial" w:cs="Arial"/>
          <w:i/>
          <w:iCs/>
          <w:color w:val="000000" w:themeColor="text1"/>
          <w:sz w:val="22"/>
          <w:lang w:val="es-ES_tradnl"/>
        </w:rPr>
        <w:t>apoyo a la gestión</w:t>
      </w:r>
      <w:r w:rsidR="00CF2A50" w:rsidRPr="002F556D">
        <w:rPr>
          <w:rFonts w:ascii="Arial" w:hAnsi="Arial" w:cs="Arial"/>
          <w:color w:val="000000" w:themeColor="text1"/>
          <w:sz w:val="22"/>
          <w:lang w:val="es-ES_tradnl"/>
        </w:rPr>
        <w:t xml:space="preserve"> y los </w:t>
      </w:r>
      <w:r w:rsidR="00CF2A50" w:rsidRPr="002F556D">
        <w:rPr>
          <w:rFonts w:ascii="Arial" w:hAnsi="Arial" w:cs="Arial"/>
          <w:i/>
          <w:iCs/>
          <w:color w:val="000000" w:themeColor="text1"/>
          <w:sz w:val="22"/>
          <w:lang w:val="es-ES_tradnl"/>
        </w:rPr>
        <w:t xml:space="preserve">contratos de prestación de servicios artísticos que solo pueden </w:t>
      </w:r>
      <w:r w:rsidR="00CF2A50" w:rsidRPr="002F556D">
        <w:rPr>
          <w:rFonts w:ascii="Arial" w:hAnsi="Arial" w:cs="Arial"/>
          <w:i/>
          <w:iCs/>
          <w:color w:val="000000" w:themeColor="text1"/>
          <w:sz w:val="22"/>
          <w:lang w:val="es-ES_tradnl"/>
        </w:rPr>
        <w:lastRenderedPageBreak/>
        <w:t>encomendarse a determinadas personas naturales</w:t>
      </w:r>
      <w:r w:rsidR="00CF2A50" w:rsidRPr="002F556D">
        <w:rPr>
          <w:rFonts w:ascii="Arial" w:hAnsi="Arial" w:cs="Arial"/>
          <w:color w:val="000000" w:themeColor="text1"/>
          <w:sz w:val="22"/>
          <w:vertAlign w:val="superscript"/>
          <w:lang w:val="es-ES_tradnl"/>
        </w:rPr>
        <w:footnoteReference w:id="15"/>
      </w:r>
      <w:r w:rsidR="00CF2A50" w:rsidRPr="002F556D">
        <w:rPr>
          <w:rFonts w:ascii="Arial" w:hAnsi="Arial" w:cs="Arial"/>
          <w:color w:val="000000" w:themeColor="text1"/>
          <w:sz w:val="22"/>
        </w:rPr>
        <w:t xml:space="preserve">. </w:t>
      </w:r>
      <w:r w:rsidR="00CF2A50" w:rsidRPr="002F556D">
        <w:rPr>
          <w:rFonts w:ascii="Arial" w:hAnsi="Arial" w:cs="Arial"/>
          <w:color w:val="000000" w:themeColor="text1"/>
          <w:sz w:val="22"/>
          <w:lang w:val="es-ES_tradnl"/>
        </w:rPr>
        <w:t xml:space="preserve">La diferencia entre el contrato de prestación de servicios </w:t>
      </w:r>
      <w:r w:rsidR="00CF2A50" w:rsidRPr="002F556D">
        <w:rPr>
          <w:rFonts w:ascii="Arial" w:hAnsi="Arial" w:cs="Arial"/>
          <w:i/>
          <w:color w:val="000000" w:themeColor="text1"/>
          <w:sz w:val="22"/>
          <w:lang w:val="es-ES_tradnl"/>
        </w:rPr>
        <w:t>profesionales</w:t>
      </w:r>
      <w:r w:rsidR="00CF2A50" w:rsidRPr="002F556D">
        <w:rPr>
          <w:rFonts w:ascii="Arial" w:hAnsi="Arial" w:cs="Arial"/>
          <w:color w:val="000000" w:themeColor="text1"/>
          <w:sz w:val="22"/>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5DEE0225" w14:textId="77777777" w:rsidR="00CF2A50" w:rsidRPr="002F556D" w:rsidRDefault="00CF2A50" w:rsidP="00CF2A50">
      <w:pPr>
        <w:spacing w:line="276" w:lineRule="auto"/>
        <w:ind w:firstLine="709"/>
        <w:jc w:val="both"/>
        <w:rPr>
          <w:rFonts w:ascii="Arial" w:hAnsi="Arial" w:cs="Arial"/>
          <w:color w:val="000000" w:themeColor="text1"/>
          <w:sz w:val="22"/>
          <w:lang w:val="es-ES_tradnl"/>
        </w:rPr>
      </w:pPr>
    </w:p>
    <w:p w14:paraId="0ED52FB1" w14:textId="77777777" w:rsidR="00CF2A50" w:rsidRPr="002F556D" w:rsidRDefault="00CF2A50" w:rsidP="00CF2A50">
      <w:pPr>
        <w:ind w:left="709" w:right="709"/>
        <w:jc w:val="both"/>
        <w:rPr>
          <w:rFonts w:ascii="Arial" w:hAnsi="Arial" w:cs="Arial"/>
          <w:color w:val="000000" w:themeColor="text1"/>
          <w:sz w:val="21"/>
          <w:szCs w:val="21"/>
          <w:lang w:val="es-ES_tradnl"/>
        </w:rPr>
      </w:pPr>
      <w:r w:rsidRPr="002F556D">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2F556D">
        <w:rPr>
          <w:rStyle w:val="Refdenotaalpie"/>
          <w:rFonts w:ascii="Arial" w:hAnsi="Arial" w:cs="Arial"/>
          <w:color w:val="000000" w:themeColor="text1"/>
          <w:sz w:val="21"/>
          <w:szCs w:val="21"/>
          <w:lang w:val="es-ES_tradnl"/>
        </w:rPr>
        <w:footnoteReference w:id="16"/>
      </w:r>
      <w:r w:rsidRPr="002F556D">
        <w:rPr>
          <w:rFonts w:ascii="Arial" w:hAnsi="Arial" w:cs="Arial"/>
          <w:color w:val="000000" w:themeColor="text1"/>
          <w:sz w:val="21"/>
          <w:szCs w:val="21"/>
          <w:lang w:val="es-ES_tradnl"/>
        </w:rPr>
        <w:t>.</w:t>
      </w:r>
    </w:p>
    <w:p w14:paraId="23936282" w14:textId="77777777" w:rsidR="00CF2A50" w:rsidRPr="002F556D" w:rsidRDefault="00CF2A50" w:rsidP="00CF2A50">
      <w:pPr>
        <w:spacing w:line="276" w:lineRule="auto"/>
        <w:ind w:firstLine="709"/>
        <w:jc w:val="both"/>
        <w:rPr>
          <w:rFonts w:ascii="Arial" w:hAnsi="Arial" w:cs="Arial"/>
          <w:color w:val="000000" w:themeColor="text1"/>
          <w:sz w:val="22"/>
          <w:lang w:val="es-ES_tradnl"/>
        </w:rPr>
      </w:pPr>
    </w:p>
    <w:p w14:paraId="6836DA75" w14:textId="77777777" w:rsidR="00CF2A50" w:rsidRPr="002F556D" w:rsidRDefault="00CF2A50" w:rsidP="00CF2A50">
      <w:pPr>
        <w:spacing w:line="276" w:lineRule="auto"/>
        <w:ind w:firstLine="709"/>
        <w:jc w:val="both"/>
        <w:rPr>
          <w:rFonts w:ascii="Arial" w:hAnsi="Arial" w:cs="Arial"/>
          <w:color w:val="000000" w:themeColor="text1"/>
          <w:sz w:val="22"/>
          <w:lang w:val="es-ES_tradnl"/>
        </w:rPr>
      </w:pPr>
      <w:r w:rsidRPr="002F556D">
        <w:rPr>
          <w:rFonts w:ascii="Arial" w:hAnsi="Arial" w:cs="Arial"/>
          <w:color w:val="000000" w:themeColor="text1"/>
          <w:sz w:val="22"/>
          <w:lang w:val="es-ES_tradnl"/>
        </w:rPr>
        <w:t xml:space="preserve">Lo expuesto, según la jurisprudencia citada, se diferencia del objeto del </w:t>
      </w:r>
      <w:r w:rsidRPr="002F556D">
        <w:rPr>
          <w:rFonts w:ascii="Arial" w:hAnsi="Arial" w:cs="Arial"/>
          <w:i/>
          <w:iCs/>
          <w:color w:val="000000" w:themeColor="text1"/>
          <w:sz w:val="22"/>
          <w:lang w:val="es-ES_tradnl"/>
        </w:rPr>
        <w:t>contrato de prestación de servicios de apoyo a la gestión</w:t>
      </w:r>
      <w:r w:rsidRPr="002F556D">
        <w:rPr>
          <w:rFonts w:ascii="Arial" w:hAnsi="Arial" w:cs="Arial"/>
          <w:color w:val="000000" w:themeColor="text1"/>
          <w:sz w:val="22"/>
          <w:lang w:val="es-ES_tradnl"/>
        </w:rPr>
        <w:t>, en los siguientes aspectos:</w:t>
      </w:r>
    </w:p>
    <w:p w14:paraId="1B67B46A" w14:textId="77777777" w:rsidR="00CF2A50" w:rsidRPr="002F556D" w:rsidRDefault="00CF2A50" w:rsidP="00CF2A50">
      <w:pPr>
        <w:spacing w:line="276" w:lineRule="auto"/>
        <w:ind w:firstLine="709"/>
        <w:jc w:val="both"/>
        <w:rPr>
          <w:rFonts w:ascii="Arial" w:hAnsi="Arial" w:cs="Arial"/>
          <w:color w:val="000000" w:themeColor="text1"/>
          <w:sz w:val="22"/>
          <w:lang w:val="es-ES_tradnl"/>
        </w:rPr>
      </w:pPr>
    </w:p>
    <w:p w14:paraId="74810E49" w14:textId="77777777" w:rsidR="00CF2A50" w:rsidRPr="002F556D" w:rsidRDefault="00CF2A50" w:rsidP="00CF2A50">
      <w:pPr>
        <w:spacing w:after="120"/>
        <w:ind w:left="709" w:right="709"/>
        <w:jc w:val="both"/>
        <w:rPr>
          <w:rFonts w:ascii="Arial" w:hAnsi="Arial" w:cs="Arial"/>
          <w:color w:val="000000" w:themeColor="text1"/>
          <w:sz w:val="21"/>
          <w:szCs w:val="21"/>
          <w:lang w:val="es-ES_tradnl"/>
        </w:rPr>
      </w:pPr>
      <w:r w:rsidRPr="002F556D">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60E072D" w14:textId="77777777" w:rsidR="00CF2A50" w:rsidRPr="002F556D" w:rsidRDefault="00CF2A50" w:rsidP="00CF2A50">
      <w:pPr>
        <w:spacing w:after="120"/>
        <w:ind w:left="709" w:right="709"/>
        <w:jc w:val="both"/>
        <w:rPr>
          <w:rFonts w:ascii="Arial" w:hAnsi="Arial" w:cs="Arial"/>
          <w:color w:val="000000" w:themeColor="text1"/>
          <w:sz w:val="21"/>
          <w:szCs w:val="21"/>
          <w:lang w:val="es-ES_tradnl"/>
        </w:rPr>
      </w:pPr>
      <w:r w:rsidRPr="002F556D">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3335F82E" w14:textId="77777777" w:rsidR="00CF2A50" w:rsidRPr="002F556D" w:rsidRDefault="00CF2A50" w:rsidP="00CF2A50">
      <w:pPr>
        <w:ind w:left="709" w:right="709"/>
        <w:jc w:val="both"/>
        <w:rPr>
          <w:rFonts w:ascii="Arial" w:hAnsi="Arial" w:cs="Arial"/>
          <w:color w:val="000000" w:themeColor="text1"/>
          <w:sz w:val="21"/>
          <w:szCs w:val="21"/>
          <w:lang w:val="es-ES_tradnl"/>
        </w:rPr>
      </w:pPr>
      <w:r w:rsidRPr="002F556D">
        <w:rPr>
          <w:rFonts w:ascii="Arial" w:hAnsi="Arial" w:cs="Arial"/>
          <w:color w:val="000000" w:themeColor="text1"/>
          <w:sz w:val="21"/>
          <w:szCs w:val="21"/>
          <w:lang w:val="es-ES_tradnl"/>
        </w:rPr>
        <w:t xml:space="preserve">Dentro de su objeto contractual pueden tener lugar actividades operativas, logísticas o asistenciales, siempre que satisfaga los requisitos antes </w:t>
      </w:r>
      <w:r w:rsidRPr="002F556D">
        <w:rPr>
          <w:rFonts w:ascii="Arial" w:hAnsi="Arial" w:cs="Arial"/>
          <w:color w:val="000000" w:themeColor="text1"/>
          <w:sz w:val="21"/>
          <w:szCs w:val="21"/>
          <w:lang w:val="es-ES_tradnl"/>
        </w:rPr>
        <w:lastRenderedPageBreak/>
        <w:t>mencionados y sea acorde con las necesidades de la Administración y el principio de planeación</w:t>
      </w:r>
      <w:r w:rsidRPr="002F556D">
        <w:rPr>
          <w:rStyle w:val="Refdenotaalpie"/>
          <w:rFonts w:ascii="Arial" w:hAnsi="Arial" w:cs="Arial"/>
          <w:color w:val="000000" w:themeColor="text1"/>
          <w:sz w:val="21"/>
          <w:szCs w:val="21"/>
          <w:lang w:val="es-ES_tradnl"/>
        </w:rPr>
        <w:footnoteReference w:id="17"/>
      </w:r>
      <w:r w:rsidRPr="002F556D">
        <w:rPr>
          <w:rFonts w:ascii="Arial" w:hAnsi="Arial" w:cs="Arial"/>
          <w:color w:val="000000" w:themeColor="text1"/>
          <w:sz w:val="21"/>
          <w:szCs w:val="21"/>
          <w:lang w:val="es-ES_tradnl"/>
        </w:rPr>
        <w:t>.</w:t>
      </w:r>
    </w:p>
    <w:p w14:paraId="387EC458" w14:textId="77777777" w:rsidR="00CF2A50" w:rsidRPr="002F556D" w:rsidRDefault="00CF2A50" w:rsidP="00CF2A50">
      <w:pPr>
        <w:spacing w:line="276" w:lineRule="auto"/>
        <w:ind w:firstLine="709"/>
        <w:jc w:val="both"/>
        <w:rPr>
          <w:rFonts w:ascii="Arial" w:hAnsi="Arial" w:cs="Arial"/>
          <w:color w:val="000000" w:themeColor="text1"/>
          <w:sz w:val="22"/>
          <w:lang w:val="es-ES_tradnl"/>
        </w:rPr>
      </w:pPr>
    </w:p>
    <w:p w14:paraId="723F3051" w14:textId="77777777" w:rsidR="00CF2A50" w:rsidRPr="002F556D" w:rsidRDefault="00CF2A50" w:rsidP="00CF2A50">
      <w:pPr>
        <w:spacing w:line="276" w:lineRule="auto"/>
        <w:ind w:firstLine="709"/>
        <w:jc w:val="both"/>
        <w:rPr>
          <w:rFonts w:ascii="Arial" w:hAnsi="Arial" w:cs="Arial"/>
          <w:color w:val="000000" w:themeColor="text1"/>
          <w:sz w:val="22"/>
          <w:lang w:val="es-ES_tradnl"/>
        </w:rPr>
      </w:pPr>
      <w:r w:rsidRPr="002F556D">
        <w:rPr>
          <w:rFonts w:ascii="Arial" w:hAnsi="Arial" w:cs="Arial"/>
          <w:color w:val="000000" w:themeColor="text1"/>
          <w:sz w:val="22"/>
          <w:lang w:val="es-ES_tradnl"/>
        </w:rPr>
        <w:t xml:space="preserve">En relación con el </w:t>
      </w:r>
      <w:r w:rsidRPr="002F556D">
        <w:rPr>
          <w:rFonts w:ascii="Arial" w:hAnsi="Arial" w:cs="Arial"/>
          <w:i/>
          <w:iCs/>
          <w:color w:val="000000" w:themeColor="text1"/>
          <w:sz w:val="22"/>
          <w:lang w:val="es-ES_tradnl"/>
        </w:rPr>
        <w:t>contrato de prestación de servicios artísticos que solo pueden encomendarse a determinadas personas naturales</w:t>
      </w:r>
      <w:r w:rsidRPr="002F556D">
        <w:rPr>
          <w:rFonts w:ascii="Arial" w:hAnsi="Arial" w:cs="Arial"/>
          <w:color w:val="000000" w:themeColor="text1"/>
          <w:sz w:val="22"/>
          <w:lang w:val="es-ES_tradnl"/>
        </w:rPr>
        <w:t>, señala la mencionada decisión judicial lo siguiente:</w:t>
      </w:r>
    </w:p>
    <w:p w14:paraId="7D2D9725" w14:textId="77777777" w:rsidR="00CF2A50" w:rsidRPr="002F556D" w:rsidRDefault="00CF2A50" w:rsidP="00CF2A50">
      <w:pPr>
        <w:ind w:left="709" w:right="709"/>
        <w:jc w:val="both"/>
        <w:rPr>
          <w:rFonts w:ascii="Arial" w:hAnsi="Arial" w:cs="Arial"/>
          <w:color w:val="000000" w:themeColor="text1"/>
          <w:sz w:val="21"/>
          <w:szCs w:val="21"/>
          <w:lang w:val="es-ES_tradnl"/>
        </w:rPr>
      </w:pPr>
    </w:p>
    <w:p w14:paraId="590C733B" w14:textId="77777777" w:rsidR="00CF2A50" w:rsidRPr="002F556D" w:rsidRDefault="00CF2A50" w:rsidP="00CF2A50">
      <w:pPr>
        <w:ind w:left="709" w:right="709"/>
        <w:jc w:val="both"/>
        <w:rPr>
          <w:rFonts w:ascii="Arial" w:hAnsi="Arial" w:cs="Arial"/>
          <w:color w:val="000000" w:themeColor="text1"/>
          <w:sz w:val="21"/>
          <w:szCs w:val="21"/>
          <w:lang w:val="es-ES_tradnl"/>
        </w:rPr>
      </w:pPr>
      <w:r w:rsidRPr="002F556D">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2F556D">
        <w:rPr>
          <w:rStyle w:val="Refdenotaalpie"/>
          <w:rFonts w:ascii="Arial" w:hAnsi="Arial" w:cs="Arial"/>
          <w:color w:val="000000" w:themeColor="text1"/>
          <w:sz w:val="21"/>
          <w:szCs w:val="21"/>
          <w:lang w:val="es-ES_tradnl"/>
        </w:rPr>
        <w:footnoteReference w:id="18"/>
      </w:r>
      <w:r w:rsidRPr="002F556D">
        <w:rPr>
          <w:rFonts w:ascii="Arial" w:hAnsi="Arial" w:cs="Arial"/>
          <w:color w:val="000000" w:themeColor="text1"/>
          <w:sz w:val="21"/>
          <w:szCs w:val="21"/>
          <w:lang w:val="es-ES_tradnl"/>
        </w:rPr>
        <w:t>.</w:t>
      </w:r>
    </w:p>
    <w:p w14:paraId="4DAD83F6" w14:textId="77777777" w:rsidR="00CF2A50" w:rsidRPr="002F556D" w:rsidRDefault="00CF2A50" w:rsidP="00CF2A50">
      <w:pPr>
        <w:ind w:left="709" w:right="709"/>
        <w:jc w:val="both"/>
        <w:rPr>
          <w:rFonts w:ascii="Arial" w:hAnsi="Arial" w:cs="Arial"/>
          <w:color w:val="000000" w:themeColor="text1"/>
          <w:sz w:val="21"/>
          <w:szCs w:val="21"/>
          <w:lang w:val="es-ES_tradnl"/>
        </w:rPr>
      </w:pPr>
    </w:p>
    <w:p w14:paraId="14AC52EE" w14:textId="17CA20B0" w:rsidR="00CF2A50" w:rsidRPr="002F556D" w:rsidRDefault="00CF2A50" w:rsidP="00E47691">
      <w:pPr>
        <w:spacing w:line="276" w:lineRule="auto"/>
        <w:ind w:firstLine="709"/>
        <w:jc w:val="both"/>
        <w:rPr>
          <w:rFonts w:ascii="Arial" w:hAnsi="Arial" w:cs="Arial"/>
          <w:color w:val="000000" w:themeColor="text1"/>
          <w:sz w:val="22"/>
        </w:rPr>
      </w:pPr>
      <w:r w:rsidRPr="002F556D">
        <w:rPr>
          <w:rFonts w:ascii="Arial" w:hAnsi="Arial" w:cs="Arial"/>
          <w:color w:val="000000" w:themeColor="text1"/>
          <w:sz w:val="22"/>
          <w:lang w:val="es-ES_tradnl"/>
        </w:rPr>
        <w:t xml:space="preserve">En este sentido, el contrato de prestación de servicios </w:t>
      </w:r>
      <w:r w:rsidRPr="002F556D">
        <w:rPr>
          <w:rFonts w:ascii="Arial" w:hAnsi="Arial" w:cs="Arial"/>
          <w:i/>
          <w:iCs/>
          <w:color w:val="000000" w:themeColor="text1"/>
          <w:sz w:val="22"/>
          <w:lang w:val="es-ES_tradnl"/>
        </w:rPr>
        <w:t>profesionales</w:t>
      </w:r>
      <w:r w:rsidRPr="002F556D">
        <w:rPr>
          <w:rFonts w:ascii="Arial" w:hAnsi="Arial" w:cs="Arial"/>
          <w:color w:val="000000" w:themeColor="text1"/>
          <w:sz w:val="22"/>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2F556D">
        <w:rPr>
          <w:rFonts w:ascii="Arial" w:hAnsi="Arial" w:cs="Arial"/>
          <w:i/>
          <w:iCs/>
          <w:color w:val="000000" w:themeColor="text1"/>
          <w:sz w:val="22"/>
          <w:lang w:val="es-ES_tradnl"/>
        </w:rPr>
        <w:t>saber intelectivo cualificado.</w:t>
      </w:r>
      <w:r w:rsidRPr="002F556D">
        <w:rPr>
          <w:rFonts w:ascii="Arial" w:hAnsi="Arial" w:cs="Arial"/>
          <w:color w:val="000000" w:themeColor="text1"/>
          <w:sz w:val="22"/>
          <w:lang w:val="es-ES_tradnl"/>
        </w:rPr>
        <w:t xml:space="preserve"> En cambio, los contratos de prestación de servicios de </w:t>
      </w:r>
      <w:r w:rsidRPr="002F556D">
        <w:rPr>
          <w:rFonts w:ascii="Arial" w:hAnsi="Arial" w:cs="Arial"/>
          <w:i/>
          <w:iCs/>
          <w:color w:val="000000" w:themeColor="text1"/>
          <w:sz w:val="22"/>
          <w:lang w:val="es-ES_tradnl"/>
        </w:rPr>
        <w:t>apoyo a la gestión</w:t>
      </w:r>
      <w:r w:rsidRPr="002F556D">
        <w:rPr>
          <w:rFonts w:ascii="Arial" w:hAnsi="Arial" w:cs="Arial"/>
          <w:color w:val="000000" w:themeColor="text1"/>
          <w:sz w:val="22"/>
          <w:lang w:val="es-ES_tradnl"/>
        </w:rPr>
        <w:t xml:space="preserve"> y de </w:t>
      </w:r>
      <w:r w:rsidRPr="002F556D">
        <w:rPr>
          <w:rFonts w:ascii="Arial" w:hAnsi="Arial" w:cs="Arial"/>
          <w:i/>
          <w:iCs/>
          <w:color w:val="000000" w:themeColor="text1"/>
          <w:sz w:val="22"/>
          <w:lang w:val="es-ES_tradnl"/>
        </w:rPr>
        <w:t>servicios artísticos</w:t>
      </w:r>
      <w:r w:rsidRPr="002F556D">
        <w:rPr>
          <w:rFonts w:ascii="Arial" w:hAnsi="Arial" w:cs="Arial"/>
          <w:color w:val="000000" w:themeColor="text1"/>
          <w:sz w:val="22"/>
          <w:lang w:val="es-ES_tradnl"/>
        </w:rPr>
        <w:t xml:space="preserve"> no involucran ese conocimiento profesional </w:t>
      </w:r>
      <w:r w:rsidRPr="002F556D">
        <w:rPr>
          <w:rFonts w:ascii="Arial" w:hAnsi="Arial" w:cs="Arial"/>
          <w:color w:val="000000" w:themeColor="text1"/>
          <w:sz w:val="22"/>
        </w:rPr>
        <w:t xml:space="preserve">o especializados para su ejecución. En los </w:t>
      </w:r>
      <w:r w:rsidR="00004BC0" w:rsidRPr="002F556D">
        <w:rPr>
          <w:rFonts w:ascii="Arial" w:hAnsi="Arial" w:cs="Arial"/>
          <w:color w:val="000000" w:themeColor="text1"/>
          <w:sz w:val="22"/>
        </w:rPr>
        <w:t xml:space="preserve">contratos </w:t>
      </w:r>
      <w:r w:rsidRPr="002F556D">
        <w:rPr>
          <w:rFonts w:ascii="Arial" w:hAnsi="Arial" w:cs="Arial"/>
          <w:color w:val="000000" w:themeColor="text1"/>
          <w:sz w:val="22"/>
        </w:rPr>
        <w:t xml:space="preserve">de apoyo a la gestión </w:t>
      </w:r>
      <w:r w:rsidRPr="002F556D">
        <w:rPr>
          <w:rFonts w:ascii="Arial" w:hAnsi="Arial" w:cs="Arial"/>
          <w:color w:val="000000" w:themeColor="text1"/>
          <w:sz w:val="22"/>
          <w:lang w:val="es-ES_tradnl"/>
        </w:rPr>
        <w:t xml:space="preserve">el contratista desempeña un esfuerzo o actividad de apoyo, acompañamiento, o soporte, </w:t>
      </w:r>
      <w:r w:rsidRPr="002F556D">
        <w:rPr>
          <w:rFonts w:ascii="Arial" w:hAnsi="Arial" w:cs="Arial"/>
          <w:color w:val="000000" w:themeColor="text1"/>
          <w:sz w:val="22"/>
        </w:rPr>
        <w:t xml:space="preserve">donde </w:t>
      </w:r>
      <w:r w:rsidRPr="002F556D">
        <w:rPr>
          <w:rFonts w:ascii="Arial" w:hAnsi="Arial" w:cs="Arial"/>
          <w:color w:val="000000" w:themeColor="text1"/>
          <w:sz w:val="22"/>
          <w:lang w:val="es-ES_tradnl"/>
        </w:rPr>
        <w:t>«lo predominante es el actuar como ejecutor, con el propósito y finalidad de satisfacer necesidades de las entidades estatales en lo relacionado con la gestión administrativa o funcionamiento de la misma,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w:t>
      </w:r>
      <w:bookmarkStart w:id="4" w:name="_Hlk80118732"/>
      <w:r w:rsidRPr="002F556D">
        <w:rPr>
          <w:rFonts w:ascii="Arial" w:hAnsi="Arial" w:cs="Arial"/>
          <w:color w:val="000000" w:themeColor="text1"/>
          <w:sz w:val="22"/>
          <w:lang w:val="es-ES_tradnl"/>
        </w:rPr>
        <w:t>»</w:t>
      </w:r>
      <w:bookmarkEnd w:id="4"/>
      <w:r w:rsidRPr="002F556D">
        <w:rPr>
          <w:rFonts w:ascii="Arial" w:hAnsi="Arial" w:cs="Arial"/>
          <w:color w:val="000000" w:themeColor="text1"/>
          <w:sz w:val="22"/>
          <w:lang w:val="es-ES_tradnl"/>
        </w:rPr>
        <w:t xml:space="preserve">, </w:t>
      </w:r>
      <w:r w:rsidR="00004BC0" w:rsidRPr="002F556D">
        <w:rPr>
          <w:rFonts w:ascii="Arial" w:hAnsi="Arial" w:cs="Arial"/>
          <w:color w:val="000000" w:themeColor="text1"/>
          <w:sz w:val="22"/>
          <w:lang w:val="es-ES_tradnl"/>
        </w:rPr>
        <w:t>para lo cual</w:t>
      </w:r>
      <w:r w:rsidRPr="002F556D">
        <w:rPr>
          <w:rFonts w:ascii="Arial" w:hAnsi="Arial" w:cs="Arial"/>
          <w:color w:val="000000" w:themeColor="text1"/>
          <w:sz w:val="22"/>
          <w:lang w:val="es-ES_tradnl"/>
        </w:rPr>
        <w:t xml:space="preserve"> es indiferente el carácter de profesional.</w:t>
      </w:r>
    </w:p>
    <w:p w14:paraId="3B5112E3" w14:textId="77777777" w:rsidR="007364E5" w:rsidRPr="002F556D" w:rsidRDefault="007364E5">
      <w:pPr>
        <w:spacing w:line="276" w:lineRule="auto"/>
        <w:jc w:val="both"/>
        <w:rPr>
          <w:rFonts w:ascii="Arial" w:hAnsi="Arial" w:cs="Arial"/>
          <w:color w:val="000000" w:themeColor="text1"/>
          <w:sz w:val="22"/>
          <w:lang w:val="es-ES_tradnl"/>
        </w:rPr>
      </w:pPr>
    </w:p>
    <w:p w14:paraId="4E8BDA3D" w14:textId="77777777" w:rsidR="001F6CEF" w:rsidRPr="00720382" w:rsidRDefault="00D15F76" w:rsidP="001F6CEF">
      <w:pPr>
        <w:jc w:val="both"/>
        <w:rPr>
          <w:rFonts w:ascii="Arial" w:hAnsi="Arial" w:cs="Arial"/>
          <w:b/>
          <w:bCs/>
          <w:sz w:val="22"/>
          <w:lang w:eastAsia="es-CO"/>
        </w:rPr>
      </w:pPr>
      <w:r w:rsidRPr="002F556D">
        <w:rPr>
          <w:rFonts w:ascii="Arial" w:eastAsia="Calibri" w:hAnsi="Arial" w:cs="Arial"/>
          <w:b/>
          <w:bCs/>
          <w:color w:val="000000" w:themeColor="text1"/>
          <w:sz w:val="22"/>
        </w:rPr>
        <w:t xml:space="preserve">2.2. </w:t>
      </w:r>
      <w:r w:rsidR="001F6CEF" w:rsidRPr="00720382">
        <w:rPr>
          <w:rFonts w:ascii="Arial" w:hAnsi="Arial" w:cs="Arial"/>
          <w:b/>
          <w:bCs/>
          <w:sz w:val="22"/>
          <w:lang w:eastAsia="es-CO"/>
        </w:rPr>
        <w:t>Aplicación de la Sentencia de Unificación Jurisprudencial del Consejo de Estado en los contratos de prestación de servicios y la competencia de Colombia Compra Eficiente</w:t>
      </w:r>
    </w:p>
    <w:p w14:paraId="664026DB" w14:textId="77777777" w:rsidR="001F6CEF" w:rsidRPr="00720382" w:rsidRDefault="001F6CEF" w:rsidP="001F6CEF">
      <w:pPr>
        <w:spacing w:line="276" w:lineRule="auto"/>
        <w:jc w:val="both"/>
        <w:rPr>
          <w:rFonts w:ascii="Arial" w:hAnsi="Arial" w:cs="Arial"/>
          <w:b/>
          <w:bCs/>
          <w:sz w:val="22"/>
          <w:lang w:eastAsia="es-CO"/>
        </w:rPr>
      </w:pPr>
    </w:p>
    <w:p w14:paraId="461F9173" w14:textId="77777777" w:rsidR="001F6CEF" w:rsidRPr="00720382" w:rsidRDefault="001F6CEF" w:rsidP="001F6CEF">
      <w:pPr>
        <w:spacing w:after="120" w:line="276" w:lineRule="auto"/>
        <w:jc w:val="both"/>
        <w:textAlignment w:val="baseline"/>
        <w:rPr>
          <w:rFonts w:ascii="Arial" w:eastAsia="Calibri" w:hAnsi="Arial" w:cs="Arial"/>
          <w:sz w:val="22"/>
          <w:lang w:val="es-ES"/>
        </w:rPr>
      </w:pPr>
      <w:r w:rsidRPr="00720382">
        <w:rPr>
          <w:rFonts w:ascii="Arial" w:hAnsi="Arial" w:cs="Arial"/>
          <w:sz w:val="22"/>
          <w:lang w:val="es-ES"/>
        </w:rPr>
        <w:t xml:space="preserve">De conformidad con la competencia otorgada por el numeral 5 del artículo 3 y el numeral 8 del artículo 11 del Decreto 4170 de 2011, la Agencia Nacional de Contratación Pública tiene competencia para atender consultas relativas a temas contractuales, pero solo para </w:t>
      </w:r>
      <w:r w:rsidRPr="00720382">
        <w:rPr>
          <w:rFonts w:ascii="Arial" w:hAnsi="Arial" w:cs="Arial"/>
          <w:sz w:val="22"/>
          <w:lang w:val="es-ES"/>
        </w:rPr>
        <w:lastRenderedPageBreak/>
        <w:t>«absolver consultas sobre la aplicación de normas de carácter general»</w:t>
      </w:r>
      <w:r w:rsidRPr="00720382">
        <w:rPr>
          <w:rFonts w:ascii="Arial" w:eastAsia="Calibri" w:hAnsi="Arial" w:cs="Arial"/>
          <w:sz w:val="22"/>
          <w:vertAlign w:val="superscript"/>
          <w:lang w:val="es-ES"/>
        </w:rPr>
        <w:footnoteReference w:id="19"/>
      </w:r>
      <w:r w:rsidRPr="00720382">
        <w:rPr>
          <w:rFonts w:ascii="Arial" w:hAnsi="Arial" w:cs="Arial"/>
          <w:sz w:val="22"/>
          <w:lang w:val="es-ES"/>
        </w:rPr>
        <w:t>. Esto significa que la entidad no puede pronunciarse sobre casos particulares o sobre preguntas que no contengan dudas sobre la interpretación de una norma general del sistema de compras y</w:t>
      </w:r>
      <w:r w:rsidRPr="00720382">
        <w:rPr>
          <w:rFonts w:ascii="Arial" w:hAnsi="Arial" w:cs="Arial"/>
          <w:sz w:val="22"/>
          <w:lang w:val="es-ES" w:eastAsia="es-CO"/>
        </w:rPr>
        <w:t xml:space="preserve"> contratación pública. </w:t>
      </w:r>
    </w:p>
    <w:p w14:paraId="6FF31C71" w14:textId="60D23A8B" w:rsidR="00DB1207" w:rsidRPr="00720382" w:rsidRDefault="009714A9" w:rsidP="00DB1207">
      <w:pPr>
        <w:spacing w:after="120" w:line="276" w:lineRule="auto"/>
        <w:ind w:firstLine="708"/>
        <w:jc w:val="both"/>
        <w:textAlignment w:val="baseline"/>
        <w:rPr>
          <w:rFonts w:ascii="Arial" w:eastAsia="Calibri" w:hAnsi="Arial" w:cs="Arial"/>
          <w:sz w:val="22"/>
          <w:lang w:val="es-ES"/>
        </w:rPr>
      </w:pPr>
      <w:r>
        <w:rPr>
          <w:rFonts w:ascii="Arial" w:eastAsia="Calibri" w:hAnsi="Arial" w:cs="Arial"/>
          <w:sz w:val="22"/>
          <w:lang w:val="es-ES"/>
        </w:rPr>
        <w:t>La solicitud</w:t>
      </w:r>
      <w:r w:rsidR="001F6CEF" w:rsidRPr="00720382">
        <w:rPr>
          <w:rFonts w:ascii="Arial" w:eastAsia="Calibri" w:hAnsi="Arial" w:cs="Arial"/>
          <w:sz w:val="22"/>
          <w:lang w:val="es-ES"/>
        </w:rPr>
        <w:t xml:space="preserve"> motivo de consulta, tiene como propósito que Colombia Compra Eficiente le brinde asesoría, emitiendo un concepto jurídico </w:t>
      </w:r>
      <w:r w:rsidR="00DB1207" w:rsidRPr="00632D6E">
        <w:rPr>
          <w:rFonts w:ascii="Arial" w:eastAsia="Calibri" w:hAnsi="Arial" w:cs="Arial"/>
          <w:sz w:val="22"/>
        </w:rPr>
        <w:t xml:space="preserve">acerca de la contratación de personal después de la </w:t>
      </w:r>
      <w:r w:rsidR="003D762F">
        <w:rPr>
          <w:rFonts w:ascii="Arial" w:eastAsia="Calibri" w:hAnsi="Arial" w:cs="Arial"/>
          <w:sz w:val="22"/>
        </w:rPr>
        <w:t>L</w:t>
      </w:r>
      <w:r w:rsidR="00DB1207" w:rsidRPr="00632D6E">
        <w:rPr>
          <w:rFonts w:ascii="Arial" w:eastAsia="Calibri" w:hAnsi="Arial" w:cs="Arial"/>
          <w:sz w:val="22"/>
        </w:rPr>
        <w:t xml:space="preserve">ey de la </w:t>
      </w:r>
      <w:r w:rsidR="003D762F">
        <w:rPr>
          <w:rFonts w:ascii="Arial" w:eastAsia="Calibri" w:hAnsi="Arial" w:cs="Arial"/>
          <w:sz w:val="22"/>
        </w:rPr>
        <w:t>G</w:t>
      </w:r>
      <w:r w:rsidR="00DB1207" w:rsidRPr="00632D6E">
        <w:rPr>
          <w:rFonts w:ascii="Arial" w:eastAsia="Calibri" w:hAnsi="Arial" w:cs="Arial"/>
          <w:sz w:val="22"/>
        </w:rPr>
        <w:t>arantía</w:t>
      </w:r>
      <w:r w:rsidR="003D762F">
        <w:rPr>
          <w:rFonts w:ascii="Arial" w:eastAsia="Calibri" w:hAnsi="Arial" w:cs="Arial"/>
          <w:sz w:val="22"/>
        </w:rPr>
        <w:t>s</w:t>
      </w:r>
      <w:r w:rsidR="00DB1207" w:rsidRPr="00632D6E">
        <w:rPr>
          <w:rFonts w:ascii="Arial" w:eastAsia="Calibri" w:hAnsi="Arial" w:cs="Arial"/>
          <w:sz w:val="22"/>
        </w:rPr>
        <w:t xml:space="preserve"> conforme a la sentencia unificada del </w:t>
      </w:r>
      <w:r w:rsidR="003D762F" w:rsidRPr="00632D6E">
        <w:rPr>
          <w:rFonts w:ascii="Arial" w:eastAsia="Calibri" w:hAnsi="Arial" w:cs="Arial"/>
          <w:sz w:val="22"/>
        </w:rPr>
        <w:t xml:space="preserve">Consejo </w:t>
      </w:r>
      <w:r w:rsidR="003D762F">
        <w:rPr>
          <w:rFonts w:ascii="Arial" w:eastAsia="Calibri" w:hAnsi="Arial" w:cs="Arial"/>
          <w:sz w:val="22"/>
        </w:rPr>
        <w:t>d</w:t>
      </w:r>
      <w:r w:rsidR="003D762F" w:rsidRPr="00632D6E">
        <w:rPr>
          <w:rFonts w:ascii="Arial" w:eastAsia="Calibri" w:hAnsi="Arial" w:cs="Arial"/>
          <w:sz w:val="22"/>
        </w:rPr>
        <w:t>e Estado</w:t>
      </w:r>
      <w:r w:rsidR="00DB1207" w:rsidRPr="00632D6E">
        <w:rPr>
          <w:rFonts w:ascii="Arial" w:eastAsia="Calibri" w:hAnsi="Arial" w:cs="Arial"/>
          <w:sz w:val="22"/>
        </w:rPr>
        <w:t xml:space="preserve"> </w:t>
      </w:r>
      <w:r w:rsidR="003D762F">
        <w:rPr>
          <w:rFonts w:ascii="Arial" w:eastAsia="Calibri" w:hAnsi="Arial" w:cs="Arial"/>
          <w:sz w:val="22"/>
        </w:rPr>
        <w:t>del</w:t>
      </w:r>
      <w:r w:rsidR="00DB1207" w:rsidRPr="00632D6E">
        <w:rPr>
          <w:rFonts w:ascii="Arial" w:eastAsia="Calibri" w:hAnsi="Arial" w:cs="Arial"/>
          <w:sz w:val="22"/>
        </w:rPr>
        <w:t xml:space="preserve"> 9 de septiembre de 2021, debido a que existe una confusión </w:t>
      </w:r>
      <w:r w:rsidR="003D762F">
        <w:rPr>
          <w:rFonts w:ascii="Arial" w:eastAsia="Calibri" w:hAnsi="Arial" w:cs="Arial"/>
          <w:sz w:val="22"/>
        </w:rPr>
        <w:t>sobre</w:t>
      </w:r>
      <w:r w:rsidR="00DB1207" w:rsidRPr="00632D6E">
        <w:rPr>
          <w:rFonts w:ascii="Arial" w:eastAsia="Calibri" w:hAnsi="Arial" w:cs="Arial"/>
          <w:sz w:val="22"/>
        </w:rPr>
        <w:t xml:space="preserve"> los días establecidos en la sentencia</w:t>
      </w:r>
      <w:r w:rsidR="00786DF8">
        <w:rPr>
          <w:rFonts w:ascii="Arial" w:eastAsia="Calibri" w:hAnsi="Arial" w:cs="Arial"/>
          <w:sz w:val="22"/>
        </w:rPr>
        <w:t>.</w:t>
      </w:r>
    </w:p>
    <w:p w14:paraId="788FF2DC" w14:textId="77777777" w:rsidR="001F6CEF" w:rsidRPr="00720382" w:rsidRDefault="001F6CEF" w:rsidP="001F6CEF">
      <w:pPr>
        <w:spacing w:after="120" w:line="276" w:lineRule="auto"/>
        <w:ind w:firstLine="708"/>
        <w:jc w:val="both"/>
        <w:rPr>
          <w:rFonts w:ascii="Arial" w:eastAsia="Calibri" w:hAnsi="Arial" w:cs="Arial"/>
          <w:sz w:val="22"/>
          <w:lang w:val="es-ES"/>
        </w:rPr>
      </w:pPr>
      <w:r w:rsidRPr="00720382">
        <w:rPr>
          <w:rFonts w:ascii="Arial" w:hAnsi="Arial" w:cs="Arial"/>
          <w:sz w:val="22"/>
          <w:lang w:val="es-ES" w:eastAsia="es-CO"/>
        </w:rPr>
        <w:t>Sin embargo, cuando los contratos de prestación de servicios encubren relaciones de subordinación, el problema jurídico consiste en determinar la existencia de una posible relación laboral.</w:t>
      </w:r>
      <w:r w:rsidRPr="00720382">
        <w:rPr>
          <w:rFonts w:ascii="Arial" w:eastAsia="Calibri" w:hAnsi="Arial" w:cs="Arial"/>
          <w:sz w:val="22"/>
          <w:lang w:val="es-ES"/>
        </w:rPr>
        <w:t xml:space="preserve"> En este sentido, la Agencia Nacional de Contratación Pública – Colombia Compra Eficiente no es el órgano autorizado para conceptuar sobre las implicaciones de los contratos realidad, tampoco para establecer el alcance de las sentencias de unificación del Consejo de Estado sobre conflictos en temas laborales. En otras palabras, esta entidad no puede establecer directrices al respecto, especialmente porque los lineamientos para evitar la configuración de daños antijurídicos en dicha materia corresponden a una entidad distinta.</w:t>
      </w:r>
    </w:p>
    <w:p w14:paraId="4564DBAE" w14:textId="77777777" w:rsidR="001F6CEF" w:rsidRPr="00720382" w:rsidRDefault="001F6CEF" w:rsidP="001F6CEF">
      <w:pPr>
        <w:spacing w:after="120" w:line="276" w:lineRule="auto"/>
        <w:ind w:firstLine="708"/>
        <w:jc w:val="both"/>
        <w:rPr>
          <w:rFonts w:ascii="Arial" w:eastAsia="Calibri" w:hAnsi="Arial" w:cs="Arial"/>
          <w:sz w:val="22"/>
        </w:rPr>
      </w:pPr>
      <w:r w:rsidRPr="00720382">
        <w:rPr>
          <w:rFonts w:ascii="Arial" w:eastAsia="Calibri" w:hAnsi="Arial" w:cs="Arial"/>
          <w:i/>
          <w:iCs/>
          <w:sz w:val="22"/>
          <w:lang w:val="es-ES"/>
        </w:rPr>
        <w:t>Por un lado</w:t>
      </w:r>
      <w:r w:rsidRPr="00720382">
        <w:rPr>
          <w:rFonts w:ascii="Arial" w:eastAsia="Calibri" w:hAnsi="Arial" w:cs="Arial"/>
          <w:sz w:val="22"/>
          <w:lang w:val="es-ES"/>
        </w:rPr>
        <w:t xml:space="preserve">, </w:t>
      </w:r>
      <w:bookmarkStart w:id="5" w:name="_Hlk88117383"/>
      <w:r w:rsidRPr="00720382">
        <w:rPr>
          <w:rFonts w:ascii="Arial" w:eastAsia="Calibri" w:hAnsi="Arial" w:cs="Arial"/>
          <w:sz w:val="22"/>
          <w:lang w:val="es-ES"/>
        </w:rPr>
        <w:t xml:space="preserve">Colombia Compra Eficiente solo resuelve consultas sobre normas generales del sistema de compras y contratación pública. No obstante, </w:t>
      </w:r>
      <w:r w:rsidRPr="00720382">
        <w:rPr>
          <w:rStyle w:val="normaltextrun"/>
          <w:rFonts w:ascii="Arial" w:hAnsi="Arial" w:cs="Arial"/>
          <w:color w:val="000000"/>
          <w:sz w:val="22"/>
          <w:shd w:val="clear" w:color="auto" w:fill="FFFFFF"/>
        </w:rPr>
        <w:t>si bien la jurisprudencia es una pauta de autoridad para entender el contenido de las leyes y los reglamentos, la sentencia de unificación del 9 de septiembre de 2021 fue expedida por la Sección Segunda del Consejo de Estado, la cual se encarga principalmente de resolver controversias judiciales en materia laboral, que se reitera, son ajenas a las competencias de la Agencia nacional de Contratación Pública.</w:t>
      </w:r>
      <w:r w:rsidRPr="00720382">
        <w:rPr>
          <w:rFonts w:ascii="Arial" w:eastAsia="Calibri" w:hAnsi="Arial" w:cs="Arial"/>
          <w:sz w:val="22"/>
          <w:lang w:val="es-ES"/>
        </w:rPr>
        <w:t xml:space="preserve"> </w:t>
      </w:r>
      <w:r w:rsidRPr="00720382">
        <w:rPr>
          <w:rFonts w:ascii="Arial" w:eastAsia="Calibri" w:hAnsi="Arial" w:cs="Arial"/>
          <w:i/>
          <w:iCs/>
          <w:sz w:val="22"/>
          <w:lang w:val="es-ES"/>
        </w:rPr>
        <w:t>Por otra parte</w:t>
      </w:r>
      <w:r w:rsidRPr="00720382">
        <w:rPr>
          <w:rFonts w:ascii="Arial" w:eastAsia="Calibri" w:hAnsi="Arial" w:cs="Arial"/>
          <w:sz w:val="22"/>
          <w:lang w:val="es-ES"/>
        </w:rPr>
        <w:t>, es necesario tener en cuenta que la Directiva de la Procuraduría General de la República 001 del 4 de enero de 2021 dispuso «</w:t>
      </w:r>
      <w:r w:rsidRPr="00720382">
        <w:rPr>
          <w:rFonts w:ascii="Arial" w:eastAsia="Calibri" w:hAnsi="Arial" w:cs="Arial"/>
          <w:sz w:val="22"/>
        </w:rPr>
        <w:t>Exhortar a la Agencia Nacional de Defensa Jurídica del Estado, a continuar adelantando, en la órbita de la función preventiva judicial, actividades para evitar el contrato realidad con las entidades de la rama ejecutiva del nivel nacional y hacer pedagogía y brindar apoyo a las entidades territoriales».</w:t>
      </w:r>
    </w:p>
    <w:p w14:paraId="494C827E" w14:textId="77777777" w:rsidR="001F6CEF" w:rsidRPr="00720382" w:rsidRDefault="001F6CEF" w:rsidP="001F6CEF">
      <w:pPr>
        <w:spacing w:line="276" w:lineRule="auto"/>
        <w:ind w:firstLine="708"/>
        <w:jc w:val="both"/>
        <w:rPr>
          <w:rFonts w:ascii="Arial" w:eastAsia="Calibri" w:hAnsi="Arial" w:cs="Arial"/>
          <w:sz w:val="22"/>
          <w:lang w:val="es-ES"/>
        </w:rPr>
      </w:pPr>
      <w:r w:rsidRPr="00720382">
        <w:rPr>
          <w:rFonts w:ascii="Arial" w:eastAsia="Calibri" w:hAnsi="Arial" w:cs="Arial"/>
          <w:sz w:val="22"/>
          <w:lang w:val="es-ES"/>
        </w:rPr>
        <w:t xml:space="preserve">Teniendo en cuenta lo anterior, con fundamento en los criterios establecidos en la sentencia de unificación de jurisprudencia, la ANDJE estableció lineamientos en torno a la </w:t>
      </w:r>
      <w:r w:rsidRPr="00720382">
        <w:rPr>
          <w:rFonts w:ascii="Arial" w:eastAsia="Calibri" w:hAnsi="Arial" w:cs="Arial"/>
          <w:sz w:val="22"/>
          <w:lang w:val="es-ES"/>
        </w:rPr>
        <w:lastRenderedPageBreak/>
        <w:t xml:space="preserve">forma de prevenir la configuración de contratos realidad. </w:t>
      </w:r>
      <w:bookmarkEnd w:id="5"/>
      <w:r w:rsidRPr="00720382">
        <w:rPr>
          <w:rFonts w:ascii="Arial" w:eastAsia="Calibri" w:hAnsi="Arial" w:cs="Arial"/>
          <w:sz w:val="22"/>
          <w:lang w:val="es-ES"/>
        </w:rPr>
        <w:t xml:space="preserve">De esta manera, conforme a la Comunicación Interinstitucional del 20 de octubre de 2021 que se adjunta a este oficio, dicha Agencia precisó lo siguiente: </w:t>
      </w:r>
    </w:p>
    <w:p w14:paraId="17370546" w14:textId="77777777" w:rsidR="001F6CEF" w:rsidRPr="00720382" w:rsidRDefault="001F6CEF" w:rsidP="001F6CEF">
      <w:pPr>
        <w:spacing w:line="276" w:lineRule="auto"/>
        <w:ind w:firstLine="708"/>
        <w:jc w:val="both"/>
        <w:rPr>
          <w:rFonts w:ascii="Arial" w:eastAsia="Calibri" w:hAnsi="Arial" w:cs="Arial"/>
          <w:sz w:val="22"/>
          <w:lang w:val="es-ES"/>
        </w:rPr>
      </w:pPr>
    </w:p>
    <w:p w14:paraId="34D21EAE" w14:textId="77777777" w:rsidR="001F6CEF" w:rsidRPr="00720382" w:rsidRDefault="001F6CEF" w:rsidP="001F6CEF">
      <w:pPr>
        <w:shd w:val="clear" w:color="auto" w:fill="FFFFFF"/>
        <w:ind w:left="709" w:right="709"/>
        <w:jc w:val="both"/>
        <w:textAlignment w:val="baseline"/>
        <w:rPr>
          <w:rFonts w:ascii="Arial" w:hAnsi="Arial" w:cs="Arial"/>
          <w:b/>
          <w:sz w:val="21"/>
          <w:szCs w:val="21"/>
        </w:rPr>
      </w:pPr>
      <w:r w:rsidRPr="00720382">
        <w:rPr>
          <w:rFonts w:ascii="Arial" w:hAnsi="Arial" w:cs="Arial"/>
          <w:b/>
          <w:sz w:val="21"/>
          <w:szCs w:val="21"/>
        </w:rPr>
        <w:t xml:space="preserve">V. Recomendaciones adicionales en materia de prevención del daño antijurídico </w:t>
      </w:r>
    </w:p>
    <w:p w14:paraId="7BEFC14A" w14:textId="77777777" w:rsidR="001F6CEF" w:rsidRPr="00720382" w:rsidRDefault="001F6CEF" w:rsidP="001F6CEF">
      <w:pPr>
        <w:shd w:val="clear" w:color="auto" w:fill="FFFFFF"/>
        <w:ind w:left="709" w:right="709"/>
        <w:jc w:val="both"/>
        <w:textAlignment w:val="baseline"/>
        <w:rPr>
          <w:rFonts w:ascii="Arial" w:hAnsi="Arial" w:cs="Arial"/>
          <w:b/>
          <w:sz w:val="21"/>
          <w:szCs w:val="21"/>
        </w:rPr>
      </w:pPr>
    </w:p>
    <w:p w14:paraId="37D72A0C" w14:textId="77777777" w:rsidR="001F6CEF" w:rsidRPr="00720382" w:rsidRDefault="001F6CEF" w:rsidP="001F6CEF">
      <w:pPr>
        <w:shd w:val="clear" w:color="auto" w:fill="FFFFFF"/>
        <w:ind w:left="709" w:right="709"/>
        <w:jc w:val="both"/>
        <w:textAlignment w:val="baseline"/>
        <w:rPr>
          <w:rFonts w:ascii="Arial" w:hAnsi="Arial" w:cs="Arial"/>
          <w:b/>
          <w:sz w:val="21"/>
          <w:szCs w:val="21"/>
        </w:rPr>
      </w:pPr>
      <w:r w:rsidRPr="00720382">
        <w:rPr>
          <w:rFonts w:ascii="Arial" w:hAnsi="Arial" w:cs="Arial"/>
          <w:b/>
          <w:sz w:val="21"/>
          <w:szCs w:val="21"/>
        </w:rPr>
        <w:t>a. En la fase precontractual:</w:t>
      </w:r>
    </w:p>
    <w:p w14:paraId="5474D311"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20D222AC"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 Abstenerse en todo momento de dar instrucciones, impartir ordenes, o solicitar el cumplimiento de actividades a personas cuya relación contractual con la entidad ha finiquitado, aún en los eventos en los que se requiera volver a contratar con la misma persona. Este hecho constituye un comportamiento que incrementa de manera grave el riesgo jurídico de configurar una verdadera relación laboral. </w:t>
      </w:r>
    </w:p>
    <w:p w14:paraId="3888DEC0"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75D6436A"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Acudir al contrato de prestación de servicios cuando sea estrictamente necesario y evitar que a través del mismo se desarrollen funciones de carácter permanente de la administración. </w:t>
      </w:r>
    </w:p>
    <w:p w14:paraId="37E52747"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6D20ACAD"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Elaborar estudios previos respetando el principio de planeación y legalidad, en los cuales se deben establecer y justificar las necesidades de la entidad y la temporalidad de las mismas. </w:t>
      </w:r>
    </w:p>
    <w:p w14:paraId="198D598B"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5EB0E42A"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Establecer expresamente en los estudios previos la necesidad de la contratación y la temporalidad del objeto contractual. </w:t>
      </w:r>
    </w:p>
    <w:p w14:paraId="432E01B7"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570496E1"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Evitar contratar la realización de tareas idénticas, semejantes o equivalentes a las asignadas en forma permanente a los funcionarios o empleados de planta de la entidad. </w:t>
      </w:r>
    </w:p>
    <w:p w14:paraId="661D27ED"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0791A869"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En los eventos en que se acuda a la prórroga del contrato, se debe soportar la situación por las cuales se hace necesario la modificación o ampliación del plazo inicialmente pactado. </w:t>
      </w:r>
    </w:p>
    <w:p w14:paraId="79F67A8A"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7FC7FB63" w14:textId="77777777" w:rsidR="001F6CEF" w:rsidRPr="00720382" w:rsidRDefault="001F6CEF" w:rsidP="001F6CEF">
      <w:pPr>
        <w:shd w:val="clear" w:color="auto" w:fill="FFFFFF"/>
        <w:ind w:left="709" w:right="709"/>
        <w:jc w:val="both"/>
        <w:textAlignment w:val="baseline"/>
        <w:rPr>
          <w:rFonts w:ascii="Arial" w:hAnsi="Arial" w:cs="Arial"/>
          <w:b/>
          <w:sz w:val="21"/>
          <w:szCs w:val="21"/>
        </w:rPr>
      </w:pPr>
      <w:r w:rsidRPr="00720382">
        <w:rPr>
          <w:rFonts w:ascii="Arial" w:hAnsi="Arial" w:cs="Arial"/>
          <w:b/>
          <w:sz w:val="21"/>
          <w:szCs w:val="21"/>
        </w:rPr>
        <w:t xml:space="preserve">b. En la fase de ejecución contractual: </w:t>
      </w:r>
    </w:p>
    <w:p w14:paraId="3603FD87"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5221E18F"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La subordinación o dependencia continuada del trabajador constituye un elemento subjetivo determinante que distingue las relaciones de carácter laboral de las demás prestaciones de servicios, en razón la entidad debe abstenerse de:</w:t>
      </w:r>
    </w:p>
    <w:p w14:paraId="78D709A8"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6C9A62A5"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w:t>
      </w:r>
      <w:r w:rsidRPr="00720382">
        <w:rPr>
          <w:rFonts w:ascii="Segoe UI Symbol" w:hAnsi="Segoe UI Symbol" w:cs="Segoe UI Symbol"/>
          <w:sz w:val="21"/>
          <w:szCs w:val="21"/>
        </w:rPr>
        <w:t>➢</w:t>
      </w:r>
      <w:r w:rsidRPr="00720382">
        <w:rPr>
          <w:rFonts w:ascii="Arial" w:hAnsi="Arial" w:cs="Arial"/>
          <w:sz w:val="21"/>
          <w:szCs w:val="21"/>
        </w:rPr>
        <w:t xml:space="preserve"> Exigir al contratista el cumplimiento de órdenes. En sentido contrario, la entidad sí puede efectuar una coordinación de actividades. Así lo indicó la sentencia de unificación al señalar que “lo que debe existir entre contratante y contratista es una relación de coordinación de actividades, la cual implica que el segundo se somete a las condiciones necesarias para el desarrollo eficiente del objeto contractual, como puede ser el cumplimiento de un horario o el hecho de recibir una serie de instrucciones de sus superiores, o tener que reportar informes sobre sus resultados”. </w:t>
      </w:r>
    </w:p>
    <w:p w14:paraId="79C75471"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6EFF60AB"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Segoe UI Symbol" w:hAnsi="Segoe UI Symbol" w:cs="Segoe UI Symbol"/>
          <w:sz w:val="21"/>
          <w:szCs w:val="21"/>
        </w:rPr>
        <w:t>➢</w:t>
      </w:r>
      <w:r w:rsidRPr="00720382">
        <w:rPr>
          <w:rFonts w:ascii="Arial" w:hAnsi="Arial" w:cs="Arial"/>
          <w:sz w:val="21"/>
          <w:szCs w:val="21"/>
        </w:rPr>
        <w:t xml:space="preserve"> Imponer el cumplimiento de jornada y horario, salvo que las necesidades del servicio así lo requieran, siempre y cuando exista una justificación estricta y precisa. </w:t>
      </w:r>
    </w:p>
    <w:p w14:paraId="562C766F"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02C852F9"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Segoe UI Symbol" w:hAnsi="Segoe UI Symbol" w:cs="Segoe UI Symbol"/>
          <w:sz w:val="21"/>
          <w:szCs w:val="21"/>
        </w:rPr>
        <w:t>➢</w:t>
      </w:r>
      <w:r w:rsidRPr="00720382">
        <w:rPr>
          <w:rFonts w:ascii="Arial" w:hAnsi="Arial" w:cs="Arial"/>
          <w:sz w:val="21"/>
          <w:szCs w:val="21"/>
        </w:rPr>
        <w:t xml:space="preserve"> Imponer al contratista los protocolos de la organización y someterlo a su poder disciplinario. </w:t>
      </w:r>
    </w:p>
    <w:p w14:paraId="5A23DB58"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2CA2A45A"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Segoe UI Symbol" w:hAnsi="Segoe UI Symbol" w:cs="Segoe UI Symbol"/>
          <w:sz w:val="21"/>
          <w:szCs w:val="21"/>
        </w:rPr>
        <w:t>➢</w:t>
      </w:r>
      <w:r w:rsidRPr="00720382">
        <w:rPr>
          <w:rFonts w:ascii="Arial" w:hAnsi="Arial" w:cs="Arial"/>
          <w:sz w:val="21"/>
          <w:szCs w:val="21"/>
        </w:rPr>
        <w:t xml:space="preserve"> Exigir al contratista la asistencia presencial a la entidad para el cumplimiento de sus actividades, lo anterior siempre y cuando dicha necesidad no esté justificada en los estudios previos y la minuta del contrato. </w:t>
      </w:r>
    </w:p>
    <w:p w14:paraId="7687D1F4"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538E85DC"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Segoe UI Symbol" w:hAnsi="Segoe UI Symbol" w:cs="Segoe UI Symbol"/>
          <w:sz w:val="21"/>
          <w:szCs w:val="21"/>
        </w:rPr>
        <w:t>➢</w:t>
      </w:r>
      <w:r w:rsidRPr="00720382">
        <w:rPr>
          <w:rFonts w:ascii="Arial" w:hAnsi="Arial" w:cs="Arial"/>
          <w:sz w:val="21"/>
          <w:szCs w:val="21"/>
        </w:rPr>
        <w:t xml:space="preserve"> Evitar exigirle al contratista la participación obligatoria en capacitaciones o eventos que no se encuentren estipulados en el contrato de prestación de servicios. </w:t>
      </w:r>
    </w:p>
    <w:p w14:paraId="1DB22B74"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5739D582"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La entidad debe garantizar que las funciones del contratista se desarrollen con alto grado de autonomía, sin perjuicio de la necesidad de coordinación con la entidad contratante.</w:t>
      </w:r>
    </w:p>
    <w:p w14:paraId="60C0CA4B" w14:textId="77777777" w:rsidR="001F6CEF" w:rsidRPr="00720382" w:rsidRDefault="001F6CEF" w:rsidP="001F6CEF">
      <w:pPr>
        <w:shd w:val="clear" w:color="auto" w:fill="FFFFFF"/>
        <w:ind w:left="709" w:right="709"/>
        <w:jc w:val="both"/>
        <w:textAlignment w:val="baseline"/>
        <w:rPr>
          <w:rFonts w:ascii="Arial" w:hAnsi="Arial" w:cs="Arial"/>
          <w:sz w:val="21"/>
          <w:szCs w:val="21"/>
        </w:rPr>
      </w:pPr>
    </w:p>
    <w:p w14:paraId="5F1D98EE" w14:textId="77777777" w:rsidR="001F6CEF" w:rsidRPr="00720382" w:rsidRDefault="001F6CEF" w:rsidP="001F6CEF">
      <w:pPr>
        <w:shd w:val="clear" w:color="auto" w:fill="FFFFFF"/>
        <w:ind w:left="709" w:right="709"/>
        <w:jc w:val="both"/>
        <w:textAlignment w:val="baseline"/>
        <w:rPr>
          <w:rFonts w:ascii="Arial" w:hAnsi="Arial" w:cs="Arial"/>
          <w:sz w:val="21"/>
          <w:szCs w:val="21"/>
        </w:rPr>
      </w:pPr>
      <w:r w:rsidRPr="00720382">
        <w:rPr>
          <w:rFonts w:ascii="Arial" w:hAnsi="Arial" w:cs="Arial"/>
          <w:sz w:val="21"/>
          <w:szCs w:val="21"/>
        </w:rPr>
        <w:t xml:space="preserve"> • Debe también capacitar de manera permanente a los supervisores de los contratos de prestación de servicios para el debido ejercicio de las funciones y evitar la desnaturalización del mismo. </w:t>
      </w:r>
    </w:p>
    <w:p w14:paraId="0D80BBB4" w14:textId="77777777" w:rsidR="001F6CEF" w:rsidRPr="00720382" w:rsidRDefault="001F6CEF" w:rsidP="001F6CEF">
      <w:pPr>
        <w:shd w:val="clear" w:color="auto" w:fill="FFFFFF"/>
        <w:textAlignment w:val="baseline"/>
      </w:pPr>
    </w:p>
    <w:p w14:paraId="1EADA8AE" w14:textId="576D5C25" w:rsidR="001F6CEF" w:rsidRPr="00720382" w:rsidRDefault="00B27AB2" w:rsidP="001F6CEF">
      <w:pPr>
        <w:shd w:val="clear" w:color="auto" w:fill="FFFFFF"/>
        <w:spacing w:after="120" w:line="276" w:lineRule="auto"/>
        <w:ind w:firstLine="708"/>
        <w:jc w:val="both"/>
        <w:textAlignment w:val="baseline"/>
        <w:rPr>
          <w:rFonts w:ascii="Arial" w:hAnsi="Arial" w:cs="Arial"/>
          <w:sz w:val="22"/>
          <w:lang w:eastAsia="es-CO"/>
        </w:rPr>
      </w:pPr>
      <w:r>
        <w:rPr>
          <w:rFonts w:ascii="Arial" w:hAnsi="Arial" w:cs="Arial"/>
          <w:sz w:val="22"/>
          <w:lang w:eastAsia="es-CO"/>
        </w:rPr>
        <w:t>L</w:t>
      </w:r>
      <w:r w:rsidR="001F6CEF" w:rsidRPr="00720382">
        <w:rPr>
          <w:rFonts w:ascii="Arial" w:hAnsi="Arial" w:cs="Arial"/>
          <w:sz w:val="22"/>
          <w:lang w:eastAsia="es-CO"/>
        </w:rPr>
        <w:t>a Presidencia de la República</w:t>
      </w:r>
      <w:r>
        <w:rPr>
          <w:rFonts w:ascii="Arial" w:hAnsi="Arial" w:cs="Arial"/>
          <w:sz w:val="22"/>
          <w:lang w:eastAsia="es-CO"/>
        </w:rPr>
        <w:t xml:space="preserve"> también</w:t>
      </w:r>
      <w:r w:rsidR="001F6CEF" w:rsidRPr="00720382">
        <w:rPr>
          <w:rFonts w:ascii="Arial" w:hAnsi="Arial" w:cs="Arial"/>
          <w:sz w:val="22"/>
          <w:lang w:eastAsia="es-CO"/>
        </w:rPr>
        <w:t xml:space="preserve"> expidió la Directiva 07 del 28 de octubre de 2021 con el fin de determinar el alcance de la sentencia de unificación jurisprudencial, la cual sirve de guía para las decisiones que deberán tomar las diferentes entidades públicas. Además, en armonía con lo expuesto anteriormente, el numeral 5 de dicha Directiva reitera la competencia de la</w:t>
      </w:r>
      <w:r w:rsidR="001F6CEF" w:rsidRPr="00720382">
        <w:rPr>
          <w:rFonts w:ascii="Arial" w:eastAsia="Calibri" w:hAnsi="Arial" w:cs="Arial"/>
          <w:sz w:val="22"/>
          <w:lang w:val="es-ES"/>
        </w:rPr>
        <w:t xml:space="preserve"> ANDJE</w:t>
      </w:r>
      <w:r w:rsidR="001F6CEF" w:rsidRPr="00720382">
        <w:rPr>
          <w:rFonts w:ascii="Arial" w:hAnsi="Arial" w:cs="Arial"/>
          <w:sz w:val="22"/>
          <w:lang w:eastAsia="es-CO"/>
        </w:rPr>
        <w:t xml:space="preserve"> al disponer que «Se deben atender los lineamientos que, sobre este asunto, imparta la Agencia Nacional de Defensa Jurídica del Estado, dentro de su función de prevención del daño antijurídico»</w:t>
      </w:r>
      <w:r w:rsidR="001F6CEF" w:rsidRPr="00720382">
        <w:rPr>
          <w:rStyle w:val="Refdenotaalpie"/>
          <w:rFonts w:ascii="Arial" w:hAnsi="Arial" w:cs="Arial"/>
          <w:sz w:val="22"/>
          <w:lang w:eastAsia="es-CO"/>
        </w:rPr>
        <w:footnoteReference w:id="20"/>
      </w:r>
      <w:r w:rsidR="001F6CEF" w:rsidRPr="00720382">
        <w:rPr>
          <w:rFonts w:ascii="Arial" w:hAnsi="Arial" w:cs="Arial"/>
          <w:sz w:val="22"/>
          <w:lang w:eastAsia="es-CO"/>
        </w:rPr>
        <w:t>. Esto resalta que Colombia Compra Eficiente carece de competencia para pronunciarse de fondo sobre este tema, pues los lineamientos para evitar daños antijurídicos en la configuración de contratos realidad corresponden a la Agencia anteriormente mencionada</w:t>
      </w:r>
      <w:r w:rsidR="001F6CEF" w:rsidRPr="00720382">
        <w:rPr>
          <w:rStyle w:val="Refdenotaalpie"/>
          <w:rFonts w:ascii="Arial" w:hAnsi="Arial" w:cs="Arial"/>
          <w:sz w:val="22"/>
          <w:lang w:eastAsia="es-CO"/>
        </w:rPr>
        <w:footnoteReference w:id="21"/>
      </w:r>
      <w:r w:rsidR="001F6CEF" w:rsidRPr="00720382">
        <w:rPr>
          <w:rFonts w:ascii="Arial" w:hAnsi="Arial" w:cs="Arial"/>
          <w:sz w:val="22"/>
          <w:lang w:eastAsia="es-CO"/>
        </w:rPr>
        <w:t xml:space="preserve">. </w:t>
      </w:r>
    </w:p>
    <w:p w14:paraId="072CEF36" w14:textId="77777777" w:rsidR="001F6CEF" w:rsidRPr="00720382" w:rsidRDefault="001F6CEF" w:rsidP="001F6CEF">
      <w:pPr>
        <w:shd w:val="clear" w:color="auto" w:fill="FFFFFF"/>
        <w:spacing w:after="120" w:line="276" w:lineRule="auto"/>
        <w:ind w:firstLine="708"/>
        <w:jc w:val="both"/>
        <w:textAlignment w:val="baseline"/>
        <w:rPr>
          <w:rFonts w:ascii="Arial" w:eastAsia="Calibri" w:hAnsi="Arial" w:cs="Arial"/>
          <w:sz w:val="22"/>
          <w:lang w:val="es-ES"/>
        </w:rPr>
      </w:pPr>
      <w:r w:rsidRPr="00720382">
        <w:rPr>
          <w:rFonts w:ascii="Arial" w:hAnsi="Arial" w:cs="Arial"/>
          <w:sz w:val="22"/>
          <w:lang w:eastAsia="es-CO"/>
        </w:rPr>
        <w:lastRenderedPageBreak/>
        <w:t>De otro lado, conforme al artículo 10 de la Ley 1437 de 2011, se precisa que las sentencias de unificación son de obligatorio cumplimiento</w:t>
      </w:r>
      <w:r w:rsidRPr="00720382">
        <w:rPr>
          <w:rStyle w:val="Refdenotaalpie"/>
          <w:rFonts w:ascii="Arial" w:hAnsi="Arial" w:cs="Arial"/>
          <w:sz w:val="22"/>
          <w:lang w:eastAsia="es-CO"/>
        </w:rPr>
        <w:footnoteReference w:id="22"/>
      </w:r>
      <w:r w:rsidRPr="00720382">
        <w:rPr>
          <w:rFonts w:ascii="Arial" w:hAnsi="Arial" w:cs="Arial"/>
          <w:color w:val="4B4949"/>
          <w:sz w:val="22"/>
        </w:rPr>
        <w:t>.</w:t>
      </w:r>
      <w:r w:rsidRPr="00720382">
        <w:rPr>
          <w:rFonts w:ascii="Arial" w:hAnsi="Arial" w:cs="Arial"/>
          <w:sz w:val="22"/>
          <w:lang w:eastAsia="es-CO"/>
        </w:rPr>
        <w:t xml:space="preserve"> </w:t>
      </w:r>
      <w:r w:rsidRPr="00720382">
        <w:rPr>
          <w:rFonts w:ascii="Arial" w:eastAsia="Calibri" w:hAnsi="Arial" w:cs="Arial"/>
          <w:sz w:val="22"/>
          <w:lang w:val="es-ES"/>
        </w:rPr>
        <w:t>Por ello, previo análisis de los lineamientos de la Agencia Nacional de Defensa Jurídica del Estado y la Directiva presidencial relacionados en el presente oficio, las autoridades tienen autonomía administrativa para el ejercicio de las funciones y competencias que les fueron atribuidas por el ordenamiento jurídico. Por esa razón, como responsables de su actividad contractual, les corresponde adoptar las decisiones y adelantar las actuaciones que estimen pertinentes para desarrollarla.</w:t>
      </w:r>
    </w:p>
    <w:p w14:paraId="61E18F7B" w14:textId="35C1BAA0" w:rsidR="001F6CEF" w:rsidRPr="00720382" w:rsidRDefault="001F6CEF" w:rsidP="00C94F0B">
      <w:pPr>
        <w:spacing w:line="276" w:lineRule="auto"/>
        <w:ind w:firstLine="708"/>
        <w:jc w:val="both"/>
        <w:textAlignment w:val="baseline"/>
        <w:rPr>
          <w:rFonts w:ascii="Arial" w:eastAsia="Calibri" w:hAnsi="Arial" w:cs="Arial"/>
          <w:sz w:val="22"/>
          <w:lang w:val="es-ES"/>
        </w:rPr>
      </w:pPr>
      <w:r w:rsidRPr="00720382">
        <w:rPr>
          <w:rFonts w:ascii="Arial" w:eastAsia="Calibri" w:hAnsi="Arial" w:cs="Arial"/>
          <w:sz w:val="22"/>
          <w:lang w:val="es-ES"/>
        </w:rPr>
        <w:t xml:space="preserve">Es necesario anotar que la sentencia de unificación no modifica el alcance de las prohibiciones de la Ley 996 de 2005. Por ello, las prohibiciones contempladas en dicha ley tampoco condicionan las reglas de unificación de la sentencia, pues son dos temas independientes. En consecuencia, con la asesoría de sus equipos jurídicos, corresponde a las entidades determinar de manera autónoma la viabilidad de suscribir contratos </w:t>
      </w:r>
      <w:r w:rsidR="00A85152">
        <w:rPr>
          <w:rFonts w:ascii="Arial" w:eastAsia="Calibri" w:hAnsi="Arial" w:cs="Arial"/>
          <w:sz w:val="22"/>
          <w:lang w:val="es-ES"/>
        </w:rPr>
        <w:t>después de la vigencia</w:t>
      </w:r>
      <w:r w:rsidRPr="00720382">
        <w:rPr>
          <w:rFonts w:ascii="Arial" w:eastAsia="Calibri" w:hAnsi="Arial" w:cs="Arial"/>
          <w:sz w:val="22"/>
          <w:lang w:val="es-ES"/>
        </w:rPr>
        <w:t xml:space="preserve"> de la Ley de Garantías.</w:t>
      </w:r>
    </w:p>
    <w:p w14:paraId="161D69B6" w14:textId="68D1A9E4" w:rsidR="00D15F76" w:rsidRPr="002F556D" w:rsidRDefault="00D15F76" w:rsidP="001F6CEF">
      <w:pPr>
        <w:spacing w:line="276" w:lineRule="auto"/>
        <w:ind w:right="105"/>
        <w:jc w:val="both"/>
        <w:rPr>
          <w:rFonts w:ascii="Arial" w:eastAsia="Calibri" w:hAnsi="Arial" w:cs="Arial"/>
          <w:color w:val="000000" w:themeColor="text1"/>
          <w:sz w:val="22"/>
        </w:rPr>
      </w:pPr>
    </w:p>
    <w:p w14:paraId="016D34C7" w14:textId="5283D099" w:rsidR="00D15F76" w:rsidRPr="002F556D" w:rsidRDefault="00DB44C8" w:rsidP="00964254">
      <w:pPr>
        <w:jc w:val="both"/>
        <w:rPr>
          <w:rFonts w:ascii="Arial" w:eastAsia="Calibri" w:hAnsi="Arial" w:cs="Arial"/>
          <w:color w:val="000000" w:themeColor="text1"/>
          <w:sz w:val="20"/>
          <w:szCs w:val="20"/>
        </w:rPr>
      </w:pPr>
      <w:r w:rsidRPr="002F556D">
        <w:rPr>
          <w:rFonts w:ascii="Arial" w:eastAsia="Calibri" w:hAnsi="Arial" w:cs="Arial"/>
          <w:b/>
          <w:color w:val="000000" w:themeColor="text1"/>
          <w:sz w:val="22"/>
          <w:szCs w:val="20"/>
        </w:rPr>
        <w:t xml:space="preserve">3. </w:t>
      </w:r>
      <w:r w:rsidR="00D15F76" w:rsidRPr="002F556D">
        <w:rPr>
          <w:rFonts w:ascii="Arial" w:eastAsia="Calibri" w:hAnsi="Arial" w:cs="Arial"/>
          <w:b/>
          <w:color w:val="000000" w:themeColor="text1"/>
          <w:sz w:val="22"/>
          <w:szCs w:val="20"/>
        </w:rPr>
        <w:t>Respuesta</w:t>
      </w:r>
    </w:p>
    <w:p w14:paraId="558E589C" w14:textId="77777777" w:rsidR="00D15F76" w:rsidRPr="002F556D" w:rsidRDefault="00D15F76" w:rsidP="00E47691">
      <w:pPr>
        <w:spacing w:line="276" w:lineRule="auto"/>
        <w:jc w:val="both"/>
        <w:rPr>
          <w:rFonts w:ascii="Arial" w:eastAsia="Calibri" w:hAnsi="Arial" w:cs="Arial"/>
          <w:color w:val="000000" w:themeColor="text1"/>
          <w:sz w:val="22"/>
        </w:rPr>
      </w:pPr>
    </w:p>
    <w:p w14:paraId="0BEEB6B1" w14:textId="566ED423" w:rsidR="00DC0025" w:rsidRPr="00E935B7" w:rsidRDefault="00DC0025" w:rsidP="00DC0025">
      <w:pPr>
        <w:tabs>
          <w:tab w:val="left" w:pos="426"/>
        </w:tabs>
        <w:ind w:left="709" w:right="709"/>
        <w:jc w:val="both"/>
        <w:rPr>
          <w:rFonts w:ascii="Arial" w:eastAsia="Calibri" w:hAnsi="Arial" w:cs="Arial"/>
          <w:color w:val="000000" w:themeColor="text1"/>
          <w:sz w:val="21"/>
          <w:szCs w:val="21"/>
          <w:lang w:val="es-ES_tradnl"/>
        </w:rPr>
      </w:pPr>
      <w:r w:rsidRPr="00E935B7">
        <w:rPr>
          <w:rFonts w:ascii="Arial" w:eastAsia="Calibri" w:hAnsi="Arial" w:cs="Arial"/>
          <w:sz w:val="21"/>
          <w:szCs w:val="21"/>
          <w:lang w:val="es-ES_tradnl"/>
        </w:rPr>
        <w:t>«</w:t>
      </w:r>
      <w:r w:rsidR="00D65714" w:rsidRPr="00C94F0B">
        <w:rPr>
          <w:rFonts w:ascii="Arial" w:eastAsia="Calibri" w:hAnsi="Arial" w:cs="Arial"/>
          <w:sz w:val="21"/>
          <w:szCs w:val="21"/>
        </w:rPr>
        <w:t>por medio de la presente me permito muy amablemente solicitarle concepto acerca de la contratación de personal después de la ley de la garantía conforme a la sentencia unificada del consejo de estado SUJ-025-CE-S2-2021, de 9 de septiembre de 2021, debido a que existe una confusión conforme a los días establecidos en la sentencia</w:t>
      </w:r>
      <w:r w:rsidRPr="00E935B7">
        <w:rPr>
          <w:rFonts w:ascii="Arial" w:eastAsia="Calibri" w:hAnsi="Arial" w:cs="Arial"/>
          <w:color w:val="000000" w:themeColor="text1"/>
          <w:sz w:val="21"/>
          <w:szCs w:val="21"/>
          <w:lang w:val="es-ES_tradnl"/>
        </w:rPr>
        <w:t>»</w:t>
      </w:r>
      <w:r w:rsidR="00861B16" w:rsidRPr="00E935B7">
        <w:rPr>
          <w:rFonts w:ascii="Arial" w:eastAsia="Calibri" w:hAnsi="Arial" w:cs="Arial"/>
          <w:color w:val="000000" w:themeColor="text1"/>
          <w:sz w:val="21"/>
          <w:szCs w:val="21"/>
          <w:lang w:val="es-ES_tradnl"/>
        </w:rPr>
        <w:t>.</w:t>
      </w:r>
    </w:p>
    <w:p w14:paraId="44BA5C0D" w14:textId="77777777" w:rsidR="00D15F76" w:rsidRPr="002F556D" w:rsidRDefault="00D15F76" w:rsidP="00E47691">
      <w:pPr>
        <w:spacing w:line="276" w:lineRule="auto"/>
        <w:ind w:right="567"/>
        <w:jc w:val="both"/>
        <w:rPr>
          <w:rFonts w:ascii="Arial" w:eastAsia="Calibri" w:hAnsi="Arial" w:cs="Arial"/>
          <w:color w:val="000000" w:themeColor="text1"/>
          <w:sz w:val="22"/>
          <w:lang w:val="es-ES_tradnl"/>
        </w:rPr>
      </w:pPr>
    </w:p>
    <w:p w14:paraId="0932EEFE" w14:textId="0FC5BCAE" w:rsidR="00A1781B" w:rsidRPr="002F556D" w:rsidRDefault="006923C3" w:rsidP="00C94F0B">
      <w:pPr>
        <w:spacing w:line="276" w:lineRule="auto"/>
        <w:jc w:val="both"/>
        <w:rPr>
          <w:rFonts w:ascii="Arial" w:hAnsi="Arial" w:cs="Arial"/>
          <w:noProof/>
          <w:sz w:val="22"/>
          <w:lang w:val="es-ES_tradnl"/>
        </w:rPr>
      </w:pPr>
      <w:r>
        <w:rPr>
          <w:rFonts w:ascii="Arial" w:hAnsi="Arial" w:cs="Arial"/>
          <w:noProof/>
          <w:sz w:val="22"/>
          <w:lang w:val="es-ES_tradnl"/>
        </w:rPr>
        <w:t>Conforme a la explicación precedente, s</w:t>
      </w:r>
      <w:r w:rsidR="00A1781B" w:rsidRPr="002F556D">
        <w:rPr>
          <w:rFonts w:ascii="Arial" w:hAnsi="Arial" w:cs="Arial"/>
          <w:noProof/>
          <w:sz w:val="22"/>
          <w:lang w:val="es-ES_tradnl"/>
        </w:rPr>
        <w:t xml:space="preserve">i bien </w:t>
      </w:r>
      <w:r>
        <w:rPr>
          <w:rFonts w:ascii="Arial" w:hAnsi="Arial" w:cs="Arial"/>
          <w:noProof/>
          <w:sz w:val="22"/>
          <w:lang w:val="es-ES_tradnl"/>
        </w:rPr>
        <w:t xml:space="preserve">los contratos tipificados en el artículo </w:t>
      </w:r>
      <w:r w:rsidR="008C74DE">
        <w:rPr>
          <w:rFonts w:ascii="Arial" w:hAnsi="Arial" w:cs="Arial"/>
          <w:noProof/>
          <w:sz w:val="22"/>
          <w:lang w:val="es-ES_tradnl"/>
        </w:rPr>
        <w:t xml:space="preserve">32.3 </w:t>
      </w:r>
      <w:r w:rsidR="001F594A">
        <w:rPr>
          <w:rFonts w:ascii="Arial" w:hAnsi="Arial" w:cs="Arial"/>
          <w:noProof/>
          <w:sz w:val="22"/>
          <w:lang w:val="es-ES_tradnl"/>
        </w:rPr>
        <w:t xml:space="preserve">de la Ley 80 de 1993 </w:t>
      </w:r>
      <w:r w:rsidR="00A1781B" w:rsidRPr="002F556D">
        <w:rPr>
          <w:rFonts w:ascii="Arial" w:hAnsi="Arial" w:cs="Arial"/>
          <w:noProof/>
          <w:sz w:val="22"/>
          <w:lang w:val="es-ES_tradnl"/>
        </w:rPr>
        <w:t xml:space="preserve">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00A1781B" w:rsidRPr="002F556D">
        <w:rPr>
          <w:rFonts w:ascii="Arial" w:hAnsi="Arial" w:cs="Arial"/>
          <w:i/>
          <w:noProof/>
          <w:sz w:val="22"/>
          <w:lang w:val="es-ES_tradnl"/>
        </w:rPr>
        <w:t xml:space="preserve">subordinación </w:t>
      </w:r>
      <w:r w:rsidR="00A1781B" w:rsidRPr="002F556D">
        <w:rPr>
          <w:rFonts w:ascii="Arial" w:hAnsi="Arial" w:cs="Arial"/>
          <w:iCs/>
          <w:noProof/>
          <w:sz w:val="22"/>
          <w:lang w:val="es-ES_tradnl"/>
        </w:rPr>
        <w:t>ni</w:t>
      </w:r>
      <w:r w:rsidR="00A1781B" w:rsidRPr="002F556D">
        <w:rPr>
          <w:rFonts w:ascii="Arial" w:hAnsi="Arial" w:cs="Arial"/>
          <w:i/>
          <w:noProof/>
          <w:sz w:val="22"/>
          <w:lang w:val="es-ES_tradnl"/>
        </w:rPr>
        <w:t xml:space="preserve"> dependencia</w:t>
      </w:r>
      <w:r w:rsidR="00A1781B" w:rsidRPr="002F556D">
        <w:rPr>
          <w:rFonts w:ascii="Arial" w:hAnsi="Arial" w:cs="Arial"/>
          <w:iCs/>
          <w:noProof/>
          <w:sz w:val="22"/>
          <w:lang w:val="es-ES_tradnl"/>
        </w:rPr>
        <w:t>,</w:t>
      </w:r>
      <w:r w:rsidR="00A1781B" w:rsidRPr="002F556D">
        <w:rPr>
          <w:rFonts w:ascii="Arial" w:hAnsi="Arial" w:cs="Arial"/>
          <w:noProof/>
          <w:sz w:val="22"/>
          <w:lang w:val="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00A1781B" w:rsidRPr="002F556D">
        <w:rPr>
          <w:rFonts w:ascii="Arial" w:hAnsi="Arial" w:cs="Arial"/>
          <w:i/>
          <w:noProof/>
          <w:sz w:val="22"/>
          <w:lang w:val="es-ES_tradnl"/>
        </w:rPr>
        <w:t>no pueden</w:t>
      </w:r>
      <w:r w:rsidR="00A1781B" w:rsidRPr="002F556D">
        <w:rPr>
          <w:rFonts w:ascii="Arial" w:hAnsi="Arial" w:cs="Arial"/>
          <w:noProof/>
          <w:sz w:val="22"/>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w:t>
      </w:r>
      <w:r w:rsidR="00A1781B" w:rsidRPr="002F556D">
        <w:rPr>
          <w:rFonts w:ascii="Arial" w:hAnsi="Arial" w:cs="Arial"/>
          <w:noProof/>
          <w:sz w:val="22"/>
          <w:lang w:val="es-ES_tradnl"/>
        </w:rPr>
        <w:lastRenderedPageBreak/>
        <w:t xml:space="preserve">califican las normas de la seguridad social– debe cotizar por su cuenta y riesgo al Sistema de Seguridad Social Integral. </w:t>
      </w:r>
    </w:p>
    <w:p w14:paraId="02074811" w14:textId="17F6C44B" w:rsidR="00A1781B" w:rsidRDefault="00A1781B" w:rsidP="00C94F0B">
      <w:pPr>
        <w:spacing w:before="120" w:after="120" w:line="276" w:lineRule="auto"/>
        <w:ind w:firstLine="709"/>
        <w:jc w:val="both"/>
        <w:rPr>
          <w:rFonts w:ascii="Arial" w:hAnsi="Arial" w:cs="Arial"/>
          <w:noProof/>
          <w:sz w:val="22"/>
          <w:lang w:val="es-ES_tradnl"/>
        </w:rPr>
      </w:pPr>
      <w:r w:rsidRPr="002F556D">
        <w:rPr>
          <w:rFonts w:ascii="Arial" w:hAnsi="Arial" w:cs="Arial"/>
          <w:noProof/>
          <w:sz w:val="22"/>
          <w:lang w:val="es-ES_tradnl"/>
        </w:rPr>
        <w:t xml:space="preserve">A pesar de este mandato deontológico, es posible que en la práctica se configure una relación laboral, pues el contrato de trabajo es </w:t>
      </w:r>
      <w:r w:rsidRPr="002F556D">
        <w:rPr>
          <w:rFonts w:ascii="Arial" w:hAnsi="Arial" w:cs="Arial"/>
          <w:i/>
          <w:iCs/>
          <w:noProof/>
          <w:sz w:val="22"/>
          <w:lang w:val="es-ES_tradnl"/>
        </w:rPr>
        <w:t xml:space="preserve">de </w:t>
      </w:r>
      <w:r w:rsidRPr="002F556D">
        <w:rPr>
          <w:rFonts w:ascii="Arial" w:hAnsi="Arial" w:cs="Arial"/>
          <w:i/>
          <w:noProof/>
          <w:sz w:val="22"/>
          <w:lang w:val="es-ES_tradnl"/>
        </w:rPr>
        <w:t>realidad</w:t>
      </w:r>
      <w:r w:rsidRPr="002F556D">
        <w:rPr>
          <w:rFonts w:ascii="Arial" w:hAnsi="Arial" w:cs="Arial"/>
          <w:noProof/>
          <w:sz w:val="22"/>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Pr>
          <w:rFonts w:ascii="Arial" w:hAnsi="Arial" w:cs="Arial"/>
          <w:noProof/>
          <w:sz w:val="22"/>
          <w:lang w:val="es-ES_tradnl"/>
        </w:rPr>
        <w:t xml:space="preserve"> </w:t>
      </w:r>
      <w:r w:rsidRPr="000A091D">
        <w:rPr>
          <w:rFonts w:ascii="Arial" w:hAnsi="Arial" w:cs="Arial"/>
          <w:noProof/>
          <w:sz w:val="22"/>
          <w:lang w:val="es-ES_tradnl"/>
        </w:rPr>
        <w:t>Por su parte, el Consejo de Estado en sentencia de unificación jurisprudencial del 9 de septiembre de 2021 se pronunció respecto de los criterios para identificar la existencia de una relación laboral encubierta o subyacente por contratos de prestación de servicios y definó tres reglas para el efecto</w:t>
      </w:r>
      <w:r>
        <w:rPr>
          <w:rFonts w:ascii="Arial" w:hAnsi="Arial" w:cs="Arial"/>
          <w:noProof/>
          <w:sz w:val="22"/>
          <w:lang w:val="es-ES_tradnl"/>
        </w:rPr>
        <w:t>, aspectos que fueron aclarados posteriormente por Auto del 11 de noviembre de 2021.</w:t>
      </w:r>
    </w:p>
    <w:p w14:paraId="4364D5F7" w14:textId="2704C24E" w:rsidR="00C36A59" w:rsidRPr="00720382" w:rsidRDefault="00786DF8" w:rsidP="00786DF8">
      <w:pPr>
        <w:spacing w:after="120" w:line="276" w:lineRule="auto"/>
        <w:ind w:firstLine="708"/>
        <w:jc w:val="both"/>
        <w:textAlignment w:val="baseline"/>
        <w:rPr>
          <w:rFonts w:ascii="Arial" w:eastAsia="Calibri" w:hAnsi="Arial" w:cs="Arial"/>
          <w:sz w:val="22"/>
          <w:lang w:val="es-ES"/>
        </w:rPr>
      </w:pPr>
      <w:r>
        <w:rPr>
          <w:rFonts w:ascii="Arial" w:eastAsia="Calibri" w:hAnsi="Arial" w:cs="Arial"/>
          <w:sz w:val="22"/>
          <w:lang w:val="es-ES"/>
        </w:rPr>
        <w:t>Ahora bien</w:t>
      </w:r>
      <w:r w:rsidR="00C36A59" w:rsidRPr="00720382">
        <w:rPr>
          <w:rFonts w:ascii="Arial" w:eastAsia="Calibri" w:hAnsi="Arial" w:cs="Arial"/>
          <w:sz w:val="22"/>
          <w:lang w:val="es-ES"/>
        </w:rPr>
        <w:t xml:space="preserve">, </w:t>
      </w:r>
      <w:r>
        <w:rPr>
          <w:rFonts w:ascii="Arial" w:eastAsia="Calibri" w:hAnsi="Arial" w:cs="Arial"/>
          <w:sz w:val="22"/>
          <w:lang w:val="es-ES"/>
        </w:rPr>
        <w:t>l</w:t>
      </w:r>
      <w:r w:rsidRPr="00786DF8">
        <w:rPr>
          <w:rFonts w:ascii="Arial" w:eastAsia="Calibri" w:hAnsi="Arial" w:cs="Arial"/>
          <w:sz w:val="22"/>
          <w:lang w:val="es-ES"/>
        </w:rPr>
        <w:t xml:space="preserve">a solicitud motivo de consulta, tiene como propósito que Colombia Compra Eficiente le brinde asesoría, emitiendo un concepto jurídico </w:t>
      </w:r>
      <w:r w:rsidRPr="00786DF8">
        <w:rPr>
          <w:rFonts w:ascii="Arial" w:eastAsia="Calibri" w:hAnsi="Arial" w:cs="Arial"/>
          <w:sz w:val="22"/>
        </w:rPr>
        <w:t>acerca de la contratación de personal después de la Ley de la Garantías conforme a la sentencia unificada del Consejo de Estado del 9 de septiembre de 2021, debido a que existe una confusión sobre los días establecidos en la sentencia.</w:t>
      </w:r>
      <w:r w:rsidR="00C36A59" w:rsidRPr="00720382">
        <w:rPr>
          <w:rFonts w:ascii="Arial" w:eastAsia="Calibri" w:hAnsi="Arial" w:cs="Arial"/>
          <w:sz w:val="22"/>
          <w:lang w:val="es-ES"/>
        </w:rPr>
        <w:t xml:space="preserve"> </w:t>
      </w:r>
    </w:p>
    <w:p w14:paraId="0E714D09" w14:textId="77777777" w:rsidR="00C36A59" w:rsidRPr="00720382" w:rsidRDefault="00C36A59" w:rsidP="00C36A59">
      <w:pPr>
        <w:spacing w:after="120" w:line="276" w:lineRule="auto"/>
        <w:ind w:firstLine="708"/>
        <w:jc w:val="both"/>
        <w:rPr>
          <w:rFonts w:ascii="Arial" w:eastAsia="Calibri" w:hAnsi="Arial" w:cs="Arial"/>
          <w:sz w:val="22"/>
          <w:lang w:val="es-ES"/>
        </w:rPr>
      </w:pPr>
      <w:r w:rsidRPr="00720382">
        <w:rPr>
          <w:rFonts w:ascii="Arial" w:hAnsi="Arial" w:cs="Arial"/>
          <w:sz w:val="22"/>
          <w:lang w:val="es-ES" w:eastAsia="es-CO"/>
        </w:rPr>
        <w:t>Sin embargo, cuando los contratos de prestación de servicios encubren relaciones de subordinación, el problema jurídico consiste en determinar la existencia de una posible relación laboral.</w:t>
      </w:r>
      <w:r w:rsidRPr="00720382">
        <w:rPr>
          <w:rFonts w:ascii="Arial" w:eastAsia="Calibri" w:hAnsi="Arial" w:cs="Arial"/>
          <w:sz w:val="22"/>
          <w:lang w:val="es-ES"/>
        </w:rPr>
        <w:t xml:space="preserve"> En este sentido, la Agencia Nacional de Contratación Pública – Colombia Compra Eficiente no es el órgano autorizado para conceptuar sobre las implicaciones de los contratos realidad, tampoco para establecer el alcance de las sentencias de unificación del Consejo de Estado sobre conflictos en temas laborales. En otras palabras, esta entidad no puede establecer directrices al respecto, especialmente porque los lineamientos para evitar la configuración de daños antijurídicos en dicha materia corresponden a una entidad distinta.</w:t>
      </w:r>
    </w:p>
    <w:p w14:paraId="2BA4FFC1" w14:textId="77777777" w:rsidR="00C36A59" w:rsidRPr="00720382" w:rsidRDefault="00C36A59" w:rsidP="00C36A59">
      <w:pPr>
        <w:spacing w:after="120" w:line="276" w:lineRule="auto"/>
        <w:ind w:firstLine="708"/>
        <w:jc w:val="both"/>
        <w:rPr>
          <w:rFonts w:ascii="Arial" w:eastAsia="Calibri" w:hAnsi="Arial" w:cs="Arial"/>
          <w:sz w:val="22"/>
        </w:rPr>
      </w:pPr>
      <w:r w:rsidRPr="00720382">
        <w:rPr>
          <w:rFonts w:ascii="Arial" w:eastAsia="Calibri" w:hAnsi="Arial" w:cs="Arial"/>
          <w:i/>
          <w:iCs/>
          <w:sz w:val="22"/>
          <w:lang w:val="es-ES"/>
        </w:rPr>
        <w:t>Por un lado</w:t>
      </w:r>
      <w:r w:rsidRPr="00720382">
        <w:rPr>
          <w:rFonts w:ascii="Arial" w:eastAsia="Calibri" w:hAnsi="Arial" w:cs="Arial"/>
          <w:sz w:val="22"/>
          <w:lang w:val="es-ES"/>
        </w:rPr>
        <w:t xml:space="preserve">, Colombia Compra Eficiente solo resuelve consultas sobre normas generales del sistema de compras y contratación pública. No obstante, </w:t>
      </w:r>
      <w:r w:rsidRPr="00720382">
        <w:rPr>
          <w:rStyle w:val="normaltextrun"/>
          <w:rFonts w:ascii="Arial" w:hAnsi="Arial" w:cs="Arial"/>
          <w:color w:val="000000"/>
          <w:sz w:val="22"/>
          <w:shd w:val="clear" w:color="auto" w:fill="FFFFFF"/>
        </w:rPr>
        <w:t>si bien la jurisprudencia es una pauta de autoridad para entender el contenido de las leyes y los reglamentos, la sentencia de unificación del 9 de septiembre de 2021 fue expedida por la Sección Segunda del Consejo de Estado, la cual se encarga principalmente de resolver controversias judiciales en materia laboral, que se reitera, son ajenas a las competencias de la Agencia nacional de Contratación Pública.</w:t>
      </w:r>
      <w:r w:rsidRPr="00720382">
        <w:rPr>
          <w:rFonts w:ascii="Arial" w:eastAsia="Calibri" w:hAnsi="Arial" w:cs="Arial"/>
          <w:sz w:val="22"/>
          <w:lang w:val="es-ES"/>
        </w:rPr>
        <w:t xml:space="preserve"> </w:t>
      </w:r>
      <w:r w:rsidRPr="00720382">
        <w:rPr>
          <w:rFonts w:ascii="Arial" w:eastAsia="Calibri" w:hAnsi="Arial" w:cs="Arial"/>
          <w:i/>
          <w:iCs/>
          <w:sz w:val="22"/>
          <w:lang w:val="es-ES"/>
        </w:rPr>
        <w:t>Por otra parte</w:t>
      </w:r>
      <w:r w:rsidRPr="00720382">
        <w:rPr>
          <w:rFonts w:ascii="Arial" w:eastAsia="Calibri" w:hAnsi="Arial" w:cs="Arial"/>
          <w:sz w:val="22"/>
          <w:lang w:val="es-ES"/>
        </w:rPr>
        <w:t>, es necesario tener en cuenta que la Directiva de la Procuraduría General de la República 001 del 4 de enero de 2021 dispuso «</w:t>
      </w:r>
      <w:r w:rsidRPr="00720382">
        <w:rPr>
          <w:rFonts w:ascii="Arial" w:eastAsia="Calibri" w:hAnsi="Arial" w:cs="Arial"/>
          <w:sz w:val="22"/>
        </w:rPr>
        <w:t xml:space="preserve">Exhortar a la Agencia Nacional de Defensa Jurídica del Estado, a continuar adelantando, en la órbita de la función preventiva judicial, actividades para evitar el contrato </w:t>
      </w:r>
      <w:r w:rsidRPr="00720382">
        <w:rPr>
          <w:rFonts w:ascii="Arial" w:eastAsia="Calibri" w:hAnsi="Arial" w:cs="Arial"/>
          <w:sz w:val="22"/>
        </w:rPr>
        <w:lastRenderedPageBreak/>
        <w:t>realidad con las entidades de la rama ejecutiva del nivel nacional y hacer pedagogía y brindar apoyo a las entidades territoriales».</w:t>
      </w:r>
    </w:p>
    <w:p w14:paraId="73F44C67" w14:textId="77777777" w:rsidR="00C36A59" w:rsidRPr="00720382" w:rsidRDefault="00C36A59" w:rsidP="00C36A59">
      <w:pPr>
        <w:spacing w:after="120" w:line="276" w:lineRule="auto"/>
        <w:ind w:firstLine="708"/>
        <w:jc w:val="both"/>
        <w:rPr>
          <w:rFonts w:ascii="Arial" w:eastAsia="Calibri" w:hAnsi="Arial" w:cs="Arial"/>
          <w:sz w:val="22"/>
          <w:lang w:val="es-ES"/>
        </w:rPr>
      </w:pPr>
      <w:r w:rsidRPr="00720382">
        <w:rPr>
          <w:rFonts w:ascii="Arial" w:eastAsia="Calibri" w:hAnsi="Arial" w:cs="Arial"/>
          <w:sz w:val="22"/>
          <w:lang w:val="es-ES"/>
        </w:rPr>
        <w:t xml:space="preserve">Teniendo en cuenta lo anterior, con fundamento en los criterios establecidos en la sentencia de unificación jurisprudencia, la ANDJE estableció lineamientos en torno a la forma de prevenir la configuración de contratos realidad, a los que se hizo referencia en las consideraciones. </w:t>
      </w:r>
    </w:p>
    <w:p w14:paraId="7E23FB95" w14:textId="46DB60EF" w:rsidR="00C36A59" w:rsidRPr="00720382" w:rsidRDefault="004969F7" w:rsidP="00C36A59">
      <w:pPr>
        <w:shd w:val="clear" w:color="auto" w:fill="FFFFFF"/>
        <w:spacing w:after="120" w:line="276" w:lineRule="auto"/>
        <w:ind w:firstLine="708"/>
        <w:jc w:val="both"/>
        <w:textAlignment w:val="baseline"/>
        <w:rPr>
          <w:rFonts w:ascii="Arial" w:hAnsi="Arial" w:cs="Arial"/>
          <w:sz w:val="22"/>
          <w:lang w:eastAsia="es-CO"/>
        </w:rPr>
      </w:pPr>
      <w:r>
        <w:rPr>
          <w:rFonts w:ascii="Arial" w:hAnsi="Arial" w:cs="Arial"/>
          <w:sz w:val="22"/>
          <w:lang w:eastAsia="es-CO"/>
        </w:rPr>
        <w:t>L</w:t>
      </w:r>
      <w:r w:rsidR="00C36A59" w:rsidRPr="00720382">
        <w:rPr>
          <w:rFonts w:ascii="Arial" w:hAnsi="Arial" w:cs="Arial"/>
          <w:sz w:val="22"/>
          <w:lang w:eastAsia="es-CO"/>
        </w:rPr>
        <w:t>a Presidencia de la República</w:t>
      </w:r>
      <w:r>
        <w:rPr>
          <w:rFonts w:ascii="Arial" w:hAnsi="Arial" w:cs="Arial"/>
          <w:sz w:val="22"/>
          <w:lang w:eastAsia="es-CO"/>
        </w:rPr>
        <w:t xml:space="preserve"> también</w:t>
      </w:r>
      <w:r w:rsidR="00C36A59" w:rsidRPr="00720382">
        <w:rPr>
          <w:rFonts w:ascii="Arial" w:hAnsi="Arial" w:cs="Arial"/>
          <w:sz w:val="22"/>
          <w:lang w:eastAsia="es-CO"/>
        </w:rPr>
        <w:t xml:space="preserve"> expidió la Directiva 07 del 28 de octubre de 2021 con el fin de determinar el alcance de la sentencia de unificación jurisprudencial, la cual sirve de guía para las decisiones que deberán tomar las diferentes entidades públicas. Además, en armonía con lo expuesto anteriormente, el numeral 5 de dicha Directiva reitera la competencia de la</w:t>
      </w:r>
      <w:r w:rsidR="00C36A59" w:rsidRPr="00720382">
        <w:rPr>
          <w:rFonts w:ascii="Arial" w:eastAsia="Calibri" w:hAnsi="Arial" w:cs="Arial"/>
          <w:sz w:val="22"/>
          <w:lang w:val="es-ES"/>
        </w:rPr>
        <w:t xml:space="preserve"> ANDJE</w:t>
      </w:r>
      <w:r w:rsidR="00C36A59" w:rsidRPr="00720382">
        <w:rPr>
          <w:rFonts w:ascii="Arial" w:hAnsi="Arial" w:cs="Arial"/>
          <w:sz w:val="22"/>
          <w:lang w:eastAsia="es-CO"/>
        </w:rPr>
        <w:t xml:space="preserve"> al disponer que «Se deben atender los lineamientos que, sobre este asunto, imparta la Agencia Nacional de Defensa Jurídica del Estado, dentro de su función de prevención del daño antijurídico». Esto resalta que Colombia Compra Eficiente carece de competencia para pronunciarse de fondo sobre este tema, pues los lineamientos para evitar daños antijurídicos en la configuración de contratos realidad corresponden a la Agencia anteriormente mencionada. </w:t>
      </w:r>
    </w:p>
    <w:p w14:paraId="4577802F" w14:textId="3CBC5A72" w:rsidR="00C36A59" w:rsidRPr="00720382" w:rsidRDefault="00C36A59" w:rsidP="00C36A59">
      <w:pPr>
        <w:shd w:val="clear" w:color="auto" w:fill="FFFFFF"/>
        <w:spacing w:after="120" w:line="276" w:lineRule="auto"/>
        <w:ind w:firstLine="708"/>
        <w:jc w:val="both"/>
        <w:textAlignment w:val="baseline"/>
        <w:rPr>
          <w:rFonts w:ascii="Arial" w:eastAsia="Calibri" w:hAnsi="Arial" w:cs="Arial"/>
          <w:sz w:val="22"/>
          <w:lang w:val="es-ES"/>
        </w:rPr>
      </w:pPr>
      <w:r w:rsidRPr="00720382">
        <w:rPr>
          <w:rFonts w:ascii="Arial" w:hAnsi="Arial" w:cs="Arial"/>
          <w:sz w:val="22"/>
          <w:lang w:eastAsia="es-CO"/>
        </w:rPr>
        <w:t>De otro lado, conforme al artículo 10 de la Ley 1437 de 2011, se precisa que las sentencias de unificación son de obligatorio cumplimiento</w:t>
      </w:r>
      <w:r w:rsidRPr="00720382">
        <w:rPr>
          <w:rFonts w:ascii="Arial" w:hAnsi="Arial" w:cs="Arial"/>
          <w:color w:val="4B4949"/>
          <w:sz w:val="22"/>
        </w:rPr>
        <w:t>.</w:t>
      </w:r>
      <w:r w:rsidRPr="00720382">
        <w:rPr>
          <w:rFonts w:ascii="Arial" w:hAnsi="Arial" w:cs="Arial"/>
          <w:sz w:val="22"/>
          <w:lang w:eastAsia="es-CO"/>
        </w:rPr>
        <w:t xml:space="preserve"> </w:t>
      </w:r>
      <w:r w:rsidRPr="00720382">
        <w:rPr>
          <w:rFonts w:ascii="Arial" w:eastAsia="Calibri" w:hAnsi="Arial" w:cs="Arial"/>
          <w:sz w:val="22"/>
          <w:lang w:val="es-ES"/>
        </w:rPr>
        <w:t>Por ello, previo análisis de los lineamientos de la Agencia Nacional de Defensa Jurídica del Estado y la Directiva presidencial relacionados en el presente oficio, las autoridades tienen autonomía administrativa para el ejercicio de las funciones y competencias que les fueron atribuidas por el ordenamiento jurídico. Por esa razón, como responsables de su actividad contractual, les corresponde adoptar las decisiones y adelantar las actuaciones que estimen pertinentes para desarrollarla.</w:t>
      </w:r>
    </w:p>
    <w:p w14:paraId="563DBC73" w14:textId="1B5CAF10" w:rsidR="001E123A" w:rsidRDefault="00B8616D" w:rsidP="00C94F0B">
      <w:pPr>
        <w:spacing w:line="276" w:lineRule="auto"/>
        <w:ind w:firstLine="708"/>
        <w:jc w:val="both"/>
        <w:rPr>
          <w:rFonts w:ascii="Arial" w:hAnsi="Arial" w:cs="Arial"/>
          <w:noProof/>
          <w:sz w:val="22"/>
          <w:lang w:val="es-ES_tradnl"/>
        </w:rPr>
      </w:pPr>
      <w:r w:rsidRPr="00720382">
        <w:rPr>
          <w:rFonts w:ascii="Arial" w:eastAsia="Calibri" w:hAnsi="Arial" w:cs="Arial"/>
          <w:sz w:val="22"/>
          <w:lang w:val="es-ES"/>
        </w:rPr>
        <w:t xml:space="preserve">Es necesario anotar que la sentencia de unificación no modifica el alcance de las prohibiciones de la Ley 996 de 2005. Por ello, las prohibiciones contempladas en dicha ley tampoco condicionan las reglas de unificación de la sentencia, pues son dos temas independientes. En consecuencia, con la asesoría de sus equipos jurídicos, corresponde a las entidades determinar de manera autónoma la viabilidad de suscribir contratos </w:t>
      </w:r>
      <w:r>
        <w:rPr>
          <w:rFonts w:ascii="Arial" w:eastAsia="Calibri" w:hAnsi="Arial" w:cs="Arial"/>
          <w:sz w:val="22"/>
          <w:lang w:val="es-ES"/>
        </w:rPr>
        <w:t>después de la vigencia</w:t>
      </w:r>
      <w:r w:rsidRPr="00720382">
        <w:rPr>
          <w:rFonts w:ascii="Arial" w:eastAsia="Calibri" w:hAnsi="Arial" w:cs="Arial"/>
          <w:sz w:val="22"/>
          <w:lang w:val="es-ES"/>
        </w:rPr>
        <w:t xml:space="preserve"> de la Ley de Garantías.</w:t>
      </w:r>
    </w:p>
    <w:p w14:paraId="3B837C51" w14:textId="77777777" w:rsidR="00D15F76" w:rsidRPr="00111AAA" w:rsidRDefault="00D15F76" w:rsidP="00C94F0B">
      <w:pPr>
        <w:spacing w:after="120" w:line="276" w:lineRule="auto"/>
        <w:jc w:val="both"/>
        <w:rPr>
          <w:rFonts w:ascii="Arial" w:eastAsia="Calibri" w:hAnsi="Arial" w:cs="Arial"/>
          <w:color w:val="000000" w:themeColor="text1"/>
          <w:sz w:val="16"/>
          <w:szCs w:val="16"/>
        </w:rPr>
      </w:pPr>
    </w:p>
    <w:p w14:paraId="3E4507C4" w14:textId="52BC3250" w:rsidR="00D15F76" w:rsidRDefault="00D15F76" w:rsidP="00964254">
      <w:pPr>
        <w:spacing w:line="276" w:lineRule="auto"/>
        <w:jc w:val="both"/>
        <w:rPr>
          <w:rFonts w:ascii="Arial" w:eastAsia="Calibri" w:hAnsi="Arial" w:cs="Arial"/>
          <w:color w:val="000000" w:themeColor="text1"/>
          <w:sz w:val="22"/>
        </w:rPr>
      </w:pPr>
      <w:r w:rsidRPr="003E17D3">
        <w:rPr>
          <w:rFonts w:ascii="Arial" w:eastAsia="Calibri" w:hAnsi="Arial" w:cs="Arial"/>
          <w:color w:val="000000" w:themeColor="text1"/>
          <w:sz w:val="22"/>
        </w:rPr>
        <w:t>Este concepto tiene el alcance previsto en el artículo 28 del Código de Procedimiento Administrativo y de lo Contencioso Administrativo.</w:t>
      </w:r>
    </w:p>
    <w:p w14:paraId="18E2F79D" w14:textId="0C96171F" w:rsidR="00BE1516" w:rsidRPr="003E17D3" w:rsidRDefault="00BE1516" w:rsidP="00D15F76">
      <w:pPr>
        <w:spacing w:line="276" w:lineRule="auto"/>
        <w:ind w:firstLine="708"/>
        <w:jc w:val="both"/>
        <w:rPr>
          <w:rFonts w:ascii="Arial" w:eastAsia="Calibri" w:hAnsi="Arial" w:cs="Arial"/>
          <w:color w:val="000000" w:themeColor="text1"/>
          <w:sz w:val="22"/>
        </w:rPr>
      </w:pPr>
      <w:r w:rsidRPr="003E17D3">
        <w:rPr>
          <w:rFonts w:ascii="Arial" w:eastAsia="Calibri" w:hAnsi="Arial" w:cs="Arial"/>
          <w:noProof/>
          <w:color w:val="000000" w:themeColor="text1"/>
          <w:sz w:val="22"/>
          <w:lang w:val="es-CO" w:eastAsia="es-CO"/>
        </w:rPr>
        <mc:AlternateContent>
          <mc:Choice Requires="wps">
            <w:drawing>
              <wp:anchor distT="0" distB="0" distL="114300" distR="114300" simplePos="0" relativeHeight="251659264" behindDoc="0" locked="0" layoutInCell="1" allowOverlap="1" wp14:anchorId="5F01DB4B" wp14:editId="5773E6D3">
                <wp:simplePos x="0" y="0"/>
                <wp:positionH relativeFrom="page">
                  <wp:posOffset>1524000</wp:posOffset>
                </wp:positionH>
                <wp:positionV relativeFrom="paragraph">
                  <wp:posOffset>156845</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4FE30F4">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20pt,12.35pt" to="489pt,12.35pt" w14:anchorId="0856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">
                <w10:wrap anchorx="page"/>
              </v:line>
            </w:pict>
          </mc:Fallback>
        </mc:AlternateContent>
      </w:r>
    </w:p>
    <w:p w14:paraId="27E6DEE6" w14:textId="4DB4BCFF" w:rsidR="00D15F76" w:rsidRPr="003E17D3" w:rsidRDefault="00D15F76" w:rsidP="00E47691">
      <w:pPr>
        <w:spacing w:before="120" w:after="120"/>
        <w:jc w:val="both"/>
        <w:rPr>
          <w:rFonts w:ascii="Arial" w:eastAsia="Times New Roman" w:hAnsi="Arial" w:cs="Arial"/>
          <w:color w:val="000000" w:themeColor="text1"/>
          <w:sz w:val="18"/>
          <w:szCs w:val="18"/>
          <w:lang w:val="es-ES_tradnl" w:eastAsia="es-CO"/>
        </w:rPr>
      </w:pPr>
      <w:r w:rsidRPr="003E17D3">
        <w:rPr>
          <w:rFonts w:ascii="Arial" w:eastAsia="Times New Roman" w:hAnsi="Arial" w:cs="Arial"/>
          <w:color w:val="000000" w:themeColor="text1"/>
          <w:sz w:val="22"/>
          <w:lang w:eastAsia="es-CO"/>
        </w:rPr>
        <w:t>Atentamente,</w:t>
      </w:r>
    </w:p>
    <w:p w14:paraId="325ADF46" w14:textId="73B4FE2A" w:rsidR="00F551B1" w:rsidRDefault="002F3BCD" w:rsidP="00BE1516">
      <w:pPr>
        <w:spacing w:line="276" w:lineRule="auto"/>
        <w:jc w:val="center"/>
        <w:rPr>
          <w:sz w:val="16"/>
          <w:szCs w:val="16"/>
        </w:rPr>
      </w:pPr>
      <w:r w:rsidRPr="002F3BCD">
        <w:rPr>
          <w:noProof/>
        </w:rPr>
        <w:lastRenderedPageBreak/>
        <w:t xml:space="preserve"> </w:t>
      </w:r>
      <w:r w:rsidR="00FE0F24" w:rsidRPr="00B56176">
        <w:rPr>
          <w:rFonts w:ascii="Arial" w:eastAsia="Times New Roman" w:hAnsi="Arial" w:cs="Arial"/>
          <w:noProof/>
          <w:color w:val="FF0000"/>
          <w:lang w:eastAsia="es-CO"/>
        </w:rPr>
        <w:drawing>
          <wp:inline distT="0" distB="0" distL="0" distR="0" wp14:anchorId="01877E5C" wp14:editId="46072E84">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p w14:paraId="347F962E" w14:textId="77777777" w:rsidR="00F551B1" w:rsidRPr="00BE1516" w:rsidRDefault="00F551B1" w:rsidP="00C94F0B">
      <w:pPr>
        <w:spacing w:line="276" w:lineRule="auto"/>
        <w:rPr>
          <w:sz w:val="16"/>
          <w:szCs w:val="16"/>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E1516" w:rsidRPr="00BE1516" w14:paraId="19404164" w14:textId="77777777" w:rsidTr="00B8410B">
        <w:trPr>
          <w:trHeight w:val="315"/>
        </w:trPr>
        <w:tc>
          <w:tcPr>
            <w:tcW w:w="812" w:type="dxa"/>
            <w:vAlign w:val="center"/>
            <w:hideMark/>
          </w:tcPr>
          <w:p w14:paraId="4DD4C833"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1121DE" w14:textId="6AE85501" w:rsidR="00BE1516" w:rsidRPr="00BE1516" w:rsidRDefault="00D2407A" w:rsidP="00BE1516">
            <w:pPr>
              <w:rPr>
                <w:rFonts w:ascii="Arial" w:eastAsia="Times New Roman" w:hAnsi="Arial" w:cs="Arial"/>
                <w:sz w:val="16"/>
                <w:szCs w:val="16"/>
                <w:lang w:eastAsia="es-ES"/>
              </w:rPr>
            </w:pPr>
            <w:r>
              <w:rPr>
                <w:rFonts w:ascii="Arial" w:eastAsia="Times New Roman" w:hAnsi="Arial" w:cs="Arial"/>
                <w:sz w:val="16"/>
                <w:szCs w:val="16"/>
                <w:lang w:eastAsia="es-ES"/>
              </w:rPr>
              <w:t>Felipe Bastidas Paredes</w:t>
            </w:r>
          </w:p>
          <w:p w14:paraId="674D3D94"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Contratista de la Subdirección de Gestión Contractual</w:t>
            </w:r>
          </w:p>
        </w:tc>
      </w:tr>
      <w:tr w:rsidR="00BE1516" w:rsidRPr="00BE1516" w14:paraId="46E6CCE5" w14:textId="77777777" w:rsidTr="00B8410B">
        <w:trPr>
          <w:trHeight w:val="330"/>
        </w:trPr>
        <w:tc>
          <w:tcPr>
            <w:tcW w:w="812" w:type="dxa"/>
            <w:vAlign w:val="center"/>
            <w:hideMark/>
          </w:tcPr>
          <w:p w14:paraId="51195F03"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5ECD15" w14:textId="05B884CD" w:rsidR="00BE1516" w:rsidRPr="00BE1516" w:rsidRDefault="00D2407A" w:rsidP="00BE1516">
            <w:pPr>
              <w:rPr>
                <w:rFonts w:ascii="Arial" w:hAnsi="Arial" w:cs="Arial"/>
                <w:sz w:val="16"/>
                <w:szCs w:val="16"/>
                <w:lang w:val="es-ES_tradnl" w:eastAsia="es-ES"/>
              </w:rPr>
            </w:pPr>
            <w:r>
              <w:rPr>
                <w:rFonts w:ascii="Arial" w:hAnsi="Arial" w:cs="Arial"/>
                <w:sz w:val="16"/>
                <w:szCs w:val="16"/>
                <w:lang w:val="es-ES_tradnl" w:eastAsia="es-ES"/>
              </w:rPr>
              <w:t>Juan David Montoya</w:t>
            </w:r>
            <w:r w:rsidR="00B2623D">
              <w:rPr>
                <w:rFonts w:ascii="Arial" w:hAnsi="Arial" w:cs="Arial"/>
                <w:sz w:val="16"/>
                <w:szCs w:val="16"/>
                <w:lang w:val="es-ES_tradnl" w:eastAsia="es-ES"/>
              </w:rPr>
              <w:t xml:space="preserve"> Penagos</w:t>
            </w:r>
            <w:r>
              <w:rPr>
                <w:rFonts w:ascii="Arial" w:hAnsi="Arial" w:cs="Arial"/>
                <w:sz w:val="16"/>
                <w:szCs w:val="16"/>
                <w:lang w:val="es-ES_tradnl" w:eastAsia="es-ES"/>
              </w:rPr>
              <w:t xml:space="preserve"> </w:t>
            </w:r>
          </w:p>
          <w:p w14:paraId="30EE740C" w14:textId="6C537D42" w:rsidR="00BE1516" w:rsidRPr="00BE1516" w:rsidRDefault="00D2407A" w:rsidP="00BE1516">
            <w:pPr>
              <w:rPr>
                <w:rFonts w:ascii="Arial" w:eastAsia="Times New Roman" w:hAnsi="Arial" w:cs="Arial"/>
                <w:sz w:val="16"/>
                <w:szCs w:val="16"/>
                <w:lang w:eastAsia="es-ES"/>
              </w:rPr>
            </w:pPr>
            <w:r>
              <w:rPr>
                <w:rFonts w:ascii="Arial" w:eastAsia="Times New Roman" w:hAnsi="Arial" w:cs="Arial"/>
                <w:sz w:val="16"/>
                <w:szCs w:val="16"/>
                <w:lang w:eastAsia="es-ES"/>
              </w:rPr>
              <w:t>Gestor</w:t>
            </w:r>
            <w:r w:rsidR="00B2623D">
              <w:rPr>
                <w:rFonts w:ascii="Arial" w:eastAsia="Times New Roman" w:hAnsi="Arial" w:cs="Arial"/>
                <w:sz w:val="16"/>
                <w:szCs w:val="16"/>
                <w:lang w:eastAsia="es-ES"/>
              </w:rPr>
              <w:t xml:space="preserve"> T1-15</w:t>
            </w:r>
            <w:r w:rsidR="00192C18" w:rsidRPr="00BE1516">
              <w:rPr>
                <w:rFonts w:ascii="Arial" w:eastAsia="Times New Roman" w:hAnsi="Arial" w:cs="Arial"/>
                <w:sz w:val="16"/>
                <w:szCs w:val="16"/>
                <w:lang w:eastAsia="es-ES"/>
              </w:rPr>
              <w:t xml:space="preserve"> de la Subdirección de Gestión Contractual</w:t>
            </w:r>
          </w:p>
        </w:tc>
      </w:tr>
      <w:tr w:rsidR="00BE1516" w:rsidRPr="00BE1516" w14:paraId="7498309E" w14:textId="77777777" w:rsidTr="00B8410B">
        <w:trPr>
          <w:trHeight w:val="300"/>
        </w:trPr>
        <w:tc>
          <w:tcPr>
            <w:tcW w:w="812" w:type="dxa"/>
            <w:vAlign w:val="center"/>
            <w:hideMark/>
          </w:tcPr>
          <w:p w14:paraId="1F4F538C" w14:textId="77777777"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ED2E0C" w14:textId="1C347E98" w:rsidR="002C1D8A" w:rsidRDefault="002C1D8A" w:rsidP="00BE1516">
            <w:pPr>
              <w:rPr>
                <w:rFonts w:ascii="Arial" w:eastAsia="Times New Roman" w:hAnsi="Arial" w:cs="Arial"/>
                <w:sz w:val="16"/>
                <w:szCs w:val="16"/>
                <w:lang w:eastAsia="es-ES"/>
              </w:rPr>
            </w:pPr>
            <w:r w:rsidRPr="002C1D8A">
              <w:rPr>
                <w:rFonts w:ascii="Arial" w:eastAsia="Times New Roman" w:hAnsi="Arial" w:cs="Arial"/>
                <w:sz w:val="16"/>
                <w:szCs w:val="16"/>
                <w:lang w:eastAsia="es-ES"/>
              </w:rPr>
              <w:t>Juan David Marín López</w:t>
            </w:r>
          </w:p>
          <w:p w14:paraId="096B4DE6" w14:textId="24E94245" w:rsidR="00BE1516" w:rsidRPr="00BE1516" w:rsidRDefault="00BE1516" w:rsidP="00BE1516">
            <w:pPr>
              <w:rPr>
                <w:rFonts w:ascii="Arial" w:eastAsia="Times New Roman" w:hAnsi="Arial" w:cs="Arial"/>
                <w:sz w:val="16"/>
                <w:szCs w:val="16"/>
                <w:lang w:eastAsia="es-ES"/>
              </w:rPr>
            </w:pPr>
            <w:r w:rsidRPr="00BE1516">
              <w:rPr>
                <w:rFonts w:ascii="Arial" w:eastAsia="Times New Roman" w:hAnsi="Arial" w:cs="Arial"/>
                <w:sz w:val="16"/>
                <w:szCs w:val="16"/>
                <w:lang w:eastAsia="es-ES"/>
              </w:rPr>
              <w:t>Subdirector de Gestión Contractual</w:t>
            </w:r>
            <w:r w:rsidR="0013308B">
              <w:rPr>
                <w:rFonts w:ascii="Arial" w:eastAsia="Times New Roman" w:hAnsi="Arial" w:cs="Arial"/>
                <w:sz w:val="16"/>
                <w:szCs w:val="16"/>
                <w:lang w:eastAsia="es-ES"/>
              </w:rPr>
              <w:t xml:space="preserve"> </w:t>
            </w:r>
            <w:r w:rsidR="002C1D8A">
              <w:rPr>
                <w:rFonts w:ascii="Arial" w:eastAsia="Times New Roman" w:hAnsi="Arial" w:cs="Arial"/>
                <w:sz w:val="16"/>
                <w:szCs w:val="16"/>
                <w:lang w:eastAsia="es-ES"/>
              </w:rPr>
              <w:t>(</w:t>
            </w:r>
            <w:r w:rsidR="0013308B">
              <w:rPr>
                <w:rFonts w:ascii="Arial" w:eastAsia="Times New Roman" w:hAnsi="Arial" w:cs="Arial"/>
                <w:sz w:val="16"/>
                <w:szCs w:val="16"/>
                <w:lang w:eastAsia="es-ES"/>
              </w:rPr>
              <w:t>E</w:t>
            </w:r>
            <w:r w:rsidR="002C1D8A">
              <w:rPr>
                <w:rFonts w:ascii="Arial" w:eastAsia="Times New Roman" w:hAnsi="Arial" w:cs="Arial"/>
                <w:sz w:val="16"/>
                <w:szCs w:val="16"/>
                <w:lang w:eastAsia="es-ES"/>
              </w:rPr>
              <w:t>)</w:t>
            </w:r>
          </w:p>
        </w:tc>
      </w:tr>
      <w:tr w:rsidR="00E3112E" w:rsidRPr="00BE1516" w14:paraId="633B1E0F" w14:textId="77777777" w:rsidTr="00B8410B">
        <w:trPr>
          <w:trHeight w:val="300"/>
        </w:trPr>
        <w:tc>
          <w:tcPr>
            <w:tcW w:w="812" w:type="dxa"/>
            <w:vAlign w:val="center"/>
          </w:tcPr>
          <w:p w14:paraId="7ED0697B" w14:textId="0ADED8A0" w:rsidR="00E3112E" w:rsidRPr="00BE1516" w:rsidRDefault="00E3112E" w:rsidP="00BE1516">
            <w:pPr>
              <w:rPr>
                <w:rFonts w:ascii="Arial" w:eastAsia="Times New Roman" w:hAnsi="Arial" w:cs="Arial"/>
                <w:sz w:val="16"/>
                <w:szCs w:val="16"/>
                <w:lang w:eastAsia="es-ES"/>
              </w:rPr>
            </w:pPr>
            <w:r>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tcPr>
          <w:p w14:paraId="1C6B80DB" w14:textId="506DC7A3" w:rsidR="00E3112E" w:rsidRPr="00BE1516" w:rsidRDefault="00E3112E" w:rsidP="00BE1516">
            <w:pPr>
              <w:rPr>
                <w:rFonts w:ascii="Arial" w:eastAsia="Times New Roman" w:hAnsi="Arial" w:cs="Arial"/>
                <w:sz w:val="16"/>
                <w:szCs w:val="16"/>
                <w:lang w:eastAsia="es-ES"/>
              </w:rPr>
            </w:pPr>
            <w:r w:rsidRPr="00E3112E">
              <w:rPr>
                <w:rFonts w:ascii="Arial" w:eastAsia="Times New Roman" w:hAnsi="Arial" w:cs="Arial"/>
                <w:sz w:val="16"/>
                <w:szCs w:val="16"/>
                <w:lang w:eastAsia="es-ES"/>
              </w:rPr>
              <w:t>Lineamientos Prevención Contrato Realidad ANDJE</w:t>
            </w:r>
          </w:p>
        </w:tc>
      </w:tr>
    </w:tbl>
    <w:p w14:paraId="0D8E02DB" w14:textId="77777777" w:rsidR="00BE1516" w:rsidRPr="00BE1516" w:rsidRDefault="00BE1516" w:rsidP="00BE1516">
      <w:pPr>
        <w:rPr>
          <w:rFonts w:ascii="Arial" w:eastAsia="Times New Roman" w:hAnsi="Arial" w:cs="Arial"/>
          <w:sz w:val="16"/>
          <w:szCs w:val="16"/>
          <w:lang w:eastAsia="es-ES"/>
        </w:rPr>
      </w:pPr>
    </w:p>
    <w:p w14:paraId="2E9817B7" w14:textId="77777777" w:rsidR="00D15F76" w:rsidRPr="00810952" w:rsidRDefault="00D15F76" w:rsidP="00D15F76">
      <w:pPr>
        <w:ind w:left="709" w:right="709"/>
        <w:jc w:val="both"/>
        <w:rPr>
          <w:rFonts w:ascii="Arial" w:hAnsi="Arial" w:cs="Arial"/>
          <w:color w:val="000000" w:themeColor="text1"/>
          <w:sz w:val="21"/>
          <w:szCs w:val="21"/>
          <w:lang w:val="es-ES_tradnl"/>
        </w:rPr>
      </w:pPr>
    </w:p>
    <w:sectPr w:rsidR="00D15F76" w:rsidRPr="0081095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5CA8F" w14:textId="77777777" w:rsidR="007523A6" w:rsidRDefault="007523A6" w:rsidP="00D15F76">
      <w:r>
        <w:separator/>
      </w:r>
    </w:p>
  </w:endnote>
  <w:endnote w:type="continuationSeparator" w:id="0">
    <w:p w14:paraId="218CFEA5" w14:textId="77777777" w:rsidR="007523A6" w:rsidRDefault="007523A6" w:rsidP="00D1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_Ã$_ò">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7D7A" w14:textId="77777777" w:rsidR="003B1169" w:rsidRDefault="007523A6" w:rsidP="00322937">
    <w:pPr>
      <w:pStyle w:val="Sinespaciado"/>
      <w:jc w:val="right"/>
      <w:rPr>
        <w:rFonts w:ascii="Arial" w:hAnsi="Arial" w:cs="Arial"/>
        <w:sz w:val="18"/>
        <w:szCs w:val="18"/>
      </w:rPr>
    </w:pPr>
  </w:p>
  <w:p w14:paraId="35617E0C" w14:textId="0AA48266" w:rsidR="003B1169" w:rsidRPr="008217B7" w:rsidRDefault="001D03F3" w:rsidP="00FE42ED">
    <w:pPr>
      <w:pStyle w:val="Piedepgina"/>
      <w:jc w:val="right"/>
      <w:rPr>
        <w:rFonts w:ascii="Arial" w:hAnsi="Arial" w:cs="Arial"/>
        <w:color w:val="7F7F7F" w:themeColor="text1" w:themeTint="80"/>
        <w:sz w:val="16"/>
        <w:szCs w:val="16"/>
      </w:rPr>
    </w:pPr>
    <w:r w:rsidRPr="001D3A43">
      <w:rPr>
        <w:rFonts w:ascii="Arial" w:hAnsi="Arial" w:cs="Arial"/>
        <w:bCs/>
        <w:color w:val="7F7F7F" w:themeColor="text1" w:themeTint="80"/>
        <w:sz w:val="16"/>
        <w:szCs w:val="16"/>
      </w:rPr>
      <w:t xml:space="preserve">Página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PAGE  \* Arabic  \* MERGEFORMAT</w:instrText>
    </w:r>
    <w:r w:rsidRPr="001D3A43">
      <w:rPr>
        <w:rFonts w:ascii="Arial" w:hAnsi="Arial" w:cs="Arial"/>
        <w:b/>
        <w:bCs/>
        <w:color w:val="7F7F7F" w:themeColor="text1" w:themeTint="80"/>
        <w:sz w:val="16"/>
        <w:szCs w:val="16"/>
      </w:rPr>
      <w:fldChar w:fldCharType="separate"/>
    </w:r>
    <w:r w:rsidR="00FE0F24">
      <w:rPr>
        <w:rFonts w:ascii="Arial" w:hAnsi="Arial" w:cs="Arial"/>
        <w:b/>
        <w:bCs/>
        <w:noProof/>
        <w:color w:val="7F7F7F" w:themeColor="text1" w:themeTint="80"/>
        <w:sz w:val="16"/>
        <w:szCs w:val="16"/>
      </w:rPr>
      <w:t>1</w:t>
    </w:r>
    <w:r w:rsidRPr="001D3A43">
      <w:rPr>
        <w:rFonts w:ascii="Arial" w:hAnsi="Arial" w:cs="Arial"/>
        <w:b/>
        <w:bCs/>
        <w:color w:val="7F7F7F" w:themeColor="text1" w:themeTint="80"/>
        <w:sz w:val="16"/>
        <w:szCs w:val="16"/>
      </w:rPr>
      <w:fldChar w:fldCharType="end"/>
    </w:r>
    <w:r w:rsidRPr="001D3A43">
      <w:rPr>
        <w:rFonts w:ascii="Arial" w:hAnsi="Arial" w:cs="Arial"/>
        <w:color w:val="7F7F7F" w:themeColor="text1" w:themeTint="80"/>
        <w:sz w:val="16"/>
        <w:szCs w:val="16"/>
      </w:rPr>
      <w:t xml:space="preserve"> de </w:t>
    </w:r>
    <w:r w:rsidRPr="001D3A43">
      <w:rPr>
        <w:rFonts w:ascii="Arial" w:hAnsi="Arial" w:cs="Arial"/>
        <w:b/>
        <w:bCs/>
        <w:color w:val="7F7F7F" w:themeColor="text1" w:themeTint="80"/>
        <w:sz w:val="16"/>
        <w:szCs w:val="16"/>
      </w:rPr>
      <w:fldChar w:fldCharType="begin"/>
    </w:r>
    <w:r w:rsidRPr="001D3A43">
      <w:rPr>
        <w:rFonts w:ascii="Arial" w:hAnsi="Arial" w:cs="Arial"/>
        <w:b/>
        <w:bCs/>
        <w:color w:val="7F7F7F" w:themeColor="text1" w:themeTint="80"/>
        <w:sz w:val="16"/>
        <w:szCs w:val="16"/>
      </w:rPr>
      <w:instrText>NUMPAGES  \* Arabic  \* MERGEFORMAT</w:instrText>
    </w:r>
    <w:r w:rsidRPr="001D3A43">
      <w:rPr>
        <w:rFonts w:ascii="Arial" w:hAnsi="Arial" w:cs="Arial"/>
        <w:b/>
        <w:bCs/>
        <w:color w:val="7F7F7F" w:themeColor="text1" w:themeTint="80"/>
        <w:sz w:val="16"/>
        <w:szCs w:val="16"/>
      </w:rPr>
      <w:fldChar w:fldCharType="separate"/>
    </w:r>
    <w:r w:rsidR="00FE0F24">
      <w:rPr>
        <w:rFonts w:ascii="Arial" w:hAnsi="Arial" w:cs="Arial"/>
        <w:b/>
        <w:bCs/>
        <w:noProof/>
        <w:color w:val="7F7F7F" w:themeColor="text1" w:themeTint="80"/>
        <w:sz w:val="16"/>
        <w:szCs w:val="16"/>
      </w:rPr>
      <w:t>18</w:t>
    </w:r>
    <w:r w:rsidRPr="001D3A43">
      <w:rPr>
        <w:rFonts w:ascii="Arial" w:hAnsi="Arial" w:cs="Arial"/>
        <w:b/>
        <w:bCs/>
        <w:color w:val="7F7F7F" w:themeColor="text1" w:themeTint="80"/>
        <w:sz w:val="16"/>
        <w:szCs w:val="16"/>
      </w:rPr>
      <w:fldChar w:fldCharType="end"/>
    </w:r>
  </w:p>
  <w:p w14:paraId="782D6C32" w14:textId="77777777" w:rsidR="003B1169" w:rsidRDefault="001D03F3" w:rsidP="00322937">
    <w:pPr>
      <w:pStyle w:val="Piedepgina"/>
      <w:jc w:val="center"/>
      <w:rPr>
        <w:lang w:val="es-ES"/>
      </w:rPr>
    </w:pPr>
    <w:r>
      <w:rPr>
        <w:noProof/>
        <w:lang w:val="es-CO" w:eastAsia="es-CO"/>
      </w:rPr>
      <w:drawing>
        <wp:inline distT="0" distB="0" distL="0" distR="0" wp14:anchorId="0B428FA2" wp14:editId="138CF323">
          <wp:extent cx="3700130" cy="519139"/>
          <wp:effectExtent l="0" t="0" r="0" b="0"/>
          <wp:docPr id="13363068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36D2810" w14:textId="77777777" w:rsidR="003B1169" w:rsidRPr="007B0854" w:rsidRDefault="007523A6"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FDF75" w14:textId="77777777" w:rsidR="007523A6" w:rsidRDefault="007523A6" w:rsidP="00D15F76">
      <w:r>
        <w:separator/>
      </w:r>
    </w:p>
  </w:footnote>
  <w:footnote w:type="continuationSeparator" w:id="0">
    <w:p w14:paraId="0F91FA25" w14:textId="77777777" w:rsidR="007523A6" w:rsidRDefault="007523A6" w:rsidP="00D15F76">
      <w:r>
        <w:continuationSeparator/>
      </w:r>
    </w:p>
  </w:footnote>
  <w:footnote w:id="1">
    <w:p w14:paraId="05D011FD" w14:textId="48902B70" w:rsidR="00557D78" w:rsidRPr="008A5525" w:rsidRDefault="00433A39" w:rsidP="002F556D">
      <w:pPr>
        <w:pStyle w:val="Textonotapie"/>
        <w:ind w:firstLine="708"/>
        <w:jc w:val="both"/>
        <w:rPr>
          <w:rFonts w:ascii="Arial" w:hAnsi="Arial" w:cs="Arial"/>
          <w:sz w:val="19"/>
          <w:szCs w:val="19"/>
        </w:rPr>
      </w:pPr>
      <w:r w:rsidRPr="008A5525">
        <w:rPr>
          <w:rStyle w:val="Refdenotaalpie"/>
          <w:rFonts w:ascii="Arial" w:hAnsi="Arial" w:cs="Arial"/>
          <w:sz w:val="19"/>
          <w:szCs w:val="19"/>
        </w:rPr>
        <w:footnoteRef/>
      </w:r>
      <w:r w:rsidRPr="008A5525">
        <w:rPr>
          <w:rFonts w:ascii="Arial" w:hAnsi="Arial" w:cs="Arial"/>
          <w:sz w:val="19"/>
          <w:szCs w:val="19"/>
        </w:rPr>
        <w:t xml:space="preserve"> Consejo de Estado</w:t>
      </w:r>
      <w:r w:rsidR="008A5525">
        <w:rPr>
          <w:rFonts w:ascii="Arial" w:hAnsi="Arial" w:cs="Arial"/>
          <w:sz w:val="19"/>
          <w:szCs w:val="19"/>
        </w:rPr>
        <w:t>.</w:t>
      </w:r>
      <w:r w:rsidRPr="008A5525">
        <w:rPr>
          <w:rFonts w:ascii="Arial" w:hAnsi="Arial" w:cs="Arial"/>
          <w:sz w:val="19"/>
          <w:szCs w:val="19"/>
        </w:rPr>
        <w:t xml:space="preserve"> Sección Segunda</w:t>
      </w:r>
      <w:r w:rsidR="008A5525">
        <w:rPr>
          <w:rFonts w:ascii="Arial" w:hAnsi="Arial" w:cs="Arial"/>
          <w:sz w:val="19"/>
          <w:szCs w:val="19"/>
        </w:rPr>
        <w:t>. Sentencia del</w:t>
      </w:r>
      <w:r w:rsidRPr="008A5525">
        <w:rPr>
          <w:rFonts w:ascii="Arial" w:hAnsi="Arial" w:cs="Arial"/>
          <w:sz w:val="19"/>
          <w:szCs w:val="19"/>
        </w:rPr>
        <w:t xml:space="preserve"> </w:t>
      </w:r>
      <w:r w:rsidR="008A5525" w:rsidRPr="008A5525">
        <w:rPr>
          <w:rFonts w:ascii="Arial" w:hAnsi="Arial" w:cs="Arial"/>
          <w:sz w:val="19"/>
          <w:szCs w:val="19"/>
        </w:rPr>
        <w:t>9 de septiembre de 2021</w:t>
      </w:r>
      <w:r w:rsidR="008A5525">
        <w:rPr>
          <w:rFonts w:ascii="Arial" w:hAnsi="Arial" w:cs="Arial"/>
          <w:sz w:val="19"/>
          <w:szCs w:val="19"/>
        </w:rPr>
        <w:t xml:space="preserve">. </w:t>
      </w:r>
      <w:r w:rsidRPr="008A5525">
        <w:rPr>
          <w:rFonts w:ascii="Arial" w:hAnsi="Arial" w:cs="Arial"/>
          <w:sz w:val="19"/>
          <w:szCs w:val="19"/>
        </w:rPr>
        <w:t>Expediente No. 05001-23-33-000-2013-01143-01(1317-16)</w:t>
      </w:r>
      <w:r w:rsidR="008A5525">
        <w:rPr>
          <w:rFonts w:ascii="Arial" w:hAnsi="Arial" w:cs="Arial"/>
          <w:sz w:val="19"/>
          <w:szCs w:val="19"/>
        </w:rPr>
        <w:t>.</w:t>
      </w:r>
      <w:r w:rsidRPr="008A5525">
        <w:rPr>
          <w:rFonts w:ascii="Arial" w:hAnsi="Arial" w:cs="Arial"/>
          <w:sz w:val="19"/>
          <w:szCs w:val="19"/>
        </w:rPr>
        <w:t xml:space="preserve"> </w:t>
      </w:r>
      <w:r w:rsidR="008A5525">
        <w:rPr>
          <w:rFonts w:ascii="Arial" w:hAnsi="Arial" w:cs="Arial"/>
          <w:sz w:val="19"/>
          <w:szCs w:val="19"/>
        </w:rPr>
        <w:t>M.</w:t>
      </w:r>
      <w:r w:rsidRPr="008A5525">
        <w:rPr>
          <w:rFonts w:ascii="Arial" w:hAnsi="Arial" w:cs="Arial"/>
          <w:sz w:val="19"/>
          <w:szCs w:val="19"/>
        </w:rPr>
        <w:t>P. Dra. Sandra Lisset Ibarra Vélez.</w:t>
      </w:r>
    </w:p>
  </w:footnote>
  <w:footnote w:id="2">
    <w:p w14:paraId="69E32454" w14:textId="61F46F7C" w:rsidR="00F71700" w:rsidRPr="008A5525" w:rsidRDefault="00F71700" w:rsidP="002F556D">
      <w:pPr>
        <w:pStyle w:val="Textonotapie"/>
        <w:ind w:firstLine="708"/>
        <w:jc w:val="both"/>
        <w:rPr>
          <w:rFonts w:ascii="Arial" w:hAnsi="Arial" w:cs="Arial"/>
          <w:sz w:val="19"/>
          <w:szCs w:val="19"/>
          <w:lang w:val="es-ES_tradnl"/>
        </w:rPr>
      </w:pPr>
      <w:r w:rsidRPr="002F556D">
        <w:rPr>
          <w:rStyle w:val="Refdenotaalpie"/>
          <w:rFonts w:ascii="Arial" w:hAnsi="Arial" w:cs="Arial"/>
          <w:sz w:val="19"/>
          <w:szCs w:val="19"/>
        </w:rPr>
        <w:footnoteRef/>
      </w:r>
      <w:r w:rsidRPr="002F556D">
        <w:rPr>
          <w:rFonts w:ascii="Arial" w:hAnsi="Arial" w:cs="Arial"/>
          <w:sz w:val="19"/>
          <w:szCs w:val="19"/>
        </w:rPr>
        <w:t xml:space="preserve"> </w:t>
      </w:r>
      <w:r w:rsidRPr="008A5525">
        <w:rPr>
          <w:rFonts w:ascii="Arial" w:hAnsi="Arial" w:cs="Arial"/>
          <w:sz w:val="19"/>
          <w:szCs w:val="19"/>
        </w:rPr>
        <w:t xml:space="preserve">Así lo señaló el Consejo de Estado en la sentencia de unificación en mención, al indicar que </w:t>
      </w:r>
      <w:r w:rsidR="008A5525">
        <w:rPr>
          <w:rFonts w:ascii="Arial" w:hAnsi="Arial" w:cs="Arial"/>
          <w:sz w:val="19"/>
          <w:szCs w:val="19"/>
        </w:rPr>
        <w:t>«</w:t>
      </w:r>
      <w:r w:rsidRPr="008A5525">
        <w:rPr>
          <w:rFonts w:ascii="Arial" w:hAnsi="Arial" w:cs="Arial"/>
          <w:sz w:val="19"/>
          <w:szCs w:val="19"/>
        </w:rPr>
        <w:t xml:space="preserve">cualquier contrato de prestación de servicios tiene por objeto genérico </w:t>
      </w:r>
      <w:r w:rsidR="008A5525">
        <w:rPr>
          <w:rFonts w:ascii="Arial" w:hAnsi="Arial" w:cs="Arial"/>
          <w:sz w:val="19"/>
          <w:szCs w:val="19"/>
        </w:rPr>
        <w:t>“</w:t>
      </w:r>
      <w:r w:rsidRPr="008A5525">
        <w:rPr>
          <w:rFonts w:ascii="Arial" w:hAnsi="Arial" w:cs="Arial"/>
          <w:sz w:val="19"/>
          <w:szCs w:val="19"/>
        </w:rPr>
        <w:t>desarrollar actividades relacionadas con la administración o funcionamiento de la entidad”</w:t>
      </w:r>
      <w:r w:rsidR="008A5525">
        <w:rPr>
          <w:rFonts w:ascii="Arial" w:hAnsi="Arial" w:cs="Arial"/>
          <w:sz w:val="19"/>
          <w:szCs w:val="19"/>
        </w:rPr>
        <w:t>»</w:t>
      </w:r>
      <w:r w:rsidRPr="008A5525">
        <w:rPr>
          <w:rFonts w:ascii="Arial" w:hAnsi="Arial" w:cs="Arial"/>
          <w:sz w:val="19"/>
          <w:szCs w:val="19"/>
        </w:rPr>
        <w:t>.</w:t>
      </w:r>
    </w:p>
  </w:footnote>
  <w:footnote w:id="3">
    <w:p w14:paraId="4C2568A5" w14:textId="77777777" w:rsidR="007364E5" w:rsidRPr="008A5525" w:rsidRDefault="007364E5" w:rsidP="002F556D">
      <w:pPr>
        <w:pStyle w:val="Textonotapie"/>
        <w:ind w:firstLine="708"/>
        <w:jc w:val="both"/>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522C6658" w14:textId="77777777" w:rsidR="007364E5" w:rsidRPr="008A5525" w:rsidRDefault="007364E5" w:rsidP="008A5525">
      <w:pPr>
        <w:pStyle w:val="Textonotapie"/>
        <w:ind w:firstLine="709"/>
        <w:jc w:val="both"/>
        <w:rPr>
          <w:rFonts w:ascii="Arial" w:hAnsi="Arial" w:cs="Arial"/>
          <w:sz w:val="19"/>
          <w:szCs w:val="19"/>
          <w:lang w:val="es-ES"/>
        </w:rPr>
      </w:pPr>
    </w:p>
  </w:footnote>
  <w:footnote w:id="4">
    <w:p w14:paraId="1C1AE769" w14:textId="77777777" w:rsidR="00CF2A50" w:rsidRPr="008A5525" w:rsidRDefault="00CF2A50" w:rsidP="008A5525">
      <w:pPr>
        <w:pStyle w:val="Textonotapie"/>
        <w:ind w:firstLine="709"/>
        <w:jc w:val="both"/>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4F2C7B37"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787FBF2C"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El Gobierno nacional reglamentará el mecanismo para realizar la mensualización de que trata el presente artículo.</w:t>
      </w:r>
    </w:p>
    <w:p w14:paraId="57D60527" w14:textId="77777777" w:rsidR="00CF2A50" w:rsidRPr="008A5525" w:rsidRDefault="00CF2A50" w:rsidP="008A5525">
      <w:pPr>
        <w:pStyle w:val="Textonotapie"/>
        <w:ind w:firstLine="709"/>
        <w:jc w:val="both"/>
        <w:rPr>
          <w:rFonts w:ascii="Arial" w:hAnsi="Arial" w:cs="Arial"/>
          <w:sz w:val="19"/>
          <w:szCs w:val="19"/>
          <w:lang w:val="pt-BR"/>
        </w:rPr>
      </w:pPr>
      <w:r w:rsidRPr="008A5525">
        <w:rPr>
          <w:rFonts w:ascii="Arial" w:hAnsi="Arial" w:cs="Arial"/>
          <w:sz w:val="19"/>
          <w:szCs w:val="19"/>
          <w:lang w:val="pt-BR"/>
        </w:rPr>
        <w:t>[…]».</w:t>
      </w:r>
    </w:p>
  </w:footnote>
  <w:footnote w:id="5">
    <w:p w14:paraId="489080E9" w14:textId="77777777" w:rsidR="00CF2A50" w:rsidRPr="008A5525" w:rsidRDefault="00CF2A50" w:rsidP="008A5525">
      <w:pPr>
        <w:pStyle w:val="Textonotapie"/>
        <w:ind w:firstLine="709"/>
        <w:jc w:val="both"/>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lang w:val="pt-BR"/>
        </w:rPr>
        <w:t xml:space="preserve"> Corte Constitucional. Sentencia C-154 de 1997. </w:t>
      </w:r>
      <w:r w:rsidRPr="008A5525">
        <w:rPr>
          <w:rFonts w:ascii="Arial" w:hAnsi="Arial" w:cs="Arial"/>
          <w:sz w:val="19"/>
          <w:szCs w:val="19"/>
          <w:lang w:val="es-ES"/>
        </w:rPr>
        <w:t>MP: Hernando Herrera Vergara.</w:t>
      </w:r>
    </w:p>
    <w:p w14:paraId="6AAE3904" w14:textId="77777777" w:rsidR="00CF2A50" w:rsidRPr="008A5525" w:rsidRDefault="00CF2A50" w:rsidP="008A5525">
      <w:pPr>
        <w:pStyle w:val="Textonotapie"/>
        <w:ind w:firstLine="709"/>
        <w:jc w:val="both"/>
        <w:rPr>
          <w:rFonts w:ascii="Arial" w:hAnsi="Arial" w:cs="Arial"/>
          <w:sz w:val="19"/>
          <w:szCs w:val="19"/>
          <w:lang w:val="es-ES"/>
        </w:rPr>
      </w:pPr>
    </w:p>
  </w:footnote>
  <w:footnote w:id="6">
    <w:p w14:paraId="55C3DBAA" w14:textId="77777777" w:rsidR="009715F5" w:rsidRPr="00046FD0" w:rsidRDefault="009715F5" w:rsidP="009715F5">
      <w:pPr>
        <w:pStyle w:val="Textonotapie"/>
        <w:ind w:firstLine="709"/>
        <w:jc w:val="both"/>
        <w:rPr>
          <w:rFonts w:ascii="Arial" w:hAnsi="Arial" w:cs="Arial"/>
          <w:color w:val="000000" w:themeColor="text1"/>
          <w:sz w:val="19"/>
          <w:szCs w:val="19"/>
          <w:lang w:val="es-CO"/>
        </w:rPr>
      </w:pPr>
      <w:r w:rsidRPr="00046FD0">
        <w:rPr>
          <w:rStyle w:val="Refdenotaalpie"/>
          <w:sz w:val="19"/>
          <w:szCs w:val="19"/>
        </w:rPr>
        <w:footnoteRef/>
      </w:r>
      <w:r w:rsidRPr="00046FD0">
        <w:rPr>
          <w:sz w:val="19"/>
          <w:szCs w:val="19"/>
        </w:rPr>
        <w:t xml:space="preserve"> </w:t>
      </w:r>
      <w:r w:rsidRPr="00046FD0">
        <w:rPr>
          <w:rFonts w:ascii="Arial" w:hAnsi="Arial" w:cs="Arial"/>
          <w:color w:val="000000" w:themeColor="text1"/>
          <w:sz w:val="19"/>
          <w:szCs w:val="19"/>
          <w:lang w:val="es-ES"/>
        </w:rPr>
        <w:t xml:space="preserve">Consejo de Estado. Sección Segunda. Sentencia de Unificación Jurisprudencial </w:t>
      </w:r>
      <w:r w:rsidRPr="00046FD0">
        <w:rPr>
          <w:rFonts w:ascii="Arial" w:hAnsi="Arial" w:cs="Arial"/>
          <w:color w:val="000000" w:themeColor="text1"/>
          <w:sz w:val="19"/>
          <w:szCs w:val="19"/>
          <w:lang w:val="es-CO"/>
        </w:rPr>
        <w:t>SUJ-025-CE-S2-2021.</w:t>
      </w:r>
      <w:r w:rsidRPr="00046FD0">
        <w:rPr>
          <w:rFonts w:ascii="Arial" w:hAnsi="Arial" w:cs="Arial"/>
          <w:color w:val="000000" w:themeColor="text1"/>
          <w:sz w:val="19"/>
          <w:szCs w:val="19"/>
          <w:lang w:val="es-ES"/>
        </w:rPr>
        <w:t xml:space="preserve"> Radicado (1317-2016). El numeral primero de la parte resolutiva de la sentencia señala lo siguiente:</w:t>
      </w:r>
      <w:r w:rsidRPr="00046FD0">
        <w:rPr>
          <w:rFonts w:ascii="Times New Roman" w:eastAsia="Times New Roman" w:hAnsi="Times New Roman" w:cs="Times New Roman"/>
          <w:sz w:val="19"/>
          <w:szCs w:val="19"/>
          <w:lang w:val="es-CO" w:eastAsia="es-ES_tradnl"/>
        </w:rPr>
        <w:t xml:space="preserve"> </w:t>
      </w:r>
      <w:r w:rsidRPr="00046FD0">
        <w:rPr>
          <w:rFonts w:ascii="Arial" w:hAnsi="Arial" w:cs="Arial"/>
          <w:noProof/>
          <w:sz w:val="19"/>
          <w:szCs w:val="19"/>
          <w:lang w:val="es-ES_tradnl"/>
        </w:rPr>
        <w:t>«</w:t>
      </w:r>
      <w:r w:rsidRPr="00046FD0">
        <w:rPr>
          <w:rFonts w:ascii="Arial" w:hAnsi="Arial" w:cs="Arial"/>
          <w:color w:val="000000" w:themeColor="text1"/>
          <w:sz w:val="19"/>
          <w:szCs w:val="19"/>
          <w:lang w:val="es-CO"/>
        </w:rPr>
        <w:t xml:space="preserve">Unificar la jurisprudencia de la Sección Segunda del Consejo de Estado, en el sentido de precisar las siguientes reglas en las relaciones laborales encubiertas o subyacentes: </w:t>
      </w:r>
    </w:p>
    <w:p w14:paraId="55CEE4C5" w14:textId="77777777" w:rsidR="009715F5" w:rsidRPr="00046FD0" w:rsidRDefault="009715F5" w:rsidP="009715F5">
      <w:pPr>
        <w:pStyle w:val="Textonotapie"/>
        <w:ind w:firstLine="709"/>
        <w:jc w:val="both"/>
        <w:rPr>
          <w:rFonts w:ascii="Arial" w:hAnsi="Arial" w:cs="Arial"/>
          <w:color w:val="000000" w:themeColor="text1"/>
          <w:sz w:val="19"/>
          <w:szCs w:val="19"/>
          <w:lang w:val="es-CO"/>
        </w:rPr>
      </w:pPr>
      <w:r w:rsidRPr="00046FD0">
        <w:rPr>
          <w:rFonts w:ascii="Arial" w:hAnsi="Arial" w:cs="Arial"/>
          <w:color w:val="000000" w:themeColor="text1"/>
          <w:sz w:val="19"/>
          <w:szCs w:val="19"/>
          <w:lang w:val="es-ES"/>
        </w:rPr>
        <w:t xml:space="preserve"> </w:t>
      </w:r>
      <w:r w:rsidRPr="00046FD0">
        <w:rPr>
          <w:rFonts w:ascii="Arial" w:hAnsi="Arial" w:cs="Arial"/>
          <w:sz w:val="19"/>
          <w:szCs w:val="19"/>
          <w:lang w:val="pt-BR"/>
        </w:rPr>
        <w:t>»</w:t>
      </w:r>
      <w:r w:rsidRPr="00046FD0">
        <w:rPr>
          <w:rFonts w:ascii="Arial" w:hAnsi="Arial" w:cs="Arial"/>
          <w:color w:val="000000" w:themeColor="text1"/>
          <w:sz w:val="19"/>
          <w:szCs w:val="19"/>
          <w:lang w:val="es-CO"/>
        </w:rPr>
        <w:t xml:space="preserve">(i) La primera regla define que el concepto de «término estrictamente indispensable», al que alude el numeral 3.º del artículo 32 de la Ley 80 de 1993, es el señalado en los estudios previos y en el objeto del contrato, el cual, de acuerdo con el principio de planeación, tiene que estar justificado en la necesidad de la prestación del servicio a favor de la Administración, de forma esencialmente temporal y, de ninguna manera, con ánimo de permanencia. </w:t>
      </w:r>
    </w:p>
    <w:p w14:paraId="7D2B3580" w14:textId="77777777" w:rsidR="009715F5" w:rsidRPr="00046FD0" w:rsidRDefault="009715F5" w:rsidP="009715F5">
      <w:pPr>
        <w:pStyle w:val="Textonotapie"/>
        <w:ind w:firstLine="709"/>
        <w:jc w:val="both"/>
        <w:rPr>
          <w:rFonts w:ascii="Arial" w:hAnsi="Arial" w:cs="Arial"/>
          <w:color w:val="000000" w:themeColor="text1"/>
          <w:sz w:val="19"/>
          <w:szCs w:val="19"/>
          <w:lang w:val="es-CO"/>
        </w:rPr>
      </w:pPr>
      <w:r w:rsidRPr="00046FD0">
        <w:rPr>
          <w:rFonts w:ascii="Arial" w:hAnsi="Arial" w:cs="Arial"/>
          <w:sz w:val="19"/>
          <w:szCs w:val="19"/>
          <w:lang w:val="pt-BR"/>
        </w:rPr>
        <w:t>»</w:t>
      </w:r>
      <w:r w:rsidRPr="00046FD0">
        <w:rPr>
          <w:rFonts w:ascii="Arial" w:hAnsi="Arial" w:cs="Arial"/>
          <w:color w:val="000000" w:themeColor="text1"/>
          <w:sz w:val="19"/>
          <w:szCs w:val="19"/>
          <w:lang w:val="es-CO"/>
        </w:rPr>
        <w:t xml:space="preserve">(ii) La segunda regla establece un periodo de treinta (30) días hábiles, entre la finalización de un contrato y la ejecución del siguiente, como término de la no solución de continuidad, el cual, en los casos que se exceda, podrá flexibilizarse en atención a las especiales circunstancias que el juez encuentre probadas dentro del expediente. </w:t>
      </w:r>
    </w:p>
    <w:p w14:paraId="7DB06AD4" w14:textId="77777777" w:rsidR="009715F5" w:rsidRDefault="009715F5" w:rsidP="009715F5">
      <w:pPr>
        <w:pStyle w:val="Textonotapie"/>
        <w:ind w:firstLine="709"/>
        <w:jc w:val="both"/>
        <w:rPr>
          <w:rFonts w:ascii="Arial" w:hAnsi="Arial" w:cs="Arial"/>
          <w:sz w:val="19"/>
          <w:szCs w:val="19"/>
          <w:lang w:val="pt-BR"/>
        </w:rPr>
      </w:pPr>
      <w:r w:rsidRPr="00046FD0">
        <w:rPr>
          <w:rFonts w:ascii="Arial" w:hAnsi="Arial" w:cs="Arial"/>
          <w:sz w:val="19"/>
          <w:szCs w:val="19"/>
          <w:lang w:val="pt-BR"/>
        </w:rPr>
        <w:t>»</w:t>
      </w:r>
      <w:r w:rsidRPr="00046FD0">
        <w:rPr>
          <w:rFonts w:ascii="Arial" w:hAnsi="Arial" w:cs="Arial"/>
          <w:color w:val="000000" w:themeColor="text1"/>
          <w:sz w:val="19"/>
          <w:szCs w:val="19"/>
          <w:lang w:val="es-CO"/>
        </w:rPr>
        <w:t>(iii) La tercera regla determina que frente a la no afiliación al sistema de la Seguridad Social en salud, por parte de la Administración, es improcedente la devolución de los valores que el contratista hubiese asumido de más, en tanto se recaudaron como recursos de naturaleza parafiscal</w:t>
      </w:r>
      <w:r w:rsidRPr="00046FD0">
        <w:rPr>
          <w:rFonts w:ascii="Arial" w:hAnsi="Arial" w:cs="Arial"/>
          <w:sz w:val="19"/>
          <w:szCs w:val="19"/>
          <w:lang w:val="pt-BR"/>
        </w:rPr>
        <w:t>»</w:t>
      </w:r>
      <w:r>
        <w:rPr>
          <w:rFonts w:ascii="Arial" w:hAnsi="Arial" w:cs="Arial"/>
          <w:sz w:val="19"/>
          <w:szCs w:val="19"/>
          <w:lang w:val="pt-BR"/>
        </w:rPr>
        <w:t>.</w:t>
      </w:r>
    </w:p>
    <w:p w14:paraId="73FF469E" w14:textId="77777777" w:rsidR="009715F5" w:rsidRPr="00046FD0" w:rsidRDefault="009715F5" w:rsidP="009715F5">
      <w:pPr>
        <w:pStyle w:val="Textonotapie"/>
        <w:ind w:firstLine="709"/>
        <w:jc w:val="both"/>
        <w:rPr>
          <w:sz w:val="19"/>
          <w:szCs w:val="19"/>
          <w:lang w:val="es-CO"/>
        </w:rPr>
      </w:pPr>
    </w:p>
  </w:footnote>
  <w:footnote w:id="7">
    <w:p w14:paraId="4FA9EC0A" w14:textId="0C782BEA" w:rsidR="00947703" w:rsidRPr="00C94F0B" w:rsidRDefault="00947703" w:rsidP="00C94F0B">
      <w:pPr>
        <w:pStyle w:val="Textonotapie"/>
        <w:ind w:firstLine="708"/>
        <w:jc w:val="both"/>
        <w:rPr>
          <w:rFonts w:ascii="Arial" w:hAnsi="Arial" w:cs="Arial"/>
          <w:sz w:val="19"/>
          <w:szCs w:val="19"/>
        </w:rPr>
      </w:pPr>
      <w:r w:rsidRPr="00C94F0B">
        <w:rPr>
          <w:rStyle w:val="Refdenotaalpie"/>
          <w:rFonts w:ascii="Arial" w:hAnsi="Arial" w:cs="Arial"/>
          <w:sz w:val="19"/>
          <w:szCs w:val="19"/>
        </w:rPr>
        <w:footnoteRef/>
      </w:r>
      <w:r w:rsidRPr="00C94F0B">
        <w:rPr>
          <w:rFonts w:ascii="Arial" w:hAnsi="Arial" w:cs="Arial"/>
          <w:sz w:val="19"/>
          <w:szCs w:val="19"/>
        </w:rPr>
        <w:t xml:space="preserve"> Particularmente</w:t>
      </w:r>
      <w:r>
        <w:rPr>
          <w:rFonts w:ascii="Arial" w:hAnsi="Arial" w:cs="Arial"/>
          <w:sz w:val="19"/>
          <w:szCs w:val="19"/>
        </w:rPr>
        <w:t xml:space="preserve">, sobre la </w:t>
      </w:r>
      <w:r w:rsidR="00D94E90">
        <w:rPr>
          <w:rFonts w:ascii="Arial" w:hAnsi="Arial" w:cs="Arial"/>
          <w:sz w:val="19"/>
          <w:szCs w:val="19"/>
        </w:rPr>
        <w:t>regla de unificación número 2, el Consejo de Estado explica que «</w:t>
      </w:r>
      <w:r w:rsidR="009E7172">
        <w:rPr>
          <w:rFonts w:ascii="Arial" w:hAnsi="Arial" w:cs="Arial"/>
          <w:sz w:val="19"/>
          <w:szCs w:val="19"/>
        </w:rPr>
        <w:t xml:space="preserve">[…] </w:t>
      </w:r>
      <w:r w:rsidR="00BF0DFA" w:rsidRPr="00BF0DFA">
        <w:rPr>
          <w:rFonts w:ascii="Arial" w:hAnsi="Arial" w:cs="Arial"/>
          <w:sz w:val="19"/>
          <w:szCs w:val="19"/>
        </w:rPr>
        <w:t xml:space="preserve">si no están dados los presupuestos establecidos en el artículo 23 del Código Sustantivo del Trabajo, no puede hablarse de una relación laboral encubierta. Por lo tanto, el término de treinta (30) días hábiles, a que alude la segunda regla de unificación, tal como se dijo en la sentencia del 9 de septiembre de 2021, debe entenderse como un indicador temporal para inferir que no hay solución de continuidad entre un contrato y otro sucedáneo, y </w:t>
      </w:r>
      <w:r w:rsidR="00BF0DFA" w:rsidRPr="00C94F0B">
        <w:rPr>
          <w:rFonts w:ascii="Arial" w:hAnsi="Arial" w:cs="Arial"/>
          <w:b/>
          <w:bCs/>
          <w:sz w:val="19"/>
          <w:szCs w:val="19"/>
        </w:rPr>
        <w:t>solo para efectos de la prescripción de derechos laborales</w:t>
      </w:r>
      <w:r w:rsidR="004965FF">
        <w:rPr>
          <w:rFonts w:ascii="Arial" w:hAnsi="Arial" w:cs="Arial"/>
          <w:sz w:val="19"/>
          <w:szCs w:val="19"/>
        </w:rPr>
        <w:t>»</w:t>
      </w:r>
      <w:r w:rsidR="0071292B">
        <w:rPr>
          <w:rFonts w:ascii="Arial" w:hAnsi="Arial" w:cs="Arial"/>
          <w:sz w:val="19"/>
          <w:szCs w:val="19"/>
        </w:rPr>
        <w:t xml:space="preserve"> (Énfasis dentro del texto)</w:t>
      </w:r>
      <w:r w:rsidR="00BF0DFA" w:rsidRPr="00BF0DFA">
        <w:rPr>
          <w:rFonts w:ascii="Arial" w:hAnsi="Arial" w:cs="Arial"/>
          <w:sz w:val="19"/>
          <w:szCs w:val="19"/>
        </w:rPr>
        <w:t>.</w:t>
      </w:r>
    </w:p>
    <w:p w14:paraId="3681689A" w14:textId="77777777" w:rsidR="00947703" w:rsidRDefault="00947703" w:rsidP="00C94F0B">
      <w:pPr>
        <w:pStyle w:val="Textonotapie"/>
        <w:ind w:firstLine="708"/>
      </w:pPr>
    </w:p>
  </w:footnote>
  <w:footnote w:id="8">
    <w:p w14:paraId="396B977D" w14:textId="01705143" w:rsidR="007364E5" w:rsidRPr="008A5525" w:rsidRDefault="00CF2A50" w:rsidP="008A5525">
      <w:pPr>
        <w:pStyle w:val="Textonotapie"/>
        <w:ind w:firstLine="709"/>
        <w:jc w:val="both"/>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Ibíd.</w:t>
      </w:r>
    </w:p>
  </w:footnote>
  <w:footnote w:id="9">
    <w:p w14:paraId="7D729227" w14:textId="78777DA0" w:rsidR="008357BF" w:rsidRDefault="008357BF" w:rsidP="008357BF">
      <w:pPr>
        <w:pStyle w:val="Textonotapie"/>
        <w:ind w:firstLine="709"/>
        <w:jc w:val="both"/>
        <w:rPr>
          <w:rFonts w:ascii="Arial" w:hAnsi="Arial" w:cs="Arial"/>
          <w:sz w:val="19"/>
          <w:szCs w:val="19"/>
        </w:rPr>
      </w:pPr>
      <w:r w:rsidRPr="00F46237">
        <w:rPr>
          <w:rStyle w:val="Refdenotaalpie"/>
          <w:rFonts w:ascii="Arial" w:hAnsi="Arial" w:cs="Arial"/>
          <w:sz w:val="19"/>
          <w:szCs w:val="19"/>
        </w:rPr>
        <w:footnoteRef/>
      </w:r>
      <w:r>
        <w:rPr>
          <w:rFonts w:ascii="Arial" w:hAnsi="Arial" w:cs="Arial"/>
          <w:sz w:val="19"/>
          <w:szCs w:val="19"/>
        </w:rPr>
        <w:t xml:space="preserve"> </w:t>
      </w:r>
      <w:r w:rsidRPr="008A5525">
        <w:rPr>
          <w:rFonts w:ascii="Arial" w:hAnsi="Arial" w:cs="Arial"/>
          <w:color w:val="000000" w:themeColor="text1"/>
          <w:sz w:val="19"/>
          <w:szCs w:val="19"/>
          <w:lang w:val="es-ES"/>
        </w:rPr>
        <w:t>CONSEJO DE ESTADO. Sección Tercera. Subsección C. Sentencia de Unificación del 2 de diciembre de 2013. Exp. 41.719. C.P. Jaime Orlando Santofimio Gamboa.</w:t>
      </w:r>
      <w:r w:rsidRPr="00F46237">
        <w:rPr>
          <w:rFonts w:ascii="Arial" w:hAnsi="Arial" w:cs="Arial"/>
          <w:sz w:val="19"/>
          <w:szCs w:val="19"/>
        </w:rPr>
        <w:t xml:space="preserve"> </w:t>
      </w:r>
    </w:p>
    <w:p w14:paraId="1942DF7A" w14:textId="5507253E" w:rsidR="008357BF" w:rsidRPr="00F46237" w:rsidRDefault="008357BF" w:rsidP="008357BF">
      <w:pPr>
        <w:pStyle w:val="Textonotapie"/>
        <w:ind w:firstLine="709"/>
        <w:jc w:val="both"/>
        <w:rPr>
          <w:rFonts w:ascii="Arial" w:hAnsi="Arial" w:cs="Arial"/>
          <w:sz w:val="19"/>
          <w:szCs w:val="19"/>
          <w:lang w:val="es-ES"/>
        </w:rPr>
      </w:pPr>
      <w:r>
        <w:rPr>
          <w:rFonts w:ascii="Arial" w:hAnsi="Arial" w:cs="Arial"/>
          <w:sz w:val="19"/>
          <w:szCs w:val="19"/>
          <w:lang w:val="es-ES"/>
        </w:rPr>
        <w:t>Además</w:t>
      </w:r>
      <w:r w:rsidRPr="00F46237">
        <w:rPr>
          <w:rFonts w:ascii="Arial" w:hAnsi="Arial" w:cs="Arial"/>
          <w:sz w:val="19"/>
          <w:szCs w:val="19"/>
          <w:lang w:val="es-ES"/>
        </w:rPr>
        <w:t>,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3583FD99" w14:textId="77777777" w:rsidR="008357BF" w:rsidRPr="00F46237" w:rsidRDefault="008357BF" w:rsidP="008357BF">
      <w:pPr>
        <w:pStyle w:val="Textonotapie"/>
        <w:ind w:firstLine="709"/>
        <w:jc w:val="both"/>
        <w:rPr>
          <w:rFonts w:ascii="Arial" w:hAnsi="Arial" w:cs="Arial"/>
          <w:sz w:val="19"/>
          <w:szCs w:val="19"/>
          <w:lang w:val="es-ES"/>
        </w:rPr>
      </w:pPr>
      <w:r w:rsidRPr="00F46237">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23A4ABDA" w14:textId="77777777" w:rsidR="008357BF" w:rsidRPr="00F46237" w:rsidRDefault="008357BF" w:rsidP="008357BF">
      <w:pPr>
        <w:pStyle w:val="Textonotapie"/>
        <w:ind w:firstLine="709"/>
        <w:jc w:val="both"/>
        <w:rPr>
          <w:rFonts w:ascii="Arial" w:hAnsi="Arial" w:cs="Arial"/>
          <w:sz w:val="19"/>
          <w:szCs w:val="19"/>
          <w:lang w:val="es-ES"/>
        </w:rPr>
      </w:pPr>
      <w:r w:rsidRPr="00F46237">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0">
    <w:p w14:paraId="5E266F1D" w14:textId="77777777" w:rsidR="00CF2A50" w:rsidRPr="008A5525" w:rsidRDefault="00CF2A50" w:rsidP="008A5525">
      <w:pPr>
        <w:pStyle w:val="Textonotapie"/>
        <w:ind w:firstLine="709"/>
        <w:jc w:val="both"/>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0381A0BA"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»1. La causal que invoca para contratar directamente.</w:t>
      </w:r>
    </w:p>
    <w:p w14:paraId="1EFFB658"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»2. El objeto del contrato.</w:t>
      </w:r>
    </w:p>
    <w:p w14:paraId="53031F57"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»3. El presupuesto para la contratación y las condiciones que exigirá al contratista.</w:t>
      </w:r>
    </w:p>
    <w:p w14:paraId="39D6307C"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»4. El lugar en el cual los interesados pueden consultar los estudios y documentos previos.</w:t>
      </w:r>
    </w:p>
    <w:p w14:paraId="690EE3C1"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7B4453BA" w14:textId="77777777" w:rsidR="00CF2A50" w:rsidRPr="008A5525" w:rsidRDefault="00CF2A50" w:rsidP="008A5525">
      <w:pPr>
        <w:pStyle w:val="Textonotapie"/>
        <w:jc w:val="both"/>
        <w:rPr>
          <w:rFonts w:ascii="Arial" w:hAnsi="Arial" w:cs="Arial"/>
          <w:sz w:val="19"/>
          <w:szCs w:val="19"/>
        </w:rPr>
      </w:pPr>
    </w:p>
    <w:p w14:paraId="074D0700" w14:textId="77777777" w:rsidR="00CF2A50" w:rsidRPr="008A5525" w:rsidRDefault="00CF2A50" w:rsidP="008A5525">
      <w:pPr>
        <w:pStyle w:val="Textonotapie"/>
        <w:ind w:firstLine="709"/>
        <w:jc w:val="both"/>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 xml:space="preserve">La norma expresa: «Art. 14. </w:t>
      </w:r>
      <w:r w:rsidRPr="008A5525">
        <w:rPr>
          <w:rFonts w:ascii="Arial" w:hAnsi="Arial" w:cs="Arial"/>
          <w:sz w:val="19"/>
          <w:szCs w:val="19"/>
        </w:rPr>
        <w:t>P</w:t>
      </w:r>
      <w:r w:rsidRPr="008A5525">
        <w:rPr>
          <w:rFonts w:ascii="Arial" w:hAnsi="Arial" w:cs="Arial"/>
          <w:sz w:val="19"/>
          <w:szCs w:val="19"/>
          <w:lang w:val="es-ES"/>
        </w:rPr>
        <w:t>ara el cumplimiento de los fines de la contratación, las entidades estatales al celebrar un contrato:</w:t>
      </w:r>
    </w:p>
    <w:p w14:paraId="31124B5D"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w:t>
      </w:r>
    </w:p>
    <w:p w14:paraId="25E209C0" w14:textId="3150B218"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w:t>
      </w:r>
      <w:r w:rsidR="00C61DDA">
        <w:rPr>
          <w:rFonts w:ascii="Arial" w:hAnsi="Arial" w:cs="Arial"/>
          <w:sz w:val="19"/>
          <w:szCs w:val="19"/>
          <w:lang w:val="es-ES"/>
        </w:rPr>
        <w:t xml:space="preserve">, los contratos relacionados </w:t>
      </w:r>
      <w:r w:rsidR="00F371AA">
        <w:rPr>
          <w:rFonts w:ascii="Arial" w:hAnsi="Arial" w:cs="Arial"/>
          <w:sz w:val="19"/>
          <w:szCs w:val="19"/>
          <w:lang w:val="es-ES"/>
        </w:rPr>
        <w:t>con el programa de alimentación escolar</w:t>
      </w:r>
      <w:r w:rsidRPr="008A5525">
        <w:rPr>
          <w:rFonts w:ascii="Arial" w:hAnsi="Arial" w:cs="Arial"/>
          <w:sz w:val="19"/>
          <w:szCs w:val="19"/>
          <w:lang w:val="es-ES"/>
        </w:rPr>
        <w:t xml:space="preserve"> o la explotación y concesión de bienes del Estado, así como en los contratos de obra. En los contratos de explotación y concesión de bienes del Estado se incluirá la cláusula de reversión.</w:t>
      </w:r>
    </w:p>
    <w:p w14:paraId="6B9CD1DB"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Las entidades estatales podrán pactar estas cláusulas en los contratos de suministro y de prestación de servicios.</w:t>
      </w:r>
    </w:p>
    <w:p w14:paraId="7A2BA6DB"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lang w:val="es-ES"/>
        </w:rPr>
        <w:t>[…]».</w:t>
      </w:r>
    </w:p>
  </w:footnote>
  <w:footnote w:id="12">
    <w:p w14:paraId="77AD19C3" w14:textId="77777777" w:rsidR="00CF2A50" w:rsidRPr="008A5525" w:rsidRDefault="00CF2A50" w:rsidP="008A5525">
      <w:pPr>
        <w:pStyle w:val="Textonotapie"/>
        <w:ind w:firstLine="709"/>
        <w:jc w:val="both"/>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La norma dispone: «La liquidación a que se refiere el presente artículo no será obligatoria en los contratos de prestación de servicios profesionales y de apoyo a la gestión».</w:t>
      </w:r>
    </w:p>
  </w:footnote>
  <w:footnote w:id="13">
    <w:p w14:paraId="46C257EF" w14:textId="77777777" w:rsidR="00CF2A50" w:rsidRPr="008A5525" w:rsidRDefault="00CF2A50" w:rsidP="008A5525">
      <w:pPr>
        <w:pStyle w:val="Textonotapie"/>
        <w:ind w:firstLine="709"/>
        <w:jc w:val="both"/>
        <w:rPr>
          <w:rFonts w:ascii="Arial" w:hAnsi="Arial" w:cs="Arial"/>
          <w:sz w:val="19"/>
          <w:szCs w:val="19"/>
        </w:rPr>
      </w:pPr>
      <w:r w:rsidRPr="008A5525">
        <w:rPr>
          <w:rStyle w:val="Refdenotaalpie"/>
          <w:rFonts w:ascii="Arial" w:hAnsi="Arial" w:cs="Arial"/>
          <w:sz w:val="19"/>
          <w:szCs w:val="19"/>
        </w:rPr>
        <w:footnoteRef/>
      </w:r>
      <w:r w:rsidRPr="008A5525">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8B43CAC" w14:textId="77777777" w:rsidR="00CF2A50" w:rsidRPr="008A5525" w:rsidRDefault="00CF2A50" w:rsidP="008A5525">
      <w:pPr>
        <w:pStyle w:val="Textonotapie"/>
        <w:ind w:firstLine="709"/>
        <w:jc w:val="both"/>
        <w:rPr>
          <w:rFonts w:ascii="Arial" w:hAnsi="Arial" w:cs="Arial"/>
          <w:sz w:val="19"/>
          <w:szCs w:val="19"/>
        </w:rPr>
      </w:pPr>
      <w:r w:rsidRPr="008A5525">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5886BF3" w14:textId="77777777" w:rsidR="00CF2A50" w:rsidRPr="008A5525" w:rsidRDefault="00CF2A50" w:rsidP="008A5525">
      <w:pPr>
        <w:pStyle w:val="Textonotapie"/>
        <w:ind w:firstLine="709"/>
        <w:jc w:val="both"/>
        <w:rPr>
          <w:rFonts w:ascii="Arial" w:hAnsi="Arial" w:cs="Arial"/>
          <w:sz w:val="19"/>
          <w:szCs w:val="19"/>
          <w:lang w:val="es-ES"/>
        </w:rPr>
      </w:pPr>
      <w:r w:rsidRPr="008A5525">
        <w:rPr>
          <w:rFonts w:ascii="Arial" w:hAnsi="Arial" w:cs="Arial"/>
          <w:sz w:val="19"/>
          <w:szCs w:val="19"/>
        </w:rPr>
        <w:t>[…]».</w:t>
      </w:r>
    </w:p>
  </w:footnote>
  <w:footnote w:id="14">
    <w:p w14:paraId="7DA21E78" w14:textId="77777777" w:rsidR="00CF2A50" w:rsidRPr="008A5525" w:rsidRDefault="00CF2A50" w:rsidP="008A5525">
      <w:pPr>
        <w:pStyle w:val="Textonotapie"/>
        <w:ind w:firstLine="709"/>
        <w:jc w:val="both"/>
        <w:rPr>
          <w:rFonts w:ascii="Arial" w:hAnsi="Arial" w:cs="Arial"/>
          <w:sz w:val="19"/>
          <w:szCs w:val="19"/>
          <w:lang w:val="es-ES"/>
        </w:rPr>
      </w:pPr>
      <w:r w:rsidRPr="008A5525">
        <w:rPr>
          <w:rStyle w:val="Refdenotaalpie"/>
          <w:rFonts w:ascii="Arial" w:hAnsi="Arial" w:cs="Arial"/>
          <w:sz w:val="19"/>
          <w:szCs w:val="19"/>
        </w:rPr>
        <w:footnoteRef/>
      </w:r>
      <w:r w:rsidRPr="008A5525">
        <w:rPr>
          <w:rFonts w:ascii="Arial" w:hAnsi="Arial" w:cs="Arial"/>
          <w:sz w:val="19"/>
          <w:szCs w:val="19"/>
        </w:rPr>
        <w:t xml:space="preserve"> </w:t>
      </w:r>
      <w:r w:rsidRPr="008A5525">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4F77CF96" w14:textId="77777777" w:rsidR="00CF2A50" w:rsidRPr="008A5525" w:rsidRDefault="00CF2A50" w:rsidP="008A5525">
      <w:pPr>
        <w:pStyle w:val="Textonotapie"/>
        <w:ind w:firstLine="709"/>
        <w:jc w:val="both"/>
        <w:rPr>
          <w:rFonts w:ascii="Arial" w:hAnsi="Arial" w:cs="Arial"/>
          <w:sz w:val="19"/>
          <w:szCs w:val="19"/>
          <w:lang w:val="es-ES"/>
        </w:rPr>
      </w:pPr>
    </w:p>
  </w:footnote>
  <w:footnote w:id="15">
    <w:p w14:paraId="4263A035"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r w:rsidRPr="008A5525">
        <w:rPr>
          <w:rStyle w:val="Refdenotaalpie"/>
          <w:rFonts w:ascii="Arial" w:hAnsi="Arial" w:cs="Arial"/>
          <w:color w:val="000000" w:themeColor="text1"/>
          <w:sz w:val="19"/>
          <w:szCs w:val="19"/>
        </w:rPr>
        <w:footnoteRef/>
      </w:r>
      <w:r w:rsidRPr="008A5525">
        <w:rPr>
          <w:rFonts w:ascii="Arial" w:hAnsi="Arial" w:cs="Arial"/>
          <w:color w:val="000000" w:themeColor="text1"/>
          <w:sz w:val="19"/>
          <w:szCs w:val="19"/>
        </w:rPr>
        <w:t xml:space="preserve"> </w:t>
      </w:r>
      <w:r w:rsidRPr="008A5525">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305EE9E"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r w:rsidRPr="008A5525">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59FE351"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r w:rsidRPr="008A5525">
        <w:rPr>
          <w:rFonts w:ascii="Arial" w:hAnsi="Arial" w:cs="Arial"/>
          <w:color w:val="000000" w:themeColor="text1"/>
          <w:sz w:val="19"/>
          <w:szCs w:val="19"/>
          <w:lang w:val="es-ES"/>
        </w:rPr>
        <w:t>»La Entidad Estatal, para la contratación de trabajos artísticos que solamente puedan en</w:t>
      </w:r>
      <w:r w:rsidRPr="008A5525">
        <w:rPr>
          <w:rFonts w:ascii="Arial" w:hAnsi="Arial" w:cs="Arial"/>
          <w:color w:val="000000" w:themeColor="text1"/>
          <w:sz w:val="19"/>
          <w:szCs w:val="19"/>
          <w:lang w:val="es-ES"/>
        </w:rPr>
        <w:softHyphen/>
        <w:t>comendarse a determinadas personas naturales, debe justificar esta situación en los estudios y documentos previos».</w:t>
      </w:r>
    </w:p>
    <w:p w14:paraId="31E04B95"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p>
  </w:footnote>
  <w:footnote w:id="16">
    <w:p w14:paraId="04C0639B"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r w:rsidRPr="008A5525">
        <w:rPr>
          <w:rStyle w:val="Refdenotaalpie"/>
          <w:rFonts w:ascii="Arial" w:hAnsi="Arial" w:cs="Arial"/>
          <w:color w:val="000000" w:themeColor="text1"/>
          <w:sz w:val="19"/>
          <w:szCs w:val="19"/>
        </w:rPr>
        <w:footnoteRef/>
      </w:r>
      <w:r w:rsidRPr="008A5525">
        <w:rPr>
          <w:rFonts w:ascii="Arial" w:hAnsi="Arial" w:cs="Arial"/>
          <w:color w:val="000000" w:themeColor="text1"/>
          <w:sz w:val="19"/>
          <w:szCs w:val="19"/>
        </w:rPr>
        <w:t xml:space="preserve"> </w:t>
      </w:r>
      <w:r w:rsidRPr="008A5525">
        <w:rPr>
          <w:rFonts w:ascii="Arial" w:hAnsi="Arial" w:cs="Arial"/>
          <w:color w:val="000000" w:themeColor="text1"/>
          <w:sz w:val="19"/>
          <w:szCs w:val="19"/>
          <w:lang w:val="es-ES"/>
        </w:rPr>
        <w:t>CONSEJO DE ESTADO. Sección Tercera. Subsección C. Sentencia de Unificación del 2 de diciembre de 2013. Exp. 41.719. C.P. Jaime Orlando Santofimio Gamboa.</w:t>
      </w:r>
    </w:p>
    <w:p w14:paraId="63B9E7EE"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p>
  </w:footnote>
  <w:footnote w:id="17">
    <w:p w14:paraId="6E037F42"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r w:rsidRPr="008A5525">
        <w:rPr>
          <w:rStyle w:val="Refdenotaalpie"/>
          <w:rFonts w:ascii="Arial" w:hAnsi="Arial" w:cs="Arial"/>
          <w:color w:val="000000" w:themeColor="text1"/>
          <w:sz w:val="19"/>
          <w:szCs w:val="19"/>
        </w:rPr>
        <w:footnoteRef/>
      </w:r>
      <w:r w:rsidRPr="008A5525">
        <w:rPr>
          <w:rFonts w:ascii="Arial" w:hAnsi="Arial" w:cs="Arial"/>
          <w:color w:val="000000" w:themeColor="text1"/>
          <w:sz w:val="19"/>
          <w:szCs w:val="19"/>
        </w:rPr>
        <w:t xml:space="preserve"> </w:t>
      </w:r>
      <w:r w:rsidRPr="008A5525">
        <w:rPr>
          <w:rFonts w:ascii="Arial" w:hAnsi="Arial" w:cs="Arial"/>
          <w:i/>
          <w:iCs/>
          <w:color w:val="000000" w:themeColor="text1"/>
          <w:sz w:val="19"/>
          <w:szCs w:val="19"/>
          <w:lang w:val="es-ES"/>
        </w:rPr>
        <w:t>Ibíd</w:t>
      </w:r>
      <w:r w:rsidRPr="008A5525">
        <w:rPr>
          <w:rFonts w:ascii="Arial" w:hAnsi="Arial" w:cs="Arial"/>
          <w:color w:val="000000" w:themeColor="text1"/>
          <w:sz w:val="19"/>
          <w:szCs w:val="19"/>
          <w:lang w:val="es-ES"/>
        </w:rPr>
        <w:t>.</w:t>
      </w:r>
    </w:p>
    <w:p w14:paraId="1735F31A"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p>
  </w:footnote>
  <w:footnote w:id="18">
    <w:p w14:paraId="0BBBE41F"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r w:rsidRPr="008A5525">
        <w:rPr>
          <w:rStyle w:val="Refdenotaalpie"/>
          <w:rFonts w:ascii="Arial" w:hAnsi="Arial" w:cs="Arial"/>
          <w:color w:val="000000" w:themeColor="text1"/>
          <w:sz w:val="19"/>
          <w:szCs w:val="19"/>
        </w:rPr>
        <w:footnoteRef/>
      </w:r>
      <w:r w:rsidRPr="008A5525">
        <w:rPr>
          <w:rFonts w:ascii="Arial" w:hAnsi="Arial" w:cs="Arial"/>
          <w:color w:val="000000" w:themeColor="text1"/>
          <w:sz w:val="19"/>
          <w:szCs w:val="19"/>
        </w:rPr>
        <w:t xml:space="preserve"> </w:t>
      </w:r>
      <w:r w:rsidRPr="008A5525">
        <w:rPr>
          <w:rFonts w:ascii="Arial" w:hAnsi="Arial" w:cs="Arial"/>
          <w:i/>
          <w:iCs/>
          <w:color w:val="000000" w:themeColor="text1"/>
          <w:sz w:val="19"/>
          <w:szCs w:val="19"/>
          <w:lang w:val="es-ES"/>
        </w:rPr>
        <w:t>Ibíd</w:t>
      </w:r>
      <w:r w:rsidRPr="008A5525">
        <w:rPr>
          <w:rFonts w:ascii="Arial" w:hAnsi="Arial" w:cs="Arial"/>
          <w:color w:val="000000" w:themeColor="text1"/>
          <w:sz w:val="19"/>
          <w:szCs w:val="19"/>
          <w:lang w:val="es-ES"/>
        </w:rPr>
        <w:t>.</w:t>
      </w:r>
    </w:p>
    <w:p w14:paraId="422B2B2A" w14:textId="77777777" w:rsidR="00CF2A50" w:rsidRPr="008A5525" w:rsidRDefault="00CF2A50" w:rsidP="008A5525">
      <w:pPr>
        <w:pStyle w:val="Textonotapie"/>
        <w:ind w:firstLine="709"/>
        <w:jc w:val="both"/>
        <w:rPr>
          <w:rFonts w:ascii="Arial" w:hAnsi="Arial" w:cs="Arial"/>
          <w:color w:val="000000" w:themeColor="text1"/>
          <w:sz w:val="19"/>
          <w:szCs w:val="19"/>
          <w:lang w:val="es-ES"/>
        </w:rPr>
      </w:pPr>
    </w:p>
  </w:footnote>
  <w:footnote w:id="19">
    <w:p w14:paraId="2DF6BD0A" w14:textId="77777777" w:rsidR="001F6CEF" w:rsidRPr="00360A25" w:rsidRDefault="001F6CEF" w:rsidP="001F6CEF">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«Artículo 3°. Funciones. La Agencia Nacional de Contratación Pública –Colombia Compra Eficiente– ejercerá las siguientes funciones: </w:t>
      </w:r>
    </w:p>
    <w:p w14:paraId="6DBEFA87" w14:textId="77777777" w:rsidR="001F6CEF" w:rsidRPr="00360A25" w:rsidRDefault="001F6CEF" w:rsidP="001F6CEF">
      <w:pPr>
        <w:pStyle w:val="Textonotapie"/>
        <w:ind w:firstLine="709"/>
        <w:jc w:val="both"/>
        <w:rPr>
          <w:rFonts w:ascii="Arial" w:hAnsi="Arial" w:cs="Arial"/>
          <w:sz w:val="18"/>
          <w:szCs w:val="18"/>
          <w:lang w:val="es-ES"/>
        </w:rPr>
      </w:pPr>
      <w:r w:rsidRPr="00360A25">
        <w:rPr>
          <w:rFonts w:ascii="Arial" w:hAnsi="Arial" w:cs="Arial"/>
          <w:sz w:val="18"/>
          <w:szCs w:val="18"/>
          <w:lang w:val="es-ES"/>
        </w:rPr>
        <w:t xml:space="preserve">»[...] </w:t>
      </w:r>
    </w:p>
    <w:p w14:paraId="529DFB56" w14:textId="77777777" w:rsidR="001F6CEF" w:rsidRPr="00360A25" w:rsidRDefault="001F6CEF" w:rsidP="001F6CEF">
      <w:pPr>
        <w:pStyle w:val="Textonotapie"/>
        <w:ind w:firstLine="709"/>
        <w:jc w:val="both"/>
        <w:rPr>
          <w:rFonts w:ascii="Arial" w:hAnsi="Arial" w:cs="Arial"/>
          <w:sz w:val="18"/>
          <w:szCs w:val="18"/>
          <w:lang w:val="es-ES"/>
        </w:rPr>
      </w:pPr>
      <w:r w:rsidRPr="00360A25">
        <w:rPr>
          <w:rFonts w:ascii="Arial" w:hAnsi="Arial" w:cs="Arial"/>
          <w:sz w:val="18"/>
          <w:szCs w:val="18"/>
          <w:lang w:val="es-ES"/>
        </w:rPr>
        <w:t xml:space="preserve"> »5. Absolver consultas sobre la aplicación de normas de carácter general y expedir circulares externas en materia de compras y contratación pública».</w:t>
      </w:r>
    </w:p>
    <w:p w14:paraId="11BFFA78" w14:textId="77777777" w:rsidR="001F6CEF" w:rsidRPr="00360A25" w:rsidRDefault="001F6CEF" w:rsidP="001F6CEF">
      <w:pPr>
        <w:pStyle w:val="Textonotapie"/>
        <w:ind w:firstLine="709"/>
        <w:jc w:val="both"/>
        <w:rPr>
          <w:rFonts w:ascii="Arial" w:hAnsi="Arial" w:cs="Arial"/>
          <w:sz w:val="18"/>
          <w:szCs w:val="18"/>
          <w:lang w:val="es-ES"/>
        </w:rPr>
      </w:pPr>
      <w:r w:rsidRPr="00360A25">
        <w:rPr>
          <w:rFonts w:ascii="Arial" w:hAnsi="Arial" w:cs="Arial"/>
          <w:sz w:val="18"/>
          <w:szCs w:val="18"/>
          <w:lang w:val="es-ES"/>
        </w:rPr>
        <w:t xml:space="preserve">«Artículo 11. Subdirección de Gestión Contractual. Son funciones de la Subdirección de Gestión Contractual las siguientes: </w:t>
      </w:r>
    </w:p>
    <w:p w14:paraId="0CF89A79" w14:textId="77777777" w:rsidR="001F6CEF" w:rsidRPr="00360A25" w:rsidRDefault="001F6CEF" w:rsidP="001F6CEF">
      <w:pPr>
        <w:pStyle w:val="Textonotapie"/>
        <w:ind w:firstLine="709"/>
        <w:jc w:val="both"/>
        <w:rPr>
          <w:rFonts w:ascii="Arial" w:hAnsi="Arial" w:cs="Arial"/>
          <w:sz w:val="18"/>
          <w:szCs w:val="18"/>
          <w:lang w:val="es-ES"/>
        </w:rPr>
      </w:pPr>
      <w:r w:rsidRPr="00360A25">
        <w:rPr>
          <w:rFonts w:ascii="Arial" w:hAnsi="Arial" w:cs="Arial"/>
          <w:sz w:val="18"/>
          <w:szCs w:val="18"/>
          <w:lang w:val="es-ES"/>
        </w:rPr>
        <w:t xml:space="preserve">»[...] </w:t>
      </w:r>
    </w:p>
    <w:p w14:paraId="384AD55F" w14:textId="77777777" w:rsidR="001F6CEF" w:rsidRPr="00360A25" w:rsidRDefault="001F6CEF" w:rsidP="001F6CEF">
      <w:pPr>
        <w:pStyle w:val="Textonotapie"/>
        <w:ind w:firstLine="709"/>
        <w:jc w:val="both"/>
        <w:rPr>
          <w:rFonts w:ascii="Arial" w:hAnsi="Arial" w:cs="Arial"/>
          <w:sz w:val="18"/>
          <w:szCs w:val="18"/>
          <w:lang w:val="es-ES"/>
        </w:rPr>
      </w:pPr>
      <w:r w:rsidRPr="00360A25">
        <w:rPr>
          <w:rFonts w:ascii="Arial" w:eastAsia="Times New Roman" w:hAnsi="Arial" w:cs="Arial"/>
          <w:sz w:val="18"/>
          <w:szCs w:val="18"/>
          <w:lang w:val="es-CO" w:eastAsia="es-ES_tradnl"/>
        </w:rPr>
        <w:t>»</w:t>
      </w:r>
      <w:r w:rsidRPr="00360A25">
        <w:rPr>
          <w:rFonts w:ascii="Arial" w:hAnsi="Arial" w:cs="Arial"/>
          <w:sz w:val="18"/>
          <w:szCs w:val="18"/>
          <w:lang w:val="es-ES"/>
        </w:rPr>
        <w:t xml:space="preserve">8. Absolver consultas sobre la aplicación de normas de carácter general». </w:t>
      </w:r>
    </w:p>
  </w:footnote>
  <w:footnote w:id="20">
    <w:p w14:paraId="29E866F1" w14:textId="77777777" w:rsidR="001F6CEF" w:rsidRPr="00360A25" w:rsidRDefault="001F6CEF" w:rsidP="001F6CEF">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hyperlink r:id="rId1" w:history="1">
        <w:r w:rsidRPr="00360A25">
          <w:rPr>
            <w:rStyle w:val="Hipervnculo"/>
            <w:rFonts w:ascii="Arial" w:hAnsi="Arial" w:cs="Arial"/>
            <w:color w:val="44546A" w:themeColor="text2"/>
            <w:sz w:val="18"/>
            <w:szCs w:val="18"/>
          </w:rPr>
          <w:t>https://dapre.presidencia.gov.co/normativa/normativa/DIRECTIVA%20PRESIDENCIAL%2007%20DEL%2028%20DE%20OCTUBRE%20DE%202021.pdf</w:t>
        </w:r>
      </w:hyperlink>
      <w:r w:rsidRPr="00360A25">
        <w:rPr>
          <w:rFonts w:ascii="Arial" w:hAnsi="Arial" w:cs="Arial"/>
          <w:sz w:val="18"/>
          <w:szCs w:val="18"/>
        </w:rPr>
        <w:t xml:space="preserve">. </w:t>
      </w:r>
    </w:p>
    <w:p w14:paraId="53C205B0" w14:textId="77777777" w:rsidR="001F6CEF" w:rsidRPr="00360A25" w:rsidRDefault="001F6CEF" w:rsidP="001F6CEF">
      <w:pPr>
        <w:pStyle w:val="Textonotapie"/>
        <w:ind w:firstLine="708"/>
        <w:rPr>
          <w:rFonts w:ascii="Arial" w:hAnsi="Arial" w:cs="Arial"/>
          <w:sz w:val="18"/>
          <w:szCs w:val="18"/>
        </w:rPr>
      </w:pPr>
    </w:p>
  </w:footnote>
  <w:footnote w:id="21">
    <w:p w14:paraId="55611E7B" w14:textId="77777777" w:rsidR="001F6CEF" w:rsidRPr="00360A25" w:rsidRDefault="001F6CEF" w:rsidP="001F6CEF">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Conforme al artículo 2 del Decreto Ley 4085 de 2011, la Agencia Nacional de Defensa Jurídica del Estado tiene como objetivo «[…] el diseño de estrategias, planes y acciones dirigidos a dar cumplimiento a las políticas de defensa jurídica de la Nación y del Estado definidas por el Gobierno Nacional; la formulación, evaluación y difusión de las políticas en materia de prevención de las conductas antijurídicas por parte de servidores y entidades públicas, del daño antijurídico y la extensión de sus efectos, y la dirección, coordinación y ejecución de las acciones que aseguren la adecuada implementación de las mismas, para la defensa de los intereses litigiosos de la Nación».</w:t>
      </w:r>
    </w:p>
    <w:p w14:paraId="09DB43F5" w14:textId="77777777" w:rsidR="001F6CEF" w:rsidRPr="00360A25" w:rsidRDefault="001F6CEF" w:rsidP="001F6CEF">
      <w:pPr>
        <w:pStyle w:val="Textonotapie"/>
        <w:ind w:firstLine="708"/>
        <w:rPr>
          <w:rFonts w:ascii="Arial" w:hAnsi="Arial" w:cs="Arial"/>
          <w:sz w:val="18"/>
          <w:szCs w:val="18"/>
        </w:rPr>
      </w:pPr>
    </w:p>
  </w:footnote>
  <w:footnote w:id="22">
    <w:p w14:paraId="3BCAB75D" w14:textId="77777777" w:rsidR="001F6CEF" w:rsidRPr="00360A25" w:rsidRDefault="001F6CEF" w:rsidP="001F6CEF">
      <w:pPr>
        <w:pStyle w:val="Textonotapie"/>
        <w:ind w:firstLine="708"/>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La norma dispone que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AA38E" w14:textId="77777777" w:rsidR="003B1169" w:rsidRDefault="001D03F3">
    <w:pPr>
      <w:pStyle w:val="Encabezado"/>
    </w:pPr>
    <w:r>
      <w:rPr>
        <w:noProof/>
        <w:lang w:val="es-CO" w:eastAsia="es-CO"/>
      </w:rPr>
      <w:drawing>
        <wp:anchor distT="0" distB="0" distL="114300" distR="114300" simplePos="0" relativeHeight="251659264" behindDoc="1" locked="0" layoutInCell="1" allowOverlap="1" wp14:anchorId="00DBE0B7" wp14:editId="0E486B2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6310"/>
    <w:multiLevelType w:val="multilevel"/>
    <w:tmpl w:val="37481E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76"/>
    <w:rsid w:val="00004BC0"/>
    <w:rsid w:val="00004DE0"/>
    <w:rsid w:val="00014AD7"/>
    <w:rsid w:val="000164F2"/>
    <w:rsid w:val="000176AC"/>
    <w:rsid w:val="0002636D"/>
    <w:rsid w:val="00033163"/>
    <w:rsid w:val="000377ED"/>
    <w:rsid w:val="000470B1"/>
    <w:rsid w:val="0006056E"/>
    <w:rsid w:val="000654CD"/>
    <w:rsid w:val="000838AF"/>
    <w:rsid w:val="000D04A0"/>
    <w:rsid w:val="000D24DB"/>
    <w:rsid w:val="000F437E"/>
    <w:rsid w:val="00100533"/>
    <w:rsid w:val="001208F2"/>
    <w:rsid w:val="0013308B"/>
    <w:rsid w:val="00145A5D"/>
    <w:rsid w:val="00154B5F"/>
    <w:rsid w:val="0016411B"/>
    <w:rsid w:val="001775A2"/>
    <w:rsid w:val="00185146"/>
    <w:rsid w:val="001851C6"/>
    <w:rsid w:val="00192C18"/>
    <w:rsid w:val="001A4BB1"/>
    <w:rsid w:val="001A5434"/>
    <w:rsid w:val="001B417C"/>
    <w:rsid w:val="001C08E3"/>
    <w:rsid w:val="001C6658"/>
    <w:rsid w:val="001D03F3"/>
    <w:rsid w:val="001D4E8A"/>
    <w:rsid w:val="001E123A"/>
    <w:rsid w:val="001E778E"/>
    <w:rsid w:val="001F594A"/>
    <w:rsid w:val="001F6CEF"/>
    <w:rsid w:val="00200D33"/>
    <w:rsid w:val="00203B53"/>
    <w:rsid w:val="002077CE"/>
    <w:rsid w:val="00213C36"/>
    <w:rsid w:val="00217B7F"/>
    <w:rsid w:val="0022005E"/>
    <w:rsid w:val="002226F6"/>
    <w:rsid w:val="00224EBA"/>
    <w:rsid w:val="002274DC"/>
    <w:rsid w:val="00232691"/>
    <w:rsid w:val="0026108A"/>
    <w:rsid w:val="0027132D"/>
    <w:rsid w:val="00282E33"/>
    <w:rsid w:val="00292A1B"/>
    <w:rsid w:val="002A425B"/>
    <w:rsid w:val="002C1D8A"/>
    <w:rsid w:val="002C35BE"/>
    <w:rsid w:val="002C6045"/>
    <w:rsid w:val="002C73CB"/>
    <w:rsid w:val="002D6C0D"/>
    <w:rsid w:val="002E7F3E"/>
    <w:rsid w:val="002F3BCD"/>
    <w:rsid w:val="002F556D"/>
    <w:rsid w:val="0030577F"/>
    <w:rsid w:val="00314512"/>
    <w:rsid w:val="00321758"/>
    <w:rsid w:val="003255AD"/>
    <w:rsid w:val="00325A7A"/>
    <w:rsid w:val="00331BAA"/>
    <w:rsid w:val="0035182B"/>
    <w:rsid w:val="003619D5"/>
    <w:rsid w:val="003824C6"/>
    <w:rsid w:val="00390E3E"/>
    <w:rsid w:val="003A2004"/>
    <w:rsid w:val="003A23BA"/>
    <w:rsid w:val="003A74E0"/>
    <w:rsid w:val="003C0089"/>
    <w:rsid w:val="003C49BF"/>
    <w:rsid w:val="003D762F"/>
    <w:rsid w:val="003E4773"/>
    <w:rsid w:val="003F57F9"/>
    <w:rsid w:val="004079FF"/>
    <w:rsid w:val="00412420"/>
    <w:rsid w:val="00415218"/>
    <w:rsid w:val="00415E43"/>
    <w:rsid w:val="00433A39"/>
    <w:rsid w:val="00437FEF"/>
    <w:rsid w:val="00483702"/>
    <w:rsid w:val="004965FF"/>
    <w:rsid w:val="004969F7"/>
    <w:rsid w:val="004A1DFB"/>
    <w:rsid w:val="004B4438"/>
    <w:rsid w:val="004D234E"/>
    <w:rsid w:val="005038A2"/>
    <w:rsid w:val="00517D0F"/>
    <w:rsid w:val="0052288C"/>
    <w:rsid w:val="00523CF1"/>
    <w:rsid w:val="0054167A"/>
    <w:rsid w:val="00544A50"/>
    <w:rsid w:val="005521DA"/>
    <w:rsid w:val="005548E1"/>
    <w:rsid w:val="00557D78"/>
    <w:rsid w:val="0059482C"/>
    <w:rsid w:val="00597A74"/>
    <w:rsid w:val="005E340E"/>
    <w:rsid w:val="0062212E"/>
    <w:rsid w:val="00632D6E"/>
    <w:rsid w:val="0064243A"/>
    <w:rsid w:val="006439B5"/>
    <w:rsid w:val="0066416F"/>
    <w:rsid w:val="00680B5D"/>
    <w:rsid w:val="00682553"/>
    <w:rsid w:val="00691F6E"/>
    <w:rsid w:val="006923C3"/>
    <w:rsid w:val="006A0904"/>
    <w:rsid w:val="006E23FC"/>
    <w:rsid w:val="006F5E57"/>
    <w:rsid w:val="00701C0F"/>
    <w:rsid w:val="00711E98"/>
    <w:rsid w:val="0071292B"/>
    <w:rsid w:val="007213D7"/>
    <w:rsid w:val="00727820"/>
    <w:rsid w:val="00730709"/>
    <w:rsid w:val="007364E5"/>
    <w:rsid w:val="007523A6"/>
    <w:rsid w:val="007702B7"/>
    <w:rsid w:val="007742D9"/>
    <w:rsid w:val="00786DF8"/>
    <w:rsid w:val="007924F3"/>
    <w:rsid w:val="00795233"/>
    <w:rsid w:val="007A4027"/>
    <w:rsid w:val="007B12ED"/>
    <w:rsid w:val="007B5CA8"/>
    <w:rsid w:val="007D0CFB"/>
    <w:rsid w:val="007E272E"/>
    <w:rsid w:val="007E6B1E"/>
    <w:rsid w:val="0081014E"/>
    <w:rsid w:val="0081028F"/>
    <w:rsid w:val="00810B79"/>
    <w:rsid w:val="00811B8A"/>
    <w:rsid w:val="00815FAC"/>
    <w:rsid w:val="008357BF"/>
    <w:rsid w:val="00840777"/>
    <w:rsid w:val="00855228"/>
    <w:rsid w:val="00861B16"/>
    <w:rsid w:val="00870E87"/>
    <w:rsid w:val="00874AD1"/>
    <w:rsid w:val="008A5525"/>
    <w:rsid w:val="008A7BDF"/>
    <w:rsid w:val="008C74DE"/>
    <w:rsid w:val="008F1899"/>
    <w:rsid w:val="008F78A6"/>
    <w:rsid w:val="0091558C"/>
    <w:rsid w:val="009274BE"/>
    <w:rsid w:val="009366E7"/>
    <w:rsid w:val="00947703"/>
    <w:rsid w:val="00964254"/>
    <w:rsid w:val="009714A9"/>
    <w:rsid w:val="009715F5"/>
    <w:rsid w:val="00984952"/>
    <w:rsid w:val="009875A1"/>
    <w:rsid w:val="00987729"/>
    <w:rsid w:val="009921E4"/>
    <w:rsid w:val="009956BE"/>
    <w:rsid w:val="009A52B6"/>
    <w:rsid w:val="009B6E67"/>
    <w:rsid w:val="009C7A8B"/>
    <w:rsid w:val="009E7172"/>
    <w:rsid w:val="009F159E"/>
    <w:rsid w:val="009F1CFC"/>
    <w:rsid w:val="009F7F47"/>
    <w:rsid w:val="00A00516"/>
    <w:rsid w:val="00A0314B"/>
    <w:rsid w:val="00A16686"/>
    <w:rsid w:val="00A1781B"/>
    <w:rsid w:val="00A65BEE"/>
    <w:rsid w:val="00A82CF6"/>
    <w:rsid w:val="00A85152"/>
    <w:rsid w:val="00AA3E8A"/>
    <w:rsid w:val="00AF33B6"/>
    <w:rsid w:val="00B02375"/>
    <w:rsid w:val="00B2623D"/>
    <w:rsid w:val="00B274B1"/>
    <w:rsid w:val="00B27AB2"/>
    <w:rsid w:val="00B30A00"/>
    <w:rsid w:val="00B404E1"/>
    <w:rsid w:val="00B412B2"/>
    <w:rsid w:val="00B52BC4"/>
    <w:rsid w:val="00B57070"/>
    <w:rsid w:val="00B632D6"/>
    <w:rsid w:val="00B84055"/>
    <w:rsid w:val="00B84B96"/>
    <w:rsid w:val="00B8616D"/>
    <w:rsid w:val="00B96F7D"/>
    <w:rsid w:val="00BC2255"/>
    <w:rsid w:val="00BE125E"/>
    <w:rsid w:val="00BE1516"/>
    <w:rsid w:val="00BF0DFA"/>
    <w:rsid w:val="00BF5B8D"/>
    <w:rsid w:val="00BF64B2"/>
    <w:rsid w:val="00C1271C"/>
    <w:rsid w:val="00C159EE"/>
    <w:rsid w:val="00C23F22"/>
    <w:rsid w:val="00C36A59"/>
    <w:rsid w:val="00C46B5A"/>
    <w:rsid w:val="00C61DDA"/>
    <w:rsid w:val="00C70F62"/>
    <w:rsid w:val="00C94F0B"/>
    <w:rsid w:val="00CA0F7D"/>
    <w:rsid w:val="00CA2FAC"/>
    <w:rsid w:val="00CA5C31"/>
    <w:rsid w:val="00CB2F10"/>
    <w:rsid w:val="00CB7540"/>
    <w:rsid w:val="00CD37C9"/>
    <w:rsid w:val="00CE3E67"/>
    <w:rsid w:val="00CE6A4E"/>
    <w:rsid w:val="00CF2A50"/>
    <w:rsid w:val="00D0079D"/>
    <w:rsid w:val="00D10D5B"/>
    <w:rsid w:val="00D15F76"/>
    <w:rsid w:val="00D16582"/>
    <w:rsid w:val="00D2332A"/>
    <w:rsid w:val="00D2407A"/>
    <w:rsid w:val="00D30777"/>
    <w:rsid w:val="00D326C5"/>
    <w:rsid w:val="00D50FA2"/>
    <w:rsid w:val="00D576AB"/>
    <w:rsid w:val="00D57BA4"/>
    <w:rsid w:val="00D65714"/>
    <w:rsid w:val="00D85822"/>
    <w:rsid w:val="00D92BFB"/>
    <w:rsid w:val="00D92CD9"/>
    <w:rsid w:val="00D94E90"/>
    <w:rsid w:val="00D958B0"/>
    <w:rsid w:val="00D962ED"/>
    <w:rsid w:val="00D9785C"/>
    <w:rsid w:val="00DA1AFD"/>
    <w:rsid w:val="00DA72E9"/>
    <w:rsid w:val="00DB1207"/>
    <w:rsid w:val="00DB3C13"/>
    <w:rsid w:val="00DB44C8"/>
    <w:rsid w:val="00DC0025"/>
    <w:rsid w:val="00DD79A6"/>
    <w:rsid w:val="00DE77DC"/>
    <w:rsid w:val="00DF5862"/>
    <w:rsid w:val="00E12EB6"/>
    <w:rsid w:val="00E20778"/>
    <w:rsid w:val="00E240E9"/>
    <w:rsid w:val="00E3112E"/>
    <w:rsid w:val="00E31690"/>
    <w:rsid w:val="00E3449A"/>
    <w:rsid w:val="00E42CB5"/>
    <w:rsid w:val="00E47691"/>
    <w:rsid w:val="00E649DB"/>
    <w:rsid w:val="00E64A36"/>
    <w:rsid w:val="00E725DA"/>
    <w:rsid w:val="00E74A52"/>
    <w:rsid w:val="00E8117A"/>
    <w:rsid w:val="00E86BED"/>
    <w:rsid w:val="00E935B7"/>
    <w:rsid w:val="00E95F12"/>
    <w:rsid w:val="00E97D49"/>
    <w:rsid w:val="00EC2659"/>
    <w:rsid w:val="00ED087B"/>
    <w:rsid w:val="00EE4D9B"/>
    <w:rsid w:val="00EF3B2B"/>
    <w:rsid w:val="00F0743C"/>
    <w:rsid w:val="00F340C4"/>
    <w:rsid w:val="00F371AA"/>
    <w:rsid w:val="00F42B49"/>
    <w:rsid w:val="00F551B1"/>
    <w:rsid w:val="00F71700"/>
    <w:rsid w:val="00F87654"/>
    <w:rsid w:val="00F911E6"/>
    <w:rsid w:val="00F96B0E"/>
    <w:rsid w:val="00FA1A1E"/>
    <w:rsid w:val="00FB49BF"/>
    <w:rsid w:val="00FB7A51"/>
    <w:rsid w:val="00FD6384"/>
    <w:rsid w:val="00FE0F24"/>
    <w:rsid w:val="00FF1568"/>
    <w:rsid w:val="00FF19F3"/>
    <w:rsid w:val="00FF4C3A"/>
    <w:rsid w:val="2EC85746"/>
    <w:rsid w:val="4F506704"/>
    <w:rsid w:val="7341CDE2"/>
    <w:rsid w:val="76A941F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C556"/>
  <w15:chartTrackingRefBased/>
  <w15:docId w15:val="{DCF435EE-E211-439B-A432-22A3084F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2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15F76"/>
    <w:pPr>
      <w:tabs>
        <w:tab w:val="center" w:pos="4419"/>
        <w:tab w:val="right" w:pos="8838"/>
      </w:tabs>
    </w:pPr>
  </w:style>
  <w:style w:type="character" w:customStyle="1" w:styleId="PiedepginaCar">
    <w:name w:val="Pie de página Car"/>
    <w:basedOn w:val="Fuentedeprrafopredeter"/>
    <w:link w:val="Piedepgina"/>
    <w:uiPriority w:val="99"/>
    <w:rsid w:val="00D15F76"/>
    <w:rPr>
      <w:sz w:val="24"/>
      <w:lang w:val="es-MX"/>
    </w:rPr>
  </w:style>
  <w:style w:type="paragraph" w:styleId="Encabezado">
    <w:name w:val="header"/>
    <w:basedOn w:val="Normal"/>
    <w:link w:val="EncabezadoCar"/>
    <w:uiPriority w:val="99"/>
    <w:unhideWhenUsed/>
    <w:rsid w:val="00D15F76"/>
    <w:pPr>
      <w:tabs>
        <w:tab w:val="center" w:pos="4252"/>
        <w:tab w:val="right" w:pos="8504"/>
      </w:tabs>
    </w:pPr>
  </w:style>
  <w:style w:type="character" w:customStyle="1" w:styleId="EncabezadoCar">
    <w:name w:val="Encabezado Car"/>
    <w:basedOn w:val="Fuentedeprrafopredeter"/>
    <w:link w:val="Encabezado"/>
    <w:uiPriority w:val="99"/>
    <w:rsid w:val="00D15F76"/>
    <w:rPr>
      <w:sz w:val="24"/>
      <w:lang w:val="es-MX"/>
    </w:rPr>
  </w:style>
  <w:style w:type="table" w:styleId="Tablaconcuadrcula">
    <w:name w:val="Table Grid"/>
    <w:basedOn w:val="Tablanormal"/>
    <w:uiPriority w:val="59"/>
    <w:rsid w:val="00D15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D15F76"/>
    <w:pPr>
      <w:ind w:left="720"/>
      <w:contextualSpacing/>
    </w:pPr>
  </w:style>
  <w:style w:type="character" w:styleId="Hipervnculo">
    <w:name w:val="Hyperlink"/>
    <w:basedOn w:val="Fuentedeprrafopredeter"/>
    <w:uiPriority w:val="99"/>
    <w:unhideWhenUsed/>
    <w:rsid w:val="00D15F76"/>
    <w:rPr>
      <w:color w:val="0563C1" w:themeColor="hyperlink"/>
      <w:u w:val="single"/>
    </w:rPr>
  </w:style>
  <w:style w:type="paragraph" w:styleId="Sinespaciado">
    <w:name w:val="No Spacing"/>
    <w:aliases w:val="No Indent"/>
    <w:uiPriority w:val="3"/>
    <w:qFormat/>
    <w:rsid w:val="00D15F7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15F7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15F76"/>
    <w:rPr>
      <w:sz w:val="20"/>
      <w:szCs w:val="20"/>
    </w:rPr>
  </w:style>
  <w:style w:type="character" w:customStyle="1" w:styleId="TextonotapieCar1">
    <w:name w:val="Texto nota pie Car1"/>
    <w:basedOn w:val="Fuentedeprrafopredeter"/>
    <w:uiPriority w:val="99"/>
    <w:semiHidden/>
    <w:rsid w:val="00D15F76"/>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15F7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D15F76"/>
    <w:rPr>
      <w:vertAlign w:val="superscript"/>
    </w:rPr>
  </w:style>
  <w:style w:type="paragraph" w:customStyle="1" w:styleId="Default">
    <w:name w:val="Default"/>
    <w:rsid w:val="00D15F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ar"/>
    <w:uiPriority w:val="99"/>
    <w:unhideWhenUsed/>
    <w:rsid w:val="00D15F7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15F76"/>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qFormat/>
    <w:rsid w:val="00BE1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13308B"/>
    <w:pPr>
      <w:spacing w:before="100" w:beforeAutospacing="1" w:after="100" w:afterAutospacing="1"/>
    </w:pPr>
    <w:rPr>
      <w:rFonts w:ascii="Times New Roman" w:eastAsia="Times New Roman" w:hAnsi="Times New Roman" w:cs="Times New Roman"/>
      <w:szCs w:val="24"/>
      <w:lang w:val="es-ES" w:eastAsia="es-ES"/>
    </w:rPr>
  </w:style>
  <w:style w:type="character" w:customStyle="1" w:styleId="normaltextrun">
    <w:name w:val="normaltextrun"/>
    <w:basedOn w:val="Fuentedeprrafopredeter"/>
    <w:rsid w:val="0013308B"/>
  </w:style>
  <w:style w:type="character" w:customStyle="1" w:styleId="superscript">
    <w:name w:val="superscript"/>
    <w:basedOn w:val="Fuentedeprrafopredeter"/>
    <w:rsid w:val="0013308B"/>
  </w:style>
  <w:style w:type="character" w:customStyle="1" w:styleId="eop">
    <w:name w:val="eop"/>
    <w:basedOn w:val="Fuentedeprrafopredeter"/>
    <w:rsid w:val="0013308B"/>
  </w:style>
  <w:style w:type="character" w:styleId="Refdecomentario">
    <w:name w:val="annotation reference"/>
    <w:basedOn w:val="Fuentedeprrafopredeter"/>
    <w:uiPriority w:val="99"/>
    <w:semiHidden/>
    <w:unhideWhenUsed/>
    <w:rsid w:val="0013308B"/>
    <w:rPr>
      <w:sz w:val="16"/>
      <w:szCs w:val="16"/>
    </w:rPr>
  </w:style>
  <w:style w:type="paragraph" w:styleId="Textocomentario">
    <w:name w:val="annotation text"/>
    <w:basedOn w:val="Normal"/>
    <w:link w:val="TextocomentarioCar"/>
    <w:uiPriority w:val="99"/>
    <w:unhideWhenUsed/>
    <w:rsid w:val="0013308B"/>
    <w:rPr>
      <w:sz w:val="20"/>
      <w:szCs w:val="20"/>
    </w:rPr>
  </w:style>
  <w:style w:type="character" w:customStyle="1" w:styleId="TextocomentarioCar">
    <w:name w:val="Texto comentario Car"/>
    <w:basedOn w:val="Fuentedeprrafopredeter"/>
    <w:link w:val="Textocomentario"/>
    <w:uiPriority w:val="99"/>
    <w:rsid w:val="0013308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3308B"/>
    <w:rPr>
      <w:b/>
      <w:bCs/>
    </w:rPr>
  </w:style>
  <w:style w:type="character" w:customStyle="1" w:styleId="AsuntodelcomentarioCar">
    <w:name w:val="Asunto del comentario Car"/>
    <w:basedOn w:val="TextocomentarioCar"/>
    <w:link w:val="Asuntodelcomentario"/>
    <w:uiPriority w:val="99"/>
    <w:semiHidden/>
    <w:rsid w:val="0013308B"/>
    <w:rPr>
      <w:b/>
      <w:bCs/>
      <w:sz w:val="20"/>
      <w:szCs w:val="20"/>
      <w:lang w:val="es-MX"/>
    </w:rPr>
  </w:style>
  <w:style w:type="paragraph" w:styleId="Textoindependiente">
    <w:name w:val="Body Text"/>
    <w:basedOn w:val="Normal"/>
    <w:link w:val="TextoindependienteCar"/>
    <w:uiPriority w:val="99"/>
    <w:semiHidden/>
    <w:unhideWhenUsed/>
    <w:rsid w:val="00483702"/>
    <w:pPr>
      <w:spacing w:after="120"/>
    </w:pPr>
  </w:style>
  <w:style w:type="character" w:customStyle="1" w:styleId="TextoindependienteCar">
    <w:name w:val="Texto independiente Car"/>
    <w:basedOn w:val="Fuentedeprrafopredeter"/>
    <w:link w:val="Textoindependiente"/>
    <w:uiPriority w:val="99"/>
    <w:semiHidden/>
    <w:rsid w:val="00483702"/>
    <w:rPr>
      <w:sz w:val="24"/>
      <w:lang w:val="es-MX"/>
    </w:rPr>
  </w:style>
  <w:style w:type="paragraph" w:customStyle="1" w:styleId="Appelnotedebasde">
    <w:name w:val="Appel note de bas de..."/>
    <w:basedOn w:val="Normal"/>
    <w:link w:val="Refdenotaalpie"/>
    <w:uiPriority w:val="99"/>
    <w:rsid w:val="00CF2A50"/>
    <w:pPr>
      <w:spacing w:after="160" w:line="240" w:lineRule="exact"/>
    </w:pPr>
    <w:rPr>
      <w:sz w:val="22"/>
      <w:vertAlign w:val="superscript"/>
      <w:lang w:val="es-CO"/>
    </w:rPr>
  </w:style>
  <w:style w:type="character" w:customStyle="1" w:styleId="Mencinsinresolver1">
    <w:name w:val="Mención sin resolver1"/>
    <w:basedOn w:val="Fuentedeprrafopredeter"/>
    <w:uiPriority w:val="99"/>
    <w:semiHidden/>
    <w:unhideWhenUsed/>
    <w:rsid w:val="002C6045"/>
    <w:rPr>
      <w:color w:val="605E5C"/>
      <w:shd w:val="clear" w:color="auto" w:fill="E1DFDD"/>
    </w:rPr>
  </w:style>
  <w:style w:type="character" w:styleId="Textoennegrita">
    <w:name w:val="Strong"/>
    <w:basedOn w:val="Fuentedeprrafopredeter"/>
    <w:uiPriority w:val="22"/>
    <w:qFormat/>
    <w:rsid w:val="00CE6A4E"/>
    <w:rPr>
      <w:b/>
      <w:bCs/>
    </w:rPr>
  </w:style>
  <w:style w:type="character" w:styleId="nfasis">
    <w:name w:val="Emphasis"/>
    <w:basedOn w:val="Fuentedeprrafopredeter"/>
    <w:uiPriority w:val="20"/>
    <w:qFormat/>
    <w:rsid w:val="00CE6A4E"/>
    <w:rPr>
      <w:i/>
      <w:iCs/>
    </w:rPr>
  </w:style>
  <w:style w:type="paragraph" w:styleId="Revisin">
    <w:name w:val="Revision"/>
    <w:hidden/>
    <w:uiPriority w:val="99"/>
    <w:semiHidden/>
    <w:rsid w:val="00E42CB5"/>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2392">
      <w:bodyDiv w:val="1"/>
      <w:marLeft w:val="0"/>
      <w:marRight w:val="0"/>
      <w:marTop w:val="0"/>
      <w:marBottom w:val="0"/>
      <w:divBdr>
        <w:top w:val="none" w:sz="0" w:space="0" w:color="auto"/>
        <w:left w:val="none" w:sz="0" w:space="0" w:color="auto"/>
        <w:bottom w:val="none" w:sz="0" w:space="0" w:color="auto"/>
        <w:right w:val="none" w:sz="0" w:space="0" w:color="auto"/>
      </w:divBdr>
      <w:divsChild>
        <w:div w:id="365718417">
          <w:marLeft w:val="0"/>
          <w:marRight w:val="0"/>
          <w:marTop w:val="0"/>
          <w:marBottom w:val="0"/>
          <w:divBdr>
            <w:top w:val="none" w:sz="0" w:space="0" w:color="auto"/>
            <w:left w:val="none" w:sz="0" w:space="0" w:color="auto"/>
            <w:bottom w:val="none" w:sz="0" w:space="0" w:color="auto"/>
            <w:right w:val="none" w:sz="0" w:space="0" w:color="auto"/>
          </w:divBdr>
        </w:div>
        <w:div w:id="841119679">
          <w:marLeft w:val="0"/>
          <w:marRight w:val="0"/>
          <w:marTop w:val="0"/>
          <w:marBottom w:val="0"/>
          <w:divBdr>
            <w:top w:val="none" w:sz="0" w:space="0" w:color="auto"/>
            <w:left w:val="none" w:sz="0" w:space="0" w:color="auto"/>
            <w:bottom w:val="none" w:sz="0" w:space="0" w:color="auto"/>
            <w:right w:val="none" w:sz="0" w:space="0" w:color="auto"/>
          </w:divBdr>
        </w:div>
      </w:divsChild>
    </w:div>
    <w:div w:id="1453748590">
      <w:bodyDiv w:val="1"/>
      <w:marLeft w:val="0"/>
      <w:marRight w:val="0"/>
      <w:marTop w:val="0"/>
      <w:marBottom w:val="0"/>
      <w:divBdr>
        <w:top w:val="none" w:sz="0" w:space="0" w:color="auto"/>
        <w:left w:val="none" w:sz="0" w:space="0" w:color="auto"/>
        <w:bottom w:val="none" w:sz="0" w:space="0" w:color="auto"/>
        <w:right w:val="none" w:sz="0" w:space="0" w:color="auto"/>
      </w:divBdr>
    </w:div>
    <w:div w:id="1728988277">
      <w:bodyDiv w:val="1"/>
      <w:marLeft w:val="0"/>
      <w:marRight w:val="0"/>
      <w:marTop w:val="0"/>
      <w:marBottom w:val="0"/>
      <w:divBdr>
        <w:top w:val="none" w:sz="0" w:space="0" w:color="auto"/>
        <w:left w:val="none" w:sz="0" w:space="0" w:color="auto"/>
        <w:bottom w:val="none" w:sz="0" w:space="0" w:color="auto"/>
        <w:right w:val="none" w:sz="0" w:space="0" w:color="auto"/>
      </w:divBdr>
    </w:div>
    <w:div w:id="18445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normativa/DIRECTIVA%20PRESIDENCIAL%2007%20DEL%2028%20DE%20OCTUBRE%20DE%20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8651-CE4A-44E6-975F-E3DC78F66F4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4A18443-51E8-4D30-9B56-5E542CE76E1E}">
  <ds:schemaRefs>
    <ds:schemaRef ds:uri="http://schemas.microsoft.com/sharepoint/v3/contenttype/forms"/>
  </ds:schemaRefs>
</ds:datastoreItem>
</file>

<file path=customXml/itemProps3.xml><?xml version="1.0" encoding="utf-8"?>
<ds:datastoreItem xmlns:ds="http://schemas.openxmlformats.org/officeDocument/2006/customXml" ds:itemID="{14AA0D28-9BCC-47CD-B897-525573956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F6995-14EB-4E8C-A099-A1C90A6B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18</Pages>
  <Words>5822</Words>
  <Characters>32022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Martin Rojas Mejia</cp:lastModifiedBy>
  <cp:revision>78</cp:revision>
  <dcterms:created xsi:type="dcterms:W3CDTF">2022-06-23T16:37:00Z</dcterms:created>
  <dcterms:modified xsi:type="dcterms:W3CDTF">2022-08-18T20:57:00Z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