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53B50" w14:textId="77777777" w:rsidR="00D6685B" w:rsidRPr="005747DA" w:rsidRDefault="00D6685B" w:rsidP="001D7B22">
      <w:pPr>
        <w:spacing w:after="0" w:line="240" w:lineRule="auto"/>
        <w:contextualSpacing/>
        <w:jc w:val="both"/>
        <w:rPr>
          <w:rFonts w:ascii="Arial" w:eastAsia="Calibri" w:hAnsi="Arial" w:cs="Arial"/>
          <w:b/>
          <w:lang w:val="es-MX" w:eastAsia="es-MX"/>
        </w:rPr>
      </w:pPr>
      <w:r w:rsidRPr="005747DA">
        <w:rPr>
          <w:rFonts w:ascii="Arial" w:eastAsia="Calibri" w:hAnsi="Arial" w:cs="Arial"/>
          <w:b/>
          <w:lang w:val="es-MX" w:eastAsia="es-MX"/>
        </w:rPr>
        <w:t xml:space="preserve">LEY DE GARANTÍAS ELECTORALES – Naturaleza Jurídica </w:t>
      </w:r>
    </w:p>
    <w:p w14:paraId="180155F0" w14:textId="77777777" w:rsidR="00D6685B" w:rsidRPr="00F010A2" w:rsidRDefault="00D6685B" w:rsidP="001D7B22">
      <w:pPr>
        <w:spacing w:after="0" w:line="240" w:lineRule="auto"/>
        <w:contextualSpacing/>
        <w:jc w:val="both"/>
        <w:rPr>
          <w:rFonts w:ascii="Arial" w:eastAsia="Calibri" w:hAnsi="Arial" w:cs="Arial"/>
          <w:b/>
          <w:sz w:val="20"/>
          <w:szCs w:val="20"/>
          <w:lang w:val="es-MX" w:eastAsia="es-MX"/>
        </w:rPr>
      </w:pPr>
    </w:p>
    <w:p w14:paraId="064AA4EB" w14:textId="77777777" w:rsidR="00D6685B" w:rsidRPr="0066703A" w:rsidRDefault="00D6685B" w:rsidP="001D7B22">
      <w:pPr>
        <w:spacing w:after="0" w:line="240" w:lineRule="auto"/>
        <w:contextualSpacing/>
        <w:jc w:val="both"/>
        <w:rPr>
          <w:rFonts w:ascii="Arial" w:eastAsia="Times New Roman" w:hAnsi="Arial" w:cs="Arial"/>
          <w:bCs/>
          <w:sz w:val="20"/>
          <w:szCs w:val="20"/>
          <w:lang w:val="es-MX" w:eastAsia="es-CO"/>
        </w:rPr>
      </w:pPr>
      <w:r>
        <w:rPr>
          <w:rFonts w:ascii="Arial" w:eastAsia="Times New Roman" w:hAnsi="Arial" w:cs="Arial"/>
          <w:bCs/>
          <w:sz w:val="20"/>
          <w:szCs w:val="20"/>
          <w:lang w:val="es-MX" w:eastAsia="es-CO"/>
        </w:rPr>
        <w:t xml:space="preserve">[…] </w:t>
      </w:r>
      <w:r w:rsidRPr="0066703A">
        <w:rPr>
          <w:rFonts w:ascii="Arial" w:eastAsia="Times New Roman"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la citada ley introduce limitaciones para realizar nombramientos, postulaciones, contrataciones o cualquier otro tipo de actividad que implique destinación de recursos públicos bajo el devenir propio de las entidades estatales.</w:t>
      </w:r>
    </w:p>
    <w:p w14:paraId="78A57ED8" w14:textId="77777777" w:rsidR="00D6685B" w:rsidRPr="00F010A2" w:rsidRDefault="00D6685B" w:rsidP="001D7B22">
      <w:pPr>
        <w:spacing w:after="0" w:line="240" w:lineRule="auto"/>
        <w:contextualSpacing/>
        <w:jc w:val="both"/>
        <w:rPr>
          <w:rFonts w:ascii="Arial" w:eastAsia="Calibri" w:hAnsi="Arial" w:cs="Arial"/>
          <w:b/>
          <w:sz w:val="20"/>
          <w:szCs w:val="20"/>
          <w:lang w:val="es-MX" w:eastAsia="es-MX"/>
        </w:rPr>
      </w:pPr>
    </w:p>
    <w:p w14:paraId="00001C82" w14:textId="77777777" w:rsidR="00D6685B" w:rsidRPr="00F010A2" w:rsidRDefault="00D6685B" w:rsidP="001D7B22">
      <w:pPr>
        <w:spacing w:after="0" w:line="240" w:lineRule="auto"/>
        <w:contextualSpacing/>
        <w:jc w:val="both"/>
        <w:rPr>
          <w:rFonts w:ascii="Arial" w:eastAsia="Calibri" w:hAnsi="Arial" w:cs="Arial"/>
          <w:b/>
          <w:sz w:val="20"/>
          <w:szCs w:val="20"/>
          <w:lang w:val="es-MX" w:eastAsia="es-MX"/>
        </w:rPr>
      </w:pPr>
      <w:r w:rsidRPr="004A75D8">
        <w:rPr>
          <w:rFonts w:ascii="Arial" w:eastAsia="Calibri" w:hAnsi="Arial" w:cs="Arial"/>
          <w:b/>
          <w:lang w:val="es-MX" w:eastAsia="es-MX"/>
        </w:rPr>
        <w:t>LEY DE GARANTÍAS ELECTORALES – Prohibiciones</w:t>
      </w:r>
      <w:r w:rsidRPr="00F010A2">
        <w:rPr>
          <w:rFonts w:ascii="Arial" w:eastAsia="Calibri" w:hAnsi="Arial" w:cs="Arial"/>
          <w:b/>
          <w:sz w:val="20"/>
          <w:szCs w:val="20"/>
          <w:lang w:val="es-MX" w:eastAsia="es-MX"/>
        </w:rPr>
        <w:t xml:space="preserve"> </w:t>
      </w:r>
    </w:p>
    <w:p w14:paraId="1F525A68" w14:textId="77777777" w:rsidR="00D6685B" w:rsidRPr="00F010A2" w:rsidRDefault="00D6685B" w:rsidP="001D7B22">
      <w:pPr>
        <w:spacing w:after="0" w:line="240" w:lineRule="auto"/>
        <w:contextualSpacing/>
        <w:jc w:val="both"/>
        <w:rPr>
          <w:rFonts w:ascii="Arial" w:eastAsia="Calibri" w:hAnsi="Arial" w:cs="Arial"/>
          <w:b/>
          <w:sz w:val="20"/>
          <w:szCs w:val="20"/>
          <w:lang w:val="es-MX" w:eastAsia="es-MX"/>
        </w:rPr>
      </w:pPr>
    </w:p>
    <w:p w14:paraId="3562FD95" w14:textId="77777777" w:rsidR="00D6685B" w:rsidRPr="0066703A" w:rsidRDefault="00D6685B" w:rsidP="001D7B22">
      <w:pPr>
        <w:spacing w:after="0" w:line="240" w:lineRule="auto"/>
        <w:contextualSpacing/>
        <w:jc w:val="both"/>
        <w:rPr>
          <w:rFonts w:ascii="Arial" w:eastAsia="Times New Roman" w:hAnsi="Arial" w:cs="Arial"/>
          <w:bCs/>
          <w:sz w:val="20"/>
          <w:szCs w:val="20"/>
          <w:lang w:val="es-MX" w:eastAsia="es-CO"/>
        </w:rPr>
      </w:pPr>
      <w:r w:rsidRPr="0066703A">
        <w:rPr>
          <w:rFonts w:ascii="Arial" w:eastAsia="Times New Roman" w:hAnsi="Arial" w:cs="Arial"/>
          <w:bCs/>
          <w:sz w:val="20"/>
          <w:szCs w:val="20"/>
          <w:lang w:val="es-MX" w:eastAsia="es-CO"/>
        </w:rPr>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0064B49" w14:textId="77777777" w:rsidR="001D7B22" w:rsidRDefault="001D7B22" w:rsidP="001D7B22">
      <w:pPr>
        <w:spacing w:after="0" w:line="240" w:lineRule="auto"/>
        <w:contextualSpacing/>
        <w:jc w:val="both"/>
        <w:rPr>
          <w:rFonts w:ascii="Arial" w:eastAsia="Times New Roman" w:hAnsi="Arial" w:cs="Arial"/>
          <w:bCs/>
          <w:sz w:val="20"/>
          <w:szCs w:val="20"/>
          <w:lang w:val="es-MX" w:eastAsia="es-CO"/>
        </w:rPr>
      </w:pPr>
    </w:p>
    <w:p w14:paraId="31A70E6D" w14:textId="47A8C124" w:rsidR="00D6685B" w:rsidRPr="0066703A" w:rsidRDefault="00D6685B" w:rsidP="001D7B22">
      <w:pPr>
        <w:spacing w:after="0" w:line="240" w:lineRule="auto"/>
        <w:contextualSpacing/>
        <w:jc w:val="both"/>
        <w:rPr>
          <w:rFonts w:ascii="Arial" w:eastAsia="Times New Roman" w:hAnsi="Arial" w:cs="Arial"/>
          <w:bCs/>
          <w:sz w:val="20"/>
          <w:szCs w:val="20"/>
          <w:lang w:val="es-MX" w:eastAsia="es-CO"/>
        </w:rPr>
      </w:pPr>
      <w:r w:rsidRPr="0066703A">
        <w:rPr>
          <w:rFonts w:ascii="Arial" w:eastAsia="Times New Roman" w:hAnsi="Arial" w:cs="Arial"/>
          <w:bCs/>
          <w:sz w:val="20"/>
          <w:szCs w:val="20"/>
          <w:lang w:val="es-MX"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46F463A9" w14:textId="77777777" w:rsidR="001D7B22" w:rsidRDefault="001D7B22" w:rsidP="001D7B22">
      <w:pPr>
        <w:spacing w:after="0" w:line="240" w:lineRule="auto"/>
        <w:contextualSpacing/>
        <w:jc w:val="both"/>
        <w:rPr>
          <w:rFonts w:ascii="Arial" w:eastAsia="Times New Roman" w:hAnsi="Arial" w:cs="Arial"/>
          <w:bCs/>
          <w:sz w:val="20"/>
          <w:szCs w:val="20"/>
          <w:lang w:val="es-MX" w:eastAsia="es-CO"/>
        </w:rPr>
      </w:pPr>
    </w:p>
    <w:p w14:paraId="70E14882" w14:textId="7C82F4C0" w:rsidR="00D6685B" w:rsidRPr="0066703A" w:rsidRDefault="00D6685B" w:rsidP="001D7B22">
      <w:pPr>
        <w:spacing w:after="0" w:line="240" w:lineRule="auto"/>
        <w:contextualSpacing/>
        <w:jc w:val="both"/>
        <w:rPr>
          <w:rFonts w:ascii="Arial" w:eastAsia="Times New Roman" w:hAnsi="Arial" w:cs="Arial"/>
          <w:bCs/>
          <w:sz w:val="20"/>
          <w:szCs w:val="20"/>
          <w:lang w:val="es-MX" w:eastAsia="es-CO"/>
        </w:rPr>
      </w:pPr>
      <w:r w:rsidRPr="0066703A">
        <w:rPr>
          <w:rFonts w:ascii="Arial" w:eastAsia="Times New Roman" w:hAnsi="Arial" w:cs="Arial"/>
          <w:bCs/>
          <w:sz w:val="20"/>
          <w:szCs w:val="20"/>
          <w:lang w:val="es-MX" w:eastAsia="es-CO"/>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0DA7860F" w14:textId="77777777" w:rsidR="00D6685B" w:rsidRDefault="00D6685B" w:rsidP="001D7B22">
      <w:pPr>
        <w:tabs>
          <w:tab w:val="left" w:pos="0"/>
        </w:tabs>
        <w:spacing w:after="0" w:line="240" w:lineRule="auto"/>
        <w:contextualSpacing/>
        <w:jc w:val="both"/>
        <w:rPr>
          <w:rFonts w:ascii="Arial" w:eastAsia="Calibri" w:hAnsi="Arial" w:cs="Arial"/>
          <w:b/>
          <w:sz w:val="20"/>
          <w:szCs w:val="20"/>
          <w:lang w:val="es-ES" w:eastAsia="es-MX"/>
        </w:rPr>
      </w:pPr>
    </w:p>
    <w:p w14:paraId="6ECEB767" w14:textId="48E42F15" w:rsidR="00D6685B" w:rsidRPr="00020476" w:rsidRDefault="00B9786E" w:rsidP="001D7B22">
      <w:pPr>
        <w:tabs>
          <w:tab w:val="left" w:pos="426"/>
        </w:tabs>
        <w:spacing w:after="0" w:line="240" w:lineRule="auto"/>
        <w:contextualSpacing/>
        <w:jc w:val="both"/>
        <w:rPr>
          <w:rFonts w:ascii="Arial" w:eastAsia="Calibri" w:hAnsi="Arial" w:cs="Arial"/>
          <w:b/>
          <w:bCs/>
          <w:lang w:val="es-MX"/>
        </w:rPr>
      </w:pPr>
      <w:bookmarkStart w:id="0" w:name="_Hlk77165666"/>
      <w:r>
        <w:rPr>
          <w:rFonts w:ascii="Arial" w:eastAsia="Calibri" w:hAnsi="Arial" w:cs="Arial"/>
          <w:b/>
          <w:bCs/>
          <w:lang w:val="es-MX"/>
        </w:rPr>
        <w:t>LEY DE GARANTÍAS ELECTORALES –</w:t>
      </w:r>
      <w:r w:rsidR="00D6685B" w:rsidRPr="00020476">
        <w:rPr>
          <w:rFonts w:ascii="Arial" w:eastAsia="Calibri" w:hAnsi="Arial" w:cs="Arial"/>
          <w:b/>
          <w:bCs/>
          <w:lang w:val="es-MX"/>
        </w:rPr>
        <w:t xml:space="preserve"> Prohibición artículo 33 ‒ </w:t>
      </w:r>
      <w:bookmarkEnd w:id="0"/>
      <w:r w:rsidR="00D6685B" w:rsidRPr="00020476">
        <w:rPr>
          <w:rFonts w:ascii="Arial" w:eastAsia="Calibri" w:hAnsi="Arial" w:cs="Arial"/>
          <w:b/>
          <w:bCs/>
          <w:lang w:val="es-MX"/>
        </w:rPr>
        <w:t xml:space="preserve">Contratación directa ‒ Alcance </w:t>
      </w:r>
    </w:p>
    <w:p w14:paraId="0B5ECEFA" w14:textId="77777777" w:rsidR="00D6685B" w:rsidRPr="00020476" w:rsidRDefault="00D6685B" w:rsidP="001D7B22">
      <w:pPr>
        <w:tabs>
          <w:tab w:val="left" w:pos="426"/>
        </w:tabs>
        <w:spacing w:after="0" w:line="240" w:lineRule="auto"/>
        <w:contextualSpacing/>
        <w:jc w:val="both"/>
        <w:rPr>
          <w:rFonts w:ascii="Arial" w:eastAsia="Calibri" w:hAnsi="Arial" w:cs="Arial"/>
          <w:noProof/>
          <w:sz w:val="20"/>
          <w:szCs w:val="20"/>
          <w:lang w:val="es-MX"/>
        </w:rPr>
      </w:pPr>
    </w:p>
    <w:p w14:paraId="4F36F74E" w14:textId="77777777" w:rsidR="00D6685B" w:rsidRPr="00137E43" w:rsidRDefault="00D6685B" w:rsidP="001D7B22">
      <w:pPr>
        <w:spacing w:after="0" w:line="240" w:lineRule="auto"/>
        <w:contextualSpacing/>
        <w:jc w:val="both"/>
        <w:rPr>
          <w:rFonts w:ascii="Arial" w:eastAsia="Times New Roman" w:hAnsi="Arial" w:cs="Arial"/>
          <w:bCs/>
          <w:sz w:val="20"/>
          <w:szCs w:val="20"/>
          <w:lang w:val="es-MX" w:eastAsia="es-CO"/>
        </w:rPr>
      </w:pPr>
      <w:r w:rsidRPr="00137E43">
        <w:rPr>
          <w:rFonts w:ascii="Arial" w:eastAsia="Times New Roman" w:hAnsi="Arial" w:cs="Arial"/>
          <w:bCs/>
          <w:sz w:val="20"/>
          <w:szCs w:val="20"/>
          <w:lang w:val="es-MX" w:eastAsia="es-CO"/>
        </w:rPr>
        <w:t>[…]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Pr>
          <w:rFonts w:ascii="Arial" w:eastAsia="Times New Roman" w:hAnsi="Arial" w:cs="Arial"/>
          <w:bCs/>
          <w:sz w:val="20"/>
          <w:szCs w:val="20"/>
          <w:lang w:val="es-MX" w:eastAsia="es-CO"/>
        </w:rPr>
        <w:t>.</w:t>
      </w:r>
      <w:r w:rsidRPr="00137E43">
        <w:rPr>
          <w:rFonts w:ascii="Arial" w:eastAsia="Times New Roman" w:hAnsi="Arial" w:cs="Arial"/>
          <w:bCs/>
          <w:sz w:val="20"/>
          <w:szCs w:val="20"/>
          <w:lang w:val="es-MX" w:eastAsia="es-CO"/>
        </w:rPr>
        <w:t xml:space="preserve"> </w:t>
      </w:r>
    </w:p>
    <w:p w14:paraId="1FE90282" w14:textId="77777777" w:rsidR="001D7B22" w:rsidRDefault="001D7B22" w:rsidP="001D7B22">
      <w:pPr>
        <w:spacing w:after="0" w:line="240" w:lineRule="auto"/>
        <w:contextualSpacing/>
        <w:jc w:val="both"/>
        <w:rPr>
          <w:rFonts w:ascii="Arial" w:eastAsia="Times New Roman" w:hAnsi="Arial" w:cs="Arial"/>
          <w:bCs/>
          <w:sz w:val="20"/>
          <w:szCs w:val="20"/>
          <w:lang w:val="es-MX" w:eastAsia="es-CO"/>
        </w:rPr>
      </w:pPr>
    </w:p>
    <w:p w14:paraId="0ABA44CE" w14:textId="28A01241" w:rsidR="00D6685B" w:rsidRPr="00137E43" w:rsidRDefault="00D6685B" w:rsidP="001D7B22">
      <w:pPr>
        <w:spacing w:after="0" w:line="240" w:lineRule="auto"/>
        <w:contextualSpacing/>
        <w:jc w:val="both"/>
        <w:rPr>
          <w:rFonts w:ascii="Arial" w:eastAsia="Times New Roman" w:hAnsi="Arial" w:cs="Arial"/>
          <w:bCs/>
          <w:sz w:val="20"/>
          <w:szCs w:val="20"/>
          <w:lang w:val="es-MX" w:eastAsia="es-CO"/>
        </w:rPr>
      </w:pPr>
      <w:r w:rsidRPr="00137E43">
        <w:rPr>
          <w:rFonts w:ascii="Arial" w:eastAsia="Times New Roman" w:hAnsi="Arial" w:cs="Arial"/>
          <w:bCs/>
          <w:sz w:val="20"/>
          <w:szCs w:val="20"/>
          <w:lang w:val="es-MX" w:eastAsia="es-CO"/>
        </w:rPr>
        <w:t xml:space="preserve">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la selección </w:t>
      </w:r>
      <w:r w:rsidRPr="00137E43">
        <w:rPr>
          <w:rFonts w:ascii="Arial" w:eastAsia="Times New Roman" w:hAnsi="Arial" w:cs="Arial"/>
          <w:bCs/>
          <w:sz w:val="20"/>
          <w:szCs w:val="20"/>
          <w:lang w:val="es-MX" w:eastAsia="es-CO"/>
        </w:rPr>
        <w:lastRenderedPageBreak/>
        <w:t>abreviada y la mínima cuantía razón por la cual en ese período preelectoral de que trata la disposición las entidades públicas pueden seguir contratando bajo estos sistemas.</w:t>
      </w:r>
    </w:p>
    <w:p w14:paraId="26EE41AB" w14:textId="77777777" w:rsidR="00D6685B" w:rsidRPr="00020476" w:rsidRDefault="00D6685B" w:rsidP="001D7B22">
      <w:pPr>
        <w:spacing w:after="0" w:line="240" w:lineRule="auto"/>
        <w:contextualSpacing/>
        <w:jc w:val="both"/>
        <w:rPr>
          <w:rFonts w:ascii="Arial" w:eastAsia="Times New Roman" w:hAnsi="Arial" w:cs="Arial"/>
          <w:b/>
          <w:bCs/>
          <w:sz w:val="20"/>
          <w:szCs w:val="20"/>
          <w:lang w:val="es-MX" w:eastAsia="es-ES"/>
        </w:rPr>
      </w:pPr>
    </w:p>
    <w:p w14:paraId="1D5A04C1" w14:textId="77777777" w:rsidR="00D6685B" w:rsidRPr="00020476" w:rsidRDefault="00D6685B" w:rsidP="001D7B22">
      <w:pPr>
        <w:shd w:val="clear" w:color="auto" w:fill="FFFFFF"/>
        <w:spacing w:after="0" w:line="240" w:lineRule="auto"/>
        <w:contextualSpacing/>
        <w:jc w:val="both"/>
        <w:rPr>
          <w:rFonts w:ascii="Arial" w:eastAsia="Times New Roman" w:hAnsi="Arial" w:cs="Arial"/>
          <w:b/>
          <w:bCs/>
          <w:lang w:eastAsia="es-CO"/>
        </w:rPr>
      </w:pPr>
      <w:r w:rsidRPr="00020476">
        <w:rPr>
          <w:rFonts w:ascii="Arial" w:eastAsia="Times New Roman" w:hAnsi="Arial" w:cs="Arial"/>
          <w:b/>
          <w:bCs/>
          <w:lang w:eastAsia="es-CO"/>
        </w:rPr>
        <w:t xml:space="preserve">LEY DE GARANTÍAS ELECTORALES </w:t>
      </w:r>
      <w:r w:rsidRPr="00020476">
        <w:rPr>
          <w:rFonts w:ascii="Arial" w:eastAsia="Calibri" w:hAnsi="Arial" w:cs="Arial"/>
          <w:b/>
          <w:bCs/>
          <w:lang w:val="es-MX"/>
        </w:rPr>
        <w:t xml:space="preserve">─ Prohibición artículo 33 ‒ </w:t>
      </w:r>
      <w:r w:rsidRPr="00020476">
        <w:rPr>
          <w:rFonts w:ascii="Arial" w:eastAsia="Times New Roman" w:hAnsi="Arial" w:cs="Arial"/>
          <w:b/>
          <w:bCs/>
          <w:lang w:eastAsia="es-CO"/>
        </w:rPr>
        <w:t>Excepciones</w:t>
      </w:r>
    </w:p>
    <w:p w14:paraId="21752C78" w14:textId="77777777" w:rsidR="00D6685B" w:rsidRPr="00020476" w:rsidRDefault="00D6685B" w:rsidP="001D7B22">
      <w:pPr>
        <w:shd w:val="clear" w:color="auto" w:fill="FFFFFF"/>
        <w:spacing w:after="0" w:line="240" w:lineRule="auto"/>
        <w:contextualSpacing/>
        <w:jc w:val="both"/>
        <w:rPr>
          <w:rFonts w:ascii="Arial" w:eastAsia="Times New Roman" w:hAnsi="Arial" w:cs="Arial"/>
          <w:b/>
          <w:lang w:eastAsia="es-CO"/>
        </w:rPr>
      </w:pPr>
    </w:p>
    <w:p w14:paraId="2737AE98" w14:textId="77777777" w:rsidR="00D6685B" w:rsidRPr="000A4787" w:rsidRDefault="00D6685B" w:rsidP="001D7B22">
      <w:pPr>
        <w:tabs>
          <w:tab w:val="left" w:pos="426"/>
        </w:tabs>
        <w:spacing w:after="0" w:line="240" w:lineRule="auto"/>
        <w:contextualSpacing/>
        <w:jc w:val="both"/>
        <w:rPr>
          <w:rFonts w:ascii="Arial" w:eastAsia="Times New Roman" w:hAnsi="Arial" w:cs="Arial"/>
          <w:sz w:val="20"/>
          <w:szCs w:val="20"/>
          <w:lang w:eastAsia="x-none"/>
        </w:rPr>
      </w:pPr>
      <w:r w:rsidRPr="00020476">
        <w:rPr>
          <w:rFonts w:ascii="Arial" w:eastAsia="Times New Roman" w:hAnsi="Arial" w:cs="Arial"/>
          <w:sz w:val="20"/>
          <w:szCs w:val="20"/>
          <w:lang w:eastAsia="x-none"/>
        </w:rPr>
        <w:t xml:space="preserve">[…] </w:t>
      </w:r>
      <w:r w:rsidRPr="000A4787">
        <w:rPr>
          <w:rFonts w:ascii="Arial" w:eastAsia="Times New Roman" w:hAnsi="Arial" w:cs="Arial"/>
          <w:sz w:val="20"/>
          <w:szCs w:val="20"/>
          <w:lang w:eastAsia="x-none"/>
        </w:rPr>
        <w:t>,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E31BD23" w14:textId="77777777" w:rsidR="00D6685B" w:rsidRPr="00020476" w:rsidRDefault="00D6685B" w:rsidP="001D7B22">
      <w:pPr>
        <w:tabs>
          <w:tab w:val="left" w:pos="426"/>
        </w:tabs>
        <w:spacing w:after="0" w:line="240" w:lineRule="auto"/>
        <w:contextualSpacing/>
        <w:jc w:val="both"/>
        <w:rPr>
          <w:rFonts w:ascii="Arial" w:eastAsia="Calibri" w:hAnsi="Arial" w:cs="Arial"/>
          <w:noProof/>
          <w:sz w:val="20"/>
          <w:szCs w:val="20"/>
        </w:rPr>
      </w:pPr>
    </w:p>
    <w:p w14:paraId="753198DD" w14:textId="77777777" w:rsidR="00D6685B" w:rsidRPr="00020476" w:rsidRDefault="00D6685B" w:rsidP="001D7B22">
      <w:pPr>
        <w:spacing w:after="0" w:line="240" w:lineRule="auto"/>
        <w:contextualSpacing/>
        <w:jc w:val="both"/>
        <w:rPr>
          <w:rFonts w:ascii="Arial" w:eastAsia="Times New Roman" w:hAnsi="Arial" w:cs="Arial"/>
          <w:b/>
          <w:lang w:val="es-ES" w:eastAsia="es-CO"/>
        </w:rPr>
      </w:pPr>
      <w:r w:rsidRPr="00020476">
        <w:rPr>
          <w:rFonts w:ascii="Arial" w:eastAsia="Times New Roman" w:hAnsi="Arial" w:cs="Arial"/>
          <w:b/>
          <w:bCs/>
          <w:lang w:eastAsia="es-CO"/>
        </w:rPr>
        <w:t xml:space="preserve">LEY DE GARANTÍAS ELECTORALES </w:t>
      </w:r>
      <w:bookmarkStart w:id="1" w:name="_Hlk77166669"/>
      <w:r w:rsidRPr="00020476">
        <w:rPr>
          <w:rFonts w:ascii="Arial" w:eastAsia="Times New Roman" w:hAnsi="Arial" w:cs="Arial"/>
          <w:b/>
          <w:bCs/>
          <w:lang w:eastAsia="es-CO"/>
        </w:rPr>
        <w:t>‒</w:t>
      </w:r>
      <w:bookmarkEnd w:id="1"/>
      <w:r w:rsidRPr="00020476">
        <w:rPr>
          <w:rFonts w:ascii="Arial" w:eastAsia="Times New Roman" w:hAnsi="Arial" w:cs="Arial"/>
          <w:b/>
          <w:bCs/>
          <w:lang w:eastAsia="es-CO"/>
        </w:rPr>
        <w:t xml:space="preserve"> </w:t>
      </w:r>
      <w:r w:rsidRPr="00020476">
        <w:rPr>
          <w:rFonts w:ascii="Arial" w:eastAsia="Times New Roman" w:hAnsi="Arial" w:cs="Arial"/>
          <w:b/>
          <w:lang w:val="es-ES" w:eastAsia="es-CO"/>
        </w:rPr>
        <w:t xml:space="preserve">Prohibición del artículo 33 </w:t>
      </w:r>
      <w:r w:rsidRPr="00020476">
        <w:rPr>
          <w:rFonts w:ascii="Arial" w:eastAsia="Times New Roman" w:hAnsi="Arial" w:cs="Arial"/>
          <w:b/>
          <w:bCs/>
          <w:lang w:eastAsia="es-CO"/>
        </w:rPr>
        <w:t>‒ Destinatarios</w:t>
      </w:r>
    </w:p>
    <w:p w14:paraId="0AC25C7C" w14:textId="77777777" w:rsidR="00D6685B" w:rsidRPr="00020476" w:rsidRDefault="00D6685B" w:rsidP="001D7B22">
      <w:pPr>
        <w:tabs>
          <w:tab w:val="left" w:pos="426"/>
        </w:tabs>
        <w:spacing w:after="0" w:line="240" w:lineRule="auto"/>
        <w:contextualSpacing/>
        <w:jc w:val="both"/>
        <w:rPr>
          <w:rFonts w:ascii="Arial" w:eastAsia="Calibri" w:hAnsi="Arial" w:cs="Arial"/>
          <w:noProof/>
          <w:lang w:val="es-ES"/>
        </w:rPr>
      </w:pPr>
    </w:p>
    <w:p w14:paraId="5D62C0CF" w14:textId="77777777" w:rsidR="00D6685B" w:rsidRPr="00020476"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r w:rsidRPr="00020476">
        <w:rPr>
          <w:rFonts w:ascii="Arial" w:eastAsia="Times New Roman"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20476">
        <w:rPr>
          <w:rFonts w:ascii="Calibri" w:eastAsia="Calibri" w:hAnsi="Calibri" w:cs="Times New Roman"/>
          <w:sz w:val="20"/>
          <w:szCs w:val="20"/>
          <w:lang w:val="es-MX"/>
        </w:rPr>
        <w:t xml:space="preserve"> </w:t>
      </w:r>
      <w:r w:rsidRPr="00020476">
        <w:rPr>
          <w:rFonts w:ascii="Arial" w:eastAsia="Times New Roman" w:hAnsi="Arial" w:cs="Arial"/>
          <w:bCs/>
          <w:sz w:val="20"/>
          <w:szCs w:val="20"/>
          <w:lang w:val="es-MX" w:eastAsia="x-none"/>
        </w:rPr>
        <w:t>En efecto, tal como lo ha sostenido el Consejo de Estado, el vocablo «todos» utilizado por el legislador comprende</w:t>
      </w:r>
      <w:r w:rsidRPr="00020476">
        <w:rPr>
          <w:rFonts w:ascii="Calibri" w:eastAsia="Calibri" w:hAnsi="Calibri" w:cs="Times New Roman"/>
          <w:sz w:val="20"/>
          <w:szCs w:val="20"/>
          <w:lang w:val="es-MX"/>
        </w:rPr>
        <w:t xml:space="preserve"> </w:t>
      </w:r>
      <w:r w:rsidRPr="00020476">
        <w:rPr>
          <w:rFonts w:ascii="Arial" w:eastAsia="Times New Roman"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08BB525" w14:textId="77777777" w:rsidR="00D6685B" w:rsidRDefault="00D6685B" w:rsidP="001D7B22">
      <w:pPr>
        <w:tabs>
          <w:tab w:val="left" w:pos="0"/>
        </w:tabs>
        <w:spacing w:after="0" w:line="240" w:lineRule="auto"/>
        <w:contextualSpacing/>
        <w:jc w:val="both"/>
        <w:rPr>
          <w:rFonts w:ascii="Arial" w:eastAsia="Calibri" w:hAnsi="Arial" w:cs="Arial"/>
          <w:b/>
          <w:sz w:val="20"/>
          <w:szCs w:val="20"/>
          <w:lang w:val="es-ES" w:eastAsia="es-MX"/>
        </w:rPr>
      </w:pPr>
    </w:p>
    <w:p w14:paraId="7AB10E26" w14:textId="77777777" w:rsidR="00D6685B" w:rsidRDefault="00D6685B" w:rsidP="001D7B22">
      <w:pPr>
        <w:spacing w:after="0" w:line="240" w:lineRule="auto"/>
        <w:contextualSpacing/>
        <w:jc w:val="both"/>
        <w:rPr>
          <w:rFonts w:ascii="Arial" w:eastAsia="Calibri" w:hAnsi="Arial" w:cs="Arial"/>
          <w:b/>
          <w:bCs/>
          <w:lang w:val="es-MX"/>
        </w:rPr>
      </w:pPr>
      <w:r w:rsidRPr="00020476">
        <w:rPr>
          <w:rFonts w:ascii="Arial" w:eastAsia="Times New Roman" w:hAnsi="Arial" w:cs="Arial"/>
          <w:b/>
          <w:bCs/>
          <w:lang w:eastAsia="es-CO"/>
        </w:rPr>
        <w:t xml:space="preserve">LEY DE GARANTÍAS ELECTORALES ‒ </w:t>
      </w:r>
      <w:r w:rsidRPr="00020476">
        <w:rPr>
          <w:rFonts w:ascii="Arial" w:eastAsia="Times New Roman" w:hAnsi="Arial" w:cs="Arial"/>
          <w:b/>
          <w:lang w:val="es-ES" w:eastAsia="es-CO"/>
        </w:rPr>
        <w:t xml:space="preserve">Prohibición del </w:t>
      </w:r>
      <w:r>
        <w:rPr>
          <w:rFonts w:ascii="Arial" w:eastAsia="Times New Roman" w:hAnsi="Arial" w:cs="Arial"/>
          <w:b/>
          <w:lang w:val="es-ES" w:eastAsia="es-CO"/>
        </w:rPr>
        <w:t xml:space="preserve">parágrafo del </w:t>
      </w:r>
      <w:r w:rsidRPr="00020476">
        <w:rPr>
          <w:rFonts w:ascii="Arial" w:eastAsia="Times New Roman" w:hAnsi="Arial" w:cs="Arial"/>
          <w:b/>
          <w:lang w:val="es-ES" w:eastAsia="es-CO"/>
        </w:rPr>
        <w:t>artículo 3</w:t>
      </w:r>
      <w:r>
        <w:rPr>
          <w:rFonts w:ascii="Arial" w:eastAsia="Times New Roman" w:hAnsi="Arial" w:cs="Arial"/>
          <w:b/>
          <w:lang w:val="es-ES" w:eastAsia="es-CO"/>
        </w:rPr>
        <w:t>8</w:t>
      </w:r>
      <w:r w:rsidRPr="00020476">
        <w:rPr>
          <w:rFonts w:ascii="Arial" w:eastAsia="Times New Roman" w:hAnsi="Arial" w:cs="Arial"/>
          <w:b/>
          <w:lang w:val="es-ES" w:eastAsia="es-CO"/>
        </w:rPr>
        <w:t xml:space="preserve"> </w:t>
      </w:r>
      <w:r w:rsidRPr="00020476">
        <w:rPr>
          <w:rFonts w:ascii="Arial" w:eastAsia="Times New Roman" w:hAnsi="Arial" w:cs="Arial"/>
          <w:b/>
          <w:bCs/>
          <w:lang w:eastAsia="es-CO"/>
        </w:rPr>
        <w:t xml:space="preserve">‒ </w:t>
      </w:r>
      <w:r w:rsidRPr="00020476">
        <w:rPr>
          <w:rFonts w:ascii="Arial" w:eastAsia="Calibri" w:hAnsi="Arial" w:cs="Arial"/>
          <w:b/>
          <w:bCs/>
          <w:lang w:val="es-MX"/>
        </w:rPr>
        <w:t>Alcance</w:t>
      </w:r>
    </w:p>
    <w:p w14:paraId="7578D378" w14:textId="77777777" w:rsidR="00D6685B" w:rsidRPr="00020476" w:rsidRDefault="00D6685B" w:rsidP="001D7B22">
      <w:pPr>
        <w:spacing w:after="0" w:line="240" w:lineRule="auto"/>
        <w:contextualSpacing/>
        <w:jc w:val="both"/>
        <w:rPr>
          <w:rFonts w:ascii="Arial" w:eastAsia="Times New Roman" w:hAnsi="Arial" w:cs="Arial"/>
          <w:b/>
          <w:lang w:val="es-ES" w:eastAsia="es-CO"/>
        </w:rPr>
      </w:pPr>
    </w:p>
    <w:p w14:paraId="3755929D" w14:textId="77777777" w:rsidR="00D6685B"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r w:rsidRPr="000A4787">
        <w:rPr>
          <w:rFonts w:ascii="Arial" w:eastAsia="Times New Roman" w:hAnsi="Arial" w:cs="Arial"/>
          <w:bCs/>
          <w:sz w:val="20"/>
          <w:szCs w:val="20"/>
          <w:lang w:val="es-MX" w:eastAsia="x-none"/>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Pr>
          <w:rFonts w:ascii="Arial" w:eastAsia="Times New Roman" w:hAnsi="Arial" w:cs="Arial"/>
          <w:bCs/>
          <w:sz w:val="20"/>
          <w:szCs w:val="20"/>
          <w:lang w:val="es-MX" w:eastAsia="x-none"/>
        </w:rPr>
        <w:t xml:space="preserve">. </w:t>
      </w:r>
    </w:p>
    <w:p w14:paraId="68E659CA" w14:textId="77777777" w:rsidR="00D6685B"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p>
    <w:p w14:paraId="680F8288" w14:textId="77777777" w:rsidR="00D6685B" w:rsidRPr="00137E43"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r w:rsidRPr="00020476">
        <w:rPr>
          <w:rFonts w:ascii="Arial" w:eastAsia="Times New Roman" w:hAnsi="Arial" w:cs="Arial"/>
          <w:bCs/>
          <w:sz w:val="20"/>
          <w:szCs w:val="20"/>
          <w:lang w:val="es-MX" w:eastAsia="x-none"/>
        </w:rPr>
        <w:t>[…]</w:t>
      </w:r>
      <w:r w:rsidRPr="00F75248">
        <w:rPr>
          <w:rFonts w:ascii="Arial" w:eastAsia="Times New Roman" w:hAnsi="Arial" w:cs="Arial"/>
          <w:bCs/>
          <w:sz w:val="20"/>
          <w:szCs w:val="20"/>
          <w:lang w:val="es-MX" w:eastAsia="x-none"/>
        </w:rPr>
        <w:t xml:space="preserve"> </w:t>
      </w:r>
      <w:r w:rsidRPr="00137E43">
        <w:rPr>
          <w:rFonts w:ascii="Arial" w:eastAsia="Times New Roman" w:hAnsi="Arial" w:cs="Arial"/>
          <w:bCs/>
          <w:sz w:val="20"/>
          <w:szCs w:val="20"/>
          <w:lang w:val="es-MX" w:eastAsia="x-none"/>
        </w:rPr>
        <w:t>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usualmente utiliza estos conceptos de forma indistinta.</w:t>
      </w:r>
    </w:p>
    <w:p w14:paraId="360F87AE" w14:textId="77777777" w:rsidR="00D6685B"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p>
    <w:p w14:paraId="409B0D1C" w14:textId="77777777" w:rsidR="001577CA" w:rsidRDefault="001577CA">
      <w:pPr>
        <w:rPr>
          <w:rFonts w:ascii="Arial" w:eastAsia="Calibri" w:hAnsi="Arial" w:cs="Arial"/>
          <w:lang w:val="es-ES" w:eastAsia="es-MX"/>
        </w:rPr>
      </w:pPr>
      <w:r>
        <w:rPr>
          <w:rFonts w:ascii="Arial" w:eastAsia="Calibri" w:hAnsi="Arial" w:cs="Arial"/>
          <w:lang w:val="es-ES" w:eastAsia="es-MX"/>
        </w:rPr>
        <w:br w:type="page"/>
      </w:r>
    </w:p>
    <w:p w14:paraId="2925A23B" w14:textId="303BFE99" w:rsidR="007F2911" w:rsidRPr="00B9786E" w:rsidRDefault="007F2911" w:rsidP="007F2911">
      <w:pPr>
        <w:widowControl w:val="0"/>
        <w:spacing w:after="120"/>
        <w:rPr>
          <w:rFonts w:ascii="Arial" w:hAnsi="Arial" w:cs="Arial"/>
        </w:rPr>
      </w:pPr>
      <w:r w:rsidRPr="00B9786E">
        <w:rPr>
          <w:rFonts w:ascii="Arial" w:hAnsi="Arial" w:cs="Arial"/>
        </w:rPr>
        <w:lastRenderedPageBreak/>
        <w:t xml:space="preserve">Bogotá D.C., </w:t>
      </w:r>
      <w:r w:rsidR="00B9786E" w:rsidRPr="00B9786E">
        <w:rPr>
          <w:rFonts w:ascii="Arial" w:hAnsi="Arial" w:cs="Arial"/>
        </w:rPr>
        <w:t>4 de agosto de 2022</w:t>
      </w:r>
    </w:p>
    <w:p w14:paraId="23CD6A4E" w14:textId="77777777" w:rsidR="007F2911" w:rsidRDefault="007F2911" w:rsidP="007F2911">
      <w:pPr>
        <w:rPr>
          <w:rFonts w:ascii="Arial" w:hAnsi="Arial" w:cs="Arial"/>
          <w:b/>
        </w:rPr>
      </w:pPr>
    </w:p>
    <w:p w14:paraId="703D94F1" w14:textId="2A7999C1" w:rsidR="007F2911" w:rsidRDefault="00B9786E" w:rsidP="007F2911">
      <w:pPr>
        <w:jc w:val="both"/>
        <w:rPr>
          <w:rFonts w:ascii="Arial" w:hAnsi="Arial" w:cs="Arial"/>
        </w:rPr>
      </w:pPr>
      <w:r>
        <w:rPr>
          <w:noProof/>
          <w:lang w:eastAsia="es-CO"/>
        </w:rPr>
        <w:t xml:space="preserve">                                                                                   </w:t>
      </w:r>
      <w:bookmarkStart w:id="2" w:name="_GoBack"/>
      <w:bookmarkEnd w:id="2"/>
      <w:r>
        <w:rPr>
          <w:noProof/>
          <w:lang w:eastAsia="es-CO"/>
        </w:rPr>
        <w:drawing>
          <wp:inline distT="0" distB="0" distL="0" distR="0" wp14:anchorId="4B51B056" wp14:editId="17E6AF8E">
            <wp:extent cx="2975404" cy="82126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1703" t="45597" r="4956" b="38041"/>
                    <a:stretch/>
                  </pic:blipFill>
                  <pic:spPr bwMode="auto">
                    <a:xfrm>
                      <a:off x="0" y="0"/>
                      <a:ext cx="3015669" cy="832380"/>
                    </a:xfrm>
                    <a:prstGeom prst="rect">
                      <a:avLst/>
                    </a:prstGeom>
                    <a:ln>
                      <a:noFill/>
                    </a:ln>
                    <a:extLst>
                      <a:ext uri="{53640926-AAD7-44D8-BBD7-CCE9431645EC}">
                        <a14:shadowObscured xmlns:a14="http://schemas.microsoft.com/office/drawing/2010/main"/>
                      </a:ext>
                    </a:extLst>
                  </pic:spPr>
                </pic:pic>
              </a:graphicData>
            </a:graphic>
          </wp:inline>
        </w:drawing>
      </w:r>
    </w:p>
    <w:p w14:paraId="772627FA" w14:textId="4D651575" w:rsidR="0055440E" w:rsidRDefault="0055440E" w:rsidP="00517BC5">
      <w:pPr>
        <w:spacing w:after="0" w:line="240" w:lineRule="auto"/>
        <w:jc w:val="right"/>
        <w:rPr>
          <w:rFonts w:ascii="Arial" w:eastAsia="Calibri" w:hAnsi="Arial" w:cs="Arial"/>
          <w:lang w:val="es-ES" w:eastAsia="es-MX"/>
        </w:rPr>
      </w:pPr>
    </w:p>
    <w:p w14:paraId="4A6DB645" w14:textId="77777777" w:rsidR="0055440E" w:rsidRDefault="0055440E" w:rsidP="000F2CBB">
      <w:pPr>
        <w:spacing w:after="0" w:line="240" w:lineRule="auto"/>
        <w:rPr>
          <w:rFonts w:ascii="Arial" w:eastAsia="Calibri" w:hAnsi="Arial" w:cs="Arial"/>
          <w:lang w:val="es-ES" w:eastAsia="es-MX"/>
        </w:rPr>
      </w:pPr>
    </w:p>
    <w:p w14:paraId="24104B42" w14:textId="77777777" w:rsidR="0055440E" w:rsidRDefault="0055440E" w:rsidP="000F2CBB">
      <w:pPr>
        <w:spacing w:after="0" w:line="240" w:lineRule="auto"/>
        <w:rPr>
          <w:rFonts w:ascii="Arial" w:eastAsia="Calibri" w:hAnsi="Arial" w:cs="Arial"/>
          <w:lang w:val="es-ES" w:eastAsia="es-MX"/>
        </w:rPr>
      </w:pPr>
    </w:p>
    <w:p w14:paraId="783F835F" w14:textId="7B8F6723" w:rsidR="000F2CBB" w:rsidRPr="00517BC5" w:rsidRDefault="000F2CBB" w:rsidP="000F2CBB">
      <w:pPr>
        <w:spacing w:after="0" w:line="240" w:lineRule="auto"/>
        <w:rPr>
          <w:rFonts w:ascii="Arial" w:eastAsia="Calibri" w:hAnsi="Arial" w:cs="Arial"/>
          <w:lang w:val="es-ES" w:eastAsia="es-MX"/>
        </w:rPr>
      </w:pPr>
      <w:bookmarkStart w:id="3" w:name="_Hlk110508333"/>
      <w:r w:rsidRPr="00517BC5">
        <w:rPr>
          <w:rFonts w:ascii="Arial" w:eastAsia="Calibri" w:hAnsi="Arial" w:cs="Arial"/>
          <w:lang w:val="es-ES" w:eastAsia="es-MX"/>
        </w:rPr>
        <w:t>Señor</w:t>
      </w:r>
    </w:p>
    <w:p w14:paraId="60F7ECC0" w14:textId="66437EDE" w:rsidR="008D1E8F" w:rsidRPr="00517BC5" w:rsidRDefault="007F2911" w:rsidP="000F2CBB">
      <w:pPr>
        <w:spacing w:after="0" w:line="240" w:lineRule="auto"/>
        <w:rPr>
          <w:rFonts w:ascii="Arial" w:hAnsi="Arial" w:cs="Arial"/>
          <w:b/>
          <w:bCs/>
        </w:rPr>
      </w:pPr>
      <w:r>
        <w:rPr>
          <w:rFonts w:ascii="Arial" w:hAnsi="Arial" w:cs="Arial"/>
          <w:b/>
          <w:bCs/>
        </w:rPr>
        <w:t>AMILKAR RUBIO RODRIGUEZ</w:t>
      </w:r>
    </w:p>
    <w:p w14:paraId="7A53C661" w14:textId="03CF08E6" w:rsidR="005747DA" w:rsidRPr="00517BC5" w:rsidRDefault="007F2911" w:rsidP="000F2CBB">
      <w:pPr>
        <w:spacing w:after="0" w:line="240" w:lineRule="auto"/>
        <w:rPr>
          <w:rFonts w:ascii="Arial" w:eastAsia="Calibri" w:hAnsi="Arial" w:cs="Arial"/>
          <w:lang w:val="es-ES" w:eastAsia="es-MX"/>
        </w:rPr>
      </w:pPr>
      <w:r>
        <w:rPr>
          <w:rFonts w:ascii="Arial" w:hAnsi="Arial" w:cs="Arial"/>
        </w:rPr>
        <w:t>El Playón (Santander)</w:t>
      </w:r>
      <w:r w:rsidR="005747DA" w:rsidRPr="00517BC5">
        <w:rPr>
          <w:rFonts w:ascii="Arial" w:hAnsi="Arial" w:cs="Arial"/>
        </w:rPr>
        <w:t xml:space="preserve"> </w:t>
      </w:r>
    </w:p>
    <w:p w14:paraId="6AA29B92" w14:textId="743A4AD5" w:rsidR="000F2CBB" w:rsidRDefault="000F2CBB" w:rsidP="000F2CBB">
      <w:pPr>
        <w:spacing w:after="0" w:line="240" w:lineRule="auto"/>
        <w:rPr>
          <w:rFonts w:ascii="Arial" w:eastAsia="Calibri" w:hAnsi="Arial" w:cs="Arial"/>
          <w:lang w:val="es-ES" w:eastAsia="es-MX"/>
        </w:rPr>
      </w:pPr>
    </w:p>
    <w:p w14:paraId="7B55B394" w14:textId="77777777" w:rsidR="0055440E" w:rsidRPr="000F2CBB" w:rsidRDefault="0055440E" w:rsidP="000F2CBB">
      <w:pPr>
        <w:spacing w:after="0" w:line="240" w:lineRule="auto"/>
        <w:rPr>
          <w:rFonts w:ascii="Arial" w:eastAsia="Calibri" w:hAnsi="Arial" w:cs="Arial"/>
          <w:lang w:val="es-ES" w:eastAsia="es-MX"/>
        </w:rPr>
      </w:pPr>
    </w:p>
    <w:p w14:paraId="7B3727FF" w14:textId="77777777" w:rsidR="000F2CBB" w:rsidRPr="000F2CBB" w:rsidRDefault="000F2CBB" w:rsidP="000F2CBB">
      <w:pPr>
        <w:spacing w:after="0" w:line="240" w:lineRule="auto"/>
        <w:rPr>
          <w:rFonts w:ascii="Arial" w:eastAsia="Calibri" w:hAnsi="Arial" w:cs="Arial"/>
          <w:b/>
          <w:lang w:val="es-ES" w:eastAsia="es-MX"/>
        </w:rPr>
      </w:pPr>
    </w:p>
    <w:p w14:paraId="0E065A6D" w14:textId="104CC97C" w:rsidR="000F2CBB" w:rsidRPr="00C65DD8" w:rsidRDefault="000F2CBB" w:rsidP="00C65DD8">
      <w:pPr>
        <w:spacing w:after="0" w:line="276" w:lineRule="auto"/>
        <w:jc w:val="center"/>
        <w:rPr>
          <w:rFonts w:ascii="Arial" w:eastAsia="Calibri" w:hAnsi="Arial" w:cs="Arial"/>
          <w:b/>
          <w:color w:val="000000" w:themeColor="text1"/>
          <w:szCs w:val="24"/>
          <w:lang w:val="es-ES_tradnl" w:eastAsia="es-ES_tradnl"/>
        </w:rPr>
      </w:pPr>
      <w:r w:rsidRPr="00C65DD8">
        <w:rPr>
          <w:rFonts w:ascii="Arial" w:eastAsia="Calibri" w:hAnsi="Arial" w:cs="Arial"/>
          <w:b/>
          <w:color w:val="000000" w:themeColor="text1"/>
          <w:szCs w:val="24"/>
          <w:lang w:val="es-ES_tradnl" w:eastAsia="es-ES_tradnl"/>
        </w:rPr>
        <w:t xml:space="preserve">Concepto C – </w:t>
      </w:r>
      <w:r w:rsidR="007F2911" w:rsidRPr="00C65DD8">
        <w:rPr>
          <w:rFonts w:ascii="Arial" w:eastAsia="Calibri" w:hAnsi="Arial" w:cs="Arial"/>
          <w:b/>
          <w:color w:val="000000" w:themeColor="text1"/>
          <w:szCs w:val="24"/>
          <w:lang w:val="es-ES_tradnl" w:eastAsia="es-ES_tradnl"/>
        </w:rPr>
        <w:t>503</w:t>
      </w:r>
      <w:r w:rsidRPr="00C65DD8">
        <w:rPr>
          <w:rFonts w:ascii="Arial" w:eastAsia="Calibri" w:hAnsi="Arial" w:cs="Arial"/>
          <w:b/>
          <w:color w:val="000000" w:themeColor="text1"/>
          <w:szCs w:val="24"/>
          <w:lang w:val="es-ES_tradnl" w:eastAsia="es-ES_tradnl"/>
        </w:rPr>
        <w:t xml:space="preserve"> de 2022</w:t>
      </w:r>
    </w:p>
    <w:p w14:paraId="24C7B395" w14:textId="77777777" w:rsidR="000F2CBB" w:rsidRPr="000F2CBB" w:rsidRDefault="000F2CBB" w:rsidP="000F2CBB">
      <w:pPr>
        <w:spacing w:after="0" w:line="240" w:lineRule="auto"/>
        <w:rPr>
          <w:rFonts w:ascii="Arial" w:eastAsia="Calibri" w:hAnsi="Arial" w:cs="Arial"/>
          <w:b/>
          <w:lang w:val="es-ES" w:eastAsia="es-MX"/>
        </w:rPr>
      </w:pPr>
    </w:p>
    <w:tbl>
      <w:tblPr>
        <w:tblStyle w:val="Tablaconcuadrcula4"/>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F2CBB" w:rsidRPr="000F2CBB" w14:paraId="20B48D50" w14:textId="77777777" w:rsidTr="008E405F">
        <w:trPr>
          <w:trHeight w:val="550"/>
        </w:trPr>
        <w:tc>
          <w:tcPr>
            <w:tcW w:w="2689" w:type="dxa"/>
          </w:tcPr>
          <w:p w14:paraId="1C412682" w14:textId="77777777" w:rsidR="000F2CBB" w:rsidRPr="000F2CBB" w:rsidRDefault="000F2CBB" w:rsidP="000F2CBB">
            <w:pPr>
              <w:rPr>
                <w:rFonts w:ascii="Arial" w:eastAsia="Calibri" w:hAnsi="Arial" w:cs="Arial"/>
                <w:lang w:val="es-ES" w:eastAsia="es-MX"/>
              </w:rPr>
            </w:pPr>
            <w:r w:rsidRPr="000F2CBB">
              <w:rPr>
                <w:rFonts w:ascii="Arial" w:eastAsia="Calibri" w:hAnsi="Arial" w:cs="Arial"/>
                <w:b/>
                <w:lang w:val="es-ES" w:eastAsia="es-MX"/>
              </w:rPr>
              <w:t>Temas:</w:t>
            </w:r>
            <w:r w:rsidRPr="000F2CBB">
              <w:rPr>
                <w:rFonts w:ascii="Arial" w:eastAsia="Calibri" w:hAnsi="Arial" w:cs="Arial"/>
                <w:lang w:val="es-ES" w:eastAsia="es-MX"/>
              </w:rPr>
              <w:t xml:space="preserve">                                      </w:t>
            </w:r>
          </w:p>
        </w:tc>
        <w:tc>
          <w:tcPr>
            <w:tcW w:w="6237" w:type="dxa"/>
          </w:tcPr>
          <w:p w14:paraId="0A6F18BB" w14:textId="77777777" w:rsidR="000F2CBB" w:rsidRPr="000F2CBB" w:rsidRDefault="000F2CBB" w:rsidP="000F2CBB">
            <w:pPr>
              <w:jc w:val="right"/>
              <w:rPr>
                <w:rFonts w:ascii="Arial" w:eastAsia="Times New Roman" w:hAnsi="Arial" w:cs="Arial"/>
                <w:bCs/>
                <w:sz w:val="16"/>
                <w:szCs w:val="16"/>
                <w:lang w:val="es-ES" w:eastAsia="es-ES"/>
              </w:rPr>
            </w:pPr>
          </w:p>
          <w:p w14:paraId="61F849DE" w14:textId="77777777" w:rsidR="00DE0FDC" w:rsidRDefault="00E524E0" w:rsidP="007F2911">
            <w:pPr>
              <w:jc w:val="both"/>
              <w:rPr>
                <w:rFonts w:ascii="Arial" w:eastAsia="Calibri" w:hAnsi="Arial" w:cs="Arial"/>
                <w:bCs/>
                <w:lang w:val="es-MX"/>
              </w:rPr>
            </w:pPr>
            <w:r w:rsidRPr="00F010A2">
              <w:rPr>
                <w:rFonts w:ascii="Arial" w:eastAsia="Calibri" w:hAnsi="Arial" w:cs="Arial"/>
                <w:bCs/>
                <w:lang w:val="es-MX" w:eastAsia="es-MX"/>
              </w:rPr>
              <w:t>LEY DE GARANTÍAS ELECTORALES – Naturaleza Jurídica</w:t>
            </w:r>
            <w:r w:rsidRPr="00E524E0">
              <w:rPr>
                <w:rFonts w:ascii="Arial" w:eastAsia="Calibri" w:hAnsi="Arial" w:cs="Arial"/>
                <w:bCs/>
                <w:lang w:val="es-MX" w:eastAsia="es-MX"/>
              </w:rPr>
              <w:t xml:space="preserve"> / </w:t>
            </w:r>
            <w:r w:rsidRPr="00F010A2">
              <w:rPr>
                <w:rFonts w:ascii="Arial" w:eastAsia="Calibri" w:hAnsi="Arial" w:cs="Arial"/>
                <w:bCs/>
                <w:lang w:val="es-MX" w:eastAsia="es-MX"/>
              </w:rPr>
              <w:t xml:space="preserve">LEY DE GARANTÍAS ELECTORALES – Prohibiciones </w:t>
            </w:r>
            <w:r w:rsidRPr="00E524E0">
              <w:rPr>
                <w:rFonts w:ascii="Arial" w:eastAsia="Calibri" w:hAnsi="Arial" w:cs="Arial"/>
                <w:bCs/>
                <w:lang w:val="es-MX" w:eastAsia="es-MX"/>
              </w:rPr>
              <w:t xml:space="preserve">/ </w:t>
            </w:r>
            <w:r w:rsidRPr="00020476">
              <w:rPr>
                <w:rFonts w:ascii="Arial" w:eastAsia="Calibri" w:hAnsi="Arial" w:cs="Arial"/>
                <w:bCs/>
                <w:lang w:val="es-MX"/>
              </w:rPr>
              <w:t xml:space="preserve">LEY DE GARANTÍAS ELECTORALES ─ Prohibición artículo 33 ‒ Contratación directa ‒ Alcance </w:t>
            </w:r>
            <w:r w:rsidRPr="00E524E0">
              <w:rPr>
                <w:rFonts w:ascii="Arial" w:eastAsia="Calibri" w:hAnsi="Arial" w:cs="Arial"/>
                <w:bCs/>
                <w:lang w:val="es-MX"/>
              </w:rPr>
              <w:t xml:space="preserve">/ </w:t>
            </w:r>
            <w:r w:rsidRPr="00020476">
              <w:rPr>
                <w:rFonts w:ascii="Arial" w:eastAsia="Times New Roman" w:hAnsi="Arial" w:cs="Arial"/>
                <w:bCs/>
                <w:lang w:eastAsia="es-CO"/>
              </w:rPr>
              <w:t xml:space="preserve">LEY DE GARANTÍAS ELECTORALES </w:t>
            </w:r>
            <w:r w:rsidRPr="00020476">
              <w:rPr>
                <w:rFonts w:ascii="Arial" w:eastAsia="Calibri" w:hAnsi="Arial" w:cs="Arial"/>
                <w:bCs/>
                <w:lang w:val="es-MX"/>
              </w:rPr>
              <w:t xml:space="preserve">─ Prohibición artículo 33 ‒ </w:t>
            </w:r>
            <w:r w:rsidRPr="00020476">
              <w:rPr>
                <w:rFonts w:ascii="Arial" w:eastAsia="Times New Roman" w:hAnsi="Arial" w:cs="Arial"/>
                <w:bCs/>
                <w:lang w:eastAsia="es-CO"/>
              </w:rPr>
              <w:t>Excepciones</w:t>
            </w:r>
            <w:r w:rsidRPr="00E524E0">
              <w:rPr>
                <w:rFonts w:ascii="Arial" w:eastAsia="Times New Roman" w:hAnsi="Arial" w:cs="Arial"/>
                <w:bCs/>
                <w:lang w:eastAsia="es-CO"/>
              </w:rPr>
              <w:t xml:space="preserve"> / </w:t>
            </w:r>
            <w:r w:rsidRPr="00020476">
              <w:rPr>
                <w:rFonts w:ascii="Arial" w:eastAsia="Times New Roman" w:hAnsi="Arial" w:cs="Arial"/>
                <w:bCs/>
                <w:lang w:eastAsia="es-CO"/>
              </w:rPr>
              <w:t xml:space="preserve">LEY DE GARANTÍAS ELECTORALES ‒ </w:t>
            </w:r>
            <w:r w:rsidRPr="00020476">
              <w:rPr>
                <w:rFonts w:ascii="Arial" w:eastAsia="Times New Roman" w:hAnsi="Arial" w:cs="Arial"/>
                <w:bCs/>
                <w:lang w:val="es-ES" w:eastAsia="es-CO"/>
              </w:rPr>
              <w:t xml:space="preserve">Prohibición del artículo 33 </w:t>
            </w:r>
            <w:r w:rsidRPr="00020476">
              <w:rPr>
                <w:rFonts w:ascii="Arial" w:eastAsia="Times New Roman" w:hAnsi="Arial" w:cs="Arial"/>
                <w:bCs/>
                <w:lang w:eastAsia="es-CO"/>
              </w:rPr>
              <w:t>‒ Destinatarios</w:t>
            </w:r>
            <w:r w:rsidRPr="00E524E0">
              <w:rPr>
                <w:rFonts w:ascii="Arial" w:eastAsia="Times New Roman" w:hAnsi="Arial" w:cs="Arial"/>
                <w:bCs/>
                <w:lang w:eastAsia="es-CO"/>
              </w:rPr>
              <w:t xml:space="preserve"> / </w:t>
            </w:r>
            <w:r w:rsidRPr="00020476">
              <w:rPr>
                <w:rFonts w:ascii="Arial" w:eastAsia="Times New Roman" w:hAnsi="Arial" w:cs="Arial"/>
                <w:bCs/>
                <w:lang w:eastAsia="es-CO"/>
              </w:rPr>
              <w:t xml:space="preserve">LEY DE GARANTÍAS ELECTORALES ‒ </w:t>
            </w:r>
            <w:r w:rsidRPr="00020476">
              <w:rPr>
                <w:rFonts w:ascii="Arial" w:eastAsia="Times New Roman" w:hAnsi="Arial" w:cs="Arial"/>
                <w:bCs/>
                <w:lang w:val="es-ES" w:eastAsia="es-CO"/>
              </w:rPr>
              <w:t xml:space="preserve">Prohibición del </w:t>
            </w:r>
            <w:r w:rsidRPr="00E524E0">
              <w:rPr>
                <w:rFonts w:ascii="Arial" w:eastAsia="Times New Roman" w:hAnsi="Arial" w:cs="Arial"/>
                <w:bCs/>
                <w:lang w:val="es-ES" w:eastAsia="es-CO"/>
              </w:rPr>
              <w:t xml:space="preserve">parágrafo del </w:t>
            </w:r>
            <w:r w:rsidRPr="00020476">
              <w:rPr>
                <w:rFonts w:ascii="Arial" w:eastAsia="Times New Roman" w:hAnsi="Arial" w:cs="Arial"/>
                <w:bCs/>
                <w:lang w:val="es-ES" w:eastAsia="es-CO"/>
              </w:rPr>
              <w:t>artículo 3</w:t>
            </w:r>
            <w:r w:rsidRPr="00E524E0">
              <w:rPr>
                <w:rFonts w:ascii="Arial" w:eastAsia="Times New Roman" w:hAnsi="Arial" w:cs="Arial"/>
                <w:bCs/>
                <w:lang w:val="es-ES" w:eastAsia="es-CO"/>
              </w:rPr>
              <w:t>8</w:t>
            </w:r>
            <w:r w:rsidRPr="00020476">
              <w:rPr>
                <w:rFonts w:ascii="Arial" w:eastAsia="Times New Roman" w:hAnsi="Arial" w:cs="Arial"/>
                <w:bCs/>
                <w:lang w:val="es-ES" w:eastAsia="es-CO"/>
              </w:rPr>
              <w:t xml:space="preserve"> </w:t>
            </w:r>
            <w:r w:rsidRPr="00020476">
              <w:rPr>
                <w:rFonts w:ascii="Arial" w:eastAsia="Times New Roman" w:hAnsi="Arial" w:cs="Arial"/>
                <w:bCs/>
                <w:lang w:eastAsia="es-CO"/>
              </w:rPr>
              <w:t xml:space="preserve">‒ </w:t>
            </w:r>
            <w:r w:rsidRPr="00020476">
              <w:rPr>
                <w:rFonts w:ascii="Arial" w:eastAsia="Calibri" w:hAnsi="Arial" w:cs="Arial"/>
                <w:bCs/>
                <w:lang w:val="es-MX"/>
              </w:rPr>
              <w:t>Alcance</w:t>
            </w:r>
            <w:r w:rsidR="007F2911">
              <w:rPr>
                <w:rFonts w:ascii="Arial" w:eastAsia="Calibri" w:hAnsi="Arial" w:cs="Arial"/>
                <w:bCs/>
                <w:lang w:val="es-MX"/>
              </w:rPr>
              <w:t xml:space="preserve"> </w:t>
            </w:r>
          </w:p>
          <w:p w14:paraId="631466B1" w14:textId="0B449AEE" w:rsidR="007F2911" w:rsidRPr="000F2CBB" w:rsidRDefault="007F2911" w:rsidP="007F2911">
            <w:pPr>
              <w:jc w:val="both"/>
              <w:rPr>
                <w:rFonts w:ascii="Arial" w:eastAsia="Calibri" w:hAnsi="Arial" w:cs="Arial"/>
                <w:bCs/>
                <w:lang w:eastAsia="es-MX"/>
              </w:rPr>
            </w:pPr>
          </w:p>
        </w:tc>
      </w:tr>
      <w:tr w:rsidR="000F2CBB" w:rsidRPr="000F2CBB" w14:paraId="436DD6A7" w14:textId="77777777" w:rsidTr="008E405F">
        <w:tc>
          <w:tcPr>
            <w:tcW w:w="2689" w:type="dxa"/>
          </w:tcPr>
          <w:p w14:paraId="499DF6F3" w14:textId="77777777" w:rsidR="000F2CBB" w:rsidRPr="000F2CBB" w:rsidRDefault="000F2CBB" w:rsidP="000F2CBB">
            <w:pPr>
              <w:rPr>
                <w:rFonts w:ascii="Arial" w:eastAsia="Calibri" w:hAnsi="Arial" w:cs="Arial"/>
                <w:lang w:val="es-ES" w:eastAsia="es-MX"/>
              </w:rPr>
            </w:pPr>
            <w:r w:rsidRPr="000F2CBB">
              <w:rPr>
                <w:rFonts w:ascii="Arial" w:eastAsia="Calibri" w:hAnsi="Arial" w:cs="Arial"/>
                <w:b/>
                <w:lang w:val="es-ES" w:eastAsia="es-MX"/>
              </w:rPr>
              <w:t>Radicación:</w:t>
            </w:r>
            <w:r w:rsidRPr="000F2CBB">
              <w:rPr>
                <w:rFonts w:ascii="Arial" w:eastAsia="Calibri" w:hAnsi="Arial" w:cs="Arial"/>
                <w:lang w:val="es-ES" w:eastAsia="es-MX"/>
              </w:rPr>
              <w:t xml:space="preserve">                              </w:t>
            </w:r>
          </w:p>
        </w:tc>
        <w:tc>
          <w:tcPr>
            <w:tcW w:w="6237" w:type="dxa"/>
          </w:tcPr>
          <w:p w14:paraId="4C17ADA8" w14:textId="43ACDC3F" w:rsidR="000F2CBB" w:rsidRPr="000F2CBB" w:rsidRDefault="000F2CBB" w:rsidP="000F2CBB">
            <w:pPr>
              <w:rPr>
                <w:rFonts w:ascii="Arial" w:eastAsia="Calibri" w:hAnsi="Arial" w:cs="Arial"/>
                <w:lang w:val="es-ES" w:eastAsia="es-MX"/>
              </w:rPr>
            </w:pPr>
            <w:r w:rsidRPr="000F2CBB">
              <w:rPr>
                <w:rFonts w:ascii="Arial" w:eastAsia="Calibri" w:hAnsi="Arial" w:cs="Arial"/>
                <w:lang w:val="es-ES" w:eastAsia="es-MX"/>
              </w:rPr>
              <w:t xml:space="preserve">Respuesta a consulta </w:t>
            </w:r>
            <w:r w:rsidR="00C631C0" w:rsidRPr="00C631C0">
              <w:rPr>
                <w:rFonts w:ascii="Arial" w:eastAsia="Calibri" w:hAnsi="Arial" w:cs="Arial"/>
                <w:lang w:val="es-ES" w:eastAsia="es-MX"/>
              </w:rPr>
              <w:t>P20220622006186</w:t>
            </w:r>
          </w:p>
        </w:tc>
      </w:tr>
    </w:tbl>
    <w:p w14:paraId="67D0AF97" w14:textId="77777777" w:rsidR="000F2CBB" w:rsidRPr="000F2CBB" w:rsidRDefault="000F2CBB" w:rsidP="000F2CBB">
      <w:pPr>
        <w:spacing w:after="0" w:line="276" w:lineRule="auto"/>
        <w:rPr>
          <w:rFonts w:ascii="Arial" w:eastAsia="Calibri" w:hAnsi="Arial" w:cs="Arial"/>
          <w:lang w:val="es-ES" w:eastAsia="es-MX"/>
        </w:rPr>
      </w:pPr>
    </w:p>
    <w:p w14:paraId="4BED1569" w14:textId="21D72BAE" w:rsidR="000F2CBB" w:rsidRDefault="000F2CBB" w:rsidP="000F2CBB">
      <w:pPr>
        <w:spacing w:after="0" w:line="276" w:lineRule="auto"/>
        <w:rPr>
          <w:rFonts w:ascii="Arial" w:eastAsia="Calibri" w:hAnsi="Arial" w:cs="Arial"/>
          <w:lang w:val="es-ES" w:eastAsia="es-MX"/>
        </w:rPr>
      </w:pPr>
    </w:p>
    <w:p w14:paraId="56B36FE0" w14:textId="77777777" w:rsidR="0055440E" w:rsidRPr="000F2CBB" w:rsidRDefault="0055440E" w:rsidP="000F2CBB">
      <w:pPr>
        <w:spacing w:after="0" w:line="276" w:lineRule="auto"/>
        <w:rPr>
          <w:rFonts w:ascii="Arial" w:eastAsia="Calibri" w:hAnsi="Arial" w:cs="Arial"/>
          <w:lang w:val="es-ES" w:eastAsia="es-MX"/>
        </w:rPr>
      </w:pPr>
    </w:p>
    <w:p w14:paraId="615B4A03" w14:textId="5DBACF49" w:rsidR="000F2CBB" w:rsidRPr="000F2CBB" w:rsidRDefault="00DE0FDC" w:rsidP="00002F83">
      <w:pPr>
        <w:tabs>
          <w:tab w:val="left" w:pos="3736"/>
        </w:tabs>
        <w:spacing w:after="0" w:line="276" w:lineRule="auto"/>
        <w:rPr>
          <w:rFonts w:ascii="Arial" w:eastAsia="Calibri" w:hAnsi="Arial" w:cs="Arial"/>
          <w:lang w:val="es-ES" w:eastAsia="es-MX"/>
        </w:rPr>
      </w:pPr>
      <w:r w:rsidRPr="000F2CBB">
        <w:rPr>
          <w:rFonts w:ascii="Arial" w:eastAsia="Calibri" w:hAnsi="Arial" w:cs="Arial"/>
          <w:lang w:val="es-ES" w:eastAsia="es-MX"/>
        </w:rPr>
        <w:t>Estimado señor</w:t>
      </w:r>
      <w:r w:rsidR="00C631C0">
        <w:rPr>
          <w:rFonts w:ascii="Arial" w:eastAsia="Calibri" w:hAnsi="Arial" w:cs="Arial"/>
          <w:lang w:val="es-ES" w:eastAsia="es-MX"/>
        </w:rPr>
        <w:t xml:space="preserve"> Rubio</w:t>
      </w:r>
      <w:r w:rsidR="000F2CBB" w:rsidRPr="000F2CBB">
        <w:rPr>
          <w:rFonts w:ascii="Arial" w:eastAsia="Calibri" w:hAnsi="Arial" w:cs="Arial"/>
          <w:lang w:val="es-ES" w:eastAsia="es-MX"/>
        </w:rPr>
        <w:t>:</w:t>
      </w:r>
      <w:r w:rsidR="000F2CBB" w:rsidRPr="000F2CBB">
        <w:rPr>
          <w:rFonts w:ascii="Arial" w:eastAsia="Calibri" w:hAnsi="Arial" w:cs="Arial"/>
          <w:lang w:val="es-ES" w:eastAsia="es-MX"/>
        </w:rPr>
        <w:tab/>
      </w:r>
    </w:p>
    <w:p w14:paraId="06335260" w14:textId="77777777" w:rsidR="000F2CBB" w:rsidRPr="000F2CBB" w:rsidRDefault="000F2CBB" w:rsidP="00002F83">
      <w:pPr>
        <w:spacing w:after="0" w:line="276" w:lineRule="auto"/>
        <w:rPr>
          <w:rFonts w:ascii="Arial" w:eastAsia="Calibri" w:hAnsi="Arial" w:cs="Arial"/>
          <w:lang w:val="es-ES" w:eastAsia="es-MX"/>
        </w:rPr>
      </w:pPr>
    </w:p>
    <w:p w14:paraId="79EBD4F5" w14:textId="16F63B03" w:rsidR="000F2CBB" w:rsidRPr="00002F83" w:rsidRDefault="000F2CBB" w:rsidP="00002F83">
      <w:pPr>
        <w:spacing w:after="0" w:line="276" w:lineRule="auto"/>
        <w:jc w:val="both"/>
        <w:rPr>
          <w:rFonts w:ascii="Arial" w:eastAsia="Calibri" w:hAnsi="Arial" w:cs="Arial"/>
          <w:color w:val="000000" w:themeColor="text1"/>
          <w:lang w:val="es-ES_tradnl"/>
        </w:rPr>
      </w:pPr>
      <w:r w:rsidRPr="000F2CBB">
        <w:rPr>
          <w:rFonts w:ascii="Arial" w:eastAsia="Calibri" w:hAnsi="Arial" w:cs="Arial"/>
          <w:lang w:val="es-ES" w:eastAsia="es-MX"/>
        </w:rPr>
        <w:t xml:space="preserve">La Agencia Nacional de Contratación Pública – Colombia Compra Eficiente, en ejercicio de la competencia otorgada por el numeral 8 del artículo 11 y el numeral 5 del artículo 3 del Decreto Ley 4170 de 2011, responde su consulta </w:t>
      </w:r>
      <w:r w:rsidR="00C631C0">
        <w:rPr>
          <w:rFonts w:ascii="Arial" w:eastAsia="Calibri" w:hAnsi="Arial" w:cs="Arial"/>
          <w:color w:val="000000" w:themeColor="text1"/>
          <w:lang w:val="es-ES_tradnl"/>
        </w:rPr>
        <w:t xml:space="preserve">de acuerdo con el traslado </w:t>
      </w:r>
      <w:r w:rsidR="00C631C0" w:rsidRPr="003A66B5">
        <w:rPr>
          <w:rFonts w:ascii="Arial" w:eastAsia="Calibri" w:hAnsi="Arial" w:cs="Arial"/>
          <w:color w:val="000000" w:themeColor="text1"/>
          <w:lang w:val="es-ES_tradnl"/>
        </w:rPr>
        <w:t xml:space="preserve">por competencia realizado en virtud del artículo 21 de la Ley 1437 de 2011 por </w:t>
      </w:r>
      <w:r w:rsidR="00C631C0">
        <w:rPr>
          <w:rFonts w:ascii="Arial" w:eastAsia="Calibri" w:hAnsi="Arial" w:cs="Arial"/>
          <w:color w:val="000000" w:themeColor="text1"/>
          <w:lang w:val="es-ES_tradnl"/>
        </w:rPr>
        <w:t>el Departamento Administrativo de la Función Pública</w:t>
      </w:r>
      <w:r w:rsidR="00C631C0" w:rsidRPr="003A66B5">
        <w:rPr>
          <w:rFonts w:ascii="Arial" w:eastAsia="Calibri" w:hAnsi="Arial" w:cs="Arial"/>
          <w:color w:val="000000" w:themeColor="text1"/>
          <w:lang w:val="es-ES_tradnl"/>
        </w:rPr>
        <w:t>, m</w:t>
      </w:r>
      <w:r w:rsidR="00C631C0">
        <w:rPr>
          <w:rFonts w:ascii="Arial" w:eastAsia="Calibri" w:hAnsi="Arial" w:cs="Arial"/>
          <w:color w:val="000000" w:themeColor="text1"/>
          <w:lang w:val="es-ES_tradnl"/>
        </w:rPr>
        <w:t>ediante el radicado</w:t>
      </w:r>
      <w:r w:rsidR="00C631C0" w:rsidRPr="003A66B5">
        <w:rPr>
          <w:rFonts w:ascii="Arial" w:eastAsia="Calibri" w:hAnsi="Arial" w:cs="Arial"/>
          <w:color w:val="000000" w:themeColor="text1"/>
          <w:lang w:val="es-ES_tradnl"/>
        </w:rPr>
        <w:t xml:space="preserve"> No. </w:t>
      </w:r>
      <w:r w:rsidR="00C631C0">
        <w:rPr>
          <w:rFonts w:ascii="Arial" w:eastAsia="Calibri" w:hAnsi="Arial" w:cs="Arial"/>
          <w:color w:val="000000" w:themeColor="text1"/>
          <w:lang w:val="es-ES_tradnl"/>
        </w:rPr>
        <w:t>20226000213361 del 09 de junio</w:t>
      </w:r>
      <w:r w:rsidR="00C631C0" w:rsidRPr="003A66B5">
        <w:rPr>
          <w:rFonts w:ascii="Arial" w:eastAsia="Calibri" w:hAnsi="Arial" w:cs="Arial"/>
          <w:color w:val="000000" w:themeColor="text1"/>
          <w:lang w:val="es-ES_tradnl"/>
        </w:rPr>
        <w:t xml:space="preserve"> de 2022.</w:t>
      </w:r>
    </w:p>
    <w:p w14:paraId="0E5051EB" w14:textId="77777777" w:rsidR="00310516" w:rsidRPr="00C512B3" w:rsidRDefault="00310516" w:rsidP="00002F83">
      <w:pPr>
        <w:tabs>
          <w:tab w:val="left" w:pos="284"/>
        </w:tabs>
        <w:spacing w:after="0" w:line="276" w:lineRule="auto"/>
        <w:jc w:val="both"/>
        <w:rPr>
          <w:rFonts w:ascii="Arial" w:eastAsia="Calibri" w:hAnsi="Arial" w:cs="Arial"/>
          <w:b/>
        </w:rPr>
      </w:pPr>
    </w:p>
    <w:p w14:paraId="10523910" w14:textId="34B7E81C" w:rsidR="004C02D8" w:rsidRPr="00C512B3" w:rsidRDefault="004C02D8" w:rsidP="00002F83">
      <w:pPr>
        <w:tabs>
          <w:tab w:val="left" w:pos="284"/>
        </w:tabs>
        <w:spacing w:after="0" w:line="276" w:lineRule="auto"/>
        <w:jc w:val="both"/>
        <w:rPr>
          <w:rFonts w:ascii="Arial" w:eastAsia="Calibri" w:hAnsi="Arial" w:cs="Arial"/>
          <w:b/>
        </w:rPr>
      </w:pPr>
      <w:r w:rsidRPr="00C512B3">
        <w:rPr>
          <w:rFonts w:ascii="Arial" w:eastAsia="Calibri" w:hAnsi="Arial" w:cs="Arial"/>
          <w:b/>
        </w:rPr>
        <w:t xml:space="preserve">1. Problemas planteados </w:t>
      </w:r>
    </w:p>
    <w:p w14:paraId="3D63CB5E" w14:textId="77777777" w:rsidR="004C02D8" w:rsidRPr="00C512B3" w:rsidRDefault="004C02D8" w:rsidP="00002F83">
      <w:pPr>
        <w:tabs>
          <w:tab w:val="left" w:pos="284"/>
        </w:tabs>
        <w:spacing w:after="0" w:line="276" w:lineRule="auto"/>
        <w:ind w:firstLine="709"/>
        <w:contextualSpacing/>
        <w:jc w:val="both"/>
        <w:rPr>
          <w:rFonts w:ascii="Arial" w:eastAsia="Calibri" w:hAnsi="Arial" w:cs="Arial"/>
          <w:b/>
        </w:rPr>
      </w:pPr>
    </w:p>
    <w:p w14:paraId="1A963186" w14:textId="77AAB36D" w:rsidR="005E5771" w:rsidRDefault="005E5771" w:rsidP="00002F83">
      <w:pPr>
        <w:spacing w:after="0" w:line="276" w:lineRule="auto"/>
        <w:jc w:val="both"/>
        <w:rPr>
          <w:rFonts w:ascii="Arial" w:hAnsi="Arial" w:cs="Arial"/>
          <w:color w:val="000000" w:themeColor="text1"/>
          <w:lang w:val="es-ES_tradnl"/>
        </w:rPr>
      </w:pPr>
      <w:bookmarkStart w:id="4" w:name="_Hlk58917991"/>
      <w:bookmarkStart w:id="5" w:name="_Hlk56103000"/>
      <w:r>
        <w:rPr>
          <w:rFonts w:ascii="Arial" w:hAnsi="Arial" w:cs="Arial"/>
          <w:color w:val="000000" w:themeColor="text1"/>
          <w:lang w:val="es-ES_tradnl"/>
        </w:rPr>
        <w:lastRenderedPageBreak/>
        <w:t>En relación con las restricciones de la Ley de Garantías Electorales, u</w:t>
      </w:r>
      <w:r w:rsidRPr="00AD47C6">
        <w:rPr>
          <w:rFonts w:ascii="Arial" w:hAnsi="Arial" w:cs="Arial"/>
          <w:color w:val="000000" w:themeColor="text1"/>
          <w:lang w:val="es-ES_tradnl"/>
        </w:rPr>
        <w:t xml:space="preserve">sted realiza la siguiente consulta: </w:t>
      </w:r>
    </w:p>
    <w:p w14:paraId="6AA56D95" w14:textId="25C6545F" w:rsidR="005E5771" w:rsidRPr="0072183A" w:rsidRDefault="005E5771" w:rsidP="00002F83">
      <w:pPr>
        <w:spacing w:after="0" w:line="240" w:lineRule="auto"/>
        <w:ind w:left="709" w:right="709"/>
        <w:jc w:val="both"/>
        <w:rPr>
          <w:rFonts w:ascii="Arial" w:eastAsia="Times New Roman" w:hAnsi="Arial" w:cs="Arial"/>
          <w:sz w:val="21"/>
          <w:szCs w:val="21"/>
          <w:shd w:val="clear" w:color="auto" w:fill="FFFFFF"/>
          <w:lang w:eastAsia="es-CO"/>
        </w:rPr>
      </w:pPr>
      <w:r w:rsidRPr="0072183A">
        <w:rPr>
          <w:rFonts w:ascii="Arial" w:eastAsia="Times New Roman" w:hAnsi="Arial" w:cs="Arial"/>
          <w:sz w:val="21"/>
          <w:szCs w:val="21"/>
          <w:shd w:val="clear" w:color="auto" w:fill="FFFFFF"/>
          <w:lang w:eastAsia="es-CO"/>
        </w:rPr>
        <w:t xml:space="preserve">«Con el </w:t>
      </w:r>
      <w:r w:rsidR="00A93249">
        <w:rPr>
          <w:rFonts w:ascii="Arial" w:eastAsia="Times New Roman" w:hAnsi="Arial" w:cs="Arial"/>
          <w:sz w:val="21"/>
          <w:szCs w:val="21"/>
          <w:shd w:val="clear" w:color="auto" w:fill="FFFFFF"/>
          <w:lang w:eastAsia="es-CO"/>
        </w:rPr>
        <w:t>á</w:t>
      </w:r>
      <w:r w:rsidRPr="0072183A">
        <w:rPr>
          <w:rFonts w:ascii="Arial" w:eastAsia="Times New Roman" w:hAnsi="Arial" w:cs="Arial"/>
          <w:sz w:val="21"/>
          <w:szCs w:val="21"/>
          <w:shd w:val="clear" w:color="auto" w:fill="FFFFFF"/>
          <w:lang w:eastAsia="es-CO"/>
        </w:rPr>
        <w:t>nimo de ejercer control fiscal, administrativo y pol</w:t>
      </w:r>
      <w:r w:rsidR="00A93249">
        <w:rPr>
          <w:rFonts w:ascii="Arial" w:eastAsia="Times New Roman" w:hAnsi="Arial" w:cs="Arial"/>
          <w:sz w:val="21"/>
          <w:szCs w:val="21"/>
          <w:shd w:val="clear" w:color="auto" w:fill="FFFFFF"/>
          <w:lang w:eastAsia="es-CO"/>
        </w:rPr>
        <w:t>í</w:t>
      </w:r>
      <w:r w:rsidRPr="0072183A">
        <w:rPr>
          <w:rFonts w:ascii="Arial" w:eastAsia="Times New Roman" w:hAnsi="Arial" w:cs="Arial"/>
          <w:sz w:val="21"/>
          <w:szCs w:val="21"/>
          <w:shd w:val="clear" w:color="auto" w:fill="FFFFFF"/>
          <w:lang w:eastAsia="es-CO"/>
        </w:rPr>
        <w:t>tico a los recursos p</w:t>
      </w:r>
      <w:r w:rsidR="00A93249">
        <w:rPr>
          <w:rFonts w:ascii="Arial" w:eastAsia="Times New Roman" w:hAnsi="Arial" w:cs="Arial"/>
          <w:sz w:val="21"/>
          <w:szCs w:val="21"/>
          <w:shd w:val="clear" w:color="auto" w:fill="FFFFFF"/>
          <w:lang w:eastAsia="es-CO"/>
        </w:rPr>
        <w:t>ú</w:t>
      </w:r>
      <w:r w:rsidRPr="0072183A">
        <w:rPr>
          <w:rFonts w:ascii="Arial" w:eastAsia="Times New Roman" w:hAnsi="Arial" w:cs="Arial"/>
          <w:sz w:val="21"/>
          <w:szCs w:val="21"/>
          <w:shd w:val="clear" w:color="auto" w:fill="FFFFFF"/>
          <w:lang w:eastAsia="es-CO"/>
        </w:rPr>
        <w:t>blicos que se invierten en los diferentes proyectos por los distintos entes territoriales, es menester consultar o solicitar informaci</w:t>
      </w:r>
      <w:r w:rsidR="00A93249">
        <w:rPr>
          <w:rFonts w:ascii="Arial" w:eastAsia="Times New Roman" w:hAnsi="Arial" w:cs="Arial"/>
          <w:sz w:val="21"/>
          <w:szCs w:val="21"/>
          <w:shd w:val="clear" w:color="auto" w:fill="FFFFFF"/>
          <w:lang w:eastAsia="es-CO"/>
        </w:rPr>
        <w:t>ó</w:t>
      </w:r>
      <w:r w:rsidRPr="0072183A">
        <w:rPr>
          <w:rFonts w:ascii="Arial" w:eastAsia="Times New Roman" w:hAnsi="Arial" w:cs="Arial"/>
          <w:sz w:val="21"/>
          <w:szCs w:val="21"/>
          <w:shd w:val="clear" w:color="auto" w:fill="FFFFFF"/>
          <w:lang w:eastAsia="es-CO"/>
        </w:rPr>
        <w:t>n con respecto a la aplicaci</w:t>
      </w:r>
      <w:r w:rsidR="00A93249">
        <w:rPr>
          <w:rFonts w:ascii="Arial" w:eastAsia="Times New Roman" w:hAnsi="Arial" w:cs="Arial"/>
          <w:sz w:val="21"/>
          <w:szCs w:val="21"/>
          <w:shd w:val="clear" w:color="auto" w:fill="FFFFFF"/>
          <w:lang w:eastAsia="es-CO"/>
        </w:rPr>
        <w:t>ó</w:t>
      </w:r>
      <w:r w:rsidRPr="0072183A">
        <w:rPr>
          <w:rFonts w:ascii="Arial" w:eastAsia="Times New Roman" w:hAnsi="Arial" w:cs="Arial"/>
          <w:sz w:val="21"/>
          <w:szCs w:val="21"/>
          <w:shd w:val="clear" w:color="auto" w:fill="FFFFFF"/>
          <w:lang w:eastAsia="es-CO"/>
        </w:rPr>
        <w:t>n de la Ley de Garant</w:t>
      </w:r>
      <w:r w:rsidR="00A93249">
        <w:rPr>
          <w:rFonts w:ascii="Arial" w:eastAsia="Times New Roman" w:hAnsi="Arial" w:cs="Arial"/>
          <w:sz w:val="21"/>
          <w:szCs w:val="21"/>
          <w:shd w:val="clear" w:color="auto" w:fill="FFFFFF"/>
          <w:lang w:eastAsia="es-CO"/>
        </w:rPr>
        <w:t>í</w:t>
      </w:r>
      <w:r w:rsidRPr="0072183A">
        <w:rPr>
          <w:rFonts w:ascii="Arial" w:eastAsia="Times New Roman" w:hAnsi="Arial" w:cs="Arial"/>
          <w:sz w:val="21"/>
          <w:szCs w:val="21"/>
          <w:shd w:val="clear" w:color="auto" w:fill="FFFFFF"/>
          <w:lang w:eastAsia="es-CO"/>
        </w:rPr>
        <w:t>as todas vez que se hace necesario contar con informaci</w:t>
      </w:r>
      <w:r w:rsidR="00A93249">
        <w:rPr>
          <w:rFonts w:ascii="Arial" w:eastAsia="Times New Roman" w:hAnsi="Arial" w:cs="Arial"/>
          <w:sz w:val="21"/>
          <w:szCs w:val="21"/>
          <w:shd w:val="clear" w:color="auto" w:fill="FFFFFF"/>
          <w:lang w:eastAsia="es-CO"/>
        </w:rPr>
        <w:t>ó</w:t>
      </w:r>
      <w:r w:rsidRPr="0072183A">
        <w:rPr>
          <w:rFonts w:ascii="Arial" w:eastAsia="Times New Roman" w:hAnsi="Arial" w:cs="Arial"/>
          <w:sz w:val="21"/>
          <w:szCs w:val="21"/>
          <w:shd w:val="clear" w:color="auto" w:fill="FFFFFF"/>
          <w:lang w:eastAsia="es-CO"/>
        </w:rPr>
        <w:t>n precisa sobre los tiempos en que NO se deben o no est</w:t>
      </w:r>
      <w:r w:rsidR="00A93249">
        <w:rPr>
          <w:rFonts w:ascii="Arial" w:eastAsia="Times New Roman" w:hAnsi="Arial" w:cs="Arial"/>
          <w:sz w:val="21"/>
          <w:szCs w:val="21"/>
          <w:shd w:val="clear" w:color="auto" w:fill="FFFFFF"/>
          <w:lang w:eastAsia="es-CO"/>
        </w:rPr>
        <w:t>á</w:t>
      </w:r>
      <w:r w:rsidRPr="0072183A">
        <w:rPr>
          <w:rFonts w:ascii="Arial" w:eastAsia="Times New Roman" w:hAnsi="Arial" w:cs="Arial"/>
          <w:sz w:val="21"/>
          <w:szCs w:val="21"/>
          <w:shd w:val="clear" w:color="auto" w:fill="FFFFFF"/>
          <w:lang w:eastAsia="es-CO"/>
        </w:rPr>
        <w:t xml:space="preserve"> permitido realizar Licitaciones P</w:t>
      </w:r>
      <w:r w:rsidR="00A93249">
        <w:rPr>
          <w:rFonts w:ascii="Arial" w:eastAsia="Times New Roman" w:hAnsi="Arial" w:cs="Arial"/>
          <w:sz w:val="21"/>
          <w:szCs w:val="21"/>
          <w:shd w:val="clear" w:color="auto" w:fill="FFFFFF"/>
          <w:lang w:eastAsia="es-CO"/>
        </w:rPr>
        <w:t>ú</w:t>
      </w:r>
      <w:r w:rsidRPr="0072183A">
        <w:rPr>
          <w:rFonts w:ascii="Arial" w:eastAsia="Times New Roman" w:hAnsi="Arial" w:cs="Arial"/>
          <w:sz w:val="21"/>
          <w:szCs w:val="21"/>
          <w:shd w:val="clear" w:color="auto" w:fill="FFFFFF"/>
          <w:lang w:eastAsia="es-CO"/>
        </w:rPr>
        <w:t>blicas en los contratos de obra y dem</w:t>
      </w:r>
      <w:r w:rsidR="00A93249">
        <w:rPr>
          <w:rFonts w:ascii="Arial" w:eastAsia="Times New Roman" w:hAnsi="Arial" w:cs="Arial"/>
          <w:sz w:val="21"/>
          <w:szCs w:val="21"/>
          <w:shd w:val="clear" w:color="auto" w:fill="FFFFFF"/>
          <w:lang w:eastAsia="es-CO"/>
        </w:rPr>
        <w:t>á</w:t>
      </w:r>
      <w:r w:rsidRPr="0072183A">
        <w:rPr>
          <w:rFonts w:ascii="Arial" w:eastAsia="Times New Roman" w:hAnsi="Arial" w:cs="Arial"/>
          <w:sz w:val="21"/>
          <w:szCs w:val="21"/>
          <w:shd w:val="clear" w:color="auto" w:fill="FFFFFF"/>
          <w:lang w:eastAsia="es-CO"/>
        </w:rPr>
        <w:t xml:space="preserve">s convenios interadministrativos. </w:t>
      </w:r>
    </w:p>
    <w:p w14:paraId="6769CF5C" w14:textId="449F8DCD" w:rsidR="005E5771" w:rsidRPr="0072183A" w:rsidRDefault="005E5771" w:rsidP="00002F83">
      <w:pPr>
        <w:spacing w:after="0" w:line="240" w:lineRule="auto"/>
        <w:ind w:left="709" w:right="709"/>
        <w:jc w:val="both"/>
        <w:rPr>
          <w:rFonts w:ascii="Arial" w:eastAsia="Times New Roman" w:hAnsi="Arial" w:cs="Arial"/>
          <w:sz w:val="21"/>
          <w:szCs w:val="21"/>
          <w:shd w:val="clear" w:color="auto" w:fill="FFFFFF"/>
          <w:lang w:eastAsia="es-CO"/>
        </w:rPr>
      </w:pPr>
      <w:r w:rsidRPr="0072183A">
        <w:rPr>
          <w:rFonts w:ascii="Arial" w:eastAsia="Times New Roman" w:hAnsi="Arial" w:cs="Arial"/>
          <w:sz w:val="21"/>
          <w:szCs w:val="21"/>
          <w:shd w:val="clear" w:color="auto" w:fill="FFFFFF"/>
          <w:lang w:eastAsia="es-CO"/>
        </w:rPr>
        <w:t>Adicionalmente, solicitar copia de los actos administrativos que rigen la Ley de Garant</w:t>
      </w:r>
      <w:r w:rsidR="00A93249">
        <w:rPr>
          <w:rFonts w:ascii="Arial" w:eastAsia="Times New Roman" w:hAnsi="Arial" w:cs="Arial"/>
          <w:sz w:val="21"/>
          <w:szCs w:val="21"/>
          <w:shd w:val="clear" w:color="auto" w:fill="FFFFFF"/>
          <w:lang w:eastAsia="es-CO"/>
        </w:rPr>
        <w:t>í</w:t>
      </w:r>
      <w:r w:rsidRPr="0072183A">
        <w:rPr>
          <w:rFonts w:ascii="Arial" w:eastAsia="Times New Roman" w:hAnsi="Arial" w:cs="Arial"/>
          <w:sz w:val="21"/>
          <w:szCs w:val="21"/>
          <w:shd w:val="clear" w:color="auto" w:fill="FFFFFF"/>
          <w:lang w:eastAsia="es-CO"/>
        </w:rPr>
        <w:t xml:space="preserve">as (Decretos, resoluciones, circulares, </w:t>
      </w:r>
      <w:proofErr w:type="spellStart"/>
      <w:r w:rsidRPr="0072183A">
        <w:rPr>
          <w:rFonts w:ascii="Arial" w:eastAsia="Times New Roman" w:hAnsi="Arial" w:cs="Arial"/>
          <w:sz w:val="21"/>
          <w:szCs w:val="21"/>
          <w:shd w:val="clear" w:color="auto" w:fill="FFFFFF"/>
          <w:lang w:eastAsia="es-CO"/>
        </w:rPr>
        <w:t>etc</w:t>
      </w:r>
      <w:proofErr w:type="spellEnd"/>
      <w:r w:rsidRPr="0072183A">
        <w:rPr>
          <w:rFonts w:ascii="Arial" w:eastAsia="Times New Roman" w:hAnsi="Arial" w:cs="Arial"/>
          <w:sz w:val="21"/>
          <w:szCs w:val="21"/>
          <w:shd w:val="clear" w:color="auto" w:fill="FFFFFF"/>
          <w:lang w:eastAsia="es-CO"/>
        </w:rPr>
        <w:t>).»</w:t>
      </w:r>
    </w:p>
    <w:p w14:paraId="46FA053D" w14:textId="77777777" w:rsidR="004C02D8" w:rsidRPr="005E5771" w:rsidRDefault="004C02D8" w:rsidP="00002F83">
      <w:pPr>
        <w:tabs>
          <w:tab w:val="left" w:pos="426"/>
        </w:tabs>
        <w:spacing w:after="0" w:line="276" w:lineRule="auto"/>
        <w:jc w:val="both"/>
        <w:rPr>
          <w:rFonts w:ascii="Arial" w:eastAsia="Calibri" w:hAnsi="Arial" w:cs="Arial"/>
          <w:lang w:val="es-ES_tradnl"/>
        </w:rPr>
      </w:pPr>
    </w:p>
    <w:bookmarkEnd w:id="4"/>
    <w:bookmarkEnd w:id="5"/>
    <w:p w14:paraId="00A7DB24" w14:textId="77777777" w:rsidR="004C02D8" w:rsidRPr="00C512B3" w:rsidRDefault="004C02D8" w:rsidP="00002F83">
      <w:pPr>
        <w:tabs>
          <w:tab w:val="left" w:pos="284"/>
        </w:tabs>
        <w:spacing w:after="0" w:line="276" w:lineRule="auto"/>
        <w:jc w:val="both"/>
        <w:rPr>
          <w:rFonts w:ascii="Arial" w:eastAsia="Calibri" w:hAnsi="Arial" w:cs="Arial"/>
          <w:b/>
        </w:rPr>
      </w:pPr>
      <w:r w:rsidRPr="00C512B3">
        <w:rPr>
          <w:rFonts w:ascii="Arial" w:eastAsia="Calibri" w:hAnsi="Arial" w:cs="Arial"/>
          <w:b/>
        </w:rPr>
        <w:t>2. Consideraciones</w:t>
      </w:r>
    </w:p>
    <w:p w14:paraId="428EAFB9" w14:textId="6B43EEDD" w:rsidR="004C02D8" w:rsidRPr="00C512B3" w:rsidRDefault="004C02D8" w:rsidP="00002F83">
      <w:pPr>
        <w:tabs>
          <w:tab w:val="left" w:pos="426"/>
        </w:tabs>
        <w:spacing w:after="0" w:line="276" w:lineRule="auto"/>
        <w:ind w:firstLine="709"/>
        <w:jc w:val="both"/>
        <w:rPr>
          <w:rFonts w:ascii="Arial" w:eastAsia="Calibri" w:hAnsi="Arial" w:cs="Arial"/>
          <w:bCs/>
          <w:color w:val="FF0000"/>
        </w:rPr>
      </w:pPr>
    </w:p>
    <w:p w14:paraId="0738BAC0" w14:textId="06848C39" w:rsidR="005C0A9A" w:rsidRPr="00C512B3" w:rsidRDefault="00D45E45" w:rsidP="000E54F5">
      <w:pPr>
        <w:spacing w:after="120" w:line="276" w:lineRule="auto"/>
        <w:jc w:val="both"/>
        <w:rPr>
          <w:rFonts w:ascii="Arial" w:eastAsia="Calibri" w:hAnsi="Arial" w:cs="Arial"/>
          <w:lang w:val="es-ES_tradnl"/>
        </w:rPr>
      </w:pPr>
      <w:r>
        <w:rPr>
          <w:rFonts w:ascii="Arial" w:eastAsia="Calibri" w:hAnsi="Arial" w:cs="Arial"/>
          <w:color w:val="000000" w:themeColor="text1"/>
          <w:lang w:val="es-ES_tradnl"/>
        </w:rPr>
        <w:t>P</w:t>
      </w:r>
      <w:r w:rsidRPr="00AD47C6">
        <w:rPr>
          <w:rFonts w:ascii="Arial" w:eastAsia="Calibri" w:hAnsi="Arial" w:cs="Arial"/>
          <w:color w:val="000000" w:themeColor="text1"/>
          <w:lang w:val="es-ES_tradnl"/>
        </w:rPr>
        <w:t>ara responder su consulta, se analizarán los siguientes temas:</w:t>
      </w:r>
      <w:r w:rsidR="005C0A9A" w:rsidRPr="00E524E0">
        <w:rPr>
          <w:rFonts w:ascii="Arial" w:eastAsia="Calibri" w:hAnsi="Arial" w:cs="Arial"/>
          <w:lang w:val="es-ES_tradnl"/>
        </w:rPr>
        <w:t xml:space="preserve"> i) </w:t>
      </w:r>
      <w:r w:rsidR="00FB03DB">
        <w:rPr>
          <w:rFonts w:ascii="Arial" w:eastAsia="Calibri" w:hAnsi="Arial" w:cs="Arial"/>
          <w:lang w:val="es-ES_tradnl"/>
        </w:rPr>
        <w:t>d</w:t>
      </w:r>
      <w:r w:rsidR="00E524E0" w:rsidRPr="00E524E0">
        <w:rPr>
          <w:rFonts w:ascii="Arial" w:eastAsia="Calibri" w:hAnsi="Arial" w:cs="Arial"/>
          <w:lang w:val="es-ES_tradnl"/>
        </w:rPr>
        <w:t xml:space="preserve">efinición </w:t>
      </w:r>
      <w:r w:rsidR="005C0A9A" w:rsidRPr="00E524E0">
        <w:rPr>
          <w:rFonts w:ascii="Arial" w:eastAsia="Calibri" w:hAnsi="Arial" w:cs="Arial"/>
          <w:lang w:val="es-ES_tradnl"/>
        </w:rPr>
        <w:t xml:space="preserve">y finalidad de la Ley de Garantías Electorales; ii) </w:t>
      </w:r>
      <w:r w:rsidR="00E524E0" w:rsidRPr="00E524E0">
        <w:rPr>
          <w:rFonts w:ascii="Arial" w:eastAsia="Calibri" w:hAnsi="Arial" w:cs="Arial"/>
          <w:lang w:val="es-ES_tradnl"/>
        </w:rPr>
        <w:t>las restricciones en elecciones presidenciales, donde se desarrollará la prohibición del art</w:t>
      </w:r>
      <w:r>
        <w:rPr>
          <w:rFonts w:ascii="Arial" w:eastAsia="Calibri" w:hAnsi="Arial" w:cs="Arial"/>
          <w:lang w:val="es-ES_tradnl"/>
        </w:rPr>
        <w:t xml:space="preserve">ículo 33 de la Ley 996 de 2005 y </w:t>
      </w:r>
      <w:r w:rsidR="00E524E0" w:rsidRPr="00E524E0">
        <w:rPr>
          <w:rFonts w:ascii="Arial" w:eastAsia="Calibri" w:hAnsi="Arial" w:cs="Arial"/>
          <w:lang w:val="es-ES_tradnl"/>
        </w:rPr>
        <w:t xml:space="preserve">iii) </w:t>
      </w:r>
      <w:r w:rsidR="005C0A9A" w:rsidRPr="00E524E0">
        <w:rPr>
          <w:rFonts w:ascii="Arial" w:eastAsia="Calibri" w:hAnsi="Arial" w:cs="Arial"/>
          <w:lang w:val="es-ES_tradnl"/>
        </w:rPr>
        <w:t>las restricciones para la celebración de contratos y convenios interadministrativos en los comicios de cargos de elección popular, donde se analizará la prohibición del parágrafo del art</w:t>
      </w:r>
      <w:r>
        <w:rPr>
          <w:rFonts w:ascii="Arial" w:eastAsia="Calibri" w:hAnsi="Arial" w:cs="Arial"/>
          <w:lang w:val="es-ES_tradnl"/>
        </w:rPr>
        <w:t>ículo 38 de la Ley 996 de 2005.</w:t>
      </w:r>
    </w:p>
    <w:p w14:paraId="4D64F9E1" w14:textId="6DCCD84B" w:rsidR="005C2F17" w:rsidRPr="00C512B3" w:rsidRDefault="005C0A9A" w:rsidP="00002F83">
      <w:pPr>
        <w:spacing w:after="120" w:line="276" w:lineRule="auto"/>
        <w:ind w:firstLine="709"/>
        <w:jc w:val="both"/>
        <w:rPr>
          <w:rFonts w:ascii="Arial" w:eastAsia="Calibri" w:hAnsi="Arial" w:cs="Arial"/>
        </w:rPr>
      </w:pPr>
      <w:r w:rsidRPr="00C512B3">
        <w:rPr>
          <w:rFonts w:ascii="Arial" w:eastAsia="Calibri" w:hAnsi="Arial" w:cs="Arial"/>
          <w:lang w:val="es-ES_tradnl"/>
        </w:rPr>
        <w:t xml:space="preserve"> </w:t>
      </w:r>
      <w:r w:rsidR="00D45E45" w:rsidRPr="00F06958">
        <w:rPr>
          <w:rFonts w:ascii="Arial" w:eastAsia="Calibri" w:hAnsi="Arial"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w:t>
      </w:r>
      <w:r w:rsidR="00D45E45" w:rsidRPr="00F06958">
        <w:rPr>
          <w:rFonts w:ascii="Arial" w:eastAsia="Calibri" w:hAnsi="Arial" w:cs="Arial"/>
          <w:bCs/>
        </w:rPr>
        <w:lastRenderedPageBreak/>
        <w:t>de 2022, C-718 del 24 de enero de 2022, C-726 del 24 de enero de 2022, C-002 del 15 de febrero de 2022</w:t>
      </w:r>
      <w:r w:rsidR="00D45E45">
        <w:rPr>
          <w:rFonts w:ascii="Arial" w:eastAsia="Calibri" w:hAnsi="Arial" w:cs="Arial"/>
          <w:bCs/>
        </w:rPr>
        <w:t xml:space="preserve">, </w:t>
      </w:r>
      <w:r w:rsidR="00D45E45" w:rsidRPr="00F06958">
        <w:rPr>
          <w:rFonts w:ascii="Arial" w:eastAsia="Calibri" w:hAnsi="Arial" w:cs="Arial"/>
          <w:bCs/>
        </w:rPr>
        <w:t>C-116 del 18 de febrero de 2022</w:t>
      </w:r>
      <w:r w:rsidR="00D45E45">
        <w:rPr>
          <w:rFonts w:ascii="Arial" w:eastAsia="Calibri" w:hAnsi="Arial" w:cs="Arial"/>
          <w:bCs/>
        </w:rPr>
        <w:t>, C-163 del 29 de marzo de 2022 y C-268 del 03 de mayo de 2022</w:t>
      </w:r>
      <w:r w:rsidR="00D45E45">
        <w:rPr>
          <w:rStyle w:val="Refdenotaalpie"/>
          <w:rFonts w:ascii="Arial" w:eastAsia="Calibri" w:hAnsi="Arial" w:cs="Arial"/>
          <w:bCs/>
        </w:rPr>
        <w:footnoteReference w:id="1"/>
      </w:r>
      <w:r w:rsidR="00D45E45">
        <w:rPr>
          <w:rFonts w:ascii="Arial" w:eastAsia="Calibri" w:hAnsi="Arial" w:cs="Arial"/>
          <w:bCs/>
        </w:rPr>
        <w:t xml:space="preserve">. </w:t>
      </w:r>
      <w:r w:rsidR="00D45E45" w:rsidRPr="00BD24B6">
        <w:rPr>
          <w:rFonts w:ascii="Arial" w:eastAsia="Calibri" w:hAnsi="Arial" w:cs="Arial"/>
          <w:color w:val="000000" w:themeColor="text1"/>
        </w:rPr>
        <w:t>Las tesis expuestas en estos conceptos se desarrollan y se complementan en lo pertinente a continuación.</w:t>
      </w:r>
    </w:p>
    <w:p w14:paraId="2E49D362" w14:textId="77777777" w:rsidR="00002F83" w:rsidRDefault="00002F83" w:rsidP="00002F83">
      <w:pPr>
        <w:tabs>
          <w:tab w:val="left" w:pos="426"/>
        </w:tabs>
        <w:spacing w:after="0" w:line="276" w:lineRule="auto"/>
        <w:contextualSpacing/>
        <w:jc w:val="both"/>
        <w:rPr>
          <w:rFonts w:ascii="Arial" w:eastAsia="Calibri" w:hAnsi="Arial" w:cs="Arial"/>
          <w:b/>
          <w:bCs/>
        </w:rPr>
      </w:pPr>
    </w:p>
    <w:p w14:paraId="78E59E38" w14:textId="63361ED6" w:rsidR="004C02D8" w:rsidRPr="00C512B3" w:rsidRDefault="004C02D8" w:rsidP="00002F83">
      <w:pPr>
        <w:tabs>
          <w:tab w:val="left" w:pos="426"/>
        </w:tabs>
        <w:spacing w:after="0" w:line="276" w:lineRule="auto"/>
        <w:contextualSpacing/>
        <w:jc w:val="both"/>
        <w:rPr>
          <w:rFonts w:ascii="Arial" w:eastAsia="Calibri" w:hAnsi="Arial" w:cs="Arial"/>
          <w:b/>
          <w:bCs/>
        </w:rPr>
      </w:pPr>
      <w:r w:rsidRPr="00C512B3">
        <w:rPr>
          <w:rFonts w:ascii="Arial" w:eastAsia="Calibri" w:hAnsi="Arial" w:cs="Arial"/>
          <w:b/>
          <w:bCs/>
        </w:rPr>
        <w:t>2.1. Definición y finalidad de la Ley de Garantías Electorales</w:t>
      </w:r>
    </w:p>
    <w:p w14:paraId="1BF3B7BE" w14:textId="77777777" w:rsidR="004C02D8" w:rsidRPr="00C512B3" w:rsidRDefault="004C02D8" w:rsidP="00002F83">
      <w:pPr>
        <w:tabs>
          <w:tab w:val="left" w:pos="426"/>
        </w:tabs>
        <w:spacing w:after="0" w:line="276" w:lineRule="auto"/>
        <w:ind w:firstLine="709"/>
        <w:jc w:val="both"/>
        <w:rPr>
          <w:rFonts w:ascii="Arial" w:eastAsia="Calibri" w:hAnsi="Arial" w:cs="Arial"/>
          <w:bCs/>
        </w:rPr>
      </w:pPr>
    </w:p>
    <w:p w14:paraId="6FDCAEFD" w14:textId="49F48375" w:rsidR="004C02D8" w:rsidRPr="00C512B3" w:rsidRDefault="004C02D8" w:rsidP="00002F83">
      <w:pPr>
        <w:tabs>
          <w:tab w:val="left" w:pos="426"/>
        </w:tabs>
        <w:spacing w:after="120" w:line="276" w:lineRule="auto"/>
        <w:jc w:val="both"/>
        <w:rPr>
          <w:rFonts w:ascii="Arial" w:eastAsia="Times New Roman" w:hAnsi="Arial" w:cs="Arial"/>
          <w:bCs/>
          <w:lang w:eastAsia="es-CO"/>
        </w:rPr>
      </w:pPr>
      <w:r w:rsidRPr="00C512B3">
        <w:rPr>
          <w:rFonts w:ascii="Arial" w:eastAsia="Calibri" w:hAnsi="Arial" w:cs="Arial"/>
          <w:bCs/>
        </w:rPr>
        <w:t>El ordenamiento jurídico colombiano contempla previsiones claras para evitar la obtención de beneficios personales en asuntos propios de la administración pública</w:t>
      </w:r>
      <w:r w:rsidRPr="00C512B3">
        <w:rPr>
          <w:rFonts w:ascii="Arial" w:eastAsia="Calibri" w:hAnsi="Arial" w:cs="Arial"/>
          <w:bCs/>
          <w:i/>
          <w:iCs/>
        </w:rPr>
        <w:t xml:space="preserve">. </w:t>
      </w:r>
      <w:r w:rsidRPr="00C512B3">
        <w:rPr>
          <w:rFonts w:ascii="Arial" w:eastAsia="Calibri" w:hAnsi="Arial" w:cs="Arial"/>
          <w:bCs/>
        </w:rPr>
        <w:t xml:space="preserve">Por ejemplo, el artículo 127 de la Constitución Política establece una prohibición contractual </w:t>
      </w:r>
      <w:r w:rsidR="00D3641C" w:rsidRPr="00C512B3">
        <w:rPr>
          <w:rFonts w:ascii="Arial" w:eastAsia="Calibri" w:hAnsi="Arial" w:cs="Arial"/>
          <w:bCs/>
        </w:rPr>
        <w:t>para</w:t>
      </w:r>
      <w:r w:rsidRPr="00C512B3">
        <w:rPr>
          <w:rFonts w:ascii="Arial" w:eastAsia="Calibri" w:hAnsi="Arial" w:cs="Arial"/>
          <w:bCs/>
        </w:rPr>
        <w:t xml:space="preserve"> los servidores públicos y</w:t>
      </w:r>
      <w:r w:rsidR="00D3641C" w:rsidRPr="00C512B3">
        <w:rPr>
          <w:rFonts w:ascii="Arial" w:eastAsia="Calibri" w:hAnsi="Arial" w:cs="Arial"/>
          <w:bCs/>
        </w:rPr>
        <w:t>,</w:t>
      </w:r>
      <w:r w:rsidRPr="00C512B3">
        <w:rPr>
          <w:rFonts w:ascii="Arial" w:eastAsia="Calibri" w:hAnsi="Arial" w:cs="Arial"/>
          <w:bCs/>
        </w:rPr>
        <w:t xml:space="preserve"> en cuanto a aspectos políticos</w:t>
      </w:r>
      <w:r w:rsidR="00D3641C" w:rsidRPr="00C512B3">
        <w:rPr>
          <w:rFonts w:ascii="Arial" w:eastAsia="Calibri" w:hAnsi="Arial" w:cs="Arial"/>
          <w:bCs/>
        </w:rPr>
        <w:t>,</w:t>
      </w:r>
      <w:r w:rsidRPr="00C512B3">
        <w:rPr>
          <w:rFonts w:ascii="Arial" w:eastAsia="Calibri" w:hAnsi="Arial" w:cs="Arial"/>
          <w:bCs/>
        </w:rPr>
        <w:t xml:space="preserve"> </w:t>
      </w:r>
      <w:r w:rsidR="00D3641C" w:rsidRPr="00C512B3">
        <w:rPr>
          <w:rFonts w:ascii="Arial" w:eastAsia="Calibri" w:hAnsi="Arial" w:cs="Arial"/>
          <w:bCs/>
        </w:rPr>
        <w:t xml:space="preserve">consagra </w:t>
      </w:r>
      <w:r w:rsidRPr="00C512B3">
        <w:rPr>
          <w:rFonts w:ascii="Arial" w:eastAsia="Calibri" w:hAnsi="Arial" w:cs="Arial"/>
          <w:bCs/>
        </w:rPr>
        <w:t>restricciones a ciertos empleados del Estado, incluso en época no electoral</w:t>
      </w:r>
      <w:r w:rsidRPr="00C512B3">
        <w:rPr>
          <w:rFonts w:ascii="Arial" w:eastAsia="Calibri" w:hAnsi="Arial" w:cs="Arial"/>
          <w:bCs/>
          <w:vertAlign w:val="superscript"/>
        </w:rPr>
        <w:footnoteReference w:id="2"/>
      </w:r>
      <w:r w:rsidRPr="00C512B3">
        <w:rPr>
          <w:rFonts w:ascii="Arial" w:eastAsia="Calibri" w:hAnsi="Arial" w:cs="Arial"/>
          <w:bCs/>
        </w:rPr>
        <w:t xml:space="preserve">. </w:t>
      </w:r>
    </w:p>
    <w:p w14:paraId="00321E3E" w14:textId="64C23299" w:rsidR="004C02D8" w:rsidRPr="00C512B3" w:rsidRDefault="004C02D8" w:rsidP="00002F83">
      <w:pPr>
        <w:tabs>
          <w:tab w:val="left" w:pos="426"/>
        </w:tabs>
        <w:spacing w:after="0" w:line="276" w:lineRule="auto"/>
        <w:ind w:firstLine="709"/>
        <w:jc w:val="both"/>
        <w:rPr>
          <w:rFonts w:ascii="Arial" w:eastAsia="Times New Roman" w:hAnsi="Arial" w:cs="Arial"/>
          <w:bCs/>
          <w:lang w:val="es-MX" w:eastAsia="es-CO"/>
        </w:rPr>
      </w:pPr>
      <w:r w:rsidRPr="00C512B3">
        <w:rPr>
          <w:rFonts w:ascii="Arial" w:eastAsia="Times New Roman" w:hAnsi="Arial" w:cs="Arial"/>
          <w:bCs/>
          <w:lang w:eastAsia="es-CO"/>
        </w:rPr>
        <w:t>En el mismo sentido</w:t>
      </w:r>
      <w:r w:rsidRPr="00C512B3">
        <w:rPr>
          <w:rFonts w:ascii="Arial" w:eastAsia="Times New Roman" w:hAnsi="Arial" w:cs="Arial"/>
          <w:bCs/>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C512B3">
        <w:rPr>
          <w:rFonts w:ascii="Arial" w:eastAsia="Times New Roman" w:hAnsi="Arial" w:cs="Arial"/>
          <w:bCs/>
          <w:vertAlign w:val="superscript"/>
          <w:lang w:val="es-MX" w:eastAsia="es-CO"/>
        </w:rPr>
        <w:footnoteReference w:id="3"/>
      </w:r>
      <w:r w:rsidRPr="00C512B3">
        <w:rPr>
          <w:rFonts w:ascii="Arial" w:eastAsia="Times New Roman" w:hAnsi="Arial" w:cs="Arial"/>
          <w:bCs/>
          <w:lang w:val="es-MX" w:eastAsia="es-CO"/>
        </w:rPr>
        <w:t>. En esta medida,</w:t>
      </w:r>
      <w:r w:rsidR="002F1C2B" w:rsidRPr="00C512B3">
        <w:rPr>
          <w:rFonts w:ascii="Arial" w:eastAsia="Times New Roman" w:hAnsi="Arial" w:cs="Arial"/>
          <w:bCs/>
          <w:lang w:val="es-MX" w:eastAsia="es-CO"/>
        </w:rPr>
        <w:t xml:space="preserve"> la citada ley</w:t>
      </w:r>
      <w:r w:rsidRPr="00C512B3">
        <w:rPr>
          <w:rFonts w:ascii="Arial" w:eastAsia="Times New Roman" w:hAnsi="Arial" w:cs="Arial"/>
          <w:bCs/>
          <w:lang w:val="es-MX" w:eastAsia="es-CO"/>
        </w:rPr>
        <w:t xml:space="preserve"> introduce limitaciones para realizar nombramientos, postulaciones, contrataciones o cualquier otro tipo de actividad que implique destinación de recursos públicos bajo el devenir propio de las entidades estatales.</w:t>
      </w:r>
      <w:r w:rsidRPr="00C512B3">
        <w:rPr>
          <w:rFonts w:ascii="Arial" w:eastAsia="Calibri" w:hAnsi="Arial" w:cs="Arial"/>
          <w:noProof/>
          <w:lang w:val="es-ES_tradnl"/>
        </w:rPr>
        <w:t xml:space="preserve"> </w:t>
      </w:r>
      <w:r w:rsidRPr="00C512B3">
        <w:rPr>
          <w:rFonts w:ascii="Arial" w:eastAsia="Times New Roman" w:hAnsi="Arial" w:cs="Arial"/>
          <w:bCs/>
          <w:lang w:val="es-MX" w:eastAsia="es-CO"/>
        </w:rPr>
        <w:t>En armonía con lo anterior, la Corte Constitucional ha abordado la definición de la Ley de Garantías Electorales</w:t>
      </w:r>
      <w:r w:rsidR="00DB6170" w:rsidRPr="00C512B3">
        <w:rPr>
          <w:rFonts w:ascii="Arial" w:eastAsia="Times New Roman" w:hAnsi="Arial" w:cs="Arial"/>
          <w:bCs/>
          <w:lang w:val="es-MX" w:eastAsia="es-CO"/>
        </w:rPr>
        <w:t xml:space="preserve"> y ha explicado que esta</w:t>
      </w:r>
      <w:r w:rsidRPr="00C512B3">
        <w:rPr>
          <w:rFonts w:ascii="Arial" w:eastAsia="Times New Roman" w:hAnsi="Arial" w:cs="Arial"/>
          <w:bCs/>
          <w:lang w:val="es-MX" w:eastAsia="es-CO"/>
        </w:rPr>
        <w:t xml:space="preserve"> tiene como propósito:</w:t>
      </w:r>
    </w:p>
    <w:p w14:paraId="1DBEED98" w14:textId="77777777" w:rsidR="004C02D8" w:rsidRPr="00C512B3" w:rsidRDefault="004C02D8" w:rsidP="00002F83">
      <w:pPr>
        <w:spacing w:after="0" w:line="276" w:lineRule="auto"/>
        <w:ind w:right="709"/>
        <w:jc w:val="both"/>
        <w:rPr>
          <w:rFonts w:ascii="Arial" w:eastAsia="Times New Roman" w:hAnsi="Arial" w:cs="Arial"/>
          <w:sz w:val="21"/>
          <w:szCs w:val="21"/>
          <w:lang w:val="es-ES" w:eastAsia="es-CO"/>
        </w:rPr>
      </w:pPr>
    </w:p>
    <w:p w14:paraId="40AD951F" w14:textId="77777777" w:rsidR="004C02D8" w:rsidRPr="00C512B3" w:rsidRDefault="004C02D8" w:rsidP="00002F83">
      <w:pPr>
        <w:spacing w:after="0" w:line="240" w:lineRule="auto"/>
        <w:ind w:left="709" w:right="709"/>
        <w:jc w:val="both"/>
        <w:rPr>
          <w:rFonts w:ascii="Arial" w:eastAsia="Times New Roman" w:hAnsi="Arial" w:cs="Arial"/>
          <w:bCs/>
          <w:sz w:val="21"/>
          <w:szCs w:val="21"/>
          <w:lang w:val="es-MX" w:eastAsia="es-CO"/>
        </w:rPr>
      </w:pPr>
      <w:r w:rsidRPr="00C512B3">
        <w:rPr>
          <w:rFonts w:ascii="Arial" w:eastAsia="Times New Roman" w:hAnsi="Arial" w:cs="Arial"/>
          <w:sz w:val="21"/>
          <w:szCs w:val="21"/>
          <w:lang w:val="es-ES" w:eastAsia="es-CO"/>
        </w:rPr>
        <w:t xml:space="preserve">[…] </w:t>
      </w:r>
      <w:r w:rsidRPr="00C512B3">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5E3E9143" w14:textId="77777777" w:rsidR="004C02D8" w:rsidRPr="00C512B3" w:rsidRDefault="004C02D8" w:rsidP="00002F83">
      <w:pPr>
        <w:spacing w:after="0" w:line="240" w:lineRule="auto"/>
        <w:ind w:left="709" w:right="709"/>
        <w:jc w:val="both"/>
        <w:rPr>
          <w:rFonts w:ascii="Arial" w:eastAsia="Times New Roman" w:hAnsi="Arial" w:cs="Arial"/>
          <w:bCs/>
          <w:sz w:val="21"/>
          <w:szCs w:val="21"/>
          <w:lang w:val="es-MX" w:eastAsia="es-CO"/>
        </w:rPr>
      </w:pPr>
      <w:r w:rsidRPr="00C512B3">
        <w:rPr>
          <w:rFonts w:ascii="Arial" w:eastAsia="Times New Roman" w:hAnsi="Arial" w:cs="Arial"/>
          <w:bCs/>
          <w:sz w:val="21"/>
          <w:szCs w:val="21"/>
          <w:lang w:val="es-MX" w:eastAsia="es-CO"/>
        </w:rPr>
        <w:t xml:space="preserve">[…] </w:t>
      </w:r>
    </w:p>
    <w:p w14:paraId="2157B0BA" w14:textId="2F1396AF" w:rsidR="004C02D8" w:rsidRPr="00C512B3" w:rsidRDefault="004C02D8" w:rsidP="00002F83">
      <w:pPr>
        <w:spacing w:after="0" w:line="240" w:lineRule="auto"/>
        <w:ind w:left="709" w:right="709"/>
        <w:jc w:val="both"/>
        <w:rPr>
          <w:rFonts w:ascii="Arial" w:eastAsia="Times New Roman" w:hAnsi="Arial" w:cs="Arial"/>
          <w:bCs/>
          <w:sz w:val="21"/>
          <w:szCs w:val="21"/>
          <w:lang w:val="es-MX" w:eastAsia="es-CO"/>
        </w:rPr>
      </w:pPr>
      <w:r w:rsidRPr="00C512B3">
        <w:rPr>
          <w:rFonts w:ascii="Arial" w:eastAsia="Times New Roman"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w:t>
      </w:r>
      <w:r w:rsidRPr="00C512B3">
        <w:rPr>
          <w:rFonts w:ascii="Arial" w:eastAsia="Times New Roman" w:hAnsi="Arial" w:cs="Arial"/>
          <w:bCs/>
          <w:sz w:val="21"/>
          <w:szCs w:val="21"/>
          <w:lang w:val="es-MX" w:eastAsia="es-CO"/>
        </w:rPr>
        <w:lastRenderedPageBreak/>
        <w:t>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512B3">
        <w:rPr>
          <w:rFonts w:ascii="Arial" w:eastAsia="Calibri" w:hAnsi="Arial" w:cs="Arial"/>
          <w:sz w:val="20"/>
          <w:szCs w:val="20"/>
          <w:vertAlign w:val="superscript"/>
          <w:lang w:val="es-MX"/>
        </w:rPr>
        <w:footnoteReference w:id="4"/>
      </w:r>
      <w:r w:rsidR="00FB03DB">
        <w:rPr>
          <w:rFonts w:ascii="Arial" w:eastAsia="Times New Roman" w:hAnsi="Arial" w:cs="Arial"/>
          <w:bCs/>
          <w:sz w:val="21"/>
          <w:szCs w:val="21"/>
          <w:lang w:val="es-MX" w:eastAsia="es-CO"/>
        </w:rPr>
        <w:t xml:space="preserve"> </w:t>
      </w:r>
      <w:r w:rsidR="00FB03DB">
        <w:rPr>
          <w:rStyle w:val="Refdenotaalpie"/>
          <w:rFonts w:ascii="Arial" w:eastAsia="Times New Roman" w:hAnsi="Arial" w:cs="Arial"/>
          <w:bCs/>
          <w:sz w:val="21"/>
          <w:szCs w:val="21"/>
          <w:lang w:val="es-MX" w:eastAsia="es-CO"/>
        </w:rPr>
        <w:footnoteReference w:id="5"/>
      </w:r>
      <w:r w:rsidR="00FB03DB">
        <w:rPr>
          <w:rFonts w:ascii="Arial" w:eastAsia="Times New Roman" w:hAnsi="Arial" w:cs="Arial"/>
          <w:bCs/>
          <w:sz w:val="21"/>
          <w:szCs w:val="21"/>
          <w:lang w:val="es-MX" w:eastAsia="es-CO"/>
        </w:rPr>
        <w:t>.</w:t>
      </w:r>
    </w:p>
    <w:p w14:paraId="18005F2A" w14:textId="77777777" w:rsidR="00B669BA" w:rsidRPr="00C512B3" w:rsidRDefault="00B669BA" w:rsidP="00002F83">
      <w:pPr>
        <w:tabs>
          <w:tab w:val="left" w:pos="426"/>
        </w:tabs>
        <w:spacing w:after="0" w:line="276" w:lineRule="auto"/>
        <w:ind w:firstLine="709"/>
        <w:jc w:val="both"/>
        <w:rPr>
          <w:rFonts w:ascii="Arial" w:eastAsia="Times New Roman" w:hAnsi="Arial" w:cs="Arial"/>
          <w:bCs/>
          <w:lang w:eastAsia="es-CO"/>
        </w:rPr>
      </w:pPr>
      <w:bookmarkStart w:id="6" w:name="_Hlk78818186"/>
    </w:p>
    <w:p w14:paraId="3AE2A3F6" w14:textId="4BCA4352" w:rsidR="004C02D8" w:rsidRPr="00C512B3" w:rsidRDefault="00FB03DB" w:rsidP="00002F83">
      <w:pPr>
        <w:spacing w:after="0" w:line="276" w:lineRule="auto"/>
        <w:ind w:firstLine="709"/>
        <w:jc w:val="both"/>
        <w:rPr>
          <w:rFonts w:ascii="Arial" w:eastAsia="Times New Roman" w:hAnsi="Arial" w:cs="Arial"/>
          <w:bCs/>
          <w:lang w:val="es-MX" w:eastAsia="es-CO"/>
        </w:rPr>
      </w:pPr>
      <w:r w:rsidRPr="00C512B3" w:rsidDel="00FB03DB">
        <w:rPr>
          <w:rFonts w:ascii="Arial" w:eastAsia="Calibri" w:hAnsi="Arial" w:cs="Arial"/>
          <w:sz w:val="21"/>
          <w:szCs w:val="21"/>
          <w:lang w:val="es-MX"/>
        </w:rPr>
        <w:t xml:space="preserve"> </w:t>
      </w:r>
      <w:r w:rsidR="004C02D8" w:rsidRPr="00C512B3">
        <w:rPr>
          <w:rFonts w:ascii="Arial" w:eastAsia="Times New Roman" w:hAnsi="Arial" w:cs="Arial"/>
          <w:bCs/>
          <w:lang w:val="es-MX" w:eastAsia="es-CO"/>
        </w:rPr>
        <w:t>En este contexto, la Ley de Garantías Electorales establece el marco jurídico para el desarrollo de las elecciones, procurando condiciones de igualdad y transparencia para los aspirantes y</w:t>
      </w:r>
      <w:r w:rsidR="00C60ABF" w:rsidRPr="00C512B3">
        <w:rPr>
          <w:rFonts w:ascii="Arial" w:eastAsia="Times New Roman" w:hAnsi="Arial" w:cs="Arial"/>
          <w:bCs/>
          <w:lang w:val="es-MX" w:eastAsia="es-CO"/>
        </w:rPr>
        <w:t>,</w:t>
      </w:r>
      <w:r w:rsidR="004C02D8" w:rsidRPr="00C512B3">
        <w:rPr>
          <w:rFonts w:ascii="Arial" w:eastAsia="Times New Roman" w:hAnsi="Arial" w:cs="Arial"/>
          <w:bCs/>
          <w:lang w:val="es-MX" w:eastAsia="es-CO"/>
        </w:rPr>
        <w:t xml:space="preserve"> paralelamente</w:t>
      </w:r>
      <w:r w:rsidR="00C60ABF" w:rsidRPr="00C512B3">
        <w:rPr>
          <w:rFonts w:ascii="Arial" w:eastAsia="Times New Roman" w:hAnsi="Arial" w:cs="Arial"/>
          <w:bCs/>
          <w:lang w:val="es-MX" w:eastAsia="es-CO"/>
        </w:rPr>
        <w:t>,</w:t>
      </w:r>
      <w:r w:rsidR="004C02D8" w:rsidRPr="00C512B3">
        <w:rPr>
          <w:rFonts w:ascii="Arial" w:eastAsia="Times New Roman" w:hAnsi="Arial" w:cs="Arial"/>
          <w:bCs/>
          <w:lang w:val="es-MX" w:eastAsia="es-CO"/>
        </w:rPr>
        <w:t xml:space="preserve"> incluye</w:t>
      </w:r>
      <w:r w:rsidR="0090414A" w:rsidRPr="00C512B3">
        <w:rPr>
          <w:rFonts w:ascii="Arial" w:eastAsia="Times New Roman" w:hAnsi="Arial" w:cs="Arial"/>
          <w:bCs/>
          <w:lang w:val="es-MX" w:eastAsia="es-CO"/>
        </w:rPr>
        <w:t>ndo</w:t>
      </w:r>
      <w:r w:rsidR="004C02D8" w:rsidRPr="00C512B3">
        <w:rPr>
          <w:rFonts w:ascii="Arial" w:eastAsia="Times New Roman" w:hAnsi="Arial" w:cs="Arial"/>
          <w:bCs/>
          <w:lang w:val="es-MX" w:eastAsia="es-CO"/>
        </w:rPr>
        <w:t xml:space="preserve"> restricciones en el actuar de los servidores públicos, </w:t>
      </w:r>
      <w:r w:rsidR="007F3EE1" w:rsidRPr="00C512B3">
        <w:rPr>
          <w:rFonts w:ascii="Arial" w:eastAsia="Times New Roman" w:hAnsi="Arial" w:cs="Arial"/>
          <w:bCs/>
          <w:lang w:val="es-MX" w:eastAsia="es-CO"/>
        </w:rPr>
        <w:t>las cuales buscan evitar</w:t>
      </w:r>
      <w:r w:rsidR="004C02D8" w:rsidRPr="00C512B3">
        <w:rPr>
          <w:rFonts w:ascii="Arial" w:eastAsia="Times New Roman" w:hAnsi="Arial" w:cs="Arial"/>
          <w:bCs/>
          <w:lang w:val="es-MX" w:eastAsia="es-CO"/>
        </w:rPr>
        <w:t xml:space="preserve"> interferencias en la contienda electoral, así como la posible desviación de recursos públicos en aspiraciones electorales. </w:t>
      </w:r>
      <w:bookmarkEnd w:id="6"/>
      <w:r w:rsidR="004C02D8" w:rsidRPr="00C512B3">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23B8E6DE" w14:textId="77777777" w:rsidR="004C02D8" w:rsidRPr="00C512B3" w:rsidRDefault="004C02D8" w:rsidP="00002F83">
      <w:pPr>
        <w:spacing w:after="0" w:line="276" w:lineRule="auto"/>
        <w:ind w:firstLine="709"/>
        <w:jc w:val="both"/>
        <w:rPr>
          <w:rFonts w:ascii="Arial" w:eastAsia="Times New Roman" w:hAnsi="Arial" w:cs="Arial"/>
          <w:bCs/>
          <w:lang w:val="es-MX" w:eastAsia="es-CO"/>
        </w:rPr>
      </w:pPr>
    </w:p>
    <w:p w14:paraId="077D859A" w14:textId="77777777" w:rsidR="004C02D8" w:rsidRPr="00C512B3" w:rsidRDefault="004C02D8" w:rsidP="00002F83">
      <w:pPr>
        <w:spacing w:after="0" w:line="240" w:lineRule="auto"/>
        <w:ind w:left="709" w:right="709"/>
        <w:jc w:val="both"/>
        <w:rPr>
          <w:rFonts w:ascii="Arial" w:eastAsia="Times New Roman" w:hAnsi="Arial" w:cs="Arial"/>
          <w:bCs/>
          <w:sz w:val="21"/>
          <w:szCs w:val="21"/>
          <w:lang w:val="es-MX" w:eastAsia="es-CO"/>
        </w:rPr>
      </w:pPr>
      <w:r w:rsidRPr="00C512B3">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C512B3">
        <w:rPr>
          <w:rFonts w:ascii="Arial" w:eastAsia="Times New Roman" w:hAnsi="Arial" w:cs="Arial"/>
          <w:bCs/>
          <w:sz w:val="21"/>
          <w:szCs w:val="21"/>
          <w:lang w:val="es-MX" w:eastAsia="es-CO"/>
        </w:rPr>
        <w:t>legis</w:t>
      </w:r>
      <w:proofErr w:type="spellEnd"/>
      <w:r w:rsidRPr="00C512B3">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57B2C33" w14:textId="77777777" w:rsidR="004C02D8" w:rsidRPr="00C512B3" w:rsidRDefault="004C02D8" w:rsidP="00002F83">
      <w:pPr>
        <w:spacing w:after="0" w:line="240" w:lineRule="auto"/>
        <w:ind w:left="709" w:right="709"/>
        <w:jc w:val="both"/>
        <w:rPr>
          <w:rFonts w:ascii="Arial" w:eastAsia="Times New Roman" w:hAnsi="Arial" w:cs="Arial"/>
          <w:bCs/>
          <w:sz w:val="21"/>
          <w:szCs w:val="21"/>
          <w:lang w:val="es-MX" w:eastAsia="es-CO"/>
        </w:rPr>
      </w:pPr>
      <w:r w:rsidRPr="00C512B3">
        <w:rPr>
          <w:rFonts w:ascii="Arial" w:eastAsia="Times New Roman" w:hAnsi="Arial" w:cs="Arial"/>
          <w:bCs/>
          <w:sz w:val="21"/>
          <w:szCs w:val="21"/>
          <w:lang w:val="es-MX" w:eastAsia="es-CO"/>
        </w:rPr>
        <w:t>La jurisprudencia de la Corte Constitucional</w:t>
      </w:r>
      <w:r w:rsidRPr="00C512B3">
        <w:rPr>
          <w:rFonts w:ascii="Arial" w:eastAsia="Times New Roman" w:hAnsi="Arial" w:cs="Arial"/>
          <w:bCs/>
          <w:sz w:val="21"/>
          <w:szCs w:val="21"/>
          <w:vertAlign w:val="superscript"/>
          <w:lang w:val="es-MX" w:eastAsia="es-CO"/>
        </w:rPr>
        <w:footnoteReference w:id="6"/>
      </w:r>
      <w:r w:rsidRPr="00C512B3">
        <w:rPr>
          <w:rFonts w:ascii="Arial" w:eastAsia="Times New Roman" w:hAnsi="Arial" w:cs="Arial"/>
          <w:bCs/>
          <w:sz w:val="21"/>
          <w:szCs w:val="21"/>
          <w:lang w:val="es-MX" w:eastAsia="es-CO"/>
        </w:rPr>
        <w:t> y del Consejo de Estado</w:t>
      </w:r>
      <w:r w:rsidRPr="00C512B3">
        <w:rPr>
          <w:rFonts w:ascii="Arial" w:eastAsia="Times New Roman" w:hAnsi="Arial" w:cs="Arial"/>
          <w:bCs/>
          <w:sz w:val="21"/>
          <w:szCs w:val="21"/>
          <w:vertAlign w:val="superscript"/>
          <w:lang w:val="es-MX" w:eastAsia="es-CO"/>
        </w:rPr>
        <w:footnoteReference w:id="7"/>
      </w:r>
      <w:r w:rsidRPr="00C512B3">
        <w:rPr>
          <w:rFonts w:ascii="Arial" w:eastAsia="Times New Roman" w:hAnsi="Arial" w:cs="Arial"/>
          <w:bCs/>
          <w:sz w:val="21"/>
          <w:szCs w:val="21"/>
          <w:lang w:val="es-MX" w:eastAsia="es-CO"/>
        </w:rPr>
        <w:t xml:space="preserve">, coinciden en que las normas que establecen prohibiciones deben estar de manera explícita </w:t>
      </w:r>
      <w:r w:rsidRPr="00C512B3">
        <w:rPr>
          <w:rFonts w:ascii="Arial" w:eastAsia="Times New Roman" w:hAnsi="Arial" w:cs="Arial"/>
          <w:bCs/>
          <w:sz w:val="21"/>
          <w:szCs w:val="21"/>
          <w:lang w:val="es-MX"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C512B3">
        <w:rPr>
          <w:rFonts w:ascii="Arial" w:eastAsia="Times New Roman" w:hAnsi="Arial" w:cs="Arial"/>
          <w:bCs/>
          <w:vertAlign w:val="superscript"/>
          <w:lang w:val="es-MX" w:eastAsia="es-CO"/>
        </w:rPr>
        <w:footnoteReference w:id="8"/>
      </w:r>
      <w:r w:rsidRPr="00C512B3">
        <w:rPr>
          <w:rFonts w:ascii="Arial" w:eastAsia="Times New Roman" w:hAnsi="Arial" w:cs="Arial"/>
          <w:bCs/>
          <w:sz w:val="21"/>
          <w:szCs w:val="21"/>
          <w:lang w:val="es-MX" w:eastAsia="es-CO"/>
        </w:rPr>
        <w:t>.</w:t>
      </w:r>
    </w:p>
    <w:p w14:paraId="115B96C4" w14:textId="77777777" w:rsidR="004C02D8" w:rsidRPr="00C512B3" w:rsidRDefault="004C02D8" w:rsidP="00002F83">
      <w:pPr>
        <w:spacing w:after="0" w:line="276" w:lineRule="auto"/>
        <w:ind w:right="709"/>
        <w:jc w:val="both"/>
        <w:rPr>
          <w:rFonts w:ascii="Arial" w:eastAsia="Times New Roman" w:hAnsi="Arial" w:cs="Arial"/>
          <w:bCs/>
          <w:color w:val="FF0000"/>
          <w:sz w:val="21"/>
          <w:szCs w:val="21"/>
          <w:lang w:val="es-MX" w:eastAsia="es-CO"/>
        </w:rPr>
      </w:pPr>
    </w:p>
    <w:p w14:paraId="01B3A8F6" w14:textId="77777777" w:rsidR="004C02D8" w:rsidRPr="00C512B3" w:rsidRDefault="004C02D8" w:rsidP="00002F83">
      <w:pPr>
        <w:spacing w:after="120" w:line="276" w:lineRule="auto"/>
        <w:jc w:val="both"/>
        <w:rPr>
          <w:rFonts w:ascii="Arial" w:eastAsia="Arial" w:hAnsi="Arial" w:cs="Arial"/>
          <w:lang w:val="es-ES" w:eastAsia="es-ES" w:bidi="es-ES"/>
        </w:rPr>
      </w:pPr>
      <w:r w:rsidRPr="00C512B3">
        <w:rPr>
          <w:rFonts w:ascii="Arial" w:eastAsia="Times New Roman" w:hAnsi="Arial" w:cs="Arial"/>
          <w:bCs/>
          <w:color w:val="FF0000"/>
          <w:lang w:val="es-MX" w:eastAsia="es-CO"/>
        </w:rPr>
        <w:tab/>
      </w:r>
      <w:r w:rsidRPr="00C512B3">
        <w:rPr>
          <w:rFonts w:ascii="Arial" w:eastAsia="Times New Roman" w:hAnsi="Arial" w:cs="Arial"/>
          <w:bCs/>
          <w:lang w:val="es-MX" w:eastAsia="es-CO"/>
        </w:rPr>
        <w:t>De</w:t>
      </w:r>
      <w:r w:rsidRPr="00C512B3">
        <w:rPr>
          <w:rFonts w:ascii="Arial" w:eastAsia="Arial" w:hAnsi="Arial" w:cs="Arial"/>
          <w:lang w:val="es-ES" w:eastAsia="es-ES" w:bidi="es-ES"/>
        </w:rPr>
        <w:t xml:space="preserve"> conformidad con lo anterior, </w:t>
      </w:r>
      <w:bookmarkStart w:id="7" w:name="_Hlk77236098"/>
      <w:r w:rsidRPr="00C512B3">
        <w:rPr>
          <w:rFonts w:ascii="Arial" w:eastAsia="Arial" w:hAnsi="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7"/>
    </w:p>
    <w:p w14:paraId="64658AFB" w14:textId="77777777" w:rsidR="004C02D8" w:rsidRPr="00C512B3" w:rsidRDefault="004C02D8" w:rsidP="00002F83">
      <w:pPr>
        <w:spacing w:after="120" w:line="276" w:lineRule="auto"/>
        <w:ind w:firstLine="708"/>
        <w:jc w:val="both"/>
        <w:rPr>
          <w:rFonts w:ascii="Arial" w:eastAsia="Calibri" w:hAnsi="Arial" w:cs="Arial"/>
        </w:rPr>
      </w:pPr>
      <w:r w:rsidRPr="00C512B3">
        <w:rPr>
          <w:rFonts w:ascii="Arial" w:eastAsia="Calibri" w:hAnsi="Arial" w:cs="Arial"/>
        </w:rPr>
        <w:t xml:space="preserve">Por un lado, el artículo 33 de la Ley 996 de 2005 prohíbe </w:t>
      </w:r>
      <w:r w:rsidRPr="00C512B3">
        <w:rPr>
          <w:rFonts w:ascii="Arial" w:eastAsia="Calibri" w:hAnsi="Arial" w:cs="Arial"/>
          <w:bCs/>
        </w:rPr>
        <w:t xml:space="preserve">«[…] </w:t>
      </w:r>
      <w:r w:rsidRPr="00C512B3">
        <w:rPr>
          <w:rFonts w:ascii="Arial" w:eastAsia="Calibri" w:hAnsi="Arial" w:cs="Arial"/>
        </w:rPr>
        <w:t>la contratación directa por parte de todos los entes del Estado</w:t>
      </w:r>
      <w:r w:rsidRPr="00C512B3">
        <w:rPr>
          <w:rFonts w:ascii="Arial" w:eastAsia="Calibri" w:hAnsi="Arial" w:cs="Arial"/>
          <w:bCs/>
        </w:rPr>
        <w:t>»</w:t>
      </w:r>
      <w:r w:rsidRPr="00C512B3">
        <w:rPr>
          <w:rFonts w:ascii="Arial" w:eastAsia="Calibri" w:hAnsi="Arial" w:cs="Arial"/>
        </w:rPr>
        <w:t xml:space="preserve"> durante los cuatro (4) meses anteriores a las elecciones presidenciales, salvo </w:t>
      </w:r>
      <w:r w:rsidRPr="00C512B3">
        <w:rPr>
          <w:rFonts w:ascii="Arial" w:eastAsia="Calibri" w:hAnsi="Arial" w:cs="Arial"/>
          <w:bCs/>
        </w:rPr>
        <w:t xml:space="preserve">«[…] </w:t>
      </w:r>
      <w:r w:rsidRPr="00C512B3">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512B3">
        <w:rPr>
          <w:rFonts w:ascii="Arial" w:eastAsia="Calibri" w:hAnsi="Arial" w:cs="Arial"/>
          <w:bCs/>
        </w:rPr>
        <w:t>»</w:t>
      </w:r>
      <w:r w:rsidRPr="00C512B3">
        <w:rPr>
          <w:rFonts w:ascii="Arial" w:eastAsia="Calibri" w:hAnsi="Arial" w:cs="Arial"/>
          <w:bCs/>
          <w:vertAlign w:val="superscript"/>
        </w:rPr>
        <w:footnoteReference w:id="9"/>
      </w:r>
      <w:r w:rsidRPr="00C512B3">
        <w:rPr>
          <w:rFonts w:ascii="Arial" w:eastAsia="Calibri" w:hAnsi="Arial" w:cs="Arial"/>
        </w:rPr>
        <w:t>.</w:t>
      </w:r>
    </w:p>
    <w:p w14:paraId="2691A012" w14:textId="489014F4" w:rsidR="004C02D8" w:rsidRPr="00C512B3" w:rsidRDefault="004C02D8" w:rsidP="00002F83">
      <w:pPr>
        <w:widowControl w:val="0"/>
        <w:autoSpaceDE w:val="0"/>
        <w:autoSpaceDN w:val="0"/>
        <w:spacing w:after="0" w:line="276" w:lineRule="auto"/>
        <w:ind w:right="113" w:firstLine="708"/>
        <w:jc w:val="both"/>
        <w:rPr>
          <w:rFonts w:ascii="Arial" w:eastAsia="Arial" w:hAnsi="Arial" w:cs="Arial"/>
          <w:lang w:val="es-ES" w:eastAsia="es-ES" w:bidi="es-ES"/>
        </w:rPr>
      </w:pPr>
      <w:r w:rsidRPr="00C512B3">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512B3">
        <w:rPr>
          <w:rFonts w:ascii="Arial" w:eastAsia="Calibri" w:hAnsi="Arial" w:cs="Arial"/>
          <w:bCs/>
        </w:rPr>
        <w:t xml:space="preserve">«[…] </w:t>
      </w:r>
      <w:r w:rsidRPr="00C512B3">
        <w:rPr>
          <w:rFonts w:ascii="Arial" w:eastAsia="Calibri" w:hAnsi="Arial" w:cs="Arial"/>
          <w:lang w:val="es-MX"/>
        </w:rPr>
        <w:t xml:space="preserve">celebrar convenios interadministrativos para la ejecución de recursos públicos, ni participar, promover y destinar recursos públicos de las entidades a su cargo, como tampoco de las que participen como miembros de sus juntas directivas, en o para reuniones de carácter </w:t>
      </w:r>
      <w:r w:rsidRPr="00C512B3">
        <w:rPr>
          <w:rFonts w:ascii="Arial" w:eastAsia="Calibri" w:hAnsi="Arial" w:cs="Arial"/>
          <w:lang w:val="es-MX"/>
        </w:rPr>
        <w:lastRenderedPageBreak/>
        <w:t>proselitista</w:t>
      </w:r>
      <w:r w:rsidRPr="00C512B3">
        <w:rPr>
          <w:rFonts w:ascii="Arial" w:eastAsia="Calibri" w:hAnsi="Arial" w:cs="Arial"/>
          <w:bCs/>
          <w:sz w:val="19"/>
          <w:szCs w:val="19"/>
        </w:rPr>
        <w:t>»</w:t>
      </w:r>
      <w:r w:rsidRPr="00C512B3">
        <w:rPr>
          <w:rFonts w:ascii="Arial" w:eastAsia="Calibri" w:hAnsi="Arial" w:cs="Arial"/>
          <w:bCs/>
          <w:sz w:val="19"/>
          <w:szCs w:val="19"/>
          <w:vertAlign w:val="superscript"/>
        </w:rPr>
        <w:footnoteReference w:id="10"/>
      </w:r>
      <w:r w:rsidRPr="00C512B3">
        <w:rPr>
          <w:rFonts w:ascii="Arial" w:eastAsia="Calibri" w:hAnsi="Arial" w:cs="Arial"/>
          <w:lang w:val="es-MX"/>
        </w:rPr>
        <w:t>.</w:t>
      </w:r>
      <w:r w:rsidRPr="00C512B3">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BB697B3" w14:textId="77777777" w:rsidR="004C02D8" w:rsidRPr="00C512B3" w:rsidRDefault="004C02D8" w:rsidP="00002F83">
      <w:pPr>
        <w:widowControl w:val="0"/>
        <w:autoSpaceDE w:val="0"/>
        <w:autoSpaceDN w:val="0"/>
        <w:spacing w:after="0" w:line="276" w:lineRule="auto"/>
        <w:ind w:left="805" w:right="812"/>
        <w:jc w:val="both"/>
        <w:rPr>
          <w:rFonts w:ascii="Arial" w:eastAsia="Arial" w:hAnsi="Arial" w:cs="Arial"/>
          <w:lang w:val="es-ES" w:eastAsia="es-ES" w:bidi="es-ES"/>
        </w:rPr>
      </w:pPr>
    </w:p>
    <w:p w14:paraId="66E67A9A" w14:textId="77777777" w:rsidR="004C02D8" w:rsidRPr="00C512B3" w:rsidRDefault="004C02D8" w:rsidP="00002F83">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C512B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0" w:name="_Hlk76109421"/>
      <w:r w:rsidRPr="00C512B3">
        <w:rPr>
          <w:rFonts w:ascii="Arial" w:eastAsia="Arial" w:hAnsi="Arial" w:cs="Arial"/>
          <w:sz w:val="21"/>
          <w:szCs w:val="21"/>
          <w:lang w:val="es-ES" w:eastAsia="es-ES" w:bidi="es-ES"/>
        </w:rPr>
        <w:t>se integran parcialmente</w:t>
      </w:r>
      <w:bookmarkEnd w:id="10"/>
      <w:r w:rsidRPr="00C512B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C512B3">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C512B3">
        <w:rPr>
          <w:rFonts w:ascii="Arial" w:eastAsia="Arial" w:hAnsi="Arial" w:cs="Arial"/>
          <w:sz w:val="21"/>
          <w:szCs w:val="21"/>
          <w:lang w:val="es-ES" w:eastAsia="es-ES" w:bidi="es-ES"/>
        </w:rPr>
        <w:t>.</w:t>
      </w:r>
      <w:r w:rsidRPr="00C512B3">
        <w:rPr>
          <w:rFonts w:ascii="Arial" w:eastAsia="Arial" w:hAnsi="Arial" w:cs="Arial"/>
          <w:sz w:val="21"/>
          <w:szCs w:val="21"/>
          <w:vertAlign w:val="superscript"/>
          <w:lang w:val="es-ES" w:eastAsia="es-ES" w:bidi="es-ES"/>
        </w:rPr>
        <w:footnoteReference w:id="11"/>
      </w:r>
    </w:p>
    <w:p w14:paraId="32FA5836" w14:textId="77777777" w:rsidR="004C02D8" w:rsidRPr="00C512B3" w:rsidRDefault="004C02D8" w:rsidP="00002F83">
      <w:pPr>
        <w:widowControl w:val="0"/>
        <w:autoSpaceDE w:val="0"/>
        <w:autoSpaceDN w:val="0"/>
        <w:spacing w:after="0" w:line="276" w:lineRule="auto"/>
        <w:rPr>
          <w:rFonts w:ascii="Arial" w:eastAsia="Arial" w:hAnsi="Arial" w:cs="Arial"/>
          <w:lang w:val="es-ES" w:eastAsia="es-ES" w:bidi="es-ES"/>
        </w:rPr>
      </w:pPr>
    </w:p>
    <w:p w14:paraId="4916E988" w14:textId="082129A9" w:rsidR="004C02D8" w:rsidRPr="00C512B3" w:rsidRDefault="004C02D8" w:rsidP="00002F83">
      <w:pPr>
        <w:spacing w:after="120" w:line="276" w:lineRule="auto"/>
        <w:ind w:firstLine="709"/>
        <w:jc w:val="both"/>
        <w:rPr>
          <w:rFonts w:ascii="Arial" w:eastAsia="Arial" w:hAnsi="Arial" w:cs="Arial"/>
          <w:lang w:val="es-ES" w:eastAsia="es-ES" w:bidi="es-ES"/>
        </w:rPr>
      </w:pPr>
      <w:r w:rsidRPr="00C512B3">
        <w:rPr>
          <w:rFonts w:ascii="Arial" w:eastAsia="Arial" w:hAnsi="Arial" w:cs="Arial"/>
          <w:lang w:val="es-ES" w:eastAsia="es-ES" w:bidi="es-ES"/>
        </w:rPr>
        <w:t xml:space="preserve">De </w:t>
      </w:r>
      <w:r w:rsidR="00663788">
        <w:rPr>
          <w:rFonts w:ascii="Arial" w:eastAsia="Arial" w:hAnsi="Arial" w:cs="Arial"/>
          <w:lang w:val="es-ES" w:eastAsia="es-ES" w:bidi="es-ES"/>
        </w:rPr>
        <w:t>lo anterior se desprende</w:t>
      </w:r>
      <w:r w:rsidR="002F0E3F">
        <w:rPr>
          <w:rFonts w:ascii="Arial" w:eastAsia="Arial" w:hAnsi="Arial" w:cs="Arial"/>
          <w:lang w:val="es-ES" w:eastAsia="es-ES" w:bidi="es-ES"/>
        </w:rPr>
        <w:t xml:space="preserve"> que</w:t>
      </w:r>
      <w:r w:rsidRPr="00C512B3">
        <w:rPr>
          <w:rFonts w:ascii="Arial" w:eastAsia="Arial" w:hAnsi="Arial" w:cs="Arial"/>
          <w:lang w:val="es-ES" w:eastAsia="es-ES" w:bidi="es-ES"/>
        </w:rPr>
        <w:t xml:space="preserve"> </w:t>
      </w:r>
      <w:bookmarkStart w:id="11" w:name="_Hlk77236420"/>
      <w:bookmarkStart w:id="12" w:name="_Hlk78818435"/>
      <w:bookmarkStart w:id="13" w:name="_Hlk75780333"/>
      <w:r w:rsidRPr="00C512B3">
        <w:rPr>
          <w:rFonts w:ascii="Arial" w:eastAsia="Arial" w:hAnsi="Arial" w:cs="Arial"/>
          <w:lang w:val="es-ES" w:eastAsia="es-ES" w:bidi="es-ES"/>
        </w:rPr>
        <w:t xml:space="preserve">la Ley 996 de 2005 establece dos (2) tipos de restricciones en materia de contratación, las cuales coinciden parcialmente. </w:t>
      </w:r>
      <w:r w:rsidRPr="00C512B3">
        <w:rPr>
          <w:rFonts w:ascii="Arial" w:eastAsia="Arial" w:hAnsi="Arial" w:cs="Arial"/>
          <w:i/>
          <w:iCs/>
          <w:lang w:val="es-ES" w:eastAsia="es-ES" w:bidi="es-ES"/>
        </w:rPr>
        <w:t>En primer lugar</w:t>
      </w:r>
      <w:r w:rsidRPr="00C512B3">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C512B3">
        <w:rPr>
          <w:rFonts w:ascii="Arial" w:eastAsia="Arial" w:hAnsi="Arial" w:cs="Arial"/>
          <w:i/>
          <w:iCs/>
          <w:lang w:val="es-ES" w:eastAsia="es-ES" w:bidi="es-ES"/>
        </w:rPr>
        <w:t>En segundo lugar</w:t>
      </w:r>
      <w:r w:rsidRPr="00C512B3">
        <w:rPr>
          <w:rFonts w:ascii="Arial" w:eastAsia="Arial" w:hAnsi="Arial" w:cs="Arial"/>
          <w:lang w:val="es-ES" w:eastAsia="es-ES" w:bidi="es-ES"/>
        </w:rPr>
        <w:t xml:space="preserve">, también se encuentra la prohibición del parágrafo del artículo 38, el cual debe aplicarse respecto de cualquier tipo de contienda electoral, y que prohíbe la celebración de </w:t>
      </w:r>
      <w:r w:rsidRPr="00C512B3">
        <w:rPr>
          <w:rFonts w:ascii="Arial" w:eastAsia="Arial" w:hAnsi="Arial" w:cs="Arial"/>
          <w:lang w:val="es-ES" w:eastAsia="es-ES" w:bidi="es-ES"/>
        </w:rPr>
        <w:lastRenderedPageBreak/>
        <w:t>convenios interadministrativos que impliquen la ejecución de recursos públicos dentro de los cuatro (4) meses anteriores a la respectiva jornada de votaciones.</w:t>
      </w:r>
      <w:bookmarkEnd w:id="11"/>
    </w:p>
    <w:bookmarkEnd w:id="12"/>
    <w:p w14:paraId="0F09DF0D" w14:textId="1BE643F1" w:rsidR="004C02D8" w:rsidRPr="00C512B3" w:rsidRDefault="004C02D8" w:rsidP="00002F83">
      <w:pPr>
        <w:spacing w:after="120" w:line="276" w:lineRule="auto"/>
        <w:ind w:firstLine="709"/>
        <w:jc w:val="both"/>
        <w:rPr>
          <w:rFonts w:ascii="Arial" w:eastAsia="Arial" w:hAnsi="Arial" w:cs="Arial"/>
          <w:lang w:val="es-ES" w:eastAsia="es-ES" w:bidi="es-ES"/>
        </w:rPr>
      </w:pPr>
      <w:r w:rsidRPr="00C512B3">
        <w:rPr>
          <w:rFonts w:ascii="Arial" w:eastAsia="Arial" w:hAnsi="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w:t>
      </w:r>
      <w:r w:rsidR="003F2C49">
        <w:rPr>
          <w:rFonts w:ascii="Arial" w:eastAsia="Arial" w:hAnsi="Arial" w:cs="Arial"/>
          <w:lang w:val="es-ES" w:eastAsia="es-ES" w:bidi="es-ES"/>
        </w:rPr>
        <w:t>o</w:t>
      </w:r>
      <w:r w:rsidRPr="00C512B3">
        <w:rPr>
          <w:rFonts w:ascii="Arial" w:eastAsia="Arial" w:hAnsi="Arial" w:cs="Arial"/>
          <w:lang w:val="es-ES" w:eastAsia="es-ES" w:bidi="es-ES"/>
        </w:rPr>
        <w:t>lo deben aplicar las restricciones contenidas en el parágrafo del artículo 38.</w:t>
      </w:r>
    </w:p>
    <w:bookmarkEnd w:id="13"/>
    <w:p w14:paraId="08BEA4A2" w14:textId="77777777" w:rsidR="004C02D8" w:rsidRPr="00C512B3" w:rsidRDefault="004C02D8" w:rsidP="00002F83">
      <w:pPr>
        <w:spacing w:after="0" w:line="276" w:lineRule="auto"/>
        <w:ind w:firstLine="708"/>
        <w:jc w:val="both"/>
        <w:rPr>
          <w:rFonts w:ascii="Arial" w:eastAsia="Arial" w:hAnsi="Arial" w:cs="Arial"/>
          <w:lang w:val="es-ES" w:eastAsia="es-ES" w:bidi="es-ES"/>
        </w:rPr>
      </w:pPr>
      <w:r w:rsidRPr="00C512B3">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4BE8317" w14:textId="77777777" w:rsidR="004C02D8" w:rsidRPr="00C512B3" w:rsidRDefault="004C02D8" w:rsidP="00002F83">
      <w:pPr>
        <w:spacing w:after="0" w:line="276" w:lineRule="auto"/>
        <w:jc w:val="both"/>
        <w:rPr>
          <w:rFonts w:ascii="Arial" w:eastAsia="Times New Roman" w:hAnsi="Arial" w:cs="Arial"/>
          <w:bCs/>
          <w:lang w:val="es-ES" w:eastAsia="es-CO"/>
        </w:rPr>
      </w:pPr>
    </w:p>
    <w:p w14:paraId="6BB7D196" w14:textId="4C53438D" w:rsidR="004C02D8" w:rsidRPr="00C512B3" w:rsidRDefault="004C02D8" w:rsidP="00002F83">
      <w:pPr>
        <w:spacing w:after="0" w:line="276" w:lineRule="auto"/>
        <w:jc w:val="both"/>
        <w:rPr>
          <w:rFonts w:ascii="Arial" w:eastAsia="Times New Roman" w:hAnsi="Arial" w:cs="Arial"/>
          <w:b/>
          <w:lang w:val="es-ES" w:eastAsia="es-CO"/>
        </w:rPr>
      </w:pPr>
      <w:r w:rsidRPr="00C512B3">
        <w:rPr>
          <w:rFonts w:ascii="Arial" w:eastAsia="Times New Roman" w:hAnsi="Arial" w:cs="Arial"/>
          <w:b/>
          <w:lang w:val="es-ES" w:eastAsia="es-CO"/>
        </w:rPr>
        <w:t xml:space="preserve">2.2. </w:t>
      </w:r>
      <w:r w:rsidR="00330464" w:rsidRPr="00C512B3">
        <w:rPr>
          <w:rFonts w:ascii="Arial" w:hAnsi="Arial" w:cs="Arial"/>
          <w:b/>
          <w:bCs/>
          <w:lang w:val="es-MX" w:eastAsia="es-CO"/>
        </w:rPr>
        <w:t xml:space="preserve">Restricciones en elecciones presidenciales: </w:t>
      </w:r>
      <w:r w:rsidR="003F2C49">
        <w:rPr>
          <w:rFonts w:ascii="Arial" w:hAnsi="Arial" w:cs="Arial"/>
          <w:b/>
          <w:bCs/>
          <w:lang w:val="es-ES_tradnl" w:eastAsia="es-CO"/>
        </w:rPr>
        <w:t>p</w:t>
      </w:r>
      <w:r w:rsidR="00330464" w:rsidRPr="00C512B3">
        <w:rPr>
          <w:rFonts w:ascii="Arial" w:hAnsi="Arial" w:cs="Arial"/>
          <w:b/>
          <w:bCs/>
          <w:lang w:val="es-ES_tradnl" w:eastAsia="es-CO"/>
        </w:rPr>
        <w:t>rohibición del artículo 33 de la Ley 996 de 2005</w:t>
      </w:r>
    </w:p>
    <w:p w14:paraId="05F0453B" w14:textId="77777777" w:rsidR="004C02D8" w:rsidRPr="00C512B3" w:rsidRDefault="004C02D8" w:rsidP="00002F83">
      <w:pPr>
        <w:spacing w:after="0" w:line="276" w:lineRule="auto"/>
        <w:jc w:val="both"/>
        <w:rPr>
          <w:rFonts w:ascii="Arial" w:eastAsia="Times New Roman" w:hAnsi="Arial" w:cs="Arial"/>
          <w:bCs/>
          <w:lang w:val="es-MX" w:eastAsia="x-none"/>
        </w:rPr>
      </w:pPr>
    </w:p>
    <w:p w14:paraId="6D9CA4E6" w14:textId="64C88667" w:rsidR="004C02D8" w:rsidRPr="00C512B3" w:rsidRDefault="004C02D8" w:rsidP="00002F83">
      <w:pPr>
        <w:spacing w:after="0" w:line="276" w:lineRule="auto"/>
        <w:jc w:val="both"/>
        <w:rPr>
          <w:rFonts w:ascii="Arial" w:eastAsia="Times New Roman" w:hAnsi="Arial" w:cs="Arial"/>
          <w:bCs/>
          <w:lang w:val="es-MX" w:eastAsia="es-CO"/>
        </w:rPr>
      </w:pPr>
      <w:r w:rsidRPr="00C512B3">
        <w:rPr>
          <w:rFonts w:ascii="Arial" w:eastAsia="Times New Roman" w:hAnsi="Arial" w:cs="Arial"/>
          <w:bCs/>
          <w:lang w:val="es-MX" w:eastAsia="x-none"/>
        </w:rPr>
        <w:t xml:space="preserve">El ámbito material de la prohibición contenida </w:t>
      </w:r>
      <w:bookmarkStart w:id="14" w:name="_Hlk75628761"/>
      <w:r w:rsidRPr="00C512B3">
        <w:rPr>
          <w:rFonts w:ascii="Arial" w:eastAsia="Times New Roman" w:hAnsi="Arial" w:cs="Arial"/>
          <w:bCs/>
          <w:lang w:val="es-MX" w:eastAsia="x-none"/>
        </w:rPr>
        <w:t xml:space="preserve">en el artículo 33 de la </w:t>
      </w:r>
      <w:r w:rsidR="00953C47" w:rsidRPr="00C512B3">
        <w:rPr>
          <w:rFonts w:ascii="Arial" w:eastAsia="Times New Roman" w:hAnsi="Arial" w:cs="Arial"/>
          <w:bCs/>
          <w:lang w:val="es-MX" w:eastAsia="x-none"/>
        </w:rPr>
        <w:t>L</w:t>
      </w:r>
      <w:r w:rsidRPr="00C512B3">
        <w:rPr>
          <w:rFonts w:ascii="Arial" w:eastAsia="Times New Roman" w:hAnsi="Arial" w:cs="Arial"/>
          <w:bCs/>
          <w:lang w:val="es-MX" w:eastAsia="x-none"/>
        </w:rPr>
        <w:t xml:space="preserve">ey 996 de 2005 </w:t>
      </w:r>
      <w:bookmarkEnd w:id="14"/>
      <w:r w:rsidRPr="00C512B3">
        <w:rPr>
          <w:rFonts w:ascii="Arial" w:eastAsia="Times New Roman" w:hAnsi="Arial" w:cs="Arial"/>
          <w:bCs/>
          <w:lang w:val="es-MX" w:eastAsia="x-none"/>
        </w:rPr>
        <w:t xml:space="preserve">está delimitado por la expresión </w:t>
      </w:r>
      <w:r w:rsidRPr="00C512B3">
        <w:rPr>
          <w:rFonts w:ascii="Arial" w:eastAsia="Calibri" w:hAnsi="Arial" w:cs="Arial"/>
          <w:bCs/>
          <w:sz w:val="20"/>
          <w:szCs w:val="20"/>
          <w:lang w:val="es-MX"/>
        </w:rPr>
        <w:t>«</w:t>
      </w:r>
      <w:r w:rsidRPr="00C512B3">
        <w:rPr>
          <w:rFonts w:ascii="Arial" w:eastAsia="Times New Roman" w:hAnsi="Arial" w:cs="Arial"/>
          <w:bCs/>
          <w:lang w:val="es-MX" w:eastAsia="x-none"/>
        </w:rPr>
        <w:t>queda prohibida la contratación directa</w:t>
      </w:r>
      <w:r w:rsidRPr="00C512B3">
        <w:rPr>
          <w:rFonts w:ascii="Arial" w:eastAsia="Calibri" w:hAnsi="Arial" w:cs="Arial"/>
          <w:sz w:val="20"/>
          <w:szCs w:val="20"/>
          <w:lang w:val="es-MX"/>
        </w:rPr>
        <w:t>»</w:t>
      </w:r>
      <w:r w:rsidRPr="00C512B3">
        <w:rPr>
          <w:rFonts w:ascii="Arial" w:eastAsia="Times New Roman" w:hAnsi="Arial" w:cs="Arial"/>
          <w:bCs/>
          <w:lang w:val="es-MX" w:eastAsia="x-none"/>
        </w:rPr>
        <w:t>.</w:t>
      </w:r>
      <w:r w:rsidR="0003450C" w:rsidRPr="00C512B3">
        <w:rPr>
          <w:rFonts w:ascii="Arial" w:eastAsia="Times New Roman" w:hAnsi="Arial" w:cs="Arial"/>
          <w:bCs/>
          <w:lang w:val="es-MX" w:eastAsia="x-none"/>
        </w:rPr>
        <w:t xml:space="preserve"> </w:t>
      </w:r>
      <w:r w:rsidRPr="00C512B3">
        <w:rPr>
          <w:rFonts w:ascii="Arial" w:eastAsia="Times New Roman" w:hAnsi="Arial" w:cs="Arial"/>
          <w:lang w:val="es-MX" w:eastAsia="es-CO"/>
        </w:rPr>
        <w:t xml:space="preserve">A propósito de </w:t>
      </w:r>
      <w:r w:rsidRPr="00C512B3">
        <w:rPr>
          <w:rFonts w:ascii="Arial" w:eastAsia="Times New Roman" w:hAnsi="Arial" w:cs="Arial"/>
          <w:lang w:eastAsia="es-CO"/>
        </w:rPr>
        <w:t xml:space="preserve">esta restricción </w:t>
      </w:r>
      <w:r w:rsidR="009575A6" w:rsidRPr="00C512B3">
        <w:rPr>
          <w:rFonts w:ascii="Arial" w:eastAsia="Times New Roman" w:hAnsi="Arial" w:cs="Arial"/>
          <w:lang w:eastAsia="es-CO"/>
        </w:rPr>
        <w:t xml:space="preserve">contenida en </w:t>
      </w:r>
      <w:r w:rsidRPr="00C512B3">
        <w:rPr>
          <w:rFonts w:ascii="Arial" w:eastAsia="Times New Roman" w:hAnsi="Arial" w:cs="Arial"/>
          <w:lang w:eastAsia="es-CO"/>
        </w:rPr>
        <w:t>la Ley de Garantías Electorales, la Sala de Consulta y Servicio Civil del Consejo de Estado ha considerado que:</w:t>
      </w:r>
    </w:p>
    <w:p w14:paraId="2D6EFBCC" w14:textId="77777777" w:rsidR="004C02D8" w:rsidRPr="00C512B3" w:rsidRDefault="004C02D8" w:rsidP="00002F83">
      <w:pPr>
        <w:spacing w:after="0" w:line="276" w:lineRule="auto"/>
        <w:ind w:left="708" w:right="709"/>
        <w:jc w:val="both"/>
        <w:rPr>
          <w:rFonts w:ascii="Arial" w:eastAsia="Calibri" w:hAnsi="Arial" w:cs="Arial"/>
          <w:sz w:val="21"/>
          <w:szCs w:val="21"/>
          <w:lang w:val="es-MX"/>
        </w:rPr>
      </w:pPr>
    </w:p>
    <w:p w14:paraId="15BE9ED9" w14:textId="77777777" w:rsidR="004C02D8" w:rsidRPr="00C512B3" w:rsidRDefault="004C02D8" w:rsidP="00002F83">
      <w:pPr>
        <w:spacing w:after="0" w:line="240" w:lineRule="auto"/>
        <w:ind w:left="709" w:right="709"/>
        <w:jc w:val="both"/>
        <w:rPr>
          <w:rFonts w:ascii="Arial" w:eastAsia="Calibri" w:hAnsi="Arial" w:cs="Arial"/>
          <w:sz w:val="21"/>
          <w:szCs w:val="21"/>
          <w:lang w:val="es-MX"/>
        </w:rPr>
      </w:pPr>
      <w:r w:rsidRPr="00C512B3">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C512B3">
        <w:rPr>
          <w:rFonts w:ascii="Arial" w:eastAsia="Times New Roman" w:hAnsi="Arial" w:cs="Arial"/>
          <w:vertAlign w:val="superscript"/>
          <w:lang w:eastAsia="es-CO"/>
        </w:rPr>
        <w:footnoteReference w:id="12"/>
      </w:r>
      <w:r w:rsidRPr="00C512B3">
        <w:rPr>
          <w:rFonts w:ascii="Arial" w:eastAsia="Calibri" w:hAnsi="Arial" w:cs="Arial"/>
          <w:sz w:val="21"/>
          <w:szCs w:val="21"/>
          <w:lang w:val="es-MX"/>
        </w:rPr>
        <w:t>.</w:t>
      </w:r>
    </w:p>
    <w:p w14:paraId="4CE0A739" w14:textId="77777777" w:rsidR="004C02D8" w:rsidRPr="00C512B3" w:rsidRDefault="004C02D8" w:rsidP="00002F83">
      <w:pPr>
        <w:spacing w:after="0" w:line="240" w:lineRule="auto"/>
        <w:ind w:left="708" w:right="709"/>
        <w:jc w:val="both"/>
        <w:rPr>
          <w:rFonts w:ascii="Arial" w:eastAsia="Calibri" w:hAnsi="Arial" w:cs="Arial"/>
          <w:sz w:val="21"/>
          <w:szCs w:val="21"/>
          <w:lang w:val="es-MX"/>
        </w:rPr>
      </w:pPr>
      <w:r w:rsidRPr="00C512B3">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17" w:name="_Hlk75741738"/>
      <w:r w:rsidRPr="00C512B3">
        <w:rPr>
          <w:rFonts w:ascii="Arial" w:eastAsia="Calibri" w:hAnsi="Arial" w:cs="Arial"/>
          <w:sz w:val="21"/>
          <w:szCs w:val="21"/>
          <w:lang w:val="es-MX"/>
        </w:rPr>
        <w:t xml:space="preserve">de cualquier sistema que no implique convocatoria pública y posibilidad de pluralidad de oferentes, </w:t>
      </w:r>
      <w:bookmarkEnd w:id="17"/>
      <w:r w:rsidRPr="00C512B3">
        <w:rPr>
          <w:rFonts w:ascii="Arial" w:eastAsia="Calibri" w:hAnsi="Arial" w:cs="Arial"/>
          <w:sz w:val="21"/>
          <w:szCs w:val="21"/>
          <w:lang w:val="es-MX"/>
        </w:rPr>
        <w:t xml:space="preserve">y que, además, no necesariamente hace referencia al procedimiento especial </w:t>
      </w:r>
      <w:r w:rsidRPr="00C512B3">
        <w:rPr>
          <w:rFonts w:ascii="Arial" w:eastAsia="Calibri" w:hAnsi="Arial" w:cs="Arial"/>
          <w:sz w:val="21"/>
          <w:szCs w:val="21"/>
          <w:lang w:val="es-MX"/>
        </w:rPr>
        <w:lastRenderedPageBreak/>
        <w:t>regulado por la ley de contratación estatal, sino a cualquier otro que prescinda de un proceso de licitación pública o concurso</w:t>
      </w:r>
      <w:r w:rsidRPr="00C512B3">
        <w:rPr>
          <w:rFonts w:ascii="Arial" w:eastAsia="Times New Roman" w:hAnsi="Arial" w:cs="Arial"/>
          <w:sz w:val="21"/>
          <w:szCs w:val="21"/>
          <w:vertAlign w:val="superscript"/>
          <w:lang w:val="es-MX"/>
        </w:rPr>
        <w:footnoteReference w:id="13"/>
      </w:r>
      <w:r w:rsidRPr="00C512B3">
        <w:rPr>
          <w:rFonts w:ascii="Arial" w:eastAsia="Times New Roman" w:hAnsi="Arial" w:cs="Arial"/>
          <w:sz w:val="21"/>
          <w:szCs w:val="21"/>
          <w:vertAlign w:val="superscript"/>
          <w:lang w:val="es-MX"/>
        </w:rPr>
        <w:t>.</w:t>
      </w:r>
      <w:r w:rsidRPr="00C512B3">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C512B3">
        <w:rPr>
          <w:rFonts w:ascii="Arial" w:eastAsia="Times New Roman" w:hAnsi="Arial" w:cs="Arial"/>
          <w:vertAlign w:val="superscript"/>
          <w:lang w:eastAsia="es-CO"/>
        </w:rPr>
        <w:footnoteReference w:id="14"/>
      </w:r>
      <w:r w:rsidRPr="00C512B3">
        <w:rPr>
          <w:rFonts w:ascii="Arial" w:eastAsia="Calibri" w:hAnsi="Arial" w:cs="Arial"/>
          <w:sz w:val="21"/>
          <w:szCs w:val="21"/>
          <w:lang w:val="es-MX"/>
        </w:rPr>
        <w:t xml:space="preserve"> .</w:t>
      </w:r>
    </w:p>
    <w:p w14:paraId="617C1EFB" w14:textId="77777777" w:rsidR="004C02D8" w:rsidRPr="00C512B3" w:rsidRDefault="004C02D8" w:rsidP="00002F83">
      <w:pPr>
        <w:spacing w:after="0" w:line="276" w:lineRule="auto"/>
        <w:ind w:firstLine="709"/>
        <w:jc w:val="both"/>
        <w:rPr>
          <w:rFonts w:ascii="Arial" w:eastAsia="Times New Roman" w:hAnsi="Arial" w:cs="Arial"/>
          <w:lang w:eastAsia="x-none"/>
        </w:rPr>
      </w:pPr>
    </w:p>
    <w:p w14:paraId="71BD64E3" w14:textId="72986A1D" w:rsidR="004C02D8" w:rsidRPr="00C512B3" w:rsidRDefault="003F2C49" w:rsidP="00002F83">
      <w:pPr>
        <w:spacing w:after="120" w:line="276" w:lineRule="auto"/>
        <w:ind w:firstLine="708"/>
        <w:jc w:val="both"/>
        <w:rPr>
          <w:rFonts w:ascii="Arial" w:eastAsia="Times New Roman" w:hAnsi="Arial" w:cs="Arial"/>
          <w:bCs/>
          <w:lang w:eastAsia="x-none"/>
        </w:rPr>
      </w:pPr>
      <w:r w:rsidRPr="00097A6E">
        <w:rPr>
          <w:rFonts w:ascii="Arial" w:hAnsi="Arial" w:cs="Arial"/>
          <w:lang w:val="es-ES_tradnl" w:eastAsia="x-none"/>
        </w:rPr>
        <w:t xml:space="preserve">De acuerdo con el citado concepto, la prohibición del artículo 33 de la Ley de Garantías Electorales se refiere a </w:t>
      </w:r>
      <w:r w:rsidRPr="00097A6E">
        <w:rPr>
          <w:rFonts w:ascii="Arial" w:hAnsi="Arial" w:cs="Arial"/>
          <w:sz w:val="19"/>
          <w:szCs w:val="19"/>
          <w:lang w:val="es-ES_tradnl" w:eastAsia="en-GB"/>
        </w:rPr>
        <w:t>«</w:t>
      </w:r>
      <w:r w:rsidRPr="00097A6E">
        <w:rPr>
          <w:rFonts w:ascii="Arial" w:hAnsi="Arial" w:cs="Arial"/>
          <w:lang w:val="es-ES_tradnl" w:eastAsia="x-none"/>
        </w:rPr>
        <w:t>cualquier sistema que no implique convocatoria pública y posibilidad de pluralidad de oferentes</w:t>
      </w:r>
      <w:r w:rsidRPr="00097A6E">
        <w:rPr>
          <w:rFonts w:ascii="Arial" w:hAnsi="Arial" w:cs="Arial"/>
          <w:lang w:val="es-ES_tradnl" w:eastAsia="en-GB"/>
        </w:rPr>
        <w:t>»</w:t>
      </w:r>
      <w:r w:rsidRPr="00097A6E">
        <w:rPr>
          <w:rFonts w:ascii="Arial" w:hAnsi="Arial" w:cs="Arial"/>
          <w:lang w:val="es-ES_tradnl" w:eastAsia="x-none"/>
        </w:rPr>
        <w:t>, por lo que excluye las demás modalidades de contratación previstas en la Ley 1150 de 2007, es decir, la licitación pública, la selección abreviada</w:t>
      </w:r>
      <w:r>
        <w:rPr>
          <w:rFonts w:ascii="Arial" w:hAnsi="Arial" w:cs="Arial"/>
          <w:lang w:val="es-ES_tradnl" w:eastAsia="x-none"/>
        </w:rPr>
        <w:t>,</w:t>
      </w:r>
      <w:r w:rsidRPr="00097A6E">
        <w:rPr>
          <w:rFonts w:ascii="Arial" w:hAnsi="Arial" w:cs="Arial"/>
          <w:lang w:val="es-ES_tradnl" w:eastAsia="x-none"/>
        </w:rPr>
        <w:t xml:space="preserve"> el concurso de méritos </w:t>
      </w:r>
      <w:r>
        <w:rPr>
          <w:rFonts w:ascii="Arial" w:hAnsi="Arial" w:cs="Arial"/>
          <w:lang w:val="es-ES_tradnl" w:eastAsia="x-none"/>
        </w:rPr>
        <w:t xml:space="preserve">y la mínima cuantía </w:t>
      </w:r>
      <w:r w:rsidRPr="00097A6E">
        <w:rPr>
          <w:rFonts w:ascii="Arial" w:hAnsi="Arial" w:cs="Arial"/>
          <w:lang w:val="es-ES_tradnl" w:eastAsia="x-none"/>
        </w:rPr>
        <w:t>u otros previstos en normas especiales</w:t>
      </w:r>
      <w:r>
        <w:rPr>
          <w:rFonts w:ascii="Arial" w:hAnsi="Arial" w:cs="Arial"/>
          <w:lang w:val="es-ES_tradnl" w:eastAsia="x-none"/>
        </w:rPr>
        <w:t>, que contemplen en alguna de sus etapas la posible participación de pluralidad de oferentes</w:t>
      </w:r>
      <w:r w:rsidRPr="00097A6E">
        <w:rPr>
          <w:rFonts w:ascii="Arial" w:hAnsi="Arial" w:cs="Arial"/>
          <w:lang w:val="es-ES_tradnl" w:eastAsia="x-none"/>
        </w:rPr>
        <w:t>. Esta posición es congruente con la expedición de la Ley 1150 de 2007 que, entre otras reformas, introdujo la selección abreviada, rediseñó el concurso de méritos y sistematizó las causales de contratación directa</w:t>
      </w:r>
      <w:r>
        <w:rPr>
          <w:rFonts w:ascii="Arial" w:hAnsi="Arial" w:cs="Arial"/>
          <w:lang w:val="es-ES_tradnl" w:eastAsia="x-none"/>
        </w:rPr>
        <w:t xml:space="preserve">, </w:t>
      </w:r>
      <w:r w:rsidRPr="006078F3">
        <w:rPr>
          <w:rFonts w:ascii="Arial" w:hAnsi="Arial" w:cs="Arial"/>
          <w:color w:val="000000" w:themeColor="text1"/>
          <w:lang w:eastAsia="x-none"/>
        </w:rPr>
        <w:t>además lo es con la posterior creación de la modalidad de mínima cuantía establecida actualmente en el numeral 5 del artículo 2 de la Ley 1150 de 2007, de acuerdo con las modificaciones realizadas por leyes posteriores</w:t>
      </w:r>
      <w:r w:rsidR="00366C90">
        <w:rPr>
          <w:rStyle w:val="Refdenotaalpie"/>
          <w:rFonts w:ascii="Arial" w:hAnsi="Arial" w:cs="Arial"/>
          <w:color w:val="000000" w:themeColor="text1"/>
          <w:lang w:eastAsia="x-none"/>
        </w:rPr>
        <w:footnoteReference w:id="15"/>
      </w:r>
      <w:r w:rsidRPr="006078F3">
        <w:rPr>
          <w:rFonts w:ascii="Arial" w:hAnsi="Arial" w:cs="Arial"/>
          <w:color w:val="000000" w:themeColor="text1"/>
          <w:lang w:eastAsia="x-none"/>
        </w:rPr>
        <w:t>.</w:t>
      </w:r>
      <w:r w:rsidR="004C02D8" w:rsidRPr="00C512B3">
        <w:rPr>
          <w:rFonts w:ascii="Arial" w:eastAsia="Times New Roman" w:hAnsi="Arial" w:cs="Arial"/>
          <w:lang w:eastAsia="x-none"/>
        </w:rPr>
        <w:t xml:space="preserve"> </w:t>
      </w:r>
    </w:p>
    <w:p w14:paraId="09D45347" w14:textId="77777777" w:rsidR="004C02D8" w:rsidRPr="00C512B3" w:rsidRDefault="004C02D8" w:rsidP="00002F83">
      <w:pPr>
        <w:spacing w:after="120" w:line="276" w:lineRule="auto"/>
        <w:ind w:firstLine="708"/>
        <w:jc w:val="both"/>
        <w:rPr>
          <w:rFonts w:ascii="Arial" w:eastAsia="Times New Roman" w:hAnsi="Arial" w:cs="Arial"/>
          <w:lang w:val="es-MX" w:eastAsia="x-none"/>
        </w:rPr>
      </w:pPr>
      <w:r w:rsidRPr="00C512B3">
        <w:rPr>
          <w:rFonts w:ascii="Arial" w:eastAsia="Times New Roman" w:hAnsi="Arial" w:cs="Arial"/>
          <w:lang w:eastAsia="x-none"/>
        </w:rPr>
        <w:t xml:space="preserve">De esta forma, con fundamento en la evolución de la normativa sobre la contratación pública, se ha depurado la noción de </w:t>
      </w:r>
      <w:r w:rsidRPr="00C512B3">
        <w:rPr>
          <w:rFonts w:ascii="Arial" w:eastAsia="Times New Roman" w:hAnsi="Arial" w:cs="Arial"/>
          <w:sz w:val="19"/>
          <w:szCs w:val="19"/>
          <w:lang w:eastAsia="en-GB"/>
        </w:rPr>
        <w:t>«</w:t>
      </w:r>
      <w:r w:rsidRPr="00C512B3">
        <w:rPr>
          <w:rFonts w:ascii="Arial" w:eastAsia="Times New Roman" w:hAnsi="Arial" w:cs="Arial"/>
          <w:lang w:eastAsia="x-none"/>
        </w:rPr>
        <w:t>contratación directa</w:t>
      </w:r>
      <w:r w:rsidRPr="00C512B3">
        <w:rPr>
          <w:rFonts w:ascii="Arial" w:eastAsia="Times New Roman" w:hAnsi="Arial" w:cs="Arial"/>
          <w:lang w:eastAsia="en-GB"/>
        </w:rPr>
        <w:t>»</w:t>
      </w:r>
      <w:r w:rsidRPr="00C512B3">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C512B3">
        <w:rPr>
          <w:rFonts w:ascii="Arial" w:eastAsia="Times New Roman" w:hAnsi="Arial" w:cs="Arial"/>
          <w:vertAlign w:val="superscript"/>
          <w:lang w:val="en-GB" w:eastAsia="x-none"/>
        </w:rPr>
        <w:footnoteReference w:id="16"/>
      </w:r>
      <w:r w:rsidRPr="00C512B3">
        <w:rPr>
          <w:rFonts w:ascii="Arial" w:eastAsia="Times New Roman" w:hAnsi="Arial" w:cs="Arial"/>
          <w:lang w:eastAsia="x-none"/>
        </w:rPr>
        <w:t>, han establecido sistemas de contratación que implican convocatoria pública y participación de varios oferentes</w:t>
      </w:r>
      <w:r w:rsidRPr="00C512B3">
        <w:rPr>
          <w:rFonts w:ascii="Arial" w:eastAsia="Times New Roman" w:hAnsi="Arial" w:cs="Arial"/>
          <w:lang w:eastAsia="en-GB"/>
        </w:rPr>
        <w:t>»</w:t>
      </w:r>
      <w:r w:rsidRPr="00C512B3">
        <w:rPr>
          <w:rFonts w:ascii="Arial" w:eastAsia="Times New Roman" w:hAnsi="Arial" w:cs="Arial"/>
          <w:lang w:eastAsia="x-none"/>
        </w:rPr>
        <w:t xml:space="preserve">. </w:t>
      </w:r>
    </w:p>
    <w:p w14:paraId="318B732E" w14:textId="77777777" w:rsidR="004C02D8" w:rsidRPr="00C512B3" w:rsidRDefault="004C02D8" w:rsidP="00002F83">
      <w:pPr>
        <w:spacing w:after="120" w:line="276" w:lineRule="auto"/>
        <w:ind w:firstLine="708"/>
        <w:jc w:val="both"/>
        <w:rPr>
          <w:rFonts w:ascii="Arial" w:eastAsia="Times New Roman" w:hAnsi="Arial" w:cs="Arial"/>
          <w:bCs/>
          <w:lang w:val="es-MX" w:eastAsia="es-CO"/>
        </w:rPr>
      </w:pPr>
      <w:r w:rsidRPr="00C512B3">
        <w:rPr>
          <w:rFonts w:ascii="Arial" w:eastAsia="Times New Roman" w:hAnsi="Arial" w:cs="Arial"/>
          <w:bCs/>
          <w:lang w:val="es-MX" w:eastAsia="x-none"/>
        </w:rPr>
        <w:t>E</w:t>
      </w:r>
      <w:r w:rsidRPr="00C512B3">
        <w:rPr>
          <w:rFonts w:ascii="Arial" w:eastAsia="Times New Roman" w:hAnsi="Arial" w:cs="Arial"/>
          <w:lang w:eastAsia="x-none"/>
        </w:rPr>
        <w:t xml:space="preserve">n efecto, vale la pena mencionar que, </w:t>
      </w:r>
      <w:bookmarkStart w:id="20" w:name="_Hlk75636073"/>
      <w:r w:rsidRPr="00C512B3">
        <w:rPr>
          <w:rFonts w:ascii="Arial" w:eastAsia="Times New Roman" w:hAnsi="Arial" w:cs="Arial"/>
          <w:lang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w:t>
      </w:r>
      <w:r w:rsidRPr="00C512B3">
        <w:rPr>
          <w:rFonts w:ascii="Arial" w:eastAsia="Times New Roman" w:hAnsi="Arial" w:cs="Arial"/>
          <w:lang w:eastAsia="x-none"/>
        </w:rPr>
        <w:lastRenderedPageBreak/>
        <w:t>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0"/>
      <w:r w:rsidRPr="00C512B3">
        <w:rPr>
          <w:rFonts w:ascii="Arial" w:eastAsia="Times New Roman" w:hAnsi="Arial" w:cs="Arial"/>
          <w:vertAlign w:val="superscript"/>
          <w:lang w:eastAsia="x-none"/>
        </w:rPr>
        <w:footnoteReference w:id="17"/>
      </w:r>
      <w:r w:rsidRPr="00C512B3">
        <w:rPr>
          <w:rFonts w:ascii="Arial" w:eastAsia="Times New Roman" w:hAnsi="Arial" w:cs="Arial"/>
          <w:lang w:eastAsia="x-none"/>
        </w:rPr>
        <w:t xml:space="preserve">. </w:t>
      </w:r>
    </w:p>
    <w:p w14:paraId="4DCE81E1" w14:textId="599C5725" w:rsidR="004C02D8" w:rsidRPr="00C512B3" w:rsidRDefault="004C02D8" w:rsidP="00002F83">
      <w:pPr>
        <w:spacing w:after="120" w:line="276" w:lineRule="auto"/>
        <w:ind w:firstLine="708"/>
        <w:jc w:val="both"/>
        <w:rPr>
          <w:rFonts w:ascii="Arial" w:eastAsia="Times New Roman" w:hAnsi="Arial" w:cs="Arial"/>
          <w:bCs/>
          <w:lang w:val="es-MX" w:eastAsia="es-CO"/>
        </w:rPr>
      </w:pPr>
      <w:r w:rsidRPr="00C512B3">
        <w:rPr>
          <w:rFonts w:ascii="Arial" w:eastAsia="Times New Roman" w:hAnsi="Arial" w:cs="Arial"/>
          <w:bCs/>
          <w:lang w:val="es-MX" w:eastAsia="es-CO"/>
        </w:rPr>
        <w:t xml:space="preserve">Como se advierte de lo anterior, el Consejo de Estado realiza una interpretación amplia </w:t>
      </w:r>
      <w:r w:rsidR="00D577D4" w:rsidRPr="00C512B3">
        <w:rPr>
          <w:rFonts w:ascii="Arial" w:eastAsia="Times New Roman" w:hAnsi="Arial" w:cs="Arial"/>
          <w:bCs/>
          <w:lang w:val="es-MX" w:eastAsia="es-CO"/>
        </w:rPr>
        <w:t>del concepto de</w:t>
      </w:r>
      <w:r w:rsidRPr="00C512B3">
        <w:rPr>
          <w:rFonts w:ascii="Arial" w:eastAsia="Times New Roman" w:hAnsi="Arial" w:cs="Arial"/>
          <w:bCs/>
          <w:lang w:val="es-MX" w:eastAsia="es-CO"/>
        </w:rPr>
        <w:t xml:space="preserve"> contratación directa, para efectos de aplicar las restricciones establecidas en la Ley de Garantías</w:t>
      </w:r>
      <w:r w:rsidR="00426579" w:rsidRPr="00C512B3">
        <w:rPr>
          <w:rFonts w:ascii="Arial" w:eastAsia="Times New Roman" w:hAnsi="Arial" w:cs="Arial"/>
          <w:bCs/>
          <w:lang w:val="es-MX" w:eastAsia="es-CO"/>
        </w:rPr>
        <w:t xml:space="preserve"> Electorales</w:t>
      </w:r>
      <w:r w:rsidRPr="00C512B3">
        <w:rPr>
          <w:rFonts w:ascii="Arial" w:eastAsia="Times New Roman" w:hAnsi="Arial" w:cs="Arial"/>
          <w:bCs/>
          <w:lang w:val="es-MX" w:eastAsia="es-CO"/>
        </w:rPr>
        <w:t xml:space="preserve">, al señalar que no solo aplica frente a las entidades sometidas al Estatuto </w:t>
      </w:r>
      <w:r w:rsidR="00426579" w:rsidRPr="00C512B3">
        <w:rPr>
          <w:rFonts w:ascii="Arial" w:eastAsia="Times New Roman" w:hAnsi="Arial" w:cs="Arial"/>
          <w:bCs/>
          <w:lang w:val="es-MX" w:eastAsia="es-CO"/>
        </w:rPr>
        <w:t xml:space="preserve">General </w:t>
      </w:r>
      <w:r w:rsidRPr="00C512B3">
        <w:rPr>
          <w:rFonts w:ascii="Arial" w:eastAsia="Times New Roman" w:hAnsi="Arial" w:cs="Arial"/>
          <w:bCs/>
          <w:lang w:val="es-MX" w:eastAsia="es-CO"/>
        </w:rPr>
        <w:t>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6596A3C" w14:textId="77777777" w:rsidR="004C02D8" w:rsidRPr="00C512B3" w:rsidRDefault="004C02D8" w:rsidP="00002F83">
      <w:pPr>
        <w:spacing w:after="120" w:line="276" w:lineRule="auto"/>
        <w:ind w:firstLine="708"/>
        <w:jc w:val="both"/>
        <w:rPr>
          <w:rFonts w:ascii="Arial" w:eastAsia="Times New Roman" w:hAnsi="Arial" w:cs="Arial"/>
          <w:bCs/>
          <w:lang w:val="es-MX" w:eastAsia="x-none"/>
        </w:rPr>
      </w:pPr>
      <w:bookmarkStart w:id="21" w:name="_Hlk78818796"/>
      <w:r w:rsidRPr="00C512B3">
        <w:rPr>
          <w:rFonts w:ascii="Arial" w:eastAsia="Times New Roman" w:hAnsi="Arial" w:cs="Arial"/>
          <w:bCs/>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512B3">
        <w:rPr>
          <w:rFonts w:ascii="Arial" w:eastAsia="Times New Roman" w:hAnsi="Arial" w:cs="Arial"/>
          <w:vertAlign w:val="superscript"/>
          <w:lang w:eastAsia="x-none"/>
        </w:rPr>
        <w:footnoteReference w:id="18"/>
      </w:r>
      <w:r w:rsidRPr="00C512B3">
        <w:rPr>
          <w:rFonts w:ascii="Arial" w:eastAsia="Times New Roman" w:hAnsi="Arial" w:cs="Arial"/>
          <w:bCs/>
          <w:lang w:val="es-MX" w:eastAsia="x-none"/>
        </w:rPr>
        <w:t>.</w:t>
      </w:r>
      <w:r w:rsidRPr="00C512B3">
        <w:rPr>
          <w:rFonts w:ascii="Arial" w:eastAsia="Times New Roman" w:hAnsi="Arial" w:cs="Arial"/>
          <w:vertAlign w:val="superscript"/>
          <w:lang w:eastAsia="x-none"/>
        </w:rPr>
        <w:t xml:space="preserve"> </w:t>
      </w:r>
    </w:p>
    <w:bookmarkEnd w:id="21"/>
    <w:p w14:paraId="2F4D3CF1" w14:textId="0F243CDE" w:rsidR="004C02D8" w:rsidRPr="00C512B3" w:rsidRDefault="004C02D8" w:rsidP="00002F83">
      <w:pPr>
        <w:spacing w:after="120" w:line="276" w:lineRule="auto"/>
        <w:ind w:firstLine="708"/>
        <w:jc w:val="both"/>
        <w:rPr>
          <w:rFonts w:ascii="Arial" w:eastAsia="Times New Roman" w:hAnsi="Arial" w:cs="Arial"/>
          <w:lang w:eastAsia="x-none"/>
        </w:rPr>
      </w:pPr>
      <w:r w:rsidRPr="00C512B3">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C512B3">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w:t>
      </w:r>
      <w:r w:rsidR="003F2C49">
        <w:rPr>
          <w:rFonts w:ascii="Arial" w:eastAsia="Times New Roman" w:hAnsi="Arial" w:cs="Arial"/>
          <w:lang w:eastAsia="x-none"/>
        </w:rPr>
        <w:t>,</w:t>
      </w:r>
      <w:r w:rsidRPr="00C512B3">
        <w:rPr>
          <w:rFonts w:ascii="Arial" w:eastAsia="Times New Roman" w:hAnsi="Arial" w:cs="Arial"/>
          <w:lang w:eastAsia="x-none"/>
        </w:rPr>
        <w:t xml:space="preserve"> la selección abreviada</w:t>
      </w:r>
      <w:r w:rsidR="008C2E17">
        <w:rPr>
          <w:rFonts w:ascii="Arial" w:eastAsia="Times New Roman" w:hAnsi="Arial" w:cs="Arial"/>
          <w:lang w:eastAsia="x-none"/>
        </w:rPr>
        <w:t xml:space="preserve"> y la mínima cuantía</w:t>
      </w:r>
      <w:r w:rsidRPr="00C512B3">
        <w:rPr>
          <w:rFonts w:ascii="Arial" w:eastAsia="Times New Roman" w:hAnsi="Arial" w:cs="Arial"/>
          <w:lang w:eastAsia="x-none"/>
        </w:rPr>
        <w:t xml:space="preserve"> razón por la cual en ese período preelectoral de que trata la disposición las entidades públicas </w:t>
      </w:r>
      <w:r w:rsidR="008C2E17">
        <w:rPr>
          <w:rFonts w:ascii="Arial" w:eastAsia="Times New Roman" w:hAnsi="Arial" w:cs="Arial"/>
          <w:lang w:eastAsia="x-none"/>
        </w:rPr>
        <w:t xml:space="preserve">pueden </w:t>
      </w:r>
      <w:r w:rsidRPr="00C512B3">
        <w:rPr>
          <w:rFonts w:ascii="Arial" w:eastAsia="Times New Roman" w:hAnsi="Arial" w:cs="Arial"/>
          <w:lang w:eastAsia="x-none"/>
        </w:rPr>
        <w:t>seguir contratando bajo estos sistemas.</w:t>
      </w:r>
    </w:p>
    <w:p w14:paraId="4127A56B" w14:textId="535B7816" w:rsidR="004C02D8" w:rsidRPr="00C512B3" w:rsidRDefault="004C02D8" w:rsidP="00002F83">
      <w:pPr>
        <w:spacing w:after="120" w:line="276" w:lineRule="auto"/>
        <w:ind w:firstLine="708"/>
        <w:jc w:val="both"/>
        <w:rPr>
          <w:rFonts w:ascii="Arial" w:eastAsia="Times New Roman" w:hAnsi="Arial" w:cs="Arial"/>
          <w:bCs/>
          <w:lang w:val="es-MX" w:eastAsia="x-none"/>
        </w:rPr>
      </w:pPr>
      <w:bookmarkStart w:id="22" w:name="_Hlk77237094"/>
      <w:r w:rsidRPr="00C512B3">
        <w:rPr>
          <w:rFonts w:ascii="Arial" w:eastAsia="Times New Roman"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8C2E17">
        <w:rPr>
          <w:rStyle w:val="Refdenotaalpie"/>
          <w:rFonts w:ascii="Arial" w:hAnsi="Arial" w:cs="Arial"/>
          <w:bCs/>
          <w:lang w:val="es-MX" w:eastAsia="es-CO"/>
        </w:rPr>
        <w:footnoteReference w:id="19"/>
      </w:r>
      <w:r w:rsidRPr="00C512B3">
        <w:rPr>
          <w:rFonts w:ascii="Arial" w:eastAsia="Times New Roman" w:hAnsi="Arial" w:cs="Arial"/>
          <w:bCs/>
          <w:lang w:val="es-MX" w:eastAsia="es-CO"/>
        </w:rPr>
        <w:t>.</w:t>
      </w:r>
      <w:bookmarkEnd w:id="22"/>
    </w:p>
    <w:p w14:paraId="2901D8BB" w14:textId="08231AA4" w:rsidR="004C02D8" w:rsidRPr="00C512B3" w:rsidRDefault="004C02D8" w:rsidP="00002F83">
      <w:pPr>
        <w:spacing w:after="120" w:line="276" w:lineRule="auto"/>
        <w:ind w:firstLine="708"/>
        <w:jc w:val="both"/>
        <w:rPr>
          <w:rFonts w:ascii="Arial" w:eastAsia="Times New Roman" w:hAnsi="Arial" w:cs="Arial"/>
          <w:bCs/>
          <w:lang w:val="es-MX" w:eastAsia="es-CO"/>
        </w:rPr>
      </w:pPr>
      <w:r w:rsidRPr="00C512B3">
        <w:rPr>
          <w:rFonts w:ascii="Arial" w:eastAsia="Times New Roman" w:hAnsi="Arial" w:cs="Arial"/>
          <w:bCs/>
          <w:lang w:val="es-MX" w:eastAsia="x-none"/>
        </w:rPr>
        <w:t>De otro lado</w:t>
      </w:r>
      <w:bookmarkStart w:id="23" w:name="_Hlk98313359"/>
      <w:r w:rsidRPr="00C512B3">
        <w:rPr>
          <w:rFonts w:ascii="Arial" w:eastAsia="Times New Roman" w:hAnsi="Arial" w:cs="Arial"/>
          <w:bCs/>
          <w:lang w:val="es-MX" w:eastAsia="x-none"/>
        </w:rPr>
        <w:t>, las excepciones a la restricción prevista en la Ley de Garantías</w:t>
      </w:r>
      <w:r w:rsidR="00D93826" w:rsidRPr="00C512B3">
        <w:rPr>
          <w:rFonts w:ascii="Arial" w:eastAsia="Times New Roman" w:hAnsi="Arial" w:cs="Arial"/>
          <w:bCs/>
          <w:lang w:val="es-MX" w:eastAsia="x-none"/>
        </w:rPr>
        <w:t xml:space="preserve"> Electorales</w:t>
      </w:r>
      <w:r w:rsidRPr="00C512B3">
        <w:rPr>
          <w:rFonts w:ascii="Arial" w:eastAsia="Times New Roman" w:hAnsi="Arial" w:cs="Arial"/>
          <w:bCs/>
          <w:lang w:val="es-MX" w:eastAsia="x-none"/>
        </w:rPr>
        <w:t xml:space="preserve">,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w:t>
      </w:r>
      <w:r w:rsidRPr="00C512B3">
        <w:rPr>
          <w:rFonts w:ascii="Arial" w:eastAsia="Times New Roman" w:hAnsi="Arial" w:cs="Arial"/>
          <w:bCs/>
          <w:lang w:val="es-MX" w:eastAsia="x-none"/>
        </w:rPr>
        <w:lastRenderedPageBreak/>
        <w:t>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512B3">
        <w:rPr>
          <w:rFonts w:ascii="Arial" w:eastAsia="Times New Roman" w:hAnsi="Arial" w:cs="Arial"/>
          <w:bCs/>
          <w:lang w:val="es-MX" w:eastAsia="es-CO"/>
        </w:rPr>
        <w:t xml:space="preserve"> </w:t>
      </w:r>
      <w:bookmarkEnd w:id="23"/>
      <w:r w:rsidRPr="00C512B3">
        <w:rPr>
          <w:rFonts w:ascii="Arial" w:eastAsia="Times New Roman" w:hAnsi="Arial" w:cs="Arial"/>
          <w:bCs/>
          <w:lang w:val="es-MX"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6E45620" w14:textId="77777777" w:rsidR="004C02D8" w:rsidRPr="00C512B3" w:rsidRDefault="004C02D8" w:rsidP="00002F83">
      <w:pPr>
        <w:spacing w:after="120" w:line="276" w:lineRule="auto"/>
        <w:ind w:firstLine="709"/>
        <w:jc w:val="both"/>
        <w:rPr>
          <w:rFonts w:ascii="Arial" w:eastAsia="Times New Roman" w:hAnsi="Arial" w:cs="Arial"/>
          <w:bCs/>
          <w:lang w:val="es-MX" w:eastAsia="x-none"/>
        </w:rPr>
      </w:pPr>
      <w:r w:rsidRPr="00C512B3">
        <w:rPr>
          <w:rFonts w:ascii="Arial" w:eastAsia="Times New Roman" w:hAnsi="Arial" w:cs="Arial"/>
          <w:bCs/>
          <w:lang w:val="es-MX" w:eastAsia="x-none"/>
        </w:rPr>
        <w:t>En esta labor es importante tener en cuenta, como lo anotó la Corte Constitucional, en Sentencia C-1153 de noviembre 11 de 2005</w:t>
      </w:r>
      <w:r w:rsidRPr="00C512B3">
        <w:rPr>
          <w:rFonts w:ascii="Arial" w:eastAsia="Calibri" w:hAnsi="Arial" w:cs="Arial"/>
          <w:sz w:val="24"/>
          <w:vertAlign w:val="superscript"/>
          <w:lang w:val="es-MX"/>
        </w:rPr>
        <w:t>,</w:t>
      </w:r>
      <w:r w:rsidRPr="00C512B3">
        <w:rPr>
          <w:rFonts w:ascii="Arial" w:eastAsia="Times New Roman" w:hAnsi="Arial" w:cs="Arial"/>
          <w:bCs/>
          <w:lang w:val="es-MX" w:eastAsia="x-none"/>
        </w:rPr>
        <w:t xml:space="preserve"> </w:t>
      </w:r>
      <w:bookmarkStart w:id="24" w:name="_Hlk74309042"/>
      <w:r w:rsidRPr="00C512B3">
        <w:rPr>
          <w:rFonts w:ascii="Arial" w:eastAsia="Times New Roman" w:hAnsi="Arial" w:cs="Arial"/>
          <w:bCs/>
          <w:lang w:val="es-MX" w:eastAsia="x-none"/>
        </w:rPr>
        <w:t>que «</w:t>
      </w:r>
      <w:bookmarkEnd w:id="24"/>
      <w:r w:rsidRPr="00C512B3">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25" w:name="_Hlk75768308"/>
      <w:r w:rsidRPr="00C512B3">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26" w:name="_Hlk74309060"/>
      <w:r w:rsidRPr="00C512B3">
        <w:rPr>
          <w:rFonts w:ascii="Arial" w:eastAsia="Times New Roman" w:hAnsi="Arial" w:cs="Arial"/>
          <w:bCs/>
          <w:lang w:val="es-MX" w:eastAsia="x-none"/>
        </w:rPr>
        <w:t>»</w:t>
      </w:r>
      <w:bookmarkEnd w:id="26"/>
      <w:r w:rsidRPr="00C512B3">
        <w:rPr>
          <w:rFonts w:ascii="Arial" w:eastAsia="Calibri" w:hAnsi="Arial" w:cs="Arial"/>
          <w:vertAlign w:val="superscript"/>
          <w:lang w:val="es-MX"/>
        </w:rPr>
        <w:footnoteReference w:id="20"/>
      </w:r>
      <w:r w:rsidRPr="00C512B3">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7" w:name="_Hlk75783800"/>
      <w:bookmarkEnd w:id="25"/>
    </w:p>
    <w:p w14:paraId="39FE1F61" w14:textId="4E9F5209" w:rsidR="003E784F" w:rsidRPr="00C512B3" w:rsidRDefault="003E784F" w:rsidP="00002F83">
      <w:pPr>
        <w:spacing w:after="120" w:line="276" w:lineRule="auto"/>
        <w:ind w:firstLine="709"/>
        <w:jc w:val="both"/>
        <w:rPr>
          <w:rFonts w:ascii="Arial" w:eastAsia="Times New Roman" w:hAnsi="Arial" w:cs="Arial"/>
          <w:bCs/>
          <w:sz w:val="21"/>
          <w:szCs w:val="21"/>
          <w:lang w:val="es-MX" w:eastAsia="es-CO"/>
        </w:rPr>
      </w:pPr>
      <w:r w:rsidRPr="003E784F">
        <w:rPr>
          <w:rFonts w:ascii="Arial" w:hAnsi="Arial" w:cs="Arial"/>
          <w:bCs/>
          <w:color w:val="000000" w:themeColor="text1"/>
          <w:lang w:val="es-MX" w:eastAsia="x-none"/>
        </w:rPr>
        <w:t>En relación con los destinatarios de la restricción analizada</w:t>
      </w:r>
      <w:r w:rsidRPr="003E784F">
        <w:rPr>
          <w:rFonts w:ascii="Arial" w:eastAsia="Times New Roman" w:hAnsi="Arial" w:cs="Arial"/>
          <w:bCs/>
          <w:lang w:val="es-MX" w:eastAsia="x-none"/>
        </w:rPr>
        <w:t>, e</w:t>
      </w:r>
      <w:r w:rsidR="004C02D8" w:rsidRPr="003E784F">
        <w:rPr>
          <w:rFonts w:ascii="Arial" w:eastAsia="Times New Roman" w:hAnsi="Arial" w:cs="Arial"/>
          <w:bCs/>
          <w:lang w:val="es-MX" w:eastAsia="x-none"/>
        </w:rPr>
        <w:t>l artículo 33</w:t>
      </w:r>
      <w:r w:rsidR="004C02D8" w:rsidRPr="00C512B3">
        <w:rPr>
          <w:rFonts w:ascii="Arial" w:eastAsia="Times New Roman" w:hAnsi="Arial" w:cs="Arial"/>
          <w:bCs/>
          <w:lang w:val="es-MX" w:eastAsia="x-none"/>
        </w:rPr>
        <w:t xml:space="preserve"> de la Ley 996 de 2005 señala expresamente a los destinatarios de la prohibición, en el sentido de que son «todos los entes del Estado», expresión que contempla a los diferentes organismos o entidades autorizadas por la ley para suscribir contratos.</w:t>
      </w:r>
      <w:r w:rsidR="004C02D8" w:rsidRPr="00C512B3">
        <w:rPr>
          <w:rFonts w:ascii="Arial" w:eastAsia="Calibri" w:hAnsi="Arial" w:cs="Arial"/>
          <w:sz w:val="24"/>
          <w:lang w:val="es-MX"/>
        </w:rPr>
        <w:t xml:space="preserve"> </w:t>
      </w:r>
      <w:r w:rsidR="004C02D8" w:rsidRPr="00C512B3">
        <w:rPr>
          <w:rFonts w:ascii="Arial" w:eastAsia="Times New Roman" w:hAnsi="Arial" w:cs="Arial"/>
          <w:bCs/>
          <w:lang w:val="es-MX" w:eastAsia="x-none"/>
        </w:rPr>
        <w:t xml:space="preserve">En efecto, tal como lo ha sostenido el Consejo de Estado, el vocablo </w:t>
      </w:r>
      <w:bookmarkStart w:id="28" w:name="_Hlk75632581"/>
      <w:r w:rsidR="004C02D8" w:rsidRPr="00C512B3">
        <w:rPr>
          <w:rFonts w:ascii="Arial" w:eastAsia="Times New Roman" w:hAnsi="Arial" w:cs="Arial"/>
          <w:bCs/>
          <w:lang w:val="es-MX" w:eastAsia="x-none"/>
        </w:rPr>
        <w:t>«</w:t>
      </w:r>
      <w:bookmarkEnd w:id="28"/>
      <w:r w:rsidR="004C02D8" w:rsidRPr="00C512B3">
        <w:rPr>
          <w:rFonts w:ascii="Arial" w:eastAsia="Times New Roman" w:hAnsi="Arial" w:cs="Arial"/>
          <w:bCs/>
          <w:lang w:val="es-MX" w:eastAsia="x-none"/>
        </w:rPr>
        <w:t>todos» utilizado por el legislador comprende</w:t>
      </w:r>
      <w:r w:rsidR="004C02D8" w:rsidRPr="00C512B3">
        <w:rPr>
          <w:rFonts w:ascii="Arial" w:eastAsia="Calibri" w:hAnsi="Arial" w:cs="Arial"/>
          <w:sz w:val="24"/>
          <w:lang w:val="es-MX"/>
        </w:rPr>
        <w:t xml:space="preserve"> </w:t>
      </w:r>
      <w:r w:rsidR="004C02D8" w:rsidRPr="00C512B3">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27"/>
      <w:r w:rsidR="004C02D8" w:rsidRPr="00C512B3">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r w:rsidR="00046D6C" w:rsidRPr="00C512B3">
        <w:rPr>
          <w:rFonts w:ascii="Arial" w:eastAsia="Times New Roman" w:hAnsi="Arial" w:cs="Arial"/>
          <w:bCs/>
          <w:lang w:val="es-MX" w:eastAsia="x-none"/>
        </w:rPr>
        <w:t>Sobre el particular, e</w:t>
      </w:r>
      <w:r w:rsidR="004C02D8" w:rsidRPr="00C512B3">
        <w:rPr>
          <w:rFonts w:ascii="Arial" w:eastAsia="Times New Roman" w:hAnsi="Arial" w:cs="Arial"/>
          <w:bCs/>
          <w:lang w:val="es-MX" w:eastAsia="x-none"/>
        </w:rPr>
        <w:t xml:space="preserve">l </w:t>
      </w:r>
      <w:r w:rsidR="004C02D8" w:rsidRPr="003E784F">
        <w:rPr>
          <w:rFonts w:ascii="Arial" w:eastAsia="Times New Roman" w:hAnsi="Arial" w:cs="Arial"/>
          <w:bCs/>
          <w:lang w:val="es-MX" w:eastAsia="x-none"/>
        </w:rPr>
        <w:t>Consejo de Estado, en Concepto con radicado 1727 de fecha 20 de febrero de 2006, consideró que</w:t>
      </w:r>
      <w:bookmarkStart w:id="29" w:name="_Hlk75787147"/>
      <w:r w:rsidRPr="003E784F">
        <w:rPr>
          <w:rFonts w:ascii="Arial" w:eastAsia="Times New Roman" w:hAnsi="Arial" w:cs="Arial"/>
          <w:bCs/>
          <w:lang w:val="es-MX" w:eastAsia="x-none"/>
        </w:rPr>
        <w:t xml:space="preserve"> </w:t>
      </w:r>
      <w:r w:rsidRPr="003E784F">
        <w:rPr>
          <w:rFonts w:ascii="Arial" w:hAnsi="Arial" w:cs="Arial"/>
          <w:bCs/>
          <w:color w:val="000000" w:themeColor="text1"/>
          <w:lang w:val="es-MX" w:eastAsia="x-none"/>
        </w:rPr>
        <w:t xml:space="preserve">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w:t>
      </w:r>
      <w:r w:rsidRPr="003E784F">
        <w:rPr>
          <w:rFonts w:ascii="Arial" w:hAnsi="Arial" w:cs="Arial"/>
          <w:bCs/>
          <w:color w:val="000000" w:themeColor="text1"/>
          <w:lang w:val="es-MX" w:eastAsia="x-none"/>
        </w:rPr>
        <w:lastRenderedPageBreak/>
        <w:t>comerciales del Estado) y a los municipios prestadores directos, incluyendo las excepciones contenidas en el segundo inciso de esta norma»</w:t>
      </w:r>
      <w:r w:rsidRPr="003E784F">
        <w:rPr>
          <w:rFonts w:ascii="Arial" w:hAnsi="Arial" w:cs="Arial"/>
          <w:bCs/>
          <w:color w:val="000000" w:themeColor="text1"/>
          <w:vertAlign w:val="superscript"/>
          <w:lang w:val="es-MX" w:eastAsia="x-none"/>
        </w:rPr>
        <w:footnoteReference w:id="21"/>
      </w:r>
      <w:r w:rsidRPr="003E784F">
        <w:rPr>
          <w:rFonts w:ascii="Arial" w:hAnsi="Arial" w:cs="Arial"/>
          <w:bCs/>
          <w:color w:val="000000" w:themeColor="text1"/>
          <w:lang w:val="es-MX" w:eastAsia="x-none"/>
        </w:rPr>
        <w:t>.</w:t>
      </w:r>
    </w:p>
    <w:p w14:paraId="7AEB8199" w14:textId="78F8D348" w:rsidR="004C02D8" w:rsidRPr="00C512B3" w:rsidRDefault="004C02D8" w:rsidP="00002F83">
      <w:pPr>
        <w:spacing w:after="0" w:line="276" w:lineRule="auto"/>
        <w:ind w:firstLine="708"/>
        <w:jc w:val="both"/>
        <w:rPr>
          <w:rFonts w:ascii="Arial" w:eastAsia="Times New Roman" w:hAnsi="Arial" w:cs="Arial"/>
          <w:bCs/>
          <w:lang w:val="es-MX" w:eastAsia="x-none"/>
        </w:rPr>
      </w:pPr>
      <w:bookmarkStart w:id="30" w:name="_Hlk77237229"/>
      <w:bookmarkEnd w:id="29"/>
      <w:r w:rsidRPr="00C512B3">
        <w:rPr>
          <w:rFonts w:ascii="Arial" w:eastAsia="Calibri" w:hAnsi="Arial" w:cs="Arial"/>
          <w:lang w:val="es-MX"/>
        </w:rPr>
        <w:t>Por lo tanto, la restricción prevista en la Ley 996 de 200</w:t>
      </w:r>
      <w:bookmarkStart w:id="31" w:name="_Hlk75741539"/>
      <w:r w:rsidRPr="00C512B3">
        <w:rPr>
          <w:rFonts w:ascii="Arial" w:eastAsia="Calibri" w:hAnsi="Arial" w:cs="Arial"/>
          <w:lang w:val="es-MX"/>
        </w:rPr>
        <w:t xml:space="preserve">5, </w:t>
      </w:r>
      <w:r w:rsidRPr="00C512B3">
        <w:rPr>
          <w:rFonts w:ascii="Arial" w:eastAsia="Times New Roman" w:hAnsi="Arial" w:cs="Arial"/>
          <w:bCs/>
          <w:lang w:val="es-MX" w:eastAsia="x-none"/>
        </w:rPr>
        <w:t xml:space="preserve">teniendo en cuenta la finalidad de la </w:t>
      </w:r>
      <w:r w:rsidR="001F028A" w:rsidRPr="00C512B3">
        <w:rPr>
          <w:rFonts w:ascii="Arial" w:eastAsia="Times New Roman" w:hAnsi="Arial" w:cs="Arial"/>
          <w:bCs/>
          <w:lang w:val="es-MX" w:eastAsia="x-none"/>
        </w:rPr>
        <w:t xml:space="preserve">Ley </w:t>
      </w:r>
      <w:r w:rsidRPr="00C512B3">
        <w:rPr>
          <w:rFonts w:ascii="Arial" w:eastAsia="Times New Roman" w:hAnsi="Arial" w:cs="Arial"/>
          <w:bCs/>
          <w:lang w:val="es-MX" w:eastAsia="x-none"/>
        </w:rPr>
        <w:t xml:space="preserve">de </w:t>
      </w:r>
      <w:r w:rsidR="001F028A" w:rsidRPr="00C512B3">
        <w:rPr>
          <w:rFonts w:ascii="Arial" w:eastAsia="Times New Roman" w:hAnsi="Arial" w:cs="Arial"/>
          <w:bCs/>
          <w:lang w:val="es-MX" w:eastAsia="x-none"/>
        </w:rPr>
        <w:t>Garantías Electorales</w:t>
      </w:r>
      <w:r w:rsidRPr="00C512B3">
        <w:rPr>
          <w:rFonts w:ascii="Arial" w:eastAsia="Times New Roman" w:hAnsi="Arial" w:cs="Arial"/>
          <w:bCs/>
          <w:lang w:val="es-MX" w:eastAsia="x-none"/>
        </w:rPr>
        <w:t>,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30"/>
    <w:bookmarkEnd w:id="31"/>
    <w:p w14:paraId="37D7D0C8" w14:textId="77777777" w:rsidR="004C02D8" w:rsidRPr="00C512B3" w:rsidRDefault="004C02D8" w:rsidP="00002F83">
      <w:pPr>
        <w:spacing w:after="0" w:line="276" w:lineRule="auto"/>
        <w:jc w:val="both"/>
        <w:rPr>
          <w:rFonts w:ascii="Arial" w:eastAsia="Calibri" w:hAnsi="Arial" w:cs="Arial"/>
          <w:lang w:val="es-MX"/>
        </w:rPr>
      </w:pPr>
    </w:p>
    <w:p w14:paraId="4E34B99A" w14:textId="1CB45E89" w:rsidR="00734119" w:rsidRPr="00C512B3" w:rsidRDefault="004C02D8" w:rsidP="00002F83">
      <w:pPr>
        <w:spacing w:after="0" w:line="276" w:lineRule="auto"/>
        <w:jc w:val="both"/>
        <w:rPr>
          <w:rFonts w:ascii="Arial" w:eastAsia="Times New Roman" w:hAnsi="Arial" w:cs="Arial"/>
          <w:b/>
          <w:lang w:val="es-ES" w:eastAsia="es-CO"/>
        </w:rPr>
      </w:pPr>
      <w:bookmarkStart w:id="32" w:name="_Hlk75784645"/>
      <w:r w:rsidRPr="00C512B3">
        <w:rPr>
          <w:rFonts w:ascii="Arial" w:eastAsia="Calibri" w:hAnsi="Arial" w:cs="Arial"/>
          <w:b/>
          <w:bCs/>
          <w:lang w:val="es-MX"/>
        </w:rPr>
        <w:t>2.</w:t>
      </w:r>
      <w:r w:rsidR="003A05AD">
        <w:rPr>
          <w:rFonts w:ascii="Arial" w:eastAsia="Calibri" w:hAnsi="Arial" w:cs="Arial"/>
          <w:b/>
          <w:bCs/>
          <w:lang w:val="es-MX"/>
        </w:rPr>
        <w:t>3</w:t>
      </w:r>
      <w:r w:rsidRPr="00C512B3">
        <w:rPr>
          <w:rFonts w:ascii="Arial" w:eastAsia="Calibri" w:hAnsi="Arial" w:cs="Arial"/>
          <w:b/>
          <w:bCs/>
          <w:lang w:val="es-MX"/>
        </w:rPr>
        <w:t xml:space="preserve">. </w:t>
      </w:r>
      <w:bookmarkStart w:id="33" w:name="_Hlk77153296"/>
      <w:r w:rsidRPr="00C512B3">
        <w:rPr>
          <w:rFonts w:ascii="Arial" w:eastAsia="Times New Roman" w:hAnsi="Arial" w:cs="Arial"/>
          <w:b/>
          <w:bCs/>
          <w:lang w:val="es-MX" w:eastAsia="es-CO"/>
        </w:rPr>
        <w:t xml:space="preserve">Restricciones </w:t>
      </w:r>
      <w:bookmarkStart w:id="34" w:name="_Hlk75643279"/>
      <w:r w:rsidRPr="00C512B3">
        <w:rPr>
          <w:rFonts w:ascii="Arial" w:eastAsia="Times New Roman" w:hAnsi="Arial" w:cs="Arial"/>
          <w:b/>
          <w:bCs/>
          <w:lang w:val="es-MX" w:eastAsia="es-CO"/>
        </w:rPr>
        <w:t>para la celebración de contratos y convenios interadministrativos en los comicios para cargos de elección popular</w:t>
      </w:r>
      <w:r w:rsidR="00734119">
        <w:rPr>
          <w:rFonts w:ascii="Arial" w:eastAsia="Times New Roman" w:hAnsi="Arial" w:cs="Arial"/>
          <w:b/>
          <w:bCs/>
          <w:lang w:val="es-MX" w:eastAsia="es-CO"/>
        </w:rPr>
        <w:t xml:space="preserve">: </w:t>
      </w:r>
      <w:r w:rsidR="003E784F">
        <w:rPr>
          <w:rFonts w:ascii="Arial" w:hAnsi="Arial" w:cs="Arial"/>
          <w:b/>
          <w:bCs/>
          <w:lang w:val="es-ES_tradnl" w:eastAsia="es-CO"/>
        </w:rPr>
        <w:t>p</w:t>
      </w:r>
      <w:r w:rsidR="00734119" w:rsidRPr="00C512B3">
        <w:rPr>
          <w:rFonts w:ascii="Arial" w:hAnsi="Arial" w:cs="Arial"/>
          <w:b/>
          <w:bCs/>
          <w:lang w:val="es-ES_tradnl" w:eastAsia="es-CO"/>
        </w:rPr>
        <w:t xml:space="preserve">rohibición del </w:t>
      </w:r>
      <w:r w:rsidR="00734119">
        <w:rPr>
          <w:rFonts w:ascii="Arial" w:hAnsi="Arial" w:cs="Arial"/>
          <w:b/>
          <w:bCs/>
          <w:lang w:val="es-ES_tradnl" w:eastAsia="es-CO"/>
        </w:rPr>
        <w:t xml:space="preserve">parágrafo del </w:t>
      </w:r>
      <w:r w:rsidR="00734119" w:rsidRPr="00C512B3">
        <w:rPr>
          <w:rFonts w:ascii="Arial" w:hAnsi="Arial" w:cs="Arial"/>
          <w:b/>
          <w:bCs/>
          <w:lang w:val="es-ES_tradnl" w:eastAsia="es-CO"/>
        </w:rPr>
        <w:t>artículo 3</w:t>
      </w:r>
      <w:r w:rsidR="00734119">
        <w:rPr>
          <w:rFonts w:ascii="Arial" w:hAnsi="Arial" w:cs="Arial"/>
          <w:b/>
          <w:bCs/>
          <w:lang w:val="es-ES_tradnl" w:eastAsia="es-CO"/>
        </w:rPr>
        <w:t>8</w:t>
      </w:r>
      <w:r w:rsidR="00734119" w:rsidRPr="00C512B3">
        <w:rPr>
          <w:rFonts w:ascii="Arial" w:hAnsi="Arial" w:cs="Arial"/>
          <w:b/>
          <w:bCs/>
          <w:lang w:val="es-ES_tradnl" w:eastAsia="es-CO"/>
        </w:rPr>
        <w:t xml:space="preserve"> de la Ley 996 de 2005</w:t>
      </w:r>
    </w:p>
    <w:p w14:paraId="2DF420D1" w14:textId="77777777" w:rsidR="004C02D8" w:rsidRPr="00C512B3" w:rsidRDefault="004C02D8" w:rsidP="00002F83">
      <w:pPr>
        <w:tabs>
          <w:tab w:val="left" w:pos="426"/>
        </w:tabs>
        <w:spacing w:after="0" w:line="276" w:lineRule="auto"/>
        <w:jc w:val="both"/>
        <w:rPr>
          <w:rFonts w:ascii="Arial" w:eastAsia="Calibri" w:hAnsi="Arial" w:cs="Arial"/>
          <w:bCs/>
        </w:rPr>
      </w:pPr>
      <w:bookmarkStart w:id="35" w:name="_Hlk88210558"/>
      <w:bookmarkEnd w:id="33"/>
      <w:bookmarkEnd w:id="34"/>
    </w:p>
    <w:p w14:paraId="099BB3CB" w14:textId="77777777" w:rsidR="004C02D8" w:rsidRPr="00C512B3" w:rsidRDefault="004C02D8" w:rsidP="00002F83">
      <w:pPr>
        <w:tabs>
          <w:tab w:val="left" w:pos="426"/>
        </w:tabs>
        <w:spacing w:after="120" w:line="276" w:lineRule="auto"/>
        <w:jc w:val="both"/>
        <w:rPr>
          <w:rFonts w:ascii="Arial" w:eastAsia="Calibri" w:hAnsi="Arial" w:cs="Arial"/>
          <w:bCs/>
        </w:rPr>
      </w:pPr>
      <w:bookmarkStart w:id="36" w:name="_Hlk98313516"/>
      <w:r w:rsidRPr="00C512B3">
        <w:rPr>
          <w:rFonts w:ascii="Arial" w:eastAsia="Calibri" w:hAnsi="Arial" w:cs="Arial"/>
          <w:bC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C512B3">
        <w:rPr>
          <w:rFonts w:ascii="Arial" w:eastAsia="Times New Roman" w:hAnsi="Arial" w:cs="Arial"/>
          <w:bCs/>
          <w:iCs/>
          <w:lang w:val="es-MX" w:eastAsia="x-none"/>
        </w:rPr>
        <w:t xml:space="preserve"> </w:t>
      </w:r>
      <w:bookmarkEnd w:id="35"/>
      <w:r w:rsidRPr="00C512B3">
        <w:rPr>
          <w:rFonts w:ascii="Arial" w:eastAsia="Times New Roman"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36"/>
      <w:r w:rsidRPr="00C512B3">
        <w:rPr>
          <w:rFonts w:ascii="Arial" w:eastAsia="Times New Roman" w:hAnsi="Arial" w:cs="Arial"/>
          <w:bCs/>
          <w:iCs/>
          <w:vertAlign w:val="superscript"/>
          <w:lang w:val="es-MX" w:eastAsia="x-none"/>
        </w:rPr>
        <w:footnoteReference w:id="22"/>
      </w:r>
      <w:r w:rsidRPr="00C512B3">
        <w:rPr>
          <w:rFonts w:ascii="Arial" w:eastAsia="Times New Roman" w:hAnsi="Arial" w:cs="Arial"/>
          <w:bCs/>
          <w:iCs/>
          <w:lang w:val="es-MX" w:eastAsia="x-none"/>
        </w:rPr>
        <w:t>.</w:t>
      </w:r>
      <w:r w:rsidRPr="00C512B3">
        <w:rPr>
          <w:rFonts w:ascii="Arial" w:eastAsia="Calibri" w:hAnsi="Arial" w:cs="Arial"/>
          <w:sz w:val="24"/>
          <w:lang w:val="es-MX"/>
        </w:rPr>
        <w:t xml:space="preserve"> </w:t>
      </w:r>
    </w:p>
    <w:p w14:paraId="354D1943" w14:textId="77777777" w:rsidR="004C02D8" w:rsidRPr="00C512B3" w:rsidRDefault="004C02D8" w:rsidP="00002F83">
      <w:pPr>
        <w:widowControl w:val="0"/>
        <w:autoSpaceDE w:val="0"/>
        <w:autoSpaceDN w:val="0"/>
        <w:spacing w:after="120" w:line="276" w:lineRule="auto"/>
        <w:ind w:firstLine="707"/>
        <w:jc w:val="both"/>
        <w:rPr>
          <w:rFonts w:ascii="Arial" w:eastAsia="Arial" w:hAnsi="Arial" w:cs="Arial"/>
          <w:lang w:val="es-ES" w:eastAsia="es-ES" w:bidi="es-ES"/>
        </w:rPr>
      </w:pPr>
      <w:r w:rsidRPr="00C512B3">
        <w:rPr>
          <w:rFonts w:ascii="Arial" w:eastAsia="Calibri" w:hAnsi="Arial" w:cs="Arial"/>
          <w:bCs/>
          <w:lang w:eastAsia="es-ES" w:bidi="es-ES"/>
        </w:rPr>
        <w:t xml:space="preserve">Ahora bien, </w:t>
      </w:r>
      <w:bookmarkStart w:id="37" w:name="_Hlk78820161"/>
      <w:r w:rsidRPr="00C512B3">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C512B3">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C512B3">
        <w:rPr>
          <w:rFonts w:ascii="Arial" w:eastAsia="Arial" w:hAnsi="Arial" w:cs="Arial"/>
          <w:vertAlign w:val="superscript"/>
          <w:lang w:val="es-ES" w:eastAsia="es-ES" w:bidi="es-ES"/>
        </w:rPr>
        <w:footnoteReference w:id="23"/>
      </w:r>
      <w:r w:rsidRPr="00C512B3">
        <w:rPr>
          <w:rFonts w:ascii="Arial" w:eastAsia="Arial" w:hAnsi="Arial" w:cs="Arial"/>
          <w:lang w:val="es-ES" w:eastAsia="es-ES" w:bidi="es-ES"/>
        </w:rPr>
        <w:t xml:space="preserve">. De acuerdo con lo anterior, el contrato o el convenio </w:t>
      </w:r>
      <w:r w:rsidRPr="00C512B3">
        <w:rPr>
          <w:rFonts w:ascii="Arial" w:eastAsia="Arial" w:hAnsi="Arial" w:cs="Arial"/>
          <w:lang w:val="es-ES" w:eastAsia="es-ES" w:bidi="es-ES"/>
        </w:rPr>
        <w:lastRenderedPageBreak/>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C512B3">
        <w:rPr>
          <w:rFonts w:ascii="Arial" w:eastAsia="Arial" w:hAnsi="Arial" w:cs="Arial"/>
          <w:spacing w:val="-6"/>
          <w:lang w:val="es-ES" w:eastAsia="es-ES" w:bidi="es-ES"/>
        </w:rPr>
        <w:t xml:space="preserve"> </w:t>
      </w:r>
      <w:r w:rsidRPr="00C512B3">
        <w:rPr>
          <w:rFonts w:ascii="Arial" w:eastAsia="Arial" w:hAnsi="Arial" w:cs="Arial"/>
          <w:lang w:val="es-ES" w:eastAsia="es-ES" w:bidi="es-ES"/>
        </w:rPr>
        <w:t>estatales.</w:t>
      </w:r>
    </w:p>
    <w:p w14:paraId="69CEE0C0" w14:textId="77777777" w:rsidR="004C02D8" w:rsidRPr="00C512B3" w:rsidRDefault="004C02D8" w:rsidP="00002F83">
      <w:pPr>
        <w:widowControl w:val="0"/>
        <w:autoSpaceDE w:val="0"/>
        <w:autoSpaceDN w:val="0"/>
        <w:spacing w:after="120" w:line="276" w:lineRule="auto"/>
        <w:ind w:firstLine="707"/>
        <w:jc w:val="both"/>
        <w:rPr>
          <w:rFonts w:ascii="Arial" w:eastAsia="Arial" w:hAnsi="Arial" w:cs="Arial"/>
          <w:lang w:val="es-ES" w:eastAsia="es-ES" w:bidi="es-ES"/>
        </w:rPr>
      </w:pPr>
      <w:bookmarkStart w:id="38" w:name="_Hlk78820654"/>
      <w:bookmarkEnd w:id="37"/>
      <w:r w:rsidRPr="00C512B3">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38"/>
    <w:p w14:paraId="4091158B" w14:textId="77777777" w:rsidR="004C02D8" w:rsidRPr="00C512B3" w:rsidRDefault="004C02D8" w:rsidP="00002F83">
      <w:pPr>
        <w:widowControl w:val="0"/>
        <w:autoSpaceDE w:val="0"/>
        <w:autoSpaceDN w:val="0"/>
        <w:spacing w:after="120" w:line="276" w:lineRule="auto"/>
        <w:ind w:firstLine="707"/>
        <w:jc w:val="both"/>
        <w:rPr>
          <w:rFonts w:ascii="Arial" w:eastAsia="Arial" w:hAnsi="Arial" w:cs="Arial"/>
          <w:lang w:val="es-ES" w:eastAsia="es-ES" w:bidi="es-ES"/>
        </w:rPr>
      </w:pPr>
      <w:r w:rsidRPr="00C512B3">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512B3">
        <w:rPr>
          <w:rFonts w:ascii="Arial" w:eastAsia="Arial" w:hAnsi="Arial" w:cs="Arial"/>
          <w:vertAlign w:val="superscript"/>
          <w:lang w:val="es-ES" w:eastAsia="es-ES" w:bidi="es-ES"/>
        </w:rPr>
        <w:footnoteReference w:id="24"/>
      </w:r>
      <w:r w:rsidRPr="00C512B3">
        <w:rPr>
          <w:rFonts w:ascii="Arial" w:eastAsia="Arial" w:hAnsi="Arial" w:cs="Arial"/>
          <w:lang w:val="es-ES" w:eastAsia="es-ES" w:bidi="es-ES"/>
        </w:rPr>
        <w:t>. Nótese que, en este caso, lo que cambia es la modalidad de selección y no la naturaleza de contrato</w:t>
      </w:r>
      <w:r w:rsidRPr="00C512B3">
        <w:rPr>
          <w:rFonts w:ascii="Arial" w:eastAsia="Arial" w:hAnsi="Arial" w:cs="Arial"/>
          <w:spacing w:val="-18"/>
          <w:lang w:val="es-ES" w:eastAsia="es-ES" w:bidi="es-ES"/>
        </w:rPr>
        <w:t xml:space="preserve"> </w:t>
      </w:r>
      <w:r w:rsidRPr="00C512B3">
        <w:rPr>
          <w:rFonts w:ascii="Arial" w:eastAsia="Arial" w:hAnsi="Arial" w:cs="Arial"/>
          <w:lang w:val="es-ES" w:eastAsia="es-ES" w:bidi="es-ES"/>
        </w:rPr>
        <w:t>interadministrativo.</w:t>
      </w:r>
    </w:p>
    <w:p w14:paraId="18F44FA3" w14:textId="3EFCB143" w:rsidR="004C02D8" w:rsidRPr="00C512B3" w:rsidRDefault="004C02D8" w:rsidP="00002F83">
      <w:pPr>
        <w:widowControl w:val="0"/>
        <w:autoSpaceDE w:val="0"/>
        <w:autoSpaceDN w:val="0"/>
        <w:spacing w:after="0" w:line="276" w:lineRule="auto"/>
        <w:ind w:firstLine="707"/>
        <w:jc w:val="both"/>
        <w:rPr>
          <w:rFonts w:ascii="Arial" w:eastAsia="Arial" w:hAnsi="Arial" w:cs="Arial"/>
          <w:lang w:val="es-ES" w:eastAsia="es-ES" w:bidi="es-ES"/>
        </w:rPr>
      </w:pPr>
      <w:r w:rsidRPr="00C512B3">
        <w:rPr>
          <w:rFonts w:ascii="Arial" w:eastAsia="Arial" w:hAnsi="Arial" w:cs="Arial"/>
          <w:lang w:val="es-ES" w:eastAsia="es-ES" w:bidi="es-ES"/>
        </w:rPr>
        <w:t xml:space="preserve">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w:t>
      </w:r>
      <w:r w:rsidR="00435130">
        <w:rPr>
          <w:rFonts w:ascii="Arial" w:eastAsia="Arial" w:hAnsi="Arial" w:cs="Arial"/>
          <w:lang w:val="es-ES" w:eastAsia="es-ES" w:bidi="es-ES"/>
        </w:rPr>
        <w:t>con</w:t>
      </w:r>
      <w:r w:rsidRPr="00C512B3">
        <w:rPr>
          <w:rFonts w:ascii="Arial" w:eastAsia="Arial" w:hAnsi="Arial" w:cs="Arial"/>
          <w:lang w:val="es-ES" w:eastAsia="es-ES" w:bidi="es-ES"/>
        </w:rPr>
        <w:t xml:space="preserve"> un criterio orgánico, por lo que uno de sus elementos esenciales es que en los extremos de la relación jurídico </w:t>
      </w:r>
      <w:proofErr w:type="spellStart"/>
      <w:r w:rsidRPr="00C512B3">
        <w:rPr>
          <w:rFonts w:ascii="Arial" w:eastAsia="Arial" w:hAnsi="Arial" w:cs="Arial"/>
          <w:lang w:val="es-ES" w:eastAsia="es-ES" w:bidi="es-ES"/>
        </w:rPr>
        <w:t>negocial</w:t>
      </w:r>
      <w:proofErr w:type="spellEnd"/>
      <w:r w:rsidRPr="00C512B3">
        <w:rPr>
          <w:rFonts w:ascii="Arial" w:eastAsia="Arial" w:hAnsi="Arial" w:cs="Arial"/>
          <w:lang w:val="es-ES" w:eastAsia="es-ES" w:bidi="es-ES"/>
        </w:rPr>
        <w:t xml:space="preserve"> concurran personas de derecho público. Adicionalmente, el Consejo de Estado ha indicado, frente al convenio interadministrativo y sus características,</w:t>
      </w:r>
      <w:r w:rsidRPr="00C512B3">
        <w:rPr>
          <w:rFonts w:ascii="Arial" w:eastAsia="Arial" w:hAnsi="Arial" w:cs="Arial"/>
          <w:spacing w:val="-13"/>
          <w:lang w:val="es-ES" w:eastAsia="es-ES" w:bidi="es-ES"/>
        </w:rPr>
        <w:t xml:space="preserve"> </w:t>
      </w:r>
      <w:r w:rsidRPr="00C512B3">
        <w:rPr>
          <w:rFonts w:ascii="Arial" w:eastAsia="Arial" w:hAnsi="Arial" w:cs="Arial"/>
          <w:lang w:val="es-ES" w:eastAsia="es-ES" w:bidi="es-ES"/>
        </w:rPr>
        <w:t>que:</w:t>
      </w:r>
    </w:p>
    <w:p w14:paraId="6F9FE765" w14:textId="77777777" w:rsidR="004C02D8" w:rsidRPr="00C512B3" w:rsidRDefault="004C02D8" w:rsidP="00002F83">
      <w:pPr>
        <w:widowControl w:val="0"/>
        <w:autoSpaceDE w:val="0"/>
        <w:autoSpaceDN w:val="0"/>
        <w:spacing w:after="0" w:line="276" w:lineRule="auto"/>
        <w:ind w:firstLine="707"/>
        <w:jc w:val="both"/>
        <w:rPr>
          <w:rFonts w:ascii="Arial" w:eastAsia="Arial" w:hAnsi="Arial" w:cs="Arial"/>
          <w:lang w:val="es-ES" w:eastAsia="es-ES" w:bidi="es-ES"/>
        </w:rPr>
      </w:pPr>
    </w:p>
    <w:p w14:paraId="647CFCF5" w14:textId="77777777" w:rsidR="004C02D8" w:rsidRPr="00C512B3" w:rsidRDefault="004C02D8" w:rsidP="00002F83">
      <w:pPr>
        <w:spacing w:after="0" w:line="240" w:lineRule="auto"/>
        <w:ind w:left="709" w:right="709"/>
        <w:jc w:val="both"/>
        <w:rPr>
          <w:rFonts w:ascii="Arial" w:eastAsia="Calibri" w:hAnsi="Arial" w:cs="Arial"/>
          <w:sz w:val="21"/>
          <w:lang w:val="es-MX"/>
        </w:rPr>
      </w:pPr>
      <w:r w:rsidRPr="00C512B3">
        <w:rPr>
          <w:rFonts w:ascii="Arial" w:eastAsia="Calibri" w:hAnsi="Arial" w:cs="Arial"/>
          <w:sz w:val="21"/>
          <w:lang w:val="es-MX"/>
        </w:rPr>
        <w:t xml:space="preserve">[…] se puede señalar que los convenios o contratos interadministrativos tienen como características principales las siguientes: (i) constituyen verdaderos contratos en los términos del Código de Comercio cuando su objeto lo </w:t>
      </w:r>
      <w:r w:rsidRPr="00C512B3">
        <w:rPr>
          <w:rFonts w:ascii="Arial" w:eastAsia="Calibri" w:hAnsi="Arial" w:cs="Arial"/>
          <w:sz w:val="21"/>
          <w:lang w:val="es-MX"/>
        </w:rPr>
        <w:lastRenderedPageBreak/>
        <w:t>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C512B3">
        <w:rPr>
          <w:rFonts w:ascii="Arial" w:eastAsia="Calibri" w:hAnsi="Arial" w:cs="Arial"/>
          <w:sz w:val="21"/>
          <w:vertAlign w:val="superscript"/>
          <w:lang w:val="es-MX"/>
        </w:rPr>
        <w:footnoteReference w:id="25"/>
      </w:r>
      <w:r w:rsidRPr="00C512B3">
        <w:rPr>
          <w:rFonts w:ascii="Arial" w:eastAsia="Calibri" w:hAnsi="Arial" w:cs="Arial"/>
          <w:sz w:val="21"/>
          <w:lang w:val="es-MX"/>
        </w:rPr>
        <w:t>.</w:t>
      </w:r>
    </w:p>
    <w:p w14:paraId="2A01392B" w14:textId="77777777" w:rsidR="004C02D8" w:rsidRPr="00C512B3" w:rsidRDefault="004C02D8" w:rsidP="00002F83">
      <w:pPr>
        <w:spacing w:after="0" w:line="276" w:lineRule="auto"/>
        <w:ind w:left="709" w:right="709"/>
        <w:jc w:val="both"/>
        <w:rPr>
          <w:rFonts w:ascii="Arial" w:eastAsia="Calibri" w:hAnsi="Arial" w:cs="Arial"/>
          <w:lang w:val="es-MX"/>
        </w:rPr>
      </w:pPr>
    </w:p>
    <w:p w14:paraId="0BFAEB42" w14:textId="77777777" w:rsidR="004C02D8" w:rsidRPr="00C512B3" w:rsidRDefault="004C02D8" w:rsidP="00002F83">
      <w:pPr>
        <w:widowControl w:val="0"/>
        <w:autoSpaceDE w:val="0"/>
        <w:autoSpaceDN w:val="0"/>
        <w:spacing w:after="120" w:line="276" w:lineRule="auto"/>
        <w:ind w:firstLine="707"/>
        <w:jc w:val="both"/>
        <w:rPr>
          <w:rFonts w:ascii="Arial" w:eastAsia="Arial" w:hAnsi="Arial" w:cs="Arial"/>
          <w:lang w:val="es-ES" w:eastAsia="es-ES" w:bidi="es-ES"/>
        </w:rPr>
      </w:pPr>
      <w:r w:rsidRPr="00C512B3">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34200524" w14:textId="77777777" w:rsidR="004C02D8" w:rsidRPr="00C512B3" w:rsidRDefault="004C02D8" w:rsidP="00002F83">
      <w:pPr>
        <w:widowControl w:val="0"/>
        <w:autoSpaceDE w:val="0"/>
        <w:autoSpaceDN w:val="0"/>
        <w:spacing w:after="120" w:line="276" w:lineRule="auto"/>
        <w:ind w:firstLine="707"/>
        <w:jc w:val="both"/>
        <w:rPr>
          <w:rFonts w:ascii="Arial" w:eastAsia="Arial" w:hAnsi="Arial" w:cs="Arial"/>
          <w:lang w:val="es-ES" w:eastAsia="es-ES" w:bidi="es-ES"/>
        </w:rPr>
      </w:pPr>
      <w:r w:rsidRPr="00C512B3">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C512B3">
        <w:rPr>
          <w:rFonts w:ascii="Arial" w:eastAsia="Arial" w:hAnsi="Arial" w:cs="Arial"/>
          <w:spacing w:val="-3"/>
          <w:lang w:val="es-ES" w:eastAsia="es-ES" w:bidi="es-ES"/>
        </w:rPr>
        <w:t xml:space="preserve"> </w:t>
      </w:r>
      <w:r w:rsidRPr="00C512B3">
        <w:rPr>
          <w:rFonts w:ascii="Arial" w:eastAsia="Arial" w:hAnsi="Arial" w:cs="Arial"/>
          <w:lang w:val="es-ES" w:eastAsia="es-ES" w:bidi="es-ES"/>
        </w:rPr>
        <w:t>estatales.</w:t>
      </w:r>
    </w:p>
    <w:p w14:paraId="4B71F877" w14:textId="07A7E787" w:rsidR="004C02D8" w:rsidRPr="00C512B3" w:rsidRDefault="004C02D8" w:rsidP="00002F83">
      <w:pPr>
        <w:widowControl w:val="0"/>
        <w:autoSpaceDE w:val="0"/>
        <w:autoSpaceDN w:val="0"/>
        <w:spacing w:after="120" w:line="276" w:lineRule="auto"/>
        <w:ind w:firstLine="709"/>
        <w:jc w:val="both"/>
        <w:rPr>
          <w:rFonts w:ascii="Arial" w:eastAsia="Arial" w:hAnsi="Arial" w:cs="Arial"/>
          <w:lang w:val="es-ES" w:eastAsia="es-ES" w:bidi="es-ES"/>
        </w:rPr>
      </w:pPr>
      <w:r w:rsidRPr="00C512B3">
        <w:rPr>
          <w:rFonts w:ascii="Arial" w:eastAsia="Arial" w:hAnsi="Arial"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r w:rsidR="008E0D8B" w:rsidRPr="00C512B3">
        <w:rPr>
          <w:rFonts w:ascii="Arial" w:eastAsia="Arial" w:hAnsi="Arial" w:cs="Arial"/>
          <w:lang w:val="es-ES" w:eastAsia="es-ES" w:bidi="es-ES"/>
        </w:rPr>
        <w:t>Estatuto General de Contratación de la Administración Pública</w:t>
      </w:r>
      <w:r w:rsidRPr="00C512B3">
        <w:rPr>
          <w:rFonts w:ascii="Arial" w:eastAsia="Arial" w:hAnsi="Arial" w:cs="Arial"/>
          <w:lang w:val="es-ES" w:eastAsia="es-ES" w:bidi="es-ES"/>
        </w:rPr>
        <w:t xml:space="preserve">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w:t>
      </w:r>
      <w:r w:rsidRPr="00C512B3">
        <w:rPr>
          <w:rFonts w:ascii="Arial" w:eastAsia="Arial" w:hAnsi="Arial" w:cs="Arial"/>
          <w:lang w:val="es-ES" w:eastAsia="es-ES" w:bidi="es-ES"/>
        </w:rPr>
        <w:lastRenderedPageBreak/>
        <w:t>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C512B3">
        <w:rPr>
          <w:rFonts w:ascii="Arial" w:eastAsia="Arial" w:hAnsi="Arial" w:cs="Arial"/>
          <w:spacing w:val="-4"/>
          <w:lang w:val="es-ES" w:eastAsia="es-ES" w:bidi="es-ES"/>
        </w:rPr>
        <w:t xml:space="preserve"> </w:t>
      </w:r>
      <w:r w:rsidRPr="00C512B3">
        <w:rPr>
          <w:rFonts w:ascii="Arial" w:eastAsia="Arial" w:hAnsi="Arial" w:cs="Arial"/>
          <w:lang w:val="es-ES" w:eastAsia="es-ES" w:bidi="es-ES"/>
        </w:rPr>
        <w:t>estatales.</w:t>
      </w:r>
    </w:p>
    <w:p w14:paraId="6E55C485" w14:textId="163CB972" w:rsidR="004C02D8" w:rsidRPr="00C512B3" w:rsidRDefault="004130B9" w:rsidP="00002F83">
      <w:pPr>
        <w:widowControl w:val="0"/>
        <w:autoSpaceDE w:val="0"/>
        <w:autoSpaceDN w:val="0"/>
        <w:spacing w:after="120" w:line="276" w:lineRule="auto"/>
        <w:ind w:firstLine="708"/>
        <w:jc w:val="both"/>
        <w:rPr>
          <w:rFonts w:ascii="Arial" w:eastAsia="Arial" w:hAnsi="Arial" w:cs="Arial"/>
          <w:lang w:val="es-ES" w:eastAsia="es-ES" w:bidi="es-ES"/>
        </w:rPr>
      </w:pPr>
      <w:r w:rsidRPr="00C512B3">
        <w:rPr>
          <w:rFonts w:ascii="Arial" w:eastAsia="Arial" w:hAnsi="Arial" w:cs="Arial"/>
          <w:lang w:val="es-ES" w:eastAsia="es-ES" w:bidi="es-ES"/>
        </w:rPr>
        <w:t>Es importante</w:t>
      </w:r>
      <w:r w:rsidR="004C02D8" w:rsidRPr="00C512B3">
        <w:rPr>
          <w:rFonts w:ascii="Arial" w:eastAsia="Arial" w:hAnsi="Arial" w:cs="Arial"/>
          <w:lang w:val="es-ES" w:eastAsia="es-ES" w:bidi="es-ES"/>
        </w:rPr>
        <w:t xml:space="preserve">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B61139B" w14:textId="77777777" w:rsidR="004C02D8" w:rsidRPr="00C512B3" w:rsidRDefault="004C02D8" w:rsidP="00002F83">
      <w:pPr>
        <w:widowControl w:val="0"/>
        <w:autoSpaceDE w:val="0"/>
        <w:autoSpaceDN w:val="0"/>
        <w:spacing w:after="120" w:line="276" w:lineRule="auto"/>
        <w:ind w:firstLine="708"/>
        <w:jc w:val="both"/>
        <w:rPr>
          <w:rFonts w:ascii="Arial" w:eastAsia="Calibri" w:hAnsi="Arial" w:cs="Arial"/>
          <w:bCs/>
          <w:lang w:eastAsia="es-ES" w:bidi="es-ES"/>
        </w:rPr>
      </w:pPr>
      <w:r w:rsidRPr="00C512B3">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C512B3">
        <w:rPr>
          <w:rFonts w:ascii="Arial" w:eastAsia="Arial" w:hAnsi="Arial" w:cs="Arial"/>
          <w:spacing w:val="-4"/>
          <w:lang w:val="es-ES" w:eastAsia="es-ES" w:bidi="es-ES"/>
        </w:rPr>
        <w:t xml:space="preserve"> </w:t>
      </w:r>
      <w:r w:rsidRPr="00C512B3">
        <w:rPr>
          <w:rFonts w:ascii="Arial" w:eastAsia="Arial" w:hAnsi="Arial" w:cs="Arial"/>
          <w:lang w:val="es-ES" w:eastAsia="es-ES" w:bidi="es-ES"/>
        </w:rPr>
        <w:t>[…]»</w:t>
      </w:r>
      <w:r w:rsidRPr="00C512B3">
        <w:rPr>
          <w:rFonts w:ascii="Arial" w:eastAsia="Arial" w:hAnsi="Arial" w:cs="Arial"/>
          <w:vertAlign w:val="superscript"/>
          <w:lang w:val="es-ES" w:eastAsia="es-ES" w:bidi="es-ES"/>
        </w:rPr>
        <w:footnoteReference w:id="26"/>
      </w:r>
      <w:r w:rsidRPr="00C512B3">
        <w:rPr>
          <w:rFonts w:ascii="Arial" w:eastAsia="Arial" w:hAnsi="Arial" w:cs="Arial"/>
          <w:lang w:val="es-ES" w:eastAsia="es-ES" w:bidi="es-ES"/>
        </w:rPr>
        <w:t>.</w:t>
      </w:r>
      <w:bookmarkStart w:id="39" w:name="_Hlk77171241"/>
    </w:p>
    <w:p w14:paraId="063A13BA" w14:textId="77777777" w:rsidR="004C02D8" w:rsidRPr="00C512B3" w:rsidRDefault="004C02D8" w:rsidP="00002F83">
      <w:pPr>
        <w:widowControl w:val="0"/>
        <w:autoSpaceDE w:val="0"/>
        <w:autoSpaceDN w:val="0"/>
        <w:spacing w:after="0" w:line="276" w:lineRule="auto"/>
        <w:ind w:firstLine="709"/>
        <w:jc w:val="both"/>
        <w:rPr>
          <w:rFonts w:ascii="Arial" w:eastAsia="Arial" w:hAnsi="Arial" w:cs="Arial"/>
          <w:lang w:val="es-ES" w:eastAsia="es-ES" w:bidi="es-ES"/>
        </w:rPr>
      </w:pPr>
      <w:r w:rsidRPr="00C512B3">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D138821" w14:textId="77777777" w:rsidR="004C02D8" w:rsidRPr="00C512B3" w:rsidRDefault="004C02D8" w:rsidP="00002F83">
      <w:pPr>
        <w:widowControl w:val="0"/>
        <w:autoSpaceDE w:val="0"/>
        <w:autoSpaceDN w:val="0"/>
        <w:spacing w:after="0" w:line="276" w:lineRule="auto"/>
        <w:ind w:firstLine="709"/>
        <w:jc w:val="both"/>
        <w:rPr>
          <w:rFonts w:ascii="Arial" w:eastAsia="Arial" w:hAnsi="Arial" w:cs="Arial"/>
          <w:lang w:val="es-ES" w:eastAsia="es-ES" w:bidi="es-ES"/>
        </w:rPr>
      </w:pPr>
    </w:p>
    <w:p w14:paraId="715A57B7" w14:textId="77777777" w:rsidR="004C02D8" w:rsidRPr="00C512B3" w:rsidRDefault="004C02D8" w:rsidP="00002F83">
      <w:pPr>
        <w:spacing w:after="0" w:line="240" w:lineRule="auto"/>
        <w:ind w:left="709" w:right="709"/>
        <w:jc w:val="both"/>
        <w:rPr>
          <w:rFonts w:ascii="Arial" w:eastAsia="Calibri" w:hAnsi="Arial" w:cs="Arial"/>
          <w:sz w:val="21"/>
          <w:szCs w:val="21"/>
          <w:lang w:val="es-ES_tradnl"/>
        </w:rPr>
      </w:pPr>
      <w:r w:rsidRPr="00C512B3">
        <w:rPr>
          <w:rFonts w:ascii="Arial" w:eastAsia="Calibri" w:hAnsi="Arial" w:cs="Arial"/>
          <w:sz w:val="21"/>
          <w:szCs w:val="21"/>
          <w:lang w:val="es-ES_tradnl"/>
        </w:rPr>
        <w:t>La Sala de Consulta y Servicio Civil</w:t>
      </w:r>
      <w:r w:rsidRPr="00C512B3">
        <w:rPr>
          <w:rFonts w:ascii="Arial" w:eastAsia="Calibri" w:hAnsi="Arial" w:cs="Arial"/>
          <w:sz w:val="21"/>
          <w:szCs w:val="21"/>
          <w:vertAlign w:val="superscript"/>
          <w:lang w:val="es-ES_tradnl"/>
        </w:rPr>
        <w:footnoteReference w:id="27"/>
      </w:r>
      <w:r w:rsidRPr="00C512B3">
        <w:rPr>
          <w:rFonts w:ascii="Arial" w:eastAsia="Calibri" w:hAnsi="Arial" w:cs="Arial"/>
          <w:sz w:val="21"/>
          <w:szCs w:val="21"/>
          <w:lang w:val="es-ES_tradnl"/>
        </w:rPr>
        <w:t xml:space="preserve"> de esta Corporación se ha referido a los </w:t>
      </w:r>
      <w:r w:rsidRPr="00C512B3">
        <w:rPr>
          <w:rFonts w:ascii="Arial" w:eastAsia="Calibri" w:hAnsi="Arial" w:cs="Arial"/>
          <w:i/>
          <w:sz w:val="21"/>
          <w:szCs w:val="21"/>
          <w:lang w:val="es-ES_tradnl"/>
        </w:rPr>
        <w:t>“convenios interadministrativos”</w:t>
      </w:r>
      <w:r w:rsidRPr="00C512B3">
        <w:rPr>
          <w:rFonts w:ascii="Arial" w:eastAsia="Calibri" w:hAnsi="Arial" w:cs="Arial"/>
          <w:sz w:val="21"/>
          <w:szCs w:val="21"/>
          <w:lang w:val="es-ES_tradnl"/>
        </w:rPr>
        <w:t xml:space="preserve"> a los cuales alude el artículo 95 de la Ley 489 de 1998, calificándolos de </w:t>
      </w:r>
      <w:r w:rsidRPr="00C512B3">
        <w:rPr>
          <w:rFonts w:ascii="Arial" w:eastAsia="Calibri" w:hAnsi="Arial" w:cs="Arial"/>
          <w:i/>
          <w:sz w:val="21"/>
          <w:szCs w:val="21"/>
          <w:lang w:val="es-ES_tradnl"/>
        </w:rPr>
        <w:t xml:space="preserve">“puros” </w:t>
      </w:r>
      <w:r w:rsidRPr="00C512B3">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C512B3">
        <w:rPr>
          <w:rFonts w:ascii="Arial" w:eastAsia="Calibri" w:hAnsi="Arial" w:cs="Arial"/>
          <w:i/>
          <w:sz w:val="21"/>
          <w:szCs w:val="21"/>
          <w:lang w:val="es-ES_tradnl"/>
        </w:rPr>
        <w:t>“intercambio patrimonial”</w:t>
      </w:r>
      <w:r w:rsidRPr="00C512B3">
        <w:rPr>
          <w:rFonts w:ascii="Arial" w:eastAsia="Calibri" w:hAnsi="Arial" w:cs="Arial"/>
          <w:sz w:val="21"/>
          <w:szCs w:val="21"/>
          <w:lang w:val="es-ES_tradnl"/>
        </w:rPr>
        <w:t>. Sin perjuicio de lo anterior, en otra oportunidad, la misma Sala</w:t>
      </w:r>
      <w:r w:rsidRPr="00C512B3">
        <w:rPr>
          <w:rFonts w:ascii="Arial" w:eastAsia="Calibri" w:hAnsi="Arial" w:cs="Arial"/>
          <w:sz w:val="21"/>
          <w:szCs w:val="21"/>
          <w:vertAlign w:val="superscript"/>
          <w:lang w:val="es-ES_tradnl"/>
        </w:rPr>
        <w:footnoteReference w:id="28"/>
      </w:r>
      <w:r w:rsidRPr="00C512B3">
        <w:rPr>
          <w:rFonts w:ascii="Arial" w:eastAsia="Calibri" w:hAnsi="Arial" w:cs="Arial"/>
          <w:sz w:val="21"/>
          <w:szCs w:val="21"/>
          <w:lang w:val="es-ES_tradnl"/>
        </w:rPr>
        <w:t xml:space="preserve"> había indicado que, </w:t>
      </w:r>
      <w:r w:rsidRPr="00C512B3">
        <w:rPr>
          <w:rFonts w:ascii="Arial" w:eastAsia="Calibri" w:hAnsi="Arial" w:cs="Arial"/>
          <w:sz w:val="21"/>
          <w:szCs w:val="21"/>
          <w:lang w:val="es-ES_tradnl"/>
        </w:rPr>
        <w:lastRenderedPageBreak/>
        <w:t xml:space="preserve">si bien en dichos convenios no se daba un </w:t>
      </w:r>
      <w:r w:rsidRPr="00C512B3">
        <w:rPr>
          <w:rFonts w:ascii="Arial" w:eastAsia="Calibri" w:hAnsi="Arial" w:cs="Arial"/>
          <w:i/>
          <w:sz w:val="21"/>
          <w:szCs w:val="21"/>
          <w:lang w:val="es-ES_tradnl"/>
        </w:rPr>
        <w:t>“verdadero intercambio de bienes o servicios (contrato conmutativo)”</w:t>
      </w:r>
      <w:r w:rsidRPr="00C512B3">
        <w:rPr>
          <w:rFonts w:ascii="Arial" w:eastAsia="Calibri" w:hAnsi="Arial" w:cs="Arial"/>
          <w:sz w:val="21"/>
          <w:szCs w:val="21"/>
          <w:lang w:val="es-ES_tradnl"/>
        </w:rPr>
        <w:t>, ello no impedía que se conviniera una remuneración a cargo de alguna(s) entidad(es).</w:t>
      </w:r>
    </w:p>
    <w:p w14:paraId="4B4A093D" w14:textId="77777777" w:rsidR="00002F83" w:rsidRDefault="00002F83" w:rsidP="00002F83">
      <w:pPr>
        <w:widowControl w:val="0"/>
        <w:autoSpaceDE w:val="0"/>
        <w:autoSpaceDN w:val="0"/>
        <w:spacing w:after="0" w:line="240" w:lineRule="auto"/>
        <w:ind w:left="709" w:right="709"/>
        <w:jc w:val="both"/>
        <w:rPr>
          <w:rFonts w:ascii="Arial" w:eastAsia="Arial" w:hAnsi="Arial" w:cs="Arial"/>
          <w:sz w:val="21"/>
          <w:szCs w:val="21"/>
          <w:lang w:val="es-ES_tradnl" w:eastAsia="es-ES" w:bidi="es-ES"/>
        </w:rPr>
      </w:pPr>
    </w:p>
    <w:p w14:paraId="31E3FFE4" w14:textId="613F0FB2" w:rsidR="004C02D8" w:rsidRPr="00C512B3" w:rsidRDefault="004C02D8" w:rsidP="00002F83">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C512B3">
        <w:rPr>
          <w:rFonts w:ascii="Arial" w:eastAsia="Arial" w:hAnsi="Arial" w:cs="Arial"/>
          <w:sz w:val="21"/>
          <w:szCs w:val="21"/>
          <w:lang w:val="es-ES_tradnl" w:eastAsia="es-ES" w:bidi="es-ES"/>
        </w:rPr>
        <w:t xml:space="preserve">Lo expuesto evidencia que, en general, las interpretaciones en torno a los </w:t>
      </w:r>
      <w:r w:rsidRPr="00C512B3">
        <w:rPr>
          <w:rFonts w:ascii="Arial" w:eastAsia="Arial" w:hAnsi="Arial" w:cs="Arial"/>
          <w:i/>
          <w:sz w:val="21"/>
          <w:szCs w:val="21"/>
          <w:lang w:val="es-ES_tradnl" w:eastAsia="es-ES" w:bidi="es-ES"/>
        </w:rPr>
        <w:t>“convenios interadministrativos”</w:t>
      </w:r>
      <w:r w:rsidRPr="00C512B3">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512B3">
        <w:rPr>
          <w:rFonts w:ascii="Arial" w:eastAsia="Arial" w:hAnsi="Arial" w:cs="Arial"/>
          <w:sz w:val="21"/>
          <w:szCs w:val="21"/>
          <w:vertAlign w:val="superscript"/>
          <w:lang w:val="es-ES_tradnl" w:eastAsia="es-ES" w:bidi="es-ES"/>
        </w:rPr>
        <w:footnoteReference w:id="29"/>
      </w:r>
      <w:r w:rsidRPr="00C512B3">
        <w:rPr>
          <w:rFonts w:ascii="Arial" w:eastAsia="Arial" w:hAnsi="Arial" w:cs="Arial"/>
          <w:sz w:val="21"/>
          <w:szCs w:val="21"/>
          <w:vertAlign w:val="superscript"/>
          <w:lang w:val="es-ES_tradnl" w:eastAsia="es-ES" w:bidi="es-ES"/>
        </w:rPr>
        <w:footnoteReference w:id="30"/>
      </w:r>
      <w:r w:rsidRPr="00C512B3">
        <w:rPr>
          <w:rFonts w:ascii="Arial" w:eastAsia="Arial" w:hAnsi="Arial" w:cs="Arial"/>
          <w:sz w:val="21"/>
          <w:szCs w:val="21"/>
          <w:lang w:val="es-ES_tradnl" w:eastAsia="es-ES" w:bidi="es-ES"/>
        </w:rPr>
        <w:t>.</w:t>
      </w:r>
    </w:p>
    <w:p w14:paraId="12DCA3C6" w14:textId="77777777" w:rsidR="004C02D8" w:rsidRPr="00C512B3" w:rsidRDefault="004C02D8" w:rsidP="00002F83">
      <w:pPr>
        <w:widowControl w:val="0"/>
        <w:autoSpaceDE w:val="0"/>
        <w:autoSpaceDN w:val="0"/>
        <w:spacing w:after="0" w:line="276" w:lineRule="auto"/>
        <w:jc w:val="both"/>
        <w:rPr>
          <w:rFonts w:ascii="Arial" w:eastAsia="Arial" w:hAnsi="Arial" w:cs="Arial"/>
          <w:lang w:val="es-ES" w:eastAsia="es-ES" w:bidi="es-ES"/>
        </w:rPr>
      </w:pPr>
    </w:p>
    <w:p w14:paraId="3583A385" w14:textId="2E694CEE" w:rsidR="004C02D8" w:rsidRPr="00C512B3" w:rsidRDefault="004C02D8" w:rsidP="00002F83">
      <w:pPr>
        <w:widowControl w:val="0"/>
        <w:autoSpaceDE w:val="0"/>
        <w:autoSpaceDN w:val="0"/>
        <w:spacing w:after="120" w:line="276" w:lineRule="auto"/>
        <w:jc w:val="both"/>
        <w:rPr>
          <w:rFonts w:ascii="Arial" w:eastAsia="Arial" w:hAnsi="Arial" w:cs="Arial"/>
          <w:lang w:val="es-ES" w:eastAsia="es-ES" w:bidi="es-ES"/>
        </w:rPr>
      </w:pPr>
      <w:r w:rsidRPr="00C512B3">
        <w:rPr>
          <w:rFonts w:ascii="Arial" w:eastAsia="Arial" w:hAnsi="Arial" w:cs="Arial"/>
          <w:lang w:val="es-ES" w:eastAsia="es-ES" w:bidi="es-ES"/>
        </w:rPr>
        <w:tab/>
        <w:t>Sin perjuicio de lo indicado, vale la pena reiterar que el ordenamiento jurídico</w:t>
      </w:r>
      <w:r w:rsidR="00DE2F68">
        <w:rPr>
          <w:rFonts w:ascii="Arial" w:eastAsia="Arial" w:hAnsi="Arial" w:cs="Arial"/>
          <w:lang w:val="es-ES" w:eastAsia="es-ES" w:bidi="es-ES"/>
        </w:rPr>
        <w:t xml:space="preserve"> </w:t>
      </w:r>
      <w:r w:rsidRPr="00C512B3">
        <w:rPr>
          <w:rFonts w:ascii="Arial" w:eastAsia="Arial" w:hAnsi="Arial" w:cs="Arial"/>
          <w:lang w:val="es-ES" w:eastAsia="es-ES" w:bidi="es-ES"/>
        </w:rPr>
        <w:t>en distintas ocasiones utiliza de forma indistinta los conceptos de contrato o convenio para referirse a la misma institución jurídica</w:t>
      </w:r>
      <w:r w:rsidRPr="00C512B3">
        <w:rPr>
          <w:rFonts w:ascii="Arial" w:eastAsia="Arial" w:hAnsi="Arial" w:cs="Arial"/>
          <w:vertAlign w:val="superscript"/>
          <w:lang w:val="es-ES" w:eastAsia="es-ES" w:bidi="es-ES"/>
        </w:rPr>
        <w:footnoteReference w:id="31"/>
      </w:r>
      <w:r w:rsidRPr="00C512B3">
        <w:rPr>
          <w:rFonts w:ascii="Arial" w:eastAsia="Arial" w:hAnsi="Arial" w:cs="Arial"/>
          <w:lang w:val="es-ES" w:eastAsia="es-ES" w:bidi="es-ES"/>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C512B3">
        <w:rPr>
          <w:rFonts w:ascii="Arial" w:eastAsia="Arial" w:hAnsi="Arial" w:cs="Arial"/>
          <w:vertAlign w:val="superscript"/>
          <w:lang w:val="es-ES" w:eastAsia="es-ES" w:bidi="es-ES"/>
        </w:rPr>
        <w:footnoteReference w:id="32"/>
      </w:r>
      <w:r w:rsidRPr="00C512B3">
        <w:rPr>
          <w:rFonts w:ascii="Arial" w:eastAsia="Arial" w:hAnsi="Arial" w:cs="Arial"/>
          <w:lang w:val="es-ES" w:eastAsia="es-ES" w:bidi="es-ES"/>
        </w:rPr>
        <w:t>.</w:t>
      </w:r>
    </w:p>
    <w:p w14:paraId="1624EED3" w14:textId="4F2EB96B" w:rsidR="004C02D8" w:rsidRPr="00C512B3" w:rsidRDefault="004C02D8" w:rsidP="00002F83">
      <w:pPr>
        <w:widowControl w:val="0"/>
        <w:autoSpaceDE w:val="0"/>
        <w:autoSpaceDN w:val="0"/>
        <w:spacing w:after="0" w:line="276" w:lineRule="auto"/>
        <w:jc w:val="both"/>
        <w:rPr>
          <w:rFonts w:ascii="Arial" w:eastAsia="Arial" w:hAnsi="Arial" w:cs="Arial"/>
          <w:lang w:val="es-ES" w:eastAsia="es-ES" w:bidi="es-ES"/>
        </w:rPr>
      </w:pPr>
      <w:r w:rsidRPr="00C512B3">
        <w:rPr>
          <w:rFonts w:ascii="Arial" w:eastAsia="Arial" w:hAnsi="Arial" w:cs="Arial"/>
          <w:lang w:val="es-ES" w:eastAsia="es-ES" w:bidi="es-ES"/>
        </w:rPr>
        <w:tab/>
        <w:t xml:space="preserve">En desarrollo de lo anterior, </w:t>
      </w:r>
      <w:r w:rsidR="004D7F4B">
        <w:rPr>
          <w:rFonts w:ascii="Arial" w:eastAsia="Arial" w:hAnsi="Arial" w:cs="Arial"/>
          <w:lang w:val="es-ES" w:eastAsia="es-ES" w:bidi="es-ES"/>
        </w:rPr>
        <w:t>es importante</w:t>
      </w:r>
      <w:r w:rsidRPr="00C512B3">
        <w:rPr>
          <w:rFonts w:ascii="Arial" w:eastAsia="Arial" w:hAnsi="Arial" w:cs="Arial"/>
          <w:lang w:val="es-ES" w:eastAsia="es-ES" w:bidi="es-ES"/>
        </w:rPr>
        <w:t xml:space="preserve"> destacar que la Circular Externa Única de Colombia Compra Eficiente, pese a reconocer que se han realizado algunas distinciones jurisprudenciales en torno a los contratos y convenios interadministrativos, relacionados con </w:t>
      </w:r>
      <w:r w:rsidRPr="00C512B3">
        <w:rPr>
          <w:rFonts w:ascii="Arial" w:eastAsia="Arial" w:hAnsi="Arial" w:cs="Arial"/>
          <w:lang w:val="es-ES" w:eastAsia="es-ES" w:bidi="es-ES"/>
        </w:rPr>
        <w:lastRenderedPageBreak/>
        <w:t>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lo que resulta bastante relevante para este concepto, para la aplicación de la Ley de Garantías. En este sentido, la Circular, refiriéndose al parágrafo del artículo 38 de la Ley 996 de 2005, expresa:</w:t>
      </w:r>
    </w:p>
    <w:p w14:paraId="21EACF66" w14:textId="77777777" w:rsidR="004C02D8" w:rsidRPr="00C512B3" w:rsidRDefault="004C02D8" w:rsidP="00002F83">
      <w:pPr>
        <w:widowControl w:val="0"/>
        <w:autoSpaceDE w:val="0"/>
        <w:autoSpaceDN w:val="0"/>
        <w:spacing w:after="0" w:line="276" w:lineRule="auto"/>
        <w:jc w:val="both"/>
        <w:rPr>
          <w:rFonts w:ascii="Arial" w:eastAsia="Arial" w:hAnsi="Arial" w:cs="Arial"/>
          <w:lang w:val="es-ES" w:eastAsia="es-ES" w:bidi="es-ES"/>
        </w:rPr>
      </w:pPr>
    </w:p>
    <w:p w14:paraId="48233F1E" w14:textId="2A4096FB" w:rsidR="004C02D8" w:rsidRDefault="00AD1E6F" w:rsidP="00AD1E6F">
      <w:pPr>
        <w:spacing w:after="0" w:line="240" w:lineRule="auto"/>
        <w:ind w:left="709" w:right="709"/>
        <w:jc w:val="both"/>
        <w:rPr>
          <w:rFonts w:ascii="Arial" w:eastAsia="Calibri" w:hAnsi="Arial" w:cs="Arial"/>
          <w:sz w:val="21"/>
          <w:szCs w:val="21"/>
          <w:lang w:val="es-MX"/>
        </w:rPr>
      </w:pPr>
      <w:r w:rsidRPr="00AD1E6F">
        <w:rPr>
          <w:rFonts w:ascii="Arial" w:eastAsia="Calibri" w:hAnsi="Arial" w:cs="Arial"/>
          <w:sz w:val="21"/>
          <w:szCs w:val="21"/>
          <w:lang w:val="es-MX"/>
        </w:rPr>
        <w:t>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40896682" w14:textId="77C89A73" w:rsidR="00AD1E6F" w:rsidRDefault="00AD1E6F" w:rsidP="00AD1E6F">
      <w:pPr>
        <w:spacing w:after="0" w:line="240" w:lineRule="auto"/>
        <w:ind w:left="709" w:right="709"/>
        <w:jc w:val="both"/>
        <w:rPr>
          <w:rFonts w:ascii="Arial" w:eastAsia="Calibri" w:hAnsi="Arial" w:cs="Arial"/>
          <w:sz w:val="21"/>
          <w:szCs w:val="21"/>
          <w:lang w:val="es-MX"/>
        </w:rPr>
      </w:pPr>
    </w:p>
    <w:p w14:paraId="16CCCABF" w14:textId="77777777" w:rsidR="00AD1E6F" w:rsidRPr="00AD1E6F" w:rsidRDefault="00AD1E6F" w:rsidP="00AD1E6F">
      <w:pPr>
        <w:spacing w:after="0" w:line="240" w:lineRule="auto"/>
        <w:ind w:left="709" w:right="709"/>
        <w:jc w:val="both"/>
        <w:rPr>
          <w:rFonts w:ascii="Arial" w:eastAsia="Calibri" w:hAnsi="Arial" w:cs="Arial"/>
          <w:sz w:val="21"/>
          <w:szCs w:val="21"/>
          <w:lang w:val="es-MX"/>
        </w:rPr>
      </w:pPr>
      <w:r w:rsidRPr="00AD1E6F">
        <w:rPr>
          <w:rFonts w:ascii="Arial" w:eastAsia="Calibri" w:hAnsi="Arial" w:cs="Arial"/>
          <w:sz w:val="21"/>
          <w:szCs w:val="21"/>
          <w:lang w:val="es-MX"/>
        </w:rPr>
        <w:t xml:space="preserve">No  obstante,  por  vía  jurisprudencial  se  ha  establecido  que  en  los  contratos </w:t>
      </w:r>
    </w:p>
    <w:p w14:paraId="0A197892" w14:textId="19A3698C" w:rsidR="00AD1E6F" w:rsidRPr="00AD1E6F" w:rsidRDefault="00AD1E6F" w:rsidP="00AD1E6F">
      <w:pPr>
        <w:spacing w:after="0" w:line="240" w:lineRule="auto"/>
        <w:ind w:left="709" w:right="709"/>
        <w:jc w:val="both"/>
        <w:rPr>
          <w:rFonts w:ascii="Arial" w:eastAsia="Calibri" w:hAnsi="Arial" w:cs="Arial"/>
          <w:sz w:val="21"/>
          <w:szCs w:val="21"/>
          <w:lang w:val="es-MX"/>
        </w:rPr>
      </w:pPr>
      <w:r w:rsidRPr="00AD1E6F">
        <w:rPr>
          <w:rFonts w:ascii="Arial" w:eastAsia="Calibri" w:hAnsi="Arial" w:cs="Arial"/>
          <w:sz w:val="21"/>
          <w:szCs w:val="21"/>
          <w:lang w:val="es-MX"/>
        </w:rPr>
        <w:t>interadministrativos  existe  una  contraprestación  directa  a  favor  de  la  entidad  que  ha</w:t>
      </w:r>
      <w:r w:rsidRPr="00AD1E6F">
        <w:t xml:space="preserve"> </w:t>
      </w:r>
      <w:r w:rsidRPr="00AD1E6F">
        <w:rPr>
          <w:rFonts w:ascii="Arial" w:eastAsia="Calibri" w:hAnsi="Arial" w:cs="Arial"/>
          <w:sz w:val="21"/>
          <w:szCs w:val="21"/>
          <w:lang w:val="es-MX"/>
        </w:rPr>
        <w:t>entregado el bien o prestado el servicio a la Entidad contratante, habilitada para ello por su objeto legal como entidad ejecutora, comoquiera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r w:rsidRPr="000E54F5">
        <w:rPr>
          <w:rFonts w:ascii="Arial" w:eastAsia="Calibri" w:hAnsi="Arial" w:cs="Arial"/>
          <w:sz w:val="21"/>
          <w:szCs w:val="21"/>
          <w:vertAlign w:val="superscript"/>
          <w:lang w:val="es-MX"/>
        </w:rPr>
        <w:t>10</w:t>
      </w:r>
      <w:r>
        <w:rPr>
          <w:rFonts w:ascii="Arial" w:eastAsia="Calibri" w:hAnsi="Arial" w:cs="Arial"/>
          <w:sz w:val="21"/>
          <w:szCs w:val="21"/>
          <w:lang w:val="es-MX"/>
        </w:rPr>
        <w:t>[</w:t>
      </w:r>
      <w:r>
        <w:rPr>
          <w:rStyle w:val="Refdenotaalpie"/>
          <w:rFonts w:ascii="Arial" w:eastAsia="Calibri" w:hAnsi="Arial" w:cs="Arial"/>
          <w:sz w:val="21"/>
          <w:szCs w:val="21"/>
          <w:lang w:val="es-MX"/>
        </w:rPr>
        <w:footnoteReference w:id="33"/>
      </w:r>
      <w:r>
        <w:rPr>
          <w:rFonts w:ascii="Arial" w:eastAsia="Calibri" w:hAnsi="Arial" w:cs="Arial"/>
          <w:sz w:val="21"/>
          <w:szCs w:val="21"/>
          <w:lang w:val="es-MX"/>
        </w:rPr>
        <w:t>]</w:t>
      </w:r>
      <w:r w:rsidRPr="00AD1E6F">
        <w:rPr>
          <w:rFonts w:ascii="Arial" w:eastAsia="Calibri" w:hAnsi="Arial" w:cs="Arial"/>
          <w:sz w:val="21"/>
          <w:szCs w:val="21"/>
          <w:lang w:val="es-MX"/>
        </w:rPr>
        <w:t xml:space="preserve">. </w:t>
      </w:r>
    </w:p>
    <w:p w14:paraId="0E332B18" w14:textId="77777777" w:rsidR="00AD1E6F" w:rsidRPr="00AD1E6F" w:rsidRDefault="00AD1E6F" w:rsidP="00AD1E6F">
      <w:pPr>
        <w:spacing w:after="0" w:line="240" w:lineRule="auto"/>
        <w:ind w:left="709" w:right="709"/>
        <w:jc w:val="both"/>
        <w:rPr>
          <w:rFonts w:ascii="Arial" w:eastAsia="Calibri" w:hAnsi="Arial" w:cs="Arial"/>
          <w:sz w:val="21"/>
          <w:szCs w:val="21"/>
          <w:lang w:val="es-MX"/>
        </w:rPr>
      </w:pPr>
      <w:r w:rsidRPr="00AD1E6F">
        <w:rPr>
          <w:rFonts w:ascii="Arial" w:eastAsia="Calibri" w:hAnsi="Arial" w:cs="Arial"/>
          <w:sz w:val="21"/>
          <w:szCs w:val="21"/>
          <w:lang w:val="es-MX"/>
        </w:rPr>
        <w:t xml:space="preserve"> </w:t>
      </w:r>
    </w:p>
    <w:p w14:paraId="65DA2FC7" w14:textId="4BD8C8BD" w:rsidR="00AD1E6F" w:rsidRPr="00C512B3" w:rsidRDefault="00AD1E6F" w:rsidP="00AD1E6F">
      <w:pPr>
        <w:spacing w:after="0" w:line="240" w:lineRule="auto"/>
        <w:ind w:left="709" w:right="709"/>
        <w:jc w:val="both"/>
        <w:rPr>
          <w:rFonts w:ascii="Arial" w:eastAsia="Calibri" w:hAnsi="Arial" w:cs="Arial"/>
          <w:sz w:val="21"/>
          <w:szCs w:val="21"/>
          <w:lang w:val="es-MX"/>
        </w:rPr>
      </w:pPr>
      <w:r w:rsidRPr="00AD1E6F">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sidR="003E2324">
        <w:rPr>
          <w:rStyle w:val="Refdenotaalpie"/>
          <w:rFonts w:ascii="Arial" w:eastAsia="Calibri" w:hAnsi="Arial" w:cs="Arial"/>
          <w:sz w:val="21"/>
          <w:szCs w:val="21"/>
          <w:lang w:val="es-MX"/>
        </w:rPr>
        <w:footnoteReference w:id="34"/>
      </w:r>
      <w:r w:rsidRPr="00AD1E6F">
        <w:rPr>
          <w:rFonts w:ascii="Arial" w:eastAsia="Calibri" w:hAnsi="Arial" w:cs="Arial"/>
          <w:sz w:val="21"/>
          <w:szCs w:val="21"/>
          <w:lang w:val="es-MX"/>
        </w:rPr>
        <w:t>.</w:t>
      </w:r>
    </w:p>
    <w:p w14:paraId="7718936E" w14:textId="77777777" w:rsidR="004C02D8" w:rsidRPr="00C512B3" w:rsidRDefault="004C02D8" w:rsidP="00002F83">
      <w:pPr>
        <w:widowControl w:val="0"/>
        <w:autoSpaceDE w:val="0"/>
        <w:autoSpaceDN w:val="0"/>
        <w:spacing w:after="0" w:line="276" w:lineRule="auto"/>
        <w:jc w:val="both"/>
        <w:rPr>
          <w:rFonts w:ascii="Arial" w:eastAsia="Arial" w:hAnsi="Arial" w:cs="Arial"/>
          <w:lang w:val="es-ES" w:eastAsia="es-ES" w:bidi="es-ES"/>
        </w:rPr>
      </w:pPr>
    </w:p>
    <w:p w14:paraId="04DCD17C" w14:textId="3A97D73F" w:rsidR="004C02D8" w:rsidRPr="00107DEF" w:rsidRDefault="004C02D8" w:rsidP="00002F83">
      <w:pPr>
        <w:widowControl w:val="0"/>
        <w:autoSpaceDE w:val="0"/>
        <w:autoSpaceDN w:val="0"/>
        <w:spacing w:after="120" w:line="276" w:lineRule="auto"/>
        <w:jc w:val="both"/>
        <w:rPr>
          <w:rFonts w:ascii="Arial" w:eastAsia="Arial" w:hAnsi="Arial" w:cs="Arial"/>
          <w:lang w:val="es-ES" w:eastAsia="es-ES" w:bidi="es-ES"/>
        </w:rPr>
      </w:pPr>
      <w:r w:rsidRPr="00C512B3">
        <w:rPr>
          <w:rFonts w:ascii="Arial" w:eastAsia="Arial" w:hAnsi="Arial" w:cs="Arial"/>
          <w:color w:val="FF0000"/>
          <w:sz w:val="25"/>
          <w:lang w:val="es-ES" w:eastAsia="es-ES" w:bidi="es-ES"/>
        </w:rPr>
        <w:lastRenderedPageBreak/>
        <w:tab/>
      </w:r>
      <w:r w:rsidRPr="00C512B3">
        <w:rPr>
          <w:rFonts w:ascii="Arial" w:eastAsia="Arial" w:hAnsi="Arial" w:cs="Arial"/>
          <w:lang w:val="es-ES" w:eastAsia="es-ES" w:bidi="es-ES"/>
        </w:rPr>
        <w:t>Teniendo en cuenta l</w:t>
      </w:r>
      <w:r w:rsidR="0072534B">
        <w:rPr>
          <w:rFonts w:ascii="Arial" w:eastAsia="Arial" w:hAnsi="Arial" w:cs="Arial"/>
          <w:lang w:val="es-ES" w:eastAsia="es-ES" w:bidi="es-ES"/>
        </w:rPr>
        <w:t>a Circular citada</w:t>
      </w:r>
      <w:r w:rsidR="00AD1E6F">
        <w:rPr>
          <w:rFonts w:ascii="Arial" w:eastAsia="Arial" w:hAnsi="Arial" w:cs="Arial"/>
          <w:lang w:val="es-ES" w:eastAsia="es-ES" w:bidi="es-ES"/>
        </w:rPr>
        <w:t>,</w:t>
      </w:r>
      <w:r w:rsidRPr="00C512B3">
        <w:rPr>
          <w:rFonts w:ascii="Arial" w:eastAsia="Arial" w:hAnsi="Arial" w:cs="Arial"/>
          <w:lang w:val="es-ES" w:eastAsia="es-ES" w:bidi="es-ES"/>
        </w:rPr>
        <w:t xml:space="preserve"> </w:t>
      </w:r>
      <w:bookmarkStart w:id="40" w:name="_Hlk98313624"/>
      <w:r w:rsidRPr="00C512B3">
        <w:rPr>
          <w:rFonts w:ascii="Arial" w:eastAsia="Arial" w:hAnsi="Arial" w:cs="Arial"/>
          <w:lang w:val="es-ES" w:eastAsia="es-ES" w:bidi="es-ES"/>
        </w:rPr>
        <w:t xml:space="preserve">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w:t>
      </w:r>
      <w:r w:rsidR="0072183A" w:rsidRPr="00C512B3">
        <w:rPr>
          <w:rFonts w:ascii="Arial" w:eastAsia="Arial" w:hAnsi="Arial" w:cs="Arial"/>
          <w:lang w:val="es-ES" w:eastAsia="es-ES" w:bidi="es-ES"/>
        </w:rPr>
        <w:t>Circular,</w:t>
      </w:r>
      <w:r w:rsidRPr="00C512B3">
        <w:rPr>
          <w:rFonts w:ascii="Arial" w:eastAsia="Arial" w:hAnsi="Arial" w:cs="Arial"/>
          <w:lang w:val="es-ES" w:eastAsia="es-ES" w:bidi="es-ES"/>
        </w:rPr>
        <w:t xml:space="preserve">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w:t>
      </w:r>
      <w:r w:rsidR="00DE2F68">
        <w:rPr>
          <w:rFonts w:ascii="Arial" w:eastAsia="Arial" w:hAnsi="Arial" w:cs="Arial"/>
          <w:lang w:val="es-ES" w:eastAsia="es-ES" w:bidi="es-ES"/>
        </w:rPr>
        <w:t xml:space="preserve"> usualmente</w:t>
      </w:r>
      <w:r w:rsidRPr="00C512B3">
        <w:rPr>
          <w:rFonts w:ascii="Arial" w:eastAsia="Arial" w:hAnsi="Arial" w:cs="Arial"/>
          <w:lang w:val="es-ES" w:eastAsia="es-ES" w:bidi="es-ES"/>
        </w:rPr>
        <w:t xml:space="preserve"> utiliza estos conceptos de forma indistinta.</w:t>
      </w:r>
      <w:bookmarkEnd w:id="39"/>
    </w:p>
    <w:bookmarkEnd w:id="40"/>
    <w:p w14:paraId="265D3287" w14:textId="446D6F54" w:rsidR="004C02D8" w:rsidRPr="00C512B3" w:rsidRDefault="004C02D8" w:rsidP="00002F83">
      <w:pPr>
        <w:tabs>
          <w:tab w:val="left" w:pos="426"/>
        </w:tabs>
        <w:spacing w:after="120" w:line="276" w:lineRule="auto"/>
        <w:ind w:firstLine="709"/>
        <w:jc w:val="both"/>
        <w:rPr>
          <w:rFonts w:ascii="Arial" w:eastAsia="Times New Roman" w:hAnsi="Arial" w:cs="Arial"/>
          <w:bCs/>
          <w:lang w:val="es-MX" w:eastAsia="es-CO"/>
        </w:rPr>
      </w:pPr>
      <w:r w:rsidRPr="00C512B3">
        <w:rPr>
          <w:rFonts w:ascii="Arial" w:eastAsia="Times New Roman" w:hAnsi="Arial" w:cs="Arial"/>
          <w:bCs/>
          <w:lang w:eastAsia="es-CO"/>
        </w:rPr>
        <w:t xml:space="preserve">Se observa entonces que </w:t>
      </w:r>
      <w:r w:rsidRPr="00C512B3">
        <w:rPr>
          <w:rFonts w:ascii="Arial" w:eastAsia="Times New Roman"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00FC0B0C" w:rsidRPr="00C512B3">
        <w:rPr>
          <w:rFonts w:ascii="Arial" w:eastAsia="Times New Roman" w:hAnsi="Arial" w:cs="Arial"/>
          <w:bCs/>
          <w:i/>
          <w:iCs/>
          <w:lang w:val="es-MX" w:eastAsia="es-CO"/>
        </w:rPr>
        <w:t>ibídem</w:t>
      </w:r>
      <w:r w:rsidRPr="00C512B3">
        <w:rPr>
          <w:rFonts w:ascii="Arial" w:eastAsia="Times New Roman" w:hAnsi="Arial" w:cs="Arial"/>
          <w:bCs/>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C512B3">
        <w:rPr>
          <w:rFonts w:ascii="Arial" w:eastAsia="Calibri" w:hAnsi="Arial" w:cs="Arial"/>
          <w:bCs/>
          <w:vertAlign w:val="superscript"/>
          <w:lang w:val="es-MX" w:eastAsia="es-CO"/>
        </w:rPr>
        <w:footnoteReference w:id="35"/>
      </w:r>
      <w:r w:rsidRPr="00C512B3">
        <w:rPr>
          <w:rFonts w:ascii="Arial" w:eastAsia="Times New Roman" w:hAnsi="Arial" w:cs="Arial"/>
          <w:bCs/>
          <w:lang w:val="es-MX" w:eastAsia="es-CO"/>
        </w:rPr>
        <w:t xml:space="preserve">. </w:t>
      </w:r>
    </w:p>
    <w:p w14:paraId="60682C86" w14:textId="77777777" w:rsidR="004C02D8" w:rsidRPr="00C512B3" w:rsidRDefault="004C02D8" w:rsidP="00002F83">
      <w:pPr>
        <w:widowControl w:val="0"/>
        <w:autoSpaceDE w:val="0"/>
        <w:autoSpaceDN w:val="0"/>
        <w:spacing w:after="0" w:line="276" w:lineRule="auto"/>
        <w:ind w:firstLine="709"/>
        <w:jc w:val="both"/>
        <w:rPr>
          <w:rFonts w:ascii="Arial" w:eastAsia="Calibri" w:hAnsi="Arial" w:cs="Arial"/>
          <w:lang w:eastAsia="es-ES" w:bidi="es-ES"/>
        </w:rPr>
      </w:pPr>
      <w:r w:rsidRPr="00C512B3">
        <w:rPr>
          <w:rFonts w:ascii="Arial" w:eastAsia="Times New Roman" w:hAnsi="Arial" w:cs="Arial"/>
          <w:bCs/>
          <w:lang w:val="es-ES" w:eastAsia="es-CO" w:bidi="es-ES"/>
        </w:rPr>
        <w:t>En todo caso</w:t>
      </w:r>
      <w:bookmarkStart w:id="41" w:name="_Hlk77154098"/>
      <w:r w:rsidRPr="00C512B3">
        <w:rPr>
          <w:rFonts w:ascii="Arial" w:eastAsia="Arial" w:hAnsi="Arial" w:cs="Arial"/>
          <w:lang w:val="es-ES" w:eastAsia="es-ES" w:bidi="es-ES"/>
        </w:rPr>
        <w:t xml:space="preserve">, es importante resaltar que la Sala de Consulta y Servicio Civil del Consejo de Estado se ha pronunciado en el sentido de que </w:t>
      </w:r>
      <w:bookmarkStart w:id="42" w:name="_Hlk78820889"/>
      <w:r w:rsidRPr="00C512B3">
        <w:rPr>
          <w:rFonts w:ascii="Arial" w:eastAsia="Arial" w:hAnsi="Arial" w:cs="Arial"/>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42"/>
      <w:r w:rsidRPr="00C512B3">
        <w:rPr>
          <w:rFonts w:ascii="Arial" w:eastAsia="Arial" w:hAnsi="Arial" w:cs="Arial"/>
          <w:vertAlign w:val="superscript"/>
          <w:lang w:val="es-ES" w:eastAsia="es-ES" w:bidi="es-ES"/>
        </w:rPr>
        <w:footnoteReference w:id="36"/>
      </w:r>
      <w:r w:rsidRPr="00C512B3">
        <w:rPr>
          <w:rFonts w:ascii="Arial" w:eastAsia="Calibri" w:hAnsi="Arial" w:cs="Arial"/>
          <w:lang w:eastAsia="es-ES" w:bidi="es-ES"/>
        </w:rPr>
        <w:t>.</w:t>
      </w:r>
      <w:bookmarkEnd w:id="41"/>
    </w:p>
    <w:p w14:paraId="1780F576" w14:textId="77777777" w:rsidR="004C02D8" w:rsidRPr="00C512B3" w:rsidRDefault="004C02D8" w:rsidP="00002F83">
      <w:pPr>
        <w:widowControl w:val="0"/>
        <w:autoSpaceDE w:val="0"/>
        <w:autoSpaceDN w:val="0"/>
        <w:spacing w:after="0" w:line="276" w:lineRule="auto"/>
        <w:ind w:firstLine="709"/>
        <w:jc w:val="both"/>
        <w:rPr>
          <w:rFonts w:ascii="Arial" w:eastAsia="Times New Roman" w:hAnsi="Arial" w:cs="Arial"/>
          <w:bCs/>
          <w:iCs/>
          <w:lang w:eastAsia="x-none" w:bidi="es-ES"/>
        </w:rPr>
      </w:pPr>
    </w:p>
    <w:bookmarkEnd w:id="32"/>
    <w:p w14:paraId="6B84C12E" w14:textId="77777777" w:rsidR="004C02D8" w:rsidRPr="00D5379F" w:rsidRDefault="004C02D8" w:rsidP="00002F83">
      <w:pPr>
        <w:spacing w:after="0" w:line="276" w:lineRule="auto"/>
        <w:jc w:val="both"/>
        <w:rPr>
          <w:rFonts w:ascii="Arial" w:eastAsia="Calibri" w:hAnsi="Arial" w:cs="Arial"/>
          <w:b/>
        </w:rPr>
      </w:pPr>
      <w:r w:rsidRPr="00D5379F">
        <w:rPr>
          <w:rFonts w:ascii="Arial" w:eastAsia="Calibri" w:hAnsi="Arial" w:cs="Arial"/>
          <w:b/>
        </w:rPr>
        <w:t>3. Respuesta</w:t>
      </w:r>
    </w:p>
    <w:p w14:paraId="5EF3E48B" w14:textId="77777777" w:rsidR="004C02D8" w:rsidRPr="00D5379F" w:rsidRDefault="004C02D8" w:rsidP="00002F83">
      <w:pPr>
        <w:spacing w:after="0" w:line="240" w:lineRule="auto"/>
        <w:jc w:val="both"/>
        <w:rPr>
          <w:rFonts w:ascii="Arial" w:eastAsia="Calibri" w:hAnsi="Arial" w:cs="Arial"/>
          <w:bCs/>
        </w:rPr>
      </w:pPr>
    </w:p>
    <w:p w14:paraId="2F44E492" w14:textId="77777777" w:rsidR="0072183A" w:rsidRPr="0072183A" w:rsidRDefault="004C02D8" w:rsidP="00002F83">
      <w:pPr>
        <w:spacing w:after="0" w:line="240" w:lineRule="auto"/>
        <w:ind w:left="709" w:right="709"/>
        <w:jc w:val="both"/>
        <w:rPr>
          <w:rFonts w:ascii="Arial" w:eastAsia="Times New Roman" w:hAnsi="Arial" w:cs="Arial"/>
          <w:sz w:val="21"/>
          <w:szCs w:val="21"/>
          <w:shd w:val="clear" w:color="auto" w:fill="FFFFFF"/>
          <w:lang w:eastAsia="es-CO"/>
        </w:rPr>
      </w:pPr>
      <w:bookmarkStart w:id="43" w:name="_Hlk57650395"/>
      <w:r w:rsidRPr="0072183A">
        <w:rPr>
          <w:rFonts w:ascii="Arial" w:eastAsia="Times New Roman" w:hAnsi="Arial" w:cs="Arial"/>
          <w:sz w:val="21"/>
          <w:szCs w:val="21"/>
          <w:shd w:val="clear" w:color="auto" w:fill="FFFFFF"/>
          <w:lang w:eastAsia="es-CO"/>
        </w:rPr>
        <w:t>«</w:t>
      </w:r>
      <w:r w:rsidR="0072183A" w:rsidRPr="0072183A">
        <w:rPr>
          <w:rFonts w:ascii="Arial" w:eastAsia="Times New Roman" w:hAnsi="Arial" w:cs="Arial"/>
          <w:sz w:val="21"/>
          <w:szCs w:val="21"/>
          <w:shd w:val="clear" w:color="auto" w:fill="FFFFFF"/>
          <w:lang w:eastAsia="es-CO"/>
        </w:rPr>
        <w:t xml:space="preserve">Con </w:t>
      </w:r>
      <w:proofErr w:type="spellStart"/>
      <w:r w:rsidR="0072183A" w:rsidRPr="0072183A">
        <w:rPr>
          <w:rFonts w:ascii="Arial" w:eastAsia="Times New Roman" w:hAnsi="Arial" w:cs="Arial"/>
          <w:sz w:val="21"/>
          <w:szCs w:val="21"/>
          <w:shd w:val="clear" w:color="auto" w:fill="FFFFFF"/>
          <w:lang w:eastAsia="es-CO"/>
        </w:rPr>
        <w:t>el</w:t>
      </w:r>
      <w:proofErr w:type="spellEnd"/>
      <w:r w:rsidR="0072183A" w:rsidRPr="0072183A">
        <w:rPr>
          <w:rFonts w:ascii="Arial" w:eastAsia="Times New Roman" w:hAnsi="Arial" w:cs="Arial"/>
          <w:sz w:val="21"/>
          <w:szCs w:val="21"/>
          <w:shd w:val="clear" w:color="auto" w:fill="FFFFFF"/>
          <w:lang w:eastAsia="es-CO"/>
        </w:rPr>
        <w:t xml:space="preserve"> ?</w:t>
      </w:r>
      <w:proofErr w:type="spellStart"/>
      <w:r w:rsidR="0072183A" w:rsidRPr="0072183A">
        <w:rPr>
          <w:rFonts w:ascii="Arial" w:eastAsia="Times New Roman" w:hAnsi="Arial" w:cs="Arial"/>
          <w:sz w:val="21"/>
          <w:szCs w:val="21"/>
          <w:shd w:val="clear" w:color="auto" w:fill="FFFFFF"/>
          <w:lang w:eastAsia="es-CO"/>
        </w:rPr>
        <w:t>nimo</w:t>
      </w:r>
      <w:proofErr w:type="spellEnd"/>
      <w:r w:rsidR="0072183A" w:rsidRPr="0072183A">
        <w:rPr>
          <w:rFonts w:ascii="Arial" w:eastAsia="Times New Roman" w:hAnsi="Arial" w:cs="Arial"/>
          <w:sz w:val="21"/>
          <w:szCs w:val="21"/>
          <w:shd w:val="clear" w:color="auto" w:fill="FFFFFF"/>
          <w:lang w:eastAsia="es-CO"/>
        </w:rPr>
        <w:t xml:space="preserve"> de ejercer control fiscal, administrativo y </w:t>
      </w:r>
      <w:proofErr w:type="spellStart"/>
      <w:r w:rsidR="0072183A" w:rsidRPr="0072183A">
        <w:rPr>
          <w:rFonts w:ascii="Arial" w:eastAsia="Times New Roman" w:hAnsi="Arial" w:cs="Arial"/>
          <w:sz w:val="21"/>
          <w:szCs w:val="21"/>
          <w:shd w:val="clear" w:color="auto" w:fill="FFFFFF"/>
          <w:lang w:eastAsia="es-CO"/>
        </w:rPr>
        <w:t>pol?tico</w:t>
      </w:r>
      <w:proofErr w:type="spellEnd"/>
      <w:r w:rsidR="0072183A" w:rsidRPr="0072183A">
        <w:rPr>
          <w:rFonts w:ascii="Arial" w:eastAsia="Times New Roman" w:hAnsi="Arial" w:cs="Arial"/>
          <w:sz w:val="21"/>
          <w:szCs w:val="21"/>
          <w:shd w:val="clear" w:color="auto" w:fill="FFFFFF"/>
          <w:lang w:eastAsia="es-CO"/>
        </w:rPr>
        <w:t xml:space="preserve"> a los recursos </w:t>
      </w:r>
      <w:proofErr w:type="spellStart"/>
      <w:r w:rsidR="0072183A" w:rsidRPr="0072183A">
        <w:rPr>
          <w:rFonts w:ascii="Arial" w:eastAsia="Times New Roman" w:hAnsi="Arial" w:cs="Arial"/>
          <w:sz w:val="21"/>
          <w:szCs w:val="21"/>
          <w:shd w:val="clear" w:color="auto" w:fill="FFFFFF"/>
          <w:lang w:eastAsia="es-CO"/>
        </w:rPr>
        <w:t>p?blicos</w:t>
      </w:r>
      <w:proofErr w:type="spellEnd"/>
      <w:r w:rsidR="0072183A" w:rsidRPr="0072183A">
        <w:rPr>
          <w:rFonts w:ascii="Arial" w:eastAsia="Times New Roman" w:hAnsi="Arial" w:cs="Arial"/>
          <w:sz w:val="21"/>
          <w:szCs w:val="21"/>
          <w:shd w:val="clear" w:color="auto" w:fill="FFFFFF"/>
          <w:lang w:eastAsia="es-CO"/>
        </w:rPr>
        <w:t xml:space="preserve"> que se invierten en los diferentes proyectos por los distintos entes territoriales, es menester consultar o solicitar </w:t>
      </w:r>
      <w:proofErr w:type="spellStart"/>
      <w:r w:rsidR="0072183A" w:rsidRPr="0072183A">
        <w:rPr>
          <w:rFonts w:ascii="Arial" w:eastAsia="Times New Roman" w:hAnsi="Arial" w:cs="Arial"/>
          <w:sz w:val="21"/>
          <w:szCs w:val="21"/>
          <w:shd w:val="clear" w:color="auto" w:fill="FFFFFF"/>
          <w:lang w:eastAsia="es-CO"/>
        </w:rPr>
        <w:t>informaci?n</w:t>
      </w:r>
      <w:proofErr w:type="spellEnd"/>
      <w:r w:rsidR="0072183A" w:rsidRPr="0072183A">
        <w:rPr>
          <w:rFonts w:ascii="Arial" w:eastAsia="Times New Roman" w:hAnsi="Arial" w:cs="Arial"/>
          <w:sz w:val="21"/>
          <w:szCs w:val="21"/>
          <w:shd w:val="clear" w:color="auto" w:fill="FFFFFF"/>
          <w:lang w:eastAsia="es-CO"/>
        </w:rPr>
        <w:t xml:space="preserve"> con respecto a la </w:t>
      </w:r>
      <w:proofErr w:type="spellStart"/>
      <w:r w:rsidR="0072183A" w:rsidRPr="0072183A">
        <w:rPr>
          <w:rFonts w:ascii="Arial" w:eastAsia="Times New Roman" w:hAnsi="Arial" w:cs="Arial"/>
          <w:sz w:val="21"/>
          <w:szCs w:val="21"/>
          <w:shd w:val="clear" w:color="auto" w:fill="FFFFFF"/>
          <w:lang w:eastAsia="es-CO"/>
        </w:rPr>
        <w:t>aplicaci?n</w:t>
      </w:r>
      <w:proofErr w:type="spellEnd"/>
      <w:r w:rsidR="0072183A" w:rsidRPr="0072183A">
        <w:rPr>
          <w:rFonts w:ascii="Arial" w:eastAsia="Times New Roman" w:hAnsi="Arial" w:cs="Arial"/>
          <w:sz w:val="21"/>
          <w:szCs w:val="21"/>
          <w:shd w:val="clear" w:color="auto" w:fill="FFFFFF"/>
          <w:lang w:eastAsia="es-CO"/>
        </w:rPr>
        <w:t xml:space="preserve"> de la Ley de </w:t>
      </w:r>
      <w:proofErr w:type="spellStart"/>
      <w:r w:rsidR="0072183A" w:rsidRPr="0072183A">
        <w:rPr>
          <w:rFonts w:ascii="Arial" w:eastAsia="Times New Roman" w:hAnsi="Arial" w:cs="Arial"/>
          <w:sz w:val="21"/>
          <w:szCs w:val="21"/>
          <w:shd w:val="clear" w:color="auto" w:fill="FFFFFF"/>
          <w:lang w:eastAsia="es-CO"/>
        </w:rPr>
        <w:t>Garant?as</w:t>
      </w:r>
      <w:proofErr w:type="spellEnd"/>
      <w:r w:rsidR="0072183A" w:rsidRPr="0072183A">
        <w:rPr>
          <w:rFonts w:ascii="Arial" w:eastAsia="Times New Roman" w:hAnsi="Arial" w:cs="Arial"/>
          <w:sz w:val="21"/>
          <w:szCs w:val="21"/>
          <w:shd w:val="clear" w:color="auto" w:fill="FFFFFF"/>
          <w:lang w:eastAsia="es-CO"/>
        </w:rPr>
        <w:t xml:space="preserve"> todas vez que se hace necesario contar con </w:t>
      </w:r>
      <w:proofErr w:type="spellStart"/>
      <w:r w:rsidR="0072183A" w:rsidRPr="0072183A">
        <w:rPr>
          <w:rFonts w:ascii="Arial" w:eastAsia="Times New Roman" w:hAnsi="Arial" w:cs="Arial"/>
          <w:sz w:val="21"/>
          <w:szCs w:val="21"/>
          <w:shd w:val="clear" w:color="auto" w:fill="FFFFFF"/>
          <w:lang w:eastAsia="es-CO"/>
        </w:rPr>
        <w:t>informaci?n</w:t>
      </w:r>
      <w:proofErr w:type="spellEnd"/>
      <w:r w:rsidR="0072183A" w:rsidRPr="0072183A">
        <w:rPr>
          <w:rFonts w:ascii="Arial" w:eastAsia="Times New Roman" w:hAnsi="Arial" w:cs="Arial"/>
          <w:sz w:val="21"/>
          <w:szCs w:val="21"/>
          <w:shd w:val="clear" w:color="auto" w:fill="FFFFFF"/>
          <w:lang w:eastAsia="es-CO"/>
        </w:rPr>
        <w:t xml:space="preserve"> precisa sobre los tiempos en que NO se deben o no </w:t>
      </w:r>
      <w:proofErr w:type="spellStart"/>
      <w:r w:rsidR="0072183A" w:rsidRPr="0072183A">
        <w:rPr>
          <w:rFonts w:ascii="Arial" w:eastAsia="Times New Roman" w:hAnsi="Arial" w:cs="Arial"/>
          <w:sz w:val="21"/>
          <w:szCs w:val="21"/>
          <w:shd w:val="clear" w:color="auto" w:fill="FFFFFF"/>
          <w:lang w:eastAsia="es-CO"/>
        </w:rPr>
        <w:t>est</w:t>
      </w:r>
      <w:proofErr w:type="spellEnd"/>
      <w:r w:rsidR="0072183A" w:rsidRPr="0072183A">
        <w:rPr>
          <w:rFonts w:ascii="Arial" w:eastAsia="Times New Roman" w:hAnsi="Arial" w:cs="Arial"/>
          <w:sz w:val="21"/>
          <w:szCs w:val="21"/>
          <w:shd w:val="clear" w:color="auto" w:fill="FFFFFF"/>
          <w:lang w:eastAsia="es-CO"/>
        </w:rPr>
        <w:t xml:space="preserve">? permitido realizar Licitaciones </w:t>
      </w:r>
      <w:proofErr w:type="spellStart"/>
      <w:r w:rsidR="0072183A" w:rsidRPr="0072183A">
        <w:rPr>
          <w:rFonts w:ascii="Arial" w:eastAsia="Times New Roman" w:hAnsi="Arial" w:cs="Arial"/>
          <w:sz w:val="21"/>
          <w:szCs w:val="21"/>
          <w:shd w:val="clear" w:color="auto" w:fill="FFFFFF"/>
          <w:lang w:eastAsia="es-CO"/>
        </w:rPr>
        <w:t>P?blicas</w:t>
      </w:r>
      <w:proofErr w:type="spellEnd"/>
      <w:r w:rsidR="0072183A" w:rsidRPr="0072183A">
        <w:rPr>
          <w:rFonts w:ascii="Arial" w:eastAsia="Times New Roman" w:hAnsi="Arial" w:cs="Arial"/>
          <w:sz w:val="21"/>
          <w:szCs w:val="21"/>
          <w:shd w:val="clear" w:color="auto" w:fill="FFFFFF"/>
          <w:lang w:eastAsia="es-CO"/>
        </w:rPr>
        <w:t xml:space="preserve"> en los contratos de obra y </w:t>
      </w:r>
      <w:proofErr w:type="spellStart"/>
      <w:r w:rsidR="0072183A" w:rsidRPr="0072183A">
        <w:rPr>
          <w:rFonts w:ascii="Arial" w:eastAsia="Times New Roman" w:hAnsi="Arial" w:cs="Arial"/>
          <w:sz w:val="21"/>
          <w:szCs w:val="21"/>
          <w:shd w:val="clear" w:color="auto" w:fill="FFFFFF"/>
          <w:lang w:eastAsia="es-CO"/>
        </w:rPr>
        <w:t>dem?s</w:t>
      </w:r>
      <w:proofErr w:type="spellEnd"/>
      <w:r w:rsidR="0072183A" w:rsidRPr="0072183A">
        <w:rPr>
          <w:rFonts w:ascii="Arial" w:eastAsia="Times New Roman" w:hAnsi="Arial" w:cs="Arial"/>
          <w:sz w:val="21"/>
          <w:szCs w:val="21"/>
          <w:shd w:val="clear" w:color="auto" w:fill="FFFFFF"/>
          <w:lang w:eastAsia="es-CO"/>
        </w:rPr>
        <w:t xml:space="preserve"> convenios interadministrativos. </w:t>
      </w:r>
    </w:p>
    <w:p w14:paraId="300A22C2" w14:textId="64D3DFFD" w:rsidR="004C02D8" w:rsidRPr="0072183A" w:rsidRDefault="0072183A" w:rsidP="00002F83">
      <w:pPr>
        <w:spacing w:after="0" w:line="240" w:lineRule="auto"/>
        <w:ind w:left="709" w:right="709"/>
        <w:jc w:val="both"/>
        <w:rPr>
          <w:rFonts w:ascii="Arial" w:eastAsia="Times New Roman" w:hAnsi="Arial" w:cs="Arial"/>
          <w:sz w:val="21"/>
          <w:szCs w:val="21"/>
          <w:shd w:val="clear" w:color="auto" w:fill="FFFFFF"/>
          <w:lang w:eastAsia="es-CO"/>
        </w:rPr>
      </w:pPr>
      <w:r w:rsidRPr="0072183A">
        <w:rPr>
          <w:rFonts w:ascii="Arial" w:eastAsia="Times New Roman" w:hAnsi="Arial" w:cs="Arial"/>
          <w:sz w:val="21"/>
          <w:szCs w:val="21"/>
          <w:shd w:val="clear" w:color="auto" w:fill="FFFFFF"/>
          <w:lang w:eastAsia="es-CO"/>
        </w:rPr>
        <w:t xml:space="preserve">Adicionalmente, solicitar copia de los actos administrativos que rigen la Ley de </w:t>
      </w:r>
      <w:proofErr w:type="spellStart"/>
      <w:r w:rsidRPr="0072183A">
        <w:rPr>
          <w:rFonts w:ascii="Arial" w:eastAsia="Times New Roman" w:hAnsi="Arial" w:cs="Arial"/>
          <w:sz w:val="21"/>
          <w:szCs w:val="21"/>
          <w:shd w:val="clear" w:color="auto" w:fill="FFFFFF"/>
          <w:lang w:eastAsia="es-CO"/>
        </w:rPr>
        <w:t>Garant?as</w:t>
      </w:r>
      <w:proofErr w:type="spellEnd"/>
      <w:r w:rsidRPr="0072183A">
        <w:rPr>
          <w:rFonts w:ascii="Arial" w:eastAsia="Times New Roman" w:hAnsi="Arial" w:cs="Arial"/>
          <w:sz w:val="21"/>
          <w:szCs w:val="21"/>
          <w:shd w:val="clear" w:color="auto" w:fill="FFFFFF"/>
          <w:lang w:eastAsia="es-CO"/>
        </w:rPr>
        <w:t xml:space="preserve"> (Decretos, resoluciones, circulares, </w:t>
      </w:r>
      <w:proofErr w:type="spellStart"/>
      <w:r w:rsidRPr="0072183A">
        <w:rPr>
          <w:rFonts w:ascii="Arial" w:eastAsia="Times New Roman" w:hAnsi="Arial" w:cs="Arial"/>
          <w:sz w:val="21"/>
          <w:szCs w:val="21"/>
          <w:shd w:val="clear" w:color="auto" w:fill="FFFFFF"/>
          <w:lang w:eastAsia="es-CO"/>
        </w:rPr>
        <w:t>etc</w:t>
      </w:r>
      <w:proofErr w:type="spellEnd"/>
      <w:r w:rsidRPr="0072183A">
        <w:rPr>
          <w:rFonts w:ascii="Arial" w:eastAsia="Times New Roman" w:hAnsi="Arial" w:cs="Arial"/>
          <w:sz w:val="21"/>
          <w:szCs w:val="21"/>
          <w:shd w:val="clear" w:color="auto" w:fill="FFFFFF"/>
          <w:lang w:eastAsia="es-CO"/>
        </w:rPr>
        <w:t>).»</w:t>
      </w:r>
    </w:p>
    <w:p w14:paraId="663DF7ED" w14:textId="77777777" w:rsidR="0072183A" w:rsidRPr="0072183A" w:rsidRDefault="0072183A" w:rsidP="00002F83">
      <w:pPr>
        <w:spacing w:after="0" w:line="240" w:lineRule="auto"/>
        <w:ind w:left="709" w:right="709"/>
        <w:jc w:val="both"/>
        <w:rPr>
          <w:rFonts w:ascii="Arial" w:eastAsia="Times New Roman" w:hAnsi="Arial" w:cs="Arial"/>
          <w:color w:val="FF0000"/>
          <w:sz w:val="21"/>
          <w:szCs w:val="21"/>
          <w:lang w:eastAsia="es-ES_tradnl"/>
        </w:rPr>
      </w:pPr>
    </w:p>
    <w:p w14:paraId="7FB11078" w14:textId="456968C2" w:rsidR="009A7722" w:rsidRPr="007377E5" w:rsidRDefault="00B86DC0" w:rsidP="00002F83">
      <w:pPr>
        <w:spacing w:after="120" w:line="276" w:lineRule="auto"/>
        <w:jc w:val="both"/>
        <w:rPr>
          <w:rFonts w:ascii="Arial" w:eastAsia="Calibri" w:hAnsi="Arial" w:cs="Arial"/>
          <w:bCs/>
          <w:color w:val="000000" w:themeColor="text1"/>
          <w:lang w:val="es-ES_tradnl"/>
        </w:rPr>
      </w:pPr>
      <w:r w:rsidRPr="00652974">
        <w:rPr>
          <w:rFonts w:ascii="Arial" w:hAnsi="Arial" w:cs="Arial"/>
          <w:lang w:val="es-ES_tradnl" w:eastAsia="es-ES_tradnl"/>
        </w:rPr>
        <w:t xml:space="preserve">Con base en las anteriores consideraciones, </w:t>
      </w:r>
      <w:r w:rsidR="0072183A">
        <w:rPr>
          <w:rFonts w:ascii="Arial" w:hAnsi="Arial" w:cs="Arial"/>
          <w:bCs/>
          <w:lang w:val="es-MX" w:eastAsia="x-none"/>
        </w:rPr>
        <w:t xml:space="preserve">ha de entenderse que </w:t>
      </w:r>
      <w:r w:rsidR="009A7722">
        <w:rPr>
          <w:rFonts w:ascii="Arial" w:hAnsi="Arial" w:cs="Arial"/>
          <w:bCs/>
          <w:lang w:val="es-MX" w:eastAsia="x-none"/>
        </w:rPr>
        <w:t xml:space="preserve">de </w:t>
      </w:r>
      <w:r w:rsidR="0072183A" w:rsidRPr="00F06958">
        <w:rPr>
          <w:rFonts w:ascii="Arial" w:eastAsia="Arial" w:hAnsi="Arial" w:cs="Arial"/>
          <w:lang w:val="es-ES" w:eastAsia="es-ES" w:bidi="es-ES"/>
        </w:rPr>
        <w:t xml:space="preserve">la Ley 996 de 2005 </w:t>
      </w:r>
      <w:r w:rsidR="009A7722" w:rsidRPr="007377E5">
        <w:rPr>
          <w:rFonts w:ascii="Arial" w:eastAsia="Calibri" w:hAnsi="Arial" w:cs="Arial"/>
          <w:bCs/>
          <w:color w:val="000000" w:themeColor="text1"/>
          <w:lang w:val="es-ES_tradnl"/>
        </w:rPr>
        <w:t xml:space="preserve">se derivan dos prohibiciones diferentes aplicables a periodos preelectorales distintos. De esta manera, una es la prohibición que se deriva de lo establecido en el artículo 33, respecto </w:t>
      </w:r>
      <w:r w:rsidR="003E2324">
        <w:rPr>
          <w:rFonts w:ascii="Arial" w:eastAsia="Calibri" w:hAnsi="Arial" w:cs="Arial"/>
          <w:bCs/>
          <w:color w:val="000000" w:themeColor="text1"/>
          <w:lang w:val="es-ES_tradnl"/>
        </w:rPr>
        <w:t>de</w:t>
      </w:r>
      <w:r w:rsidR="009A7722" w:rsidRPr="007377E5">
        <w:rPr>
          <w:rFonts w:ascii="Arial" w:eastAsia="Calibri" w:hAnsi="Arial" w:cs="Arial"/>
          <w:bCs/>
          <w:color w:val="000000" w:themeColor="text1"/>
          <w:lang w:val="es-ES_tradnl"/>
        </w:rPr>
        <w:t xml:space="preserve"> las elecciones presidenciales y otra la originada en el parágrafo del artículo 38 que aplica frente </w:t>
      </w:r>
      <w:r w:rsidR="003E2324">
        <w:rPr>
          <w:rFonts w:ascii="Arial" w:eastAsia="Calibri" w:hAnsi="Arial" w:cs="Arial"/>
          <w:bCs/>
          <w:color w:val="000000" w:themeColor="text1"/>
          <w:lang w:val="es-ES_tradnl"/>
        </w:rPr>
        <w:t xml:space="preserve">a </w:t>
      </w:r>
      <w:r w:rsidR="009A7722" w:rsidRPr="007377E5">
        <w:rPr>
          <w:rFonts w:ascii="Arial" w:eastAsia="Calibri" w:hAnsi="Arial" w:cs="Arial"/>
          <w:bCs/>
          <w:color w:val="000000" w:themeColor="text1"/>
          <w:lang w:val="es-ES_tradnl"/>
        </w:rPr>
        <w:t>elecciones para cualquier cargo de elección popular, lo que también incluye las presidenciales.</w:t>
      </w:r>
    </w:p>
    <w:p w14:paraId="46D1D47D" w14:textId="77E4C459" w:rsidR="009A7722" w:rsidRPr="00146827" w:rsidRDefault="00661816" w:rsidP="00002F83">
      <w:pPr>
        <w:pStyle w:val="Textoindependiente"/>
        <w:spacing w:after="120"/>
        <w:ind w:firstLine="708"/>
        <w:rPr>
          <w:rFonts w:eastAsia="Times New Roman"/>
          <w:bCs/>
          <w:color w:val="000000" w:themeColor="text1"/>
          <w:lang w:val="es-MX" w:eastAsia="es-ES_tradnl"/>
        </w:rPr>
      </w:pPr>
      <w:r>
        <w:rPr>
          <w:rFonts w:eastAsia="Times New Roman"/>
          <w:bCs/>
          <w:color w:val="000000" w:themeColor="text1"/>
          <w:lang w:eastAsia="es-ES_tradnl"/>
        </w:rPr>
        <w:t>En tal sentido, se debe tener en cuenta que e</w:t>
      </w:r>
      <w:r w:rsidR="009A7722" w:rsidRPr="00146827">
        <w:rPr>
          <w:rFonts w:eastAsia="Times New Roman"/>
          <w:bCs/>
          <w:color w:val="000000" w:themeColor="text1"/>
          <w:lang w:eastAsia="es-ES_tradnl"/>
        </w:rPr>
        <w:t>l parágrafo del artícu</w:t>
      </w:r>
      <w:r w:rsidR="009A7722">
        <w:rPr>
          <w:rFonts w:eastAsia="Times New Roman"/>
          <w:bCs/>
          <w:color w:val="000000" w:themeColor="text1"/>
          <w:lang w:eastAsia="es-ES_tradnl"/>
        </w:rPr>
        <w:t xml:space="preserve">lo 38 de la Ley 996 de 2005, </w:t>
      </w:r>
      <w:r w:rsidR="009A7722" w:rsidRPr="00146827">
        <w:rPr>
          <w:rFonts w:eastAsia="Times New Roman"/>
          <w:bCs/>
          <w:color w:val="000000" w:themeColor="text1"/>
          <w:lang w:eastAsia="es-ES_tradnl"/>
        </w:rPr>
        <w:t>restringe la celebración de contratos y convenios interadministrativos</w:t>
      </w:r>
      <w:r w:rsidR="009A7722">
        <w:rPr>
          <w:rFonts w:eastAsia="Times New Roman"/>
          <w:bCs/>
          <w:color w:val="000000" w:themeColor="text1"/>
          <w:lang w:eastAsia="es-ES_tradnl"/>
        </w:rPr>
        <w:t xml:space="preserve"> en los que se ejecuten recursos públicos</w:t>
      </w:r>
      <w:r w:rsidR="009A7722" w:rsidRPr="00146827">
        <w:rPr>
          <w:rFonts w:eastAsia="Times New Roman"/>
          <w:bCs/>
          <w:color w:val="000000" w:themeColor="text1"/>
          <w:lang w:eastAsia="es-ES_tradnl"/>
        </w:rPr>
        <w:t xml:space="preserve"> por parte de l</w:t>
      </w:r>
      <w:r w:rsidR="009A7722" w:rsidRPr="00146827">
        <w:t>os gobernadores, alcaldes municipales y/o distritales, secretarios, gerentes y directores de entidades descentralizadas del orden municipal, departamental o distrital</w:t>
      </w:r>
      <w:r w:rsidR="009A7722">
        <w:rPr>
          <w:rFonts w:eastAsia="Times New Roman"/>
          <w:bCs/>
          <w:color w:val="000000" w:themeColor="text1"/>
          <w:lang w:eastAsia="es-ES_tradnl"/>
        </w:rPr>
        <w:t>.</w:t>
      </w:r>
      <w:r w:rsidR="006E625F">
        <w:rPr>
          <w:rFonts w:eastAsia="Times New Roman"/>
          <w:bCs/>
          <w:color w:val="000000" w:themeColor="text1"/>
          <w:lang w:eastAsia="es-ES_tradnl"/>
        </w:rPr>
        <w:t xml:space="preserve"> La restricción en mención aplica durante los cuatro meses anteriores a las </w:t>
      </w:r>
      <w:r w:rsidR="006E625F" w:rsidRPr="007377E5">
        <w:rPr>
          <w:rFonts w:eastAsia="Calibri"/>
          <w:bCs/>
          <w:color w:val="000000" w:themeColor="text1"/>
          <w:lang w:val="es-ES_tradnl"/>
        </w:rPr>
        <w:t>elecciones para cual</w:t>
      </w:r>
      <w:r w:rsidR="00D45E45">
        <w:rPr>
          <w:rFonts w:eastAsia="Calibri"/>
          <w:bCs/>
          <w:color w:val="000000" w:themeColor="text1"/>
          <w:lang w:val="es-ES_tradnl"/>
        </w:rPr>
        <w:t>quier cargo de elección popular. A</w:t>
      </w:r>
      <w:r w:rsidR="00E4622B">
        <w:rPr>
          <w:rFonts w:eastAsia="Calibri"/>
          <w:bCs/>
          <w:color w:val="000000" w:themeColor="text1"/>
          <w:lang w:val="es-ES_tradnl"/>
        </w:rPr>
        <w:t>sí,</w:t>
      </w:r>
      <w:r w:rsidR="002431C6">
        <w:rPr>
          <w:rFonts w:eastAsia="Calibri"/>
          <w:bCs/>
          <w:color w:val="000000" w:themeColor="text1"/>
          <w:lang w:val="es-ES_tradnl"/>
        </w:rPr>
        <w:t xml:space="preserve"> por ejemplo, en el caso de</w:t>
      </w:r>
      <w:r w:rsidR="00E4622B">
        <w:rPr>
          <w:rFonts w:eastAsia="Calibri"/>
          <w:bCs/>
          <w:color w:val="000000" w:themeColor="text1"/>
          <w:lang w:val="es-ES_tradnl"/>
        </w:rPr>
        <w:t xml:space="preserve"> las elecciones populares llevada</w:t>
      </w:r>
      <w:r w:rsidR="006E625F">
        <w:rPr>
          <w:rFonts w:eastAsia="Calibri"/>
          <w:bCs/>
          <w:color w:val="000000" w:themeColor="text1"/>
          <w:lang w:val="es-ES_tradnl"/>
        </w:rPr>
        <w:t>s a cabo en el presente año, la restricción inició el 13 de noviembre de 2021</w:t>
      </w:r>
      <w:r w:rsidR="00E4622B">
        <w:rPr>
          <w:rFonts w:eastAsia="Calibri"/>
          <w:bCs/>
          <w:color w:val="000000" w:themeColor="text1"/>
          <w:lang w:val="es-ES_tradnl"/>
        </w:rPr>
        <w:t>, fecha en que inició la campaña electoral para la elección del Congreso de la República, y finalizó el 19 de junio de 2022, fecha en la que fue elegido el Presidente de la República en segunda vuelta.</w:t>
      </w:r>
    </w:p>
    <w:p w14:paraId="01A77877" w14:textId="1DD17213" w:rsidR="00661816" w:rsidRDefault="009A7722" w:rsidP="00002F83">
      <w:pPr>
        <w:tabs>
          <w:tab w:val="left" w:pos="426"/>
        </w:tabs>
        <w:spacing w:after="120" w:line="276" w:lineRule="auto"/>
        <w:jc w:val="both"/>
        <w:rPr>
          <w:rFonts w:ascii="Arial" w:hAnsi="Arial" w:cs="Arial"/>
          <w:color w:val="000000" w:themeColor="text1"/>
        </w:rPr>
      </w:pPr>
      <w:r w:rsidRPr="00146827">
        <w:rPr>
          <w:rFonts w:ascii="Arial" w:hAnsi="Arial" w:cs="Arial"/>
          <w:lang w:val="es-ES"/>
        </w:rPr>
        <w:tab/>
      </w:r>
      <w:r w:rsidRPr="00146827">
        <w:rPr>
          <w:rFonts w:ascii="Arial" w:hAnsi="Arial" w:cs="Arial"/>
          <w:lang w:val="es-ES"/>
        </w:rPr>
        <w:tab/>
      </w:r>
      <w:r w:rsidR="00661816">
        <w:rPr>
          <w:rFonts w:ascii="Arial" w:hAnsi="Arial" w:cs="Arial"/>
          <w:lang w:val="es-ES"/>
        </w:rPr>
        <w:t>Por otra parte, e</w:t>
      </w:r>
      <w:r>
        <w:rPr>
          <w:rFonts w:ascii="Arial" w:hAnsi="Arial" w:cs="Arial"/>
          <w:lang w:val="es-ES"/>
        </w:rPr>
        <w:t>l</w:t>
      </w:r>
      <w:r w:rsidRPr="00146827">
        <w:rPr>
          <w:rFonts w:ascii="Arial" w:hAnsi="Arial" w:cs="Arial"/>
        </w:rPr>
        <w:t xml:space="preserve"> artículo 33 de la Ley 996 de 2005, </w:t>
      </w:r>
      <w:r>
        <w:rPr>
          <w:rFonts w:ascii="Arial" w:hAnsi="Arial" w:cs="Arial"/>
        </w:rPr>
        <w:t xml:space="preserve">a diferencia de la anterior prohibición, recae sobre </w:t>
      </w:r>
      <w:r w:rsidRPr="00661816">
        <w:rPr>
          <w:rFonts w:ascii="Arial" w:hAnsi="Arial" w:cs="Arial"/>
          <w:i/>
        </w:rPr>
        <w:t>todos</w:t>
      </w:r>
      <w:r w:rsidRPr="00146827">
        <w:rPr>
          <w:rFonts w:ascii="Arial" w:hAnsi="Arial" w:cs="Arial"/>
        </w:rPr>
        <w:t xml:space="preserve"> </w:t>
      </w:r>
      <w:r w:rsidRPr="00146827">
        <w:rPr>
          <w:rFonts w:ascii="Arial" w:hAnsi="Arial" w:cs="Arial"/>
          <w:color w:val="000000" w:themeColor="text1"/>
        </w:rPr>
        <w:t>los entes del Estado, sin importar su régimen jurídico, forma de organización o naturaleza, pertenencia a una u otra rama del poder público o su autonomía</w:t>
      </w:r>
      <w:r w:rsidR="00D731BA">
        <w:rPr>
          <w:rFonts w:ascii="Arial" w:hAnsi="Arial" w:cs="Arial"/>
          <w:color w:val="000000" w:themeColor="text1"/>
        </w:rPr>
        <w:t>. Cabe precisar que esta prohibición recae únicamente sobre la contratación directa</w:t>
      </w:r>
      <w:r w:rsidR="003E2324">
        <w:rPr>
          <w:rFonts w:ascii="Arial" w:hAnsi="Arial" w:cs="Arial"/>
          <w:color w:val="000000" w:themeColor="text1"/>
        </w:rPr>
        <w:t xml:space="preserve">, entendida como </w:t>
      </w:r>
      <w:r w:rsidR="003E2324" w:rsidRPr="00097A6E">
        <w:rPr>
          <w:rFonts w:ascii="Arial" w:hAnsi="Arial" w:cs="Arial"/>
          <w:lang w:val="es-ES_tradnl" w:eastAsia="x-none"/>
        </w:rPr>
        <w:t>cualquier sistema que no implique convocatoria pública y posibilidad de pluralidad de oferentes</w:t>
      </w:r>
      <w:r w:rsidR="00D731BA">
        <w:rPr>
          <w:rFonts w:ascii="Arial" w:hAnsi="Arial" w:cs="Arial"/>
          <w:color w:val="000000" w:themeColor="text1"/>
        </w:rPr>
        <w:t>, salvo las excepciones consagradas en el mismo artículo 33</w:t>
      </w:r>
      <w:r w:rsidR="00D731BA" w:rsidRPr="00661816">
        <w:rPr>
          <w:rFonts w:ascii="Arial" w:hAnsi="Arial" w:cs="Arial"/>
          <w:color w:val="000000" w:themeColor="text1"/>
        </w:rPr>
        <w:t>,</w:t>
      </w:r>
      <w:r w:rsidR="003E2324">
        <w:rPr>
          <w:rFonts w:ascii="Arial" w:hAnsi="Arial" w:cs="Arial"/>
          <w:color w:val="000000" w:themeColor="text1"/>
        </w:rPr>
        <w:t xml:space="preserve"> en su inciso segundo.</w:t>
      </w:r>
      <w:r w:rsidR="00D731BA" w:rsidRPr="00661816">
        <w:rPr>
          <w:rFonts w:ascii="Arial" w:hAnsi="Arial" w:cs="Arial"/>
          <w:color w:val="000000" w:themeColor="text1"/>
        </w:rPr>
        <w:t xml:space="preserve"> </w:t>
      </w:r>
      <w:r w:rsidR="003E2324">
        <w:rPr>
          <w:rFonts w:ascii="Arial" w:hAnsi="Arial" w:cs="Arial"/>
          <w:color w:val="000000" w:themeColor="text1"/>
        </w:rPr>
        <w:t>En tal sentido,</w:t>
      </w:r>
      <w:r w:rsidR="00D731BA" w:rsidRPr="00661816">
        <w:rPr>
          <w:rFonts w:ascii="Arial" w:hAnsi="Arial" w:cs="Arial"/>
          <w:color w:val="000000" w:themeColor="text1"/>
        </w:rPr>
        <w:t xml:space="preserve"> las demás modalidades de selección señaladas en el artículo 2 de la Ley 1150 de 2007, es decir, la licitación pública, la selección abreviada, el concurso de méritos y la mínima cuantía, no son objeto de</w:t>
      </w:r>
      <w:r w:rsidR="00AE3885">
        <w:rPr>
          <w:rFonts w:ascii="Arial" w:hAnsi="Arial" w:cs="Arial"/>
          <w:color w:val="000000" w:themeColor="text1"/>
        </w:rPr>
        <w:t xml:space="preserve"> la</w:t>
      </w:r>
      <w:r w:rsidR="00D731BA" w:rsidRPr="00661816">
        <w:rPr>
          <w:rFonts w:ascii="Arial" w:hAnsi="Arial" w:cs="Arial"/>
          <w:color w:val="000000" w:themeColor="text1"/>
        </w:rPr>
        <w:t xml:space="preserve"> restricción.</w:t>
      </w:r>
      <w:r w:rsidRPr="00661816">
        <w:rPr>
          <w:rFonts w:ascii="Arial" w:hAnsi="Arial" w:cs="Arial"/>
          <w:color w:val="000000" w:themeColor="text1"/>
        </w:rPr>
        <w:t xml:space="preserve">  </w:t>
      </w:r>
    </w:p>
    <w:p w14:paraId="7F85A060" w14:textId="75F3AB74" w:rsidR="001C25A4" w:rsidRDefault="00661816" w:rsidP="00002F83">
      <w:pPr>
        <w:tabs>
          <w:tab w:val="left" w:pos="426"/>
        </w:tabs>
        <w:spacing w:after="120" w:line="276" w:lineRule="auto"/>
        <w:jc w:val="both"/>
        <w:rPr>
          <w:rFonts w:ascii="Arial" w:hAnsi="Arial" w:cs="Arial"/>
          <w:bCs/>
          <w:lang w:val="es-ES"/>
        </w:rPr>
      </w:pPr>
      <w:r>
        <w:rPr>
          <w:rFonts w:ascii="Arial" w:hAnsi="Arial" w:cs="Arial"/>
          <w:color w:val="000000" w:themeColor="text1"/>
        </w:rPr>
        <w:tab/>
      </w:r>
      <w:r w:rsidR="00AE3885">
        <w:rPr>
          <w:rFonts w:ascii="Arial" w:hAnsi="Arial" w:cs="Arial"/>
          <w:color w:val="000000" w:themeColor="text1"/>
        </w:rPr>
        <w:tab/>
      </w:r>
      <w:r>
        <w:rPr>
          <w:rFonts w:ascii="Arial" w:hAnsi="Arial" w:cs="Arial"/>
          <w:color w:val="000000" w:themeColor="text1"/>
        </w:rPr>
        <w:t>Así las cosas, de acuerdo con el artículo 33 de la Ley de Garantías Electorales, a</w:t>
      </w:r>
      <w:r w:rsidR="002431C6" w:rsidRPr="00661816">
        <w:rPr>
          <w:rFonts w:ascii="Arial" w:hAnsi="Arial" w:cs="Arial"/>
          <w:color w:val="000000" w:themeColor="text1"/>
        </w:rPr>
        <w:t xml:space="preserve"> todos los entes del Estado </w:t>
      </w:r>
      <w:r w:rsidR="002431C6" w:rsidRPr="00661816">
        <w:rPr>
          <w:rFonts w:ascii="Arial" w:eastAsia="Times New Roman" w:hAnsi="Arial" w:cs="Arial"/>
          <w:bCs/>
          <w:color w:val="000000" w:themeColor="text1"/>
          <w:lang w:eastAsia="es-ES_tradnl"/>
        </w:rPr>
        <w:t>les queda prohibida cualquier forma de contratación directa durante los</w:t>
      </w:r>
      <w:r w:rsidR="002431C6" w:rsidRPr="00146827">
        <w:rPr>
          <w:rFonts w:ascii="Arial" w:eastAsia="Times New Roman" w:hAnsi="Arial" w:cs="Arial"/>
          <w:bCs/>
          <w:color w:val="000000" w:themeColor="text1"/>
          <w:lang w:eastAsia="es-ES_tradnl"/>
        </w:rPr>
        <w:t xml:space="preserve"> cuatro (4) meses anteriores a la elección presidencial y hasta la realización de la elección en la s</w:t>
      </w:r>
      <w:r w:rsidR="002431C6">
        <w:rPr>
          <w:rFonts w:ascii="Arial" w:eastAsia="Times New Roman" w:hAnsi="Arial" w:cs="Arial"/>
          <w:bCs/>
          <w:color w:val="000000" w:themeColor="text1"/>
          <w:lang w:eastAsia="es-ES_tradnl"/>
        </w:rPr>
        <w:t>e</w:t>
      </w:r>
      <w:r>
        <w:rPr>
          <w:rFonts w:ascii="Arial" w:eastAsia="Times New Roman" w:hAnsi="Arial" w:cs="Arial"/>
          <w:bCs/>
          <w:color w:val="000000" w:themeColor="text1"/>
          <w:lang w:eastAsia="es-ES_tradnl"/>
        </w:rPr>
        <w:t>gunda vuelta, si a ello hubiere lugar</w:t>
      </w:r>
      <w:r w:rsidR="002431C6">
        <w:rPr>
          <w:rFonts w:ascii="Arial" w:eastAsia="Times New Roman" w:hAnsi="Arial" w:cs="Arial"/>
          <w:bCs/>
          <w:color w:val="000000" w:themeColor="text1"/>
          <w:lang w:eastAsia="es-ES_tradnl"/>
        </w:rPr>
        <w:t>. Para el caso de las elecciones presidenciales del año 2022, la restricción de la contratación directa aplicó</w:t>
      </w:r>
      <w:r>
        <w:rPr>
          <w:rFonts w:ascii="Arial" w:eastAsia="Times New Roman" w:hAnsi="Arial" w:cs="Arial"/>
          <w:bCs/>
          <w:color w:val="000000" w:themeColor="text1"/>
          <w:lang w:eastAsia="es-ES_tradnl"/>
        </w:rPr>
        <w:t xml:space="preserve"> </w:t>
      </w:r>
      <w:r>
        <w:rPr>
          <w:rFonts w:ascii="Arial" w:hAnsi="Arial" w:cs="Arial"/>
          <w:bCs/>
          <w:lang w:val="es-ES"/>
        </w:rPr>
        <w:t xml:space="preserve">para todos </w:t>
      </w:r>
      <w:r w:rsidRPr="00476E72">
        <w:rPr>
          <w:rFonts w:ascii="Arial" w:hAnsi="Arial" w:cs="Arial"/>
          <w:bCs/>
          <w:lang w:val="es-ES"/>
        </w:rPr>
        <w:t>los entes del Estado, incluidos los territoriales</w:t>
      </w:r>
      <w:r>
        <w:rPr>
          <w:rFonts w:ascii="Arial" w:hAnsi="Arial" w:cs="Arial"/>
          <w:bCs/>
          <w:lang w:val="es-ES"/>
        </w:rPr>
        <w:t>,</w:t>
      </w:r>
      <w:r>
        <w:rPr>
          <w:rFonts w:ascii="Arial" w:eastAsia="Times New Roman" w:hAnsi="Arial" w:cs="Arial"/>
          <w:bCs/>
          <w:color w:val="000000" w:themeColor="text1"/>
          <w:lang w:eastAsia="es-ES_tradnl"/>
        </w:rPr>
        <w:t xml:space="preserve"> en</w:t>
      </w:r>
      <w:r w:rsidR="002431C6">
        <w:rPr>
          <w:rFonts w:ascii="Arial" w:eastAsia="Times New Roman" w:hAnsi="Arial" w:cs="Arial"/>
          <w:bCs/>
          <w:color w:val="000000" w:themeColor="text1"/>
          <w:lang w:eastAsia="es-ES_tradnl"/>
        </w:rPr>
        <w:t xml:space="preserve"> </w:t>
      </w:r>
      <w:r w:rsidR="002431C6" w:rsidRPr="00476E72">
        <w:rPr>
          <w:rFonts w:ascii="Arial" w:hAnsi="Arial" w:cs="Arial"/>
          <w:bCs/>
          <w:lang w:val="es-ES"/>
        </w:rPr>
        <w:t xml:space="preserve">el periodo comprendido entre el 29 de </w:t>
      </w:r>
      <w:r w:rsidR="002431C6">
        <w:rPr>
          <w:rFonts w:ascii="Arial" w:hAnsi="Arial" w:cs="Arial"/>
          <w:bCs/>
          <w:lang w:val="es-ES"/>
        </w:rPr>
        <w:t>enero de 2022 y el 19</w:t>
      </w:r>
      <w:r w:rsidR="002431C6" w:rsidRPr="00476E72">
        <w:rPr>
          <w:rFonts w:ascii="Arial" w:hAnsi="Arial" w:cs="Arial"/>
          <w:bCs/>
          <w:lang w:val="es-ES"/>
        </w:rPr>
        <w:t xml:space="preserve"> </w:t>
      </w:r>
      <w:r w:rsidR="002431C6" w:rsidRPr="002431C6">
        <w:rPr>
          <w:rFonts w:ascii="Arial" w:hAnsi="Arial" w:cs="Arial"/>
          <w:bCs/>
          <w:lang w:val="es-ES"/>
        </w:rPr>
        <w:t>de junio de 2022, fecha en la que fue elegido el Presidente de la República en segunda vuelta</w:t>
      </w:r>
      <w:r>
        <w:rPr>
          <w:rFonts w:ascii="Arial" w:hAnsi="Arial" w:cs="Arial"/>
          <w:bCs/>
          <w:lang w:val="es-ES"/>
        </w:rPr>
        <w:t>.</w:t>
      </w:r>
      <w:r w:rsidR="001C25A4">
        <w:rPr>
          <w:rFonts w:ascii="Arial" w:hAnsi="Arial" w:cs="Arial"/>
          <w:bCs/>
          <w:lang w:val="es-ES"/>
        </w:rPr>
        <w:t xml:space="preserve"> </w:t>
      </w:r>
    </w:p>
    <w:p w14:paraId="4BF38CAD" w14:textId="51181535" w:rsidR="00195DD2" w:rsidRDefault="00195DD2" w:rsidP="00002F83">
      <w:pPr>
        <w:tabs>
          <w:tab w:val="left" w:pos="426"/>
        </w:tabs>
        <w:spacing w:after="120" w:line="276" w:lineRule="auto"/>
        <w:jc w:val="both"/>
        <w:rPr>
          <w:rFonts w:ascii="Arial" w:hAnsi="Arial" w:cs="Arial"/>
          <w:bCs/>
          <w:lang w:val="es-ES"/>
        </w:rPr>
      </w:pPr>
      <w:r>
        <w:rPr>
          <w:rFonts w:ascii="Arial" w:hAnsi="Arial" w:cs="Arial"/>
          <w:bCs/>
          <w:lang w:val="es-ES"/>
        </w:rPr>
        <w:tab/>
      </w:r>
      <w:r w:rsidR="00AE3885">
        <w:rPr>
          <w:rFonts w:ascii="Arial" w:hAnsi="Arial" w:cs="Arial"/>
          <w:bCs/>
          <w:lang w:val="es-ES"/>
        </w:rPr>
        <w:tab/>
      </w:r>
      <w:r>
        <w:rPr>
          <w:rFonts w:ascii="Arial" w:hAnsi="Arial" w:cs="Arial"/>
          <w:bCs/>
          <w:lang w:val="es-ES"/>
        </w:rPr>
        <w:t xml:space="preserve">Las normas, circulares y conceptos citados en las consideraciones del presente concepto pueden ser consultados en la </w:t>
      </w:r>
      <w:r w:rsidR="00AE3885">
        <w:rPr>
          <w:rFonts w:ascii="Arial" w:hAnsi="Arial" w:cs="Arial"/>
          <w:bCs/>
          <w:lang w:val="es-ES"/>
        </w:rPr>
        <w:t xml:space="preserve">página web </w:t>
      </w:r>
      <w:r>
        <w:rPr>
          <w:rFonts w:ascii="Arial" w:hAnsi="Arial" w:cs="Arial"/>
          <w:bCs/>
          <w:lang w:val="es-ES"/>
        </w:rPr>
        <w:t xml:space="preserve">de la Agencia Nacional de Contratación Pública </w:t>
      </w:r>
      <w:r w:rsidR="00AE3885">
        <w:rPr>
          <w:rFonts w:ascii="Arial" w:hAnsi="Arial" w:cs="Arial"/>
          <w:bCs/>
          <w:lang w:val="es-ES"/>
        </w:rPr>
        <w:t>–</w:t>
      </w:r>
      <w:r>
        <w:rPr>
          <w:rFonts w:ascii="Arial" w:hAnsi="Arial" w:cs="Arial"/>
          <w:bCs/>
          <w:lang w:val="es-ES"/>
        </w:rPr>
        <w:t xml:space="preserve"> Colombia Compra Eficiente en </w:t>
      </w:r>
      <w:r w:rsidR="00AE3885">
        <w:rPr>
          <w:rFonts w:ascii="Arial" w:hAnsi="Arial" w:cs="Arial"/>
          <w:bCs/>
          <w:lang w:val="es-ES"/>
        </w:rPr>
        <w:t>el siguiente enlace</w:t>
      </w:r>
      <w:r>
        <w:rPr>
          <w:rFonts w:ascii="Arial" w:hAnsi="Arial" w:cs="Arial"/>
          <w:bCs/>
          <w:lang w:val="es-ES"/>
        </w:rPr>
        <w:t xml:space="preserve"> </w:t>
      </w:r>
      <w:hyperlink r:id="rId12" w:history="1">
        <w:r w:rsidRPr="00FC1DBB">
          <w:rPr>
            <w:rStyle w:val="Hipervnculo"/>
            <w:rFonts w:ascii="Arial" w:hAnsi="Arial" w:cs="Arial"/>
            <w:bCs/>
            <w:lang w:val="es-ES"/>
          </w:rPr>
          <w:t>https://www.colombiacompra.gov.co/</w:t>
        </w:r>
      </w:hyperlink>
      <w:r w:rsidR="00AE3885">
        <w:rPr>
          <w:rFonts w:ascii="Arial" w:hAnsi="Arial" w:cs="Arial"/>
          <w:bCs/>
          <w:lang w:val="es-ES"/>
        </w:rPr>
        <w:t xml:space="preserve">. Además, cabe precisar que en la Circular Externa Única de la Agencia en el numeral 16 se ocupa de la aplicación de la Ley de Garantías. </w:t>
      </w:r>
      <w:r w:rsidR="00AE3885">
        <w:rPr>
          <w:rFonts w:ascii="Arial" w:hAnsi="Arial" w:cs="Arial"/>
          <w:bCs/>
          <w:lang w:val="es-ES"/>
        </w:rPr>
        <w:lastRenderedPageBreak/>
        <w:t xml:space="preserve">Dicha circular puede consultarse en el siguiente enlace: </w:t>
      </w:r>
      <w:hyperlink r:id="rId13" w:history="1">
        <w:r w:rsidR="00AE3885" w:rsidRPr="00C22808">
          <w:rPr>
            <w:rStyle w:val="Hipervnculo"/>
            <w:rFonts w:ascii="Arial" w:hAnsi="Arial" w:cs="Arial"/>
            <w:bCs/>
            <w:lang w:val="es-ES"/>
          </w:rPr>
          <w:t>https://www.colombiacompra.gov.co/content/circular-unica-externa</w:t>
        </w:r>
      </w:hyperlink>
      <w:r w:rsidR="00AE3885">
        <w:rPr>
          <w:rFonts w:ascii="Arial" w:hAnsi="Arial" w:cs="Arial"/>
          <w:bCs/>
          <w:lang w:val="es-ES"/>
        </w:rPr>
        <w:t xml:space="preserve">. </w:t>
      </w:r>
    </w:p>
    <w:p w14:paraId="6C5AF7E5" w14:textId="77777777" w:rsidR="001C25A4" w:rsidRPr="00476E72" w:rsidRDefault="001C25A4" w:rsidP="00002F83">
      <w:pPr>
        <w:tabs>
          <w:tab w:val="left" w:pos="426"/>
        </w:tabs>
        <w:spacing w:after="120" w:line="276" w:lineRule="auto"/>
        <w:jc w:val="both"/>
        <w:rPr>
          <w:rFonts w:ascii="Arial" w:eastAsia="Times New Roman" w:hAnsi="Arial" w:cs="Arial"/>
          <w:bCs/>
          <w:color w:val="000000" w:themeColor="text1"/>
          <w:lang w:eastAsia="es-ES_tradnl"/>
        </w:rPr>
      </w:pPr>
    </w:p>
    <w:p w14:paraId="3D03E73C" w14:textId="77777777" w:rsidR="004C02D8" w:rsidRPr="00C512B3" w:rsidRDefault="004C02D8" w:rsidP="00002F83">
      <w:pPr>
        <w:spacing w:after="120" w:line="276" w:lineRule="auto"/>
        <w:jc w:val="both"/>
        <w:rPr>
          <w:rFonts w:ascii="Arial" w:eastAsia="Times New Roman" w:hAnsi="Arial" w:cs="Arial"/>
          <w:lang w:eastAsia="es-ES_tradnl"/>
        </w:rPr>
      </w:pPr>
      <w:r w:rsidRPr="00C512B3">
        <w:rPr>
          <w:rFonts w:ascii="Arial" w:eastAsia="Times New Roman" w:hAnsi="Arial" w:cs="Arial"/>
          <w:lang w:eastAsia="es-ES_tradnl"/>
        </w:rPr>
        <w:t>Este concepto tiene el alcance previsto en el artículo 28 del Código de Procedimiento Administrativo y de lo Contencioso Administrativo.</w:t>
      </w:r>
      <w:r w:rsidRPr="00C512B3">
        <w:rPr>
          <w:rFonts w:ascii="Arial" w:eastAsia="Times New Roman" w:hAnsi="Arial" w:cs="Arial"/>
          <w:noProof/>
          <w:lang w:eastAsia="es-CO"/>
        </w:rPr>
        <mc:AlternateContent>
          <mc:Choice Requires="wps">
            <w:drawing>
              <wp:anchor distT="0" distB="0" distL="114300" distR="114300" simplePos="0" relativeHeight="251660800" behindDoc="0" locked="0" layoutInCell="1" allowOverlap="1" wp14:anchorId="38A9530B" wp14:editId="52E3AEA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B94CE5" id="Conector recto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59CAAD81" w14:textId="77777777" w:rsidR="004C02D8" w:rsidRPr="00C512B3" w:rsidRDefault="004C02D8" w:rsidP="00002F83">
      <w:pPr>
        <w:spacing w:after="120" w:line="276" w:lineRule="auto"/>
        <w:jc w:val="both"/>
        <w:rPr>
          <w:rFonts w:ascii="Arial" w:eastAsia="Times New Roman" w:hAnsi="Arial" w:cs="Arial"/>
          <w:lang w:eastAsia="es-ES_tradnl"/>
        </w:rPr>
      </w:pPr>
    </w:p>
    <w:p w14:paraId="4F6F1D5B" w14:textId="77777777" w:rsidR="004C02D8" w:rsidRDefault="004C02D8" w:rsidP="005A11AD">
      <w:pPr>
        <w:spacing w:after="0" w:line="276" w:lineRule="auto"/>
        <w:jc w:val="both"/>
        <w:rPr>
          <w:rFonts w:ascii="Arial" w:eastAsia="Times New Roman" w:hAnsi="Arial" w:cs="Arial"/>
          <w:lang w:eastAsia="es-ES_tradnl"/>
        </w:rPr>
      </w:pPr>
      <w:r w:rsidRPr="00C512B3">
        <w:rPr>
          <w:rFonts w:ascii="Arial" w:eastAsia="Times New Roman" w:hAnsi="Arial" w:cs="Arial"/>
          <w:lang w:eastAsia="es-ES_tradnl"/>
        </w:rPr>
        <w:t>Atentamente,</w:t>
      </w:r>
    </w:p>
    <w:p w14:paraId="4FDA5CFB" w14:textId="2C4FC5B5" w:rsidR="00886E7C" w:rsidRDefault="00ED6956" w:rsidP="009C6450">
      <w:pPr>
        <w:spacing w:after="0" w:line="276" w:lineRule="auto"/>
        <w:jc w:val="center"/>
        <w:rPr>
          <w:rFonts w:ascii="Arial" w:eastAsia="Times New Roman" w:hAnsi="Arial" w:cs="Arial"/>
          <w:lang w:eastAsia="es-ES_tradnl"/>
        </w:rPr>
      </w:pPr>
      <w:r>
        <w:rPr>
          <w:noProof/>
          <w:lang w:eastAsia="es-CO"/>
        </w:rPr>
        <w:drawing>
          <wp:inline distT="0" distB="0" distL="0" distR="0" wp14:anchorId="31735E4F" wp14:editId="72A9845C">
            <wp:extent cx="2735808" cy="1059180"/>
            <wp:effectExtent l="0" t="0" r="7620" b="7620"/>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404" cy="1062121"/>
                    </a:xfrm>
                    <a:prstGeom prst="rect">
                      <a:avLst/>
                    </a:prstGeom>
                    <a:noFill/>
                    <a:ln>
                      <a:noFill/>
                    </a:ln>
                  </pic:spPr>
                </pic:pic>
              </a:graphicData>
            </a:graphic>
          </wp:inline>
        </w:drawing>
      </w:r>
    </w:p>
    <w:p w14:paraId="691E714F" w14:textId="77777777" w:rsidR="00402EA7" w:rsidRDefault="00402EA7" w:rsidP="009C6450">
      <w:pPr>
        <w:spacing w:after="0" w:line="276" w:lineRule="auto"/>
        <w:jc w:val="center"/>
        <w:rPr>
          <w:rFonts w:ascii="Arial" w:eastAsia="Times New Roman" w:hAnsi="Arial" w:cs="Arial"/>
          <w:lang w:eastAsia="es-ES_tradnl"/>
        </w:rPr>
      </w:pP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02EA7" w:rsidRPr="00402EA7" w14:paraId="6E6D7868" w14:textId="77777777" w:rsidTr="00402EA7">
        <w:trPr>
          <w:trHeight w:val="315"/>
        </w:trPr>
        <w:tc>
          <w:tcPr>
            <w:tcW w:w="812" w:type="dxa"/>
            <w:vAlign w:val="center"/>
            <w:hideMark/>
          </w:tcPr>
          <w:p w14:paraId="52A9BDC0"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54E15A6C" w14:textId="2C127F80" w:rsidR="00402EA7" w:rsidRPr="00402EA7" w:rsidRDefault="00D45E45" w:rsidP="00402EA7">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Guillermo Escolar Flórez</w:t>
            </w:r>
            <w:r w:rsidR="00402EA7">
              <w:rPr>
                <w:rFonts w:ascii="Arial" w:eastAsia="Times New Roman" w:hAnsi="Arial" w:cs="Arial"/>
                <w:sz w:val="16"/>
                <w:szCs w:val="16"/>
                <w:lang w:val="es-ES_tradnl" w:eastAsia="es-ES"/>
              </w:rPr>
              <w:t xml:space="preserve"> </w:t>
            </w:r>
          </w:p>
          <w:p w14:paraId="6456BBBF"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Contratista de la Subdirección de Gestión Contractual</w:t>
            </w:r>
          </w:p>
        </w:tc>
      </w:tr>
      <w:tr w:rsidR="00402EA7" w:rsidRPr="00402EA7" w14:paraId="551B2767" w14:textId="77777777" w:rsidTr="00402EA7">
        <w:trPr>
          <w:trHeight w:val="330"/>
        </w:trPr>
        <w:tc>
          <w:tcPr>
            <w:tcW w:w="812" w:type="dxa"/>
            <w:vAlign w:val="center"/>
            <w:hideMark/>
          </w:tcPr>
          <w:p w14:paraId="78B12ECE"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405D8CF2"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Sebastián Ramírez Grisales</w:t>
            </w:r>
          </w:p>
          <w:p w14:paraId="5FF50058" w14:textId="426E962B"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Contratista de la Subdirección de Gestión Contractual</w:t>
            </w:r>
          </w:p>
        </w:tc>
      </w:tr>
      <w:tr w:rsidR="00402EA7" w:rsidRPr="00402EA7" w14:paraId="3FE5E873" w14:textId="77777777" w:rsidTr="00402EA7">
        <w:trPr>
          <w:trHeight w:val="300"/>
        </w:trPr>
        <w:tc>
          <w:tcPr>
            <w:tcW w:w="812" w:type="dxa"/>
            <w:vAlign w:val="center"/>
            <w:hideMark/>
          </w:tcPr>
          <w:p w14:paraId="0DC388CA"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31C0EDB" w14:textId="77777777" w:rsidR="00CE3801" w:rsidRPr="00CE3801" w:rsidRDefault="00CE3801" w:rsidP="00CE3801">
            <w:pPr>
              <w:rPr>
                <w:rFonts w:ascii="Arial" w:eastAsia="Times New Roman" w:hAnsi="Arial" w:cs="Arial"/>
                <w:sz w:val="16"/>
                <w:szCs w:val="16"/>
                <w:lang w:val="es-ES_tradnl" w:eastAsia="es-ES"/>
              </w:rPr>
            </w:pPr>
            <w:r w:rsidRPr="00CE3801">
              <w:rPr>
                <w:rFonts w:ascii="Arial" w:eastAsia="Times New Roman" w:hAnsi="Arial" w:cs="Arial"/>
                <w:sz w:val="16"/>
                <w:szCs w:val="16"/>
                <w:lang w:val="es-ES_tradnl" w:eastAsia="es-ES"/>
              </w:rPr>
              <w:t>Juan David Marín López</w:t>
            </w:r>
          </w:p>
          <w:p w14:paraId="7FBAE4BB" w14:textId="2672BFE7" w:rsidR="00402EA7" w:rsidRPr="00402EA7" w:rsidRDefault="00CE3801" w:rsidP="00CE3801">
            <w:pPr>
              <w:rPr>
                <w:rFonts w:ascii="Arial" w:eastAsia="Times New Roman" w:hAnsi="Arial" w:cs="Arial"/>
                <w:sz w:val="16"/>
                <w:szCs w:val="16"/>
                <w:lang w:val="es-ES_tradnl" w:eastAsia="es-ES"/>
              </w:rPr>
            </w:pPr>
            <w:r w:rsidRPr="00CE3801">
              <w:rPr>
                <w:rFonts w:ascii="Arial" w:eastAsia="Times New Roman" w:hAnsi="Arial" w:cs="Arial"/>
                <w:sz w:val="16"/>
                <w:szCs w:val="16"/>
                <w:lang w:val="es-ES_tradnl" w:eastAsia="es-ES"/>
              </w:rPr>
              <w:t>Subdirector de Gestión Contractual (E)</w:t>
            </w:r>
          </w:p>
        </w:tc>
      </w:tr>
      <w:bookmarkEnd w:id="43"/>
    </w:tbl>
    <w:p w14:paraId="36E9F131" w14:textId="32B52CCE" w:rsidR="00402EA7" w:rsidRDefault="00402EA7" w:rsidP="009C6450">
      <w:pPr>
        <w:spacing w:after="0" w:line="276" w:lineRule="auto"/>
        <w:jc w:val="center"/>
        <w:rPr>
          <w:rFonts w:ascii="Arial" w:eastAsia="Times New Roman" w:hAnsi="Arial" w:cs="Arial"/>
          <w:lang w:eastAsia="es-ES_tradnl"/>
        </w:rPr>
      </w:pPr>
    </w:p>
    <w:p w14:paraId="6B849B92" w14:textId="277A41DB" w:rsidR="005E5771" w:rsidRDefault="005E5771" w:rsidP="009C6450">
      <w:pPr>
        <w:spacing w:after="0" w:line="276" w:lineRule="auto"/>
        <w:jc w:val="center"/>
        <w:rPr>
          <w:rFonts w:ascii="Arial" w:eastAsia="Times New Roman" w:hAnsi="Arial" w:cs="Arial"/>
          <w:lang w:eastAsia="es-ES_tradnl"/>
        </w:rPr>
      </w:pPr>
    </w:p>
    <w:bookmarkEnd w:id="3"/>
    <w:p w14:paraId="183D34B2" w14:textId="77777777" w:rsidR="005E5771" w:rsidRPr="00C512B3" w:rsidRDefault="005E5771" w:rsidP="009C6450">
      <w:pPr>
        <w:spacing w:after="0" w:line="276" w:lineRule="auto"/>
        <w:jc w:val="center"/>
        <w:rPr>
          <w:rFonts w:ascii="Arial" w:eastAsia="Times New Roman" w:hAnsi="Arial" w:cs="Arial"/>
          <w:lang w:eastAsia="es-ES_tradnl"/>
        </w:rPr>
      </w:pPr>
    </w:p>
    <w:sectPr w:rsidR="005E5771" w:rsidRPr="00C512B3" w:rsidSect="00F479FA">
      <w:headerReference w:type="default" r:id="rId15"/>
      <w:footerReference w:type="default" r:id="rId16"/>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7E1B6" w14:textId="77777777" w:rsidR="00CD61B3" w:rsidRDefault="00CD61B3" w:rsidP="004C02D8">
      <w:pPr>
        <w:spacing w:after="0" w:line="240" w:lineRule="auto"/>
      </w:pPr>
      <w:r>
        <w:separator/>
      </w:r>
    </w:p>
  </w:endnote>
  <w:endnote w:type="continuationSeparator" w:id="0">
    <w:p w14:paraId="7E0F21DE" w14:textId="77777777" w:rsidR="00CD61B3" w:rsidRDefault="00CD61B3" w:rsidP="004C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8086" w14:textId="74C093E8" w:rsidR="00412132" w:rsidRPr="004C02D8" w:rsidRDefault="0088085E" w:rsidP="005A79FE">
    <w:pPr>
      <w:pStyle w:val="Piedepgina"/>
      <w:jc w:val="right"/>
      <w:rPr>
        <w:rFonts w:ascii="Arial" w:hAnsi="Arial" w:cs="Arial"/>
        <w:color w:val="7F7F7F"/>
        <w:sz w:val="16"/>
        <w:szCs w:val="16"/>
      </w:rPr>
    </w:pPr>
    <w:r w:rsidRPr="004C02D8">
      <w:rPr>
        <w:rFonts w:ascii="Arial" w:hAnsi="Arial" w:cs="Arial"/>
        <w:bCs/>
        <w:color w:val="7F7F7F"/>
        <w:sz w:val="16"/>
        <w:szCs w:val="16"/>
      </w:rPr>
      <w:t xml:space="preserve">Página </w:t>
    </w:r>
    <w:r w:rsidRPr="004C02D8">
      <w:rPr>
        <w:rFonts w:ascii="Arial" w:hAnsi="Arial" w:cs="Arial"/>
        <w:b/>
        <w:bCs/>
        <w:color w:val="7F7F7F"/>
        <w:sz w:val="16"/>
        <w:szCs w:val="16"/>
      </w:rPr>
      <w:fldChar w:fldCharType="begin"/>
    </w:r>
    <w:r w:rsidRPr="004C02D8">
      <w:rPr>
        <w:rFonts w:ascii="Arial" w:hAnsi="Arial" w:cs="Arial"/>
        <w:b/>
        <w:bCs/>
        <w:color w:val="7F7F7F"/>
        <w:sz w:val="16"/>
        <w:szCs w:val="16"/>
      </w:rPr>
      <w:instrText>PAGE  \* Arabic  \* MERGEFORMAT</w:instrText>
    </w:r>
    <w:r w:rsidRPr="004C02D8">
      <w:rPr>
        <w:rFonts w:ascii="Arial" w:hAnsi="Arial" w:cs="Arial"/>
        <w:b/>
        <w:bCs/>
        <w:color w:val="7F7F7F"/>
        <w:sz w:val="16"/>
        <w:szCs w:val="16"/>
      </w:rPr>
      <w:fldChar w:fldCharType="separate"/>
    </w:r>
    <w:r w:rsidR="00B9786E">
      <w:rPr>
        <w:rFonts w:ascii="Arial" w:hAnsi="Arial" w:cs="Arial"/>
        <w:b/>
        <w:bCs/>
        <w:noProof/>
        <w:color w:val="7F7F7F"/>
        <w:sz w:val="16"/>
        <w:szCs w:val="16"/>
      </w:rPr>
      <w:t>21</w:t>
    </w:r>
    <w:r w:rsidRPr="004C02D8">
      <w:rPr>
        <w:rFonts w:ascii="Arial" w:hAnsi="Arial" w:cs="Arial"/>
        <w:b/>
        <w:bCs/>
        <w:color w:val="7F7F7F"/>
        <w:sz w:val="16"/>
        <w:szCs w:val="16"/>
      </w:rPr>
      <w:fldChar w:fldCharType="end"/>
    </w:r>
    <w:r w:rsidRPr="004C02D8">
      <w:rPr>
        <w:rFonts w:ascii="Arial" w:hAnsi="Arial" w:cs="Arial"/>
        <w:color w:val="7F7F7F"/>
        <w:sz w:val="16"/>
        <w:szCs w:val="16"/>
      </w:rPr>
      <w:t>de</w:t>
    </w:r>
    <w:r w:rsidRPr="004C02D8">
      <w:rPr>
        <w:rFonts w:ascii="Arial" w:hAnsi="Arial" w:cs="Arial"/>
        <w:b/>
        <w:bCs/>
        <w:color w:val="7F7F7F"/>
        <w:sz w:val="16"/>
        <w:szCs w:val="16"/>
      </w:rPr>
      <w:fldChar w:fldCharType="begin"/>
    </w:r>
    <w:r w:rsidRPr="004C02D8">
      <w:rPr>
        <w:rFonts w:ascii="Arial" w:hAnsi="Arial" w:cs="Arial"/>
        <w:b/>
        <w:bCs/>
        <w:color w:val="7F7F7F"/>
        <w:sz w:val="16"/>
        <w:szCs w:val="16"/>
      </w:rPr>
      <w:instrText>NUMPAGES  \* Arabic  \* MERGEFORMAT</w:instrText>
    </w:r>
    <w:r w:rsidRPr="004C02D8">
      <w:rPr>
        <w:rFonts w:ascii="Arial" w:hAnsi="Arial" w:cs="Arial"/>
        <w:b/>
        <w:bCs/>
        <w:color w:val="7F7F7F"/>
        <w:sz w:val="16"/>
        <w:szCs w:val="16"/>
      </w:rPr>
      <w:fldChar w:fldCharType="separate"/>
    </w:r>
    <w:r w:rsidR="00B9786E">
      <w:rPr>
        <w:rFonts w:ascii="Arial" w:hAnsi="Arial" w:cs="Arial"/>
        <w:b/>
        <w:bCs/>
        <w:noProof/>
        <w:color w:val="7F7F7F"/>
        <w:sz w:val="16"/>
        <w:szCs w:val="16"/>
      </w:rPr>
      <w:t>21</w:t>
    </w:r>
    <w:r w:rsidRPr="004C02D8">
      <w:rPr>
        <w:rFonts w:ascii="Arial" w:hAnsi="Arial" w:cs="Arial"/>
        <w:b/>
        <w:bCs/>
        <w:color w:val="7F7F7F"/>
        <w:sz w:val="16"/>
        <w:szCs w:val="16"/>
      </w:rPr>
      <w:fldChar w:fldCharType="end"/>
    </w:r>
  </w:p>
  <w:p w14:paraId="33FB80E1" w14:textId="77777777" w:rsidR="00412132" w:rsidRDefault="0088085E" w:rsidP="007B0854">
    <w:pPr>
      <w:pStyle w:val="Piedepgina"/>
      <w:jc w:val="center"/>
      <w:rPr>
        <w:lang w:val="es-ES"/>
      </w:rPr>
    </w:pPr>
    <w:r>
      <w:rPr>
        <w:noProof/>
        <w:lang w:val="es-CO" w:eastAsia="es-CO"/>
      </w:rPr>
      <w:drawing>
        <wp:inline distT="0" distB="0" distL="0" distR="0" wp14:anchorId="3B21C914" wp14:editId="1A2BC77B">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5E74DB83" w14:textId="77777777" w:rsidR="00412132" w:rsidRPr="007B0854" w:rsidRDefault="00CD61B3" w:rsidP="00A5235A">
    <w:pPr>
      <w:pStyle w:val="Piedepgina"/>
      <w:spacing w:line="120" w:lineRule="auto"/>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3BB90" w14:textId="77777777" w:rsidR="00CD61B3" w:rsidRDefault="00CD61B3" w:rsidP="004C02D8">
      <w:pPr>
        <w:spacing w:after="0" w:line="240" w:lineRule="auto"/>
      </w:pPr>
      <w:r>
        <w:separator/>
      </w:r>
    </w:p>
  </w:footnote>
  <w:footnote w:type="continuationSeparator" w:id="0">
    <w:p w14:paraId="2601B52B" w14:textId="77777777" w:rsidR="00CD61B3" w:rsidRDefault="00CD61B3" w:rsidP="004C02D8">
      <w:pPr>
        <w:spacing w:after="0" w:line="240" w:lineRule="auto"/>
      </w:pPr>
      <w:r>
        <w:continuationSeparator/>
      </w:r>
    </w:p>
  </w:footnote>
  <w:footnote w:id="1">
    <w:p w14:paraId="3974280F" w14:textId="77777777" w:rsidR="00D45E45" w:rsidRPr="00AD1E6F" w:rsidRDefault="00D45E45" w:rsidP="000E54F5">
      <w:pPr>
        <w:pStyle w:val="Textonotapie"/>
        <w:spacing w:after="0" w:line="240" w:lineRule="auto"/>
        <w:ind w:firstLine="709"/>
        <w:rPr>
          <w:rFonts w:ascii="Arial" w:hAnsi="Arial" w:cs="Arial"/>
          <w:color w:val="000000" w:themeColor="text1"/>
          <w:sz w:val="19"/>
          <w:szCs w:val="19"/>
          <w:lang w:val="es-ES"/>
        </w:rPr>
      </w:pPr>
      <w:r w:rsidRPr="000E54F5">
        <w:rPr>
          <w:rStyle w:val="Refdenotaalpie"/>
          <w:rFonts w:ascii="Arial" w:hAnsi="Arial" w:cs="Arial"/>
          <w:sz w:val="19"/>
          <w:szCs w:val="19"/>
        </w:rPr>
        <w:footnoteRef/>
      </w:r>
      <w:r w:rsidRPr="000E54F5">
        <w:rPr>
          <w:rFonts w:ascii="Arial" w:hAnsi="Arial" w:cs="Arial"/>
          <w:sz w:val="19"/>
          <w:szCs w:val="19"/>
        </w:rPr>
        <w:t xml:space="preserve"> </w:t>
      </w:r>
      <w:r w:rsidRPr="00AD1E6F">
        <w:rPr>
          <w:rFonts w:ascii="Arial" w:hAnsi="Arial" w:cs="Arial"/>
          <w:color w:val="000000" w:themeColor="text1"/>
          <w:sz w:val="19"/>
          <w:szCs w:val="19"/>
          <w:lang w:val="es-ES"/>
        </w:rPr>
        <w:t xml:space="preserve">Los cuales usted puede consultar en el siguiente sitio web: </w:t>
      </w:r>
      <w:hyperlink r:id="rId1" w:history="1">
        <w:r w:rsidRPr="00AD1E6F">
          <w:rPr>
            <w:rStyle w:val="Hipervnculo"/>
            <w:rFonts w:ascii="Arial" w:hAnsi="Arial" w:cs="Arial"/>
            <w:color w:val="000000" w:themeColor="text1"/>
            <w:sz w:val="19"/>
            <w:szCs w:val="19"/>
            <w:lang w:val="es-ES"/>
          </w:rPr>
          <w:t>https://relatoria.colombiacompra.gov.co/busqueda/conceptos</w:t>
        </w:r>
      </w:hyperlink>
    </w:p>
    <w:p w14:paraId="55ECC6CB" w14:textId="68E3687C" w:rsidR="00D45E45" w:rsidRPr="000E54F5" w:rsidRDefault="00D45E45" w:rsidP="000E54F5">
      <w:pPr>
        <w:pStyle w:val="Textonotapie"/>
        <w:spacing w:after="0" w:line="240" w:lineRule="auto"/>
        <w:rPr>
          <w:rFonts w:ascii="Arial" w:hAnsi="Arial" w:cs="Arial"/>
          <w:sz w:val="19"/>
          <w:szCs w:val="19"/>
          <w:lang w:val="es-ES"/>
        </w:rPr>
      </w:pPr>
    </w:p>
  </w:footnote>
  <w:footnote w:id="2">
    <w:p w14:paraId="6B671BC8"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138435B" w14:textId="1DE3F897" w:rsidR="004C02D8" w:rsidRPr="00AD1E6F" w:rsidRDefault="004C02D8" w:rsidP="00AD1E6F">
      <w:pPr>
        <w:pStyle w:val="Textonotapie"/>
        <w:spacing w:after="0" w:line="240" w:lineRule="auto"/>
        <w:ind w:firstLine="709"/>
        <w:rPr>
          <w:rFonts w:ascii="Arial" w:hAnsi="Arial" w:cs="Arial"/>
          <w:sz w:val="19"/>
          <w:szCs w:val="19"/>
        </w:rPr>
      </w:pPr>
      <w:r w:rsidRPr="00AD1E6F">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167CE6C8"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Gaceta del Congreso de la República No. 71 del 2005.</w:t>
      </w:r>
    </w:p>
  </w:footnote>
  <w:footnote w:id="4">
    <w:p w14:paraId="50AE4FB6"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Corte Constitucional, Sentencia C- 1153 de 2005, M.P. Marco Gerardo Monroy Cabra.</w:t>
      </w:r>
    </w:p>
  </w:footnote>
  <w:footnote w:id="5">
    <w:p w14:paraId="14FBE68E" w14:textId="6A52F98D" w:rsidR="00FB03DB" w:rsidRPr="00AD1E6F" w:rsidRDefault="00FB03DB" w:rsidP="00AD1E6F">
      <w:pPr>
        <w:pStyle w:val="Textonotapie"/>
        <w:spacing w:after="0" w:line="240" w:lineRule="auto"/>
        <w:ind w:firstLine="708"/>
        <w:rPr>
          <w:rFonts w:ascii="Arial" w:hAnsi="Arial" w:cs="Arial"/>
          <w:sz w:val="19"/>
          <w:szCs w:val="19"/>
          <w:lang w:val="es-CO"/>
        </w:rPr>
      </w:pPr>
      <w:r w:rsidRPr="00AD1E6F">
        <w:rPr>
          <w:rStyle w:val="Refdenotaalpie"/>
          <w:rFonts w:ascii="Arial" w:hAnsi="Arial" w:cs="Arial"/>
          <w:sz w:val="19"/>
          <w:szCs w:val="19"/>
        </w:rPr>
        <w:footnoteRef/>
      </w:r>
      <w:r w:rsidRPr="00AD1E6F">
        <w:rPr>
          <w:rFonts w:ascii="Arial" w:hAnsi="Arial" w:cs="Arial"/>
          <w:sz w:val="19"/>
          <w:szCs w:val="19"/>
        </w:rPr>
        <w:t xml:space="preserve"> </w:t>
      </w:r>
      <w:r w:rsidRPr="00AD1E6F">
        <w:rPr>
          <w:rFonts w:ascii="Arial" w:eastAsia="Times New Roman" w:hAnsi="Arial" w:cs="Arial"/>
          <w:bCs/>
          <w:sz w:val="19"/>
          <w:szCs w:val="19"/>
          <w:lang w:eastAsia="es-CO"/>
        </w:rPr>
        <w:t>Así mismo, la Sala de Consulta y del Servicio Civil del Consejo de Estado, al referirse a los propósitos de la Ley de Garantías señaló lo siguiente: Los propósitos de la ley 996 de 2005 están encaminados a reducir los espacios de discrecionalidad, impedir la utilización de la burocracia para obtener respaldo de causas o campañas políticas, evitar la inversión de los recursos del erario para estos efectos, impedir que el Presidente en ejercicio, que aspire a ser reelegido, pueda ejercer ventajas frente a los demás candidatos, como también fortalecer la legitimidad y credibilidad del sistema político con garantía del ejercicio de las libertades públicas. El artículo 1º de la ley 996 delimita con claridad la finalidad de la misma y la centra en el establecimiento del marco legal destinado a asegurar, de manera terminante, la transparencia del debate electoral a la Presidencia de la República, mediante la garantía de la igualdad de condiciones para los candidatos</w:t>
      </w:r>
      <w:r w:rsidR="003F2C49" w:rsidRPr="00AD1E6F">
        <w:rPr>
          <w:rFonts w:ascii="Arial" w:eastAsia="Times New Roman" w:hAnsi="Arial" w:cs="Arial"/>
          <w:bCs/>
          <w:sz w:val="19"/>
          <w:szCs w:val="19"/>
          <w:lang w:eastAsia="es-CO"/>
        </w:rPr>
        <w:t>. (</w:t>
      </w:r>
      <w:r w:rsidR="003F2C49" w:rsidRPr="00AD1E6F">
        <w:rPr>
          <w:rStyle w:val="Refdenotaalpie"/>
          <w:rFonts w:ascii="Arial" w:hAnsi="Arial" w:cs="Arial"/>
          <w:sz w:val="19"/>
          <w:szCs w:val="19"/>
          <w:vertAlign w:val="baseline"/>
        </w:rPr>
        <w:t>Consejo de Estado. Sala de Consulta y del Servicio Civil, de fecha 20 de febrero de 2006. Radicado 1724. Concepto del. Magistrado Ponente: Flavio Augusto Rodríguez Arce</w:t>
      </w:r>
      <w:r w:rsidR="003F2C49" w:rsidRPr="00AD1E6F">
        <w:rPr>
          <w:rFonts w:ascii="Arial" w:hAnsi="Arial" w:cs="Arial"/>
          <w:sz w:val="19"/>
          <w:szCs w:val="19"/>
        </w:rPr>
        <w:t>)</w:t>
      </w:r>
      <w:r w:rsidR="003F2C49" w:rsidRPr="00AD1E6F">
        <w:rPr>
          <w:rStyle w:val="Refdenotaalpie"/>
          <w:rFonts w:ascii="Arial" w:hAnsi="Arial" w:cs="Arial"/>
          <w:sz w:val="19"/>
          <w:szCs w:val="19"/>
          <w:vertAlign w:val="baseline"/>
        </w:rPr>
        <w:t>.</w:t>
      </w:r>
    </w:p>
  </w:footnote>
  <w:footnote w:id="6">
    <w:p w14:paraId="4A34D6C7"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68206C14" w14:textId="77777777" w:rsidR="004C02D8" w:rsidRPr="00AD1E6F" w:rsidRDefault="004C02D8" w:rsidP="00AD1E6F">
      <w:pPr>
        <w:pStyle w:val="Textonotapie"/>
        <w:spacing w:after="0" w:line="240" w:lineRule="auto"/>
        <w:ind w:firstLine="709"/>
        <w:rPr>
          <w:rStyle w:val="Refdenotaalpie"/>
          <w:rFonts w:ascii="Arial" w:hAnsi="Arial" w:cs="Arial"/>
          <w:sz w:val="19"/>
          <w:szCs w:val="19"/>
        </w:rPr>
      </w:pPr>
      <w:r w:rsidRPr="00AD1E6F">
        <w:rPr>
          <w:rStyle w:val="Refdenotaalpie"/>
          <w:rFonts w:ascii="Arial" w:hAnsi="Arial" w:cs="Arial"/>
          <w:sz w:val="19"/>
          <w:szCs w:val="19"/>
        </w:rPr>
        <w:footnoteRef/>
      </w:r>
      <w:r w:rsidRPr="00AD1E6F">
        <w:rPr>
          <w:rStyle w:val="Refdenotaalpie"/>
          <w:rFonts w:ascii="Arial" w:hAnsi="Arial" w:cs="Arial"/>
          <w:sz w:val="19"/>
          <w:szCs w:val="19"/>
        </w:rPr>
        <w:t xml:space="preserve"> </w:t>
      </w:r>
      <w:r w:rsidRPr="00AD1E6F">
        <w:rPr>
          <w:rStyle w:val="Refdenotaalpie"/>
          <w:rFonts w:ascii="Arial" w:hAnsi="Arial" w:cs="Arial"/>
          <w:sz w:val="19"/>
          <w:szCs w:val="19"/>
          <w:vertAlign w:val="baseline"/>
        </w:rPr>
        <w:t>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3EDF28A9"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Consejo de Estado, Sala de Consulta y Servicio Civil de fecha 24 de julio de 2013, radicado 2166, Consejero Ponente: Álvaro </w:t>
      </w:r>
      <w:proofErr w:type="spellStart"/>
      <w:r w:rsidRPr="00AD1E6F">
        <w:rPr>
          <w:rFonts w:ascii="Arial" w:hAnsi="Arial" w:cs="Arial"/>
          <w:sz w:val="19"/>
          <w:szCs w:val="19"/>
        </w:rPr>
        <w:t>Namén</w:t>
      </w:r>
      <w:proofErr w:type="spellEnd"/>
      <w:r w:rsidRPr="00AD1E6F">
        <w:rPr>
          <w:rFonts w:ascii="Arial" w:hAnsi="Arial" w:cs="Arial"/>
          <w:sz w:val="19"/>
          <w:szCs w:val="19"/>
        </w:rPr>
        <w:t xml:space="preserve"> Vargas.  </w:t>
      </w:r>
    </w:p>
  </w:footnote>
  <w:footnote w:id="9">
    <w:p w14:paraId="1227BCBB" w14:textId="77777777" w:rsidR="004C02D8" w:rsidRPr="00AD1E6F" w:rsidRDefault="004C02D8" w:rsidP="00AD1E6F">
      <w:pPr>
        <w:spacing w:after="0" w:line="240" w:lineRule="auto"/>
        <w:ind w:firstLine="709"/>
        <w:jc w:val="both"/>
        <w:rPr>
          <w:rFonts w:ascii="Arial" w:eastAsia="Times New Roman"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w:t>
      </w:r>
      <w:bookmarkStart w:id="8" w:name="33"/>
      <w:r w:rsidRPr="00AD1E6F">
        <w:rPr>
          <w:rFonts w:ascii="Arial" w:eastAsia="Calibri" w:hAnsi="Arial" w:cs="Arial"/>
          <w:bCs/>
          <w:color w:val="000000"/>
          <w:sz w:val="19"/>
          <w:szCs w:val="19"/>
        </w:rPr>
        <w:t>«</w:t>
      </w:r>
      <w:r w:rsidRPr="00AD1E6F">
        <w:rPr>
          <w:rFonts w:ascii="Arial" w:eastAsia="Times New Roman" w:hAnsi="Arial" w:cs="Arial"/>
          <w:sz w:val="19"/>
          <w:szCs w:val="19"/>
        </w:rPr>
        <w:t>Artículo 33. Restricciones a la contratación pública.</w:t>
      </w:r>
      <w:bookmarkEnd w:id="8"/>
      <w:r w:rsidRPr="00AD1E6F">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980038A" w14:textId="77777777" w:rsidR="004C02D8" w:rsidRPr="00AD1E6F" w:rsidRDefault="004C02D8" w:rsidP="00AD1E6F">
      <w:pPr>
        <w:spacing w:after="0" w:line="240" w:lineRule="auto"/>
        <w:ind w:firstLine="709"/>
        <w:jc w:val="both"/>
        <w:rPr>
          <w:rFonts w:ascii="Arial" w:eastAsia="Times New Roman" w:hAnsi="Arial" w:cs="Arial"/>
          <w:sz w:val="19"/>
          <w:szCs w:val="19"/>
        </w:rPr>
      </w:pPr>
      <w:r w:rsidRPr="00AD1E6F">
        <w:rPr>
          <w:rFonts w:ascii="Arial" w:eastAsia="Calibri" w:hAnsi="Arial" w:cs="Arial"/>
          <w:bCs/>
          <w:color w:val="000000"/>
          <w:sz w:val="19"/>
          <w:szCs w:val="19"/>
        </w:rPr>
        <w:t>»</w:t>
      </w:r>
      <w:r w:rsidRPr="00AD1E6F">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D1E6F">
        <w:rPr>
          <w:rFonts w:ascii="Arial" w:eastAsia="Calibri" w:hAnsi="Arial" w:cs="Arial"/>
          <w:bCs/>
          <w:color w:val="000000"/>
          <w:sz w:val="19"/>
          <w:szCs w:val="19"/>
        </w:rPr>
        <w:t>»</w:t>
      </w:r>
      <w:r w:rsidRPr="00AD1E6F">
        <w:rPr>
          <w:rFonts w:ascii="Arial" w:eastAsia="Times New Roman" w:hAnsi="Arial" w:cs="Arial"/>
          <w:sz w:val="19"/>
          <w:szCs w:val="19"/>
        </w:rPr>
        <w:t>.</w:t>
      </w:r>
    </w:p>
  </w:footnote>
  <w:footnote w:id="10">
    <w:p w14:paraId="5F14820C" w14:textId="77777777" w:rsidR="004C02D8" w:rsidRPr="00AD1E6F" w:rsidRDefault="004C02D8" w:rsidP="00AD1E6F">
      <w:pPr>
        <w:pStyle w:val="NormalWeb"/>
        <w:spacing w:before="0" w:beforeAutospacing="0" w:after="0" w:afterAutospacing="0" w:line="240" w:lineRule="auto"/>
        <w:ind w:firstLine="709"/>
        <w:rPr>
          <w:rFonts w:ascii="Arial" w:hAnsi="Arial" w:cs="Arial"/>
          <w:sz w:val="19"/>
          <w:szCs w:val="19"/>
          <w:lang w:val="es-MX"/>
        </w:rPr>
      </w:pPr>
      <w:r w:rsidRPr="00AD1E6F">
        <w:rPr>
          <w:rStyle w:val="Refdenotaalpie"/>
          <w:rFonts w:ascii="Arial" w:hAnsi="Arial" w:cs="Arial"/>
          <w:sz w:val="19"/>
          <w:szCs w:val="19"/>
        </w:rPr>
        <w:footnoteRef/>
      </w:r>
      <w:r w:rsidRPr="00AD1E6F">
        <w:rPr>
          <w:rFonts w:ascii="Arial" w:hAnsi="Arial" w:cs="Arial"/>
          <w:sz w:val="19"/>
          <w:szCs w:val="19"/>
        </w:rPr>
        <w:t xml:space="preserve"> </w:t>
      </w:r>
      <w:bookmarkStart w:id="9" w:name="38"/>
      <w:r w:rsidRPr="00AD1E6F">
        <w:rPr>
          <w:rFonts w:ascii="Arial" w:eastAsia="Calibri" w:hAnsi="Arial" w:cs="Arial"/>
          <w:bCs/>
          <w:color w:val="000000"/>
          <w:sz w:val="19"/>
          <w:szCs w:val="19"/>
        </w:rPr>
        <w:t>«</w:t>
      </w:r>
      <w:r w:rsidRPr="00AD1E6F">
        <w:rPr>
          <w:rFonts w:ascii="Arial" w:hAnsi="Arial" w:cs="Arial"/>
          <w:sz w:val="19"/>
          <w:szCs w:val="19"/>
          <w:lang w:val="es-MX"/>
        </w:rPr>
        <w:t>Artículo 38. Prohibiciones para los servidores públicos. A los empleados del Estado les está prohibido:</w:t>
      </w:r>
      <w:bookmarkEnd w:id="9"/>
    </w:p>
    <w:p w14:paraId="30CDFA0D" w14:textId="77777777" w:rsidR="004C02D8" w:rsidRPr="00AD1E6F" w:rsidRDefault="004C02D8" w:rsidP="00AD1E6F">
      <w:pPr>
        <w:pStyle w:val="NormalWeb"/>
        <w:spacing w:before="0" w:beforeAutospacing="0" w:after="0" w:afterAutospacing="0" w:line="240" w:lineRule="auto"/>
        <w:ind w:firstLine="709"/>
        <w:rPr>
          <w:rFonts w:ascii="Arial" w:hAnsi="Arial" w:cs="Arial"/>
          <w:sz w:val="19"/>
          <w:szCs w:val="19"/>
          <w:lang w:val="es-MX"/>
        </w:rPr>
      </w:pPr>
      <w:r w:rsidRPr="00AD1E6F">
        <w:rPr>
          <w:rFonts w:ascii="Arial" w:eastAsia="Calibri" w:hAnsi="Arial" w:cs="Arial"/>
          <w:bCs/>
          <w:color w:val="000000"/>
          <w:sz w:val="19"/>
          <w:szCs w:val="19"/>
        </w:rPr>
        <w:t>»</w:t>
      </w:r>
      <w:r w:rsidRPr="00AD1E6F">
        <w:rPr>
          <w:rFonts w:ascii="Arial" w:hAnsi="Arial" w:cs="Arial"/>
          <w:sz w:val="19"/>
          <w:szCs w:val="19"/>
          <w:lang w:val="es-MX"/>
        </w:rPr>
        <w:t xml:space="preserve"> […]</w:t>
      </w:r>
    </w:p>
    <w:p w14:paraId="68FE8994" w14:textId="77777777" w:rsidR="004C02D8" w:rsidRPr="00AD1E6F" w:rsidRDefault="004C02D8" w:rsidP="00AD1E6F">
      <w:pPr>
        <w:pStyle w:val="NormalWeb"/>
        <w:spacing w:before="0" w:beforeAutospacing="0" w:after="0" w:afterAutospacing="0" w:line="240" w:lineRule="auto"/>
        <w:ind w:firstLine="709"/>
        <w:rPr>
          <w:rFonts w:ascii="Arial" w:hAnsi="Arial" w:cs="Arial"/>
          <w:sz w:val="19"/>
          <w:szCs w:val="19"/>
          <w:lang w:val="es-MX"/>
        </w:rPr>
      </w:pPr>
      <w:r w:rsidRPr="00AD1E6F">
        <w:rPr>
          <w:rFonts w:ascii="Arial" w:eastAsia="Calibri" w:hAnsi="Arial" w:cs="Arial"/>
          <w:bCs/>
          <w:color w:val="000000"/>
          <w:sz w:val="19"/>
          <w:szCs w:val="19"/>
        </w:rPr>
        <w:t>»</w:t>
      </w:r>
      <w:r w:rsidRPr="00AD1E6F">
        <w:rPr>
          <w:rStyle w:val="baj"/>
          <w:rFonts w:ascii="Arial" w:hAnsi="Arial" w:cs="Arial"/>
          <w:sz w:val="19"/>
          <w:szCs w:val="19"/>
          <w:lang w:val="es-MX"/>
        </w:rPr>
        <w:t xml:space="preserve"> Parágrafo.</w:t>
      </w:r>
      <w:r w:rsidRPr="00AD1E6F">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D1E6F">
        <w:rPr>
          <w:rFonts w:ascii="Arial" w:eastAsia="Calibri" w:hAnsi="Arial" w:cs="Arial"/>
          <w:bCs/>
          <w:color w:val="000000"/>
          <w:sz w:val="19"/>
          <w:szCs w:val="19"/>
        </w:rPr>
        <w:t>»</w:t>
      </w:r>
      <w:r w:rsidRPr="00AD1E6F">
        <w:rPr>
          <w:rFonts w:ascii="Arial" w:hAnsi="Arial" w:cs="Arial"/>
          <w:sz w:val="19"/>
          <w:szCs w:val="19"/>
          <w:lang w:val="es-MX"/>
        </w:rPr>
        <w:t>.</w:t>
      </w:r>
    </w:p>
  </w:footnote>
  <w:footnote w:id="11">
    <w:p w14:paraId="07F0F033" w14:textId="77777777" w:rsidR="004C02D8" w:rsidRPr="00AD1E6F" w:rsidRDefault="004C02D8" w:rsidP="00AD1E6F">
      <w:pPr>
        <w:spacing w:after="0" w:line="240" w:lineRule="auto"/>
        <w:ind w:firstLine="709"/>
        <w:jc w:val="both"/>
        <w:rPr>
          <w:rFonts w:ascii="Arial" w:hAnsi="Arial" w:cs="Arial"/>
          <w:sz w:val="19"/>
          <w:szCs w:val="19"/>
          <w:lang w:val="es-ES"/>
        </w:rPr>
      </w:pPr>
      <w:r w:rsidRPr="00AD1E6F">
        <w:rPr>
          <w:rStyle w:val="Refdenotaalpie"/>
          <w:rFonts w:ascii="Arial" w:hAnsi="Arial" w:cs="Arial"/>
          <w:sz w:val="19"/>
          <w:szCs w:val="19"/>
        </w:rPr>
        <w:footnoteRef/>
      </w:r>
      <w:r w:rsidRPr="00AD1E6F">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413B8A8D"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w:t>
      </w:r>
      <w:bookmarkStart w:id="15" w:name="_Hlk74272731"/>
      <w:r w:rsidRPr="00AD1E6F">
        <w:rPr>
          <w:rFonts w:ascii="Arial" w:hAnsi="Arial" w:cs="Arial"/>
          <w:sz w:val="19"/>
          <w:szCs w:val="19"/>
        </w:rPr>
        <w:t>«</w:t>
      </w:r>
      <w:bookmarkEnd w:id="15"/>
      <w:r w:rsidRPr="00AD1E6F">
        <w:rPr>
          <w:rFonts w:ascii="Arial" w:hAnsi="Arial" w:cs="Arial"/>
          <w:sz w:val="19"/>
          <w:szCs w:val="19"/>
          <w:lang w:val="es-ES"/>
        </w:rPr>
        <w:t xml:space="preserve">[25] </w:t>
      </w:r>
      <w:r w:rsidRPr="00AD1E6F">
        <w:rPr>
          <w:rFonts w:ascii="Arial" w:hAnsi="Arial" w:cs="Arial"/>
          <w:sz w:val="19"/>
          <w:szCs w:val="19"/>
        </w:rPr>
        <w:t>Cfr. Consejo de Estado. Sección Tercera. Sentencia de 3 de diciembre de 2007. Radicados: 24.715, 25.206, 25.409, 24.524, 27.834, 25.410, 26.105, 28.244, 31.447 -acumulados-</w:t>
      </w:r>
      <w:bookmarkStart w:id="16" w:name="_Hlk74271358"/>
      <w:r w:rsidRPr="00AD1E6F">
        <w:rPr>
          <w:rFonts w:ascii="Arial" w:hAnsi="Arial" w:cs="Arial"/>
          <w:sz w:val="19"/>
          <w:szCs w:val="19"/>
        </w:rPr>
        <w:t>»</w:t>
      </w:r>
      <w:bookmarkEnd w:id="16"/>
      <w:r w:rsidRPr="00AD1E6F">
        <w:rPr>
          <w:rFonts w:ascii="Arial" w:hAnsi="Arial" w:cs="Arial"/>
          <w:sz w:val="19"/>
          <w:szCs w:val="19"/>
        </w:rPr>
        <w:t>.</w:t>
      </w:r>
    </w:p>
  </w:footnote>
  <w:footnote w:id="13">
    <w:p w14:paraId="243F1BA4"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w:t>
      </w:r>
      <w:bookmarkStart w:id="18" w:name="_Hlk74294506"/>
      <w:r w:rsidRPr="00AD1E6F">
        <w:rPr>
          <w:rFonts w:ascii="Arial" w:hAnsi="Arial" w:cs="Arial"/>
          <w:sz w:val="19"/>
          <w:szCs w:val="19"/>
        </w:rPr>
        <w:t>«</w:t>
      </w:r>
      <w:r w:rsidRPr="00AD1E6F">
        <w:rPr>
          <w:rFonts w:ascii="Arial" w:hAnsi="Arial" w:cs="Arial"/>
          <w:sz w:val="19"/>
          <w:szCs w:val="19"/>
          <w:lang w:val="es-ES"/>
        </w:rPr>
        <w:t xml:space="preserve">[26] </w:t>
      </w:r>
      <w:bookmarkEnd w:id="18"/>
      <w:r w:rsidRPr="00AD1E6F">
        <w:rPr>
          <w:rFonts w:ascii="Arial" w:hAnsi="Arial" w:cs="Arial"/>
          <w:sz w:val="19"/>
          <w:szCs w:val="19"/>
        </w:rPr>
        <w:t>Al respecto ver el concepto 1712 de 2 de febrero de 2006. Consejo de Estado Sala de Consulta y Servicio Civil».</w:t>
      </w:r>
    </w:p>
  </w:footnote>
  <w:footnote w:id="14">
    <w:p w14:paraId="241422F2"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AD1E6F">
        <w:rPr>
          <w:rFonts w:ascii="Arial" w:hAnsi="Arial" w:cs="Arial"/>
          <w:sz w:val="19"/>
          <w:szCs w:val="19"/>
        </w:rPr>
        <w:t>Namén</w:t>
      </w:r>
      <w:proofErr w:type="spellEnd"/>
      <w:r w:rsidRPr="00AD1E6F">
        <w:rPr>
          <w:rFonts w:ascii="Arial" w:hAnsi="Arial" w:cs="Arial"/>
          <w:sz w:val="19"/>
          <w:szCs w:val="19"/>
        </w:rPr>
        <w:t xml:space="preserve"> Vargas.</w:t>
      </w:r>
    </w:p>
  </w:footnote>
  <w:footnote w:id="15">
    <w:p w14:paraId="157A3289" w14:textId="603CF9E6" w:rsidR="00366C90" w:rsidRPr="00AD1E6F" w:rsidRDefault="00366C90" w:rsidP="00AD1E6F">
      <w:pPr>
        <w:pStyle w:val="Textonotapie"/>
        <w:spacing w:after="0" w:line="240" w:lineRule="auto"/>
        <w:ind w:firstLine="708"/>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 </w:t>
      </w:r>
    </w:p>
    <w:p w14:paraId="613DEB73" w14:textId="7CCC883F" w:rsidR="00366C90" w:rsidRPr="00AD1E6F" w:rsidRDefault="00366C90" w:rsidP="00AD1E6F">
      <w:pPr>
        <w:pStyle w:val="Textonotapie"/>
        <w:spacing w:after="0" w:line="240" w:lineRule="auto"/>
        <w:ind w:firstLine="708"/>
        <w:rPr>
          <w:rFonts w:ascii="Arial" w:hAnsi="Arial" w:cs="Arial"/>
          <w:sz w:val="19"/>
          <w:szCs w:val="19"/>
        </w:rPr>
      </w:pPr>
      <w:r w:rsidRPr="00AD1E6F">
        <w:rPr>
          <w:rFonts w:ascii="Arial" w:hAnsi="Arial" w:cs="Arial"/>
          <w:sz w:val="19"/>
          <w:szCs w:val="19"/>
        </w:rPr>
        <w:t>[…]</w:t>
      </w:r>
    </w:p>
    <w:p w14:paraId="4D93CC6D" w14:textId="5B18CF1D" w:rsidR="00366C90" w:rsidRPr="00AD1E6F" w:rsidRDefault="00366C90" w:rsidP="00AD1E6F">
      <w:pPr>
        <w:pStyle w:val="Textonotapie"/>
        <w:spacing w:after="0" w:line="240" w:lineRule="auto"/>
        <w:ind w:firstLine="708"/>
        <w:rPr>
          <w:rFonts w:ascii="Arial" w:hAnsi="Arial" w:cs="Arial"/>
          <w:sz w:val="19"/>
          <w:szCs w:val="19"/>
        </w:rPr>
      </w:pPr>
      <w:r w:rsidRPr="00AD1E6F">
        <w:rPr>
          <w:rFonts w:ascii="Arial" w:hAnsi="Arial" w:cs="Arial"/>
          <w:sz w:val="19"/>
          <w:szCs w:val="19"/>
        </w:rPr>
        <w:t>5. Contratación mínima cuantía. [Numeral modificado por el artículo 30 de la Ley 2069 de 2020]».</w:t>
      </w:r>
    </w:p>
  </w:footnote>
  <w:footnote w:id="16">
    <w:p w14:paraId="489C7CC0" w14:textId="77777777" w:rsidR="004C02D8" w:rsidRPr="00AD1E6F" w:rsidRDefault="004C02D8" w:rsidP="00AD1E6F">
      <w:pPr>
        <w:pStyle w:val="Textonotapie"/>
        <w:spacing w:after="0" w:line="240" w:lineRule="auto"/>
        <w:ind w:firstLine="709"/>
        <w:rPr>
          <w:rFonts w:ascii="Arial" w:hAnsi="Arial" w:cs="Arial"/>
          <w:sz w:val="19"/>
          <w:szCs w:val="19"/>
          <w:lang w:val="es-ES"/>
        </w:rPr>
      </w:pPr>
      <w:r w:rsidRPr="00AD1E6F">
        <w:rPr>
          <w:rStyle w:val="Refdenotaalpie"/>
          <w:rFonts w:ascii="Arial" w:hAnsi="Arial" w:cs="Arial"/>
          <w:sz w:val="19"/>
          <w:szCs w:val="19"/>
        </w:rPr>
        <w:footnoteRef/>
      </w:r>
      <w:r w:rsidRPr="00AD1E6F">
        <w:rPr>
          <w:rStyle w:val="Refdenotaalpie"/>
          <w:rFonts w:ascii="Arial" w:hAnsi="Arial" w:cs="Arial"/>
          <w:sz w:val="19"/>
          <w:szCs w:val="19"/>
        </w:rPr>
        <w:t xml:space="preserve"> </w:t>
      </w:r>
      <w:bookmarkStart w:id="19" w:name="_Hlk74297130"/>
      <w:r w:rsidRPr="00AD1E6F">
        <w:rPr>
          <w:rFonts w:ascii="Arial" w:hAnsi="Arial" w:cs="Arial"/>
          <w:sz w:val="19"/>
          <w:szCs w:val="19"/>
          <w:lang w:val="es-ES"/>
        </w:rPr>
        <w:t>«</w:t>
      </w:r>
      <w:bookmarkEnd w:id="19"/>
      <w:r w:rsidRPr="00AD1E6F">
        <w:rPr>
          <w:rFonts w:ascii="Arial" w:hAnsi="Arial" w:cs="Arial"/>
          <w:sz w:val="19"/>
          <w:szCs w:val="19"/>
          <w:lang w:val="es-ES"/>
        </w:rPr>
        <w:t xml:space="preserve">[…] A este respecto, cabe recordar que el artículo 860 del Código de Comercio regula la licitación en el derecho privado». </w:t>
      </w:r>
    </w:p>
  </w:footnote>
  <w:footnote w:id="17">
    <w:p w14:paraId="366AA598" w14:textId="77777777" w:rsidR="004C02D8" w:rsidRPr="00AD1E6F" w:rsidRDefault="004C02D8" w:rsidP="00AD1E6F">
      <w:pPr>
        <w:shd w:val="clear" w:color="auto" w:fill="FFFFFF"/>
        <w:spacing w:after="0" w:line="240" w:lineRule="auto"/>
        <w:ind w:firstLine="709"/>
        <w:jc w:val="both"/>
        <w:rPr>
          <w:rFonts w:ascii="Arial" w:hAnsi="Arial" w:cs="Arial"/>
          <w:sz w:val="19"/>
          <w:szCs w:val="19"/>
          <w:lang w:val="es-ES"/>
        </w:rPr>
      </w:pPr>
      <w:r w:rsidRPr="00AD1E6F">
        <w:rPr>
          <w:rStyle w:val="Refdenotaalpie"/>
          <w:rFonts w:ascii="Arial" w:hAnsi="Arial" w:cs="Arial"/>
          <w:sz w:val="19"/>
          <w:szCs w:val="19"/>
        </w:rPr>
        <w:footnoteRef/>
      </w:r>
      <w:r w:rsidRPr="00AD1E6F">
        <w:rPr>
          <w:rStyle w:val="Refdenotaalpie"/>
          <w:rFonts w:ascii="Arial" w:hAnsi="Arial" w:cs="Arial"/>
          <w:sz w:val="19"/>
          <w:szCs w:val="19"/>
        </w:rPr>
        <w:t xml:space="preserve"> </w:t>
      </w:r>
      <w:r w:rsidRPr="00AD1E6F">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AD1E6F">
        <w:rPr>
          <w:rFonts w:ascii="Arial" w:hAnsi="Arial" w:cs="Arial"/>
          <w:sz w:val="19"/>
          <w:szCs w:val="19"/>
          <w:lang w:val="es-ES"/>
        </w:rPr>
        <w:t>Namén</w:t>
      </w:r>
      <w:proofErr w:type="spellEnd"/>
      <w:r w:rsidRPr="00AD1E6F">
        <w:rPr>
          <w:rFonts w:ascii="Arial" w:hAnsi="Arial" w:cs="Arial"/>
          <w:sz w:val="19"/>
          <w:szCs w:val="19"/>
          <w:lang w:val="es-ES"/>
        </w:rPr>
        <w:t xml:space="preserve"> Vargas.</w:t>
      </w:r>
    </w:p>
  </w:footnote>
  <w:footnote w:id="18">
    <w:p w14:paraId="345F9BE0"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Consejo de Estado. Sala de Consulta y Servicio Civil. Concepto del 08 de mayo de 2018. </w:t>
      </w:r>
      <w:proofErr w:type="spellStart"/>
      <w:r w:rsidRPr="00AD1E6F">
        <w:rPr>
          <w:rFonts w:ascii="Arial" w:hAnsi="Arial" w:cs="Arial"/>
          <w:sz w:val="19"/>
          <w:szCs w:val="19"/>
        </w:rPr>
        <w:t>Exp</w:t>
      </w:r>
      <w:proofErr w:type="spellEnd"/>
      <w:r w:rsidRPr="00AD1E6F">
        <w:rPr>
          <w:rFonts w:ascii="Arial" w:hAnsi="Arial" w:cs="Arial"/>
          <w:sz w:val="19"/>
          <w:szCs w:val="19"/>
        </w:rPr>
        <w:t xml:space="preserve">. 2.382. C.P. Álvaro </w:t>
      </w:r>
      <w:proofErr w:type="spellStart"/>
      <w:r w:rsidRPr="00AD1E6F">
        <w:rPr>
          <w:rFonts w:ascii="Arial" w:hAnsi="Arial" w:cs="Arial"/>
          <w:sz w:val="19"/>
          <w:szCs w:val="19"/>
        </w:rPr>
        <w:t>Namén</w:t>
      </w:r>
      <w:proofErr w:type="spellEnd"/>
      <w:r w:rsidRPr="00AD1E6F">
        <w:rPr>
          <w:rFonts w:ascii="Arial" w:hAnsi="Arial" w:cs="Arial"/>
          <w:sz w:val="19"/>
          <w:szCs w:val="19"/>
        </w:rPr>
        <w:t xml:space="preserve"> Vargas.</w:t>
      </w:r>
    </w:p>
  </w:footnote>
  <w:footnote w:id="19">
    <w:p w14:paraId="771AB403" w14:textId="77777777" w:rsidR="008C2E17" w:rsidRPr="00AD1E6F" w:rsidRDefault="008C2E17" w:rsidP="00AD1E6F">
      <w:pPr>
        <w:pStyle w:val="Textonotapie"/>
        <w:spacing w:after="0" w:line="240" w:lineRule="auto"/>
        <w:ind w:firstLine="708"/>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COLOMBIA COMPRA EFICIENTE. Circular Externa Única. Numeral 15.3.</w:t>
      </w:r>
    </w:p>
  </w:footnote>
  <w:footnote w:id="20">
    <w:p w14:paraId="52EBAA2E"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7B1E3A2E" w14:textId="77777777" w:rsidR="003E784F" w:rsidRPr="00AD1E6F" w:rsidRDefault="003E784F" w:rsidP="00AD1E6F">
      <w:pPr>
        <w:spacing w:after="0" w:line="240" w:lineRule="auto"/>
        <w:ind w:firstLine="709"/>
        <w:jc w:val="both"/>
        <w:rPr>
          <w:rFonts w:ascii="Arial" w:hAnsi="Arial" w:cs="Arial"/>
          <w:color w:val="000000" w:themeColor="text1"/>
          <w:sz w:val="19"/>
          <w:szCs w:val="19"/>
        </w:rPr>
      </w:pPr>
      <w:r w:rsidRPr="00AD1E6F">
        <w:rPr>
          <w:rStyle w:val="Refdenotaalpie"/>
          <w:rFonts w:ascii="Arial" w:hAnsi="Arial" w:cs="Arial"/>
          <w:color w:val="000000" w:themeColor="text1"/>
          <w:sz w:val="19"/>
          <w:szCs w:val="19"/>
        </w:rPr>
        <w:footnoteRef/>
      </w:r>
      <w:r w:rsidRPr="00AD1E6F">
        <w:rPr>
          <w:rFonts w:ascii="Arial" w:hAnsi="Arial" w:cs="Arial"/>
          <w:color w:val="000000" w:themeColor="text1"/>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413DD005"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3">
    <w:p w14:paraId="7B62266E" w14:textId="77777777" w:rsidR="004C02D8" w:rsidRPr="00AD1E6F" w:rsidRDefault="004C02D8" w:rsidP="00AD1E6F">
      <w:pPr>
        <w:spacing w:after="0" w:line="240" w:lineRule="auto"/>
        <w:ind w:firstLine="709"/>
        <w:jc w:val="both"/>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F694943" w14:textId="77777777" w:rsidR="004C02D8" w:rsidRPr="00AD1E6F" w:rsidRDefault="004C02D8" w:rsidP="00AD1E6F">
      <w:pPr>
        <w:spacing w:after="0" w:line="240" w:lineRule="auto"/>
        <w:ind w:firstLine="709"/>
        <w:jc w:val="both"/>
        <w:rPr>
          <w:rFonts w:ascii="Arial" w:hAnsi="Arial" w:cs="Arial"/>
          <w:sz w:val="19"/>
          <w:szCs w:val="19"/>
        </w:rPr>
      </w:pPr>
      <w:r w:rsidRPr="00AD1E6F">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AD1E6F">
        <w:rPr>
          <w:rFonts w:ascii="Arial" w:hAnsi="Arial" w:cs="Arial"/>
          <w:spacing w:val="-1"/>
          <w:sz w:val="19"/>
          <w:szCs w:val="19"/>
        </w:rPr>
        <w:t xml:space="preserve"> </w:t>
      </w:r>
      <w:r w:rsidRPr="00AD1E6F">
        <w:rPr>
          <w:rFonts w:ascii="Arial" w:hAnsi="Arial" w:cs="Arial"/>
          <w:sz w:val="19"/>
          <w:szCs w:val="19"/>
        </w:rPr>
        <w:t>Estatales».</w:t>
      </w:r>
    </w:p>
  </w:footnote>
  <w:footnote w:id="24">
    <w:p w14:paraId="052C808F" w14:textId="77777777" w:rsidR="004C02D8" w:rsidRPr="00AD1E6F" w:rsidRDefault="004C02D8" w:rsidP="00AD1E6F">
      <w:pPr>
        <w:spacing w:after="0" w:line="240" w:lineRule="auto"/>
        <w:ind w:firstLine="709"/>
        <w:jc w:val="both"/>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AD1E6F">
        <w:rPr>
          <w:rFonts w:ascii="Arial" w:hAnsi="Arial" w:cs="Arial"/>
          <w:spacing w:val="-6"/>
          <w:sz w:val="19"/>
          <w:szCs w:val="19"/>
        </w:rPr>
        <w:t xml:space="preserve"> </w:t>
      </w:r>
      <w:r w:rsidRPr="00AD1E6F">
        <w:rPr>
          <w:rFonts w:ascii="Arial" w:hAnsi="Arial" w:cs="Arial"/>
          <w:sz w:val="19"/>
          <w:szCs w:val="19"/>
        </w:rPr>
        <w:t>artículo».</w:t>
      </w:r>
    </w:p>
  </w:footnote>
  <w:footnote w:id="25">
    <w:p w14:paraId="174CB31C" w14:textId="77777777" w:rsidR="004C02D8" w:rsidRPr="00AD1E6F" w:rsidRDefault="004C02D8" w:rsidP="00AD1E6F">
      <w:pPr>
        <w:spacing w:after="0" w:line="240" w:lineRule="auto"/>
        <w:ind w:firstLine="709"/>
        <w:jc w:val="both"/>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position w:val="7"/>
          <w:sz w:val="19"/>
          <w:szCs w:val="19"/>
        </w:rPr>
        <w:t xml:space="preserve"> </w:t>
      </w:r>
      <w:r w:rsidRPr="00AD1E6F">
        <w:rPr>
          <w:rFonts w:ascii="Arial" w:hAnsi="Arial" w:cs="Arial"/>
          <w:sz w:val="19"/>
          <w:szCs w:val="19"/>
        </w:rPr>
        <w:t>Consejo de Estado. Sección Tercera. Sentencia del 23 de junio de 2010. Radicación No. 66001-23-31-000-1998-00261-01(17.860). Consejero Ponente: Mauricio Fajardo Gómez.</w:t>
      </w:r>
    </w:p>
  </w:footnote>
  <w:footnote w:id="26">
    <w:p w14:paraId="748005BF" w14:textId="77777777" w:rsidR="004C02D8" w:rsidRPr="00AD1E6F" w:rsidRDefault="004C02D8" w:rsidP="00AD1E6F">
      <w:pPr>
        <w:spacing w:after="0" w:line="240" w:lineRule="auto"/>
        <w:ind w:firstLine="709"/>
        <w:jc w:val="both"/>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Consejo de Estado. Sección Tercera. Subsección C. Sentencia del 11 de diciembre de 2019. </w:t>
      </w:r>
      <w:proofErr w:type="spellStart"/>
      <w:r w:rsidRPr="00AD1E6F">
        <w:rPr>
          <w:rFonts w:ascii="Arial" w:hAnsi="Arial" w:cs="Arial"/>
          <w:sz w:val="19"/>
          <w:szCs w:val="19"/>
        </w:rPr>
        <w:t>Exp</w:t>
      </w:r>
      <w:proofErr w:type="spellEnd"/>
      <w:r w:rsidRPr="00AD1E6F">
        <w:rPr>
          <w:rFonts w:ascii="Arial" w:hAnsi="Arial" w:cs="Arial"/>
          <w:sz w:val="19"/>
          <w:szCs w:val="19"/>
        </w:rPr>
        <w:t>. 46.986. C.P. Jaime Enrique Rodríguez Navas.</w:t>
      </w:r>
    </w:p>
  </w:footnote>
  <w:footnote w:id="27">
    <w:p w14:paraId="6E6962A6" w14:textId="77777777" w:rsidR="004C02D8" w:rsidRPr="00AD1E6F" w:rsidRDefault="004C02D8" w:rsidP="00AD1E6F">
      <w:pPr>
        <w:pStyle w:val="Textonotapie"/>
        <w:spacing w:after="0" w:line="240" w:lineRule="auto"/>
        <w:ind w:firstLine="708"/>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[Referencia propia de la cita] «CE. SCSC. Concepto de 1 de noviembre de 2016 [Rad. 11001-03-06-000-2016-00125-00(2305)]. MP. Germán Alberto Bula Escobar».</w:t>
      </w:r>
    </w:p>
  </w:footnote>
  <w:footnote w:id="28">
    <w:p w14:paraId="5BFA7AA8" w14:textId="77777777" w:rsidR="004C02D8" w:rsidRPr="00AD1E6F" w:rsidRDefault="004C02D8" w:rsidP="00AD1E6F">
      <w:pPr>
        <w:pStyle w:val="Textonotapie"/>
        <w:spacing w:after="0" w:line="240" w:lineRule="auto"/>
        <w:ind w:firstLine="708"/>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AD1E6F">
        <w:rPr>
          <w:rFonts w:ascii="Arial" w:hAnsi="Arial" w:cs="Arial"/>
          <w:i/>
          <w:sz w:val="19"/>
          <w:szCs w:val="19"/>
        </w:rPr>
        <w:t>“obligacional”</w:t>
      </w:r>
      <w:r w:rsidRPr="00AD1E6F">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29">
    <w:p w14:paraId="33405EB7" w14:textId="77777777" w:rsidR="004C02D8" w:rsidRPr="00AD1E6F" w:rsidRDefault="004C02D8" w:rsidP="00AD1E6F">
      <w:pPr>
        <w:pStyle w:val="Textonotapie"/>
        <w:spacing w:after="0" w:line="240" w:lineRule="auto"/>
        <w:ind w:firstLine="708"/>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[Referencia propia de la cita] «La normativa vigente del EGCAP </w:t>
      </w:r>
      <w:r w:rsidRPr="00AD1E6F">
        <w:rPr>
          <w:rFonts w:ascii="Arial" w:hAnsi="Arial" w:cs="Arial"/>
          <w:i/>
          <w:sz w:val="19"/>
          <w:szCs w:val="19"/>
        </w:rPr>
        <w:t>[literal c) del numeral 4. del artículo 2 de la Ley 1150/07]</w:t>
      </w:r>
      <w:r w:rsidRPr="00AD1E6F">
        <w:rPr>
          <w:rFonts w:ascii="Arial" w:hAnsi="Arial" w:cs="Arial"/>
          <w:sz w:val="19"/>
          <w:szCs w:val="19"/>
        </w:rPr>
        <w:t xml:space="preserve"> se refiere a </w:t>
      </w:r>
      <w:r w:rsidRPr="00AD1E6F">
        <w:rPr>
          <w:rFonts w:ascii="Arial" w:hAnsi="Arial" w:cs="Arial"/>
          <w:i/>
          <w:sz w:val="19"/>
          <w:szCs w:val="19"/>
        </w:rPr>
        <w:t>“contratos interadministrativos”</w:t>
      </w:r>
      <w:r w:rsidRPr="00AD1E6F">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0">
    <w:p w14:paraId="477E6A99" w14:textId="77777777" w:rsidR="004C02D8" w:rsidRPr="00AD1E6F" w:rsidRDefault="004C02D8" w:rsidP="00AD1E6F">
      <w:pPr>
        <w:pStyle w:val="Textonotapie"/>
        <w:spacing w:after="0" w:line="240" w:lineRule="auto"/>
        <w:ind w:firstLine="708"/>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AD1E6F">
        <w:rPr>
          <w:rFonts w:ascii="Arial" w:hAnsi="Arial" w:cs="Arial"/>
          <w:sz w:val="19"/>
          <w:szCs w:val="19"/>
        </w:rPr>
        <w:t>Exp</w:t>
      </w:r>
      <w:proofErr w:type="spellEnd"/>
      <w:r w:rsidRPr="00AD1E6F">
        <w:rPr>
          <w:rFonts w:ascii="Arial" w:hAnsi="Arial" w:cs="Arial"/>
          <w:sz w:val="19"/>
          <w:szCs w:val="19"/>
        </w:rPr>
        <w:t xml:space="preserve">. 2.257. M.P. Álvaro </w:t>
      </w:r>
      <w:proofErr w:type="spellStart"/>
      <w:r w:rsidRPr="00AD1E6F">
        <w:rPr>
          <w:rFonts w:ascii="Arial" w:hAnsi="Arial" w:cs="Arial"/>
          <w:sz w:val="19"/>
          <w:szCs w:val="19"/>
        </w:rPr>
        <w:t>Namén</w:t>
      </w:r>
      <w:proofErr w:type="spellEnd"/>
      <w:r w:rsidRPr="00AD1E6F">
        <w:rPr>
          <w:rFonts w:ascii="Arial" w:hAnsi="Arial" w:cs="Arial"/>
          <w:sz w:val="19"/>
          <w:szCs w:val="19"/>
        </w:rPr>
        <w:t xml:space="preserve"> Vargas).</w:t>
      </w:r>
    </w:p>
  </w:footnote>
  <w:footnote w:id="31">
    <w:p w14:paraId="57CC3A6F" w14:textId="77777777" w:rsidR="004C02D8" w:rsidRPr="00AD1E6F" w:rsidRDefault="004C02D8" w:rsidP="00AD1E6F">
      <w:pPr>
        <w:pStyle w:val="Textonotapie"/>
        <w:spacing w:after="0" w:line="240" w:lineRule="auto"/>
        <w:ind w:firstLine="708"/>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Es lo que sucede, por ejemplo, con el Decreto 092 de 2017, que en su desarrollo hace referencia tanto a los «contratos» como a los «convenios». </w:t>
      </w:r>
    </w:p>
  </w:footnote>
  <w:footnote w:id="32">
    <w:p w14:paraId="50EA9FC5" w14:textId="77777777" w:rsidR="004C02D8" w:rsidRPr="00AD1E6F" w:rsidRDefault="004C02D8" w:rsidP="00AD1E6F">
      <w:pPr>
        <w:pStyle w:val="Textonotapie"/>
        <w:spacing w:after="0" w:line="240" w:lineRule="auto"/>
        <w:ind w:firstLine="708"/>
        <w:rPr>
          <w:rFonts w:ascii="Arial" w:hAnsi="Arial" w:cs="Arial"/>
          <w:sz w:val="19"/>
          <w:szCs w:val="19"/>
          <w:lang w:val="es-CO"/>
        </w:rPr>
      </w:pPr>
      <w:r w:rsidRPr="00AD1E6F">
        <w:rPr>
          <w:rStyle w:val="Refdenotaalpie"/>
          <w:rFonts w:ascii="Arial" w:hAnsi="Arial" w:cs="Arial"/>
          <w:sz w:val="19"/>
          <w:szCs w:val="19"/>
        </w:rPr>
        <w:footnoteRef/>
      </w:r>
      <w:r w:rsidRPr="00AD1E6F">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3">
    <w:p w14:paraId="061EE8FE" w14:textId="17590F92" w:rsidR="00AD1E6F" w:rsidRPr="000E54F5" w:rsidRDefault="00AD1E6F" w:rsidP="000E54F5">
      <w:pPr>
        <w:pStyle w:val="Textonotapie"/>
        <w:spacing w:after="0" w:line="240" w:lineRule="auto"/>
        <w:ind w:firstLine="708"/>
        <w:rPr>
          <w:rFonts w:ascii="Arial" w:hAnsi="Arial" w:cs="Arial"/>
          <w:sz w:val="19"/>
          <w:szCs w:val="19"/>
        </w:rPr>
      </w:pPr>
      <w:r w:rsidRPr="000E54F5">
        <w:rPr>
          <w:rStyle w:val="Refdenotaalpie"/>
          <w:rFonts w:ascii="Arial" w:hAnsi="Arial" w:cs="Arial"/>
          <w:sz w:val="19"/>
          <w:szCs w:val="19"/>
        </w:rPr>
        <w:footnoteRef/>
      </w:r>
      <w:r w:rsidRPr="000E54F5">
        <w:rPr>
          <w:rFonts w:ascii="Arial" w:hAnsi="Arial" w:cs="Arial"/>
          <w:sz w:val="19"/>
          <w:szCs w:val="19"/>
        </w:rPr>
        <w:t xml:space="preserve"> </w:t>
      </w:r>
      <w:r>
        <w:rPr>
          <w:rFonts w:ascii="Arial" w:hAnsi="Arial" w:cs="Arial"/>
          <w:sz w:val="19"/>
          <w:szCs w:val="19"/>
        </w:rPr>
        <w:t>[</w:t>
      </w:r>
      <w:r w:rsidRPr="000E54F5">
        <w:rPr>
          <w:rFonts w:ascii="Arial" w:hAnsi="Arial" w:cs="Arial"/>
          <w:sz w:val="19"/>
          <w:szCs w:val="19"/>
        </w:rPr>
        <w:t>Cita propia de la Circular:</w:t>
      </w:r>
      <w:r>
        <w:rPr>
          <w:rFonts w:ascii="Arial" w:hAnsi="Arial" w:cs="Arial"/>
          <w:sz w:val="19"/>
          <w:szCs w:val="19"/>
        </w:rPr>
        <w:t>]</w:t>
      </w:r>
      <w:r w:rsidRPr="000E54F5">
        <w:rPr>
          <w:rFonts w:ascii="Arial" w:hAnsi="Arial" w:cs="Arial"/>
          <w:sz w:val="19"/>
          <w:szCs w:val="19"/>
        </w:rPr>
        <w:t xml:space="preserve"> Consejo de Estado, Sección Tercera, sentencia de 23 de junio de 2010, rad. 17860; Consejo de Estado, Sala de Consulta y Servicio Civil, concepto de 26 de julio 2016, rad. 11001; Consejo de Estado, Sección Tercera, Sentencia de veintitrés 23 de abril de 2021, rad. 49148; Consejo de Estado, Sección Tercera, sentencia de 20 de noviembre de 2019, rad. 61429; Consejo de Estado; Consejo de Estado, Sección Tercera, sentencia de 23 de abril de 2021, rad. 49148.</w:t>
      </w:r>
    </w:p>
  </w:footnote>
  <w:footnote w:id="34">
    <w:p w14:paraId="5699CE6E" w14:textId="5EA5751A" w:rsidR="003E2324" w:rsidRPr="000E54F5" w:rsidRDefault="003E2324" w:rsidP="000E54F5">
      <w:pPr>
        <w:pStyle w:val="Textonotapie"/>
        <w:ind w:firstLine="708"/>
        <w:rPr>
          <w:rFonts w:ascii="Arial" w:hAnsi="Arial" w:cs="Arial"/>
          <w:sz w:val="19"/>
          <w:szCs w:val="19"/>
        </w:rPr>
      </w:pPr>
      <w:r>
        <w:rPr>
          <w:rStyle w:val="Refdenotaalpie"/>
        </w:rPr>
        <w:footnoteRef/>
      </w:r>
      <w:r>
        <w:t xml:space="preserve"> </w:t>
      </w:r>
      <w:r>
        <w:rPr>
          <w:rFonts w:ascii="Arial" w:hAnsi="Arial" w:cs="Arial"/>
          <w:sz w:val="19"/>
          <w:szCs w:val="19"/>
        </w:rPr>
        <w:t>AGENCIA NACIONAL DE CONTRATACIÓN PÚBLICA – C</w:t>
      </w:r>
      <w:r w:rsidRPr="000E54F5">
        <w:rPr>
          <w:rFonts w:ascii="Arial" w:hAnsi="Arial" w:cs="Arial"/>
          <w:sz w:val="19"/>
          <w:szCs w:val="19"/>
        </w:rPr>
        <w:t>OLOMBIA COMPRA EFICIENTE</w:t>
      </w:r>
      <w:r>
        <w:rPr>
          <w:rFonts w:ascii="Arial" w:hAnsi="Arial" w:cs="Arial"/>
          <w:sz w:val="19"/>
          <w:szCs w:val="19"/>
        </w:rPr>
        <w:t xml:space="preserve">. </w:t>
      </w:r>
      <w:r w:rsidRPr="003E2324">
        <w:rPr>
          <w:rFonts w:ascii="Arial" w:hAnsi="Arial" w:cs="Arial"/>
          <w:sz w:val="19"/>
          <w:szCs w:val="19"/>
        </w:rPr>
        <w:t>Circular Externa Única</w:t>
      </w:r>
      <w:r>
        <w:rPr>
          <w:rFonts w:ascii="Arial" w:hAnsi="Arial" w:cs="Arial"/>
          <w:sz w:val="19"/>
          <w:szCs w:val="19"/>
        </w:rPr>
        <w:t xml:space="preserve"> del 15 de julio de 2022. Disponible en: </w:t>
      </w:r>
      <w:hyperlink r:id="rId2" w:history="1">
        <w:r w:rsidRPr="00C22808">
          <w:rPr>
            <w:rStyle w:val="Hipervnculo"/>
            <w:rFonts w:ascii="Arial" w:hAnsi="Arial" w:cs="Arial"/>
            <w:sz w:val="19"/>
            <w:szCs w:val="19"/>
          </w:rPr>
          <w:t>https://www.colombiacompra.gov.co/content/circular-unica-externa</w:t>
        </w:r>
      </w:hyperlink>
      <w:r>
        <w:rPr>
          <w:rFonts w:ascii="Arial" w:hAnsi="Arial" w:cs="Arial"/>
          <w:sz w:val="19"/>
          <w:szCs w:val="19"/>
        </w:rPr>
        <w:t xml:space="preserve"> </w:t>
      </w:r>
    </w:p>
  </w:footnote>
  <w:footnote w:id="35">
    <w:p w14:paraId="5400348A" w14:textId="77777777" w:rsidR="004C02D8" w:rsidRPr="00AD1E6F" w:rsidRDefault="004C02D8" w:rsidP="00AD1E6F">
      <w:pPr>
        <w:pStyle w:val="Textonotapie"/>
        <w:spacing w:after="0" w:line="240" w:lineRule="auto"/>
        <w:ind w:firstLine="708"/>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6">
    <w:p w14:paraId="26EC6228" w14:textId="77777777" w:rsidR="004C02D8" w:rsidRPr="00AD1E6F" w:rsidRDefault="004C02D8" w:rsidP="00AD1E6F">
      <w:pPr>
        <w:pStyle w:val="Textonotapie"/>
        <w:spacing w:after="0" w:line="240" w:lineRule="auto"/>
        <w:ind w:firstLine="709"/>
        <w:rPr>
          <w:rFonts w:ascii="Arial" w:hAnsi="Arial" w:cs="Arial"/>
          <w:sz w:val="19"/>
          <w:szCs w:val="19"/>
        </w:rPr>
      </w:pPr>
      <w:r w:rsidRPr="00AD1E6F">
        <w:rPr>
          <w:rStyle w:val="Refdenotaalpie"/>
          <w:rFonts w:ascii="Arial" w:hAnsi="Arial" w:cs="Arial"/>
          <w:sz w:val="19"/>
          <w:szCs w:val="19"/>
        </w:rPr>
        <w:footnoteRef/>
      </w:r>
      <w:r w:rsidRPr="00AD1E6F">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25E1" w14:textId="77777777" w:rsidR="00412132" w:rsidRDefault="0088085E">
    <w:pPr>
      <w:pStyle w:val="Encabezado"/>
    </w:pPr>
    <w:r>
      <w:rPr>
        <w:noProof/>
        <w:lang w:val="es-CO" w:eastAsia="es-CO"/>
      </w:rPr>
      <w:drawing>
        <wp:anchor distT="0" distB="0" distL="114300" distR="114300" simplePos="0" relativeHeight="251659264" behindDoc="1" locked="0" layoutInCell="1" allowOverlap="1" wp14:anchorId="1D1F29B0" wp14:editId="4F8EFA36">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4DFBD" w14:textId="77777777" w:rsidR="00FE0395" w:rsidRDefault="00CD61B3" w:rsidP="00FE0395">
    <w:pPr>
      <w:pStyle w:val="Encabezado"/>
      <w:spacing w:after="0"/>
    </w:pPr>
  </w:p>
  <w:p w14:paraId="06E81594" w14:textId="77777777" w:rsidR="00412132" w:rsidRDefault="00CD61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8095DEB"/>
    <w:multiLevelType w:val="multilevel"/>
    <w:tmpl w:val="3C18E91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6">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6">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7">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6"/>
  </w:num>
  <w:num w:numId="4">
    <w:abstractNumId w:val="22"/>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5"/>
  </w:num>
  <w:num w:numId="9">
    <w:abstractNumId w:val="6"/>
    <w:lvlOverride w:ilvl="0">
      <w:startOverride w:val="1"/>
    </w:lvlOverride>
  </w:num>
  <w:num w:numId="10">
    <w:abstractNumId w:val="26"/>
  </w:num>
  <w:num w:numId="11">
    <w:abstractNumId w:val="7"/>
  </w:num>
  <w:num w:numId="12">
    <w:abstractNumId w:val="2"/>
  </w:num>
  <w:num w:numId="13">
    <w:abstractNumId w:val="4"/>
  </w:num>
  <w:num w:numId="14">
    <w:abstractNumId w:val="21"/>
  </w:num>
  <w:num w:numId="15">
    <w:abstractNumId w:val="13"/>
  </w:num>
  <w:num w:numId="16">
    <w:abstractNumId w:val="10"/>
  </w:num>
  <w:num w:numId="17">
    <w:abstractNumId w:val="15"/>
  </w:num>
  <w:num w:numId="18">
    <w:abstractNumId w:val="17"/>
  </w:num>
  <w:num w:numId="19">
    <w:abstractNumId w:val="5"/>
  </w:num>
  <w:num w:numId="20">
    <w:abstractNumId w:val="28"/>
  </w:num>
  <w:num w:numId="21">
    <w:abstractNumId w:val="23"/>
  </w:num>
  <w:num w:numId="22">
    <w:abstractNumId w:val="19"/>
  </w:num>
  <w:num w:numId="23">
    <w:abstractNumId w:val="18"/>
  </w:num>
  <w:num w:numId="24">
    <w:abstractNumId w:val="8"/>
  </w:num>
  <w:num w:numId="25">
    <w:abstractNumId w:val="20"/>
  </w:num>
  <w:num w:numId="26">
    <w:abstractNumId w:val="1"/>
  </w:num>
  <w:num w:numId="27">
    <w:abstractNumId w:val="12"/>
  </w:num>
  <w:num w:numId="28">
    <w:abstractNumId w:val="27"/>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D8"/>
    <w:rsid w:val="00002F83"/>
    <w:rsid w:val="0003450C"/>
    <w:rsid w:val="00046D6C"/>
    <w:rsid w:val="0005286A"/>
    <w:rsid w:val="000659B1"/>
    <w:rsid w:val="000713B7"/>
    <w:rsid w:val="000717CB"/>
    <w:rsid w:val="00080238"/>
    <w:rsid w:val="00080B9F"/>
    <w:rsid w:val="00087170"/>
    <w:rsid w:val="000A05FD"/>
    <w:rsid w:val="000B2792"/>
    <w:rsid w:val="000C3C65"/>
    <w:rsid w:val="000D16D3"/>
    <w:rsid w:val="000E54F5"/>
    <w:rsid w:val="000E6C46"/>
    <w:rsid w:val="000F2CBB"/>
    <w:rsid w:val="00107DEF"/>
    <w:rsid w:val="001210A1"/>
    <w:rsid w:val="00122D62"/>
    <w:rsid w:val="001577CA"/>
    <w:rsid w:val="0016305A"/>
    <w:rsid w:val="00165EED"/>
    <w:rsid w:val="00166E47"/>
    <w:rsid w:val="001705B0"/>
    <w:rsid w:val="00192DAC"/>
    <w:rsid w:val="001952E4"/>
    <w:rsid w:val="00195DD2"/>
    <w:rsid w:val="001971CA"/>
    <w:rsid w:val="001A6C6A"/>
    <w:rsid w:val="001B2AB3"/>
    <w:rsid w:val="001C0350"/>
    <w:rsid w:val="001C25A4"/>
    <w:rsid w:val="001C2D64"/>
    <w:rsid w:val="001D77B5"/>
    <w:rsid w:val="001D7B22"/>
    <w:rsid w:val="001E2F56"/>
    <w:rsid w:val="001F028A"/>
    <w:rsid w:val="002118E7"/>
    <w:rsid w:val="00230FEC"/>
    <w:rsid w:val="002431C6"/>
    <w:rsid w:val="00262790"/>
    <w:rsid w:val="00275B89"/>
    <w:rsid w:val="002A476D"/>
    <w:rsid w:val="002C4A14"/>
    <w:rsid w:val="002E3E56"/>
    <w:rsid w:val="002E71D8"/>
    <w:rsid w:val="002F0E3F"/>
    <w:rsid w:val="002F19E2"/>
    <w:rsid w:val="002F1C2B"/>
    <w:rsid w:val="002F3291"/>
    <w:rsid w:val="003052D1"/>
    <w:rsid w:val="00310516"/>
    <w:rsid w:val="00326EFD"/>
    <w:rsid w:val="00330464"/>
    <w:rsid w:val="0034268E"/>
    <w:rsid w:val="00351110"/>
    <w:rsid w:val="00355B01"/>
    <w:rsid w:val="00362430"/>
    <w:rsid w:val="00365291"/>
    <w:rsid w:val="00366C90"/>
    <w:rsid w:val="00376314"/>
    <w:rsid w:val="00390D66"/>
    <w:rsid w:val="00395F31"/>
    <w:rsid w:val="00396036"/>
    <w:rsid w:val="003A05AD"/>
    <w:rsid w:val="003A2F29"/>
    <w:rsid w:val="003A6093"/>
    <w:rsid w:val="003B2514"/>
    <w:rsid w:val="003C0B8B"/>
    <w:rsid w:val="003C6EDF"/>
    <w:rsid w:val="003D7A1E"/>
    <w:rsid w:val="003E18B1"/>
    <w:rsid w:val="003E2324"/>
    <w:rsid w:val="003E784F"/>
    <w:rsid w:val="003F1CE3"/>
    <w:rsid w:val="003F28FE"/>
    <w:rsid w:val="003F2C49"/>
    <w:rsid w:val="003F605B"/>
    <w:rsid w:val="00402EA7"/>
    <w:rsid w:val="004058F7"/>
    <w:rsid w:val="004122C3"/>
    <w:rsid w:val="004130B9"/>
    <w:rsid w:val="004131C6"/>
    <w:rsid w:val="00422E0D"/>
    <w:rsid w:val="00423C9D"/>
    <w:rsid w:val="00426579"/>
    <w:rsid w:val="0043201C"/>
    <w:rsid w:val="00433165"/>
    <w:rsid w:val="00435130"/>
    <w:rsid w:val="00445F42"/>
    <w:rsid w:val="00460124"/>
    <w:rsid w:val="0046056B"/>
    <w:rsid w:val="00463177"/>
    <w:rsid w:val="004721B4"/>
    <w:rsid w:val="0047408C"/>
    <w:rsid w:val="004840FB"/>
    <w:rsid w:val="004963F9"/>
    <w:rsid w:val="004A75D8"/>
    <w:rsid w:val="004C02D8"/>
    <w:rsid w:val="004C6AF0"/>
    <w:rsid w:val="004D7F4B"/>
    <w:rsid w:val="004E39B3"/>
    <w:rsid w:val="00517BC5"/>
    <w:rsid w:val="00544973"/>
    <w:rsid w:val="005506F8"/>
    <w:rsid w:val="0055440E"/>
    <w:rsid w:val="005747DA"/>
    <w:rsid w:val="00584E1D"/>
    <w:rsid w:val="00585D01"/>
    <w:rsid w:val="005860C8"/>
    <w:rsid w:val="00592959"/>
    <w:rsid w:val="005A11AD"/>
    <w:rsid w:val="005A43CD"/>
    <w:rsid w:val="005B274B"/>
    <w:rsid w:val="005B7C5F"/>
    <w:rsid w:val="005C0A9A"/>
    <w:rsid w:val="005C2F17"/>
    <w:rsid w:val="005E5771"/>
    <w:rsid w:val="005E76E0"/>
    <w:rsid w:val="00604B67"/>
    <w:rsid w:val="00622B3C"/>
    <w:rsid w:val="006238F0"/>
    <w:rsid w:val="00626B2C"/>
    <w:rsid w:val="00630D9C"/>
    <w:rsid w:val="006421D5"/>
    <w:rsid w:val="00650597"/>
    <w:rsid w:val="0065385C"/>
    <w:rsid w:val="00661816"/>
    <w:rsid w:val="00663788"/>
    <w:rsid w:val="00681CAD"/>
    <w:rsid w:val="0069077B"/>
    <w:rsid w:val="006954A7"/>
    <w:rsid w:val="0069724B"/>
    <w:rsid w:val="006A6DB0"/>
    <w:rsid w:val="006D6AFC"/>
    <w:rsid w:val="006D73E8"/>
    <w:rsid w:val="006E625F"/>
    <w:rsid w:val="006E634F"/>
    <w:rsid w:val="006F0080"/>
    <w:rsid w:val="007045BE"/>
    <w:rsid w:val="00704D2C"/>
    <w:rsid w:val="00715B74"/>
    <w:rsid w:val="0072183A"/>
    <w:rsid w:val="00722748"/>
    <w:rsid w:val="0072534B"/>
    <w:rsid w:val="00734119"/>
    <w:rsid w:val="00737A18"/>
    <w:rsid w:val="007755B5"/>
    <w:rsid w:val="007766F1"/>
    <w:rsid w:val="00784A21"/>
    <w:rsid w:val="007A3AC4"/>
    <w:rsid w:val="007A4752"/>
    <w:rsid w:val="007B4E16"/>
    <w:rsid w:val="007D2B3A"/>
    <w:rsid w:val="007D4EDC"/>
    <w:rsid w:val="007D6A50"/>
    <w:rsid w:val="007D6FD4"/>
    <w:rsid w:val="007D7EB9"/>
    <w:rsid w:val="007F2911"/>
    <w:rsid w:val="007F3EE1"/>
    <w:rsid w:val="007F67A7"/>
    <w:rsid w:val="00805730"/>
    <w:rsid w:val="00836579"/>
    <w:rsid w:val="00865398"/>
    <w:rsid w:val="0088085E"/>
    <w:rsid w:val="00886E7C"/>
    <w:rsid w:val="00892E5A"/>
    <w:rsid w:val="008C24E8"/>
    <w:rsid w:val="008C2E17"/>
    <w:rsid w:val="008D1E8F"/>
    <w:rsid w:val="008E0D8B"/>
    <w:rsid w:val="008E42C8"/>
    <w:rsid w:val="008F15B8"/>
    <w:rsid w:val="009023BC"/>
    <w:rsid w:val="0090414A"/>
    <w:rsid w:val="009116C0"/>
    <w:rsid w:val="009179B4"/>
    <w:rsid w:val="00923042"/>
    <w:rsid w:val="00953C47"/>
    <w:rsid w:val="00954E3B"/>
    <w:rsid w:val="009575A6"/>
    <w:rsid w:val="0096776C"/>
    <w:rsid w:val="009826AD"/>
    <w:rsid w:val="00993607"/>
    <w:rsid w:val="009A64A1"/>
    <w:rsid w:val="009A7722"/>
    <w:rsid w:val="009B79F4"/>
    <w:rsid w:val="009C6450"/>
    <w:rsid w:val="009D619F"/>
    <w:rsid w:val="009E2318"/>
    <w:rsid w:val="009E33A5"/>
    <w:rsid w:val="009F758E"/>
    <w:rsid w:val="00A15213"/>
    <w:rsid w:val="00A35B1F"/>
    <w:rsid w:val="00A61D18"/>
    <w:rsid w:val="00A66345"/>
    <w:rsid w:val="00A75EF4"/>
    <w:rsid w:val="00A85371"/>
    <w:rsid w:val="00A85A4C"/>
    <w:rsid w:val="00A93249"/>
    <w:rsid w:val="00A93D91"/>
    <w:rsid w:val="00A946F0"/>
    <w:rsid w:val="00AA7862"/>
    <w:rsid w:val="00AD168A"/>
    <w:rsid w:val="00AD1E6F"/>
    <w:rsid w:val="00AD6697"/>
    <w:rsid w:val="00AE1063"/>
    <w:rsid w:val="00AE3885"/>
    <w:rsid w:val="00B20D76"/>
    <w:rsid w:val="00B41D22"/>
    <w:rsid w:val="00B55491"/>
    <w:rsid w:val="00B669BA"/>
    <w:rsid w:val="00B86DC0"/>
    <w:rsid w:val="00B937DC"/>
    <w:rsid w:val="00B9786E"/>
    <w:rsid w:val="00BA3B66"/>
    <w:rsid w:val="00BB58B1"/>
    <w:rsid w:val="00BD71F2"/>
    <w:rsid w:val="00BF1FC8"/>
    <w:rsid w:val="00BF606A"/>
    <w:rsid w:val="00C14B21"/>
    <w:rsid w:val="00C150AA"/>
    <w:rsid w:val="00C24112"/>
    <w:rsid w:val="00C512B3"/>
    <w:rsid w:val="00C60ABF"/>
    <w:rsid w:val="00C631C0"/>
    <w:rsid w:val="00C63C26"/>
    <w:rsid w:val="00C65DD8"/>
    <w:rsid w:val="00C720B0"/>
    <w:rsid w:val="00C913C9"/>
    <w:rsid w:val="00CD61B3"/>
    <w:rsid w:val="00CE3801"/>
    <w:rsid w:val="00CF323F"/>
    <w:rsid w:val="00D130DA"/>
    <w:rsid w:val="00D2320D"/>
    <w:rsid w:val="00D30987"/>
    <w:rsid w:val="00D3641C"/>
    <w:rsid w:val="00D43D17"/>
    <w:rsid w:val="00D45E45"/>
    <w:rsid w:val="00D52A09"/>
    <w:rsid w:val="00D5379F"/>
    <w:rsid w:val="00D577D4"/>
    <w:rsid w:val="00D62039"/>
    <w:rsid w:val="00D6659E"/>
    <w:rsid w:val="00D6685B"/>
    <w:rsid w:val="00D731BA"/>
    <w:rsid w:val="00D90C9D"/>
    <w:rsid w:val="00D93826"/>
    <w:rsid w:val="00DB6170"/>
    <w:rsid w:val="00DC2FB9"/>
    <w:rsid w:val="00DE0FDC"/>
    <w:rsid w:val="00DE2F68"/>
    <w:rsid w:val="00E2484B"/>
    <w:rsid w:val="00E45F0B"/>
    <w:rsid w:val="00E4622B"/>
    <w:rsid w:val="00E5169A"/>
    <w:rsid w:val="00E524E0"/>
    <w:rsid w:val="00E56496"/>
    <w:rsid w:val="00E65B20"/>
    <w:rsid w:val="00E9182B"/>
    <w:rsid w:val="00EB0CBB"/>
    <w:rsid w:val="00EB29D0"/>
    <w:rsid w:val="00EC54FF"/>
    <w:rsid w:val="00ED4A4D"/>
    <w:rsid w:val="00ED5392"/>
    <w:rsid w:val="00ED6956"/>
    <w:rsid w:val="00F010A2"/>
    <w:rsid w:val="00F034B7"/>
    <w:rsid w:val="00F14996"/>
    <w:rsid w:val="00F212F3"/>
    <w:rsid w:val="00F214E0"/>
    <w:rsid w:val="00F219E0"/>
    <w:rsid w:val="00F3437D"/>
    <w:rsid w:val="00F44484"/>
    <w:rsid w:val="00F479FA"/>
    <w:rsid w:val="00F507BD"/>
    <w:rsid w:val="00F52E73"/>
    <w:rsid w:val="00F569B0"/>
    <w:rsid w:val="00F67A53"/>
    <w:rsid w:val="00FA0E8A"/>
    <w:rsid w:val="00FB03DB"/>
    <w:rsid w:val="00FB2948"/>
    <w:rsid w:val="00FC0B0C"/>
    <w:rsid w:val="00FC0BA7"/>
    <w:rsid w:val="00FC16EA"/>
    <w:rsid w:val="00FC363C"/>
    <w:rsid w:val="00FD4423"/>
    <w:rsid w:val="00FE1B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1DE9"/>
  <w15:chartTrackingRefBased/>
  <w15:docId w15:val="{56AED0C8-3A51-47C3-96AE-157D9C02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C02D8"/>
    <w:pPr>
      <w:keepNext/>
      <w:numPr>
        <w:numId w:val="17"/>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4C02D8"/>
    <w:pPr>
      <w:keepNext/>
      <w:numPr>
        <w:ilvl w:val="1"/>
        <w:numId w:val="17"/>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4C02D8"/>
    <w:pPr>
      <w:keepNext/>
      <w:numPr>
        <w:ilvl w:val="2"/>
        <w:numId w:val="17"/>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4C02D8"/>
    <w:pPr>
      <w:keepNext/>
      <w:numPr>
        <w:ilvl w:val="3"/>
        <w:numId w:val="17"/>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4C02D8"/>
    <w:pPr>
      <w:numPr>
        <w:ilvl w:val="4"/>
        <w:numId w:val="17"/>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4C02D8"/>
    <w:pPr>
      <w:numPr>
        <w:ilvl w:val="5"/>
        <w:numId w:val="17"/>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4C02D8"/>
    <w:pPr>
      <w:numPr>
        <w:ilvl w:val="6"/>
        <w:numId w:val="17"/>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4C02D8"/>
    <w:pPr>
      <w:numPr>
        <w:ilvl w:val="7"/>
        <w:numId w:val="17"/>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4C02D8"/>
    <w:pPr>
      <w:numPr>
        <w:ilvl w:val="8"/>
        <w:numId w:val="17"/>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02D8"/>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4C02D8"/>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4C02D8"/>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C02D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4C02D8"/>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4C02D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C02D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C02D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C02D8"/>
    <w:rPr>
      <w:rFonts w:ascii="Arial" w:eastAsia="Times New Roman" w:hAnsi="Arial" w:cs="Arial"/>
      <w:lang w:val="es-ES" w:eastAsia="es-ES"/>
    </w:rPr>
  </w:style>
  <w:style w:type="numbering" w:customStyle="1" w:styleId="Sinlista1">
    <w:name w:val="Sin lista1"/>
    <w:next w:val="Sinlista"/>
    <w:uiPriority w:val="99"/>
    <w:semiHidden/>
    <w:unhideWhenUsed/>
    <w:rsid w:val="004C02D8"/>
  </w:style>
  <w:style w:type="paragraph" w:styleId="Piedepgina">
    <w:name w:val="footer"/>
    <w:basedOn w:val="Normal"/>
    <w:link w:val="PiedepginaCar"/>
    <w:uiPriority w:val="99"/>
    <w:unhideWhenUsed/>
    <w:rsid w:val="004C02D8"/>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4C02D8"/>
    <w:rPr>
      <w:sz w:val="24"/>
      <w:lang w:val="es-MX"/>
    </w:rPr>
  </w:style>
  <w:style w:type="paragraph" w:styleId="Textodeglobo">
    <w:name w:val="Balloon Text"/>
    <w:basedOn w:val="Normal"/>
    <w:link w:val="TextodegloboCar"/>
    <w:uiPriority w:val="99"/>
    <w:semiHidden/>
    <w:unhideWhenUsed/>
    <w:rsid w:val="004C02D8"/>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4C02D8"/>
    <w:rPr>
      <w:rFonts w:ascii="Tahoma" w:hAnsi="Tahoma" w:cs="Tahoma"/>
      <w:sz w:val="16"/>
      <w:szCs w:val="16"/>
      <w:lang w:val="es-MX"/>
    </w:rPr>
  </w:style>
  <w:style w:type="paragraph" w:styleId="Encabezado">
    <w:name w:val="header"/>
    <w:basedOn w:val="Normal"/>
    <w:link w:val="EncabezadoCar"/>
    <w:uiPriority w:val="99"/>
    <w:unhideWhenUsed/>
    <w:rsid w:val="004C02D8"/>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4C02D8"/>
    <w:rPr>
      <w:sz w:val="24"/>
      <w:lang w:val="es-MX"/>
    </w:rPr>
  </w:style>
  <w:style w:type="table" w:styleId="Tablaconcuadrcula">
    <w:name w:val="Table Grid"/>
    <w:basedOn w:val="Tablanormal"/>
    <w:uiPriority w:val="39"/>
    <w:rsid w:val="004C02D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4C02D8"/>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4C02D8"/>
    <w:rPr>
      <w:sz w:val="16"/>
      <w:szCs w:val="16"/>
    </w:rPr>
  </w:style>
  <w:style w:type="paragraph" w:styleId="Textocomentario">
    <w:name w:val="annotation text"/>
    <w:basedOn w:val="Normal"/>
    <w:link w:val="TextocomentarioCar"/>
    <w:uiPriority w:val="99"/>
    <w:unhideWhenUsed/>
    <w:rsid w:val="004C02D8"/>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4C02D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4C02D8"/>
    <w:rPr>
      <w:b/>
      <w:bCs/>
    </w:rPr>
  </w:style>
  <w:style w:type="character" w:customStyle="1" w:styleId="AsuntodelcomentarioCar">
    <w:name w:val="Asunto del comentario Car"/>
    <w:basedOn w:val="TextocomentarioCar"/>
    <w:link w:val="Asuntodelcomentario"/>
    <w:uiPriority w:val="99"/>
    <w:semiHidden/>
    <w:rsid w:val="004C02D8"/>
    <w:rPr>
      <w:b/>
      <w:bCs/>
      <w:sz w:val="20"/>
      <w:szCs w:val="20"/>
      <w:lang w:val="es-MX"/>
    </w:rPr>
  </w:style>
  <w:style w:type="character" w:customStyle="1" w:styleId="Hipervnculo1">
    <w:name w:val="Hipervínculo1"/>
    <w:basedOn w:val="Fuentedeprrafopredeter"/>
    <w:uiPriority w:val="99"/>
    <w:unhideWhenUsed/>
    <w:rsid w:val="004C02D8"/>
    <w:rPr>
      <w:color w:val="F2F2F2"/>
      <w:u w:val="single"/>
    </w:rPr>
  </w:style>
  <w:style w:type="paragraph" w:styleId="NormalWeb">
    <w:name w:val="Normal (Web)"/>
    <w:basedOn w:val="Normal"/>
    <w:link w:val="NormalWebCar"/>
    <w:uiPriority w:val="99"/>
    <w:unhideWhenUsed/>
    <w:rsid w:val="004C02D8"/>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4C02D8"/>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C02D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4C02D8"/>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4C02D8"/>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C02D8"/>
    <w:rPr>
      <w:sz w:val="24"/>
      <w:lang w:val="es-MX"/>
    </w:rPr>
  </w:style>
  <w:style w:type="paragraph" w:customStyle="1" w:styleId="Capitulo1">
    <w:name w:val="Capitulo 1"/>
    <w:basedOn w:val="Normal"/>
    <w:uiPriority w:val="99"/>
    <w:qFormat/>
    <w:rsid w:val="004C02D8"/>
    <w:pPr>
      <w:keepNext/>
      <w:spacing w:before="120" w:after="200" w:line="276" w:lineRule="auto"/>
      <w:ind w:left="720" w:hanging="360"/>
      <w:jc w:val="both"/>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C02D8"/>
    <w:rPr>
      <w:vertAlign w:val="superscript"/>
    </w:rPr>
  </w:style>
  <w:style w:type="paragraph" w:customStyle="1" w:styleId="pa22">
    <w:name w:val="pa22"/>
    <w:basedOn w:val="Normal"/>
    <w:rsid w:val="004C02D8"/>
    <w:pPr>
      <w:spacing w:before="100" w:beforeAutospacing="1" w:after="100" w:afterAutospacing="1" w:line="276" w:lineRule="auto"/>
      <w:jc w:val="both"/>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4C02D8"/>
    <w:rPr>
      <w:b/>
      <w:bCs/>
    </w:rPr>
  </w:style>
  <w:style w:type="character" w:styleId="nfasis">
    <w:name w:val="Emphasis"/>
    <w:basedOn w:val="Fuentedeprrafopredeter"/>
    <w:uiPriority w:val="20"/>
    <w:qFormat/>
    <w:rsid w:val="004C02D8"/>
    <w:rPr>
      <w:i/>
      <w:iCs/>
    </w:rPr>
  </w:style>
  <w:style w:type="character" w:customStyle="1" w:styleId="Mencinsinresolver1">
    <w:name w:val="Mención sin resolver1"/>
    <w:basedOn w:val="Fuentedeprrafopredeter"/>
    <w:uiPriority w:val="99"/>
    <w:semiHidden/>
    <w:unhideWhenUsed/>
    <w:rsid w:val="004C02D8"/>
    <w:rPr>
      <w:color w:val="605E5C"/>
      <w:shd w:val="clear" w:color="auto" w:fill="E1DFDD"/>
    </w:rPr>
  </w:style>
  <w:style w:type="paragraph" w:customStyle="1" w:styleId="Capitulo3">
    <w:name w:val="Capitulo 3"/>
    <w:basedOn w:val="Normal"/>
    <w:qFormat/>
    <w:rsid w:val="004C02D8"/>
    <w:pPr>
      <w:keepNext/>
      <w:numPr>
        <w:numId w:val="7"/>
      </w:numPr>
      <w:spacing w:before="120" w:after="200" w:line="276" w:lineRule="auto"/>
      <w:jc w:val="both"/>
      <w:outlineLvl w:val="1"/>
    </w:pPr>
    <w:rPr>
      <w:rFonts w:ascii="Arial" w:eastAsia="Times New Roman" w:hAnsi="Arial" w:cs="Arial"/>
      <w:b/>
      <w:color w:val="000000"/>
      <w:sz w:val="20"/>
      <w:szCs w:val="20"/>
      <w:lang w:eastAsia="es-CO"/>
    </w:rPr>
  </w:style>
  <w:style w:type="paragraph" w:customStyle="1" w:styleId="InviasNormal">
    <w:name w:val="Invias Normal"/>
    <w:basedOn w:val="Normal"/>
    <w:link w:val="InviasNormalCar"/>
    <w:qFormat/>
    <w:rsid w:val="004C02D8"/>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sz w:val="24"/>
      <w:szCs w:val="24"/>
      <w:lang w:val="x-none" w:eastAsia="es-ES"/>
    </w:rPr>
  </w:style>
  <w:style w:type="character" w:customStyle="1" w:styleId="InviasNormalCar">
    <w:name w:val="Invias Normal Car"/>
    <w:link w:val="InviasNormal"/>
    <w:locked/>
    <w:rsid w:val="004C02D8"/>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4C02D8"/>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4C02D8"/>
    <w:pPr>
      <w:spacing w:after="0" w:line="240" w:lineRule="auto"/>
      <w:jc w:val="both"/>
    </w:pPr>
    <w:rPr>
      <w:sz w:val="24"/>
      <w:lang w:val="es-MX"/>
    </w:rPr>
  </w:style>
  <w:style w:type="paragraph" w:customStyle="1" w:styleId="Appelnotedebasde">
    <w:name w:val="Appel note de bas de..."/>
    <w:basedOn w:val="Normal"/>
    <w:link w:val="Refdenotaalpie"/>
    <w:uiPriority w:val="99"/>
    <w:rsid w:val="004C02D8"/>
    <w:pPr>
      <w:spacing w:line="240" w:lineRule="exact"/>
      <w:jc w:val="both"/>
    </w:pPr>
    <w:rPr>
      <w:vertAlign w:val="superscript"/>
    </w:rPr>
  </w:style>
  <w:style w:type="character" w:customStyle="1" w:styleId="NormalWebCar">
    <w:name w:val="Normal (Web) Car"/>
    <w:link w:val="NormalWeb"/>
    <w:uiPriority w:val="99"/>
    <w:locked/>
    <w:rsid w:val="004C02D8"/>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C02D8"/>
  </w:style>
  <w:style w:type="paragraph" w:styleId="Textoindependiente">
    <w:name w:val="Body Text"/>
    <w:basedOn w:val="Normal"/>
    <w:link w:val="TextoindependienteCar"/>
    <w:uiPriority w:val="1"/>
    <w:qFormat/>
    <w:rsid w:val="004C02D8"/>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4C02D8"/>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4C02D8"/>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4C02D8"/>
    <w:rPr>
      <w:sz w:val="20"/>
      <w:szCs w:val="20"/>
      <w:lang w:val="es-MX"/>
    </w:rPr>
  </w:style>
  <w:style w:type="character" w:styleId="Refdenotaalfinal">
    <w:name w:val="endnote reference"/>
    <w:basedOn w:val="Fuentedeprrafopredeter"/>
    <w:uiPriority w:val="99"/>
    <w:semiHidden/>
    <w:unhideWhenUsed/>
    <w:rsid w:val="004C02D8"/>
    <w:rPr>
      <w:vertAlign w:val="superscript"/>
    </w:rPr>
  </w:style>
  <w:style w:type="table" w:customStyle="1" w:styleId="Tablaconcuadrcula1">
    <w:name w:val="Tabla con cuadrícula1"/>
    <w:basedOn w:val="Tablanormal"/>
    <w:next w:val="Tablaconcuadrcula"/>
    <w:uiPriority w:val="39"/>
    <w:rsid w:val="004C0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basedOn w:val="Fuentedeprrafopredeter"/>
    <w:rsid w:val="004C02D8"/>
  </w:style>
  <w:style w:type="table" w:customStyle="1" w:styleId="Tablaconcuadrcula2">
    <w:name w:val="Tabla con cuadrícula2"/>
    <w:basedOn w:val="Tablanormal"/>
    <w:next w:val="Tablaconcuadrcula"/>
    <w:uiPriority w:val="39"/>
    <w:rsid w:val="004C02D8"/>
    <w:pPr>
      <w:spacing w:before="120"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4C0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qFormat/>
    <w:rsid w:val="004C02D8"/>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4C02D8"/>
    <w:pPr>
      <w:autoSpaceDE w:val="0"/>
      <w:autoSpaceDN w:val="0"/>
      <w:adjustRightInd w:val="0"/>
      <w:spacing w:after="0" w:line="240" w:lineRule="auto"/>
    </w:pPr>
    <w:rPr>
      <w:rFonts w:ascii="Arial" w:hAnsi="Arial" w:cs="Arial"/>
      <w:color w:val="000000"/>
      <w:sz w:val="24"/>
      <w:szCs w:val="24"/>
      <w:lang w:val="es-ES"/>
    </w:rPr>
  </w:style>
  <w:style w:type="paragraph" w:customStyle="1" w:styleId="CM203">
    <w:name w:val="CM203"/>
    <w:basedOn w:val="Normal"/>
    <w:next w:val="Normal"/>
    <w:uiPriority w:val="99"/>
    <w:rsid w:val="004C02D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C02D8"/>
    <w:pPr>
      <w:spacing w:after="120" w:line="480" w:lineRule="auto"/>
      <w:jc w:val="both"/>
    </w:pPr>
    <w:rPr>
      <w:sz w:val="24"/>
      <w:lang w:val="es-MX"/>
    </w:rPr>
  </w:style>
  <w:style w:type="character" w:customStyle="1" w:styleId="Textoindependiente2Car">
    <w:name w:val="Texto independiente 2 Car"/>
    <w:basedOn w:val="Fuentedeprrafopredeter"/>
    <w:link w:val="Textoindependiente2"/>
    <w:uiPriority w:val="99"/>
    <w:semiHidden/>
    <w:rsid w:val="004C02D8"/>
    <w:rPr>
      <w:sz w:val="24"/>
      <w:lang w:val="es-MX"/>
    </w:rPr>
  </w:style>
  <w:style w:type="character" w:customStyle="1" w:styleId="apple-converted-space">
    <w:name w:val="apple-converted-space"/>
    <w:basedOn w:val="Fuentedeprrafopredeter"/>
    <w:rsid w:val="004C02D8"/>
  </w:style>
  <w:style w:type="character" w:customStyle="1" w:styleId="Mencinsinresolver2">
    <w:name w:val="Mención sin resolver2"/>
    <w:basedOn w:val="Fuentedeprrafopredeter"/>
    <w:uiPriority w:val="99"/>
    <w:semiHidden/>
    <w:unhideWhenUsed/>
    <w:rsid w:val="004C02D8"/>
    <w:rPr>
      <w:color w:val="605E5C"/>
      <w:shd w:val="clear" w:color="auto" w:fill="E1DFDD"/>
    </w:rPr>
  </w:style>
  <w:style w:type="character" w:styleId="Hipervnculo">
    <w:name w:val="Hyperlink"/>
    <w:basedOn w:val="Fuentedeprrafopredeter"/>
    <w:uiPriority w:val="99"/>
    <w:unhideWhenUsed/>
    <w:rsid w:val="004C02D8"/>
    <w:rPr>
      <w:color w:val="0563C1" w:themeColor="hyperlink"/>
      <w:u w:val="single"/>
    </w:rPr>
  </w:style>
  <w:style w:type="paragraph" w:customStyle="1" w:styleId="paragraph">
    <w:name w:val="paragraph"/>
    <w:basedOn w:val="Normal"/>
    <w:rsid w:val="009D619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op">
    <w:name w:val="eop"/>
    <w:basedOn w:val="Fuentedeprrafopredeter"/>
    <w:rsid w:val="009D619F"/>
  </w:style>
  <w:style w:type="table" w:customStyle="1" w:styleId="Tablaconcuadrcula4">
    <w:name w:val="Tabla con cuadrícula4"/>
    <w:basedOn w:val="Tablanormal"/>
    <w:next w:val="Tablaconcuadrcula"/>
    <w:uiPriority w:val="39"/>
    <w:qFormat/>
    <w:rsid w:val="000F2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402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3E2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071870">
      <w:bodyDiv w:val="1"/>
      <w:marLeft w:val="0"/>
      <w:marRight w:val="0"/>
      <w:marTop w:val="0"/>
      <w:marBottom w:val="0"/>
      <w:divBdr>
        <w:top w:val="none" w:sz="0" w:space="0" w:color="auto"/>
        <w:left w:val="none" w:sz="0" w:space="0" w:color="auto"/>
        <w:bottom w:val="none" w:sz="0" w:space="0" w:color="auto"/>
        <w:right w:val="none" w:sz="0" w:space="0" w:color="auto"/>
      </w:divBdr>
      <w:divsChild>
        <w:div w:id="1718430038">
          <w:marLeft w:val="0"/>
          <w:marRight w:val="0"/>
          <w:marTop w:val="0"/>
          <w:marBottom w:val="0"/>
          <w:divBdr>
            <w:top w:val="none" w:sz="0" w:space="0" w:color="auto"/>
            <w:left w:val="none" w:sz="0" w:space="0" w:color="auto"/>
            <w:bottom w:val="none" w:sz="0" w:space="0" w:color="auto"/>
            <w:right w:val="none" w:sz="0" w:space="0" w:color="auto"/>
          </w:divBdr>
        </w:div>
        <w:div w:id="1554657319">
          <w:marLeft w:val="0"/>
          <w:marRight w:val="0"/>
          <w:marTop w:val="0"/>
          <w:marBottom w:val="0"/>
          <w:divBdr>
            <w:top w:val="none" w:sz="0" w:space="0" w:color="auto"/>
            <w:left w:val="none" w:sz="0" w:space="0" w:color="auto"/>
            <w:bottom w:val="none" w:sz="0" w:space="0" w:color="auto"/>
            <w:right w:val="none" w:sz="0" w:space="0" w:color="auto"/>
          </w:divBdr>
        </w:div>
        <w:div w:id="1743018667">
          <w:marLeft w:val="0"/>
          <w:marRight w:val="0"/>
          <w:marTop w:val="0"/>
          <w:marBottom w:val="0"/>
          <w:divBdr>
            <w:top w:val="none" w:sz="0" w:space="0" w:color="auto"/>
            <w:left w:val="none" w:sz="0" w:space="0" w:color="auto"/>
            <w:bottom w:val="none" w:sz="0" w:space="0" w:color="auto"/>
            <w:right w:val="none" w:sz="0" w:space="0" w:color="auto"/>
          </w:divBdr>
        </w:div>
        <w:div w:id="1713967186">
          <w:marLeft w:val="0"/>
          <w:marRight w:val="0"/>
          <w:marTop w:val="0"/>
          <w:marBottom w:val="0"/>
          <w:divBdr>
            <w:top w:val="none" w:sz="0" w:space="0" w:color="auto"/>
            <w:left w:val="none" w:sz="0" w:space="0" w:color="auto"/>
            <w:bottom w:val="none" w:sz="0" w:space="0" w:color="auto"/>
            <w:right w:val="none" w:sz="0" w:space="0" w:color="auto"/>
          </w:divBdr>
        </w:div>
        <w:div w:id="83060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ontent/circular-unica-extern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ontent/circular-unica-externa"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D06D-3368-4857-96EE-D29041CF0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8CFFE-446D-46ED-9A82-74A699E702FA}">
  <ds:schemaRefs>
    <ds:schemaRef ds:uri="http://schemas.microsoft.com/sharepoint/v3/contenttype/forms"/>
  </ds:schemaRefs>
</ds:datastoreItem>
</file>

<file path=customXml/itemProps3.xml><?xml version="1.0" encoding="utf-8"?>
<ds:datastoreItem xmlns:ds="http://schemas.openxmlformats.org/officeDocument/2006/customXml" ds:itemID="{2A4D6C85-C6AF-492C-8E75-BB8CB7B3515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385F0D5A-1305-4561-872B-9F8EA610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21</Pages>
  <Words>8144</Words>
  <Characters>44794</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18</cp:revision>
  <dcterms:created xsi:type="dcterms:W3CDTF">2022-07-05T20:38:00Z</dcterms:created>
  <dcterms:modified xsi:type="dcterms:W3CDTF">2022-08-18T21:30:00Z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9000</vt:r8>
  </property>
  <property fmtid="{D5CDD505-2E9C-101B-9397-08002B2CF9AE}" pid="3" name="ContentTypeId">
    <vt:lpwstr>0x010100F2E0F32964D9B84EA054B84E5D4157A0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