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195F" w:rsidR="00C331F2" w:rsidP="00C331F2" w:rsidRDefault="00C331F2" w14:paraId="1F7FE923" w14:textId="77777777">
      <w:pPr>
        <w:spacing w:after="0" w:line="240" w:lineRule="auto"/>
        <w:contextualSpacing/>
        <w:jc w:val="both"/>
        <w:rPr>
          <w:rFonts w:ascii="Arial" w:hAnsi="Arial" w:cs="Arial"/>
          <w:b/>
          <w:bCs/>
          <w:iCs/>
          <w:lang w:val="es-ES_tradnl"/>
        </w:rPr>
      </w:pPr>
      <w:r w:rsidRPr="005A195F">
        <w:rPr>
          <w:rFonts w:ascii="Arial" w:hAnsi="Arial" w:cs="Arial"/>
          <w:b/>
          <w:bCs/>
          <w:iCs/>
          <w:lang w:val="es-ES_tradnl"/>
        </w:rPr>
        <w:t xml:space="preserve">DEBER DE PUBLICIDAD </w:t>
      </w:r>
      <w:r w:rsidRPr="005A195F">
        <w:rPr>
          <w:rFonts w:ascii="Arial" w:hAnsi="Arial" w:eastAsia="Calibri" w:cs="Arial"/>
          <w:b/>
          <w:lang w:val="es-ES_tradnl"/>
        </w:rPr>
        <w:t>–</w:t>
      </w:r>
      <w:r w:rsidRPr="005A195F">
        <w:rPr>
          <w:rFonts w:ascii="Arial" w:hAnsi="Arial" w:cs="Arial"/>
          <w:b/>
          <w:bCs/>
          <w:iCs/>
          <w:lang w:val="es-ES_tradnl"/>
        </w:rPr>
        <w:t xml:space="preserve"> Entidades estatales exceptuadas del estatuto general de contratación de la administración pública – Ley 1150 de 2007</w:t>
      </w:r>
    </w:p>
    <w:p w:rsidRPr="005A195F" w:rsidR="00C331F2" w:rsidP="00C331F2" w:rsidRDefault="00C331F2" w14:paraId="091FB517" w14:textId="77777777">
      <w:pPr>
        <w:spacing w:after="0" w:line="240" w:lineRule="auto"/>
        <w:contextualSpacing/>
        <w:jc w:val="both"/>
        <w:rPr>
          <w:rFonts w:ascii="Arial" w:hAnsi="Arial" w:cs="Arial"/>
          <w:b/>
          <w:bCs/>
          <w:iCs/>
          <w:sz w:val="20"/>
          <w:szCs w:val="20"/>
          <w:lang w:val="es-ES_tradnl"/>
        </w:rPr>
      </w:pPr>
    </w:p>
    <w:p w:rsidRPr="005A195F" w:rsidR="00C331F2" w:rsidP="00C331F2" w:rsidRDefault="00C331F2" w14:paraId="2072F0E0" w14:textId="77777777">
      <w:pPr>
        <w:spacing w:after="0" w:line="240" w:lineRule="auto"/>
        <w:contextualSpacing/>
        <w:jc w:val="both"/>
        <w:rPr>
          <w:rFonts w:ascii="Arial" w:hAnsi="Arial" w:eastAsia="Calibri" w:cs="Arial"/>
          <w:sz w:val="20"/>
          <w:szCs w:val="20"/>
          <w:lang w:val="es-ES_tradnl" w:eastAsia="es-ES_tradnl"/>
        </w:rPr>
      </w:pPr>
      <w:r w:rsidRPr="005A195F">
        <w:rPr>
          <w:rFonts w:ascii="Arial" w:hAnsi="Arial" w:cs="Arial"/>
          <w:sz w:val="20"/>
          <w:szCs w:val="20"/>
        </w:rPr>
        <w:t>El principio de publicidad impone a las autoridades administrativas el deber de dar</w:t>
      </w:r>
      <w:r w:rsidRPr="005A195F">
        <w:rPr>
          <w:rFonts w:ascii="Arial" w:hAnsi="Arial" w:eastAsia="Calibri" w:cs="Arial"/>
          <w:sz w:val="20"/>
          <w:szCs w:val="20"/>
        </w:rPr>
        <w:t xml:space="preserve"> a conocer sus actos, contratos y decisiones, para que se divulguen y, eventualmente, se controlen las actuaciones. En virtud de ello, en el ámbito de la contratación estatal el literal c) del artículo 3 de la Ley 1150 de 2007 establece el Sistema Electrónico para la Contratación Pública – SECOP – como un mecanismo que «contará con la información oficial de la contratación realizada con dineros públicos, para lo cual establecerá los patrones a que haya lugar y se encargará de su difusión a través de canales electrónicos». </w:t>
      </w:r>
    </w:p>
    <w:p w:rsidRPr="005A195F" w:rsidR="00C331F2" w:rsidP="00C331F2" w:rsidRDefault="00C331F2" w14:paraId="748F79B8" w14:textId="77777777">
      <w:pPr>
        <w:spacing w:after="0" w:line="240" w:lineRule="auto"/>
        <w:contextualSpacing/>
        <w:jc w:val="both"/>
        <w:rPr>
          <w:rFonts w:ascii="Arial" w:hAnsi="Arial" w:cs="Arial"/>
          <w:b/>
          <w:bCs/>
          <w:iCs/>
          <w:sz w:val="20"/>
          <w:szCs w:val="20"/>
          <w:lang w:val="es-ES_tradnl"/>
        </w:rPr>
      </w:pPr>
    </w:p>
    <w:p w:rsidRPr="005A195F" w:rsidR="00C331F2" w:rsidP="00C331F2" w:rsidRDefault="00C331F2" w14:paraId="3F3D7876" w14:textId="77777777">
      <w:pPr>
        <w:spacing w:after="0" w:line="240" w:lineRule="auto"/>
        <w:contextualSpacing/>
        <w:jc w:val="both"/>
        <w:rPr>
          <w:rFonts w:ascii="Arial" w:hAnsi="Arial" w:cs="Arial"/>
          <w:b/>
          <w:bCs/>
          <w:iCs/>
          <w:lang w:val="es-ES_tradnl"/>
        </w:rPr>
      </w:pPr>
      <w:r w:rsidRPr="005A195F">
        <w:rPr>
          <w:rFonts w:ascii="Arial" w:hAnsi="Arial" w:cs="Arial"/>
          <w:b/>
          <w:bCs/>
          <w:iCs/>
          <w:lang w:val="es-ES_tradnl"/>
        </w:rPr>
        <w:t xml:space="preserve">DEBER DE PUBLICIDAD </w:t>
      </w:r>
      <w:r w:rsidRPr="005A195F">
        <w:rPr>
          <w:rFonts w:ascii="Arial" w:hAnsi="Arial" w:eastAsia="Calibri" w:cs="Arial"/>
          <w:b/>
          <w:lang w:val="es-ES_tradnl"/>
        </w:rPr>
        <w:t>–</w:t>
      </w:r>
      <w:r w:rsidRPr="005A195F">
        <w:rPr>
          <w:rFonts w:ascii="Arial" w:hAnsi="Arial" w:cs="Arial"/>
          <w:b/>
          <w:bCs/>
          <w:iCs/>
          <w:lang w:val="es-ES_tradnl"/>
        </w:rPr>
        <w:t xml:space="preserve"> Entidades estatales exceptuadas del estatuto general de contratación de la administración pública – Ley 1212 de 2014</w:t>
      </w:r>
    </w:p>
    <w:p w:rsidRPr="005A195F" w:rsidR="00C331F2" w:rsidP="00C331F2" w:rsidRDefault="00C331F2" w14:paraId="34432102" w14:textId="77777777">
      <w:pPr>
        <w:spacing w:after="0" w:line="240" w:lineRule="auto"/>
        <w:contextualSpacing/>
        <w:jc w:val="both"/>
        <w:rPr>
          <w:rFonts w:ascii="Arial" w:hAnsi="Arial" w:cs="Arial"/>
          <w:b/>
          <w:bCs/>
          <w:iCs/>
          <w:sz w:val="20"/>
          <w:szCs w:val="20"/>
          <w:lang w:val="es-ES_tradnl"/>
        </w:rPr>
      </w:pPr>
    </w:p>
    <w:p w:rsidRPr="005A195F" w:rsidR="00C331F2" w:rsidP="00C331F2" w:rsidRDefault="00C331F2" w14:paraId="0E5610E9" w14:textId="77777777">
      <w:pPr>
        <w:spacing w:after="0" w:line="240" w:lineRule="auto"/>
        <w:contextualSpacing/>
        <w:jc w:val="both"/>
        <w:rPr>
          <w:rFonts w:ascii="Arial" w:hAnsi="Arial" w:eastAsia="Calibri" w:cs="Arial"/>
          <w:sz w:val="20"/>
          <w:szCs w:val="20"/>
          <w:lang w:val="es-ES_tradnl" w:eastAsia="es-ES_tradnl"/>
        </w:rPr>
      </w:pPr>
      <w:r w:rsidRPr="005A195F">
        <w:rPr>
          <w:rFonts w:ascii="Arial" w:hAnsi="Arial" w:eastAsia="Times New Roman" w:cs="Arial"/>
          <w:sz w:val="20"/>
          <w:szCs w:val="20"/>
          <w:lang w:eastAsia="es-CO"/>
        </w:rPr>
        <w:t xml:space="preserve">De otra parte, la Ley 1712 de 2014, </w:t>
      </w:r>
      <w:r w:rsidRPr="005A195F">
        <w:rPr>
          <w:rFonts w:ascii="Arial" w:hAnsi="Arial" w:eastAsia="Calibri" w:cs="Arial"/>
          <w:sz w:val="20"/>
          <w:szCs w:val="20"/>
        </w:rPr>
        <w:t>«P</w:t>
      </w:r>
      <w:r w:rsidRPr="005A195F">
        <w:rPr>
          <w:rFonts w:ascii="Arial" w:hAnsi="Arial" w:eastAsia="Times New Roman" w:cs="Arial"/>
          <w:sz w:val="20"/>
          <w:szCs w:val="20"/>
          <w:lang w:eastAsia="es-CO"/>
        </w:rPr>
        <w:t>or medio de la cual se crea la Ley de Transparencia y del Derecho de Acceso a la Información Pública Nacional y se dictan otras disposiciones</w:t>
      </w:r>
      <w:r w:rsidRPr="005A195F">
        <w:rPr>
          <w:rFonts w:ascii="Arial" w:hAnsi="Arial" w:eastAsia="Calibri" w:cs="Arial"/>
          <w:sz w:val="20"/>
          <w:szCs w:val="20"/>
        </w:rPr>
        <w:t>»</w:t>
      </w:r>
      <w:r w:rsidRPr="005A195F">
        <w:rPr>
          <w:rFonts w:ascii="Arial" w:hAnsi="Arial" w:eastAsia="Times New Roman" w:cs="Arial"/>
          <w:sz w:val="20"/>
          <w:szCs w:val="20"/>
          <w:lang w:eastAsia="es-CO"/>
        </w:rPr>
        <w:t>,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5A195F">
        <w:rPr>
          <w:rFonts w:ascii="Arial" w:hAnsi="Arial" w:eastAsia="Times New Roman" w:cs="Arial"/>
          <w:spacing w:val="-2"/>
          <w:sz w:val="20"/>
          <w:szCs w:val="20"/>
          <w:lang w:eastAsia="es-CO"/>
        </w:rPr>
        <w:t xml:space="preserve"> </w:t>
      </w:r>
      <w:r w:rsidRPr="005A195F">
        <w:rPr>
          <w:rFonts w:ascii="Arial" w:hAnsi="Arial" w:eastAsia="Times New Roman" w:cs="Arial"/>
          <w:sz w:val="20"/>
          <w:szCs w:val="20"/>
          <w:lang w:eastAsia="es-CO"/>
        </w:rPr>
        <w:t xml:space="preserve">ley. Finalmente, el principio de buena fe hace referencia al deber de todo sujeto obligado de cumplir con las obligaciones derivadas del derecho de acceso a la información pública con motivación honesta, leal y desprovista de cualquier intención dolosa o culposa. </w:t>
      </w:r>
    </w:p>
    <w:p w:rsidRPr="005A195F" w:rsidR="00C331F2" w:rsidP="00C331F2" w:rsidRDefault="00C331F2" w14:paraId="16D3838D" w14:textId="77777777">
      <w:pPr>
        <w:spacing w:after="0" w:line="240" w:lineRule="auto"/>
        <w:contextualSpacing/>
        <w:jc w:val="both"/>
        <w:rPr>
          <w:rFonts w:ascii="Arial" w:hAnsi="Arial" w:eastAsia="Times New Roman" w:cs="Arial"/>
          <w:sz w:val="20"/>
          <w:szCs w:val="20"/>
          <w:lang w:eastAsia="es-CO"/>
        </w:rPr>
      </w:pPr>
    </w:p>
    <w:p w:rsidRPr="005A195F" w:rsidR="00C331F2" w:rsidP="00C331F2" w:rsidRDefault="00C331F2" w14:paraId="4B6A87F2" w14:textId="77777777">
      <w:pPr>
        <w:spacing w:after="0" w:line="240" w:lineRule="auto"/>
        <w:contextualSpacing/>
        <w:jc w:val="both"/>
        <w:rPr>
          <w:rFonts w:ascii="Arial" w:hAnsi="Arial" w:eastAsia="Times New Roman" w:cs="Arial"/>
          <w:sz w:val="20"/>
          <w:szCs w:val="20"/>
          <w:lang w:eastAsia="es-CO"/>
        </w:rPr>
      </w:pPr>
      <w:r w:rsidRPr="005A195F">
        <w:rPr>
          <w:rFonts w:ascii="Arial" w:hAnsi="Arial" w:eastAsia="Times New Roman" w:cs="Arial"/>
          <w:sz w:val="20"/>
          <w:szCs w:val="20"/>
          <w:lang w:eastAsia="es-CO"/>
        </w:rPr>
        <w:t xml:space="preserve">La citada ley establece, en el literal e) del artículo 9, que los </w:t>
      </w:r>
      <w:r w:rsidRPr="005A195F">
        <w:rPr>
          <w:rFonts w:ascii="Arial" w:hAnsi="Arial" w:eastAsia="Times New Roman" w:cs="Arial"/>
          <w:i/>
          <w:iCs/>
          <w:sz w:val="20"/>
          <w:szCs w:val="20"/>
          <w:lang w:eastAsia="es-CO"/>
        </w:rPr>
        <w:t xml:space="preserve">sujetos obligados </w:t>
      </w:r>
      <w:r w:rsidRPr="005A195F">
        <w:rPr>
          <w:rFonts w:ascii="Arial" w:hAnsi="Arial" w:eastAsia="Times New Roman" w:cs="Arial"/>
          <w:sz w:val="20"/>
          <w:szCs w:val="20"/>
          <w:lang w:eastAsia="es-CO"/>
        </w:rPr>
        <w:t xml:space="preserve">deben publicar la información relativa a su contratación. </w:t>
      </w:r>
      <w:r w:rsidRPr="005A195F">
        <w:rPr>
          <w:rFonts w:ascii="Arial" w:hAnsi="Arial" w:eastAsia="Arial MT" w:cs="Arial"/>
          <w:sz w:val="20"/>
          <w:szCs w:val="20"/>
          <w:lang w:val="es-ES"/>
        </w:rPr>
        <w:t xml:space="preserve">El artículo 5 </w:t>
      </w:r>
      <w:r w:rsidRPr="005A195F">
        <w:rPr>
          <w:rFonts w:ascii="Arial" w:hAnsi="Arial" w:eastAsia="Arial MT" w:cs="Arial"/>
          <w:i/>
          <w:iCs/>
          <w:sz w:val="20"/>
          <w:szCs w:val="20"/>
          <w:lang w:val="es-ES"/>
        </w:rPr>
        <w:t>ibidem</w:t>
      </w:r>
      <w:r w:rsidRPr="005A195F">
        <w:rPr>
          <w:rFonts w:ascii="Arial" w:hAnsi="Arial" w:eastAsia="Arial MT" w:cs="Arial"/>
          <w:sz w:val="20"/>
          <w:szCs w:val="20"/>
          <w:lang w:val="es-ES"/>
        </w:rPr>
        <w:t>,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r w:rsidRPr="005A195F">
        <w:rPr>
          <w:rFonts w:ascii="Arial" w:hAnsi="Arial" w:eastAsia="Times New Roman" w:cs="Arial"/>
          <w:sz w:val="20"/>
          <w:szCs w:val="20"/>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rsidRPr="005A195F" w:rsidR="00C331F2" w:rsidP="00C331F2" w:rsidRDefault="00C331F2" w14:paraId="50EE32F1" w14:textId="77777777">
      <w:pPr>
        <w:spacing w:after="0" w:line="240" w:lineRule="auto"/>
        <w:contextualSpacing/>
        <w:jc w:val="both"/>
        <w:rPr>
          <w:rFonts w:ascii="Arial" w:hAnsi="Arial" w:eastAsia="Times New Roman" w:cs="Arial"/>
          <w:sz w:val="20"/>
          <w:szCs w:val="20"/>
          <w:lang w:eastAsia="es-CO"/>
        </w:rPr>
      </w:pPr>
    </w:p>
    <w:p w:rsidRPr="00F02D69" w:rsidR="00C331F2" w:rsidP="00C331F2" w:rsidRDefault="00C331F2" w14:paraId="5D253432" w14:textId="77777777">
      <w:pPr>
        <w:spacing w:after="0" w:line="240" w:lineRule="auto"/>
        <w:contextualSpacing/>
        <w:jc w:val="both"/>
        <w:rPr>
          <w:rFonts w:ascii="Arial" w:hAnsi="Arial" w:cs="Arial"/>
          <w:b/>
          <w:bCs/>
          <w:iCs/>
          <w:lang w:val="es-ES_tradnl"/>
        </w:rPr>
      </w:pPr>
      <w:r w:rsidRPr="00F02D69">
        <w:rPr>
          <w:rFonts w:ascii="Arial" w:hAnsi="Arial" w:cs="Arial"/>
          <w:b/>
          <w:bCs/>
          <w:iCs/>
          <w:lang w:val="es-ES_tradnl"/>
        </w:rPr>
        <w:t xml:space="preserve">DEBER DE PUBLICIDAD </w:t>
      </w:r>
      <w:r w:rsidRPr="00F02D69">
        <w:rPr>
          <w:rFonts w:ascii="Arial" w:hAnsi="Arial" w:eastAsia="Calibri" w:cs="Arial"/>
          <w:b/>
          <w:lang w:val="es-ES_tradnl"/>
        </w:rPr>
        <w:t>–</w:t>
      </w:r>
      <w:r w:rsidRPr="00F02D69">
        <w:rPr>
          <w:rFonts w:ascii="Arial" w:hAnsi="Arial" w:cs="Arial"/>
          <w:b/>
          <w:bCs/>
          <w:iCs/>
          <w:lang w:val="es-ES_tradnl"/>
        </w:rPr>
        <w:t xml:space="preserve"> SECOP II </w:t>
      </w:r>
      <w:r w:rsidRPr="00F02D69">
        <w:rPr>
          <w:rFonts w:ascii="Arial" w:hAnsi="Arial" w:eastAsia="Calibri" w:cs="Arial"/>
          <w:b/>
          <w:lang w:val="es-ES_tradnl"/>
        </w:rPr>
        <w:t>–</w:t>
      </w:r>
      <w:r w:rsidRPr="00F02D69">
        <w:rPr>
          <w:rFonts w:ascii="Arial" w:hAnsi="Arial" w:cs="Arial"/>
          <w:b/>
          <w:bCs/>
          <w:iCs/>
          <w:lang w:val="es-ES_tradnl"/>
        </w:rPr>
        <w:t xml:space="preserve"> Entidades estatales exceptuadas del estatuto general de contratación de la administración pública – Modificación artículo 53 de la Ley 2195 de 2022</w:t>
      </w:r>
    </w:p>
    <w:p w:rsidRPr="005A195F" w:rsidR="00C331F2" w:rsidP="00C331F2" w:rsidRDefault="00C331F2" w14:paraId="77504A89" w14:textId="77777777">
      <w:pPr>
        <w:spacing w:after="0" w:line="240" w:lineRule="auto"/>
        <w:contextualSpacing/>
        <w:jc w:val="both"/>
        <w:rPr>
          <w:rFonts w:ascii="Arial" w:hAnsi="Arial" w:cs="Arial"/>
          <w:b/>
          <w:bCs/>
          <w:iCs/>
          <w:sz w:val="20"/>
          <w:szCs w:val="20"/>
          <w:lang w:val="es-ES_tradnl"/>
        </w:rPr>
      </w:pPr>
    </w:p>
    <w:p w:rsidRPr="005A195F" w:rsidR="00C331F2" w:rsidP="00C331F2" w:rsidRDefault="00C331F2" w14:paraId="5E486AF2" w14:textId="77777777">
      <w:pPr>
        <w:spacing w:after="0" w:line="240" w:lineRule="auto"/>
        <w:contextualSpacing/>
        <w:jc w:val="both"/>
        <w:rPr>
          <w:rFonts w:ascii="Arial" w:hAnsi="Arial" w:cs="Arial"/>
          <w:sz w:val="20"/>
          <w:szCs w:val="20"/>
        </w:rPr>
      </w:pPr>
      <w:r w:rsidRPr="005A195F">
        <w:rPr>
          <w:rFonts w:ascii="Arial" w:hAnsi="Arial" w:cs="Arial"/>
          <w:sz w:val="20"/>
          <w:szCs w:val="20"/>
        </w:rPr>
        <w:t xml:space="preserve">Las disposiciones normativas antes señaladas referentes a la obligación de las entidades con regímenes especiales de publicar en el SECOP lo relativo a su actividad contractual, fueron complementadas con la expedición de la Ley 2195 de 2022, </w:t>
      </w:r>
      <w:r w:rsidRPr="005A195F">
        <w:rPr>
          <w:rFonts w:ascii="Arial" w:hAnsi="Arial" w:eastAsia="Calibri" w:cs="Arial"/>
          <w:sz w:val="20"/>
          <w:szCs w:val="20"/>
        </w:rPr>
        <w:t>«P</w:t>
      </w:r>
      <w:r w:rsidRPr="005A195F">
        <w:rPr>
          <w:rFonts w:ascii="Arial" w:hAnsi="Arial" w:cs="Arial"/>
          <w:sz w:val="20"/>
          <w:szCs w:val="20"/>
        </w:rPr>
        <w:t>or medio de la cual se adoptan medidas en materia de transparencia, prevención y lucha contra la corrupción y se dictan otras disposiciones</w:t>
      </w:r>
      <w:r w:rsidRPr="005A195F">
        <w:rPr>
          <w:rFonts w:ascii="Arial" w:hAnsi="Arial" w:eastAsia="Calibri" w:cs="Arial"/>
          <w:sz w:val="20"/>
          <w:szCs w:val="20"/>
        </w:rPr>
        <w:t>»</w:t>
      </w:r>
      <w:r w:rsidRPr="005A195F">
        <w:rPr>
          <w:rFonts w:ascii="Arial" w:hAnsi="Arial" w:cs="Arial"/>
          <w:sz w:val="20"/>
          <w:szCs w:val="20"/>
        </w:rPr>
        <w:t xml:space="preserve">. </w:t>
      </w:r>
      <w:r w:rsidRPr="005A195F">
        <w:rPr>
          <w:rFonts w:ascii="Arial" w:hAnsi="Arial" w:eastAsia="Calibri" w:cs="Arial"/>
          <w:sz w:val="20"/>
          <w:szCs w:val="20"/>
          <w:lang w:val="es-ES_tradnl" w:eastAsia="es-ES_tradnl"/>
        </w:rPr>
        <w:t>Según el artículo 1, esta Ley «</w:t>
      </w:r>
      <w:r w:rsidRPr="005A195F">
        <w:rPr>
          <w:rFonts w:ascii="Arial" w:hAnsi="Arial" w:eastAsia="Times New Roman" w:cs="Arial"/>
          <w:sz w:val="20"/>
          <w:szCs w:val="20"/>
          <w:lang w:val="es-ES_tradnl" w:eastAsia="es-ES_tradnl"/>
        </w:rPr>
        <w:t xml:space="preserve">[…] </w:t>
      </w:r>
      <w:r w:rsidRPr="005A195F">
        <w:rPr>
          <w:rFonts w:ascii="Arial" w:hAnsi="Arial" w:eastAsia="Calibri" w:cs="Arial"/>
          <w:sz w:val="20"/>
          <w:szCs w:val="20"/>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mencionada Ley, que lleva por título «Disposiciones en materia </w:t>
      </w:r>
      <w:r w:rsidRPr="005A195F">
        <w:rPr>
          <w:rFonts w:ascii="Arial" w:hAnsi="Arial" w:eastAsia="Calibri" w:cs="Arial"/>
          <w:sz w:val="20"/>
          <w:szCs w:val="20"/>
          <w:lang w:val="es-ES_tradnl" w:eastAsia="es-ES_tradnl"/>
        </w:rPr>
        <w:lastRenderedPageBreak/>
        <w:t xml:space="preserve">contractual para la moralización y la transparencia», se ubica </w:t>
      </w:r>
      <w:r w:rsidRPr="005A195F">
        <w:rPr>
          <w:rFonts w:ascii="Arial" w:hAnsi="Arial" w:cs="Arial"/>
          <w:sz w:val="20"/>
          <w:szCs w:val="20"/>
        </w:rPr>
        <w:t>el artículo 53, mediante 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rsidRPr="005A195F" w:rsidR="00C331F2" w:rsidP="00C331F2" w:rsidRDefault="00C331F2" w14:paraId="1B3BA573" w14:textId="77777777">
      <w:pPr>
        <w:spacing w:after="0" w:line="240" w:lineRule="auto"/>
        <w:contextualSpacing/>
        <w:jc w:val="both"/>
        <w:rPr>
          <w:rFonts w:ascii="Arial" w:hAnsi="Arial" w:eastAsia="Calibri" w:cs="Arial"/>
          <w:sz w:val="20"/>
          <w:szCs w:val="20"/>
          <w:lang w:val="es-ES_tradnl"/>
        </w:rPr>
      </w:pPr>
    </w:p>
    <w:p w:rsidRPr="00F02D69" w:rsidR="00C331F2" w:rsidP="00C331F2" w:rsidRDefault="00C331F2" w14:paraId="5A46F6F4" w14:textId="77777777">
      <w:pPr>
        <w:spacing w:after="0" w:line="240" w:lineRule="auto"/>
        <w:contextualSpacing/>
        <w:jc w:val="both"/>
        <w:rPr>
          <w:rFonts w:ascii="Arial" w:hAnsi="Arial" w:cs="Arial"/>
          <w:b/>
          <w:bCs/>
          <w:iCs/>
          <w:lang w:val="es-ES_tradnl"/>
        </w:rPr>
      </w:pPr>
      <w:r w:rsidRPr="00F02D69">
        <w:rPr>
          <w:rFonts w:ascii="Arial" w:hAnsi="Arial" w:cs="Arial"/>
          <w:b/>
          <w:bCs/>
          <w:iCs/>
          <w:lang w:val="es-ES_tradnl"/>
        </w:rPr>
        <w:t xml:space="preserve">DEBER DE PUBLICIDAD </w:t>
      </w:r>
      <w:r w:rsidRPr="00F02D69">
        <w:rPr>
          <w:rFonts w:ascii="Arial" w:hAnsi="Arial" w:eastAsia="Calibri" w:cs="Arial"/>
          <w:b/>
          <w:lang w:val="es-ES_tradnl"/>
        </w:rPr>
        <w:t>–</w:t>
      </w:r>
      <w:r w:rsidRPr="00F02D69">
        <w:rPr>
          <w:rFonts w:ascii="Arial" w:hAnsi="Arial" w:cs="Arial"/>
          <w:b/>
          <w:bCs/>
          <w:iCs/>
          <w:lang w:val="es-ES_tradnl"/>
        </w:rPr>
        <w:t xml:space="preserve"> SECOP II </w:t>
      </w:r>
      <w:r w:rsidRPr="00F02D69">
        <w:rPr>
          <w:rFonts w:ascii="Arial" w:hAnsi="Arial" w:eastAsia="Calibri" w:cs="Arial"/>
          <w:b/>
          <w:lang w:val="es-ES_tradnl"/>
        </w:rPr>
        <w:t>–</w:t>
      </w:r>
      <w:r w:rsidRPr="00F02D69">
        <w:rPr>
          <w:rFonts w:ascii="Arial" w:hAnsi="Arial" w:cs="Arial"/>
          <w:b/>
          <w:bCs/>
          <w:iCs/>
          <w:lang w:val="es-ES_tradnl"/>
        </w:rPr>
        <w:t xml:space="preserve"> Entidades estatales exceptuadas del estatuto general de contratación de la administración pública – Modificación artículo 53 de la Ley 2195 de 2022 – Alcance</w:t>
      </w:r>
    </w:p>
    <w:p w:rsidRPr="005A195F" w:rsidR="00C331F2" w:rsidP="00C331F2" w:rsidRDefault="00C331F2" w14:paraId="6F7CE819" w14:textId="77777777">
      <w:pPr>
        <w:spacing w:after="0" w:line="240" w:lineRule="auto"/>
        <w:contextualSpacing/>
        <w:jc w:val="both"/>
        <w:rPr>
          <w:rFonts w:ascii="Arial" w:hAnsi="Arial" w:cs="Arial"/>
          <w:b/>
          <w:bCs/>
          <w:iCs/>
          <w:sz w:val="20"/>
          <w:szCs w:val="20"/>
          <w:lang w:val="es-ES_tradnl"/>
        </w:rPr>
      </w:pPr>
    </w:p>
    <w:p w:rsidR="00C331F2" w:rsidP="00C331F2" w:rsidRDefault="00C331F2" w14:paraId="25E0F1C8" w14:textId="77777777">
      <w:pPr>
        <w:spacing w:after="0" w:line="240" w:lineRule="auto"/>
        <w:contextualSpacing/>
        <w:jc w:val="both"/>
        <w:rPr>
          <w:rStyle w:val="normaltextrun"/>
          <w:rFonts w:ascii="Arial" w:hAnsi="Arial" w:cs="Arial"/>
          <w:sz w:val="20"/>
          <w:szCs w:val="20"/>
          <w:shd w:val="clear" w:color="auto" w:fill="FFFFFF"/>
        </w:rPr>
      </w:pPr>
      <w:r w:rsidRPr="005A195F">
        <w:rPr>
          <w:rFonts w:ascii="Arial" w:hAnsi="Arial" w:eastAsia="Calibri" w:cs="Arial"/>
          <w:sz w:val="20"/>
          <w:szCs w:val="20"/>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5A195F">
        <w:rPr>
          <w:rStyle w:val="normaltextrun"/>
          <w:rFonts w:ascii="Arial" w:hAnsi="Arial" w:cs="Arial"/>
          <w:sz w:val="20"/>
          <w:szCs w:val="20"/>
          <w:shd w:val="clear" w:color="auto" w:fill="FFFFFF"/>
          <w:lang w:val="es-ES"/>
        </w:rPr>
        <w:t xml:space="preserve">Ley 2195 de 2022, debe interpretarse de forma sistemática con </w:t>
      </w:r>
      <w:r w:rsidRPr="005A195F">
        <w:rPr>
          <w:rStyle w:val="normaltextrun"/>
          <w:rFonts w:ascii="Arial" w:hAnsi="Arial" w:cs="Arial"/>
          <w:sz w:val="20"/>
          <w:szCs w:val="20"/>
          <w:shd w:val="clear" w:color="auto" w:fill="FFFFFF"/>
        </w:rPr>
        <w:t xml:space="preserve">los preceptos que existen sobre la materia, como, entre otros, los siguientes enunciados normativos: 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 </w:t>
      </w:r>
    </w:p>
    <w:p w:rsidRPr="005A195F" w:rsidR="00C331F2" w:rsidP="00C331F2" w:rsidRDefault="00C331F2" w14:paraId="41A8524F" w14:textId="77777777">
      <w:pPr>
        <w:spacing w:after="0" w:line="240" w:lineRule="auto"/>
        <w:contextualSpacing/>
        <w:jc w:val="both"/>
        <w:rPr>
          <w:rStyle w:val="normaltextrun"/>
          <w:rFonts w:ascii="Arial" w:hAnsi="Arial" w:cs="Arial"/>
          <w:sz w:val="20"/>
          <w:szCs w:val="20"/>
          <w:shd w:val="clear" w:color="auto" w:fill="FFFFFF"/>
        </w:rPr>
      </w:pPr>
    </w:p>
    <w:p w:rsidRPr="005A195F" w:rsidR="00C331F2" w:rsidP="00C331F2" w:rsidRDefault="00C331F2" w14:paraId="716A7391" w14:textId="77777777">
      <w:pPr>
        <w:spacing w:after="0" w:line="240" w:lineRule="auto"/>
        <w:contextualSpacing/>
        <w:jc w:val="both"/>
        <w:rPr>
          <w:rFonts w:ascii="Arial" w:hAnsi="Arial" w:cs="Arial"/>
          <w:sz w:val="20"/>
          <w:szCs w:val="20"/>
          <w:shd w:val="clear" w:color="auto" w:fill="FFFFFF"/>
          <w:lang w:val="es-ES"/>
        </w:rPr>
      </w:pPr>
      <w:r w:rsidRPr="005A195F">
        <w:rPr>
          <w:rStyle w:val="normaltextrun"/>
          <w:rFonts w:ascii="Arial" w:hAnsi="Arial" w:cs="Arial"/>
          <w:sz w:val="20"/>
          <w:szCs w:val="20"/>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5A195F">
        <w:rPr>
          <w:rStyle w:val="eop"/>
          <w:rFonts w:ascii="Arial" w:hAnsi="Arial" w:cs="Arial"/>
          <w:sz w:val="20"/>
          <w:szCs w:val="20"/>
          <w:shd w:val="clear" w:color="auto" w:fill="FFFFFF"/>
        </w:rPr>
        <w:t xml:space="preserve"> En este sentido, debe </w:t>
      </w:r>
      <w:r w:rsidRPr="005A195F">
        <w:rPr>
          <w:rFonts w:ascii="Arial" w:hAnsi="Arial" w:eastAsia="Calibri" w:cs="Arial"/>
          <w:sz w:val="20"/>
          <w:szCs w:val="20"/>
          <w:lang w:val="es-ES_tradnl" w:eastAsia="es-ES_tradnl"/>
        </w:rPr>
        <w:t xml:space="preserve">señalarse que </w:t>
      </w:r>
      <w:r w:rsidRPr="005A195F">
        <w:rPr>
          <w:rFonts w:ascii="Arial" w:hAnsi="Arial" w:cs="Arial"/>
          <w:i/>
          <w:iCs/>
          <w:sz w:val="20"/>
          <w:szCs w:val="20"/>
          <w:lang w:val="es-ES_tradnl" w:eastAsia="es-CO"/>
        </w:rPr>
        <w:t>contratación con cargo a recursos públicos</w:t>
      </w:r>
      <w:r w:rsidRPr="005A195F">
        <w:rPr>
          <w:rFonts w:ascii="Arial" w:hAnsi="Arial" w:cs="Arial"/>
          <w:sz w:val="20"/>
          <w:szCs w:val="20"/>
          <w:lang w:val="es-ES_tradnl" w:eastAsia="es-CO"/>
        </w:rPr>
        <w:t xml:space="preserve"> es un concepto al que alude expresamente la Ley 1150 de 2007, incluso desde el mismo título, pues este indica que dicha Ley es </w:t>
      </w:r>
      <w:r w:rsidRPr="005A195F">
        <w:rPr>
          <w:rFonts w:ascii="Arial" w:hAnsi="Arial" w:eastAsia="Calibri" w:cs="Arial"/>
          <w:sz w:val="20"/>
          <w:szCs w:val="20"/>
          <w:lang w:val="es-ES_tradnl"/>
        </w:rPr>
        <w:t>«</w:t>
      </w:r>
      <w:r w:rsidRPr="005A195F">
        <w:rPr>
          <w:rFonts w:ascii="Arial" w:hAnsi="Arial" w:cs="Arial"/>
          <w:sz w:val="20"/>
          <w:szCs w:val="20"/>
        </w:rPr>
        <w:t>Por medio de la cual se introducen medidas para la eficiencia y la transparencia en la Ley </w:t>
      </w:r>
      <w:hyperlink w:history="1" w:anchor="1" r:id="rId8">
        <w:r w:rsidRPr="005A195F">
          <w:rPr>
            <w:rStyle w:val="Hipervnculo"/>
            <w:rFonts w:ascii="Arial" w:hAnsi="Arial" w:cs="Arial"/>
            <w:color w:val="auto"/>
            <w:sz w:val="20"/>
            <w:szCs w:val="20"/>
          </w:rPr>
          <w:t>80</w:t>
        </w:r>
      </w:hyperlink>
      <w:r w:rsidRPr="005A195F">
        <w:rPr>
          <w:rFonts w:ascii="Arial" w:hAnsi="Arial" w:cs="Arial"/>
          <w:sz w:val="20"/>
          <w:szCs w:val="20"/>
        </w:rPr>
        <w:t xml:space="preserve"> de 1993 y se dictan otras disposiciones generales sobre la contratación con </w:t>
      </w:r>
      <w:r w:rsidRPr="005A195F">
        <w:rPr>
          <w:rFonts w:ascii="Arial" w:hAnsi="Arial" w:cs="Arial"/>
          <w:i/>
          <w:iCs/>
          <w:sz w:val="20"/>
          <w:szCs w:val="20"/>
        </w:rPr>
        <w:t>Recursos Públicos</w:t>
      </w:r>
      <w:r w:rsidRPr="005A195F">
        <w:rPr>
          <w:rFonts w:ascii="Arial" w:hAnsi="Arial" w:eastAsia="Calibri" w:cs="Arial"/>
          <w:sz w:val="20"/>
          <w:szCs w:val="20"/>
          <w:lang w:val="es-ES_tradnl"/>
        </w:rPr>
        <w:t>»</w:t>
      </w:r>
      <w:r w:rsidRPr="005A195F">
        <w:rPr>
          <w:rFonts w:ascii="Arial" w:hAnsi="Arial" w:cs="Arial"/>
          <w:sz w:val="20"/>
          <w:szCs w:val="20"/>
        </w:rPr>
        <w:t>.</w:t>
      </w:r>
      <w:r w:rsidRPr="005A195F">
        <w:rPr>
          <w:rFonts w:ascii="Arial" w:hAnsi="Arial" w:cs="Arial"/>
          <w:sz w:val="20"/>
          <w:szCs w:val="20"/>
          <w:lang w:val="es-ES_tradnl" w:eastAsia="es-CO"/>
        </w:rPr>
        <w:t xml:space="preserve"> Asimismo, la terminología </w:t>
      </w:r>
      <w:r w:rsidRPr="005A195F">
        <w:rPr>
          <w:rFonts w:ascii="Arial" w:hAnsi="Arial" w:cs="Arial"/>
          <w:i/>
          <w:iCs/>
          <w:sz w:val="20"/>
          <w:szCs w:val="20"/>
          <w:lang w:val="es-ES_tradnl" w:eastAsia="es-CO"/>
        </w:rPr>
        <w:t xml:space="preserve">contratación con cargo recursos públicos </w:t>
      </w:r>
      <w:r w:rsidRPr="005A195F">
        <w:rPr>
          <w:rFonts w:ascii="Arial" w:hAnsi="Arial" w:cs="Arial"/>
          <w:sz w:val="20"/>
          <w:szCs w:val="20"/>
          <w:lang w:val="es-ES_tradnl" w:eastAsia="es-CO"/>
        </w:rPr>
        <w:t xml:space="preserve">se encuentra en el artículo primero, al definir el ámbito de aplicación de sus disposiciones y en el literal c) del artículo 3 –del que surge el deber de publicar en el SECOP–, que expresamente </w:t>
      </w:r>
      <w:r w:rsidRPr="005A195F">
        <w:rPr>
          <w:rStyle w:val="normaltextrun"/>
          <w:rFonts w:ascii="Arial" w:hAnsi="Arial" w:cs="Arial"/>
          <w:sz w:val="20"/>
          <w:szCs w:val="20"/>
          <w:shd w:val="clear" w:color="auto" w:fill="FFFFFF"/>
          <w:lang w:val="es-ES"/>
        </w:rPr>
        <w:t>establece que ese aparte del artículo se aplica a la «</w:t>
      </w:r>
      <w:r w:rsidRPr="005A195F">
        <w:rPr>
          <w:rStyle w:val="normaltextrun"/>
          <w:rFonts w:ascii="Arial" w:hAnsi="Arial" w:cs="Arial"/>
          <w:i/>
          <w:iCs/>
          <w:sz w:val="20"/>
          <w:szCs w:val="20"/>
          <w:shd w:val="clear" w:color="auto" w:fill="FFFFFF"/>
          <w:lang w:val="es-ES"/>
        </w:rPr>
        <w:t>contratación realizada con dineros públicos</w:t>
      </w:r>
      <w:r w:rsidRPr="005A195F">
        <w:rPr>
          <w:rStyle w:val="normaltextrun"/>
          <w:rFonts w:ascii="Arial" w:hAnsi="Arial" w:cs="Arial"/>
          <w:sz w:val="20"/>
          <w:szCs w:val="20"/>
          <w:shd w:val="clear" w:color="auto" w:fill="FFFFFF"/>
          <w:lang w:val="es-ES"/>
        </w:rPr>
        <w:t xml:space="preserve">». </w:t>
      </w:r>
      <w:r w:rsidRPr="005A195F">
        <w:rPr>
          <w:rStyle w:val="normaltextrun"/>
          <w:rFonts w:ascii="Arial" w:hAnsi="Arial" w:cs="Arial"/>
          <w:sz w:val="20"/>
          <w:szCs w:val="20"/>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p w:rsidRPr="005A195F" w:rsidR="00C331F2" w:rsidP="00C331F2" w:rsidRDefault="00C331F2" w14:paraId="1BE07DD6" w14:textId="77777777">
      <w:pPr>
        <w:spacing w:after="0" w:line="240" w:lineRule="auto"/>
        <w:contextualSpacing/>
        <w:jc w:val="both"/>
        <w:rPr>
          <w:rFonts w:ascii="Arial" w:hAnsi="Arial" w:cs="Arial"/>
          <w:sz w:val="20"/>
          <w:szCs w:val="20"/>
        </w:rPr>
      </w:pPr>
    </w:p>
    <w:p w:rsidRPr="00F02D69" w:rsidR="00C331F2" w:rsidP="00C331F2" w:rsidRDefault="00C331F2" w14:paraId="0E482D79" w14:textId="00C943AB">
      <w:pPr>
        <w:spacing w:after="0" w:line="240" w:lineRule="auto"/>
        <w:contextualSpacing/>
        <w:jc w:val="both"/>
        <w:rPr>
          <w:rFonts w:ascii="Arial" w:hAnsi="Arial" w:cs="Arial"/>
          <w:b/>
          <w:bCs/>
          <w:iCs/>
          <w:lang w:val="es-ES_tradnl"/>
        </w:rPr>
      </w:pPr>
      <w:r w:rsidRPr="00F02D69">
        <w:rPr>
          <w:rFonts w:ascii="Arial" w:hAnsi="Arial" w:cs="Arial"/>
          <w:b/>
          <w:bCs/>
          <w:iCs/>
          <w:lang w:val="es-ES_tradnl"/>
        </w:rPr>
        <w:t xml:space="preserve">DEBER DE PUBLICIDAD </w:t>
      </w:r>
      <w:r w:rsidRPr="00F02D69">
        <w:rPr>
          <w:rFonts w:ascii="Arial" w:hAnsi="Arial" w:eastAsia="Calibri" w:cs="Arial"/>
          <w:b/>
          <w:lang w:val="es-ES_tradnl"/>
        </w:rPr>
        <w:t>–</w:t>
      </w:r>
      <w:r w:rsidRPr="00F02D69">
        <w:rPr>
          <w:rFonts w:ascii="Arial" w:hAnsi="Arial" w:cs="Arial"/>
          <w:b/>
          <w:bCs/>
          <w:iCs/>
          <w:lang w:val="es-ES_tradnl"/>
        </w:rPr>
        <w:t xml:space="preserve"> SECOP II </w:t>
      </w:r>
      <w:r w:rsidRPr="00F02D69">
        <w:rPr>
          <w:rFonts w:ascii="Arial" w:hAnsi="Arial" w:eastAsia="Calibri" w:cs="Arial"/>
          <w:b/>
          <w:lang w:val="es-ES_tradnl"/>
        </w:rPr>
        <w:t>–</w:t>
      </w:r>
      <w:r w:rsidRPr="00F02D69">
        <w:rPr>
          <w:rFonts w:ascii="Arial" w:hAnsi="Arial" w:cs="Arial"/>
          <w:b/>
          <w:bCs/>
          <w:iCs/>
          <w:lang w:val="es-ES_tradnl"/>
        </w:rPr>
        <w:t xml:space="preserve"> Entidades </w:t>
      </w:r>
      <w:r w:rsidRPr="00F02D69" w:rsidR="001B230A">
        <w:rPr>
          <w:rFonts w:ascii="Arial" w:hAnsi="Arial" w:cs="Arial"/>
          <w:b/>
          <w:bCs/>
          <w:iCs/>
          <w:lang w:val="es-ES_tradnl"/>
        </w:rPr>
        <w:t xml:space="preserve">estatales </w:t>
      </w:r>
      <w:r w:rsidRPr="00F02D69">
        <w:rPr>
          <w:rFonts w:ascii="Arial" w:hAnsi="Arial" w:cs="Arial"/>
          <w:b/>
          <w:bCs/>
          <w:iCs/>
          <w:lang w:val="es-ES_tradnl"/>
        </w:rPr>
        <w:t xml:space="preserve">exceptuadas del estatuto general de contratación de la administración pública – Modificación artículo 53 de la Ley 2195 de 2022 – Procedencia de los recursos </w:t>
      </w:r>
    </w:p>
    <w:p w:rsidRPr="005A195F" w:rsidR="00C331F2" w:rsidP="00C331F2" w:rsidRDefault="00C331F2" w14:paraId="02052D50" w14:textId="77777777">
      <w:pPr>
        <w:spacing w:after="0" w:line="240" w:lineRule="auto"/>
        <w:contextualSpacing/>
        <w:jc w:val="both"/>
        <w:rPr>
          <w:rFonts w:ascii="Arial" w:hAnsi="Arial" w:cs="Arial"/>
          <w:sz w:val="20"/>
          <w:szCs w:val="20"/>
        </w:rPr>
      </w:pPr>
    </w:p>
    <w:p w:rsidRPr="005A195F" w:rsidR="00C331F2" w:rsidP="00C331F2" w:rsidRDefault="00C331F2" w14:paraId="1BA80BF0" w14:textId="77777777">
      <w:pPr>
        <w:spacing w:after="0" w:line="240" w:lineRule="auto"/>
        <w:contextualSpacing/>
        <w:jc w:val="both"/>
        <w:rPr>
          <w:rFonts w:ascii="Arial" w:hAnsi="Arial" w:eastAsia="Calibri" w:cs="Arial"/>
          <w:sz w:val="20"/>
          <w:szCs w:val="20"/>
          <w:lang w:val="es-ES_tradnl" w:eastAsia="es-ES_tradnl"/>
        </w:rPr>
      </w:pPr>
      <w:r w:rsidRPr="005A195F">
        <w:rPr>
          <w:rFonts w:ascii="Arial" w:hAnsi="Arial" w:eastAsia="Calibri" w:cs="Arial"/>
          <w:sz w:val="20"/>
          <w:szCs w:val="20"/>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p w:rsidRPr="00C24652" w:rsidR="00A8210F" w:rsidP="00A8210F" w:rsidRDefault="00A8210F" w14:paraId="6751605E" w14:textId="77777777">
      <w:pPr>
        <w:spacing w:after="0" w:line="276" w:lineRule="auto"/>
        <w:jc w:val="both"/>
        <w:rPr>
          <w:rFonts w:ascii="Arial" w:hAnsi="Arial" w:eastAsia="Calibri" w:cs="Arial"/>
          <w:b/>
          <w:szCs w:val="24"/>
          <w:lang w:val="es-ES_tradnl" w:eastAsia="es-ES_tradnl"/>
        </w:rPr>
      </w:pPr>
    </w:p>
    <w:p w:rsidRPr="00C24652" w:rsidR="00A8210F" w:rsidP="00A8210F" w:rsidRDefault="00A8210F" w14:paraId="37EAD755" w14:textId="77777777">
      <w:pPr>
        <w:spacing w:after="0" w:line="276" w:lineRule="auto"/>
        <w:jc w:val="both"/>
        <w:rPr>
          <w:rFonts w:ascii="Arial" w:hAnsi="Arial" w:eastAsia="Calibri" w:cs="Arial"/>
          <w:b/>
          <w:szCs w:val="24"/>
          <w:lang w:val="es-ES_tradnl" w:eastAsia="es-ES_tradnl"/>
        </w:rPr>
      </w:pPr>
    </w:p>
    <w:p w:rsidRPr="00C24652" w:rsidR="00A8210F" w:rsidP="00A8210F" w:rsidRDefault="00A8210F" w14:paraId="4753A1E8" w14:textId="77777777">
      <w:pPr>
        <w:spacing w:after="0" w:line="276" w:lineRule="auto"/>
        <w:jc w:val="both"/>
        <w:rPr>
          <w:rFonts w:ascii="Arial" w:hAnsi="Arial" w:eastAsia="Calibri" w:cs="Arial"/>
          <w:b/>
          <w:szCs w:val="24"/>
          <w:lang w:val="es-ES_tradnl" w:eastAsia="es-ES_tradnl"/>
        </w:rPr>
      </w:pPr>
    </w:p>
    <w:p w:rsidRPr="00C24652" w:rsidR="00A8210F" w:rsidP="00A8210F" w:rsidRDefault="00A8210F" w14:paraId="6E772CCD" w14:textId="77777777">
      <w:pPr>
        <w:spacing w:after="0" w:line="276" w:lineRule="auto"/>
        <w:jc w:val="both"/>
        <w:rPr>
          <w:rFonts w:ascii="Arial" w:hAnsi="Arial" w:eastAsia="Calibri" w:cs="Arial"/>
          <w:b/>
          <w:szCs w:val="24"/>
          <w:lang w:val="es-ES_tradnl" w:eastAsia="es-ES_tradnl"/>
        </w:rPr>
      </w:pPr>
    </w:p>
    <w:p w:rsidRPr="00C24652" w:rsidR="00A8210F" w:rsidP="00A8210F" w:rsidRDefault="00A8210F" w14:paraId="6CFEA769" w14:textId="77777777">
      <w:pPr>
        <w:rPr>
          <w:rFonts w:ascii="Arial" w:hAnsi="Arial" w:eastAsia="Times New Roman" w:cs="Arial"/>
          <w:bCs/>
          <w:sz w:val="16"/>
          <w:szCs w:val="16"/>
          <w:lang w:val="es-ES_tradnl" w:eastAsia="es-ES"/>
        </w:rPr>
      </w:pPr>
      <w:bookmarkStart w:name="_Hlk28946138" w:id="0"/>
      <w:bookmarkStart w:name="_Hlk29548183" w:id="1"/>
      <w:r w:rsidRPr="00C24652">
        <w:rPr>
          <w:rFonts w:ascii="Arial" w:hAnsi="Arial" w:eastAsia="Times New Roman" w:cs="Arial"/>
          <w:bCs/>
          <w:sz w:val="16"/>
          <w:szCs w:val="16"/>
          <w:lang w:val="es-ES_tradnl" w:eastAsia="es-ES"/>
        </w:rPr>
        <w:br w:type="page"/>
      </w:r>
    </w:p>
    <w:p w:rsidR="00C331F2" w:rsidP="00497602" w:rsidRDefault="00E677AB" w14:paraId="53851C53" w14:textId="7CE6755F">
      <w:pPr>
        <w:spacing w:after="0" w:line="240" w:lineRule="auto"/>
        <w:contextualSpacing/>
        <w:jc w:val="right"/>
        <w:rPr>
          <w:rFonts w:ascii="Arial" w:hAnsi="Arial" w:eastAsia="Times New Roman" w:cs="Arial"/>
          <w:bCs/>
          <w:sz w:val="16"/>
          <w:szCs w:val="16"/>
          <w:lang w:val="es-ES_tradnl" w:eastAsia="es-ES"/>
        </w:rPr>
      </w:pPr>
      <w:r w:rsidRPr="00E15CCE">
        <w:rPr>
          <w:noProof/>
          <w:lang w:val="es-ES"/>
        </w:rPr>
        <w:drawing>
          <wp:inline distT="0" distB="0" distL="0" distR="0" wp14:anchorId="3031AA9C" wp14:editId="7C6AE821">
            <wp:extent cx="2966838" cy="623712"/>
            <wp:effectExtent l="0" t="0" r="5080" b="508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9"/>
                    <a:stretch>
                      <a:fillRect/>
                    </a:stretch>
                  </pic:blipFill>
                  <pic:spPr>
                    <a:xfrm>
                      <a:off x="0" y="0"/>
                      <a:ext cx="3037639" cy="638596"/>
                    </a:xfrm>
                    <a:prstGeom prst="rect">
                      <a:avLst/>
                    </a:prstGeom>
                  </pic:spPr>
                </pic:pic>
              </a:graphicData>
            </a:graphic>
          </wp:inline>
        </w:drawing>
      </w:r>
    </w:p>
    <w:p w:rsidR="00C331F2" w:rsidP="00497602" w:rsidRDefault="00740670" w14:paraId="72E2D1DF" w14:textId="2EC79839">
      <w:pPr>
        <w:spacing w:after="0" w:line="240" w:lineRule="auto"/>
        <w:contextualSpacing/>
        <w:jc w:val="right"/>
        <w:rPr>
          <w:rFonts w:ascii="Arial" w:hAnsi="Arial" w:eastAsia="Times New Roman" w:cs="Arial"/>
          <w:bCs/>
          <w:sz w:val="16"/>
          <w:szCs w:val="16"/>
          <w:lang w:val="es-ES_tradnl" w:eastAsia="es-ES"/>
        </w:rPr>
      </w:pPr>
      <w:r>
        <w:rPr>
          <w:noProof/>
        </w:rPr>
        <w:drawing>
          <wp:inline distT="0" distB="0" distL="0" distR="0" wp14:anchorId="3A279AF9" wp14:editId="5AA4A18A">
            <wp:extent cx="2905708" cy="793630"/>
            <wp:effectExtent l="0" t="0" r="0" b="698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0"/>
                    <a:stretch>
                      <a:fillRect/>
                    </a:stretch>
                  </pic:blipFill>
                  <pic:spPr>
                    <a:xfrm>
                      <a:off x="0" y="0"/>
                      <a:ext cx="2943865" cy="804052"/>
                    </a:xfrm>
                    <a:prstGeom prst="rect">
                      <a:avLst/>
                    </a:prstGeom>
                  </pic:spPr>
                </pic:pic>
              </a:graphicData>
            </a:graphic>
          </wp:inline>
        </w:drawing>
      </w:r>
    </w:p>
    <w:p w:rsidR="00C331F2" w:rsidP="00497602" w:rsidRDefault="00C331F2" w14:paraId="751D5466" w14:textId="77777777">
      <w:pPr>
        <w:spacing w:after="0" w:line="240" w:lineRule="auto"/>
        <w:contextualSpacing/>
        <w:jc w:val="right"/>
        <w:rPr>
          <w:rFonts w:ascii="Arial" w:hAnsi="Arial" w:eastAsia="Times New Roman" w:cs="Arial"/>
          <w:bCs/>
          <w:sz w:val="16"/>
          <w:szCs w:val="16"/>
          <w:lang w:val="es-ES_tradnl" w:eastAsia="es-ES"/>
        </w:rPr>
      </w:pPr>
    </w:p>
    <w:p w:rsidRPr="00C24652" w:rsidR="004912E0" w:rsidP="4A0A0E86" w:rsidRDefault="004912E0" w14:paraId="532FEFF8" w14:textId="361ECEBD">
      <w:pPr>
        <w:spacing w:after="0" w:line="240" w:lineRule="auto"/>
        <w:contextualSpacing/>
        <w:jc w:val="right"/>
        <w:rPr>
          <w:rFonts w:ascii="Arial" w:hAnsi="Arial" w:eastAsia="Calibri" w:cs="Arial"/>
          <w:b w:val="1"/>
          <w:bCs w:val="1"/>
          <w:lang w:val="es-ES" w:eastAsia="es-ES"/>
        </w:rPr>
      </w:pPr>
      <w:r w:rsidRPr="4A0A0E86" w:rsidR="00A8210F">
        <w:rPr>
          <w:rFonts w:ascii="Arial" w:hAnsi="Arial" w:eastAsia="Times New Roman" w:cs="Arial"/>
          <w:sz w:val="16"/>
          <w:szCs w:val="16"/>
          <w:lang w:val="es-ES" w:eastAsia="es-ES"/>
        </w:rPr>
        <w:t>CCE-DES-FM-17</w:t>
      </w:r>
      <w:bookmarkEnd w:id="0"/>
      <w:bookmarkEnd w:id="1"/>
    </w:p>
    <w:p w:rsidR="4A0A0E86" w:rsidP="4A0A0E86" w:rsidRDefault="4A0A0E86" w14:paraId="13B31A1C" w14:textId="3A2C9BE2">
      <w:pPr>
        <w:pStyle w:val="Normal"/>
        <w:spacing w:after="0" w:line="240" w:lineRule="auto"/>
        <w:contextualSpacing/>
        <w:jc w:val="left"/>
        <w:rPr>
          <w:rFonts w:ascii="Arial" w:hAnsi="Arial" w:eastAsia="Times New Roman" w:cs="Arial"/>
          <w:sz w:val="22"/>
          <w:szCs w:val="22"/>
          <w:lang w:val="es-ES" w:eastAsia="es-ES"/>
        </w:rPr>
      </w:pPr>
    </w:p>
    <w:p w:rsidR="4A0A0E86" w:rsidP="4A0A0E86" w:rsidRDefault="4A0A0E86" w14:paraId="4D2DD220" w14:textId="3A2D2D36">
      <w:pPr>
        <w:pStyle w:val="Normal"/>
        <w:spacing w:after="0" w:line="240" w:lineRule="auto"/>
        <w:contextualSpacing/>
        <w:jc w:val="left"/>
        <w:rPr>
          <w:rFonts w:ascii="Arial" w:hAnsi="Arial" w:eastAsia="Arial" w:cs="Arial"/>
          <w:sz w:val="22"/>
          <w:szCs w:val="22"/>
          <w:lang w:val="es-ES" w:eastAsia="es-ES"/>
        </w:rPr>
      </w:pPr>
      <w:r w:rsidRPr="4A0A0E86" w:rsidR="4A0A0E86">
        <w:rPr>
          <w:rFonts w:ascii="Arial" w:hAnsi="Arial" w:eastAsia="Arial" w:cs="Arial"/>
          <w:sz w:val="22"/>
          <w:szCs w:val="22"/>
          <w:lang w:val="es-ES" w:eastAsia="es-ES"/>
        </w:rPr>
        <w:t>Bogotá D.C., 08 de agosto de 2022</w:t>
      </w:r>
    </w:p>
    <w:p w:rsidR="00A8210F" w:rsidP="4A0A0E86" w:rsidRDefault="00A8210F" w14:paraId="1AC19B4F" w14:textId="1E209243">
      <w:pPr>
        <w:spacing w:after="0" w:line="240" w:lineRule="auto"/>
        <w:contextualSpacing/>
        <w:jc w:val="both"/>
        <w:rPr>
          <w:rFonts w:ascii="Arial" w:hAnsi="Arial" w:eastAsia="Calibri" w:cs="Arial"/>
          <w:sz w:val="22"/>
          <w:szCs w:val="22"/>
          <w:lang w:val="es-ES" w:eastAsia="es-ES"/>
        </w:rPr>
      </w:pPr>
    </w:p>
    <w:p w:rsidRPr="00C24652" w:rsidR="00A8210F" w:rsidP="002F37D0" w:rsidRDefault="00A8210F" w14:paraId="106FE8D7" w14:textId="78DA48D7">
      <w:pPr>
        <w:spacing w:after="0" w:line="240" w:lineRule="auto"/>
        <w:contextualSpacing/>
        <w:jc w:val="both"/>
        <w:rPr>
          <w:rFonts w:ascii="Arial" w:hAnsi="Arial" w:eastAsia="Calibri" w:cs="Arial"/>
          <w:lang w:val="es-ES_tradnl" w:eastAsia="es-ES_tradnl"/>
        </w:rPr>
      </w:pPr>
      <w:bookmarkStart w:name="_Hlk109055567" w:id="2"/>
      <w:r w:rsidRPr="00C24652">
        <w:rPr>
          <w:rFonts w:ascii="Arial" w:hAnsi="Arial" w:eastAsia="Calibri" w:cs="Arial"/>
          <w:lang w:val="es-ES_tradnl" w:eastAsia="es-ES_tradnl"/>
        </w:rPr>
        <w:t>Doctor</w:t>
      </w:r>
      <w:r w:rsidRPr="00C24652" w:rsidR="00C8156B">
        <w:rPr>
          <w:rFonts w:ascii="Arial" w:hAnsi="Arial" w:eastAsia="Calibri" w:cs="Arial"/>
          <w:lang w:val="es-ES_tradnl" w:eastAsia="es-ES_tradnl"/>
        </w:rPr>
        <w:t>a</w:t>
      </w:r>
    </w:p>
    <w:p w:rsidRPr="00C24652" w:rsidR="00A8210F" w:rsidP="002F37D0" w:rsidRDefault="00C8156B" w14:paraId="304429FE" w14:textId="46404C5E">
      <w:pPr>
        <w:spacing w:after="0" w:line="240" w:lineRule="auto"/>
        <w:contextualSpacing/>
        <w:jc w:val="both"/>
        <w:rPr>
          <w:rFonts w:ascii="Arial" w:hAnsi="Arial" w:eastAsia="Calibri" w:cs="Arial"/>
          <w:b/>
          <w:lang w:val="es-ES_tradnl" w:eastAsia="es-ES_tradnl"/>
        </w:rPr>
      </w:pPr>
      <w:r w:rsidRPr="00C24652">
        <w:rPr>
          <w:rFonts w:ascii="Arial" w:hAnsi="Arial" w:eastAsia="Calibri" w:cs="Arial"/>
          <w:b/>
          <w:lang w:val="es-ES_tradnl" w:eastAsia="es-ES_tradnl"/>
        </w:rPr>
        <w:t xml:space="preserve">Andrea Ramírez Wolf </w:t>
      </w:r>
    </w:p>
    <w:p w:rsidRPr="00C24652" w:rsidR="00A8210F" w:rsidP="002F37D0" w:rsidRDefault="00647FB1" w14:paraId="420BBD5B" w14:textId="20319E82">
      <w:pPr>
        <w:spacing w:after="0" w:line="240" w:lineRule="auto"/>
        <w:contextualSpacing/>
        <w:jc w:val="both"/>
        <w:rPr>
          <w:rFonts w:ascii="Arial" w:hAnsi="Arial" w:eastAsia="Calibri" w:cs="Arial"/>
          <w:bCs/>
          <w:lang w:val="es-ES_tradnl" w:eastAsia="es-ES_tradnl"/>
        </w:rPr>
      </w:pPr>
      <w:r w:rsidRPr="00C24652">
        <w:rPr>
          <w:rFonts w:ascii="Arial" w:hAnsi="Arial" w:eastAsia="Calibri" w:cs="Arial"/>
          <w:bCs/>
          <w:lang w:val="es-ES_tradnl" w:eastAsia="es-ES_tradnl"/>
        </w:rPr>
        <w:t xml:space="preserve">Secretaría General </w:t>
      </w:r>
    </w:p>
    <w:p w:rsidRPr="00C24652" w:rsidR="00A8210F" w:rsidP="002F37D0" w:rsidRDefault="00647FB1" w14:paraId="576C1BDB" w14:textId="4DB817F0">
      <w:pPr>
        <w:spacing w:after="0" w:line="240" w:lineRule="auto"/>
        <w:contextualSpacing/>
        <w:jc w:val="both"/>
        <w:rPr>
          <w:rFonts w:ascii="Arial" w:hAnsi="Arial" w:eastAsia="Calibri" w:cs="Arial"/>
          <w:b/>
          <w:lang w:val="es-ES_tradnl" w:eastAsia="es-ES_tradnl"/>
        </w:rPr>
      </w:pPr>
      <w:r w:rsidRPr="00C24652">
        <w:rPr>
          <w:rFonts w:ascii="Arial" w:hAnsi="Arial" w:eastAsia="Calibri" w:cs="Arial"/>
          <w:b/>
          <w:lang w:val="es-ES_tradnl" w:eastAsia="es-ES_tradnl"/>
        </w:rPr>
        <w:t>FINAGRO</w:t>
      </w:r>
    </w:p>
    <w:p w:rsidRPr="00C24652" w:rsidR="00A8210F" w:rsidP="002F37D0" w:rsidRDefault="00A8210F" w14:paraId="69758B8E" w14:textId="77777777">
      <w:pPr>
        <w:spacing w:after="0" w:line="240" w:lineRule="auto"/>
        <w:contextualSpacing/>
        <w:jc w:val="both"/>
        <w:rPr>
          <w:rFonts w:ascii="Arial" w:hAnsi="Arial" w:eastAsia="Calibri" w:cs="Arial"/>
          <w:lang w:val="es-ES_tradnl" w:eastAsia="es-ES_tradnl"/>
        </w:rPr>
      </w:pPr>
      <w:r w:rsidRPr="00C24652">
        <w:rPr>
          <w:rFonts w:ascii="Arial" w:hAnsi="Arial" w:eastAsia="Calibri" w:cs="Arial"/>
          <w:lang w:val="es-ES_tradnl" w:eastAsia="es-ES_tradnl"/>
        </w:rPr>
        <w:t>Bogotá D.C.</w:t>
      </w:r>
    </w:p>
    <w:p w:rsidRPr="00C24652" w:rsidR="00A8210F" w:rsidP="00497602" w:rsidRDefault="00A8210F" w14:paraId="5D77AF1C" w14:textId="186C8279">
      <w:pPr>
        <w:spacing w:after="0" w:line="240" w:lineRule="auto"/>
        <w:contextualSpacing/>
        <w:rPr>
          <w:rFonts w:ascii="Arial" w:hAnsi="Arial" w:eastAsia="Calibri" w:cs="Arial"/>
          <w:lang w:val="es-ES_tradnl" w:eastAsia="es-ES_tradnl"/>
        </w:rPr>
      </w:pPr>
    </w:p>
    <w:p w:rsidRPr="00C24652" w:rsidR="00A8210F" w:rsidP="00497602" w:rsidRDefault="00A8210F" w14:paraId="5385ADEC" w14:textId="0EA28E10">
      <w:pPr>
        <w:spacing w:after="0" w:line="240" w:lineRule="auto"/>
        <w:contextualSpacing/>
        <w:rPr>
          <w:rFonts w:ascii="Arial" w:hAnsi="Arial" w:eastAsia="Calibri" w:cs="Arial"/>
          <w:b/>
          <w:bCs/>
          <w:lang w:val="es-ES_tradnl" w:eastAsia="es-ES_tradnl"/>
        </w:rPr>
      </w:pPr>
      <w:r w:rsidRPr="00C24652">
        <w:rPr>
          <w:rFonts w:ascii="Arial" w:hAnsi="Arial" w:eastAsia="Calibri" w:cs="Arial"/>
          <w:lang w:val="es-ES_tradnl" w:eastAsia="es-ES_tradnl"/>
        </w:rPr>
        <w:t xml:space="preserve">                                            </w:t>
      </w:r>
      <w:r w:rsidRPr="00C24652">
        <w:rPr>
          <w:rFonts w:ascii="Arial" w:hAnsi="Arial" w:eastAsia="Calibri" w:cs="Arial"/>
          <w:b/>
          <w:bCs/>
          <w:lang w:val="es-ES_tradnl" w:eastAsia="es-ES_tradnl"/>
        </w:rPr>
        <w:t xml:space="preserve">Concepto C ‒ </w:t>
      </w:r>
      <w:r w:rsidRPr="00C24652" w:rsidR="0077063C">
        <w:rPr>
          <w:rFonts w:ascii="Arial" w:hAnsi="Arial" w:eastAsia="Calibri" w:cs="Arial"/>
          <w:b/>
          <w:bCs/>
          <w:lang w:val="es-ES_tradnl" w:eastAsia="es-ES_tradnl"/>
        </w:rPr>
        <w:t>510</w:t>
      </w:r>
      <w:r w:rsidRPr="00C24652">
        <w:rPr>
          <w:rFonts w:ascii="Arial" w:hAnsi="Arial" w:eastAsia="Calibri" w:cs="Arial"/>
          <w:b/>
          <w:bCs/>
          <w:lang w:val="es-ES_tradnl" w:eastAsia="es-ES_tradnl"/>
        </w:rPr>
        <w:t xml:space="preserve"> de 2022</w:t>
      </w:r>
    </w:p>
    <w:p w:rsidRPr="00C24652" w:rsidR="00A8210F" w:rsidP="00497602" w:rsidRDefault="00A8210F" w14:paraId="4A6E0E07" w14:textId="77777777">
      <w:pPr>
        <w:spacing w:after="0" w:line="240" w:lineRule="auto"/>
        <w:contextualSpacing/>
        <w:jc w:val="both"/>
        <w:rPr>
          <w:rFonts w:ascii="Arial" w:hAnsi="Arial" w:eastAsia="Calibri" w:cs="Arial"/>
          <w:lang w:val="es-ES_tradnl" w:eastAsia="es-ES_tradnl"/>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24652" w:rsidR="005A3B68" w:rsidTr="002544EE" w14:paraId="6F614108" w14:textId="77777777">
        <w:tc>
          <w:tcPr>
            <w:tcW w:w="2689" w:type="dxa"/>
          </w:tcPr>
          <w:p w:rsidRPr="00C24652" w:rsidR="00A8210F" w:rsidP="00497602" w:rsidRDefault="00A8210F" w14:paraId="7B1CED78" w14:textId="77777777">
            <w:pPr>
              <w:contextualSpacing/>
              <w:jc w:val="both"/>
              <w:rPr>
                <w:rFonts w:ascii="Arial" w:hAnsi="Arial" w:eastAsia="Calibri" w:cs="Arial"/>
                <w:lang w:val="es-ES_tradnl" w:eastAsia="es-ES_tradnl"/>
              </w:rPr>
            </w:pPr>
            <w:r w:rsidRPr="00C24652">
              <w:rPr>
                <w:rFonts w:ascii="Arial" w:hAnsi="Arial" w:eastAsia="Calibri" w:cs="Arial"/>
                <w:b/>
                <w:lang w:val="es-ES_tradnl" w:eastAsia="es-ES_tradnl"/>
              </w:rPr>
              <w:t>Temas:</w:t>
            </w:r>
            <w:r w:rsidRPr="00C24652">
              <w:rPr>
                <w:rFonts w:ascii="Arial" w:hAnsi="Arial" w:eastAsia="Calibri" w:cs="Arial"/>
                <w:lang w:val="es-ES_tradnl" w:eastAsia="es-ES_tradnl"/>
              </w:rPr>
              <w:t xml:space="preserve">                                      </w:t>
            </w:r>
          </w:p>
        </w:tc>
        <w:tc>
          <w:tcPr>
            <w:tcW w:w="6237" w:type="dxa"/>
          </w:tcPr>
          <w:p w:rsidRPr="00F02D69" w:rsidR="00C331F2" w:rsidP="00C331F2" w:rsidRDefault="00C331F2" w14:paraId="1FD60555" w14:textId="77777777">
            <w:pPr>
              <w:contextualSpacing/>
              <w:jc w:val="both"/>
              <w:rPr>
                <w:rFonts w:ascii="Arial" w:hAnsi="Arial" w:cs="Arial"/>
                <w:iCs/>
                <w:lang w:val="es-ES_tradnl"/>
              </w:rPr>
            </w:pPr>
            <w:r w:rsidRPr="00F02D69">
              <w:rPr>
                <w:rFonts w:ascii="Arial" w:hAnsi="Arial" w:cs="Arial"/>
                <w:iCs/>
                <w:lang w:val="es-ES_tradnl"/>
              </w:rPr>
              <w:t xml:space="preserve">DEBER DE PUBLICIDAD </w:t>
            </w:r>
            <w:r w:rsidRPr="00F02D69">
              <w:rPr>
                <w:rFonts w:ascii="Arial" w:hAnsi="Arial" w:eastAsia="Calibri" w:cs="Arial"/>
                <w:lang w:val="es-ES_tradnl"/>
              </w:rPr>
              <w:t>–</w:t>
            </w:r>
            <w:r w:rsidRPr="00F02D69">
              <w:rPr>
                <w:rFonts w:ascii="Arial" w:hAnsi="Arial" w:cs="Arial"/>
                <w:iCs/>
                <w:lang w:val="es-ES_tradnl"/>
              </w:rPr>
              <w:t xml:space="preserve"> Entidades estatales exceptuadas del estatuto general de contratación de la administración pública – Ley 1150 de 2007 / DEBER DE PUBLICIDAD </w:t>
            </w:r>
            <w:r w:rsidRPr="00F02D69">
              <w:rPr>
                <w:rFonts w:ascii="Arial" w:hAnsi="Arial" w:eastAsia="Calibri" w:cs="Arial"/>
                <w:lang w:val="es-ES_tradnl"/>
              </w:rPr>
              <w:t>–</w:t>
            </w:r>
            <w:r w:rsidRPr="00F02D69">
              <w:rPr>
                <w:rFonts w:ascii="Arial" w:hAnsi="Arial" w:cs="Arial"/>
                <w:iCs/>
                <w:lang w:val="es-ES_tradnl"/>
              </w:rPr>
              <w:t xml:space="preserve"> Entidades estatales exceptuadas del estatuto general de contratación de la administración pública – Ley 1212 de 2014 / DEBER DE PUBLICIDAD </w:t>
            </w:r>
            <w:r w:rsidRPr="00F02D69">
              <w:rPr>
                <w:rFonts w:ascii="Arial" w:hAnsi="Arial" w:eastAsia="Calibri" w:cs="Arial"/>
                <w:lang w:val="es-ES_tradnl"/>
              </w:rPr>
              <w:t>–</w:t>
            </w:r>
            <w:r w:rsidRPr="00F02D69">
              <w:rPr>
                <w:rFonts w:ascii="Arial" w:hAnsi="Arial" w:cs="Arial"/>
                <w:iCs/>
                <w:lang w:val="es-ES_tradnl"/>
              </w:rPr>
              <w:t xml:space="preserve"> SECOP II </w:t>
            </w:r>
            <w:r w:rsidRPr="00F02D69">
              <w:rPr>
                <w:rFonts w:ascii="Arial" w:hAnsi="Arial" w:eastAsia="Calibri" w:cs="Arial"/>
                <w:lang w:val="es-ES_tradnl"/>
              </w:rPr>
              <w:t>–</w:t>
            </w:r>
            <w:r w:rsidRPr="00F02D69">
              <w:rPr>
                <w:rFonts w:ascii="Arial" w:hAnsi="Arial" w:cs="Arial"/>
                <w:iCs/>
                <w:lang w:val="es-ES_tradnl"/>
              </w:rPr>
              <w:t xml:space="preserve"> Entidades estatales exceptuadas del estatuto general de contratación de la administración pública – Modificación artículo 53 de la Ley 2195 de 2022 / DEBER DE PUBLICIDAD </w:t>
            </w:r>
            <w:r w:rsidRPr="00F02D69">
              <w:rPr>
                <w:rFonts w:ascii="Arial" w:hAnsi="Arial" w:eastAsia="Calibri" w:cs="Arial"/>
                <w:lang w:val="es-ES_tradnl"/>
              </w:rPr>
              <w:t>–</w:t>
            </w:r>
            <w:r w:rsidRPr="00F02D69">
              <w:rPr>
                <w:rFonts w:ascii="Arial" w:hAnsi="Arial" w:cs="Arial"/>
                <w:iCs/>
                <w:lang w:val="es-ES_tradnl"/>
              </w:rPr>
              <w:t xml:space="preserve"> SECOP II </w:t>
            </w:r>
            <w:r w:rsidRPr="00F02D69">
              <w:rPr>
                <w:rFonts w:ascii="Arial" w:hAnsi="Arial" w:eastAsia="Calibri" w:cs="Arial"/>
                <w:lang w:val="es-ES_tradnl"/>
              </w:rPr>
              <w:t>–</w:t>
            </w:r>
            <w:r w:rsidRPr="00F02D69">
              <w:rPr>
                <w:rFonts w:ascii="Arial" w:hAnsi="Arial" w:cs="Arial"/>
                <w:iCs/>
                <w:lang w:val="es-ES_tradnl"/>
              </w:rPr>
              <w:t xml:space="preserve"> Entidades estatales exceptuadas del estatuto general de contratación de la administración pública – Modificación artículo 53 de la Ley 2195 de 2022 – Alcance / DEBER DE PUBLICIDAD </w:t>
            </w:r>
            <w:r w:rsidRPr="00F02D69">
              <w:rPr>
                <w:rFonts w:ascii="Arial" w:hAnsi="Arial" w:eastAsia="Calibri" w:cs="Arial"/>
                <w:lang w:val="es-ES_tradnl"/>
              </w:rPr>
              <w:t>–</w:t>
            </w:r>
            <w:r w:rsidRPr="00F02D69">
              <w:rPr>
                <w:rFonts w:ascii="Arial" w:hAnsi="Arial" w:cs="Arial"/>
                <w:iCs/>
                <w:lang w:val="es-ES_tradnl"/>
              </w:rPr>
              <w:t xml:space="preserve"> SECOP II </w:t>
            </w:r>
            <w:r w:rsidRPr="00F02D69">
              <w:rPr>
                <w:rFonts w:ascii="Arial" w:hAnsi="Arial" w:eastAsia="Calibri" w:cs="Arial"/>
                <w:lang w:val="es-ES_tradnl"/>
              </w:rPr>
              <w:t>–</w:t>
            </w:r>
            <w:r w:rsidRPr="00F02D69">
              <w:rPr>
                <w:rFonts w:ascii="Arial" w:hAnsi="Arial" w:cs="Arial"/>
                <w:iCs/>
                <w:lang w:val="es-ES_tradnl"/>
              </w:rPr>
              <w:t xml:space="preserve"> Entidades Estatales exceptuadas del estatuto general de contratación de la administración pública – Modificación artículo 53 de la Ley 2195 de 2022 – Procedencia de los recursos </w:t>
            </w:r>
          </w:p>
          <w:p w:rsidRPr="00C24652" w:rsidR="00A8210F" w:rsidP="00497602" w:rsidRDefault="00A8210F" w14:paraId="644CBFA6" w14:textId="77777777">
            <w:pPr>
              <w:contextualSpacing/>
              <w:jc w:val="both"/>
              <w:rPr>
                <w:rFonts w:ascii="Arial" w:hAnsi="Arial" w:eastAsia="Times New Roman" w:cs="Arial"/>
                <w:bCs/>
                <w:lang w:val="es-ES_tradnl" w:eastAsia="es-ES_tradnl"/>
              </w:rPr>
            </w:pPr>
          </w:p>
        </w:tc>
      </w:tr>
      <w:tr w:rsidRPr="00C24652" w:rsidR="00A31B6F" w:rsidTr="002544EE" w14:paraId="4F23A652" w14:textId="77777777">
        <w:tc>
          <w:tcPr>
            <w:tcW w:w="2689" w:type="dxa"/>
          </w:tcPr>
          <w:p w:rsidRPr="00C24652" w:rsidR="00A8210F" w:rsidP="00497602" w:rsidRDefault="00A8210F" w14:paraId="0108C82C" w14:textId="77777777">
            <w:pPr>
              <w:contextualSpacing/>
              <w:jc w:val="both"/>
              <w:rPr>
                <w:rFonts w:ascii="Arial" w:hAnsi="Arial" w:eastAsia="Calibri" w:cs="Arial"/>
                <w:b/>
                <w:lang w:val="es-ES_tradnl" w:eastAsia="es-ES_tradnl"/>
              </w:rPr>
            </w:pPr>
            <w:r w:rsidRPr="00C24652">
              <w:rPr>
                <w:rFonts w:ascii="Arial" w:hAnsi="Arial" w:eastAsia="Calibri" w:cs="Arial"/>
                <w:b/>
                <w:lang w:val="es-ES_tradnl" w:eastAsia="es-ES_tradnl"/>
              </w:rPr>
              <w:t>Radicación:</w:t>
            </w:r>
            <w:r w:rsidRPr="00C24652">
              <w:rPr>
                <w:rFonts w:ascii="Arial" w:hAnsi="Arial" w:eastAsia="Calibri" w:cs="Arial"/>
                <w:lang w:val="es-ES_tradnl" w:eastAsia="es-ES_tradnl"/>
              </w:rPr>
              <w:t xml:space="preserve">                              </w:t>
            </w:r>
          </w:p>
        </w:tc>
        <w:tc>
          <w:tcPr>
            <w:tcW w:w="6237" w:type="dxa"/>
          </w:tcPr>
          <w:p w:rsidRPr="00C24652" w:rsidR="00A8210F" w:rsidP="00497602" w:rsidRDefault="00A8210F" w14:paraId="48F3E1A1" w14:textId="422957F4">
            <w:pPr>
              <w:contextualSpacing/>
              <w:jc w:val="both"/>
              <w:rPr>
                <w:rFonts w:ascii="Arial" w:hAnsi="Arial" w:eastAsia="Calibri" w:cs="Arial"/>
                <w:lang w:val="es-ES_tradnl" w:eastAsia="es-ES_tradnl"/>
              </w:rPr>
            </w:pPr>
            <w:r w:rsidRPr="00C24652">
              <w:rPr>
                <w:rFonts w:ascii="Arial" w:hAnsi="Arial" w:eastAsia="Calibri" w:cs="Arial"/>
                <w:lang w:val="es-ES_tradnl" w:eastAsia="es-ES_tradnl"/>
              </w:rPr>
              <w:t xml:space="preserve">Respuesta a consulta # </w:t>
            </w:r>
            <w:r w:rsidRPr="00C24652" w:rsidR="00350B0A">
              <w:rPr>
                <w:rFonts w:ascii="Arial" w:hAnsi="Arial" w:eastAsia="Calibri" w:cs="Arial"/>
                <w:lang w:val="es-ES_tradnl" w:eastAsia="es-ES_tradnl"/>
              </w:rPr>
              <w:t>P20220623006295</w:t>
            </w:r>
          </w:p>
        </w:tc>
      </w:tr>
    </w:tbl>
    <w:p w:rsidRPr="00C24652" w:rsidR="00A8210F" w:rsidP="00497602" w:rsidRDefault="00A8210F" w14:paraId="25B06C03" w14:textId="77777777">
      <w:pPr>
        <w:spacing w:after="0" w:line="240" w:lineRule="auto"/>
        <w:contextualSpacing/>
        <w:jc w:val="both"/>
        <w:rPr>
          <w:rFonts w:ascii="Arial" w:hAnsi="Arial" w:eastAsia="Calibri" w:cs="Arial"/>
          <w:lang w:val="es-ES_tradnl" w:eastAsia="es-ES_tradnl"/>
        </w:rPr>
      </w:pPr>
    </w:p>
    <w:p w:rsidRPr="00C24652" w:rsidR="00A8210F" w:rsidP="00497602" w:rsidRDefault="00A8210F" w14:paraId="7C2C68DB" w14:textId="77777777">
      <w:pPr>
        <w:spacing w:after="0" w:line="240" w:lineRule="auto"/>
        <w:contextualSpacing/>
        <w:jc w:val="both"/>
        <w:rPr>
          <w:rFonts w:ascii="Arial" w:hAnsi="Arial" w:eastAsia="Calibri" w:cs="Arial"/>
          <w:lang w:val="es-ES_tradnl" w:eastAsia="es-ES_tradnl"/>
        </w:rPr>
      </w:pPr>
    </w:p>
    <w:p w:rsidRPr="00C24652" w:rsidR="00A8210F" w:rsidP="00497602" w:rsidRDefault="00A8210F" w14:paraId="4EBF9B7C" w14:textId="26E74ED0">
      <w:pPr>
        <w:spacing w:after="0" w:line="240" w:lineRule="auto"/>
        <w:contextualSpacing/>
        <w:jc w:val="both"/>
        <w:rPr>
          <w:rFonts w:ascii="Arial" w:hAnsi="Arial" w:eastAsia="Calibri" w:cs="Arial"/>
          <w:lang w:val="es-ES_tradnl" w:eastAsia="es-ES_tradnl"/>
        </w:rPr>
      </w:pPr>
      <w:r w:rsidRPr="00C24652">
        <w:rPr>
          <w:rFonts w:ascii="Arial" w:hAnsi="Arial" w:eastAsia="Calibri" w:cs="Arial"/>
          <w:lang w:val="es-ES_tradnl" w:eastAsia="es-ES_tradnl"/>
        </w:rPr>
        <w:t>Estimad</w:t>
      </w:r>
      <w:r w:rsidRPr="00C24652" w:rsidR="00FD0416">
        <w:rPr>
          <w:rFonts w:ascii="Arial" w:hAnsi="Arial" w:eastAsia="Calibri" w:cs="Arial"/>
          <w:lang w:val="es-ES_tradnl" w:eastAsia="es-ES_tradnl"/>
        </w:rPr>
        <w:t>a</w:t>
      </w:r>
      <w:r w:rsidRPr="00C24652">
        <w:rPr>
          <w:rFonts w:ascii="Arial" w:hAnsi="Arial" w:eastAsia="Calibri" w:cs="Arial"/>
          <w:lang w:val="es-ES_tradnl" w:eastAsia="es-ES_tradnl"/>
        </w:rPr>
        <w:t xml:space="preserve"> docto</w:t>
      </w:r>
      <w:r w:rsidRPr="00C24652" w:rsidR="00135835">
        <w:rPr>
          <w:rFonts w:ascii="Arial" w:hAnsi="Arial" w:eastAsia="Calibri" w:cs="Arial"/>
          <w:lang w:val="es-ES_tradnl" w:eastAsia="es-ES_tradnl"/>
        </w:rPr>
        <w:t>ra Ram</w:t>
      </w:r>
      <w:r w:rsidRPr="00BD7D47" w:rsidR="005D1347">
        <w:rPr>
          <w:rFonts w:ascii="Arial" w:hAnsi="Arial" w:eastAsia="Calibri" w:cs="Arial"/>
          <w:lang w:val="es-ES_tradnl" w:eastAsia="es-ES_tradnl"/>
        </w:rPr>
        <w:t>i</w:t>
      </w:r>
      <w:r w:rsidRPr="00C24652" w:rsidR="00135835">
        <w:rPr>
          <w:rFonts w:ascii="Arial" w:hAnsi="Arial" w:eastAsia="Calibri" w:cs="Arial"/>
          <w:lang w:val="es-ES_tradnl" w:eastAsia="es-ES_tradnl"/>
        </w:rPr>
        <w:t>rez Wolf</w:t>
      </w:r>
      <w:r w:rsidRPr="00C24652">
        <w:rPr>
          <w:rFonts w:ascii="Arial" w:hAnsi="Arial" w:eastAsia="Calibri" w:cs="Arial"/>
          <w:lang w:val="es-ES_tradnl" w:eastAsia="es-ES_tradnl"/>
        </w:rPr>
        <w:t>:</w:t>
      </w:r>
    </w:p>
    <w:p w:rsidRPr="00C24652" w:rsidR="00A8210F" w:rsidP="00497602" w:rsidRDefault="00A8210F" w14:paraId="27BCBCB0" w14:textId="77777777">
      <w:pPr>
        <w:spacing w:after="0" w:line="276" w:lineRule="auto"/>
        <w:contextualSpacing/>
        <w:jc w:val="both"/>
        <w:rPr>
          <w:rFonts w:ascii="Arial" w:hAnsi="Arial" w:eastAsia="Calibri" w:cs="Arial"/>
          <w:lang w:val="es-ES_tradnl" w:eastAsia="es-ES_tradnl"/>
        </w:rPr>
      </w:pPr>
    </w:p>
    <w:p w:rsidRPr="00C24652" w:rsidR="00A8210F" w:rsidP="00497602" w:rsidRDefault="00A8210F" w14:paraId="0E9F8136" w14:textId="7D2AE2B4">
      <w:pPr>
        <w:spacing w:after="0" w:line="276" w:lineRule="auto"/>
        <w:contextualSpacing/>
        <w:jc w:val="both"/>
        <w:rPr>
          <w:rFonts w:ascii="Arial" w:hAnsi="Arial" w:eastAsia="Calibri" w:cs="Arial"/>
          <w:lang w:val="es-ES_tradnl" w:eastAsia="es-ES_tradnl"/>
        </w:rPr>
      </w:pPr>
      <w:r w:rsidRPr="00C24652">
        <w:rPr>
          <w:rFonts w:ascii="Arial" w:hAnsi="Arial" w:eastAsia="Calibri" w:cs="Arial"/>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C24652" w:rsidR="00A31B6F">
        <w:rPr>
          <w:rFonts w:ascii="Arial" w:hAnsi="Arial" w:eastAsia="Calibri" w:cs="Arial"/>
          <w:lang w:val="es-ES_tradnl" w:eastAsia="es-ES_tradnl"/>
        </w:rPr>
        <w:t>23</w:t>
      </w:r>
      <w:r w:rsidRPr="00C24652">
        <w:rPr>
          <w:rFonts w:ascii="Arial" w:hAnsi="Arial" w:eastAsia="Calibri" w:cs="Arial"/>
          <w:lang w:val="es-ES_tradnl" w:eastAsia="es-ES_tradnl"/>
        </w:rPr>
        <w:t xml:space="preserve"> de junio de 2022.</w:t>
      </w:r>
    </w:p>
    <w:p w:rsidRPr="00C24652" w:rsidR="00A8210F" w:rsidP="00865A3D" w:rsidRDefault="00A8210F" w14:paraId="182C9CDB" w14:textId="77777777">
      <w:pPr>
        <w:spacing w:after="0" w:line="240" w:lineRule="auto"/>
        <w:contextualSpacing/>
        <w:jc w:val="both"/>
        <w:rPr>
          <w:rFonts w:ascii="Arial" w:hAnsi="Arial" w:eastAsia="Calibri" w:cs="Arial"/>
          <w:b/>
          <w:lang w:val="es-ES_tradnl" w:eastAsia="es-ES_tradnl"/>
        </w:rPr>
      </w:pPr>
    </w:p>
    <w:p w:rsidRPr="00C24652" w:rsidR="00A8210F" w:rsidP="00865A3D" w:rsidRDefault="00A8210F" w14:paraId="028A45CB" w14:textId="77777777">
      <w:pPr>
        <w:numPr>
          <w:ilvl w:val="0"/>
          <w:numId w:val="1"/>
        </w:numPr>
        <w:tabs>
          <w:tab w:val="left" w:pos="0"/>
          <w:tab w:val="left" w:pos="142"/>
          <w:tab w:val="left" w:pos="284"/>
        </w:tabs>
        <w:spacing w:after="0" w:line="240" w:lineRule="auto"/>
        <w:ind w:left="360"/>
        <w:contextualSpacing/>
        <w:jc w:val="both"/>
        <w:rPr>
          <w:rFonts w:ascii="Arial" w:hAnsi="Arial" w:eastAsia="Calibri" w:cs="Arial"/>
          <w:b/>
          <w:lang w:val="es-ES_tradnl"/>
        </w:rPr>
      </w:pPr>
      <w:r w:rsidRPr="00C24652">
        <w:rPr>
          <w:rFonts w:ascii="Arial" w:hAnsi="Arial" w:eastAsia="Calibri" w:cs="Arial"/>
          <w:b/>
          <w:lang w:val="es-ES_tradnl"/>
        </w:rPr>
        <w:t xml:space="preserve">Problema planteado </w:t>
      </w:r>
    </w:p>
    <w:p w:rsidRPr="00C24652" w:rsidR="00A8210F" w:rsidP="00865A3D" w:rsidRDefault="00A8210F" w14:paraId="0DA4341F" w14:textId="77777777">
      <w:pPr>
        <w:tabs>
          <w:tab w:val="left" w:pos="426"/>
        </w:tabs>
        <w:spacing w:after="0" w:line="240" w:lineRule="auto"/>
        <w:contextualSpacing/>
        <w:jc w:val="both"/>
        <w:rPr>
          <w:rFonts w:ascii="Arial" w:hAnsi="Arial" w:eastAsia="Calibri" w:cs="Arial"/>
          <w:b/>
          <w:szCs w:val="24"/>
          <w:lang w:val="es-ES_tradnl" w:eastAsia="es-ES_tradnl"/>
        </w:rPr>
      </w:pPr>
    </w:p>
    <w:p w:rsidRPr="00C24652" w:rsidR="00A8210F" w:rsidP="00865A3D" w:rsidRDefault="00A8210F" w14:paraId="6F7045A7" w14:textId="77777777">
      <w:pPr>
        <w:spacing w:after="0" w:line="276" w:lineRule="auto"/>
        <w:contextualSpacing/>
        <w:jc w:val="both"/>
        <w:rPr>
          <w:rFonts w:ascii="Arial" w:hAnsi="Arial" w:eastAsia="Times New Roman" w:cs="Arial"/>
          <w:szCs w:val="24"/>
          <w:lang w:val="es-ES_tradnl" w:eastAsia="es-ES_tradnl"/>
        </w:rPr>
      </w:pPr>
      <w:r w:rsidRPr="00C24652">
        <w:rPr>
          <w:rFonts w:ascii="Arial" w:hAnsi="Arial" w:eastAsia="Times New Roman" w:cs="Arial"/>
          <w:szCs w:val="24"/>
          <w:lang w:val="es-ES_tradnl" w:eastAsia="es-ES_tradnl"/>
        </w:rPr>
        <w:t xml:space="preserve">Respecto de la aplicación del artículo 53 de la Ley 2195 de 2022, usted realiza las siguientes consultas: </w:t>
      </w:r>
    </w:p>
    <w:p w:rsidRPr="00C24652" w:rsidR="00A8210F" w:rsidP="00865A3D" w:rsidRDefault="00A8210F" w14:paraId="412D17F2" w14:textId="77777777">
      <w:pPr>
        <w:spacing w:after="0" w:line="276" w:lineRule="auto"/>
        <w:contextualSpacing/>
        <w:jc w:val="both"/>
        <w:rPr>
          <w:rFonts w:ascii="Arial" w:hAnsi="Arial" w:eastAsia="Times New Roman" w:cs="Arial"/>
          <w:szCs w:val="24"/>
          <w:lang w:val="es-ES_tradnl" w:eastAsia="es-ES_tradnl"/>
        </w:rPr>
      </w:pPr>
    </w:p>
    <w:p w:rsidRPr="00C24652" w:rsidR="003A1B19" w:rsidP="003A1B19" w:rsidRDefault="00A8210F" w14:paraId="389C3273" w14:textId="04B89449">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w:t>
      </w:r>
      <w:r w:rsidRPr="00C24652" w:rsidR="003A1B19">
        <w:rPr>
          <w:rFonts w:ascii="Arial" w:hAnsi="Arial" w:eastAsia="Times New Roman" w:cs="Arial"/>
          <w:sz w:val="21"/>
          <w:szCs w:val="21"/>
          <w:lang w:val="es-ES_tradnl" w:eastAsia="es-ES_tradnl"/>
        </w:rPr>
        <w:t>Mediante el presente y de manera atenta, me permito solicitar ante esa Entidad concepto sobre la aplicación del artículo 53 de la Ley 2195 de 2022, en el sentido de que nos sea aclarado si dicho artículo tiene aplicación solo para la contratación que la Entidades con régimen especial realicen con recursos públicos o si, por el contrario, tiene aplicación para toda la contratación que realicen las entidades con régimen especial, como es el caso de FINAGRO, independientemente del origen de los recursos</w:t>
      </w:r>
      <w:r w:rsidRPr="00C24652" w:rsidR="00CD4400">
        <w:rPr>
          <w:rFonts w:ascii="Arial" w:hAnsi="Arial" w:eastAsia="Times New Roman" w:cs="Arial"/>
          <w:sz w:val="21"/>
          <w:szCs w:val="21"/>
          <w:lang w:val="es-ES_tradnl" w:eastAsia="es-ES_tradnl"/>
        </w:rPr>
        <w:t xml:space="preserve"> (sic)</w:t>
      </w:r>
      <w:r w:rsidRPr="00C24652" w:rsidR="003A1B19">
        <w:rPr>
          <w:rFonts w:ascii="Arial" w:hAnsi="Arial" w:eastAsia="Times New Roman" w:cs="Arial"/>
          <w:sz w:val="21"/>
          <w:szCs w:val="21"/>
          <w:lang w:val="es-ES_tradnl" w:eastAsia="es-ES_tradnl"/>
        </w:rPr>
        <w:t>.</w:t>
      </w:r>
    </w:p>
    <w:p w:rsidRPr="00C24652" w:rsidR="003A1B19" w:rsidP="003A1B19" w:rsidRDefault="003A1B19" w14:paraId="5B482AC9"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C24652" w:rsidR="003A1B19" w:rsidP="003A1B19" w:rsidRDefault="003A1B19" w14:paraId="7A9E4605"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Lo anterior, de cara a lo que establece la Directiva Presidencial No. 2 de 1 de junio de 2022 expedida por el Departamento Administrativo de la Presidencia de la República, la cual, en su numeral I, establece que “(…) las entidades obligadas en virtud del artículo 53 de la Ley 2195 de 2022 deberán realizar la publicación en el SECOP II de aquellos documentos relacionados con la actividad contractual que se realice con dineros públicos” (Negrita fuera de texto).</w:t>
      </w:r>
    </w:p>
    <w:p w:rsidRPr="00C24652" w:rsidR="003A1B19" w:rsidP="003A1B19" w:rsidRDefault="003A1B19" w14:paraId="24F12853"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C24652" w:rsidR="00A8210F" w:rsidP="00E0133B" w:rsidRDefault="003A1B19" w14:paraId="4CD424AB" w14:textId="3B6CF3D1">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En tal sentido, solicitamos aclarar el alcance y aplicación del referido artículo 53 de la Ley 2195 de 2022</w:t>
      </w:r>
      <w:r w:rsidRPr="00C24652" w:rsidR="00E70299">
        <w:rPr>
          <w:rFonts w:ascii="Arial" w:hAnsi="Arial" w:eastAsia="Times New Roman" w:cs="Arial"/>
          <w:sz w:val="21"/>
          <w:szCs w:val="21"/>
          <w:lang w:val="es-ES_tradnl" w:eastAsia="es-ES_tradnl"/>
        </w:rPr>
        <w:t xml:space="preserve"> </w:t>
      </w:r>
      <w:r w:rsidRPr="00C24652" w:rsidR="00A8210F">
        <w:rPr>
          <w:rFonts w:ascii="Arial" w:hAnsi="Arial" w:cs="Arial"/>
          <w:sz w:val="21"/>
          <w:szCs w:val="21"/>
        </w:rPr>
        <w:t>[…]</w:t>
      </w:r>
      <w:r w:rsidRPr="00C24652" w:rsidR="00A8210F">
        <w:rPr>
          <w:rFonts w:ascii="Arial" w:hAnsi="Arial" w:eastAsia="Times New Roman" w:cs="Arial"/>
          <w:sz w:val="21"/>
          <w:szCs w:val="21"/>
          <w:lang w:val="es-ES_tradnl" w:eastAsia="es-ES_tradnl"/>
        </w:rPr>
        <w:t>».</w:t>
      </w:r>
    </w:p>
    <w:p w:rsidRPr="00C24652" w:rsidR="00A8210F" w:rsidP="001729B1" w:rsidRDefault="00A8210F" w14:paraId="018F93CF" w14:textId="77777777">
      <w:pPr>
        <w:spacing w:after="0" w:line="276" w:lineRule="auto"/>
        <w:ind w:right="709"/>
        <w:contextualSpacing/>
        <w:jc w:val="both"/>
        <w:rPr>
          <w:rFonts w:ascii="Arial" w:hAnsi="Arial" w:eastAsia="Times New Roman" w:cs="Arial"/>
          <w:lang w:eastAsia="es-ES_tradnl"/>
        </w:rPr>
      </w:pPr>
    </w:p>
    <w:p w:rsidRPr="00C24652" w:rsidR="00A8210F" w:rsidP="001729B1" w:rsidRDefault="00A8210F" w14:paraId="7C261DF3" w14:textId="77777777">
      <w:pPr>
        <w:numPr>
          <w:ilvl w:val="0"/>
          <w:numId w:val="1"/>
        </w:numPr>
        <w:tabs>
          <w:tab w:val="left" w:pos="0"/>
          <w:tab w:val="left" w:pos="284"/>
        </w:tabs>
        <w:spacing w:after="0" w:line="276" w:lineRule="auto"/>
        <w:ind w:left="360"/>
        <w:contextualSpacing/>
        <w:jc w:val="both"/>
        <w:rPr>
          <w:rFonts w:ascii="Arial" w:hAnsi="Arial" w:eastAsia="Calibri" w:cs="Arial"/>
          <w:b/>
          <w:lang w:val="es-ES_tradnl"/>
        </w:rPr>
      </w:pPr>
      <w:r w:rsidRPr="00C24652">
        <w:rPr>
          <w:rFonts w:ascii="Arial" w:hAnsi="Arial" w:eastAsia="Calibri" w:cs="Arial"/>
          <w:b/>
          <w:lang w:val="es-ES_tradnl"/>
        </w:rPr>
        <w:t>Consideraciones</w:t>
      </w:r>
    </w:p>
    <w:p w:rsidRPr="00C24652" w:rsidR="00A8210F" w:rsidP="001729B1" w:rsidRDefault="00A8210F" w14:paraId="5D57E47E" w14:textId="77777777">
      <w:pPr>
        <w:spacing w:after="0" w:line="276" w:lineRule="auto"/>
        <w:contextualSpacing/>
        <w:jc w:val="both"/>
        <w:rPr>
          <w:rFonts w:ascii="Arial" w:hAnsi="Arial" w:eastAsia="Calibri" w:cs="Arial"/>
          <w:lang w:val="es-ES_tradnl" w:eastAsia="es-ES_tradnl"/>
        </w:rPr>
      </w:pPr>
    </w:p>
    <w:p w:rsidRPr="00C24652" w:rsidR="00A8210F" w:rsidP="00E31AD6" w:rsidRDefault="00A8210F" w14:paraId="02818982" w14:textId="2623BA22">
      <w:pPr>
        <w:spacing w:after="120" w:line="276" w:lineRule="auto"/>
        <w:jc w:val="both"/>
        <w:rPr>
          <w:rFonts w:ascii="Arial" w:hAnsi="Arial" w:cs="Arial"/>
          <w:bCs/>
        </w:rPr>
      </w:pPr>
      <w:r w:rsidRPr="00C24652">
        <w:rPr>
          <w:rFonts w:ascii="Arial" w:hAnsi="Arial" w:eastAsia="Calibri" w:cs="Arial"/>
          <w:lang w:val="es-ES"/>
        </w:rPr>
        <w:t xml:space="preserve">Con </w:t>
      </w:r>
      <w:r w:rsidRPr="00C24652" w:rsidR="00003F77">
        <w:rPr>
          <w:rFonts w:ascii="Arial" w:hAnsi="Arial" w:eastAsia="Calibri" w:cs="Arial"/>
          <w:lang w:val="es-ES"/>
        </w:rPr>
        <w:t xml:space="preserve">el fin de </w:t>
      </w:r>
      <w:r w:rsidRPr="00C24652" w:rsidR="00020134">
        <w:rPr>
          <w:rFonts w:ascii="Arial" w:hAnsi="Arial" w:eastAsia="Calibri" w:cs="Arial"/>
          <w:lang w:val="es-ES"/>
        </w:rPr>
        <w:t>responder a la consulta planteada</w:t>
      </w:r>
      <w:r w:rsidRPr="00C24652">
        <w:rPr>
          <w:rFonts w:ascii="Arial" w:hAnsi="Arial" w:eastAsia="Calibri" w:cs="Arial"/>
          <w:lang w:val="es-ES"/>
        </w:rPr>
        <w:t xml:space="preserve"> se analizarán los siguientes temas</w:t>
      </w:r>
      <w:r w:rsidRPr="00C24652">
        <w:rPr>
          <w:rFonts w:ascii="Arial" w:hAnsi="Arial" w:eastAsia="Calibri" w:cs="Arial"/>
        </w:rPr>
        <w:t xml:space="preserve">: </w:t>
      </w:r>
      <w:r w:rsidRPr="00C24652">
        <w:rPr>
          <w:rFonts w:ascii="Arial" w:hAnsi="Arial" w:eastAsia="Calibri" w:cs="Arial"/>
          <w:lang w:val="es-ES_tradnl"/>
        </w:rPr>
        <w:t>i</w:t>
      </w:r>
      <w:r w:rsidRPr="00C24652">
        <w:rPr>
          <w:rFonts w:ascii="Arial" w:hAnsi="Arial" w:eastAsia="Times New Roman" w:cs="Arial"/>
          <w:szCs w:val="24"/>
          <w:lang w:val="es-ES_tradnl" w:eastAsia="es-ES_tradnl"/>
        </w:rPr>
        <w:t>) deber de las entidades estatales exceptuadas del Estatuto General de Contratación de la Administración Pública de publicar los documentos relacionados con su actividad contractual en el SECOP II, previsto en el artículo 53 de la Ley 2195 de 2022</w:t>
      </w:r>
      <w:r w:rsidR="004063B0">
        <w:rPr>
          <w:rFonts w:ascii="Arial" w:hAnsi="Arial" w:eastAsia="Times New Roman" w:cs="Arial"/>
          <w:szCs w:val="24"/>
          <w:lang w:val="es-ES_tradnl" w:eastAsia="es-ES_tradnl"/>
        </w:rPr>
        <w:t xml:space="preserve"> y </w:t>
      </w:r>
      <w:r w:rsidRPr="00C24652" w:rsidR="009A09CA">
        <w:rPr>
          <w:rFonts w:ascii="Arial" w:hAnsi="Arial" w:eastAsia="Times New Roman" w:cs="Arial"/>
          <w:szCs w:val="24"/>
          <w:lang w:val="es-ES_tradnl" w:eastAsia="es-ES_tradnl"/>
        </w:rPr>
        <w:t xml:space="preserve">ii) </w:t>
      </w:r>
      <w:r w:rsidRPr="00C24652" w:rsidR="00C6759F">
        <w:rPr>
          <w:rFonts w:ascii="Arial" w:hAnsi="Arial" w:eastAsia="Times New Roman" w:cs="Arial"/>
          <w:szCs w:val="24"/>
          <w:lang w:val="es-ES_tradnl" w:eastAsia="es-ES_tradnl"/>
        </w:rPr>
        <w:t>alcance</w:t>
      </w:r>
      <w:r w:rsidRPr="00C24652" w:rsidR="009A09CA">
        <w:rPr>
          <w:rFonts w:ascii="Arial" w:hAnsi="Arial" w:eastAsia="Times New Roman" w:cs="Arial"/>
          <w:szCs w:val="24"/>
          <w:lang w:val="es-ES_tradnl" w:eastAsia="es-ES_tradnl"/>
        </w:rPr>
        <w:t xml:space="preserve"> de</w:t>
      </w:r>
      <w:r w:rsidRPr="00C24652" w:rsidR="00C6759F">
        <w:rPr>
          <w:rFonts w:ascii="Arial" w:hAnsi="Arial" w:eastAsia="Times New Roman" w:cs="Arial"/>
          <w:szCs w:val="24"/>
          <w:lang w:val="es-ES_tradnl" w:eastAsia="es-ES_tradnl"/>
        </w:rPr>
        <w:t>l</w:t>
      </w:r>
      <w:r w:rsidRPr="00C24652" w:rsidR="009A09CA">
        <w:rPr>
          <w:rFonts w:ascii="Arial" w:hAnsi="Arial" w:eastAsia="Times New Roman" w:cs="Arial"/>
          <w:szCs w:val="24"/>
          <w:lang w:val="es-ES_tradnl" w:eastAsia="es-ES_tradnl"/>
        </w:rPr>
        <w:t xml:space="preserve"> </w:t>
      </w:r>
      <w:r w:rsidRPr="00C24652" w:rsidR="00C6759F">
        <w:rPr>
          <w:rFonts w:ascii="Arial" w:hAnsi="Arial" w:eastAsia="Times New Roman" w:cs="Arial"/>
          <w:szCs w:val="24"/>
          <w:lang w:val="es-ES_tradnl" w:eastAsia="es-ES_tradnl"/>
        </w:rPr>
        <w:t xml:space="preserve">deber de publicación </w:t>
      </w:r>
      <w:r w:rsidRPr="00C24652" w:rsidR="00DD0487">
        <w:rPr>
          <w:rFonts w:ascii="Arial" w:hAnsi="Arial" w:eastAsia="Times New Roman" w:cs="Arial"/>
          <w:szCs w:val="24"/>
          <w:lang w:val="es-ES_tradnl" w:eastAsia="es-ES_tradnl"/>
        </w:rPr>
        <w:t>de la actividad contractual</w:t>
      </w:r>
      <w:r w:rsidRPr="00C24652" w:rsidR="00C86D1D">
        <w:rPr>
          <w:rFonts w:ascii="Arial" w:hAnsi="Arial" w:eastAsia="Times New Roman" w:cs="Arial"/>
          <w:szCs w:val="24"/>
          <w:lang w:val="es-ES_tradnl" w:eastAsia="es-ES_tradnl"/>
        </w:rPr>
        <w:t xml:space="preserve"> para las entidades exceptuadas</w:t>
      </w:r>
      <w:r w:rsidRPr="00C24652" w:rsidR="00C86D1D">
        <w:rPr>
          <w:rFonts w:ascii="Arial" w:hAnsi="Arial" w:eastAsia="Times New Roman" w:cs="Arial"/>
          <w:iCs/>
          <w:lang w:val="es-ES_tradnl" w:eastAsia="es-ES_tradnl"/>
        </w:rPr>
        <w:t xml:space="preserve"> del Estatuto General de Contratación de la Administración Pública</w:t>
      </w:r>
      <w:r w:rsidR="004063B0">
        <w:rPr>
          <w:rFonts w:ascii="Arial" w:hAnsi="Arial" w:eastAsia="Times New Roman" w:cs="Arial"/>
          <w:szCs w:val="24"/>
          <w:lang w:val="es-ES_tradnl" w:eastAsia="es-ES_tradnl"/>
        </w:rPr>
        <w:t>.</w:t>
      </w:r>
    </w:p>
    <w:p w:rsidRPr="00C24652" w:rsidR="00A8210F" w:rsidP="004E1C23" w:rsidRDefault="00F53929" w14:paraId="3E84E0D2" w14:textId="6869C70F">
      <w:pPr>
        <w:spacing w:before="120" w:after="0" w:line="276" w:lineRule="auto"/>
        <w:ind w:firstLine="709"/>
        <w:jc w:val="both"/>
        <w:rPr>
          <w:rFonts w:ascii="Arial" w:hAnsi="Arial" w:eastAsia="Calibri" w:cs="Arial"/>
          <w:szCs w:val="24"/>
          <w:lang w:val="es-ES" w:eastAsia="es-ES_tradnl"/>
        </w:rPr>
      </w:pPr>
      <w:r w:rsidRPr="00C24652">
        <w:rPr>
          <w:rFonts w:ascii="Arial" w:hAnsi="Arial" w:eastAsia="Times New Roman" w:cs="Arial"/>
          <w:szCs w:val="24"/>
          <w:lang w:val="es-ES_tradnl" w:eastAsia="es-ES_tradnl"/>
        </w:rPr>
        <w:t xml:space="preserve">La Agencia Nacional de Contratación Pública – Colombia Compra Eficiente </w:t>
      </w:r>
      <w:r w:rsidRPr="00C24652">
        <w:rPr>
          <w:rFonts w:ascii="Arial" w:hAnsi="Arial" w:eastAsia="Times New Roman" w:cs="Arial"/>
          <w:szCs w:val="24"/>
          <w:lang w:eastAsia="es-ES_tradnl"/>
        </w:rPr>
        <w:t xml:space="preserve">se ha pronunciado en múltiples ocasiones sobre los principios de publicidad y de acceso a la información pública en la contratación estatal, y sobre </w:t>
      </w:r>
      <w:r w:rsidRPr="00C24652">
        <w:rPr>
          <w:rFonts w:ascii="Arial" w:hAnsi="Arial" w:eastAsia="Calibri" w:cs="Arial"/>
          <w:szCs w:val="24"/>
          <w:lang w:val="es-ES" w:eastAsia="es-ES_tradnl"/>
        </w:rPr>
        <w:t xml:space="preserve">los fundamentos normativos del deber de publicar la documentación contractual en las plataformas SECOP I y SECOP II, en conceptos como </w:t>
      </w:r>
      <w:r w:rsidRPr="00C24652" w:rsidR="00CC7CB0">
        <w:rPr>
          <w:rFonts w:ascii="Arial" w:hAnsi="Arial" w:eastAsia="Calibri" w:cs="Arial"/>
          <w:szCs w:val="24"/>
          <w:lang w:val="es-ES" w:eastAsia="es-ES_tradnl"/>
        </w:rPr>
        <w:t xml:space="preserve">el </w:t>
      </w:r>
      <w:r w:rsidRPr="00C24652">
        <w:rPr>
          <w:rFonts w:ascii="Arial" w:hAnsi="Arial" w:eastAsia="Times New Roman" w:cs="Arial"/>
          <w:szCs w:val="24"/>
          <w:lang w:eastAsia="es-ES_tradn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w:t>
      </w:r>
      <w:r w:rsidRPr="00C24652" w:rsidR="00B4225D">
        <w:rPr>
          <w:rFonts w:ascii="Arial" w:hAnsi="Arial" w:eastAsia="Times New Roman" w:cs="Arial"/>
          <w:szCs w:val="24"/>
          <w:lang w:eastAsia="es-ES_tradnl"/>
        </w:rPr>
        <w:t>,</w:t>
      </w:r>
      <w:r w:rsidRPr="00C24652">
        <w:rPr>
          <w:rFonts w:ascii="Arial" w:hAnsi="Arial" w:eastAsia="Times New Roman" w:cs="Arial"/>
          <w:szCs w:val="24"/>
          <w:lang w:eastAsia="es-ES_tradnl"/>
        </w:rPr>
        <w:t xml:space="preserve"> C-472 del 6 de septiembre de 2021</w:t>
      </w:r>
      <w:r w:rsidRPr="00C24652" w:rsidR="00FF5070">
        <w:rPr>
          <w:rFonts w:ascii="Arial" w:hAnsi="Arial" w:eastAsia="Times New Roman" w:cs="Arial"/>
          <w:szCs w:val="24"/>
          <w:lang w:eastAsia="es-ES_tradnl"/>
        </w:rPr>
        <w:t>, C-135 del 28 de marzo de 2022</w:t>
      </w:r>
      <w:r w:rsidRPr="00C24652" w:rsidR="00B4225D">
        <w:rPr>
          <w:rFonts w:ascii="Arial" w:hAnsi="Arial" w:eastAsia="Times New Roman" w:cs="Arial"/>
          <w:szCs w:val="24"/>
          <w:lang w:eastAsia="es-ES_tradnl"/>
        </w:rPr>
        <w:t xml:space="preserve"> y C-</w:t>
      </w:r>
      <w:r w:rsidRPr="00C24652" w:rsidR="00FF5070">
        <w:rPr>
          <w:rFonts w:ascii="Arial" w:hAnsi="Arial" w:eastAsia="Times New Roman" w:cs="Arial"/>
          <w:szCs w:val="24"/>
          <w:lang w:eastAsia="es-ES_tradnl"/>
        </w:rPr>
        <w:t>332 del 24 de mayo de 2022</w:t>
      </w:r>
      <w:r w:rsidRPr="00C24652">
        <w:rPr>
          <w:rFonts w:ascii="Arial" w:hAnsi="Arial" w:eastAsia="Times New Roman" w:cs="Arial"/>
          <w:szCs w:val="24"/>
          <w:lang w:val="es-ES_tradnl" w:eastAsia="es-ES_tradnl"/>
        </w:rPr>
        <w:t>. De igual manera, recientemente se pronunció sobre la interpretación del artículo 53 de la Ley 2195 de 2022, en los conceptos C-049 del 7 de marzo de 2022, C-120 del 22 de marzo de 2022, C-124 del 22 de marzo de 2022, C-132 del 28 de marzo de 2022, C-348 del 13 de junio de 2022</w:t>
      </w:r>
      <w:r w:rsidRPr="00C24652" w:rsidR="004475D0">
        <w:rPr>
          <w:rFonts w:ascii="Arial" w:hAnsi="Arial" w:eastAsia="Times New Roman" w:cs="Arial"/>
          <w:szCs w:val="24"/>
          <w:lang w:val="es-ES_tradnl" w:eastAsia="es-ES_tradnl"/>
        </w:rPr>
        <w:t xml:space="preserve">, C-357 del </w:t>
      </w:r>
      <w:r w:rsidRPr="00C24652" w:rsidR="00451B2B">
        <w:rPr>
          <w:rFonts w:ascii="Arial" w:hAnsi="Arial" w:eastAsia="Times New Roman" w:cs="Arial"/>
          <w:szCs w:val="24"/>
          <w:lang w:val="es-ES_tradnl" w:eastAsia="es-ES_tradnl"/>
        </w:rPr>
        <w:t>13 de junio de 2022</w:t>
      </w:r>
      <w:r w:rsidRPr="00C24652">
        <w:rPr>
          <w:rFonts w:ascii="Arial" w:hAnsi="Arial" w:eastAsia="Times New Roman" w:cs="Arial"/>
          <w:szCs w:val="24"/>
          <w:lang w:val="es-ES_tradnl" w:eastAsia="es-ES_tradnl"/>
        </w:rPr>
        <w:t xml:space="preserve"> y </w:t>
      </w:r>
      <w:r w:rsidRPr="00C24652" w:rsidR="008B3BFA">
        <w:rPr>
          <w:rFonts w:ascii="Arial" w:hAnsi="Arial" w:eastAsia="Times New Roman" w:cs="Arial"/>
          <w:szCs w:val="24"/>
          <w:lang w:val="es-ES_tradnl" w:eastAsia="es-ES_tradnl"/>
        </w:rPr>
        <w:t xml:space="preserve">C-480 del </w:t>
      </w:r>
      <w:r w:rsidRPr="00C24652" w:rsidR="00985879">
        <w:rPr>
          <w:rFonts w:ascii="Arial" w:hAnsi="Arial" w:eastAsia="Times New Roman" w:cs="Arial"/>
          <w:szCs w:val="24"/>
          <w:lang w:val="es-ES_tradnl" w:eastAsia="es-ES_tradnl"/>
        </w:rPr>
        <w:t>18</w:t>
      </w:r>
      <w:r w:rsidRPr="00C24652" w:rsidR="000C3C20">
        <w:rPr>
          <w:rFonts w:ascii="Arial" w:hAnsi="Arial" w:eastAsia="Times New Roman" w:cs="Arial"/>
          <w:szCs w:val="24"/>
          <w:lang w:val="es-ES_tradnl" w:eastAsia="es-ES_tradnl"/>
        </w:rPr>
        <w:t xml:space="preserve"> de julio de 2022</w:t>
      </w:r>
      <w:r w:rsidRPr="00C24652">
        <w:rPr>
          <w:rFonts w:ascii="Arial" w:hAnsi="Arial" w:eastAsia="Times New Roman" w:cs="Arial"/>
          <w:szCs w:val="24"/>
          <w:lang w:val="es-ES_tradnl" w:eastAsia="es-ES_tradnl"/>
        </w:rPr>
        <w:t xml:space="preserve">. </w:t>
      </w:r>
      <w:r w:rsidRPr="00C24652" w:rsidR="00A8210F">
        <w:rPr>
          <w:rFonts w:ascii="Arial" w:hAnsi="Arial" w:eastAsia="Times New Roman" w:cs="Arial"/>
          <w:szCs w:val="24"/>
          <w:lang w:val="es-ES_tradnl" w:eastAsia="es-ES_tradnl"/>
        </w:rPr>
        <w:t xml:space="preserve"> Las ideas expuestas en dichas oportunidades se reiteran a continuación y se complementan en lo pertinente.</w:t>
      </w:r>
    </w:p>
    <w:p w:rsidRPr="00C24652" w:rsidR="00E74C18" w:rsidP="00571436" w:rsidRDefault="00E74C18" w14:paraId="4633BA65" w14:textId="77777777">
      <w:pPr>
        <w:spacing w:after="0" w:line="276" w:lineRule="auto"/>
        <w:contextualSpacing/>
        <w:jc w:val="both"/>
        <w:rPr>
          <w:rFonts w:ascii="Arial" w:hAnsi="Arial" w:eastAsia="Times New Roman" w:cs="Arial"/>
          <w:b/>
          <w:bCs/>
          <w:iCs/>
          <w:lang w:val="es-ES_tradnl" w:eastAsia="es-ES_tradnl"/>
        </w:rPr>
      </w:pPr>
    </w:p>
    <w:p w:rsidRPr="00C24652" w:rsidR="00A8210F" w:rsidP="00571436" w:rsidRDefault="00E74C18" w14:paraId="5E1FA3C2" w14:textId="18DE41B3">
      <w:pPr>
        <w:spacing w:after="0" w:line="276" w:lineRule="auto"/>
        <w:contextualSpacing/>
        <w:jc w:val="both"/>
        <w:rPr>
          <w:rFonts w:ascii="Arial" w:hAnsi="Arial" w:cs="Arial"/>
          <w:b/>
          <w:bCs/>
          <w:iCs/>
          <w:lang w:val="es-ES_tradnl"/>
        </w:rPr>
      </w:pPr>
      <w:r w:rsidRPr="00C24652">
        <w:rPr>
          <w:rFonts w:ascii="Arial" w:hAnsi="Arial" w:eastAsia="Times New Roman" w:cs="Arial"/>
          <w:b/>
          <w:bCs/>
          <w:iCs/>
          <w:lang w:val="es-ES_tradnl" w:eastAsia="es-ES_tradnl"/>
        </w:rPr>
        <w:t>2.</w:t>
      </w:r>
      <w:r w:rsidRPr="00C24652" w:rsidR="00063CA6">
        <w:rPr>
          <w:rFonts w:ascii="Arial" w:hAnsi="Arial" w:eastAsia="Times New Roman" w:cs="Arial"/>
          <w:b/>
          <w:bCs/>
          <w:iCs/>
          <w:lang w:val="es-ES_tradnl" w:eastAsia="es-ES_tradnl"/>
        </w:rPr>
        <w:t>1</w:t>
      </w:r>
      <w:r w:rsidRPr="00C24652">
        <w:rPr>
          <w:rFonts w:ascii="Arial" w:hAnsi="Arial" w:eastAsia="Times New Roman" w:cs="Arial"/>
          <w:b/>
          <w:bCs/>
          <w:iCs/>
          <w:lang w:val="es-ES_tradnl" w:eastAsia="es-ES_tradnl"/>
        </w:rPr>
        <w:t xml:space="preserve">. </w:t>
      </w:r>
      <w:r w:rsidRPr="00C24652" w:rsidR="00A8210F">
        <w:rPr>
          <w:rFonts w:ascii="Arial" w:hAnsi="Arial" w:eastAsia="Times New Roman" w:cs="Arial"/>
          <w:b/>
          <w:bCs/>
          <w:iCs/>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Pr="00C24652" w:rsidR="00A8210F">
        <w:rPr>
          <w:rFonts w:ascii="Arial" w:hAnsi="Arial" w:cs="Arial"/>
          <w:b/>
          <w:bCs/>
          <w:iCs/>
          <w:lang w:val="es-ES_tradnl"/>
        </w:rPr>
        <w:t>Modificación introducida por el artículo 53 de la Ley 2195 de 2022</w:t>
      </w:r>
    </w:p>
    <w:p w:rsidRPr="00C24652" w:rsidR="00ED7575" w:rsidP="00571436" w:rsidRDefault="00ED7575" w14:paraId="7332133B" w14:textId="77777777">
      <w:pPr>
        <w:spacing w:after="0" w:line="276" w:lineRule="auto"/>
        <w:contextualSpacing/>
        <w:jc w:val="both"/>
        <w:rPr>
          <w:rFonts w:ascii="Arial" w:hAnsi="Arial" w:cs="Arial"/>
        </w:rPr>
      </w:pPr>
    </w:p>
    <w:p w:rsidRPr="00C24652" w:rsidR="00FB46F6" w:rsidP="00571436" w:rsidRDefault="00ED7575" w14:paraId="7E587FA1" w14:textId="113525CE">
      <w:pPr>
        <w:spacing w:after="0" w:line="276" w:lineRule="auto"/>
        <w:contextualSpacing/>
        <w:jc w:val="both"/>
        <w:rPr>
          <w:rFonts w:ascii="Arial" w:hAnsi="Arial" w:eastAsia="Calibri" w:cs="Arial"/>
          <w:lang w:val="es-ES_tradnl"/>
        </w:rPr>
      </w:pPr>
      <w:r w:rsidRPr="00C24652">
        <w:rPr>
          <w:rFonts w:ascii="Arial" w:hAnsi="Arial" w:eastAsia="Calibri" w:cs="Arial"/>
          <w:lang w:val="es-ES_tradnl"/>
        </w:rPr>
        <w:t xml:space="preserve">Uno de los postulados más importantes de un Estado social y democrático de derecho es el principio de </w:t>
      </w:r>
      <w:r w:rsidRPr="00C24652">
        <w:rPr>
          <w:rFonts w:ascii="Arial" w:hAnsi="Arial" w:eastAsia="Calibri" w:cs="Arial"/>
          <w:i/>
          <w:iCs/>
          <w:lang w:val="es-ES_tradnl"/>
        </w:rPr>
        <w:t>publicidad</w:t>
      </w:r>
      <w:r w:rsidRPr="00C24652">
        <w:rPr>
          <w:rFonts w:ascii="Arial" w:hAnsi="Arial" w:eastAsia="Calibri" w:cs="Arial"/>
          <w:lang w:val="es-ES_tradnl"/>
        </w:rPr>
        <w:t>, pues este permite que las actuaciones de las autoridades gocen de visibilidad.</w:t>
      </w:r>
      <w:r w:rsidRPr="00C24652" w:rsidR="008359F9">
        <w:rPr>
          <w:rFonts w:ascii="Arial" w:hAnsi="Arial" w:eastAsia="Calibri" w:cs="Arial"/>
          <w:lang w:val="es-ES_tradnl"/>
        </w:rPr>
        <w:t xml:space="preserve"> </w:t>
      </w:r>
      <w:r w:rsidRPr="00C24652" w:rsidR="00870D5C">
        <w:rPr>
          <w:rFonts w:ascii="Arial" w:hAnsi="Arial" w:eastAsia="Calibri" w:cs="Arial"/>
          <w:lang w:val="es-ES_tradnl"/>
        </w:rPr>
        <w:t>L</w:t>
      </w:r>
      <w:r w:rsidRPr="00C24652" w:rsidR="008359F9">
        <w:rPr>
          <w:rFonts w:ascii="Arial" w:hAnsi="Arial" w:eastAsia="Calibri" w:cs="Arial"/>
          <w:lang w:val="es-ES_tradnl"/>
        </w:rPr>
        <w:t>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w:t>
      </w:r>
      <w:r w:rsidRPr="00C24652" w:rsidR="007345C5">
        <w:rPr>
          <w:rFonts w:ascii="Arial" w:hAnsi="Arial" w:eastAsia="Calibri" w:cs="Arial"/>
          <w:lang w:val="es-ES_tradnl"/>
        </w:rPr>
        <w:t>,</w:t>
      </w:r>
      <w:r w:rsidRPr="00C24652" w:rsidR="008359F9">
        <w:rPr>
          <w:rFonts w:ascii="Arial" w:hAnsi="Arial" w:eastAsia="Calibri" w:cs="Arial"/>
          <w:lang w:val="es-ES_tradnl"/>
        </w:rPr>
        <w:t xml:space="preserve"> y el </w:t>
      </w:r>
      <w:r w:rsidRPr="00C24652" w:rsidR="007345C5">
        <w:rPr>
          <w:rFonts w:ascii="Arial" w:hAnsi="Arial" w:eastAsia="Calibri" w:cs="Arial"/>
          <w:lang w:val="es-ES_tradnl"/>
        </w:rPr>
        <w:t xml:space="preserve">artículo </w:t>
      </w:r>
      <w:r w:rsidRPr="00C24652" w:rsidR="008359F9">
        <w:rPr>
          <w:rFonts w:ascii="Arial" w:hAnsi="Arial" w:eastAsia="Calibri" w:cs="Arial"/>
          <w:lang w:val="es-ES_tradnl"/>
        </w:rPr>
        <w:t>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rsidRPr="00C24652" w:rsidR="004E1C23" w:rsidP="00571436" w:rsidRDefault="004E1C23" w14:paraId="185841E0" w14:textId="77777777">
      <w:pPr>
        <w:spacing w:after="0" w:line="276" w:lineRule="auto"/>
        <w:contextualSpacing/>
        <w:jc w:val="both"/>
        <w:rPr>
          <w:rFonts w:ascii="Arial" w:hAnsi="Arial" w:eastAsia="Calibri" w:cs="Arial"/>
          <w:lang w:val="es-ES_tradnl"/>
        </w:rPr>
      </w:pPr>
    </w:p>
    <w:p w:rsidRPr="00C24652" w:rsidR="008F6D95" w:rsidP="00FE4708" w:rsidRDefault="008F6D95" w14:paraId="6B7C66AA" w14:textId="445E4B6D">
      <w:pPr>
        <w:spacing w:after="0" w:line="240" w:lineRule="auto"/>
        <w:ind w:left="709" w:right="709"/>
        <w:contextualSpacing/>
        <w:jc w:val="both"/>
        <w:rPr>
          <w:rFonts w:ascii="Arial" w:hAnsi="Arial" w:cs="Arial"/>
          <w:sz w:val="21"/>
          <w:szCs w:val="21"/>
        </w:rPr>
      </w:pPr>
      <w:r w:rsidRPr="00C24652">
        <w:rPr>
          <w:rFonts w:ascii="Arial" w:hAnsi="Arial" w:cs="Arial"/>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4652">
        <w:rPr>
          <w:rStyle w:val="Refdenotaalpie"/>
          <w:rFonts w:ascii="Arial" w:hAnsi="Arial" w:cs="Arial"/>
          <w:sz w:val="21"/>
          <w:szCs w:val="21"/>
        </w:rPr>
        <w:footnoteReference w:id="1"/>
      </w:r>
      <w:r w:rsidRPr="00C24652">
        <w:rPr>
          <w:rFonts w:ascii="Arial" w:hAnsi="Arial" w:cs="Arial"/>
          <w:sz w:val="21"/>
          <w:szCs w:val="21"/>
        </w:rPr>
        <w:t>.</w:t>
      </w:r>
    </w:p>
    <w:p w:rsidRPr="00C24652" w:rsidR="00FB46F6" w:rsidP="004E1C23" w:rsidRDefault="00FB46F6" w14:paraId="70806525" w14:textId="77777777">
      <w:pPr>
        <w:spacing w:after="0" w:line="276" w:lineRule="auto"/>
        <w:ind w:left="709" w:right="709"/>
        <w:contextualSpacing/>
        <w:jc w:val="both"/>
        <w:rPr>
          <w:rFonts w:ascii="Arial" w:hAnsi="Arial" w:cs="Arial"/>
        </w:rPr>
      </w:pPr>
    </w:p>
    <w:p w:rsidRPr="00C24652" w:rsidR="00B25EAD" w:rsidP="004D19F4" w:rsidRDefault="00447D57" w14:paraId="4C250686" w14:textId="6AD72AED">
      <w:pPr>
        <w:spacing w:after="120" w:line="276" w:lineRule="auto"/>
        <w:ind w:firstLine="709"/>
        <w:jc w:val="both"/>
        <w:rPr>
          <w:rFonts w:ascii="Arial" w:hAnsi="Arial" w:eastAsia="Calibri" w:cs="Arial"/>
          <w:lang w:val="es-ES_tradnl" w:eastAsia="es-ES_tradnl"/>
        </w:rPr>
      </w:pPr>
      <w:bookmarkStart w:name="_Hlk110868438" w:id="3"/>
      <w:r w:rsidRPr="00C24652">
        <w:rPr>
          <w:rFonts w:ascii="Arial" w:hAnsi="Arial" w:cs="Arial"/>
        </w:rPr>
        <w:t>E</w:t>
      </w:r>
      <w:r w:rsidRPr="00C24652" w:rsidR="003173BF">
        <w:rPr>
          <w:rFonts w:ascii="Arial" w:hAnsi="Arial" w:cs="Arial"/>
        </w:rPr>
        <w:t>l principio de publicidad impone a las autoridades administrativas el deber de dar</w:t>
      </w:r>
      <w:r w:rsidRPr="00C24652" w:rsidR="003173BF">
        <w:rPr>
          <w:rFonts w:ascii="Arial" w:hAnsi="Arial" w:eastAsia="Calibri" w:cs="Arial"/>
        </w:rPr>
        <w:t xml:space="preserve"> a conocer sus actos, contratos y decisiones, para que se divulguen y, eventualmente, </w:t>
      </w:r>
      <w:bookmarkStart w:name="_Hlk110596634" w:id="4"/>
      <w:r w:rsidRPr="00C24652" w:rsidR="003173BF">
        <w:rPr>
          <w:rFonts w:ascii="Arial" w:hAnsi="Arial" w:eastAsia="Calibri" w:cs="Arial"/>
        </w:rPr>
        <w:t xml:space="preserve">se controlen las actuaciones. En virtud de ello, en </w:t>
      </w:r>
      <w:r w:rsidRPr="00C24652" w:rsidR="007B783C">
        <w:rPr>
          <w:rFonts w:ascii="Arial" w:hAnsi="Arial" w:eastAsia="Calibri" w:cs="Arial"/>
        </w:rPr>
        <w:t xml:space="preserve">el ámbito de la </w:t>
      </w:r>
      <w:r w:rsidRPr="00C24652" w:rsidR="003173BF">
        <w:rPr>
          <w:rFonts w:ascii="Arial" w:hAnsi="Arial" w:eastAsia="Calibri" w:cs="Arial"/>
        </w:rPr>
        <w:t>contratación estatal e</w:t>
      </w:r>
      <w:r w:rsidRPr="00C24652" w:rsidR="00FB46F6">
        <w:rPr>
          <w:rFonts w:ascii="Arial" w:hAnsi="Arial" w:eastAsia="Calibri" w:cs="Arial"/>
        </w:rPr>
        <w:t>l literal c) del artículo 3 de la Ley 1150 de 2007 establece el Sistema Electrónico para la Contratación Pública – SECOP –</w:t>
      </w:r>
      <w:r w:rsidRPr="00C24652" w:rsidR="00B30891">
        <w:rPr>
          <w:rFonts w:ascii="Arial" w:hAnsi="Arial" w:eastAsia="Calibri" w:cs="Arial"/>
        </w:rPr>
        <w:t xml:space="preserve"> como</w:t>
      </w:r>
      <w:r w:rsidRPr="00C24652" w:rsidR="009A305B">
        <w:rPr>
          <w:rFonts w:ascii="Arial" w:hAnsi="Arial" w:eastAsia="Calibri" w:cs="Arial"/>
        </w:rPr>
        <w:t xml:space="preserve"> un</w:t>
      </w:r>
      <w:r w:rsidRPr="00C24652" w:rsidR="00B30891">
        <w:rPr>
          <w:rFonts w:ascii="Arial" w:hAnsi="Arial" w:eastAsia="Calibri" w:cs="Arial"/>
        </w:rPr>
        <w:t xml:space="preserve"> mecanismo que</w:t>
      </w:r>
      <w:r w:rsidRPr="00C24652" w:rsidR="00FB46F6">
        <w:rPr>
          <w:rFonts w:ascii="Arial" w:hAnsi="Arial" w:eastAsia="Calibri" w:cs="Arial"/>
        </w:rPr>
        <w:t xml:space="preserve"> «contará con la información oficial de </w:t>
      </w:r>
      <w:r w:rsidRPr="00C24652" w:rsidR="00ED50B9">
        <w:rPr>
          <w:rFonts w:ascii="Arial" w:hAnsi="Arial" w:eastAsia="Calibri" w:cs="Arial"/>
        </w:rPr>
        <w:t>la contratación</w:t>
      </w:r>
      <w:r w:rsidRPr="00C24652" w:rsidR="00FB46F6">
        <w:rPr>
          <w:rFonts w:ascii="Arial" w:hAnsi="Arial" w:eastAsia="Calibri" w:cs="Arial"/>
        </w:rPr>
        <w:t xml:space="preserve"> realizada con dineros públicos, para lo cual establecerá los patrones a que haya lugar y se encargará de su difusión a través de canales electrónicos»</w:t>
      </w:r>
      <w:r w:rsidRPr="00C24652" w:rsidR="00FB46F6">
        <w:rPr>
          <w:rFonts w:ascii="Arial" w:hAnsi="Arial" w:eastAsia="Calibri" w:cs="Arial"/>
          <w:vertAlign w:val="superscript"/>
        </w:rPr>
        <w:footnoteReference w:id="2"/>
      </w:r>
      <w:r w:rsidRPr="00C24652" w:rsidR="00FB46F6">
        <w:rPr>
          <w:rFonts w:ascii="Arial" w:hAnsi="Arial" w:eastAsia="Calibri" w:cs="Arial"/>
        </w:rPr>
        <w:t xml:space="preserve">. </w:t>
      </w:r>
      <w:bookmarkStart w:name="_Hlk109055109" w:id="5"/>
      <w:bookmarkStart w:name="_Hlk109111865" w:id="6"/>
    </w:p>
    <w:p w:rsidRPr="00C24652" w:rsidR="00A8210F" w:rsidP="004D19F4" w:rsidRDefault="00242753" w14:paraId="1189AC1A" w14:textId="0C0A358B">
      <w:pPr>
        <w:spacing w:after="120" w:line="276" w:lineRule="auto"/>
        <w:ind w:firstLine="708"/>
        <w:jc w:val="both"/>
        <w:rPr>
          <w:rFonts w:ascii="Arial" w:hAnsi="Arial" w:eastAsia="Calibri" w:cs="Arial"/>
          <w:lang w:val="es-ES_tradnl" w:eastAsia="es-ES_tradnl"/>
        </w:rPr>
      </w:pPr>
      <w:bookmarkStart w:name="_Hlk110868625" w:id="7"/>
      <w:bookmarkEnd w:id="4"/>
      <w:bookmarkEnd w:id="3"/>
      <w:r w:rsidRPr="00C24652">
        <w:rPr>
          <w:rFonts w:ascii="Arial" w:hAnsi="Arial" w:eastAsia="Times New Roman" w:cs="Arial"/>
          <w:lang w:eastAsia="es-CO"/>
        </w:rPr>
        <w:t>De otra parte, l</w:t>
      </w:r>
      <w:r w:rsidRPr="00C24652" w:rsidR="00A8210F">
        <w:rPr>
          <w:rFonts w:ascii="Arial" w:hAnsi="Arial" w:eastAsia="Times New Roman" w:cs="Arial"/>
          <w:lang w:eastAsia="es-CO"/>
        </w:rPr>
        <w:t xml:space="preserve">a Ley 1712 de 2014, </w:t>
      </w:r>
      <w:r w:rsidRPr="00C24652" w:rsidR="00D80C9F">
        <w:rPr>
          <w:rFonts w:ascii="Arial" w:hAnsi="Arial" w:eastAsia="Calibri" w:cs="Arial"/>
        </w:rPr>
        <w:t>«P</w:t>
      </w:r>
      <w:r w:rsidRPr="00C24652" w:rsidR="00A8210F">
        <w:rPr>
          <w:rFonts w:ascii="Arial" w:hAnsi="Arial" w:eastAsia="Times New Roman" w:cs="Arial"/>
          <w:lang w:eastAsia="es-CO"/>
        </w:rPr>
        <w:t>or medio de la cual se crea la Ley de Transparencia y del Derecho de Acceso a la Información Pública Nacional y se dictan otras disposiciones</w:t>
      </w:r>
      <w:r w:rsidRPr="00C24652" w:rsidR="00070E20">
        <w:rPr>
          <w:rFonts w:ascii="Arial" w:hAnsi="Arial" w:eastAsia="Calibri" w:cs="Arial"/>
        </w:rPr>
        <w:t>»</w:t>
      </w:r>
      <w:r w:rsidRPr="00C24652" w:rsidR="00A8210F">
        <w:rPr>
          <w:rFonts w:ascii="Arial" w:hAnsi="Arial" w:eastAsia="Times New Roman" w:cs="Arial"/>
          <w:lang w:eastAsia="es-CO"/>
        </w:rPr>
        <w:t>, identifica</w:t>
      </w:r>
      <w:r w:rsidRPr="00C24652" w:rsidR="00AB0CC5">
        <w:rPr>
          <w:rFonts w:ascii="Arial" w:hAnsi="Arial" w:eastAsia="Times New Roman" w:cs="Arial"/>
          <w:lang w:eastAsia="es-CO"/>
        </w:rPr>
        <w:t>,</w:t>
      </w:r>
      <w:r w:rsidRPr="00C24652" w:rsidR="00A8210F">
        <w:rPr>
          <w:rFonts w:ascii="Arial" w:hAnsi="Arial" w:eastAsia="Times New Roman" w:cs="Arial"/>
          <w:lang w:eastAsia="es-CO"/>
        </w:rPr>
        <w:t xml:space="preserve">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C24652" w:rsidR="00A8210F">
        <w:rPr>
          <w:rFonts w:ascii="Arial" w:hAnsi="Arial" w:eastAsia="Times New Roman" w:cs="Arial"/>
          <w:vertAlign w:val="superscript"/>
          <w:lang w:eastAsia="es-CO"/>
        </w:rPr>
        <w:footnoteReference w:id="3"/>
      </w:r>
      <w:r w:rsidRPr="00C24652" w:rsidR="00A8210F">
        <w:rPr>
          <w:rFonts w:ascii="Arial" w:hAnsi="Arial" w:eastAsia="Times New Roman" w:cs="Arial"/>
          <w:lang w:eastAsia="es-CO"/>
        </w:rPr>
        <w:t>. El principio de transparencia en la información alude al deber de los sujetos de proporcionar y facilitar el acceso a la misma en los términos más amplios posibles, a través de los medios y procedimientos que establezca la</w:t>
      </w:r>
      <w:r w:rsidRPr="00C24652" w:rsidR="00A8210F">
        <w:rPr>
          <w:rFonts w:ascii="Arial" w:hAnsi="Arial" w:eastAsia="Times New Roman" w:cs="Arial"/>
          <w:spacing w:val="-2"/>
          <w:lang w:eastAsia="es-CO"/>
        </w:rPr>
        <w:t xml:space="preserve"> </w:t>
      </w:r>
      <w:r w:rsidRPr="00C24652" w:rsidR="00A8210F">
        <w:rPr>
          <w:rFonts w:ascii="Arial" w:hAnsi="Arial" w:eastAsia="Times New Roman" w:cs="Arial"/>
          <w:lang w:eastAsia="es-CO"/>
        </w:rPr>
        <w:t>ley</w:t>
      </w:r>
      <w:r w:rsidRPr="00C24652" w:rsidR="00A8210F">
        <w:rPr>
          <w:rFonts w:ascii="Arial" w:hAnsi="Arial" w:eastAsia="Times New Roman" w:cs="Arial"/>
          <w:vertAlign w:val="superscript"/>
          <w:lang w:eastAsia="es-CO"/>
        </w:rPr>
        <w:footnoteReference w:id="4"/>
      </w:r>
      <w:r w:rsidRPr="00C24652" w:rsidR="00A8210F">
        <w:rPr>
          <w:rFonts w:ascii="Arial" w:hAnsi="Arial" w:eastAsia="Times New Roman" w:cs="Arial"/>
          <w:lang w:eastAsia="es-CO"/>
        </w:rPr>
        <w:t xml:space="preserve">. </w:t>
      </w:r>
      <w:r w:rsidRPr="00C24652" w:rsidR="00453345">
        <w:rPr>
          <w:rFonts w:ascii="Arial" w:hAnsi="Arial" w:eastAsia="Times New Roman" w:cs="Arial"/>
          <w:lang w:eastAsia="es-CO"/>
        </w:rPr>
        <w:t xml:space="preserve">Finalmente, </w:t>
      </w:r>
      <w:r w:rsidRPr="00C24652" w:rsidR="00A8210F">
        <w:rPr>
          <w:rFonts w:ascii="Arial" w:hAnsi="Arial" w:eastAsia="Times New Roman" w:cs="Arial"/>
          <w:lang w:eastAsia="es-CO"/>
        </w:rPr>
        <w:t>el principio de buena fe hace referencia al deber de todo sujeto obligado de cumplir con las obligaciones derivadas del derecho de acceso a la información pública con motivación honesta, leal y desprovista de cualquier intención dolosa o culposa</w:t>
      </w:r>
      <w:bookmarkEnd w:id="5"/>
      <w:r w:rsidRPr="00C24652" w:rsidR="00A8210F">
        <w:rPr>
          <w:rFonts w:ascii="Arial" w:hAnsi="Arial" w:eastAsia="Times New Roman" w:cs="Arial"/>
          <w:vertAlign w:val="superscript"/>
          <w:lang w:eastAsia="es-CO"/>
        </w:rPr>
        <w:footnoteReference w:id="5"/>
      </w:r>
      <w:r w:rsidRPr="00C24652" w:rsidR="00A8210F">
        <w:rPr>
          <w:rFonts w:ascii="Arial" w:hAnsi="Arial" w:eastAsia="Times New Roman" w:cs="Arial"/>
          <w:lang w:eastAsia="es-CO"/>
        </w:rPr>
        <w:t xml:space="preserve">. </w:t>
      </w:r>
    </w:p>
    <w:p w:rsidRPr="00C24652" w:rsidR="00A8210F" w:rsidP="004D19F4" w:rsidRDefault="00A8210F" w14:paraId="699C149E" w14:textId="38B12376">
      <w:pPr>
        <w:spacing w:after="120" w:line="276" w:lineRule="auto"/>
        <w:ind w:firstLine="709"/>
        <w:jc w:val="both"/>
        <w:rPr>
          <w:rFonts w:ascii="Arial" w:hAnsi="Arial" w:eastAsia="Times New Roman" w:cs="Arial"/>
          <w:lang w:eastAsia="es-CO"/>
        </w:rPr>
      </w:pPr>
      <w:r w:rsidRPr="00C24652">
        <w:rPr>
          <w:rFonts w:ascii="Arial" w:hAnsi="Arial" w:eastAsia="Times New Roman" w:cs="Arial"/>
          <w:lang w:eastAsia="es-CO"/>
        </w:rPr>
        <w:t xml:space="preserve">La citada </w:t>
      </w:r>
      <w:r w:rsidRPr="00C24652" w:rsidR="00CB4A5C">
        <w:rPr>
          <w:rFonts w:ascii="Arial" w:hAnsi="Arial" w:eastAsia="Times New Roman" w:cs="Arial"/>
          <w:lang w:eastAsia="es-CO"/>
        </w:rPr>
        <w:t>l</w:t>
      </w:r>
      <w:r w:rsidRPr="00C24652">
        <w:rPr>
          <w:rFonts w:ascii="Arial" w:hAnsi="Arial" w:eastAsia="Times New Roman" w:cs="Arial"/>
          <w:lang w:eastAsia="es-CO"/>
        </w:rPr>
        <w:t xml:space="preserve">ey establece, en el literal e) del artículo 9, que los </w:t>
      </w:r>
      <w:r w:rsidRPr="00C24652">
        <w:rPr>
          <w:rFonts w:ascii="Arial" w:hAnsi="Arial" w:eastAsia="Times New Roman" w:cs="Arial"/>
          <w:i/>
          <w:iCs/>
          <w:lang w:eastAsia="es-CO"/>
        </w:rPr>
        <w:t xml:space="preserve">sujetos obligados </w:t>
      </w:r>
      <w:r w:rsidRPr="00C24652">
        <w:rPr>
          <w:rFonts w:ascii="Arial" w:hAnsi="Arial" w:eastAsia="Times New Roman" w:cs="Arial"/>
          <w:lang w:eastAsia="es-CO"/>
        </w:rPr>
        <w:t>deben publicar la información relativa a su contratación</w:t>
      </w:r>
      <w:r w:rsidRPr="00C24652" w:rsidR="00353EBC">
        <w:rPr>
          <w:rStyle w:val="Refdenotaalpie"/>
          <w:rFonts w:ascii="Arial" w:hAnsi="Arial" w:eastAsia="Times New Roman" w:cs="Arial"/>
          <w:lang w:eastAsia="es-CO"/>
        </w:rPr>
        <w:footnoteReference w:id="6"/>
      </w:r>
      <w:r w:rsidRPr="00C24652">
        <w:rPr>
          <w:rFonts w:ascii="Arial" w:hAnsi="Arial" w:eastAsia="Times New Roman" w:cs="Arial"/>
          <w:lang w:eastAsia="es-CO"/>
        </w:rPr>
        <w:t xml:space="preserve">. </w:t>
      </w:r>
      <w:r w:rsidRPr="00C24652">
        <w:rPr>
          <w:rFonts w:ascii="Arial" w:hAnsi="Arial" w:eastAsia="Arial MT" w:cs="Arial"/>
          <w:lang w:val="es-ES"/>
        </w:rPr>
        <w:t xml:space="preserve">El artículo 5 </w:t>
      </w:r>
      <w:r w:rsidRPr="00C24652">
        <w:rPr>
          <w:rFonts w:ascii="Arial" w:hAnsi="Arial" w:eastAsia="Arial MT" w:cs="Arial"/>
          <w:i/>
          <w:iCs/>
          <w:lang w:val="es-ES"/>
        </w:rPr>
        <w:t>ibidem</w:t>
      </w:r>
      <w:r w:rsidRPr="00C24652">
        <w:rPr>
          <w:rFonts w:ascii="Arial" w:hAnsi="Arial" w:eastAsia="Arial MT" w:cs="Arial"/>
          <w:lang w:val="es-ES"/>
        </w:rPr>
        <w:t xml:space="preserve">, al describir qué se entiende por sujetos obligados, consagra una lista cuyo propósito es incluir a cualquier entidad, órgano, organismo, o persona natural que desempeñe funciones públicas o administre recursos públicos. </w:t>
      </w:r>
      <w:r w:rsidRPr="00C24652" w:rsidR="00B61EFC">
        <w:rPr>
          <w:rFonts w:ascii="Arial" w:hAnsi="Arial" w:eastAsia="Arial MT" w:cs="Arial"/>
          <w:lang w:val="es-ES"/>
        </w:rPr>
        <w:t>Igualmente</w:t>
      </w:r>
      <w:r w:rsidRPr="00C24652" w:rsidR="00B02EAF">
        <w:rPr>
          <w:rFonts w:ascii="Arial" w:hAnsi="Arial" w:eastAsia="Arial MT" w:cs="Arial"/>
          <w:lang w:val="es-ES"/>
        </w:rPr>
        <w:t>,</w:t>
      </w:r>
      <w:r w:rsidRPr="00C24652">
        <w:rPr>
          <w:rFonts w:ascii="Arial" w:hAnsi="Arial" w:eastAsia="Arial MT" w:cs="Arial"/>
          <w:lang w:val="es-ES"/>
        </w:rPr>
        <w:t xml:space="preserve"> </w:t>
      </w:r>
      <w:r w:rsidRPr="00C24652" w:rsidR="00C41E2C">
        <w:rPr>
          <w:rFonts w:ascii="Arial" w:hAnsi="Arial" w:eastAsia="Arial MT" w:cs="Arial"/>
          <w:lang w:val="es-ES"/>
        </w:rPr>
        <w:t xml:space="preserve">establece que </w:t>
      </w:r>
      <w:r w:rsidRPr="00C24652">
        <w:rPr>
          <w:rFonts w:ascii="Arial" w:hAnsi="Arial" w:eastAsia="Arial MT" w:cs="Arial"/>
          <w:lang w:val="es-ES"/>
        </w:rPr>
        <w:t>son sujetos obligados las empresas públicas, las empresas del Estado y las sociedades en las que el Estado tenga participación, sin que importe su monto</w:t>
      </w:r>
      <w:bookmarkEnd w:id="6"/>
      <w:r w:rsidRPr="00C24652">
        <w:rPr>
          <w:rFonts w:ascii="Arial" w:hAnsi="Arial" w:eastAsia="Times New Roman" w:cs="Arial"/>
          <w:vertAlign w:val="superscript"/>
          <w:lang w:eastAsia="es-CO"/>
        </w:rPr>
        <w:footnoteReference w:id="7"/>
      </w:r>
      <w:r w:rsidRPr="00C24652">
        <w:rPr>
          <w:rFonts w:ascii="Arial" w:hAnsi="Arial" w:eastAsia="Arial MT" w:cs="Arial"/>
          <w:lang w:val="es-ES"/>
        </w:rPr>
        <w:t>.</w:t>
      </w:r>
      <w:r w:rsidRPr="00C24652">
        <w:rPr>
          <w:rFonts w:ascii="Arial" w:hAnsi="Arial" w:eastAsia="Times New Roman" w:cs="Arial"/>
          <w:lang w:eastAsia="es-CO"/>
        </w:rPr>
        <w:t xml:space="preserve"> </w:t>
      </w:r>
      <w:r w:rsidRPr="00C24652" w:rsidR="00672768">
        <w:rPr>
          <w:rFonts w:ascii="Arial" w:hAnsi="Arial" w:eastAsia="Times New Roman" w:cs="Arial"/>
          <w:lang w:eastAsia="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7"/>
    <w:p w:rsidRPr="00C24652" w:rsidR="0040088E" w:rsidP="004D19F4" w:rsidRDefault="00A8210F" w14:paraId="48CC690A" w14:textId="6772C179">
      <w:pPr>
        <w:spacing w:after="120" w:line="276" w:lineRule="auto"/>
        <w:ind w:firstLine="709"/>
        <w:jc w:val="both"/>
        <w:rPr>
          <w:rFonts w:ascii="Arial" w:hAnsi="Arial" w:eastAsia="Calibri" w:cs="Arial"/>
          <w:lang w:val="es-ES_tradnl"/>
        </w:rPr>
      </w:pPr>
      <w:r w:rsidRPr="00C24652">
        <w:rPr>
          <w:rFonts w:ascii="Arial" w:hAnsi="Arial" w:eastAsia="Times New Roman" w:cs="Arial"/>
          <w:lang w:eastAsia="es-CO"/>
        </w:rPr>
        <w:t>La</w:t>
      </w:r>
      <w:r w:rsidRPr="00C24652" w:rsidR="00F35FF4">
        <w:rPr>
          <w:rFonts w:ascii="Arial" w:hAnsi="Arial" w:eastAsia="Times New Roman" w:cs="Arial"/>
          <w:lang w:eastAsia="es-CO"/>
        </w:rPr>
        <w:t xml:space="preserve"> </w:t>
      </w:r>
      <w:r w:rsidRPr="00C24652">
        <w:rPr>
          <w:rFonts w:ascii="Arial" w:hAnsi="Arial" w:eastAsia="Times New Roman" w:cs="Arial"/>
          <w:lang w:eastAsia="es-CO"/>
        </w:rPr>
        <w:t>obligación</w:t>
      </w:r>
      <w:r w:rsidRPr="00C24652" w:rsidR="00DD697E">
        <w:rPr>
          <w:rFonts w:ascii="Arial" w:hAnsi="Arial" w:eastAsia="Times New Roman" w:cs="Arial"/>
          <w:lang w:eastAsia="es-CO"/>
        </w:rPr>
        <w:t xml:space="preserve"> de publicidad</w:t>
      </w:r>
      <w:r w:rsidRPr="00C24652" w:rsidR="00F35FF4">
        <w:rPr>
          <w:rFonts w:ascii="Arial" w:hAnsi="Arial" w:eastAsia="Times New Roman" w:cs="Arial"/>
          <w:lang w:eastAsia="es-CO"/>
        </w:rPr>
        <w:t xml:space="preserve"> antes </w:t>
      </w:r>
      <w:r w:rsidRPr="00C24652" w:rsidR="00993E31">
        <w:rPr>
          <w:rFonts w:ascii="Arial" w:hAnsi="Arial" w:eastAsia="Times New Roman" w:cs="Arial"/>
          <w:lang w:eastAsia="es-CO"/>
        </w:rPr>
        <w:t>mencionada</w:t>
      </w:r>
      <w:r w:rsidRPr="00C24652" w:rsidR="00311A69">
        <w:rPr>
          <w:rFonts w:ascii="Arial" w:hAnsi="Arial" w:eastAsia="Times New Roman" w:cs="Arial"/>
          <w:lang w:eastAsia="es-CO"/>
        </w:rPr>
        <w:t xml:space="preserve"> </w:t>
      </w:r>
      <w:r w:rsidRPr="00C24652">
        <w:rPr>
          <w:rFonts w:ascii="Arial" w:hAnsi="Arial" w:eastAsia="Times New Roman" w:cs="Arial"/>
          <w:lang w:eastAsia="es-CO"/>
        </w:rPr>
        <w:t>fue desarrollada</w:t>
      </w:r>
      <w:r w:rsidRPr="00C24652" w:rsidR="00133851">
        <w:rPr>
          <w:rFonts w:ascii="Arial" w:hAnsi="Arial" w:eastAsia="Times New Roman" w:cs="Arial"/>
          <w:lang w:eastAsia="es-CO"/>
        </w:rPr>
        <w:t xml:space="preserve"> a través </w:t>
      </w:r>
      <w:r w:rsidRPr="00C24652" w:rsidR="00230142">
        <w:rPr>
          <w:rFonts w:ascii="Arial" w:hAnsi="Arial" w:eastAsia="Times New Roman" w:cs="Arial"/>
          <w:lang w:eastAsia="es-CO"/>
        </w:rPr>
        <w:t>del Decreto Reglamentario 103 de 2015</w:t>
      </w:r>
      <w:r w:rsidRPr="00C24652" w:rsidR="00230142">
        <w:rPr>
          <w:rFonts w:ascii="Arial" w:hAnsi="Arial" w:eastAsia="Calibri" w:cs="Arial"/>
          <w:lang w:val="es-ES_tradnl"/>
        </w:rPr>
        <w:t>–«Por el cual se reglamenta parcialmente la Ley 1712 de 2014 y se dictan otras disposiciones»–</w:t>
      </w:r>
      <w:r w:rsidRPr="00C24652" w:rsidR="00D335BC">
        <w:rPr>
          <w:rFonts w:ascii="Arial" w:hAnsi="Arial" w:eastAsia="Calibri" w:cs="Arial"/>
          <w:lang w:val="es-ES_tradnl"/>
        </w:rPr>
        <w:t xml:space="preserve">, el cual fue recopilado en el </w:t>
      </w:r>
      <w:r w:rsidRPr="00C24652" w:rsidR="00D335BC">
        <w:rPr>
          <w:rFonts w:ascii="Arial" w:hAnsi="Arial" w:eastAsia="Times New Roman" w:cs="Arial"/>
          <w:lang w:eastAsia="es-CO"/>
        </w:rPr>
        <w:t>Decreto Único Reglamentario 1081 de 2015</w:t>
      </w:r>
      <w:r w:rsidRPr="00C24652" w:rsidR="001C70DB">
        <w:rPr>
          <w:rFonts w:ascii="Arial" w:hAnsi="Arial" w:eastAsia="Calibri" w:cs="Arial"/>
          <w:lang w:val="es-ES_tradnl"/>
        </w:rPr>
        <w:t xml:space="preserve">. Puntualmente, </w:t>
      </w:r>
      <w:r w:rsidRPr="00C24652" w:rsidR="002E752A">
        <w:rPr>
          <w:rFonts w:ascii="Arial" w:hAnsi="Arial" w:eastAsia="Calibri" w:cs="Arial"/>
          <w:lang w:val="es-ES_tradnl"/>
        </w:rPr>
        <w:t>el</w:t>
      </w:r>
      <w:r w:rsidRPr="00C24652" w:rsidR="001C70DB">
        <w:rPr>
          <w:rFonts w:ascii="Arial" w:hAnsi="Arial" w:eastAsia="Calibri" w:cs="Arial"/>
          <w:lang w:val="es-ES_tradnl"/>
        </w:rPr>
        <w:t xml:space="preserve"> artículo </w:t>
      </w:r>
      <w:r w:rsidRPr="00C24652" w:rsidR="001E3E2F">
        <w:rPr>
          <w:rFonts w:ascii="Arial" w:hAnsi="Arial" w:eastAsia="Calibri" w:cs="Arial"/>
          <w:lang w:val="es-ES_tradnl"/>
        </w:rPr>
        <w:t>7 –</w:t>
      </w:r>
      <w:r w:rsidRPr="00C24652">
        <w:rPr>
          <w:rFonts w:ascii="Arial" w:hAnsi="Arial" w:eastAsia="Times New Roman" w:cs="Arial"/>
          <w:lang w:eastAsia="es-CO"/>
        </w:rPr>
        <w:t>artículo 2.1.1.2.1.7. del Decreto</w:t>
      </w:r>
      <w:r w:rsidRPr="00C24652" w:rsidR="00D335BC">
        <w:rPr>
          <w:rFonts w:ascii="Arial" w:hAnsi="Arial" w:eastAsia="Times New Roman" w:cs="Arial"/>
          <w:lang w:eastAsia="es-CO"/>
        </w:rPr>
        <w:t xml:space="preserve"> </w:t>
      </w:r>
      <w:r w:rsidRPr="00C24652">
        <w:rPr>
          <w:rFonts w:ascii="Arial" w:hAnsi="Arial" w:eastAsia="Times New Roman" w:cs="Arial"/>
          <w:lang w:eastAsia="es-CO"/>
        </w:rPr>
        <w:t>1081 de 2015</w:t>
      </w:r>
      <w:r w:rsidRPr="00C24652">
        <w:rPr>
          <w:rFonts w:ascii="Arial" w:hAnsi="Arial" w:eastAsia="Times New Roman" w:cs="Arial"/>
          <w:vertAlign w:val="superscript"/>
          <w:lang w:eastAsia="es-CO"/>
        </w:rPr>
        <w:footnoteReference w:id="8"/>
      </w:r>
      <w:r w:rsidRPr="00C24652" w:rsidR="001E3E2F">
        <w:rPr>
          <w:rFonts w:ascii="Arial" w:hAnsi="Arial" w:eastAsia="Calibri" w:cs="Arial"/>
          <w:lang w:val="es-ES_tradnl"/>
        </w:rPr>
        <w:t>–</w:t>
      </w:r>
      <w:r w:rsidRPr="00C24652">
        <w:rPr>
          <w:rFonts w:ascii="Arial" w:hAnsi="Arial" w:eastAsia="Times New Roman" w:cs="Arial"/>
          <w:lang w:eastAsia="es-CO"/>
        </w:rPr>
        <w:t xml:space="preserve">, dispone que la publicación de la información </w:t>
      </w:r>
      <w:r w:rsidRPr="00C24652" w:rsidR="00150B1E">
        <w:rPr>
          <w:rFonts w:ascii="Arial" w:hAnsi="Arial" w:eastAsia="Times New Roman" w:cs="Arial"/>
          <w:lang w:eastAsia="es-CO"/>
        </w:rPr>
        <w:t xml:space="preserve">de la gestión </w:t>
      </w:r>
      <w:r w:rsidRPr="00C24652">
        <w:rPr>
          <w:rFonts w:ascii="Arial" w:hAnsi="Arial" w:eastAsia="Times New Roman" w:cs="Arial"/>
          <w:lang w:eastAsia="es-CO"/>
        </w:rPr>
        <w:t>contractual de los sujetos obligados,</w:t>
      </w:r>
      <w:r w:rsidRPr="00C24652">
        <w:rPr>
          <w:rFonts w:ascii="Arial" w:hAnsi="Arial" w:eastAsia="Times New Roman" w:cs="Arial"/>
          <w:spacing w:val="3"/>
          <w:lang w:eastAsia="es-CO"/>
        </w:rPr>
        <w:t xml:space="preserve"> </w:t>
      </w:r>
      <w:r w:rsidRPr="00C24652">
        <w:rPr>
          <w:rFonts w:ascii="Arial" w:hAnsi="Arial" w:eastAsia="Times New Roman" w:cs="Arial"/>
          <w:lang w:eastAsia="es-CO"/>
        </w:rPr>
        <w:t xml:space="preserve">que contratan con cargo a recursos públicos, debe hacerse en el Sistema Electrónico de Contratación Pública ─ SECOP. </w:t>
      </w:r>
      <w:r w:rsidRPr="00C24652" w:rsidR="00E75E61">
        <w:rPr>
          <w:rFonts w:ascii="Arial" w:hAnsi="Arial" w:eastAsia="Times New Roman" w:cs="Arial"/>
          <w:lang w:eastAsia="es-CO"/>
        </w:rPr>
        <w:t>Asimismo,</w:t>
      </w:r>
      <w:r w:rsidRPr="00C24652" w:rsidR="0040088E">
        <w:rPr>
          <w:rFonts w:ascii="Arial" w:hAnsi="Arial" w:eastAsia="Calibri" w:cs="Arial"/>
          <w:lang w:val="es-ES_tradnl"/>
        </w:rPr>
        <w:t xml:space="preserve"> el artículo 8 –artículo 2.1.1.2.1.8. del Decreto 1081 de 2015–, de forma enunciativa, </w:t>
      </w:r>
      <w:r w:rsidRPr="00C24652" w:rsidR="005348E3">
        <w:rPr>
          <w:rFonts w:ascii="Arial" w:hAnsi="Arial" w:eastAsia="Calibri" w:cs="Arial"/>
          <w:lang w:val="es-ES_tradnl"/>
        </w:rPr>
        <w:t xml:space="preserve">señala </w:t>
      </w:r>
      <w:r w:rsidRPr="00C24652" w:rsidR="0040088E">
        <w:rPr>
          <w:rFonts w:ascii="Arial" w:hAnsi="Arial" w:eastAsia="Calibri" w:cs="Arial"/>
          <w:lang w:val="es-ES_tradnl"/>
        </w:rPr>
        <w:t>que se debe publicar la información relativa a la ejecución del contrato, como las aprobaciones, autorizaciones, requerimientos o informes del supervisor o interventor, que aprueben la ejecución del contrato</w:t>
      </w:r>
      <w:r w:rsidRPr="00C24652" w:rsidR="0040088E">
        <w:rPr>
          <w:rStyle w:val="Refdenotaalpie"/>
          <w:rFonts w:ascii="Arial" w:hAnsi="Arial" w:eastAsia="Calibri" w:cs="Arial"/>
          <w:lang w:val="es-ES_tradnl"/>
        </w:rPr>
        <w:footnoteReference w:id="9"/>
      </w:r>
      <w:r w:rsidRPr="00C24652" w:rsidR="0040088E">
        <w:rPr>
          <w:rFonts w:ascii="Arial" w:hAnsi="Arial" w:eastAsia="Calibri" w:cs="Arial"/>
          <w:lang w:val="es-ES_tradnl"/>
        </w:rPr>
        <w:t xml:space="preserve">. </w:t>
      </w:r>
      <w:r w:rsidRPr="00C24652" w:rsidR="00BC34E0">
        <w:rPr>
          <w:rFonts w:ascii="Arial" w:hAnsi="Arial" w:eastAsia="Calibri" w:cs="Arial"/>
          <w:lang w:val="es-ES_tradnl"/>
        </w:rPr>
        <w:t>Más adelante</w:t>
      </w:r>
      <w:r w:rsidRPr="00C24652" w:rsidR="0040088E">
        <w:rPr>
          <w:rFonts w:ascii="Arial" w:hAnsi="Arial" w:eastAsia="Calibri" w:cs="Arial"/>
          <w:lang w:val="es-ES_tradnl"/>
        </w:rPr>
        <w:t xml:space="preserve">, el artículo 9 del Decreto 103 de 2015 –artículo 2.1.1.2.1.9. del Decreto 1081 de 2015– </w:t>
      </w:r>
      <w:r w:rsidRPr="00C24652" w:rsidR="009C3500">
        <w:rPr>
          <w:rFonts w:ascii="Arial" w:hAnsi="Arial" w:eastAsia="Calibri" w:cs="Arial"/>
          <w:lang w:val="es-ES_tradnl"/>
        </w:rPr>
        <w:t xml:space="preserve">indica </w:t>
      </w:r>
      <w:r w:rsidRPr="00C24652" w:rsidR="0040088E">
        <w:rPr>
          <w:rFonts w:ascii="Arial" w:hAnsi="Arial" w:eastAsia="Calibri" w:cs="Arial"/>
          <w:lang w:val="es-ES_tradnl"/>
        </w:rPr>
        <w:t>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4652" w:rsidR="0040088E">
        <w:rPr>
          <w:rStyle w:val="Refdenotaalpie"/>
          <w:rFonts w:ascii="Arial" w:hAnsi="Arial" w:eastAsia="Calibri" w:cs="Arial"/>
          <w:lang w:val="es-ES_tradnl"/>
        </w:rPr>
        <w:footnoteReference w:id="10"/>
      </w:r>
      <w:r w:rsidRPr="00C24652" w:rsidR="0040088E">
        <w:rPr>
          <w:rFonts w:ascii="Arial" w:hAnsi="Arial" w:eastAsia="Calibri" w:cs="Arial"/>
          <w:lang w:val="es-ES_tradnl"/>
        </w:rPr>
        <w:t>. Finalmente, el artículo 10 del Decreto 103 de 2015 –</w:t>
      </w:r>
      <w:r w:rsidRPr="00C24652" w:rsidR="0040088E">
        <w:rPr>
          <w:rFonts w:ascii="Arial" w:hAnsi="Arial" w:cs="Arial"/>
          <w:lang w:val="es-ES_tradnl"/>
        </w:rPr>
        <w:t xml:space="preserve">artículo </w:t>
      </w:r>
      <w:r w:rsidRPr="00C24652" w:rsidR="0040088E">
        <w:rPr>
          <w:rFonts w:ascii="Arial" w:hAnsi="Arial" w:eastAsia="Calibri" w:cs="Arial"/>
          <w:lang w:val="es-ES_tradnl"/>
        </w:rPr>
        <w:t>2.1.1.2.1.10. del Decreto 1081 de 2015– consagra la obligación que tienen las entidades estatales de publicar en el SECOP el Plan Anual de Adquisiciones</w:t>
      </w:r>
      <w:r w:rsidRPr="00C24652" w:rsidR="0040088E">
        <w:rPr>
          <w:rStyle w:val="Refdenotaalpie"/>
          <w:rFonts w:ascii="Arial" w:hAnsi="Arial" w:eastAsia="Calibri" w:cs="Arial"/>
          <w:lang w:val="es-ES_tradnl"/>
        </w:rPr>
        <w:footnoteReference w:id="11"/>
      </w:r>
      <w:r w:rsidRPr="00C24652" w:rsidR="0040088E">
        <w:rPr>
          <w:rFonts w:ascii="Arial" w:hAnsi="Arial" w:eastAsia="Calibri" w:cs="Arial"/>
          <w:lang w:val="es-ES_tradnl"/>
        </w:rPr>
        <w:t>.</w:t>
      </w:r>
    </w:p>
    <w:p w:rsidRPr="00C24652" w:rsidR="00A8210F" w:rsidP="004D19F4" w:rsidRDefault="00C75D27" w14:paraId="17E4C367" w14:textId="10612955">
      <w:pPr>
        <w:spacing w:after="0" w:line="276" w:lineRule="auto"/>
        <w:ind w:firstLine="709"/>
        <w:contextualSpacing/>
        <w:jc w:val="both"/>
        <w:rPr>
          <w:rFonts w:ascii="Arial" w:hAnsi="Arial" w:cs="Arial"/>
        </w:rPr>
      </w:pPr>
      <w:bookmarkStart w:name="_Hlk109111930" w:id="9"/>
      <w:r>
        <w:rPr>
          <w:rFonts w:ascii="Arial" w:hAnsi="Arial" w:cs="Arial"/>
        </w:rPr>
        <w:t>L</w:t>
      </w:r>
      <w:r w:rsidRPr="00C24652" w:rsidR="00A8210F">
        <w:rPr>
          <w:rFonts w:ascii="Arial" w:hAnsi="Arial" w:cs="Arial"/>
        </w:rPr>
        <w:t>as disposiciones normativas</w:t>
      </w:r>
      <w:r w:rsidRPr="00C24652" w:rsidR="001D7719">
        <w:rPr>
          <w:rFonts w:ascii="Arial" w:hAnsi="Arial" w:cs="Arial"/>
        </w:rPr>
        <w:t xml:space="preserve"> antes señaladas</w:t>
      </w:r>
      <w:r w:rsidRPr="00C24652" w:rsidR="00095EF4">
        <w:rPr>
          <w:rFonts w:ascii="Arial" w:hAnsi="Arial" w:cs="Arial"/>
        </w:rPr>
        <w:t xml:space="preserve"> referentes a la obligación de las entidades con regímenes especiales de publicar en el SECOP lo relativo a su actividad contractual</w:t>
      </w:r>
      <w:r w:rsidR="00775573">
        <w:rPr>
          <w:rFonts w:ascii="Arial" w:hAnsi="Arial" w:cs="Arial"/>
        </w:rPr>
        <w:t>,</w:t>
      </w:r>
      <w:r w:rsidRPr="00C24652" w:rsidR="00A8210F">
        <w:rPr>
          <w:rFonts w:ascii="Arial" w:hAnsi="Arial" w:cs="Arial"/>
        </w:rPr>
        <w:t xml:space="preserve"> fueron complementadas con la expedición de la Ley 2195 de 2022, </w:t>
      </w:r>
      <w:r w:rsidRPr="00C24652" w:rsidR="00256339">
        <w:rPr>
          <w:rFonts w:ascii="Arial" w:hAnsi="Arial" w:eastAsia="Calibri" w:cs="Arial"/>
        </w:rPr>
        <w:t>«P</w:t>
      </w:r>
      <w:r w:rsidRPr="00C24652" w:rsidR="00A8210F">
        <w:rPr>
          <w:rFonts w:ascii="Arial" w:hAnsi="Arial" w:cs="Arial"/>
        </w:rPr>
        <w:t>or medio de la cual se adoptan medidas en materia de transparencia, prevención y lucha contra la corrupción</w:t>
      </w:r>
      <w:r w:rsidRPr="00C24652" w:rsidR="00516FCE">
        <w:rPr>
          <w:rFonts w:ascii="Arial" w:hAnsi="Arial" w:cs="Arial"/>
        </w:rPr>
        <w:t xml:space="preserve"> y se dictan otras </w:t>
      </w:r>
      <w:r w:rsidRPr="00C24652" w:rsidR="00E92BF8">
        <w:rPr>
          <w:rFonts w:ascii="Arial" w:hAnsi="Arial" w:cs="Arial"/>
        </w:rPr>
        <w:t>disposiciones</w:t>
      </w:r>
      <w:r w:rsidRPr="00C24652" w:rsidR="00256339">
        <w:rPr>
          <w:rFonts w:ascii="Arial" w:hAnsi="Arial" w:eastAsia="Calibri" w:cs="Arial"/>
        </w:rPr>
        <w:t>»</w:t>
      </w:r>
      <w:r w:rsidRPr="00C24652" w:rsidR="00A8210F">
        <w:rPr>
          <w:rFonts w:ascii="Arial" w:hAnsi="Arial" w:cs="Arial"/>
        </w:rPr>
        <w:t xml:space="preserve">. </w:t>
      </w:r>
      <w:r w:rsidRPr="00C24652" w:rsidR="00A8210F">
        <w:rPr>
          <w:rFonts w:ascii="Arial" w:hAnsi="Arial" w:eastAsia="Calibri" w:cs="Arial"/>
          <w:lang w:val="es-ES_tradnl" w:eastAsia="es-ES_tradnl"/>
        </w:rPr>
        <w:t>Según el artículo 1, esta Ley «</w:t>
      </w:r>
      <w:r w:rsidRPr="00C24652" w:rsidR="00A8210F">
        <w:rPr>
          <w:rFonts w:ascii="Arial" w:hAnsi="Arial" w:eastAsia="Times New Roman" w:cs="Arial"/>
          <w:lang w:val="es-ES_tradnl" w:eastAsia="es-ES_tradnl"/>
        </w:rPr>
        <w:t xml:space="preserve">[…] </w:t>
      </w:r>
      <w:r w:rsidRPr="00C24652" w:rsidR="00A8210F">
        <w:rPr>
          <w:rFonts w:ascii="Arial" w:hAnsi="Arial" w:eastAsia="Calibri"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w:t>
      </w:r>
      <w:r w:rsidRPr="00C24652" w:rsidR="004637A2">
        <w:rPr>
          <w:rFonts w:ascii="Arial" w:hAnsi="Arial" w:eastAsia="Calibri" w:cs="Arial"/>
          <w:lang w:val="es-ES_tradnl" w:eastAsia="es-ES_tradnl"/>
        </w:rPr>
        <w:t>la mencionada</w:t>
      </w:r>
      <w:r w:rsidRPr="00C24652" w:rsidR="00A8210F">
        <w:rPr>
          <w:rFonts w:ascii="Arial" w:hAnsi="Arial" w:eastAsia="Calibri" w:cs="Arial"/>
          <w:lang w:val="es-ES_tradnl" w:eastAsia="es-ES_tradnl"/>
        </w:rPr>
        <w:t xml:space="preserve"> Ley, que lleva por título «Disposiciones en materia contractual para la moralización y la transparencia», se ubica </w:t>
      </w:r>
      <w:r w:rsidRPr="00C24652" w:rsidR="00A8210F">
        <w:rPr>
          <w:rFonts w:ascii="Arial" w:hAnsi="Arial" w:cs="Arial"/>
        </w:rPr>
        <w:t>el artículo 53, mediante el cual se adiciona el artículo 13 de la Ley 1150 de 2007. La referida disposición les asigna a las entidades estatales que</w:t>
      </w:r>
      <w:r>
        <w:rPr>
          <w:rFonts w:ascii="Arial" w:hAnsi="Arial" w:cs="Arial"/>
        </w:rPr>
        <w:t xml:space="preserve"> </w:t>
      </w:r>
      <w:r w:rsidRPr="00C24652" w:rsidR="00A8210F">
        <w:rPr>
          <w:rFonts w:ascii="Arial" w:hAnsi="Arial" w:cs="Arial"/>
        </w:rPr>
        <w:t>por disposición legal cuenten con un régimen contractual excepcional al del Estatuto General de Contratación de la Administración Pública</w:t>
      </w:r>
      <w:r>
        <w:rPr>
          <w:rFonts w:ascii="Arial" w:hAnsi="Arial" w:cs="Arial"/>
        </w:rPr>
        <w:t>,</w:t>
      </w:r>
      <w:r w:rsidRPr="00C24652" w:rsidR="00A8210F">
        <w:rPr>
          <w:rFonts w:ascii="Arial" w:hAnsi="Arial" w:cs="Arial"/>
        </w:rPr>
        <w:t xml:space="preserve"> </w:t>
      </w:r>
      <w:r w:rsidRPr="00C24652" w:rsidR="0062579D">
        <w:rPr>
          <w:rFonts w:ascii="Arial" w:hAnsi="Arial" w:cs="Arial"/>
        </w:rPr>
        <w:t xml:space="preserve">la obligación </w:t>
      </w:r>
      <w:r w:rsidRPr="00C24652" w:rsidR="00A8210F">
        <w:rPr>
          <w:rFonts w:ascii="Arial" w:hAnsi="Arial" w:cs="Arial"/>
        </w:rPr>
        <w:t>de publicar los documentos relacionados con su actividad contractual en el Sistema Electrónico para la Contratación Pública –SECOP II</w:t>
      </w:r>
      <w:r w:rsidR="006E6052">
        <w:rPr>
          <w:rFonts w:ascii="Arial" w:hAnsi="Arial" w:cs="Arial"/>
        </w:rPr>
        <w:t>–</w:t>
      </w:r>
      <w:r w:rsidRPr="00C24652" w:rsidR="00A8210F">
        <w:rPr>
          <w:rFonts w:ascii="Arial" w:hAnsi="Arial" w:cs="Arial"/>
        </w:rPr>
        <w:t xml:space="preserve"> o la plataforma transaccional que haga sus veces. </w:t>
      </w:r>
      <w:bookmarkEnd w:id="9"/>
      <w:r w:rsidRPr="00C24652" w:rsidR="00A8210F">
        <w:rPr>
          <w:rFonts w:ascii="Arial" w:hAnsi="Arial" w:cs="Arial"/>
        </w:rPr>
        <w:t>Al respecto, la norma citada</w:t>
      </w:r>
      <w:r w:rsidR="006E6052">
        <w:rPr>
          <w:rFonts w:ascii="Arial" w:hAnsi="Arial" w:cs="Arial"/>
        </w:rPr>
        <w:t>,</w:t>
      </w:r>
      <w:r w:rsidRPr="00C24652" w:rsidR="00A8210F">
        <w:rPr>
          <w:rFonts w:ascii="Arial" w:hAnsi="Arial" w:cs="Arial"/>
        </w:rPr>
        <w:t xml:space="preserve"> de manera expresa</w:t>
      </w:r>
      <w:r w:rsidR="006E6052">
        <w:rPr>
          <w:rFonts w:ascii="Arial" w:hAnsi="Arial" w:cs="Arial"/>
        </w:rPr>
        <w:t>,</w:t>
      </w:r>
      <w:r w:rsidRPr="00C24652" w:rsidR="00A8210F">
        <w:rPr>
          <w:rFonts w:ascii="Arial" w:hAnsi="Arial" w:cs="Arial"/>
        </w:rPr>
        <w:t xml:space="preserve"> señala:</w:t>
      </w:r>
    </w:p>
    <w:p w:rsidRPr="00C24652" w:rsidR="00A8210F" w:rsidP="00A8210F" w:rsidRDefault="00A8210F" w14:paraId="3E28F9E5" w14:textId="77777777">
      <w:pPr>
        <w:spacing w:after="0" w:line="240" w:lineRule="auto"/>
        <w:ind w:firstLine="301"/>
        <w:contextualSpacing/>
        <w:rPr>
          <w:rFonts w:ascii="Arial" w:hAnsi="Arial" w:cs="Arial"/>
        </w:rPr>
      </w:pPr>
    </w:p>
    <w:p w:rsidRPr="00C24652" w:rsidR="00A8210F" w:rsidP="002C2EC9" w:rsidRDefault="00A8210F" w14:paraId="450797DD" w14:textId="77777777">
      <w:pPr>
        <w:spacing w:after="0" w:line="240" w:lineRule="auto"/>
        <w:ind w:left="709" w:right="709"/>
        <w:contextualSpacing/>
        <w:jc w:val="both"/>
        <w:rPr>
          <w:rFonts w:ascii="Arial" w:hAnsi="Arial" w:eastAsia="Calibri" w:cs="Arial"/>
          <w:sz w:val="21"/>
          <w:szCs w:val="21"/>
        </w:rPr>
      </w:pPr>
      <w:r w:rsidRPr="00C24652">
        <w:rPr>
          <w:rFonts w:ascii="Arial" w:hAnsi="Arial" w:eastAsia="Calibri" w:cs="Arial"/>
          <w:sz w:val="21"/>
          <w:szCs w:val="21"/>
        </w:rPr>
        <w:t>Adiciónese los siguientes incisos al artículo 13 de la Ley 1150 de 2007, el cual quedará así:</w:t>
      </w:r>
    </w:p>
    <w:p w:rsidRPr="00C24652" w:rsidR="00A8210F" w:rsidP="002C2EC9" w:rsidRDefault="00A8210F" w14:paraId="4F59D2AD" w14:textId="77777777">
      <w:pPr>
        <w:spacing w:after="0" w:line="240" w:lineRule="auto"/>
        <w:ind w:left="709" w:right="709"/>
        <w:contextualSpacing/>
        <w:jc w:val="both"/>
        <w:rPr>
          <w:rFonts w:ascii="Arial" w:hAnsi="Arial" w:eastAsia="Calibri" w:cs="Arial"/>
          <w:sz w:val="21"/>
          <w:szCs w:val="21"/>
        </w:rPr>
      </w:pPr>
    </w:p>
    <w:p w:rsidRPr="00C24652" w:rsidR="00A8210F" w:rsidP="002C2EC9" w:rsidRDefault="00A8210F" w14:paraId="43F40513" w14:textId="77777777">
      <w:pPr>
        <w:spacing w:after="0" w:line="240" w:lineRule="auto"/>
        <w:ind w:left="709" w:right="709"/>
        <w:contextualSpacing/>
        <w:jc w:val="both"/>
        <w:rPr>
          <w:rFonts w:ascii="Arial" w:hAnsi="Arial" w:eastAsia="Calibri" w:cs="Arial"/>
          <w:sz w:val="21"/>
          <w:szCs w:val="21"/>
        </w:rPr>
      </w:pPr>
      <w:r w:rsidRPr="00C24652">
        <w:rPr>
          <w:rFonts w:ascii="Arial" w:hAnsi="Arial" w:eastAsia="Calibri"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C24652" w:rsidR="00A8210F" w:rsidP="002C2EC9" w:rsidRDefault="00A8210F" w14:paraId="037375A9" w14:textId="77777777">
      <w:pPr>
        <w:spacing w:after="0" w:line="240" w:lineRule="auto"/>
        <w:ind w:left="709" w:right="709"/>
        <w:contextualSpacing/>
        <w:jc w:val="both"/>
        <w:rPr>
          <w:rFonts w:ascii="Arial" w:hAnsi="Arial" w:eastAsia="Calibri" w:cs="Arial"/>
          <w:sz w:val="21"/>
          <w:szCs w:val="21"/>
        </w:rPr>
      </w:pPr>
    </w:p>
    <w:p w:rsidRPr="00C24652" w:rsidR="00A8210F" w:rsidP="002C2EC9" w:rsidRDefault="00A8210F" w14:paraId="7F757A01" w14:textId="77777777">
      <w:pPr>
        <w:spacing w:after="0" w:line="240" w:lineRule="auto"/>
        <w:ind w:left="709" w:right="709"/>
        <w:contextualSpacing/>
        <w:jc w:val="both"/>
        <w:rPr>
          <w:rFonts w:ascii="Arial" w:hAnsi="Arial" w:eastAsia="Calibri" w:cs="Arial"/>
          <w:i/>
          <w:iCs/>
          <w:sz w:val="21"/>
          <w:szCs w:val="21"/>
        </w:rPr>
      </w:pPr>
      <w:r w:rsidRPr="00C24652">
        <w:rPr>
          <w:rFonts w:ascii="Arial" w:hAnsi="Arial" w:eastAsia="Calibri" w:cs="Arial"/>
          <w:i/>
          <w:iCs/>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rsidRPr="00C24652" w:rsidR="00A8210F" w:rsidP="002C2EC9" w:rsidRDefault="00A8210F" w14:paraId="58D67F9C" w14:textId="77777777">
      <w:pPr>
        <w:spacing w:after="0" w:line="240" w:lineRule="auto"/>
        <w:ind w:left="709" w:right="709"/>
        <w:contextualSpacing/>
        <w:jc w:val="both"/>
        <w:rPr>
          <w:rFonts w:ascii="Arial" w:hAnsi="Arial" w:eastAsia="Calibri" w:cs="Arial"/>
          <w:sz w:val="21"/>
          <w:szCs w:val="21"/>
        </w:rPr>
      </w:pPr>
    </w:p>
    <w:p w:rsidRPr="00C24652" w:rsidR="00A8210F" w:rsidP="002C2EC9" w:rsidRDefault="00A8210F" w14:paraId="37EA5844" w14:textId="77777777">
      <w:pPr>
        <w:spacing w:after="0" w:line="240" w:lineRule="auto"/>
        <w:ind w:left="709" w:right="709"/>
        <w:contextualSpacing/>
        <w:jc w:val="both"/>
        <w:rPr>
          <w:rFonts w:ascii="Arial" w:hAnsi="Arial" w:eastAsia="Calibri" w:cs="Arial"/>
          <w:sz w:val="21"/>
          <w:szCs w:val="21"/>
        </w:rPr>
      </w:pPr>
      <w:r w:rsidRPr="00C24652">
        <w:rPr>
          <w:rFonts w:ascii="Arial" w:hAnsi="Arial" w:eastAsia="Calibri" w:cs="Arial"/>
          <w:sz w:val="21"/>
          <w:szCs w:val="21"/>
        </w:rPr>
        <w:t>A partir de la entrada en vigencia de la presente Ley, se establecerá un periodo de transición de seis (6) meses, para que las entidades den cumplimiento efectivo a lo aquí establecido. (Cursiva fuera del original).</w:t>
      </w:r>
    </w:p>
    <w:p w:rsidRPr="00C24652" w:rsidR="00A8210F" w:rsidP="00A8210F" w:rsidRDefault="00A8210F" w14:paraId="34490551" w14:textId="77777777">
      <w:pPr>
        <w:spacing w:after="0" w:line="240" w:lineRule="auto"/>
        <w:ind w:firstLine="709"/>
        <w:contextualSpacing/>
        <w:jc w:val="both"/>
        <w:rPr>
          <w:rFonts w:ascii="Arial" w:hAnsi="Arial" w:eastAsia="Calibri" w:cs="Arial"/>
          <w:lang w:val="es-ES_tradnl"/>
        </w:rPr>
      </w:pPr>
    </w:p>
    <w:p w:rsidRPr="00C24652" w:rsidR="00CB7D3D" w:rsidP="001B24F7" w:rsidRDefault="00CB7D3D" w14:paraId="4CB587EB" w14:textId="7A7B6383">
      <w:pPr>
        <w:spacing w:after="120" w:line="276" w:lineRule="auto"/>
        <w:ind w:firstLine="709"/>
        <w:jc w:val="both"/>
        <w:rPr>
          <w:rFonts w:ascii="Arial" w:hAnsi="Arial" w:eastAsia="Calibri" w:cs="Arial"/>
          <w:lang w:val="es-ES_tradnl"/>
        </w:rPr>
      </w:pPr>
      <w:r w:rsidRPr="00C24652">
        <w:rPr>
          <w:rFonts w:ascii="Arial" w:hAnsi="Arial" w:eastAsia="Calibri" w:cs="Arial"/>
          <w:lang w:val="es-ES_tradnl"/>
        </w:rPr>
        <w:t>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w:t>
      </w:r>
      <w:r w:rsidRPr="00C24652" w:rsidR="000B39E6">
        <w:rPr>
          <w:rFonts w:ascii="Arial" w:hAnsi="Arial" w:eastAsia="Calibri" w:cs="Arial"/>
          <w:lang w:val="es-ES_tradnl"/>
        </w:rPr>
        <w:t xml:space="preserve">a obligación </w:t>
      </w:r>
      <w:r w:rsidRPr="00C24652">
        <w:rPr>
          <w:rFonts w:ascii="Arial" w:hAnsi="Arial" w:eastAsia="Calibri" w:cs="Arial"/>
          <w:lang w:val="es-ES_tradnl"/>
        </w:rPr>
        <w:t>y l</w:t>
      </w:r>
      <w:r w:rsidRPr="00C24652" w:rsidR="000B39E6">
        <w:rPr>
          <w:rFonts w:ascii="Arial" w:hAnsi="Arial" w:eastAsia="Calibri" w:cs="Arial"/>
          <w:lang w:val="es-ES_tradnl"/>
        </w:rPr>
        <w:t>a</w:t>
      </w:r>
      <w:r w:rsidRPr="00C24652">
        <w:rPr>
          <w:rFonts w:ascii="Arial" w:hAnsi="Arial" w:eastAsia="Calibri" w:cs="Arial"/>
          <w:lang w:val="es-ES_tradnl"/>
        </w:rPr>
        <w:t xml:space="preserve"> complementa con la exigencia de emplear el SECOP II. En otras palabras, </w:t>
      </w:r>
      <w:r w:rsidRPr="00C24652" w:rsidR="00336CC6">
        <w:rPr>
          <w:rFonts w:ascii="Arial" w:hAnsi="Arial" w:eastAsia="Calibri" w:cs="Arial"/>
          <w:lang w:val="es-ES_tradnl"/>
        </w:rPr>
        <w:t>a través del</w:t>
      </w:r>
      <w:r w:rsidRPr="00C24652">
        <w:rPr>
          <w:rFonts w:ascii="Arial" w:hAnsi="Arial" w:eastAsia="Calibri" w:cs="Arial"/>
          <w:lang w:val="es-ES_tradnl"/>
        </w:rPr>
        <w:t xml:space="preserve">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rsidRPr="00C24652" w:rsidR="00A03EE0" w:rsidP="001B24F7" w:rsidRDefault="00DD3E08" w14:paraId="742B0A89" w14:textId="724205C5">
      <w:pPr>
        <w:spacing w:after="120" w:line="276" w:lineRule="auto"/>
        <w:ind w:firstLine="709"/>
        <w:jc w:val="both"/>
        <w:rPr>
          <w:rFonts w:ascii="Arial" w:hAnsi="Arial" w:eastAsia="Calibri" w:cs="Arial"/>
          <w:lang w:val="es-ES_tradnl" w:eastAsia="es-ES_tradnl"/>
        </w:rPr>
      </w:pPr>
      <w:r w:rsidRPr="00C24652">
        <w:rPr>
          <w:rFonts w:ascii="Arial" w:hAnsi="Arial" w:eastAsia="Calibri" w:cs="Arial"/>
          <w:lang w:val="es-ES_tradnl"/>
        </w:rPr>
        <w:t xml:space="preserve">Ahora </w:t>
      </w:r>
      <w:r w:rsidRPr="00C24652" w:rsidR="00E20917">
        <w:rPr>
          <w:rFonts w:ascii="Arial" w:hAnsi="Arial" w:eastAsia="Calibri" w:cs="Arial"/>
          <w:lang w:val="es-ES_tradnl"/>
        </w:rPr>
        <w:t>bien, c</w:t>
      </w:r>
      <w:r w:rsidRPr="00C24652" w:rsidR="00A03EE0">
        <w:rPr>
          <w:rFonts w:ascii="Arial" w:hAnsi="Arial" w:eastAsia="Calibri" w:cs="Arial"/>
          <w:lang w:val="es-ES_tradnl"/>
        </w:rPr>
        <w:t>abe destacar que</w:t>
      </w:r>
      <w:r w:rsidRPr="00C24652" w:rsidR="000F013A">
        <w:rPr>
          <w:rFonts w:ascii="Arial" w:hAnsi="Arial" w:eastAsia="Calibri" w:cs="Arial"/>
          <w:lang w:val="es-ES_tradnl"/>
        </w:rPr>
        <w:t>,</w:t>
      </w:r>
      <w:r w:rsidRPr="00C24652" w:rsidR="00A03EE0">
        <w:rPr>
          <w:rFonts w:ascii="Arial" w:hAnsi="Arial" w:eastAsia="Calibri" w:cs="Arial"/>
          <w:lang w:val="es-ES_tradnl"/>
        </w:rPr>
        <w:t xml:space="preserve"> cuando la norma trascrita hace referencia a que el mencionado deber de publicidad debe cumplirse en el SECOP II o </w:t>
      </w:r>
      <w:r w:rsidRPr="00C24652" w:rsidR="00A03EE0">
        <w:rPr>
          <w:rFonts w:ascii="Arial" w:hAnsi="Arial" w:cs="Arial"/>
        </w:rPr>
        <w:t>«</w:t>
      </w:r>
      <w:r w:rsidRPr="00C24652" w:rsidR="00A03EE0">
        <w:rPr>
          <w:rFonts w:ascii="Arial" w:hAnsi="Arial" w:eastAsia="Calibri" w:cs="Arial"/>
          <w:lang w:val="es-ES_tradnl"/>
        </w:rPr>
        <w:t>la plataforma transaccional que haga sus veces</w:t>
      </w:r>
      <w:r w:rsidRPr="00C24652" w:rsidR="00A03EE0">
        <w:rPr>
          <w:rFonts w:ascii="Arial" w:hAnsi="Arial" w:cs="Arial"/>
        </w:rPr>
        <w:t>»</w:t>
      </w:r>
      <w:r w:rsidRPr="00C24652" w:rsidR="00A03EE0">
        <w:rPr>
          <w:rFonts w:ascii="Arial" w:hAnsi="Arial" w:eastAsia="Calibri" w:cs="Arial"/>
          <w:lang w:val="es-ES_tradnl"/>
        </w:rPr>
        <w:t xml:space="preserve">, esta expresión debe interpretarse </w:t>
      </w:r>
      <w:r w:rsidRPr="00C24652" w:rsidR="00C70DD0">
        <w:rPr>
          <w:rFonts w:ascii="Arial" w:hAnsi="Arial" w:eastAsia="Calibri" w:cs="Arial"/>
          <w:lang w:val="es-ES_tradnl"/>
        </w:rPr>
        <w:t>en el sentido</w:t>
      </w:r>
      <w:r w:rsidRPr="00C24652" w:rsidR="00A03EE0">
        <w:rPr>
          <w:rFonts w:ascii="Arial" w:hAnsi="Arial" w:eastAsia="Calibri" w:cs="Arial"/>
          <w:lang w:val="es-ES_tradnl"/>
        </w:rPr>
        <w:t xml:space="preserve"> de que si bien el SECOP II es la plataforma oficial que actualmente se utiliza como mecanismo transaccional, en caso de que </w:t>
      </w:r>
      <w:r w:rsidRPr="00C24652" w:rsidR="00E9585A">
        <w:rPr>
          <w:rFonts w:ascii="Arial" w:hAnsi="Arial" w:eastAsia="Calibri" w:cs="Arial"/>
          <w:lang w:val="es-ES_tradnl"/>
        </w:rPr>
        <w:t xml:space="preserve">en el futuro </w:t>
      </w:r>
      <w:r w:rsidRPr="00C24652" w:rsidR="00A03EE0">
        <w:rPr>
          <w:rFonts w:ascii="Arial" w:hAnsi="Arial" w:eastAsia="Calibri" w:cs="Arial"/>
          <w:lang w:val="es-ES_tradnl"/>
        </w:rPr>
        <w:t>dicha plataforma sea remplazada por otra que tenga una denominación distinta, las entidades que tienen un régimen exceptuado debe</w:t>
      </w:r>
      <w:r w:rsidRPr="00C24652" w:rsidR="00880510">
        <w:rPr>
          <w:rFonts w:ascii="Arial" w:hAnsi="Arial" w:eastAsia="Calibri" w:cs="Arial"/>
          <w:lang w:val="es-ES_tradnl"/>
        </w:rPr>
        <w:t xml:space="preserve">rán </w:t>
      </w:r>
      <w:r w:rsidRPr="00C24652" w:rsidR="00A03EE0">
        <w:rPr>
          <w:rFonts w:ascii="Arial" w:hAnsi="Arial" w:eastAsia="Calibri" w:cs="Arial"/>
          <w:lang w:val="es-ES_tradnl"/>
        </w:rPr>
        <w:t>continuar publicando la documentación de su actividad contractual en la nueva plataforma</w:t>
      </w:r>
      <w:r w:rsidRPr="00C24652" w:rsidR="002359EA">
        <w:rPr>
          <w:rFonts w:ascii="Arial" w:hAnsi="Arial" w:eastAsia="Calibri" w:cs="Arial"/>
          <w:lang w:val="es-ES_tradnl"/>
        </w:rPr>
        <w:t xml:space="preserve"> transaccional que para efecto se cree</w:t>
      </w:r>
      <w:r w:rsidRPr="00C24652" w:rsidR="00A03EE0">
        <w:rPr>
          <w:rFonts w:ascii="Arial" w:hAnsi="Arial" w:eastAsia="Calibri" w:cs="Arial"/>
          <w:lang w:val="es-ES_tradnl"/>
        </w:rPr>
        <w:t xml:space="preserve">. En ese sentido, la </w:t>
      </w:r>
      <w:r w:rsidRPr="00C24652" w:rsidR="008379A8">
        <w:rPr>
          <w:rFonts w:ascii="Arial" w:hAnsi="Arial" w:eastAsia="Calibri" w:cs="Arial"/>
          <w:lang w:val="es-ES_tradnl"/>
        </w:rPr>
        <w:t>expresión</w:t>
      </w:r>
      <w:r w:rsidRPr="00C24652" w:rsidR="00A03EE0">
        <w:rPr>
          <w:rFonts w:ascii="Arial" w:hAnsi="Arial" w:eastAsia="Calibri" w:cs="Arial"/>
          <w:lang w:val="es-ES_tradnl"/>
        </w:rPr>
        <w:t xml:space="preserve"> </w:t>
      </w:r>
      <w:r w:rsidRPr="00C24652" w:rsidR="00A03EE0">
        <w:rPr>
          <w:rFonts w:ascii="Arial" w:hAnsi="Arial" w:cs="Arial"/>
        </w:rPr>
        <w:t>«</w:t>
      </w:r>
      <w:r w:rsidRPr="00C24652" w:rsidR="00A03EE0">
        <w:rPr>
          <w:rFonts w:ascii="Arial" w:hAnsi="Arial" w:eastAsia="Calibri" w:cs="Arial"/>
          <w:lang w:val="es-ES_tradnl"/>
        </w:rPr>
        <w:t>la plataforma que haga sus veces</w:t>
      </w:r>
      <w:r w:rsidRPr="00C24652" w:rsidR="00A03EE0">
        <w:rPr>
          <w:rFonts w:ascii="Arial" w:hAnsi="Arial" w:cs="Arial"/>
        </w:rPr>
        <w:t>»</w:t>
      </w:r>
      <w:r w:rsidRPr="00C24652" w:rsidR="00A03EE0">
        <w:rPr>
          <w:rFonts w:ascii="Arial" w:hAnsi="Arial" w:eastAsia="Calibri" w:cs="Arial"/>
          <w:lang w:val="es-ES_tradnl"/>
        </w:rPr>
        <w:t xml:space="preserve"> no puede interpretarse como una autorización para que las entidades obligadas en virtud del artículo 53 de la Ley 2195 de 2022 emple</w:t>
      </w:r>
      <w:r w:rsidR="008B3066">
        <w:rPr>
          <w:rFonts w:ascii="Arial" w:hAnsi="Arial" w:eastAsia="Calibri" w:cs="Arial"/>
          <w:lang w:val="es-ES_tradnl"/>
        </w:rPr>
        <w:t>en</w:t>
      </w:r>
      <w:r w:rsidRPr="00C24652" w:rsidR="00A03EE0">
        <w:rPr>
          <w:rFonts w:ascii="Arial" w:hAnsi="Arial" w:eastAsia="Calibri" w:cs="Arial"/>
          <w:lang w:val="es-ES_tradnl"/>
        </w:rPr>
        <w:t xml:space="preserve"> sus páginas web o sus propios portales electrónicos para cumplir con el deber de publicidad que les asiste. </w:t>
      </w:r>
      <w:r w:rsidRPr="00C24652" w:rsidR="00A03EE0">
        <w:rPr>
          <w:rFonts w:ascii="Arial" w:hAnsi="Arial" w:eastAsia="Calibri" w:cs="Arial"/>
          <w:lang w:val="es-ES_tradnl" w:eastAsia="es-ES_tradnl"/>
        </w:rPr>
        <w:t>Con esto se logra que la ciudadanía pueda encontrar en un mismo sistema la gestión de la actividad contractual del Estado, garantizándose en mayor grado la transparencia y el acceso a la documentación pública.</w:t>
      </w:r>
    </w:p>
    <w:p w:rsidRPr="00C24652" w:rsidR="00265BDF" w:rsidP="00265BDF" w:rsidRDefault="00131525" w14:paraId="25869602" w14:textId="04EE92EC">
      <w:pPr>
        <w:spacing w:before="120" w:after="120" w:line="276" w:lineRule="auto"/>
        <w:ind w:firstLine="709"/>
        <w:jc w:val="both"/>
        <w:rPr>
          <w:rFonts w:ascii="Arial" w:hAnsi="Arial" w:eastAsia="Calibri" w:cs="Arial"/>
          <w:lang w:val="es-ES"/>
        </w:rPr>
      </w:pPr>
      <w:bookmarkStart w:name="_Hlk109111956" w:id="10"/>
      <w:r w:rsidRPr="00C24652">
        <w:rPr>
          <w:rFonts w:ascii="Arial" w:hAnsi="Arial" w:eastAsia="Calibri" w:cs="Arial"/>
          <w:lang w:val="es-ES_tradnl"/>
        </w:rPr>
        <w:t>E</w:t>
      </w:r>
      <w:r w:rsidRPr="00C24652" w:rsidR="00265BDF">
        <w:rPr>
          <w:rFonts w:ascii="Arial" w:hAnsi="Arial" w:eastAsia="Calibri" w:cs="Arial"/>
          <w:lang w:val="es-ES_tradnl"/>
        </w:rPr>
        <w:t xml:space="preserve">n cuanto a los documentos que deben ser publicados en el SECOP II a efectos de dar cumplimiento al mandato consagrado en el artículo 53 de la Ley 2195 de 2022, es preciso advertir que la disposición hace referencia a los documentos relacionados con su </w:t>
      </w:r>
      <w:r w:rsidRPr="00C24652" w:rsidR="00265BDF">
        <w:rPr>
          <w:rFonts w:ascii="Arial" w:hAnsi="Arial" w:eastAsia="Calibri" w:cs="Arial"/>
          <w:i/>
          <w:iCs/>
          <w:lang w:val="es-ES_tradnl"/>
        </w:rPr>
        <w:t>actividad contractual,</w:t>
      </w:r>
      <w:r w:rsidRPr="00C24652" w:rsidR="00265BDF">
        <w:rPr>
          <w:rFonts w:ascii="Arial" w:hAnsi="Arial" w:eastAsia="Calibri" w:cs="Arial"/>
          <w:lang w:val="es-ES_tradnl"/>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w:t>
      </w:r>
      <w:r w:rsidRPr="00C24652" w:rsidR="004C7F8D">
        <w:rPr>
          <w:rFonts w:ascii="Arial" w:hAnsi="Arial" w:eastAsia="Calibri" w:cs="Arial"/>
          <w:lang w:val="es-ES_tradnl"/>
        </w:rPr>
        <w:t>.</w:t>
      </w:r>
      <w:bookmarkEnd w:id="10"/>
      <w:r w:rsidRPr="00C24652" w:rsidR="004C7F8D">
        <w:rPr>
          <w:rFonts w:ascii="Arial" w:hAnsi="Arial" w:eastAsia="Calibri" w:cs="Arial"/>
          <w:lang w:val="es-ES_tradnl"/>
        </w:rPr>
        <w:t xml:space="preserve"> </w:t>
      </w:r>
      <w:r w:rsidRPr="00C24652" w:rsidR="00265BDF">
        <w:rPr>
          <w:rFonts w:ascii="Arial" w:hAnsi="Arial" w:eastAsia="Calibri" w:cs="Arial"/>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proceso contractual, </w:t>
      </w:r>
      <w:r w:rsidR="00125E09">
        <w:rPr>
          <w:rFonts w:ascii="Arial" w:hAnsi="Arial" w:eastAsia="Calibri" w:cs="Arial"/>
          <w:lang w:val="es-ES_tradnl"/>
        </w:rPr>
        <w:t>lo que abarca</w:t>
      </w:r>
      <w:r w:rsidRPr="00C24652" w:rsidR="00265BDF">
        <w:rPr>
          <w:rFonts w:ascii="Arial" w:hAnsi="Arial" w:eastAsia="Calibri" w:cs="Arial"/>
          <w:lang w:val="es-ES_tradnl"/>
        </w:rPr>
        <w:t xml:space="preserve"> </w:t>
      </w:r>
      <w:r w:rsidR="00125E09">
        <w:rPr>
          <w:rFonts w:ascii="Arial" w:hAnsi="Arial" w:eastAsia="Calibri" w:cs="Arial"/>
          <w:lang w:val="es-ES_tradnl"/>
        </w:rPr>
        <w:t xml:space="preserve">tanto </w:t>
      </w:r>
      <w:r w:rsidRPr="00C24652" w:rsidR="00265BDF">
        <w:rPr>
          <w:rFonts w:ascii="Arial" w:hAnsi="Arial" w:eastAsia="Calibri" w:cs="Arial"/>
          <w:lang w:val="es-ES_tradnl"/>
        </w:rPr>
        <w:t xml:space="preserve">la fase previa a su celebración, </w:t>
      </w:r>
      <w:r w:rsidR="00125E09">
        <w:rPr>
          <w:rFonts w:ascii="Arial" w:hAnsi="Arial" w:eastAsia="Calibri" w:cs="Arial"/>
          <w:lang w:val="es-ES_tradnl"/>
        </w:rPr>
        <w:t>como</w:t>
      </w:r>
      <w:r w:rsidRPr="00C24652" w:rsidR="00265BDF">
        <w:rPr>
          <w:rFonts w:ascii="Arial" w:hAnsi="Arial" w:eastAsia="Calibri" w:cs="Arial"/>
          <w:lang w:val="es-ES_tradnl"/>
        </w:rPr>
        <w:t xml:space="preserve"> la ejecución y la fase posterior a su ejecución. </w:t>
      </w:r>
      <w:r w:rsidRPr="00C24652" w:rsidR="00265BDF">
        <w:rPr>
          <w:rFonts w:ascii="Arial" w:hAnsi="Arial" w:eastAsia="Calibri" w:cs="Arial"/>
          <w:lang w:val="es-ES"/>
        </w:rPr>
        <w:t xml:space="preserve">Sin perjuicio de lo anterior, vale la pena aclarar que el cumplimiento del deber de </w:t>
      </w:r>
      <w:r w:rsidR="001371BC">
        <w:rPr>
          <w:rFonts w:ascii="Arial" w:hAnsi="Arial" w:eastAsia="Calibri" w:cs="Arial"/>
          <w:lang w:val="es-ES"/>
        </w:rPr>
        <w:t>publicar</w:t>
      </w:r>
      <w:r w:rsidRPr="00C24652" w:rsidR="00265BDF">
        <w:rPr>
          <w:rFonts w:ascii="Arial" w:hAnsi="Arial" w:eastAsia="Calibri" w:cs="Arial"/>
          <w:lang w:val="es-ES"/>
        </w:rPr>
        <w:t xml:space="preserve"> la documentación contractual debe armonizarse con las normas aplicables al tipo de información que estas contienen</w:t>
      </w:r>
      <w:r w:rsidR="001371BC">
        <w:rPr>
          <w:rFonts w:ascii="Arial" w:hAnsi="Arial" w:eastAsia="Calibri" w:cs="Arial"/>
          <w:lang w:val="es-ES"/>
        </w:rPr>
        <w:t>, para garantizar la reserva de</w:t>
      </w:r>
      <w:r w:rsidR="00113087">
        <w:rPr>
          <w:rFonts w:ascii="Arial" w:hAnsi="Arial" w:eastAsia="Calibri" w:cs="Arial"/>
          <w:lang w:val="es-ES"/>
        </w:rPr>
        <w:t xml:space="preserve"> </w:t>
      </w:r>
      <w:r w:rsidR="001371BC">
        <w:rPr>
          <w:rFonts w:ascii="Arial" w:hAnsi="Arial" w:eastAsia="Calibri" w:cs="Arial"/>
          <w:lang w:val="es-ES"/>
        </w:rPr>
        <w:t>alguno</w:t>
      </w:r>
      <w:r w:rsidR="0070063E">
        <w:rPr>
          <w:rFonts w:ascii="Arial" w:hAnsi="Arial" w:eastAsia="Calibri" w:cs="Arial"/>
          <w:lang w:val="es-ES"/>
        </w:rPr>
        <w:t>s documentos o de una parte de estos</w:t>
      </w:r>
      <w:r w:rsidRPr="00C24652" w:rsidR="00265BDF">
        <w:rPr>
          <w:rFonts w:ascii="Arial" w:hAnsi="Arial" w:eastAsia="Calibri" w:cs="Arial"/>
          <w:vertAlign w:val="superscript"/>
          <w:lang w:val="es-ES"/>
        </w:rPr>
        <w:footnoteReference w:id="12"/>
      </w:r>
      <w:r w:rsidRPr="00C24652" w:rsidR="00265BDF">
        <w:rPr>
          <w:rFonts w:ascii="Arial" w:hAnsi="Arial" w:eastAsia="Calibri" w:cs="Arial"/>
          <w:lang w:val="es-ES"/>
        </w:rPr>
        <w:t xml:space="preserve">. </w:t>
      </w:r>
    </w:p>
    <w:p w:rsidRPr="00C24652" w:rsidR="00265BDF" w:rsidP="004C7F8D" w:rsidRDefault="00265BDF" w14:paraId="1B4BEB14" w14:textId="4F872CD1">
      <w:pPr>
        <w:spacing w:before="120" w:after="0" w:line="276" w:lineRule="auto"/>
        <w:ind w:firstLine="709"/>
        <w:jc w:val="both"/>
        <w:rPr>
          <w:rFonts w:ascii="Arial" w:hAnsi="Arial" w:eastAsia="Calibri" w:cs="Arial"/>
          <w:lang w:val="es-ES_tradnl"/>
        </w:rPr>
      </w:pPr>
      <w:bookmarkStart w:name="_Hlk109111976" w:id="11"/>
      <w:r w:rsidRPr="00C24652">
        <w:rPr>
          <w:rFonts w:ascii="Arial" w:hAnsi="Arial" w:eastAsia="Calibri" w:cs="Arial"/>
          <w:lang w:val="es-ES_tradnl"/>
        </w:rPr>
        <w:t>Finalmente,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va del 18 de enero al 18 de julio de 2022.</w:t>
      </w:r>
      <w:bookmarkEnd w:id="11"/>
      <w:r w:rsidRPr="00C24652" w:rsidR="004C7F8D">
        <w:rPr>
          <w:rFonts w:ascii="Arial" w:hAnsi="Arial" w:eastAsia="Calibri" w:cs="Arial"/>
          <w:lang w:val="es-ES_tradnl"/>
        </w:rPr>
        <w:t xml:space="preserve"> </w:t>
      </w:r>
      <w:r w:rsidRPr="00C24652">
        <w:rPr>
          <w:rFonts w:ascii="Arial" w:hAnsi="Arial" w:eastAsia="Calibri" w:cs="Arial"/>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C24652">
        <w:rPr>
          <w:rFonts w:ascii="Arial" w:hAnsi="Arial" w:eastAsia="Calibri" w:cs="Arial"/>
          <w:vertAlign w:val="superscript"/>
          <w:lang w:val="es-ES_tradnl"/>
        </w:rPr>
        <w:footnoteReference w:id="13"/>
      </w:r>
      <w:r w:rsidRPr="00C24652">
        <w:rPr>
          <w:rFonts w:ascii="Arial" w:hAnsi="Arial" w:eastAsia="Calibri" w:cs="Arial"/>
          <w:lang w:val="es-ES_tradnl"/>
        </w:rPr>
        <w:t xml:space="preserve">. </w:t>
      </w:r>
    </w:p>
    <w:p w:rsidRPr="00C24652" w:rsidR="004C7F8D" w:rsidP="00154CDF" w:rsidRDefault="004C7F8D" w14:paraId="648CB75B" w14:textId="77777777">
      <w:pPr>
        <w:spacing w:after="0" w:line="276" w:lineRule="auto"/>
        <w:ind w:firstLine="709"/>
        <w:contextualSpacing/>
        <w:jc w:val="both"/>
        <w:rPr>
          <w:rFonts w:ascii="Arial" w:hAnsi="Arial" w:eastAsia="Calibri" w:cs="Arial"/>
          <w:lang w:val="es-ES_tradnl"/>
        </w:rPr>
      </w:pPr>
    </w:p>
    <w:p w:rsidRPr="00C24652" w:rsidR="00265BDF" w:rsidP="00154CDF" w:rsidRDefault="00265BDF" w14:paraId="36998F61" w14:textId="1F0DB6FC">
      <w:pPr>
        <w:spacing w:after="0" w:line="276" w:lineRule="auto"/>
        <w:contextualSpacing/>
        <w:jc w:val="both"/>
        <w:rPr>
          <w:rFonts w:ascii="Arial" w:hAnsi="Arial" w:eastAsia="Calibri" w:cs="Arial"/>
          <w:b/>
          <w:bCs/>
          <w:lang w:val="es-ES_tradnl" w:eastAsia="es-ES_tradnl"/>
        </w:rPr>
      </w:pPr>
      <w:r w:rsidRPr="00C24652">
        <w:rPr>
          <w:rFonts w:ascii="Arial" w:hAnsi="Arial" w:eastAsia="Calibri" w:cs="Arial"/>
          <w:b/>
          <w:bCs/>
          <w:lang w:val="es-ES_tradnl" w:eastAsia="es-ES_tradnl"/>
        </w:rPr>
        <w:t>2.2. Alcance del deber de las entidades con regímenes especiales de publicar en el SECOP II la información concerniente a su actividad contractual</w:t>
      </w:r>
      <w:r w:rsidR="007D1B2F">
        <w:rPr>
          <w:rFonts w:ascii="Arial" w:hAnsi="Arial" w:eastAsia="Calibri" w:cs="Arial"/>
          <w:b/>
          <w:bCs/>
          <w:lang w:val="es-ES_tradnl" w:eastAsia="es-ES_tradnl"/>
        </w:rPr>
        <w:t>.</w:t>
      </w:r>
    </w:p>
    <w:p w:rsidRPr="00C24652" w:rsidR="004C7F8D" w:rsidP="00154CDF" w:rsidRDefault="004C7F8D" w14:paraId="425C9240" w14:textId="77777777">
      <w:pPr>
        <w:spacing w:after="0" w:line="276" w:lineRule="auto"/>
        <w:contextualSpacing/>
        <w:jc w:val="both"/>
        <w:rPr>
          <w:rFonts w:ascii="Arial" w:hAnsi="Arial" w:eastAsia="Calibri" w:cs="Arial"/>
          <w:b/>
          <w:bCs/>
          <w:lang w:val="es-ES_tradnl" w:eastAsia="es-ES_tradnl"/>
        </w:rPr>
      </w:pPr>
    </w:p>
    <w:p w:rsidRPr="00C24652" w:rsidR="004F46D0" w:rsidP="00107F3F" w:rsidRDefault="00EF6D3C" w14:paraId="7ADD774F" w14:textId="549472C5">
      <w:pPr>
        <w:spacing w:after="120" w:line="276" w:lineRule="auto"/>
        <w:jc w:val="both"/>
        <w:rPr>
          <w:rFonts w:ascii="Arial" w:hAnsi="Arial" w:eastAsia="Calibri" w:cs="Arial"/>
          <w:lang w:val="es-ES_tradnl" w:eastAsia="es-ES_tradnl"/>
        </w:rPr>
      </w:pPr>
      <w:r w:rsidRPr="00C24652">
        <w:rPr>
          <w:rFonts w:ascii="Arial" w:hAnsi="Arial" w:eastAsia="Calibri" w:cs="Arial"/>
          <w:lang w:val="es-ES_tradnl" w:eastAsia="es-ES_tradnl"/>
        </w:rPr>
        <w:t xml:space="preserve">Una vez determinada la obligación que les asiste a las entidades con regímenes exceptuados de publicar en el SECOP </w:t>
      </w:r>
      <w:r w:rsidRPr="00C24652" w:rsidR="004C7F8D">
        <w:rPr>
          <w:rFonts w:ascii="Arial" w:hAnsi="Arial" w:eastAsia="Calibri" w:cs="Arial"/>
          <w:lang w:val="es-ES_tradnl" w:eastAsia="es-ES_tradnl"/>
        </w:rPr>
        <w:t xml:space="preserve">II </w:t>
      </w:r>
      <w:r w:rsidRPr="00C24652">
        <w:rPr>
          <w:rFonts w:ascii="Arial" w:hAnsi="Arial" w:eastAsia="Calibri" w:cs="Arial"/>
          <w:lang w:val="es-ES_tradnl" w:eastAsia="es-ES_tradnl"/>
        </w:rPr>
        <w:t>lo concerniente a su actividad contractual y t</w:t>
      </w:r>
      <w:r w:rsidRPr="00C24652" w:rsidR="00757FCB">
        <w:rPr>
          <w:rFonts w:ascii="Arial" w:hAnsi="Arial" w:eastAsia="Calibri" w:cs="Arial"/>
          <w:lang w:val="es-ES_tradnl" w:eastAsia="es-ES_tradnl"/>
        </w:rPr>
        <w:t>eniendo en cuenta la consulta planteada</w:t>
      </w:r>
      <w:r w:rsidRPr="00C24652" w:rsidR="005B5171">
        <w:rPr>
          <w:rFonts w:ascii="Arial" w:hAnsi="Arial" w:eastAsia="Calibri" w:cs="Arial"/>
          <w:lang w:val="es-ES_tradnl" w:eastAsia="es-ES_tradnl"/>
        </w:rPr>
        <w:t>,</w:t>
      </w:r>
      <w:r w:rsidRPr="00C24652" w:rsidR="009C2159">
        <w:rPr>
          <w:rFonts w:ascii="Arial" w:hAnsi="Arial" w:eastAsia="Calibri" w:cs="Arial"/>
          <w:lang w:val="es-ES_tradnl" w:eastAsia="es-ES_tradnl"/>
        </w:rPr>
        <w:t xml:space="preserve"> debe </w:t>
      </w:r>
      <w:r w:rsidRPr="00C24652" w:rsidR="004C7F8D">
        <w:rPr>
          <w:rFonts w:ascii="Arial" w:hAnsi="Arial" w:eastAsia="Calibri" w:cs="Arial"/>
          <w:lang w:val="es-ES_tradnl" w:eastAsia="es-ES_tradnl"/>
        </w:rPr>
        <w:t xml:space="preserve">analizarse el alcance de esta obligación para determinar si esta </w:t>
      </w:r>
      <w:r w:rsidRPr="00C24652" w:rsidR="00C26922">
        <w:rPr>
          <w:rFonts w:ascii="Arial" w:hAnsi="Arial" w:eastAsia="Calibri" w:cs="Arial"/>
          <w:lang w:val="es-ES_tradnl" w:eastAsia="es-ES_tradnl"/>
        </w:rPr>
        <w:t>aplica a toda la actividad contractual de este tipo de entidades.</w:t>
      </w:r>
      <w:r w:rsidRPr="00C24652" w:rsidR="004C7F8D">
        <w:rPr>
          <w:rFonts w:ascii="Arial" w:hAnsi="Arial" w:eastAsia="Calibri" w:cs="Arial"/>
          <w:lang w:val="es-ES_tradnl" w:eastAsia="es-ES_tradnl"/>
        </w:rPr>
        <w:t xml:space="preserve"> </w:t>
      </w:r>
    </w:p>
    <w:p w:rsidRPr="00C24652" w:rsidR="00EF156F" w:rsidP="00107F3F" w:rsidRDefault="004C7F8D" w14:paraId="015C575F" w14:textId="5CC43136">
      <w:pPr>
        <w:spacing w:after="120" w:line="276" w:lineRule="auto"/>
        <w:ind w:firstLine="708"/>
        <w:jc w:val="both"/>
        <w:rPr>
          <w:rFonts w:ascii="Arial" w:hAnsi="Arial" w:eastAsia="Calibri" w:cs="Arial"/>
          <w:lang w:val="es-ES_tradnl" w:eastAsia="es-ES_tradnl"/>
        </w:rPr>
      </w:pPr>
      <w:r w:rsidRPr="00C24652">
        <w:rPr>
          <w:rFonts w:ascii="Arial" w:hAnsi="Arial" w:eastAsia="Calibri" w:cs="Arial"/>
          <w:lang w:val="es-ES_tradnl" w:eastAsia="es-ES_tradnl"/>
        </w:rPr>
        <w:t>E</w:t>
      </w:r>
      <w:r w:rsidRPr="00C24652" w:rsidR="009C2159">
        <w:rPr>
          <w:rFonts w:ascii="Arial" w:hAnsi="Arial" w:eastAsia="Calibri" w:cs="Arial"/>
          <w:lang w:val="es-ES_tradnl" w:eastAsia="es-ES_tradnl"/>
        </w:rPr>
        <w:t>l artículo 53 de la Ley 2195 de 2022</w:t>
      </w:r>
      <w:r w:rsidRPr="00C24652" w:rsidR="00806AEB">
        <w:rPr>
          <w:rFonts w:ascii="Arial" w:hAnsi="Arial" w:eastAsia="Calibri" w:cs="Arial"/>
          <w:lang w:val="es-ES_tradnl" w:eastAsia="es-ES_tradnl"/>
        </w:rPr>
        <w:t xml:space="preserve"> </w:t>
      </w:r>
      <w:r w:rsidRPr="00C24652" w:rsidR="001F5CD6">
        <w:rPr>
          <w:rFonts w:ascii="Arial" w:hAnsi="Arial" w:eastAsia="Calibri" w:cs="Arial"/>
          <w:lang w:val="es-ES_tradnl" w:eastAsia="es-ES_tradnl"/>
        </w:rPr>
        <w:t>dispone que</w:t>
      </w:r>
      <w:r w:rsidRPr="00C24652" w:rsidR="00C26922">
        <w:rPr>
          <w:rFonts w:ascii="Arial" w:hAnsi="Arial" w:eastAsia="Calibri" w:cs="Arial"/>
          <w:lang w:val="es-ES_tradnl" w:eastAsia="es-ES_tradnl"/>
        </w:rPr>
        <w:t xml:space="preserve"> las entidades con regímenes especiales</w:t>
      </w:r>
      <w:r w:rsidRPr="00C24652" w:rsidR="001F5CD6">
        <w:rPr>
          <w:rFonts w:ascii="Arial" w:hAnsi="Arial" w:eastAsia="Calibri" w:cs="Arial"/>
          <w:lang w:val="es-ES_tradnl" w:eastAsia="es-ES_tradnl"/>
        </w:rPr>
        <w:t xml:space="preserve"> </w:t>
      </w:r>
      <w:r w:rsidRPr="00C24652" w:rsidR="00C26922">
        <w:rPr>
          <w:rFonts w:ascii="Arial" w:hAnsi="Arial" w:eastAsia="Calibri" w:cs="Arial"/>
          <w:lang w:val="es-ES_tradnl"/>
        </w:rPr>
        <w:t>«</w:t>
      </w:r>
      <w:r w:rsidRPr="00C24652" w:rsidR="001F5CD6">
        <w:rPr>
          <w:rStyle w:val="normaltextrun"/>
          <w:rFonts w:ascii="Arial" w:hAnsi="Arial" w:cs="Arial"/>
          <w:shd w:val="clear" w:color="auto" w:fill="FFFFFF"/>
        </w:rPr>
        <w:t>deberán publicar los documentos relacionados con su actividad contractual en el Sistema Electrónico para la Contratación P</w:t>
      </w:r>
      <w:r w:rsidR="008710D7">
        <w:rPr>
          <w:rStyle w:val="normaltextrun"/>
          <w:rFonts w:ascii="Arial" w:hAnsi="Arial" w:cs="Arial"/>
          <w:shd w:val="clear" w:color="auto" w:fill="FFFFFF"/>
        </w:rPr>
        <w:t>ública</w:t>
      </w:r>
      <w:r w:rsidRPr="00C24652" w:rsidR="001F5CD6">
        <w:rPr>
          <w:rStyle w:val="normaltextrun"/>
          <w:rFonts w:ascii="Arial" w:hAnsi="Arial" w:cs="Arial"/>
          <w:shd w:val="clear" w:color="auto" w:fill="FFFFFF"/>
        </w:rPr>
        <w:t xml:space="preserve"> –SECOP II– o la plataforma transaccional que haga sus veces</w:t>
      </w:r>
      <w:r w:rsidRPr="00C24652" w:rsidR="00C26922">
        <w:rPr>
          <w:rFonts w:ascii="Arial" w:hAnsi="Arial" w:eastAsia="Calibri" w:cs="Arial"/>
          <w:lang w:val="es-ES_tradnl"/>
        </w:rPr>
        <w:t>»</w:t>
      </w:r>
      <w:r w:rsidRPr="00C24652" w:rsidR="004F46D0">
        <w:rPr>
          <w:rFonts w:ascii="Arial" w:hAnsi="Arial" w:eastAsia="Calibri" w:cs="Arial"/>
          <w:lang w:val="es-ES_tradnl"/>
        </w:rPr>
        <w:t xml:space="preserve">. </w:t>
      </w:r>
      <w:r w:rsidRPr="00C24652" w:rsidR="00107F3F">
        <w:rPr>
          <w:rFonts w:ascii="Arial" w:hAnsi="Arial" w:eastAsia="Calibri" w:cs="Arial"/>
          <w:lang w:val="es-ES_tradnl"/>
        </w:rPr>
        <w:t>Como</w:t>
      </w:r>
      <w:r w:rsidRPr="00C24652" w:rsidR="001F5CD6">
        <w:rPr>
          <w:rStyle w:val="normaltextrun"/>
          <w:rFonts w:ascii="Arial" w:hAnsi="Arial" w:cs="Arial"/>
          <w:shd w:val="clear" w:color="auto" w:fill="FFFFFF"/>
        </w:rPr>
        <w:t xml:space="preserve"> puede observar</w:t>
      </w:r>
      <w:r w:rsidRPr="00C24652" w:rsidR="00107F3F">
        <w:rPr>
          <w:rStyle w:val="normaltextrun"/>
          <w:rFonts w:ascii="Arial" w:hAnsi="Arial" w:cs="Arial"/>
          <w:shd w:val="clear" w:color="auto" w:fill="FFFFFF"/>
        </w:rPr>
        <w:t xml:space="preserve">se, </w:t>
      </w:r>
      <w:r w:rsidRPr="00C24652" w:rsidR="001F5CD6">
        <w:rPr>
          <w:rStyle w:val="normaltextrun"/>
          <w:rFonts w:ascii="Arial" w:hAnsi="Arial" w:cs="Arial"/>
          <w:shd w:val="clear" w:color="auto" w:fill="FFFFFF"/>
        </w:rPr>
        <w:t xml:space="preserve">la disposición objeto de estudio </w:t>
      </w:r>
      <w:r w:rsidRPr="00C24652" w:rsidR="00806AEB">
        <w:rPr>
          <w:rFonts w:ascii="Arial" w:hAnsi="Arial" w:eastAsia="Calibri" w:cs="Arial"/>
          <w:lang w:val="es-ES_tradnl" w:eastAsia="es-ES_tradnl"/>
        </w:rPr>
        <w:t>no señala de</w:t>
      </w:r>
      <w:r w:rsidRPr="00C24652" w:rsidR="00107F3F">
        <w:rPr>
          <w:rFonts w:ascii="Arial" w:hAnsi="Arial" w:eastAsia="Calibri" w:cs="Arial"/>
          <w:lang w:val="es-ES_tradnl" w:eastAsia="es-ES_tradnl"/>
        </w:rPr>
        <w:t xml:space="preserve"> </w:t>
      </w:r>
      <w:r w:rsidRPr="00C24652" w:rsidR="00806AEB">
        <w:rPr>
          <w:rFonts w:ascii="Arial" w:hAnsi="Arial" w:eastAsia="Calibri" w:cs="Arial"/>
          <w:lang w:val="es-ES_tradnl" w:eastAsia="es-ES_tradnl"/>
        </w:rPr>
        <w:t xml:space="preserve">forma expresa si el deber de las entidades exceptuadas de publicar todos los documentos relacionados con su actividad contractual </w:t>
      </w:r>
      <w:r w:rsidRPr="00C24652" w:rsidR="001F5CD6">
        <w:rPr>
          <w:rFonts w:ascii="Arial" w:hAnsi="Arial" w:eastAsia="Calibri" w:cs="Arial"/>
          <w:lang w:val="es-ES_tradnl" w:eastAsia="es-ES_tradnl"/>
        </w:rPr>
        <w:t xml:space="preserve">aplica para </w:t>
      </w:r>
      <w:r w:rsidRPr="00C24652" w:rsidR="00806AEB">
        <w:rPr>
          <w:rFonts w:ascii="Arial" w:hAnsi="Arial" w:eastAsia="Calibri" w:cs="Arial"/>
          <w:lang w:val="es-ES_tradnl" w:eastAsia="es-ES_tradnl"/>
        </w:rPr>
        <w:t>todos los contratos que celebren o si</w:t>
      </w:r>
      <w:r w:rsidR="00E27186">
        <w:rPr>
          <w:rFonts w:ascii="Arial" w:hAnsi="Arial" w:eastAsia="Calibri" w:cs="Arial"/>
          <w:lang w:val="es-ES_tradnl" w:eastAsia="es-ES_tradnl"/>
        </w:rPr>
        <w:t>,</w:t>
      </w:r>
      <w:r w:rsidRPr="00C24652" w:rsidR="00806AEB">
        <w:rPr>
          <w:rFonts w:ascii="Arial" w:hAnsi="Arial" w:eastAsia="Calibri" w:cs="Arial"/>
          <w:lang w:val="es-ES_tradnl" w:eastAsia="es-ES_tradnl"/>
        </w:rPr>
        <w:t xml:space="preserve"> por el contrario</w:t>
      </w:r>
      <w:r w:rsidR="00E27186">
        <w:rPr>
          <w:rFonts w:ascii="Arial" w:hAnsi="Arial" w:eastAsia="Calibri" w:cs="Arial"/>
          <w:lang w:val="es-ES_tradnl" w:eastAsia="es-ES_tradnl"/>
        </w:rPr>
        <w:t>,</w:t>
      </w:r>
      <w:r w:rsidRPr="00C24652" w:rsidR="00806AEB">
        <w:rPr>
          <w:rFonts w:ascii="Arial" w:hAnsi="Arial" w:eastAsia="Calibri" w:cs="Arial"/>
          <w:lang w:val="es-ES_tradnl" w:eastAsia="es-ES_tradnl"/>
        </w:rPr>
        <w:t xml:space="preserve"> esta obligación solo </w:t>
      </w:r>
      <w:r w:rsidRPr="00C24652" w:rsidR="001F5CD6">
        <w:rPr>
          <w:rFonts w:ascii="Arial" w:hAnsi="Arial" w:eastAsia="Calibri" w:cs="Arial"/>
          <w:lang w:val="es-ES_tradnl" w:eastAsia="es-ES_tradnl"/>
        </w:rPr>
        <w:t>se impone respecto de</w:t>
      </w:r>
      <w:r w:rsidRPr="00C24652" w:rsidR="00806AEB">
        <w:rPr>
          <w:rFonts w:ascii="Arial" w:hAnsi="Arial" w:eastAsia="Calibri" w:cs="Arial"/>
          <w:lang w:val="es-ES_tradnl" w:eastAsia="es-ES_tradnl"/>
        </w:rPr>
        <w:t xml:space="preserve"> aquellos contratos cuya fuente de financiación provi</w:t>
      </w:r>
      <w:r w:rsidRPr="00C24652" w:rsidR="00107F3F">
        <w:rPr>
          <w:rFonts w:ascii="Arial" w:hAnsi="Arial" w:eastAsia="Calibri" w:cs="Arial"/>
          <w:lang w:val="es-ES_tradnl" w:eastAsia="es-ES_tradnl"/>
        </w:rPr>
        <w:t xml:space="preserve">ene </w:t>
      </w:r>
      <w:r w:rsidRPr="00C24652" w:rsidR="00806AEB">
        <w:rPr>
          <w:rFonts w:ascii="Arial" w:hAnsi="Arial" w:eastAsia="Calibri" w:cs="Arial"/>
          <w:lang w:val="es-ES_tradnl" w:eastAsia="es-ES_tradnl"/>
        </w:rPr>
        <w:t xml:space="preserve">de </w:t>
      </w:r>
      <w:r w:rsidRPr="00113087" w:rsidR="00806AEB">
        <w:rPr>
          <w:rFonts w:ascii="Arial" w:hAnsi="Arial" w:eastAsia="Calibri" w:cs="Arial"/>
          <w:i/>
          <w:iCs/>
          <w:lang w:val="es-ES_tradnl" w:eastAsia="es-ES_tradnl"/>
        </w:rPr>
        <w:t>recursos públicos</w:t>
      </w:r>
      <w:r w:rsidRPr="00C24652" w:rsidR="00806AEB">
        <w:rPr>
          <w:rFonts w:ascii="Arial" w:hAnsi="Arial" w:eastAsia="Calibri" w:cs="Arial"/>
          <w:lang w:val="es-ES_tradnl" w:eastAsia="es-ES_tradnl"/>
        </w:rPr>
        <w:t xml:space="preserve">. </w:t>
      </w:r>
      <w:r w:rsidRPr="00C24652" w:rsidR="00107F3F">
        <w:rPr>
          <w:rFonts w:ascii="Arial" w:hAnsi="Arial" w:eastAsia="Calibri" w:cs="Arial"/>
          <w:lang w:val="es-ES_tradnl" w:eastAsia="es-ES_tradnl"/>
        </w:rPr>
        <w:t xml:space="preserve"> </w:t>
      </w:r>
    </w:p>
    <w:p w:rsidRPr="00C24652" w:rsidR="00806AEB" w:rsidP="00107F3F" w:rsidRDefault="00EF156F" w14:paraId="70A44247" w14:textId="79F951E7">
      <w:pPr>
        <w:spacing w:after="120" w:line="276" w:lineRule="auto"/>
        <w:ind w:firstLine="708"/>
        <w:jc w:val="both"/>
        <w:rPr>
          <w:rFonts w:ascii="Arial" w:hAnsi="Arial" w:eastAsia="Calibri" w:cs="Arial"/>
          <w:lang w:val="es-ES_tradnl" w:eastAsia="es-ES_tradnl"/>
        </w:rPr>
      </w:pPr>
      <w:r w:rsidRPr="00C24652">
        <w:rPr>
          <w:rFonts w:ascii="Arial" w:hAnsi="Arial" w:eastAsia="Calibri" w:cs="Arial"/>
          <w:lang w:val="es-ES_tradnl" w:eastAsia="es-ES_tradnl"/>
        </w:rPr>
        <w:t>D</w:t>
      </w:r>
      <w:r w:rsidRPr="00C24652" w:rsidR="001F5CD6">
        <w:rPr>
          <w:rStyle w:val="normaltextrun"/>
          <w:rFonts w:ascii="Arial" w:hAnsi="Arial" w:cs="Arial"/>
          <w:shd w:val="clear" w:color="auto" w:fill="FFFFFF"/>
        </w:rPr>
        <w:t xml:space="preserve">e la lectura </w:t>
      </w:r>
      <w:r w:rsidRPr="00C24652">
        <w:rPr>
          <w:rStyle w:val="normaltextrun"/>
          <w:rFonts w:ascii="Arial" w:hAnsi="Arial" w:cs="Arial"/>
          <w:shd w:val="clear" w:color="auto" w:fill="FFFFFF"/>
        </w:rPr>
        <w:t>del artículo antes citado</w:t>
      </w:r>
      <w:r w:rsidRPr="00C24652" w:rsidR="001F5CD6">
        <w:rPr>
          <w:rStyle w:val="normaltextrun"/>
          <w:rFonts w:ascii="Arial" w:hAnsi="Arial" w:cs="Arial"/>
          <w:shd w:val="clear" w:color="auto" w:fill="FFFFFF"/>
        </w:rPr>
        <w:t xml:space="preserve"> se pueden extraer </w:t>
      </w:r>
      <w:r w:rsidRPr="00C24652">
        <w:rPr>
          <w:rStyle w:val="normaltextrun"/>
          <w:rFonts w:ascii="Arial" w:hAnsi="Arial" w:cs="Arial"/>
          <w:shd w:val="clear" w:color="auto" w:fill="FFFFFF"/>
        </w:rPr>
        <w:t xml:space="preserve">al menos </w:t>
      </w:r>
      <w:r w:rsidRPr="00C24652" w:rsidR="001F5CD6">
        <w:rPr>
          <w:rStyle w:val="normaltextrun"/>
          <w:rFonts w:ascii="Arial" w:hAnsi="Arial" w:cs="Arial"/>
          <w:shd w:val="clear" w:color="auto" w:fill="FFFFFF"/>
        </w:rPr>
        <w:t>dos posturas</w:t>
      </w:r>
      <w:r w:rsidRPr="00C24652">
        <w:rPr>
          <w:rStyle w:val="normaltextrun"/>
          <w:rFonts w:ascii="Arial" w:hAnsi="Arial" w:cs="Arial"/>
          <w:shd w:val="clear" w:color="auto" w:fill="FFFFFF"/>
        </w:rPr>
        <w:t xml:space="preserve"> </w:t>
      </w:r>
      <w:r w:rsidRPr="00C24652" w:rsidR="00824F64">
        <w:rPr>
          <w:rStyle w:val="normaltextrun"/>
          <w:rFonts w:ascii="Arial" w:hAnsi="Arial" w:cs="Arial"/>
          <w:shd w:val="clear" w:color="auto" w:fill="FFFFFF"/>
        </w:rPr>
        <w:t>contrapuestas</w:t>
      </w:r>
      <w:r w:rsidRPr="00C24652">
        <w:rPr>
          <w:rStyle w:val="normaltextrun"/>
          <w:rFonts w:ascii="Arial" w:hAnsi="Arial" w:cs="Arial"/>
          <w:shd w:val="clear" w:color="auto" w:fill="FFFFFF"/>
        </w:rPr>
        <w:t xml:space="preserve"> </w:t>
      </w:r>
      <w:r w:rsidRPr="00C24652" w:rsidR="001F5CD6">
        <w:rPr>
          <w:rStyle w:val="normaltextrun"/>
          <w:rFonts w:ascii="Arial" w:hAnsi="Arial" w:cs="Arial"/>
          <w:shd w:val="clear" w:color="auto" w:fill="FFFFFF"/>
        </w:rPr>
        <w:t xml:space="preserve">relacionadas con la interpretación que se realice de la norma. </w:t>
      </w:r>
      <w:r w:rsidRPr="00C24652" w:rsidR="00806AEB">
        <w:rPr>
          <w:rFonts w:ascii="Arial" w:hAnsi="Arial" w:eastAsia="Calibri" w:cs="Arial"/>
          <w:lang w:val="es-ES_tradnl" w:eastAsia="es-ES_tradnl"/>
        </w:rPr>
        <w:t>En primer lugar, una</w:t>
      </w:r>
      <w:r w:rsidRPr="00C24652" w:rsidR="001F5CD6">
        <w:rPr>
          <w:rFonts w:ascii="Arial" w:hAnsi="Arial" w:eastAsia="Calibri" w:cs="Arial"/>
          <w:lang w:val="es-ES_tradnl" w:eastAsia="es-ES_tradnl"/>
        </w:rPr>
        <w:t xml:space="preserve"> interpretación exegética de la </w:t>
      </w:r>
      <w:r w:rsidRPr="00C24652" w:rsidR="0094385D">
        <w:rPr>
          <w:rFonts w:ascii="Arial" w:hAnsi="Arial" w:eastAsia="Calibri" w:cs="Arial"/>
          <w:lang w:val="es-ES_tradnl" w:eastAsia="es-ES_tradnl"/>
        </w:rPr>
        <w:t>disposición</w:t>
      </w:r>
      <w:r w:rsidRPr="00C24652" w:rsidR="001F5CD6">
        <w:rPr>
          <w:rFonts w:ascii="Arial" w:hAnsi="Arial" w:eastAsia="Calibri" w:cs="Arial"/>
          <w:lang w:val="es-ES_tradnl" w:eastAsia="es-ES_tradnl"/>
        </w:rPr>
        <w:t xml:space="preserve"> plantearía que</w:t>
      </w:r>
      <w:r w:rsidR="004373B5">
        <w:rPr>
          <w:rFonts w:ascii="Arial" w:hAnsi="Arial" w:eastAsia="Calibri" w:cs="Arial"/>
          <w:lang w:val="es-ES_tradnl" w:eastAsia="es-ES_tradnl"/>
        </w:rPr>
        <w:t>,</w:t>
      </w:r>
      <w:r w:rsidRPr="00C24652" w:rsidR="001F5CD6">
        <w:rPr>
          <w:rFonts w:ascii="Arial" w:hAnsi="Arial" w:eastAsia="Calibri" w:cs="Arial"/>
          <w:lang w:val="es-ES_tradnl" w:eastAsia="es-ES_tradnl"/>
        </w:rPr>
        <w:t xml:space="preserve"> dado que </w:t>
      </w:r>
      <w:r w:rsidRPr="00C24652" w:rsidR="00806AEB">
        <w:rPr>
          <w:rFonts w:ascii="Arial" w:hAnsi="Arial" w:eastAsia="Calibri" w:cs="Arial"/>
          <w:lang w:val="es-ES_tradnl" w:eastAsia="es-ES_tradnl"/>
        </w:rPr>
        <w:t xml:space="preserve">el artículo </w:t>
      </w:r>
      <w:r w:rsidRPr="00C24652" w:rsidR="0094385D">
        <w:rPr>
          <w:rFonts w:ascii="Arial" w:hAnsi="Arial" w:eastAsia="Calibri" w:cs="Arial"/>
          <w:lang w:val="es-ES_tradnl" w:eastAsia="es-ES_tradnl"/>
        </w:rPr>
        <w:t>53</w:t>
      </w:r>
      <w:r w:rsidRPr="00C24652" w:rsidR="00806AEB">
        <w:rPr>
          <w:rFonts w:ascii="Arial" w:hAnsi="Arial" w:eastAsia="Calibri" w:cs="Arial"/>
          <w:lang w:val="es-ES_tradnl" w:eastAsia="es-ES_tradnl"/>
        </w:rPr>
        <w:t xml:space="preserve"> no </w:t>
      </w:r>
      <w:r w:rsidR="004373B5">
        <w:rPr>
          <w:rFonts w:ascii="Arial" w:hAnsi="Arial" w:eastAsia="Calibri" w:cs="Arial"/>
          <w:lang w:val="es-ES_tradnl" w:eastAsia="es-ES_tradnl"/>
        </w:rPr>
        <w:t>señala</w:t>
      </w:r>
      <w:r w:rsidRPr="00C24652" w:rsidR="001F5CD6">
        <w:rPr>
          <w:rFonts w:ascii="Arial" w:hAnsi="Arial" w:eastAsia="Calibri" w:cs="Arial"/>
          <w:lang w:val="es-ES_tradnl" w:eastAsia="es-ES_tradnl"/>
        </w:rPr>
        <w:t xml:space="preserve"> </w:t>
      </w:r>
      <w:r w:rsidR="004373B5">
        <w:rPr>
          <w:rFonts w:ascii="Arial" w:hAnsi="Arial" w:eastAsia="Calibri" w:cs="Arial"/>
          <w:lang w:val="es-ES_tradnl" w:eastAsia="es-ES_tradnl"/>
        </w:rPr>
        <w:t xml:space="preserve">que </w:t>
      </w:r>
      <w:r w:rsidRPr="00C24652" w:rsidR="001F5CD6">
        <w:rPr>
          <w:rFonts w:ascii="Arial" w:hAnsi="Arial" w:eastAsia="Calibri" w:cs="Arial"/>
          <w:lang w:val="es-ES_tradnl" w:eastAsia="es-ES_tradnl"/>
        </w:rPr>
        <w:t xml:space="preserve">la obligación de publicar en el SECOP II recae </w:t>
      </w:r>
      <w:r w:rsidRPr="00C24652" w:rsidR="0094385D">
        <w:rPr>
          <w:rFonts w:ascii="Arial" w:hAnsi="Arial" w:eastAsia="Calibri" w:cs="Arial"/>
          <w:lang w:val="es-ES_tradnl" w:eastAsia="es-ES_tradnl"/>
        </w:rPr>
        <w:t xml:space="preserve">solamente </w:t>
      </w:r>
      <w:r w:rsidRPr="00C24652" w:rsidR="001F5CD6">
        <w:rPr>
          <w:rFonts w:ascii="Arial" w:hAnsi="Arial" w:eastAsia="Calibri" w:cs="Arial"/>
          <w:lang w:val="es-ES_tradnl" w:eastAsia="es-ES_tradnl"/>
        </w:rPr>
        <w:t xml:space="preserve">sobre la contratación que se realice con dineros públicos, </w:t>
      </w:r>
      <w:r w:rsidR="004373B5">
        <w:rPr>
          <w:rFonts w:ascii="Arial" w:hAnsi="Arial" w:eastAsia="Calibri" w:cs="Arial"/>
          <w:lang w:val="es-ES_tradnl" w:eastAsia="es-ES_tradnl"/>
        </w:rPr>
        <w:t xml:space="preserve">por tanto, </w:t>
      </w:r>
      <w:r w:rsidRPr="00C24652" w:rsidR="0094385D">
        <w:rPr>
          <w:rFonts w:ascii="Arial" w:hAnsi="Arial" w:eastAsia="Calibri" w:cs="Arial"/>
          <w:lang w:val="es-ES_tradnl" w:eastAsia="es-ES_tradnl"/>
        </w:rPr>
        <w:t>esta aplica</w:t>
      </w:r>
      <w:r w:rsidRPr="00C24652" w:rsidR="00806AEB">
        <w:rPr>
          <w:rFonts w:ascii="Arial" w:hAnsi="Arial" w:eastAsia="Calibri" w:cs="Arial"/>
          <w:lang w:val="es-ES_tradnl" w:eastAsia="es-ES_tradnl"/>
        </w:rPr>
        <w:t xml:space="preserve"> para toda la actividad contractual que </w:t>
      </w:r>
      <w:r w:rsidRPr="00C24652" w:rsidR="0094385D">
        <w:rPr>
          <w:rFonts w:ascii="Arial" w:hAnsi="Arial" w:eastAsia="Calibri" w:cs="Arial"/>
          <w:lang w:val="es-ES_tradnl" w:eastAsia="es-ES_tradnl"/>
        </w:rPr>
        <w:t>ejecute</w:t>
      </w:r>
      <w:r w:rsidRPr="00C24652" w:rsidR="00806AEB">
        <w:rPr>
          <w:rFonts w:ascii="Arial" w:hAnsi="Arial" w:eastAsia="Calibri" w:cs="Arial"/>
          <w:lang w:val="es-ES_tradnl" w:eastAsia="es-ES_tradnl"/>
        </w:rPr>
        <w:t xml:space="preserve"> la entidad, indistintamente del origen de los recursos</w:t>
      </w:r>
      <w:r w:rsidRPr="00C24652" w:rsidR="00AB10FD">
        <w:rPr>
          <w:rFonts w:ascii="Arial" w:hAnsi="Arial" w:eastAsia="Calibri" w:cs="Arial"/>
          <w:lang w:val="es-ES_tradnl" w:eastAsia="es-ES_tradnl"/>
        </w:rPr>
        <w:t xml:space="preserve">. En segundo lugar, una interpretación </w:t>
      </w:r>
      <w:r w:rsidRPr="00113087" w:rsidR="0094385D">
        <w:rPr>
          <w:rFonts w:ascii="Arial" w:hAnsi="Arial" w:eastAsia="Calibri" w:cs="Arial"/>
          <w:i/>
          <w:iCs/>
          <w:lang w:val="es-ES_tradnl" w:eastAsia="es-ES_tradnl"/>
        </w:rPr>
        <w:t>sistemática</w:t>
      </w:r>
      <w:r w:rsidRPr="00C24652" w:rsidR="00AB10FD">
        <w:rPr>
          <w:rFonts w:ascii="Arial" w:hAnsi="Arial" w:eastAsia="Calibri" w:cs="Arial"/>
          <w:lang w:val="es-ES_tradnl" w:eastAsia="es-ES_tradnl"/>
        </w:rPr>
        <w:t xml:space="preserve"> de la norma </w:t>
      </w:r>
      <w:r w:rsidRPr="00C24652" w:rsidR="0094385D">
        <w:rPr>
          <w:rFonts w:ascii="Arial" w:hAnsi="Arial" w:eastAsia="Calibri" w:cs="Arial"/>
          <w:lang w:val="es-ES_tradnl" w:eastAsia="es-ES_tradnl"/>
        </w:rPr>
        <w:t>concluiría</w:t>
      </w:r>
      <w:r w:rsidRPr="00C24652" w:rsidR="00AB10FD">
        <w:rPr>
          <w:rFonts w:ascii="Arial" w:hAnsi="Arial" w:eastAsia="Calibri" w:cs="Arial"/>
          <w:lang w:val="es-ES_tradnl" w:eastAsia="es-ES_tradnl"/>
        </w:rPr>
        <w:t xml:space="preserve"> que el articulo 53</w:t>
      </w:r>
      <w:r w:rsidRPr="00C24652" w:rsidR="0094385D">
        <w:rPr>
          <w:rFonts w:ascii="Arial" w:hAnsi="Arial" w:eastAsia="Calibri" w:cs="Arial"/>
          <w:lang w:val="es-ES_tradnl" w:eastAsia="es-ES_tradnl"/>
        </w:rPr>
        <w:t>, al modificar una disposición de la Ley 1150 de 2007</w:t>
      </w:r>
      <w:r w:rsidR="00EB219E">
        <w:rPr>
          <w:rFonts w:ascii="Arial" w:hAnsi="Arial" w:eastAsia="Calibri" w:cs="Arial"/>
          <w:lang w:val="es-ES_tradnl" w:eastAsia="es-ES_tradnl"/>
        </w:rPr>
        <w:t>,</w:t>
      </w:r>
      <w:r w:rsidRPr="00C24652" w:rsidR="00AB10FD">
        <w:rPr>
          <w:rFonts w:ascii="Arial" w:hAnsi="Arial" w:eastAsia="Calibri" w:cs="Arial"/>
          <w:lang w:val="es-ES_tradnl" w:eastAsia="es-ES_tradnl"/>
        </w:rPr>
        <w:t xml:space="preserve"> debe armonizarse con todo el cuerpo </w:t>
      </w:r>
      <w:r w:rsidRPr="00C24652" w:rsidR="0094385D">
        <w:rPr>
          <w:rFonts w:ascii="Arial" w:hAnsi="Arial" w:eastAsia="Calibri" w:cs="Arial"/>
          <w:lang w:val="es-ES_tradnl" w:eastAsia="es-ES_tradnl"/>
        </w:rPr>
        <w:t>normativo</w:t>
      </w:r>
      <w:r w:rsidRPr="00C24652" w:rsidR="00AB10FD">
        <w:rPr>
          <w:rFonts w:ascii="Arial" w:hAnsi="Arial" w:eastAsia="Calibri" w:cs="Arial"/>
          <w:lang w:val="es-ES_tradnl" w:eastAsia="es-ES_tradnl"/>
        </w:rPr>
        <w:t xml:space="preserve"> consagrado en</w:t>
      </w:r>
      <w:r w:rsidRPr="00C24652" w:rsidR="0094385D">
        <w:rPr>
          <w:rFonts w:ascii="Arial" w:hAnsi="Arial" w:eastAsia="Calibri" w:cs="Arial"/>
          <w:lang w:val="es-ES_tradnl" w:eastAsia="es-ES_tradnl"/>
        </w:rPr>
        <w:t xml:space="preserve"> dicha</w:t>
      </w:r>
      <w:r w:rsidRPr="00C24652" w:rsidR="00806AEB">
        <w:rPr>
          <w:rFonts w:ascii="Arial" w:hAnsi="Arial" w:eastAsia="Calibri" w:cs="Arial"/>
          <w:lang w:val="es-ES_tradnl" w:eastAsia="es-ES_tradnl"/>
        </w:rPr>
        <w:t xml:space="preserve"> Ley </w:t>
      </w:r>
      <w:r w:rsidRPr="00C24652" w:rsidR="00AB10FD">
        <w:rPr>
          <w:rFonts w:ascii="Arial" w:hAnsi="Arial" w:eastAsia="Calibri" w:cs="Arial"/>
          <w:lang w:val="es-ES_tradnl" w:eastAsia="es-ES_tradnl"/>
        </w:rPr>
        <w:t xml:space="preserve">y, dado que este se refiere a la contratación </w:t>
      </w:r>
      <w:r w:rsidRPr="00C24652" w:rsidR="0094385D">
        <w:rPr>
          <w:rFonts w:ascii="Arial" w:hAnsi="Arial" w:eastAsia="Calibri" w:cs="Arial"/>
          <w:lang w:val="es-ES_tradnl" w:eastAsia="es-ES_tradnl"/>
        </w:rPr>
        <w:t xml:space="preserve">que se realiza </w:t>
      </w:r>
      <w:r w:rsidRPr="00113087" w:rsidR="00AB10FD">
        <w:rPr>
          <w:rFonts w:ascii="Arial" w:hAnsi="Arial" w:eastAsia="Calibri" w:cs="Arial"/>
          <w:i/>
          <w:iCs/>
          <w:lang w:val="es-ES_tradnl" w:eastAsia="es-ES_tradnl"/>
        </w:rPr>
        <w:t>con dineros públicos</w:t>
      </w:r>
      <w:r w:rsidRPr="00C24652" w:rsidR="00AB10FD">
        <w:rPr>
          <w:rFonts w:ascii="Arial" w:hAnsi="Arial" w:eastAsia="Calibri" w:cs="Arial"/>
          <w:lang w:val="es-ES_tradnl" w:eastAsia="es-ES_tradnl"/>
        </w:rPr>
        <w:t xml:space="preserve">, </w:t>
      </w:r>
      <w:r w:rsidR="00F93AB3">
        <w:rPr>
          <w:rFonts w:ascii="Arial" w:hAnsi="Arial" w:eastAsia="Calibri" w:cs="Arial"/>
          <w:lang w:val="es-ES_tradnl" w:eastAsia="es-ES_tradnl"/>
        </w:rPr>
        <w:t xml:space="preserve">esto también debe extenderse a </w:t>
      </w:r>
      <w:r w:rsidRPr="00C24652" w:rsidR="00AB10FD">
        <w:rPr>
          <w:rFonts w:ascii="Arial" w:hAnsi="Arial" w:eastAsia="Calibri" w:cs="Arial"/>
          <w:lang w:val="es-ES_tradnl" w:eastAsia="es-ES_tradnl"/>
        </w:rPr>
        <w:t xml:space="preserve">la obligación </w:t>
      </w:r>
      <w:r w:rsidRPr="00C24652" w:rsidR="0094385D">
        <w:rPr>
          <w:rFonts w:ascii="Arial" w:hAnsi="Arial" w:eastAsia="Calibri" w:cs="Arial"/>
          <w:lang w:val="es-ES_tradnl" w:eastAsia="es-ES_tradnl"/>
        </w:rPr>
        <w:t>de publicar los documentos en el SECOP II</w:t>
      </w:r>
      <w:r w:rsidRPr="00C24652" w:rsidR="00AB10FD">
        <w:rPr>
          <w:rFonts w:ascii="Arial" w:hAnsi="Arial" w:eastAsia="Calibri" w:cs="Arial"/>
          <w:lang w:val="es-ES_tradnl" w:eastAsia="es-ES_tradnl"/>
        </w:rPr>
        <w:t xml:space="preserve"> </w:t>
      </w:r>
      <w:r w:rsidR="00F93AB3">
        <w:rPr>
          <w:rFonts w:ascii="Arial" w:hAnsi="Arial" w:eastAsia="Calibri" w:cs="Arial"/>
          <w:lang w:val="es-ES_tradnl" w:eastAsia="es-ES_tradnl"/>
        </w:rPr>
        <w:t>en cabeza de</w:t>
      </w:r>
      <w:r w:rsidRPr="00C24652" w:rsidR="00AB10FD">
        <w:rPr>
          <w:rFonts w:ascii="Arial" w:hAnsi="Arial" w:eastAsia="Calibri" w:cs="Arial"/>
          <w:lang w:val="es-ES_tradnl" w:eastAsia="es-ES_tradnl"/>
        </w:rPr>
        <w:t xml:space="preserve"> l</w:t>
      </w:r>
      <w:r w:rsidRPr="00C24652" w:rsidR="0094385D">
        <w:rPr>
          <w:rFonts w:ascii="Arial" w:hAnsi="Arial" w:eastAsia="Calibri" w:cs="Arial"/>
          <w:lang w:val="es-ES_tradnl" w:eastAsia="es-ES_tradnl"/>
        </w:rPr>
        <w:t>a</w:t>
      </w:r>
      <w:r w:rsidRPr="00C24652" w:rsidR="00AB10FD">
        <w:rPr>
          <w:rFonts w:ascii="Arial" w:hAnsi="Arial" w:eastAsia="Calibri" w:cs="Arial"/>
          <w:lang w:val="es-ES_tradnl" w:eastAsia="es-ES_tradnl"/>
        </w:rPr>
        <w:t>s entidades con regímenes ex</w:t>
      </w:r>
      <w:r w:rsidRPr="00C24652" w:rsidR="0094385D">
        <w:rPr>
          <w:rFonts w:ascii="Arial" w:hAnsi="Arial" w:eastAsia="Calibri" w:cs="Arial"/>
          <w:lang w:val="es-ES_tradnl" w:eastAsia="es-ES_tradnl"/>
        </w:rPr>
        <w:t>c</w:t>
      </w:r>
      <w:r w:rsidRPr="00C24652" w:rsidR="00AB10FD">
        <w:rPr>
          <w:rFonts w:ascii="Arial" w:hAnsi="Arial" w:eastAsia="Calibri" w:cs="Arial"/>
          <w:lang w:val="es-ES_tradnl" w:eastAsia="es-ES_tradnl"/>
        </w:rPr>
        <w:t>eptuado</w:t>
      </w:r>
      <w:r w:rsidRPr="00C24652" w:rsidR="0094385D">
        <w:rPr>
          <w:rFonts w:ascii="Arial" w:hAnsi="Arial" w:eastAsia="Calibri" w:cs="Arial"/>
          <w:lang w:val="es-ES_tradnl" w:eastAsia="es-ES_tradnl"/>
        </w:rPr>
        <w:t>s</w:t>
      </w:r>
      <w:r w:rsidRPr="00C24652" w:rsidR="00806AEB">
        <w:rPr>
          <w:rFonts w:ascii="Arial" w:hAnsi="Arial" w:eastAsia="Calibri" w:cs="Arial"/>
          <w:lang w:val="es-ES_tradnl" w:eastAsia="es-ES_tradnl"/>
        </w:rPr>
        <w:t>.</w:t>
      </w:r>
      <w:r w:rsidR="00F93AB3">
        <w:rPr>
          <w:rFonts w:ascii="Arial" w:hAnsi="Arial" w:eastAsia="Calibri" w:cs="Arial"/>
          <w:lang w:val="es-ES_tradnl" w:eastAsia="es-ES_tradnl"/>
        </w:rPr>
        <w:t xml:space="preserve"> En otras palabras,</w:t>
      </w:r>
      <w:r w:rsidR="00844E67">
        <w:rPr>
          <w:rFonts w:ascii="Arial" w:hAnsi="Arial" w:eastAsia="Calibri" w:cs="Arial"/>
          <w:lang w:val="es-ES_tradnl" w:eastAsia="es-ES_tradnl"/>
        </w:rPr>
        <w:t xml:space="preserve"> el deber consagrado en el </w:t>
      </w:r>
      <w:r w:rsidR="00CA2EDE">
        <w:rPr>
          <w:rFonts w:ascii="Arial" w:hAnsi="Arial" w:eastAsia="Calibri" w:cs="Arial"/>
          <w:lang w:val="es-ES_tradnl" w:eastAsia="es-ES_tradnl"/>
        </w:rPr>
        <w:t>artículo 53 de la Ley 2195 de 2022</w:t>
      </w:r>
      <w:r w:rsidR="00844E67">
        <w:rPr>
          <w:rFonts w:ascii="Arial" w:hAnsi="Arial" w:eastAsia="Calibri" w:cs="Arial"/>
          <w:lang w:val="es-ES_tradnl" w:eastAsia="es-ES_tradnl"/>
        </w:rPr>
        <w:t xml:space="preserve"> </w:t>
      </w:r>
      <w:r w:rsidR="008B091A">
        <w:rPr>
          <w:rFonts w:ascii="Arial" w:hAnsi="Arial" w:eastAsia="Calibri" w:cs="Arial"/>
          <w:lang w:val="es-ES_tradnl" w:eastAsia="es-ES_tradnl"/>
        </w:rPr>
        <w:t>debe armonizarse con el conjunto de normas que delimitan el deber de publicar</w:t>
      </w:r>
      <w:r w:rsidR="00AF52EA">
        <w:rPr>
          <w:rFonts w:ascii="Arial" w:hAnsi="Arial" w:eastAsia="Calibri" w:cs="Arial"/>
          <w:lang w:val="es-ES_tradnl" w:eastAsia="es-ES_tradnl"/>
        </w:rPr>
        <w:t xml:space="preserve"> en el SECOP</w:t>
      </w:r>
      <w:r w:rsidR="008B091A">
        <w:rPr>
          <w:rFonts w:ascii="Arial" w:hAnsi="Arial" w:eastAsia="Calibri" w:cs="Arial"/>
          <w:lang w:val="es-ES_tradnl" w:eastAsia="es-ES_tradnl"/>
        </w:rPr>
        <w:t xml:space="preserve"> </w:t>
      </w:r>
      <w:r w:rsidR="00873640">
        <w:rPr>
          <w:rFonts w:ascii="Arial" w:hAnsi="Arial" w:eastAsia="Calibri" w:cs="Arial"/>
          <w:lang w:val="es-ES_tradnl" w:eastAsia="es-ES_tradnl"/>
        </w:rPr>
        <w:t xml:space="preserve">solo </w:t>
      </w:r>
      <w:r w:rsidR="008B091A">
        <w:rPr>
          <w:rFonts w:ascii="Arial" w:hAnsi="Arial" w:eastAsia="Calibri" w:cs="Arial"/>
          <w:lang w:val="es-ES_tradnl" w:eastAsia="es-ES_tradnl"/>
        </w:rPr>
        <w:t>la información</w:t>
      </w:r>
      <w:r w:rsidR="00873640">
        <w:rPr>
          <w:rFonts w:ascii="Arial" w:hAnsi="Arial" w:eastAsia="Calibri" w:cs="Arial"/>
          <w:lang w:val="es-ES_tradnl" w:eastAsia="es-ES_tradnl"/>
        </w:rPr>
        <w:t xml:space="preserve"> relacionada con la actividad contractual efectuada con recursos públicos.</w:t>
      </w:r>
    </w:p>
    <w:p w:rsidRPr="00C24652" w:rsidR="00DF359D" w:rsidP="00DF359D" w:rsidRDefault="00DF359D" w14:paraId="27367FA9" w14:textId="528B1A8B">
      <w:pPr>
        <w:spacing w:after="120" w:line="276" w:lineRule="auto"/>
        <w:ind w:firstLine="709"/>
        <w:jc w:val="both"/>
        <w:rPr>
          <w:rStyle w:val="normaltextrun"/>
          <w:rFonts w:ascii="Arial" w:hAnsi="Arial" w:cs="Arial"/>
          <w:shd w:val="clear" w:color="auto" w:fill="FFFFFF"/>
        </w:rPr>
      </w:pPr>
      <w:bookmarkStart w:name="_Hlk110869120" w:id="12"/>
      <w:r w:rsidRPr="00C24652">
        <w:rPr>
          <w:rFonts w:ascii="Arial" w:hAnsi="Arial" w:eastAsia="Calibri" w:cs="Arial"/>
          <w:lang w:val="es-ES_tradnl" w:eastAsia="es-ES_tradnl"/>
        </w:rPr>
        <w:t>Esta Agencia considera</w:t>
      </w:r>
      <w:r w:rsidR="00AF52EA">
        <w:rPr>
          <w:rFonts w:ascii="Arial" w:hAnsi="Arial" w:eastAsia="Calibri" w:cs="Arial"/>
          <w:lang w:val="es-ES_tradnl" w:eastAsia="es-ES_tradnl"/>
        </w:rPr>
        <w:t xml:space="preserve">, </w:t>
      </w:r>
      <w:r w:rsidRPr="00C24652">
        <w:rPr>
          <w:rFonts w:ascii="Arial" w:hAnsi="Arial" w:eastAsia="Calibri" w:cs="Arial"/>
          <w:lang w:val="es-ES_tradnl" w:eastAsia="es-ES_tradnl"/>
        </w:rPr>
        <w:t xml:space="preserve">que la obligación de publicar en el SECOP II todos los documentos relacionados con la actividad contractual de las entidades con regímenes especiales contenida en el artículo 53 de la </w:t>
      </w:r>
      <w:r w:rsidRPr="00C24652" w:rsidR="00AB10FD">
        <w:rPr>
          <w:rStyle w:val="normaltextrun"/>
          <w:rFonts w:ascii="Arial" w:hAnsi="Arial" w:cs="Arial"/>
          <w:shd w:val="clear" w:color="auto" w:fill="FFFFFF"/>
          <w:lang w:val="es-ES"/>
        </w:rPr>
        <w:t>Ley 2195 de 2022</w:t>
      </w:r>
      <w:r w:rsidR="00AF52EA">
        <w:rPr>
          <w:rStyle w:val="normaltextrun"/>
          <w:rFonts w:ascii="Arial" w:hAnsi="Arial" w:cs="Arial"/>
          <w:shd w:val="clear" w:color="auto" w:fill="FFFFFF"/>
          <w:lang w:val="es-ES"/>
        </w:rPr>
        <w:t>,</w:t>
      </w:r>
      <w:r w:rsidRPr="00C24652">
        <w:rPr>
          <w:rStyle w:val="normaltextrun"/>
          <w:rFonts w:ascii="Arial" w:hAnsi="Arial" w:cs="Arial"/>
          <w:shd w:val="clear" w:color="auto" w:fill="FFFFFF"/>
          <w:lang w:val="es-ES"/>
        </w:rPr>
        <w:t xml:space="preserve"> debe interpretarse de forma sistemática con </w:t>
      </w:r>
      <w:r w:rsidRPr="00C24652">
        <w:rPr>
          <w:rStyle w:val="normaltextrun"/>
          <w:rFonts w:ascii="Arial" w:hAnsi="Arial" w:cs="Arial"/>
          <w:shd w:val="clear" w:color="auto" w:fill="FFFFFF"/>
        </w:rPr>
        <w:t>los preceptos que</w:t>
      </w:r>
      <w:r w:rsidR="004C71A8">
        <w:rPr>
          <w:rStyle w:val="normaltextrun"/>
          <w:rFonts w:ascii="Arial" w:hAnsi="Arial" w:cs="Arial"/>
          <w:shd w:val="clear" w:color="auto" w:fill="FFFFFF"/>
        </w:rPr>
        <w:t xml:space="preserve"> existen </w:t>
      </w:r>
      <w:r w:rsidRPr="00C24652">
        <w:rPr>
          <w:rStyle w:val="normaltextrun"/>
          <w:rFonts w:ascii="Arial" w:hAnsi="Arial" w:cs="Arial"/>
          <w:shd w:val="clear" w:color="auto" w:fill="FFFFFF"/>
        </w:rPr>
        <w:t>sobre la materia</w:t>
      </w:r>
      <w:r w:rsidR="004C71A8">
        <w:rPr>
          <w:rStyle w:val="normaltextrun"/>
          <w:rFonts w:ascii="Arial" w:hAnsi="Arial" w:cs="Arial"/>
          <w:shd w:val="clear" w:color="auto" w:fill="FFFFFF"/>
        </w:rPr>
        <w:t>,</w:t>
      </w:r>
      <w:r w:rsidRPr="00C24652">
        <w:rPr>
          <w:rStyle w:val="normaltextrun"/>
          <w:rFonts w:ascii="Arial" w:hAnsi="Arial" w:cs="Arial"/>
          <w:shd w:val="clear" w:color="auto" w:fill="FFFFFF"/>
        </w:rPr>
        <w:t xml:space="preserve"> como, entre otros, los siguientes enunciados normativos: 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 </w:t>
      </w:r>
    </w:p>
    <w:p w:rsidRPr="00C24652" w:rsidR="00E85504" w:rsidP="009D279B" w:rsidRDefault="00AB10FD" w14:paraId="0E2104A6" w14:textId="5677549B">
      <w:pPr>
        <w:spacing w:after="120" w:line="276" w:lineRule="auto"/>
        <w:ind w:firstLine="709"/>
        <w:jc w:val="both"/>
        <w:rPr>
          <w:rFonts w:ascii="Arial" w:hAnsi="Arial" w:cs="Arial"/>
          <w:shd w:val="clear" w:color="auto" w:fill="FFFFFF"/>
          <w:lang w:val="es-ES"/>
        </w:rPr>
      </w:pPr>
      <w:r w:rsidRPr="00C24652">
        <w:rPr>
          <w:rStyle w:val="normaltextrun"/>
          <w:rFonts w:ascii="Arial" w:hAnsi="Arial" w:cs="Arial"/>
          <w:shd w:val="clear" w:color="auto" w:fill="FFFFFF"/>
          <w:lang w:val="es-ES"/>
        </w:rPr>
        <w:t>Así las cosas, dado que el artículo 53</w:t>
      </w:r>
      <w:r w:rsidRPr="00C24652" w:rsidR="005303EC">
        <w:rPr>
          <w:rStyle w:val="normaltextrun"/>
          <w:rFonts w:ascii="Arial" w:hAnsi="Arial" w:cs="Arial"/>
          <w:shd w:val="clear" w:color="auto" w:fill="FFFFFF"/>
          <w:lang w:val="es-ES"/>
        </w:rPr>
        <w:t xml:space="preserve"> de la Ley 2195 de 2022</w:t>
      </w:r>
      <w:r w:rsidRPr="00C24652">
        <w:rPr>
          <w:rStyle w:val="normaltextrun"/>
          <w:rFonts w:ascii="Arial" w:hAnsi="Arial" w:cs="Arial"/>
          <w:shd w:val="clear" w:color="auto" w:fill="FFFFFF"/>
          <w:lang w:val="es-ES"/>
        </w:rPr>
        <w:t xml:space="preserve"> </w:t>
      </w:r>
      <w:r w:rsidRPr="00C24652" w:rsidR="005303EC">
        <w:rPr>
          <w:rStyle w:val="normaltextrun"/>
          <w:rFonts w:ascii="Arial" w:hAnsi="Arial" w:cs="Arial"/>
          <w:shd w:val="clear" w:color="auto" w:fill="FFFFFF"/>
          <w:lang w:val="es-ES"/>
        </w:rPr>
        <w:t>complementó las disposiciones</w:t>
      </w:r>
      <w:r w:rsidRPr="00C24652">
        <w:rPr>
          <w:rStyle w:val="normaltextrun"/>
          <w:rFonts w:ascii="Arial" w:hAnsi="Arial" w:cs="Arial"/>
          <w:shd w:val="clear" w:color="auto" w:fill="FFFFFF"/>
          <w:lang w:val="es-ES"/>
        </w:rPr>
        <w:t xml:space="preserve"> ya establecid</w:t>
      </w:r>
      <w:r w:rsidRPr="00C24652" w:rsidR="005303EC">
        <w:rPr>
          <w:rStyle w:val="normaltextrun"/>
          <w:rFonts w:ascii="Arial" w:hAnsi="Arial" w:cs="Arial"/>
          <w:shd w:val="clear" w:color="auto" w:fill="FFFFFF"/>
          <w:lang w:val="es-ES"/>
        </w:rPr>
        <w:t>a</w:t>
      </w:r>
      <w:r w:rsidRPr="00C24652">
        <w:rPr>
          <w:rStyle w:val="normaltextrun"/>
          <w:rFonts w:ascii="Arial" w:hAnsi="Arial" w:cs="Arial"/>
          <w:shd w:val="clear" w:color="auto" w:fill="FFFFFF"/>
          <w:lang w:val="es-ES"/>
        </w:rPr>
        <w:t>s en la Ley 1150 de 2007</w:t>
      </w:r>
      <w:r w:rsidRPr="00C24652" w:rsidR="005303EC">
        <w:rPr>
          <w:rStyle w:val="normaltextrun"/>
          <w:rFonts w:ascii="Arial" w:hAnsi="Arial" w:cs="Arial"/>
          <w:shd w:val="clear" w:color="auto" w:fill="FFFFFF"/>
          <w:lang w:val="es-ES"/>
        </w:rPr>
        <w:t>,</w:t>
      </w:r>
      <w:r w:rsidRPr="00C24652">
        <w:rPr>
          <w:rStyle w:val="normaltextrun"/>
          <w:rFonts w:ascii="Arial" w:hAnsi="Arial" w:cs="Arial"/>
          <w:shd w:val="clear" w:color="auto" w:fill="FFFFFF"/>
          <w:lang w:val="es-ES"/>
        </w:rPr>
        <w:t xml:space="preserve"> la lectura que se haga de dicho </w:t>
      </w:r>
      <w:r w:rsidRPr="00C24652" w:rsidR="00113087">
        <w:rPr>
          <w:rStyle w:val="normaltextrun"/>
          <w:rFonts w:ascii="Arial" w:hAnsi="Arial" w:cs="Arial"/>
          <w:shd w:val="clear" w:color="auto" w:fill="FFFFFF"/>
          <w:lang w:val="es-ES"/>
        </w:rPr>
        <w:t>artículo</w:t>
      </w:r>
      <w:r w:rsidRPr="00C24652">
        <w:rPr>
          <w:rStyle w:val="normaltextrun"/>
          <w:rFonts w:ascii="Arial" w:hAnsi="Arial" w:cs="Arial"/>
          <w:shd w:val="clear" w:color="auto" w:fill="FFFFFF"/>
          <w:lang w:val="es-ES"/>
        </w:rPr>
        <w:t xml:space="preserve"> debe </w:t>
      </w:r>
      <w:r w:rsidR="001953C6">
        <w:rPr>
          <w:rStyle w:val="normaltextrun"/>
          <w:rFonts w:ascii="Arial" w:hAnsi="Arial" w:cs="Arial"/>
          <w:shd w:val="clear" w:color="auto" w:fill="FFFFFF"/>
          <w:lang w:val="es-ES"/>
        </w:rPr>
        <w:t>efectuarse</w:t>
      </w:r>
      <w:r w:rsidRPr="00C24652" w:rsidR="001953C6">
        <w:rPr>
          <w:rStyle w:val="normaltextrun"/>
          <w:rFonts w:ascii="Arial" w:hAnsi="Arial" w:cs="Arial"/>
          <w:shd w:val="clear" w:color="auto" w:fill="FFFFFF"/>
          <w:lang w:val="es-ES"/>
        </w:rPr>
        <w:t xml:space="preserve"> </w:t>
      </w:r>
      <w:r w:rsidRPr="00C24652" w:rsidR="005303EC">
        <w:rPr>
          <w:rStyle w:val="normaltextrun"/>
          <w:rFonts w:ascii="Arial" w:hAnsi="Arial" w:cs="Arial"/>
          <w:shd w:val="clear" w:color="auto" w:fill="FFFFFF"/>
          <w:lang w:val="es-ES"/>
        </w:rPr>
        <w:t xml:space="preserve">de forma </w:t>
      </w:r>
      <w:r w:rsidRPr="00C24652" w:rsidR="001A275C">
        <w:rPr>
          <w:rStyle w:val="normaltextrun"/>
          <w:rFonts w:ascii="Arial" w:hAnsi="Arial" w:cs="Arial"/>
          <w:shd w:val="clear" w:color="auto" w:fill="FFFFFF"/>
          <w:lang w:val="es-ES"/>
        </w:rPr>
        <w:t>sistemática</w:t>
      </w:r>
      <w:r w:rsidRPr="00C24652">
        <w:rPr>
          <w:rStyle w:val="normaltextrun"/>
          <w:rFonts w:ascii="Arial" w:hAnsi="Arial" w:cs="Arial"/>
          <w:shd w:val="clear" w:color="auto" w:fill="FFFFFF"/>
          <w:lang w:val="es-ES"/>
        </w:rPr>
        <w:t xml:space="preserve">. </w:t>
      </w:r>
      <w:r w:rsidRPr="00C24652">
        <w:rPr>
          <w:rStyle w:val="eop"/>
          <w:rFonts w:ascii="Arial" w:hAnsi="Arial" w:cs="Arial"/>
          <w:shd w:val="clear" w:color="auto" w:fill="FFFFFF"/>
        </w:rPr>
        <w:t> En es</w:t>
      </w:r>
      <w:r w:rsidR="001953C6">
        <w:rPr>
          <w:rStyle w:val="eop"/>
          <w:rFonts w:ascii="Arial" w:hAnsi="Arial" w:cs="Arial"/>
          <w:shd w:val="clear" w:color="auto" w:fill="FFFFFF"/>
        </w:rPr>
        <w:t>t</w:t>
      </w:r>
      <w:r w:rsidRPr="00C24652">
        <w:rPr>
          <w:rStyle w:val="eop"/>
          <w:rFonts w:ascii="Arial" w:hAnsi="Arial" w:cs="Arial"/>
          <w:shd w:val="clear" w:color="auto" w:fill="FFFFFF"/>
        </w:rPr>
        <w:t>e sentido</w:t>
      </w:r>
      <w:r w:rsidR="001953C6">
        <w:rPr>
          <w:rStyle w:val="eop"/>
          <w:rFonts w:ascii="Arial" w:hAnsi="Arial" w:cs="Arial"/>
          <w:shd w:val="clear" w:color="auto" w:fill="FFFFFF"/>
        </w:rPr>
        <w:t>,</w:t>
      </w:r>
      <w:r w:rsidRPr="00C24652">
        <w:rPr>
          <w:rStyle w:val="eop"/>
          <w:rFonts w:ascii="Arial" w:hAnsi="Arial" w:cs="Arial"/>
          <w:shd w:val="clear" w:color="auto" w:fill="FFFFFF"/>
        </w:rPr>
        <w:t xml:space="preserve"> debe </w:t>
      </w:r>
      <w:r w:rsidRPr="00C24652">
        <w:rPr>
          <w:rFonts w:ascii="Arial" w:hAnsi="Arial" w:eastAsia="Calibri" w:cs="Arial"/>
          <w:lang w:val="es-ES_tradnl" w:eastAsia="es-ES_tradnl"/>
        </w:rPr>
        <w:t xml:space="preserve">señalarse que </w:t>
      </w:r>
      <w:r w:rsidRPr="00C24652">
        <w:rPr>
          <w:rFonts w:ascii="Arial" w:hAnsi="Arial" w:cs="Arial"/>
          <w:i/>
          <w:iCs/>
          <w:lang w:val="es-ES_tradnl" w:eastAsia="es-CO"/>
        </w:rPr>
        <w:t>contratación con cargo</w:t>
      </w:r>
      <w:r w:rsidR="001953C6">
        <w:rPr>
          <w:rFonts w:ascii="Arial" w:hAnsi="Arial" w:cs="Arial"/>
          <w:i/>
          <w:iCs/>
          <w:lang w:val="es-ES_tradnl" w:eastAsia="es-CO"/>
        </w:rPr>
        <w:t xml:space="preserve"> a</w:t>
      </w:r>
      <w:r w:rsidRPr="00C24652">
        <w:rPr>
          <w:rFonts w:ascii="Arial" w:hAnsi="Arial" w:cs="Arial"/>
          <w:i/>
          <w:iCs/>
          <w:lang w:val="es-ES_tradnl" w:eastAsia="es-CO"/>
        </w:rPr>
        <w:t xml:space="preserve"> recursos públicos</w:t>
      </w:r>
      <w:r w:rsidRPr="00C24652">
        <w:rPr>
          <w:rFonts w:ascii="Arial" w:hAnsi="Arial" w:cs="Arial"/>
          <w:lang w:val="es-ES_tradnl" w:eastAsia="es-CO"/>
        </w:rPr>
        <w:t xml:space="preserve"> es un concepto al que alude expresamente la Ley 1150 de 2007, </w:t>
      </w:r>
      <w:r w:rsidR="00234DE4">
        <w:rPr>
          <w:rFonts w:ascii="Arial" w:hAnsi="Arial" w:cs="Arial"/>
          <w:lang w:val="es-ES_tradnl" w:eastAsia="es-CO"/>
        </w:rPr>
        <w:t xml:space="preserve">incluso </w:t>
      </w:r>
      <w:r w:rsidRPr="00C24652" w:rsidR="00FE45F8">
        <w:rPr>
          <w:rFonts w:ascii="Arial" w:hAnsi="Arial" w:cs="Arial"/>
          <w:lang w:val="es-ES_tradnl" w:eastAsia="es-CO"/>
        </w:rPr>
        <w:t>desde el mismo</w:t>
      </w:r>
      <w:r w:rsidRPr="00C24652" w:rsidR="001A275C">
        <w:rPr>
          <w:rFonts w:ascii="Arial" w:hAnsi="Arial" w:cs="Arial"/>
          <w:lang w:val="es-ES_tradnl" w:eastAsia="es-CO"/>
        </w:rPr>
        <w:t xml:space="preserve"> título</w:t>
      </w:r>
      <w:r w:rsidR="00234DE4">
        <w:rPr>
          <w:rFonts w:ascii="Arial" w:hAnsi="Arial" w:cs="Arial"/>
          <w:lang w:val="es-ES_tradnl" w:eastAsia="es-CO"/>
        </w:rPr>
        <w:t>,</w:t>
      </w:r>
      <w:r w:rsidRPr="00C24652" w:rsidR="001A275C">
        <w:rPr>
          <w:rFonts w:ascii="Arial" w:hAnsi="Arial" w:cs="Arial"/>
          <w:lang w:val="es-ES_tradnl" w:eastAsia="es-CO"/>
        </w:rPr>
        <w:t xml:space="preserve"> </w:t>
      </w:r>
      <w:r w:rsidR="00234DE4">
        <w:rPr>
          <w:rFonts w:ascii="Arial" w:hAnsi="Arial" w:cs="Arial"/>
          <w:lang w:val="es-ES_tradnl" w:eastAsia="es-CO"/>
        </w:rPr>
        <w:t>pues este indica</w:t>
      </w:r>
      <w:r w:rsidR="009167DB">
        <w:rPr>
          <w:rFonts w:ascii="Arial" w:hAnsi="Arial" w:cs="Arial"/>
          <w:lang w:val="es-ES_tradnl" w:eastAsia="es-CO"/>
        </w:rPr>
        <w:t xml:space="preserve"> que dicha Ley es </w:t>
      </w:r>
      <w:r w:rsidRPr="00C24652" w:rsidR="001A275C">
        <w:rPr>
          <w:rFonts w:ascii="Arial" w:hAnsi="Arial" w:eastAsia="Calibri" w:cs="Arial"/>
          <w:lang w:val="es-ES_tradnl"/>
        </w:rPr>
        <w:t>«</w:t>
      </w:r>
      <w:r w:rsidRPr="00C24652" w:rsidR="001A275C">
        <w:rPr>
          <w:rFonts w:ascii="Arial" w:hAnsi="Arial" w:cs="Arial"/>
        </w:rPr>
        <w:t>Por medio de la cual se introducen medidas para la eficiencia y la transparencia en la Ley </w:t>
      </w:r>
      <w:hyperlink w:history="1" w:anchor="1" r:id="rId11">
        <w:r w:rsidRPr="00C24652" w:rsidR="001A275C">
          <w:rPr>
            <w:rStyle w:val="Hipervnculo"/>
            <w:rFonts w:ascii="Arial" w:hAnsi="Arial" w:cs="Arial"/>
            <w:color w:val="auto"/>
            <w:u w:val="none"/>
          </w:rPr>
          <w:t>80</w:t>
        </w:r>
      </w:hyperlink>
      <w:r w:rsidRPr="00C24652" w:rsidR="001A275C">
        <w:rPr>
          <w:rFonts w:ascii="Arial" w:hAnsi="Arial" w:cs="Arial"/>
        </w:rPr>
        <w:t xml:space="preserve"> de 1993 y se dictan otras disposiciones generales sobre la contratación con </w:t>
      </w:r>
      <w:r w:rsidRPr="00C24652" w:rsidR="001A275C">
        <w:rPr>
          <w:rFonts w:ascii="Arial" w:hAnsi="Arial" w:cs="Arial"/>
          <w:i/>
          <w:iCs/>
        </w:rPr>
        <w:t>Recursos Públicos</w:t>
      </w:r>
      <w:r w:rsidRPr="00C24652" w:rsidR="001A275C">
        <w:rPr>
          <w:rFonts w:ascii="Arial" w:hAnsi="Arial" w:eastAsia="Calibri" w:cs="Arial"/>
          <w:lang w:val="es-ES_tradnl"/>
        </w:rPr>
        <w:t>»</w:t>
      </w:r>
      <w:r w:rsidRPr="00C24652" w:rsidR="001A275C">
        <w:rPr>
          <w:rFonts w:ascii="Arial" w:hAnsi="Arial" w:cs="Arial"/>
        </w:rPr>
        <w:t>.</w:t>
      </w:r>
      <w:r w:rsidRPr="00C24652" w:rsidR="001A275C">
        <w:rPr>
          <w:rFonts w:ascii="Arial" w:hAnsi="Arial" w:cs="Arial"/>
          <w:lang w:val="es-ES_tradnl" w:eastAsia="es-CO"/>
        </w:rPr>
        <w:t xml:space="preserve"> Asimismo, la terminología </w:t>
      </w:r>
      <w:r w:rsidRPr="00C24652" w:rsidR="001A275C">
        <w:rPr>
          <w:rFonts w:ascii="Arial" w:hAnsi="Arial" w:cs="Arial"/>
          <w:i/>
          <w:iCs/>
          <w:lang w:val="es-ES_tradnl" w:eastAsia="es-CO"/>
        </w:rPr>
        <w:t xml:space="preserve">contratación con cargo recursos públicos </w:t>
      </w:r>
      <w:r w:rsidRPr="00C24652" w:rsidR="001A275C">
        <w:rPr>
          <w:rFonts w:ascii="Arial" w:hAnsi="Arial" w:cs="Arial"/>
          <w:lang w:val="es-ES_tradnl" w:eastAsia="es-CO"/>
        </w:rPr>
        <w:t>se encuentra en el</w:t>
      </w:r>
      <w:r w:rsidRPr="00C24652" w:rsidR="00FE45F8">
        <w:rPr>
          <w:rFonts w:ascii="Arial" w:hAnsi="Arial" w:cs="Arial"/>
          <w:lang w:val="es-ES_tradnl" w:eastAsia="es-CO"/>
        </w:rPr>
        <w:t xml:space="preserve"> </w:t>
      </w:r>
      <w:r w:rsidRPr="00C24652">
        <w:rPr>
          <w:rFonts w:ascii="Arial" w:hAnsi="Arial" w:cs="Arial"/>
          <w:lang w:val="es-ES_tradnl" w:eastAsia="es-CO"/>
        </w:rPr>
        <w:t>artículo primero, al definir el ámbito de aplicación de sus disposiciones</w:t>
      </w:r>
      <w:r w:rsidRPr="00C24652">
        <w:rPr>
          <w:rStyle w:val="Refdenotaalpie"/>
          <w:rFonts w:ascii="Arial" w:hAnsi="Arial" w:cs="Arial"/>
          <w:lang w:val="es-ES_tradnl" w:eastAsia="es-CO"/>
        </w:rPr>
        <w:footnoteReference w:id="14"/>
      </w:r>
      <w:r w:rsidRPr="00C24652" w:rsidR="001A275C">
        <w:rPr>
          <w:rFonts w:ascii="Arial" w:hAnsi="Arial" w:cs="Arial"/>
          <w:lang w:val="es-ES_tradnl" w:eastAsia="es-CO"/>
        </w:rPr>
        <w:t xml:space="preserve"> y </w:t>
      </w:r>
      <w:r w:rsidRPr="00C24652">
        <w:rPr>
          <w:rFonts w:ascii="Arial" w:hAnsi="Arial" w:cs="Arial"/>
          <w:lang w:val="es-ES_tradnl" w:eastAsia="es-CO"/>
        </w:rPr>
        <w:t>en el literal c) del artículo 3</w:t>
      </w:r>
      <w:r w:rsidR="00993ABC">
        <w:rPr>
          <w:rFonts w:ascii="Arial" w:hAnsi="Arial" w:cs="Arial"/>
          <w:lang w:val="es-ES_tradnl" w:eastAsia="es-CO"/>
        </w:rPr>
        <w:t xml:space="preserve"> –</w:t>
      </w:r>
      <w:r w:rsidRPr="00C24652">
        <w:rPr>
          <w:rFonts w:ascii="Arial" w:hAnsi="Arial" w:cs="Arial"/>
          <w:lang w:val="es-ES_tradnl" w:eastAsia="es-CO"/>
        </w:rPr>
        <w:t xml:space="preserve">del que surge el deber de publicar en </w:t>
      </w:r>
      <w:r w:rsidR="00993ABC">
        <w:rPr>
          <w:rFonts w:ascii="Arial" w:hAnsi="Arial" w:cs="Arial"/>
          <w:lang w:val="es-ES_tradnl" w:eastAsia="es-CO"/>
        </w:rPr>
        <w:t xml:space="preserve">el </w:t>
      </w:r>
      <w:r w:rsidRPr="00C24652">
        <w:rPr>
          <w:rFonts w:ascii="Arial" w:hAnsi="Arial" w:cs="Arial"/>
          <w:lang w:val="es-ES_tradnl" w:eastAsia="es-CO"/>
        </w:rPr>
        <w:t>SECOP</w:t>
      </w:r>
      <w:r w:rsidR="00993ABC">
        <w:rPr>
          <w:rFonts w:ascii="Arial" w:hAnsi="Arial" w:cs="Arial"/>
          <w:lang w:val="es-ES_tradnl" w:eastAsia="es-CO"/>
        </w:rPr>
        <w:t>–</w:t>
      </w:r>
      <w:r w:rsidRPr="00C24652" w:rsidR="00206395">
        <w:rPr>
          <w:rFonts w:ascii="Arial" w:hAnsi="Arial" w:cs="Arial"/>
          <w:lang w:val="es-ES_tradnl" w:eastAsia="es-CO"/>
        </w:rPr>
        <w:t>, que</w:t>
      </w:r>
      <w:r w:rsidRPr="00C24652" w:rsidR="00E85504">
        <w:rPr>
          <w:rFonts w:ascii="Arial" w:hAnsi="Arial" w:cs="Arial"/>
          <w:lang w:val="es-ES_tradnl" w:eastAsia="es-CO"/>
        </w:rPr>
        <w:t xml:space="preserve"> expresament</w:t>
      </w:r>
      <w:r w:rsidR="00E16375">
        <w:rPr>
          <w:rFonts w:ascii="Arial" w:hAnsi="Arial" w:cs="Arial"/>
          <w:lang w:val="es-ES_tradnl" w:eastAsia="es-CO"/>
        </w:rPr>
        <w:t>e</w:t>
      </w:r>
      <w:r w:rsidRPr="00C24652" w:rsidR="00206395">
        <w:rPr>
          <w:rFonts w:ascii="Arial" w:hAnsi="Arial" w:cs="Arial"/>
          <w:lang w:val="es-ES_tradnl" w:eastAsia="es-CO"/>
        </w:rPr>
        <w:t xml:space="preserve"> </w:t>
      </w:r>
      <w:r w:rsidRPr="00C24652" w:rsidR="00206395">
        <w:rPr>
          <w:rStyle w:val="normaltextrun"/>
          <w:rFonts w:ascii="Arial" w:hAnsi="Arial" w:cs="Arial"/>
          <w:shd w:val="clear" w:color="auto" w:fill="FFFFFF"/>
          <w:lang w:val="es-ES"/>
        </w:rPr>
        <w:t xml:space="preserve">establece que ese aparte del artículo se aplica a la </w:t>
      </w:r>
      <w:r w:rsidR="00DB79CD">
        <w:rPr>
          <w:rStyle w:val="normaltextrun"/>
          <w:rFonts w:ascii="Arial" w:hAnsi="Arial" w:cs="Arial"/>
          <w:shd w:val="clear" w:color="auto" w:fill="FFFFFF"/>
          <w:lang w:val="es-ES"/>
        </w:rPr>
        <w:t>«</w:t>
      </w:r>
      <w:r w:rsidRPr="00C24652" w:rsidR="00206395">
        <w:rPr>
          <w:rStyle w:val="normaltextrun"/>
          <w:rFonts w:ascii="Arial" w:hAnsi="Arial" w:cs="Arial"/>
          <w:i/>
          <w:iCs/>
          <w:shd w:val="clear" w:color="auto" w:fill="FFFFFF"/>
          <w:lang w:val="es-ES"/>
        </w:rPr>
        <w:t>contratación realizada con dineros públicos</w:t>
      </w:r>
      <w:r w:rsidR="00DB79CD">
        <w:rPr>
          <w:rStyle w:val="normaltextrun"/>
          <w:rFonts w:ascii="Arial" w:hAnsi="Arial" w:cs="Arial"/>
          <w:shd w:val="clear" w:color="auto" w:fill="FFFFFF"/>
          <w:lang w:val="es-ES"/>
        </w:rPr>
        <w:t>»</w:t>
      </w:r>
      <w:r w:rsidRPr="00C24652" w:rsidR="00206395">
        <w:rPr>
          <w:rStyle w:val="normaltextrun"/>
          <w:rFonts w:ascii="Arial" w:hAnsi="Arial" w:cs="Arial"/>
          <w:shd w:val="clear" w:color="auto" w:fill="FFFFFF"/>
          <w:lang w:val="es-ES"/>
        </w:rPr>
        <w:t>.</w:t>
      </w:r>
      <w:r w:rsidRPr="00C24652" w:rsidR="00E85504">
        <w:rPr>
          <w:rStyle w:val="normaltextrun"/>
          <w:rFonts w:ascii="Arial" w:hAnsi="Arial" w:cs="Arial"/>
          <w:shd w:val="clear" w:color="auto" w:fill="FFFFFF"/>
          <w:lang w:val="es-ES"/>
        </w:rPr>
        <w:t xml:space="preserve"> </w:t>
      </w:r>
      <w:r w:rsidRPr="00C24652" w:rsidR="00E85504">
        <w:rPr>
          <w:rStyle w:val="normaltextrun"/>
          <w:rFonts w:ascii="Arial" w:hAnsi="Arial" w:cs="Arial"/>
          <w:shd w:val="clear" w:color="auto" w:fill="FFFFFF"/>
        </w:rPr>
        <w:t xml:space="preserve">Esta interpretación concuerda con </w:t>
      </w:r>
      <w:r w:rsidR="00DB79CD">
        <w:rPr>
          <w:rStyle w:val="normaltextrun"/>
          <w:rFonts w:ascii="Arial" w:hAnsi="Arial" w:cs="Arial"/>
          <w:shd w:val="clear" w:color="auto" w:fill="FFFFFF"/>
        </w:rPr>
        <w:t xml:space="preserve">el </w:t>
      </w:r>
      <w:r w:rsidRPr="00C24652" w:rsidR="00E85504">
        <w:rPr>
          <w:rStyle w:val="normaltextrun"/>
          <w:rFonts w:ascii="Arial" w:hAnsi="Arial" w:cs="Arial"/>
          <w:shd w:val="clear" w:color="auto" w:fill="FFFFFF"/>
        </w:rPr>
        <w:t>ámbito al que se encuentran destinadas las disposiciones del Título II de dicha norma, titulado «DISPOSICIONES GENERALES PARA LA CONTRATACION CON RECURSOS PUBLICOS»</w:t>
      </w:r>
      <w:r w:rsidRPr="00C24652" w:rsidR="008D2F1B">
        <w:rPr>
          <w:rStyle w:val="normaltextrun"/>
          <w:rFonts w:ascii="Arial" w:hAnsi="Arial" w:cs="Arial"/>
          <w:shd w:val="clear" w:color="auto" w:fill="FFFFFF"/>
        </w:rPr>
        <w:t>, en el cual se ubica el artículo 13</w:t>
      </w:r>
      <w:r w:rsidRPr="00C24652" w:rsidR="009D279B">
        <w:rPr>
          <w:rStyle w:val="normaltextrun"/>
          <w:rFonts w:ascii="Arial" w:hAnsi="Arial" w:cs="Arial"/>
          <w:shd w:val="clear" w:color="auto" w:fill="FFFFFF"/>
        </w:rPr>
        <w:t xml:space="preserve"> que fue modificado por el artículo 53 de la Ley 2195 de 2022.</w:t>
      </w:r>
    </w:p>
    <w:bookmarkEnd w:id="12"/>
    <w:p w:rsidRPr="00C24652" w:rsidR="004A35D4" w:rsidP="004A35D4" w:rsidRDefault="00C4657A" w14:paraId="31754E4A" w14:textId="03D982F9">
      <w:pPr>
        <w:spacing w:after="0" w:line="276" w:lineRule="auto"/>
        <w:ind w:firstLine="709"/>
        <w:jc w:val="both"/>
        <w:rPr>
          <w:rFonts w:ascii="Arial" w:hAnsi="Arial" w:cs="Arial"/>
        </w:rPr>
      </w:pPr>
      <w:r w:rsidRPr="00C24652">
        <w:rPr>
          <w:rFonts w:ascii="Arial" w:hAnsi="Arial" w:cs="Arial"/>
          <w:lang w:val="es-ES_tradnl" w:eastAsia="es-CO"/>
        </w:rPr>
        <w:t xml:space="preserve">Por otro lado, </w:t>
      </w:r>
      <w:r w:rsidRPr="00C24652" w:rsidR="00B20F8B">
        <w:rPr>
          <w:rFonts w:ascii="Arial" w:hAnsi="Arial" w:cs="Arial"/>
        </w:rPr>
        <w:t>el Decreto 103</w:t>
      </w:r>
      <w:r w:rsidRPr="00C24652" w:rsidR="009A4D12">
        <w:rPr>
          <w:rFonts w:ascii="Arial" w:hAnsi="Arial" w:cs="Arial"/>
        </w:rPr>
        <w:t xml:space="preserve">, mediante el cual se reglamentó la Ley 1712 de 2014, y que fue </w:t>
      </w:r>
      <w:r w:rsidRPr="00C24652" w:rsidR="004A35D4">
        <w:rPr>
          <w:rFonts w:ascii="Arial" w:hAnsi="Arial" w:cs="Arial"/>
        </w:rPr>
        <w:t>compilado</w:t>
      </w:r>
      <w:r w:rsidRPr="00C24652" w:rsidR="009A4D12">
        <w:rPr>
          <w:rFonts w:ascii="Arial" w:hAnsi="Arial" w:cs="Arial"/>
        </w:rPr>
        <w:t xml:space="preserve"> </w:t>
      </w:r>
      <w:r w:rsidRPr="00C24652" w:rsidR="009A4D12">
        <w:rPr>
          <w:rStyle w:val="normaltextrun"/>
          <w:rFonts w:ascii="Arial" w:hAnsi="Arial" w:cs="Arial"/>
          <w:shd w:val="clear" w:color="auto" w:fill="FFFFFF"/>
        </w:rPr>
        <w:t xml:space="preserve">en los artículos 2.1.1.1.1. al 2.1.1.6.1. del Decreto 1081 de 2015–.  </w:t>
      </w:r>
      <w:r w:rsidRPr="00C24652" w:rsidR="00B20F8B">
        <w:rPr>
          <w:rFonts w:ascii="Arial" w:hAnsi="Arial" w:cs="Arial"/>
        </w:rPr>
        <w:t>señala:</w:t>
      </w:r>
    </w:p>
    <w:p w:rsidRPr="00C24652" w:rsidR="00B20F8B" w:rsidP="00CC1051" w:rsidRDefault="00B20F8B" w14:paraId="535609AF" w14:textId="138D5EAA">
      <w:pPr>
        <w:spacing w:after="0" w:line="240" w:lineRule="auto"/>
        <w:ind w:firstLine="709"/>
        <w:contextualSpacing/>
        <w:jc w:val="both"/>
        <w:rPr>
          <w:rFonts w:ascii="Arial" w:hAnsi="Arial" w:cs="Arial"/>
        </w:rPr>
      </w:pPr>
      <w:r w:rsidRPr="00C24652">
        <w:rPr>
          <w:rFonts w:ascii="Arial" w:hAnsi="Arial" w:cs="Arial"/>
        </w:rPr>
        <w:t xml:space="preserve"> </w:t>
      </w:r>
    </w:p>
    <w:p w:rsidRPr="00C24652" w:rsidR="00B20F8B" w:rsidP="00CC1051" w:rsidRDefault="00B20F8B" w14:paraId="539BD565" w14:textId="4C5138C8">
      <w:pPr>
        <w:spacing w:after="0" w:line="240" w:lineRule="auto"/>
        <w:ind w:left="709" w:right="709"/>
        <w:contextualSpacing/>
        <w:jc w:val="both"/>
        <w:rPr>
          <w:rFonts w:ascii="Arial" w:hAnsi="Arial" w:eastAsia="Times New Roman" w:cs="Arial"/>
          <w:sz w:val="21"/>
          <w:szCs w:val="21"/>
          <w:lang w:eastAsia="es-CO"/>
        </w:rPr>
      </w:pPr>
      <w:r w:rsidRPr="00C24652">
        <w:rPr>
          <w:rFonts w:ascii="Arial" w:hAnsi="Arial" w:eastAsia="Times New Roman" w:cs="Arial"/>
          <w:sz w:val="21"/>
          <w:szCs w:val="21"/>
          <w:lang w:eastAsia="es-CO"/>
        </w:rPr>
        <w:t>Artículo 7</w:t>
      </w:r>
      <w:r w:rsidRPr="00C24652" w:rsidR="004A35D4">
        <w:rPr>
          <w:rFonts w:ascii="Arial" w:hAnsi="Arial" w:eastAsia="Times New Roman" w:cs="Arial"/>
          <w:sz w:val="21"/>
          <w:szCs w:val="21"/>
          <w:lang w:eastAsia="es-CO"/>
        </w:rPr>
        <w:t>°.</w:t>
      </w:r>
      <w:r w:rsidRPr="00C24652" w:rsidR="004A35D4">
        <w:rPr>
          <w:rFonts w:ascii="Arial" w:hAnsi="Arial" w:eastAsia="Times New Roman" w:cs="Arial"/>
          <w:i/>
          <w:iCs/>
          <w:sz w:val="21"/>
          <w:szCs w:val="21"/>
          <w:lang w:eastAsia="es-CO"/>
        </w:rPr>
        <w:t xml:space="preserve"> Publicación</w:t>
      </w:r>
      <w:r w:rsidRPr="00C24652">
        <w:rPr>
          <w:rFonts w:ascii="Arial" w:hAnsi="Arial" w:eastAsia="Times New Roman" w:cs="Arial"/>
          <w:i/>
          <w:iCs/>
          <w:sz w:val="21"/>
          <w:szCs w:val="21"/>
          <w:lang w:eastAsia="es-CO"/>
        </w:rPr>
        <w:t xml:space="preserve"> de la información contractual. </w:t>
      </w:r>
      <w:r w:rsidRPr="00C24652">
        <w:rPr>
          <w:rFonts w:ascii="Arial" w:hAnsi="Arial" w:eastAsia="Times New Roman" w:cs="Arial"/>
          <w:sz w:val="21"/>
          <w:szCs w:val="21"/>
          <w:lang w:eastAsia="es-CO"/>
        </w:rPr>
        <w:t xml:space="preserve">De conformidad con el literal (c) del artículo 3° de la Ley 1150 de 2007, el sistema de información del Estado en el cual los sujetos obligados que contratan </w:t>
      </w:r>
      <w:r w:rsidRPr="00C24652">
        <w:rPr>
          <w:rFonts w:ascii="Arial" w:hAnsi="Arial" w:eastAsia="Times New Roman" w:cs="Arial"/>
          <w:i/>
          <w:iCs/>
          <w:sz w:val="21"/>
          <w:szCs w:val="21"/>
          <w:lang w:eastAsia="es-CO"/>
        </w:rPr>
        <w:t>con cargo a recursos públicos</w:t>
      </w:r>
      <w:r w:rsidRPr="00C24652">
        <w:rPr>
          <w:rFonts w:ascii="Arial" w:hAnsi="Arial" w:eastAsia="Times New Roman" w:cs="Arial"/>
          <w:sz w:val="21"/>
          <w:szCs w:val="21"/>
          <w:lang w:eastAsia="es-CO"/>
        </w:rPr>
        <w:t xml:space="preserve"> deben cumplir la obligación de publicar la información de su gestión contractual es el Sistema Electrónico para la Contratación Pública (Secop). </w:t>
      </w:r>
    </w:p>
    <w:p w:rsidRPr="00C24652" w:rsidR="00B20F8B" w:rsidP="00CC1051" w:rsidRDefault="00B20F8B" w14:paraId="1C56750F" w14:textId="77777777">
      <w:pPr>
        <w:spacing w:after="0" w:line="240" w:lineRule="auto"/>
        <w:ind w:left="709" w:right="709"/>
        <w:contextualSpacing/>
        <w:jc w:val="both"/>
        <w:rPr>
          <w:rFonts w:ascii="Arial" w:hAnsi="Arial" w:eastAsia="Times New Roman" w:cs="Arial"/>
          <w:sz w:val="21"/>
          <w:szCs w:val="21"/>
          <w:lang w:eastAsia="es-CO"/>
        </w:rPr>
      </w:pPr>
      <w:r w:rsidRPr="00C24652">
        <w:rPr>
          <w:rFonts w:ascii="Arial" w:hAnsi="Arial" w:eastAsia="Times New Roman" w:cs="Arial"/>
          <w:sz w:val="21"/>
          <w:szCs w:val="21"/>
          <w:lang w:eastAsia="es-CO"/>
        </w:rPr>
        <w:t>  </w:t>
      </w:r>
    </w:p>
    <w:p w:rsidRPr="00C24652" w:rsidR="00B20F8B" w:rsidP="00CC1051" w:rsidRDefault="00B20F8B" w14:paraId="3BD59378" w14:textId="77777777">
      <w:pPr>
        <w:spacing w:after="0" w:line="240" w:lineRule="auto"/>
        <w:ind w:left="709" w:right="709"/>
        <w:contextualSpacing/>
        <w:jc w:val="both"/>
        <w:rPr>
          <w:rFonts w:ascii="Arial" w:hAnsi="Arial" w:eastAsia="Times New Roman" w:cs="Arial"/>
          <w:sz w:val="21"/>
          <w:szCs w:val="21"/>
          <w:lang w:eastAsia="es-CO"/>
        </w:rPr>
      </w:pPr>
      <w:r w:rsidRPr="00C24652">
        <w:rPr>
          <w:rFonts w:ascii="Arial" w:hAnsi="Arial" w:eastAsia="Times New Roman" w:cs="Arial"/>
          <w:sz w:val="21"/>
          <w:szCs w:val="21"/>
          <w:lang w:eastAsia="es-CO"/>
        </w:rPr>
        <w:t xml:space="preserve">Los sujetos obligados que contratan </w:t>
      </w:r>
      <w:r w:rsidRPr="00C24652">
        <w:rPr>
          <w:rFonts w:ascii="Arial" w:hAnsi="Arial" w:eastAsia="Times New Roman" w:cs="Arial"/>
          <w:i/>
          <w:iCs/>
          <w:sz w:val="21"/>
          <w:szCs w:val="21"/>
          <w:lang w:eastAsia="es-CO"/>
        </w:rPr>
        <w:t>con cargo a recursos públicos</w:t>
      </w:r>
      <w:r w:rsidRPr="00C24652">
        <w:rPr>
          <w:rFonts w:ascii="Arial" w:hAnsi="Arial" w:eastAsia="Times New Roman" w:cs="Arial"/>
          <w:sz w:val="21"/>
          <w:szCs w:val="21"/>
          <w:lang w:eastAsia="es-CO"/>
        </w:rPr>
        <w:t xml:space="preserve"> deben publicar la información de su gestión contractual en el plazo previsto en el artículo 19 del Decreto 1510 de 2013, o el que lo modifique, sustituya o adicione. </w:t>
      </w:r>
    </w:p>
    <w:p w:rsidRPr="00C24652" w:rsidR="00B20F8B" w:rsidP="00CC1051" w:rsidRDefault="00B20F8B" w14:paraId="0B874654" w14:textId="77777777">
      <w:pPr>
        <w:spacing w:after="0" w:line="240" w:lineRule="auto"/>
        <w:ind w:left="709" w:right="709"/>
        <w:contextualSpacing/>
        <w:jc w:val="both"/>
        <w:rPr>
          <w:rFonts w:ascii="Arial" w:hAnsi="Arial" w:eastAsia="Times New Roman" w:cs="Arial"/>
          <w:sz w:val="21"/>
          <w:szCs w:val="21"/>
          <w:lang w:eastAsia="es-CO"/>
        </w:rPr>
      </w:pPr>
      <w:r w:rsidRPr="00C24652">
        <w:rPr>
          <w:rFonts w:ascii="Arial" w:hAnsi="Arial" w:eastAsia="Times New Roman" w:cs="Arial"/>
          <w:sz w:val="21"/>
          <w:szCs w:val="21"/>
          <w:lang w:eastAsia="es-CO"/>
        </w:rPr>
        <w:t>  </w:t>
      </w:r>
    </w:p>
    <w:p w:rsidRPr="00C24652" w:rsidR="00B20F8B" w:rsidP="00CC1051" w:rsidRDefault="00B20F8B" w14:paraId="5FA1AEEC" w14:textId="0A3E0875">
      <w:pPr>
        <w:spacing w:after="0" w:line="240" w:lineRule="auto"/>
        <w:ind w:left="709" w:right="709"/>
        <w:contextualSpacing/>
        <w:jc w:val="both"/>
        <w:rPr>
          <w:rFonts w:ascii="Arial" w:hAnsi="Arial" w:eastAsia="Times New Roman" w:cs="Arial"/>
          <w:sz w:val="21"/>
          <w:szCs w:val="21"/>
          <w:lang w:eastAsia="es-CO"/>
        </w:rPr>
      </w:pPr>
      <w:r w:rsidRPr="00C24652">
        <w:rPr>
          <w:rFonts w:ascii="Arial" w:hAnsi="Arial" w:eastAsia="Times New Roman" w:cs="Arial"/>
          <w:sz w:val="21"/>
          <w:szCs w:val="21"/>
          <w:lang w:eastAsia="es-CO"/>
        </w:rPr>
        <w:t>Los sujetos obligados que contratan con recursos públicos y recursos privados, deben publicar la información de su gestión contractual con cargo a recursos públicos en el Sistema Electrónico para la Contratación Pública (Secop). </w:t>
      </w:r>
      <w:r w:rsidRPr="00C24652" w:rsidR="00CC1051">
        <w:rPr>
          <w:rFonts w:ascii="Arial" w:hAnsi="Arial" w:eastAsia="Times New Roman" w:cs="Arial"/>
          <w:sz w:val="21"/>
          <w:szCs w:val="21"/>
          <w:lang w:eastAsia="es-CO"/>
        </w:rPr>
        <w:t xml:space="preserve">(Cursivas fuera del texto original). </w:t>
      </w:r>
    </w:p>
    <w:p w:rsidRPr="00C24652" w:rsidR="00B20F8B" w:rsidP="00CC1051" w:rsidRDefault="00B20F8B" w14:paraId="58C08C98" w14:textId="77777777">
      <w:pPr>
        <w:spacing w:after="0" w:line="240" w:lineRule="auto"/>
        <w:ind w:left="709" w:right="709"/>
        <w:contextualSpacing/>
        <w:jc w:val="both"/>
        <w:rPr>
          <w:rFonts w:ascii="Arial" w:hAnsi="Arial" w:eastAsia="Times New Roman" w:cs="Arial"/>
          <w:lang w:eastAsia="es-CO"/>
        </w:rPr>
      </w:pPr>
      <w:r w:rsidRPr="00C24652">
        <w:rPr>
          <w:rFonts w:ascii="Arial" w:hAnsi="Arial" w:eastAsia="Times New Roman" w:cs="Arial"/>
          <w:lang w:eastAsia="es-CO"/>
        </w:rPr>
        <w:t>  </w:t>
      </w:r>
    </w:p>
    <w:p w:rsidRPr="00C24652" w:rsidR="00B20F8B" w:rsidP="00535D21" w:rsidRDefault="005A3B68" w14:paraId="04ECF365" w14:textId="33C8D5AA">
      <w:pPr>
        <w:spacing w:after="120" w:line="276" w:lineRule="auto"/>
        <w:ind w:firstLine="709"/>
        <w:jc w:val="both"/>
        <w:rPr>
          <w:rFonts w:ascii="Arial" w:hAnsi="Arial" w:eastAsia="Calibri" w:cs="Arial"/>
          <w:lang w:val="es-ES_tradnl" w:eastAsia="es-ES_tradnl"/>
        </w:rPr>
      </w:pPr>
      <w:bookmarkStart w:name="_Hlk110869205" w:id="13"/>
      <w:r w:rsidRPr="00C24652">
        <w:rPr>
          <w:rFonts w:ascii="Arial" w:hAnsi="Arial" w:eastAsia="Calibri" w:cs="Arial"/>
          <w:lang w:val="es-ES_tradnl" w:eastAsia="es-ES_tradnl"/>
        </w:rPr>
        <w:t xml:space="preserve">De las normas antes citadas es posible establecer que la obligación de publicar la actividad </w:t>
      </w:r>
      <w:r w:rsidRPr="00C24652" w:rsidR="00113087">
        <w:rPr>
          <w:rFonts w:ascii="Arial" w:hAnsi="Arial" w:eastAsia="Calibri" w:cs="Arial"/>
          <w:lang w:val="es-ES_tradnl" w:eastAsia="es-ES_tradnl"/>
        </w:rPr>
        <w:t>contractual siempre</w:t>
      </w:r>
      <w:r w:rsidRPr="00C24652">
        <w:rPr>
          <w:rFonts w:ascii="Arial" w:hAnsi="Arial" w:eastAsia="Calibri" w:cs="Arial"/>
          <w:lang w:val="es-ES_tradnl" w:eastAsia="es-ES_tradnl"/>
        </w:rPr>
        <w:t xml:space="preserve"> ha estado encaminada </w:t>
      </w:r>
      <w:r w:rsidR="00DB79CD">
        <w:rPr>
          <w:rFonts w:ascii="Arial" w:hAnsi="Arial" w:eastAsia="Calibri" w:cs="Arial"/>
          <w:lang w:val="es-ES_tradnl" w:eastAsia="es-ES_tradnl"/>
        </w:rPr>
        <w:t xml:space="preserve">a </w:t>
      </w:r>
      <w:r w:rsidRPr="00C24652">
        <w:rPr>
          <w:rFonts w:ascii="Arial" w:hAnsi="Arial" w:eastAsia="Calibri" w:cs="Arial"/>
          <w:lang w:val="es-ES_tradnl" w:eastAsia="es-ES_tradnl"/>
        </w:rPr>
        <w:t>que se publique aquella información relacionada con la ejecución de dineros públicos</w:t>
      </w:r>
      <w:r w:rsidR="00DB79CD">
        <w:rPr>
          <w:rFonts w:ascii="Arial" w:hAnsi="Arial" w:eastAsia="Calibri" w:cs="Arial"/>
          <w:lang w:val="es-ES_tradnl" w:eastAsia="es-ES_tradnl"/>
        </w:rPr>
        <w:t>.</w:t>
      </w:r>
      <w:r w:rsidRPr="00C24652">
        <w:rPr>
          <w:rFonts w:ascii="Arial" w:hAnsi="Arial" w:eastAsia="Calibri" w:cs="Arial"/>
          <w:lang w:val="es-ES_tradnl" w:eastAsia="es-ES_tradnl"/>
        </w:rPr>
        <w:t xml:space="preserve"> </w:t>
      </w:r>
      <w:r w:rsidR="00DB79CD">
        <w:rPr>
          <w:rFonts w:ascii="Arial" w:hAnsi="Arial" w:eastAsia="Calibri" w:cs="Arial"/>
          <w:lang w:val="es-ES_tradnl" w:eastAsia="es-ES_tradnl"/>
        </w:rPr>
        <w:t>Por tal razón</w:t>
      </w:r>
      <w:r w:rsidR="0048518A">
        <w:rPr>
          <w:rFonts w:ascii="Arial" w:hAnsi="Arial" w:eastAsia="Calibri" w:cs="Arial"/>
          <w:lang w:val="es-ES_tradnl" w:eastAsia="es-ES_tradnl"/>
        </w:rPr>
        <w:t>, puede concluirse</w:t>
      </w:r>
      <w:r w:rsidRPr="00C24652">
        <w:rPr>
          <w:rFonts w:ascii="Arial" w:hAnsi="Arial" w:eastAsia="Calibri" w:cs="Arial"/>
          <w:lang w:val="es-ES_tradnl" w:eastAsia="es-ES_tradnl"/>
        </w:rPr>
        <w:t xml:space="preserve">, a la luz de las disposiciones que regulan la materia, </w:t>
      </w:r>
      <w:r w:rsidR="0048518A">
        <w:rPr>
          <w:rFonts w:ascii="Arial" w:hAnsi="Arial" w:eastAsia="Calibri" w:cs="Arial"/>
          <w:lang w:val="es-ES_tradnl" w:eastAsia="es-ES_tradnl"/>
        </w:rPr>
        <w:t xml:space="preserve">que </w:t>
      </w:r>
      <w:r w:rsidRPr="00C24652">
        <w:rPr>
          <w:rFonts w:ascii="Arial" w:hAnsi="Arial" w:eastAsia="Calibri" w:cs="Arial"/>
          <w:lang w:val="es-ES_tradnl" w:eastAsia="es-ES_tradnl"/>
        </w:rPr>
        <w:t xml:space="preserve">el artículo 53 </w:t>
      </w:r>
      <w:r w:rsidR="0048518A">
        <w:rPr>
          <w:rFonts w:ascii="Arial" w:hAnsi="Arial" w:eastAsia="Calibri" w:cs="Arial"/>
          <w:lang w:val="es-ES_tradnl" w:eastAsia="es-ES_tradnl"/>
        </w:rPr>
        <w:t>–</w:t>
      </w:r>
      <w:r w:rsidRPr="00C24652">
        <w:rPr>
          <w:rFonts w:ascii="Arial" w:hAnsi="Arial" w:eastAsia="Calibri" w:cs="Arial"/>
          <w:lang w:val="es-ES_tradnl" w:eastAsia="es-ES_tradnl"/>
        </w:rPr>
        <w:t>al ampliar la obligación de las entidades con regímenes especiales de publicar su actividad contractual en el SECOP II</w:t>
      </w:r>
      <w:r w:rsidR="0048518A">
        <w:rPr>
          <w:rFonts w:ascii="Arial" w:hAnsi="Arial" w:eastAsia="Calibri" w:cs="Arial"/>
          <w:lang w:val="es-ES_tradnl" w:eastAsia="es-ES_tradnl"/>
        </w:rPr>
        <w:t>–</w:t>
      </w:r>
      <w:r w:rsidRPr="00C24652">
        <w:rPr>
          <w:rFonts w:ascii="Arial" w:hAnsi="Arial" w:eastAsia="Calibri" w:cs="Arial"/>
          <w:lang w:val="es-ES_tradnl" w:eastAsia="es-ES_tradnl"/>
        </w:rPr>
        <w:t xml:space="preserve"> se refiere a aquella actividad contractual cuya fuente de financiación provenga de recursos públicos</w:t>
      </w:r>
      <w:r w:rsidRPr="00C24652" w:rsidR="00B20F8B">
        <w:rPr>
          <w:rFonts w:ascii="Arial" w:hAnsi="Arial" w:eastAsia="Calibri" w:cs="Arial"/>
          <w:lang w:val="es-ES_tradnl" w:eastAsia="es-ES_tradnl"/>
        </w:rPr>
        <w:t xml:space="preserve">. </w:t>
      </w:r>
    </w:p>
    <w:bookmarkEnd w:id="13"/>
    <w:p w:rsidRPr="00C24652" w:rsidR="00F02C60" w:rsidP="00535D21" w:rsidRDefault="00535D21" w14:paraId="3A179BDC" w14:textId="63FF69BF">
      <w:pPr>
        <w:spacing w:after="0" w:line="276" w:lineRule="auto"/>
        <w:ind w:firstLine="709"/>
        <w:jc w:val="both"/>
        <w:rPr>
          <w:rFonts w:ascii="Arial" w:hAnsi="Arial" w:cs="Arial"/>
          <w:lang w:val="es-ES"/>
        </w:rPr>
      </w:pPr>
      <w:r w:rsidRPr="00C24652">
        <w:rPr>
          <w:rStyle w:val="normaltextrun"/>
          <w:rFonts w:ascii="Arial" w:hAnsi="Arial" w:cs="Arial"/>
          <w:shd w:val="clear" w:color="auto" w:fill="FFFFFF"/>
          <w:lang w:val="es-ES"/>
        </w:rPr>
        <w:t xml:space="preserve">En consonancia con </w:t>
      </w:r>
      <w:r w:rsidR="0048518A">
        <w:rPr>
          <w:rStyle w:val="normaltextrun"/>
          <w:rFonts w:ascii="Arial" w:hAnsi="Arial" w:cs="Arial"/>
          <w:shd w:val="clear" w:color="auto" w:fill="FFFFFF"/>
          <w:lang w:val="es-ES"/>
        </w:rPr>
        <w:t xml:space="preserve">la </w:t>
      </w:r>
      <w:r w:rsidRPr="00C24652">
        <w:rPr>
          <w:rStyle w:val="normaltextrun"/>
          <w:rFonts w:ascii="Arial" w:hAnsi="Arial" w:cs="Arial"/>
          <w:shd w:val="clear" w:color="auto" w:fill="FFFFFF"/>
          <w:lang w:val="es-ES"/>
        </w:rPr>
        <w:t xml:space="preserve">interpretación antes expuesta, </w:t>
      </w:r>
      <w:r w:rsidRPr="00C24652" w:rsidR="00FE1362">
        <w:rPr>
          <w:rFonts w:ascii="Arial" w:hAnsi="Arial" w:cs="Arial"/>
          <w:lang w:val="es-ES"/>
        </w:rPr>
        <w:t xml:space="preserve">la </w:t>
      </w:r>
      <w:r w:rsidRPr="00C24652" w:rsidR="003F5D68">
        <w:rPr>
          <w:rFonts w:ascii="Arial" w:hAnsi="Arial" w:eastAsia="Calibri" w:cs="Arial"/>
          <w:lang w:val="es-ES"/>
        </w:rPr>
        <w:t>Circular 002 del 1 de junio de 2022</w:t>
      </w:r>
      <w:r w:rsidRPr="00C24652" w:rsidR="003F5D68">
        <w:rPr>
          <w:rFonts w:ascii="Arial" w:hAnsi="Arial" w:eastAsia="Calibri" w:cs="Arial"/>
          <w:vertAlign w:val="superscript"/>
          <w:lang w:val="es-ES"/>
        </w:rPr>
        <w:footnoteReference w:id="15"/>
      </w:r>
      <w:r w:rsidRPr="00C24652" w:rsidR="003F5D68">
        <w:rPr>
          <w:rFonts w:ascii="Arial" w:hAnsi="Arial" w:eastAsia="Calibri" w:cs="Arial"/>
          <w:lang w:val="es-ES"/>
        </w:rPr>
        <w:t>, dictada por el Departamento Administrativo de la Presidencia</w:t>
      </w:r>
      <w:r w:rsidR="00D40AD4">
        <w:rPr>
          <w:rFonts w:ascii="Arial" w:hAnsi="Arial" w:eastAsia="Calibri" w:cs="Arial"/>
          <w:lang w:val="es-ES"/>
        </w:rPr>
        <w:t xml:space="preserve"> de la República</w:t>
      </w:r>
      <w:r w:rsidRPr="00C24652" w:rsidR="00A67045">
        <w:rPr>
          <w:rFonts w:ascii="Arial" w:hAnsi="Arial" w:cs="Arial"/>
          <w:lang w:val="es-ES"/>
        </w:rPr>
        <w:t xml:space="preserve">, </w:t>
      </w:r>
      <w:r w:rsidRPr="00C24652" w:rsidR="00FE1362">
        <w:rPr>
          <w:rFonts w:ascii="Arial" w:hAnsi="Arial" w:cs="Arial"/>
          <w:lang w:val="es-ES"/>
        </w:rPr>
        <w:t xml:space="preserve">a través de la cual </w:t>
      </w:r>
      <w:r w:rsidRPr="00C24652" w:rsidR="00A67045">
        <w:rPr>
          <w:rFonts w:ascii="Arial" w:hAnsi="Arial" w:cs="Arial"/>
          <w:lang w:val="es-ES"/>
        </w:rPr>
        <w:t xml:space="preserve">fueron impartidas instrucciones </w:t>
      </w:r>
      <w:r w:rsidRPr="00C24652" w:rsidR="00E86F48">
        <w:rPr>
          <w:rFonts w:ascii="Arial" w:hAnsi="Arial" w:cs="Arial"/>
          <w:lang w:val="es-ES"/>
        </w:rPr>
        <w:t>relacionadas con la aplicación del artículo 53 de la Ley 2195 de 2022</w:t>
      </w:r>
      <w:r w:rsidRPr="00C24652" w:rsidR="00CA6F51">
        <w:rPr>
          <w:rFonts w:ascii="Arial" w:hAnsi="Arial" w:cs="Arial"/>
          <w:lang w:val="es-ES"/>
        </w:rPr>
        <w:t xml:space="preserve">, en el numeral I </w:t>
      </w:r>
      <w:r w:rsidR="00B37C0C">
        <w:rPr>
          <w:rFonts w:ascii="Arial" w:hAnsi="Arial" w:cs="Arial"/>
          <w:lang w:val="es-ES"/>
        </w:rPr>
        <w:t>–</w:t>
      </w:r>
      <w:r w:rsidRPr="00C24652" w:rsidR="00CA6F51">
        <w:rPr>
          <w:rFonts w:ascii="Arial" w:hAnsi="Arial" w:cs="Arial"/>
          <w:lang w:val="es-ES"/>
        </w:rPr>
        <w:t>denominado «Publicación de los documentos contractuales en el SECOP II»</w:t>
      </w:r>
      <w:r w:rsidR="00B37C0C">
        <w:rPr>
          <w:rFonts w:ascii="Arial" w:hAnsi="Arial" w:cs="Arial"/>
          <w:lang w:val="es-ES"/>
        </w:rPr>
        <w:t>–, señala</w:t>
      </w:r>
      <w:r w:rsidRPr="00C24652" w:rsidR="00CA6F51">
        <w:rPr>
          <w:rFonts w:ascii="Arial" w:hAnsi="Arial" w:cs="Arial"/>
          <w:lang w:val="es-ES"/>
        </w:rPr>
        <w:t xml:space="preserve">: </w:t>
      </w:r>
    </w:p>
    <w:p w:rsidRPr="00C24652" w:rsidR="00A63D61" w:rsidP="00535D21" w:rsidRDefault="00A63D61" w14:paraId="2DF0BA22" w14:textId="77777777">
      <w:pPr>
        <w:spacing w:after="0" w:line="240" w:lineRule="auto"/>
        <w:ind w:left="709" w:right="709"/>
        <w:contextualSpacing/>
        <w:jc w:val="both"/>
        <w:rPr>
          <w:rFonts w:ascii="Arial" w:hAnsi="Arial" w:eastAsia="Calibri" w:cs="Arial"/>
          <w:lang w:val="es-ES_tradnl" w:eastAsia="es-ES_tradnl"/>
        </w:rPr>
      </w:pPr>
    </w:p>
    <w:p w:rsidRPr="00C24652" w:rsidR="002D1801" w:rsidP="00535D21" w:rsidRDefault="00BD45EB" w14:paraId="323C8C3E" w14:textId="470BE22D">
      <w:pPr>
        <w:spacing w:after="0" w:line="240" w:lineRule="auto"/>
        <w:ind w:left="709" w:right="709"/>
        <w:contextualSpacing/>
        <w:jc w:val="both"/>
        <w:rPr>
          <w:rFonts w:ascii="Arial" w:hAnsi="Arial" w:eastAsia="Calibri" w:cs="Arial"/>
          <w:sz w:val="21"/>
          <w:szCs w:val="21"/>
          <w:lang w:val="es-ES_tradnl" w:eastAsia="es-ES_tradnl"/>
        </w:rPr>
      </w:pPr>
      <w:r w:rsidRPr="00C24652">
        <w:rPr>
          <w:rFonts w:ascii="Arial" w:hAnsi="Arial" w:eastAsia="Calibri" w:cs="Arial"/>
          <w:sz w:val="21"/>
          <w:szCs w:val="21"/>
          <w:lang w:val="es-ES_tradnl" w:eastAsia="es-ES_tradnl"/>
        </w:rPr>
        <w:t xml:space="preserve">El Sistema </w:t>
      </w:r>
      <w:r w:rsidRPr="00C24652" w:rsidR="00DC01AE">
        <w:rPr>
          <w:rFonts w:ascii="Arial" w:hAnsi="Arial" w:eastAsia="Calibri" w:cs="Arial"/>
          <w:sz w:val="21"/>
          <w:szCs w:val="21"/>
          <w:lang w:val="es-ES_tradnl" w:eastAsia="es-ES_tradnl"/>
        </w:rPr>
        <w:t>Electrónico</w:t>
      </w:r>
      <w:r w:rsidRPr="00C24652">
        <w:rPr>
          <w:rFonts w:ascii="Arial" w:hAnsi="Arial" w:eastAsia="Calibri" w:cs="Arial"/>
          <w:sz w:val="21"/>
          <w:szCs w:val="21"/>
          <w:lang w:val="es-ES_tradnl" w:eastAsia="es-ES_tradnl"/>
        </w:rPr>
        <w:t xml:space="preserve"> </w:t>
      </w:r>
      <w:r w:rsidRPr="00C24652" w:rsidR="00DC01AE">
        <w:rPr>
          <w:rFonts w:ascii="Arial" w:hAnsi="Arial" w:eastAsia="Calibri" w:cs="Arial"/>
          <w:sz w:val="21"/>
          <w:szCs w:val="21"/>
          <w:lang w:val="es-ES_tradnl" w:eastAsia="es-ES_tradnl"/>
        </w:rPr>
        <w:t xml:space="preserve">de Contratación Pública – SECOP – es una herramienta tecnológica de apoyo a la contratación </w:t>
      </w:r>
      <w:r w:rsidRPr="00C24652" w:rsidR="00494E73">
        <w:rPr>
          <w:rFonts w:ascii="Arial" w:hAnsi="Arial" w:eastAsia="Calibri" w:cs="Arial"/>
          <w:sz w:val="21"/>
          <w:szCs w:val="21"/>
          <w:lang w:val="es-ES_tradnl" w:eastAsia="es-ES_tradnl"/>
        </w:rPr>
        <w:t xml:space="preserve">pública, en la cual se encuentra la información oficial de la contratación realizada </w:t>
      </w:r>
      <w:r w:rsidRPr="00C24652" w:rsidR="00494E73">
        <w:rPr>
          <w:rFonts w:ascii="Arial" w:hAnsi="Arial" w:eastAsia="Calibri" w:cs="Arial"/>
          <w:i/>
          <w:iCs/>
          <w:sz w:val="21"/>
          <w:szCs w:val="21"/>
          <w:lang w:val="es-ES_tradnl" w:eastAsia="es-ES_tradnl"/>
        </w:rPr>
        <w:t>con dineros públicos</w:t>
      </w:r>
      <w:r w:rsidRPr="00C24652" w:rsidR="00494E73">
        <w:rPr>
          <w:rFonts w:ascii="Arial" w:hAnsi="Arial" w:eastAsia="Calibri" w:cs="Arial"/>
          <w:sz w:val="21"/>
          <w:szCs w:val="21"/>
          <w:lang w:val="es-ES_tradnl" w:eastAsia="es-ES_tradnl"/>
        </w:rPr>
        <w:t xml:space="preserve">. Lo anterior, de conformidad </w:t>
      </w:r>
      <w:r w:rsidRPr="00C24652" w:rsidR="00A63D61">
        <w:rPr>
          <w:rFonts w:ascii="Arial" w:hAnsi="Arial" w:eastAsia="Calibri" w:cs="Arial"/>
          <w:sz w:val="21"/>
          <w:szCs w:val="21"/>
          <w:lang w:val="es-ES_tradnl" w:eastAsia="es-ES_tradnl"/>
        </w:rPr>
        <w:t xml:space="preserve">con lo establecido en el literal c) del artículo 3 de la Ley 1150 de 2007. </w:t>
      </w:r>
    </w:p>
    <w:p w:rsidRPr="00C24652" w:rsidR="00A63D61" w:rsidP="00535D21" w:rsidRDefault="00A63D61" w14:paraId="19D0F591" w14:textId="77777777">
      <w:pPr>
        <w:spacing w:after="0" w:line="240" w:lineRule="auto"/>
        <w:ind w:left="709" w:right="709"/>
        <w:contextualSpacing/>
        <w:jc w:val="both"/>
        <w:rPr>
          <w:rFonts w:ascii="Arial" w:hAnsi="Arial" w:eastAsia="Calibri" w:cs="Arial"/>
          <w:sz w:val="21"/>
          <w:szCs w:val="21"/>
          <w:lang w:val="es-ES_tradnl" w:eastAsia="es-ES_tradnl"/>
        </w:rPr>
      </w:pPr>
    </w:p>
    <w:p w:rsidRPr="00C24652" w:rsidR="00A63D61" w:rsidP="00535D21" w:rsidRDefault="00A63D61" w14:paraId="6FF093E4" w14:textId="5A4277CB">
      <w:pPr>
        <w:spacing w:after="0" w:line="240" w:lineRule="auto"/>
        <w:ind w:left="709" w:right="709"/>
        <w:contextualSpacing/>
        <w:jc w:val="both"/>
        <w:rPr>
          <w:rFonts w:ascii="Arial" w:hAnsi="Arial" w:eastAsia="Calibri" w:cs="Arial"/>
          <w:sz w:val="21"/>
          <w:szCs w:val="21"/>
          <w:lang w:val="es-ES_tradnl" w:eastAsia="es-ES_tradnl"/>
        </w:rPr>
      </w:pPr>
      <w:r w:rsidRPr="00C24652">
        <w:rPr>
          <w:rFonts w:ascii="Arial" w:hAnsi="Arial" w:eastAsia="Calibri" w:cs="Arial"/>
          <w:sz w:val="21"/>
          <w:szCs w:val="21"/>
          <w:lang w:val="es-ES_tradnl" w:eastAsia="es-ES_tradnl"/>
        </w:rPr>
        <w:t xml:space="preserve">En ese sentido, las entidades obligadas en virtud del artículo 53 de la Ley 2195 de 2022, deberán realizar la publicación en el SECOP II </w:t>
      </w:r>
      <w:r w:rsidRPr="00C24652">
        <w:rPr>
          <w:rFonts w:ascii="Arial" w:hAnsi="Arial" w:eastAsia="Calibri" w:cs="Arial"/>
          <w:i/>
          <w:iCs/>
          <w:sz w:val="21"/>
          <w:szCs w:val="21"/>
          <w:lang w:val="es-ES_tradnl" w:eastAsia="es-ES_tradnl"/>
        </w:rPr>
        <w:t>de aquellos documentos relacionados con la actividad contractual que se realice con dineros públicos</w:t>
      </w:r>
      <w:r w:rsidRPr="00C24652">
        <w:rPr>
          <w:rFonts w:ascii="Arial" w:hAnsi="Arial" w:eastAsia="Calibri" w:cs="Arial"/>
          <w:sz w:val="21"/>
          <w:szCs w:val="21"/>
          <w:lang w:val="es-ES_tradnl" w:eastAsia="es-ES_tradnl"/>
        </w:rPr>
        <w:t xml:space="preserve"> […] </w:t>
      </w:r>
      <w:r w:rsidRPr="00C24652">
        <w:rPr>
          <w:rFonts w:ascii="Arial" w:hAnsi="Arial" w:cs="Arial"/>
          <w:sz w:val="21"/>
          <w:szCs w:val="21"/>
          <w:lang w:val="es-ES"/>
        </w:rPr>
        <w:t>(Cursivas fuera del texto original)</w:t>
      </w:r>
    </w:p>
    <w:p w:rsidRPr="00C24652" w:rsidR="00A63D61" w:rsidP="00535D21" w:rsidRDefault="00A63D61" w14:paraId="2739C309" w14:textId="77777777">
      <w:pPr>
        <w:spacing w:after="0" w:line="276" w:lineRule="auto"/>
        <w:ind w:firstLine="709"/>
        <w:contextualSpacing/>
        <w:jc w:val="both"/>
        <w:rPr>
          <w:rFonts w:ascii="Arial" w:hAnsi="Arial" w:eastAsia="Calibri" w:cs="Arial"/>
          <w:lang w:val="es-ES_tradnl" w:eastAsia="es-ES_tradnl"/>
        </w:rPr>
      </w:pPr>
    </w:p>
    <w:p w:rsidRPr="00C24652" w:rsidR="000F5CF7" w:rsidP="00A467FE" w:rsidRDefault="00283730" w14:paraId="018C40DB" w14:textId="15182679">
      <w:pPr>
        <w:spacing w:after="0" w:line="276" w:lineRule="auto"/>
        <w:ind w:firstLine="709"/>
        <w:jc w:val="both"/>
        <w:rPr>
          <w:rFonts w:ascii="Arial" w:hAnsi="Arial" w:cs="Arial"/>
          <w:shd w:val="clear" w:color="auto" w:fill="FFFFFF"/>
        </w:rPr>
      </w:pPr>
      <w:r w:rsidRPr="00C24652">
        <w:rPr>
          <w:rFonts w:ascii="Arial" w:hAnsi="Arial" w:cs="Arial"/>
          <w:lang w:val="es-ES"/>
        </w:rPr>
        <w:t>De conformidad con lo expuesto</w:t>
      </w:r>
      <w:r w:rsidRPr="00C24652" w:rsidR="0042361B">
        <w:rPr>
          <w:rFonts w:ascii="Arial" w:hAnsi="Arial" w:cs="Arial"/>
          <w:lang w:val="es-ES"/>
        </w:rPr>
        <w:t xml:space="preserve">, </w:t>
      </w:r>
      <w:r w:rsidRPr="00C24652" w:rsidR="006F3B84">
        <w:rPr>
          <w:rFonts w:ascii="Arial" w:hAnsi="Arial" w:cs="Arial"/>
          <w:lang w:val="es-ES"/>
        </w:rPr>
        <w:t>teniendo</w:t>
      </w:r>
      <w:r w:rsidRPr="00C24652" w:rsidR="00F6098E">
        <w:rPr>
          <w:rFonts w:ascii="Arial" w:hAnsi="Arial" w:cs="Arial"/>
          <w:lang w:val="es-ES"/>
        </w:rPr>
        <w:t xml:space="preserve"> en cuenta que el artículo 53 </w:t>
      </w:r>
      <w:r w:rsidRPr="00C24652" w:rsidR="006F3B84">
        <w:rPr>
          <w:rFonts w:ascii="Arial" w:hAnsi="Arial" w:cs="Arial"/>
          <w:lang w:val="es-ES"/>
        </w:rPr>
        <w:t>complementa</w:t>
      </w:r>
      <w:r w:rsidRPr="00C24652" w:rsidR="00A337B4">
        <w:rPr>
          <w:rFonts w:ascii="Arial" w:hAnsi="Arial" w:cs="Arial"/>
          <w:lang w:val="es-ES"/>
        </w:rPr>
        <w:t xml:space="preserve"> la disposición contenida en el artículo 3 de la Ley 1150 de 2007</w:t>
      </w:r>
      <w:r w:rsidR="003B2C79">
        <w:rPr>
          <w:rFonts w:ascii="Arial" w:hAnsi="Arial" w:cs="Arial"/>
          <w:lang w:val="es-ES"/>
        </w:rPr>
        <w:t>,</w:t>
      </w:r>
      <w:r w:rsidRPr="00C24652" w:rsidR="00A337B4">
        <w:rPr>
          <w:rFonts w:ascii="Arial" w:hAnsi="Arial" w:cs="Arial"/>
          <w:lang w:val="es-ES"/>
        </w:rPr>
        <w:t xml:space="preserve"> debe entenderse que la contratación a la que se refiere es </w:t>
      </w:r>
      <w:r w:rsidRPr="00C24652" w:rsidR="004250BB">
        <w:rPr>
          <w:rFonts w:ascii="Arial" w:hAnsi="Arial" w:cs="Arial"/>
          <w:lang w:val="es-ES"/>
        </w:rPr>
        <w:t>a</w:t>
      </w:r>
      <w:r w:rsidRPr="00C24652" w:rsidR="00A337B4">
        <w:rPr>
          <w:rFonts w:ascii="Arial" w:hAnsi="Arial" w:cs="Arial"/>
          <w:lang w:val="es-ES"/>
        </w:rPr>
        <w:t>quella rea</w:t>
      </w:r>
      <w:r w:rsidRPr="00C24652" w:rsidR="004250BB">
        <w:rPr>
          <w:rFonts w:ascii="Arial" w:hAnsi="Arial" w:cs="Arial"/>
          <w:lang w:val="es-ES"/>
        </w:rPr>
        <w:t xml:space="preserve">lizada </w:t>
      </w:r>
      <w:r w:rsidRPr="00C24652" w:rsidR="0014188E">
        <w:rPr>
          <w:rFonts w:ascii="Arial" w:hAnsi="Arial" w:cs="Arial"/>
          <w:lang w:val="es-ES"/>
        </w:rPr>
        <w:t xml:space="preserve">con recursos públicos, </w:t>
      </w:r>
      <w:r w:rsidR="005F361A">
        <w:rPr>
          <w:rFonts w:ascii="Arial" w:hAnsi="Arial" w:cs="Arial"/>
          <w:lang w:val="es-ES"/>
        </w:rPr>
        <w:t>cuya información es la que debe publicarse en el</w:t>
      </w:r>
      <w:r w:rsidRPr="00C24652" w:rsidR="0014188E">
        <w:rPr>
          <w:rFonts w:ascii="Arial" w:hAnsi="Arial" w:cs="Arial"/>
          <w:lang w:val="es-ES"/>
        </w:rPr>
        <w:t xml:space="preserve"> SECOP II</w:t>
      </w:r>
      <w:r w:rsidR="00FA1D6A">
        <w:rPr>
          <w:rFonts w:ascii="Arial" w:hAnsi="Arial" w:cs="Arial"/>
          <w:lang w:val="es-ES"/>
        </w:rPr>
        <w:t>, acorde con la interpretación sistemática que permite armonizar el referido artículo 53 de la Ley 2195 de 2022 con todo el contexto normativo que establece que en dicha plataforma se debe publicar solo la información relativa a la actividad contractual con dineros públicos</w:t>
      </w:r>
      <w:r w:rsidRPr="00C24652" w:rsidR="00EE7AD2">
        <w:rPr>
          <w:rFonts w:ascii="Arial" w:hAnsi="Arial" w:cs="Arial"/>
          <w:lang w:val="es-ES"/>
        </w:rPr>
        <w:t xml:space="preserve">. </w:t>
      </w:r>
      <w:r w:rsidRPr="00C24652">
        <w:rPr>
          <w:rStyle w:val="normaltextrun"/>
          <w:rFonts w:ascii="Arial" w:hAnsi="Arial" w:cs="Arial"/>
          <w:shd w:val="clear" w:color="auto" w:fill="FFFFFF"/>
        </w:rPr>
        <w:t xml:space="preserve">Así las cosas, </w:t>
      </w:r>
      <w:r w:rsidRPr="00C24652" w:rsidR="00FF4F92">
        <w:rPr>
          <w:rStyle w:val="normaltextrun"/>
          <w:rFonts w:ascii="Arial" w:hAnsi="Arial" w:cs="Arial"/>
          <w:shd w:val="clear" w:color="auto" w:fill="FFFFFF"/>
        </w:rPr>
        <w:t xml:space="preserve">la Agencia Nacional de Contratación Pública </w:t>
      </w:r>
      <w:r w:rsidRPr="00C24652">
        <w:rPr>
          <w:rStyle w:val="normaltextrun"/>
          <w:rFonts w:ascii="Arial" w:hAnsi="Arial" w:cs="Arial"/>
          <w:shd w:val="clear" w:color="auto" w:fill="FFFFFF"/>
        </w:rPr>
        <w:t xml:space="preserve">– Colombia Compra Eficiente </w:t>
      </w:r>
      <w:r w:rsidRPr="00C24652" w:rsidR="00FF4F92">
        <w:rPr>
          <w:rStyle w:val="normaltextrun"/>
          <w:rFonts w:ascii="Arial" w:hAnsi="Arial" w:cs="Arial"/>
          <w:shd w:val="clear" w:color="auto" w:fill="FFFFFF"/>
        </w:rPr>
        <w:t xml:space="preserve">considera que </w:t>
      </w:r>
      <w:r w:rsidRPr="00C24652">
        <w:rPr>
          <w:rStyle w:val="normaltextrun"/>
          <w:rFonts w:ascii="Arial" w:hAnsi="Arial" w:cs="Arial"/>
          <w:shd w:val="clear" w:color="auto" w:fill="FFFFFF"/>
        </w:rPr>
        <w:t>la modificación introducida por el artículo 53 de la Ley 2195 de 2022</w:t>
      </w:r>
      <w:r w:rsidRPr="00C24652" w:rsidR="00FF4F92">
        <w:rPr>
          <w:rStyle w:val="normaltextrun"/>
          <w:rFonts w:ascii="Arial" w:hAnsi="Arial" w:cs="Arial"/>
          <w:shd w:val="clear" w:color="auto" w:fill="FFFFFF"/>
        </w:rPr>
        <w:t xml:space="preserve"> no afecta la interpretación adoptada</w:t>
      </w:r>
      <w:r w:rsidRPr="00C24652">
        <w:rPr>
          <w:rStyle w:val="normaltextrun"/>
          <w:rFonts w:ascii="Arial" w:hAnsi="Arial" w:cs="Arial"/>
          <w:shd w:val="clear" w:color="auto" w:fill="FFFFFF"/>
        </w:rPr>
        <w:t xml:space="preserve"> hasta el momento</w:t>
      </w:r>
      <w:r w:rsidR="00574591">
        <w:rPr>
          <w:rStyle w:val="normaltextrun"/>
          <w:rFonts w:ascii="Arial" w:hAnsi="Arial" w:cs="Arial"/>
          <w:shd w:val="clear" w:color="auto" w:fill="FFFFFF"/>
        </w:rPr>
        <w:t xml:space="preserve">, en el sentido de que </w:t>
      </w:r>
      <w:r w:rsidRPr="00C24652">
        <w:rPr>
          <w:rStyle w:val="normaltextrun"/>
          <w:rFonts w:ascii="Arial" w:hAnsi="Arial" w:cs="Arial"/>
          <w:shd w:val="clear" w:color="auto" w:fill="FFFFFF"/>
        </w:rPr>
        <w:t xml:space="preserve">la </w:t>
      </w:r>
      <w:r w:rsidRPr="00C24652">
        <w:rPr>
          <w:rStyle w:val="normaltextrun"/>
          <w:rFonts w:ascii="Arial" w:hAnsi="Arial" w:cs="Arial"/>
          <w:shd w:val="clear" w:color="auto" w:fill="FFFFFF"/>
          <w:lang w:val="es-ES"/>
        </w:rPr>
        <w:t xml:space="preserve">publicación de la información oficial de la contratación </w:t>
      </w:r>
      <w:r w:rsidR="00963890">
        <w:rPr>
          <w:rStyle w:val="normaltextrun"/>
          <w:rFonts w:ascii="Arial" w:hAnsi="Arial" w:cs="Arial"/>
          <w:shd w:val="clear" w:color="auto" w:fill="FFFFFF"/>
          <w:lang w:val="es-ES"/>
        </w:rPr>
        <w:t xml:space="preserve">en el SECOP </w:t>
      </w:r>
      <w:r w:rsidRPr="00C24652">
        <w:rPr>
          <w:rStyle w:val="normaltextrun"/>
          <w:rFonts w:ascii="Arial" w:hAnsi="Arial" w:cs="Arial"/>
          <w:shd w:val="clear" w:color="auto" w:fill="FFFFFF"/>
          <w:lang w:val="es-ES"/>
        </w:rPr>
        <w:t>debe realizarse si los negocios jurídicos adelantados fueron financiados con recursos públicos</w:t>
      </w:r>
      <w:r w:rsidRPr="00C24652" w:rsidR="000F5CF7">
        <w:rPr>
          <w:rStyle w:val="normaltextrun"/>
          <w:rFonts w:ascii="Arial" w:hAnsi="Arial" w:cs="Arial"/>
          <w:shd w:val="clear" w:color="auto" w:fill="FFFFFF"/>
          <w:lang w:val="es-ES"/>
        </w:rPr>
        <w:t xml:space="preserve">. </w:t>
      </w:r>
    </w:p>
    <w:p w:rsidRPr="00C24652" w:rsidR="002C4E25" w:rsidP="00A8210F" w:rsidRDefault="002C4E25" w14:paraId="4F0729F3" w14:textId="60E12751">
      <w:pPr>
        <w:spacing w:after="0" w:line="276" w:lineRule="auto"/>
        <w:contextualSpacing/>
        <w:jc w:val="both"/>
        <w:rPr>
          <w:rFonts w:ascii="Arial" w:hAnsi="Arial" w:eastAsia="Calibri" w:cs="Arial"/>
          <w:b/>
          <w:bCs/>
          <w:szCs w:val="24"/>
          <w:lang w:val="es-ES" w:eastAsia="es-ES_tradnl"/>
        </w:rPr>
      </w:pPr>
    </w:p>
    <w:p w:rsidRPr="00C24652" w:rsidR="00A8210F" w:rsidP="00A8210F" w:rsidRDefault="00A8210F" w14:paraId="50BEFEC8" w14:textId="77777777">
      <w:pPr>
        <w:tabs>
          <w:tab w:val="left" w:pos="0"/>
        </w:tabs>
        <w:spacing w:after="0" w:line="240" w:lineRule="auto"/>
        <w:contextualSpacing/>
        <w:jc w:val="both"/>
        <w:rPr>
          <w:rFonts w:ascii="Arial" w:hAnsi="Arial" w:eastAsia="Calibri" w:cs="Arial"/>
          <w:b/>
          <w:szCs w:val="24"/>
          <w:lang w:val="es-ES_tradnl" w:eastAsia="es-ES_tradnl"/>
        </w:rPr>
      </w:pPr>
      <w:r w:rsidRPr="00C24652">
        <w:rPr>
          <w:rFonts w:ascii="Arial" w:hAnsi="Arial" w:eastAsia="Calibri" w:cs="Arial"/>
          <w:b/>
          <w:szCs w:val="24"/>
          <w:lang w:val="es-ES_tradnl" w:eastAsia="es-ES_tradnl"/>
        </w:rPr>
        <w:t>3. Respuesta</w:t>
      </w:r>
    </w:p>
    <w:p w:rsidRPr="00C24652" w:rsidR="00A8210F" w:rsidP="00A8210F" w:rsidRDefault="00A8210F" w14:paraId="4A412EE6" w14:textId="77777777">
      <w:pPr>
        <w:tabs>
          <w:tab w:val="left" w:pos="0"/>
        </w:tabs>
        <w:spacing w:after="0" w:line="240" w:lineRule="auto"/>
        <w:contextualSpacing/>
        <w:jc w:val="both"/>
        <w:rPr>
          <w:rFonts w:ascii="Arial" w:hAnsi="Arial" w:eastAsia="Calibri" w:cs="Arial"/>
          <w:szCs w:val="24"/>
          <w:lang w:val="es-ES_tradnl" w:eastAsia="es-ES_tradnl"/>
        </w:rPr>
      </w:pPr>
    </w:p>
    <w:p w:rsidRPr="00C24652" w:rsidR="00A2531A" w:rsidP="00A2531A" w:rsidRDefault="00A2531A" w14:paraId="0ECC1703"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«Mediante el presente y de manera atenta, me permito solicitar ante esa Entidad concepto sobre la aplicación del artículo 53 de la Ley 2195 de 2022, en el sentido de que nos sea aclarado si dicho artículo tiene aplicación solo para la contratación que la Entidades con régimen especial realicen con recursos públicos o si, por el contrario, tiene aplicación para toda la contratación que realicen las entidades con régimen especial, como es el caso de FINAGRO, independientemente del origen de los recursos.</w:t>
      </w:r>
    </w:p>
    <w:p w:rsidRPr="00C24652" w:rsidR="00A2531A" w:rsidP="00A2531A" w:rsidRDefault="00A2531A" w14:paraId="469B8DDB"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C24652" w:rsidR="00A2531A" w:rsidP="00A2531A" w:rsidRDefault="00A2531A" w14:paraId="589DD423"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Lo anterior, de cara a lo que establece la Directiva Presidencial No. 2 de 1 de junio de 2022 expedida por el Departamento Administrativo de la Presidencia de la República, la cual, en su numeral I, establece que “(…) las entidades obligadas en virtud del artículo 53 de la Ley 2195 de 2022 deberán realizar la publicación en el SECOP II de aquellos documentos relacionados con la actividad contractual que se realice con dineros públicos” (Negrita fuera de texto).</w:t>
      </w:r>
    </w:p>
    <w:p w:rsidRPr="00C24652" w:rsidR="00A2531A" w:rsidP="00A2531A" w:rsidRDefault="00A2531A" w14:paraId="39E02ACA"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C24652" w:rsidR="00A2531A" w:rsidP="00A2531A" w:rsidRDefault="00A2531A" w14:paraId="67D66CAF" w14:textId="77777777">
      <w:pPr>
        <w:spacing w:after="0" w:line="240" w:lineRule="auto"/>
        <w:ind w:left="709" w:right="709"/>
        <w:contextualSpacing/>
        <w:jc w:val="both"/>
        <w:rPr>
          <w:rFonts w:ascii="Arial" w:hAnsi="Arial" w:eastAsia="Times New Roman" w:cs="Arial"/>
          <w:sz w:val="21"/>
          <w:szCs w:val="21"/>
          <w:lang w:val="es-ES_tradnl" w:eastAsia="es-ES_tradnl"/>
        </w:rPr>
      </w:pPr>
      <w:r w:rsidRPr="00C24652">
        <w:rPr>
          <w:rFonts w:ascii="Arial" w:hAnsi="Arial" w:eastAsia="Times New Roman" w:cs="Arial"/>
          <w:sz w:val="21"/>
          <w:szCs w:val="21"/>
          <w:lang w:val="es-ES_tradnl" w:eastAsia="es-ES_tradnl"/>
        </w:rPr>
        <w:t xml:space="preserve">En tal sentido, solicitamos aclarar el alcance y aplicación del referido artículo 53 de la Ley 2195 de 2022 </w:t>
      </w:r>
      <w:r w:rsidRPr="00C24652">
        <w:rPr>
          <w:rFonts w:ascii="Arial" w:hAnsi="Arial" w:cs="Arial"/>
          <w:sz w:val="21"/>
          <w:szCs w:val="21"/>
        </w:rPr>
        <w:t>[…]</w:t>
      </w:r>
      <w:r w:rsidRPr="00C24652">
        <w:rPr>
          <w:rFonts w:ascii="Arial" w:hAnsi="Arial" w:eastAsia="Times New Roman" w:cs="Arial"/>
          <w:sz w:val="21"/>
          <w:szCs w:val="21"/>
          <w:lang w:val="es-ES_tradnl" w:eastAsia="es-ES_tradnl"/>
        </w:rPr>
        <w:t>».</w:t>
      </w:r>
    </w:p>
    <w:p w:rsidRPr="00C24652" w:rsidR="00A8210F" w:rsidP="00A8210F" w:rsidRDefault="00A8210F" w14:paraId="674DB9EB" w14:textId="77777777">
      <w:pPr>
        <w:spacing w:after="0" w:line="240" w:lineRule="auto"/>
        <w:ind w:left="709" w:right="709"/>
        <w:contextualSpacing/>
        <w:jc w:val="both"/>
        <w:rPr>
          <w:rFonts w:ascii="Arial" w:hAnsi="Arial" w:eastAsia="Times New Roman" w:cs="Arial"/>
          <w:sz w:val="21"/>
          <w:szCs w:val="21"/>
          <w:lang w:val="es-ES_tradnl" w:eastAsia="es-ES_tradnl"/>
        </w:rPr>
      </w:pPr>
    </w:p>
    <w:p w:rsidRPr="00C24652" w:rsidR="00A2531A" w:rsidP="00C0393B" w:rsidRDefault="00A8210F" w14:paraId="7AAD7F31" w14:textId="71EBAC6E">
      <w:pPr>
        <w:spacing w:after="120" w:line="276" w:lineRule="auto"/>
        <w:jc w:val="both"/>
        <w:rPr>
          <w:rFonts w:ascii="Arial" w:hAnsi="Arial" w:eastAsia="Calibri" w:cs="Arial"/>
          <w:lang w:val="es-ES_tradnl"/>
        </w:rPr>
      </w:pPr>
      <w:r w:rsidRPr="00C24652">
        <w:rPr>
          <w:rFonts w:ascii="Arial" w:hAnsi="Arial" w:eastAsia="Calibri" w:cs="Arial"/>
          <w:lang w:val="es-ES" w:eastAsia="es-ES"/>
        </w:rPr>
        <w:t xml:space="preserve">Conforme </w:t>
      </w:r>
      <w:r w:rsidR="00361A89">
        <w:rPr>
          <w:rFonts w:ascii="Arial" w:hAnsi="Arial" w:eastAsia="Calibri" w:cs="Arial"/>
          <w:lang w:val="es-ES" w:eastAsia="es-ES"/>
        </w:rPr>
        <w:t>con</w:t>
      </w:r>
      <w:r w:rsidRPr="00C24652" w:rsidR="00361A89">
        <w:rPr>
          <w:rFonts w:ascii="Arial" w:hAnsi="Arial" w:eastAsia="Calibri" w:cs="Arial"/>
          <w:lang w:val="es-ES" w:eastAsia="es-ES"/>
        </w:rPr>
        <w:t xml:space="preserve"> </w:t>
      </w:r>
      <w:r w:rsidRPr="00C24652">
        <w:rPr>
          <w:rFonts w:ascii="Arial" w:hAnsi="Arial" w:eastAsia="Calibri" w:cs="Arial"/>
          <w:lang w:val="es-ES" w:eastAsia="es-ES"/>
        </w:rPr>
        <w:t xml:space="preserve">lo antes expuesto, si bien la publicación en el SECOP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w:t>
      </w:r>
      <w:r w:rsidRPr="00C24652" w:rsidR="00A2531A">
        <w:rPr>
          <w:rFonts w:ascii="Arial" w:hAnsi="Arial" w:eastAsia="Calibri" w:cs="Arial"/>
          <w:lang w:val="es-ES" w:eastAsia="es-ES"/>
        </w:rPr>
        <w:t xml:space="preserve">Así las cosas, </w:t>
      </w:r>
      <w:r w:rsidRPr="00C24652" w:rsidR="00A2531A">
        <w:rPr>
          <w:rFonts w:ascii="Arial" w:hAnsi="Arial" w:eastAsia="Calibri" w:cs="Arial"/>
          <w:lang w:val="es-ES"/>
        </w:rPr>
        <w:t xml:space="preserve">el inciso segundo del artículo 13 de la Ley 1150 de 2007, adicionado por el artículo 53 de la Ley 2195 de 2022, establece </w:t>
      </w:r>
      <w:r w:rsidR="00361A89">
        <w:rPr>
          <w:rFonts w:ascii="Arial" w:hAnsi="Arial" w:eastAsia="Calibri" w:cs="Arial"/>
          <w:lang w:val="es-ES"/>
        </w:rPr>
        <w:t xml:space="preserve">que dichas entidades </w:t>
      </w:r>
      <w:r w:rsidRPr="00C24652" w:rsidR="00A2531A">
        <w:rPr>
          <w:rFonts w:ascii="Arial" w:hAnsi="Arial" w:eastAsia="Calibri" w:cs="Arial"/>
          <w:lang w:val="es-ES_tradnl"/>
        </w:rPr>
        <w:t xml:space="preserve">«[…] </w:t>
      </w:r>
      <w:r w:rsidRPr="00C24652" w:rsidR="00A2531A">
        <w:rPr>
          <w:rFonts w:ascii="Arial" w:hAnsi="Arial" w:cs="Arial"/>
        </w:rPr>
        <w:t>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r w:rsidRPr="00C24652" w:rsidR="00A2531A">
        <w:rPr>
          <w:rFonts w:ascii="Arial" w:hAnsi="Arial" w:eastAsia="Calibri" w:cs="Arial"/>
          <w:lang w:val="es-ES_tradnl"/>
        </w:rPr>
        <w:t>». Est</w:t>
      </w:r>
      <w:r w:rsidR="00D24020">
        <w:rPr>
          <w:rFonts w:ascii="Arial" w:hAnsi="Arial" w:eastAsia="Calibri" w:cs="Arial"/>
          <w:lang w:val="es-ES_tradnl"/>
        </w:rPr>
        <w:t>a</w:t>
      </w:r>
      <w:r w:rsidRPr="00C24652" w:rsidR="00A2531A">
        <w:rPr>
          <w:rFonts w:ascii="Arial" w:hAnsi="Arial" w:eastAsia="Calibri" w:cs="Arial"/>
          <w:lang w:val="es-ES_tradnl"/>
        </w:rPr>
        <w:t xml:space="preserve"> </w:t>
      </w:r>
      <w:r w:rsidR="00D24020">
        <w:rPr>
          <w:rFonts w:ascii="Arial" w:hAnsi="Arial" w:eastAsia="Calibri" w:cs="Arial"/>
          <w:lang w:val="es-ES_tradnl"/>
        </w:rPr>
        <w:t>obligación</w:t>
      </w:r>
      <w:r w:rsidRPr="00C24652" w:rsidR="00D24020">
        <w:rPr>
          <w:rFonts w:ascii="Arial" w:hAnsi="Arial" w:eastAsia="Calibri" w:cs="Arial"/>
          <w:lang w:val="es-ES_tradnl"/>
        </w:rPr>
        <w:t xml:space="preserve"> </w:t>
      </w:r>
      <w:r w:rsidR="00D24020">
        <w:rPr>
          <w:rFonts w:ascii="Arial" w:hAnsi="Arial" w:eastAsia="Calibri" w:cs="Arial"/>
          <w:lang w:val="es-ES_tradnl"/>
        </w:rPr>
        <w:t>debe</w:t>
      </w:r>
      <w:r w:rsidRPr="00C24652" w:rsidR="00A2531A">
        <w:rPr>
          <w:rFonts w:ascii="Arial" w:hAnsi="Arial" w:eastAsia="Calibri" w:cs="Arial"/>
          <w:lang w:val="es-ES_tradnl"/>
        </w:rPr>
        <w:t xml:space="preserve"> armoniza</w:t>
      </w:r>
      <w:r w:rsidR="00D24020">
        <w:rPr>
          <w:rFonts w:ascii="Arial" w:hAnsi="Arial" w:eastAsia="Calibri" w:cs="Arial"/>
          <w:lang w:val="es-ES_tradnl"/>
        </w:rPr>
        <w:t>rse</w:t>
      </w:r>
      <w:r w:rsidRPr="00C24652" w:rsidR="00A2531A">
        <w:rPr>
          <w:rFonts w:ascii="Arial" w:hAnsi="Arial" w:eastAsia="Calibri" w:cs="Arial"/>
          <w:lang w:val="es-ES_tradnl"/>
        </w:rPr>
        <w:t xml:space="preserve"> con el </w:t>
      </w:r>
      <w:r w:rsidR="00D24020">
        <w:rPr>
          <w:rFonts w:ascii="Arial" w:hAnsi="Arial" w:eastAsia="Calibri" w:cs="Arial"/>
          <w:lang w:val="es-ES_tradnl"/>
        </w:rPr>
        <w:t>mandato</w:t>
      </w:r>
      <w:r w:rsidRPr="00C24652" w:rsidR="00D24020">
        <w:rPr>
          <w:rFonts w:ascii="Arial" w:hAnsi="Arial" w:eastAsia="Calibri" w:cs="Arial"/>
          <w:lang w:val="es-ES_tradnl"/>
        </w:rPr>
        <w:t xml:space="preserve"> </w:t>
      </w:r>
      <w:r w:rsidRPr="00C24652" w:rsidR="00A2531A">
        <w:rPr>
          <w:rFonts w:ascii="Arial" w:hAnsi="Arial" w:eastAsia="Calibri" w:cs="Arial"/>
          <w:lang w:val="es-ES_tradnl"/>
        </w:rPr>
        <w:t xml:space="preserve">de publicidad que deviene de normas como </w:t>
      </w:r>
      <w:r w:rsidRPr="00C24652" w:rsidR="00351257">
        <w:rPr>
          <w:rStyle w:val="normaltextrun"/>
          <w:rFonts w:ascii="Arial" w:hAnsi="Arial" w:cs="Arial"/>
          <w:shd w:val="clear" w:color="auto" w:fill="FFFFFF"/>
        </w:rPr>
        <w:t>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w:t>
      </w:r>
      <w:r w:rsidRPr="00C24652" w:rsidR="00A2531A">
        <w:rPr>
          <w:rFonts w:ascii="Arial" w:hAnsi="Arial" w:eastAsia="Calibri" w:cs="Arial"/>
          <w:lang w:val="es-ES"/>
        </w:rPr>
        <w:t>,</w:t>
      </w:r>
      <w:r w:rsidR="00B56E45">
        <w:rPr>
          <w:rFonts w:ascii="Arial" w:hAnsi="Arial" w:eastAsia="Calibri" w:cs="Arial"/>
          <w:lang w:val="es-ES"/>
        </w:rPr>
        <w:t xml:space="preserve"> de </w:t>
      </w:r>
      <w:r w:rsidRPr="00C24652" w:rsidR="00A2531A">
        <w:rPr>
          <w:rFonts w:ascii="Arial" w:hAnsi="Arial" w:eastAsia="Calibri" w:cs="Arial"/>
          <w:lang w:val="es-ES"/>
        </w:rPr>
        <w:t xml:space="preserve">las cuales </w:t>
      </w:r>
      <w:r w:rsidR="00B56E45">
        <w:rPr>
          <w:rFonts w:ascii="Arial" w:hAnsi="Arial" w:eastAsia="Calibri" w:cs="Arial"/>
          <w:lang w:val="es-ES"/>
        </w:rPr>
        <w:t xml:space="preserve">se puede concluir que </w:t>
      </w:r>
      <w:r w:rsidRPr="00C24652" w:rsidR="00A2531A">
        <w:rPr>
          <w:rFonts w:ascii="Arial" w:hAnsi="Arial" w:eastAsia="Calibri" w:cs="Arial"/>
          <w:lang w:val="es-ES"/>
        </w:rPr>
        <w:t>las entidades estatales deben publicar en el SECOP todos los documentos, actos administrativos e información producida con ocasión de los procesos de contratación que se adelanten con cargo a recursos</w:t>
      </w:r>
      <w:r w:rsidR="00B56E45">
        <w:rPr>
          <w:rFonts w:ascii="Arial" w:hAnsi="Arial" w:eastAsia="Calibri" w:cs="Arial"/>
          <w:lang w:val="es-ES"/>
        </w:rPr>
        <w:t xml:space="preserve"> (o dineros)</w:t>
      </w:r>
      <w:r w:rsidRPr="00C24652" w:rsidR="00A2531A">
        <w:rPr>
          <w:rFonts w:ascii="Arial" w:hAnsi="Arial" w:eastAsia="Calibri" w:cs="Arial"/>
          <w:lang w:val="es-ES"/>
        </w:rPr>
        <w:t xml:space="preserve"> </w:t>
      </w:r>
      <w:r w:rsidRPr="00116C24" w:rsidR="00A2531A">
        <w:rPr>
          <w:rFonts w:ascii="Arial" w:hAnsi="Arial" w:eastAsia="Calibri" w:cs="Arial"/>
          <w:i/>
          <w:iCs/>
          <w:lang w:val="es-ES"/>
        </w:rPr>
        <w:t>públicos</w:t>
      </w:r>
      <w:r w:rsidRPr="00C24652" w:rsidR="00A2531A">
        <w:rPr>
          <w:rFonts w:ascii="Arial" w:hAnsi="Arial" w:eastAsia="Calibri" w:cs="Arial"/>
          <w:lang w:val="es-ES"/>
        </w:rPr>
        <w:t xml:space="preserve">. </w:t>
      </w:r>
    </w:p>
    <w:p w:rsidRPr="00C24652" w:rsidR="000D7AD1" w:rsidP="000D7AD1" w:rsidRDefault="0054709A" w14:paraId="7774D792" w14:textId="3C019BD3">
      <w:pPr>
        <w:spacing w:after="120" w:line="276" w:lineRule="auto"/>
        <w:ind w:firstLine="709"/>
        <w:jc w:val="both"/>
        <w:rPr>
          <w:rFonts w:ascii="Arial" w:hAnsi="Arial" w:eastAsia="Calibri" w:cs="Arial"/>
          <w:lang w:val="es-ES_tradnl" w:eastAsia="es-ES_tradnl"/>
        </w:rPr>
      </w:pPr>
      <w:r w:rsidRPr="00C24652">
        <w:rPr>
          <w:rFonts w:ascii="Arial" w:hAnsi="Arial" w:eastAsia="Calibri" w:cs="Arial"/>
          <w:lang w:val="es-ES_tradnl" w:eastAsia="es-ES_tradnl"/>
        </w:rPr>
        <w:t xml:space="preserve">De las normas citadas </w:t>
      </w:r>
      <w:r w:rsidRPr="00C24652" w:rsidR="00C0393B">
        <w:rPr>
          <w:rFonts w:ascii="Arial" w:hAnsi="Arial" w:eastAsia="Calibri" w:cs="Arial"/>
          <w:lang w:val="es-ES_tradnl" w:eastAsia="es-ES_tradnl"/>
        </w:rPr>
        <w:t>en los considerandos de este concepto</w:t>
      </w:r>
      <w:r w:rsidR="00B56E45">
        <w:rPr>
          <w:rFonts w:ascii="Arial" w:hAnsi="Arial" w:eastAsia="Calibri" w:cs="Arial"/>
          <w:lang w:val="es-ES_tradnl" w:eastAsia="es-ES_tradnl"/>
        </w:rPr>
        <w:t xml:space="preserve"> </w:t>
      </w:r>
      <w:r w:rsidRPr="00C24652">
        <w:rPr>
          <w:rFonts w:ascii="Arial" w:hAnsi="Arial" w:eastAsia="Calibri" w:cs="Arial"/>
          <w:lang w:val="es-ES_tradnl" w:eastAsia="es-ES_tradnl"/>
        </w:rPr>
        <w:t xml:space="preserve">es posible establecer que la obligación de publicar la actividad contractual </w:t>
      </w:r>
      <w:r w:rsidR="00582E7E">
        <w:rPr>
          <w:rFonts w:ascii="Arial" w:hAnsi="Arial" w:eastAsia="Calibri" w:cs="Arial"/>
          <w:lang w:val="es-ES_tradnl" w:eastAsia="es-ES_tradnl"/>
        </w:rPr>
        <w:t>en el SECOP</w:t>
      </w:r>
      <w:r w:rsidRPr="00C24652">
        <w:rPr>
          <w:rFonts w:ascii="Arial" w:hAnsi="Arial" w:eastAsia="Calibri" w:cs="Arial"/>
          <w:lang w:val="es-ES_tradnl" w:eastAsia="es-ES_tradnl"/>
        </w:rPr>
        <w:t xml:space="preserve"> </w:t>
      </w:r>
      <w:r w:rsidR="00FD11F5">
        <w:rPr>
          <w:rFonts w:ascii="Arial" w:hAnsi="Arial" w:eastAsia="Calibri" w:cs="Arial"/>
          <w:lang w:val="es-ES_tradnl" w:eastAsia="es-ES_tradnl"/>
        </w:rPr>
        <w:t>aplica sobre la</w:t>
      </w:r>
      <w:r w:rsidRPr="00C24652">
        <w:rPr>
          <w:rFonts w:ascii="Arial" w:hAnsi="Arial" w:eastAsia="Calibri" w:cs="Arial"/>
          <w:lang w:val="es-ES_tradnl" w:eastAsia="es-ES_tradnl"/>
        </w:rPr>
        <w:t xml:space="preserve"> información relacionada con la </w:t>
      </w:r>
      <w:r w:rsidR="00FD11F5">
        <w:rPr>
          <w:rFonts w:ascii="Arial" w:hAnsi="Arial" w:eastAsia="Calibri" w:cs="Arial"/>
          <w:lang w:val="es-ES_tradnl" w:eastAsia="es-ES_tradnl"/>
        </w:rPr>
        <w:t>actividad contractual ejecutada con</w:t>
      </w:r>
      <w:r w:rsidRPr="00C24652">
        <w:rPr>
          <w:rFonts w:ascii="Arial" w:hAnsi="Arial" w:eastAsia="Calibri" w:cs="Arial"/>
          <w:lang w:val="es-ES_tradnl" w:eastAsia="es-ES_tradnl"/>
        </w:rPr>
        <w:t xml:space="preserve"> dineros públicos</w:t>
      </w:r>
      <w:r w:rsidR="000D7AD1">
        <w:rPr>
          <w:rFonts w:ascii="Arial" w:hAnsi="Arial" w:eastAsia="Calibri" w:cs="Arial"/>
          <w:lang w:val="es-ES_tradnl" w:eastAsia="es-ES_tradnl"/>
        </w:rPr>
        <w:t>. Por tal razón, puede concluirse</w:t>
      </w:r>
      <w:r w:rsidRPr="00C24652" w:rsidR="000D7AD1">
        <w:rPr>
          <w:rFonts w:ascii="Arial" w:hAnsi="Arial" w:eastAsia="Calibri" w:cs="Arial"/>
          <w:lang w:val="es-ES_tradnl" w:eastAsia="es-ES_tradnl"/>
        </w:rPr>
        <w:t xml:space="preserve">, a la luz de las disposiciones que regulan la materia, </w:t>
      </w:r>
      <w:r w:rsidR="000D7AD1">
        <w:rPr>
          <w:rFonts w:ascii="Arial" w:hAnsi="Arial" w:eastAsia="Calibri" w:cs="Arial"/>
          <w:lang w:val="es-ES_tradnl" w:eastAsia="es-ES_tradnl"/>
        </w:rPr>
        <w:t xml:space="preserve">que </w:t>
      </w:r>
      <w:r w:rsidRPr="00C24652" w:rsidR="000D7AD1">
        <w:rPr>
          <w:rFonts w:ascii="Arial" w:hAnsi="Arial" w:eastAsia="Calibri" w:cs="Arial"/>
          <w:lang w:val="es-ES_tradnl" w:eastAsia="es-ES_tradnl"/>
        </w:rPr>
        <w:t>el artículo 53</w:t>
      </w:r>
      <w:r w:rsidR="009C7913">
        <w:rPr>
          <w:rFonts w:ascii="Arial" w:hAnsi="Arial" w:eastAsia="Calibri" w:cs="Arial"/>
          <w:lang w:val="es-ES_tradnl" w:eastAsia="es-ES_tradnl"/>
        </w:rPr>
        <w:t xml:space="preserve"> de la Ley 2195 de 2022</w:t>
      </w:r>
      <w:r w:rsidRPr="00C24652" w:rsidR="000D7AD1">
        <w:rPr>
          <w:rFonts w:ascii="Arial" w:hAnsi="Arial" w:eastAsia="Calibri" w:cs="Arial"/>
          <w:lang w:val="es-ES_tradnl" w:eastAsia="es-ES_tradnl"/>
        </w:rPr>
        <w:t xml:space="preserve"> </w:t>
      </w:r>
      <w:r w:rsidR="000D7AD1">
        <w:rPr>
          <w:rFonts w:ascii="Arial" w:hAnsi="Arial" w:eastAsia="Calibri" w:cs="Arial"/>
          <w:lang w:val="es-ES_tradnl" w:eastAsia="es-ES_tradnl"/>
        </w:rPr>
        <w:t>–</w:t>
      </w:r>
      <w:r w:rsidRPr="00C24652" w:rsidR="000D7AD1">
        <w:rPr>
          <w:rFonts w:ascii="Arial" w:hAnsi="Arial" w:eastAsia="Calibri" w:cs="Arial"/>
          <w:lang w:val="es-ES_tradnl" w:eastAsia="es-ES_tradnl"/>
        </w:rPr>
        <w:t>al ampliar la obligación de las entidades con regímenes especiales de publicar su actividad contractual en el SECOP II</w:t>
      </w:r>
      <w:r w:rsidR="000D7AD1">
        <w:rPr>
          <w:rFonts w:ascii="Arial" w:hAnsi="Arial" w:eastAsia="Calibri" w:cs="Arial"/>
          <w:lang w:val="es-ES_tradnl" w:eastAsia="es-ES_tradnl"/>
        </w:rPr>
        <w:t>–</w:t>
      </w:r>
      <w:r w:rsidRPr="00C24652" w:rsidR="000D7AD1">
        <w:rPr>
          <w:rFonts w:ascii="Arial" w:hAnsi="Arial" w:eastAsia="Calibri" w:cs="Arial"/>
          <w:lang w:val="es-ES_tradnl" w:eastAsia="es-ES_tradnl"/>
        </w:rPr>
        <w:t xml:space="preserve"> se refiere a aquella actividad contractual cuya fuente de financiación provenga de recursos públicos.</w:t>
      </w:r>
      <w:r w:rsidR="009C7913">
        <w:rPr>
          <w:rFonts w:ascii="Arial" w:hAnsi="Arial" w:eastAsia="Calibri" w:cs="Arial"/>
          <w:lang w:val="es-ES_tradnl" w:eastAsia="es-ES_tradnl"/>
        </w:rPr>
        <w:t xml:space="preserve"> Lo anterior de conformidad con una interpretación sistemática </w:t>
      </w:r>
      <w:r w:rsidR="004C2A22">
        <w:rPr>
          <w:rFonts w:ascii="Arial" w:hAnsi="Arial" w:eastAsia="Calibri" w:cs="Arial"/>
          <w:lang w:val="es-ES_tradnl" w:eastAsia="es-ES_tradnl"/>
        </w:rPr>
        <w:t>de</w:t>
      </w:r>
      <w:r w:rsidR="009C7913">
        <w:rPr>
          <w:rFonts w:ascii="Arial" w:hAnsi="Arial" w:eastAsia="Calibri" w:cs="Arial"/>
          <w:lang w:val="es-ES_tradnl" w:eastAsia="es-ES_tradnl"/>
        </w:rPr>
        <w:t xml:space="preserve"> dicha norma </w:t>
      </w:r>
      <w:r w:rsidR="004C2A22">
        <w:rPr>
          <w:rFonts w:ascii="Arial" w:hAnsi="Arial" w:eastAsia="Calibri" w:cs="Arial"/>
          <w:lang w:val="es-ES_tradnl" w:eastAsia="es-ES_tradnl"/>
        </w:rPr>
        <w:t xml:space="preserve">con </w:t>
      </w:r>
      <w:r w:rsidR="009C7913">
        <w:rPr>
          <w:rFonts w:ascii="Arial" w:hAnsi="Arial" w:eastAsia="Calibri" w:cs="Arial"/>
          <w:lang w:val="es-ES_tradnl" w:eastAsia="es-ES_tradnl"/>
        </w:rPr>
        <w:t xml:space="preserve">las disposiciones que regulan </w:t>
      </w:r>
      <w:r w:rsidR="004C2A22">
        <w:rPr>
          <w:rFonts w:ascii="Arial" w:hAnsi="Arial" w:eastAsia="Calibri" w:cs="Arial"/>
          <w:lang w:val="es-ES_tradnl" w:eastAsia="es-ES_tradnl"/>
        </w:rPr>
        <w:t>la publicidad en el SECOP, analizadas en las consideraciones de este concepto.</w:t>
      </w:r>
    </w:p>
    <w:p w:rsidRPr="00C24652" w:rsidR="00C0393B" w:rsidP="000D7AD1" w:rsidRDefault="00C0393B" w14:paraId="7E624682" w14:textId="110238B8">
      <w:pPr>
        <w:spacing w:after="120" w:line="276" w:lineRule="auto"/>
        <w:ind w:firstLine="709"/>
        <w:jc w:val="both"/>
        <w:rPr>
          <w:rStyle w:val="normaltextrun"/>
          <w:rFonts w:ascii="Arial" w:hAnsi="Arial" w:cs="Arial"/>
          <w:shd w:val="clear" w:color="auto" w:fill="FFFFFF"/>
          <w:lang w:val="es-ES"/>
        </w:rPr>
      </w:pPr>
      <w:r w:rsidRPr="00C24652">
        <w:rPr>
          <w:rStyle w:val="normaltextrun"/>
          <w:rFonts w:ascii="Arial" w:hAnsi="Arial"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w:t>
      </w:r>
      <w:r w:rsidR="00574591">
        <w:rPr>
          <w:rStyle w:val="normaltextrun"/>
          <w:rFonts w:ascii="Arial" w:hAnsi="Arial" w:cs="Arial"/>
          <w:shd w:val="clear" w:color="auto" w:fill="FFFFFF"/>
        </w:rPr>
        <w:t>el sentido de</w:t>
      </w:r>
      <w:r w:rsidRPr="00C24652">
        <w:rPr>
          <w:rStyle w:val="normaltextrun"/>
          <w:rFonts w:ascii="Arial" w:hAnsi="Arial" w:cs="Arial"/>
          <w:shd w:val="clear" w:color="auto" w:fill="FFFFFF"/>
        </w:rPr>
        <w:t xml:space="preserve"> que la </w:t>
      </w:r>
      <w:r w:rsidRPr="00C24652">
        <w:rPr>
          <w:rStyle w:val="normaltextrun"/>
          <w:rFonts w:ascii="Arial" w:hAnsi="Arial" w:cs="Arial"/>
          <w:shd w:val="clear" w:color="auto" w:fill="FFFFFF"/>
          <w:lang w:val="es-ES"/>
        </w:rPr>
        <w:t>publicación de la información oficial de la contratación</w:t>
      </w:r>
      <w:r w:rsidR="00963890">
        <w:rPr>
          <w:rStyle w:val="normaltextrun"/>
          <w:rFonts w:ascii="Arial" w:hAnsi="Arial" w:cs="Arial"/>
          <w:shd w:val="clear" w:color="auto" w:fill="FFFFFF"/>
          <w:lang w:val="es-ES"/>
        </w:rPr>
        <w:t xml:space="preserve"> en el SECOP</w:t>
      </w:r>
      <w:r w:rsidRPr="00C24652">
        <w:rPr>
          <w:rStyle w:val="normaltextrun"/>
          <w:rFonts w:ascii="Arial" w:hAnsi="Arial" w:cs="Arial"/>
          <w:shd w:val="clear" w:color="auto" w:fill="FFFFFF"/>
          <w:lang w:val="es-ES"/>
        </w:rPr>
        <w:t xml:space="preserve"> debe realizarse si los negocios jurídicos adelantados fueron financiados con recursos públicos. </w:t>
      </w:r>
    </w:p>
    <w:p w:rsidRPr="00C24652" w:rsidR="006A026F" w:rsidP="006A026F" w:rsidRDefault="006A026F" w14:paraId="7FB780D1" w14:textId="77777777">
      <w:pPr>
        <w:spacing w:after="0" w:line="276" w:lineRule="auto"/>
        <w:ind w:firstLine="709"/>
        <w:jc w:val="both"/>
        <w:rPr>
          <w:rStyle w:val="normaltextrun"/>
          <w:rFonts w:ascii="Arial" w:hAnsi="Arial" w:cs="Arial"/>
          <w:shd w:val="clear" w:color="auto" w:fill="FFFFFF"/>
          <w:lang w:val="es-ES"/>
        </w:rPr>
      </w:pPr>
    </w:p>
    <w:p w:rsidRPr="00C24652" w:rsidR="00A8210F" w:rsidP="00C0393B" w:rsidRDefault="00A8210F" w14:paraId="486E750C" w14:textId="77777777">
      <w:pPr>
        <w:spacing w:after="0" w:line="276" w:lineRule="auto"/>
        <w:jc w:val="both"/>
        <w:rPr>
          <w:rFonts w:ascii="Arial" w:hAnsi="Arial" w:eastAsia="Times New Roman" w:cs="Arial"/>
          <w:lang w:val="es-ES_tradnl" w:eastAsia="es-ES_tradnl"/>
        </w:rPr>
      </w:pPr>
      <w:r w:rsidRPr="00C24652">
        <w:rPr>
          <w:rFonts w:ascii="Arial" w:hAnsi="Arial" w:eastAsia="Times New Roman" w:cs="Arial"/>
          <w:lang w:val="es-ES_tradnl" w:eastAsia="es-ES_tradnl"/>
        </w:rPr>
        <w:t>Este concepto tiene el alcance previsto en el artículo 28 del Código de Procedimiento Administrativo y de lo Contencioso Administrativo.</w:t>
      </w:r>
    </w:p>
    <w:p w:rsidRPr="00C24652" w:rsidR="00A8210F" w:rsidP="00A8210F" w:rsidRDefault="00A8210F" w14:paraId="508D24F3" w14:textId="77777777">
      <w:pPr>
        <w:spacing w:after="0" w:line="276" w:lineRule="auto"/>
        <w:jc w:val="both"/>
        <w:rPr>
          <w:rFonts w:ascii="Arial" w:hAnsi="Arial" w:eastAsia="Times New Roman" w:cs="Arial"/>
          <w:lang w:val="es-ES_tradnl" w:eastAsia="es-CO"/>
        </w:rPr>
      </w:pPr>
    </w:p>
    <w:p w:rsidRPr="00C24652" w:rsidR="00A8210F" w:rsidP="00A8210F" w:rsidRDefault="00A8210F" w14:paraId="51CF6514" w14:textId="77777777">
      <w:pPr>
        <w:spacing w:after="0" w:line="276" w:lineRule="auto"/>
        <w:jc w:val="both"/>
        <w:rPr>
          <w:rFonts w:ascii="Arial" w:hAnsi="Arial" w:eastAsia="Times New Roman" w:cs="Arial"/>
          <w:lang w:val="es-ES_tradnl" w:eastAsia="es-CO"/>
        </w:rPr>
      </w:pPr>
      <w:r w:rsidRPr="00C24652">
        <w:rPr>
          <w:rFonts w:ascii="Arial" w:hAnsi="Arial" w:eastAsia="Times New Roman" w:cs="Arial"/>
          <w:lang w:val="es-ES_tradnl" w:eastAsia="es-CO"/>
        </w:rPr>
        <w:t>Atentamente,</w:t>
      </w:r>
    </w:p>
    <w:p w:rsidRPr="00C24652" w:rsidR="00A8210F" w:rsidP="00A8210F" w:rsidRDefault="006C51E2" w14:paraId="1C659233" w14:textId="73D58154">
      <w:pPr>
        <w:spacing w:before="120" w:after="0" w:line="276" w:lineRule="auto"/>
        <w:jc w:val="center"/>
        <w:rPr>
          <w:rFonts w:ascii="Arial" w:hAnsi="Arial" w:cs="Arial"/>
          <w:sz w:val="18"/>
          <w:szCs w:val="20"/>
          <w:lang w:val="es-ES_tradnl" w:eastAsia="es-CO"/>
        </w:rPr>
      </w:pPr>
      <w:bookmarkStart w:name="_Hlk108446929" w:id="14"/>
      <w:r w:rsidRPr="00B56176">
        <w:rPr>
          <w:rFonts w:ascii="Arial" w:hAnsi="Arial" w:eastAsia="Times New Roman" w:cs="Arial"/>
          <w:noProof/>
          <w:color w:val="FF0000"/>
          <w:lang w:eastAsia="es-CO"/>
        </w:rPr>
        <w:drawing>
          <wp:inline distT="0" distB="0" distL="0" distR="0" wp14:anchorId="60CF5BE4" wp14:editId="0E0514B8">
            <wp:extent cx="2533650" cy="981075"/>
            <wp:effectExtent l="0" t="0" r="0" b="9525"/>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24652" w:rsidR="005A3B68" w:rsidTr="002544EE" w14:paraId="4E88A776" w14:textId="77777777">
        <w:trPr>
          <w:trHeight w:val="315"/>
        </w:trPr>
        <w:tc>
          <w:tcPr>
            <w:tcW w:w="812" w:type="dxa"/>
            <w:vAlign w:val="center"/>
            <w:hideMark/>
          </w:tcPr>
          <w:p w:rsidRPr="00C24652" w:rsidR="00A8210F" w:rsidP="00A8210F" w:rsidRDefault="00A8210F" w14:paraId="7FA67182"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C24652" w:rsidR="00A8210F" w:rsidP="00A8210F" w:rsidRDefault="00A8210F" w14:paraId="2F5D9744"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Diana Lucia Saavedra Castañeda</w:t>
            </w:r>
          </w:p>
          <w:p w:rsidRPr="00C24652" w:rsidR="00A8210F" w:rsidP="00A8210F" w:rsidRDefault="00A8210F" w14:paraId="3480DC1A"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 xml:space="preserve">Contratista de la Subdirección de Gestión Contractual  </w:t>
            </w:r>
          </w:p>
        </w:tc>
      </w:tr>
      <w:tr w:rsidRPr="00C24652" w:rsidR="005A3B68" w:rsidTr="002544EE" w14:paraId="4E6D5C38" w14:textId="77777777">
        <w:trPr>
          <w:trHeight w:val="330"/>
        </w:trPr>
        <w:tc>
          <w:tcPr>
            <w:tcW w:w="812" w:type="dxa"/>
            <w:vAlign w:val="center"/>
            <w:hideMark/>
          </w:tcPr>
          <w:p w:rsidRPr="00C24652" w:rsidR="00A8210F" w:rsidP="00A8210F" w:rsidRDefault="00A8210F" w14:paraId="6B8D47C9"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24652" w:rsidR="006A026F" w:rsidP="006A026F" w:rsidRDefault="00574591" w14:paraId="307CB437" w14:textId="289C7A2E">
            <w:pPr>
              <w:rPr>
                <w:rFonts w:ascii="Arial" w:hAnsi="Arial" w:cs="Arial"/>
                <w:color w:val="000000" w:themeColor="text1"/>
                <w:sz w:val="16"/>
                <w:szCs w:val="16"/>
                <w:lang w:eastAsia="es-ES"/>
              </w:rPr>
            </w:pPr>
            <w:r>
              <w:rPr>
                <w:rFonts w:ascii="Arial" w:hAnsi="Arial" w:cs="Arial"/>
                <w:color w:val="000000" w:themeColor="text1"/>
                <w:sz w:val="16"/>
                <w:szCs w:val="16"/>
                <w:lang w:eastAsia="es-ES"/>
              </w:rPr>
              <w:t>Cristian Andrés Díaz Díez</w:t>
            </w:r>
          </w:p>
          <w:p w:rsidRPr="00C24652" w:rsidR="00A8210F" w:rsidP="006A026F" w:rsidRDefault="00574591" w14:paraId="15A0A1D6" w14:textId="4F1C2169">
            <w:pPr>
              <w:jc w:val="both"/>
              <w:rPr>
                <w:rFonts w:ascii="Arial" w:hAnsi="Arial" w:eastAsia="Times New Roman" w:cs="Arial"/>
                <w:sz w:val="16"/>
                <w:szCs w:val="16"/>
                <w:lang w:val="es-ES_tradnl" w:eastAsia="es-ES"/>
              </w:rPr>
            </w:pPr>
            <w:r>
              <w:rPr>
                <w:rFonts w:ascii="Arial" w:hAnsi="Arial" w:eastAsia="Times New Roman" w:cs="Arial"/>
                <w:color w:val="000000" w:themeColor="text1"/>
                <w:sz w:val="16"/>
                <w:szCs w:val="16"/>
                <w:lang w:val="es-ES_tradnl" w:eastAsia="es-ES"/>
              </w:rPr>
              <w:t>Contratista</w:t>
            </w:r>
            <w:r w:rsidRPr="00C24652" w:rsidR="006A026F">
              <w:rPr>
                <w:rFonts w:ascii="Arial" w:hAnsi="Arial" w:eastAsia="Times New Roman" w:cs="Arial"/>
                <w:color w:val="000000" w:themeColor="text1"/>
                <w:sz w:val="16"/>
                <w:szCs w:val="16"/>
                <w:lang w:val="es-ES_tradnl" w:eastAsia="es-ES"/>
              </w:rPr>
              <w:t xml:space="preserve"> de la Subdirección de Gestión Contractual</w:t>
            </w:r>
          </w:p>
        </w:tc>
      </w:tr>
      <w:tr w:rsidRPr="00C24652" w:rsidR="002A0EC4" w:rsidTr="002544EE" w14:paraId="3C2FD375" w14:textId="77777777">
        <w:trPr>
          <w:trHeight w:val="300"/>
        </w:trPr>
        <w:tc>
          <w:tcPr>
            <w:tcW w:w="812" w:type="dxa"/>
            <w:vAlign w:val="center"/>
            <w:hideMark/>
          </w:tcPr>
          <w:p w:rsidRPr="00C24652" w:rsidR="00A8210F" w:rsidP="00A8210F" w:rsidRDefault="00A8210F" w14:paraId="5477A323"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24652" w:rsidR="00A8210F" w:rsidP="00A8210F" w:rsidRDefault="00A8210F" w14:paraId="0CBA6AE8"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Juan David Marín López</w:t>
            </w:r>
          </w:p>
          <w:p w:rsidRPr="00C24652" w:rsidR="00A8210F" w:rsidP="00A8210F" w:rsidRDefault="00A8210F" w14:paraId="66A3FD0D" w14:textId="77777777">
            <w:pPr>
              <w:jc w:val="both"/>
              <w:rPr>
                <w:rFonts w:ascii="Arial" w:hAnsi="Arial" w:eastAsia="Times New Roman" w:cs="Arial"/>
                <w:sz w:val="16"/>
                <w:szCs w:val="16"/>
                <w:lang w:val="es-ES_tradnl" w:eastAsia="es-ES"/>
              </w:rPr>
            </w:pPr>
            <w:r w:rsidRPr="00C24652">
              <w:rPr>
                <w:rFonts w:ascii="Arial" w:hAnsi="Arial" w:eastAsia="Times New Roman" w:cs="Arial"/>
                <w:sz w:val="16"/>
                <w:szCs w:val="16"/>
                <w:lang w:val="es-ES_tradnl" w:eastAsia="es-ES"/>
              </w:rPr>
              <w:t>Subdirector de Gestión Contractual (E)</w:t>
            </w:r>
          </w:p>
        </w:tc>
      </w:tr>
      <w:bookmarkEnd w:id="14"/>
    </w:tbl>
    <w:p w:rsidRPr="00C24652" w:rsidR="00A8210F" w:rsidP="00A8210F" w:rsidRDefault="00A8210F" w14:paraId="11D01363" w14:textId="77777777">
      <w:pPr>
        <w:spacing w:after="0" w:line="276" w:lineRule="auto"/>
        <w:jc w:val="both"/>
        <w:rPr>
          <w:rFonts w:ascii="Arial" w:hAnsi="Arial" w:eastAsia="Times New Roman" w:cs="Arial"/>
          <w:lang w:val="es-ES_tradnl" w:eastAsia="es-CO"/>
        </w:rPr>
      </w:pPr>
    </w:p>
    <w:p w:rsidRPr="00C24652" w:rsidR="00A8210F" w:rsidP="00A8210F" w:rsidRDefault="00A8210F" w14:paraId="7684754F" w14:textId="77777777">
      <w:pPr>
        <w:spacing w:after="0" w:line="240" w:lineRule="auto"/>
        <w:jc w:val="both"/>
        <w:rPr>
          <w:rFonts w:ascii="Arial" w:hAnsi="Arial" w:eastAsia="Times New Roman" w:cs="Arial"/>
          <w:sz w:val="24"/>
          <w:szCs w:val="24"/>
          <w:lang w:val="es-ES_tradnl" w:eastAsia="es-ES_tradnl"/>
        </w:rPr>
      </w:pPr>
    </w:p>
    <w:bookmarkEnd w:id="2"/>
    <w:p w:rsidRPr="00C24652" w:rsidR="00C34EC1" w:rsidRDefault="00C34EC1" w14:paraId="25739E38" w14:textId="77777777">
      <w:pPr>
        <w:rPr>
          <w:rFonts w:ascii="Arial" w:hAnsi="Arial" w:cs="Arial"/>
        </w:rPr>
      </w:pPr>
    </w:p>
    <w:sectPr w:rsidRPr="00C24652" w:rsidR="00C34EC1"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F7D" w:rsidP="00A8210F" w:rsidRDefault="009D6F7D" w14:paraId="644DE12C" w14:textId="77777777">
      <w:pPr>
        <w:spacing w:after="0" w:line="240" w:lineRule="auto"/>
      </w:pPr>
      <w:r>
        <w:separator/>
      </w:r>
    </w:p>
  </w:endnote>
  <w:endnote w:type="continuationSeparator" w:id="0">
    <w:p w:rsidR="009D6F7D" w:rsidP="00A8210F" w:rsidRDefault="009D6F7D" w14:paraId="7572CD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59DE" w:rsidP="00322937" w:rsidRDefault="006C51E2" w14:paraId="5DEFB176" w14:textId="77777777">
    <w:pPr>
      <w:pStyle w:val="Sinespaciado"/>
      <w:jc w:val="right"/>
      <w:rPr>
        <w:rFonts w:ascii="Arial" w:hAnsi="Arial" w:cs="Arial"/>
        <w:sz w:val="18"/>
        <w:szCs w:val="18"/>
      </w:rPr>
    </w:pPr>
  </w:p>
  <w:p w:rsidRPr="00FB17D4" w:rsidR="006A59DE" w:rsidP="00FE42ED" w:rsidRDefault="00222797" w14:paraId="4F77E48B" w14:textId="77777777">
    <w:pPr>
      <w:pStyle w:val="Piedepgina"/>
      <w:jc w:val="right"/>
      <w:rPr>
        <w:rFonts w:ascii="Arial" w:hAnsi="Arial" w:cs="Arial"/>
        <w:color w:val="7F7F7F"/>
        <w:sz w:val="16"/>
        <w:szCs w:val="16"/>
      </w:rPr>
    </w:pPr>
    <w:r w:rsidRPr="00FB17D4">
      <w:rPr>
        <w:rFonts w:ascii="Arial" w:hAnsi="Arial" w:cs="Arial"/>
        <w:bCs/>
        <w:color w:val="7F7F7F"/>
        <w:sz w:val="16"/>
        <w:szCs w:val="16"/>
      </w:rPr>
      <w:t xml:space="preserve">Página </w:t>
    </w:r>
    <w:r w:rsidRPr="00FB17D4">
      <w:rPr>
        <w:rFonts w:ascii="Arial" w:hAnsi="Arial" w:cs="Arial"/>
        <w:b/>
        <w:bCs/>
        <w:color w:val="7F7F7F"/>
        <w:sz w:val="16"/>
        <w:szCs w:val="16"/>
      </w:rPr>
      <w:fldChar w:fldCharType="begin"/>
    </w:r>
    <w:r w:rsidRPr="00FB17D4">
      <w:rPr>
        <w:rFonts w:ascii="Arial" w:hAnsi="Arial" w:cs="Arial"/>
        <w:b/>
        <w:bCs/>
        <w:color w:val="7F7F7F"/>
        <w:sz w:val="16"/>
        <w:szCs w:val="16"/>
      </w:rPr>
      <w:instrText>PAGE  \* Arabic  \* MERGEFORMAT</w:instrText>
    </w:r>
    <w:r w:rsidRPr="00FB17D4">
      <w:rPr>
        <w:rFonts w:ascii="Arial" w:hAnsi="Arial" w:cs="Arial"/>
        <w:b/>
        <w:bCs/>
        <w:color w:val="7F7F7F"/>
        <w:sz w:val="16"/>
        <w:szCs w:val="16"/>
      </w:rPr>
      <w:fldChar w:fldCharType="separate"/>
    </w:r>
    <w:r w:rsidRPr="00FB17D4">
      <w:rPr>
        <w:rFonts w:ascii="Arial" w:hAnsi="Arial" w:cs="Arial"/>
        <w:b/>
        <w:bCs/>
        <w:noProof/>
        <w:color w:val="7F7F7F"/>
        <w:sz w:val="16"/>
        <w:szCs w:val="16"/>
      </w:rPr>
      <w:t>2</w:t>
    </w:r>
    <w:r w:rsidRPr="00FB17D4">
      <w:rPr>
        <w:rFonts w:ascii="Arial" w:hAnsi="Arial" w:cs="Arial"/>
        <w:b/>
        <w:bCs/>
        <w:color w:val="7F7F7F"/>
        <w:sz w:val="16"/>
        <w:szCs w:val="16"/>
      </w:rPr>
      <w:fldChar w:fldCharType="end"/>
    </w:r>
    <w:r w:rsidRPr="00FB17D4">
      <w:rPr>
        <w:rFonts w:ascii="Arial" w:hAnsi="Arial" w:cs="Arial"/>
        <w:color w:val="7F7F7F"/>
        <w:sz w:val="16"/>
        <w:szCs w:val="16"/>
      </w:rPr>
      <w:t xml:space="preserve"> de </w:t>
    </w:r>
    <w:r w:rsidRPr="00FB17D4">
      <w:rPr>
        <w:rFonts w:ascii="Arial" w:hAnsi="Arial" w:cs="Arial"/>
        <w:b/>
        <w:bCs/>
        <w:color w:val="7F7F7F"/>
        <w:sz w:val="16"/>
        <w:szCs w:val="16"/>
      </w:rPr>
      <w:fldChar w:fldCharType="begin"/>
    </w:r>
    <w:r w:rsidRPr="00FB17D4">
      <w:rPr>
        <w:rFonts w:ascii="Arial" w:hAnsi="Arial" w:cs="Arial"/>
        <w:b/>
        <w:bCs/>
        <w:color w:val="7F7F7F"/>
        <w:sz w:val="16"/>
        <w:szCs w:val="16"/>
      </w:rPr>
      <w:instrText>NUMPAGES  \* Arabic  \* MERGEFORMAT</w:instrText>
    </w:r>
    <w:r w:rsidRPr="00FB17D4">
      <w:rPr>
        <w:rFonts w:ascii="Arial" w:hAnsi="Arial" w:cs="Arial"/>
        <w:b/>
        <w:bCs/>
        <w:color w:val="7F7F7F"/>
        <w:sz w:val="16"/>
        <w:szCs w:val="16"/>
      </w:rPr>
      <w:fldChar w:fldCharType="separate"/>
    </w:r>
    <w:r w:rsidRPr="00FB17D4">
      <w:rPr>
        <w:rFonts w:ascii="Arial" w:hAnsi="Arial" w:cs="Arial"/>
        <w:b/>
        <w:bCs/>
        <w:noProof/>
        <w:color w:val="7F7F7F"/>
        <w:sz w:val="16"/>
        <w:szCs w:val="16"/>
      </w:rPr>
      <w:t>15</w:t>
    </w:r>
    <w:r w:rsidRPr="00FB17D4">
      <w:rPr>
        <w:rFonts w:ascii="Arial" w:hAnsi="Arial" w:cs="Arial"/>
        <w:b/>
        <w:bCs/>
        <w:color w:val="7F7F7F"/>
        <w:sz w:val="16"/>
        <w:szCs w:val="16"/>
      </w:rPr>
      <w:fldChar w:fldCharType="end"/>
    </w:r>
  </w:p>
  <w:p w:rsidR="006A59DE" w:rsidP="00322937" w:rsidRDefault="00222797" w14:paraId="458778D2" w14:textId="77777777">
    <w:pPr>
      <w:pStyle w:val="Piedepgina"/>
      <w:jc w:val="center"/>
      <w:rPr>
        <w:lang w:val="es-ES"/>
      </w:rPr>
    </w:pPr>
    <w:r>
      <w:rPr>
        <w:noProof/>
        <w:lang w:val="es-ES_tradnl" w:eastAsia="es-ES_tradnl"/>
      </w:rPr>
      <w:drawing>
        <wp:inline distT="0" distB="0" distL="0" distR="0" wp14:anchorId="45EFEF6F" wp14:editId="20C14DF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6A59DE" w:rsidP="007B0854" w:rsidRDefault="006C51E2" w14:paraId="7932DF56" w14:textId="77777777">
    <w:pPr>
      <w:pStyle w:val="Piedepgina"/>
      <w:jc w:val="center"/>
      <w:rPr>
        <w:lang w:val="es-ES"/>
      </w:rPr>
    </w:pPr>
  </w:p>
  <w:p w:rsidRPr="007B0854" w:rsidR="006A59DE" w:rsidP="007B0854" w:rsidRDefault="006C51E2" w14:paraId="2FAED8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F7D" w:rsidP="00A8210F" w:rsidRDefault="009D6F7D" w14:paraId="4CC846C2" w14:textId="77777777">
      <w:pPr>
        <w:spacing w:after="0" w:line="240" w:lineRule="auto"/>
      </w:pPr>
      <w:r>
        <w:separator/>
      </w:r>
    </w:p>
  </w:footnote>
  <w:footnote w:type="continuationSeparator" w:id="0">
    <w:p w:rsidR="009D6F7D" w:rsidP="00A8210F" w:rsidRDefault="009D6F7D" w14:paraId="147EC21D" w14:textId="77777777">
      <w:pPr>
        <w:spacing w:after="0" w:line="240" w:lineRule="auto"/>
      </w:pPr>
      <w:r>
        <w:continuationSeparator/>
      </w:r>
    </w:p>
  </w:footnote>
  <w:footnote w:id="1">
    <w:p w:rsidRPr="00740AA8" w:rsidR="008F6D95" w:rsidP="00B705B4" w:rsidRDefault="008F6D95" w14:paraId="19698078" w14:textId="77777777">
      <w:pPr>
        <w:pStyle w:val="Textonotapie"/>
        <w:ind w:firstLine="708"/>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Corte Constitucional. Sentencia C- 341 del 4 de junio de 2014. M. P. Mauricio González Cuervo.</w:t>
      </w:r>
    </w:p>
    <w:p w:rsidRPr="00740AA8" w:rsidR="008F6D95" w:rsidP="00B705B4" w:rsidRDefault="008F6D95" w14:paraId="7F7241A6" w14:textId="77777777">
      <w:pPr>
        <w:pStyle w:val="Textonotapie"/>
        <w:ind w:firstLine="708"/>
        <w:contextualSpacing/>
        <w:jc w:val="both"/>
        <w:rPr>
          <w:rFonts w:ascii="Arial" w:hAnsi="Arial" w:cs="Arial"/>
          <w:sz w:val="19"/>
          <w:szCs w:val="19"/>
          <w:lang w:val="es-CO"/>
        </w:rPr>
      </w:pPr>
    </w:p>
  </w:footnote>
  <w:footnote w:id="2">
    <w:p w:rsidRPr="00740AA8" w:rsidR="00FB46F6" w:rsidP="00B705B4" w:rsidRDefault="00FB46F6" w14:paraId="5E9FBAE7" w14:textId="77777777">
      <w:pPr>
        <w:pStyle w:val="Textonotapie"/>
        <w:ind w:firstLine="708"/>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740AA8" w:rsidR="00FB46F6" w:rsidP="00B705B4" w:rsidRDefault="00FB46F6" w14:paraId="30D2076F" w14:textId="77777777">
      <w:pPr>
        <w:pStyle w:val="Textonotapie"/>
        <w:ind w:firstLine="708"/>
        <w:contextualSpacing/>
        <w:jc w:val="both"/>
        <w:rPr>
          <w:rFonts w:ascii="Arial" w:hAnsi="Arial" w:cs="Arial"/>
          <w:sz w:val="19"/>
          <w:szCs w:val="19"/>
        </w:rPr>
      </w:pPr>
      <w:r w:rsidRPr="00740AA8">
        <w:rPr>
          <w:rFonts w:ascii="Arial" w:hAnsi="Arial" w:cs="Arial"/>
          <w:sz w:val="19"/>
          <w:szCs w:val="19"/>
        </w:rPr>
        <w:t>»Lo anterior, sin perjuicio de las publicaciones previstas en el numeral 3 del artículo 30 de la Ley 80 de 1993.</w:t>
      </w:r>
    </w:p>
    <w:p w:rsidRPr="00740AA8" w:rsidR="00FB46F6" w:rsidP="00B705B4" w:rsidRDefault="00FB46F6" w14:paraId="04740D29"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rsidRPr="00740AA8" w:rsidR="00FB46F6" w:rsidP="00B705B4" w:rsidRDefault="00FB46F6" w14:paraId="73299D95" w14:textId="77777777">
      <w:pPr>
        <w:pStyle w:val="Textonotapie"/>
        <w:ind w:firstLine="708"/>
        <w:contextualSpacing/>
        <w:jc w:val="both"/>
        <w:rPr>
          <w:rFonts w:ascii="Arial" w:hAnsi="Arial" w:cs="Arial"/>
          <w:sz w:val="19"/>
          <w:szCs w:val="19"/>
        </w:rPr>
      </w:pPr>
      <w:r w:rsidRPr="00740AA8">
        <w:rPr>
          <w:rFonts w:ascii="Arial" w:hAnsi="Arial" w:cs="Arial"/>
          <w:sz w:val="19"/>
          <w:szCs w:val="19"/>
        </w:rPr>
        <w:t>[…]</w:t>
      </w:r>
    </w:p>
    <w:p w:rsidRPr="00740AA8" w:rsidR="00FB46F6" w:rsidP="00B705B4" w:rsidRDefault="00FB46F6" w14:paraId="1E8F461B"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»c) Contará con la información oficial de la contratación realizada con dineros públicos, para lo cual establecerá los patrones a que haya lugar y se encargará de su difusión a través de canales electrónico». </w:t>
      </w:r>
    </w:p>
    <w:p w:rsidRPr="00740AA8" w:rsidR="00FB46F6" w:rsidP="00B705B4" w:rsidRDefault="00FB46F6" w14:paraId="79813FB7" w14:textId="77777777">
      <w:pPr>
        <w:pStyle w:val="Textonotapie"/>
        <w:ind w:firstLine="708"/>
        <w:contextualSpacing/>
        <w:jc w:val="both"/>
        <w:rPr>
          <w:rFonts w:ascii="Arial" w:hAnsi="Arial" w:cs="Arial"/>
          <w:sz w:val="19"/>
          <w:szCs w:val="19"/>
        </w:rPr>
      </w:pPr>
    </w:p>
  </w:footnote>
  <w:footnote w:id="3">
    <w:p w:rsidRPr="00740AA8" w:rsidR="00A8210F" w:rsidP="00B705B4" w:rsidRDefault="00A8210F" w14:paraId="0E956E4A" w14:textId="77777777">
      <w:pPr>
        <w:spacing w:after="0" w:line="240" w:lineRule="auto"/>
        <w:ind w:firstLine="707"/>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vertAlign w:val="superscript"/>
        </w:rPr>
        <w:t xml:space="preserve"> </w:t>
      </w:r>
      <w:r w:rsidRPr="00740AA8">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footnote>
  <w:footnote w:id="4">
    <w:p w:rsidRPr="00740AA8" w:rsidR="00A8210F" w:rsidP="00B705B4" w:rsidRDefault="00A8210F" w14:paraId="15B4D8F0" w14:textId="77777777">
      <w:pPr>
        <w:pStyle w:val="Textonotapie"/>
        <w:contextualSpacing/>
        <w:jc w:val="both"/>
        <w:rPr>
          <w:rFonts w:ascii="Arial" w:hAnsi="Arial" w:cs="Arial"/>
          <w:sz w:val="19"/>
          <w:szCs w:val="19"/>
        </w:rPr>
      </w:pPr>
    </w:p>
    <w:p w:rsidRPr="00740AA8" w:rsidR="00A8210F" w:rsidP="00B705B4" w:rsidRDefault="00A8210F" w14:paraId="55F330AC" w14:textId="77777777">
      <w:pPr>
        <w:pStyle w:val="Textonotapie"/>
        <w:ind w:firstLine="707"/>
        <w:contextualSpacing/>
        <w:jc w:val="both"/>
        <w:rPr>
          <w:rFonts w:ascii="Arial" w:hAnsi="Arial" w:cs="Arial"/>
          <w:sz w:val="19"/>
          <w:szCs w:val="19"/>
          <w:lang w:val="es-CO"/>
        </w:rPr>
      </w:pPr>
      <w:r w:rsidRPr="00740AA8">
        <w:rPr>
          <w:rStyle w:val="Refdenotaalpie"/>
          <w:rFonts w:ascii="Arial" w:hAnsi="Arial" w:cs="Arial"/>
          <w:sz w:val="19"/>
          <w:szCs w:val="19"/>
        </w:rPr>
        <w:footnoteRef/>
      </w:r>
      <w:r w:rsidRPr="00740AA8">
        <w:rPr>
          <w:rFonts w:ascii="Arial" w:hAnsi="Arial" w:cs="Arial"/>
          <w:sz w:val="19"/>
          <w:szCs w:val="19"/>
          <w:vertAlign w:val="superscript"/>
        </w:rPr>
        <w:t xml:space="preserve"> </w:t>
      </w:r>
      <w:r w:rsidRPr="00740AA8">
        <w:rPr>
          <w:rFonts w:ascii="Arial" w:hAnsi="Arial" w:cs="Arial"/>
          <w:sz w:val="19"/>
          <w:szCs w:val="19"/>
        </w:rPr>
        <w:t xml:space="preserve">Ley 1712 de 2014: «Artículo 3. </w:t>
      </w:r>
      <w:bookmarkStart w:name="3" w:id="8"/>
      <w:r w:rsidRPr="00740AA8">
        <w:rPr>
          <w:rFonts w:ascii="Arial" w:hAnsi="Arial" w:cs="Arial"/>
          <w:sz w:val="19"/>
          <w:szCs w:val="19"/>
          <w:lang w:val="es-CO"/>
        </w:rPr>
        <w:t>Otros principios de la transparencia y acceso a la información pública.</w:t>
      </w:r>
      <w:bookmarkEnd w:id="8"/>
      <w:r w:rsidRPr="00740AA8">
        <w:rPr>
          <w:rFonts w:ascii="Arial" w:hAnsi="Arial" w:cs="Arial"/>
          <w:sz w:val="19"/>
          <w:szCs w:val="19"/>
          <w:lang w:val="es-CO"/>
        </w:rPr>
        <w:t> </w:t>
      </w:r>
    </w:p>
    <w:p w:rsidRPr="00740AA8" w:rsidR="00A8210F" w:rsidP="00B705B4" w:rsidRDefault="00A8210F" w14:paraId="6D9F2D3E" w14:textId="77777777">
      <w:pPr>
        <w:pStyle w:val="Textonotapie"/>
        <w:ind w:firstLine="707"/>
        <w:contextualSpacing/>
        <w:jc w:val="both"/>
        <w:rPr>
          <w:rFonts w:ascii="Arial" w:hAnsi="Arial" w:cs="Arial"/>
          <w:sz w:val="19"/>
          <w:szCs w:val="19"/>
          <w:lang w:val="es-CO"/>
        </w:rPr>
      </w:pPr>
      <w:r w:rsidRPr="00740AA8">
        <w:rPr>
          <w:rFonts w:ascii="Arial" w:hAnsi="Arial" w:cs="Arial"/>
          <w:sz w:val="19"/>
          <w:szCs w:val="19"/>
          <w:lang w:val="es-CO"/>
        </w:rPr>
        <w:t>[…]</w:t>
      </w:r>
    </w:p>
    <w:p w:rsidRPr="00740AA8" w:rsidR="00A8210F" w:rsidP="00B705B4" w:rsidRDefault="00A8210F" w14:paraId="0E979FE8" w14:textId="77777777">
      <w:pPr>
        <w:pStyle w:val="Textonotapie"/>
        <w:ind w:firstLine="707"/>
        <w:contextualSpacing/>
        <w:jc w:val="both"/>
        <w:rPr>
          <w:rFonts w:ascii="Arial" w:hAnsi="Arial" w:cs="Arial"/>
          <w:sz w:val="19"/>
          <w:szCs w:val="19"/>
        </w:rPr>
      </w:pPr>
      <w:r w:rsidRPr="00116C24">
        <w:rPr>
          <w:rStyle w:val="baj"/>
          <w:rFonts w:ascii="Arial" w:hAnsi="Arial" w:cs="Arial"/>
          <w:sz w:val="19"/>
          <w:szCs w:val="19"/>
        </w:rPr>
        <w:t>Principio de transparencia</w:t>
      </w:r>
      <w:r w:rsidRPr="00740AA8">
        <w:rPr>
          <w:rFonts w:ascii="Arial" w:hAnsi="Arial" w:cs="Arial"/>
          <w:sz w:val="19"/>
          <w:szCs w:val="19"/>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Pr="00740AA8" w:rsidR="00A8210F" w:rsidP="00B705B4" w:rsidRDefault="00A8210F" w14:paraId="69DE4ED6" w14:textId="77777777">
      <w:pPr>
        <w:pStyle w:val="Textonotapie"/>
        <w:contextualSpacing/>
        <w:jc w:val="both"/>
        <w:rPr>
          <w:rFonts w:ascii="Arial" w:hAnsi="Arial" w:cs="Arial"/>
          <w:sz w:val="19"/>
          <w:szCs w:val="19"/>
          <w:lang w:val="es-CO"/>
        </w:rPr>
      </w:pPr>
    </w:p>
  </w:footnote>
  <w:footnote w:id="5">
    <w:p w:rsidRPr="00740AA8" w:rsidR="00A8210F" w:rsidP="00B705B4" w:rsidRDefault="00A8210F" w14:paraId="1083537E" w14:textId="77777777">
      <w:pPr>
        <w:pStyle w:val="Textonotapie"/>
        <w:ind w:firstLine="707"/>
        <w:contextualSpacing/>
        <w:jc w:val="both"/>
        <w:rPr>
          <w:rFonts w:ascii="Arial" w:hAnsi="Arial" w:cs="Arial"/>
          <w:sz w:val="19"/>
          <w:szCs w:val="19"/>
          <w:lang w:val="es-CO"/>
        </w:rPr>
      </w:pPr>
      <w:r w:rsidRPr="00740AA8">
        <w:rPr>
          <w:rStyle w:val="Refdenotaalpie"/>
          <w:rFonts w:ascii="Arial" w:hAnsi="Arial" w:cs="Arial"/>
          <w:sz w:val="19"/>
          <w:szCs w:val="19"/>
        </w:rPr>
        <w:footnoteRef/>
      </w:r>
      <w:r w:rsidRPr="00740AA8">
        <w:rPr>
          <w:rFonts w:ascii="Arial" w:hAnsi="Arial" w:cs="Arial"/>
          <w:sz w:val="19"/>
          <w:szCs w:val="19"/>
          <w:vertAlign w:val="superscript"/>
        </w:rPr>
        <w:t xml:space="preserve"> </w:t>
      </w:r>
      <w:r w:rsidRPr="00740AA8">
        <w:rPr>
          <w:rFonts w:ascii="Arial" w:hAnsi="Arial" w:cs="Arial"/>
          <w:sz w:val="19"/>
          <w:szCs w:val="19"/>
        </w:rPr>
        <w:t xml:space="preserve">Ley 1712 de 2014: «Artículo 3. </w:t>
      </w:r>
      <w:r w:rsidRPr="00740AA8">
        <w:rPr>
          <w:rFonts w:ascii="Arial" w:hAnsi="Arial" w:cs="Arial"/>
          <w:sz w:val="19"/>
          <w:szCs w:val="19"/>
          <w:lang w:val="es-CO"/>
        </w:rPr>
        <w:t>Otros principios de la transparencia y acceso a la información pública. </w:t>
      </w:r>
    </w:p>
    <w:p w:rsidRPr="00740AA8" w:rsidR="00A8210F" w:rsidP="00B705B4" w:rsidRDefault="00A8210F" w14:paraId="1926C3E5" w14:textId="77777777">
      <w:pPr>
        <w:pStyle w:val="Textonotapie"/>
        <w:ind w:firstLine="707"/>
        <w:contextualSpacing/>
        <w:jc w:val="both"/>
        <w:rPr>
          <w:rFonts w:ascii="Arial" w:hAnsi="Arial" w:cs="Arial"/>
          <w:sz w:val="19"/>
          <w:szCs w:val="19"/>
          <w:lang w:val="es-ES"/>
        </w:rPr>
      </w:pPr>
      <w:r w:rsidRPr="00740AA8">
        <w:rPr>
          <w:rFonts w:ascii="Arial" w:hAnsi="Arial" w:cs="Arial"/>
          <w:sz w:val="19"/>
          <w:szCs w:val="19"/>
          <w:lang w:val="es-ES"/>
        </w:rPr>
        <w:t>[…]</w:t>
      </w:r>
    </w:p>
    <w:p w:rsidRPr="00740AA8" w:rsidR="00A8210F" w:rsidP="00B705B4" w:rsidRDefault="00A8210F" w14:paraId="7F35E7BA" w14:textId="77777777">
      <w:pPr>
        <w:pStyle w:val="Textonotapie"/>
        <w:ind w:firstLine="707"/>
        <w:contextualSpacing/>
        <w:jc w:val="both"/>
        <w:rPr>
          <w:rFonts w:ascii="Arial" w:hAnsi="Arial" w:cs="Arial"/>
          <w:sz w:val="19"/>
          <w:szCs w:val="19"/>
          <w:lang w:val="es-ES"/>
        </w:rPr>
      </w:pPr>
      <w:r w:rsidRPr="00116C24">
        <w:rPr>
          <w:rStyle w:val="baj"/>
          <w:rFonts w:ascii="Arial" w:hAnsi="Arial" w:cs="Arial"/>
          <w:sz w:val="19"/>
          <w:szCs w:val="19"/>
        </w:rPr>
        <w:t>Principio de buena fe</w:t>
      </w:r>
      <w:r w:rsidRPr="00740AA8">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6">
    <w:p w:rsidRPr="00740AA8" w:rsidR="00CB1F4A" w:rsidP="00B705B4" w:rsidRDefault="00CB1F4A" w14:paraId="161CDE75" w14:textId="77777777">
      <w:pPr>
        <w:pStyle w:val="Textonotapie"/>
        <w:ind w:firstLine="707"/>
        <w:contextualSpacing/>
        <w:jc w:val="both"/>
        <w:rPr>
          <w:rFonts w:ascii="Arial" w:hAnsi="Arial" w:cs="Arial"/>
          <w:sz w:val="19"/>
          <w:szCs w:val="19"/>
        </w:rPr>
      </w:pPr>
    </w:p>
    <w:p w:rsidRPr="00740AA8" w:rsidR="00353EBC" w:rsidP="00B705B4" w:rsidRDefault="00353EBC" w14:paraId="6AEE8BF4" w14:textId="44734B4F">
      <w:pPr>
        <w:pStyle w:val="Textonotapie"/>
        <w:ind w:firstLine="707"/>
        <w:contextualSpacing/>
        <w:jc w:val="both"/>
        <w:rPr>
          <w:rFonts w:ascii="Arial" w:hAnsi="Arial" w:cs="Arial"/>
          <w:sz w:val="19"/>
          <w:szCs w:val="19"/>
          <w:shd w:val="clear" w:color="auto" w:fill="FFFFFF"/>
        </w:rPr>
      </w:pPr>
      <w:r w:rsidRPr="00740AA8">
        <w:rPr>
          <w:rStyle w:val="Refdenotaalpie"/>
          <w:rFonts w:ascii="Arial" w:hAnsi="Arial" w:cs="Arial"/>
          <w:sz w:val="19"/>
          <w:szCs w:val="19"/>
        </w:rPr>
        <w:footnoteRef/>
      </w:r>
      <w:r w:rsidRPr="00740AA8">
        <w:rPr>
          <w:rFonts w:ascii="Arial" w:hAnsi="Arial" w:cs="Arial"/>
          <w:sz w:val="19"/>
          <w:szCs w:val="19"/>
        </w:rPr>
        <w:t xml:space="preserve"> Ley 1712 de 2014: «Artículo 9.</w:t>
      </w:r>
      <w:r w:rsidRPr="00740AA8" w:rsidR="00CB1F4A">
        <w:rPr>
          <w:rFonts w:ascii="Arial" w:hAnsi="Arial" w:cs="Arial"/>
          <w:sz w:val="19"/>
          <w:szCs w:val="19"/>
        </w:rPr>
        <w:t xml:space="preserve"> </w:t>
      </w:r>
      <w:r w:rsidRPr="00740AA8" w:rsidR="00CB1F4A">
        <w:rPr>
          <w:rFonts w:ascii="Arial" w:hAnsi="Arial" w:cs="Arial"/>
          <w:sz w:val="19"/>
          <w:szCs w:val="19"/>
          <w:shd w:val="clear" w:color="auto" w:fill="FFFFFF"/>
        </w:rPr>
        <w:t> </w:t>
      </w:r>
      <w:r w:rsidRPr="00116C24" w:rsidR="00CB1F4A">
        <w:rPr>
          <w:rStyle w:val="nfasis"/>
          <w:rFonts w:ascii="Arial" w:hAnsi="Arial" w:cs="Arial"/>
          <w:sz w:val="19"/>
          <w:szCs w:val="19"/>
          <w:shd w:val="clear" w:color="auto" w:fill="FFFFFF"/>
        </w:rPr>
        <w:t>Información mínima obligatoria respecto a la estructura del sujeto obligado. </w:t>
      </w:r>
      <w:r w:rsidRPr="00740AA8" w:rsidR="00CB1F4A">
        <w:rPr>
          <w:rFonts w:ascii="Arial" w:hAnsi="Arial" w:cs="Arial"/>
          <w:sz w:val="19"/>
          <w:szCs w:val="19"/>
          <w:shd w:val="clear" w:color="auto" w:fill="FFFFFF"/>
        </w:rPr>
        <w:t>Todo sujeto obligado deberá publicar la siguiente información mínima obligatoria de manera proactiva en los sistemas de información del Estado o herramientas que lo sustituyan:</w:t>
      </w:r>
    </w:p>
    <w:p w:rsidRPr="00740AA8" w:rsidR="00CB1F4A" w:rsidP="00B705B4" w:rsidRDefault="00CB1F4A" w14:paraId="22C75734" w14:textId="121539F7">
      <w:pPr>
        <w:pStyle w:val="Textonotapie"/>
        <w:ind w:firstLine="707"/>
        <w:contextualSpacing/>
        <w:jc w:val="both"/>
        <w:rPr>
          <w:rFonts w:ascii="Arial" w:hAnsi="Arial" w:cs="Arial"/>
          <w:sz w:val="19"/>
          <w:szCs w:val="19"/>
          <w:shd w:val="clear" w:color="auto" w:fill="FFFFFF"/>
        </w:rPr>
      </w:pPr>
      <w:r w:rsidRPr="00740AA8">
        <w:rPr>
          <w:rFonts w:ascii="Arial" w:hAnsi="Arial" w:cs="Arial"/>
          <w:sz w:val="19"/>
          <w:szCs w:val="19"/>
          <w:shd w:val="clear" w:color="auto" w:fill="FFFFFF"/>
        </w:rPr>
        <w:t>[…]</w:t>
      </w:r>
    </w:p>
    <w:p w:rsidRPr="00740AA8" w:rsidR="00CB1F4A" w:rsidP="00B705B4" w:rsidRDefault="00CB1F4A" w14:paraId="535D7CEA" w14:textId="6D21B378">
      <w:pPr>
        <w:pStyle w:val="Textonotapie"/>
        <w:ind w:firstLine="707"/>
        <w:contextualSpacing/>
        <w:jc w:val="both"/>
        <w:rPr>
          <w:rFonts w:ascii="Arial" w:hAnsi="Arial" w:cs="Arial"/>
          <w:sz w:val="19"/>
          <w:szCs w:val="19"/>
          <w:lang w:val="es-ES"/>
        </w:rPr>
      </w:pPr>
      <w:r w:rsidRPr="00740AA8">
        <w:rPr>
          <w:rFonts w:ascii="Arial" w:hAnsi="Arial" w:cs="Arial"/>
          <w:sz w:val="19"/>
          <w:szCs w:val="19"/>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740AA8">
        <w:rPr>
          <w:rFonts w:ascii="Arial" w:hAnsi="Arial" w:cs="Arial"/>
          <w:sz w:val="19"/>
          <w:szCs w:val="19"/>
        </w:rPr>
        <w:t xml:space="preserve"> </w:t>
      </w:r>
      <w:r w:rsidRPr="00740AA8">
        <w:rPr>
          <w:rFonts w:ascii="Arial" w:hAnsi="Arial" w:cs="Arial"/>
          <w:sz w:val="19"/>
          <w:szCs w:val="19"/>
          <w:shd w:val="clear" w:color="auto" w:fill="FFFFFF"/>
        </w:rPr>
        <w:t xml:space="preserve">de la Ley </w:t>
      </w:r>
      <w:r w:rsidRPr="00740AA8" w:rsidR="00E8018C">
        <w:rPr>
          <w:rFonts w:ascii="Arial" w:hAnsi="Arial" w:cs="Arial"/>
          <w:sz w:val="19"/>
          <w:szCs w:val="19"/>
          <w:shd w:val="clear" w:color="auto" w:fill="FFFFFF"/>
        </w:rPr>
        <w:t>1474 de</w:t>
      </w:r>
      <w:r w:rsidRPr="00740AA8">
        <w:rPr>
          <w:rFonts w:ascii="Arial" w:hAnsi="Arial" w:cs="Arial"/>
          <w:sz w:val="19"/>
          <w:szCs w:val="19"/>
          <w:shd w:val="clear" w:color="auto" w:fill="FFFFFF"/>
        </w:rPr>
        <w:t xml:space="preserv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740AA8" w:rsidR="00E8018C">
        <w:rPr>
          <w:rFonts w:ascii="Arial" w:hAnsi="Arial" w:cs="Arial"/>
          <w:sz w:val="19"/>
          <w:szCs w:val="19"/>
          <w:shd w:val="clear" w:color="auto" w:fill="FFFFFF"/>
        </w:rPr>
        <w:t>;</w:t>
      </w:r>
      <w:r w:rsidRPr="00740AA8" w:rsidR="00E8018C">
        <w:rPr>
          <w:rFonts w:ascii="Arial" w:hAnsi="Arial" w:cs="Arial"/>
          <w:sz w:val="19"/>
          <w:szCs w:val="19"/>
        </w:rPr>
        <w:t>»</w:t>
      </w:r>
      <w:r w:rsidRPr="00740AA8" w:rsidR="004D31A0">
        <w:rPr>
          <w:rFonts w:ascii="Arial" w:hAnsi="Arial" w:cs="Arial"/>
          <w:sz w:val="19"/>
          <w:szCs w:val="19"/>
        </w:rPr>
        <w:t>.</w:t>
      </w:r>
    </w:p>
  </w:footnote>
  <w:footnote w:id="7">
    <w:p w:rsidRPr="00740AA8" w:rsidR="00A8210F" w:rsidP="00B705B4" w:rsidRDefault="00A8210F" w14:paraId="5207CBF8" w14:textId="77777777">
      <w:pPr>
        <w:spacing w:after="0" w:line="240" w:lineRule="auto"/>
        <w:ind w:firstLine="707"/>
        <w:contextualSpacing/>
        <w:jc w:val="both"/>
        <w:rPr>
          <w:rFonts w:ascii="Arial" w:hAnsi="Arial" w:cs="Arial"/>
          <w:sz w:val="19"/>
          <w:szCs w:val="19"/>
        </w:rPr>
      </w:pPr>
    </w:p>
    <w:p w:rsidRPr="00740AA8" w:rsidR="00A8210F" w:rsidP="00B705B4" w:rsidRDefault="00A8210F" w14:paraId="1028DD9C" w14:textId="77777777">
      <w:pPr>
        <w:spacing w:after="0" w:line="240" w:lineRule="auto"/>
        <w:ind w:firstLine="707"/>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Ley 1712 de 2014: «Artículo 5. Ámbito de aplicación. Las disposiciones de esta ley serán aplicables a las siguientes personas en calidad de sujetos obligados:</w:t>
      </w:r>
    </w:p>
    <w:p w:rsidRPr="00740AA8" w:rsidR="00A8210F" w:rsidP="00B705B4" w:rsidRDefault="00A8210F" w14:paraId="0ACA6E76" w14:textId="77777777">
      <w:pPr>
        <w:spacing w:after="0" w:line="240" w:lineRule="auto"/>
        <w:ind w:firstLine="707"/>
        <w:contextualSpacing/>
        <w:jc w:val="both"/>
        <w:rPr>
          <w:rFonts w:ascii="Arial" w:hAnsi="Arial" w:cs="Arial"/>
          <w:sz w:val="19"/>
          <w:szCs w:val="19"/>
        </w:rPr>
      </w:pPr>
      <w:r w:rsidRPr="00740AA8">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740AA8" w:rsidR="00A8210F" w:rsidP="00B705B4" w:rsidRDefault="00A8210F" w14:paraId="12FC4E9B" w14:textId="77777777">
      <w:pPr>
        <w:pStyle w:val="Textonotapie"/>
        <w:contextualSpacing/>
        <w:jc w:val="both"/>
        <w:rPr>
          <w:rFonts w:ascii="Arial" w:hAnsi="Arial" w:cs="Arial"/>
          <w:sz w:val="19"/>
          <w:szCs w:val="19"/>
        </w:rPr>
      </w:pPr>
    </w:p>
  </w:footnote>
  <w:footnote w:id="8">
    <w:p w:rsidRPr="00740AA8" w:rsidR="00A8210F" w:rsidP="00B705B4" w:rsidRDefault="00A8210F" w14:paraId="74604A73" w14:textId="77777777">
      <w:pPr>
        <w:spacing w:after="0" w:line="240" w:lineRule="auto"/>
        <w:ind w:firstLine="709"/>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rsidRPr="00740AA8" w:rsidR="00A8210F" w:rsidP="00B705B4" w:rsidRDefault="00A8210F" w14:paraId="2D151C2F" w14:textId="77777777">
      <w:pPr>
        <w:spacing w:after="0" w:line="240" w:lineRule="auto"/>
        <w:ind w:firstLine="708"/>
        <w:contextualSpacing/>
        <w:jc w:val="both"/>
        <w:rPr>
          <w:rFonts w:ascii="Arial" w:hAnsi="Arial" w:cs="Arial"/>
          <w:sz w:val="19"/>
          <w:szCs w:val="19"/>
        </w:rPr>
      </w:pPr>
      <w:r w:rsidRPr="00740AA8">
        <w:rPr>
          <w:rFonts w:ascii="Arial" w:hAnsi="Arial" w:cs="Arial"/>
          <w:sz w:val="19"/>
          <w:szCs w:val="19"/>
        </w:rPr>
        <w:t>[…].</w:t>
      </w:r>
    </w:p>
    <w:p w:rsidRPr="00740AA8" w:rsidR="00A8210F" w:rsidP="00B705B4" w:rsidRDefault="00A8210F" w14:paraId="1DE6FB09" w14:textId="77777777">
      <w:pPr>
        <w:spacing w:after="0" w:line="240" w:lineRule="auto"/>
        <w:ind w:firstLine="709"/>
        <w:contextualSpacing/>
        <w:jc w:val="both"/>
        <w:rPr>
          <w:rFonts w:ascii="Arial" w:hAnsi="Arial" w:cs="Arial"/>
          <w:sz w:val="19"/>
          <w:szCs w:val="19"/>
        </w:rPr>
      </w:pPr>
      <w:r w:rsidRPr="00740AA8">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rsidRPr="00740AA8" w:rsidR="00A8210F" w:rsidP="00B705B4" w:rsidRDefault="00A8210F" w14:paraId="41395871" w14:textId="77777777">
      <w:pPr>
        <w:pStyle w:val="Textonotapie"/>
        <w:contextualSpacing/>
        <w:jc w:val="both"/>
        <w:rPr>
          <w:rFonts w:ascii="Arial" w:hAnsi="Arial" w:cs="Arial"/>
          <w:sz w:val="19"/>
          <w:szCs w:val="19"/>
        </w:rPr>
      </w:pPr>
    </w:p>
  </w:footnote>
  <w:footnote w:id="9">
    <w:p w:rsidRPr="00740AA8" w:rsidR="0040088E" w:rsidP="00B705B4" w:rsidRDefault="0040088E" w14:paraId="64E67A6C" w14:textId="77777777">
      <w:pPr>
        <w:pStyle w:val="Textonotapie"/>
        <w:ind w:firstLine="709"/>
        <w:contextualSpacing/>
        <w:jc w:val="both"/>
        <w:rPr>
          <w:rFonts w:ascii="Arial" w:hAnsi="Arial" w:cs="Arial"/>
          <w:color w:val="000000" w:themeColor="text1"/>
          <w:sz w:val="19"/>
          <w:szCs w:val="19"/>
        </w:rPr>
      </w:pPr>
      <w:r w:rsidRPr="00740AA8">
        <w:rPr>
          <w:rStyle w:val="Refdenotaalpie"/>
          <w:rFonts w:ascii="Arial" w:hAnsi="Arial" w:cs="Arial"/>
          <w:color w:val="000000" w:themeColor="text1"/>
          <w:sz w:val="19"/>
          <w:szCs w:val="19"/>
        </w:rPr>
        <w:footnoteRef/>
      </w:r>
      <w:r w:rsidRPr="00740AA8">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10">
    <w:p w:rsidRPr="00740AA8" w:rsidR="0040088E" w:rsidP="00B705B4" w:rsidRDefault="0040088E" w14:paraId="78F3809C" w14:textId="77777777">
      <w:pPr>
        <w:pStyle w:val="Textonotapie"/>
        <w:ind w:firstLine="709"/>
        <w:contextualSpacing/>
        <w:jc w:val="both"/>
        <w:rPr>
          <w:rFonts w:ascii="Arial" w:hAnsi="Arial" w:cs="Arial"/>
          <w:color w:val="000000" w:themeColor="text1"/>
          <w:sz w:val="19"/>
          <w:szCs w:val="19"/>
        </w:rPr>
      </w:pPr>
    </w:p>
    <w:p w:rsidRPr="00740AA8" w:rsidR="0040088E" w:rsidP="00B705B4" w:rsidRDefault="0040088E" w14:paraId="3099D8C8" w14:textId="77777777">
      <w:pPr>
        <w:pStyle w:val="Textonotapie"/>
        <w:ind w:firstLine="709"/>
        <w:contextualSpacing/>
        <w:jc w:val="both"/>
        <w:rPr>
          <w:rFonts w:ascii="Arial" w:hAnsi="Arial" w:cs="Arial"/>
          <w:color w:val="000000" w:themeColor="text1"/>
          <w:sz w:val="19"/>
          <w:szCs w:val="19"/>
        </w:rPr>
      </w:pPr>
      <w:r w:rsidRPr="00740AA8">
        <w:rPr>
          <w:rStyle w:val="Refdenotaalpie"/>
          <w:rFonts w:ascii="Arial" w:hAnsi="Arial" w:cs="Arial"/>
          <w:color w:val="000000" w:themeColor="text1"/>
          <w:sz w:val="19"/>
          <w:szCs w:val="19"/>
        </w:rPr>
        <w:footnoteRef/>
      </w:r>
      <w:r w:rsidRPr="00740AA8">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rsidRPr="00740AA8" w:rsidR="0040088E" w:rsidP="00B705B4" w:rsidRDefault="0040088E" w14:paraId="191E5117" w14:textId="77777777">
      <w:pPr>
        <w:pStyle w:val="Textonotapie"/>
        <w:ind w:firstLine="709"/>
        <w:contextualSpacing/>
        <w:jc w:val="both"/>
        <w:rPr>
          <w:rFonts w:ascii="Arial" w:hAnsi="Arial" w:cs="Arial"/>
          <w:color w:val="000000" w:themeColor="text1"/>
          <w:sz w:val="19"/>
          <w:szCs w:val="19"/>
        </w:rPr>
      </w:pPr>
    </w:p>
  </w:footnote>
  <w:footnote w:id="11">
    <w:p w:rsidRPr="00740AA8" w:rsidR="0040088E" w:rsidP="00B705B4" w:rsidRDefault="0040088E" w14:paraId="3B19B06E" w14:textId="77777777">
      <w:pPr>
        <w:pStyle w:val="Textonotapie"/>
        <w:ind w:firstLine="709"/>
        <w:contextualSpacing/>
        <w:jc w:val="both"/>
        <w:rPr>
          <w:rFonts w:ascii="Arial" w:hAnsi="Arial" w:cs="Arial"/>
          <w:color w:val="000000" w:themeColor="text1"/>
          <w:sz w:val="19"/>
          <w:szCs w:val="19"/>
        </w:rPr>
      </w:pPr>
      <w:r w:rsidRPr="00740AA8">
        <w:rPr>
          <w:rStyle w:val="Refdenotaalpie"/>
          <w:rFonts w:ascii="Arial" w:hAnsi="Arial" w:cs="Arial"/>
          <w:color w:val="000000" w:themeColor="text1"/>
          <w:sz w:val="19"/>
          <w:szCs w:val="19"/>
        </w:rPr>
        <w:footnoteRef/>
      </w:r>
      <w:r w:rsidRPr="00740AA8">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rsidRPr="00740AA8" w:rsidR="0040088E" w:rsidP="00B705B4" w:rsidRDefault="0040088E" w14:paraId="639233F7" w14:textId="77777777">
      <w:pPr>
        <w:pStyle w:val="Textonotapie"/>
        <w:ind w:firstLine="709"/>
        <w:contextualSpacing/>
        <w:jc w:val="both"/>
        <w:rPr>
          <w:rFonts w:ascii="Arial" w:hAnsi="Arial" w:cs="Arial"/>
          <w:color w:val="000000" w:themeColor="text1"/>
          <w:sz w:val="19"/>
          <w:szCs w:val="19"/>
        </w:rPr>
      </w:pPr>
      <w:r w:rsidRPr="00740AA8">
        <w:rPr>
          <w:rFonts w:ascii="Arial" w:hAnsi="Arial" w:cs="Arial"/>
          <w:color w:val="000000" w:themeColor="text1"/>
          <w:sz w:val="19"/>
          <w:szCs w:val="19"/>
        </w:rPr>
        <w:t>»Los sujetos obligados que no contratan con cargo a recursos públicos no están obligados a publicar su Plan Anual de Adquisiciones.</w:t>
      </w:r>
    </w:p>
    <w:p w:rsidRPr="00740AA8" w:rsidR="0040088E" w:rsidP="00B705B4" w:rsidRDefault="0040088E" w14:paraId="7AE079EC" w14:textId="77777777">
      <w:pPr>
        <w:pStyle w:val="Textonotapie"/>
        <w:ind w:firstLine="709"/>
        <w:contextualSpacing/>
        <w:jc w:val="both"/>
        <w:rPr>
          <w:rFonts w:ascii="Arial" w:hAnsi="Arial" w:cs="Arial"/>
          <w:color w:val="000000" w:themeColor="text1"/>
          <w:sz w:val="19"/>
          <w:szCs w:val="19"/>
        </w:rPr>
      </w:pPr>
      <w:r w:rsidRPr="00740AA8">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rsidRPr="00740AA8" w:rsidR="0040088E" w:rsidP="00B705B4" w:rsidRDefault="0040088E" w14:paraId="10B241DB" w14:textId="130270E9">
      <w:pPr>
        <w:pStyle w:val="Textonotapie"/>
        <w:ind w:firstLine="709"/>
        <w:contextualSpacing/>
        <w:jc w:val="both"/>
        <w:rPr>
          <w:rFonts w:ascii="Arial" w:hAnsi="Arial" w:cs="Arial"/>
          <w:color w:val="000000" w:themeColor="text1"/>
          <w:sz w:val="19"/>
          <w:szCs w:val="19"/>
        </w:rPr>
      </w:pPr>
      <w:r w:rsidRPr="00740AA8">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rsidRPr="00740AA8" w:rsidR="00B705B4" w:rsidP="00B705B4" w:rsidRDefault="00B705B4" w14:paraId="5FB24B7F" w14:textId="77777777">
      <w:pPr>
        <w:pStyle w:val="Textonotapie"/>
        <w:ind w:firstLine="709"/>
        <w:contextualSpacing/>
        <w:jc w:val="both"/>
        <w:rPr>
          <w:rFonts w:ascii="Arial" w:hAnsi="Arial" w:cs="Arial"/>
          <w:color w:val="000000" w:themeColor="text1"/>
          <w:sz w:val="19"/>
          <w:szCs w:val="19"/>
        </w:rPr>
      </w:pPr>
    </w:p>
  </w:footnote>
  <w:footnote w:id="12">
    <w:p w:rsidRPr="00740AA8" w:rsidR="00265BDF" w:rsidP="00B705B4" w:rsidRDefault="00265BDF" w14:paraId="7ADCDB6D" w14:textId="77777777">
      <w:pPr>
        <w:pStyle w:val="Textonotapie"/>
        <w:ind w:firstLine="708"/>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rsidRPr="00740AA8" w:rsidR="00265BDF" w:rsidP="00B705B4" w:rsidRDefault="00265BDF" w14:paraId="05DADFA2"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»1. Los relacionados con la defensa o seguridad nacionales.  </w:t>
      </w:r>
    </w:p>
    <w:p w:rsidRPr="00740AA8" w:rsidR="00265BDF" w:rsidP="00B705B4" w:rsidRDefault="00265BDF" w14:paraId="38C20738"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»2. Las instrucciones en materia diplomática o sobre negociaciones reservadas.  </w:t>
      </w:r>
    </w:p>
    <w:p w:rsidRPr="00740AA8" w:rsidR="00265BDF" w:rsidP="00B705B4" w:rsidRDefault="00265BDF" w14:paraId="069BC01F"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rsidRPr="00740AA8" w:rsidR="00265BDF" w:rsidP="00B705B4" w:rsidRDefault="00265BDF" w14:paraId="20261166"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rsidRPr="00740AA8" w:rsidR="00265BDF" w:rsidP="00B705B4" w:rsidRDefault="00265BDF" w14:paraId="6F762901"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»5. Los datos referentes a la información financiera y comercial, en los términos de la Ley Estatutaria 1266 de 2008.  </w:t>
      </w:r>
    </w:p>
    <w:p w:rsidRPr="00740AA8" w:rsidR="00265BDF" w:rsidP="00B705B4" w:rsidRDefault="00265BDF" w14:paraId="230FF8FC"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»6. Los protegidos por el secreto comercial o industrial, así como los planes estratégicos de las empresas públicas de servicios públicos.  </w:t>
      </w:r>
    </w:p>
    <w:p w:rsidRPr="00740AA8" w:rsidR="00265BDF" w:rsidP="00B705B4" w:rsidRDefault="00265BDF" w14:paraId="36CFAB7F"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»7. Los amparados por el secreto profesional.  </w:t>
      </w:r>
    </w:p>
    <w:p w:rsidRPr="00740AA8" w:rsidR="00265BDF" w:rsidP="00B705B4" w:rsidRDefault="00265BDF" w14:paraId="57F2F9B5"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»8. Los datos genéticos humanos.  </w:t>
      </w:r>
    </w:p>
    <w:p w:rsidRPr="00740AA8" w:rsidR="00265BDF" w:rsidP="00B705B4" w:rsidRDefault="00265BDF" w14:paraId="1F62750A" w14:textId="77777777">
      <w:pPr>
        <w:pStyle w:val="Textonotapie"/>
        <w:ind w:firstLine="708"/>
        <w:contextualSpacing/>
        <w:jc w:val="both"/>
        <w:rPr>
          <w:rFonts w:ascii="Arial" w:hAnsi="Arial" w:cs="Arial"/>
          <w:sz w:val="19"/>
          <w:szCs w:val="19"/>
        </w:rPr>
      </w:pPr>
      <w:r w:rsidRPr="00740AA8">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rsidRPr="00740AA8" w:rsidR="00265BDF" w:rsidP="00B705B4" w:rsidRDefault="00265BDF" w14:paraId="1F30C3C5" w14:textId="77777777">
      <w:pPr>
        <w:pStyle w:val="Textonotapie"/>
        <w:ind w:firstLine="708"/>
        <w:contextualSpacing/>
        <w:jc w:val="both"/>
        <w:rPr>
          <w:rFonts w:ascii="Arial" w:hAnsi="Arial" w:cs="Arial"/>
          <w:sz w:val="19"/>
          <w:szCs w:val="19"/>
        </w:rPr>
      </w:pPr>
    </w:p>
  </w:footnote>
  <w:footnote w:id="13">
    <w:p w:rsidRPr="00740AA8" w:rsidR="00265BDF" w:rsidP="00B705B4" w:rsidRDefault="00265BDF" w14:paraId="3C6B1602" w14:textId="65CF031B">
      <w:pPr>
        <w:pStyle w:val="Textonotapie"/>
        <w:ind w:firstLine="708"/>
        <w:contextualSpacing/>
        <w:jc w:val="both"/>
        <w:rPr>
          <w:rFonts w:ascii="Arial" w:hAnsi="Arial" w:cs="Arial"/>
          <w:sz w:val="19"/>
          <w:szCs w:val="19"/>
        </w:rPr>
      </w:pPr>
      <w:r w:rsidRPr="00740AA8">
        <w:rPr>
          <w:rStyle w:val="Refdenotaalpie"/>
          <w:rFonts w:ascii="Arial" w:hAnsi="Arial" w:cs="Arial"/>
          <w:sz w:val="19"/>
          <w:szCs w:val="19"/>
        </w:rPr>
        <w:footnoteRef/>
      </w:r>
      <w:r w:rsidRPr="00740AA8">
        <w:rPr>
          <w:rFonts w:ascii="Arial" w:hAnsi="Arial" w:cs="Arial"/>
          <w:sz w:val="19"/>
          <w:szCs w:val="19"/>
        </w:rPr>
        <w:t xml:space="preserve"> </w:t>
      </w:r>
      <w:r w:rsidRPr="00740AA8">
        <w:rPr>
          <w:rFonts w:ascii="Arial" w:hAnsi="Arial" w:eastAsia="Calibri"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14">
    <w:p w:rsidRPr="00740AA8" w:rsidR="00AB10FD" w:rsidP="00B705B4" w:rsidRDefault="00AB10FD" w14:paraId="76002BCC" w14:textId="77777777">
      <w:pPr>
        <w:pStyle w:val="Textonotapie"/>
        <w:ind w:firstLine="708"/>
        <w:contextualSpacing/>
        <w:rPr>
          <w:rFonts w:ascii="Arial" w:hAnsi="Arial" w:cs="Arial"/>
          <w:sz w:val="19"/>
          <w:szCs w:val="19"/>
        </w:rPr>
      </w:pPr>
    </w:p>
    <w:p w:rsidRPr="00740AA8" w:rsidR="00AB10FD" w:rsidP="00B705B4" w:rsidRDefault="00AB10FD" w14:paraId="7F9D1582" w14:textId="77777777">
      <w:pPr>
        <w:pStyle w:val="Textonotapie"/>
        <w:ind w:firstLine="708"/>
        <w:contextualSpacing/>
        <w:jc w:val="both"/>
        <w:rPr>
          <w:rFonts w:ascii="Arial" w:hAnsi="Arial" w:cs="Arial"/>
          <w:sz w:val="19"/>
          <w:szCs w:val="19"/>
          <w:lang w:val="es-CO"/>
        </w:rPr>
      </w:pPr>
      <w:r w:rsidRPr="00740AA8">
        <w:rPr>
          <w:rStyle w:val="Refdenotaalpie"/>
          <w:rFonts w:ascii="Arial" w:hAnsi="Arial" w:cs="Arial"/>
          <w:sz w:val="19"/>
          <w:szCs w:val="19"/>
        </w:rPr>
        <w:footnoteRef/>
      </w:r>
      <w:r w:rsidRPr="00740AA8">
        <w:rPr>
          <w:rFonts w:ascii="Arial" w:hAnsi="Arial" w:cs="Arial"/>
          <w:sz w:val="19"/>
          <w:szCs w:val="19"/>
        </w:rPr>
        <w:t xml:space="preserve"> Ley 1150 de 2007. «Artículo 1. Objeto. La presente ley tiene por objeto introducir modificaciones en la Ley 80 de 1993, así como dictar otras disposiciones generales aplicables a toda contratación con recursos públicos».</w:t>
      </w:r>
    </w:p>
  </w:footnote>
  <w:footnote w:id="15">
    <w:p w:rsidRPr="00740AA8" w:rsidR="003F5D68" w:rsidP="00B705B4" w:rsidRDefault="003F5D68" w14:paraId="4FFCB393" w14:textId="259323F8">
      <w:pPr>
        <w:autoSpaceDE w:val="0"/>
        <w:autoSpaceDN w:val="0"/>
        <w:adjustRightInd w:val="0"/>
        <w:spacing w:after="0" w:line="240" w:lineRule="auto"/>
        <w:ind w:firstLine="708"/>
        <w:contextualSpacing/>
        <w:jc w:val="both"/>
        <w:rPr>
          <w:rFonts w:ascii="Arial" w:hAnsi="Arial" w:eastAsia="Calibri" w:cs="Arial"/>
          <w:sz w:val="19"/>
          <w:szCs w:val="19"/>
          <w:lang w:val="es-ES" w:eastAsia="es-ES_tradnl"/>
        </w:rPr>
      </w:pPr>
      <w:r w:rsidRPr="00740AA8">
        <w:rPr>
          <w:rStyle w:val="Refdenotaalpie"/>
          <w:rFonts w:ascii="Arial" w:hAnsi="Arial" w:cs="Arial"/>
          <w:sz w:val="19"/>
          <w:szCs w:val="19"/>
        </w:rPr>
        <w:footnoteRef/>
      </w:r>
      <w:r w:rsidRPr="00740AA8">
        <w:rPr>
          <w:rFonts w:ascii="Arial" w:hAnsi="Arial" w:cs="Arial"/>
          <w:sz w:val="19"/>
          <w:szCs w:val="19"/>
        </w:rPr>
        <w:t xml:space="preserve"> E</w:t>
      </w:r>
      <w:r w:rsidRPr="00740AA8">
        <w:rPr>
          <w:rFonts w:ascii="Arial" w:hAnsi="Arial" w:eastAsia="Calibri" w:cs="Arial"/>
          <w:sz w:val="19"/>
          <w:szCs w:val="19"/>
          <w:lang w:val="es-ES_tradnl" w:eastAsia="es-ES_tradnl"/>
        </w:rPr>
        <w:t xml:space="preserve">l pasado </w:t>
      </w:r>
      <w:r w:rsidRPr="00740AA8">
        <w:rPr>
          <w:rFonts w:ascii="Arial" w:hAnsi="Arial" w:eastAsia="Calibri" w:cs="Arial"/>
          <w:sz w:val="19"/>
          <w:szCs w:val="19"/>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w:t>
      </w:r>
      <w:r w:rsidR="000E65AC">
        <w:rPr>
          <w:rFonts w:ascii="Arial" w:hAnsi="Arial" w:eastAsia="Calibri" w:cs="Arial"/>
          <w:sz w:val="19"/>
          <w:szCs w:val="19"/>
          <w:lang w:val="es-ES" w:eastAsia="es-ES_tradnl"/>
        </w:rPr>
        <w:t>Circular</w:t>
      </w:r>
      <w:r w:rsidRPr="00740AA8" w:rsidR="000E65AC">
        <w:rPr>
          <w:rFonts w:ascii="Arial" w:hAnsi="Arial" w:eastAsia="Calibri" w:cs="Arial"/>
          <w:sz w:val="19"/>
          <w:szCs w:val="19"/>
          <w:lang w:val="es-ES" w:eastAsia="es-ES_tradnl"/>
        </w:rPr>
        <w:t xml:space="preserve"> </w:t>
      </w:r>
      <w:r w:rsidRPr="00740AA8">
        <w:rPr>
          <w:rFonts w:ascii="Arial" w:hAnsi="Arial" w:eastAsia="Calibri" w:cs="Arial"/>
          <w:sz w:val="19"/>
          <w:szCs w:val="19"/>
          <w:lang w:val="es-ES" w:eastAsia="es-ES_tradnl"/>
        </w:rPr>
        <w:t xml:space="preserve">contiene una serie de instrucciones con miras a garantizar el cumplimiento del deber legal por parte de las entidades estatales exceptuadas del Estatuto General de Contratación Pública. </w:t>
      </w:r>
    </w:p>
    <w:p w:rsidRPr="00740AA8" w:rsidR="00B705B4" w:rsidP="00B705B4" w:rsidRDefault="00B705B4" w14:paraId="78E6C5D9" w14:textId="77777777">
      <w:pPr>
        <w:autoSpaceDE w:val="0"/>
        <w:autoSpaceDN w:val="0"/>
        <w:adjustRightInd w:val="0"/>
        <w:spacing w:after="0" w:line="240" w:lineRule="auto"/>
        <w:ind w:firstLine="708"/>
        <w:contextualSpacing/>
        <w:jc w:val="both"/>
        <w:rPr>
          <w:rFonts w:ascii="Arial" w:hAnsi="Arial" w:eastAsia="Times New Roman" w:cs="Arial"/>
          <w:sz w:val="19"/>
          <w:szCs w:val="19"/>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A59DE" w:rsidRDefault="00222797" w14:paraId="4D10A2EF" w14:textId="77777777">
    <w:pPr>
      <w:pStyle w:val="Encabezado"/>
    </w:pPr>
    <w:r>
      <w:rPr>
        <w:noProof/>
        <w:lang w:val="es-ES_tradnl" w:eastAsia="es-ES_tradnl"/>
      </w:rPr>
      <w:drawing>
        <wp:anchor distT="0" distB="0" distL="114300" distR="114300" simplePos="0" relativeHeight="251659264" behindDoc="1" locked="0" layoutInCell="1" allowOverlap="1" wp14:anchorId="256138CA" wp14:editId="1DCC694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hint="default" w:ascii="Symbol" w:hAnsi="Symbol"/>
        <w:color w:val="000000" w:themeColor="text1"/>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40F82114"/>
    <w:multiLevelType w:val="hybridMultilevel"/>
    <w:tmpl w:val="B6C06020"/>
    <w:lvl w:ilvl="0" w:tplc="2F4CFC7C">
      <w:start w:val="1"/>
      <w:numFmt w:val="decimal"/>
      <w:lvlText w:val="%1."/>
      <w:lvlJc w:val="left"/>
      <w:pPr>
        <w:ind w:left="720" w:hanging="360"/>
      </w:pPr>
      <w:rPr>
        <w:rFonts w:ascii="Arial" w:hAnsi="Arial" w:cs="Arial"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3033724">
    <w:abstractNumId w:val="0"/>
  </w:num>
  <w:num w:numId="2" w16cid:durableId="44377394">
    <w:abstractNumId w:val="2"/>
  </w:num>
  <w:num w:numId="3" w16cid:durableId="41289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0F"/>
    <w:rsid w:val="000016D5"/>
    <w:rsid w:val="00003F77"/>
    <w:rsid w:val="00007B56"/>
    <w:rsid w:val="00013CEC"/>
    <w:rsid w:val="00020134"/>
    <w:rsid w:val="00020A9B"/>
    <w:rsid w:val="000339C3"/>
    <w:rsid w:val="00035A25"/>
    <w:rsid w:val="00040B28"/>
    <w:rsid w:val="00042801"/>
    <w:rsid w:val="00052663"/>
    <w:rsid w:val="00061E49"/>
    <w:rsid w:val="00063CA6"/>
    <w:rsid w:val="0006609A"/>
    <w:rsid w:val="00070E20"/>
    <w:rsid w:val="00076931"/>
    <w:rsid w:val="0009343C"/>
    <w:rsid w:val="00094692"/>
    <w:rsid w:val="00095EF4"/>
    <w:rsid w:val="000B39E6"/>
    <w:rsid w:val="000B64FB"/>
    <w:rsid w:val="000C3C20"/>
    <w:rsid w:val="000D24DF"/>
    <w:rsid w:val="000D7AD1"/>
    <w:rsid w:val="000E2004"/>
    <w:rsid w:val="000E4071"/>
    <w:rsid w:val="000E65AC"/>
    <w:rsid w:val="000F013A"/>
    <w:rsid w:val="000F5CF7"/>
    <w:rsid w:val="00107F3F"/>
    <w:rsid w:val="001121EA"/>
    <w:rsid w:val="00113087"/>
    <w:rsid w:val="00116C24"/>
    <w:rsid w:val="00125E09"/>
    <w:rsid w:val="00131525"/>
    <w:rsid w:val="00133851"/>
    <w:rsid w:val="00135835"/>
    <w:rsid w:val="001371BC"/>
    <w:rsid w:val="0014188E"/>
    <w:rsid w:val="001467F7"/>
    <w:rsid w:val="00150B1E"/>
    <w:rsid w:val="001537CE"/>
    <w:rsid w:val="00154CDF"/>
    <w:rsid w:val="00161FA3"/>
    <w:rsid w:val="001729B1"/>
    <w:rsid w:val="00172A5F"/>
    <w:rsid w:val="001953C6"/>
    <w:rsid w:val="001A275C"/>
    <w:rsid w:val="001B1F1B"/>
    <w:rsid w:val="001B230A"/>
    <w:rsid w:val="001B24F7"/>
    <w:rsid w:val="001B5B85"/>
    <w:rsid w:val="001B6B0C"/>
    <w:rsid w:val="001C1D2E"/>
    <w:rsid w:val="001C70DB"/>
    <w:rsid w:val="001D7719"/>
    <w:rsid w:val="001E3E2F"/>
    <w:rsid w:val="001E509B"/>
    <w:rsid w:val="001F3A66"/>
    <w:rsid w:val="001F5CD6"/>
    <w:rsid w:val="001F639F"/>
    <w:rsid w:val="001F6BF4"/>
    <w:rsid w:val="00205418"/>
    <w:rsid w:val="00206395"/>
    <w:rsid w:val="00214B46"/>
    <w:rsid w:val="00217175"/>
    <w:rsid w:val="00217F5F"/>
    <w:rsid w:val="00222797"/>
    <w:rsid w:val="00224385"/>
    <w:rsid w:val="00226955"/>
    <w:rsid w:val="00230142"/>
    <w:rsid w:val="0023213F"/>
    <w:rsid w:val="00234DE4"/>
    <w:rsid w:val="002359EA"/>
    <w:rsid w:val="00242753"/>
    <w:rsid w:val="002458B4"/>
    <w:rsid w:val="0025192C"/>
    <w:rsid w:val="00253C0B"/>
    <w:rsid w:val="00256339"/>
    <w:rsid w:val="002608F3"/>
    <w:rsid w:val="002644BD"/>
    <w:rsid w:val="00265BDF"/>
    <w:rsid w:val="00267034"/>
    <w:rsid w:val="0027546A"/>
    <w:rsid w:val="00283730"/>
    <w:rsid w:val="00293762"/>
    <w:rsid w:val="002A0EC4"/>
    <w:rsid w:val="002B1756"/>
    <w:rsid w:val="002B456A"/>
    <w:rsid w:val="002C2EC9"/>
    <w:rsid w:val="002C4E25"/>
    <w:rsid w:val="002C5D19"/>
    <w:rsid w:val="002D0395"/>
    <w:rsid w:val="002D1801"/>
    <w:rsid w:val="002E752A"/>
    <w:rsid w:val="002F37D0"/>
    <w:rsid w:val="002F4F3B"/>
    <w:rsid w:val="002F7EE0"/>
    <w:rsid w:val="00303B5D"/>
    <w:rsid w:val="00311A69"/>
    <w:rsid w:val="003173BF"/>
    <w:rsid w:val="0032739C"/>
    <w:rsid w:val="00336CC6"/>
    <w:rsid w:val="00350B0A"/>
    <w:rsid w:val="00351257"/>
    <w:rsid w:val="00353EBC"/>
    <w:rsid w:val="003548CB"/>
    <w:rsid w:val="00354CAD"/>
    <w:rsid w:val="0036018F"/>
    <w:rsid w:val="00361A89"/>
    <w:rsid w:val="00374F5C"/>
    <w:rsid w:val="00382EC6"/>
    <w:rsid w:val="003A1B19"/>
    <w:rsid w:val="003A248B"/>
    <w:rsid w:val="003A2649"/>
    <w:rsid w:val="003B2C79"/>
    <w:rsid w:val="003B5DB7"/>
    <w:rsid w:val="003D71BD"/>
    <w:rsid w:val="003E70C0"/>
    <w:rsid w:val="003F5D68"/>
    <w:rsid w:val="0040088E"/>
    <w:rsid w:val="004015FC"/>
    <w:rsid w:val="00404AEE"/>
    <w:rsid w:val="004063B0"/>
    <w:rsid w:val="00415FA2"/>
    <w:rsid w:val="0042361B"/>
    <w:rsid w:val="004250BB"/>
    <w:rsid w:val="0043203C"/>
    <w:rsid w:val="004373B5"/>
    <w:rsid w:val="0043762E"/>
    <w:rsid w:val="004475D0"/>
    <w:rsid w:val="00447D57"/>
    <w:rsid w:val="00450079"/>
    <w:rsid w:val="00450294"/>
    <w:rsid w:val="00450417"/>
    <w:rsid w:val="004512D1"/>
    <w:rsid w:val="00451B2B"/>
    <w:rsid w:val="00453345"/>
    <w:rsid w:val="004605C2"/>
    <w:rsid w:val="00462D68"/>
    <w:rsid w:val="004637A2"/>
    <w:rsid w:val="00466587"/>
    <w:rsid w:val="0048518A"/>
    <w:rsid w:val="00485718"/>
    <w:rsid w:val="004912E0"/>
    <w:rsid w:val="00492A39"/>
    <w:rsid w:val="00494E73"/>
    <w:rsid w:val="004952A4"/>
    <w:rsid w:val="00497602"/>
    <w:rsid w:val="004A2FCA"/>
    <w:rsid w:val="004A35D4"/>
    <w:rsid w:val="004A76C9"/>
    <w:rsid w:val="004B366B"/>
    <w:rsid w:val="004B40D7"/>
    <w:rsid w:val="004C0E1A"/>
    <w:rsid w:val="004C2A22"/>
    <w:rsid w:val="004C4EAD"/>
    <w:rsid w:val="004C71A8"/>
    <w:rsid w:val="004C7F8D"/>
    <w:rsid w:val="004D19F4"/>
    <w:rsid w:val="004D31A0"/>
    <w:rsid w:val="004E1C23"/>
    <w:rsid w:val="004F1486"/>
    <w:rsid w:val="004F46D0"/>
    <w:rsid w:val="004F75B7"/>
    <w:rsid w:val="00504415"/>
    <w:rsid w:val="00511418"/>
    <w:rsid w:val="005119BC"/>
    <w:rsid w:val="00516FCE"/>
    <w:rsid w:val="005303EC"/>
    <w:rsid w:val="005348E3"/>
    <w:rsid w:val="00535D21"/>
    <w:rsid w:val="00540811"/>
    <w:rsid w:val="0054709A"/>
    <w:rsid w:val="0055107A"/>
    <w:rsid w:val="00555241"/>
    <w:rsid w:val="00571436"/>
    <w:rsid w:val="00574591"/>
    <w:rsid w:val="00582E7E"/>
    <w:rsid w:val="005834A0"/>
    <w:rsid w:val="00591BED"/>
    <w:rsid w:val="005A3B68"/>
    <w:rsid w:val="005B1F46"/>
    <w:rsid w:val="005B5171"/>
    <w:rsid w:val="005C38FD"/>
    <w:rsid w:val="005C6E2C"/>
    <w:rsid w:val="005D1347"/>
    <w:rsid w:val="005D4C12"/>
    <w:rsid w:val="005E0D91"/>
    <w:rsid w:val="005E327C"/>
    <w:rsid w:val="005F361A"/>
    <w:rsid w:val="005F4FCE"/>
    <w:rsid w:val="005F576E"/>
    <w:rsid w:val="00617292"/>
    <w:rsid w:val="0062111F"/>
    <w:rsid w:val="0062579D"/>
    <w:rsid w:val="00632FF8"/>
    <w:rsid w:val="00647FB1"/>
    <w:rsid w:val="00656FC1"/>
    <w:rsid w:val="006601AC"/>
    <w:rsid w:val="00660D4A"/>
    <w:rsid w:val="006638FE"/>
    <w:rsid w:val="006656F8"/>
    <w:rsid w:val="00665A7F"/>
    <w:rsid w:val="00665F07"/>
    <w:rsid w:val="00672768"/>
    <w:rsid w:val="00674155"/>
    <w:rsid w:val="00697BA1"/>
    <w:rsid w:val="006A026F"/>
    <w:rsid w:val="006A13E0"/>
    <w:rsid w:val="006C1F07"/>
    <w:rsid w:val="006C352E"/>
    <w:rsid w:val="006C51E2"/>
    <w:rsid w:val="006D4AF6"/>
    <w:rsid w:val="006E6052"/>
    <w:rsid w:val="006E73F3"/>
    <w:rsid w:val="006F3B84"/>
    <w:rsid w:val="006F5240"/>
    <w:rsid w:val="006F74AD"/>
    <w:rsid w:val="0070063E"/>
    <w:rsid w:val="00703B45"/>
    <w:rsid w:val="00714CC4"/>
    <w:rsid w:val="00725090"/>
    <w:rsid w:val="007345C5"/>
    <w:rsid w:val="00740670"/>
    <w:rsid w:val="00740AA8"/>
    <w:rsid w:val="00745AAC"/>
    <w:rsid w:val="00757FCB"/>
    <w:rsid w:val="0077063C"/>
    <w:rsid w:val="0077462C"/>
    <w:rsid w:val="00775573"/>
    <w:rsid w:val="00775ACB"/>
    <w:rsid w:val="00790909"/>
    <w:rsid w:val="007967A3"/>
    <w:rsid w:val="007A5412"/>
    <w:rsid w:val="007B0D44"/>
    <w:rsid w:val="007B783C"/>
    <w:rsid w:val="007C70A9"/>
    <w:rsid w:val="007D1B2F"/>
    <w:rsid w:val="007D20D2"/>
    <w:rsid w:val="007D6552"/>
    <w:rsid w:val="007D73C3"/>
    <w:rsid w:val="007F22D3"/>
    <w:rsid w:val="00806AEB"/>
    <w:rsid w:val="00812BAA"/>
    <w:rsid w:val="00816F2A"/>
    <w:rsid w:val="00821386"/>
    <w:rsid w:val="00824F64"/>
    <w:rsid w:val="00834998"/>
    <w:rsid w:val="008359F9"/>
    <w:rsid w:val="00835FC1"/>
    <w:rsid w:val="0083757D"/>
    <w:rsid w:val="008379A8"/>
    <w:rsid w:val="00844E67"/>
    <w:rsid w:val="00847E0A"/>
    <w:rsid w:val="00853351"/>
    <w:rsid w:val="008534F8"/>
    <w:rsid w:val="00861A41"/>
    <w:rsid w:val="00865A3D"/>
    <w:rsid w:val="00870D5C"/>
    <w:rsid w:val="008710D7"/>
    <w:rsid w:val="00873640"/>
    <w:rsid w:val="00874E2D"/>
    <w:rsid w:val="00880510"/>
    <w:rsid w:val="008805C2"/>
    <w:rsid w:val="008A1E02"/>
    <w:rsid w:val="008A2513"/>
    <w:rsid w:val="008B091A"/>
    <w:rsid w:val="008B3066"/>
    <w:rsid w:val="008B3BFA"/>
    <w:rsid w:val="008C4F32"/>
    <w:rsid w:val="008D1198"/>
    <w:rsid w:val="008D2F1B"/>
    <w:rsid w:val="008E4949"/>
    <w:rsid w:val="008F6D95"/>
    <w:rsid w:val="009016AF"/>
    <w:rsid w:val="00906D9A"/>
    <w:rsid w:val="009167DB"/>
    <w:rsid w:val="00917A45"/>
    <w:rsid w:val="00920C91"/>
    <w:rsid w:val="009340D7"/>
    <w:rsid w:val="009372AA"/>
    <w:rsid w:val="0094385D"/>
    <w:rsid w:val="00945F41"/>
    <w:rsid w:val="00946372"/>
    <w:rsid w:val="0095152B"/>
    <w:rsid w:val="00963890"/>
    <w:rsid w:val="009679EB"/>
    <w:rsid w:val="009714BF"/>
    <w:rsid w:val="00975364"/>
    <w:rsid w:val="00975DFF"/>
    <w:rsid w:val="00985879"/>
    <w:rsid w:val="00993ABC"/>
    <w:rsid w:val="00993E31"/>
    <w:rsid w:val="009A09CA"/>
    <w:rsid w:val="009A305B"/>
    <w:rsid w:val="009A3369"/>
    <w:rsid w:val="009A42B5"/>
    <w:rsid w:val="009A4D12"/>
    <w:rsid w:val="009A6BC4"/>
    <w:rsid w:val="009B1DC4"/>
    <w:rsid w:val="009B2EF6"/>
    <w:rsid w:val="009B5729"/>
    <w:rsid w:val="009C2159"/>
    <w:rsid w:val="009C3500"/>
    <w:rsid w:val="009C7913"/>
    <w:rsid w:val="009D279B"/>
    <w:rsid w:val="009D456A"/>
    <w:rsid w:val="009D6F7D"/>
    <w:rsid w:val="009E2CBB"/>
    <w:rsid w:val="009E6031"/>
    <w:rsid w:val="00A03EE0"/>
    <w:rsid w:val="00A060C7"/>
    <w:rsid w:val="00A10458"/>
    <w:rsid w:val="00A178DA"/>
    <w:rsid w:val="00A20203"/>
    <w:rsid w:val="00A2531A"/>
    <w:rsid w:val="00A25A41"/>
    <w:rsid w:val="00A3011E"/>
    <w:rsid w:val="00A31B6F"/>
    <w:rsid w:val="00A337B4"/>
    <w:rsid w:val="00A369E5"/>
    <w:rsid w:val="00A416A0"/>
    <w:rsid w:val="00A467FE"/>
    <w:rsid w:val="00A62ABF"/>
    <w:rsid w:val="00A63D61"/>
    <w:rsid w:val="00A67045"/>
    <w:rsid w:val="00A8210F"/>
    <w:rsid w:val="00A82A2B"/>
    <w:rsid w:val="00AA384A"/>
    <w:rsid w:val="00AB0CC5"/>
    <w:rsid w:val="00AB10FD"/>
    <w:rsid w:val="00AB3FF5"/>
    <w:rsid w:val="00AB4058"/>
    <w:rsid w:val="00AB6973"/>
    <w:rsid w:val="00AB760F"/>
    <w:rsid w:val="00AC12E8"/>
    <w:rsid w:val="00AD2EB7"/>
    <w:rsid w:val="00AE4ACF"/>
    <w:rsid w:val="00AF52EA"/>
    <w:rsid w:val="00AF5515"/>
    <w:rsid w:val="00B02EAF"/>
    <w:rsid w:val="00B20F8B"/>
    <w:rsid w:val="00B25EAD"/>
    <w:rsid w:val="00B30891"/>
    <w:rsid w:val="00B3117D"/>
    <w:rsid w:val="00B358EC"/>
    <w:rsid w:val="00B37C0C"/>
    <w:rsid w:val="00B41F27"/>
    <w:rsid w:val="00B4225D"/>
    <w:rsid w:val="00B54DC9"/>
    <w:rsid w:val="00B55586"/>
    <w:rsid w:val="00B56E45"/>
    <w:rsid w:val="00B61EFC"/>
    <w:rsid w:val="00B66100"/>
    <w:rsid w:val="00B705B4"/>
    <w:rsid w:val="00B76E74"/>
    <w:rsid w:val="00B9504B"/>
    <w:rsid w:val="00B95EF7"/>
    <w:rsid w:val="00BA438D"/>
    <w:rsid w:val="00BC34E0"/>
    <w:rsid w:val="00BD29DA"/>
    <w:rsid w:val="00BD45EB"/>
    <w:rsid w:val="00BE0412"/>
    <w:rsid w:val="00BE4324"/>
    <w:rsid w:val="00BF4087"/>
    <w:rsid w:val="00BF505D"/>
    <w:rsid w:val="00C013B9"/>
    <w:rsid w:val="00C0393B"/>
    <w:rsid w:val="00C05793"/>
    <w:rsid w:val="00C1002A"/>
    <w:rsid w:val="00C24652"/>
    <w:rsid w:val="00C26922"/>
    <w:rsid w:val="00C26A44"/>
    <w:rsid w:val="00C27F13"/>
    <w:rsid w:val="00C331F2"/>
    <w:rsid w:val="00C34EC1"/>
    <w:rsid w:val="00C41E2C"/>
    <w:rsid w:val="00C4657A"/>
    <w:rsid w:val="00C520D1"/>
    <w:rsid w:val="00C6759F"/>
    <w:rsid w:val="00C70DD0"/>
    <w:rsid w:val="00C74899"/>
    <w:rsid w:val="00C75D27"/>
    <w:rsid w:val="00C81506"/>
    <w:rsid w:val="00C8156B"/>
    <w:rsid w:val="00C83AC8"/>
    <w:rsid w:val="00C84930"/>
    <w:rsid w:val="00C86349"/>
    <w:rsid w:val="00C86975"/>
    <w:rsid w:val="00C86D1D"/>
    <w:rsid w:val="00C908BA"/>
    <w:rsid w:val="00C912F8"/>
    <w:rsid w:val="00C92E3C"/>
    <w:rsid w:val="00C9350F"/>
    <w:rsid w:val="00CA2EDE"/>
    <w:rsid w:val="00CA5C99"/>
    <w:rsid w:val="00CA6F51"/>
    <w:rsid w:val="00CB1F4A"/>
    <w:rsid w:val="00CB4A5C"/>
    <w:rsid w:val="00CB7D3D"/>
    <w:rsid w:val="00CC1051"/>
    <w:rsid w:val="00CC2441"/>
    <w:rsid w:val="00CC7CB0"/>
    <w:rsid w:val="00CD1FB8"/>
    <w:rsid w:val="00CD3523"/>
    <w:rsid w:val="00CD4400"/>
    <w:rsid w:val="00CD55DE"/>
    <w:rsid w:val="00CF33F6"/>
    <w:rsid w:val="00CF5791"/>
    <w:rsid w:val="00D00B66"/>
    <w:rsid w:val="00D02173"/>
    <w:rsid w:val="00D12EB2"/>
    <w:rsid w:val="00D14A88"/>
    <w:rsid w:val="00D20856"/>
    <w:rsid w:val="00D235E7"/>
    <w:rsid w:val="00D24020"/>
    <w:rsid w:val="00D335BC"/>
    <w:rsid w:val="00D3452F"/>
    <w:rsid w:val="00D40AD4"/>
    <w:rsid w:val="00D503E0"/>
    <w:rsid w:val="00D54AAD"/>
    <w:rsid w:val="00D80075"/>
    <w:rsid w:val="00D80C9F"/>
    <w:rsid w:val="00D843F9"/>
    <w:rsid w:val="00DA722E"/>
    <w:rsid w:val="00DB79CD"/>
    <w:rsid w:val="00DC01AE"/>
    <w:rsid w:val="00DC5369"/>
    <w:rsid w:val="00DD0487"/>
    <w:rsid w:val="00DD3E08"/>
    <w:rsid w:val="00DD5A5C"/>
    <w:rsid w:val="00DD5DA1"/>
    <w:rsid w:val="00DD697E"/>
    <w:rsid w:val="00DE0087"/>
    <w:rsid w:val="00DF359D"/>
    <w:rsid w:val="00DF67B5"/>
    <w:rsid w:val="00E0133B"/>
    <w:rsid w:val="00E0502F"/>
    <w:rsid w:val="00E12AE4"/>
    <w:rsid w:val="00E16375"/>
    <w:rsid w:val="00E20917"/>
    <w:rsid w:val="00E27186"/>
    <w:rsid w:val="00E31AD6"/>
    <w:rsid w:val="00E37242"/>
    <w:rsid w:val="00E677AB"/>
    <w:rsid w:val="00E7015C"/>
    <w:rsid w:val="00E70299"/>
    <w:rsid w:val="00E74C18"/>
    <w:rsid w:val="00E75E61"/>
    <w:rsid w:val="00E8018C"/>
    <w:rsid w:val="00E85504"/>
    <w:rsid w:val="00E86F48"/>
    <w:rsid w:val="00E92BF8"/>
    <w:rsid w:val="00E9585A"/>
    <w:rsid w:val="00EA32AE"/>
    <w:rsid w:val="00EB1550"/>
    <w:rsid w:val="00EB219E"/>
    <w:rsid w:val="00ED50B9"/>
    <w:rsid w:val="00ED7575"/>
    <w:rsid w:val="00EE3981"/>
    <w:rsid w:val="00EE7AD2"/>
    <w:rsid w:val="00EF156F"/>
    <w:rsid w:val="00EF2466"/>
    <w:rsid w:val="00EF379A"/>
    <w:rsid w:val="00EF6D3C"/>
    <w:rsid w:val="00F02C60"/>
    <w:rsid w:val="00F059B9"/>
    <w:rsid w:val="00F13EBB"/>
    <w:rsid w:val="00F15B5A"/>
    <w:rsid w:val="00F17530"/>
    <w:rsid w:val="00F3247C"/>
    <w:rsid w:val="00F35FF4"/>
    <w:rsid w:val="00F374E4"/>
    <w:rsid w:val="00F3765D"/>
    <w:rsid w:val="00F45FB9"/>
    <w:rsid w:val="00F51F64"/>
    <w:rsid w:val="00F53929"/>
    <w:rsid w:val="00F6098E"/>
    <w:rsid w:val="00F8034E"/>
    <w:rsid w:val="00F84E15"/>
    <w:rsid w:val="00F93AB3"/>
    <w:rsid w:val="00F9413C"/>
    <w:rsid w:val="00F969F1"/>
    <w:rsid w:val="00FA1D6A"/>
    <w:rsid w:val="00FB291B"/>
    <w:rsid w:val="00FB46F6"/>
    <w:rsid w:val="00FB4E73"/>
    <w:rsid w:val="00FC0543"/>
    <w:rsid w:val="00FC20A1"/>
    <w:rsid w:val="00FD0416"/>
    <w:rsid w:val="00FD11F5"/>
    <w:rsid w:val="00FE1362"/>
    <w:rsid w:val="00FE45F8"/>
    <w:rsid w:val="00FE4708"/>
    <w:rsid w:val="00FE5157"/>
    <w:rsid w:val="00FF4481"/>
    <w:rsid w:val="00FF4F92"/>
    <w:rsid w:val="00FF5070"/>
    <w:rsid w:val="3B082B1F"/>
    <w:rsid w:val="4A0A0E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4943"/>
  <w15:chartTrackingRefBased/>
  <w15:docId w15:val="{3D2DA469-4142-4914-BFBA-15C84B4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393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A8210F"/>
    <w:rPr>
      <w:rFonts w:ascii="Times New Roman" w:hAnsi="Times New Roman" w:cs="Times New Roman"/>
      <w:sz w:val="24"/>
      <w:szCs w:val="24"/>
    </w:rPr>
  </w:style>
  <w:style w:type="paragraph" w:styleId="Piedepgina">
    <w:name w:val="footer"/>
    <w:basedOn w:val="Normal"/>
    <w:link w:val="PiedepginaCar"/>
    <w:uiPriority w:val="99"/>
    <w:semiHidden/>
    <w:unhideWhenUsed/>
    <w:rsid w:val="00A8210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rsid w:val="00A8210F"/>
  </w:style>
  <w:style w:type="paragraph" w:styleId="Encabezado">
    <w:name w:val="header"/>
    <w:basedOn w:val="Normal"/>
    <w:link w:val="EncabezadoCar"/>
    <w:uiPriority w:val="99"/>
    <w:semiHidden/>
    <w:unhideWhenUsed/>
    <w:rsid w:val="00A8210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rsid w:val="00A8210F"/>
  </w:style>
  <w:style w:type="paragraph" w:styleId="Sinespaciado">
    <w:name w:val="No Spacing"/>
    <w:uiPriority w:val="1"/>
    <w:qFormat/>
    <w:rsid w:val="00A8210F"/>
    <w:pPr>
      <w:spacing w:after="0" w:line="240" w:lineRule="auto"/>
    </w:pPr>
  </w:style>
  <w:style w:type="table" w:styleId="Tablaconcuadrcula1" w:customStyle="1">
    <w:name w:val="Tabla con cuadrícula1"/>
    <w:basedOn w:val="Tablanormal"/>
    <w:next w:val="Tablaconcuadrcula"/>
    <w:uiPriority w:val="59"/>
    <w:rsid w:val="00A821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8210F"/>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A8210F"/>
    <w:rPr>
      <w:vertAlign w:val="superscript"/>
    </w:rPr>
  </w:style>
  <w:style w:type="paragraph" w:styleId="Appelnotedebasde" w:customStyle="1">
    <w:name w:val="Appel note de bas de..."/>
    <w:basedOn w:val="Normal"/>
    <w:link w:val="Refdenotaalpie"/>
    <w:uiPriority w:val="99"/>
    <w:rsid w:val="00A8210F"/>
    <w:pPr>
      <w:spacing w:line="240" w:lineRule="exact"/>
    </w:pPr>
    <w:rPr>
      <w:vertAlign w:val="superscript"/>
    </w:rPr>
  </w:style>
  <w:style w:type="character" w:styleId="Hipervnculo">
    <w:name w:val="Hyperlink"/>
    <w:basedOn w:val="Fuentedeprrafopredeter"/>
    <w:uiPriority w:val="99"/>
    <w:unhideWhenUsed/>
    <w:rsid w:val="00A8210F"/>
    <w:rPr>
      <w:color w:val="0563C1" w:themeColor="hyperlink"/>
      <w:u w:val="single"/>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8210F"/>
    <w:pPr>
      <w:spacing w:after="0" w:line="240" w:lineRule="auto"/>
    </w:pPr>
    <w:rPr>
      <w:sz w:val="20"/>
      <w:szCs w:val="20"/>
      <w:lang w:val="es-MX"/>
    </w:rPr>
  </w:style>
  <w:style w:type="character" w:styleId="TextonotapieCar1" w:customStyle="1">
    <w:name w:val="Texto nota pie Car1"/>
    <w:basedOn w:val="Fuentedeprrafopredeter"/>
    <w:uiPriority w:val="99"/>
    <w:semiHidden/>
    <w:rsid w:val="00A8210F"/>
    <w:rPr>
      <w:sz w:val="20"/>
      <w:szCs w:val="20"/>
    </w:rPr>
  </w:style>
  <w:style w:type="character" w:styleId="baj" w:customStyle="1">
    <w:name w:val="b_aj"/>
    <w:basedOn w:val="Fuentedeprrafopredeter"/>
    <w:rsid w:val="00A8210F"/>
  </w:style>
  <w:style w:type="table" w:styleId="Tablaconcuadrcula">
    <w:name w:val="Table Grid"/>
    <w:basedOn w:val="Tablanormal"/>
    <w:uiPriority w:val="39"/>
    <w:rsid w:val="00A821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C2441"/>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Refdecomentario">
    <w:name w:val="annotation reference"/>
    <w:basedOn w:val="Fuentedeprrafopredeter"/>
    <w:uiPriority w:val="99"/>
    <w:semiHidden/>
    <w:unhideWhenUsed/>
    <w:rsid w:val="00205418"/>
    <w:rPr>
      <w:sz w:val="16"/>
      <w:szCs w:val="16"/>
    </w:rPr>
  </w:style>
  <w:style w:type="paragraph" w:styleId="Textocomentario">
    <w:name w:val="annotation text"/>
    <w:basedOn w:val="Normal"/>
    <w:link w:val="TextocomentarioCar"/>
    <w:uiPriority w:val="99"/>
    <w:unhideWhenUsed/>
    <w:rsid w:val="00205418"/>
    <w:pPr>
      <w:spacing w:line="240" w:lineRule="auto"/>
    </w:pPr>
    <w:rPr>
      <w:sz w:val="20"/>
      <w:szCs w:val="20"/>
    </w:rPr>
  </w:style>
  <w:style w:type="character" w:styleId="TextocomentarioCar" w:customStyle="1">
    <w:name w:val="Texto comentario Car"/>
    <w:basedOn w:val="Fuentedeprrafopredeter"/>
    <w:link w:val="Textocomentario"/>
    <w:uiPriority w:val="99"/>
    <w:rsid w:val="00205418"/>
    <w:rPr>
      <w:sz w:val="20"/>
      <w:szCs w:val="20"/>
    </w:rPr>
  </w:style>
  <w:style w:type="paragraph" w:styleId="Asuntodelcomentario">
    <w:name w:val="annotation subject"/>
    <w:basedOn w:val="Textocomentario"/>
    <w:next w:val="Textocomentario"/>
    <w:link w:val="AsuntodelcomentarioCar"/>
    <w:uiPriority w:val="99"/>
    <w:semiHidden/>
    <w:unhideWhenUsed/>
    <w:rsid w:val="00205418"/>
    <w:rPr>
      <w:b/>
      <w:bCs/>
    </w:rPr>
  </w:style>
  <w:style w:type="character" w:styleId="AsuntodelcomentarioCar" w:customStyle="1">
    <w:name w:val="Asunto del comentario Car"/>
    <w:basedOn w:val="TextocomentarioCar"/>
    <w:link w:val="Asuntodelcomentario"/>
    <w:uiPriority w:val="99"/>
    <w:semiHidden/>
    <w:rsid w:val="00205418"/>
    <w:rPr>
      <w:b/>
      <w:bCs/>
      <w:sz w:val="20"/>
      <w:szCs w:val="20"/>
    </w:rPr>
  </w:style>
  <w:style w:type="character" w:styleId="nfasis">
    <w:name w:val="Emphasis"/>
    <w:basedOn w:val="Fuentedeprrafopredeter"/>
    <w:uiPriority w:val="20"/>
    <w:qFormat/>
    <w:rsid w:val="00CB1F4A"/>
    <w:rPr>
      <w:i/>
      <w:iCs/>
    </w:rPr>
  </w:style>
  <w:style w:type="character" w:styleId="normaltextrun" w:customStyle="1">
    <w:name w:val="normaltextrun"/>
    <w:basedOn w:val="Fuentedeprrafopredeter"/>
    <w:rsid w:val="001F5CD6"/>
  </w:style>
  <w:style w:type="character" w:styleId="eop" w:customStyle="1">
    <w:name w:val="eop"/>
    <w:basedOn w:val="Fuentedeprrafopredeter"/>
    <w:rsid w:val="00AB10FD"/>
  </w:style>
  <w:style w:type="character" w:styleId="Textoennegrita">
    <w:name w:val="Strong"/>
    <w:basedOn w:val="Fuentedeprrafopredeter"/>
    <w:uiPriority w:val="22"/>
    <w:qFormat/>
    <w:rsid w:val="00B20F8B"/>
    <w:rPr>
      <w:b/>
      <w:bCs/>
    </w:rPr>
  </w:style>
  <w:style w:type="character" w:styleId="superscript" w:customStyle="1">
    <w:name w:val="superscript"/>
    <w:basedOn w:val="Fuentedeprrafopredeter"/>
    <w:rsid w:val="005834A0"/>
  </w:style>
  <w:style w:type="paragraph" w:styleId="Revisin">
    <w:name w:val="Revision"/>
    <w:hidden/>
    <w:uiPriority w:val="99"/>
    <w:semiHidden/>
    <w:rsid w:val="005D1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4830">
      <w:bodyDiv w:val="1"/>
      <w:marLeft w:val="0"/>
      <w:marRight w:val="0"/>
      <w:marTop w:val="0"/>
      <w:marBottom w:val="0"/>
      <w:divBdr>
        <w:top w:val="none" w:sz="0" w:space="0" w:color="auto"/>
        <w:left w:val="none" w:sz="0" w:space="0" w:color="auto"/>
        <w:bottom w:val="none" w:sz="0" w:space="0" w:color="auto"/>
        <w:right w:val="none" w:sz="0" w:space="0" w:color="auto"/>
      </w:divBdr>
    </w:div>
    <w:div w:id="653535212">
      <w:bodyDiv w:val="1"/>
      <w:marLeft w:val="0"/>
      <w:marRight w:val="0"/>
      <w:marTop w:val="0"/>
      <w:marBottom w:val="0"/>
      <w:divBdr>
        <w:top w:val="none" w:sz="0" w:space="0" w:color="auto"/>
        <w:left w:val="none" w:sz="0" w:space="0" w:color="auto"/>
        <w:bottom w:val="none" w:sz="0" w:space="0" w:color="auto"/>
        <w:right w:val="none" w:sz="0" w:space="0" w:color="auto"/>
      </w:divBdr>
    </w:div>
    <w:div w:id="822045110">
      <w:bodyDiv w:val="1"/>
      <w:marLeft w:val="0"/>
      <w:marRight w:val="0"/>
      <w:marTop w:val="0"/>
      <w:marBottom w:val="0"/>
      <w:divBdr>
        <w:top w:val="none" w:sz="0" w:space="0" w:color="auto"/>
        <w:left w:val="none" w:sz="0" w:space="0" w:color="auto"/>
        <w:bottom w:val="none" w:sz="0" w:space="0" w:color="auto"/>
        <w:right w:val="none" w:sz="0" w:space="0" w:color="auto"/>
      </w:divBdr>
    </w:div>
    <w:div w:id="848328113">
      <w:bodyDiv w:val="1"/>
      <w:marLeft w:val="0"/>
      <w:marRight w:val="0"/>
      <w:marTop w:val="0"/>
      <w:marBottom w:val="0"/>
      <w:divBdr>
        <w:top w:val="none" w:sz="0" w:space="0" w:color="auto"/>
        <w:left w:val="none" w:sz="0" w:space="0" w:color="auto"/>
        <w:bottom w:val="none" w:sz="0" w:space="0" w:color="auto"/>
        <w:right w:val="none" w:sz="0" w:space="0" w:color="auto"/>
      </w:divBdr>
    </w:div>
    <w:div w:id="861744847">
      <w:bodyDiv w:val="1"/>
      <w:marLeft w:val="0"/>
      <w:marRight w:val="0"/>
      <w:marTop w:val="0"/>
      <w:marBottom w:val="0"/>
      <w:divBdr>
        <w:top w:val="none" w:sz="0" w:space="0" w:color="auto"/>
        <w:left w:val="none" w:sz="0" w:space="0" w:color="auto"/>
        <w:bottom w:val="none" w:sz="0" w:space="0" w:color="auto"/>
        <w:right w:val="none" w:sz="0" w:space="0" w:color="auto"/>
      </w:divBdr>
    </w:div>
    <w:div w:id="1015109151">
      <w:bodyDiv w:val="1"/>
      <w:marLeft w:val="0"/>
      <w:marRight w:val="0"/>
      <w:marTop w:val="0"/>
      <w:marBottom w:val="0"/>
      <w:divBdr>
        <w:top w:val="none" w:sz="0" w:space="0" w:color="auto"/>
        <w:left w:val="none" w:sz="0" w:space="0" w:color="auto"/>
        <w:bottom w:val="none" w:sz="0" w:space="0" w:color="auto"/>
        <w:right w:val="none" w:sz="0" w:space="0" w:color="auto"/>
      </w:divBdr>
    </w:div>
    <w:div w:id="1057123452">
      <w:bodyDiv w:val="1"/>
      <w:marLeft w:val="0"/>
      <w:marRight w:val="0"/>
      <w:marTop w:val="0"/>
      <w:marBottom w:val="0"/>
      <w:divBdr>
        <w:top w:val="none" w:sz="0" w:space="0" w:color="auto"/>
        <w:left w:val="none" w:sz="0" w:space="0" w:color="auto"/>
        <w:bottom w:val="none" w:sz="0" w:space="0" w:color="auto"/>
        <w:right w:val="none" w:sz="0" w:space="0" w:color="auto"/>
      </w:divBdr>
    </w:div>
    <w:div w:id="14762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ecretariasenado.gov.co/senado/basedoc/ley_0080_1993.html" TargetMode="External" Id="rId8" /><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ecretariasenado.gov.co/senado/basedoc/ley_0080_1993.html"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3D33B3-EE09-4ED6-BD2B-DC591F88434D}">
  <ds:schemaRefs>
    <ds:schemaRef ds:uri="http://schemas.openxmlformats.org/officeDocument/2006/bibliography"/>
  </ds:schemaRefs>
</ds:datastoreItem>
</file>

<file path=customXml/itemProps2.xml><?xml version="1.0" encoding="utf-8"?>
<ds:datastoreItem xmlns:ds="http://schemas.openxmlformats.org/officeDocument/2006/customXml" ds:itemID="{DF966BC5-4DBC-4F0E-A61C-498990C5BFE8}"/>
</file>

<file path=customXml/itemProps3.xml><?xml version="1.0" encoding="utf-8"?>
<ds:datastoreItem xmlns:ds="http://schemas.openxmlformats.org/officeDocument/2006/customXml" ds:itemID="{A2BDECBC-3293-4258-81E2-AB74C5EDA37F}"/>
</file>

<file path=customXml/itemProps4.xml><?xml version="1.0" encoding="utf-8"?>
<ds:datastoreItem xmlns:ds="http://schemas.openxmlformats.org/officeDocument/2006/customXml" ds:itemID="{0822EC0E-5D8E-4DEB-9713-0B92AC2802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9</cp:revision>
  <dcterms:created xsi:type="dcterms:W3CDTF">2022-08-08T21:45:00Z</dcterms:created>
  <dcterms:modified xsi:type="dcterms:W3CDTF">2022-08-10T15:05:28Z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