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AC71" w14:textId="5282EFA7" w:rsidR="002415B8" w:rsidRPr="00D710FC" w:rsidRDefault="00B55C69" w:rsidP="00F75C74">
      <w:pPr>
        <w:jc w:val="right"/>
        <w:rPr>
          <w:rFonts w:ascii="Arial" w:eastAsia="Calibri" w:hAnsi="Arial" w:cs="Arial"/>
          <w:b/>
          <w:sz w:val="20"/>
          <w:szCs w:val="20"/>
          <w:lang w:val="es-ES_tradnl"/>
        </w:rPr>
      </w:pPr>
      <w:bookmarkStart w:id="0" w:name="_Hlk28946138"/>
      <w:bookmarkStart w:id="1" w:name="_Hlk29548183"/>
      <w:r w:rsidRPr="00D710FC">
        <w:rPr>
          <w:rFonts w:ascii="Arial" w:hAnsi="Arial" w:cs="Arial"/>
          <w:bCs/>
          <w:sz w:val="16"/>
          <w:szCs w:val="16"/>
          <w:lang w:val="es-ES_tradnl" w:eastAsia="es-ES"/>
        </w:rPr>
        <w:t>CCE-DES-FM-17</w:t>
      </w:r>
      <w:bookmarkEnd w:id="0"/>
      <w:bookmarkEnd w:id="1"/>
    </w:p>
    <w:p w14:paraId="557C78F4" w14:textId="4C28D8FF" w:rsidR="00CB33F5" w:rsidRPr="00A611B3" w:rsidRDefault="00CB33F5" w:rsidP="00F75C74">
      <w:pPr>
        <w:widowControl w:val="0"/>
        <w:autoSpaceDE w:val="0"/>
        <w:autoSpaceDN w:val="0"/>
        <w:rPr>
          <w:rFonts w:eastAsia="Arial MT" w:hAnsi="Arial MT" w:cs="Arial MT"/>
          <w:sz w:val="21"/>
          <w:szCs w:val="22"/>
          <w:lang w:val="es-ES" w:eastAsia="en-US"/>
        </w:rPr>
      </w:pPr>
    </w:p>
    <w:p w14:paraId="7B32DEBF" w14:textId="77777777" w:rsidR="002277C5" w:rsidRPr="00D710FC" w:rsidRDefault="002277C5" w:rsidP="00F75C74">
      <w:pPr>
        <w:jc w:val="both"/>
        <w:rPr>
          <w:rFonts w:ascii="Arial" w:eastAsia="Calibri" w:hAnsi="Arial" w:cs="Arial"/>
          <w:b/>
          <w:sz w:val="22"/>
        </w:rPr>
      </w:pPr>
      <w:r w:rsidRPr="00D710FC">
        <w:rPr>
          <w:rFonts w:ascii="Arial" w:eastAsia="Calibri" w:hAnsi="Arial" w:cs="Arial"/>
          <w:b/>
          <w:sz w:val="22"/>
        </w:rPr>
        <w:t>CAPACIDAD RESIDUAL – Ley 1150 de 2007 – Decreto 1082 de 2015</w:t>
      </w:r>
    </w:p>
    <w:p w14:paraId="69984E47" w14:textId="77777777" w:rsidR="002277C5" w:rsidRPr="00D710FC" w:rsidRDefault="002277C5" w:rsidP="00F75C74">
      <w:pPr>
        <w:jc w:val="both"/>
        <w:rPr>
          <w:rFonts w:ascii="Arial" w:eastAsia="Calibri" w:hAnsi="Arial" w:cs="Arial"/>
          <w:b/>
          <w:sz w:val="22"/>
        </w:rPr>
      </w:pPr>
    </w:p>
    <w:p w14:paraId="5B4FA96B" w14:textId="7A3EB781" w:rsidR="00A66793" w:rsidRPr="00E656A9" w:rsidRDefault="00A66793" w:rsidP="00E656A9">
      <w:pPr>
        <w:tabs>
          <w:tab w:val="left" w:pos="426"/>
        </w:tabs>
        <w:jc w:val="both"/>
        <w:rPr>
          <w:rFonts w:ascii="Arial" w:hAnsi="Arial" w:cs="Arial"/>
          <w:iCs/>
          <w:sz w:val="20"/>
          <w:szCs w:val="20"/>
        </w:rPr>
      </w:pPr>
      <w:r w:rsidRPr="00E656A9">
        <w:rPr>
          <w:rFonts w:ascii="Arial" w:hAnsi="Arial" w:cs="Arial"/>
          <w:iCs/>
          <w:sz w:val="20"/>
          <w:szCs w:val="20"/>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E656A9">
        <w:rPr>
          <w:rFonts w:ascii="Arial" w:hAnsi="Arial" w:cs="Arial"/>
          <w:sz w:val="20"/>
          <w:szCs w:val="20"/>
        </w:rPr>
        <w:t>.</w:t>
      </w:r>
    </w:p>
    <w:p w14:paraId="586072AD" w14:textId="77777777" w:rsidR="00A66793" w:rsidRDefault="00A66793" w:rsidP="00E656A9">
      <w:pPr>
        <w:jc w:val="both"/>
        <w:rPr>
          <w:rFonts w:ascii="Arial" w:hAnsi="Arial" w:cs="Arial"/>
          <w:iCs/>
          <w:sz w:val="20"/>
          <w:szCs w:val="20"/>
        </w:rPr>
      </w:pPr>
    </w:p>
    <w:p w14:paraId="12FFF49A" w14:textId="1E31AD78" w:rsidR="002277C5" w:rsidRPr="00E656A9" w:rsidRDefault="00A66793" w:rsidP="00E656A9">
      <w:pPr>
        <w:jc w:val="both"/>
        <w:rPr>
          <w:rFonts w:ascii="Arial" w:eastAsia="Calibri" w:hAnsi="Arial" w:cs="Arial"/>
          <w:bCs/>
          <w:sz w:val="20"/>
          <w:szCs w:val="20"/>
          <w:lang w:val="es-ES"/>
        </w:rPr>
      </w:pPr>
      <w:r w:rsidRPr="00E656A9">
        <w:rPr>
          <w:rFonts w:ascii="Arial" w:hAnsi="Arial" w:cs="Arial"/>
          <w:iCs/>
          <w:sz w:val="20"/>
          <w:szCs w:val="20"/>
        </w:rPr>
        <w:t xml:space="preserve">En atención a lo anterior, la capacidad residual se refiere a la suficiencia que tiene el proponente para asumir nuevas obligaciones que se derivan del contrato objeto del proceso de contratación, en relación con las obligaciones que ya adquirió frente a otros contratos. </w:t>
      </w:r>
      <w:r w:rsidRPr="00E656A9">
        <w:rPr>
          <w:rFonts w:ascii="Arial" w:hAnsi="Arial" w:cs="Arial"/>
          <w:sz w:val="20"/>
          <w:szCs w:val="20"/>
        </w:rPr>
        <w:t xml:space="preserve">De esta manera, el artículo 6 de la Ley 1150 de 2007 estableció como condición «para poder participar en los procesos de selección de los contratos de obra, la capacidad residual del proponente o </w:t>
      </w:r>
      <w:r w:rsidRPr="00E656A9">
        <w:rPr>
          <w:rFonts w:ascii="Arial" w:hAnsi="Arial" w:cs="Arial"/>
          <w:i/>
          <w:iCs/>
          <w:sz w:val="20"/>
          <w:szCs w:val="20"/>
        </w:rPr>
        <w:t>K</w:t>
      </w:r>
      <w:r w:rsidRPr="00E656A9">
        <w:rPr>
          <w:rFonts w:ascii="Arial" w:hAnsi="Arial" w:cs="Arial"/>
          <w:sz w:val="20"/>
          <w:szCs w:val="20"/>
        </w:rPr>
        <w:t xml:space="preserve"> de contratación»</w:t>
      </w:r>
    </w:p>
    <w:p w14:paraId="4432C6FC" w14:textId="77777777" w:rsidR="002277C5" w:rsidRPr="00D710FC" w:rsidRDefault="002277C5" w:rsidP="00F75C74">
      <w:pPr>
        <w:jc w:val="both"/>
        <w:rPr>
          <w:rFonts w:ascii="Arial" w:eastAsia="Calibri" w:hAnsi="Arial" w:cs="Arial"/>
          <w:b/>
          <w:sz w:val="22"/>
        </w:rPr>
      </w:pPr>
    </w:p>
    <w:p w14:paraId="6B087CB3" w14:textId="77777777" w:rsidR="002277C5" w:rsidRPr="00D710FC" w:rsidRDefault="002277C5" w:rsidP="00F75C74">
      <w:pPr>
        <w:jc w:val="both"/>
        <w:rPr>
          <w:rFonts w:ascii="Arial" w:eastAsia="Calibri" w:hAnsi="Arial" w:cs="Arial"/>
          <w:b/>
          <w:sz w:val="22"/>
        </w:rPr>
      </w:pPr>
      <w:r w:rsidRPr="00D710FC">
        <w:rPr>
          <w:rFonts w:ascii="Arial" w:eastAsia="Calibri" w:hAnsi="Arial" w:cs="Arial"/>
          <w:b/>
          <w:sz w:val="22"/>
        </w:rPr>
        <w:t>CAPACIDAD RESIDUAL – Capacidad de Organización – Ley 1150 de 2007 – Decreto 1082 de 2015</w:t>
      </w:r>
    </w:p>
    <w:p w14:paraId="3FA4BFFC" w14:textId="77777777" w:rsidR="002277C5" w:rsidRPr="00D710FC" w:rsidRDefault="002277C5" w:rsidP="00F75C74">
      <w:pPr>
        <w:jc w:val="both"/>
        <w:rPr>
          <w:rFonts w:ascii="Arial" w:eastAsia="Calibri" w:hAnsi="Arial" w:cs="Arial"/>
          <w:bCs/>
          <w:sz w:val="20"/>
          <w:szCs w:val="20"/>
          <w:lang w:val="es-ES"/>
        </w:rPr>
      </w:pPr>
    </w:p>
    <w:p w14:paraId="2E660230" w14:textId="77777777" w:rsidR="002277C5" w:rsidRPr="00D710FC" w:rsidRDefault="002277C5" w:rsidP="00F75C74">
      <w:pPr>
        <w:jc w:val="both"/>
        <w:rPr>
          <w:rFonts w:ascii="Arial" w:eastAsia="Calibri" w:hAnsi="Arial" w:cs="Arial"/>
          <w:bCs/>
          <w:sz w:val="20"/>
          <w:szCs w:val="20"/>
          <w:lang w:val="es-ES"/>
        </w:rPr>
      </w:pPr>
      <w:r w:rsidRPr="00D710FC">
        <w:rPr>
          <w:rFonts w:ascii="Arial" w:eastAsia="Calibri" w:hAnsi="Arial" w:cs="Arial"/>
          <w:bCs/>
          <w:sz w:val="20"/>
          <w:szCs w:val="20"/>
          <w:lang w:val="es-ES"/>
        </w:rPr>
        <w:t xml:space="preserv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1A6EA489" w14:textId="77777777" w:rsidR="002277C5" w:rsidRPr="00D710FC" w:rsidRDefault="002277C5" w:rsidP="00F75C74">
      <w:pPr>
        <w:jc w:val="both"/>
        <w:rPr>
          <w:rFonts w:ascii="Arial" w:eastAsia="Calibri" w:hAnsi="Arial" w:cs="Arial"/>
          <w:bCs/>
          <w:sz w:val="20"/>
          <w:szCs w:val="20"/>
          <w:lang w:val="es-ES"/>
        </w:rPr>
      </w:pPr>
    </w:p>
    <w:p w14:paraId="21AADEFB" w14:textId="77777777" w:rsidR="002277C5" w:rsidRPr="00D710FC" w:rsidRDefault="002277C5" w:rsidP="00F75C74">
      <w:pPr>
        <w:jc w:val="both"/>
        <w:rPr>
          <w:rFonts w:ascii="Arial" w:eastAsia="Calibri" w:hAnsi="Arial" w:cs="Arial"/>
          <w:bCs/>
          <w:sz w:val="20"/>
          <w:szCs w:val="20"/>
          <w:lang w:val="es-ES"/>
        </w:rPr>
      </w:pPr>
      <w:r w:rsidRPr="00D710FC">
        <w:rPr>
          <w:rFonts w:ascii="Arial" w:eastAsia="Calibri" w:hAnsi="Arial" w:cs="Arial"/>
          <w:bCs/>
          <w:sz w:val="20"/>
          <w:szCs w:val="20"/>
          <w:lang w:val="es-ES"/>
        </w:rPr>
        <w:t>[…]</w:t>
      </w:r>
    </w:p>
    <w:p w14:paraId="33391A67" w14:textId="77777777" w:rsidR="002277C5" w:rsidRPr="00D710FC" w:rsidRDefault="002277C5" w:rsidP="00F75C74">
      <w:pPr>
        <w:jc w:val="both"/>
        <w:rPr>
          <w:rFonts w:ascii="Arial" w:eastAsia="Calibri" w:hAnsi="Arial" w:cs="Arial"/>
          <w:bCs/>
          <w:sz w:val="20"/>
          <w:szCs w:val="20"/>
          <w:lang w:val="es-ES"/>
        </w:rPr>
      </w:pPr>
    </w:p>
    <w:p w14:paraId="30B6A561" w14:textId="77777777" w:rsidR="002277C5" w:rsidRPr="00D710FC" w:rsidRDefault="002277C5" w:rsidP="00F75C74">
      <w:pPr>
        <w:jc w:val="both"/>
        <w:rPr>
          <w:rFonts w:ascii="Arial" w:eastAsia="Calibri" w:hAnsi="Arial" w:cs="Arial"/>
          <w:bCs/>
          <w:sz w:val="20"/>
          <w:szCs w:val="20"/>
          <w:lang w:val="es-ES"/>
        </w:rPr>
      </w:pPr>
      <w:r w:rsidRPr="00D710FC">
        <w:rPr>
          <w:rFonts w:ascii="Arial" w:eastAsia="Calibri" w:hAnsi="Arial" w:cs="Arial"/>
          <w:bCs/>
          <w:sz w:val="20"/>
          <w:szCs w:val="20"/>
          <w:lang w:val="es-ES"/>
        </w:rPr>
        <w:t>De esta manera, la capacidad de organización está en función de los ingresos operacionales del proponente. De ahí que tanto el Documento Tipo como el Decreto 1082 de 2015, soliciten el estado de resultados, puesto que mediante este documento se relacionan los ingresos, costos y gastos en los que incurrió el proponente, de tal forma que se puedan evidenciar los ingresos operacionales que ha obtenido en un determinado periodo de tiempo</w:t>
      </w:r>
    </w:p>
    <w:p w14:paraId="69F34A69" w14:textId="77777777" w:rsidR="002277C5" w:rsidRPr="00D710FC" w:rsidRDefault="002277C5" w:rsidP="00F75C74">
      <w:pPr>
        <w:jc w:val="both"/>
        <w:rPr>
          <w:rFonts w:ascii="Arial" w:eastAsia="Calibri" w:hAnsi="Arial" w:cs="Arial"/>
          <w:b/>
          <w:sz w:val="22"/>
        </w:rPr>
      </w:pPr>
    </w:p>
    <w:p w14:paraId="357A859F" w14:textId="6CB34423" w:rsidR="002277C5" w:rsidRPr="00D710FC" w:rsidRDefault="007379EB" w:rsidP="00F75C74">
      <w:pPr>
        <w:jc w:val="both"/>
        <w:rPr>
          <w:rFonts w:ascii="Arial" w:eastAsia="Calibri" w:hAnsi="Arial" w:cs="Arial"/>
          <w:b/>
          <w:sz w:val="22"/>
        </w:rPr>
      </w:pPr>
      <w:r w:rsidRPr="00D710FC">
        <w:rPr>
          <w:rFonts w:ascii="Arial" w:eastAsia="Calibri" w:hAnsi="Arial" w:cs="Arial"/>
          <w:b/>
          <w:sz w:val="22"/>
        </w:rPr>
        <w:t>DOCUMENTOS TIPO</w:t>
      </w:r>
      <w:r w:rsidR="002277C5" w:rsidRPr="00D710FC">
        <w:rPr>
          <w:rFonts w:ascii="Arial" w:eastAsia="Calibri" w:hAnsi="Arial" w:cs="Arial"/>
          <w:b/>
          <w:sz w:val="22"/>
        </w:rPr>
        <w:t xml:space="preserve"> – </w:t>
      </w:r>
      <w:r w:rsidRPr="00D710FC">
        <w:rPr>
          <w:rFonts w:ascii="Arial" w:eastAsia="Calibri" w:hAnsi="Arial" w:cs="Arial"/>
          <w:b/>
          <w:sz w:val="22"/>
        </w:rPr>
        <w:t xml:space="preserve"> Licitación de Obra Pública de Infraestructura de Transporte –</w:t>
      </w:r>
      <w:r w:rsidR="002277C5" w:rsidRPr="00D710FC">
        <w:rPr>
          <w:rFonts w:ascii="Arial" w:eastAsia="Calibri" w:hAnsi="Arial" w:cs="Arial"/>
          <w:b/>
          <w:sz w:val="22"/>
        </w:rPr>
        <w:t>Versión 3 – Capacidad residual – Capacidad de organización</w:t>
      </w:r>
    </w:p>
    <w:p w14:paraId="3864F8AF" w14:textId="77777777" w:rsidR="002277C5" w:rsidRPr="00D710FC" w:rsidRDefault="002277C5" w:rsidP="00F75C74">
      <w:pPr>
        <w:jc w:val="both"/>
        <w:rPr>
          <w:rFonts w:ascii="Arial" w:eastAsia="Calibri" w:hAnsi="Arial" w:cs="Arial"/>
          <w:bCs/>
          <w:sz w:val="20"/>
          <w:szCs w:val="20"/>
        </w:rPr>
      </w:pPr>
    </w:p>
    <w:p w14:paraId="14A515D6" w14:textId="1CF3BAB1" w:rsidR="002277C5" w:rsidRPr="00E656A9" w:rsidRDefault="00E656A9" w:rsidP="00E656A9">
      <w:pPr>
        <w:jc w:val="both"/>
        <w:rPr>
          <w:rFonts w:ascii="Arial" w:hAnsi="Arial" w:cs="Arial"/>
          <w:sz w:val="20"/>
          <w:szCs w:val="20"/>
        </w:rPr>
      </w:pPr>
      <w:r w:rsidRPr="00E656A9">
        <w:rPr>
          <w:rFonts w:ascii="Arial" w:hAnsi="Arial" w:cs="Arial"/>
          <w:sz w:val="20"/>
          <w:szCs w:val="20"/>
        </w:rPr>
        <w:t xml:space="preserve">[…] la </w:t>
      </w:r>
      <w:r w:rsidRPr="00E656A9">
        <w:rPr>
          <w:rFonts w:ascii="Arial" w:hAnsi="Arial" w:cs="Arial"/>
          <w:i/>
          <w:iCs/>
          <w:sz w:val="20"/>
          <w:szCs w:val="20"/>
        </w:rPr>
        <w:t xml:space="preserve">versión 3 </w:t>
      </w:r>
      <w:r w:rsidRPr="00E656A9">
        <w:rPr>
          <w:rFonts w:ascii="Arial" w:hAnsi="Arial" w:cs="Arial"/>
          <w:sz w:val="20"/>
          <w:szCs w:val="20"/>
        </w:rPr>
        <w:t xml:space="preserve">de los documentos tipo mantiene el enfoque regulativo establecido en la </w:t>
      </w:r>
      <w:r w:rsidRPr="00E656A9">
        <w:rPr>
          <w:rFonts w:ascii="Arial" w:hAnsi="Arial" w:cs="Arial"/>
          <w:i/>
          <w:iCs/>
          <w:sz w:val="20"/>
          <w:szCs w:val="20"/>
        </w:rPr>
        <w:t>Versión 2</w:t>
      </w:r>
      <w:r w:rsidRPr="00E656A9">
        <w:rPr>
          <w:rFonts w:ascii="Arial" w:hAnsi="Arial" w:cs="Arial"/>
          <w:sz w:val="20"/>
          <w:szCs w:val="20"/>
        </w:rPr>
        <w:t xml:space="preserve">. En efecto, </w:t>
      </w:r>
      <w:r w:rsidRPr="00E656A9">
        <w:rPr>
          <w:rFonts w:ascii="Arial" w:eastAsia="Calibri" w:hAnsi="Arial" w:cs="Arial"/>
          <w:sz w:val="20"/>
          <w:szCs w:val="20"/>
        </w:rPr>
        <w:t xml:space="preserve">continuando con el análisis anterior, el </w:t>
      </w:r>
      <w:r w:rsidRPr="00E656A9">
        <w:rPr>
          <w:rFonts w:ascii="Arial" w:hAnsi="Arial" w:cs="Arial"/>
          <w:sz w:val="20"/>
          <w:szCs w:val="20"/>
        </w:rPr>
        <w:t xml:space="preserve">numeral 3.11.2., literal A del Documento Base (versiones 4 y 5) de los Documentos Tipo </w:t>
      </w:r>
      <w:r w:rsidRPr="00E656A9">
        <w:rPr>
          <w:rFonts w:ascii="Arial" w:hAnsi="Arial" w:cs="Arial"/>
          <w:bCs/>
          <w:sz w:val="20"/>
          <w:szCs w:val="20"/>
        </w:rPr>
        <w:t xml:space="preserve">para licitación de obra pública de infraestructura de transporte – Versión 3, al referirse al estado de resultados dentro de la capacidad de organización para determinar la capacidad residual hace una remisión al artículo 37 de la Ley 222 de 1995. El artículo en mención dispone: </w:t>
      </w:r>
      <w:r w:rsidRPr="00E656A9">
        <w:rPr>
          <w:rFonts w:ascii="Arial" w:hAnsi="Arial" w:cs="Arial"/>
          <w:sz w:val="20"/>
          <w:szCs w:val="20"/>
        </w:rPr>
        <w:t xml:space="preserve">«El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 Además, vale reiterar que, entre otras cosas, a diferencia de la </w:t>
      </w:r>
      <w:r w:rsidRPr="00E656A9">
        <w:rPr>
          <w:rFonts w:ascii="Arial" w:hAnsi="Arial" w:cs="Arial"/>
          <w:i/>
          <w:iCs/>
          <w:sz w:val="20"/>
          <w:szCs w:val="20"/>
        </w:rPr>
        <w:t xml:space="preserve">versión 1, </w:t>
      </w:r>
      <w:r w:rsidRPr="00E656A9">
        <w:rPr>
          <w:rFonts w:ascii="Arial" w:hAnsi="Arial" w:cs="Arial"/>
          <w:sz w:val="20"/>
          <w:szCs w:val="20"/>
        </w:rPr>
        <w:t>no se refiere a la necesidad de que dicho estado de resultados se aporte de acuerdo con lo dispuesto en el artículo 38 de la Ley 222 de 1995.</w:t>
      </w:r>
    </w:p>
    <w:p w14:paraId="2E1E3C73" w14:textId="77777777" w:rsidR="0075755F" w:rsidRPr="00D710FC" w:rsidRDefault="0075755F" w:rsidP="0075755F">
      <w:pPr>
        <w:jc w:val="both"/>
        <w:rPr>
          <w:rFonts w:ascii="Arial" w:eastAsia="Calibri" w:hAnsi="Arial" w:cs="Arial"/>
          <w:b/>
          <w:sz w:val="22"/>
        </w:rPr>
      </w:pPr>
    </w:p>
    <w:p w14:paraId="1AA908C5" w14:textId="57B81D4A" w:rsidR="002277C5" w:rsidRPr="00A611B3" w:rsidRDefault="0075755F" w:rsidP="0075755F">
      <w:pPr>
        <w:widowControl w:val="0"/>
        <w:autoSpaceDE w:val="0"/>
        <w:autoSpaceDN w:val="0"/>
        <w:rPr>
          <w:rFonts w:ascii="Arial" w:eastAsia="Arial MT" w:hAnsi="Arial MT" w:cs="Arial MT"/>
          <w:b/>
          <w:sz w:val="20"/>
          <w:szCs w:val="22"/>
          <w:lang w:val="es-ES" w:eastAsia="en-US"/>
        </w:rPr>
      </w:pPr>
      <w:r w:rsidRPr="00D710FC">
        <w:rPr>
          <w:rFonts w:ascii="Arial" w:eastAsia="Calibri" w:hAnsi="Arial" w:cs="Arial"/>
          <w:b/>
          <w:sz w:val="22"/>
        </w:rPr>
        <w:lastRenderedPageBreak/>
        <w:t>CAPACIDAD RESIDUAL – Capacidad de Organización – Estado de resultados</w:t>
      </w:r>
    </w:p>
    <w:p w14:paraId="64A4BC74" w14:textId="77777777" w:rsidR="0075755F" w:rsidRPr="00A611B3" w:rsidRDefault="0075755F" w:rsidP="00CB33F5">
      <w:pPr>
        <w:widowControl w:val="0"/>
        <w:autoSpaceDE w:val="0"/>
        <w:autoSpaceDN w:val="0"/>
        <w:rPr>
          <w:rFonts w:ascii="Arial" w:eastAsia="Arial MT" w:hAnsi="Arial MT" w:cs="Arial MT"/>
          <w:b/>
          <w:sz w:val="20"/>
          <w:szCs w:val="22"/>
          <w:lang w:val="es-ES" w:eastAsia="en-US"/>
        </w:rPr>
      </w:pPr>
    </w:p>
    <w:p w14:paraId="798D009E" w14:textId="4D4DDEA8" w:rsidR="00A66793" w:rsidRPr="00E656A9" w:rsidRDefault="0075755F" w:rsidP="00E656A9">
      <w:pPr>
        <w:jc w:val="both"/>
        <w:rPr>
          <w:rFonts w:ascii="Arial" w:hAnsi="Arial" w:cs="Arial"/>
          <w:sz w:val="20"/>
          <w:szCs w:val="20"/>
        </w:rPr>
      </w:pPr>
      <w:r w:rsidRPr="00A66793">
        <w:rPr>
          <w:rFonts w:ascii="Arial" w:hAnsi="Arial" w:cs="Arial"/>
          <w:sz w:val="20"/>
          <w:szCs w:val="20"/>
          <w:lang w:val="es-ES"/>
        </w:rPr>
        <w:t>[…]</w:t>
      </w:r>
      <w:r w:rsidR="00A66793" w:rsidRPr="00E656A9">
        <w:rPr>
          <w:rFonts w:ascii="Arial" w:hAnsi="Arial" w:cs="Arial"/>
          <w:sz w:val="20"/>
          <w:szCs w:val="20"/>
          <w:lang w:val="es-ES"/>
        </w:rPr>
        <w:t xml:space="preserve"> </w:t>
      </w:r>
      <w:r w:rsidR="00A66793" w:rsidRPr="00E656A9">
        <w:rPr>
          <w:rFonts w:ascii="Arial" w:hAnsi="Arial" w:cs="Arial"/>
          <w:sz w:val="20"/>
          <w:szCs w:val="20"/>
        </w:rPr>
        <w:t xml:space="preserve">se señala que en virtud de la 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o firmados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36DA02BB" w14:textId="77777777" w:rsidR="00A66793" w:rsidRPr="00E656A9" w:rsidRDefault="00A66793" w:rsidP="00E656A9">
      <w:pPr>
        <w:tabs>
          <w:tab w:val="left" w:pos="6663"/>
        </w:tabs>
        <w:jc w:val="both"/>
        <w:rPr>
          <w:rFonts w:ascii="Arial" w:hAnsi="Arial" w:cs="Arial"/>
          <w:sz w:val="20"/>
          <w:szCs w:val="20"/>
        </w:rPr>
      </w:pPr>
    </w:p>
    <w:p w14:paraId="315D983F" w14:textId="69BA9B05" w:rsidR="00A66793" w:rsidRPr="00E656A9" w:rsidRDefault="00A66793" w:rsidP="00E656A9">
      <w:pPr>
        <w:tabs>
          <w:tab w:val="left" w:pos="6663"/>
        </w:tabs>
        <w:jc w:val="both"/>
        <w:rPr>
          <w:rFonts w:ascii="Arial" w:hAnsi="Arial" w:cs="Arial"/>
          <w:sz w:val="20"/>
          <w:szCs w:val="20"/>
        </w:rPr>
      </w:pPr>
      <w:r w:rsidRPr="00E656A9">
        <w:rPr>
          <w:rFonts w:ascii="Arial" w:hAnsi="Arial" w:cs="Arial"/>
          <w:sz w:val="20"/>
          <w:szCs w:val="20"/>
        </w:rPr>
        <w:t xml:space="preserve">De acuerdo con lo señalado anteriormente, y teniendo en cuenta el contenido de los documentos tipo de licitación de obra pública de infraestructura de transporte – </w:t>
      </w:r>
      <w:r w:rsidRPr="00E656A9">
        <w:rPr>
          <w:rFonts w:ascii="Arial" w:hAnsi="Arial" w:cs="Arial"/>
          <w:i/>
          <w:iCs/>
          <w:sz w:val="20"/>
          <w:szCs w:val="20"/>
        </w:rPr>
        <w:t>versión 3</w:t>
      </w:r>
      <w:r w:rsidRPr="00E656A9">
        <w:rPr>
          <w:rFonts w:ascii="Arial" w:hAnsi="Arial" w:cs="Arial"/>
          <w:sz w:val="20"/>
          <w:szCs w:val="20"/>
        </w:rPr>
        <w:t xml:space="preserve">,  para acreditar la capacidad organizacional de los proponentes que cuentan con RUP solo requiere aportarse el estado de resultados del año en que el proponente obtuvo mayor ingreso operacional en los últimos 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Lo anterior, sin que el Documento Tipo exija el dictamen del estado de resultados señalado en el artículo 38 de la Ley 222 de 1995, por lo que el requisito se acredita en los términos establecidos en los documentos tipo. De esta manera, la expresión debidamente firmado implica que sea suscrito de forma mecánica o electrónica por las personas que se establecen en el documento, tales como el representante legal, contador y revisor fiscal y/o contador independiente (externo), si están en la obligación a tenerlos. En esta línea, si firman las personas correspondientes se entenderá que es válido. </w:t>
      </w:r>
    </w:p>
    <w:p w14:paraId="6E9F49D6" w14:textId="0D870C2E" w:rsidR="0075755F" w:rsidRPr="00D710FC" w:rsidRDefault="0075755F" w:rsidP="00E656A9">
      <w:pPr>
        <w:jc w:val="both"/>
        <w:rPr>
          <w:rFonts w:ascii="Arial" w:hAnsi="Arial" w:cs="Arial"/>
          <w:sz w:val="20"/>
          <w:szCs w:val="20"/>
        </w:rPr>
      </w:pPr>
    </w:p>
    <w:p w14:paraId="3E52C46F" w14:textId="062D0D61" w:rsidR="00C3095C" w:rsidRPr="00A611B3" w:rsidRDefault="00C3095C" w:rsidP="00E656A9">
      <w:pPr>
        <w:widowControl w:val="0"/>
        <w:autoSpaceDE w:val="0"/>
        <w:autoSpaceDN w:val="0"/>
        <w:ind w:left="4825"/>
        <w:rPr>
          <w:rFonts w:eastAsia="Arial MT" w:hAnsi="Arial MT" w:cs="Arial MT"/>
          <w:noProof/>
          <w:sz w:val="20"/>
          <w:szCs w:val="20"/>
          <w:lang w:eastAsia="en-US"/>
        </w:rPr>
      </w:pPr>
    </w:p>
    <w:p w14:paraId="0966E4EF" w14:textId="5E167E2D" w:rsidR="00D01922" w:rsidRPr="00A611B3" w:rsidRDefault="00D01922" w:rsidP="00C3095C">
      <w:pPr>
        <w:widowControl w:val="0"/>
        <w:autoSpaceDE w:val="0"/>
        <w:autoSpaceDN w:val="0"/>
        <w:ind w:left="4825"/>
        <w:rPr>
          <w:rFonts w:eastAsia="Arial MT" w:hAnsi="Arial MT" w:cs="Arial MT"/>
          <w:noProof/>
          <w:sz w:val="20"/>
          <w:szCs w:val="22"/>
          <w:lang w:eastAsia="en-US"/>
        </w:rPr>
      </w:pPr>
    </w:p>
    <w:p w14:paraId="1FF373EB" w14:textId="76CAD69F"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5E9885F9" w14:textId="3B24E67B"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11AABF4C" w14:textId="0FE07A07"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31B60EDF" w14:textId="05C98071"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1E511C03" w14:textId="3B62734E"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4AEE5898" w14:textId="05AD91A0"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6EB862C4" w14:textId="5061198F"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381E6914" w14:textId="5DEB833D"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2F16B166" w14:textId="52E32A3D"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6FD847F0" w14:textId="0102DEC7"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662921A7" w14:textId="75E70EC0"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3C2DD2E3" w14:textId="09A13A80"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094DFEAD" w14:textId="735DFB67"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77828E22" w14:textId="1DE8C067"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0529E8F8" w14:textId="0CAC2487"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43020C1C" w14:textId="08D09CC0"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461A236D" w14:textId="6551D0C2"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0EC27C9E" w14:textId="2A485C30"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35055A0E" w14:textId="65EADA57"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7DC7222E" w14:textId="4B15F8C2"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24F5090A" w14:textId="7FE20D8B"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1E2E8935" w14:textId="428716A1" w:rsidR="0075755F" w:rsidRPr="00A611B3" w:rsidRDefault="0075755F" w:rsidP="00C3095C">
      <w:pPr>
        <w:widowControl w:val="0"/>
        <w:autoSpaceDE w:val="0"/>
        <w:autoSpaceDN w:val="0"/>
        <w:ind w:left="4825"/>
        <w:rPr>
          <w:rFonts w:eastAsia="Arial MT" w:hAnsi="Arial MT" w:cs="Arial MT"/>
          <w:noProof/>
          <w:sz w:val="20"/>
          <w:szCs w:val="22"/>
          <w:lang w:eastAsia="en-US"/>
        </w:rPr>
      </w:pPr>
    </w:p>
    <w:p w14:paraId="537BE8BE" w14:textId="22FFECA9" w:rsidR="0075755F" w:rsidRPr="00A611B3" w:rsidRDefault="00F621C5" w:rsidP="00C3095C">
      <w:pPr>
        <w:widowControl w:val="0"/>
        <w:autoSpaceDE w:val="0"/>
        <w:autoSpaceDN w:val="0"/>
        <w:ind w:left="4825"/>
        <w:rPr>
          <w:rFonts w:eastAsia="Arial MT" w:hAnsi="Arial MT" w:cs="Arial MT"/>
          <w:noProof/>
          <w:sz w:val="20"/>
          <w:szCs w:val="22"/>
          <w:lang w:eastAsia="en-US"/>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45353EDB" wp14:editId="4CE71A57">
            <wp:simplePos x="0" y="0"/>
            <wp:positionH relativeFrom="column">
              <wp:posOffset>3110865</wp:posOffset>
            </wp:positionH>
            <wp:positionV relativeFrom="paragraph">
              <wp:posOffset>151765</wp:posOffset>
            </wp:positionV>
            <wp:extent cx="2400300" cy="6159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7598940C" w14:textId="7D3630ED" w:rsidR="00F621C5" w:rsidRPr="00F621C5" w:rsidRDefault="00F621C5" w:rsidP="00F621C5">
      <w:pPr>
        <w:widowControl w:val="0"/>
        <w:autoSpaceDE w:val="0"/>
        <w:autoSpaceDN w:val="0"/>
        <w:ind w:right="-29"/>
        <w:rPr>
          <w:rFonts w:eastAsia="Arial MT" w:hAnsi="Arial MT" w:cs="Arial MT"/>
          <w:sz w:val="20"/>
          <w:szCs w:val="22"/>
          <w:lang w:eastAsia="en-US"/>
        </w:rPr>
      </w:pPr>
    </w:p>
    <w:p w14:paraId="79748698" w14:textId="77777777" w:rsidR="00F621C5" w:rsidRPr="00F621C5" w:rsidRDefault="00F621C5" w:rsidP="00F621C5">
      <w:pPr>
        <w:widowControl w:val="0"/>
        <w:autoSpaceDE w:val="0"/>
        <w:autoSpaceDN w:val="0"/>
        <w:spacing w:before="1"/>
        <w:rPr>
          <w:rFonts w:eastAsia="Arial MT" w:hAnsi="Arial MT" w:cs="Arial MT"/>
          <w:sz w:val="21"/>
          <w:szCs w:val="22"/>
          <w:lang w:val="es-ES" w:eastAsia="en-US"/>
        </w:rPr>
      </w:pPr>
    </w:p>
    <w:p w14:paraId="5EF6560D" w14:textId="77777777" w:rsidR="00F621C5" w:rsidRDefault="00F621C5" w:rsidP="00F621C5">
      <w:pPr>
        <w:widowControl w:val="0"/>
        <w:autoSpaceDE w:val="0"/>
        <w:autoSpaceDN w:val="0"/>
        <w:spacing w:before="94"/>
        <w:ind w:right="213"/>
        <w:jc w:val="right"/>
        <w:rPr>
          <w:rFonts w:ascii="Arial" w:eastAsia="Arial MT" w:hAnsi="Arial MT" w:cs="Arial MT"/>
          <w:b/>
          <w:color w:val="585858"/>
          <w:sz w:val="18"/>
          <w:szCs w:val="22"/>
          <w:lang w:val="es-ES" w:eastAsia="en-US"/>
        </w:rPr>
      </w:pPr>
    </w:p>
    <w:p w14:paraId="3EE1FB70" w14:textId="77777777" w:rsidR="00F621C5" w:rsidRDefault="00F621C5" w:rsidP="00F621C5">
      <w:pPr>
        <w:widowControl w:val="0"/>
        <w:autoSpaceDE w:val="0"/>
        <w:autoSpaceDN w:val="0"/>
        <w:spacing w:before="94"/>
        <w:ind w:right="213"/>
        <w:jc w:val="right"/>
        <w:rPr>
          <w:rFonts w:ascii="Arial" w:eastAsia="Arial MT" w:hAnsi="Arial MT" w:cs="Arial MT"/>
          <w:b/>
          <w:color w:val="585858"/>
          <w:sz w:val="18"/>
          <w:szCs w:val="22"/>
          <w:lang w:val="es-ES" w:eastAsia="en-US"/>
        </w:rPr>
      </w:pPr>
    </w:p>
    <w:p w14:paraId="1376E234" w14:textId="77777777" w:rsidR="00F621C5" w:rsidRDefault="00F621C5" w:rsidP="00F621C5">
      <w:pPr>
        <w:widowControl w:val="0"/>
        <w:autoSpaceDE w:val="0"/>
        <w:autoSpaceDN w:val="0"/>
        <w:spacing w:before="94"/>
        <w:ind w:right="213"/>
        <w:jc w:val="right"/>
        <w:rPr>
          <w:rFonts w:ascii="Arial" w:eastAsia="Arial MT" w:hAnsi="Arial MT" w:cs="Arial MT"/>
          <w:b/>
          <w:color w:val="585858"/>
          <w:sz w:val="18"/>
          <w:szCs w:val="22"/>
          <w:lang w:val="es-ES" w:eastAsia="en-US"/>
        </w:rPr>
      </w:pPr>
    </w:p>
    <w:p w14:paraId="065C6757" w14:textId="6F365C11" w:rsidR="00F621C5" w:rsidRPr="00F621C5" w:rsidRDefault="00F621C5" w:rsidP="00F621C5">
      <w:pPr>
        <w:widowControl w:val="0"/>
        <w:autoSpaceDE w:val="0"/>
        <w:autoSpaceDN w:val="0"/>
        <w:spacing w:before="94"/>
        <w:ind w:right="213"/>
        <w:jc w:val="right"/>
        <w:rPr>
          <w:rFonts w:ascii="Arial" w:eastAsia="Arial MT" w:hAnsi="Arial MT" w:cs="Arial MT"/>
          <w:b/>
          <w:sz w:val="18"/>
          <w:szCs w:val="22"/>
          <w:lang w:val="es-ES" w:eastAsia="en-US"/>
        </w:rPr>
      </w:pPr>
      <w:r w:rsidRPr="00F621C5">
        <w:rPr>
          <w:rFonts w:ascii="Arial" w:eastAsia="Arial MT" w:hAnsi="Arial MT" w:cs="Arial MT"/>
          <w:b/>
          <w:color w:val="585858"/>
          <w:sz w:val="18"/>
          <w:szCs w:val="22"/>
          <w:lang w:val="es-ES" w:eastAsia="en-US"/>
        </w:rPr>
        <w:t>CCE-DES-FM-17</w:t>
      </w:r>
    </w:p>
    <w:p w14:paraId="21F51A4C" w14:textId="77777777" w:rsidR="00F621C5" w:rsidRPr="00F621C5" w:rsidRDefault="00F621C5" w:rsidP="00F621C5">
      <w:pPr>
        <w:widowControl w:val="0"/>
        <w:autoSpaceDE w:val="0"/>
        <w:autoSpaceDN w:val="0"/>
        <w:rPr>
          <w:rFonts w:ascii="Arial" w:eastAsia="Arial MT" w:hAnsi="Arial MT" w:cs="Arial MT"/>
          <w:b/>
          <w:sz w:val="20"/>
          <w:szCs w:val="22"/>
          <w:lang w:val="es-ES" w:eastAsia="en-US"/>
        </w:rPr>
      </w:pPr>
    </w:p>
    <w:p w14:paraId="52FE9719" w14:textId="77777777" w:rsidR="00F621C5" w:rsidRPr="00F621C5" w:rsidRDefault="00F621C5" w:rsidP="00F621C5">
      <w:pPr>
        <w:widowControl w:val="0"/>
        <w:autoSpaceDE w:val="0"/>
        <w:autoSpaceDN w:val="0"/>
        <w:ind w:left="120"/>
        <w:rPr>
          <w:rFonts w:ascii="Arial MT" w:eastAsia="Arial MT" w:hAnsi="Arial MT" w:cs="Arial MT"/>
          <w:sz w:val="22"/>
          <w:szCs w:val="22"/>
          <w:lang w:val="es-ES" w:eastAsia="en-US"/>
        </w:rPr>
      </w:pPr>
      <w:r w:rsidRPr="00F621C5">
        <w:rPr>
          <w:rFonts w:ascii="Arial MT" w:eastAsia="Arial MT" w:hAnsi="Arial MT" w:cs="Arial MT"/>
          <w:color w:val="4E4D4D"/>
          <w:sz w:val="22"/>
          <w:szCs w:val="22"/>
          <w:lang w:val="es-ES" w:eastAsia="en-US"/>
        </w:rPr>
        <w:t>Bogotá,</w:t>
      </w:r>
      <w:r w:rsidRPr="00F621C5">
        <w:rPr>
          <w:rFonts w:ascii="Arial MT" w:eastAsia="Arial MT" w:hAnsi="Arial MT" w:cs="Arial MT"/>
          <w:color w:val="4E4D4D"/>
          <w:spacing w:val="-1"/>
          <w:sz w:val="22"/>
          <w:szCs w:val="22"/>
          <w:lang w:val="es-ES" w:eastAsia="en-US"/>
        </w:rPr>
        <w:t xml:space="preserve"> </w:t>
      </w:r>
      <w:r w:rsidRPr="00F621C5">
        <w:rPr>
          <w:rFonts w:ascii="Arial MT" w:eastAsia="Arial MT" w:hAnsi="Arial MT" w:cs="Arial MT"/>
          <w:color w:val="4E4D4D"/>
          <w:sz w:val="22"/>
          <w:szCs w:val="22"/>
          <w:lang w:val="es-ES" w:eastAsia="en-US"/>
        </w:rPr>
        <w:t>19</w:t>
      </w:r>
      <w:r w:rsidRPr="00F621C5">
        <w:rPr>
          <w:rFonts w:ascii="Arial MT" w:eastAsia="Arial MT" w:hAnsi="Arial MT" w:cs="Arial MT"/>
          <w:color w:val="4E4D4D"/>
          <w:spacing w:val="-4"/>
          <w:sz w:val="22"/>
          <w:szCs w:val="22"/>
          <w:lang w:val="es-ES" w:eastAsia="en-US"/>
        </w:rPr>
        <w:t xml:space="preserve"> </w:t>
      </w:r>
      <w:r w:rsidRPr="00F621C5">
        <w:rPr>
          <w:rFonts w:ascii="Arial MT" w:eastAsia="Arial MT" w:hAnsi="Arial MT" w:cs="Arial MT"/>
          <w:color w:val="4E4D4D"/>
          <w:sz w:val="22"/>
          <w:szCs w:val="22"/>
          <w:lang w:val="es-ES" w:eastAsia="en-US"/>
        </w:rPr>
        <w:t>Julio</w:t>
      </w:r>
      <w:r w:rsidRPr="00F621C5">
        <w:rPr>
          <w:rFonts w:ascii="Arial MT" w:eastAsia="Arial MT" w:hAnsi="Arial MT" w:cs="Arial MT"/>
          <w:color w:val="4E4D4D"/>
          <w:spacing w:val="-3"/>
          <w:sz w:val="22"/>
          <w:szCs w:val="22"/>
          <w:lang w:val="es-ES" w:eastAsia="en-US"/>
        </w:rPr>
        <w:t xml:space="preserve"> </w:t>
      </w:r>
      <w:r w:rsidRPr="00F621C5">
        <w:rPr>
          <w:rFonts w:ascii="Arial MT" w:eastAsia="Arial MT" w:hAnsi="Arial MT" w:cs="Arial MT"/>
          <w:color w:val="4E4D4D"/>
          <w:sz w:val="22"/>
          <w:szCs w:val="22"/>
          <w:lang w:val="es-ES" w:eastAsia="en-US"/>
        </w:rPr>
        <w:t>2022</w:t>
      </w:r>
    </w:p>
    <w:p w14:paraId="127E9853" w14:textId="77777777" w:rsidR="00C3095C" w:rsidRPr="00A611B3" w:rsidRDefault="00C3095C" w:rsidP="00C3095C">
      <w:pPr>
        <w:widowControl w:val="0"/>
        <w:autoSpaceDE w:val="0"/>
        <w:autoSpaceDN w:val="0"/>
        <w:rPr>
          <w:rFonts w:ascii="Arial" w:eastAsia="Arial MT" w:hAnsi="Arial MT" w:cs="Arial MT"/>
          <w:b/>
          <w:sz w:val="20"/>
          <w:szCs w:val="22"/>
          <w:lang w:val="es-ES" w:eastAsia="en-US"/>
        </w:rPr>
      </w:pPr>
    </w:p>
    <w:p w14:paraId="67387289" w14:textId="0EF9788A" w:rsidR="00C3095C" w:rsidRPr="00A611B3" w:rsidRDefault="00C3095C" w:rsidP="00C3095C">
      <w:pPr>
        <w:widowControl w:val="0"/>
        <w:autoSpaceDE w:val="0"/>
        <w:autoSpaceDN w:val="0"/>
        <w:rPr>
          <w:rFonts w:ascii="Arial MT" w:eastAsia="Arial MT" w:hAnsi="Arial MT" w:cs="Arial MT"/>
          <w:szCs w:val="22"/>
          <w:lang w:val="es-ES" w:eastAsia="en-US"/>
        </w:rPr>
      </w:pPr>
    </w:p>
    <w:p w14:paraId="7B8EDDF6" w14:textId="77777777" w:rsidR="00C3095C" w:rsidRPr="00A611B3" w:rsidRDefault="00C3095C" w:rsidP="00C3095C">
      <w:pPr>
        <w:widowControl w:val="0"/>
        <w:autoSpaceDE w:val="0"/>
        <w:autoSpaceDN w:val="0"/>
        <w:spacing w:before="167"/>
        <w:ind w:left="200"/>
        <w:rPr>
          <w:rFonts w:ascii="Arial MT" w:eastAsia="Arial MT" w:hAnsi="Arial MT" w:cs="Arial MT"/>
          <w:sz w:val="22"/>
          <w:szCs w:val="22"/>
          <w:lang w:val="es-ES" w:eastAsia="en-US"/>
        </w:rPr>
      </w:pPr>
      <w:r w:rsidRPr="00A611B3">
        <w:rPr>
          <w:rFonts w:ascii="Arial MT" w:eastAsia="Arial MT" w:hAnsi="Arial MT" w:cs="Arial MT"/>
          <w:sz w:val="22"/>
          <w:szCs w:val="22"/>
          <w:lang w:val="es-ES" w:eastAsia="en-US"/>
        </w:rPr>
        <w:t>Señor</w:t>
      </w:r>
    </w:p>
    <w:p w14:paraId="32E631A9" w14:textId="77777777" w:rsidR="00C3095C" w:rsidRPr="00A611B3" w:rsidRDefault="00C3095C" w:rsidP="00C3095C">
      <w:pPr>
        <w:widowControl w:val="0"/>
        <w:autoSpaceDE w:val="0"/>
        <w:autoSpaceDN w:val="0"/>
        <w:ind w:left="200"/>
        <w:outlineLvl w:val="0"/>
        <w:rPr>
          <w:rFonts w:ascii="Arial" w:eastAsia="Arial" w:hAnsi="Arial" w:cs="Arial"/>
          <w:b/>
          <w:bCs/>
          <w:sz w:val="22"/>
          <w:szCs w:val="22"/>
          <w:lang w:val="es-ES" w:eastAsia="en-US"/>
        </w:rPr>
      </w:pPr>
      <w:r w:rsidRPr="00A611B3">
        <w:rPr>
          <w:rFonts w:ascii="Arial" w:eastAsia="Arial" w:hAnsi="Arial" w:cs="Arial"/>
          <w:b/>
          <w:bCs/>
          <w:sz w:val="22"/>
          <w:szCs w:val="22"/>
          <w:lang w:val="es-ES" w:eastAsia="en-US"/>
        </w:rPr>
        <w:t>Diego</w:t>
      </w:r>
      <w:r w:rsidRPr="00A611B3">
        <w:rPr>
          <w:rFonts w:ascii="Arial" w:eastAsia="Arial" w:hAnsi="Arial" w:cs="Arial"/>
          <w:b/>
          <w:bCs/>
          <w:spacing w:val="-7"/>
          <w:sz w:val="22"/>
          <w:szCs w:val="22"/>
          <w:lang w:val="es-ES" w:eastAsia="en-US"/>
        </w:rPr>
        <w:t xml:space="preserve"> </w:t>
      </w:r>
      <w:r w:rsidRPr="00A611B3">
        <w:rPr>
          <w:rFonts w:ascii="Arial" w:eastAsia="Arial" w:hAnsi="Arial" w:cs="Arial"/>
          <w:b/>
          <w:bCs/>
          <w:sz w:val="22"/>
          <w:szCs w:val="22"/>
          <w:lang w:val="es-ES" w:eastAsia="en-US"/>
        </w:rPr>
        <w:t>Gerardo</w:t>
      </w:r>
      <w:r w:rsidRPr="00A611B3">
        <w:rPr>
          <w:rFonts w:ascii="Arial" w:eastAsia="Arial" w:hAnsi="Arial" w:cs="Arial"/>
          <w:b/>
          <w:bCs/>
          <w:spacing w:val="-6"/>
          <w:sz w:val="22"/>
          <w:szCs w:val="22"/>
          <w:lang w:val="es-ES" w:eastAsia="en-US"/>
        </w:rPr>
        <w:t xml:space="preserve"> </w:t>
      </w:r>
      <w:r w:rsidRPr="00A611B3">
        <w:rPr>
          <w:rFonts w:ascii="Arial" w:eastAsia="Arial" w:hAnsi="Arial" w:cs="Arial"/>
          <w:b/>
          <w:bCs/>
          <w:sz w:val="22"/>
          <w:szCs w:val="22"/>
          <w:lang w:val="es-ES" w:eastAsia="en-US"/>
        </w:rPr>
        <w:t>Chávez</w:t>
      </w:r>
      <w:r w:rsidRPr="00A611B3">
        <w:rPr>
          <w:rFonts w:ascii="Arial" w:eastAsia="Arial" w:hAnsi="Arial" w:cs="Arial"/>
          <w:b/>
          <w:bCs/>
          <w:spacing w:val="-7"/>
          <w:sz w:val="22"/>
          <w:szCs w:val="22"/>
          <w:lang w:val="es-ES" w:eastAsia="en-US"/>
        </w:rPr>
        <w:t xml:space="preserve"> </w:t>
      </w:r>
      <w:r w:rsidRPr="00A611B3">
        <w:rPr>
          <w:rFonts w:ascii="Arial" w:eastAsia="Arial" w:hAnsi="Arial" w:cs="Arial"/>
          <w:b/>
          <w:bCs/>
          <w:sz w:val="22"/>
          <w:szCs w:val="22"/>
          <w:lang w:val="es-ES" w:eastAsia="en-US"/>
        </w:rPr>
        <w:t>Granados</w:t>
      </w:r>
    </w:p>
    <w:p w14:paraId="440BEDA5" w14:textId="77777777" w:rsidR="00C3095C" w:rsidRPr="00A611B3" w:rsidRDefault="00C3095C" w:rsidP="00C3095C">
      <w:pPr>
        <w:widowControl w:val="0"/>
        <w:autoSpaceDE w:val="0"/>
        <w:autoSpaceDN w:val="0"/>
        <w:ind w:left="222"/>
        <w:rPr>
          <w:rFonts w:ascii="Arial MT" w:eastAsia="Arial MT" w:hAnsi="Arial MT" w:cs="Arial MT"/>
          <w:sz w:val="22"/>
          <w:szCs w:val="22"/>
          <w:lang w:val="es-ES" w:eastAsia="en-US"/>
        </w:rPr>
      </w:pPr>
      <w:r w:rsidRPr="00A611B3">
        <w:rPr>
          <w:rFonts w:ascii="Arial MT" w:eastAsia="Arial MT" w:hAnsi="Arial MT" w:cs="Arial MT"/>
          <w:sz w:val="22"/>
          <w:szCs w:val="22"/>
          <w:lang w:val="es-ES" w:eastAsia="en-US"/>
        </w:rPr>
        <w:t>Paz</w:t>
      </w:r>
      <w:r w:rsidRPr="00A611B3">
        <w:rPr>
          <w:rFonts w:ascii="Arial MT" w:eastAsia="Arial MT" w:hAnsi="Arial MT" w:cs="Arial MT"/>
          <w:spacing w:val="-7"/>
          <w:sz w:val="22"/>
          <w:szCs w:val="22"/>
          <w:lang w:val="es-ES" w:eastAsia="en-US"/>
        </w:rPr>
        <w:t xml:space="preserve"> </w:t>
      </w:r>
      <w:r w:rsidRPr="00A611B3">
        <w:rPr>
          <w:rFonts w:ascii="Arial MT" w:eastAsia="Arial MT" w:hAnsi="Arial MT" w:cs="Arial MT"/>
          <w:sz w:val="22"/>
          <w:szCs w:val="22"/>
          <w:lang w:val="es-ES" w:eastAsia="en-US"/>
        </w:rPr>
        <w:t>de</w:t>
      </w:r>
      <w:r w:rsidRPr="00A611B3">
        <w:rPr>
          <w:rFonts w:ascii="Arial MT" w:eastAsia="Arial MT" w:hAnsi="Arial MT" w:cs="Arial MT"/>
          <w:spacing w:val="-7"/>
          <w:sz w:val="22"/>
          <w:szCs w:val="22"/>
          <w:lang w:val="es-ES" w:eastAsia="en-US"/>
        </w:rPr>
        <w:t xml:space="preserve"> </w:t>
      </w:r>
      <w:proofErr w:type="spellStart"/>
      <w:r w:rsidRPr="00A611B3">
        <w:rPr>
          <w:rFonts w:ascii="Arial MT" w:eastAsia="Arial MT" w:hAnsi="Arial MT" w:cs="Arial MT"/>
          <w:sz w:val="22"/>
          <w:szCs w:val="22"/>
          <w:lang w:val="es-ES" w:eastAsia="en-US"/>
        </w:rPr>
        <w:t>Ariporo</w:t>
      </w:r>
      <w:proofErr w:type="spellEnd"/>
      <w:r w:rsidRPr="00A611B3">
        <w:rPr>
          <w:rFonts w:ascii="Arial MT" w:eastAsia="Arial MT" w:hAnsi="Arial MT" w:cs="Arial MT"/>
          <w:sz w:val="22"/>
          <w:szCs w:val="22"/>
          <w:lang w:val="es-ES" w:eastAsia="en-US"/>
        </w:rPr>
        <w:t>-Casanare</w:t>
      </w:r>
    </w:p>
    <w:p w14:paraId="1B88D45B" w14:textId="5095BCDA" w:rsidR="00C3095C" w:rsidRPr="00A611B3" w:rsidRDefault="00C3095C" w:rsidP="00C3095C">
      <w:pPr>
        <w:widowControl w:val="0"/>
        <w:autoSpaceDE w:val="0"/>
        <w:autoSpaceDN w:val="0"/>
        <w:spacing w:before="10"/>
        <w:rPr>
          <w:rFonts w:ascii="Arial MT" w:eastAsia="Arial MT" w:hAnsi="Arial MT" w:cs="Arial MT"/>
          <w:szCs w:val="22"/>
          <w:lang w:val="es-ES" w:eastAsia="en-US"/>
        </w:rPr>
      </w:pPr>
    </w:p>
    <w:p w14:paraId="1B7AEAD0" w14:textId="77777777" w:rsidR="00C3095C" w:rsidRPr="00A611B3" w:rsidRDefault="00C3095C" w:rsidP="00C3095C">
      <w:pPr>
        <w:widowControl w:val="0"/>
        <w:autoSpaceDE w:val="0"/>
        <w:autoSpaceDN w:val="0"/>
        <w:spacing w:before="10"/>
        <w:rPr>
          <w:rFonts w:ascii="Arial MT" w:eastAsia="Arial MT" w:hAnsi="Arial MT" w:cs="Arial MT"/>
          <w:sz w:val="19"/>
          <w:szCs w:val="22"/>
          <w:lang w:val="es-ES" w:eastAsia="en-US"/>
        </w:rPr>
      </w:pPr>
    </w:p>
    <w:p w14:paraId="6B475CB4" w14:textId="667D28F5" w:rsidR="00C3095C" w:rsidRPr="00A611B3" w:rsidRDefault="00C3095C" w:rsidP="00C3095C">
      <w:pPr>
        <w:widowControl w:val="0"/>
        <w:autoSpaceDE w:val="0"/>
        <w:autoSpaceDN w:val="0"/>
        <w:spacing w:before="1"/>
        <w:ind w:left="2883"/>
        <w:outlineLvl w:val="0"/>
        <w:rPr>
          <w:rFonts w:ascii="Arial" w:eastAsia="Arial" w:hAnsi="Arial" w:cs="Arial"/>
          <w:b/>
          <w:bCs/>
          <w:sz w:val="22"/>
          <w:szCs w:val="22"/>
          <w:lang w:val="es-ES" w:eastAsia="en-US"/>
        </w:rPr>
      </w:pPr>
      <w:r w:rsidRPr="00A611B3">
        <w:rPr>
          <w:rFonts w:ascii="Arial" w:eastAsia="Arial" w:hAnsi="Arial" w:cs="Arial"/>
          <w:b/>
          <w:bCs/>
          <w:sz w:val="22"/>
          <w:szCs w:val="22"/>
          <w:lang w:val="es-ES" w:eastAsia="en-US"/>
        </w:rPr>
        <w:t>Concepto</w:t>
      </w:r>
      <w:r w:rsidRPr="00A611B3">
        <w:rPr>
          <w:rFonts w:ascii="Arial" w:eastAsia="Arial" w:hAnsi="Arial" w:cs="Arial"/>
          <w:b/>
          <w:bCs/>
          <w:spacing w:val="-7"/>
          <w:sz w:val="22"/>
          <w:szCs w:val="22"/>
          <w:lang w:val="es-ES" w:eastAsia="en-US"/>
        </w:rPr>
        <w:t xml:space="preserve"> </w:t>
      </w:r>
      <w:r w:rsidRPr="00A611B3">
        <w:rPr>
          <w:rFonts w:ascii="Arial" w:eastAsia="Arial" w:hAnsi="Arial" w:cs="Arial"/>
          <w:b/>
          <w:bCs/>
          <w:sz w:val="22"/>
          <w:szCs w:val="22"/>
          <w:lang w:val="es-ES" w:eastAsia="en-US"/>
        </w:rPr>
        <w:t>C</w:t>
      </w:r>
      <w:r w:rsidRPr="00A611B3">
        <w:rPr>
          <w:rFonts w:ascii="Arial" w:eastAsia="Arial" w:hAnsi="Arial" w:cs="Arial"/>
          <w:b/>
          <w:bCs/>
          <w:spacing w:val="3"/>
          <w:sz w:val="22"/>
          <w:szCs w:val="22"/>
          <w:lang w:val="es-ES" w:eastAsia="en-US"/>
        </w:rPr>
        <w:t xml:space="preserve"> </w:t>
      </w:r>
      <w:r w:rsidRPr="00A611B3">
        <w:rPr>
          <w:rFonts w:ascii="Arial" w:eastAsia="Arial" w:hAnsi="Arial" w:cs="Arial"/>
          <w:b/>
          <w:bCs/>
          <w:sz w:val="22"/>
          <w:szCs w:val="22"/>
          <w:lang w:val="es-ES" w:eastAsia="en-US"/>
        </w:rPr>
        <w:t>‒</w:t>
      </w:r>
      <w:r w:rsidRPr="00A611B3">
        <w:rPr>
          <w:rFonts w:ascii="Arial" w:eastAsia="Arial" w:hAnsi="Arial" w:cs="Arial"/>
          <w:b/>
          <w:bCs/>
          <w:spacing w:val="-5"/>
          <w:sz w:val="22"/>
          <w:szCs w:val="22"/>
          <w:lang w:val="es-ES" w:eastAsia="en-US"/>
        </w:rPr>
        <w:t xml:space="preserve"> </w:t>
      </w:r>
      <w:r w:rsidR="000443C0" w:rsidRPr="00A611B3">
        <w:rPr>
          <w:rFonts w:ascii="Arial" w:eastAsia="Arial" w:hAnsi="Arial" w:cs="Arial"/>
          <w:b/>
          <w:bCs/>
          <w:sz w:val="22"/>
          <w:szCs w:val="22"/>
          <w:lang w:val="es-ES" w:eastAsia="en-US"/>
        </w:rPr>
        <w:t>463 de 2022</w:t>
      </w:r>
    </w:p>
    <w:p w14:paraId="2BBC67B1" w14:textId="77777777" w:rsidR="00C3095C" w:rsidRPr="00A611B3" w:rsidRDefault="00C3095C" w:rsidP="00C3095C">
      <w:pPr>
        <w:widowControl w:val="0"/>
        <w:autoSpaceDE w:val="0"/>
        <w:autoSpaceDN w:val="0"/>
        <w:spacing w:before="10"/>
        <w:rPr>
          <w:rFonts w:ascii="Arial" w:eastAsia="Arial MT" w:hAnsi="Arial MT" w:cs="Arial MT"/>
          <w:b/>
          <w:sz w:val="13"/>
          <w:szCs w:val="22"/>
          <w:lang w:val="es-ES" w:eastAsia="en-US"/>
        </w:rPr>
      </w:pPr>
    </w:p>
    <w:p w14:paraId="17DFFE08" w14:textId="71806BD8" w:rsidR="00C3095C" w:rsidRPr="00A611B3" w:rsidRDefault="00C3095C" w:rsidP="00C3095C">
      <w:pPr>
        <w:widowControl w:val="0"/>
        <w:tabs>
          <w:tab w:val="left" w:pos="2789"/>
        </w:tabs>
        <w:autoSpaceDE w:val="0"/>
        <w:autoSpaceDN w:val="0"/>
        <w:spacing w:before="93"/>
        <w:ind w:left="2790" w:right="111" w:hanging="2689"/>
        <w:jc w:val="both"/>
        <w:rPr>
          <w:rFonts w:ascii="Arial MT" w:eastAsia="Arial MT" w:hAnsi="Arial MT" w:cs="Arial MT"/>
          <w:sz w:val="22"/>
          <w:szCs w:val="22"/>
          <w:lang w:val="es-ES" w:eastAsia="en-US"/>
        </w:rPr>
      </w:pPr>
      <w:r w:rsidRPr="00A611B3">
        <w:rPr>
          <w:rFonts w:ascii="Arial" w:eastAsia="Arial MT" w:hAnsi="Arial" w:cs="Arial MT"/>
          <w:b/>
          <w:sz w:val="22"/>
          <w:szCs w:val="22"/>
          <w:lang w:val="es-ES" w:eastAsia="en-US"/>
        </w:rPr>
        <w:t>Temas:</w:t>
      </w:r>
      <w:r w:rsidRPr="00A611B3">
        <w:rPr>
          <w:rFonts w:ascii="Arial" w:eastAsia="Arial MT" w:hAnsi="Arial" w:cs="Arial MT"/>
          <w:b/>
          <w:sz w:val="22"/>
          <w:szCs w:val="22"/>
          <w:lang w:val="es-ES" w:eastAsia="en-US"/>
        </w:rPr>
        <w:tab/>
      </w:r>
      <w:r w:rsidRPr="00A611B3">
        <w:rPr>
          <w:rFonts w:ascii="Arial MT" w:eastAsia="Arial MT" w:hAnsi="Arial MT" w:cs="Arial MT"/>
          <w:sz w:val="22"/>
          <w:szCs w:val="22"/>
          <w:lang w:val="es-ES" w:eastAsia="en-US"/>
        </w:rPr>
        <w:t>CAPACIDAD</w:t>
      </w:r>
      <w:r w:rsidRPr="00A611B3">
        <w:rPr>
          <w:rFonts w:ascii="Arial MT" w:eastAsia="Arial MT" w:hAnsi="Arial MT" w:cs="Arial MT"/>
          <w:spacing w:val="-13"/>
          <w:sz w:val="22"/>
          <w:szCs w:val="22"/>
          <w:lang w:val="es-ES" w:eastAsia="en-US"/>
        </w:rPr>
        <w:t xml:space="preserve"> </w:t>
      </w:r>
      <w:r w:rsidRPr="00A611B3">
        <w:rPr>
          <w:rFonts w:ascii="Arial MT" w:eastAsia="Arial MT" w:hAnsi="Arial MT" w:cs="Arial MT"/>
          <w:sz w:val="22"/>
          <w:szCs w:val="22"/>
          <w:lang w:val="es-ES" w:eastAsia="en-US"/>
        </w:rPr>
        <w:t>RESIDUAL</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Ley</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1150</w:t>
      </w:r>
      <w:r w:rsidRPr="00A611B3">
        <w:rPr>
          <w:rFonts w:ascii="Arial MT" w:eastAsia="Arial MT" w:hAnsi="Arial MT" w:cs="Arial MT"/>
          <w:spacing w:val="-13"/>
          <w:sz w:val="22"/>
          <w:szCs w:val="22"/>
          <w:lang w:val="es-ES" w:eastAsia="en-US"/>
        </w:rPr>
        <w:t xml:space="preserve"> </w:t>
      </w:r>
      <w:r w:rsidRPr="00A611B3">
        <w:rPr>
          <w:rFonts w:ascii="Arial MT" w:eastAsia="Arial MT" w:hAnsi="Arial MT" w:cs="Arial MT"/>
          <w:sz w:val="22"/>
          <w:szCs w:val="22"/>
          <w:lang w:val="es-ES" w:eastAsia="en-US"/>
        </w:rPr>
        <w:t>de</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2007</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Decreto</w:t>
      </w:r>
      <w:r w:rsidRPr="00A611B3">
        <w:rPr>
          <w:rFonts w:ascii="Arial MT" w:eastAsia="Arial MT" w:hAnsi="Arial MT" w:cs="Arial MT"/>
          <w:spacing w:val="-13"/>
          <w:sz w:val="22"/>
          <w:szCs w:val="22"/>
          <w:lang w:val="es-ES" w:eastAsia="en-US"/>
        </w:rPr>
        <w:t xml:space="preserve"> </w:t>
      </w:r>
      <w:r w:rsidRPr="00A611B3">
        <w:rPr>
          <w:rFonts w:ascii="Arial MT" w:eastAsia="Arial MT" w:hAnsi="Arial MT" w:cs="Arial MT"/>
          <w:sz w:val="22"/>
          <w:szCs w:val="22"/>
          <w:lang w:val="es-ES" w:eastAsia="en-US"/>
        </w:rPr>
        <w:t>1082</w:t>
      </w:r>
      <w:r w:rsidRPr="00A611B3">
        <w:rPr>
          <w:rFonts w:ascii="Arial MT" w:eastAsia="Arial MT" w:hAnsi="Arial MT" w:cs="Arial MT"/>
          <w:spacing w:val="-12"/>
          <w:sz w:val="22"/>
          <w:szCs w:val="22"/>
          <w:lang w:val="es-ES" w:eastAsia="en-US"/>
        </w:rPr>
        <w:t xml:space="preserve"> </w:t>
      </w:r>
      <w:r w:rsidRPr="00A611B3">
        <w:rPr>
          <w:rFonts w:ascii="Arial MT" w:eastAsia="Arial MT" w:hAnsi="Arial MT" w:cs="Arial MT"/>
          <w:sz w:val="22"/>
          <w:szCs w:val="22"/>
          <w:lang w:val="es-ES" w:eastAsia="en-US"/>
        </w:rPr>
        <w:t>de</w:t>
      </w:r>
      <w:r w:rsidRPr="00A611B3">
        <w:rPr>
          <w:rFonts w:ascii="Arial MT" w:eastAsia="Arial MT" w:hAnsi="Arial MT" w:cs="Arial MT"/>
          <w:spacing w:val="-58"/>
          <w:sz w:val="22"/>
          <w:szCs w:val="22"/>
          <w:lang w:val="es-ES" w:eastAsia="en-US"/>
        </w:rPr>
        <w:t xml:space="preserve"> </w:t>
      </w:r>
      <w:r w:rsidRPr="00A611B3">
        <w:rPr>
          <w:rFonts w:ascii="Arial MT" w:eastAsia="Arial MT" w:hAnsi="Arial MT" w:cs="Arial MT"/>
          <w:sz w:val="22"/>
          <w:szCs w:val="22"/>
          <w:lang w:val="es-ES" w:eastAsia="en-US"/>
        </w:rPr>
        <w:t>2015</w:t>
      </w:r>
      <w:r w:rsidRPr="00A611B3">
        <w:rPr>
          <w:rFonts w:ascii="Arial MT" w:eastAsia="Arial MT" w:hAnsi="Arial MT" w:cs="Arial MT"/>
          <w:spacing w:val="16"/>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7"/>
          <w:sz w:val="22"/>
          <w:szCs w:val="22"/>
          <w:lang w:val="es-ES" w:eastAsia="en-US"/>
        </w:rPr>
        <w:t xml:space="preserve"> </w:t>
      </w:r>
      <w:r w:rsidRPr="00A611B3">
        <w:rPr>
          <w:rFonts w:ascii="Arial MT" w:eastAsia="Arial MT" w:hAnsi="Arial MT" w:cs="Arial MT"/>
          <w:sz w:val="22"/>
          <w:szCs w:val="22"/>
          <w:lang w:val="es-ES" w:eastAsia="en-US"/>
        </w:rPr>
        <w:t>CAPACIDAD</w:t>
      </w:r>
      <w:r w:rsidRPr="00A611B3">
        <w:rPr>
          <w:rFonts w:ascii="Arial MT" w:eastAsia="Arial MT" w:hAnsi="Arial MT" w:cs="Arial MT"/>
          <w:spacing w:val="18"/>
          <w:sz w:val="22"/>
          <w:szCs w:val="22"/>
          <w:lang w:val="es-ES" w:eastAsia="en-US"/>
        </w:rPr>
        <w:t xml:space="preserve"> </w:t>
      </w:r>
      <w:r w:rsidRPr="00A611B3">
        <w:rPr>
          <w:rFonts w:ascii="Arial MT" w:eastAsia="Arial MT" w:hAnsi="Arial MT" w:cs="Arial MT"/>
          <w:sz w:val="22"/>
          <w:szCs w:val="22"/>
          <w:lang w:val="es-ES" w:eastAsia="en-US"/>
        </w:rPr>
        <w:t>RESIDUAL</w:t>
      </w:r>
      <w:r w:rsidRPr="00A611B3">
        <w:rPr>
          <w:rFonts w:ascii="Arial MT" w:eastAsia="Arial MT" w:hAnsi="Arial MT" w:cs="Arial MT"/>
          <w:spacing w:val="18"/>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7"/>
          <w:sz w:val="22"/>
          <w:szCs w:val="22"/>
          <w:lang w:val="es-ES" w:eastAsia="en-US"/>
        </w:rPr>
        <w:t xml:space="preserve"> </w:t>
      </w:r>
      <w:r w:rsidRPr="00A611B3">
        <w:rPr>
          <w:rFonts w:ascii="Arial MT" w:eastAsia="Arial MT" w:hAnsi="Arial MT" w:cs="Arial MT"/>
          <w:sz w:val="22"/>
          <w:szCs w:val="22"/>
          <w:lang w:val="es-ES" w:eastAsia="en-US"/>
        </w:rPr>
        <w:t>Capacidad</w:t>
      </w:r>
      <w:r w:rsidRPr="00A611B3">
        <w:rPr>
          <w:rFonts w:ascii="Arial MT" w:eastAsia="Arial MT" w:hAnsi="Arial MT" w:cs="Arial MT"/>
          <w:spacing w:val="17"/>
          <w:sz w:val="22"/>
          <w:szCs w:val="22"/>
          <w:lang w:val="es-ES" w:eastAsia="en-US"/>
        </w:rPr>
        <w:t xml:space="preserve"> </w:t>
      </w:r>
      <w:r w:rsidRPr="00A611B3">
        <w:rPr>
          <w:rFonts w:ascii="Arial MT" w:eastAsia="Arial MT" w:hAnsi="Arial MT" w:cs="Arial MT"/>
          <w:sz w:val="22"/>
          <w:szCs w:val="22"/>
          <w:lang w:val="es-ES" w:eastAsia="en-US"/>
        </w:rPr>
        <w:t>de</w:t>
      </w:r>
      <w:r w:rsidRPr="00A611B3">
        <w:rPr>
          <w:rFonts w:ascii="Arial MT" w:eastAsia="Arial MT" w:hAnsi="Arial MT" w:cs="Arial MT"/>
          <w:spacing w:val="17"/>
          <w:sz w:val="22"/>
          <w:szCs w:val="22"/>
          <w:lang w:val="es-ES" w:eastAsia="en-US"/>
        </w:rPr>
        <w:t xml:space="preserve"> </w:t>
      </w:r>
      <w:r w:rsidRPr="00A611B3">
        <w:rPr>
          <w:rFonts w:ascii="Arial MT" w:eastAsia="Arial MT" w:hAnsi="Arial MT" w:cs="Arial MT"/>
          <w:sz w:val="22"/>
          <w:szCs w:val="22"/>
          <w:lang w:val="es-ES" w:eastAsia="en-US"/>
        </w:rPr>
        <w:t>Organización– Ley 1150 de 2007 – Decreto 1082 de 2015 / DOCUMENTOS</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TIPO¬</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Versión</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3</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Capacidad</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residual</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Capacidad</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de</w:t>
      </w:r>
      <w:r w:rsidRPr="00A611B3">
        <w:rPr>
          <w:rFonts w:ascii="Arial MT" w:eastAsia="Arial MT" w:hAnsi="Arial MT" w:cs="Arial MT"/>
          <w:spacing w:val="1"/>
          <w:sz w:val="22"/>
          <w:szCs w:val="22"/>
          <w:lang w:val="es-ES" w:eastAsia="en-US"/>
        </w:rPr>
        <w:t xml:space="preserve"> </w:t>
      </w:r>
      <w:r w:rsidRPr="00A611B3">
        <w:rPr>
          <w:rFonts w:ascii="Arial MT" w:eastAsia="Arial MT" w:hAnsi="Arial MT" w:cs="Arial MT"/>
          <w:sz w:val="22"/>
          <w:szCs w:val="22"/>
          <w:lang w:val="es-ES" w:eastAsia="en-US"/>
        </w:rPr>
        <w:t>organización</w:t>
      </w:r>
      <w:r w:rsidR="0075755F" w:rsidRPr="00A611B3">
        <w:rPr>
          <w:rFonts w:ascii="Arial MT" w:eastAsia="Arial MT" w:hAnsi="Arial MT" w:cs="Arial MT"/>
          <w:spacing w:val="1"/>
          <w:sz w:val="22"/>
          <w:szCs w:val="22"/>
          <w:lang w:val="es-ES" w:eastAsia="en-US"/>
        </w:rPr>
        <w:t xml:space="preserve"> / CAPACIDAD RESIDUAL – Capacidad de organización – Estado de resultados. </w:t>
      </w:r>
    </w:p>
    <w:p w14:paraId="1DED0612" w14:textId="423B22AD" w:rsidR="00C3095C" w:rsidRPr="00A611B3" w:rsidRDefault="00C3095C" w:rsidP="00C3095C">
      <w:pPr>
        <w:widowControl w:val="0"/>
        <w:autoSpaceDE w:val="0"/>
        <w:autoSpaceDN w:val="0"/>
        <w:spacing w:before="3"/>
        <w:rPr>
          <w:rFonts w:ascii="Arial MT" w:eastAsia="Arial MT" w:hAnsi="Arial MT" w:cs="Arial MT"/>
          <w:sz w:val="31"/>
          <w:szCs w:val="22"/>
          <w:lang w:val="es-ES" w:eastAsia="en-US"/>
        </w:rPr>
      </w:pPr>
    </w:p>
    <w:p w14:paraId="290E9F41" w14:textId="79718DF6" w:rsidR="00C3095C" w:rsidRPr="00A611B3" w:rsidRDefault="00C3095C" w:rsidP="00C3095C">
      <w:pPr>
        <w:widowControl w:val="0"/>
        <w:tabs>
          <w:tab w:val="left" w:pos="2789"/>
        </w:tabs>
        <w:autoSpaceDE w:val="0"/>
        <w:autoSpaceDN w:val="0"/>
        <w:spacing w:before="1"/>
        <w:ind w:left="100"/>
        <w:rPr>
          <w:rFonts w:ascii="Arial MT" w:eastAsia="Arial MT" w:hAnsi="Arial MT" w:cs="Arial MT"/>
          <w:sz w:val="22"/>
          <w:szCs w:val="22"/>
          <w:lang w:val="es-ES" w:eastAsia="en-US"/>
        </w:rPr>
      </w:pPr>
      <w:r w:rsidRPr="00A611B3">
        <w:rPr>
          <w:rFonts w:ascii="Arial" w:eastAsia="Arial MT" w:hAnsi="Arial" w:cs="Arial MT"/>
          <w:b/>
          <w:sz w:val="22"/>
          <w:szCs w:val="22"/>
          <w:lang w:val="es-ES" w:eastAsia="en-US"/>
        </w:rPr>
        <w:t>Radicación:</w:t>
      </w:r>
      <w:r w:rsidRPr="00A611B3">
        <w:rPr>
          <w:rFonts w:ascii="Arial" w:eastAsia="Arial MT" w:hAnsi="Arial" w:cs="Arial MT"/>
          <w:b/>
          <w:sz w:val="22"/>
          <w:szCs w:val="22"/>
          <w:lang w:val="es-ES" w:eastAsia="en-US"/>
        </w:rPr>
        <w:tab/>
      </w:r>
      <w:r w:rsidRPr="00A611B3">
        <w:rPr>
          <w:rFonts w:ascii="Arial" w:eastAsia="Arial MT" w:hAnsi="Arial" w:cs="Arial"/>
          <w:sz w:val="22"/>
          <w:szCs w:val="22"/>
          <w:lang w:val="es-ES" w:eastAsia="en-US"/>
        </w:rPr>
        <w:t>Respuesta</w:t>
      </w:r>
      <w:r w:rsidRPr="00A611B3">
        <w:rPr>
          <w:rFonts w:ascii="Arial" w:eastAsia="Arial MT" w:hAnsi="Arial" w:cs="Arial"/>
          <w:spacing w:val="-6"/>
          <w:sz w:val="22"/>
          <w:szCs w:val="22"/>
          <w:lang w:val="es-ES" w:eastAsia="en-US"/>
        </w:rPr>
        <w:t xml:space="preserve"> </w:t>
      </w:r>
      <w:r w:rsidRPr="00A611B3">
        <w:rPr>
          <w:rFonts w:ascii="Arial" w:eastAsia="Arial MT" w:hAnsi="Arial" w:cs="Arial"/>
          <w:sz w:val="22"/>
          <w:szCs w:val="22"/>
          <w:lang w:val="es-ES" w:eastAsia="en-US"/>
        </w:rPr>
        <w:t>a</w:t>
      </w:r>
      <w:r w:rsidRPr="00A611B3">
        <w:rPr>
          <w:rFonts w:ascii="Arial" w:eastAsia="Arial MT" w:hAnsi="Arial" w:cs="Arial"/>
          <w:spacing w:val="-5"/>
          <w:sz w:val="22"/>
          <w:szCs w:val="22"/>
          <w:lang w:val="es-ES" w:eastAsia="en-US"/>
        </w:rPr>
        <w:t xml:space="preserve"> </w:t>
      </w:r>
      <w:r w:rsidRPr="00A611B3">
        <w:rPr>
          <w:rFonts w:ascii="Arial" w:eastAsia="Arial MT" w:hAnsi="Arial" w:cs="Arial"/>
          <w:sz w:val="22"/>
          <w:szCs w:val="22"/>
          <w:lang w:val="es-ES" w:eastAsia="en-US"/>
        </w:rPr>
        <w:t>consulta</w:t>
      </w:r>
      <w:r w:rsidRPr="00A611B3">
        <w:rPr>
          <w:rFonts w:ascii="Arial" w:eastAsia="Arial MT" w:hAnsi="Arial" w:cs="Arial"/>
          <w:spacing w:val="-6"/>
          <w:sz w:val="22"/>
          <w:szCs w:val="22"/>
          <w:lang w:val="es-ES" w:eastAsia="en-US"/>
        </w:rPr>
        <w:t xml:space="preserve"> </w:t>
      </w:r>
      <w:r w:rsidRPr="00A611B3">
        <w:rPr>
          <w:rFonts w:ascii="Arial" w:eastAsia="Arial MT" w:hAnsi="Arial" w:cs="Arial"/>
          <w:sz w:val="22"/>
          <w:szCs w:val="22"/>
          <w:lang w:val="es-ES" w:eastAsia="en-US"/>
        </w:rPr>
        <w:t>#</w:t>
      </w:r>
      <w:r w:rsidR="001942C4" w:rsidRPr="00A611B3">
        <w:rPr>
          <w:rFonts w:ascii="Arial" w:eastAsia="Arial MT" w:hAnsi="Arial" w:cs="Arial"/>
          <w:sz w:val="22"/>
          <w:szCs w:val="22"/>
          <w:lang w:val="es-ES" w:eastAsia="en-US"/>
        </w:rPr>
        <w:t xml:space="preserve"> </w:t>
      </w:r>
      <w:r w:rsidR="001942C4" w:rsidRPr="00A611B3">
        <w:rPr>
          <w:rFonts w:ascii="Arial" w:hAnsi="Arial" w:cs="Arial"/>
          <w:bCs/>
          <w:sz w:val="22"/>
          <w:szCs w:val="22"/>
          <w:shd w:val="clear" w:color="auto" w:fill="FFFFFF"/>
        </w:rPr>
        <w:t>P20220602005484</w:t>
      </w:r>
    </w:p>
    <w:p w14:paraId="31005BBA" w14:textId="77777777" w:rsidR="00C3095C" w:rsidRPr="00A611B3" w:rsidRDefault="00C3095C" w:rsidP="00C3095C">
      <w:pPr>
        <w:widowControl w:val="0"/>
        <w:autoSpaceDE w:val="0"/>
        <w:autoSpaceDN w:val="0"/>
        <w:rPr>
          <w:rFonts w:ascii="Arial MT" w:eastAsia="Arial MT" w:hAnsi="Arial MT" w:cs="Arial MT"/>
          <w:szCs w:val="22"/>
          <w:lang w:val="es-ES" w:eastAsia="en-US"/>
        </w:rPr>
      </w:pPr>
    </w:p>
    <w:p w14:paraId="4B9B5156" w14:textId="4672F949" w:rsidR="00716BB0" w:rsidRPr="00D710FC" w:rsidRDefault="00716BB0" w:rsidP="003C3339">
      <w:pPr>
        <w:jc w:val="both"/>
        <w:rPr>
          <w:rFonts w:ascii="Arial" w:eastAsia="Calibri" w:hAnsi="Arial" w:cs="Arial"/>
          <w:sz w:val="22"/>
          <w:lang w:val="es-ES_tradnl"/>
        </w:rPr>
      </w:pPr>
    </w:p>
    <w:p w14:paraId="1CF4AEA0" w14:textId="2680AE80" w:rsidR="003C3339" w:rsidRPr="00D710FC" w:rsidRDefault="003C3339" w:rsidP="003C3339">
      <w:pPr>
        <w:jc w:val="both"/>
        <w:rPr>
          <w:rFonts w:ascii="Arial" w:eastAsia="Calibri" w:hAnsi="Arial" w:cs="Arial"/>
          <w:sz w:val="22"/>
          <w:lang w:val="es-ES_tradnl"/>
        </w:rPr>
      </w:pPr>
      <w:r w:rsidRPr="00D710FC">
        <w:rPr>
          <w:rFonts w:ascii="Arial" w:eastAsia="Calibri" w:hAnsi="Arial" w:cs="Arial"/>
          <w:sz w:val="22"/>
          <w:lang w:val="es-ES_tradnl"/>
        </w:rPr>
        <w:t>Estimad</w:t>
      </w:r>
      <w:r w:rsidR="000F3853" w:rsidRPr="00D710FC">
        <w:rPr>
          <w:rFonts w:ascii="Arial" w:eastAsia="Calibri" w:hAnsi="Arial" w:cs="Arial"/>
          <w:sz w:val="22"/>
          <w:lang w:val="es-ES_tradnl"/>
        </w:rPr>
        <w:t xml:space="preserve">o Diego, </w:t>
      </w:r>
    </w:p>
    <w:p w14:paraId="1EAE5543" w14:textId="77777777" w:rsidR="00DD5B04" w:rsidRPr="00D710FC" w:rsidRDefault="00DD5B04" w:rsidP="00DF76A2">
      <w:pPr>
        <w:jc w:val="both"/>
        <w:rPr>
          <w:rFonts w:ascii="Arial" w:eastAsia="Calibri" w:hAnsi="Arial" w:cs="Arial"/>
          <w:sz w:val="22"/>
          <w:lang w:val="es-ES_tradnl"/>
        </w:rPr>
      </w:pPr>
    </w:p>
    <w:p w14:paraId="2109B2D3" w14:textId="26676642" w:rsidR="00DD5B04" w:rsidRPr="00D710FC" w:rsidRDefault="00DD5B04" w:rsidP="00DF76A2">
      <w:pPr>
        <w:spacing w:line="276" w:lineRule="auto"/>
        <w:jc w:val="both"/>
        <w:rPr>
          <w:rFonts w:ascii="Arial" w:eastAsia="Calibri" w:hAnsi="Arial" w:cs="Arial"/>
          <w:sz w:val="22"/>
          <w:lang w:val="es-ES_tradnl"/>
        </w:rPr>
      </w:pPr>
      <w:r w:rsidRPr="00D710FC">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D710FC">
        <w:rPr>
          <w:rFonts w:ascii="Arial" w:eastAsia="Calibri" w:hAnsi="Arial" w:cs="Arial"/>
          <w:sz w:val="22"/>
          <w:lang w:val="es-ES_tradnl"/>
        </w:rPr>
        <w:t xml:space="preserve"> </w:t>
      </w:r>
      <w:r w:rsidRPr="00D710FC">
        <w:rPr>
          <w:rFonts w:ascii="Arial" w:eastAsia="Calibri" w:hAnsi="Arial" w:cs="Arial"/>
          <w:sz w:val="22"/>
          <w:lang w:val="es-ES_tradnl"/>
        </w:rPr>
        <w:t xml:space="preserve">responde su consulta del </w:t>
      </w:r>
      <w:r w:rsidR="000443C0" w:rsidRPr="00D710FC">
        <w:rPr>
          <w:rFonts w:ascii="Arial" w:eastAsia="Calibri" w:hAnsi="Arial" w:cs="Arial"/>
          <w:sz w:val="22"/>
          <w:lang w:val="es-ES_tradnl"/>
        </w:rPr>
        <w:t xml:space="preserve">2 de junio de 2022. </w:t>
      </w:r>
    </w:p>
    <w:p w14:paraId="26D914AC" w14:textId="77777777" w:rsidR="00AF71AA" w:rsidRPr="00D710FC" w:rsidRDefault="00AF71AA" w:rsidP="00DF76A2">
      <w:pPr>
        <w:spacing w:line="276" w:lineRule="auto"/>
        <w:jc w:val="both"/>
        <w:rPr>
          <w:rFonts w:ascii="Arial" w:eastAsia="Calibri" w:hAnsi="Arial" w:cs="Arial"/>
          <w:b/>
          <w:sz w:val="22"/>
          <w:lang w:val="es-ES_tradnl"/>
        </w:rPr>
      </w:pPr>
    </w:p>
    <w:p w14:paraId="7701FCC7" w14:textId="77777777" w:rsidR="00DD5B04" w:rsidRPr="00D710F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710FC">
        <w:rPr>
          <w:rFonts w:ascii="Arial" w:eastAsia="Calibri" w:hAnsi="Arial" w:cs="Arial"/>
          <w:b/>
          <w:sz w:val="22"/>
          <w:lang w:val="es-ES_tradnl"/>
        </w:rPr>
        <w:t xml:space="preserve">Problema planteado </w:t>
      </w:r>
    </w:p>
    <w:p w14:paraId="224B43D3" w14:textId="77777777" w:rsidR="00DD5B04" w:rsidRPr="00D710FC" w:rsidRDefault="00DD5B04" w:rsidP="00DF76A2">
      <w:pPr>
        <w:tabs>
          <w:tab w:val="left" w:pos="426"/>
        </w:tabs>
        <w:spacing w:line="276" w:lineRule="auto"/>
        <w:jc w:val="both"/>
        <w:rPr>
          <w:rFonts w:ascii="Arial" w:eastAsia="Calibri" w:hAnsi="Arial" w:cs="Arial"/>
          <w:b/>
          <w:sz w:val="22"/>
          <w:lang w:val="es-ES_tradnl"/>
        </w:rPr>
      </w:pPr>
    </w:p>
    <w:p w14:paraId="0CF22A9F" w14:textId="3756EF92" w:rsidR="00A378D7" w:rsidRPr="00A611B3" w:rsidRDefault="00480EB3" w:rsidP="00F621C5">
      <w:pPr>
        <w:tabs>
          <w:tab w:val="left" w:pos="5529"/>
        </w:tabs>
        <w:spacing w:after="120" w:line="276" w:lineRule="auto"/>
        <w:jc w:val="both"/>
        <w:rPr>
          <w:rFonts w:ascii="Arial" w:hAnsi="Arial" w:cs="Arial"/>
          <w:sz w:val="22"/>
          <w:szCs w:val="22"/>
          <w:lang w:val="es-MX"/>
        </w:rPr>
        <w:pPrChange w:id="2" w:author="AN CP " w:date="2022-07-19T10:07:00Z">
          <w:pPr>
            <w:tabs>
              <w:tab w:val="left" w:pos="5529"/>
            </w:tabs>
            <w:spacing w:line="276" w:lineRule="auto"/>
            <w:jc w:val="both"/>
          </w:pPr>
        </w:pPrChange>
      </w:pPr>
      <w:r w:rsidRPr="00D710FC">
        <w:rPr>
          <w:rFonts w:ascii="Arial" w:hAnsi="Arial" w:cs="Arial"/>
          <w:sz w:val="22"/>
          <w:szCs w:val="22"/>
          <w:lang w:val="es-ES_tradnl"/>
        </w:rPr>
        <w:t xml:space="preserve">El peticionario formula consulta con </w:t>
      </w:r>
      <w:r w:rsidR="00680D0F" w:rsidRPr="00D710FC">
        <w:rPr>
          <w:rFonts w:ascii="Arial" w:hAnsi="Arial" w:cs="Arial"/>
          <w:sz w:val="22"/>
          <w:szCs w:val="22"/>
          <w:lang w:val="es-ES_tradnl"/>
        </w:rPr>
        <w:t>relación al contenido de</w:t>
      </w:r>
      <w:r w:rsidRPr="00D710FC">
        <w:rPr>
          <w:rFonts w:ascii="Arial" w:hAnsi="Arial" w:cs="Arial"/>
          <w:sz w:val="22"/>
          <w:szCs w:val="22"/>
          <w:lang w:val="es-ES_tradnl"/>
        </w:rPr>
        <w:t xml:space="preserve">l componente de Capacidad de Organización </w:t>
      </w:r>
      <w:r w:rsidR="00814D9D" w:rsidRPr="00D710FC">
        <w:rPr>
          <w:rFonts w:ascii="Arial" w:hAnsi="Arial" w:cs="Arial"/>
          <w:sz w:val="22"/>
          <w:szCs w:val="22"/>
          <w:lang w:val="es-ES_tradnl"/>
        </w:rPr>
        <w:t xml:space="preserve">(CO) </w:t>
      </w:r>
      <w:r w:rsidR="00680D0F" w:rsidRPr="00D710FC">
        <w:rPr>
          <w:rFonts w:ascii="Arial" w:hAnsi="Arial" w:cs="Arial"/>
          <w:sz w:val="22"/>
          <w:szCs w:val="22"/>
          <w:lang w:val="es-ES_tradnl"/>
        </w:rPr>
        <w:t>establecido</w:t>
      </w:r>
      <w:r w:rsidR="00814D9D" w:rsidRPr="00D710FC">
        <w:rPr>
          <w:rFonts w:ascii="Arial" w:hAnsi="Arial" w:cs="Arial"/>
          <w:sz w:val="22"/>
          <w:szCs w:val="22"/>
          <w:lang w:val="es-ES_tradnl"/>
        </w:rPr>
        <w:t xml:space="preserve"> en el literal A del numeral 3.10.2. CÁLCULO DE LA CAPACIDAD RESIDUAL DEL PROPONENTE (CRP) de los </w:t>
      </w:r>
      <w:r w:rsidR="00436554" w:rsidRPr="00A611B3">
        <w:rPr>
          <w:rFonts w:ascii="Arial" w:hAnsi="Arial" w:cs="Arial"/>
          <w:iCs/>
          <w:sz w:val="22"/>
          <w:szCs w:val="22"/>
        </w:rPr>
        <w:t>“Documentos Tipo – Versión 3” de obra pública de infraestructura de transporte</w:t>
      </w:r>
      <w:r w:rsidR="000E35F7" w:rsidRPr="00A611B3">
        <w:rPr>
          <w:rFonts w:ascii="Arial" w:hAnsi="Arial" w:cs="Arial"/>
          <w:iCs/>
          <w:sz w:val="22"/>
          <w:szCs w:val="22"/>
        </w:rPr>
        <w:t>. En este literal</w:t>
      </w:r>
      <w:r w:rsidR="009452D0" w:rsidRPr="00A611B3">
        <w:rPr>
          <w:rFonts w:ascii="Arial" w:hAnsi="Arial" w:cs="Arial"/>
          <w:iCs/>
          <w:sz w:val="22"/>
          <w:szCs w:val="22"/>
        </w:rPr>
        <w:t xml:space="preserve"> se establece como condición</w:t>
      </w:r>
      <w:r w:rsidR="00DC3183" w:rsidRPr="00A611B3">
        <w:rPr>
          <w:rFonts w:ascii="Arial" w:hAnsi="Arial" w:cs="Arial"/>
          <w:iCs/>
          <w:sz w:val="22"/>
          <w:szCs w:val="22"/>
        </w:rPr>
        <w:t xml:space="preserve"> para el cálculo de la CO</w:t>
      </w:r>
      <w:r w:rsidR="0072772A" w:rsidRPr="00A611B3">
        <w:rPr>
          <w:rFonts w:ascii="Arial" w:hAnsi="Arial" w:cs="Arial"/>
          <w:iCs/>
          <w:sz w:val="22"/>
          <w:szCs w:val="22"/>
        </w:rPr>
        <w:t xml:space="preserve"> la presentación</w:t>
      </w:r>
      <w:r w:rsidR="009452D0" w:rsidRPr="00A611B3">
        <w:rPr>
          <w:rFonts w:ascii="Arial" w:hAnsi="Arial" w:cs="Arial"/>
          <w:iCs/>
          <w:sz w:val="22"/>
          <w:szCs w:val="22"/>
        </w:rPr>
        <w:t xml:space="preserve"> </w:t>
      </w:r>
      <w:r w:rsidR="003E2FDB" w:rsidRPr="00A611B3">
        <w:rPr>
          <w:rFonts w:ascii="Arial" w:hAnsi="Arial" w:cs="Arial"/>
          <w:iCs/>
          <w:sz w:val="22"/>
          <w:szCs w:val="22"/>
        </w:rPr>
        <w:t>«</w:t>
      </w:r>
      <w:r w:rsidR="00166F45" w:rsidRPr="00D710FC">
        <w:rPr>
          <w:rFonts w:ascii="Arial" w:hAnsi="Arial" w:cs="Arial"/>
          <w:sz w:val="22"/>
          <w:szCs w:val="22"/>
          <w:lang w:val="es-MX"/>
        </w:rPr>
        <w:t xml:space="preserve">Estado de resultados integral (estado de resultado o pérdida o ganancias), del año en que hayan obtenido el mayor ingreso operacional en los últimos cinco (5) años, </w:t>
      </w:r>
      <w:r w:rsidR="00166F45" w:rsidRPr="00D710FC">
        <w:rPr>
          <w:rFonts w:ascii="Arial" w:hAnsi="Arial" w:cs="Arial"/>
          <w:i/>
          <w:iCs/>
          <w:sz w:val="22"/>
          <w:szCs w:val="22"/>
          <w:lang w:val="es-MX"/>
        </w:rPr>
        <w:t>debidamente</w:t>
      </w:r>
      <w:r w:rsidR="00166F45" w:rsidRPr="00D710FC">
        <w:rPr>
          <w:rFonts w:ascii="Arial" w:hAnsi="Arial" w:cs="Arial"/>
          <w:sz w:val="22"/>
          <w:szCs w:val="22"/>
          <w:lang w:val="es-MX"/>
        </w:rPr>
        <w:t xml:space="preserve"> firmado por el representante legal, </w:t>
      </w:r>
      <w:r w:rsidR="00166F45" w:rsidRPr="00D710FC">
        <w:rPr>
          <w:rFonts w:ascii="Arial" w:hAnsi="Arial" w:cs="Arial"/>
          <w:sz w:val="22"/>
          <w:szCs w:val="22"/>
          <w:lang w:val="es-MX"/>
        </w:rPr>
        <w:lastRenderedPageBreak/>
        <w:t>contador y revisor fiscal y/o contador independiente (externo), si están obligados a tenerlos</w:t>
      </w:r>
      <w:r w:rsidR="00A378D7" w:rsidRPr="00A611B3">
        <w:rPr>
          <w:rFonts w:ascii="Arial" w:hAnsi="Arial" w:cs="Arial"/>
          <w:sz w:val="22"/>
          <w:szCs w:val="22"/>
          <w:lang w:val="es-MX"/>
        </w:rPr>
        <w:t>.</w:t>
      </w:r>
      <w:r w:rsidR="00166F45" w:rsidRPr="00D710FC">
        <w:rPr>
          <w:rFonts w:ascii="Arial" w:hAnsi="Arial" w:cs="Arial"/>
          <w:sz w:val="22"/>
          <w:szCs w:val="22"/>
          <w:lang w:val="es-MX"/>
        </w:rPr>
        <w:t xml:space="preserve"> </w:t>
      </w:r>
      <w:r w:rsidR="00436554" w:rsidRPr="00D710FC">
        <w:rPr>
          <w:rFonts w:ascii="Arial" w:eastAsia="Calibri" w:hAnsi="Arial" w:cs="Arial"/>
          <w:sz w:val="22"/>
          <w:szCs w:val="22"/>
          <w:lang w:val="es-MX" w:eastAsia="en-US"/>
        </w:rPr>
        <w:t xml:space="preserve"> Esto teniendo en cuenta el artículo 37 de la Ley 222 de 1995</w:t>
      </w:r>
      <w:r w:rsidR="00A378D7" w:rsidRPr="00D710FC">
        <w:rPr>
          <w:rFonts w:ascii="Arial" w:eastAsia="Calibri" w:hAnsi="Arial" w:cs="Arial"/>
          <w:sz w:val="22"/>
          <w:szCs w:val="22"/>
          <w:lang w:val="es-MX" w:eastAsia="en-US"/>
        </w:rPr>
        <w:t>»</w:t>
      </w:r>
      <w:r w:rsidR="00436554" w:rsidRPr="00D710FC">
        <w:rPr>
          <w:rFonts w:ascii="Arial" w:eastAsia="Calibri" w:hAnsi="Arial" w:cs="Arial"/>
          <w:sz w:val="22"/>
          <w:szCs w:val="22"/>
          <w:lang w:val="es-MX" w:eastAsia="en-US"/>
        </w:rPr>
        <w:t>.</w:t>
      </w:r>
      <w:r w:rsidR="009452D0" w:rsidRPr="00D710FC">
        <w:rPr>
          <w:rFonts w:ascii="Arial" w:eastAsia="Calibri" w:hAnsi="Arial" w:cs="Arial"/>
          <w:sz w:val="22"/>
          <w:szCs w:val="22"/>
          <w:lang w:val="es-MX" w:eastAsia="en-US"/>
        </w:rPr>
        <w:t xml:space="preserve"> </w:t>
      </w:r>
      <w:r w:rsidR="00A378D7" w:rsidRPr="00A611B3">
        <w:rPr>
          <w:rFonts w:ascii="Arial" w:hAnsi="Arial" w:cs="Arial"/>
          <w:sz w:val="22"/>
          <w:szCs w:val="22"/>
          <w:lang w:val="es-MX"/>
        </w:rPr>
        <w:t xml:space="preserve">(Énfasis fuera de texto). </w:t>
      </w:r>
    </w:p>
    <w:p w14:paraId="135F9D35" w14:textId="1D317B39" w:rsidR="00436554" w:rsidRPr="00D710FC" w:rsidRDefault="00A378D7" w:rsidP="00D710FC">
      <w:pPr>
        <w:tabs>
          <w:tab w:val="left" w:pos="5529"/>
        </w:tabs>
        <w:spacing w:line="276" w:lineRule="auto"/>
        <w:ind w:firstLine="709"/>
        <w:jc w:val="both"/>
        <w:rPr>
          <w:rFonts w:ascii="Arial" w:eastAsia="Calibri" w:hAnsi="Arial" w:cs="Arial"/>
          <w:sz w:val="22"/>
          <w:szCs w:val="22"/>
          <w:lang w:val="es-MX" w:eastAsia="en-US"/>
        </w:rPr>
      </w:pPr>
      <w:r w:rsidRPr="00A611B3">
        <w:rPr>
          <w:rFonts w:ascii="Arial" w:hAnsi="Arial" w:cs="Arial"/>
          <w:sz w:val="22"/>
          <w:szCs w:val="22"/>
          <w:lang w:val="es-MX"/>
        </w:rPr>
        <w:t xml:space="preserve">Respecto de este requisito el </w:t>
      </w:r>
      <w:r w:rsidR="009452D0" w:rsidRPr="00D710FC">
        <w:rPr>
          <w:rFonts w:ascii="Arial" w:eastAsia="Calibri" w:hAnsi="Arial" w:cs="Arial"/>
          <w:sz w:val="22"/>
          <w:szCs w:val="22"/>
          <w:lang w:val="es-MX" w:eastAsia="en-US"/>
        </w:rPr>
        <w:t>peticionario</w:t>
      </w:r>
      <w:r w:rsidRPr="00D710FC">
        <w:rPr>
          <w:rFonts w:ascii="Arial" w:eastAsia="Calibri" w:hAnsi="Arial" w:cs="Arial"/>
          <w:sz w:val="22"/>
          <w:szCs w:val="22"/>
          <w:lang w:val="es-MX" w:eastAsia="en-US"/>
        </w:rPr>
        <w:t xml:space="preserve"> indaga</w:t>
      </w:r>
      <w:r w:rsidR="009452D0" w:rsidRPr="00D710FC">
        <w:rPr>
          <w:rFonts w:ascii="Arial" w:eastAsia="Calibri" w:hAnsi="Arial" w:cs="Arial"/>
          <w:sz w:val="22"/>
          <w:szCs w:val="22"/>
          <w:lang w:val="es-MX" w:eastAsia="en-US"/>
        </w:rPr>
        <w:t xml:space="preserve">: </w:t>
      </w:r>
      <w:r w:rsidR="009452D0" w:rsidRPr="00A611B3">
        <w:rPr>
          <w:rFonts w:ascii="Arial" w:hAnsi="Arial" w:cs="Arial"/>
          <w:iCs/>
          <w:sz w:val="22"/>
        </w:rPr>
        <w:t>«</w:t>
      </w:r>
      <w:r w:rsidR="00436554" w:rsidRPr="00D710FC">
        <w:rPr>
          <w:rFonts w:ascii="Arial" w:eastAsia="Calibri" w:hAnsi="Arial" w:cs="Arial"/>
          <w:sz w:val="22"/>
          <w:szCs w:val="22"/>
          <w:lang w:val="es-MX" w:eastAsia="en-US"/>
        </w:rPr>
        <w:t xml:space="preserve">1. </w:t>
      </w:r>
      <w:proofErr w:type="gramStart"/>
      <w:r w:rsidR="00436554" w:rsidRPr="00D710FC">
        <w:rPr>
          <w:rFonts w:ascii="Arial" w:eastAsia="Calibri" w:hAnsi="Arial" w:cs="Arial"/>
          <w:sz w:val="22"/>
          <w:szCs w:val="22"/>
          <w:lang w:val="es-MX" w:eastAsia="en-US"/>
        </w:rPr>
        <w:t>La palabra “DEBIDAMENTE” sugiere entonces que exista una manera correcta de firmar los estados financieros?</w:t>
      </w:r>
      <w:proofErr w:type="gramEnd"/>
      <w:r w:rsidR="00436554" w:rsidRPr="00D710FC">
        <w:rPr>
          <w:rFonts w:ascii="Arial" w:eastAsia="Calibri" w:hAnsi="Arial" w:cs="Arial"/>
          <w:sz w:val="22"/>
          <w:szCs w:val="22"/>
          <w:lang w:val="es-MX" w:eastAsia="en-US"/>
        </w:rPr>
        <w:t xml:space="preserve"> De ser así</w:t>
      </w:r>
      <w:r w:rsidR="009452D0" w:rsidRPr="00D710FC">
        <w:rPr>
          <w:rFonts w:ascii="Arial" w:eastAsia="Calibri" w:hAnsi="Arial" w:cs="Arial"/>
          <w:sz w:val="22"/>
          <w:szCs w:val="22"/>
          <w:lang w:val="es-MX" w:eastAsia="en-US"/>
        </w:rPr>
        <w:t xml:space="preserve"> </w:t>
      </w:r>
      <w:r w:rsidR="00436554" w:rsidRPr="00D710FC">
        <w:rPr>
          <w:rFonts w:ascii="Arial" w:eastAsia="Calibri" w:hAnsi="Arial" w:cs="Arial"/>
          <w:sz w:val="22"/>
          <w:szCs w:val="22"/>
          <w:lang w:val="es-MX" w:eastAsia="en-US"/>
        </w:rPr>
        <w:t>2. Cómo debería entonces interpretarse por los proponentes o las entidades la expresión “DEBIDAMENTE” o a que normas acudir para su interpretación</w:t>
      </w:r>
      <w:r w:rsidR="009452D0" w:rsidRPr="00A611B3">
        <w:rPr>
          <w:rFonts w:ascii="Arial" w:hAnsi="Arial" w:cs="Arial"/>
          <w:iCs/>
          <w:sz w:val="22"/>
        </w:rPr>
        <w:t>»</w:t>
      </w:r>
      <w:r w:rsidR="009452D0" w:rsidRPr="00D710FC">
        <w:rPr>
          <w:rFonts w:ascii="Arial" w:eastAsia="Calibri" w:hAnsi="Arial" w:cs="Arial"/>
          <w:sz w:val="22"/>
          <w:szCs w:val="22"/>
          <w:lang w:val="es-MX" w:eastAsia="en-US"/>
        </w:rPr>
        <w:t>.</w:t>
      </w:r>
    </w:p>
    <w:p w14:paraId="4F7FBB3E" w14:textId="05329AEA" w:rsidR="009010B3" w:rsidRPr="00A611B3" w:rsidRDefault="009010B3" w:rsidP="00436554">
      <w:pPr>
        <w:pStyle w:val="NormalWeb"/>
        <w:shd w:val="clear" w:color="auto" w:fill="FFFFFF"/>
        <w:spacing w:before="120" w:beforeAutospacing="0" w:after="0" w:afterAutospacing="0"/>
        <w:ind w:right="709"/>
        <w:jc w:val="both"/>
        <w:rPr>
          <w:rFonts w:ascii="Arial" w:eastAsia="Calibri" w:hAnsi="Arial" w:cs="Arial"/>
          <w:sz w:val="22"/>
          <w:szCs w:val="22"/>
          <w:lang w:val="es-ES_tradnl"/>
        </w:rPr>
      </w:pPr>
      <w:bookmarkStart w:id="3" w:name="_GoBack"/>
      <w:bookmarkEnd w:id="3"/>
    </w:p>
    <w:p w14:paraId="41CA8476" w14:textId="77777777" w:rsidR="009452D0" w:rsidRPr="00A611B3" w:rsidRDefault="009010B3" w:rsidP="009452D0">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A611B3">
        <w:rPr>
          <w:rFonts w:ascii="Arial" w:eastAsia="Calibri" w:hAnsi="Arial" w:cs="Arial"/>
          <w:b/>
          <w:sz w:val="22"/>
          <w:lang w:val="es-ES_tradnl"/>
        </w:rPr>
        <w:t>Consideraciones</w:t>
      </w:r>
    </w:p>
    <w:p w14:paraId="4E6DCFDF" w14:textId="77777777" w:rsidR="009452D0" w:rsidRPr="00A611B3" w:rsidRDefault="009452D0" w:rsidP="009452D0">
      <w:pPr>
        <w:tabs>
          <w:tab w:val="left" w:pos="426"/>
        </w:tabs>
        <w:spacing w:line="276" w:lineRule="auto"/>
        <w:jc w:val="both"/>
        <w:rPr>
          <w:rFonts w:ascii="Arial" w:eastAsia="Calibri" w:hAnsi="Arial" w:cs="Arial"/>
          <w:sz w:val="22"/>
          <w:lang w:val="es-ES_tradnl"/>
        </w:rPr>
      </w:pPr>
    </w:p>
    <w:p w14:paraId="7C2F41EA" w14:textId="03DCF348" w:rsidR="009010B3" w:rsidRPr="00A611B3" w:rsidRDefault="009010B3" w:rsidP="009452D0">
      <w:pPr>
        <w:tabs>
          <w:tab w:val="left" w:pos="426"/>
        </w:tabs>
        <w:spacing w:line="276" w:lineRule="auto"/>
        <w:jc w:val="both"/>
        <w:rPr>
          <w:rFonts w:ascii="Arial" w:eastAsia="Calibri" w:hAnsi="Arial" w:cs="Arial"/>
          <w:b/>
          <w:sz w:val="22"/>
          <w:lang w:val="es-ES_tradnl"/>
        </w:rPr>
      </w:pPr>
      <w:r w:rsidRPr="00A611B3">
        <w:rPr>
          <w:rFonts w:ascii="Arial" w:eastAsia="Calibri" w:hAnsi="Arial" w:cs="Arial"/>
          <w:sz w:val="22"/>
        </w:rPr>
        <w:t>Para responder su consulta, esta dependencia analizará los siguientes aspectos: i) Capacidad residual: información financiera requerida para calcular la capacidad de organización, ii) acreditación del factor Capacidad de Organización (CO) en las versiones 1, 2 y 3 de los Documentos Tipo de licitación de obra pública de infr</w:t>
      </w:r>
      <w:r w:rsidR="001942C4" w:rsidRPr="00A611B3">
        <w:rPr>
          <w:rFonts w:ascii="Arial" w:eastAsia="Calibri" w:hAnsi="Arial" w:cs="Arial"/>
          <w:sz w:val="22"/>
        </w:rPr>
        <w:t xml:space="preserve">aestructura de transporte.  </w:t>
      </w:r>
    </w:p>
    <w:p w14:paraId="3C00AD50" w14:textId="115BE14F" w:rsidR="009010B3" w:rsidRPr="00D710FC" w:rsidRDefault="009010B3" w:rsidP="009010B3">
      <w:pPr>
        <w:spacing w:before="120" w:line="276" w:lineRule="auto"/>
        <w:ind w:firstLine="709"/>
        <w:jc w:val="both"/>
        <w:rPr>
          <w:rFonts w:ascii="Arial" w:hAnsi="Arial" w:cs="Arial"/>
          <w:bCs/>
          <w:sz w:val="22"/>
        </w:rPr>
      </w:pPr>
      <w:r w:rsidRPr="00A611B3">
        <w:rPr>
          <w:rFonts w:ascii="Arial" w:eastAsia="Calibri" w:hAnsi="Arial" w:cs="Arial"/>
          <w:sz w:val="22"/>
          <w:lang w:val="es-ES_tradnl"/>
        </w:rPr>
        <w:t>La Agencia Nacional de Contratación Pública − Colombia Compra Eficiente se ha pronunciado en diferentes oportunidades sobre los requisitos para acreditar la capacidad residual en los Documentos Tipo</w:t>
      </w:r>
      <w:r w:rsidRPr="00A611B3">
        <w:rPr>
          <w:rFonts w:ascii="Arial" w:eastAsia="Calibri" w:hAnsi="Arial" w:cs="Arial"/>
          <w:bCs/>
          <w:sz w:val="22"/>
        </w:rPr>
        <w:t xml:space="preserve"> </w:t>
      </w:r>
      <w:r w:rsidRPr="00D710FC">
        <w:rPr>
          <w:rFonts w:ascii="Arial" w:hAnsi="Arial" w:cs="Arial"/>
          <w:bCs/>
          <w:sz w:val="22"/>
        </w:rPr>
        <w:t xml:space="preserve">para licitación de obra pública de infraestructura de transporte, en sus distintas versiones, </w:t>
      </w:r>
      <w:r w:rsidRPr="00A611B3">
        <w:rPr>
          <w:rFonts w:ascii="Arial" w:eastAsia="Calibri" w:hAnsi="Arial" w:cs="Arial"/>
          <w:bCs/>
          <w:sz w:val="22"/>
        </w:rPr>
        <w:t>en</w:t>
      </w:r>
      <w:r w:rsidRPr="00A611B3">
        <w:rPr>
          <w:rFonts w:ascii="Arial" w:eastAsia="Calibri" w:hAnsi="Arial" w:cs="Arial"/>
          <w:sz w:val="22"/>
          <w:lang w:val="es-ES_tradnl"/>
        </w:rPr>
        <w:t xml:space="preserve"> los</w:t>
      </w:r>
      <w:r w:rsidRPr="00A611B3">
        <w:rPr>
          <w:rFonts w:ascii="Arial" w:eastAsia="Calibri" w:hAnsi="Arial" w:cs="Arial"/>
          <w:bCs/>
          <w:sz w:val="22"/>
        </w:rPr>
        <w:t xml:space="preserve"> </w:t>
      </w:r>
      <w:r w:rsidRPr="00A611B3">
        <w:rPr>
          <w:rFonts w:ascii="Arial" w:eastAsia="Calibri" w:hAnsi="Arial" w:cs="Arial"/>
          <w:sz w:val="22"/>
        </w:rPr>
        <w:t>conceptos C</w:t>
      </w:r>
      <w:r w:rsidRPr="00D710FC">
        <w:rPr>
          <w:rFonts w:ascii="Arial" w:hAnsi="Arial" w:cs="Arial"/>
          <w:bCs/>
          <w:sz w:val="22"/>
        </w:rPr>
        <w:t>-389 del 21 de julio de 2020, C-393 del 21 de julio de 2020, C-461 del 13 de julio de 2020, C-742 del 16 de diciembre de 2020</w:t>
      </w:r>
      <w:r w:rsidRPr="00A611B3">
        <w:rPr>
          <w:rFonts w:ascii="Arial" w:eastAsia="Calibri" w:hAnsi="Arial" w:cs="Arial"/>
          <w:sz w:val="22"/>
        </w:rPr>
        <w:t>, C-067 del 15 de marzo de 2021, y C-170</w:t>
      </w:r>
      <w:r w:rsidR="009452D0" w:rsidRPr="00A611B3">
        <w:rPr>
          <w:rFonts w:ascii="Arial" w:eastAsia="Calibri" w:hAnsi="Arial" w:cs="Arial"/>
          <w:sz w:val="22"/>
        </w:rPr>
        <w:t xml:space="preserve"> del 20 de abril de 2021</w:t>
      </w:r>
      <w:r w:rsidRPr="00A611B3">
        <w:rPr>
          <w:rFonts w:ascii="Arial" w:eastAsia="Calibri" w:hAnsi="Arial" w:cs="Arial"/>
          <w:sz w:val="22"/>
        </w:rPr>
        <w:t xml:space="preserve">, </w:t>
      </w:r>
      <w:r w:rsidR="00D01922" w:rsidRPr="00A611B3">
        <w:rPr>
          <w:rFonts w:ascii="Arial" w:eastAsia="Calibri" w:hAnsi="Arial" w:cs="Arial"/>
          <w:sz w:val="22"/>
        </w:rPr>
        <w:t>C-521 del 24 de septiembre de 2021</w:t>
      </w:r>
      <w:r w:rsidR="0075755F" w:rsidRPr="00A611B3">
        <w:rPr>
          <w:rFonts w:ascii="Arial" w:eastAsia="Calibri" w:hAnsi="Arial" w:cs="Arial"/>
          <w:sz w:val="22"/>
        </w:rPr>
        <w:t xml:space="preserve"> C-642 del 18 de noviembre de 2021</w:t>
      </w:r>
      <w:r w:rsidR="00D01922" w:rsidRPr="00A611B3">
        <w:rPr>
          <w:rFonts w:ascii="Arial" w:eastAsia="Calibri" w:hAnsi="Arial" w:cs="Arial"/>
          <w:sz w:val="22"/>
        </w:rPr>
        <w:t xml:space="preserve">, </w:t>
      </w:r>
      <w:r w:rsidR="0075755F" w:rsidRPr="00A611B3">
        <w:rPr>
          <w:rFonts w:ascii="Arial" w:eastAsia="Calibri" w:hAnsi="Arial" w:cs="Arial"/>
          <w:sz w:val="22"/>
        </w:rPr>
        <w:t xml:space="preserve"> C-648 del 22 de noviembre de 22 de noviembre de 2022, </w:t>
      </w:r>
      <w:r w:rsidR="007379EB" w:rsidRPr="00A611B3">
        <w:rPr>
          <w:rFonts w:ascii="Arial" w:eastAsia="Calibri" w:hAnsi="Arial" w:cs="Arial"/>
          <w:sz w:val="22"/>
        </w:rPr>
        <w:t xml:space="preserve">C-011 del 18 de febrero de 2022, </w:t>
      </w:r>
      <w:r w:rsidR="000C56E8" w:rsidRPr="00A611B3">
        <w:rPr>
          <w:rFonts w:ascii="Arial" w:eastAsia="Calibri" w:hAnsi="Arial" w:cs="Arial"/>
          <w:sz w:val="22"/>
        </w:rPr>
        <w:t xml:space="preserve">C-070 del 14 de marzo de 2022, C-104 del 22 de marzo de 2022, C-351 del 23 de mayo de 2022, </w:t>
      </w:r>
      <w:r w:rsidRPr="00A611B3">
        <w:rPr>
          <w:rFonts w:ascii="Arial" w:eastAsia="Calibri" w:hAnsi="Arial" w:cs="Arial"/>
          <w:sz w:val="22"/>
        </w:rPr>
        <w:t>entre otros. L</w:t>
      </w:r>
      <w:r w:rsidRPr="00D710FC">
        <w:rPr>
          <w:rFonts w:ascii="Arial" w:hAnsi="Arial" w:cs="Arial"/>
          <w:sz w:val="22"/>
        </w:rPr>
        <w:t xml:space="preserve">as tesis desarrolladas en dichos conceptos se reiteran </w:t>
      </w:r>
      <w:r w:rsidRPr="00D710FC">
        <w:rPr>
          <w:rFonts w:ascii="Arial" w:hAnsi="Arial" w:cs="Arial"/>
          <w:bCs/>
          <w:sz w:val="22"/>
        </w:rPr>
        <w:t xml:space="preserve">y se complementan en lo pertinente. </w:t>
      </w:r>
    </w:p>
    <w:p w14:paraId="0105A0EC" w14:textId="77777777" w:rsidR="009010B3" w:rsidRPr="00A611B3" w:rsidRDefault="009010B3" w:rsidP="009010B3">
      <w:pPr>
        <w:tabs>
          <w:tab w:val="left" w:pos="426"/>
        </w:tabs>
        <w:spacing w:line="276" w:lineRule="auto"/>
        <w:jc w:val="both"/>
        <w:rPr>
          <w:rFonts w:ascii="Arial" w:eastAsia="Calibri" w:hAnsi="Arial" w:cs="Arial"/>
          <w:b/>
          <w:bCs/>
          <w:sz w:val="22"/>
        </w:rPr>
      </w:pPr>
    </w:p>
    <w:p w14:paraId="4FFB1C74" w14:textId="59135337" w:rsidR="009010B3" w:rsidRPr="00A611B3" w:rsidRDefault="009010B3" w:rsidP="009010B3">
      <w:pPr>
        <w:tabs>
          <w:tab w:val="left" w:pos="426"/>
        </w:tabs>
        <w:spacing w:line="276" w:lineRule="auto"/>
        <w:jc w:val="both"/>
        <w:rPr>
          <w:rFonts w:ascii="Arial" w:eastAsia="Calibri" w:hAnsi="Arial" w:cs="Arial"/>
          <w:b/>
          <w:bCs/>
          <w:sz w:val="22"/>
        </w:rPr>
      </w:pPr>
      <w:r w:rsidRPr="00A611B3">
        <w:rPr>
          <w:rFonts w:ascii="Arial" w:eastAsia="Calibri" w:hAnsi="Arial" w:cs="Arial"/>
          <w:b/>
          <w:bCs/>
          <w:sz w:val="22"/>
        </w:rPr>
        <w:t>2.1. Capacidad residual. Información financiera requerida para calcular la capacidad de organización</w:t>
      </w:r>
    </w:p>
    <w:p w14:paraId="556C597E" w14:textId="77777777" w:rsidR="00D01922" w:rsidRPr="00A611B3" w:rsidRDefault="00D01922" w:rsidP="00D710FC">
      <w:pPr>
        <w:tabs>
          <w:tab w:val="left" w:pos="426"/>
        </w:tabs>
        <w:jc w:val="both"/>
        <w:rPr>
          <w:rFonts w:ascii="Arial" w:eastAsia="Calibri" w:hAnsi="Arial" w:cs="Arial"/>
          <w:b/>
          <w:bCs/>
          <w:sz w:val="22"/>
        </w:rPr>
      </w:pPr>
    </w:p>
    <w:p w14:paraId="6F7F7A1C" w14:textId="77777777" w:rsidR="009010B3" w:rsidRPr="00A611B3" w:rsidRDefault="009010B3" w:rsidP="00D710FC">
      <w:pPr>
        <w:tabs>
          <w:tab w:val="left" w:pos="426"/>
        </w:tabs>
        <w:spacing w:after="120" w:line="276" w:lineRule="auto"/>
        <w:jc w:val="both"/>
        <w:rPr>
          <w:rFonts w:ascii="Arial" w:hAnsi="Arial" w:cs="Arial"/>
          <w:iCs/>
          <w:sz w:val="22"/>
        </w:rPr>
      </w:pPr>
      <w:r w:rsidRPr="00A611B3">
        <w:rPr>
          <w:rFonts w:ascii="Arial" w:hAnsi="Arial" w:cs="Arial"/>
          <w:iCs/>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D710FC">
        <w:rPr>
          <w:rFonts w:ascii="Arial" w:eastAsia="Calibri" w:hAnsi="Arial" w:cs="Arial"/>
          <w:sz w:val="22"/>
          <w:vertAlign w:val="superscript"/>
        </w:rPr>
        <w:footnoteReference w:id="2"/>
      </w:r>
      <w:r w:rsidRPr="00D710FC">
        <w:rPr>
          <w:rFonts w:ascii="Arial" w:hAnsi="Arial" w:cs="Arial"/>
          <w:sz w:val="22"/>
        </w:rPr>
        <w:t>.</w:t>
      </w:r>
    </w:p>
    <w:p w14:paraId="087C8607" w14:textId="6E8811C0" w:rsidR="009010B3" w:rsidRPr="00D710FC" w:rsidRDefault="009010B3" w:rsidP="00D710FC">
      <w:pPr>
        <w:tabs>
          <w:tab w:val="left" w:pos="709"/>
        </w:tabs>
        <w:spacing w:before="120" w:line="276" w:lineRule="auto"/>
        <w:jc w:val="both"/>
        <w:rPr>
          <w:rFonts w:ascii="Arial" w:hAnsi="Arial" w:cs="Arial"/>
          <w:sz w:val="22"/>
        </w:rPr>
      </w:pPr>
      <w:r w:rsidRPr="00A611B3">
        <w:rPr>
          <w:rFonts w:ascii="Arial" w:hAnsi="Arial" w:cs="Arial"/>
          <w:iCs/>
          <w:sz w:val="22"/>
        </w:rPr>
        <w:lastRenderedPageBreak/>
        <w:tab/>
        <w:t xml:space="preserve">En atención a lo anterior, la capacidad residual </w:t>
      </w:r>
      <w:r w:rsidR="00CC3555" w:rsidRPr="00A611B3">
        <w:rPr>
          <w:rFonts w:ascii="Arial" w:hAnsi="Arial" w:cs="Arial"/>
          <w:iCs/>
          <w:sz w:val="22"/>
        </w:rPr>
        <w:t xml:space="preserve">se refiere </w:t>
      </w:r>
      <w:r w:rsidRPr="00A611B3">
        <w:rPr>
          <w:rFonts w:ascii="Arial" w:hAnsi="Arial" w:cs="Arial"/>
          <w:iCs/>
          <w:sz w:val="22"/>
        </w:rPr>
        <w:t xml:space="preserve">a la suficiencia que tiene el proponente para asumir nuevas obligaciones que se derivan del contrato objeto del proceso de contratación, en relación con las obligaciones que ya adquirió frente a otros contratos. </w:t>
      </w:r>
      <w:r w:rsidRPr="00D710FC">
        <w:rPr>
          <w:rFonts w:ascii="Arial" w:hAnsi="Arial" w:cs="Arial"/>
          <w:sz w:val="22"/>
        </w:rPr>
        <w:t xml:space="preserve">De esta manera, el artículo 6 de la Ley 1150 de 2007 estableció como condición «para poder participar en los procesos de selección de los contratos de obra, la capacidad residual del proponente o </w:t>
      </w:r>
      <w:r w:rsidRPr="00D710FC">
        <w:rPr>
          <w:rFonts w:ascii="Arial" w:hAnsi="Arial" w:cs="Arial"/>
          <w:i/>
          <w:iCs/>
          <w:sz w:val="22"/>
        </w:rPr>
        <w:t>K</w:t>
      </w:r>
      <w:r w:rsidRPr="00D710FC">
        <w:rPr>
          <w:rFonts w:ascii="Arial" w:hAnsi="Arial" w:cs="Arial"/>
          <w:sz w:val="22"/>
        </w:rPr>
        <w:t xml:space="preserve"> de contratación». Además, determinó que esta debe ser igual o superior a la establecida en los pliegos de condiciones, en los siguientes términos: </w:t>
      </w:r>
    </w:p>
    <w:p w14:paraId="2C2E65C7" w14:textId="77777777" w:rsidR="009010B3" w:rsidRPr="00D710FC" w:rsidRDefault="009010B3" w:rsidP="009010B3">
      <w:pPr>
        <w:ind w:left="708" w:right="709"/>
        <w:jc w:val="both"/>
        <w:rPr>
          <w:rFonts w:ascii="Arial" w:eastAsia="Calibri" w:hAnsi="Arial" w:cs="Arial"/>
          <w:sz w:val="22"/>
        </w:rPr>
      </w:pPr>
    </w:p>
    <w:p w14:paraId="0B0355B8" w14:textId="77777777" w:rsidR="009010B3" w:rsidRPr="00D710FC" w:rsidRDefault="009010B3" w:rsidP="009010B3">
      <w:pPr>
        <w:ind w:left="708" w:right="709"/>
        <w:jc w:val="both"/>
        <w:rPr>
          <w:rFonts w:ascii="Arial" w:eastAsia="Calibri" w:hAnsi="Arial" w:cs="Arial"/>
          <w:sz w:val="21"/>
          <w:szCs w:val="21"/>
        </w:rPr>
      </w:pPr>
      <w:r w:rsidRPr="00D710FC">
        <w:rPr>
          <w:rFonts w:ascii="Arial" w:eastAsia="Calibri" w:hAnsi="Arial" w:cs="Arial"/>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FC1FD4" w14:textId="77777777" w:rsidR="009010B3" w:rsidRPr="00D710FC" w:rsidRDefault="009010B3" w:rsidP="009010B3">
      <w:pPr>
        <w:ind w:left="708" w:right="709"/>
        <w:jc w:val="both"/>
        <w:rPr>
          <w:rFonts w:ascii="Arial" w:eastAsia="Calibri" w:hAnsi="Arial" w:cs="Arial"/>
          <w:sz w:val="21"/>
          <w:szCs w:val="21"/>
        </w:rPr>
      </w:pPr>
    </w:p>
    <w:p w14:paraId="785DD364" w14:textId="2D1438E0" w:rsidR="009010B3" w:rsidRPr="00D710FC" w:rsidRDefault="009010B3" w:rsidP="009010B3">
      <w:pPr>
        <w:ind w:left="708" w:right="709"/>
        <w:jc w:val="both"/>
        <w:rPr>
          <w:rFonts w:ascii="Arial" w:eastAsia="Calibri" w:hAnsi="Arial" w:cs="Arial"/>
          <w:sz w:val="21"/>
          <w:szCs w:val="21"/>
        </w:rPr>
      </w:pPr>
      <w:r w:rsidRPr="00D710FC">
        <w:rPr>
          <w:rFonts w:ascii="Arial" w:eastAsia="Calibri" w:hAnsi="Arial" w:cs="Arial"/>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7BD6C456" w14:textId="77777777" w:rsidR="00BB40F2" w:rsidRPr="00D710FC" w:rsidRDefault="00BB40F2" w:rsidP="009010B3">
      <w:pPr>
        <w:ind w:left="708" w:right="709"/>
        <w:jc w:val="both"/>
        <w:rPr>
          <w:rFonts w:ascii="Arial" w:eastAsia="Calibri" w:hAnsi="Arial" w:cs="Arial"/>
          <w:sz w:val="21"/>
          <w:szCs w:val="21"/>
        </w:rPr>
      </w:pPr>
    </w:p>
    <w:p w14:paraId="42839931" w14:textId="44EFDFCB" w:rsidR="009010B3" w:rsidRPr="00D710FC" w:rsidRDefault="009010B3" w:rsidP="00D710FC">
      <w:pPr>
        <w:spacing w:line="276" w:lineRule="auto"/>
        <w:ind w:firstLine="709"/>
        <w:jc w:val="both"/>
        <w:rPr>
          <w:rFonts w:ascii="Arial" w:hAnsi="Arial" w:cs="Arial"/>
          <w:sz w:val="22"/>
        </w:rPr>
      </w:pPr>
      <w:r w:rsidRPr="00D710FC">
        <w:rPr>
          <w:rFonts w:ascii="Arial" w:hAnsi="Arial" w:cs="Arial"/>
          <w:sz w:val="22"/>
        </w:rPr>
        <w:t>Por su parte, el artículo 72 de la Ley 1682 de 2013, por la cual se adoptan medidas y disposiciones para los proyectos de infraestructura de transporte, estableció que la capac</w:t>
      </w:r>
      <w:r w:rsidR="003819B4" w:rsidRPr="00D710FC">
        <w:rPr>
          <w:rFonts w:ascii="Arial" w:hAnsi="Arial" w:cs="Arial"/>
          <w:sz w:val="22"/>
        </w:rPr>
        <w:t xml:space="preserve">idad residual del proponente </w:t>
      </w:r>
      <w:r w:rsidRPr="00D710FC">
        <w:rPr>
          <w:rFonts w:ascii="Arial" w:hAnsi="Arial" w:cs="Arial"/>
          <w:sz w:val="22"/>
        </w:rPr>
        <w:t>debe calcular</w:t>
      </w:r>
      <w:r w:rsidR="003819B4" w:rsidRPr="00D710FC">
        <w:rPr>
          <w:rFonts w:ascii="Arial" w:hAnsi="Arial" w:cs="Arial"/>
          <w:sz w:val="22"/>
        </w:rPr>
        <w:t>se</w:t>
      </w:r>
      <w:r w:rsidRPr="00D710FC">
        <w:rPr>
          <w:rFonts w:ascii="Arial" w:hAnsi="Arial" w:cs="Arial"/>
          <w:sz w:val="22"/>
        </w:rPr>
        <w:t xml:space="preserve"> mediante la evaluación de los siguientes factores: Experiencia –E–, Capacidad Financiera –CF–, Capacidad Técnica –CT– y Capacidad de </w:t>
      </w:r>
      <w:r w:rsidRPr="00D710FC">
        <w:rPr>
          <w:rFonts w:ascii="Arial" w:eastAsia="Calibri" w:hAnsi="Arial" w:cs="Arial"/>
          <w:bCs/>
          <w:sz w:val="22"/>
        </w:rPr>
        <w:t>Organización</w:t>
      </w:r>
      <w:r w:rsidRPr="00D710FC">
        <w:rPr>
          <w:rFonts w:ascii="Arial" w:hAnsi="Arial" w:cs="Arial"/>
          <w:sz w:val="22"/>
        </w:rPr>
        <w:t xml:space="preserve"> –CO–. </w:t>
      </w:r>
    </w:p>
    <w:p w14:paraId="4D98BC00" w14:textId="10C07E64" w:rsidR="009010B3" w:rsidRPr="00D710FC" w:rsidRDefault="009010B3" w:rsidP="009010B3">
      <w:pPr>
        <w:spacing w:before="120" w:line="276" w:lineRule="auto"/>
        <w:ind w:firstLine="709"/>
        <w:jc w:val="both"/>
        <w:rPr>
          <w:rFonts w:ascii="Arial" w:eastAsia="Calibri" w:hAnsi="Arial" w:cs="Arial"/>
          <w:sz w:val="22"/>
        </w:rPr>
      </w:pPr>
      <w:r w:rsidRPr="00D710FC">
        <w:rPr>
          <w:rFonts w:ascii="Arial" w:eastAsia="Calibri" w:hAnsi="Arial" w:cs="Arial"/>
          <w:sz w:val="22"/>
        </w:rPr>
        <w:t>Igualmente, el artículo 2.2.1.1.1.6.4 del Decreto 1082 de 2015, establece que las entidades estatales deberán calcular la capacidad residual conforme a la metodología definida por Colombia Compr</w:t>
      </w:r>
      <w:r w:rsidR="008C0B30" w:rsidRPr="00D710FC">
        <w:rPr>
          <w:rFonts w:ascii="Arial" w:eastAsia="Calibri" w:hAnsi="Arial" w:cs="Arial"/>
          <w:sz w:val="22"/>
        </w:rPr>
        <w:t>a</w:t>
      </w:r>
      <w:r w:rsidRPr="00D710FC">
        <w:rPr>
          <w:rFonts w:ascii="Arial" w:eastAsia="Calibri" w:hAnsi="Arial" w:cs="Arial"/>
          <w:sz w:val="22"/>
        </w:rPr>
        <w:t xml:space="preserve"> Eficiente y precisó que, para tales fines, resulta necesario tener en cuenta los factores de: Experiencia (E), Capacidad Financiera (CF), Capacidad Técnica (CT), Capacidad de Organización (CO), y los saldos de los contratos en ejecución (SCE), así:</w:t>
      </w:r>
    </w:p>
    <w:p w14:paraId="7771259C" w14:textId="77777777" w:rsidR="009010B3" w:rsidRPr="00D710FC" w:rsidRDefault="009010B3" w:rsidP="009010B3">
      <w:pPr>
        <w:spacing w:line="276" w:lineRule="auto"/>
        <w:ind w:firstLine="709"/>
        <w:jc w:val="both"/>
        <w:rPr>
          <w:rFonts w:ascii="Arial" w:eastAsia="Calibri" w:hAnsi="Arial" w:cs="Arial"/>
          <w:sz w:val="22"/>
        </w:rPr>
      </w:pPr>
    </w:p>
    <w:p w14:paraId="4ABCDB2A" w14:textId="77777777" w:rsidR="009010B3" w:rsidRPr="00D710FC" w:rsidRDefault="009010B3" w:rsidP="009010B3">
      <w:pPr>
        <w:ind w:left="708" w:right="709"/>
        <w:jc w:val="both"/>
        <w:rPr>
          <w:rFonts w:ascii="Arial" w:eastAsia="Calibri" w:hAnsi="Arial" w:cs="Arial"/>
          <w:sz w:val="21"/>
          <w:szCs w:val="21"/>
        </w:rPr>
      </w:pPr>
      <w:r w:rsidRPr="00D710FC">
        <w:rPr>
          <w:rFonts w:ascii="Arial" w:eastAsia="Calibri" w:hAnsi="Arial" w:cs="Arial"/>
          <w:sz w:val="21"/>
          <w:szCs w:val="21"/>
        </w:rPr>
        <w:t>Artículo 2.2.1.1.1.6.4. Capacidad Residual. El interesado en celebrar contratos de obra pública con Entidades Estatales debe acreditar su Capacidad Residual o K de Contratación con los siguientes documentos: […]</w:t>
      </w:r>
    </w:p>
    <w:p w14:paraId="4A30C016" w14:textId="77777777" w:rsidR="009010B3" w:rsidRPr="00D710FC" w:rsidRDefault="009010B3" w:rsidP="009010B3">
      <w:pPr>
        <w:ind w:left="708" w:right="709"/>
        <w:jc w:val="both"/>
        <w:rPr>
          <w:rFonts w:ascii="Arial" w:eastAsia="Calibri" w:hAnsi="Arial" w:cs="Arial"/>
          <w:sz w:val="21"/>
          <w:szCs w:val="21"/>
        </w:rPr>
      </w:pPr>
    </w:p>
    <w:p w14:paraId="4B45E010" w14:textId="77777777" w:rsidR="009010B3" w:rsidRPr="00D710FC" w:rsidRDefault="009010B3" w:rsidP="009010B3">
      <w:pPr>
        <w:ind w:left="708" w:right="709"/>
        <w:jc w:val="both"/>
        <w:rPr>
          <w:rFonts w:ascii="Arial" w:eastAsia="Calibri" w:hAnsi="Arial" w:cs="Arial"/>
          <w:sz w:val="21"/>
          <w:szCs w:val="21"/>
        </w:rPr>
      </w:pPr>
      <w:r w:rsidRPr="00D710FC">
        <w:rPr>
          <w:rFonts w:ascii="Arial" w:eastAsia="Calibri" w:hAnsi="Arial" w:cs="Arial"/>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52B19802" w14:textId="77777777" w:rsidR="009010B3" w:rsidRPr="00D710FC" w:rsidRDefault="009010B3" w:rsidP="009010B3">
      <w:pPr>
        <w:ind w:left="708" w:right="709"/>
        <w:jc w:val="both"/>
        <w:rPr>
          <w:rFonts w:ascii="Arial" w:eastAsia="Calibri" w:hAnsi="Arial" w:cs="Arial"/>
          <w:sz w:val="21"/>
          <w:szCs w:val="21"/>
        </w:rPr>
      </w:pPr>
    </w:p>
    <w:p w14:paraId="02216889" w14:textId="77777777" w:rsidR="009010B3" w:rsidRPr="00D710FC" w:rsidRDefault="009010B3" w:rsidP="009010B3">
      <w:pPr>
        <w:spacing w:line="276" w:lineRule="auto"/>
        <w:ind w:firstLine="709"/>
        <w:jc w:val="both"/>
        <w:rPr>
          <w:rFonts w:ascii="Arial" w:hAnsi="Arial" w:cs="Arial"/>
          <w:sz w:val="22"/>
        </w:rPr>
      </w:pPr>
      <w:r w:rsidRPr="00D710FC">
        <w:rPr>
          <w:rFonts w:ascii="Arial" w:hAnsi="Arial" w:cs="Arial"/>
          <w:sz w:val="22"/>
        </w:rPr>
        <w:t xml:space="preserve">De conformidad con lo anterior, la Agencia Nacional para la Contratación Pública ‒‒ Colombia Compra Eficiente expidió la Guía para Determinar y Verificar la Capacidad </w:t>
      </w:r>
      <w:r w:rsidRPr="00D710FC">
        <w:rPr>
          <w:rFonts w:ascii="Arial" w:hAnsi="Arial" w:cs="Arial"/>
          <w:sz w:val="22"/>
        </w:rPr>
        <w:lastRenderedPageBreak/>
        <w:t xml:space="preserve">Residual del Proponente en los Procesos de Contratación de Obra Pública. En este documento se establece que la capacidad residual del proponente se calcula según la siguiente fórmula: </w:t>
      </w:r>
    </w:p>
    <w:p w14:paraId="56B40125" w14:textId="77777777" w:rsidR="009010B3" w:rsidRPr="00D710FC" w:rsidRDefault="009010B3" w:rsidP="009010B3">
      <w:pPr>
        <w:spacing w:line="276" w:lineRule="auto"/>
        <w:jc w:val="both"/>
        <w:rPr>
          <w:rFonts w:ascii="Arial" w:hAnsi="Arial" w:cs="Arial"/>
          <w:sz w:val="22"/>
        </w:rPr>
      </w:pPr>
    </w:p>
    <w:p w14:paraId="529CDD2E" w14:textId="77777777" w:rsidR="009010B3" w:rsidRPr="00D710FC" w:rsidRDefault="009010B3" w:rsidP="009010B3">
      <w:pPr>
        <w:spacing w:line="276" w:lineRule="auto"/>
        <w:jc w:val="center"/>
        <w:rPr>
          <w:rFonts w:ascii="Arial" w:hAnsi="Arial" w:cs="Arial"/>
          <w:sz w:val="22"/>
        </w:rPr>
      </w:pPr>
      <w:r w:rsidRPr="00A611B3">
        <w:rPr>
          <w:rFonts w:ascii="Arial" w:hAnsi="Arial" w:cs="Arial"/>
          <w:noProof/>
          <w:sz w:val="22"/>
          <w:lang w:val="en-US" w:eastAsia="en-US"/>
        </w:rPr>
        <w:drawing>
          <wp:inline distT="0" distB="0" distL="0" distR="0" wp14:anchorId="2C2BC4F9" wp14:editId="2630498B">
            <wp:extent cx="4495800" cy="7162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66DE1E67" w14:textId="77777777" w:rsidR="009010B3" w:rsidRPr="00D710FC" w:rsidRDefault="009010B3" w:rsidP="009010B3">
      <w:pPr>
        <w:spacing w:line="276" w:lineRule="auto"/>
        <w:jc w:val="both"/>
        <w:rPr>
          <w:rFonts w:ascii="Arial" w:eastAsia="Calibri" w:hAnsi="Arial" w:cs="Arial"/>
          <w:bCs/>
          <w:sz w:val="22"/>
        </w:rPr>
      </w:pPr>
      <w:r w:rsidRPr="00D710FC">
        <w:rPr>
          <w:rFonts w:ascii="Arial" w:eastAsia="Calibri" w:hAnsi="Arial" w:cs="Arial"/>
          <w:bCs/>
          <w:sz w:val="22"/>
        </w:rPr>
        <w:tab/>
      </w:r>
    </w:p>
    <w:p w14:paraId="72413673" w14:textId="751DF127" w:rsidR="009010B3" w:rsidRPr="00A611B3" w:rsidRDefault="009010B3" w:rsidP="009010B3">
      <w:pPr>
        <w:autoSpaceDE w:val="0"/>
        <w:autoSpaceDN w:val="0"/>
        <w:adjustRightInd w:val="0"/>
        <w:spacing w:line="276" w:lineRule="auto"/>
        <w:ind w:firstLine="708"/>
        <w:jc w:val="both"/>
        <w:rPr>
          <w:rFonts w:ascii="Arial" w:hAnsi="Arial" w:cs="Arial"/>
          <w:sz w:val="22"/>
        </w:rPr>
      </w:pPr>
      <w:r w:rsidRPr="00A611B3">
        <w:rPr>
          <w:rFonts w:ascii="Arial" w:hAnsi="Arial" w:cs="Arial"/>
          <w:sz w:val="22"/>
        </w:rPr>
        <w:t xml:space="preserve">Como se observa, la Capacidad de </w:t>
      </w:r>
      <w:r w:rsidR="00CC3555" w:rsidRPr="00A611B3">
        <w:rPr>
          <w:rFonts w:ascii="Arial" w:hAnsi="Arial" w:cs="Arial"/>
          <w:sz w:val="22"/>
        </w:rPr>
        <w:t>O</w:t>
      </w:r>
      <w:r w:rsidRPr="00A611B3">
        <w:rPr>
          <w:rFonts w:ascii="Arial" w:hAnsi="Arial" w:cs="Arial"/>
          <w:sz w:val="22"/>
        </w:rPr>
        <w:t>rganización (CO) corresponde a uno de los factores para calcular la capacidad residual del proponente en los procesos de obra pública.  Para su verificación se examinan los ingresos operacionales teniendo en cuenta lo siguiente:</w:t>
      </w:r>
    </w:p>
    <w:p w14:paraId="4AD2BC3C" w14:textId="77777777" w:rsidR="009010B3" w:rsidRPr="00D710FC" w:rsidRDefault="009010B3" w:rsidP="009010B3">
      <w:pPr>
        <w:autoSpaceDE w:val="0"/>
        <w:autoSpaceDN w:val="0"/>
        <w:adjustRightInd w:val="0"/>
        <w:rPr>
          <w:rFonts w:ascii="Arial" w:hAnsi="Arial" w:cs="Arial"/>
          <w:sz w:val="22"/>
        </w:rPr>
      </w:pPr>
    </w:p>
    <w:tbl>
      <w:tblPr>
        <w:tblStyle w:val="Tablaconcuadrcula2"/>
        <w:tblW w:w="7366" w:type="dxa"/>
        <w:tblInd w:w="709" w:type="dxa"/>
        <w:tblLook w:val="04A0" w:firstRow="1" w:lastRow="0" w:firstColumn="1" w:lastColumn="0" w:noHBand="0" w:noVBand="1"/>
      </w:tblPr>
      <w:tblGrid>
        <w:gridCol w:w="4053"/>
        <w:gridCol w:w="3313"/>
      </w:tblGrid>
      <w:tr w:rsidR="00A611B3" w:rsidRPr="00A611B3" w14:paraId="33AD08C9" w14:textId="77777777" w:rsidTr="002277C5">
        <w:tc>
          <w:tcPr>
            <w:tcW w:w="4053" w:type="dxa"/>
            <w:shd w:val="clear" w:color="auto" w:fill="D9D9D9"/>
          </w:tcPr>
          <w:p w14:paraId="118C175A" w14:textId="77777777" w:rsidR="009010B3" w:rsidRPr="00A611B3" w:rsidRDefault="009010B3" w:rsidP="002277C5">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611B3">
              <w:rPr>
                <w:rFonts w:ascii="Arial" w:eastAsia="Arial" w:hAnsi="Arial" w:cs="Arial"/>
                <w:b/>
                <w:bCs/>
                <w:sz w:val="22"/>
                <w:lang w:val="es-ES" w:eastAsia="es-ES" w:bidi="es-ES"/>
              </w:rPr>
              <w:t>Años de información financiera</w:t>
            </w:r>
          </w:p>
        </w:tc>
        <w:tc>
          <w:tcPr>
            <w:tcW w:w="3313" w:type="dxa"/>
            <w:shd w:val="clear" w:color="auto" w:fill="D9D9D9"/>
          </w:tcPr>
          <w:p w14:paraId="46688B19" w14:textId="77777777" w:rsidR="009010B3" w:rsidRPr="00A611B3" w:rsidRDefault="009010B3" w:rsidP="002277C5">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611B3">
              <w:rPr>
                <w:rFonts w:ascii="Arial" w:eastAsia="Arial" w:hAnsi="Arial" w:cs="Arial"/>
                <w:b/>
                <w:bCs/>
                <w:sz w:val="22"/>
                <w:lang w:val="es-ES" w:eastAsia="es-ES" w:bidi="es-ES"/>
              </w:rPr>
              <w:t>Capacidad de organización</w:t>
            </w:r>
          </w:p>
        </w:tc>
      </w:tr>
      <w:tr w:rsidR="00A611B3" w:rsidRPr="00A611B3" w14:paraId="408BCA40" w14:textId="77777777" w:rsidTr="002277C5">
        <w:tc>
          <w:tcPr>
            <w:tcW w:w="4053" w:type="dxa"/>
          </w:tcPr>
          <w:p w14:paraId="1036E489" w14:textId="77777777" w:rsidR="009010B3" w:rsidRPr="00A611B3"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611B3">
              <w:rPr>
                <w:rFonts w:ascii="Arial" w:eastAsia="Arial" w:hAnsi="Arial" w:cs="Arial"/>
                <w:sz w:val="22"/>
                <w:lang w:val="es-ES" w:eastAsia="es-ES" w:bidi="es-ES"/>
              </w:rPr>
              <w:t>Cinco (5) años o más</w:t>
            </w:r>
          </w:p>
        </w:tc>
        <w:tc>
          <w:tcPr>
            <w:tcW w:w="3313" w:type="dxa"/>
          </w:tcPr>
          <w:p w14:paraId="24EA0342" w14:textId="77777777" w:rsidR="009010B3" w:rsidRPr="00A611B3"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611B3">
              <w:rPr>
                <w:rFonts w:ascii="Arial" w:eastAsia="Arial" w:hAnsi="Arial" w:cs="Arial"/>
                <w:sz w:val="22"/>
                <w:lang w:val="es-ES" w:eastAsia="es-ES" w:bidi="es-ES"/>
              </w:rPr>
              <w:t>Mayor ingreso operacional de los últimos cinco años</w:t>
            </w:r>
          </w:p>
        </w:tc>
      </w:tr>
      <w:tr w:rsidR="00A611B3" w:rsidRPr="00A611B3" w14:paraId="3A667F18" w14:textId="77777777" w:rsidTr="002277C5">
        <w:tc>
          <w:tcPr>
            <w:tcW w:w="4053" w:type="dxa"/>
          </w:tcPr>
          <w:p w14:paraId="4DDAD9D5" w14:textId="77777777" w:rsidR="009010B3" w:rsidRPr="00A611B3"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611B3">
              <w:rPr>
                <w:rFonts w:ascii="Arial" w:eastAsia="Arial" w:hAnsi="Arial" w:cs="Arial"/>
                <w:sz w:val="22"/>
                <w:lang w:val="es-ES" w:eastAsia="es-ES" w:bidi="es-ES"/>
              </w:rPr>
              <w:t>Entre uno (1) y cinco (5) años</w:t>
            </w:r>
          </w:p>
        </w:tc>
        <w:tc>
          <w:tcPr>
            <w:tcW w:w="3313" w:type="dxa"/>
          </w:tcPr>
          <w:p w14:paraId="5FE39F63" w14:textId="77777777" w:rsidR="009010B3" w:rsidRPr="00A611B3"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611B3">
              <w:rPr>
                <w:rFonts w:ascii="Arial" w:eastAsia="Arial" w:hAnsi="Arial" w:cs="Arial"/>
                <w:sz w:val="22"/>
                <w:lang w:val="es-ES" w:eastAsia="es-ES" w:bidi="es-ES"/>
              </w:rPr>
              <w:t>Mayor ingreso operacional de los años de vida del oferente</w:t>
            </w:r>
          </w:p>
        </w:tc>
      </w:tr>
      <w:tr w:rsidR="00A611B3" w:rsidRPr="00A611B3" w14:paraId="688BCAE0" w14:textId="77777777" w:rsidTr="002277C5">
        <w:tc>
          <w:tcPr>
            <w:tcW w:w="4053" w:type="dxa"/>
          </w:tcPr>
          <w:p w14:paraId="0926854D" w14:textId="77777777" w:rsidR="009010B3" w:rsidRPr="00A611B3"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611B3">
              <w:rPr>
                <w:rFonts w:ascii="Arial" w:eastAsia="Arial" w:hAnsi="Arial" w:cs="Arial"/>
                <w:sz w:val="22"/>
                <w:lang w:val="es-ES" w:eastAsia="es-ES" w:bidi="es-ES"/>
              </w:rPr>
              <w:t>Menos de un (1) año</w:t>
            </w:r>
          </w:p>
        </w:tc>
        <w:tc>
          <w:tcPr>
            <w:tcW w:w="3313" w:type="dxa"/>
          </w:tcPr>
          <w:p w14:paraId="25D49CB0" w14:textId="77777777" w:rsidR="009010B3" w:rsidRPr="00A611B3"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611B3">
              <w:rPr>
                <w:rFonts w:ascii="Arial" w:eastAsia="Arial" w:hAnsi="Arial" w:cs="Arial"/>
                <w:sz w:val="22"/>
                <w:lang w:val="es-ES" w:eastAsia="es-ES" w:bidi="es-ES"/>
              </w:rPr>
              <w:t>USD 125.000</w:t>
            </w:r>
          </w:p>
        </w:tc>
      </w:tr>
    </w:tbl>
    <w:p w14:paraId="55F2E364" w14:textId="77777777" w:rsidR="009010B3" w:rsidRPr="00D710FC" w:rsidRDefault="009010B3" w:rsidP="009010B3">
      <w:pPr>
        <w:spacing w:before="120" w:line="276" w:lineRule="auto"/>
        <w:ind w:firstLine="709"/>
        <w:jc w:val="both"/>
        <w:rPr>
          <w:rFonts w:ascii="Arial" w:hAnsi="Arial" w:cs="Arial"/>
          <w:sz w:val="22"/>
        </w:rPr>
      </w:pPr>
    </w:p>
    <w:p w14:paraId="620A625F" w14:textId="265B7FEB" w:rsidR="009010B3" w:rsidRPr="00D710FC" w:rsidRDefault="009010B3" w:rsidP="00F75C74">
      <w:pPr>
        <w:spacing w:line="276" w:lineRule="auto"/>
        <w:ind w:firstLine="709"/>
        <w:jc w:val="both"/>
        <w:rPr>
          <w:rFonts w:ascii="Arial" w:hAnsi="Arial" w:cs="Arial"/>
          <w:sz w:val="22"/>
        </w:rPr>
      </w:pPr>
      <w:r w:rsidRPr="00D710FC">
        <w:rPr>
          <w:rFonts w:ascii="Arial" w:hAnsi="Arial" w:cs="Arial"/>
          <w:sz w:val="22"/>
        </w:rPr>
        <w:t>En armonía con lo anterior, el análisis consiste en revisar el mayor ingreso operacional del proponente que reflejará la capacidad real de organización del mismo. En términos de la Sociedad Colombiana de Ingenieros – SCI «En la medida que una empresa constructora haya sido capaz de ejecutar contratos de obra de mayor cuantía y mayor cantidad, significa que esa empresa ha ido superando niveles de crecimiento y por lo tanto ha obtenido una mayor Capacidad de Organización (C</w:t>
      </w:r>
      <w:r w:rsidR="00A648EF" w:rsidRPr="00D710FC">
        <w:rPr>
          <w:rFonts w:ascii="Arial" w:hAnsi="Arial" w:cs="Arial"/>
          <w:sz w:val="22"/>
        </w:rPr>
        <w:t>O</w:t>
      </w:r>
      <w:r w:rsidRPr="00D710FC">
        <w:rPr>
          <w:rFonts w:ascii="Arial" w:hAnsi="Arial" w:cs="Arial"/>
          <w:sz w:val="22"/>
        </w:rPr>
        <w:t>).</w:t>
      </w:r>
      <w:r w:rsidRPr="00A611B3">
        <w:rPr>
          <w:rFonts w:ascii="Arial" w:hAnsi="Arial" w:cs="Arial"/>
          <w:sz w:val="22"/>
        </w:rPr>
        <w:t xml:space="preserve"> </w:t>
      </w:r>
      <w:r w:rsidRPr="00D710FC">
        <w:rPr>
          <w:rFonts w:ascii="Arial" w:hAnsi="Arial" w:cs="Arial"/>
          <w:sz w:val="22"/>
        </w:rPr>
        <w:t>Esta capacidad del proponente, considera la Sociedad Colombiana de Ingenieros –SCI-, debe determinarse con base en los ingresos brutos operacionales relacionados exclusivamente con la actividad de la construcción […]</w:t>
      </w:r>
      <w:r w:rsidRPr="00D710FC">
        <w:rPr>
          <w:rStyle w:val="Refdenotaalpie"/>
          <w:rFonts w:ascii="Arial" w:hAnsi="Arial" w:cs="Arial"/>
          <w:sz w:val="22"/>
        </w:rPr>
        <w:footnoteReference w:id="3"/>
      </w:r>
      <w:r w:rsidRPr="00D710FC">
        <w:rPr>
          <w:rFonts w:ascii="Arial" w:hAnsi="Arial" w:cs="Arial"/>
          <w:sz w:val="22"/>
        </w:rPr>
        <w:t xml:space="preserve">». </w:t>
      </w:r>
    </w:p>
    <w:p w14:paraId="436CB7B2" w14:textId="43BD8F34" w:rsidR="009010B3" w:rsidRPr="00D710FC" w:rsidRDefault="009010B3" w:rsidP="009010B3">
      <w:pPr>
        <w:spacing w:before="120" w:line="276" w:lineRule="auto"/>
        <w:ind w:firstLine="709"/>
        <w:jc w:val="both"/>
        <w:rPr>
          <w:rFonts w:ascii="Arial" w:hAnsi="Arial" w:cs="Arial"/>
          <w:sz w:val="22"/>
        </w:rPr>
      </w:pPr>
      <w:r w:rsidRPr="00D710FC">
        <w:rPr>
          <w:rFonts w:ascii="Arial" w:hAnsi="Arial" w:cs="Arial"/>
          <w:sz w:val="22"/>
        </w:rPr>
        <w:t xml:space="preserve">De esta manera, la capacidad de organización está en función de los ingresos operacionales del proponente. De ahí que tanto el Documento Tipo como el Decreto 1082 de 2015, soliciten el estado de resultados, puesto que mediante este documento se relacionan los ingresos, costos y gastos en los que incurrió el </w:t>
      </w:r>
      <w:r w:rsidR="00DA5EA4" w:rsidRPr="00D710FC">
        <w:rPr>
          <w:rFonts w:ascii="Arial" w:hAnsi="Arial" w:cs="Arial"/>
          <w:sz w:val="22"/>
        </w:rPr>
        <w:t xml:space="preserve">proponente, de tal forma que </w:t>
      </w:r>
      <w:r w:rsidRPr="00D710FC">
        <w:rPr>
          <w:rFonts w:ascii="Arial" w:hAnsi="Arial" w:cs="Arial"/>
          <w:sz w:val="22"/>
        </w:rPr>
        <w:lastRenderedPageBreak/>
        <w:t>puedan evidenciar</w:t>
      </w:r>
      <w:r w:rsidR="00DA5EA4" w:rsidRPr="00D710FC">
        <w:rPr>
          <w:rFonts w:ascii="Arial" w:hAnsi="Arial" w:cs="Arial"/>
          <w:sz w:val="22"/>
        </w:rPr>
        <w:t>se</w:t>
      </w:r>
      <w:r w:rsidRPr="00D710FC">
        <w:rPr>
          <w:rFonts w:ascii="Arial" w:hAnsi="Arial" w:cs="Arial"/>
          <w:sz w:val="22"/>
        </w:rPr>
        <w:t xml:space="preserve"> los ingresos operacionales que ha obtenido en un determinado per</w:t>
      </w:r>
      <w:r w:rsidR="008C0B30" w:rsidRPr="00D710FC">
        <w:rPr>
          <w:rFonts w:ascii="Arial" w:hAnsi="Arial" w:cs="Arial"/>
          <w:sz w:val="22"/>
        </w:rPr>
        <w:t>í</w:t>
      </w:r>
      <w:r w:rsidRPr="00D710FC">
        <w:rPr>
          <w:rFonts w:ascii="Arial" w:hAnsi="Arial" w:cs="Arial"/>
          <w:sz w:val="22"/>
        </w:rPr>
        <w:t xml:space="preserve">odo de tiempo. </w:t>
      </w:r>
    </w:p>
    <w:p w14:paraId="3CCFF1B2" w14:textId="07FE8090" w:rsidR="009010B3" w:rsidRPr="00D710FC" w:rsidRDefault="00B7182A" w:rsidP="009010B3">
      <w:pPr>
        <w:spacing w:before="120" w:line="276" w:lineRule="auto"/>
        <w:ind w:firstLine="709"/>
        <w:jc w:val="both"/>
        <w:rPr>
          <w:rFonts w:ascii="Arial" w:eastAsia="Calibri" w:hAnsi="Arial" w:cs="Arial"/>
          <w:bCs/>
          <w:sz w:val="22"/>
        </w:rPr>
      </w:pPr>
      <w:r w:rsidRPr="00D710FC">
        <w:rPr>
          <w:rFonts w:ascii="Arial" w:eastAsia="Calibri" w:hAnsi="Arial" w:cs="Arial"/>
          <w:bCs/>
          <w:sz w:val="22"/>
        </w:rPr>
        <w:t>D</w:t>
      </w:r>
      <w:r w:rsidR="009010B3" w:rsidRPr="00D710FC">
        <w:rPr>
          <w:rFonts w:ascii="Arial" w:eastAsia="Calibri" w:hAnsi="Arial" w:cs="Arial"/>
          <w:bCs/>
          <w:sz w:val="22"/>
        </w:rPr>
        <w:t xml:space="preserve">efinido el alcance del requisito habilitante de capacidad residual en los procesos de contratación, y el de la capacidad de organización como uno de sus factores, a continuación se explicará la forma en que se reguló este requisito en los Documentos Tipo de licitación de obra pública de infraestructura de transporte en su Versión 1, Versión 2 y Versión 3, </w:t>
      </w:r>
      <w:r w:rsidR="00C94F59" w:rsidRPr="00D710FC">
        <w:rPr>
          <w:rFonts w:ascii="Arial" w:eastAsia="Calibri" w:hAnsi="Arial" w:cs="Arial"/>
          <w:bCs/>
          <w:sz w:val="22"/>
        </w:rPr>
        <w:t>pues</w:t>
      </w:r>
      <w:r w:rsidR="009010B3" w:rsidRPr="00D710FC">
        <w:rPr>
          <w:rFonts w:ascii="Arial" w:eastAsia="Calibri" w:hAnsi="Arial" w:cs="Arial"/>
          <w:bCs/>
          <w:sz w:val="22"/>
        </w:rPr>
        <w:t xml:space="preserve"> el proceso de desarrollo de este contenido de los documentos tipo es útil para entender el alcance de lo regulado en la última versión. Con fundamento en lo anterior, se analizarán los principales cambios referidos a la acreditación de la capacidad de organización en la nueva versión de los Documentos Tipo de licitación de obra pública de infraestructura de transporte, centrando el análisis específicamente en el Documento Base codificado con las versiones 4 y 5 –vigente actualmente–. En todo caso, se aclara que la regulación de este aspecto en el documento tipo de licitación – Versión 3 se ha mantenido inalterado, pese a las variaciones del Documento Base. </w:t>
      </w:r>
    </w:p>
    <w:p w14:paraId="1077FED3" w14:textId="77777777" w:rsidR="009010B3" w:rsidRPr="00D710FC" w:rsidRDefault="009010B3" w:rsidP="009010B3">
      <w:pPr>
        <w:spacing w:line="276" w:lineRule="auto"/>
        <w:ind w:firstLine="709"/>
        <w:jc w:val="both"/>
        <w:rPr>
          <w:rFonts w:ascii="Arial" w:eastAsia="Calibri" w:hAnsi="Arial" w:cs="Arial"/>
          <w:bCs/>
          <w:sz w:val="22"/>
        </w:rPr>
      </w:pPr>
    </w:p>
    <w:p w14:paraId="6677B13A" w14:textId="77777777" w:rsidR="009010B3" w:rsidRPr="00A611B3" w:rsidRDefault="009010B3" w:rsidP="009010B3">
      <w:pPr>
        <w:tabs>
          <w:tab w:val="left" w:pos="426"/>
        </w:tabs>
        <w:spacing w:line="276" w:lineRule="auto"/>
        <w:jc w:val="both"/>
        <w:rPr>
          <w:rFonts w:ascii="Arial" w:eastAsia="Calibri" w:hAnsi="Arial" w:cs="Arial"/>
          <w:b/>
          <w:sz w:val="22"/>
        </w:rPr>
      </w:pPr>
      <w:r w:rsidRPr="00A611B3">
        <w:rPr>
          <w:rFonts w:ascii="Arial" w:eastAsia="Calibri" w:hAnsi="Arial" w:cs="Arial"/>
          <w:b/>
          <w:sz w:val="22"/>
        </w:rPr>
        <w:t>2.2.</w:t>
      </w:r>
      <w:r w:rsidRPr="00A611B3">
        <w:rPr>
          <w:rFonts w:ascii="Arial" w:eastAsia="Calibri" w:hAnsi="Arial" w:cs="Arial"/>
          <w:b/>
          <w:sz w:val="22"/>
        </w:rPr>
        <w:tab/>
        <w:t>Acreditación del factor Capacidad de Organización (CO) en las versiones 1, 2 y 3 de los Documentos Tipo de licitación de obra pública de infraestructura de transporte</w:t>
      </w:r>
    </w:p>
    <w:p w14:paraId="18D6F057" w14:textId="77777777" w:rsidR="009010B3" w:rsidRPr="00D710FC" w:rsidRDefault="009010B3" w:rsidP="009010B3">
      <w:pPr>
        <w:spacing w:line="276" w:lineRule="auto"/>
        <w:jc w:val="both"/>
        <w:rPr>
          <w:rFonts w:ascii="Arial" w:eastAsia="Calibri" w:hAnsi="Arial" w:cs="Arial"/>
          <w:sz w:val="22"/>
          <w:lang w:val="es-ES_tradnl" w:eastAsia="es-ES"/>
        </w:rPr>
      </w:pPr>
    </w:p>
    <w:p w14:paraId="08CEED29" w14:textId="6B258E30" w:rsidR="009010B3" w:rsidRPr="00D710FC" w:rsidRDefault="00F75C74" w:rsidP="009010B3">
      <w:pPr>
        <w:spacing w:line="276" w:lineRule="auto"/>
        <w:jc w:val="both"/>
        <w:rPr>
          <w:rFonts w:ascii="Arial" w:eastAsia="Calibri" w:hAnsi="Arial" w:cs="Arial"/>
          <w:sz w:val="22"/>
          <w:lang w:val="es-ES_tradnl" w:eastAsia="es-ES"/>
        </w:rPr>
      </w:pPr>
      <w:r w:rsidRPr="00D710FC">
        <w:rPr>
          <w:rFonts w:ascii="Arial" w:eastAsia="Calibri" w:hAnsi="Arial" w:cs="Arial"/>
          <w:sz w:val="22"/>
          <w:lang w:val="es-ES_tradnl" w:eastAsia="es-ES"/>
        </w:rPr>
        <w:t xml:space="preserve">Se resalta </w:t>
      </w:r>
      <w:r w:rsidR="009010B3" w:rsidRPr="00D710FC">
        <w:rPr>
          <w:rFonts w:ascii="Arial" w:eastAsia="Calibri" w:hAnsi="Arial" w:cs="Arial"/>
          <w:sz w:val="22"/>
          <w:lang w:val="es-ES_tradnl" w:eastAsia="es-ES"/>
        </w:rPr>
        <w:t xml:space="preserve">que, en materia de infraestructura de transporte en la modalidad de licitación pública, la Agencia Nacional de Contratación Pública - Colombia Compra Eficiente, hasta el momento ha adoptado y actualizado los siguientes documentos tipo que son obligatorios para todas las entidades sometidas al Estatuto General de Contratación de la Administración Pública: </w:t>
      </w:r>
    </w:p>
    <w:p w14:paraId="056CF02D" w14:textId="77777777" w:rsidR="009010B3" w:rsidRPr="00D710FC" w:rsidRDefault="009010B3" w:rsidP="009010B3">
      <w:pPr>
        <w:spacing w:before="120" w:line="276" w:lineRule="auto"/>
        <w:ind w:firstLine="709"/>
        <w:jc w:val="both"/>
        <w:rPr>
          <w:rFonts w:ascii="Arial" w:eastAsia="Calibri" w:hAnsi="Arial" w:cs="Arial"/>
          <w:sz w:val="22"/>
          <w:lang w:val="es-ES_tradnl" w:eastAsia="es-ES"/>
        </w:rPr>
      </w:pPr>
      <w:r w:rsidRPr="00D710FC">
        <w:rPr>
          <w:rFonts w:ascii="Arial" w:eastAsia="Calibri" w:hAnsi="Arial" w:cs="Arial"/>
          <w:sz w:val="22"/>
          <w:lang w:val="es-ES_tradnl" w:eastAsia="es-ES"/>
        </w:rPr>
        <w:t xml:space="preserve">i) Documentos tipo para licitación de obra pública de infraestructura de transporte –Versión 1–, implementados mediante la Resolución No. 1798 de 2019, obligatorios para los procesos cuyo aviso de convocatoria se haya publicado desde el 1 de abril de 2019. </w:t>
      </w:r>
    </w:p>
    <w:p w14:paraId="3F469D41" w14:textId="77777777" w:rsidR="009010B3" w:rsidRPr="00D710FC" w:rsidRDefault="009010B3" w:rsidP="009010B3">
      <w:pPr>
        <w:spacing w:before="120" w:line="276" w:lineRule="auto"/>
        <w:ind w:firstLine="709"/>
        <w:jc w:val="both"/>
        <w:rPr>
          <w:rFonts w:ascii="Arial" w:eastAsia="Calibri" w:hAnsi="Arial" w:cs="Arial"/>
          <w:sz w:val="22"/>
          <w:lang w:val="es-ES_tradnl" w:eastAsia="es-ES"/>
        </w:rPr>
      </w:pPr>
      <w:r w:rsidRPr="00D710FC">
        <w:rPr>
          <w:rFonts w:ascii="Arial" w:eastAsia="Calibri" w:hAnsi="Arial" w:cs="Arial"/>
          <w:sz w:val="22"/>
          <w:lang w:val="es-ES_tradnl" w:eastAsia="es-ES"/>
        </w:rPr>
        <w:t>ii) Documentos tipo para licitación de obra pública de infraestructura de transporte –Versión 2–, actualizados mediante la Resolución No. 045 de 2020</w:t>
      </w:r>
      <w:r w:rsidRPr="00D710FC">
        <w:rPr>
          <w:rStyle w:val="Refdenotaalpie"/>
          <w:rFonts w:ascii="Arial" w:eastAsia="Calibri" w:hAnsi="Arial" w:cs="Arial"/>
          <w:sz w:val="22"/>
          <w:lang w:val="es-ES_tradnl" w:eastAsia="es-ES"/>
        </w:rPr>
        <w:footnoteReference w:id="4"/>
      </w:r>
      <w:r w:rsidRPr="00D710FC">
        <w:rPr>
          <w:rFonts w:ascii="Arial" w:eastAsia="Calibri" w:hAnsi="Arial" w:cs="Arial"/>
          <w:sz w:val="22"/>
          <w:lang w:val="es-ES_tradnl" w:eastAsia="es-ES"/>
        </w:rPr>
        <w:t>, obligatorios para los procesos cuyo aviso de convocatoria se haya publicado desde el 10 de marzo de 2020.</w:t>
      </w:r>
    </w:p>
    <w:p w14:paraId="10499F55" w14:textId="04CCB146" w:rsidR="006D5B96" w:rsidRPr="00D710FC" w:rsidRDefault="009010B3" w:rsidP="00F911A6">
      <w:pPr>
        <w:spacing w:before="120" w:line="276" w:lineRule="auto"/>
        <w:ind w:firstLine="708"/>
        <w:jc w:val="both"/>
        <w:rPr>
          <w:rFonts w:ascii="Arial" w:hAnsi="Arial" w:cs="Arial"/>
          <w:iCs/>
          <w:sz w:val="22"/>
          <w:szCs w:val="22"/>
        </w:rPr>
      </w:pPr>
      <w:r w:rsidRPr="00D710FC">
        <w:rPr>
          <w:rFonts w:ascii="Arial" w:eastAsia="Calibri" w:hAnsi="Arial" w:cs="Arial"/>
          <w:sz w:val="22"/>
          <w:szCs w:val="22"/>
          <w:lang w:val="es-ES_tradnl" w:eastAsia="es-ES"/>
        </w:rPr>
        <w:t>iii) Documentos tipo para licitación de obra pública de infraestructura de transporte –Versión 3–, actualizados mediante la Resolución No. 240 de 2020</w:t>
      </w:r>
      <w:r w:rsidRPr="00D710FC">
        <w:rPr>
          <w:rStyle w:val="Refdenotaalpie"/>
          <w:rFonts w:ascii="Arial" w:eastAsia="Calibri" w:hAnsi="Arial" w:cs="Arial"/>
          <w:sz w:val="22"/>
          <w:szCs w:val="22"/>
          <w:lang w:val="es-ES_tradnl" w:eastAsia="es-ES"/>
        </w:rPr>
        <w:footnoteReference w:id="5"/>
      </w:r>
      <w:r w:rsidRPr="00D710FC">
        <w:rPr>
          <w:rFonts w:ascii="Arial" w:eastAsia="Calibri" w:hAnsi="Arial" w:cs="Arial"/>
          <w:sz w:val="22"/>
          <w:szCs w:val="22"/>
          <w:lang w:val="es-ES_tradnl" w:eastAsia="es-ES"/>
        </w:rPr>
        <w:t xml:space="preserve"> obligatorios para los </w:t>
      </w:r>
      <w:r w:rsidRPr="00D710FC">
        <w:rPr>
          <w:rFonts w:ascii="Arial" w:eastAsia="Calibri" w:hAnsi="Arial" w:cs="Arial"/>
          <w:sz w:val="22"/>
          <w:szCs w:val="22"/>
          <w:lang w:val="es-ES_tradnl" w:eastAsia="es-ES"/>
        </w:rPr>
        <w:lastRenderedPageBreak/>
        <w:t>procesos cuyo aviso de convocatoria se haya publicado desde el 1 de enero de 2021</w:t>
      </w:r>
      <w:r w:rsidRPr="00D710FC">
        <w:rPr>
          <w:rStyle w:val="Refdenotaalpie"/>
          <w:rFonts w:ascii="Arial" w:eastAsia="Calibri" w:hAnsi="Arial" w:cs="Arial"/>
          <w:sz w:val="22"/>
          <w:szCs w:val="22"/>
          <w:lang w:val="es-ES_tradnl" w:eastAsia="es-ES"/>
        </w:rPr>
        <w:footnoteReference w:id="6"/>
      </w:r>
      <w:r w:rsidRPr="00D710FC">
        <w:rPr>
          <w:rFonts w:ascii="Arial" w:eastAsia="Calibri" w:hAnsi="Arial" w:cs="Arial"/>
          <w:sz w:val="22"/>
          <w:szCs w:val="22"/>
          <w:lang w:val="es-ES_tradnl" w:eastAsia="es-ES"/>
        </w:rPr>
        <w:t>.   Estos Documentos Tipo, a su vez, fueron modificados mediante la Resolución No. 161 de 2021 en aspectos relacionados con los criterios de desempate y tratamiento de datos personales para procesos cuyo aviso de convocatoria se haya publicado desde el 28 de junio de 2021</w:t>
      </w:r>
      <w:r w:rsidRPr="00D710FC">
        <w:rPr>
          <w:rStyle w:val="Refdenotaalpie"/>
          <w:rFonts w:ascii="Arial" w:eastAsia="Calibri" w:hAnsi="Arial" w:cs="Arial"/>
          <w:sz w:val="22"/>
          <w:szCs w:val="22"/>
          <w:lang w:val="es-ES_tradnl" w:eastAsia="es-ES"/>
        </w:rPr>
        <w:footnoteReference w:id="7"/>
      </w:r>
      <w:r w:rsidR="003904B9" w:rsidRPr="00D710FC">
        <w:rPr>
          <w:rFonts w:ascii="Arial" w:eastAsia="Calibri" w:hAnsi="Arial" w:cs="Arial"/>
          <w:sz w:val="22"/>
          <w:szCs w:val="22"/>
          <w:lang w:val="es-ES_tradnl" w:eastAsia="es-ES"/>
        </w:rPr>
        <w:t xml:space="preserve">, por lo que no </w:t>
      </w:r>
      <w:r w:rsidR="006D5B96" w:rsidRPr="00D710FC">
        <w:rPr>
          <w:rFonts w:ascii="Arial" w:eastAsia="Calibri" w:hAnsi="Arial" w:cs="Arial"/>
          <w:sz w:val="22"/>
          <w:szCs w:val="22"/>
          <w:lang w:val="es-ES_tradnl" w:eastAsia="es-ES"/>
        </w:rPr>
        <w:t xml:space="preserve">se </w:t>
      </w:r>
      <w:r w:rsidR="003904B9" w:rsidRPr="00D710FC">
        <w:rPr>
          <w:rFonts w:ascii="Arial" w:eastAsia="Calibri" w:hAnsi="Arial" w:cs="Arial"/>
          <w:sz w:val="22"/>
          <w:szCs w:val="22"/>
          <w:lang w:val="es-ES_tradnl" w:eastAsia="es-ES"/>
        </w:rPr>
        <w:t xml:space="preserve">modificó lo relacionado con la capacidad de organización, como componente de la capacidad residual. </w:t>
      </w:r>
    </w:p>
    <w:p w14:paraId="3E682736" w14:textId="45537E15"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eastAsia="Calibri" w:hAnsi="Arial" w:cs="Arial"/>
          <w:bCs/>
          <w:sz w:val="22"/>
        </w:rPr>
        <w:t xml:space="preserve">Ahora bien, respecto del requisito de la capacidad residual o K de contratación se realizaron ajustes en cuanto a la verificación de la capacidad de organización en cada una de las versiones antes descritas. En estos documentos, la Agencia precisa los requisitos en relación con los proponentes obligados a tener RUP, de conformidad con lo establecido en el Decreto 1082 de 2015. </w:t>
      </w:r>
      <w:r w:rsidR="005638EE" w:rsidRPr="00D710FC">
        <w:rPr>
          <w:rFonts w:ascii="Arial" w:eastAsia="Calibri" w:hAnsi="Arial" w:cs="Arial"/>
          <w:bCs/>
          <w:sz w:val="22"/>
        </w:rPr>
        <w:t>En igual sentido</w:t>
      </w:r>
      <w:r w:rsidRPr="00D710FC">
        <w:rPr>
          <w:rFonts w:ascii="Arial" w:eastAsia="Calibri" w:hAnsi="Arial" w:cs="Arial"/>
          <w:bCs/>
          <w:sz w:val="22"/>
        </w:rPr>
        <w:t>, a continuación se explicará la forma en que se reguló este requisito en los Documentos Tipo de licitación de obra pública de infraestructura</w:t>
      </w:r>
      <w:r w:rsidR="00A75E48" w:rsidRPr="00D710FC">
        <w:rPr>
          <w:rFonts w:ascii="Arial" w:eastAsia="Calibri" w:hAnsi="Arial" w:cs="Arial"/>
          <w:bCs/>
          <w:sz w:val="22"/>
        </w:rPr>
        <w:t>,</w:t>
      </w:r>
      <w:r w:rsidRPr="00D710FC">
        <w:rPr>
          <w:rFonts w:ascii="Arial" w:eastAsia="Calibri" w:hAnsi="Arial" w:cs="Arial"/>
          <w:bCs/>
          <w:sz w:val="22"/>
        </w:rPr>
        <w:t xml:space="preserve"> Versi</w:t>
      </w:r>
      <w:r w:rsidR="00A75E48" w:rsidRPr="00D710FC">
        <w:rPr>
          <w:rFonts w:ascii="Arial" w:eastAsia="Calibri" w:hAnsi="Arial" w:cs="Arial"/>
          <w:bCs/>
          <w:sz w:val="22"/>
        </w:rPr>
        <w:t>o</w:t>
      </w:r>
      <w:r w:rsidRPr="00D710FC">
        <w:rPr>
          <w:rFonts w:ascii="Arial" w:eastAsia="Calibri" w:hAnsi="Arial" w:cs="Arial"/>
          <w:bCs/>
          <w:sz w:val="22"/>
        </w:rPr>
        <w:t>n</w:t>
      </w:r>
      <w:r w:rsidR="00A75E48" w:rsidRPr="00D710FC">
        <w:rPr>
          <w:rFonts w:ascii="Arial" w:eastAsia="Calibri" w:hAnsi="Arial" w:cs="Arial"/>
          <w:bCs/>
          <w:sz w:val="22"/>
        </w:rPr>
        <w:t>es</w:t>
      </w:r>
      <w:r w:rsidRPr="00D710FC">
        <w:rPr>
          <w:rFonts w:ascii="Arial" w:eastAsia="Calibri" w:hAnsi="Arial" w:cs="Arial"/>
          <w:bCs/>
          <w:sz w:val="22"/>
        </w:rPr>
        <w:t xml:space="preserve"> 1, 2 y 3, teniendo en cuenta que los Documentos Base que hacen parte de cada una de estas versiones, también tienen una codificación que ha variado con los cambios realizados, estando vigente a partir del 28 de junio de 2021 el «Documento Base» – Versión 5 que pertenece a los Documentos Tipo </w:t>
      </w:r>
      <w:r w:rsidRPr="00D710FC">
        <w:rPr>
          <w:rFonts w:ascii="Arial" w:hAnsi="Arial" w:cs="Arial"/>
          <w:bCs/>
          <w:sz w:val="22"/>
        </w:rPr>
        <w:t>para licitación de obra pública de infraestructura de transporte</w:t>
      </w:r>
      <w:r w:rsidRPr="00D710FC">
        <w:rPr>
          <w:rFonts w:ascii="Arial" w:eastAsia="Calibri" w:hAnsi="Arial" w:cs="Arial"/>
          <w:bCs/>
          <w:sz w:val="22"/>
        </w:rPr>
        <w:t xml:space="preserve"> – Versión 3.</w:t>
      </w:r>
    </w:p>
    <w:p w14:paraId="3CB5205A" w14:textId="77777777"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hAnsi="Arial" w:cs="Arial"/>
          <w:bCs/>
          <w:sz w:val="22"/>
        </w:rPr>
        <w:t xml:space="preserve">Así, en los Documentos Tipo para licitación de obra pública de infraestructura de transporte </w:t>
      </w:r>
      <w:r w:rsidRPr="00D710FC">
        <w:rPr>
          <w:rFonts w:ascii="Arial" w:hAnsi="Arial" w:cs="Arial"/>
          <w:bCs/>
          <w:i/>
          <w:iCs/>
          <w:sz w:val="22"/>
        </w:rPr>
        <w:t>Versión 1</w:t>
      </w:r>
      <w:r w:rsidRPr="00D710FC">
        <w:rPr>
          <w:rFonts w:ascii="Arial" w:hAnsi="Arial" w:cs="Arial"/>
          <w:bCs/>
          <w:sz w:val="22"/>
        </w:rPr>
        <w:t>, el Documento Base establecía que para acreditar la capacidad residual el proponente debía</w:t>
      </w:r>
      <w:r w:rsidRPr="00D710FC">
        <w:rPr>
          <w:rFonts w:ascii="Arial" w:eastAsia="Calibri" w:hAnsi="Arial" w:cs="Arial"/>
          <w:bCs/>
          <w:sz w:val="22"/>
        </w:rPr>
        <w:t xml:space="preserve"> presentar los siguientes documentos:</w:t>
      </w:r>
    </w:p>
    <w:p w14:paraId="0BA6FF74" w14:textId="77777777"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eastAsia="Calibri" w:hAnsi="Arial" w:cs="Arial"/>
          <w:bCs/>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20A2C80E" w14:textId="77777777"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eastAsia="Calibri" w:hAnsi="Arial" w:cs="Arial"/>
          <w:bCs/>
          <w:sz w:val="22"/>
        </w:rPr>
        <w:t xml:space="preserve">ii) Información financiera auditada y aprobada por el máximo órgano social que pretende acreditar el proponente. </w:t>
      </w:r>
    </w:p>
    <w:p w14:paraId="1FE17C6E" w14:textId="5C3B7D02"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eastAsia="Calibri" w:hAnsi="Arial" w:cs="Arial"/>
          <w:bCs/>
          <w:sz w:val="22"/>
        </w:rPr>
        <w:t>iii)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w:t>
      </w:r>
      <w:r w:rsidR="006D5B96" w:rsidRPr="00D710FC">
        <w:rPr>
          <w:rFonts w:ascii="Arial" w:eastAsia="Calibri" w:hAnsi="Arial" w:cs="Arial"/>
          <w:bCs/>
          <w:sz w:val="22"/>
        </w:rPr>
        <w:t>stos</w:t>
      </w:r>
      <w:r w:rsidRPr="00D710FC">
        <w:rPr>
          <w:rFonts w:ascii="Arial" w:eastAsia="Calibri" w:hAnsi="Arial" w:cs="Arial"/>
          <w:bCs/>
          <w:sz w:val="22"/>
        </w:rPr>
        <w:t>, conforme al reglamento, y que las mismas se han tomado fielmente de los libros.</w:t>
      </w:r>
    </w:p>
    <w:p w14:paraId="286F5C68" w14:textId="77777777"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eastAsia="Calibri" w:hAnsi="Arial" w:cs="Arial"/>
          <w:bCs/>
          <w:sz w:val="22"/>
        </w:rPr>
        <w:t xml:space="preserve">iv) Dictamen del revisor fiscal o, a falta de éste, del contador público independiente cuando el proponente esté obligado a ello, del año o en que haya obtenido el mayor Ingreso </w:t>
      </w:r>
      <w:r w:rsidRPr="00D710FC">
        <w:rPr>
          <w:rFonts w:ascii="Arial" w:eastAsia="Calibri" w:hAnsi="Arial" w:cs="Arial"/>
          <w:bCs/>
          <w:sz w:val="22"/>
        </w:rPr>
        <w:lastRenderedPageBreak/>
        <w:t xml:space="preserve">Operacional en los últimos cinco (5) años, en los términos descritos en el artículo 38 de la Ley 222 de 1995. </w:t>
      </w:r>
    </w:p>
    <w:p w14:paraId="5338D075" w14:textId="77777777" w:rsidR="009010B3" w:rsidRPr="00D710FC" w:rsidRDefault="009010B3" w:rsidP="009010B3">
      <w:pPr>
        <w:spacing w:before="120" w:line="276" w:lineRule="auto"/>
        <w:ind w:firstLine="708"/>
        <w:jc w:val="both"/>
        <w:rPr>
          <w:rFonts w:ascii="Arial" w:eastAsia="Calibri" w:hAnsi="Arial" w:cs="Arial"/>
          <w:bCs/>
          <w:sz w:val="22"/>
        </w:rPr>
      </w:pPr>
      <w:r w:rsidRPr="00D710FC">
        <w:rPr>
          <w:rFonts w:ascii="Arial" w:eastAsia="Calibri" w:hAnsi="Arial" w:cs="Arial"/>
          <w:bCs/>
          <w:sz w:val="22"/>
        </w:rPr>
        <w:t xml:space="preserve">v) Copia de la tarjeta profesional y certificado de antecedentes disciplinarios vigentes de los contadores públicos, revisores fiscales, contadores independientes (externos), quienes suscribieron los documentos anteriores. </w:t>
      </w:r>
      <w:r w:rsidRPr="00D710FC">
        <w:rPr>
          <w:rFonts w:ascii="Arial" w:hAnsi="Arial" w:cs="Arial"/>
          <w:sz w:val="22"/>
        </w:rPr>
        <w:t xml:space="preserve"> </w:t>
      </w:r>
    </w:p>
    <w:p w14:paraId="45A1E7B4" w14:textId="197A036A" w:rsidR="009010B3" w:rsidRPr="00D710FC" w:rsidRDefault="009010B3" w:rsidP="009010B3">
      <w:pPr>
        <w:spacing w:before="120" w:line="276" w:lineRule="auto"/>
        <w:ind w:firstLine="708"/>
        <w:jc w:val="both"/>
        <w:rPr>
          <w:rFonts w:ascii="Arial" w:hAnsi="Arial" w:cs="Arial"/>
          <w:bCs/>
          <w:sz w:val="22"/>
        </w:rPr>
      </w:pPr>
      <w:r w:rsidRPr="00D710FC">
        <w:rPr>
          <w:rFonts w:ascii="Arial" w:hAnsi="Arial" w:cs="Arial"/>
          <w:bCs/>
          <w:sz w:val="22"/>
        </w:rPr>
        <w:t xml:space="preserve">De otro lado, en los Documentos Tipo para licitación de obra pública de infraestructura de transporte </w:t>
      </w:r>
      <w:r w:rsidRPr="00D710FC">
        <w:rPr>
          <w:rFonts w:ascii="Arial" w:hAnsi="Arial" w:cs="Arial"/>
          <w:bCs/>
          <w:i/>
          <w:iCs/>
          <w:sz w:val="22"/>
        </w:rPr>
        <w:t>Versión 2</w:t>
      </w:r>
      <w:r w:rsidRPr="00D710FC">
        <w:rPr>
          <w:rFonts w:ascii="Arial" w:hAnsi="Arial" w:cs="Arial"/>
          <w:bCs/>
          <w:sz w:val="22"/>
        </w:rPr>
        <w:t xml:space="preserve">, en el Documento Base en sus versiones 2 y 3, en el numeral 3.11 y 3.10, respectivamente, </w:t>
      </w:r>
      <w:r w:rsidRPr="00A611B3">
        <w:rPr>
          <w:rFonts w:ascii="Arial" w:hAnsi="Arial" w:cs="Arial"/>
          <w:sz w:val="22"/>
        </w:rPr>
        <w:t xml:space="preserve">se ajustaron los requisitos quedando </w:t>
      </w:r>
      <w:r w:rsidR="000516FF" w:rsidRPr="00A611B3">
        <w:rPr>
          <w:rFonts w:ascii="Arial" w:hAnsi="Arial" w:cs="Arial"/>
          <w:sz w:val="22"/>
        </w:rPr>
        <w:t>establecidos</w:t>
      </w:r>
      <w:r w:rsidRPr="00A611B3">
        <w:rPr>
          <w:rFonts w:ascii="Arial" w:hAnsi="Arial" w:cs="Arial"/>
          <w:sz w:val="22"/>
        </w:rPr>
        <w:t xml:space="preserve"> únicamente </w:t>
      </w:r>
      <w:r w:rsidRPr="00D710FC">
        <w:rPr>
          <w:rFonts w:ascii="Arial" w:hAnsi="Arial" w:cs="Arial"/>
          <w:bCs/>
          <w:sz w:val="22"/>
        </w:rPr>
        <w:t>los documentos señalados en los numerales i) y v) antes mencionados.</w:t>
      </w:r>
    </w:p>
    <w:p w14:paraId="6F42BE01" w14:textId="05908765" w:rsidR="009010B3" w:rsidRPr="00D710FC" w:rsidRDefault="009010B3" w:rsidP="009010B3">
      <w:pPr>
        <w:spacing w:before="120" w:line="276" w:lineRule="auto"/>
        <w:ind w:firstLine="709"/>
        <w:jc w:val="both"/>
        <w:rPr>
          <w:rFonts w:ascii="Arial" w:hAnsi="Arial" w:cs="Arial"/>
          <w:sz w:val="22"/>
        </w:rPr>
      </w:pPr>
      <w:r w:rsidRPr="00D710FC">
        <w:rPr>
          <w:rFonts w:ascii="Arial" w:hAnsi="Arial" w:cs="Arial"/>
          <w:sz w:val="22"/>
        </w:rPr>
        <w:t xml:space="preserve">De esta manera, conforme a la </w:t>
      </w:r>
      <w:r w:rsidRPr="00D710FC">
        <w:rPr>
          <w:rFonts w:ascii="Arial" w:hAnsi="Arial" w:cs="Arial"/>
          <w:i/>
          <w:iCs/>
          <w:sz w:val="22"/>
        </w:rPr>
        <w:t xml:space="preserve">Versión 2, </w:t>
      </w:r>
      <w:r w:rsidRPr="00D710FC">
        <w:rPr>
          <w:rFonts w:ascii="Arial" w:hAnsi="Arial" w:cs="Arial"/>
          <w:sz w:val="22"/>
        </w:rPr>
        <w:t>se establec</w:t>
      </w:r>
      <w:r w:rsidR="00D61D03" w:rsidRPr="00D710FC">
        <w:rPr>
          <w:rFonts w:ascii="Arial" w:hAnsi="Arial" w:cs="Arial"/>
          <w:sz w:val="22"/>
        </w:rPr>
        <w:t>ía</w:t>
      </w:r>
      <w:r w:rsidRPr="00D710FC">
        <w:rPr>
          <w:rFonts w:ascii="Arial" w:hAnsi="Arial" w:cs="Arial"/>
          <w:sz w:val="22"/>
        </w:rPr>
        <w:t xml:space="preserve"> que los proponentes obligados a tener RUP deb</w:t>
      </w:r>
      <w:r w:rsidR="00D61D03" w:rsidRPr="00D710FC">
        <w:rPr>
          <w:rFonts w:ascii="Arial" w:hAnsi="Arial" w:cs="Arial"/>
          <w:sz w:val="22"/>
        </w:rPr>
        <w:t>ía</w:t>
      </w:r>
      <w:r w:rsidRPr="00D710FC">
        <w:rPr>
          <w:rFonts w:ascii="Arial" w:hAnsi="Arial" w:cs="Arial"/>
          <w:sz w:val="22"/>
        </w:rPr>
        <w:t>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ii) copia de la tarjeta profesional y certificado de antecedentes disciplinarios vigentes de los contadores públicos, revisores fiscales, contadores independientes (externos), quienes suscribieron los documentos señalados en el presente literal.</w:t>
      </w:r>
    </w:p>
    <w:p w14:paraId="6E800F7E" w14:textId="77777777" w:rsidR="009010B3" w:rsidRPr="00D710FC" w:rsidRDefault="009010B3" w:rsidP="009010B3">
      <w:pPr>
        <w:spacing w:before="120" w:line="276" w:lineRule="auto"/>
        <w:ind w:firstLine="709"/>
        <w:jc w:val="both"/>
        <w:rPr>
          <w:rFonts w:ascii="Arial" w:hAnsi="Arial" w:cs="Arial"/>
          <w:sz w:val="22"/>
        </w:rPr>
      </w:pPr>
      <w:r w:rsidRPr="00D710FC">
        <w:rPr>
          <w:rFonts w:ascii="Arial" w:hAnsi="Arial" w:cs="Arial"/>
          <w:sz w:val="22"/>
        </w:rPr>
        <w:t>De la lectura de estos últimos requisitos, se advierte que para los proponentes obligados a tener RUP no sería necesario presentar los siguientes documentos: i) la información financiera auditada y aprobada por el máximo órgano social que pretende acreditar el proponente, ii)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iii)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41DF3A9A" w14:textId="77777777" w:rsidR="009010B3" w:rsidRPr="00D710FC" w:rsidRDefault="009010B3" w:rsidP="009010B3">
      <w:pPr>
        <w:spacing w:before="120" w:line="276" w:lineRule="auto"/>
        <w:ind w:firstLine="709"/>
        <w:jc w:val="both"/>
        <w:rPr>
          <w:rFonts w:ascii="Arial" w:hAnsi="Arial" w:cs="Arial"/>
          <w:sz w:val="22"/>
        </w:rPr>
      </w:pPr>
      <w:r w:rsidRPr="00D710FC">
        <w:rPr>
          <w:rFonts w:ascii="Arial" w:hAnsi="Arial" w:cs="Arial"/>
          <w:sz w:val="22"/>
        </w:rPr>
        <w:t xml:space="preserve">Las razones para eliminar estos documentos se fundamentaron en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D710FC">
        <w:rPr>
          <w:rFonts w:ascii="Arial" w:hAnsi="Arial" w:cs="Arial"/>
          <w:i/>
          <w:iCs/>
          <w:sz w:val="22"/>
        </w:rPr>
        <w:t xml:space="preserve">Si se trata de proponentes obligados a tener RUP, las Entidades Estatales solo deben solicitar como </w:t>
      </w:r>
      <w:r w:rsidRPr="00D710FC">
        <w:rPr>
          <w:rFonts w:ascii="Arial" w:hAnsi="Arial" w:cs="Arial"/>
          <w:i/>
          <w:iCs/>
          <w:sz w:val="22"/>
        </w:rPr>
        <w:lastRenderedPageBreak/>
        <w:t>documento adicional el estado de resultados del año en que el proponente obtuvo el mayor ingreso operacional en los últimos cinco (5) años</w:t>
      </w:r>
      <w:r w:rsidRPr="00D710FC">
        <w:rPr>
          <w:rFonts w:ascii="Arial" w:hAnsi="Arial" w:cs="Arial"/>
          <w:sz w:val="22"/>
          <w:vertAlign w:val="superscript"/>
        </w:rPr>
        <w:footnoteReference w:id="8"/>
      </w:r>
      <w:r w:rsidRPr="00D710FC">
        <w:rPr>
          <w:rFonts w:ascii="Arial" w:hAnsi="Arial" w:cs="Arial"/>
          <w:sz w:val="22"/>
        </w:rPr>
        <w:t xml:space="preserve">». </w:t>
      </w:r>
    </w:p>
    <w:p w14:paraId="2BD7FA17" w14:textId="5C3C5292" w:rsidR="009010B3" w:rsidRPr="00D710FC" w:rsidRDefault="009010B3" w:rsidP="009010B3">
      <w:pPr>
        <w:spacing w:before="120" w:after="120" w:line="276" w:lineRule="auto"/>
        <w:ind w:firstLine="709"/>
        <w:jc w:val="both"/>
        <w:rPr>
          <w:rFonts w:ascii="Arial" w:hAnsi="Arial" w:cs="Arial"/>
          <w:sz w:val="22"/>
        </w:rPr>
      </w:pPr>
      <w:r w:rsidRPr="00D710FC">
        <w:rPr>
          <w:rFonts w:ascii="Arial" w:hAnsi="Arial" w:cs="Arial"/>
          <w:sz w:val="22"/>
        </w:rPr>
        <w:t>En este sentido, se consideró que el Decreto reglamentario de forma expresa indica</w:t>
      </w:r>
      <w:r w:rsidR="00D61D03" w:rsidRPr="00D710FC">
        <w:rPr>
          <w:rFonts w:ascii="Arial" w:hAnsi="Arial" w:cs="Arial"/>
          <w:sz w:val="22"/>
        </w:rPr>
        <w:t>ba</w:t>
      </w:r>
      <w:r w:rsidRPr="00D710FC">
        <w:rPr>
          <w:rFonts w:ascii="Arial" w:hAnsi="Arial" w:cs="Arial"/>
          <w:sz w:val="22"/>
        </w:rPr>
        <w:t xml:space="preserve"> los documentos necesarios para acreditar la capacidad residual, sin prever la exigencia de presentar la información financiera auditada y aprobada por el máximo órgano social que pretende acreditar el proponente. </w:t>
      </w:r>
    </w:p>
    <w:p w14:paraId="17A21D86" w14:textId="4996C790" w:rsidR="009010B3" w:rsidRPr="00D710FC" w:rsidRDefault="009010B3" w:rsidP="009010B3">
      <w:pPr>
        <w:spacing w:after="160" w:line="259" w:lineRule="auto"/>
        <w:ind w:firstLine="708"/>
        <w:jc w:val="both"/>
        <w:rPr>
          <w:rFonts w:ascii="Arial" w:hAnsi="Arial" w:cs="Arial"/>
          <w:bCs/>
          <w:sz w:val="22"/>
        </w:rPr>
      </w:pPr>
      <w:r w:rsidRPr="00D710FC">
        <w:rPr>
          <w:rFonts w:ascii="Arial" w:hAnsi="Arial" w:cs="Arial"/>
          <w:bCs/>
          <w:sz w:val="22"/>
        </w:rPr>
        <w:t xml:space="preserve">Posteriormente, en la </w:t>
      </w:r>
      <w:r w:rsidRPr="00D710FC">
        <w:rPr>
          <w:rFonts w:ascii="Arial" w:hAnsi="Arial" w:cs="Arial"/>
          <w:bCs/>
          <w:i/>
          <w:iCs/>
          <w:sz w:val="22"/>
        </w:rPr>
        <w:t>Versión 3</w:t>
      </w:r>
      <w:r w:rsidRPr="00D710FC">
        <w:rPr>
          <w:rFonts w:ascii="Arial" w:hAnsi="Arial" w:cs="Arial"/>
          <w:bCs/>
          <w:sz w:val="22"/>
        </w:rPr>
        <w:t xml:space="preserve"> de los Documentos Tipo para licitación de obra pública de infraestructura de transporte, el </w:t>
      </w:r>
      <w:r w:rsidRPr="00D710FC">
        <w:rPr>
          <w:rFonts w:ascii="Arial" w:hAnsi="Arial" w:cs="Arial"/>
          <w:bCs/>
          <w:i/>
          <w:sz w:val="22"/>
        </w:rPr>
        <w:t>Documento Base</w:t>
      </w:r>
      <w:r w:rsidRPr="00D710FC">
        <w:rPr>
          <w:rFonts w:ascii="Arial" w:hAnsi="Arial" w:cs="Arial"/>
          <w:bCs/>
          <w:sz w:val="22"/>
        </w:rPr>
        <w:t xml:space="preserve"> codificado </w:t>
      </w:r>
      <w:r w:rsidRPr="00A611B3">
        <w:rPr>
          <w:rFonts w:ascii="Arial" w:hAnsi="Arial" w:cs="Arial"/>
          <w:sz w:val="22"/>
        </w:rPr>
        <w:t xml:space="preserve">con la </w:t>
      </w:r>
      <w:r w:rsidRPr="00A611B3">
        <w:rPr>
          <w:rFonts w:ascii="Arial" w:hAnsi="Arial" w:cs="Arial"/>
          <w:i/>
          <w:sz w:val="22"/>
        </w:rPr>
        <w:t>versión 4</w:t>
      </w:r>
      <w:r w:rsidRPr="00A611B3">
        <w:rPr>
          <w:rFonts w:ascii="Arial" w:hAnsi="Arial" w:cs="Arial"/>
          <w:sz w:val="22"/>
        </w:rPr>
        <w:t xml:space="preserve">, vigente hasta el 27 de junio de 2021, así como el codificado con la </w:t>
      </w:r>
      <w:r w:rsidRPr="00A611B3">
        <w:rPr>
          <w:rFonts w:ascii="Arial" w:hAnsi="Arial" w:cs="Arial"/>
          <w:i/>
          <w:sz w:val="22"/>
        </w:rPr>
        <w:t>versión 5</w:t>
      </w:r>
      <w:r w:rsidRPr="00A611B3">
        <w:rPr>
          <w:rFonts w:ascii="Arial" w:hAnsi="Arial" w:cs="Arial"/>
          <w:sz w:val="22"/>
        </w:rPr>
        <w:t>, vigente a partir del 28 de junio de 2021</w:t>
      </w:r>
      <w:r w:rsidRPr="00A611B3">
        <w:rPr>
          <w:rStyle w:val="Refdenotaalpie"/>
          <w:rFonts w:ascii="Arial" w:hAnsi="Arial" w:cs="Arial"/>
          <w:sz w:val="22"/>
        </w:rPr>
        <w:footnoteReference w:id="9"/>
      </w:r>
      <w:r w:rsidRPr="00A611B3">
        <w:rPr>
          <w:rFonts w:ascii="Arial" w:hAnsi="Arial" w:cs="Arial"/>
          <w:sz w:val="22"/>
        </w:rPr>
        <w:t>, establecen idénticamente en el numeral 3.</w:t>
      </w:r>
      <w:r w:rsidR="00230F61" w:rsidRPr="00A611B3">
        <w:rPr>
          <w:rFonts w:ascii="Arial" w:hAnsi="Arial" w:cs="Arial"/>
          <w:sz w:val="22"/>
        </w:rPr>
        <w:t>1</w:t>
      </w:r>
      <w:r w:rsidR="006C1E73" w:rsidRPr="00A611B3">
        <w:rPr>
          <w:rFonts w:ascii="Arial" w:hAnsi="Arial" w:cs="Arial"/>
          <w:sz w:val="22"/>
        </w:rPr>
        <w:t>1</w:t>
      </w:r>
      <w:r w:rsidRPr="00A611B3">
        <w:rPr>
          <w:rFonts w:ascii="Arial" w:hAnsi="Arial" w:cs="Arial"/>
          <w:sz w:val="22"/>
        </w:rPr>
        <w:t>.2., literal A, que para acreditar el factor de capacidad de organización (CO) el proponente obligado a tener RUP debe presentar los siguientes documentos:</w:t>
      </w:r>
    </w:p>
    <w:p w14:paraId="41535700" w14:textId="77777777" w:rsidR="009010B3" w:rsidRPr="00A611B3" w:rsidRDefault="009010B3" w:rsidP="009010B3">
      <w:pPr>
        <w:ind w:left="708" w:right="709"/>
        <w:jc w:val="both"/>
        <w:rPr>
          <w:rFonts w:ascii="Arial" w:hAnsi="Arial" w:cs="Arial"/>
          <w:sz w:val="21"/>
          <w:szCs w:val="21"/>
        </w:rPr>
      </w:pPr>
      <w:r w:rsidRPr="00A611B3">
        <w:rPr>
          <w:rFonts w:ascii="Arial" w:hAnsi="Arial" w:cs="Arial"/>
          <w:sz w:val="21"/>
          <w:szCs w:val="21"/>
        </w:rPr>
        <w:t>i.  Estado de resultados integral (estado de resultado o pérdida o ganancias), del año en que hayan obtenido el mayor ingreso operacional en los últimos cinco (5) años, debidamente firmado por el representante legal, contador y revisor fiscal y/o contador independiente (externo), si están obligados a tenerlos. Esto teniendo en cuenta el artículo 37 de la Ley 222 de 1995.</w:t>
      </w:r>
    </w:p>
    <w:p w14:paraId="353D731E" w14:textId="77777777" w:rsidR="009010B3" w:rsidRPr="00A611B3" w:rsidRDefault="009010B3" w:rsidP="009010B3">
      <w:pPr>
        <w:pStyle w:val="Prrafodelista"/>
        <w:ind w:left="1080"/>
        <w:jc w:val="both"/>
        <w:rPr>
          <w:rFonts w:ascii="Arial" w:hAnsi="Arial" w:cs="Arial"/>
          <w:sz w:val="21"/>
          <w:szCs w:val="21"/>
        </w:rPr>
      </w:pPr>
    </w:p>
    <w:p w14:paraId="117610C1" w14:textId="77777777" w:rsidR="009010B3" w:rsidRPr="00A611B3" w:rsidRDefault="009010B3" w:rsidP="009010B3">
      <w:pPr>
        <w:ind w:left="708" w:right="709"/>
        <w:jc w:val="both"/>
        <w:rPr>
          <w:rFonts w:ascii="Arial" w:hAnsi="Arial" w:cs="Arial"/>
          <w:sz w:val="21"/>
          <w:szCs w:val="21"/>
        </w:rPr>
      </w:pPr>
      <w:r w:rsidRPr="00A611B3">
        <w:rPr>
          <w:rFonts w:ascii="Arial" w:hAnsi="Arial" w:cs="Arial"/>
          <w:sz w:val="21"/>
          <w:szCs w:val="21"/>
        </w:rPr>
        <w:t>ii. Copia de la tarjeta profesional y certificado de antecedentes disciplinarios vigentes de los Contadores Públicos, Revisores Fiscales, Contadores independientes (externos), quienes suscribieron los documentos señalados en el presente literal.</w:t>
      </w:r>
    </w:p>
    <w:p w14:paraId="796D8132" w14:textId="77777777" w:rsidR="009010B3" w:rsidRPr="00A611B3" w:rsidRDefault="009010B3" w:rsidP="009010B3">
      <w:pPr>
        <w:ind w:left="708" w:right="709"/>
        <w:jc w:val="both"/>
        <w:rPr>
          <w:rFonts w:ascii="Arial" w:hAnsi="Arial" w:cs="Arial"/>
          <w:sz w:val="21"/>
          <w:szCs w:val="21"/>
        </w:rPr>
      </w:pPr>
    </w:p>
    <w:p w14:paraId="79024722" w14:textId="3872C272" w:rsidR="009010B3" w:rsidRPr="00A611B3" w:rsidRDefault="009010B3" w:rsidP="009010B3">
      <w:pPr>
        <w:spacing w:before="120" w:line="276" w:lineRule="auto"/>
        <w:ind w:firstLine="708"/>
        <w:jc w:val="both"/>
        <w:rPr>
          <w:rFonts w:ascii="Arial" w:hAnsi="Arial" w:cs="Arial"/>
          <w:sz w:val="22"/>
        </w:rPr>
      </w:pPr>
      <w:r w:rsidRPr="00A611B3">
        <w:rPr>
          <w:rFonts w:ascii="Arial" w:hAnsi="Arial" w:cs="Arial"/>
          <w:sz w:val="22"/>
        </w:rPr>
        <w:lastRenderedPageBreak/>
        <w:t xml:space="preserve">Como se advierte, la </w:t>
      </w:r>
      <w:r w:rsidRPr="00A611B3">
        <w:rPr>
          <w:rFonts w:ascii="Arial" w:hAnsi="Arial" w:cs="Arial"/>
          <w:i/>
          <w:iCs/>
          <w:sz w:val="22"/>
        </w:rPr>
        <w:t xml:space="preserve">versión 3 </w:t>
      </w:r>
      <w:r w:rsidRPr="00A611B3">
        <w:rPr>
          <w:rFonts w:ascii="Arial" w:hAnsi="Arial" w:cs="Arial"/>
          <w:sz w:val="22"/>
        </w:rPr>
        <w:t xml:space="preserve">de los documentos tipo mantiene el enfoque regulativo establecido en la </w:t>
      </w:r>
      <w:r w:rsidRPr="00A611B3">
        <w:rPr>
          <w:rFonts w:ascii="Arial" w:hAnsi="Arial" w:cs="Arial"/>
          <w:i/>
          <w:iCs/>
          <w:sz w:val="22"/>
        </w:rPr>
        <w:t>Versión 2</w:t>
      </w:r>
      <w:r w:rsidRPr="00A611B3">
        <w:rPr>
          <w:rFonts w:ascii="Arial" w:hAnsi="Arial" w:cs="Arial"/>
          <w:sz w:val="22"/>
        </w:rPr>
        <w:t xml:space="preserve">. En efecto, </w:t>
      </w:r>
      <w:r w:rsidRPr="00D710FC">
        <w:rPr>
          <w:rFonts w:ascii="Arial" w:eastAsia="Calibri" w:hAnsi="Arial" w:cs="Arial"/>
          <w:sz w:val="22"/>
        </w:rPr>
        <w:t xml:space="preserve">continuando con el análisis anterior, el </w:t>
      </w:r>
      <w:r w:rsidRPr="00A611B3">
        <w:rPr>
          <w:rFonts w:ascii="Arial" w:hAnsi="Arial" w:cs="Arial"/>
          <w:sz w:val="22"/>
        </w:rPr>
        <w:t>numeral 3.</w:t>
      </w:r>
      <w:r w:rsidR="00230F61" w:rsidRPr="00A611B3">
        <w:rPr>
          <w:rFonts w:ascii="Arial" w:hAnsi="Arial" w:cs="Arial"/>
          <w:sz w:val="22"/>
        </w:rPr>
        <w:t>1</w:t>
      </w:r>
      <w:r w:rsidR="006C1E73" w:rsidRPr="00A611B3">
        <w:rPr>
          <w:rFonts w:ascii="Arial" w:hAnsi="Arial" w:cs="Arial"/>
          <w:sz w:val="22"/>
        </w:rPr>
        <w:t>1</w:t>
      </w:r>
      <w:r w:rsidRPr="00A611B3">
        <w:rPr>
          <w:rFonts w:ascii="Arial" w:hAnsi="Arial" w:cs="Arial"/>
          <w:sz w:val="22"/>
        </w:rPr>
        <w:t xml:space="preserve">.2., literal A del Documento Base (versiones 4 y 5) de los Documentos Tipo </w:t>
      </w:r>
      <w:r w:rsidRPr="00D710FC">
        <w:rPr>
          <w:rFonts w:ascii="Arial" w:hAnsi="Arial" w:cs="Arial"/>
          <w:bCs/>
          <w:sz w:val="22"/>
        </w:rPr>
        <w:t>para licitación de obra pública de infraestructura de transporte – Versión 3, al referirse al estado de resultados dentro de la capacidad de organización para determinar la capacidad residual hace una remisión al artí</w:t>
      </w:r>
      <w:r w:rsidR="00A03FF3" w:rsidRPr="00D710FC">
        <w:rPr>
          <w:rFonts w:ascii="Arial" w:hAnsi="Arial" w:cs="Arial"/>
          <w:bCs/>
          <w:sz w:val="22"/>
        </w:rPr>
        <w:t xml:space="preserve">culo 37 de la Ley 222 de 1995. </w:t>
      </w:r>
      <w:r w:rsidRPr="00D710FC">
        <w:rPr>
          <w:rFonts w:ascii="Arial" w:hAnsi="Arial" w:cs="Arial"/>
          <w:bCs/>
          <w:sz w:val="22"/>
        </w:rPr>
        <w:t xml:space="preserve">El artículo en mención </w:t>
      </w:r>
      <w:r w:rsidR="00A03FF3" w:rsidRPr="00D710FC">
        <w:rPr>
          <w:rFonts w:ascii="Arial" w:hAnsi="Arial" w:cs="Arial"/>
          <w:bCs/>
          <w:sz w:val="22"/>
        </w:rPr>
        <w:t xml:space="preserve">dispone: </w:t>
      </w:r>
      <w:r w:rsidRPr="00A611B3">
        <w:rPr>
          <w:rFonts w:ascii="Arial" w:hAnsi="Arial" w:cs="Arial"/>
          <w:sz w:val="22"/>
        </w:rPr>
        <w:t xml:space="preserve">«El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 Además, vale reiterar que, entre otras cosas, a diferencia de la </w:t>
      </w:r>
      <w:r w:rsidRPr="00A611B3">
        <w:rPr>
          <w:rFonts w:ascii="Arial" w:hAnsi="Arial" w:cs="Arial"/>
          <w:i/>
          <w:iCs/>
          <w:sz w:val="22"/>
        </w:rPr>
        <w:t xml:space="preserve">versión 1, </w:t>
      </w:r>
      <w:r w:rsidRPr="00A611B3">
        <w:rPr>
          <w:rFonts w:ascii="Arial" w:hAnsi="Arial" w:cs="Arial"/>
          <w:sz w:val="22"/>
        </w:rPr>
        <w:t xml:space="preserve">no </w:t>
      </w:r>
      <w:r w:rsidR="00086D92" w:rsidRPr="00A611B3">
        <w:rPr>
          <w:rFonts w:ascii="Arial" w:hAnsi="Arial" w:cs="Arial"/>
          <w:sz w:val="22"/>
        </w:rPr>
        <w:t xml:space="preserve">se refiere </w:t>
      </w:r>
      <w:r w:rsidRPr="00A611B3">
        <w:rPr>
          <w:rFonts w:ascii="Arial" w:hAnsi="Arial" w:cs="Arial"/>
          <w:sz w:val="22"/>
        </w:rPr>
        <w:t xml:space="preserve">a la necesidad de que dicho estado de resultados se aporte de acuerdo con </w:t>
      </w:r>
      <w:r w:rsidR="00553AEE" w:rsidRPr="00A611B3">
        <w:rPr>
          <w:rFonts w:ascii="Arial" w:hAnsi="Arial" w:cs="Arial"/>
          <w:sz w:val="22"/>
        </w:rPr>
        <w:t xml:space="preserve">lo dispuesto en </w:t>
      </w:r>
      <w:r w:rsidR="00D61D03" w:rsidRPr="00A611B3">
        <w:rPr>
          <w:rFonts w:ascii="Arial" w:hAnsi="Arial" w:cs="Arial"/>
          <w:sz w:val="22"/>
        </w:rPr>
        <w:t>el artículo</w:t>
      </w:r>
      <w:r w:rsidR="00553AEE" w:rsidRPr="00A611B3">
        <w:rPr>
          <w:rFonts w:ascii="Arial" w:hAnsi="Arial" w:cs="Arial"/>
          <w:sz w:val="22"/>
        </w:rPr>
        <w:t xml:space="preserve"> </w:t>
      </w:r>
      <w:r w:rsidRPr="00A611B3">
        <w:rPr>
          <w:rFonts w:ascii="Arial" w:hAnsi="Arial" w:cs="Arial"/>
          <w:sz w:val="22"/>
        </w:rPr>
        <w:t>38 de la Ley 222 de 1995.</w:t>
      </w:r>
    </w:p>
    <w:p w14:paraId="676FD9D0" w14:textId="6675828F" w:rsidR="009010B3" w:rsidRPr="00D710FC" w:rsidRDefault="009010B3" w:rsidP="009010B3">
      <w:pPr>
        <w:spacing w:before="120" w:after="120" w:line="276" w:lineRule="auto"/>
        <w:ind w:firstLine="708"/>
        <w:jc w:val="both"/>
        <w:rPr>
          <w:rFonts w:ascii="Arial" w:hAnsi="Arial" w:cs="Arial"/>
          <w:sz w:val="22"/>
        </w:rPr>
      </w:pPr>
      <w:r w:rsidRPr="00D710FC">
        <w:rPr>
          <w:rFonts w:ascii="Arial" w:hAnsi="Arial" w:cs="Arial"/>
          <w:sz w:val="22"/>
        </w:rPr>
        <w:t xml:space="preserve">En línea con lo anterior, es importante señalar que de </w:t>
      </w:r>
      <w:r w:rsidR="00A03FF3" w:rsidRPr="00D710FC">
        <w:rPr>
          <w:rFonts w:ascii="Arial" w:hAnsi="Arial" w:cs="Arial"/>
          <w:sz w:val="22"/>
        </w:rPr>
        <w:t xml:space="preserve">conformidad </w:t>
      </w:r>
      <w:r w:rsidRPr="00D710FC">
        <w:rPr>
          <w:rFonts w:ascii="Arial" w:hAnsi="Arial" w:cs="Arial"/>
          <w:sz w:val="22"/>
        </w:rPr>
        <w:t xml:space="preserve">con la Ley 43 de 1990, normativa que reglamenta la profesión de contador público, el artículo 10 señala que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w:t>
      </w:r>
      <w:r w:rsidR="00086D92" w:rsidRPr="00D710FC">
        <w:rPr>
          <w:rFonts w:ascii="Arial" w:hAnsi="Arial" w:cs="Arial"/>
          <w:sz w:val="22"/>
        </w:rPr>
        <w:t>e</w:t>
      </w:r>
      <w:r w:rsidRPr="00D710FC">
        <w:rPr>
          <w:rFonts w:ascii="Arial" w:hAnsi="Arial" w:cs="Arial"/>
          <w:sz w:val="22"/>
        </w:rPr>
        <w:t>stos se ajustan a las normas legales y que las cifras registrad</w:t>
      </w:r>
      <w:r w:rsidR="00644ABF" w:rsidRPr="00D710FC">
        <w:rPr>
          <w:rFonts w:ascii="Arial" w:hAnsi="Arial" w:cs="Arial"/>
          <w:sz w:val="22"/>
        </w:rPr>
        <w:t>a</w:t>
      </w:r>
      <w:r w:rsidRPr="00D710FC">
        <w:rPr>
          <w:rFonts w:ascii="Arial" w:hAnsi="Arial" w:cs="Arial"/>
          <w:sz w:val="22"/>
        </w:rPr>
        <w:t>s en ellos reflejan en forma fidedigna la correspondiente situación financiera en la fecha del balance</w:t>
      </w:r>
      <w:r w:rsidRPr="00D710FC">
        <w:rPr>
          <w:rStyle w:val="Refdenotaalpie"/>
          <w:rFonts w:ascii="Arial" w:hAnsi="Arial" w:cs="Arial"/>
          <w:sz w:val="22"/>
        </w:rPr>
        <w:footnoteReference w:id="10"/>
      </w:r>
      <w:r w:rsidRPr="00D710FC">
        <w:rPr>
          <w:rFonts w:ascii="Arial" w:hAnsi="Arial" w:cs="Arial"/>
          <w:sz w:val="22"/>
        </w:rPr>
        <w:t xml:space="preserve">. </w:t>
      </w:r>
    </w:p>
    <w:p w14:paraId="4903E125" w14:textId="0B8F939F" w:rsidR="009010B3" w:rsidRPr="00A611B3" w:rsidRDefault="009010B3" w:rsidP="009010B3">
      <w:pPr>
        <w:spacing w:before="120" w:after="120" w:line="276" w:lineRule="auto"/>
        <w:ind w:firstLine="708"/>
        <w:jc w:val="both"/>
        <w:rPr>
          <w:rFonts w:ascii="Arial" w:hAnsi="Arial" w:cs="Arial"/>
          <w:sz w:val="22"/>
        </w:rPr>
      </w:pPr>
      <w:r w:rsidRPr="00D710FC">
        <w:rPr>
          <w:rFonts w:ascii="Arial" w:hAnsi="Arial" w:cs="Arial"/>
          <w:sz w:val="22"/>
        </w:rPr>
        <w:t>En armonía con lo anterior, l</w:t>
      </w:r>
      <w:r w:rsidR="00A03FF3" w:rsidRPr="00D710FC">
        <w:rPr>
          <w:rFonts w:ascii="Arial" w:hAnsi="Arial" w:cs="Arial"/>
          <w:sz w:val="22"/>
        </w:rPr>
        <w:t>a Corte Constitucional, en la Se</w:t>
      </w:r>
      <w:r w:rsidRPr="00D710FC">
        <w:rPr>
          <w:rFonts w:ascii="Arial" w:hAnsi="Arial" w:cs="Arial"/>
          <w:sz w:val="22"/>
        </w:rPr>
        <w:t xml:space="preserve">ntencia C-861 de 2008, reconoce que la profesión de contador público tiene un importante riesgo social en las relaciones económicas entre el Estado y los particulares y, por tanto, es necesario que tengan una mayor responsabilidad frente a los documentos que suscriben. Así lo </w:t>
      </w:r>
      <w:r w:rsidRPr="00A611B3">
        <w:rPr>
          <w:rFonts w:ascii="Arial" w:hAnsi="Arial" w:cs="Arial"/>
          <w:sz w:val="22"/>
        </w:rPr>
        <w:t xml:space="preserve">determinó en los siguientes términos:  </w:t>
      </w:r>
    </w:p>
    <w:p w14:paraId="34E12774" w14:textId="77777777" w:rsidR="009010B3" w:rsidRPr="00A611B3" w:rsidRDefault="009010B3" w:rsidP="009010B3">
      <w:pPr>
        <w:tabs>
          <w:tab w:val="left" w:pos="8222"/>
        </w:tabs>
        <w:spacing w:before="120"/>
        <w:ind w:left="709" w:right="709"/>
        <w:jc w:val="both"/>
        <w:rPr>
          <w:rFonts w:ascii="Arial" w:hAnsi="Arial" w:cs="Arial"/>
          <w:sz w:val="21"/>
          <w:szCs w:val="21"/>
          <w:shd w:val="clear" w:color="auto" w:fill="FFFFFF"/>
        </w:rPr>
      </w:pPr>
      <w:r w:rsidRPr="00A611B3">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w:t>
      </w:r>
      <w:r w:rsidRPr="00A611B3">
        <w:rPr>
          <w:rFonts w:ascii="Arial" w:hAnsi="Arial" w:cs="Arial"/>
          <w:sz w:val="21"/>
          <w:szCs w:val="21"/>
          <w:shd w:val="clear" w:color="auto" w:fill="FFFFFF"/>
        </w:rPr>
        <w:lastRenderedPageBreak/>
        <w:t xml:space="preserve">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sidRPr="00A611B3">
        <w:rPr>
          <w:rFonts w:ascii="Arial" w:hAnsi="Arial" w:cs="Arial"/>
          <w:sz w:val="21"/>
          <w:szCs w:val="21"/>
          <w:shd w:val="clear" w:color="auto" w:fill="FFFFFF"/>
        </w:rPr>
        <w:t>fedante</w:t>
      </w:r>
      <w:proofErr w:type="spellEnd"/>
      <w:r w:rsidRPr="00A611B3">
        <w:rPr>
          <w:rFonts w:ascii="Arial" w:hAnsi="Arial" w:cs="Arial"/>
          <w:sz w:val="21"/>
          <w:szCs w:val="21"/>
          <w:shd w:val="clear" w:color="auto" w:fill="FFFFFF"/>
        </w:rPr>
        <w:t xml:space="preserve"> a los Contadores Públicos, obedece a una finalidad de interés general</w:t>
      </w:r>
      <w:r w:rsidRPr="00A611B3">
        <w:rPr>
          <w:rStyle w:val="Refdenotaalpie"/>
          <w:rFonts w:ascii="Arial" w:hAnsi="Arial" w:cs="Arial"/>
          <w:sz w:val="21"/>
          <w:szCs w:val="21"/>
          <w:shd w:val="clear" w:color="auto" w:fill="FFFFFF"/>
        </w:rPr>
        <w:footnoteReference w:id="11"/>
      </w:r>
      <w:r w:rsidRPr="00A611B3">
        <w:rPr>
          <w:rFonts w:ascii="Arial" w:hAnsi="Arial" w:cs="Arial"/>
          <w:sz w:val="21"/>
          <w:szCs w:val="21"/>
          <w:shd w:val="clear" w:color="auto" w:fill="FFFFFF"/>
        </w:rPr>
        <w:t>.</w:t>
      </w:r>
    </w:p>
    <w:p w14:paraId="3CB34CE8" w14:textId="77777777" w:rsidR="009010B3" w:rsidRPr="00D710FC" w:rsidRDefault="009010B3" w:rsidP="009010B3">
      <w:pPr>
        <w:spacing w:line="276" w:lineRule="auto"/>
        <w:jc w:val="both"/>
        <w:rPr>
          <w:rFonts w:ascii="Arial" w:hAnsi="Arial" w:cs="Arial"/>
          <w:sz w:val="22"/>
        </w:rPr>
      </w:pPr>
      <w:r w:rsidRPr="00D710FC">
        <w:rPr>
          <w:rFonts w:ascii="Arial" w:hAnsi="Arial" w:cs="Arial"/>
          <w:sz w:val="22"/>
        </w:rPr>
        <w:tab/>
      </w:r>
    </w:p>
    <w:p w14:paraId="459A29DC" w14:textId="3D9361B6" w:rsidR="009010B3" w:rsidRPr="00D710FC" w:rsidRDefault="009010B3" w:rsidP="009010B3">
      <w:pPr>
        <w:spacing w:after="120" w:line="276" w:lineRule="auto"/>
        <w:ind w:firstLine="708"/>
        <w:jc w:val="both"/>
        <w:rPr>
          <w:rFonts w:ascii="Arial" w:hAnsi="Arial" w:cs="Arial"/>
          <w:sz w:val="22"/>
        </w:rPr>
      </w:pPr>
      <w:r w:rsidRPr="00D710FC">
        <w:rPr>
          <w:rFonts w:ascii="Arial" w:hAnsi="Arial" w:cs="Arial"/>
          <w:sz w:val="22"/>
        </w:rPr>
        <w:t xml:space="preserve">De este modo, </w:t>
      </w:r>
      <w:r w:rsidR="00F911A6" w:rsidRPr="00D710FC">
        <w:rPr>
          <w:rFonts w:ascii="Arial" w:hAnsi="Arial" w:cs="Arial"/>
          <w:sz w:val="22"/>
        </w:rPr>
        <w:t xml:space="preserve">y respondiendo a las preguntas, motivo de consulta se señala que </w:t>
      </w:r>
      <w:r w:rsidRPr="00D710FC">
        <w:rPr>
          <w:rFonts w:ascii="Arial" w:hAnsi="Arial" w:cs="Arial"/>
          <w:sz w:val="22"/>
        </w:rPr>
        <w:t>en virtud de la 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w:t>
      </w:r>
      <w:r w:rsidR="00F911A6" w:rsidRPr="00D710FC">
        <w:rPr>
          <w:rFonts w:ascii="Arial" w:hAnsi="Arial" w:cs="Arial"/>
          <w:sz w:val="22"/>
        </w:rPr>
        <w:t xml:space="preserve"> o firmados</w:t>
      </w:r>
      <w:r w:rsidRPr="00D710FC">
        <w:rPr>
          <w:rFonts w:ascii="Arial" w:hAnsi="Arial" w:cs="Arial"/>
          <w:sz w:val="22"/>
        </w:rPr>
        <w:t xml:space="preserve">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4644C4FF" w14:textId="3B58FD2D" w:rsidR="009010B3" w:rsidRPr="00D710FC" w:rsidRDefault="009010B3" w:rsidP="000A359D">
      <w:pPr>
        <w:tabs>
          <w:tab w:val="left" w:pos="6663"/>
        </w:tabs>
        <w:spacing w:before="120" w:after="120" w:line="276" w:lineRule="auto"/>
        <w:ind w:firstLine="709"/>
        <w:jc w:val="both"/>
        <w:rPr>
          <w:rFonts w:ascii="Arial" w:hAnsi="Arial" w:cs="Arial"/>
          <w:sz w:val="22"/>
        </w:rPr>
      </w:pPr>
      <w:r w:rsidRPr="00D710FC">
        <w:rPr>
          <w:rFonts w:ascii="Arial" w:hAnsi="Arial" w:cs="Arial"/>
          <w:sz w:val="22"/>
        </w:rPr>
        <w:t xml:space="preserve">De acuerdo con lo señalado anteriormente, y teniendo en cuenta el contenido de los documentos tipo de licitación de obra pública de infraestructura de transporte – </w:t>
      </w:r>
      <w:r w:rsidRPr="00D710FC">
        <w:rPr>
          <w:rFonts w:ascii="Arial" w:hAnsi="Arial" w:cs="Arial"/>
          <w:i/>
          <w:iCs/>
          <w:sz w:val="22"/>
        </w:rPr>
        <w:t>versión 3</w:t>
      </w:r>
      <w:r w:rsidRPr="00D710FC">
        <w:rPr>
          <w:rFonts w:ascii="Arial" w:hAnsi="Arial" w:cs="Arial"/>
          <w:sz w:val="22"/>
        </w:rPr>
        <w:t>,  para acreditar la capacidad organizacional de los proponentes que cuentan con RUP solo requiere aportar</w:t>
      </w:r>
      <w:r w:rsidR="00086D92" w:rsidRPr="00D710FC">
        <w:rPr>
          <w:rFonts w:ascii="Arial" w:hAnsi="Arial" w:cs="Arial"/>
          <w:sz w:val="22"/>
        </w:rPr>
        <w:t>se</w:t>
      </w:r>
      <w:r w:rsidRPr="00D710FC">
        <w:rPr>
          <w:rFonts w:ascii="Arial" w:hAnsi="Arial" w:cs="Arial"/>
          <w:sz w:val="22"/>
        </w:rPr>
        <w:t xml:space="preserve"> el estado de resultados del año en que el proponente obtuvo mayor ingreso operacional en los últimos 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w:t>
      </w:r>
      <w:r w:rsidR="00F835BD" w:rsidRPr="00D710FC">
        <w:rPr>
          <w:rFonts w:ascii="Arial" w:hAnsi="Arial" w:cs="Arial"/>
          <w:sz w:val="22"/>
        </w:rPr>
        <w:t>.</w:t>
      </w:r>
      <w:r w:rsidRPr="00D710FC">
        <w:rPr>
          <w:rFonts w:ascii="Arial" w:hAnsi="Arial" w:cs="Arial"/>
          <w:sz w:val="22"/>
        </w:rPr>
        <w:t xml:space="preserve"> </w:t>
      </w:r>
      <w:r w:rsidR="00F835BD" w:rsidRPr="00D710FC">
        <w:rPr>
          <w:rFonts w:ascii="Arial" w:hAnsi="Arial" w:cs="Arial"/>
          <w:sz w:val="22"/>
        </w:rPr>
        <w:t xml:space="preserve">Lo anterior, </w:t>
      </w:r>
      <w:r w:rsidRPr="00D710FC">
        <w:rPr>
          <w:rFonts w:ascii="Arial" w:hAnsi="Arial" w:cs="Arial"/>
          <w:sz w:val="22"/>
        </w:rPr>
        <w:t>sin que el Documento Tipo</w:t>
      </w:r>
      <w:r w:rsidR="00F835BD" w:rsidRPr="00D710FC">
        <w:rPr>
          <w:rFonts w:ascii="Arial" w:hAnsi="Arial" w:cs="Arial"/>
          <w:sz w:val="22"/>
        </w:rPr>
        <w:t xml:space="preserve"> exija el dictamen del estado de resultados señalado en el artículo 38 de la Ley 222 de 1995, por lo que el requisito se acredita en los términos establecidos en los documentos tipo.</w:t>
      </w:r>
      <w:r w:rsidR="00EF1C36" w:rsidRPr="00D710FC">
        <w:rPr>
          <w:rFonts w:ascii="Arial" w:hAnsi="Arial" w:cs="Arial"/>
          <w:sz w:val="22"/>
        </w:rPr>
        <w:t xml:space="preserve"> </w:t>
      </w:r>
      <w:r w:rsidR="00F911A6" w:rsidRPr="00D710FC">
        <w:rPr>
          <w:rFonts w:ascii="Arial" w:hAnsi="Arial" w:cs="Arial"/>
          <w:sz w:val="22"/>
        </w:rPr>
        <w:t xml:space="preserve">De esta manera, la expresión debidamente firmado </w:t>
      </w:r>
      <w:r w:rsidR="00757749" w:rsidRPr="00D710FC">
        <w:rPr>
          <w:rFonts w:ascii="Arial" w:hAnsi="Arial" w:cs="Arial"/>
          <w:sz w:val="22"/>
        </w:rPr>
        <w:t xml:space="preserve">implica que sea suscrito </w:t>
      </w:r>
      <w:r w:rsidR="00EF1C36" w:rsidRPr="00D710FC">
        <w:rPr>
          <w:rFonts w:ascii="Arial" w:hAnsi="Arial" w:cs="Arial"/>
          <w:sz w:val="22"/>
        </w:rPr>
        <w:t xml:space="preserve">de forma mecánica o electrónica </w:t>
      </w:r>
      <w:r w:rsidR="00757749" w:rsidRPr="00D710FC">
        <w:rPr>
          <w:rFonts w:ascii="Arial" w:hAnsi="Arial" w:cs="Arial"/>
          <w:sz w:val="22"/>
        </w:rPr>
        <w:t xml:space="preserve">por las personas que se establecen en el documento, tales como el representante legal, contador y revisor fiscal y/o contador independiente (externo), si están en la obligación a tenerlos. En esta línea, </w:t>
      </w:r>
      <w:r w:rsidR="00EF1C36" w:rsidRPr="00D710FC">
        <w:rPr>
          <w:rFonts w:ascii="Arial" w:hAnsi="Arial" w:cs="Arial"/>
          <w:sz w:val="22"/>
        </w:rPr>
        <w:t xml:space="preserve">si firman las personas correspondientes se entenderá que es válido. </w:t>
      </w:r>
    </w:p>
    <w:p w14:paraId="261A6DAA" w14:textId="28A12AE8" w:rsidR="00BB40F2" w:rsidRPr="00D710FC" w:rsidRDefault="00BB40F2" w:rsidP="00EF1C36">
      <w:pPr>
        <w:pStyle w:val="Default"/>
        <w:spacing w:line="276" w:lineRule="auto"/>
        <w:ind w:firstLine="708"/>
        <w:jc w:val="both"/>
        <w:rPr>
          <w:bCs/>
          <w:color w:val="auto"/>
          <w:sz w:val="22"/>
          <w:szCs w:val="22"/>
        </w:rPr>
      </w:pPr>
      <w:r w:rsidRPr="00D710FC">
        <w:rPr>
          <w:color w:val="auto"/>
          <w:sz w:val="22"/>
        </w:rPr>
        <w:t>Ahora bien, es importante resaltar la Resolución 275</w:t>
      </w:r>
      <w:r w:rsidR="00F911A6" w:rsidRPr="00D710FC">
        <w:rPr>
          <w:rFonts w:eastAsia="Calibri"/>
          <w:color w:val="auto"/>
          <w:sz w:val="22"/>
          <w:szCs w:val="22"/>
          <w:lang w:val="es-ES_tradnl" w:eastAsia="es-ES"/>
        </w:rPr>
        <w:t xml:space="preserve">, </w:t>
      </w:r>
      <w:r w:rsidR="00EF1C36" w:rsidRPr="00D710FC">
        <w:rPr>
          <w:iCs/>
          <w:color w:val="auto"/>
          <w:sz w:val="22"/>
          <w:szCs w:val="22"/>
        </w:rPr>
        <w:t>Por la cual se modifican los documentos tipo adoptados por la Agencia Nacional de Contratación Pública – Colombia Compra Eficiente,</w:t>
      </w:r>
      <w:r w:rsidR="000A359D" w:rsidRPr="00D710FC">
        <w:rPr>
          <w:iCs/>
          <w:color w:val="auto"/>
          <w:sz w:val="22"/>
          <w:szCs w:val="22"/>
        </w:rPr>
        <w:t xml:space="preserve"> que si bien no aplica a la consulta,</w:t>
      </w:r>
      <w:r w:rsidR="00EF1C36" w:rsidRPr="00D710FC">
        <w:rPr>
          <w:iCs/>
          <w:color w:val="auto"/>
          <w:sz w:val="22"/>
          <w:szCs w:val="22"/>
        </w:rPr>
        <w:t xml:space="preserve"> establece </w:t>
      </w:r>
      <w:r w:rsidR="00F911A6" w:rsidRPr="00D710FC">
        <w:rPr>
          <w:rFonts w:eastAsia="Calibri"/>
          <w:color w:val="auto"/>
          <w:sz w:val="22"/>
          <w:szCs w:val="22"/>
          <w:lang w:val="es-ES_tradnl" w:eastAsia="es-ES"/>
        </w:rPr>
        <w:t xml:space="preserve">en su artículo 34 una modificación del literal </w:t>
      </w:r>
      <w:r w:rsidR="00EF1C36" w:rsidRPr="00D710FC">
        <w:rPr>
          <w:rFonts w:eastAsia="Calibri"/>
          <w:color w:val="auto"/>
          <w:sz w:val="22"/>
          <w:szCs w:val="22"/>
          <w:lang w:val="es-ES_tradnl" w:eastAsia="es-ES"/>
        </w:rPr>
        <w:t xml:space="preserve">i) </w:t>
      </w:r>
      <w:r w:rsidR="00F911A6" w:rsidRPr="00D710FC">
        <w:rPr>
          <w:rFonts w:eastAsia="Calibri"/>
          <w:color w:val="auto"/>
          <w:sz w:val="22"/>
          <w:szCs w:val="22"/>
          <w:lang w:val="es-ES_tradnl" w:eastAsia="es-ES"/>
        </w:rPr>
        <w:t xml:space="preserve">del requisito </w:t>
      </w:r>
      <w:r w:rsidR="00F911A6" w:rsidRPr="00D710FC">
        <w:rPr>
          <w:bCs/>
          <w:color w:val="auto"/>
          <w:sz w:val="22"/>
          <w:szCs w:val="22"/>
        </w:rPr>
        <w:t xml:space="preserve">«A. Capacidad de Organización (CO)» del numeral 3.10.2 cálculo de la capacidad residual del proponente de los documentos tipo de obra de infraestructura de transporte adelantados bajo la modalidad de licitación pública y selección abreviada de menor cuantía. </w:t>
      </w:r>
      <w:r w:rsidR="00EF1C36" w:rsidRPr="00D710FC">
        <w:rPr>
          <w:bCs/>
          <w:color w:val="auto"/>
          <w:sz w:val="22"/>
          <w:szCs w:val="22"/>
        </w:rPr>
        <w:t xml:space="preserve">La nueva regulación dispone: </w:t>
      </w:r>
    </w:p>
    <w:p w14:paraId="34AA8865" w14:textId="77777777" w:rsidR="00EF1C36" w:rsidRPr="00D710FC" w:rsidRDefault="00EF1C36" w:rsidP="00EF1C36">
      <w:pPr>
        <w:pStyle w:val="Default"/>
        <w:spacing w:line="276" w:lineRule="auto"/>
        <w:ind w:firstLine="708"/>
        <w:jc w:val="both"/>
        <w:rPr>
          <w:color w:val="auto"/>
          <w:sz w:val="22"/>
          <w:szCs w:val="22"/>
        </w:rPr>
      </w:pPr>
    </w:p>
    <w:p w14:paraId="5EEDD644" w14:textId="77777777" w:rsidR="00BB40F2" w:rsidRPr="00D710FC" w:rsidRDefault="00BB40F2" w:rsidP="00EF1C36">
      <w:pPr>
        <w:pStyle w:val="Default"/>
        <w:ind w:left="709" w:right="709"/>
        <w:jc w:val="both"/>
        <w:rPr>
          <w:color w:val="auto"/>
          <w:sz w:val="21"/>
          <w:szCs w:val="21"/>
        </w:rPr>
      </w:pPr>
      <w:r w:rsidRPr="00D710FC">
        <w:rPr>
          <w:b/>
          <w:bCs/>
          <w:i/>
          <w:iCs/>
          <w:color w:val="auto"/>
          <w:sz w:val="21"/>
          <w:szCs w:val="21"/>
        </w:rPr>
        <w:t xml:space="preserve">“3.10.2. CÁLCULO DE LA CAPACIDAD RESIDUAL EL PROPONENTE (CRP) </w:t>
      </w:r>
    </w:p>
    <w:p w14:paraId="6541E1CB" w14:textId="77777777" w:rsidR="00BB40F2" w:rsidRPr="00D710FC" w:rsidRDefault="00BB40F2" w:rsidP="00EF1C36">
      <w:pPr>
        <w:pStyle w:val="Default"/>
        <w:ind w:left="709" w:right="709"/>
        <w:jc w:val="both"/>
        <w:rPr>
          <w:color w:val="auto"/>
          <w:sz w:val="21"/>
          <w:szCs w:val="21"/>
        </w:rPr>
      </w:pPr>
      <w:r w:rsidRPr="00D710FC">
        <w:rPr>
          <w:i/>
          <w:iCs/>
          <w:color w:val="auto"/>
          <w:sz w:val="21"/>
          <w:szCs w:val="21"/>
        </w:rPr>
        <w:t xml:space="preserve">A. Capacidad de organización (CO): </w:t>
      </w:r>
    </w:p>
    <w:p w14:paraId="2B800296" w14:textId="77777777" w:rsidR="00BB40F2" w:rsidRPr="00D710FC" w:rsidRDefault="00BB40F2" w:rsidP="00EF1C36">
      <w:pPr>
        <w:pStyle w:val="Default"/>
        <w:ind w:left="709" w:right="709"/>
        <w:jc w:val="both"/>
        <w:rPr>
          <w:color w:val="auto"/>
          <w:sz w:val="21"/>
          <w:szCs w:val="21"/>
        </w:rPr>
      </w:pPr>
      <w:r w:rsidRPr="00D710FC">
        <w:rPr>
          <w:i/>
          <w:iCs/>
          <w:color w:val="auto"/>
          <w:sz w:val="21"/>
          <w:szCs w:val="21"/>
        </w:rPr>
        <w:t xml:space="preserve">[…] </w:t>
      </w:r>
    </w:p>
    <w:p w14:paraId="68F00629" w14:textId="77777777" w:rsidR="00BB40F2" w:rsidRPr="00D710FC" w:rsidRDefault="00BB40F2" w:rsidP="00EF1C36">
      <w:pPr>
        <w:pStyle w:val="Default"/>
        <w:ind w:left="709" w:right="709"/>
        <w:jc w:val="both"/>
        <w:rPr>
          <w:color w:val="auto"/>
          <w:sz w:val="21"/>
          <w:szCs w:val="21"/>
        </w:rPr>
      </w:pPr>
      <w:r w:rsidRPr="00D710FC">
        <w:rPr>
          <w:i/>
          <w:iCs/>
          <w:color w:val="auto"/>
          <w:sz w:val="21"/>
          <w:szCs w:val="21"/>
        </w:rPr>
        <w:t xml:space="preserve">Para acreditar el factor (CO) el Proponente obligado a tener RUP debe presentar los siguientes documentos: </w:t>
      </w:r>
    </w:p>
    <w:p w14:paraId="5B2952A5" w14:textId="77777777" w:rsidR="00BB40F2" w:rsidRPr="00D710FC" w:rsidRDefault="00BB40F2" w:rsidP="00EF1C36">
      <w:pPr>
        <w:pStyle w:val="Default"/>
        <w:numPr>
          <w:ilvl w:val="0"/>
          <w:numId w:val="27"/>
        </w:numPr>
        <w:ind w:left="709" w:right="709"/>
        <w:jc w:val="both"/>
        <w:rPr>
          <w:color w:val="auto"/>
          <w:sz w:val="22"/>
          <w:szCs w:val="22"/>
        </w:rPr>
      </w:pPr>
      <w:r w:rsidRPr="00D710FC">
        <w:rPr>
          <w:i/>
          <w:iCs/>
          <w:color w:val="auto"/>
          <w:sz w:val="21"/>
          <w:szCs w:val="21"/>
        </w:rPr>
        <w:t>I. Estado de resultados integral (estado de resultado o pérdida o ganancias), del año en que hayan obtenido el mayor ingreso operacional en los últimos cinco (5) años, debidamente firmado por el representante legal y el contador bajo cuya responsabilidad se han preparado y por el revisor fiscal o, en caso de no haberlo, por no estar obligado a tenerlo, por contador público independiente, acompañados de su dictamen u opinión de conformidad con el artículo 38 de la Ley 222 de 1995”.</w:t>
      </w:r>
      <w:r w:rsidRPr="00D710FC">
        <w:rPr>
          <w:i/>
          <w:iCs/>
          <w:color w:val="auto"/>
          <w:sz w:val="22"/>
          <w:szCs w:val="22"/>
        </w:rPr>
        <w:t xml:space="preserve"> </w:t>
      </w:r>
    </w:p>
    <w:p w14:paraId="5B547887" w14:textId="15613053" w:rsidR="00BB40F2" w:rsidRPr="00D710FC" w:rsidRDefault="00BB40F2" w:rsidP="000A359D">
      <w:pPr>
        <w:pStyle w:val="Default"/>
        <w:jc w:val="both"/>
        <w:rPr>
          <w:color w:val="auto"/>
          <w:sz w:val="22"/>
          <w:szCs w:val="22"/>
        </w:rPr>
      </w:pPr>
    </w:p>
    <w:p w14:paraId="3C17C70F" w14:textId="57B25410" w:rsidR="000A359D" w:rsidRPr="00D710FC" w:rsidRDefault="000A359D" w:rsidP="00D710FC">
      <w:pPr>
        <w:spacing w:line="276" w:lineRule="auto"/>
        <w:ind w:firstLine="708"/>
        <w:jc w:val="both"/>
        <w:rPr>
          <w:rFonts w:ascii="Arial" w:hAnsi="Arial" w:cs="Arial"/>
          <w:i/>
          <w:iCs/>
          <w:sz w:val="22"/>
          <w:szCs w:val="22"/>
        </w:rPr>
      </w:pPr>
      <w:r w:rsidRPr="00D710FC">
        <w:rPr>
          <w:rFonts w:ascii="Arial" w:hAnsi="Arial" w:cs="Arial"/>
          <w:sz w:val="22"/>
          <w:szCs w:val="22"/>
        </w:rPr>
        <w:t xml:space="preserve">Esta resolución que hace una modificación transversal de los documentos tipo, aplica para los avisos de convocatoria de aquellos procesos de contratación que se publiquen a partir del 29 de agosto de 2022. </w:t>
      </w:r>
      <w:r w:rsidR="007C03FC" w:rsidRPr="00D710FC">
        <w:rPr>
          <w:rFonts w:ascii="Arial" w:hAnsi="Arial" w:cs="Arial"/>
          <w:sz w:val="22"/>
          <w:szCs w:val="22"/>
        </w:rPr>
        <w:t>En todo caso</w:t>
      </w:r>
      <w:r w:rsidR="006C1E73" w:rsidRPr="00D710FC">
        <w:rPr>
          <w:rFonts w:ascii="Arial" w:hAnsi="Arial" w:cs="Arial"/>
          <w:sz w:val="22"/>
          <w:szCs w:val="22"/>
        </w:rPr>
        <w:t xml:space="preserve">, </w:t>
      </w:r>
      <w:r w:rsidR="004A6484" w:rsidRPr="00D710FC">
        <w:rPr>
          <w:rFonts w:ascii="Arial" w:hAnsi="Arial" w:cs="Arial"/>
          <w:sz w:val="22"/>
          <w:szCs w:val="22"/>
        </w:rPr>
        <w:t>y</w:t>
      </w:r>
      <w:r w:rsidR="00D710FC">
        <w:rPr>
          <w:rFonts w:ascii="Arial" w:hAnsi="Arial" w:cs="Arial"/>
          <w:sz w:val="22"/>
          <w:szCs w:val="22"/>
        </w:rPr>
        <w:t xml:space="preserve"> </w:t>
      </w:r>
      <w:r w:rsidR="004A6484" w:rsidRPr="00D710FC">
        <w:rPr>
          <w:rFonts w:ascii="Arial" w:hAnsi="Arial" w:cs="Arial"/>
          <w:sz w:val="22"/>
          <w:szCs w:val="22"/>
        </w:rPr>
        <w:t xml:space="preserve">la función </w:t>
      </w:r>
      <w:r w:rsidR="006C1E73" w:rsidRPr="00D710FC">
        <w:rPr>
          <w:rFonts w:ascii="Arial" w:hAnsi="Arial" w:cs="Arial"/>
          <w:sz w:val="22"/>
          <w:szCs w:val="22"/>
        </w:rPr>
        <w:t xml:space="preserve">de la palabra «debidamente» </w:t>
      </w:r>
      <w:r w:rsidR="00A7160F" w:rsidRPr="00D710FC">
        <w:rPr>
          <w:rFonts w:ascii="Arial" w:hAnsi="Arial" w:cs="Arial"/>
          <w:sz w:val="22"/>
          <w:szCs w:val="22"/>
        </w:rPr>
        <w:t xml:space="preserve">en el texto </w:t>
      </w:r>
      <w:r w:rsidR="007C03FC" w:rsidRPr="00D710FC">
        <w:rPr>
          <w:rFonts w:ascii="Arial" w:hAnsi="Arial" w:cs="Arial"/>
          <w:sz w:val="22"/>
          <w:szCs w:val="22"/>
        </w:rPr>
        <w:t>vigente del documento base</w:t>
      </w:r>
      <w:r w:rsidR="004A6484" w:rsidRPr="00D710FC">
        <w:rPr>
          <w:rFonts w:ascii="Arial" w:hAnsi="Arial" w:cs="Arial"/>
          <w:sz w:val="22"/>
          <w:szCs w:val="22"/>
        </w:rPr>
        <w:t xml:space="preserve"> </w:t>
      </w:r>
      <w:r w:rsidR="00CF46A2" w:rsidRPr="00D710FC">
        <w:rPr>
          <w:rFonts w:ascii="Arial" w:hAnsi="Arial" w:cs="Arial"/>
          <w:sz w:val="22"/>
          <w:szCs w:val="22"/>
        </w:rPr>
        <w:t>continúa</w:t>
      </w:r>
      <w:r w:rsidR="004A6484" w:rsidRPr="00D710FC">
        <w:rPr>
          <w:rFonts w:ascii="Arial" w:hAnsi="Arial" w:cs="Arial"/>
          <w:sz w:val="22"/>
          <w:szCs w:val="22"/>
        </w:rPr>
        <w:t xml:space="preserve"> siendo l</w:t>
      </w:r>
      <w:r w:rsidR="004B2B6A" w:rsidRPr="00D710FC">
        <w:rPr>
          <w:rFonts w:ascii="Arial" w:hAnsi="Arial" w:cs="Arial"/>
          <w:sz w:val="22"/>
          <w:szCs w:val="22"/>
        </w:rPr>
        <w:t>a</w:t>
      </w:r>
      <w:r w:rsidR="004A6484" w:rsidRPr="00D710FC">
        <w:rPr>
          <w:rFonts w:ascii="Arial" w:hAnsi="Arial" w:cs="Arial"/>
          <w:sz w:val="22"/>
          <w:szCs w:val="22"/>
        </w:rPr>
        <w:t xml:space="preserve"> mism</w:t>
      </w:r>
      <w:r w:rsidR="004B2B6A" w:rsidRPr="00D710FC">
        <w:rPr>
          <w:rFonts w:ascii="Arial" w:hAnsi="Arial" w:cs="Arial"/>
          <w:sz w:val="22"/>
          <w:szCs w:val="22"/>
        </w:rPr>
        <w:t xml:space="preserve">a explicada </w:t>
      </w:r>
      <w:r w:rsidR="004B2B6A" w:rsidRPr="00D710FC">
        <w:rPr>
          <w:rFonts w:ascii="Arial" w:hAnsi="Arial" w:cs="Arial"/>
          <w:i/>
          <w:iCs/>
          <w:sz w:val="22"/>
          <w:szCs w:val="22"/>
        </w:rPr>
        <w:t>supra</w:t>
      </w:r>
      <w:r w:rsidR="004B2B6A" w:rsidRPr="00D710FC">
        <w:rPr>
          <w:rFonts w:ascii="Arial" w:hAnsi="Arial" w:cs="Arial"/>
          <w:sz w:val="22"/>
          <w:szCs w:val="22"/>
        </w:rPr>
        <w:t>, esto decir,</w:t>
      </w:r>
      <w:r w:rsidR="004A6484" w:rsidRPr="00D710FC">
        <w:rPr>
          <w:rFonts w:ascii="Arial" w:hAnsi="Arial" w:cs="Arial"/>
          <w:sz w:val="22"/>
          <w:szCs w:val="22"/>
        </w:rPr>
        <w:t xml:space="preserve"> </w:t>
      </w:r>
      <w:r w:rsidR="00AB163A" w:rsidRPr="00D710FC">
        <w:rPr>
          <w:rFonts w:ascii="Arial" w:hAnsi="Arial" w:cs="Arial"/>
          <w:sz w:val="22"/>
          <w:szCs w:val="22"/>
        </w:rPr>
        <w:t xml:space="preserve">hacer referencia a la </w:t>
      </w:r>
      <w:r w:rsidR="007D3A66" w:rsidRPr="00D710FC">
        <w:rPr>
          <w:rFonts w:ascii="Arial" w:hAnsi="Arial" w:cs="Arial"/>
          <w:sz w:val="22"/>
          <w:szCs w:val="22"/>
        </w:rPr>
        <w:t xml:space="preserve">exigencia de </w:t>
      </w:r>
      <w:r w:rsidR="00AB163A" w:rsidRPr="00D710FC">
        <w:rPr>
          <w:rFonts w:ascii="Arial" w:hAnsi="Arial" w:cs="Arial"/>
          <w:sz w:val="22"/>
          <w:szCs w:val="22"/>
        </w:rPr>
        <w:t xml:space="preserve">que el documento </w:t>
      </w:r>
      <w:r w:rsidR="007D3A66" w:rsidRPr="00D710FC">
        <w:rPr>
          <w:rFonts w:ascii="Arial" w:hAnsi="Arial" w:cs="Arial"/>
          <w:sz w:val="22"/>
          <w:szCs w:val="22"/>
        </w:rPr>
        <w:t>se encuentre suscrito por las personas a quienes les corresponde firmarlo</w:t>
      </w:r>
      <w:r w:rsidR="00CF46A2" w:rsidRPr="00D710FC">
        <w:rPr>
          <w:rFonts w:ascii="Arial" w:hAnsi="Arial" w:cs="Arial"/>
          <w:sz w:val="22"/>
          <w:szCs w:val="22"/>
        </w:rPr>
        <w:t xml:space="preserve">. </w:t>
      </w:r>
    </w:p>
    <w:p w14:paraId="47D880B5" w14:textId="77777777" w:rsidR="000A359D" w:rsidRPr="00A611B3" w:rsidRDefault="000A359D" w:rsidP="00BB40F2">
      <w:pPr>
        <w:spacing w:before="120" w:line="276" w:lineRule="auto"/>
        <w:jc w:val="both"/>
        <w:rPr>
          <w:rFonts w:ascii="Arial" w:eastAsia="Calibri" w:hAnsi="Arial" w:cs="Arial"/>
          <w:noProof/>
          <w:sz w:val="22"/>
        </w:rPr>
      </w:pPr>
    </w:p>
    <w:p w14:paraId="5533CAA6" w14:textId="77777777" w:rsidR="009010B3" w:rsidRPr="00A611B3" w:rsidRDefault="009010B3" w:rsidP="009010B3">
      <w:pPr>
        <w:pStyle w:val="Prrafodelista"/>
        <w:numPr>
          <w:ilvl w:val="0"/>
          <w:numId w:val="6"/>
        </w:numPr>
        <w:tabs>
          <w:tab w:val="left" w:pos="284"/>
        </w:tabs>
        <w:spacing w:line="276" w:lineRule="auto"/>
        <w:ind w:left="0" w:right="709" w:firstLine="0"/>
        <w:jc w:val="both"/>
        <w:rPr>
          <w:rFonts w:ascii="Arial" w:hAnsi="Arial" w:cs="Arial"/>
          <w:sz w:val="22"/>
          <w:lang w:val="es-ES_tradnl"/>
        </w:rPr>
      </w:pPr>
      <w:r w:rsidRPr="00A611B3">
        <w:rPr>
          <w:rFonts w:ascii="Arial" w:hAnsi="Arial" w:cs="Arial"/>
          <w:b/>
          <w:bCs/>
          <w:sz w:val="22"/>
          <w:lang w:val="es-ES_tradnl"/>
        </w:rPr>
        <w:t xml:space="preserve">Respuesta </w:t>
      </w:r>
    </w:p>
    <w:p w14:paraId="3EF21C38" w14:textId="77777777" w:rsidR="009010B3" w:rsidRPr="00D710FC" w:rsidRDefault="009010B3" w:rsidP="009010B3">
      <w:pPr>
        <w:jc w:val="both"/>
        <w:rPr>
          <w:rFonts w:ascii="Arial" w:hAnsi="Arial" w:cs="Arial"/>
          <w:sz w:val="22"/>
        </w:rPr>
      </w:pPr>
    </w:p>
    <w:p w14:paraId="693168FB" w14:textId="0DCB8CE7" w:rsidR="009010B3" w:rsidRPr="00A611B3" w:rsidRDefault="009452D0" w:rsidP="009452D0">
      <w:pPr>
        <w:ind w:left="709" w:right="709"/>
        <w:jc w:val="both"/>
        <w:rPr>
          <w:rFonts w:ascii="Arial" w:hAnsi="Arial" w:cs="Arial"/>
          <w:sz w:val="21"/>
          <w:szCs w:val="21"/>
        </w:rPr>
      </w:pPr>
      <w:r w:rsidRPr="00A611B3">
        <w:rPr>
          <w:rFonts w:ascii="Arial" w:hAnsi="Arial" w:cs="Arial"/>
          <w:iCs/>
          <w:sz w:val="21"/>
          <w:szCs w:val="21"/>
        </w:rPr>
        <w:t>«</w:t>
      </w:r>
      <w:r w:rsidRPr="00D710FC">
        <w:rPr>
          <w:rFonts w:ascii="Arial" w:eastAsia="Calibri" w:hAnsi="Arial" w:cs="Arial"/>
          <w:sz w:val="21"/>
          <w:szCs w:val="21"/>
          <w:lang w:val="es-MX" w:eastAsia="en-US"/>
        </w:rPr>
        <w:t xml:space="preserve">1. </w:t>
      </w:r>
      <w:proofErr w:type="gramStart"/>
      <w:r w:rsidRPr="00D710FC">
        <w:rPr>
          <w:rFonts w:ascii="Arial" w:eastAsia="Calibri" w:hAnsi="Arial" w:cs="Arial"/>
          <w:sz w:val="21"/>
          <w:szCs w:val="21"/>
          <w:lang w:val="es-MX" w:eastAsia="en-US"/>
        </w:rPr>
        <w:t>La palabra “DEBIDAMENTE” sugiere entonces que exista una manera correcta de firmar los estados financieros?</w:t>
      </w:r>
      <w:proofErr w:type="gramEnd"/>
      <w:r w:rsidRPr="00D710FC">
        <w:rPr>
          <w:rFonts w:ascii="Arial" w:eastAsia="Calibri" w:hAnsi="Arial" w:cs="Arial"/>
          <w:sz w:val="21"/>
          <w:szCs w:val="21"/>
          <w:lang w:val="es-MX" w:eastAsia="en-US"/>
        </w:rPr>
        <w:t xml:space="preserve"> De ser así 2. Cómo debería entonces interpretarse por los proponentes o las entidades la expresión “DEBIDAMENTE” o a que normas acudir para su interpretación</w:t>
      </w:r>
      <w:r w:rsidR="009010B3" w:rsidRPr="00D710FC">
        <w:rPr>
          <w:rFonts w:ascii="Arial" w:hAnsi="Arial" w:cs="Arial"/>
          <w:sz w:val="21"/>
          <w:szCs w:val="21"/>
          <w:lang w:val="es-ES"/>
        </w:rPr>
        <w:t>»</w:t>
      </w:r>
    </w:p>
    <w:p w14:paraId="279560D1" w14:textId="77777777" w:rsidR="009010B3" w:rsidRPr="00D710FC" w:rsidRDefault="009010B3" w:rsidP="009010B3">
      <w:pPr>
        <w:spacing w:line="276" w:lineRule="auto"/>
        <w:jc w:val="both"/>
        <w:rPr>
          <w:rFonts w:ascii="Arial" w:hAnsi="Arial" w:cs="Arial"/>
          <w:bCs/>
          <w:sz w:val="22"/>
        </w:rPr>
      </w:pPr>
    </w:p>
    <w:p w14:paraId="5B8D342D" w14:textId="192D2A82" w:rsidR="000A359D" w:rsidRPr="00D710FC" w:rsidRDefault="009E0C41" w:rsidP="007379EB">
      <w:pPr>
        <w:spacing w:after="120" w:line="276" w:lineRule="auto"/>
        <w:jc w:val="both"/>
        <w:rPr>
          <w:rFonts w:ascii="Arial" w:hAnsi="Arial" w:cs="Arial"/>
          <w:sz w:val="22"/>
        </w:rPr>
      </w:pPr>
      <w:r w:rsidRPr="00A611B3">
        <w:rPr>
          <w:rFonts w:ascii="Arial" w:hAnsi="Arial" w:cs="Arial"/>
          <w:sz w:val="22"/>
        </w:rPr>
        <w:t>Conforme a lo expuesto,</w:t>
      </w:r>
      <w:r w:rsidR="000A359D" w:rsidRPr="00D710FC">
        <w:rPr>
          <w:rFonts w:ascii="Arial" w:hAnsi="Arial" w:cs="Arial"/>
          <w:sz w:val="22"/>
        </w:rPr>
        <w:t xml:space="preserve"> en virtud de la 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o firmados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160D443B" w14:textId="77777777" w:rsidR="004B525C" w:rsidRPr="00D710FC" w:rsidRDefault="000A359D" w:rsidP="000A359D">
      <w:pPr>
        <w:spacing w:after="120" w:line="276" w:lineRule="auto"/>
        <w:ind w:firstLine="709"/>
        <w:jc w:val="both"/>
        <w:rPr>
          <w:rFonts w:ascii="Arial" w:hAnsi="Arial" w:cs="Arial"/>
          <w:sz w:val="22"/>
        </w:rPr>
      </w:pPr>
      <w:r w:rsidRPr="00D710FC">
        <w:rPr>
          <w:rFonts w:ascii="Arial" w:hAnsi="Arial" w:cs="Arial"/>
          <w:sz w:val="22"/>
        </w:rPr>
        <w:t xml:space="preserve">De acuerdo con lo señalado anteriormente, y teniendo en cuenta el contenido de los documentos tipo de licitación de obra pública de infraestructura de transporte – </w:t>
      </w:r>
      <w:r w:rsidRPr="00D710FC">
        <w:rPr>
          <w:rFonts w:ascii="Arial" w:hAnsi="Arial" w:cs="Arial"/>
          <w:i/>
          <w:iCs/>
          <w:sz w:val="22"/>
        </w:rPr>
        <w:t>versión 3</w:t>
      </w:r>
      <w:r w:rsidRPr="00D710FC">
        <w:rPr>
          <w:rFonts w:ascii="Arial" w:hAnsi="Arial" w:cs="Arial"/>
          <w:sz w:val="22"/>
        </w:rPr>
        <w:t xml:space="preserve">,  para acreditar la capacidad organizacional de los proponentes que cuentan con RUP solo requiere aportarse el estado de resultados del año en que el proponente obtuvo mayor ingreso operacional en los últimos 5 años debidamente firmado por el representante legal, </w:t>
      </w:r>
      <w:r w:rsidRPr="00D710FC">
        <w:rPr>
          <w:rFonts w:ascii="Arial" w:hAnsi="Arial" w:cs="Arial"/>
          <w:sz w:val="22"/>
        </w:rPr>
        <w:lastRenderedPageBreak/>
        <w:t xml:space="preserve">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Lo anterior, sin que el Documento Tipo exija el dictamen del estado de resultados señalado en el artículo 38 de la Ley 222 de 1995, por lo que el requisito se acredita en los términos establecidos en los documentos tipo. </w:t>
      </w:r>
    </w:p>
    <w:p w14:paraId="5322DB56" w14:textId="5377F424" w:rsidR="000A359D" w:rsidRPr="00D710FC" w:rsidRDefault="004B525C" w:rsidP="003A3DB5">
      <w:pPr>
        <w:spacing w:line="276" w:lineRule="auto"/>
        <w:ind w:firstLine="709"/>
        <w:jc w:val="both"/>
        <w:rPr>
          <w:rFonts w:ascii="Arial" w:hAnsi="Arial" w:cs="Arial"/>
          <w:sz w:val="22"/>
        </w:rPr>
      </w:pPr>
      <w:r w:rsidRPr="00D710FC">
        <w:rPr>
          <w:rFonts w:ascii="Arial" w:hAnsi="Arial" w:cs="Arial"/>
          <w:sz w:val="22"/>
        </w:rPr>
        <w:t>En este contexto</w:t>
      </w:r>
      <w:r w:rsidR="000A359D" w:rsidRPr="00D710FC">
        <w:rPr>
          <w:rFonts w:ascii="Arial" w:hAnsi="Arial" w:cs="Arial"/>
          <w:sz w:val="22"/>
        </w:rPr>
        <w:t xml:space="preserve">, la expresión </w:t>
      </w:r>
      <w:r w:rsidR="00F86529" w:rsidRPr="00D710FC">
        <w:rPr>
          <w:rFonts w:ascii="Arial" w:hAnsi="Arial" w:cs="Arial"/>
          <w:sz w:val="22"/>
        </w:rPr>
        <w:t>«</w:t>
      </w:r>
      <w:r w:rsidR="000A359D" w:rsidRPr="00D710FC">
        <w:rPr>
          <w:rFonts w:ascii="Arial" w:hAnsi="Arial" w:cs="Arial"/>
          <w:sz w:val="22"/>
        </w:rPr>
        <w:t>debidamente firmado</w:t>
      </w:r>
      <w:r w:rsidR="00F86529" w:rsidRPr="00D710FC">
        <w:rPr>
          <w:rFonts w:ascii="Arial" w:hAnsi="Arial" w:cs="Arial"/>
          <w:sz w:val="22"/>
        </w:rPr>
        <w:t>» hace alusión a la exigencia de que el estado integral de resultados</w:t>
      </w:r>
      <w:r w:rsidR="000A359D" w:rsidRPr="00D710FC">
        <w:rPr>
          <w:rFonts w:ascii="Arial" w:hAnsi="Arial" w:cs="Arial"/>
          <w:sz w:val="22"/>
        </w:rPr>
        <w:t xml:space="preserve"> sea suscrito de forma mecánica o electrónica por las personas que se establecen en el documento, tales como el representante legal, contador y revisor fiscal y/o contador independiente (externo), si están en la obligación a tenerlos. En esta línea, s</w:t>
      </w:r>
      <w:r w:rsidR="00EC2611" w:rsidRPr="00D710FC">
        <w:rPr>
          <w:rFonts w:ascii="Arial" w:hAnsi="Arial" w:cs="Arial"/>
          <w:sz w:val="22"/>
        </w:rPr>
        <w:t>e estima que el documento se encuentra debidamente firmado cuando ha sido suscrito por las personas</w:t>
      </w:r>
      <w:r w:rsidR="008060ED" w:rsidRPr="00D710FC">
        <w:rPr>
          <w:rFonts w:ascii="Arial" w:hAnsi="Arial" w:cs="Arial"/>
          <w:sz w:val="22"/>
        </w:rPr>
        <w:t xml:space="preserve"> a quienes les</w:t>
      </w:r>
      <w:r w:rsidR="000A359D" w:rsidRPr="00D710FC">
        <w:rPr>
          <w:rFonts w:ascii="Arial" w:hAnsi="Arial" w:cs="Arial"/>
          <w:sz w:val="22"/>
        </w:rPr>
        <w:t xml:space="preserve"> correspond</w:t>
      </w:r>
      <w:r w:rsidR="008060ED" w:rsidRPr="00D710FC">
        <w:rPr>
          <w:rFonts w:ascii="Arial" w:hAnsi="Arial" w:cs="Arial"/>
          <w:sz w:val="22"/>
        </w:rPr>
        <w:t>e hacerlo</w:t>
      </w:r>
      <w:r w:rsidR="003A3DB5" w:rsidRPr="00D710FC">
        <w:rPr>
          <w:rFonts w:ascii="Arial" w:hAnsi="Arial" w:cs="Arial"/>
          <w:sz w:val="22"/>
        </w:rPr>
        <w:t xml:space="preserve">. </w:t>
      </w:r>
    </w:p>
    <w:p w14:paraId="2D451E69" w14:textId="77777777" w:rsidR="003A3DB5" w:rsidRPr="00D710FC" w:rsidRDefault="003A3DB5" w:rsidP="00D710FC">
      <w:pPr>
        <w:spacing w:line="276" w:lineRule="auto"/>
        <w:ind w:firstLine="709"/>
        <w:jc w:val="both"/>
        <w:rPr>
          <w:rFonts w:ascii="Arial" w:hAnsi="Arial" w:cs="Arial"/>
          <w:sz w:val="22"/>
        </w:rPr>
      </w:pPr>
    </w:p>
    <w:p w14:paraId="3EB7722A" w14:textId="07FB6A1F" w:rsidR="009010B3" w:rsidRPr="00A611B3" w:rsidRDefault="009010B3" w:rsidP="007379EB">
      <w:pPr>
        <w:spacing w:line="276" w:lineRule="auto"/>
        <w:jc w:val="both"/>
        <w:rPr>
          <w:rFonts w:ascii="Arial" w:hAnsi="Arial" w:cs="Arial"/>
          <w:sz w:val="22"/>
          <w:bdr w:val="none" w:sz="0" w:space="0" w:color="auto" w:frame="1"/>
          <w:shd w:val="clear" w:color="auto" w:fill="FFFFFF"/>
          <w:lang w:val="es-ES_tradnl"/>
        </w:rPr>
      </w:pPr>
      <w:r w:rsidRPr="00A611B3">
        <w:rPr>
          <w:rFonts w:ascii="Arial" w:hAnsi="Arial" w:cs="Arial"/>
          <w:sz w:val="22"/>
          <w:bdr w:val="none" w:sz="0" w:space="0" w:color="auto" w:frame="1"/>
          <w:shd w:val="clear" w:color="auto" w:fill="FFFFFF"/>
          <w:lang w:val="es-ES_tradnl"/>
        </w:rPr>
        <w:t>Este concepto tiene el alcance previsto en el artículo 28 del Código de Procedimiento Administrativo y de lo Contencioso Administrativo.</w:t>
      </w:r>
    </w:p>
    <w:p w14:paraId="1EA39805" w14:textId="77777777" w:rsidR="009010B3" w:rsidRPr="00A611B3" w:rsidRDefault="009010B3" w:rsidP="009010B3">
      <w:pPr>
        <w:ind w:firstLine="709"/>
        <w:jc w:val="both"/>
        <w:rPr>
          <w:rFonts w:ascii="Arial" w:eastAsia="Calibri" w:hAnsi="Arial" w:cs="Arial"/>
          <w:sz w:val="22"/>
          <w:lang w:val="es-ES_tradnl"/>
        </w:rPr>
      </w:pPr>
    </w:p>
    <w:p w14:paraId="050BAB5F" w14:textId="77777777" w:rsidR="009010B3" w:rsidRPr="00A611B3" w:rsidRDefault="009010B3" w:rsidP="009010B3">
      <w:pPr>
        <w:jc w:val="both"/>
        <w:rPr>
          <w:rFonts w:ascii="Arial" w:hAnsi="Arial" w:cs="Arial"/>
          <w:sz w:val="22"/>
          <w:lang w:val="es-ES_tradnl" w:eastAsia="es-CO"/>
        </w:rPr>
      </w:pPr>
      <w:r w:rsidRPr="00A611B3">
        <w:rPr>
          <w:rFonts w:ascii="Arial" w:hAnsi="Arial" w:cs="Arial"/>
          <w:sz w:val="22"/>
          <w:lang w:val="es-ES_tradnl" w:eastAsia="es-CO"/>
        </w:rPr>
        <w:t>Atentamente,</w:t>
      </w:r>
    </w:p>
    <w:p w14:paraId="2BBA0DCA" w14:textId="77777777" w:rsidR="009010B3" w:rsidRPr="00A611B3" w:rsidRDefault="009010B3" w:rsidP="009010B3">
      <w:pPr>
        <w:jc w:val="center"/>
        <w:rPr>
          <w:rFonts w:ascii="Arial" w:hAnsi="Arial" w:cs="Arial"/>
          <w:sz w:val="18"/>
          <w:szCs w:val="20"/>
          <w:lang w:val="es-ES_tradnl" w:eastAsia="es-CO"/>
        </w:rPr>
      </w:pPr>
    </w:p>
    <w:p w14:paraId="1BAFD3A7" w14:textId="3A1BDE62" w:rsidR="009010B3" w:rsidRPr="00A611B3" w:rsidRDefault="00583350" w:rsidP="009010B3">
      <w:pPr>
        <w:jc w:val="center"/>
        <w:rPr>
          <w:rFonts w:ascii="Arial" w:hAnsi="Arial" w:cs="Arial"/>
          <w:sz w:val="18"/>
          <w:szCs w:val="20"/>
          <w:lang w:val="es-ES_tradnl" w:eastAsia="es-CO"/>
        </w:rPr>
      </w:pPr>
      <w:r w:rsidRPr="00A611B3">
        <w:rPr>
          <w:rFonts w:ascii="Calibri" w:eastAsia="Calibri" w:hAnsi="Calibri"/>
          <w:noProof/>
          <w:sz w:val="22"/>
          <w:szCs w:val="22"/>
          <w:lang w:val="en-US" w:eastAsia="en-US"/>
        </w:rPr>
        <w:drawing>
          <wp:inline distT="0" distB="0" distL="0" distR="0" wp14:anchorId="5A2F32A9" wp14:editId="5FB76E29">
            <wp:extent cx="238125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1250" cy="1114425"/>
                    </a:xfrm>
                    <a:prstGeom prst="rect">
                      <a:avLst/>
                    </a:prstGeom>
                  </pic:spPr>
                </pic:pic>
              </a:graphicData>
            </a:graphic>
          </wp:inline>
        </w:drawing>
      </w:r>
    </w:p>
    <w:p w14:paraId="43577C45" w14:textId="77777777" w:rsidR="009010B3" w:rsidRPr="00A611B3" w:rsidRDefault="009010B3" w:rsidP="009010B3">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611B3" w:rsidRPr="00A611B3" w14:paraId="51510C7B" w14:textId="77777777" w:rsidTr="002277C5">
        <w:trPr>
          <w:trHeight w:val="315"/>
        </w:trPr>
        <w:tc>
          <w:tcPr>
            <w:tcW w:w="812" w:type="dxa"/>
            <w:vAlign w:val="center"/>
            <w:hideMark/>
          </w:tcPr>
          <w:p w14:paraId="0E472B4D" w14:textId="77777777" w:rsidR="009010B3" w:rsidRPr="00A611B3" w:rsidRDefault="009010B3" w:rsidP="002277C5">
            <w:pPr>
              <w:rPr>
                <w:rFonts w:ascii="Arial" w:hAnsi="Arial" w:cs="Arial"/>
                <w:sz w:val="16"/>
                <w:szCs w:val="16"/>
                <w:lang w:val="es-ES_tradnl" w:eastAsia="es-ES"/>
              </w:rPr>
            </w:pPr>
            <w:r w:rsidRPr="00A611B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54E058" w14:textId="20DB04EE" w:rsidR="009010B3" w:rsidRPr="00A611B3" w:rsidRDefault="000F3853" w:rsidP="002277C5">
            <w:pPr>
              <w:rPr>
                <w:rFonts w:ascii="Arial" w:hAnsi="Arial" w:cs="Arial"/>
                <w:sz w:val="16"/>
                <w:szCs w:val="16"/>
                <w:lang w:val="es-ES_tradnl" w:eastAsia="es-ES"/>
              </w:rPr>
            </w:pPr>
            <w:r w:rsidRPr="00A611B3">
              <w:rPr>
                <w:rFonts w:ascii="Arial" w:hAnsi="Arial" w:cs="Arial"/>
                <w:sz w:val="16"/>
                <w:szCs w:val="16"/>
                <w:lang w:val="es-ES_tradnl" w:eastAsia="es-ES"/>
              </w:rPr>
              <w:t>José Luis Sánchez Cardona</w:t>
            </w:r>
          </w:p>
          <w:p w14:paraId="622F72B9" w14:textId="77777777" w:rsidR="009010B3" w:rsidRPr="00A611B3" w:rsidRDefault="009010B3" w:rsidP="002277C5">
            <w:pPr>
              <w:rPr>
                <w:rFonts w:ascii="Arial" w:hAnsi="Arial" w:cs="Arial"/>
                <w:sz w:val="16"/>
                <w:szCs w:val="16"/>
                <w:lang w:val="es-ES_tradnl" w:eastAsia="es-ES"/>
              </w:rPr>
            </w:pPr>
            <w:r w:rsidRPr="00A611B3">
              <w:rPr>
                <w:rFonts w:ascii="Arial" w:hAnsi="Arial" w:cs="Arial"/>
                <w:sz w:val="16"/>
                <w:szCs w:val="16"/>
                <w:lang w:val="es-ES_tradnl" w:eastAsia="es-ES"/>
              </w:rPr>
              <w:t>Contratista de la Subdirección de Gestión Contractual</w:t>
            </w:r>
          </w:p>
        </w:tc>
      </w:tr>
      <w:tr w:rsidR="00A611B3" w:rsidRPr="00A611B3" w14:paraId="36300782" w14:textId="77777777" w:rsidTr="002277C5">
        <w:trPr>
          <w:trHeight w:val="330"/>
        </w:trPr>
        <w:tc>
          <w:tcPr>
            <w:tcW w:w="812" w:type="dxa"/>
            <w:vAlign w:val="center"/>
            <w:hideMark/>
          </w:tcPr>
          <w:p w14:paraId="2D58AC64" w14:textId="77777777" w:rsidR="009010B3" w:rsidRPr="00A611B3" w:rsidRDefault="009010B3" w:rsidP="002277C5">
            <w:pPr>
              <w:rPr>
                <w:rFonts w:ascii="Arial" w:hAnsi="Arial" w:cs="Arial"/>
                <w:sz w:val="16"/>
                <w:szCs w:val="16"/>
                <w:lang w:val="es-ES_tradnl" w:eastAsia="es-ES"/>
              </w:rPr>
            </w:pPr>
            <w:r w:rsidRPr="00A611B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DA4CC6" w14:textId="3BDDEC0F" w:rsidR="009010B3" w:rsidRPr="00D710FC" w:rsidRDefault="006A6E8E" w:rsidP="002277C5">
            <w:pPr>
              <w:rPr>
                <w:rFonts w:ascii="Arial" w:hAnsi="Arial" w:cs="Arial"/>
                <w:sz w:val="16"/>
                <w:szCs w:val="16"/>
                <w:lang w:val="es-ES_tradnl" w:eastAsia="es-ES"/>
              </w:rPr>
            </w:pPr>
            <w:r w:rsidRPr="00D710FC">
              <w:rPr>
                <w:rFonts w:ascii="Arial" w:hAnsi="Arial" w:cs="Arial"/>
                <w:sz w:val="16"/>
                <w:szCs w:val="16"/>
                <w:lang w:val="es-ES_tradnl" w:eastAsia="es-ES"/>
              </w:rPr>
              <w:t>Alejandro Sarmiento Cantillo</w:t>
            </w:r>
          </w:p>
          <w:p w14:paraId="7AC0169A" w14:textId="4BB5D344" w:rsidR="009010B3" w:rsidRPr="00A611B3" w:rsidRDefault="006A6E8E" w:rsidP="002277C5">
            <w:pPr>
              <w:rPr>
                <w:rFonts w:ascii="Arial" w:hAnsi="Arial" w:cs="Arial"/>
                <w:sz w:val="16"/>
                <w:szCs w:val="16"/>
                <w:lang w:val="es-ES_tradnl" w:eastAsia="es-ES"/>
              </w:rPr>
            </w:pPr>
            <w:r w:rsidRPr="00A611B3">
              <w:rPr>
                <w:rFonts w:ascii="Arial" w:hAnsi="Arial" w:cs="Arial"/>
                <w:sz w:val="16"/>
                <w:szCs w:val="16"/>
                <w:lang w:val="es-ES_tradnl" w:eastAsia="es-ES"/>
              </w:rPr>
              <w:t xml:space="preserve">Gestor T1-15 </w:t>
            </w:r>
            <w:r w:rsidR="009010B3" w:rsidRPr="00A611B3">
              <w:rPr>
                <w:rFonts w:ascii="Arial" w:hAnsi="Arial" w:cs="Arial"/>
                <w:sz w:val="16"/>
                <w:szCs w:val="16"/>
                <w:lang w:val="es-ES_tradnl" w:eastAsia="es-ES"/>
              </w:rPr>
              <w:t>de la Subdirección de Gestión Contractual</w:t>
            </w:r>
          </w:p>
        </w:tc>
      </w:tr>
      <w:tr w:rsidR="00A611B3" w:rsidRPr="00A611B3" w14:paraId="72B54399" w14:textId="77777777" w:rsidTr="002277C5">
        <w:trPr>
          <w:trHeight w:val="300"/>
        </w:trPr>
        <w:tc>
          <w:tcPr>
            <w:tcW w:w="812" w:type="dxa"/>
            <w:vAlign w:val="center"/>
            <w:hideMark/>
          </w:tcPr>
          <w:p w14:paraId="6B9CDFEA" w14:textId="77777777" w:rsidR="009010B3" w:rsidRPr="00A611B3" w:rsidRDefault="009010B3" w:rsidP="002277C5">
            <w:pPr>
              <w:rPr>
                <w:rFonts w:ascii="Arial" w:hAnsi="Arial" w:cs="Arial"/>
                <w:sz w:val="16"/>
                <w:szCs w:val="16"/>
                <w:lang w:val="es-ES_tradnl" w:eastAsia="es-ES"/>
              </w:rPr>
            </w:pPr>
            <w:r w:rsidRPr="00A611B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6FE1A" w14:textId="7C2F14CD" w:rsidR="009010B3" w:rsidRPr="00A611B3" w:rsidRDefault="00814D9D" w:rsidP="002277C5">
            <w:pPr>
              <w:rPr>
                <w:rFonts w:ascii="Arial" w:hAnsi="Arial" w:cs="Arial"/>
                <w:sz w:val="16"/>
                <w:szCs w:val="16"/>
                <w:lang w:val="es-ES_tradnl" w:eastAsia="es-ES"/>
              </w:rPr>
            </w:pPr>
            <w:r w:rsidRPr="00A611B3">
              <w:rPr>
                <w:rFonts w:ascii="Arial" w:hAnsi="Arial" w:cs="Arial"/>
                <w:sz w:val="16"/>
                <w:szCs w:val="16"/>
                <w:lang w:val="es-ES_tradnl" w:eastAsia="es-ES"/>
              </w:rPr>
              <w:t xml:space="preserve">Juan David Marín </w:t>
            </w:r>
            <w:r w:rsidR="00583350" w:rsidRPr="00A611B3">
              <w:rPr>
                <w:rFonts w:ascii="Arial" w:hAnsi="Arial" w:cs="Arial"/>
                <w:sz w:val="16"/>
                <w:szCs w:val="16"/>
                <w:lang w:val="es-ES_tradnl" w:eastAsia="es-ES"/>
              </w:rPr>
              <w:t>López</w:t>
            </w:r>
          </w:p>
          <w:p w14:paraId="4A8F3371" w14:textId="0D475EE4" w:rsidR="009010B3" w:rsidRPr="00A611B3" w:rsidRDefault="009010B3" w:rsidP="002277C5">
            <w:pPr>
              <w:rPr>
                <w:rFonts w:ascii="Arial" w:hAnsi="Arial" w:cs="Arial"/>
                <w:sz w:val="16"/>
                <w:szCs w:val="16"/>
                <w:lang w:val="es-ES_tradnl" w:eastAsia="es-ES"/>
              </w:rPr>
            </w:pPr>
            <w:r w:rsidRPr="00A611B3">
              <w:rPr>
                <w:rFonts w:ascii="Arial" w:hAnsi="Arial" w:cs="Arial"/>
                <w:sz w:val="16"/>
                <w:szCs w:val="16"/>
                <w:lang w:val="es-ES_tradnl" w:eastAsia="es-ES"/>
              </w:rPr>
              <w:t>Subdirector de Gestión Contractual</w:t>
            </w:r>
            <w:r w:rsidR="00583350" w:rsidRPr="00A611B3">
              <w:rPr>
                <w:rFonts w:ascii="Arial" w:hAnsi="Arial" w:cs="Arial"/>
                <w:sz w:val="16"/>
                <w:szCs w:val="16"/>
                <w:lang w:val="es-ES_tradnl" w:eastAsia="es-ES"/>
              </w:rPr>
              <w:t xml:space="preserve"> (E)</w:t>
            </w:r>
          </w:p>
        </w:tc>
      </w:tr>
    </w:tbl>
    <w:p w14:paraId="1734B088" w14:textId="15DFEF01" w:rsidR="009010B3" w:rsidRPr="00D710FC" w:rsidRDefault="009010B3" w:rsidP="009010B3">
      <w:pPr>
        <w:spacing w:line="276" w:lineRule="auto"/>
        <w:jc w:val="both"/>
        <w:rPr>
          <w:rFonts w:ascii="Arial" w:eastAsia="Calibri" w:hAnsi="Arial" w:cs="Arial"/>
          <w:sz w:val="22"/>
          <w:szCs w:val="22"/>
          <w:lang w:val="es-ES_tradnl"/>
        </w:rPr>
      </w:pPr>
    </w:p>
    <w:sectPr w:rsidR="009010B3" w:rsidRPr="00D710FC"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F240" w16cex:dateUtc="2022-07-18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6DB86" w16cid:durableId="267FF2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7A7C" w14:textId="77777777" w:rsidR="002A5E0D" w:rsidRDefault="002A5E0D">
      <w:r>
        <w:separator/>
      </w:r>
    </w:p>
  </w:endnote>
  <w:endnote w:type="continuationSeparator" w:id="0">
    <w:p w14:paraId="3207C7FC" w14:textId="77777777" w:rsidR="002A5E0D" w:rsidRDefault="002A5E0D">
      <w:r>
        <w:continuationSeparator/>
      </w:r>
    </w:p>
  </w:endnote>
  <w:endnote w:type="continuationNotice" w:id="1">
    <w:p w14:paraId="7CB0C835" w14:textId="77777777" w:rsidR="002A5E0D" w:rsidRDefault="002A5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2277C5" w:rsidRDefault="002277C5" w:rsidP="00322937">
    <w:pPr>
      <w:pStyle w:val="Sinespaciado"/>
      <w:jc w:val="right"/>
      <w:rPr>
        <w:rFonts w:ascii="Arial" w:hAnsi="Arial" w:cs="Arial"/>
        <w:sz w:val="18"/>
        <w:szCs w:val="18"/>
      </w:rPr>
    </w:pPr>
  </w:p>
  <w:p w14:paraId="7A3785F3" w14:textId="52EB258F" w:rsidR="002277C5" w:rsidRPr="008217B7" w:rsidRDefault="002277C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621C5">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621C5">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2277C5" w:rsidRDefault="002277C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277C5" w:rsidRDefault="002277C5" w:rsidP="007B0854">
    <w:pPr>
      <w:pStyle w:val="Piedepgina"/>
      <w:jc w:val="center"/>
      <w:rPr>
        <w:lang w:val="es-ES"/>
      </w:rPr>
    </w:pPr>
  </w:p>
  <w:p w14:paraId="6C0EFC49" w14:textId="77777777" w:rsidR="002277C5" w:rsidRPr="007B0854" w:rsidRDefault="002277C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1DC3" w14:textId="77777777" w:rsidR="002A5E0D" w:rsidRDefault="002A5E0D">
      <w:r>
        <w:separator/>
      </w:r>
    </w:p>
  </w:footnote>
  <w:footnote w:type="continuationSeparator" w:id="0">
    <w:p w14:paraId="78DB49B8" w14:textId="77777777" w:rsidR="002A5E0D" w:rsidRDefault="002A5E0D">
      <w:r>
        <w:continuationSeparator/>
      </w:r>
    </w:p>
  </w:footnote>
  <w:footnote w:type="continuationNotice" w:id="1">
    <w:p w14:paraId="3E81582D" w14:textId="77777777" w:rsidR="002A5E0D" w:rsidRDefault="002A5E0D"/>
  </w:footnote>
  <w:footnote w:id="2">
    <w:p w14:paraId="15DBAAEC" w14:textId="77777777" w:rsidR="002277C5" w:rsidRPr="00040F03" w:rsidRDefault="002277C5" w:rsidP="003F726F">
      <w:pPr>
        <w:pStyle w:val="Textonotapie"/>
        <w:ind w:firstLine="708"/>
        <w:jc w:val="both"/>
        <w:rPr>
          <w:rFonts w:ascii="Arial" w:hAnsi="Arial" w:cs="Arial"/>
          <w:color w:val="000000" w:themeColor="text1"/>
          <w:sz w:val="19"/>
          <w:szCs w:val="19"/>
          <w:lang w:val="es-CO"/>
        </w:rPr>
      </w:pPr>
      <w:r w:rsidRPr="00040F03">
        <w:rPr>
          <w:rFonts w:ascii="Arial" w:eastAsia="Calibri" w:hAnsi="Arial" w:cs="Arial"/>
          <w:color w:val="000000" w:themeColor="text1"/>
          <w:sz w:val="19"/>
          <w:szCs w:val="19"/>
          <w:vertAlign w:val="superscript"/>
        </w:rPr>
        <w:footnoteRef/>
      </w:r>
      <w:r w:rsidRPr="00040F03">
        <w:rPr>
          <w:rFonts w:ascii="Arial" w:eastAsia="Calibri" w:hAnsi="Arial" w:cs="Arial"/>
          <w:color w:val="000000" w:themeColor="text1"/>
          <w:sz w:val="19"/>
          <w:szCs w:val="19"/>
          <w:vertAlign w:val="superscript"/>
        </w:rPr>
        <w:t xml:space="preserve"> </w:t>
      </w:r>
      <w:r w:rsidRPr="00040F0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3">
    <w:p w14:paraId="2738D589" w14:textId="11D58FD6" w:rsidR="002277C5" w:rsidRPr="00040F03" w:rsidRDefault="002277C5" w:rsidP="003F726F">
      <w:pPr>
        <w:pStyle w:val="Textonotapie"/>
        <w:ind w:firstLine="709"/>
        <w:jc w:val="both"/>
        <w:rPr>
          <w:rFonts w:ascii="Arial" w:hAnsi="Arial" w:cs="Arial"/>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00174D8D" w:rsidRPr="00040F03">
        <w:rPr>
          <w:rFonts w:ascii="Arial" w:hAnsi="Arial" w:cs="Arial"/>
          <w:sz w:val="19"/>
          <w:szCs w:val="19"/>
        </w:rPr>
        <w:t xml:space="preserve">SOCIEDAD COLOMBIANA DE INGENIEROS. </w:t>
      </w:r>
      <w:r w:rsidRPr="00040F03">
        <w:rPr>
          <w:rFonts w:ascii="Arial" w:hAnsi="Arial" w:cs="Arial"/>
          <w:sz w:val="19"/>
          <w:szCs w:val="19"/>
        </w:rPr>
        <w:t xml:space="preserve">Concepto técnico. Capacidad de Contratación Para Constructores. Febrero 2014. </w:t>
      </w:r>
    </w:p>
    <w:p w14:paraId="4A64AC48" w14:textId="77777777" w:rsidR="002277C5" w:rsidRPr="00040F03" w:rsidRDefault="002277C5" w:rsidP="003F726F">
      <w:pPr>
        <w:pStyle w:val="Textonotapie"/>
        <w:ind w:firstLine="709"/>
        <w:jc w:val="both"/>
        <w:rPr>
          <w:rFonts w:ascii="Arial" w:hAnsi="Arial" w:cs="Arial"/>
          <w:sz w:val="19"/>
          <w:szCs w:val="19"/>
          <w:lang w:val="es-CO"/>
        </w:rPr>
      </w:pPr>
    </w:p>
  </w:footnote>
  <w:footnote w:id="4">
    <w:p w14:paraId="133212E3" w14:textId="236A3252" w:rsidR="002277C5"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proofErr w:type="spellStart"/>
      <w:r w:rsidRPr="00040F03">
        <w:rPr>
          <w:rFonts w:ascii="Arial" w:hAnsi="Arial" w:cs="Arial"/>
          <w:sz w:val="19"/>
          <w:szCs w:val="19"/>
          <w:lang w:val="es-ES"/>
        </w:rPr>
        <w:t>sta</w:t>
      </w:r>
      <w:proofErr w:type="spellEnd"/>
      <w:r w:rsidRPr="00040F03">
        <w:rPr>
          <w:rFonts w:ascii="Arial" w:hAnsi="Arial" w:cs="Arial"/>
          <w:sz w:val="19"/>
          <w:szCs w:val="19"/>
          <w:lang w:val="es-ES"/>
        </w:rPr>
        <w:t xml:space="preserve"> resolución actualizó los Documentos Tipo - Versión 1 mediante los Documentos Tipo - Versión 2 y derogó la Resolución No. 1798 de 2019.</w:t>
      </w:r>
    </w:p>
    <w:p w14:paraId="3C1943D0" w14:textId="77777777" w:rsidR="00174D8D" w:rsidRPr="00040F03" w:rsidRDefault="00174D8D" w:rsidP="003F726F">
      <w:pPr>
        <w:pStyle w:val="Textonotapie"/>
        <w:ind w:firstLine="708"/>
        <w:jc w:val="both"/>
        <w:rPr>
          <w:rFonts w:ascii="Arial" w:hAnsi="Arial" w:cs="Arial"/>
          <w:sz w:val="19"/>
          <w:szCs w:val="19"/>
          <w:lang w:val="es-ES"/>
        </w:rPr>
      </w:pPr>
    </w:p>
  </w:footnote>
  <w:footnote w:id="5">
    <w:p w14:paraId="61ED8C39" w14:textId="17004D26" w:rsidR="002277C5"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proofErr w:type="spellStart"/>
      <w:r w:rsidRPr="00040F03">
        <w:rPr>
          <w:rFonts w:ascii="Arial" w:hAnsi="Arial" w:cs="Arial"/>
          <w:sz w:val="19"/>
          <w:szCs w:val="19"/>
          <w:lang w:val="es-ES"/>
        </w:rPr>
        <w:t>sta</w:t>
      </w:r>
      <w:proofErr w:type="spellEnd"/>
      <w:r w:rsidRPr="00040F03">
        <w:rPr>
          <w:rFonts w:ascii="Arial" w:hAnsi="Arial" w:cs="Arial"/>
          <w:sz w:val="19"/>
          <w:szCs w:val="19"/>
          <w:lang w:val="es-ES"/>
        </w:rPr>
        <w:t xml:space="preserve"> resolución actualizó los Documentos Tipo - Versión 2 mediante los Documentos Tipo - Versión 3 y derogó la Resolución No. 045 de 2020.</w:t>
      </w:r>
    </w:p>
    <w:p w14:paraId="019C6C72" w14:textId="77777777" w:rsidR="00174D8D" w:rsidRPr="00040F03" w:rsidRDefault="00174D8D" w:rsidP="003F726F">
      <w:pPr>
        <w:pStyle w:val="Textonotapie"/>
        <w:ind w:firstLine="708"/>
        <w:jc w:val="both"/>
        <w:rPr>
          <w:rFonts w:ascii="Arial" w:hAnsi="Arial" w:cs="Arial"/>
          <w:sz w:val="19"/>
          <w:szCs w:val="19"/>
          <w:lang w:val="es-ES"/>
        </w:rPr>
      </w:pPr>
    </w:p>
  </w:footnote>
  <w:footnote w:id="6">
    <w:p w14:paraId="761F93D2" w14:textId="7BE4C3A2" w:rsidR="002277C5" w:rsidRPr="00040F03"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4.</w:t>
      </w:r>
    </w:p>
  </w:footnote>
  <w:footnote w:id="7">
    <w:p w14:paraId="3476D96C" w14:textId="77777777" w:rsidR="002277C5" w:rsidRPr="00040F03"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5.</w:t>
      </w:r>
    </w:p>
    <w:p w14:paraId="4E7FE112" w14:textId="77777777" w:rsidR="002277C5" w:rsidRPr="00040F03" w:rsidRDefault="002277C5" w:rsidP="009010B3">
      <w:pPr>
        <w:pStyle w:val="Textonotapie"/>
        <w:jc w:val="both"/>
        <w:rPr>
          <w:rFonts w:ascii="Arial" w:hAnsi="Arial" w:cs="Arial"/>
          <w:sz w:val="19"/>
          <w:szCs w:val="19"/>
          <w:lang w:val="es-ES"/>
        </w:rPr>
      </w:pPr>
    </w:p>
  </w:footnote>
  <w:footnote w:id="8">
    <w:p w14:paraId="1AEA4B67" w14:textId="77777777" w:rsidR="002277C5" w:rsidRPr="00040F03" w:rsidRDefault="002277C5" w:rsidP="009010B3">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295B7C6C" w14:textId="77777777" w:rsidR="002277C5" w:rsidRPr="00040F03" w:rsidRDefault="002277C5" w:rsidP="009010B3">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5C0F215" w14:textId="77777777" w:rsidR="002277C5" w:rsidRPr="00040F03" w:rsidRDefault="002277C5" w:rsidP="009010B3">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4B6F4DB" w14:textId="745E197D" w:rsidR="002277C5" w:rsidRDefault="002277C5" w:rsidP="003F726F">
      <w:pPr>
        <w:shd w:val="clear" w:color="auto" w:fill="FFFFFF"/>
        <w:ind w:firstLine="708"/>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904CDB0" w14:textId="77777777" w:rsidR="00174D8D" w:rsidRPr="00040F03" w:rsidRDefault="00174D8D" w:rsidP="003F726F">
      <w:pPr>
        <w:shd w:val="clear" w:color="auto" w:fill="FFFFFF"/>
        <w:ind w:firstLine="708"/>
        <w:jc w:val="both"/>
        <w:rPr>
          <w:rFonts w:ascii="Arial" w:eastAsia="Calibri" w:hAnsi="Arial" w:cs="Arial"/>
          <w:color w:val="000000" w:themeColor="text1"/>
          <w:sz w:val="19"/>
          <w:szCs w:val="19"/>
        </w:rPr>
      </w:pPr>
    </w:p>
  </w:footnote>
  <w:footnote w:id="9">
    <w:p w14:paraId="79DC2E47" w14:textId="77777777" w:rsidR="002277C5" w:rsidRPr="00040F03" w:rsidRDefault="002277C5" w:rsidP="009010B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De acuerdo con la Resolución 161 de 2021 por la cual se modifican los Documentos Tipo adoptados por la Agencia Nacional de Contratación Pública- Colombia Compra Eficiente.</w:t>
      </w:r>
    </w:p>
  </w:footnote>
  <w:footnote w:id="10">
    <w:p w14:paraId="0EE846E4" w14:textId="77777777" w:rsidR="002277C5" w:rsidRPr="00040F03" w:rsidRDefault="002277C5" w:rsidP="009010B3">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7FF45E48" w14:textId="77777777" w:rsidR="002277C5" w:rsidRPr="00040F03" w:rsidRDefault="002277C5" w:rsidP="009010B3">
      <w:pPr>
        <w:pStyle w:val="Textonotapie"/>
        <w:ind w:firstLine="708"/>
        <w:jc w:val="both"/>
        <w:rPr>
          <w:rFonts w:ascii="Arial" w:eastAsia="Calibri" w:hAnsi="Arial" w:cs="Arial"/>
          <w:color w:val="000000" w:themeColor="text1"/>
          <w:sz w:val="19"/>
          <w:szCs w:val="19"/>
        </w:rPr>
      </w:pPr>
    </w:p>
  </w:footnote>
  <w:footnote w:id="11">
    <w:p w14:paraId="5CD1FEF8" w14:textId="77777777" w:rsidR="002277C5" w:rsidRPr="00040F03" w:rsidRDefault="002277C5" w:rsidP="009010B3">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CORTE CONSTITUCIONAL. Sentencia C- 861 de 2008. M.P. Mauricio González Cuervo.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2277C5" w:rsidRDefault="002277C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F9D988"/>
    <w:multiLevelType w:val="hybridMultilevel"/>
    <w:tmpl w:val="031E4C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3E172639"/>
    <w:multiLevelType w:val="hybridMultilevel"/>
    <w:tmpl w:val="6750008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7FB0E76E">
      <w:start w:val="1"/>
      <w:numFmt w:val="lowerRoman"/>
      <w:lvlText w:val="%4."/>
      <w:lvlJc w:val="left"/>
      <w:pPr>
        <w:ind w:left="720" w:hanging="720"/>
      </w:pPr>
      <w:rPr>
        <w:rFonts w:hint="default"/>
      </w:rPr>
    </w:lvl>
    <w:lvl w:ilvl="4" w:tplc="FA08A598">
      <w:start w:val="1"/>
      <w:numFmt w:val="decimal"/>
      <w:lvlText w:val="%5."/>
      <w:lvlJc w:val="left"/>
      <w:pPr>
        <w:ind w:left="3948" w:hanging="360"/>
      </w:pPr>
      <w:rPr>
        <w:rFonts w:hint="default"/>
      </w:r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12"/>
  </w:num>
  <w:num w:numId="2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 CP ">
    <w15:presenceInfo w15:providerId="None" w15:userId="AN CP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16B"/>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8D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3C0"/>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16FF"/>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099"/>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D92"/>
    <w:rsid w:val="00086ED2"/>
    <w:rsid w:val="00087A64"/>
    <w:rsid w:val="0009082C"/>
    <w:rsid w:val="00090C39"/>
    <w:rsid w:val="000914D6"/>
    <w:rsid w:val="00091569"/>
    <w:rsid w:val="00092CDB"/>
    <w:rsid w:val="00092DCA"/>
    <w:rsid w:val="00093851"/>
    <w:rsid w:val="000942EB"/>
    <w:rsid w:val="00095278"/>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59D"/>
    <w:rsid w:val="000A362F"/>
    <w:rsid w:val="000A3B49"/>
    <w:rsid w:val="000A4629"/>
    <w:rsid w:val="000A46FE"/>
    <w:rsid w:val="000A47E6"/>
    <w:rsid w:val="000A52C0"/>
    <w:rsid w:val="000A5AAF"/>
    <w:rsid w:val="000A5ACE"/>
    <w:rsid w:val="000A5D16"/>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8AA"/>
    <w:rsid w:val="000C0933"/>
    <w:rsid w:val="000C0F81"/>
    <w:rsid w:val="000C128D"/>
    <w:rsid w:val="000C1492"/>
    <w:rsid w:val="000C17A3"/>
    <w:rsid w:val="000C1C6F"/>
    <w:rsid w:val="000C1D4B"/>
    <w:rsid w:val="000C1FA3"/>
    <w:rsid w:val="000C2DC4"/>
    <w:rsid w:val="000C3239"/>
    <w:rsid w:val="000C3260"/>
    <w:rsid w:val="000C3B77"/>
    <w:rsid w:val="000C3F6D"/>
    <w:rsid w:val="000C4F49"/>
    <w:rsid w:val="000C56E8"/>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5F7"/>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853"/>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986"/>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F4A"/>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6F45"/>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4D8D"/>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4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2C4"/>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40"/>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13"/>
    <w:rsid w:val="001D34C3"/>
    <w:rsid w:val="001D3767"/>
    <w:rsid w:val="001D4562"/>
    <w:rsid w:val="001D46A9"/>
    <w:rsid w:val="001D4874"/>
    <w:rsid w:val="001D56E9"/>
    <w:rsid w:val="001D59D9"/>
    <w:rsid w:val="001D6944"/>
    <w:rsid w:val="001D6CD2"/>
    <w:rsid w:val="001D796A"/>
    <w:rsid w:val="001D7A84"/>
    <w:rsid w:val="001D7C79"/>
    <w:rsid w:val="001E003B"/>
    <w:rsid w:val="001E1534"/>
    <w:rsid w:val="001E1CC4"/>
    <w:rsid w:val="001E1D38"/>
    <w:rsid w:val="001E28A0"/>
    <w:rsid w:val="001E2F9D"/>
    <w:rsid w:val="001E302E"/>
    <w:rsid w:val="001E3FFE"/>
    <w:rsid w:val="001E4148"/>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469C"/>
    <w:rsid w:val="00226055"/>
    <w:rsid w:val="0022609C"/>
    <w:rsid w:val="0022613F"/>
    <w:rsid w:val="0022614F"/>
    <w:rsid w:val="00226236"/>
    <w:rsid w:val="002266AF"/>
    <w:rsid w:val="002270C9"/>
    <w:rsid w:val="00227270"/>
    <w:rsid w:val="002277C5"/>
    <w:rsid w:val="00227A8B"/>
    <w:rsid w:val="002306BF"/>
    <w:rsid w:val="00230C83"/>
    <w:rsid w:val="00230F61"/>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4DE"/>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2BA"/>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5E0D"/>
    <w:rsid w:val="002A625C"/>
    <w:rsid w:val="002A632B"/>
    <w:rsid w:val="002A662E"/>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4F6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046"/>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07DA3"/>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4205"/>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7BB"/>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BE5"/>
    <w:rsid w:val="00377EAC"/>
    <w:rsid w:val="00380272"/>
    <w:rsid w:val="003805DB"/>
    <w:rsid w:val="00380B96"/>
    <w:rsid w:val="00380C7F"/>
    <w:rsid w:val="0038152A"/>
    <w:rsid w:val="003819B4"/>
    <w:rsid w:val="0038245D"/>
    <w:rsid w:val="00382BAD"/>
    <w:rsid w:val="00382D93"/>
    <w:rsid w:val="003835FD"/>
    <w:rsid w:val="00383EDF"/>
    <w:rsid w:val="00384C5E"/>
    <w:rsid w:val="00384DF1"/>
    <w:rsid w:val="00384FF3"/>
    <w:rsid w:val="00385AA2"/>
    <w:rsid w:val="00386456"/>
    <w:rsid w:val="003865A9"/>
    <w:rsid w:val="003872D3"/>
    <w:rsid w:val="003904B9"/>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3DB5"/>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2FDB"/>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3DA"/>
    <w:rsid w:val="003F559E"/>
    <w:rsid w:val="003F6181"/>
    <w:rsid w:val="003F6BFC"/>
    <w:rsid w:val="003F726F"/>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5F0D"/>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209"/>
    <w:rsid w:val="004333C2"/>
    <w:rsid w:val="00434787"/>
    <w:rsid w:val="00434C13"/>
    <w:rsid w:val="00434D8B"/>
    <w:rsid w:val="00435294"/>
    <w:rsid w:val="00435530"/>
    <w:rsid w:val="004356CF"/>
    <w:rsid w:val="00435703"/>
    <w:rsid w:val="00435BD5"/>
    <w:rsid w:val="00435C7F"/>
    <w:rsid w:val="00435CDE"/>
    <w:rsid w:val="00436323"/>
    <w:rsid w:val="00436554"/>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6577"/>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EB3"/>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B07"/>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484"/>
    <w:rsid w:val="004A6A04"/>
    <w:rsid w:val="004A6A52"/>
    <w:rsid w:val="004B07BC"/>
    <w:rsid w:val="004B09B0"/>
    <w:rsid w:val="004B0A44"/>
    <w:rsid w:val="004B0A6D"/>
    <w:rsid w:val="004B0F0B"/>
    <w:rsid w:val="004B205A"/>
    <w:rsid w:val="004B2197"/>
    <w:rsid w:val="004B298A"/>
    <w:rsid w:val="004B2B6A"/>
    <w:rsid w:val="004B2BB8"/>
    <w:rsid w:val="004B40E4"/>
    <w:rsid w:val="004B448D"/>
    <w:rsid w:val="004B50CB"/>
    <w:rsid w:val="004B525C"/>
    <w:rsid w:val="004B5598"/>
    <w:rsid w:val="004B578D"/>
    <w:rsid w:val="004B5BE7"/>
    <w:rsid w:val="004B5E2D"/>
    <w:rsid w:val="004B6C07"/>
    <w:rsid w:val="004B74D3"/>
    <w:rsid w:val="004B755E"/>
    <w:rsid w:val="004B788E"/>
    <w:rsid w:val="004B7E5D"/>
    <w:rsid w:val="004C0FEB"/>
    <w:rsid w:val="004C1198"/>
    <w:rsid w:val="004C22F7"/>
    <w:rsid w:val="004C26B5"/>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97A"/>
    <w:rsid w:val="00503A17"/>
    <w:rsid w:val="00505892"/>
    <w:rsid w:val="00505DCB"/>
    <w:rsid w:val="0050674C"/>
    <w:rsid w:val="00507066"/>
    <w:rsid w:val="005075CA"/>
    <w:rsid w:val="00507B06"/>
    <w:rsid w:val="00507BF1"/>
    <w:rsid w:val="0051013C"/>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3AEE"/>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38EE"/>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350"/>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58"/>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D3A"/>
    <w:rsid w:val="005D2EB2"/>
    <w:rsid w:val="005D2F48"/>
    <w:rsid w:val="005D3902"/>
    <w:rsid w:val="005D3B32"/>
    <w:rsid w:val="005D464B"/>
    <w:rsid w:val="005D466F"/>
    <w:rsid w:val="005D49F0"/>
    <w:rsid w:val="005D51F7"/>
    <w:rsid w:val="005D51FA"/>
    <w:rsid w:val="005D53E8"/>
    <w:rsid w:val="005D5A9D"/>
    <w:rsid w:val="005D5D15"/>
    <w:rsid w:val="005D63A3"/>
    <w:rsid w:val="005D6573"/>
    <w:rsid w:val="005D6651"/>
    <w:rsid w:val="005D691D"/>
    <w:rsid w:val="005D6A72"/>
    <w:rsid w:val="005D6F38"/>
    <w:rsid w:val="005D791B"/>
    <w:rsid w:val="005D7CF2"/>
    <w:rsid w:val="005D7F92"/>
    <w:rsid w:val="005E062C"/>
    <w:rsid w:val="005E0AED"/>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18EE"/>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1"/>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4ABF"/>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D0F"/>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DBF"/>
    <w:rsid w:val="00686E5A"/>
    <w:rsid w:val="0068717F"/>
    <w:rsid w:val="0068730C"/>
    <w:rsid w:val="00687504"/>
    <w:rsid w:val="00687A14"/>
    <w:rsid w:val="00687A8C"/>
    <w:rsid w:val="00690839"/>
    <w:rsid w:val="006908DB"/>
    <w:rsid w:val="00690DE9"/>
    <w:rsid w:val="0069143D"/>
    <w:rsid w:val="00691563"/>
    <w:rsid w:val="00691A1A"/>
    <w:rsid w:val="00691DE9"/>
    <w:rsid w:val="00691EAA"/>
    <w:rsid w:val="00692245"/>
    <w:rsid w:val="00692745"/>
    <w:rsid w:val="00692FFA"/>
    <w:rsid w:val="00693772"/>
    <w:rsid w:val="00693984"/>
    <w:rsid w:val="00693B77"/>
    <w:rsid w:val="00694160"/>
    <w:rsid w:val="0069430F"/>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6E8E"/>
    <w:rsid w:val="006A7AB8"/>
    <w:rsid w:val="006A7CB5"/>
    <w:rsid w:val="006A7FD0"/>
    <w:rsid w:val="006B025C"/>
    <w:rsid w:val="006B04DB"/>
    <w:rsid w:val="006B08ED"/>
    <w:rsid w:val="006B13C9"/>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1E73"/>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B96"/>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3ECF"/>
    <w:rsid w:val="00704102"/>
    <w:rsid w:val="0070437C"/>
    <w:rsid w:val="0070461C"/>
    <w:rsid w:val="00704D97"/>
    <w:rsid w:val="00704F37"/>
    <w:rsid w:val="00705631"/>
    <w:rsid w:val="00705818"/>
    <w:rsid w:val="00705EDC"/>
    <w:rsid w:val="00705F62"/>
    <w:rsid w:val="00705F8D"/>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2A"/>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517"/>
    <w:rsid w:val="00736700"/>
    <w:rsid w:val="007368B4"/>
    <w:rsid w:val="007378E0"/>
    <w:rsid w:val="007379EB"/>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55F"/>
    <w:rsid w:val="00757722"/>
    <w:rsid w:val="00757749"/>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15CA"/>
    <w:rsid w:val="007A2341"/>
    <w:rsid w:val="007A2754"/>
    <w:rsid w:val="007A293F"/>
    <w:rsid w:val="007A38A1"/>
    <w:rsid w:val="007A3BBE"/>
    <w:rsid w:val="007A4766"/>
    <w:rsid w:val="007A52FB"/>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3FC"/>
    <w:rsid w:val="007C097D"/>
    <w:rsid w:val="007C0AF2"/>
    <w:rsid w:val="007C1672"/>
    <w:rsid w:val="007C17AE"/>
    <w:rsid w:val="007C1855"/>
    <w:rsid w:val="007C1C8E"/>
    <w:rsid w:val="007C1CFF"/>
    <w:rsid w:val="007C24EE"/>
    <w:rsid w:val="007C25EB"/>
    <w:rsid w:val="007C312A"/>
    <w:rsid w:val="007C3538"/>
    <w:rsid w:val="007C3570"/>
    <w:rsid w:val="007C38E0"/>
    <w:rsid w:val="007C3F3B"/>
    <w:rsid w:val="007C4097"/>
    <w:rsid w:val="007C4241"/>
    <w:rsid w:val="007C425E"/>
    <w:rsid w:val="007C55FF"/>
    <w:rsid w:val="007C6339"/>
    <w:rsid w:val="007C67F4"/>
    <w:rsid w:val="007C7382"/>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A66"/>
    <w:rsid w:val="007D3C6D"/>
    <w:rsid w:val="007D481A"/>
    <w:rsid w:val="007D4B96"/>
    <w:rsid w:val="007D4ED0"/>
    <w:rsid w:val="007D5648"/>
    <w:rsid w:val="007D58C5"/>
    <w:rsid w:val="007D5DE8"/>
    <w:rsid w:val="007D766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765"/>
    <w:rsid w:val="007F2902"/>
    <w:rsid w:val="007F2903"/>
    <w:rsid w:val="007F2BEC"/>
    <w:rsid w:val="007F2F90"/>
    <w:rsid w:val="007F3056"/>
    <w:rsid w:val="007F3320"/>
    <w:rsid w:val="007F3791"/>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0E79"/>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60ED"/>
    <w:rsid w:val="00807C35"/>
    <w:rsid w:val="00807F35"/>
    <w:rsid w:val="00807F69"/>
    <w:rsid w:val="008100F7"/>
    <w:rsid w:val="00810206"/>
    <w:rsid w:val="0081022B"/>
    <w:rsid w:val="00810A15"/>
    <w:rsid w:val="0081154C"/>
    <w:rsid w:val="00811898"/>
    <w:rsid w:val="00811CDC"/>
    <w:rsid w:val="008124D8"/>
    <w:rsid w:val="00812B51"/>
    <w:rsid w:val="0081338F"/>
    <w:rsid w:val="00813A7B"/>
    <w:rsid w:val="00813CB5"/>
    <w:rsid w:val="00813F04"/>
    <w:rsid w:val="00814D9D"/>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628"/>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39D"/>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32D"/>
    <w:rsid w:val="00863677"/>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3D9"/>
    <w:rsid w:val="00877932"/>
    <w:rsid w:val="008808C7"/>
    <w:rsid w:val="008808F5"/>
    <w:rsid w:val="0088106B"/>
    <w:rsid w:val="0088107D"/>
    <w:rsid w:val="0088187A"/>
    <w:rsid w:val="00881E64"/>
    <w:rsid w:val="00882E39"/>
    <w:rsid w:val="00883559"/>
    <w:rsid w:val="008839FB"/>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7E8"/>
    <w:rsid w:val="008B3E9E"/>
    <w:rsid w:val="008B47A6"/>
    <w:rsid w:val="008B5C7C"/>
    <w:rsid w:val="008B5E27"/>
    <w:rsid w:val="008B63FE"/>
    <w:rsid w:val="008B672C"/>
    <w:rsid w:val="008B7108"/>
    <w:rsid w:val="008C065F"/>
    <w:rsid w:val="008C0743"/>
    <w:rsid w:val="008C0B30"/>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6BF8"/>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0B3"/>
    <w:rsid w:val="00901F1D"/>
    <w:rsid w:val="0090220E"/>
    <w:rsid w:val="009028E8"/>
    <w:rsid w:val="00902E5C"/>
    <w:rsid w:val="0090363E"/>
    <w:rsid w:val="00903788"/>
    <w:rsid w:val="009046E5"/>
    <w:rsid w:val="009047C5"/>
    <w:rsid w:val="00910683"/>
    <w:rsid w:val="009108BF"/>
    <w:rsid w:val="00910E00"/>
    <w:rsid w:val="00910E04"/>
    <w:rsid w:val="009116CE"/>
    <w:rsid w:val="00911714"/>
    <w:rsid w:val="00911D04"/>
    <w:rsid w:val="00911EFF"/>
    <w:rsid w:val="0091251B"/>
    <w:rsid w:val="0091310F"/>
    <w:rsid w:val="009136D4"/>
    <w:rsid w:val="00914796"/>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52D0"/>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97E"/>
    <w:rsid w:val="00964B3F"/>
    <w:rsid w:val="00964C98"/>
    <w:rsid w:val="00964ED9"/>
    <w:rsid w:val="00965889"/>
    <w:rsid w:val="00967507"/>
    <w:rsid w:val="00971441"/>
    <w:rsid w:val="00971555"/>
    <w:rsid w:val="009715D4"/>
    <w:rsid w:val="0097179A"/>
    <w:rsid w:val="00971B0A"/>
    <w:rsid w:val="009731F4"/>
    <w:rsid w:val="009732A4"/>
    <w:rsid w:val="009732F9"/>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07C"/>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0C41"/>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17"/>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3FF3"/>
    <w:rsid w:val="00A041BC"/>
    <w:rsid w:val="00A0447F"/>
    <w:rsid w:val="00A046D2"/>
    <w:rsid w:val="00A04712"/>
    <w:rsid w:val="00A04A54"/>
    <w:rsid w:val="00A057C6"/>
    <w:rsid w:val="00A058B8"/>
    <w:rsid w:val="00A05B4B"/>
    <w:rsid w:val="00A066C3"/>
    <w:rsid w:val="00A06754"/>
    <w:rsid w:val="00A06758"/>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063"/>
    <w:rsid w:val="00A17584"/>
    <w:rsid w:val="00A17769"/>
    <w:rsid w:val="00A17EA2"/>
    <w:rsid w:val="00A17F59"/>
    <w:rsid w:val="00A201DB"/>
    <w:rsid w:val="00A20264"/>
    <w:rsid w:val="00A20997"/>
    <w:rsid w:val="00A210D4"/>
    <w:rsid w:val="00A212E6"/>
    <w:rsid w:val="00A213DD"/>
    <w:rsid w:val="00A21454"/>
    <w:rsid w:val="00A21610"/>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3CD0"/>
    <w:rsid w:val="00A34538"/>
    <w:rsid w:val="00A34677"/>
    <w:rsid w:val="00A3540F"/>
    <w:rsid w:val="00A35630"/>
    <w:rsid w:val="00A35914"/>
    <w:rsid w:val="00A36189"/>
    <w:rsid w:val="00A36229"/>
    <w:rsid w:val="00A3677A"/>
    <w:rsid w:val="00A378D7"/>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1B3"/>
    <w:rsid w:val="00A6144B"/>
    <w:rsid w:val="00A61C60"/>
    <w:rsid w:val="00A62589"/>
    <w:rsid w:val="00A62AD0"/>
    <w:rsid w:val="00A62C3A"/>
    <w:rsid w:val="00A6319C"/>
    <w:rsid w:val="00A63812"/>
    <w:rsid w:val="00A63DF7"/>
    <w:rsid w:val="00A642EA"/>
    <w:rsid w:val="00A6454D"/>
    <w:rsid w:val="00A64767"/>
    <w:rsid w:val="00A648EF"/>
    <w:rsid w:val="00A64F2F"/>
    <w:rsid w:val="00A65FCC"/>
    <w:rsid w:val="00A6611E"/>
    <w:rsid w:val="00A66793"/>
    <w:rsid w:val="00A668BA"/>
    <w:rsid w:val="00A66FA7"/>
    <w:rsid w:val="00A6714E"/>
    <w:rsid w:val="00A67170"/>
    <w:rsid w:val="00A67E16"/>
    <w:rsid w:val="00A67EB1"/>
    <w:rsid w:val="00A67F1C"/>
    <w:rsid w:val="00A703CC"/>
    <w:rsid w:val="00A70C5C"/>
    <w:rsid w:val="00A710A2"/>
    <w:rsid w:val="00A7160F"/>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E48"/>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4AC"/>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63A"/>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7FD"/>
    <w:rsid w:val="00AC2A0B"/>
    <w:rsid w:val="00AC2BEE"/>
    <w:rsid w:val="00AC2E53"/>
    <w:rsid w:val="00AC3208"/>
    <w:rsid w:val="00AC4259"/>
    <w:rsid w:val="00AC484F"/>
    <w:rsid w:val="00AC4AD2"/>
    <w:rsid w:val="00AC4B20"/>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1AA"/>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6A44"/>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22D"/>
    <w:rsid w:val="00B67FBF"/>
    <w:rsid w:val="00B70832"/>
    <w:rsid w:val="00B71376"/>
    <w:rsid w:val="00B716D7"/>
    <w:rsid w:val="00B7182A"/>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AC8"/>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2FCA"/>
    <w:rsid w:val="00BA342B"/>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0F2"/>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2A"/>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39A0"/>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883"/>
    <w:rsid w:val="00C24AE1"/>
    <w:rsid w:val="00C24B8D"/>
    <w:rsid w:val="00C24BD7"/>
    <w:rsid w:val="00C24F7A"/>
    <w:rsid w:val="00C25813"/>
    <w:rsid w:val="00C26C71"/>
    <w:rsid w:val="00C27143"/>
    <w:rsid w:val="00C2725D"/>
    <w:rsid w:val="00C27490"/>
    <w:rsid w:val="00C27556"/>
    <w:rsid w:val="00C27D37"/>
    <w:rsid w:val="00C3095C"/>
    <w:rsid w:val="00C309E8"/>
    <w:rsid w:val="00C30B6B"/>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4F59"/>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17B"/>
    <w:rsid w:val="00CB2C3A"/>
    <w:rsid w:val="00CB2D38"/>
    <w:rsid w:val="00CB2F5E"/>
    <w:rsid w:val="00CB33F5"/>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555"/>
    <w:rsid w:val="00CC3D38"/>
    <w:rsid w:val="00CC3F2F"/>
    <w:rsid w:val="00CC40C3"/>
    <w:rsid w:val="00CC4AAE"/>
    <w:rsid w:val="00CC4CB4"/>
    <w:rsid w:val="00CC4E5D"/>
    <w:rsid w:val="00CC4EF4"/>
    <w:rsid w:val="00CC50AE"/>
    <w:rsid w:val="00CC5FFE"/>
    <w:rsid w:val="00CC61B7"/>
    <w:rsid w:val="00CC61CA"/>
    <w:rsid w:val="00CC69EC"/>
    <w:rsid w:val="00CC71D3"/>
    <w:rsid w:val="00CC743D"/>
    <w:rsid w:val="00CD02ED"/>
    <w:rsid w:val="00CD050A"/>
    <w:rsid w:val="00CD07AF"/>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73F"/>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6A2"/>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1922"/>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E29"/>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CF2"/>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0B48"/>
    <w:rsid w:val="00D517F6"/>
    <w:rsid w:val="00D518E8"/>
    <w:rsid w:val="00D51AB7"/>
    <w:rsid w:val="00D51E15"/>
    <w:rsid w:val="00D51E7C"/>
    <w:rsid w:val="00D52B7E"/>
    <w:rsid w:val="00D52E2F"/>
    <w:rsid w:val="00D52F59"/>
    <w:rsid w:val="00D53445"/>
    <w:rsid w:val="00D536E0"/>
    <w:rsid w:val="00D53C61"/>
    <w:rsid w:val="00D53E3E"/>
    <w:rsid w:val="00D54620"/>
    <w:rsid w:val="00D55187"/>
    <w:rsid w:val="00D55904"/>
    <w:rsid w:val="00D55DFF"/>
    <w:rsid w:val="00D5614E"/>
    <w:rsid w:val="00D5616F"/>
    <w:rsid w:val="00D57940"/>
    <w:rsid w:val="00D60327"/>
    <w:rsid w:val="00D605BB"/>
    <w:rsid w:val="00D61384"/>
    <w:rsid w:val="00D61526"/>
    <w:rsid w:val="00D61C39"/>
    <w:rsid w:val="00D61D03"/>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0FC"/>
    <w:rsid w:val="00D715AC"/>
    <w:rsid w:val="00D71851"/>
    <w:rsid w:val="00D718CF"/>
    <w:rsid w:val="00D7204A"/>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41"/>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EA4"/>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E46"/>
    <w:rsid w:val="00DB7117"/>
    <w:rsid w:val="00DB7760"/>
    <w:rsid w:val="00DB7DD4"/>
    <w:rsid w:val="00DC00B4"/>
    <w:rsid w:val="00DC0954"/>
    <w:rsid w:val="00DC0A67"/>
    <w:rsid w:val="00DC0DF8"/>
    <w:rsid w:val="00DC15BA"/>
    <w:rsid w:val="00DC18CD"/>
    <w:rsid w:val="00DC1A68"/>
    <w:rsid w:val="00DC2072"/>
    <w:rsid w:val="00DC30B8"/>
    <w:rsid w:val="00DC3183"/>
    <w:rsid w:val="00DC31DB"/>
    <w:rsid w:val="00DC478F"/>
    <w:rsid w:val="00DC5AB2"/>
    <w:rsid w:val="00DC61AC"/>
    <w:rsid w:val="00DC62E5"/>
    <w:rsid w:val="00DC6D70"/>
    <w:rsid w:val="00DC6DAA"/>
    <w:rsid w:val="00DC6F33"/>
    <w:rsid w:val="00DC7349"/>
    <w:rsid w:val="00DC7389"/>
    <w:rsid w:val="00DC7EEE"/>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042"/>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17DCF"/>
    <w:rsid w:val="00E2012A"/>
    <w:rsid w:val="00E205A2"/>
    <w:rsid w:val="00E20BA4"/>
    <w:rsid w:val="00E20E79"/>
    <w:rsid w:val="00E210D0"/>
    <w:rsid w:val="00E21887"/>
    <w:rsid w:val="00E21CC0"/>
    <w:rsid w:val="00E22634"/>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05F"/>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37ECF"/>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6A9"/>
    <w:rsid w:val="00E65857"/>
    <w:rsid w:val="00E65E70"/>
    <w:rsid w:val="00E66087"/>
    <w:rsid w:val="00E669E5"/>
    <w:rsid w:val="00E66D79"/>
    <w:rsid w:val="00E66FF9"/>
    <w:rsid w:val="00E6706F"/>
    <w:rsid w:val="00E673A2"/>
    <w:rsid w:val="00E677EA"/>
    <w:rsid w:val="00E67856"/>
    <w:rsid w:val="00E679C8"/>
    <w:rsid w:val="00E67B5A"/>
    <w:rsid w:val="00E70314"/>
    <w:rsid w:val="00E70412"/>
    <w:rsid w:val="00E70EE2"/>
    <w:rsid w:val="00E72080"/>
    <w:rsid w:val="00E724E7"/>
    <w:rsid w:val="00E72791"/>
    <w:rsid w:val="00E72B41"/>
    <w:rsid w:val="00E7347B"/>
    <w:rsid w:val="00E736A4"/>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172"/>
    <w:rsid w:val="00E8732E"/>
    <w:rsid w:val="00E9011F"/>
    <w:rsid w:val="00E906EB"/>
    <w:rsid w:val="00E9170E"/>
    <w:rsid w:val="00E919FB"/>
    <w:rsid w:val="00E91DE4"/>
    <w:rsid w:val="00E9241E"/>
    <w:rsid w:val="00E92460"/>
    <w:rsid w:val="00E92E62"/>
    <w:rsid w:val="00E93804"/>
    <w:rsid w:val="00E93809"/>
    <w:rsid w:val="00E9429D"/>
    <w:rsid w:val="00E94E90"/>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1D98"/>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11"/>
    <w:rsid w:val="00EC26F1"/>
    <w:rsid w:val="00EC2E49"/>
    <w:rsid w:val="00EC2E9D"/>
    <w:rsid w:val="00EC3BA2"/>
    <w:rsid w:val="00EC3C94"/>
    <w:rsid w:val="00EC44DF"/>
    <w:rsid w:val="00EC4FB9"/>
    <w:rsid w:val="00EC5393"/>
    <w:rsid w:val="00EC5639"/>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C3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2E4D"/>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70F"/>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1AD"/>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67F"/>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1C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EB"/>
    <w:rsid w:val="00F75C74"/>
    <w:rsid w:val="00F767E4"/>
    <w:rsid w:val="00F76C11"/>
    <w:rsid w:val="00F77021"/>
    <w:rsid w:val="00F770AB"/>
    <w:rsid w:val="00F77E61"/>
    <w:rsid w:val="00F80221"/>
    <w:rsid w:val="00F80A0A"/>
    <w:rsid w:val="00F80C81"/>
    <w:rsid w:val="00F81100"/>
    <w:rsid w:val="00F815AC"/>
    <w:rsid w:val="00F835BD"/>
    <w:rsid w:val="00F83B33"/>
    <w:rsid w:val="00F83CAE"/>
    <w:rsid w:val="00F840BF"/>
    <w:rsid w:val="00F8427A"/>
    <w:rsid w:val="00F843DF"/>
    <w:rsid w:val="00F84646"/>
    <w:rsid w:val="00F8476E"/>
    <w:rsid w:val="00F84899"/>
    <w:rsid w:val="00F85585"/>
    <w:rsid w:val="00F859F0"/>
    <w:rsid w:val="00F85CC1"/>
    <w:rsid w:val="00F864EC"/>
    <w:rsid w:val="00F86529"/>
    <w:rsid w:val="00F86787"/>
    <w:rsid w:val="00F86B5D"/>
    <w:rsid w:val="00F87634"/>
    <w:rsid w:val="00F87C13"/>
    <w:rsid w:val="00F87C5A"/>
    <w:rsid w:val="00F87E29"/>
    <w:rsid w:val="00F87F18"/>
    <w:rsid w:val="00F87F68"/>
    <w:rsid w:val="00F905BE"/>
    <w:rsid w:val="00F9075B"/>
    <w:rsid w:val="00F90C4D"/>
    <w:rsid w:val="00F91098"/>
    <w:rsid w:val="00F911A6"/>
    <w:rsid w:val="00F9167D"/>
    <w:rsid w:val="00F91CB2"/>
    <w:rsid w:val="00F9275A"/>
    <w:rsid w:val="00F927E8"/>
    <w:rsid w:val="00F9289C"/>
    <w:rsid w:val="00F92FC1"/>
    <w:rsid w:val="00F932D1"/>
    <w:rsid w:val="00F93DBC"/>
    <w:rsid w:val="00F93E41"/>
    <w:rsid w:val="00F944AF"/>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195A"/>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FC69B5"/>
  <w15:docId w15:val="{4AB537FD-5A38-4AAD-8B28-DA4FF7CC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Mencinsinresolver4">
    <w:name w:val="Mención sin resolver4"/>
    <w:basedOn w:val="Fuentedeprrafopredeter"/>
    <w:uiPriority w:val="99"/>
    <w:semiHidden/>
    <w:unhideWhenUsed/>
    <w:rsid w:val="008B37E8"/>
    <w:rPr>
      <w:color w:val="605E5C"/>
      <w:shd w:val="clear" w:color="auto" w:fill="E1DFDD"/>
    </w:rPr>
  </w:style>
  <w:style w:type="table" w:customStyle="1" w:styleId="Tablaconcuadrcula2">
    <w:name w:val="Tabla con cuadrícula2"/>
    <w:basedOn w:val="Tablanormal"/>
    <w:next w:val="Tablaconcuadrcula"/>
    <w:uiPriority w:val="39"/>
    <w:rsid w:val="0090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80D0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3939937">
      <w:bodyDiv w:val="1"/>
      <w:marLeft w:val="0"/>
      <w:marRight w:val="0"/>
      <w:marTop w:val="0"/>
      <w:marBottom w:val="0"/>
      <w:divBdr>
        <w:top w:val="none" w:sz="0" w:space="0" w:color="auto"/>
        <w:left w:val="none" w:sz="0" w:space="0" w:color="auto"/>
        <w:bottom w:val="none" w:sz="0" w:space="0" w:color="auto"/>
        <w:right w:val="none" w:sz="0" w:space="0" w:color="auto"/>
      </w:divBdr>
      <w:divsChild>
        <w:div w:id="1542396002">
          <w:marLeft w:val="0"/>
          <w:marRight w:val="0"/>
          <w:marTop w:val="0"/>
          <w:marBottom w:val="0"/>
          <w:divBdr>
            <w:top w:val="none" w:sz="0" w:space="0" w:color="auto"/>
            <w:left w:val="none" w:sz="0" w:space="0" w:color="auto"/>
            <w:bottom w:val="none" w:sz="0" w:space="0" w:color="auto"/>
            <w:right w:val="none" w:sz="0" w:space="0" w:color="auto"/>
          </w:divBdr>
        </w:div>
        <w:div w:id="1790778275">
          <w:marLeft w:val="0"/>
          <w:marRight w:val="0"/>
          <w:marTop w:val="0"/>
          <w:marBottom w:val="0"/>
          <w:divBdr>
            <w:top w:val="none" w:sz="0" w:space="0" w:color="auto"/>
            <w:left w:val="none" w:sz="0" w:space="0" w:color="auto"/>
            <w:bottom w:val="none" w:sz="0" w:space="0" w:color="auto"/>
            <w:right w:val="none" w:sz="0" w:space="0" w:color="auto"/>
          </w:divBdr>
        </w:div>
        <w:div w:id="1418942463">
          <w:marLeft w:val="0"/>
          <w:marRight w:val="0"/>
          <w:marTop w:val="0"/>
          <w:marBottom w:val="0"/>
          <w:divBdr>
            <w:top w:val="none" w:sz="0" w:space="0" w:color="auto"/>
            <w:left w:val="none" w:sz="0" w:space="0" w:color="auto"/>
            <w:bottom w:val="none" w:sz="0" w:space="0" w:color="auto"/>
            <w:right w:val="none" w:sz="0" w:space="0" w:color="auto"/>
          </w:divBdr>
        </w:div>
        <w:div w:id="1884294206">
          <w:marLeft w:val="0"/>
          <w:marRight w:val="0"/>
          <w:marTop w:val="0"/>
          <w:marBottom w:val="0"/>
          <w:divBdr>
            <w:top w:val="none" w:sz="0" w:space="0" w:color="auto"/>
            <w:left w:val="none" w:sz="0" w:space="0" w:color="auto"/>
            <w:bottom w:val="none" w:sz="0" w:space="0" w:color="auto"/>
            <w:right w:val="none" w:sz="0" w:space="0" w:color="auto"/>
          </w:divBdr>
        </w:div>
        <w:div w:id="1147747363">
          <w:marLeft w:val="0"/>
          <w:marRight w:val="0"/>
          <w:marTop w:val="0"/>
          <w:marBottom w:val="0"/>
          <w:divBdr>
            <w:top w:val="none" w:sz="0" w:space="0" w:color="auto"/>
            <w:left w:val="none" w:sz="0" w:space="0" w:color="auto"/>
            <w:bottom w:val="none" w:sz="0" w:space="0" w:color="auto"/>
            <w:right w:val="none" w:sz="0" w:space="0" w:color="auto"/>
          </w:divBdr>
        </w:div>
        <w:div w:id="851334999">
          <w:marLeft w:val="0"/>
          <w:marRight w:val="0"/>
          <w:marTop w:val="0"/>
          <w:marBottom w:val="0"/>
          <w:divBdr>
            <w:top w:val="none" w:sz="0" w:space="0" w:color="auto"/>
            <w:left w:val="none" w:sz="0" w:space="0" w:color="auto"/>
            <w:bottom w:val="none" w:sz="0" w:space="0" w:color="auto"/>
            <w:right w:val="none" w:sz="0" w:space="0" w:color="auto"/>
          </w:divBdr>
        </w:div>
        <w:div w:id="1370185574">
          <w:marLeft w:val="0"/>
          <w:marRight w:val="0"/>
          <w:marTop w:val="0"/>
          <w:marBottom w:val="0"/>
          <w:divBdr>
            <w:top w:val="none" w:sz="0" w:space="0" w:color="auto"/>
            <w:left w:val="none" w:sz="0" w:space="0" w:color="auto"/>
            <w:bottom w:val="none" w:sz="0" w:space="0" w:color="auto"/>
            <w:right w:val="none" w:sz="0" w:space="0" w:color="auto"/>
          </w:divBdr>
        </w:div>
        <w:div w:id="1770812591">
          <w:marLeft w:val="0"/>
          <w:marRight w:val="0"/>
          <w:marTop w:val="0"/>
          <w:marBottom w:val="0"/>
          <w:divBdr>
            <w:top w:val="none" w:sz="0" w:space="0" w:color="auto"/>
            <w:left w:val="none" w:sz="0" w:space="0" w:color="auto"/>
            <w:bottom w:val="none" w:sz="0" w:space="0" w:color="auto"/>
            <w:right w:val="none" w:sz="0" w:space="0" w:color="auto"/>
          </w:divBdr>
        </w:div>
        <w:div w:id="208684176">
          <w:marLeft w:val="0"/>
          <w:marRight w:val="0"/>
          <w:marTop w:val="0"/>
          <w:marBottom w:val="0"/>
          <w:divBdr>
            <w:top w:val="none" w:sz="0" w:space="0" w:color="auto"/>
            <w:left w:val="none" w:sz="0" w:space="0" w:color="auto"/>
            <w:bottom w:val="none" w:sz="0" w:space="0" w:color="auto"/>
            <w:right w:val="none" w:sz="0" w:space="0" w:color="auto"/>
          </w:divBdr>
        </w:div>
        <w:div w:id="1762140939">
          <w:marLeft w:val="0"/>
          <w:marRight w:val="0"/>
          <w:marTop w:val="0"/>
          <w:marBottom w:val="0"/>
          <w:divBdr>
            <w:top w:val="none" w:sz="0" w:space="0" w:color="auto"/>
            <w:left w:val="none" w:sz="0" w:space="0" w:color="auto"/>
            <w:bottom w:val="none" w:sz="0" w:space="0" w:color="auto"/>
            <w:right w:val="none" w:sz="0" w:space="0" w:color="auto"/>
          </w:divBdr>
        </w:div>
        <w:div w:id="2113894345">
          <w:marLeft w:val="0"/>
          <w:marRight w:val="0"/>
          <w:marTop w:val="0"/>
          <w:marBottom w:val="0"/>
          <w:divBdr>
            <w:top w:val="none" w:sz="0" w:space="0" w:color="auto"/>
            <w:left w:val="none" w:sz="0" w:space="0" w:color="auto"/>
            <w:bottom w:val="none" w:sz="0" w:space="0" w:color="auto"/>
            <w:right w:val="none" w:sz="0" w:space="0" w:color="auto"/>
          </w:divBdr>
        </w:div>
        <w:div w:id="1995061638">
          <w:marLeft w:val="0"/>
          <w:marRight w:val="0"/>
          <w:marTop w:val="0"/>
          <w:marBottom w:val="0"/>
          <w:divBdr>
            <w:top w:val="none" w:sz="0" w:space="0" w:color="auto"/>
            <w:left w:val="none" w:sz="0" w:space="0" w:color="auto"/>
            <w:bottom w:val="none" w:sz="0" w:space="0" w:color="auto"/>
            <w:right w:val="none" w:sz="0" w:space="0" w:color="auto"/>
          </w:divBdr>
        </w:div>
        <w:div w:id="1888029915">
          <w:marLeft w:val="0"/>
          <w:marRight w:val="0"/>
          <w:marTop w:val="0"/>
          <w:marBottom w:val="0"/>
          <w:divBdr>
            <w:top w:val="none" w:sz="0" w:space="0" w:color="auto"/>
            <w:left w:val="none" w:sz="0" w:space="0" w:color="auto"/>
            <w:bottom w:val="none" w:sz="0" w:space="0" w:color="auto"/>
            <w:right w:val="none" w:sz="0" w:space="0" w:color="auto"/>
          </w:divBdr>
        </w:div>
        <w:div w:id="924656843">
          <w:marLeft w:val="0"/>
          <w:marRight w:val="0"/>
          <w:marTop w:val="0"/>
          <w:marBottom w:val="0"/>
          <w:divBdr>
            <w:top w:val="none" w:sz="0" w:space="0" w:color="auto"/>
            <w:left w:val="none" w:sz="0" w:space="0" w:color="auto"/>
            <w:bottom w:val="none" w:sz="0" w:space="0" w:color="auto"/>
            <w:right w:val="none" w:sz="0" w:space="0" w:color="auto"/>
          </w:divBdr>
        </w:div>
        <w:div w:id="389769904">
          <w:marLeft w:val="0"/>
          <w:marRight w:val="0"/>
          <w:marTop w:val="0"/>
          <w:marBottom w:val="0"/>
          <w:divBdr>
            <w:top w:val="none" w:sz="0" w:space="0" w:color="auto"/>
            <w:left w:val="none" w:sz="0" w:space="0" w:color="auto"/>
            <w:bottom w:val="none" w:sz="0" w:space="0" w:color="auto"/>
            <w:right w:val="none" w:sz="0" w:space="0" w:color="auto"/>
          </w:divBdr>
        </w:div>
        <w:div w:id="2021394271">
          <w:marLeft w:val="0"/>
          <w:marRight w:val="0"/>
          <w:marTop w:val="0"/>
          <w:marBottom w:val="0"/>
          <w:divBdr>
            <w:top w:val="none" w:sz="0" w:space="0" w:color="auto"/>
            <w:left w:val="none" w:sz="0" w:space="0" w:color="auto"/>
            <w:bottom w:val="none" w:sz="0" w:space="0" w:color="auto"/>
            <w:right w:val="none" w:sz="0" w:space="0" w:color="auto"/>
          </w:divBdr>
        </w:div>
        <w:div w:id="1228033161">
          <w:marLeft w:val="0"/>
          <w:marRight w:val="0"/>
          <w:marTop w:val="0"/>
          <w:marBottom w:val="0"/>
          <w:divBdr>
            <w:top w:val="none" w:sz="0" w:space="0" w:color="auto"/>
            <w:left w:val="none" w:sz="0" w:space="0" w:color="auto"/>
            <w:bottom w:val="none" w:sz="0" w:space="0" w:color="auto"/>
            <w:right w:val="none" w:sz="0" w:space="0" w:color="auto"/>
          </w:divBdr>
        </w:div>
        <w:div w:id="1145586924">
          <w:marLeft w:val="0"/>
          <w:marRight w:val="0"/>
          <w:marTop w:val="0"/>
          <w:marBottom w:val="0"/>
          <w:divBdr>
            <w:top w:val="none" w:sz="0" w:space="0" w:color="auto"/>
            <w:left w:val="none" w:sz="0" w:space="0" w:color="auto"/>
            <w:bottom w:val="none" w:sz="0" w:space="0" w:color="auto"/>
            <w:right w:val="none" w:sz="0" w:space="0" w:color="auto"/>
          </w:divBdr>
        </w:div>
      </w:divsChild>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2410784">
                  <w:marLeft w:val="0"/>
                  <w:marRight w:val="0"/>
                  <w:marTop w:val="0"/>
                  <w:marBottom w:val="0"/>
                  <w:divBdr>
                    <w:top w:val="none" w:sz="0" w:space="0" w:color="auto"/>
                    <w:left w:val="none" w:sz="0" w:space="0" w:color="auto"/>
                    <w:bottom w:val="none" w:sz="0" w:space="0" w:color="auto"/>
                    <w:right w:val="none" w:sz="0" w:space="0" w:color="auto"/>
                  </w:divBdr>
                  <w:divsChild>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3022">
      <w:bodyDiv w:val="1"/>
      <w:marLeft w:val="0"/>
      <w:marRight w:val="0"/>
      <w:marTop w:val="0"/>
      <w:marBottom w:val="0"/>
      <w:divBdr>
        <w:top w:val="none" w:sz="0" w:space="0" w:color="auto"/>
        <w:left w:val="none" w:sz="0" w:space="0" w:color="auto"/>
        <w:bottom w:val="none" w:sz="0" w:space="0" w:color="auto"/>
        <w:right w:val="none" w:sz="0" w:space="0" w:color="auto"/>
      </w:divBdr>
      <w:divsChild>
        <w:div w:id="973607486">
          <w:marLeft w:val="0"/>
          <w:marRight w:val="0"/>
          <w:marTop w:val="0"/>
          <w:marBottom w:val="0"/>
          <w:divBdr>
            <w:top w:val="none" w:sz="0" w:space="0" w:color="auto"/>
            <w:left w:val="none" w:sz="0" w:space="0" w:color="auto"/>
            <w:bottom w:val="none" w:sz="0" w:space="0" w:color="auto"/>
            <w:right w:val="none" w:sz="0" w:space="0" w:color="auto"/>
          </w:divBdr>
        </w:div>
        <w:div w:id="1493257153">
          <w:marLeft w:val="0"/>
          <w:marRight w:val="0"/>
          <w:marTop w:val="0"/>
          <w:marBottom w:val="0"/>
          <w:divBdr>
            <w:top w:val="none" w:sz="0" w:space="0" w:color="auto"/>
            <w:left w:val="none" w:sz="0" w:space="0" w:color="auto"/>
            <w:bottom w:val="none" w:sz="0" w:space="0" w:color="auto"/>
            <w:right w:val="none" w:sz="0" w:space="0" w:color="auto"/>
          </w:divBdr>
        </w:div>
        <w:div w:id="1266575413">
          <w:marLeft w:val="0"/>
          <w:marRight w:val="0"/>
          <w:marTop w:val="0"/>
          <w:marBottom w:val="0"/>
          <w:divBdr>
            <w:top w:val="none" w:sz="0" w:space="0" w:color="auto"/>
            <w:left w:val="none" w:sz="0" w:space="0" w:color="auto"/>
            <w:bottom w:val="none" w:sz="0" w:space="0" w:color="auto"/>
            <w:right w:val="none" w:sz="0" w:space="0" w:color="auto"/>
          </w:divBdr>
        </w:div>
        <w:div w:id="1564563798">
          <w:marLeft w:val="0"/>
          <w:marRight w:val="0"/>
          <w:marTop w:val="0"/>
          <w:marBottom w:val="0"/>
          <w:divBdr>
            <w:top w:val="none" w:sz="0" w:space="0" w:color="auto"/>
            <w:left w:val="none" w:sz="0" w:space="0" w:color="auto"/>
            <w:bottom w:val="none" w:sz="0" w:space="0" w:color="auto"/>
            <w:right w:val="none" w:sz="0" w:space="0" w:color="auto"/>
          </w:divBdr>
        </w:div>
        <w:div w:id="1704868061">
          <w:marLeft w:val="0"/>
          <w:marRight w:val="0"/>
          <w:marTop w:val="0"/>
          <w:marBottom w:val="0"/>
          <w:divBdr>
            <w:top w:val="none" w:sz="0" w:space="0" w:color="auto"/>
            <w:left w:val="none" w:sz="0" w:space="0" w:color="auto"/>
            <w:bottom w:val="none" w:sz="0" w:space="0" w:color="auto"/>
            <w:right w:val="none" w:sz="0" w:space="0" w:color="auto"/>
          </w:divBdr>
        </w:div>
        <w:div w:id="2110613998">
          <w:marLeft w:val="0"/>
          <w:marRight w:val="0"/>
          <w:marTop w:val="0"/>
          <w:marBottom w:val="0"/>
          <w:divBdr>
            <w:top w:val="none" w:sz="0" w:space="0" w:color="auto"/>
            <w:left w:val="none" w:sz="0" w:space="0" w:color="auto"/>
            <w:bottom w:val="none" w:sz="0" w:space="0" w:color="auto"/>
            <w:right w:val="none" w:sz="0" w:space="0" w:color="auto"/>
          </w:divBdr>
        </w:div>
        <w:div w:id="2042777818">
          <w:marLeft w:val="0"/>
          <w:marRight w:val="0"/>
          <w:marTop w:val="0"/>
          <w:marBottom w:val="0"/>
          <w:divBdr>
            <w:top w:val="none" w:sz="0" w:space="0" w:color="auto"/>
            <w:left w:val="none" w:sz="0" w:space="0" w:color="auto"/>
            <w:bottom w:val="none" w:sz="0" w:space="0" w:color="auto"/>
            <w:right w:val="none" w:sz="0" w:space="0" w:color="auto"/>
          </w:divBdr>
        </w:div>
        <w:div w:id="1266110871">
          <w:marLeft w:val="0"/>
          <w:marRight w:val="0"/>
          <w:marTop w:val="0"/>
          <w:marBottom w:val="0"/>
          <w:divBdr>
            <w:top w:val="none" w:sz="0" w:space="0" w:color="auto"/>
            <w:left w:val="none" w:sz="0" w:space="0" w:color="auto"/>
            <w:bottom w:val="none" w:sz="0" w:space="0" w:color="auto"/>
            <w:right w:val="none" w:sz="0" w:space="0" w:color="auto"/>
          </w:divBdr>
        </w:div>
        <w:div w:id="889878890">
          <w:marLeft w:val="0"/>
          <w:marRight w:val="0"/>
          <w:marTop w:val="0"/>
          <w:marBottom w:val="0"/>
          <w:divBdr>
            <w:top w:val="none" w:sz="0" w:space="0" w:color="auto"/>
            <w:left w:val="none" w:sz="0" w:space="0" w:color="auto"/>
            <w:bottom w:val="none" w:sz="0" w:space="0" w:color="auto"/>
            <w:right w:val="none" w:sz="0" w:space="0" w:color="auto"/>
          </w:divBdr>
        </w:div>
        <w:div w:id="150147330">
          <w:marLeft w:val="0"/>
          <w:marRight w:val="0"/>
          <w:marTop w:val="0"/>
          <w:marBottom w:val="0"/>
          <w:divBdr>
            <w:top w:val="none" w:sz="0" w:space="0" w:color="auto"/>
            <w:left w:val="none" w:sz="0" w:space="0" w:color="auto"/>
            <w:bottom w:val="none" w:sz="0" w:space="0" w:color="auto"/>
            <w:right w:val="none" w:sz="0" w:space="0" w:color="auto"/>
          </w:divBdr>
        </w:div>
        <w:div w:id="92942223">
          <w:marLeft w:val="0"/>
          <w:marRight w:val="0"/>
          <w:marTop w:val="0"/>
          <w:marBottom w:val="0"/>
          <w:divBdr>
            <w:top w:val="none" w:sz="0" w:space="0" w:color="auto"/>
            <w:left w:val="none" w:sz="0" w:space="0" w:color="auto"/>
            <w:bottom w:val="none" w:sz="0" w:space="0" w:color="auto"/>
            <w:right w:val="none" w:sz="0" w:space="0" w:color="auto"/>
          </w:divBdr>
        </w:div>
        <w:div w:id="395051239">
          <w:marLeft w:val="0"/>
          <w:marRight w:val="0"/>
          <w:marTop w:val="0"/>
          <w:marBottom w:val="0"/>
          <w:divBdr>
            <w:top w:val="none" w:sz="0" w:space="0" w:color="auto"/>
            <w:left w:val="none" w:sz="0" w:space="0" w:color="auto"/>
            <w:bottom w:val="none" w:sz="0" w:space="0" w:color="auto"/>
            <w:right w:val="none" w:sz="0" w:space="0" w:color="auto"/>
          </w:divBdr>
        </w:div>
        <w:div w:id="571619234">
          <w:marLeft w:val="0"/>
          <w:marRight w:val="0"/>
          <w:marTop w:val="0"/>
          <w:marBottom w:val="0"/>
          <w:divBdr>
            <w:top w:val="none" w:sz="0" w:space="0" w:color="auto"/>
            <w:left w:val="none" w:sz="0" w:space="0" w:color="auto"/>
            <w:bottom w:val="none" w:sz="0" w:space="0" w:color="auto"/>
            <w:right w:val="none" w:sz="0" w:space="0" w:color="auto"/>
          </w:divBdr>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989165463">
          <w:marLeft w:val="0"/>
          <w:marRight w:val="0"/>
          <w:marTop w:val="0"/>
          <w:marBottom w:val="0"/>
          <w:divBdr>
            <w:top w:val="none" w:sz="0" w:space="0" w:color="auto"/>
            <w:left w:val="none" w:sz="0" w:space="0" w:color="auto"/>
            <w:bottom w:val="none" w:sz="0" w:space="0" w:color="auto"/>
            <w:right w:val="none" w:sz="0" w:space="0" w:color="auto"/>
          </w:divBdr>
        </w:div>
        <w:div w:id="107309165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177C-F058-4088-84D8-968552794DCD}"/>
</file>

<file path=customXml/itemProps2.xml><?xml version="1.0" encoding="utf-8"?>
<ds:datastoreItem xmlns:ds="http://schemas.openxmlformats.org/officeDocument/2006/customXml" ds:itemID="{2D4414C5-DEED-4B13-A7CA-6B19E7E10D7B}">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9d85dbaf-23eb-4e57-a637-93dcacc8b1a1"/>
    <ds:schemaRef ds:uri="a6cb9e4b-f1d1-4245-83ec-6cad768d538a"/>
    <ds:schemaRef ds:uri="http://schemas.microsoft.com/office/infopath/2007/PartnerControl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A16C768-BAFC-47F2-8FFB-FC1D7A55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14</Pages>
  <Words>5005</Words>
  <Characters>28531</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 CP </cp:lastModifiedBy>
  <cp:revision>4</cp:revision>
  <cp:lastPrinted>2020-01-30T15:05:00Z</cp:lastPrinted>
  <dcterms:created xsi:type="dcterms:W3CDTF">2022-07-18T23:25:00Z</dcterms:created>
  <dcterms:modified xsi:type="dcterms:W3CDTF">2022-07-19T15:07:00Z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