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D43CE8" w:rsidRDefault="00B55C69" w:rsidP="008536BB">
      <w:pPr>
        <w:jc w:val="right"/>
        <w:rPr>
          <w:rFonts w:ascii="Arial" w:eastAsia="Calibri" w:hAnsi="Arial" w:cs="Arial"/>
          <w:b/>
          <w:sz w:val="20"/>
          <w:szCs w:val="20"/>
          <w:lang w:val="es-ES_tradnl"/>
        </w:rPr>
      </w:pPr>
      <w:bookmarkStart w:id="0" w:name="_Hlk28946138"/>
      <w:bookmarkStart w:id="1" w:name="_Hlk29548183"/>
      <w:r w:rsidRPr="00D43CE8">
        <w:rPr>
          <w:rFonts w:ascii="Arial" w:hAnsi="Arial" w:cs="Arial"/>
          <w:bCs/>
          <w:sz w:val="16"/>
          <w:szCs w:val="16"/>
          <w:lang w:val="es-ES_tradnl" w:eastAsia="es-ES"/>
        </w:rPr>
        <w:t>CCE-DES-FM-17</w:t>
      </w:r>
      <w:bookmarkEnd w:id="0"/>
      <w:bookmarkEnd w:id="1"/>
    </w:p>
    <w:p w14:paraId="55FBD910" w14:textId="77777777" w:rsidR="008536BB" w:rsidRPr="00D43CE8" w:rsidRDefault="008536BB" w:rsidP="00B95C30">
      <w:pPr>
        <w:spacing w:line="276" w:lineRule="auto"/>
        <w:jc w:val="both"/>
        <w:rPr>
          <w:rFonts w:ascii="Arial" w:hAnsi="Arial" w:cs="Arial"/>
          <w:noProof/>
          <w:sz w:val="22"/>
          <w:lang w:val="es-ES_tradnl"/>
        </w:rPr>
      </w:pPr>
    </w:p>
    <w:p w14:paraId="2B2F279A" w14:textId="77777777" w:rsidR="005C6D19" w:rsidRPr="00F425E1" w:rsidRDefault="005C6D19" w:rsidP="00DF71EA">
      <w:pPr>
        <w:jc w:val="both"/>
        <w:rPr>
          <w:rFonts w:ascii="Arial" w:eastAsia="Calibri" w:hAnsi="Arial" w:cs="Arial"/>
          <w:b/>
          <w:sz w:val="22"/>
          <w:lang w:val="es-ES_tradnl"/>
        </w:rPr>
      </w:pPr>
    </w:p>
    <w:p w14:paraId="04086EC5" w14:textId="5C2FA739" w:rsidR="00DF71EA" w:rsidRPr="00F425E1" w:rsidRDefault="00D73881" w:rsidP="00DF71EA">
      <w:pPr>
        <w:jc w:val="both"/>
        <w:rPr>
          <w:rFonts w:ascii="Arial" w:eastAsia="Calibri" w:hAnsi="Arial" w:cs="Arial"/>
          <w:b/>
          <w:sz w:val="22"/>
          <w:lang w:val="es-ES_tradnl"/>
        </w:rPr>
      </w:pPr>
      <w:r w:rsidRPr="00F425E1">
        <w:rPr>
          <w:rFonts w:ascii="Arial" w:eastAsia="Calibri" w:hAnsi="Arial" w:cs="Arial"/>
          <w:b/>
          <w:sz w:val="22"/>
          <w:lang w:val="es-ES_tradnl"/>
        </w:rPr>
        <w:t>FACTORES DE DESEMPATE</w:t>
      </w:r>
      <w:r w:rsidR="00DF71EA" w:rsidRPr="00F425E1">
        <w:rPr>
          <w:rFonts w:ascii="Arial" w:eastAsia="Calibri" w:hAnsi="Arial" w:cs="Arial"/>
          <w:b/>
          <w:sz w:val="22"/>
          <w:lang w:val="es-ES_tradnl"/>
        </w:rPr>
        <w:t xml:space="preserve"> – </w:t>
      </w:r>
      <w:r w:rsidRPr="00F425E1">
        <w:rPr>
          <w:rFonts w:ascii="Arial" w:eastAsia="Calibri" w:hAnsi="Arial" w:cs="Arial"/>
          <w:b/>
          <w:sz w:val="22"/>
          <w:lang w:val="es-ES_tradnl"/>
        </w:rPr>
        <w:t>Características</w:t>
      </w:r>
      <w:r w:rsidR="00DF71EA" w:rsidRPr="00F425E1">
        <w:rPr>
          <w:rFonts w:ascii="Arial" w:eastAsia="Calibri" w:hAnsi="Arial" w:cs="Arial"/>
          <w:b/>
          <w:sz w:val="22"/>
          <w:lang w:val="es-ES_tradnl"/>
        </w:rPr>
        <w:t xml:space="preserve"> – </w:t>
      </w:r>
      <w:r w:rsidRPr="00F425E1">
        <w:rPr>
          <w:rFonts w:ascii="Arial" w:eastAsia="Calibri" w:hAnsi="Arial" w:cs="Arial"/>
          <w:b/>
          <w:sz w:val="22"/>
          <w:lang w:val="es-ES_tradnl"/>
        </w:rPr>
        <w:t>Límites</w:t>
      </w:r>
    </w:p>
    <w:p w14:paraId="583F00A4" w14:textId="390EB1EB" w:rsidR="00DF71EA" w:rsidRPr="00FE32DF" w:rsidRDefault="00DF71EA" w:rsidP="00B95C30">
      <w:pPr>
        <w:spacing w:line="276" w:lineRule="auto"/>
        <w:jc w:val="both"/>
        <w:rPr>
          <w:rFonts w:ascii="Arial" w:hAnsi="Arial" w:cs="Arial"/>
          <w:noProof/>
          <w:sz w:val="22"/>
          <w:highlight w:val="yellow"/>
          <w:lang w:val="es-ES_tradnl"/>
        </w:rPr>
      </w:pPr>
    </w:p>
    <w:p w14:paraId="4C79D470" w14:textId="12E39A57" w:rsidR="00221A1D" w:rsidRDefault="001C3859" w:rsidP="00221A1D">
      <w:pPr>
        <w:jc w:val="both"/>
        <w:rPr>
          <w:rFonts w:ascii="Arial" w:eastAsia="Calibri" w:hAnsi="Arial" w:cs="Arial"/>
          <w:sz w:val="20"/>
          <w:szCs w:val="20"/>
          <w:lang w:val="es-ES_tradnl"/>
        </w:rPr>
      </w:pPr>
      <w:r w:rsidRPr="001C3859">
        <w:rPr>
          <w:rFonts w:ascii="Arial" w:eastAsia="Calibri" w:hAnsi="Arial" w:cs="Arial"/>
          <w:sz w:val="20"/>
          <w:szCs w:val="20"/>
          <w:lang w:val="es-ES_tradnl"/>
        </w:rPr>
        <w:t>Dado que la selección objetiva es uno de los principios medulares de la contratación estatal, la escogencia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habilitación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40A4A651" w14:textId="77777777" w:rsidR="001C3859" w:rsidRPr="00FE32DF" w:rsidRDefault="001C3859" w:rsidP="00221A1D">
      <w:pPr>
        <w:jc w:val="both"/>
        <w:rPr>
          <w:rFonts w:ascii="Arial" w:eastAsia="Calibri" w:hAnsi="Arial" w:cs="Arial"/>
          <w:b/>
          <w:sz w:val="22"/>
          <w:highlight w:val="yellow"/>
          <w:lang w:val="es-ES_tradnl"/>
        </w:rPr>
      </w:pPr>
    </w:p>
    <w:p w14:paraId="7D6E6CBB" w14:textId="0A92D415" w:rsidR="005E022D" w:rsidRPr="00F425E1" w:rsidRDefault="005E022D" w:rsidP="00221A1D">
      <w:pPr>
        <w:jc w:val="both"/>
        <w:rPr>
          <w:rFonts w:ascii="Arial" w:eastAsia="Calibri" w:hAnsi="Arial" w:cs="Arial"/>
          <w:b/>
          <w:sz w:val="22"/>
          <w:lang w:val="es-ES_tradnl"/>
        </w:rPr>
      </w:pPr>
      <w:r w:rsidRPr="00F425E1">
        <w:rPr>
          <w:rFonts w:ascii="Arial" w:eastAsia="Calibri" w:hAnsi="Arial" w:cs="Arial"/>
          <w:b/>
          <w:sz w:val="22"/>
          <w:lang w:val="es-ES_tradnl"/>
        </w:rPr>
        <w:t>LEY DE EMPRENDIMIENTO – Ley 2069 de 2020 – Reglamentación – Decreto 1860 de 2021</w:t>
      </w:r>
      <w:r w:rsidR="00E86E74" w:rsidRPr="00F425E1">
        <w:rPr>
          <w:rFonts w:ascii="Arial" w:eastAsia="Calibri" w:hAnsi="Arial" w:cs="Arial"/>
          <w:b/>
          <w:sz w:val="22"/>
          <w:lang w:val="es-ES_tradnl"/>
        </w:rPr>
        <w:t xml:space="preserve"> – Vigencia</w:t>
      </w:r>
    </w:p>
    <w:p w14:paraId="4964CF95" w14:textId="3B7C54E8" w:rsidR="00E86E74" w:rsidRPr="00FE32DF" w:rsidRDefault="00E86E74" w:rsidP="00221A1D">
      <w:pPr>
        <w:jc w:val="both"/>
        <w:rPr>
          <w:rFonts w:ascii="Arial" w:eastAsia="Calibri" w:hAnsi="Arial" w:cs="Arial"/>
          <w:b/>
          <w:sz w:val="22"/>
          <w:highlight w:val="yellow"/>
          <w:lang w:val="es-ES_tradnl"/>
        </w:rPr>
      </w:pPr>
    </w:p>
    <w:p w14:paraId="2F5A54E6" w14:textId="69E1CB75" w:rsidR="004C6C0B" w:rsidRPr="00EE3B95" w:rsidRDefault="00EE3B95" w:rsidP="00EE3B95">
      <w:pPr>
        <w:jc w:val="both"/>
        <w:rPr>
          <w:rFonts w:ascii="Arial" w:eastAsia="Calibri" w:hAnsi="Arial" w:cs="Arial"/>
          <w:bCs/>
          <w:sz w:val="20"/>
          <w:szCs w:val="20"/>
          <w:lang w:val="es-ES_tradnl"/>
        </w:rPr>
      </w:pPr>
      <w:r>
        <w:rPr>
          <w:rFonts w:ascii="Arial" w:eastAsia="Calibri" w:hAnsi="Arial" w:cs="Arial"/>
          <w:bCs/>
          <w:sz w:val="20"/>
          <w:szCs w:val="20"/>
          <w:lang w:val="es-ES_tradnl"/>
        </w:rPr>
        <w:t xml:space="preserve">[…] </w:t>
      </w:r>
      <w:r w:rsidRPr="00EE3B95">
        <w:rPr>
          <w:rFonts w:ascii="Arial" w:eastAsia="Calibri" w:hAnsi="Arial" w:cs="Arial"/>
          <w:bCs/>
          <w:sz w:val="20"/>
          <w:szCs w:val="20"/>
          <w:lang w:val="es-ES_tradnl"/>
        </w:rPr>
        <w:t>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p>
    <w:p w14:paraId="22FCC320" w14:textId="77777777" w:rsidR="00EE3B95" w:rsidRDefault="00EE3B95" w:rsidP="004C6C0B">
      <w:pPr>
        <w:spacing w:line="276" w:lineRule="auto"/>
        <w:jc w:val="both"/>
        <w:rPr>
          <w:rFonts w:ascii="Arial" w:eastAsia="Calibri" w:hAnsi="Arial" w:cs="Arial"/>
          <w:b/>
          <w:sz w:val="22"/>
          <w:lang w:val="es-ES_tradnl"/>
        </w:rPr>
      </w:pPr>
    </w:p>
    <w:p w14:paraId="5C403CEA" w14:textId="3C0B666D" w:rsidR="00E86E74" w:rsidRDefault="004C6C0B" w:rsidP="004C6C0B">
      <w:pPr>
        <w:spacing w:line="276" w:lineRule="auto"/>
        <w:jc w:val="both"/>
        <w:rPr>
          <w:rFonts w:ascii="Arial" w:eastAsia="Calibri" w:hAnsi="Arial" w:cs="Arial"/>
          <w:b/>
          <w:sz w:val="22"/>
          <w:lang w:val="es-ES_tradnl"/>
        </w:rPr>
      </w:pPr>
      <w:r w:rsidRPr="004C6C0B">
        <w:rPr>
          <w:rFonts w:ascii="Arial" w:eastAsia="Calibri" w:hAnsi="Arial" w:cs="Arial"/>
          <w:b/>
          <w:sz w:val="22"/>
          <w:lang w:val="es-ES_tradnl"/>
        </w:rPr>
        <w:t>FACTORES DE DESEMPATE – Ley 2069 de 2020 –</w:t>
      </w:r>
      <w:r w:rsidR="008C0222">
        <w:rPr>
          <w:rFonts w:ascii="Arial" w:eastAsia="Calibri" w:hAnsi="Arial" w:cs="Arial"/>
          <w:b/>
          <w:sz w:val="22"/>
          <w:lang w:val="es-ES_tradnl"/>
        </w:rPr>
        <w:t xml:space="preserve"> </w:t>
      </w:r>
      <w:r w:rsidRPr="004C6C0B">
        <w:rPr>
          <w:rFonts w:ascii="Arial" w:eastAsia="Calibri" w:hAnsi="Arial" w:cs="Arial"/>
          <w:b/>
          <w:sz w:val="22"/>
          <w:lang w:val="es-ES_tradnl"/>
        </w:rPr>
        <w:t>Numeral 4 – Decreto 1680 de 2021 –– Mayor proporción</w:t>
      </w:r>
    </w:p>
    <w:p w14:paraId="06AD8A22" w14:textId="77777777" w:rsidR="004C6C0B" w:rsidRPr="00FE32DF" w:rsidRDefault="004C6C0B" w:rsidP="004C6C0B">
      <w:pPr>
        <w:spacing w:line="276" w:lineRule="auto"/>
        <w:jc w:val="both"/>
        <w:rPr>
          <w:rFonts w:ascii="Arial" w:hAnsi="Arial" w:cs="Arial"/>
          <w:sz w:val="22"/>
          <w:szCs w:val="22"/>
          <w:highlight w:val="yellow"/>
          <w:lang w:val="es-ES_tradnl"/>
        </w:rPr>
      </w:pPr>
    </w:p>
    <w:p w14:paraId="09DD5514" w14:textId="64060011" w:rsidR="00DB3785" w:rsidRDefault="00DB3785" w:rsidP="00DB3785">
      <w:pPr>
        <w:jc w:val="both"/>
        <w:rPr>
          <w:rFonts w:ascii="Arial" w:eastAsia="Calibri" w:hAnsi="Arial" w:cs="Arial"/>
          <w:sz w:val="20"/>
          <w:szCs w:val="20"/>
          <w:lang w:val="es-ES_tradnl"/>
        </w:rPr>
      </w:pPr>
      <w:bookmarkStart w:id="2" w:name="_Hlk81487704"/>
      <w:r w:rsidRPr="00DB3785">
        <w:rPr>
          <w:rFonts w:ascii="Arial" w:eastAsia="Calibri" w:hAnsi="Arial" w:cs="Arial"/>
          <w:sz w:val="20"/>
          <w:szCs w:val="20"/>
          <w:lang w:val="es-ES_tradnl"/>
        </w:rPr>
        <w:t>Conforme a la definición del Diccionario de la RAE, la palabra «proporción» es la «Igualdad de dos razones». Esta expresión tiene una definición propia en el campo de las matemáticas, pues alude a una relación o razón constante entre diferentes magnitudes que se vayan a medir. Por esta razón, la «[…] mayor proporción de personas mayores que no sean beneficiarios de la pensión de vejez, familiar o de sobrevivencia y que hayan cumplido el requisito de edad de pensión establecido en la Ley» no corresponde a un valor absoluto, sino relativo.</w:t>
      </w:r>
    </w:p>
    <w:p w14:paraId="553D6BB5" w14:textId="77777777" w:rsidR="00DB3785" w:rsidRPr="00DB3785" w:rsidRDefault="00DB3785" w:rsidP="00DB3785">
      <w:pPr>
        <w:jc w:val="both"/>
        <w:rPr>
          <w:rFonts w:ascii="Arial" w:eastAsia="Calibri" w:hAnsi="Arial" w:cs="Arial"/>
          <w:sz w:val="20"/>
          <w:szCs w:val="20"/>
          <w:lang w:val="es-ES_tradnl"/>
        </w:rPr>
      </w:pPr>
    </w:p>
    <w:p w14:paraId="13DF0369" w14:textId="0B1598D7" w:rsidR="00067A6D" w:rsidRPr="00067A6D" w:rsidRDefault="00DB3785" w:rsidP="00DB3785">
      <w:pPr>
        <w:jc w:val="both"/>
        <w:rPr>
          <w:rFonts w:ascii="Arial" w:eastAsia="Calibri" w:hAnsi="Arial" w:cs="Arial"/>
          <w:sz w:val="20"/>
          <w:szCs w:val="20"/>
          <w:lang w:val="es-ES_tradnl"/>
        </w:rPr>
      </w:pPr>
      <w:r w:rsidRPr="00DB3785">
        <w:rPr>
          <w:rFonts w:ascii="Arial" w:eastAsia="Calibri" w:hAnsi="Arial" w:cs="Arial"/>
          <w:sz w:val="20"/>
          <w:szCs w:val="20"/>
          <w:lang w:val="es-ES_tradnl"/>
        </w:rPr>
        <w:t>En efecto, el factor de desempate del artículo 35.4 de la Ley 2069 de 2020 no se refiere a la vinculación en mayor cantidad de personas mayores. En este caso, bastaría comparar el número de personas vinculadas entre cada uno de los proponentes empatados, adjudicando el contrato a aquel que más tenga. Sin embargo, esta interpretación no es posible en la medida que la norma se refiere a la «vinculación en mayor proporción», es decir el número de personas vinculadas en relación con la planta de personal de los oferentes.</w:t>
      </w:r>
    </w:p>
    <w:p w14:paraId="4DDCC740" w14:textId="0436D863" w:rsidR="003F6998" w:rsidRDefault="003F6998" w:rsidP="00B95C30">
      <w:pPr>
        <w:jc w:val="both"/>
        <w:rPr>
          <w:rFonts w:ascii="Arial" w:eastAsia="Calibri" w:hAnsi="Arial" w:cs="Arial"/>
          <w:sz w:val="22"/>
          <w:lang w:val="es-ES_tradnl"/>
        </w:rPr>
      </w:pPr>
      <w:bookmarkStart w:id="3" w:name="_Hlk94858220"/>
    </w:p>
    <w:p w14:paraId="30399E3F" w14:textId="74B7A7B1" w:rsidR="00EC4A85" w:rsidRDefault="00EC4A85" w:rsidP="00B95C30">
      <w:pPr>
        <w:jc w:val="both"/>
        <w:rPr>
          <w:rFonts w:ascii="Arial" w:eastAsia="Calibri" w:hAnsi="Arial" w:cs="Arial"/>
          <w:sz w:val="22"/>
          <w:lang w:val="es-ES_tradnl"/>
        </w:rPr>
      </w:pPr>
    </w:p>
    <w:p w14:paraId="44A92C42" w14:textId="2913BCAA" w:rsidR="004C6C0B" w:rsidRDefault="004C6C0B" w:rsidP="00B95C30">
      <w:pPr>
        <w:jc w:val="both"/>
        <w:rPr>
          <w:rFonts w:ascii="Arial" w:eastAsia="Calibri" w:hAnsi="Arial" w:cs="Arial"/>
          <w:sz w:val="22"/>
          <w:lang w:val="es-ES_tradnl"/>
        </w:rPr>
      </w:pPr>
    </w:p>
    <w:p w14:paraId="753993AE" w14:textId="3CE376D1" w:rsidR="004C6C0B" w:rsidRDefault="004C6C0B" w:rsidP="00B95C30">
      <w:pPr>
        <w:jc w:val="both"/>
        <w:rPr>
          <w:rFonts w:ascii="Arial" w:eastAsia="Calibri" w:hAnsi="Arial" w:cs="Arial"/>
          <w:sz w:val="22"/>
          <w:lang w:val="es-ES_tradnl"/>
        </w:rPr>
      </w:pPr>
    </w:p>
    <w:p w14:paraId="63B30C85" w14:textId="45D5D8E7" w:rsidR="008C0222" w:rsidRDefault="008C0222" w:rsidP="008C0222">
      <w:pPr>
        <w:widowControl w:val="0"/>
        <w:spacing w:after="120"/>
        <w:rPr>
          <w:rFonts w:ascii="Arial" w:hAnsi="Arial" w:cs="Arial"/>
          <w:b/>
          <w:sz w:val="22"/>
        </w:rPr>
      </w:pPr>
      <w:r w:rsidRPr="00B86532">
        <w:rPr>
          <w:rFonts w:ascii="Arial" w:hAnsi="Arial" w:cs="Arial"/>
          <w:sz w:val="22"/>
        </w:rPr>
        <w:lastRenderedPageBreak/>
        <w:t xml:space="preserve">Bogotá D.C., </w:t>
      </w:r>
      <w:r w:rsidR="000D0FC4" w:rsidRPr="000D0FC4">
        <w:rPr>
          <w:rFonts w:ascii="Arial" w:hAnsi="Arial" w:cs="Arial"/>
          <w:bCs/>
          <w:sz w:val="22"/>
        </w:rPr>
        <w:t>21 de julio de 2022</w:t>
      </w:r>
    </w:p>
    <w:p w14:paraId="66F430BE" w14:textId="77777777" w:rsidR="008C0222" w:rsidRDefault="008C0222" w:rsidP="008C0222">
      <w:pPr>
        <w:rPr>
          <w:rFonts w:ascii="Arial" w:hAnsi="Arial" w:cs="Arial"/>
          <w:b/>
          <w:sz w:val="22"/>
        </w:rPr>
      </w:pPr>
    </w:p>
    <w:p w14:paraId="40FEE57B" w14:textId="32B09E29" w:rsidR="008C0222" w:rsidRPr="00B86532" w:rsidRDefault="008C0222" w:rsidP="008C0222">
      <w:pPr>
        <w:jc w:val="right"/>
        <w:rPr>
          <w:rFonts w:ascii="Arial" w:hAnsi="Arial" w:cs="Arial"/>
          <w:b/>
          <w:sz w:val="22"/>
        </w:rPr>
      </w:pPr>
      <w:r>
        <w:rPr>
          <w:rFonts w:ascii="Arial" w:hAnsi="Arial" w:cs="Arial"/>
          <w:b/>
          <w:sz w:val="22"/>
        </w:rPr>
        <w:t xml:space="preserve">                                                                              </w:t>
      </w:r>
      <w:r w:rsidR="003D4BB9" w:rsidRPr="003D4BB9">
        <w:rPr>
          <w:rFonts w:ascii="Arial" w:hAnsi="Arial" w:cs="Arial"/>
          <w:b/>
          <w:sz w:val="22"/>
        </w:rPr>
        <w:drawing>
          <wp:inline distT="0" distB="0" distL="0" distR="0" wp14:anchorId="3CB048A3" wp14:editId="15F4B4FC">
            <wp:extent cx="2554250" cy="675188"/>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572478" cy="680006"/>
                    </a:xfrm>
                    <a:prstGeom prst="rect">
                      <a:avLst/>
                    </a:prstGeom>
                  </pic:spPr>
                </pic:pic>
              </a:graphicData>
            </a:graphic>
          </wp:inline>
        </w:drawing>
      </w:r>
    </w:p>
    <w:p w14:paraId="0DB66E36" w14:textId="77777777" w:rsidR="008C0222" w:rsidRDefault="008C0222" w:rsidP="008C0222">
      <w:pPr>
        <w:rPr>
          <w:rFonts w:ascii="Arial" w:hAnsi="Arial" w:cs="Arial"/>
          <w:b/>
          <w:sz w:val="22"/>
        </w:rPr>
      </w:pPr>
      <w:r>
        <w:rPr>
          <w:rFonts w:ascii="Arial" w:hAnsi="Arial" w:cs="Arial"/>
          <w:b/>
          <w:sz w:val="22"/>
        </w:rPr>
        <w:t xml:space="preserve">                    </w:t>
      </w:r>
    </w:p>
    <w:p w14:paraId="5F5AE9EF" w14:textId="6CD1F624" w:rsidR="00B95C30" w:rsidRPr="008C0222" w:rsidRDefault="00BE4FBF" w:rsidP="00B95C30">
      <w:pPr>
        <w:jc w:val="both"/>
        <w:rPr>
          <w:rFonts w:ascii="Arial" w:eastAsia="Calibri" w:hAnsi="Arial" w:cs="Arial"/>
          <w:sz w:val="22"/>
          <w:lang w:val="es-ES_tradnl"/>
        </w:rPr>
      </w:pPr>
      <w:r w:rsidRPr="008C0222">
        <w:rPr>
          <w:rFonts w:ascii="Arial" w:eastAsia="Calibri" w:hAnsi="Arial" w:cs="Arial"/>
          <w:sz w:val="22"/>
          <w:lang w:val="es-ES_tradnl"/>
        </w:rPr>
        <w:t>Señor</w:t>
      </w:r>
      <w:r w:rsidR="00467854" w:rsidRPr="008C0222">
        <w:rPr>
          <w:rFonts w:ascii="Arial" w:eastAsia="Calibri" w:hAnsi="Arial" w:cs="Arial"/>
          <w:sz w:val="22"/>
          <w:lang w:val="es-ES_tradnl"/>
        </w:rPr>
        <w:t xml:space="preserve">a </w:t>
      </w:r>
    </w:p>
    <w:p w14:paraId="6C09CCDD" w14:textId="609701C9" w:rsidR="00000877" w:rsidRPr="005E6485" w:rsidRDefault="008C0222" w:rsidP="00B95C30">
      <w:pPr>
        <w:jc w:val="both"/>
        <w:rPr>
          <w:rFonts w:ascii="Arial" w:eastAsia="Calibri" w:hAnsi="Arial" w:cs="Arial"/>
          <w:b/>
          <w:sz w:val="22"/>
          <w:highlight w:val="yellow"/>
          <w:lang w:val="es-ES_tradnl"/>
        </w:rPr>
      </w:pPr>
      <w:r w:rsidRPr="008C0222">
        <w:rPr>
          <w:rFonts w:ascii="Arial" w:eastAsia="Calibri" w:hAnsi="Arial" w:cs="Arial"/>
          <w:b/>
          <w:sz w:val="22"/>
          <w:lang w:val="es-ES_tradnl"/>
        </w:rPr>
        <w:t>Andrea Carolina Molina Naranjo</w:t>
      </w:r>
    </w:p>
    <w:p w14:paraId="66408963" w14:textId="3D46045B" w:rsidR="008C0222" w:rsidRPr="00070BFD" w:rsidRDefault="00070BFD" w:rsidP="008C0222">
      <w:pPr>
        <w:jc w:val="both"/>
        <w:rPr>
          <w:rFonts w:ascii="Arial" w:eastAsia="Calibri" w:hAnsi="Arial" w:cs="Arial"/>
          <w:sz w:val="22"/>
          <w:szCs w:val="22"/>
          <w:lang w:val="es-ES_tradnl"/>
        </w:rPr>
      </w:pPr>
      <w:r w:rsidRPr="00AB2A9E">
        <w:rPr>
          <w:rFonts w:ascii="Arial" w:hAnsi="Arial" w:cs="Arial"/>
          <w:sz w:val="22"/>
          <w:szCs w:val="22"/>
        </w:rPr>
        <w:t>Ciudad</w:t>
      </w:r>
    </w:p>
    <w:p w14:paraId="12E66182" w14:textId="730AF4B4" w:rsidR="00B95C30" w:rsidRPr="00D43CE8" w:rsidRDefault="00363BAB" w:rsidP="00DE61EE">
      <w:pPr>
        <w:spacing w:line="276" w:lineRule="auto"/>
        <w:jc w:val="center"/>
        <w:rPr>
          <w:rFonts w:ascii="Arial" w:eastAsia="Calibri" w:hAnsi="Arial" w:cs="Arial"/>
          <w:b/>
          <w:bCs/>
          <w:sz w:val="22"/>
          <w:lang w:val="es-ES_tradnl"/>
        </w:rPr>
      </w:pPr>
      <w:r w:rsidRPr="00DE61EE">
        <w:rPr>
          <w:rFonts w:ascii="Arial" w:eastAsia="Calibri" w:hAnsi="Arial" w:cs="Arial"/>
          <w:b/>
          <w:color w:val="000000" w:themeColor="text1"/>
          <w:sz w:val="22"/>
          <w:lang w:val="es-ES_tradnl"/>
        </w:rPr>
        <w:t>C</w:t>
      </w:r>
      <w:r w:rsidR="00B95C30" w:rsidRPr="00DE61EE">
        <w:rPr>
          <w:rFonts w:ascii="Arial" w:eastAsia="Calibri" w:hAnsi="Arial" w:cs="Arial"/>
          <w:b/>
          <w:color w:val="000000" w:themeColor="text1"/>
          <w:sz w:val="22"/>
          <w:lang w:val="es-ES_tradnl"/>
        </w:rPr>
        <w:t xml:space="preserve">oncepto C ‒ </w:t>
      </w:r>
      <w:r w:rsidR="008C0222" w:rsidRPr="00DE61EE">
        <w:rPr>
          <w:rFonts w:ascii="Arial" w:eastAsia="Calibri" w:hAnsi="Arial" w:cs="Arial"/>
          <w:b/>
          <w:color w:val="000000" w:themeColor="text1"/>
          <w:sz w:val="22"/>
          <w:lang w:val="es-ES_tradnl"/>
        </w:rPr>
        <w:t>468</w:t>
      </w:r>
      <w:r w:rsidR="00B95C30" w:rsidRPr="00DE61EE">
        <w:rPr>
          <w:rFonts w:ascii="Arial" w:eastAsia="Calibri" w:hAnsi="Arial" w:cs="Arial"/>
          <w:b/>
          <w:color w:val="000000" w:themeColor="text1"/>
          <w:sz w:val="22"/>
          <w:lang w:val="es-ES_tradnl"/>
        </w:rPr>
        <w:t xml:space="preserve"> de 202</w:t>
      </w:r>
      <w:r w:rsidR="00FE32DF" w:rsidRPr="00DE61EE">
        <w:rPr>
          <w:rFonts w:ascii="Arial" w:eastAsia="Calibri" w:hAnsi="Arial" w:cs="Arial"/>
          <w:b/>
          <w:color w:val="000000" w:themeColor="text1"/>
          <w:sz w:val="22"/>
          <w:lang w:val="es-ES_tradnl"/>
        </w:rPr>
        <w:t>2</w:t>
      </w:r>
    </w:p>
    <w:p w14:paraId="1BD594F9" w14:textId="77777777" w:rsidR="00B95C30" w:rsidRPr="00D43CE8"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609B9" w:rsidRPr="00D43CE8" w14:paraId="19DFC051" w14:textId="77777777" w:rsidTr="003F6998">
        <w:trPr>
          <w:trHeight w:val="1099"/>
        </w:trPr>
        <w:tc>
          <w:tcPr>
            <w:tcW w:w="2689" w:type="dxa"/>
          </w:tcPr>
          <w:p w14:paraId="6BC0D1AC" w14:textId="77777777" w:rsidR="00B95C30" w:rsidRPr="00D43CE8" w:rsidRDefault="00B95C30" w:rsidP="008F4163">
            <w:pPr>
              <w:jc w:val="both"/>
              <w:rPr>
                <w:rFonts w:ascii="Arial" w:eastAsia="Calibri" w:hAnsi="Arial" w:cs="Arial"/>
                <w:sz w:val="22"/>
                <w:lang w:val="es-ES_tradnl"/>
              </w:rPr>
            </w:pPr>
            <w:r w:rsidRPr="00D43CE8">
              <w:rPr>
                <w:rFonts w:ascii="Arial" w:eastAsia="Calibri" w:hAnsi="Arial" w:cs="Arial"/>
                <w:b/>
                <w:sz w:val="22"/>
                <w:lang w:val="es-ES_tradnl"/>
              </w:rPr>
              <w:t>Temas:</w:t>
            </w:r>
            <w:r w:rsidRPr="00D43CE8">
              <w:rPr>
                <w:rFonts w:ascii="Arial" w:eastAsia="Calibri" w:hAnsi="Arial" w:cs="Arial"/>
                <w:sz w:val="22"/>
                <w:lang w:val="es-ES_tradnl"/>
              </w:rPr>
              <w:t xml:space="preserve">                                      </w:t>
            </w:r>
          </w:p>
        </w:tc>
        <w:tc>
          <w:tcPr>
            <w:tcW w:w="6237" w:type="dxa"/>
          </w:tcPr>
          <w:p w14:paraId="5F389CAF" w14:textId="3D8E227E" w:rsidR="00B95C30" w:rsidRPr="00D43CE8" w:rsidRDefault="008B63FE" w:rsidP="008C0222">
            <w:pPr>
              <w:jc w:val="both"/>
              <w:rPr>
                <w:rFonts w:ascii="Arial" w:hAnsi="Arial" w:cs="Arial"/>
                <w:b/>
                <w:bCs/>
                <w:noProof/>
                <w:sz w:val="20"/>
                <w:szCs w:val="22"/>
                <w:lang w:val="es-ES_tradnl"/>
              </w:rPr>
            </w:pPr>
            <w:r w:rsidRPr="00DB3785">
              <w:rPr>
                <w:rFonts w:ascii="Arial" w:eastAsia="Calibri" w:hAnsi="Arial" w:cs="Arial"/>
                <w:bCs/>
                <w:sz w:val="22"/>
                <w:lang w:val="es-ES_tradnl"/>
              </w:rPr>
              <w:t xml:space="preserve">FACTORES DE DESEMPATE – Características – Límites / </w:t>
            </w:r>
            <w:r w:rsidR="009F69B6" w:rsidRPr="00DB3785">
              <w:rPr>
                <w:rFonts w:ascii="Arial" w:eastAsia="Calibri" w:hAnsi="Arial" w:cs="Arial"/>
                <w:bCs/>
                <w:sz w:val="22"/>
                <w:lang w:val="es-ES_tradnl"/>
              </w:rPr>
              <w:t xml:space="preserve">LEY </w:t>
            </w:r>
            <w:r w:rsidR="003F6998" w:rsidRPr="00DB3785">
              <w:rPr>
                <w:rFonts w:ascii="Arial" w:eastAsia="Calibri" w:hAnsi="Arial" w:cs="Arial"/>
                <w:bCs/>
                <w:sz w:val="22"/>
                <w:lang w:val="es-ES_tradnl"/>
              </w:rPr>
              <w:t xml:space="preserve">DE EMPRENDIMIENTO – Ley 2069 de 2020 – Reglamentación – Decreto 1860 de 2021 – Vigencia / </w:t>
            </w:r>
            <w:bookmarkStart w:id="4" w:name="_Hlk102642616"/>
            <w:r w:rsidR="003F6998" w:rsidRPr="00DB3785">
              <w:rPr>
                <w:rFonts w:ascii="Arial" w:eastAsia="Calibri" w:hAnsi="Arial" w:cs="Arial"/>
                <w:bCs/>
                <w:sz w:val="22"/>
                <w:lang w:val="es-ES_tradnl"/>
              </w:rPr>
              <w:t>FACTORES DE DESEMPATE – Ley 2069 de 2020 –</w:t>
            </w:r>
            <w:r w:rsidR="008C0222" w:rsidRPr="00DB3785">
              <w:rPr>
                <w:rFonts w:ascii="Arial" w:eastAsia="Calibri" w:hAnsi="Arial" w:cs="Arial"/>
                <w:bCs/>
                <w:sz w:val="22"/>
                <w:lang w:val="es-ES_tradnl"/>
              </w:rPr>
              <w:t xml:space="preserve"> </w:t>
            </w:r>
            <w:r w:rsidR="003E75D7" w:rsidRPr="00DB3785">
              <w:rPr>
                <w:rFonts w:ascii="Arial" w:eastAsia="Calibri" w:hAnsi="Arial" w:cs="Arial"/>
                <w:bCs/>
                <w:sz w:val="22"/>
                <w:lang w:val="es-ES_tradnl"/>
              </w:rPr>
              <w:t xml:space="preserve">Numeral 4 – </w:t>
            </w:r>
            <w:r w:rsidR="003F6998" w:rsidRPr="00DB3785">
              <w:rPr>
                <w:rFonts w:ascii="Arial" w:eastAsia="Calibri" w:hAnsi="Arial" w:cs="Arial"/>
                <w:bCs/>
                <w:sz w:val="22"/>
                <w:lang w:val="es-ES_tradnl"/>
              </w:rPr>
              <w:t>Decreto 1680 de 2021</w:t>
            </w:r>
            <w:r w:rsidR="00CD6916" w:rsidRPr="00DB3785">
              <w:rPr>
                <w:rFonts w:ascii="Arial" w:eastAsia="Calibri" w:hAnsi="Arial" w:cs="Arial"/>
                <w:bCs/>
                <w:sz w:val="22"/>
                <w:lang w:val="es-ES_tradnl"/>
              </w:rPr>
              <w:t>– Mayor proporción</w:t>
            </w:r>
            <w:r w:rsidR="00CD6916">
              <w:rPr>
                <w:rFonts w:ascii="Arial" w:eastAsia="Calibri" w:hAnsi="Arial" w:cs="Arial"/>
                <w:bCs/>
                <w:sz w:val="22"/>
                <w:lang w:val="es-ES_tradnl"/>
              </w:rPr>
              <w:t xml:space="preserve"> </w:t>
            </w:r>
            <w:bookmarkEnd w:id="4"/>
          </w:p>
        </w:tc>
      </w:tr>
      <w:tr w:rsidR="00B95C30" w:rsidRPr="00D43CE8" w14:paraId="27CD52AB" w14:textId="77777777" w:rsidTr="008F4163">
        <w:tc>
          <w:tcPr>
            <w:tcW w:w="2689" w:type="dxa"/>
          </w:tcPr>
          <w:p w14:paraId="37E195A1" w14:textId="1BA218D5" w:rsidR="00B95C30" w:rsidRPr="00D43CE8" w:rsidRDefault="00B95C30" w:rsidP="008F4163">
            <w:pPr>
              <w:spacing w:before="120"/>
              <w:jc w:val="both"/>
              <w:rPr>
                <w:rFonts w:ascii="Arial" w:eastAsia="Calibri" w:hAnsi="Arial" w:cs="Arial"/>
                <w:b/>
                <w:sz w:val="22"/>
                <w:lang w:val="es-ES_tradnl"/>
              </w:rPr>
            </w:pPr>
            <w:r w:rsidRPr="00D43CE8">
              <w:rPr>
                <w:rFonts w:ascii="Arial" w:eastAsia="Calibri" w:hAnsi="Arial" w:cs="Arial"/>
                <w:b/>
                <w:sz w:val="22"/>
                <w:lang w:val="es-ES_tradnl"/>
              </w:rPr>
              <w:t>Radicación:</w:t>
            </w:r>
            <w:r w:rsidRPr="00D43CE8">
              <w:rPr>
                <w:rFonts w:ascii="Arial" w:eastAsia="Calibri" w:hAnsi="Arial" w:cs="Arial"/>
                <w:sz w:val="22"/>
                <w:lang w:val="es-ES_tradnl"/>
              </w:rPr>
              <w:t xml:space="preserve">                              </w:t>
            </w:r>
          </w:p>
        </w:tc>
        <w:tc>
          <w:tcPr>
            <w:tcW w:w="6237" w:type="dxa"/>
          </w:tcPr>
          <w:p w14:paraId="09088B1B" w14:textId="7714F52B" w:rsidR="00B95C30" w:rsidRPr="00D43CE8" w:rsidRDefault="00B95C30" w:rsidP="008F4163">
            <w:pPr>
              <w:spacing w:before="120"/>
              <w:jc w:val="both"/>
              <w:rPr>
                <w:rFonts w:ascii="Arial" w:eastAsia="Calibri" w:hAnsi="Arial" w:cs="Arial"/>
                <w:sz w:val="22"/>
                <w:lang w:val="es-ES_tradnl"/>
              </w:rPr>
            </w:pPr>
            <w:r w:rsidRPr="00D43CE8">
              <w:rPr>
                <w:rFonts w:ascii="Arial" w:eastAsia="Calibri" w:hAnsi="Arial" w:cs="Arial"/>
                <w:sz w:val="22"/>
                <w:lang w:val="es-ES_tradnl"/>
              </w:rPr>
              <w:t>Respuesta a</w:t>
            </w:r>
            <w:r w:rsidR="00FE32DF">
              <w:rPr>
                <w:rFonts w:ascii="Arial" w:eastAsia="Calibri" w:hAnsi="Arial" w:cs="Arial"/>
                <w:sz w:val="22"/>
                <w:lang w:val="es-ES_tradnl"/>
              </w:rPr>
              <w:t xml:space="preserve"> la</w:t>
            </w:r>
            <w:r w:rsidRPr="00D43CE8">
              <w:rPr>
                <w:rFonts w:ascii="Arial" w:eastAsia="Calibri" w:hAnsi="Arial" w:cs="Arial"/>
                <w:sz w:val="22"/>
                <w:lang w:val="es-ES_tradnl"/>
              </w:rPr>
              <w:t xml:space="preserve"> consulta</w:t>
            </w:r>
            <w:r w:rsidR="00FE32DF">
              <w:rPr>
                <w:rFonts w:ascii="Arial" w:eastAsia="Calibri" w:hAnsi="Arial" w:cs="Arial"/>
                <w:sz w:val="22"/>
                <w:lang w:val="es-ES_tradnl"/>
              </w:rPr>
              <w:t xml:space="preserve"> No.</w:t>
            </w:r>
            <w:r w:rsidRPr="00D43CE8">
              <w:rPr>
                <w:rFonts w:ascii="Arial" w:eastAsia="Calibri" w:hAnsi="Arial" w:cs="Arial"/>
                <w:sz w:val="22"/>
                <w:lang w:val="es-ES_tradnl"/>
              </w:rPr>
              <w:t xml:space="preserve"> </w:t>
            </w:r>
            <w:r w:rsidR="008C0222" w:rsidRPr="008C0222">
              <w:rPr>
                <w:rFonts w:ascii="Arial" w:eastAsia="Calibri" w:hAnsi="Arial" w:cs="Arial"/>
                <w:sz w:val="22"/>
                <w:lang w:val="es-ES_tradnl"/>
              </w:rPr>
              <w:t>P20220606005586</w:t>
            </w:r>
          </w:p>
        </w:tc>
      </w:tr>
    </w:tbl>
    <w:p w14:paraId="61B55CA4" w14:textId="77777777" w:rsidR="00716BB0" w:rsidRPr="00D43CE8" w:rsidRDefault="00716BB0" w:rsidP="003C3339">
      <w:pPr>
        <w:jc w:val="both"/>
        <w:rPr>
          <w:rFonts w:ascii="Arial" w:eastAsia="Calibri" w:hAnsi="Arial" w:cs="Arial"/>
          <w:sz w:val="22"/>
          <w:lang w:val="es-ES_tradnl"/>
        </w:rPr>
      </w:pPr>
    </w:p>
    <w:p w14:paraId="4B9B5156" w14:textId="77777777" w:rsidR="00716BB0" w:rsidRPr="00D43CE8" w:rsidRDefault="00716BB0" w:rsidP="003C3339">
      <w:pPr>
        <w:jc w:val="both"/>
        <w:rPr>
          <w:rFonts w:ascii="Arial" w:eastAsia="Calibri" w:hAnsi="Arial" w:cs="Arial"/>
          <w:sz w:val="22"/>
          <w:lang w:val="es-ES_tradnl"/>
        </w:rPr>
      </w:pPr>
    </w:p>
    <w:p w14:paraId="1CF4AEA0" w14:textId="3F5A5B99" w:rsidR="003C3339" w:rsidRPr="00D43CE8" w:rsidRDefault="004A6264" w:rsidP="00A864BA">
      <w:pPr>
        <w:jc w:val="both"/>
        <w:rPr>
          <w:rFonts w:ascii="Arial" w:eastAsia="Calibri" w:hAnsi="Arial" w:cs="Arial"/>
          <w:sz w:val="22"/>
          <w:lang w:val="es-ES_tradnl"/>
        </w:rPr>
      </w:pPr>
      <w:r w:rsidRPr="00D43CE8">
        <w:rPr>
          <w:rFonts w:ascii="Arial" w:eastAsia="Calibri" w:hAnsi="Arial" w:cs="Arial"/>
          <w:sz w:val="22"/>
          <w:lang w:val="es-ES_tradnl"/>
        </w:rPr>
        <w:t xml:space="preserve">Estimada </w:t>
      </w:r>
      <w:r w:rsidRPr="008C0222">
        <w:rPr>
          <w:rFonts w:ascii="Arial" w:eastAsia="Calibri" w:hAnsi="Arial" w:cs="Arial"/>
          <w:sz w:val="22"/>
          <w:lang w:val="es-ES_tradnl"/>
        </w:rPr>
        <w:t xml:space="preserve">señora </w:t>
      </w:r>
      <w:r w:rsidR="008C0222" w:rsidRPr="008C0222">
        <w:rPr>
          <w:rFonts w:ascii="Arial" w:eastAsia="Calibri" w:hAnsi="Arial" w:cs="Arial"/>
          <w:sz w:val="22"/>
          <w:lang w:val="es-ES_tradnl"/>
        </w:rPr>
        <w:t>Molina Naranjo</w:t>
      </w:r>
      <w:r w:rsidRPr="008C0222">
        <w:rPr>
          <w:rFonts w:ascii="Arial" w:eastAsia="Calibri" w:hAnsi="Arial" w:cs="Arial"/>
          <w:sz w:val="22"/>
          <w:lang w:val="es-ES_tradnl"/>
        </w:rPr>
        <w:t>:</w:t>
      </w:r>
      <w:r w:rsidRPr="00D43CE8">
        <w:rPr>
          <w:rFonts w:ascii="Arial" w:eastAsia="Calibri" w:hAnsi="Arial" w:cs="Arial"/>
          <w:sz w:val="22"/>
          <w:lang w:val="es-ES_tradnl"/>
        </w:rPr>
        <w:t xml:space="preserve"> </w:t>
      </w:r>
    </w:p>
    <w:p w14:paraId="1EAE5543" w14:textId="77777777" w:rsidR="00DD5B04" w:rsidRPr="00D43CE8" w:rsidRDefault="00DD5B04" w:rsidP="00A864BA">
      <w:pPr>
        <w:jc w:val="both"/>
        <w:rPr>
          <w:rFonts w:ascii="Arial" w:eastAsia="Calibri" w:hAnsi="Arial" w:cs="Arial"/>
          <w:sz w:val="22"/>
          <w:lang w:val="es-ES_tradnl"/>
        </w:rPr>
      </w:pPr>
    </w:p>
    <w:p w14:paraId="2109B2D3" w14:textId="523AEA96" w:rsidR="00DD5B04" w:rsidRPr="00D43CE8" w:rsidRDefault="00DD5B04" w:rsidP="00A864BA">
      <w:pPr>
        <w:spacing w:line="276" w:lineRule="auto"/>
        <w:jc w:val="both"/>
        <w:rPr>
          <w:rFonts w:ascii="Arial" w:eastAsia="Calibri" w:hAnsi="Arial" w:cs="Arial"/>
          <w:sz w:val="22"/>
          <w:lang w:val="es-ES_tradnl"/>
        </w:rPr>
      </w:pPr>
      <w:r w:rsidRPr="00D43CE8">
        <w:rPr>
          <w:rFonts w:ascii="Arial" w:eastAsia="Calibri" w:hAnsi="Arial" w:cs="Arial"/>
          <w:sz w:val="22"/>
          <w:lang w:val="es-ES_tradnl"/>
        </w:rPr>
        <w:t xml:space="preserve">En ejercicio de la competencia otorgada por el numeral 8 del artículo 11 y el numeral 5 del artículo 3 del Decreto Ley 4170 de 2011, la </w:t>
      </w:r>
      <w:r w:rsidRPr="008C0222">
        <w:rPr>
          <w:rFonts w:ascii="Arial" w:eastAsia="Calibri" w:hAnsi="Arial" w:cs="Arial"/>
          <w:sz w:val="22"/>
          <w:lang w:val="es-ES_tradnl"/>
        </w:rPr>
        <w:t xml:space="preserve">Agencia Nacional de Contratación Pública </w:t>
      </w:r>
      <w:r w:rsidR="00340488" w:rsidRPr="008C0222">
        <w:rPr>
          <w:rFonts w:ascii="Arial" w:eastAsia="Calibri" w:hAnsi="Arial" w:cs="Arial"/>
          <w:sz w:val="22"/>
          <w:lang w:val="es-ES_tradnl"/>
        </w:rPr>
        <w:t>–</w:t>
      </w:r>
      <w:r w:rsidRPr="008C0222">
        <w:rPr>
          <w:rFonts w:ascii="Arial" w:eastAsia="Calibri" w:hAnsi="Arial" w:cs="Arial"/>
          <w:sz w:val="22"/>
          <w:lang w:val="es-ES_tradnl"/>
        </w:rPr>
        <w:t xml:space="preserve"> Colombia Compra Eficiente</w:t>
      </w:r>
      <w:r w:rsidR="008C3C57" w:rsidRPr="008C0222">
        <w:rPr>
          <w:rFonts w:ascii="Arial" w:eastAsia="Calibri" w:hAnsi="Arial" w:cs="Arial"/>
          <w:sz w:val="22"/>
          <w:lang w:val="es-ES_tradnl"/>
        </w:rPr>
        <w:t xml:space="preserve"> </w:t>
      </w:r>
      <w:r w:rsidRPr="008C0222">
        <w:rPr>
          <w:rFonts w:ascii="Arial" w:eastAsia="Calibri" w:hAnsi="Arial" w:cs="Arial"/>
          <w:sz w:val="22"/>
          <w:lang w:val="es-ES_tradnl"/>
        </w:rPr>
        <w:t xml:space="preserve">responde su consulta del </w:t>
      </w:r>
      <w:r w:rsidR="00D372A9" w:rsidRPr="008C0222">
        <w:rPr>
          <w:rFonts w:ascii="Arial" w:eastAsia="Calibri" w:hAnsi="Arial" w:cs="Arial"/>
          <w:sz w:val="22"/>
          <w:lang w:val="es-ES_tradnl"/>
        </w:rPr>
        <w:t>6</w:t>
      </w:r>
      <w:r w:rsidR="00467854" w:rsidRPr="008C0222">
        <w:rPr>
          <w:rFonts w:ascii="Arial" w:eastAsia="Calibri" w:hAnsi="Arial" w:cs="Arial"/>
          <w:sz w:val="22"/>
          <w:lang w:val="es-ES_tradnl"/>
        </w:rPr>
        <w:t xml:space="preserve"> de </w:t>
      </w:r>
      <w:r w:rsidR="008C0222" w:rsidRPr="008C0222">
        <w:rPr>
          <w:rFonts w:ascii="Arial" w:eastAsia="Calibri" w:hAnsi="Arial" w:cs="Arial"/>
          <w:sz w:val="22"/>
          <w:lang w:val="es-ES_tradnl"/>
        </w:rPr>
        <w:t>junio</w:t>
      </w:r>
      <w:r w:rsidR="00467854" w:rsidRPr="008C0222">
        <w:rPr>
          <w:rFonts w:ascii="Arial" w:eastAsia="Calibri" w:hAnsi="Arial" w:cs="Arial"/>
          <w:sz w:val="22"/>
          <w:lang w:val="es-ES_tradnl"/>
        </w:rPr>
        <w:t xml:space="preserve"> de 202</w:t>
      </w:r>
      <w:r w:rsidR="00D372A9" w:rsidRPr="008C0222">
        <w:rPr>
          <w:rFonts w:ascii="Arial" w:eastAsia="Calibri" w:hAnsi="Arial" w:cs="Arial"/>
          <w:sz w:val="22"/>
          <w:lang w:val="es-ES_tradnl"/>
        </w:rPr>
        <w:t>2</w:t>
      </w:r>
      <w:r w:rsidR="008C3C57" w:rsidRPr="008C0222">
        <w:rPr>
          <w:rFonts w:ascii="Arial" w:eastAsia="Calibri" w:hAnsi="Arial" w:cs="Arial"/>
          <w:sz w:val="22"/>
          <w:lang w:val="es-ES_tradnl"/>
        </w:rPr>
        <w:t>.</w:t>
      </w:r>
    </w:p>
    <w:p w14:paraId="0C1E0712" w14:textId="77777777" w:rsidR="00DD5B04" w:rsidRPr="00D43CE8" w:rsidRDefault="00DD5B04" w:rsidP="00A864BA">
      <w:pPr>
        <w:spacing w:line="276" w:lineRule="auto"/>
        <w:jc w:val="both"/>
        <w:rPr>
          <w:rFonts w:ascii="Arial" w:eastAsia="Calibri" w:hAnsi="Arial" w:cs="Arial"/>
          <w:b/>
          <w:sz w:val="22"/>
          <w:lang w:val="es-ES_tradnl"/>
        </w:rPr>
      </w:pPr>
    </w:p>
    <w:p w14:paraId="7701FCC7" w14:textId="77777777" w:rsidR="00DD5B04" w:rsidRPr="00D43CE8" w:rsidRDefault="00DD5B04" w:rsidP="00A864BA">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D43CE8">
        <w:rPr>
          <w:rFonts w:ascii="Arial" w:eastAsia="Calibri" w:hAnsi="Arial" w:cs="Arial"/>
          <w:b/>
          <w:sz w:val="22"/>
          <w:lang w:val="es-ES_tradnl"/>
        </w:rPr>
        <w:t xml:space="preserve">Problema planteado </w:t>
      </w:r>
    </w:p>
    <w:p w14:paraId="224B43D3" w14:textId="77777777" w:rsidR="00DD5B04" w:rsidRPr="00D43CE8" w:rsidRDefault="00DD5B04" w:rsidP="00A864BA">
      <w:pPr>
        <w:tabs>
          <w:tab w:val="left" w:pos="426"/>
        </w:tabs>
        <w:spacing w:line="276" w:lineRule="auto"/>
        <w:jc w:val="both"/>
        <w:rPr>
          <w:rFonts w:ascii="Arial" w:eastAsia="Calibri" w:hAnsi="Arial" w:cs="Arial"/>
          <w:b/>
          <w:sz w:val="22"/>
          <w:lang w:val="es-ES_tradnl"/>
        </w:rPr>
      </w:pPr>
    </w:p>
    <w:p w14:paraId="3C575DE9" w14:textId="01BE2374" w:rsidR="00443B55" w:rsidRDefault="007E4E8A" w:rsidP="00A864BA">
      <w:pPr>
        <w:spacing w:line="276" w:lineRule="auto"/>
        <w:jc w:val="both"/>
        <w:rPr>
          <w:rFonts w:ascii="Arial" w:hAnsi="Arial" w:cs="Arial"/>
          <w:sz w:val="22"/>
          <w:lang w:val="es-ES_tradnl"/>
        </w:rPr>
      </w:pPr>
      <w:r w:rsidRPr="008C0222">
        <w:rPr>
          <w:rFonts w:ascii="Arial" w:hAnsi="Arial" w:cs="Arial"/>
          <w:sz w:val="22"/>
          <w:lang w:val="es-ES_tradnl"/>
        </w:rPr>
        <w:t>En relación con el factor de desempate del numeral 4 del artículo</w:t>
      </w:r>
      <w:r w:rsidR="008C0222" w:rsidRPr="008C0222">
        <w:rPr>
          <w:rFonts w:ascii="Arial" w:hAnsi="Arial" w:cs="Arial"/>
          <w:sz w:val="22"/>
          <w:lang w:val="es-ES_tradnl"/>
        </w:rPr>
        <w:t xml:space="preserve"> 2.2.1.2.4.2.17 del Decreto 1082 de 2015, u</w:t>
      </w:r>
      <w:r w:rsidR="00DD5B04" w:rsidRPr="008C0222">
        <w:rPr>
          <w:rFonts w:ascii="Arial" w:hAnsi="Arial" w:cs="Arial"/>
          <w:sz w:val="22"/>
          <w:lang w:val="es-ES_tradnl"/>
        </w:rPr>
        <w:t xml:space="preserve">sted </w:t>
      </w:r>
      <w:r w:rsidR="00B422C0" w:rsidRPr="008C0222">
        <w:rPr>
          <w:rFonts w:ascii="Arial" w:hAnsi="Arial" w:cs="Arial"/>
          <w:sz w:val="22"/>
          <w:lang w:val="es-ES_tradnl"/>
        </w:rPr>
        <w:t>formula</w:t>
      </w:r>
      <w:r w:rsidR="006D46A3" w:rsidRPr="008C0222">
        <w:rPr>
          <w:rFonts w:ascii="Arial" w:hAnsi="Arial" w:cs="Arial"/>
          <w:sz w:val="22"/>
          <w:lang w:val="es-ES_tradnl"/>
        </w:rPr>
        <w:t xml:space="preserve"> la</w:t>
      </w:r>
      <w:r w:rsidR="008C0222" w:rsidRPr="008C0222">
        <w:rPr>
          <w:rFonts w:ascii="Arial" w:hAnsi="Arial" w:cs="Arial"/>
          <w:sz w:val="22"/>
          <w:lang w:val="es-ES_tradnl"/>
        </w:rPr>
        <w:t xml:space="preserve"> siguiente consulta:</w:t>
      </w:r>
    </w:p>
    <w:p w14:paraId="2DF99145" w14:textId="42540832" w:rsidR="00FB6058" w:rsidRDefault="00FB6058" w:rsidP="00A864BA">
      <w:pPr>
        <w:spacing w:line="276" w:lineRule="auto"/>
        <w:jc w:val="both"/>
        <w:rPr>
          <w:rFonts w:ascii="Arial" w:hAnsi="Arial" w:cs="Arial"/>
          <w:sz w:val="22"/>
          <w:lang w:val="es-ES_tradnl"/>
        </w:rPr>
      </w:pPr>
    </w:p>
    <w:p w14:paraId="7A59924F" w14:textId="20723F93" w:rsidR="00FB6058" w:rsidRDefault="008C0222" w:rsidP="00A864BA">
      <w:pPr>
        <w:ind w:left="709" w:right="709"/>
        <w:jc w:val="both"/>
        <w:rPr>
          <w:rFonts w:ascii="Arial" w:eastAsia="Calibri" w:hAnsi="Arial" w:cs="Arial"/>
          <w:sz w:val="21"/>
          <w:szCs w:val="21"/>
          <w:lang w:val="es-ES_tradnl"/>
        </w:rPr>
      </w:pPr>
      <w:r>
        <w:rPr>
          <w:rFonts w:ascii="Arial" w:eastAsia="Calibri" w:hAnsi="Arial" w:cs="Arial"/>
          <w:sz w:val="21"/>
          <w:szCs w:val="21"/>
          <w:lang w:val="es-ES_tradnl"/>
        </w:rPr>
        <w:t>«</w:t>
      </w:r>
      <w:r w:rsidR="00FB6058" w:rsidRPr="00FB6058">
        <w:rPr>
          <w:rFonts w:ascii="Arial" w:eastAsia="Calibri" w:hAnsi="Arial" w:cs="Arial"/>
          <w:sz w:val="21"/>
          <w:szCs w:val="21"/>
          <w:lang w:val="es-ES_tradnl"/>
        </w:rPr>
        <w:t>Teniendo en cuenta el numeral 4 del artículo 2.2.1. 2.4.2.17. Factores de desempate y acreditación del Decreto 1860 del 24 de diciembre de 2021, el cual reglamenta la Ley 2069 de 2020; el cual dispone lo siguiente:</w:t>
      </w:r>
    </w:p>
    <w:p w14:paraId="57EB98C6" w14:textId="77777777" w:rsidR="00A864BA" w:rsidRDefault="00A864BA" w:rsidP="00A864BA">
      <w:pPr>
        <w:ind w:left="709" w:right="709"/>
        <w:jc w:val="both"/>
        <w:rPr>
          <w:rFonts w:ascii="Arial" w:eastAsia="Calibri" w:hAnsi="Arial" w:cs="Arial"/>
          <w:sz w:val="21"/>
          <w:szCs w:val="21"/>
          <w:lang w:val="es-ES_tradnl"/>
        </w:rPr>
      </w:pPr>
    </w:p>
    <w:p w14:paraId="4CF88E64" w14:textId="1247649D" w:rsidR="00FB6058" w:rsidRDefault="00FB6058" w:rsidP="00A864BA">
      <w:pPr>
        <w:ind w:left="709" w:right="709"/>
        <w:jc w:val="both"/>
        <w:rPr>
          <w:rFonts w:ascii="Arial" w:eastAsia="Calibri" w:hAnsi="Arial" w:cs="Arial"/>
          <w:sz w:val="21"/>
          <w:szCs w:val="21"/>
          <w:lang w:val="es-ES_tradnl"/>
        </w:rPr>
      </w:pPr>
      <w:r w:rsidRPr="00FB6058">
        <w:rPr>
          <w:rFonts w:ascii="Arial" w:eastAsia="Calibri" w:hAnsi="Arial" w:cs="Arial"/>
          <w:sz w:val="21"/>
          <w:szCs w:val="21"/>
          <w:lang w:val="es-ES_tradnl"/>
        </w:rPr>
        <w:t xml:space="preserve"> “4. Preferir la propuesta presentada por el oferente que acredite la vinculación en mayor proporción de personas mayores que no sean beneficiarias de la pensión de vejez, familiar o de sobrevivencia y que hayan cumplido el requisito de edad de pensión establecido en la ley, para ello, la persona natural, el representante legal de la persona jurídica o el revisor fiscal, según corresponda, entregará un certificado, en el que se acredite, bajo la gravedad de juramento, las personas vinculadas en su nómina y el número de trabajadores que no son beneficiarios de la pensión de vejez, familiar o de sobrevivencia y que cumplieron el requisito de edad de pensión. Solo se tendrá en cuenta la vinculación de </w:t>
      </w:r>
      <w:r w:rsidRPr="00FB6058">
        <w:rPr>
          <w:rFonts w:ascii="Arial" w:eastAsia="Calibri" w:hAnsi="Arial" w:cs="Arial"/>
          <w:sz w:val="21"/>
          <w:szCs w:val="21"/>
          <w:lang w:val="es-ES_tradnl"/>
        </w:rPr>
        <w:lastRenderedPageBreak/>
        <w:t>aquellas personas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 El tiempo de vinculación en la planta referida, de que trata el inciso anterior, se acreditará con el certificado de aportes a seguridad social del último año o del tiempo de constitución de la persona jurídica, cuando su conformación es inferior a un (1) año, en el que se demuestren los pagos realizados por el empleador. En el caso de los proponentes plurales, su representante legal acreditará el número de trabajadores vinculados que son personas mayores no beneficiarias de la pensión de vejez, familiar o de sobrevivencia, y que cumplieron el requisito de edad de pensión establecido en la ley, de todos los integrantes del proponente. Las personas enunciadas anteriormente podrán estar vinculadas a cualquiera de sus integrantes. 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sobrevivencia, y cumple la edad de pensión; además, se deberá allegar el documento de identificación del trabajador que lo firma.</w:t>
      </w:r>
    </w:p>
    <w:p w14:paraId="72ED47EF" w14:textId="77777777" w:rsidR="00A864BA" w:rsidRDefault="00A864BA" w:rsidP="00A864BA">
      <w:pPr>
        <w:ind w:left="709" w:right="709"/>
        <w:jc w:val="both"/>
        <w:rPr>
          <w:rFonts w:ascii="Arial" w:eastAsia="Calibri" w:hAnsi="Arial" w:cs="Arial"/>
          <w:sz w:val="21"/>
          <w:szCs w:val="21"/>
          <w:lang w:val="es-ES_tradnl"/>
        </w:rPr>
      </w:pPr>
    </w:p>
    <w:p w14:paraId="5E5C8A5E" w14:textId="2C69D3C0" w:rsidR="00FB6058" w:rsidRDefault="00FB6058" w:rsidP="00A864BA">
      <w:pPr>
        <w:ind w:left="709" w:right="709"/>
        <w:jc w:val="both"/>
        <w:rPr>
          <w:rFonts w:ascii="Arial" w:eastAsia="Calibri" w:hAnsi="Arial" w:cs="Arial"/>
          <w:sz w:val="21"/>
          <w:szCs w:val="21"/>
          <w:lang w:val="es-ES_tradnl"/>
        </w:rPr>
      </w:pPr>
      <w:r w:rsidRPr="00FB6058">
        <w:rPr>
          <w:rFonts w:ascii="Arial" w:eastAsia="Calibri" w:hAnsi="Arial" w:cs="Arial"/>
          <w:sz w:val="21"/>
          <w:szCs w:val="21"/>
          <w:lang w:val="es-ES_tradnl"/>
        </w:rPr>
        <w:t xml:space="preserve">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 </w:t>
      </w:r>
    </w:p>
    <w:p w14:paraId="1DDAE677" w14:textId="77777777" w:rsidR="00A864BA" w:rsidRDefault="00A864BA" w:rsidP="00A864BA">
      <w:pPr>
        <w:ind w:left="709" w:right="709"/>
        <w:jc w:val="both"/>
        <w:rPr>
          <w:rFonts w:ascii="Arial" w:eastAsia="Calibri" w:hAnsi="Arial" w:cs="Arial"/>
          <w:sz w:val="21"/>
          <w:szCs w:val="21"/>
          <w:lang w:val="es-ES_tradnl"/>
        </w:rPr>
      </w:pPr>
    </w:p>
    <w:p w14:paraId="69DFA6DD" w14:textId="13ED9E34" w:rsidR="00FB6058" w:rsidRDefault="00FB6058" w:rsidP="00A864BA">
      <w:pPr>
        <w:ind w:left="709" w:right="709"/>
        <w:jc w:val="both"/>
        <w:rPr>
          <w:rFonts w:ascii="Arial" w:eastAsia="Calibri" w:hAnsi="Arial" w:cs="Arial"/>
          <w:sz w:val="21"/>
          <w:szCs w:val="21"/>
          <w:lang w:val="es-ES_tradnl"/>
        </w:rPr>
      </w:pPr>
      <w:r w:rsidRPr="00FB6058">
        <w:rPr>
          <w:rFonts w:ascii="Arial" w:eastAsia="Calibri" w:hAnsi="Arial" w:cs="Arial"/>
          <w:sz w:val="21"/>
          <w:szCs w:val="21"/>
          <w:lang w:val="es-ES_tradnl"/>
        </w:rPr>
        <w:t xml:space="preserve">En este sentido, surge el interrogante sobre la forma en que es medida la proporción de personas mayores para otorgar el correspondiente puntaje, si se define teniendo en cuenta el porcentaje que acredite el oferente o si se determina según la cantidad de trabajadores mayores vinculados. Resulta necesario aclarar el tema en cuestión toda vez que, en el caso del Ministerio de Educación Nacional Unidad Administrativa Especial de Alimentación Escolar, la mayor proporción es calculada teniendo en cuenta la cantidad de personas mayores vinculadas por el oferente, y, por otro lado, la Secretaría de Educación al respecto, define la proporción de cada oferente tomando en cuenta el porcentaje de personas mayores vinculadas. </w:t>
      </w:r>
    </w:p>
    <w:p w14:paraId="2920D59E" w14:textId="77777777" w:rsidR="00A864BA" w:rsidRDefault="00A864BA" w:rsidP="00A864BA">
      <w:pPr>
        <w:ind w:left="709" w:right="709"/>
        <w:jc w:val="both"/>
        <w:rPr>
          <w:rFonts w:ascii="Arial" w:eastAsia="Calibri" w:hAnsi="Arial" w:cs="Arial"/>
          <w:sz w:val="21"/>
          <w:szCs w:val="21"/>
          <w:lang w:val="es-ES_tradnl"/>
        </w:rPr>
      </w:pPr>
    </w:p>
    <w:p w14:paraId="2CCB4746" w14:textId="71C83832" w:rsidR="00FB6058" w:rsidRPr="00FB6058" w:rsidRDefault="00FB6058" w:rsidP="00A864BA">
      <w:pPr>
        <w:ind w:left="709" w:right="709"/>
        <w:jc w:val="both"/>
        <w:rPr>
          <w:rFonts w:ascii="Arial" w:eastAsia="Calibri" w:hAnsi="Arial" w:cs="Arial"/>
          <w:sz w:val="21"/>
          <w:szCs w:val="21"/>
          <w:lang w:val="es-ES_tradnl"/>
        </w:rPr>
      </w:pPr>
      <w:r w:rsidRPr="00FB6058">
        <w:rPr>
          <w:rFonts w:ascii="Arial" w:eastAsia="Calibri" w:hAnsi="Arial" w:cs="Arial"/>
          <w:sz w:val="21"/>
          <w:szCs w:val="21"/>
          <w:lang w:val="es-ES_tradnl"/>
        </w:rPr>
        <w:t>Para concluir, ¿qué proceder es el correcto? ¿qué medida de proporción es la adecuada para determinar el oferente que acredite la vinculación en mayor proporción de personas mayores?</w:t>
      </w:r>
      <w:r w:rsidR="008C0222">
        <w:rPr>
          <w:rFonts w:ascii="Arial" w:eastAsia="Calibri" w:hAnsi="Arial" w:cs="Arial"/>
          <w:sz w:val="21"/>
          <w:szCs w:val="21"/>
          <w:lang w:val="es-ES_tradnl"/>
        </w:rPr>
        <w:t>»</w:t>
      </w:r>
    </w:p>
    <w:p w14:paraId="4ED7D06E" w14:textId="77777777" w:rsidR="002E01A8" w:rsidRPr="00D43CE8" w:rsidRDefault="002E01A8" w:rsidP="00A864BA">
      <w:pPr>
        <w:autoSpaceDE w:val="0"/>
        <w:autoSpaceDN w:val="0"/>
        <w:adjustRightInd w:val="0"/>
        <w:ind w:left="709" w:right="709"/>
        <w:jc w:val="both"/>
        <w:rPr>
          <w:rFonts w:ascii="Arial" w:hAnsi="Arial" w:cs="Arial"/>
          <w:sz w:val="22"/>
          <w:lang w:val="es-ES_tradnl"/>
        </w:rPr>
      </w:pPr>
    </w:p>
    <w:p w14:paraId="124D2DCA" w14:textId="77777777" w:rsidR="00DD5B04" w:rsidRPr="00D43CE8" w:rsidRDefault="00DD5B04" w:rsidP="00A864BA">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D43CE8">
        <w:rPr>
          <w:rFonts w:ascii="Arial" w:eastAsia="Calibri" w:hAnsi="Arial" w:cs="Arial"/>
          <w:b/>
          <w:sz w:val="22"/>
          <w:lang w:val="es-ES_tradnl"/>
        </w:rPr>
        <w:t>Consideraciones</w:t>
      </w:r>
    </w:p>
    <w:p w14:paraId="2334E952" w14:textId="77777777" w:rsidR="00AF778C" w:rsidRPr="00D43CE8" w:rsidRDefault="00AF778C" w:rsidP="00A864BA">
      <w:pPr>
        <w:spacing w:line="276" w:lineRule="auto"/>
        <w:jc w:val="both"/>
        <w:rPr>
          <w:rFonts w:ascii="Arial" w:eastAsia="Calibri" w:hAnsi="Arial" w:cs="Arial"/>
          <w:sz w:val="22"/>
          <w:szCs w:val="22"/>
          <w:lang w:val="es-ES_tradnl"/>
        </w:rPr>
      </w:pPr>
    </w:p>
    <w:p w14:paraId="0C17C72A" w14:textId="07AD49B5" w:rsidR="00AC559D" w:rsidRPr="006D54A1" w:rsidRDefault="00AC559D" w:rsidP="00A864BA">
      <w:pPr>
        <w:spacing w:after="120" w:line="276" w:lineRule="auto"/>
        <w:jc w:val="both"/>
        <w:rPr>
          <w:rFonts w:ascii="Arial" w:hAnsi="Arial" w:cs="Arial"/>
          <w:bCs/>
          <w:sz w:val="22"/>
          <w:lang w:val="es-ES_tradnl"/>
        </w:rPr>
      </w:pPr>
      <w:r w:rsidRPr="006D54A1">
        <w:rPr>
          <w:rFonts w:ascii="Arial" w:eastAsia="Calibri" w:hAnsi="Arial" w:cs="Arial"/>
          <w:color w:val="000000" w:themeColor="text1"/>
          <w:sz w:val="22"/>
          <w:lang w:val="es-ES_tradnl"/>
        </w:rPr>
        <w:t xml:space="preserve">Como cuestión preliminar, </w:t>
      </w:r>
      <w:r w:rsidRPr="006D54A1">
        <w:rPr>
          <w:rFonts w:ascii="Arial" w:hAnsi="Arial" w:cs="Arial"/>
          <w:bCs/>
          <w:sz w:val="22"/>
          <w:lang w:val="es-ES_tradnl"/>
        </w:rPr>
        <w:t xml:space="preserve">es </w:t>
      </w:r>
      <w:r w:rsidR="00A94877">
        <w:rPr>
          <w:rFonts w:ascii="Arial" w:hAnsi="Arial" w:cs="Arial"/>
          <w:bCs/>
          <w:sz w:val="22"/>
          <w:lang w:val="es-ES_tradnl"/>
        </w:rPr>
        <w:t>pertinente</w:t>
      </w:r>
      <w:r w:rsidRPr="006D54A1">
        <w:rPr>
          <w:rFonts w:ascii="Arial" w:hAnsi="Arial" w:cs="Arial"/>
          <w:bCs/>
          <w:sz w:val="22"/>
          <w:lang w:val="es-ES_tradnl"/>
        </w:rPr>
        <w:t xml:space="preserve"> señalar que, en ejercicio de las competencias establecidas en los artículos 3.5 y 11.8 del Decreto Ley 4170 de 2011, la Agencia Nacional de Contratación Pública – Colombia Compra Eficiente resuelve las consultas sobre los </w:t>
      </w:r>
      <w:r w:rsidRPr="006D54A1">
        <w:rPr>
          <w:rFonts w:ascii="Arial" w:hAnsi="Arial" w:cs="Arial"/>
          <w:bCs/>
          <w:sz w:val="22"/>
          <w:lang w:val="es-ES_tradnl"/>
        </w:rPr>
        <w:lastRenderedPageBreak/>
        <w:t>asuntos de su competencia, esto es, sobre las temáticas de la contratación estatal y compras públicas relacionadas en los artículos citados.</w:t>
      </w:r>
    </w:p>
    <w:p w14:paraId="07404CBC" w14:textId="77777777" w:rsidR="00AC559D" w:rsidRPr="006D54A1" w:rsidRDefault="00AC559D" w:rsidP="00A864BA">
      <w:pPr>
        <w:spacing w:after="120" w:line="276" w:lineRule="auto"/>
        <w:ind w:firstLine="708"/>
        <w:jc w:val="both"/>
        <w:rPr>
          <w:rFonts w:ascii="Arial" w:hAnsi="Arial" w:cs="Arial"/>
          <w:sz w:val="22"/>
          <w:lang w:val="es-ES_tradnl"/>
        </w:rPr>
      </w:pPr>
      <w:bookmarkStart w:id="5" w:name="_Hlk61701014"/>
      <w:bookmarkStart w:id="6" w:name="_Hlk62136649"/>
      <w:r w:rsidRPr="006D54A1">
        <w:rPr>
          <w:rFonts w:ascii="Arial" w:hAnsi="Arial" w:cs="Arial"/>
          <w:sz w:val="22"/>
          <w:lang w:val="es-ES_tradnl"/>
        </w:rPr>
        <w:t xml:space="preserve">Es necesario tener en cuenta que </w:t>
      </w:r>
      <w:bookmarkStart w:id="7" w:name="_Hlk61026958"/>
      <w:r w:rsidRPr="006D54A1">
        <w:rPr>
          <w:rFonts w:ascii="Arial" w:hAnsi="Arial" w:cs="Arial"/>
          <w:sz w:val="22"/>
          <w:lang w:val="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6D54A1">
        <w:rPr>
          <w:rFonts w:ascii="Arial" w:hAnsi="Arial" w:cs="Arial"/>
          <w:bCs/>
          <w:sz w:val="22"/>
          <w:lang w:val="es-ES_tradnl"/>
        </w:rPr>
        <w:t xml:space="preserve"> de todos los partícipes de la contratación estatal.</w:t>
      </w:r>
    </w:p>
    <w:p w14:paraId="07FA45E9" w14:textId="08EFDFE8" w:rsidR="00AE6BA3" w:rsidRDefault="00AC559D" w:rsidP="00A864BA">
      <w:pPr>
        <w:spacing w:after="120" w:line="276" w:lineRule="auto"/>
        <w:ind w:firstLine="708"/>
        <w:jc w:val="both"/>
        <w:rPr>
          <w:rFonts w:ascii="Arial" w:hAnsi="Arial" w:cs="Arial"/>
          <w:sz w:val="22"/>
          <w:lang w:val="es-ES_tradnl"/>
        </w:rPr>
      </w:pPr>
      <w:r w:rsidRPr="006D54A1">
        <w:rPr>
          <w:rFonts w:ascii="Arial" w:hAnsi="Arial" w:cs="Arial"/>
          <w:sz w:val="22"/>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54A1">
        <w:rPr>
          <w:rFonts w:ascii="Arial" w:hAnsi="Arial" w:cs="Arial"/>
          <w:sz w:val="22"/>
          <w:vertAlign w:val="superscript"/>
          <w:lang w:val="es-ES_tradnl"/>
        </w:rPr>
        <w:footnoteReference w:id="2"/>
      </w:r>
      <w:r w:rsidRPr="006D54A1">
        <w:rPr>
          <w:rFonts w:ascii="Arial" w:hAnsi="Arial" w:cs="Arial"/>
          <w:sz w:val="22"/>
          <w:lang w:val="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7"/>
      <w:r w:rsidRPr="006D54A1">
        <w:rPr>
          <w:rFonts w:ascii="Arial" w:hAnsi="Arial" w:cs="Arial"/>
          <w:sz w:val="22"/>
          <w:lang w:val="es-ES_tradnl"/>
        </w:rPr>
        <w:t xml:space="preserve">. Por lo anterior, previo concepto de sus órganos asesores, la solución de este tipo de problemas corresponde a la entidad que adelanta el procedimiento de selección y, en caso de conflicto, a las autoridades judiciales, fiscales y disciplinarias. </w:t>
      </w:r>
      <w:bookmarkEnd w:id="5"/>
      <w:bookmarkEnd w:id="6"/>
    </w:p>
    <w:p w14:paraId="756D7D4D" w14:textId="2D6D573C" w:rsidR="006139A9" w:rsidRPr="006139A9" w:rsidRDefault="008712FB" w:rsidP="00A864BA">
      <w:pPr>
        <w:spacing w:after="120" w:line="276" w:lineRule="auto"/>
        <w:ind w:firstLine="708"/>
        <w:jc w:val="both"/>
        <w:rPr>
          <w:rFonts w:ascii="Arial" w:eastAsia="Calibri" w:hAnsi="Arial" w:cs="Arial"/>
          <w:sz w:val="22"/>
          <w:szCs w:val="22"/>
          <w:lang w:val="es-ES_tradnl"/>
        </w:rPr>
      </w:pPr>
      <w:r>
        <w:rPr>
          <w:rFonts w:ascii="Arial" w:eastAsia="Calibri" w:hAnsi="Arial" w:cs="Arial"/>
          <w:sz w:val="22"/>
          <w:szCs w:val="22"/>
          <w:lang w:val="es-ES_tradnl"/>
        </w:rPr>
        <w:t xml:space="preserve">Sin perjuicio de lo anterior, la Agencia </w:t>
      </w:r>
      <w:r w:rsidR="00AC51BD">
        <w:rPr>
          <w:rFonts w:ascii="Arial" w:eastAsia="Calibri" w:hAnsi="Arial" w:cs="Arial"/>
          <w:sz w:val="22"/>
          <w:szCs w:val="22"/>
          <w:lang w:val="es-ES_tradnl"/>
        </w:rPr>
        <w:t>–</w:t>
      </w:r>
      <w:r>
        <w:rPr>
          <w:rFonts w:ascii="Arial" w:eastAsia="Calibri" w:hAnsi="Arial" w:cs="Arial"/>
          <w:sz w:val="22"/>
          <w:szCs w:val="22"/>
          <w:lang w:val="es-ES_tradnl"/>
        </w:rPr>
        <w:t>dentro</w:t>
      </w:r>
      <w:r w:rsidR="00AC51BD">
        <w:rPr>
          <w:rFonts w:ascii="Arial" w:eastAsia="Calibri" w:hAnsi="Arial" w:cs="Arial"/>
          <w:sz w:val="22"/>
          <w:szCs w:val="22"/>
          <w:lang w:val="es-ES_tradnl"/>
        </w:rPr>
        <w:t xml:space="preserve"> </w:t>
      </w:r>
      <w:r>
        <w:rPr>
          <w:rFonts w:ascii="Arial" w:eastAsia="Calibri" w:hAnsi="Arial" w:cs="Arial"/>
          <w:sz w:val="22"/>
          <w:szCs w:val="22"/>
          <w:lang w:val="es-ES_tradnl"/>
        </w:rPr>
        <w:t xml:space="preserve">de los límites de sus atribuciones, es decir, </w:t>
      </w:r>
      <w:r w:rsidR="00E41385">
        <w:rPr>
          <w:rFonts w:ascii="Arial" w:eastAsia="Calibri" w:hAnsi="Arial" w:cs="Arial"/>
          <w:sz w:val="22"/>
          <w:szCs w:val="22"/>
          <w:lang w:val="es-ES_tradnl"/>
        </w:rPr>
        <w:t>haciendo abstracción del caso particular expuesto en la petición</w:t>
      </w:r>
      <w:r w:rsidR="00AC51BD">
        <w:rPr>
          <w:rFonts w:ascii="Arial" w:eastAsia="Calibri" w:hAnsi="Arial" w:cs="Arial"/>
          <w:sz w:val="22"/>
          <w:szCs w:val="22"/>
          <w:lang w:val="es-ES_tradnl"/>
        </w:rPr>
        <w:t>–</w:t>
      </w:r>
      <w:r w:rsidR="00E41385">
        <w:rPr>
          <w:rFonts w:ascii="Arial" w:eastAsia="Calibri" w:hAnsi="Arial" w:cs="Arial"/>
          <w:sz w:val="22"/>
          <w:szCs w:val="22"/>
          <w:lang w:val="es-ES_tradnl"/>
        </w:rPr>
        <w:t>,</w:t>
      </w:r>
      <w:r w:rsidR="00AC51BD">
        <w:rPr>
          <w:rFonts w:ascii="Arial" w:eastAsia="Calibri" w:hAnsi="Arial" w:cs="Arial"/>
          <w:sz w:val="22"/>
          <w:szCs w:val="22"/>
          <w:lang w:val="es-ES_tradnl"/>
        </w:rPr>
        <w:t xml:space="preserve"> </w:t>
      </w:r>
      <w:r w:rsidR="00E41385">
        <w:rPr>
          <w:rFonts w:ascii="Arial" w:eastAsia="Calibri" w:hAnsi="Arial" w:cs="Arial"/>
          <w:sz w:val="22"/>
          <w:szCs w:val="22"/>
          <w:lang w:val="es-ES_tradnl"/>
        </w:rPr>
        <w:t xml:space="preserve">resolverá </w:t>
      </w:r>
      <w:r w:rsidR="001E549C">
        <w:rPr>
          <w:rFonts w:ascii="Arial" w:eastAsia="Calibri" w:hAnsi="Arial" w:cs="Arial"/>
          <w:sz w:val="22"/>
          <w:szCs w:val="22"/>
          <w:lang w:val="es-ES_tradnl"/>
        </w:rPr>
        <w:t xml:space="preserve">la consulta conforme a las normas generales del sistema de compras públicas. </w:t>
      </w:r>
      <w:r w:rsidR="006139A9" w:rsidRPr="00AA0BEA">
        <w:rPr>
          <w:rFonts w:ascii="Arial" w:eastAsia="Calibri" w:hAnsi="Arial" w:cs="Arial"/>
          <w:sz w:val="22"/>
          <w:szCs w:val="22"/>
          <w:lang w:val="es-ES_tradnl"/>
        </w:rPr>
        <w:t xml:space="preserve">Para estos efectos, </w:t>
      </w:r>
      <w:r w:rsidR="001E549C">
        <w:rPr>
          <w:rFonts w:ascii="Arial" w:eastAsia="Calibri" w:hAnsi="Arial" w:cs="Arial"/>
          <w:sz w:val="22"/>
          <w:szCs w:val="22"/>
          <w:lang w:val="es-ES_tradnl"/>
        </w:rPr>
        <w:t>se</w:t>
      </w:r>
      <w:r w:rsidR="006139A9" w:rsidRPr="00AA0BEA">
        <w:rPr>
          <w:rFonts w:ascii="Arial" w:eastAsia="Calibri" w:hAnsi="Arial" w:cs="Arial"/>
          <w:sz w:val="22"/>
          <w:szCs w:val="22"/>
          <w:lang w:val="es-ES_tradnl"/>
        </w:rPr>
        <w:t xml:space="preserve"> analizará</w:t>
      </w:r>
      <w:r w:rsidR="001C3FC3">
        <w:rPr>
          <w:rFonts w:ascii="Arial" w:eastAsia="Calibri" w:hAnsi="Arial" w:cs="Arial"/>
          <w:sz w:val="22"/>
          <w:szCs w:val="22"/>
          <w:lang w:val="es-ES_tradnl"/>
        </w:rPr>
        <w:t>n</w:t>
      </w:r>
      <w:r w:rsidR="006139A9" w:rsidRPr="00AA0BEA">
        <w:rPr>
          <w:rFonts w:ascii="Arial" w:eastAsia="Calibri" w:hAnsi="Arial" w:cs="Arial"/>
          <w:sz w:val="22"/>
          <w:szCs w:val="22"/>
          <w:lang w:val="es-ES_tradnl"/>
        </w:rPr>
        <w:t xml:space="preserve"> los siguientes temas: i) </w:t>
      </w:r>
      <w:r w:rsidR="00AC51BD">
        <w:rPr>
          <w:rFonts w:ascii="Arial" w:eastAsia="Calibri" w:hAnsi="Arial" w:cs="Arial"/>
          <w:sz w:val="22"/>
          <w:szCs w:val="22"/>
          <w:lang w:val="es-ES_tradnl"/>
        </w:rPr>
        <w:t>factores</w:t>
      </w:r>
      <w:r w:rsidR="006139A9" w:rsidRPr="00AA0BEA">
        <w:rPr>
          <w:rFonts w:ascii="Arial" w:eastAsia="Calibri" w:hAnsi="Arial" w:cs="Arial"/>
          <w:sz w:val="22"/>
          <w:szCs w:val="22"/>
          <w:lang w:val="es-ES_tradnl"/>
        </w:rPr>
        <w:t xml:space="preserve"> de desempate en la contratación </w:t>
      </w:r>
      <w:r w:rsidR="006139A9" w:rsidRPr="007E4E8A">
        <w:rPr>
          <w:rFonts w:ascii="Arial" w:eastAsia="Calibri" w:hAnsi="Arial" w:cs="Arial"/>
          <w:sz w:val="22"/>
          <w:szCs w:val="22"/>
          <w:lang w:val="es-ES_tradnl"/>
        </w:rPr>
        <w:t xml:space="preserve">estatal, </w:t>
      </w:r>
      <w:proofErr w:type="spellStart"/>
      <w:r w:rsidR="006139A9" w:rsidRPr="007E4E8A">
        <w:rPr>
          <w:rFonts w:ascii="Arial" w:eastAsia="Calibri" w:hAnsi="Arial" w:cs="Arial"/>
          <w:sz w:val="22"/>
          <w:szCs w:val="22"/>
          <w:lang w:val="es-ES_tradnl"/>
        </w:rPr>
        <w:t>ii</w:t>
      </w:r>
      <w:proofErr w:type="spellEnd"/>
      <w:r w:rsidR="006139A9" w:rsidRPr="007E4E8A">
        <w:rPr>
          <w:rFonts w:ascii="Arial" w:eastAsia="Calibri" w:hAnsi="Arial" w:cs="Arial"/>
          <w:sz w:val="22"/>
          <w:szCs w:val="22"/>
          <w:lang w:val="es-ES_tradnl"/>
        </w:rPr>
        <w:t>) ámbito de aplicación</w:t>
      </w:r>
      <w:r w:rsidR="00530302" w:rsidRPr="007E4E8A">
        <w:rPr>
          <w:rFonts w:ascii="Arial" w:eastAsia="Calibri" w:hAnsi="Arial" w:cs="Arial"/>
          <w:sz w:val="22"/>
          <w:szCs w:val="22"/>
          <w:lang w:val="es-ES_tradnl"/>
        </w:rPr>
        <w:t>, vigencia y reglamentación</w:t>
      </w:r>
      <w:r w:rsidR="006139A9" w:rsidRPr="007E4E8A">
        <w:rPr>
          <w:rFonts w:ascii="Arial" w:eastAsia="Calibri" w:hAnsi="Arial" w:cs="Arial"/>
          <w:sz w:val="22"/>
          <w:szCs w:val="22"/>
          <w:lang w:val="es-ES_tradnl"/>
        </w:rPr>
        <w:t xml:space="preserve"> de la Ley 2069 de 2020</w:t>
      </w:r>
      <w:r w:rsidR="00BB6209" w:rsidRPr="007E4E8A">
        <w:rPr>
          <w:rFonts w:ascii="Arial" w:eastAsia="Calibri" w:hAnsi="Arial" w:cs="Arial"/>
          <w:sz w:val="22"/>
          <w:szCs w:val="22"/>
          <w:lang w:val="es-ES_tradnl"/>
        </w:rPr>
        <w:t xml:space="preserve"> y</w:t>
      </w:r>
      <w:r w:rsidR="006139A9" w:rsidRPr="007E4E8A">
        <w:rPr>
          <w:rFonts w:ascii="Arial" w:eastAsia="Calibri" w:hAnsi="Arial" w:cs="Arial"/>
          <w:sz w:val="22"/>
          <w:szCs w:val="22"/>
          <w:lang w:val="es-ES_tradnl"/>
        </w:rPr>
        <w:t xml:space="preserve"> </w:t>
      </w:r>
      <w:proofErr w:type="spellStart"/>
      <w:r w:rsidR="006139A9" w:rsidRPr="007E4E8A">
        <w:rPr>
          <w:rFonts w:ascii="Arial" w:eastAsia="Calibri" w:hAnsi="Arial" w:cs="Arial"/>
          <w:sz w:val="22"/>
          <w:szCs w:val="22"/>
          <w:lang w:val="es-ES_tradnl"/>
        </w:rPr>
        <w:t>iii</w:t>
      </w:r>
      <w:proofErr w:type="spellEnd"/>
      <w:r w:rsidR="006139A9" w:rsidRPr="007E4E8A">
        <w:rPr>
          <w:rFonts w:ascii="Arial" w:eastAsia="Calibri" w:hAnsi="Arial" w:cs="Arial"/>
          <w:sz w:val="22"/>
          <w:szCs w:val="22"/>
          <w:lang w:val="es-ES_tradnl"/>
        </w:rPr>
        <w:t xml:space="preserve">) </w:t>
      </w:r>
      <w:r w:rsidR="007E4E8A" w:rsidRPr="007E4E8A">
        <w:rPr>
          <w:rFonts w:ascii="Arial" w:eastAsia="Calibri" w:hAnsi="Arial" w:cs="Arial"/>
          <w:sz w:val="22"/>
          <w:szCs w:val="22"/>
          <w:lang w:val="es-ES_tradnl"/>
        </w:rPr>
        <w:t>vinculación en mayor proporción de personas mayores no beneficiarias de la pensión de vejez, familiar o sobrevivencia como factor de desempate y su acreditación</w:t>
      </w:r>
      <w:r w:rsidR="007E4E8A">
        <w:rPr>
          <w:rFonts w:ascii="Arial" w:eastAsia="Calibri" w:hAnsi="Arial" w:cs="Arial"/>
          <w:sz w:val="22"/>
          <w:szCs w:val="22"/>
          <w:lang w:val="es-ES_tradnl"/>
        </w:rPr>
        <w:t>.</w:t>
      </w:r>
    </w:p>
    <w:p w14:paraId="1144E6B3" w14:textId="3E5F137E" w:rsidR="00C8331F" w:rsidRPr="00D43CE8" w:rsidRDefault="00AF778C" w:rsidP="00A864BA">
      <w:pPr>
        <w:spacing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L</w:t>
      </w:r>
      <w:r w:rsidR="00C8331F" w:rsidRPr="00D43CE8">
        <w:rPr>
          <w:rFonts w:ascii="Arial" w:eastAsia="Calibri" w:hAnsi="Arial" w:cs="Arial"/>
          <w:sz w:val="22"/>
          <w:szCs w:val="22"/>
          <w:lang w:val="es-ES_tradnl"/>
        </w:rPr>
        <w:t>a Agencia Nacional de Contratación Pública</w:t>
      </w:r>
      <w:r w:rsidR="00EC1DAE" w:rsidRPr="00D43CE8">
        <w:rPr>
          <w:rFonts w:ascii="Arial" w:eastAsia="Calibri" w:hAnsi="Arial" w:cs="Arial"/>
          <w:sz w:val="22"/>
          <w:szCs w:val="22"/>
          <w:lang w:val="es-ES_tradnl"/>
        </w:rPr>
        <w:t xml:space="preserve"> – Colombia Compra Eficiente se pronunció, en términos generales, sobre los factores de desempate en los procedimientos de contratación estatal</w:t>
      </w:r>
      <w:r w:rsidR="00442D13" w:rsidRPr="00D43CE8">
        <w:rPr>
          <w:rFonts w:ascii="Arial" w:eastAsia="Calibri" w:hAnsi="Arial" w:cs="Arial"/>
          <w:sz w:val="22"/>
          <w:szCs w:val="22"/>
          <w:lang w:val="es-ES_tradnl"/>
        </w:rPr>
        <w:t>,</w:t>
      </w:r>
      <w:r w:rsidR="0091310F" w:rsidRPr="00D43CE8">
        <w:rPr>
          <w:rFonts w:ascii="Arial" w:eastAsia="Calibri" w:hAnsi="Arial" w:cs="Arial"/>
          <w:sz w:val="22"/>
          <w:szCs w:val="22"/>
          <w:lang w:val="es-ES_tradnl"/>
        </w:rPr>
        <w:t xml:space="preserve"> en los conceptos </w:t>
      </w:r>
      <w:r w:rsidR="001E2473" w:rsidRPr="00D43CE8">
        <w:rPr>
          <w:rStyle w:val="normaltextrun"/>
          <w:rFonts w:ascii="Arial" w:hAnsi="Arial" w:cs="Arial"/>
          <w:sz w:val="22"/>
          <w:szCs w:val="22"/>
          <w:shd w:val="clear" w:color="auto" w:fill="FFFFFF"/>
        </w:rPr>
        <w:t xml:space="preserve">conceptos </w:t>
      </w:r>
      <w:r w:rsidR="00C200C2" w:rsidRPr="00D43CE8">
        <w:rPr>
          <w:rStyle w:val="normaltextrun"/>
          <w:rFonts w:ascii="Arial" w:hAnsi="Arial" w:cs="Arial"/>
          <w:sz w:val="22"/>
          <w:szCs w:val="22"/>
          <w:shd w:val="clear" w:color="auto" w:fill="FFFFFF"/>
        </w:rPr>
        <w:t xml:space="preserve">C-285 del 4 de mayo de 2020, C-481 del 27 de julio de 2020, C-514 y C-535 del 26 de agosto de 2020 y C-556 del 31 de agosto </w:t>
      </w:r>
      <w:r w:rsidR="00C200C2" w:rsidRPr="00D43CE8">
        <w:rPr>
          <w:rStyle w:val="normaltextrun"/>
          <w:rFonts w:ascii="Arial" w:hAnsi="Arial" w:cs="Arial"/>
          <w:sz w:val="22"/>
          <w:szCs w:val="22"/>
          <w:shd w:val="clear" w:color="auto" w:fill="FFFFFF"/>
        </w:rPr>
        <w:lastRenderedPageBreak/>
        <w:t>de 2020.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 C-320 del 1 de julio de 2021, C-338 del 12 de julio de 2021, C-444 del 23 de julio de, 2021, C-437 del 24 de agosto de 2021,  C-518 del 20 de septiembre de 2021,   C-438 del 28 de septiembre de 2021, C-576 del 13 de octubre de 2021, C-582 del 14 de octubre de 2021, C-586 del 14 de octubre de 2021, C-617 del 6 diciembre de 2021,  C-584 del 13 de diciembre de 2021</w:t>
      </w:r>
      <w:r w:rsidR="001D69C6" w:rsidRPr="00D43CE8">
        <w:rPr>
          <w:rStyle w:val="normaltextrun"/>
          <w:rFonts w:ascii="Arial" w:hAnsi="Arial" w:cs="Arial"/>
          <w:sz w:val="22"/>
          <w:szCs w:val="22"/>
          <w:shd w:val="clear" w:color="auto" w:fill="FFFFFF"/>
        </w:rPr>
        <w:t xml:space="preserve">, </w:t>
      </w:r>
      <w:r w:rsidR="0074348F" w:rsidRPr="00D43CE8">
        <w:rPr>
          <w:rStyle w:val="normaltextrun"/>
          <w:rFonts w:ascii="Arial" w:hAnsi="Arial" w:cs="Arial"/>
          <w:sz w:val="22"/>
          <w:szCs w:val="22"/>
          <w:shd w:val="clear" w:color="auto" w:fill="FFFFFF"/>
        </w:rPr>
        <w:t>C-689 del 5 de enero de 2022</w:t>
      </w:r>
      <w:r w:rsidR="001D69C6" w:rsidRPr="00D43CE8">
        <w:rPr>
          <w:rStyle w:val="normaltextrun"/>
          <w:rFonts w:ascii="Arial" w:hAnsi="Arial" w:cs="Arial"/>
          <w:sz w:val="22"/>
          <w:szCs w:val="22"/>
          <w:shd w:val="clear" w:color="auto" w:fill="FFFFFF"/>
        </w:rPr>
        <w:t>,</w:t>
      </w:r>
      <w:r w:rsidR="006D6C45">
        <w:rPr>
          <w:rStyle w:val="normaltextrun"/>
          <w:rFonts w:ascii="Arial" w:hAnsi="Arial" w:cs="Arial"/>
          <w:sz w:val="22"/>
          <w:szCs w:val="22"/>
          <w:shd w:val="clear" w:color="auto" w:fill="FFFFFF"/>
        </w:rPr>
        <w:t xml:space="preserve"> C-741 del 1 de febrero de 2022 y</w:t>
      </w:r>
      <w:r w:rsidR="001D69C6" w:rsidRPr="00D43CE8">
        <w:rPr>
          <w:rStyle w:val="normaltextrun"/>
          <w:rFonts w:ascii="Arial" w:hAnsi="Arial" w:cs="Arial"/>
          <w:sz w:val="22"/>
          <w:szCs w:val="22"/>
          <w:shd w:val="clear" w:color="auto" w:fill="FFFFFF"/>
        </w:rPr>
        <w:t xml:space="preserve"> </w:t>
      </w:r>
      <w:r w:rsidR="004F5ED3">
        <w:rPr>
          <w:rStyle w:val="normaltextrun"/>
          <w:rFonts w:ascii="Arial" w:hAnsi="Arial" w:cs="Arial"/>
          <w:sz w:val="22"/>
          <w:szCs w:val="22"/>
          <w:shd w:val="clear" w:color="auto" w:fill="FFFFFF"/>
        </w:rPr>
        <w:t>C-750 del 4 de febrero de 2022 y C-322 del 20 de mayo de 2022</w:t>
      </w:r>
      <w:r w:rsidR="00F04FBD">
        <w:rPr>
          <w:rStyle w:val="Refdenotaalpie"/>
          <w:rFonts w:ascii="Arial" w:hAnsi="Arial" w:cs="Arial"/>
          <w:sz w:val="22"/>
          <w:szCs w:val="22"/>
          <w:shd w:val="clear" w:color="auto" w:fill="FFFFFF"/>
        </w:rPr>
        <w:footnoteReference w:id="3"/>
      </w:r>
      <w:r w:rsidR="004F5ED3">
        <w:rPr>
          <w:rStyle w:val="normaltextrun"/>
          <w:rFonts w:ascii="Arial" w:hAnsi="Arial" w:cs="Arial"/>
          <w:sz w:val="22"/>
          <w:szCs w:val="22"/>
          <w:shd w:val="clear" w:color="auto" w:fill="FFFFFF"/>
        </w:rPr>
        <w:t>,</w:t>
      </w:r>
      <w:r w:rsidR="002254A2">
        <w:rPr>
          <w:rStyle w:val="normaltextrun"/>
          <w:rFonts w:ascii="Arial" w:hAnsi="Arial" w:cs="Arial"/>
          <w:sz w:val="22"/>
          <w:szCs w:val="22"/>
          <w:shd w:val="clear" w:color="auto" w:fill="FFFFFF"/>
        </w:rPr>
        <w:t xml:space="preserve"> </w:t>
      </w:r>
      <w:r w:rsidR="001D69C6" w:rsidRPr="00D43CE8">
        <w:rPr>
          <w:rStyle w:val="normaltextrun"/>
          <w:rFonts w:ascii="Arial" w:hAnsi="Arial" w:cs="Arial"/>
          <w:sz w:val="22"/>
          <w:szCs w:val="22"/>
          <w:shd w:val="clear" w:color="auto" w:fill="FFFFFF"/>
        </w:rPr>
        <w:t>entre otros</w:t>
      </w:r>
      <w:r w:rsidR="006E37CD" w:rsidRPr="00D43CE8">
        <w:rPr>
          <w:rFonts w:ascii="Arial" w:eastAsia="Calibri" w:hAnsi="Arial" w:cs="Arial"/>
          <w:sz w:val="22"/>
          <w:szCs w:val="22"/>
          <w:lang w:val="es-ES_tradnl"/>
        </w:rPr>
        <w:t xml:space="preserve">. </w:t>
      </w:r>
      <w:r w:rsidR="004060DC" w:rsidRPr="00D43CE8">
        <w:rPr>
          <w:rFonts w:ascii="Arial" w:eastAsia="Calibri" w:hAnsi="Arial" w:cs="Arial"/>
          <w:sz w:val="22"/>
          <w:szCs w:val="22"/>
          <w:lang w:val="es-ES_tradnl"/>
        </w:rPr>
        <w:t xml:space="preserve">Algunas de las consideraciones </w:t>
      </w:r>
      <w:r w:rsidR="00A6144B" w:rsidRPr="00D43CE8">
        <w:rPr>
          <w:rFonts w:ascii="Arial" w:eastAsia="Calibri" w:hAnsi="Arial" w:cs="Arial"/>
          <w:sz w:val="22"/>
          <w:szCs w:val="22"/>
          <w:lang w:val="es-ES_tradnl"/>
        </w:rPr>
        <w:t>de estos</w:t>
      </w:r>
      <w:r w:rsidR="004060DC" w:rsidRPr="00D43CE8">
        <w:rPr>
          <w:rFonts w:ascii="Arial" w:eastAsia="Calibri" w:hAnsi="Arial" w:cs="Arial"/>
          <w:sz w:val="22"/>
          <w:szCs w:val="22"/>
          <w:lang w:val="es-ES_tradnl"/>
        </w:rPr>
        <w:t xml:space="preserve"> conceptos se </w:t>
      </w:r>
      <w:r w:rsidR="00F24BB1" w:rsidRPr="00D43CE8">
        <w:rPr>
          <w:rFonts w:ascii="Arial" w:eastAsia="Calibri" w:hAnsi="Arial" w:cs="Arial"/>
          <w:sz w:val="22"/>
          <w:szCs w:val="22"/>
          <w:lang w:val="es-ES_tradnl"/>
        </w:rPr>
        <w:t>reiteran</w:t>
      </w:r>
      <w:r w:rsidR="00054053" w:rsidRPr="00D43CE8">
        <w:rPr>
          <w:rFonts w:ascii="Arial" w:eastAsia="Calibri" w:hAnsi="Arial" w:cs="Arial"/>
          <w:sz w:val="22"/>
          <w:szCs w:val="22"/>
          <w:lang w:val="es-ES_tradnl"/>
        </w:rPr>
        <w:t xml:space="preserve"> </w:t>
      </w:r>
      <w:r w:rsidR="004060DC" w:rsidRPr="00D43CE8">
        <w:rPr>
          <w:rFonts w:ascii="Arial" w:eastAsia="Calibri" w:hAnsi="Arial" w:cs="Arial"/>
          <w:sz w:val="22"/>
          <w:szCs w:val="22"/>
          <w:lang w:val="es-ES_tradnl"/>
        </w:rPr>
        <w:t>a continuación</w:t>
      </w:r>
      <w:r w:rsidR="005C3B41">
        <w:rPr>
          <w:rFonts w:ascii="Arial" w:eastAsia="Calibri" w:hAnsi="Arial" w:cs="Arial"/>
          <w:sz w:val="22"/>
          <w:szCs w:val="22"/>
          <w:lang w:val="es-ES_tradnl"/>
        </w:rPr>
        <w:t xml:space="preserve"> </w:t>
      </w:r>
      <w:r w:rsidR="005C3B41" w:rsidRPr="00D43CE8">
        <w:rPr>
          <w:rFonts w:ascii="Arial" w:eastAsia="Calibri" w:hAnsi="Arial" w:cs="Arial"/>
          <w:sz w:val="22"/>
          <w:szCs w:val="22"/>
          <w:lang w:val="es-ES_tradnl"/>
        </w:rPr>
        <w:t>y</w:t>
      </w:r>
      <w:r w:rsidR="005C3B41">
        <w:rPr>
          <w:rFonts w:ascii="Arial" w:eastAsia="Calibri" w:hAnsi="Arial" w:cs="Arial"/>
          <w:sz w:val="22"/>
          <w:szCs w:val="22"/>
          <w:lang w:val="es-ES_tradnl"/>
        </w:rPr>
        <w:t xml:space="preserve"> se</w:t>
      </w:r>
      <w:r w:rsidR="005C3B41" w:rsidRPr="00D43CE8">
        <w:rPr>
          <w:rFonts w:ascii="Arial" w:eastAsia="Calibri" w:hAnsi="Arial" w:cs="Arial"/>
          <w:sz w:val="22"/>
          <w:szCs w:val="22"/>
          <w:lang w:val="es-ES_tradnl"/>
        </w:rPr>
        <w:t xml:space="preserve"> complementan</w:t>
      </w:r>
      <w:r w:rsidR="005C3B41">
        <w:rPr>
          <w:rFonts w:ascii="Arial" w:eastAsia="Calibri" w:hAnsi="Arial" w:cs="Arial"/>
          <w:sz w:val="22"/>
          <w:szCs w:val="22"/>
          <w:lang w:val="es-ES_tradnl"/>
        </w:rPr>
        <w:t xml:space="preserve"> en lo pertinente</w:t>
      </w:r>
      <w:r w:rsidR="004060DC" w:rsidRPr="00D43CE8">
        <w:rPr>
          <w:rFonts w:ascii="Arial" w:eastAsia="Calibri" w:hAnsi="Arial" w:cs="Arial"/>
          <w:sz w:val="22"/>
          <w:szCs w:val="22"/>
          <w:lang w:val="es-ES_tradnl"/>
        </w:rPr>
        <w:t>.</w:t>
      </w:r>
    </w:p>
    <w:p w14:paraId="331D0ECA" w14:textId="77777777" w:rsidR="003C4317" w:rsidRPr="00D43CE8" w:rsidRDefault="003C4317" w:rsidP="00A864BA">
      <w:pPr>
        <w:spacing w:line="276" w:lineRule="auto"/>
        <w:jc w:val="both"/>
        <w:rPr>
          <w:rFonts w:ascii="Arial" w:eastAsia="Calibri" w:hAnsi="Arial" w:cs="Arial"/>
          <w:sz w:val="22"/>
          <w:szCs w:val="22"/>
          <w:lang w:val="es-ES_tradnl"/>
        </w:rPr>
      </w:pPr>
    </w:p>
    <w:p w14:paraId="0F39B6EF" w14:textId="77777777" w:rsidR="005244FC" w:rsidRPr="00D43CE8" w:rsidRDefault="005244FC" w:rsidP="00A864BA">
      <w:pPr>
        <w:spacing w:line="276" w:lineRule="auto"/>
        <w:jc w:val="both"/>
        <w:rPr>
          <w:rFonts w:ascii="Arial" w:eastAsia="Calibri" w:hAnsi="Arial" w:cs="Arial"/>
          <w:b/>
          <w:bCs/>
          <w:sz w:val="22"/>
          <w:szCs w:val="22"/>
          <w:lang w:val="es-ES_tradnl"/>
        </w:rPr>
      </w:pPr>
      <w:r w:rsidRPr="00D43CE8">
        <w:rPr>
          <w:rFonts w:ascii="Arial" w:eastAsia="Calibri" w:hAnsi="Arial" w:cs="Arial"/>
          <w:b/>
          <w:bCs/>
          <w:sz w:val="22"/>
          <w:szCs w:val="22"/>
          <w:lang w:val="es-ES_tradnl"/>
        </w:rPr>
        <w:t>2.1. Factores de desempate en la contratación estatal: concepto y características</w:t>
      </w:r>
    </w:p>
    <w:p w14:paraId="342BA812" w14:textId="77777777" w:rsidR="005244FC" w:rsidRPr="00D43CE8" w:rsidRDefault="005244FC" w:rsidP="00A864BA">
      <w:pPr>
        <w:spacing w:line="276" w:lineRule="auto"/>
        <w:jc w:val="both"/>
        <w:rPr>
          <w:rFonts w:ascii="Arial" w:eastAsia="Calibri" w:hAnsi="Arial" w:cs="Arial"/>
          <w:sz w:val="22"/>
          <w:szCs w:val="22"/>
          <w:lang w:val="es-ES_tradnl"/>
        </w:rPr>
      </w:pPr>
    </w:p>
    <w:p w14:paraId="09DB8BB1" w14:textId="56B8661F" w:rsidR="005244FC" w:rsidRPr="00D43CE8" w:rsidRDefault="005244FC" w:rsidP="00A864BA">
      <w:pPr>
        <w:spacing w:after="120" w:line="276" w:lineRule="auto"/>
        <w:jc w:val="both"/>
        <w:rPr>
          <w:rFonts w:ascii="Arial" w:eastAsia="Calibri" w:hAnsi="Arial" w:cs="Arial"/>
          <w:sz w:val="22"/>
          <w:szCs w:val="22"/>
          <w:lang w:val="es-ES_tradnl"/>
        </w:rPr>
      </w:pPr>
      <w:r w:rsidRPr="00D43CE8">
        <w:rPr>
          <w:rFonts w:ascii="Arial" w:eastAsia="Calibri" w:hAnsi="Arial" w:cs="Arial"/>
          <w:sz w:val="22"/>
          <w:szCs w:val="22"/>
          <w:lang w:val="es-ES_tradnl"/>
        </w:rPr>
        <w:t xml:space="preserve">Dado que la selección objetiva es uno de los principios medulares de la contratación estatal, la </w:t>
      </w:r>
      <w:r w:rsidR="00842841" w:rsidRPr="00D43CE8">
        <w:rPr>
          <w:rFonts w:ascii="Arial" w:eastAsia="Calibri" w:hAnsi="Arial" w:cs="Arial"/>
          <w:sz w:val="22"/>
          <w:szCs w:val="22"/>
          <w:lang w:val="es-ES_tradnl"/>
        </w:rPr>
        <w:t xml:space="preserve">escogencia </w:t>
      </w:r>
      <w:r w:rsidRPr="00D43CE8">
        <w:rPr>
          <w:rFonts w:ascii="Arial" w:eastAsia="Calibri" w:hAnsi="Arial" w:cs="Arial"/>
          <w:sz w:val="22"/>
          <w:szCs w:val="22"/>
          <w:lang w:val="es-ES_tradnl"/>
        </w:rPr>
        <w:t xml:space="preserve">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w:t>
      </w:r>
      <w:r w:rsidR="00842841" w:rsidRPr="00D43CE8">
        <w:rPr>
          <w:rFonts w:ascii="Arial" w:eastAsia="Calibri" w:hAnsi="Arial" w:cs="Arial"/>
          <w:sz w:val="22"/>
          <w:szCs w:val="22"/>
          <w:lang w:val="es-ES_tradnl"/>
        </w:rPr>
        <w:t xml:space="preserve">habilitación </w:t>
      </w:r>
      <w:r w:rsidRPr="00D43CE8">
        <w:rPr>
          <w:rFonts w:ascii="Arial" w:eastAsia="Calibri" w:hAnsi="Arial" w:cs="Arial"/>
          <w:sz w:val="22"/>
          <w:szCs w:val="22"/>
          <w:lang w:val="es-ES_tradnl"/>
        </w:rPr>
        <w:t>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468AADE9" w14:textId="2642379A" w:rsidR="005244FC" w:rsidRPr="00D43CE8" w:rsidRDefault="005244FC" w:rsidP="00A864BA">
      <w:pPr>
        <w:spacing w:after="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w:t>
      </w:r>
      <w:r w:rsidR="00EC267E" w:rsidRPr="00D43CE8">
        <w:rPr>
          <w:rFonts w:ascii="Arial" w:eastAsia="Calibri" w:hAnsi="Arial" w:cs="Arial"/>
          <w:sz w:val="22"/>
          <w:szCs w:val="22"/>
          <w:lang w:val="es-ES_tradnl"/>
        </w:rPr>
        <w:t>los mismos</w:t>
      </w:r>
      <w:r w:rsidRPr="00D43CE8">
        <w:rPr>
          <w:rFonts w:ascii="Arial" w:eastAsia="Calibri" w:hAnsi="Arial" w:cs="Arial"/>
          <w:sz w:val="22"/>
          <w:szCs w:val="22"/>
          <w:lang w:val="es-ES_tradnl"/>
        </w:rPr>
        <w:t xml:space="preserve">. Como lo ha indicado la Agencia Nacional de Contratación Pública – Colombia Compra Eficiente en el «Manual para el manejo de los incentivos en los procesos de </w:t>
      </w:r>
      <w:r w:rsidRPr="00D43CE8">
        <w:rPr>
          <w:rFonts w:ascii="Arial" w:eastAsia="Calibri" w:hAnsi="Arial" w:cs="Arial"/>
          <w:sz w:val="22"/>
          <w:szCs w:val="22"/>
          <w:lang w:val="es-ES_tradnl"/>
        </w:rPr>
        <w:lastRenderedPageBreak/>
        <w:t xml:space="preserve">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w:t>
      </w:r>
      <w:r w:rsidR="00EC267E" w:rsidRPr="00D43CE8">
        <w:rPr>
          <w:rFonts w:ascii="Arial" w:eastAsia="Calibri" w:hAnsi="Arial" w:cs="Arial"/>
          <w:sz w:val="22"/>
          <w:szCs w:val="22"/>
          <w:lang w:val="es-ES_tradnl"/>
        </w:rPr>
        <w:t>contractual</w:t>
      </w:r>
      <w:r w:rsidRPr="00D43CE8">
        <w:rPr>
          <w:rFonts w:ascii="Arial" w:eastAsia="Calibri" w:hAnsi="Arial" w:cs="Arial"/>
          <w:sz w:val="22"/>
          <w:szCs w:val="22"/>
          <w:lang w:val="es-ES_tradnl"/>
        </w:rPr>
        <w:t xml:space="preserve">. </w:t>
      </w:r>
    </w:p>
    <w:p w14:paraId="513EAEB7" w14:textId="56218BF1" w:rsidR="005244FC" w:rsidRPr="00D43CE8" w:rsidRDefault="0073250A" w:rsidP="00A864BA">
      <w:pPr>
        <w:spacing w:after="120" w:line="276" w:lineRule="auto"/>
        <w:ind w:firstLine="709"/>
        <w:jc w:val="both"/>
        <w:rPr>
          <w:rFonts w:ascii="Arial" w:eastAsia="Calibri" w:hAnsi="Arial" w:cs="Arial"/>
          <w:sz w:val="22"/>
          <w:szCs w:val="22"/>
          <w:lang w:val="es-ES_tradnl"/>
        </w:rPr>
      </w:pPr>
      <w:bookmarkStart w:id="8" w:name="_Hlk81487365"/>
      <w:r w:rsidRPr="00D43CE8">
        <w:rPr>
          <w:rFonts w:ascii="Arial" w:eastAsia="Calibri" w:hAnsi="Arial" w:cs="Arial"/>
          <w:sz w:val="22"/>
          <w:szCs w:val="22"/>
          <w:lang w:val="es-ES_tradnl"/>
        </w:rPr>
        <w:t>Sin embargo</w:t>
      </w:r>
      <w:r w:rsidR="005244FC" w:rsidRPr="00D43CE8">
        <w:rPr>
          <w:rFonts w:ascii="Arial" w:eastAsia="Calibri" w:hAnsi="Arial" w:cs="Arial"/>
          <w:sz w:val="22"/>
          <w:szCs w:val="22"/>
          <w:lang w:val="es-ES_tradnl"/>
        </w:rPr>
        <w:t>,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w:t>
      </w:r>
      <w:r w:rsidRPr="00D43CE8">
        <w:rPr>
          <w:rFonts w:ascii="Arial" w:eastAsia="Calibri" w:hAnsi="Arial" w:cs="Arial"/>
          <w:sz w:val="22"/>
          <w:szCs w:val="22"/>
          <w:lang w:val="es-ES_tradnl"/>
        </w:rPr>
        <w:t xml:space="preserve">, entre los que se </w:t>
      </w:r>
      <w:r w:rsidR="00EC267E" w:rsidRPr="00D43CE8">
        <w:rPr>
          <w:rFonts w:ascii="Arial" w:eastAsia="Calibri" w:hAnsi="Arial" w:cs="Arial"/>
          <w:sz w:val="22"/>
          <w:szCs w:val="22"/>
          <w:lang w:val="es-ES_tradnl"/>
        </w:rPr>
        <w:t>en</w:t>
      </w:r>
      <w:r w:rsidRPr="00D43CE8">
        <w:rPr>
          <w:rFonts w:ascii="Arial" w:eastAsia="Calibri" w:hAnsi="Arial" w:cs="Arial"/>
          <w:sz w:val="22"/>
          <w:szCs w:val="22"/>
          <w:lang w:val="es-ES_tradnl"/>
        </w:rPr>
        <w:t>cuent</w:t>
      </w:r>
      <w:r w:rsidR="00EC267E" w:rsidRPr="00D43CE8">
        <w:rPr>
          <w:rFonts w:ascii="Arial" w:eastAsia="Calibri" w:hAnsi="Arial" w:cs="Arial"/>
          <w:sz w:val="22"/>
          <w:szCs w:val="22"/>
          <w:lang w:val="es-ES_tradnl"/>
        </w:rPr>
        <w:t>r</w:t>
      </w:r>
      <w:r w:rsidRPr="00D43CE8">
        <w:rPr>
          <w:rFonts w:ascii="Arial" w:eastAsia="Calibri" w:hAnsi="Arial" w:cs="Arial"/>
          <w:sz w:val="22"/>
          <w:szCs w:val="22"/>
          <w:lang w:val="es-ES_tradnl"/>
        </w:rPr>
        <w:t xml:space="preserve">a </w:t>
      </w:r>
      <w:r w:rsidR="005244FC" w:rsidRPr="00D43CE8">
        <w:rPr>
          <w:rFonts w:ascii="Arial" w:eastAsia="Calibri" w:hAnsi="Arial" w:cs="Arial"/>
          <w:sz w:val="22"/>
          <w:szCs w:val="22"/>
          <w:lang w:val="es-ES_tradnl"/>
        </w:rPr>
        <w:t xml:space="preserve">el artículo 35 de la Ley </w:t>
      </w:r>
      <w:r w:rsidR="007B209C" w:rsidRPr="00D43CE8">
        <w:rPr>
          <w:rFonts w:ascii="Arial" w:eastAsia="Calibri" w:hAnsi="Arial" w:cs="Arial"/>
          <w:sz w:val="22"/>
          <w:szCs w:val="22"/>
          <w:lang w:val="es-ES_tradnl"/>
        </w:rPr>
        <w:t>2069</w:t>
      </w:r>
      <w:r w:rsidR="005244FC" w:rsidRPr="00D43CE8">
        <w:rPr>
          <w:rFonts w:ascii="Arial" w:eastAsia="Calibri" w:hAnsi="Arial" w:cs="Arial"/>
          <w:sz w:val="22"/>
          <w:szCs w:val="22"/>
          <w:lang w:val="es-ES_tradnl"/>
        </w:rPr>
        <w:t xml:space="preserve"> de 2020. La </w:t>
      </w:r>
      <w:r w:rsidR="009B6863" w:rsidRPr="00D43CE8">
        <w:rPr>
          <w:rFonts w:ascii="Arial" w:eastAsia="Calibri" w:hAnsi="Arial" w:cs="Arial"/>
          <w:sz w:val="22"/>
          <w:szCs w:val="22"/>
          <w:lang w:val="es-ES_tradnl"/>
        </w:rPr>
        <w:t>jurisprudencia</w:t>
      </w:r>
      <w:r w:rsidR="005244FC" w:rsidRPr="00D43CE8">
        <w:rPr>
          <w:rFonts w:ascii="Arial" w:eastAsia="Calibri" w:hAnsi="Arial" w:cs="Arial"/>
          <w:sz w:val="22"/>
          <w:szCs w:val="22"/>
          <w:lang w:val="es-ES_tradnl"/>
        </w:rPr>
        <w:t xml:space="preserve"> comparte la idea de que los criterios de desempate deben estar establecidos de antemano y constituyen un límite a la discrecionalidad administrativa en los procedimientos de selección</w:t>
      </w:r>
      <w:r w:rsidR="00221A1D" w:rsidRPr="00D43CE8">
        <w:rPr>
          <w:rStyle w:val="Refdenotaalpie"/>
          <w:rFonts w:ascii="Arial" w:eastAsia="Calibri" w:hAnsi="Arial" w:cs="Arial"/>
          <w:sz w:val="22"/>
          <w:szCs w:val="22"/>
          <w:lang w:val="es-ES_tradnl"/>
        </w:rPr>
        <w:footnoteReference w:id="4"/>
      </w:r>
      <w:r w:rsidR="005244FC" w:rsidRPr="00D43CE8">
        <w:rPr>
          <w:rFonts w:ascii="Arial" w:eastAsia="Calibri" w:hAnsi="Arial" w:cs="Arial"/>
          <w:sz w:val="22"/>
          <w:szCs w:val="22"/>
          <w:lang w:val="es-ES_tradnl"/>
        </w:rPr>
        <w:t xml:space="preserve">. </w:t>
      </w:r>
    </w:p>
    <w:p w14:paraId="0334B369" w14:textId="3F327C23" w:rsidR="00221A1D" w:rsidRPr="00D43CE8" w:rsidRDefault="00221A1D" w:rsidP="00A864BA">
      <w:pPr>
        <w:spacing w:after="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En tal sentido, la Corte Constitucional explica que cuando la ley establece factores de desempate obligatorios, las entidades estatales no pueden </w:t>
      </w:r>
      <w:proofErr w:type="spellStart"/>
      <w:r w:rsidRPr="00D43CE8">
        <w:rPr>
          <w:rFonts w:ascii="Arial" w:eastAsia="Calibri" w:hAnsi="Arial" w:cs="Arial"/>
          <w:sz w:val="22"/>
          <w:szCs w:val="22"/>
          <w:lang w:val="es-ES_tradnl"/>
        </w:rPr>
        <w:t>inaplicarlos</w:t>
      </w:r>
      <w:proofErr w:type="spellEnd"/>
      <w:r w:rsidRPr="00D43CE8">
        <w:rPr>
          <w:rFonts w:ascii="Arial" w:eastAsia="Calibri" w:hAnsi="Arial" w:cs="Arial"/>
          <w:sz w:val="22"/>
          <w:szCs w:val="22"/>
          <w:lang w:val="es-ES_tradnl"/>
        </w:rPr>
        <w:t>, porque ello podría vulnerar el principio de igualdad, especialmente, cuando algunos de estos criterios surgen como acciones afirmativas para ciertos sectores de la población</w:t>
      </w:r>
      <w:r w:rsidR="00CD32B9">
        <w:rPr>
          <w:rStyle w:val="Refdenotaalpie"/>
          <w:rFonts w:ascii="Arial" w:eastAsia="Calibri" w:hAnsi="Arial" w:cs="Arial"/>
          <w:sz w:val="22"/>
          <w:szCs w:val="22"/>
          <w:lang w:val="es-ES_tradnl"/>
        </w:rPr>
        <w:footnoteReference w:id="5"/>
      </w:r>
      <w:r w:rsidRPr="00D43CE8">
        <w:rPr>
          <w:rFonts w:ascii="Arial" w:eastAsia="Calibri" w:hAnsi="Arial" w:cs="Arial"/>
          <w:sz w:val="22"/>
          <w:szCs w:val="22"/>
          <w:lang w:val="es-ES_tradnl"/>
        </w:rPr>
        <w:t xml:space="preserve">. </w:t>
      </w:r>
    </w:p>
    <w:bookmarkEnd w:id="8"/>
    <w:p w14:paraId="2F311B0E" w14:textId="77777777" w:rsidR="00EB6D0E" w:rsidRPr="00D43CE8" w:rsidRDefault="00221A1D" w:rsidP="00A864BA">
      <w:pPr>
        <w:spacing w:line="276" w:lineRule="auto"/>
        <w:ind w:firstLine="709"/>
        <w:jc w:val="both"/>
        <w:rPr>
          <w:rFonts w:ascii="Arial" w:hAnsi="Arial" w:cs="Arial"/>
          <w:sz w:val="22"/>
          <w:szCs w:val="22"/>
          <w:lang w:val="es-ES" w:eastAsia="es-CO"/>
        </w:rPr>
      </w:pPr>
      <w:r w:rsidRPr="00D43CE8">
        <w:rPr>
          <w:rFonts w:ascii="Arial" w:eastAsia="Calibri" w:hAnsi="Arial" w:cs="Arial"/>
          <w:sz w:val="22"/>
          <w:szCs w:val="22"/>
          <w:lang w:val="es-ES_tradnl"/>
        </w:rPr>
        <w:t>Ahora bien, en cumplimiento de los principios de reciprocidad y de </w:t>
      </w:r>
      <w:r w:rsidRPr="00D43CE8">
        <w:rPr>
          <w:rFonts w:ascii="Arial" w:eastAsia="Calibri" w:hAnsi="Arial" w:cs="Arial"/>
          <w:i/>
          <w:iCs/>
          <w:sz w:val="22"/>
          <w:szCs w:val="22"/>
          <w:lang w:val="es-ES_tradnl"/>
        </w:rPr>
        <w:t>pacta sunt </w:t>
      </w:r>
      <w:proofErr w:type="spellStart"/>
      <w:r w:rsidRPr="00D43CE8">
        <w:rPr>
          <w:rFonts w:ascii="Arial" w:eastAsia="Calibri" w:hAnsi="Arial" w:cs="Arial"/>
          <w:i/>
          <w:iCs/>
          <w:sz w:val="22"/>
          <w:szCs w:val="22"/>
          <w:lang w:val="es-ES_tradnl"/>
        </w:rPr>
        <w:t>servanda</w:t>
      </w:r>
      <w:proofErr w:type="spellEnd"/>
      <w:r w:rsidRPr="00D43CE8">
        <w:rPr>
          <w:rFonts w:ascii="Arial" w:eastAsia="Calibri" w:hAnsi="Arial" w:cs="Arial"/>
          <w:sz w:val="22"/>
          <w:szCs w:val="22"/>
          <w:lang w:val="es-ES_tradnl"/>
        </w:rPr>
        <w:t>,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w:t>
      </w:r>
      <w:r w:rsidRPr="00D43CE8">
        <w:rPr>
          <w:rFonts w:ascii="Arial" w:hAnsi="Arial" w:cs="Arial"/>
          <w:sz w:val="22"/>
          <w:szCs w:val="22"/>
          <w:lang w:val="es-ES" w:eastAsia="es-CO"/>
        </w:rPr>
        <w:t>».</w:t>
      </w:r>
    </w:p>
    <w:p w14:paraId="6963DC42" w14:textId="159D0E06" w:rsidR="004F1593" w:rsidRPr="00D43CE8" w:rsidRDefault="004F1593" w:rsidP="00A864BA">
      <w:pPr>
        <w:spacing w:line="276" w:lineRule="auto"/>
        <w:jc w:val="both"/>
        <w:rPr>
          <w:rFonts w:ascii="Arial" w:eastAsia="Calibri" w:hAnsi="Arial" w:cs="Arial"/>
          <w:sz w:val="22"/>
          <w:szCs w:val="22"/>
          <w:lang w:val="es-ES_tradnl"/>
        </w:rPr>
      </w:pPr>
    </w:p>
    <w:p w14:paraId="27D423AC" w14:textId="21332E0F" w:rsidR="005244FC" w:rsidRPr="00D43CE8" w:rsidRDefault="005244FC" w:rsidP="00A864BA">
      <w:pPr>
        <w:spacing w:line="276" w:lineRule="auto"/>
        <w:jc w:val="both"/>
        <w:rPr>
          <w:rFonts w:ascii="Arial" w:eastAsia="Calibri" w:hAnsi="Arial" w:cs="Arial"/>
          <w:b/>
          <w:bCs/>
          <w:sz w:val="22"/>
          <w:szCs w:val="22"/>
          <w:lang w:val="es-ES_tradnl"/>
        </w:rPr>
      </w:pPr>
      <w:r w:rsidRPr="00D43CE8">
        <w:rPr>
          <w:rFonts w:ascii="Arial" w:eastAsia="Calibri" w:hAnsi="Arial" w:cs="Arial"/>
          <w:b/>
          <w:bCs/>
          <w:sz w:val="22"/>
          <w:szCs w:val="22"/>
          <w:lang w:val="es-ES_tradnl"/>
        </w:rPr>
        <w:t xml:space="preserve">2.2. </w:t>
      </w:r>
      <w:r w:rsidR="00BD2FF1" w:rsidRPr="00D43CE8">
        <w:rPr>
          <w:rFonts w:ascii="Arial" w:eastAsia="Calibri" w:hAnsi="Arial" w:cs="Arial"/>
          <w:b/>
          <w:bCs/>
          <w:sz w:val="22"/>
          <w:szCs w:val="22"/>
          <w:lang w:val="es-ES_tradnl"/>
        </w:rPr>
        <w:t xml:space="preserve">Ámbito de aplicación, </w:t>
      </w:r>
      <w:r w:rsidR="00FA6788" w:rsidRPr="00D43CE8">
        <w:rPr>
          <w:rFonts w:ascii="Arial" w:eastAsia="Calibri" w:hAnsi="Arial" w:cs="Arial"/>
          <w:b/>
          <w:bCs/>
          <w:sz w:val="22"/>
          <w:szCs w:val="22"/>
          <w:lang w:val="es-ES_tradnl"/>
        </w:rPr>
        <w:t>vigencia y</w:t>
      </w:r>
      <w:r w:rsidR="00BD2FF1" w:rsidRPr="00D43CE8">
        <w:rPr>
          <w:rFonts w:ascii="Arial" w:eastAsia="Calibri" w:hAnsi="Arial" w:cs="Arial"/>
          <w:b/>
          <w:bCs/>
          <w:sz w:val="22"/>
          <w:szCs w:val="22"/>
          <w:lang w:val="es-ES_tradnl"/>
        </w:rPr>
        <w:t xml:space="preserve"> reglamentación </w:t>
      </w:r>
      <w:r w:rsidRPr="00D43CE8">
        <w:rPr>
          <w:rFonts w:ascii="Arial" w:eastAsia="Calibri" w:hAnsi="Arial" w:cs="Arial"/>
          <w:b/>
          <w:bCs/>
          <w:sz w:val="22"/>
          <w:szCs w:val="22"/>
          <w:lang w:val="es-ES_tradnl"/>
        </w:rPr>
        <w:t xml:space="preserve">de la Ley </w:t>
      </w:r>
      <w:r w:rsidR="007B209C" w:rsidRPr="00D43CE8">
        <w:rPr>
          <w:rFonts w:ascii="Arial" w:eastAsia="Calibri" w:hAnsi="Arial" w:cs="Arial"/>
          <w:b/>
          <w:bCs/>
          <w:sz w:val="22"/>
          <w:szCs w:val="22"/>
          <w:lang w:val="es-ES_tradnl"/>
        </w:rPr>
        <w:t>2069</w:t>
      </w:r>
      <w:r w:rsidRPr="00D43CE8">
        <w:rPr>
          <w:rFonts w:ascii="Arial" w:eastAsia="Calibri" w:hAnsi="Arial" w:cs="Arial"/>
          <w:b/>
          <w:bCs/>
          <w:sz w:val="22"/>
          <w:szCs w:val="22"/>
          <w:lang w:val="es-ES_tradnl"/>
        </w:rPr>
        <w:t xml:space="preserve"> de 2020</w:t>
      </w:r>
      <w:r w:rsidR="00EC7843" w:rsidRPr="00D43CE8">
        <w:rPr>
          <w:rFonts w:ascii="Arial" w:eastAsia="Calibri" w:hAnsi="Arial" w:cs="Arial"/>
          <w:b/>
          <w:bCs/>
          <w:sz w:val="22"/>
          <w:szCs w:val="22"/>
          <w:lang w:val="es-ES_tradnl"/>
        </w:rPr>
        <w:t xml:space="preserve"> </w:t>
      </w:r>
    </w:p>
    <w:p w14:paraId="10695754" w14:textId="77777777" w:rsidR="005244FC" w:rsidRPr="00D43CE8" w:rsidRDefault="005244FC" w:rsidP="00A864BA">
      <w:pPr>
        <w:spacing w:line="276" w:lineRule="auto"/>
        <w:jc w:val="both"/>
        <w:rPr>
          <w:rFonts w:ascii="Arial" w:eastAsia="Calibri" w:hAnsi="Arial" w:cs="Arial"/>
          <w:sz w:val="22"/>
          <w:szCs w:val="22"/>
          <w:lang w:val="es-ES_tradnl"/>
        </w:rPr>
      </w:pPr>
    </w:p>
    <w:p w14:paraId="20A72819" w14:textId="51762BDD" w:rsidR="00116EC5" w:rsidRPr="00D43CE8" w:rsidRDefault="00116EC5" w:rsidP="00A864BA">
      <w:pPr>
        <w:spacing w:after="120" w:line="276" w:lineRule="auto"/>
        <w:jc w:val="both"/>
        <w:rPr>
          <w:rFonts w:ascii="Arial" w:eastAsia="Calibri" w:hAnsi="Arial" w:cs="Arial"/>
          <w:sz w:val="22"/>
          <w:szCs w:val="22"/>
          <w:lang w:val="es-ES_tradnl"/>
        </w:rPr>
      </w:pPr>
      <w:r w:rsidRPr="00D43CE8">
        <w:rPr>
          <w:rFonts w:ascii="Arial" w:eastAsia="Calibri" w:hAnsi="Arial" w:cs="Arial"/>
          <w:sz w:val="22"/>
          <w:szCs w:val="22"/>
          <w:lang w:val="es-ES_tradnl"/>
        </w:rPr>
        <w:t xml:space="preserve">El 31 de diciembre de 2020 se promulgó la Ley </w:t>
      </w:r>
      <w:r w:rsidR="007B209C" w:rsidRPr="00D43CE8">
        <w:rPr>
          <w:rFonts w:ascii="Arial" w:eastAsia="Calibri" w:hAnsi="Arial" w:cs="Arial"/>
          <w:sz w:val="22"/>
          <w:szCs w:val="22"/>
          <w:lang w:val="es-ES_tradnl"/>
        </w:rPr>
        <w:t>2069</w:t>
      </w:r>
      <w:r w:rsidRPr="00D43CE8">
        <w:rPr>
          <w:rFonts w:ascii="Arial" w:eastAsia="Calibri" w:hAnsi="Arial" w:cs="Arial"/>
          <w:sz w:val="22"/>
          <w:szCs w:val="22"/>
          <w:lang w:val="es-ES_tradnl"/>
        </w:rPr>
        <w:t>,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w:t>
      </w:r>
      <w:r w:rsidR="00323C99">
        <w:rPr>
          <w:rFonts w:ascii="Arial" w:eastAsia="Calibri" w:hAnsi="Arial" w:cs="Arial"/>
          <w:sz w:val="22"/>
          <w:szCs w:val="22"/>
          <w:lang w:val="es-ES_tradnl"/>
        </w:rPr>
        <w:t>iera</w:t>
      </w:r>
      <w:r w:rsidRPr="00D43CE8">
        <w:rPr>
          <w:rFonts w:ascii="Arial" w:eastAsia="Calibri" w:hAnsi="Arial" w:cs="Arial"/>
          <w:sz w:val="22"/>
          <w:szCs w:val="22"/>
          <w:lang w:val="es-ES_tradnl"/>
        </w:rPr>
        <w:t xml:space="preserve"> el decreto correspondiente que permit</w:t>
      </w:r>
      <w:r w:rsidR="008C3B63">
        <w:rPr>
          <w:rFonts w:ascii="Arial" w:eastAsia="Calibri" w:hAnsi="Arial" w:cs="Arial"/>
          <w:sz w:val="22"/>
          <w:szCs w:val="22"/>
          <w:lang w:val="es-ES_tradnl"/>
        </w:rPr>
        <w:t>iera</w:t>
      </w:r>
      <w:r w:rsidRPr="00D43CE8">
        <w:rPr>
          <w:rFonts w:ascii="Arial" w:eastAsia="Calibri" w:hAnsi="Arial" w:cs="Arial"/>
          <w:sz w:val="22"/>
          <w:szCs w:val="22"/>
          <w:lang w:val="es-ES_tradnl"/>
        </w:rPr>
        <w:t xml:space="preserve"> la </w:t>
      </w:r>
      <w:r w:rsidRPr="00D43CE8">
        <w:rPr>
          <w:rFonts w:ascii="Arial" w:eastAsia="Calibri" w:hAnsi="Arial" w:cs="Arial"/>
          <w:sz w:val="22"/>
          <w:szCs w:val="22"/>
          <w:lang w:val="es-ES_tradnl"/>
        </w:rPr>
        <w:lastRenderedPageBreak/>
        <w:t>cumplida ejecución de esta Ley</w:t>
      </w:r>
      <w:r w:rsidR="007021AB">
        <w:rPr>
          <w:rFonts w:ascii="Arial" w:eastAsia="Calibri" w:hAnsi="Arial" w:cs="Arial"/>
          <w:sz w:val="22"/>
          <w:szCs w:val="22"/>
          <w:lang w:val="es-ES_tradnl"/>
        </w:rPr>
        <w:t>, tal como aconteció con el Decreto 1860 de 2021, al cual se hará referencia más adelante</w:t>
      </w:r>
      <w:r w:rsidRPr="00D43CE8">
        <w:rPr>
          <w:rFonts w:ascii="Arial" w:eastAsia="Calibri" w:hAnsi="Arial" w:cs="Arial"/>
          <w:sz w:val="22"/>
          <w:szCs w:val="22"/>
          <w:lang w:val="es-ES_tradnl"/>
        </w:rPr>
        <w:t>.</w:t>
      </w:r>
    </w:p>
    <w:p w14:paraId="7126B235" w14:textId="2F54C32C" w:rsidR="00EA0455" w:rsidRPr="00D43CE8" w:rsidRDefault="00EA0455" w:rsidP="00A864BA">
      <w:pPr>
        <w:spacing w:after="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En cuan</w:t>
      </w:r>
      <w:r w:rsidR="005E5EE6">
        <w:rPr>
          <w:rFonts w:ascii="Arial" w:eastAsia="Calibri" w:hAnsi="Arial" w:cs="Arial"/>
          <w:sz w:val="22"/>
          <w:szCs w:val="22"/>
          <w:lang w:val="es-ES_tradnl"/>
        </w:rPr>
        <w:t>t</w:t>
      </w:r>
      <w:r w:rsidRPr="00D43CE8">
        <w:rPr>
          <w:rFonts w:ascii="Arial" w:eastAsia="Calibri" w:hAnsi="Arial" w:cs="Arial"/>
          <w:sz w:val="22"/>
          <w:szCs w:val="22"/>
          <w:lang w:val="es-ES_tradnl"/>
        </w:rPr>
        <w:t xml:space="preserve">o </w:t>
      </w:r>
      <w:r w:rsidR="001A0160">
        <w:rPr>
          <w:rFonts w:ascii="Arial" w:eastAsia="Calibri" w:hAnsi="Arial" w:cs="Arial"/>
          <w:sz w:val="22"/>
          <w:szCs w:val="22"/>
          <w:lang w:val="es-ES_tradnl"/>
        </w:rPr>
        <w:t>al</w:t>
      </w:r>
      <w:r w:rsidRPr="00D43CE8">
        <w:rPr>
          <w:rFonts w:ascii="Arial" w:eastAsia="Calibri" w:hAnsi="Arial" w:cs="Arial"/>
          <w:sz w:val="22"/>
          <w:szCs w:val="22"/>
          <w:lang w:val="es-ES_tradnl"/>
        </w:rPr>
        <w:t xml:space="preserve"> contenido</w:t>
      </w:r>
      <w:r w:rsidR="001A0160">
        <w:rPr>
          <w:rFonts w:ascii="Arial" w:eastAsia="Calibri" w:hAnsi="Arial" w:cs="Arial"/>
          <w:sz w:val="22"/>
          <w:szCs w:val="22"/>
          <w:lang w:val="es-ES_tradnl"/>
        </w:rPr>
        <w:t xml:space="preserve"> de la Ley 2069 de 2020</w:t>
      </w:r>
      <w:r w:rsidRPr="00D43CE8">
        <w:rPr>
          <w:rFonts w:ascii="Arial" w:eastAsia="Calibri" w:hAnsi="Arial" w:cs="Arial"/>
          <w:sz w:val="22"/>
          <w:szCs w:val="22"/>
          <w:lang w:val="es-ES_tradnl"/>
        </w:rPr>
        <w:t xml:space="preserve">,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D43CE8">
        <w:rPr>
          <w:rFonts w:ascii="Arial" w:eastAsia="Calibri" w:hAnsi="Arial" w:cs="Arial"/>
          <w:sz w:val="22"/>
          <w:szCs w:val="22"/>
          <w:lang w:val="es-ES_tradnl"/>
        </w:rPr>
        <w:t>de acuerdo a</w:t>
      </w:r>
      <w:proofErr w:type="gramEnd"/>
      <w:r w:rsidRPr="00D43CE8">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D43CE8">
        <w:rPr>
          <w:rFonts w:ascii="Arial" w:eastAsia="Calibri" w:hAnsi="Arial" w:cs="Arial"/>
          <w:sz w:val="22"/>
          <w:szCs w:val="22"/>
          <w:lang w:val="es-ES_tradnl"/>
        </w:rPr>
        <w:t>mipymes</w:t>
      </w:r>
      <w:proofErr w:type="spellEnd"/>
      <w:r w:rsidRPr="00D43CE8">
        <w:rPr>
          <w:rFonts w:ascii="Arial" w:eastAsia="Calibri" w:hAnsi="Arial" w:cs="Arial"/>
          <w:sz w:val="22"/>
          <w:szCs w:val="22"/>
          <w:lang w:val="es-ES_tradnl"/>
        </w:rPr>
        <w:t>–, mediante la racionalización y simplificación de los trámites y tarifas</w:t>
      </w:r>
      <w:r w:rsidRPr="00D43CE8">
        <w:rPr>
          <w:rStyle w:val="Refdenotaalpie"/>
          <w:rFonts w:ascii="Arial" w:eastAsia="Calibri" w:hAnsi="Arial" w:cs="Arial"/>
          <w:sz w:val="22"/>
          <w:szCs w:val="22"/>
          <w:lang w:val="es-ES_tradnl"/>
        </w:rPr>
        <w:footnoteReference w:id="6"/>
      </w:r>
      <w:r w:rsidRPr="00D43CE8">
        <w:rPr>
          <w:rFonts w:ascii="Arial" w:eastAsia="Calibri" w:hAnsi="Arial" w:cs="Arial"/>
          <w:sz w:val="22"/>
          <w:szCs w:val="22"/>
          <w:lang w:val="es-ES_tradnl"/>
        </w:rPr>
        <w:t>, así como incentivos a favor de aquellas dentro del sistema de compras y contratación pública</w:t>
      </w:r>
      <w:r w:rsidRPr="00D43CE8">
        <w:rPr>
          <w:rStyle w:val="Refdenotaalpie"/>
          <w:rFonts w:ascii="Arial" w:eastAsia="Calibri" w:hAnsi="Arial" w:cs="Arial"/>
          <w:sz w:val="22"/>
          <w:szCs w:val="22"/>
          <w:lang w:val="es-ES_tradnl"/>
        </w:rPr>
        <w:footnoteReference w:id="7"/>
      </w:r>
      <w:r w:rsidRPr="00D43CE8">
        <w:rPr>
          <w:rFonts w:ascii="Arial" w:eastAsia="Calibri" w:hAnsi="Arial" w:cs="Arial"/>
          <w:sz w:val="22"/>
          <w:szCs w:val="22"/>
          <w:lang w:val="es-ES_tradnl"/>
        </w:rPr>
        <w:t>. También se consagran mecanismos de acceso al financiamiento</w:t>
      </w:r>
      <w:r w:rsidRPr="00D43CE8">
        <w:rPr>
          <w:rStyle w:val="Refdenotaalpie"/>
          <w:rFonts w:ascii="Arial" w:eastAsia="Calibri" w:hAnsi="Arial" w:cs="Arial"/>
          <w:sz w:val="22"/>
          <w:szCs w:val="22"/>
          <w:lang w:val="es-ES_tradnl"/>
        </w:rPr>
        <w:footnoteReference w:id="8"/>
      </w:r>
      <w:r w:rsidRPr="00D43CE8">
        <w:rPr>
          <w:rFonts w:ascii="Arial" w:eastAsia="Calibri" w:hAnsi="Arial" w:cs="Arial"/>
          <w:sz w:val="22"/>
          <w:szCs w:val="22"/>
          <w:lang w:val="es-ES_tradnl"/>
        </w:rPr>
        <w:t>, se unifican las fuentes de emprendimiento y de desarrollo empresarial, para fortalecer y promover los distintos sectores de la economía</w:t>
      </w:r>
      <w:r w:rsidRPr="00D43CE8">
        <w:rPr>
          <w:rStyle w:val="Refdenotaalpie"/>
          <w:rFonts w:ascii="Arial" w:eastAsia="Calibri" w:hAnsi="Arial" w:cs="Arial"/>
          <w:sz w:val="22"/>
          <w:szCs w:val="22"/>
          <w:lang w:val="es-ES_tradnl"/>
        </w:rPr>
        <w:footnoteReference w:id="9"/>
      </w:r>
      <w:r w:rsidRPr="00D43CE8">
        <w:rPr>
          <w:rFonts w:ascii="Arial" w:eastAsia="Calibri" w:hAnsi="Arial" w:cs="Arial"/>
          <w:sz w:val="22"/>
          <w:szCs w:val="22"/>
          <w:lang w:val="es-ES_tradnl"/>
        </w:rPr>
        <w:t xml:space="preserve"> y se prevén medidas de educación para el emprendimiento y la innovación</w:t>
      </w:r>
      <w:r w:rsidRPr="00D43CE8">
        <w:rPr>
          <w:rStyle w:val="Refdenotaalpie"/>
          <w:rFonts w:ascii="Arial" w:eastAsia="Calibri" w:hAnsi="Arial" w:cs="Arial"/>
          <w:sz w:val="22"/>
          <w:szCs w:val="22"/>
          <w:lang w:val="es-ES_tradnl"/>
        </w:rPr>
        <w:footnoteReference w:id="10"/>
      </w:r>
      <w:r w:rsidRPr="00D43CE8">
        <w:rPr>
          <w:rFonts w:ascii="Arial" w:eastAsia="Calibri" w:hAnsi="Arial" w:cs="Arial"/>
          <w:sz w:val="22"/>
          <w:szCs w:val="22"/>
          <w:lang w:val="es-ES_tradnl"/>
        </w:rPr>
        <w:t>.</w:t>
      </w:r>
    </w:p>
    <w:p w14:paraId="76F598EA" w14:textId="32BDA4BF" w:rsidR="006C189C" w:rsidRPr="00D43CE8" w:rsidRDefault="00EA0455" w:rsidP="00A864BA">
      <w:pPr>
        <w:spacing w:after="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 xml:space="preserve">Como se indicó, parte de la Ley </w:t>
      </w:r>
      <w:r w:rsidR="007B209C" w:rsidRPr="00D43CE8">
        <w:rPr>
          <w:rFonts w:ascii="Arial" w:eastAsia="Calibri" w:hAnsi="Arial" w:cs="Arial"/>
          <w:sz w:val="22"/>
          <w:szCs w:val="22"/>
          <w:lang w:val="es-ES_tradnl"/>
        </w:rPr>
        <w:t>2069</w:t>
      </w:r>
      <w:r w:rsidRPr="00D43CE8">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D43CE8">
        <w:rPr>
          <w:rFonts w:ascii="Arial" w:eastAsia="Calibri" w:hAnsi="Arial" w:cs="Arial"/>
          <w:sz w:val="22"/>
          <w:szCs w:val="22"/>
          <w:lang w:val="es-ES_tradnl"/>
        </w:rPr>
        <w:t>mipymes</w:t>
      </w:r>
      <w:proofErr w:type="spellEnd"/>
      <w:r w:rsidRPr="00D43CE8">
        <w:rPr>
          <w:rFonts w:ascii="Arial" w:eastAsia="Calibri" w:hAnsi="Arial" w:cs="Arial"/>
          <w:sz w:val="22"/>
          <w:szCs w:val="22"/>
          <w:lang w:val="es-ES_tradnl"/>
        </w:rPr>
        <w:t xml:space="preserve"> en el procedimiento de mínima cuantía, </w:t>
      </w:r>
      <w:proofErr w:type="spellStart"/>
      <w:r w:rsidRPr="00D43CE8">
        <w:rPr>
          <w:rFonts w:ascii="Arial" w:eastAsia="Calibri" w:hAnsi="Arial" w:cs="Arial"/>
          <w:sz w:val="22"/>
          <w:szCs w:val="22"/>
          <w:lang w:val="es-ES_tradnl"/>
        </w:rPr>
        <w:t>ii</w:t>
      </w:r>
      <w:proofErr w:type="spellEnd"/>
      <w:r w:rsidRPr="00D43CE8">
        <w:rPr>
          <w:rFonts w:ascii="Arial" w:eastAsia="Calibri" w:hAnsi="Arial" w:cs="Arial"/>
          <w:sz w:val="22"/>
          <w:szCs w:val="22"/>
          <w:lang w:val="es-ES_tradnl"/>
        </w:rPr>
        <w:t xml:space="preserve">) criterios diferenciales para </w:t>
      </w:r>
      <w:proofErr w:type="spellStart"/>
      <w:r w:rsidRPr="00D43CE8">
        <w:rPr>
          <w:rFonts w:ascii="Arial" w:eastAsia="Calibri" w:hAnsi="Arial" w:cs="Arial"/>
          <w:sz w:val="22"/>
          <w:szCs w:val="22"/>
          <w:lang w:val="es-ES_tradnl"/>
        </w:rPr>
        <w:t>mipymes</w:t>
      </w:r>
      <w:proofErr w:type="spellEnd"/>
      <w:r w:rsidRPr="00D43CE8">
        <w:rPr>
          <w:rFonts w:ascii="Arial" w:eastAsia="Calibri" w:hAnsi="Arial" w:cs="Arial"/>
          <w:sz w:val="22"/>
          <w:szCs w:val="22"/>
          <w:lang w:val="es-ES_tradnl"/>
        </w:rPr>
        <w:t xml:space="preserve"> en el sistema de compras públicas, </w:t>
      </w:r>
      <w:proofErr w:type="spellStart"/>
      <w:r w:rsidRPr="00D43CE8">
        <w:rPr>
          <w:rFonts w:ascii="Arial" w:eastAsia="Calibri" w:hAnsi="Arial" w:cs="Arial"/>
          <w:sz w:val="22"/>
          <w:szCs w:val="22"/>
          <w:lang w:val="es-ES_tradnl"/>
        </w:rPr>
        <w:t>iii</w:t>
      </w:r>
      <w:proofErr w:type="spellEnd"/>
      <w:r w:rsidRPr="00D43CE8">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D43CE8">
        <w:rPr>
          <w:rFonts w:ascii="Arial" w:eastAsia="Calibri" w:hAnsi="Arial" w:cs="Arial"/>
          <w:sz w:val="22"/>
          <w:szCs w:val="22"/>
          <w:lang w:val="es-ES_tradnl"/>
        </w:rPr>
        <w:t>iv</w:t>
      </w:r>
      <w:proofErr w:type="spellEnd"/>
      <w:r w:rsidRPr="00D43CE8">
        <w:rPr>
          <w:rFonts w:ascii="Arial" w:eastAsia="Calibri" w:hAnsi="Arial" w:cs="Arial"/>
          <w:sz w:val="22"/>
          <w:szCs w:val="22"/>
          <w:lang w:val="es-ES_tradnl"/>
        </w:rPr>
        <w:t xml:space="preserve">) promoción del acceso de las </w:t>
      </w:r>
      <w:proofErr w:type="spellStart"/>
      <w:r w:rsidRPr="00D43CE8">
        <w:rPr>
          <w:rFonts w:ascii="Arial" w:eastAsia="Calibri" w:hAnsi="Arial" w:cs="Arial"/>
          <w:sz w:val="22"/>
          <w:szCs w:val="22"/>
          <w:lang w:val="es-ES_tradnl"/>
        </w:rPr>
        <w:t>mipymes</w:t>
      </w:r>
      <w:proofErr w:type="spellEnd"/>
      <w:r w:rsidRPr="00D43CE8">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w:t>
      </w:r>
      <w:r w:rsidR="00237F82" w:rsidRPr="00D43CE8">
        <w:rPr>
          <w:rFonts w:ascii="Arial" w:eastAsia="Calibri" w:hAnsi="Arial" w:cs="Arial"/>
          <w:sz w:val="22"/>
          <w:szCs w:val="22"/>
          <w:lang w:val="es-ES_tradnl"/>
        </w:rPr>
        <w:t>l</w:t>
      </w:r>
      <w:r w:rsidRPr="00D43CE8">
        <w:rPr>
          <w:rFonts w:ascii="Arial" w:eastAsia="Calibri" w:hAnsi="Arial" w:cs="Arial"/>
          <w:sz w:val="22"/>
          <w:szCs w:val="22"/>
          <w:lang w:val="es-ES_tradnl"/>
        </w:rPr>
        <w:t xml:space="preserve">ey, a </w:t>
      </w:r>
      <w:r w:rsidR="00DC1F4B" w:rsidRPr="00D43CE8">
        <w:rPr>
          <w:rFonts w:ascii="Arial" w:eastAsia="Calibri" w:hAnsi="Arial" w:cs="Arial"/>
          <w:sz w:val="22"/>
          <w:szCs w:val="22"/>
          <w:lang w:val="es-ES_tradnl"/>
        </w:rPr>
        <w:t>continuación,</w:t>
      </w:r>
      <w:r w:rsidRPr="00D43CE8">
        <w:rPr>
          <w:rFonts w:ascii="Arial" w:eastAsia="Calibri" w:hAnsi="Arial" w:cs="Arial"/>
          <w:sz w:val="22"/>
          <w:szCs w:val="22"/>
          <w:lang w:val="es-ES_tradnl"/>
        </w:rPr>
        <w:t xml:space="preserve"> se estudiará el contenido y alcance de dicha norma.  </w:t>
      </w:r>
    </w:p>
    <w:p w14:paraId="3BBAF618" w14:textId="1FE487B1" w:rsidR="005359BF" w:rsidRPr="00D43CE8" w:rsidRDefault="00E30269" w:rsidP="00AB2A9E">
      <w:pPr>
        <w:spacing w:after="120" w:line="276" w:lineRule="auto"/>
        <w:jc w:val="both"/>
        <w:rPr>
          <w:rFonts w:ascii="Arial" w:eastAsia="Calibri" w:hAnsi="Arial" w:cs="Arial"/>
          <w:sz w:val="22"/>
          <w:szCs w:val="22"/>
          <w:lang w:val="es-ES_tradnl"/>
        </w:rPr>
      </w:pPr>
      <w:r w:rsidRPr="00D43CE8">
        <w:rPr>
          <w:rFonts w:ascii="Arial" w:eastAsia="Calibri" w:hAnsi="Arial" w:cs="Arial"/>
          <w:sz w:val="22"/>
          <w:szCs w:val="22"/>
          <w:lang w:val="es-ES_tradnl"/>
        </w:rPr>
        <w:tab/>
      </w:r>
      <w:r w:rsidR="00FC6DB9" w:rsidRPr="00D43CE8">
        <w:rPr>
          <w:rFonts w:ascii="Arial" w:eastAsia="Calibri" w:hAnsi="Arial" w:cs="Arial"/>
          <w:sz w:val="22"/>
          <w:szCs w:val="22"/>
          <w:lang w:val="es-ES_tradnl"/>
        </w:rPr>
        <w:t xml:space="preserve">El artículo 35 de la Ley </w:t>
      </w:r>
      <w:r w:rsidR="007B209C" w:rsidRPr="00D43CE8">
        <w:rPr>
          <w:rFonts w:ascii="Arial" w:eastAsia="Calibri" w:hAnsi="Arial" w:cs="Arial"/>
          <w:sz w:val="22"/>
          <w:szCs w:val="22"/>
          <w:lang w:val="es-ES_tradnl"/>
        </w:rPr>
        <w:t>2069</w:t>
      </w:r>
      <w:r w:rsidR="00FC6DB9" w:rsidRPr="00D43CE8">
        <w:rPr>
          <w:rFonts w:ascii="Arial" w:eastAsia="Calibri" w:hAnsi="Arial" w:cs="Arial"/>
          <w:sz w:val="22"/>
          <w:szCs w:val="22"/>
          <w:lang w:val="es-ES_tradnl"/>
        </w:rPr>
        <w:t xml:space="preserve"> de 2020</w:t>
      </w:r>
      <w:r w:rsidR="00486226" w:rsidRPr="00D43CE8">
        <w:rPr>
          <w:rFonts w:ascii="Arial" w:eastAsia="Calibri" w:hAnsi="Arial" w:cs="Arial"/>
          <w:sz w:val="22"/>
          <w:szCs w:val="22"/>
          <w:lang w:val="es-ES_tradnl"/>
        </w:rPr>
        <w:t xml:space="preserve"> modifica la regulación de los </w:t>
      </w:r>
      <w:r w:rsidR="008F4163" w:rsidRPr="00D43CE8">
        <w:rPr>
          <w:rFonts w:ascii="Arial" w:eastAsia="Calibri" w:hAnsi="Arial" w:cs="Arial"/>
          <w:sz w:val="22"/>
          <w:szCs w:val="22"/>
          <w:lang w:val="es-ES_tradnl"/>
        </w:rPr>
        <w:t>factores</w:t>
      </w:r>
      <w:r w:rsidR="00486226" w:rsidRPr="00D43CE8">
        <w:rPr>
          <w:rFonts w:ascii="Arial" w:eastAsia="Calibri" w:hAnsi="Arial" w:cs="Arial"/>
          <w:sz w:val="22"/>
          <w:szCs w:val="22"/>
          <w:lang w:val="es-ES_tradnl"/>
        </w:rPr>
        <w:t xml:space="preserve"> de</w:t>
      </w:r>
      <w:r w:rsidR="008F4163" w:rsidRPr="00D43CE8">
        <w:rPr>
          <w:rFonts w:ascii="Arial" w:eastAsia="Calibri" w:hAnsi="Arial" w:cs="Arial"/>
          <w:sz w:val="22"/>
          <w:szCs w:val="22"/>
          <w:lang w:val="es-ES_tradnl"/>
        </w:rPr>
        <w:t xml:space="preserve"> desempate en la contratación estatal. </w:t>
      </w:r>
      <w:r w:rsidR="005359BF" w:rsidRPr="00D43CE8">
        <w:rPr>
          <w:rFonts w:ascii="Arial" w:eastAsia="Calibri" w:hAnsi="Arial" w:cs="Arial"/>
          <w:sz w:val="22"/>
          <w:szCs w:val="22"/>
          <w:lang w:val="es-ES_tradnl"/>
        </w:rPr>
        <w:t>Al respecto, pese a que el parág</w:t>
      </w:r>
      <w:r w:rsidR="00B84EFE">
        <w:rPr>
          <w:rFonts w:ascii="Arial" w:eastAsia="Calibri" w:hAnsi="Arial" w:cs="Arial"/>
          <w:sz w:val="22"/>
          <w:szCs w:val="22"/>
          <w:lang w:val="es-ES_tradnl"/>
        </w:rPr>
        <w:t>rafo 3 dispone que el Gobierno n</w:t>
      </w:r>
      <w:r w:rsidR="005359BF" w:rsidRPr="00D43CE8">
        <w:rPr>
          <w:rFonts w:ascii="Arial" w:eastAsia="Calibri" w:hAnsi="Arial" w:cs="Arial"/>
          <w:sz w:val="22"/>
          <w:szCs w:val="22"/>
          <w:lang w:val="es-ES_tradnl"/>
        </w:rPr>
        <w:t xml:space="preserve">acional podrá regular los supuestos en que concurran dos o más factores de desempate, se considera que el artículo 35 de la Ley </w:t>
      </w:r>
      <w:r w:rsidR="00D75232" w:rsidRPr="00D43CE8">
        <w:rPr>
          <w:rFonts w:ascii="Arial" w:eastAsia="Calibri" w:hAnsi="Arial" w:cs="Arial"/>
          <w:sz w:val="22"/>
          <w:szCs w:val="22"/>
          <w:lang w:val="es-ES_tradnl"/>
        </w:rPr>
        <w:t>2069</w:t>
      </w:r>
      <w:r w:rsidR="005359BF" w:rsidRPr="00D43CE8">
        <w:rPr>
          <w:rFonts w:ascii="Arial" w:eastAsia="Calibri" w:hAnsi="Arial" w:cs="Arial"/>
          <w:sz w:val="22"/>
          <w:szCs w:val="22"/>
          <w:lang w:val="es-ES_tradnl"/>
        </w:rPr>
        <w:t xml:space="preserve"> de 2020 goza de aplicación directa desde la fecha de su promulgación, es decir, no requ</w:t>
      </w:r>
      <w:r w:rsidR="009F44A9">
        <w:rPr>
          <w:rFonts w:ascii="Arial" w:eastAsia="Calibri" w:hAnsi="Arial" w:cs="Arial"/>
          <w:sz w:val="22"/>
          <w:szCs w:val="22"/>
          <w:lang w:val="es-ES_tradnl"/>
        </w:rPr>
        <w:t>ería</w:t>
      </w:r>
      <w:r w:rsidR="005359BF" w:rsidRPr="00D43CE8">
        <w:rPr>
          <w:rFonts w:ascii="Arial" w:eastAsia="Calibri" w:hAnsi="Arial" w:cs="Arial"/>
          <w:sz w:val="22"/>
          <w:szCs w:val="22"/>
          <w:lang w:val="es-ES_tradnl"/>
        </w:rPr>
        <w:t xml:space="preserve"> de una reglamentación previa como presupuesto para su eficacia. Esta precisión reviste</w:t>
      </w:r>
      <w:r w:rsidR="008C373A">
        <w:rPr>
          <w:rFonts w:ascii="Arial" w:eastAsia="Calibri" w:hAnsi="Arial" w:cs="Arial"/>
          <w:sz w:val="22"/>
          <w:szCs w:val="22"/>
          <w:lang w:val="es-ES_tradnl"/>
        </w:rPr>
        <w:t xml:space="preserve"> de</w:t>
      </w:r>
      <w:r w:rsidR="005359BF" w:rsidRPr="00D43CE8">
        <w:rPr>
          <w:rFonts w:ascii="Arial" w:eastAsia="Calibri" w:hAnsi="Arial" w:cs="Arial"/>
          <w:sz w:val="22"/>
          <w:szCs w:val="22"/>
          <w:lang w:val="es-ES_tradnl"/>
        </w:rPr>
        <w:t xml:space="preserve"> importancia, porque algunos enunciados normativos de la </w:t>
      </w:r>
      <w:r w:rsidR="00BF12F1" w:rsidRPr="00D43CE8">
        <w:rPr>
          <w:rFonts w:ascii="Arial" w:eastAsia="Calibri" w:hAnsi="Arial" w:cs="Arial"/>
          <w:sz w:val="22"/>
          <w:szCs w:val="22"/>
          <w:lang w:val="es-ES_tradnl"/>
        </w:rPr>
        <w:t>l</w:t>
      </w:r>
      <w:r w:rsidR="005359BF" w:rsidRPr="00D43CE8">
        <w:rPr>
          <w:rFonts w:ascii="Arial" w:eastAsia="Calibri" w:hAnsi="Arial" w:cs="Arial"/>
          <w:sz w:val="22"/>
          <w:szCs w:val="22"/>
          <w:lang w:val="es-ES_tradnl"/>
        </w:rPr>
        <w:t xml:space="preserve">ey bajo análisis establecen un mandato de </w:t>
      </w:r>
      <w:r w:rsidR="005359BF" w:rsidRPr="00D43CE8">
        <w:rPr>
          <w:rFonts w:ascii="Arial" w:eastAsia="Calibri" w:hAnsi="Arial" w:cs="Arial"/>
          <w:sz w:val="22"/>
          <w:szCs w:val="22"/>
          <w:lang w:val="es-ES_tradnl"/>
        </w:rPr>
        <w:lastRenderedPageBreak/>
        <w:t xml:space="preserve">reglamentación, dirigido al gobierno nacional, como condición para aplicar lo dispuesto en </w:t>
      </w:r>
      <w:r w:rsidR="00BF12F1" w:rsidRPr="00D43CE8">
        <w:rPr>
          <w:rFonts w:ascii="Arial" w:eastAsia="Calibri" w:hAnsi="Arial" w:cs="Arial"/>
          <w:sz w:val="22"/>
          <w:szCs w:val="22"/>
          <w:lang w:val="es-ES_tradnl"/>
        </w:rPr>
        <w:t>ella</w:t>
      </w:r>
      <w:r w:rsidR="005359BF" w:rsidRPr="00D43CE8">
        <w:rPr>
          <w:rFonts w:ascii="Arial" w:eastAsia="Calibri" w:hAnsi="Arial" w:cs="Arial"/>
          <w:sz w:val="22"/>
          <w:szCs w:val="22"/>
          <w:lang w:val="es-ES_tradnl"/>
        </w:rPr>
        <w:t xml:space="preserve">. </w:t>
      </w:r>
    </w:p>
    <w:p w14:paraId="34640C00" w14:textId="2AD240F4" w:rsidR="00E27871" w:rsidRPr="00D43CE8" w:rsidRDefault="00BA482B" w:rsidP="00A864BA">
      <w:pPr>
        <w:spacing w:after="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 xml:space="preserve">Por ejemplo, en lo que a las compras públicas se refiere, </w:t>
      </w:r>
      <w:r w:rsidR="00254AE9" w:rsidRPr="00D43CE8">
        <w:rPr>
          <w:rFonts w:ascii="Arial" w:eastAsia="Calibri" w:hAnsi="Arial" w:cs="Arial"/>
          <w:sz w:val="22"/>
          <w:szCs w:val="22"/>
          <w:lang w:val="es-ES_tradnl"/>
        </w:rPr>
        <w:t>el parágrafo primero del artículo</w:t>
      </w:r>
      <w:r w:rsidR="002E2C3F" w:rsidRPr="00D43CE8">
        <w:rPr>
          <w:rFonts w:ascii="Arial" w:eastAsia="Calibri" w:hAnsi="Arial" w:cs="Arial"/>
          <w:sz w:val="22"/>
          <w:szCs w:val="22"/>
          <w:lang w:val="es-ES_tradnl"/>
        </w:rPr>
        <w:t xml:space="preserve"> 30, que alude a la participación de </w:t>
      </w:r>
      <w:proofErr w:type="spellStart"/>
      <w:r w:rsidR="002E2C3F" w:rsidRPr="00D43CE8">
        <w:rPr>
          <w:rFonts w:ascii="Arial" w:eastAsia="Calibri" w:hAnsi="Arial" w:cs="Arial"/>
          <w:sz w:val="22"/>
          <w:szCs w:val="22"/>
          <w:lang w:val="es-ES_tradnl"/>
        </w:rPr>
        <w:t>mipymes</w:t>
      </w:r>
      <w:proofErr w:type="spellEnd"/>
      <w:r w:rsidR="002E2C3F" w:rsidRPr="00D43CE8">
        <w:rPr>
          <w:rFonts w:ascii="Arial" w:eastAsia="Calibri" w:hAnsi="Arial" w:cs="Arial"/>
          <w:sz w:val="22"/>
          <w:szCs w:val="22"/>
          <w:lang w:val="es-ES_tradnl"/>
        </w:rPr>
        <w:t xml:space="preserve"> en procedimientos de mínima cuantía, establece que</w:t>
      </w:r>
      <w:r w:rsidR="00985A66" w:rsidRPr="00D43CE8">
        <w:rPr>
          <w:rFonts w:ascii="Arial" w:eastAsia="Calibri" w:hAnsi="Arial" w:cs="Arial"/>
          <w:sz w:val="22"/>
          <w:szCs w:val="22"/>
          <w:lang w:val="es-ES_tradnl"/>
        </w:rPr>
        <w:t xml:space="preserve"> «Las particularidades del procedimiento aquí previsto, así como la posibilidad que tengan las entidades de realizar estas adquisiciones a </w:t>
      </w:r>
      <w:proofErr w:type="spellStart"/>
      <w:r w:rsidR="00691563" w:rsidRPr="00D43CE8">
        <w:rPr>
          <w:rFonts w:ascii="Arial" w:eastAsia="Calibri" w:hAnsi="Arial" w:cs="Arial"/>
          <w:sz w:val="22"/>
          <w:szCs w:val="22"/>
          <w:lang w:val="es-ES_tradnl"/>
        </w:rPr>
        <w:t>Mipymes</w:t>
      </w:r>
      <w:proofErr w:type="spellEnd"/>
      <w:r w:rsidR="00985A66" w:rsidRPr="00D43CE8">
        <w:rPr>
          <w:rFonts w:ascii="Arial" w:eastAsia="Calibri" w:hAnsi="Arial" w:cs="Arial"/>
          <w:sz w:val="22"/>
          <w:szCs w:val="22"/>
          <w:lang w:val="es-ES_tradnl"/>
        </w:rPr>
        <w:t xml:space="preserve"> o establecimientos que correspondan a la </w:t>
      </w:r>
      <w:r w:rsidR="00691563" w:rsidRPr="00D43CE8">
        <w:rPr>
          <w:rFonts w:ascii="Arial" w:eastAsia="Calibri" w:hAnsi="Arial" w:cs="Arial"/>
          <w:sz w:val="22"/>
          <w:szCs w:val="22"/>
          <w:lang w:val="es-ES_tradnl"/>
        </w:rPr>
        <w:t>definición</w:t>
      </w:r>
      <w:r w:rsidR="00985A66" w:rsidRPr="00D43CE8">
        <w:rPr>
          <w:rFonts w:ascii="Arial" w:eastAsia="Calibri" w:hAnsi="Arial" w:cs="Arial"/>
          <w:sz w:val="22"/>
          <w:szCs w:val="22"/>
          <w:lang w:val="es-ES_tradnl"/>
        </w:rPr>
        <w:t xml:space="preserve"> de "gran </w:t>
      </w:r>
      <w:r w:rsidR="00691563" w:rsidRPr="00D43CE8">
        <w:rPr>
          <w:rFonts w:ascii="Arial" w:eastAsia="Calibri" w:hAnsi="Arial" w:cs="Arial"/>
          <w:sz w:val="22"/>
          <w:szCs w:val="22"/>
          <w:lang w:val="es-ES_tradnl"/>
        </w:rPr>
        <w:t>almacén</w:t>
      </w:r>
      <w:r w:rsidR="00985A66" w:rsidRPr="00D43CE8">
        <w:rPr>
          <w:rFonts w:ascii="Arial" w:eastAsia="Calibri" w:hAnsi="Arial" w:cs="Arial"/>
          <w:sz w:val="22"/>
          <w:szCs w:val="22"/>
          <w:lang w:val="es-ES_tradnl"/>
        </w:rPr>
        <w:t xml:space="preserve">" </w:t>
      </w:r>
      <w:r w:rsidR="00787B1B" w:rsidRPr="00D43CE8">
        <w:rPr>
          <w:rFonts w:ascii="Arial" w:eastAsia="Calibri" w:hAnsi="Arial" w:cs="Arial"/>
          <w:sz w:val="22"/>
          <w:szCs w:val="22"/>
          <w:lang w:val="es-ES_tradnl"/>
        </w:rPr>
        <w:t>señalada</w:t>
      </w:r>
      <w:r w:rsidR="00985A66" w:rsidRPr="00D43CE8">
        <w:rPr>
          <w:rFonts w:ascii="Arial" w:eastAsia="Calibri" w:hAnsi="Arial" w:cs="Arial"/>
          <w:sz w:val="22"/>
          <w:szCs w:val="22"/>
          <w:lang w:val="es-ES_tradnl"/>
        </w:rPr>
        <w:t xml:space="preserve"> por la Superintendencia de Industria y Comercio, se </w:t>
      </w:r>
      <w:r w:rsidR="00691563" w:rsidRPr="00D43CE8">
        <w:rPr>
          <w:rFonts w:ascii="Arial" w:eastAsia="Calibri" w:hAnsi="Arial" w:cs="Arial"/>
          <w:sz w:val="22"/>
          <w:szCs w:val="22"/>
          <w:lang w:val="es-ES_tradnl"/>
        </w:rPr>
        <w:t>determinarán</w:t>
      </w:r>
      <w:r w:rsidR="00985A66" w:rsidRPr="00D43CE8">
        <w:rPr>
          <w:rFonts w:ascii="Arial" w:eastAsia="Calibri" w:hAnsi="Arial" w:cs="Arial"/>
          <w:sz w:val="22"/>
          <w:szCs w:val="22"/>
          <w:lang w:val="es-ES_tradnl"/>
        </w:rPr>
        <w:t xml:space="preserve"> en el reglamento que para el efecto expida el Gobierno Nacional</w:t>
      </w:r>
      <w:r w:rsidR="00691563" w:rsidRPr="00D43CE8">
        <w:rPr>
          <w:rFonts w:ascii="Arial" w:eastAsia="Calibri" w:hAnsi="Arial" w:cs="Arial"/>
          <w:sz w:val="22"/>
          <w:szCs w:val="22"/>
          <w:lang w:val="es-ES_tradnl"/>
        </w:rPr>
        <w:t>»</w:t>
      </w:r>
      <w:r w:rsidR="00985A66" w:rsidRPr="00D43CE8">
        <w:rPr>
          <w:rFonts w:ascii="Arial" w:eastAsia="Calibri" w:hAnsi="Arial" w:cs="Arial"/>
          <w:sz w:val="22"/>
          <w:szCs w:val="22"/>
          <w:lang w:val="es-ES_tradnl"/>
        </w:rPr>
        <w:t>.</w:t>
      </w:r>
      <w:r w:rsidR="00254AE9" w:rsidRPr="00D43CE8">
        <w:rPr>
          <w:rFonts w:ascii="Arial" w:eastAsia="Calibri" w:hAnsi="Arial" w:cs="Arial"/>
          <w:sz w:val="22"/>
          <w:szCs w:val="22"/>
          <w:lang w:val="es-ES_tradnl"/>
        </w:rPr>
        <w:t xml:space="preserve"> </w:t>
      </w:r>
      <w:r w:rsidR="00F73B82" w:rsidRPr="00D43CE8">
        <w:rPr>
          <w:rFonts w:ascii="Arial" w:eastAsia="Calibri" w:hAnsi="Arial" w:cs="Arial"/>
          <w:sz w:val="22"/>
          <w:szCs w:val="22"/>
          <w:lang w:val="es-ES_tradnl"/>
        </w:rPr>
        <w:t>En un sentido similar, el parágrafo segundo del mismo artículo expresa que «</w:t>
      </w:r>
      <w:r w:rsidR="008B5C7C" w:rsidRPr="00D43CE8">
        <w:rPr>
          <w:rFonts w:ascii="Arial" w:eastAsia="Calibri" w:hAnsi="Arial" w:cs="Arial"/>
          <w:sz w:val="22"/>
          <w:szCs w:val="22"/>
          <w:lang w:val="es-ES_tradnl"/>
        </w:rPr>
        <w:t>La contratación a que se refiere el presente artículo se realizará exclusivamente con las reglas en él contempladas y en su reglamentación. […]».</w:t>
      </w:r>
      <w:r w:rsidR="007534AD" w:rsidRPr="00D43CE8">
        <w:rPr>
          <w:rFonts w:ascii="Arial" w:eastAsia="Calibri" w:hAnsi="Arial" w:cs="Arial"/>
          <w:sz w:val="22"/>
          <w:szCs w:val="22"/>
          <w:lang w:val="es-ES_tradnl"/>
        </w:rPr>
        <w:t xml:space="preserve"> </w:t>
      </w:r>
    </w:p>
    <w:p w14:paraId="6BE8E6DF" w14:textId="77AC1A6E" w:rsidR="002F24DA" w:rsidRPr="00D43CE8" w:rsidRDefault="002F24DA" w:rsidP="00A864BA">
      <w:pPr>
        <w:spacing w:after="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Lo</w:t>
      </w:r>
      <w:r w:rsidR="008E4CAE" w:rsidRPr="00D43CE8">
        <w:rPr>
          <w:rFonts w:ascii="Arial" w:eastAsia="Calibri" w:hAnsi="Arial" w:cs="Arial"/>
          <w:sz w:val="22"/>
          <w:szCs w:val="22"/>
          <w:lang w:val="es-ES_tradnl"/>
        </w:rPr>
        <w:t xml:space="preserve"> mismo no sucede con el artículo 35</w:t>
      </w:r>
      <w:r w:rsidR="00535B2F" w:rsidRPr="00D43CE8">
        <w:rPr>
          <w:rFonts w:ascii="Arial" w:eastAsia="Calibri" w:hAnsi="Arial" w:cs="Arial"/>
          <w:sz w:val="22"/>
          <w:szCs w:val="22"/>
          <w:lang w:val="es-ES_tradnl"/>
        </w:rPr>
        <w:t xml:space="preserve">. En efecto, </w:t>
      </w:r>
      <w:r w:rsidR="00535B2F" w:rsidRPr="00D43CE8">
        <w:rPr>
          <w:rFonts w:ascii="Arial" w:hAnsi="Arial" w:cs="Arial"/>
          <w:sz w:val="22"/>
          <w:szCs w:val="22"/>
          <w:lang w:val="es-ES_tradnl"/>
        </w:rPr>
        <w:t>si bien los factores de desempate regulados en el artículo 35 deben aplicarse «</w:t>
      </w:r>
      <w:r w:rsidR="00535B2F" w:rsidRPr="00D43CE8">
        <w:rPr>
          <w:rFonts w:ascii="Arial" w:hAnsi="Arial" w:cs="Arial"/>
          <w:lang w:val="es-ES_tradnl"/>
        </w:rPr>
        <w:t xml:space="preserve">[…] </w:t>
      </w:r>
      <w:r w:rsidR="00535B2F" w:rsidRPr="00D43CE8">
        <w:rPr>
          <w:rFonts w:ascii="Arial" w:hAnsi="Arial" w:cs="Arial"/>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w:t>
      </w:r>
      <w:r w:rsidR="00913D24" w:rsidRPr="00D43CE8">
        <w:rPr>
          <w:rFonts w:ascii="Arial" w:hAnsi="Arial" w:cs="Arial"/>
          <w:sz w:val="22"/>
          <w:szCs w:val="22"/>
          <w:lang w:val="es-ES_tradnl"/>
        </w:rPr>
        <w:t xml:space="preserve">sin perjuicio de la competencia general prevista en el artículo 189.11 de Constitución Política de 1991, </w:t>
      </w:r>
      <w:r w:rsidR="00237F82" w:rsidRPr="00D43CE8">
        <w:rPr>
          <w:rFonts w:ascii="Arial" w:hAnsi="Arial" w:cs="Arial"/>
          <w:sz w:val="22"/>
          <w:szCs w:val="22"/>
          <w:lang w:val="es-ES_tradnl"/>
        </w:rPr>
        <w:t xml:space="preserve">este </w:t>
      </w:r>
      <w:r w:rsidR="00535B2F" w:rsidRPr="00D43CE8">
        <w:rPr>
          <w:rFonts w:ascii="Arial" w:hAnsi="Arial" w:cs="Arial"/>
          <w:sz w:val="22"/>
          <w:szCs w:val="22"/>
          <w:lang w:val="es-ES_tradnl"/>
        </w:rPr>
        <w:t xml:space="preserve">parágrafo le asigna potestad reglamentaria al gobierno nacional para definir factores que permitan desempatar las ofertas en aquellos casos en que varios oferentes reúnan al tiempo dos o más de los factores previstos en el artículo 35. </w:t>
      </w:r>
      <w:r w:rsidR="00535B2F" w:rsidRPr="00D43CE8">
        <w:rPr>
          <w:rFonts w:ascii="Arial" w:eastAsia="Calibri" w:hAnsi="Arial" w:cs="Arial"/>
          <w:sz w:val="22"/>
          <w:szCs w:val="22"/>
          <w:lang w:val="es-ES_tradnl"/>
        </w:rPr>
        <w:t xml:space="preserve"> </w:t>
      </w:r>
      <w:r w:rsidR="00287BDB" w:rsidRPr="00D43CE8">
        <w:rPr>
          <w:rFonts w:ascii="Arial" w:eastAsia="Calibri" w:hAnsi="Arial" w:cs="Arial"/>
          <w:sz w:val="22"/>
          <w:szCs w:val="22"/>
          <w:lang w:val="es-ES_tradnl"/>
        </w:rPr>
        <w:t xml:space="preserve"> </w:t>
      </w:r>
    </w:p>
    <w:p w14:paraId="2429ED54" w14:textId="2AC0A63A" w:rsidR="0001179A" w:rsidRPr="00D43CE8" w:rsidRDefault="00A23A34" w:rsidP="00A864BA">
      <w:pPr>
        <w:spacing w:after="120" w:line="276" w:lineRule="auto"/>
        <w:jc w:val="both"/>
        <w:rPr>
          <w:rFonts w:ascii="Arial" w:eastAsia="Calibri" w:hAnsi="Arial" w:cs="Arial"/>
          <w:sz w:val="22"/>
          <w:szCs w:val="22"/>
          <w:lang w:val="es-ES_tradnl"/>
        </w:rPr>
      </w:pPr>
      <w:r w:rsidRPr="00D43CE8">
        <w:rPr>
          <w:rFonts w:ascii="Arial" w:eastAsia="Calibri" w:hAnsi="Arial" w:cs="Arial"/>
          <w:b/>
          <w:bCs/>
          <w:sz w:val="22"/>
          <w:szCs w:val="22"/>
          <w:lang w:val="es-ES_tradnl"/>
        </w:rPr>
        <w:tab/>
      </w:r>
      <w:r w:rsidR="00913D24" w:rsidRPr="00D43CE8">
        <w:rPr>
          <w:rFonts w:ascii="Arial" w:eastAsia="Calibri" w:hAnsi="Arial" w:cs="Arial"/>
          <w:sz w:val="22"/>
          <w:szCs w:val="22"/>
          <w:lang w:val="es-ES_tradnl"/>
        </w:rPr>
        <w:t>L</w:t>
      </w:r>
      <w:r w:rsidR="00B64CD5" w:rsidRPr="00D43CE8">
        <w:rPr>
          <w:rFonts w:ascii="Arial" w:eastAsia="Calibri" w:hAnsi="Arial" w:cs="Arial"/>
          <w:sz w:val="22"/>
          <w:szCs w:val="22"/>
          <w:lang w:val="es-ES_tradnl"/>
        </w:rPr>
        <w:t>o explicado</w:t>
      </w:r>
      <w:r w:rsidR="00A703F7" w:rsidRPr="00D43CE8">
        <w:rPr>
          <w:rFonts w:ascii="Arial" w:eastAsia="Calibri" w:hAnsi="Arial" w:cs="Arial"/>
          <w:sz w:val="22"/>
          <w:szCs w:val="22"/>
          <w:lang w:val="es-ES_tradnl"/>
        </w:rPr>
        <w:t xml:space="preserve"> </w:t>
      </w:r>
      <w:r w:rsidR="00913D24" w:rsidRPr="00D43CE8">
        <w:rPr>
          <w:rFonts w:ascii="Arial" w:eastAsia="Calibri" w:hAnsi="Arial" w:cs="Arial"/>
          <w:sz w:val="22"/>
          <w:szCs w:val="22"/>
          <w:lang w:val="es-ES_tradnl"/>
        </w:rPr>
        <w:t>e</w:t>
      </w:r>
      <w:r w:rsidR="00A703F7" w:rsidRPr="00D43CE8">
        <w:rPr>
          <w:rFonts w:ascii="Arial" w:eastAsia="Calibri" w:hAnsi="Arial" w:cs="Arial"/>
          <w:sz w:val="22"/>
          <w:szCs w:val="22"/>
          <w:lang w:val="es-ES_tradnl"/>
        </w:rPr>
        <w:t>n</w:t>
      </w:r>
      <w:r w:rsidR="00913D24" w:rsidRPr="00D43CE8">
        <w:rPr>
          <w:rFonts w:ascii="Arial" w:eastAsia="Calibri" w:hAnsi="Arial" w:cs="Arial"/>
          <w:sz w:val="22"/>
          <w:szCs w:val="22"/>
          <w:lang w:val="es-ES_tradnl"/>
        </w:rPr>
        <w:t xml:space="preserve"> los párrafos precedentes es importante</w:t>
      </w:r>
      <w:r w:rsidRPr="00D43CE8">
        <w:rPr>
          <w:rFonts w:ascii="Arial" w:eastAsia="Calibri" w:hAnsi="Arial" w:cs="Arial"/>
          <w:sz w:val="22"/>
          <w:szCs w:val="22"/>
          <w:lang w:val="es-ES_tradnl"/>
        </w:rPr>
        <w:t>,</w:t>
      </w:r>
      <w:r w:rsidR="00913D24" w:rsidRPr="00D43CE8">
        <w:rPr>
          <w:rFonts w:ascii="Arial" w:eastAsia="Calibri" w:hAnsi="Arial" w:cs="Arial"/>
          <w:sz w:val="22"/>
          <w:szCs w:val="22"/>
          <w:lang w:val="es-ES_tradnl"/>
        </w:rPr>
        <w:t xml:space="preserve"> porque</w:t>
      </w:r>
      <w:r w:rsidRPr="00D43CE8">
        <w:rPr>
          <w:rFonts w:ascii="Arial" w:eastAsia="Calibri" w:hAnsi="Arial" w:cs="Arial"/>
          <w:sz w:val="22"/>
          <w:szCs w:val="22"/>
          <w:lang w:val="es-ES_tradnl"/>
        </w:rPr>
        <w:t xml:space="preserve"> </w:t>
      </w:r>
      <w:r w:rsidR="00334BC6" w:rsidRPr="00D43CE8">
        <w:rPr>
          <w:rFonts w:ascii="Arial" w:eastAsia="Calibri" w:hAnsi="Arial" w:cs="Arial"/>
          <w:sz w:val="22"/>
          <w:szCs w:val="22"/>
          <w:lang w:val="es-ES_tradnl"/>
        </w:rPr>
        <w:t>el pasado 24 de diciembre</w:t>
      </w:r>
      <w:r w:rsidRPr="00D43CE8">
        <w:rPr>
          <w:rFonts w:ascii="Arial" w:eastAsia="Calibri" w:hAnsi="Arial" w:cs="Arial"/>
          <w:sz w:val="22"/>
          <w:szCs w:val="22"/>
          <w:lang w:val="es-ES_tradnl"/>
        </w:rPr>
        <w:t xml:space="preserve">, el </w:t>
      </w:r>
      <w:r w:rsidR="00124D7B" w:rsidRPr="00D43CE8">
        <w:rPr>
          <w:rFonts w:ascii="Arial" w:eastAsia="Calibri" w:hAnsi="Arial" w:cs="Arial"/>
          <w:sz w:val="22"/>
          <w:szCs w:val="22"/>
          <w:lang w:val="es-ES_tradnl"/>
        </w:rPr>
        <w:t>gobierno nacional expidió el Decreto 1860 de 2021</w:t>
      </w:r>
      <w:r w:rsidR="00913D24" w:rsidRPr="00D43CE8">
        <w:rPr>
          <w:rFonts w:ascii="Arial" w:eastAsia="Calibri" w:hAnsi="Arial" w:cs="Arial"/>
          <w:sz w:val="22"/>
          <w:szCs w:val="22"/>
          <w:lang w:val="es-ES_tradnl"/>
        </w:rPr>
        <w:t>,</w:t>
      </w:r>
      <w:r w:rsidR="0046542D" w:rsidRPr="00D43CE8">
        <w:t xml:space="preserve"> </w:t>
      </w:r>
      <w:r w:rsidR="00545FCF" w:rsidRPr="00D43CE8">
        <w:rPr>
          <w:rFonts w:ascii="Arial" w:eastAsia="Calibri" w:hAnsi="Arial" w:cs="Arial"/>
          <w:sz w:val="22"/>
          <w:szCs w:val="22"/>
          <w:lang w:val="es-ES_tradnl"/>
        </w:rPr>
        <w:t>«</w:t>
      </w:r>
      <w:r w:rsidR="0046542D" w:rsidRPr="00D43CE8">
        <w:rPr>
          <w:rFonts w:ascii="Arial" w:eastAsia="Calibri" w:hAnsi="Arial"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00545FCF" w:rsidRPr="00D43CE8">
        <w:rPr>
          <w:rFonts w:ascii="Arial" w:eastAsia="Calibri" w:hAnsi="Arial" w:cs="Arial"/>
          <w:sz w:val="22"/>
          <w:szCs w:val="22"/>
          <w:lang w:val="es-ES_tradnl"/>
        </w:rPr>
        <w:t xml:space="preserve">. Esta norma </w:t>
      </w:r>
      <w:r w:rsidR="00334BC6" w:rsidRPr="00D43CE8">
        <w:rPr>
          <w:rFonts w:ascii="Arial" w:eastAsia="Calibri" w:hAnsi="Arial" w:cs="Arial"/>
          <w:sz w:val="22"/>
          <w:szCs w:val="22"/>
          <w:lang w:val="es-ES_tradnl"/>
        </w:rPr>
        <w:t>se expidió</w:t>
      </w:r>
      <w:r w:rsidR="0001179A" w:rsidRPr="00D43CE8">
        <w:rPr>
          <w:rFonts w:ascii="Arial" w:eastAsia="Calibri" w:hAnsi="Arial" w:cs="Arial"/>
          <w:sz w:val="22"/>
          <w:szCs w:val="22"/>
          <w:lang w:val="es-ES_tradnl"/>
        </w:rPr>
        <w:t xml:space="preserve"> </w:t>
      </w:r>
      <w:r w:rsidR="00467B96" w:rsidRPr="00D43CE8">
        <w:rPr>
          <w:rFonts w:ascii="Arial" w:eastAsia="Calibri" w:hAnsi="Arial" w:cs="Arial"/>
          <w:sz w:val="22"/>
          <w:szCs w:val="22"/>
          <w:lang w:val="es-ES_tradnl"/>
        </w:rPr>
        <w:t>con el propósito</w:t>
      </w:r>
      <w:r w:rsidR="0001179A" w:rsidRPr="00D43CE8">
        <w:rPr>
          <w:rFonts w:ascii="Arial" w:eastAsia="Calibri" w:hAnsi="Arial" w:cs="Arial"/>
          <w:sz w:val="22"/>
          <w:szCs w:val="22"/>
          <w:lang w:val="es-ES_tradnl"/>
        </w:rPr>
        <w:t xml:space="preserve"> de adecuar el</w:t>
      </w:r>
      <w:r w:rsidR="00304E8D" w:rsidRPr="00D43CE8">
        <w:rPr>
          <w:rFonts w:ascii="Arial" w:eastAsia="Calibri" w:hAnsi="Arial" w:cs="Arial"/>
          <w:sz w:val="22"/>
          <w:szCs w:val="22"/>
          <w:lang w:val="es-ES_tradnl"/>
        </w:rPr>
        <w:t xml:space="preserve"> marco reglamentario </w:t>
      </w:r>
      <w:r w:rsidR="005E2FDD" w:rsidRPr="00D43CE8">
        <w:rPr>
          <w:rFonts w:ascii="Arial" w:eastAsia="Calibri" w:hAnsi="Arial" w:cs="Arial"/>
          <w:sz w:val="22"/>
          <w:szCs w:val="22"/>
          <w:lang w:val="es-ES_tradnl"/>
        </w:rPr>
        <w:t xml:space="preserve">de la contratación pública </w:t>
      </w:r>
      <w:r w:rsidR="00F569F5" w:rsidRPr="00D43CE8">
        <w:rPr>
          <w:rFonts w:ascii="Arial" w:eastAsia="Calibri" w:hAnsi="Arial" w:cs="Arial"/>
          <w:sz w:val="22"/>
          <w:szCs w:val="22"/>
          <w:lang w:val="es-ES_tradnl"/>
        </w:rPr>
        <w:t>a las modificaciones normativas que se desprenden de</w:t>
      </w:r>
      <w:r w:rsidR="00D445F3" w:rsidRPr="00D43CE8">
        <w:rPr>
          <w:rFonts w:ascii="Arial" w:eastAsia="Calibri" w:hAnsi="Arial" w:cs="Arial"/>
          <w:sz w:val="22"/>
          <w:szCs w:val="22"/>
          <w:lang w:val="es-ES_tradnl"/>
        </w:rPr>
        <w:t xml:space="preserve">l </w:t>
      </w:r>
      <w:r w:rsidR="00467B96" w:rsidRPr="00D43CE8">
        <w:rPr>
          <w:rFonts w:ascii="Arial" w:eastAsia="Calibri" w:hAnsi="Arial" w:cs="Arial"/>
          <w:sz w:val="22"/>
          <w:szCs w:val="22"/>
          <w:lang w:val="es-ES_tradnl"/>
        </w:rPr>
        <w:t>Capítulo</w:t>
      </w:r>
      <w:r w:rsidR="00D445F3" w:rsidRPr="00D43CE8">
        <w:rPr>
          <w:rFonts w:ascii="Arial" w:eastAsia="Calibri" w:hAnsi="Arial" w:cs="Arial"/>
          <w:sz w:val="22"/>
          <w:szCs w:val="22"/>
          <w:lang w:val="es-ES_tradnl"/>
        </w:rPr>
        <w:t xml:space="preserve"> III de la Ley 2069 de 2020 –con excepción de los artículos 33 y 36–</w:t>
      </w:r>
      <w:r w:rsidR="00E632B7" w:rsidRPr="00D43CE8">
        <w:rPr>
          <w:rFonts w:ascii="Arial" w:eastAsia="Calibri" w:hAnsi="Arial" w:cs="Arial"/>
          <w:sz w:val="22"/>
          <w:szCs w:val="22"/>
          <w:lang w:val="es-ES_tradnl"/>
        </w:rPr>
        <w:t>,</w:t>
      </w:r>
      <w:r w:rsidR="00F569F5" w:rsidRPr="00D43CE8">
        <w:rPr>
          <w:rFonts w:ascii="Arial" w:eastAsia="Calibri" w:hAnsi="Arial" w:cs="Arial"/>
          <w:sz w:val="22"/>
          <w:szCs w:val="22"/>
          <w:lang w:val="es-ES_tradnl"/>
        </w:rPr>
        <w:t xml:space="preserve"> realizando las adecuaciones </w:t>
      </w:r>
      <w:r w:rsidR="004575F9" w:rsidRPr="00D43CE8">
        <w:rPr>
          <w:rFonts w:ascii="Arial" w:eastAsia="Calibri" w:hAnsi="Arial" w:cs="Arial"/>
          <w:sz w:val="22"/>
          <w:szCs w:val="22"/>
          <w:lang w:val="es-ES_tradnl"/>
        </w:rPr>
        <w:t xml:space="preserve">requeridas para aplicar </w:t>
      </w:r>
      <w:r w:rsidR="00F569F5" w:rsidRPr="00D43CE8">
        <w:rPr>
          <w:rFonts w:ascii="Arial" w:eastAsia="Calibri" w:hAnsi="Arial" w:cs="Arial"/>
          <w:sz w:val="22"/>
          <w:szCs w:val="22"/>
          <w:lang w:val="es-ES_tradnl"/>
        </w:rPr>
        <w:t xml:space="preserve">estas </w:t>
      </w:r>
      <w:r w:rsidR="00964D77" w:rsidRPr="00D43CE8">
        <w:rPr>
          <w:rFonts w:ascii="Arial" w:eastAsia="Calibri" w:hAnsi="Arial" w:cs="Arial"/>
          <w:sz w:val="22"/>
          <w:szCs w:val="22"/>
          <w:lang w:val="es-ES_tradnl"/>
        </w:rPr>
        <w:t>disposiciones</w:t>
      </w:r>
      <w:r w:rsidR="001958DE" w:rsidRPr="00D43CE8">
        <w:rPr>
          <w:rFonts w:ascii="Arial" w:eastAsia="Calibri" w:hAnsi="Arial" w:cs="Arial"/>
          <w:sz w:val="22"/>
          <w:szCs w:val="22"/>
          <w:lang w:val="es-ES_tradnl"/>
        </w:rPr>
        <w:t xml:space="preserve">, tal como </w:t>
      </w:r>
      <w:r w:rsidR="00A32354" w:rsidRPr="00D43CE8">
        <w:rPr>
          <w:rFonts w:ascii="Arial" w:eastAsia="Calibri" w:hAnsi="Arial" w:cs="Arial"/>
          <w:sz w:val="22"/>
          <w:szCs w:val="22"/>
          <w:lang w:val="es-ES_tradnl"/>
        </w:rPr>
        <w:t>indica el artículo 1 del Decreto 1860 de 2021</w:t>
      </w:r>
      <w:r w:rsidR="00A32354" w:rsidRPr="00D43CE8">
        <w:rPr>
          <w:rStyle w:val="Refdenotaalpie"/>
          <w:rFonts w:ascii="Arial" w:eastAsia="Calibri" w:hAnsi="Arial" w:cs="Arial"/>
          <w:sz w:val="22"/>
          <w:szCs w:val="22"/>
          <w:lang w:val="es-ES_tradnl"/>
        </w:rPr>
        <w:footnoteReference w:id="11"/>
      </w:r>
      <w:r w:rsidR="00A32354" w:rsidRPr="00D43CE8">
        <w:rPr>
          <w:rFonts w:ascii="Arial" w:eastAsia="Calibri" w:hAnsi="Arial" w:cs="Arial"/>
          <w:sz w:val="22"/>
          <w:szCs w:val="22"/>
          <w:lang w:val="es-ES_tradnl"/>
        </w:rPr>
        <w:t xml:space="preserve">. </w:t>
      </w:r>
      <w:r w:rsidR="002675DE" w:rsidRPr="00D43CE8">
        <w:rPr>
          <w:rFonts w:ascii="Arial" w:eastAsia="Calibri" w:hAnsi="Arial" w:cs="Arial"/>
          <w:sz w:val="22"/>
          <w:szCs w:val="22"/>
          <w:lang w:val="es-ES_tradnl"/>
        </w:rPr>
        <w:t xml:space="preserve"> </w:t>
      </w:r>
    </w:p>
    <w:p w14:paraId="2C7445B7" w14:textId="38BB7CB1" w:rsidR="00BC41E9" w:rsidRPr="00D43CE8" w:rsidRDefault="002A544F" w:rsidP="00A864BA">
      <w:pPr>
        <w:spacing w:after="120" w:line="276" w:lineRule="auto"/>
        <w:jc w:val="both"/>
        <w:rPr>
          <w:rFonts w:ascii="Arial" w:hAnsi="Arial" w:cs="Arial"/>
          <w:sz w:val="22"/>
          <w:szCs w:val="22"/>
          <w:lang w:eastAsia="es-CO"/>
        </w:rPr>
      </w:pPr>
      <w:r w:rsidRPr="00D43CE8">
        <w:rPr>
          <w:rFonts w:ascii="Arial" w:eastAsia="Calibri" w:hAnsi="Arial" w:cs="Arial"/>
          <w:sz w:val="22"/>
          <w:szCs w:val="22"/>
          <w:lang w:val="es-ES_tradnl"/>
        </w:rPr>
        <w:lastRenderedPageBreak/>
        <w:tab/>
      </w:r>
      <w:r w:rsidR="00014D06">
        <w:rPr>
          <w:rFonts w:ascii="Arial" w:eastAsia="Calibri" w:hAnsi="Arial" w:cs="Arial"/>
          <w:sz w:val="22"/>
          <w:szCs w:val="22"/>
          <w:lang w:val="es-ES_tradnl"/>
        </w:rPr>
        <w:t xml:space="preserve">En lo relativo al artículo 35 de la Ley 2069 de 2020, el artículo </w:t>
      </w:r>
      <w:r w:rsidR="00A33C34">
        <w:rPr>
          <w:rFonts w:ascii="Arial" w:eastAsia="Calibri" w:hAnsi="Arial" w:cs="Arial"/>
          <w:sz w:val="22"/>
          <w:szCs w:val="22"/>
          <w:lang w:val="es-ES_tradnl"/>
        </w:rPr>
        <w:t xml:space="preserve">3 del Decreto 1860 de 2021 adiciona el artículo </w:t>
      </w:r>
      <w:r w:rsidR="00740B7A" w:rsidRPr="00740B7A">
        <w:rPr>
          <w:rFonts w:ascii="Arial" w:eastAsia="Calibri" w:hAnsi="Arial" w:cs="Arial"/>
          <w:sz w:val="22"/>
          <w:szCs w:val="22"/>
          <w:lang w:val="es-ES_tradnl"/>
        </w:rPr>
        <w:t xml:space="preserve">2.2.1.2.4.2.17. </w:t>
      </w:r>
      <w:r w:rsidR="00AF5CD4">
        <w:rPr>
          <w:rFonts w:ascii="Arial" w:eastAsia="Calibri" w:hAnsi="Arial" w:cs="Arial"/>
          <w:sz w:val="22"/>
          <w:szCs w:val="22"/>
          <w:lang w:val="es-ES_tradnl"/>
        </w:rPr>
        <w:t xml:space="preserve">a la </w:t>
      </w:r>
      <w:r w:rsidR="008C07BD" w:rsidRPr="008C07BD">
        <w:rPr>
          <w:rFonts w:ascii="Arial" w:eastAsia="Calibri" w:hAnsi="Arial" w:cs="Arial"/>
          <w:sz w:val="22"/>
          <w:szCs w:val="22"/>
          <w:lang w:val="es-ES_tradnl"/>
        </w:rPr>
        <w:t>Subsección 2 de la Sección 4 del Capítulo 2 del Título 1 de la Parte 2 del Libro 2 del Decreto 1082 de 2015</w:t>
      </w:r>
      <w:r w:rsidR="00A20A2B" w:rsidRPr="00D43CE8">
        <w:rPr>
          <w:rFonts w:ascii="Arial" w:hAnsi="Arial" w:cs="Arial"/>
          <w:sz w:val="22"/>
          <w:szCs w:val="22"/>
          <w:lang w:eastAsia="es-CO"/>
        </w:rPr>
        <w:t>, el cual</w:t>
      </w:r>
      <w:r w:rsidR="00D02F4D" w:rsidRPr="00D43CE8">
        <w:rPr>
          <w:rFonts w:ascii="Arial" w:hAnsi="Arial" w:cs="Arial"/>
          <w:sz w:val="22"/>
          <w:szCs w:val="22"/>
          <w:lang w:eastAsia="es-CO"/>
        </w:rPr>
        <w:t xml:space="preserve"> reglamenta los factores</w:t>
      </w:r>
      <w:r w:rsidR="008D6DB5" w:rsidRPr="00D43CE8">
        <w:rPr>
          <w:rFonts w:ascii="Arial" w:hAnsi="Arial" w:cs="Arial"/>
          <w:sz w:val="22"/>
          <w:szCs w:val="22"/>
          <w:lang w:eastAsia="es-CO"/>
        </w:rPr>
        <w:t xml:space="preserve"> de desempate del artículo 35</w:t>
      </w:r>
      <w:r w:rsidR="00277419" w:rsidRPr="00D43CE8">
        <w:rPr>
          <w:rFonts w:ascii="Arial" w:hAnsi="Arial" w:cs="Arial"/>
          <w:sz w:val="22"/>
          <w:szCs w:val="22"/>
          <w:lang w:eastAsia="es-CO"/>
        </w:rPr>
        <w:t xml:space="preserve"> </w:t>
      </w:r>
      <w:proofErr w:type="spellStart"/>
      <w:r w:rsidR="00277419" w:rsidRPr="00D43CE8">
        <w:rPr>
          <w:rFonts w:ascii="Arial" w:hAnsi="Arial" w:cs="Arial"/>
          <w:i/>
          <w:iCs/>
          <w:sz w:val="22"/>
          <w:szCs w:val="22"/>
          <w:lang w:eastAsia="es-CO"/>
        </w:rPr>
        <w:t>ibídem</w:t>
      </w:r>
      <w:proofErr w:type="spellEnd"/>
      <w:r w:rsidR="00277419" w:rsidRPr="00D43CE8">
        <w:rPr>
          <w:rFonts w:ascii="Arial" w:hAnsi="Arial" w:cs="Arial"/>
          <w:sz w:val="22"/>
          <w:szCs w:val="22"/>
          <w:lang w:eastAsia="es-CO"/>
        </w:rPr>
        <w:t>, estableciendo los medios de acreditación de cada uno de los supuestos de hecho en función de los cuales operan</w:t>
      </w:r>
      <w:r w:rsidR="001958DE" w:rsidRPr="00D43CE8">
        <w:rPr>
          <w:rFonts w:ascii="Arial" w:hAnsi="Arial" w:cs="Arial"/>
          <w:sz w:val="22"/>
          <w:szCs w:val="22"/>
          <w:lang w:eastAsia="es-CO"/>
        </w:rPr>
        <w:t>.</w:t>
      </w:r>
    </w:p>
    <w:p w14:paraId="2193C712" w14:textId="45F957F7" w:rsidR="00D63898" w:rsidRPr="00D43CE8" w:rsidRDefault="00903158" w:rsidP="00A864BA">
      <w:pPr>
        <w:pStyle w:val="NormalWeb"/>
        <w:shd w:val="clear" w:color="auto" w:fill="FFFFFF"/>
        <w:spacing w:before="0" w:beforeAutospacing="0" w:after="120" w:afterAutospacing="0" w:line="276" w:lineRule="auto"/>
        <w:jc w:val="both"/>
        <w:rPr>
          <w:rFonts w:ascii="Arial" w:hAnsi="Arial" w:cs="Arial"/>
          <w:sz w:val="22"/>
          <w:szCs w:val="22"/>
        </w:rPr>
      </w:pPr>
      <w:r w:rsidRPr="00D43CE8">
        <w:rPr>
          <w:rFonts w:ascii="Arial" w:hAnsi="Arial" w:cs="Arial"/>
          <w:sz w:val="22"/>
          <w:szCs w:val="22"/>
        </w:rPr>
        <w:tab/>
        <w:t>De otra parte, el art</w:t>
      </w:r>
      <w:r w:rsidR="00D63898" w:rsidRPr="00D43CE8">
        <w:rPr>
          <w:rFonts w:ascii="Arial" w:hAnsi="Arial" w:cs="Arial"/>
          <w:sz w:val="22"/>
          <w:szCs w:val="22"/>
        </w:rPr>
        <w:t xml:space="preserve">ículo 7 del </w:t>
      </w:r>
      <w:r w:rsidR="00914580">
        <w:rPr>
          <w:rFonts w:ascii="Arial" w:hAnsi="Arial" w:cs="Arial"/>
          <w:sz w:val="22"/>
          <w:szCs w:val="22"/>
        </w:rPr>
        <w:t>D</w:t>
      </w:r>
      <w:r w:rsidR="00D63898" w:rsidRPr="00D43CE8">
        <w:rPr>
          <w:rFonts w:ascii="Arial" w:hAnsi="Arial" w:cs="Arial"/>
          <w:sz w:val="22"/>
          <w:szCs w:val="22"/>
        </w:rPr>
        <w:t xml:space="preserve">ecreto recientemente expedido modificó el contenido del artículo 2.2.1.2.4.2.8 </w:t>
      </w:r>
      <w:r w:rsidR="00D63898" w:rsidRPr="00D43CE8">
        <w:rPr>
          <w:rFonts w:ascii="Arial" w:hAnsi="Arial" w:cs="Arial"/>
          <w:sz w:val="22"/>
          <w:szCs w:val="22"/>
          <w:shd w:val="clear" w:color="auto" w:fill="FFFFFF"/>
        </w:rPr>
        <w:t xml:space="preserve">de la Subsección 2 de la Sección 4 del Capítulo 2 del Título 1 de la Parte 2 del Libro 2 del Decreto 1082 de 2015, alusivo al sistema de preferencias en favor de las personas con discapacidad. </w:t>
      </w:r>
      <w:r w:rsidR="00D63898" w:rsidRPr="00D43CE8">
        <w:rPr>
          <w:rFonts w:ascii="Arial" w:hAnsi="Arial" w:cs="Arial"/>
          <w:sz w:val="22"/>
          <w:szCs w:val="22"/>
        </w:rPr>
        <w:t>La modificación realizada re</w:t>
      </w:r>
      <w:r w:rsidR="00060667" w:rsidRPr="00D43CE8">
        <w:rPr>
          <w:rFonts w:ascii="Arial" w:hAnsi="Arial" w:cs="Arial"/>
          <w:sz w:val="22"/>
          <w:szCs w:val="22"/>
        </w:rPr>
        <w:t>e</w:t>
      </w:r>
      <w:r w:rsidR="00D63898" w:rsidRPr="00D43CE8">
        <w:rPr>
          <w:rFonts w:ascii="Arial" w:hAnsi="Arial" w:cs="Arial"/>
          <w:sz w:val="22"/>
          <w:szCs w:val="22"/>
        </w:rPr>
        <w:t>mplaz</w:t>
      </w:r>
      <w:r w:rsidR="00C82A26" w:rsidRPr="00D43CE8">
        <w:rPr>
          <w:rFonts w:ascii="Arial" w:hAnsi="Arial" w:cs="Arial"/>
          <w:sz w:val="22"/>
          <w:szCs w:val="22"/>
        </w:rPr>
        <w:t>ó</w:t>
      </w:r>
      <w:r w:rsidR="00D63898" w:rsidRPr="00D43CE8">
        <w:rPr>
          <w:rFonts w:ascii="Arial" w:hAnsi="Arial" w:cs="Arial"/>
          <w:sz w:val="22"/>
          <w:szCs w:val="22"/>
        </w:rPr>
        <w:t xml:space="preserve"> la referencia al artículo </w:t>
      </w:r>
      <w:r w:rsidR="00C82A26" w:rsidRPr="00D43CE8">
        <w:rPr>
          <w:rFonts w:ascii="Arial" w:hAnsi="Arial" w:cs="Arial"/>
          <w:sz w:val="22"/>
          <w:szCs w:val="22"/>
        </w:rPr>
        <w:t>2.2.1.1.2.2.9 del Decreto 1082 de 2015, que anteriormente reglamentaba los factores de desempate, por una remisión al artículo 35 de la Ley 2069 de 2020 y el artículo 2.2.1.2.4.2.17 del Decreto 1082 de 2015, disposiciones por las que ahora se rigen los criterios de desempate.</w:t>
      </w:r>
    </w:p>
    <w:p w14:paraId="0D97EABC" w14:textId="77777777" w:rsidR="00EC6516" w:rsidRDefault="00F1363E" w:rsidP="00A864BA">
      <w:pPr>
        <w:spacing w:after="120" w:line="276" w:lineRule="auto"/>
        <w:jc w:val="both"/>
        <w:rPr>
          <w:rFonts w:ascii="Arial" w:hAnsi="Arial" w:cs="Arial"/>
          <w:sz w:val="22"/>
          <w:szCs w:val="22"/>
          <w:lang w:eastAsia="es-CO"/>
        </w:rPr>
      </w:pPr>
      <w:r w:rsidRPr="00D43CE8">
        <w:rPr>
          <w:rFonts w:ascii="Arial" w:hAnsi="Arial" w:cs="Arial"/>
          <w:sz w:val="22"/>
          <w:szCs w:val="22"/>
          <w:lang w:eastAsia="es-CO"/>
        </w:rPr>
        <w:tab/>
      </w:r>
      <w:r w:rsidR="00737596" w:rsidRPr="00D43CE8">
        <w:rPr>
          <w:rFonts w:ascii="Arial" w:hAnsi="Arial" w:cs="Arial"/>
          <w:sz w:val="22"/>
          <w:szCs w:val="22"/>
          <w:lang w:eastAsia="es-CO"/>
        </w:rPr>
        <w:t xml:space="preserve">Por último, debe precisarse que la vigencia del Decreto 1860 de 2021 </w:t>
      </w:r>
      <w:r w:rsidR="00B726C6" w:rsidRPr="00D43CE8">
        <w:rPr>
          <w:rFonts w:ascii="Arial" w:hAnsi="Arial" w:cs="Arial"/>
          <w:sz w:val="22"/>
          <w:szCs w:val="22"/>
          <w:lang w:eastAsia="es-CO"/>
        </w:rPr>
        <w:t>es</w:t>
      </w:r>
      <w:r w:rsidR="00737596" w:rsidRPr="00D43CE8">
        <w:rPr>
          <w:rFonts w:ascii="Arial" w:hAnsi="Arial" w:cs="Arial"/>
          <w:sz w:val="22"/>
          <w:szCs w:val="22"/>
          <w:lang w:eastAsia="es-CO"/>
        </w:rPr>
        <w:t xml:space="preserve"> regulada por su artículo </w:t>
      </w:r>
      <w:r w:rsidR="00607CB3" w:rsidRPr="00D43CE8">
        <w:rPr>
          <w:rFonts w:ascii="Arial" w:hAnsi="Arial" w:cs="Arial"/>
          <w:sz w:val="22"/>
          <w:szCs w:val="22"/>
          <w:lang w:eastAsia="es-CO"/>
        </w:rPr>
        <w:t>8, el cual establece que «Las disposiciones contenidas en el presente Decreto se aplicarán a los procedimientos de selección cuya invitación, aviso de convocatoria o documento equivalente se publique a los tres (3) meses contados a partir de su expedición</w:t>
      </w:r>
      <w:r w:rsidR="006770AE" w:rsidRPr="00D43CE8">
        <w:rPr>
          <w:rFonts w:ascii="Arial" w:hAnsi="Arial" w:cs="Arial"/>
          <w:sz w:val="22"/>
          <w:szCs w:val="22"/>
          <w:lang w:eastAsia="es-CO"/>
        </w:rPr>
        <w:t xml:space="preserve">». </w:t>
      </w:r>
      <w:r w:rsidR="00097660" w:rsidRPr="00D43CE8">
        <w:rPr>
          <w:rFonts w:ascii="Arial" w:hAnsi="Arial" w:cs="Arial"/>
          <w:sz w:val="22"/>
          <w:szCs w:val="22"/>
          <w:lang w:eastAsia="es-CO"/>
        </w:rPr>
        <w:t xml:space="preserve">De acuerdo con esto, habiéndose expedido el referido decreto el 24 de </w:t>
      </w:r>
      <w:r w:rsidR="000E1709" w:rsidRPr="00D43CE8">
        <w:rPr>
          <w:rFonts w:ascii="Arial" w:hAnsi="Arial" w:cs="Arial"/>
          <w:sz w:val="22"/>
          <w:szCs w:val="22"/>
          <w:lang w:eastAsia="es-CO"/>
        </w:rPr>
        <w:t>diciembre de 2021, la aplicación de su contenido deberá comenzar una vez transcurrido</w:t>
      </w:r>
      <w:r w:rsidR="001F052B" w:rsidRPr="00D43CE8">
        <w:rPr>
          <w:rFonts w:ascii="Arial" w:hAnsi="Arial" w:cs="Arial"/>
          <w:sz w:val="22"/>
          <w:szCs w:val="22"/>
          <w:lang w:eastAsia="es-CO"/>
        </w:rPr>
        <w:t>s</w:t>
      </w:r>
      <w:r w:rsidR="001212C3" w:rsidRPr="00D43CE8">
        <w:rPr>
          <w:rFonts w:ascii="Arial" w:hAnsi="Arial" w:cs="Arial"/>
          <w:sz w:val="22"/>
          <w:szCs w:val="22"/>
          <w:lang w:eastAsia="es-CO"/>
        </w:rPr>
        <w:t xml:space="preserve"> tres (3)</w:t>
      </w:r>
      <w:r w:rsidR="00AF54C4" w:rsidRPr="00D43CE8">
        <w:rPr>
          <w:rFonts w:ascii="Arial" w:hAnsi="Arial" w:cs="Arial"/>
          <w:sz w:val="22"/>
          <w:szCs w:val="22"/>
          <w:lang w:eastAsia="es-CO"/>
        </w:rPr>
        <w:t xml:space="preserve"> meses</w:t>
      </w:r>
      <w:r w:rsidR="001212C3" w:rsidRPr="00D43CE8">
        <w:rPr>
          <w:rFonts w:ascii="Arial" w:hAnsi="Arial" w:cs="Arial"/>
          <w:sz w:val="22"/>
          <w:szCs w:val="22"/>
          <w:lang w:eastAsia="es-CO"/>
        </w:rPr>
        <w:t xml:space="preserve"> contados a partir de </w:t>
      </w:r>
      <w:r w:rsidR="001F052B" w:rsidRPr="00D43CE8">
        <w:rPr>
          <w:rFonts w:ascii="Arial" w:hAnsi="Arial" w:cs="Arial"/>
          <w:sz w:val="22"/>
          <w:szCs w:val="22"/>
          <w:lang w:eastAsia="es-CO"/>
        </w:rPr>
        <w:t>entonces</w:t>
      </w:r>
      <w:r w:rsidR="00B53BB2" w:rsidRPr="00D43CE8">
        <w:rPr>
          <w:rFonts w:ascii="Arial" w:hAnsi="Arial" w:cs="Arial"/>
          <w:sz w:val="22"/>
          <w:szCs w:val="22"/>
          <w:lang w:eastAsia="es-CO"/>
        </w:rPr>
        <w:t xml:space="preserve">, en los procesos </w:t>
      </w:r>
      <w:r w:rsidR="00AF54C4" w:rsidRPr="00D43CE8">
        <w:rPr>
          <w:rFonts w:ascii="Arial" w:hAnsi="Arial" w:cs="Arial"/>
          <w:sz w:val="22"/>
          <w:szCs w:val="22"/>
          <w:lang w:eastAsia="es-CO"/>
        </w:rPr>
        <w:t>cuyo</w:t>
      </w:r>
      <w:r w:rsidR="001F052B" w:rsidRPr="00D43CE8">
        <w:rPr>
          <w:rFonts w:ascii="Arial" w:hAnsi="Arial" w:cs="Arial"/>
          <w:sz w:val="22"/>
          <w:szCs w:val="22"/>
          <w:lang w:eastAsia="es-CO"/>
        </w:rPr>
        <w:t>s</w:t>
      </w:r>
      <w:r w:rsidR="006115E7" w:rsidRPr="00D43CE8">
        <w:rPr>
          <w:rFonts w:ascii="Arial" w:hAnsi="Arial" w:cs="Arial"/>
          <w:sz w:val="22"/>
          <w:szCs w:val="22"/>
          <w:lang w:eastAsia="es-CO"/>
        </w:rPr>
        <w:t xml:space="preserve"> aviso</w:t>
      </w:r>
      <w:r w:rsidR="001F052B" w:rsidRPr="00D43CE8">
        <w:rPr>
          <w:rFonts w:ascii="Arial" w:hAnsi="Arial" w:cs="Arial"/>
          <w:sz w:val="22"/>
          <w:szCs w:val="22"/>
          <w:lang w:eastAsia="es-CO"/>
        </w:rPr>
        <w:t>s</w:t>
      </w:r>
      <w:r w:rsidR="006115E7" w:rsidRPr="00D43CE8">
        <w:rPr>
          <w:rFonts w:ascii="Arial" w:hAnsi="Arial" w:cs="Arial"/>
          <w:sz w:val="22"/>
          <w:szCs w:val="22"/>
          <w:lang w:eastAsia="es-CO"/>
        </w:rPr>
        <w:t xml:space="preserve"> de convocatoria</w:t>
      </w:r>
      <w:r w:rsidR="001F052B" w:rsidRPr="00D43CE8">
        <w:rPr>
          <w:rFonts w:ascii="Arial" w:hAnsi="Arial" w:cs="Arial"/>
          <w:sz w:val="22"/>
          <w:szCs w:val="22"/>
          <w:lang w:eastAsia="es-CO"/>
        </w:rPr>
        <w:t>s</w:t>
      </w:r>
      <w:r w:rsidR="00AF54C4" w:rsidRPr="00D43CE8">
        <w:rPr>
          <w:rFonts w:ascii="Arial" w:hAnsi="Arial" w:cs="Arial"/>
          <w:sz w:val="22"/>
          <w:szCs w:val="22"/>
          <w:lang w:eastAsia="es-CO"/>
        </w:rPr>
        <w:t>, invitaci</w:t>
      </w:r>
      <w:r w:rsidR="001F052B" w:rsidRPr="00D43CE8">
        <w:rPr>
          <w:rFonts w:ascii="Arial" w:hAnsi="Arial" w:cs="Arial"/>
          <w:sz w:val="22"/>
          <w:szCs w:val="22"/>
          <w:lang w:eastAsia="es-CO"/>
        </w:rPr>
        <w:t>ones</w:t>
      </w:r>
      <w:r w:rsidR="00AF54C4" w:rsidRPr="00D43CE8">
        <w:rPr>
          <w:rFonts w:ascii="Arial" w:hAnsi="Arial" w:cs="Arial"/>
          <w:sz w:val="22"/>
          <w:szCs w:val="22"/>
          <w:lang w:eastAsia="es-CO"/>
        </w:rPr>
        <w:t xml:space="preserve"> o documento</w:t>
      </w:r>
      <w:r w:rsidR="001F052B" w:rsidRPr="00D43CE8">
        <w:rPr>
          <w:rFonts w:ascii="Arial" w:hAnsi="Arial" w:cs="Arial"/>
          <w:sz w:val="22"/>
          <w:szCs w:val="22"/>
          <w:lang w:eastAsia="es-CO"/>
        </w:rPr>
        <w:t>s</w:t>
      </w:r>
      <w:r w:rsidR="00AF54C4" w:rsidRPr="00D43CE8">
        <w:rPr>
          <w:rFonts w:ascii="Arial" w:hAnsi="Arial" w:cs="Arial"/>
          <w:sz w:val="22"/>
          <w:szCs w:val="22"/>
          <w:lang w:eastAsia="es-CO"/>
        </w:rPr>
        <w:t xml:space="preserve"> equivalente</w:t>
      </w:r>
      <w:r w:rsidR="001F052B" w:rsidRPr="00D43CE8">
        <w:rPr>
          <w:rFonts w:ascii="Arial" w:hAnsi="Arial" w:cs="Arial"/>
          <w:sz w:val="22"/>
          <w:szCs w:val="22"/>
          <w:lang w:eastAsia="es-CO"/>
        </w:rPr>
        <w:t>s</w:t>
      </w:r>
      <w:r w:rsidR="00E10BC8" w:rsidRPr="00D43CE8">
        <w:rPr>
          <w:rFonts w:ascii="Arial" w:hAnsi="Arial" w:cs="Arial"/>
          <w:sz w:val="22"/>
          <w:szCs w:val="22"/>
          <w:lang w:eastAsia="es-CO"/>
        </w:rPr>
        <w:t xml:space="preserve"> se publique</w:t>
      </w:r>
      <w:r w:rsidR="001F052B" w:rsidRPr="00D43CE8">
        <w:rPr>
          <w:rFonts w:ascii="Arial" w:hAnsi="Arial" w:cs="Arial"/>
          <w:sz w:val="22"/>
          <w:szCs w:val="22"/>
          <w:lang w:eastAsia="es-CO"/>
        </w:rPr>
        <w:t>n</w:t>
      </w:r>
      <w:r w:rsidR="00E10BC8" w:rsidRPr="00D43CE8">
        <w:rPr>
          <w:rFonts w:ascii="Arial" w:hAnsi="Arial" w:cs="Arial"/>
          <w:sz w:val="22"/>
          <w:szCs w:val="22"/>
          <w:lang w:eastAsia="es-CO"/>
        </w:rPr>
        <w:t xml:space="preserve"> con posterioridad a dicho </w:t>
      </w:r>
      <w:r w:rsidR="00284645" w:rsidRPr="00D43CE8">
        <w:rPr>
          <w:rFonts w:ascii="Arial" w:hAnsi="Arial" w:cs="Arial"/>
          <w:sz w:val="22"/>
          <w:szCs w:val="22"/>
          <w:lang w:eastAsia="es-CO"/>
        </w:rPr>
        <w:t>término</w:t>
      </w:r>
      <w:r w:rsidR="00E0584F" w:rsidRPr="00D43CE8">
        <w:rPr>
          <w:rStyle w:val="Refdenotaalpie"/>
          <w:rFonts w:ascii="Arial" w:hAnsi="Arial" w:cs="Arial"/>
          <w:sz w:val="22"/>
          <w:szCs w:val="22"/>
          <w:lang w:eastAsia="es-CO"/>
        </w:rPr>
        <w:footnoteReference w:id="12"/>
      </w:r>
      <w:r w:rsidR="00E10BC8" w:rsidRPr="00D43CE8">
        <w:rPr>
          <w:rFonts w:ascii="Arial" w:hAnsi="Arial" w:cs="Arial"/>
          <w:sz w:val="22"/>
          <w:szCs w:val="22"/>
          <w:lang w:eastAsia="es-CO"/>
        </w:rPr>
        <w:t xml:space="preserve">. </w:t>
      </w:r>
    </w:p>
    <w:p w14:paraId="035B4D3B" w14:textId="51FD0B7C" w:rsidR="00876F36" w:rsidRPr="000417A3" w:rsidRDefault="00320308" w:rsidP="00A864BA">
      <w:pPr>
        <w:spacing w:line="276" w:lineRule="auto"/>
        <w:ind w:firstLine="709"/>
        <w:jc w:val="both"/>
        <w:rPr>
          <w:rFonts w:ascii="Arial" w:eastAsia="Arial" w:hAnsi="Arial" w:cs="Arial"/>
          <w:bCs/>
          <w:sz w:val="22"/>
          <w:szCs w:val="22"/>
          <w:lang w:val="es-ES_tradnl" w:eastAsia="es-ES" w:bidi="es-ES"/>
        </w:rPr>
      </w:pPr>
      <w:r w:rsidRPr="006431A7">
        <w:rPr>
          <w:rFonts w:ascii="Arial" w:eastAsia="Calibri" w:hAnsi="Arial" w:cs="Arial"/>
          <w:bCs/>
          <w:color w:val="000000" w:themeColor="text1"/>
          <w:sz w:val="22"/>
          <w:lang w:val="es-ES_tradnl"/>
        </w:rPr>
        <w:t xml:space="preserve">En tal sentido, tratándose de la acreditación de los factores de desempate dichas modificaciones </w:t>
      </w:r>
      <w:r w:rsidR="00750A33">
        <w:rPr>
          <w:rFonts w:ascii="Arial" w:eastAsia="Calibri" w:hAnsi="Arial" w:cs="Arial"/>
          <w:bCs/>
          <w:color w:val="000000" w:themeColor="text1"/>
          <w:sz w:val="22"/>
          <w:lang w:val="es-ES_tradnl"/>
        </w:rPr>
        <w:t>tiene</w:t>
      </w:r>
      <w:r w:rsidR="00750A33" w:rsidRPr="006431A7">
        <w:rPr>
          <w:rFonts w:ascii="Arial" w:eastAsia="Calibri" w:hAnsi="Arial" w:cs="Arial"/>
          <w:bCs/>
          <w:color w:val="000000" w:themeColor="text1"/>
          <w:sz w:val="22"/>
          <w:lang w:val="es-ES_tradnl"/>
        </w:rPr>
        <w:t xml:space="preserve"> </w:t>
      </w:r>
      <w:r w:rsidRPr="006431A7">
        <w:rPr>
          <w:rFonts w:ascii="Arial" w:eastAsia="Calibri" w:hAnsi="Arial" w:cs="Arial"/>
          <w:bCs/>
          <w:color w:val="000000" w:themeColor="text1"/>
          <w:sz w:val="22"/>
          <w:lang w:val="es-ES_tradnl"/>
        </w:rPr>
        <w:t xml:space="preserve">efectos en los procesos </w:t>
      </w:r>
      <w:r w:rsidRPr="006431A7">
        <w:rPr>
          <w:rFonts w:ascii="Arial" w:eastAsia="Arial" w:hAnsi="Arial" w:cs="Arial"/>
          <w:bCs/>
          <w:sz w:val="22"/>
          <w:szCs w:val="22"/>
          <w:lang w:val="es-ES_tradnl" w:eastAsia="es-ES" w:bidi="es-ES"/>
        </w:rPr>
        <w:t xml:space="preserve">cuya invitación o aviso de convocatoria </w:t>
      </w:r>
      <w:r w:rsidRPr="006431A7">
        <w:rPr>
          <w:rFonts w:ascii="Arial" w:eastAsia="Calibri" w:hAnsi="Arial" w:cs="Arial"/>
          <w:bCs/>
          <w:color w:val="000000" w:themeColor="text1"/>
          <w:sz w:val="22"/>
          <w:lang w:val="es-ES_tradnl"/>
        </w:rPr>
        <w:t xml:space="preserve">se </w:t>
      </w:r>
      <w:r w:rsidR="00750A33">
        <w:rPr>
          <w:rFonts w:ascii="Arial" w:eastAsia="Calibri" w:hAnsi="Arial" w:cs="Arial"/>
          <w:bCs/>
          <w:color w:val="000000" w:themeColor="text1"/>
          <w:sz w:val="22"/>
          <w:lang w:val="es-ES_tradnl"/>
        </w:rPr>
        <w:lastRenderedPageBreak/>
        <w:t xml:space="preserve">hubiese </w:t>
      </w:r>
      <w:r w:rsidRPr="006431A7">
        <w:rPr>
          <w:rFonts w:ascii="Arial" w:eastAsia="Calibri" w:hAnsi="Arial" w:cs="Arial"/>
          <w:bCs/>
          <w:color w:val="000000" w:themeColor="text1"/>
          <w:sz w:val="22"/>
          <w:lang w:val="es-ES_tradnl"/>
        </w:rPr>
        <w:t>publi</w:t>
      </w:r>
      <w:r w:rsidR="00750A33">
        <w:rPr>
          <w:rFonts w:ascii="Arial" w:eastAsia="Calibri" w:hAnsi="Arial" w:cs="Arial"/>
          <w:bCs/>
          <w:color w:val="000000" w:themeColor="text1"/>
          <w:sz w:val="22"/>
          <w:lang w:val="es-ES_tradnl"/>
        </w:rPr>
        <w:t>cado</w:t>
      </w:r>
      <w:r w:rsidRPr="006431A7">
        <w:rPr>
          <w:rFonts w:ascii="Arial" w:eastAsia="Calibri" w:hAnsi="Arial" w:cs="Arial"/>
          <w:bCs/>
          <w:color w:val="000000" w:themeColor="text1"/>
          <w:sz w:val="22"/>
          <w:lang w:val="es-ES_tradnl"/>
        </w:rPr>
        <w:t xml:space="preserve"> a partir del 24 de marzo de 2022, </w:t>
      </w:r>
      <w:r w:rsidRPr="006431A7">
        <w:rPr>
          <w:rFonts w:ascii="Arial" w:hAnsi="Arial" w:cs="Arial"/>
          <w:color w:val="000000" w:themeColor="text1"/>
          <w:sz w:val="22"/>
          <w:szCs w:val="22"/>
        </w:rPr>
        <w:t xml:space="preserve">sin perjuicio de que la entidad lo aplique de forma potestativa, incluyendo dichos contenidos en el pliego de condiciones o documento </w:t>
      </w:r>
      <w:r w:rsidRPr="000417A3">
        <w:rPr>
          <w:rFonts w:ascii="Arial" w:hAnsi="Arial" w:cs="Arial"/>
          <w:color w:val="000000" w:themeColor="text1"/>
          <w:sz w:val="22"/>
          <w:szCs w:val="22"/>
        </w:rPr>
        <w:t xml:space="preserve">equivalente, para </w:t>
      </w:r>
      <w:r w:rsidRPr="000417A3">
        <w:rPr>
          <w:rFonts w:ascii="Arial" w:eastAsia="Arial" w:hAnsi="Arial" w:cs="Arial"/>
          <w:bCs/>
          <w:sz w:val="22"/>
          <w:szCs w:val="22"/>
          <w:lang w:val="es-ES_tradnl" w:eastAsia="es-ES" w:bidi="es-ES"/>
        </w:rPr>
        <w:t>procesos publicados en una fecha anterior.</w:t>
      </w:r>
    </w:p>
    <w:p w14:paraId="5644FFA4" w14:textId="77777777" w:rsidR="00A864BA" w:rsidRDefault="00A864BA" w:rsidP="00A864BA">
      <w:pPr>
        <w:spacing w:line="276" w:lineRule="auto"/>
        <w:jc w:val="both"/>
        <w:rPr>
          <w:rFonts w:ascii="Arial" w:eastAsia="Calibri" w:hAnsi="Arial" w:cs="Arial"/>
          <w:b/>
          <w:bCs/>
          <w:sz w:val="22"/>
          <w:szCs w:val="22"/>
          <w:lang w:val="es-ES_tradnl"/>
        </w:rPr>
      </w:pPr>
    </w:p>
    <w:p w14:paraId="5E2A2439" w14:textId="6BAFE730" w:rsidR="00790B9B" w:rsidRPr="00C065EA" w:rsidRDefault="00E30269" w:rsidP="00A864BA">
      <w:pPr>
        <w:spacing w:line="276" w:lineRule="auto"/>
        <w:jc w:val="both"/>
        <w:rPr>
          <w:rFonts w:ascii="Arial" w:eastAsia="Calibri" w:hAnsi="Arial" w:cs="Arial"/>
          <w:b/>
          <w:i/>
          <w:iCs/>
          <w:sz w:val="22"/>
          <w:lang w:val="es-ES_tradnl"/>
        </w:rPr>
      </w:pPr>
      <w:r w:rsidRPr="000417A3">
        <w:rPr>
          <w:rFonts w:ascii="Arial" w:eastAsia="Calibri" w:hAnsi="Arial" w:cs="Arial"/>
          <w:b/>
          <w:bCs/>
          <w:sz w:val="22"/>
          <w:szCs w:val="22"/>
          <w:lang w:val="es-ES_tradnl"/>
        </w:rPr>
        <w:t xml:space="preserve">2.3. </w:t>
      </w:r>
      <w:bookmarkStart w:id="9" w:name="_Hlk102639925"/>
      <w:r w:rsidR="009201D7" w:rsidRPr="00C065EA">
        <w:rPr>
          <w:rFonts w:ascii="Arial" w:eastAsia="Calibri" w:hAnsi="Arial" w:cs="Arial"/>
          <w:b/>
          <w:bCs/>
          <w:i/>
          <w:iCs/>
          <w:sz w:val="22"/>
          <w:szCs w:val="22"/>
          <w:lang w:val="es-ES_tradnl"/>
        </w:rPr>
        <w:t xml:space="preserve"> </w:t>
      </w:r>
      <w:bookmarkEnd w:id="9"/>
      <w:r w:rsidR="00593F8E" w:rsidRPr="00437D11">
        <w:rPr>
          <w:rFonts w:ascii="Arial" w:eastAsia="Calibri" w:hAnsi="Arial" w:cs="Arial"/>
          <w:b/>
          <w:iCs/>
          <w:sz w:val="22"/>
          <w:lang w:val="es-ES_tradnl"/>
        </w:rPr>
        <w:t>La</w:t>
      </w:r>
      <w:r w:rsidR="00B021A5" w:rsidRPr="00437D11">
        <w:rPr>
          <w:rFonts w:ascii="Arial" w:eastAsia="Calibri" w:hAnsi="Arial" w:cs="Arial"/>
          <w:b/>
          <w:iCs/>
          <w:sz w:val="22"/>
          <w:lang w:val="es-ES_tradnl"/>
        </w:rPr>
        <w:t xml:space="preserve"> vinculación en mayor proporción de personas mayores no beneficiarias de </w:t>
      </w:r>
      <w:r w:rsidR="0059607D" w:rsidRPr="00437D11">
        <w:rPr>
          <w:rFonts w:ascii="Arial" w:eastAsia="Calibri" w:hAnsi="Arial" w:cs="Arial"/>
          <w:b/>
          <w:iCs/>
          <w:sz w:val="22"/>
          <w:lang w:val="es-ES_tradnl"/>
        </w:rPr>
        <w:t>la</w:t>
      </w:r>
      <w:r w:rsidR="00B021A5" w:rsidRPr="00437D11">
        <w:rPr>
          <w:rFonts w:ascii="Arial" w:eastAsia="Calibri" w:hAnsi="Arial" w:cs="Arial"/>
          <w:b/>
          <w:iCs/>
          <w:sz w:val="22"/>
          <w:lang w:val="es-ES_tradnl"/>
        </w:rPr>
        <w:t xml:space="preserve"> pensión de vejez, familiar o sobrevivencia</w:t>
      </w:r>
      <w:r w:rsidR="00A33A9A" w:rsidRPr="00437D11">
        <w:rPr>
          <w:rFonts w:ascii="Arial" w:eastAsia="Calibri" w:hAnsi="Arial" w:cs="Arial"/>
          <w:b/>
          <w:iCs/>
          <w:sz w:val="22"/>
          <w:lang w:val="es-ES_tradnl"/>
        </w:rPr>
        <w:t xml:space="preserve"> como factor de desempate </w:t>
      </w:r>
      <w:r w:rsidR="0076676D" w:rsidRPr="00437D11">
        <w:rPr>
          <w:rFonts w:ascii="Arial" w:eastAsia="Calibri" w:hAnsi="Arial" w:cs="Arial"/>
          <w:b/>
          <w:iCs/>
          <w:sz w:val="22"/>
          <w:lang w:val="es-ES_tradnl"/>
        </w:rPr>
        <w:t>y su acreditación</w:t>
      </w:r>
    </w:p>
    <w:p w14:paraId="0279546D" w14:textId="77777777" w:rsidR="000768F2" w:rsidRPr="00C065EA" w:rsidRDefault="000768F2" w:rsidP="00A864BA">
      <w:pPr>
        <w:tabs>
          <w:tab w:val="left" w:pos="0"/>
        </w:tabs>
        <w:jc w:val="both"/>
        <w:rPr>
          <w:rFonts w:ascii="Arial" w:eastAsia="Calibri" w:hAnsi="Arial" w:cs="Arial"/>
          <w:b/>
          <w:i/>
          <w:iCs/>
          <w:sz w:val="22"/>
          <w:lang w:val="es-ES_tradnl"/>
        </w:rPr>
      </w:pPr>
    </w:p>
    <w:p w14:paraId="6620B5C4" w14:textId="0BD9E10F" w:rsidR="004A244A" w:rsidRPr="00C065EA" w:rsidRDefault="00E73BA1" w:rsidP="00A864BA">
      <w:pPr>
        <w:tabs>
          <w:tab w:val="left" w:pos="6551"/>
        </w:tabs>
        <w:spacing w:after="120" w:line="276" w:lineRule="auto"/>
        <w:jc w:val="both"/>
        <w:rPr>
          <w:rFonts w:ascii="Arial" w:eastAsia="Calibri" w:hAnsi="Arial" w:cs="Arial"/>
          <w:color w:val="000000" w:themeColor="text1"/>
          <w:sz w:val="22"/>
          <w:lang w:val="es-ES_tradnl"/>
        </w:rPr>
      </w:pPr>
      <w:r w:rsidRPr="00C065EA">
        <w:rPr>
          <w:rFonts w:ascii="Arial" w:eastAsia="Calibri" w:hAnsi="Arial" w:cs="Arial"/>
          <w:bCs/>
          <w:sz w:val="22"/>
          <w:lang w:val="es-ES_tradnl"/>
        </w:rPr>
        <w:t>Con respecto al numeral 4 del artículo</w:t>
      </w:r>
      <w:r w:rsidR="00CB31B9">
        <w:rPr>
          <w:rFonts w:ascii="Arial" w:eastAsia="Calibri" w:hAnsi="Arial" w:cs="Arial"/>
          <w:bCs/>
          <w:sz w:val="22"/>
          <w:lang w:val="es-ES_tradnl"/>
        </w:rPr>
        <w:t xml:space="preserve"> </w:t>
      </w:r>
      <w:r w:rsidR="00CB31B9">
        <w:rPr>
          <w:rFonts w:ascii="Arial" w:eastAsia="Calibri" w:hAnsi="Arial" w:cs="Arial"/>
          <w:color w:val="000000" w:themeColor="text1"/>
          <w:sz w:val="22"/>
          <w:szCs w:val="22"/>
          <w:lang w:val="es-ES_tradnl"/>
        </w:rPr>
        <w:t>2.2.1.2.4.2.17 de</w:t>
      </w:r>
      <w:r w:rsidR="00CB31B9" w:rsidRPr="00C065EA">
        <w:rPr>
          <w:rFonts w:ascii="Arial" w:eastAsia="Calibri" w:hAnsi="Arial" w:cs="Arial"/>
          <w:color w:val="000000" w:themeColor="text1"/>
          <w:sz w:val="22"/>
          <w:szCs w:val="22"/>
          <w:lang w:val="es-ES_tradnl"/>
        </w:rPr>
        <w:t>l Decreto 1082 de 2015</w:t>
      </w:r>
      <w:r w:rsidR="002D3B77">
        <w:rPr>
          <w:rFonts w:ascii="Arial" w:eastAsia="Calibri" w:hAnsi="Arial" w:cs="Arial"/>
          <w:color w:val="000000" w:themeColor="text1"/>
          <w:sz w:val="22"/>
          <w:szCs w:val="22"/>
          <w:lang w:val="es-ES_tradnl"/>
        </w:rPr>
        <w:t xml:space="preserve"> adicionado por el</w:t>
      </w:r>
      <w:r w:rsidR="002D3B77" w:rsidRPr="00C065EA">
        <w:rPr>
          <w:rFonts w:ascii="Arial" w:eastAsia="Calibri" w:hAnsi="Arial" w:cs="Arial"/>
          <w:bCs/>
          <w:color w:val="000000" w:themeColor="text1"/>
          <w:sz w:val="22"/>
          <w:szCs w:val="22"/>
          <w:lang w:val="es-ES_tradnl"/>
        </w:rPr>
        <w:t xml:space="preserve"> artíc</w:t>
      </w:r>
      <w:r w:rsidR="002D3B77">
        <w:rPr>
          <w:rFonts w:ascii="Arial" w:eastAsia="Calibri" w:hAnsi="Arial" w:cs="Arial"/>
          <w:bCs/>
          <w:color w:val="000000" w:themeColor="text1"/>
          <w:sz w:val="22"/>
          <w:szCs w:val="22"/>
          <w:lang w:val="es-ES_tradnl"/>
        </w:rPr>
        <w:t xml:space="preserve">ulo 3 del Decreto </w:t>
      </w:r>
      <w:r w:rsidR="002D3B77" w:rsidRPr="00C065EA">
        <w:rPr>
          <w:rFonts w:ascii="Arial" w:eastAsia="Calibri" w:hAnsi="Arial" w:cs="Arial"/>
          <w:bCs/>
          <w:color w:val="000000" w:themeColor="text1"/>
          <w:sz w:val="22"/>
          <w:szCs w:val="22"/>
          <w:lang w:val="es-ES_tradnl"/>
        </w:rPr>
        <w:t xml:space="preserve">1860 de 2021 </w:t>
      </w:r>
      <w:r w:rsidR="002D3B77">
        <w:rPr>
          <w:rFonts w:ascii="Arial" w:eastAsia="Calibri" w:hAnsi="Arial" w:cs="Arial"/>
          <w:color w:val="000000" w:themeColor="text1"/>
          <w:sz w:val="22"/>
          <w:szCs w:val="22"/>
          <w:lang w:val="es-ES_tradnl"/>
        </w:rPr>
        <w:t xml:space="preserve">que reglamenta el </w:t>
      </w:r>
      <w:r w:rsidR="00CB31B9" w:rsidRPr="00C065EA">
        <w:rPr>
          <w:rFonts w:ascii="Arial" w:eastAsia="Calibri" w:hAnsi="Arial" w:cs="Arial"/>
          <w:color w:val="000000" w:themeColor="text1"/>
          <w:sz w:val="22"/>
          <w:szCs w:val="22"/>
          <w:lang w:val="es-ES_tradnl"/>
        </w:rPr>
        <w:t xml:space="preserve">numeral </w:t>
      </w:r>
      <w:r w:rsidR="002D3B77" w:rsidRPr="00C065EA">
        <w:rPr>
          <w:rFonts w:ascii="Arial" w:eastAsia="Calibri" w:hAnsi="Arial" w:cs="Arial"/>
          <w:color w:val="000000" w:themeColor="text1"/>
          <w:sz w:val="22"/>
          <w:szCs w:val="22"/>
          <w:lang w:val="es-ES_tradnl"/>
        </w:rPr>
        <w:t xml:space="preserve">4 </w:t>
      </w:r>
      <w:r w:rsidR="002D3B77" w:rsidRPr="00C065EA">
        <w:rPr>
          <w:rFonts w:ascii="Arial" w:eastAsia="Calibri" w:hAnsi="Arial" w:cs="Arial"/>
          <w:bCs/>
          <w:sz w:val="22"/>
          <w:lang w:val="es-ES_tradnl"/>
        </w:rPr>
        <w:t>del</w:t>
      </w:r>
      <w:r w:rsidR="002D3B77">
        <w:rPr>
          <w:rFonts w:ascii="Arial" w:eastAsia="Calibri" w:hAnsi="Arial" w:cs="Arial"/>
          <w:bCs/>
          <w:sz w:val="22"/>
          <w:lang w:val="es-ES_tradnl"/>
        </w:rPr>
        <w:t xml:space="preserve"> artículo </w:t>
      </w:r>
      <w:r w:rsidRPr="00C065EA">
        <w:rPr>
          <w:rFonts w:ascii="Arial" w:eastAsia="Calibri" w:hAnsi="Arial" w:cs="Arial"/>
          <w:bCs/>
          <w:sz w:val="22"/>
          <w:lang w:val="es-ES_tradnl"/>
        </w:rPr>
        <w:t>35 de la Ley 2069 de 2020, se</w:t>
      </w:r>
      <w:r w:rsidR="004613BE" w:rsidRPr="00C065EA">
        <w:rPr>
          <w:rFonts w:ascii="Arial" w:eastAsia="Calibri" w:hAnsi="Arial" w:cs="Arial"/>
          <w:bCs/>
          <w:color w:val="000000" w:themeColor="text1"/>
          <w:sz w:val="22"/>
          <w:lang w:val="es-ES_tradnl"/>
        </w:rPr>
        <w:t xml:space="preserve"> señalarán</w:t>
      </w:r>
      <w:r w:rsidR="0027591B" w:rsidRPr="00C065EA">
        <w:rPr>
          <w:rFonts w:ascii="Arial" w:eastAsia="Calibri" w:hAnsi="Arial" w:cs="Arial"/>
          <w:bCs/>
          <w:color w:val="000000" w:themeColor="text1"/>
          <w:sz w:val="22"/>
          <w:lang w:val="es-ES_tradnl"/>
        </w:rPr>
        <w:t xml:space="preserve"> </w:t>
      </w:r>
      <w:r w:rsidR="009B1E6D" w:rsidRPr="00C065EA">
        <w:rPr>
          <w:rFonts w:ascii="Arial" w:eastAsia="Calibri" w:hAnsi="Arial" w:cs="Arial"/>
          <w:bCs/>
          <w:color w:val="000000" w:themeColor="text1"/>
          <w:sz w:val="22"/>
          <w:lang w:val="es-ES_tradnl"/>
        </w:rPr>
        <w:t xml:space="preserve">las consideraciones </w:t>
      </w:r>
      <w:r w:rsidR="009026F0" w:rsidRPr="00C065EA">
        <w:rPr>
          <w:rFonts w:ascii="Arial" w:eastAsia="Calibri" w:hAnsi="Arial" w:cs="Arial"/>
          <w:bCs/>
          <w:color w:val="000000" w:themeColor="text1"/>
          <w:sz w:val="22"/>
          <w:lang w:val="es-ES_tradnl"/>
        </w:rPr>
        <w:t xml:space="preserve">que esta </w:t>
      </w:r>
      <w:r w:rsidR="009B1E6D" w:rsidRPr="00C065EA">
        <w:rPr>
          <w:rFonts w:ascii="Arial" w:eastAsia="Calibri" w:hAnsi="Arial" w:cs="Arial"/>
          <w:bCs/>
          <w:color w:val="000000" w:themeColor="text1"/>
          <w:sz w:val="22"/>
          <w:lang w:val="es-ES_tradnl"/>
        </w:rPr>
        <w:t>Agencia</w:t>
      </w:r>
      <w:r w:rsidR="0037624F" w:rsidRPr="00C065EA">
        <w:rPr>
          <w:rFonts w:ascii="Arial" w:eastAsia="Calibri" w:hAnsi="Arial" w:cs="Arial"/>
          <w:bCs/>
          <w:color w:val="000000" w:themeColor="text1"/>
          <w:sz w:val="22"/>
          <w:lang w:val="es-ES_tradnl"/>
        </w:rPr>
        <w:t xml:space="preserve"> en</w:t>
      </w:r>
      <w:r w:rsidR="009026F0" w:rsidRPr="00C065EA">
        <w:rPr>
          <w:rFonts w:ascii="Arial" w:eastAsia="Calibri" w:hAnsi="Arial" w:cs="Arial"/>
          <w:bCs/>
          <w:color w:val="000000" w:themeColor="text1"/>
          <w:sz w:val="22"/>
          <w:lang w:val="es-ES_tradnl"/>
        </w:rPr>
        <w:t xml:space="preserve"> su momento </w:t>
      </w:r>
      <w:r w:rsidR="00CD08B9" w:rsidRPr="00C065EA">
        <w:rPr>
          <w:rFonts w:ascii="Arial" w:eastAsia="Calibri" w:hAnsi="Arial" w:cs="Arial"/>
          <w:bCs/>
          <w:color w:val="000000" w:themeColor="text1"/>
          <w:sz w:val="22"/>
          <w:lang w:val="es-ES_tradnl"/>
        </w:rPr>
        <w:t>expresó</w:t>
      </w:r>
      <w:r w:rsidR="00F714D2" w:rsidRPr="00C065EA">
        <w:rPr>
          <w:rFonts w:ascii="Arial" w:eastAsia="Calibri" w:hAnsi="Arial" w:cs="Arial"/>
          <w:bCs/>
          <w:color w:val="000000" w:themeColor="text1"/>
          <w:sz w:val="22"/>
          <w:lang w:val="es-ES_tradnl"/>
        </w:rPr>
        <w:t>, en</w:t>
      </w:r>
      <w:r w:rsidR="0037624F" w:rsidRPr="00C065EA">
        <w:rPr>
          <w:rFonts w:ascii="Arial" w:eastAsia="Calibri" w:hAnsi="Arial" w:cs="Arial"/>
          <w:bCs/>
          <w:color w:val="000000" w:themeColor="text1"/>
          <w:sz w:val="22"/>
          <w:lang w:val="es-ES_tradnl"/>
        </w:rPr>
        <w:t xml:space="preserve"> relación con la acreditación</w:t>
      </w:r>
      <w:r w:rsidR="009F792F" w:rsidRPr="00C065EA">
        <w:rPr>
          <w:rFonts w:ascii="Arial" w:eastAsia="Calibri" w:hAnsi="Arial" w:cs="Arial"/>
          <w:bCs/>
          <w:color w:val="000000" w:themeColor="text1"/>
          <w:sz w:val="22"/>
          <w:lang w:val="es-ES_tradnl"/>
        </w:rPr>
        <w:t xml:space="preserve"> de</w:t>
      </w:r>
      <w:r w:rsidR="0037624F" w:rsidRPr="00C065EA">
        <w:rPr>
          <w:rFonts w:ascii="Arial" w:eastAsia="Calibri" w:hAnsi="Arial" w:cs="Arial"/>
          <w:bCs/>
          <w:color w:val="000000" w:themeColor="text1"/>
          <w:sz w:val="22"/>
          <w:lang w:val="es-ES_tradnl"/>
        </w:rPr>
        <w:t xml:space="preserve"> </w:t>
      </w:r>
      <w:r w:rsidR="008B1A9A" w:rsidRPr="00C065EA">
        <w:rPr>
          <w:rFonts w:ascii="Arial" w:eastAsia="Calibri" w:hAnsi="Arial" w:cs="Arial"/>
          <w:bCs/>
          <w:color w:val="000000" w:themeColor="text1"/>
          <w:sz w:val="22"/>
          <w:lang w:val="es-ES_tradnl"/>
        </w:rPr>
        <w:t xml:space="preserve">este </w:t>
      </w:r>
      <w:r w:rsidR="0037624F" w:rsidRPr="00C065EA">
        <w:rPr>
          <w:rFonts w:ascii="Arial" w:eastAsia="Calibri" w:hAnsi="Arial" w:cs="Arial"/>
          <w:bCs/>
          <w:color w:val="000000" w:themeColor="text1"/>
          <w:sz w:val="22"/>
          <w:lang w:val="es-ES_tradnl"/>
        </w:rPr>
        <w:t>factor de desempate</w:t>
      </w:r>
      <w:r w:rsidR="005C6FA4" w:rsidRPr="00C065EA">
        <w:rPr>
          <w:rFonts w:ascii="Arial" w:eastAsia="Calibri" w:hAnsi="Arial" w:cs="Arial"/>
          <w:bCs/>
          <w:color w:val="000000" w:themeColor="text1"/>
          <w:sz w:val="22"/>
          <w:lang w:val="es-ES_tradnl"/>
        </w:rPr>
        <w:t>, previo a la expedición del Decreto 1860 de 2021</w:t>
      </w:r>
      <w:r w:rsidR="00C258A8">
        <w:rPr>
          <w:rFonts w:ascii="Arial" w:eastAsia="Calibri" w:hAnsi="Arial" w:cs="Arial"/>
          <w:bCs/>
          <w:color w:val="000000" w:themeColor="text1"/>
          <w:sz w:val="22"/>
          <w:lang w:val="es-ES_tradnl"/>
        </w:rPr>
        <w:t>, para, posteriormente, indicar cuál es el alcance que la norma reglamentaria brinda al referido factor de desempate</w:t>
      </w:r>
      <w:r w:rsidR="0037624F" w:rsidRPr="00C065EA">
        <w:rPr>
          <w:rFonts w:ascii="Arial" w:eastAsia="Calibri" w:hAnsi="Arial" w:cs="Arial"/>
          <w:bCs/>
          <w:color w:val="000000" w:themeColor="text1"/>
          <w:sz w:val="22"/>
          <w:lang w:val="es-ES_tradnl"/>
        </w:rPr>
        <w:t xml:space="preserve">. </w:t>
      </w:r>
    </w:p>
    <w:p w14:paraId="3A220413" w14:textId="19F19327" w:rsidR="0036169A" w:rsidRPr="00C065EA" w:rsidRDefault="0036169A" w:rsidP="00A864BA">
      <w:pPr>
        <w:tabs>
          <w:tab w:val="left" w:pos="6551"/>
        </w:tabs>
        <w:spacing w:after="120" w:line="276" w:lineRule="auto"/>
        <w:ind w:firstLine="709"/>
        <w:jc w:val="both"/>
        <w:rPr>
          <w:rFonts w:ascii="Arial" w:eastAsia="Calibri" w:hAnsi="Arial" w:cs="Arial"/>
          <w:color w:val="000000" w:themeColor="text1"/>
          <w:sz w:val="22"/>
          <w:lang w:val="es-ES_tradnl"/>
        </w:rPr>
      </w:pPr>
      <w:bookmarkStart w:id="10" w:name="_Hlk93049677"/>
      <w:r w:rsidRPr="00C065EA">
        <w:rPr>
          <w:rFonts w:ascii="Arial" w:eastAsia="Calibri" w:hAnsi="Arial" w:cs="Arial"/>
          <w:color w:val="000000" w:themeColor="text1"/>
          <w:sz w:val="22"/>
          <w:lang w:val="es-ES_tradnl"/>
        </w:rPr>
        <w:t xml:space="preserve">En relación con lo previsto en </w:t>
      </w:r>
      <w:r w:rsidR="009E02E5" w:rsidRPr="00C065EA">
        <w:rPr>
          <w:rFonts w:ascii="Arial" w:eastAsia="Calibri" w:hAnsi="Arial" w:cs="Arial"/>
          <w:color w:val="000000" w:themeColor="text1"/>
          <w:sz w:val="22"/>
          <w:lang w:val="es-ES_tradnl"/>
        </w:rPr>
        <w:t>el</w:t>
      </w:r>
      <w:r w:rsidR="007A77D4" w:rsidRPr="00C065EA">
        <w:rPr>
          <w:rFonts w:ascii="Arial" w:eastAsia="Calibri" w:hAnsi="Arial" w:cs="Arial"/>
          <w:color w:val="000000" w:themeColor="text1"/>
          <w:sz w:val="22"/>
          <w:lang w:val="es-ES_tradnl"/>
        </w:rPr>
        <w:t xml:space="preserve"> numeral</w:t>
      </w:r>
      <w:r w:rsidR="009E02E5" w:rsidRPr="00C065EA">
        <w:rPr>
          <w:rFonts w:ascii="Arial" w:eastAsia="Calibri" w:hAnsi="Arial" w:cs="Arial"/>
          <w:color w:val="000000" w:themeColor="text1"/>
          <w:sz w:val="22"/>
          <w:lang w:val="es-ES_tradnl"/>
        </w:rPr>
        <w:t xml:space="preserve"> </w:t>
      </w:r>
      <w:r w:rsidR="009E02E5" w:rsidRPr="00C065EA">
        <w:rPr>
          <w:rFonts w:ascii="Arial" w:eastAsia="Calibri" w:hAnsi="Arial" w:cs="Arial"/>
          <w:i/>
          <w:iCs/>
          <w:color w:val="000000" w:themeColor="text1"/>
          <w:sz w:val="22"/>
          <w:lang w:val="es-ES_tradnl"/>
        </w:rPr>
        <w:t>ibidem</w:t>
      </w:r>
      <w:r w:rsidRPr="00C065EA">
        <w:rPr>
          <w:rFonts w:ascii="Arial" w:eastAsia="Calibri" w:hAnsi="Arial" w:cs="Arial"/>
          <w:color w:val="000000" w:themeColor="text1"/>
          <w:sz w:val="22"/>
          <w:lang w:val="es-ES_tradnl"/>
        </w:rPr>
        <w:t xml:space="preserve">, cuando el legislador alude al concepto de «personas mayores» que no sean beneficiarias de la pensión de vejez, familiar o de sobrevivencia y que hayan cumplido la edad para obtenerla, una posible interpretación es entender que la norma se refiere al «adulto mayor». Este concepto lo define el artículo 3 de la Ley 1251 de 2008 –«Por la cual se dictan normas tendientes a procurar la protección, promoción y defensa de los derechos de los adultos mayores»– como «[…] aquella persona que cuenta con sesenta (60) </w:t>
      </w:r>
      <w:proofErr w:type="gramStart"/>
      <w:r w:rsidRPr="00C065EA">
        <w:rPr>
          <w:rFonts w:ascii="Arial" w:eastAsia="Calibri" w:hAnsi="Arial" w:cs="Arial"/>
          <w:color w:val="000000" w:themeColor="text1"/>
          <w:sz w:val="22"/>
          <w:lang w:val="es-ES_tradnl"/>
        </w:rPr>
        <w:t>años de edad</w:t>
      </w:r>
      <w:proofErr w:type="gramEnd"/>
      <w:r w:rsidRPr="00C065EA">
        <w:rPr>
          <w:rFonts w:ascii="Arial" w:eastAsia="Calibri" w:hAnsi="Arial" w:cs="Arial"/>
          <w:color w:val="000000" w:themeColor="text1"/>
          <w:sz w:val="22"/>
          <w:lang w:val="es-ES_tradnl"/>
        </w:rPr>
        <w:t xml:space="preserve"> o más», lo cual se puede acreditar con el documento de identidad correspondiente. En todo caso, también </w:t>
      </w:r>
      <w:r w:rsidR="00DD1E7B" w:rsidRPr="00C065EA">
        <w:rPr>
          <w:rFonts w:ascii="Arial" w:eastAsia="Calibri" w:hAnsi="Arial" w:cs="Arial"/>
          <w:color w:val="000000" w:themeColor="text1"/>
          <w:sz w:val="22"/>
          <w:lang w:val="es-ES_tradnl"/>
        </w:rPr>
        <w:t xml:space="preserve">se señaló que </w:t>
      </w:r>
      <w:r w:rsidRPr="00C065EA">
        <w:rPr>
          <w:rFonts w:ascii="Arial" w:eastAsia="Calibri" w:hAnsi="Arial" w:cs="Arial"/>
          <w:color w:val="000000" w:themeColor="text1"/>
          <w:sz w:val="22"/>
          <w:lang w:val="es-ES_tradnl"/>
        </w:rPr>
        <w:t>existe la posibilidad de entender que esta causal aplica a todas las personas que –en el rango de edad correspondiente a cada género– no han alcanzado la pensión, interpretación que está más ajustada al principio de favorabilidad</w:t>
      </w:r>
      <w:r w:rsidR="00DD1E7B" w:rsidRPr="00C065EA">
        <w:rPr>
          <w:rFonts w:ascii="Arial" w:eastAsia="Calibri" w:hAnsi="Arial" w:cs="Arial"/>
          <w:color w:val="000000" w:themeColor="text1"/>
          <w:sz w:val="22"/>
          <w:lang w:val="es-ES_tradnl"/>
        </w:rPr>
        <w:t xml:space="preserve"> y que, como se expresará, se acogió en la reglamentación realizada por el Decreto 1860 de 2021.</w:t>
      </w:r>
    </w:p>
    <w:p w14:paraId="460331FB" w14:textId="741966C1" w:rsidR="0036169A" w:rsidRPr="00C065EA" w:rsidRDefault="0036169A" w:rsidP="00A864BA">
      <w:pPr>
        <w:tabs>
          <w:tab w:val="left" w:pos="6551"/>
        </w:tabs>
        <w:spacing w:after="120" w:line="276" w:lineRule="auto"/>
        <w:ind w:firstLine="709"/>
        <w:jc w:val="both"/>
        <w:rPr>
          <w:rFonts w:ascii="Arial" w:hAnsi="Arial" w:cs="Arial"/>
          <w:color w:val="000000" w:themeColor="text1"/>
          <w:sz w:val="22"/>
          <w:lang w:val="es-ES_tradnl"/>
        </w:rPr>
      </w:pPr>
      <w:r w:rsidRPr="00C065EA">
        <w:rPr>
          <w:rFonts w:ascii="Arial" w:hAnsi="Arial" w:cs="Arial"/>
          <w:color w:val="000000" w:themeColor="text1"/>
          <w:sz w:val="22"/>
          <w:lang w:val="es-ES_tradnl"/>
        </w:rPr>
        <w:t xml:space="preserve">El numeral dice que en dicho evento la regla de desempate se aplica a favor del «[…] oferente que acredite la vinculación en </w:t>
      </w:r>
      <w:r w:rsidRPr="00C065EA">
        <w:rPr>
          <w:rFonts w:ascii="Arial" w:hAnsi="Arial" w:cs="Arial"/>
          <w:i/>
          <w:iCs/>
          <w:color w:val="000000" w:themeColor="text1"/>
          <w:sz w:val="22"/>
          <w:lang w:val="es-ES_tradnl"/>
        </w:rPr>
        <w:t>mayor proporción</w:t>
      </w:r>
      <w:r w:rsidRPr="00C065EA">
        <w:rPr>
          <w:rFonts w:ascii="Arial" w:hAnsi="Arial" w:cs="Arial"/>
          <w:color w:val="000000" w:themeColor="text1"/>
          <w:sz w:val="22"/>
          <w:lang w:val="es-ES_tradnl"/>
        </w:rPr>
        <w:t xml:space="preserve"> de personas mayores que no sean beneficiarios de la pensión de vejez, familiar o de sobrevivencia y que hayan cumplido el requisito de edad de pensión establecido en la Ley»</w:t>
      </w:r>
      <w:r w:rsidR="00BC1395" w:rsidRPr="00C065EA">
        <w:rPr>
          <w:rFonts w:ascii="Arial" w:hAnsi="Arial" w:cs="Arial"/>
          <w:color w:val="000000" w:themeColor="text1"/>
          <w:sz w:val="22"/>
          <w:lang w:val="es-ES_tradnl"/>
        </w:rPr>
        <w:t xml:space="preserve"> (Énfasis fuera de texto)</w:t>
      </w:r>
      <w:r w:rsidRPr="00C065EA">
        <w:rPr>
          <w:rFonts w:ascii="Arial" w:hAnsi="Arial" w:cs="Arial"/>
          <w:color w:val="000000" w:themeColor="text1"/>
          <w:sz w:val="22"/>
          <w:lang w:val="es-ES_tradnl"/>
        </w:rPr>
        <w:t>.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w:t>
      </w:r>
      <w:bookmarkEnd w:id="10"/>
      <w:r w:rsidRPr="00C065EA">
        <w:rPr>
          <w:rFonts w:ascii="Arial" w:hAnsi="Arial" w:cs="Arial"/>
          <w:color w:val="000000" w:themeColor="text1"/>
          <w:sz w:val="22"/>
          <w:lang w:val="es-ES_tradnl"/>
        </w:rPr>
        <w:t xml:space="preserve">». </w:t>
      </w:r>
    </w:p>
    <w:p w14:paraId="03A1454D" w14:textId="723C8537" w:rsidR="0036169A" w:rsidRPr="00C065EA" w:rsidRDefault="0036169A" w:rsidP="00A864BA">
      <w:pPr>
        <w:tabs>
          <w:tab w:val="left" w:pos="6551"/>
        </w:tabs>
        <w:spacing w:after="120" w:line="276" w:lineRule="auto"/>
        <w:ind w:firstLine="709"/>
        <w:jc w:val="both"/>
        <w:rPr>
          <w:rFonts w:ascii="Arial" w:hAnsi="Arial" w:cs="Arial"/>
          <w:color w:val="000000" w:themeColor="text1"/>
          <w:sz w:val="22"/>
          <w:lang w:val="es-ES_tradnl"/>
        </w:rPr>
      </w:pPr>
      <w:r w:rsidRPr="00C065EA">
        <w:rPr>
          <w:rFonts w:ascii="Arial" w:hAnsi="Arial" w:cs="Arial"/>
          <w:color w:val="000000" w:themeColor="text1"/>
          <w:sz w:val="22"/>
          <w:lang w:val="es-ES_tradnl"/>
        </w:rPr>
        <w:t>Teniendo en cuenta que el numeral no distingue tipos de oferente, dicho criterio de desempate</w:t>
      </w:r>
      <w:r w:rsidR="00116CE7" w:rsidRPr="00C065EA">
        <w:rPr>
          <w:rFonts w:ascii="Arial" w:hAnsi="Arial" w:cs="Arial"/>
          <w:color w:val="000000" w:themeColor="text1"/>
          <w:sz w:val="22"/>
          <w:lang w:val="es-ES_tradnl"/>
        </w:rPr>
        <w:t>, a juicio de la Agencia,</w:t>
      </w:r>
      <w:r w:rsidRPr="00C065EA">
        <w:rPr>
          <w:rFonts w:ascii="Arial" w:hAnsi="Arial" w:cs="Arial"/>
          <w:color w:val="000000" w:themeColor="text1"/>
          <w:sz w:val="22"/>
          <w:lang w:val="es-ES_tradnl"/>
        </w:rPr>
        <w:t xml:space="preserve"> se deb</w:t>
      </w:r>
      <w:r w:rsidR="00116CE7" w:rsidRPr="00C065EA">
        <w:rPr>
          <w:rFonts w:ascii="Arial" w:hAnsi="Arial" w:cs="Arial"/>
          <w:color w:val="000000" w:themeColor="text1"/>
          <w:sz w:val="22"/>
          <w:lang w:val="es-ES_tradnl"/>
        </w:rPr>
        <w:t>ía</w:t>
      </w:r>
      <w:r w:rsidRPr="00C065EA">
        <w:rPr>
          <w:rFonts w:ascii="Arial" w:hAnsi="Arial" w:cs="Arial"/>
          <w:color w:val="000000" w:themeColor="text1"/>
          <w:sz w:val="22"/>
          <w:lang w:val="es-ES_tradnl"/>
        </w:rPr>
        <w:t xml:space="preserve"> aplicar también a proponentes plurales. En este caso el proponente plural deb</w:t>
      </w:r>
      <w:r w:rsidR="00092711" w:rsidRPr="00C065EA">
        <w:rPr>
          <w:rFonts w:ascii="Arial" w:hAnsi="Arial" w:cs="Arial"/>
          <w:color w:val="000000" w:themeColor="text1"/>
          <w:sz w:val="22"/>
          <w:lang w:val="es-ES_tradnl"/>
        </w:rPr>
        <w:t>ía</w:t>
      </w:r>
      <w:r w:rsidRPr="00C065EA">
        <w:rPr>
          <w:rFonts w:ascii="Arial" w:hAnsi="Arial" w:cs="Arial"/>
          <w:color w:val="000000" w:themeColor="text1"/>
          <w:sz w:val="22"/>
          <w:lang w:val="es-ES_tradnl"/>
        </w:rPr>
        <w:t xml:space="preserve"> acreditar la proporción de personas mayores vinculadas a aquel y que además «no sean beneficiarios de la pensión de vejez, familiar o de sobrevivencia y que hayan cumplido el requisito de edad de pensión establecido en la Ley», </w:t>
      </w:r>
      <w:r w:rsidRPr="00C065EA">
        <w:rPr>
          <w:rFonts w:ascii="Arial" w:hAnsi="Arial" w:cs="Arial"/>
          <w:color w:val="000000" w:themeColor="text1"/>
          <w:sz w:val="22"/>
          <w:lang w:val="es-ES_tradnl"/>
        </w:rPr>
        <w:lastRenderedPageBreak/>
        <w:t>para beneficiarse del factor de desempate. La norma guarda silencio sobre la acreditación de la condición que da lugar al factor de desempate. Por tanto, esta Agencia considera</w:t>
      </w:r>
      <w:r w:rsidR="003B6DB4" w:rsidRPr="00C065EA">
        <w:rPr>
          <w:rFonts w:ascii="Arial" w:hAnsi="Arial" w:cs="Arial"/>
          <w:color w:val="000000" w:themeColor="text1"/>
          <w:sz w:val="22"/>
          <w:lang w:val="es-ES_tradnl"/>
        </w:rPr>
        <w:t>ba</w:t>
      </w:r>
      <w:r w:rsidRPr="00C065EA">
        <w:rPr>
          <w:rFonts w:ascii="Arial" w:hAnsi="Arial" w:cs="Arial"/>
          <w:color w:val="000000" w:themeColor="text1"/>
          <w:sz w:val="22"/>
          <w:lang w:val="es-ES_tradnl"/>
        </w:rPr>
        <w:t xml:space="preserve"> que, mientras el Decreto 1860 de 2021 no </w:t>
      </w:r>
      <w:proofErr w:type="gramStart"/>
      <w:r w:rsidRPr="00C065EA">
        <w:rPr>
          <w:rFonts w:ascii="Arial" w:hAnsi="Arial" w:cs="Arial"/>
          <w:color w:val="000000" w:themeColor="text1"/>
          <w:sz w:val="22"/>
          <w:lang w:val="es-ES_tradnl"/>
        </w:rPr>
        <w:t>entr</w:t>
      </w:r>
      <w:r w:rsidR="003B6DB4" w:rsidRPr="00C065EA">
        <w:rPr>
          <w:rFonts w:ascii="Arial" w:hAnsi="Arial" w:cs="Arial"/>
          <w:color w:val="000000" w:themeColor="text1"/>
          <w:sz w:val="22"/>
          <w:lang w:val="es-ES_tradnl"/>
        </w:rPr>
        <w:t>ara</w:t>
      </w:r>
      <w:r w:rsidRPr="00C065EA">
        <w:rPr>
          <w:rFonts w:ascii="Arial" w:hAnsi="Arial" w:cs="Arial"/>
          <w:color w:val="000000" w:themeColor="text1"/>
          <w:sz w:val="22"/>
          <w:lang w:val="es-ES_tradnl"/>
        </w:rPr>
        <w:t xml:space="preserve"> en vigencia</w:t>
      </w:r>
      <w:proofErr w:type="gramEnd"/>
      <w:r w:rsidRPr="00C065EA">
        <w:rPr>
          <w:rFonts w:ascii="Arial" w:hAnsi="Arial" w:cs="Arial"/>
          <w:color w:val="000000" w:themeColor="text1"/>
          <w:sz w:val="22"/>
          <w:lang w:val="es-ES_tradnl"/>
        </w:rPr>
        <w:t>, exist</w:t>
      </w:r>
      <w:r w:rsidR="003B6DB4" w:rsidRPr="00C065EA">
        <w:rPr>
          <w:rFonts w:ascii="Arial" w:hAnsi="Arial" w:cs="Arial"/>
          <w:color w:val="000000" w:themeColor="text1"/>
          <w:sz w:val="22"/>
          <w:lang w:val="es-ES_tradnl"/>
        </w:rPr>
        <w:t>ía</w:t>
      </w:r>
      <w:r w:rsidRPr="00C065EA">
        <w:rPr>
          <w:rFonts w:ascii="Arial" w:hAnsi="Arial" w:cs="Arial"/>
          <w:color w:val="000000" w:themeColor="text1"/>
          <w:sz w:val="22"/>
          <w:lang w:val="es-ES_tradnl"/>
        </w:rPr>
        <w:t xml:space="preserve"> libertad probatoria sobre el tema. En consecuencia, la entidad contratante p</w:t>
      </w:r>
      <w:r w:rsidR="003B6DB4" w:rsidRPr="00C065EA">
        <w:rPr>
          <w:rFonts w:ascii="Arial" w:hAnsi="Arial" w:cs="Arial"/>
          <w:color w:val="000000" w:themeColor="text1"/>
          <w:sz w:val="22"/>
          <w:lang w:val="es-ES_tradnl"/>
        </w:rPr>
        <w:t>odía</w:t>
      </w:r>
      <w:r w:rsidRPr="00C065EA">
        <w:rPr>
          <w:rFonts w:ascii="Arial" w:hAnsi="Arial" w:cs="Arial"/>
          <w:color w:val="000000" w:themeColor="text1"/>
          <w:sz w:val="22"/>
          <w:lang w:val="es-ES_tradnl"/>
        </w:rPr>
        <w:t xml:space="preserve"> determinar en el pliego de condiciones o documento equivalente cuál ser</w:t>
      </w:r>
      <w:r w:rsidR="003B6DB4" w:rsidRPr="00C065EA">
        <w:rPr>
          <w:rFonts w:ascii="Arial" w:hAnsi="Arial" w:cs="Arial"/>
          <w:color w:val="000000" w:themeColor="text1"/>
          <w:sz w:val="22"/>
          <w:lang w:val="es-ES_tradnl"/>
        </w:rPr>
        <w:t>ía</w:t>
      </w:r>
      <w:r w:rsidRPr="00C065EA">
        <w:rPr>
          <w:rFonts w:ascii="Arial" w:hAnsi="Arial" w:cs="Arial"/>
          <w:color w:val="000000" w:themeColor="text1"/>
          <w:sz w:val="22"/>
          <w:lang w:val="es-ES_tradnl"/>
        </w:rPr>
        <w:t xml:space="preserve"> el medio para evidenciar la vinculación de las personas mayores por parte del oferente.</w:t>
      </w:r>
    </w:p>
    <w:p w14:paraId="5CEC49A7" w14:textId="4CE826A7" w:rsidR="0036169A" w:rsidRPr="00C065EA" w:rsidRDefault="006772CD" w:rsidP="00A864BA">
      <w:pPr>
        <w:tabs>
          <w:tab w:val="left" w:pos="6551"/>
        </w:tabs>
        <w:spacing w:after="120" w:line="276" w:lineRule="auto"/>
        <w:ind w:firstLine="709"/>
        <w:jc w:val="both"/>
        <w:rPr>
          <w:rFonts w:ascii="Arial" w:hAnsi="Arial" w:cs="Arial"/>
          <w:color w:val="000000" w:themeColor="text1"/>
          <w:sz w:val="22"/>
          <w:lang w:val="es-ES_tradnl"/>
        </w:rPr>
      </w:pPr>
      <w:r w:rsidRPr="00C065EA">
        <w:rPr>
          <w:rFonts w:ascii="Arial" w:hAnsi="Arial" w:cs="Arial"/>
          <w:color w:val="000000" w:themeColor="text1"/>
          <w:sz w:val="22"/>
          <w:lang w:val="es-ES_tradnl"/>
        </w:rPr>
        <w:t>Paralelamente, c</w:t>
      </w:r>
      <w:r w:rsidR="0036169A" w:rsidRPr="00C065EA">
        <w:rPr>
          <w:rFonts w:ascii="Arial" w:hAnsi="Arial" w:cs="Arial"/>
          <w:color w:val="000000" w:themeColor="text1"/>
          <w:sz w:val="22"/>
          <w:lang w:val="es-ES_tradnl"/>
        </w:rPr>
        <w:t xml:space="preserve">omo lo indicó la Agencia en los conceptos </w:t>
      </w:r>
      <w:r w:rsidR="0036169A" w:rsidRPr="00C065EA">
        <w:rPr>
          <w:rFonts w:ascii="Arial" w:eastAsia="Calibri" w:hAnsi="Arial" w:cs="Arial"/>
          <w:color w:val="000000" w:themeColor="text1"/>
          <w:sz w:val="22"/>
          <w:lang w:val="es-ES_tradnl"/>
        </w:rPr>
        <w:t xml:space="preserve">C-206 del 3 de mayo de 2021 y C-487 del 3 de agosto de 2021, </w:t>
      </w:r>
      <w:r w:rsidR="0036169A" w:rsidRPr="00C065EA">
        <w:rPr>
          <w:rFonts w:ascii="Arial" w:hAnsi="Arial" w:cs="Arial"/>
          <w:color w:val="000000" w:themeColor="text1"/>
          <w:sz w:val="22"/>
          <w:lang w:val="es-ES_tradnl"/>
        </w:rPr>
        <w:t>el numeral 4 del artículo 35 de la Ley 2069 de 2020 exige que la vinculación de personas mayores sea de carácter laboral –es decir, a través de un contrato de trabajo–, por lo cual Colombia Compra Eficiente considera</w:t>
      </w:r>
      <w:r w:rsidR="00943024" w:rsidRPr="00C065EA">
        <w:rPr>
          <w:rFonts w:ascii="Arial" w:hAnsi="Arial" w:cs="Arial"/>
          <w:color w:val="000000" w:themeColor="text1"/>
          <w:sz w:val="22"/>
          <w:lang w:val="es-ES_tradnl"/>
        </w:rPr>
        <w:t>ba</w:t>
      </w:r>
      <w:r w:rsidR="0036169A" w:rsidRPr="00C065EA">
        <w:rPr>
          <w:rFonts w:ascii="Arial" w:hAnsi="Arial" w:cs="Arial"/>
          <w:color w:val="000000" w:themeColor="text1"/>
          <w:sz w:val="22"/>
          <w:lang w:val="es-ES_tradnl"/>
        </w:rPr>
        <w:t xml:space="preserve"> que no resultaría procedente, para efectos de acreditar el factor de desempate, la vinculación de dichas personas a través de otros tipos contractuales, como, por ejemplo, el contrato de prestación de servicios. Para estos efectos, la palabra «vinculación» deb</w:t>
      </w:r>
      <w:r w:rsidR="0024413E" w:rsidRPr="00C065EA">
        <w:rPr>
          <w:rFonts w:ascii="Arial" w:hAnsi="Arial" w:cs="Arial"/>
          <w:color w:val="000000" w:themeColor="text1"/>
          <w:sz w:val="22"/>
          <w:lang w:val="es-ES_tradnl"/>
        </w:rPr>
        <w:t>ía</w:t>
      </w:r>
      <w:r w:rsidR="0036169A" w:rsidRPr="00C065EA">
        <w:rPr>
          <w:rFonts w:ascii="Arial" w:hAnsi="Arial" w:cs="Arial"/>
          <w:color w:val="000000" w:themeColor="text1"/>
          <w:sz w:val="22"/>
          <w:lang w:val="es-ES_tradnl"/>
        </w:rPr>
        <w:t xml:space="preserve"> entenderse en concordancia con el parágrafo 2 de la norma en comento, el cual dispone que «Para los criterios enunciados que involucren la </w:t>
      </w:r>
      <w:r w:rsidR="0036169A" w:rsidRPr="00C065EA">
        <w:rPr>
          <w:rFonts w:ascii="Arial" w:hAnsi="Arial" w:cs="Arial"/>
          <w:i/>
          <w:iCs/>
          <w:color w:val="000000" w:themeColor="text1"/>
          <w:sz w:val="22"/>
          <w:lang w:val="es-ES_tradnl"/>
        </w:rPr>
        <w:t>vinculación de capital humano</w:t>
      </w:r>
      <w:r w:rsidR="0036169A" w:rsidRPr="00C065EA">
        <w:rPr>
          <w:rFonts w:ascii="Arial" w:hAnsi="Arial" w:cs="Arial"/>
          <w:color w:val="000000" w:themeColor="text1"/>
          <w:sz w:val="22"/>
          <w:lang w:val="es-ES_tradnl"/>
        </w:rPr>
        <w:t xml:space="preserve">, el oferente deberá acreditar una antigüedad igual o mayor a un año. Para los casos de constitución inferior a un año </w:t>
      </w:r>
      <w:r w:rsidR="0036169A" w:rsidRPr="00C065EA">
        <w:rPr>
          <w:rFonts w:ascii="Arial" w:hAnsi="Arial" w:cs="Arial"/>
          <w:i/>
          <w:iCs/>
          <w:color w:val="000000" w:themeColor="text1"/>
          <w:sz w:val="22"/>
          <w:lang w:val="es-ES_tradnl"/>
        </w:rPr>
        <w:t>se tendrá en cuenta a aquellos trabajadores</w:t>
      </w:r>
      <w:r w:rsidR="0036169A" w:rsidRPr="00C065EA">
        <w:rPr>
          <w:rFonts w:ascii="Arial" w:hAnsi="Arial" w:cs="Arial"/>
          <w:color w:val="000000" w:themeColor="text1"/>
          <w:sz w:val="22"/>
          <w:lang w:val="es-ES_tradnl"/>
        </w:rPr>
        <w:t xml:space="preserve"> que hayan estado vinculados desde el momento de constitución de la misma» (Énfasis fuera de texto). Como se observa, la norma se refiere a la vinculación de trabajadores, lo cual excluye la posibilidad de acreditar el factor de desempate </w:t>
      </w:r>
      <w:r w:rsidR="00DD1E7B" w:rsidRPr="00C065EA">
        <w:rPr>
          <w:rFonts w:ascii="Arial" w:hAnsi="Arial" w:cs="Arial"/>
          <w:color w:val="000000" w:themeColor="text1"/>
          <w:sz w:val="22"/>
          <w:lang w:val="es-ES_tradnl"/>
        </w:rPr>
        <w:t>mediante contratistas de prestación de servicios</w:t>
      </w:r>
      <w:r w:rsidR="0036169A" w:rsidRPr="00C065EA">
        <w:rPr>
          <w:rFonts w:ascii="Arial" w:hAnsi="Arial" w:cs="Arial"/>
          <w:color w:val="000000" w:themeColor="text1"/>
          <w:sz w:val="22"/>
          <w:lang w:val="es-ES_tradnl"/>
        </w:rPr>
        <w:t xml:space="preserve">.  </w:t>
      </w:r>
    </w:p>
    <w:p w14:paraId="175B6D26" w14:textId="7E2E0F7B" w:rsidR="00FF709D" w:rsidRPr="00C065EA" w:rsidRDefault="0036169A" w:rsidP="00A864BA">
      <w:pPr>
        <w:tabs>
          <w:tab w:val="left" w:pos="6551"/>
        </w:tabs>
        <w:spacing w:after="120" w:line="276" w:lineRule="auto"/>
        <w:ind w:firstLine="709"/>
        <w:jc w:val="both"/>
        <w:rPr>
          <w:rFonts w:ascii="Arial" w:hAnsi="Arial" w:cs="Arial"/>
          <w:color w:val="000000" w:themeColor="text1"/>
          <w:sz w:val="22"/>
          <w:lang w:val="es-ES_tradnl"/>
        </w:rPr>
      </w:pPr>
      <w:r w:rsidRPr="00C065EA">
        <w:rPr>
          <w:rFonts w:ascii="Arial" w:hAnsi="Arial" w:cs="Arial"/>
          <w:color w:val="000000" w:themeColor="text1"/>
          <w:sz w:val="22"/>
          <w:lang w:val="es-ES_tradnl"/>
        </w:rPr>
        <w:t xml:space="preserve">Por otra parte, el parágrafo segundo del artículo 35 de la Ley 2069 de 2020 no efectúa distinción alguna acerca de la modalidad de vinculación laboral. Solo exige que el capital humano esté vinculado laboralmente al oferente con una antigüedad igual o mayor a un año, salvo que la constitución del oferente sea inferior a un año, pues en este caso los trabajadores deben estar vinculados desde dicha constitución. </w:t>
      </w:r>
    </w:p>
    <w:p w14:paraId="11CBB81E" w14:textId="77777777" w:rsidR="00C725F8" w:rsidRPr="00C065EA" w:rsidRDefault="00C725F8" w:rsidP="00A864BA">
      <w:pPr>
        <w:spacing w:after="120" w:line="276" w:lineRule="auto"/>
        <w:ind w:firstLine="709"/>
        <w:jc w:val="both"/>
        <w:rPr>
          <w:rFonts w:ascii="Arial" w:hAnsi="Arial" w:cs="Arial"/>
          <w:sz w:val="22"/>
          <w:szCs w:val="22"/>
          <w:lang w:val="es-ES_tradnl"/>
        </w:rPr>
      </w:pPr>
      <w:r w:rsidRPr="00C065EA">
        <w:rPr>
          <w:rFonts w:ascii="Arial" w:hAnsi="Arial" w:cs="Arial"/>
          <w:color w:val="000000" w:themeColor="text1"/>
          <w:sz w:val="22"/>
          <w:lang w:val="es-ES_tradnl"/>
        </w:rPr>
        <w:t xml:space="preserve">Además, como se señaló en el concepto C-390 de 2021, </w:t>
      </w:r>
      <w:r w:rsidRPr="00C065EA">
        <w:rPr>
          <w:rFonts w:ascii="Arial" w:hAnsi="Arial" w:cs="Arial"/>
          <w:sz w:val="22"/>
          <w:szCs w:val="22"/>
          <w:lang w:val="es-ES_tradnl"/>
        </w:rPr>
        <w:t>es necesario tener en cuenta que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en el artículo 29 ibidem, también prescribe que «Las palabras técnicas de toda ciencia o arte se tomarán en el sentido que les den los que profesan la misma ciencia o arte; a menos que aparezca claramente que se han formado en sentido diverso».</w:t>
      </w:r>
    </w:p>
    <w:p w14:paraId="4F631384" w14:textId="77777777" w:rsidR="00C725F8" w:rsidRPr="00C065EA" w:rsidRDefault="00C725F8" w:rsidP="00A864BA">
      <w:pPr>
        <w:spacing w:after="120" w:line="276" w:lineRule="auto"/>
        <w:ind w:firstLine="709"/>
        <w:jc w:val="both"/>
        <w:rPr>
          <w:rFonts w:ascii="Arial" w:hAnsi="Arial" w:cs="Arial"/>
          <w:sz w:val="22"/>
          <w:szCs w:val="22"/>
          <w:lang w:val="es-ES_tradnl"/>
        </w:rPr>
      </w:pPr>
      <w:r w:rsidRPr="00C065EA">
        <w:rPr>
          <w:rFonts w:ascii="Arial" w:hAnsi="Arial" w:cs="Arial"/>
          <w:sz w:val="22"/>
          <w:szCs w:val="22"/>
          <w:lang w:val="es-ES_tradnl"/>
        </w:rPr>
        <w:t xml:space="preserve">Conforme a la definición del Diccionario de la RAE, la palabra «proporción» es la «Igualdad de dos razones». Esta expresión tiene una definición propia en el campo de las matemáticas, pues alude a una relación o razón constante entre diferentes magnitudes que se vayan a medir. Por esta razón, la «[…] mayor proporción de personas mayores que no sean beneficiarios de la pensión de vejez, familiar o de sobrevivencia y que hayan cumplido </w:t>
      </w:r>
      <w:r w:rsidRPr="00C065EA">
        <w:rPr>
          <w:rFonts w:ascii="Arial" w:hAnsi="Arial" w:cs="Arial"/>
          <w:sz w:val="22"/>
          <w:szCs w:val="22"/>
          <w:lang w:val="es-ES_tradnl"/>
        </w:rPr>
        <w:lastRenderedPageBreak/>
        <w:t>el requisito de edad de pensión establecido en la Ley» no corresponde a un valor absoluto, sino relativo.</w:t>
      </w:r>
    </w:p>
    <w:p w14:paraId="26F086C5" w14:textId="73AE8629" w:rsidR="00C725F8" w:rsidRPr="00C065EA" w:rsidRDefault="0016686D" w:rsidP="00A864BA">
      <w:pPr>
        <w:spacing w:after="120" w:line="276" w:lineRule="auto"/>
        <w:ind w:firstLine="709"/>
        <w:jc w:val="both"/>
        <w:rPr>
          <w:rFonts w:ascii="Arial" w:hAnsi="Arial" w:cs="Arial"/>
          <w:sz w:val="22"/>
          <w:szCs w:val="22"/>
          <w:lang w:val="es-ES_tradnl"/>
        </w:rPr>
      </w:pPr>
      <w:r>
        <w:rPr>
          <w:rFonts w:ascii="Arial" w:hAnsi="Arial" w:cs="Arial"/>
          <w:sz w:val="22"/>
          <w:szCs w:val="22"/>
          <w:lang w:val="es-ES_tradnl"/>
        </w:rPr>
        <w:t>E</w:t>
      </w:r>
      <w:r w:rsidR="00C725F8" w:rsidRPr="00C065EA">
        <w:rPr>
          <w:rFonts w:ascii="Arial" w:hAnsi="Arial" w:cs="Arial"/>
          <w:sz w:val="22"/>
          <w:szCs w:val="22"/>
          <w:lang w:val="es-ES_tradnl"/>
        </w:rPr>
        <w:t xml:space="preserve">l factor de desempate del artículo 35.4 de la Ley 2069 de 2020 </w:t>
      </w:r>
      <w:r w:rsidR="00C725F8" w:rsidRPr="00C065EA">
        <w:rPr>
          <w:rFonts w:ascii="Arial" w:hAnsi="Arial" w:cs="Arial"/>
          <w:i/>
          <w:iCs/>
          <w:sz w:val="22"/>
          <w:szCs w:val="22"/>
          <w:lang w:val="es-ES_tradnl"/>
        </w:rPr>
        <w:t>no</w:t>
      </w:r>
      <w:r w:rsidR="00C725F8" w:rsidRPr="00C065EA">
        <w:rPr>
          <w:rFonts w:ascii="Arial" w:hAnsi="Arial" w:cs="Arial"/>
          <w:sz w:val="22"/>
          <w:szCs w:val="22"/>
          <w:lang w:val="es-ES_tradnl"/>
        </w:rPr>
        <w:t xml:space="preserve"> se refiere a la vinculación en </w:t>
      </w:r>
      <w:r w:rsidR="00C725F8" w:rsidRPr="00C065EA">
        <w:rPr>
          <w:rFonts w:ascii="Arial" w:hAnsi="Arial" w:cs="Arial"/>
          <w:i/>
          <w:iCs/>
          <w:sz w:val="22"/>
          <w:szCs w:val="22"/>
          <w:lang w:val="es-ES_tradnl"/>
        </w:rPr>
        <w:t>mayor cantidad</w:t>
      </w:r>
      <w:r w:rsidR="00C725F8" w:rsidRPr="00C065EA">
        <w:rPr>
          <w:rFonts w:ascii="Arial" w:hAnsi="Arial" w:cs="Arial"/>
          <w:sz w:val="22"/>
          <w:szCs w:val="22"/>
          <w:lang w:val="es-ES_tradnl"/>
        </w:rPr>
        <w:t xml:space="preserve"> de personas mayores. En este caso, bastaría comparar el número de personas vinculadas entre cada uno de los proponentes empatados, adjudicando el contrato a aquel que más tenga. Sin embargo, esta interpretación no es posible en la medida que la norma se refiere a la </w:t>
      </w:r>
      <w:bookmarkStart w:id="11" w:name="_Hlk72758821"/>
      <w:r w:rsidR="00C725F8" w:rsidRPr="00C065EA">
        <w:rPr>
          <w:rFonts w:ascii="Arial" w:hAnsi="Arial" w:cs="Arial"/>
          <w:sz w:val="22"/>
          <w:szCs w:val="22"/>
          <w:lang w:val="es-ES_tradnl"/>
        </w:rPr>
        <w:t>«vinculación en mayor proporción»</w:t>
      </w:r>
      <w:bookmarkEnd w:id="11"/>
      <w:r w:rsidR="00C725F8" w:rsidRPr="00C065EA">
        <w:rPr>
          <w:rFonts w:ascii="Arial" w:hAnsi="Arial" w:cs="Arial"/>
          <w:sz w:val="22"/>
          <w:szCs w:val="22"/>
          <w:lang w:val="es-ES_tradnl"/>
        </w:rPr>
        <w:t>, es decir el número de personas vinculadas en relación con la planta de personal de los oferentes.</w:t>
      </w:r>
    </w:p>
    <w:p w14:paraId="6D3C1EE7" w14:textId="095DC53D" w:rsidR="00B63033" w:rsidRPr="00C065EA" w:rsidRDefault="00B63033" w:rsidP="00A864BA">
      <w:pPr>
        <w:tabs>
          <w:tab w:val="left" w:pos="6551"/>
        </w:tabs>
        <w:spacing w:line="276" w:lineRule="auto"/>
        <w:ind w:firstLine="709"/>
        <w:jc w:val="both"/>
        <w:rPr>
          <w:rFonts w:ascii="Arial" w:eastAsia="Calibri" w:hAnsi="Arial" w:cs="Arial"/>
          <w:color w:val="000000" w:themeColor="text1"/>
          <w:sz w:val="22"/>
          <w:szCs w:val="22"/>
          <w:lang w:val="es-ES_tradnl"/>
        </w:rPr>
      </w:pPr>
      <w:r w:rsidRPr="00C065EA">
        <w:rPr>
          <w:rFonts w:ascii="Arial" w:eastAsia="Calibri" w:hAnsi="Arial" w:cs="Arial"/>
          <w:bCs/>
          <w:color w:val="000000" w:themeColor="text1"/>
          <w:sz w:val="22"/>
          <w:szCs w:val="22"/>
          <w:lang w:val="es-ES_tradnl"/>
        </w:rPr>
        <w:t>Lo expuesto se ratifica en el artículo 3 del Decreto reglamentario 1860 de 2021</w:t>
      </w:r>
      <w:r w:rsidR="005D3400">
        <w:rPr>
          <w:rFonts w:ascii="Arial" w:eastAsia="Calibri" w:hAnsi="Arial" w:cs="Arial"/>
          <w:bCs/>
          <w:color w:val="000000" w:themeColor="text1"/>
          <w:sz w:val="22"/>
          <w:szCs w:val="22"/>
          <w:lang w:val="es-ES_tradnl"/>
        </w:rPr>
        <w:t>,</w:t>
      </w:r>
      <w:r w:rsidRPr="00C065EA">
        <w:rPr>
          <w:rFonts w:ascii="Arial" w:eastAsia="Calibri" w:hAnsi="Arial" w:cs="Arial"/>
          <w:bCs/>
          <w:color w:val="000000" w:themeColor="text1"/>
          <w:sz w:val="22"/>
          <w:szCs w:val="22"/>
          <w:lang w:val="es-ES_tradnl"/>
        </w:rPr>
        <w:t xml:space="preserve"> que adicionó el artículo </w:t>
      </w:r>
      <w:r w:rsidRPr="00C065EA">
        <w:rPr>
          <w:rFonts w:ascii="Arial" w:eastAsia="Calibri" w:hAnsi="Arial" w:cs="Arial"/>
          <w:color w:val="000000" w:themeColor="text1"/>
          <w:sz w:val="22"/>
          <w:szCs w:val="22"/>
          <w:lang w:val="es-ES_tradnl"/>
        </w:rPr>
        <w:t xml:space="preserve">2.2.1.2.4.2.17 al Decreto 1082 de 2015, cuyo numeral 4 </w:t>
      </w:r>
      <w:r w:rsidR="004820F1" w:rsidRPr="00C065EA">
        <w:rPr>
          <w:rFonts w:ascii="Arial" w:eastAsia="Calibri" w:hAnsi="Arial" w:cs="Arial"/>
          <w:color w:val="000000" w:themeColor="text1"/>
          <w:sz w:val="22"/>
          <w:szCs w:val="22"/>
          <w:lang w:val="es-ES_tradnl"/>
        </w:rPr>
        <w:t>desarrolla el factor de desempate que se está analizando</w:t>
      </w:r>
      <w:r w:rsidRPr="00C065EA">
        <w:rPr>
          <w:rFonts w:ascii="Arial" w:eastAsia="Calibri" w:hAnsi="Arial" w:cs="Arial"/>
          <w:color w:val="000000" w:themeColor="text1"/>
          <w:sz w:val="22"/>
          <w:szCs w:val="22"/>
          <w:lang w:val="es-ES_tradnl"/>
        </w:rPr>
        <w:t xml:space="preserve">: </w:t>
      </w:r>
    </w:p>
    <w:p w14:paraId="0689031D" w14:textId="29771429" w:rsidR="00790B9B" w:rsidRPr="00C065EA" w:rsidRDefault="00790B9B" w:rsidP="00A864BA">
      <w:pPr>
        <w:tabs>
          <w:tab w:val="left" w:pos="0"/>
        </w:tabs>
        <w:spacing w:line="276" w:lineRule="auto"/>
        <w:ind w:firstLine="709"/>
        <w:jc w:val="both"/>
        <w:rPr>
          <w:rFonts w:ascii="Arial" w:eastAsia="Calibri" w:hAnsi="Arial" w:cs="Arial"/>
          <w:bCs/>
          <w:sz w:val="22"/>
          <w:lang w:val="es-ES_tradnl"/>
        </w:rPr>
      </w:pPr>
    </w:p>
    <w:p w14:paraId="35AF5E4F" w14:textId="77777777" w:rsidR="000E472F" w:rsidRPr="00C065EA" w:rsidRDefault="000E472F" w:rsidP="00A864BA">
      <w:pPr>
        <w:pStyle w:val="NormalWeb"/>
        <w:shd w:val="clear" w:color="auto" w:fill="FFFFFF"/>
        <w:spacing w:before="0" w:beforeAutospacing="0" w:after="0" w:afterAutospacing="0"/>
        <w:ind w:left="709" w:right="709"/>
        <w:jc w:val="both"/>
        <w:rPr>
          <w:rFonts w:ascii="Arial" w:hAnsi="Arial" w:cs="Arial"/>
          <w:sz w:val="21"/>
          <w:szCs w:val="21"/>
        </w:rPr>
      </w:pPr>
      <w:r w:rsidRPr="00C065EA">
        <w:rPr>
          <w:rFonts w:ascii="Arial" w:hAnsi="Arial" w:cs="Arial"/>
          <w:sz w:val="21"/>
          <w:szCs w:val="21"/>
        </w:rPr>
        <w:t>4. Preferir la propuesta presentada por el oferente que acredite la vinculación en mayor proporción de personas mayores que no sean beneficiarias de la pensión de vejez, familiar o de sobrevivencia y que hayan cumplido el requisito de edad de pensión establecido en la ley, para ello, la persona natural, el representante legal de la persona jurídica o el revisor fiscal, según corresponda, entregará un certificado, en el que se acredite,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w:t>
      </w:r>
    </w:p>
    <w:p w14:paraId="55C5823E" w14:textId="77777777" w:rsidR="00A864BA" w:rsidRDefault="00A864BA" w:rsidP="00A864BA">
      <w:pPr>
        <w:pStyle w:val="NormalWeb"/>
        <w:shd w:val="clear" w:color="auto" w:fill="FFFFFF"/>
        <w:spacing w:before="0" w:beforeAutospacing="0" w:after="0" w:afterAutospacing="0"/>
        <w:ind w:left="709" w:right="709"/>
        <w:jc w:val="both"/>
        <w:rPr>
          <w:rFonts w:ascii="Arial" w:hAnsi="Arial" w:cs="Arial"/>
          <w:sz w:val="21"/>
          <w:szCs w:val="21"/>
        </w:rPr>
      </w:pPr>
    </w:p>
    <w:p w14:paraId="23C1BAD1" w14:textId="79AF510E" w:rsidR="000E472F" w:rsidRPr="00C065EA" w:rsidRDefault="000E472F" w:rsidP="00A864BA">
      <w:pPr>
        <w:pStyle w:val="NormalWeb"/>
        <w:shd w:val="clear" w:color="auto" w:fill="FFFFFF"/>
        <w:spacing w:before="0" w:beforeAutospacing="0" w:after="0" w:afterAutospacing="0"/>
        <w:ind w:left="709" w:right="709"/>
        <w:jc w:val="both"/>
        <w:rPr>
          <w:rFonts w:ascii="Arial" w:hAnsi="Arial" w:cs="Arial"/>
          <w:sz w:val="21"/>
          <w:szCs w:val="21"/>
        </w:rPr>
      </w:pPr>
      <w:r w:rsidRPr="00C065EA">
        <w:rPr>
          <w:rFonts w:ascii="Arial" w:hAnsi="Arial" w:cs="Arial"/>
          <w:sz w:val="21"/>
          <w:szCs w:val="21"/>
        </w:rPr>
        <w:t>El tiempo de vinculación en la planta referida, de que trata el inciso anterior, se acreditará con el certificado de aportes a seguridad social del último año o del tiempo de constitución de la persona jurídica, cuando su conformación es inferior a un (1) año, en el que se demuestren los pagos realizados por el empleador.</w:t>
      </w:r>
    </w:p>
    <w:p w14:paraId="5A28ADA7" w14:textId="77777777" w:rsidR="000E472F" w:rsidRPr="00C065EA" w:rsidRDefault="000E472F" w:rsidP="00A864BA">
      <w:pPr>
        <w:pStyle w:val="NormalWeb"/>
        <w:shd w:val="clear" w:color="auto" w:fill="FFFFFF"/>
        <w:spacing w:before="0" w:beforeAutospacing="0" w:after="0" w:afterAutospacing="0"/>
        <w:ind w:left="709" w:right="709"/>
        <w:jc w:val="both"/>
        <w:rPr>
          <w:rFonts w:ascii="Arial" w:hAnsi="Arial" w:cs="Arial"/>
          <w:sz w:val="21"/>
          <w:szCs w:val="21"/>
        </w:rPr>
      </w:pPr>
      <w:r w:rsidRPr="00C065EA">
        <w:rPr>
          <w:rFonts w:ascii="Arial" w:hAnsi="Arial" w:cs="Arial"/>
          <w:sz w:val="21"/>
          <w:szCs w:val="21"/>
        </w:rPr>
        <w:t>En el caso de los proponentes plurales, su representante legal acreditará el número de trabajadores vinculados que son personas mayores no beneficiarias de la pensión de vejez, familiar o de sobrevivencia, y que cumplieron el requisito de edad de pensión establecido en la ley, de todos los integrantes del proponente. Las personas enunciadas anteriormente podrán estar vinculadas a cualquiera de sus integrantes.</w:t>
      </w:r>
    </w:p>
    <w:p w14:paraId="659AD5AE" w14:textId="77777777" w:rsidR="000E472F" w:rsidRPr="00C065EA" w:rsidRDefault="000E472F" w:rsidP="00A864BA">
      <w:pPr>
        <w:pStyle w:val="NormalWeb"/>
        <w:shd w:val="clear" w:color="auto" w:fill="FFFFFF"/>
        <w:spacing w:before="0" w:beforeAutospacing="0" w:after="0" w:afterAutospacing="0"/>
        <w:ind w:left="709" w:right="709"/>
        <w:jc w:val="both"/>
        <w:rPr>
          <w:rFonts w:ascii="Arial" w:hAnsi="Arial" w:cs="Arial"/>
          <w:sz w:val="21"/>
          <w:szCs w:val="21"/>
        </w:rPr>
      </w:pPr>
      <w:r w:rsidRPr="00C065EA">
        <w:rPr>
          <w:rFonts w:ascii="Arial" w:hAnsi="Arial" w:cs="Arial"/>
          <w:sz w:val="21"/>
          <w:szCs w:val="21"/>
        </w:rPr>
        <w:t>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sobrevivencia, y cumple la edad de pensión; además, se deberá allegar el documento de identificación del trabajador que lo firma.</w:t>
      </w:r>
    </w:p>
    <w:p w14:paraId="626E28C0" w14:textId="77777777" w:rsidR="00A864BA" w:rsidRDefault="00A864BA" w:rsidP="00A864BA">
      <w:pPr>
        <w:shd w:val="clear" w:color="auto" w:fill="FFFFFF"/>
        <w:ind w:left="709" w:right="709"/>
        <w:jc w:val="both"/>
        <w:rPr>
          <w:rFonts w:ascii="Arial" w:hAnsi="Arial" w:cs="Arial"/>
          <w:i/>
          <w:iCs/>
          <w:sz w:val="21"/>
          <w:szCs w:val="21"/>
        </w:rPr>
      </w:pPr>
    </w:p>
    <w:p w14:paraId="3FD286D3" w14:textId="15225D9E" w:rsidR="00790B9B" w:rsidRPr="00C065EA" w:rsidRDefault="000E472F" w:rsidP="00A864BA">
      <w:pPr>
        <w:shd w:val="clear" w:color="auto" w:fill="FFFFFF"/>
        <w:ind w:left="709" w:right="709"/>
        <w:jc w:val="both"/>
        <w:rPr>
          <w:rFonts w:ascii="Arial" w:eastAsia="Calibri" w:hAnsi="Arial" w:cs="Arial"/>
          <w:sz w:val="22"/>
          <w:szCs w:val="22"/>
          <w:lang w:val="es-ES_tradnl"/>
        </w:rPr>
      </w:pPr>
      <w:r w:rsidRPr="00C065EA">
        <w:rPr>
          <w:rFonts w:ascii="Arial" w:hAnsi="Arial" w:cs="Arial"/>
          <w:i/>
          <w:iCs/>
          <w:sz w:val="21"/>
          <w:szCs w:val="21"/>
        </w:rPr>
        <w:lastRenderedPageBreak/>
        <w:t xml:space="preserve">La mayor proporción </w:t>
      </w:r>
      <w:bookmarkStart w:id="12" w:name="_Hlk102656704"/>
      <w:r w:rsidRPr="00C065EA">
        <w:rPr>
          <w:rFonts w:ascii="Arial" w:hAnsi="Arial" w:cs="Arial"/>
          <w:i/>
          <w:iCs/>
          <w:sz w:val="21"/>
          <w:szCs w:val="21"/>
        </w:rPr>
        <w:t>se definirá en relación con el número total de trabajadores vinculados en la planta de personal, por lo que se preferirá al oferente que acredite un porcentaje mayor</w:t>
      </w:r>
      <w:bookmarkEnd w:id="12"/>
      <w:r w:rsidRPr="00C065EA">
        <w:rPr>
          <w:rFonts w:ascii="Arial" w:hAnsi="Arial" w:cs="Arial"/>
          <w:i/>
          <w:iCs/>
          <w:sz w:val="21"/>
          <w:szCs w:val="21"/>
        </w:rPr>
        <w:t>. En el caso de proponentes plurales, la mayor proporción se definirá con la sumatoria de trabajadores vinculados en la planta de personal de cada uno de sus integrantes</w:t>
      </w:r>
      <w:r w:rsidRPr="00C065EA">
        <w:rPr>
          <w:rFonts w:ascii="Arial" w:hAnsi="Arial" w:cs="Arial"/>
          <w:sz w:val="21"/>
          <w:szCs w:val="21"/>
        </w:rPr>
        <w:t>.</w:t>
      </w:r>
      <w:r w:rsidRPr="00C065EA">
        <w:rPr>
          <w:rFonts w:ascii="Arial" w:eastAsia="Calibri" w:hAnsi="Arial" w:cs="Arial"/>
          <w:sz w:val="22"/>
          <w:szCs w:val="22"/>
          <w:lang w:val="es-ES_tradnl"/>
        </w:rPr>
        <w:t xml:space="preserve"> (Énfasis fuera de texto)</w:t>
      </w:r>
    </w:p>
    <w:p w14:paraId="196FC901" w14:textId="77777777" w:rsidR="00790B9B" w:rsidRPr="00C065EA" w:rsidRDefault="00790B9B" w:rsidP="00A864BA">
      <w:pPr>
        <w:tabs>
          <w:tab w:val="left" w:pos="0"/>
        </w:tabs>
        <w:spacing w:line="276" w:lineRule="auto"/>
        <w:ind w:firstLine="709"/>
        <w:jc w:val="both"/>
        <w:rPr>
          <w:rFonts w:ascii="Arial" w:eastAsia="Calibri" w:hAnsi="Arial" w:cs="Arial"/>
          <w:bCs/>
          <w:sz w:val="22"/>
          <w:lang w:val="es-ES_tradnl"/>
        </w:rPr>
      </w:pPr>
    </w:p>
    <w:p w14:paraId="01370C23" w14:textId="69A311C9" w:rsidR="005E76AE" w:rsidRPr="00C065EA" w:rsidRDefault="008705B9" w:rsidP="00A864BA">
      <w:pPr>
        <w:tabs>
          <w:tab w:val="left" w:pos="0"/>
        </w:tabs>
        <w:spacing w:after="120" w:line="276" w:lineRule="auto"/>
        <w:ind w:firstLine="709"/>
        <w:jc w:val="both"/>
        <w:rPr>
          <w:rFonts w:ascii="Arial" w:eastAsia="Calibri" w:hAnsi="Arial" w:cs="Arial"/>
          <w:bCs/>
          <w:sz w:val="22"/>
          <w:lang w:val="es-ES_tradnl"/>
        </w:rPr>
      </w:pPr>
      <w:r w:rsidRPr="00C065EA">
        <w:rPr>
          <w:rFonts w:ascii="Arial" w:eastAsia="Calibri" w:hAnsi="Arial" w:cs="Arial"/>
          <w:bCs/>
          <w:sz w:val="22"/>
          <w:lang w:val="es-ES_tradnl"/>
        </w:rPr>
        <w:t>De conformidad con lo anterior,</w:t>
      </w:r>
      <w:r w:rsidR="007274EC" w:rsidRPr="00C065EA">
        <w:rPr>
          <w:rFonts w:ascii="Arial" w:eastAsia="Calibri" w:hAnsi="Arial" w:cs="Arial"/>
          <w:bCs/>
          <w:sz w:val="22"/>
          <w:lang w:val="es-ES_tradnl"/>
        </w:rPr>
        <w:t xml:space="preserve"> </w:t>
      </w:r>
      <w:r w:rsidR="005118F4" w:rsidRPr="00C065EA">
        <w:rPr>
          <w:rFonts w:ascii="Arial" w:eastAsia="Calibri" w:hAnsi="Arial" w:cs="Arial"/>
          <w:bCs/>
          <w:sz w:val="22"/>
          <w:lang w:val="es-ES_tradnl"/>
        </w:rPr>
        <w:t>la reglamentación actual</w:t>
      </w:r>
      <w:r w:rsidR="001A4223" w:rsidRPr="00C065EA">
        <w:rPr>
          <w:rFonts w:ascii="Arial" w:eastAsia="Calibri" w:hAnsi="Arial" w:cs="Arial"/>
          <w:bCs/>
          <w:sz w:val="22"/>
          <w:lang w:val="es-ES_tradnl"/>
        </w:rPr>
        <w:t>,</w:t>
      </w:r>
      <w:r w:rsidR="007274EC" w:rsidRPr="00C065EA">
        <w:rPr>
          <w:rFonts w:ascii="Arial" w:eastAsia="Calibri" w:hAnsi="Arial" w:cs="Arial"/>
          <w:bCs/>
          <w:sz w:val="22"/>
          <w:lang w:val="es-ES_tradnl"/>
        </w:rPr>
        <w:t xml:space="preserve"> expresamente</w:t>
      </w:r>
      <w:r w:rsidR="005D3400">
        <w:rPr>
          <w:rFonts w:ascii="Arial" w:eastAsia="Calibri" w:hAnsi="Arial" w:cs="Arial"/>
          <w:bCs/>
          <w:sz w:val="22"/>
          <w:lang w:val="es-ES_tradnl"/>
        </w:rPr>
        <w:t>,</w:t>
      </w:r>
      <w:r w:rsidR="007274EC" w:rsidRPr="00C065EA">
        <w:rPr>
          <w:rFonts w:ascii="Arial" w:eastAsia="Calibri" w:hAnsi="Arial" w:cs="Arial"/>
          <w:bCs/>
          <w:sz w:val="22"/>
          <w:lang w:val="es-ES_tradnl"/>
        </w:rPr>
        <w:t xml:space="preserve"> señala que</w:t>
      </w:r>
      <w:r w:rsidRPr="00C065EA">
        <w:rPr>
          <w:rFonts w:ascii="Arial" w:eastAsia="Calibri" w:hAnsi="Arial" w:cs="Arial"/>
          <w:bCs/>
          <w:sz w:val="22"/>
          <w:lang w:val="es-ES_tradnl"/>
        </w:rPr>
        <w:t xml:space="preserve"> </w:t>
      </w:r>
      <w:r w:rsidR="009A347B" w:rsidRPr="00C065EA">
        <w:rPr>
          <w:rFonts w:ascii="Arial" w:eastAsia="Calibri" w:hAnsi="Arial" w:cs="Arial"/>
          <w:bCs/>
          <w:sz w:val="22"/>
          <w:lang w:val="es-ES_tradnl"/>
        </w:rPr>
        <w:t xml:space="preserve">se preferirá la propuesta del oferente que acredite </w:t>
      </w:r>
      <w:r w:rsidR="00B97A19" w:rsidRPr="00C065EA">
        <w:rPr>
          <w:rFonts w:ascii="Arial" w:eastAsia="Calibri" w:hAnsi="Arial" w:cs="Arial"/>
          <w:bCs/>
          <w:sz w:val="22"/>
          <w:lang w:val="es-ES_tradnl"/>
        </w:rPr>
        <w:t>la vinculación en mayor proporción de personas mayores que no sean beneficiarias de la pensión de vejez, familiar o de sobrevivencia y que hayan cumplido el requisito de edad de pensión establecido en la ley</w:t>
      </w:r>
      <w:r w:rsidR="0005694A" w:rsidRPr="00C065EA">
        <w:rPr>
          <w:rFonts w:ascii="Arial" w:eastAsia="Calibri" w:hAnsi="Arial" w:cs="Arial"/>
          <w:bCs/>
          <w:sz w:val="22"/>
          <w:lang w:val="es-ES_tradnl"/>
        </w:rPr>
        <w:t>, para lo cual deberá</w:t>
      </w:r>
      <w:r w:rsidR="004A7617" w:rsidRPr="00C065EA">
        <w:rPr>
          <w:rFonts w:ascii="Arial" w:eastAsia="Calibri" w:hAnsi="Arial" w:cs="Arial"/>
          <w:bCs/>
          <w:sz w:val="22"/>
          <w:lang w:val="es-ES_tradnl"/>
        </w:rPr>
        <w:t>n</w:t>
      </w:r>
      <w:r w:rsidR="0005694A" w:rsidRPr="00C065EA">
        <w:rPr>
          <w:rFonts w:ascii="Arial" w:eastAsia="Calibri" w:hAnsi="Arial" w:cs="Arial"/>
          <w:bCs/>
          <w:sz w:val="22"/>
          <w:lang w:val="es-ES_tradnl"/>
        </w:rPr>
        <w:t xml:space="preserve"> presentar</w:t>
      </w:r>
      <w:r w:rsidR="004A7617" w:rsidRPr="00C065EA">
        <w:rPr>
          <w:rFonts w:ascii="Arial" w:eastAsia="Calibri" w:hAnsi="Arial" w:cs="Arial"/>
          <w:bCs/>
          <w:sz w:val="22"/>
          <w:lang w:val="es-ES_tradnl"/>
        </w:rPr>
        <w:t xml:space="preserve"> los siguientes documentos: i)</w:t>
      </w:r>
      <w:r w:rsidR="0005694A" w:rsidRPr="00C065EA">
        <w:rPr>
          <w:rFonts w:ascii="Arial" w:eastAsia="Calibri" w:hAnsi="Arial" w:cs="Arial"/>
          <w:bCs/>
          <w:sz w:val="22"/>
          <w:lang w:val="es-ES_tradnl"/>
        </w:rPr>
        <w:t xml:space="preserve"> un certificado mediante el cual</w:t>
      </w:r>
      <w:r w:rsidR="00836E00" w:rsidRPr="00C065EA">
        <w:rPr>
          <w:rFonts w:ascii="Arial" w:eastAsia="Calibri" w:hAnsi="Arial" w:cs="Arial"/>
          <w:bCs/>
          <w:sz w:val="22"/>
          <w:lang w:val="es-ES_tradnl"/>
        </w:rPr>
        <w:t xml:space="preserve">, el representante legal de la persona jurídica o el revisor fiscal, </w:t>
      </w:r>
      <w:r w:rsidR="0087767C" w:rsidRPr="00C065EA">
        <w:rPr>
          <w:rFonts w:ascii="Arial" w:eastAsia="Calibri" w:hAnsi="Arial" w:cs="Arial"/>
          <w:bCs/>
          <w:sz w:val="22"/>
          <w:lang w:val="es-ES_tradnl"/>
        </w:rPr>
        <w:t xml:space="preserve">acredite bajo gravedad de juramento las personas vinculadas a la nómina y </w:t>
      </w:r>
      <w:r w:rsidR="00EA5F6C" w:rsidRPr="00C065EA">
        <w:rPr>
          <w:rFonts w:ascii="Arial" w:eastAsia="Calibri" w:hAnsi="Arial" w:cs="Arial"/>
          <w:bCs/>
          <w:sz w:val="22"/>
          <w:lang w:val="es-ES_tradnl"/>
        </w:rPr>
        <w:t>el número de trabajadores que no son beneficiarios de la pensión de vejez</w:t>
      </w:r>
      <w:r w:rsidR="00F67EC6" w:rsidRPr="00C065EA">
        <w:rPr>
          <w:rFonts w:ascii="Arial" w:eastAsia="Calibri" w:hAnsi="Arial" w:cs="Arial"/>
          <w:bCs/>
          <w:sz w:val="22"/>
          <w:lang w:val="es-ES_tradnl"/>
        </w:rPr>
        <w:t>, familiar o de sobrevivencia</w:t>
      </w:r>
      <w:r w:rsidR="0079524C" w:rsidRPr="00C065EA">
        <w:rPr>
          <w:rFonts w:ascii="Arial" w:eastAsia="Calibri" w:hAnsi="Arial" w:cs="Arial"/>
          <w:bCs/>
          <w:sz w:val="22"/>
          <w:lang w:val="es-ES_tradnl"/>
        </w:rPr>
        <w:t>,</w:t>
      </w:r>
      <w:r w:rsidR="004A7617" w:rsidRPr="00C065EA">
        <w:rPr>
          <w:rFonts w:ascii="Arial" w:eastAsia="Calibri" w:hAnsi="Arial" w:cs="Arial"/>
          <w:bCs/>
          <w:sz w:val="22"/>
          <w:lang w:val="es-ES_tradnl"/>
        </w:rPr>
        <w:t xml:space="preserve"> </w:t>
      </w:r>
      <w:proofErr w:type="spellStart"/>
      <w:r w:rsidR="004A7617" w:rsidRPr="00C065EA">
        <w:rPr>
          <w:rFonts w:ascii="Arial" w:eastAsia="Calibri" w:hAnsi="Arial" w:cs="Arial"/>
          <w:bCs/>
          <w:sz w:val="22"/>
          <w:lang w:val="es-ES_tradnl"/>
        </w:rPr>
        <w:t>ii</w:t>
      </w:r>
      <w:proofErr w:type="spellEnd"/>
      <w:r w:rsidR="004A7617" w:rsidRPr="00C065EA">
        <w:rPr>
          <w:rFonts w:ascii="Arial" w:eastAsia="Calibri" w:hAnsi="Arial" w:cs="Arial"/>
          <w:bCs/>
          <w:sz w:val="22"/>
          <w:lang w:val="es-ES_tradnl"/>
        </w:rPr>
        <w:t xml:space="preserve">) </w:t>
      </w:r>
      <w:r w:rsidR="00950996" w:rsidRPr="00C065EA">
        <w:rPr>
          <w:rFonts w:ascii="Arial" w:eastAsia="Calibri" w:hAnsi="Arial" w:cs="Arial"/>
          <w:bCs/>
          <w:sz w:val="22"/>
          <w:lang w:val="es-ES_tradnl"/>
        </w:rPr>
        <w:t>un certificado</w:t>
      </w:r>
      <w:r w:rsidR="00735B4E" w:rsidRPr="00C065EA">
        <w:rPr>
          <w:rFonts w:ascii="Arial" w:eastAsia="Calibri" w:hAnsi="Arial" w:cs="Arial"/>
          <w:bCs/>
          <w:sz w:val="22"/>
          <w:lang w:val="es-ES_tradnl"/>
        </w:rPr>
        <w:t xml:space="preserve"> mediante el cual,</w:t>
      </w:r>
      <w:r w:rsidR="00950996" w:rsidRPr="00C065EA">
        <w:rPr>
          <w:rFonts w:ascii="Arial" w:eastAsia="Calibri" w:hAnsi="Arial" w:cs="Arial"/>
          <w:bCs/>
          <w:sz w:val="22"/>
          <w:lang w:val="es-ES_tradnl"/>
        </w:rPr>
        <w:t xml:space="preserve"> cada uno de los trabajadores </w:t>
      </w:r>
      <w:r w:rsidR="00D06FCB" w:rsidRPr="00C065EA">
        <w:rPr>
          <w:rFonts w:ascii="Arial" w:eastAsia="Calibri" w:hAnsi="Arial" w:cs="Arial"/>
          <w:bCs/>
          <w:sz w:val="22"/>
          <w:lang w:val="es-ES_tradnl"/>
        </w:rPr>
        <w:t>sujetos a la</w:t>
      </w:r>
      <w:r w:rsidR="00735B4E" w:rsidRPr="00C065EA">
        <w:rPr>
          <w:rFonts w:ascii="Arial" w:eastAsia="Calibri" w:hAnsi="Arial" w:cs="Arial"/>
          <w:bCs/>
          <w:sz w:val="22"/>
          <w:lang w:val="es-ES_tradnl"/>
        </w:rPr>
        <w:t xml:space="preserve"> condición prevista en el numeral, acredite bajo gravedad de juramento que no es beneficiario </w:t>
      </w:r>
      <w:r w:rsidR="00065011" w:rsidRPr="00C065EA">
        <w:rPr>
          <w:rFonts w:ascii="Arial" w:eastAsia="Calibri" w:hAnsi="Arial" w:cs="Arial"/>
          <w:bCs/>
          <w:sz w:val="22"/>
          <w:lang w:val="es-ES_tradnl"/>
        </w:rPr>
        <w:t>de pensión de vejez, familiar o sobrevivencia, y</w:t>
      </w:r>
      <w:r w:rsidR="00D06FCB" w:rsidRPr="00C065EA">
        <w:rPr>
          <w:rFonts w:ascii="Arial" w:eastAsia="Calibri" w:hAnsi="Arial" w:cs="Arial"/>
          <w:bCs/>
          <w:sz w:val="22"/>
          <w:lang w:val="es-ES_tradnl"/>
        </w:rPr>
        <w:t xml:space="preserve"> que</w:t>
      </w:r>
      <w:r w:rsidR="00065011" w:rsidRPr="00C065EA">
        <w:rPr>
          <w:rFonts w:ascii="Arial" w:eastAsia="Calibri" w:hAnsi="Arial" w:cs="Arial"/>
          <w:bCs/>
          <w:sz w:val="22"/>
          <w:lang w:val="es-ES_tradnl"/>
        </w:rPr>
        <w:t xml:space="preserve"> cumple la edad de pensión;</w:t>
      </w:r>
      <w:r w:rsidR="0079524C" w:rsidRPr="00C065EA">
        <w:rPr>
          <w:rFonts w:ascii="Arial" w:eastAsia="Calibri" w:hAnsi="Arial" w:cs="Arial"/>
          <w:bCs/>
          <w:sz w:val="22"/>
          <w:lang w:val="es-ES_tradnl"/>
        </w:rPr>
        <w:t xml:space="preserve"> y </w:t>
      </w:r>
      <w:proofErr w:type="spellStart"/>
      <w:r w:rsidR="0079524C" w:rsidRPr="00C065EA">
        <w:rPr>
          <w:rFonts w:ascii="Arial" w:eastAsia="Calibri" w:hAnsi="Arial" w:cs="Arial"/>
          <w:bCs/>
          <w:sz w:val="22"/>
          <w:lang w:val="es-ES_tradnl"/>
        </w:rPr>
        <w:t>iii</w:t>
      </w:r>
      <w:proofErr w:type="spellEnd"/>
      <w:r w:rsidR="0079524C" w:rsidRPr="00C065EA">
        <w:rPr>
          <w:rFonts w:ascii="Arial" w:eastAsia="Calibri" w:hAnsi="Arial" w:cs="Arial"/>
          <w:bCs/>
          <w:sz w:val="22"/>
          <w:lang w:val="es-ES_tradnl"/>
        </w:rPr>
        <w:t>)</w:t>
      </w:r>
      <w:r w:rsidR="00065011" w:rsidRPr="00C065EA">
        <w:rPr>
          <w:rFonts w:ascii="Arial" w:eastAsia="Calibri" w:hAnsi="Arial" w:cs="Arial"/>
          <w:bCs/>
          <w:sz w:val="22"/>
          <w:lang w:val="es-ES_tradnl"/>
        </w:rPr>
        <w:t xml:space="preserve"> además, el documento de identificación del trabajador que lo firma.</w:t>
      </w:r>
    </w:p>
    <w:p w14:paraId="3B91F2A5" w14:textId="77777777" w:rsidR="00457C10" w:rsidRPr="00C065EA" w:rsidRDefault="00F00125" w:rsidP="00A864BA">
      <w:pPr>
        <w:tabs>
          <w:tab w:val="left" w:pos="0"/>
        </w:tabs>
        <w:spacing w:after="120" w:line="276" w:lineRule="auto"/>
        <w:ind w:firstLine="709"/>
        <w:jc w:val="both"/>
        <w:rPr>
          <w:rFonts w:ascii="Arial" w:eastAsia="Calibri" w:hAnsi="Arial" w:cs="Arial"/>
          <w:bCs/>
          <w:sz w:val="22"/>
          <w:lang w:val="es-ES_tradnl"/>
        </w:rPr>
      </w:pPr>
      <w:r w:rsidRPr="00C065EA">
        <w:rPr>
          <w:rFonts w:ascii="Arial" w:eastAsia="Calibri" w:hAnsi="Arial" w:cs="Arial"/>
          <w:bCs/>
          <w:sz w:val="22"/>
          <w:lang w:val="es-ES_tradnl"/>
        </w:rPr>
        <w:t xml:space="preserve">Según </w:t>
      </w:r>
      <w:r w:rsidR="00B45236" w:rsidRPr="00C065EA">
        <w:rPr>
          <w:rFonts w:ascii="Arial" w:eastAsia="Calibri" w:hAnsi="Arial" w:cs="Arial"/>
          <w:bCs/>
          <w:sz w:val="22"/>
          <w:lang w:val="es-ES_tradnl"/>
        </w:rPr>
        <w:t>la norma citada</w:t>
      </w:r>
      <w:r w:rsidR="005E76AE" w:rsidRPr="00C065EA">
        <w:rPr>
          <w:rFonts w:ascii="Arial" w:eastAsia="Calibri" w:hAnsi="Arial" w:cs="Arial"/>
          <w:bCs/>
          <w:sz w:val="22"/>
          <w:lang w:val="es-ES_tradnl"/>
        </w:rPr>
        <w:t xml:space="preserve">, se estipula que </w:t>
      </w:r>
      <w:r w:rsidR="005A6343" w:rsidRPr="00C065EA">
        <w:rPr>
          <w:rFonts w:ascii="Arial" w:eastAsia="Calibri" w:hAnsi="Arial" w:cs="Arial"/>
          <w:bCs/>
          <w:sz w:val="22"/>
          <w:lang w:val="es-ES_tradnl"/>
        </w:rPr>
        <w:t xml:space="preserve">la vinculación </w:t>
      </w:r>
      <w:r w:rsidR="007122B1" w:rsidRPr="00C065EA">
        <w:rPr>
          <w:rFonts w:ascii="Arial" w:eastAsia="Calibri" w:hAnsi="Arial" w:cs="Arial"/>
          <w:bCs/>
          <w:sz w:val="22"/>
          <w:lang w:val="es-ES_tradnl"/>
        </w:rPr>
        <w:t xml:space="preserve">de estas personas se tendrá en cuenta si han estado vinculadas con anterioridad a un año desde la fecha de cierre del proceso y que para el caso de </w:t>
      </w:r>
      <w:r w:rsidR="007E3AF7" w:rsidRPr="00C065EA">
        <w:rPr>
          <w:rFonts w:ascii="Arial" w:eastAsia="Calibri" w:hAnsi="Arial" w:cs="Arial"/>
          <w:bCs/>
          <w:sz w:val="22"/>
          <w:lang w:val="es-ES_tradnl"/>
        </w:rPr>
        <w:t xml:space="preserve">las personas jurídicas nuevas o con constitución inferior a un año, se tendrá en cuenta que hayan estado vinculadas desde el momento de constitución de la persona jurídica. </w:t>
      </w:r>
      <w:r w:rsidR="00B171C0" w:rsidRPr="00C065EA">
        <w:rPr>
          <w:rFonts w:ascii="Arial" w:eastAsia="Calibri" w:hAnsi="Arial" w:cs="Arial"/>
          <w:bCs/>
          <w:sz w:val="22"/>
          <w:lang w:val="es-ES_tradnl"/>
        </w:rPr>
        <w:t xml:space="preserve">De otro lado, para el caso de los proponentes plurales, se establece que </w:t>
      </w:r>
      <w:r w:rsidR="00DF6BC9" w:rsidRPr="00C065EA">
        <w:rPr>
          <w:rFonts w:ascii="Arial" w:eastAsia="Calibri" w:hAnsi="Arial" w:cs="Arial"/>
          <w:bCs/>
          <w:sz w:val="22"/>
          <w:lang w:val="es-ES_tradnl"/>
        </w:rPr>
        <w:t xml:space="preserve">las personas </w:t>
      </w:r>
      <w:r w:rsidR="003C3C9B" w:rsidRPr="00C065EA">
        <w:rPr>
          <w:rFonts w:ascii="Arial" w:eastAsia="Calibri" w:hAnsi="Arial" w:cs="Arial"/>
          <w:bCs/>
          <w:sz w:val="22"/>
          <w:lang w:val="es-ES_tradnl"/>
        </w:rPr>
        <w:t>referenciadas</w:t>
      </w:r>
      <w:r w:rsidR="00DF6BC9" w:rsidRPr="00C065EA">
        <w:rPr>
          <w:rFonts w:ascii="Arial" w:eastAsia="Calibri" w:hAnsi="Arial" w:cs="Arial"/>
          <w:bCs/>
          <w:sz w:val="22"/>
          <w:lang w:val="es-ES_tradnl"/>
        </w:rPr>
        <w:t xml:space="preserve"> podrán estar vinculadas a cualquiera de los integrantes de la estructura plural. </w:t>
      </w:r>
    </w:p>
    <w:p w14:paraId="436FF446" w14:textId="35267D96" w:rsidR="00F924AB" w:rsidRPr="00C065EA" w:rsidRDefault="00CD6482" w:rsidP="00A864BA">
      <w:pPr>
        <w:tabs>
          <w:tab w:val="left" w:pos="0"/>
        </w:tabs>
        <w:spacing w:line="276" w:lineRule="auto"/>
        <w:ind w:firstLine="709"/>
        <w:jc w:val="both"/>
        <w:rPr>
          <w:rFonts w:ascii="Arial" w:eastAsia="Calibri" w:hAnsi="Arial" w:cs="Arial"/>
          <w:bCs/>
          <w:sz w:val="22"/>
          <w:lang w:val="es-ES_tradnl"/>
        </w:rPr>
      </w:pPr>
      <w:r w:rsidRPr="00C065EA">
        <w:rPr>
          <w:rFonts w:ascii="Arial" w:eastAsia="Calibri" w:hAnsi="Arial" w:cs="Arial"/>
          <w:bCs/>
          <w:sz w:val="22"/>
          <w:lang w:val="es-ES_tradnl"/>
        </w:rPr>
        <w:t>Finalmente</w:t>
      </w:r>
      <w:r w:rsidR="00DD53EE" w:rsidRPr="00C065EA">
        <w:rPr>
          <w:rFonts w:ascii="Arial" w:eastAsia="Calibri" w:hAnsi="Arial" w:cs="Arial"/>
          <w:bCs/>
          <w:sz w:val="22"/>
          <w:lang w:val="es-ES_tradnl"/>
        </w:rPr>
        <w:t xml:space="preserve">, </w:t>
      </w:r>
      <w:r w:rsidR="00301009" w:rsidRPr="00C065EA">
        <w:rPr>
          <w:rFonts w:ascii="Arial" w:eastAsia="Calibri" w:hAnsi="Arial" w:cs="Arial"/>
          <w:bCs/>
          <w:sz w:val="22"/>
          <w:lang w:val="es-ES_tradnl"/>
        </w:rPr>
        <w:t xml:space="preserve">de acuerdo con la norma, la expresión </w:t>
      </w:r>
      <w:r w:rsidR="00882ABE" w:rsidRPr="00C065EA">
        <w:rPr>
          <w:rFonts w:ascii="Arial" w:eastAsia="Calibri" w:hAnsi="Arial" w:cs="Arial"/>
          <w:bCs/>
          <w:sz w:val="22"/>
          <w:lang w:val="es-ES_tradnl"/>
        </w:rPr>
        <w:t>«mayor proporción» alude al número de personas vinculadas por el oferente</w:t>
      </w:r>
      <w:r w:rsidR="00F52571" w:rsidRPr="00C065EA">
        <w:rPr>
          <w:rFonts w:ascii="Arial" w:eastAsia="Calibri" w:hAnsi="Arial" w:cs="Arial"/>
          <w:bCs/>
          <w:sz w:val="22"/>
          <w:lang w:val="es-ES_tradnl"/>
        </w:rPr>
        <w:t xml:space="preserve">, la cual </w:t>
      </w:r>
      <w:r w:rsidR="00F52571" w:rsidRPr="00C065EA">
        <w:rPr>
          <w:rFonts w:ascii="Arial" w:hAnsi="Arial" w:cs="Arial"/>
          <w:sz w:val="22"/>
          <w:szCs w:val="22"/>
          <w:lang w:val="es-ES_tradnl"/>
        </w:rPr>
        <w:t>«</w:t>
      </w:r>
      <w:r w:rsidR="00F52571" w:rsidRPr="00C065EA">
        <w:rPr>
          <w:rFonts w:ascii="Arial" w:eastAsia="Calibri" w:hAnsi="Arial" w:cs="Arial"/>
          <w:bCs/>
          <w:sz w:val="22"/>
          <w:lang w:val="es-ES_tradnl"/>
        </w:rPr>
        <w:t xml:space="preserve">se definirá en relación con el número total de trabajadores vinculados en la planta de personal, por lo que se preferirá al oferente que acredite un </w:t>
      </w:r>
      <w:r w:rsidR="00F52571" w:rsidRPr="00C065EA">
        <w:rPr>
          <w:rFonts w:ascii="Arial" w:eastAsia="Calibri" w:hAnsi="Arial" w:cs="Arial"/>
          <w:bCs/>
          <w:i/>
          <w:iCs/>
          <w:sz w:val="22"/>
          <w:lang w:val="es-ES_tradnl"/>
        </w:rPr>
        <w:t>porcentaje mayor</w:t>
      </w:r>
      <w:r w:rsidR="00FF629E" w:rsidRPr="00C065EA">
        <w:rPr>
          <w:rFonts w:ascii="Arial" w:hAnsi="Arial" w:cs="Arial"/>
          <w:sz w:val="22"/>
          <w:szCs w:val="22"/>
          <w:lang w:val="es-ES_tradnl"/>
        </w:rPr>
        <w:t>»</w:t>
      </w:r>
      <w:r w:rsidR="000D58EE" w:rsidRPr="00C065EA">
        <w:rPr>
          <w:rFonts w:ascii="Arial" w:eastAsia="Calibri" w:hAnsi="Arial" w:cs="Arial"/>
          <w:bCs/>
          <w:sz w:val="22"/>
          <w:lang w:val="es-ES_tradnl"/>
        </w:rPr>
        <w:t xml:space="preserve"> </w:t>
      </w:r>
      <w:r w:rsidR="00C60FDF" w:rsidRPr="00C065EA">
        <w:rPr>
          <w:rFonts w:ascii="Arial" w:eastAsia="Calibri" w:hAnsi="Arial" w:cs="Arial"/>
          <w:bCs/>
          <w:sz w:val="22"/>
          <w:lang w:val="es-ES_tradnl"/>
        </w:rPr>
        <w:t xml:space="preserve">de vinculación laboral de personas que </w:t>
      </w:r>
      <w:r w:rsidR="00882ABE" w:rsidRPr="00C065EA">
        <w:rPr>
          <w:rFonts w:ascii="Arial" w:eastAsia="Calibri" w:hAnsi="Arial" w:cs="Arial"/>
          <w:bCs/>
          <w:sz w:val="22"/>
          <w:lang w:val="es-ES_tradnl"/>
        </w:rPr>
        <w:t xml:space="preserve">reúnan la condición de ser mayores y que «no sean beneficiarios de la pensión de vejez, familiar o de sobrevivencia y que hayan cumplido el requisito de edad de pensión establecido en la Ley». </w:t>
      </w:r>
      <w:r w:rsidR="00AE428F" w:rsidRPr="00C065EA">
        <w:rPr>
          <w:rFonts w:ascii="Arial" w:eastAsia="Calibri" w:hAnsi="Arial" w:cs="Arial"/>
          <w:bCs/>
          <w:sz w:val="22"/>
          <w:lang w:val="es-ES_tradnl"/>
        </w:rPr>
        <w:t xml:space="preserve">Para el caso de los proponentes plurales, </w:t>
      </w:r>
      <w:r w:rsidR="00AE428F" w:rsidRPr="00C065EA">
        <w:rPr>
          <w:rFonts w:ascii="Arial" w:hAnsi="Arial" w:cs="Arial"/>
          <w:sz w:val="22"/>
          <w:szCs w:val="22"/>
          <w:lang w:val="es-ES_tradnl"/>
        </w:rPr>
        <w:t xml:space="preserve">«la mayor proporción se definirá con la sumatoria de trabajadores vinculados en la planta de personal de cada uno de sus integrantes».  </w:t>
      </w:r>
    </w:p>
    <w:p w14:paraId="0FCB54A3" w14:textId="77777777" w:rsidR="00F924AB" w:rsidRPr="00C065EA" w:rsidRDefault="00F924AB" w:rsidP="00A864BA">
      <w:pPr>
        <w:tabs>
          <w:tab w:val="left" w:pos="0"/>
        </w:tabs>
        <w:jc w:val="both"/>
        <w:rPr>
          <w:rFonts w:ascii="Arial" w:eastAsia="Calibri" w:hAnsi="Arial" w:cs="Arial"/>
          <w:b/>
          <w:sz w:val="22"/>
          <w:lang w:val="es-ES_tradnl"/>
        </w:rPr>
      </w:pPr>
    </w:p>
    <w:p w14:paraId="37CA9805" w14:textId="122A5ECE" w:rsidR="00DD5B04" w:rsidRPr="00C065EA" w:rsidRDefault="004177A6" w:rsidP="00A864BA">
      <w:pPr>
        <w:tabs>
          <w:tab w:val="left" w:pos="0"/>
        </w:tabs>
        <w:jc w:val="both"/>
        <w:rPr>
          <w:rFonts w:ascii="Arial" w:eastAsia="Calibri" w:hAnsi="Arial" w:cs="Arial"/>
          <w:b/>
          <w:sz w:val="22"/>
          <w:lang w:val="es-ES_tradnl"/>
        </w:rPr>
      </w:pPr>
      <w:r w:rsidRPr="00C065EA">
        <w:rPr>
          <w:rFonts w:ascii="Arial" w:eastAsia="Calibri" w:hAnsi="Arial" w:cs="Arial"/>
          <w:b/>
          <w:sz w:val="22"/>
          <w:lang w:val="es-ES_tradnl"/>
        </w:rPr>
        <w:t>3</w:t>
      </w:r>
      <w:r w:rsidR="00B011A9" w:rsidRPr="00C065EA">
        <w:rPr>
          <w:rFonts w:ascii="Arial" w:eastAsia="Calibri" w:hAnsi="Arial" w:cs="Arial"/>
          <w:b/>
          <w:sz w:val="22"/>
          <w:lang w:val="es-ES_tradnl"/>
        </w:rPr>
        <w:t xml:space="preserve">. </w:t>
      </w:r>
      <w:r w:rsidR="00DD5B04" w:rsidRPr="00C065EA">
        <w:rPr>
          <w:rFonts w:ascii="Arial" w:eastAsia="Calibri" w:hAnsi="Arial" w:cs="Arial"/>
          <w:b/>
          <w:sz w:val="22"/>
          <w:lang w:val="es-ES_tradnl"/>
        </w:rPr>
        <w:t>Respuesta</w:t>
      </w:r>
      <w:r w:rsidR="002A7D84" w:rsidRPr="00C065EA">
        <w:rPr>
          <w:rFonts w:ascii="Arial" w:eastAsia="Calibri" w:hAnsi="Arial" w:cs="Arial"/>
          <w:b/>
          <w:sz w:val="22"/>
          <w:lang w:val="es-ES_tradnl"/>
        </w:rPr>
        <w:t>s</w:t>
      </w:r>
    </w:p>
    <w:p w14:paraId="0B74D5B8" w14:textId="7F0A7F13" w:rsidR="00C4581D" w:rsidRPr="00C065EA" w:rsidRDefault="00C4581D" w:rsidP="00A864BA">
      <w:pPr>
        <w:tabs>
          <w:tab w:val="left" w:pos="0"/>
        </w:tabs>
        <w:jc w:val="both"/>
        <w:rPr>
          <w:rFonts w:ascii="Arial" w:eastAsia="Calibri" w:hAnsi="Arial" w:cs="Arial"/>
          <w:sz w:val="22"/>
          <w:lang w:val="es-ES_tradnl"/>
        </w:rPr>
      </w:pPr>
    </w:p>
    <w:p w14:paraId="261FED9B" w14:textId="77777777" w:rsidR="00B84EFE" w:rsidRDefault="00B84EFE" w:rsidP="00A864BA">
      <w:pPr>
        <w:ind w:left="709" w:right="709"/>
        <w:jc w:val="both"/>
        <w:rPr>
          <w:rFonts w:ascii="Arial" w:eastAsia="Calibri" w:hAnsi="Arial" w:cs="Arial"/>
          <w:sz w:val="21"/>
          <w:szCs w:val="21"/>
          <w:lang w:val="es-ES_tradnl"/>
        </w:rPr>
      </w:pPr>
      <w:r w:rsidRPr="00FB6058">
        <w:rPr>
          <w:rFonts w:ascii="Arial" w:eastAsia="Calibri" w:hAnsi="Arial" w:cs="Arial"/>
          <w:sz w:val="21"/>
          <w:szCs w:val="21"/>
          <w:lang w:val="es-ES_tradnl"/>
        </w:rPr>
        <w:t>Teniendo en cuenta el numeral 4 del artículo 2.2.1. 2.4.2.17. Factores de desempate y acreditación del Decreto 1860 del 24 de diciembre de 2021, el cual reglamenta la Ley 2069 de 2020; el cual dispone lo siguiente:</w:t>
      </w:r>
    </w:p>
    <w:p w14:paraId="1B3D9964" w14:textId="77777777" w:rsidR="00A864BA" w:rsidRDefault="00A864BA" w:rsidP="00A864BA">
      <w:pPr>
        <w:ind w:left="709" w:right="709"/>
        <w:jc w:val="both"/>
        <w:rPr>
          <w:rFonts w:ascii="Arial" w:eastAsia="Calibri" w:hAnsi="Arial" w:cs="Arial"/>
          <w:sz w:val="21"/>
          <w:szCs w:val="21"/>
          <w:lang w:val="es-ES_tradnl"/>
        </w:rPr>
      </w:pPr>
    </w:p>
    <w:p w14:paraId="31EB1BC4" w14:textId="371E29FD" w:rsidR="00B84EFE" w:rsidRDefault="00B84EFE" w:rsidP="00A864BA">
      <w:pPr>
        <w:ind w:left="709" w:right="709"/>
        <w:jc w:val="both"/>
        <w:rPr>
          <w:rFonts w:ascii="Arial" w:eastAsia="Calibri" w:hAnsi="Arial" w:cs="Arial"/>
          <w:sz w:val="21"/>
          <w:szCs w:val="21"/>
          <w:lang w:val="es-ES_tradnl"/>
        </w:rPr>
      </w:pPr>
      <w:r w:rsidRPr="00FB6058">
        <w:rPr>
          <w:rFonts w:ascii="Arial" w:eastAsia="Calibri" w:hAnsi="Arial" w:cs="Arial"/>
          <w:sz w:val="21"/>
          <w:szCs w:val="21"/>
          <w:lang w:val="es-ES_tradnl"/>
        </w:rPr>
        <w:lastRenderedPageBreak/>
        <w:t xml:space="preserve"> “4. Preferir la propuesta presentada por el oferente que acredite la vinculación en mayor proporción de personas mayores que no sean beneficiarias de la pensión de vejez, familiar o de sobrevivencia y que hayan cumplido el requisito de edad de pensión establecido en la ley, para ello, la persona natural, el representante legal de la persona jurídica o el revisor fiscal, según corresponda, entregará un certificado, en el que se acredite,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 El tiempo de vinculación en la planta referida, de que trata el inciso anterior, se acreditará con el certificado de aportes a seguridad social del último año o del tiempo de constitución de la persona jurídica, cuando su conformación es inferior a un (1) año, en el que se demuestren los pagos realizados por el empleador. En el caso de los proponentes plurales, su representante legal acreditará el número de trabajadores vinculados que son personas mayores no beneficiarias de la pensión de vejez, familiar o de sobrevivencia, y que cumplieron el requisito de edad de pensión establecido en la ley, de todos los integrantes del proponente. Las personas enunciadas anteriormente podrán estar vinculadas a cualquiera de sus integrantes. 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sobrevivencia, y cumple la edad de pensión; además, se deberá allegar el documento de identificación del trabajador que lo firma.</w:t>
      </w:r>
    </w:p>
    <w:p w14:paraId="7C5B4DC8" w14:textId="77777777" w:rsidR="00A864BA" w:rsidRDefault="00A864BA" w:rsidP="00A864BA">
      <w:pPr>
        <w:ind w:left="709" w:right="709"/>
        <w:jc w:val="both"/>
        <w:rPr>
          <w:rFonts w:ascii="Arial" w:eastAsia="Calibri" w:hAnsi="Arial" w:cs="Arial"/>
          <w:sz w:val="21"/>
          <w:szCs w:val="21"/>
          <w:lang w:val="es-ES_tradnl"/>
        </w:rPr>
      </w:pPr>
    </w:p>
    <w:p w14:paraId="2394FA7B" w14:textId="17B1000A" w:rsidR="00B84EFE" w:rsidRDefault="00B84EFE" w:rsidP="00A864BA">
      <w:pPr>
        <w:ind w:left="709" w:right="709"/>
        <w:jc w:val="both"/>
        <w:rPr>
          <w:rFonts w:ascii="Arial" w:eastAsia="Calibri" w:hAnsi="Arial" w:cs="Arial"/>
          <w:sz w:val="21"/>
          <w:szCs w:val="21"/>
          <w:lang w:val="es-ES_tradnl"/>
        </w:rPr>
      </w:pPr>
      <w:r w:rsidRPr="00FB6058">
        <w:rPr>
          <w:rFonts w:ascii="Arial" w:eastAsia="Calibri" w:hAnsi="Arial" w:cs="Arial"/>
          <w:sz w:val="21"/>
          <w:szCs w:val="21"/>
          <w:lang w:val="es-ES_tradnl"/>
        </w:rPr>
        <w:t xml:space="preserve">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 </w:t>
      </w:r>
    </w:p>
    <w:p w14:paraId="55FA9B15" w14:textId="77777777" w:rsidR="00A864BA" w:rsidRDefault="00A864BA" w:rsidP="00A864BA">
      <w:pPr>
        <w:ind w:left="709" w:right="709"/>
        <w:jc w:val="both"/>
        <w:rPr>
          <w:rFonts w:ascii="Arial" w:eastAsia="Calibri" w:hAnsi="Arial" w:cs="Arial"/>
          <w:sz w:val="21"/>
          <w:szCs w:val="21"/>
          <w:lang w:val="es-ES_tradnl"/>
        </w:rPr>
      </w:pPr>
    </w:p>
    <w:p w14:paraId="255A1714" w14:textId="55C3DCCD" w:rsidR="00B84EFE" w:rsidRDefault="00B84EFE" w:rsidP="00A864BA">
      <w:pPr>
        <w:ind w:left="709" w:right="709"/>
        <w:jc w:val="both"/>
        <w:rPr>
          <w:rFonts w:ascii="Arial" w:eastAsia="Calibri" w:hAnsi="Arial" w:cs="Arial"/>
          <w:sz w:val="21"/>
          <w:szCs w:val="21"/>
          <w:lang w:val="es-ES_tradnl"/>
        </w:rPr>
      </w:pPr>
      <w:r w:rsidRPr="00FB6058">
        <w:rPr>
          <w:rFonts w:ascii="Arial" w:eastAsia="Calibri" w:hAnsi="Arial" w:cs="Arial"/>
          <w:sz w:val="21"/>
          <w:szCs w:val="21"/>
          <w:lang w:val="es-ES_tradnl"/>
        </w:rPr>
        <w:t xml:space="preserve">En este sentido, surge el interrogante sobre la forma en que es medida la proporción de personas mayores para otorgar el correspondiente puntaje, si se define teniendo en cuenta el porcentaje que acredite el oferente o si se determina según la cantidad de trabajadores mayores vinculados. Resulta necesario aclarar el tema en cuestión toda vez que, en el caso del Ministerio de Educación Nacional Unidad Administrativa Especial de Alimentación Escolar, la mayor proporción es calculada teniendo en cuenta la cantidad de personas mayores vinculadas por el oferente, y, por otro lado, la Secretaría de Educación al respecto, define la proporción de cada oferente tomando en cuenta el porcentaje de personas mayores vinculadas. </w:t>
      </w:r>
    </w:p>
    <w:p w14:paraId="7E119FB3" w14:textId="77777777" w:rsidR="00A864BA" w:rsidRDefault="00A864BA" w:rsidP="00A864BA">
      <w:pPr>
        <w:ind w:left="709" w:right="709"/>
        <w:jc w:val="both"/>
        <w:rPr>
          <w:rFonts w:ascii="Arial" w:eastAsia="Calibri" w:hAnsi="Arial" w:cs="Arial"/>
          <w:sz w:val="21"/>
          <w:szCs w:val="21"/>
          <w:lang w:val="es-ES_tradnl"/>
        </w:rPr>
      </w:pPr>
    </w:p>
    <w:p w14:paraId="0C341E4E" w14:textId="0A1C6314" w:rsidR="00B84EFE" w:rsidRPr="00FB6058" w:rsidRDefault="00B84EFE" w:rsidP="00A864BA">
      <w:pPr>
        <w:ind w:left="709" w:right="709"/>
        <w:jc w:val="both"/>
        <w:rPr>
          <w:rFonts w:ascii="Arial" w:eastAsia="Calibri" w:hAnsi="Arial" w:cs="Arial"/>
          <w:sz w:val="21"/>
          <w:szCs w:val="21"/>
          <w:lang w:val="es-ES_tradnl"/>
        </w:rPr>
      </w:pPr>
      <w:r w:rsidRPr="00FB6058">
        <w:rPr>
          <w:rFonts w:ascii="Arial" w:eastAsia="Calibri" w:hAnsi="Arial" w:cs="Arial"/>
          <w:sz w:val="21"/>
          <w:szCs w:val="21"/>
          <w:lang w:val="es-ES_tradnl"/>
        </w:rPr>
        <w:lastRenderedPageBreak/>
        <w:t>Para concluir, ¿qué proceder es el correcto? ¿qué medida de proporción es la adecuada para determinar el oferente que acredite la vinculación en mayor proporción de personas mayores?</w:t>
      </w:r>
    </w:p>
    <w:p w14:paraId="649773E5" w14:textId="77777777" w:rsidR="00715DC3" w:rsidRPr="00C065EA" w:rsidRDefault="00715DC3" w:rsidP="00A864BA">
      <w:pPr>
        <w:spacing w:line="276" w:lineRule="auto"/>
        <w:jc w:val="both"/>
        <w:rPr>
          <w:rFonts w:ascii="Arial" w:hAnsi="Arial" w:cs="Arial"/>
          <w:sz w:val="22"/>
          <w:szCs w:val="22"/>
          <w:lang w:val="es-ES_tradnl"/>
        </w:rPr>
      </w:pPr>
    </w:p>
    <w:p w14:paraId="3D54B01B" w14:textId="4122FA79" w:rsidR="00F33AE9" w:rsidRPr="00C065EA" w:rsidRDefault="00B41583" w:rsidP="00A864BA">
      <w:pPr>
        <w:spacing w:after="120" w:line="276" w:lineRule="auto"/>
        <w:jc w:val="both"/>
        <w:rPr>
          <w:rFonts w:ascii="Arial" w:hAnsi="Arial" w:cs="Arial"/>
          <w:sz w:val="22"/>
          <w:szCs w:val="22"/>
          <w:lang w:eastAsia="es-MX"/>
        </w:rPr>
      </w:pPr>
      <w:r w:rsidRPr="00C065EA">
        <w:rPr>
          <w:rFonts w:ascii="Arial" w:hAnsi="Arial" w:cs="Arial"/>
          <w:sz w:val="22"/>
          <w:szCs w:val="22"/>
          <w:lang w:eastAsia="es-MX"/>
        </w:rPr>
        <w:t>De conformidad con las consideraciones expuestas, es necesario reiterar que esta Agencia solo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w:t>
      </w:r>
      <w:r w:rsidR="009E07C2" w:rsidRPr="00C065EA">
        <w:rPr>
          <w:rFonts w:ascii="Arial" w:hAnsi="Arial" w:cs="Arial"/>
          <w:sz w:val="22"/>
          <w:szCs w:val="22"/>
          <w:lang w:eastAsia="es-MX"/>
        </w:rPr>
        <w:t xml:space="preserve">. </w:t>
      </w:r>
      <w:r w:rsidR="00F33AE9" w:rsidRPr="00C065EA">
        <w:rPr>
          <w:rFonts w:ascii="Arial" w:hAnsi="Arial" w:cs="Arial"/>
          <w:sz w:val="22"/>
          <w:szCs w:val="22"/>
        </w:rPr>
        <w:t xml:space="preserve">Por consiguiente, no puede emitir pronunciamientos con el propósito de resolver situaciones propias que se presentan con ocasión del trámite de los procesos de contratación estatal a cargo de las entidades públicas. </w:t>
      </w:r>
      <w:r w:rsidR="009E07C2" w:rsidRPr="00C065EA">
        <w:rPr>
          <w:rFonts w:ascii="Arial" w:hAnsi="Arial" w:cs="Arial"/>
          <w:sz w:val="22"/>
          <w:szCs w:val="22"/>
        </w:rPr>
        <w:t>P</w:t>
      </w:r>
      <w:r w:rsidR="00F33AE9" w:rsidRPr="00C065EA">
        <w:rPr>
          <w:rFonts w:ascii="Arial" w:hAnsi="Arial" w:cs="Arial"/>
          <w:sz w:val="22"/>
          <w:szCs w:val="22"/>
        </w:rPr>
        <w:t>ronunciarse sobre la situación descrita en la solicitud implicaría realizar un juicio de valor sobre la validez de la aplicación de</w:t>
      </w:r>
      <w:r w:rsidR="00D26330" w:rsidRPr="00C065EA">
        <w:rPr>
          <w:rFonts w:ascii="Arial" w:hAnsi="Arial" w:cs="Arial"/>
          <w:sz w:val="22"/>
          <w:szCs w:val="22"/>
        </w:rPr>
        <w:t xml:space="preserve"> </w:t>
      </w:r>
      <w:r w:rsidR="00F33AE9" w:rsidRPr="00C065EA">
        <w:rPr>
          <w:rFonts w:ascii="Arial" w:hAnsi="Arial" w:cs="Arial"/>
          <w:sz w:val="22"/>
          <w:szCs w:val="22"/>
        </w:rPr>
        <w:t>l</w:t>
      </w:r>
      <w:r w:rsidR="00D26330" w:rsidRPr="00C065EA">
        <w:rPr>
          <w:rFonts w:ascii="Arial" w:hAnsi="Arial" w:cs="Arial"/>
          <w:sz w:val="22"/>
          <w:szCs w:val="22"/>
        </w:rPr>
        <w:t>os</w:t>
      </w:r>
      <w:r w:rsidR="00F33AE9" w:rsidRPr="00C065EA">
        <w:rPr>
          <w:rFonts w:ascii="Arial" w:hAnsi="Arial" w:cs="Arial"/>
          <w:sz w:val="22"/>
          <w:szCs w:val="22"/>
        </w:rPr>
        <w:t xml:space="preserve"> factor</w:t>
      </w:r>
      <w:r w:rsidR="00D26330" w:rsidRPr="00C065EA">
        <w:rPr>
          <w:rFonts w:ascii="Arial" w:hAnsi="Arial" w:cs="Arial"/>
          <w:sz w:val="22"/>
          <w:szCs w:val="22"/>
        </w:rPr>
        <w:t>es</w:t>
      </w:r>
      <w:r w:rsidR="00F33AE9" w:rsidRPr="00C065EA">
        <w:rPr>
          <w:rFonts w:ascii="Arial" w:hAnsi="Arial" w:cs="Arial"/>
          <w:sz w:val="22"/>
          <w:szCs w:val="22"/>
        </w:rPr>
        <w:t xml:space="preserve"> de desempate objeto de consulta en el citado proceso de contratación estatal, lo cual, condicionaría las decisiones que debe adoptar una entidad pública en ese trámite administrativo de naturaleza contractual; actuación para la cual la Agencia no tiene competencia. </w:t>
      </w:r>
    </w:p>
    <w:p w14:paraId="514D42BC" w14:textId="6BCC547C" w:rsidR="00715DC3" w:rsidRPr="00C065EA" w:rsidRDefault="00F33AE9" w:rsidP="00A864BA">
      <w:pPr>
        <w:spacing w:after="120" w:line="276" w:lineRule="auto"/>
        <w:ind w:firstLine="709"/>
        <w:jc w:val="both"/>
        <w:rPr>
          <w:rFonts w:ascii="Arial" w:hAnsi="Arial" w:cs="Arial"/>
          <w:sz w:val="22"/>
          <w:szCs w:val="22"/>
        </w:rPr>
      </w:pPr>
      <w:r w:rsidRPr="00C065EA">
        <w:rPr>
          <w:rFonts w:ascii="Arial" w:hAnsi="Arial" w:cs="Arial"/>
          <w:sz w:val="22"/>
          <w:szCs w:val="22"/>
        </w:rPr>
        <w:t xml:space="preserve">En consecuencia, </w:t>
      </w:r>
      <w:r w:rsidR="00E50BAD" w:rsidRPr="00C065EA">
        <w:rPr>
          <w:rFonts w:ascii="Arial" w:hAnsi="Arial" w:cs="Arial"/>
          <w:sz w:val="22"/>
          <w:szCs w:val="22"/>
        </w:rPr>
        <w:t xml:space="preserve">les corresponde a las autoridades, </w:t>
      </w:r>
      <w:r w:rsidRPr="00C065EA">
        <w:rPr>
          <w:rFonts w:ascii="Arial" w:hAnsi="Arial" w:cs="Arial"/>
          <w:sz w:val="22"/>
          <w:szCs w:val="22"/>
        </w:rPr>
        <w:t xml:space="preserve">por ser de su competencia, con la asesoría de sus equipos jurídicos y como responsables de la estructuración de sus procesos de contratación estatal, en cada caso particular y concreto, establecer el alcance de </w:t>
      </w:r>
      <w:r w:rsidR="0001605C" w:rsidRPr="00C065EA">
        <w:rPr>
          <w:rFonts w:ascii="Arial" w:hAnsi="Arial" w:cs="Arial"/>
          <w:sz w:val="22"/>
          <w:szCs w:val="22"/>
        </w:rPr>
        <w:t xml:space="preserve">las interpretaciones hermenéuticas de </w:t>
      </w:r>
      <w:r w:rsidRPr="00C065EA">
        <w:rPr>
          <w:rFonts w:ascii="Arial" w:hAnsi="Arial" w:cs="Arial"/>
          <w:sz w:val="22"/>
          <w:szCs w:val="22"/>
        </w:rPr>
        <w:t xml:space="preserve">los factores de desempate que se deben aplicar a las propuestas presentadas por los oferentes, así como la forma en que dichos factores deben acreditarse por parte de estos. </w:t>
      </w:r>
      <w:r w:rsidR="00B32525" w:rsidRPr="00C065EA">
        <w:rPr>
          <w:rStyle w:val="normaltextrun"/>
          <w:rFonts w:ascii="Arial" w:hAnsi="Arial" w:cs="Arial"/>
          <w:color w:val="000000"/>
          <w:sz w:val="22"/>
          <w:szCs w:val="22"/>
          <w:shd w:val="clear" w:color="auto" w:fill="FFFFFF"/>
        </w:rPr>
        <w:t>Esta entidad no puede involucrarse, directa o indirectamente, en las decisiones o actuaciones de las entidades estatales en materia de contratación estatal, de acuerdo con lo establecido en las disposiciones constitucionales y legales que rigen nuestro ordenamiento jurídico</w:t>
      </w:r>
      <w:r w:rsidR="00E50DBB" w:rsidRPr="00C065EA">
        <w:rPr>
          <w:rStyle w:val="normaltextrun"/>
          <w:rFonts w:ascii="Arial" w:hAnsi="Arial" w:cs="Arial"/>
          <w:color w:val="000000"/>
          <w:sz w:val="22"/>
          <w:szCs w:val="22"/>
          <w:shd w:val="clear" w:color="auto" w:fill="FFFFFF"/>
        </w:rPr>
        <w:t>.</w:t>
      </w:r>
    </w:p>
    <w:p w14:paraId="1AE97481" w14:textId="75EFC181" w:rsidR="0053169A" w:rsidRPr="00C065EA" w:rsidRDefault="00B73C6C" w:rsidP="00A864BA">
      <w:pPr>
        <w:spacing w:after="120" w:line="276" w:lineRule="auto"/>
        <w:ind w:firstLine="709"/>
        <w:jc w:val="both"/>
        <w:rPr>
          <w:rFonts w:ascii="Arial" w:hAnsi="Arial" w:cs="Arial"/>
          <w:sz w:val="22"/>
          <w:szCs w:val="22"/>
          <w:lang w:val="es-ES_tradnl"/>
        </w:rPr>
      </w:pPr>
      <w:r w:rsidRPr="00C065EA">
        <w:rPr>
          <w:rFonts w:ascii="Arial" w:hAnsi="Arial" w:cs="Arial"/>
          <w:sz w:val="22"/>
          <w:szCs w:val="22"/>
          <w:lang w:val="es-ES_tradnl"/>
        </w:rPr>
        <w:t>Sin perjuicio de</w:t>
      </w:r>
      <w:r w:rsidR="00E4299F" w:rsidRPr="00C065EA">
        <w:rPr>
          <w:rFonts w:ascii="Arial" w:hAnsi="Arial" w:cs="Arial"/>
          <w:sz w:val="22"/>
          <w:szCs w:val="22"/>
          <w:lang w:val="es-ES_tradnl"/>
        </w:rPr>
        <w:t xml:space="preserve"> lo anterior,</w:t>
      </w:r>
      <w:r w:rsidR="006631E1" w:rsidRPr="00C065EA">
        <w:rPr>
          <w:rFonts w:ascii="Arial" w:hAnsi="Arial" w:cs="Arial"/>
          <w:sz w:val="22"/>
          <w:szCs w:val="22"/>
          <w:lang w:val="es-ES_tradnl"/>
        </w:rPr>
        <w:t xml:space="preserve"> es preciso mencionar</w:t>
      </w:r>
      <w:r w:rsidR="00A60B77">
        <w:rPr>
          <w:rFonts w:ascii="Arial" w:hAnsi="Arial" w:cs="Arial"/>
          <w:sz w:val="22"/>
          <w:szCs w:val="22"/>
          <w:lang w:val="es-ES_tradnl"/>
        </w:rPr>
        <w:t>,</w:t>
      </w:r>
      <w:r w:rsidR="006631E1" w:rsidRPr="00C065EA">
        <w:rPr>
          <w:rFonts w:ascii="Arial" w:hAnsi="Arial" w:cs="Arial"/>
          <w:sz w:val="22"/>
          <w:szCs w:val="22"/>
          <w:lang w:val="es-ES_tradnl"/>
        </w:rPr>
        <w:t xml:space="preserve"> </w:t>
      </w:r>
      <w:r w:rsidR="00B84EFE">
        <w:rPr>
          <w:rFonts w:ascii="Arial" w:hAnsi="Arial" w:cs="Arial"/>
          <w:sz w:val="22"/>
          <w:szCs w:val="22"/>
          <w:lang w:val="es-ES_tradnl"/>
        </w:rPr>
        <w:t>respecto d</w:t>
      </w:r>
      <w:r w:rsidR="00F21C6F" w:rsidRPr="00C065EA">
        <w:rPr>
          <w:rFonts w:ascii="Arial" w:hAnsi="Arial" w:cs="Arial"/>
          <w:sz w:val="22"/>
          <w:szCs w:val="22"/>
          <w:lang w:val="es-ES_tradnl"/>
        </w:rPr>
        <w:t>el</w:t>
      </w:r>
      <w:r w:rsidR="00B84EFE">
        <w:rPr>
          <w:rFonts w:ascii="Arial" w:hAnsi="Arial" w:cs="Arial"/>
          <w:sz w:val="22"/>
          <w:szCs w:val="22"/>
          <w:lang w:val="es-ES_tradnl"/>
        </w:rPr>
        <w:t xml:space="preserve"> factor de desempate consagrado en el</w:t>
      </w:r>
      <w:r w:rsidR="00F21C6F" w:rsidRPr="00C065EA">
        <w:rPr>
          <w:rFonts w:ascii="Arial" w:hAnsi="Arial" w:cs="Arial"/>
          <w:sz w:val="22"/>
          <w:szCs w:val="22"/>
          <w:lang w:val="es-ES_tradnl"/>
        </w:rPr>
        <w:t xml:space="preserve"> numeral 4 </w:t>
      </w:r>
      <w:r w:rsidR="00BD791F" w:rsidRPr="00C065EA">
        <w:rPr>
          <w:rFonts w:ascii="Arial" w:hAnsi="Arial" w:cs="Arial"/>
          <w:sz w:val="22"/>
          <w:szCs w:val="22"/>
          <w:lang w:val="es-ES_tradnl"/>
        </w:rPr>
        <w:t>del artículo 35 de la Ley 2069 de 2020,</w:t>
      </w:r>
      <w:r w:rsidR="00B84EFE">
        <w:rPr>
          <w:rFonts w:ascii="Arial" w:hAnsi="Arial" w:cs="Arial"/>
          <w:sz w:val="22"/>
          <w:szCs w:val="22"/>
          <w:lang w:val="es-ES_tradnl"/>
        </w:rPr>
        <w:t xml:space="preserve"> reglamentado en el numeral 4 del artículo </w:t>
      </w:r>
      <w:r w:rsidR="008375E5">
        <w:rPr>
          <w:rFonts w:ascii="Arial" w:eastAsia="Calibri" w:hAnsi="Arial" w:cs="Arial"/>
          <w:color w:val="000000" w:themeColor="text1"/>
          <w:sz w:val="22"/>
          <w:szCs w:val="22"/>
          <w:lang w:val="es-ES_tradnl"/>
        </w:rPr>
        <w:t>2.2.1.2.4.2.17 de</w:t>
      </w:r>
      <w:r w:rsidR="008375E5" w:rsidRPr="00C065EA">
        <w:rPr>
          <w:rFonts w:ascii="Arial" w:eastAsia="Calibri" w:hAnsi="Arial" w:cs="Arial"/>
          <w:color w:val="000000" w:themeColor="text1"/>
          <w:sz w:val="22"/>
          <w:szCs w:val="22"/>
          <w:lang w:val="es-ES_tradnl"/>
        </w:rPr>
        <w:t>l Decreto 1082 de 2015</w:t>
      </w:r>
      <w:r w:rsidR="008375E5">
        <w:rPr>
          <w:rFonts w:ascii="Arial" w:eastAsia="Calibri" w:hAnsi="Arial" w:cs="Arial"/>
          <w:color w:val="000000" w:themeColor="text1"/>
          <w:sz w:val="22"/>
          <w:szCs w:val="22"/>
          <w:lang w:val="es-ES_tradnl"/>
        </w:rPr>
        <w:t xml:space="preserve"> adicionado por el</w:t>
      </w:r>
      <w:r w:rsidR="008375E5" w:rsidRPr="00C065EA">
        <w:rPr>
          <w:rFonts w:ascii="Arial" w:eastAsia="Calibri" w:hAnsi="Arial" w:cs="Arial"/>
          <w:bCs/>
          <w:color w:val="000000" w:themeColor="text1"/>
          <w:sz w:val="22"/>
          <w:szCs w:val="22"/>
          <w:lang w:val="es-ES_tradnl"/>
        </w:rPr>
        <w:t xml:space="preserve"> artíc</w:t>
      </w:r>
      <w:r w:rsidR="008375E5">
        <w:rPr>
          <w:rFonts w:ascii="Arial" w:eastAsia="Calibri" w:hAnsi="Arial" w:cs="Arial"/>
          <w:bCs/>
          <w:color w:val="000000" w:themeColor="text1"/>
          <w:sz w:val="22"/>
          <w:szCs w:val="22"/>
          <w:lang w:val="es-ES_tradnl"/>
        </w:rPr>
        <w:t xml:space="preserve">ulo 3 del Decreto </w:t>
      </w:r>
      <w:r w:rsidR="008375E5" w:rsidRPr="00C065EA">
        <w:rPr>
          <w:rFonts w:ascii="Arial" w:eastAsia="Calibri" w:hAnsi="Arial" w:cs="Arial"/>
          <w:bCs/>
          <w:color w:val="000000" w:themeColor="text1"/>
          <w:sz w:val="22"/>
          <w:szCs w:val="22"/>
          <w:lang w:val="es-ES_tradnl"/>
        </w:rPr>
        <w:t>1860 de 2021</w:t>
      </w:r>
      <w:r w:rsidR="008375E5">
        <w:rPr>
          <w:rFonts w:ascii="Arial" w:eastAsia="Calibri" w:hAnsi="Arial" w:cs="Arial"/>
          <w:bCs/>
          <w:color w:val="000000" w:themeColor="text1"/>
          <w:sz w:val="22"/>
          <w:szCs w:val="22"/>
          <w:lang w:val="es-ES_tradnl"/>
        </w:rPr>
        <w:t>,</w:t>
      </w:r>
      <w:r w:rsidR="008375E5" w:rsidRPr="00C065EA">
        <w:rPr>
          <w:rFonts w:ascii="Arial" w:eastAsia="Calibri" w:hAnsi="Arial" w:cs="Arial"/>
          <w:bCs/>
          <w:color w:val="000000" w:themeColor="text1"/>
          <w:sz w:val="22"/>
          <w:szCs w:val="22"/>
          <w:lang w:val="es-ES_tradnl"/>
        </w:rPr>
        <w:t xml:space="preserve"> </w:t>
      </w:r>
      <w:r w:rsidR="007E4E8A">
        <w:rPr>
          <w:rFonts w:ascii="Arial" w:eastAsia="Calibri" w:hAnsi="Arial" w:cs="Arial"/>
          <w:bCs/>
          <w:color w:val="000000" w:themeColor="text1"/>
          <w:sz w:val="22"/>
          <w:szCs w:val="22"/>
          <w:lang w:val="es-ES_tradnl"/>
        </w:rPr>
        <w:t xml:space="preserve">que </w:t>
      </w:r>
      <w:r w:rsidR="00E81729" w:rsidRPr="00C065EA">
        <w:rPr>
          <w:rFonts w:ascii="Arial" w:hAnsi="Arial" w:cs="Arial"/>
          <w:sz w:val="22"/>
          <w:szCs w:val="22"/>
          <w:lang w:val="es-ES_tradnl"/>
        </w:rPr>
        <w:t>la regla de desempate se aplica a favor del «[…] oferente que acredite la vinculación en mayor proporción 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w:t>
      </w:r>
      <w:r w:rsidR="00A36A0C" w:rsidRPr="00C065EA">
        <w:rPr>
          <w:rFonts w:ascii="Arial" w:hAnsi="Arial" w:cs="Arial"/>
          <w:sz w:val="22"/>
          <w:szCs w:val="22"/>
          <w:lang w:val="es-ES_tradnl"/>
        </w:rPr>
        <w:t xml:space="preserve"> </w:t>
      </w:r>
      <w:r w:rsidR="0053169A" w:rsidRPr="00C065EA">
        <w:rPr>
          <w:rFonts w:ascii="Arial" w:hAnsi="Arial" w:cs="Arial"/>
          <w:sz w:val="22"/>
          <w:szCs w:val="22"/>
          <w:lang w:val="es-ES_tradnl"/>
        </w:rPr>
        <w:t xml:space="preserve">Interpretación, </w:t>
      </w:r>
      <w:r w:rsidR="00067DED" w:rsidRPr="00C065EA">
        <w:rPr>
          <w:rFonts w:ascii="Arial" w:hAnsi="Arial" w:cs="Arial"/>
          <w:sz w:val="22"/>
          <w:szCs w:val="22"/>
          <w:lang w:val="es-ES_tradnl"/>
        </w:rPr>
        <w:t>que,</w:t>
      </w:r>
      <w:r w:rsidR="0053169A" w:rsidRPr="00C065EA">
        <w:rPr>
          <w:rFonts w:ascii="Arial" w:hAnsi="Arial" w:cs="Arial"/>
          <w:sz w:val="22"/>
          <w:szCs w:val="22"/>
          <w:lang w:val="es-ES_tradnl"/>
        </w:rPr>
        <w:t xml:space="preserve"> entre otras cosas, es consistente con la reglamentación del numeral 4 del artículo 2.2.1.2.4.2.17 del Decreto 1860 de 2021, en el que se determina que </w:t>
      </w:r>
      <w:r w:rsidR="00AA22B1" w:rsidRPr="00C065EA">
        <w:rPr>
          <w:rFonts w:ascii="Arial" w:hAnsi="Arial" w:cs="Arial"/>
          <w:sz w:val="22"/>
          <w:szCs w:val="22"/>
          <w:lang w:val="es-ES_tradnl"/>
        </w:rPr>
        <w:t>«[l]</w:t>
      </w:r>
      <w:r w:rsidR="0053169A" w:rsidRPr="00C065EA">
        <w:rPr>
          <w:rFonts w:ascii="Arial" w:hAnsi="Arial" w:cs="Arial"/>
          <w:sz w:val="22"/>
          <w:szCs w:val="22"/>
          <w:lang w:val="es-ES_tradnl"/>
        </w:rPr>
        <w:t xml:space="preserve">a mayor proporción se definirá en relación con el número total de trabajadores vinculados en la planta de personal, por lo que se preferirá al oferente que </w:t>
      </w:r>
      <w:r w:rsidR="0053169A" w:rsidRPr="00C065EA">
        <w:rPr>
          <w:rFonts w:ascii="Arial" w:hAnsi="Arial" w:cs="Arial"/>
          <w:sz w:val="22"/>
          <w:szCs w:val="22"/>
          <w:lang w:val="es-ES_tradnl"/>
        </w:rPr>
        <w:lastRenderedPageBreak/>
        <w:t xml:space="preserve">acredite un </w:t>
      </w:r>
      <w:r w:rsidR="0053169A" w:rsidRPr="00C065EA">
        <w:rPr>
          <w:rFonts w:ascii="Arial" w:hAnsi="Arial" w:cs="Arial"/>
          <w:i/>
          <w:iCs/>
          <w:sz w:val="22"/>
          <w:szCs w:val="22"/>
          <w:lang w:val="es-ES_tradnl"/>
        </w:rPr>
        <w:t>porcentaje mayor</w:t>
      </w:r>
      <w:r w:rsidR="002C63F1" w:rsidRPr="00C065EA">
        <w:rPr>
          <w:rFonts w:ascii="Arial" w:hAnsi="Arial" w:cs="Arial"/>
          <w:sz w:val="22"/>
          <w:szCs w:val="22"/>
          <w:lang w:val="es-ES_tradnl"/>
        </w:rPr>
        <w:t>»</w:t>
      </w:r>
      <w:r w:rsidR="0053169A" w:rsidRPr="00C065EA">
        <w:rPr>
          <w:rFonts w:ascii="Arial" w:hAnsi="Arial" w:cs="Arial"/>
          <w:sz w:val="22"/>
          <w:szCs w:val="22"/>
          <w:lang w:val="es-ES_tradnl"/>
        </w:rPr>
        <w:t xml:space="preserve">. </w:t>
      </w:r>
      <w:r w:rsidR="00067DED" w:rsidRPr="00C065EA">
        <w:rPr>
          <w:rFonts w:ascii="Arial" w:hAnsi="Arial" w:cs="Arial"/>
          <w:sz w:val="22"/>
          <w:szCs w:val="22"/>
          <w:lang w:val="es-ES_tradnl"/>
        </w:rPr>
        <w:t>Y</w:t>
      </w:r>
      <w:r w:rsidR="002C63F1" w:rsidRPr="00C065EA">
        <w:rPr>
          <w:rFonts w:ascii="Arial" w:hAnsi="Arial" w:cs="Arial"/>
          <w:sz w:val="22"/>
          <w:szCs w:val="22"/>
          <w:lang w:val="es-ES_tradnl"/>
        </w:rPr>
        <w:t xml:space="preserve"> </w:t>
      </w:r>
      <w:r w:rsidR="00B944EC">
        <w:rPr>
          <w:rFonts w:ascii="Arial" w:hAnsi="Arial" w:cs="Arial"/>
          <w:sz w:val="22"/>
          <w:szCs w:val="22"/>
          <w:lang w:val="es-ES_tradnl"/>
        </w:rPr>
        <w:t>dice</w:t>
      </w:r>
      <w:r w:rsidR="00B944EC" w:rsidRPr="00C065EA">
        <w:rPr>
          <w:rFonts w:ascii="Arial" w:hAnsi="Arial" w:cs="Arial"/>
          <w:sz w:val="22"/>
          <w:szCs w:val="22"/>
          <w:lang w:val="es-ES_tradnl"/>
        </w:rPr>
        <w:t xml:space="preserve"> </w:t>
      </w:r>
      <w:r w:rsidR="007768DF" w:rsidRPr="00C065EA">
        <w:rPr>
          <w:rFonts w:ascii="Arial" w:hAnsi="Arial" w:cs="Arial"/>
          <w:sz w:val="22"/>
          <w:szCs w:val="22"/>
          <w:lang w:val="es-ES_tradnl"/>
        </w:rPr>
        <w:t>que,</w:t>
      </w:r>
      <w:r w:rsidR="00067DED" w:rsidRPr="00C065EA">
        <w:rPr>
          <w:rFonts w:ascii="Arial" w:hAnsi="Arial" w:cs="Arial"/>
          <w:sz w:val="22"/>
          <w:szCs w:val="22"/>
          <w:lang w:val="es-ES_tradnl"/>
        </w:rPr>
        <w:t xml:space="preserve"> para</w:t>
      </w:r>
      <w:r w:rsidR="0053169A" w:rsidRPr="00C065EA">
        <w:rPr>
          <w:rFonts w:ascii="Arial" w:hAnsi="Arial" w:cs="Arial"/>
          <w:sz w:val="22"/>
          <w:szCs w:val="22"/>
          <w:lang w:val="es-ES_tradnl"/>
        </w:rPr>
        <w:t xml:space="preserve"> el caso de proponentes plurales, </w:t>
      </w:r>
      <w:r w:rsidR="002C63F1" w:rsidRPr="00C065EA">
        <w:rPr>
          <w:rFonts w:ascii="Arial" w:hAnsi="Arial" w:cs="Arial"/>
          <w:sz w:val="22"/>
          <w:szCs w:val="22"/>
          <w:lang w:val="es-ES_tradnl"/>
        </w:rPr>
        <w:t>«</w:t>
      </w:r>
      <w:r w:rsidR="0053169A" w:rsidRPr="00C065EA">
        <w:rPr>
          <w:rFonts w:ascii="Arial" w:hAnsi="Arial" w:cs="Arial"/>
          <w:sz w:val="22"/>
          <w:szCs w:val="22"/>
          <w:lang w:val="es-ES_tradnl"/>
        </w:rPr>
        <w:t>la mayor proporción se definirá con la sumatoria de trabajadores vinculados en la planta de personal de cada uno de sus integrantes</w:t>
      </w:r>
      <w:r w:rsidR="002C63F1" w:rsidRPr="00C065EA">
        <w:rPr>
          <w:rFonts w:ascii="Arial" w:hAnsi="Arial" w:cs="Arial"/>
          <w:sz w:val="22"/>
          <w:szCs w:val="22"/>
          <w:lang w:val="es-ES_tradnl"/>
        </w:rPr>
        <w:t>»</w:t>
      </w:r>
      <w:r w:rsidR="00067DED" w:rsidRPr="00C065EA">
        <w:rPr>
          <w:rFonts w:ascii="Arial" w:hAnsi="Arial" w:cs="Arial"/>
          <w:sz w:val="22"/>
          <w:szCs w:val="22"/>
          <w:lang w:val="es-ES_tradnl"/>
        </w:rPr>
        <w:t>.</w:t>
      </w:r>
      <w:r w:rsidR="007A24BF" w:rsidRPr="00C065EA">
        <w:rPr>
          <w:rFonts w:ascii="Arial" w:hAnsi="Arial" w:cs="Arial"/>
          <w:sz w:val="22"/>
          <w:szCs w:val="22"/>
          <w:lang w:val="es-ES_tradnl"/>
        </w:rPr>
        <w:t xml:space="preserve"> </w:t>
      </w:r>
      <w:r w:rsidR="00067DED" w:rsidRPr="00C065EA">
        <w:rPr>
          <w:rFonts w:ascii="Arial" w:hAnsi="Arial" w:cs="Arial"/>
          <w:sz w:val="22"/>
          <w:szCs w:val="22"/>
          <w:lang w:val="es-ES_tradnl"/>
        </w:rPr>
        <w:t xml:space="preserve"> </w:t>
      </w:r>
    </w:p>
    <w:p w14:paraId="22A041AA" w14:textId="5744A884" w:rsidR="004F1593" w:rsidRPr="00D43CE8" w:rsidRDefault="004F1593" w:rsidP="00A864BA">
      <w:pPr>
        <w:spacing w:after="120" w:line="276" w:lineRule="auto"/>
        <w:jc w:val="both"/>
        <w:rPr>
          <w:rFonts w:ascii="Arial" w:hAnsi="Arial" w:cs="Arial"/>
          <w:sz w:val="21"/>
          <w:szCs w:val="21"/>
          <w:lang w:val="es-ES_tradnl"/>
        </w:rPr>
      </w:pPr>
    </w:p>
    <w:p w14:paraId="7B2C921D" w14:textId="6360A462" w:rsidR="00DD5B04" w:rsidRPr="00D43CE8" w:rsidRDefault="00DD5B04" w:rsidP="00A864BA">
      <w:pPr>
        <w:spacing w:after="120" w:line="276" w:lineRule="auto"/>
        <w:jc w:val="both"/>
        <w:rPr>
          <w:rFonts w:ascii="Arial" w:hAnsi="Arial" w:cs="Arial"/>
          <w:sz w:val="22"/>
          <w:lang w:val="es-ES_tradnl"/>
        </w:rPr>
      </w:pPr>
      <w:r w:rsidRPr="00D43CE8">
        <w:rPr>
          <w:rFonts w:ascii="Arial" w:hAnsi="Arial" w:cs="Arial"/>
          <w:sz w:val="22"/>
          <w:lang w:val="es-ES_tradnl"/>
        </w:rPr>
        <w:t>Este concepto tiene el alcance previsto en el artículo 28 del Código de Procedimiento Administrativo y de lo Contencioso Administrativo.</w:t>
      </w:r>
    </w:p>
    <w:p w14:paraId="77EE5912" w14:textId="630E7927" w:rsidR="00DD5B04" w:rsidRPr="00D43CE8" w:rsidRDefault="00DD5B04" w:rsidP="00DF76A2">
      <w:pPr>
        <w:pStyle w:val="NormalWeb"/>
        <w:spacing w:before="0" w:beforeAutospacing="0" w:after="0" w:afterAutospacing="0" w:line="276" w:lineRule="auto"/>
        <w:jc w:val="both"/>
        <w:rPr>
          <w:rFonts w:ascii="Arial" w:hAnsi="Arial" w:cs="Arial"/>
          <w:sz w:val="22"/>
          <w:szCs w:val="22"/>
          <w:lang w:val="es-ES_tradnl"/>
        </w:rPr>
      </w:pPr>
    </w:p>
    <w:bookmarkEnd w:id="2"/>
    <w:bookmarkEnd w:id="3"/>
    <w:p w14:paraId="187B10E4" w14:textId="77777777" w:rsidR="008375E5" w:rsidRPr="00504597" w:rsidRDefault="008375E5" w:rsidP="008375E5">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04597">
        <w:rPr>
          <w:rFonts w:ascii="Arial" w:hAnsi="Arial" w:cs="Arial"/>
          <w:color w:val="000000" w:themeColor="text1"/>
          <w:sz w:val="22"/>
          <w:szCs w:val="22"/>
          <w:lang w:val="es-ES_tradnl"/>
        </w:rPr>
        <w:t>Atentamente,</w:t>
      </w:r>
    </w:p>
    <w:p w14:paraId="4443C48F" w14:textId="77777777" w:rsidR="008375E5" w:rsidRPr="00504597" w:rsidRDefault="008375E5" w:rsidP="008375E5">
      <w:pPr>
        <w:pStyle w:val="NormalWeb"/>
        <w:spacing w:before="0" w:beforeAutospacing="0" w:after="0" w:afterAutospacing="0" w:line="276" w:lineRule="auto"/>
        <w:jc w:val="center"/>
        <w:rPr>
          <w:rFonts w:ascii="Arial" w:hAnsi="Arial" w:cs="Arial"/>
          <w:color w:val="000000" w:themeColor="text1"/>
          <w:sz w:val="22"/>
          <w:szCs w:val="22"/>
          <w:lang w:val="es-ES"/>
        </w:rPr>
      </w:pPr>
    </w:p>
    <w:p w14:paraId="76D87198" w14:textId="562CA2B4" w:rsidR="008375E5" w:rsidRPr="00504597" w:rsidRDefault="00366918" w:rsidP="008375E5">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400E14E2" wp14:editId="096ABEEB">
            <wp:extent cx="2533650" cy="981075"/>
            <wp:effectExtent l="0" t="0" r="0" b="9525"/>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 Carta&#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375E5" w:rsidRPr="00504597" w14:paraId="663A0E35" w14:textId="77777777" w:rsidTr="00654EE8">
        <w:trPr>
          <w:trHeight w:val="160"/>
        </w:trPr>
        <w:tc>
          <w:tcPr>
            <w:tcW w:w="812" w:type="dxa"/>
            <w:vAlign w:val="center"/>
            <w:hideMark/>
          </w:tcPr>
          <w:p w14:paraId="688AD7A4" w14:textId="77777777" w:rsidR="008375E5" w:rsidRPr="00504597" w:rsidRDefault="008375E5" w:rsidP="00654EE8">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17F9F7F" w14:textId="77777777" w:rsidR="008375E5" w:rsidRPr="00504597" w:rsidRDefault="008375E5" w:rsidP="00654EE8">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Guillermo Escolar Flórez</w:t>
            </w:r>
          </w:p>
          <w:p w14:paraId="08169AB7" w14:textId="77777777" w:rsidR="008375E5" w:rsidRPr="00504597" w:rsidRDefault="008375E5" w:rsidP="00654EE8">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Contratista de la Subdirección de Gestión Contractual</w:t>
            </w:r>
          </w:p>
        </w:tc>
      </w:tr>
      <w:tr w:rsidR="008375E5" w:rsidRPr="00504597" w14:paraId="58AC7A44" w14:textId="77777777" w:rsidTr="00654EE8">
        <w:trPr>
          <w:trHeight w:val="330"/>
        </w:trPr>
        <w:tc>
          <w:tcPr>
            <w:tcW w:w="812" w:type="dxa"/>
            <w:vAlign w:val="center"/>
            <w:hideMark/>
          </w:tcPr>
          <w:p w14:paraId="5C3FFC24" w14:textId="77777777" w:rsidR="008375E5" w:rsidRPr="00504597" w:rsidRDefault="008375E5" w:rsidP="00654EE8">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B8D8B5" w14:textId="7C5D092D" w:rsidR="008375E5" w:rsidRPr="00504597" w:rsidRDefault="00A21F8B" w:rsidP="00654EE8">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Cristian Andrés Díaz Díez</w:t>
            </w:r>
          </w:p>
          <w:p w14:paraId="575E533F" w14:textId="1835EEF3" w:rsidR="008375E5" w:rsidRPr="00504597" w:rsidRDefault="00A21F8B" w:rsidP="00654EE8">
            <w:pPr>
              <w:jc w:val="both"/>
              <w:rPr>
                <w:rFonts w:ascii="Arial" w:hAnsi="Arial" w:cs="Arial"/>
                <w:color w:val="000000" w:themeColor="text1"/>
                <w:sz w:val="16"/>
                <w:szCs w:val="16"/>
                <w:lang w:val="es-ES_tradnl" w:eastAsia="es-ES"/>
              </w:rPr>
            </w:pPr>
            <w:r>
              <w:rPr>
                <w:rFonts w:ascii="Arial" w:hAnsi="Arial" w:cs="Arial"/>
                <w:color w:val="000000" w:themeColor="text1"/>
                <w:sz w:val="16"/>
                <w:szCs w:val="16"/>
                <w:shd w:val="clear" w:color="auto" w:fill="FFFFFF"/>
              </w:rPr>
              <w:t>Contratista</w:t>
            </w:r>
            <w:r w:rsidR="008375E5" w:rsidRPr="00504597">
              <w:rPr>
                <w:rFonts w:ascii="Arial" w:hAnsi="Arial" w:cs="Arial"/>
                <w:color w:val="000000" w:themeColor="text1"/>
                <w:sz w:val="16"/>
                <w:szCs w:val="16"/>
                <w:shd w:val="clear" w:color="auto" w:fill="FFFFFF"/>
              </w:rPr>
              <w:t xml:space="preserve"> de la </w:t>
            </w:r>
            <w:r w:rsidR="008375E5" w:rsidRPr="00504597">
              <w:rPr>
                <w:rFonts w:ascii="Arial" w:hAnsi="Arial" w:cs="Arial"/>
                <w:color w:val="000000" w:themeColor="text1"/>
                <w:sz w:val="16"/>
                <w:szCs w:val="16"/>
                <w:lang w:val="es-ES" w:eastAsia="es-ES"/>
              </w:rPr>
              <w:t>Subdirección de Gestión Contractual</w:t>
            </w:r>
          </w:p>
        </w:tc>
      </w:tr>
      <w:tr w:rsidR="008375E5" w:rsidRPr="00904A3B" w14:paraId="5EC1C57C" w14:textId="77777777" w:rsidTr="00654EE8">
        <w:trPr>
          <w:trHeight w:val="300"/>
        </w:trPr>
        <w:tc>
          <w:tcPr>
            <w:tcW w:w="812" w:type="dxa"/>
            <w:vAlign w:val="center"/>
            <w:hideMark/>
          </w:tcPr>
          <w:p w14:paraId="6BDB6F7F" w14:textId="77777777" w:rsidR="008375E5" w:rsidRPr="00504597" w:rsidRDefault="008375E5" w:rsidP="00654EE8">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C515172" w14:textId="681C8D75" w:rsidR="008375E5" w:rsidRPr="00504597" w:rsidRDefault="00A87C08" w:rsidP="00654EE8">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Juan David Marín López</w:t>
            </w:r>
          </w:p>
          <w:p w14:paraId="36AE7B6D" w14:textId="692BD3B0" w:rsidR="008375E5" w:rsidRPr="00904A3B" w:rsidRDefault="008375E5" w:rsidP="00654EE8">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Subdirector de Gestión Contractual</w:t>
            </w:r>
            <w:r w:rsidR="00586026">
              <w:rPr>
                <w:rFonts w:ascii="Arial" w:hAnsi="Arial" w:cs="Arial"/>
                <w:color w:val="000000" w:themeColor="text1"/>
                <w:sz w:val="16"/>
                <w:szCs w:val="16"/>
                <w:lang w:val="es-ES_tradnl" w:eastAsia="es-ES"/>
              </w:rPr>
              <w:t xml:space="preserve"> (E)</w:t>
            </w:r>
            <w:r w:rsidRPr="00504597">
              <w:rPr>
                <w:rFonts w:ascii="Arial" w:hAnsi="Arial" w:cs="Arial"/>
                <w:color w:val="000000" w:themeColor="text1"/>
                <w:sz w:val="16"/>
                <w:szCs w:val="16"/>
                <w:lang w:val="es-ES_tradnl" w:eastAsia="es-ES"/>
              </w:rPr>
              <w:t xml:space="preserve"> </w:t>
            </w:r>
            <w:r w:rsidRPr="00504597">
              <w:rPr>
                <w:rFonts w:ascii="Arial" w:hAnsi="Arial" w:cs="Arial"/>
                <w:color w:val="000000" w:themeColor="text1"/>
                <w:sz w:val="16"/>
                <w:szCs w:val="16"/>
                <w:lang w:eastAsia="es-ES"/>
              </w:rPr>
              <w:t>ANCP – CCE</w:t>
            </w:r>
          </w:p>
        </w:tc>
      </w:tr>
    </w:tbl>
    <w:p w14:paraId="35B56F46" w14:textId="77777777" w:rsidR="00746E08" w:rsidRPr="008375E5" w:rsidRDefault="00746E08" w:rsidP="00215B8E">
      <w:pPr>
        <w:jc w:val="both"/>
        <w:rPr>
          <w:rFonts w:ascii="Arial" w:hAnsi="Arial" w:cs="Arial"/>
        </w:rPr>
      </w:pPr>
    </w:p>
    <w:sectPr w:rsidR="00746E08" w:rsidRPr="008375E5"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46E2E" w14:textId="77777777" w:rsidR="002C7DC7" w:rsidRDefault="002C7DC7">
      <w:r>
        <w:separator/>
      </w:r>
    </w:p>
  </w:endnote>
  <w:endnote w:type="continuationSeparator" w:id="0">
    <w:p w14:paraId="6A8B5C41" w14:textId="77777777" w:rsidR="002C7DC7" w:rsidRDefault="002C7DC7">
      <w:r>
        <w:continuationSeparator/>
      </w:r>
    </w:p>
  </w:endnote>
  <w:endnote w:type="continuationNotice" w:id="1">
    <w:p w14:paraId="7D61904C" w14:textId="77777777" w:rsidR="002C7DC7" w:rsidRDefault="002C7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05A6874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63451">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63451">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C0AA" w14:textId="77777777" w:rsidR="002C7DC7" w:rsidRDefault="002C7DC7">
      <w:r>
        <w:separator/>
      </w:r>
    </w:p>
  </w:footnote>
  <w:footnote w:type="continuationSeparator" w:id="0">
    <w:p w14:paraId="3387EB93" w14:textId="77777777" w:rsidR="002C7DC7" w:rsidRDefault="002C7DC7">
      <w:r>
        <w:continuationSeparator/>
      </w:r>
    </w:p>
  </w:footnote>
  <w:footnote w:type="continuationNotice" w:id="1">
    <w:p w14:paraId="44E038E8" w14:textId="77777777" w:rsidR="002C7DC7" w:rsidRDefault="002C7DC7"/>
  </w:footnote>
  <w:footnote w:id="2">
    <w:p w14:paraId="6802C91C" w14:textId="77777777" w:rsidR="00AC559D" w:rsidRPr="00B97354" w:rsidRDefault="00AC559D" w:rsidP="00AC559D">
      <w:pPr>
        <w:pStyle w:val="Textonotapie"/>
        <w:ind w:firstLine="708"/>
        <w:jc w:val="both"/>
        <w:rPr>
          <w:rFonts w:ascii="Arial" w:hAnsi="Arial" w:cs="Arial"/>
          <w:color w:val="000000" w:themeColor="text1"/>
          <w:sz w:val="19"/>
          <w:szCs w:val="19"/>
          <w:lang w:val="es-ES"/>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97354">
        <w:rPr>
          <w:rFonts w:ascii="Arial" w:hAnsi="Arial" w:cs="Arial"/>
          <w:i/>
          <w:iCs/>
          <w:color w:val="000000" w:themeColor="text1"/>
          <w:sz w:val="19"/>
          <w:szCs w:val="19"/>
        </w:rPr>
        <w:t xml:space="preserve">ibidem </w:t>
      </w:r>
      <w:r w:rsidRPr="00B97354">
        <w:rPr>
          <w:rFonts w:ascii="Arial" w:hAnsi="Arial" w:cs="Arial"/>
          <w:color w:val="000000" w:themeColor="text1"/>
          <w:sz w:val="19"/>
          <w:szCs w:val="19"/>
        </w:rPr>
        <w:t>señala, de manera precisa, las funciones de Colombia Compra Eficiente. Concretamente, el numeral 5º de este artículo establece que le corresponde a esta entidad: «[a]</w:t>
      </w:r>
      <w:proofErr w:type="spellStart"/>
      <w:r w:rsidRPr="00B97354">
        <w:rPr>
          <w:rFonts w:ascii="Arial" w:hAnsi="Arial" w:cs="Arial"/>
          <w:color w:val="000000" w:themeColor="text1"/>
          <w:sz w:val="19"/>
          <w:szCs w:val="19"/>
        </w:rPr>
        <w:t>bsolver</w:t>
      </w:r>
      <w:proofErr w:type="spellEnd"/>
      <w:r w:rsidRPr="00B97354">
        <w:rPr>
          <w:rFonts w:ascii="Arial" w:hAnsi="Arial" w:cs="Arial"/>
          <w:color w:val="000000" w:themeColor="text1"/>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B97354">
        <w:rPr>
          <w:rFonts w:ascii="Arial" w:hAnsi="Arial" w:cs="Arial"/>
          <w:color w:val="000000" w:themeColor="text1"/>
          <w:sz w:val="19"/>
          <w:szCs w:val="19"/>
        </w:rPr>
        <w:t>bsolver</w:t>
      </w:r>
      <w:proofErr w:type="spellEnd"/>
      <w:r w:rsidRPr="00B97354">
        <w:rPr>
          <w:rFonts w:ascii="Arial" w:hAnsi="Arial" w:cs="Arial"/>
          <w:color w:val="000000" w:themeColor="text1"/>
          <w:sz w:val="19"/>
          <w:szCs w:val="19"/>
        </w:rPr>
        <w:t xml:space="preserve"> consultas sobre la aplicación de normas de carácter general».</w:t>
      </w:r>
    </w:p>
  </w:footnote>
  <w:footnote w:id="3">
    <w:p w14:paraId="607BA41C" w14:textId="2C9FDA7D" w:rsidR="00F04FBD" w:rsidRPr="00F04FBD" w:rsidRDefault="00F04FBD" w:rsidP="00F04FBD">
      <w:pPr>
        <w:pStyle w:val="Textonotapie"/>
        <w:ind w:firstLine="708"/>
        <w:rPr>
          <w:lang w:val="es-ES"/>
        </w:rPr>
      </w:pPr>
      <w:r>
        <w:rPr>
          <w:rStyle w:val="Refdenotaalpie"/>
        </w:rPr>
        <w:footnoteRef/>
      </w:r>
      <w:r>
        <w:t xml:space="preserve"> </w:t>
      </w:r>
      <w:r w:rsidRPr="002F436E">
        <w:rPr>
          <w:rFonts w:ascii="Arial" w:hAnsi="Arial" w:cs="Arial"/>
          <w:sz w:val="19"/>
          <w:szCs w:val="19"/>
        </w:rPr>
        <w:t>Estos conceptos pueden ser consultados en la relatoría de Colombia Compra Eficiente en el siguiente enlace:</w:t>
      </w:r>
      <w:r>
        <w:rPr>
          <w:rFonts w:ascii="Arial" w:hAnsi="Arial" w:cs="Arial"/>
          <w:sz w:val="19"/>
          <w:szCs w:val="19"/>
        </w:rPr>
        <w:t xml:space="preserve">  </w:t>
      </w:r>
      <w:hyperlink r:id="rId1" w:history="1">
        <w:r w:rsidRPr="002F436E">
          <w:rPr>
            <w:rStyle w:val="Hipervnculo"/>
            <w:rFonts w:ascii="Arial" w:hAnsi="Arial" w:cs="Arial"/>
            <w:color w:val="auto"/>
            <w:sz w:val="19"/>
            <w:szCs w:val="19"/>
            <w:lang w:val="es-ES"/>
          </w:rPr>
          <w:t>http://relatoria.colombiacompra.gov.co/busqueda/conceptos</w:t>
        </w:r>
      </w:hyperlink>
    </w:p>
  </w:footnote>
  <w:footnote w:id="4">
    <w:p w14:paraId="60027C3C" w14:textId="68641B5E" w:rsidR="00221A1D" w:rsidRPr="005E022D" w:rsidRDefault="00221A1D" w:rsidP="009E4101">
      <w:pPr>
        <w:pStyle w:val="Textonotapie"/>
        <w:ind w:firstLine="709"/>
        <w:jc w:val="both"/>
        <w:rPr>
          <w:rFonts w:ascii="Arial" w:hAnsi="Arial" w:cs="Arial"/>
          <w:sz w:val="19"/>
          <w:szCs w:val="19"/>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Consejo de Estado. Sección Tercera. Sentencia del 29 de octubre de 2.015. Consejera Ponente: Stella Conto Díaz Del Castillo. Expediente: 31.918.</w:t>
      </w:r>
    </w:p>
  </w:footnote>
  <w:footnote w:id="5">
    <w:p w14:paraId="3343CDC9" w14:textId="1E2C4D90" w:rsidR="00CD32B9" w:rsidRDefault="00CD32B9" w:rsidP="005817BE">
      <w:pPr>
        <w:pStyle w:val="Textonotapie"/>
        <w:ind w:firstLine="709"/>
      </w:pPr>
      <w:r>
        <w:rPr>
          <w:rStyle w:val="Refdenotaalpie"/>
        </w:rPr>
        <w:footnoteRef/>
      </w:r>
      <w:r>
        <w:t xml:space="preserve"> </w:t>
      </w:r>
      <w:r w:rsidR="005817BE" w:rsidRPr="00892E76">
        <w:rPr>
          <w:rFonts w:ascii="Arial" w:hAnsi="Arial" w:cs="Arial"/>
          <w:sz w:val="19"/>
          <w:szCs w:val="19"/>
          <w:lang w:val="es-ES"/>
        </w:rPr>
        <w:t>Corte Constitucional. Sentencia T-684A del 14 de septiembre de 2011. Magistrado Ponente: Mauricio González Cuervo.</w:t>
      </w:r>
    </w:p>
  </w:footnote>
  <w:footnote w:id="6">
    <w:p w14:paraId="41E0AFD6" w14:textId="0A2A5128" w:rsidR="00EA0455" w:rsidRPr="005E022D" w:rsidRDefault="00EA0455" w:rsidP="00E4505A">
      <w:pPr>
        <w:pStyle w:val="Textonotapie"/>
        <w:ind w:firstLine="709"/>
        <w:jc w:val="both"/>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2 al 29.</w:t>
      </w:r>
    </w:p>
  </w:footnote>
  <w:footnote w:id="7">
    <w:p w14:paraId="52DE75AF" w14:textId="42083817" w:rsidR="00EA0455" w:rsidRPr="005E022D" w:rsidRDefault="00EA0455" w:rsidP="00DC74A5">
      <w:pPr>
        <w:pStyle w:val="Textonotapie"/>
        <w:ind w:firstLine="709"/>
        <w:jc w:val="both"/>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30 al 36.</w:t>
      </w:r>
    </w:p>
  </w:footnote>
  <w:footnote w:id="8">
    <w:p w14:paraId="60BAAF2F" w14:textId="17A7646C" w:rsidR="00EA0455" w:rsidRPr="005E022D" w:rsidRDefault="00EA0455" w:rsidP="00DC74A5">
      <w:pPr>
        <w:pStyle w:val="Textonotapie"/>
        <w:ind w:firstLine="709"/>
        <w:jc w:val="both"/>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37 al 45.</w:t>
      </w:r>
    </w:p>
  </w:footnote>
  <w:footnote w:id="9">
    <w:p w14:paraId="3BA941F3" w14:textId="68670623" w:rsidR="00EA0455" w:rsidRPr="005E022D" w:rsidRDefault="00EA0455" w:rsidP="00DC74A5">
      <w:pPr>
        <w:pStyle w:val="Textonotapie"/>
        <w:ind w:firstLine="709"/>
        <w:jc w:val="both"/>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46 al 73.</w:t>
      </w:r>
    </w:p>
  </w:footnote>
  <w:footnote w:id="10">
    <w:p w14:paraId="1543EC5A" w14:textId="437ABC69" w:rsidR="00EA0455" w:rsidRPr="005E022D" w:rsidRDefault="00EA0455" w:rsidP="009E4101">
      <w:pPr>
        <w:pStyle w:val="Textonotapie"/>
        <w:ind w:firstLine="709"/>
        <w:jc w:val="both"/>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74 al 83.</w:t>
      </w:r>
    </w:p>
  </w:footnote>
  <w:footnote w:id="11">
    <w:p w14:paraId="66F709D4" w14:textId="25C58A2D" w:rsidR="00A32354" w:rsidRPr="005E022D" w:rsidRDefault="00A32354" w:rsidP="009E4101">
      <w:pPr>
        <w:pStyle w:val="Textonotapie"/>
        <w:ind w:firstLine="708"/>
        <w:jc w:val="both"/>
        <w:rPr>
          <w:rFonts w:ascii="Arial" w:hAnsi="Arial" w:cs="Arial"/>
          <w:sz w:val="19"/>
          <w:szCs w:val="19"/>
        </w:rPr>
      </w:pPr>
      <w:r w:rsidRPr="005E022D">
        <w:rPr>
          <w:rStyle w:val="Refdenotaalpie"/>
          <w:rFonts w:ascii="Arial" w:hAnsi="Arial" w:cs="Arial"/>
          <w:sz w:val="19"/>
          <w:szCs w:val="19"/>
        </w:rPr>
        <w:footnoteRef/>
      </w:r>
      <w:r w:rsidRPr="005E022D">
        <w:rPr>
          <w:rFonts w:ascii="Arial" w:hAnsi="Arial"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5E022D">
        <w:rPr>
          <w:rFonts w:ascii="Arial" w:hAnsi="Arial" w:cs="Arial"/>
          <w:sz w:val="19"/>
          <w:szCs w:val="19"/>
        </w:rPr>
        <w:t>Mipyme</w:t>
      </w:r>
      <w:proofErr w:type="spellEnd"/>
      <w:r w:rsidRPr="005E022D">
        <w:rPr>
          <w:rFonts w:ascii="Arial" w:hAnsi="Arial" w:cs="Arial"/>
          <w:sz w:val="19"/>
          <w:szCs w:val="19"/>
        </w:rPr>
        <w:t xml:space="preserve"> y grandes almacenes; los criterios diferenciales para </w:t>
      </w:r>
      <w:proofErr w:type="spellStart"/>
      <w:r w:rsidRPr="005E022D">
        <w:rPr>
          <w:rFonts w:ascii="Arial" w:hAnsi="Arial" w:cs="Arial"/>
          <w:sz w:val="19"/>
          <w:szCs w:val="19"/>
        </w:rPr>
        <w:t>Mipyme</w:t>
      </w:r>
      <w:proofErr w:type="spellEnd"/>
      <w:r w:rsidRPr="005E022D">
        <w:rPr>
          <w:rFonts w:ascii="Arial" w:hAnsi="Arial" w:cs="Arial"/>
          <w:sz w:val="19"/>
          <w:szCs w:val="19"/>
        </w:rPr>
        <w:t xml:space="preserve">, y la definición y los criterios diferenciales para los emprendimientos y empresas de mujeres; las convocatorias limitadas a </w:t>
      </w:r>
      <w:proofErr w:type="spellStart"/>
      <w:r w:rsidRPr="005E022D">
        <w:rPr>
          <w:rFonts w:ascii="Arial" w:hAnsi="Arial" w:cs="Arial"/>
          <w:sz w:val="19"/>
          <w:szCs w:val="19"/>
        </w:rPr>
        <w:t>Mipyme</w:t>
      </w:r>
      <w:proofErr w:type="spellEnd"/>
      <w:r w:rsidRPr="005E022D">
        <w:rPr>
          <w:rFonts w:ascii="Arial" w:hAnsi="Arial" w:cs="Arial"/>
          <w:sz w:val="19"/>
          <w:szCs w:val="19"/>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2">
    <w:p w14:paraId="5A07CC24" w14:textId="3225B2CF" w:rsidR="00E0584F" w:rsidRPr="005E022D" w:rsidRDefault="00E0584F" w:rsidP="001D476B">
      <w:pPr>
        <w:pStyle w:val="NormalWeb"/>
        <w:shd w:val="clear" w:color="auto" w:fill="FFFFFF"/>
        <w:spacing w:before="0" w:beforeAutospacing="0" w:after="0" w:afterAutospacing="0"/>
        <w:ind w:firstLine="709"/>
        <w:jc w:val="both"/>
        <w:rPr>
          <w:rFonts w:ascii="Arial" w:hAnsi="Arial" w:cs="Arial"/>
          <w:sz w:val="19"/>
          <w:szCs w:val="19"/>
        </w:rPr>
      </w:pPr>
      <w:r w:rsidRPr="005E022D">
        <w:rPr>
          <w:rStyle w:val="Refdenotaalpie"/>
          <w:rFonts w:ascii="Arial" w:hAnsi="Arial" w:cs="Arial"/>
          <w:sz w:val="19"/>
          <w:szCs w:val="19"/>
        </w:rPr>
        <w:footnoteRef/>
      </w:r>
      <w:r w:rsidRPr="005E022D">
        <w:rPr>
          <w:rFonts w:ascii="Arial" w:hAnsi="Arial" w:cs="Arial"/>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5E022D">
          <w:rPr>
            <w:rStyle w:val="Hipervnculo"/>
            <w:rFonts w:ascii="Arial" w:hAnsi="Arial" w:cs="Arial"/>
            <w:color w:val="auto"/>
            <w:sz w:val="19"/>
            <w:szCs w:val="19"/>
          </w:rPr>
          <w:t>5 </w:t>
        </w:r>
      </w:hyperlink>
      <w:r w:rsidRPr="005E022D">
        <w:rPr>
          <w:rFonts w:ascii="Arial" w:hAnsi="Arial" w:cs="Arial"/>
          <w:sz w:val="19"/>
          <w:szCs w:val="19"/>
        </w:rPr>
        <w:t>de la Sección 1 del Capítulo 2 del Título 1 de la Parte 2 del Libro 2, así como los artículos </w:t>
      </w:r>
      <w:hyperlink r:id="rId3" w:anchor="2.2.1.2.4.2.2" w:history="1">
        <w:r w:rsidRPr="005E022D">
          <w:rPr>
            <w:rStyle w:val="Hipervnculo"/>
            <w:rFonts w:ascii="Arial" w:hAnsi="Arial" w:cs="Arial"/>
            <w:color w:val="auto"/>
            <w:sz w:val="19"/>
            <w:szCs w:val="19"/>
            <w:u w:val="none"/>
          </w:rPr>
          <w:t>2.2.1.2.4.2.2</w:t>
        </w:r>
      </w:hyperlink>
      <w:r w:rsidRPr="005E022D">
        <w:rPr>
          <w:rFonts w:ascii="Arial" w:hAnsi="Arial" w:cs="Arial"/>
          <w:sz w:val="19"/>
          <w:szCs w:val="19"/>
        </w:rPr>
        <w:t>., </w:t>
      </w:r>
      <w:hyperlink r:id="rId4" w:anchor="2.2.1.2.4.2.3" w:history="1">
        <w:r w:rsidRPr="005E022D">
          <w:rPr>
            <w:rStyle w:val="Hipervnculo"/>
            <w:rFonts w:ascii="Arial" w:hAnsi="Arial" w:cs="Arial"/>
            <w:color w:val="auto"/>
            <w:sz w:val="19"/>
            <w:szCs w:val="19"/>
            <w:u w:val="none"/>
          </w:rPr>
          <w:t>2.2.1.2.4.2.3</w:t>
        </w:r>
      </w:hyperlink>
      <w:r w:rsidRPr="005E022D">
        <w:rPr>
          <w:rFonts w:ascii="Arial" w:hAnsi="Arial" w:cs="Arial"/>
          <w:sz w:val="19"/>
          <w:szCs w:val="19"/>
        </w:rPr>
        <w:t>., </w:t>
      </w:r>
      <w:hyperlink r:id="rId5" w:anchor="2.2.1.2.4.2.4" w:history="1">
        <w:r w:rsidRPr="005E022D">
          <w:rPr>
            <w:rStyle w:val="Hipervnculo"/>
            <w:rFonts w:ascii="Arial" w:hAnsi="Arial" w:cs="Arial"/>
            <w:color w:val="auto"/>
            <w:sz w:val="19"/>
            <w:szCs w:val="19"/>
            <w:u w:val="none"/>
          </w:rPr>
          <w:t>2.2.1.2.4.2.4</w:t>
        </w:r>
      </w:hyperlink>
      <w:r w:rsidRPr="005E022D">
        <w:rPr>
          <w:rFonts w:ascii="Arial" w:hAnsi="Arial" w:cs="Arial"/>
          <w:sz w:val="19"/>
          <w:szCs w:val="19"/>
        </w:rPr>
        <w:t>., </w:t>
      </w:r>
      <w:hyperlink r:id="rId6" w:anchor="2.2.1.2.1.2.2" w:history="1">
        <w:r w:rsidRPr="005E022D">
          <w:rPr>
            <w:rStyle w:val="Hipervnculo"/>
            <w:rFonts w:ascii="Arial" w:hAnsi="Arial" w:cs="Arial"/>
            <w:color w:val="auto"/>
            <w:sz w:val="19"/>
            <w:szCs w:val="19"/>
            <w:u w:val="none"/>
          </w:rPr>
          <w:t>2.2.1.2.1.2.2</w:t>
        </w:r>
      </w:hyperlink>
      <w:r w:rsidR="006C1195" w:rsidRPr="005E022D">
        <w:rPr>
          <w:rFonts w:ascii="Arial" w:hAnsi="Arial" w:cs="Arial"/>
          <w:sz w:val="19"/>
          <w:szCs w:val="19"/>
        </w:rPr>
        <w:t xml:space="preserve"> y</w:t>
      </w:r>
      <w:r w:rsidRPr="005E022D">
        <w:rPr>
          <w:rFonts w:ascii="Arial" w:hAnsi="Arial" w:cs="Arial"/>
          <w:sz w:val="19"/>
          <w:szCs w:val="19"/>
        </w:rPr>
        <w:t> </w:t>
      </w:r>
      <w:hyperlink r:id="rId7" w:anchor="2.2.1.2.4.2.8" w:history="1">
        <w:r w:rsidRPr="005E022D">
          <w:rPr>
            <w:rStyle w:val="Hipervnculo"/>
            <w:rFonts w:ascii="Arial" w:hAnsi="Arial" w:cs="Arial"/>
            <w:color w:val="auto"/>
            <w:sz w:val="19"/>
            <w:szCs w:val="19"/>
            <w:u w:val="none"/>
          </w:rPr>
          <w:t>2.2.1.2.4.2.8</w:t>
        </w:r>
      </w:hyperlink>
      <w:r w:rsidRPr="005E022D">
        <w:rPr>
          <w:rFonts w:ascii="Arial" w:hAnsi="Arial" w:cs="Arial"/>
          <w:sz w:val="19"/>
          <w:szCs w:val="19"/>
        </w:rPr>
        <w:t>.; adiciona los artículos </w:t>
      </w:r>
      <w:hyperlink r:id="rId8" w:anchor="2.2.1.2.4.2.14" w:history="1">
        <w:r w:rsidRPr="005E022D">
          <w:rPr>
            <w:rStyle w:val="Hipervnculo"/>
            <w:rFonts w:ascii="Arial" w:hAnsi="Arial" w:cs="Arial"/>
            <w:color w:val="auto"/>
            <w:sz w:val="19"/>
            <w:szCs w:val="19"/>
            <w:u w:val="none"/>
          </w:rPr>
          <w:t>2.2.1.2.4.2.14</w:t>
        </w:r>
      </w:hyperlink>
      <w:r w:rsidRPr="005E022D">
        <w:rPr>
          <w:rFonts w:ascii="Arial" w:hAnsi="Arial" w:cs="Arial"/>
          <w:sz w:val="19"/>
          <w:szCs w:val="19"/>
        </w:rPr>
        <w:t>., </w:t>
      </w:r>
      <w:hyperlink r:id="rId9" w:anchor="2.2.1.2.4.2.15" w:history="1">
        <w:r w:rsidRPr="005E022D">
          <w:rPr>
            <w:rStyle w:val="Hipervnculo"/>
            <w:rFonts w:ascii="Arial" w:hAnsi="Arial" w:cs="Arial"/>
            <w:color w:val="auto"/>
            <w:sz w:val="19"/>
            <w:szCs w:val="19"/>
            <w:u w:val="none"/>
          </w:rPr>
          <w:t>2.2.1.2.4.2.15</w:t>
        </w:r>
      </w:hyperlink>
      <w:r w:rsidRPr="005E022D">
        <w:rPr>
          <w:rFonts w:ascii="Arial" w:hAnsi="Arial" w:cs="Arial"/>
          <w:sz w:val="19"/>
          <w:szCs w:val="19"/>
        </w:rPr>
        <w:t>., </w:t>
      </w:r>
      <w:hyperlink r:id="rId10" w:anchor="2.2.1.2.4.2.16" w:history="1">
        <w:r w:rsidRPr="005E022D">
          <w:rPr>
            <w:rStyle w:val="Hipervnculo"/>
            <w:rFonts w:ascii="Arial" w:hAnsi="Arial" w:cs="Arial"/>
            <w:color w:val="auto"/>
            <w:sz w:val="19"/>
            <w:szCs w:val="19"/>
            <w:u w:val="none"/>
          </w:rPr>
          <w:t>2.2.1.2.4.2.16</w:t>
        </w:r>
      </w:hyperlink>
      <w:r w:rsidRPr="005E022D">
        <w:rPr>
          <w:rFonts w:ascii="Arial" w:hAnsi="Arial" w:cs="Arial"/>
          <w:sz w:val="19"/>
          <w:szCs w:val="19"/>
        </w:rPr>
        <w:t>., </w:t>
      </w:r>
      <w:hyperlink r:id="rId11" w:anchor="2.2.1.2.4.2.17" w:history="1">
        <w:r w:rsidRPr="005E022D">
          <w:rPr>
            <w:rStyle w:val="Hipervnculo"/>
            <w:rFonts w:ascii="Arial" w:hAnsi="Arial" w:cs="Arial"/>
            <w:color w:val="auto"/>
            <w:sz w:val="19"/>
            <w:szCs w:val="19"/>
            <w:u w:val="none"/>
          </w:rPr>
          <w:t>2.2.1.2.4.2.17</w:t>
        </w:r>
      </w:hyperlink>
      <w:r w:rsidRPr="005E022D">
        <w:rPr>
          <w:rFonts w:ascii="Arial" w:hAnsi="Arial" w:cs="Arial"/>
          <w:sz w:val="19"/>
          <w:szCs w:val="19"/>
        </w:rPr>
        <w:t>. y </w:t>
      </w:r>
      <w:hyperlink r:id="rId12" w:anchor="2.2.1.2.4.2.18" w:history="1">
        <w:r w:rsidRPr="005E022D">
          <w:rPr>
            <w:rStyle w:val="Hipervnculo"/>
            <w:rFonts w:ascii="Arial" w:hAnsi="Arial" w:cs="Arial"/>
            <w:color w:val="auto"/>
            <w:sz w:val="19"/>
            <w:szCs w:val="19"/>
            <w:u w:val="none"/>
          </w:rPr>
          <w:t>2.2.1.2.4.2.18</w:t>
        </w:r>
      </w:hyperlink>
      <w:r w:rsidRPr="005E022D">
        <w:rPr>
          <w:rFonts w:ascii="Arial" w:hAnsi="Arial" w:cs="Arial"/>
          <w:sz w:val="19"/>
          <w:szCs w:val="19"/>
        </w:rPr>
        <w:t>.; adiciona un </w:t>
      </w:r>
      <w:hyperlink r:id="rId13" w:anchor="2.2.1.2.3.1.9.p" w:history="1">
        <w:r w:rsidRPr="005E022D">
          <w:rPr>
            <w:rStyle w:val="Hipervnculo"/>
            <w:rFonts w:ascii="Arial" w:hAnsi="Arial" w:cs="Arial"/>
            <w:color w:val="auto"/>
            <w:sz w:val="19"/>
            <w:szCs w:val="19"/>
            <w:u w:val="none"/>
          </w:rPr>
          <w:t>parágrafo </w:t>
        </w:r>
      </w:hyperlink>
      <w:r w:rsidRPr="005E022D">
        <w:rPr>
          <w:rFonts w:ascii="Arial" w:hAnsi="Arial" w:cs="Arial"/>
          <w:sz w:val="19"/>
          <w:szCs w:val="19"/>
        </w:rPr>
        <w:t>al artículo </w:t>
      </w:r>
      <w:hyperlink r:id="rId14" w:anchor="2.2.1.2.3.1.9" w:history="1">
        <w:r w:rsidRPr="005E022D">
          <w:rPr>
            <w:rStyle w:val="Hipervnculo"/>
            <w:rFonts w:ascii="Arial" w:hAnsi="Arial" w:cs="Arial"/>
            <w:color w:val="auto"/>
            <w:sz w:val="19"/>
            <w:szCs w:val="19"/>
            <w:u w:val="none"/>
          </w:rPr>
          <w:t>2.2.1.2.3.1.9</w:t>
        </w:r>
      </w:hyperlink>
      <w:r w:rsidRPr="005E022D">
        <w:rPr>
          <w:rFonts w:ascii="Arial" w:hAnsi="Arial" w:cs="Arial"/>
          <w:sz w:val="19"/>
          <w:szCs w:val="19"/>
        </w:rPr>
        <w:t>; y deroga el artículo </w:t>
      </w:r>
      <w:hyperlink r:id="rId15" w:anchor="2.2.1.1.2.2.9" w:history="1">
        <w:r w:rsidRPr="005E022D">
          <w:rPr>
            <w:rStyle w:val="Hipervnculo"/>
            <w:rFonts w:ascii="Arial" w:hAnsi="Arial" w:cs="Arial"/>
            <w:color w:val="auto"/>
            <w:sz w:val="19"/>
            <w:szCs w:val="19"/>
            <w:u w:val="none"/>
          </w:rPr>
          <w:t>2.2.1.1.2.2.9</w:t>
        </w:r>
      </w:hyperlink>
      <w:r w:rsidRPr="005E022D">
        <w:rPr>
          <w:rFonts w:ascii="Arial" w:hAnsi="Arial" w:cs="Arial"/>
          <w:sz w:val="19"/>
          <w:szCs w:val="19"/>
        </w:rPr>
        <w:t>. del Decreto 1082 de 2015, Único Reglamentario del Sector Administrativo de Planeación Nacional.</w:t>
      </w:r>
    </w:p>
    <w:p w14:paraId="4D88C67B" w14:textId="7BE5A412" w:rsidR="00E0584F" w:rsidRPr="005E022D" w:rsidRDefault="00E0584F" w:rsidP="001D476B">
      <w:pPr>
        <w:pStyle w:val="NormalWeb"/>
        <w:shd w:val="clear" w:color="auto" w:fill="FFFFFF"/>
        <w:spacing w:before="0" w:beforeAutospacing="0" w:after="0" w:afterAutospacing="0"/>
        <w:jc w:val="both"/>
        <w:rPr>
          <w:rFonts w:ascii="Arial" w:hAnsi="Arial" w:cs="Arial"/>
          <w:sz w:val="19"/>
          <w:szCs w:val="19"/>
        </w:rPr>
      </w:pPr>
      <w:r w:rsidRPr="005E022D">
        <w:rPr>
          <w:rFonts w:ascii="Arial" w:hAnsi="Arial" w:cs="Arial"/>
          <w:b/>
          <w:bCs/>
          <w:sz w:val="19"/>
          <w:szCs w:val="19"/>
        </w:rPr>
        <w:t> </w:t>
      </w:r>
      <w:r w:rsidRPr="005E022D">
        <w:rPr>
          <w:rFonts w:ascii="Arial" w:hAnsi="Arial" w:cs="Arial"/>
          <w:b/>
          <w:bCs/>
          <w:sz w:val="19"/>
          <w:szCs w:val="19"/>
        </w:rPr>
        <w:tab/>
        <w:t>»</w:t>
      </w:r>
      <w:r w:rsidRPr="005E022D">
        <w:rPr>
          <w:rFonts w:ascii="Arial" w:hAnsi="Arial" w:cs="Arial"/>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28FED353" w14:textId="718C4AE6" w:rsidR="00E0584F" w:rsidRPr="005E022D" w:rsidRDefault="00E0584F" w:rsidP="001D476B">
      <w:pPr>
        <w:pStyle w:val="NormalWeb"/>
        <w:shd w:val="clear" w:color="auto" w:fill="FFFFFF"/>
        <w:spacing w:before="0" w:beforeAutospacing="0" w:after="0" w:afterAutospacing="0"/>
        <w:jc w:val="both"/>
        <w:rPr>
          <w:rFonts w:ascii="Arial" w:hAnsi="Arial" w:cs="Arial"/>
          <w:sz w:val="19"/>
          <w:szCs w:val="19"/>
        </w:rPr>
      </w:pPr>
      <w:r w:rsidRPr="005E022D">
        <w:rPr>
          <w:rFonts w:ascii="Arial" w:hAnsi="Arial" w:cs="Arial"/>
          <w:sz w:val="19"/>
          <w:szCs w:val="19"/>
        </w:rPr>
        <w:t> </w:t>
      </w:r>
      <w:r w:rsidRPr="005E022D">
        <w:rPr>
          <w:rFonts w:ascii="Arial" w:hAnsi="Arial" w:cs="Arial"/>
          <w:sz w:val="19"/>
          <w:szCs w:val="19"/>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856481B"/>
    <w:multiLevelType w:val="hybridMultilevel"/>
    <w:tmpl w:val="8EE2E210"/>
    <w:lvl w:ilvl="0" w:tplc="ACC81F8C">
      <w:start w:val="1"/>
      <w:numFmt w:val="upperLetter"/>
      <w:lvlText w:val="%1."/>
      <w:lvlJc w:val="left"/>
      <w:pPr>
        <w:ind w:left="1129" w:hanging="36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BA6FC6"/>
    <w:multiLevelType w:val="hybridMultilevel"/>
    <w:tmpl w:val="5E7AF7EC"/>
    <w:lvl w:ilvl="0" w:tplc="59B26404">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330A81"/>
    <w:multiLevelType w:val="hybridMultilevel"/>
    <w:tmpl w:val="6442A38A"/>
    <w:lvl w:ilvl="0" w:tplc="3E8C0A7A">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0373863">
    <w:abstractNumId w:val="11"/>
  </w:num>
  <w:num w:numId="2" w16cid:durableId="1710377617">
    <w:abstractNumId w:val="9"/>
  </w:num>
  <w:num w:numId="3" w16cid:durableId="831213983">
    <w:abstractNumId w:val="15"/>
  </w:num>
  <w:num w:numId="4" w16cid:durableId="1511068925">
    <w:abstractNumId w:val="18"/>
  </w:num>
  <w:num w:numId="5" w16cid:durableId="720058382">
    <w:abstractNumId w:val="22"/>
  </w:num>
  <w:num w:numId="6" w16cid:durableId="52973132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2443456">
    <w:abstractNumId w:val="20"/>
  </w:num>
  <w:num w:numId="8" w16cid:durableId="732582535">
    <w:abstractNumId w:val="0"/>
  </w:num>
  <w:num w:numId="9" w16cid:durableId="609819019">
    <w:abstractNumId w:val="4"/>
  </w:num>
  <w:num w:numId="10" w16cid:durableId="13470956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312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2537829">
    <w:abstractNumId w:val="10"/>
  </w:num>
  <w:num w:numId="13" w16cid:durableId="664868597">
    <w:abstractNumId w:val="14"/>
  </w:num>
  <w:num w:numId="14" w16cid:durableId="698237300">
    <w:abstractNumId w:val="7"/>
  </w:num>
  <w:num w:numId="15" w16cid:durableId="200770716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7272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1335539">
    <w:abstractNumId w:val="24"/>
  </w:num>
  <w:num w:numId="18" w16cid:durableId="2079015730">
    <w:abstractNumId w:val="16"/>
  </w:num>
  <w:num w:numId="19" w16cid:durableId="2073186929">
    <w:abstractNumId w:val="2"/>
  </w:num>
  <w:num w:numId="20" w16cid:durableId="433206250">
    <w:abstractNumId w:val="25"/>
  </w:num>
  <w:num w:numId="21" w16cid:durableId="1687830229">
    <w:abstractNumId w:val="17"/>
  </w:num>
  <w:num w:numId="22" w16cid:durableId="86772981">
    <w:abstractNumId w:val="6"/>
  </w:num>
  <w:num w:numId="23" w16cid:durableId="17003445">
    <w:abstractNumId w:val="5"/>
  </w:num>
  <w:num w:numId="24" w16cid:durableId="99107688">
    <w:abstractNumId w:val="23"/>
  </w:num>
  <w:num w:numId="25" w16cid:durableId="1498306422">
    <w:abstractNumId w:val="19"/>
  </w:num>
  <w:num w:numId="26" w16cid:durableId="2083290138">
    <w:abstractNumId w:val="3"/>
  </w:num>
  <w:num w:numId="27" w16cid:durableId="1056777450">
    <w:abstractNumId w:val="12"/>
  </w:num>
  <w:num w:numId="28" w16cid:durableId="1819809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877"/>
    <w:rsid w:val="000008C5"/>
    <w:rsid w:val="00000C4D"/>
    <w:rsid w:val="0000162E"/>
    <w:rsid w:val="00001A1C"/>
    <w:rsid w:val="00001FFD"/>
    <w:rsid w:val="00002027"/>
    <w:rsid w:val="000020FE"/>
    <w:rsid w:val="00002173"/>
    <w:rsid w:val="0000252E"/>
    <w:rsid w:val="000031A8"/>
    <w:rsid w:val="00003246"/>
    <w:rsid w:val="00003C5C"/>
    <w:rsid w:val="00003D39"/>
    <w:rsid w:val="000040D7"/>
    <w:rsid w:val="00004556"/>
    <w:rsid w:val="000051AF"/>
    <w:rsid w:val="000059D3"/>
    <w:rsid w:val="00005B6D"/>
    <w:rsid w:val="0000600A"/>
    <w:rsid w:val="00006081"/>
    <w:rsid w:val="00006187"/>
    <w:rsid w:val="00007571"/>
    <w:rsid w:val="0000771A"/>
    <w:rsid w:val="00007750"/>
    <w:rsid w:val="000077FD"/>
    <w:rsid w:val="00007E37"/>
    <w:rsid w:val="00010C40"/>
    <w:rsid w:val="000112B4"/>
    <w:rsid w:val="0001179A"/>
    <w:rsid w:val="00011DCC"/>
    <w:rsid w:val="00012532"/>
    <w:rsid w:val="00012B9E"/>
    <w:rsid w:val="00012F37"/>
    <w:rsid w:val="00012FBA"/>
    <w:rsid w:val="00013BBA"/>
    <w:rsid w:val="00013C6B"/>
    <w:rsid w:val="0001406B"/>
    <w:rsid w:val="000143F8"/>
    <w:rsid w:val="00014624"/>
    <w:rsid w:val="00014D06"/>
    <w:rsid w:val="00015B44"/>
    <w:rsid w:val="0001605C"/>
    <w:rsid w:val="00016081"/>
    <w:rsid w:val="000165AC"/>
    <w:rsid w:val="00016651"/>
    <w:rsid w:val="000171A2"/>
    <w:rsid w:val="00017B65"/>
    <w:rsid w:val="00020158"/>
    <w:rsid w:val="000207E0"/>
    <w:rsid w:val="000209E2"/>
    <w:rsid w:val="00020F8F"/>
    <w:rsid w:val="00021A95"/>
    <w:rsid w:val="00021C8A"/>
    <w:rsid w:val="00022327"/>
    <w:rsid w:val="00022329"/>
    <w:rsid w:val="0002256F"/>
    <w:rsid w:val="00023DAE"/>
    <w:rsid w:val="00024896"/>
    <w:rsid w:val="00024F91"/>
    <w:rsid w:val="000255FA"/>
    <w:rsid w:val="0002583A"/>
    <w:rsid w:val="00025D0A"/>
    <w:rsid w:val="000263F0"/>
    <w:rsid w:val="00026407"/>
    <w:rsid w:val="00026608"/>
    <w:rsid w:val="00027787"/>
    <w:rsid w:val="000278D2"/>
    <w:rsid w:val="00027EC0"/>
    <w:rsid w:val="0003065D"/>
    <w:rsid w:val="00030DFB"/>
    <w:rsid w:val="00031364"/>
    <w:rsid w:val="000315E1"/>
    <w:rsid w:val="0003236E"/>
    <w:rsid w:val="0003339A"/>
    <w:rsid w:val="000341F2"/>
    <w:rsid w:val="00034245"/>
    <w:rsid w:val="00035046"/>
    <w:rsid w:val="000351F2"/>
    <w:rsid w:val="00035768"/>
    <w:rsid w:val="0003631E"/>
    <w:rsid w:val="00036E03"/>
    <w:rsid w:val="00037BC3"/>
    <w:rsid w:val="000406DB"/>
    <w:rsid w:val="0004094D"/>
    <w:rsid w:val="00041029"/>
    <w:rsid w:val="00041357"/>
    <w:rsid w:val="0004149B"/>
    <w:rsid w:val="000417A3"/>
    <w:rsid w:val="00041FC6"/>
    <w:rsid w:val="000422EA"/>
    <w:rsid w:val="00042961"/>
    <w:rsid w:val="00042C25"/>
    <w:rsid w:val="00042D03"/>
    <w:rsid w:val="00043086"/>
    <w:rsid w:val="000430A0"/>
    <w:rsid w:val="00043D3B"/>
    <w:rsid w:val="0004418C"/>
    <w:rsid w:val="00044204"/>
    <w:rsid w:val="000444D5"/>
    <w:rsid w:val="0004477A"/>
    <w:rsid w:val="000449D4"/>
    <w:rsid w:val="00045388"/>
    <w:rsid w:val="0004600D"/>
    <w:rsid w:val="000463B5"/>
    <w:rsid w:val="00046717"/>
    <w:rsid w:val="00046A63"/>
    <w:rsid w:val="00046C09"/>
    <w:rsid w:val="0004716A"/>
    <w:rsid w:val="00047385"/>
    <w:rsid w:val="000473E8"/>
    <w:rsid w:val="000504DE"/>
    <w:rsid w:val="0005072D"/>
    <w:rsid w:val="00051074"/>
    <w:rsid w:val="000526F0"/>
    <w:rsid w:val="0005273D"/>
    <w:rsid w:val="00052B79"/>
    <w:rsid w:val="00052E4B"/>
    <w:rsid w:val="00052EA0"/>
    <w:rsid w:val="000536A7"/>
    <w:rsid w:val="000536E3"/>
    <w:rsid w:val="00053896"/>
    <w:rsid w:val="00053A00"/>
    <w:rsid w:val="00054053"/>
    <w:rsid w:val="0005474D"/>
    <w:rsid w:val="00054795"/>
    <w:rsid w:val="00055CB9"/>
    <w:rsid w:val="0005694A"/>
    <w:rsid w:val="00056F66"/>
    <w:rsid w:val="0005702F"/>
    <w:rsid w:val="00057B44"/>
    <w:rsid w:val="00060667"/>
    <w:rsid w:val="00061010"/>
    <w:rsid w:val="00061D06"/>
    <w:rsid w:val="0006220A"/>
    <w:rsid w:val="00062CDD"/>
    <w:rsid w:val="00062DB3"/>
    <w:rsid w:val="00063472"/>
    <w:rsid w:val="000640AF"/>
    <w:rsid w:val="00064940"/>
    <w:rsid w:val="00064C53"/>
    <w:rsid w:val="00064CAE"/>
    <w:rsid w:val="00064DB7"/>
    <w:rsid w:val="00064FA7"/>
    <w:rsid w:val="00065011"/>
    <w:rsid w:val="00065195"/>
    <w:rsid w:val="0006536C"/>
    <w:rsid w:val="0006626E"/>
    <w:rsid w:val="00066E7C"/>
    <w:rsid w:val="00067A6D"/>
    <w:rsid w:val="00067DED"/>
    <w:rsid w:val="00070AF1"/>
    <w:rsid w:val="00070BFD"/>
    <w:rsid w:val="000714DE"/>
    <w:rsid w:val="0007254F"/>
    <w:rsid w:val="0007357C"/>
    <w:rsid w:val="00073797"/>
    <w:rsid w:val="00073C30"/>
    <w:rsid w:val="00074305"/>
    <w:rsid w:val="000744D0"/>
    <w:rsid w:val="00074B2A"/>
    <w:rsid w:val="00074EEE"/>
    <w:rsid w:val="000753D5"/>
    <w:rsid w:val="00075B3E"/>
    <w:rsid w:val="00076456"/>
    <w:rsid w:val="000768F2"/>
    <w:rsid w:val="0007779B"/>
    <w:rsid w:val="000777E7"/>
    <w:rsid w:val="000778A8"/>
    <w:rsid w:val="0007790A"/>
    <w:rsid w:val="000779F2"/>
    <w:rsid w:val="0008017B"/>
    <w:rsid w:val="00080ACD"/>
    <w:rsid w:val="00081144"/>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021"/>
    <w:rsid w:val="00087A64"/>
    <w:rsid w:val="0009082C"/>
    <w:rsid w:val="00090C39"/>
    <w:rsid w:val="000914D6"/>
    <w:rsid w:val="00091569"/>
    <w:rsid w:val="00092711"/>
    <w:rsid w:val="00092CDB"/>
    <w:rsid w:val="00092DCA"/>
    <w:rsid w:val="00093851"/>
    <w:rsid w:val="000942EB"/>
    <w:rsid w:val="00095B70"/>
    <w:rsid w:val="0009617E"/>
    <w:rsid w:val="0009628D"/>
    <w:rsid w:val="0009670F"/>
    <w:rsid w:val="000970E4"/>
    <w:rsid w:val="00097660"/>
    <w:rsid w:val="000979CF"/>
    <w:rsid w:val="000A03C8"/>
    <w:rsid w:val="000A05F2"/>
    <w:rsid w:val="000A06C4"/>
    <w:rsid w:val="000A0861"/>
    <w:rsid w:val="000A0EC4"/>
    <w:rsid w:val="000A0ED1"/>
    <w:rsid w:val="000A12DB"/>
    <w:rsid w:val="000A17C8"/>
    <w:rsid w:val="000A1938"/>
    <w:rsid w:val="000A1B74"/>
    <w:rsid w:val="000A1C16"/>
    <w:rsid w:val="000A20D7"/>
    <w:rsid w:val="000A2128"/>
    <w:rsid w:val="000A362F"/>
    <w:rsid w:val="000A38B9"/>
    <w:rsid w:val="000A3AB7"/>
    <w:rsid w:val="000A3B49"/>
    <w:rsid w:val="000A46FE"/>
    <w:rsid w:val="000A47E6"/>
    <w:rsid w:val="000A52C0"/>
    <w:rsid w:val="000A5AAF"/>
    <w:rsid w:val="000A5ACE"/>
    <w:rsid w:val="000A5F97"/>
    <w:rsid w:val="000A648E"/>
    <w:rsid w:val="000A706F"/>
    <w:rsid w:val="000A7268"/>
    <w:rsid w:val="000A73BB"/>
    <w:rsid w:val="000A73E8"/>
    <w:rsid w:val="000A77BE"/>
    <w:rsid w:val="000A7EF4"/>
    <w:rsid w:val="000B0A15"/>
    <w:rsid w:val="000B103F"/>
    <w:rsid w:val="000B1437"/>
    <w:rsid w:val="000B1470"/>
    <w:rsid w:val="000B244D"/>
    <w:rsid w:val="000B2A1A"/>
    <w:rsid w:val="000B2B86"/>
    <w:rsid w:val="000B3051"/>
    <w:rsid w:val="000B38F1"/>
    <w:rsid w:val="000B419B"/>
    <w:rsid w:val="000B5781"/>
    <w:rsid w:val="000B5925"/>
    <w:rsid w:val="000B5CB1"/>
    <w:rsid w:val="000B6549"/>
    <w:rsid w:val="000B75F4"/>
    <w:rsid w:val="000C0185"/>
    <w:rsid w:val="000C0F81"/>
    <w:rsid w:val="000C128D"/>
    <w:rsid w:val="000C1645"/>
    <w:rsid w:val="000C17A3"/>
    <w:rsid w:val="000C1D4B"/>
    <w:rsid w:val="000C2DC4"/>
    <w:rsid w:val="000C2E77"/>
    <w:rsid w:val="000C3260"/>
    <w:rsid w:val="000C3B77"/>
    <w:rsid w:val="000C3F6D"/>
    <w:rsid w:val="000C4F49"/>
    <w:rsid w:val="000C57E4"/>
    <w:rsid w:val="000C5861"/>
    <w:rsid w:val="000C5BDE"/>
    <w:rsid w:val="000C639D"/>
    <w:rsid w:val="000C6C31"/>
    <w:rsid w:val="000C6DBC"/>
    <w:rsid w:val="000C6F79"/>
    <w:rsid w:val="000C73CA"/>
    <w:rsid w:val="000C7476"/>
    <w:rsid w:val="000C7480"/>
    <w:rsid w:val="000C7711"/>
    <w:rsid w:val="000C7AA2"/>
    <w:rsid w:val="000D0462"/>
    <w:rsid w:val="000D053D"/>
    <w:rsid w:val="000D0ED2"/>
    <w:rsid w:val="000D0FC4"/>
    <w:rsid w:val="000D107D"/>
    <w:rsid w:val="000D13FD"/>
    <w:rsid w:val="000D1CEB"/>
    <w:rsid w:val="000D2563"/>
    <w:rsid w:val="000D25BF"/>
    <w:rsid w:val="000D2FE4"/>
    <w:rsid w:val="000D3FDC"/>
    <w:rsid w:val="000D490B"/>
    <w:rsid w:val="000D4E38"/>
    <w:rsid w:val="000D50DB"/>
    <w:rsid w:val="000D58EE"/>
    <w:rsid w:val="000D5A30"/>
    <w:rsid w:val="000D6288"/>
    <w:rsid w:val="000D69A5"/>
    <w:rsid w:val="000D728B"/>
    <w:rsid w:val="000D7541"/>
    <w:rsid w:val="000D75E1"/>
    <w:rsid w:val="000E1709"/>
    <w:rsid w:val="000E22CF"/>
    <w:rsid w:val="000E2977"/>
    <w:rsid w:val="000E2CC0"/>
    <w:rsid w:val="000E30AC"/>
    <w:rsid w:val="000E33C9"/>
    <w:rsid w:val="000E3B46"/>
    <w:rsid w:val="000E3DFD"/>
    <w:rsid w:val="000E3E11"/>
    <w:rsid w:val="000E44AC"/>
    <w:rsid w:val="000E4596"/>
    <w:rsid w:val="000E472F"/>
    <w:rsid w:val="000E4B94"/>
    <w:rsid w:val="000E4D50"/>
    <w:rsid w:val="000E5768"/>
    <w:rsid w:val="000E5843"/>
    <w:rsid w:val="000E6139"/>
    <w:rsid w:val="000E63B7"/>
    <w:rsid w:val="000E653C"/>
    <w:rsid w:val="000E6BE1"/>
    <w:rsid w:val="000E7E0B"/>
    <w:rsid w:val="000F0136"/>
    <w:rsid w:val="000F01D7"/>
    <w:rsid w:val="000F078A"/>
    <w:rsid w:val="000F122D"/>
    <w:rsid w:val="000F1450"/>
    <w:rsid w:val="000F14E8"/>
    <w:rsid w:val="000F1ACA"/>
    <w:rsid w:val="000F1BBD"/>
    <w:rsid w:val="000F290F"/>
    <w:rsid w:val="000F4329"/>
    <w:rsid w:val="000F4403"/>
    <w:rsid w:val="000F480B"/>
    <w:rsid w:val="000F4E17"/>
    <w:rsid w:val="000F54A7"/>
    <w:rsid w:val="000F557B"/>
    <w:rsid w:val="000F5615"/>
    <w:rsid w:val="000F6578"/>
    <w:rsid w:val="000F6C32"/>
    <w:rsid w:val="000F6F92"/>
    <w:rsid w:val="000F7E8F"/>
    <w:rsid w:val="000F7FBB"/>
    <w:rsid w:val="001000FB"/>
    <w:rsid w:val="001001D1"/>
    <w:rsid w:val="00100A2C"/>
    <w:rsid w:val="00100A9E"/>
    <w:rsid w:val="00100F6A"/>
    <w:rsid w:val="00102605"/>
    <w:rsid w:val="00102686"/>
    <w:rsid w:val="00102745"/>
    <w:rsid w:val="00103795"/>
    <w:rsid w:val="00103839"/>
    <w:rsid w:val="00103915"/>
    <w:rsid w:val="001039AA"/>
    <w:rsid w:val="00103EA0"/>
    <w:rsid w:val="00104149"/>
    <w:rsid w:val="00104F1C"/>
    <w:rsid w:val="0010511F"/>
    <w:rsid w:val="001051E5"/>
    <w:rsid w:val="00105A74"/>
    <w:rsid w:val="00105ACB"/>
    <w:rsid w:val="00105AEF"/>
    <w:rsid w:val="00106259"/>
    <w:rsid w:val="001068EB"/>
    <w:rsid w:val="001078CE"/>
    <w:rsid w:val="0010797F"/>
    <w:rsid w:val="00107AE5"/>
    <w:rsid w:val="001109F9"/>
    <w:rsid w:val="00110F61"/>
    <w:rsid w:val="001111BD"/>
    <w:rsid w:val="001115DF"/>
    <w:rsid w:val="0011165A"/>
    <w:rsid w:val="00111B2B"/>
    <w:rsid w:val="0011273F"/>
    <w:rsid w:val="00112774"/>
    <w:rsid w:val="00112B2E"/>
    <w:rsid w:val="00113003"/>
    <w:rsid w:val="00113062"/>
    <w:rsid w:val="0011359A"/>
    <w:rsid w:val="00113705"/>
    <w:rsid w:val="00113975"/>
    <w:rsid w:val="00113CFC"/>
    <w:rsid w:val="00113FEA"/>
    <w:rsid w:val="00114703"/>
    <w:rsid w:val="00114A22"/>
    <w:rsid w:val="00114CA2"/>
    <w:rsid w:val="00114E9D"/>
    <w:rsid w:val="0011507B"/>
    <w:rsid w:val="001156A7"/>
    <w:rsid w:val="00115C37"/>
    <w:rsid w:val="00116328"/>
    <w:rsid w:val="001163CF"/>
    <w:rsid w:val="00116CE7"/>
    <w:rsid w:val="00116EC5"/>
    <w:rsid w:val="001174C9"/>
    <w:rsid w:val="00117762"/>
    <w:rsid w:val="001177FE"/>
    <w:rsid w:val="00117E00"/>
    <w:rsid w:val="00117E69"/>
    <w:rsid w:val="00121103"/>
    <w:rsid w:val="001212C3"/>
    <w:rsid w:val="00121B78"/>
    <w:rsid w:val="00121BAB"/>
    <w:rsid w:val="00121E3C"/>
    <w:rsid w:val="00122B23"/>
    <w:rsid w:val="00122B7E"/>
    <w:rsid w:val="0012379C"/>
    <w:rsid w:val="00123E27"/>
    <w:rsid w:val="00123FB5"/>
    <w:rsid w:val="0012400F"/>
    <w:rsid w:val="001249DC"/>
    <w:rsid w:val="00124D7B"/>
    <w:rsid w:val="0012572D"/>
    <w:rsid w:val="00125BED"/>
    <w:rsid w:val="00125C59"/>
    <w:rsid w:val="00125D4F"/>
    <w:rsid w:val="001269E9"/>
    <w:rsid w:val="00127004"/>
    <w:rsid w:val="0012770B"/>
    <w:rsid w:val="00127AF2"/>
    <w:rsid w:val="00127EDC"/>
    <w:rsid w:val="00127F42"/>
    <w:rsid w:val="00127F6D"/>
    <w:rsid w:val="00130355"/>
    <w:rsid w:val="00130365"/>
    <w:rsid w:val="001304E5"/>
    <w:rsid w:val="00131132"/>
    <w:rsid w:val="00131B5A"/>
    <w:rsid w:val="001325B5"/>
    <w:rsid w:val="001329BC"/>
    <w:rsid w:val="00132C30"/>
    <w:rsid w:val="00132EFD"/>
    <w:rsid w:val="00133AED"/>
    <w:rsid w:val="0013490B"/>
    <w:rsid w:val="00134BCD"/>
    <w:rsid w:val="00134E09"/>
    <w:rsid w:val="001350AB"/>
    <w:rsid w:val="0013546F"/>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48C5"/>
    <w:rsid w:val="0014502F"/>
    <w:rsid w:val="00145282"/>
    <w:rsid w:val="001453B0"/>
    <w:rsid w:val="001454D9"/>
    <w:rsid w:val="00145D8E"/>
    <w:rsid w:val="00146083"/>
    <w:rsid w:val="001462F7"/>
    <w:rsid w:val="001471AB"/>
    <w:rsid w:val="00147B52"/>
    <w:rsid w:val="00147F35"/>
    <w:rsid w:val="00150005"/>
    <w:rsid w:val="00151520"/>
    <w:rsid w:val="00151AEB"/>
    <w:rsid w:val="00151B99"/>
    <w:rsid w:val="00151E79"/>
    <w:rsid w:val="001521A5"/>
    <w:rsid w:val="001521B2"/>
    <w:rsid w:val="00152EDD"/>
    <w:rsid w:val="00153491"/>
    <w:rsid w:val="0015361C"/>
    <w:rsid w:val="0015372F"/>
    <w:rsid w:val="00153BFB"/>
    <w:rsid w:val="0015407E"/>
    <w:rsid w:val="001542D7"/>
    <w:rsid w:val="0015448E"/>
    <w:rsid w:val="00154A6F"/>
    <w:rsid w:val="00154B68"/>
    <w:rsid w:val="001551CE"/>
    <w:rsid w:val="00155BED"/>
    <w:rsid w:val="00155D08"/>
    <w:rsid w:val="00155EFE"/>
    <w:rsid w:val="0015623B"/>
    <w:rsid w:val="00156BE5"/>
    <w:rsid w:val="00157232"/>
    <w:rsid w:val="00160401"/>
    <w:rsid w:val="00160838"/>
    <w:rsid w:val="00160C01"/>
    <w:rsid w:val="00160D4E"/>
    <w:rsid w:val="00161DDA"/>
    <w:rsid w:val="00161E62"/>
    <w:rsid w:val="00161F1C"/>
    <w:rsid w:val="0016200B"/>
    <w:rsid w:val="0016204B"/>
    <w:rsid w:val="00163D7A"/>
    <w:rsid w:val="00163E11"/>
    <w:rsid w:val="00164281"/>
    <w:rsid w:val="0016484F"/>
    <w:rsid w:val="00165703"/>
    <w:rsid w:val="00165BBD"/>
    <w:rsid w:val="00165E5C"/>
    <w:rsid w:val="00166204"/>
    <w:rsid w:val="00166797"/>
    <w:rsid w:val="0016685F"/>
    <w:rsid w:val="0016686D"/>
    <w:rsid w:val="0016712F"/>
    <w:rsid w:val="00167503"/>
    <w:rsid w:val="001676A9"/>
    <w:rsid w:val="00167A15"/>
    <w:rsid w:val="00167A50"/>
    <w:rsid w:val="00167D1A"/>
    <w:rsid w:val="00167DF5"/>
    <w:rsid w:val="00170001"/>
    <w:rsid w:val="0017020C"/>
    <w:rsid w:val="001703CC"/>
    <w:rsid w:val="00170FB1"/>
    <w:rsid w:val="00172198"/>
    <w:rsid w:val="00172612"/>
    <w:rsid w:val="00172817"/>
    <w:rsid w:val="001734E3"/>
    <w:rsid w:val="001742BF"/>
    <w:rsid w:val="001742E1"/>
    <w:rsid w:val="00175E49"/>
    <w:rsid w:val="00176178"/>
    <w:rsid w:val="0017649F"/>
    <w:rsid w:val="0017655B"/>
    <w:rsid w:val="00177EAA"/>
    <w:rsid w:val="001805C1"/>
    <w:rsid w:val="00180A2E"/>
    <w:rsid w:val="0018100D"/>
    <w:rsid w:val="001813AF"/>
    <w:rsid w:val="00181D96"/>
    <w:rsid w:val="001826C9"/>
    <w:rsid w:val="001827F5"/>
    <w:rsid w:val="001829CD"/>
    <w:rsid w:val="00182B0B"/>
    <w:rsid w:val="00182C88"/>
    <w:rsid w:val="00182F01"/>
    <w:rsid w:val="00184219"/>
    <w:rsid w:val="0018466C"/>
    <w:rsid w:val="00184F27"/>
    <w:rsid w:val="00185167"/>
    <w:rsid w:val="0018519B"/>
    <w:rsid w:val="00185966"/>
    <w:rsid w:val="00185A2D"/>
    <w:rsid w:val="00185AFE"/>
    <w:rsid w:val="00185E78"/>
    <w:rsid w:val="00187177"/>
    <w:rsid w:val="00187ABD"/>
    <w:rsid w:val="001904E3"/>
    <w:rsid w:val="001905DE"/>
    <w:rsid w:val="0019087A"/>
    <w:rsid w:val="00191C5A"/>
    <w:rsid w:val="00191CEB"/>
    <w:rsid w:val="00191E63"/>
    <w:rsid w:val="00192D68"/>
    <w:rsid w:val="0019388B"/>
    <w:rsid w:val="00193ADE"/>
    <w:rsid w:val="00193B9A"/>
    <w:rsid w:val="001940ED"/>
    <w:rsid w:val="001946AE"/>
    <w:rsid w:val="001946D5"/>
    <w:rsid w:val="00194E8C"/>
    <w:rsid w:val="00195629"/>
    <w:rsid w:val="001958DE"/>
    <w:rsid w:val="001962EC"/>
    <w:rsid w:val="001963DD"/>
    <w:rsid w:val="001965DB"/>
    <w:rsid w:val="00196B33"/>
    <w:rsid w:val="00196C31"/>
    <w:rsid w:val="00196D01"/>
    <w:rsid w:val="00196DC9"/>
    <w:rsid w:val="00196E95"/>
    <w:rsid w:val="00197758"/>
    <w:rsid w:val="001A0160"/>
    <w:rsid w:val="001A0236"/>
    <w:rsid w:val="001A0915"/>
    <w:rsid w:val="001A0AF8"/>
    <w:rsid w:val="001A0E1B"/>
    <w:rsid w:val="001A1490"/>
    <w:rsid w:val="001A18D5"/>
    <w:rsid w:val="001A1A38"/>
    <w:rsid w:val="001A1BE0"/>
    <w:rsid w:val="001A1D4A"/>
    <w:rsid w:val="001A2A6E"/>
    <w:rsid w:val="001A3011"/>
    <w:rsid w:val="001A3078"/>
    <w:rsid w:val="001A3F54"/>
    <w:rsid w:val="001A4223"/>
    <w:rsid w:val="001A470D"/>
    <w:rsid w:val="001A4A9B"/>
    <w:rsid w:val="001A4B32"/>
    <w:rsid w:val="001A4DAF"/>
    <w:rsid w:val="001A54CD"/>
    <w:rsid w:val="001A66DF"/>
    <w:rsid w:val="001A67D0"/>
    <w:rsid w:val="001A6863"/>
    <w:rsid w:val="001A6F20"/>
    <w:rsid w:val="001A7591"/>
    <w:rsid w:val="001A75B1"/>
    <w:rsid w:val="001A7B06"/>
    <w:rsid w:val="001A7E6F"/>
    <w:rsid w:val="001B0366"/>
    <w:rsid w:val="001B0444"/>
    <w:rsid w:val="001B096B"/>
    <w:rsid w:val="001B0DD0"/>
    <w:rsid w:val="001B0F9F"/>
    <w:rsid w:val="001B123C"/>
    <w:rsid w:val="001B166D"/>
    <w:rsid w:val="001B1A0D"/>
    <w:rsid w:val="001B1BF1"/>
    <w:rsid w:val="001B21AC"/>
    <w:rsid w:val="001B2456"/>
    <w:rsid w:val="001B449C"/>
    <w:rsid w:val="001B4AA2"/>
    <w:rsid w:val="001B4ADE"/>
    <w:rsid w:val="001B5530"/>
    <w:rsid w:val="001B5DAE"/>
    <w:rsid w:val="001B5EF8"/>
    <w:rsid w:val="001B71E8"/>
    <w:rsid w:val="001C0296"/>
    <w:rsid w:val="001C033E"/>
    <w:rsid w:val="001C07C6"/>
    <w:rsid w:val="001C120D"/>
    <w:rsid w:val="001C16DA"/>
    <w:rsid w:val="001C19CD"/>
    <w:rsid w:val="001C22D5"/>
    <w:rsid w:val="001C2515"/>
    <w:rsid w:val="001C26FB"/>
    <w:rsid w:val="001C33C1"/>
    <w:rsid w:val="001C3859"/>
    <w:rsid w:val="001C3E30"/>
    <w:rsid w:val="001C3E5C"/>
    <w:rsid w:val="001C3FC3"/>
    <w:rsid w:val="001C4220"/>
    <w:rsid w:val="001C5072"/>
    <w:rsid w:val="001C5B2A"/>
    <w:rsid w:val="001C600B"/>
    <w:rsid w:val="001C6898"/>
    <w:rsid w:val="001C6A71"/>
    <w:rsid w:val="001C6DD8"/>
    <w:rsid w:val="001C76FA"/>
    <w:rsid w:val="001C79A4"/>
    <w:rsid w:val="001C7A34"/>
    <w:rsid w:val="001C7C7B"/>
    <w:rsid w:val="001D068D"/>
    <w:rsid w:val="001D12D1"/>
    <w:rsid w:val="001D15DF"/>
    <w:rsid w:val="001D2EEE"/>
    <w:rsid w:val="001D30F3"/>
    <w:rsid w:val="001D31A0"/>
    <w:rsid w:val="001D338E"/>
    <w:rsid w:val="001D4526"/>
    <w:rsid w:val="001D4562"/>
    <w:rsid w:val="001D476B"/>
    <w:rsid w:val="001D56E9"/>
    <w:rsid w:val="001D6944"/>
    <w:rsid w:val="001D69C6"/>
    <w:rsid w:val="001D6CD2"/>
    <w:rsid w:val="001D7343"/>
    <w:rsid w:val="001D7787"/>
    <w:rsid w:val="001D796A"/>
    <w:rsid w:val="001D7A84"/>
    <w:rsid w:val="001D7C79"/>
    <w:rsid w:val="001E003B"/>
    <w:rsid w:val="001E1C8E"/>
    <w:rsid w:val="001E1CC4"/>
    <w:rsid w:val="001E1D38"/>
    <w:rsid w:val="001E2473"/>
    <w:rsid w:val="001E27E5"/>
    <w:rsid w:val="001E28A0"/>
    <w:rsid w:val="001E3FFE"/>
    <w:rsid w:val="001E4258"/>
    <w:rsid w:val="001E5140"/>
    <w:rsid w:val="001E5316"/>
    <w:rsid w:val="001E549C"/>
    <w:rsid w:val="001E5D6A"/>
    <w:rsid w:val="001E6A94"/>
    <w:rsid w:val="001E6AEC"/>
    <w:rsid w:val="001E70FB"/>
    <w:rsid w:val="001E780A"/>
    <w:rsid w:val="001F052B"/>
    <w:rsid w:val="001F0806"/>
    <w:rsid w:val="001F0D15"/>
    <w:rsid w:val="001F0FA0"/>
    <w:rsid w:val="001F1090"/>
    <w:rsid w:val="001F10D9"/>
    <w:rsid w:val="001F1349"/>
    <w:rsid w:val="001F1863"/>
    <w:rsid w:val="001F2356"/>
    <w:rsid w:val="001F2674"/>
    <w:rsid w:val="001F29E8"/>
    <w:rsid w:val="001F2A68"/>
    <w:rsid w:val="001F2C47"/>
    <w:rsid w:val="001F417B"/>
    <w:rsid w:val="001F4773"/>
    <w:rsid w:val="001F5008"/>
    <w:rsid w:val="001F56AA"/>
    <w:rsid w:val="001F57EB"/>
    <w:rsid w:val="001F58AA"/>
    <w:rsid w:val="001F5A4E"/>
    <w:rsid w:val="001F5EF6"/>
    <w:rsid w:val="001F657F"/>
    <w:rsid w:val="001F6FB6"/>
    <w:rsid w:val="001F72BB"/>
    <w:rsid w:val="001F7978"/>
    <w:rsid w:val="001F7A0E"/>
    <w:rsid w:val="001F7A4B"/>
    <w:rsid w:val="00200014"/>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0D6"/>
    <w:rsid w:val="0020632A"/>
    <w:rsid w:val="0020679B"/>
    <w:rsid w:val="0020697F"/>
    <w:rsid w:val="0020726E"/>
    <w:rsid w:val="00207389"/>
    <w:rsid w:val="00210ED1"/>
    <w:rsid w:val="002110EB"/>
    <w:rsid w:val="00211338"/>
    <w:rsid w:val="00211388"/>
    <w:rsid w:val="0021148C"/>
    <w:rsid w:val="00211694"/>
    <w:rsid w:val="002118CB"/>
    <w:rsid w:val="0021201A"/>
    <w:rsid w:val="00212545"/>
    <w:rsid w:val="002138FE"/>
    <w:rsid w:val="00213A1F"/>
    <w:rsid w:val="00213C63"/>
    <w:rsid w:val="00214111"/>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09BF"/>
    <w:rsid w:val="0022194E"/>
    <w:rsid w:val="00221A1D"/>
    <w:rsid w:val="002220B1"/>
    <w:rsid w:val="002221CE"/>
    <w:rsid w:val="00222BE8"/>
    <w:rsid w:val="00222DF6"/>
    <w:rsid w:val="00223102"/>
    <w:rsid w:val="002232CB"/>
    <w:rsid w:val="00224022"/>
    <w:rsid w:val="002254A2"/>
    <w:rsid w:val="0022600E"/>
    <w:rsid w:val="00226055"/>
    <w:rsid w:val="0022609C"/>
    <w:rsid w:val="0022613F"/>
    <w:rsid w:val="0022614F"/>
    <w:rsid w:val="00226236"/>
    <w:rsid w:val="002266AF"/>
    <w:rsid w:val="00226CA9"/>
    <w:rsid w:val="00226D90"/>
    <w:rsid w:val="002270C9"/>
    <w:rsid w:val="00227A8B"/>
    <w:rsid w:val="0023146B"/>
    <w:rsid w:val="002315A0"/>
    <w:rsid w:val="00231748"/>
    <w:rsid w:val="00231DCC"/>
    <w:rsid w:val="00231EC7"/>
    <w:rsid w:val="002327D9"/>
    <w:rsid w:val="00232E15"/>
    <w:rsid w:val="00233079"/>
    <w:rsid w:val="002335A4"/>
    <w:rsid w:val="0023382C"/>
    <w:rsid w:val="00233977"/>
    <w:rsid w:val="00233C58"/>
    <w:rsid w:val="00233C71"/>
    <w:rsid w:val="002345B6"/>
    <w:rsid w:val="002347A6"/>
    <w:rsid w:val="00234B84"/>
    <w:rsid w:val="00236016"/>
    <w:rsid w:val="00236D01"/>
    <w:rsid w:val="00237065"/>
    <w:rsid w:val="00237589"/>
    <w:rsid w:val="0023758D"/>
    <w:rsid w:val="002375A7"/>
    <w:rsid w:val="00237F82"/>
    <w:rsid w:val="0024019A"/>
    <w:rsid w:val="00240EC1"/>
    <w:rsid w:val="0024120F"/>
    <w:rsid w:val="0024131D"/>
    <w:rsid w:val="002415B8"/>
    <w:rsid w:val="00241782"/>
    <w:rsid w:val="00241B82"/>
    <w:rsid w:val="0024222F"/>
    <w:rsid w:val="0024296E"/>
    <w:rsid w:val="00242D5F"/>
    <w:rsid w:val="00242D62"/>
    <w:rsid w:val="002430D0"/>
    <w:rsid w:val="002431D7"/>
    <w:rsid w:val="00243988"/>
    <w:rsid w:val="00244058"/>
    <w:rsid w:val="0024413E"/>
    <w:rsid w:val="00245718"/>
    <w:rsid w:val="002457E9"/>
    <w:rsid w:val="00245E07"/>
    <w:rsid w:val="0024665E"/>
    <w:rsid w:val="002468D3"/>
    <w:rsid w:val="00247712"/>
    <w:rsid w:val="00250A9E"/>
    <w:rsid w:val="00250EC6"/>
    <w:rsid w:val="002515C7"/>
    <w:rsid w:val="00251866"/>
    <w:rsid w:val="00251A9F"/>
    <w:rsid w:val="00252492"/>
    <w:rsid w:val="00252A19"/>
    <w:rsid w:val="00252B35"/>
    <w:rsid w:val="00253070"/>
    <w:rsid w:val="0025316D"/>
    <w:rsid w:val="00253A02"/>
    <w:rsid w:val="00253B81"/>
    <w:rsid w:val="0025460E"/>
    <w:rsid w:val="00254AE9"/>
    <w:rsid w:val="002554DE"/>
    <w:rsid w:val="00255575"/>
    <w:rsid w:val="00255E11"/>
    <w:rsid w:val="002564B7"/>
    <w:rsid w:val="00256835"/>
    <w:rsid w:val="002569F0"/>
    <w:rsid w:val="00256C01"/>
    <w:rsid w:val="00256E1A"/>
    <w:rsid w:val="00256ECF"/>
    <w:rsid w:val="00257730"/>
    <w:rsid w:val="00257999"/>
    <w:rsid w:val="002604AA"/>
    <w:rsid w:val="002609B9"/>
    <w:rsid w:val="0026129B"/>
    <w:rsid w:val="00261560"/>
    <w:rsid w:val="00261715"/>
    <w:rsid w:val="002618F8"/>
    <w:rsid w:val="00261A75"/>
    <w:rsid w:val="00261CF9"/>
    <w:rsid w:val="00261EC0"/>
    <w:rsid w:val="0026231B"/>
    <w:rsid w:val="00263101"/>
    <w:rsid w:val="002631D1"/>
    <w:rsid w:val="00263201"/>
    <w:rsid w:val="00263A18"/>
    <w:rsid w:val="00263A37"/>
    <w:rsid w:val="00263D51"/>
    <w:rsid w:val="00264266"/>
    <w:rsid w:val="0026471F"/>
    <w:rsid w:val="0026480D"/>
    <w:rsid w:val="002653A6"/>
    <w:rsid w:val="002661F1"/>
    <w:rsid w:val="00266316"/>
    <w:rsid w:val="00266DB3"/>
    <w:rsid w:val="00266DB6"/>
    <w:rsid w:val="002675DE"/>
    <w:rsid w:val="00267AFC"/>
    <w:rsid w:val="002711A4"/>
    <w:rsid w:val="00271230"/>
    <w:rsid w:val="00271F13"/>
    <w:rsid w:val="00272945"/>
    <w:rsid w:val="00272E89"/>
    <w:rsid w:val="00274241"/>
    <w:rsid w:val="002742D0"/>
    <w:rsid w:val="0027482E"/>
    <w:rsid w:val="002748F1"/>
    <w:rsid w:val="00274DB5"/>
    <w:rsid w:val="00274E1C"/>
    <w:rsid w:val="0027591B"/>
    <w:rsid w:val="00275BB1"/>
    <w:rsid w:val="00276EF7"/>
    <w:rsid w:val="00277419"/>
    <w:rsid w:val="0027770B"/>
    <w:rsid w:val="00277933"/>
    <w:rsid w:val="00277A99"/>
    <w:rsid w:val="00277F8D"/>
    <w:rsid w:val="00277FA7"/>
    <w:rsid w:val="00280046"/>
    <w:rsid w:val="00280B4F"/>
    <w:rsid w:val="00280F3D"/>
    <w:rsid w:val="0028106A"/>
    <w:rsid w:val="0028140B"/>
    <w:rsid w:val="00281EB4"/>
    <w:rsid w:val="00282E03"/>
    <w:rsid w:val="0028308E"/>
    <w:rsid w:val="002834E9"/>
    <w:rsid w:val="002837BA"/>
    <w:rsid w:val="00283A52"/>
    <w:rsid w:val="00283C5E"/>
    <w:rsid w:val="00283E26"/>
    <w:rsid w:val="0028428F"/>
    <w:rsid w:val="00284645"/>
    <w:rsid w:val="00284BE3"/>
    <w:rsid w:val="00284CFC"/>
    <w:rsid w:val="00284D26"/>
    <w:rsid w:val="00285832"/>
    <w:rsid w:val="00285969"/>
    <w:rsid w:val="0028599C"/>
    <w:rsid w:val="00285DE7"/>
    <w:rsid w:val="0028663B"/>
    <w:rsid w:val="00286CEC"/>
    <w:rsid w:val="00286F17"/>
    <w:rsid w:val="002870F9"/>
    <w:rsid w:val="002871A9"/>
    <w:rsid w:val="00287505"/>
    <w:rsid w:val="00287681"/>
    <w:rsid w:val="00287BDB"/>
    <w:rsid w:val="00290781"/>
    <w:rsid w:val="00291784"/>
    <w:rsid w:val="002920DF"/>
    <w:rsid w:val="002921DD"/>
    <w:rsid w:val="002928A3"/>
    <w:rsid w:val="002929BB"/>
    <w:rsid w:val="00293555"/>
    <w:rsid w:val="0029394F"/>
    <w:rsid w:val="00294368"/>
    <w:rsid w:val="00294B78"/>
    <w:rsid w:val="00295416"/>
    <w:rsid w:val="00295949"/>
    <w:rsid w:val="00295D7C"/>
    <w:rsid w:val="0029624A"/>
    <w:rsid w:val="00296922"/>
    <w:rsid w:val="00296F8A"/>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4116"/>
    <w:rsid w:val="002A4736"/>
    <w:rsid w:val="002A4B1C"/>
    <w:rsid w:val="002A544F"/>
    <w:rsid w:val="002A55FE"/>
    <w:rsid w:val="002A5767"/>
    <w:rsid w:val="002A625C"/>
    <w:rsid w:val="002A65D9"/>
    <w:rsid w:val="002A6AFB"/>
    <w:rsid w:val="002A733D"/>
    <w:rsid w:val="002A774A"/>
    <w:rsid w:val="002A7840"/>
    <w:rsid w:val="002A78F3"/>
    <w:rsid w:val="002A7D84"/>
    <w:rsid w:val="002A7E5C"/>
    <w:rsid w:val="002A7F6D"/>
    <w:rsid w:val="002B0D83"/>
    <w:rsid w:val="002B1342"/>
    <w:rsid w:val="002B1F83"/>
    <w:rsid w:val="002B21A8"/>
    <w:rsid w:val="002B27C8"/>
    <w:rsid w:val="002B2A7F"/>
    <w:rsid w:val="002B330B"/>
    <w:rsid w:val="002B39BE"/>
    <w:rsid w:val="002B438C"/>
    <w:rsid w:val="002B48DB"/>
    <w:rsid w:val="002B4B34"/>
    <w:rsid w:val="002B4D46"/>
    <w:rsid w:val="002B541A"/>
    <w:rsid w:val="002B5EAB"/>
    <w:rsid w:val="002B5F2E"/>
    <w:rsid w:val="002B6407"/>
    <w:rsid w:val="002B6416"/>
    <w:rsid w:val="002B6459"/>
    <w:rsid w:val="002B6782"/>
    <w:rsid w:val="002B6F22"/>
    <w:rsid w:val="002B7014"/>
    <w:rsid w:val="002B73B0"/>
    <w:rsid w:val="002B7DAB"/>
    <w:rsid w:val="002C24B4"/>
    <w:rsid w:val="002C25FF"/>
    <w:rsid w:val="002C2B3A"/>
    <w:rsid w:val="002C2B87"/>
    <w:rsid w:val="002C3CF4"/>
    <w:rsid w:val="002C441A"/>
    <w:rsid w:val="002C4A73"/>
    <w:rsid w:val="002C4B84"/>
    <w:rsid w:val="002C4C0C"/>
    <w:rsid w:val="002C5016"/>
    <w:rsid w:val="002C5C2F"/>
    <w:rsid w:val="002C5D0F"/>
    <w:rsid w:val="002C60B9"/>
    <w:rsid w:val="002C63F1"/>
    <w:rsid w:val="002C6F77"/>
    <w:rsid w:val="002C704D"/>
    <w:rsid w:val="002C7DC7"/>
    <w:rsid w:val="002D033F"/>
    <w:rsid w:val="002D0845"/>
    <w:rsid w:val="002D0933"/>
    <w:rsid w:val="002D1555"/>
    <w:rsid w:val="002D15B6"/>
    <w:rsid w:val="002D19BB"/>
    <w:rsid w:val="002D1A9B"/>
    <w:rsid w:val="002D1F51"/>
    <w:rsid w:val="002D20F8"/>
    <w:rsid w:val="002D22BD"/>
    <w:rsid w:val="002D22C5"/>
    <w:rsid w:val="002D2391"/>
    <w:rsid w:val="002D302A"/>
    <w:rsid w:val="002D36C6"/>
    <w:rsid w:val="002D37C1"/>
    <w:rsid w:val="002D3B77"/>
    <w:rsid w:val="002D444B"/>
    <w:rsid w:val="002D46A6"/>
    <w:rsid w:val="002D46B4"/>
    <w:rsid w:val="002D46CE"/>
    <w:rsid w:val="002D49C2"/>
    <w:rsid w:val="002D4A45"/>
    <w:rsid w:val="002D4B42"/>
    <w:rsid w:val="002D4B43"/>
    <w:rsid w:val="002D5A1B"/>
    <w:rsid w:val="002D6558"/>
    <w:rsid w:val="002D65BC"/>
    <w:rsid w:val="002D79F4"/>
    <w:rsid w:val="002E01A8"/>
    <w:rsid w:val="002E055C"/>
    <w:rsid w:val="002E1050"/>
    <w:rsid w:val="002E107E"/>
    <w:rsid w:val="002E18E5"/>
    <w:rsid w:val="002E1953"/>
    <w:rsid w:val="002E2C3F"/>
    <w:rsid w:val="002E2CB5"/>
    <w:rsid w:val="002E2D7D"/>
    <w:rsid w:val="002E32D0"/>
    <w:rsid w:val="002E3D0B"/>
    <w:rsid w:val="002E3D76"/>
    <w:rsid w:val="002E40A1"/>
    <w:rsid w:val="002E4359"/>
    <w:rsid w:val="002E48EC"/>
    <w:rsid w:val="002E4B44"/>
    <w:rsid w:val="002E4ECB"/>
    <w:rsid w:val="002E4F23"/>
    <w:rsid w:val="002E635A"/>
    <w:rsid w:val="002E68C5"/>
    <w:rsid w:val="002E6D68"/>
    <w:rsid w:val="002E7811"/>
    <w:rsid w:val="002E7847"/>
    <w:rsid w:val="002F0073"/>
    <w:rsid w:val="002F1B27"/>
    <w:rsid w:val="002F1C67"/>
    <w:rsid w:val="002F1D0B"/>
    <w:rsid w:val="002F240B"/>
    <w:rsid w:val="002F24DA"/>
    <w:rsid w:val="002F2778"/>
    <w:rsid w:val="002F2F50"/>
    <w:rsid w:val="002F33EC"/>
    <w:rsid w:val="002F34E3"/>
    <w:rsid w:val="002F3601"/>
    <w:rsid w:val="002F40E2"/>
    <w:rsid w:val="002F45F6"/>
    <w:rsid w:val="002F548E"/>
    <w:rsid w:val="002F5A6F"/>
    <w:rsid w:val="002F64BF"/>
    <w:rsid w:val="002F692F"/>
    <w:rsid w:val="002F7031"/>
    <w:rsid w:val="002F7961"/>
    <w:rsid w:val="002F7AC8"/>
    <w:rsid w:val="002F7B66"/>
    <w:rsid w:val="00300CB4"/>
    <w:rsid w:val="00300E24"/>
    <w:rsid w:val="00301009"/>
    <w:rsid w:val="00301277"/>
    <w:rsid w:val="003014E9"/>
    <w:rsid w:val="0030257B"/>
    <w:rsid w:val="003033BA"/>
    <w:rsid w:val="00303C19"/>
    <w:rsid w:val="00304321"/>
    <w:rsid w:val="003043A3"/>
    <w:rsid w:val="0030462D"/>
    <w:rsid w:val="00304BD4"/>
    <w:rsid w:val="00304E8D"/>
    <w:rsid w:val="00304F54"/>
    <w:rsid w:val="0030500A"/>
    <w:rsid w:val="003052EB"/>
    <w:rsid w:val="00305FCB"/>
    <w:rsid w:val="0030602B"/>
    <w:rsid w:val="003063C3"/>
    <w:rsid w:val="003069DC"/>
    <w:rsid w:val="00306A13"/>
    <w:rsid w:val="00306B44"/>
    <w:rsid w:val="00307C44"/>
    <w:rsid w:val="00310217"/>
    <w:rsid w:val="0031040A"/>
    <w:rsid w:val="0031088E"/>
    <w:rsid w:val="00310D01"/>
    <w:rsid w:val="00310F1E"/>
    <w:rsid w:val="00311376"/>
    <w:rsid w:val="00311A1F"/>
    <w:rsid w:val="00311B47"/>
    <w:rsid w:val="00311D52"/>
    <w:rsid w:val="00312190"/>
    <w:rsid w:val="003122C6"/>
    <w:rsid w:val="00312488"/>
    <w:rsid w:val="003125E0"/>
    <w:rsid w:val="0031271D"/>
    <w:rsid w:val="003132BB"/>
    <w:rsid w:val="00313337"/>
    <w:rsid w:val="00313447"/>
    <w:rsid w:val="00313748"/>
    <w:rsid w:val="00313EA3"/>
    <w:rsid w:val="003151FE"/>
    <w:rsid w:val="003151FF"/>
    <w:rsid w:val="00315365"/>
    <w:rsid w:val="00315457"/>
    <w:rsid w:val="003161A4"/>
    <w:rsid w:val="00316955"/>
    <w:rsid w:val="0031713F"/>
    <w:rsid w:val="0031720A"/>
    <w:rsid w:val="0031748A"/>
    <w:rsid w:val="0031749B"/>
    <w:rsid w:val="003174E5"/>
    <w:rsid w:val="00317C9D"/>
    <w:rsid w:val="00317CD2"/>
    <w:rsid w:val="00317D99"/>
    <w:rsid w:val="00320308"/>
    <w:rsid w:val="003203BC"/>
    <w:rsid w:val="0032078D"/>
    <w:rsid w:val="00320ADF"/>
    <w:rsid w:val="0032137B"/>
    <w:rsid w:val="00321A70"/>
    <w:rsid w:val="00321BD6"/>
    <w:rsid w:val="00321FA3"/>
    <w:rsid w:val="003227D3"/>
    <w:rsid w:val="00322937"/>
    <w:rsid w:val="00323881"/>
    <w:rsid w:val="00323C99"/>
    <w:rsid w:val="00324885"/>
    <w:rsid w:val="003251A8"/>
    <w:rsid w:val="003254B1"/>
    <w:rsid w:val="00325AD9"/>
    <w:rsid w:val="00325D98"/>
    <w:rsid w:val="0032682A"/>
    <w:rsid w:val="00327509"/>
    <w:rsid w:val="00327A5C"/>
    <w:rsid w:val="003305BD"/>
    <w:rsid w:val="0033092C"/>
    <w:rsid w:val="0033122A"/>
    <w:rsid w:val="003315AC"/>
    <w:rsid w:val="00331932"/>
    <w:rsid w:val="00331F74"/>
    <w:rsid w:val="00332382"/>
    <w:rsid w:val="00332453"/>
    <w:rsid w:val="0033251B"/>
    <w:rsid w:val="00333A88"/>
    <w:rsid w:val="00334BC6"/>
    <w:rsid w:val="00335245"/>
    <w:rsid w:val="00335B15"/>
    <w:rsid w:val="00335B21"/>
    <w:rsid w:val="00335D3F"/>
    <w:rsid w:val="00336104"/>
    <w:rsid w:val="00336729"/>
    <w:rsid w:val="00336903"/>
    <w:rsid w:val="003369C4"/>
    <w:rsid w:val="00336CD9"/>
    <w:rsid w:val="0033726D"/>
    <w:rsid w:val="00337CA8"/>
    <w:rsid w:val="00337DD1"/>
    <w:rsid w:val="00340488"/>
    <w:rsid w:val="00340610"/>
    <w:rsid w:val="00340D3F"/>
    <w:rsid w:val="0034174B"/>
    <w:rsid w:val="0034177C"/>
    <w:rsid w:val="003420E9"/>
    <w:rsid w:val="00342345"/>
    <w:rsid w:val="00342A38"/>
    <w:rsid w:val="00342C27"/>
    <w:rsid w:val="003430C8"/>
    <w:rsid w:val="003432C8"/>
    <w:rsid w:val="003434B3"/>
    <w:rsid w:val="00343536"/>
    <w:rsid w:val="00343EFB"/>
    <w:rsid w:val="003440CA"/>
    <w:rsid w:val="00344470"/>
    <w:rsid w:val="00344760"/>
    <w:rsid w:val="003454E8"/>
    <w:rsid w:val="00345574"/>
    <w:rsid w:val="00345965"/>
    <w:rsid w:val="0034680A"/>
    <w:rsid w:val="00346C62"/>
    <w:rsid w:val="00347202"/>
    <w:rsid w:val="0034778E"/>
    <w:rsid w:val="003478DE"/>
    <w:rsid w:val="00347A5A"/>
    <w:rsid w:val="003501E2"/>
    <w:rsid w:val="003512C0"/>
    <w:rsid w:val="00351E10"/>
    <w:rsid w:val="00352D3D"/>
    <w:rsid w:val="003533F4"/>
    <w:rsid w:val="003536F6"/>
    <w:rsid w:val="00353830"/>
    <w:rsid w:val="00353DA7"/>
    <w:rsid w:val="00353DD5"/>
    <w:rsid w:val="00353F36"/>
    <w:rsid w:val="0035473F"/>
    <w:rsid w:val="00355131"/>
    <w:rsid w:val="00355F74"/>
    <w:rsid w:val="003560DB"/>
    <w:rsid w:val="003564DB"/>
    <w:rsid w:val="00356783"/>
    <w:rsid w:val="00356F87"/>
    <w:rsid w:val="00357E83"/>
    <w:rsid w:val="00360CF3"/>
    <w:rsid w:val="0036169A"/>
    <w:rsid w:val="00361A59"/>
    <w:rsid w:val="00363348"/>
    <w:rsid w:val="00363857"/>
    <w:rsid w:val="00363BAB"/>
    <w:rsid w:val="00363D59"/>
    <w:rsid w:val="00363F08"/>
    <w:rsid w:val="003640F7"/>
    <w:rsid w:val="00364BEE"/>
    <w:rsid w:val="00364C49"/>
    <w:rsid w:val="00365343"/>
    <w:rsid w:val="003658F2"/>
    <w:rsid w:val="0036594A"/>
    <w:rsid w:val="00365D3A"/>
    <w:rsid w:val="003664FF"/>
    <w:rsid w:val="00366918"/>
    <w:rsid w:val="00366BD2"/>
    <w:rsid w:val="003670B8"/>
    <w:rsid w:val="003704A3"/>
    <w:rsid w:val="003706F2"/>
    <w:rsid w:val="003709E8"/>
    <w:rsid w:val="0037124F"/>
    <w:rsid w:val="00373827"/>
    <w:rsid w:val="0037401C"/>
    <w:rsid w:val="0037507B"/>
    <w:rsid w:val="00375C7C"/>
    <w:rsid w:val="0037624F"/>
    <w:rsid w:val="003768C3"/>
    <w:rsid w:val="00376AA4"/>
    <w:rsid w:val="00377027"/>
    <w:rsid w:val="00377135"/>
    <w:rsid w:val="00380272"/>
    <w:rsid w:val="003805DB"/>
    <w:rsid w:val="0038152A"/>
    <w:rsid w:val="0038245D"/>
    <w:rsid w:val="00382BAD"/>
    <w:rsid w:val="003835FD"/>
    <w:rsid w:val="00383EDF"/>
    <w:rsid w:val="00384C5E"/>
    <w:rsid w:val="00384DF1"/>
    <w:rsid w:val="00384FF3"/>
    <w:rsid w:val="003850A8"/>
    <w:rsid w:val="00386456"/>
    <w:rsid w:val="003865A9"/>
    <w:rsid w:val="00386E3C"/>
    <w:rsid w:val="003901E1"/>
    <w:rsid w:val="0039092B"/>
    <w:rsid w:val="00390BD9"/>
    <w:rsid w:val="00390F32"/>
    <w:rsid w:val="0039135E"/>
    <w:rsid w:val="00392067"/>
    <w:rsid w:val="0039285D"/>
    <w:rsid w:val="0039319C"/>
    <w:rsid w:val="003934A5"/>
    <w:rsid w:val="00393577"/>
    <w:rsid w:val="00393CAE"/>
    <w:rsid w:val="00393DE9"/>
    <w:rsid w:val="003945F4"/>
    <w:rsid w:val="00394EB5"/>
    <w:rsid w:val="003953B4"/>
    <w:rsid w:val="00395644"/>
    <w:rsid w:val="0039615F"/>
    <w:rsid w:val="0039643C"/>
    <w:rsid w:val="003966A0"/>
    <w:rsid w:val="00396A29"/>
    <w:rsid w:val="00397FF0"/>
    <w:rsid w:val="003A0856"/>
    <w:rsid w:val="003A0878"/>
    <w:rsid w:val="003A0FEF"/>
    <w:rsid w:val="003A1561"/>
    <w:rsid w:val="003A174E"/>
    <w:rsid w:val="003A1D25"/>
    <w:rsid w:val="003A22A2"/>
    <w:rsid w:val="003A2447"/>
    <w:rsid w:val="003A2AA1"/>
    <w:rsid w:val="003A31A5"/>
    <w:rsid w:val="003A329A"/>
    <w:rsid w:val="003A3603"/>
    <w:rsid w:val="003A3851"/>
    <w:rsid w:val="003A39DD"/>
    <w:rsid w:val="003A40DB"/>
    <w:rsid w:val="003A4199"/>
    <w:rsid w:val="003A41C5"/>
    <w:rsid w:val="003A48D4"/>
    <w:rsid w:val="003A4A8E"/>
    <w:rsid w:val="003A4C8E"/>
    <w:rsid w:val="003A5159"/>
    <w:rsid w:val="003A563C"/>
    <w:rsid w:val="003A581E"/>
    <w:rsid w:val="003A5E7E"/>
    <w:rsid w:val="003A6160"/>
    <w:rsid w:val="003A65A5"/>
    <w:rsid w:val="003A65AC"/>
    <w:rsid w:val="003A72F5"/>
    <w:rsid w:val="003A78E5"/>
    <w:rsid w:val="003B0341"/>
    <w:rsid w:val="003B15F3"/>
    <w:rsid w:val="003B1961"/>
    <w:rsid w:val="003B1E57"/>
    <w:rsid w:val="003B1E5C"/>
    <w:rsid w:val="003B2EF3"/>
    <w:rsid w:val="003B48C4"/>
    <w:rsid w:val="003B4A9F"/>
    <w:rsid w:val="003B534F"/>
    <w:rsid w:val="003B5391"/>
    <w:rsid w:val="003B58CE"/>
    <w:rsid w:val="003B5F39"/>
    <w:rsid w:val="003B65D7"/>
    <w:rsid w:val="003B65E0"/>
    <w:rsid w:val="003B6BD4"/>
    <w:rsid w:val="003B6DB4"/>
    <w:rsid w:val="003B6F4D"/>
    <w:rsid w:val="003B6FE7"/>
    <w:rsid w:val="003B7B2B"/>
    <w:rsid w:val="003C0491"/>
    <w:rsid w:val="003C0C0F"/>
    <w:rsid w:val="003C0D1F"/>
    <w:rsid w:val="003C116A"/>
    <w:rsid w:val="003C1AF4"/>
    <w:rsid w:val="003C1C37"/>
    <w:rsid w:val="003C1CB8"/>
    <w:rsid w:val="003C22DA"/>
    <w:rsid w:val="003C2550"/>
    <w:rsid w:val="003C287F"/>
    <w:rsid w:val="003C3339"/>
    <w:rsid w:val="003C3412"/>
    <w:rsid w:val="003C375A"/>
    <w:rsid w:val="003C3C9B"/>
    <w:rsid w:val="003C3E6E"/>
    <w:rsid w:val="003C4317"/>
    <w:rsid w:val="003C497A"/>
    <w:rsid w:val="003C4D9F"/>
    <w:rsid w:val="003C5247"/>
    <w:rsid w:val="003C5B02"/>
    <w:rsid w:val="003C5E8A"/>
    <w:rsid w:val="003C622C"/>
    <w:rsid w:val="003C6505"/>
    <w:rsid w:val="003C73C7"/>
    <w:rsid w:val="003C7CFB"/>
    <w:rsid w:val="003D050B"/>
    <w:rsid w:val="003D0B98"/>
    <w:rsid w:val="003D0C3C"/>
    <w:rsid w:val="003D0DE5"/>
    <w:rsid w:val="003D1351"/>
    <w:rsid w:val="003D15B3"/>
    <w:rsid w:val="003D218F"/>
    <w:rsid w:val="003D21C1"/>
    <w:rsid w:val="003D2893"/>
    <w:rsid w:val="003D3B15"/>
    <w:rsid w:val="003D3B2E"/>
    <w:rsid w:val="003D3F28"/>
    <w:rsid w:val="003D4101"/>
    <w:rsid w:val="003D484D"/>
    <w:rsid w:val="003D4875"/>
    <w:rsid w:val="003D49CB"/>
    <w:rsid w:val="003D4BB9"/>
    <w:rsid w:val="003D5F10"/>
    <w:rsid w:val="003D6B8F"/>
    <w:rsid w:val="003D7566"/>
    <w:rsid w:val="003E0224"/>
    <w:rsid w:val="003E09BB"/>
    <w:rsid w:val="003E13D2"/>
    <w:rsid w:val="003E159D"/>
    <w:rsid w:val="003E20EA"/>
    <w:rsid w:val="003E210C"/>
    <w:rsid w:val="003E2780"/>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387"/>
    <w:rsid w:val="003E6AB6"/>
    <w:rsid w:val="003E6E0B"/>
    <w:rsid w:val="003E71CD"/>
    <w:rsid w:val="003E75D7"/>
    <w:rsid w:val="003E78DA"/>
    <w:rsid w:val="003E7A8B"/>
    <w:rsid w:val="003F060E"/>
    <w:rsid w:val="003F0F7F"/>
    <w:rsid w:val="003F115C"/>
    <w:rsid w:val="003F153A"/>
    <w:rsid w:val="003F2B2F"/>
    <w:rsid w:val="003F2C86"/>
    <w:rsid w:val="003F2E0D"/>
    <w:rsid w:val="003F300D"/>
    <w:rsid w:val="003F391F"/>
    <w:rsid w:val="003F4599"/>
    <w:rsid w:val="003F45E1"/>
    <w:rsid w:val="003F4F6C"/>
    <w:rsid w:val="003F5353"/>
    <w:rsid w:val="003F5360"/>
    <w:rsid w:val="003F559E"/>
    <w:rsid w:val="003F6181"/>
    <w:rsid w:val="003F6998"/>
    <w:rsid w:val="003F6BFC"/>
    <w:rsid w:val="003F72C1"/>
    <w:rsid w:val="003F7343"/>
    <w:rsid w:val="00400002"/>
    <w:rsid w:val="00400054"/>
    <w:rsid w:val="004016A3"/>
    <w:rsid w:val="00401B31"/>
    <w:rsid w:val="00401C0D"/>
    <w:rsid w:val="0040202B"/>
    <w:rsid w:val="0040219D"/>
    <w:rsid w:val="00402DE1"/>
    <w:rsid w:val="00402EEB"/>
    <w:rsid w:val="004037C2"/>
    <w:rsid w:val="00403AC3"/>
    <w:rsid w:val="00404041"/>
    <w:rsid w:val="004040D4"/>
    <w:rsid w:val="00404B43"/>
    <w:rsid w:val="00404C61"/>
    <w:rsid w:val="00405487"/>
    <w:rsid w:val="00405B8A"/>
    <w:rsid w:val="0040602B"/>
    <w:rsid w:val="0040606C"/>
    <w:rsid w:val="004060DC"/>
    <w:rsid w:val="004069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A96"/>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DCA"/>
    <w:rsid w:val="00423D04"/>
    <w:rsid w:val="00423F9F"/>
    <w:rsid w:val="00425C43"/>
    <w:rsid w:val="004273DD"/>
    <w:rsid w:val="004273FA"/>
    <w:rsid w:val="004275A7"/>
    <w:rsid w:val="00430186"/>
    <w:rsid w:val="00430F17"/>
    <w:rsid w:val="00431CC7"/>
    <w:rsid w:val="0043260C"/>
    <w:rsid w:val="0043269A"/>
    <w:rsid w:val="00432E92"/>
    <w:rsid w:val="004333C2"/>
    <w:rsid w:val="00433AA8"/>
    <w:rsid w:val="00434764"/>
    <w:rsid w:val="00434787"/>
    <w:rsid w:val="00434C13"/>
    <w:rsid w:val="00434D8B"/>
    <w:rsid w:val="00435294"/>
    <w:rsid w:val="00435703"/>
    <w:rsid w:val="00435BD5"/>
    <w:rsid w:val="00436323"/>
    <w:rsid w:val="0043683F"/>
    <w:rsid w:val="00436F40"/>
    <w:rsid w:val="004370FA"/>
    <w:rsid w:val="00437D11"/>
    <w:rsid w:val="00440096"/>
    <w:rsid w:val="004403DD"/>
    <w:rsid w:val="00440CF3"/>
    <w:rsid w:val="00440DB0"/>
    <w:rsid w:val="00440DBA"/>
    <w:rsid w:val="00440DDC"/>
    <w:rsid w:val="00440FAD"/>
    <w:rsid w:val="00441291"/>
    <w:rsid w:val="00441E04"/>
    <w:rsid w:val="00441FE9"/>
    <w:rsid w:val="004420AB"/>
    <w:rsid w:val="004422D6"/>
    <w:rsid w:val="004427AC"/>
    <w:rsid w:val="00442C7D"/>
    <w:rsid w:val="00442D13"/>
    <w:rsid w:val="00442D4D"/>
    <w:rsid w:val="0044361F"/>
    <w:rsid w:val="0044374D"/>
    <w:rsid w:val="004437D2"/>
    <w:rsid w:val="00443B55"/>
    <w:rsid w:val="00443D27"/>
    <w:rsid w:val="0044418E"/>
    <w:rsid w:val="0044500B"/>
    <w:rsid w:val="004451C5"/>
    <w:rsid w:val="00446037"/>
    <w:rsid w:val="00446270"/>
    <w:rsid w:val="0044642F"/>
    <w:rsid w:val="00446C9E"/>
    <w:rsid w:val="0044772C"/>
    <w:rsid w:val="00450846"/>
    <w:rsid w:val="00451A52"/>
    <w:rsid w:val="00451D65"/>
    <w:rsid w:val="0045271D"/>
    <w:rsid w:val="00452755"/>
    <w:rsid w:val="00452803"/>
    <w:rsid w:val="004529C6"/>
    <w:rsid w:val="00452EAD"/>
    <w:rsid w:val="004533D1"/>
    <w:rsid w:val="004534D1"/>
    <w:rsid w:val="004540B8"/>
    <w:rsid w:val="00454548"/>
    <w:rsid w:val="00454717"/>
    <w:rsid w:val="00454914"/>
    <w:rsid w:val="00454C0F"/>
    <w:rsid w:val="00454DF8"/>
    <w:rsid w:val="00455004"/>
    <w:rsid w:val="00455047"/>
    <w:rsid w:val="00455053"/>
    <w:rsid w:val="00455354"/>
    <w:rsid w:val="0045558D"/>
    <w:rsid w:val="0045572F"/>
    <w:rsid w:val="00455BD3"/>
    <w:rsid w:val="004567DA"/>
    <w:rsid w:val="00456970"/>
    <w:rsid w:val="00456BB1"/>
    <w:rsid w:val="00456CD4"/>
    <w:rsid w:val="00456DA2"/>
    <w:rsid w:val="00456DDB"/>
    <w:rsid w:val="00456E61"/>
    <w:rsid w:val="00457031"/>
    <w:rsid w:val="004575F9"/>
    <w:rsid w:val="00457C10"/>
    <w:rsid w:val="004600A9"/>
    <w:rsid w:val="00460915"/>
    <w:rsid w:val="00460946"/>
    <w:rsid w:val="0046122F"/>
    <w:rsid w:val="004613BE"/>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42D"/>
    <w:rsid w:val="00465677"/>
    <w:rsid w:val="00466616"/>
    <w:rsid w:val="00466A0C"/>
    <w:rsid w:val="00466A53"/>
    <w:rsid w:val="00467854"/>
    <w:rsid w:val="00467B96"/>
    <w:rsid w:val="00470A6A"/>
    <w:rsid w:val="00470D73"/>
    <w:rsid w:val="00470D92"/>
    <w:rsid w:val="00471DF7"/>
    <w:rsid w:val="004734CF"/>
    <w:rsid w:val="00473957"/>
    <w:rsid w:val="00473F33"/>
    <w:rsid w:val="004743A5"/>
    <w:rsid w:val="00474B50"/>
    <w:rsid w:val="0047586C"/>
    <w:rsid w:val="00475C5A"/>
    <w:rsid w:val="00475C9C"/>
    <w:rsid w:val="004760BF"/>
    <w:rsid w:val="0047676B"/>
    <w:rsid w:val="00476A68"/>
    <w:rsid w:val="0047773C"/>
    <w:rsid w:val="00477C5F"/>
    <w:rsid w:val="00477CD2"/>
    <w:rsid w:val="00480050"/>
    <w:rsid w:val="0048011C"/>
    <w:rsid w:val="004808DE"/>
    <w:rsid w:val="00480F9A"/>
    <w:rsid w:val="004817DD"/>
    <w:rsid w:val="00481912"/>
    <w:rsid w:val="00481AC4"/>
    <w:rsid w:val="00481DC1"/>
    <w:rsid w:val="004820F1"/>
    <w:rsid w:val="00482507"/>
    <w:rsid w:val="0048268A"/>
    <w:rsid w:val="00482A64"/>
    <w:rsid w:val="004835CA"/>
    <w:rsid w:val="004836F8"/>
    <w:rsid w:val="004836FE"/>
    <w:rsid w:val="00483822"/>
    <w:rsid w:val="00484A39"/>
    <w:rsid w:val="00484A58"/>
    <w:rsid w:val="00484F0F"/>
    <w:rsid w:val="00484F40"/>
    <w:rsid w:val="0048540C"/>
    <w:rsid w:val="004861B4"/>
    <w:rsid w:val="00486226"/>
    <w:rsid w:val="00486BD0"/>
    <w:rsid w:val="00486D00"/>
    <w:rsid w:val="00486FF7"/>
    <w:rsid w:val="00487263"/>
    <w:rsid w:val="0048734F"/>
    <w:rsid w:val="0049029D"/>
    <w:rsid w:val="0049030C"/>
    <w:rsid w:val="004903C0"/>
    <w:rsid w:val="004903C5"/>
    <w:rsid w:val="0049114B"/>
    <w:rsid w:val="004912A8"/>
    <w:rsid w:val="00491577"/>
    <w:rsid w:val="004918E1"/>
    <w:rsid w:val="0049196A"/>
    <w:rsid w:val="0049196E"/>
    <w:rsid w:val="0049241A"/>
    <w:rsid w:val="00492766"/>
    <w:rsid w:val="00492844"/>
    <w:rsid w:val="00492C1F"/>
    <w:rsid w:val="00492E4C"/>
    <w:rsid w:val="00493664"/>
    <w:rsid w:val="004938FD"/>
    <w:rsid w:val="00493E04"/>
    <w:rsid w:val="004940E3"/>
    <w:rsid w:val="0049530F"/>
    <w:rsid w:val="004965AD"/>
    <w:rsid w:val="00496664"/>
    <w:rsid w:val="00496786"/>
    <w:rsid w:val="004968AE"/>
    <w:rsid w:val="0049695B"/>
    <w:rsid w:val="00496D8F"/>
    <w:rsid w:val="00497463"/>
    <w:rsid w:val="004A0200"/>
    <w:rsid w:val="004A054C"/>
    <w:rsid w:val="004A0821"/>
    <w:rsid w:val="004A08D1"/>
    <w:rsid w:val="004A16C1"/>
    <w:rsid w:val="004A1BC6"/>
    <w:rsid w:val="004A1CE2"/>
    <w:rsid w:val="004A244A"/>
    <w:rsid w:val="004A34D2"/>
    <w:rsid w:val="004A4301"/>
    <w:rsid w:val="004A4D93"/>
    <w:rsid w:val="004A546E"/>
    <w:rsid w:val="004A58EE"/>
    <w:rsid w:val="004A59B7"/>
    <w:rsid w:val="004A6051"/>
    <w:rsid w:val="004A623B"/>
    <w:rsid w:val="004A6264"/>
    <w:rsid w:val="004A6A04"/>
    <w:rsid w:val="004A6A52"/>
    <w:rsid w:val="004A7617"/>
    <w:rsid w:val="004B01EA"/>
    <w:rsid w:val="004B0A44"/>
    <w:rsid w:val="004B0F0B"/>
    <w:rsid w:val="004B205A"/>
    <w:rsid w:val="004B2197"/>
    <w:rsid w:val="004B298A"/>
    <w:rsid w:val="004B2AD4"/>
    <w:rsid w:val="004B2BB8"/>
    <w:rsid w:val="004B2BBB"/>
    <w:rsid w:val="004B3043"/>
    <w:rsid w:val="004B46E0"/>
    <w:rsid w:val="004B50CB"/>
    <w:rsid w:val="004B578D"/>
    <w:rsid w:val="004B5BE7"/>
    <w:rsid w:val="004B5E2D"/>
    <w:rsid w:val="004B60AD"/>
    <w:rsid w:val="004B6BC0"/>
    <w:rsid w:val="004B6C07"/>
    <w:rsid w:val="004B729B"/>
    <w:rsid w:val="004B74D3"/>
    <w:rsid w:val="004B755E"/>
    <w:rsid w:val="004B788E"/>
    <w:rsid w:val="004B78D2"/>
    <w:rsid w:val="004B7E5D"/>
    <w:rsid w:val="004C1198"/>
    <w:rsid w:val="004C22F7"/>
    <w:rsid w:val="004C2A97"/>
    <w:rsid w:val="004C2B27"/>
    <w:rsid w:val="004C3929"/>
    <w:rsid w:val="004C4160"/>
    <w:rsid w:val="004C4828"/>
    <w:rsid w:val="004C5212"/>
    <w:rsid w:val="004C572E"/>
    <w:rsid w:val="004C5EF0"/>
    <w:rsid w:val="004C64C9"/>
    <w:rsid w:val="004C6C0B"/>
    <w:rsid w:val="004C7226"/>
    <w:rsid w:val="004C74C9"/>
    <w:rsid w:val="004C7596"/>
    <w:rsid w:val="004C7915"/>
    <w:rsid w:val="004C7D70"/>
    <w:rsid w:val="004D02F9"/>
    <w:rsid w:val="004D03FE"/>
    <w:rsid w:val="004D0446"/>
    <w:rsid w:val="004D04C4"/>
    <w:rsid w:val="004D06A3"/>
    <w:rsid w:val="004D0F95"/>
    <w:rsid w:val="004D106A"/>
    <w:rsid w:val="004D139C"/>
    <w:rsid w:val="004D1449"/>
    <w:rsid w:val="004D19C5"/>
    <w:rsid w:val="004D1C0C"/>
    <w:rsid w:val="004D1C7E"/>
    <w:rsid w:val="004D245A"/>
    <w:rsid w:val="004D31EE"/>
    <w:rsid w:val="004D36AF"/>
    <w:rsid w:val="004D3A22"/>
    <w:rsid w:val="004D3BD1"/>
    <w:rsid w:val="004D4BA1"/>
    <w:rsid w:val="004D5562"/>
    <w:rsid w:val="004D584D"/>
    <w:rsid w:val="004D5A08"/>
    <w:rsid w:val="004D5A7E"/>
    <w:rsid w:val="004D6120"/>
    <w:rsid w:val="004D6826"/>
    <w:rsid w:val="004D7497"/>
    <w:rsid w:val="004E0126"/>
    <w:rsid w:val="004E023F"/>
    <w:rsid w:val="004E03C4"/>
    <w:rsid w:val="004E03E8"/>
    <w:rsid w:val="004E0546"/>
    <w:rsid w:val="004E0556"/>
    <w:rsid w:val="004E0742"/>
    <w:rsid w:val="004E0C64"/>
    <w:rsid w:val="004E0F6B"/>
    <w:rsid w:val="004E1545"/>
    <w:rsid w:val="004E1717"/>
    <w:rsid w:val="004E1953"/>
    <w:rsid w:val="004E1F1C"/>
    <w:rsid w:val="004E2A35"/>
    <w:rsid w:val="004E2CCF"/>
    <w:rsid w:val="004E3950"/>
    <w:rsid w:val="004E3B71"/>
    <w:rsid w:val="004E3DEC"/>
    <w:rsid w:val="004E40CE"/>
    <w:rsid w:val="004E5736"/>
    <w:rsid w:val="004E5A3C"/>
    <w:rsid w:val="004E5B36"/>
    <w:rsid w:val="004E5D5D"/>
    <w:rsid w:val="004E6045"/>
    <w:rsid w:val="004E6F43"/>
    <w:rsid w:val="004E7200"/>
    <w:rsid w:val="004E787E"/>
    <w:rsid w:val="004E7AA1"/>
    <w:rsid w:val="004F0805"/>
    <w:rsid w:val="004F0960"/>
    <w:rsid w:val="004F0A5C"/>
    <w:rsid w:val="004F1593"/>
    <w:rsid w:val="004F1596"/>
    <w:rsid w:val="004F163F"/>
    <w:rsid w:val="004F1691"/>
    <w:rsid w:val="004F18A0"/>
    <w:rsid w:val="004F1A08"/>
    <w:rsid w:val="004F29FE"/>
    <w:rsid w:val="004F2B64"/>
    <w:rsid w:val="004F31B8"/>
    <w:rsid w:val="004F375E"/>
    <w:rsid w:val="004F3764"/>
    <w:rsid w:val="004F3EEF"/>
    <w:rsid w:val="004F5180"/>
    <w:rsid w:val="004F57C9"/>
    <w:rsid w:val="004F5930"/>
    <w:rsid w:val="004F5965"/>
    <w:rsid w:val="004F5970"/>
    <w:rsid w:val="004F5ED3"/>
    <w:rsid w:val="004F5F0C"/>
    <w:rsid w:val="004F6121"/>
    <w:rsid w:val="004F6161"/>
    <w:rsid w:val="004F66BC"/>
    <w:rsid w:val="004F679A"/>
    <w:rsid w:val="004F6C26"/>
    <w:rsid w:val="004F7AC9"/>
    <w:rsid w:val="00500237"/>
    <w:rsid w:val="0050062F"/>
    <w:rsid w:val="00500CD5"/>
    <w:rsid w:val="00500E74"/>
    <w:rsid w:val="00501258"/>
    <w:rsid w:val="0050160F"/>
    <w:rsid w:val="0050281C"/>
    <w:rsid w:val="0050284E"/>
    <w:rsid w:val="0050306F"/>
    <w:rsid w:val="00503929"/>
    <w:rsid w:val="00503A17"/>
    <w:rsid w:val="00503A42"/>
    <w:rsid w:val="00503D73"/>
    <w:rsid w:val="00505892"/>
    <w:rsid w:val="00505DCB"/>
    <w:rsid w:val="005060BD"/>
    <w:rsid w:val="0050636C"/>
    <w:rsid w:val="00506415"/>
    <w:rsid w:val="0050674C"/>
    <w:rsid w:val="00507066"/>
    <w:rsid w:val="005075CA"/>
    <w:rsid w:val="00507B06"/>
    <w:rsid w:val="00507BDB"/>
    <w:rsid w:val="00507BF1"/>
    <w:rsid w:val="0051074C"/>
    <w:rsid w:val="00510DE9"/>
    <w:rsid w:val="005111E2"/>
    <w:rsid w:val="00511231"/>
    <w:rsid w:val="00511741"/>
    <w:rsid w:val="005118F4"/>
    <w:rsid w:val="00512C4F"/>
    <w:rsid w:val="00513042"/>
    <w:rsid w:val="0051334F"/>
    <w:rsid w:val="00513399"/>
    <w:rsid w:val="00513AF2"/>
    <w:rsid w:val="00514575"/>
    <w:rsid w:val="00514C03"/>
    <w:rsid w:val="00514D67"/>
    <w:rsid w:val="0051522A"/>
    <w:rsid w:val="00515515"/>
    <w:rsid w:val="00515C52"/>
    <w:rsid w:val="0051635C"/>
    <w:rsid w:val="00516C5B"/>
    <w:rsid w:val="00517612"/>
    <w:rsid w:val="00517CFB"/>
    <w:rsid w:val="00517F85"/>
    <w:rsid w:val="0052002F"/>
    <w:rsid w:val="00520235"/>
    <w:rsid w:val="00520899"/>
    <w:rsid w:val="00520922"/>
    <w:rsid w:val="005209FC"/>
    <w:rsid w:val="00520C09"/>
    <w:rsid w:val="00520DBD"/>
    <w:rsid w:val="0052116E"/>
    <w:rsid w:val="00521A30"/>
    <w:rsid w:val="00521D7C"/>
    <w:rsid w:val="00521EA7"/>
    <w:rsid w:val="005221DB"/>
    <w:rsid w:val="005224B0"/>
    <w:rsid w:val="005224E5"/>
    <w:rsid w:val="0052311A"/>
    <w:rsid w:val="00523903"/>
    <w:rsid w:val="005239B6"/>
    <w:rsid w:val="00523C45"/>
    <w:rsid w:val="00523F41"/>
    <w:rsid w:val="00524165"/>
    <w:rsid w:val="005244FC"/>
    <w:rsid w:val="00524676"/>
    <w:rsid w:val="005246E7"/>
    <w:rsid w:val="00524B08"/>
    <w:rsid w:val="00524C38"/>
    <w:rsid w:val="00524FD2"/>
    <w:rsid w:val="00525621"/>
    <w:rsid w:val="00526431"/>
    <w:rsid w:val="00527532"/>
    <w:rsid w:val="00527DEB"/>
    <w:rsid w:val="00527E57"/>
    <w:rsid w:val="00527F2C"/>
    <w:rsid w:val="00530302"/>
    <w:rsid w:val="00530405"/>
    <w:rsid w:val="00530458"/>
    <w:rsid w:val="00530522"/>
    <w:rsid w:val="005305E5"/>
    <w:rsid w:val="0053086F"/>
    <w:rsid w:val="00530CBA"/>
    <w:rsid w:val="00530F38"/>
    <w:rsid w:val="0053169A"/>
    <w:rsid w:val="00531DAB"/>
    <w:rsid w:val="00531F26"/>
    <w:rsid w:val="00532501"/>
    <w:rsid w:val="0053277C"/>
    <w:rsid w:val="005327C0"/>
    <w:rsid w:val="00533101"/>
    <w:rsid w:val="00533CA9"/>
    <w:rsid w:val="005346AD"/>
    <w:rsid w:val="00534EFB"/>
    <w:rsid w:val="00534F60"/>
    <w:rsid w:val="005357F1"/>
    <w:rsid w:val="005359BF"/>
    <w:rsid w:val="00535B2F"/>
    <w:rsid w:val="00535C73"/>
    <w:rsid w:val="00535D15"/>
    <w:rsid w:val="00535D5C"/>
    <w:rsid w:val="00536053"/>
    <w:rsid w:val="005363C6"/>
    <w:rsid w:val="005364A4"/>
    <w:rsid w:val="005369E6"/>
    <w:rsid w:val="005371AC"/>
    <w:rsid w:val="00537672"/>
    <w:rsid w:val="005376B5"/>
    <w:rsid w:val="0053772F"/>
    <w:rsid w:val="00537A70"/>
    <w:rsid w:val="00537B64"/>
    <w:rsid w:val="00537B77"/>
    <w:rsid w:val="005409BC"/>
    <w:rsid w:val="00540C4C"/>
    <w:rsid w:val="00541469"/>
    <w:rsid w:val="00541571"/>
    <w:rsid w:val="005419DA"/>
    <w:rsid w:val="00541B1F"/>
    <w:rsid w:val="0054275A"/>
    <w:rsid w:val="005428B8"/>
    <w:rsid w:val="005428BE"/>
    <w:rsid w:val="005428F2"/>
    <w:rsid w:val="00542BD7"/>
    <w:rsid w:val="00543084"/>
    <w:rsid w:val="00543538"/>
    <w:rsid w:val="00543584"/>
    <w:rsid w:val="00543A9E"/>
    <w:rsid w:val="0054413A"/>
    <w:rsid w:val="00544288"/>
    <w:rsid w:val="005446BB"/>
    <w:rsid w:val="00544CA8"/>
    <w:rsid w:val="00544DA5"/>
    <w:rsid w:val="00544F43"/>
    <w:rsid w:val="00545997"/>
    <w:rsid w:val="00545E30"/>
    <w:rsid w:val="00545EA3"/>
    <w:rsid w:val="00545FCF"/>
    <w:rsid w:val="00546C9B"/>
    <w:rsid w:val="00547378"/>
    <w:rsid w:val="00547BF6"/>
    <w:rsid w:val="00547FB3"/>
    <w:rsid w:val="00551098"/>
    <w:rsid w:val="00551598"/>
    <w:rsid w:val="0055162B"/>
    <w:rsid w:val="00551A56"/>
    <w:rsid w:val="00551BFF"/>
    <w:rsid w:val="00551D68"/>
    <w:rsid w:val="00551DFF"/>
    <w:rsid w:val="005525C9"/>
    <w:rsid w:val="00552721"/>
    <w:rsid w:val="00552B3E"/>
    <w:rsid w:val="00553A23"/>
    <w:rsid w:val="00554578"/>
    <w:rsid w:val="00554D57"/>
    <w:rsid w:val="00554F7A"/>
    <w:rsid w:val="005551AA"/>
    <w:rsid w:val="00555BCE"/>
    <w:rsid w:val="00555FFE"/>
    <w:rsid w:val="005564CA"/>
    <w:rsid w:val="005568BD"/>
    <w:rsid w:val="005568EA"/>
    <w:rsid w:val="00557140"/>
    <w:rsid w:val="0055715A"/>
    <w:rsid w:val="0055729E"/>
    <w:rsid w:val="00557984"/>
    <w:rsid w:val="00557A3F"/>
    <w:rsid w:val="00557C18"/>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1B"/>
    <w:rsid w:val="00567AB8"/>
    <w:rsid w:val="00570A26"/>
    <w:rsid w:val="00570C06"/>
    <w:rsid w:val="00570CFD"/>
    <w:rsid w:val="00571872"/>
    <w:rsid w:val="00571C02"/>
    <w:rsid w:val="0057221F"/>
    <w:rsid w:val="00572421"/>
    <w:rsid w:val="00572539"/>
    <w:rsid w:val="00573355"/>
    <w:rsid w:val="0057337D"/>
    <w:rsid w:val="00573504"/>
    <w:rsid w:val="0057355F"/>
    <w:rsid w:val="00573BA3"/>
    <w:rsid w:val="00574708"/>
    <w:rsid w:val="00574D81"/>
    <w:rsid w:val="0057545D"/>
    <w:rsid w:val="005756AA"/>
    <w:rsid w:val="00575B51"/>
    <w:rsid w:val="0057696F"/>
    <w:rsid w:val="005774FE"/>
    <w:rsid w:val="0058040C"/>
    <w:rsid w:val="00580D6D"/>
    <w:rsid w:val="00580FD8"/>
    <w:rsid w:val="005813DE"/>
    <w:rsid w:val="00581796"/>
    <w:rsid w:val="005817BE"/>
    <w:rsid w:val="0058195C"/>
    <w:rsid w:val="00581B45"/>
    <w:rsid w:val="00582480"/>
    <w:rsid w:val="00582805"/>
    <w:rsid w:val="0058290E"/>
    <w:rsid w:val="00582CAB"/>
    <w:rsid w:val="00582FA6"/>
    <w:rsid w:val="005836D5"/>
    <w:rsid w:val="0058375E"/>
    <w:rsid w:val="0058384F"/>
    <w:rsid w:val="00584233"/>
    <w:rsid w:val="005842D0"/>
    <w:rsid w:val="00584329"/>
    <w:rsid w:val="005845FB"/>
    <w:rsid w:val="005855AE"/>
    <w:rsid w:val="00585829"/>
    <w:rsid w:val="00585CA8"/>
    <w:rsid w:val="00586026"/>
    <w:rsid w:val="00586412"/>
    <w:rsid w:val="005864B9"/>
    <w:rsid w:val="00586564"/>
    <w:rsid w:val="005866C4"/>
    <w:rsid w:val="00586A35"/>
    <w:rsid w:val="00587CD4"/>
    <w:rsid w:val="00590F1A"/>
    <w:rsid w:val="0059149F"/>
    <w:rsid w:val="00591A3A"/>
    <w:rsid w:val="00591C03"/>
    <w:rsid w:val="00591E2A"/>
    <w:rsid w:val="00591E77"/>
    <w:rsid w:val="005923C4"/>
    <w:rsid w:val="0059397D"/>
    <w:rsid w:val="00593C20"/>
    <w:rsid w:val="00593EA2"/>
    <w:rsid w:val="00593F75"/>
    <w:rsid w:val="00593F8E"/>
    <w:rsid w:val="005940A0"/>
    <w:rsid w:val="0059429A"/>
    <w:rsid w:val="00594CBE"/>
    <w:rsid w:val="00594FDD"/>
    <w:rsid w:val="0059607D"/>
    <w:rsid w:val="00596AF7"/>
    <w:rsid w:val="00596CCE"/>
    <w:rsid w:val="005A1976"/>
    <w:rsid w:val="005A2120"/>
    <w:rsid w:val="005A237E"/>
    <w:rsid w:val="005A2501"/>
    <w:rsid w:val="005A2C80"/>
    <w:rsid w:val="005A3066"/>
    <w:rsid w:val="005A3B35"/>
    <w:rsid w:val="005A3C4B"/>
    <w:rsid w:val="005A3D37"/>
    <w:rsid w:val="005A3E5A"/>
    <w:rsid w:val="005A43F3"/>
    <w:rsid w:val="005A496F"/>
    <w:rsid w:val="005A4A56"/>
    <w:rsid w:val="005A5259"/>
    <w:rsid w:val="005A5608"/>
    <w:rsid w:val="005A5A3D"/>
    <w:rsid w:val="005A6035"/>
    <w:rsid w:val="005A6343"/>
    <w:rsid w:val="005A68A9"/>
    <w:rsid w:val="005A6B75"/>
    <w:rsid w:val="005A6B81"/>
    <w:rsid w:val="005A6E00"/>
    <w:rsid w:val="005A718A"/>
    <w:rsid w:val="005A72DD"/>
    <w:rsid w:val="005A7613"/>
    <w:rsid w:val="005A7885"/>
    <w:rsid w:val="005B0E94"/>
    <w:rsid w:val="005B12B2"/>
    <w:rsid w:val="005B143B"/>
    <w:rsid w:val="005B19BD"/>
    <w:rsid w:val="005B1E45"/>
    <w:rsid w:val="005B21C4"/>
    <w:rsid w:val="005B2A28"/>
    <w:rsid w:val="005B35AB"/>
    <w:rsid w:val="005B3621"/>
    <w:rsid w:val="005B3EBE"/>
    <w:rsid w:val="005B4948"/>
    <w:rsid w:val="005B501D"/>
    <w:rsid w:val="005B5467"/>
    <w:rsid w:val="005B54CC"/>
    <w:rsid w:val="005B6AFA"/>
    <w:rsid w:val="005B6EF7"/>
    <w:rsid w:val="005B71BB"/>
    <w:rsid w:val="005B74AD"/>
    <w:rsid w:val="005B7E96"/>
    <w:rsid w:val="005C0429"/>
    <w:rsid w:val="005C06A5"/>
    <w:rsid w:val="005C084F"/>
    <w:rsid w:val="005C0EE9"/>
    <w:rsid w:val="005C169F"/>
    <w:rsid w:val="005C16A8"/>
    <w:rsid w:val="005C1716"/>
    <w:rsid w:val="005C17AB"/>
    <w:rsid w:val="005C1954"/>
    <w:rsid w:val="005C1C0B"/>
    <w:rsid w:val="005C1E6A"/>
    <w:rsid w:val="005C2011"/>
    <w:rsid w:val="005C366E"/>
    <w:rsid w:val="005C3698"/>
    <w:rsid w:val="005C3B41"/>
    <w:rsid w:val="005C3EA3"/>
    <w:rsid w:val="005C44DE"/>
    <w:rsid w:val="005C5011"/>
    <w:rsid w:val="005C5241"/>
    <w:rsid w:val="005C529E"/>
    <w:rsid w:val="005C57BA"/>
    <w:rsid w:val="005C5C52"/>
    <w:rsid w:val="005C5D3D"/>
    <w:rsid w:val="005C5D7A"/>
    <w:rsid w:val="005C5F05"/>
    <w:rsid w:val="005C6186"/>
    <w:rsid w:val="005C6CF7"/>
    <w:rsid w:val="005C6D19"/>
    <w:rsid w:val="005C6FA4"/>
    <w:rsid w:val="005C7E45"/>
    <w:rsid w:val="005C7F3E"/>
    <w:rsid w:val="005C7FEA"/>
    <w:rsid w:val="005D0608"/>
    <w:rsid w:val="005D06D3"/>
    <w:rsid w:val="005D0C3B"/>
    <w:rsid w:val="005D0E51"/>
    <w:rsid w:val="005D103E"/>
    <w:rsid w:val="005D1051"/>
    <w:rsid w:val="005D1606"/>
    <w:rsid w:val="005D1D10"/>
    <w:rsid w:val="005D2044"/>
    <w:rsid w:val="005D209E"/>
    <w:rsid w:val="005D2917"/>
    <w:rsid w:val="005D2EB2"/>
    <w:rsid w:val="005D2F48"/>
    <w:rsid w:val="005D3400"/>
    <w:rsid w:val="005D3B32"/>
    <w:rsid w:val="005D464B"/>
    <w:rsid w:val="005D466F"/>
    <w:rsid w:val="005D49F0"/>
    <w:rsid w:val="005D51F7"/>
    <w:rsid w:val="005D51FA"/>
    <w:rsid w:val="005D53E8"/>
    <w:rsid w:val="005D5A9D"/>
    <w:rsid w:val="005D5D15"/>
    <w:rsid w:val="005D63C8"/>
    <w:rsid w:val="005D6651"/>
    <w:rsid w:val="005D691D"/>
    <w:rsid w:val="005D697C"/>
    <w:rsid w:val="005D6A72"/>
    <w:rsid w:val="005D6F38"/>
    <w:rsid w:val="005D791B"/>
    <w:rsid w:val="005D7CF2"/>
    <w:rsid w:val="005D7F92"/>
    <w:rsid w:val="005E022D"/>
    <w:rsid w:val="005E062C"/>
    <w:rsid w:val="005E09E9"/>
    <w:rsid w:val="005E0D7B"/>
    <w:rsid w:val="005E1096"/>
    <w:rsid w:val="005E1595"/>
    <w:rsid w:val="005E1F1D"/>
    <w:rsid w:val="005E273D"/>
    <w:rsid w:val="005E2FDD"/>
    <w:rsid w:val="005E3278"/>
    <w:rsid w:val="005E363B"/>
    <w:rsid w:val="005E369A"/>
    <w:rsid w:val="005E3736"/>
    <w:rsid w:val="005E3930"/>
    <w:rsid w:val="005E4B72"/>
    <w:rsid w:val="005E4C97"/>
    <w:rsid w:val="005E52C9"/>
    <w:rsid w:val="005E5EE6"/>
    <w:rsid w:val="005E6485"/>
    <w:rsid w:val="005E76AE"/>
    <w:rsid w:val="005E781C"/>
    <w:rsid w:val="005E7C29"/>
    <w:rsid w:val="005F2D8B"/>
    <w:rsid w:val="005F305B"/>
    <w:rsid w:val="005F3285"/>
    <w:rsid w:val="005F3361"/>
    <w:rsid w:val="005F353C"/>
    <w:rsid w:val="005F361A"/>
    <w:rsid w:val="005F3B47"/>
    <w:rsid w:val="005F432C"/>
    <w:rsid w:val="005F4481"/>
    <w:rsid w:val="005F47AC"/>
    <w:rsid w:val="005F4995"/>
    <w:rsid w:val="005F49AF"/>
    <w:rsid w:val="005F4A58"/>
    <w:rsid w:val="005F54DF"/>
    <w:rsid w:val="005F5888"/>
    <w:rsid w:val="005F5984"/>
    <w:rsid w:val="005F5EAB"/>
    <w:rsid w:val="005F6170"/>
    <w:rsid w:val="005F6CE2"/>
    <w:rsid w:val="005F6EC8"/>
    <w:rsid w:val="005F6F24"/>
    <w:rsid w:val="005F72E9"/>
    <w:rsid w:val="005F780B"/>
    <w:rsid w:val="005F7CE3"/>
    <w:rsid w:val="0060009C"/>
    <w:rsid w:val="00600473"/>
    <w:rsid w:val="0060139A"/>
    <w:rsid w:val="006013C9"/>
    <w:rsid w:val="006019E2"/>
    <w:rsid w:val="00602931"/>
    <w:rsid w:val="00602B45"/>
    <w:rsid w:val="00603260"/>
    <w:rsid w:val="00603499"/>
    <w:rsid w:val="006035F5"/>
    <w:rsid w:val="00603CC2"/>
    <w:rsid w:val="006047D1"/>
    <w:rsid w:val="006048A4"/>
    <w:rsid w:val="00604A55"/>
    <w:rsid w:val="00604D4E"/>
    <w:rsid w:val="00604E3E"/>
    <w:rsid w:val="00605AC3"/>
    <w:rsid w:val="00606671"/>
    <w:rsid w:val="00606908"/>
    <w:rsid w:val="0060776B"/>
    <w:rsid w:val="00607996"/>
    <w:rsid w:val="00607A37"/>
    <w:rsid w:val="00607CB3"/>
    <w:rsid w:val="00607E9F"/>
    <w:rsid w:val="006100CB"/>
    <w:rsid w:val="0061085E"/>
    <w:rsid w:val="00610EED"/>
    <w:rsid w:val="006112A7"/>
    <w:rsid w:val="00611398"/>
    <w:rsid w:val="006113B4"/>
    <w:rsid w:val="006115E7"/>
    <w:rsid w:val="0061186D"/>
    <w:rsid w:val="00612322"/>
    <w:rsid w:val="006123C0"/>
    <w:rsid w:val="006129AB"/>
    <w:rsid w:val="00613191"/>
    <w:rsid w:val="006133F9"/>
    <w:rsid w:val="006134B3"/>
    <w:rsid w:val="006139A9"/>
    <w:rsid w:val="00613DE1"/>
    <w:rsid w:val="0061401F"/>
    <w:rsid w:val="00614166"/>
    <w:rsid w:val="00614817"/>
    <w:rsid w:val="006149CC"/>
    <w:rsid w:val="00614D01"/>
    <w:rsid w:val="006157A9"/>
    <w:rsid w:val="0061591D"/>
    <w:rsid w:val="00615ED0"/>
    <w:rsid w:val="0061604C"/>
    <w:rsid w:val="00616C2B"/>
    <w:rsid w:val="00616D7F"/>
    <w:rsid w:val="006178D1"/>
    <w:rsid w:val="00617D72"/>
    <w:rsid w:val="006200F7"/>
    <w:rsid w:val="00620719"/>
    <w:rsid w:val="00620AE1"/>
    <w:rsid w:val="006212C9"/>
    <w:rsid w:val="0062131B"/>
    <w:rsid w:val="00621D0C"/>
    <w:rsid w:val="00622229"/>
    <w:rsid w:val="00622470"/>
    <w:rsid w:val="00622725"/>
    <w:rsid w:val="00622785"/>
    <w:rsid w:val="00622B63"/>
    <w:rsid w:val="006231AA"/>
    <w:rsid w:val="00623482"/>
    <w:rsid w:val="00623AC2"/>
    <w:rsid w:val="00623EBC"/>
    <w:rsid w:val="0062475D"/>
    <w:rsid w:val="00625642"/>
    <w:rsid w:val="006257D5"/>
    <w:rsid w:val="00625DF2"/>
    <w:rsid w:val="006266D7"/>
    <w:rsid w:val="00626D42"/>
    <w:rsid w:val="00626E88"/>
    <w:rsid w:val="00626EE3"/>
    <w:rsid w:val="00627145"/>
    <w:rsid w:val="006274AD"/>
    <w:rsid w:val="00627519"/>
    <w:rsid w:val="00627532"/>
    <w:rsid w:val="006302AA"/>
    <w:rsid w:val="006310C3"/>
    <w:rsid w:val="0063161E"/>
    <w:rsid w:val="00631BB5"/>
    <w:rsid w:val="00631DD0"/>
    <w:rsid w:val="00633DBF"/>
    <w:rsid w:val="00634122"/>
    <w:rsid w:val="0063444B"/>
    <w:rsid w:val="00634BEF"/>
    <w:rsid w:val="00635E32"/>
    <w:rsid w:val="006360FC"/>
    <w:rsid w:val="006361C9"/>
    <w:rsid w:val="00636405"/>
    <w:rsid w:val="006365DE"/>
    <w:rsid w:val="00636BE4"/>
    <w:rsid w:val="00636F88"/>
    <w:rsid w:val="0063732C"/>
    <w:rsid w:val="006375C6"/>
    <w:rsid w:val="00637802"/>
    <w:rsid w:val="00637836"/>
    <w:rsid w:val="00637C26"/>
    <w:rsid w:val="00637F44"/>
    <w:rsid w:val="0064075F"/>
    <w:rsid w:val="00641078"/>
    <w:rsid w:val="00641242"/>
    <w:rsid w:val="00641761"/>
    <w:rsid w:val="00642126"/>
    <w:rsid w:val="00642A32"/>
    <w:rsid w:val="00642B8E"/>
    <w:rsid w:val="00642F7C"/>
    <w:rsid w:val="006433D5"/>
    <w:rsid w:val="00643412"/>
    <w:rsid w:val="00643A0A"/>
    <w:rsid w:val="00645254"/>
    <w:rsid w:val="00645747"/>
    <w:rsid w:val="00645844"/>
    <w:rsid w:val="00645CEB"/>
    <w:rsid w:val="00645E63"/>
    <w:rsid w:val="00646B20"/>
    <w:rsid w:val="00646D0F"/>
    <w:rsid w:val="00646D61"/>
    <w:rsid w:val="00647A36"/>
    <w:rsid w:val="00647DCC"/>
    <w:rsid w:val="00647E8E"/>
    <w:rsid w:val="00647EFA"/>
    <w:rsid w:val="00647F14"/>
    <w:rsid w:val="00650027"/>
    <w:rsid w:val="00650E89"/>
    <w:rsid w:val="0065157A"/>
    <w:rsid w:val="006516E6"/>
    <w:rsid w:val="00651B9C"/>
    <w:rsid w:val="00651C47"/>
    <w:rsid w:val="00652E70"/>
    <w:rsid w:val="0065339A"/>
    <w:rsid w:val="00653469"/>
    <w:rsid w:val="0065443A"/>
    <w:rsid w:val="00654A38"/>
    <w:rsid w:val="00655301"/>
    <w:rsid w:val="00655371"/>
    <w:rsid w:val="00655507"/>
    <w:rsid w:val="0065594B"/>
    <w:rsid w:val="00655D07"/>
    <w:rsid w:val="006564A5"/>
    <w:rsid w:val="006568A6"/>
    <w:rsid w:val="00656C4B"/>
    <w:rsid w:val="006572A7"/>
    <w:rsid w:val="006573EA"/>
    <w:rsid w:val="006577C9"/>
    <w:rsid w:val="0066056A"/>
    <w:rsid w:val="006606A4"/>
    <w:rsid w:val="00661029"/>
    <w:rsid w:val="006610C3"/>
    <w:rsid w:val="0066135A"/>
    <w:rsid w:val="00661A38"/>
    <w:rsid w:val="0066272D"/>
    <w:rsid w:val="00662795"/>
    <w:rsid w:val="006627A8"/>
    <w:rsid w:val="00662E58"/>
    <w:rsid w:val="00662F39"/>
    <w:rsid w:val="006631E1"/>
    <w:rsid w:val="00663451"/>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37"/>
    <w:rsid w:val="00667ED8"/>
    <w:rsid w:val="00670332"/>
    <w:rsid w:val="006703D0"/>
    <w:rsid w:val="0067064C"/>
    <w:rsid w:val="00670B20"/>
    <w:rsid w:val="00670E12"/>
    <w:rsid w:val="00670F27"/>
    <w:rsid w:val="00672E80"/>
    <w:rsid w:val="0067333F"/>
    <w:rsid w:val="006739E4"/>
    <w:rsid w:val="00673ECF"/>
    <w:rsid w:val="0067426B"/>
    <w:rsid w:val="00674A1B"/>
    <w:rsid w:val="00674D08"/>
    <w:rsid w:val="00674F1C"/>
    <w:rsid w:val="006754F8"/>
    <w:rsid w:val="006760EE"/>
    <w:rsid w:val="00676127"/>
    <w:rsid w:val="00676AED"/>
    <w:rsid w:val="006770AE"/>
    <w:rsid w:val="00677212"/>
    <w:rsid w:val="006772CD"/>
    <w:rsid w:val="00677F26"/>
    <w:rsid w:val="00680067"/>
    <w:rsid w:val="006800EE"/>
    <w:rsid w:val="006802A7"/>
    <w:rsid w:val="00680A86"/>
    <w:rsid w:val="00680FEA"/>
    <w:rsid w:val="006811C9"/>
    <w:rsid w:val="00681267"/>
    <w:rsid w:val="006812CE"/>
    <w:rsid w:val="0068246F"/>
    <w:rsid w:val="006826C1"/>
    <w:rsid w:val="00682C89"/>
    <w:rsid w:val="006832B8"/>
    <w:rsid w:val="00683329"/>
    <w:rsid w:val="0068355D"/>
    <w:rsid w:val="006837B2"/>
    <w:rsid w:val="00683800"/>
    <w:rsid w:val="006840F3"/>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8F7"/>
    <w:rsid w:val="00690977"/>
    <w:rsid w:val="00690DE9"/>
    <w:rsid w:val="0069136E"/>
    <w:rsid w:val="00691563"/>
    <w:rsid w:val="00691DE9"/>
    <w:rsid w:val="00691EAA"/>
    <w:rsid w:val="00692245"/>
    <w:rsid w:val="00692634"/>
    <w:rsid w:val="00692745"/>
    <w:rsid w:val="00692C31"/>
    <w:rsid w:val="00692FFA"/>
    <w:rsid w:val="00693772"/>
    <w:rsid w:val="006937C1"/>
    <w:rsid w:val="00693984"/>
    <w:rsid w:val="00693B77"/>
    <w:rsid w:val="00694160"/>
    <w:rsid w:val="00694E8B"/>
    <w:rsid w:val="00694E99"/>
    <w:rsid w:val="006959A5"/>
    <w:rsid w:val="00695C0C"/>
    <w:rsid w:val="00696736"/>
    <w:rsid w:val="00696A05"/>
    <w:rsid w:val="00696A69"/>
    <w:rsid w:val="00697665"/>
    <w:rsid w:val="00697C9A"/>
    <w:rsid w:val="00697E68"/>
    <w:rsid w:val="00697FC1"/>
    <w:rsid w:val="006A0274"/>
    <w:rsid w:val="006A0739"/>
    <w:rsid w:val="006A26F0"/>
    <w:rsid w:val="006A27BC"/>
    <w:rsid w:val="006A2A43"/>
    <w:rsid w:val="006A2BF1"/>
    <w:rsid w:val="006A2F9A"/>
    <w:rsid w:val="006A3088"/>
    <w:rsid w:val="006A34E4"/>
    <w:rsid w:val="006A353C"/>
    <w:rsid w:val="006A35AC"/>
    <w:rsid w:val="006A3A5A"/>
    <w:rsid w:val="006A406D"/>
    <w:rsid w:val="006A44CF"/>
    <w:rsid w:val="006A457D"/>
    <w:rsid w:val="006A4B5A"/>
    <w:rsid w:val="006A4C06"/>
    <w:rsid w:val="006A55EE"/>
    <w:rsid w:val="006A575B"/>
    <w:rsid w:val="006A59DE"/>
    <w:rsid w:val="006A64C6"/>
    <w:rsid w:val="006A6655"/>
    <w:rsid w:val="006A6BF9"/>
    <w:rsid w:val="006A6CB2"/>
    <w:rsid w:val="006A7AB8"/>
    <w:rsid w:val="006A7CB5"/>
    <w:rsid w:val="006A7FD0"/>
    <w:rsid w:val="006B025C"/>
    <w:rsid w:val="006B04DB"/>
    <w:rsid w:val="006B056A"/>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195"/>
    <w:rsid w:val="006C189C"/>
    <w:rsid w:val="006C2454"/>
    <w:rsid w:val="006C2551"/>
    <w:rsid w:val="006C27B9"/>
    <w:rsid w:val="006C2B93"/>
    <w:rsid w:val="006C37CA"/>
    <w:rsid w:val="006C39AE"/>
    <w:rsid w:val="006C40D2"/>
    <w:rsid w:val="006C4B85"/>
    <w:rsid w:val="006C4BBD"/>
    <w:rsid w:val="006C551E"/>
    <w:rsid w:val="006C588C"/>
    <w:rsid w:val="006C5B15"/>
    <w:rsid w:val="006C5D32"/>
    <w:rsid w:val="006C5DCB"/>
    <w:rsid w:val="006C5E39"/>
    <w:rsid w:val="006C6475"/>
    <w:rsid w:val="006C6D36"/>
    <w:rsid w:val="006C70C4"/>
    <w:rsid w:val="006C741F"/>
    <w:rsid w:val="006D04DA"/>
    <w:rsid w:val="006D10F6"/>
    <w:rsid w:val="006D1544"/>
    <w:rsid w:val="006D1688"/>
    <w:rsid w:val="006D1BE1"/>
    <w:rsid w:val="006D1CBF"/>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6C45"/>
    <w:rsid w:val="006D6F72"/>
    <w:rsid w:val="006D712D"/>
    <w:rsid w:val="006D7687"/>
    <w:rsid w:val="006D7D1F"/>
    <w:rsid w:val="006D7D8A"/>
    <w:rsid w:val="006E046C"/>
    <w:rsid w:val="006E0572"/>
    <w:rsid w:val="006E05D8"/>
    <w:rsid w:val="006E08EE"/>
    <w:rsid w:val="006E0F32"/>
    <w:rsid w:val="006E155A"/>
    <w:rsid w:val="006E18BF"/>
    <w:rsid w:val="006E2C34"/>
    <w:rsid w:val="006E359B"/>
    <w:rsid w:val="006E37CD"/>
    <w:rsid w:val="006E39D1"/>
    <w:rsid w:val="006E3B05"/>
    <w:rsid w:val="006E437F"/>
    <w:rsid w:val="006E4D5B"/>
    <w:rsid w:val="006E602F"/>
    <w:rsid w:val="006E6720"/>
    <w:rsid w:val="006E7275"/>
    <w:rsid w:val="006E735F"/>
    <w:rsid w:val="006E77B8"/>
    <w:rsid w:val="006E7AAF"/>
    <w:rsid w:val="006E7F6A"/>
    <w:rsid w:val="006F0F74"/>
    <w:rsid w:val="006F13BA"/>
    <w:rsid w:val="006F15CC"/>
    <w:rsid w:val="006F15F6"/>
    <w:rsid w:val="006F1CD8"/>
    <w:rsid w:val="006F24B6"/>
    <w:rsid w:val="006F36EA"/>
    <w:rsid w:val="006F389F"/>
    <w:rsid w:val="006F4147"/>
    <w:rsid w:val="006F4315"/>
    <w:rsid w:val="006F4CB0"/>
    <w:rsid w:val="006F4F78"/>
    <w:rsid w:val="006F547E"/>
    <w:rsid w:val="006F5CCF"/>
    <w:rsid w:val="006F6F04"/>
    <w:rsid w:val="006F71F5"/>
    <w:rsid w:val="006F72A8"/>
    <w:rsid w:val="006F79BB"/>
    <w:rsid w:val="007000A6"/>
    <w:rsid w:val="00700610"/>
    <w:rsid w:val="0070138A"/>
    <w:rsid w:val="00701417"/>
    <w:rsid w:val="0070157E"/>
    <w:rsid w:val="007021AB"/>
    <w:rsid w:val="007030D4"/>
    <w:rsid w:val="0070327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1F1"/>
    <w:rsid w:val="00710668"/>
    <w:rsid w:val="00710B24"/>
    <w:rsid w:val="00711019"/>
    <w:rsid w:val="007110F4"/>
    <w:rsid w:val="007112B1"/>
    <w:rsid w:val="0071130F"/>
    <w:rsid w:val="007118D2"/>
    <w:rsid w:val="0071223A"/>
    <w:rsid w:val="007122B1"/>
    <w:rsid w:val="00712714"/>
    <w:rsid w:val="007129AB"/>
    <w:rsid w:val="00712B63"/>
    <w:rsid w:val="00712E5F"/>
    <w:rsid w:val="00713526"/>
    <w:rsid w:val="00713FC5"/>
    <w:rsid w:val="007146B1"/>
    <w:rsid w:val="00714CCD"/>
    <w:rsid w:val="00714DCA"/>
    <w:rsid w:val="007150F3"/>
    <w:rsid w:val="00715BBF"/>
    <w:rsid w:val="00715C29"/>
    <w:rsid w:val="00715CBD"/>
    <w:rsid w:val="00715DC3"/>
    <w:rsid w:val="00715EAA"/>
    <w:rsid w:val="00716119"/>
    <w:rsid w:val="00716630"/>
    <w:rsid w:val="007169B3"/>
    <w:rsid w:val="00716BB0"/>
    <w:rsid w:val="00716CAD"/>
    <w:rsid w:val="00716CD3"/>
    <w:rsid w:val="00716F18"/>
    <w:rsid w:val="00717024"/>
    <w:rsid w:val="00717363"/>
    <w:rsid w:val="00717786"/>
    <w:rsid w:val="00717ACB"/>
    <w:rsid w:val="007200F3"/>
    <w:rsid w:val="0072138B"/>
    <w:rsid w:val="00721BFF"/>
    <w:rsid w:val="007232EE"/>
    <w:rsid w:val="00723445"/>
    <w:rsid w:val="00723475"/>
    <w:rsid w:val="007236C4"/>
    <w:rsid w:val="007242B0"/>
    <w:rsid w:val="00724635"/>
    <w:rsid w:val="00724F21"/>
    <w:rsid w:val="007250CE"/>
    <w:rsid w:val="00725134"/>
    <w:rsid w:val="0072554B"/>
    <w:rsid w:val="0072571F"/>
    <w:rsid w:val="00725AFD"/>
    <w:rsid w:val="00726603"/>
    <w:rsid w:val="007266AC"/>
    <w:rsid w:val="007274EC"/>
    <w:rsid w:val="00727B1D"/>
    <w:rsid w:val="00727DDC"/>
    <w:rsid w:val="0073096F"/>
    <w:rsid w:val="00730CD6"/>
    <w:rsid w:val="00730F74"/>
    <w:rsid w:val="0073114B"/>
    <w:rsid w:val="00732151"/>
    <w:rsid w:val="0073250A"/>
    <w:rsid w:val="00732A99"/>
    <w:rsid w:val="00732EBC"/>
    <w:rsid w:val="00733616"/>
    <w:rsid w:val="00734952"/>
    <w:rsid w:val="00734987"/>
    <w:rsid w:val="00734990"/>
    <w:rsid w:val="00734FF5"/>
    <w:rsid w:val="00735B4E"/>
    <w:rsid w:val="00735B78"/>
    <w:rsid w:val="00735DA7"/>
    <w:rsid w:val="00736700"/>
    <w:rsid w:val="007368B4"/>
    <w:rsid w:val="00737596"/>
    <w:rsid w:val="007378E0"/>
    <w:rsid w:val="00737BB0"/>
    <w:rsid w:val="0074040E"/>
    <w:rsid w:val="00740529"/>
    <w:rsid w:val="00740876"/>
    <w:rsid w:val="00740B7A"/>
    <w:rsid w:val="00741358"/>
    <w:rsid w:val="00741612"/>
    <w:rsid w:val="00741626"/>
    <w:rsid w:val="00742332"/>
    <w:rsid w:val="00742886"/>
    <w:rsid w:val="00742A3A"/>
    <w:rsid w:val="00742DD2"/>
    <w:rsid w:val="0074348F"/>
    <w:rsid w:val="007437C6"/>
    <w:rsid w:val="007441A2"/>
    <w:rsid w:val="00744C27"/>
    <w:rsid w:val="00744E80"/>
    <w:rsid w:val="00745035"/>
    <w:rsid w:val="0074531C"/>
    <w:rsid w:val="00745547"/>
    <w:rsid w:val="00745617"/>
    <w:rsid w:val="007459D0"/>
    <w:rsid w:val="0074623A"/>
    <w:rsid w:val="00746420"/>
    <w:rsid w:val="007465DD"/>
    <w:rsid w:val="00746A60"/>
    <w:rsid w:val="00746E04"/>
    <w:rsid w:val="00746E08"/>
    <w:rsid w:val="00746E3D"/>
    <w:rsid w:val="007473B9"/>
    <w:rsid w:val="00747C96"/>
    <w:rsid w:val="00750075"/>
    <w:rsid w:val="007502EC"/>
    <w:rsid w:val="00750382"/>
    <w:rsid w:val="0075094E"/>
    <w:rsid w:val="00750A33"/>
    <w:rsid w:val="00750FA8"/>
    <w:rsid w:val="00750FB5"/>
    <w:rsid w:val="00751CAE"/>
    <w:rsid w:val="007520F0"/>
    <w:rsid w:val="007522E8"/>
    <w:rsid w:val="007529DB"/>
    <w:rsid w:val="007534AD"/>
    <w:rsid w:val="00753BAC"/>
    <w:rsid w:val="00753C29"/>
    <w:rsid w:val="00754282"/>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D7D"/>
    <w:rsid w:val="00760EB6"/>
    <w:rsid w:val="0076160E"/>
    <w:rsid w:val="007616DB"/>
    <w:rsid w:val="00761AB7"/>
    <w:rsid w:val="00761CE6"/>
    <w:rsid w:val="0076228A"/>
    <w:rsid w:val="00762440"/>
    <w:rsid w:val="00762499"/>
    <w:rsid w:val="0076275B"/>
    <w:rsid w:val="007629B7"/>
    <w:rsid w:val="00762E60"/>
    <w:rsid w:val="00762F54"/>
    <w:rsid w:val="007634AD"/>
    <w:rsid w:val="0076445F"/>
    <w:rsid w:val="00764C62"/>
    <w:rsid w:val="00764EB6"/>
    <w:rsid w:val="00764EC5"/>
    <w:rsid w:val="007651EF"/>
    <w:rsid w:val="0076676D"/>
    <w:rsid w:val="007669FA"/>
    <w:rsid w:val="00766D49"/>
    <w:rsid w:val="00766ECC"/>
    <w:rsid w:val="007672F3"/>
    <w:rsid w:val="007677B5"/>
    <w:rsid w:val="007678B1"/>
    <w:rsid w:val="007708A8"/>
    <w:rsid w:val="00772100"/>
    <w:rsid w:val="0077219B"/>
    <w:rsid w:val="00772275"/>
    <w:rsid w:val="0077299F"/>
    <w:rsid w:val="00772C9A"/>
    <w:rsid w:val="007734E4"/>
    <w:rsid w:val="007735DA"/>
    <w:rsid w:val="0077380D"/>
    <w:rsid w:val="00773BC8"/>
    <w:rsid w:val="00774549"/>
    <w:rsid w:val="0077466F"/>
    <w:rsid w:val="007752B7"/>
    <w:rsid w:val="007759A8"/>
    <w:rsid w:val="00775C27"/>
    <w:rsid w:val="00775D98"/>
    <w:rsid w:val="007764F5"/>
    <w:rsid w:val="007768DF"/>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2FD6"/>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0B9B"/>
    <w:rsid w:val="0079146D"/>
    <w:rsid w:val="00791735"/>
    <w:rsid w:val="00791C32"/>
    <w:rsid w:val="00791FF0"/>
    <w:rsid w:val="00792395"/>
    <w:rsid w:val="007923D0"/>
    <w:rsid w:val="007930D3"/>
    <w:rsid w:val="0079381F"/>
    <w:rsid w:val="00793A57"/>
    <w:rsid w:val="00793B2E"/>
    <w:rsid w:val="007948F5"/>
    <w:rsid w:val="0079524C"/>
    <w:rsid w:val="00795647"/>
    <w:rsid w:val="00795DC3"/>
    <w:rsid w:val="007963F6"/>
    <w:rsid w:val="00796DC8"/>
    <w:rsid w:val="00796E80"/>
    <w:rsid w:val="0079744F"/>
    <w:rsid w:val="0079776F"/>
    <w:rsid w:val="007979AD"/>
    <w:rsid w:val="00797A9C"/>
    <w:rsid w:val="007A009B"/>
    <w:rsid w:val="007A0502"/>
    <w:rsid w:val="007A0EAB"/>
    <w:rsid w:val="007A1D7A"/>
    <w:rsid w:val="007A2341"/>
    <w:rsid w:val="007A24BF"/>
    <w:rsid w:val="007A2754"/>
    <w:rsid w:val="007A2CE2"/>
    <w:rsid w:val="007A38A1"/>
    <w:rsid w:val="007A3BBE"/>
    <w:rsid w:val="007A3E74"/>
    <w:rsid w:val="007A4766"/>
    <w:rsid w:val="007A5947"/>
    <w:rsid w:val="007A717B"/>
    <w:rsid w:val="007A72C3"/>
    <w:rsid w:val="007A755D"/>
    <w:rsid w:val="007A7714"/>
    <w:rsid w:val="007A77D4"/>
    <w:rsid w:val="007A7844"/>
    <w:rsid w:val="007B02C7"/>
    <w:rsid w:val="007B0302"/>
    <w:rsid w:val="007B0313"/>
    <w:rsid w:val="007B0854"/>
    <w:rsid w:val="007B0E48"/>
    <w:rsid w:val="007B1D1B"/>
    <w:rsid w:val="007B209C"/>
    <w:rsid w:val="007B21AA"/>
    <w:rsid w:val="007B2265"/>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B7F07"/>
    <w:rsid w:val="007B7FFC"/>
    <w:rsid w:val="007C02F3"/>
    <w:rsid w:val="007C097D"/>
    <w:rsid w:val="007C0AF2"/>
    <w:rsid w:val="007C1672"/>
    <w:rsid w:val="007C17AE"/>
    <w:rsid w:val="007C24EE"/>
    <w:rsid w:val="007C312A"/>
    <w:rsid w:val="007C3538"/>
    <w:rsid w:val="007C3570"/>
    <w:rsid w:val="007C3F3B"/>
    <w:rsid w:val="007C4097"/>
    <w:rsid w:val="007C4241"/>
    <w:rsid w:val="007C425E"/>
    <w:rsid w:val="007C449F"/>
    <w:rsid w:val="007C44AD"/>
    <w:rsid w:val="007C55FF"/>
    <w:rsid w:val="007C6339"/>
    <w:rsid w:val="007C643C"/>
    <w:rsid w:val="007C683D"/>
    <w:rsid w:val="007C6C7F"/>
    <w:rsid w:val="007C753F"/>
    <w:rsid w:val="007C7C43"/>
    <w:rsid w:val="007C7E15"/>
    <w:rsid w:val="007C7F0D"/>
    <w:rsid w:val="007D03B0"/>
    <w:rsid w:val="007D06E3"/>
    <w:rsid w:val="007D09A2"/>
    <w:rsid w:val="007D09E4"/>
    <w:rsid w:val="007D1134"/>
    <w:rsid w:val="007D1E65"/>
    <w:rsid w:val="007D231B"/>
    <w:rsid w:val="007D23F7"/>
    <w:rsid w:val="007D2566"/>
    <w:rsid w:val="007D2A0A"/>
    <w:rsid w:val="007D2C18"/>
    <w:rsid w:val="007D2D74"/>
    <w:rsid w:val="007D2DF7"/>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AF7"/>
    <w:rsid w:val="007E3F4A"/>
    <w:rsid w:val="007E4E04"/>
    <w:rsid w:val="007E4E8A"/>
    <w:rsid w:val="007E4F0D"/>
    <w:rsid w:val="007E564D"/>
    <w:rsid w:val="007E5C4A"/>
    <w:rsid w:val="007E64D4"/>
    <w:rsid w:val="007E66E9"/>
    <w:rsid w:val="007E69F2"/>
    <w:rsid w:val="007E7432"/>
    <w:rsid w:val="007E74BF"/>
    <w:rsid w:val="007E7657"/>
    <w:rsid w:val="007E7D2E"/>
    <w:rsid w:val="007F043A"/>
    <w:rsid w:val="007F14D3"/>
    <w:rsid w:val="007F1814"/>
    <w:rsid w:val="007F1D9D"/>
    <w:rsid w:val="007F1E28"/>
    <w:rsid w:val="007F1F63"/>
    <w:rsid w:val="007F22A0"/>
    <w:rsid w:val="007F2902"/>
    <w:rsid w:val="007F2903"/>
    <w:rsid w:val="007F2F90"/>
    <w:rsid w:val="007F3320"/>
    <w:rsid w:val="007F344B"/>
    <w:rsid w:val="007F3AC1"/>
    <w:rsid w:val="007F4938"/>
    <w:rsid w:val="007F4976"/>
    <w:rsid w:val="007F4B40"/>
    <w:rsid w:val="007F5A56"/>
    <w:rsid w:val="007F5D42"/>
    <w:rsid w:val="007F616E"/>
    <w:rsid w:val="007F6B46"/>
    <w:rsid w:val="007F7174"/>
    <w:rsid w:val="007F72CB"/>
    <w:rsid w:val="007F736A"/>
    <w:rsid w:val="007F7635"/>
    <w:rsid w:val="007F76AF"/>
    <w:rsid w:val="007F785F"/>
    <w:rsid w:val="007F7961"/>
    <w:rsid w:val="007F7AF6"/>
    <w:rsid w:val="007F7E36"/>
    <w:rsid w:val="008001CE"/>
    <w:rsid w:val="00800E6D"/>
    <w:rsid w:val="008014D9"/>
    <w:rsid w:val="0080150F"/>
    <w:rsid w:val="0080153A"/>
    <w:rsid w:val="00801A2A"/>
    <w:rsid w:val="00802041"/>
    <w:rsid w:val="00802069"/>
    <w:rsid w:val="008022C9"/>
    <w:rsid w:val="00802605"/>
    <w:rsid w:val="00802F9E"/>
    <w:rsid w:val="00803700"/>
    <w:rsid w:val="00803D9D"/>
    <w:rsid w:val="008059C6"/>
    <w:rsid w:val="00805AD7"/>
    <w:rsid w:val="00805BD6"/>
    <w:rsid w:val="00805DE3"/>
    <w:rsid w:val="008066B4"/>
    <w:rsid w:val="00806E74"/>
    <w:rsid w:val="00807C35"/>
    <w:rsid w:val="00807F35"/>
    <w:rsid w:val="00807F69"/>
    <w:rsid w:val="008100F7"/>
    <w:rsid w:val="00810206"/>
    <w:rsid w:val="0081022B"/>
    <w:rsid w:val="00810A15"/>
    <w:rsid w:val="00811898"/>
    <w:rsid w:val="00811CDC"/>
    <w:rsid w:val="00811E2B"/>
    <w:rsid w:val="008124D8"/>
    <w:rsid w:val="0081307D"/>
    <w:rsid w:val="008138C4"/>
    <w:rsid w:val="00813A7B"/>
    <w:rsid w:val="00813F04"/>
    <w:rsid w:val="00814F6B"/>
    <w:rsid w:val="0081513E"/>
    <w:rsid w:val="00815DA5"/>
    <w:rsid w:val="00816215"/>
    <w:rsid w:val="00816221"/>
    <w:rsid w:val="00816A20"/>
    <w:rsid w:val="00816CB9"/>
    <w:rsid w:val="008174F3"/>
    <w:rsid w:val="0081766B"/>
    <w:rsid w:val="008201DE"/>
    <w:rsid w:val="008205AC"/>
    <w:rsid w:val="00820705"/>
    <w:rsid w:val="00820CBF"/>
    <w:rsid w:val="00820FA8"/>
    <w:rsid w:val="008212FD"/>
    <w:rsid w:val="00821489"/>
    <w:rsid w:val="0082168D"/>
    <w:rsid w:val="008217B7"/>
    <w:rsid w:val="008219D2"/>
    <w:rsid w:val="0082239B"/>
    <w:rsid w:val="0082292E"/>
    <w:rsid w:val="00822D06"/>
    <w:rsid w:val="00822EC4"/>
    <w:rsid w:val="0082348D"/>
    <w:rsid w:val="008236BE"/>
    <w:rsid w:val="00824148"/>
    <w:rsid w:val="00824196"/>
    <w:rsid w:val="008241CE"/>
    <w:rsid w:val="00825240"/>
    <w:rsid w:val="00825B43"/>
    <w:rsid w:val="00826F71"/>
    <w:rsid w:val="00827490"/>
    <w:rsid w:val="00827CC0"/>
    <w:rsid w:val="008306AB"/>
    <w:rsid w:val="00831026"/>
    <w:rsid w:val="0083119B"/>
    <w:rsid w:val="00831406"/>
    <w:rsid w:val="00831BAE"/>
    <w:rsid w:val="00832216"/>
    <w:rsid w:val="00832513"/>
    <w:rsid w:val="00832CD0"/>
    <w:rsid w:val="00833430"/>
    <w:rsid w:val="00833ADA"/>
    <w:rsid w:val="00834128"/>
    <w:rsid w:val="0083417F"/>
    <w:rsid w:val="00835143"/>
    <w:rsid w:val="0083569B"/>
    <w:rsid w:val="00835741"/>
    <w:rsid w:val="008364B6"/>
    <w:rsid w:val="00836E00"/>
    <w:rsid w:val="00836E74"/>
    <w:rsid w:val="00836EAB"/>
    <w:rsid w:val="008375E5"/>
    <w:rsid w:val="00837673"/>
    <w:rsid w:val="00837937"/>
    <w:rsid w:val="00837D82"/>
    <w:rsid w:val="00840893"/>
    <w:rsid w:val="00840E88"/>
    <w:rsid w:val="008410B1"/>
    <w:rsid w:val="008423EC"/>
    <w:rsid w:val="00842841"/>
    <w:rsid w:val="008429A6"/>
    <w:rsid w:val="00843571"/>
    <w:rsid w:val="00843615"/>
    <w:rsid w:val="00843698"/>
    <w:rsid w:val="00843A4B"/>
    <w:rsid w:val="00843B57"/>
    <w:rsid w:val="00843B60"/>
    <w:rsid w:val="00843D33"/>
    <w:rsid w:val="008444F0"/>
    <w:rsid w:val="00844D4F"/>
    <w:rsid w:val="00844F38"/>
    <w:rsid w:val="00845AE3"/>
    <w:rsid w:val="008466A0"/>
    <w:rsid w:val="008467D6"/>
    <w:rsid w:val="00847535"/>
    <w:rsid w:val="0084760B"/>
    <w:rsid w:val="00847B6D"/>
    <w:rsid w:val="0085092D"/>
    <w:rsid w:val="008509A5"/>
    <w:rsid w:val="00850C79"/>
    <w:rsid w:val="00850D82"/>
    <w:rsid w:val="00850F79"/>
    <w:rsid w:val="0085100B"/>
    <w:rsid w:val="008510A1"/>
    <w:rsid w:val="00852EEF"/>
    <w:rsid w:val="0085304C"/>
    <w:rsid w:val="008536BB"/>
    <w:rsid w:val="00853A3C"/>
    <w:rsid w:val="00854587"/>
    <w:rsid w:val="00854644"/>
    <w:rsid w:val="008548CA"/>
    <w:rsid w:val="008563B0"/>
    <w:rsid w:val="00856C06"/>
    <w:rsid w:val="008574FD"/>
    <w:rsid w:val="0085790B"/>
    <w:rsid w:val="008579B9"/>
    <w:rsid w:val="00857C95"/>
    <w:rsid w:val="00857E78"/>
    <w:rsid w:val="00857F7A"/>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46DB"/>
    <w:rsid w:val="00865059"/>
    <w:rsid w:val="008650BE"/>
    <w:rsid w:val="008654F5"/>
    <w:rsid w:val="00865EAF"/>
    <w:rsid w:val="0086628B"/>
    <w:rsid w:val="0086633B"/>
    <w:rsid w:val="00866495"/>
    <w:rsid w:val="008666A1"/>
    <w:rsid w:val="00866881"/>
    <w:rsid w:val="00866931"/>
    <w:rsid w:val="00867512"/>
    <w:rsid w:val="008678A3"/>
    <w:rsid w:val="00867C13"/>
    <w:rsid w:val="00867C1D"/>
    <w:rsid w:val="0087033C"/>
    <w:rsid w:val="008705B9"/>
    <w:rsid w:val="00870F74"/>
    <w:rsid w:val="008712FB"/>
    <w:rsid w:val="008715ED"/>
    <w:rsid w:val="008717D8"/>
    <w:rsid w:val="00871E3C"/>
    <w:rsid w:val="008721BE"/>
    <w:rsid w:val="00872F97"/>
    <w:rsid w:val="00874607"/>
    <w:rsid w:val="008747E9"/>
    <w:rsid w:val="00874915"/>
    <w:rsid w:val="00874B89"/>
    <w:rsid w:val="00875403"/>
    <w:rsid w:val="00875434"/>
    <w:rsid w:val="00875C1F"/>
    <w:rsid w:val="00876215"/>
    <w:rsid w:val="0087646C"/>
    <w:rsid w:val="00876815"/>
    <w:rsid w:val="00876F36"/>
    <w:rsid w:val="0087767C"/>
    <w:rsid w:val="00877932"/>
    <w:rsid w:val="008808C7"/>
    <w:rsid w:val="0088106B"/>
    <w:rsid w:val="0088107D"/>
    <w:rsid w:val="0088187A"/>
    <w:rsid w:val="00881E64"/>
    <w:rsid w:val="00882ABE"/>
    <w:rsid w:val="00882E39"/>
    <w:rsid w:val="00883559"/>
    <w:rsid w:val="00883775"/>
    <w:rsid w:val="00883C4B"/>
    <w:rsid w:val="008850EB"/>
    <w:rsid w:val="00885228"/>
    <w:rsid w:val="008857E3"/>
    <w:rsid w:val="00886DF2"/>
    <w:rsid w:val="00886FB9"/>
    <w:rsid w:val="00887057"/>
    <w:rsid w:val="00887080"/>
    <w:rsid w:val="00887C79"/>
    <w:rsid w:val="008908DC"/>
    <w:rsid w:val="0089107B"/>
    <w:rsid w:val="008913CC"/>
    <w:rsid w:val="008914AE"/>
    <w:rsid w:val="00891669"/>
    <w:rsid w:val="008919CF"/>
    <w:rsid w:val="00891F84"/>
    <w:rsid w:val="00891FC3"/>
    <w:rsid w:val="008928B6"/>
    <w:rsid w:val="008928EC"/>
    <w:rsid w:val="00892A15"/>
    <w:rsid w:val="00892DE9"/>
    <w:rsid w:val="00892E5D"/>
    <w:rsid w:val="008935CF"/>
    <w:rsid w:val="00893D00"/>
    <w:rsid w:val="0089436B"/>
    <w:rsid w:val="00894436"/>
    <w:rsid w:val="00894BB1"/>
    <w:rsid w:val="008951D0"/>
    <w:rsid w:val="00895442"/>
    <w:rsid w:val="0089582D"/>
    <w:rsid w:val="008959C6"/>
    <w:rsid w:val="0089606D"/>
    <w:rsid w:val="00896129"/>
    <w:rsid w:val="00896316"/>
    <w:rsid w:val="008968FF"/>
    <w:rsid w:val="00896BAF"/>
    <w:rsid w:val="00896BD3"/>
    <w:rsid w:val="00896E34"/>
    <w:rsid w:val="008972AE"/>
    <w:rsid w:val="0089774F"/>
    <w:rsid w:val="00897875"/>
    <w:rsid w:val="00897B8F"/>
    <w:rsid w:val="008A00D9"/>
    <w:rsid w:val="008A07D5"/>
    <w:rsid w:val="008A1A5B"/>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A9A"/>
    <w:rsid w:val="008B1BF5"/>
    <w:rsid w:val="008B23D4"/>
    <w:rsid w:val="008B263F"/>
    <w:rsid w:val="008B3045"/>
    <w:rsid w:val="008B3DDF"/>
    <w:rsid w:val="008B47A6"/>
    <w:rsid w:val="008B5C7C"/>
    <w:rsid w:val="008B63FE"/>
    <w:rsid w:val="008B672C"/>
    <w:rsid w:val="008B6F7D"/>
    <w:rsid w:val="008B7108"/>
    <w:rsid w:val="008B7B81"/>
    <w:rsid w:val="008C0222"/>
    <w:rsid w:val="008C065F"/>
    <w:rsid w:val="008C0743"/>
    <w:rsid w:val="008C07BD"/>
    <w:rsid w:val="008C0B4C"/>
    <w:rsid w:val="008C11F0"/>
    <w:rsid w:val="008C1918"/>
    <w:rsid w:val="008C1DBA"/>
    <w:rsid w:val="008C24E7"/>
    <w:rsid w:val="008C2500"/>
    <w:rsid w:val="008C2CAC"/>
    <w:rsid w:val="008C373A"/>
    <w:rsid w:val="008C3B63"/>
    <w:rsid w:val="008C3C57"/>
    <w:rsid w:val="008C3E2A"/>
    <w:rsid w:val="008C4214"/>
    <w:rsid w:val="008C45BD"/>
    <w:rsid w:val="008C4B19"/>
    <w:rsid w:val="008C62D4"/>
    <w:rsid w:val="008C6B89"/>
    <w:rsid w:val="008C6B97"/>
    <w:rsid w:val="008C777A"/>
    <w:rsid w:val="008C7D2F"/>
    <w:rsid w:val="008C7EF7"/>
    <w:rsid w:val="008D094D"/>
    <w:rsid w:val="008D18AA"/>
    <w:rsid w:val="008D1A2A"/>
    <w:rsid w:val="008D1ADE"/>
    <w:rsid w:val="008D277B"/>
    <w:rsid w:val="008D3199"/>
    <w:rsid w:val="008D35D9"/>
    <w:rsid w:val="008D3B36"/>
    <w:rsid w:val="008D3B85"/>
    <w:rsid w:val="008D462D"/>
    <w:rsid w:val="008D6084"/>
    <w:rsid w:val="008D64AC"/>
    <w:rsid w:val="008D656F"/>
    <w:rsid w:val="008D66CA"/>
    <w:rsid w:val="008D69B1"/>
    <w:rsid w:val="008D6DB5"/>
    <w:rsid w:val="008D7338"/>
    <w:rsid w:val="008D785E"/>
    <w:rsid w:val="008D7D66"/>
    <w:rsid w:val="008D7D9D"/>
    <w:rsid w:val="008E0012"/>
    <w:rsid w:val="008E0BE3"/>
    <w:rsid w:val="008E0DF7"/>
    <w:rsid w:val="008E0FAD"/>
    <w:rsid w:val="008E11E4"/>
    <w:rsid w:val="008E1252"/>
    <w:rsid w:val="008E1347"/>
    <w:rsid w:val="008E16E0"/>
    <w:rsid w:val="008E1C15"/>
    <w:rsid w:val="008E1C9A"/>
    <w:rsid w:val="008E2480"/>
    <w:rsid w:val="008E28BD"/>
    <w:rsid w:val="008E2BE6"/>
    <w:rsid w:val="008E30C4"/>
    <w:rsid w:val="008E38B4"/>
    <w:rsid w:val="008E3BA4"/>
    <w:rsid w:val="008E3F17"/>
    <w:rsid w:val="008E44AB"/>
    <w:rsid w:val="008E4CAE"/>
    <w:rsid w:val="008E5179"/>
    <w:rsid w:val="008E57FE"/>
    <w:rsid w:val="008E5E37"/>
    <w:rsid w:val="008E6598"/>
    <w:rsid w:val="008E710F"/>
    <w:rsid w:val="008E7214"/>
    <w:rsid w:val="008E7471"/>
    <w:rsid w:val="008E7497"/>
    <w:rsid w:val="008E7884"/>
    <w:rsid w:val="008E7D6E"/>
    <w:rsid w:val="008F0DF6"/>
    <w:rsid w:val="008F1056"/>
    <w:rsid w:val="008F268D"/>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8F7B3A"/>
    <w:rsid w:val="00900912"/>
    <w:rsid w:val="00901F1D"/>
    <w:rsid w:val="009026F0"/>
    <w:rsid w:val="009028E8"/>
    <w:rsid w:val="00902E5C"/>
    <w:rsid w:val="00903158"/>
    <w:rsid w:val="0090363E"/>
    <w:rsid w:val="00903788"/>
    <w:rsid w:val="00903CA5"/>
    <w:rsid w:val="009046E5"/>
    <w:rsid w:val="009047C5"/>
    <w:rsid w:val="00907BA5"/>
    <w:rsid w:val="00910683"/>
    <w:rsid w:val="00910E00"/>
    <w:rsid w:val="00910E04"/>
    <w:rsid w:val="009116CE"/>
    <w:rsid w:val="00911714"/>
    <w:rsid w:val="00911D04"/>
    <w:rsid w:val="00911D22"/>
    <w:rsid w:val="00911EFF"/>
    <w:rsid w:val="0091310F"/>
    <w:rsid w:val="009136D4"/>
    <w:rsid w:val="00913D24"/>
    <w:rsid w:val="00914580"/>
    <w:rsid w:val="00914B9A"/>
    <w:rsid w:val="00914C3F"/>
    <w:rsid w:val="00914F33"/>
    <w:rsid w:val="00915EFE"/>
    <w:rsid w:val="00915FCE"/>
    <w:rsid w:val="00916AFE"/>
    <w:rsid w:val="00916FC8"/>
    <w:rsid w:val="009170D3"/>
    <w:rsid w:val="0091759C"/>
    <w:rsid w:val="00920026"/>
    <w:rsid w:val="009201D7"/>
    <w:rsid w:val="0092033A"/>
    <w:rsid w:val="009203E2"/>
    <w:rsid w:val="009204C9"/>
    <w:rsid w:val="00920BF5"/>
    <w:rsid w:val="00920F61"/>
    <w:rsid w:val="00921304"/>
    <w:rsid w:val="00921395"/>
    <w:rsid w:val="00921805"/>
    <w:rsid w:val="00921E63"/>
    <w:rsid w:val="00922529"/>
    <w:rsid w:val="00923396"/>
    <w:rsid w:val="0092388E"/>
    <w:rsid w:val="00923F56"/>
    <w:rsid w:val="009242A6"/>
    <w:rsid w:val="00924770"/>
    <w:rsid w:val="00924C7A"/>
    <w:rsid w:val="00925324"/>
    <w:rsid w:val="00925346"/>
    <w:rsid w:val="00925743"/>
    <w:rsid w:val="0092579F"/>
    <w:rsid w:val="0092691D"/>
    <w:rsid w:val="00926E6B"/>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E62"/>
    <w:rsid w:val="00933ED6"/>
    <w:rsid w:val="00933FCB"/>
    <w:rsid w:val="009346C8"/>
    <w:rsid w:val="00934AA4"/>
    <w:rsid w:val="00934CEC"/>
    <w:rsid w:val="00934E69"/>
    <w:rsid w:val="00935672"/>
    <w:rsid w:val="00935DE8"/>
    <w:rsid w:val="00935E70"/>
    <w:rsid w:val="0093603F"/>
    <w:rsid w:val="0093609A"/>
    <w:rsid w:val="00936753"/>
    <w:rsid w:val="009372BA"/>
    <w:rsid w:val="00937401"/>
    <w:rsid w:val="009376FB"/>
    <w:rsid w:val="00937D6B"/>
    <w:rsid w:val="00940477"/>
    <w:rsid w:val="00940876"/>
    <w:rsid w:val="00940A53"/>
    <w:rsid w:val="00940F3C"/>
    <w:rsid w:val="009410E0"/>
    <w:rsid w:val="00941FA9"/>
    <w:rsid w:val="00943024"/>
    <w:rsid w:val="009439B6"/>
    <w:rsid w:val="009444B4"/>
    <w:rsid w:val="00944644"/>
    <w:rsid w:val="00946A24"/>
    <w:rsid w:val="00946BA1"/>
    <w:rsid w:val="009470D4"/>
    <w:rsid w:val="00947337"/>
    <w:rsid w:val="00947916"/>
    <w:rsid w:val="00947E6E"/>
    <w:rsid w:val="00950996"/>
    <w:rsid w:val="009510E1"/>
    <w:rsid w:val="009512FA"/>
    <w:rsid w:val="009516A9"/>
    <w:rsid w:val="00951E57"/>
    <w:rsid w:val="00952350"/>
    <w:rsid w:val="00952505"/>
    <w:rsid w:val="00953018"/>
    <w:rsid w:val="009533E2"/>
    <w:rsid w:val="0095353C"/>
    <w:rsid w:val="00953554"/>
    <w:rsid w:val="0095385A"/>
    <w:rsid w:val="00954F3A"/>
    <w:rsid w:val="009554B7"/>
    <w:rsid w:val="0095593C"/>
    <w:rsid w:val="00955DFD"/>
    <w:rsid w:val="0095674F"/>
    <w:rsid w:val="0095780A"/>
    <w:rsid w:val="009578C3"/>
    <w:rsid w:val="009579E4"/>
    <w:rsid w:val="00957AA4"/>
    <w:rsid w:val="00957ACB"/>
    <w:rsid w:val="00957F27"/>
    <w:rsid w:val="00960BDB"/>
    <w:rsid w:val="0096105C"/>
    <w:rsid w:val="0096147D"/>
    <w:rsid w:val="0096199C"/>
    <w:rsid w:val="00961C14"/>
    <w:rsid w:val="00961D53"/>
    <w:rsid w:val="00961E5F"/>
    <w:rsid w:val="009625C6"/>
    <w:rsid w:val="009629B5"/>
    <w:rsid w:val="00962A50"/>
    <w:rsid w:val="00963550"/>
    <w:rsid w:val="00964138"/>
    <w:rsid w:val="009648D6"/>
    <w:rsid w:val="00964B3F"/>
    <w:rsid w:val="00964C98"/>
    <w:rsid w:val="00964D77"/>
    <w:rsid w:val="00964E63"/>
    <w:rsid w:val="0096555F"/>
    <w:rsid w:val="00966B35"/>
    <w:rsid w:val="00967258"/>
    <w:rsid w:val="00971441"/>
    <w:rsid w:val="00971555"/>
    <w:rsid w:val="009715D4"/>
    <w:rsid w:val="0097179A"/>
    <w:rsid w:val="00971B0A"/>
    <w:rsid w:val="009726DD"/>
    <w:rsid w:val="0097285A"/>
    <w:rsid w:val="009731F4"/>
    <w:rsid w:val="009732A4"/>
    <w:rsid w:val="009737CD"/>
    <w:rsid w:val="00973AB3"/>
    <w:rsid w:val="00973C05"/>
    <w:rsid w:val="0097494E"/>
    <w:rsid w:val="00974999"/>
    <w:rsid w:val="00974B58"/>
    <w:rsid w:val="00974CBD"/>
    <w:rsid w:val="00974D3B"/>
    <w:rsid w:val="00975445"/>
    <w:rsid w:val="009761ED"/>
    <w:rsid w:val="0097626C"/>
    <w:rsid w:val="0098022F"/>
    <w:rsid w:val="009810DE"/>
    <w:rsid w:val="009816EA"/>
    <w:rsid w:val="00981B91"/>
    <w:rsid w:val="009822D7"/>
    <w:rsid w:val="009827E6"/>
    <w:rsid w:val="00982F84"/>
    <w:rsid w:val="009831C3"/>
    <w:rsid w:val="00983C70"/>
    <w:rsid w:val="0098427D"/>
    <w:rsid w:val="00984478"/>
    <w:rsid w:val="00984567"/>
    <w:rsid w:val="00984D24"/>
    <w:rsid w:val="00985102"/>
    <w:rsid w:val="009854BC"/>
    <w:rsid w:val="00985A66"/>
    <w:rsid w:val="00985C76"/>
    <w:rsid w:val="0098606C"/>
    <w:rsid w:val="009865D5"/>
    <w:rsid w:val="009876F2"/>
    <w:rsid w:val="00987C77"/>
    <w:rsid w:val="00987FED"/>
    <w:rsid w:val="00990345"/>
    <w:rsid w:val="00990701"/>
    <w:rsid w:val="00990CC8"/>
    <w:rsid w:val="0099119C"/>
    <w:rsid w:val="0099137A"/>
    <w:rsid w:val="0099211C"/>
    <w:rsid w:val="00993013"/>
    <w:rsid w:val="009930AB"/>
    <w:rsid w:val="00993B78"/>
    <w:rsid w:val="00994779"/>
    <w:rsid w:val="00994C64"/>
    <w:rsid w:val="00994ECC"/>
    <w:rsid w:val="00994F3F"/>
    <w:rsid w:val="00995119"/>
    <w:rsid w:val="0099531F"/>
    <w:rsid w:val="009953AD"/>
    <w:rsid w:val="009957D7"/>
    <w:rsid w:val="0099583D"/>
    <w:rsid w:val="00996020"/>
    <w:rsid w:val="0099629E"/>
    <w:rsid w:val="00996992"/>
    <w:rsid w:val="00996E1E"/>
    <w:rsid w:val="009970A0"/>
    <w:rsid w:val="00997148"/>
    <w:rsid w:val="00997392"/>
    <w:rsid w:val="0099747C"/>
    <w:rsid w:val="0099771C"/>
    <w:rsid w:val="00997FED"/>
    <w:rsid w:val="009A01E4"/>
    <w:rsid w:val="009A0917"/>
    <w:rsid w:val="009A0A33"/>
    <w:rsid w:val="009A10B2"/>
    <w:rsid w:val="009A1351"/>
    <w:rsid w:val="009A2041"/>
    <w:rsid w:val="009A2435"/>
    <w:rsid w:val="009A347B"/>
    <w:rsid w:val="009A35DC"/>
    <w:rsid w:val="009A38AB"/>
    <w:rsid w:val="009A39EE"/>
    <w:rsid w:val="009A3A33"/>
    <w:rsid w:val="009A3D47"/>
    <w:rsid w:val="009A4D63"/>
    <w:rsid w:val="009A5356"/>
    <w:rsid w:val="009A5468"/>
    <w:rsid w:val="009A55D8"/>
    <w:rsid w:val="009A5D99"/>
    <w:rsid w:val="009A608C"/>
    <w:rsid w:val="009A6FDF"/>
    <w:rsid w:val="009A715F"/>
    <w:rsid w:val="009A76D6"/>
    <w:rsid w:val="009B03F1"/>
    <w:rsid w:val="009B06D6"/>
    <w:rsid w:val="009B1E6D"/>
    <w:rsid w:val="009B2374"/>
    <w:rsid w:val="009B28D6"/>
    <w:rsid w:val="009B2E29"/>
    <w:rsid w:val="009B2F0B"/>
    <w:rsid w:val="009B3163"/>
    <w:rsid w:val="009B422F"/>
    <w:rsid w:val="009B46BC"/>
    <w:rsid w:val="009B4D1A"/>
    <w:rsid w:val="009B519D"/>
    <w:rsid w:val="009B558B"/>
    <w:rsid w:val="009B5EC2"/>
    <w:rsid w:val="009B663F"/>
    <w:rsid w:val="009B6863"/>
    <w:rsid w:val="009B6D21"/>
    <w:rsid w:val="009B76F4"/>
    <w:rsid w:val="009B78ED"/>
    <w:rsid w:val="009C181C"/>
    <w:rsid w:val="009C1A44"/>
    <w:rsid w:val="009C1C7F"/>
    <w:rsid w:val="009C1EC7"/>
    <w:rsid w:val="009C2210"/>
    <w:rsid w:val="009C28A2"/>
    <w:rsid w:val="009C3239"/>
    <w:rsid w:val="009C3828"/>
    <w:rsid w:val="009C3AD3"/>
    <w:rsid w:val="009C3AF4"/>
    <w:rsid w:val="009C3D2C"/>
    <w:rsid w:val="009C40BD"/>
    <w:rsid w:val="009C4987"/>
    <w:rsid w:val="009C4FDE"/>
    <w:rsid w:val="009C523F"/>
    <w:rsid w:val="009C59BF"/>
    <w:rsid w:val="009C5E4F"/>
    <w:rsid w:val="009C5F64"/>
    <w:rsid w:val="009C5F82"/>
    <w:rsid w:val="009C60EA"/>
    <w:rsid w:val="009C68B8"/>
    <w:rsid w:val="009C6BFC"/>
    <w:rsid w:val="009C70F8"/>
    <w:rsid w:val="009C78A3"/>
    <w:rsid w:val="009C7B7C"/>
    <w:rsid w:val="009C7E68"/>
    <w:rsid w:val="009D00D7"/>
    <w:rsid w:val="009D0156"/>
    <w:rsid w:val="009D03B4"/>
    <w:rsid w:val="009D05DA"/>
    <w:rsid w:val="009D11EF"/>
    <w:rsid w:val="009D11F6"/>
    <w:rsid w:val="009D16C4"/>
    <w:rsid w:val="009D1A14"/>
    <w:rsid w:val="009D1E2A"/>
    <w:rsid w:val="009D1FA0"/>
    <w:rsid w:val="009D2BDF"/>
    <w:rsid w:val="009D315C"/>
    <w:rsid w:val="009D3736"/>
    <w:rsid w:val="009D4228"/>
    <w:rsid w:val="009D4509"/>
    <w:rsid w:val="009D4529"/>
    <w:rsid w:val="009D460F"/>
    <w:rsid w:val="009D4E22"/>
    <w:rsid w:val="009D5AF5"/>
    <w:rsid w:val="009D604F"/>
    <w:rsid w:val="009D61BB"/>
    <w:rsid w:val="009D6410"/>
    <w:rsid w:val="009D68BB"/>
    <w:rsid w:val="009D6909"/>
    <w:rsid w:val="009D700F"/>
    <w:rsid w:val="009D70C2"/>
    <w:rsid w:val="009D7244"/>
    <w:rsid w:val="009D756C"/>
    <w:rsid w:val="009D7ADB"/>
    <w:rsid w:val="009D7B33"/>
    <w:rsid w:val="009E02E5"/>
    <w:rsid w:val="009E0490"/>
    <w:rsid w:val="009E04EA"/>
    <w:rsid w:val="009E06C3"/>
    <w:rsid w:val="009E0703"/>
    <w:rsid w:val="009E07C2"/>
    <w:rsid w:val="009E1035"/>
    <w:rsid w:val="009E16DA"/>
    <w:rsid w:val="009E1CD4"/>
    <w:rsid w:val="009E2391"/>
    <w:rsid w:val="009E2A11"/>
    <w:rsid w:val="009E4101"/>
    <w:rsid w:val="009E46C2"/>
    <w:rsid w:val="009E476A"/>
    <w:rsid w:val="009E48A0"/>
    <w:rsid w:val="009E4A16"/>
    <w:rsid w:val="009E4E05"/>
    <w:rsid w:val="009E56FF"/>
    <w:rsid w:val="009E5CB1"/>
    <w:rsid w:val="009E5E56"/>
    <w:rsid w:val="009E61EA"/>
    <w:rsid w:val="009E6990"/>
    <w:rsid w:val="009E6B8F"/>
    <w:rsid w:val="009E6FEE"/>
    <w:rsid w:val="009E7247"/>
    <w:rsid w:val="009F00B9"/>
    <w:rsid w:val="009F060F"/>
    <w:rsid w:val="009F0781"/>
    <w:rsid w:val="009F0850"/>
    <w:rsid w:val="009F15A8"/>
    <w:rsid w:val="009F1950"/>
    <w:rsid w:val="009F1BDF"/>
    <w:rsid w:val="009F1EAE"/>
    <w:rsid w:val="009F210A"/>
    <w:rsid w:val="009F2732"/>
    <w:rsid w:val="009F2848"/>
    <w:rsid w:val="009F2D15"/>
    <w:rsid w:val="009F369D"/>
    <w:rsid w:val="009F36FE"/>
    <w:rsid w:val="009F44A9"/>
    <w:rsid w:val="009F4990"/>
    <w:rsid w:val="009F4D4C"/>
    <w:rsid w:val="009F4F25"/>
    <w:rsid w:val="009F59C2"/>
    <w:rsid w:val="009F5D47"/>
    <w:rsid w:val="009F69B6"/>
    <w:rsid w:val="009F7263"/>
    <w:rsid w:val="009F76EA"/>
    <w:rsid w:val="009F78EB"/>
    <w:rsid w:val="009F792F"/>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600"/>
    <w:rsid w:val="00A078FB"/>
    <w:rsid w:val="00A10209"/>
    <w:rsid w:val="00A1036D"/>
    <w:rsid w:val="00A1069F"/>
    <w:rsid w:val="00A10ACA"/>
    <w:rsid w:val="00A10D08"/>
    <w:rsid w:val="00A1145B"/>
    <w:rsid w:val="00A11E78"/>
    <w:rsid w:val="00A12355"/>
    <w:rsid w:val="00A12574"/>
    <w:rsid w:val="00A127D2"/>
    <w:rsid w:val="00A1284E"/>
    <w:rsid w:val="00A13CF5"/>
    <w:rsid w:val="00A14368"/>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0A2B"/>
    <w:rsid w:val="00A210D4"/>
    <w:rsid w:val="00A213DD"/>
    <w:rsid w:val="00A21454"/>
    <w:rsid w:val="00A216CE"/>
    <w:rsid w:val="00A21F8B"/>
    <w:rsid w:val="00A22025"/>
    <w:rsid w:val="00A22498"/>
    <w:rsid w:val="00A22571"/>
    <w:rsid w:val="00A2298D"/>
    <w:rsid w:val="00A235E1"/>
    <w:rsid w:val="00A23A34"/>
    <w:rsid w:val="00A23B37"/>
    <w:rsid w:val="00A24560"/>
    <w:rsid w:val="00A25B0F"/>
    <w:rsid w:val="00A25BBB"/>
    <w:rsid w:val="00A27FB6"/>
    <w:rsid w:val="00A30121"/>
    <w:rsid w:val="00A30368"/>
    <w:rsid w:val="00A3043A"/>
    <w:rsid w:val="00A30E02"/>
    <w:rsid w:val="00A30F6A"/>
    <w:rsid w:val="00A31060"/>
    <w:rsid w:val="00A31C3E"/>
    <w:rsid w:val="00A32354"/>
    <w:rsid w:val="00A33A9A"/>
    <w:rsid w:val="00A33C34"/>
    <w:rsid w:val="00A34538"/>
    <w:rsid w:val="00A34677"/>
    <w:rsid w:val="00A3540F"/>
    <w:rsid w:val="00A35630"/>
    <w:rsid w:val="00A35914"/>
    <w:rsid w:val="00A36189"/>
    <w:rsid w:val="00A3677A"/>
    <w:rsid w:val="00A36A0C"/>
    <w:rsid w:val="00A37E73"/>
    <w:rsid w:val="00A37FB6"/>
    <w:rsid w:val="00A40088"/>
    <w:rsid w:val="00A409E2"/>
    <w:rsid w:val="00A40A49"/>
    <w:rsid w:val="00A4104A"/>
    <w:rsid w:val="00A41081"/>
    <w:rsid w:val="00A41189"/>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D07"/>
    <w:rsid w:val="00A44F54"/>
    <w:rsid w:val="00A45F9B"/>
    <w:rsid w:val="00A46383"/>
    <w:rsid w:val="00A46574"/>
    <w:rsid w:val="00A466E7"/>
    <w:rsid w:val="00A47701"/>
    <w:rsid w:val="00A47849"/>
    <w:rsid w:val="00A500B1"/>
    <w:rsid w:val="00A50D03"/>
    <w:rsid w:val="00A52A53"/>
    <w:rsid w:val="00A52EE5"/>
    <w:rsid w:val="00A53037"/>
    <w:rsid w:val="00A532B9"/>
    <w:rsid w:val="00A5351D"/>
    <w:rsid w:val="00A53E79"/>
    <w:rsid w:val="00A54031"/>
    <w:rsid w:val="00A5426D"/>
    <w:rsid w:val="00A54FC2"/>
    <w:rsid w:val="00A55122"/>
    <w:rsid w:val="00A55806"/>
    <w:rsid w:val="00A55CEA"/>
    <w:rsid w:val="00A56A05"/>
    <w:rsid w:val="00A56DE7"/>
    <w:rsid w:val="00A57C5F"/>
    <w:rsid w:val="00A57EB2"/>
    <w:rsid w:val="00A6009E"/>
    <w:rsid w:val="00A60265"/>
    <w:rsid w:val="00A60540"/>
    <w:rsid w:val="00A60B1F"/>
    <w:rsid w:val="00A60B77"/>
    <w:rsid w:val="00A60CAD"/>
    <w:rsid w:val="00A6144B"/>
    <w:rsid w:val="00A61C60"/>
    <w:rsid w:val="00A62589"/>
    <w:rsid w:val="00A62AD0"/>
    <w:rsid w:val="00A62C3A"/>
    <w:rsid w:val="00A6319C"/>
    <w:rsid w:val="00A63812"/>
    <w:rsid w:val="00A63DF7"/>
    <w:rsid w:val="00A63F2A"/>
    <w:rsid w:val="00A6454D"/>
    <w:rsid w:val="00A64767"/>
    <w:rsid w:val="00A64F2F"/>
    <w:rsid w:val="00A65F3F"/>
    <w:rsid w:val="00A6611E"/>
    <w:rsid w:val="00A668BA"/>
    <w:rsid w:val="00A66FA7"/>
    <w:rsid w:val="00A67170"/>
    <w:rsid w:val="00A67E16"/>
    <w:rsid w:val="00A67EB1"/>
    <w:rsid w:val="00A67F1C"/>
    <w:rsid w:val="00A703CC"/>
    <w:rsid w:val="00A703F7"/>
    <w:rsid w:val="00A709ED"/>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61C8"/>
    <w:rsid w:val="00A77168"/>
    <w:rsid w:val="00A7723B"/>
    <w:rsid w:val="00A773C3"/>
    <w:rsid w:val="00A7793C"/>
    <w:rsid w:val="00A77D21"/>
    <w:rsid w:val="00A80085"/>
    <w:rsid w:val="00A8043B"/>
    <w:rsid w:val="00A80DA0"/>
    <w:rsid w:val="00A81323"/>
    <w:rsid w:val="00A820CB"/>
    <w:rsid w:val="00A82342"/>
    <w:rsid w:val="00A8236F"/>
    <w:rsid w:val="00A82D06"/>
    <w:rsid w:val="00A833EF"/>
    <w:rsid w:val="00A83BEF"/>
    <w:rsid w:val="00A84443"/>
    <w:rsid w:val="00A8487F"/>
    <w:rsid w:val="00A849A3"/>
    <w:rsid w:val="00A84A0E"/>
    <w:rsid w:val="00A8575D"/>
    <w:rsid w:val="00A861F4"/>
    <w:rsid w:val="00A864BA"/>
    <w:rsid w:val="00A86DE4"/>
    <w:rsid w:val="00A86E0B"/>
    <w:rsid w:val="00A87C08"/>
    <w:rsid w:val="00A90F12"/>
    <w:rsid w:val="00A915BC"/>
    <w:rsid w:val="00A91DAA"/>
    <w:rsid w:val="00A93101"/>
    <w:rsid w:val="00A93239"/>
    <w:rsid w:val="00A93F5E"/>
    <w:rsid w:val="00A9413E"/>
    <w:rsid w:val="00A94293"/>
    <w:rsid w:val="00A94844"/>
    <w:rsid w:val="00A94877"/>
    <w:rsid w:val="00A9496E"/>
    <w:rsid w:val="00A949F0"/>
    <w:rsid w:val="00A94B77"/>
    <w:rsid w:val="00A94BDE"/>
    <w:rsid w:val="00A94FCA"/>
    <w:rsid w:val="00A955E1"/>
    <w:rsid w:val="00A95E4C"/>
    <w:rsid w:val="00A961CA"/>
    <w:rsid w:val="00A96C60"/>
    <w:rsid w:val="00A96D2E"/>
    <w:rsid w:val="00A9740B"/>
    <w:rsid w:val="00A9766C"/>
    <w:rsid w:val="00A977F8"/>
    <w:rsid w:val="00A979DB"/>
    <w:rsid w:val="00A97A77"/>
    <w:rsid w:val="00A97C93"/>
    <w:rsid w:val="00AA06C6"/>
    <w:rsid w:val="00AA0823"/>
    <w:rsid w:val="00AA08E7"/>
    <w:rsid w:val="00AA09D2"/>
    <w:rsid w:val="00AA0A06"/>
    <w:rsid w:val="00AA1351"/>
    <w:rsid w:val="00AA184C"/>
    <w:rsid w:val="00AA1AF4"/>
    <w:rsid w:val="00AA1C84"/>
    <w:rsid w:val="00AA22B1"/>
    <w:rsid w:val="00AA282D"/>
    <w:rsid w:val="00AA3D7B"/>
    <w:rsid w:val="00AA42A0"/>
    <w:rsid w:val="00AA442B"/>
    <w:rsid w:val="00AA46A4"/>
    <w:rsid w:val="00AA5779"/>
    <w:rsid w:val="00AA58A1"/>
    <w:rsid w:val="00AA61C7"/>
    <w:rsid w:val="00AA6544"/>
    <w:rsid w:val="00AA669D"/>
    <w:rsid w:val="00AA66ED"/>
    <w:rsid w:val="00AA6B59"/>
    <w:rsid w:val="00AA6BE1"/>
    <w:rsid w:val="00AA7416"/>
    <w:rsid w:val="00AA7873"/>
    <w:rsid w:val="00AA7A60"/>
    <w:rsid w:val="00AA7B42"/>
    <w:rsid w:val="00AB041C"/>
    <w:rsid w:val="00AB11C8"/>
    <w:rsid w:val="00AB14E8"/>
    <w:rsid w:val="00AB1B1D"/>
    <w:rsid w:val="00AB1CD8"/>
    <w:rsid w:val="00AB2216"/>
    <w:rsid w:val="00AB2A9E"/>
    <w:rsid w:val="00AB358D"/>
    <w:rsid w:val="00AB37A1"/>
    <w:rsid w:val="00AB3BAD"/>
    <w:rsid w:val="00AB3CFD"/>
    <w:rsid w:val="00AB49BC"/>
    <w:rsid w:val="00AB4DEE"/>
    <w:rsid w:val="00AB4E32"/>
    <w:rsid w:val="00AB57B0"/>
    <w:rsid w:val="00AB5C19"/>
    <w:rsid w:val="00AB5FC3"/>
    <w:rsid w:val="00AB63BD"/>
    <w:rsid w:val="00AB6DFE"/>
    <w:rsid w:val="00AB724B"/>
    <w:rsid w:val="00AB726C"/>
    <w:rsid w:val="00AB72B4"/>
    <w:rsid w:val="00AB7549"/>
    <w:rsid w:val="00AB7A7A"/>
    <w:rsid w:val="00AC02AA"/>
    <w:rsid w:val="00AC0537"/>
    <w:rsid w:val="00AC0A84"/>
    <w:rsid w:val="00AC11E8"/>
    <w:rsid w:val="00AC1508"/>
    <w:rsid w:val="00AC2A0B"/>
    <w:rsid w:val="00AC2BEE"/>
    <w:rsid w:val="00AC2E53"/>
    <w:rsid w:val="00AC484F"/>
    <w:rsid w:val="00AC4AD2"/>
    <w:rsid w:val="00AC4B20"/>
    <w:rsid w:val="00AC51BD"/>
    <w:rsid w:val="00AC5395"/>
    <w:rsid w:val="00AC559D"/>
    <w:rsid w:val="00AC55C7"/>
    <w:rsid w:val="00AC56F2"/>
    <w:rsid w:val="00AC5D9D"/>
    <w:rsid w:val="00AC6DDB"/>
    <w:rsid w:val="00AC71C3"/>
    <w:rsid w:val="00AD09F7"/>
    <w:rsid w:val="00AD1DB6"/>
    <w:rsid w:val="00AD1EFA"/>
    <w:rsid w:val="00AD2072"/>
    <w:rsid w:val="00AD2DBD"/>
    <w:rsid w:val="00AD2FBF"/>
    <w:rsid w:val="00AD33A1"/>
    <w:rsid w:val="00AD340E"/>
    <w:rsid w:val="00AD3DAD"/>
    <w:rsid w:val="00AD455D"/>
    <w:rsid w:val="00AD463C"/>
    <w:rsid w:val="00AD4F60"/>
    <w:rsid w:val="00AD5044"/>
    <w:rsid w:val="00AD5114"/>
    <w:rsid w:val="00AD6236"/>
    <w:rsid w:val="00AD69D5"/>
    <w:rsid w:val="00AD7619"/>
    <w:rsid w:val="00AD7770"/>
    <w:rsid w:val="00AE0FDD"/>
    <w:rsid w:val="00AE1772"/>
    <w:rsid w:val="00AE1990"/>
    <w:rsid w:val="00AE2170"/>
    <w:rsid w:val="00AE25E8"/>
    <w:rsid w:val="00AE2AD4"/>
    <w:rsid w:val="00AE2CA7"/>
    <w:rsid w:val="00AE2F1D"/>
    <w:rsid w:val="00AE428F"/>
    <w:rsid w:val="00AE4A7D"/>
    <w:rsid w:val="00AE4C81"/>
    <w:rsid w:val="00AE586F"/>
    <w:rsid w:val="00AE58EE"/>
    <w:rsid w:val="00AE62FE"/>
    <w:rsid w:val="00AE6582"/>
    <w:rsid w:val="00AE6BA3"/>
    <w:rsid w:val="00AE6DC5"/>
    <w:rsid w:val="00AE7686"/>
    <w:rsid w:val="00AE799A"/>
    <w:rsid w:val="00AE7A69"/>
    <w:rsid w:val="00AF0E81"/>
    <w:rsid w:val="00AF117A"/>
    <w:rsid w:val="00AF134E"/>
    <w:rsid w:val="00AF16CA"/>
    <w:rsid w:val="00AF186E"/>
    <w:rsid w:val="00AF19DF"/>
    <w:rsid w:val="00AF1D41"/>
    <w:rsid w:val="00AF1FFF"/>
    <w:rsid w:val="00AF26CF"/>
    <w:rsid w:val="00AF3124"/>
    <w:rsid w:val="00AF344D"/>
    <w:rsid w:val="00AF39B3"/>
    <w:rsid w:val="00AF3C1F"/>
    <w:rsid w:val="00AF3FED"/>
    <w:rsid w:val="00AF4402"/>
    <w:rsid w:val="00AF4639"/>
    <w:rsid w:val="00AF4E92"/>
    <w:rsid w:val="00AF4EF8"/>
    <w:rsid w:val="00AF54C4"/>
    <w:rsid w:val="00AF554B"/>
    <w:rsid w:val="00AF5C9B"/>
    <w:rsid w:val="00AF5CD4"/>
    <w:rsid w:val="00AF5D53"/>
    <w:rsid w:val="00AF5E2D"/>
    <w:rsid w:val="00AF644B"/>
    <w:rsid w:val="00AF69EB"/>
    <w:rsid w:val="00AF6CA6"/>
    <w:rsid w:val="00AF6DEC"/>
    <w:rsid w:val="00AF6EB6"/>
    <w:rsid w:val="00AF778C"/>
    <w:rsid w:val="00AF7796"/>
    <w:rsid w:val="00AF7CF5"/>
    <w:rsid w:val="00B00580"/>
    <w:rsid w:val="00B011A9"/>
    <w:rsid w:val="00B01618"/>
    <w:rsid w:val="00B01BAF"/>
    <w:rsid w:val="00B021A5"/>
    <w:rsid w:val="00B024ED"/>
    <w:rsid w:val="00B026B8"/>
    <w:rsid w:val="00B02EB3"/>
    <w:rsid w:val="00B02F7C"/>
    <w:rsid w:val="00B02FCB"/>
    <w:rsid w:val="00B033F8"/>
    <w:rsid w:val="00B03C1E"/>
    <w:rsid w:val="00B04078"/>
    <w:rsid w:val="00B04400"/>
    <w:rsid w:val="00B04835"/>
    <w:rsid w:val="00B05A55"/>
    <w:rsid w:val="00B05DE1"/>
    <w:rsid w:val="00B06595"/>
    <w:rsid w:val="00B06862"/>
    <w:rsid w:val="00B07008"/>
    <w:rsid w:val="00B10109"/>
    <w:rsid w:val="00B102A0"/>
    <w:rsid w:val="00B1085E"/>
    <w:rsid w:val="00B10FD1"/>
    <w:rsid w:val="00B112D5"/>
    <w:rsid w:val="00B11378"/>
    <w:rsid w:val="00B1219D"/>
    <w:rsid w:val="00B124B1"/>
    <w:rsid w:val="00B12735"/>
    <w:rsid w:val="00B12F44"/>
    <w:rsid w:val="00B13C48"/>
    <w:rsid w:val="00B13E35"/>
    <w:rsid w:val="00B13EC0"/>
    <w:rsid w:val="00B14102"/>
    <w:rsid w:val="00B14478"/>
    <w:rsid w:val="00B14D32"/>
    <w:rsid w:val="00B1507C"/>
    <w:rsid w:val="00B1557C"/>
    <w:rsid w:val="00B155DC"/>
    <w:rsid w:val="00B15766"/>
    <w:rsid w:val="00B15E4A"/>
    <w:rsid w:val="00B1666A"/>
    <w:rsid w:val="00B167C8"/>
    <w:rsid w:val="00B1686D"/>
    <w:rsid w:val="00B1695F"/>
    <w:rsid w:val="00B16BF7"/>
    <w:rsid w:val="00B17129"/>
    <w:rsid w:val="00B171C0"/>
    <w:rsid w:val="00B1741D"/>
    <w:rsid w:val="00B17447"/>
    <w:rsid w:val="00B17719"/>
    <w:rsid w:val="00B1771D"/>
    <w:rsid w:val="00B17B91"/>
    <w:rsid w:val="00B20209"/>
    <w:rsid w:val="00B203C9"/>
    <w:rsid w:val="00B2088D"/>
    <w:rsid w:val="00B208FF"/>
    <w:rsid w:val="00B21271"/>
    <w:rsid w:val="00B22B57"/>
    <w:rsid w:val="00B22E22"/>
    <w:rsid w:val="00B22F5F"/>
    <w:rsid w:val="00B23353"/>
    <w:rsid w:val="00B23490"/>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6CD3"/>
    <w:rsid w:val="00B27875"/>
    <w:rsid w:val="00B3008D"/>
    <w:rsid w:val="00B302C7"/>
    <w:rsid w:val="00B30884"/>
    <w:rsid w:val="00B30E11"/>
    <w:rsid w:val="00B30EAE"/>
    <w:rsid w:val="00B30EEB"/>
    <w:rsid w:val="00B30F09"/>
    <w:rsid w:val="00B31423"/>
    <w:rsid w:val="00B31619"/>
    <w:rsid w:val="00B317AE"/>
    <w:rsid w:val="00B323E0"/>
    <w:rsid w:val="00B32525"/>
    <w:rsid w:val="00B32DC0"/>
    <w:rsid w:val="00B32E31"/>
    <w:rsid w:val="00B3346C"/>
    <w:rsid w:val="00B335E4"/>
    <w:rsid w:val="00B33C23"/>
    <w:rsid w:val="00B345B4"/>
    <w:rsid w:val="00B348B1"/>
    <w:rsid w:val="00B34A28"/>
    <w:rsid w:val="00B35046"/>
    <w:rsid w:val="00B357F4"/>
    <w:rsid w:val="00B35B6A"/>
    <w:rsid w:val="00B36D2B"/>
    <w:rsid w:val="00B36F78"/>
    <w:rsid w:val="00B37657"/>
    <w:rsid w:val="00B37AFD"/>
    <w:rsid w:val="00B37B07"/>
    <w:rsid w:val="00B37BA1"/>
    <w:rsid w:val="00B4046F"/>
    <w:rsid w:val="00B406B3"/>
    <w:rsid w:val="00B406DE"/>
    <w:rsid w:val="00B40A36"/>
    <w:rsid w:val="00B41583"/>
    <w:rsid w:val="00B41BCA"/>
    <w:rsid w:val="00B41D39"/>
    <w:rsid w:val="00B422C0"/>
    <w:rsid w:val="00B426CA"/>
    <w:rsid w:val="00B426E1"/>
    <w:rsid w:val="00B4387A"/>
    <w:rsid w:val="00B43B9B"/>
    <w:rsid w:val="00B44746"/>
    <w:rsid w:val="00B44854"/>
    <w:rsid w:val="00B44BA5"/>
    <w:rsid w:val="00B45236"/>
    <w:rsid w:val="00B458D0"/>
    <w:rsid w:val="00B45BCD"/>
    <w:rsid w:val="00B4792C"/>
    <w:rsid w:val="00B50CAE"/>
    <w:rsid w:val="00B512AD"/>
    <w:rsid w:val="00B5196C"/>
    <w:rsid w:val="00B525CB"/>
    <w:rsid w:val="00B52697"/>
    <w:rsid w:val="00B53201"/>
    <w:rsid w:val="00B53BB2"/>
    <w:rsid w:val="00B53D1A"/>
    <w:rsid w:val="00B53D6B"/>
    <w:rsid w:val="00B54215"/>
    <w:rsid w:val="00B54D8F"/>
    <w:rsid w:val="00B5500E"/>
    <w:rsid w:val="00B55857"/>
    <w:rsid w:val="00B55C69"/>
    <w:rsid w:val="00B56688"/>
    <w:rsid w:val="00B56851"/>
    <w:rsid w:val="00B56D6E"/>
    <w:rsid w:val="00B572F7"/>
    <w:rsid w:val="00B57B9D"/>
    <w:rsid w:val="00B57DAF"/>
    <w:rsid w:val="00B60094"/>
    <w:rsid w:val="00B6022C"/>
    <w:rsid w:val="00B6040C"/>
    <w:rsid w:val="00B614F8"/>
    <w:rsid w:val="00B61994"/>
    <w:rsid w:val="00B61B18"/>
    <w:rsid w:val="00B61FD4"/>
    <w:rsid w:val="00B6235B"/>
    <w:rsid w:val="00B6264D"/>
    <w:rsid w:val="00B62880"/>
    <w:rsid w:val="00B63033"/>
    <w:rsid w:val="00B630DD"/>
    <w:rsid w:val="00B63872"/>
    <w:rsid w:val="00B63CB2"/>
    <w:rsid w:val="00B64246"/>
    <w:rsid w:val="00B64CD5"/>
    <w:rsid w:val="00B64EDB"/>
    <w:rsid w:val="00B657AB"/>
    <w:rsid w:val="00B65938"/>
    <w:rsid w:val="00B65A5D"/>
    <w:rsid w:val="00B65C8A"/>
    <w:rsid w:val="00B65CE2"/>
    <w:rsid w:val="00B660AD"/>
    <w:rsid w:val="00B66109"/>
    <w:rsid w:val="00B66349"/>
    <w:rsid w:val="00B669B3"/>
    <w:rsid w:val="00B67FBF"/>
    <w:rsid w:val="00B70832"/>
    <w:rsid w:val="00B7084C"/>
    <w:rsid w:val="00B70F36"/>
    <w:rsid w:val="00B70FD2"/>
    <w:rsid w:val="00B71376"/>
    <w:rsid w:val="00B716D7"/>
    <w:rsid w:val="00B72110"/>
    <w:rsid w:val="00B723E1"/>
    <w:rsid w:val="00B726C6"/>
    <w:rsid w:val="00B72B91"/>
    <w:rsid w:val="00B73019"/>
    <w:rsid w:val="00B7315F"/>
    <w:rsid w:val="00B7323A"/>
    <w:rsid w:val="00B7353B"/>
    <w:rsid w:val="00B737FB"/>
    <w:rsid w:val="00B73C6C"/>
    <w:rsid w:val="00B73E5D"/>
    <w:rsid w:val="00B73EF3"/>
    <w:rsid w:val="00B7423D"/>
    <w:rsid w:val="00B74D05"/>
    <w:rsid w:val="00B74EF8"/>
    <w:rsid w:val="00B754EC"/>
    <w:rsid w:val="00B75893"/>
    <w:rsid w:val="00B771F4"/>
    <w:rsid w:val="00B7762A"/>
    <w:rsid w:val="00B777FA"/>
    <w:rsid w:val="00B77850"/>
    <w:rsid w:val="00B7796B"/>
    <w:rsid w:val="00B77A21"/>
    <w:rsid w:val="00B80364"/>
    <w:rsid w:val="00B80C72"/>
    <w:rsid w:val="00B8101E"/>
    <w:rsid w:val="00B817DF"/>
    <w:rsid w:val="00B81964"/>
    <w:rsid w:val="00B81E6F"/>
    <w:rsid w:val="00B82123"/>
    <w:rsid w:val="00B8225B"/>
    <w:rsid w:val="00B82BB5"/>
    <w:rsid w:val="00B82D4D"/>
    <w:rsid w:val="00B83182"/>
    <w:rsid w:val="00B839F0"/>
    <w:rsid w:val="00B84EFE"/>
    <w:rsid w:val="00B851E4"/>
    <w:rsid w:val="00B854CE"/>
    <w:rsid w:val="00B85681"/>
    <w:rsid w:val="00B857EB"/>
    <w:rsid w:val="00B858AD"/>
    <w:rsid w:val="00B86162"/>
    <w:rsid w:val="00B86877"/>
    <w:rsid w:val="00B8695D"/>
    <w:rsid w:val="00B86E66"/>
    <w:rsid w:val="00B871D7"/>
    <w:rsid w:val="00B873BA"/>
    <w:rsid w:val="00B8746F"/>
    <w:rsid w:val="00B874EC"/>
    <w:rsid w:val="00B8760D"/>
    <w:rsid w:val="00B87706"/>
    <w:rsid w:val="00B90A49"/>
    <w:rsid w:val="00B90A73"/>
    <w:rsid w:val="00B91362"/>
    <w:rsid w:val="00B919D8"/>
    <w:rsid w:val="00B91B8E"/>
    <w:rsid w:val="00B91E7B"/>
    <w:rsid w:val="00B920D1"/>
    <w:rsid w:val="00B92531"/>
    <w:rsid w:val="00B92618"/>
    <w:rsid w:val="00B92751"/>
    <w:rsid w:val="00B92B69"/>
    <w:rsid w:val="00B92CC6"/>
    <w:rsid w:val="00B935C9"/>
    <w:rsid w:val="00B93E3D"/>
    <w:rsid w:val="00B944EC"/>
    <w:rsid w:val="00B95464"/>
    <w:rsid w:val="00B95C30"/>
    <w:rsid w:val="00B95E3D"/>
    <w:rsid w:val="00B96358"/>
    <w:rsid w:val="00B9691F"/>
    <w:rsid w:val="00B96EEC"/>
    <w:rsid w:val="00B97392"/>
    <w:rsid w:val="00B976C7"/>
    <w:rsid w:val="00B97A19"/>
    <w:rsid w:val="00B97A73"/>
    <w:rsid w:val="00BA0C54"/>
    <w:rsid w:val="00BA1382"/>
    <w:rsid w:val="00BA15E3"/>
    <w:rsid w:val="00BA1A8C"/>
    <w:rsid w:val="00BA20B6"/>
    <w:rsid w:val="00BA20D8"/>
    <w:rsid w:val="00BA22FC"/>
    <w:rsid w:val="00BA2C2A"/>
    <w:rsid w:val="00BA2F30"/>
    <w:rsid w:val="00BA3982"/>
    <w:rsid w:val="00BA3CE5"/>
    <w:rsid w:val="00BA3E19"/>
    <w:rsid w:val="00BA405F"/>
    <w:rsid w:val="00BA4771"/>
    <w:rsid w:val="00BA482B"/>
    <w:rsid w:val="00BA5027"/>
    <w:rsid w:val="00BA550C"/>
    <w:rsid w:val="00BA665B"/>
    <w:rsid w:val="00BA6FE8"/>
    <w:rsid w:val="00BA732D"/>
    <w:rsid w:val="00BA7370"/>
    <w:rsid w:val="00BA778B"/>
    <w:rsid w:val="00BA78C8"/>
    <w:rsid w:val="00BB06FE"/>
    <w:rsid w:val="00BB0888"/>
    <w:rsid w:val="00BB0DF1"/>
    <w:rsid w:val="00BB0E49"/>
    <w:rsid w:val="00BB0E9B"/>
    <w:rsid w:val="00BB1209"/>
    <w:rsid w:val="00BB1F3F"/>
    <w:rsid w:val="00BB2841"/>
    <w:rsid w:val="00BB300F"/>
    <w:rsid w:val="00BB3253"/>
    <w:rsid w:val="00BB32C9"/>
    <w:rsid w:val="00BB35C5"/>
    <w:rsid w:val="00BB4048"/>
    <w:rsid w:val="00BB498D"/>
    <w:rsid w:val="00BB4C8E"/>
    <w:rsid w:val="00BB4E23"/>
    <w:rsid w:val="00BB51A0"/>
    <w:rsid w:val="00BB5324"/>
    <w:rsid w:val="00BB57ED"/>
    <w:rsid w:val="00BB5A2D"/>
    <w:rsid w:val="00BB606C"/>
    <w:rsid w:val="00BB6209"/>
    <w:rsid w:val="00BB65C3"/>
    <w:rsid w:val="00BB662E"/>
    <w:rsid w:val="00BB67A9"/>
    <w:rsid w:val="00BB6C01"/>
    <w:rsid w:val="00BB7942"/>
    <w:rsid w:val="00BB7CD1"/>
    <w:rsid w:val="00BC0CAC"/>
    <w:rsid w:val="00BC0F33"/>
    <w:rsid w:val="00BC12D0"/>
    <w:rsid w:val="00BC1395"/>
    <w:rsid w:val="00BC14A7"/>
    <w:rsid w:val="00BC17CC"/>
    <w:rsid w:val="00BC209F"/>
    <w:rsid w:val="00BC24AD"/>
    <w:rsid w:val="00BC2898"/>
    <w:rsid w:val="00BC2928"/>
    <w:rsid w:val="00BC29BD"/>
    <w:rsid w:val="00BC2BB1"/>
    <w:rsid w:val="00BC3099"/>
    <w:rsid w:val="00BC34A3"/>
    <w:rsid w:val="00BC355D"/>
    <w:rsid w:val="00BC3FF9"/>
    <w:rsid w:val="00BC41E9"/>
    <w:rsid w:val="00BC4834"/>
    <w:rsid w:val="00BC4A97"/>
    <w:rsid w:val="00BC5A25"/>
    <w:rsid w:val="00BC5FDD"/>
    <w:rsid w:val="00BC68B4"/>
    <w:rsid w:val="00BC7277"/>
    <w:rsid w:val="00BC7EB4"/>
    <w:rsid w:val="00BC7FDD"/>
    <w:rsid w:val="00BD0140"/>
    <w:rsid w:val="00BD018E"/>
    <w:rsid w:val="00BD02CC"/>
    <w:rsid w:val="00BD088E"/>
    <w:rsid w:val="00BD0F18"/>
    <w:rsid w:val="00BD182E"/>
    <w:rsid w:val="00BD2063"/>
    <w:rsid w:val="00BD2950"/>
    <w:rsid w:val="00BD2FF1"/>
    <w:rsid w:val="00BD337A"/>
    <w:rsid w:val="00BD33D9"/>
    <w:rsid w:val="00BD38C5"/>
    <w:rsid w:val="00BD3A6D"/>
    <w:rsid w:val="00BD3AF1"/>
    <w:rsid w:val="00BD3DEA"/>
    <w:rsid w:val="00BD3E97"/>
    <w:rsid w:val="00BD40E4"/>
    <w:rsid w:val="00BD52FE"/>
    <w:rsid w:val="00BD5906"/>
    <w:rsid w:val="00BD623A"/>
    <w:rsid w:val="00BD62CF"/>
    <w:rsid w:val="00BD67B2"/>
    <w:rsid w:val="00BD68E2"/>
    <w:rsid w:val="00BD6D41"/>
    <w:rsid w:val="00BD76E5"/>
    <w:rsid w:val="00BD78FE"/>
    <w:rsid w:val="00BD791F"/>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D73"/>
    <w:rsid w:val="00BE7257"/>
    <w:rsid w:val="00BF020D"/>
    <w:rsid w:val="00BF0532"/>
    <w:rsid w:val="00BF0609"/>
    <w:rsid w:val="00BF0797"/>
    <w:rsid w:val="00BF0EE8"/>
    <w:rsid w:val="00BF10ED"/>
    <w:rsid w:val="00BF12F1"/>
    <w:rsid w:val="00BF1DD2"/>
    <w:rsid w:val="00BF23A3"/>
    <w:rsid w:val="00BF2623"/>
    <w:rsid w:val="00BF2A7E"/>
    <w:rsid w:val="00BF3331"/>
    <w:rsid w:val="00BF3A45"/>
    <w:rsid w:val="00BF436F"/>
    <w:rsid w:val="00BF5680"/>
    <w:rsid w:val="00BF5C05"/>
    <w:rsid w:val="00BF6A12"/>
    <w:rsid w:val="00BF6FC6"/>
    <w:rsid w:val="00BF72C3"/>
    <w:rsid w:val="00BF7C52"/>
    <w:rsid w:val="00BF7F99"/>
    <w:rsid w:val="00C00713"/>
    <w:rsid w:val="00C009A0"/>
    <w:rsid w:val="00C00E35"/>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544"/>
    <w:rsid w:val="00C04607"/>
    <w:rsid w:val="00C04BDB"/>
    <w:rsid w:val="00C0519E"/>
    <w:rsid w:val="00C052C6"/>
    <w:rsid w:val="00C056DF"/>
    <w:rsid w:val="00C05A61"/>
    <w:rsid w:val="00C05FBA"/>
    <w:rsid w:val="00C05FEE"/>
    <w:rsid w:val="00C065EA"/>
    <w:rsid w:val="00C066B4"/>
    <w:rsid w:val="00C06CCF"/>
    <w:rsid w:val="00C070CB"/>
    <w:rsid w:val="00C0794D"/>
    <w:rsid w:val="00C10E78"/>
    <w:rsid w:val="00C113DC"/>
    <w:rsid w:val="00C1159D"/>
    <w:rsid w:val="00C1233E"/>
    <w:rsid w:val="00C1276C"/>
    <w:rsid w:val="00C12FB3"/>
    <w:rsid w:val="00C138BC"/>
    <w:rsid w:val="00C139BA"/>
    <w:rsid w:val="00C13D85"/>
    <w:rsid w:val="00C14575"/>
    <w:rsid w:val="00C14639"/>
    <w:rsid w:val="00C14E82"/>
    <w:rsid w:val="00C14FF6"/>
    <w:rsid w:val="00C15A85"/>
    <w:rsid w:val="00C15C6A"/>
    <w:rsid w:val="00C1637C"/>
    <w:rsid w:val="00C1641B"/>
    <w:rsid w:val="00C165FC"/>
    <w:rsid w:val="00C16DCE"/>
    <w:rsid w:val="00C176D5"/>
    <w:rsid w:val="00C17D24"/>
    <w:rsid w:val="00C200C2"/>
    <w:rsid w:val="00C2082C"/>
    <w:rsid w:val="00C20EB0"/>
    <w:rsid w:val="00C21004"/>
    <w:rsid w:val="00C21005"/>
    <w:rsid w:val="00C212E8"/>
    <w:rsid w:val="00C218DF"/>
    <w:rsid w:val="00C220B6"/>
    <w:rsid w:val="00C22D47"/>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1F9"/>
    <w:rsid w:val="00C25768"/>
    <w:rsid w:val="00C25813"/>
    <w:rsid w:val="00C258A8"/>
    <w:rsid w:val="00C26407"/>
    <w:rsid w:val="00C26C71"/>
    <w:rsid w:val="00C26EDB"/>
    <w:rsid w:val="00C27143"/>
    <w:rsid w:val="00C27490"/>
    <w:rsid w:val="00C27556"/>
    <w:rsid w:val="00C2760E"/>
    <w:rsid w:val="00C27D37"/>
    <w:rsid w:val="00C309E8"/>
    <w:rsid w:val="00C31EA9"/>
    <w:rsid w:val="00C32017"/>
    <w:rsid w:val="00C32571"/>
    <w:rsid w:val="00C325CD"/>
    <w:rsid w:val="00C3322E"/>
    <w:rsid w:val="00C33477"/>
    <w:rsid w:val="00C337F5"/>
    <w:rsid w:val="00C3383E"/>
    <w:rsid w:val="00C339E5"/>
    <w:rsid w:val="00C33B90"/>
    <w:rsid w:val="00C34161"/>
    <w:rsid w:val="00C34B5F"/>
    <w:rsid w:val="00C358D4"/>
    <w:rsid w:val="00C365C6"/>
    <w:rsid w:val="00C366F4"/>
    <w:rsid w:val="00C36785"/>
    <w:rsid w:val="00C3711C"/>
    <w:rsid w:val="00C37256"/>
    <w:rsid w:val="00C37A7B"/>
    <w:rsid w:val="00C37D62"/>
    <w:rsid w:val="00C37DC1"/>
    <w:rsid w:val="00C37FFE"/>
    <w:rsid w:val="00C40B50"/>
    <w:rsid w:val="00C419E3"/>
    <w:rsid w:val="00C419F4"/>
    <w:rsid w:val="00C41E6A"/>
    <w:rsid w:val="00C42247"/>
    <w:rsid w:val="00C422F4"/>
    <w:rsid w:val="00C428E7"/>
    <w:rsid w:val="00C42E2C"/>
    <w:rsid w:val="00C42FAF"/>
    <w:rsid w:val="00C438A2"/>
    <w:rsid w:val="00C439BE"/>
    <w:rsid w:val="00C448FB"/>
    <w:rsid w:val="00C451B2"/>
    <w:rsid w:val="00C4539B"/>
    <w:rsid w:val="00C45466"/>
    <w:rsid w:val="00C455C1"/>
    <w:rsid w:val="00C4581D"/>
    <w:rsid w:val="00C46488"/>
    <w:rsid w:val="00C47020"/>
    <w:rsid w:val="00C47472"/>
    <w:rsid w:val="00C500F0"/>
    <w:rsid w:val="00C504A7"/>
    <w:rsid w:val="00C506C9"/>
    <w:rsid w:val="00C50A16"/>
    <w:rsid w:val="00C51C9A"/>
    <w:rsid w:val="00C52C68"/>
    <w:rsid w:val="00C52D98"/>
    <w:rsid w:val="00C52DA1"/>
    <w:rsid w:val="00C53D24"/>
    <w:rsid w:val="00C54640"/>
    <w:rsid w:val="00C547A6"/>
    <w:rsid w:val="00C54A3A"/>
    <w:rsid w:val="00C5512B"/>
    <w:rsid w:val="00C55C32"/>
    <w:rsid w:val="00C56A67"/>
    <w:rsid w:val="00C56CC2"/>
    <w:rsid w:val="00C56D8D"/>
    <w:rsid w:val="00C57498"/>
    <w:rsid w:val="00C574AD"/>
    <w:rsid w:val="00C5763C"/>
    <w:rsid w:val="00C5780C"/>
    <w:rsid w:val="00C57879"/>
    <w:rsid w:val="00C5796B"/>
    <w:rsid w:val="00C57C64"/>
    <w:rsid w:val="00C60FDF"/>
    <w:rsid w:val="00C612C4"/>
    <w:rsid w:val="00C619A1"/>
    <w:rsid w:val="00C62370"/>
    <w:rsid w:val="00C62BBB"/>
    <w:rsid w:val="00C6305F"/>
    <w:rsid w:val="00C6325B"/>
    <w:rsid w:val="00C63DDD"/>
    <w:rsid w:val="00C63E99"/>
    <w:rsid w:val="00C649B8"/>
    <w:rsid w:val="00C64A64"/>
    <w:rsid w:val="00C65151"/>
    <w:rsid w:val="00C657F4"/>
    <w:rsid w:val="00C6598D"/>
    <w:rsid w:val="00C65FAD"/>
    <w:rsid w:val="00C660FE"/>
    <w:rsid w:val="00C66119"/>
    <w:rsid w:val="00C66292"/>
    <w:rsid w:val="00C672A3"/>
    <w:rsid w:val="00C672F1"/>
    <w:rsid w:val="00C673D0"/>
    <w:rsid w:val="00C6742E"/>
    <w:rsid w:val="00C67B0B"/>
    <w:rsid w:val="00C67C0E"/>
    <w:rsid w:val="00C70012"/>
    <w:rsid w:val="00C71E2A"/>
    <w:rsid w:val="00C725F8"/>
    <w:rsid w:val="00C733BA"/>
    <w:rsid w:val="00C742F6"/>
    <w:rsid w:val="00C74A0A"/>
    <w:rsid w:val="00C760DC"/>
    <w:rsid w:val="00C77777"/>
    <w:rsid w:val="00C8035D"/>
    <w:rsid w:val="00C8082B"/>
    <w:rsid w:val="00C80AE6"/>
    <w:rsid w:val="00C80C6B"/>
    <w:rsid w:val="00C80DAE"/>
    <w:rsid w:val="00C816CF"/>
    <w:rsid w:val="00C81A88"/>
    <w:rsid w:val="00C81D46"/>
    <w:rsid w:val="00C82298"/>
    <w:rsid w:val="00C8233D"/>
    <w:rsid w:val="00C8256A"/>
    <w:rsid w:val="00C82A26"/>
    <w:rsid w:val="00C82DC7"/>
    <w:rsid w:val="00C8331F"/>
    <w:rsid w:val="00C833B4"/>
    <w:rsid w:val="00C84221"/>
    <w:rsid w:val="00C84284"/>
    <w:rsid w:val="00C84E33"/>
    <w:rsid w:val="00C85FE6"/>
    <w:rsid w:val="00C85FFC"/>
    <w:rsid w:val="00C861FC"/>
    <w:rsid w:val="00C86C87"/>
    <w:rsid w:val="00C9005E"/>
    <w:rsid w:val="00C90111"/>
    <w:rsid w:val="00C901DC"/>
    <w:rsid w:val="00C9038E"/>
    <w:rsid w:val="00C9077A"/>
    <w:rsid w:val="00C9077B"/>
    <w:rsid w:val="00C90CA9"/>
    <w:rsid w:val="00C90F88"/>
    <w:rsid w:val="00C914A9"/>
    <w:rsid w:val="00C915F2"/>
    <w:rsid w:val="00C917B1"/>
    <w:rsid w:val="00C9193C"/>
    <w:rsid w:val="00C91B77"/>
    <w:rsid w:val="00C920E2"/>
    <w:rsid w:val="00C92892"/>
    <w:rsid w:val="00C9370F"/>
    <w:rsid w:val="00C93765"/>
    <w:rsid w:val="00C93877"/>
    <w:rsid w:val="00C93D8C"/>
    <w:rsid w:val="00C93E07"/>
    <w:rsid w:val="00C946CC"/>
    <w:rsid w:val="00C959BD"/>
    <w:rsid w:val="00C95DFE"/>
    <w:rsid w:val="00C95F44"/>
    <w:rsid w:val="00C96331"/>
    <w:rsid w:val="00C96CAA"/>
    <w:rsid w:val="00C96CED"/>
    <w:rsid w:val="00C96CEE"/>
    <w:rsid w:val="00C96D1B"/>
    <w:rsid w:val="00C97106"/>
    <w:rsid w:val="00C978D4"/>
    <w:rsid w:val="00CA0031"/>
    <w:rsid w:val="00CA0413"/>
    <w:rsid w:val="00CA043A"/>
    <w:rsid w:val="00CA065A"/>
    <w:rsid w:val="00CA0AED"/>
    <w:rsid w:val="00CA0E51"/>
    <w:rsid w:val="00CA12B8"/>
    <w:rsid w:val="00CA1691"/>
    <w:rsid w:val="00CA1A15"/>
    <w:rsid w:val="00CA1A1D"/>
    <w:rsid w:val="00CA41E7"/>
    <w:rsid w:val="00CA4A99"/>
    <w:rsid w:val="00CA4CCC"/>
    <w:rsid w:val="00CA501B"/>
    <w:rsid w:val="00CA5173"/>
    <w:rsid w:val="00CA5520"/>
    <w:rsid w:val="00CA5812"/>
    <w:rsid w:val="00CA5984"/>
    <w:rsid w:val="00CA5BD4"/>
    <w:rsid w:val="00CA5C14"/>
    <w:rsid w:val="00CA7019"/>
    <w:rsid w:val="00CA76FC"/>
    <w:rsid w:val="00CA7E7B"/>
    <w:rsid w:val="00CB0236"/>
    <w:rsid w:val="00CB0CB1"/>
    <w:rsid w:val="00CB137C"/>
    <w:rsid w:val="00CB158F"/>
    <w:rsid w:val="00CB1881"/>
    <w:rsid w:val="00CB1969"/>
    <w:rsid w:val="00CB19E3"/>
    <w:rsid w:val="00CB277B"/>
    <w:rsid w:val="00CB2C3A"/>
    <w:rsid w:val="00CB2D38"/>
    <w:rsid w:val="00CB2F5E"/>
    <w:rsid w:val="00CB31B9"/>
    <w:rsid w:val="00CB4137"/>
    <w:rsid w:val="00CB4A54"/>
    <w:rsid w:val="00CB50D0"/>
    <w:rsid w:val="00CB5155"/>
    <w:rsid w:val="00CB52D0"/>
    <w:rsid w:val="00CB5578"/>
    <w:rsid w:val="00CB5671"/>
    <w:rsid w:val="00CB591C"/>
    <w:rsid w:val="00CB5943"/>
    <w:rsid w:val="00CB61B3"/>
    <w:rsid w:val="00CB6801"/>
    <w:rsid w:val="00CB6F83"/>
    <w:rsid w:val="00CB72AE"/>
    <w:rsid w:val="00CC00CD"/>
    <w:rsid w:val="00CC0579"/>
    <w:rsid w:val="00CC06CC"/>
    <w:rsid w:val="00CC0AF3"/>
    <w:rsid w:val="00CC0BC6"/>
    <w:rsid w:val="00CC0E68"/>
    <w:rsid w:val="00CC1780"/>
    <w:rsid w:val="00CC194E"/>
    <w:rsid w:val="00CC21AC"/>
    <w:rsid w:val="00CC232E"/>
    <w:rsid w:val="00CC2514"/>
    <w:rsid w:val="00CC2C70"/>
    <w:rsid w:val="00CC2D34"/>
    <w:rsid w:val="00CC2F69"/>
    <w:rsid w:val="00CC315F"/>
    <w:rsid w:val="00CC36C0"/>
    <w:rsid w:val="00CC3D38"/>
    <w:rsid w:val="00CC3F2F"/>
    <w:rsid w:val="00CC40C3"/>
    <w:rsid w:val="00CC4CB4"/>
    <w:rsid w:val="00CC4E10"/>
    <w:rsid w:val="00CC4E5D"/>
    <w:rsid w:val="00CC4EF4"/>
    <w:rsid w:val="00CC50AE"/>
    <w:rsid w:val="00CC5CD2"/>
    <w:rsid w:val="00CC5FFE"/>
    <w:rsid w:val="00CC61B7"/>
    <w:rsid w:val="00CC61CA"/>
    <w:rsid w:val="00CC69EC"/>
    <w:rsid w:val="00CC71D3"/>
    <w:rsid w:val="00CC743D"/>
    <w:rsid w:val="00CC756C"/>
    <w:rsid w:val="00CD02ED"/>
    <w:rsid w:val="00CD050A"/>
    <w:rsid w:val="00CD08B9"/>
    <w:rsid w:val="00CD1017"/>
    <w:rsid w:val="00CD205D"/>
    <w:rsid w:val="00CD2A22"/>
    <w:rsid w:val="00CD2B50"/>
    <w:rsid w:val="00CD3172"/>
    <w:rsid w:val="00CD32B9"/>
    <w:rsid w:val="00CD42D9"/>
    <w:rsid w:val="00CD4506"/>
    <w:rsid w:val="00CD520B"/>
    <w:rsid w:val="00CD592E"/>
    <w:rsid w:val="00CD5982"/>
    <w:rsid w:val="00CD5A1A"/>
    <w:rsid w:val="00CD61CE"/>
    <w:rsid w:val="00CD6482"/>
    <w:rsid w:val="00CD6916"/>
    <w:rsid w:val="00CD7EFA"/>
    <w:rsid w:val="00CE020E"/>
    <w:rsid w:val="00CE0566"/>
    <w:rsid w:val="00CE1CD4"/>
    <w:rsid w:val="00CE22F6"/>
    <w:rsid w:val="00CE2761"/>
    <w:rsid w:val="00CE28FC"/>
    <w:rsid w:val="00CE314E"/>
    <w:rsid w:val="00CE3A85"/>
    <w:rsid w:val="00CE3D5C"/>
    <w:rsid w:val="00CE3E09"/>
    <w:rsid w:val="00CE3E14"/>
    <w:rsid w:val="00CE44C7"/>
    <w:rsid w:val="00CE53CC"/>
    <w:rsid w:val="00CE5F60"/>
    <w:rsid w:val="00CE6199"/>
    <w:rsid w:val="00CE65A7"/>
    <w:rsid w:val="00CE68FE"/>
    <w:rsid w:val="00CE69CC"/>
    <w:rsid w:val="00CE6EC4"/>
    <w:rsid w:val="00CE7F26"/>
    <w:rsid w:val="00CF1226"/>
    <w:rsid w:val="00CF1ABB"/>
    <w:rsid w:val="00CF1E1D"/>
    <w:rsid w:val="00CF24FE"/>
    <w:rsid w:val="00CF287F"/>
    <w:rsid w:val="00CF2E83"/>
    <w:rsid w:val="00CF35D0"/>
    <w:rsid w:val="00CF3B57"/>
    <w:rsid w:val="00CF3DD5"/>
    <w:rsid w:val="00CF3F53"/>
    <w:rsid w:val="00CF43E7"/>
    <w:rsid w:val="00CF4AF7"/>
    <w:rsid w:val="00CF4D20"/>
    <w:rsid w:val="00CF5C02"/>
    <w:rsid w:val="00CF73F8"/>
    <w:rsid w:val="00CF7686"/>
    <w:rsid w:val="00CF7928"/>
    <w:rsid w:val="00CF7CA2"/>
    <w:rsid w:val="00D00911"/>
    <w:rsid w:val="00D00A8E"/>
    <w:rsid w:val="00D00DE0"/>
    <w:rsid w:val="00D00F79"/>
    <w:rsid w:val="00D012BF"/>
    <w:rsid w:val="00D01760"/>
    <w:rsid w:val="00D01838"/>
    <w:rsid w:val="00D02F4D"/>
    <w:rsid w:val="00D0368E"/>
    <w:rsid w:val="00D03AC3"/>
    <w:rsid w:val="00D03D2D"/>
    <w:rsid w:val="00D03E7B"/>
    <w:rsid w:val="00D0401A"/>
    <w:rsid w:val="00D047E0"/>
    <w:rsid w:val="00D04B9F"/>
    <w:rsid w:val="00D04D43"/>
    <w:rsid w:val="00D04FFB"/>
    <w:rsid w:val="00D055FE"/>
    <w:rsid w:val="00D058E9"/>
    <w:rsid w:val="00D0612A"/>
    <w:rsid w:val="00D06FCB"/>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572C"/>
    <w:rsid w:val="00D160F6"/>
    <w:rsid w:val="00D16740"/>
    <w:rsid w:val="00D16A8B"/>
    <w:rsid w:val="00D16E39"/>
    <w:rsid w:val="00D171DE"/>
    <w:rsid w:val="00D172A4"/>
    <w:rsid w:val="00D17889"/>
    <w:rsid w:val="00D17951"/>
    <w:rsid w:val="00D179D7"/>
    <w:rsid w:val="00D17AD8"/>
    <w:rsid w:val="00D2055F"/>
    <w:rsid w:val="00D208B9"/>
    <w:rsid w:val="00D2104A"/>
    <w:rsid w:val="00D21A58"/>
    <w:rsid w:val="00D21BB5"/>
    <w:rsid w:val="00D21FFC"/>
    <w:rsid w:val="00D223B6"/>
    <w:rsid w:val="00D223E8"/>
    <w:rsid w:val="00D224E1"/>
    <w:rsid w:val="00D22A9E"/>
    <w:rsid w:val="00D22DC8"/>
    <w:rsid w:val="00D22F3E"/>
    <w:rsid w:val="00D2413B"/>
    <w:rsid w:val="00D2477B"/>
    <w:rsid w:val="00D248D8"/>
    <w:rsid w:val="00D2522A"/>
    <w:rsid w:val="00D2531C"/>
    <w:rsid w:val="00D25428"/>
    <w:rsid w:val="00D2553E"/>
    <w:rsid w:val="00D25687"/>
    <w:rsid w:val="00D2587F"/>
    <w:rsid w:val="00D26330"/>
    <w:rsid w:val="00D2742F"/>
    <w:rsid w:val="00D2754F"/>
    <w:rsid w:val="00D277C5"/>
    <w:rsid w:val="00D279D9"/>
    <w:rsid w:val="00D312DC"/>
    <w:rsid w:val="00D31B84"/>
    <w:rsid w:val="00D31C6A"/>
    <w:rsid w:val="00D31EDF"/>
    <w:rsid w:val="00D31FF9"/>
    <w:rsid w:val="00D32149"/>
    <w:rsid w:val="00D32256"/>
    <w:rsid w:val="00D32A27"/>
    <w:rsid w:val="00D32ABC"/>
    <w:rsid w:val="00D3344C"/>
    <w:rsid w:val="00D33FA4"/>
    <w:rsid w:val="00D34B25"/>
    <w:rsid w:val="00D34C7F"/>
    <w:rsid w:val="00D34F4E"/>
    <w:rsid w:val="00D357F3"/>
    <w:rsid w:val="00D35C0E"/>
    <w:rsid w:val="00D36FBF"/>
    <w:rsid w:val="00D372A9"/>
    <w:rsid w:val="00D373A8"/>
    <w:rsid w:val="00D379A5"/>
    <w:rsid w:val="00D37BB3"/>
    <w:rsid w:val="00D40156"/>
    <w:rsid w:val="00D401BE"/>
    <w:rsid w:val="00D4043A"/>
    <w:rsid w:val="00D40DB0"/>
    <w:rsid w:val="00D41093"/>
    <w:rsid w:val="00D41858"/>
    <w:rsid w:val="00D41EEB"/>
    <w:rsid w:val="00D422DB"/>
    <w:rsid w:val="00D42AC2"/>
    <w:rsid w:val="00D43CE8"/>
    <w:rsid w:val="00D445F3"/>
    <w:rsid w:val="00D4498E"/>
    <w:rsid w:val="00D4515F"/>
    <w:rsid w:val="00D451E8"/>
    <w:rsid w:val="00D46178"/>
    <w:rsid w:val="00D466C9"/>
    <w:rsid w:val="00D47275"/>
    <w:rsid w:val="00D517F6"/>
    <w:rsid w:val="00D51AB7"/>
    <w:rsid w:val="00D51E15"/>
    <w:rsid w:val="00D51F43"/>
    <w:rsid w:val="00D52B7E"/>
    <w:rsid w:val="00D52E2F"/>
    <w:rsid w:val="00D52F59"/>
    <w:rsid w:val="00D53066"/>
    <w:rsid w:val="00D532BB"/>
    <w:rsid w:val="00D53445"/>
    <w:rsid w:val="00D53E3E"/>
    <w:rsid w:val="00D54620"/>
    <w:rsid w:val="00D55904"/>
    <w:rsid w:val="00D55DFF"/>
    <w:rsid w:val="00D5614E"/>
    <w:rsid w:val="00D5616F"/>
    <w:rsid w:val="00D57940"/>
    <w:rsid w:val="00D57BD4"/>
    <w:rsid w:val="00D60327"/>
    <w:rsid w:val="00D60822"/>
    <w:rsid w:val="00D61384"/>
    <w:rsid w:val="00D61526"/>
    <w:rsid w:val="00D61C39"/>
    <w:rsid w:val="00D61F81"/>
    <w:rsid w:val="00D620A6"/>
    <w:rsid w:val="00D623C0"/>
    <w:rsid w:val="00D62BE6"/>
    <w:rsid w:val="00D63359"/>
    <w:rsid w:val="00D63766"/>
    <w:rsid w:val="00D63898"/>
    <w:rsid w:val="00D63912"/>
    <w:rsid w:val="00D63923"/>
    <w:rsid w:val="00D6451B"/>
    <w:rsid w:val="00D64B57"/>
    <w:rsid w:val="00D651A1"/>
    <w:rsid w:val="00D65DEA"/>
    <w:rsid w:val="00D664D6"/>
    <w:rsid w:val="00D6650F"/>
    <w:rsid w:val="00D66579"/>
    <w:rsid w:val="00D66CF2"/>
    <w:rsid w:val="00D676D3"/>
    <w:rsid w:val="00D679FD"/>
    <w:rsid w:val="00D67B06"/>
    <w:rsid w:val="00D67BC7"/>
    <w:rsid w:val="00D67C3B"/>
    <w:rsid w:val="00D701F1"/>
    <w:rsid w:val="00D705D3"/>
    <w:rsid w:val="00D70E00"/>
    <w:rsid w:val="00D70F7C"/>
    <w:rsid w:val="00D715AC"/>
    <w:rsid w:val="00D71851"/>
    <w:rsid w:val="00D718CF"/>
    <w:rsid w:val="00D72188"/>
    <w:rsid w:val="00D728F5"/>
    <w:rsid w:val="00D72E68"/>
    <w:rsid w:val="00D72E9D"/>
    <w:rsid w:val="00D73249"/>
    <w:rsid w:val="00D73419"/>
    <w:rsid w:val="00D73881"/>
    <w:rsid w:val="00D73CA9"/>
    <w:rsid w:val="00D751B7"/>
    <w:rsid w:val="00D75232"/>
    <w:rsid w:val="00D7524B"/>
    <w:rsid w:val="00D75396"/>
    <w:rsid w:val="00D759C0"/>
    <w:rsid w:val="00D75E99"/>
    <w:rsid w:val="00D76357"/>
    <w:rsid w:val="00D765CE"/>
    <w:rsid w:val="00D766C7"/>
    <w:rsid w:val="00D7692B"/>
    <w:rsid w:val="00D77000"/>
    <w:rsid w:val="00D7734F"/>
    <w:rsid w:val="00D7791D"/>
    <w:rsid w:val="00D8039E"/>
    <w:rsid w:val="00D8044C"/>
    <w:rsid w:val="00D805D6"/>
    <w:rsid w:val="00D8075E"/>
    <w:rsid w:val="00D80860"/>
    <w:rsid w:val="00D80863"/>
    <w:rsid w:val="00D80D4C"/>
    <w:rsid w:val="00D8184D"/>
    <w:rsid w:val="00D81A7B"/>
    <w:rsid w:val="00D8223C"/>
    <w:rsid w:val="00D82896"/>
    <w:rsid w:val="00D82A7D"/>
    <w:rsid w:val="00D82B57"/>
    <w:rsid w:val="00D82CE5"/>
    <w:rsid w:val="00D82E82"/>
    <w:rsid w:val="00D82EFE"/>
    <w:rsid w:val="00D831E3"/>
    <w:rsid w:val="00D8342C"/>
    <w:rsid w:val="00D83D05"/>
    <w:rsid w:val="00D84983"/>
    <w:rsid w:val="00D84C00"/>
    <w:rsid w:val="00D85450"/>
    <w:rsid w:val="00D85494"/>
    <w:rsid w:val="00D8582C"/>
    <w:rsid w:val="00D85D61"/>
    <w:rsid w:val="00D8616D"/>
    <w:rsid w:val="00D86903"/>
    <w:rsid w:val="00D86A1C"/>
    <w:rsid w:val="00D8711B"/>
    <w:rsid w:val="00D87384"/>
    <w:rsid w:val="00D876E8"/>
    <w:rsid w:val="00D9015D"/>
    <w:rsid w:val="00D90683"/>
    <w:rsid w:val="00D90B2A"/>
    <w:rsid w:val="00D91483"/>
    <w:rsid w:val="00D915C8"/>
    <w:rsid w:val="00D91813"/>
    <w:rsid w:val="00D91FB9"/>
    <w:rsid w:val="00D9310B"/>
    <w:rsid w:val="00D931F3"/>
    <w:rsid w:val="00D93726"/>
    <w:rsid w:val="00D93F3E"/>
    <w:rsid w:val="00D9405B"/>
    <w:rsid w:val="00D94942"/>
    <w:rsid w:val="00D95145"/>
    <w:rsid w:val="00D96421"/>
    <w:rsid w:val="00D96594"/>
    <w:rsid w:val="00D96678"/>
    <w:rsid w:val="00D967CB"/>
    <w:rsid w:val="00D968D4"/>
    <w:rsid w:val="00D96EE0"/>
    <w:rsid w:val="00D96FA6"/>
    <w:rsid w:val="00D97BD1"/>
    <w:rsid w:val="00D97EF0"/>
    <w:rsid w:val="00DA00C3"/>
    <w:rsid w:val="00DA01E9"/>
    <w:rsid w:val="00DA06B8"/>
    <w:rsid w:val="00DA0EC1"/>
    <w:rsid w:val="00DA14A9"/>
    <w:rsid w:val="00DA286D"/>
    <w:rsid w:val="00DA2969"/>
    <w:rsid w:val="00DA29B7"/>
    <w:rsid w:val="00DA2E5F"/>
    <w:rsid w:val="00DA337C"/>
    <w:rsid w:val="00DA422F"/>
    <w:rsid w:val="00DA4842"/>
    <w:rsid w:val="00DA4C97"/>
    <w:rsid w:val="00DA5989"/>
    <w:rsid w:val="00DA5A1F"/>
    <w:rsid w:val="00DA5AB1"/>
    <w:rsid w:val="00DA5F9D"/>
    <w:rsid w:val="00DA6719"/>
    <w:rsid w:val="00DA69B2"/>
    <w:rsid w:val="00DA7462"/>
    <w:rsid w:val="00DA7AD0"/>
    <w:rsid w:val="00DB02D7"/>
    <w:rsid w:val="00DB03BD"/>
    <w:rsid w:val="00DB03CC"/>
    <w:rsid w:val="00DB12D4"/>
    <w:rsid w:val="00DB13B1"/>
    <w:rsid w:val="00DB14F0"/>
    <w:rsid w:val="00DB1745"/>
    <w:rsid w:val="00DB17BD"/>
    <w:rsid w:val="00DB19BB"/>
    <w:rsid w:val="00DB1A00"/>
    <w:rsid w:val="00DB1AFF"/>
    <w:rsid w:val="00DB219A"/>
    <w:rsid w:val="00DB2EEE"/>
    <w:rsid w:val="00DB3165"/>
    <w:rsid w:val="00DB3785"/>
    <w:rsid w:val="00DB4292"/>
    <w:rsid w:val="00DB466D"/>
    <w:rsid w:val="00DB5023"/>
    <w:rsid w:val="00DB6E46"/>
    <w:rsid w:val="00DB7117"/>
    <w:rsid w:val="00DB7760"/>
    <w:rsid w:val="00DB7DD4"/>
    <w:rsid w:val="00DC00B4"/>
    <w:rsid w:val="00DC0954"/>
    <w:rsid w:val="00DC0DF8"/>
    <w:rsid w:val="00DC15BA"/>
    <w:rsid w:val="00DC18CD"/>
    <w:rsid w:val="00DC1A68"/>
    <w:rsid w:val="00DC1CC2"/>
    <w:rsid w:val="00DC1F4B"/>
    <w:rsid w:val="00DC2FB8"/>
    <w:rsid w:val="00DC30B8"/>
    <w:rsid w:val="00DC478F"/>
    <w:rsid w:val="00DC5E5E"/>
    <w:rsid w:val="00DC61AC"/>
    <w:rsid w:val="00DC62E5"/>
    <w:rsid w:val="00DC6D70"/>
    <w:rsid w:val="00DC6DAA"/>
    <w:rsid w:val="00DC6F33"/>
    <w:rsid w:val="00DC7349"/>
    <w:rsid w:val="00DC7389"/>
    <w:rsid w:val="00DC74A5"/>
    <w:rsid w:val="00DD0503"/>
    <w:rsid w:val="00DD0EA9"/>
    <w:rsid w:val="00DD14D8"/>
    <w:rsid w:val="00DD1599"/>
    <w:rsid w:val="00DD16F1"/>
    <w:rsid w:val="00DD1B03"/>
    <w:rsid w:val="00DD1E43"/>
    <w:rsid w:val="00DD1E7B"/>
    <w:rsid w:val="00DD1EDF"/>
    <w:rsid w:val="00DD1FF6"/>
    <w:rsid w:val="00DD2A62"/>
    <w:rsid w:val="00DD2F2F"/>
    <w:rsid w:val="00DD2F7A"/>
    <w:rsid w:val="00DD36D2"/>
    <w:rsid w:val="00DD37C4"/>
    <w:rsid w:val="00DD3885"/>
    <w:rsid w:val="00DD4656"/>
    <w:rsid w:val="00DD53EE"/>
    <w:rsid w:val="00DD5808"/>
    <w:rsid w:val="00DD5946"/>
    <w:rsid w:val="00DD5B04"/>
    <w:rsid w:val="00DD5DAE"/>
    <w:rsid w:val="00DD5EC6"/>
    <w:rsid w:val="00DD605F"/>
    <w:rsid w:val="00DD6A79"/>
    <w:rsid w:val="00DD7145"/>
    <w:rsid w:val="00DD72A0"/>
    <w:rsid w:val="00DD735D"/>
    <w:rsid w:val="00DD7F7D"/>
    <w:rsid w:val="00DE0159"/>
    <w:rsid w:val="00DE064A"/>
    <w:rsid w:val="00DE082D"/>
    <w:rsid w:val="00DE107E"/>
    <w:rsid w:val="00DE1410"/>
    <w:rsid w:val="00DE20C6"/>
    <w:rsid w:val="00DE3119"/>
    <w:rsid w:val="00DE3C24"/>
    <w:rsid w:val="00DE3FF0"/>
    <w:rsid w:val="00DE4105"/>
    <w:rsid w:val="00DE47D7"/>
    <w:rsid w:val="00DE4BEA"/>
    <w:rsid w:val="00DE5189"/>
    <w:rsid w:val="00DE61EE"/>
    <w:rsid w:val="00DE7108"/>
    <w:rsid w:val="00DE760E"/>
    <w:rsid w:val="00DE78D1"/>
    <w:rsid w:val="00DE78FF"/>
    <w:rsid w:val="00DE797F"/>
    <w:rsid w:val="00DF0263"/>
    <w:rsid w:val="00DF0EB4"/>
    <w:rsid w:val="00DF158B"/>
    <w:rsid w:val="00DF170E"/>
    <w:rsid w:val="00DF193C"/>
    <w:rsid w:val="00DF1E36"/>
    <w:rsid w:val="00DF236B"/>
    <w:rsid w:val="00DF258A"/>
    <w:rsid w:val="00DF2A91"/>
    <w:rsid w:val="00DF3526"/>
    <w:rsid w:val="00DF3889"/>
    <w:rsid w:val="00DF38D6"/>
    <w:rsid w:val="00DF3CC9"/>
    <w:rsid w:val="00DF4451"/>
    <w:rsid w:val="00DF49FF"/>
    <w:rsid w:val="00DF4FFB"/>
    <w:rsid w:val="00DF5236"/>
    <w:rsid w:val="00DF651F"/>
    <w:rsid w:val="00DF6BC9"/>
    <w:rsid w:val="00DF6F43"/>
    <w:rsid w:val="00DF71EA"/>
    <w:rsid w:val="00DF73BA"/>
    <w:rsid w:val="00DF752F"/>
    <w:rsid w:val="00DF76A2"/>
    <w:rsid w:val="00E00B25"/>
    <w:rsid w:val="00E00B7A"/>
    <w:rsid w:val="00E01677"/>
    <w:rsid w:val="00E02186"/>
    <w:rsid w:val="00E023C3"/>
    <w:rsid w:val="00E025C2"/>
    <w:rsid w:val="00E026BB"/>
    <w:rsid w:val="00E027C5"/>
    <w:rsid w:val="00E03124"/>
    <w:rsid w:val="00E031C3"/>
    <w:rsid w:val="00E03951"/>
    <w:rsid w:val="00E03DB8"/>
    <w:rsid w:val="00E03F17"/>
    <w:rsid w:val="00E0420C"/>
    <w:rsid w:val="00E04EDD"/>
    <w:rsid w:val="00E0584F"/>
    <w:rsid w:val="00E05E70"/>
    <w:rsid w:val="00E05EAF"/>
    <w:rsid w:val="00E064BC"/>
    <w:rsid w:val="00E070C1"/>
    <w:rsid w:val="00E07225"/>
    <w:rsid w:val="00E073FC"/>
    <w:rsid w:val="00E076B4"/>
    <w:rsid w:val="00E07B55"/>
    <w:rsid w:val="00E10579"/>
    <w:rsid w:val="00E109DD"/>
    <w:rsid w:val="00E10BC8"/>
    <w:rsid w:val="00E11229"/>
    <w:rsid w:val="00E114CA"/>
    <w:rsid w:val="00E11BB4"/>
    <w:rsid w:val="00E1240C"/>
    <w:rsid w:val="00E127D1"/>
    <w:rsid w:val="00E12916"/>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5A8"/>
    <w:rsid w:val="00E23980"/>
    <w:rsid w:val="00E23AB0"/>
    <w:rsid w:val="00E241E9"/>
    <w:rsid w:val="00E250CB"/>
    <w:rsid w:val="00E257C3"/>
    <w:rsid w:val="00E25CB3"/>
    <w:rsid w:val="00E25DA4"/>
    <w:rsid w:val="00E26237"/>
    <w:rsid w:val="00E26CB8"/>
    <w:rsid w:val="00E26D16"/>
    <w:rsid w:val="00E26FCF"/>
    <w:rsid w:val="00E27165"/>
    <w:rsid w:val="00E275D9"/>
    <w:rsid w:val="00E27871"/>
    <w:rsid w:val="00E2788B"/>
    <w:rsid w:val="00E30269"/>
    <w:rsid w:val="00E3044A"/>
    <w:rsid w:val="00E30E49"/>
    <w:rsid w:val="00E31A4A"/>
    <w:rsid w:val="00E3344A"/>
    <w:rsid w:val="00E33B29"/>
    <w:rsid w:val="00E33B62"/>
    <w:rsid w:val="00E3403D"/>
    <w:rsid w:val="00E344BD"/>
    <w:rsid w:val="00E34548"/>
    <w:rsid w:val="00E34E6C"/>
    <w:rsid w:val="00E353E2"/>
    <w:rsid w:val="00E35EFC"/>
    <w:rsid w:val="00E36345"/>
    <w:rsid w:val="00E36C86"/>
    <w:rsid w:val="00E36CEB"/>
    <w:rsid w:val="00E37202"/>
    <w:rsid w:val="00E37A28"/>
    <w:rsid w:val="00E400C7"/>
    <w:rsid w:val="00E40430"/>
    <w:rsid w:val="00E40690"/>
    <w:rsid w:val="00E40AEB"/>
    <w:rsid w:val="00E40E82"/>
    <w:rsid w:val="00E41141"/>
    <w:rsid w:val="00E41385"/>
    <w:rsid w:val="00E4143A"/>
    <w:rsid w:val="00E41D72"/>
    <w:rsid w:val="00E424C8"/>
    <w:rsid w:val="00E4251D"/>
    <w:rsid w:val="00E427EF"/>
    <w:rsid w:val="00E4299F"/>
    <w:rsid w:val="00E43D00"/>
    <w:rsid w:val="00E43EB7"/>
    <w:rsid w:val="00E443B4"/>
    <w:rsid w:val="00E445E4"/>
    <w:rsid w:val="00E45058"/>
    <w:rsid w:val="00E4505A"/>
    <w:rsid w:val="00E457CB"/>
    <w:rsid w:val="00E4596B"/>
    <w:rsid w:val="00E45D47"/>
    <w:rsid w:val="00E45DE4"/>
    <w:rsid w:val="00E45E63"/>
    <w:rsid w:val="00E4759C"/>
    <w:rsid w:val="00E47BD5"/>
    <w:rsid w:val="00E50A7B"/>
    <w:rsid w:val="00E50B0B"/>
    <w:rsid w:val="00E50BAD"/>
    <w:rsid w:val="00E50C57"/>
    <w:rsid w:val="00E50DBB"/>
    <w:rsid w:val="00E510FE"/>
    <w:rsid w:val="00E514BA"/>
    <w:rsid w:val="00E51E25"/>
    <w:rsid w:val="00E51EE3"/>
    <w:rsid w:val="00E5205B"/>
    <w:rsid w:val="00E52169"/>
    <w:rsid w:val="00E521AE"/>
    <w:rsid w:val="00E529A3"/>
    <w:rsid w:val="00E533EE"/>
    <w:rsid w:val="00E535BB"/>
    <w:rsid w:val="00E53A21"/>
    <w:rsid w:val="00E53BCA"/>
    <w:rsid w:val="00E53DE2"/>
    <w:rsid w:val="00E53F02"/>
    <w:rsid w:val="00E5428D"/>
    <w:rsid w:val="00E54534"/>
    <w:rsid w:val="00E548C3"/>
    <w:rsid w:val="00E54F27"/>
    <w:rsid w:val="00E550D0"/>
    <w:rsid w:val="00E5590F"/>
    <w:rsid w:val="00E55FF1"/>
    <w:rsid w:val="00E56090"/>
    <w:rsid w:val="00E56408"/>
    <w:rsid w:val="00E565B9"/>
    <w:rsid w:val="00E56E7B"/>
    <w:rsid w:val="00E5733B"/>
    <w:rsid w:val="00E5756C"/>
    <w:rsid w:val="00E575D6"/>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22F"/>
    <w:rsid w:val="00E632B7"/>
    <w:rsid w:val="00E634E6"/>
    <w:rsid w:val="00E63DCE"/>
    <w:rsid w:val="00E63F78"/>
    <w:rsid w:val="00E642EF"/>
    <w:rsid w:val="00E64700"/>
    <w:rsid w:val="00E65074"/>
    <w:rsid w:val="00E655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BA1"/>
    <w:rsid w:val="00E73D03"/>
    <w:rsid w:val="00E7471C"/>
    <w:rsid w:val="00E7498A"/>
    <w:rsid w:val="00E7514E"/>
    <w:rsid w:val="00E76537"/>
    <w:rsid w:val="00E77465"/>
    <w:rsid w:val="00E77784"/>
    <w:rsid w:val="00E77AF5"/>
    <w:rsid w:val="00E800BD"/>
    <w:rsid w:val="00E8035B"/>
    <w:rsid w:val="00E80A35"/>
    <w:rsid w:val="00E8132F"/>
    <w:rsid w:val="00E81729"/>
    <w:rsid w:val="00E820F4"/>
    <w:rsid w:val="00E82263"/>
    <w:rsid w:val="00E823F9"/>
    <w:rsid w:val="00E82C1F"/>
    <w:rsid w:val="00E83543"/>
    <w:rsid w:val="00E83671"/>
    <w:rsid w:val="00E83854"/>
    <w:rsid w:val="00E83D1E"/>
    <w:rsid w:val="00E840EE"/>
    <w:rsid w:val="00E84314"/>
    <w:rsid w:val="00E849CA"/>
    <w:rsid w:val="00E84A71"/>
    <w:rsid w:val="00E84BB3"/>
    <w:rsid w:val="00E8556F"/>
    <w:rsid w:val="00E86556"/>
    <w:rsid w:val="00E86D35"/>
    <w:rsid w:val="00E86DC2"/>
    <w:rsid w:val="00E86E32"/>
    <w:rsid w:val="00E86E74"/>
    <w:rsid w:val="00E86F2E"/>
    <w:rsid w:val="00E8732E"/>
    <w:rsid w:val="00E9011F"/>
    <w:rsid w:val="00E90240"/>
    <w:rsid w:val="00E906EB"/>
    <w:rsid w:val="00E9170E"/>
    <w:rsid w:val="00E919FB"/>
    <w:rsid w:val="00E9216A"/>
    <w:rsid w:val="00E9241E"/>
    <w:rsid w:val="00E92460"/>
    <w:rsid w:val="00E92E62"/>
    <w:rsid w:val="00E93609"/>
    <w:rsid w:val="00E93804"/>
    <w:rsid w:val="00E94245"/>
    <w:rsid w:val="00E9429D"/>
    <w:rsid w:val="00E95434"/>
    <w:rsid w:val="00E95436"/>
    <w:rsid w:val="00E96467"/>
    <w:rsid w:val="00E966DA"/>
    <w:rsid w:val="00E96948"/>
    <w:rsid w:val="00E97061"/>
    <w:rsid w:val="00E9737B"/>
    <w:rsid w:val="00E97A3F"/>
    <w:rsid w:val="00E97F0A"/>
    <w:rsid w:val="00EA0100"/>
    <w:rsid w:val="00EA0449"/>
    <w:rsid w:val="00EA0455"/>
    <w:rsid w:val="00EA0BCE"/>
    <w:rsid w:val="00EA10E4"/>
    <w:rsid w:val="00EA1138"/>
    <w:rsid w:val="00EA17BC"/>
    <w:rsid w:val="00EA236A"/>
    <w:rsid w:val="00EA2378"/>
    <w:rsid w:val="00EA2744"/>
    <w:rsid w:val="00EA29BB"/>
    <w:rsid w:val="00EA3644"/>
    <w:rsid w:val="00EA37B9"/>
    <w:rsid w:val="00EA39F7"/>
    <w:rsid w:val="00EA3DC2"/>
    <w:rsid w:val="00EA434E"/>
    <w:rsid w:val="00EA4757"/>
    <w:rsid w:val="00EA560B"/>
    <w:rsid w:val="00EA5669"/>
    <w:rsid w:val="00EA5CC6"/>
    <w:rsid w:val="00EA5F6C"/>
    <w:rsid w:val="00EA63EF"/>
    <w:rsid w:val="00EA7599"/>
    <w:rsid w:val="00EA7CBF"/>
    <w:rsid w:val="00EB0A89"/>
    <w:rsid w:val="00EB0BD8"/>
    <w:rsid w:val="00EB1052"/>
    <w:rsid w:val="00EB1573"/>
    <w:rsid w:val="00EB1816"/>
    <w:rsid w:val="00EB1910"/>
    <w:rsid w:val="00EB2564"/>
    <w:rsid w:val="00EB2D83"/>
    <w:rsid w:val="00EB2E97"/>
    <w:rsid w:val="00EB3416"/>
    <w:rsid w:val="00EB4AE1"/>
    <w:rsid w:val="00EB52F4"/>
    <w:rsid w:val="00EB5694"/>
    <w:rsid w:val="00EB5779"/>
    <w:rsid w:val="00EB5D2F"/>
    <w:rsid w:val="00EB67F1"/>
    <w:rsid w:val="00EB6ADA"/>
    <w:rsid w:val="00EB6D0E"/>
    <w:rsid w:val="00EB6EE3"/>
    <w:rsid w:val="00EB7132"/>
    <w:rsid w:val="00EB72CD"/>
    <w:rsid w:val="00EB749A"/>
    <w:rsid w:val="00EB76B6"/>
    <w:rsid w:val="00EB77AD"/>
    <w:rsid w:val="00EB7D8A"/>
    <w:rsid w:val="00EC04F7"/>
    <w:rsid w:val="00EC05E2"/>
    <w:rsid w:val="00EC0E84"/>
    <w:rsid w:val="00EC16E2"/>
    <w:rsid w:val="00EC1CE7"/>
    <w:rsid w:val="00EC1DAE"/>
    <w:rsid w:val="00EC267E"/>
    <w:rsid w:val="00EC26F1"/>
    <w:rsid w:val="00EC3BA2"/>
    <w:rsid w:val="00EC3C94"/>
    <w:rsid w:val="00EC4011"/>
    <w:rsid w:val="00EC44DF"/>
    <w:rsid w:val="00EC4A85"/>
    <w:rsid w:val="00EC4C38"/>
    <w:rsid w:val="00EC4FB9"/>
    <w:rsid w:val="00EC5393"/>
    <w:rsid w:val="00EC5741"/>
    <w:rsid w:val="00EC5DA3"/>
    <w:rsid w:val="00EC6014"/>
    <w:rsid w:val="00EC6499"/>
    <w:rsid w:val="00EC6516"/>
    <w:rsid w:val="00EC6565"/>
    <w:rsid w:val="00EC695D"/>
    <w:rsid w:val="00EC6B3E"/>
    <w:rsid w:val="00EC73DE"/>
    <w:rsid w:val="00EC7637"/>
    <w:rsid w:val="00EC7843"/>
    <w:rsid w:val="00EC7C07"/>
    <w:rsid w:val="00EC7CF2"/>
    <w:rsid w:val="00ED046C"/>
    <w:rsid w:val="00ED053A"/>
    <w:rsid w:val="00ED1F03"/>
    <w:rsid w:val="00ED249D"/>
    <w:rsid w:val="00ED2535"/>
    <w:rsid w:val="00ED2D27"/>
    <w:rsid w:val="00ED3347"/>
    <w:rsid w:val="00ED3441"/>
    <w:rsid w:val="00ED3860"/>
    <w:rsid w:val="00ED3954"/>
    <w:rsid w:val="00ED39AC"/>
    <w:rsid w:val="00ED43A2"/>
    <w:rsid w:val="00ED4967"/>
    <w:rsid w:val="00ED5103"/>
    <w:rsid w:val="00ED5140"/>
    <w:rsid w:val="00ED52BC"/>
    <w:rsid w:val="00ED538C"/>
    <w:rsid w:val="00ED5771"/>
    <w:rsid w:val="00ED587F"/>
    <w:rsid w:val="00ED591B"/>
    <w:rsid w:val="00ED5964"/>
    <w:rsid w:val="00ED5F3F"/>
    <w:rsid w:val="00ED623F"/>
    <w:rsid w:val="00ED636D"/>
    <w:rsid w:val="00ED63A5"/>
    <w:rsid w:val="00ED69BA"/>
    <w:rsid w:val="00ED6D1A"/>
    <w:rsid w:val="00ED72E9"/>
    <w:rsid w:val="00ED732E"/>
    <w:rsid w:val="00ED74B3"/>
    <w:rsid w:val="00ED75AB"/>
    <w:rsid w:val="00ED77F0"/>
    <w:rsid w:val="00ED7825"/>
    <w:rsid w:val="00ED7FBC"/>
    <w:rsid w:val="00EE0253"/>
    <w:rsid w:val="00EE0297"/>
    <w:rsid w:val="00EE1258"/>
    <w:rsid w:val="00EE13DA"/>
    <w:rsid w:val="00EE1668"/>
    <w:rsid w:val="00EE1BB5"/>
    <w:rsid w:val="00EE1EDB"/>
    <w:rsid w:val="00EE24E2"/>
    <w:rsid w:val="00EE2A20"/>
    <w:rsid w:val="00EE2CE9"/>
    <w:rsid w:val="00EE366D"/>
    <w:rsid w:val="00EE3B95"/>
    <w:rsid w:val="00EE40A4"/>
    <w:rsid w:val="00EE5454"/>
    <w:rsid w:val="00EE59B5"/>
    <w:rsid w:val="00EE5FB7"/>
    <w:rsid w:val="00EE6783"/>
    <w:rsid w:val="00EE678B"/>
    <w:rsid w:val="00EE73D6"/>
    <w:rsid w:val="00EE7B54"/>
    <w:rsid w:val="00EE7C47"/>
    <w:rsid w:val="00EE7C88"/>
    <w:rsid w:val="00EE7C8B"/>
    <w:rsid w:val="00EF0209"/>
    <w:rsid w:val="00EF0EA4"/>
    <w:rsid w:val="00EF1E97"/>
    <w:rsid w:val="00EF2436"/>
    <w:rsid w:val="00EF2547"/>
    <w:rsid w:val="00EF28D8"/>
    <w:rsid w:val="00EF2B2B"/>
    <w:rsid w:val="00EF2E1C"/>
    <w:rsid w:val="00EF2FD6"/>
    <w:rsid w:val="00EF326A"/>
    <w:rsid w:val="00EF397D"/>
    <w:rsid w:val="00EF427A"/>
    <w:rsid w:val="00EF45DF"/>
    <w:rsid w:val="00EF47C8"/>
    <w:rsid w:val="00EF4944"/>
    <w:rsid w:val="00EF4952"/>
    <w:rsid w:val="00EF498F"/>
    <w:rsid w:val="00EF4A42"/>
    <w:rsid w:val="00EF4C3F"/>
    <w:rsid w:val="00EF510C"/>
    <w:rsid w:val="00EF537B"/>
    <w:rsid w:val="00EF55C4"/>
    <w:rsid w:val="00EF57BC"/>
    <w:rsid w:val="00EF5CA8"/>
    <w:rsid w:val="00EF5DA2"/>
    <w:rsid w:val="00EF6674"/>
    <w:rsid w:val="00EF6784"/>
    <w:rsid w:val="00EF688A"/>
    <w:rsid w:val="00EF6A03"/>
    <w:rsid w:val="00EF6DC2"/>
    <w:rsid w:val="00EF7506"/>
    <w:rsid w:val="00EF760B"/>
    <w:rsid w:val="00EF7BF4"/>
    <w:rsid w:val="00F00125"/>
    <w:rsid w:val="00F0030F"/>
    <w:rsid w:val="00F00674"/>
    <w:rsid w:val="00F01657"/>
    <w:rsid w:val="00F0178E"/>
    <w:rsid w:val="00F01D98"/>
    <w:rsid w:val="00F01E67"/>
    <w:rsid w:val="00F025B1"/>
    <w:rsid w:val="00F02744"/>
    <w:rsid w:val="00F02BFD"/>
    <w:rsid w:val="00F02D25"/>
    <w:rsid w:val="00F03695"/>
    <w:rsid w:val="00F03C3D"/>
    <w:rsid w:val="00F0435D"/>
    <w:rsid w:val="00F04580"/>
    <w:rsid w:val="00F04ECA"/>
    <w:rsid w:val="00F04F8B"/>
    <w:rsid w:val="00F04FBD"/>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2C"/>
    <w:rsid w:val="00F12C52"/>
    <w:rsid w:val="00F1316B"/>
    <w:rsid w:val="00F13381"/>
    <w:rsid w:val="00F1363E"/>
    <w:rsid w:val="00F13828"/>
    <w:rsid w:val="00F13E62"/>
    <w:rsid w:val="00F13F51"/>
    <w:rsid w:val="00F1465D"/>
    <w:rsid w:val="00F148B7"/>
    <w:rsid w:val="00F14EA9"/>
    <w:rsid w:val="00F15505"/>
    <w:rsid w:val="00F15BFF"/>
    <w:rsid w:val="00F1634B"/>
    <w:rsid w:val="00F16E4F"/>
    <w:rsid w:val="00F16EFB"/>
    <w:rsid w:val="00F171B2"/>
    <w:rsid w:val="00F17244"/>
    <w:rsid w:val="00F20931"/>
    <w:rsid w:val="00F20ECE"/>
    <w:rsid w:val="00F213A0"/>
    <w:rsid w:val="00F21C6F"/>
    <w:rsid w:val="00F21D54"/>
    <w:rsid w:val="00F21EF4"/>
    <w:rsid w:val="00F22012"/>
    <w:rsid w:val="00F221A2"/>
    <w:rsid w:val="00F22697"/>
    <w:rsid w:val="00F226E4"/>
    <w:rsid w:val="00F23113"/>
    <w:rsid w:val="00F23255"/>
    <w:rsid w:val="00F23393"/>
    <w:rsid w:val="00F23759"/>
    <w:rsid w:val="00F242BF"/>
    <w:rsid w:val="00F24644"/>
    <w:rsid w:val="00F24996"/>
    <w:rsid w:val="00F24BB1"/>
    <w:rsid w:val="00F25947"/>
    <w:rsid w:val="00F26272"/>
    <w:rsid w:val="00F262D6"/>
    <w:rsid w:val="00F2654F"/>
    <w:rsid w:val="00F26F33"/>
    <w:rsid w:val="00F273D5"/>
    <w:rsid w:val="00F2748A"/>
    <w:rsid w:val="00F2786C"/>
    <w:rsid w:val="00F300A8"/>
    <w:rsid w:val="00F302C6"/>
    <w:rsid w:val="00F30400"/>
    <w:rsid w:val="00F3079E"/>
    <w:rsid w:val="00F31289"/>
    <w:rsid w:val="00F3232D"/>
    <w:rsid w:val="00F3255E"/>
    <w:rsid w:val="00F3399B"/>
    <w:rsid w:val="00F33AE9"/>
    <w:rsid w:val="00F33F4B"/>
    <w:rsid w:val="00F3404E"/>
    <w:rsid w:val="00F346ED"/>
    <w:rsid w:val="00F34945"/>
    <w:rsid w:val="00F34E1E"/>
    <w:rsid w:val="00F3570C"/>
    <w:rsid w:val="00F363A4"/>
    <w:rsid w:val="00F36633"/>
    <w:rsid w:val="00F36765"/>
    <w:rsid w:val="00F368FF"/>
    <w:rsid w:val="00F37068"/>
    <w:rsid w:val="00F37E5F"/>
    <w:rsid w:val="00F37F3F"/>
    <w:rsid w:val="00F40992"/>
    <w:rsid w:val="00F40F72"/>
    <w:rsid w:val="00F41596"/>
    <w:rsid w:val="00F415BF"/>
    <w:rsid w:val="00F4160C"/>
    <w:rsid w:val="00F41D8B"/>
    <w:rsid w:val="00F42121"/>
    <w:rsid w:val="00F424B3"/>
    <w:rsid w:val="00F425E1"/>
    <w:rsid w:val="00F428B1"/>
    <w:rsid w:val="00F428B4"/>
    <w:rsid w:val="00F42EF4"/>
    <w:rsid w:val="00F433F5"/>
    <w:rsid w:val="00F4345D"/>
    <w:rsid w:val="00F4387B"/>
    <w:rsid w:val="00F44914"/>
    <w:rsid w:val="00F44A3C"/>
    <w:rsid w:val="00F45921"/>
    <w:rsid w:val="00F45B91"/>
    <w:rsid w:val="00F45F1F"/>
    <w:rsid w:val="00F46639"/>
    <w:rsid w:val="00F476FD"/>
    <w:rsid w:val="00F47DED"/>
    <w:rsid w:val="00F50183"/>
    <w:rsid w:val="00F50D92"/>
    <w:rsid w:val="00F51765"/>
    <w:rsid w:val="00F51A51"/>
    <w:rsid w:val="00F51BC6"/>
    <w:rsid w:val="00F51CB4"/>
    <w:rsid w:val="00F51DE0"/>
    <w:rsid w:val="00F521E9"/>
    <w:rsid w:val="00F52200"/>
    <w:rsid w:val="00F52257"/>
    <w:rsid w:val="00F52324"/>
    <w:rsid w:val="00F52571"/>
    <w:rsid w:val="00F52950"/>
    <w:rsid w:val="00F52C9D"/>
    <w:rsid w:val="00F533F1"/>
    <w:rsid w:val="00F53F4F"/>
    <w:rsid w:val="00F54367"/>
    <w:rsid w:val="00F54915"/>
    <w:rsid w:val="00F55185"/>
    <w:rsid w:val="00F55679"/>
    <w:rsid w:val="00F561E3"/>
    <w:rsid w:val="00F565E6"/>
    <w:rsid w:val="00F569F5"/>
    <w:rsid w:val="00F56AFA"/>
    <w:rsid w:val="00F575E2"/>
    <w:rsid w:val="00F579FF"/>
    <w:rsid w:val="00F57FC6"/>
    <w:rsid w:val="00F600E0"/>
    <w:rsid w:val="00F605EC"/>
    <w:rsid w:val="00F60F60"/>
    <w:rsid w:val="00F612CE"/>
    <w:rsid w:val="00F6133C"/>
    <w:rsid w:val="00F61405"/>
    <w:rsid w:val="00F61DBA"/>
    <w:rsid w:val="00F62227"/>
    <w:rsid w:val="00F624A7"/>
    <w:rsid w:val="00F62AB6"/>
    <w:rsid w:val="00F649FE"/>
    <w:rsid w:val="00F65A3C"/>
    <w:rsid w:val="00F66009"/>
    <w:rsid w:val="00F66282"/>
    <w:rsid w:val="00F6639E"/>
    <w:rsid w:val="00F670E9"/>
    <w:rsid w:val="00F6749F"/>
    <w:rsid w:val="00F67AF1"/>
    <w:rsid w:val="00F67D8B"/>
    <w:rsid w:val="00F67EC6"/>
    <w:rsid w:val="00F700CD"/>
    <w:rsid w:val="00F701C5"/>
    <w:rsid w:val="00F70961"/>
    <w:rsid w:val="00F70A8F"/>
    <w:rsid w:val="00F71397"/>
    <w:rsid w:val="00F714D2"/>
    <w:rsid w:val="00F72389"/>
    <w:rsid w:val="00F72516"/>
    <w:rsid w:val="00F72FB4"/>
    <w:rsid w:val="00F732CF"/>
    <w:rsid w:val="00F735E5"/>
    <w:rsid w:val="00F73B82"/>
    <w:rsid w:val="00F73E80"/>
    <w:rsid w:val="00F7469C"/>
    <w:rsid w:val="00F7492E"/>
    <w:rsid w:val="00F74945"/>
    <w:rsid w:val="00F749A3"/>
    <w:rsid w:val="00F74AE8"/>
    <w:rsid w:val="00F753EC"/>
    <w:rsid w:val="00F76C11"/>
    <w:rsid w:val="00F77021"/>
    <w:rsid w:val="00F770AB"/>
    <w:rsid w:val="00F77E61"/>
    <w:rsid w:val="00F8022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51A"/>
    <w:rsid w:val="00F87634"/>
    <w:rsid w:val="00F87C13"/>
    <w:rsid w:val="00F87C5A"/>
    <w:rsid w:val="00F87E29"/>
    <w:rsid w:val="00F87F18"/>
    <w:rsid w:val="00F87F68"/>
    <w:rsid w:val="00F90C4D"/>
    <w:rsid w:val="00F9167D"/>
    <w:rsid w:val="00F91CB2"/>
    <w:rsid w:val="00F924AB"/>
    <w:rsid w:val="00F927E8"/>
    <w:rsid w:val="00F9289C"/>
    <w:rsid w:val="00F929FA"/>
    <w:rsid w:val="00F92FC1"/>
    <w:rsid w:val="00F932D1"/>
    <w:rsid w:val="00F93DBC"/>
    <w:rsid w:val="00F93E41"/>
    <w:rsid w:val="00F94644"/>
    <w:rsid w:val="00F94D7F"/>
    <w:rsid w:val="00F952E4"/>
    <w:rsid w:val="00F9537B"/>
    <w:rsid w:val="00F96079"/>
    <w:rsid w:val="00F963FC"/>
    <w:rsid w:val="00F97CF1"/>
    <w:rsid w:val="00FA015F"/>
    <w:rsid w:val="00FA0FAC"/>
    <w:rsid w:val="00FA10F7"/>
    <w:rsid w:val="00FA1DA2"/>
    <w:rsid w:val="00FA2E0B"/>
    <w:rsid w:val="00FA313F"/>
    <w:rsid w:val="00FA3414"/>
    <w:rsid w:val="00FA347A"/>
    <w:rsid w:val="00FA3CDE"/>
    <w:rsid w:val="00FA49B7"/>
    <w:rsid w:val="00FA5043"/>
    <w:rsid w:val="00FA606E"/>
    <w:rsid w:val="00FA60C1"/>
    <w:rsid w:val="00FA65A3"/>
    <w:rsid w:val="00FA6788"/>
    <w:rsid w:val="00FA6A30"/>
    <w:rsid w:val="00FA6BCA"/>
    <w:rsid w:val="00FA6F8B"/>
    <w:rsid w:val="00FA727C"/>
    <w:rsid w:val="00FA7A30"/>
    <w:rsid w:val="00FB033F"/>
    <w:rsid w:val="00FB0880"/>
    <w:rsid w:val="00FB12E3"/>
    <w:rsid w:val="00FB14BA"/>
    <w:rsid w:val="00FB1570"/>
    <w:rsid w:val="00FB193B"/>
    <w:rsid w:val="00FB1FBC"/>
    <w:rsid w:val="00FB220E"/>
    <w:rsid w:val="00FB241D"/>
    <w:rsid w:val="00FB27B7"/>
    <w:rsid w:val="00FB35E3"/>
    <w:rsid w:val="00FB4C98"/>
    <w:rsid w:val="00FB4CE3"/>
    <w:rsid w:val="00FB583C"/>
    <w:rsid w:val="00FB6058"/>
    <w:rsid w:val="00FB630E"/>
    <w:rsid w:val="00FB6738"/>
    <w:rsid w:val="00FB691B"/>
    <w:rsid w:val="00FB6BE6"/>
    <w:rsid w:val="00FB731C"/>
    <w:rsid w:val="00FB7628"/>
    <w:rsid w:val="00FC0363"/>
    <w:rsid w:val="00FC05A0"/>
    <w:rsid w:val="00FC079F"/>
    <w:rsid w:val="00FC0811"/>
    <w:rsid w:val="00FC09B3"/>
    <w:rsid w:val="00FC1196"/>
    <w:rsid w:val="00FC1355"/>
    <w:rsid w:val="00FC15EB"/>
    <w:rsid w:val="00FC162C"/>
    <w:rsid w:val="00FC18DC"/>
    <w:rsid w:val="00FC1F76"/>
    <w:rsid w:val="00FC2477"/>
    <w:rsid w:val="00FC2AC4"/>
    <w:rsid w:val="00FC2F73"/>
    <w:rsid w:val="00FC3A9B"/>
    <w:rsid w:val="00FC3AE1"/>
    <w:rsid w:val="00FC3DFC"/>
    <w:rsid w:val="00FC3EF4"/>
    <w:rsid w:val="00FC431B"/>
    <w:rsid w:val="00FC434C"/>
    <w:rsid w:val="00FC472C"/>
    <w:rsid w:val="00FC4FDF"/>
    <w:rsid w:val="00FC5652"/>
    <w:rsid w:val="00FC5CF4"/>
    <w:rsid w:val="00FC5D64"/>
    <w:rsid w:val="00FC61D6"/>
    <w:rsid w:val="00FC66F5"/>
    <w:rsid w:val="00FC6A39"/>
    <w:rsid w:val="00FC6DB9"/>
    <w:rsid w:val="00FC707D"/>
    <w:rsid w:val="00FC70B0"/>
    <w:rsid w:val="00FC76A9"/>
    <w:rsid w:val="00FC79AB"/>
    <w:rsid w:val="00FC7BE7"/>
    <w:rsid w:val="00FC7DAC"/>
    <w:rsid w:val="00FD005D"/>
    <w:rsid w:val="00FD0216"/>
    <w:rsid w:val="00FD04AE"/>
    <w:rsid w:val="00FD0DFA"/>
    <w:rsid w:val="00FD1890"/>
    <w:rsid w:val="00FD1994"/>
    <w:rsid w:val="00FD21E5"/>
    <w:rsid w:val="00FD3508"/>
    <w:rsid w:val="00FD393C"/>
    <w:rsid w:val="00FD3AFF"/>
    <w:rsid w:val="00FD43BB"/>
    <w:rsid w:val="00FD4AF3"/>
    <w:rsid w:val="00FD5443"/>
    <w:rsid w:val="00FD5640"/>
    <w:rsid w:val="00FD6675"/>
    <w:rsid w:val="00FD6DC5"/>
    <w:rsid w:val="00FD72B1"/>
    <w:rsid w:val="00FD798D"/>
    <w:rsid w:val="00FD7F5E"/>
    <w:rsid w:val="00FE0928"/>
    <w:rsid w:val="00FE141E"/>
    <w:rsid w:val="00FE1429"/>
    <w:rsid w:val="00FE144E"/>
    <w:rsid w:val="00FE1768"/>
    <w:rsid w:val="00FE1DD5"/>
    <w:rsid w:val="00FE24F4"/>
    <w:rsid w:val="00FE2560"/>
    <w:rsid w:val="00FE32DF"/>
    <w:rsid w:val="00FE35D0"/>
    <w:rsid w:val="00FE42ED"/>
    <w:rsid w:val="00FE4E06"/>
    <w:rsid w:val="00FE55A7"/>
    <w:rsid w:val="00FE5C5A"/>
    <w:rsid w:val="00FE601E"/>
    <w:rsid w:val="00FE6432"/>
    <w:rsid w:val="00FE72A0"/>
    <w:rsid w:val="00FE7972"/>
    <w:rsid w:val="00FF0050"/>
    <w:rsid w:val="00FF045F"/>
    <w:rsid w:val="00FF0816"/>
    <w:rsid w:val="00FF13D4"/>
    <w:rsid w:val="00FF2053"/>
    <w:rsid w:val="00FF3B37"/>
    <w:rsid w:val="00FF3CC7"/>
    <w:rsid w:val="00FF3D6F"/>
    <w:rsid w:val="00FF441A"/>
    <w:rsid w:val="00FF4BD8"/>
    <w:rsid w:val="00FF4D11"/>
    <w:rsid w:val="00FF5214"/>
    <w:rsid w:val="00FF596E"/>
    <w:rsid w:val="00FF5B59"/>
    <w:rsid w:val="00FF5BFD"/>
    <w:rsid w:val="00FF6095"/>
    <w:rsid w:val="00FF629E"/>
    <w:rsid w:val="00FF62FE"/>
    <w:rsid w:val="00FF6434"/>
    <w:rsid w:val="00FF6553"/>
    <w:rsid w:val="00FF709D"/>
    <w:rsid w:val="00FF70BD"/>
    <w:rsid w:val="00FF7124"/>
    <w:rsid w:val="00FF7A39"/>
    <w:rsid w:val="0E60C54A"/>
    <w:rsid w:val="27059084"/>
    <w:rsid w:val="5D2C11C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superscript">
    <w:name w:val="superscript"/>
    <w:basedOn w:val="Fuentedeprrafopredeter"/>
    <w:rsid w:val="00221A1D"/>
  </w:style>
  <w:style w:type="paragraph" w:styleId="Revisin">
    <w:name w:val="Revision"/>
    <w:hidden/>
    <w:uiPriority w:val="99"/>
    <w:semiHidden/>
    <w:rsid w:val="002B6782"/>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0083367">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6904838">
      <w:bodyDiv w:val="1"/>
      <w:marLeft w:val="0"/>
      <w:marRight w:val="0"/>
      <w:marTop w:val="0"/>
      <w:marBottom w:val="0"/>
      <w:divBdr>
        <w:top w:val="none" w:sz="0" w:space="0" w:color="auto"/>
        <w:left w:val="none" w:sz="0" w:space="0" w:color="auto"/>
        <w:bottom w:val="none" w:sz="0" w:space="0" w:color="auto"/>
        <w:right w:val="none" w:sz="0" w:space="0" w:color="auto"/>
      </w:divBdr>
      <w:divsChild>
        <w:div w:id="585454110">
          <w:marLeft w:val="0"/>
          <w:marRight w:val="0"/>
          <w:marTop w:val="0"/>
          <w:marBottom w:val="0"/>
          <w:divBdr>
            <w:top w:val="none" w:sz="0" w:space="0" w:color="auto"/>
            <w:left w:val="none" w:sz="0" w:space="0" w:color="auto"/>
            <w:bottom w:val="none" w:sz="0" w:space="0" w:color="auto"/>
            <w:right w:val="none" w:sz="0" w:space="0" w:color="auto"/>
          </w:divBdr>
        </w:div>
        <w:div w:id="2052341806">
          <w:marLeft w:val="0"/>
          <w:marRight w:val="0"/>
          <w:marTop w:val="0"/>
          <w:marBottom w:val="0"/>
          <w:divBdr>
            <w:top w:val="none" w:sz="0" w:space="0" w:color="auto"/>
            <w:left w:val="none" w:sz="0" w:space="0" w:color="auto"/>
            <w:bottom w:val="none" w:sz="0" w:space="0" w:color="auto"/>
            <w:right w:val="none" w:sz="0" w:space="0" w:color="auto"/>
          </w:divBdr>
        </w:div>
        <w:div w:id="1252272080">
          <w:marLeft w:val="0"/>
          <w:marRight w:val="0"/>
          <w:marTop w:val="0"/>
          <w:marBottom w:val="0"/>
          <w:divBdr>
            <w:top w:val="none" w:sz="0" w:space="0" w:color="auto"/>
            <w:left w:val="none" w:sz="0" w:space="0" w:color="auto"/>
            <w:bottom w:val="none" w:sz="0" w:space="0" w:color="auto"/>
            <w:right w:val="none" w:sz="0" w:space="0" w:color="auto"/>
          </w:divBdr>
        </w:div>
        <w:div w:id="1856387046">
          <w:marLeft w:val="0"/>
          <w:marRight w:val="0"/>
          <w:marTop w:val="0"/>
          <w:marBottom w:val="0"/>
          <w:divBdr>
            <w:top w:val="none" w:sz="0" w:space="0" w:color="auto"/>
            <w:left w:val="none" w:sz="0" w:space="0" w:color="auto"/>
            <w:bottom w:val="none" w:sz="0" w:space="0" w:color="auto"/>
            <w:right w:val="none" w:sz="0" w:space="0" w:color="auto"/>
          </w:divBdr>
        </w:div>
        <w:div w:id="2034303884">
          <w:marLeft w:val="0"/>
          <w:marRight w:val="0"/>
          <w:marTop w:val="0"/>
          <w:marBottom w:val="0"/>
          <w:divBdr>
            <w:top w:val="none" w:sz="0" w:space="0" w:color="auto"/>
            <w:left w:val="none" w:sz="0" w:space="0" w:color="auto"/>
            <w:bottom w:val="none" w:sz="0" w:space="0" w:color="auto"/>
            <w:right w:val="none" w:sz="0" w:space="0" w:color="auto"/>
          </w:divBdr>
        </w:div>
        <w:div w:id="189882077">
          <w:marLeft w:val="0"/>
          <w:marRight w:val="0"/>
          <w:marTop w:val="0"/>
          <w:marBottom w:val="0"/>
          <w:divBdr>
            <w:top w:val="none" w:sz="0" w:space="0" w:color="auto"/>
            <w:left w:val="none" w:sz="0" w:space="0" w:color="auto"/>
            <w:bottom w:val="none" w:sz="0" w:space="0" w:color="auto"/>
            <w:right w:val="none" w:sz="0" w:space="0" w:color="auto"/>
          </w:divBdr>
        </w:div>
        <w:div w:id="2030905624">
          <w:marLeft w:val="0"/>
          <w:marRight w:val="0"/>
          <w:marTop w:val="0"/>
          <w:marBottom w:val="0"/>
          <w:divBdr>
            <w:top w:val="none" w:sz="0" w:space="0" w:color="auto"/>
            <w:left w:val="none" w:sz="0" w:space="0" w:color="auto"/>
            <w:bottom w:val="none" w:sz="0" w:space="0" w:color="auto"/>
            <w:right w:val="none" w:sz="0" w:space="0" w:color="auto"/>
          </w:divBdr>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26793">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840033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654794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17132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1327639">
      <w:bodyDiv w:val="1"/>
      <w:marLeft w:val="0"/>
      <w:marRight w:val="0"/>
      <w:marTop w:val="0"/>
      <w:marBottom w:val="0"/>
      <w:divBdr>
        <w:top w:val="none" w:sz="0" w:space="0" w:color="auto"/>
        <w:left w:val="none" w:sz="0" w:space="0" w:color="auto"/>
        <w:bottom w:val="none" w:sz="0" w:space="0" w:color="auto"/>
        <w:right w:val="none" w:sz="0" w:space="0" w:color="auto"/>
      </w:divBdr>
      <w:divsChild>
        <w:div w:id="1434203582">
          <w:marLeft w:val="0"/>
          <w:marRight w:val="0"/>
          <w:marTop w:val="0"/>
          <w:marBottom w:val="0"/>
          <w:divBdr>
            <w:top w:val="none" w:sz="0" w:space="0" w:color="auto"/>
            <w:left w:val="none" w:sz="0" w:space="0" w:color="auto"/>
            <w:bottom w:val="none" w:sz="0" w:space="0" w:color="auto"/>
            <w:right w:val="none" w:sz="0" w:space="0" w:color="auto"/>
          </w:divBdr>
        </w:div>
        <w:div w:id="1371103479">
          <w:marLeft w:val="0"/>
          <w:marRight w:val="0"/>
          <w:marTop w:val="0"/>
          <w:marBottom w:val="0"/>
          <w:divBdr>
            <w:top w:val="none" w:sz="0" w:space="0" w:color="auto"/>
            <w:left w:val="none" w:sz="0" w:space="0" w:color="auto"/>
            <w:bottom w:val="none" w:sz="0" w:space="0" w:color="auto"/>
            <w:right w:val="none" w:sz="0" w:space="0" w:color="auto"/>
          </w:divBdr>
        </w:div>
        <w:div w:id="2024238558">
          <w:marLeft w:val="0"/>
          <w:marRight w:val="0"/>
          <w:marTop w:val="0"/>
          <w:marBottom w:val="0"/>
          <w:divBdr>
            <w:top w:val="none" w:sz="0" w:space="0" w:color="auto"/>
            <w:left w:val="none" w:sz="0" w:space="0" w:color="auto"/>
            <w:bottom w:val="none" w:sz="0" w:space="0" w:color="auto"/>
            <w:right w:val="none" w:sz="0" w:space="0" w:color="auto"/>
          </w:divBdr>
        </w:div>
        <w:div w:id="426652870">
          <w:marLeft w:val="0"/>
          <w:marRight w:val="0"/>
          <w:marTop w:val="0"/>
          <w:marBottom w:val="0"/>
          <w:divBdr>
            <w:top w:val="none" w:sz="0" w:space="0" w:color="auto"/>
            <w:left w:val="none" w:sz="0" w:space="0" w:color="auto"/>
            <w:bottom w:val="none" w:sz="0" w:space="0" w:color="auto"/>
            <w:right w:val="none" w:sz="0" w:space="0" w:color="auto"/>
          </w:divBdr>
        </w:div>
        <w:div w:id="788159496">
          <w:marLeft w:val="0"/>
          <w:marRight w:val="0"/>
          <w:marTop w:val="0"/>
          <w:marBottom w:val="0"/>
          <w:divBdr>
            <w:top w:val="none" w:sz="0" w:space="0" w:color="auto"/>
            <w:left w:val="none" w:sz="0" w:space="0" w:color="auto"/>
            <w:bottom w:val="none" w:sz="0" w:space="0" w:color="auto"/>
            <w:right w:val="none" w:sz="0" w:space="0" w:color="auto"/>
          </w:divBdr>
        </w:div>
        <w:div w:id="1060903204">
          <w:marLeft w:val="0"/>
          <w:marRight w:val="0"/>
          <w:marTop w:val="0"/>
          <w:marBottom w:val="0"/>
          <w:divBdr>
            <w:top w:val="none" w:sz="0" w:space="0" w:color="auto"/>
            <w:left w:val="none" w:sz="0" w:space="0" w:color="auto"/>
            <w:bottom w:val="none" w:sz="0" w:space="0" w:color="auto"/>
            <w:right w:val="none" w:sz="0" w:space="0" w:color="auto"/>
          </w:divBdr>
        </w:div>
        <w:div w:id="2083793741">
          <w:marLeft w:val="0"/>
          <w:marRight w:val="0"/>
          <w:marTop w:val="0"/>
          <w:marBottom w:val="0"/>
          <w:divBdr>
            <w:top w:val="none" w:sz="0" w:space="0" w:color="auto"/>
            <w:left w:val="none" w:sz="0" w:space="0" w:color="auto"/>
            <w:bottom w:val="none" w:sz="0" w:space="0" w:color="auto"/>
            <w:right w:val="none" w:sz="0" w:space="0" w:color="auto"/>
          </w:divBdr>
        </w:div>
      </w:divsChild>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6943046">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4553">
      <w:bodyDiv w:val="1"/>
      <w:marLeft w:val="0"/>
      <w:marRight w:val="0"/>
      <w:marTop w:val="0"/>
      <w:marBottom w:val="0"/>
      <w:divBdr>
        <w:top w:val="none" w:sz="0" w:space="0" w:color="auto"/>
        <w:left w:val="none" w:sz="0" w:space="0" w:color="auto"/>
        <w:bottom w:val="none" w:sz="0" w:space="0" w:color="auto"/>
        <w:right w:val="none" w:sz="0" w:space="0" w:color="auto"/>
      </w:divBdr>
      <w:divsChild>
        <w:div w:id="1614900304">
          <w:marLeft w:val="0"/>
          <w:marRight w:val="0"/>
          <w:marTop w:val="0"/>
          <w:marBottom w:val="0"/>
          <w:divBdr>
            <w:top w:val="none" w:sz="0" w:space="0" w:color="auto"/>
            <w:left w:val="none" w:sz="0" w:space="0" w:color="auto"/>
            <w:bottom w:val="none" w:sz="0" w:space="0" w:color="auto"/>
            <w:right w:val="none" w:sz="0" w:space="0" w:color="auto"/>
          </w:divBdr>
        </w:div>
        <w:div w:id="1711761483">
          <w:marLeft w:val="0"/>
          <w:marRight w:val="0"/>
          <w:marTop w:val="0"/>
          <w:marBottom w:val="0"/>
          <w:divBdr>
            <w:top w:val="none" w:sz="0" w:space="0" w:color="auto"/>
            <w:left w:val="none" w:sz="0" w:space="0" w:color="auto"/>
            <w:bottom w:val="none" w:sz="0" w:space="0" w:color="auto"/>
            <w:right w:val="none" w:sz="0" w:space="0" w:color="auto"/>
          </w:divBdr>
        </w:div>
        <w:div w:id="971445505">
          <w:marLeft w:val="0"/>
          <w:marRight w:val="0"/>
          <w:marTop w:val="0"/>
          <w:marBottom w:val="0"/>
          <w:divBdr>
            <w:top w:val="none" w:sz="0" w:space="0" w:color="auto"/>
            <w:left w:val="none" w:sz="0" w:space="0" w:color="auto"/>
            <w:bottom w:val="none" w:sz="0" w:space="0" w:color="auto"/>
            <w:right w:val="none" w:sz="0" w:space="0" w:color="auto"/>
          </w:divBdr>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9291021">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relatoria.colombiacompra.gov.co/busqueda/conceptos"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04419278-EFFF-445E-9749-68AE562BF3BB}">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2B9FA6C4-02DE-4297-BC18-8EC8C455C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380</TotalTime>
  <Pages>16</Pages>
  <Words>6586</Words>
  <Characters>36229</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Martin Rojas Mejia</cp:lastModifiedBy>
  <cp:revision>31</cp:revision>
  <cp:lastPrinted>2020-01-30T15:05:00Z</cp:lastPrinted>
  <dcterms:created xsi:type="dcterms:W3CDTF">2022-06-12T22:06:00Z</dcterms:created>
  <dcterms:modified xsi:type="dcterms:W3CDTF">2022-08-25T19:48:00Z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