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842E4F" w:rsidRDefault="00137E23" w:rsidP="00137E23">
      <w:pPr>
        <w:spacing w:after="0" w:line="240" w:lineRule="auto"/>
        <w:jc w:val="right"/>
        <w:rPr>
          <w:rFonts w:ascii="Arial" w:eastAsia="Times New Roman" w:hAnsi="Arial" w:cs="Arial"/>
          <w:sz w:val="20"/>
          <w:szCs w:val="20"/>
          <w:lang w:eastAsia="es-ES"/>
        </w:rPr>
      </w:pPr>
      <w:r w:rsidRPr="00842E4F">
        <w:rPr>
          <w:rFonts w:ascii="Arial" w:eastAsia="Times New Roman" w:hAnsi="Arial" w:cs="Arial"/>
          <w:sz w:val="20"/>
          <w:szCs w:val="20"/>
          <w:lang w:eastAsia="es-ES"/>
        </w:rPr>
        <w:t>CCE-DES-FM-17</w:t>
      </w:r>
    </w:p>
    <w:p w14:paraId="4113813E" w14:textId="77777777" w:rsidR="00137E23" w:rsidRPr="00842E4F" w:rsidRDefault="00137E23" w:rsidP="00AE5FD6">
      <w:pPr>
        <w:spacing w:after="0" w:line="240" w:lineRule="auto"/>
        <w:jc w:val="both"/>
        <w:rPr>
          <w:rFonts w:ascii="Arial" w:eastAsia="Calibri" w:hAnsi="Arial" w:cs="Arial"/>
          <w:b/>
          <w:sz w:val="20"/>
          <w:szCs w:val="20"/>
        </w:rPr>
      </w:pPr>
    </w:p>
    <w:p w14:paraId="746250BD" w14:textId="77777777" w:rsidR="002B5060" w:rsidRPr="00842E4F" w:rsidRDefault="002B5060" w:rsidP="00842E4F">
      <w:pPr>
        <w:spacing w:line="240" w:lineRule="auto"/>
        <w:jc w:val="both"/>
        <w:rPr>
          <w:rFonts w:ascii="Arial" w:eastAsia="Calibri" w:hAnsi="Arial" w:cs="Arial"/>
          <w:b/>
          <w:color w:val="000000" w:themeColor="text1"/>
        </w:rPr>
      </w:pPr>
      <w:bookmarkStart w:id="0" w:name="_Hlk72942111"/>
      <w:r w:rsidRPr="00842E4F">
        <w:rPr>
          <w:rFonts w:ascii="Arial" w:eastAsia="Calibri" w:hAnsi="Arial" w:cs="Arial"/>
          <w:b/>
          <w:color w:val="000000" w:themeColor="text1"/>
        </w:rPr>
        <w:t xml:space="preserve">LEY DE EMPRENDIMIENTO – Ley 2069 de 2020 – Finalidad </w:t>
      </w:r>
    </w:p>
    <w:p w14:paraId="40CBB38C" w14:textId="0A3C0AEA" w:rsidR="002B5060" w:rsidRPr="00842E4F" w:rsidRDefault="002B5060" w:rsidP="00842E4F">
      <w:pPr>
        <w:spacing w:line="240" w:lineRule="auto"/>
        <w:jc w:val="both"/>
        <w:rPr>
          <w:rFonts w:ascii="Arial" w:eastAsia="Calibri" w:hAnsi="Arial" w:cs="Arial"/>
          <w:color w:val="000000" w:themeColor="text1"/>
          <w:sz w:val="20"/>
          <w:szCs w:val="20"/>
          <w:lang w:val="es-ES_tradnl"/>
        </w:rPr>
      </w:pPr>
      <w:r w:rsidRPr="00842E4F">
        <w:rPr>
          <w:rFonts w:ascii="Arial" w:eastAsia="Calibri" w:hAnsi="Arial" w:cs="Arial"/>
          <w:color w:val="000000" w:themeColor="text1"/>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w:t>
      </w:r>
      <w:r w:rsidR="00D55903" w:rsidRPr="00D55903">
        <w:rPr>
          <w:rFonts w:ascii="Arial" w:eastAsia="Calibri" w:hAnsi="Arial" w:cs="Arial"/>
          <w:color w:val="000000" w:themeColor="text1"/>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00D55903" w:rsidRPr="00D55903">
        <w:rPr>
          <w:rFonts w:ascii="Arial" w:eastAsia="Calibri" w:hAnsi="Arial" w:cs="Arial"/>
          <w:color w:val="000000" w:themeColor="text1"/>
          <w:sz w:val="20"/>
          <w:szCs w:val="20"/>
          <w:lang w:val="es-ES_tradnl"/>
        </w:rPr>
        <w:t>de acuerdo a</w:t>
      </w:r>
      <w:proofErr w:type="gramEnd"/>
      <w:r w:rsidR="00D55903" w:rsidRPr="00D55903">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00D55903" w:rsidRPr="00D55903">
        <w:rPr>
          <w:rFonts w:ascii="Arial" w:eastAsia="Calibri" w:hAnsi="Arial" w:cs="Arial"/>
          <w:color w:val="000000" w:themeColor="text1"/>
          <w:sz w:val="20"/>
          <w:szCs w:val="20"/>
          <w:lang w:val="es-ES_tradnl"/>
        </w:rPr>
        <w:t>mipymes</w:t>
      </w:r>
      <w:proofErr w:type="spellEnd"/>
      <w:r w:rsidR="00D55903" w:rsidRPr="00D55903">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w:t>
      </w:r>
      <w:r w:rsid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D1FA6C4" w14:textId="77777777" w:rsidR="002B5060" w:rsidRPr="00842E4F" w:rsidRDefault="002B5060" w:rsidP="00842E4F">
      <w:pPr>
        <w:spacing w:line="240" w:lineRule="auto"/>
        <w:jc w:val="both"/>
        <w:rPr>
          <w:rFonts w:ascii="Arial" w:eastAsia="Calibri" w:hAnsi="Arial" w:cs="Arial"/>
          <w:b/>
          <w:color w:val="000000" w:themeColor="text1"/>
        </w:rPr>
      </w:pPr>
      <w:r w:rsidRPr="00842E4F">
        <w:rPr>
          <w:rFonts w:ascii="Arial" w:eastAsia="Calibri" w:hAnsi="Arial" w:cs="Arial"/>
          <w:b/>
          <w:color w:val="000000" w:themeColor="text1"/>
        </w:rPr>
        <w:t>LEY DE EMPRENDIMIENTO – Ley 2069 de 2020 – Artículo 32 – Criterios diferenciales – Emprendimientos de mujeres – Empresas de mujeres – Necesidad de reglamentación – Decreto 1860 de 2021</w:t>
      </w:r>
    </w:p>
    <w:p w14:paraId="04ACB260" w14:textId="444C5E60" w:rsidR="002B5060" w:rsidRPr="00842E4F" w:rsidRDefault="002B5060" w:rsidP="00842E4F">
      <w:pPr>
        <w:spacing w:line="240" w:lineRule="auto"/>
        <w:jc w:val="both"/>
        <w:rPr>
          <w:rFonts w:ascii="Arial" w:eastAsia="Calibri" w:hAnsi="Arial" w:cs="Arial"/>
          <w:color w:val="000000" w:themeColor="text1"/>
          <w:sz w:val="20"/>
          <w:szCs w:val="20"/>
          <w:lang w:val="es-ES_tradnl"/>
        </w:rPr>
      </w:pPr>
      <w:r w:rsidRPr="00842E4F">
        <w:rPr>
          <w:rFonts w:ascii="Arial" w:eastAsia="Calibri" w:hAnsi="Arial" w:cs="Arial"/>
          <w:bCs/>
          <w:color w:val="000000" w:themeColor="text1"/>
          <w:sz w:val="20"/>
          <w:szCs w:val="20"/>
        </w:rPr>
        <w:t>[…]</w:t>
      </w:r>
      <w:r w:rsidR="00D55903">
        <w:rPr>
          <w:rFonts w:ascii="Arial" w:eastAsia="Calibri" w:hAnsi="Arial" w:cs="Arial"/>
          <w:bCs/>
          <w:color w:val="000000" w:themeColor="text1"/>
          <w:sz w:val="20"/>
          <w:szCs w:val="20"/>
        </w:rPr>
        <w:t xml:space="preserve"> </w:t>
      </w:r>
      <w:r w:rsidR="00D55903" w:rsidRPr="00D55903">
        <w:rPr>
          <w:rFonts w:ascii="Arial" w:eastAsia="Calibri" w:hAnsi="Arial" w:cs="Arial"/>
          <w:color w:val="000000" w:themeColor="text1"/>
          <w:sz w:val="20"/>
          <w:szCs w:val="20"/>
          <w:lang w:val="es-ES_tradnl"/>
        </w:rPr>
        <w:t>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w:t>
      </w:r>
      <w:r w:rsidRP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En este contexto, el pasado 24 de diciembre, el gobierno nacional expidió el Decreto 1860 de 2021</w:t>
      </w:r>
      <w:r w:rsidRP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74D1F05C" w14:textId="77777777" w:rsidR="002B5060" w:rsidRPr="00842E4F" w:rsidRDefault="002B5060" w:rsidP="00842E4F">
      <w:pPr>
        <w:spacing w:line="240" w:lineRule="auto"/>
        <w:jc w:val="both"/>
        <w:rPr>
          <w:rFonts w:ascii="Arial" w:eastAsia="Calibri" w:hAnsi="Arial" w:cs="Arial"/>
          <w:b/>
          <w:color w:val="000000" w:themeColor="text1"/>
          <w:lang w:val="es-ES"/>
        </w:rPr>
      </w:pPr>
      <w:r w:rsidRPr="00842E4F">
        <w:rPr>
          <w:rFonts w:ascii="Arial" w:eastAsia="Calibri" w:hAnsi="Arial" w:cs="Arial"/>
          <w:b/>
          <w:color w:val="000000" w:themeColor="text1"/>
          <w:lang w:val="es-ES"/>
        </w:rPr>
        <w:t>DECRETO 1860 DE 2021 – Vigencia</w:t>
      </w:r>
    </w:p>
    <w:p w14:paraId="3522BC38" w14:textId="240889BD" w:rsidR="002B5060" w:rsidRPr="00D55903" w:rsidRDefault="00D55903" w:rsidP="00D55903">
      <w:pPr>
        <w:spacing w:line="240" w:lineRule="auto"/>
        <w:jc w:val="both"/>
        <w:rPr>
          <w:rFonts w:ascii="Arial" w:eastAsia="Calibri" w:hAnsi="Arial" w:cs="Arial"/>
          <w:color w:val="000000" w:themeColor="text1"/>
          <w:sz w:val="20"/>
          <w:szCs w:val="20"/>
          <w:lang w:val="es-ES_tradnl"/>
        </w:rPr>
      </w:pPr>
      <w:r w:rsidRPr="00D55903">
        <w:rPr>
          <w:rFonts w:ascii="Arial" w:eastAsia="Calibri" w:hAnsi="Arial" w:cs="Arial"/>
          <w:color w:val="000000" w:themeColor="text1"/>
          <w:sz w:val="20"/>
          <w:szCs w:val="20"/>
          <w:lang w:val="es-ES_tradnl"/>
        </w:rPr>
        <w:t xml:space="preserve">[…] la entrada en vigencia del Decreto 1860 de 2021, en relación con los procesos contractuales regidos documentos tipo, dependerá de si se trata del artículo 5 del Decreto o de cualquier otro. De esta forma, en el primer supuesto, teniendo en cuenta que el Decreto fue expedido el 24 de diciembre de 2021, las disposiciones contenidas en el artículo 5 relacionadas con la limitación a </w:t>
      </w:r>
      <w:proofErr w:type="spellStart"/>
      <w:r w:rsidRPr="00D55903">
        <w:rPr>
          <w:rFonts w:ascii="Arial" w:eastAsia="Calibri" w:hAnsi="Arial" w:cs="Arial"/>
          <w:color w:val="000000" w:themeColor="text1"/>
          <w:sz w:val="20"/>
          <w:szCs w:val="20"/>
          <w:lang w:val="es-ES_tradnl"/>
        </w:rPr>
        <w:t>Mipymes</w:t>
      </w:r>
      <w:proofErr w:type="spellEnd"/>
      <w:r w:rsidRPr="00D55903">
        <w:rPr>
          <w:rFonts w:ascii="Arial" w:eastAsia="Calibri" w:hAnsi="Arial" w:cs="Arial"/>
          <w:color w:val="000000" w:themeColor="text1"/>
          <w:sz w:val="20"/>
          <w:szCs w:val="20"/>
          <w:lang w:val="es-ES_tradnl"/>
        </w:rPr>
        <w:t xml:space="preserve">, son obligatorias desde el 24 de marzo de 2022. No obstante, si se trata de los otros </w:t>
      </w:r>
      <w:r w:rsidRPr="00D55903">
        <w:rPr>
          <w:rFonts w:ascii="Arial" w:eastAsia="Calibri" w:hAnsi="Arial" w:cs="Arial"/>
          <w:color w:val="000000" w:themeColor="text1"/>
          <w:sz w:val="20"/>
          <w:szCs w:val="20"/>
          <w:lang w:val="es-ES_tradnl"/>
        </w:rPr>
        <w:lastRenderedPageBreak/>
        <w:t>artículos del Decreto, su entrada en vigencia está condicionada a la modificación de los documentos tipo por parte de la Agencia Nacional de Contratación Pública – Colombia Compra Eficiente.</w:t>
      </w:r>
      <w:r>
        <w:rPr>
          <w:rFonts w:ascii="Arial" w:eastAsia="Calibri" w:hAnsi="Arial" w:cs="Arial"/>
          <w:color w:val="000000" w:themeColor="text1"/>
          <w:sz w:val="20"/>
          <w:szCs w:val="20"/>
          <w:lang w:val="es-ES_tradnl"/>
        </w:rPr>
        <w:t xml:space="preserve"> </w:t>
      </w:r>
      <w:r w:rsidRPr="00D55903">
        <w:rPr>
          <w:rFonts w:ascii="Arial" w:eastAsia="Calibri" w:hAnsi="Arial" w:cs="Arial"/>
          <w:color w:val="000000" w:themeColor="text1"/>
          <w:sz w:val="20"/>
          <w:szCs w:val="20"/>
          <w:lang w:val="es-ES_tradnl"/>
        </w:rPr>
        <w:t>Este último supuesto, es el caso del artículo 3 del Decreto 1860 de 2021, que adicionó el artículo 2.2.1.2.4.2.14 y 2.2.1.2.4.2.15 al Decreto 1082 de 2015, en los que se establecen: i) la definición de emprendimientos y empresas de mujeres para que puedan aplicarse a los criterios diferenciales y ii) criterios diferenciales a favor de empresas y emprendimientos de mujeres en el sistema de compras públicas. De esta forma, su entrada en vigencia está supeditada a que la Agencia realice su incorporación en los documentos tipo, lo que se realizó mediante la expedición de la Resolución 275 del 24 de junio de 2022 «Por la cual se modifican los documentos tipo adoptados por la Agencia Nacional de Contratación Pública − Colombia Compra Eficiente». 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 No obstante, en cuanto a la vigencia de la Resolución 275 de 2022, el artículo 179 dispuso que esta «[…] rige a partir de su publicación y aplicará a los Procesos de Contratación cuyo aviso de convocatoria se publique a partir del 29 de agosto de 2022».</w:t>
      </w:r>
    </w:p>
    <w:p w14:paraId="70D813CF" w14:textId="4B528EA0" w:rsidR="002B5060" w:rsidRPr="00842E4F" w:rsidRDefault="002B5060" w:rsidP="00842E4F">
      <w:pPr>
        <w:spacing w:line="240" w:lineRule="auto"/>
        <w:jc w:val="both"/>
        <w:rPr>
          <w:rFonts w:ascii="Arial" w:eastAsia="Calibri" w:hAnsi="Arial" w:cs="Arial"/>
          <w:b/>
          <w:color w:val="000000" w:themeColor="text1"/>
          <w:lang w:val="es-ES"/>
        </w:rPr>
      </w:pPr>
      <w:r w:rsidRPr="00842E4F">
        <w:rPr>
          <w:rFonts w:ascii="Arial" w:eastAsia="Calibri" w:hAnsi="Arial" w:cs="Arial"/>
          <w:b/>
          <w:color w:val="000000" w:themeColor="text1"/>
          <w:lang w:val="es-ES"/>
        </w:rPr>
        <w:t xml:space="preserve">DECRETO 1860 DE 2021 – Emprendimientos y empresas de mujeres – Definición – Artículo 2.2.1.2.4.2.14 – Numeral 1 – Participación mayoritaria – Significado de las palabras – Antigüedad. </w:t>
      </w:r>
    </w:p>
    <w:p w14:paraId="770C9608" w14:textId="0DECC23E" w:rsidR="00D55903" w:rsidRDefault="00D55903" w:rsidP="00D55903">
      <w:pPr>
        <w:spacing w:after="120" w:line="240" w:lineRule="auto"/>
        <w:jc w:val="both"/>
        <w:rPr>
          <w:rFonts w:ascii="Arial" w:eastAsia="Calibri" w:hAnsi="Arial" w:cs="Arial"/>
          <w:color w:val="000000" w:themeColor="text1"/>
          <w:sz w:val="20"/>
          <w:szCs w:val="20"/>
          <w:lang w:val="es-ES_tradnl"/>
        </w:rPr>
      </w:pPr>
      <w:r w:rsidRPr="00D55903">
        <w:rPr>
          <w:rFonts w:ascii="Arial" w:eastAsia="Calibri" w:hAnsi="Arial" w:cs="Arial"/>
          <w:color w:val="000000" w:themeColor="text1"/>
          <w:sz w:val="20"/>
          <w:szCs w:val="20"/>
          <w:lang w:val="es-ES_tradnl"/>
        </w:rPr>
        <w:t>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2C7CCE22" w14:textId="0858CDD6" w:rsidR="002B5060" w:rsidRPr="00842E4F" w:rsidRDefault="00B32221" w:rsidP="00B32221">
      <w:pPr>
        <w:spacing w:after="120" w:line="240" w:lineRule="auto"/>
        <w:jc w:val="both"/>
        <w:rPr>
          <w:rFonts w:ascii="Arial" w:eastAsia="Calibri" w:hAnsi="Arial" w:cs="Arial"/>
          <w:color w:val="000000" w:themeColor="text1"/>
          <w:sz w:val="20"/>
          <w:szCs w:val="20"/>
          <w:lang w:val="es-ES_tradnl"/>
        </w:rPr>
      </w:pPr>
      <w:r w:rsidRPr="00B32221">
        <w:rPr>
          <w:rFonts w:ascii="Arial" w:eastAsia="Calibri" w:hAnsi="Arial" w:cs="Arial"/>
          <w:color w:val="000000" w:themeColor="text1"/>
          <w:sz w:val="20"/>
          <w:szCs w:val="20"/>
          <w:lang w:val="es-ES_tradnl"/>
        </w:rPr>
        <w:t>De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 Lo anterior significa que sociedades con un término de constitución inferior a un año no están dentro del campo de aplicación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w:t>
      </w:r>
      <w:r w:rsidR="002B5060" w:rsidRPr="00842E4F">
        <w:rPr>
          <w:rFonts w:ascii="Arial" w:eastAsia="Calibri" w:hAnsi="Arial" w:cs="Arial"/>
          <w:color w:val="000000" w:themeColor="text1"/>
          <w:sz w:val="20"/>
          <w:szCs w:val="20"/>
          <w:lang w:val="es-ES_tradnl"/>
        </w:rPr>
        <w:t xml:space="preserve"> </w:t>
      </w:r>
    </w:p>
    <w:p w14:paraId="1A6ECC87" w14:textId="47CFCC53" w:rsidR="00F42816" w:rsidRDefault="00F42816" w:rsidP="00F42816">
      <w:pPr>
        <w:jc w:val="right"/>
        <w:rPr>
          <w:rFonts w:ascii="Arial" w:eastAsia="Calibri" w:hAnsi="Arial" w:cs="Arial"/>
        </w:rPr>
      </w:pPr>
      <w:r>
        <w:rPr>
          <w:noProof/>
        </w:rPr>
        <w:lastRenderedPageBreak/>
        <w:drawing>
          <wp:inline distT="0" distB="0" distL="0" distR="0" wp14:anchorId="3356CA8C" wp14:editId="38716C5A">
            <wp:extent cx="3283927" cy="790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6934" t="47055" r="16202" b="37158"/>
                    <a:stretch/>
                  </pic:blipFill>
                  <pic:spPr bwMode="auto">
                    <a:xfrm>
                      <a:off x="0" y="0"/>
                      <a:ext cx="3286893" cy="791289"/>
                    </a:xfrm>
                    <a:prstGeom prst="rect">
                      <a:avLst/>
                    </a:prstGeom>
                    <a:ln>
                      <a:noFill/>
                    </a:ln>
                    <a:extLst>
                      <a:ext uri="{53640926-AAD7-44D8-BBD7-CCE9431645EC}">
                        <a14:shadowObscured xmlns:a14="http://schemas.microsoft.com/office/drawing/2010/main"/>
                      </a:ext>
                    </a:extLst>
                  </pic:spPr>
                </pic:pic>
              </a:graphicData>
            </a:graphic>
          </wp:inline>
        </w:drawing>
      </w:r>
    </w:p>
    <w:p w14:paraId="4AB309FC" w14:textId="533AA435" w:rsidR="00DB012B" w:rsidRDefault="00DB012B" w:rsidP="00DB012B">
      <w:pPr>
        <w:jc w:val="both"/>
        <w:rPr>
          <w:rFonts w:ascii="Arial" w:eastAsia="Calibri" w:hAnsi="Arial" w:cs="Arial"/>
        </w:rPr>
      </w:pPr>
      <w:r w:rsidRPr="00F42816">
        <w:rPr>
          <w:rFonts w:ascii="Arial" w:eastAsia="Calibri" w:hAnsi="Arial" w:cs="Arial"/>
        </w:rPr>
        <w:t>Bogotá, 17 agosto 2022</w:t>
      </w:r>
    </w:p>
    <w:p w14:paraId="399C47A4" w14:textId="43A3D7AA" w:rsidR="00137E23" w:rsidRPr="00842E4F" w:rsidRDefault="00137E23" w:rsidP="00B32221">
      <w:pPr>
        <w:spacing w:after="0"/>
        <w:rPr>
          <w:rFonts w:ascii="Arial" w:eastAsia="Calibri" w:hAnsi="Arial" w:cs="Arial"/>
        </w:rPr>
      </w:pPr>
      <w:r w:rsidRPr="00842E4F">
        <w:rPr>
          <w:rFonts w:ascii="Arial" w:eastAsia="Calibri" w:hAnsi="Arial" w:cs="Arial"/>
        </w:rPr>
        <w:t>Señor</w:t>
      </w:r>
    </w:p>
    <w:p w14:paraId="09D8CD04" w14:textId="273CC804" w:rsidR="00881F9F" w:rsidRPr="00842E4F" w:rsidRDefault="002B5060" w:rsidP="00B32221">
      <w:pPr>
        <w:spacing w:after="0" w:line="240" w:lineRule="auto"/>
        <w:rPr>
          <w:rFonts w:ascii="Arial" w:eastAsia="Calibri" w:hAnsi="Arial" w:cs="Arial"/>
          <w:b/>
          <w:bCs/>
        </w:rPr>
      </w:pPr>
      <w:r w:rsidRPr="00842E4F">
        <w:rPr>
          <w:rFonts w:ascii="Arial" w:eastAsia="Calibri" w:hAnsi="Arial" w:cs="Arial"/>
          <w:b/>
          <w:bCs/>
        </w:rPr>
        <w:t xml:space="preserve">Alirio Pabón Acosta   </w:t>
      </w:r>
    </w:p>
    <w:p w14:paraId="66CD8E24" w14:textId="5553EF94" w:rsidR="006D3709" w:rsidRPr="00842E4F" w:rsidRDefault="009F716A" w:rsidP="00B32221">
      <w:pPr>
        <w:spacing w:after="0"/>
        <w:rPr>
          <w:rFonts w:ascii="Arial" w:eastAsia="Calibri" w:hAnsi="Arial" w:cs="Arial"/>
        </w:rPr>
      </w:pPr>
      <w:proofErr w:type="spellStart"/>
      <w:r w:rsidRPr="00842E4F">
        <w:rPr>
          <w:rFonts w:ascii="Arial" w:hAnsi="Arial" w:cs="Arial"/>
        </w:rPr>
        <w:t>Giron</w:t>
      </w:r>
      <w:proofErr w:type="spellEnd"/>
      <w:r w:rsidRPr="00842E4F">
        <w:rPr>
          <w:rFonts w:ascii="Arial" w:hAnsi="Arial" w:cs="Arial"/>
        </w:rPr>
        <w:t>, Santander</w:t>
      </w:r>
    </w:p>
    <w:p w14:paraId="6F34B0AD" w14:textId="77777777" w:rsidR="00881F9F" w:rsidRPr="00842E4F" w:rsidRDefault="00881F9F" w:rsidP="00A30642">
      <w:pPr>
        <w:ind w:left="2116" w:firstLine="708"/>
        <w:rPr>
          <w:rFonts w:ascii="Arial" w:eastAsia="Calibri" w:hAnsi="Arial" w:cs="Arial"/>
          <w:b/>
        </w:rPr>
      </w:pPr>
    </w:p>
    <w:p w14:paraId="1F232330" w14:textId="69070BEF" w:rsidR="00137E23" w:rsidRPr="00842E4F" w:rsidRDefault="00137E23" w:rsidP="00A30642">
      <w:pPr>
        <w:ind w:left="2116" w:firstLine="708"/>
        <w:rPr>
          <w:rFonts w:ascii="Arial" w:eastAsia="Calibri" w:hAnsi="Arial" w:cs="Arial"/>
          <w:b/>
        </w:rPr>
      </w:pPr>
      <w:r w:rsidRPr="00842E4F">
        <w:rPr>
          <w:rFonts w:ascii="Arial" w:eastAsia="Calibri" w:hAnsi="Arial" w:cs="Arial"/>
          <w:b/>
        </w:rPr>
        <w:t>Concepto C –</w:t>
      </w:r>
      <w:r w:rsidR="002B5060" w:rsidRPr="00842E4F">
        <w:rPr>
          <w:rFonts w:ascii="Arial" w:eastAsia="Calibri" w:hAnsi="Arial" w:cs="Arial"/>
          <w:b/>
        </w:rPr>
        <w:t xml:space="preserve"> 522 </w:t>
      </w:r>
      <w:r w:rsidRPr="00842E4F">
        <w:rPr>
          <w:rFonts w:ascii="Arial" w:eastAsia="Calibri" w:hAnsi="Arial" w:cs="Arial"/>
          <w:b/>
        </w:rPr>
        <w:t>de 202</w:t>
      </w:r>
      <w:r w:rsidR="000E0118" w:rsidRPr="00842E4F">
        <w:rPr>
          <w:rFonts w:ascii="Arial" w:eastAsia="Calibri" w:hAnsi="Arial" w:cs="Arial"/>
          <w:b/>
        </w:rPr>
        <w:t>2</w:t>
      </w:r>
    </w:p>
    <w:p w14:paraId="2C2CCF04" w14:textId="2AACC8AF" w:rsidR="000E0118" w:rsidRPr="00842E4F" w:rsidRDefault="00A30642" w:rsidP="003120AF">
      <w:pPr>
        <w:ind w:left="2824" w:hanging="2818"/>
        <w:jc w:val="both"/>
        <w:rPr>
          <w:rFonts w:ascii="Arial" w:eastAsia="Calibri" w:hAnsi="Arial" w:cs="Arial"/>
          <w:bCs/>
          <w:color w:val="1A1A1A" w:themeColor="background1" w:themeShade="1A"/>
        </w:rPr>
      </w:pPr>
      <w:r w:rsidRPr="00842E4F">
        <w:rPr>
          <w:rFonts w:ascii="Arial" w:eastAsia="Calibri" w:hAnsi="Arial" w:cs="Arial"/>
          <w:b/>
          <w:noProof/>
          <w:color w:val="1A1A1A" w:themeColor="background1" w:themeShade="1A"/>
          <w:lang w:val="es-ES_tradnl"/>
        </w:rPr>
        <w:t>Temas</w:t>
      </w:r>
      <w:r w:rsidRPr="00842E4F">
        <w:rPr>
          <w:rFonts w:ascii="Arial" w:eastAsia="Calibri" w:hAnsi="Arial" w:cs="Arial"/>
          <w:bCs/>
          <w:noProof/>
          <w:color w:val="1A1A1A" w:themeColor="background1" w:themeShade="1A"/>
          <w:lang w:val="es-ES_tradnl"/>
        </w:rPr>
        <w:t xml:space="preserve">: </w:t>
      </w:r>
      <w:r w:rsidRPr="00842E4F">
        <w:rPr>
          <w:rFonts w:ascii="Arial" w:eastAsia="Calibri" w:hAnsi="Arial" w:cs="Arial"/>
          <w:bCs/>
          <w:noProof/>
          <w:color w:val="1A1A1A" w:themeColor="background1" w:themeShade="1A"/>
          <w:lang w:val="es-ES_tradnl"/>
        </w:rPr>
        <w:tab/>
      </w:r>
      <w:r w:rsidR="00A42059" w:rsidRPr="00842E4F">
        <w:rPr>
          <w:rFonts w:ascii="Arial" w:eastAsia="Calibri" w:hAnsi="Arial" w:cs="Arial"/>
          <w:bCs/>
          <w:color w:val="000000" w:themeColor="text1"/>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Significado de las palabras –Antigüedad</w:t>
      </w:r>
      <w:r w:rsidR="003A7A79" w:rsidRPr="00842E4F">
        <w:rPr>
          <w:rFonts w:ascii="Arial" w:eastAsia="Calibri" w:hAnsi="Arial" w:cs="Arial"/>
          <w:bCs/>
          <w:color w:val="1A1A1A" w:themeColor="background1" w:themeShade="1A"/>
          <w:lang w:val="es-ES_tradnl"/>
        </w:rPr>
        <w:t xml:space="preserve"> </w:t>
      </w:r>
    </w:p>
    <w:p w14:paraId="25B8A083" w14:textId="03FC0F2A" w:rsidR="00FF5BF5" w:rsidRPr="00842E4F" w:rsidRDefault="00A30642" w:rsidP="00163D53">
      <w:pPr>
        <w:ind w:left="2824" w:hanging="2818"/>
        <w:jc w:val="both"/>
        <w:rPr>
          <w:rFonts w:ascii="Arial" w:eastAsia="Calibri" w:hAnsi="Arial" w:cs="Arial"/>
          <w:bCs/>
          <w:noProof/>
          <w:color w:val="1A1A1A" w:themeColor="background1" w:themeShade="1A"/>
          <w:lang w:val="es-ES_tradnl"/>
        </w:rPr>
      </w:pPr>
      <w:r w:rsidRPr="00842E4F">
        <w:rPr>
          <w:rFonts w:ascii="Arial" w:eastAsia="Calibri" w:hAnsi="Arial" w:cs="Arial"/>
          <w:b/>
          <w:noProof/>
          <w:color w:val="1A1A1A" w:themeColor="background1" w:themeShade="1A"/>
          <w:lang w:val="es-ES_tradnl"/>
        </w:rPr>
        <w:t>Radicación</w:t>
      </w:r>
      <w:r w:rsidRPr="00842E4F">
        <w:rPr>
          <w:rFonts w:ascii="Arial" w:eastAsia="Calibri" w:hAnsi="Arial" w:cs="Arial"/>
          <w:bCs/>
          <w:noProof/>
          <w:color w:val="1A1A1A" w:themeColor="background1" w:themeShade="1A"/>
          <w:lang w:val="es-ES_tradnl"/>
        </w:rPr>
        <w:t>:</w:t>
      </w:r>
      <w:r w:rsidRPr="00842E4F">
        <w:rPr>
          <w:rFonts w:ascii="Arial" w:eastAsia="Calibri" w:hAnsi="Arial" w:cs="Arial"/>
          <w:bCs/>
          <w:noProof/>
          <w:color w:val="1A1A1A" w:themeColor="background1" w:themeShade="1A"/>
          <w:lang w:val="es-ES_tradnl"/>
        </w:rPr>
        <w:tab/>
        <w:t xml:space="preserve">Respuesta a consulta </w:t>
      </w:r>
      <w:r w:rsidR="002B5060" w:rsidRPr="00842E4F">
        <w:rPr>
          <w:rFonts w:ascii="Arial" w:eastAsia="Calibri" w:hAnsi="Arial" w:cs="Arial"/>
          <w:bCs/>
          <w:noProof/>
          <w:color w:val="1A1A1A" w:themeColor="background1" w:themeShade="1A"/>
          <w:lang w:val="es-ES_tradnl"/>
        </w:rPr>
        <w:t>P20220630006502</w:t>
      </w:r>
      <w:r w:rsidR="00163D53" w:rsidRPr="00842E4F">
        <w:rPr>
          <w:rFonts w:ascii="Arial" w:eastAsia="Calibri" w:hAnsi="Arial" w:cs="Arial"/>
          <w:bCs/>
          <w:noProof/>
          <w:color w:val="1A1A1A" w:themeColor="background1" w:themeShade="1A"/>
          <w:lang w:val="es-ES_tradnl"/>
        </w:rPr>
        <w:t xml:space="preserve"> </w:t>
      </w:r>
    </w:p>
    <w:p w14:paraId="20A3B6D4" w14:textId="62EEFD7E" w:rsidR="00163D53" w:rsidRPr="00842E4F" w:rsidRDefault="00163D53" w:rsidP="00163D53">
      <w:pPr>
        <w:ind w:left="2824" w:hanging="2818"/>
        <w:jc w:val="both"/>
        <w:rPr>
          <w:rFonts w:ascii="Arial" w:eastAsia="Calibri" w:hAnsi="Arial" w:cs="Arial"/>
          <w:lang w:val="es-ES_tradnl"/>
        </w:rPr>
      </w:pPr>
    </w:p>
    <w:p w14:paraId="5874A272" w14:textId="41FE1F7E" w:rsidR="00137E23" w:rsidRPr="00842E4F" w:rsidRDefault="00137E23" w:rsidP="00830AB8">
      <w:pPr>
        <w:tabs>
          <w:tab w:val="left" w:pos="3374"/>
        </w:tabs>
        <w:spacing w:after="0"/>
        <w:rPr>
          <w:rFonts w:ascii="Arial" w:eastAsia="Calibri" w:hAnsi="Arial" w:cs="Arial"/>
        </w:rPr>
      </w:pPr>
      <w:r w:rsidRPr="00842E4F">
        <w:rPr>
          <w:rFonts w:ascii="Arial" w:eastAsia="Calibri" w:hAnsi="Arial" w:cs="Arial"/>
        </w:rPr>
        <w:t>Estimad</w:t>
      </w:r>
      <w:r w:rsidR="002249F9" w:rsidRPr="00842E4F">
        <w:rPr>
          <w:rFonts w:ascii="Arial" w:eastAsia="Calibri" w:hAnsi="Arial" w:cs="Arial"/>
        </w:rPr>
        <w:t>o</w:t>
      </w:r>
      <w:r w:rsidR="00E62C8E" w:rsidRPr="00842E4F">
        <w:rPr>
          <w:rFonts w:ascii="Arial" w:eastAsia="Calibri" w:hAnsi="Arial" w:cs="Arial"/>
        </w:rPr>
        <w:t xml:space="preserve"> </w:t>
      </w:r>
      <w:r w:rsidRPr="00842E4F">
        <w:rPr>
          <w:rFonts w:ascii="Arial" w:eastAsia="Calibri" w:hAnsi="Arial" w:cs="Arial"/>
        </w:rPr>
        <w:t>señor</w:t>
      </w:r>
      <w:r w:rsidR="00830AB8" w:rsidRPr="00842E4F">
        <w:rPr>
          <w:rFonts w:ascii="Arial" w:hAnsi="Arial" w:cs="Arial"/>
          <w:b/>
          <w:bCs/>
        </w:rPr>
        <w:t xml:space="preserve"> </w:t>
      </w:r>
      <w:r w:rsidR="002B5060" w:rsidRPr="00842E4F">
        <w:rPr>
          <w:rFonts w:ascii="Arial" w:hAnsi="Arial" w:cs="Arial"/>
        </w:rPr>
        <w:t xml:space="preserve">Pabón, </w:t>
      </w:r>
      <w:r w:rsidR="003A7A79" w:rsidRPr="00842E4F">
        <w:rPr>
          <w:rFonts w:ascii="Arial" w:hAnsi="Arial" w:cs="Arial"/>
        </w:rPr>
        <w:t xml:space="preserve"> </w:t>
      </w:r>
      <w:r w:rsidR="00E62C8E" w:rsidRPr="00842E4F">
        <w:rPr>
          <w:rFonts w:ascii="Arial" w:hAnsi="Arial" w:cs="Arial"/>
        </w:rPr>
        <w:t xml:space="preserve"> </w:t>
      </w:r>
      <w:r w:rsidR="005F6209" w:rsidRPr="00842E4F">
        <w:rPr>
          <w:rFonts w:ascii="Arial" w:hAnsi="Arial" w:cs="Arial"/>
          <w:b/>
          <w:bCs/>
        </w:rPr>
        <w:t xml:space="preserve"> </w:t>
      </w:r>
    </w:p>
    <w:p w14:paraId="06382AAE" w14:textId="77777777" w:rsidR="00423644" w:rsidRPr="00842E4F" w:rsidRDefault="00423644" w:rsidP="00423644">
      <w:pPr>
        <w:spacing w:after="0" w:line="276" w:lineRule="auto"/>
        <w:jc w:val="both"/>
        <w:rPr>
          <w:rFonts w:ascii="Arial" w:eastAsia="Calibri" w:hAnsi="Arial" w:cs="Arial"/>
        </w:rPr>
      </w:pPr>
    </w:p>
    <w:p w14:paraId="743F6248" w14:textId="1F2BA9A4" w:rsidR="00830AB8" w:rsidRPr="00842E4F" w:rsidRDefault="00423644" w:rsidP="00423644">
      <w:pPr>
        <w:spacing w:after="0" w:line="276" w:lineRule="auto"/>
        <w:jc w:val="both"/>
        <w:rPr>
          <w:rFonts w:ascii="Arial" w:eastAsia="Calibri" w:hAnsi="Arial" w:cs="Arial"/>
        </w:rPr>
      </w:pPr>
      <w:r w:rsidRPr="00842E4F">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842E4F">
        <w:rPr>
          <w:rFonts w:ascii="Arial" w:eastAsia="Calibri" w:hAnsi="Arial" w:cs="Arial"/>
        </w:rPr>
        <w:t>de fecha</w:t>
      </w:r>
      <w:r w:rsidR="00DE6321" w:rsidRPr="00842E4F">
        <w:rPr>
          <w:rFonts w:ascii="Arial" w:eastAsia="Calibri" w:hAnsi="Arial" w:cs="Arial"/>
        </w:rPr>
        <w:t xml:space="preserve"> </w:t>
      </w:r>
      <w:r w:rsidR="002B5060" w:rsidRPr="00842E4F">
        <w:rPr>
          <w:rFonts w:ascii="Arial" w:eastAsia="Calibri" w:hAnsi="Arial" w:cs="Arial"/>
        </w:rPr>
        <w:t>30</w:t>
      </w:r>
      <w:r w:rsidR="00DE6321" w:rsidRPr="00842E4F">
        <w:rPr>
          <w:rFonts w:ascii="Arial" w:eastAsia="Calibri" w:hAnsi="Arial" w:cs="Arial"/>
        </w:rPr>
        <w:t xml:space="preserve"> </w:t>
      </w:r>
      <w:r w:rsidR="003A7A79" w:rsidRPr="00842E4F">
        <w:rPr>
          <w:rFonts w:ascii="Arial" w:eastAsia="Calibri" w:hAnsi="Arial" w:cs="Arial"/>
        </w:rPr>
        <w:t xml:space="preserve">de junio </w:t>
      </w:r>
      <w:r w:rsidRPr="00842E4F">
        <w:rPr>
          <w:rFonts w:ascii="Arial" w:eastAsia="Calibri" w:hAnsi="Arial" w:cs="Arial"/>
        </w:rPr>
        <w:t>de 2022.</w:t>
      </w:r>
    </w:p>
    <w:p w14:paraId="4617D601" w14:textId="77777777" w:rsidR="00423644" w:rsidRPr="00842E4F" w:rsidRDefault="00423644" w:rsidP="00423644">
      <w:pPr>
        <w:spacing w:after="0" w:line="276" w:lineRule="auto"/>
        <w:jc w:val="both"/>
        <w:rPr>
          <w:rFonts w:ascii="Arial" w:hAnsi="Arial" w:cs="Arial"/>
          <w:lang w:val="es-ES_tradnl"/>
        </w:rPr>
      </w:pPr>
    </w:p>
    <w:p w14:paraId="6A56E98F" w14:textId="77777777" w:rsidR="00830AB8" w:rsidRPr="00842E4F" w:rsidRDefault="00830AB8" w:rsidP="00830AB8">
      <w:pPr>
        <w:tabs>
          <w:tab w:val="left" w:pos="284"/>
        </w:tabs>
        <w:spacing w:after="0" w:line="276" w:lineRule="auto"/>
        <w:contextualSpacing/>
        <w:jc w:val="both"/>
        <w:rPr>
          <w:rFonts w:ascii="Arial" w:eastAsia="Calibri" w:hAnsi="Arial" w:cs="Arial"/>
          <w:b/>
        </w:rPr>
      </w:pPr>
      <w:r w:rsidRPr="00842E4F">
        <w:rPr>
          <w:rFonts w:ascii="Arial" w:eastAsia="Calibri" w:hAnsi="Arial" w:cs="Arial"/>
          <w:b/>
        </w:rPr>
        <w:t xml:space="preserve">1. Problema planteado </w:t>
      </w:r>
    </w:p>
    <w:p w14:paraId="234B12EE" w14:textId="77777777" w:rsidR="00830AB8" w:rsidRPr="00842E4F" w:rsidRDefault="00830AB8" w:rsidP="00830AB8">
      <w:pPr>
        <w:tabs>
          <w:tab w:val="left" w:pos="426"/>
        </w:tabs>
        <w:spacing w:after="0" w:line="276" w:lineRule="auto"/>
        <w:jc w:val="both"/>
        <w:rPr>
          <w:rFonts w:ascii="Arial" w:eastAsia="Calibri" w:hAnsi="Arial" w:cs="Arial"/>
        </w:rPr>
      </w:pPr>
    </w:p>
    <w:p w14:paraId="5A1430E4" w14:textId="77777777" w:rsidR="00FF5BF5" w:rsidRPr="00842E4F" w:rsidRDefault="00FF5BF5" w:rsidP="00FF5BF5">
      <w:pPr>
        <w:jc w:val="both"/>
        <w:rPr>
          <w:rFonts w:ascii="Arial" w:hAnsi="Arial" w:cs="Arial"/>
          <w:color w:val="1A1A1A" w:themeColor="background1" w:themeShade="1A"/>
          <w:lang w:val="es-ES_tradnl"/>
        </w:rPr>
      </w:pPr>
      <w:r w:rsidRPr="00842E4F">
        <w:rPr>
          <w:rFonts w:ascii="Arial" w:hAnsi="Arial" w:cs="Arial"/>
          <w:color w:val="1A1A1A" w:themeColor="background1" w:themeShade="1A"/>
          <w:lang w:val="es-ES_tradnl"/>
        </w:rPr>
        <w:t xml:space="preserve">Usted formula la siguiente consulta: </w:t>
      </w:r>
    </w:p>
    <w:p w14:paraId="28122004"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bookmarkStart w:id="1" w:name="_Hlk106025682"/>
      <w:r w:rsidRPr="00842E4F">
        <w:rPr>
          <w:rFonts w:ascii="Arial" w:hAnsi="Arial" w:cs="Arial"/>
          <w:color w:val="1A1A1A" w:themeColor="background1" w:themeShade="1A"/>
          <w:sz w:val="21"/>
          <w:szCs w:val="21"/>
        </w:rPr>
        <w:t xml:space="preserve">«En la resolución Numero 275 de 2022, articulo 14, 15 y 16, indican que el puntaje de emprendimiento y empresas de mujeres, </w:t>
      </w:r>
      <w:proofErr w:type="spellStart"/>
      <w:r w:rsidRPr="00842E4F">
        <w:rPr>
          <w:rFonts w:ascii="Arial" w:hAnsi="Arial" w:cs="Arial"/>
          <w:color w:val="1A1A1A" w:themeColor="background1" w:themeShade="1A"/>
          <w:sz w:val="21"/>
          <w:szCs w:val="21"/>
        </w:rPr>
        <w:t>esta</w:t>
      </w:r>
      <w:proofErr w:type="spellEnd"/>
      <w:r w:rsidRPr="00842E4F">
        <w:rPr>
          <w:rFonts w:ascii="Arial" w:hAnsi="Arial" w:cs="Arial"/>
          <w:color w:val="1A1A1A" w:themeColor="background1" w:themeShade="1A"/>
          <w:sz w:val="21"/>
          <w:szCs w:val="21"/>
        </w:rPr>
        <w:t xml:space="preserve"> relacionado con la previsto en el artículo 2.2.1.2.4.2.14. del Decreto 1082 de 2015, modificado por el decreto 1860 de 2021.</w:t>
      </w:r>
    </w:p>
    <w:p w14:paraId="22F3F7EF"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En el cual dice lo siguiente:</w:t>
      </w:r>
    </w:p>
    <w:p w14:paraId="047B4885" w14:textId="4125A04A" w:rsidR="00A42059" w:rsidRPr="00842E4F" w:rsidRDefault="006E6F75" w:rsidP="00A42059">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w:t>
      </w:r>
      <w:r w:rsidR="00A42059" w:rsidRPr="00842E4F">
        <w:rPr>
          <w:rFonts w:ascii="Arial" w:hAnsi="Arial" w:cs="Arial"/>
          <w:color w:val="1A1A1A" w:themeColor="background1" w:themeShade="1A"/>
          <w:sz w:val="21"/>
          <w:szCs w:val="21"/>
        </w:rPr>
        <w:t>...</w:t>
      </w:r>
      <w:r w:rsidRPr="00842E4F">
        <w:rPr>
          <w:rFonts w:ascii="Arial" w:hAnsi="Arial" w:cs="Arial"/>
          <w:color w:val="1A1A1A" w:themeColor="background1" w:themeShade="1A"/>
          <w:sz w:val="21"/>
          <w:szCs w:val="21"/>
        </w:rPr>
        <w:t>]</w:t>
      </w:r>
    </w:p>
    <w:p w14:paraId="0899CEBE"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proofErr w:type="spellStart"/>
      <w:r w:rsidRPr="00842E4F">
        <w:rPr>
          <w:rFonts w:ascii="Arial" w:hAnsi="Arial" w:cs="Arial"/>
          <w:color w:val="1A1A1A" w:themeColor="background1" w:themeShade="1A"/>
          <w:sz w:val="21"/>
          <w:szCs w:val="21"/>
        </w:rPr>
        <w:lastRenderedPageBreak/>
        <w:t>Articulo</w:t>
      </w:r>
      <w:proofErr w:type="spellEnd"/>
      <w:r w:rsidRPr="00842E4F">
        <w:rPr>
          <w:rFonts w:ascii="Arial" w:hAnsi="Arial" w:cs="Arial"/>
          <w:color w:val="1A1A1A" w:themeColor="background1" w:themeShade="1A"/>
          <w:sz w:val="21"/>
          <w:szCs w:val="21"/>
        </w:rPr>
        <w:t xml:space="preserve"> 2.2.1.2.4.2.14. Definición de emprendimientos y empresas de mujeres. Con el propósito de adoptar medidas afirmativas que incentiven la participación de las mujeres en el sistema de compras </w:t>
      </w:r>
      <w:proofErr w:type="spellStart"/>
      <w:r w:rsidRPr="00842E4F">
        <w:rPr>
          <w:rFonts w:ascii="Arial" w:hAnsi="Arial" w:cs="Arial"/>
          <w:color w:val="1A1A1A" w:themeColor="background1" w:themeShade="1A"/>
          <w:sz w:val="21"/>
          <w:szCs w:val="21"/>
        </w:rPr>
        <w:t>publicas</w:t>
      </w:r>
      <w:proofErr w:type="spellEnd"/>
      <w:r w:rsidRPr="00842E4F">
        <w:rPr>
          <w:rFonts w:ascii="Arial" w:hAnsi="Arial" w:cs="Arial"/>
          <w:color w:val="1A1A1A" w:themeColor="background1" w:themeShade="1A"/>
          <w:sz w:val="21"/>
          <w:szCs w:val="21"/>
        </w:rPr>
        <w:t>, se entenderán como emprendimientos y empresas de mujeres aquellas que cumplan con alguna de las siguientes condiciones:</w:t>
      </w:r>
    </w:p>
    <w:p w14:paraId="0F9CF9E3"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p>
    <w:p w14:paraId="142B290C"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 xml:space="preserve">1. Cuando </w:t>
      </w:r>
      <w:proofErr w:type="spellStart"/>
      <w:r w:rsidRPr="00842E4F">
        <w:rPr>
          <w:rFonts w:ascii="Arial" w:hAnsi="Arial" w:cs="Arial"/>
          <w:color w:val="1A1A1A" w:themeColor="background1" w:themeShade="1A"/>
          <w:sz w:val="21"/>
          <w:szCs w:val="21"/>
        </w:rPr>
        <w:t>mas</w:t>
      </w:r>
      <w:proofErr w:type="spellEnd"/>
      <w:r w:rsidRPr="00842E4F">
        <w:rPr>
          <w:rFonts w:ascii="Arial" w:hAnsi="Arial" w:cs="Arial"/>
          <w:color w:val="1A1A1A" w:themeColor="background1" w:themeShade="1A"/>
          <w:sz w:val="21"/>
          <w:szCs w:val="21"/>
        </w:rPr>
        <w:t xml:space="preserve"> del cincuenta por ciento (50%) de las acciones, partes de interés o cuotas de participación de la persona jurídica pertenezcan a mujeres y los derechos de propiedad hayan pertenecido a estas durante al menos el ultimo año anterior a la fecha de cierre del Proceso de Selección. Esta circunstancia se acreditara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26A40C8" w14:textId="77777777" w:rsidR="00A42059" w:rsidRPr="00842E4F" w:rsidRDefault="00A42059" w:rsidP="00A42059">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Frente a lo anterior mencionado hago la siguiente consulta:</w:t>
      </w:r>
    </w:p>
    <w:p w14:paraId="2678527E" w14:textId="33A5BFCB" w:rsidR="003A7A79" w:rsidRPr="00842E4F" w:rsidRDefault="00A42059" w:rsidP="0035022D">
      <w:pPr>
        <w:spacing w:after="0"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 xml:space="preserve">Si la empresa tiene menos de un año de constituida, pero </w:t>
      </w:r>
      <w:proofErr w:type="spellStart"/>
      <w:r w:rsidRPr="00842E4F">
        <w:rPr>
          <w:rFonts w:ascii="Arial" w:hAnsi="Arial" w:cs="Arial"/>
          <w:color w:val="1A1A1A" w:themeColor="background1" w:themeShade="1A"/>
          <w:sz w:val="21"/>
          <w:szCs w:val="21"/>
        </w:rPr>
        <w:t>mas</w:t>
      </w:r>
      <w:proofErr w:type="spellEnd"/>
      <w:r w:rsidRPr="00842E4F">
        <w:rPr>
          <w:rFonts w:ascii="Arial" w:hAnsi="Arial" w:cs="Arial"/>
          <w:color w:val="1A1A1A" w:themeColor="background1" w:themeShade="1A"/>
          <w:sz w:val="21"/>
          <w:szCs w:val="21"/>
        </w:rPr>
        <w:t xml:space="preserve"> del cincuenta por ciento (50%) de las acciones pertenece a mujeres desde la fecha de constitución de la empresa, ¿Dicha empresa es acreedora de este puntaje?</w:t>
      </w:r>
      <w:r w:rsidR="003A7A79" w:rsidRPr="00842E4F">
        <w:rPr>
          <w:rFonts w:ascii="Arial" w:hAnsi="Arial" w:cs="Arial"/>
          <w:color w:val="1A1A1A" w:themeColor="background1" w:themeShade="1A"/>
          <w:sz w:val="21"/>
          <w:szCs w:val="21"/>
        </w:rPr>
        <w:t>»</w:t>
      </w:r>
      <w:bookmarkEnd w:id="1"/>
    </w:p>
    <w:p w14:paraId="4ED53AE8" w14:textId="77777777" w:rsidR="0035022D" w:rsidRPr="00842E4F" w:rsidRDefault="0035022D" w:rsidP="0035022D">
      <w:pPr>
        <w:spacing w:after="0" w:line="240" w:lineRule="auto"/>
        <w:ind w:right="709"/>
        <w:jc w:val="both"/>
        <w:rPr>
          <w:rFonts w:ascii="Arial" w:eastAsia="Calibri" w:hAnsi="Arial" w:cs="Arial"/>
          <w:b/>
        </w:rPr>
      </w:pPr>
    </w:p>
    <w:p w14:paraId="40DB22C1" w14:textId="1DCEFA2F" w:rsidR="00830AB8" w:rsidRPr="00842E4F" w:rsidRDefault="00830AB8" w:rsidP="0035022D">
      <w:pPr>
        <w:spacing w:after="0" w:line="240" w:lineRule="auto"/>
        <w:ind w:right="709"/>
        <w:jc w:val="both"/>
        <w:rPr>
          <w:rFonts w:ascii="Arial" w:eastAsia="Calibri" w:hAnsi="Arial" w:cs="Arial"/>
          <w:b/>
        </w:rPr>
      </w:pPr>
      <w:r w:rsidRPr="00842E4F">
        <w:rPr>
          <w:rFonts w:ascii="Arial" w:eastAsia="Calibri" w:hAnsi="Arial" w:cs="Arial"/>
          <w:b/>
        </w:rPr>
        <w:t>2. Consideraciones</w:t>
      </w:r>
    </w:p>
    <w:p w14:paraId="28609858" w14:textId="77777777" w:rsidR="006E6F75" w:rsidRPr="00842E4F" w:rsidRDefault="006E6F75" w:rsidP="0035022D">
      <w:pPr>
        <w:spacing w:after="0" w:line="240" w:lineRule="auto"/>
        <w:ind w:right="709"/>
        <w:jc w:val="both"/>
        <w:rPr>
          <w:rFonts w:ascii="Arial" w:hAnsi="Arial" w:cs="Arial"/>
          <w:color w:val="1A1A1A" w:themeColor="background1" w:themeShade="1A"/>
          <w:sz w:val="21"/>
          <w:szCs w:val="21"/>
        </w:rPr>
      </w:pPr>
    </w:p>
    <w:p w14:paraId="7BE77AC0" w14:textId="3D20E647" w:rsidR="00A42059" w:rsidRPr="00842E4F" w:rsidRDefault="00A42059" w:rsidP="00842E4F">
      <w:pPr>
        <w:spacing w:after="120" w:line="276" w:lineRule="auto"/>
        <w:jc w:val="both"/>
        <w:rPr>
          <w:rFonts w:ascii="Arial" w:hAnsi="Arial" w:cs="Arial"/>
          <w:color w:val="000000" w:themeColor="text1"/>
          <w:lang w:val="es-ES"/>
        </w:rPr>
      </w:pPr>
      <w:r w:rsidRPr="00842E4F">
        <w:rPr>
          <w:rFonts w:ascii="Arial" w:hAnsi="Arial" w:cs="Arial"/>
          <w:color w:val="000000" w:themeColor="text1"/>
          <w:lang w:val="es-ES"/>
        </w:rPr>
        <w:t>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42E4F">
        <w:rPr>
          <w:rStyle w:val="Refdenotaalpie"/>
          <w:rFonts w:ascii="Arial" w:hAnsi="Arial" w:cs="Arial"/>
          <w:color w:val="000000" w:themeColor="text1"/>
          <w:lang w:val="es-ES"/>
        </w:rPr>
        <w:footnoteReference w:id="1"/>
      </w:r>
      <w:r w:rsidRPr="00842E4F">
        <w:rPr>
          <w:rFonts w:ascii="Arial" w:hAnsi="Arial" w:cs="Arial"/>
          <w:color w:val="000000" w:themeColor="text1"/>
          <w:lang w:val="es-ES"/>
        </w:rPr>
        <w:t>. Esta competencia de interpretación de normas generales, por definición, tampoco puede extenderse a la resolución de controversias, ni a brindar asesorías sobre casos puntuales.</w:t>
      </w:r>
    </w:p>
    <w:p w14:paraId="550BB412" w14:textId="0D4506C2" w:rsidR="00A54345" w:rsidRPr="00842E4F" w:rsidRDefault="00FF003F" w:rsidP="00842E4F">
      <w:pPr>
        <w:pStyle w:val="Textoindependiente"/>
        <w:spacing w:after="120" w:line="276" w:lineRule="auto"/>
        <w:ind w:firstLine="708"/>
        <w:jc w:val="both"/>
        <w:rPr>
          <w:rFonts w:eastAsia="Calibri"/>
          <w:color w:val="000000" w:themeColor="text1"/>
          <w:lang w:val="es-ES_tradnl"/>
        </w:rPr>
      </w:pPr>
      <w:r w:rsidRPr="00842E4F">
        <w:rPr>
          <w:rFonts w:eastAsia="Calibri"/>
          <w:color w:val="000000" w:themeColor="text1"/>
          <w:lang w:val="es-ES_tradnl"/>
        </w:rPr>
        <w:t xml:space="preserve">Aclarado lo anterior, </w:t>
      </w:r>
      <w:r w:rsidR="00A54345" w:rsidRPr="00842E4F">
        <w:rPr>
          <w:rFonts w:eastAsia="Calibri"/>
          <w:color w:val="000000" w:themeColor="text1"/>
          <w:lang w:val="es-ES_tradnl"/>
        </w:rPr>
        <w:t xml:space="preserve">para responder su consulta, en desarrollo del presente concepto, se analizarán los siguientes temas: i) vigencia y reglamentación de los criterios diferenciales de la Ley 2069 de 2020; y ii) definición de emprendimientos y empresas de </w:t>
      </w:r>
      <w:r w:rsidR="00A54345" w:rsidRPr="00842E4F">
        <w:rPr>
          <w:rFonts w:eastAsia="Calibri"/>
          <w:color w:val="000000" w:themeColor="text1"/>
          <w:lang w:val="es-ES_tradnl"/>
        </w:rPr>
        <w:lastRenderedPageBreak/>
        <w:t>mujeres en el Decreto 1860 de 2021.</w:t>
      </w:r>
    </w:p>
    <w:p w14:paraId="464ECA29" w14:textId="7788E948" w:rsidR="009A7A85" w:rsidRPr="00842E4F" w:rsidRDefault="00A54345" w:rsidP="009E2D00">
      <w:pPr>
        <w:pStyle w:val="Textoindependiente"/>
        <w:spacing w:before="240" w:line="276" w:lineRule="auto"/>
        <w:ind w:firstLine="708"/>
        <w:jc w:val="both"/>
        <w:rPr>
          <w:rFonts w:eastAsia="Calibri"/>
          <w:color w:val="000000" w:themeColor="text1"/>
          <w:lang w:val="es-ES_tradnl"/>
        </w:rPr>
      </w:pPr>
      <w:r w:rsidRPr="00842E4F">
        <w:rPr>
          <w:rFonts w:eastAsia="Calibri"/>
          <w:color w:val="000000" w:themeColor="text1"/>
          <w:lang w:val="es-ES_tradnl"/>
        </w:rPr>
        <w:t>L</w:t>
      </w:r>
      <w:r w:rsidR="00DF55A7" w:rsidRPr="00842E4F">
        <w:rPr>
          <w:rFonts w:eastAsia="Calibri"/>
          <w:color w:val="000000" w:themeColor="text1"/>
          <w:lang w:val="es-ES_tradnl"/>
        </w:rPr>
        <w:t>a Agencia Nacional de Contratación Pública – Colombia Compra Eficiente se ha pronunciado, en términos generales, sobre el contenido de la Ley de Emprendimiento en diferentes conceptos</w:t>
      </w:r>
      <w:r w:rsidR="00DF55A7" w:rsidRPr="00842E4F">
        <w:rPr>
          <w:rStyle w:val="Refdenotaalpie"/>
          <w:rFonts w:eastAsia="Calibri"/>
          <w:color w:val="000000" w:themeColor="text1"/>
          <w:lang w:val="es-ES_tradnl"/>
        </w:rPr>
        <w:footnoteReference w:id="2"/>
      </w:r>
      <w:r w:rsidR="00DF55A7" w:rsidRPr="00842E4F">
        <w:rPr>
          <w:rFonts w:eastAsia="Calibri"/>
          <w:color w:val="000000" w:themeColor="text1"/>
          <w:lang w:val="es-ES_tradnl"/>
        </w:rPr>
        <w:t xml:space="preserve">, refiriéndose, especialmente, a lo dispuesto en el artículo 32 de la precitada ley, alusivo a los criterios diferenciales para emprendimientos y empresas de mujeres, en los conceptos </w:t>
      </w:r>
      <w:r w:rsidR="00DF55A7" w:rsidRPr="00842E4F">
        <w:rPr>
          <w:rStyle w:val="normaltextrun"/>
          <w:color w:val="000000" w:themeColor="text1"/>
          <w:shd w:val="clear" w:color="auto" w:fill="FFFFFF"/>
        </w:rPr>
        <w:t>C-029 de 21 de febrero de 2021, C-037 del 26 de febrero de 2021, C-141 del 8 de abril de 2021, C-114 del 13 de abril de 2021, C-031 del 1 de marzo de 2022</w:t>
      </w:r>
      <w:r w:rsidR="00FF003F" w:rsidRPr="00842E4F">
        <w:rPr>
          <w:rStyle w:val="normaltextrun"/>
          <w:color w:val="000000" w:themeColor="text1"/>
          <w:shd w:val="clear" w:color="auto" w:fill="FFFFFF"/>
        </w:rPr>
        <w:t xml:space="preserve"> y C-217 del 21 de abril de 2022</w:t>
      </w:r>
      <w:r w:rsidR="00DF55A7" w:rsidRPr="00842E4F">
        <w:rPr>
          <w:rStyle w:val="normaltextrun"/>
          <w:color w:val="000000" w:themeColor="text1"/>
          <w:shd w:val="clear" w:color="auto" w:fill="FFFFFF"/>
        </w:rPr>
        <w:t>, entre otros.</w:t>
      </w:r>
      <w:r w:rsidR="00DF55A7" w:rsidRPr="00842E4F">
        <w:rPr>
          <w:rFonts w:eastAsia="Calibri"/>
          <w:color w:val="000000" w:themeColor="text1"/>
          <w:lang w:val="es-ES_tradnl"/>
        </w:rPr>
        <w:t xml:space="preserve"> Algunas de las consideraciones de estos conceptos se reiteran y complementan a continuación.</w:t>
      </w:r>
    </w:p>
    <w:p w14:paraId="2D847282" w14:textId="77777777" w:rsidR="0035022D" w:rsidRPr="00842E4F" w:rsidRDefault="0035022D" w:rsidP="0035022D">
      <w:pPr>
        <w:spacing w:after="0" w:line="240" w:lineRule="auto"/>
        <w:jc w:val="both"/>
        <w:rPr>
          <w:rFonts w:ascii="Arial" w:eastAsia="Calibri" w:hAnsi="Arial" w:cs="Arial"/>
          <w:b/>
          <w:bCs/>
          <w:color w:val="000000" w:themeColor="text1"/>
          <w:lang w:val="es-ES_tradnl"/>
        </w:rPr>
      </w:pPr>
      <w:bookmarkStart w:id="2" w:name="_Hlk94018153"/>
    </w:p>
    <w:p w14:paraId="2CDCE00D" w14:textId="1CFCE907" w:rsidR="00DF55A7" w:rsidRPr="00842E4F" w:rsidRDefault="0035022D" w:rsidP="0035022D">
      <w:pPr>
        <w:spacing w:after="0" w:line="240" w:lineRule="auto"/>
        <w:jc w:val="both"/>
        <w:rPr>
          <w:rFonts w:ascii="Arial" w:eastAsia="Calibri" w:hAnsi="Arial" w:cs="Arial"/>
          <w:b/>
          <w:bCs/>
          <w:color w:val="000000" w:themeColor="text1"/>
          <w:lang w:val="es-ES_tradnl"/>
        </w:rPr>
      </w:pPr>
      <w:r w:rsidRPr="00842E4F">
        <w:rPr>
          <w:rFonts w:ascii="Arial" w:eastAsia="Calibri" w:hAnsi="Arial" w:cs="Arial"/>
          <w:b/>
          <w:bCs/>
          <w:color w:val="000000" w:themeColor="text1"/>
          <w:lang w:val="es-ES_tradnl"/>
        </w:rPr>
        <w:t xml:space="preserve">2.1. </w:t>
      </w:r>
      <w:r w:rsidR="00DF55A7" w:rsidRPr="00842E4F">
        <w:rPr>
          <w:rFonts w:ascii="Arial" w:eastAsia="Calibri" w:hAnsi="Arial" w:cs="Arial"/>
          <w:b/>
          <w:bCs/>
          <w:color w:val="000000" w:themeColor="text1"/>
          <w:lang w:val="es-ES_tradnl"/>
        </w:rPr>
        <w:t xml:space="preserve">Vigencia y reglamentación de los criterios diferenciales de la Ley 2069 de 2020 </w:t>
      </w:r>
      <w:bookmarkEnd w:id="2"/>
    </w:p>
    <w:p w14:paraId="606AEE6F" w14:textId="77777777" w:rsidR="0035022D" w:rsidRPr="00842E4F" w:rsidRDefault="0035022D" w:rsidP="0035022D">
      <w:pPr>
        <w:spacing w:after="0" w:line="276" w:lineRule="auto"/>
        <w:jc w:val="both"/>
        <w:rPr>
          <w:rFonts w:ascii="Arial" w:eastAsia="Calibri" w:hAnsi="Arial" w:cs="Arial"/>
          <w:color w:val="000000" w:themeColor="text1"/>
          <w:lang w:val="es-ES_tradnl"/>
        </w:rPr>
      </w:pPr>
    </w:p>
    <w:p w14:paraId="094C27E1" w14:textId="2FB1991C" w:rsidR="00DF55A7" w:rsidRPr="00842E4F" w:rsidRDefault="00DF55A7" w:rsidP="00276FCC">
      <w:pPr>
        <w:spacing w:after="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510BFB" w:rsidRPr="00842E4F">
        <w:rPr>
          <w:rFonts w:ascii="Arial" w:eastAsia="Calibri" w:hAnsi="Arial" w:cs="Arial"/>
          <w:color w:val="000000" w:themeColor="text1"/>
          <w:lang w:val="es-ES_tradnl"/>
        </w:rPr>
        <w:t>Gobierno Nacio</w:t>
      </w:r>
      <w:r w:rsidRPr="00842E4F">
        <w:rPr>
          <w:rFonts w:ascii="Arial" w:eastAsia="Calibri" w:hAnsi="Arial" w:cs="Arial"/>
          <w:color w:val="000000" w:themeColor="text1"/>
          <w:lang w:val="es-ES_tradnl"/>
        </w:rPr>
        <w:t>nal, en ejercicio de la potestad reglamentaria que le confiere el artículo 189, numeral 11, de la Constitución Política, expida los decretos correspondientes que permitan la cumplida ejecución de esta Ley.</w:t>
      </w:r>
    </w:p>
    <w:p w14:paraId="49A2A7F9" w14:textId="6AED4EDC" w:rsidR="00DF55A7" w:rsidRPr="00842E4F" w:rsidRDefault="00DF55A7" w:rsidP="00DF55A7">
      <w:pPr>
        <w:spacing w:before="120" w:line="276" w:lineRule="auto"/>
        <w:ind w:firstLine="709"/>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En cuanto a su contenido, es importante señalar que, como dispone el artículo 1, aquella «</w:t>
      </w:r>
      <w:r w:rsidRPr="00842E4F">
        <w:rPr>
          <w:rFonts w:ascii="ArialMT" w:hAnsi="ArialMT" w:cs="ArialMT"/>
          <w:color w:val="000000" w:themeColor="text1"/>
        </w:rPr>
        <w:t xml:space="preserve">tiene por objeto establecer un marco regulatorio que propicie el emprendimiento y el crecimiento, consolidación y sostenibilidad de las empresas, con el fin de aumentar el </w:t>
      </w:r>
      <w:r w:rsidRPr="00842E4F">
        <w:rPr>
          <w:rFonts w:ascii="ArialMT" w:hAnsi="ArialMT" w:cs="ArialMT"/>
          <w:color w:val="000000" w:themeColor="text1"/>
        </w:rPr>
        <w:lastRenderedPageBreak/>
        <w:t>bienestar social y generar equidad</w:t>
      </w:r>
      <w:r w:rsidRPr="00842E4F">
        <w:rPr>
          <w:rFonts w:ascii="Arial" w:eastAsia="Calibri" w:hAnsi="Arial" w:cs="Arial"/>
          <w:color w:val="000000" w:themeColor="text1"/>
          <w:lang w:val="es-ES_tradnl"/>
        </w:rPr>
        <w:t>»</w:t>
      </w:r>
      <w:r w:rsidRPr="00842E4F">
        <w:rPr>
          <w:rFonts w:ascii="Arial" w:eastAsia="Calibri" w:hAnsi="Arial" w:cs="Arial"/>
          <w:color w:val="000000" w:themeColor="text1"/>
          <w:vertAlign w:val="superscript"/>
          <w:lang w:val="es-ES_tradnl"/>
        </w:rPr>
        <w:footnoteReference w:id="3"/>
      </w:r>
      <w:r w:rsidRPr="00842E4F">
        <w:rPr>
          <w:rFonts w:ascii="Arial" w:eastAsia="Calibri" w:hAnsi="Arial" w:cs="Arial"/>
          <w:color w:val="000000" w:themeColor="text1"/>
          <w:lang w:val="es-ES_tradnl"/>
        </w:rPr>
        <w:t xml:space="preserve">. Esto, a partir de </w:t>
      </w:r>
      <w:r w:rsidRPr="00842E4F">
        <w:rPr>
          <w:rFonts w:ascii="ArialMT" w:hAnsi="ArialMT" w:cs="ArialMT"/>
          <w:color w:val="000000" w:themeColor="text1"/>
        </w:rPr>
        <w:t xml:space="preserve">«[…] un enfoque regionalizado </w:t>
      </w:r>
      <w:proofErr w:type="gramStart"/>
      <w:r w:rsidRPr="00842E4F">
        <w:rPr>
          <w:rFonts w:ascii="ArialMT" w:hAnsi="ArialMT" w:cs="ArialMT"/>
          <w:color w:val="000000" w:themeColor="text1"/>
        </w:rPr>
        <w:t>de acuerdo a</w:t>
      </w:r>
      <w:proofErr w:type="gramEnd"/>
      <w:r w:rsidRPr="00842E4F">
        <w:rPr>
          <w:rFonts w:ascii="ArialMT" w:hAnsi="ArialMT" w:cs="ArialMT"/>
          <w:color w:val="000000" w:themeColor="text1"/>
        </w:rPr>
        <w:t xml:space="preserve"> las realidades socioeconómicas de cada región».</w:t>
      </w:r>
      <w:r w:rsidRPr="00842E4F">
        <w:rPr>
          <w:rFonts w:ascii="Arial" w:eastAsia="Calibri" w:hAnsi="Arial" w:cs="Arial"/>
          <w:color w:val="000000" w:themeColor="text1"/>
          <w:lang w:val="es-ES_tradnl"/>
        </w:rPr>
        <w:t xml:space="preserve"> En desarrollo de esta finalidad, se establecen medidas de apoyo para las micro, pequeñas y medianas empresas –</w:t>
      </w:r>
      <w:proofErr w:type="spellStart"/>
      <w:r w:rsidRPr="00842E4F">
        <w:rPr>
          <w:rFonts w:ascii="Arial" w:eastAsia="Calibri" w:hAnsi="Arial" w:cs="Arial"/>
          <w:color w:val="000000" w:themeColor="text1"/>
          <w:lang w:val="es-ES_tradnl"/>
        </w:rPr>
        <w:t>mipymes</w:t>
      </w:r>
      <w:proofErr w:type="spellEnd"/>
      <w:r w:rsidRPr="00842E4F">
        <w:rPr>
          <w:rFonts w:ascii="Arial" w:eastAsia="Calibri" w:hAnsi="Arial" w:cs="Arial"/>
          <w:color w:val="000000" w:themeColor="text1"/>
          <w:lang w:val="es-ES_tradnl"/>
        </w:rPr>
        <w:t>–, mediante la racionalización y simplificación de los trámites y tarifas</w:t>
      </w:r>
      <w:r w:rsidRPr="00842E4F">
        <w:rPr>
          <w:rStyle w:val="Refdenotaalpie"/>
          <w:rFonts w:ascii="Arial" w:eastAsia="Calibri" w:hAnsi="Arial" w:cs="Arial"/>
          <w:color w:val="000000" w:themeColor="text1"/>
          <w:lang w:val="es-ES_tradnl"/>
        </w:rPr>
        <w:footnoteReference w:id="4"/>
      </w:r>
      <w:r w:rsidRPr="00842E4F">
        <w:rPr>
          <w:rFonts w:ascii="Arial" w:eastAsia="Calibri" w:hAnsi="Arial" w:cs="Arial"/>
          <w:color w:val="000000" w:themeColor="text1"/>
          <w:lang w:val="es-ES_tradnl"/>
        </w:rPr>
        <w:t>, así como incentivos a favor de aquellas dentro del sistema de compras y contratación pública</w:t>
      </w:r>
      <w:r w:rsidRPr="00842E4F">
        <w:rPr>
          <w:rStyle w:val="Refdenotaalpie"/>
          <w:rFonts w:ascii="Arial" w:eastAsia="Calibri" w:hAnsi="Arial" w:cs="Arial"/>
          <w:color w:val="000000" w:themeColor="text1"/>
          <w:lang w:val="es-ES_tradnl"/>
        </w:rPr>
        <w:footnoteReference w:id="5"/>
      </w:r>
      <w:r w:rsidRPr="00842E4F">
        <w:rPr>
          <w:rFonts w:ascii="Arial" w:eastAsia="Calibri" w:hAnsi="Arial" w:cs="Arial"/>
          <w:color w:val="000000" w:themeColor="text1"/>
          <w:lang w:val="es-ES_tradnl"/>
        </w:rPr>
        <w:t>. También se consagran mecanismos de acceso al financiamiento</w:t>
      </w:r>
      <w:r w:rsidRPr="00842E4F">
        <w:rPr>
          <w:rStyle w:val="Refdenotaalpie"/>
          <w:rFonts w:ascii="Arial" w:eastAsia="Calibri" w:hAnsi="Arial" w:cs="Arial"/>
          <w:color w:val="000000" w:themeColor="text1"/>
          <w:lang w:val="es-ES_tradnl"/>
        </w:rPr>
        <w:footnoteReference w:id="6"/>
      </w:r>
      <w:r w:rsidRPr="00842E4F">
        <w:rPr>
          <w:rFonts w:ascii="Arial" w:eastAsia="Calibri" w:hAnsi="Arial" w:cs="Arial"/>
          <w:color w:val="000000" w:themeColor="text1"/>
          <w:lang w:val="es-ES_tradnl"/>
        </w:rPr>
        <w:t>, se unifican las fuentes de emprendimiento y de desarrollo empresarial, para fortalecer y promover los distintos sectores de la economía</w:t>
      </w:r>
      <w:r w:rsidRPr="00842E4F">
        <w:rPr>
          <w:rStyle w:val="Refdenotaalpie"/>
          <w:rFonts w:ascii="Arial" w:eastAsia="Calibri" w:hAnsi="Arial" w:cs="Arial"/>
          <w:color w:val="000000" w:themeColor="text1"/>
          <w:lang w:val="es-ES_tradnl"/>
        </w:rPr>
        <w:footnoteReference w:id="7"/>
      </w:r>
      <w:r w:rsidRPr="00842E4F">
        <w:rPr>
          <w:rFonts w:ascii="Arial" w:eastAsia="Calibri" w:hAnsi="Arial" w:cs="Arial"/>
          <w:color w:val="000000" w:themeColor="text1"/>
          <w:lang w:val="es-ES_tradnl"/>
        </w:rPr>
        <w:t xml:space="preserve"> y se prevén medidas de educación para el emprendimiento y la innovación</w:t>
      </w:r>
      <w:r w:rsidRPr="00842E4F">
        <w:rPr>
          <w:rStyle w:val="Refdenotaalpie"/>
          <w:rFonts w:ascii="Arial" w:eastAsia="Calibri" w:hAnsi="Arial" w:cs="Arial"/>
          <w:color w:val="000000" w:themeColor="text1"/>
          <w:lang w:val="es-ES_tradnl"/>
        </w:rPr>
        <w:footnoteReference w:id="8"/>
      </w:r>
      <w:r w:rsidRPr="00842E4F">
        <w:rPr>
          <w:rFonts w:ascii="Arial" w:eastAsia="Calibri" w:hAnsi="Arial" w:cs="Arial"/>
          <w:color w:val="000000" w:themeColor="text1"/>
          <w:lang w:val="es-ES_tradnl"/>
        </w:rPr>
        <w:t>.</w:t>
      </w:r>
    </w:p>
    <w:p w14:paraId="0012CF02" w14:textId="0B4EB355" w:rsidR="00DF55A7" w:rsidRPr="00842E4F" w:rsidRDefault="00DF55A7" w:rsidP="00DF55A7">
      <w:pPr>
        <w:spacing w:before="120" w:after="120" w:line="276" w:lineRule="auto"/>
        <w:ind w:firstLine="709"/>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42E4F">
        <w:rPr>
          <w:rFonts w:ascii="Arial" w:eastAsia="Calibri" w:hAnsi="Arial" w:cs="Arial"/>
          <w:color w:val="000000" w:themeColor="text1"/>
          <w:lang w:val="es-ES_tradnl"/>
        </w:rPr>
        <w:t>mipymes</w:t>
      </w:r>
      <w:proofErr w:type="spellEnd"/>
      <w:r w:rsidRPr="00842E4F">
        <w:rPr>
          <w:rFonts w:ascii="Arial" w:eastAsia="Calibri" w:hAnsi="Arial" w:cs="Arial"/>
          <w:color w:val="000000" w:themeColor="text1"/>
          <w:lang w:val="es-ES_tradnl"/>
        </w:rPr>
        <w:t xml:space="preserve"> en el procedimiento de mínima cuantía, ii) criterios diferenciales para </w:t>
      </w:r>
      <w:proofErr w:type="spellStart"/>
      <w:r w:rsidRPr="00842E4F">
        <w:rPr>
          <w:rFonts w:ascii="Arial" w:eastAsia="Calibri" w:hAnsi="Arial" w:cs="Arial"/>
          <w:color w:val="000000" w:themeColor="text1"/>
          <w:lang w:val="es-ES_tradnl"/>
        </w:rPr>
        <w:t>mipymes</w:t>
      </w:r>
      <w:proofErr w:type="spellEnd"/>
      <w:r w:rsidRPr="00842E4F">
        <w:rPr>
          <w:rFonts w:ascii="Arial" w:eastAsia="Calibri" w:hAnsi="Arial" w:cs="Arial"/>
          <w:color w:val="000000" w:themeColor="text1"/>
          <w:lang w:val="es-ES_tradnl"/>
        </w:rPr>
        <w:t xml:space="preserve"> en el sistema de compras públicas, iii) criterios diferenciales para emprendimientos y empresas de mujeres en el sistema de compras públicas, iv) promoción del acceso de las </w:t>
      </w:r>
      <w:proofErr w:type="spellStart"/>
      <w:r w:rsidRPr="00842E4F">
        <w:rPr>
          <w:rFonts w:ascii="Arial" w:eastAsia="Calibri" w:hAnsi="Arial" w:cs="Arial"/>
          <w:color w:val="000000" w:themeColor="text1"/>
          <w:lang w:val="es-ES_tradnl"/>
        </w:rPr>
        <w:t>mipymes</w:t>
      </w:r>
      <w:proofErr w:type="spellEnd"/>
      <w:r w:rsidRPr="00842E4F">
        <w:rPr>
          <w:rFonts w:ascii="Arial" w:eastAsia="Calibri" w:hAnsi="Arial" w:cs="Arial"/>
          <w:color w:val="000000" w:themeColor="text1"/>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C9C2124" w14:textId="2A10A5D9"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 xml:space="preserve">Dentro del referido capítulo se encuentran </w:t>
      </w:r>
      <w:bookmarkStart w:id="3" w:name="_Hlk63848566"/>
      <w:r w:rsidRPr="00842E4F">
        <w:rPr>
          <w:rFonts w:ascii="Arial" w:eastAsia="Calibri" w:hAnsi="Arial" w:cs="Arial"/>
          <w:bCs/>
          <w:color w:val="000000" w:themeColor="text1"/>
        </w:rPr>
        <w:t>los artículos 31 y 32 de la Ley 2069 de 2020</w:t>
      </w:r>
      <w:bookmarkEnd w:id="3"/>
      <w:r w:rsidRPr="00842E4F">
        <w:rPr>
          <w:rFonts w:ascii="Arial" w:eastAsia="Calibri" w:hAnsi="Arial" w:cs="Arial"/>
          <w:bCs/>
          <w:color w:val="000000" w:themeColor="text1"/>
        </w:rPr>
        <w:t xml:space="preserve">, los cuales crean una serie de incentivos para las personas interesadas en celebrar contratos con el Estado. </w:t>
      </w:r>
      <w:r w:rsidRPr="00842E4F">
        <w:rPr>
          <w:rFonts w:ascii="Arial" w:eastAsia="Calibri" w:hAnsi="Arial" w:cs="Arial"/>
          <w:bCs/>
          <w:color w:val="000000" w:themeColor="text1"/>
          <w:lang w:val="es-ES_tradnl"/>
        </w:rPr>
        <w:t xml:space="preserve">Por un lado, el artículo 31 </w:t>
      </w:r>
      <w:r w:rsidRPr="00842E4F">
        <w:rPr>
          <w:rFonts w:ascii="Arial" w:eastAsia="Calibri" w:hAnsi="Arial" w:cs="Arial"/>
          <w:bCs/>
          <w:color w:val="000000" w:themeColor="text1"/>
        </w:rPr>
        <w:t xml:space="preserve">introduce criterios diferenciales para el acceso de las </w:t>
      </w:r>
      <w:proofErr w:type="spellStart"/>
      <w:r w:rsidRPr="00842E4F">
        <w:rPr>
          <w:rFonts w:ascii="Arial" w:eastAsia="Calibri" w:hAnsi="Arial" w:cs="Arial"/>
          <w:bCs/>
          <w:color w:val="000000" w:themeColor="text1"/>
        </w:rPr>
        <w:t>mipymes</w:t>
      </w:r>
      <w:proofErr w:type="spellEnd"/>
      <w:r w:rsidRPr="00842E4F">
        <w:rPr>
          <w:rFonts w:ascii="Arial" w:eastAsia="Calibri" w:hAnsi="Arial" w:cs="Arial"/>
          <w:bCs/>
          <w:color w:val="000000" w:themeColor="text1"/>
        </w:rPr>
        <w:t xml:space="preserve"> al sistema de compras y contratación pública, estableciendo que «Las Entidades Estatales de acuerdo con el análisis de Sector </w:t>
      </w:r>
      <w:bookmarkStart w:id="4" w:name="_Hlk63767562"/>
      <w:r w:rsidRPr="00842E4F">
        <w:rPr>
          <w:rFonts w:ascii="Arial" w:eastAsia="Calibri" w:hAnsi="Arial" w:cs="Arial"/>
          <w:bCs/>
          <w:color w:val="000000" w:themeColor="text1"/>
        </w:rPr>
        <w:t>podrán incluir, en los Documentos del Proceso, requisitos diferenciales y puntajes adicionales</w:t>
      </w:r>
      <w:bookmarkEnd w:id="4"/>
      <w:r w:rsidRPr="00842E4F">
        <w:rPr>
          <w:rFonts w:ascii="Arial" w:eastAsia="Calibri" w:hAnsi="Arial" w:cs="Arial"/>
          <w:bCs/>
          <w:color w:val="000000" w:themeColor="text1"/>
        </w:rPr>
        <w:t xml:space="preserve">, en función del tamaño empresarial para la promoción del acceso de las MIPYMES al mercado de Compras Públicas».  </w:t>
      </w:r>
    </w:p>
    <w:p w14:paraId="3CB062BB" w14:textId="1218DB99"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lastRenderedPageBreak/>
        <w:tab/>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55C882C3" w14:textId="77777777" w:rsidR="00DF55A7" w:rsidRPr="00842E4F" w:rsidRDefault="00DF55A7" w:rsidP="00DF55A7">
      <w:pPr>
        <w:tabs>
          <w:tab w:val="left" w:pos="709"/>
        </w:tabs>
        <w:spacing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Por otra parte, el artículo 32 de la Ley 2069 de 2020</w:t>
      </w:r>
      <w:r w:rsidRPr="00842E4F">
        <w:rPr>
          <w:rStyle w:val="Refdenotaalpie"/>
          <w:rFonts w:ascii="Arial" w:eastAsia="Calibri" w:hAnsi="Arial" w:cs="Arial"/>
          <w:bCs/>
          <w:color w:val="000000" w:themeColor="text1"/>
        </w:rPr>
        <w:footnoteReference w:id="9"/>
      </w:r>
      <w:r w:rsidRPr="00842E4F">
        <w:rPr>
          <w:rFonts w:ascii="Arial" w:eastAsia="Calibri" w:hAnsi="Arial" w:cs="Arial"/>
          <w:bCs/>
          <w:color w:val="000000" w:themeColor="text1"/>
        </w:rPr>
        <w:t xml:space="preserve"> regula criterios diferenciales para los «emprendimientos y empresas de mujeres» en el sistema de compras y contratación pública. En relación con este aspecto, el inciso primero de la norma citada prescribe: </w:t>
      </w:r>
    </w:p>
    <w:p w14:paraId="1BDEFA38" w14:textId="77777777" w:rsidR="00DF55A7" w:rsidRPr="00842E4F" w:rsidRDefault="00DF55A7" w:rsidP="00DF55A7">
      <w:pPr>
        <w:tabs>
          <w:tab w:val="left" w:pos="709"/>
        </w:tabs>
        <w:ind w:left="709" w:right="709"/>
        <w:jc w:val="both"/>
        <w:rPr>
          <w:rFonts w:ascii="ArialMT" w:hAnsi="ArialMT" w:cs="ArialMT"/>
          <w:color w:val="000000" w:themeColor="text1"/>
          <w:sz w:val="21"/>
          <w:szCs w:val="21"/>
        </w:rPr>
      </w:pPr>
      <w:r w:rsidRPr="00842E4F">
        <w:rPr>
          <w:rFonts w:ascii="ArialMT" w:hAnsi="ArialMT" w:cs="ArialMT"/>
          <w:color w:val="000000" w:themeColor="text1"/>
          <w:sz w:val="21"/>
          <w:szCs w:val="21"/>
        </w:rPr>
        <w:t xml:space="preserve">«De acuerdo con el resultado del análisis del sector, las entidades estatales incluirán requisitos diferenciales y puntajes adicionales en los procesos de </w:t>
      </w:r>
      <w:bookmarkStart w:id="5" w:name="_Hlk63770487"/>
      <w:r w:rsidRPr="00842E4F">
        <w:rPr>
          <w:rFonts w:ascii="ArialMT" w:hAnsi="ArialMT" w:cs="ArialMT"/>
          <w:color w:val="000000" w:themeColor="text1"/>
          <w:sz w:val="21"/>
          <w:szCs w:val="21"/>
        </w:rPr>
        <w:t>licitación pública, selección abreviada de menor cuantía y concurso de méritos</w:t>
      </w:r>
      <w:bookmarkEnd w:id="5"/>
      <w:r w:rsidRPr="00842E4F">
        <w:rPr>
          <w:rFonts w:ascii="ArialMT" w:hAnsi="ArialMT" w:cs="ArialMT"/>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92357A1" w14:textId="77777777"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 xml:space="preserve">El contraste con la norma analizada anteriormente salta a la vista. Por un lado, a diferencia del artículo 31 de la Ley de Emprendimiento, los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7BE57614" w14:textId="77777777" w:rsidR="00DF55A7" w:rsidRPr="00842E4F" w:rsidRDefault="00DF55A7" w:rsidP="00DF55A7">
      <w:pPr>
        <w:spacing w:before="120" w:after="120" w:line="276" w:lineRule="auto"/>
        <w:ind w:firstLine="709"/>
        <w:jc w:val="both"/>
        <w:rPr>
          <w:rFonts w:ascii="Arial" w:eastAsia="Calibri" w:hAnsi="Arial" w:cs="Arial"/>
          <w:color w:val="000000" w:themeColor="text1"/>
          <w:lang w:val="es-ES_tradnl"/>
        </w:rPr>
      </w:pPr>
      <w:r w:rsidRPr="00842E4F">
        <w:rPr>
          <w:rFonts w:ascii="Arial" w:eastAsia="Calibri" w:hAnsi="Arial" w:cs="Arial"/>
          <w:bCs/>
          <w:color w:val="000000" w:themeColor="text1"/>
        </w:rPr>
        <w:t xml:space="preserve">No obstante, el artículo 32 de la Ley 2069 de 2020 –al igual que el artículo 31– también se refiere a la necesidad del desarrollo normativo posterior. Al respecto, el </w:t>
      </w:r>
      <w:r w:rsidRPr="00842E4F">
        <w:rPr>
          <w:rFonts w:ascii="Arial" w:eastAsia="Calibri" w:hAnsi="Arial" w:cs="Arial"/>
          <w:bCs/>
          <w:color w:val="000000" w:themeColor="text1"/>
        </w:rPr>
        <w:lastRenderedPageBreak/>
        <w:t xml:space="preserve">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CEFDF1E"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b/>
          <w:bCs/>
          <w:color w:val="000000" w:themeColor="text1"/>
          <w:lang w:val="es-ES_tradnl"/>
        </w:rPr>
        <w:tab/>
      </w:r>
      <w:r w:rsidRPr="00842E4F">
        <w:rPr>
          <w:rFonts w:ascii="Arial" w:eastAsia="Calibri" w:hAnsi="Arial" w:cs="Arial"/>
          <w:color w:val="000000" w:themeColor="text1"/>
          <w:lang w:val="es-ES_tradnl"/>
        </w:rPr>
        <w:t>En este contexto, el pasado 24 de diciembre, el gobierno nacional expidió el Decreto 1860 de 2021</w:t>
      </w:r>
      <w:r w:rsidRPr="00842E4F">
        <w:rPr>
          <w:rFonts w:ascii="Arial" w:hAnsi="Arial" w:cs="Arial"/>
          <w:color w:val="000000" w:themeColor="text1"/>
        </w:rPr>
        <w:t xml:space="preserve"> </w:t>
      </w:r>
      <w:r w:rsidRPr="00842E4F">
        <w:rPr>
          <w:rFonts w:ascii="Arial" w:eastAsia="Calibri" w:hAnsi="Arial" w:cs="Arial"/>
          <w:color w:val="000000" w:themeColor="text1"/>
          <w:lang w:val="es-ES_tradnl"/>
        </w:rPr>
        <w:t>«</w:t>
      </w:r>
      <w:r w:rsidRPr="00842E4F">
        <w:rPr>
          <w:rFonts w:ascii="Arial" w:hAnsi="Arial" w:cs="Arial"/>
          <w:color w:val="000000" w:themeColor="text1"/>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842E4F">
        <w:rPr>
          <w:rFonts w:ascii="Arial" w:eastAsia="Calibri" w:hAnsi="Arial" w:cs="Arial"/>
          <w:color w:val="000000" w:themeColor="text1"/>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842E4F">
        <w:rPr>
          <w:rStyle w:val="Refdenotaalpie"/>
          <w:rFonts w:ascii="Arial" w:eastAsia="Calibri" w:hAnsi="Arial" w:cs="Arial"/>
          <w:color w:val="000000" w:themeColor="text1"/>
          <w:lang w:val="es-ES_tradnl"/>
        </w:rPr>
        <w:footnoteReference w:id="10"/>
      </w:r>
      <w:r w:rsidRPr="00842E4F">
        <w:rPr>
          <w:rFonts w:ascii="Arial" w:eastAsia="Calibri" w:hAnsi="Arial" w:cs="Arial"/>
          <w:color w:val="000000" w:themeColor="text1"/>
          <w:lang w:val="es-ES_tradnl"/>
        </w:rPr>
        <w:t xml:space="preserve">.  </w:t>
      </w:r>
    </w:p>
    <w:p w14:paraId="094F5380" w14:textId="77777777" w:rsidR="00DF55A7" w:rsidRPr="00842E4F" w:rsidRDefault="00DF55A7" w:rsidP="00DF55A7">
      <w:pPr>
        <w:spacing w:after="120" w:line="276" w:lineRule="auto"/>
        <w:jc w:val="both"/>
        <w:rPr>
          <w:rFonts w:ascii="Arial" w:hAnsi="Arial" w:cs="Arial"/>
          <w:color w:val="000000" w:themeColor="text1"/>
          <w:lang w:eastAsia="es-CO"/>
        </w:rPr>
      </w:pPr>
      <w:r w:rsidRPr="00842E4F">
        <w:rPr>
          <w:rFonts w:ascii="Arial" w:eastAsia="Calibri" w:hAnsi="Arial" w:cs="Arial"/>
          <w:color w:val="000000" w:themeColor="text1"/>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7160026" w14:textId="3652B12E" w:rsidR="00AD4379" w:rsidRPr="00842E4F" w:rsidRDefault="00AD4379" w:rsidP="00842E4F">
      <w:pPr>
        <w:spacing w:after="120" w:line="276" w:lineRule="auto"/>
        <w:ind w:firstLine="708"/>
        <w:jc w:val="both"/>
        <w:rPr>
          <w:rFonts w:ascii="Arial" w:eastAsia="Arial" w:hAnsi="Arial" w:cs="Arial"/>
          <w:lang w:val="es-ES" w:eastAsia="es-CO"/>
        </w:rPr>
      </w:pPr>
      <w:r w:rsidRPr="00842E4F">
        <w:rPr>
          <w:rFonts w:ascii="Arial" w:eastAsia="Times New Roman" w:hAnsi="Arial" w:cs="Arial"/>
          <w:szCs w:val="24"/>
          <w:lang w:eastAsia="es-MX"/>
        </w:rPr>
        <w:t>Ahora bien, para aplicar las disposiciones contenidas en el Decreto 1860 de 2021, el artículo 8</w:t>
      </w:r>
      <w:r w:rsidRPr="00842E4F">
        <w:rPr>
          <w:rStyle w:val="Refdenotaalpie"/>
          <w:rFonts w:ascii="Arial" w:eastAsia="Times New Roman" w:hAnsi="Arial" w:cs="Arial"/>
          <w:szCs w:val="24"/>
          <w:lang w:eastAsia="es-MX"/>
        </w:rPr>
        <w:footnoteReference w:id="11"/>
      </w:r>
      <w:r w:rsidRPr="00842E4F">
        <w:rPr>
          <w:rFonts w:ascii="Arial" w:eastAsia="Times New Roman" w:hAnsi="Arial" w:cs="Arial"/>
          <w:szCs w:val="24"/>
          <w:lang w:eastAsia="es-MX"/>
        </w:rPr>
        <w:t xml:space="preserve"> de dicho decreto estableció el momento a partir del cual sus disposiciones </w:t>
      </w:r>
      <w:r w:rsidRPr="00842E4F">
        <w:rPr>
          <w:rFonts w:ascii="Arial" w:eastAsia="Times New Roman" w:hAnsi="Arial" w:cs="Arial"/>
          <w:szCs w:val="24"/>
          <w:lang w:eastAsia="es-MX"/>
        </w:rPr>
        <w:lastRenderedPageBreak/>
        <w:t>surtirían efectos.</w:t>
      </w:r>
      <w:r w:rsidRPr="00842E4F">
        <w:rPr>
          <w:rFonts w:ascii="Arial" w:eastAsia="Calibri" w:hAnsi="Arial" w:cs="Arial"/>
        </w:rPr>
        <w:t xml:space="preserve"> De esta forma, se estableció que estas </w:t>
      </w:r>
      <w:r w:rsidRPr="00842E4F">
        <w:rPr>
          <w:rFonts w:ascii="Arial" w:eastAsia="Arial" w:hAnsi="Arial" w:cs="Arial"/>
          <w:lang w:val="es-ES" w:eastAsia="es-CO"/>
        </w:rPr>
        <w:t xml:space="preserve">aplicarán a los procesos de selección cuya invitación, aviso de convocatoria o documento equivalente –según corresponda–, se publique después de los tres (3) meses de su expedición. </w:t>
      </w:r>
    </w:p>
    <w:p w14:paraId="5210B215" w14:textId="77777777" w:rsidR="00AD4379" w:rsidRPr="00842E4F" w:rsidRDefault="00AD4379" w:rsidP="00AD4379">
      <w:pPr>
        <w:autoSpaceDE w:val="0"/>
        <w:autoSpaceDN w:val="0"/>
        <w:adjustRightInd w:val="0"/>
        <w:spacing w:after="120" w:line="276" w:lineRule="auto"/>
        <w:ind w:firstLine="708"/>
        <w:jc w:val="both"/>
        <w:rPr>
          <w:rFonts w:ascii="Arial" w:eastAsia="Arial" w:hAnsi="Arial" w:cs="Arial"/>
          <w:lang w:eastAsia="es-MX"/>
        </w:rPr>
      </w:pPr>
      <w:r w:rsidRPr="00842E4F">
        <w:rPr>
          <w:rFonts w:ascii="Arial" w:eastAsia="Arial" w:hAnsi="Arial" w:cs="Arial"/>
          <w:lang w:val="es-ES" w:eastAsia="es-CO"/>
        </w:rPr>
        <w:t xml:space="preserve">No obstante, en relación con los procesos de contratación que se rijan por los Documentos Tipo, en el parágrafo del artículo se dispuso que las disposiciones contenidas en el Decreto no se aplicarían a dichos procesos hasta que la Agencia Nacional de Contratación Pública − Colombia Compra Eficiente incorpore en estos documentos las modificaciones pertinentes. Para el efecto, se señaló que la Agencia tendría un plazo de seis (6) meses contados a partir de la expedición del reglamento para adecuar los documentos tipo a las disposiciones del Decreto. En este sentido, hasta que la adecuación no ocurra se continuarán aplicando los instrumentos y </w:t>
      </w:r>
      <w:r w:rsidRPr="00842E4F">
        <w:rPr>
          <w:rFonts w:ascii="Arial" w:eastAsia="Arial" w:hAnsi="Arial" w:cs="Arial"/>
          <w:lang w:eastAsia="es-MX"/>
        </w:rPr>
        <w:t>las normas vigentes anteriores a la expedición del reglamento, conforme a la regulación contenida en los Documentos Tipo vigentes.</w:t>
      </w:r>
    </w:p>
    <w:p w14:paraId="658CA844" w14:textId="77777777" w:rsidR="00AD4379" w:rsidRPr="00842E4F" w:rsidRDefault="00AD4379" w:rsidP="00AD4379">
      <w:pPr>
        <w:spacing w:after="120" w:line="276" w:lineRule="auto"/>
        <w:ind w:firstLine="708"/>
        <w:jc w:val="both"/>
        <w:rPr>
          <w:rFonts w:ascii="Arial" w:eastAsia="Arial" w:hAnsi="Arial" w:cs="Arial"/>
          <w:lang w:val="es-ES" w:eastAsia="es-CO"/>
        </w:rPr>
      </w:pPr>
      <w:r w:rsidRPr="00842E4F">
        <w:rPr>
          <w:rFonts w:ascii="Arial" w:eastAsia="Arial" w:hAnsi="Arial" w:cs="Arial"/>
          <w:lang w:val="es-ES" w:eastAsia="es-CO"/>
        </w:rPr>
        <w:t xml:space="preserve">Sin perjuicio de lo anterior, el segundo inciso del parágrafo señala una regla distinta en relación con la entrada en vigencia del artículo 5 del reglamento, en relación con los procesos regidos por documentos tipo. De esta forma se previó que este entrará a regir en aquellos procesos en los que </w:t>
      </w:r>
      <w:r w:rsidRPr="00842E4F">
        <w:rPr>
          <w:rFonts w:ascii="Arial" w:hAnsi="Arial" w:cs="Arial"/>
        </w:rPr>
        <w:t xml:space="preserve">la publicación del aviso de convocatoria o </w:t>
      </w:r>
      <w:r w:rsidRPr="00842E4F">
        <w:rPr>
          <w:rFonts w:ascii="Arial" w:eastAsia="Arial" w:hAnsi="Arial" w:cs="Arial"/>
          <w:lang w:val="es-ES" w:eastAsia="es-CO"/>
        </w:rPr>
        <w:t>la invitación −según corresponda−, se realice a los tres (3) meses de la expedición del Decreto.</w:t>
      </w:r>
    </w:p>
    <w:p w14:paraId="60203455" w14:textId="77777777" w:rsidR="00AD4379" w:rsidRPr="00842E4F" w:rsidRDefault="00AD4379" w:rsidP="00AD4379">
      <w:pPr>
        <w:spacing w:after="120" w:line="276" w:lineRule="auto"/>
        <w:ind w:firstLine="708"/>
        <w:jc w:val="both"/>
        <w:rPr>
          <w:rFonts w:ascii="Arial" w:eastAsia="Times New Roman" w:hAnsi="Arial" w:cs="Arial"/>
          <w:color w:val="000000" w:themeColor="text1"/>
          <w:lang w:eastAsia="es-MX"/>
        </w:rPr>
      </w:pPr>
      <w:r w:rsidRPr="00842E4F">
        <w:rPr>
          <w:rFonts w:ascii="Arial" w:eastAsia="Times New Roman" w:hAnsi="Arial" w:cs="Arial"/>
          <w:color w:val="000000" w:themeColor="text1"/>
          <w:lang w:eastAsia="es-MX"/>
        </w:rPr>
        <w:t xml:space="preserve">Conforme con el contenido del parágrafo, la entrada en vigencia del Decreto 1860 de 2021, en relación con los procesos contractuales regidos documentos tipo, dependerá de si se trata del artículo 5 del Decreto o de cualquier otro. De esta forma, en el primer supuesto, </w:t>
      </w:r>
      <w:r w:rsidRPr="00842E4F">
        <w:rPr>
          <w:rFonts w:ascii="Arial" w:eastAsia="Arial" w:hAnsi="Arial" w:cs="Arial"/>
          <w:lang w:val="es-ES" w:eastAsia="es-CO"/>
        </w:rPr>
        <w:t xml:space="preserve">teniendo en cuenta que el Decreto fue expedido el 24 de diciembre de 2021, las disposiciones contenidas en el artículo 5 relacionadas con la limitación a </w:t>
      </w:r>
      <w:proofErr w:type="spellStart"/>
      <w:r w:rsidRPr="00842E4F">
        <w:rPr>
          <w:rFonts w:ascii="Arial" w:eastAsia="Arial" w:hAnsi="Arial" w:cs="Arial"/>
          <w:lang w:val="es-ES" w:eastAsia="es-CO"/>
        </w:rPr>
        <w:t>Mipymes</w:t>
      </w:r>
      <w:proofErr w:type="spellEnd"/>
      <w:r w:rsidRPr="00842E4F">
        <w:rPr>
          <w:rFonts w:ascii="Arial" w:eastAsia="Arial" w:hAnsi="Arial" w:cs="Arial"/>
          <w:lang w:val="es-ES" w:eastAsia="es-CO"/>
        </w:rPr>
        <w:t xml:space="preserve">, son obligatorias desde </w:t>
      </w:r>
      <w:r w:rsidRPr="00842E4F">
        <w:rPr>
          <w:rFonts w:ascii="Arial" w:hAnsi="Arial" w:cs="Arial"/>
        </w:rPr>
        <w:t>el 24 de marzo de 2022.</w:t>
      </w:r>
      <w:r w:rsidRPr="00842E4F">
        <w:rPr>
          <w:rFonts w:ascii="Arial" w:eastAsia="Times New Roman" w:hAnsi="Arial" w:cs="Arial"/>
          <w:color w:val="000000" w:themeColor="text1"/>
          <w:lang w:eastAsia="es-MX"/>
        </w:rPr>
        <w:t xml:space="preserve"> No obstante, si se trata de los otros artículos del Decreto, su entrada en vigencia está condicionada a la modificación de los documentos tipo por parte de la Agencia Nacional de Contratación Pública – Colombia Compra Eficiente.</w:t>
      </w:r>
    </w:p>
    <w:p w14:paraId="707AB264" w14:textId="77777777" w:rsidR="00AD4379" w:rsidRPr="00842E4F" w:rsidRDefault="00AD4379" w:rsidP="00AD4379">
      <w:pPr>
        <w:spacing w:after="120" w:line="276" w:lineRule="auto"/>
        <w:ind w:firstLine="708"/>
        <w:jc w:val="both"/>
        <w:rPr>
          <w:rFonts w:ascii="Arial" w:eastAsia="Times New Roman" w:hAnsi="Arial" w:cs="Arial"/>
          <w:lang w:eastAsia="es-MX"/>
        </w:rPr>
      </w:pPr>
      <w:r w:rsidRPr="00842E4F">
        <w:rPr>
          <w:rFonts w:ascii="Arial" w:eastAsia="Times New Roman" w:hAnsi="Arial" w:cs="Arial"/>
          <w:color w:val="000000" w:themeColor="text1"/>
          <w:lang w:eastAsia="es-MX"/>
        </w:rPr>
        <w:t xml:space="preserve">Este último supuesto, es el caso del artículo 3 del Decreto 1860 de 2021, que adicionó </w:t>
      </w:r>
      <w:r w:rsidRPr="00842E4F">
        <w:rPr>
          <w:rFonts w:ascii="Arial" w:eastAsia="Times New Roman" w:hAnsi="Arial" w:cs="Arial"/>
          <w:bCs/>
          <w:color w:val="000000" w:themeColor="text1"/>
          <w:lang w:eastAsia="es-MX"/>
        </w:rPr>
        <w:t xml:space="preserve">el artículo </w:t>
      </w:r>
      <w:r w:rsidRPr="00842E4F">
        <w:rPr>
          <w:rFonts w:ascii="Arial" w:eastAsia="Times New Roman" w:hAnsi="Arial" w:cs="Arial"/>
          <w:bCs/>
          <w:color w:val="000000" w:themeColor="text1"/>
          <w:szCs w:val="24"/>
          <w:lang w:eastAsia="es-MX"/>
        </w:rPr>
        <w:t xml:space="preserve">2.2.1.2.4.2.14 y 2.2.1.2.4.2.15 </w:t>
      </w:r>
      <w:r w:rsidRPr="00842E4F">
        <w:rPr>
          <w:rFonts w:ascii="Arial" w:eastAsia="Times New Roman" w:hAnsi="Arial" w:cs="Arial"/>
          <w:bCs/>
          <w:color w:val="000000" w:themeColor="text1"/>
          <w:lang w:eastAsia="es-MX"/>
        </w:rPr>
        <w:t xml:space="preserve">al </w:t>
      </w:r>
      <w:r w:rsidRPr="00842E4F">
        <w:rPr>
          <w:rFonts w:ascii="Arial" w:eastAsia="Times New Roman" w:hAnsi="Arial" w:cs="Arial"/>
          <w:lang w:eastAsia="es-MX"/>
        </w:rPr>
        <w:t xml:space="preserve">Decreto 1082 de 2015, en los que se establecen: i) </w:t>
      </w:r>
      <w:r w:rsidRPr="00842E4F">
        <w:rPr>
          <w:rFonts w:ascii="Arial" w:eastAsia="Times New Roman" w:hAnsi="Arial" w:cs="Arial"/>
          <w:color w:val="000000" w:themeColor="text1"/>
          <w:szCs w:val="24"/>
          <w:lang w:eastAsia="es-MX"/>
        </w:rPr>
        <w:t xml:space="preserve">la definición de emprendimientos y empresas de mujeres para que puedan aplicarse a los criterios diferenciales y ii) criterios diferenciales a favor de empresas y emprendimientos de mujeres </w:t>
      </w:r>
      <w:r w:rsidRPr="00842E4F">
        <w:rPr>
          <w:rFonts w:ascii="Arial" w:eastAsia="Times New Roman" w:hAnsi="Arial" w:cs="Arial"/>
          <w:lang w:eastAsia="es-MX"/>
        </w:rPr>
        <w:t xml:space="preserve">en el sistema de compras públicas. </w:t>
      </w:r>
    </w:p>
    <w:p w14:paraId="137FD188" w14:textId="060E5FB7" w:rsidR="00AD4379" w:rsidRPr="00842E4F" w:rsidRDefault="00AD4379" w:rsidP="00842E4F">
      <w:pPr>
        <w:spacing w:after="0" w:line="276" w:lineRule="auto"/>
        <w:ind w:firstLine="709"/>
        <w:jc w:val="both"/>
        <w:rPr>
          <w:rFonts w:ascii="Arial" w:hAnsi="Arial" w:cs="Arial"/>
          <w:lang w:val="es-ES"/>
        </w:rPr>
      </w:pPr>
      <w:r w:rsidRPr="00842E4F">
        <w:rPr>
          <w:rFonts w:ascii="Arial" w:eastAsia="Times New Roman" w:hAnsi="Arial" w:cs="Arial"/>
          <w:lang w:eastAsia="es-MX"/>
        </w:rPr>
        <w:lastRenderedPageBreak/>
        <w:t xml:space="preserve">De esta forma, su entrada en vigencia está supeditada a que la Agencia realice su incorporación en los </w:t>
      </w:r>
      <w:r w:rsidRPr="00842E4F">
        <w:rPr>
          <w:rFonts w:ascii="Arial" w:eastAsia="Arial" w:hAnsi="Arial" w:cs="Arial"/>
          <w:lang w:val="es-ES" w:eastAsia="es-CO"/>
        </w:rPr>
        <w:t>documentos tipo, lo que se realizó mediante la expedición de la Resolución 275 del 24 de junio de 2022 «Por la cual se modifican los documentos tipo adoptados por la Agencia Nacional de Contratación Pública − Colombia Compra Eficiente».</w:t>
      </w:r>
      <w:r w:rsidRPr="00842E4F">
        <w:rPr>
          <w:rFonts w:ascii="Arial" w:hAnsi="Arial" w:cs="Arial"/>
          <w:lang w:val="es-ES"/>
        </w:rPr>
        <w:t xml:space="preserve"> 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 No obstante, en cuanto a la vigencia de la Resolución 275 de 2022, el artículo 179 dispuso que </w:t>
      </w:r>
      <w:r w:rsidRPr="00842E4F">
        <w:rPr>
          <w:rFonts w:ascii="Arial" w:hAnsi="Arial" w:cs="Arial"/>
        </w:rPr>
        <w:t>esta «[…] rige a partir de su publicación y aplicará a los Procesos de Contratación cuyo aviso de convocatoria se publique a partir del 29 de agosto de 2022».</w:t>
      </w:r>
    </w:p>
    <w:p w14:paraId="2547D2DF" w14:textId="59C0104D" w:rsidR="006E6F75" w:rsidRPr="00842E4F" w:rsidRDefault="006E6F75" w:rsidP="00842E4F">
      <w:pPr>
        <w:spacing w:after="0" w:line="276" w:lineRule="auto"/>
        <w:ind w:firstLine="709"/>
        <w:jc w:val="both"/>
        <w:rPr>
          <w:rFonts w:ascii="Arial" w:hAnsi="Arial" w:cs="Arial"/>
          <w:color w:val="000000" w:themeColor="text1"/>
          <w:lang w:eastAsia="es-CO"/>
        </w:rPr>
      </w:pPr>
    </w:p>
    <w:p w14:paraId="126237FE" w14:textId="77777777" w:rsidR="00DF55A7" w:rsidRPr="00842E4F" w:rsidRDefault="00DF55A7" w:rsidP="00DF55A7">
      <w:pPr>
        <w:spacing w:line="276" w:lineRule="auto"/>
        <w:jc w:val="both"/>
        <w:rPr>
          <w:rFonts w:ascii="Arial" w:eastAsia="Calibri" w:hAnsi="Arial" w:cs="Arial"/>
          <w:b/>
          <w:bCs/>
          <w:color w:val="000000" w:themeColor="text1"/>
          <w:lang w:val="es-ES_tradnl"/>
        </w:rPr>
      </w:pPr>
      <w:r w:rsidRPr="00842E4F">
        <w:rPr>
          <w:rFonts w:ascii="Arial" w:eastAsia="Calibri" w:hAnsi="Arial" w:cs="Arial"/>
          <w:b/>
          <w:bCs/>
          <w:color w:val="000000" w:themeColor="text1"/>
          <w:lang w:val="es-ES_tradnl"/>
        </w:rPr>
        <w:t xml:space="preserve">2.2. Definición de emprendimientos y empresas de mujeres en el Decreto 1860 de 2021 </w:t>
      </w:r>
    </w:p>
    <w:p w14:paraId="7EBDAF02"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Conforme se viene explicando, el artículo 32 de la Ley 2069 de 2021 establece el deber de las Entidades Estatales de incluir </w:t>
      </w:r>
      <w:r w:rsidRPr="00842E4F">
        <w:rPr>
          <w:rStyle w:val="normaltextrun"/>
          <w:rFonts w:ascii="Arial" w:hAnsi="Arial" w:cs="Arial"/>
          <w:color w:val="000000" w:themeColor="text1"/>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4DEFD07E" w14:textId="383E2FD7" w:rsidR="00DF55A7" w:rsidRPr="00842E4F" w:rsidRDefault="00DF55A7" w:rsidP="00DF55A7">
      <w:pPr>
        <w:spacing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primero de dicho numerales:   </w:t>
      </w:r>
    </w:p>
    <w:p w14:paraId="1B69BF23" w14:textId="77777777" w:rsidR="00DF55A7" w:rsidRPr="00842E4F" w:rsidRDefault="00DF55A7" w:rsidP="00DF55A7">
      <w:pPr>
        <w:shd w:val="clear" w:color="auto" w:fill="FFFFFF"/>
        <w:ind w:left="709" w:right="709"/>
        <w:jc w:val="both"/>
        <w:textAlignment w:val="baseline"/>
        <w:rPr>
          <w:rFonts w:ascii="Arial" w:hAnsi="Arial" w:cs="Arial"/>
          <w:color w:val="000000" w:themeColor="text1"/>
          <w:sz w:val="21"/>
          <w:szCs w:val="21"/>
          <w:lang w:eastAsia="es-CO"/>
        </w:rPr>
      </w:pPr>
      <w:r w:rsidRPr="00842E4F">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36E1E431" w14:textId="4BC7732A" w:rsidR="00DF55A7" w:rsidRPr="00842E4F" w:rsidRDefault="00DF55A7" w:rsidP="00DF55A7">
      <w:pPr>
        <w:shd w:val="clear" w:color="auto" w:fill="FFFFFF"/>
        <w:ind w:left="709" w:right="709"/>
        <w:jc w:val="both"/>
        <w:textAlignment w:val="baseline"/>
        <w:rPr>
          <w:rFonts w:ascii="Arial" w:hAnsi="Arial" w:cs="Arial"/>
          <w:color w:val="000000" w:themeColor="text1"/>
          <w:sz w:val="21"/>
          <w:szCs w:val="21"/>
          <w:lang w:eastAsia="es-CO"/>
        </w:rPr>
      </w:pPr>
      <w:r w:rsidRPr="00842E4F">
        <w:rPr>
          <w:rFonts w:ascii="Arial" w:hAnsi="Arial" w:cs="Arial"/>
          <w:i/>
          <w:iCs/>
          <w:color w:val="000000" w:themeColor="text1"/>
          <w:sz w:val="21"/>
          <w:szCs w:val="21"/>
          <w:lang w:eastAsia="es-CO"/>
        </w:rPr>
        <w:lastRenderedPageBreak/>
        <w:t xml:space="preserve"> 1. Cuando más del cincuenta por ciento (50%) de las acciones, partes de interés o cuotas de participación de la persona jurídica pertenezcan a mujeres y los derechos de propiedad </w:t>
      </w:r>
      <w:bookmarkStart w:id="6" w:name="_Hlk94001820"/>
      <w:r w:rsidRPr="00842E4F">
        <w:rPr>
          <w:rFonts w:ascii="Arial" w:hAnsi="Arial" w:cs="Arial"/>
          <w:i/>
          <w:iCs/>
          <w:color w:val="000000" w:themeColor="text1"/>
          <w:sz w:val="21"/>
          <w:szCs w:val="21"/>
          <w:lang w:eastAsia="es-CO"/>
        </w:rPr>
        <w:t>hayan pertenecido a estas durante al menos el último año anterior a la fecha de cierre del Proceso de Selección</w:t>
      </w:r>
      <w:bookmarkEnd w:id="6"/>
      <w:r w:rsidRPr="00842E4F">
        <w:rPr>
          <w:rFonts w:ascii="Arial" w:hAnsi="Arial" w:cs="Arial"/>
          <w:i/>
          <w:iCs/>
          <w:color w:val="000000" w:themeColor="text1"/>
          <w:sz w:val="21"/>
          <w:szCs w:val="21"/>
          <w:lang w:eastAsia="es-CO"/>
        </w:rPr>
        <w:t>.</w:t>
      </w:r>
      <w:r w:rsidRPr="00842E4F">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2FC0CFC" w14:textId="77777777" w:rsidR="00DF55A7" w:rsidRPr="00842E4F" w:rsidRDefault="00DF55A7" w:rsidP="00DF55A7">
      <w:pPr>
        <w:shd w:val="clear" w:color="auto" w:fill="FFFFFF"/>
        <w:ind w:left="709" w:right="709"/>
        <w:jc w:val="both"/>
        <w:textAlignment w:val="baseline"/>
        <w:rPr>
          <w:rFonts w:ascii="Arial" w:hAnsi="Arial" w:cs="Arial"/>
          <w:color w:val="000000" w:themeColor="text1"/>
          <w:sz w:val="21"/>
          <w:szCs w:val="21"/>
          <w:lang w:eastAsia="es-CO"/>
        </w:rPr>
      </w:pPr>
      <w:r w:rsidRPr="00842E4F">
        <w:rPr>
          <w:rFonts w:ascii="Arial" w:hAnsi="Arial" w:cs="Arial"/>
          <w:color w:val="000000" w:themeColor="text1"/>
          <w:sz w:val="21"/>
          <w:szCs w:val="21"/>
          <w:lang w:eastAsia="es-CO"/>
        </w:rPr>
        <w:t> […]</w:t>
      </w:r>
    </w:p>
    <w:p w14:paraId="6A8AE993" w14:textId="77777777" w:rsidR="00DF55A7" w:rsidRPr="00842E4F" w:rsidRDefault="00DF55A7" w:rsidP="00DF55A7">
      <w:pPr>
        <w:shd w:val="clear" w:color="auto" w:fill="FFFFFF"/>
        <w:ind w:left="709" w:right="709"/>
        <w:jc w:val="both"/>
        <w:textAlignment w:val="baseline"/>
        <w:rPr>
          <w:rFonts w:ascii="Arial" w:hAnsi="Arial" w:cs="Arial"/>
          <w:color w:val="000000" w:themeColor="text1"/>
          <w:sz w:val="21"/>
          <w:szCs w:val="21"/>
          <w:lang w:eastAsia="es-CO"/>
        </w:rPr>
      </w:pPr>
      <w:r w:rsidRPr="00842E4F">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32E42BAD"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766C57E6"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3574FA68" w14:textId="77777777" w:rsidR="00DF55A7" w:rsidRPr="00842E4F" w:rsidRDefault="00DF55A7" w:rsidP="00DF55A7">
      <w:pPr>
        <w:spacing w:after="120" w:line="276" w:lineRule="auto"/>
        <w:ind w:firstLine="709"/>
        <w:jc w:val="both"/>
        <w:rPr>
          <w:rFonts w:ascii="Arial" w:eastAsia="Calibri" w:hAnsi="Arial" w:cs="Arial"/>
          <w:color w:val="000000" w:themeColor="text1"/>
          <w:lang w:val="es-ES_tradnl"/>
        </w:rPr>
      </w:pPr>
      <w:bookmarkStart w:id="7" w:name="_Hlk101426374"/>
      <w:r w:rsidRPr="00842E4F">
        <w:rPr>
          <w:rFonts w:ascii="Arial" w:eastAsia="Calibri" w:hAnsi="Arial" w:cs="Arial"/>
          <w:color w:val="000000" w:themeColor="text1"/>
          <w:lang w:val="es-ES_tradnl"/>
        </w:rPr>
        <w:t xml:space="preserve"> Así mismo, debe precisarse que la participación mayoritaria de mujeres </w:t>
      </w:r>
      <w:r w:rsidRPr="00842E4F">
        <w:rPr>
          <w:rFonts w:ascii="Arial" w:hAnsi="Arial" w:cs="Arial"/>
          <w:color w:val="000000" w:themeColor="text1"/>
        </w:rPr>
        <w:t xml:space="preserve">puede ser ejercida por diferentes personas durante el último año, siempre que durante dicho periodo la participación </w:t>
      </w:r>
      <w:r w:rsidRPr="00842E4F">
        <w:rPr>
          <w:rFonts w:ascii="Arial" w:hAnsi="Arial" w:cs="Arial"/>
          <w:i/>
          <w:iCs/>
          <w:color w:val="000000" w:themeColor="text1"/>
        </w:rPr>
        <w:t>mayoritaria</w:t>
      </w:r>
      <w:r w:rsidRPr="00842E4F">
        <w:rPr>
          <w:rFonts w:ascii="Arial" w:hAnsi="Arial" w:cs="Arial"/>
          <w:color w:val="000000" w:themeColor="text1"/>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w:t>
      </w:r>
      <w:r w:rsidRPr="00842E4F">
        <w:rPr>
          <w:rFonts w:ascii="Arial" w:hAnsi="Arial" w:cs="Arial"/>
          <w:color w:val="000000" w:themeColor="text1"/>
          <w:lang w:val="es-ES_tradnl"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p>
    <w:bookmarkEnd w:id="7"/>
    <w:p w14:paraId="63B73854"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lastRenderedPageBreak/>
        <w:tab/>
        <w:t xml:space="preserve">De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 </w:t>
      </w:r>
    </w:p>
    <w:p w14:paraId="06F8D279"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 xml:space="preserve">Lo anterior significa que sociedades con un término de constitución inferior a un año no están dentro del campo de aplicación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 </w:t>
      </w:r>
    </w:p>
    <w:p w14:paraId="12AF2B46" w14:textId="77777777"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Debe advertirse que el texto de la norma bajo examen no establece alguna consideración subsidiaria o permisiva en virtud de la cual fuera posible ubicar dentro de la definición de emprendimientos y empresas de mujeres que realiza el numeral 1, a personas jurídicas con un término inferior a un año –como, por ejemplo, lo hace explícitamente el parágrafo 2 del artículo 35 de la Ley 2069 de 2020, pero para otros efectos</w:t>
      </w:r>
      <w:r w:rsidRPr="00842E4F">
        <w:rPr>
          <w:rStyle w:val="Refdenotaalpie"/>
          <w:rFonts w:ascii="Arial" w:eastAsia="Calibri" w:hAnsi="Arial" w:cs="Arial"/>
          <w:color w:val="000000" w:themeColor="text1"/>
          <w:lang w:val="es-ES_tradnl"/>
        </w:rPr>
        <w:footnoteReference w:id="12"/>
      </w:r>
      <w:r w:rsidRPr="00842E4F">
        <w:rPr>
          <w:rFonts w:ascii="Arial" w:eastAsia="Calibri" w:hAnsi="Arial" w:cs="Arial"/>
          <w:color w:val="000000" w:themeColor="text1"/>
          <w:lang w:val="es-ES_tradnl"/>
        </w:rPr>
        <w:t xml:space="preserve">–. En ese sentido, es preciso descartar la posibilidad que a una sociedad con un tiempo de constitución inferior a un año le aplique la definición de emprendimientos y empresas de mujeres del numeral 1 del artículo 2.2.1.2.4.2.14, por cuanto, ni siquiera acreditando que la participación mayoritaria de mujeres en la persona jurídica data del momento mismo de su constitución sería posible cumplir con el tiempo mínimo de un año. </w:t>
      </w:r>
    </w:p>
    <w:p w14:paraId="651BE290" w14:textId="136D8299" w:rsidR="00DF55A7" w:rsidRPr="00842E4F" w:rsidRDefault="00DF55A7" w:rsidP="00DF55A7">
      <w:pPr>
        <w:spacing w:after="120" w:line="276" w:lineRule="auto"/>
        <w:jc w:val="both"/>
        <w:rPr>
          <w:rFonts w:ascii="Arial" w:hAnsi="Arial" w:cs="Arial"/>
          <w:color w:val="000000" w:themeColor="text1"/>
          <w:lang w:eastAsia="es-CO"/>
        </w:rPr>
      </w:pPr>
      <w:r w:rsidRPr="00842E4F">
        <w:rPr>
          <w:rFonts w:ascii="Arial" w:eastAsia="Calibri" w:hAnsi="Arial" w:cs="Arial"/>
          <w:color w:val="000000" w:themeColor="text1"/>
          <w:lang w:val="es-ES_tradnl"/>
        </w:rPr>
        <w:tab/>
        <w:t xml:space="preserve">Esta conclusión surge en atención </w:t>
      </w:r>
      <w:r w:rsidR="00722CFF" w:rsidRPr="00842E4F">
        <w:rPr>
          <w:rFonts w:ascii="Arial" w:eastAsia="Calibri" w:hAnsi="Arial" w:cs="Arial"/>
          <w:color w:val="000000" w:themeColor="text1"/>
          <w:lang w:val="es-ES_tradnl"/>
        </w:rPr>
        <w:t xml:space="preserve">a </w:t>
      </w:r>
      <w:r w:rsidRPr="00842E4F">
        <w:rPr>
          <w:rFonts w:ascii="Arial" w:eastAsia="Calibri" w:hAnsi="Arial" w:cs="Arial"/>
          <w:color w:val="000000" w:themeColor="text1"/>
          <w:lang w:val="es-ES_tradnl"/>
        </w:rPr>
        <w:t xml:space="preserve">lo expresamente indicado en el texto de la norma, el cual es claro al exigir que el </w:t>
      </w:r>
      <w:r w:rsidRPr="00842E4F">
        <w:rPr>
          <w:rFonts w:ascii="Arial" w:hAnsi="Arial" w:cs="Arial"/>
          <w:color w:val="000000" w:themeColor="text1"/>
          <w:lang w:eastAsia="es-CO"/>
        </w:rPr>
        <w:t xml:space="preserve">50% de las acciones, partes de interés o cuotas de participación de la persona jurídica que correspondan a mujeres «[…] hayan pertenecido a estas durante al menos el último año anterior a la fecha de cierre del Proceso de Selección». Por lo tanto, la presente interpretación además se impone en virtud de aquella </w:t>
      </w:r>
      <w:r w:rsidRPr="00842E4F">
        <w:rPr>
          <w:rFonts w:ascii="Arial" w:hAnsi="Arial" w:cs="Arial"/>
          <w:color w:val="000000" w:themeColor="text1"/>
          <w:lang w:eastAsia="es-CO"/>
        </w:rPr>
        <w:lastRenderedPageBreak/>
        <w:t>regla según la cual «cuando el sentido de la ley sea claro, no se desatenderá su tenor literal a pretexto de consultar su espíritu»</w:t>
      </w:r>
      <w:r w:rsidRPr="00842E4F">
        <w:rPr>
          <w:rStyle w:val="Refdenotaalpie"/>
          <w:rFonts w:ascii="Arial" w:hAnsi="Arial" w:cs="Arial"/>
          <w:color w:val="000000" w:themeColor="text1"/>
          <w:lang w:eastAsia="es-CO"/>
        </w:rPr>
        <w:footnoteReference w:id="13"/>
      </w:r>
      <w:r w:rsidRPr="00842E4F">
        <w:rPr>
          <w:rFonts w:ascii="Arial" w:hAnsi="Arial" w:cs="Arial"/>
          <w:color w:val="000000" w:themeColor="text1"/>
          <w:lang w:eastAsia="es-CO"/>
        </w:rPr>
        <w:t xml:space="preserve">. </w:t>
      </w:r>
    </w:p>
    <w:p w14:paraId="79CF88BF" w14:textId="77777777" w:rsidR="00DF55A7" w:rsidRPr="00842E4F" w:rsidRDefault="00DF55A7" w:rsidP="00DF55A7">
      <w:pPr>
        <w:spacing w:after="120" w:line="276" w:lineRule="auto"/>
        <w:jc w:val="both"/>
        <w:rPr>
          <w:rFonts w:ascii="Arial" w:hAnsi="Arial" w:cs="Arial"/>
          <w:color w:val="000000" w:themeColor="text1"/>
          <w:lang w:eastAsia="es-CO"/>
        </w:rPr>
      </w:pPr>
      <w:r w:rsidRPr="00842E4F">
        <w:rPr>
          <w:rFonts w:ascii="Arial" w:hAnsi="Arial" w:cs="Arial"/>
          <w:color w:val="000000" w:themeColor="text1"/>
          <w:lang w:eastAsia="es-CO"/>
        </w:rPr>
        <w:tab/>
        <w:t>Debe agregarse que el artículo 2.2.1.2.4.2.15 del Decreto 1082 de 2015</w:t>
      </w:r>
      <w:r w:rsidRPr="00842E4F">
        <w:rPr>
          <w:rStyle w:val="Refdenotaalpie"/>
          <w:rFonts w:ascii="Arial" w:hAnsi="Arial" w:cs="Arial"/>
          <w:color w:val="000000" w:themeColor="text1"/>
          <w:lang w:eastAsia="es-CO"/>
        </w:rPr>
        <w:footnoteReference w:id="14"/>
      </w:r>
      <w:r w:rsidRPr="00842E4F">
        <w:rPr>
          <w:rFonts w:ascii="Arial" w:hAnsi="Arial" w:cs="Arial"/>
          <w:color w:val="000000" w:themeColor="text1"/>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842E4F">
        <w:rPr>
          <w:color w:val="000000" w:themeColor="text1"/>
        </w:rPr>
        <w:t xml:space="preserve"> </w:t>
      </w:r>
      <w:r w:rsidRPr="00842E4F">
        <w:rPr>
          <w:rFonts w:ascii="Arial" w:hAnsi="Arial" w:cs="Arial"/>
          <w:color w:val="000000" w:themeColor="text1"/>
          <w:lang w:eastAsia="es-CO"/>
        </w:rPr>
        <w:t xml:space="preserve">de hasta el 0,25% del valor total de los puntos establecidos en los pliegos de </w:t>
      </w:r>
      <w:r w:rsidRPr="00842E4F">
        <w:rPr>
          <w:rFonts w:ascii="Arial" w:hAnsi="Arial" w:cs="Arial"/>
          <w:color w:val="000000" w:themeColor="text1"/>
          <w:lang w:eastAsia="es-CO"/>
        </w:rPr>
        <w:lastRenderedPageBreak/>
        <w:t xml:space="preserve">condiciones o documentos equivalentes, para los proponentes que acrediten alguno de los supuestos del artículo 2.2.1.2.4.2.14. </w:t>
      </w:r>
    </w:p>
    <w:p w14:paraId="2E8D1EB7" w14:textId="3D99DE9C" w:rsidR="00F5367A" w:rsidRPr="00842E4F" w:rsidRDefault="00DF55A7" w:rsidP="00DB44F8">
      <w:pPr>
        <w:spacing w:line="276" w:lineRule="auto"/>
        <w:jc w:val="both"/>
        <w:rPr>
          <w:rFonts w:ascii="Arial" w:hAnsi="Arial" w:cs="Arial"/>
        </w:rPr>
      </w:pPr>
      <w:r w:rsidRPr="00842E4F">
        <w:rPr>
          <w:rFonts w:ascii="Arial" w:hAnsi="Arial" w:cs="Arial"/>
          <w:color w:val="000000" w:themeColor="text1"/>
          <w:lang w:eastAsia="es-CO"/>
        </w:rPr>
        <w:tab/>
        <w:t xml:space="preserve">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     </w:t>
      </w:r>
      <w:r w:rsidRPr="00842E4F">
        <w:rPr>
          <w:rFonts w:ascii="Arial" w:hAnsi="Arial" w:cs="Arial"/>
          <w:color w:val="000000" w:themeColor="text1"/>
          <w:lang w:eastAsia="es-CO"/>
        </w:rPr>
        <w:tab/>
      </w:r>
    </w:p>
    <w:p w14:paraId="1DF065CA" w14:textId="73E9DEA2" w:rsidR="00137E23" w:rsidRPr="00842E4F" w:rsidRDefault="00137E23" w:rsidP="00733A0B">
      <w:pPr>
        <w:pStyle w:val="Prrafodelista"/>
        <w:tabs>
          <w:tab w:val="left" w:pos="284"/>
        </w:tabs>
        <w:spacing w:line="276" w:lineRule="auto"/>
        <w:ind w:left="0"/>
        <w:jc w:val="both"/>
        <w:rPr>
          <w:rFonts w:ascii="Arial" w:eastAsia="Calibri" w:hAnsi="Arial" w:cs="Arial"/>
          <w:b/>
          <w:sz w:val="22"/>
          <w:lang w:val="es-CO"/>
        </w:rPr>
      </w:pPr>
      <w:r w:rsidRPr="00842E4F">
        <w:rPr>
          <w:rFonts w:ascii="Arial" w:eastAsia="Calibri" w:hAnsi="Arial" w:cs="Arial"/>
          <w:b/>
          <w:sz w:val="22"/>
          <w:lang w:val="es-CO"/>
        </w:rPr>
        <w:t>3. Respuesta</w:t>
      </w:r>
    </w:p>
    <w:p w14:paraId="6E0ED1A1" w14:textId="77777777" w:rsidR="00733A0B" w:rsidRPr="00842E4F" w:rsidRDefault="00733A0B" w:rsidP="0099583D">
      <w:pPr>
        <w:pStyle w:val="Prrafodelista"/>
        <w:tabs>
          <w:tab w:val="left" w:pos="284"/>
        </w:tabs>
        <w:ind w:left="0"/>
        <w:jc w:val="both"/>
        <w:rPr>
          <w:rFonts w:ascii="Arial" w:eastAsia="Calibri" w:hAnsi="Arial" w:cs="Arial"/>
          <w:sz w:val="22"/>
          <w:lang w:val="es-CO"/>
        </w:rPr>
      </w:pPr>
    </w:p>
    <w:p w14:paraId="19FF0E67"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 xml:space="preserve">«En la resolución Numero 275 de 2022, articulo 14, 15 y 16, indican que el puntaje de emprendimiento y empresas de mujeres, </w:t>
      </w:r>
      <w:proofErr w:type="spellStart"/>
      <w:r w:rsidRPr="00842E4F">
        <w:rPr>
          <w:rFonts w:ascii="Arial" w:hAnsi="Arial" w:cs="Arial"/>
          <w:color w:val="1A1A1A" w:themeColor="background1" w:themeShade="1A"/>
          <w:sz w:val="21"/>
          <w:szCs w:val="21"/>
        </w:rPr>
        <w:t>esta</w:t>
      </w:r>
      <w:proofErr w:type="spellEnd"/>
      <w:r w:rsidRPr="00842E4F">
        <w:rPr>
          <w:rFonts w:ascii="Arial" w:hAnsi="Arial" w:cs="Arial"/>
          <w:color w:val="1A1A1A" w:themeColor="background1" w:themeShade="1A"/>
          <w:sz w:val="21"/>
          <w:szCs w:val="21"/>
        </w:rPr>
        <w:t xml:space="preserve"> relacionado con la previsto en el artículo 2.2.1.2.4.2.14. del Decreto 1082 de 2015, modificado por el decreto 1860 de 2021.</w:t>
      </w:r>
    </w:p>
    <w:p w14:paraId="68D845C7"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En el cual dice lo siguiente:</w:t>
      </w:r>
    </w:p>
    <w:p w14:paraId="4BF9E49E"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w:t>
      </w:r>
    </w:p>
    <w:p w14:paraId="4CC46EDE"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proofErr w:type="spellStart"/>
      <w:r w:rsidRPr="00842E4F">
        <w:rPr>
          <w:rFonts w:ascii="Arial" w:hAnsi="Arial" w:cs="Arial"/>
          <w:color w:val="1A1A1A" w:themeColor="background1" w:themeShade="1A"/>
          <w:sz w:val="21"/>
          <w:szCs w:val="21"/>
        </w:rPr>
        <w:t>Articulo</w:t>
      </w:r>
      <w:proofErr w:type="spellEnd"/>
      <w:r w:rsidRPr="00842E4F">
        <w:rPr>
          <w:rFonts w:ascii="Arial" w:hAnsi="Arial" w:cs="Arial"/>
          <w:color w:val="1A1A1A" w:themeColor="background1" w:themeShade="1A"/>
          <w:sz w:val="21"/>
          <w:szCs w:val="21"/>
        </w:rPr>
        <w:t xml:space="preserve"> 2.2.1.2.4.2.14. Definición de emprendimientos y empresas de mujeres. Con el propósito de adoptar medidas afirmativas que incentiven la participación de las mujeres en el sistema de compras </w:t>
      </w:r>
      <w:proofErr w:type="spellStart"/>
      <w:r w:rsidRPr="00842E4F">
        <w:rPr>
          <w:rFonts w:ascii="Arial" w:hAnsi="Arial" w:cs="Arial"/>
          <w:color w:val="1A1A1A" w:themeColor="background1" w:themeShade="1A"/>
          <w:sz w:val="21"/>
          <w:szCs w:val="21"/>
        </w:rPr>
        <w:t>publicas</w:t>
      </w:r>
      <w:proofErr w:type="spellEnd"/>
      <w:r w:rsidRPr="00842E4F">
        <w:rPr>
          <w:rFonts w:ascii="Arial" w:hAnsi="Arial" w:cs="Arial"/>
          <w:color w:val="1A1A1A" w:themeColor="background1" w:themeShade="1A"/>
          <w:sz w:val="21"/>
          <w:szCs w:val="21"/>
        </w:rPr>
        <w:t>, se entenderán como emprendimientos y empresas de mujeres aquellas que cumplan con alguna de las siguientes condiciones:</w:t>
      </w:r>
    </w:p>
    <w:p w14:paraId="32EF9820"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 xml:space="preserve">1. Cuando </w:t>
      </w:r>
      <w:proofErr w:type="spellStart"/>
      <w:r w:rsidRPr="00842E4F">
        <w:rPr>
          <w:rFonts w:ascii="Arial" w:hAnsi="Arial" w:cs="Arial"/>
          <w:color w:val="1A1A1A" w:themeColor="background1" w:themeShade="1A"/>
          <w:sz w:val="21"/>
          <w:szCs w:val="21"/>
        </w:rPr>
        <w:t>mas</w:t>
      </w:r>
      <w:proofErr w:type="spellEnd"/>
      <w:r w:rsidRPr="00842E4F">
        <w:rPr>
          <w:rFonts w:ascii="Arial" w:hAnsi="Arial" w:cs="Arial"/>
          <w:color w:val="1A1A1A" w:themeColor="background1" w:themeShade="1A"/>
          <w:sz w:val="21"/>
          <w:szCs w:val="21"/>
        </w:rPr>
        <w:t xml:space="preserve"> del cincuenta por ciento (50%) de las acciones, partes de interés o cuotas de participación de la persona jurídica pertenezcan a mujeres y los derechos de propiedad hayan pertenecido a estas durante al menos el ultimo año anterior a la fecha de cierre del Proceso de Selección. Esta circunstancia se acreditara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2CABC0EB" w14:textId="77777777" w:rsidR="00DB44F8" w:rsidRPr="00842E4F" w:rsidRDefault="00DB44F8" w:rsidP="00DB44F8">
      <w:pPr>
        <w:spacing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Frente a lo anterior mencionado hago la siguiente consulta:</w:t>
      </w:r>
    </w:p>
    <w:p w14:paraId="5414C12D" w14:textId="4383FA9B" w:rsidR="00DB44F8" w:rsidRPr="00842E4F" w:rsidRDefault="00DB44F8" w:rsidP="00DB44F8">
      <w:pPr>
        <w:spacing w:after="0" w:line="240" w:lineRule="auto"/>
        <w:ind w:left="709" w:right="709"/>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 xml:space="preserve">Si la empresa tiene menos de un año de constituida, pero </w:t>
      </w:r>
      <w:proofErr w:type="spellStart"/>
      <w:r w:rsidRPr="00842E4F">
        <w:rPr>
          <w:rFonts w:ascii="Arial" w:hAnsi="Arial" w:cs="Arial"/>
          <w:color w:val="1A1A1A" w:themeColor="background1" w:themeShade="1A"/>
          <w:sz w:val="21"/>
          <w:szCs w:val="21"/>
        </w:rPr>
        <w:t>mas</w:t>
      </w:r>
      <w:proofErr w:type="spellEnd"/>
      <w:r w:rsidRPr="00842E4F">
        <w:rPr>
          <w:rFonts w:ascii="Arial" w:hAnsi="Arial" w:cs="Arial"/>
          <w:color w:val="1A1A1A" w:themeColor="background1" w:themeShade="1A"/>
          <w:sz w:val="21"/>
          <w:szCs w:val="21"/>
        </w:rPr>
        <w:t xml:space="preserve"> del cincuenta por ciento (50%) de las acciones pertenece a mujeres desde la fecha de constitución de la empresa, ¿Dicha empresa es acreedora de este puntaje?»</w:t>
      </w:r>
    </w:p>
    <w:p w14:paraId="3AE9A4E1" w14:textId="77777777" w:rsidR="00E94D5C" w:rsidRPr="00842E4F" w:rsidRDefault="00E94D5C" w:rsidP="00872709">
      <w:pPr>
        <w:spacing w:after="120" w:line="276" w:lineRule="auto"/>
        <w:ind w:firstLine="708"/>
        <w:jc w:val="both"/>
        <w:rPr>
          <w:rFonts w:ascii="Arial" w:hAnsi="Arial" w:cs="Arial"/>
        </w:rPr>
      </w:pPr>
    </w:p>
    <w:p w14:paraId="770D4863" w14:textId="77777777" w:rsidR="00E94D5C" w:rsidRPr="00842E4F" w:rsidRDefault="00E94D5C" w:rsidP="00E94D5C">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De acuerdo con lo establecido en el numeral 1 del artículo </w:t>
      </w:r>
      <w:r w:rsidRPr="00842E4F">
        <w:rPr>
          <w:rFonts w:ascii="Arial" w:hAnsi="Arial" w:cs="Arial"/>
          <w:color w:val="000000" w:themeColor="text1"/>
          <w:lang w:eastAsia="es-CO"/>
        </w:rPr>
        <w:t>2.2.1.2.4.2.14 del Decreto 1860 de 2021</w:t>
      </w:r>
      <w:r w:rsidRPr="00842E4F">
        <w:rPr>
          <w:rFonts w:ascii="Arial" w:eastAsia="Calibri" w:hAnsi="Arial" w:cs="Arial"/>
          <w:color w:val="000000" w:themeColor="text1"/>
          <w:lang w:val="es-ES_tradnl"/>
        </w:rPr>
        <w:t xml:space="preserve">, una sociedad podrá ser considerada como un emprendimiento o empresa de mujeres cuando más del 50% de sus acciones, partes de interés o cuotas de participación, </w:t>
      </w:r>
      <w:r w:rsidRPr="00842E4F">
        <w:rPr>
          <w:rFonts w:ascii="Arial" w:eastAsia="Calibri" w:hAnsi="Arial" w:cs="Arial"/>
          <w:color w:val="000000" w:themeColor="text1"/>
          <w:lang w:val="es-ES_tradnl"/>
        </w:rPr>
        <w:lastRenderedPageBreak/>
        <w:t xml:space="preserve">pertenezcan a mujeres. Sin embargo, el supuesto de hecho de la norma transcrita, adicionalmente, exige que la titularidad de tal participación haya pertenecido a mujeres, por lo menos, durante el año anterior a la fecha de cierre del proceso de selección. </w:t>
      </w:r>
    </w:p>
    <w:p w14:paraId="539EEBF5" w14:textId="77777777" w:rsidR="00E94D5C" w:rsidRPr="00842E4F" w:rsidRDefault="00E94D5C" w:rsidP="00E94D5C">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12CF08B9" w14:textId="573BBB28" w:rsidR="00E94D5C" w:rsidRPr="00842E4F" w:rsidRDefault="00E94D5C" w:rsidP="00E94D5C">
      <w:pPr>
        <w:spacing w:after="120" w:line="276" w:lineRule="auto"/>
        <w:ind w:firstLine="709"/>
        <w:jc w:val="both"/>
        <w:rPr>
          <w:rFonts w:ascii="Arial" w:hAnsi="Arial" w:cs="Arial"/>
          <w:color w:val="000000" w:themeColor="text1"/>
          <w:lang w:val="es-ES_tradnl" w:eastAsia="es-ES"/>
        </w:rPr>
      </w:pPr>
      <w:r w:rsidRPr="00842E4F">
        <w:rPr>
          <w:rFonts w:ascii="Arial" w:eastAsia="Calibri" w:hAnsi="Arial" w:cs="Arial"/>
          <w:color w:val="000000" w:themeColor="text1"/>
          <w:lang w:val="es-ES_tradnl"/>
        </w:rPr>
        <w:t xml:space="preserve">Así mismo, debe precisarse que la participación mayoritaria de mujeres </w:t>
      </w:r>
      <w:r w:rsidRPr="00842E4F">
        <w:rPr>
          <w:rFonts w:ascii="Arial" w:hAnsi="Arial" w:cs="Arial"/>
          <w:color w:val="000000" w:themeColor="text1"/>
        </w:rPr>
        <w:t xml:space="preserve">puede ser ejercida por diferentes personas durante el último año, siempre que durante dicho periodo la participación </w:t>
      </w:r>
      <w:r w:rsidRPr="00842E4F">
        <w:rPr>
          <w:rFonts w:ascii="Arial" w:hAnsi="Arial" w:cs="Arial"/>
          <w:i/>
          <w:iCs/>
          <w:color w:val="000000" w:themeColor="text1"/>
        </w:rPr>
        <w:t>mayoritaria</w:t>
      </w:r>
      <w:r w:rsidRPr="00842E4F">
        <w:rPr>
          <w:rFonts w:ascii="Arial" w:hAnsi="Arial" w:cs="Arial"/>
          <w:color w:val="000000" w:themeColor="text1"/>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w:t>
      </w:r>
      <w:r w:rsidRPr="00842E4F">
        <w:rPr>
          <w:rFonts w:ascii="Arial" w:hAnsi="Arial" w:cs="Arial"/>
          <w:color w:val="000000" w:themeColor="text1"/>
          <w:lang w:val="es-ES_tradnl"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bookmarkStart w:id="8" w:name="_Hlk94281581"/>
    </w:p>
    <w:p w14:paraId="2E988847" w14:textId="16AE17FA" w:rsidR="00722CFF" w:rsidRPr="003177DF" w:rsidRDefault="00722CFF" w:rsidP="003177DF">
      <w:pPr>
        <w:spacing w:after="120" w:line="276" w:lineRule="auto"/>
        <w:ind w:firstLine="709"/>
        <w:jc w:val="both"/>
        <w:rPr>
          <w:rFonts w:ascii="Arial" w:hAnsi="Arial" w:cs="Arial"/>
          <w:color w:val="000000" w:themeColor="text1"/>
          <w:lang w:eastAsia="es-CO"/>
        </w:rPr>
      </w:pPr>
      <w:r w:rsidRPr="00842E4F">
        <w:rPr>
          <w:rFonts w:ascii="Arial" w:hAnsi="Arial" w:cs="Arial"/>
          <w:color w:val="000000" w:themeColor="text1"/>
          <w:lang w:eastAsia="es-CO"/>
        </w:rPr>
        <w:t>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w:t>
      </w:r>
    </w:p>
    <w:p w14:paraId="0EDAA92C" w14:textId="77777777" w:rsidR="00E94D5C" w:rsidRPr="00842E4F" w:rsidRDefault="00E94D5C" w:rsidP="00E94D5C">
      <w:pPr>
        <w:spacing w:line="276" w:lineRule="auto"/>
        <w:jc w:val="both"/>
        <w:rPr>
          <w:rFonts w:ascii="Arial" w:hAnsi="Arial" w:cs="Arial"/>
          <w:color w:val="000000" w:themeColor="text1"/>
          <w:lang w:val="es-ES_tradnl"/>
        </w:rPr>
      </w:pPr>
      <w:r w:rsidRPr="00842E4F">
        <w:rPr>
          <w:rFonts w:ascii="Arial" w:hAnsi="Arial" w:cs="Arial"/>
          <w:color w:val="000000" w:themeColor="text1"/>
          <w:lang w:val="es-ES_tradnl"/>
        </w:rPr>
        <w:t>Este concepto tiene el alcance previsto en el artículo 28 del Código de Procedimiento Administrativo y de lo Contencioso Administrativo.</w:t>
      </w:r>
    </w:p>
    <w:bookmarkEnd w:id="8"/>
    <w:p w14:paraId="4E811CE0" w14:textId="38F90C24" w:rsidR="00872709" w:rsidRPr="00842E4F" w:rsidRDefault="000446AF" w:rsidP="00872709">
      <w:pPr>
        <w:spacing w:after="120" w:line="276" w:lineRule="auto"/>
        <w:jc w:val="both"/>
        <w:rPr>
          <w:rFonts w:ascii="Arial" w:eastAsia="Calibri" w:hAnsi="Arial" w:cs="Arial"/>
        </w:rPr>
      </w:pPr>
      <w:r w:rsidRPr="00842E4F">
        <w:rPr>
          <w:rFonts w:ascii="Arial" w:eastAsia="Calibri" w:hAnsi="Arial" w:cs="Arial"/>
        </w:rPr>
        <w:t xml:space="preserve">Atentamente, </w:t>
      </w:r>
    </w:p>
    <w:bookmarkEnd w:id="0"/>
    <w:p w14:paraId="3BF5126E" w14:textId="3122BBB1" w:rsidR="00135FBD" w:rsidRPr="00842E4F" w:rsidRDefault="003177DF" w:rsidP="006D3523">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lastRenderedPageBreak/>
        <w:drawing>
          <wp:inline distT="0" distB="0" distL="0" distR="0" wp14:anchorId="1C8751EA" wp14:editId="0E5E44F8">
            <wp:extent cx="2533650" cy="981075"/>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842E4F" w14:paraId="2C00F86C" w14:textId="77777777" w:rsidTr="00135FBD">
        <w:trPr>
          <w:trHeight w:val="286"/>
        </w:trPr>
        <w:tc>
          <w:tcPr>
            <w:tcW w:w="817" w:type="dxa"/>
            <w:vAlign w:val="center"/>
          </w:tcPr>
          <w:p w14:paraId="18755AA2" w14:textId="77777777" w:rsidR="00135FBD" w:rsidRPr="00842E4F" w:rsidRDefault="00135FBD" w:rsidP="00135FBD">
            <w:pPr>
              <w:spacing w:before="0"/>
              <w:rPr>
                <w:rFonts w:ascii="Arial" w:hAnsi="Arial" w:cs="Arial"/>
                <w:sz w:val="16"/>
                <w:szCs w:val="16"/>
              </w:rPr>
            </w:pPr>
            <w:r w:rsidRPr="00842E4F">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842E4F" w:rsidRDefault="00135FBD" w:rsidP="00135FBD">
            <w:pPr>
              <w:spacing w:before="0"/>
              <w:rPr>
                <w:rFonts w:ascii="Arial" w:hAnsi="Arial" w:cs="Arial"/>
                <w:sz w:val="16"/>
                <w:szCs w:val="16"/>
              </w:rPr>
            </w:pPr>
            <w:r w:rsidRPr="00842E4F">
              <w:rPr>
                <w:rFonts w:ascii="Arial" w:hAnsi="Arial" w:cs="Arial"/>
                <w:sz w:val="16"/>
                <w:szCs w:val="16"/>
              </w:rPr>
              <w:t xml:space="preserve">Diana Fabiola Herrera Hernández </w:t>
            </w:r>
          </w:p>
          <w:p w14:paraId="72792157" w14:textId="77777777" w:rsidR="00135FBD" w:rsidRPr="00842E4F" w:rsidRDefault="00135FBD" w:rsidP="00135FBD">
            <w:pPr>
              <w:spacing w:before="0"/>
              <w:rPr>
                <w:rFonts w:ascii="Arial" w:hAnsi="Arial" w:cs="Arial"/>
                <w:sz w:val="16"/>
                <w:szCs w:val="16"/>
              </w:rPr>
            </w:pPr>
            <w:r w:rsidRPr="00842E4F">
              <w:rPr>
                <w:rFonts w:ascii="Arial" w:hAnsi="Arial" w:cs="Arial"/>
                <w:sz w:val="16"/>
                <w:szCs w:val="16"/>
              </w:rPr>
              <w:t>Contratista de la Subdirección de Gestión Contractual</w:t>
            </w:r>
          </w:p>
        </w:tc>
      </w:tr>
      <w:tr w:rsidR="00035B29" w:rsidRPr="00842E4F" w14:paraId="5E0B62B1" w14:textId="77777777" w:rsidTr="00135FBD">
        <w:trPr>
          <w:trHeight w:val="286"/>
        </w:trPr>
        <w:tc>
          <w:tcPr>
            <w:tcW w:w="817" w:type="dxa"/>
            <w:vAlign w:val="center"/>
          </w:tcPr>
          <w:p w14:paraId="67EBD476" w14:textId="2D5463F7" w:rsidR="00035B29" w:rsidRPr="00842E4F" w:rsidRDefault="00035B29" w:rsidP="00135FBD">
            <w:pPr>
              <w:rPr>
                <w:rFonts w:ascii="Arial" w:hAnsi="Arial" w:cs="Arial"/>
                <w:sz w:val="16"/>
                <w:szCs w:val="16"/>
              </w:rPr>
            </w:pPr>
            <w:r w:rsidRPr="00842E4F">
              <w:rPr>
                <w:rFonts w:ascii="Arial" w:hAnsi="Arial" w:cs="Arial"/>
                <w:sz w:val="16"/>
                <w:szCs w:val="16"/>
              </w:rPr>
              <w:t>Revisó:</w:t>
            </w:r>
          </w:p>
        </w:tc>
        <w:tc>
          <w:tcPr>
            <w:tcW w:w="4445" w:type="dxa"/>
            <w:tcBorders>
              <w:bottom w:val="dotted" w:sz="4" w:space="0" w:color="7F7F7F"/>
            </w:tcBorders>
            <w:vAlign w:val="center"/>
          </w:tcPr>
          <w:p w14:paraId="67E255D9" w14:textId="6ED9BCF5" w:rsidR="00035B29" w:rsidRPr="00842E4F" w:rsidRDefault="00872709" w:rsidP="00270E5E">
            <w:pPr>
              <w:spacing w:before="0"/>
              <w:rPr>
                <w:rFonts w:ascii="Arial" w:hAnsi="Arial" w:cs="Arial"/>
                <w:sz w:val="16"/>
                <w:szCs w:val="16"/>
              </w:rPr>
            </w:pPr>
            <w:r w:rsidRPr="00842E4F">
              <w:rPr>
                <w:rFonts w:ascii="Arial" w:hAnsi="Arial" w:cs="Arial"/>
                <w:sz w:val="16"/>
                <w:szCs w:val="16"/>
              </w:rPr>
              <w:t>Sebastián Ramírez Grisales</w:t>
            </w:r>
            <w:r w:rsidR="00EC763B" w:rsidRPr="00842E4F">
              <w:rPr>
                <w:rFonts w:ascii="Arial" w:hAnsi="Arial" w:cs="Arial"/>
                <w:sz w:val="16"/>
                <w:szCs w:val="16"/>
              </w:rPr>
              <w:t xml:space="preserve"> </w:t>
            </w:r>
          </w:p>
          <w:p w14:paraId="5D4292EC" w14:textId="1B3EDCA5" w:rsidR="0046733C" w:rsidRPr="00842E4F" w:rsidRDefault="00872709" w:rsidP="00270E5E">
            <w:pPr>
              <w:spacing w:before="0"/>
              <w:rPr>
                <w:rFonts w:ascii="Arial" w:hAnsi="Arial" w:cs="Arial"/>
                <w:sz w:val="16"/>
                <w:szCs w:val="16"/>
              </w:rPr>
            </w:pPr>
            <w:r w:rsidRPr="00842E4F">
              <w:rPr>
                <w:rFonts w:ascii="Arial" w:hAnsi="Arial" w:cs="Arial"/>
                <w:sz w:val="16"/>
                <w:szCs w:val="16"/>
              </w:rPr>
              <w:t>Contratista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842E4F" w:rsidRDefault="00035B29" w:rsidP="00135FBD">
            <w:pPr>
              <w:spacing w:before="0"/>
              <w:rPr>
                <w:rFonts w:ascii="Arial" w:hAnsi="Arial" w:cs="Arial"/>
                <w:sz w:val="16"/>
                <w:szCs w:val="16"/>
              </w:rPr>
            </w:pPr>
            <w:r w:rsidRPr="00842E4F">
              <w:rPr>
                <w:rFonts w:ascii="Arial" w:hAnsi="Arial" w:cs="Arial"/>
                <w:sz w:val="16"/>
                <w:szCs w:val="16"/>
              </w:rPr>
              <w:t>Aprobó</w:t>
            </w:r>
            <w:r w:rsidR="00135FBD" w:rsidRPr="00842E4F">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842E4F" w:rsidRDefault="00361ADC" w:rsidP="00135FBD">
            <w:pPr>
              <w:spacing w:before="0"/>
              <w:rPr>
                <w:rFonts w:ascii="Arial" w:hAnsi="Arial" w:cs="Arial"/>
                <w:sz w:val="16"/>
                <w:szCs w:val="16"/>
              </w:rPr>
            </w:pPr>
            <w:r w:rsidRPr="00842E4F">
              <w:rPr>
                <w:rFonts w:ascii="Arial" w:hAnsi="Arial" w:cs="Arial"/>
                <w:sz w:val="16"/>
                <w:szCs w:val="16"/>
              </w:rPr>
              <w:t xml:space="preserve">Juan David </w:t>
            </w:r>
            <w:r w:rsidR="0012669F" w:rsidRPr="00842E4F">
              <w:rPr>
                <w:rFonts w:ascii="Arial" w:hAnsi="Arial" w:cs="Arial"/>
                <w:sz w:val="16"/>
                <w:szCs w:val="16"/>
              </w:rPr>
              <w:t>Marín López</w:t>
            </w:r>
          </w:p>
          <w:p w14:paraId="452B589A" w14:textId="66C8B399" w:rsidR="00135FBD" w:rsidRPr="00691AAC" w:rsidRDefault="00035B29" w:rsidP="00135FBD">
            <w:pPr>
              <w:spacing w:before="0"/>
              <w:rPr>
                <w:rFonts w:ascii="Arial" w:hAnsi="Arial" w:cs="Arial"/>
                <w:sz w:val="16"/>
                <w:szCs w:val="16"/>
              </w:rPr>
            </w:pPr>
            <w:r w:rsidRPr="00842E4F">
              <w:rPr>
                <w:rFonts w:ascii="Arial" w:hAnsi="Arial" w:cs="Arial"/>
                <w:sz w:val="16"/>
                <w:szCs w:val="16"/>
              </w:rPr>
              <w:t xml:space="preserve">Subdirector de Gestión Contractual </w:t>
            </w:r>
            <w:r w:rsidR="006D3523" w:rsidRPr="00842E4F">
              <w:rPr>
                <w:rFonts w:ascii="Arial" w:hAnsi="Arial" w:cs="Arial"/>
                <w:sz w:val="16"/>
                <w:szCs w:val="16"/>
              </w:rPr>
              <w:t>(E)</w:t>
            </w:r>
            <w:r w:rsidR="006D3523" w:rsidRPr="00510BFB">
              <w:rPr>
                <w:rFonts w:ascii="Arial" w:hAnsi="Arial" w:cs="Arial"/>
                <w:sz w:val="16"/>
                <w:szCs w:val="16"/>
              </w:rPr>
              <w:t xml:space="preserve"> </w:t>
            </w:r>
          </w:p>
        </w:tc>
      </w:tr>
    </w:tbl>
    <w:p w14:paraId="3E6BB58D" w14:textId="4520BAF0" w:rsidR="00135FBD" w:rsidRDefault="00135FBD"/>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7AA4" w14:textId="77777777" w:rsidR="00AD52C7" w:rsidRDefault="00AD52C7" w:rsidP="00137E23">
      <w:pPr>
        <w:spacing w:after="0" w:line="240" w:lineRule="auto"/>
      </w:pPr>
      <w:r>
        <w:separator/>
      </w:r>
    </w:p>
  </w:endnote>
  <w:endnote w:type="continuationSeparator" w:id="0">
    <w:p w14:paraId="1749D2D0" w14:textId="77777777" w:rsidR="00AD52C7" w:rsidRDefault="00AD52C7"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D3E" w14:textId="77777777" w:rsidR="006A22E4" w:rsidRDefault="006A22E4" w:rsidP="006A22E4">
    <w:pPr>
      <w:pStyle w:val="Piedepgina"/>
    </w:pPr>
    <w:r>
      <w:rPr>
        <w:noProof/>
        <w:lang w:eastAsia="es-CO"/>
      </w:rPr>
      <w:drawing>
        <wp:inline distT="0" distB="0" distL="0" distR="0" wp14:anchorId="5333C47D" wp14:editId="0405C4D5">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20"/>
      <w:gridCol w:w="844"/>
      <w:gridCol w:w="1951"/>
      <w:gridCol w:w="720"/>
      <w:gridCol w:w="2487"/>
      <w:gridCol w:w="1359"/>
    </w:tblGrid>
    <w:tr w:rsidR="006A22E4" w:rsidRPr="00080DA3" w14:paraId="41E6ED8B" w14:textId="77777777" w:rsidTr="005F650B">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DA3963E"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7C7B6BE"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BA7847"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3A53327" w14:textId="77777777" w:rsidR="006A22E4" w:rsidRPr="00080DA3" w:rsidRDefault="006A22E4" w:rsidP="006A22E4">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A846A6"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9AAFBDC" w14:textId="77777777" w:rsidR="006A22E4" w:rsidRPr="00080DA3" w:rsidRDefault="006A22E4" w:rsidP="006A22E4">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F8D118B" w14:textId="77777777" w:rsidR="006A22E4" w:rsidRPr="00080DA3" w:rsidRDefault="006A22E4" w:rsidP="006A22E4">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p>
      </w:tc>
    </w:tr>
  </w:tbl>
  <w:p w14:paraId="7F8835C6" w14:textId="77777777" w:rsidR="000E0524" w:rsidRPr="007B0854" w:rsidRDefault="00DB012B"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24DB" w14:textId="77777777" w:rsidR="00AD52C7" w:rsidRDefault="00AD52C7" w:rsidP="00137E23">
      <w:pPr>
        <w:spacing w:after="0" w:line="240" w:lineRule="auto"/>
      </w:pPr>
      <w:r>
        <w:separator/>
      </w:r>
    </w:p>
  </w:footnote>
  <w:footnote w:type="continuationSeparator" w:id="0">
    <w:p w14:paraId="6D3BB3B1" w14:textId="77777777" w:rsidR="00AD52C7" w:rsidRDefault="00AD52C7" w:rsidP="00137E23">
      <w:pPr>
        <w:spacing w:after="0" w:line="240" w:lineRule="auto"/>
      </w:pPr>
      <w:r>
        <w:continuationSeparator/>
      </w:r>
    </w:p>
  </w:footnote>
  <w:footnote w:id="1">
    <w:p w14:paraId="6169B201" w14:textId="77777777" w:rsidR="00A42059" w:rsidRPr="00E80894" w:rsidRDefault="00A42059" w:rsidP="00A42059">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w:t>
      </w:r>
    </w:p>
  </w:footnote>
  <w:footnote w:id="2">
    <w:p w14:paraId="781F33B2" w14:textId="77777777" w:rsidR="00DF55A7" w:rsidRPr="00A55D75" w:rsidRDefault="00DF55A7" w:rsidP="00DF55A7">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7B978DC4" w14:textId="77777777" w:rsidR="00DF55A7" w:rsidRPr="00A55D75" w:rsidRDefault="00DF55A7" w:rsidP="00DF55A7">
      <w:pPr>
        <w:pStyle w:val="Textonotapie"/>
        <w:ind w:firstLine="708"/>
        <w:jc w:val="both"/>
        <w:rPr>
          <w:rStyle w:val="Hipervnculo1"/>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A55D75">
          <w:rPr>
            <w:rStyle w:val="Hipervnculo1"/>
            <w:rFonts w:ascii="Arial" w:hAnsi="Arial" w:cs="Arial"/>
            <w:color w:val="000000" w:themeColor="text1"/>
            <w:sz w:val="19"/>
            <w:szCs w:val="19"/>
          </w:rPr>
          <w:t>http://leyes.senado.gov.co/proyectos/index.php/textos-radicados-senado/p-ley-2020-2021/1957-proyecto-de-ley-161-de-2020</w:t>
        </w:r>
      </w:hyperlink>
    </w:p>
    <w:p w14:paraId="00269DBB" w14:textId="77777777" w:rsidR="00DF55A7" w:rsidRPr="00A55D75" w:rsidRDefault="00DF55A7" w:rsidP="00DF55A7">
      <w:pPr>
        <w:pStyle w:val="Textonotapie"/>
        <w:ind w:firstLine="708"/>
        <w:jc w:val="both"/>
        <w:rPr>
          <w:rFonts w:ascii="Arial" w:hAnsi="Arial" w:cs="Arial"/>
          <w:color w:val="000000" w:themeColor="text1"/>
          <w:sz w:val="19"/>
          <w:szCs w:val="19"/>
        </w:rPr>
      </w:pPr>
    </w:p>
  </w:footnote>
  <w:footnote w:id="4">
    <w:p w14:paraId="647DB66B"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2 al 29.</w:t>
      </w:r>
    </w:p>
    <w:p w14:paraId="45CC1C83"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5">
    <w:p w14:paraId="426E9632"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30 al 36.</w:t>
      </w:r>
    </w:p>
    <w:p w14:paraId="2784D661"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6">
    <w:p w14:paraId="2E211564"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37 al 45.</w:t>
      </w:r>
    </w:p>
    <w:p w14:paraId="463E621D"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7">
    <w:p w14:paraId="6246C2A2"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46 al 73.</w:t>
      </w:r>
    </w:p>
    <w:p w14:paraId="4FA5A15C"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8">
    <w:p w14:paraId="202C1E77"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74 al 83.</w:t>
      </w:r>
    </w:p>
    <w:p w14:paraId="57997F1D"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9">
    <w:p w14:paraId="5C4FB00A"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821698A" w14:textId="77777777" w:rsidR="00DF55A7" w:rsidRPr="00A55D75" w:rsidRDefault="00DF55A7" w:rsidP="00DF55A7">
      <w:pPr>
        <w:pStyle w:val="Textonotapie"/>
        <w:ind w:firstLine="708"/>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primero. La definición de emprendimientos y empresas de mujeres se reglamentará por el gobierno nacional».  </w:t>
      </w:r>
    </w:p>
  </w:footnote>
  <w:footnote w:id="10">
    <w:p w14:paraId="34DAC147" w14:textId="77777777" w:rsidR="00DF55A7" w:rsidRPr="00842E4F" w:rsidRDefault="00DF55A7" w:rsidP="00C2724B">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grandes almacenes;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la definición y los criterios diferenciales para los emprendimientos y empresas de mujeres; las convocatorias limitadas 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el fomento a la ejecución de contratos estatales por parte de población en pobreza extrema, desplazados por la violencia, personas en proceso de </w:t>
      </w:r>
      <w:r w:rsidRPr="00842E4F">
        <w:rPr>
          <w:rFonts w:ascii="Arial" w:hAnsi="Arial" w:cs="Arial"/>
          <w:color w:val="000000" w:themeColor="text1"/>
          <w:sz w:val="19"/>
          <w:szCs w:val="19"/>
        </w:rPr>
        <w:t>reintegración o reincorporación y, sujetos de especial protección constitucional; así como la acreditación de los factores de desempate previstos en la Ley de Emprendimiento».</w:t>
      </w:r>
    </w:p>
  </w:footnote>
  <w:footnote w:id="11">
    <w:p w14:paraId="4F7547B3" w14:textId="322E15C1" w:rsidR="00AD4379" w:rsidRPr="00842E4F" w:rsidRDefault="00AD4379" w:rsidP="00C2724B">
      <w:pPr>
        <w:pStyle w:val="NormalWeb"/>
        <w:shd w:val="clear" w:color="auto" w:fill="FFFFFF"/>
        <w:spacing w:after="0"/>
        <w:ind w:firstLine="708"/>
        <w:jc w:val="both"/>
        <w:rPr>
          <w:rFonts w:ascii="Arial" w:hAnsi="Arial" w:cs="Arial"/>
          <w:sz w:val="19"/>
          <w:szCs w:val="19"/>
        </w:rPr>
      </w:pPr>
      <w:r w:rsidRPr="00842E4F">
        <w:rPr>
          <w:rStyle w:val="Refdenotaalpie"/>
          <w:rFonts w:ascii="Arial" w:hAnsi="Arial" w:cs="Arial"/>
          <w:sz w:val="19"/>
          <w:szCs w:val="19"/>
        </w:rPr>
        <w:footnoteRef/>
      </w:r>
      <w:r w:rsidRPr="00842E4F">
        <w:rPr>
          <w:rFonts w:ascii="Arial" w:hAnsi="Arial" w:cs="Arial"/>
          <w:sz w:val="19"/>
          <w:szCs w:val="19"/>
        </w:rPr>
        <w:t xml:space="preserve"> «ARTÍCULO  8. Vigencia y derogatorias</w:t>
      </w:r>
      <w:r w:rsidRPr="00842E4F">
        <w:rPr>
          <w:rFonts w:ascii="Arial" w:hAnsi="Arial" w:cs="Arial"/>
          <w:b/>
          <w:bCs/>
          <w:sz w:val="19"/>
          <w:szCs w:val="19"/>
        </w:rPr>
        <w:t>.</w:t>
      </w:r>
      <w:r w:rsidRPr="00842E4F">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842E4F">
          <w:rPr>
            <w:rFonts w:ascii="Arial" w:hAnsi="Arial" w:cs="Arial"/>
            <w:sz w:val="19"/>
            <w:szCs w:val="19"/>
          </w:rPr>
          <w:t>5 </w:t>
        </w:r>
      </w:hyperlink>
      <w:r w:rsidRPr="00842E4F">
        <w:rPr>
          <w:rFonts w:ascii="Arial" w:hAnsi="Arial" w:cs="Arial"/>
          <w:sz w:val="19"/>
          <w:szCs w:val="19"/>
        </w:rPr>
        <w:t>de la Sección 1 del Capítulo 2 del Título 1 de la Parte 2 del Libro 2, así como los artículos </w:t>
      </w:r>
      <w:hyperlink r:id="rId3" w:anchor="2.2.1.2.4.2.2" w:history="1">
        <w:r w:rsidRPr="00842E4F">
          <w:rPr>
            <w:rFonts w:ascii="Arial" w:hAnsi="Arial" w:cs="Arial"/>
            <w:sz w:val="19"/>
            <w:szCs w:val="19"/>
          </w:rPr>
          <w:t>2.2.1.2.4.2.2</w:t>
        </w:r>
      </w:hyperlink>
      <w:r w:rsidRPr="00842E4F">
        <w:rPr>
          <w:rFonts w:ascii="Arial" w:hAnsi="Arial" w:cs="Arial"/>
          <w:sz w:val="19"/>
          <w:szCs w:val="19"/>
        </w:rPr>
        <w:t>., </w:t>
      </w:r>
      <w:hyperlink r:id="rId4" w:anchor="2.2.1.2.4.2.3" w:history="1">
        <w:r w:rsidRPr="00842E4F">
          <w:rPr>
            <w:rFonts w:ascii="Arial" w:hAnsi="Arial" w:cs="Arial"/>
            <w:sz w:val="19"/>
            <w:szCs w:val="19"/>
          </w:rPr>
          <w:t>2.2.1.2.4.2.3</w:t>
        </w:r>
      </w:hyperlink>
      <w:r w:rsidRPr="00842E4F">
        <w:rPr>
          <w:rFonts w:ascii="Arial" w:hAnsi="Arial" w:cs="Arial"/>
          <w:sz w:val="19"/>
          <w:szCs w:val="19"/>
        </w:rPr>
        <w:t>., </w:t>
      </w:r>
      <w:hyperlink r:id="rId5" w:anchor="2.2.1.2.4.2.4" w:history="1">
        <w:r w:rsidRPr="00842E4F">
          <w:rPr>
            <w:rFonts w:ascii="Arial" w:hAnsi="Arial" w:cs="Arial"/>
            <w:sz w:val="19"/>
            <w:szCs w:val="19"/>
          </w:rPr>
          <w:t>2.2.1.2.4.2.4</w:t>
        </w:r>
      </w:hyperlink>
      <w:r w:rsidRPr="00842E4F">
        <w:rPr>
          <w:rFonts w:ascii="Arial" w:hAnsi="Arial" w:cs="Arial"/>
          <w:sz w:val="19"/>
          <w:szCs w:val="19"/>
        </w:rPr>
        <w:t>., </w:t>
      </w:r>
      <w:hyperlink r:id="rId6" w:anchor="2.2.1.2.1.2.2" w:history="1">
        <w:r w:rsidRPr="00842E4F">
          <w:rPr>
            <w:rFonts w:ascii="Arial" w:hAnsi="Arial" w:cs="Arial"/>
            <w:sz w:val="19"/>
            <w:szCs w:val="19"/>
          </w:rPr>
          <w:t>2.2.1.2.1.2.2</w:t>
        </w:r>
      </w:hyperlink>
      <w:r w:rsidRPr="00842E4F">
        <w:rPr>
          <w:rFonts w:ascii="Arial" w:hAnsi="Arial" w:cs="Arial"/>
          <w:sz w:val="19"/>
          <w:szCs w:val="19"/>
        </w:rPr>
        <w:t>. y </w:t>
      </w:r>
      <w:hyperlink r:id="rId7" w:anchor="2.2.1.2.4.2.8" w:history="1">
        <w:r w:rsidRPr="00842E4F">
          <w:rPr>
            <w:rFonts w:ascii="Arial" w:hAnsi="Arial" w:cs="Arial"/>
            <w:sz w:val="19"/>
            <w:szCs w:val="19"/>
          </w:rPr>
          <w:t>2.2.1.2.4.2.8</w:t>
        </w:r>
      </w:hyperlink>
      <w:r w:rsidRPr="00842E4F">
        <w:rPr>
          <w:rFonts w:ascii="Arial" w:hAnsi="Arial" w:cs="Arial"/>
          <w:sz w:val="19"/>
          <w:szCs w:val="19"/>
        </w:rPr>
        <w:t>.; adiciona los artículos </w:t>
      </w:r>
      <w:hyperlink r:id="rId8" w:anchor="2.2.1.2.4.2.14" w:history="1">
        <w:r w:rsidRPr="00842E4F">
          <w:rPr>
            <w:rFonts w:ascii="Arial" w:hAnsi="Arial" w:cs="Arial"/>
            <w:sz w:val="19"/>
            <w:szCs w:val="19"/>
          </w:rPr>
          <w:t>2.2.1.2.4.2.14</w:t>
        </w:r>
      </w:hyperlink>
      <w:r w:rsidRPr="00842E4F">
        <w:rPr>
          <w:rFonts w:ascii="Arial" w:hAnsi="Arial" w:cs="Arial"/>
          <w:sz w:val="19"/>
          <w:szCs w:val="19"/>
        </w:rPr>
        <w:t>., </w:t>
      </w:r>
      <w:hyperlink r:id="rId9" w:anchor="2.2.1.2.4.2.15" w:history="1">
        <w:r w:rsidRPr="00842E4F">
          <w:rPr>
            <w:rFonts w:ascii="Arial" w:hAnsi="Arial" w:cs="Arial"/>
            <w:sz w:val="19"/>
            <w:szCs w:val="19"/>
          </w:rPr>
          <w:t>2.2.1.2.4.2.15</w:t>
        </w:r>
      </w:hyperlink>
      <w:r w:rsidRPr="00842E4F">
        <w:rPr>
          <w:rFonts w:ascii="Arial" w:hAnsi="Arial" w:cs="Arial"/>
          <w:sz w:val="19"/>
          <w:szCs w:val="19"/>
        </w:rPr>
        <w:t>., </w:t>
      </w:r>
      <w:hyperlink r:id="rId10" w:anchor="2.2.1.2.4.2.16" w:history="1">
        <w:r w:rsidRPr="00842E4F">
          <w:rPr>
            <w:rFonts w:ascii="Arial" w:hAnsi="Arial" w:cs="Arial"/>
            <w:sz w:val="19"/>
            <w:szCs w:val="19"/>
          </w:rPr>
          <w:t>2.2.1.2.4.2.16</w:t>
        </w:r>
      </w:hyperlink>
      <w:r w:rsidRPr="00842E4F">
        <w:rPr>
          <w:rFonts w:ascii="Arial" w:hAnsi="Arial" w:cs="Arial"/>
          <w:sz w:val="19"/>
          <w:szCs w:val="19"/>
        </w:rPr>
        <w:t>., </w:t>
      </w:r>
      <w:hyperlink r:id="rId11" w:anchor="2.2.1.2.4.2.17" w:history="1">
        <w:r w:rsidRPr="00842E4F">
          <w:rPr>
            <w:rFonts w:ascii="Arial" w:hAnsi="Arial" w:cs="Arial"/>
            <w:sz w:val="19"/>
            <w:szCs w:val="19"/>
          </w:rPr>
          <w:t>2.2.1.2.4.2.17</w:t>
        </w:r>
      </w:hyperlink>
      <w:r w:rsidR="00C2724B">
        <w:rPr>
          <w:rFonts w:ascii="Arial" w:hAnsi="Arial" w:cs="Arial"/>
          <w:sz w:val="19"/>
          <w:szCs w:val="19"/>
        </w:rPr>
        <w:t>.</w:t>
      </w:r>
      <w:r w:rsidRPr="00842E4F">
        <w:rPr>
          <w:rFonts w:ascii="Arial" w:hAnsi="Arial" w:cs="Arial"/>
          <w:sz w:val="19"/>
          <w:szCs w:val="19"/>
        </w:rPr>
        <w:t>y </w:t>
      </w:r>
      <w:hyperlink r:id="rId12" w:anchor="2.2.1.2.4.2.18" w:history="1">
        <w:r w:rsidRPr="00842E4F">
          <w:rPr>
            <w:rFonts w:ascii="Arial" w:hAnsi="Arial" w:cs="Arial"/>
            <w:sz w:val="19"/>
            <w:szCs w:val="19"/>
          </w:rPr>
          <w:t>2.2.1.2.4.2.18</w:t>
        </w:r>
      </w:hyperlink>
      <w:r w:rsidR="00C2724B">
        <w:rPr>
          <w:rFonts w:ascii="Arial" w:hAnsi="Arial" w:cs="Arial"/>
          <w:sz w:val="19"/>
          <w:szCs w:val="19"/>
        </w:rPr>
        <w:t>.;</w:t>
      </w:r>
      <w:r w:rsidRPr="00842E4F">
        <w:rPr>
          <w:rFonts w:ascii="Arial" w:hAnsi="Arial" w:cs="Arial"/>
          <w:sz w:val="19"/>
          <w:szCs w:val="19"/>
        </w:rPr>
        <w:t>adiciona un </w:t>
      </w:r>
      <w:hyperlink r:id="rId13" w:anchor="2.2.1.2.3.1.9.p" w:history="1">
        <w:r w:rsidRPr="00842E4F">
          <w:rPr>
            <w:rFonts w:ascii="Arial" w:hAnsi="Arial" w:cs="Arial"/>
            <w:sz w:val="19"/>
            <w:szCs w:val="19"/>
          </w:rPr>
          <w:t>parágrafo </w:t>
        </w:r>
      </w:hyperlink>
      <w:r w:rsidRPr="00842E4F">
        <w:rPr>
          <w:rFonts w:ascii="Arial" w:hAnsi="Arial" w:cs="Arial"/>
          <w:sz w:val="19"/>
          <w:szCs w:val="19"/>
        </w:rPr>
        <w:t>al artículo </w:t>
      </w:r>
      <w:hyperlink r:id="rId14" w:anchor="2.2.1.2.3.1.9" w:history="1">
        <w:r w:rsidRPr="00842E4F">
          <w:rPr>
            <w:rFonts w:ascii="Arial" w:hAnsi="Arial" w:cs="Arial"/>
            <w:sz w:val="19"/>
            <w:szCs w:val="19"/>
          </w:rPr>
          <w:t>2.2.1.2.3.1.9</w:t>
        </w:r>
      </w:hyperlink>
      <w:r w:rsidRPr="00842E4F">
        <w:rPr>
          <w:rFonts w:ascii="Arial" w:hAnsi="Arial" w:cs="Arial"/>
          <w:sz w:val="19"/>
          <w:szCs w:val="19"/>
        </w:rPr>
        <w:t>; y deroga el artículo </w:t>
      </w:r>
      <w:hyperlink r:id="rId15" w:anchor="2.2.1.1.2.2.9" w:history="1">
        <w:r w:rsidRPr="00842E4F">
          <w:rPr>
            <w:rFonts w:ascii="Arial" w:hAnsi="Arial" w:cs="Arial"/>
            <w:sz w:val="19"/>
            <w:szCs w:val="19"/>
          </w:rPr>
          <w:t>2.2.1.1.2.2.9</w:t>
        </w:r>
      </w:hyperlink>
      <w:r w:rsidRPr="00842E4F">
        <w:rPr>
          <w:rFonts w:ascii="Arial" w:hAnsi="Arial" w:cs="Arial"/>
          <w:sz w:val="19"/>
          <w:szCs w:val="19"/>
        </w:rPr>
        <w:t>. del Decreto 1082 de 2015, Único Reglamentario del Sector Administrativo de Planeación Nacional.</w:t>
      </w:r>
    </w:p>
    <w:p w14:paraId="614C7BC3" w14:textId="77777777" w:rsidR="00AD4379" w:rsidRPr="00E74C09" w:rsidRDefault="00AD4379" w:rsidP="00C2724B">
      <w:pPr>
        <w:pStyle w:val="NormalWeb"/>
        <w:shd w:val="clear" w:color="auto" w:fill="FFFFFF"/>
        <w:spacing w:after="0"/>
        <w:ind w:firstLine="708"/>
        <w:jc w:val="both"/>
        <w:rPr>
          <w:rFonts w:ascii="Arial" w:hAnsi="Arial" w:cs="Arial"/>
          <w:sz w:val="19"/>
          <w:szCs w:val="19"/>
        </w:rPr>
      </w:pPr>
      <w:r w:rsidRPr="00842E4F">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w:t>
      </w:r>
      <w:r w:rsidRPr="00E74C09">
        <w:rPr>
          <w:rFonts w:ascii="Arial" w:hAnsi="Arial" w:cs="Arial"/>
          <w:sz w:val="19"/>
          <w:szCs w:val="19"/>
        </w:rPr>
        <w:t xml:space="preserve"> Compra Eficiente expida las modificaciones a que haya lugar, conforme con las disposiciones de esta reglamentación.</w:t>
      </w:r>
    </w:p>
    <w:p w14:paraId="4E34CA98" w14:textId="77777777" w:rsidR="00AD4379" w:rsidRPr="00E74C09" w:rsidRDefault="00AD4379" w:rsidP="00C2724B">
      <w:pPr>
        <w:pStyle w:val="NormalWeb"/>
        <w:shd w:val="clear" w:color="auto" w:fill="FFFFFF"/>
        <w:spacing w:after="0"/>
        <w:ind w:firstLine="708"/>
        <w:jc w:val="both"/>
        <w:rPr>
          <w:rFonts w:ascii="Arial" w:hAnsi="Arial" w:cs="Arial"/>
          <w:sz w:val="19"/>
          <w:szCs w:val="19"/>
        </w:rPr>
      </w:pPr>
      <w:r w:rsidRPr="00E74C09">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5A4D127E" w14:textId="77777777" w:rsidR="00AD4379" w:rsidRPr="00573101" w:rsidRDefault="00AD4379" w:rsidP="00AD4379">
      <w:pPr>
        <w:pStyle w:val="Textonotapie"/>
        <w:jc w:val="both"/>
        <w:rPr>
          <w:rFonts w:ascii="Arial" w:hAnsi="Arial" w:cs="Arial"/>
          <w:sz w:val="19"/>
          <w:szCs w:val="19"/>
          <w:lang w:val="es-CO"/>
        </w:rPr>
      </w:pPr>
    </w:p>
  </w:footnote>
  <w:footnote w:id="12">
    <w:p w14:paraId="40F05276" w14:textId="77777777" w:rsidR="00DF55A7" w:rsidRPr="00A55D75" w:rsidRDefault="00DF55A7" w:rsidP="00DF55A7">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w:t>
      </w:r>
      <w:proofErr w:type="gramStart"/>
      <w:r w:rsidRPr="00A55D75">
        <w:rPr>
          <w:rFonts w:ascii="Arial" w:hAnsi="Arial" w:cs="Arial"/>
          <w:color w:val="000000" w:themeColor="text1"/>
          <w:sz w:val="19"/>
          <w:szCs w:val="19"/>
        </w:rPr>
        <w:t>la misma</w:t>
      </w:r>
      <w:proofErr w:type="gramEnd"/>
      <w:r w:rsidRPr="00A55D75">
        <w:rPr>
          <w:rFonts w:ascii="Arial" w:hAnsi="Arial" w:cs="Arial"/>
          <w:color w:val="000000" w:themeColor="text1"/>
          <w:sz w:val="19"/>
          <w:szCs w:val="19"/>
        </w:rPr>
        <w:t>».</w:t>
      </w:r>
    </w:p>
    <w:p w14:paraId="5E9855C7" w14:textId="77777777" w:rsidR="00DF55A7" w:rsidRPr="00A55D75" w:rsidRDefault="00DF55A7" w:rsidP="00DF55A7">
      <w:pPr>
        <w:pStyle w:val="Textonotapie"/>
        <w:ind w:firstLine="708"/>
        <w:jc w:val="both"/>
        <w:rPr>
          <w:rFonts w:ascii="Arial" w:hAnsi="Arial" w:cs="Arial"/>
          <w:color w:val="000000" w:themeColor="text1"/>
          <w:sz w:val="19"/>
          <w:szCs w:val="19"/>
        </w:rPr>
      </w:pPr>
    </w:p>
  </w:footnote>
  <w:footnote w:id="13">
    <w:p w14:paraId="151F9620" w14:textId="77777777" w:rsidR="00DF55A7" w:rsidRPr="00A55D75" w:rsidRDefault="00DF55A7" w:rsidP="00DF55A7">
      <w:pPr>
        <w:pStyle w:val="NormalWeb"/>
        <w:spacing w:after="0"/>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Código Civil Colombiano «Artículo 27. Cuando el sentido de la ley sea claro, no se desatenderá su tenor literal a pretexto de consultar su espíritu. </w:t>
      </w:r>
    </w:p>
    <w:p w14:paraId="5E2C1972" w14:textId="78460C70" w:rsidR="00DF55A7" w:rsidRPr="00A55D75" w:rsidRDefault="00DF55A7" w:rsidP="00311237">
      <w:pPr>
        <w:jc w:val="both"/>
        <w:rPr>
          <w:rFonts w:ascii="Arial" w:hAnsi="Arial" w:cs="Arial"/>
          <w:color w:val="000000" w:themeColor="text1"/>
          <w:sz w:val="19"/>
          <w:szCs w:val="19"/>
          <w:lang w:eastAsia="es-CO"/>
        </w:rPr>
      </w:pPr>
      <w:r w:rsidRPr="00A55D75">
        <w:rPr>
          <w:rFonts w:ascii="Arial" w:hAnsi="Arial" w:cs="Arial"/>
          <w:color w:val="000000" w:themeColor="text1"/>
          <w:sz w:val="19"/>
          <w:szCs w:val="19"/>
          <w:lang w:eastAsia="es-CO"/>
        </w:rPr>
        <w:t>  </w:t>
      </w:r>
      <w:r w:rsidRPr="00A55D75">
        <w:rPr>
          <w:rFonts w:ascii="Arial" w:hAnsi="Arial" w:cs="Arial"/>
          <w:color w:val="000000" w:themeColor="text1"/>
          <w:sz w:val="19"/>
          <w:szCs w:val="19"/>
          <w:lang w:eastAsia="es-CO"/>
        </w:rPr>
        <w:tab/>
        <w:t>»Pero bien se puede, para interpretar una expresión </w:t>
      </w:r>
      <w:r w:rsidRPr="00A55D75">
        <w:rPr>
          <w:rFonts w:ascii="Arial" w:hAnsi="Arial" w:cs="Arial"/>
          <w:i/>
          <w:iCs/>
          <w:color w:val="000000" w:themeColor="text1"/>
          <w:sz w:val="19"/>
          <w:szCs w:val="19"/>
          <w:lang w:eastAsia="es-CO"/>
        </w:rPr>
        <w:t>oscura</w:t>
      </w:r>
      <w:r w:rsidRPr="00A55D75">
        <w:rPr>
          <w:rFonts w:ascii="Arial" w:hAnsi="Arial" w:cs="Arial"/>
          <w:color w:val="000000" w:themeColor="text1"/>
          <w:sz w:val="19"/>
          <w:szCs w:val="19"/>
          <w:lang w:eastAsia="es-CO"/>
        </w:rPr>
        <w:t> de la ley, recurrir a su intención o espíritu, claramente manifestados en ella misma o en la historia fidedigna de su establecimiento». </w:t>
      </w:r>
    </w:p>
  </w:footnote>
  <w:footnote w:id="14">
    <w:p w14:paraId="5CD925AB"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187099C"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»1. Tiempo de experiencia. </w:t>
      </w:r>
    </w:p>
    <w:p w14:paraId="04885C26"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»2. Número de contratos para la acreditación de la experiencia. </w:t>
      </w:r>
    </w:p>
    <w:p w14:paraId="7E43D34D"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»3. Índices de capacidad financiera. </w:t>
      </w:r>
    </w:p>
    <w:p w14:paraId="0B0E255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»4. Índices de capacidad organizacional. </w:t>
      </w:r>
    </w:p>
    <w:p w14:paraId="38BB318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»5. Valor de la garantía de seriedad de la oferta. </w:t>
      </w:r>
    </w:p>
    <w:p w14:paraId="0067E75B"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2D234356"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CDAF35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6B62234"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44AF751"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4E75" w14:textId="3607C568" w:rsidR="000E0524" w:rsidRDefault="006A22E4">
    <w:pPr>
      <w:pStyle w:val="Encabezado"/>
    </w:pPr>
    <w:r>
      <w:rPr>
        <w:noProof/>
        <w:lang w:eastAsia="es-CO"/>
      </w:rPr>
      <w:drawing>
        <wp:anchor distT="0" distB="0" distL="114300" distR="114300" simplePos="0" relativeHeight="251659264" behindDoc="0" locked="0" layoutInCell="1" allowOverlap="1" wp14:anchorId="6DE7BD85" wp14:editId="06F10877">
          <wp:simplePos x="0" y="0"/>
          <wp:positionH relativeFrom="margin">
            <wp:posOffset>4749165</wp:posOffset>
          </wp:positionH>
          <wp:positionV relativeFrom="paragraph">
            <wp:posOffset>108585</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3294" cy="599201"/>
                  </a:xfrm>
                  <a:prstGeom prst="rect">
                    <a:avLst/>
                  </a:prstGeom>
                </pic:spPr>
              </pic:pic>
            </a:graphicData>
          </a:graphic>
          <wp14:sizeRelH relativeFrom="page">
            <wp14:pctWidth>0</wp14:pctWidth>
          </wp14:sizeRelH>
          <wp14:sizeRelV relativeFrom="page">
            <wp14:pctHeight>0</wp14:pctHeight>
          </wp14:sizeRelV>
        </wp:anchor>
      </w:drawing>
    </w:r>
  </w:p>
  <w:p w14:paraId="6703A5C2" w14:textId="5854532D" w:rsidR="000E0524" w:rsidRDefault="00DB012B">
    <w:pPr>
      <w:pStyle w:val="Encabezado"/>
    </w:pPr>
  </w:p>
  <w:p w14:paraId="11FAF9B7" w14:textId="77777777" w:rsidR="000E0524" w:rsidRDefault="00DB012B">
    <w:pPr>
      <w:pStyle w:val="Encabezado"/>
    </w:pPr>
  </w:p>
  <w:p w14:paraId="644AAD15" w14:textId="77777777" w:rsidR="000E0524" w:rsidRDefault="00DB012B">
    <w:pPr>
      <w:pStyle w:val="Encabezado"/>
    </w:pPr>
  </w:p>
  <w:p w14:paraId="1FDEE309" w14:textId="77777777" w:rsidR="000E0524" w:rsidRDefault="00DB01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050110">
    <w:abstractNumId w:val="3"/>
  </w:num>
  <w:num w:numId="2" w16cid:durableId="7681143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93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238555">
    <w:abstractNumId w:val="1"/>
  </w:num>
  <w:num w:numId="5" w16cid:durableId="570820428">
    <w:abstractNumId w:val="2"/>
  </w:num>
  <w:num w:numId="6" w16cid:durableId="1937598001">
    <w:abstractNumId w:val="5"/>
  </w:num>
  <w:num w:numId="7" w16cid:durableId="1498879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35B29"/>
    <w:rsid w:val="000360FA"/>
    <w:rsid w:val="000446AF"/>
    <w:rsid w:val="0006071F"/>
    <w:rsid w:val="00062600"/>
    <w:rsid w:val="00064152"/>
    <w:rsid w:val="00080181"/>
    <w:rsid w:val="000948A6"/>
    <w:rsid w:val="000A1E6B"/>
    <w:rsid w:val="000B175F"/>
    <w:rsid w:val="000B17A0"/>
    <w:rsid w:val="000C7F7B"/>
    <w:rsid w:val="000D37CE"/>
    <w:rsid w:val="000E0118"/>
    <w:rsid w:val="000E694B"/>
    <w:rsid w:val="000F3464"/>
    <w:rsid w:val="000F494E"/>
    <w:rsid w:val="000F4974"/>
    <w:rsid w:val="00105A22"/>
    <w:rsid w:val="00105C88"/>
    <w:rsid w:val="00106E68"/>
    <w:rsid w:val="00110BEB"/>
    <w:rsid w:val="00112AE8"/>
    <w:rsid w:val="00113845"/>
    <w:rsid w:val="001138C2"/>
    <w:rsid w:val="001160D2"/>
    <w:rsid w:val="00125568"/>
    <w:rsid w:val="0012669F"/>
    <w:rsid w:val="001274E9"/>
    <w:rsid w:val="00135FBD"/>
    <w:rsid w:val="00137E23"/>
    <w:rsid w:val="00140435"/>
    <w:rsid w:val="00141896"/>
    <w:rsid w:val="00143096"/>
    <w:rsid w:val="00143E3B"/>
    <w:rsid w:val="00146ED0"/>
    <w:rsid w:val="00160946"/>
    <w:rsid w:val="00161488"/>
    <w:rsid w:val="00163D53"/>
    <w:rsid w:val="001676FE"/>
    <w:rsid w:val="001738E7"/>
    <w:rsid w:val="00180F7C"/>
    <w:rsid w:val="001843A9"/>
    <w:rsid w:val="001B3684"/>
    <w:rsid w:val="001B3693"/>
    <w:rsid w:val="001D387D"/>
    <w:rsid w:val="001D3CAB"/>
    <w:rsid w:val="001E24B3"/>
    <w:rsid w:val="001F057D"/>
    <w:rsid w:val="002213DA"/>
    <w:rsid w:val="002223F1"/>
    <w:rsid w:val="002249F9"/>
    <w:rsid w:val="00244370"/>
    <w:rsid w:val="00245150"/>
    <w:rsid w:val="002500ED"/>
    <w:rsid w:val="00265F9F"/>
    <w:rsid w:val="00270570"/>
    <w:rsid w:val="00270E5E"/>
    <w:rsid w:val="00276FCC"/>
    <w:rsid w:val="00296BF5"/>
    <w:rsid w:val="0029739D"/>
    <w:rsid w:val="002A4E3C"/>
    <w:rsid w:val="002A5E9A"/>
    <w:rsid w:val="002B19FB"/>
    <w:rsid w:val="002B5060"/>
    <w:rsid w:val="002B7B8F"/>
    <w:rsid w:val="002D4402"/>
    <w:rsid w:val="002D45F2"/>
    <w:rsid w:val="002D72D7"/>
    <w:rsid w:val="002E143C"/>
    <w:rsid w:val="002E2585"/>
    <w:rsid w:val="002E4537"/>
    <w:rsid w:val="002E7A7F"/>
    <w:rsid w:val="00305F12"/>
    <w:rsid w:val="00311237"/>
    <w:rsid w:val="003120AF"/>
    <w:rsid w:val="00313E5A"/>
    <w:rsid w:val="003177DF"/>
    <w:rsid w:val="003255AD"/>
    <w:rsid w:val="00327A12"/>
    <w:rsid w:val="003303C6"/>
    <w:rsid w:val="003312CF"/>
    <w:rsid w:val="00332A1E"/>
    <w:rsid w:val="00342268"/>
    <w:rsid w:val="00342A1C"/>
    <w:rsid w:val="0035022D"/>
    <w:rsid w:val="003602F7"/>
    <w:rsid w:val="00361ADC"/>
    <w:rsid w:val="00363469"/>
    <w:rsid w:val="003753EA"/>
    <w:rsid w:val="0038155E"/>
    <w:rsid w:val="003816CD"/>
    <w:rsid w:val="00383906"/>
    <w:rsid w:val="0038763D"/>
    <w:rsid w:val="003916E5"/>
    <w:rsid w:val="0039522B"/>
    <w:rsid w:val="0039589F"/>
    <w:rsid w:val="003A1172"/>
    <w:rsid w:val="003A1C61"/>
    <w:rsid w:val="003A7142"/>
    <w:rsid w:val="003A7A79"/>
    <w:rsid w:val="003B177A"/>
    <w:rsid w:val="003C1D98"/>
    <w:rsid w:val="003C4AA9"/>
    <w:rsid w:val="003C51B4"/>
    <w:rsid w:val="00400976"/>
    <w:rsid w:val="00402AE8"/>
    <w:rsid w:val="004052CC"/>
    <w:rsid w:val="004141A3"/>
    <w:rsid w:val="00415314"/>
    <w:rsid w:val="00423644"/>
    <w:rsid w:val="00431DE3"/>
    <w:rsid w:val="004460CB"/>
    <w:rsid w:val="00446B96"/>
    <w:rsid w:val="004634E5"/>
    <w:rsid w:val="00466A8F"/>
    <w:rsid w:val="0046733C"/>
    <w:rsid w:val="0048163B"/>
    <w:rsid w:val="00485BD5"/>
    <w:rsid w:val="004875A5"/>
    <w:rsid w:val="00491536"/>
    <w:rsid w:val="004C7B7A"/>
    <w:rsid w:val="004D08A2"/>
    <w:rsid w:val="004F1523"/>
    <w:rsid w:val="004F5DD8"/>
    <w:rsid w:val="00510BFB"/>
    <w:rsid w:val="00513144"/>
    <w:rsid w:val="00513D68"/>
    <w:rsid w:val="00514F32"/>
    <w:rsid w:val="005209DB"/>
    <w:rsid w:val="00521A09"/>
    <w:rsid w:val="00531FBC"/>
    <w:rsid w:val="005553B1"/>
    <w:rsid w:val="00564B0A"/>
    <w:rsid w:val="00585CB4"/>
    <w:rsid w:val="005A3F16"/>
    <w:rsid w:val="005B3920"/>
    <w:rsid w:val="005B55E5"/>
    <w:rsid w:val="005C269F"/>
    <w:rsid w:val="005C597A"/>
    <w:rsid w:val="005D4C4F"/>
    <w:rsid w:val="005D6A81"/>
    <w:rsid w:val="005E5EC6"/>
    <w:rsid w:val="005F6209"/>
    <w:rsid w:val="005F79D5"/>
    <w:rsid w:val="00620A5D"/>
    <w:rsid w:val="00623ADD"/>
    <w:rsid w:val="006243B0"/>
    <w:rsid w:val="006408BD"/>
    <w:rsid w:val="00661CDD"/>
    <w:rsid w:val="00662DF1"/>
    <w:rsid w:val="0066416F"/>
    <w:rsid w:val="00680F7A"/>
    <w:rsid w:val="00681ECF"/>
    <w:rsid w:val="00692E0A"/>
    <w:rsid w:val="006A22E4"/>
    <w:rsid w:val="006A25E1"/>
    <w:rsid w:val="006D21AA"/>
    <w:rsid w:val="006D3523"/>
    <w:rsid w:val="006D3709"/>
    <w:rsid w:val="006D569D"/>
    <w:rsid w:val="006D7717"/>
    <w:rsid w:val="006E6F75"/>
    <w:rsid w:val="006F417B"/>
    <w:rsid w:val="00700298"/>
    <w:rsid w:val="00705FC8"/>
    <w:rsid w:val="007139A5"/>
    <w:rsid w:val="00715A2E"/>
    <w:rsid w:val="00722CFF"/>
    <w:rsid w:val="007252E2"/>
    <w:rsid w:val="0073319C"/>
    <w:rsid w:val="00733A0B"/>
    <w:rsid w:val="0073635D"/>
    <w:rsid w:val="00741F1E"/>
    <w:rsid w:val="00742C24"/>
    <w:rsid w:val="007523A6"/>
    <w:rsid w:val="00753BE7"/>
    <w:rsid w:val="00772E6E"/>
    <w:rsid w:val="007768CE"/>
    <w:rsid w:val="00776BBD"/>
    <w:rsid w:val="007774C6"/>
    <w:rsid w:val="00777F97"/>
    <w:rsid w:val="00792318"/>
    <w:rsid w:val="00792CE5"/>
    <w:rsid w:val="00795527"/>
    <w:rsid w:val="00796ECE"/>
    <w:rsid w:val="007979A2"/>
    <w:rsid w:val="007A01C3"/>
    <w:rsid w:val="007A75A0"/>
    <w:rsid w:val="007B08AC"/>
    <w:rsid w:val="007B7C8D"/>
    <w:rsid w:val="007C00FA"/>
    <w:rsid w:val="007C3193"/>
    <w:rsid w:val="007D1469"/>
    <w:rsid w:val="007D1E2B"/>
    <w:rsid w:val="007E085E"/>
    <w:rsid w:val="007E14A3"/>
    <w:rsid w:val="007E56D6"/>
    <w:rsid w:val="007F742D"/>
    <w:rsid w:val="00805E08"/>
    <w:rsid w:val="0080741E"/>
    <w:rsid w:val="00814DCC"/>
    <w:rsid w:val="0082522E"/>
    <w:rsid w:val="00830AB8"/>
    <w:rsid w:val="00836DE6"/>
    <w:rsid w:val="00842E4F"/>
    <w:rsid w:val="00852371"/>
    <w:rsid w:val="00872709"/>
    <w:rsid w:val="008766CF"/>
    <w:rsid w:val="00876B50"/>
    <w:rsid w:val="00881F9F"/>
    <w:rsid w:val="00892F74"/>
    <w:rsid w:val="008A05B7"/>
    <w:rsid w:val="008A3E73"/>
    <w:rsid w:val="008A40A9"/>
    <w:rsid w:val="008A6B58"/>
    <w:rsid w:val="008B1801"/>
    <w:rsid w:val="008B1F27"/>
    <w:rsid w:val="008B3F0D"/>
    <w:rsid w:val="008B69D4"/>
    <w:rsid w:val="008B783F"/>
    <w:rsid w:val="008C0F06"/>
    <w:rsid w:val="008C23F3"/>
    <w:rsid w:val="008C522E"/>
    <w:rsid w:val="008D648B"/>
    <w:rsid w:val="008E0D51"/>
    <w:rsid w:val="008E3D3C"/>
    <w:rsid w:val="008E4793"/>
    <w:rsid w:val="008F22D0"/>
    <w:rsid w:val="008F2381"/>
    <w:rsid w:val="008F7C0F"/>
    <w:rsid w:val="00900F79"/>
    <w:rsid w:val="00922868"/>
    <w:rsid w:val="00926EB3"/>
    <w:rsid w:val="009271C4"/>
    <w:rsid w:val="00935588"/>
    <w:rsid w:val="00935C52"/>
    <w:rsid w:val="00936811"/>
    <w:rsid w:val="00936877"/>
    <w:rsid w:val="00947102"/>
    <w:rsid w:val="009523D4"/>
    <w:rsid w:val="00953264"/>
    <w:rsid w:val="00954527"/>
    <w:rsid w:val="00963F50"/>
    <w:rsid w:val="0096530C"/>
    <w:rsid w:val="0096558F"/>
    <w:rsid w:val="00974DA1"/>
    <w:rsid w:val="009800E4"/>
    <w:rsid w:val="009820AE"/>
    <w:rsid w:val="009831D2"/>
    <w:rsid w:val="00992F7F"/>
    <w:rsid w:val="0099583D"/>
    <w:rsid w:val="009978CE"/>
    <w:rsid w:val="009A2C90"/>
    <w:rsid w:val="009A7A85"/>
    <w:rsid w:val="009D1F65"/>
    <w:rsid w:val="009E2D00"/>
    <w:rsid w:val="009F248A"/>
    <w:rsid w:val="009F716A"/>
    <w:rsid w:val="00A03DF9"/>
    <w:rsid w:val="00A11454"/>
    <w:rsid w:val="00A2414D"/>
    <w:rsid w:val="00A30642"/>
    <w:rsid w:val="00A312D2"/>
    <w:rsid w:val="00A330E4"/>
    <w:rsid w:val="00A42059"/>
    <w:rsid w:val="00A46EE2"/>
    <w:rsid w:val="00A5043E"/>
    <w:rsid w:val="00A54345"/>
    <w:rsid w:val="00A74067"/>
    <w:rsid w:val="00A76848"/>
    <w:rsid w:val="00A805AD"/>
    <w:rsid w:val="00A81D15"/>
    <w:rsid w:val="00A85245"/>
    <w:rsid w:val="00A90992"/>
    <w:rsid w:val="00A934FA"/>
    <w:rsid w:val="00AA29DB"/>
    <w:rsid w:val="00AA5A4A"/>
    <w:rsid w:val="00AA7580"/>
    <w:rsid w:val="00AB1B4B"/>
    <w:rsid w:val="00AC0D56"/>
    <w:rsid w:val="00AC141D"/>
    <w:rsid w:val="00AC4C63"/>
    <w:rsid w:val="00AD4379"/>
    <w:rsid w:val="00AD52C7"/>
    <w:rsid w:val="00AE4DF9"/>
    <w:rsid w:val="00AE5FD6"/>
    <w:rsid w:val="00AE7E21"/>
    <w:rsid w:val="00AF1735"/>
    <w:rsid w:val="00B054A5"/>
    <w:rsid w:val="00B12226"/>
    <w:rsid w:val="00B264E1"/>
    <w:rsid w:val="00B32221"/>
    <w:rsid w:val="00B42724"/>
    <w:rsid w:val="00B46B01"/>
    <w:rsid w:val="00B51C4D"/>
    <w:rsid w:val="00B52986"/>
    <w:rsid w:val="00B57B5E"/>
    <w:rsid w:val="00B6004F"/>
    <w:rsid w:val="00B83B50"/>
    <w:rsid w:val="00B87D51"/>
    <w:rsid w:val="00B91DD0"/>
    <w:rsid w:val="00B93232"/>
    <w:rsid w:val="00BA3777"/>
    <w:rsid w:val="00BA44B8"/>
    <w:rsid w:val="00BB5EB1"/>
    <w:rsid w:val="00BE0307"/>
    <w:rsid w:val="00BE0A45"/>
    <w:rsid w:val="00BE697C"/>
    <w:rsid w:val="00C0361C"/>
    <w:rsid w:val="00C04236"/>
    <w:rsid w:val="00C04C53"/>
    <w:rsid w:val="00C06717"/>
    <w:rsid w:val="00C06B8F"/>
    <w:rsid w:val="00C1261C"/>
    <w:rsid w:val="00C220AF"/>
    <w:rsid w:val="00C2724B"/>
    <w:rsid w:val="00C35490"/>
    <w:rsid w:val="00C55971"/>
    <w:rsid w:val="00C56D96"/>
    <w:rsid w:val="00C77B67"/>
    <w:rsid w:val="00C8019E"/>
    <w:rsid w:val="00CA30F2"/>
    <w:rsid w:val="00CB37C5"/>
    <w:rsid w:val="00CC4B5F"/>
    <w:rsid w:val="00CC59A5"/>
    <w:rsid w:val="00CC679B"/>
    <w:rsid w:val="00CD7957"/>
    <w:rsid w:val="00CE184B"/>
    <w:rsid w:val="00CF4FBA"/>
    <w:rsid w:val="00CF5444"/>
    <w:rsid w:val="00CF77FF"/>
    <w:rsid w:val="00D0322E"/>
    <w:rsid w:val="00D06B09"/>
    <w:rsid w:val="00D11432"/>
    <w:rsid w:val="00D2300D"/>
    <w:rsid w:val="00D330CF"/>
    <w:rsid w:val="00D351D8"/>
    <w:rsid w:val="00D41307"/>
    <w:rsid w:val="00D427A7"/>
    <w:rsid w:val="00D52443"/>
    <w:rsid w:val="00D55903"/>
    <w:rsid w:val="00D57D87"/>
    <w:rsid w:val="00D62CA4"/>
    <w:rsid w:val="00D6487A"/>
    <w:rsid w:val="00D65A59"/>
    <w:rsid w:val="00D702B8"/>
    <w:rsid w:val="00D74F81"/>
    <w:rsid w:val="00D812EF"/>
    <w:rsid w:val="00DA5C08"/>
    <w:rsid w:val="00DA6F89"/>
    <w:rsid w:val="00DB012B"/>
    <w:rsid w:val="00DB44F8"/>
    <w:rsid w:val="00DC58FD"/>
    <w:rsid w:val="00DE40F7"/>
    <w:rsid w:val="00DE6321"/>
    <w:rsid w:val="00DF0396"/>
    <w:rsid w:val="00DF1B3A"/>
    <w:rsid w:val="00DF392A"/>
    <w:rsid w:val="00DF55A7"/>
    <w:rsid w:val="00E03DA8"/>
    <w:rsid w:val="00E064A1"/>
    <w:rsid w:val="00E079B8"/>
    <w:rsid w:val="00E27E6F"/>
    <w:rsid w:val="00E3734C"/>
    <w:rsid w:val="00E40767"/>
    <w:rsid w:val="00E4514D"/>
    <w:rsid w:val="00E520EC"/>
    <w:rsid w:val="00E562D9"/>
    <w:rsid w:val="00E62C8E"/>
    <w:rsid w:val="00E64BCF"/>
    <w:rsid w:val="00E65F3C"/>
    <w:rsid w:val="00E66B0F"/>
    <w:rsid w:val="00E6736E"/>
    <w:rsid w:val="00E7047D"/>
    <w:rsid w:val="00E74F5B"/>
    <w:rsid w:val="00E90BCF"/>
    <w:rsid w:val="00E94D5C"/>
    <w:rsid w:val="00EA19FB"/>
    <w:rsid w:val="00EA2421"/>
    <w:rsid w:val="00EA3810"/>
    <w:rsid w:val="00EA5464"/>
    <w:rsid w:val="00EB3817"/>
    <w:rsid w:val="00EB4D78"/>
    <w:rsid w:val="00EB68A8"/>
    <w:rsid w:val="00EC388B"/>
    <w:rsid w:val="00EC5890"/>
    <w:rsid w:val="00EC763B"/>
    <w:rsid w:val="00EE5A73"/>
    <w:rsid w:val="00EE6ED7"/>
    <w:rsid w:val="00EF2364"/>
    <w:rsid w:val="00EF35CA"/>
    <w:rsid w:val="00F102C4"/>
    <w:rsid w:val="00F13B14"/>
    <w:rsid w:val="00F26993"/>
    <w:rsid w:val="00F27A05"/>
    <w:rsid w:val="00F37516"/>
    <w:rsid w:val="00F42816"/>
    <w:rsid w:val="00F4543B"/>
    <w:rsid w:val="00F47F0C"/>
    <w:rsid w:val="00F509EB"/>
    <w:rsid w:val="00F5367A"/>
    <w:rsid w:val="00F628C3"/>
    <w:rsid w:val="00F632EF"/>
    <w:rsid w:val="00F717E0"/>
    <w:rsid w:val="00F93DF9"/>
    <w:rsid w:val="00FA6BB4"/>
    <w:rsid w:val="00FB6BCC"/>
    <w:rsid w:val="00FC40FF"/>
    <w:rsid w:val="00FD1A31"/>
    <w:rsid w:val="00FD4380"/>
    <w:rsid w:val="00FF003F"/>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F8"/>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rsid w:val="00DF55A7"/>
    <w:rPr>
      <w:rFonts w:ascii="Times New Roman" w:hAnsi="Times New Roman" w:cs="Times New Roman"/>
      <w:sz w:val="24"/>
      <w:szCs w:val="24"/>
    </w:rPr>
  </w:style>
  <w:style w:type="character" w:customStyle="1" w:styleId="Hipervnculo1">
    <w:name w:val="Hipervínculo1"/>
    <w:basedOn w:val="Fuentedeprrafopredeter"/>
    <w:uiPriority w:val="99"/>
    <w:unhideWhenUsed/>
    <w:rsid w:val="00DF55A7"/>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2.xml><?xml version="1.0" encoding="utf-8"?>
<ds:datastoreItem xmlns:ds="http://schemas.openxmlformats.org/officeDocument/2006/customXml" ds:itemID="{6F2178CB-09CB-4E4B-B4F7-4F4EC2EB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03E8100-0E01-444B-9C8C-2BE2703D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5717</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2</cp:revision>
  <dcterms:created xsi:type="dcterms:W3CDTF">2022-08-31T13:29:00Z</dcterms:created>
  <dcterms:modified xsi:type="dcterms:W3CDTF">2022-08-31T13:29:00Z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