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5096" w14:textId="77777777" w:rsidR="00857299" w:rsidRDefault="00857299" w:rsidP="0010548D">
      <w:pPr>
        <w:pStyle w:val="InviasNormal"/>
        <w:spacing w:before="0" w:after="0"/>
        <w:jc w:val="right"/>
        <w:rPr>
          <w:b/>
          <w:color w:val="auto"/>
          <w:sz w:val="20"/>
          <w:szCs w:val="20"/>
        </w:rPr>
      </w:pPr>
      <w:bookmarkStart w:id="0" w:name="_Hlk34041509"/>
      <w:bookmarkEnd w:id="0"/>
    </w:p>
    <w:p w14:paraId="36B83BB3" w14:textId="77777777" w:rsidR="00857299" w:rsidRDefault="00857299" w:rsidP="0010548D">
      <w:pPr>
        <w:pStyle w:val="InviasNormal"/>
        <w:spacing w:before="0" w:after="0"/>
        <w:jc w:val="right"/>
        <w:rPr>
          <w:b/>
          <w:color w:val="auto"/>
          <w:sz w:val="20"/>
          <w:szCs w:val="20"/>
        </w:rPr>
      </w:pPr>
    </w:p>
    <w:p w14:paraId="57473401" w14:textId="77777777" w:rsidR="00857299" w:rsidRDefault="00857299" w:rsidP="0010548D">
      <w:pPr>
        <w:pStyle w:val="InviasNormal"/>
        <w:spacing w:before="0" w:after="0"/>
        <w:jc w:val="right"/>
        <w:rPr>
          <w:b/>
          <w:color w:val="auto"/>
          <w:sz w:val="20"/>
          <w:szCs w:val="20"/>
        </w:rPr>
      </w:pPr>
    </w:p>
    <w:p w14:paraId="08E8594B" w14:textId="54D700D1" w:rsidR="00C10962" w:rsidRPr="000F6E0E" w:rsidRDefault="00C10962" w:rsidP="0010548D">
      <w:pPr>
        <w:pStyle w:val="InviasNormal"/>
        <w:spacing w:before="0" w:after="0"/>
        <w:jc w:val="right"/>
        <w:rPr>
          <w:b/>
          <w:color w:val="auto"/>
          <w:sz w:val="20"/>
          <w:szCs w:val="20"/>
        </w:rPr>
      </w:pPr>
      <w:r w:rsidRPr="000F6E0E">
        <w:rPr>
          <w:b/>
          <w:color w:val="auto"/>
          <w:sz w:val="20"/>
          <w:szCs w:val="20"/>
        </w:rPr>
        <w:t>CCE-DES-FM-17</w:t>
      </w:r>
    </w:p>
    <w:p w14:paraId="47541965" w14:textId="77777777" w:rsidR="009C6145" w:rsidRPr="000F6E0E" w:rsidRDefault="009C6145" w:rsidP="0010548D">
      <w:pPr>
        <w:tabs>
          <w:tab w:val="left" w:pos="426"/>
        </w:tabs>
        <w:jc w:val="both"/>
        <w:rPr>
          <w:rFonts w:ascii="Arial" w:eastAsia="Calibri" w:hAnsi="Arial" w:cs="Arial"/>
          <w:b/>
          <w:sz w:val="22"/>
        </w:rPr>
      </w:pPr>
    </w:p>
    <w:p w14:paraId="753255FF" w14:textId="3DE9A462" w:rsidR="00A14A6F" w:rsidRPr="000F6E0E" w:rsidRDefault="00A14A6F" w:rsidP="0010548D">
      <w:pPr>
        <w:tabs>
          <w:tab w:val="left" w:pos="426"/>
        </w:tabs>
        <w:jc w:val="both"/>
        <w:rPr>
          <w:rFonts w:ascii="Arial" w:eastAsia="Calibri" w:hAnsi="Arial" w:cs="Arial"/>
          <w:b/>
          <w:sz w:val="22"/>
        </w:rPr>
      </w:pPr>
      <w:r w:rsidRPr="000F6E0E">
        <w:rPr>
          <w:rFonts w:ascii="Arial" w:eastAsia="Calibri" w:hAnsi="Arial" w:cs="Arial"/>
          <w:b/>
          <w:sz w:val="22"/>
        </w:rPr>
        <w:t>INSTITUCIONES EDUCATIVAS OFICIAL</w:t>
      </w:r>
      <w:bookmarkStart w:id="1" w:name="_Hlk39676694"/>
      <w:r w:rsidR="0010548D" w:rsidRPr="000F6E0E">
        <w:rPr>
          <w:rFonts w:ascii="Arial" w:eastAsia="Calibri" w:hAnsi="Arial" w:cs="Arial"/>
          <w:b/>
          <w:sz w:val="22"/>
        </w:rPr>
        <w:t>ES</w:t>
      </w:r>
      <w:r w:rsidR="007B2B9C" w:rsidRPr="000F6E0E">
        <w:rPr>
          <w:rFonts w:ascii="Arial" w:eastAsia="Calibri" w:hAnsi="Arial" w:cs="Arial"/>
          <w:b/>
          <w:sz w:val="22"/>
        </w:rPr>
        <w:t xml:space="preserve"> </w:t>
      </w:r>
      <w:r w:rsidR="00BE3D8E" w:rsidRPr="000F6E0E">
        <w:rPr>
          <w:rFonts w:ascii="Arial" w:eastAsia="Calibri" w:hAnsi="Arial" w:cs="Arial"/>
          <w:b/>
          <w:sz w:val="22"/>
        </w:rPr>
        <w:t>–</w:t>
      </w:r>
      <w:bookmarkEnd w:id="1"/>
      <w:r w:rsidR="0010548D" w:rsidRPr="000F6E0E">
        <w:rPr>
          <w:rFonts w:ascii="Arial" w:eastAsia="Calibri" w:hAnsi="Arial" w:cs="Arial"/>
          <w:b/>
          <w:sz w:val="22"/>
        </w:rPr>
        <w:t xml:space="preserve"> Naturaleza jurídica </w:t>
      </w:r>
      <w:r w:rsidR="00BE3D8E" w:rsidRPr="000F6E0E">
        <w:rPr>
          <w:rFonts w:ascii="Arial" w:eastAsia="Calibri" w:hAnsi="Arial" w:cs="Arial"/>
          <w:b/>
          <w:sz w:val="22"/>
        </w:rPr>
        <w:t>–</w:t>
      </w:r>
      <w:r w:rsidR="002F71CA" w:rsidRPr="000F6E0E">
        <w:rPr>
          <w:rFonts w:ascii="Arial" w:eastAsia="Calibri" w:hAnsi="Arial" w:cs="Arial"/>
          <w:b/>
          <w:sz w:val="22"/>
        </w:rPr>
        <w:t xml:space="preserve"> Capacidad para contratar</w:t>
      </w:r>
    </w:p>
    <w:p w14:paraId="271A1AC3" w14:textId="77777777" w:rsidR="00A14A6F" w:rsidRPr="000F6E0E" w:rsidRDefault="00A14A6F" w:rsidP="0010548D">
      <w:pPr>
        <w:tabs>
          <w:tab w:val="left" w:pos="426"/>
        </w:tabs>
        <w:jc w:val="both"/>
        <w:rPr>
          <w:rFonts w:ascii="Arial" w:eastAsia="Calibri" w:hAnsi="Arial" w:cs="Arial"/>
          <w:b/>
          <w:sz w:val="20"/>
          <w:szCs w:val="20"/>
        </w:rPr>
      </w:pPr>
    </w:p>
    <w:p w14:paraId="6B3FB21D" w14:textId="77777777" w:rsidR="004D38B9" w:rsidRPr="000F6E0E" w:rsidRDefault="004D38B9" w:rsidP="004D38B9">
      <w:pPr>
        <w:jc w:val="both"/>
        <w:rPr>
          <w:rFonts w:ascii="Arial" w:hAnsi="Arial" w:cs="Arial"/>
          <w:sz w:val="20"/>
          <w:szCs w:val="20"/>
        </w:rPr>
      </w:pPr>
      <w:r w:rsidRPr="000F6E0E">
        <w:rPr>
          <w:rFonts w:ascii="Arial" w:hAnsi="Arial" w:cs="Arial"/>
          <w:sz w:val="20"/>
          <w:szCs w:val="20"/>
        </w:rPr>
        <w:t>Las Leyes 60 de 1993 y 715 de 2001 descentralizaron el sistema educativo en Colombia, asignándoles a los departamentos, distritos y municipios las competencias y los recursos económicos para dirigir las instituciones educativas. Es decir, el sistema educativo está descentralizado por las competencias propias que se le han otorgado a las entidades territoriales para administrar las instituciones educativas que pueden ser de los diferentes niveles pero estas no son entidades descentralizadas</w:t>
      </w:r>
    </w:p>
    <w:p w14:paraId="15F1E8DE" w14:textId="16E2E715" w:rsidR="004D38B9" w:rsidRPr="000F6E0E" w:rsidRDefault="004D38B9" w:rsidP="004D38B9">
      <w:pPr>
        <w:jc w:val="both"/>
        <w:rPr>
          <w:rFonts w:ascii="Arial" w:hAnsi="Arial" w:cs="Arial"/>
          <w:sz w:val="20"/>
          <w:szCs w:val="20"/>
        </w:rPr>
      </w:pPr>
    </w:p>
    <w:p w14:paraId="04F96F83" w14:textId="05A0F687" w:rsidR="0010548D" w:rsidRPr="000F6E0E" w:rsidRDefault="004D38B9" w:rsidP="004D38B9">
      <w:pPr>
        <w:jc w:val="both"/>
        <w:rPr>
          <w:rFonts w:ascii="Arial" w:hAnsi="Arial" w:cs="Arial"/>
          <w:sz w:val="20"/>
          <w:szCs w:val="20"/>
        </w:rPr>
      </w:pPr>
      <w:r w:rsidRPr="000F6E0E">
        <w:rPr>
          <w:rFonts w:ascii="Arial" w:hAnsi="Arial" w:cs="Arial"/>
          <w:sz w:val="20"/>
          <w:szCs w:val="20"/>
        </w:rPr>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 permiten a las instituciones realizar la gestión y ejecución presupuestal de los recursos que reciben los establecimientos educativos</w:t>
      </w:r>
    </w:p>
    <w:p w14:paraId="0B1E536A" w14:textId="77777777" w:rsidR="004D38B9" w:rsidRPr="000F6E0E" w:rsidRDefault="004D38B9" w:rsidP="004D38B9">
      <w:pPr>
        <w:jc w:val="both"/>
        <w:rPr>
          <w:rFonts w:ascii="Arial" w:hAnsi="Arial" w:cs="Arial"/>
          <w:sz w:val="20"/>
          <w:szCs w:val="20"/>
        </w:rPr>
      </w:pPr>
    </w:p>
    <w:p w14:paraId="210F3882" w14:textId="12669726" w:rsidR="0010548D" w:rsidRPr="000F6E0E" w:rsidRDefault="0010548D" w:rsidP="0010548D">
      <w:pPr>
        <w:jc w:val="both"/>
        <w:rPr>
          <w:rFonts w:ascii="Arial" w:hAnsi="Arial" w:cs="Arial"/>
          <w:b/>
          <w:bCs/>
          <w:sz w:val="22"/>
        </w:rPr>
      </w:pPr>
      <w:r w:rsidRPr="000F6E0E">
        <w:rPr>
          <w:rFonts w:ascii="Arial" w:hAnsi="Arial" w:cs="Arial"/>
          <w:b/>
          <w:bCs/>
          <w:sz w:val="22"/>
        </w:rPr>
        <w:t>INSTITUCIONES EDUCATIVAS OFICIALES – Contratación – Umbral – Veinte salarios mínim</w:t>
      </w:r>
      <w:r w:rsidR="00511BEB" w:rsidRPr="000F6E0E">
        <w:rPr>
          <w:rFonts w:ascii="Arial" w:hAnsi="Arial" w:cs="Arial"/>
          <w:b/>
          <w:bCs/>
          <w:sz w:val="22"/>
        </w:rPr>
        <w:t xml:space="preserve">os legales mensuales vigentes </w:t>
      </w:r>
    </w:p>
    <w:p w14:paraId="76F30311" w14:textId="63C99A9C" w:rsidR="0010548D" w:rsidRPr="000F6E0E" w:rsidRDefault="0010548D" w:rsidP="0010548D">
      <w:pPr>
        <w:jc w:val="both"/>
        <w:rPr>
          <w:rFonts w:ascii="Arial" w:hAnsi="Arial" w:cs="Arial"/>
          <w:b/>
          <w:bCs/>
          <w:sz w:val="22"/>
        </w:rPr>
      </w:pPr>
    </w:p>
    <w:p w14:paraId="5C55DAAC" w14:textId="0EEA28D2" w:rsidR="004D38B9" w:rsidRPr="000F6E0E" w:rsidRDefault="004D38B9" w:rsidP="00716408">
      <w:pPr>
        <w:spacing w:after="120"/>
        <w:jc w:val="both"/>
        <w:rPr>
          <w:rFonts w:ascii="Arial" w:hAnsi="Arial" w:cs="Arial"/>
          <w:sz w:val="20"/>
          <w:szCs w:val="20"/>
        </w:rPr>
      </w:pPr>
      <w:r w:rsidRPr="000F6E0E">
        <w:rPr>
          <w:rFonts w:ascii="Arial" w:hAnsi="Arial" w:cs="Arial"/>
          <w:sz w:val="20"/>
          <w:szCs w:val="20"/>
        </w:rPr>
        <w:t>Respecto de la capacidad para contratar con la que cuentan las instituciones educativas por medio de los fondos de servicios educativos, hay que precisar que cuando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 […]</w:t>
      </w:r>
    </w:p>
    <w:p w14:paraId="3C88FCD3" w14:textId="60F19F46" w:rsidR="004D38B9" w:rsidRPr="000F6E0E" w:rsidRDefault="004D38B9" w:rsidP="005C40E9">
      <w:pPr>
        <w:jc w:val="both"/>
        <w:rPr>
          <w:rFonts w:ascii="Arial" w:hAnsi="Arial" w:cs="Arial"/>
          <w:sz w:val="20"/>
          <w:szCs w:val="20"/>
        </w:rPr>
      </w:pPr>
      <w:r w:rsidRPr="000F6E0E">
        <w:rPr>
          <w:rFonts w:ascii="Arial" w:hAnsi="Arial" w:cs="Arial"/>
          <w:sz w:val="20"/>
          <w:szCs w:val="20"/>
        </w:rPr>
        <w:t>Por el contrario, cuando la celebración de contratos a que haya lugar con recursos del fondo de servicios educativos supere la cuantía de los veinte (20) salarios mínimos legales mensuales vigentes, debe hacerse con estricta sujeción a lo dispuesto en la Ley 80 de 1993, por lo que las reglas a las que deben sujetarse los procedimientos dentro de los que se enmarque esta contratación son las del Estatuto General de Contratación de la Administración Pública, procediendo la aplicación de las modalidades de selección definidas en la Ley 1150 de 2007, así como los requisitos y formalidades establecidas en el Decreto 1082 del 2015 y demás normatividad integrante del referido estatuto.</w:t>
      </w:r>
    </w:p>
    <w:p w14:paraId="23B2B606" w14:textId="77777777" w:rsidR="00A14A6F" w:rsidRPr="000F6E0E" w:rsidRDefault="00A14A6F" w:rsidP="0010548D">
      <w:pPr>
        <w:jc w:val="both"/>
        <w:rPr>
          <w:rFonts w:ascii="Arial" w:eastAsia="Calibri" w:hAnsi="Arial" w:cs="Arial"/>
          <w:b/>
          <w:sz w:val="20"/>
          <w:szCs w:val="20"/>
        </w:rPr>
      </w:pPr>
    </w:p>
    <w:p w14:paraId="31B692CB" w14:textId="2093009D" w:rsidR="00A14A6F" w:rsidRPr="000F6E0E" w:rsidRDefault="009C7FF2" w:rsidP="0010548D">
      <w:pPr>
        <w:pStyle w:val="Prrafodelista"/>
        <w:ind w:left="0"/>
        <w:contextualSpacing w:val="0"/>
        <w:rPr>
          <w:rFonts w:ascii="Arial" w:eastAsia="Calibri" w:hAnsi="Arial" w:cs="Arial"/>
          <w:b/>
          <w:sz w:val="22"/>
        </w:rPr>
      </w:pPr>
      <w:r w:rsidRPr="000F6E0E">
        <w:rPr>
          <w:rFonts w:ascii="Arial" w:eastAsia="Calibri" w:hAnsi="Arial" w:cs="Arial"/>
          <w:b/>
          <w:sz w:val="22"/>
        </w:rPr>
        <w:t>PUBLIC</w:t>
      </w:r>
      <w:r w:rsidR="0048065E" w:rsidRPr="000F6E0E">
        <w:rPr>
          <w:rFonts w:ascii="Arial" w:eastAsia="Calibri" w:hAnsi="Arial" w:cs="Arial"/>
          <w:b/>
          <w:sz w:val="22"/>
        </w:rPr>
        <w:t>IDAD</w:t>
      </w:r>
      <w:r w:rsidR="00A14A6F" w:rsidRPr="000F6E0E">
        <w:rPr>
          <w:rFonts w:ascii="Arial" w:eastAsia="Calibri" w:hAnsi="Arial" w:cs="Arial"/>
          <w:b/>
          <w:sz w:val="22"/>
        </w:rPr>
        <w:t xml:space="preserve"> SECOP </w:t>
      </w:r>
      <w:r w:rsidR="00BE3D8E" w:rsidRPr="000F6E0E">
        <w:rPr>
          <w:rFonts w:ascii="Arial" w:eastAsia="Calibri" w:hAnsi="Arial" w:cs="Arial"/>
          <w:b/>
          <w:sz w:val="22"/>
        </w:rPr>
        <w:t>–</w:t>
      </w:r>
      <w:r w:rsidR="00A14A6F" w:rsidRPr="000F6E0E">
        <w:rPr>
          <w:rFonts w:ascii="Arial" w:eastAsia="Calibri" w:hAnsi="Arial" w:cs="Arial"/>
          <w:b/>
          <w:sz w:val="22"/>
        </w:rPr>
        <w:t xml:space="preserve"> Entidades de régimen especial</w:t>
      </w:r>
      <w:r w:rsidR="00D15F84" w:rsidRPr="000F6E0E">
        <w:rPr>
          <w:rFonts w:ascii="Arial" w:eastAsia="Calibri" w:hAnsi="Arial" w:cs="Arial"/>
          <w:b/>
          <w:sz w:val="22"/>
        </w:rPr>
        <w:t xml:space="preserve"> – </w:t>
      </w:r>
      <w:r w:rsidR="00D0499F" w:rsidRPr="000F6E0E">
        <w:rPr>
          <w:rFonts w:ascii="Arial" w:eastAsia="Calibri" w:hAnsi="Arial" w:cs="Arial"/>
          <w:b/>
          <w:sz w:val="22"/>
        </w:rPr>
        <w:t>SECOP II</w:t>
      </w:r>
    </w:p>
    <w:p w14:paraId="442A4F36" w14:textId="77777777" w:rsidR="00A14A6F" w:rsidRPr="000F6E0E" w:rsidRDefault="00A14A6F" w:rsidP="0010548D">
      <w:pPr>
        <w:pStyle w:val="Prrafodelista"/>
        <w:ind w:left="0"/>
        <w:contextualSpacing w:val="0"/>
        <w:rPr>
          <w:rFonts w:ascii="Arial" w:eastAsia="Calibri" w:hAnsi="Arial" w:cs="Arial"/>
          <w:sz w:val="20"/>
          <w:szCs w:val="20"/>
        </w:rPr>
      </w:pPr>
    </w:p>
    <w:p w14:paraId="4386B358" w14:textId="3FE81725" w:rsidR="000271D0" w:rsidRPr="000F6E0E" w:rsidRDefault="000271D0" w:rsidP="000271D0">
      <w:pPr>
        <w:spacing w:after="120"/>
        <w:jc w:val="both"/>
        <w:rPr>
          <w:rFonts w:ascii="Arial" w:hAnsi="Arial" w:cs="Arial"/>
          <w:sz w:val="20"/>
          <w:szCs w:val="20"/>
          <w:lang w:val="es-ES_tradnl"/>
        </w:rPr>
      </w:pPr>
      <w:r w:rsidRPr="000F6E0E">
        <w:rPr>
          <w:rFonts w:ascii="Arial" w:hAnsi="Arial" w:cs="Arial"/>
          <w:sz w:val="20"/>
          <w:szCs w:val="20"/>
          <w:lang w:val="es-ES_tradnl"/>
        </w:rPr>
        <w:t xml:space="preserve">[…] aunque la publicación en el SECOP de los documentos relacionados con la actividad contractual ya era obligatoria –lo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w:t>
      </w:r>
      <w:r w:rsidRPr="000F6E0E">
        <w:rPr>
          <w:rFonts w:ascii="Arial" w:hAnsi="Arial" w:cs="Arial"/>
          <w:sz w:val="20"/>
          <w:szCs w:val="20"/>
          <w:lang w:val="es-ES_tradnl"/>
        </w:rPr>
        <w:lastRenderedPageBreak/>
        <w:t xml:space="preserve">entidades estatales exceptuadas del Estatuto General de Contratación de la Administración Pública deben publicar en el SECOP II –es decir en la plataforma transaccional vigente– su actividad contractual. </w:t>
      </w:r>
    </w:p>
    <w:p w14:paraId="219B215E" w14:textId="77777777" w:rsidR="000271D0" w:rsidRPr="000F6E0E" w:rsidRDefault="000271D0" w:rsidP="000271D0">
      <w:pPr>
        <w:spacing w:after="120"/>
        <w:jc w:val="both"/>
        <w:rPr>
          <w:rFonts w:ascii="Arial" w:hAnsi="Arial" w:cs="Arial"/>
          <w:sz w:val="20"/>
          <w:szCs w:val="20"/>
          <w:lang w:val="es-ES_tradnl"/>
        </w:rPr>
      </w:pPr>
      <w:r w:rsidRPr="000F6E0E">
        <w:rPr>
          <w:rFonts w:ascii="Arial" w:hAnsi="Arial" w:cs="Arial"/>
          <w:sz w:val="20"/>
          <w:szCs w:val="20"/>
          <w:lang w:val="es-ES_tradnl"/>
        </w:rPr>
        <w:t xml:space="preserve">La Agencia Nacional de Contratación Pública – Colombia Compra Eficiente considera que al establecer el artículo 53 que este deber ha de cumplirse en el SECOP II «o la plataforma transaccional que haga sus veces» esto debe interpretarse en el sentido en que a pesar de que en la actualidad el SECOP II es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 </w:t>
      </w:r>
    </w:p>
    <w:p w14:paraId="2BD91F85" w14:textId="575BEA4A" w:rsidR="009C6145" w:rsidRPr="000F6E0E" w:rsidRDefault="000271D0" w:rsidP="000271D0">
      <w:pPr>
        <w:jc w:val="both"/>
        <w:rPr>
          <w:rFonts w:ascii="Arial" w:eastAsia="Calibri" w:hAnsi="Arial" w:cs="Arial"/>
          <w:sz w:val="22"/>
        </w:rPr>
      </w:pPr>
      <w:r w:rsidRPr="000F6E0E">
        <w:rPr>
          <w:rFonts w:ascii="Arial" w:hAnsi="Arial" w:cs="Arial"/>
          <w:sz w:val="20"/>
          <w:szCs w:val="20"/>
          <w:lang w:val="es-ES_tradnl"/>
        </w:rPr>
        <w:t>Finalmente, el referido artículo dispone, en el inciso final, que «A partir de la entrada en vigencia de la presente Ley, se establecerá un periodo de transición de seis (6) meses, para que las entidades den cumplimiento efectivo a lo aquí establecido». Es decir que se trata de un período concedido por el Legislador a las entidades que tienen un régimen especial de contratación para adelantar las gestiones administrativas, técnicas y jurídicas pertinentes, a fin de cumplir lo establecido en el artículo 53. Este período de transición va del 18 de enero al 18 de julio de 2022. La Agencia Nacional de Contratación Pública – Colombia Compra Eficiente también podría impartir directrices sobre este tema a través de sus instrumentos doctrinarios y reglamentarios</w:t>
      </w:r>
    </w:p>
    <w:p w14:paraId="5664615F" w14:textId="77777777" w:rsidR="00A93C3F" w:rsidRPr="000F6E0E" w:rsidRDefault="00A93C3F">
      <w:pPr>
        <w:spacing w:after="160" w:line="259" w:lineRule="auto"/>
        <w:rPr>
          <w:rFonts w:ascii="Arial" w:hAnsi="Arial" w:cs="Arial"/>
          <w:sz w:val="22"/>
        </w:rPr>
      </w:pPr>
      <w:r w:rsidRPr="000F6E0E">
        <w:rPr>
          <w:rFonts w:ascii="Arial" w:hAnsi="Arial" w:cs="Arial"/>
          <w:sz w:val="22"/>
        </w:rPr>
        <w:br w:type="page"/>
      </w:r>
    </w:p>
    <w:p w14:paraId="4FF478BB" w14:textId="53F1E6D8" w:rsidR="00A14F1F" w:rsidRPr="000F6E0E" w:rsidRDefault="00994250" w:rsidP="00AC14EA">
      <w:pPr>
        <w:jc w:val="right"/>
        <w:rPr>
          <w:rFonts w:ascii="Arial" w:hAnsi="Arial" w:cs="Arial"/>
          <w:sz w:val="22"/>
        </w:rPr>
      </w:pPr>
      <w:r>
        <w:rPr>
          <w:noProof/>
        </w:rPr>
        <w:lastRenderedPageBreak/>
        <w:drawing>
          <wp:inline distT="0" distB="0" distL="0" distR="0" wp14:anchorId="0231C1BE" wp14:editId="49E23E42">
            <wp:extent cx="2619755" cy="685800"/>
            <wp:effectExtent l="0" t="0" r="9525"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rotWithShape="1">
                    <a:blip r:embed="rId11"/>
                    <a:srcRect l="53462" t="43470" r="14121" b="41436"/>
                    <a:stretch/>
                  </pic:blipFill>
                  <pic:spPr bwMode="auto">
                    <a:xfrm>
                      <a:off x="0" y="0"/>
                      <a:ext cx="2628291" cy="688035"/>
                    </a:xfrm>
                    <a:prstGeom prst="rect">
                      <a:avLst/>
                    </a:prstGeom>
                    <a:ln>
                      <a:noFill/>
                    </a:ln>
                    <a:extLst>
                      <a:ext uri="{53640926-AAD7-44D8-BBD7-CCE9431645EC}">
                        <a14:shadowObscured xmlns:a14="http://schemas.microsoft.com/office/drawing/2010/main"/>
                      </a:ext>
                    </a:extLst>
                  </pic:spPr>
                </pic:pic>
              </a:graphicData>
            </a:graphic>
          </wp:inline>
        </w:drawing>
      </w:r>
    </w:p>
    <w:p w14:paraId="56A1CD59" w14:textId="467ECFE0" w:rsidR="00A14F1F" w:rsidRPr="000F6E0E" w:rsidRDefault="00A14F1F" w:rsidP="00AC14EA">
      <w:pPr>
        <w:jc w:val="right"/>
        <w:rPr>
          <w:rFonts w:ascii="Arial" w:hAnsi="Arial" w:cs="Arial"/>
          <w:sz w:val="22"/>
        </w:rPr>
      </w:pPr>
    </w:p>
    <w:p w14:paraId="46CE63FB" w14:textId="2201CDC8" w:rsidR="00A14F1F" w:rsidRDefault="00537063" w:rsidP="00CC6B00">
      <w:pPr>
        <w:rPr>
          <w:rFonts w:ascii="Arial" w:eastAsia="ArialMT" w:hAnsi="Arial" w:cs="Arial"/>
          <w:sz w:val="22"/>
          <w:lang w:val="es-CO"/>
        </w:rPr>
      </w:pPr>
      <w:r w:rsidRPr="000F6E0E">
        <w:rPr>
          <w:rFonts w:ascii="Arial" w:eastAsia="ArialMT" w:hAnsi="Arial" w:cs="Arial"/>
          <w:sz w:val="22"/>
          <w:lang w:val="es-CO"/>
        </w:rPr>
        <w:t>Bogotá</w:t>
      </w:r>
      <w:r w:rsidR="00CC6B00" w:rsidRPr="000F6E0E">
        <w:rPr>
          <w:rFonts w:ascii="Arial" w:eastAsia="ArialMT" w:hAnsi="Arial" w:cs="Arial"/>
          <w:sz w:val="22"/>
          <w:lang w:val="es-CO"/>
        </w:rPr>
        <w:t xml:space="preserve"> D.C.</w:t>
      </w:r>
      <w:r w:rsidRPr="000F6E0E">
        <w:rPr>
          <w:rFonts w:ascii="Arial" w:eastAsia="ArialMT" w:hAnsi="Arial" w:cs="Arial"/>
          <w:sz w:val="22"/>
          <w:lang w:val="es-CO"/>
        </w:rPr>
        <w:t xml:space="preserve">, </w:t>
      </w:r>
      <w:r w:rsidR="0007525B">
        <w:rPr>
          <w:rFonts w:ascii="Arial" w:eastAsia="ArialMT" w:hAnsi="Arial" w:cs="Arial"/>
          <w:sz w:val="22"/>
          <w:lang w:val="es-CO"/>
        </w:rPr>
        <w:t xml:space="preserve">30 de </w:t>
      </w:r>
      <w:r w:rsidR="00994250">
        <w:rPr>
          <w:rFonts w:ascii="Arial" w:eastAsia="ArialMT" w:hAnsi="Arial" w:cs="Arial"/>
          <w:sz w:val="22"/>
          <w:lang w:val="es-CO"/>
        </w:rPr>
        <w:t>agosto</w:t>
      </w:r>
      <w:r w:rsidR="0007525B">
        <w:rPr>
          <w:rFonts w:ascii="Arial" w:eastAsia="ArialMT" w:hAnsi="Arial" w:cs="Arial"/>
          <w:sz w:val="22"/>
          <w:lang w:val="es-CO"/>
        </w:rPr>
        <w:t xml:space="preserve"> de 2022</w:t>
      </w:r>
    </w:p>
    <w:p w14:paraId="078AFAB4" w14:textId="79C09125" w:rsidR="0007525B" w:rsidRDefault="0007525B" w:rsidP="00CC6B00">
      <w:pPr>
        <w:rPr>
          <w:rFonts w:ascii="Arial" w:eastAsia="ArialMT" w:hAnsi="Arial" w:cs="Arial"/>
          <w:sz w:val="22"/>
          <w:lang w:val="es-CO"/>
        </w:rPr>
      </w:pPr>
    </w:p>
    <w:p w14:paraId="6B8D3CC3" w14:textId="39FBA1BF" w:rsidR="0007525B" w:rsidRPr="000F6E0E" w:rsidRDefault="0007525B" w:rsidP="00EE1C4D">
      <w:pPr>
        <w:jc w:val="right"/>
        <w:rPr>
          <w:rFonts w:ascii="Arial" w:hAnsi="Arial" w:cs="Arial"/>
          <w:sz w:val="22"/>
        </w:rPr>
      </w:pPr>
    </w:p>
    <w:p w14:paraId="4B894C5F" w14:textId="01BB7700" w:rsidR="00A14F1F" w:rsidRPr="000F6E0E" w:rsidRDefault="00A14F1F" w:rsidP="00AC14EA">
      <w:pPr>
        <w:jc w:val="right"/>
        <w:rPr>
          <w:rFonts w:ascii="Arial" w:hAnsi="Arial" w:cs="Arial"/>
          <w:sz w:val="22"/>
        </w:rPr>
      </w:pPr>
    </w:p>
    <w:p w14:paraId="3A326286" w14:textId="77777777" w:rsidR="00A14F1F" w:rsidRPr="000F6E0E" w:rsidRDefault="00A14F1F" w:rsidP="00AC14EA">
      <w:pPr>
        <w:jc w:val="right"/>
        <w:rPr>
          <w:rFonts w:ascii="Arial" w:hAnsi="Arial" w:cs="Arial"/>
          <w:b/>
          <w:bCs/>
          <w:color w:val="000000"/>
          <w:sz w:val="22"/>
        </w:rPr>
      </w:pPr>
    </w:p>
    <w:p w14:paraId="6AE58259" w14:textId="398A036E" w:rsidR="00630D34" w:rsidRPr="000F6E0E" w:rsidRDefault="00630D34" w:rsidP="00AC14EA">
      <w:pPr>
        <w:rPr>
          <w:rFonts w:ascii="Arial" w:eastAsia="Calibri" w:hAnsi="Arial" w:cs="Arial"/>
          <w:sz w:val="22"/>
        </w:rPr>
      </w:pPr>
      <w:r w:rsidRPr="000F6E0E">
        <w:rPr>
          <w:rFonts w:ascii="Arial" w:eastAsia="Calibri" w:hAnsi="Arial" w:cs="Arial"/>
          <w:sz w:val="22"/>
        </w:rPr>
        <w:t>Señor</w:t>
      </w:r>
    </w:p>
    <w:p w14:paraId="7E8BEF9B" w14:textId="368D1A80" w:rsidR="006C62B3" w:rsidRPr="000F6E0E" w:rsidRDefault="00C837B4" w:rsidP="00C837B4">
      <w:pPr>
        <w:rPr>
          <w:rFonts w:ascii="Arial" w:eastAsia="Calibri" w:hAnsi="Arial" w:cs="Arial"/>
          <w:b/>
          <w:bCs/>
          <w:sz w:val="22"/>
        </w:rPr>
      </w:pPr>
      <w:r w:rsidRPr="000F6E0E">
        <w:rPr>
          <w:rFonts w:ascii="Arial" w:eastAsia="Calibri" w:hAnsi="Arial" w:cs="Arial"/>
          <w:b/>
          <w:bCs/>
          <w:sz w:val="22"/>
        </w:rPr>
        <w:t>Carlos Alberto Rivera Escobar</w:t>
      </w:r>
    </w:p>
    <w:p w14:paraId="1E9F84DE" w14:textId="297C930D" w:rsidR="00262143" w:rsidRPr="000F6E0E" w:rsidRDefault="00BA1A47" w:rsidP="00262143">
      <w:pPr>
        <w:rPr>
          <w:rFonts w:ascii="Arial" w:eastAsia="Calibri" w:hAnsi="Arial" w:cs="Arial"/>
          <w:sz w:val="22"/>
        </w:rPr>
      </w:pPr>
      <w:r w:rsidRPr="000F6E0E">
        <w:rPr>
          <w:rFonts w:ascii="Arial" w:eastAsia="Calibri" w:hAnsi="Arial" w:cs="Arial"/>
          <w:sz w:val="22"/>
        </w:rPr>
        <w:t>Ibagué, Tolima</w:t>
      </w:r>
    </w:p>
    <w:p w14:paraId="057CB54C" w14:textId="1FDE8BC3" w:rsidR="00B37724" w:rsidRPr="000F6E0E" w:rsidRDefault="00B37724" w:rsidP="00B37724">
      <w:pPr>
        <w:rPr>
          <w:rFonts w:ascii="Arial" w:eastAsia="Calibri" w:hAnsi="Arial" w:cs="Arial"/>
          <w:sz w:val="22"/>
        </w:rPr>
      </w:pPr>
    </w:p>
    <w:p w14:paraId="37A47A27" w14:textId="77777777" w:rsidR="00EB5F1D" w:rsidRPr="000F6E0E" w:rsidRDefault="00EB5F1D" w:rsidP="00B37724">
      <w:pPr>
        <w:rPr>
          <w:rFonts w:ascii="Arial" w:eastAsia="Calibri" w:hAnsi="Arial" w:cs="Arial"/>
          <w:sz w:val="22"/>
        </w:rPr>
      </w:pPr>
    </w:p>
    <w:p w14:paraId="094141BC" w14:textId="2D57804B" w:rsidR="00234D71" w:rsidRPr="001638CB" w:rsidRDefault="00CC6B00" w:rsidP="00153CC0">
      <w:pPr>
        <w:tabs>
          <w:tab w:val="center" w:pos="4419"/>
          <w:tab w:val="left" w:pos="6345"/>
        </w:tabs>
        <w:rPr>
          <w:rFonts w:ascii="Arial" w:eastAsia="Calibri" w:hAnsi="Arial" w:cs="Arial"/>
          <w:b/>
          <w:sz w:val="22"/>
        </w:rPr>
      </w:pPr>
      <w:r w:rsidRPr="000F6E0E">
        <w:rPr>
          <w:rFonts w:ascii="Arial" w:eastAsia="Calibri" w:hAnsi="Arial" w:cs="Arial"/>
          <w:b/>
          <w:sz w:val="22"/>
        </w:rPr>
        <w:t xml:space="preserve">                                            </w:t>
      </w:r>
      <w:r w:rsidR="00630D34" w:rsidRPr="000F6E0E">
        <w:rPr>
          <w:rFonts w:ascii="Arial" w:eastAsia="Calibri" w:hAnsi="Arial" w:cs="Arial"/>
          <w:b/>
          <w:sz w:val="22"/>
        </w:rPr>
        <w:t>Co</w:t>
      </w:r>
      <w:r w:rsidR="00630D34" w:rsidRPr="001638CB">
        <w:rPr>
          <w:rFonts w:ascii="Arial" w:eastAsia="Calibri" w:hAnsi="Arial" w:cs="Arial"/>
          <w:b/>
          <w:sz w:val="22"/>
        </w:rPr>
        <w:t xml:space="preserve">ncepto C </w:t>
      </w:r>
      <w:r w:rsidRPr="001638CB">
        <w:rPr>
          <w:rFonts w:ascii="Arial" w:eastAsia="Calibri" w:hAnsi="Arial" w:cs="Arial"/>
          <w:b/>
          <w:sz w:val="22"/>
        </w:rPr>
        <w:t xml:space="preserve">– </w:t>
      </w:r>
      <w:r w:rsidR="002C6959" w:rsidRPr="001638CB">
        <w:rPr>
          <w:rFonts w:ascii="Arial" w:eastAsia="Calibri" w:hAnsi="Arial" w:cs="Arial"/>
          <w:b/>
          <w:sz w:val="22"/>
        </w:rPr>
        <w:t>544</w:t>
      </w:r>
      <w:r w:rsidR="00CA5B28" w:rsidRPr="001638CB">
        <w:rPr>
          <w:rFonts w:ascii="Arial" w:eastAsia="Calibri" w:hAnsi="Arial" w:cs="Arial"/>
          <w:b/>
          <w:sz w:val="22"/>
        </w:rPr>
        <w:t xml:space="preserve"> </w:t>
      </w:r>
      <w:r w:rsidR="00837111" w:rsidRPr="001638CB">
        <w:rPr>
          <w:rFonts w:ascii="Arial" w:eastAsia="Calibri" w:hAnsi="Arial" w:cs="Arial"/>
          <w:b/>
          <w:sz w:val="22"/>
        </w:rPr>
        <w:t>de 2022</w:t>
      </w:r>
      <w:r w:rsidR="00153CC0" w:rsidRPr="001638CB">
        <w:rPr>
          <w:rFonts w:ascii="Arial" w:eastAsia="Calibri" w:hAnsi="Arial" w:cs="Arial"/>
          <w:b/>
          <w:sz w:val="22"/>
        </w:rPr>
        <w:tab/>
      </w:r>
    </w:p>
    <w:p w14:paraId="129130DA" w14:textId="77777777" w:rsidR="00153CC0" w:rsidRPr="001638CB" w:rsidRDefault="00153CC0" w:rsidP="00153CC0">
      <w:pPr>
        <w:tabs>
          <w:tab w:val="center" w:pos="4419"/>
          <w:tab w:val="left" w:pos="6345"/>
        </w:tabs>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53CC0" w:rsidRPr="000F6E0E" w14:paraId="69329E95" w14:textId="77777777">
        <w:tc>
          <w:tcPr>
            <w:tcW w:w="2689" w:type="dxa"/>
            <w:hideMark/>
          </w:tcPr>
          <w:p w14:paraId="0DE29990" w14:textId="77777777" w:rsidR="00153CC0" w:rsidRPr="001638CB" w:rsidRDefault="00153CC0" w:rsidP="00153CC0">
            <w:pPr>
              <w:jc w:val="both"/>
              <w:rPr>
                <w:rFonts w:ascii="Arial" w:eastAsia="Calibri" w:hAnsi="Arial" w:cs="Arial"/>
                <w:b/>
                <w:color w:val="000000" w:themeColor="text1"/>
                <w:sz w:val="22"/>
                <w:lang w:val="es-ES_tradnl" w:eastAsia="es-ES_tradnl"/>
              </w:rPr>
            </w:pPr>
            <w:r w:rsidRPr="001638CB">
              <w:rPr>
                <w:rFonts w:ascii="Arial" w:eastAsia="Calibri" w:hAnsi="Arial" w:cs="Arial"/>
                <w:b/>
                <w:color w:val="000000" w:themeColor="text1"/>
                <w:sz w:val="22"/>
                <w:lang w:val="es-ES_tradnl" w:eastAsia="es-ES_tradnl"/>
              </w:rPr>
              <w:t xml:space="preserve">Temas: </w:t>
            </w:r>
          </w:p>
        </w:tc>
        <w:tc>
          <w:tcPr>
            <w:tcW w:w="6237" w:type="dxa"/>
            <w:hideMark/>
          </w:tcPr>
          <w:p w14:paraId="4929F1EB" w14:textId="3BA2B88E" w:rsidR="00153CC0" w:rsidRPr="000F6E0E" w:rsidRDefault="00153CC0" w:rsidP="00355F86">
            <w:pPr>
              <w:widowControl w:val="0"/>
              <w:autoSpaceDE w:val="0"/>
              <w:autoSpaceDN w:val="0"/>
              <w:adjustRightInd w:val="0"/>
              <w:spacing w:after="120" w:line="300" w:lineRule="atLeast"/>
              <w:jc w:val="both"/>
              <w:rPr>
                <w:rFonts w:ascii="Arial" w:hAnsi="Arial" w:cs="Arial"/>
                <w:color w:val="000000" w:themeColor="text1"/>
                <w:sz w:val="22"/>
                <w:lang w:val="es-ES_tradnl"/>
              </w:rPr>
            </w:pPr>
            <w:r w:rsidRPr="001638CB">
              <w:rPr>
                <w:rFonts w:ascii="Arial" w:hAnsi="Arial" w:cs="Arial"/>
                <w:color w:val="000000" w:themeColor="text1"/>
                <w:sz w:val="22"/>
                <w:lang w:val="es-ES_tradnl"/>
              </w:rPr>
              <w:t xml:space="preserve">INSTITUCIONES EDUCATIVAS OFICIALES – Naturaleza jurídica – Régimen de contratación – Capacidad para contratar / INSTITUCIONES EDUCATIVAS OFICIALES – Contratación – Umbral – Veinte salarios mínimos legales mensuales vigentes / PUBLICIDAD SECOP – Entidades de régimen especial – </w:t>
            </w:r>
            <w:r w:rsidR="00BC7E57" w:rsidRPr="001638CB">
              <w:rPr>
                <w:rFonts w:ascii="Arial" w:hAnsi="Arial" w:cs="Arial"/>
                <w:color w:val="000000" w:themeColor="text1"/>
                <w:sz w:val="22"/>
                <w:lang w:val="es-ES_tradnl"/>
              </w:rPr>
              <w:t>SECOP II</w:t>
            </w:r>
          </w:p>
        </w:tc>
      </w:tr>
      <w:tr w:rsidR="00153CC0" w:rsidRPr="000F6E0E" w14:paraId="6EC413AB" w14:textId="77777777">
        <w:tc>
          <w:tcPr>
            <w:tcW w:w="2689" w:type="dxa"/>
          </w:tcPr>
          <w:p w14:paraId="55FAAEA4" w14:textId="77777777" w:rsidR="00153CC0" w:rsidRPr="000F6E0E" w:rsidRDefault="00153CC0" w:rsidP="00153CC0">
            <w:pPr>
              <w:jc w:val="both"/>
              <w:rPr>
                <w:rFonts w:ascii="Arial" w:eastAsia="Calibri" w:hAnsi="Arial" w:cs="Arial"/>
                <w:b/>
                <w:color w:val="000000" w:themeColor="text1"/>
                <w:sz w:val="22"/>
                <w:lang w:val="es-ES_tradnl" w:eastAsia="es-ES_tradnl"/>
              </w:rPr>
            </w:pPr>
            <w:r w:rsidRPr="000F6E0E">
              <w:rPr>
                <w:rFonts w:ascii="Arial" w:eastAsia="Calibri" w:hAnsi="Arial" w:cs="Arial"/>
                <w:b/>
                <w:color w:val="000000" w:themeColor="text1"/>
                <w:sz w:val="22"/>
                <w:lang w:val="es-ES_tradnl" w:eastAsia="es-ES_tradnl"/>
              </w:rPr>
              <w:t>Radicación:</w:t>
            </w:r>
          </w:p>
        </w:tc>
        <w:tc>
          <w:tcPr>
            <w:tcW w:w="6237" w:type="dxa"/>
          </w:tcPr>
          <w:p w14:paraId="0D0AB4BB" w14:textId="5C4A8C47" w:rsidR="00153CC0" w:rsidRPr="000F6E0E" w:rsidRDefault="00153CC0" w:rsidP="00153CC0">
            <w:pPr>
              <w:widowControl w:val="0"/>
              <w:autoSpaceDE w:val="0"/>
              <w:autoSpaceDN w:val="0"/>
              <w:adjustRightInd w:val="0"/>
              <w:spacing w:line="300" w:lineRule="atLeast"/>
              <w:jc w:val="both"/>
              <w:rPr>
                <w:rFonts w:ascii="Arial" w:hAnsi="Arial" w:cs="Arial"/>
                <w:color w:val="000000" w:themeColor="text1"/>
                <w:sz w:val="22"/>
                <w:lang w:val="es-ES_tradnl"/>
              </w:rPr>
            </w:pPr>
            <w:r w:rsidRPr="000F6E0E">
              <w:rPr>
                <w:rFonts w:ascii="Arial" w:hAnsi="Arial" w:cs="Arial"/>
                <w:color w:val="000000" w:themeColor="text1"/>
                <w:sz w:val="22"/>
                <w:lang w:val="es-ES_tradnl"/>
              </w:rPr>
              <w:t xml:space="preserve">Respuesta a </w:t>
            </w:r>
            <w:r w:rsidR="00355F86" w:rsidRPr="000F6E0E">
              <w:rPr>
                <w:rFonts w:ascii="Arial" w:hAnsi="Arial" w:cs="Arial"/>
                <w:color w:val="000000" w:themeColor="text1"/>
                <w:sz w:val="22"/>
                <w:lang w:val="es-ES_tradnl"/>
              </w:rPr>
              <w:t xml:space="preserve">las </w:t>
            </w:r>
            <w:r w:rsidRPr="000F6E0E">
              <w:rPr>
                <w:rFonts w:ascii="Arial" w:hAnsi="Arial" w:cs="Arial"/>
                <w:color w:val="000000" w:themeColor="text1"/>
                <w:sz w:val="22"/>
                <w:lang w:val="es-ES_tradnl"/>
              </w:rPr>
              <w:t>consulta</w:t>
            </w:r>
            <w:r w:rsidR="00355F86" w:rsidRPr="000F6E0E">
              <w:rPr>
                <w:rFonts w:ascii="Arial" w:hAnsi="Arial" w:cs="Arial"/>
                <w:color w:val="000000" w:themeColor="text1"/>
                <w:sz w:val="22"/>
                <w:lang w:val="es-ES_tradnl"/>
              </w:rPr>
              <w:t>s</w:t>
            </w:r>
            <w:r w:rsidRPr="000F6E0E">
              <w:rPr>
                <w:rFonts w:ascii="Arial" w:hAnsi="Arial" w:cs="Arial"/>
                <w:color w:val="000000" w:themeColor="text1"/>
                <w:sz w:val="22"/>
                <w:lang w:val="es-ES_tradnl"/>
              </w:rPr>
              <w:t xml:space="preserve"> # </w:t>
            </w:r>
            <w:r w:rsidR="00355F86" w:rsidRPr="000F6E0E">
              <w:rPr>
                <w:rFonts w:ascii="Arial" w:hAnsi="Arial" w:cs="Arial"/>
                <w:color w:val="000000" w:themeColor="text1"/>
                <w:sz w:val="22"/>
                <w:lang w:val="es-ES_tradnl"/>
              </w:rPr>
              <w:t xml:space="preserve">P20220716006936, </w:t>
            </w:r>
            <w:r w:rsidR="001C7BCB" w:rsidRPr="000F6E0E">
              <w:rPr>
                <w:rFonts w:ascii="Arial" w:hAnsi="Arial" w:cs="Arial"/>
                <w:color w:val="000000" w:themeColor="text1"/>
                <w:sz w:val="22"/>
                <w:lang w:val="es-ES_tradnl"/>
              </w:rPr>
              <w:t xml:space="preserve">P20220801007538 y </w:t>
            </w:r>
            <w:r w:rsidR="00073AFA" w:rsidRPr="000F6E0E">
              <w:rPr>
                <w:rFonts w:ascii="Arial" w:hAnsi="Arial" w:cs="Arial"/>
                <w:color w:val="000000" w:themeColor="text1"/>
                <w:sz w:val="22"/>
                <w:lang w:val="es-ES_tradnl"/>
              </w:rPr>
              <w:t>P20220816008103 –Acumulados–</w:t>
            </w:r>
          </w:p>
        </w:tc>
      </w:tr>
    </w:tbl>
    <w:p w14:paraId="4AD95019" w14:textId="77777777" w:rsidR="00153CC0" w:rsidRPr="000F6E0E" w:rsidRDefault="00153CC0" w:rsidP="00153CC0">
      <w:pPr>
        <w:tabs>
          <w:tab w:val="center" w:pos="4419"/>
          <w:tab w:val="left" w:pos="6345"/>
        </w:tabs>
        <w:rPr>
          <w:rFonts w:ascii="Arial" w:eastAsia="Calibri" w:hAnsi="Arial" w:cs="Arial"/>
          <w:b/>
          <w:sz w:val="22"/>
        </w:rPr>
      </w:pPr>
    </w:p>
    <w:p w14:paraId="572ACFBC" w14:textId="0CB33529" w:rsidR="00630D34" w:rsidRPr="000F6E0E" w:rsidRDefault="00630D34" w:rsidP="004026EC">
      <w:pPr>
        <w:rPr>
          <w:rFonts w:ascii="Arial" w:eastAsia="Calibri" w:hAnsi="Arial" w:cs="Arial"/>
          <w:sz w:val="22"/>
        </w:rPr>
      </w:pPr>
    </w:p>
    <w:p w14:paraId="520B16AC" w14:textId="77777777" w:rsidR="0073638E" w:rsidRPr="000F6E0E" w:rsidRDefault="0073638E" w:rsidP="00947D2A">
      <w:pPr>
        <w:rPr>
          <w:rFonts w:ascii="Arial" w:eastAsia="Calibri" w:hAnsi="Arial" w:cs="Arial"/>
          <w:sz w:val="22"/>
        </w:rPr>
      </w:pPr>
    </w:p>
    <w:p w14:paraId="20703338" w14:textId="5218ACBB" w:rsidR="00630D34" w:rsidRPr="000F6E0E" w:rsidRDefault="00630D34" w:rsidP="00947D2A">
      <w:pPr>
        <w:rPr>
          <w:rFonts w:ascii="Arial" w:eastAsia="Calibri" w:hAnsi="Arial" w:cs="Arial"/>
          <w:sz w:val="22"/>
        </w:rPr>
      </w:pPr>
      <w:r w:rsidRPr="000F6E0E">
        <w:rPr>
          <w:rFonts w:ascii="Arial" w:eastAsia="Calibri" w:hAnsi="Arial" w:cs="Arial"/>
          <w:sz w:val="22"/>
        </w:rPr>
        <w:t>Estimad</w:t>
      </w:r>
      <w:r w:rsidR="00857299">
        <w:rPr>
          <w:rFonts w:ascii="Arial" w:eastAsia="Calibri" w:hAnsi="Arial" w:cs="Arial"/>
          <w:sz w:val="22"/>
        </w:rPr>
        <w:t>o</w:t>
      </w:r>
      <w:r w:rsidRPr="000F6E0E">
        <w:rPr>
          <w:rFonts w:ascii="Arial" w:eastAsia="Calibri" w:hAnsi="Arial" w:cs="Arial"/>
          <w:sz w:val="22"/>
        </w:rPr>
        <w:t xml:space="preserve"> señor </w:t>
      </w:r>
      <w:r w:rsidR="00511BEB" w:rsidRPr="000F6E0E">
        <w:rPr>
          <w:rFonts w:ascii="Arial" w:eastAsia="Calibri" w:hAnsi="Arial" w:cs="Arial"/>
          <w:sz w:val="22"/>
        </w:rPr>
        <w:t>González:</w:t>
      </w:r>
    </w:p>
    <w:p w14:paraId="67165113" w14:textId="77777777" w:rsidR="004026EC" w:rsidRPr="000F6E0E" w:rsidRDefault="004026EC" w:rsidP="00947D2A">
      <w:pPr>
        <w:rPr>
          <w:rFonts w:ascii="Arial" w:eastAsia="Calibri" w:hAnsi="Arial" w:cs="Arial"/>
          <w:sz w:val="22"/>
        </w:rPr>
      </w:pPr>
    </w:p>
    <w:p w14:paraId="07070E4B" w14:textId="3065E0C2" w:rsidR="006C62B3" w:rsidRPr="000F6E0E" w:rsidRDefault="006C62B3" w:rsidP="00947D2A">
      <w:pPr>
        <w:spacing w:line="276" w:lineRule="auto"/>
        <w:ind w:right="51"/>
        <w:jc w:val="both"/>
        <w:rPr>
          <w:rFonts w:ascii="Arial" w:eastAsia="Calibri" w:hAnsi="Arial" w:cs="Arial"/>
          <w:sz w:val="22"/>
          <w:lang w:val="es-ES_tradnl"/>
        </w:rPr>
      </w:pPr>
      <w:r w:rsidRPr="000F6E0E">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073AFA" w:rsidRPr="000F6E0E">
        <w:rPr>
          <w:rFonts w:ascii="Arial" w:eastAsia="Calibri" w:hAnsi="Arial" w:cs="Arial"/>
          <w:sz w:val="22"/>
          <w:lang w:val="es-ES_tradnl"/>
        </w:rPr>
        <w:t>–</w:t>
      </w:r>
      <w:r w:rsidRPr="000F6E0E">
        <w:rPr>
          <w:rFonts w:ascii="Arial" w:eastAsia="Calibri" w:hAnsi="Arial" w:cs="Arial"/>
          <w:sz w:val="22"/>
          <w:lang w:val="es-ES_tradnl"/>
        </w:rPr>
        <w:t xml:space="preserve"> Colombia Compra Eficiente responde </w:t>
      </w:r>
      <w:r w:rsidR="00073AFA" w:rsidRPr="000F6E0E">
        <w:rPr>
          <w:rFonts w:ascii="Arial" w:eastAsia="Calibri" w:hAnsi="Arial" w:cs="Arial"/>
          <w:sz w:val="22"/>
          <w:lang w:val="es-ES_tradnl"/>
        </w:rPr>
        <w:t xml:space="preserve">las consultas realizadas </w:t>
      </w:r>
      <w:r w:rsidR="002E1A68" w:rsidRPr="000F6E0E">
        <w:rPr>
          <w:rFonts w:ascii="Arial" w:eastAsia="Calibri" w:hAnsi="Arial" w:cs="Arial"/>
          <w:sz w:val="22"/>
          <w:lang w:val="es-ES_tradnl"/>
        </w:rPr>
        <w:t>el</w:t>
      </w:r>
      <w:r w:rsidR="00B37841" w:rsidRPr="000F6E0E">
        <w:rPr>
          <w:rFonts w:ascii="Arial" w:eastAsia="Calibri" w:hAnsi="Arial" w:cs="Arial"/>
          <w:sz w:val="22"/>
          <w:lang w:val="es-ES_tradnl"/>
        </w:rPr>
        <w:t xml:space="preserve"> 16 de julio, </w:t>
      </w:r>
      <w:r w:rsidR="00394788" w:rsidRPr="000F6E0E">
        <w:rPr>
          <w:rFonts w:ascii="Arial" w:eastAsia="Calibri" w:hAnsi="Arial" w:cs="Arial"/>
          <w:sz w:val="22"/>
          <w:lang w:val="es-ES_tradnl"/>
        </w:rPr>
        <w:t>el 1° de agosto y el 17 de agosto de 2022</w:t>
      </w:r>
      <w:r w:rsidR="00F334FD" w:rsidRPr="000F6E0E">
        <w:rPr>
          <w:rFonts w:ascii="Arial" w:eastAsia="Calibri" w:hAnsi="Arial" w:cs="Arial"/>
          <w:sz w:val="22"/>
          <w:lang w:val="es-ES_tradnl"/>
        </w:rPr>
        <w:t>.</w:t>
      </w:r>
    </w:p>
    <w:p w14:paraId="645B1E41" w14:textId="77777777" w:rsidR="00234D71" w:rsidRPr="000F6E0E" w:rsidRDefault="00234D71" w:rsidP="00947D2A">
      <w:pPr>
        <w:pStyle w:val="Prrafodelista"/>
        <w:tabs>
          <w:tab w:val="left" w:pos="284"/>
        </w:tabs>
        <w:ind w:left="0"/>
        <w:rPr>
          <w:rFonts w:ascii="Arial" w:eastAsia="Calibri" w:hAnsi="Arial" w:cs="Arial"/>
          <w:b/>
          <w:sz w:val="22"/>
        </w:rPr>
      </w:pPr>
    </w:p>
    <w:p w14:paraId="5C4DF144" w14:textId="5E3137B8" w:rsidR="00630D34" w:rsidRPr="000F6E0E" w:rsidRDefault="00630D34" w:rsidP="00947D2A">
      <w:pPr>
        <w:pStyle w:val="Prrafodelista"/>
        <w:tabs>
          <w:tab w:val="left" w:pos="284"/>
        </w:tabs>
        <w:ind w:left="0"/>
        <w:rPr>
          <w:rFonts w:ascii="Arial" w:eastAsia="Calibri" w:hAnsi="Arial" w:cs="Arial"/>
          <w:b/>
          <w:sz w:val="22"/>
        </w:rPr>
      </w:pPr>
      <w:r w:rsidRPr="000F6E0E">
        <w:rPr>
          <w:rFonts w:ascii="Arial" w:eastAsia="Calibri" w:hAnsi="Arial" w:cs="Arial"/>
          <w:b/>
          <w:sz w:val="22"/>
        </w:rPr>
        <w:t xml:space="preserve">1. Problemas planteados </w:t>
      </w:r>
    </w:p>
    <w:p w14:paraId="352D9333" w14:textId="77777777" w:rsidR="00630D34" w:rsidRPr="000F6E0E" w:rsidRDefault="00630D34" w:rsidP="00947D2A">
      <w:pPr>
        <w:pStyle w:val="Prrafodelista"/>
        <w:tabs>
          <w:tab w:val="left" w:pos="284"/>
        </w:tabs>
        <w:ind w:left="0"/>
        <w:rPr>
          <w:rFonts w:ascii="Arial" w:eastAsia="Calibri" w:hAnsi="Arial" w:cs="Arial"/>
          <w:b/>
          <w:sz w:val="22"/>
        </w:rPr>
      </w:pPr>
    </w:p>
    <w:p w14:paraId="6D2334C3" w14:textId="7E3A8FB8" w:rsidR="0045580E" w:rsidRPr="000F6E0E" w:rsidRDefault="00D72761" w:rsidP="009B1245">
      <w:pPr>
        <w:pStyle w:val="Default"/>
        <w:spacing w:line="276" w:lineRule="auto"/>
        <w:jc w:val="both"/>
        <w:rPr>
          <w:sz w:val="21"/>
          <w:szCs w:val="21"/>
        </w:rPr>
      </w:pPr>
      <w:r w:rsidRPr="000F6E0E">
        <w:rPr>
          <w:rFonts w:eastAsia="Calibri"/>
          <w:bCs/>
          <w:color w:val="auto"/>
          <w:sz w:val="22"/>
          <w:szCs w:val="22"/>
        </w:rPr>
        <w:t>Usted realiza la siguiente pregunta: «</w:t>
      </w:r>
      <w:r w:rsidR="00EB5F1D" w:rsidRPr="000F6E0E">
        <w:rPr>
          <w:rFonts w:eastAsia="Calibri"/>
          <w:bCs/>
          <w:color w:val="auto"/>
          <w:sz w:val="22"/>
          <w:szCs w:val="22"/>
          <w:lang w:val="es-MX"/>
        </w:rPr>
        <w:t>¿Las Instituciones Educativas Públicas de Colombia - IEPC, en materia contractual ostentan un régimen especial cuando la cuantía de los procesos es inferior a 20 SMMLV?</w:t>
      </w:r>
      <w:r w:rsidR="009B1245" w:rsidRPr="000F6E0E">
        <w:rPr>
          <w:rFonts w:eastAsia="Calibri"/>
          <w:bCs/>
          <w:color w:val="auto"/>
          <w:sz w:val="22"/>
          <w:szCs w:val="22"/>
          <w:lang w:val="es-MX"/>
        </w:rPr>
        <w:t xml:space="preserve"> Lo anterior, por la implementación de la plataforma </w:t>
      </w:r>
      <w:r w:rsidR="009B1245" w:rsidRPr="000F6E0E">
        <w:rPr>
          <w:rFonts w:eastAsia="Calibri"/>
          <w:bCs/>
          <w:color w:val="auto"/>
          <w:sz w:val="22"/>
          <w:szCs w:val="22"/>
          <w:lang w:val="es-MX"/>
        </w:rPr>
        <w:lastRenderedPageBreak/>
        <w:t>SECOP II en las Instituciones Educativas Públicas de Colombia cuando estén llevando a cabo procesos por la modalidad de contratación denominada Régimen de Contratación Inferior a 20 SMMLV de que trata el artículo 13 de la Ley 715 de 2001, por los efectos del artículo 53 de la Ley 2195 de 2022».</w:t>
      </w:r>
    </w:p>
    <w:p w14:paraId="342FC511" w14:textId="77777777" w:rsidR="0008266A" w:rsidRPr="000F6E0E" w:rsidRDefault="0008266A" w:rsidP="00947D2A">
      <w:pPr>
        <w:pStyle w:val="Default"/>
        <w:spacing w:line="276" w:lineRule="auto"/>
        <w:jc w:val="both"/>
        <w:rPr>
          <w:rFonts w:eastAsia="Calibri"/>
          <w:bCs/>
          <w:color w:val="auto"/>
          <w:sz w:val="22"/>
          <w:szCs w:val="22"/>
        </w:rPr>
      </w:pPr>
    </w:p>
    <w:p w14:paraId="2ABC9D8E" w14:textId="51881890" w:rsidR="00630D34" w:rsidRPr="000F6E0E" w:rsidRDefault="00630D34" w:rsidP="00947D2A">
      <w:pPr>
        <w:pStyle w:val="Default"/>
        <w:spacing w:line="276" w:lineRule="auto"/>
        <w:jc w:val="both"/>
        <w:rPr>
          <w:rFonts w:eastAsia="Calibri"/>
          <w:b/>
          <w:sz w:val="22"/>
        </w:rPr>
      </w:pPr>
      <w:r w:rsidRPr="000F6E0E">
        <w:rPr>
          <w:rFonts w:eastAsia="Calibri"/>
          <w:b/>
          <w:sz w:val="22"/>
        </w:rPr>
        <w:t>2. Consideraciones</w:t>
      </w:r>
    </w:p>
    <w:p w14:paraId="20F528C7" w14:textId="77777777" w:rsidR="00E80494" w:rsidRPr="000F6E0E" w:rsidRDefault="00E80494" w:rsidP="00947D2A">
      <w:pPr>
        <w:tabs>
          <w:tab w:val="left" w:pos="426"/>
        </w:tabs>
        <w:jc w:val="both"/>
        <w:rPr>
          <w:rFonts w:ascii="Arial" w:eastAsia="Calibri" w:hAnsi="Arial" w:cs="Arial"/>
          <w:b/>
          <w:sz w:val="22"/>
        </w:rPr>
      </w:pPr>
    </w:p>
    <w:p w14:paraId="2C29644F" w14:textId="37C99C94" w:rsidR="0073638E" w:rsidRPr="000F6E0E" w:rsidRDefault="00630D34" w:rsidP="00947D2A">
      <w:pPr>
        <w:spacing w:after="120" w:line="276" w:lineRule="auto"/>
        <w:jc w:val="both"/>
        <w:rPr>
          <w:rFonts w:ascii="Arial" w:eastAsia="Calibri" w:hAnsi="Arial" w:cs="Arial"/>
          <w:sz w:val="22"/>
        </w:rPr>
      </w:pPr>
      <w:r w:rsidRPr="000F6E0E">
        <w:rPr>
          <w:rFonts w:ascii="Arial" w:eastAsia="Calibri" w:hAnsi="Arial" w:cs="Arial"/>
          <w:sz w:val="22"/>
        </w:rPr>
        <w:t xml:space="preserve">Para </w:t>
      </w:r>
      <w:r w:rsidR="0073638E" w:rsidRPr="000F6E0E">
        <w:rPr>
          <w:rFonts w:ascii="Arial" w:eastAsia="Calibri" w:hAnsi="Arial" w:cs="Arial"/>
          <w:sz w:val="22"/>
        </w:rPr>
        <w:t>resolver la</w:t>
      </w:r>
      <w:r w:rsidR="0045580E" w:rsidRPr="000F6E0E">
        <w:rPr>
          <w:rFonts w:ascii="Arial" w:eastAsia="Calibri" w:hAnsi="Arial" w:cs="Arial"/>
          <w:sz w:val="22"/>
        </w:rPr>
        <w:t>s</w:t>
      </w:r>
      <w:r w:rsidR="0073638E" w:rsidRPr="000F6E0E">
        <w:rPr>
          <w:rFonts w:ascii="Arial" w:eastAsia="Calibri" w:hAnsi="Arial" w:cs="Arial"/>
          <w:sz w:val="22"/>
        </w:rPr>
        <w:t xml:space="preserve"> inquietud</w:t>
      </w:r>
      <w:r w:rsidR="0045580E" w:rsidRPr="000F6E0E">
        <w:rPr>
          <w:rFonts w:ascii="Arial" w:eastAsia="Calibri" w:hAnsi="Arial" w:cs="Arial"/>
          <w:sz w:val="22"/>
        </w:rPr>
        <w:t>es</w:t>
      </w:r>
      <w:r w:rsidR="0073638E" w:rsidRPr="000F6E0E">
        <w:rPr>
          <w:rFonts w:ascii="Arial" w:eastAsia="Calibri" w:hAnsi="Arial" w:cs="Arial"/>
          <w:sz w:val="22"/>
        </w:rPr>
        <w:t xml:space="preserve"> planteada</w:t>
      </w:r>
      <w:r w:rsidR="0045580E" w:rsidRPr="000F6E0E">
        <w:rPr>
          <w:rFonts w:ascii="Arial" w:eastAsia="Calibri" w:hAnsi="Arial" w:cs="Arial"/>
          <w:sz w:val="22"/>
        </w:rPr>
        <w:t>s</w:t>
      </w:r>
      <w:r w:rsidRPr="000F6E0E">
        <w:rPr>
          <w:rFonts w:ascii="Arial" w:eastAsia="Calibri" w:hAnsi="Arial" w:cs="Arial"/>
          <w:sz w:val="22"/>
        </w:rPr>
        <w:t xml:space="preserve"> </w:t>
      </w:r>
      <w:r w:rsidR="0073638E" w:rsidRPr="000F6E0E">
        <w:rPr>
          <w:rFonts w:ascii="Arial" w:eastAsia="Calibri" w:hAnsi="Arial" w:cs="Arial"/>
          <w:sz w:val="22"/>
        </w:rPr>
        <w:t xml:space="preserve">se </w:t>
      </w:r>
      <w:r w:rsidR="00C83CE0" w:rsidRPr="000F6E0E">
        <w:rPr>
          <w:rFonts w:ascii="Arial" w:eastAsia="Calibri" w:hAnsi="Arial" w:cs="Arial"/>
          <w:sz w:val="22"/>
        </w:rPr>
        <w:t>abordarán</w:t>
      </w:r>
      <w:r w:rsidR="0045580E" w:rsidRPr="000F6E0E">
        <w:rPr>
          <w:rFonts w:ascii="Arial" w:eastAsia="Calibri" w:hAnsi="Arial" w:cs="Arial"/>
          <w:sz w:val="22"/>
        </w:rPr>
        <w:t xml:space="preserve"> los siguientes temas</w:t>
      </w:r>
      <w:r w:rsidR="0073638E" w:rsidRPr="000F6E0E">
        <w:rPr>
          <w:rFonts w:ascii="Arial" w:eastAsia="Calibri" w:hAnsi="Arial" w:cs="Arial"/>
          <w:sz w:val="22"/>
        </w:rPr>
        <w:t>: i) la naturaleza jurídica de las Instituciones Educativas de carácter oficial y su régimen de contratación;</w:t>
      </w:r>
      <w:r w:rsidR="002908E2" w:rsidRPr="000F6E0E">
        <w:rPr>
          <w:rFonts w:ascii="Arial" w:eastAsia="Calibri" w:hAnsi="Arial" w:cs="Arial"/>
          <w:sz w:val="22"/>
        </w:rPr>
        <w:t xml:space="preserve"> y</w:t>
      </w:r>
      <w:r w:rsidR="0073638E" w:rsidRPr="000F6E0E">
        <w:rPr>
          <w:rFonts w:ascii="Arial" w:eastAsia="Calibri" w:hAnsi="Arial" w:cs="Arial"/>
          <w:sz w:val="22"/>
        </w:rPr>
        <w:t xml:space="preserve"> </w:t>
      </w:r>
      <w:proofErr w:type="spellStart"/>
      <w:r w:rsidR="0073638E" w:rsidRPr="000F6E0E">
        <w:rPr>
          <w:rFonts w:ascii="Arial" w:eastAsia="Calibri" w:hAnsi="Arial" w:cs="Arial"/>
          <w:sz w:val="22"/>
        </w:rPr>
        <w:t>ii</w:t>
      </w:r>
      <w:proofErr w:type="spellEnd"/>
      <w:r w:rsidR="0073638E" w:rsidRPr="000F6E0E">
        <w:rPr>
          <w:rFonts w:ascii="Arial" w:eastAsia="Calibri" w:hAnsi="Arial" w:cs="Arial"/>
          <w:sz w:val="22"/>
        </w:rPr>
        <w:t xml:space="preserve">) </w:t>
      </w:r>
      <w:r w:rsidR="00A93C3F" w:rsidRPr="000F6E0E">
        <w:rPr>
          <w:rFonts w:ascii="Arial" w:eastAsia="Calibri" w:hAnsi="Arial" w:cs="Arial"/>
          <w:sz w:val="22"/>
        </w:rPr>
        <w:t xml:space="preserve">el </w:t>
      </w:r>
      <w:r w:rsidR="00526B4A" w:rsidRPr="000F6E0E">
        <w:rPr>
          <w:rFonts w:ascii="Arial" w:eastAsia="Calibri" w:hAnsi="Arial" w:cs="Arial"/>
          <w:sz w:val="22"/>
        </w:rPr>
        <w:t>principio de publicidad y acceso a la información pública</w:t>
      </w:r>
      <w:r w:rsidR="0073638E" w:rsidRPr="000F6E0E">
        <w:rPr>
          <w:rFonts w:ascii="Arial" w:eastAsia="Calibri" w:hAnsi="Arial" w:cs="Arial"/>
          <w:sz w:val="22"/>
        </w:rPr>
        <w:t>.</w:t>
      </w:r>
    </w:p>
    <w:p w14:paraId="7CA57661" w14:textId="7D5EEF0E" w:rsidR="00C83CE0" w:rsidRPr="000F6E0E" w:rsidRDefault="00C83CE0" w:rsidP="00947D2A">
      <w:pPr>
        <w:spacing w:after="120" w:line="276" w:lineRule="auto"/>
        <w:ind w:firstLine="708"/>
        <w:jc w:val="both"/>
        <w:rPr>
          <w:rFonts w:ascii="Arial" w:hAnsi="Arial" w:cs="Arial"/>
          <w:sz w:val="22"/>
        </w:rPr>
      </w:pPr>
      <w:r w:rsidRPr="000F6E0E">
        <w:rPr>
          <w:rFonts w:ascii="Arial" w:hAnsi="Arial" w:cs="Arial"/>
          <w:sz w:val="22"/>
        </w:rPr>
        <w:t xml:space="preserve">La Agencia Nacional de Contratación Pública – Colombia Compra eficiente estudió el tema de la naturaleza jurídica de las </w:t>
      </w:r>
      <w:r w:rsidR="00805D07" w:rsidRPr="000F6E0E">
        <w:rPr>
          <w:rFonts w:ascii="Arial" w:hAnsi="Arial" w:cs="Arial"/>
          <w:sz w:val="22"/>
        </w:rPr>
        <w:t>i</w:t>
      </w:r>
      <w:r w:rsidRPr="000F6E0E">
        <w:rPr>
          <w:rFonts w:ascii="Arial" w:hAnsi="Arial" w:cs="Arial"/>
          <w:sz w:val="22"/>
        </w:rPr>
        <w:t xml:space="preserve">nstituciones educativas y su régimen de contratación en los conceptos con radicado 2201913000006285 del 27 de agosto de 2019, No. </w:t>
      </w:r>
      <w:hyperlink r:id="rId12" w:tgtFrame="_blank" w:history="1">
        <w:r w:rsidRPr="000F6E0E">
          <w:rPr>
            <w:rFonts w:ascii="Arial" w:hAnsi="Arial" w:cs="Arial"/>
            <w:sz w:val="22"/>
          </w:rPr>
          <w:t>2201913000006068</w:t>
        </w:r>
      </w:hyperlink>
      <w:r w:rsidRPr="000F6E0E">
        <w:rPr>
          <w:rFonts w:ascii="Arial" w:hAnsi="Arial" w:cs="Arial"/>
          <w:sz w:val="22"/>
        </w:rPr>
        <w:t xml:space="preserve"> del 28 de agosto de 2019, 2201913000008174 del 31 de octubre de 2019</w:t>
      </w:r>
      <w:r w:rsidR="009C6145" w:rsidRPr="000F6E0E">
        <w:rPr>
          <w:rFonts w:ascii="Arial" w:hAnsi="Arial" w:cs="Arial"/>
          <w:sz w:val="22"/>
        </w:rPr>
        <w:t>,</w:t>
      </w:r>
      <w:r w:rsidRPr="000F6E0E">
        <w:rPr>
          <w:rFonts w:ascii="Arial" w:hAnsi="Arial" w:cs="Arial"/>
          <w:sz w:val="22"/>
        </w:rPr>
        <w:t xml:space="preserve">  </w:t>
      </w:r>
      <w:hyperlink r:id="rId13" w:tgtFrame="_blank" w:history="1">
        <w:r w:rsidRPr="000F6E0E">
          <w:rPr>
            <w:rFonts w:ascii="Arial" w:hAnsi="Arial" w:cs="Arial"/>
            <w:sz w:val="22"/>
          </w:rPr>
          <w:t>2201913000008197</w:t>
        </w:r>
      </w:hyperlink>
      <w:r w:rsidRPr="000F6E0E">
        <w:rPr>
          <w:rFonts w:ascii="Arial" w:hAnsi="Arial" w:cs="Arial"/>
          <w:sz w:val="22"/>
        </w:rPr>
        <w:t xml:space="preserve"> del 1 de noviembre de 2019, C-181 del 6 de abril de 2020, C-272 del 27 de abril de 202</w:t>
      </w:r>
      <w:r w:rsidR="00511BEB" w:rsidRPr="000F6E0E">
        <w:rPr>
          <w:rFonts w:ascii="Arial" w:hAnsi="Arial" w:cs="Arial"/>
          <w:sz w:val="22"/>
        </w:rPr>
        <w:t>0, C-284 del 27 de mayo de 2010, C-399 del 23 de junio de 2020 y C-574 del 28 de agosto de 2020.</w:t>
      </w:r>
      <w:r w:rsidRPr="000F6E0E">
        <w:rPr>
          <w:rFonts w:ascii="Arial" w:hAnsi="Arial" w:cs="Arial"/>
          <w:sz w:val="22"/>
        </w:rPr>
        <w:tab/>
      </w:r>
    </w:p>
    <w:p w14:paraId="04EB3BDD" w14:textId="5FEEAB44" w:rsidR="00630D34" w:rsidRPr="000F6E0E" w:rsidRDefault="00292F1B" w:rsidP="00947D2A">
      <w:pPr>
        <w:tabs>
          <w:tab w:val="left" w:pos="426"/>
        </w:tabs>
        <w:spacing w:line="276" w:lineRule="auto"/>
        <w:jc w:val="both"/>
        <w:rPr>
          <w:rFonts w:ascii="Arial" w:hAnsi="Arial" w:cs="Arial"/>
          <w:sz w:val="22"/>
        </w:rPr>
      </w:pPr>
      <w:r w:rsidRPr="000F6E0E">
        <w:rPr>
          <w:rFonts w:ascii="Arial" w:eastAsia="Calibri" w:hAnsi="Arial" w:cs="Arial"/>
          <w:bCs/>
          <w:sz w:val="22"/>
        </w:rPr>
        <w:tab/>
      </w:r>
      <w:r w:rsidRPr="000F6E0E">
        <w:rPr>
          <w:rFonts w:ascii="Arial" w:eastAsia="Calibri" w:hAnsi="Arial" w:cs="Arial"/>
          <w:bCs/>
          <w:sz w:val="22"/>
        </w:rPr>
        <w:tab/>
      </w:r>
      <w:r w:rsidR="00230EC0" w:rsidRPr="000F6E0E">
        <w:rPr>
          <w:rFonts w:ascii="Arial" w:eastAsia="Calibri" w:hAnsi="Arial" w:cs="Arial"/>
          <w:bCs/>
          <w:sz w:val="22"/>
        </w:rPr>
        <w:t xml:space="preserve">De otra parte, esta Agencia estudió el tema de la publicidad de </w:t>
      </w:r>
      <w:r w:rsidRPr="000F6E0E">
        <w:rPr>
          <w:rFonts w:ascii="Arial" w:eastAsia="Calibri" w:hAnsi="Arial" w:cs="Arial"/>
          <w:bCs/>
          <w:sz w:val="22"/>
        </w:rPr>
        <w:t>la gestión contractual de las entidades estatales con régimen especial</w:t>
      </w:r>
      <w:r w:rsidR="00230EC0" w:rsidRPr="000F6E0E">
        <w:rPr>
          <w:rFonts w:ascii="Arial" w:eastAsia="Calibri" w:hAnsi="Arial" w:cs="Arial"/>
          <w:bCs/>
          <w:sz w:val="22"/>
        </w:rPr>
        <w:t xml:space="preserve"> en la consulta No. 4201913000005397 del 9 de agosto de 2019 y reiteró la posición en las siguientes consultas: 4201912000006611 del 25 de septiembre de 2019, </w:t>
      </w:r>
      <w:r w:rsidR="00230EC0" w:rsidRPr="000F6E0E">
        <w:rPr>
          <w:rFonts w:ascii="Arial" w:hAnsi="Arial" w:cs="Arial"/>
          <w:sz w:val="22"/>
        </w:rPr>
        <w:t xml:space="preserve">4201913000006847 del 4 de octubre de 2019, </w:t>
      </w:r>
      <w:r w:rsidR="00230EC0" w:rsidRPr="000F6E0E">
        <w:rPr>
          <w:rFonts w:ascii="Arial" w:eastAsia="Calibri" w:hAnsi="Arial" w:cs="Arial"/>
          <w:bCs/>
          <w:sz w:val="22"/>
        </w:rPr>
        <w:t>4201912000007762 del 18 de noviembre de 2019, y en la consulta 4201912000007828 del 13 de noviembre de 2019</w:t>
      </w:r>
      <w:r w:rsidR="00554131" w:rsidRPr="000F6E0E">
        <w:rPr>
          <w:rFonts w:ascii="Arial" w:hAnsi="Arial" w:cs="Arial"/>
          <w:sz w:val="22"/>
        </w:rPr>
        <w:t>. Además,</w:t>
      </w:r>
      <w:r w:rsidR="00230EC0" w:rsidRPr="000F6E0E">
        <w:rPr>
          <w:rFonts w:ascii="Arial" w:hAnsi="Arial" w:cs="Arial"/>
          <w:sz w:val="22"/>
        </w:rPr>
        <w:t xml:space="preserve"> en el Concepto CU </w:t>
      </w:r>
      <w:r w:rsidR="009C6145" w:rsidRPr="000F6E0E">
        <w:rPr>
          <w:rFonts w:ascii="Arial" w:hAnsi="Arial" w:cs="Arial"/>
          <w:sz w:val="22"/>
        </w:rPr>
        <w:t>–</w:t>
      </w:r>
      <w:r w:rsidR="00230EC0" w:rsidRPr="000F6E0E">
        <w:rPr>
          <w:rFonts w:ascii="Arial" w:hAnsi="Arial" w:cs="Arial"/>
          <w:sz w:val="22"/>
        </w:rPr>
        <w:t xml:space="preserve"> 003 de</w:t>
      </w:r>
      <w:r w:rsidR="00554131" w:rsidRPr="000F6E0E">
        <w:rPr>
          <w:rFonts w:ascii="Arial" w:hAnsi="Arial" w:cs="Arial"/>
          <w:sz w:val="22"/>
        </w:rPr>
        <w:t>l</w:t>
      </w:r>
      <w:r w:rsidR="00230EC0" w:rsidRPr="000F6E0E">
        <w:rPr>
          <w:rFonts w:ascii="Arial" w:hAnsi="Arial" w:cs="Arial"/>
          <w:sz w:val="22"/>
        </w:rPr>
        <w:t xml:space="preserve"> 15 de enero 2020 unificó la tesis sobre el particular</w:t>
      </w:r>
      <w:r w:rsidR="009C6145" w:rsidRPr="000F6E0E">
        <w:rPr>
          <w:rFonts w:ascii="Arial" w:hAnsi="Arial" w:cs="Arial"/>
          <w:sz w:val="22"/>
        </w:rPr>
        <w:t>,</w:t>
      </w:r>
      <w:r w:rsidR="00230EC0" w:rsidRPr="000F6E0E">
        <w:rPr>
          <w:rFonts w:ascii="Arial" w:hAnsi="Arial" w:cs="Arial"/>
          <w:sz w:val="22"/>
        </w:rPr>
        <w:t xml:space="preserve"> la cual fue reiterada en </w:t>
      </w:r>
      <w:r w:rsidR="00554131" w:rsidRPr="000F6E0E">
        <w:rPr>
          <w:rFonts w:ascii="Arial" w:hAnsi="Arial" w:cs="Arial"/>
          <w:sz w:val="22"/>
        </w:rPr>
        <w:t>los conceptos</w:t>
      </w:r>
      <w:r w:rsidR="00230EC0" w:rsidRPr="000F6E0E">
        <w:rPr>
          <w:rFonts w:ascii="Arial" w:hAnsi="Arial" w:cs="Arial"/>
          <w:sz w:val="22"/>
        </w:rPr>
        <w:t xml:space="preserve"> C – 061 de 21 de enero de 2020, C – 115 de 11 de febrero de 2020, C – 149 de 14 de febrero de 2020, </w:t>
      </w:r>
      <w:r w:rsidR="00230EC0" w:rsidRPr="000F6E0E">
        <w:rPr>
          <w:rFonts w:ascii="Arial" w:eastAsia="Calibri" w:hAnsi="Arial" w:cs="Arial"/>
          <w:bCs/>
          <w:sz w:val="22"/>
        </w:rPr>
        <w:t>C – 095 del 16 de marzo de 2020, C–181 del 6 de abril de 2020</w:t>
      </w:r>
      <w:r w:rsidR="00554131" w:rsidRPr="000F6E0E">
        <w:rPr>
          <w:rFonts w:ascii="Arial" w:hAnsi="Arial" w:cs="Arial"/>
          <w:sz w:val="22"/>
        </w:rPr>
        <w:t xml:space="preserve"> y</w:t>
      </w:r>
      <w:r w:rsidRPr="000F6E0E">
        <w:rPr>
          <w:rFonts w:ascii="Arial" w:hAnsi="Arial" w:cs="Arial"/>
          <w:sz w:val="22"/>
        </w:rPr>
        <w:t xml:space="preserve"> </w:t>
      </w:r>
      <w:r w:rsidR="00230EC0" w:rsidRPr="000F6E0E">
        <w:rPr>
          <w:rFonts w:ascii="Arial" w:hAnsi="Arial" w:cs="Arial"/>
          <w:sz w:val="22"/>
        </w:rPr>
        <w:t>C – 312 del 6 de mayo de 2020</w:t>
      </w:r>
      <w:r w:rsidRPr="000F6E0E">
        <w:rPr>
          <w:rFonts w:ascii="Arial" w:hAnsi="Arial" w:cs="Arial"/>
          <w:sz w:val="22"/>
        </w:rPr>
        <w:t>, entre otros</w:t>
      </w:r>
      <w:r w:rsidR="00230EC0" w:rsidRPr="000F6E0E">
        <w:rPr>
          <w:rFonts w:ascii="Arial" w:hAnsi="Arial" w:cs="Arial"/>
          <w:sz w:val="22"/>
        </w:rPr>
        <w:t>.</w:t>
      </w:r>
      <w:r w:rsidRPr="000F6E0E">
        <w:rPr>
          <w:rFonts w:ascii="Arial" w:hAnsi="Arial" w:cs="Arial"/>
          <w:sz w:val="22"/>
        </w:rPr>
        <w:t xml:space="preserve"> Las tesis expues</w:t>
      </w:r>
      <w:r w:rsidR="0045580E" w:rsidRPr="000F6E0E">
        <w:rPr>
          <w:rFonts w:ascii="Arial" w:hAnsi="Arial" w:cs="Arial"/>
          <w:sz w:val="22"/>
        </w:rPr>
        <w:t>tas se reiteran a continuación y se complementan en lo pertinente.</w:t>
      </w:r>
    </w:p>
    <w:p w14:paraId="42C52820" w14:textId="77777777" w:rsidR="00292F1B" w:rsidRPr="000F6E0E" w:rsidRDefault="00292F1B" w:rsidP="00947D2A">
      <w:pPr>
        <w:tabs>
          <w:tab w:val="left" w:pos="426"/>
        </w:tabs>
        <w:spacing w:line="276" w:lineRule="auto"/>
        <w:jc w:val="both"/>
        <w:rPr>
          <w:rFonts w:ascii="Arial" w:eastAsia="Calibri" w:hAnsi="Arial" w:cs="Arial"/>
          <w:b/>
          <w:sz w:val="22"/>
        </w:rPr>
      </w:pPr>
    </w:p>
    <w:p w14:paraId="4F645358" w14:textId="46B9080F" w:rsidR="00630D34" w:rsidRPr="000F6E0E" w:rsidRDefault="00630D34" w:rsidP="00947D2A">
      <w:pPr>
        <w:tabs>
          <w:tab w:val="left" w:pos="426"/>
        </w:tabs>
        <w:jc w:val="both"/>
        <w:rPr>
          <w:rFonts w:ascii="Arial" w:eastAsia="Calibri" w:hAnsi="Arial" w:cs="Arial"/>
          <w:b/>
          <w:sz w:val="22"/>
        </w:rPr>
      </w:pPr>
      <w:r w:rsidRPr="000F6E0E">
        <w:rPr>
          <w:rFonts w:ascii="Arial" w:eastAsia="Calibri" w:hAnsi="Arial" w:cs="Arial"/>
          <w:b/>
          <w:sz w:val="22"/>
        </w:rPr>
        <w:t xml:space="preserve">2.1. </w:t>
      </w:r>
      <w:r w:rsidR="00E80494" w:rsidRPr="000F6E0E">
        <w:rPr>
          <w:rFonts w:ascii="Arial" w:eastAsia="Calibri" w:hAnsi="Arial" w:cs="Arial"/>
          <w:b/>
          <w:sz w:val="22"/>
        </w:rPr>
        <w:t xml:space="preserve">Naturaleza Jurídica de las Instituciones Educativas de </w:t>
      </w:r>
      <w:r w:rsidR="00A026BB" w:rsidRPr="000F6E0E">
        <w:rPr>
          <w:rFonts w:ascii="Arial" w:eastAsia="Calibri" w:hAnsi="Arial" w:cs="Arial"/>
          <w:b/>
          <w:sz w:val="22"/>
        </w:rPr>
        <w:t>c</w:t>
      </w:r>
      <w:r w:rsidR="00E80494" w:rsidRPr="000F6E0E">
        <w:rPr>
          <w:rFonts w:ascii="Arial" w:eastAsia="Calibri" w:hAnsi="Arial" w:cs="Arial"/>
          <w:b/>
          <w:sz w:val="22"/>
        </w:rPr>
        <w:t>arácter oficial y su régimen de contratación</w:t>
      </w:r>
    </w:p>
    <w:p w14:paraId="56DE2A70" w14:textId="77777777" w:rsidR="00E80494" w:rsidRPr="000F6E0E" w:rsidRDefault="00E80494" w:rsidP="00947D2A">
      <w:pPr>
        <w:tabs>
          <w:tab w:val="left" w:pos="426"/>
        </w:tabs>
        <w:jc w:val="both"/>
        <w:rPr>
          <w:rFonts w:ascii="Arial" w:eastAsia="Calibri" w:hAnsi="Arial" w:cs="Arial"/>
          <w:b/>
          <w:sz w:val="22"/>
        </w:rPr>
      </w:pPr>
    </w:p>
    <w:p w14:paraId="74EC4668" w14:textId="7BE5265E" w:rsidR="00044E28" w:rsidRPr="000F6E0E" w:rsidRDefault="00044E28" w:rsidP="00947D2A">
      <w:pPr>
        <w:spacing w:after="120" w:line="276" w:lineRule="auto"/>
        <w:jc w:val="both"/>
        <w:rPr>
          <w:rFonts w:ascii="Arial" w:hAnsi="Arial" w:cs="Arial"/>
          <w:sz w:val="22"/>
        </w:rPr>
      </w:pPr>
      <w:r w:rsidRPr="000F6E0E">
        <w:rPr>
          <w:rFonts w:ascii="Arial" w:hAnsi="Arial" w:cs="Arial"/>
          <w:sz w:val="22"/>
        </w:rPr>
        <w:t>Las Leyes 60 de 1993 y 715 de 2001 descentralizaron el sistema educativo en Colombia, asignándole</w:t>
      </w:r>
      <w:r w:rsidR="005D3D12" w:rsidRPr="000F6E0E">
        <w:rPr>
          <w:rFonts w:ascii="Arial" w:hAnsi="Arial" w:cs="Arial"/>
          <w:sz w:val="22"/>
        </w:rPr>
        <w:t>s</w:t>
      </w:r>
      <w:r w:rsidRPr="000F6E0E">
        <w:rPr>
          <w:rFonts w:ascii="Arial" w:hAnsi="Arial" w:cs="Arial"/>
          <w:sz w:val="22"/>
        </w:rPr>
        <w:t xml:space="preserve"> a los departamentos, distritos y municipios las competencias y los recursos para dirigir las instituciones educativas. Es decir, el sistema educativo está descentralizado por las competencias propias que se le han otorgado a las entidades territoriales para administrar las instituciones educativas</w:t>
      </w:r>
      <w:r w:rsidR="008D6A30" w:rsidRPr="000F6E0E">
        <w:rPr>
          <w:rFonts w:ascii="Arial" w:hAnsi="Arial" w:cs="Arial"/>
          <w:sz w:val="22"/>
        </w:rPr>
        <w:t>,</w:t>
      </w:r>
      <w:r w:rsidRPr="000F6E0E">
        <w:rPr>
          <w:rFonts w:ascii="Arial" w:hAnsi="Arial" w:cs="Arial"/>
          <w:sz w:val="22"/>
        </w:rPr>
        <w:t xml:space="preserve"> que pueden ser de los diferentes niveles</w:t>
      </w:r>
      <w:r w:rsidR="009C6145" w:rsidRPr="000F6E0E">
        <w:rPr>
          <w:rFonts w:ascii="Arial" w:hAnsi="Arial" w:cs="Arial"/>
          <w:sz w:val="22"/>
        </w:rPr>
        <w:t>,</w:t>
      </w:r>
      <w:r w:rsidRPr="000F6E0E">
        <w:rPr>
          <w:rFonts w:ascii="Arial" w:hAnsi="Arial" w:cs="Arial"/>
          <w:sz w:val="22"/>
        </w:rPr>
        <w:t xml:space="preserve"> pero estas no son entidades descentralizadas. </w:t>
      </w:r>
    </w:p>
    <w:p w14:paraId="2755EE68" w14:textId="7DBACA6C" w:rsidR="00044E28" w:rsidRPr="000F6E0E" w:rsidRDefault="00044E28" w:rsidP="00947D2A">
      <w:pPr>
        <w:spacing w:after="120" w:line="276" w:lineRule="auto"/>
        <w:ind w:firstLine="709"/>
        <w:jc w:val="both"/>
        <w:rPr>
          <w:rFonts w:ascii="Arial" w:hAnsi="Arial" w:cs="Arial"/>
          <w:sz w:val="22"/>
        </w:rPr>
      </w:pPr>
      <w:r w:rsidRPr="000F6E0E">
        <w:rPr>
          <w:rFonts w:ascii="Arial" w:hAnsi="Arial" w:cs="Arial"/>
          <w:sz w:val="22"/>
        </w:rPr>
        <w:lastRenderedPageBreak/>
        <w:t xml:space="preserve">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 permiten a las instituciones </w:t>
      </w:r>
      <w:r w:rsidR="004026EC" w:rsidRPr="000F6E0E">
        <w:rPr>
          <w:rFonts w:ascii="Arial" w:hAnsi="Arial" w:cs="Arial"/>
          <w:sz w:val="22"/>
        </w:rPr>
        <w:t>r</w:t>
      </w:r>
      <w:r w:rsidRPr="000F6E0E">
        <w:rPr>
          <w:rFonts w:ascii="Arial" w:hAnsi="Arial" w:cs="Arial"/>
          <w:sz w:val="22"/>
        </w:rPr>
        <w:t>ealizar</w:t>
      </w:r>
      <w:r w:rsidR="004026EC" w:rsidRPr="000F6E0E">
        <w:rPr>
          <w:rFonts w:ascii="Arial" w:hAnsi="Arial" w:cs="Arial"/>
          <w:sz w:val="22"/>
        </w:rPr>
        <w:t xml:space="preserve"> la g</w:t>
      </w:r>
      <w:r w:rsidRPr="000F6E0E">
        <w:rPr>
          <w:rFonts w:ascii="Arial" w:hAnsi="Arial" w:cs="Arial"/>
          <w:sz w:val="22"/>
        </w:rPr>
        <w:t>estión y ejecución presupuestal de los recursos que reciben los establecimientos educativos</w:t>
      </w:r>
      <w:r w:rsidRPr="000F6E0E">
        <w:rPr>
          <w:rStyle w:val="Refdenotaalpie"/>
          <w:rFonts w:ascii="Arial" w:hAnsi="Arial" w:cs="Arial"/>
          <w:sz w:val="22"/>
        </w:rPr>
        <w:footnoteReference w:id="2"/>
      </w:r>
      <w:r w:rsidRPr="000F6E0E">
        <w:rPr>
          <w:rFonts w:ascii="Arial" w:hAnsi="Arial" w:cs="Arial"/>
          <w:sz w:val="22"/>
        </w:rPr>
        <w:t xml:space="preserve"> </w:t>
      </w:r>
      <w:r w:rsidRPr="000F6E0E">
        <w:rPr>
          <w:rStyle w:val="Refdenotaalpie"/>
          <w:rFonts w:ascii="Arial" w:hAnsi="Arial" w:cs="Arial"/>
          <w:sz w:val="22"/>
        </w:rPr>
        <w:footnoteReference w:id="3"/>
      </w:r>
      <w:r w:rsidRPr="000F6E0E">
        <w:rPr>
          <w:rFonts w:ascii="Arial" w:hAnsi="Arial" w:cs="Arial"/>
          <w:sz w:val="22"/>
        </w:rPr>
        <w:t>.</w:t>
      </w:r>
    </w:p>
    <w:p w14:paraId="0F1E7919" w14:textId="1982E9FB" w:rsidR="00044E28" w:rsidRPr="000F6E0E" w:rsidRDefault="00044E28" w:rsidP="00947D2A">
      <w:pPr>
        <w:spacing w:line="276" w:lineRule="auto"/>
        <w:ind w:firstLine="709"/>
        <w:jc w:val="both"/>
        <w:rPr>
          <w:rFonts w:ascii="Arial" w:hAnsi="Arial" w:cs="Arial"/>
          <w:sz w:val="22"/>
        </w:rPr>
      </w:pPr>
      <w:r w:rsidRPr="000F6E0E">
        <w:rPr>
          <w:rFonts w:ascii="Arial" w:hAnsi="Arial" w:cs="Arial"/>
          <w:sz w:val="22"/>
        </w:rPr>
        <w:t>Los fondos de servicios educativos tampoco cuentan con personería jurídica según lo previsto en el artículo 2.3.1.6.3.4 del Decreto 1075 de 2015, Decreto Único Reglamentario del Sector Educación:</w:t>
      </w:r>
    </w:p>
    <w:p w14:paraId="262AEC14" w14:textId="77777777" w:rsidR="00947D2A" w:rsidRPr="000F6E0E" w:rsidRDefault="00947D2A" w:rsidP="00947D2A">
      <w:pPr>
        <w:spacing w:line="276" w:lineRule="auto"/>
        <w:ind w:firstLine="709"/>
        <w:jc w:val="both"/>
        <w:rPr>
          <w:rFonts w:ascii="Arial" w:hAnsi="Arial" w:cs="Arial"/>
          <w:sz w:val="22"/>
        </w:rPr>
      </w:pPr>
    </w:p>
    <w:p w14:paraId="1F185F05" w14:textId="77777777" w:rsidR="00044E28" w:rsidRPr="000F6E0E" w:rsidRDefault="00044E28" w:rsidP="00947D2A">
      <w:pPr>
        <w:ind w:left="709" w:right="709"/>
        <w:jc w:val="both"/>
        <w:rPr>
          <w:rFonts w:ascii="Arial" w:hAnsi="Arial" w:cs="Arial"/>
          <w:sz w:val="21"/>
          <w:szCs w:val="21"/>
        </w:rPr>
      </w:pPr>
      <w:r w:rsidRPr="000F6E0E">
        <w:rPr>
          <w:rFonts w:ascii="Arial" w:hAnsi="Arial" w:cs="Arial"/>
          <w:sz w:val="21"/>
          <w:szCs w:val="21"/>
        </w:rPr>
        <w:t>Artículo 2.3.1.6.3.4. Ordenación del gasto. Los fondos de servicios educativos carecen de personería jurídica. El rector o director rural es el ordenador del gasto del Fondo de Servicios Educativos y su ejercicio no implica representación legal</w:t>
      </w:r>
      <w:r w:rsidRPr="000F6E0E">
        <w:rPr>
          <w:rStyle w:val="Refdenotaalpie"/>
          <w:rFonts w:ascii="Arial" w:hAnsi="Arial" w:cs="Arial"/>
          <w:sz w:val="21"/>
          <w:szCs w:val="21"/>
        </w:rPr>
        <w:footnoteReference w:id="4"/>
      </w:r>
      <w:r w:rsidRPr="000F6E0E">
        <w:rPr>
          <w:rFonts w:ascii="Arial" w:hAnsi="Arial" w:cs="Arial"/>
          <w:sz w:val="21"/>
          <w:szCs w:val="21"/>
        </w:rPr>
        <w:t>.</w:t>
      </w:r>
    </w:p>
    <w:p w14:paraId="0501F95E" w14:textId="77777777" w:rsidR="00044E28" w:rsidRPr="000F6E0E" w:rsidRDefault="00044E28" w:rsidP="00947D2A">
      <w:pPr>
        <w:spacing w:line="276" w:lineRule="auto"/>
        <w:jc w:val="both"/>
        <w:rPr>
          <w:rFonts w:ascii="Arial" w:hAnsi="Arial" w:cs="Arial"/>
          <w:sz w:val="22"/>
        </w:rPr>
      </w:pPr>
    </w:p>
    <w:p w14:paraId="5B3C1E96" w14:textId="77777777" w:rsidR="00011E77" w:rsidRPr="000F6E0E" w:rsidRDefault="00044E28" w:rsidP="00947D2A">
      <w:pPr>
        <w:spacing w:after="120" w:line="276" w:lineRule="auto"/>
        <w:ind w:firstLine="709"/>
        <w:jc w:val="both"/>
        <w:rPr>
          <w:rFonts w:ascii="Arial" w:hAnsi="Arial" w:cs="Arial"/>
          <w:sz w:val="22"/>
        </w:rPr>
      </w:pPr>
      <w:r w:rsidRPr="000F6E0E">
        <w:rPr>
          <w:rFonts w:ascii="Arial" w:hAnsi="Arial" w:cs="Arial"/>
          <w:sz w:val="22"/>
        </w:rPr>
        <w:t>Respecto de la capacidad para contratar con la que cuentan las instituciones educativas por medio de los fondos de servicios educativos, hay que precisar que cuando se trate de actos y contratos cuya cuantía no exceda los veinte (20) salarios mínimos mensuales legales vigentes</w:t>
      </w:r>
      <w:r w:rsidR="004026EC" w:rsidRPr="000F6E0E">
        <w:rPr>
          <w:rFonts w:ascii="Arial" w:hAnsi="Arial" w:cs="Arial"/>
          <w:sz w:val="22"/>
        </w:rPr>
        <w:t>,</w:t>
      </w:r>
      <w:r w:rsidRPr="000F6E0E">
        <w:rPr>
          <w:rFonts w:ascii="Arial" w:hAnsi="Arial" w:cs="Arial"/>
          <w:sz w:val="22"/>
        </w:rPr>
        <w:t xml:space="preserve"> se sujetarán a las condiciones previstas en el reglamento de contratación que expida el consejo directivo de la institución, de conformidad con lo dispuesto en el artículo 13 de la Ley 715 de 2001</w:t>
      </w:r>
      <w:r w:rsidRPr="000F6E0E">
        <w:rPr>
          <w:rStyle w:val="Refdenotaalpie"/>
          <w:rFonts w:ascii="Arial" w:hAnsi="Arial" w:cs="Arial"/>
          <w:sz w:val="22"/>
        </w:rPr>
        <w:footnoteReference w:id="5"/>
      </w:r>
      <w:r w:rsidRPr="000F6E0E">
        <w:rPr>
          <w:rFonts w:ascii="Arial" w:hAnsi="Arial" w:cs="Arial"/>
          <w:sz w:val="22"/>
        </w:rPr>
        <w:t>.</w:t>
      </w:r>
      <w:r w:rsidR="00863C61" w:rsidRPr="000F6E0E">
        <w:rPr>
          <w:rFonts w:ascii="Arial" w:hAnsi="Arial" w:cs="Arial"/>
          <w:sz w:val="22"/>
        </w:rPr>
        <w:t xml:space="preserve"> </w:t>
      </w:r>
    </w:p>
    <w:p w14:paraId="37C8479E" w14:textId="6C5EF3A5" w:rsidR="00044E28" w:rsidRPr="000F6E0E" w:rsidRDefault="00CA5B28" w:rsidP="00947D2A">
      <w:pPr>
        <w:spacing w:after="120" w:line="276" w:lineRule="auto"/>
        <w:ind w:firstLine="709"/>
        <w:jc w:val="both"/>
        <w:rPr>
          <w:rFonts w:ascii="Arial" w:hAnsi="Arial" w:cs="Arial"/>
          <w:sz w:val="22"/>
        </w:rPr>
      </w:pPr>
      <w:r w:rsidRPr="000F6E0E">
        <w:rPr>
          <w:rFonts w:ascii="Arial" w:hAnsi="Arial" w:cs="Arial"/>
          <w:sz w:val="22"/>
        </w:rPr>
        <w:lastRenderedPageBreak/>
        <w:t>Esto significa que</w:t>
      </w:r>
      <w:r w:rsidR="005E3121" w:rsidRPr="000F6E0E">
        <w:rPr>
          <w:rFonts w:ascii="Arial" w:hAnsi="Arial" w:cs="Arial"/>
          <w:sz w:val="22"/>
        </w:rPr>
        <w:t xml:space="preserve"> la contratación que realicen l</w:t>
      </w:r>
      <w:r w:rsidR="00011E77" w:rsidRPr="000F6E0E">
        <w:rPr>
          <w:rFonts w:ascii="Arial" w:hAnsi="Arial" w:cs="Arial"/>
          <w:sz w:val="22"/>
        </w:rPr>
        <w:t>as instituciones</w:t>
      </w:r>
      <w:r w:rsidR="005E3121" w:rsidRPr="000F6E0E">
        <w:rPr>
          <w:rFonts w:ascii="Arial" w:hAnsi="Arial" w:cs="Arial"/>
          <w:sz w:val="22"/>
        </w:rPr>
        <w:t xml:space="preserve"> educativ</w:t>
      </w:r>
      <w:r w:rsidR="00011E77" w:rsidRPr="000F6E0E">
        <w:rPr>
          <w:rFonts w:ascii="Arial" w:hAnsi="Arial" w:cs="Arial"/>
          <w:sz w:val="22"/>
        </w:rPr>
        <w:t>a</w:t>
      </w:r>
      <w:r w:rsidR="005E3121" w:rsidRPr="000F6E0E">
        <w:rPr>
          <w:rFonts w:ascii="Arial" w:hAnsi="Arial" w:cs="Arial"/>
          <w:sz w:val="22"/>
        </w:rPr>
        <w:t>s, siempre que se ubique por debajo del referido umbral, no deberá ceñirse a las reglas del Estatuto General de Contratación de la Administración</w:t>
      </w:r>
      <w:r w:rsidR="00011E77" w:rsidRPr="000F6E0E">
        <w:rPr>
          <w:rFonts w:ascii="Arial" w:hAnsi="Arial" w:cs="Arial"/>
          <w:sz w:val="22"/>
        </w:rPr>
        <w:t xml:space="preserve"> Pública</w:t>
      </w:r>
      <w:r w:rsidR="005E3121" w:rsidRPr="000F6E0E">
        <w:rPr>
          <w:rFonts w:ascii="Arial" w:hAnsi="Arial" w:cs="Arial"/>
          <w:sz w:val="22"/>
        </w:rPr>
        <w:t>, sino a las determinadas por el reglamento expedido por el consejo directivo de la institución educativa conforme al artículo 13 de la Ley 715 de 2001</w:t>
      </w:r>
      <w:r w:rsidR="00011E77" w:rsidRPr="000F6E0E">
        <w:rPr>
          <w:rFonts w:ascii="Arial" w:hAnsi="Arial" w:cs="Arial"/>
          <w:sz w:val="22"/>
        </w:rPr>
        <w:t>, que implica que tales reglamentos se expidan de conformidad con los principios de igualdad, moralidad, imparcialidad y publicidad,  así como de acuerdo con en la experiencia y el análisis concreto de las necesidades del establecimiento, determina</w:t>
      </w:r>
      <w:r w:rsidR="008D6A30" w:rsidRPr="000F6E0E">
        <w:rPr>
          <w:rFonts w:ascii="Arial" w:hAnsi="Arial" w:cs="Arial"/>
          <w:sz w:val="22"/>
        </w:rPr>
        <w:t>n</w:t>
      </w:r>
      <w:r w:rsidR="00011E77" w:rsidRPr="000F6E0E">
        <w:rPr>
          <w:rFonts w:ascii="Arial" w:hAnsi="Arial" w:cs="Arial"/>
          <w:sz w:val="22"/>
        </w:rPr>
        <w:t>do los trámites, garantías y constancias que deben cumplirse para que el rector o director celebre cualquier acto o contrato que cree, extinga o modifique obligaciones con cargo al respectivo fondo de servicios educativos.</w:t>
      </w:r>
      <w:r w:rsidR="00281435" w:rsidRPr="000F6E0E">
        <w:rPr>
          <w:rFonts w:ascii="Arial" w:hAnsi="Arial" w:cs="Arial"/>
          <w:sz w:val="22"/>
        </w:rPr>
        <w:t xml:space="preserve"> </w:t>
      </w:r>
    </w:p>
    <w:p w14:paraId="726FD4AE" w14:textId="77777777" w:rsidR="00AB0A41" w:rsidRPr="000F6E0E" w:rsidRDefault="00AB0A41" w:rsidP="00AB0A41">
      <w:pPr>
        <w:spacing w:before="120" w:after="120" w:line="276" w:lineRule="auto"/>
        <w:ind w:firstLine="709"/>
        <w:jc w:val="both"/>
        <w:rPr>
          <w:rFonts w:ascii="Arial" w:eastAsia="Times New Roman" w:hAnsi="Arial" w:cs="Arial"/>
          <w:sz w:val="22"/>
          <w:szCs w:val="24"/>
          <w:lang w:val="es-CO" w:eastAsia="es-MX"/>
        </w:rPr>
      </w:pPr>
      <w:r w:rsidRPr="000F6E0E">
        <w:rPr>
          <w:rFonts w:ascii="Arial" w:eastAsia="Times New Roman" w:hAnsi="Arial" w:cs="Arial"/>
          <w:sz w:val="22"/>
          <w:szCs w:val="24"/>
          <w:lang w:val="es-CO" w:eastAsia="es-MX"/>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473EFE63" w14:textId="77777777" w:rsidR="00AB0A41" w:rsidRPr="000F6E0E" w:rsidRDefault="00AB0A41" w:rsidP="00AB0A41">
      <w:pPr>
        <w:spacing w:before="120" w:line="276" w:lineRule="auto"/>
        <w:ind w:firstLine="709"/>
        <w:jc w:val="both"/>
        <w:rPr>
          <w:rFonts w:ascii="Arial" w:eastAsia="Times New Roman" w:hAnsi="Arial" w:cs="Arial"/>
          <w:sz w:val="22"/>
          <w:szCs w:val="24"/>
          <w:lang w:val="es-CO" w:eastAsia="es-MX"/>
        </w:rPr>
      </w:pPr>
      <w:r w:rsidRPr="000F6E0E">
        <w:rPr>
          <w:rFonts w:ascii="Arial" w:eastAsia="Times New Roman" w:hAnsi="Arial" w:cs="Arial"/>
          <w:sz w:val="22"/>
          <w:szCs w:val="24"/>
          <w:lang w:val="es-CO" w:eastAsia="es-MX"/>
        </w:rPr>
        <w:t xml:space="preserve">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Estatuto General de Contratación, procediendo la aplicación de las modalidades de selección definidas en la Ley 1150 de </w:t>
      </w:r>
      <w:r w:rsidRPr="000F6E0E">
        <w:rPr>
          <w:rFonts w:ascii="Arial" w:eastAsia="Times New Roman" w:hAnsi="Arial" w:cs="Arial"/>
          <w:sz w:val="22"/>
          <w:szCs w:val="24"/>
          <w:lang w:val="es-CO" w:eastAsia="es-MX"/>
        </w:rPr>
        <w:lastRenderedPageBreak/>
        <w:t>2007, así como los requisitos y formalidades establecidos en el Decreto 1082 del 2015 y demás normas aplicables.</w:t>
      </w:r>
    </w:p>
    <w:p w14:paraId="56B1FA73" w14:textId="77777777" w:rsidR="00AB0A41" w:rsidRPr="000F6E0E" w:rsidRDefault="00AB0A41" w:rsidP="00AB0A41">
      <w:pPr>
        <w:spacing w:before="120" w:line="276" w:lineRule="auto"/>
        <w:ind w:firstLine="709"/>
        <w:jc w:val="both"/>
        <w:rPr>
          <w:rFonts w:ascii="Arial" w:eastAsia="Times New Roman" w:hAnsi="Arial" w:cs="Arial"/>
          <w:sz w:val="22"/>
          <w:szCs w:val="24"/>
          <w:lang w:val="es-CO" w:eastAsia="es-MX"/>
        </w:rPr>
      </w:pPr>
      <w:r w:rsidRPr="000F6E0E">
        <w:rPr>
          <w:rFonts w:ascii="Arial" w:eastAsia="Times New Roman" w:hAnsi="Arial" w:cs="Arial"/>
          <w:sz w:val="22"/>
          <w:lang w:val="es-CO" w:eastAsia="es-MX"/>
        </w:rPr>
        <w:t xml:space="preserve">En lo que respecta al régimen sustantivo de los contratos estatales sometidos a la Ley 80 de 1993, el inciso primero del artículo 13 dispone que «Los contratos que celebren las entidades a que se refiere el artículo 2o. del presente estatuto se regirán por las disposiciones comerciales y civiles pertinentes, salvo en las materias particularmente reguladas en esta ley». En concordancia con los artículos 32 y 40 </w:t>
      </w:r>
      <w:r w:rsidRPr="000F6E0E">
        <w:rPr>
          <w:rFonts w:ascii="Arial" w:eastAsia="Times New Roman" w:hAnsi="Arial" w:cs="Arial"/>
          <w:i/>
          <w:iCs/>
          <w:sz w:val="22"/>
          <w:lang w:val="es-CO" w:eastAsia="es-MX"/>
        </w:rPr>
        <w:t>ibídem</w:t>
      </w:r>
      <w:r w:rsidRPr="000F6E0E">
        <w:rPr>
          <w:rFonts w:ascii="Arial" w:eastAsia="Times New Roman" w:hAnsi="Arial" w:cs="Arial"/>
          <w:sz w:val="22"/>
          <w:vertAlign w:val="superscript"/>
          <w:lang w:val="es-CO" w:eastAsia="es-MX"/>
        </w:rPr>
        <w:footnoteReference w:id="6"/>
      </w:r>
      <w:r w:rsidRPr="000F6E0E">
        <w:rPr>
          <w:rFonts w:ascii="Arial" w:eastAsia="Times New Roman" w:hAnsi="Arial" w:cs="Arial"/>
          <w:sz w:val="22"/>
          <w:lang w:val="es-CO" w:eastAsia="es-MX"/>
        </w:rPr>
        <w:t>, esto significa que los contratos de las entidades sometidas al Estatuto General de Contratación se rigen generalmente por el derecho privado y excepcionalmente por el derecho público, pues las normas civiles y comerciales son el derecho común de los contratos estatales</w:t>
      </w:r>
      <w:r w:rsidRPr="000F6E0E">
        <w:rPr>
          <w:rFonts w:ascii="Arial" w:eastAsia="Times New Roman" w:hAnsi="Arial" w:cs="Arial"/>
          <w:sz w:val="22"/>
          <w:vertAlign w:val="superscript"/>
          <w:lang w:val="es-CO" w:eastAsia="es-MX"/>
        </w:rPr>
        <w:footnoteReference w:id="7"/>
      </w:r>
      <w:r w:rsidRPr="000F6E0E">
        <w:rPr>
          <w:rFonts w:ascii="Arial" w:eastAsia="Times New Roman" w:hAnsi="Arial" w:cs="Arial"/>
          <w:sz w:val="22"/>
          <w:lang w:val="es-CO" w:eastAsia="es-MX"/>
        </w:rPr>
        <w:t>. Así lo ha entendido la doctrina:</w:t>
      </w:r>
    </w:p>
    <w:p w14:paraId="04E1E97E" w14:textId="77777777" w:rsidR="00AB0A41" w:rsidRPr="000F6E0E" w:rsidRDefault="00AB0A41" w:rsidP="00AB0A41">
      <w:pPr>
        <w:spacing w:line="276" w:lineRule="auto"/>
        <w:ind w:firstLine="709"/>
        <w:jc w:val="both"/>
        <w:rPr>
          <w:rFonts w:ascii="Arial" w:eastAsia="Times New Roman" w:hAnsi="Arial" w:cs="Arial"/>
          <w:sz w:val="22"/>
          <w:szCs w:val="24"/>
          <w:lang w:val="es-CO" w:eastAsia="es-MX"/>
        </w:rPr>
      </w:pPr>
    </w:p>
    <w:p w14:paraId="69C746D6" w14:textId="77777777" w:rsidR="00AB0A41" w:rsidRPr="000F6E0E" w:rsidRDefault="00AB0A41" w:rsidP="00AB0A41">
      <w:pPr>
        <w:ind w:left="709" w:right="709"/>
        <w:jc w:val="both"/>
        <w:rPr>
          <w:rFonts w:ascii="Arial" w:eastAsia="Times New Roman" w:hAnsi="Arial" w:cs="Arial"/>
          <w:sz w:val="21"/>
          <w:szCs w:val="21"/>
          <w:lang w:val="es-CO" w:eastAsia="es-MX"/>
        </w:rPr>
      </w:pPr>
      <w:r w:rsidRPr="000F6E0E">
        <w:rPr>
          <w:rFonts w:ascii="Arial" w:eastAsia="Times New Roman" w:hAnsi="Arial" w:cs="Arial"/>
          <w:sz w:val="21"/>
          <w:szCs w:val="21"/>
          <w:lang w:val="es-CO" w:eastAsia="es-MX"/>
        </w:rPr>
        <w:t>[…] no hace otra cosa que aprovechar ciertos principios rectores de las contratación general que aunque tengan su consagración en códigos de derecho privado como el civil y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Extremos éstos que de derecho privado no tienen sino […] el nombre y que la tradición, desde su origen romano se acostumbró a calificarlos así y a no preocuparse por su cuestionamiento. En otras palabras, extremos como los indicados […] son […] de derecho propio, aplicables a toda relación contractual, con prescindencia de los sujetos involucrados en la misma</w:t>
      </w:r>
      <w:r w:rsidRPr="000F6E0E">
        <w:rPr>
          <w:rFonts w:ascii="Arial" w:eastAsia="Times New Roman" w:hAnsi="Arial" w:cs="Arial"/>
          <w:sz w:val="21"/>
          <w:szCs w:val="21"/>
          <w:vertAlign w:val="superscript"/>
          <w:lang w:val="es-CO" w:eastAsia="es-MX"/>
        </w:rPr>
        <w:footnoteReference w:id="8"/>
      </w:r>
      <w:r w:rsidRPr="000F6E0E">
        <w:rPr>
          <w:rFonts w:ascii="Arial" w:eastAsia="Times New Roman" w:hAnsi="Arial" w:cs="Arial"/>
          <w:sz w:val="21"/>
          <w:szCs w:val="21"/>
          <w:lang w:val="es-CO" w:eastAsia="es-MX"/>
        </w:rPr>
        <w:t xml:space="preserve">. </w:t>
      </w:r>
    </w:p>
    <w:p w14:paraId="1CF56533" w14:textId="77777777" w:rsidR="00AB0A41" w:rsidRPr="000F6E0E" w:rsidRDefault="00AB0A41" w:rsidP="00AB0A41">
      <w:pPr>
        <w:spacing w:line="276" w:lineRule="auto"/>
        <w:ind w:left="709" w:right="709"/>
        <w:jc w:val="both"/>
        <w:rPr>
          <w:rFonts w:ascii="Arial" w:eastAsia="Times New Roman" w:hAnsi="Arial" w:cs="Arial"/>
          <w:sz w:val="22"/>
          <w:szCs w:val="24"/>
          <w:lang w:val="es-CO" w:eastAsia="es-MX"/>
        </w:rPr>
      </w:pPr>
      <w:r w:rsidRPr="000F6E0E">
        <w:rPr>
          <w:rFonts w:ascii="Arial" w:eastAsia="Times New Roman" w:hAnsi="Arial" w:cs="Arial"/>
          <w:sz w:val="22"/>
          <w:szCs w:val="24"/>
          <w:lang w:val="es-CO" w:eastAsia="es-MX"/>
        </w:rPr>
        <w:t xml:space="preserve"> </w:t>
      </w:r>
    </w:p>
    <w:p w14:paraId="0D3806C2" w14:textId="5F06C0F1" w:rsidR="00AB0A41" w:rsidRPr="000F6E0E" w:rsidRDefault="00AB0A41" w:rsidP="00AB0A41">
      <w:pPr>
        <w:spacing w:after="120" w:line="276" w:lineRule="auto"/>
        <w:jc w:val="both"/>
        <w:rPr>
          <w:rFonts w:ascii="Arial" w:eastAsia="Times New Roman" w:hAnsi="Arial" w:cs="Arial"/>
          <w:sz w:val="22"/>
          <w:szCs w:val="24"/>
          <w:lang w:val="es-CO" w:eastAsia="es-MX"/>
        </w:rPr>
      </w:pPr>
      <w:r w:rsidRPr="000F6E0E">
        <w:rPr>
          <w:rFonts w:ascii="Arial" w:eastAsia="Times New Roman" w:hAnsi="Arial" w:cs="Arial"/>
          <w:sz w:val="22"/>
          <w:szCs w:val="24"/>
          <w:lang w:val="es-CO" w:eastAsia="es-MX"/>
        </w:rPr>
        <w:tab/>
        <w:t xml:space="preserve">Ello no implica una privatización fuerte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w:t>
      </w:r>
      <w:r w:rsidRPr="000F6E0E">
        <w:rPr>
          <w:rFonts w:ascii="Arial" w:eastAsia="Times New Roman" w:hAnsi="Arial" w:cs="Arial"/>
          <w:sz w:val="22"/>
          <w:szCs w:val="24"/>
          <w:lang w:val="es-CO" w:eastAsia="es-MX"/>
        </w:rPr>
        <w:lastRenderedPageBreak/>
        <w:t>reguladas en el Estatuto de Contratación, es posible aplicar las normas civiles y comerciales.</w:t>
      </w:r>
    </w:p>
    <w:p w14:paraId="396800EA" w14:textId="77777777" w:rsidR="00AB0A41" w:rsidRPr="000F6E0E" w:rsidRDefault="00AB0A41" w:rsidP="00AB0A41">
      <w:pPr>
        <w:spacing w:after="120" w:line="276" w:lineRule="auto"/>
        <w:jc w:val="both"/>
        <w:rPr>
          <w:rFonts w:ascii="Arial" w:eastAsia="Times New Roman" w:hAnsi="Arial" w:cs="Arial"/>
          <w:sz w:val="22"/>
          <w:szCs w:val="24"/>
          <w:lang w:val="es-CO" w:eastAsia="es-MX"/>
        </w:rPr>
      </w:pPr>
      <w:r w:rsidRPr="000F6E0E">
        <w:rPr>
          <w:rFonts w:ascii="Arial" w:eastAsia="Times New Roman" w:hAnsi="Arial" w:cs="Arial"/>
          <w:sz w:val="22"/>
          <w:szCs w:val="24"/>
          <w:lang w:val="es-CO" w:eastAsia="es-MX"/>
        </w:rPr>
        <w:tab/>
        <w:t xml:space="preserve">En lo que respecta a los contratos exceptuados de la Ley 80 de 1993, si bien el régimen sustantivo no se rige por los citados artículos 13, 32 y 40 del Estatuto de Contratación, es necesario aplicar las normas generales de las obligaciones y de los contratos dispuestas en el Código Civil y de Comercio. Esto en la medida que, como se explicó, el derecho privado es aplicable a todo contrato con independencia de los sujetos, especialmente, en lo relacionado con los requisitos de consentimiento válido, objeto y causa lícitos, capacidad, elementos esenciales según la naturaleza de cada contrato, responsabilidad, naturaleza de las obligaciones emanadas de los mismos, etc., pues contiene las reglas comunes de la materia. </w:t>
      </w:r>
    </w:p>
    <w:p w14:paraId="65F7F2F0" w14:textId="77777777" w:rsidR="00AB0A41" w:rsidRPr="000F6E0E" w:rsidRDefault="00AB0A41" w:rsidP="00AB0A41">
      <w:pPr>
        <w:spacing w:after="120" w:line="276" w:lineRule="auto"/>
        <w:jc w:val="both"/>
        <w:rPr>
          <w:rFonts w:ascii="Arial" w:eastAsia="Times New Roman" w:hAnsi="Arial" w:cs="Arial"/>
          <w:sz w:val="22"/>
          <w:szCs w:val="24"/>
          <w:lang w:val="es-CO" w:eastAsia="es-MX"/>
        </w:rPr>
      </w:pPr>
      <w:r w:rsidRPr="000F6E0E">
        <w:rPr>
          <w:rFonts w:ascii="Arial" w:eastAsia="Times New Roman" w:hAnsi="Arial" w:cs="Arial"/>
          <w:sz w:val="22"/>
          <w:szCs w:val="24"/>
          <w:lang w:val="es-CO" w:eastAsia="es-MX"/>
        </w:rPr>
        <w:tab/>
        <w:t xml:space="preserve">En consecuencia, cuando no superen los veinte (20) salarios mínimos legales mensuales vigentes, el régimen sustantivo de los contratos celebrados con recursos del fondo de servicios educativos también se rige por el derecho privado. Dado que el artículo 13 de la Ley 715 de 2001, en concordancia con el artículo 2.3.1.6.3.17. del Decreto 1075 de 2015, permite que el consejo directivo regule «[…] los trámites, garantías y constancias que deben cumplirse para que el rector o director celebre cualquier acto o contrato que cree, extinga o modifique obligaciones que deban registrarse en el Fondo […]», el reglamento que defina los procedimientos aplicables complementa las normas civiles y comerciales, sin que este acto administrativo pueda modificar o derogar estas últimas por tratarse de aspectos regulados en la ley. </w:t>
      </w:r>
    </w:p>
    <w:p w14:paraId="742FCA89" w14:textId="77777777" w:rsidR="00AB0A41" w:rsidRPr="000F6E0E" w:rsidRDefault="00AB0A41" w:rsidP="00AB0A41">
      <w:pPr>
        <w:spacing w:after="120" w:line="276" w:lineRule="auto"/>
        <w:ind w:firstLine="708"/>
        <w:jc w:val="both"/>
        <w:rPr>
          <w:rFonts w:ascii="Arial" w:eastAsia="Times New Roman" w:hAnsi="Arial" w:cs="Arial"/>
          <w:sz w:val="22"/>
          <w:szCs w:val="24"/>
          <w:lang w:val="es-CO" w:eastAsia="es-MX"/>
        </w:rPr>
      </w:pPr>
      <w:r w:rsidRPr="000F6E0E">
        <w:rPr>
          <w:rFonts w:ascii="Arial" w:eastAsia="Times New Roman" w:hAnsi="Arial" w:cs="Arial"/>
          <w:sz w:val="22"/>
          <w:lang w:val="es-CO" w:eastAsia="es-MX"/>
        </w:rPr>
        <w:t>Naturalmente, los contratos mencionados en el párrafo precedente no se rigen exclusivamente por las normas civiles y comerciales, pues además del reglamento del consejo directivo, el artículo 13 de la Ley 1150 de 2007 dispone que la contratación exceptuada del Estatuto General también se rige por los principios de la función administrativa, los principios de la gestión fiscal y el régimen de inhabilidades e incompatibilidades previsto para la contratación estatal</w:t>
      </w:r>
      <w:r w:rsidRPr="000F6E0E">
        <w:rPr>
          <w:rFonts w:ascii="Arial" w:eastAsia="Times New Roman" w:hAnsi="Arial" w:cs="Arial"/>
          <w:sz w:val="22"/>
          <w:vertAlign w:val="superscript"/>
          <w:lang w:val="es-CO" w:eastAsia="es-MX"/>
        </w:rPr>
        <w:footnoteReference w:id="9"/>
      </w:r>
      <w:r w:rsidRPr="000F6E0E">
        <w:rPr>
          <w:rFonts w:ascii="Arial" w:eastAsia="Times New Roman" w:hAnsi="Arial" w:cs="Arial"/>
          <w:sz w:val="22"/>
          <w:lang w:val="es-CO" w:eastAsia="es-MX"/>
        </w:rPr>
        <w:t>.</w:t>
      </w:r>
    </w:p>
    <w:p w14:paraId="02AB7B62" w14:textId="77777777" w:rsidR="00E80494" w:rsidRPr="000F6E0E" w:rsidRDefault="00E80494" w:rsidP="00947D2A">
      <w:pPr>
        <w:ind w:firstLine="709"/>
        <w:jc w:val="both"/>
        <w:rPr>
          <w:rFonts w:ascii="Arial" w:hAnsi="Arial" w:cs="Arial"/>
          <w:sz w:val="22"/>
        </w:rPr>
      </w:pPr>
    </w:p>
    <w:p w14:paraId="07A90D10" w14:textId="430FF2E7" w:rsidR="00A14A6F" w:rsidRPr="000F6E0E" w:rsidRDefault="00A14A6F" w:rsidP="00947D2A">
      <w:pPr>
        <w:tabs>
          <w:tab w:val="left" w:pos="426"/>
        </w:tabs>
        <w:spacing w:line="276" w:lineRule="auto"/>
        <w:jc w:val="both"/>
        <w:rPr>
          <w:rFonts w:ascii="Arial" w:eastAsia="Calibri" w:hAnsi="Arial" w:cs="Arial"/>
          <w:b/>
          <w:sz w:val="22"/>
        </w:rPr>
      </w:pPr>
      <w:r w:rsidRPr="000F6E0E">
        <w:rPr>
          <w:rFonts w:ascii="Arial" w:eastAsia="Calibri" w:hAnsi="Arial" w:cs="Arial"/>
          <w:b/>
          <w:sz w:val="22"/>
        </w:rPr>
        <w:t>2.</w:t>
      </w:r>
      <w:r w:rsidR="00ED7A8F" w:rsidRPr="000F6E0E">
        <w:rPr>
          <w:rFonts w:ascii="Arial" w:eastAsia="Calibri" w:hAnsi="Arial" w:cs="Arial"/>
          <w:b/>
          <w:sz w:val="22"/>
        </w:rPr>
        <w:t>2</w:t>
      </w:r>
      <w:r w:rsidR="009E2A81" w:rsidRPr="000F6E0E">
        <w:rPr>
          <w:rFonts w:ascii="Arial" w:eastAsia="Calibri" w:hAnsi="Arial" w:cs="Arial"/>
          <w:b/>
          <w:sz w:val="22"/>
        </w:rPr>
        <w:t>.</w:t>
      </w:r>
      <w:r w:rsidRPr="000F6E0E">
        <w:rPr>
          <w:rFonts w:ascii="Arial" w:eastAsia="Calibri" w:hAnsi="Arial" w:cs="Arial"/>
          <w:b/>
          <w:sz w:val="22"/>
        </w:rPr>
        <w:t xml:space="preserve"> </w:t>
      </w:r>
      <w:r w:rsidR="00526B4A" w:rsidRPr="000F6E0E">
        <w:rPr>
          <w:rFonts w:ascii="Arial" w:eastAsia="Calibri" w:hAnsi="Arial" w:cs="Arial"/>
          <w:b/>
          <w:sz w:val="22"/>
        </w:rPr>
        <w:t>Principio de publicidad y acceso a la información pública</w:t>
      </w:r>
    </w:p>
    <w:p w14:paraId="04BAEAEA" w14:textId="77777777" w:rsidR="00526B4A" w:rsidRPr="000F6E0E" w:rsidRDefault="00526B4A" w:rsidP="00947D2A">
      <w:pPr>
        <w:tabs>
          <w:tab w:val="left" w:pos="426"/>
        </w:tabs>
        <w:spacing w:line="276" w:lineRule="auto"/>
        <w:jc w:val="both"/>
        <w:rPr>
          <w:rFonts w:ascii="Arial" w:eastAsia="Calibri" w:hAnsi="Arial" w:cs="Arial"/>
          <w:b/>
          <w:sz w:val="22"/>
        </w:rPr>
      </w:pPr>
    </w:p>
    <w:p w14:paraId="74D9B689" w14:textId="77777777" w:rsidR="00292F1B" w:rsidRPr="000F6E0E" w:rsidRDefault="00292F1B" w:rsidP="00947D2A">
      <w:pPr>
        <w:spacing w:line="276" w:lineRule="auto"/>
        <w:jc w:val="both"/>
        <w:rPr>
          <w:rFonts w:ascii="Arial" w:hAnsi="Arial" w:cs="Arial"/>
          <w:sz w:val="22"/>
        </w:rPr>
      </w:pPr>
      <w:r w:rsidRPr="000F6E0E">
        <w:rPr>
          <w:rFonts w:ascii="Arial" w:eastAsia="Calibri" w:hAnsi="Arial" w:cs="Arial"/>
          <w:sz w:val="22"/>
        </w:rPr>
        <w:lastRenderedPageBreak/>
        <w:t xml:space="preserve">Para la Corte Constitucional, el principio de publicidad es la garantía que tienen las personas de conocer las actuaciones judiciales y administrativas y con base en ese </w:t>
      </w:r>
      <w:r w:rsidRPr="000F6E0E">
        <w:rPr>
          <w:rFonts w:ascii="Arial" w:hAnsi="Arial" w:cs="Arial"/>
          <w:sz w:val="22"/>
        </w:rPr>
        <w:t xml:space="preserve">conocimiento tener la posibilidad de exigir que se surtan conforme a la ley: </w:t>
      </w:r>
    </w:p>
    <w:p w14:paraId="5F3C9F60" w14:textId="77777777" w:rsidR="00292F1B" w:rsidRPr="000F6E0E" w:rsidRDefault="00292F1B" w:rsidP="00947D2A">
      <w:pPr>
        <w:ind w:firstLine="708"/>
        <w:jc w:val="both"/>
        <w:rPr>
          <w:rFonts w:ascii="Arial" w:hAnsi="Arial" w:cs="Arial"/>
          <w:sz w:val="22"/>
        </w:rPr>
      </w:pPr>
    </w:p>
    <w:p w14:paraId="33BB1E96" w14:textId="77777777" w:rsidR="00292F1B" w:rsidRPr="000F6E0E" w:rsidRDefault="00292F1B" w:rsidP="00947D2A">
      <w:pPr>
        <w:ind w:left="709" w:right="709"/>
        <w:jc w:val="both"/>
        <w:rPr>
          <w:rFonts w:ascii="Arial" w:hAnsi="Arial" w:cs="Arial"/>
          <w:sz w:val="21"/>
          <w:szCs w:val="21"/>
        </w:rPr>
      </w:pPr>
      <w:r w:rsidRPr="000F6E0E">
        <w:rPr>
          <w:rFonts w:ascii="Arial" w:hAnsi="Arial" w:cs="Arial"/>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 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0F6E0E">
        <w:rPr>
          <w:rStyle w:val="Refdenotaalpie"/>
          <w:rFonts w:ascii="Arial" w:hAnsi="Arial" w:cs="Arial"/>
          <w:sz w:val="21"/>
          <w:szCs w:val="21"/>
        </w:rPr>
        <w:footnoteReference w:id="10"/>
      </w:r>
      <w:r w:rsidRPr="000F6E0E">
        <w:rPr>
          <w:rFonts w:ascii="Arial" w:hAnsi="Arial" w:cs="Arial"/>
          <w:sz w:val="21"/>
          <w:szCs w:val="21"/>
        </w:rPr>
        <w:t>.</w:t>
      </w:r>
    </w:p>
    <w:p w14:paraId="2C912BDF" w14:textId="77777777" w:rsidR="00292F1B" w:rsidRPr="000F6E0E" w:rsidRDefault="00292F1B" w:rsidP="00947D2A">
      <w:pPr>
        <w:ind w:firstLine="708"/>
        <w:jc w:val="both"/>
        <w:rPr>
          <w:rFonts w:ascii="Arial" w:hAnsi="Arial" w:cs="Arial"/>
          <w:sz w:val="21"/>
          <w:szCs w:val="21"/>
        </w:rPr>
      </w:pPr>
    </w:p>
    <w:p w14:paraId="584CD982" w14:textId="77777777" w:rsidR="00292F1B" w:rsidRPr="000F6E0E" w:rsidRDefault="00292F1B" w:rsidP="00947D2A">
      <w:pPr>
        <w:spacing w:after="120" w:line="276" w:lineRule="auto"/>
        <w:ind w:firstLine="708"/>
        <w:jc w:val="both"/>
        <w:rPr>
          <w:rFonts w:ascii="Arial" w:eastAsia="Calibri" w:hAnsi="Arial" w:cs="Arial"/>
          <w:sz w:val="22"/>
        </w:rPr>
      </w:pPr>
      <w:r w:rsidRPr="000F6E0E">
        <w:rPr>
          <w:rFonts w:ascii="Arial" w:hAnsi="Arial" w:cs="Arial"/>
          <w:sz w:val="22"/>
        </w:rPr>
        <w:t>El principio de publicidad impone a las autoridades administrativas el deber de dar</w:t>
      </w:r>
      <w:r w:rsidRPr="000F6E0E">
        <w:rPr>
          <w:rFonts w:ascii="Arial" w:eastAsia="Calibri" w:hAnsi="Arial" w:cs="Arial"/>
          <w:sz w:val="22"/>
        </w:rPr>
        <w:t xml:space="preserve"> a conocer sus actos, contratos y decisiones, para que se divulguen y eventualmente se controlen las actuaciones. </w:t>
      </w:r>
    </w:p>
    <w:p w14:paraId="174145B8" w14:textId="77777777" w:rsidR="00292F1B" w:rsidRPr="000F6E0E" w:rsidRDefault="00292F1B" w:rsidP="00947D2A">
      <w:pPr>
        <w:spacing w:after="120" w:line="276" w:lineRule="auto"/>
        <w:ind w:firstLine="709"/>
        <w:jc w:val="both"/>
        <w:rPr>
          <w:rFonts w:ascii="Arial" w:eastAsia="Calibri" w:hAnsi="Arial" w:cs="Arial"/>
          <w:sz w:val="22"/>
        </w:rPr>
      </w:pPr>
      <w:r w:rsidRPr="000F6E0E">
        <w:rPr>
          <w:rFonts w:ascii="Arial" w:eastAsia="Calibri" w:hAnsi="Arial" w:cs="Arial"/>
          <w:sz w:val="22"/>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0F6E0E">
        <w:rPr>
          <w:rFonts w:ascii="Arial" w:eastAsia="Calibri" w:hAnsi="Arial" w:cs="Arial"/>
          <w:sz w:val="22"/>
          <w:vertAlign w:val="superscript"/>
        </w:rPr>
        <w:footnoteReference w:id="11"/>
      </w:r>
      <w:r w:rsidRPr="000F6E0E">
        <w:rPr>
          <w:rFonts w:ascii="Arial" w:eastAsia="Calibri" w:hAnsi="Arial" w:cs="Arial"/>
          <w:sz w:val="22"/>
        </w:rPr>
        <w:t xml:space="preserve">. </w:t>
      </w:r>
    </w:p>
    <w:p w14:paraId="3E1C5020" w14:textId="77777777" w:rsidR="00292F1B" w:rsidRPr="000F6E0E" w:rsidRDefault="00292F1B" w:rsidP="00947D2A">
      <w:pPr>
        <w:spacing w:after="120" w:line="276" w:lineRule="auto"/>
        <w:ind w:firstLine="709"/>
        <w:jc w:val="both"/>
        <w:rPr>
          <w:rFonts w:ascii="Arial" w:eastAsia="Calibri" w:hAnsi="Arial" w:cs="Arial"/>
          <w:sz w:val="22"/>
        </w:rPr>
      </w:pPr>
      <w:r w:rsidRPr="000F6E0E">
        <w:rPr>
          <w:rFonts w:ascii="Arial" w:hAnsi="Arial" w:cs="Arial"/>
          <w:sz w:val="22"/>
        </w:rPr>
        <w:t xml:space="preserve">De otra parte, la Ley 1712 de 2014, por medio de la cual se crea la Ley de Transparencia y del Derecho de Acceso a la Información Pública Nacional y se dictan otras </w:t>
      </w:r>
      <w:r w:rsidRPr="000F6E0E">
        <w:rPr>
          <w:rFonts w:ascii="Arial" w:hAnsi="Arial" w:cs="Arial"/>
          <w:sz w:val="22"/>
        </w:rPr>
        <w:lastRenderedPageBreak/>
        <w:t>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0F6E0E">
        <w:rPr>
          <w:rFonts w:ascii="Arial" w:hAnsi="Arial" w:cs="Arial"/>
          <w:sz w:val="22"/>
          <w:vertAlign w:val="superscript"/>
        </w:rPr>
        <w:footnoteReference w:id="12"/>
      </w:r>
      <w:r w:rsidRPr="000F6E0E">
        <w:rPr>
          <w:rFonts w:ascii="Arial" w:hAnsi="Arial" w:cs="Arial"/>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5F3AC2E0" w14:textId="77777777" w:rsidR="00292F1B" w:rsidRPr="000F6E0E" w:rsidRDefault="00292F1B" w:rsidP="00947D2A">
      <w:pPr>
        <w:spacing w:after="120" w:line="276" w:lineRule="auto"/>
        <w:ind w:firstLine="709"/>
        <w:jc w:val="both"/>
        <w:rPr>
          <w:rFonts w:ascii="Arial" w:hAnsi="Arial" w:cs="Arial"/>
          <w:sz w:val="22"/>
        </w:rPr>
      </w:pPr>
      <w:r w:rsidRPr="000F6E0E">
        <w:rPr>
          <w:rFonts w:ascii="Arial" w:hAnsi="Arial" w:cs="Arial"/>
          <w:sz w:val="22"/>
        </w:rPr>
        <w:t>La ley citada establece, en el literal e) del artículo 9, que los sujetos obligados, que son todas las entidades públicas</w:t>
      </w:r>
      <w:r w:rsidRPr="000F6E0E">
        <w:rPr>
          <w:rFonts w:ascii="Arial" w:hAnsi="Arial" w:cs="Arial"/>
          <w:sz w:val="22"/>
          <w:vertAlign w:val="superscript"/>
        </w:rPr>
        <w:footnoteReference w:id="13"/>
      </w:r>
      <w:r w:rsidRPr="000F6E0E">
        <w:rPr>
          <w:rFonts w:ascii="Arial" w:hAnsi="Arial" w:cs="Arial"/>
          <w:sz w:val="22"/>
        </w:rPr>
        <w:t>, deben publicar la información relativa a su contratación. Esta obligación fue desarrollada por el Decreto Único Reglamentario 1081 de 2015</w:t>
      </w:r>
      <w:r w:rsidRPr="000F6E0E">
        <w:rPr>
          <w:rFonts w:ascii="Arial" w:hAnsi="Arial" w:cs="Arial"/>
          <w:sz w:val="22"/>
          <w:vertAlign w:val="superscript"/>
        </w:rPr>
        <w:footnoteReference w:id="14"/>
      </w:r>
      <w:r w:rsidRPr="000F6E0E">
        <w:rPr>
          <w:rFonts w:ascii="Arial" w:hAnsi="Arial" w:cs="Arial"/>
          <w:sz w:val="22"/>
        </w:rPr>
        <w:t>, el cual dispuso que la publicación de la información contractual de los sujetos obligados, que contratan con cargo a recursos públicos, debe hacerse en el Sistema Electrónico de Contratación Pública ─ SECOP.</w:t>
      </w:r>
    </w:p>
    <w:p w14:paraId="6C52F0C0" w14:textId="77777777" w:rsidR="00292F1B" w:rsidRPr="000F6E0E" w:rsidRDefault="00292F1B" w:rsidP="00947D2A">
      <w:pPr>
        <w:spacing w:after="120" w:line="276" w:lineRule="auto"/>
        <w:ind w:firstLine="709"/>
        <w:jc w:val="both"/>
        <w:rPr>
          <w:rFonts w:ascii="Arial" w:hAnsi="Arial" w:cs="Arial"/>
          <w:sz w:val="22"/>
          <w:lang w:val="es-ES"/>
        </w:rPr>
      </w:pPr>
      <w:r w:rsidRPr="000F6E0E">
        <w:rPr>
          <w:rFonts w:ascii="Arial" w:hAnsi="Arial" w:cs="Arial"/>
          <w:sz w:val="22"/>
        </w:rPr>
        <w:t xml:space="preserve">Asimismo, de </w:t>
      </w:r>
      <w:r w:rsidRPr="000F6E0E">
        <w:rPr>
          <w:rFonts w:ascii="Arial" w:hAnsi="Arial" w:cs="Arial"/>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44EAECBC" w14:textId="77777777" w:rsidR="00292F1B" w:rsidRPr="000F6E0E" w:rsidRDefault="00292F1B" w:rsidP="00947D2A">
      <w:pPr>
        <w:spacing w:after="120" w:line="276" w:lineRule="auto"/>
        <w:ind w:firstLine="709"/>
        <w:jc w:val="both"/>
        <w:rPr>
          <w:rFonts w:ascii="Arial" w:eastAsia="Calibri" w:hAnsi="Arial" w:cs="Arial"/>
          <w:sz w:val="22"/>
        </w:rPr>
      </w:pPr>
      <w:r w:rsidRPr="000F6E0E">
        <w:rPr>
          <w:rFonts w:ascii="Arial" w:eastAsia="Calibri" w:hAnsi="Arial" w:cs="Arial"/>
          <w:sz w:val="22"/>
        </w:rPr>
        <w:t xml:space="preserve">El derecho de acceso a la información pública o de interés público permite a toda persona, sin necesidad de acreditar calidad, interés o condición particular, conocer la </w:t>
      </w:r>
      <w:r w:rsidRPr="000F6E0E">
        <w:rPr>
          <w:rFonts w:ascii="Arial" w:eastAsia="Calibri" w:hAnsi="Arial" w:cs="Arial"/>
          <w:sz w:val="22"/>
        </w:rPr>
        <w:lastRenderedPageBreak/>
        <w:t>existencia de información pública, acceder a la misma y difundirla o publicarla, según su interés</w:t>
      </w:r>
      <w:r w:rsidRPr="000F6E0E">
        <w:rPr>
          <w:rFonts w:ascii="Arial" w:eastAsia="Calibri" w:hAnsi="Arial" w:cs="Arial"/>
          <w:sz w:val="22"/>
          <w:vertAlign w:val="superscript"/>
        </w:rPr>
        <w:footnoteReference w:id="15"/>
      </w:r>
      <w:r w:rsidRPr="000F6E0E">
        <w:rPr>
          <w:rFonts w:ascii="Arial" w:eastAsia="Calibri" w:hAnsi="Arial" w:cs="Arial"/>
          <w:sz w:val="22"/>
        </w:rPr>
        <w:t>.</w:t>
      </w:r>
    </w:p>
    <w:p w14:paraId="0388D339" w14:textId="77777777" w:rsidR="00292F1B" w:rsidRPr="000F6E0E" w:rsidRDefault="00292F1B" w:rsidP="00947D2A">
      <w:pPr>
        <w:spacing w:after="120" w:line="276" w:lineRule="auto"/>
        <w:ind w:firstLine="709"/>
        <w:jc w:val="both"/>
        <w:rPr>
          <w:rFonts w:ascii="Arial" w:hAnsi="Arial" w:cs="Arial"/>
          <w:sz w:val="22"/>
          <w:lang w:val="es-ES"/>
        </w:rPr>
      </w:pPr>
      <w:r w:rsidRPr="000F6E0E">
        <w:rPr>
          <w:rFonts w:ascii="Arial" w:hAnsi="Arial" w:cs="Arial"/>
          <w:sz w:val="22"/>
          <w:lang w:val="es-ES"/>
        </w:rPr>
        <w:t>Para el año 2013, la Agencia Nacional de Contratación Pública ─ Colombia Compra Eficiente, mediante la mediante la Circular Externa No 1 del</w:t>
      </w:r>
      <w:r w:rsidRPr="000F6E0E">
        <w:rPr>
          <w:rFonts w:ascii="Arial" w:hAnsi="Arial" w:cs="Arial"/>
          <w:sz w:val="22"/>
        </w:rPr>
        <w:t xml:space="preserve"> </w:t>
      </w:r>
      <w:r w:rsidRPr="000F6E0E">
        <w:rPr>
          <w:rFonts w:ascii="Arial" w:hAnsi="Arial" w:cs="Arial"/>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0F6E0E">
        <w:rPr>
          <w:rFonts w:ascii="Arial" w:hAnsi="Arial" w:cs="Arial"/>
          <w:sz w:val="22"/>
          <w:vertAlign w:val="superscript"/>
          <w:lang w:val="es-ES"/>
        </w:rPr>
        <w:footnoteReference w:id="16"/>
      </w:r>
      <w:r w:rsidRPr="000F6E0E">
        <w:rPr>
          <w:rFonts w:ascii="Arial" w:hAnsi="Arial" w:cs="Arial"/>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331BECE7" w14:textId="77777777" w:rsidR="00292F1B" w:rsidRPr="000F6E0E" w:rsidRDefault="00292F1B" w:rsidP="00947D2A">
      <w:pPr>
        <w:spacing w:line="276" w:lineRule="auto"/>
        <w:ind w:firstLine="709"/>
        <w:jc w:val="both"/>
        <w:rPr>
          <w:rFonts w:ascii="Arial" w:hAnsi="Arial" w:cs="Arial"/>
          <w:sz w:val="22"/>
          <w:lang w:val="es-ES"/>
        </w:rPr>
      </w:pPr>
      <w:r w:rsidRPr="000F6E0E">
        <w:rPr>
          <w:rFonts w:ascii="Arial" w:hAnsi="Arial" w:cs="Arial"/>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14:paraId="515C206D" w14:textId="77777777" w:rsidR="00292F1B" w:rsidRPr="000F6E0E" w:rsidRDefault="00292F1B" w:rsidP="00947D2A">
      <w:pPr>
        <w:ind w:firstLine="709"/>
        <w:jc w:val="both"/>
        <w:rPr>
          <w:rFonts w:ascii="Arial" w:hAnsi="Arial" w:cs="Arial"/>
          <w:sz w:val="22"/>
          <w:lang w:val="es-ES"/>
        </w:rPr>
      </w:pPr>
    </w:p>
    <w:p w14:paraId="5654CC83" w14:textId="77777777" w:rsidR="00292F1B" w:rsidRPr="000F6E0E" w:rsidRDefault="00292F1B" w:rsidP="00947D2A">
      <w:pPr>
        <w:tabs>
          <w:tab w:val="left" w:pos="3885"/>
        </w:tabs>
        <w:ind w:left="709" w:right="709"/>
        <w:jc w:val="both"/>
        <w:rPr>
          <w:rFonts w:ascii="Arial" w:hAnsi="Arial" w:cs="Arial"/>
          <w:sz w:val="21"/>
          <w:szCs w:val="21"/>
          <w:lang w:val="es-ES"/>
        </w:rPr>
      </w:pPr>
      <w:r w:rsidRPr="000F6E0E">
        <w:rPr>
          <w:rFonts w:ascii="Arial" w:hAnsi="Arial" w:cs="Arial"/>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0E36B268" w14:textId="77777777" w:rsidR="00292F1B" w:rsidRPr="000F6E0E" w:rsidRDefault="00292F1B" w:rsidP="00947D2A">
      <w:pPr>
        <w:tabs>
          <w:tab w:val="left" w:pos="3885"/>
        </w:tabs>
        <w:ind w:left="709" w:right="709"/>
        <w:jc w:val="both"/>
        <w:rPr>
          <w:rFonts w:ascii="Arial" w:hAnsi="Arial" w:cs="Arial"/>
          <w:sz w:val="21"/>
          <w:szCs w:val="21"/>
          <w:lang w:val="es-ES"/>
        </w:rPr>
      </w:pPr>
    </w:p>
    <w:p w14:paraId="6366FA13" w14:textId="77777777" w:rsidR="00292F1B" w:rsidRPr="000F6E0E" w:rsidRDefault="00292F1B" w:rsidP="00947D2A">
      <w:pPr>
        <w:tabs>
          <w:tab w:val="left" w:pos="3885"/>
        </w:tabs>
        <w:ind w:left="709" w:right="709"/>
        <w:jc w:val="both"/>
        <w:rPr>
          <w:rFonts w:ascii="Arial" w:hAnsi="Arial" w:cs="Arial"/>
          <w:sz w:val="21"/>
          <w:szCs w:val="21"/>
          <w:lang w:val="es-ES"/>
        </w:rPr>
      </w:pPr>
      <w:r w:rsidRPr="000F6E0E">
        <w:rPr>
          <w:rFonts w:ascii="Arial" w:hAnsi="Arial" w:cs="Arial"/>
          <w:sz w:val="21"/>
          <w:szCs w:val="21"/>
          <w:lang w:val="es-ES"/>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196F0EC" w14:textId="77777777" w:rsidR="00947D2A" w:rsidRPr="000F6E0E" w:rsidRDefault="00947D2A" w:rsidP="00947D2A">
      <w:pPr>
        <w:tabs>
          <w:tab w:val="left" w:pos="3885"/>
        </w:tabs>
        <w:ind w:left="709" w:right="709"/>
        <w:jc w:val="both"/>
        <w:rPr>
          <w:rFonts w:ascii="Arial" w:hAnsi="Arial" w:cs="Arial"/>
          <w:sz w:val="21"/>
          <w:szCs w:val="21"/>
          <w:lang w:val="es-ES"/>
        </w:rPr>
      </w:pPr>
    </w:p>
    <w:p w14:paraId="009490E2" w14:textId="57AF77E2" w:rsidR="00292F1B" w:rsidRPr="000F6E0E" w:rsidRDefault="00292F1B" w:rsidP="00947D2A">
      <w:pPr>
        <w:tabs>
          <w:tab w:val="left" w:pos="3885"/>
        </w:tabs>
        <w:ind w:left="709" w:right="709"/>
        <w:jc w:val="both"/>
        <w:rPr>
          <w:rFonts w:ascii="Arial" w:hAnsi="Arial" w:cs="Arial"/>
          <w:sz w:val="21"/>
          <w:szCs w:val="21"/>
          <w:lang w:val="es-ES"/>
        </w:rPr>
      </w:pPr>
      <w:r w:rsidRPr="000F6E0E">
        <w:rPr>
          <w:rFonts w:ascii="Arial" w:hAnsi="Arial" w:cs="Arial"/>
          <w:sz w:val="21"/>
          <w:szCs w:val="21"/>
          <w:lang w:val="es-ES"/>
        </w:rPr>
        <w:t>[…]</w:t>
      </w:r>
    </w:p>
    <w:p w14:paraId="5E86E9BE" w14:textId="77777777" w:rsidR="00292F1B" w:rsidRPr="000F6E0E" w:rsidRDefault="00292F1B" w:rsidP="00947D2A">
      <w:pPr>
        <w:tabs>
          <w:tab w:val="left" w:pos="3885"/>
        </w:tabs>
        <w:ind w:left="709" w:right="709"/>
        <w:jc w:val="both"/>
        <w:rPr>
          <w:rFonts w:ascii="Arial" w:hAnsi="Arial" w:cs="Arial"/>
          <w:sz w:val="21"/>
          <w:szCs w:val="21"/>
          <w:lang w:val="es-ES"/>
        </w:rPr>
      </w:pPr>
    </w:p>
    <w:p w14:paraId="78C20E57" w14:textId="77777777" w:rsidR="00292F1B" w:rsidRPr="000F6E0E" w:rsidRDefault="00292F1B" w:rsidP="00947D2A">
      <w:pPr>
        <w:tabs>
          <w:tab w:val="left" w:pos="3885"/>
        </w:tabs>
        <w:ind w:left="709" w:right="709"/>
        <w:jc w:val="both"/>
        <w:rPr>
          <w:rFonts w:ascii="Arial" w:hAnsi="Arial" w:cs="Arial"/>
          <w:sz w:val="21"/>
          <w:szCs w:val="21"/>
          <w:lang w:val="es-ES"/>
        </w:rPr>
      </w:pPr>
      <w:r w:rsidRPr="000F6E0E">
        <w:rPr>
          <w:rFonts w:ascii="Arial" w:hAnsi="Arial" w:cs="Arial"/>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0F6E0E">
        <w:rPr>
          <w:rFonts w:ascii="Arial" w:hAnsi="Arial" w:cs="Arial"/>
          <w:sz w:val="21"/>
          <w:szCs w:val="21"/>
          <w:vertAlign w:val="superscript"/>
        </w:rPr>
        <w:footnoteReference w:id="17"/>
      </w:r>
      <w:r w:rsidRPr="000F6E0E">
        <w:rPr>
          <w:rFonts w:ascii="Arial" w:hAnsi="Arial" w:cs="Arial"/>
          <w:sz w:val="21"/>
          <w:szCs w:val="21"/>
          <w:lang w:val="es-ES"/>
        </w:rPr>
        <w:t>.</w:t>
      </w:r>
    </w:p>
    <w:p w14:paraId="47AD0FA0" w14:textId="77777777" w:rsidR="00292F1B" w:rsidRPr="000F6E0E" w:rsidRDefault="00292F1B" w:rsidP="00947D2A">
      <w:pPr>
        <w:tabs>
          <w:tab w:val="left" w:pos="3885"/>
        </w:tabs>
        <w:spacing w:line="276" w:lineRule="auto"/>
        <w:ind w:left="709" w:right="709"/>
        <w:jc w:val="both"/>
        <w:rPr>
          <w:rFonts w:ascii="Arial" w:hAnsi="Arial" w:cs="Arial"/>
          <w:sz w:val="21"/>
          <w:szCs w:val="21"/>
          <w:lang w:val="es-ES"/>
        </w:rPr>
      </w:pPr>
    </w:p>
    <w:p w14:paraId="553D35E1" w14:textId="77777777" w:rsidR="00292F1B" w:rsidRPr="000F6E0E" w:rsidRDefault="00292F1B" w:rsidP="00947D2A">
      <w:pPr>
        <w:spacing w:line="276" w:lineRule="auto"/>
        <w:ind w:firstLine="708"/>
        <w:jc w:val="both"/>
        <w:rPr>
          <w:rFonts w:ascii="Arial" w:hAnsi="Arial" w:cs="Arial"/>
          <w:sz w:val="22"/>
          <w:lang w:val="es-ES"/>
        </w:rPr>
      </w:pPr>
      <w:r w:rsidRPr="000F6E0E">
        <w:rPr>
          <w:rFonts w:ascii="Arial" w:hAnsi="Arial" w:cs="Arial"/>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2848E0E4" w14:textId="77777777" w:rsidR="00292F1B" w:rsidRPr="000F6E0E" w:rsidRDefault="00292F1B" w:rsidP="00947D2A">
      <w:pPr>
        <w:ind w:firstLine="708"/>
        <w:jc w:val="both"/>
        <w:rPr>
          <w:rFonts w:ascii="Arial" w:hAnsi="Arial" w:cs="Arial"/>
          <w:sz w:val="21"/>
          <w:szCs w:val="21"/>
          <w:lang w:val="es-ES"/>
        </w:rPr>
      </w:pPr>
    </w:p>
    <w:p w14:paraId="0EE850BD" w14:textId="77777777" w:rsidR="00292F1B" w:rsidRPr="000F6E0E" w:rsidRDefault="00292F1B" w:rsidP="00947D2A">
      <w:pPr>
        <w:ind w:leftChars="295" w:left="708" w:right="709"/>
        <w:jc w:val="both"/>
        <w:rPr>
          <w:rFonts w:ascii="Arial" w:hAnsi="Arial" w:cs="Arial"/>
          <w:sz w:val="21"/>
          <w:szCs w:val="21"/>
          <w:lang w:val="es-ES"/>
        </w:rPr>
      </w:pPr>
      <w:r w:rsidRPr="000F6E0E">
        <w:rPr>
          <w:rFonts w:ascii="Arial" w:hAnsi="Arial" w:cs="Arial"/>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016E2833" w14:textId="77777777" w:rsidR="00292F1B" w:rsidRPr="000F6E0E" w:rsidRDefault="00292F1B" w:rsidP="00947D2A">
      <w:pPr>
        <w:ind w:leftChars="295" w:left="708" w:right="709"/>
        <w:jc w:val="both"/>
        <w:rPr>
          <w:rFonts w:ascii="Arial" w:hAnsi="Arial" w:cs="Arial"/>
          <w:sz w:val="21"/>
          <w:szCs w:val="21"/>
          <w:lang w:val="es-ES"/>
        </w:rPr>
      </w:pPr>
    </w:p>
    <w:p w14:paraId="7A08CF37" w14:textId="0BD5B6F5" w:rsidR="00292F1B" w:rsidRPr="000F6E0E" w:rsidRDefault="00292F1B" w:rsidP="00947D2A">
      <w:pPr>
        <w:spacing w:after="120" w:line="276" w:lineRule="auto"/>
        <w:ind w:firstLine="709"/>
        <w:jc w:val="both"/>
        <w:rPr>
          <w:rFonts w:ascii="Arial" w:hAnsi="Arial" w:cs="Arial"/>
          <w:sz w:val="22"/>
          <w:lang w:val="es-ES"/>
        </w:rPr>
      </w:pPr>
      <w:r w:rsidRPr="000F6E0E">
        <w:rPr>
          <w:rFonts w:ascii="Arial" w:hAnsi="Arial" w:cs="Arial"/>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1A0BF166" w14:textId="7DC2B9CB" w:rsidR="00380EFC" w:rsidRPr="000F6E0E" w:rsidRDefault="00292F1B" w:rsidP="00947D2A">
      <w:pPr>
        <w:spacing w:after="120" w:line="276" w:lineRule="auto"/>
        <w:ind w:firstLine="709"/>
        <w:jc w:val="both"/>
        <w:rPr>
          <w:rFonts w:ascii="Arial" w:hAnsi="Arial" w:cs="Arial"/>
          <w:sz w:val="22"/>
          <w:lang w:val="es-ES"/>
        </w:rPr>
      </w:pPr>
      <w:r w:rsidRPr="000F6E0E">
        <w:rPr>
          <w:rFonts w:ascii="Arial" w:hAnsi="Arial" w:cs="Arial"/>
          <w:sz w:val="22"/>
          <w:lang w:val="es-ES"/>
        </w:rPr>
        <w:t xml:space="preserve">Dentro de los fundamentos que consideró el máximo tribunal de lo contencioso administrativo, no tuvo en cuenta razones de orden fáctico, relativas a las responsabilidades de las entidades o su posible afectación en la competitividad para aquellas que operan en </w:t>
      </w:r>
      <w:r w:rsidRPr="000F6E0E">
        <w:rPr>
          <w:rFonts w:ascii="Arial" w:hAnsi="Arial" w:cs="Arial"/>
          <w:sz w:val="22"/>
          <w:lang w:val="es-ES"/>
        </w:rPr>
        <w:lastRenderedPageBreak/>
        <w:t xml:space="preserve">diferentes mercados. La razón relevante es que si la entidad contrata con dineros públicos debe publicar su proceso de contratación en el SECOP. </w:t>
      </w:r>
    </w:p>
    <w:p w14:paraId="7E065E80" w14:textId="6FC5AB3E" w:rsidR="00380EFC" w:rsidRPr="000F6E0E" w:rsidRDefault="00380EFC" w:rsidP="00947D2A">
      <w:pPr>
        <w:spacing w:after="120" w:line="276" w:lineRule="auto"/>
        <w:ind w:firstLine="709"/>
        <w:jc w:val="both"/>
        <w:rPr>
          <w:rFonts w:ascii="Arial" w:eastAsia="Calibri" w:hAnsi="Arial" w:cs="Arial"/>
          <w:color w:val="000000"/>
          <w:sz w:val="22"/>
          <w:lang w:val="es-ES_tradnl"/>
        </w:rPr>
      </w:pPr>
      <w:r w:rsidRPr="000F6E0E">
        <w:rPr>
          <w:rFonts w:ascii="Arial" w:hAnsi="Arial" w:cs="Arial"/>
          <w:color w:val="000000" w:themeColor="text1"/>
          <w:sz w:val="22"/>
          <w:lang w:val="es-ES_tradnl"/>
        </w:rPr>
        <w:t xml:space="preserve">De otro lado, </w:t>
      </w:r>
      <w:r w:rsidRPr="000F6E0E">
        <w:rPr>
          <w:rFonts w:ascii="Arial" w:eastAsia="Calibri" w:hAnsi="Arial" w:cs="Arial"/>
          <w:color w:val="000000"/>
          <w:sz w:val="22"/>
          <w:lang w:val="es-ES_tradnl"/>
        </w:rPr>
        <w:t>el 18 de enero del año en curso se promulgó la Ley 2195 de 2022. Según lo establece su artículo 1, esta Ley «</w:t>
      </w:r>
      <w:r w:rsidRPr="000F6E0E">
        <w:rPr>
          <w:rFonts w:ascii="Arial" w:hAnsi="Arial" w:cs="Arial"/>
          <w:sz w:val="22"/>
          <w:lang w:val="es-ES_tradnl"/>
        </w:rPr>
        <w:t xml:space="preserve">[…] </w:t>
      </w:r>
      <w:r w:rsidRPr="000F6E0E">
        <w:rPr>
          <w:rFonts w:ascii="Arial" w:eastAsia="Calibri" w:hAnsi="Arial" w:cs="Arial"/>
          <w:color w:val="000000"/>
          <w:sz w:val="22"/>
          <w:lang w:val="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w:t>
      </w:r>
      <w:proofErr w:type="spellStart"/>
      <w:r w:rsidRPr="000F6E0E">
        <w:rPr>
          <w:rFonts w:ascii="Arial" w:eastAsia="Calibri" w:hAnsi="Arial" w:cs="Arial"/>
          <w:color w:val="000000"/>
          <w:sz w:val="22"/>
          <w:lang w:val="es-ES_tradnl"/>
        </w:rPr>
        <w:t>ii</w:t>
      </w:r>
      <w:proofErr w:type="spellEnd"/>
      <w:r w:rsidRPr="000F6E0E">
        <w:rPr>
          <w:rFonts w:ascii="Arial" w:eastAsia="Calibri" w:hAnsi="Arial" w:cs="Arial"/>
          <w:color w:val="000000"/>
          <w:sz w:val="22"/>
          <w:lang w:val="es-ES_tradnl"/>
        </w:rPr>
        <w:t xml:space="preserve">) la inhabilidad por incumplimiento reiterado en los contratos de alimentación escolar –artículo 51–, </w:t>
      </w:r>
      <w:proofErr w:type="spellStart"/>
      <w:r w:rsidRPr="000F6E0E">
        <w:rPr>
          <w:rFonts w:ascii="Arial" w:eastAsia="Calibri" w:hAnsi="Arial" w:cs="Arial"/>
          <w:color w:val="000000"/>
          <w:sz w:val="22"/>
          <w:lang w:val="es-ES_tradnl"/>
        </w:rPr>
        <w:t>iii</w:t>
      </w:r>
      <w:proofErr w:type="spellEnd"/>
      <w:r w:rsidRPr="000F6E0E">
        <w:rPr>
          <w:rFonts w:ascii="Arial" w:eastAsia="Calibri" w:hAnsi="Arial" w:cs="Arial"/>
          <w:color w:val="000000"/>
          <w:sz w:val="22"/>
          <w:lang w:val="es-ES_tradnl"/>
        </w:rPr>
        <w:t xml:space="preserve">) las cláusulas excepcionales en los contratos celebrados con el objeto señalado anteriormente –artículo 52–, </w:t>
      </w:r>
      <w:proofErr w:type="spellStart"/>
      <w:r w:rsidRPr="000F6E0E">
        <w:rPr>
          <w:rFonts w:ascii="Arial" w:eastAsia="Calibri" w:hAnsi="Arial" w:cs="Arial"/>
          <w:color w:val="000000"/>
          <w:sz w:val="22"/>
          <w:lang w:val="es-ES_tradnl"/>
        </w:rPr>
        <w:t>iv</w:t>
      </w:r>
      <w:proofErr w:type="spellEnd"/>
      <w:r w:rsidRPr="000F6E0E">
        <w:rPr>
          <w:rFonts w:ascii="Arial" w:eastAsia="Calibri" w:hAnsi="Arial" w:cs="Arial"/>
          <w:color w:val="000000"/>
          <w:sz w:val="22"/>
          <w:lang w:val="es-ES_tradnl"/>
        </w:rPr>
        <w:t xml:space="preserve">) el deber de las entidades que cuentan con un régimen contractual especial, de publicar los documentos relacionados con su actividad contractual en el SECOP II –artículo 53–, v) la nueva causal de selección abreviada para la adquisición de bienes o servicios </w:t>
      </w:r>
      <w:r w:rsidRPr="000F6E0E">
        <w:rPr>
          <w:rFonts w:ascii="Arial" w:eastAsia="Calibri" w:hAnsi="Arial" w:cs="Arial"/>
          <w:i/>
          <w:iCs/>
          <w:color w:val="000000"/>
          <w:sz w:val="22"/>
          <w:lang w:val="es-ES_tradnl"/>
        </w:rPr>
        <w:t>no</w:t>
      </w:r>
      <w:r w:rsidRPr="000F6E0E">
        <w:rPr>
          <w:rFonts w:ascii="Arial" w:eastAsia="Calibri" w:hAnsi="Arial" w:cs="Arial"/>
          <w:color w:val="000000"/>
          <w:sz w:val="22"/>
          <w:lang w:val="es-ES_tradnl"/>
        </w:rPr>
        <w:t xml:space="preserve"> uniformes de común utilización –artículo 54–, vi) la obligación de adoptar el modelo de autoevaluación periódico para los sujetos obligados a implementar políticas de transparencia y ética empresarial –artículo 55–, </w:t>
      </w:r>
      <w:proofErr w:type="spellStart"/>
      <w:r w:rsidRPr="000F6E0E">
        <w:rPr>
          <w:rFonts w:ascii="Arial" w:eastAsia="Calibri" w:hAnsi="Arial" w:cs="Arial"/>
          <w:color w:val="000000"/>
          <w:sz w:val="22"/>
          <w:lang w:val="es-ES_tradnl"/>
        </w:rPr>
        <w:t>vii</w:t>
      </w:r>
      <w:proofErr w:type="spellEnd"/>
      <w:r w:rsidRPr="000F6E0E">
        <w:rPr>
          <w:rFonts w:ascii="Arial" w:eastAsia="Calibri" w:hAnsi="Arial" w:cs="Arial"/>
          <w:color w:val="000000"/>
          <w:sz w:val="22"/>
          <w:lang w:val="es-ES_tradnl"/>
        </w:rPr>
        <w:t>) la aplicación de los documentos tipo a entidades con régimen especial</w:t>
      </w:r>
      <w:r w:rsidR="00C652DD" w:rsidRPr="000F6E0E">
        <w:rPr>
          <w:rFonts w:ascii="Arial" w:eastAsia="Calibri" w:hAnsi="Arial" w:cs="Arial"/>
          <w:color w:val="000000"/>
          <w:sz w:val="22"/>
          <w:lang w:val="es-ES_tradnl"/>
        </w:rPr>
        <w:t>, bajo determinados supuestos</w:t>
      </w:r>
      <w:r w:rsidRPr="000F6E0E">
        <w:rPr>
          <w:rFonts w:ascii="Arial" w:eastAsia="Calibri" w:hAnsi="Arial" w:cs="Arial"/>
          <w:color w:val="000000"/>
          <w:sz w:val="22"/>
          <w:lang w:val="es-ES_tradnl"/>
        </w:rPr>
        <w:t xml:space="preserve"> –artículo 56–, </w:t>
      </w:r>
      <w:proofErr w:type="spellStart"/>
      <w:r w:rsidRPr="000F6E0E">
        <w:rPr>
          <w:rFonts w:ascii="Arial" w:eastAsia="Calibri" w:hAnsi="Arial" w:cs="Arial"/>
          <w:color w:val="000000"/>
          <w:sz w:val="22"/>
          <w:lang w:val="es-ES_tradnl"/>
        </w:rPr>
        <w:t>viii</w:t>
      </w:r>
      <w:proofErr w:type="spellEnd"/>
      <w:r w:rsidRPr="000F6E0E">
        <w:rPr>
          <w:rFonts w:ascii="Arial" w:eastAsia="Calibri" w:hAnsi="Arial" w:cs="Arial"/>
          <w:color w:val="000000"/>
          <w:sz w:val="22"/>
          <w:lang w:val="es-ES_tradnl"/>
        </w:rPr>
        <w:t xml:space="preserve">) la obligación, radicada en los revisores fiscales, de denunciar los actos de corrupción –artículo 57–, y </w:t>
      </w:r>
      <w:proofErr w:type="spellStart"/>
      <w:r w:rsidRPr="000F6E0E">
        <w:rPr>
          <w:rFonts w:ascii="Arial" w:eastAsia="Calibri" w:hAnsi="Arial" w:cs="Arial"/>
          <w:color w:val="000000"/>
          <w:sz w:val="22"/>
          <w:lang w:val="es-ES_tradnl"/>
        </w:rPr>
        <w:t>ix</w:t>
      </w:r>
      <w:proofErr w:type="spellEnd"/>
      <w:r w:rsidRPr="000F6E0E">
        <w:rPr>
          <w:rFonts w:ascii="Arial" w:eastAsia="Calibri" w:hAnsi="Arial" w:cs="Arial"/>
          <w:color w:val="000000"/>
          <w:sz w:val="22"/>
          <w:lang w:val="es-ES_tradnl"/>
        </w:rPr>
        <w:t>) la reducción de puntaje por incumplimiento de contratos –artículo 58–.</w:t>
      </w:r>
    </w:p>
    <w:p w14:paraId="55643FDF" w14:textId="77777777" w:rsidR="00380EFC" w:rsidRPr="000F6E0E" w:rsidRDefault="00380EFC" w:rsidP="00947D2A">
      <w:pPr>
        <w:spacing w:line="276" w:lineRule="auto"/>
        <w:ind w:firstLine="709"/>
        <w:jc w:val="both"/>
        <w:rPr>
          <w:rFonts w:ascii="Arial" w:eastAsia="Calibri" w:hAnsi="Arial" w:cs="Arial"/>
          <w:color w:val="000000"/>
          <w:sz w:val="22"/>
          <w:lang w:val="es-ES_tradnl"/>
        </w:rPr>
      </w:pPr>
      <w:r w:rsidRPr="000F6E0E">
        <w:rPr>
          <w:rFonts w:ascii="Arial" w:eastAsia="Calibri" w:hAnsi="Arial" w:cs="Arial"/>
          <w:color w:val="000000"/>
          <w:sz w:val="22"/>
          <w:lang w:val="es-ES_tradnl"/>
        </w:rPr>
        <w:t>Según se indicó, el artículo 53 de la Ley 2195 de 2022 hace obligatorio el uso del SECOP II para las entidades exceptuadas del Estatuto General de Contratación de la Administración Pública. En efecto, esta norma dispone:</w:t>
      </w:r>
    </w:p>
    <w:p w14:paraId="01F33318" w14:textId="77777777" w:rsidR="00380EFC" w:rsidRPr="000F6E0E" w:rsidRDefault="00380EFC" w:rsidP="00947D2A">
      <w:pPr>
        <w:ind w:left="709" w:right="709"/>
        <w:jc w:val="both"/>
        <w:rPr>
          <w:rFonts w:ascii="Arial" w:eastAsia="Calibri" w:hAnsi="Arial" w:cs="Arial"/>
          <w:color w:val="000000"/>
          <w:sz w:val="21"/>
          <w:szCs w:val="21"/>
          <w:lang w:val="es-ES_tradnl"/>
        </w:rPr>
      </w:pPr>
    </w:p>
    <w:p w14:paraId="69FBD477" w14:textId="77777777" w:rsidR="00380EFC" w:rsidRPr="000F6E0E" w:rsidRDefault="00380EFC" w:rsidP="00947D2A">
      <w:pPr>
        <w:ind w:left="709" w:right="709"/>
        <w:jc w:val="both"/>
        <w:rPr>
          <w:rFonts w:ascii="Arial" w:eastAsia="Calibri" w:hAnsi="Arial" w:cs="Arial"/>
          <w:sz w:val="21"/>
          <w:szCs w:val="21"/>
        </w:rPr>
      </w:pPr>
      <w:r w:rsidRPr="000F6E0E">
        <w:rPr>
          <w:rFonts w:ascii="Arial" w:eastAsia="Calibri" w:hAnsi="Arial" w:cs="Arial"/>
          <w:sz w:val="21"/>
          <w:szCs w:val="21"/>
        </w:rPr>
        <w:t>Adiciónese los siguientes incisos al artículo 13 de la Ley 1150 de 2007, el cual quedará así:</w:t>
      </w:r>
    </w:p>
    <w:p w14:paraId="7D12D4A3" w14:textId="77777777" w:rsidR="00380EFC" w:rsidRPr="000F6E0E" w:rsidRDefault="00380EFC" w:rsidP="00947D2A">
      <w:pPr>
        <w:ind w:left="709" w:right="709"/>
        <w:jc w:val="both"/>
        <w:rPr>
          <w:rFonts w:ascii="Arial" w:eastAsia="Calibri" w:hAnsi="Arial" w:cs="Arial"/>
          <w:sz w:val="21"/>
          <w:szCs w:val="21"/>
        </w:rPr>
      </w:pPr>
    </w:p>
    <w:p w14:paraId="56746846" w14:textId="77777777" w:rsidR="00380EFC" w:rsidRPr="000F6E0E" w:rsidRDefault="00380EFC" w:rsidP="00947D2A">
      <w:pPr>
        <w:ind w:left="709" w:right="709"/>
        <w:jc w:val="both"/>
        <w:rPr>
          <w:rFonts w:ascii="Arial" w:eastAsia="Calibri" w:hAnsi="Arial" w:cs="Arial"/>
          <w:sz w:val="21"/>
          <w:szCs w:val="21"/>
        </w:rPr>
      </w:pPr>
      <w:r w:rsidRPr="000F6E0E">
        <w:rPr>
          <w:rFonts w:ascii="Arial" w:eastAsia="Calibri" w:hAnsi="Arial" w:cs="Arial"/>
          <w:sz w:val="21"/>
          <w:szCs w:val="21"/>
        </w:rPr>
        <w:t xml:space="preserve">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w:t>
      </w:r>
      <w:r w:rsidRPr="000F6E0E">
        <w:rPr>
          <w:rFonts w:ascii="Arial" w:eastAsia="Calibri" w:hAnsi="Arial" w:cs="Arial"/>
          <w:sz w:val="21"/>
          <w:szCs w:val="21"/>
        </w:rPr>
        <w:lastRenderedPageBreak/>
        <w:t>caso y estarán sometidas al régimen de inhabilidades e incompatibilidades previsto legalmente para la contratación estatal.</w:t>
      </w:r>
    </w:p>
    <w:p w14:paraId="4AD13765" w14:textId="77777777" w:rsidR="00380EFC" w:rsidRPr="000F6E0E" w:rsidRDefault="00380EFC" w:rsidP="00947D2A">
      <w:pPr>
        <w:ind w:left="709" w:right="709"/>
        <w:jc w:val="both"/>
        <w:rPr>
          <w:rFonts w:ascii="Arial" w:eastAsia="Calibri" w:hAnsi="Arial" w:cs="Arial"/>
          <w:sz w:val="21"/>
          <w:szCs w:val="21"/>
        </w:rPr>
      </w:pPr>
    </w:p>
    <w:p w14:paraId="57470218" w14:textId="77777777" w:rsidR="00380EFC" w:rsidRPr="000F6E0E" w:rsidRDefault="00380EFC" w:rsidP="00947D2A">
      <w:pPr>
        <w:ind w:left="709" w:right="709"/>
        <w:jc w:val="both"/>
        <w:rPr>
          <w:rFonts w:ascii="Arial" w:eastAsia="Calibri" w:hAnsi="Arial" w:cs="Arial"/>
          <w:sz w:val="21"/>
          <w:szCs w:val="21"/>
        </w:rPr>
      </w:pPr>
      <w:r w:rsidRPr="000F6E0E">
        <w:rPr>
          <w:rFonts w:ascii="Arial" w:eastAsia="Calibri" w:hAnsi="Arial" w:cs="Arial"/>
          <w:sz w:val="21"/>
          <w:szCs w:val="21"/>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0F6E0E">
        <w:rPr>
          <w:rFonts w:ascii="Arial" w:eastAsia="Calibri" w:hAnsi="Arial" w:cs="Arial"/>
          <w:sz w:val="21"/>
          <w:szCs w:val="21"/>
        </w:rPr>
        <w:t>postcontractual</w:t>
      </w:r>
      <w:proofErr w:type="spellEnd"/>
      <w:r w:rsidRPr="000F6E0E">
        <w:rPr>
          <w:rFonts w:ascii="Arial" w:eastAsia="Calibri" w:hAnsi="Arial" w:cs="Arial"/>
          <w:sz w:val="21"/>
          <w:szCs w:val="21"/>
        </w:rPr>
        <w:t>.</w:t>
      </w:r>
    </w:p>
    <w:p w14:paraId="5A283BD8" w14:textId="77777777" w:rsidR="00380EFC" w:rsidRPr="000F6E0E" w:rsidRDefault="00380EFC" w:rsidP="00947D2A">
      <w:pPr>
        <w:ind w:left="709" w:right="709"/>
        <w:jc w:val="both"/>
        <w:rPr>
          <w:rFonts w:ascii="Arial" w:eastAsia="Calibri" w:hAnsi="Arial" w:cs="Arial"/>
          <w:sz w:val="21"/>
          <w:szCs w:val="21"/>
        </w:rPr>
      </w:pPr>
    </w:p>
    <w:p w14:paraId="548CA13D" w14:textId="77777777" w:rsidR="00380EFC" w:rsidRPr="000F6E0E" w:rsidRDefault="00380EFC" w:rsidP="00947D2A">
      <w:pPr>
        <w:ind w:left="709" w:right="709"/>
        <w:jc w:val="both"/>
        <w:rPr>
          <w:rFonts w:ascii="Arial" w:eastAsia="Calibri" w:hAnsi="Arial" w:cs="Arial"/>
          <w:sz w:val="21"/>
          <w:szCs w:val="21"/>
        </w:rPr>
      </w:pPr>
      <w:r w:rsidRPr="000F6E0E">
        <w:rPr>
          <w:rFonts w:ascii="Arial" w:eastAsia="Calibri" w:hAnsi="Arial" w:cs="Arial"/>
          <w:sz w:val="21"/>
          <w:szCs w:val="21"/>
        </w:rPr>
        <w:t>A partir de la entrada en vigencia de la presente Ley, se establecerá un periodo de transición de seis (6) meses, para que las entidades den cumplimiento efectivo a lo aquí establecido.</w:t>
      </w:r>
    </w:p>
    <w:p w14:paraId="32127DD9" w14:textId="77777777" w:rsidR="00380EFC" w:rsidRPr="000F6E0E" w:rsidRDefault="00380EFC" w:rsidP="00947D2A">
      <w:pPr>
        <w:spacing w:line="276" w:lineRule="auto"/>
        <w:ind w:firstLine="709"/>
        <w:jc w:val="both"/>
        <w:rPr>
          <w:rFonts w:ascii="Arial" w:eastAsia="Calibri" w:hAnsi="Arial" w:cs="Arial"/>
          <w:color w:val="000000"/>
          <w:sz w:val="22"/>
          <w:lang w:val="es-ES_tradnl"/>
        </w:rPr>
      </w:pPr>
    </w:p>
    <w:p w14:paraId="0A72BBC3" w14:textId="77777777" w:rsidR="00380EFC" w:rsidRPr="000F6E0E" w:rsidRDefault="00380EFC" w:rsidP="00947D2A">
      <w:pPr>
        <w:spacing w:after="120" w:line="276" w:lineRule="auto"/>
        <w:ind w:firstLine="709"/>
        <w:jc w:val="both"/>
        <w:rPr>
          <w:rFonts w:ascii="Arial" w:eastAsia="Calibri" w:hAnsi="Arial" w:cs="Arial"/>
          <w:color w:val="000000"/>
          <w:sz w:val="22"/>
          <w:lang w:val="es-ES_tradnl"/>
        </w:rPr>
      </w:pPr>
      <w:r w:rsidRPr="000F6E0E">
        <w:rPr>
          <w:rFonts w:ascii="Arial" w:eastAsia="Calibri" w:hAnsi="Arial" w:cs="Arial"/>
          <w:color w:val="000000"/>
          <w:sz w:val="22"/>
          <w:lang w:val="es-ES_tradnl"/>
        </w:rPr>
        <w:t xml:space="preserve">Como puede observarse, aunque la publicación en el SECOP de los documentos relacionados con la actividad contractual ya era obligatoria –lo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6E99D7B7" w14:textId="77777777" w:rsidR="00380EFC" w:rsidRPr="000F6E0E" w:rsidRDefault="00380EFC" w:rsidP="00947D2A">
      <w:pPr>
        <w:spacing w:after="120" w:line="276" w:lineRule="auto"/>
        <w:ind w:firstLine="709"/>
        <w:jc w:val="both"/>
        <w:rPr>
          <w:rFonts w:ascii="Arial" w:eastAsia="Calibri" w:hAnsi="Arial" w:cs="Arial"/>
          <w:color w:val="000000"/>
          <w:sz w:val="22"/>
          <w:lang w:val="es-ES_tradnl"/>
        </w:rPr>
      </w:pPr>
      <w:r w:rsidRPr="000F6E0E">
        <w:rPr>
          <w:rFonts w:ascii="Arial" w:eastAsia="Calibri" w:hAnsi="Arial" w:cs="Arial"/>
          <w:color w:val="000000"/>
          <w:sz w:val="22"/>
          <w:lang w:val="es-ES_tradnl"/>
        </w:rPr>
        <w:t xml:space="preserve">La Agencia Nacional de Contratación Pública – Colombia Compra Eficiente considera que al establecer el artículo 53 que este deber ha de cumplirse en el SECOP II «o la plataforma transaccional que haga sus veces» esto debe interpretarse en el sentido en que a pesar de que en la actualidad el SECOP II es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 </w:t>
      </w:r>
    </w:p>
    <w:p w14:paraId="1EF58A4F" w14:textId="77777777" w:rsidR="00380EFC" w:rsidRPr="000F6E0E" w:rsidRDefault="00380EFC" w:rsidP="00947D2A">
      <w:pPr>
        <w:spacing w:line="276" w:lineRule="auto"/>
        <w:ind w:firstLine="709"/>
        <w:jc w:val="both"/>
        <w:rPr>
          <w:rFonts w:ascii="Arial" w:eastAsia="Calibri" w:hAnsi="Arial" w:cs="Arial"/>
          <w:color w:val="000000"/>
          <w:sz w:val="22"/>
          <w:lang w:val="es-ES_tradnl"/>
        </w:rPr>
      </w:pPr>
      <w:r w:rsidRPr="000F6E0E">
        <w:rPr>
          <w:rFonts w:ascii="Arial" w:eastAsia="Calibri" w:hAnsi="Arial" w:cs="Arial"/>
          <w:color w:val="000000"/>
          <w:sz w:val="22"/>
          <w:lang w:val="es-ES_tradnl"/>
        </w:rPr>
        <w:t xml:space="preserve">Finalmente, el referido artículo dispone, en el inciso final, que «A partir de la entrada en vigencia de la presente Ley, se establecerá un periodo de transición de seis (6) meses, para que las entidades den cumplimiento efectivo a lo aquí establecido». Es decir que se trata de un período concedido por el Legislador a las entidades que tienen un régimen especial de contratación para adelantar las gestiones administrativas, técnicas y jurídicas pertinentes, a fin de cumplir lo establecido en el artículo 53. Este período de transición va </w:t>
      </w:r>
      <w:r w:rsidRPr="000F6E0E">
        <w:rPr>
          <w:rFonts w:ascii="Arial" w:eastAsia="Calibri" w:hAnsi="Arial" w:cs="Arial"/>
          <w:color w:val="000000"/>
          <w:sz w:val="22"/>
          <w:lang w:val="es-ES_tradnl"/>
        </w:rPr>
        <w:lastRenderedPageBreak/>
        <w:t>del 18 de enero al 18 de julio de 2022. La Agencia Nacional de Contratación Pública – Colombia Compra Eficiente también podría impartir directrices sobre este tema a través de sus instrumentos doctrinarios y reglamentarios</w:t>
      </w:r>
      <w:r w:rsidRPr="000F6E0E">
        <w:rPr>
          <w:rStyle w:val="Refdenotaalpie"/>
          <w:rFonts w:ascii="Arial" w:eastAsia="Calibri" w:hAnsi="Arial" w:cs="Arial"/>
          <w:color w:val="000000"/>
          <w:sz w:val="22"/>
          <w:lang w:val="es-ES_tradnl"/>
        </w:rPr>
        <w:footnoteReference w:id="18"/>
      </w:r>
      <w:r w:rsidRPr="000F6E0E">
        <w:rPr>
          <w:rFonts w:ascii="Arial" w:eastAsia="Calibri" w:hAnsi="Arial" w:cs="Arial"/>
          <w:color w:val="000000"/>
          <w:sz w:val="22"/>
          <w:lang w:val="es-ES_tradnl"/>
        </w:rPr>
        <w:t>.</w:t>
      </w:r>
    </w:p>
    <w:p w14:paraId="11DFCB9A" w14:textId="7A6CC23C" w:rsidR="004211CC" w:rsidRPr="000F6E0E" w:rsidRDefault="004211CC" w:rsidP="00D46E80">
      <w:pPr>
        <w:tabs>
          <w:tab w:val="left" w:pos="284"/>
          <w:tab w:val="left" w:pos="426"/>
        </w:tabs>
        <w:spacing w:line="276" w:lineRule="auto"/>
        <w:jc w:val="both"/>
        <w:rPr>
          <w:rFonts w:ascii="Arial" w:hAnsi="Arial" w:cs="Arial"/>
          <w:b/>
          <w:sz w:val="22"/>
          <w:lang w:val="es-ES_tradnl"/>
        </w:rPr>
      </w:pPr>
    </w:p>
    <w:p w14:paraId="6B53B8C0" w14:textId="77777777" w:rsidR="003B0A0C" w:rsidRPr="000F6E0E" w:rsidRDefault="003B0A0C" w:rsidP="00947D2A">
      <w:pPr>
        <w:spacing w:line="276" w:lineRule="atLeast"/>
        <w:jc w:val="both"/>
        <w:rPr>
          <w:lang w:val="es-CO" w:eastAsia="es-ES_tradnl"/>
        </w:rPr>
      </w:pPr>
      <w:r w:rsidRPr="000F6E0E">
        <w:rPr>
          <w:rFonts w:ascii="Arial" w:hAnsi="Arial" w:cs="Arial"/>
          <w:b/>
          <w:bCs/>
          <w:sz w:val="22"/>
          <w:lang w:val="es-ES" w:eastAsia="es-ES_tradnl"/>
        </w:rPr>
        <w:t>3. Respuesta</w:t>
      </w:r>
    </w:p>
    <w:p w14:paraId="05E398C9" w14:textId="77777777" w:rsidR="003B0A0C" w:rsidRPr="000F6E0E" w:rsidRDefault="003B0A0C" w:rsidP="00947D2A">
      <w:pPr>
        <w:spacing w:line="276" w:lineRule="atLeast"/>
        <w:jc w:val="both"/>
        <w:rPr>
          <w:lang w:eastAsia="es-ES_tradnl"/>
        </w:rPr>
      </w:pPr>
      <w:r w:rsidRPr="000F6E0E">
        <w:rPr>
          <w:rFonts w:ascii="Arial" w:hAnsi="Arial" w:cs="Arial"/>
          <w:sz w:val="22"/>
          <w:lang w:val="es-ES" w:eastAsia="es-ES_tradnl"/>
        </w:rPr>
        <w:t> </w:t>
      </w:r>
    </w:p>
    <w:p w14:paraId="430FBA45" w14:textId="0CA474EA" w:rsidR="0008266A" w:rsidRPr="000F6E0E" w:rsidRDefault="0008266A" w:rsidP="009776F8">
      <w:pPr>
        <w:ind w:left="709" w:right="709"/>
        <w:jc w:val="both"/>
        <w:rPr>
          <w:rFonts w:ascii="Arial" w:hAnsi="Arial" w:cs="Arial"/>
          <w:sz w:val="21"/>
          <w:szCs w:val="21"/>
        </w:rPr>
      </w:pPr>
      <w:r w:rsidRPr="000F6E0E">
        <w:rPr>
          <w:rFonts w:ascii="Arial" w:hAnsi="Arial" w:cs="Arial"/>
          <w:sz w:val="21"/>
          <w:szCs w:val="21"/>
        </w:rPr>
        <w:t>«</w:t>
      </w:r>
      <w:r w:rsidR="009776F8" w:rsidRPr="000F6E0E">
        <w:rPr>
          <w:rFonts w:ascii="Arial" w:hAnsi="Arial" w:cs="Arial"/>
          <w:bCs/>
          <w:sz w:val="21"/>
          <w:szCs w:val="21"/>
        </w:rPr>
        <w:t>¿Las Instituciones Educativas Públicas de Colombia - IEPC, en materia contractual ostentan un régimen especial cuando la cuantía de los procesos es inferior a 20 SMMLV? Lo anterior, por la implementación de la plataforma SECOP II en las Instituciones Educativas Públicas de Colombia cuando estén llevando a cabo procesos por la modalidad de contratación denominada Régimen de Contratación Inferior a 20 SMMLV de que trata el artículo 13 de la Ley 715 de 2001, por los efectos del artículo 53 de la Ley 2195 de 2022</w:t>
      </w:r>
      <w:r w:rsidR="00E01EC0" w:rsidRPr="000F6E0E">
        <w:rPr>
          <w:rFonts w:ascii="Arial" w:hAnsi="Arial" w:cs="Arial"/>
          <w:sz w:val="21"/>
          <w:szCs w:val="21"/>
        </w:rPr>
        <w:t>»</w:t>
      </w:r>
      <w:r w:rsidR="009776F8" w:rsidRPr="000F6E0E">
        <w:rPr>
          <w:rFonts w:ascii="Arial" w:hAnsi="Arial" w:cs="Arial"/>
          <w:sz w:val="21"/>
          <w:szCs w:val="21"/>
        </w:rPr>
        <w:t>.</w:t>
      </w:r>
    </w:p>
    <w:p w14:paraId="265907D9" w14:textId="77777777" w:rsidR="00947D2A" w:rsidRPr="000F6E0E" w:rsidRDefault="00947D2A" w:rsidP="00947D2A">
      <w:pPr>
        <w:spacing w:line="276" w:lineRule="auto"/>
        <w:jc w:val="both"/>
        <w:rPr>
          <w:rFonts w:ascii="Arial" w:hAnsi="Arial" w:cs="Arial"/>
          <w:sz w:val="22"/>
        </w:rPr>
      </w:pPr>
    </w:p>
    <w:p w14:paraId="535DA9E4" w14:textId="4B4B6373" w:rsidR="00872CBB" w:rsidRPr="000F6E0E" w:rsidRDefault="00751DE8" w:rsidP="00947D2A">
      <w:pPr>
        <w:spacing w:after="120" w:line="276" w:lineRule="auto"/>
        <w:jc w:val="both"/>
        <w:rPr>
          <w:rFonts w:ascii="Arial" w:hAnsi="Arial" w:cs="Arial"/>
          <w:sz w:val="22"/>
        </w:rPr>
      </w:pPr>
      <w:r w:rsidRPr="000F6E0E">
        <w:rPr>
          <w:rFonts w:ascii="Arial" w:hAnsi="Arial" w:cs="Arial"/>
          <w:sz w:val="22"/>
        </w:rPr>
        <w:t>L</w:t>
      </w:r>
      <w:r w:rsidR="00C47AC1" w:rsidRPr="000F6E0E">
        <w:rPr>
          <w:rFonts w:ascii="Arial" w:hAnsi="Arial" w:cs="Arial"/>
          <w:sz w:val="22"/>
        </w:rPr>
        <w:t xml:space="preserve">a contratación que realicen las instituciones educativas, siempre que se ubique por debajo </w:t>
      </w:r>
      <w:r w:rsidR="00215BC3" w:rsidRPr="000F6E0E">
        <w:rPr>
          <w:rFonts w:ascii="Arial" w:hAnsi="Arial" w:cs="Arial"/>
          <w:sz w:val="22"/>
        </w:rPr>
        <w:t>de los veinte (20) salarios mínimos mensuales legales vigentes, se sujetará a las condiciones previstas en el reglamento de contratación que expida el consejo directivo de la institución, de conformidad con lo dispuesto en el artículo 13 de la Ley 715 de 2001</w:t>
      </w:r>
      <w:r w:rsidR="00C47AC1" w:rsidRPr="000F6E0E">
        <w:rPr>
          <w:rFonts w:ascii="Arial" w:hAnsi="Arial" w:cs="Arial"/>
          <w:sz w:val="22"/>
        </w:rPr>
        <w:t>,</w:t>
      </w:r>
      <w:r w:rsidR="00215BC3" w:rsidRPr="000F6E0E">
        <w:rPr>
          <w:rFonts w:ascii="Arial" w:hAnsi="Arial" w:cs="Arial"/>
          <w:sz w:val="22"/>
        </w:rPr>
        <w:t xml:space="preserve"> es decir, que en dicho caso cuentan con un régimen especial de contrataci</w:t>
      </w:r>
      <w:r w:rsidR="00E01EC0" w:rsidRPr="000F6E0E">
        <w:rPr>
          <w:rFonts w:ascii="Arial" w:hAnsi="Arial" w:cs="Arial"/>
          <w:sz w:val="22"/>
        </w:rPr>
        <w:t>ón</w:t>
      </w:r>
      <w:r w:rsidR="002955FB" w:rsidRPr="000F6E0E">
        <w:rPr>
          <w:rFonts w:ascii="Arial" w:hAnsi="Arial" w:cs="Arial"/>
          <w:sz w:val="22"/>
        </w:rPr>
        <w:t>. Como consecuencia de lo anterior, la publicidad de la actividad contractual se hará en los términos definidos en el artículo 53 de la Ley 2195 de 2022.</w:t>
      </w:r>
    </w:p>
    <w:p w14:paraId="62EE3503" w14:textId="5D238CAD" w:rsidR="00872CBB" w:rsidRPr="000F6E0E" w:rsidRDefault="00872CBB" w:rsidP="00872CBB">
      <w:pPr>
        <w:spacing w:after="120" w:line="276" w:lineRule="auto"/>
        <w:ind w:firstLine="709"/>
        <w:jc w:val="both"/>
        <w:rPr>
          <w:rFonts w:ascii="Arial" w:eastAsia="Calibri" w:hAnsi="Arial" w:cs="Arial"/>
          <w:color w:val="000000"/>
          <w:sz w:val="22"/>
          <w:lang w:val="es-ES_tradnl"/>
        </w:rPr>
      </w:pPr>
      <w:r w:rsidRPr="000F6E0E">
        <w:rPr>
          <w:rFonts w:ascii="Arial" w:eastAsia="Calibri" w:hAnsi="Arial" w:cs="Arial"/>
          <w:color w:val="000000"/>
          <w:sz w:val="22"/>
          <w:lang w:val="es-ES_tradnl"/>
        </w:rPr>
        <w:t xml:space="preserve">El artículo 53 de la Ley 2195 de 2022 hace obligatorio el uso del SECOP II para las entidades exceptuadas del Estatuto General de Contratación de la Administración Pública. Aunque la publicación en el SECOP de los documentos relacionados con la actividad contractual ya era obligatoria –lo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6774939F" w14:textId="77777777" w:rsidR="00872CBB" w:rsidRPr="000F6E0E" w:rsidRDefault="00872CBB" w:rsidP="00872CBB">
      <w:pPr>
        <w:spacing w:after="120" w:line="276" w:lineRule="auto"/>
        <w:ind w:firstLine="709"/>
        <w:jc w:val="both"/>
        <w:rPr>
          <w:rFonts w:ascii="Arial" w:eastAsia="Calibri" w:hAnsi="Arial" w:cs="Arial"/>
          <w:color w:val="000000"/>
          <w:sz w:val="22"/>
          <w:lang w:val="es-ES_tradnl"/>
        </w:rPr>
      </w:pPr>
      <w:r w:rsidRPr="000F6E0E">
        <w:rPr>
          <w:rFonts w:ascii="Arial" w:eastAsia="Calibri" w:hAnsi="Arial" w:cs="Arial"/>
          <w:color w:val="000000"/>
          <w:sz w:val="22"/>
          <w:lang w:val="es-ES_tradnl"/>
        </w:rPr>
        <w:t xml:space="preserve">La Agencia Nacional de Contratación Pública – Colombia Compra Eficiente considera que al establecer el artículo 53 que este deber ha de cumplirse en el SECOP II «o la plataforma transaccional que haga sus veces» esto debe interpretarse en el sentido </w:t>
      </w:r>
      <w:r w:rsidRPr="000F6E0E">
        <w:rPr>
          <w:rFonts w:ascii="Arial" w:eastAsia="Calibri" w:hAnsi="Arial" w:cs="Arial"/>
          <w:color w:val="000000"/>
          <w:sz w:val="22"/>
          <w:lang w:val="es-ES_tradnl"/>
        </w:rPr>
        <w:lastRenderedPageBreak/>
        <w:t xml:space="preserve">en que a pesar de que en la actualidad el SECOP II es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 </w:t>
      </w:r>
    </w:p>
    <w:p w14:paraId="255C59D0" w14:textId="793F6397" w:rsidR="00872CBB" w:rsidRDefault="00872CBB" w:rsidP="00236781">
      <w:pPr>
        <w:spacing w:line="276" w:lineRule="auto"/>
        <w:ind w:firstLine="709"/>
        <w:jc w:val="both"/>
        <w:rPr>
          <w:rFonts w:ascii="Arial" w:hAnsi="Arial" w:cs="Arial"/>
          <w:sz w:val="22"/>
        </w:rPr>
      </w:pPr>
      <w:r w:rsidRPr="000F6E0E">
        <w:rPr>
          <w:rFonts w:ascii="Arial" w:eastAsia="Calibri" w:hAnsi="Arial" w:cs="Arial"/>
          <w:color w:val="000000"/>
          <w:sz w:val="22"/>
          <w:lang w:val="es-ES_tradnl"/>
        </w:rPr>
        <w:t>Finalmente, el referido artículo dispone, en el inciso final, que «A partir de la entrada en vigencia de la presente Ley, se establecerá un periodo de transición de seis (6) meses, para que las entidades den cumplimiento efectivo a lo aquí establecido». Es decir que se trata de un período concedido por el Legislador a las entidades que tienen un régimen especial de contratación para adelantar las gestiones administrativas, técnicas y jurídicas pertinentes, a fin de cumplir lo establecido en el artículo 53. Este período de transición va del 18 de enero al 18 de julio de 2022. La Agencia Nacional de Contratación Pública – Colombia Compra Eficiente también podría impartir directrices sobre este tema a través de sus instrumentos doctrinarios y reglamentarios.</w:t>
      </w:r>
    </w:p>
    <w:p w14:paraId="0FDC8ED9" w14:textId="77777777" w:rsidR="00236781" w:rsidRPr="000F6E0E" w:rsidRDefault="00236781" w:rsidP="00236781">
      <w:pPr>
        <w:spacing w:line="276" w:lineRule="auto"/>
        <w:ind w:firstLine="709"/>
        <w:jc w:val="both"/>
        <w:rPr>
          <w:rFonts w:ascii="Arial" w:hAnsi="Arial" w:cs="Arial"/>
          <w:sz w:val="22"/>
        </w:rPr>
      </w:pPr>
    </w:p>
    <w:p w14:paraId="2E43892D" w14:textId="4BAD94FC" w:rsidR="00073F37" w:rsidRPr="000F6E0E" w:rsidRDefault="00215BC3" w:rsidP="006F6221">
      <w:pPr>
        <w:spacing w:after="120" w:line="276" w:lineRule="auto"/>
        <w:ind w:right="-93" w:firstLine="708"/>
        <w:jc w:val="both"/>
        <w:rPr>
          <w:rFonts w:ascii="Arial" w:hAnsi="Arial" w:cs="Arial"/>
          <w:sz w:val="22"/>
        </w:rPr>
      </w:pPr>
      <w:r w:rsidRPr="000F6E0E">
        <w:rPr>
          <w:rFonts w:ascii="Arial" w:hAnsi="Arial" w:cs="Arial"/>
          <w:sz w:val="22"/>
        </w:rPr>
        <w:t>Por el contrario, cuando la celebración de contratos a que haya lugar con recursos del fondo de servicios educativos supere la cuantía de los veinte (20) salarios mínimos legales mensuales vigentes, debe hacerse con estricta sujeción a lo dispuesto en la Ley 80 de 1993, por lo que las reglas a las que deben sujetarse los procedimientos dentro de los que se enmarque esta contratación son las del Estatuto General de Contratación de la Administración Pública, procediendo la aplicación de las modalidades de selección definidas en la Ley 1150 de 2007, así como los requisitos y formalidades establecidas en el Decreto 1082 del 2015 y demás normativa integrante del referido estatuto.</w:t>
      </w:r>
      <w:r w:rsidR="002955FB" w:rsidRPr="000F6E0E">
        <w:rPr>
          <w:rFonts w:ascii="Arial" w:hAnsi="Arial" w:cs="Arial"/>
          <w:sz w:val="22"/>
        </w:rPr>
        <w:t xml:space="preserve"> En estos casos, </w:t>
      </w:r>
      <w:r w:rsidR="00872CBB" w:rsidRPr="000F6E0E">
        <w:rPr>
          <w:rFonts w:ascii="Arial" w:hAnsi="Arial" w:cs="Arial"/>
          <w:sz w:val="22"/>
        </w:rPr>
        <w:t xml:space="preserve">las Instituciones Educativas Públicas podrán </w:t>
      </w:r>
      <w:r w:rsidR="00073F37" w:rsidRPr="000F6E0E">
        <w:rPr>
          <w:rFonts w:ascii="Arial" w:hAnsi="Arial" w:cs="Arial"/>
          <w:sz w:val="22"/>
        </w:rPr>
        <w:t xml:space="preserve">definir de manera discrecional si </w:t>
      </w:r>
      <w:r w:rsidR="00872CBB" w:rsidRPr="000F6E0E">
        <w:rPr>
          <w:rFonts w:ascii="Arial" w:hAnsi="Arial" w:cs="Arial"/>
          <w:sz w:val="22"/>
        </w:rPr>
        <w:t>public</w:t>
      </w:r>
      <w:r w:rsidR="00073F37" w:rsidRPr="000F6E0E">
        <w:rPr>
          <w:rFonts w:ascii="Arial" w:hAnsi="Arial" w:cs="Arial"/>
          <w:sz w:val="22"/>
        </w:rPr>
        <w:t>an</w:t>
      </w:r>
      <w:r w:rsidR="00872CBB" w:rsidRPr="000F6E0E">
        <w:rPr>
          <w:rFonts w:ascii="Arial" w:hAnsi="Arial" w:cs="Arial"/>
          <w:sz w:val="22"/>
        </w:rPr>
        <w:t xml:space="preserve"> su información contractual en el </w:t>
      </w:r>
      <w:proofErr w:type="spellStart"/>
      <w:r w:rsidR="00872CBB" w:rsidRPr="000F6E0E">
        <w:rPr>
          <w:rFonts w:ascii="Arial" w:hAnsi="Arial" w:cs="Arial"/>
          <w:sz w:val="22"/>
        </w:rPr>
        <w:t>Secop</w:t>
      </w:r>
      <w:proofErr w:type="spellEnd"/>
      <w:r w:rsidR="00872CBB" w:rsidRPr="000F6E0E">
        <w:rPr>
          <w:rFonts w:ascii="Arial" w:hAnsi="Arial" w:cs="Arial"/>
          <w:sz w:val="22"/>
        </w:rPr>
        <w:t xml:space="preserve"> I o </w:t>
      </w:r>
      <w:proofErr w:type="spellStart"/>
      <w:r w:rsidR="00872CBB" w:rsidRPr="000F6E0E">
        <w:rPr>
          <w:rFonts w:ascii="Arial" w:hAnsi="Arial" w:cs="Arial"/>
          <w:sz w:val="22"/>
        </w:rPr>
        <w:t>Secop</w:t>
      </w:r>
      <w:proofErr w:type="spellEnd"/>
      <w:r w:rsidR="00872CBB" w:rsidRPr="000F6E0E">
        <w:rPr>
          <w:rFonts w:ascii="Arial" w:hAnsi="Arial" w:cs="Arial"/>
          <w:sz w:val="22"/>
        </w:rPr>
        <w:t xml:space="preserve"> II, </w:t>
      </w:r>
      <w:r w:rsidR="00073F37" w:rsidRPr="000F6E0E">
        <w:rPr>
          <w:rFonts w:ascii="Arial" w:hAnsi="Arial" w:cs="Arial"/>
          <w:sz w:val="22"/>
        </w:rPr>
        <w:t>para lo cual deberán tener en cuenta su capacidad operativa y los lineamientos definidos en el artículo</w:t>
      </w:r>
      <w:r w:rsidR="004850BE" w:rsidRPr="000F6E0E">
        <w:rPr>
          <w:rFonts w:ascii="Arial" w:hAnsi="Arial" w:cs="Arial"/>
          <w:sz w:val="22"/>
        </w:rPr>
        <w:t xml:space="preserve"> </w:t>
      </w:r>
      <w:r w:rsidR="00073F37" w:rsidRPr="000F6E0E">
        <w:rPr>
          <w:rFonts w:ascii="Arial" w:hAnsi="Arial" w:cs="Arial"/>
          <w:sz w:val="22"/>
        </w:rPr>
        <w:t xml:space="preserve">2.2.1.1.1.7.1 del Decreto 1082 de 2015. </w:t>
      </w:r>
    </w:p>
    <w:p w14:paraId="33D41A54" w14:textId="2859A542" w:rsidR="00BE3D8E" w:rsidRPr="000F6E0E" w:rsidRDefault="006F6221" w:rsidP="000C7584">
      <w:pPr>
        <w:spacing w:before="120" w:after="120" w:line="276" w:lineRule="auto"/>
        <w:jc w:val="both"/>
        <w:rPr>
          <w:rFonts w:ascii="Arial" w:hAnsi="Arial" w:cs="Arial"/>
          <w:sz w:val="22"/>
        </w:rPr>
      </w:pPr>
      <w:r w:rsidRPr="00292F1B">
        <w:rPr>
          <w:rFonts w:ascii="Arial" w:hAnsi="Arial" w:cs="Arial"/>
          <w:sz w:val="22"/>
        </w:rPr>
        <w:t>Este concepto tiene el alcance previsto en el artículo 28 del Código de Procedimiento Administrativo y de lo Contencioso Administrativo.</w:t>
      </w:r>
    </w:p>
    <w:p w14:paraId="5B733DF4" w14:textId="62FC0E96" w:rsidR="00330A5A" w:rsidRPr="000F6E0E" w:rsidRDefault="00330A5A" w:rsidP="00330A5A">
      <w:pPr>
        <w:spacing w:before="120" w:after="120" w:line="276" w:lineRule="auto"/>
        <w:rPr>
          <w:rFonts w:ascii="Arial" w:eastAsia="Times New Roman" w:hAnsi="Arial" w:cs="Arial"/>
          <w:sz w:val="22"/>
          <w:lang w:eastAsia="es-CO"/>
        </w:rPr>
      </w:pPr>
      <w:r w:rsidRPr="000F6E0E">
        <w:rPr>
          <w:rFonts w:ascii="Arial" w:eastAsia="Times New Roman" w:hAnsi="Arial" w:cs="Arial"/>
          <w:sz w:val="22"/>
          <w:lang w:eastAsia="es-CO"/>
        </w:rPr>
        <w:t>Atentamente,</w:t>
      </w:r>
    </w:p>
    <w:p w14:paraId="6F1C96D9" w14:textId="79953771" w:rsidR="00330A5A" w:rsidRPr="000F6E0E" w:rsidRDefault="00144843" w:rsidP="00FF6F5A">
      <w:pPr>
        <w:spacing w:before="120" w:after="120" w:line="276" w:lineRule="auto"/>
        <w:jc w:val="center"/>
        <w:rPr>
          <w:rFonts w:ascii="Arial" w:eastAsia="Times New Roman" w:hAnsi="Arial" w:cs="Arial"/>
          <w:sz w:val="22"/>
          <w:lang w:eastAsia="es-CO"/>
        </w:rPr>
      </w:pPr>
      <w:r>
        <w:rPr>
          <w:rFonts w:ascii="Arial" w:hAnsi="Arial" w:cs="Arial"/>
          <w:noProof/>
          <w:color w:val="1A1A1A" w:themeColor="background1" w:themeShade="1A"/>
          <w:lang w:eastAsia="es-CO"/>
        </w:rPr>
        <w:drawing>
          <wp:inline distT="0" distB="0" distL="0" distR="0" wp14:anchorId="6C7CEDD9" wp14:editId="0FBD8B28">
            <wp:extent cx="2533650" cy="981075"/>
            <wp:effectExtent l="0" t="0" r="0" b="9525"/>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92F1B" w:rsidRPr="000F6E0E" w14:paraId="236B78C3" w14:textId="77777777">
        <w:trPr>
          <w:trHeight w:val="315"/>
        </w:trPr>
        <w:tc>
          <w:tcPr>
            <w:tcW w:w="812" w:type="dxa"/>
            <w:vAlign w:val="center"/>
            <w:hideMark/>
          </w:tcPr>
          <w:p w14:paraId="36D40189" w14:textId="77777777" w:rsidR="00330A5A" w:rsidRPr="000F6E0E" w:rsidRDefault="00330A5A">
            <w:pPr>
              <w:spacing w:before="120" w:after="120"/>
              <w:rPr>
                <w:rFonts w:ascii="Arial" w:eastAsia="Times New Roman" w:hAnsi="Arial" w:cs="Arial"/>
                <w:sz w:val="16"/>
                <w:szCs w:val="16"/>
                <w:lang w:eastAsia="es-ES"/>
              </w:rPr>
            </w:pPr>
            <w:r w:rsidRPr="000F6E0E">
              <w:rPr>
                <w:rFonts w:ascii="Arial" w:eastAsia="Times New Roman" w:hAnsi="Arial" w:cs="Arial"/>
                <w:sz w:val="16"/>
                <w:szCs w:val="16"/>
                <w:lang w:eastAsia="es-ES"/>
              </w:rPr>
              <w:lastRenderedPageBreak/>
              <w:t>Elaboró:</w:t>
            </w:r>
          </w:p>
        </w:tc>
        <w:tc>
          <w:tcPr>
            <w:tcW w:w="4413" w:type="dxa"/>
            <w:tcBorders>
              <w:top w:val="nil"/>
              <w:left w:val="nil"/>
              <w:bottom w:val="dotted" w:sz="4" w:space="0" w:color="7F7F7F" w:themeColor="text1" w:themeTint="80"/>
              <w:right w:val="nil"/>
            </w:tcBorders>
            <w:vAlign w:val="center"/>
            <w:hideMark/>
          </w:tcPr>
          <w:p w14:paraId="6023600B" w14:textId="5460D354" w:rsidR="00D0499F" w:rsidRPr="000F6E0E" w:rsidRDefault="00D0499F">
            <w:pPr>
              <w:rPr>
                <w:rFonts w:ascii="Arial" w:eastAsia="Times New Roman" w:hAnsi="Arial" w:cs="Arial"/>
                <w:sz w:val="16"/>
                <w:szCs w:val="16"/>
                <w:lang w:eastAsia="es-ES"/>
              </w:rPr>
            </w:pPr>
            <w:r w:rsidRPr="000F6E0E">
              <w:rPr>
                <w:rFonts w:ascii="Arial" w:eastAsia="Times New Roman" w:hAnsi="Arial" w:cs="Arial"/>
                <w:sz w:val="16"/>
                <w:szCs w:val="16"/>
                <w:lang w:eastAsia="es-ES"/>
              </w:rPr>
              <w:t>Diana Fabiola Herrera Hernández</w:t>
            </w:r>
          </w:p>
          <w:p w14:paraId="3BC22E00" w14:textId="1AAFAA42" w:rsidR="00330A5A" w:rsidRPr="000F6E0E" w:rsidRDefault="00330A5A">
            <w:pPr>
              <w:rPr>
                <w:rFonts w:ascii="Arial" w:eastAsia="Times New Roman" w:hAnsi="Arial" w:cs="Arial"/>
                <w:sz w:val="16"/>
                <w:szCs w:val="16"/>
                <w:lang w:eastAsia="es-ES"/>
              </w:rPr>
            </w:pPr>
            <w:r w:rsidRPr="000F6E0E">
              <w:rPr>
                <w:rFonts w:ascii="Arial" w:eastAsia="Times New Roman" w:hAnsi="Arial" w:cs="Arial"/>
                <w:sz w:val="16"/>
                <w:szCs w:val="16"/>
                <w:lang w:eastAsia="es-ES"/>
              </w:rPr>
              <w:t xml:space="preserve">Contratista </w:t>
            </w:r>
            <w:r w:rsidR="00C85E03" w:rsidRPr="000F6E0E">
              <w:rPr>
                <w:rFonts w:ascii="Arial" w:eastAsia="Times New Roman" w:hAnsi="Arial" w:cs="Arial"/>
                <w:sz w:val="16"/>
                <w:szCs w:val="16"/>
                <w:lang w:eastAsia="es-ES"/>
              </w:rPr>
              <w:t>de la</w:t>
            </w:r>
            <w:r w:rsidR="0010548D" w:rsidRPr="000F6E0E">
              <w:rPr>
                <w:rFonts w:ascii="Arial" w:eastAsia="Times New Roman" w:hAnsi="Arial" w:cs="Arial"/>
                <w:sz w:val="16"/>
                <w:szCs w:val="16"/>
                <w:lang w:eastAsia="es-ES"/>
              </w:rPr>
              <w:t xml:space="preserve"> Subdirección de Gestión Contractual</w:t>
            </w:r>
          </w:p>
        </w:tc>
      </w:tr>
      <w:tr w:rsidR="00292F1B" w:rsidRPr="000F6E0E" w14:paraId="66E40071" w14:textId="77777777">
        <w:trPr>
          <w:trHeight w:val="330"/>
        </w:trPr>
        <w:tc>
          <w:tcPr>
            <w:tcW w:w="812" w:type="dxa"/>
            <w:vAlign w:val="center"/>
            <w:hideMark/>
          </w:tcPr>
          <w:p w14:paraId="6D04A49B" w14:textId="77777777" w:rsidR="00330A5A" w:rsidRPr="000F6E0E" w:rsidRDefault="00330A5A">
            <w:pPr>
              <w:rPr>
                <w:rFonts w:ascii="Arial" w:eastAsia="Times New Roman" w:hAnsi="Arial" w:cs="Arial"/>
                <w:sz w:val="16"/>
                <w:szCs w:val="16"/>
                <w:lang w:eastAsia="es-ES"/>
              </w:rPr>
            </w:pPr>
            <w:r w:rsidRPr="000F6E0E">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2BD15B" w14:textId="7756EA6D" w:rsidR="00330A5A" w:rsidRPr="000F6E0E" w:rsidRDefault="00D0499F">
            <w:pPr>
              <w:rPr>
                <w:rFonts w:ascii="Arial" w:eastAsia="Times New Roman" w:hAnsi="Arial" w:cs="Arial"/>
                <w:sz w:val="16"/>
                <w:szCs w:val="16"/>
                <w:lang w:eastAsia="es-ES"/>
              </w:rPr>
            </w:pPr>
            <w:r w:rsidRPr="000F6E0E">
              <w:rPr>
                <w:rFonts w:ascii="Arial" w:eastAsia="Times New Roman" w:hAnsi="Arial" w:cs="Arial"/>
                <w:sz w:val="16"/>
                <w:szCs w:val="16"/>
                <w:lang w:eastAsia="es-ES"/>
              </w:rPr>
              <w:t>Juan David Montoya Penagos</w:t>
            </w:r>
          </w:p>
          <w:p w14:paraId="3A0B846C" w14:textId="5A357766" w:rsidR="00330A5A" w:rsidRPr="000F6E0E" w:rsidRDefault="0010548D">
            <w:pPr>
              <w:rPr>
                <w:rFonts w:ascii="Arial" w:eastAsia="Times New Roman" w:hAnsi="Arial" w:cs="Arial"/>
                <w:sz w:val="16"/>
                <w:szCs w:val="16"/>
                <w:lang w:eastAsia="es-ES"/>
              </w:rPr>
            </w:pPr>
            <w:r w:rsidRPr="000F6E0E">
              <w:rPr>
                <w:rFonts w:ascii="Arial" w:eastAsia="Times New Roman" w:hAnsi="Arial" w:cs="Arial"/>
                <w:sz w:val="16"/>
                <w:szCs w:val="16"/>
                <w:lang w:eastAsia="es-ES"/>
              </w:rPr>
              <w:t xml:space="preserve">Contratista </w:t>
            </w:r>
            <w:r w:rsidR="00C85E03" w:rsidRPr="000F6E0E">
              <w:rPr>
                <w:rFonts w:ascii="Arial" w:eastAsia="Times New Roman" w:hAnsi="Arial" w:cs="Arial"/>
                <w:sz w:val="16"/>
                <w:szCs w:val="16"/>
                <w:lang w:eastAsia="es-ES"/>
              </w:rPr>
              <w:t>de la</w:t>
            </w:r>
            <w:r w:rsidRPr="000F6E0E">
              <w:rPr>
                <w:rFonts w:ascii="Arial" w:eastAsia="Times New Roman" w:hAnsi="Arial" w:cs="Arial"/>
                <w:sz w:val="16"/>
                <w:szCs w:val="16"/>
                <w:lang w:eastAsia="es-ES"/>
              </w:rPr>
              <w:t xml:space="preserve"> Subdirección de Gestión Contractual</w:t>
            </w:r>
          </w:p>
        </w:tc>
      </w:tr>
      <w:tr w:rsidR="00CA77E6" w:rsidRPr="00292F1B" w14:paraId="796E6BD0" w14:textId="77777777">
        <w:trPr>
          <w:trHeight w:val="300"/>
        </w:trPr>
        <w:tc>
          <w:tcPr>
            <w:tcW w:w="812" w:type="dxa"/>
            <w:vAlign w:val="center"/>
            <w:hideMark/>
          </w:tcPr>
          <w:p w14:paraId="53F1EDC1" w14:textId="77777777" w:rsidR="00CA77E6" w:rsidRPr="000F6E0E" w:rsidRDefault="00CA77E6" w:rsidP="00CA77E6">
            <w:pPr>
              <w:spacing w:before="120" w:after="120"/>
              <w:rPr>
                <w:rFonts w:ascii="Arial" w:eastAsia="Times New Roman" w:hAnsi="Arial" w:cs="Arial"/>
                <w:sz w:val="16"/>
                <w:szCs w:val="16"/>
                <w:lang w:eastAsia="es-ES"/>
              </w:rPr>
            </w:pPr>
            <w:r w:rsidRPr="000F6E0E">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C14AD39" w14:textId="7E171E76" w:rsidR="00CA77E6" w:rsidRPr="000F6E0E" w:rsidRDefault="00D0499F" w:rsidP="00CA77E6">
            <w:pPr>
              <w:jc w:val="both"/>
              <w:rPr>
                <w:rFonts w:ascii="Arial" w:hAnsi="Arial" w:cs="Arial"/>
                <w:color w:val="000000" w:themeColor="text1"/>
                <w:sz w:val="16"/>
                <w:szCs w:val="16"/>
                <w:lang w:val="es-ES_tradnl" w:eastAsia="es-ES"/>
              </w:rPr>
            </w:pPr>
            <w:r w:rsidRPr="000F6E0E">
              <w:rPr>
                <w:rFonts w:ascii="Arial" w:hAnsi="Arial" w:cs="Arial"/>
                <w:color w:val="000000" w:themeColor="text1"/>
                <w:sz w:val="16"/>
                <w:szCs w:val="16"/>
                <w:lang w:val="es-ES_tradnl" w:eastAsia="es-ES"/>
              </w:rPr>
              <w:t>Juan David Marín López</w:t>
            </w:r>
          </w:p>
          <w:p w14:paraId="056B1E1A" w14:textId="447E0D25" w:rsidR="00CA77E6" w:rsidRPr="00292F1B" w:rsidRDefault="00CA77E6" w:rsidP="00CA77E6">
            <w:pPr>
              <w:rPr>
                <w:rFonts w:ascii="Arial" w:eastAsia="Times New Roman" w:hAnsi="Arial" w:cs="Arial"/>
                <w:sz w:val="16"/>
                <w:szCs w:val="16"/>
                <w:lang w:eastAsia="es-ES"/>
              </w:rPr>
            </w:pPr>
            <w:r w:rsidRPr="000F6E0E">
              <w:rPr>
                <w:rFonts w:ascii="Arial" w:hAnsi="Arial" w:cs="Arial"/>
                <w:color w:val="000000" w:themeColor="text1"/>
                <w:sz w:val="16"/>
                <w:szCs w:val="16"/>
                <w:lang w:val="es-ES_tradnl" w:eastAsia="es-ES"/>
              </w:rPr>
              <w:t xml:space="preserve">Subdirector de Gestión Contractual </w:t>
            </w:r>
            <w:r w:rsidR="00D0499F" w:rsidRPr="000F6E0E">
              <w:rPr>
                <w:rFonts w:ascii="Arial" w:hAnsi="Arial" w:cs="Arial"/>
                <w:color w:val="000000" w:themeColor="text1"/>
                <w:sz w:val="16"/>
                <w:szCs w:val="16"/>
                <w:lang w:val="es-ES_tradnl" w:eastAsia="es-ES"/>
              </w:rPr>
              <w:t>(</w:t>
            </w:r>
            <w:r w:rsidRPr="000F6E0E">
              <w:rPr>
                <w:rFonts w:ascii="Arial" w:hAnsi="Arial" w:cs="Arial"/>
                <w:color w:val="000000" w:themeColor="text1"/>
                <w:sz w:val="16"/>
                <w:szCs w:val="16"/>
                <w:lang w:val="es-ES_tradnl" w:eastAsia="es-ES"/>
              </w:rPr>
              <w:t>E</w:t>
            </w:r>
            <w:r w:rsidR="00D0499F" w:rsidRPr="000F6E0E">
              <w:rPr>
                <w:rFonts w:ascii="Arial" w:hAnsi="Arial" w:cs="Arial"/>
                <w:color w:val="000000" w:themeColor="text1"/>
                <w:sz w:val="16"/>
                <w:szCs w:val="16"/>
                <w:lang w:val="es-ES_tradnl" w:eastAsia="es-ES"/>
              </w:rPr>
              <w:t>)</w:t>
            </w:r>
          </w:p>
        </w:tc>
      </w:tr>
    </w:tbl>
    <w:p w14:paraId="028CA27E" w14:textId="7654213E" w:rsidR="00044E28" w:rsidRPr="00292F1B" w:rsidRDefault="00044E28"/>
    <w:sectPr w:rsidR="00044E28" w:rsidRPr="00292F1B" w:rsidSect="001475DB">
      <w:headerReference w:type="default" r:id="rId15"/>
      <w:footerReference w:type="default" r:id="rId16"/>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B471" w14:textId="77777777" w:rsidR="00B6064D" w:rsidRDefault="00B6064D" w:rsidP="00044E28">
      <w:r>
        <w:separator/>
      </w:r>
    </w:p>
  </w:endnote>
  <w:endnote w:type="continuationSeparator" w:id="0">
    <w:p w14:paraId="07935E1F" w14:textId="77777777" w:rsidR="00B6064D" w:rsidRDefault="00B6064D" w:rsidP="00044E28">
      <w:r>
        <w:continuationSeparator/>
      </w:r>
    </w:p>
  </w:endnote>
  <w:endnote w:type="continuationNotice" w:id="1">
    <w:p w14:paraId="169E2850" w14:textId="77777777" w:rsidR="00B6064D" w:rsidRDefault="00B60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Geomanist Light">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14ED" w14:textId="77777777" w:rsidR="004026EC" w:rsidRDefault="004026EC" w:rsidP="004026EC">
    <w:pPr>
      <w:pStyle w:val="Sinespaciado"/>
      <w:jc w:val="right"/>
      <w:rPr>
        <w:rFonts w:ascii="Arial" w:hAnsi="Arial" w:cs="Arial"/>
        <w:sz w:val="18"/>
        <w:szCs w:val="18"/>
      </w:rPr>
    </w:pPr>
  </w:p>
  <w:p w14:paraId="55CC4C14" w14:textId="77777777" w:rsidR="00F71DC5" w:rsidRDefault="00F71DC5" w:rsidP="00F71DC5">
    <w:pPr>
      <w:pStyle w:val="Piedepgina"/>
    </w:pPr>
    <w:r>
      <w:rPr>
        <w:noProof/>
        <w:lang w:eastAsia="es-CO"/>
      </w:rPr>
      <w:drawing>
        <wp:inline distT="0" distB="0" distL="0" distR="0" wp14:anchorId="44AB231A" wp14:editId="746E886A">
          <wp:extent cx="5885180" cy="914400"/>
          <wp:effectExtent l="0" t="0" r="1270" b="0"/>
          <wp:docPr id="10" name="Imagen 10"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420"/>
      <w:gridCol w:w="844"/>
      <w:gridCol w:w="1968"/>
      <w:gridCol w:w="720"/>
      <w:gridCol w:w="2509"/>
      <w:gridCol w:w="1367"/>
    </w:tblGrid>
    <w:tr w:rsidR="00F71DC5" w:rsidRPr="00080DA3" w14:paraId="4D1F4BC8" w14:textId="77777777">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98F8D4F" w14:textId="77777777" w:rsidR="00F71DC5" w:rsidRPr="00080DA3" w:rsidRDefault="00F71DC5" w:rsidP="00F71DC5">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32CD4B6" w14:textId="77777777" w:rsidR="00F71DC5" w:rsidRPr="00080DA3" w:rsidRDefault="00F71DC5" w:rsidP="00F71DC5">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9E908C2" w14:textId="77777777" w:rsidR="00F71DC5" w:rsidRPr="00080DA3" w:rsidRDefault="00F71DC5" w:rsidP="00F71DC5">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C01CE9F" w14:textId="77777777" w:rsidR="00F71DC5" w:rsidRPr="00080DA3" w:rsidRDefault="00F71DC5" w:rsidP="00F71DC5">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C6082ED" w14:textId="77777777" w:rsidR="00F71DC5" w:rsidRPr="00080DA3" w:rsidRDefault="00F71DC5" w:rsidP="00F71DC5">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D8B9DC8" w14:textId="77777777" w:rsidR="00F71DC5" w:rsidRPr="00080DA3" w:rsidRDefault="00F71DC5" w:rsidP="00F71DC5">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030D9C5" w14:textId="77777777" w:rsidR="00F71DC5" w:rsidRPr="00080DA3" w:rsidRDefault="00F71DC5" w:rsidP="00F71DC5">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16</w:t>
          </w:r>
          <w:r w:rsidRPr="00080DA3">
            <w:rPr>
              <w:rFonts w:ascii="Geomanist Light" w:hAnsi="Geomanist Light"/>
              <w:b/>
              <w:bCs/>
              <w:sz w:val="18"/>
              <w:szCs w:val="18"/>
            </w:rPr>
            <w:fldChar w:fldCharType="end"/>
          </w:r>
        </w:p>
      </w:tc>
    </w:tr>
  </w:tbl>
  <w:p w14:paraId="53C6E006" w14:textId="77777777" w:rsidR="00BE3D8E" w:rsidRPr="00BE3D8E" w:rsidRDefault="00BE3D8E" w:rsidP="004026EC">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1AE4" w14:textId="77777777" w:rsidR="00B6064D" w:rsidRDefault="00B6064D" w:rsidP="00044E28">
      <w:r>
        <w:separator/>
      </w:r>
    </w:p>
  </w:footnote>
  <w:footnote w:type="continuationSeparator" w:id="0">
    <w:p w14:paraId="3BC132E2" w14:textId="77777777" w:rsidR="00B6064D" w:rsidRDefault="00B6064D" w:rsidP="00044E28">
      <w:r>
        <w:continuationSeparator/>
      </w:r>
    </w:p>
  </w:footnote>
  <w:footnote w:type="continuationNotice" w:id="1">
    <w:p w14:paraId="6E306BB8" w14:textId="77777777" w:rsidR="00B6064D" w:rsidRDefault="00B6064D"/>
  </w:footnote>
  <w:footnote w:id="2">
    <w:p w14:paraId="3D28E179" w14:textId="1EDC110D"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w:t>
      </w:r>
    </w:p>
    <w:p w14:paraId="645EB3EC" w14:textId="77777777" w:rsidR="00044E28" w:rsidRPr="00011E77" w:rsidRDefault="00044E28" w:rsidP="00044E28">
      <w:pPr>
        <w:pStyle w:val="Textonotapie"/>
        <w:jc w:val="both"/>
        <w:rPr>
          <w:rFonts w:ascii="Arial" w:hAnsi="Arial" w:cs="Arial"/>
          <w:color w:val="000000" w:themeColor="text1"/>
          <w:sz w:val="19"/>
          <w:szCs w:val="19"/>
        </w:rPr>
      </w:pPr>
    </w:p>
  </w:footnote>
  <w:footnote w:id="3">
    <w:p w14:paraId="20296431" w14:textId="19F9D56E"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Style w:val="Refdenotaalpie"/>
          <w:rFonts w:ascii="Arial" w:hAnsi="Arial" w:cs="Arial"/>
          <w:color w:val="000000" w:themeColor="text1"/>
          <w:sz w:val="19"/>
          <w:szCs w:val="19"/>
        </w:rPr>
        <w:t xml:space="preserve"> </w:t>
      </w:r>
      <w:r w:rsidRPr="00011E77">
        <w:rPr>
          <w:rFonts w:ascii="Arial" w:hAnsi="Arial" w:cs="Arial"/>
          <w:color w:val="000000" w:themeColor="text1"/>
          <w:sz w:val="19"/>
          <w:szCs w:val="19"/>
        </w:rPr>
        <w:t>Consejo de Estado. Sección Tercera</w:t>
      </w:r>
      <w:r w:rsidR="003B0A0C" w:rsidRPr="00011E77">
        <w:rPr>
          <w:rFonts w:ascii="Arial" w:hAnsi="Arial" w:cs="Arial"/>
          <w:color w:val="000000" w:themeColor="text1"/>
          <w:sz w:val="19"/>
          <w:szCs w:val="19"/>
        </w:rPr>
        <w:t xml:space="preserve"> Subsección A</w:t>
      </w:r>
      <w:r w:rsidRPr="00011E77">
        <w:rPr>
          <w:rFonts w:ascii="Arial" w:hAnsi="Arial" w:cs="Arial"/>
          <w:color w:val="000000" w:themeColor="text1"/>
          <w:sz w:val="19"/>
          <w:szCs w:val="19"/>
        </w:rPr>
        <w:t>.</w:t>
      </w:r>
      <w:r w:rsidR="005C40E9">
        <w:rPr>
          <w:rFonts w:ascii="Arial" w:hAnsi="Arial" w:cs="Arial"/>
          <w:color w:val="000000" w:themeColor="text1"/>
          <w:sz w:val="19"/>
          <w:szCs w:val="19"/>
        </w:rPr>
        <w:t xml:space="preserve"> Sentencia del 12 de octubre de 2017.</w:t>
      </w:r>
      <w:r w:rsidRPr="00011E77">
        <w:rPr>
          <w:rFonts w:ascii="Arial" w:hAnsi="Arial" w:cs="Arial"/>
          <w:color w:val="000000" w:themeColor="text1"/>
          <w:sz w:val="19"/>
          <w:szCs w:val="19"/>
        </w:rPr>
        <w:t xml:space="preserve"> Consejera Ponente: Marta Nubia Velásquez Rico. Radicación número: 68001-23-31-000-2005-03845-01(51.634).</w:t>
      </w:r>
    </w:p>
    <w:p w14:paraId="6EF55E26" w14:textId="77777777" w:rsidR="00044E28" w:rsidRPr="00011E77" w:rsidRDefault="00044E28" w:rsidP="00044E28">
      <w:pPr>
        <w:pStyle w:val="Textonotapie"/>
        <w:jc w:val="both"/>
        <w:rPr>
          <w:rFonts w:ascii="Arial" w:hAnsi="Arial" w:cs="Arial"/>
          <w:color w:val="000000" w:themeColor="text1"/>
          <w:sz w:val="19"/>
          <w:szCs w:val="19"/>
        </w:rPr>
      </w:pPr>
    </w:p>
  </w:footnote>
  <w:footnote w:id="4">
    <w:p w14:paraId="5629DA67" w14:textId="57D5C0E9"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004026EC" w:rsidRPr="00011E77">
        <w:rPr>
          <w:rFonts w:ascii="Arial" w:hAnsi="Arial" w:cs="Arial"/>
          <w:color w:val="000000" w:themeColor="text1"/>
          <w:sz w:val="19"/>
          <w:szCs w:val="19"/>
        </w:rPr>
        <w:t xml:space="preserve"> «</w:t>
      </w:r>
      <w:r w:rsidRPr="00011E77">
        <w:rPr>
          <w:rFonts w:ascii="Arial" w:hAnsi="Arial" w:cs="Arial"/>
          <w:color w:val="000000" w:themeColor="text1"/>
          <w:sz w:val="19"/>
          <w:szCs w:val="19"/>
        </w:rPr>
        <w:t>Artículo 2.3.1.6.3.4. Ordenación del gasto. Los fondos de servicios educativos carecen de personería jurídica</w:t>
      </w:r>
      <w:r w:rsidR="004026EC" w:rsidRPr="00011E77">
        <w:rPr>
          <w:rFonts w:ascii="Arial" w:hAnsi="Arial" w:cs="Arial"/>
          <w:color w:val="000000" w:themeColor="text1"/>
          <w:sz w:val="19"/>
          <w:szCs w:val="19"/>
        </w:rPr>
        <w:t>»</w:t>
      </w:r>
      <w:r w:rsidRPr="00011E77">
        <w:rPr>
          <w:rFonts w:ascii="Arial" w:hAnsi="Arial" w:cs="Arial"/>
          <w:color w:val="000000" w:themeColor="text1"/>
          <w:sz w:val="19"/>
          <w:szCs w:val="19"/>
        </w:rPr>
        <w:t>.</w:t>
      </w:r>
    </w:p>
    <w:p w14:paraId="1EAC9256" w14:textId="77777777" w:rsidR="00044E28" w:rsidRPr="00011E77" w:rsidRDefault="00044E28" w:rsidP="00044E28">
      <w:pPr>
        <w:pStyle w:val="Textonotapie"/>
        <w:jc w:val="both"/>
        <w:rPr>
          <w:rFonts w:ascii="Arial" w:hAnsi="Arial" w:cs="Arial"/>
          <w:color w:val="000000" w:themeColor="text1"/>
          <w:sz w:val="19"/>
          <w:szCs w:val="19"/>
        </w:rPr>
      </w:pPr>
    </w:p>
  </w:footnote>
  <w:footnote w:id="5">
    <w:p w14:paraId="6AF42533" w14:textId="77777777" w:rsidR="005E3121" w:rsidRPr="00011E77" w:rsidRDefault="00044E28" w:rsidP="00011E77">
      <w:pPr>
        <w:pStyle w:val="NormalWeb"/>
        <w:spacing w:before="0" w:beforeAutospacing="0" w:after="0" w:afterAutospacing="0"/>
        <w:ind w:firstLine="708"/>
        <w:jc w:val="both"/>
        <w:rPr>
          <w:rFonts w:ascii="Arial" w:hAnsi="Arial" w:cs="Arial"/>
          <w:sz w:val="19"/>
          <w:szCs w:val="19"/>
        </w:rPr>
      </w:pPr>
      <w:r w:rsidRPr="00011E77">
        <w:rPr>
          <w:rStyle w:val="Refdenotaalpie"/>
          <w:rFonts w:ascii="Arial" w:hAnsi="Arial" w:cs="Arial"/>
          <w:sz w:val="19"/>
          <w:szCs w:val="19"/>
        </w:rPr>
        <w:footnoteRef/>
      </w:r>
      <w:r w:rsidRPr="00011E77">
        <w:rPr>
          <w:rStyle w:val="Refdenotaalpie"/>
          <w:rFonts w:ascii="Arial" w:hAnsi="Arial" w:cs="Arial"/>
          <w:sz w:val="19"/>
          <w:szCs w:val="19"/>
        </w:rPr>
        <w:t xml:space="preserve"> </w:t>
      </w:r>
      <w:r w:rsidR="004026EC" w:rsidRPr="00011E77">
        <w:rPr>
          <w:rFonts w:ascii="Arial" w:hAnsi="Arial" w:cs="Arial"/>
          <w:sz w:val="19"/>
          <w:szCs w:val="19"/>
        </w:rPr>
        <w:t>«</w:t>
      </w:r>
      <w:r w:rsidRPr="00011E77">
        <w:rPr>
          <w:rFonts w:ascii="Arial" w:hAnsi="Arial" w:cs="Arial"/>
          <w:sz w:val="19"/>
          <w:szCs w:val="19"/>
        </w:rPr>
        <w:t xml:space="preserve">Artículo 13. Procedimientos de contratación de los fondos de servicios educativos. </w:t>
      </w:r>
      <w:r w:rsidR="005E3121" w:rsidRPr="00011E77">
        <w:rPr>
          <w:rFonts w:ascii="Arial" w:hAnsi="Arial" w:cs="Arial"/>
          <w:sz w:val="19"/>
          <w:szCs w:val="19"/>
        </w:rPr>
        <w:t>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52EEDC1D" w14:textId="08EEB73A" w:rsidR="005E3121" w:rsidRPr="005E3121" w:rsidRDefault="00011E77" w:rsidP="00011E77">
      <w:pPr>
        <w:ind w:firstLine="708"/>
        <w:jc w:val="both"/>
        <w:rPr>
          <w:rFonts w:ascii="Arial" w:eastAsia="Times New Roman" w:hAnsi="Arial" w:cs="Arial"/>
          <w:sz w:val="19"/>
          <w:szCs w:val="19"/>
          <w:lang w:val="es-CO" w:eastAsia="es-CO"/>
        </w:rPr>
      </w:pPr>
      <w:r w:rsidRPr="00011E77">
        <w:rPr>
          <w:rFonts w:ascii="Arial" w:eastAsia="Times New Roman" w:hAnsi="Arial" w:cs="Arial"/>
          <w:sz w:val="19"/>
          <w:szCs w:val="19"/>
          <w:lang w:val="es-CO" w:eastAsia="es-CO"/>
        </w:rPr>
        <w:t>»</w:t>
      </w:r>
      <w:r w:rsidR="005E3121" w:rsidRPr="006960F6">
        <w:rPr>
          <w:rFonts w:ascii="Arial" w:eastAsia="Times New Roman" w:hAnsi="Arial" w:cs="Arial"/>
          <w:i/>
          <w:iCs/>
          <w:sz w:val="19"/>
          <w:szCs w:val="19"/>
          <w:lang w:val="es-CO" w:eastAsia="es-CO"/>
        </w:rPr>
        <w:t>Los actos y contratos de cuantía superior a veinte (20) salarios mínimos mensuales se regirán por las reglas de la contratación estatal</w:t>
      </w:r>
      <w:r w:rsidR="005E3121" w:rsidRPr="005E3121">
        <w:rPr>
          <w:rFonts w:ascii="Arial" w:eastAsia="Times New Roman" w:hAnsi="Arial" w:cs="Arial"/>
          <w:sz w:val="19"/>
          <w:szCs w:val="19"/>
          <w:lang w:val="es-CO" w:eastAsia="es-CO"/>
        </w:rPr>
        <w:t>, teniendo en cuenta su valor y naturaleza, y las circunstancias en las que se celebren. </w:t>
      </w:r>
      <w:r w:rsidR="005E3121" w:rsidRPr="006960F6">
        <w:rPr>
          <w:rFonts w:ascii="Arial" w:eastAsia="Times New Roman" w:hAnsi="Arial" w:cs="Arial"/>
          <w:sz w:val="19"/>
          <w:szCs w:val="19"/>
          <w:lang w:val="es-CO" w:eastAsia="es-CO"/>
        </w:rPr>
        <w:t>El Gobierno Nacional podrá indicar los casos en los cuales la cuantía señalada en el presente inciso será menor</w:t>
      </w:r>
      <w:r w:rsidR="005E3121" w:rsidRPr="00AB0A41">
        <w:rPr>
          <w:rFonts w:ascii="Arial" w:eastAsia="Times New Roman" w:hAnsi="Arial" w:cs="Arial"/>
          <w:sz w:val="19"/>
          <w:szCs w:val="19"/>
          <w:lang w:val="es-CO" w:eastAsia="es-CO"/>
        </w:rPr>
        <w:t>.</w:t>
      </w:r>
      <w:r w:rsidR="005E3121" w:rsidRPr="00011E77">
        <w:rPr>
          <w:rFonts w:ascii="Arial" w:eastAsia="Times New Roman" w:hAnsi="Arial" w:cs="Arial"/>
          <w:sz w:val="19"/>
          <w:szCs w:val="19"/>
          <w:lang w:val="es-CO" w:eastAsia="es-CO"/>
        </w:rPr>
        <w:t xml:space="preserve"> </w:t>
      </w:r>
    </w:p>
    <w:p w14:paraId="67AE1676" w14:textId="48F7E158" w:rsidR="005E3121" w:rsidRPr="005E3121" w:rsidRDefault="00011E77" w:rsidP="00011E77">
      <w:pPr>
        <w:ind w:firstLine="708"/>
        <w:jc w:val="both"/>
        <w:rPr>
          <w:rFonts w:ascii="Arial" w:eastAsia="Times New Roman" w:hAnsi="Arial" w:cs="Arial"/>
          <w:sz w:val="19"/>
          <w:szCs w:val="19"/>
          <w:lang w:val="es-CO" w:eastAsia="es-CO"/>
        </w:rPr>
      </w:pPr>
      <w:r w:rsidRPr="00011E77">
        <w:rPr>
          <w:rFonts w:ascii="Arial" w:eastAsia="Times New Roman" w:hAnsi="Arial" w:cs="Arial"/>
          <w:sz w:val="19"/>
          <w:szCs w:val="19"/>
          <w:lang w:val="es-CO" w:eastAsia="es-CO"/>
        </w:rPr>
        <w:t>»</w:t>
      </w:r>
      <w:r w:rsidR="005E3121" w:rsidRPr="005E3121">
        <w:rPr>
          <w:rFonts w:ascii="Arial" w:eastAsia="Times New Roman" w:hAnsi="Arial" w:cs="Arial"/>
          <w:sz w:val="19"/>
          <w:szCs w:val="19"/>
          <w:lang w:val="es-CO" w:eastAsia="es-CO"/>
        </w:rPr>
        <w:t>El rector o director celebrará los contratos que hayan de pagarse con cargo a los recursos vinculados a los Fondos, en las condiciones y dentro de los límites que fijen los reglamentos.</w:t>
      </w:r>
    </w:p>
    <w:p w14:paraId="1CA0A222" w14:textId="4C54E2B0" w:rsidR="005E3121" w:rsidRPr="005E3121" w:rsidRDefault="00011E77" w:rsidP="00011E77">
      <w:pPr>
        <w:ind w:firstLine="708"/>
        <w:jc w:val="both"/>
        <w:rPr>
          <w:rFonts w:ascii="Arial" w:eastAsia="Times New Roman" w:hAnsi="Arial" w:cs="Arial"/>
          <w:sz w:val="19"/>
          <w:szCs w:val="19"/>
          <w:lang w:val="es-CO" w:eastAsia="es-CO"/>
        </w:rPr>
      </w:pPr>
      <w:r>
        <w:rPr>
          <w:rFonts w:ascii="Arial" w:eastAsia="Times New Roman" w:hAnsi="Arial" w:cs="Arial"/>
          <w:sz w:val="19"/>
          <w:szCs w:val="19"/>
          <w:u w:val="single"/>
          <w:lang w:val="es-CO" w:eastAsia="es-CO"/>
        </w:rPr>
        <w:t>»</w:t>
      </w:r>
      <w:r w:rsidR="005E3121" w:rsidRPr="006960F6">
        <w:rPr>
          <w:rFonts w:ascii="Arial" w:eastAsia="Times New Roman" w:hAnsi="Arial" w:cs="Arial"/>
          <w:i/>
          <w:iCs/>
          <w:sz w:val="19"/>
          <w:szCs w:val="19"/>
          <w:lang w:val="es-CO" w:eastAsia="es-CO"/>
        </w:rPr>
        <w:t>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r w:rsidRPr="00011E77">
        <w:rPr>
          <w:rFonts w:ascii="Arial" w:eastAsia="Times New Roman" w:hAnsi="Arial" w:cs="Arial"/>
          <w:sz w:val="19"/>
          <w:szCs w:val="19"/>
          <w:lang w:val="es-CO" w:eastAsia="es-CO"/>
        </w:rPr>
        <w:t>»</w:t>
      </w:r>
    </w:p>
    <w:p w14:paraId="02994862" w14:textId="77777777" w:rsidR="00011E77" w:rsidRDefault="00011E77" w:rsidP="00011E77">
      <w:pPr>
        <w:pStyle w:val="Textonotapie"/>
        <w:ind w:firstLine="708"/>
        <w:jc w:val="both"/>
        <w:rPr>
          <w:rFonts w:ascii="Arial" w:hAnsi="Arial" w:cs="Arial"/>
          <w:color w:val="000000" w:themeColor="text1"/>
          <w:sz w:val="19"/>
          <w:szCs w:val="19"/>
        </w:rPr>
      </w:pPr>
    </w:p>
    <w:p w14:paraId="0511E145" w14:textId="6F895546" w:rsidR="00044E28" w:rsidRPr="00011E77" w:rsidRDefault="00044E28" w:rsidP="00011E77">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Decreto 1075 de 2015: </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Artículo 2.3.1.6.3.5. Funciones del Consejo Directivo. (…) 6. Reglamentar mediante acuerdo los procedimientos, formalidades y garantías para toda contratación que no supere los veinte (20) salarios mínimos legales mensuales vigentes (SMLMV)</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w:t>
      </w:r>
    </w:p>
    <w:p w14:paraId="19FBB423" w14:textId="77777777" w:rsidR="00044E28" w:rsidRPr="00011E77" w:rsidRDefault="00044E28" w:rsidP="00044E28">
      <w:pPr>
        <w:pStyle w:val="Textonotapie"/>
        <w:jc w:val="both"/>
        <w:rPr>
          <w:rFonts w:ascii="Arial" w:hAnsi="Arial" w:cs="Arial"/>
          <w:color w:val="000000" w:themeColor="text1"/>
          <w:sz w:val="19"/>
          <w:szCs w:val="19"/>
          <w:lang w:val="es-CO"/>
        </w:rPr>
      </w:pPr>
    </w:p>
  </w:footnote>
  <w:footnote w:id="6">
    <w:p w14:paraId="6879D271" w14:textId="77777777" w:rsidR="00AB0A41" w:rsidRPr="00452353" w:rsidRDefault="00AB0A41" w:rsidP="00AB0A41">
      <w:pPr>
        <w:pStyle w:val="Textonotapie"/>
        <w:ind w:firstLine="708"/>
        <w:jc w:val="both"/>
        <w:rPr>
          <w:rFonts w:ascii="Arial" w:hAnsi="Arial" w:cs="Arial"/>
          <w:sz w:val="19"/>
          <w:szCs w:val="19"/>
        </w:rPr>
      </w:pPr>
      <w:r w:rsidRPr="00452353">
        <w:rPr>
          <w:rStyle w:val="Refdenotaalpie"/>
          <w:rFonts w:ascii="Arial" w:hAnsi="Arial" w:cs="Arial"/>
          <w:sz w:val="19"/>
          <w:szCs w:val="19"/>
        </w:rPr>
        <w:footnoteRef/>
      </w:r>
      <w:r w:rsidRPr="00452353">
        <w:rPr>
          <w:rFonts w:ascii="Arial" w:hAnsi="Arial" w:cs="Arial"/>
          <w:sz w:val="19"/>
          <w:szCs w:val="19"/>
        </w:rPr>
        <w:t xml:space="preserve"> El artículo 32 de la Ley 80, en lo pertinente, dispone que «Son contratos estatales todos los actos jurídicos generadores de obligaciones que celebren las entidades a que se refiere el presente estatuto, previstos en el derecho privado o en disposiciones especiales, o derivados del ejercicio de la autonomía de la voluntad […]. Por su parte, el inciso primero del artículo 40 del Estatuto General prescribe los siguiente: «Las estipulaciones de los contratos serán las que de acuerdo con las normas civiles, comerciales y las previstas en esta ley, correspondan a su esencia y naturaleza».</w:t>
      </w:r>
    </w:p>
  </w:footnote>
  <w:footnote w:id="7">
    <w:p w14:paraId="248B2FD0" w14:textId="77777777" w:rsidR="00AB0A41" w:rsidRPr="00452353" w:rsidRDefault="00AB0A41" w:rsidP="00AB0A41">
      <w:pPr>
        <w:pStyle w:val="Textonotapie"/>
        <w:ind w:firstLine="708"/>
        <w:jc w:val="both"/>
        <w:rPr>
          <w:rFonts w:ascii="Arial" w:hAnsi="Arial" w:cs="Arial"/>
          <w:sz w:val="19"/>
          <w:szCs w:val="19"/>
          <w:lang w:val="es-ES"/>
        </w:rPr>
      </w:pPr>
      <w:r w:rsidRPr="00452353">
        <w:rPr>
          <w:rStyle w:val="Refdenotaalpie"/>
          <w:rFonts w:ascii="Arial" w:hAnsi="Arial" w:cs="Arial"/>
          <w:sz w:val="19"/>
          <w:szCs w:val="19"/>
        </w:rPr>
        <w:footnoteRef/>
      </w:r>
      <w:r w:rsidRPr="00452353">
        <w:rPr>
          <w:rFonts w:ascii="Arial" w:hAnsi="Arial" w:cs="Arial"/>
          <w:sz w:val="19"/>
          <w:szCs w:val="19"/>
        </w:rPr>
        <w:t xml:space="preserve"> Cfr. BENAVIDES, José Luis. El contrato estatal: entre el derecho público y el derecho privado. Segunda edición. Bogotá: Universidad Externado de Colombia, 2009. pp. 78-79.      </w:t>
      </w:r>
    </w:p>
  </w:footnote>
  <w:footnote w:id="8">
    <w:p w14:paraId="0AB61495" w14:textId="77777777" w:rsidR="00AB0A41" w:rsidRPr="00452353" w:rsidRDefault="00AB0A41" w:rsidP="00AB0A41">
      <w:pPr>
        <w:pStyle w:val="Textonotapie"/>
        <w:ind w:firstLine="708"/>
        <w:jc w:val="both"/>
        <w:rPr>
          <w:rFonts w:ascii="Arial" w:hAnsi="Arial" w:cs="Arial"/>
          <w:sz w:val="19"/>
          <w:szCs w:val="19"/>
          <w:lang w:val="es-ES"/>
        </w:rPr>
      </w:pPr>
      <w:r w:rsidRPr="00452353">
        <w:rPr>
          <w:rStyle w:val="Refdenotaalpie"/>
          <w:rFonts w:ascii="Arial" w:hAnsi="Arial" w:cs="Arial"/>
          <w:sz w:val="19"/>
          <w:szCs w:val="19"/>
        </w:rPr>
        <w:footnoteRef/>
      </w:r>
      <w:r w:rsidRPr="00452353">
        <w:rPr>
          <w:rFonts w:ascii="Arial" w:hAnsi="Arial" w:cs="Arial"/>
          <w:sz w:val="19"/>
          <w:szCs w:val="19"/>
        </w:rPr>
        <w:t xml:space="preserve"> BETANCUR JARAMILLO, Carlos. Derecho procesal administrativo. Cuarta edición. Medellín: Señal Editora, 1994. pp. 522-523. </w:t>
      </w:r>
    </w:p>
  </w:footnote>
  <w:footnote w:id="9">
    <w:p w14:paraId="06405FB0" w14:textId="77777777" w:rsidR="00AB0A41" w:rsidRPr="00452353" w:rsidRDefault="00AB0A41" w:rsidP="00AB0A41">
      <w:pPr>
        <w:pStyle w:val="Textonotapie"/>
        <w:ind w:firstLine="708"/>
        <w:jc w:val="both"/>
        <w:rPr>
          <w:rFonts w:ascii="Arial" w:hAnsi="Arial" w:cs="Arial"/>
          <w:sz w:val="19"/>
          <w:szCs w:val="19"/>
          <w:lang w:val="es-ES"/>
        </w:rPr>
      </w:pPr>
      <w:r w:rsidRPr="00452353">
        <w:rPr>
          <w:rStyle w:val="Refdenotaalpie"/>
          <w:rFonts w:ascii="Arial" w:hAnsi="Arial" w:cs="Arial"/>
          <w:sz w:val="19"/>
          <w:szCs w:val="19"/>
        </w:rPr>
        <w:footnoteRef/>
      </w:r>
      <w:r w:rsidRPr="00452353">
        <w:rPr>
          <w:rFonts w:ascii="Arial" w:hAnsi="Arial" w:cs="Arial"/>
          <w:sz w:val="19"/>
          <w:szCs w:val="19"/>
        </w:rPr>
        <w:t xml:space="preserve"> La norma citada dispone que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footnote>
  <w:footnote w:id="10">
    <w:p w14:paraId="5C4F8EB0"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Corte Constitucional. Sentencia C- 341 del 4 de junio de 2014. M. P. Mauricio González Cuervo.</w:t>
      </w:r>
    </w:p>
    <w:p w14:paraId="7321E248" w14:textId="77777777" w:rsidR="00292F1B" w:rsidRPr="00011E77" w:rsidRDefault="00292F1B" w:rsidP="00292F1B">
      <w:pPr>
        <w:pStyle w:val="Textonotapie"/>
        <w:ind w:firstLine="708"/>
        <w:jc w:val="both"/>
        <w:rPr>
          <w:rFonts w:ascii="Arial" w:hAnsi="Arial" w:cs="Arial"/>
          <w:color w:val="000000" w:themeColor="text1"/>
          <w:sz w:val="19"/>
          <w:szCs w:val="19"/>
          <w:lang w:val="es-CO"/>
        </w:rPr>
      </w:pPr>
    </w:p>
  </w:footnote>
  <w:footnote w:id="11">
    <w:p w14:paraId="75F2D705"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002FC631"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»Lo anterior, sin perjuicio de las publicaciones previstas en el numeral 3 del artículo 30 de la Ley 80 de 1993.</w:t>
      </w:r>
    </w:p>
    <w:p w14:paraId="43D30484"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w:t>
      </w:r>
      <w:r w:rsidRPr="00011E77">
        <w:rPr>
          <w:rFonts w:ascii="Arial" w:hAnsi="Arial" w:cs="Arial"/>
          <w:color w:val="000000" w:themeColor="text1"/>
          <w:sz w:val="19"/>
          <w:szCs w:val="19"/>
        </w:rPr>
        <w:t xml:space="preserve">Secop, el cual: </w:t>
      </w:r>
    </w:p>
    <w:p w14:paraId="11611712"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w:t>
      </w:r>
    </w:p>
    <w:p w14:paraId="54BECA9B"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366F7792" w14:textId="77777777" w:rsidR="00292F1B" w:rsidRPr="00011E77" w:rsidRDefault="00292F1B" w:rsidP="00292F1B">
      <w:pPr>
        <w:pStyle w:val="Textonotapie"/>
        <w:ind w:firstLine="708"/>
        <w:jc w:val="both"/>
        <w:rPr>
          <w:rFonts w:ascii="Arial" w:hAnsi="Arial" w:cs="Arial"/>
          <w:color w:val="000000" w:themeColor="text1"/>
          <w:sz w:val="19"/>
          <w:szCs w:val="19"/>
        </w:rPr>
      </w:pPr>
    </w:p>
  </w:footnote>
  <w:footnote w:id="12">
    <w:p w14:paraId="6D4AFF04"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71263AA1" w14:textId="77777777" w:rsidR="00292F1B" w:rsidRPr="00011E77" w:rsidRDefault="00292F1B" w:rsidP="00292F1B">
      <w:pPr>
        <w:pStyle w:val="Textonotapie"/>
        <w:ind w:firstLine="708"/>
        <w:jc w:val="both"/>
        <w:rPr>
          <w:rFonts w:ascii="Arial" w:hAnsi="Arial" w:cs="Arial"/>
          <w:color w:val="000000" w:themeColor="text1"/>
          <w:sz w:val="19"/>
          <w:szCs w:val="19"/>
        </w:rPr>
      </w:pPr>
    </w:p>
  </w:footnote>
  <w:footnote w:id="13">
    <w:p w14:paraId="62A42E31"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4F8D09CE"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70BE1546" w14:textId="77777777" w:rsidR="00292F1B" w:rsidRPr="00011E77" w:rsidRDefault="00292F1B" w:rsidP="00292F1B">
      <w:pPr>
        <w:pStyle w:val="Textonotapie"/>
        <w:jc w:val="both"/>
        <w:rPr>
          <w:rFonts w:ascii="Arial" w:hAnsi="Arial" w:cs="Arial"/>
          <w:color w:val="000000" w:themeColor="text1"/>
          <w:sz w:val="19"/>
          <w:szCs w:val="19"/>
          <w:lang w:val="es-CO"/>
        </w:rPr>
      </w:pPr>
    </w:p>
  </w:footnote>
  <w:footnote w:id="14">
    <w:p w14:paraId="47431EC8" w14:textId="77777777" w:rsidR="00292F1B" w:rsidRPr="00011E77" w:rsidRDefault="00292F1B" w:rsidP="00292F1B">
      <w:pPr>
        <w:pStyle w:val="Textonotapie"/>
        <w:ind w:firstLine="709"/>
        <w:jc w:val="both"/>
        <w:rPr>
          <w:rFonts w:ascii="Arial" w:hAnsi="Arial" w:cs="Arial"/>
          <w:color w:val="000000" w:themeColor="text1"/>
          <w:sz w:val="19"/>
          <w:szCs w:val="19"/>
        </w:rPr>
      </w:pPr>
      <w:r w:rsidRPr="00011E77">
        <w:rPr>
          <w:rFonts w:ascii="Arial" w:eastAsia="Times New Roman" w:hAnsi="Arial" w:cs="Arial"/>
          <w:color w:val="000000" w:themeColor="text1"/>
          <w:sz w:val="19"/>
          <w:szCs w:val="19"/>
          <w:vertAlign w:val="superscript"/>
          <w:lang w:val="es-ES" w:eastAsia="es-ES"/>
        </w:rPr>
        <w:footnoteRef/>
      </w:r>
      <w:r w:rsidRPr="00011E77">
        <w:rPr>
          <w:rFonts w:ascii="Arial" w:eastAsia="Times New Roman" w:hAnsi="Arial" w:cs="Arial"/>
          <w:color w:val="000000" w:themeColor="text1"/>
          <w:sz w:val="19"/>
          <w:szCs w:val="19"/>
          <w:vertAlign w:val="superscript"/>
          <w:lang w:val="es-ES" w:eastAsia="es-ES"/>
        </w:rPr>
        <w:t xml:space="preserve"> </w:t>
      </w:r>
      <w:r w:rsidRPr="00011E77">
        <w:rPr>
          <w:rFonts w:ascii="Arial" w:eastAsia="Times New Roman" w:hAnsi="Arial" w:cs="Arial"/>
          <w:color w:val="000000" w:themeColor="text1"/>
          <w:sz w:val="19"/>
          <w:szCs w:val="19"/>
          <w:lang w:val="es-ES" w:eastAsia="es-ES"/>
        </w:rPr>
        <w:t>«</w:t>
      </w:r>
      <w:r w:rsidRPr="00011E77">
        <w:rPr>
          <w:rFonts w:ascii="Arial" w:hAnsi="Arial" w:cs="Arial"/>
          <w:color w:val="000000" w:themeColor="text1"/>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w:t>
      </w:r>
      <w:r w:rsidRPr="00011E77">
        <w:rPr>
          <w:rFonts w:ascii="Arial" w:hAnsi="Arial" w:cs="Arial"/>
          <w:color w:val="000000" w:themeColor="text1"/>
          <w:sz w:val="19"/>
          <w:szCs w:val="19"/>
        </w:rPr>
        <w:t xml:space="preserve">SECOP] </w:t>
      </w:r>
    </w:p>
    <w:p w14:paraId="7500BE56" w14:textId="77777777" w:rsidR="00292F1B" w:rsidRPr="00011E77" w:rsidRDefault="00292F1B" w:rsidP="00292F1B">
      <w:pPr>
        <w:pStyle w:val="Textonotapie"/>
        <w:ind w:firstLine="709"/>
        <w:jc w:val="both"/>
        <w:rPr>
          <w:rFonts w:ascii="Arial" w:hAnsi="Arial" w:cs="Arial"/>
          <w:color w:val="000000" w:themeColor="text1"/>
          <w:sz w:val="19"/>
          <w:szCs w:val="19"/>
        </w:rPr>
      </w:pPr>
      <w:r w:rsidRPr="00011E77">
        <w:rPr>
          <w:rFonts w:ascii="Arial" w:hAnsi="Arial" w:cs="Arial"/>
          <w:color w:val="000000" w:themeColor="text1"/>
          <w:sz w:val="19"/>
          <w:szCs w:val="19"/>
        </w:rPr>
        <w:t>[…]</w:t>
      </w:r>
    </w:p>
    <w:p w14:paraId="3892E7B9" w14:textId="77777777" w:rsidR="00292F1B" w:rsidRPr="00011E77" w:rsidRDefault="00292F1B" w:rsidP="00292F1B">
      <w:pPr>
        <w:pStyle w:val="Textonotapie"/>
        <w:ind w:firstLine="709"/>
        <w:jc w:val="both"/>
        <w:rPr>
          <w:rFonts w:ascii="Arial" w:hAnsi="Arial" w:cs="Arial"/>
          <w:color w:val="000000" w:themeColor="text1"/>
          <w:sz w:val="19"/>
          <w:szCs w:val="19"/>
        </w:rPr>
      </w:pPr>
    </w:p>
    <w:p w14:paraId="76D06F0F" w14:textId="77777777" w:rsidR="00292F1B" w:rsidRPr="00011E77" w:rsidRDefault="00292F1B" w:rsidP="00292F1B">
      <w:pPr>
        <w:pStyle w:val="Textonotapie"/>
        <w:ind w:firstLine="709"/>
        <w:jc w:val="both"/>
        <w:rPr>
          <w:rFonts w:ascii="Arial" w:eastAsia="Times New Roman" w:hAnsi="Arial" w:cs="Arial"/>
          <w:color w:val="000000" w:themeColor="text1"/>
          <w:sz w:val="19"/>
          <w:szCs w:val="19"/>
          <w:lang w:val="es-ES" w:eastAsia="es-ES"/>
        </w:rPr>
      </w:pPr>
      <w:r w:rsidRPr="00011E77">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35417DE6" w14:textId="77777777" w:rsidR="00292F1B" w:rsidRPr="00011E77" w:rsidRDefault="00292F1B" w:rsidP="00292F1B">
      <w:pPr>
        <w:pStyle w:val="Textonotapie"/>
        <w:ind w:firstLine="709"/>
        <w:jc w:val="both"/>
        <w:rPr>
          <w:rFonts w:ascii="Arial" w:eastAsia="Times New Roman" w:hAnsi="Arial" w:cs="Arial"/>
          <w:color w:val="000000" w:themeColor="text1"/>
          <w:sz w:val="19"/>
          <w:szCs w:val="19"/>
          <w:lang w:val="es-ES" w:eastAsia="es-ES"/>
        </w:rPr>
      </w:pPr>
    </w:p>
  </w:footnote>
  <w:footnote w:id="15">
    <w:p w14:paraId="2C87A650" w14:textId="77777777" w:rsidR="00292F1B" w:rsidRPr="00011E77" w:rsidRDefault="00292F1B" w:rsidP="00292F1B">
      <w:pPr>
        <w:pStyle w:val="Textonotapie"/>
        <w:ind w:firstLine="708"/>
        <w:jc w:val="both"/>
        <w:rPr>
          <w:rFonts w:ascii="Arial" w:eastAsia="Times New Roman" w:hAnsi="Arial" w:cs="Arial"/>
          <w:color w:val="000000" w:themeColor="text1"/>
          <w:sz w:val="19"/>
          <w:szCs w:val="19"/>
          <w:lang w:val="es-ES" w:eastAsia="es-ES"/>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w:t>
      </w:r>
      <w:r w:rsidRPr="00011E77">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6B042905" w14:textId="77777777" w:rsidR="00292F1B" w:rsidRPr="00011E77" w:rsidRDefault="00292F1B" w:rsidP="00292F1B">
      <w:pPr>
        <w:pStyle w:val="Textonotapie"/>
        <w:ind w:firstLine="708"/>
        <w:jc w:val="both"/>
        <w:rPr>
          <w:rFonts w:ascii="Arial" w:eastAsia="Times New Roman" w:hAnsi="Arial" w:cs="Arial"/>
          <w:color w:val="000000" w:themeColor="text1"/>
          <w:sz w:val="19"/>
          <w:szCs w:val="19"/>
          <w:lang w:val="es-ES" w:eastAsia="es-ES"/>
        </w:rPr>
      </w:pPr>
    </w:p>
  </w:footnote>
  <w:footnote w:id="16">
    <w:p w14:paraId="19A69C7B" w14:textId="77777777" w:rsidR="00292F1B" w:rsidRPr="00011E77" w:rsidRDefault="00292F1B" w:rsidP="00292F1B">
      <w:pPr>
        <w:pStyle w:val="Textonotapie"/>
        <w:ind w:firstLine="708"/>
        <w:jc w:val="both"/>
        <w:rPr>
          <w:rFonts w:ascii="Arial" w:hAnsi="Arial" w:cs="Arial"/>
          <w:color w:val="000000" w:themeColor="text1"/>
          <w:sz w:val="19"/>
          <w:szCs w:val="19"/>
          <w:lang w:val="es-CO"/>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«Numeral 1.1 […] Las Entidades que contratan con cargo a recursos públicos están obligadas a publicar oportunamente su actividad contractual en el </w:t>
      </w:r>
      <w:r w:rsidRPr="00011E77">
        <w:rPr>
          <w:rFonts w:ascii="Arial" w:hAnsi="Arial" w:cs="Arial"/>
          <w:color w:val="000000" w:themeColor="text1"/>
          <w:sz w:val="19"/>
          <w:szCs w:val="19"/>
        </w:rPr>
        <w:t>SECOP, sin que sea relevante para la exigencia de esta obligación su régimen jurídico, naturaleza de público o privado o la pertenencia a una u otra rama del poder público».</w:t>
      </w:r>
    </w:p>
  </w:footnote>
  <w:footnote w:id="17">
    <w:p w14:paraId="27CDD14F"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Consejo de Estado. Sección Tercera. Auto del 14 de agosto de 2017.  </w:t>
      </w:r>
      <w:r w:rsidRPr="00011E77">
        <w:rPr>
          <w:rFonts w:ascii="Arial" w:hAnsi="Arial" w:cs="Arial"/>
          <w:color w:val="000000" w:themeColor="text1"/>
          <w:sz w:val="19"/>
          <w:szCs w:val="19"/>
        </w:rPr>
        <w:t xml:space="preserve">Exp: 58.820. C.P. Jaime Orlando Santofimio Gamboa. </w:t>
      </w:r>
    </w:p>
    <w:p w14:paraId="1DE38723" w14:textId="77777777" w:rsidR="00292F1B" w:rsidRPr="00011E77" w:rsidRDefault="00292F1B" w:rsidP="00292F1B">
      <w:pPr>
        <w:pStyle w:val="Textonotapie"/>
        <w:ind w:firstLine="708"/>
        <w:jc w:val="both"/>
        <w:rPr>
          <w:rFonts w:ascii="Arial" w:hAnsi="Arial" w:cs="Arial"/>
          <w:color w:val="000000" w:themeColor="text1"/>
          <w:sz w:val="19"/>
          <w:szCs w:val="19"/>
          <w:lang w:val="es-CO"/>
        </w:rPr>
      </w:pPr>
    </w:p>
  </w:footnote>
  <w:footnote w:id="18">
    <w:p w14:paraId="4CC7B1DE" w14:textId="77777777" w:rsidR="00380EFC" w:rsidRPr="00F1638D" w:rsidRDefault="00380EFC" w:rsidP="00380EFC">
      <w:pPr>
        <w:pStyle w:val="Textonotapie"/>
        <w:ind w:firstLine="708"/>
        <w:jc w:val="both"/>
        <w:rPr>
          <w:rFonts w:ascii="Arial" w:hAnsi="Arial" w:cs="Arial"/>
          <w:sz w:val="19"/>
          <w:szCs w:val="19"/>
          <w:lang w:val="es-CO"/>
        </w:rPr>
      </w:pPr>
      <w:r>
        <w:rPr>
          <w:rStyle w:val="Refdenotaalpie"/>
        </w:rPr>
        <w:footnoteRef/>
      </w:r>
      <w:r>
        <w:t xml:space="preserve"> </w:t>
      </w:r>
      <w:r w:rsidRPr="00F1638D">
        <w:rPr>
          <w:rFonts w:ascii="Arial" w:hAnsi="Arial" w:cs="Arial"/>
          <w:sz w:val="19"/>
          <w:szCs w:val="19"/>
        </w:rPr>
        <w:t xml:space="preserve">En relación con este aspecto, también resulta relevante la Circular Externa 002 del 17 de marzo de 2022, de la Agencia Nacional de Contratación Pública – Colombia Compra Eficiente, disponible en: </w:t>
      </w:r>
      <w:hyperlink r:id="rId1" w:history="1">
        <w:r w:rsidRPr="00F1638D">
          <w:rPr>
            <w:rStyle w:val="Hipervnculo"/>
            <w:rFonts w:ascii="Arial" w:hAnsi="Arial" w:cs="Arial"/>
            <w:sz w:val="19"/>
            <w:szCs w:val="19"/>
          </w:rPr>
          <w:t>https://www.colombiacompra.gov.co/circulares</w:t>
        </w:r>
      </w:hyperlink>
      <w:r w:rsidRPr="00F1638D">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9BB7" w14:textId="616AFEA2" w:rsidR="004026EC" w:rsidRDefault="00F71DC5" w:rsidP="004026EC">
    <w:pPr>
      <w:pStyle w:val="Encabezado"/>
      <w:jc w:val="right"/>
    </w:pPr>
    <w:r>
      <w:rPr>
        <w:noProof/>
        <w:lang w:eastAsia="es-CO"/>
      </w:rPr>
      <w:drawing>
        <wp:anchor distT="0" distB="0" distL="114300" distR="114300" simplePos="0" relativeHeight="251658240" behindDoc="0" locked="0" layoutInCell="1" allowOverlap="1" wp14:anchorId="60B76ACF" wp14:editId="37C4B9E1">
          <wp:simplePos x="0" y="0"/>
          <wp:positionH relativeFrom="margin">
            <wp:posOffset>4429125</wp:posOffset>
          </wp:positionH>
          <wp:positionV relativeFrom="paragraph">
            <wp:posOffset>104140</wp:posOffset>
          </wp:positionV>
          <wp:extent cx="1420507" cy="589741"/>
          <wp:effectExtent l="0" t="0" r="8255" b="1270"/>
          <wp:wrapNone/>
          <wp:docPr id="9" name="Imagen 9"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0507" cy="5897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7F023488"/>
    <w:multiLevelType w:val="hybridMultilevel"/>
    <w:tmpl w:val="5CDCE802"/>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num w:numId="1" w16cid:durableId="296880376">
    <w:abstractNumId w:val="0"/>
  </w:num>
  <w:num w:numId="2" w16cid:durableId="1079138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28"/>
    <w:rsid w:val="00006304"/>
    <w:rsid w:val="00011E77"/>
    <w:rsid w:val="00025C12"/>
    <w:rsid w:val="000271D0"/>
    <w:rsid w:val="000320C7"/>
    <w:rsid w:val="000426EA"/>
    <w:rsid w:val="00044E28"/>
    <w:rsid w:val="00071982"/>
    <w:rsid w:val="00073AFA"/>
    <w:rsid w:val="00073F37"/>
    <w:rsid w:val="0007525B"/>
    <w:rsid w:val="0008266A"/>
    <w:rsid w:val="00082832"/>
    <w:rsid w:val="000A3619"/>
    <w:rsid w:val="000B3EB2"/>
    <w:rsid w:val="000C7584"/>
    <w:rsid w:val="000D086F"/>
    <w:rsid w:val="000F6E0E"/>
    <w:rsid w:val="0010326F"/>
    <w:rsid w:val="0010548D"/>
    <w:rsid w:val="00144843"/>
    <w:rsid w:val="001475DB"/>
    <w:rsid w:val="00150674"/>
    <w:rsid w:val="00151925"/>
    <w:rsid w:val="00153CC0"/>
    <w:rsid w:val="001638CB"/>
    <w:rsid w:val="00164DC1"/>
    <w:rsid w:val="00166485"/>
    <w:rsid w:val="0018589F"/>
    <w:rsid w:val="001A64F5"/>
    <w:rsid w:val="001B3853"/>
    <w:rsid w:val="001B5BCF"/>
    <w:rsid w:val="001C7BCB"/>
    <w:rsid w:val="0020718B"/>
    <w:rsid w:val="00215BC3"/>
    <w:rsid w:val="00230EC0"/>
    <w:rsid w:val="00234D71"/>
    <w:rsid w:val="00236781"/>
    <w:rsid w:val="00245B5C"/>
    <w:rsid w:val="00253423"/>
    <w:rsid w:val="00262143"/>
    <w:rsid w:val="0027761D"/>
    <w:rsid w:val="00281435"/>
    <w:rsid w:val="002908E2"/>
    <w:rsid w:val="00292F1B"/>
    <w:rsid w:val="002955FB"/>
    <w:rsid w:val="002961D7"/>
    <w:rsid w:val="002C1532"/>
    <w:rsid w:val="002C6959"/>
    <w:rsid w:val="002E1A68"/>
    <w:rsid w:val="002E1B1F"/>
    <w:rsid w:val="002F6710"/>
    <w:rsid w:val="002F71CA"/>
    <w:rsid w:val="00330A5A"/>
    <w:rsid w:val="00355F86"/>
    <w:rsid w:val="0035606A"/>
    <w:rsid w:val="003578F1"/>
    <w:rsid w:val="00362C4A"/>
    <w:rsid w:val="00374D62"/>
    <w:rsid w:val="00380EFC"/>
    <w:rsid w:val="00387996"/>
    <w:rsid w:val="00394788"/>
    <w:rsid w:val="003B0A0C"/>
    <w:rsid w:val="003C1395"/>
    <w:rsid w:val="003C44C3"/>
    <w:rsid w:val="003D1973"/>
    <w:rsid w:val="00401A92"/>
    <w:rsid w:val="004026EC"/>
    <w:rsid w:val="004072B4"/>
    <w:rsid w:val="00420C0F"/>
    <w:rsid w:val="004211CC"/>
    <w:rsid w:val="0045580E"/>
    <w:rsid w:val="00467D65"/>
    <w:rsid w:val="004718AA"/>
    <w:rsid w:val="004728CC"/>
    <w:rsid w:val="0048065E"/>
    <w:rsid w:val="00482100"/>
    <w:rsid w:val="004850BE"/>
    <w:rsid w:val="00494E8E"/>
    <w:rsid w:val="004D38B9"/>
    <w:rsid w:val="004D4E2B"/>
    <w:rsid w:val="00511BEB"/>
    <w:rsid w:val="00525795"/>
    <w:rsid w:val="00526B4A"/>
    <w:rsid w:val="00537063"/>
    <w:rsid w:val="0054232D"/>
    <w:rsid w:val="00554131"/>
    <w:rsid w:val="005559F8"/>
    <w:rsid w:val="00570A33"/>
    <w:rsid w:val="005748AD"/>
    <w:rsid w:val="00577CC0"/>
    <w:rsid w:val="005C0399"/>
    <w:rsid w:val="005C40E9"/>
    <w:rsid w:val="005D3D12"/>
    <w:rsid w:val="005E0ED1"/>
    <w:rsid w:val="005E2D11"/>
    <w:rsid w:val="005E3121"/>
    <w:rsid w:val="00620470"/>
    <w:rsid w:val="0062672E"/>
    <w:rsid w:val="00630D34"/>
    <w:rsid w:val="00634DE3"/>
    <w:rsid w:val="00645F34"/>
    <w:rsid w:val="0064630A"/>
    <w:rsid w:val="00647047"/>
    <w:rsid w:val="00675DCA"/>
    <w:rsid w:val="006960F6"/>
    <w:rsid w:val="006C62B3"/>
    <w:rsid w:val="006F6221"/>
    <w:rsid w:val="00716408"/>
    <w:rsid w:val="007169F7"/>
    <w:rsid w:val="0073638E"/>
    <w:rsid w:val="00751DE8"/>
    <w:rsid w:val="00790B6D"/>
    <w:rsid w:val="00797623"/>
    <w:rsid w:val="007B2B9C"/>
    <w:rsid w:val="00804CFA"/>
    <w:rsid w:val="00805D07"/>
    <w:rsid w:val="00813BF0"/>
    <w:rsid w:val="00832051"/>
    <w:rsid w:val="00837111"/>
    <w:rsid w:val="00857299"/>
    <w:rsid w:val="00863C61"/>
    <w:rsid w:val="0086595D"/>
    <w:rsid w:val="00872CBB"/>
    <w:rsid w:val="00875244"/>
    <w:rsid w:val="00877679"/>
    <w:rsid w:val="008836A0"/>
    <w:rsid w:val="008D6A30"/>
    <w:rsid w:val="00902EFE"/>
    <w:rsid w:val="00933A48"/>
    <w:rsid w:val="00935AB9"/>
    <w:rsid w:val="00947D2A"/>
    <w:rsid w:val="009776F8"/>
    <w:rsid w:val="00994250"/>
    <w:rsid w:val="009B1245"/>
    <w:rsid w:val="009B13D1"/>
    <w:rsid w:val="009B5993"/>
    <w:rsid w:val="009C529A"/>
    <w:rsid w:val="009C6145"/>
    <w:rsid w:val="009C7FF2"/>
    <w:rsid w:val="009E2A81"/>
    <w:rsid w:val="009E5C52"/>
    <w:rsid w:val="00A026BB"/>
    <w:rsid w:val="00A14A6F"/>
    <w:rsid w:val="00A14F1F"/>
    <w:rsid w:val="00A74160"/>
    <w:rsid w:val="00A93C3F"/>
    <w:rsid w:val="00AB0A41"/>
    <w:rsid w:val="00AC14EA"/>
    <w:rsid w:val="00AC4CB8"/>
    <w:rsid w:val="00B24529"/>
    <w:rsid w:val="00B37724"/>
    <w:rsid w:val="00B37841"/>
    <w:rsid w:val="00B6064D"/>
    <w:rsid w:val="00B653DE"/>
    <w:rsid w:val="00BA1A47"/>
    <w:rsid w:val="00BA4000"/>
    <w:rsid w:val="00BA703C"/>
    <w:rsid w:val="00BC0CDB"/>
    <w:rsid w:val="00BC7E57"/>
    <w:rsid w:val="00BD7B20"/>
    <w:rsid w:val="00BE0533"/>
    <w:rsid w:val="00BE3D8E"/>
    <w:rsid w:val="00C10962"/>
    <w:rsid w:val="00C1452D"/>
    <w:rsid w:val="00C47AC1"/>
    <w:rsid w:val="00C51118"/>
    <w:rsid w:val="00C652DD"/>
    <w:rsid w:val="00C837B4"/>
    <w:rsid w:val="00C83CE0"/>
    <w:rsid w:val="00C85E03"/>
    <w:rsid w:val="00C9194E"/>
    <w:rsid w:val="00CA528D"/>
    <w:rsid w:val="00CA5B28"/>
    <w:rsid w:val="00CA77E6"/>
    <w:rsid w:val="00CC6B00"/>
    <w:rsid w:val="00CD6371"/>
    <w:rsid w:val="00D0499F"/>
    <w:rsid w:val="00D15BAA"/>
    <w:rsid w:val="00D15F84"/>
    <w:rsid w:val="00D1724E"/>
    <w:rsid w:val="00D20CD6"/>
    <w:rsid w:val="00D40111"/>
    <w:rsid w:val="00D4313A"/>
    <w:rsid w:val="00D46E80"/>
    <w:rsid w:val="00D53724"/>
    <w:rsid w:val="00D61785"/>
    <w:rsid w:val="00D6249E"/>
    <w:rsid w:val="00D6536A"/>
    <w:rsid w:val="00D72761"/>
    <w:rsid w:val="00DD2EB9"/>
    <w:rsid w:val="00DD62EA"/>
    <w:rsid w:val="00E01EC0"/>
    <w:rsid w:val="00E038BC"/>
    <w:rsid w:val="00E1553F"/>
    <w:rsid w:val="00E80494"/>
    <w:rsid w:val="00E82B30"/>
    <w:rsid w:val="00E83F40"/>
    <w:rsid w:val="00E86BD9"/>
    <w:rsid w:val="00EA13D6"/>
    <w:rsid w:val="00EB2E61"/>
    <w:rsid w:val="00EB5F1D"/>
    <w:rsid w:val="00EB7195"/>
    <w:rsid w:val="00EB7B07"/>
    <w:rsid w:val="00ED7A8F"/>
    <w:rsid w:val="00EE1C4D"/>
    <w:rsid w:val="00F14B5E"/>
    <w:rsid w:val="00F334FD"/>
    <w:rsid w:val="00F443AA"/>
    <w:rsid w:val="00F50527"/>
    <w:rsid w:val="00F71DC5"/>
    <w:rsid w:val="00F9676D"/>
    <w:rsid w:val="00FE2DC5"/>
    <w:rsid w:val="00FE6C73"/>
    <w:rsid w:val="00FF6F5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C3EC"/>
  <w15:chartTrackingRefBased/>
  <w15:docId w15:val="{EEC6FAD1-08AF-4DF1-A29D-2ACBDACA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2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044E28"/>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044E28"/>
    <w:rPr>
      <w:sz w:val="20"/>
      <w:szCs w:val="20"/>
      <w:lang w:val="es-MX"/>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basedOn w:val="Fuentedeprrafopredeter"/>
    <w:link w:val="Appelnotedebasde"/>
    <w:uiPriority w:val="99"/>
    <w:unhideWhenUsed/>
    <w:qFormat/>
    <w:rsid w:val="00044E28"/>
    <w:rPr>
      <w:vertAlign w:val="superscript"/>
    </w:rPr>
  </w:style>
  <w:style w:type="paragraph" w:styleId="NormalWeb">
    <w:name w:val="Normal (Web)"/>
    <w:basedOn w:val="Normal"/>
    <w:link w:val="NormalWebCar"/>
    <w:uiPriority w:val="99"/>
    <w:unhideWhenUsed/>
    <w:rsid w:val="00044E28"/>
    <w:pPr>
      <w:spacing w:before="100" w:beforeAutospacing="1" w:after="100" w:afterAutospacing="1"/>
    </w:pPr>
    <w:rPr>
      <w:rFonts w:ascii="Times New Roman" w:eastAsia="Times New Roman" w:hAnsi="Times New Roman" w:cs="Times New Roman"/>
      <w:szCs w:val="24"/>
      <w:lang w:val="es-CO"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44E28"/>
    <w:pPr>
      <w:ind w:left="720"/>
      <w:contextualSpacing/>
      <w:jc w:val="both"/>
    </w:pPr>
  </w:style>
  <w:style w:type="character" w:customStyle="1" w:styleId="NormalWebCar">
    <w:name w:val="Normal (Web) Car"/>
    <w:link w:val="NormalWeb"/>
    <w:uiPriority w:val="99"/>
    <w:rsid w:val="00044E28"/>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3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30D34"/>
    <w:rPr>
      <w:sz w:val="24"/>
      <w:lang w:val="es-MX"/>
    </w:rPr>
  </w:style>
  <w:style w:type="paragraph" w:styleId="Encabezado">
    <w:name w:val="header"/>
    <w:basedOn w:val="Normal"/>
    <w:link w:val="EncabezadoCar"/>
    <w:uiPriority w:val="99"/>
    <w:unhideWhenUsed/>
    <w:rsid w:val="004026EC"/>
    <w:pPr>
      <w:tabs>
        <w:tab w:val="center" w:pos="4419"/>
        <w:tab w:val="right" w:pos="8838"/>
      </w:tabs>
    </w:pPr>
  </w:style>
  <w:style w:type="character" w:customStyle="1" w:styleId="EncabezadoCar">
    <w:name w:val="Encabezado Car"/>
    <w:basedOn w:val="Fuentedeprrafopredeter"/>
    <w:link w:val="Encabezado"/>
    <w:uiPriority w:val="99"/>
    <w:rsid w:val="004026EC"/>
    <w:rPr>
      <w:sz w:val="24"/>
      <w:lang w:val="es-MX"/>
    </w:rPr>
  </w:style>
  <w:style w:type="paragraph" w:styleId="Piedepgina">
    <w:name w:val="footer"/>
    <w:basedOn w:val="Normal"/>
    <w:link w:val="PiedepginaCar"/>
    <w:uiPriority w:val="99"/>
    <w:unhideWhenUsed/>
    <w:rsid w:val="004026EC"/>
    <w:pPr>
      <w:tabs>
        <w:tab w:val="center" w:pos="4419"/>
        <w:tab w:val="right" w:pos="8838"/>
      </w:tabs>
    </w:pPr>
  </w:style>
  <w:style w:type="character" w:customStyle="1" w:styleId="PiedepginaCar">
    <w:name w:val="Pie de página Car"/>
    <w:basedOn w:val="Fuentedeprrafopredeter"/>
    <w:link w:val="Piedepgina"/>
    <w:uiPriority w:val="99"/>
    <w:rsid w:val="004026EC"/>
    <w:rPr>
      <w:sz w:val="24"/>
      <w:lang w:val="es-MX"/>
    </w:rPr>
  </w:style>
  <w:style w:type="paragraph" w:styleId="Sinespaciado">
    <w:name w:val="No Spacing"/>
    <w:aliases w:val="No Indent"/>
    <w:uiPriority w:val="3"/>
    <w:qFormat/>
    <w:rsid w:val="004026EC"/>
    <w:pPr>
      <w:spacing w:after="0" w:line="240" w:lineRule="auto"/>
    </w:pPr>
    <w:rPr>
      <w:sz w:val="24"/>
      <w:lang w:val="es-MX"/>
    </w:rPr>
  </w:style>
  <w:style w:type="paragraph" w:customStyle="1" w:styleId="InviasNormal">
    <w:name w:val="Invias Normal"/>
    <w:basedOn w:val="Normal"/>
    <w:link w:val="InviasNormalCar"/>
    <w:qFormat/>
    <w:rsid w:val="00C1096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C10962"/>
    <w:rPr>
      <w:rFonts w:ascii="Arial Narrow" w:eastAsia="Times New Roman" w:hAnsi="Arial Narrow" w:cs="Times New Roman"/>
      <w:color w:val="3B3838" w:themeColor="background2" w:themeShade="40"/>
      <w:sz w:val="24"/>
      <w:szCs w:val="24"/>
      <w:lang w:val="x-none" w:eastAsia="es-ES"/>
    </w:rPr>
  </w:style>
  <w:style w:type="paragraph" w:customStyle="1" w:styleId="Default">
    <w:name w:val="Default"/>
    <w:rsid w:val="00B24529"/>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5E3121"/>
    <w:rPr>
      <w:color w:val="0000FF"/>
      <w:u w:val="single"/>
    </w:rPr>
  </w:style>
  <w:style w:type="paragraph" w:styleId="Textoindependiente">
    <w:name w:val="Body Text"/>
    <w:basedOn w:val="Normal"/>
    <w:link w:val="TextoindependienteCar"/>
    <w:uiPriority w:val="1"/>
    <w:qFormat/>
    <w:rsid w:val="000A3619"/>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0A3619"/>
    <w:rPr>
      <w:rFonts w:ascii="Arial" w:eastAsia="Arial" w:hAnsi="Arial" w:cs="Arial"/>
      <w:lang w:val="es-ES"/>
    </w:rPr>
  </w:style>
  <w:style w:type="character" w:styleId="Refdecomentario">
    <w:name w:val="annotation reference"/>
    <w:basedOn w:val="Fuentedeprrafopredeter"/>
    <w:uiPriority w:val="99"/>
    <w:semiHidden/>
    <w:unhideWhenUsed/>
    <w:rsid w:val="009B13D1"/>
    <w:rPr>
      <w:sz w:val="16"/>
      <w:szCs w:val="16"/>
    </w:rPr>
  </w:style>
  <w:style w:type="paragraph" w:styleId="Textocomentario">
    <w:name w:val="annotation text"/>
    <w:basedOn w:val="Normal"/>
    <w:link w:val="TextocomentarioCar"/>
    <w:uiPriority w:val="99"/>
    <w:unhideWhenUsed/>
    <w:rsid w:val="009B13D1"/>
    <w:rPr>
      <w:sz w:val="20"/>
      <w:szCs w:val="20"/>
    </w:rPr>
  </w:style>
  <w:style w:type="character" w:customStyle="1" w:styleId="TextocomentarioCar">
    <w:name w:val="Texto comentario Car"/>
    <w:basedOn w:val="Fuentedeprrafopredeter"/>
    <w:link w:val="Textocomentario"/>
    <w:uiPriority w:val="99"/>
    <w:rsid w:val="009B13D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B13D1"/>
    <w:rPr>
      <w:b/>
      <w:bCs/>
    </w:rPr>
  </w:style>
  <w:style w:type="character" w:customStyle="1" w:styleId="AsuntodelcomentarioCar">
    <w:name w:val="Asunto del comentario Car"/>
    <w:basedOn w:val="TextocomentarioCar"/>
    <w:link w:val="Asuntodelcomentario"/>
    <w:uiPriority w:val="99"/>
    <w:semiHidden/>
    <w:rsid w:val="009B13D1"/>
    <w:rPr>
      <w:b/>
      <w:bCs/>
      <w:sz w:val="20"/>
      <w:szCs w:val="20"/>
      <w:lang w:val="es-MX"/>
    </w:rPr>
  </w:style>
  <w:style w:type="paragraph" w:styleId="Textodeglobo">
    <w:name w:val="Balloon Text"/>
    <w:basedOn w:val="Normal"/>
    <w:link w:val="TextodegloboCar"/>
    <w:uiPriority w:val="99"/>
    <w:semiHidden/>
    <w:unhideWhenUsed/>
    <w:rsid w:val="009B13D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B13D1"/>
    <w:rPr>
      <w:rFonts w:ascii="Times New Roman" w:hAnsi="Times New Roman" w:cs="Times New Roman"/>
      <w:sz w:val="18"/>
      <w:szCs w:val="18"/>
      <w:lang w:val="es-MX"/>
    </w:rPr>
  </w:style>
  <w:style w:type="paragraph" w:customStyle="1" w:styleId="Appelnotedebasde">
    <w:name w:val="Appel note de bas de..."/>
    <w:basedOn w:val="Normal"/>
    <w:link w:val="Refdenotaalpie"/>
    <w:uiPriority w:val="99"/>
    <w:rsid w:val="00570A33"/>
    <w:pPr>
      <w:spacing w:after="160" w:line="240" w:lineRule="exact"/>
    </w:pPr>
    <w:rPr>
      <w:sz w:val="22"/>
      <w:vertAlign w:val="superscript"/>
      <w:lang w:val="es-CO"/>
    </w:rPr>
  </w:style>
  <w:style w:type="character" w:styleId="Mencinsinresolver">
    <w:name w:val="Unresolved Mention"/>
    <w:basedOn w:val="Fuentedeprrafopredeter"/>
    <w:uiPriority w:val="99"/>
    <w:semiHidden/>
    <w:unhideWhenUsed/>
    <w:rsid w:val="00262143"/>
    <w:rPr>
      <w:color w:val="605E5C"/>
      <w:shd w:val="clear" w:color="auto" w:fill="E1DFDD"/>
    </w:rPr>
  </w:style>
  <w:style w:type="paragraph" w:styleId="Revisin">
    <w:name w:val="Revision"/>
    <w:hidden/>
    <w:uiPriority w:val="99"/>
    <w:semiHidden/>
    <w:rsid w:val="00805D07"/>
    <w:pPr>
      <w:spacing w:after="0" w:line="240" w:lineRule="auto"/>
    </w:pPr>
    <w:rPr>
      <w:sz w:val="24"/>
      <w:lang w:val="es-MX"/>
    </w:rPr>
  </w:style>
  <w:style w:type="character" w:styleId="Hipervnculovisitado">
    <w:name w:val="FollowedHyperlink"/>
    <w:basedOn w:val="Fuentedeprrafopredeter"/>
    <w:uiPriority w:val="99"/>
    <w:semiHidden/>
    <w:unhideWhenUsed/>
    <w:rsid w:val="007976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3749">
      <w:bodyDiv w:val="1"/>
      <w:marLeft w:val="0"/>
      <w:marRight w:val="0"/>
      <w:marTop w:val="0"/>
      <w:marBottom w:val="0"/>
      <w:divBdr>
        <w:top w:val="none" w:sz="0" w:space="0" w:color="auto"/>
        <w:left w:val="none" w:sz="0" w:space="0" w:color="auto"/>
        <w:bottom w:val="none" w:sz="0" w:space="0" w:color="auto"/>
        <w:right w:val="none" w:sz="0" w:space="0" w:color="auto"/>
      </w:divBdr>
    </w:div>
    <w:div w:id="9009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xta2.colombiacompra.gov.co/sites/docs/_layouts/15/listform.aspx?PageType=6&amp;ListId=%7b41406f67-8aaf-444a-8f23-f6b9ad006b34%7d&amp;ID=9027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861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circu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Juan David Montoya Penagos</DisplayName>
        <AccountId>150</AccountId>
        <AccountType/>
      </UserInfo>
    </SharedWithUsers>
  </documentManagement>
</p:properties>
</file>

<file path=customXml/itemProps1.xml><?xml version="1.0" encoding="utf-8"?>
<ds:datastoreItem xmlns:ds="http://schemas.openxmlformats.org/officeDocument/2006/customXml" ds:itemID="{5AD8C344-55C6-4774-936E-9642202DC5F5}">
  <ds:schemaRefs>
    <ds:schemaRef ds:uri="http://schemas.microsoft.com/sharepoint/v3/contenttype/forms"/>
  </ds:schemaRefs>
</ds:datastoreItem>
</file>

<file path=customXml/itemProps2.xml><?xml version="1.0" encoding="utf-8"?>
<ds:datastoreItem xmlns:ds="http://schemas.openxmlformats.org/officeDocument/2006/customXml" ds:itemID="{D92B887F-F540-4549-BF6E-EE5D25F04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24760-65D9-43AD-A91C-5072D2C4A1CE}">
  <ds:schemaRefs>
    <ds:schemaRef ds:uri="http://schemas.openxmlformats.org/officeDocument/2006/bibliography"/>
  </ds:schemaRefs>
</ds:datastoreItem>
</file>

<file path=customXml/itemProps4.xml><?xml version="1.0" encoding="utf-8"?>
<ds:datastoreItem xmlns:ds="http://schemas.openxmlformats.org/officeDocument/2006/customXml" ds:itemID="{D9C93953-9434-4CBB-8D43-A361EBE0DA4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5370</Words>
  <Characters>29537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Edwin Johan Chocontá Quintero</cp:lastModifiedBy>
  <cp:revision>3</cp:revision>
  <dcterms:created xsi:type="dcterms:W3CDTF">2022-09-14T14:57:00Z</dcterms:created>
  <dcterms:modified xsi:type="dcterms:W3CDTF">2022-09-14T15:02:00Z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