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6265" w14:textId="77777777" w:rsidR="00030F0F" w:rsidRPr="00651DC0" w:rsidRDefault="00030F0F" w:rsidP="00030F0F">
      <w:pPr>
        <w:spacing w:after="0" w:line="240" w:lineRule="auto"/>
        <w:rPr>
          <w:rFonts w:ascii="Arial" w:hAnsi="Arial" w:cs="Arial"/>
          <w:b/>
          <w:sz w:val="22"/>
          <w:szCs w:val="22"/>
          <w:lang w:val="es-ES_tradnl" w:eastAsia="en-US"/>
        </w:rPr>
      </w:pPr>
      <w:r w:rsidRPr="00651DC0">
        <w:rPr>
          <w:rFonts w:ascii="Arial" w:hAnsi="Arial" w:cs="Arial"/>
          <w:b/>
          <w:sz w:val="22"/>
          <w:szCs w:val="22"/>
          <w:lang w:val="es-ES_tradnl" w:eastAsia="en-US"/>
        </w:rPr>
        <w:t xml:space="preserve">PRINCIPIO DE SELECCIÓN OBJETIVA – Noción – Normativa – Requisitos habilitantes – Requisitos ponderables </w:t>
      </w:r>
    </w:p>
    <w:p w14:paraId="1DD58167" w14:textId="77777777" w:rsidR="00030F0F" w:rsidRPr="00651DC0" w:rsidRDefault="00030F0F" w:rsidP="00030F0F">
      <w:pPr>
        <w:spacing w:before="120" w:after="0" w:line="240" w:lineRule="auto"/>
        <w:ind w:right="51"/>
        <w:rPr>
          <w:rFonts w:ascii="Arial" w:hAnsi="Arial" w:cs="Arial"/>
          <w:bCs/>
          <w:sz w:val="22"/>
          <w:szCs w:val="22"/>
          <w:lang w:eastAsia="en-US"/>
        </w:rPr>
      </w:pPr>
      <w:r w:rsidRPr="00651DC0">
        <w:rPr>
          <w:rFonts w:ascii="Arial" w:hAnsi="Arial" w:cs="Arial"/>
          <w:bCs/>
          <w:sz w:val="22"/>
          <w:szCs w:val="22"/>
          <w:lang w:val="es-ES_tradnl" w:eastAsia="en-US"/>
        </w:rPr>
        <w:t xml:space="preserve">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 </w:t>
      </w:r>
      <w:r w:rsidRPr="00651DC0">
        <w:rPr>
          <w:rFonts w:ascii="Arial" w:hAnsi="Arial" w:cs="Arial"/>
          <w:bCs/>
          <w:sz w:val="22"/>
          <w:szCs w:val="22"/>
          <w:lang w:eastAsia="en-US"/>
        </w:rPr>
        <w:t xml:space="preserve">Si bien dentro de la historia de la contratación pública en Colombia, se vislumbran antecedentes normativos que consagraban dicho principio, en la actualidad la disposición legal que lo prevé de manera más clara y contundente es el artículo 5 de la Ley 1150 de 2007, modificado por el artículo 88 de la Ley 1474 de 2011. De acuerdo con esta norma y conforme con lo expresado en el concepto C–166 del 23 de abril de 2021, puede decirse que el deber de selección objetiva supone que las entidades escojan en los procesos de selección el «[…] ofrecimiento más favorable a la entidad y a los fines que ella busca […]».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 […] el artículo 5 de la Ley 1150 de 2007 define los parámetros conforme a los cuales deben exigirse y evaluarse los factores que no otorgan puntaje o requisitos habilitantes, como también aquellos que deben tenerse en cuenta para la exigencia y evaluación de los factores de escogencia o calificación, técnicos y económicos, los cuales inciden en la comparación de las ofertas. Por ello, la doctrina define los requisitos o factores ponderables como «[…] aquellas condiciones de la oferta y no de quien la presenta, que sí entrarán a ser evaluadas por la Administración y que en consecuencia, darán lugar a la escogencia objetiva de la mejor propuesta para la entidad». Todas estas categorías designan los «[…] factores a los cuales cabe otorgarles puntajes o que pueden ser ponderados, precisamente, pues estos son los factores que en últimas permiten una comparación de ofertas y una diferenciación entre ellas». </w:t>
      </w:r>
    </w:p>
    <w:p w14:paraId="22D2158D" w14:textId="77777777" w:rsidR="00030F0F" w:rsidRPr="00651DC0" w:rsidRDefault="00030F0F" w:rsidP="00030F0F">
      <w:pPr>
        <w:spacing w:after="0" w:line="240" w:lineRule="auto"/>
        <w:rPr>
          <w:rFonts w:ascii="Arial" w:hAnsi="Arial" w:cs="Arial"/>
          <w:b/>
          <w:sz w:val="22"/>
          <w:szCs w:val="22"/>
          <w:lang w:eastAsia="en-US"/>
        </w:rPr>
      </w:pPr>
    </w:p>
    <w:p w14:paraId="7091807C" w14:textId="77777777" w:rsidR="00030F0F" w:rsidRPr="00651DC0" w:rsidRDefault="00030F0F" w:rsidP="00030F0F">
      <w:pPr>
        <w:spacing w:after="0" w:line="240" w:lineRule="auto"/>
        <w:rPr>
          <w:rFonts w:ascii="Arial" w:hAnsi="Arial" w:cs="Arial"/>
          <w:b/>
          <w:sz w:val="22"/>
          <w:szCs w:val="22"/>
          <w:lang w:eastAsia="en-US"/>
        </w:rPr>
      </w:pPr>
      <w:r w:rsidRPr="00651DC0">
        <w:rPr>
          <w:rFonts w:ascii="Arial" w:hAnsi="Arial" w:cs="Arial"/>
          <w:b/>
          <w:sz w:val="22"/>
          <w:szCs w:val="22"/>
          <w:lang w:eastAsia="en-US"/>
        </w:rPr>
        <w:t xml:space="preserve">REQUISITOS PONDERABLES – Asignación de puntaje </w:t>
      </w:r>
    </w:p>
    <w:p w14:paraId="18FB1314" w14:textId="77777777" w:rsidR="00030F0F" w:rsidRDefault="00030F0F" w:rsidP="00030F0F">
      <w:pPr>
        <w:spacing w:after="0" w:line="240" w:lineRule="auto"/>
        <w:rPr>
          <w:rFonts w:ascii="Arial" w:hAnsi="Arial" w:cs="Arial"/>
          <w:bCs/>
          <w:sz w:val="22"/>
          <w:szCs w:val="22"/>
          <w:lang w:eastAsia="en-US"/>
        </w:rPr>
      </w:pPr>
    </w:p>
    <w:p w14:paraId="7317ADD2" w14:textId="77777777" w:rsidR="00030F0F" w:rsidRPr="00651DC0" w:rsidRDefault="00030F0F" w:rsidP="00030F0F">
      <w:pPr>
        <w:spacing w:after="0" w:line="240" w:lineRule="auto"/>
        <w:rPr>
          <w:rFonts w:ascii="Arial" w:hAnsi="Arial" w:cs="Arial"/>
          <w:bCs/>
          <w:sz w:val="22"/>
          <w:szCs w:val="22"/>
          <w:lang w:eastAsia="en-US"/>
        </w:rPr>
      </w:pPr>
      <w:r>
        <w:rPr>
          <w:rFonts w:ascii="Arial" w:hAnsi="Arial" w:cs="Arial"/>
          <w:bCs/>
          <w:sz w:val="22"/>
          <w:szCs w:val="22"/>
          <w:lang w:eastAsia="en-US"/>
        </w:rPr>
        <w:t xml:space="preserve">[…] </w:t>
      </w:r>
      <w:r w:rsidRPr="00651DC0">
        <w:rPr>
          <w:rFonts w:ascii="Arial" w:hAnsi="Arial" w:cs="Arial"/>
          <w:bCs/>
          <w:sz w:val="22"/>
          <w:szCs w:val="22"/>
          <w:lang w:eastAsia="en-US"/>
        </w:rPr>
        <w:t xml:space="preserve">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 que determinan comparativamente que una oferta sea mejor que otra, que la entidad concibe el 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6E743D09" w14:textId="77777777" w:rsidR="00030F0F" w:rsidRDefault="00030F0F" w:rsidP="00030F0F">
      <w:pPr>
        <w:spacing w:after="0" w:line="240" w:lineRule="auto"/>
        <w:rPr>
          <w:rFonts w:ascii="Arial" w:hAnsi="Arial" w:cs="Arial"/>
          <w:bCs/>
          <w:sz w:val="22"/>
          <w:szCs w:val="22"/>
          <w:lang w:eastAsia="en-US"/>
        </w:rPr>
      </w:pPr>
    </w:p>
    <w:p w14:paraId="7C5663E6" w14:textId="77777777" w:rsidR="00030F0F" w:rsidRPr="00651DC0" w:rsidRDefault="00030F0F" w:rsidP="00030F0F">
      <w:pPr>
        <w:spacing w:after="0" w:line="240" w:lineRule="auto"/>
        <w:rPr>
          <w:rFonts w:ascii="Arial" w:hAnsi="Arial" w:cs="Arial"/>
          <w:bCs/>
          <w:sz w:val="22"/>
          <w:szCs w:val="22"/>
          <w:lang w:eastAsia="en-US"/>
        </w:rPr>
      </w:pPr>
      <w:r w:rsidRPr="00651DC0">
        <w:rPr>
          <w:rFonts w:ascii="Arial" w:hAnsi="Arial" w:cs="Arial"/>
          <w:bCs/>
          <w:sz w:val="22"/>
          <w:szCs w:val="22"/>
          <w:lang w:eastAsia="en-US"/>
        </w:rPr>
        <w:t xml:space="preserve">En ese sentido, la asignación de puntaje es un mecanismo mediante el cual las entidades ponderan los factores de calificación </w:t>
      </w:r>
      <w:r w:rsidRPr="00651DC0">
        <w:rPr>
          <w:rFonts w:ascii="Tahoma" w:hAnsi="Tahoma" w:cs="Tahoma"/>
          <w:bCs/>
          <w:sz w:val="22"/>
          <w:szCs w:val="22"/>
          <w:lang w:eastAsia="en-US"/>
        </w:rPr>
        <w:t>ꟷ</w:t>
      </w:r>
      <w:r w:rsidRPr="00651DC0">
        <w:rPr>
          <w:rFonts w:ascii="Arial" w:hAnsi="Arial" w:cs="Arial"/>
          <w:bCs/>
          <w:i/>
          <w:sz w:val="22"/>
          <w:szCs w:val="22"/>
          <w:lang w:eastAsia="en-US"/>
        </w:rPr>
        <w:t>v.g.</w:t>
      </w:r>
      <w:r w:rsidRPr="00651DC0">
        <w:rPr>
          <w:rFonts w:ascii="Arial" w:hAnsi="Arial" w:cs="Arial"/>
          <w:bCs/>
          <w:sz w:val="22"/>
          <w:szCs w:val="22"/>
          <w:lang w:eastAsia="en-US"/>
        </w:rPr>
        <w:t xml:space="preserve"> técnicos, de calidad y precio, etc.</w:t>
      </w:r>
      <w:r w:rsidRPr="00651DC0">
        <w:rPr>
          <w:rFonts w:ascii="Tahoma" w:hAnsi="Tahoma" w:cs="Tahoma"/>
          <w:bCs/>
          <w:sz w:val="22"/>
          <w:szCs w:val="22"/>
          <w:lang w:eastAsia="en-US"/>
        </w:rPr>
        <w:t>ꟷ</w:t>
      </w:r>
      <w:r w:rsidRPr="00651DC0">
        <w:rPr>
          <w:rFonts w:ascii="Arial" w:hAnsi="Arial" w:cs="Arial"/>
          <w:bCs/>
          <w:sz w:val="22"/>
          <w:szCs w:val="22"/>
          <w:lang w:eastAsia="en-US"/>
        </w:rPr>
        <w:t xml:space="preserve"> en un determinado proceso de selección, como se desprende del literal a) del numeral 2 del artículo 5 de la Ley 1150 de 2007, en el que, expresamente, se alude al puntaje. Es necesario destacar que las reglas para establecer la oferta más favorable conforme al </w:t>
      </w:r>
      <w:r w:rsidRPr="00651DC0">
        <w:rPr>
          <w:rFonts w:ascii="Arial" w:hAnsi="Arial" w:cs="Arial"/>
          <w:bCs/>
          <w:sz w:val="22"/>
          <w:szCs w:val="22"/>
          <w:lang w:eastAsia="en-US"/>
        </w:rPr>
        <w:lastRenderedPageBreak/>
        <w:t>artículo 5 de la Ley 1150 de 2007, se encuentran reglamentadas en el artículo 2.2.1.1.2.2.2 del Decreto 1082 de 2015. Este artículo desarrolla los mecanismos de ponderación previstos en los literales a) y b) del artículo 5.2 de la Ley 1150 de 2007, disponiendo unas pautas para la ponderación de los elementos de calidad y precio que representen la mejor relación de costo-beneficio. Conforme a este artículo, la oferta más favorable en estos casos debe determinarse ponderando en las ofertas: i) las condiciones técnicas y económicas mínimas; ii) las condiciones técnicas adicionales que representan ventajas de calidad o de funcionamiento; iii) las condiciones económicas adicionales que representen ventajas en términos de economía, eficiencia y eficacia; y iv) el valor en dinero que la entidad estatal asigna a cada ofrecimiento técnico o económico adicional. Teniendo en cuenta estos elementos, la entidad estatal debe calcular la relación costo-beneficio de cada oferta «[…]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19436279" w14:textId="77777777" w:rsidR="00030F0F" w:rsidRPr="00651DC0" w:rsidRDefault="00030F0F" w:rsidP="00030F0F">
      <w:pPr>
        <w:spacing w:after="0" w:line="240" w:lineRule="auto"/>
        <w:rPr>
          <w:rFonts w:ascii="Arial" w:hAnsi="Arial" w:cs="Arial"/>
          <w:bCs/>
          <w:sz w:val="22"/>
          <w:szCs w:val="22"/>
          <w:lang w:eastAsia="en-US"/>
        </w:rPr>
      </w:pPr>
    </w:p>
    <w:p w14:paraId="3C30C6FF" w14:textId="77777777" w:rsidR="00030F0F" w:rsidRPr="00651DC0" w:rsidRDefault="00030F0F" w:rsidP="00030F0F">
      <w:pPr>
        <w:spacing w:after="0" w:line="240" w:lineRule="auto"/>
        <w:rPr>
          <w:rFonts w:ascii="Arial" w:hAnsi="Arial" w:cs="Arial"/>
          <w:bCs/>
          <w:sz w:val="22"/>
          <w:szCs w:val="22"/>
          <w:lang w:eastAsia="en-US"/>
        </w:rPr>
      </w:pPr>
    </w:p>
    <w:p w14:paraId="364EFE07" w14:textId="77777777" w:rsidR="00030F0F" w:rsidRPr="00651DC0" w:rsidRDefault="00030F0F" w:rsidP="00030F0F">
      <w:pPr>
        <w:spacing w:after="0" w:line="240" w:lineRule="auto"/>
        <w:rPr>
          <w:rFonts w:ascii="Arial" w:hAnsi="Arial" w:cs="Arial"/>
          <w:b/>
          <w:sz w:val="22"/>
          <w:szCs w:val="22"/>
          <w:lang w:eastAsia="en-US"/>
        </w:rPr>
      </w:pPr>
      <w:r w:rsidRPr="00651DC0">
        <w:rPr>
          <w:rFonts w:ascii="Arial" w:hAnsi="Arial" w:cs="Arial"/>
          <w:b/>
          <w:sz w:val="22"/>
          <w:szCs w:val="22"/>
          <w:lang w:eastAsia="en-US"/>
        </w:rPr>
        <w:t xml:space="preserve">DEBER DE SELECCIÓN OBJETIVA </w:t>
      </w:r>
    </w:p>
    <w:p w14:paraId="0F7420C5" w14:textId="77777777" w:rsidR="00030F0F" w:rsidRPr="00651DC0" w:rsidRDefault="00030F0F" w:rsidP="00030F0F">
      <w:pPr>
        <w:spacing w:after="0" w:line="240" w:lineRule="auto"/>
        <w:rPr>
          <w:rFonts w:ascii="Arial" w:hAnsi="Arial" w:cs="Arial"/>
          <w:bCs/>
          <w:sz w:val="22"/>
          <w:szCs w:val="22"/>
          <w:lang w:eastAsia="en-US"/>
        </w:rPr>
      </w:pPr>
    </w:p>
    <w:p w14:paraId="7519F151" w14:textId="77777777" w:rsidR="00030F0F" w:rsidRPr="00651DC0" w:rsidRDefault="00030F0F" w:rsidP="00030F0F">
      <w:pPr>
        <w:spacing w:before="120" w:after="0" w:line="240" w:lineRule="auto"/>
        <w:rPr>
          <w:rFonts w:ascii="Arial" w:hAnsi="Arial" w:cs="Arial"/>
          <w:bCs/>
          <w:sz w:val="22"/>
          <w:szCs w:val="22"/>
          <w:lang w:eastAsia="en-US"/>
        </w:rPr>
      </w:pPr>
      <w:r w:rsidRPr="00651DC0">
        <w:rPr>
          <w:rFonts w:ascii="Arial" w:hAnsi="Arial" w:cs="Arial"/>
          <w:bCs/>
          <w:sz w:val="22"/>
          <w:szCs w:val="22"/>
          <w:lang w:eastAsia="en-US"/>
        </w:rPr>
        <w:t>[…] el deber de selección objetiva está ligado a la determinación del ofrecimiento más favorable, cuyo contenido debe ser precisado a partir de las diferentes alternativas del artículo 5 de la Ley 1150 de 2007, reglamentado por el artículo 2.2.1.1.2.2.2 del Decreto 1082 de 2015, que, en todo caso,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 Estos pueden ponderarse mediante la asignación de puntaje, por lo que la norma se refiere a factores que no otorgan puntaje para diferenciar los requisitos habilitantes de los mencionados factores de calificación. Lo anterior, bajo el entendido que son estos últimos los que determinan la oferta más favorable para la entidad y la que, en consecuencia, debe elegirse.</w:t>
      </w:r>
    </w:p>
    <w:p w14:paraId="7F4BA2C3" w14:textId="77777777" w:rsidR="00030F0F" w:rsidRPr="00651DC0" w:rsidRDefault="00030F0F" w:rsidP="00030F0F">
      <w:pPr>
        <w:spacing w:before="120" w:after="0" w:line="240" w:lineRule="auto"/>
        <w:rPr>
          <w:rFonts w:ascii="Arial" w:hAnsi="Arial" w:cs="Arial"/>
          <w:bCs/>
          <w:sz w:val="22"/>
          <w:szCs w:val="22"/>
          <w:lang w:eastAsia="en-US"/>
        </w:rPr>
      </w:pPr>
      <w:r w:rsidRPr="00651DC0">
        <w:rPr>
          <w:rFonts w:ascii="Arial" w:hAnsi="Arial" w:cs="Arial"/>
          <w:bCs/>
          <w:sz w:val="22"/>
          <w:szCs w:val="22"/>
          <w:lang w:eastAsia="en-US"/>
        </w:rPr>
        <w:t xml:space="preserve">Además del artículo 5 de la Ley 1150 de 2007, el deber de selección objetiva y su carácter vinculante encuentre fundamento en varios apartados de la Ley 80 de 1993, como: i) el primer inciso del artículo 21, que obliga a las entidades estatales a tener en cuenta la selección objetiva, al garantizar la participación de los oferentes de bienes y servicios de origen nacional, ii) el artículo 24, numeral 5º, literal a), que manda que en los pliegos de condiciones se indiquen «[…] los requisitos objetivos necesarios para participar en el correspondiente proceso de selección», iii)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iv)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w:t>
      </w:r>
      <w:r w:rsidRPr="00651DC0">
        <w:rPr>
          <w:rFonts w:ascii="Arial" w:hAnsi="Arial" w:cs="Arial"/>
          <w:bCs/>
          <w:sz w:val="22"/>
          <w:szCs w:val="22"/>
          <w:lang w:eastAsia="en-US"/>
        </w:rPr>
        <w:lastRenderedPageBreak/>
        <w:t xml:space="preserve">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vii)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viii) el inciso final del artículo 38, que obliga a las entidades estatales que tengan como objeto la prestación de servicios y actividades de telecomunicaciones a respetar el principio de selección objetiva, y ix) el segundo inciso del artículo 76, que ordena cumplir también con dicho principio a las entidades que tengan por objeto la exploración, explotación y comercialización de recursos naturales renovables y no renovables. </w:t>
      </w:r>
    </w:p>
    <w:p w14:paraId="13B01A3D" w14:textId="77777777" w:rsidR="00030F0F" w:rsidRPr="00651DC0" w:rsidRDefault="00030F0F" w:rsidP="00030F0F">
      <w:pPr>
        <w:spacing w:after="0" w:line="240" w:lineRule="auto"/>
        <w:rPr>
          <w:rFonts w:ascii="Arial" w:hAnsi="Arial" w:cs="Arial"/>
          <w:bCs/>
          <w:sz w:val="22"/>
          <w:szCs w:val="22"/>
          <w:lang w:eastAsia="en-US"/>
        </w:rPr>
      </w:pPr>
    </w:p>
    <w:p w14:paraId="65EB5253" w14:textId="77777777" w:rsidR="00030F0F" w:rsidRPr="00651DC0" w:rsidRDefault="00030F0F" w:rsidP="00030F0F">
      <w:pPr>
        <w:spacing w:after="0" w:line="240" w:lineRule="auto"/>
        <w:rPr>
          <w:rFonts w:ascii="Arial" w:hAnsi="Arial" w:cs="Arial"/>
          <w:b/>
          <w:sz w:val="22"/>
          <w:szCs w:val="22"/>
          <w:lang w:eastAsia="en-US"/>
        </w:rPr>
      </w:pPr>
      <w:r w:rsidRPr="00651DC0">
        <w:rPr>
          <w:rFonts w:ascii="Arial" w:hAnsi="Arial" w:cs="Arial"/>
          <w:b/>
          <w:sz w:val="22"/>
          <w:szCs w:val="22"/>
          <w:lang w:eastAsia="en-US"/>
        </w:rPr>
        <w:t xml:space="preserve">SUBSANABILIDAD – Alcance – procedencia </w:t>
      </w:r>
    </w:p>
    <w:p w14:paraId="0FC234E3" w14:textId="77777777" w:rsidR="00030F0F" w:rsidRPr="00651DC0" w:rsidRDefault="00030F0F" w:rsidP="00030F0F">
      <w:pPr>
        <w:spacing w:after="0" w:line="240" w:lineRule="auto"/>
        <w:rPr>
          <w:rFonts w:ascii="Arial" w:hAnsi="Arial" w:cs="Arial"/>
          <w:sz w:val="22"/>
          <w:szCs w:val="22"/>
          <w:lang w:val="es-ES_tradnl" w:eastAsia="en-US"/>
        </w:rPr>
      </w:pPr>
    </w:p>
    <w:p w14:paraId="2873B02C" w14:textId="77777777" w:rsidR="00030F0F" w:rsidRPr="00651DC0" w:rsidRDefault="00030F0F" w:rsidP="00030F0F">
      <w:pPr>
        <w:spacing w:after="0" w:line="240" w:lineRule="auto"/>
        <w:rPr>
          <w:rFonts w:ascii="Arial" w:hAnsi="Arial" w:cs="Arial"/>
          <w:bCs/>
          <w:sz w:val="22"/>
          <w:szCs w:val="22"/>
          <w:lang w:eastAsia="en-US"/>
        </w:rPr>
      </w:pPr>
      <w:r w:rsidRPr="00651DC0">
        <w:rPr>
          <w:rFonts w:ascii="Arial" w:hAnsi="Arial" w:cs="Arial"/>
          <w:bCs/>
          <w:sz w:val="22"/>
          <w:szCs w:val="22"/>
          <w:lang w:eastAsia="en-US"/>
        </w:rPr>
        <w:t xml:space="preserve">Por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De modo que, el límite para el ejercicio del derecho a subsanar los requisitos habilitantes y para el deber de las entidades públicas de permitir su ejercicio está definido en la ley, lo que indica que las situaciones en las cuales está restringido fueron previstas por el legislador de forma expresa. […]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w:t>
      </w:r>
    </w:p>
    <w:p w14:paraId="793A5B4D" w14:textId="77777777" w:rsidR="00030F0F" w:rsidRPr="00651DC0" w:rsidRDefault="00030F0F" w:rsidP="00030F0F">
      <w:pPr>
        <w:spacing w:after="0" w:line="240" w:lineRule="auto"/>
        <w:rPr>
          <w:rFonts w:ascii="Arial" w:hAnsi="Arial" w:cs="Arial"/>
          <w:bCs/>
          <w:sz w:val="22"/>
          <w:szCs w:val="22"/>
          <w:lang w:eastAsia="en-US"/>
        </w:rPr>
      </w:pPr>
    </w:p>
    <w:p w14:paraId="4ECD9893" w14:textId="77777777" w:rsidR="00030F0F" w:rsidRPr="00651DC0" w:rsidRDefault="00030F0F" w:rsidP="00030F0F">
      <w:pPr>
        <w:spacing w:after="0" w:line="240" w:lineRule="auto"/>
        <w:rPr>
          <w:rFonts w:ascii="Arial" w:hAnsi="Arial" w:cs="Arial"/>
          <w:b/>
          <w:sz w:val="22"/>
          <w:szCs w:val="22"/>
          <w:lang w:eastAsia="en-US"/>
        </w:rPr>
      </w:pPr>
      <w:r w:rsidRPr="00651DC0">
        <w:rPr>
          <w:rFonts w:ascii="Arial" w:hAnsi="Arial" w:cs="Arial"/>
          <w:b/>
          <w:sz w:val="22"/>
          <w:szCs w:val="22"/>
          <w:lang w:eastAsia="en-US"/>
        </w:rPr>
        <w:t xml:space="preserve">ACLARACIÓN DE OFERTAS – Concepto – Alcance </w:t>
      </w:r>
    </w:p>
    <w:p w14:paraId="40632621" w14:textId="77777777" w:rsidR="00030F0F" w:rsidRPr="00651DC0" w:rsidRDefault="00030F0F" w:rsidP="00030F0F">
      <w:pPr>
        <w:spacing w:after="0" w:line="240" w:lineRule="auto"/>
        <w:rPr>
          <w:rFonts w:ascii="Arial" w:hAnsi="Arial" w:cs="Arial"/>
          <w:b/>
          <w:sz w:val="22"/>
          <w:szCs w:val="22"/>
          <w:lang w:eastAsia="en-US"/>
        </w:rPr>
      </w:pPr>
    </w:p>
    <w:p w14:paraId="36BA9AF4" w14:textId="77777777" w:rsidR="00030F0F" w:rsidRPr="00651DC0" w:rsidRDefault="00030F0F" w:rsidP="00030F0F">
      <w:pPr>
        <w:spacing w:after="0" w:line="240" w:lineRule="auto"/>
        <w:rPr>
          <w:rFonts w:ascii="Arial" w:hAnsi="Arial" w:cs="Arial"/>
          <w:b/>
          <w:sz w:val="22"/>
          <w:szCs w:val="22"/>
          <w:lang w:eastAsia="en-US"/>
        </w:rPr>
      </w:pPr>
      <w:r w:rsidRPr="00651DC0">
        <w:rPr>
          <w:rFonts w:ascii="Arial" w:hAnsi="Arial" w:cs="Arial"/>
          <w:bCs/>
          <w:sz w:val="22"/>
          <w:szCs w:val="22"/>
          <w:lang w:eastAsia="en-US"/>
        </w:rPr>
        <w:t xml:space="preserve">La solicitud de aclaraciones permite que las entidades requieran a los proponentes esclarecer aspectos de sus propuestas que, en principio, resultan confusos para efectos de la evaluación, diferenciándose de la subsanabilidad, pues no parte del supuesto de la ausencia de requisitos de la oferta sino de la existencia de dudas en la misma, cuya explicación se requiere para la evaluar la propuesta. Esta diferencia es importante, pues </w:t>
      </w:r>
      <w:r w:rsidRPr="00651DC0">
        <w:rPr>
          <w:rFonts w:ascii="Arial" w:hAnsi="Arial" w:cs="Arial"/>
          <w:bCs/>
          <w:i/>
          <w:iCs/>
          <w:sz w:val="22"/>
          <w:szCs w:val="22"/>
          <w:lang w:eastAsia="en-US"/>
        </w:rPr>
        <w:t xml:space="preserve">es posible aclarar los requisitos que asignan puntaj. […]  </w:t>
      </w:r>
      <w:r w:rsidRPr="00651DC0">
        <w:rPr>
          <w:rFonts w:ascii="Arial" w:hAnsi="Arial" w:cs="Arial"/>
          <w:bCs/>
          <w:sz w:val="22"/>
          <w:szCs w:val="22"/>
          <w:lang w:eastAsia="en-US"/>
        </w:rPr>
        <w:t>aclarar una oferta no puede implicar su alteración sustancial o mejoría de sus componentes, sino limitarse a disipar lo que resulta borroso u otorgar claridad a lo que resulta oscuro o ininteligible.</w:t>
      </w:r>
    </w:p>
    <w:p w14:paraId="2FD749C0" w14:textId="77777777" w:rsidR="00030F0F" w:rsidRPr="00651DC0" w:rsidRDefault="00030F0F" w:rsidP="00030F0F">
      <w:pPr>
        <w:spacing w:after="0" w:line="240" w:lineRule="auto"/>
        <w:rPr>
          <w:rFonts w:ascii="Arial" w:hAnsi="Arial" w:cs="Arial"/>
          <w:bCs/>
          <w:sz w:val="22"/>
          <w:szCs w:val="22"/>
          <w:lang w:eastAsia="en-US"/>
        </w:rPr>
      </w:pPr>
    </w:p>
    <w:p w14:paraId="71350CAF" w14:textId="77777777" w:rsidR="00030F0F" w:rsidRPr="00651DC0" w:rsidRDefault="00030F0F" w:rsidP="00030F0F">
      <w:pPr>
        <w:spacing w:after="0" w:line="240" w:lineRule="auto"/>
        <w:rPr>
          <w:rFonts w:ascii="Arial" w:hAnsi="Arial" w:cs="Arial"/>
          <w:b/>
          <w:sz w:val="22"/>
          <w:szCs w:val="22"/>
          <w:lang w:eastAsia="en-US"/>
        </w:rPr>
      </w:pPr>
      <w:r w:rsidRPr="00651DC0">
        <w:rPr>
          <w:rFonts w:ascii="Arial" w:hAnsi="Arial" w:cs="Arial"/>
          <w:b/>
          <w:sz w:val="22"/>
          <w:szCs w:val="22"/>
          <w:lang w:eastAsia="en-US"/>
        </w:rPr>
        <w:t xml:space="preserve">SUBSANABILIDAD Y ACLARACIÓN DE OFERTAS – Diferencias </w:t>
      </w:r>
    </w:p>
    <w:p w14:paraId="1B348FC9" w14:textId="77777777" w:rsidR="00030F0F" w:rsidRPr="00651DC0" w:rsidRDefault="00030F0F" w:rsidP="00030F0F">
      <w:pPr>
        <w:spacing w:after="0" w:line="240" w:lineRule="auto"/>
        <w:rPr>
          <w:rFonts w:ascii="Arial" w:hAnsi="Arial" w:cs="Arial"/>
          <w:b/>
          <w:sz w:val="22"/>
          <w:szCs w:val="22"/>
          <w:lang w:eastAsia="en-US"/>
        </w:rPr>
      </w:pPr>
    </w:p>
    <w:p w14:paraId="4A7CCF63" w14:textId="77777777" w:rsidR="00030F0F" w:rsidRPr="00651DC0" w:rsidRDefault="00030F0F" w:rsidP="00030F0F">
      <w:pPr>
        <w:spacing w:after="0" w:line="240" w:lineRule="auto"/>
        <w:rPr>
          <w:rFonts w:ascii="Arial" w:hAnsi="Arial" w:cs="Arial"/>
          <w:bCs/>
          <w:sz w:val="22"/>
          <w:szCs w:val="22"/>
          <w:lang w:eastAsia="en-US"/>
        </w:rPr>
      </w:pPr>
      <w:r>
        <w:rPr>
          <w:rFonts w:ascii="Arial" w:hAnsi="Arial" w:cs="Arial"/>
          <w:bCs/>
          <w:sz w:val="22"/>
          <w:szCs w:val="22"/>
          <w:lang w:eastAsia="en-US"/>
        </w:rPr>
        <w:t xml:space="preserve">[…] </w:t>
      </w:r>
      <w:r w:rsidRPr="00651DC0">
        <w:rPr>
          <w:rFonts w:ascii="Arial" w:hAnsi="Arial" w:cs="Arial"/>
          <w:bCs/>
          <w:sz w:val="22"/>
          <w:szCs w:val="22"/>
          <w:lang w:eastAsia="en-US"/>
        </w:rPr>
        <w:t xml:space="preserve">es distinto aclarar y subsanar una oferta, siendo este último un instituto que procura porque el oferente presente, dentro del plazo y bajo las condiciones dadas por la norma </w:t>
      </w:r>
      <w:r w:rsidRPr="00651DC0">
        <w:rPr>
          <w:rFonts w:ascii="Arial" w:hAnsi="Arial" w:cs="Arial"/>
          <w:bCs/>
          <w:sz w:val="22"/>
          <w:szCs w:val="22"/>
          <w:lang w:eastAsia="en-US"/>
        </w:rPr>
        <w:lastRenderedPageBreak/>
        <w:t xml:space="preserve">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  Finalmente, como dispone el artículo 30.7 de la Ley 80 de 1993, la aclaración de las propuestas se realiza durante la evaluación de estas, pues es necesario esclarecer los aspectos dudosos de las ofertas antes de la adjudicación. Por ello, la jurisprudencia también explica que «[…] el proponente debe acogerse al tiempo que le otorga la administración para subsanar o aclarar la oferta, lapso que la entidad no puede extender más allá de la adjudicación […]». De esta manera, «lo ideal en un proceso de selección es que las </w:t>
      </w:r>
      <w:r w:rsidRPr="00651DC0">
        <w:rPr>
          <w:rFonts w:ascii="Arial" w:hAnsi="Arial" w:cs="Arial"/>
          <w:bCs/>
          <w:i/>
          <w:sz w:val="22"/>
          <w:szCs w:val="22"/>
          <w:lang w:eastAsia="en-US"/>
        </w:rPr>
        <w:t xml:space="preserve">aclaraciones </w:t>
      </w:r>
      <w:r w:rsidRPr="00651DC0">
        <w:rPr>
          <w:rFonts w:ascii="Arial" w:hAnsi="Arial" w:cs="Arial"/>
          <w:bCs/>
          <w:sz w:val="22"/>
          <w:szCs w:val="22"/>
          <w:lang w:eastAsia="en-US"/>
        </w:rPr>
        <w:t xml:space="preserve">y </w:t>
      </w:r>
      <w:r w:rsidRPr="00651DC0">
        <w:rPr>
          <w:rFonts w:ascii="Arial" w:hAnsi="Arial" w:cs="Arial"/>
          <w:bCs/>
          <w:i/>
          <w:sz w:val="22"/>
          <w:szCs w:val="22"/>
          <w:lang w:eastAsia="en-US"/>
        </w:rPr>
        <w:t xml:space="preserve">explicaciones </w:t>
      </w:r>
      <w:r w:rsidRPr="00651DC0">
        <w:rPr>
          <w:rFonts w:ascii="Arial" w:hAnsi="Arial" w:cs="Arial"/>
          <w:bCs/>
          <w:sz w:val="22"/>
          <w:szCs w:val="22"/>
          <w:lang w:eastAsia="en-US"/>
        </w:rPr>
        <w:t xml:space="preserve">se anticipen y soliciten durante la etapa de </w:t>
      </w:r>
      <w:r w:rsidRPr="00651DC0">
        <w:rPr>
          <w:rFonts w:ascii="Arial" w:hAnsi="Arial" w:cs="Arial"/>
          <w:bCs/>
          <w:i/>
          <w:sz w:val="22"/>
          <w:szCs w:val="22"/>
          <w:lang w:eastAsia="en-US"/>
        </w:rPr>
        <w:t>evaluación</w:t>
      </w:r>
      <w:r w:rsidRPr="00651DC0">
        <w:rPr>
          <w:rFonts w:ascii="Arial" w:hAnsi="Arial" w:cs="Arial"/>
          <w:bCs/>
          <w:sz w:val="22"/>
          <w:szCs w:val="22"/>
          <w:lang w:eastAsia="en-US"/>
        </w:rPr>
        <w:t>, lo más pronto posible, es decir, antes de que la entidad elabore el informe respectivo, de tal manera que las tenga en cuenta para producir ese acto administrativo».</w:t>
      </w:r>
    </w:p>
    <w:p w14:paraId="13AD5F8E" w14:textId="77777777" w:rsidR="009326E7" w:rsidRPr="00F536D4" w:rsidRDefault="009326E7" w:rsidP="002C51EB">
      <w:pPr>
        <w:spacing w:after="0"/>
        <w:rPr>
          <w:rFonts w:ascii="Arial" w:hAnsi="Arial" w:cs="Arial"/>
          <w:bCs/>
          <w:sz w:val="20"/>
          <w:szCs w:val="20"/>
          <w:lang w:eastAsia="en-US"/>
        </w:rPr>
      </w:pPr>
    </w:p>
    <w:p w14:paraId="00A1547E" w14:textId="2A478E8D" w:rsidR="009326E7" w:rsidRDefault="009326E7" w:rsidP="002C51EB">
      <w:pPr>
        <w:spacing w:after="0"/>
        <w:rPr>
          <w:rFonts w:ascii="Arial" w:eastAsia="Arial" w:hAnsi="Arial" w:cs="Arial"/>
          <w:color w:val="000000"/>
          <w:sz w:val="22"/>
          <w:szCs w:val="22"/>
        </w:rPr>
      </w:pPr>
    </w:p>
    <w:p w14:paraId="16348035" w14:textId="77272194" w:rsidR="009D0460" w:rsidRDefault="009D0460" w:rsidP="002C51EB">
      <w:pPr>
        <w:spacing w:after="0"/>
        <w:rPr>
          <w:rFonts w:ascii="Arial" w:eastAsia="Arial" w:hAnsi="Arial" w:cs="Arial"/>
          <w:color w:val="000000"/>
          <w:sz w:val="22"/>
          <w:szCs w:val="22"/>
        </w:rPr>
      </w:pPr>
    </w:p>
    <w:p w14:paraId="3340310A" w14:textId="40A6134A" w:rsidR="009D0460" w:rsidRDefault="009D0460" w:rsidP="002C51EB">
      <w:pPr>
        <w:spacing w:after="0"/>
        <w:rPr>
          <w:rFonts w:ascii="Arial" w:eastAsia="Arial" w:hAnsi="Arial" w:cs="Arial"/>
          <w:color w:val="000000"/>
          <w:sz w:val="22"/>
          <w:szCs w:val="22"/>
        </w:rPr>
      </w:pPr>
    </w:p>
    <w:p w14:paraId="3E3EE2BD" w14:textId="0D8D32DF" w:rsidR="009D0460" w:rsidRDefault="009D0460" w:rsidP="002C51EB">
      <w:pPr>
        <w:spacing w:after="0"/>
        <w:rPr>
          <w:rFonts w:ascii="Arial" w:eastAsia="Arial" w:hAnsi="Arial" w:cs="Arial"/>
          <w:color w:val="000000"/>
          <w:sz w:val="22"/>
          <w:szCs w:val="22"/>
        </w:rPr>
      </w:pPr>
    </w:p>
    <w:p w14:paraId="7CE5500D" w14:textId="043D0806" w:rsidR="009D0460" w:rsidRDefault="009D0460" w:rsidP="002C51EB">
      <w:pPr>
        <w:spacing w:after="0"/>
        <w:rPr>
          <w:rFonts w:ascii="Arial" w:eastAsia="Arial" w:hAnsi="Arial" w:cs="Arial"/>
          <w:color w:val="000000"/>
          <w:sz w:val="22"/>
          <w:szCs w:val="22"/>
        </w:rPr>
      </w:pPr>
    </w:p>
    <w:p w14:paraId="3469870D" w14:textId="4F6ED264" w:rsidR="009D0460" w:rsidRDefault="009D0460" w:rsidP="002C51EB">
      <w:pPr>
        <w:spacing w:after="0"/>
        <w:rPr>
          <w:rFonts w:ascii="Arial" w:eastAsia="Arial" w:hAnsi="Arial" w:cs="Arial"/>
          <w:color w:val="000000"/>
          <w:sz w:val="22"/>
          <w:szCs w:val="22"/>
        </w:rPr>
      </w:pPr>
    </w:p>
    <w:p w14:paraId="698A29E8" w14:textId="7476927A" w:rsidR="009D0460" w:rsidRDefault="009D0460" w:rsidP="002C51EB">
      <w:pPr>
        <w:spacing w:after="0"/>
        <w:rPr>
          <w:rFonts w:ascii="Arial" w:eastAsia="Arial" w:hAnsi="Arial" w:cs="Arial"/>
          <w:color w:val="000000"/>
          <w:sz w:val="22"/>
          <w:szCs w:val="22"/>
        </w:rPr>
      </w:pPr>
    </w:p>
    <w:p w14:paraId="03DE536D" w14:textId="03332EE1" w:rsidR="009D0460" w:rsidRDefault="009D0460" w:rsidP="002C51EB">
      <w:pPr>
        <w:spacing w:after="0"/>
        <w:rPr>
          <w:rFonts w:ascii="Arial" w:eastAsia="Arial" w:hAnsi="Arial" w:cs="Arial"/>
          <w:color w:val="000000"/>
          <w:sz w:val="22"/>
          <w:szCs w:val="22"/>
        </w:rPr>
      </w:pPr>
    </w:p>
    <w:p w14:paraId="5D9A1CA4" w14:textId="1EBC02B7" w:rsidR="009D0460" w:rsidRDefault="009D0460" w:rsidP="002C51EB">
      <w:pPr>
        <w:spacing w:after="0"/>
        <w:rPr>
          <w:rFonts w:ascii="Arial" w:eastAsia="Arial" w:hAnsi="Arial" w:cs="Arial"/>
          <w:color w:val="000000"/>
          <w:sz w:val="22"/>
          <w:szCs w:val="22"/>
        </w:rPr>
      </w:pPr>
    </w:p>
    <w:p w14:paraId="2DC0D8C2" w14:textId="5A485FBE" w:rsidR="00D03C25" w:rsidRDefault="00D03C25" w:rsidP="002C51EB">
      <w:pPr>
        <w:spacing w:after="0"/>
        <w:rPr>
          <w:rFonts w:ascii="Arial" w:eastAsia="Arial" w:hAnsi="Arial" w:cs="Arial"/>
          <w:color w:val="000000"/>
          <w:sz w:val="22"/>
          <w:szCs w:val="22"/>
        </w:rPr>
      </w:pPr>
    </w:p>
    <w:p w14:paraId="258DF0FD" w14:textId="5162E224" w:rsidR="00D03C25" w:rsidRDefault="00D03C25" w:rsidP="002C51EB">
      <w:pPr>
        <w:spacing w:after="0"/>
        <w:rPr>
          <w:rFonts w:ascii="Arial" w:eastAsia="Arial" w:hAnsi="Arial" w:cs="Arial"/>
          <w:color w:val="000000"/>
          <w:sz w:val="22"/>
          <w:szCs w:val="22"/>
        </w:rPr>
      </w:pPr>
    </w:p>
    <w:p w14:paraId="598A5CD0" w14:textId="2C177A52" w:rsidR="00D03C25" w:rsidRDefault="00D03C25" w:rsidP="002C51EB">
      <w:pPr>
        <w:spacing w:after="0"/>
        <w:rPr>
          <w:rFonts w:ascii="Arial" w:eastAsia="Arial" w:hAnsi="Arial" w:cs="Arial"/>
          <w:color w:val="000000"/>
          <w:sz w:val="22"/>
          <w:szCs w:val="22"/>
        </w:rPr>
      </w:pPr>
    </w:p>
    <w:p w14:paraId="1BBC5EB4" w14:textId="2489DABC" w:rsidR="00D03C25" w:rsidRDefault="00D03C25" w:rsidP="002C51EB">
      <w:pPr>
        <w:spacing w:after="0"/>
        <w:rPr>
          <w:rFonts w:ascii="Arial" w:eastAsia="Arial" w:hAnsi="Arial" w:cs="Arial"/>
          <w:color w:val="000000"/>
          <w:sz w:val="22"/>
          <w:szCs w:val="22"/>
        </w:rPr>
      </w:pPr>
    </w:p>
    <w:p w14:paraId="579932BD" w14:textId="2B3C71B3" w:rsidR="00D03C25" w:rsidRDefault="00D03C25" w:rsidP="002C51EB">
      <w:pPr>
        <w:spacing w:after="0"/>
        <w:rPr>
          <w:rFonts w:ascii="Arial" w:eastAsia="Arial" w:hAnsi="Arial" w:cs="Arial"/>
          <w:color w:val="000000"/>
          <w:sz w:val="22"/>
          <w:szCs w:val="22"/>
        </w:rPr>
      </w:pPr>
    </w:p>
    <w:p w14:paraId="48E2AF3A" w14:textId="3B691DAF" w:rsidR="00D03C25" w:rsidRDefault="00D03C25" w:rsidP="002C51EB">
      <w:pPr>
        <w:spacing w:after="0"/>
        <w:rPr>
          <w:rFonts w:ascii="Arial" w:eastAsia="Arial" w:hAnsi="Arial" w:cs="Arial"/>
          <w:color w:val="000000"/>
          <w:sz w:val="22"/>
          <w:szCs w:val="22"/>
        </w:rPr>
      </w:pPr>
    </w:p>
    <w:p w14:paraId="4AA4A5B4" w14:textId="2975D025" w:rsidR="00D03C25" w:rsidRDefault="00D03C25" w:rsidP="002C51EB">
      <w:pPr>
        <w:spacing w:after="0"/>
        <w:rPr>
          <w:rFonts w:ascii="Arial" w:eastAsia="Arial" w:hAnsi="Arial" w:cs="Arial"/>
          <w:color w:val="000000"/>
          <w:sz w:val="22"/>
          <w:szCs w:val="22"/>
        </w:rPr>
      </w:pPr>
    </w:p>
    <w:p w14:paraId="27BEE88B" w14:textId="61EBF2D0" w:rsidR="00D03C25" w:rsidRDefault="00D03C25" w:rsidP="002C51EB">
      <w:pPr>
        <w:spacing w:after="0"/>
        <w:rPr>
          <w:rFonts w:ascii="Arial" w:eastAsia="Arial" w:hAnsi="Arial" w:cs="Arial"/>
          <w:color w:val="000000"/>
          <w:sz w:val="22"/>
          <w:szCs w:val="22"/>
        </w:rPr>
      </w:pPr>
    </w:p>
    <w:p w14:paraId="33CEF8FE" w14:textId="2633038A" w:rsidR="00D03C25" w:rsidRDefault="00D03C25" w:rsidP="002C51EB">
      <w:pPr>
        <w:spacing w:after="0"/>
        <w:rPr>
          <w:rFonts w:ascii="Arial" w:eastAsia="Arial" w:hAnsi="Arial" w:cs="Arial"/>
          <w:color w:val="000000"/>
          <w:sz w:val="22"/>
          <w:szCs w:val="22"/>
        </w:rPr>
      </w:pPr>
    </w:p>
    <w:p w14:paraId="0E1B81C1" w14:textId="504D7A91" w:rsidR="00D03C25" w:rsidRDefault="00D03C25" w:rsidP="002C51EB">
      <w:pPr>
        <w:spacing w:after="0"/>
        <w:rPr>
          <w:rFonts w:ascii="Arial" w:eastAsia="Arial" w:hAnsi="Arial" w:cs="Arial"/>
          <w:color w:val="000000"/>
          <w:sz w:val="22"/>
          <w:szCs w:val="22"/>
        </w:rPr>
      </w:pPr>
    </w:p>
    <w:p w14:paraId="4763E205" w14:textId="5DE2AF62" w:rsidR="00D03C25" w:rsidRDefault="00D03C25" w:rsidP="002C51EB">
      <w:pPr>
        <w:spacing w:after="0"/>
        <w:rPr>
          <w:rFonts w:ascii="Arial" w:eastAsia="Arial" w:hAnsi="Arial" w:cs="Arial"/>
          <w:color w:val="000000"/>
          <w:sz w:val="22"/>
          <w:szCs w:val="22"/>
        </w:rPr>
      </w:pPr>
    </w:p>
    <w:p w14:paraId="5C6F2D13" w14:textId="30211003" w:rsidR="00D03C25" w:rsidRDefault="00D03C25" w:rsidP="002C51EB">
      <w:pPr>
        <w:spacing w:after="0"/>
        <w:rPr>
          <w:rFonts w:ascii="Arial" w:eastAsia="Arial" w:hAnsi="Arial" w:cs="Arial"/>
          <w:color w:val="000000"/>
          <w:sz w:val="22"/>
          <w:szCs w:val="22"/>
        </w:rPr>
      </w:pPr>
    </w:p>
    <w:p w14:paraId="7F702252" w14:textId="0BE19ED3" w:rsidR="00D03C25" w:rsidRDefault="00D03C25" w:rsidP="002C51EB">
      <w:pPr>
        <w:spacing w:after="0"/>
        <w:rPr>
          <w:rFonts w:ascii="Arial" w:eastAsia="Arial" w:hAnsi="Arial" w:cs="Arial"/>
          <w:color w:val="000000"/>
          <w:sz w:val="22"/>
          <w:szCs w:val="22"/>
        </w:rPr>
      </w:pPr>
    </w:p>
    <w:p w14:paraId="6996C204" w14:textId="579E0A97" w:rsidR="00D03C25" w:rsidRDefault="00D03C25" w:rsidP="002C51EB">
      <w:pPr>
        <w:spacing w:after="0"/>
        <w:rPr>
          <w:rFonts w:ascii="Arial" w:eastAsia="Arial" w:hAnsi="Arial" w:cs="Arial"/>
          <w:color w:val="000000"/>
          <w:sz w:val="22"/>
          <w:szCs w:val="22"/>
        </w:rPr>
      </w:pPr>
    </w:p>
    <w:p w14:paraId="65091559" w14:textId="2884F703" w:rsidR="00D03C25" w:rsidRDefault="00D03C25" w:rsidP="002C51EB">
      <w:pPr>
        <w:spacing w:after="0"/>
        <w:rPr>
          <w:rFonts w:ascii="Arial" w:eastAsia="Arial" w:hAnsi="Arial" w:cs="Arial"/>
          <w:color w:val="000000"/>
          <w:sz w:val="22"/>
          <w:szCs w:val="22"/>
        </w:rPr>
      </w:pPr>
    </w:p>
    <w:p w14:paraId="1004F55A" w14:textId="77777777" w:rsidR="00D03C25" w:rsidRDefault="00D03C25" w:rsidP="002C51EB">
      <w:pPr>
        <w:spacing w:after="0"/>
        <w:rPr>
          <w:rFonts w:ascii="Arial" w:eastAsia="Arial" w:hAnsi="Arial" w:cs="Arial"/>
          <w:color w:val="000000"/>
          <w:sz w:val="22"/>
          <w:szCs w:val="22"/>
        </w:rPr>
      </w:pPr>
    </w:p>
    <w:p w14:paraId="32A017BB" w14:textId="77777777" w:rsidR="009D0460" w:rsidRDefault="009D0460" w:rsidP="002C51EB">
      <w:pPr>
        <w:spacing w:after="0"/>
        <w:rPr>
          <w:rFonts w:ascii="Arial" w:eastAsia="Arial" w:hAnsi="Arial" w:cs="Arial"/>
          <w:color w:val="000000"/>
          <w:sz w:val="22"/>
          <w:szCs w:val="22"/>
        </w:rPr>
      </w:pPr>
    </w:p>
    <w:p w14:paraId="304D6AEA" w14:textId="260A9FCD" w:rsidR="007E1CDB" w:rsidRPr="006A06F2" w:rsidRDefault="00F473C3" w:rsidP="002C51EB">
      <w:pPr>
        <w:spacing w:after="0"/>
        <w:rPr>
          <w:rFonts w:ascii="Arial" w:eastAsia="Arial" w:hAnsi="Arial" w:cs="Arial"/>
          <w:color w:val="000000"/>
          <w:sz w:val="22"/>
          <w:szCs w:val="22"/>
        </w:rPr>
      </w:pPr>
      <w:r w:rsidRPr="007E1CDB">
        <w:rPr>
          <w:rFonts w:ascii="Arial" w:eastAsia="Arial" w:hAnsi="Arial" w:cs="Arial"/>
          <w:color w:val="000000"/>
          <w:sz w:val="22"/>
          <w:szCs w:val="22"/>
        </w:rPr>
        <w:t>Bogotá</w:t>
      </w:r>
      <w:r w:rsidR="007E1CDB" w:rsidRPr="007E1CDB">
        <w:rPr>
          <w:rFonts w:ascii="Arial" w:eastAsia="Arial" w:hAnsi="Arial" w:cs="Arial"/>
          <w:color w:val="000000"/>
          <w:sz w:val="22"/>
          <w:szCs w:val="22"/>
        </w:rPr>
        <w:t xml:space="preserve"> D.C</w:t>
      </w:r>
    </w:p>
    <w:p w14:paraId="2D9D0444" w14:textId="77777777" w:rsidR="00871181" w:rsidRPr="006A06F2" w:rsidRDefault="00871181" w:rsidP="002C51EB">
      <w:pPr>
        <w:spacing w:after="0"/>
        <w:rPr>
          <w:rFonts w:ascii="Arial" w:eastAsia="Arial" w:hAnsi="Arial" w:cs="Arial"/>
          <w:color w:val="000000"/>
          <w:sz w:val="22"/>
          <w:szCs w:val="22"/>
        </w:rPr>
      </w:pPr>
    </w:p>
    <w:p w14:paraId="3CBBA6E9" w14:textId="54EA45E5" w:rsidR="00E119D0" w:rsidRDefault="00E119D0" w:rsidP="00E119D0">
      <w:pPr>
        <w:spacing w:after="0"/>
        <w:jc w:val="right"/>
        <w:rPr>
          <w:rFonts w:ascii="Arial" w:eastAsia="Arial" w:hAnsi="Arial" w:cs="Arial"/>
          <w:color w:val="000000"/>
          <w:sz w:val="22"/>
          <w:szCs w:val="22"/>
        </w:rPr>
      </w:pPr>
      <w:r w:rsidRPr="00E119D0">
        <w:rPr>
          <w:rFonts w:ascii="Arial" w:eastAsia="Arial" w:hAnsi="Arial" w:cs="Arial"/>
          <w:color w:val="000000"/>
          <w:sz w:val="22"/>
          <w:szCs w:val="22"/>
        </w:rPr>
        <w:lastRenderedPageBreak/>
        <w:drawing>
          <wp:inline distT="0" distB="0" distL="0" distR="0" wp14:anchorId="3A884266" wp14:editId="1F79495C">
            <wp:extent cx="2580640" cy="90702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8100" cy="916678"/>
                    </a:xfrm>
                    <a:prstGeom prst="rect">
                      <a:avLst/>
                    </a:prstGeom>
                  </pic:spPr>
                </pic:pic>
              </a:graphicData>
            </a:graphic>
          </wp:inline>
        </w:drawing>
      </w:r>
    </w:p>
    <w:p w14:paraId="2210D7C7" w14:textId="77777777" w:rsidR="00E119D0" w:rsidRDefault="00E119D0" w:rsidP="002C51EB">
      <w:pPr>
        <w:spacing w:after="0"/>
        <w:rPr>
          <w:rFonts w:ascii="Arial" w:eastAsia="Arial" w:hAnsi="Arial" w:cs="Arial"/>
          <w:color w:val="000000"/>
          <w:sz w:val="22"/>
          <w:szCs w:val="22"/>
        </w:rPr>
      </w:pPr>
    </w:p>
    <w:p w14:paraId="62C6DAC9" w14:textId="77777777" w:rsidR="00E119D0" w:rsidRDefault="00E119D0" w:rsidP="002C51EB">
      <w:pPr>
        <w:spacing w:after="0"/>
        <w:rPr>
          <w:rFonts w:ascii="Arial" w:eastAsia="Arial" w:hAnsi="Arial" w:cs="Arial"/>
          <w:color w:val="000000"/>
          <w:sz w:val="22"/>
          <w:szCs w:val="22"/>
        </w:rPr>
      </w:pPr>
    </w:p>
    <w:p w14:paraId="7BB970E7" w14:textId="7B32B140" w:rsidR="00871181" w:rsidRPr="006A06F2" w:rsidRDefault="003E3EF7" w:rsidP="002C51EB">
      <w:pPr>
        <w:spacing w:after="0"/>
        <w:rPr>
          <w:rFonts w:ascii="Arial" w:eastAsia="Arial" w:hAnsi="Arial" w:cs="Arial"/>
          <w:color w:val="000000"/>
          <w:sz w:val="22"/>
          <w:szCs w:val="22"/>
        </w:rPr>
      </w:pPr>
      <w:r w:rsidRPr="006A06F2">
        <w:rPr>
          <w:rFonts w:ascii="Arial" w:eastAsia="Arial" w:hAnsi="Arial" w:cs="Arial"/>
          <w:color w:val="000000"/>
          <w:sz w:val="22"/>
          <w:szCs w:val="22"/>
        </w:rPr>
        <w:t>Señor</w:t>
      </w:r>
    </w:p>
    <w:p w14:paraId="05E69AC4" w14:textId="52C42F80" w:rsidR="00550A2F" w:rsidRDefault="005457EE" w:rsidP="002C51EB">
      <w:pPr>
        <w:spacing w:after="0"/>
        <w:rPr>
          <w:rFonts w:ascii="Arial" w:eastAsia="Arial" w:hAnsi="Arial" w:cs="Arial"/>
          <w:b/>
          <w:color w:val="000000"/>
          <w:sz w:val="22"/>
          <w:szCs w:val="22"/>
        </w:rPr>
      </w:pPr>
      <w:r>
        <w:rPr>
          <w:rFonts w:ascii="Arial" w:eastAsia="Arial" w:hAnsi="Arial" w:cs="Arial"/>
          <w:b/>
          <w:color w:val="000000"/>
          <w:sz w:val="22"/>
          <w:szCs w:val="22"/>
        </w:rPr>
        <w:t>Miguel Cruz Ramírez</w:t>
      </w:r>
    </w:p>
    <w:p w14:paraId="23F9476A" w14:textId="7E1BA71A" w:rsidR="00871181" w:rsidRPr="006A06F2" w:rsidRDefault="003E3EF7" w:rsidP="002C51EB">
      <w:pPr>
        <w:spacing w:after="0"/>
        <w:rPr>
          <w:rFonts w:ascii="Arial" w:eastAsia="Arial" w:hAnsi="Arial" w:cs="Arial"/>
          <w:color w:val="000000"/>
          <w:sz w:val="22"/>
          <w:szCs w:val="22"/>
        </w:rPr>
      </w:pPr>
      <w:r w:rsidRPr="006A06F2">
        <w:rPr>
          <w:rFonts w:ascii="Arial" w:eastAsia="Arial" w:hAnsi="Arial" w:cs="Arial"/>
          <w:color w:val="000000"/>
          <w:sz w:val="22"/>
          <w:szCs w:val="22"/>
        </w:rPr>
        <w:t>Bogotá D.C.</w:t>
      </w:r>
    </w:p>
    <w:p w14:paraId="2D356E06" w14:textId="77777777" w:rsidR="00871181" w:rsidRPr="006A06F2" w:rsidRDefault="00871181" w:rsidP="002C51EB">
      <w:pPr>
        <w:spacing w:after="0"/>
        <w:rPr>
          <w:rFonts w:ascii="Arial" w:eastAsia="Arial" w:hAnsi="Arial" w:cs="Arial"/>
          <w:color w:val="000000"/>
          <w:sz w:val="22"/>
          <w:szCs w:val="22"/>
        </w:rPr>
      </w:pPr>
    </w:p>
    <w:p w14:paraId="75CA9EB7" w14:textId="49F0E093" w:rsidR="00871181" w:rsidRPr="0072596A" w:rsidRDefault="00493600" w:rsidP="002C51EB">
      <w:pPr>
        <w:spacing w:after="0"/>
        <w:jc w:val="center"/>
        <w:rPr>
          <w:rFonts w:ascii="Arial" w:eastAsia="Arial" w:hAnsi="Arial" w:cs="Arial"/>
          <w:color w:val="000000"/>
          <w:sz w:val="20"/>
          <w:szCs w:val="20"/>
        </w:rPr>
      </w:pPr>
      <w:r w:rsidRPr="0072596A">
        <w:rPr>
          <w:rFonts w:ascii="Arial" w:hAnsi="Arial" w:cs="Arial"/>
          <w:b/>
          <w:sz w:val="22"/>
          <w:szCs w:val="22"/>
        </w:rPr>
        <w:t xml:space="preserve">Concepto C – </w:t>
      </w:r>
      <w:r>
        <w:rPr>
          <w:rFonts w:ascii="Arial" w:hAnsi="Arial" w:cs="Arial"/>
          <w:b/>
          <w:sz w:val="22"/>
          <w:szCs w:val="22"/>
        </w:rPr>
        <w:t>4</w:t>
      </w:r>
      <w:r w:rsidR="005457EE">
        <w:rPr>
          <w:rFonts w:ascii="Arial" w:hAnsi="Arial" w:cs="Arial"/>
          <w:b/>
          <w:sz w:val="22"/>
          <w:szCs w:val="22"/>
        </w:rPr>
        <w:t>70</w:t>
      </w:r>
      <w:r w:rsidRPr="0072596A">
        <w:rPr>
          <w:rFonts w:ascii="Arial" w:hAnsi="Arial" w:cs="Arial"/>
          <w:b/>
          <w:sz w:val="22"/>
          <w:szCs w:val="22"/>
        </w:rPr>
        <w:t xml:space="preserve"> de 2022</w:t>
      </w:r>
    </w:p>
    <w:p w14:paraId="7937B7B5" w14:textId="1FB9A37F" w:rsidR="00871181" w:rsidRPr="006A06F2" w:rsidRDefault="003E3EF7" w:rsidP="002C51EB">
      <w:pPr>
        <w:spacing w:after="0"/>
        <w:rPr>
          <w:rFonts w:ascii="Arial" w:eastAsia="Arial" w:hAnsi="Arial" w:cs="Arial"/>
          <w:color w:val="000000"/>
          <w:sz w:val="22"/>
          <w:szCs w:val="22"/>
        </w:rPr>
      </w:pPr>
      <w:r w:rsidRPr="006A06F2">
        <w:rPr>
          <w:rFonts w:ascii="Arial" w:eastAsia="Arial" w:hAnsi="Arial" w:cs="Arial"/>
          <w:color w:val="000000"/>
          <w:sz w:val="22"/>
          <w:szCs w:val="22"/>
        </w:rPr>
        <w:t xml:space="preserve">                                            </w:t>
      </w:r>
    </w:p>
    <w:tbl>
      <w:tblPr>
        <w:tblStyle w:val="2"/>
        <w:tblW w:w="8926" w:type="dxa"/>
        <w:tblInd w:w="0" w:type="dxa"/>
        <w:tblLayout w:type="fixed"/>
        <w:tblLook w:val="0400" w:firstRow="0" w:lastRow="0" w:firstColumn="0" w:lastColumn="0" w:noHBand="0" w:noVBand="1"/>
      </w:tblPr>
      <w:tblGrid>
        <w:gridCol w:w="2689"/>
        <w:gridCol w:w="6237"/>
      </w:tblGrid>
      <w:tr w:rsidR="00871181" w:rsidRPr="004528B4" w14:paraId="003B8DE2" w14:textId="77777777" w:rsidTr="00786EAE">
        <w:trPr>
          <w:trHeight w:val="1038"/>
        </w:trPr>
        <w:tc>
          <w:tcPr>
            <w:tcW w:w="2689" w:type="dxa"/>
          </w:tcPr>
          <w:p w14:paraId="41C32295" w14:textId="293862CF" w:rsidR="00871181" w:rsidRPr="00A1537E" w:rsidRDefault="003E3EF7" w:rsidP="00D03C25">
            <w:pPr>
              <w:spacing w:before="0" w:line="276" w:lineRule="auto"/>
              <w:jc w:val="both"/>
              <w:rPr>
                <w:rFonts w:ascii="Arial" w:eastAsia="Arial" w:hAnsi="Arial" w:cs="Arial"/>
                <w:color w:val="000000"/>
              </w:rPr>
            </w:pPr>
            <w:r w:rsidRPr="00A1537E">
              <w:rPr>
                <w:rFonts w:ascii="Arial" w:eastAsia="Arial" w:hAnsi="Arial" w:cs="Arial"/>
                <w:color w:val="000000"/>
              </w:rPr>
              <w:t>Temas:</w:t>
            </w:r>
          </w:p>
        </w:tc>
        <w:tc>
          <w:tcPr>
            <w:tcW w:w="6237" w:type="dxa"/>
          </w:tcPr>
          <w:p w14:paraId="13B4A0F7" w14:textId="695ED0CD" w:rsidR="00D03C25" w:rsidRPr="00D03C25" w:rsidRDefault="00D03C25" w:rsidP="00D03C25">
            <w:pPr>
              <w:jc w:val="both"/>
              <w:rPr>
                <w:rFonts w:ascii="Arial" w:hAnsi="Arial" w:cs="Arial"/>
                <w:bCs/>
                <w:sz w:val="22"/>
                <w:szCs w:val="22"/>
                <w:lang w:eastAsia="en-US"/>
              </w:rPr>
            </w:pPr>
            <w:r w:rsidRPr="00D03C25">
              <w:rPr>
                <w:rFonts w:ascii="Arial" w:hAnsi="Arial" w:cs="Arial"/>
                <w:bCs/>
                <w:sz w:val="22"/>
                <w:szCs w:val="22"/>
                <w:lang w:val="es-ES_tradnl" w:eastAsia="en-US"/>
              </w:rPr>
              <w:t xml:space="preserve">PRINCIPIO DE SELECCIÓN OBJETIVA – Noción – Normativa – Requisitos habilitantes – Requisitos ponderables / </w:t>
            </w:r>
            <w:r w:rsidRPr="00D03C25">
              <w:rPr>
                <w:rFonts w:ascii="Arial" w:hAnsi="Arial" w:cs="Arial"/>
                <w:bCs/>
                <w:sz w:val="22"/>
                <w:szCs w:val="22"/>
                <w:lang w:eastAsia="en-US"/>
              </w:rPr>
              <w:t xml:space="preserve">REQUISITOS PONDERABLES – Asignación de puntaje / DEBER DE SELECCIÓN OBJETIVA / SUBSANABILIDAD – Alcance – procedencia / ACLARACIÓN DE OFERTAS – Concepto – Alcance / SUBSANABILIDAD Y ACLARACIÓN DE OFERTAS – Diferencias </w:t>
            </w:r>
          </w:p>
          <w:p w14:paraId="70D39657" w14:textId="5CFDE7DB" w:rsidR="00A1537E" w:rsidRPr="00D03C25" w:rsidRDefault="00A1537E" w:rsidP="00D03C25">
            <w:pPr>
              <w:spacing w:before="0"/>
              <w:jc w:val="both"/>
              <w:rPr>
                <w:rFonts w:ascii="Arial" w:eastAsia="Arial" w:hAnsi="Arial" w:cs="Arial"/>
                <w:bCs/>
                <w:color w:val="000000"/>
                <w:lang w:val="es-ES_tradnl"/>
              </w:rPr>
            </w:pPr>
          </w:p>
        </w:tc>
      </w:tr>
      <w:tr w:rsidR="00871181" w:rsidRPr="006A06F2" w14:paraId="08330973" w14:textId="77777777" w:rsidTr="00786EAE">
        <w:tc>
          <w:tcPr>
            <w:tcW w:w="2689" w:type="dxa"/>
          </w:tcPr>
          <w:p w14:paraId="07BEB766" w14:textId="03EBB08E" w:rsidR="00871181" w:rsidRPr="006A06F2" w:rsidRDefault="00871181" w:rsidP="002C51EB">
            <w:pPr>
              <w:spacing w:before="0" w:line="276" w:lineRule="auto"/>
              <w:rPr>
                <w:rFonts w:ascii="Arial" w:eastAsia="Arial" w:hAnsi="Arial" w:cs="Arial"/>
                <w:b/>
                <w:color w:val="000000"/>
                <w:sz w:val="22"/>
                <w:szCs w:val="22"/>
              </w:rPr>
            </w:pPr>
          </w:p>
        </w:tc>
        <w:tc>
          <w:tcPr>
            <w:tcW w:w="6237" w:type="dxa"/>
          </w:tcPr>
          <w:p w14:paraId="3A8E828C" w14:textId="1F66672F" w:rsidR="00871181" w:rsidRPr="00A43805" w:rsidRDefault="003E3EF7" w:rsidP="002C51EB">
            <w:pPr>
              <w:spacing w:before="0" w:line="276" w:lineRule="auto"/>
              <w:jc w:val="both"/>
              <w:rPr>
                <w:rFonts w:ascii="Arial" w:eastAsia="Arial" w:hAnsi="Arial" w:cs="Arial"/>
                <w:color w:val="000000"/>
                <w:sz w:val="22"/>
                <w:szCs w:val="22"/>
                <w:highlight w:val="yellow"/>
              </w:rPr>
            </w:pPr>
            <w:r w:rsidRPr="00561AEA">
              <w:rPr>
                <w:rFonts w:ascii="Arial" w:eastAsia="Arial" w:hAnsi="Arial" w:cs="Arial"/>
                <w:color w:val="000000"/>
                <w:sz w:val="22"/>
                <w:szCs w:val="22"/>
              </w:rPr>
              <w:t>Respuesta a consulta</w:t>
            </w:r>
            <w:r w:rsidR="0079024C" w:rsidRPr="00561AEA">
              <w:rPr>
                <w:rFonts w:ascii="Arial" w:eastAsia="Arial" w:hAnsi="Arial" w:cs="Arial"/>
                <w:color w:val="000000"/>
                <w:sz w:val="22"/>
                <w:szCs w:val="22"/>
              </w:rPr>
              <w:t xml:space="preserve"> </w:t>
            </w:r>
            <w:r w:rsidR="00550A2F" w:rsidRPr="00550A2F">
              <w:rPr>
                <w:rFonts w:ascii="Arial" w:eastAsia="Arial" w:hAnsi="Arial" w:cs="Arial"/>
                <w:color w:val="000000"/>
                <w:sz w:val="22"/>
                <w:szCs w:val="22"/>
              </w:rPr>
              <w:t>P20220</w:t>
            </w:r>
            <w:r w:rsidR="005457EE">
              <w:rPr>
                <w:rFonts w:ascii="Arial" w:eastAsia="Arial" w:hAnsi="Arial" w:cs="Arial"/>
                <w:color w:val="000000"/>
                <w:sz w:val="22"/>
                <w:szCs w:val="22"/>
              </w:rPr>
              <w:t>607005613</w:t>
            </w:r>
          </w:p>
        </w:tc>
      </w:tr>
      <w:tr w:rsidR="005F5037" w:rsidRPr="006A06F2" w14:paraId="17112314" w14:textId="77777777" w:rsidTr="00786EAE">
        <w:tc>
          <w:tcPr>
            <w:tcW w:w="2689" w:type="dxa"/>
          </w:tcPr>
          <w:p w14:paraId="5E052501" w14:textId="77777777" w:rsidR="005F5037" w:rsidRPr="006A06F2" w:rsidRDefault="005F5037" w:rsidP="002C51EB">
            <w:pPr>
              <w:spacing w:before="0" w:line="276" w:lineRule="auto"/>
              <w:rPr>
                <w:rFonts w:ascii="Arial" w:eastAsia="Arial" w:hAnsi="Arial" w:cs="Arial"/>
                <w:b/>
                <w:color w:val="000000"/>
                <w:sz w:val="22"/>
                <w:szCs w:val="22"/>
              </w:rPr>
            </w:pPr>
          </w:p>
        </w:tc>
        <w:tc>
          <w:tcPr>
            <w:tcW w:w="6237" w:type="dxa"/>
          </w:tcPr>
          <w:p w14:paraId="06697744" w14:textId="77777777" w:rsidR="005F5037" w:rsidRPr="00561AEA" w:rsidRDefault="005F5037" w:rsidP="002C51EB">
            <w:pPr>
              <w:spacing w:before="0" w:line="276" w:lineRule="auto"/>
              <w:rPr>
                <w:rFonts w:ascii="Arial" w:eastAsia="Arial" w:hAnsi="Arial" w:cs="Arial"/>
                <w:color w:val="000000"/>
                <w:sz w:val="22"/>
                <w:szCs w:val="22"/>
              </w:rPr>
            </w:pPr>
          </w:p>
        </w:tc>
      </w:tr>
    </w:tbl>
    <w:p w14:paraId="28FE27BE" w14:textId="77777777" w:rsidR="00871181" w:rsidRPr="006A06F2" w:rsidRDefault="00871181" w:rsidP="002C51EB">
      <w:pPr>
        <w:spacing w:after="0"/>
        <w:rPr>
          <w:color w:val="000000"/>
          <w:sz w:val="22"/>
          <w:szCs w:val="22"/>
        </w:rPr>
      </w:pPr>
    </w:p>
    <w:p w14:paraId="394768E2" w14:textId="3EC9D513" w:rsidR="00871181" w:rsidRDefault="00871181" w:rsidP="002C51EB">
      <w:pPr>
        <w:spacing w:after="0"/>
        <w:rPr>
          <w:rFonts w:ascii="Arial" w:eastAsia="Arial" w:hAnsi="Arial" w:cs="Arial"/>
          <w:color w:val="000000"/>
          <w:sz w:val="22"/>
          <w:szCs w:val="22"/>
        </w:rPr>
      </w:pPr>
    </w:p>
    <w:p w14:paraId="038F7D2C" w14:textId="6373F696" w:rsidR="00871181" w:rsidRPr="006A06F2" w:rsidRDefault="003E3EF7" w:rsidP="002C51EB">
      <w:pPr>
        <w:spacing w:after="0"/>
        <w:rPr>
          <w:rFonts w:ascii="Arial" w:eastAsia="Arial" w:hAnsi="Arial" w:cs="Arial"/>
          <w:color w:val="000000"/>
          <w:sz w:val="22"/>
          <w:szCs w:val="22"/>
        </w:rPr>
      </w:pPr>
      <w:r w:rsidRPr="006A06F2">
        <w:rPr>
          <w:rFonts w:ascii="Arial" w:eastAsia="Arial" w:hAnsi="Arial" w:cs="Arial"/>
          <w:color w:val="000000"/>
          <w:sz w:val="22"/>
          <w:szCs w:val="22"/>
        </w:rPr>
        <w:t>Estimad</w:t>
      </w:r>
      <w:r w:rsidR="00A43805">
        <w:rPr>
          <w:rFonts w:ascii="Arial" w:eastAsia="Arial" w:hAnsi="Arial" w:cs="Arial"/>
          <w:color w:val="000000"/>
          <w:sz w:val="22"/>
          <w:szCs w:val="22"/>
        </w:rPr>
        <w:t>o</w:t>
      </w:r>
      <w:r w:rsidRPr="006A06F2">
        <w:rPr>
          <w:rFonts w:ascii="Arial" w:eastAsia="Arial" w:hAnsi="Arial" w:cs="Arial"/>
          <w:color w:val="000000"/>
          <w:sz w:val="22"/>
          <w:szCs w:val="22"/>
        </w:rPr>
        <w:t xml:space="preserve"> señor</w:t>
      </w:r>
      <w:r w:rsidR="00A43805">
        <w:rPr>
          <w:rFonts w:ascii="Arial" w:eastAsia="Arial" w:hAnsi="Arial" w:cs="Arial"/>
          <w:color w:val="000000"/>
          <w:sz w:val="22"/>
          <w:szCs w:val="22"/>
        </w:rPr>
        <w:t xml:space="preserve"> </w:t>
      </w:r>
      <w:r w:rsidR="005457EE">
        <w:rPr>
          <w:rFonts w:ascii="Arial" w:eastAsia="Arial" w:hAnsi="Arial" w:cs="Arial"/>
          <w:color w:val="000000"/>
          <w:sz w:val="22"/>
          <w:szCs w:val="22"/>
        </w:rPr>
        <w:t>Cruz</w:t>
      </w:r>
      <w:r w:rsidR="007A484C">
        <w:rPr>
          <w:rFonts w:ascii="Arial" w:eastAsia="Arial" w:hAnsi="Arial" w:cs="Arial"/>
          <w:color w:val="000000"/>
          <w:sz w:val="22"/>
          <w:szCs w:val="22"/>
        </w:rPr>
        <w:t>:</w:t>
      </w:r>
    </w:p>
    <w:p w14:paraId="32C1B702" w14:textId="77777777" w:rsidR="00871181" w:rsidRPr="006A06F2" w:rsidRDefault="00871181" w:rsidP="002C51EB">
      <w:pPr>
        <w:spacing w:after="0"/>
        <w:ind w:firstLine="709"/>
        <w:rPr>
          <w:rFonts w:ascii="Arial" w:eastAsia="Arial" w:hAnsi="Arial" w:cs="Arial"/>
          <w:color w:val="000000"/>
          <w:sz w:val="22"/>
          <w:szCs w:val="22"/>
        </w:rPr>
      </w:pPr>
    </w:p>
    <w:p w14:paraId="4C96A024" w14:textId="63F33626" w:rsidR="00871181" w:rsidRPr="006A06F2" w:rsidRDefault="003E3EF7" w:rsidP="002C51EB">
      <w:pPr>
        <w:spacing w:after="0"/>
        <w:ind w:right="51"/>
        <w:rPr>
          <w:rFonts w:ascii="Arial" w:eastAsia="Arial" w:hAnsi="Arial" w:cs="Arial"/>
          <w:color w:val="000000"/>
          <w:sz w:val="22"/>
          <w:szCs w:val="22"/>
        </w:rPr>
      </w:pPr>
      <w:r w:rsidRPr="006A06F2">
        <w:rPr>
          <w:rFonts w:ascii="Arial" w:eastAsia="Arial" w:hAnsi="Arial" w:cs="Arial"/>
          <w:color w:val="000000"/>
          <w:sz w:val="22"/>
          <w:szCs w:val="22"/>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9D0460">
        <w:rPr>
          <w:rFonts w:ascii="Arial" w:eastAsia="Arial" w:hAnsi="Arial" w:cs="Arial"/>
          <w:color w:val="000000"/>
          <w:sz w:val="22"/>
          <w:szCs w:val="22"/>
        </w:rPr>
        <w:t>7 de junio</w:t>
      </w:r>
      <w:r w:rsidR="00D970B4" w:rsidRPr="006A06F2">
        <w:rPr>
          <w:rFonts w:ascii="Arial" w:eastAsia="Arial" w:hAnsi="Arial" w:cs="Arial"/>
          <w:color w:val="000000"/>
          <w:sz w:val="22"/>
          <w:szCs w:val="22"/>
        </w:rPr>
        <w:t xml:space="preserve"> </w:t>
      </w:r>
      <w:r w:rsidRPr="006A06F2">
        <w:rPr>
          <w:rFonts w:ascii="Arial" w:eastAsia="Arial" w:hAnsi="Arial" w:cs="Arial"/>
          <w:color w:val="000000"/>
          <w:sz w:val="22"/>
          <w:szCs w:val="22"/>
        </w:rPr>
        <w:t>de 202</w:t>
      </w:r>
      <w:r w:rsidR="001D486F">
        <w:rPr>
          <w:rFonts w:ascii="Arial" w:eastAsia="Arial" w:hAnsi="Arial" w:cs="Arial"/>
          <w:color w:val="000000"/>
          <w:sz w:val="22"/>
          <w:szCs w:val="22"/>
        </w:rPr>
        <w:t>2</w:t>
      </w:r>
      <w:r w:rsidRPr="006A06F2">
        <w:rPr>
          <w:rFonts w:ascii="Arial" w:eastAsia="Arial" w:hAnsi="Arial" w:cs="Arial"/>
          <w:color w:val="000000"/>
          <w:sz w:val="22"/>
          <w:szCs w:val="22"/>
        </w:rPr>
        <w:t xml:space="preserve">. </w:t>
      </w:r>
    </w:p>
    <w:p w14:paraId="498A6BCE" w14:textId="77777777" w:rsidR="00871181" w:rsidRPr="006A06F2" w:rsidRDefault="00871181" w:rsidP="002C51EB">
      <w:pPr>
        <w:spacing w:after="0"/>
        <w:rPr>
          <w:rFonts w:ascii="Arial" w:eastAsia="Arial" w:hAnsi="Arial" w:cs="Arial"/>
          <w:color w:val="000000"/>
          <w:sz w:val="22"/>
          <w:szCs w:val="22"/>
        </w:rPr>
      </w:pPr>
    </w:p>
    <w:p w14:paraId="5E5698CC" w14:textId="77777777" w:rsidR="00871181" w:rsidRPr="006A06F2" w:rsidRDefault="003E3EF7" w:rsidP="002C51EB">
      <w:pPr>
        <w:tabs>
          <w:tab w:val="left" w:pos="284"/>
        </w:tabs>
        <w:spacing w:after="0"/>
        <w:rPr>
          <w:rFonts w:ascii="Arial" w:eastAsia="Arial" w:hAnsi="Arial" w:cs="Arial"/>
          <w:b/>
          <w:color w:val="000000"/>
          <w:sz w:val="22"/>
          <w:szCs w:val="22"/>
        </w:rPr>
      </w:pPr>
      <w:r w:rsidRPr="006A06F2">
        <w:rPr>
          <w:rFonts w:ascii="Arial" w:eastAsia="Arial" w:hAnsi="Arial" w:cs="Arial"/>
          <w:b/>
          <w:color w:val="000000"/>
          <w:sz w:val="22"/>
          <w:szCs w:val="22"/>
        </w:rPr>
        <w:t xml:space="preserve">1. Problema planteado </w:t>
      </w:r>
    </w:p>
    <w:p w14:paraId="75EEAD0C" w14:textId="77777777" w:rsidR="00AA1B5C" w:rsidRDefault="00AA1B5C" w:rsidP="002C51EB">
      <w:pPr>
        <w:pBdr>
          <w:top w:val="nil"/>
          <w:left w:val="nil"/>
          <w:bottom w:val="nil"/>
          <w:right w:val="nil"/>
          <w:between w:val="nil"/>
        </w:pBdr>
        <w:spacing w:after="0"/>
        <w:rPr>
          <w:rFonts w:ascii="Arial" w:eastAsia="Arial" w:hAnsi="Arial" w:cs="Arial"/>
          <w:color w:val="000000"/>
          <w:sz w:val="22"/>
          <w:szCs w:val="22"/>
        </w:rPr>
      </w:pPr>
      <w:bookmarkStart w:id="0" w:name="_17dp8vu" w:colFirst="0" w:colLast="0"/>
      <w:bookmarkEnd w:id="0"/>
    </w:p>
    <w:p w14:paraId="793E126C" w14:textId="3A27AA32" w:rsidR="00550A2F" w:rsidRDefault="003833EC" w:rsidP="002C51EB">
      <w:p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En la </w:t>
      </w:r>
      <w:r w:rsidR="00C40EF3">
        <w:rPr>
          <w:rFonts w:ascii="Arial" w:eastAsia="Arial" w:hAnsi="Arial" w:cs="Arial"/>
          <w:color w:val="000000"/>
          <w:sz w:val="22"/>
          <w:szCs w:val="22"/>
        </w:rPr>
        <w:t>consulta identificada de forma previa</w:t>
      </w:r>
      <w:r>
        <w:rPr>
          <w:rFonts w:ascii="Arial" w:eastAsia="Arial" w:hAnsi="Arial" w:cs="Arial"/>
          <w:color w:val="000000"/>
          <w:sz w:val="22"/>
          <w:szCs w:val="22"/>
        </w:rPr>
        <w:t xml:space="preserve"> u</w:t>
      </w:r>
      <w:r w:rsidR="003E3EF7" w:rsidRPr="006A06F2">
        <w:rPr>
          <w:rFonts w:ascii="Arial" w:eastAsia="Arial" w:hAnsi="Arial" w:cs="Arial"/>
          <w:color w:val="000000"/>
          <w:sz w:val="22"/>
          <w:szCs w:val="22"/>
        </w:rPr>
        <w:t>sted solicita a la Agencia</w:t>
      </w:r>
      <w:r w:rsidR="002C115D">
        <w:rPr>
          <w:rFonts w:ascii="Arial" w:eastAsia="Arial" w:hAnsi="Arial" w:cs="Arial"/>
          <w:color w:val="000000"/>
          <w:sz w:val="22"/>
          <w:szCs w:val="22"/>
        </w:rPr>
        <w:t xml:space="preserve"> r</w:t>
      </w:r>
      <w:r w:rsidR="00146CDB">
        <w:rPr>
          <w:rFonts w:ascii="Arial" w:eastAsia="Arial" w:hAnsi="Arial" w:cs="Arial"/>
          <w:color w:val="000000"/>
          <w:sz w:val="22"/>
          <w:szCs w:val="22"/>
        </w:rPr>
        <w:t xml:space="preserve">esolver </w:t>
      </w:r>
      <w:r w:rsidR="002C115D">
        <w:rPr>
          <w:rFonts w:ascii="Arial" w:eastAsia="Arial" w:hAnsi="Arial" w:cs="Arial"/>
          <w:color w:val="000000"/>
          <w:sz w:val="22"/>
          <w:szCs w:val="22"/>
        </w:rPr>
        <w:t>e</w:t>
      </w:r>
      <w:r w:rsidR="00146CDB">
        <w:rPr>
          <w:rFonts w:ascii="Arial" w:eastAsia="Arial" w:hAnsi="Arial" w:cs="Arial"/>
          <w:color w:val="000000"/>
          <w:sz w:val="22"/>
          <w:szCs w:val="22"/>
        </w:rPr>
        <w:t>l</w:t>
      </w:r>
      <w:r w:rsidR="002C115D">
        <w:rPr>
          <w:rFonts w:ascii="Arial" w:eastAsia="Arial" w:hAnsi="Arial" w:cs="Arial"/>
          <w:color w:val="000000"/>
          <w:sz w:val="22"/>
          <w:szCs w:val="22"/>
        </w:rPr>
        <w:t xml:space="preserve"> siguiente interrogante</w:t>
      </w:r>
      <w:r w:rsidR="00146CDB">
        <w:rPr>
          <w:rFonts w:ascii="Arial" w:eastAsia="Arial" w:hAnsi="Arial" w:cs="Arial"/>
          <w:color w:val="000000"/>
          <w:sz w:val="22"/>
          <w:szCs w:val="22"/>
        </w:rPr>
        <w:t>,</w:t>
      </w:r>
      <w:r w:rsidR="002C115D">
        <w:rPr>
          <w:rFonts w:ascii="Arial" w:eastAsia="Arial" w:hAnsi="Arial" w:cs="Arial"/>
          <w:color w:val="000000"/>
          <w:sz w:val="22"/>
          <w:szCs w:val="22"/>
        </w:rPr>
        <w:t xml:space="preserve"> referido a </w:t>
      </w:r>
      <w:r w:rsidR="005457EE">
        <w:rPr>
          <w:rFonts w:ascii="Arial" w:eastAsia="Arial" w:hAnsi="Arial" w:cs="Arial"/>
          <w:color w:val="000000"/>
          <w:sz w:val="22"/>
          <w:szCs w:val="22"/>
        </w:rPr>
        <w:t xml:space="preserve">la posibilidad de subsanar ofertas en los procesos de selección y su alcance, a la luz de los conceptos emitidos por esta Subdirección y de la jurisprudencia del </w:t>
      </w:r>
      <w:r w:rsidR="00E81325">
        <w:rPr>
          <w:rFonts w:ascii="Arial" w:eastAsia="Arial" w:hAnsi="Arial" w:cs="Arial"/>
          <w:color w:val="000000"/>
          <w:sz w:val="22"/>
          <w:szCs w:val="22"/>
        </w:rPr>
        <w:t>C</w:t>
      </w:r>
      <w:r w:rsidR="005457EE">
        <w:rPr>
          <w:rFonts w:ascii="Arial" w:eastAsia="Arial" w:hAnsi="Arial" w:cs="Arial"/>
          <w:color w:val="000000"/>
          <w:sz w:val="22"/>
          <w:szCs w:val="22"/>
        </w:rPr>
        <w:t>onsejo de Estado:</w:t>
      </w:r>
      <w:r w:rsidR="002C115D" w:rsidRPr="002C115D">
        <w:rPr>
          <w:rFonts w:ascii="Arial" w:eastAsia="Arial" w:hAnsi="Arial" w:cs="Arial"/>
          <w:color w:val="000000"/>
          <w:sz w:val="22"/>
          <w:szCs w:val="22"/>
        </w:rPr>
        <w:t xml:space="preserve"> </w:t>
      </w:r>
      <w:r w:rsidR="00063DCC">
        <w:rPr>
          <w:rFonts w:ascii="Arial" w:eastAsia="Arial" w:hAnsi="Arial" w:cs="Arial"/>
          <w:color w:val="000000"/>
          <w:sz w:val="22"/>
          <w:szCs w:val="22"/>
        </w:rPr>
        <w:t>«</w:t>
      </w:r>
      <w:r w:rsidR="002C115D" w:rsidRPr="002C115D">
        <w:rPr>
          <w:rFonts w:ascii="Arial" w:eastAsia="Arial" w:hAnsi="Arial" w:cs="Arial"/>
          <w:color w:val="000000"/>
          <w:sz w:val="22"/>
          <w:szCs w:val="22"/>
        </w:rPr>
        <w:t>¿un requisito que tiene doble connotación de habilitante y puntuable puede subsanarse?</w:t>
      </w:r>
      <w:r w:rsidR="00063DCC">
        <w:rPr>
          <w:rFonts w:ascii="Arial" w:eastAsia="Arial" w:hAnsi="Arial" w:cs="Arial"/>
          <w:color w:val="000000"/>
          <w:sz w:val="22"/>
          <w:szCs w:val="22"/>
        </w:rPr>
        <w:t>»</w:t>
      </w:r>
    </w:p>
    <w:p w14:paraId="583038C0" w14:textId="5C26B595" w:rsidR="00AF6C31" w:rsidRDefault="002C115D" w:rsidP="00786EAE">
      <w:pPr>
        <w:pBdr>
          <w:top w:val="nil"/>
          <w:left w:val="nil"/>
          <w:bottom w:val="nil"/>
          <w:right w:val="nil"/>
          <w:between w:val="nil"/>
        </w:pBdr>
        <w:spacing w:before="120" w:after="0"/>
        <w:ind w:firstLine="709"/>
        <w:rPr>
          <w:rFonts w:ascii="Arial" w:eastAsia="Arial" w:hAnsi="Arial" w:cs="Arial"/>
          <w:color w:val="000000"/>
          <w:sz w:val="22"/>
          <w:szCs w:val="22"/>
        </w:rPr>
      </w:pPr>
      <w:r>
        <w:rPr>
          <w:rFonts w:ascii="Arial" w:eastAsia="Arial" w:hAnsi="Arial" w:cs="Arial"/>
          <w:color w:val="000000"/>
          <w:sz w:val="22"/>
          <w:szCs w:val="22"/>
        </w:rPr>
        <w:t xml:space="preserve">Para contextualizar el problema jurídico planteado, en su consulta se señaló que </w:t>
      </w:r>
      <w:r w:rsidR="008A0E53">
        <w:rPr>
          <w:rFonts w:ascii="Arial" w:eastAsia="Arial" w:hAnsi="Arial" w:cs="Arial"/>
          <w:color w:val="000000"/>
          <w:sz w:val="22"/>
          <w:szCs w:val="22"/>
        </w:rPr>
        <w:t xml:space="preserve">en el Concepto C-281 del 12 de mayo del 2022 esta Agencia concluyó que </w:t>
      </w:r>
      <w:r w:rsidR="00063DCC">
        <w:rPr>
          <w:rFonts w:ascii="Arial" w:eastAsia="Arial" w:hAnsi="Arial" w:cs="Arial"/>
          <w:color w:val="000000"/>
          <w:sz w:val="22"/>
          <w:szCs w:val="22"/>
        </w:rPr>
        <w:t>«</w:t>
      </w:r>
      <w:r w:rsidR="008A0E53" w:rsidRPr="008A0E53">
        <w:rPr>
          <w:rFonts w:ascii="Arial" w:eastAsia="Arial" w:hAnsi="Arial" w:cs="Arial"/>
          <w:color w:val="000000"/>
          <w:sz w:val="22"/>
          <w:szCs w:val="22"/>
        </w:rPr>
        <w:t xml:space="preserve">si un </w:t>
      </w:r>
      <w:r w:rsidR="008A0E53" w:rsidRPr="008A0E53">
        <w:rPr>
          <w:rFonts w:ascii="Arial" w:eastAsia="Arial" w:hAnsi="Arial" w:cs="Arial"/>
          <w:color w:val="000000"/>
          <w:sz w:val="22"/>
          <w:szCs w:val="22"/>
        </w:rPr>
        <w:lastRenderedPageBreak/>
        <w:t>documento sirve para acreditar un requisito habilitante y también para demostrar algunos de los supuestos que permiten a aplicación de los factores de desempate, debe permitirse su subsanación frente al requisito habilitante, más no frente a los factores de desempate</w:t>
      </w:r>
      <w:r w:rsidR="00063DCC">
        <w:rPr>
          <w:rFonts w:ascii="Arial" w:eastAsia="Arial" w:hAnsi="Arial" w:cs="Arial"/>
          <w:color w:val="000000"/>
          <w:sz w:val="22"/>
          <w:szCs w:val="22"/>
        </w:rPr>
        <w:t>»</w:t>
      </w:r>
      <w:r w:rsidR="00762894">
        <w:rPr>
          <w:rFonts w:ascii="Arial" w:eastAsia="Arial" w:hAnsi="Arial" w:cs="Arial"/>
          <w:color w:val="000000"/>
          <w:sz w:val="22"/>
          <w:szCs w:val="22"/>
        </w:rPr>
        <w:t xml:space="preserve"> y afirmó que a esta misma conclusión se ha llegado respecto de la subsanación de requisitos previstos en los documentos tipo como el referido al puntaje por servicios nacionales.</w:t>
      </w:r>
    </w:p>
    <w:p w14:paraId="2F777885" w14:textId="4DE047F7" w:rsidR="00762894" w:rsidRDefault="00762894" w:rsidP="00786EAE">
      <w:pPr>
        <w:pBdr>
          <w:top w:val="nil"/>
          <w:left w:val="nil"/>
          <w:bottom w:val="nil"/>
          <w:right w:val="nil"/>
          <w:between w:val="nil"/>
        </w:pBdr>
        <w:spacing w:before="120" w:after="0"/>
        <w:ind w:firstLine="709"/>
        <w:rPr>
          <w:rFonts w:ascii="Arial" w:eastAsia="Arial" w:hAnsi="Arial" w:cs="Arial"/>
          <w:color w:val="000000"/>
          <w:sz w:val="22"/>
          <w:szCs w:val="22"/>
        </w:rPr>
      </w:pPr>
      <w:r>
        <w:rPr>
          <w:rFonts w:ascii="Arial" w:eastAsia="Arial" w:hAnsi="Arial" w:cs="Arial"/>
          <w:color w:val="000000"/>
          <w:sz w:val="22"/>
          <w:szCs w:val="22"/>
        </w:rPr>
        <w:t>As</w:t>
      </w:r>
      <w:r w:rsidR="000E01DD">
        <w:rPr>
          <w:rFonts w:ascii="Arial" w:eastAsia="Arial" w:hAnsi="Arial" w:cs="Arial"/>
          <w:color w:val="000000"/>
          <w:sz w:val="22"/>
          <w:szCs w:val="22"/>
        </w:rPr>
        <w:t>i</w:t>
      </w:r>
      <w:r>
        <w:rPr>
          <w:rFonts w:ascii="Arial" w:eastAsia="Arial" w:hAnsi="Arial" w:cs="Arial"/>
          <w:color w:val="000000"/>
          <w:sz w:val="22"/>
          <w:szCs w:val="22"/>
        </w:rPr>
        <w:t xml:space="preserve">mismo manifestó que, de manera contraria, el Consejo de Estado, en la sentencia del </w:t>
      </w:r>
      <w:r w:rsidR="003C2788">
        <w:rPr>
          <w:rFonts w:ascii="Arial" w:eastAsia="Arial" w:hAnsi="Arial" w:cs="Arial"/>
          <w:color w:val="000000"/>
          <w:sz w:val="22"/>
          <w:szCs w:val="22"/>
        </w:rPr>
        <w:t xml:space="preserve">28 de febrero </w:t>
      </w:r>
      <w:r>
        <w:rPr>
          <w:rFonts w:ascii="Arial" w:eastAsia="Arial" w:hAnsi="Arial" w:cs="Arial"/>
          <w:color w:val="000000"/>
          <w:sz w:val="22"/>
          <w:szCs w:val="22"/>
        </w:rPr>
        <w:t xml:space="preserve">del 2022, proferida en el expediente </w:t>
      </w:r>
      <w:r w:rsidRPr="00762894">
        <w:rPr>
          <w:rFonts w:ascii="Arial" w:eastAsia="Arial" w:hAnsi="Arial" w:cs="Arial"/>
          <w:color w:val="000000"/>
          <w:sz w:val="22"/>
          <w:szCs w:val="22"/>
        </w:rPr>
        <w:t>65134</w:t>
      </w:r>
      <w:r>
        <w:rPr>
          <w:rFonts w:ascii="Arial" w:eastAsia="Arial" w:hAnsi="Arial" w:cs="Arial"/>
          <w:color w:val="000000"/>
          <w:sz w:val="22"/>
          <w:szCs w:val="22"/>
        </w:rPr>
        <w:t xml:space="preserve"> señaló que:</w:t>
      </w:r>
      <w:r w:rsidRPr="00762894">
        <w:t xml:space="preserve"> </w:t>
      </w:r>
      <w:r w:rsidR="000E01DD" w:rsidRPr="00786EAE">
        <w:rPr>
          <w:rFonts w:ascii="Arial" w:hAnsi="Arial" w:cs="Arial"/>
          <w:sz w:val="22"/>
          <w:szCs w:val="22"/>
        </w:rPr>
        <w:t>«</w:t>
      </w:r>
      <w:r w:rsidRPr="000E01DD">
        <w:rPr>
          <w:rFonts w:ascii="Arial" w:eastAsia="Arial" w:hAnsi="Arial" w:cs="Arial"/>
          <w:color w:val="000000"/>
          <w:sz w:val="22"/>
          <w:szCs w:val="22"/>
        </w:rPr>
        <w:t xml:space="preserve">la </w:t>
      </w:r>
      <w:r w:rsidRPr="00762894">
        <w:rPr>
          <w:rFonts w:ascii="Arial" w:eastAsia="Arial" w:hAnsi="Arial" w:cs="Arial"/>
          <w:color w:val="000000"/>
          <w:sz w:val="22"/>
          <w:szCs w:val="22"/>
        </w:rPr>
        <w:t>entidad pública demandada no podía solicitar que fueran subsanados requisitos habilitantes que, según las reglas contenidas en el pliego, incidieran en la asignación de puntaje, como en efecto ocurrió con la adición de tarjetas de operación, pues en estricto sentido esta situación suponía la adición de nuevos vehículos para cubrir las rutas, lo que indudablemente modificaba los criterios para evaluar el factor calidad</w:t>
      </w:r>
      <w:r w:rsidR="000E01DD">
        <w:rPr>
          <w:rFonts w:ascii="Arial" w:eastAsia="Arial" w:hAnsi="Arial" w:cs="Arial"/>
          <w:color w:val="000000"/>
          <w:sz w:val="22"/>
          <w:szCs w:val="22"/>
        </w:rPr>
        <w:t>».</w:t>
      </w:r>
    </w:p>
    <w:p w14:paraId="117523B4" w14:textId="77777777" w:rsidR="003150EF" w:rsidRDefault="003150EF" w:rsidP="002C51EB">
      <w:pPr>
        <w:spacing w:after="0"/>
        <w:rPr>
          <w:rFonts w:ascii="Arial" w:hAnsi="Arial" w:cs="Arial"/>
          <w:b/>
          <w:bCs/>
          <w:sz w:val="22"/>
          <w:szCs w:val="22"/>
          <w:lang w:eastAsia="en-US"/>
        </w:rPr>
      </w:pPr>
    </w:p>
    <w:p w14:paraId="018E883F" w14:textId="77777777" w:rsidR="003150EF" w:rsidRPr="003150EF" w:rsidRDefault="003150EF" w:rsidP="002C51EB">
      <w:pPr>
        <w:spacing w:after="0"/>
        <w:rPr>
          <w:rFonts w:ascii="Arial" w:hAnsi="Arial" w:cs="Arial"/>
          <w:b/>
          <w:bCs/>
          <w:sz w:val="22"/>
          <w:szCs w:val="22"/>
          <w:lang w:eastAsia="en-US"/>
        </w:rPr>
      </w:pPr>
      <w:r w:rsidRPr="003150EF">
        <w:rPr>
          <w:rFonts w:ascii="Arial" w:hAnsi="Arial" w:cs="Arial"/>
          <w:b/>
          <w:bCs/>
          <w:sz w:val="22"/>
          <w:szCs w:val="22"/>
          <w:lang w:eastAsia="en-US"/>
        </w:rPr>
        <w:t>2. Consideraciones</w:t>
      </w:r>
    </w:p>
    <w:p w14:paraId="540D93EE" w14:textId="77777777" w:rsidR="003150EF" w:rsidRPr="003150EF" w:rsidRDefault="003150EF" w:rsidP="002C51EB">
      <w:pPr>
        <w:spacing w:after="0"/>
        <w:rPr>
          <w:rFonts w:ascii="Arial" w:hAnsi="Arial" w:cs="Arial"/>
          <w:b/>
          <w:bCs/>
          <w:sz w:val="22"/>
          <w:szCs w:val="22"/>
          <w:lang w:eastAsia="en-US"/>
        </w:rPr>
      </w:pPr>
    </w:p>
    <w:p w14:paraId="27F0F066" w14:textId="787DB2E8" w:rsidR="003150EF" w:rsidRPr="003150EF" w:rsidRDefault="003150EF" w:rsidP="002C51EB">
      <w:pPr>
        <w:tabs>
          <w:tab w:val="left" w:pos="426"/>
        </w:tabs>
        <w:spacing w:after="0"/>
        <w:rPr>
          <w:rFonts w:ascii="Arial" w:hAnsi="Arial" w:cs="Arial"/>
          <w:bCs/>
          <w:sz w:val="22"/>
          <w:szCs w:val="22"/>
          <w:lang w:val="es-ES_tradnl" w:eastAsia="en-US"/>
        </w:rPr>
      </w:pPr>
      <w:r w:rsidRPr="00400E27">
        <w:rPr>
          <w:rFonts w:ascii="Arial" w:hAnsi="Arial" w:cs="Arial"/>
          <w:bCs/>
          <w:sz w:val="22"/>
          <w:szCs w:val="22"/>
          <w:lang w:val="es-ES_tradnl" w:eastAsia="en-US"/>
        </w:rPr>
        <w:t>Para r</w:t>
      </w:r>
      <w:r w:rsidR="00270801" w:rsidRPr="00400E27">
        <w:rPr>
          <w:rFonts w:ascii="Arial" w:hAnsi="Arial" w:cs="Arial"/>
          <w:bCs/>
          <w:sz w:val="22"/>
          <w:szCs w:val="22"/>
          <w:lang w:val="es-ES_tradnl" w:eastAsia="en-US"/>
        </w:rPr>
        <w:t>esolver la inquietud planteada, se analizarán los siguientes</w:t>
      </w:r>
      <w:r w:rsidR="00270801">
        <w:rPr>
          <w:rFonts w:ascii="Arial" w:hAnsi="Arial" w:cs="Arial"/>
          <w:bCs/>
          <w:sz w:val="22"/>
          <w:szCs w:val="22"/>
          <w:lang w:val="es-ES_tradnl" w:eastAsia="en-US"/>
        </w:rPr>
        <w:t xml:space="preserve"> temas</w:t>
      </w:r>
      <w:r w:rsidR="00AC1666">
        <w:rPr>
          <w:rFonts w:ascii="Arial" w:hAnsi="Arial" w:cs="Arial"/>
          <w:bCs/>
          <w:sz w:val="22"/>
          <w:szCs w:val="22"/>
          <w:lang w:val="es-ES_tradnl" w:eastAsia="en-US"/>
        </w:rPr>
        <w:t>:</w:t>
      </w:r>
      <w:r w:rsidR="00270801">
        <w:rPr>
          <w:rFonts w:ascii="Arial" w:hAnsi="Arial" w:cs="Arial"/>
          <w:bCs/>
          <w:sz w:val="22"/>
          <w:szCs w:val="22"/>
          <w:lang w:val="es-ES_tradnl" w:eastAsia="en-US"/>
        </w:rPr>
        <w:t xml:space="preserve"> </w:t>
      </w:r>
      <w:r w:rsidR="00270801" w:rsidRPr="00270801">
        <w:rPr>
          <w:rFonts w:ascii="Arial" w:hAnsi="Arial" w:cs="Arial"/>
          <w:sz w:val="22"/>
          <w:szCs w:val="22"/>
          <w:lang w:val="es-ES_tradnl" w:eastAsia="en-US"/>
        </w:rPr>
        <w:t xml:space="preserve">i) el principio de selección objetiva, como fundamento de la </w:t>
      </w:r>
      <w:proofErr w:type="spellStart"/>
      <w:r w:rsidR="00270801" w:rsidRPr="00270801">
        <w:rPr>
          <w:rFonts w:ascii="Arial" w:hAnsi="Arial" w:cs="Arial"/>
          <w:sz w:val="22"/>
          <w:szCs w:val="22"/>
          <w:lang w:val="es-ES_tradnl" w:eastAsia="en-US"/>
        </w:rPr>
        <w:t>subsanabilidad</w:t>
      </w:r>
      <w:proofErr w:type="spellEnd"/>
      <w:r w:rsidR="00270801" w:rsidRPr="00270801">
        <w:rPr>
          <w:rFonts w:ascii="Arial" w:hAnsi="Arial" w:cs="Arial"/>
          <w:sz w:val="22"/>
          <w:szCs w:val="22"/>
          <w:lang w:val="es-ES_tradnl" w:eastAsia="en-US"/>
        </w:rPr>
        <w:t xml:space="preserve"> en los procedimientos de selección,</w:t>
      </w:r>
      <w:r w:rsidR="00C53C16">
        <w:rPr>
          <w:rFonts w:ascii="Arial" w:hAnsi="Arial" w:cs="Arial"/>
          <w:sz w:val="22"/>
          <w:szCs w:val="22"/>
          <w:lang w:val="es-ES_tradnl" w:eastAsia="en-US"/>
        </w:rPr>
        <w:t xml:space="preserve"> y</w:t>
      </w:r>
      <w:r w:rsidR="00270801" w:rsidRPr="00270801">
        <w:rPr>
          <w:rFonts w:ascii="Arial" w:hAnsi="Arial" w:cs="Arial"/>
          <w:sz w:val="22"/>
          <w:szCs w:val="22"/>
          <w:lang w:val="es-ES_tradnl" w:eastAsia="en-US"/>
        </w:rPr>
        <w:t xml:space="preserve"> </w:t>
      </w:r>
      <w:proofErr w:type="spellStart"/>
      <w:r w:rsidR="00270801" w:rsidRPr="00270801">
        <w:rPr>
          <w:rFonts w:ascii="Arial" w:hAnsi="Arial" w:cs="Arial"/>
          <w:sz w:val="22"/>
          <w:szCs w:val="22"/>
          <w:lang w:val="es-ES_tradnl" w:eastAsia="en-US"/>
        </w:rPr>
        <w:t>ii</w:t>
      </w:r>
      <w:proofErr w:type="spellEnd"/>
      <w:r w:rsidR="00270801" w:rsidRPr="00270801">
        <w:rPr>
          <w:rFonts w:ascii="Arial" w:hAnsi="Arial" w:cs="Arial"/>
          <w:sz w:val="22"/>
          <w:szCs w:val="22"/>
          <w:lang w:val="es-ES_tradnl" w:eastAsia="en-US"/>
        </w:rPr>
        <w:t>) la forma como opera esta regla, incluyendo la reiteración de los conceptos de esta Subdirección sobre las circunstancias</w:t>
      </w:r>
      <w:r w:rsidR="0089457D">
        <w:rPr>
          <w:rFonts w:ascii="Arial" w:hAnsi="Arial" w:cs="Arial"/>
          <w:sz w:val="22"/>
          <w:szCs w:val="22"/>
          <w:lang w:val="es-ES_tradnl" w:eastAsia="en-US"/>
        </w:rPr>
        <w:t>,</w:t>
      </w:r>
      <w:r w:rsidR="00270801" w:rsidRPr="00270801">
        <w:rPr>
          <w:rFonts w:ascii="Arial" w:hAnsi="Arial" w:cs="Arial"/>
          <w:sz w:val="22"/>
          <w:szCs w:val="22"/>
          <w:lang w:val="es-ES_tradnl" w:eastAsia="en-US"/>
        </w:rPr>
        <w:t xml:space="preserve"> los requ</w:t>
      </w:r>
      <w:r w:rsidR="0089457D">
        <w:rPr>
          <w:rFonts w:ascii="Arial" w:hAnsi="Arial" w:cs="Arial"/>
          <w:sz w:val="22"/>
          <w:szCs w:val="22"/>
          <w:lang w:val="es-ES_tradnl" w:eastAsia="en-US"/>
        </w:rPr>
        <w:t>isitos que admiten subsanación y el análisis de las tesis planteadas</w:t>
      </w:r>
      <w:r w:rsidR="00400E27">
        <w:rPr>
          <w:rFonts w:ascii="Arial" w:hAnsi="Arial" w:cs="Arial"/>
          <w:sz w:val="22"/>
          <w:szCs w:val="22"/>
          <w:lang w:val="es-ES_tradnl" w:eastAsia="en-US"/>
        </w:rPr>
        <w:t xml:space="preserve"> por el Consejo de Estado a las que se refiere la consulta.</w:t>
      </w:r>
    </w:p>
    <w:p w14:paraId="6B94121B" w14:textId="37408FBA" w:rsidR="003150EF" w:rsidRDefault="003150EF" w:rsidP="00786EAE">
      <w:pPr>
        <w:spacing w:before="120" w:after="0"/>
        <w:ind w:firstLine="709"/>
        <w:rPr>
          <w:rFonts w:ascii="Arial" w:hAnsi="Arial" w:cs="Arial"/>
          <w:bCs/>
          <w:sz w:val="22"/>
          <w:szCs w:val="22"/>
          <w:lang w:val="es-ES_tradnl" w:eastAsia="en-US"/>
        </w:rPr>
      </w:pPr>
      <w:r w:rsidRPr="003150EF">
        <w:rPr>
          <w:rFonts w:ascii="Arial" w:hAnsi="Arial" w:cs="Arial"/>
          <w:bCs/>
          <w:sz w:val="22"/>
          <w:szCs w:val="22"/>
          <w:lang w:val="es-ES_tradnl" w:eastAsia="en-US"/>
        </w:rPr>
        <w:t xml:space="preserve">La Agencia Nacional de Contratación Pública –Colombia Compra Eficiente, </w:t>
      </w:r>
      <w:r w:rsidR="0016522C">
        <w:rPr>
          <w:rFonts w:ascii="Arial" w:hAnsi="Arial" w:cs="Arial"/>
          <w:bCs/>
          <w:sz w:val="22"/>
          <w:szCs w:val="22"/>
          <w:lang w:val="es-ES_tradnl" w:eastAsia="en-US"/>
        </w:rPr>
        <w:t>en respuesta a las consulta</w:t>
      </w:r>
      <w:r w:rsidR="00156D47">
        <w:rPr>
          <w:rFonts w:ascii="Arial" w:hAnsi="Arial" w:cs="Arial"/>
          <w:bCs/>
          <w:sz w:val="22"/>
          <w:szCs w:val="22"/>
          <w:lang w:val="es-ES_tradnl" w:eastAsia="en-US"/>
        </w:rPr>
        <w:t>s</w:t>
      </w:r>
      <w:r w:rsidRPr="003150EF">
        <w:rPr>
          <w:rFonts w:ascii="Arial" w:hAnsi="Arial" w:cs="Arial"/>
          <w:sz w:val="22"/>
          <w:szCs w:val="22"/>
          <w:lang w:val="es-ES_tradnl" w:eastAsia="en-US"/>
        </w:rPr>
        <w:t xml:space="preserve"> con radicado No.</w:t>
      </w:r>
      <w:r w:rsidR="0016522C">
        <w:rPr>
          <w:rFonts w:ascii="Arial" w:hAnsi="Arial" w:cs="Arial"/>
          <w:sz w:val="22"/>
          <w:szCs w:val="22"/>
          <w:lang w:val="es-ES_tradnl" w:eastAsia="en-US"/>
        </w:rPr>
        <w:t xml:space="preserve"> </w:t>
      </w:r>
      <w:r w:rsidR="0016522C" w:rsidRPr="003150EF">
        <w:rPr>
          <w:rFonts w:ascii="Arial" w:hAnsi="Arial" w:cs="Arial"/>
          <w:sz w:val="22"/>
          <w:szCs w:val="22"/>
          <w:lang w:val="es-ES_tradnl" w:eastAsia="en-US"/>
        </w:rPr>
        <w:t>4201913000006471 del 28 de octubre de 2019</w:t>
      </w:r>
      <w:r w:rsidR="0016522C">
        <w:rPr>
          <w:rFonts w:ascii="Arial" w:hAnsi="Arial" w:cs="Arial"/>
          <w:sz w:val="22"/>
          <w:szCs w:val="22"/>
          <w:lang w:val="es-ES_tradnl" w:eastAsia="en-US"/>
        </w:rPr>
        <w:t>,</w:t>
      </w:r>
      <w:r w:rsidRPr="003150EF">
        <w:rPr>
          <w:rFonts w:ascii="Arial" w:hAnsi="Arial" w:cs="Arial"/>
          <w:sz w:val="22"/>
          <w:szCs w:val="22"/>
          <w:lang w:val="es-ES_tradnl" w:eastAsia="en-US"/>
        </w:rPr>
        <w:t xml:space="preserve"> 4201912000006711 del 12 de noviembre de 2019 y 4201912000006496 del 15 de noviembre de 2019</w:t>
      </w:r>
      <w:r w:rsidR="009C4FF5">
        <w:rPr>
          <w:rFonts w:ascii="Arial" w:hAnsi="Arial" w:cs="Arial"/>
          <w:sz w:val="22"/>
          <w:szCs w:val="22"/>
          <w:lang w:val="es-ES_tradnl" w:eastAsia="en-US"/>
        </w:rPr>
        <w:t xml:space="preserve">, </w:t>
      </w:r>
      <w:r w:rsidR="0016522C">
        <w:rPr>
          <w:rFonts w:ascii="Arial" w:hAnsi="Arial" w:cs="Arial"/>
          <w:sz w:val="22"/>
          <w:szCs w:val="22"/>
          <w:lang w:val="es-ES_tradnl" w:eastAsia="en-US"/>
        </w:rPr>
        <w:t xml:space="preserve">y en los conceptos </w:t>
      </w:r>
      <w:r w:rsidR="009C4FF5">
        <w:rPr>
          <w:rFonts w:ascii="Arial" w:hAnsi="Arial" w:cs="Arial"/>
          <w:sz w:val="22"/>
          <w:szCs w:val="22"/>
          <w:lang w:val="es-ES_tradnl" w:eastAsia="en-US"/>
        </w:rPr>
        <w:t>C-573 del 27 de agosto del 2020, C-640 del 21 de octubre del 2020, C-140 del 25 de marzo del 2021,</w:t>
      </w:r>
      <w:r w:rsidR="0027784B">
        <w:rPr>
          <w:rFonts w:ascii="Arial" w:hAnsi="Arial" w:cs="Arial"/>
          <w:sz w:val="22"/>
          <w:szCs w:val="22"/>
          <w:lang w:val="es-ES_tradnl" w:eastAsia="en-US"/>
        </w:rPr>
        <w:t xml:space="preserve"> C-166 del 2021,</w:t>
      </w:r>
      <w:r w:rsidR="009C4FF5">
        <w:rPr>
          <w:rFonts w:ascii="Arial" w:hAnsi="Arial" w:cs="Arial"/>
          <w:sz w:val="22"/>
          <w:szCs w:val="22"/>
          <w:lang w:val="es-ES_tradnl" w:eastAsia="en-US"/>
        </w:rPr>
        <w:t xml:space="preserve"> C-568 del 11 de octubre del 2021 y C-144 del 22 de marzo del 2022, </w:t>
      </w:r>
      <w:r w:rsidR="0016522C">
        <w:rPr>
          <w:rFonts w:ascii="Arial" w:hAnsi="Arial" w:cs="Arial"/>
          <w:sz w:val="22"/>
          <w:szCs w:val="22"/>
          <w:lang w:val="es-ES_tradnl" w:eastAsia="en-US"/>
        </w:rPr>
        <w:t>analizó</w:t>
      </w:r>
      <w:r w:rsidRPr="003150EF">
        <w:rPr>
          <w:rFonts w:ascii="Arial" w:hAnsi="Arial" w:cs="Arial"/>
          <w:sz w:val="22"/>
          <w:szCs w:val="22"/>
          <w:lang w:val="es-ES_tradnl" w:eastAsia="en-US"/>
        </w:rPr>
        <w:t xml:space="preserve"> el </w:t>
      </w:r>
      <w:r w:rsidR="00156D47">
        <w:rPr>
          <w:rFonts w:ascii="Arial" w:hAnsi="Arial" w:cs="Arial"/>
          <w:sz w:val="22"/>
          <w:szCs w:val="22"/>
          <w:lang w:val="es-ES_tradnl" w:eastAsia="en-US"/>
        </w:rPr>
        <w:t xml:space="preserve">régimen de </w:t>
      </w:r>
      <w:proofErr w:type="spellStart"/>
      <w:r w:rsidR="00156D47">
        <w:rPr>
          <w:rFonts w:ascii="Arial" w:hAnsi="Arial" w:cs="Arial"/>
          <w:sz w:val="22"/>
          <w:szCs w:val="22"/>
          <w:lang w:val="es-ES_tradnl" w:eastAsia="en-US"/>
        </w:rPr>
        <w:t>subsanabilidad</w:t>
      </w:r>
      <w:proofErr w:type="spellEnd"/>
      <w:r w:rsidR="00156D47">
        <w:rPr>
          <w:rFonts w:ascii="Arial" w:hAnsi="Arial" w:cs="Arial"/>
          <w:sz w:val="22"/>
          <w:szCs w:val="22"/>
          <w:lang w:val="es-ES_tradnl" w:eastAsia="en-US"/>
        </w:rPr>
        <w:t xml:space="preserve"> de las ofertas en los procedimientos de selección contractual</w:t>
      </w:r>
      <w:r w:rsidRPr="003150EF">
        <w:rPr>
          <w:rFonts w:ascii="Arial" w:hAnsi="Arial" w:cs="Arial"/>
          <w:sz w:val="22"/>
          <w:szCs w:val="22"/>
          <w:lang w:val="es-ES_tradnl" w:eastAsia="en-US"/>
        </w:rPr>
        <w:t>.</w:t>
      </w:r>
      <w:r w:rsidRPr="003150EF">
        <w:rPr>
          <w:rFonts w:ascii="Arial" w:hAnsi="Arial" w:cs="Arial"/>
          <w:bCs/>
          <w:sz w:val="22"/>
          <w:szCs w:val="22"/>
          <w:lang w:val="es-ES_tradnl" w:eastAsia="en-US"/>
        </w:rPr>
        <w:t xml:space="preserve"> </w:t>
      </w:r>
      <w:r w:rsidR="009C4FF5">
        <w:rPr>
          <w:rFonts w:ascii="Arial" w:hAnsi="Arial" w:cs="Arial"/>
          <w:bCs/>
          <w:sz w:val="22"/>
          <w:szCs w:val="22"/>
          <w:lang w:val="es-ES_tradnl" w:eastAsia="en-US"/>
        </w:rPr>
        <w:t xml:space="preserve">Adicionalmente, en </w:t>
      </w:r>
      <w:r w:rsidR="009C4FF5" w:rsidRPr="002C52E8">
        <w:rPr>
          <w:rFonts w:ascii="Arial" w:hAnsi="Arial" w:cs="Arial"/>
          <w:bCs/>
          <w:sz w:val="22"/>
          <w:szCs w:val="22"/>
          <w:lang w:val="es-ES_tradnl" w:eastAsia="en-US"/>
        </w:rPr>
        <w:t>lo</w:t>
      </w:r>
      <w:r w:rsidRPr="002C52E8">
        <w:rPr>
          <w:rFonts w:ascii="Arial" w:hAnsi="Arial" w:cs="Arial"/>
          <w:bCs/>
          <w:sz w:val="22"/>
          <w:szCs w:val="22"/>
          <w:lang w:val="es-ES_tradnl" w:eastAsia="en-US"/>
        </w:rPr>
        <w:t>s Conceptos C-</w:t>
      </w:r>
      <w:r w:rsidR="002C52E8">
        <w:rPr>
          <w:rFonts w:ascii="Arial" w:hAnsi="Arial" w:cs="Arial"/>
          <w:bCs/>
          <w:sz w:val="22"/>
          <w:szCs w:val="22"/>
          <w:lang w:val="es-ES_tradnl" w:eastAsia="en-US"/>
        </w:rPr>
        <w:t xml:space="preserve">787 </w:t>
      </w:r>
      <w:r w:rsidR="009C4FF5" w:rsidRPr="002C52E8">
        <w:rPr>
          <w:rFonts w:ascii="Arial" w:hAnsi="Arial" w:cs="Arial"/>
          <w:bCs/>
          <w:sz w:val="22"/>
          <w:szCs w:val="22"/>
          <w:lang w:val="es-ES_tradnl" w:eastAsia="en-US"/>
        </w:rPr>
        <w:t xml:space="preserve">del </w:t>
      </w:r>
      <w:r w:rsidR="002C52E8">
        <w:rPr>
          <w:rFonts w:ascii="Arial" w:hAnsi="Arial" w:cs="Arial"/>
          <w:bCs/>
          <w:sz w:val="22"/>
          <w:szCs w:val="22"/>
          <w:lang w:val="es-ES_tradnl" w:eastAsia="en-US"/>
        </w:rPr>
        <w:t>19</w:t>
      </w:r>
      <w:r w:rsidR="009C4FF5" w:rsidRPr="002C52E8">
        <w:rPr>
          <w:rFonts w:ascii="Arial" w:hAnsi="Arial" w:cs="Arial"/>
          <w:bCs/>
          <w:sz w:val="22"/>
          <w:szCs w:val="22"/>
          <w:lang w:val="es-ES_tradnl" w:eastAsia="en-US"/>
        </w:rPr>
        <w:t xml:space="preserve"> de </w:t>
      </w:r>
      <w:r w:rsidR="002C52E8">
        <w:rPr>
          <w:rFonts w:ascii="Arial" w:hAnsi="Arial" w:cs="Arial"/>
          <w:bCs/>
          <w:sz w:val="22"/>
          <w:szCs w:val="22"/>
          <w:lang w:val="es-ES_tradnl" w:eastAsia="en-US"/>
        </w:rPr>
        <w:t>enero</w:t>
      </w:r>
      <w:r w:rsidR="009C4FF5" w:rsidRPr="002C52E8">
        <w:rPr>
          <w:rFonts w:ascii="Arial" w:hAnsi="Arial" w:cs="Arial"/>
          <w:bCs/>
          <w:sz w:val="22"/>
          <w:szCs w:val="22"/>
          <w:lang w:val="es-ES_tradnl" w:eastAsia="en-US"/>
        </w:rPr>
        <w:t xml:space="preserve"> del 202</w:t>
      </w:r>
      <w:r w:rsidR="002C52E8">
        <w:rPr>
          <w:rFonts w:ascii="Arial" w:hAnsi="Arial" w:cs="Arial"/>
          <w:bCs/>
          <w:sz w:val="22"/>
          <w:szCs w:val="22"/>
          <w:lang w:val="es-ES_tradnl" w:eastAsia="en-US"/>
        </w:rPr>
        <w:t xml:space="preserve">1 y C-716 del 23 de enero del 2022, se analizó la figura de la subsanación de las ofertas y sus diferencias con la aclaración de las mismas. </w:t>
      </w:r>
      <w:r w:rsidRPr="002C52E8">
        <w:rPr>
          <w:rFonts w:ascii="Arial" w:hAnsi="Arial" w:cs="Arial"/>
          <w:bCs/>
          <w:sz w:val="22"/>
          <w:szCs w:val="22"/>
          <w:lang w:val="es-ES_tradnl" w:eastAsia="en-US"/>
        </w:rPr>
        <w:t>En lo pertinente, las tesis desarrolladas en estos conceptos se reiteran a continuación y se complementa con algunas ideas relativas a la consulta realizada:</w:t>
      </w:r>
    </w:p>
    <w:p w14:paraId="0562C497" w14:textId="77777777" w:rsidR="009D0460" w:rsidRDefault="009D0460" w:rsidP="002C51EB">
      <w:pPr>
        <w:spacing w:after="0"/>
        <w:rPr>
          <w:rFonts w:ascii="Arial" w:hAnsi="Arial" w:cs="Arial"/>
          <w:bCs/>
          <w:sz w:val="22"/>
          <w:szCs w:val="22"/>
          <w:lang w:val="es-ES_tradnl" w:eastAsia="en-US"/>
        </w:rPr>
      </w:pPr>
    </w:p>
    <w:p w14:paraId="6FEF661A" w14:textId="05AC95BB" w:rsidR="00DA2194" w:rsidRPr="00DA2194" w:rsidRDefault="00DA2194" w:rsidP="002C51EB">
      <w:pPr>
        <w:spacing w:after="0"/>
        <w:ind w:right="709"/>
        <w:rPr>
          <w:rFonts w:ascii="Arial" w:hAnsi="Arial" w:cs="Arial"/>
          <w:b/>
          <w:bCs/>
          <w:sz w:val="22"/>
          <w:szCs w:val="22"/>
          <w:lang w:eastAsia="en-US"/>
        </w:rPr>
      </w:pPr>
      <w:r w:rsidRPr="006D38B2">
        <w:rPr>
          <w:rFonts w:ascii="Arial" w:hAnsi="Arial" w:cs="Arial"/>
          <w:b/>
          <w:bCs/>
          <w:sz w:val="22"/>
          <w:szCs w:val="22"/>
          <w:lang w:eastAsia="en-US"/>
        </w:rPr>
        <w:t xml:space="preserve">2.1. Principio de selección objetiva en la contratación estatal </w:t>
      </w:r>
    </w:p>
    <w:p w14:paraId="4E2CD8E6" w14:textId="77777777" w:rsidR="00DA2194" w:rsidRPr="00DA2194" w:rsidRDefault="00DA2194" w:rsidP="002C51EB">
      <w:pPr>
        <w:spacing w:after="0"/>
        <w:ind w:right="709"/>
        <w:rPr>
          <w:rFonts w:ascii="Arial" w:hAnsi="Arial" w:cs="Arial"/>
          <w:b/>
          <w:bCs/>
          <w:sz w:val="22"/>
          <w:szCs w:val="22"/>
          <w:lang w:eastAsia="en-US"/>
        </w:rPr>
      </w:pPr>
    </w:p>
    <w:p w14:paraId="2989C74C" w14:textId="62FD565F" w:rsidR="00DA2194" w:rsidRPr="006D38B2" w:rsidRDefault="00DA2194" w:rsidP="002C51EB">
      <w:pPr>
        <w:spacing w:after="0"/>
        <w:ind w:right="49"/>
        <w:rPr>
          <w:rFonts w:ascii="Arial" w:hAnsi="Arial" w:cs="Arial"/>
          <w:bCs/>
          <w:sz w:val="22"/>
          <w:szCs w:val="22"/>
          <w:lang w:val="es-ES_tradnl" w:eastAsia="en-US"/>
        </w:rPr>
      </w:pPr>
      <w:r w:rsidRPr="006D38B2">
        <w:rPr>
          <w:rFonts w:ascii="Arial" w:hAnsi="Arial" w:cs="Arial"/>
          <w:bCs/>
          <w:sz w:val="22"/>
          <w:szCs w:val="22"/>
          <w:lang w:val="es-ES_tradnl" w:eastAsia="en-US"/>
        </w:rPr>
        <w:t xml:space="preserve">Uno de los principios transversales de los procedimientos de selección es el de selección objetiva. Se trata del postulado que exige que la escogencia de la oferta ganadora se debe fundamentar en factores objetivos, de carácter técnico, jurídico y financiero, y no en </w:t>
      </w:r>
      <w:r w:rsidRPr="006D38B2">
        <w:rPr>
          <w:rFonts w:ascii="Arial" w:hAnsi="Arial" w:cs="Arial"/>
          <w:bCs/>
          <w:sz w:val="22"/>
          <w:szCs w:val="22"/>
          <w:lang w:val="es-ES_tradnl" w:eastAsia="en-US"/>
        </w:rPr>
        <w:lastRenderedPageBreak/>
        <w:t xml:space="preserve">criterios subjetivos, como el afecto, la amistad, el ánimo de ayuda, el interés personal, etc. </w:t>
      </w:r>
    </w:p>
    <w:p w14:paraId="5851DFE0" w14:textId="36D4C198" w:rsidR="00462123" w:rsidRDefault="00DA2194" w:rsidP="001C0EC8">
      <w:pPr>
        <w:spacing w:before="120" w:after="0"/>
        <w:ind w:right="51" w:firstLine="709"/>
        <w:rPr>
          <w:rFonts w:ascii="Arial" w:hAnsi="Arial" w:cs="Arial"/>
          <w:bCs/>
          <w:sz w:val="22"/>
          <w:szCs w:val="22"/>
          <w:lang w:eastAsia="en-US"/>
        </w:rPr>
      </w:pPr>
      <w:r w:rsidRPr="006D38B2">
        <w:rPr>
          <w:rFonts w:ascii="Arial" w:hAnsi="Arial" w:cs="Arial"/>
          <w:bCs/>
          <w:sz w:val="22"/>
          <w:szCs w:val="22"/>
          <w:lang w:eastAsia="en-US"/>
        </w:rPr>
        <w:t>Si bien dentro de la historia de la contratación pública en Colombia, se vislumbran antecedentes normativos que consagraban dicho principio</w:t>
      </w:r>
      <w:r w:rsidRPr="006D38B2">
        <w:rPr>
          <w:rFonts w:ascii="Arial" w:hAnsi="Arial" w:cs="Arial"/>
          <w:bCs/>
          <w:sz w:val="22"/>
          <w:szCs w:val="22"/>
          <w:vertAlign w:val="superscript"/>
          <w:lang w:eastAsia="en-US"/>
        </w:rPr>
        <w:footnoteReference w:id="1"/>
      </w:r>
      <w:r w:rsidRPr="006D38B2">
        <w:rPr>
          <w:rFonts w:ascii="Arial" w:hAnsi="Arial" w:cs="Arial"/>
          <w:bCs/>
          <w:sz w:val="22"/>
          <w:szCs w:val="22"/>
          <w:lang w:eastAsia="en-US"/>
        </w:rPr>
        <w:t>, en la actualidad la disposición legal que lo prevé de manera más clara y contundente es el artículo 5 de la Ley 1150 de 2007, modificado por el artículo 88 de la Ley 1474 de 2011</w:t>
      </w:r>
      <w:r w:rsidR="005248CC">
        <w:rPr>
          <w:rFonts w:ascii="Arial" w:hAnsi="Arial" w:cs="Arial"/>
          <w:bCs/>
          <w:sz w:val="22"/>
          <w:szCs w:val="22"/>
          <w:lang w:eastAsia="en-US"/>
        </w:rPr>
        <w:t>.</w:t>
      </w:r>
      <w:r w:rsidR="00AF6C31">
        <w:rPr>
          <w:rFonts w:ascii="Arial" w:hAnsi="Arial" w:cs="Arial"/>
          <w:bCs/>
          <w:sz w:val="22"/>
          <w:szCs w:val="22"/>
          <w:lang w:eastAsia="en-US"/>
        </w:rPr>
        <w:t xml:space="preserve"> </w:t>
      </w:r>
      <w:r w:rsidRPr="006D38B2">
        <w:rPr>
          <w:rFonts w:ascii="Arial" w:hAnsi="Arial" w:cs="Arial"/>
          <w:bCs/>
          <w:sz w:val="22"/>
          <w:szCs w:val="22"/>
          <w:lang w:eastAsia="en-US"/>
        </w:rPr>
        <w:t xml:space="preserve">De acuerdo con </w:t>
      </w:r>
      <w:r w:rsidR="00AF6C31">
        <w:rPr>
          <w:rFonts w:ascii="Arial" w:hAnsi="Arial" w:cs="Arial"/>
          <w:bCs/>
          <w:sz w:val="22"/>
          <w:szCs w:val="22"/>
          <w:lang w:eastAsia="en-US"/>
        </w:rPr>
        <w:t>esta norma</w:t>
      </w:r>
      <w:r w:rsidRPr="006D38B2">
        <w:rPr>
          <w:rFonts w:ascii="Arial" w:hAnsi="Arial" w:cs="Arial"/>
          <w:bCs/>
          <w:sz w:val="22"/>
          <w:szCs w:val="22"/>
          <w:lang w:eastAsia="en-US"/>
        </w:rPr>
        <w:t xml:space="preserve"> </w:t>
      </w:r>
      <w:r w:rsidR="002F3D47">
        <w:rPr>
          <w:rFonts w:ascii="Arial" w:hAnsi="Arial" w:cs="Arial"/>
          <w:bCs/>
          <w:sz w:val="22"/>
          <w:szCs w:val="22"/>
          <w:lang w:eastAsia="en-US"/>
        </w:rPr>
        <w:t xml:space="preserve">y </w:t>
      </w:r>
      <w:r w:rsidRPr="006D38B2">
        <w:rPr>
          <w:rFonts w:ascii="Arial" w:hAnsi="Arial" w:cs="Arial"/>
          <w:bCs/>
          <w:sz w:val="22"/>
          <w:szCs w:val="22"/>
          <w:lang w:eastAsia="en-US"/>
        </w:rPr>
        <w:t xml:space="preserve">conforme con lo expresado en el concepto C–166 del 23 de abril de 2021, </w:t>
      </w:r>
      <w:r w:rsidR="002F3D47">
        <w:rPr>
          <w:rFonts w:ascii="Arial" w:hAnsi="Arial" w:cs="Arial"/>
          <w:bCs/>
          <w:sz w:val="22"/>
          <w:szCs w:val="22"/>
          <w:lang w:eastAsia="en-US"/>
        </w:rPr>
        <w:t xml:space="preserve">puede decirse que </w:t>
      </w:r>
      <w:r w:rsidRPr="006D38B2">
        <w:rPr>
          <w:rFonts w:ascii="Arial" w:hAnsi="Arial" w:cs="Arial"/>
          <w:bCs/>
          <w:sz w:val="22"/>
          <w:szCs w:val="22"/>
          <w:lang w:eastAsia="en-US"/>
        </w:rPr>
        <w:t>el deber de selección objetiva supone que las entidades escojan en los procesos de selección el «[…] ofrecimiento más favorable a la entidad y a los fines que ella busca […]». Tal favorabilidad debe determinarse a partir de criterios que pueden variar</w:t>
      </w:r>
      <w:r w:rsidR="00462123">
        <w:rPr>
          <w:rFonts w:ascii="Arial" w:hAnsi="Arial" w:cs="Arial"/>
          <w:bCs/>
          <w:sz w:val="22"/>
          <w:szCs w:val="22"/>
          <w:lang w:eastAsia="en-US"/>
        </w:rPr>
        <w:t>,</w:t>
      </w:r>
      <w:r w:rsidRPr="006D38B2">
        <w:rPr>
          <w:rFonts w:ascii="Arial" w:hAnsi="Arial" w:cs="Arial"/>
          <w:bCs/>
          <w:sz w:val="22"/>
          <w:szCs w:val="22"/>
          <w:lang w:eastAsia="en-US"/>
        </w:rPr>
        <w:t xml:space="preserve"> de acuerdo con el objeto contractual o la modalidad de selección aplicable, los cuales, en todo caso, para que la selección sea objetiva, deben estar señalados en el pliego de condiciones o documento equivalente. </w:t>
      </w:r>
    </w:p>
    <w:p w14:paraId="744BCBFE" w14:textId="3D4A7DD1" w:rsidR="00DD2E4E" w:rsidRDefault="00DA2194" w:rsidP="001C0EC8">
      <w:pPr>
        <w:spacing w:before="120" w:after="0"/>
        <w:ind w:right="51" w:firstLine="709"/>
        <w:rPr>
          <w:rFonts w:ascii="Arial" w:hAnsi="Arial" w:cs="Arial"/>
          <w:bCs/>
          <w:sz w:val="22"/>
          <w:szCs w:val="22"/>
          <w:lang w:eastAsia="en-US"/>
        </w:rPr>
      </w:pPr>
      <w:bookmarkStart w:id="1" w:name="_1fob9te" w:colFirst="0" w:colLast="0"/>
      <w:bookmarkEnd w:id="1"/>
      <w:r w:rsidRPr="006D38B2">
        <w:rPr>
          <w:rFonts w:ascii="Arial" w:hAnsi="Arial" w:cs="Arial"/>
          <w:bCs/>
          <w:sz w:val="22"/>
          <w:szCs w:val="22"/>
          <w:lang w:eastAsia="en-US"/>
        </w:rPr>
        <w:t xml:space="preserve">Al respecto, el numeral 1 del artículo 5 de la Ley 1150 de 2007 se refiere a algunos requisitos exigibles en la generalidad de </w:t>
      </w:r>
      <w:r w:rsidR="00462123">
        <w:rPr>
          <w:rFonts w:ascii="Arial" w:hAnsi="Arial" w:cs="Arial"/>
          <w:bCs/>
          <w:sz w:val="22"/>
          <w:szCs w:val="22"/>
          <w:lang w:eastAsia="en-US"/>
        </w:rPr>
        <w:t xml:space="preserve">los </w:t>
      </w:r>
      <w:r w:rsidRPr="006D38B2">
        <w:rPr>
          <w:rFonts w:ascii="Arial" w:hAnsi="Arial" w:cs="Arial"/>
          <w:bCs/>
          <w:sz w:val="22"/>
          <w:szCs w:val="22"/>
          <w:lang w:eastAsia="en-US"/>
        </w:rPr>
        <w:t>procesos de selección adelantados conforme al EGCAP, tales como la capacidad jurídica, las condiciones de experiencia, la capacidad financiera y de organización, denominados requisitos habilitantes, los cuales –en principio, salvo expresa disposición legal– no otorgan puntaje. Lo anterior comoquiera que estos no se refieren a la oferta misma sino a la idoneidad del oferente para asumir adecuadamente la ejecución del contrato</w:t>
      </w:r>
      <w:r w:rsidRPr="006D38B2">
        <w:rPr>
          <w:rFonts w:ascii="Arial" w:hAnsi="Arial" w:cs="Arial"/>
          <w:bCs/>
          <w:sz w:val="22"/>
          <w:szCs w:val="22"/>
          <w:vertAlign w:val="superscript"/>
          <w:lang w:eastAsia="en-US"/>
        </w:rPr>
        <w:footnoteReference w:id="2"/>
      </w:r>
      <w:r w:rsidRPr="006D38B2">
        <w:rPr>
          <w:rFonts w:ascii="Arial" w:hAnsi="Arial" w:cs="Arial"/>
          <w:bCs/>
          <w:sz w:val="22"/>
          <w:szCs w:val="22"/>
          <w:lang w:eastAsia="en-US"/>
        </w:rPr>
        <w:t xml:space="preserve">. Los oferentes que cumplan estos requisitos habilitantes son considerados idóneos para ejecutar el objeto contractual, de manera que sus ofertas pueden ser consideradas en la evaluación dirigida a determinar cuál es la más favorable para la entidad y </w:t>
      </w:r>
      <w:r w:rsidR="00FE5C7B">
        <w:rPr>
          <w:rFonts w:ascii="Arial" w:hAnsi="Arial" w:cs="Arial"/>
          <w:bCs/>
          <w:sz w:val="22"/>
          <w:szCs w:val="22"/>
          <w:lang w:eastAsia="en-US"/>
        </w:rPr>
        <w:t xml:space="preserve">a </w:t>
      </w:r>
      <w:r w:rsidRPr="006D38B2">
        <w:rPr>
          <w:rFonts w:ascii="Arial" w:hAnsi="Arial" w:cs="Arial"/>
          <w:bCs/>
          <w:sz w:val="22"/>
          <w:szCs w:val="22"/>
          <w:lang w:eastAsia="en-US"/>
        </w:rPr>
        <w:t xml:space="preserve">los fines de la contratación. En este sentido, los requisitos </w:t>
      </w:r>
      <w:r w:rsidRPr="006D38B2">
        <w:rPr>
          <w:rFonts w:ascii="Arial" w:hAnsi="Arial" w:cs="Arial"/>
          <w:bCs/>
          <w:i/>
          <w:sz w:val="22"/>
          <w:szCs w:val="22"/>
          <w:lang w:eastAsia="en-US"/>
        </w:rPr>
        <w:lastRenderedPageBreak/>
        <w:t xml:space="preserve">habilitantes </w:t>
      </w:r>
      <w:r w:rsidRPr="006D38B2">
        <w:rPr>
          <w:rFonts w:ascii="Arial" w:hAnsi="Arial" w:cs="Arial"/>
          <w:bCs/>
          <w:sz w:val="22"/>
          <w:szCs w:val="22"/>
          <w:lang w:eastAsia="en-US"/>
        </w:rPr>
        <w:t>son aquellos que deben cumplir en igualdad de condiciones los proponentes</w:t>
      </w:r>
      <w:r w:rsidR="0043184B">
        <w:rPr>
          <w:rFonts w:ascii="Arial" w:hAnsi="Arial" w:cs="Arial"/>
          <w:bCs/>
          <w:sz w:val="22"/>
          <w:szCs w:val="22"/>
          <w:lang w:eastAsia="en-US"/>
        </w:rPr>
        <w:t xml:space="preserve">, haciendo que estos </w:t>
      </w:r>
      <w:r w:rsidRPr="006D38B2">
        <w:rPr>
          <w:rFonts w:ascii="Arial" w:hAnsi="Arial" w:cs="Arial"/>
          <w:bCs/>
          <w:sz w:val="22"/>
          <w:szCs w:val="22"/>
          <w:lang w:eastAsia="en-US"/>
        </w:rPr>
        <w:t>se habiliten en el procedimiento de selección y sean susceptibles de ser seleccionados como futuros contratistas.</w:t>
      </w:r>
    </w:p>
    <w:p w14:paraId="0894EB7E" w14:textId="0D9C4F2F" w:rsidR="00F32FFE" w:rsidRDefault="00DA2194" w:rsidP="001C0EC8">
      <w:pPr>
        <w:spacing w:before="120" w:after="0"/>
        <w:ind w:right="51" w:firstLine="709"/>
        <w:rPr>
          <w:rFonts w:ascii="Arial" w:hAnsi="Arial" w:cs="Arial"/>
          <w:bCs/>
          <w:sz w:val="22"/>
          <w:szCs w:val="22"/>
          <w:lang w:eastAsia="en-US"/>
        </w:rPr>
      </w:pPr>
      <w:r w:rsidRPr="006D38B2">
        <w:rPr>
          <w:rFonts w:ascii="Arial" w:hAnsi="Arial" w:cs="Arial"/>
          <w:bCs/>
          <w:sz w:val="22"/>
          <w:szCs w:val="22"/>
          <w:lang w:eastAsia="en-US"/>
        </w:rPr>
        <w:t>En contraposición a los requisitos habilitantes, el artículo 5 de la Ley 1150 de 2007 regula los factores dirigidos a determinar cuál es la propuesta</w:t>
      </w:r>
      <w:r w:rsidR="00246BDB">
        <w:rPr>
          <w:rFonts w:ascii="Arial" w:hAnsi="Arial" w:cs="Arial"/>
          <w:bCs/>
          <w:sz w:val="22"/>
          <w:szCs w:val="22"/>
          <w:lang w:eastAsia="en-US"/>
        </w:rPr>
        <w:t>,</w:t>
      </w:r>
      <w:r w:rsidRPr="006D38B2">
        <w:rPr>
          <w:rFonts w:ascii="Arial" w:hAnsi="Arial" w:cs="Arial"/>
          <w:bCs/>
          <w:sz w:val="22"/>
          <w:szCs w:val="22"/>
          <w:lang w:eastAsia="en-US"/>
        </w:rPr>
        <w:t xml:space="preserve"> comparativamente</w:t>
      </w:r>
      <w:r w:rsidR="00246BDB">
        <w:rPr>
          <w:rFonts w:ascii="Arial" w:hAnsi="Arial" w:cs="Arial"/>
          <w:bCs/>
          <w:sz w:val="22"/>
          <w:szCs w:val="22"/>
          <w:lang w:eastAsia="en-US"/>
        </w:rPr>
        <w:t>,</w:t>
      </w:r>
      <w:r w:rsidRPr="006D38B2">
        <w:rPr>
          <w:rFonts w:ascii="Arial" w:hAnsi="Arial" w:cs="Arial"/>
          <w:bCs/>
          <w:sz w:val="22"/>
          <w:szCs w:val="22"/>
          <w:lang w:eastAsia="en-US"/>
        </w:rPr>
        <w:t xml:space="preserve"> más favorable. En ese sentido, el inciso primero dispone los factores de escogencia y calificación que deben indicarse en los pliegos de condiciones</w:t>
      </w:r>
      <w:r w:rsidR="00246BDB">
        <w:rPr>
          <w:rFonts w:ascii="Arial" w:hAnsi="Arial" w:cs="Arial"/>
          <w:bCs/>
          <w:sz w:val="22"/>
          <w:szCs w:val="22"/>
          <w:lang w:eastAsia="en-US"/>
        </w:rPr>
        <w:t xml:space="preserve"> o documentos equivalentes</w:t>
      </w:r>
      <w:r w:rsidRPr="006D38B2">
        <w:rPr>
          <w:rFonts w:ascii="Arial" w:hAnsi="Arial" w:cs="Arial"/>
          <w:bCs/>
          <w:sz w:val="22"/>
          <w:szCs w:val="22"/>
          <w:lang w:eastAsia="en-US"/>
        </w:rPr>
        <w:t>. El numeral 2 de esta norma establece que la oferta más favorable es aquella que resulte ser la más ventajosa para la entidad, una vez se realice la ponderación precisa y detallada de los factores técnicos y económicos de escogencia, de acuerdo con los parámetros establecidos en los pliegos de condiciones o equivalentes</w:t>
      </w:r>
      <w:r w:rsidR="00376085">
        <w:rPr>
          <w:rFonts w:ascii="Arial" w:hAnsi="Arial" w:cs="Arial"/>
          <w:bCs/>
          <w:sz w:val="22"/>
          <w:szCs w:val="22"/>
          <w:lang w:eastAsia="en-US"/>
        </w:rPr>
        <w:t>,</w:t>
      </w:r>
      <w:r w:rsidRPr="006D38B2">
        <w:rPr>
          <w:rFonts w:ascii="Arial" w:hAnsi="Arial" w:cs="Arial"/>
          <w:bCs/>
          <w:sz w:val="22"/>
          <w:szCs w:val="22"/>
          <w:lang w:eastAsia="en-US"/>
        </w:rPr>
        <w:t xml:space="preserve"> que permiten la comparación de ofertas. Este numeral 2 se divide en dos literales, cada uno de los cuales hace referencia a los mecanismos por los que pueden optar las entidades para ponderar los elementos de calidad y precio de las ofertas. El literal a) alude a la ponderación de los referidos elementos mediante puntajes o fórmulas, mientras que el literal b) se refiere la elección de la oferta que represente la mejor relación costo</w:t>
      </w:r>
      <w:r w:rsidR="00F32FFE">
        <w:rPr>
          <w:rFonts w:ascii="Arial" w:hAnsi="Arial" w:cs="Arial"/>
          <w:bCs/>
          <w:sz w:val="22"/>
          <w:szCs w:val="22"/>
          <w:lang w:eastAsia="en-US"/>
        </w:rPr>
        <w:t>-</w:t>
      </w:r>
      <w:r w:rsidRPr="006D38B2">
        <w:rPr>
          <w:rFonts w:ascii="Arial" w:hAnsi="Arial" w:cs="Arial"/>
          <w:bCs/>
          <w:sz w:val="22"/>
          <w:szCs w:val="22"/>
          <w:lang w:eastAsia="en-US"/>
        </w:rPr>
        <w:t xml:space="preserve">beneficio para la entidad. </w:t>
      </w:r>
    </w:p>
    <w:p w14:paraId="28433869" w14:textId="284E52C6" w:rsidR="00F32FFE" w:rsidRDefault="00DA2194" w:rsidP="001C0EC8">
      <w:pPr>
        <w:spacing w:before="120" w:after="0"/>
        <w:ind w:right="51" w:firstLine="709"/>
        <w:rPr>
          <w:rFonts w:ascii="Arial" w:hAnsi="Arial" w:cs="Arial"/>
          <w:bCs/>
          <w:sz w:val="22"/>
          <w:szCs w:val="22"/>
          <w:lang w:eastAsia="en-US"/>
        </w:rPr>
      </w:pPr>
      <w:r w:rsidRPr="006D38B2">
        <w:rPr>
          <w:rFonts w:ascii="Arial" w:hAnsi="Arial" w:cs="Arial"/>
          <w:bCs/>
          <w:sz w:val="22"/>
          <w:szCs w:val="22"/>
          <w:lang w:eastAsia="en-US"/>
        </w:rPr>
        <w:t xml:space="preserve">Por su parte, el numeral 3 establece que en los procesos de selección de bienes y servicios de características técnicas uniformes y de común utilización el único factor de evaluación consiste en el menor precio. Por último, el numeral 4, referente a </w:t>
      </w:r>
      <w:r w:rsidR="001D30EF">
        <w:rPr>
          <w:rFonts w:ascii="Arial" w:hAnsi="Arial" w:cs="Arial"/>
          <w:bCs/>
          <w:sz w:val="22"/>
          <w:szCs w:val="22"/>
          <w:lang w:eastAsia="en-US"/>
        </w:rPr>
        <w:t xml:space="preserve">los </w:t>
      </w:r>
      <w:r w:rsidRPr="006D38B2">
        <w:rPr>
          <w:rFonts w:ascii="Arial" w:hAnsi="Arial" w:cs="Arial"/>
          <w:bCs/>
          <w:sz w:val="22"/>
          <w:szCs w:val="22"/>
          <w:lang w:eastAsia="en-US"/>
        </w:rPr>
        <w:t xml:space="preserve">procedimientos para </w:t>
      </w:r>
      <w:r w:rsidR="001D30EF">
        <w:rPr>
          <w:rFonts w:ascii="Arial" w:hAnsi="Arial" w:cs="Arial"/>
          <w:bCs/>
          <w:sz w:val="22"/>
          <w:szCs w:val="22"/>
          <w:lang w:eastAsia="en-US"/>
        </w:rPr>
        <w:t xml:space="preserve">la </w:t>
      </w:r>
      <w:r w:rsidRPr="006D38B2">
        <w:rPr>
          <w:rFonts w:ascii="Arial" w:hAnsi="Arial" w:cs="Arial"/>
          <w:bCs/>
          <w:sz w:val="22"/>
          <w:szCs w:val="22"/>
          <w:lang w:eastAsia="en-US"/>
        </w:rPr>
        <w:t>selección de consultores, señala que debe</w:t>
      </w:r>
      <w:r w:rsidR="0041760D">
        <w:rPr>
          <w:rFonts w:ascii="Arial" w:hAnsi="Arial" w:cs="Arial"/>
          <w:bCs/>
          <w:sz w:val="22"/>
          <w:szCs w:val="22"/>
          <w:lang w:eastAsia="en-US"/>
        </w:rPr>
        <w:t>n</w:t>
      </w:r>
      <w:r w:rsidRPr="006D38B2">
        <w:rPr>
          <w:rFonts w:ascii="Arial" w:hAnsi="Arial" w:cs="Arial"/>
          <w:bCs/>
          <w:sz w:val="22"/>
          <w:szCs w:val="22"/>
          <w:lang w:eastAsia="en-US"/>
        </w:rPr>
        <w:t xml:space="preserve"> us</w:t>
      </w:r>
      <w:r w:rsidR="0041760D">
        <w:rPr>
          <w:rFonts w:ascii="Arial" w:hAnsi="Arial" w:cs="Arial"/>
          <w:bCs/>
          <w:sz w:val="22"/>
          <w:szCs w:val="22"/>
          <w:lang w:eastAsia="en-US"/>
        </w:rPr>
        <w:t>arse</w:t>
      </w:r>
      <w:r w:rsidRPr="006D38B2">
        <w:rPr>
          <w:rFonts w:ascii="Arial" w:hAnsi="Arial" w:cs="Arial"/>
          <w:bCs/>
          <w:sz w:val="22"/>
          <w:szCs w:val="22"/>
          <w:lang w:eastAsia="en-US"/>
        </w:rPr>
        <w:t xml:space="preserve"> factores de calificación, para valorar los aspectos técnicos de la oferta, permitiendo que entre ellos se pondere la experiencia.</w:t>
      </w:r>
    </w:p>
    <w:p w14:paraId="19DC84D7" w14:textId="43078DF9" w:rsidR="00C37041" w:rsidRDefault="0027784B" w:rsidP="001C0EC8">
      <w:pPr>
        <w:spacing w:before="120" w:after="0"/>
        <w:ind w:right="51" w:firstLine="709"/>
        <w:rPr>
          <w:rFonts w:ascii="Arial" w:hAnsi="Arial" w:cs="Arial"/>
          <w:bCs/>
          <w:sz w:val="22"/>
          <w:szCs w:val="22"/>
          <w:lang w:eastAsia="en-US"/>
        </w:rPr>
      </w:pPr>
      <w:r>
        <w:rPr>
          <w:rFonts w:ascii="Arial" w:hAnsi="Arial" w:cs="Arial"/>
          <w:bCs/>
          <w:sz w:val="22"/>
          <w:szCs w:val="22"/>
          <w:lang w:eastAsia="en-US"/>
        </w:rPr>
        <w:t xml:space="preserve">De acuerdo con lo expresado, </w:t>
      </w:r>
      <w:r w:rsidR="0041760D">
        <w:rPr>
          <w:rFonts w:ascii="Arial" w:hAnsi="Arial" w:cs="Arial"/>
          <w:bCs/>
          <w:sz w:val="22"/>
          <w:szCs w:val="22"/>
          <w:lang w:eastAsia="en-US"/>
        </w:rPr>
        <w:t xml:space="preserve">se concluye que </w:t>
      </w:r>
      <w:r w:rsidR="00DA2194" w:rsidRPr="006D38B2">
        <w:rPr>
          <w:rFonts w:ascii="Arial" w:hAnsi="Arial" w:cs="Arial"/>
          <w:bCs/>
          <w:sz w:val="22"/>
          <w:szCs w:val="22"/>
          <w:lang w:eastAsia="en-US"/>
        </w:rPr>
        <w:t>el artículo 5 de l</w:t>
      </w:r>
      <w:r w:rsidR="00D06A8A">
        <w:rPr>
          <w:rFonts w:ascii="Arial" w:hAnsi="Arial" w:cs="Arial"/>
          <w:bCs/>
          <w:sz w:val="22"/>
          <w:szCs w:val="22"/>
          <w:lang w:eastAsia="en-US"/>
        </w:rPr>
        <w:t xml:space="preserve">a Ley 1150 de 2007 define los parámetros conforme a los cuales deben exigirse y evaluarse los factores que no otorgan puntaje o requisitos habilitantes, como también aquellos que deben tenerse en cuenta para la exigencia y evaluación de los factores de escogencia o </w:t>
      </w:r>
      <w:r w:rsidR="00DA2194" w:rsidRPr="006D38B2">
        <w:rPr>
          <w:rFonts w:ascii="Arial" w:hAnsi="Arial" w:cs="Arial"/>
          <w:bCs/>
          <w:sz w:val="22"/>
          <w:szCs w:val="22"/>
          <w:lang w:eastAsia="en-US"/>
        </w:rPr>
        <w:t>calificación, técnicos y económicos</w:t>
      </w:r>
      <w:r w:rsidR="00D06A8A">
        <w:rPr>
          <w:rFonts w:ascii="Arial" w:hAnsi="Arial" w:cs="Arial"/>
          <w:bCs/>
          <w:sz w:val="22"/>
          <w:szCs w:val="22"/>
          <w:lang w:eastAsia="en-US"/>
        </w:rPr>
        <w:t>, los cuales</w:t>
      </w:r>
      <w:r w:rsidR="00DA2194" w:rsidRPr="006D38B2">
        <w:rPr>
          <w:rFonts w:ascii="Arial" w:hAnsi="Arial" w:cs="Arial"/>
          <w:bCs/>
          <w:sz w:val="22"/>
          <w:szCs w:val="22"/>
          <w:lang w:eastAsia="en-US"/>
        </w:rPr>
        <w:t xml:space="preserve"> inciden en la comparación de </w:t>
      </w:r>
      <w:r w:rsidR="00D64262">
        <w:rPr>
          <w:rFonts w:ascii="Arial" w:hAnsi="Arial" w:cs="Arial"/>
          <w:bCs/>
          <w:sz w:val="22"/>
          <w:szCs w:val="22"/>
          <w:lang w:eastAsia="en-US"/>
        </w:rPr>
        <w:t xml:space="preserve">las </w:t>
      </w:r>
      <w:r w:rsidR="00DA2194" w:rsidRPr="006D38B2">
        <w:rPr>
          <w:rFonts w:ascii="Arial" w:hAnsi="Arial" w:cs="Arial"/>
          <w:bCs/>
          <w:sz w:val="22"/>
          <w:szCs w:val="22"/>
          <w:lang w:eastAsia="en-US"/>
        </w:rPr>
        <w:t>ofertas. Por ello, la doctrina define los requisitos o factores ponderables como «[…] aquellas condiciones de la oferta y no de quien la presenta, que sí entrarán a ser evaluadas por la Administración y que en consecuencia, darán lugar a la escogencia objetiva de la mejor propuesta para la entidad»</w:t>
      </w:r>
      <w:r w:rsidR="00DA2194" w:rsidRPr="006D38B2">
        <w:rPr>
          <w:rFonts w:ascii="Arial" w:hAnsi="Arial" w:cs="Arial"/>
          <w:bCs/>
          <w:sz w:val="22"/>
          <w:szCs w:val="22"/>
          <w:vertAlign w:val="superscript"/>
          <w:lang w:eastAsia="en-US"/>
        </w:rPr>
        <w:footnoteReference w:id="3"/>
      </w:r>
      <w:r w:rsidR="00DA2194" w:rsidRPr="006D38B2">
        <w:rPr>
          <w:rFonts w:ascii="Arial" w:hAnsi="Arial" w:cs="Arial"/>
          <w:bCs/>
          <w:sz w:val="22"/>
          <w:szCs w:val="22"/>
          <w:lang w:eastAsia="en-US"/>
        </w:rPr>
        <w:t>. Todas</w:t>
      </w:r>
      <w:r w:rsidR="00D06A8A">
        <w:rPr>
          <w:rFonts w:ascii="Arial" w:hAnsi="Arial" w:cs="Arial"/>
          <w:bCs/>
          <w:sz w:val="22"/>
          <w:szCs w:val="22"/>
          <w:lang w:eastAsia="en-US"/>
        </w:rPr>
        <w:t xml:space="preserve"> </w:t>
      </w:r>
      <w:r w:rsidR="00DA2194" w:rsidRPr="006D38B2">
        <w:rPr>
          <w:rFonts w:ascii="Arial" w:hAnsi="Arial" w:cs="Arial"/>
          <w:bCs/>
          <w:sz w:val="22"/>
          <w:szCs w:val="22"/>
          <w:lang w:eastAsia="en-US"/>
        </w:rPr>
        <w:t xml:space="preserve">estas categorías designan los «[…] factores a los cuales cabe otorgarles puntajes o que pueden ser ponderados, precisamente, pues estos </w:t>
      </w:r>
      <w:r w:rsidR="00DA2194" w:rsidRPr="006D38B2">
        <w:rPr>
          <w:rFonts w:ascii="Arial" w:hAnsi="Arial" w:cs="Arial"/>
          <w:bCs/>
          <w:sz w:val="22"/>
          <w:szCs w:val="22"/>
          <w:lang w:eastAsia="en-US"/>
        </w:rPr>
        <w:lastRenderedPageBreak/>
        <w:t>son los factores que en últimas permiten una comparación de ofertas y una diferenciación entre ellas»</w:t>
      </w:r>
      <w:r w:rsidR="00DA2194" w:rsidRPr="006D38B2">
        <w:rPr>
          <w:rFonts w:ascii="Arial" w:hAnsi="Arial" w:cs="Arial"/>
          <w:bCs/>
          <w:sz w:val="22"/>
          <w:szCs w:val="22"/>
          <w:vertAlign w:val="superscript"/>
          <w:lang w:eastAsia="en-US"/>
        </w:rPr>
        <w:footnoteReference w:id="4"/>
      </w:r>
      <w:r w:rsidR="00DA2194" w:rsidRPr="006D38B2">
        <w:rPr>
          <w:rFonts w:ascii="Arial" w:hAnsi="Arial" w:cs="Arial"/>
          <w:bCs/>
          <w:sz w:val="22"/>
          <w:szCs w:val="22"/>
          <w:lang w:eastAsia="en-US"/>
        </w:rPr>
        <w:t xml:space="preserve">. </w:t>
      </w:r>
    </w:p>
    <w:p w14:paraId="2506DF1A" w14:textId="5C04F841" w:rsidR="00DA2194" w:rsidRPr="006D38B2" w:rsidRDefault="00D06A8A" w:rsidP="001C0EC8">
      <w:pPr>
        <w:spacing w:before="120" w:after="0"/>
        <w:ind w:right="51" w:firstLine="709"/>
        <w:rPr>
          <w:rFonts w:ascii="Arial" w:hAnsi="Arial" w:cs="Arial"/>
          <w:bCs/>
          <w:sz w:val="22"/>
          <w:szCs w:val="22"/>
          <w:lang w:eastAsia="en-US"/>
        </w:rPr>
      </w:pPr>
      <w:r>
        <w:rPr>
          <w:rFonts w:ascii="Arial" w:hAnsi="Arial" w:cs="Arial"/>
          <w:bCs/>
          <w:sz w:val="22"/>
          <w:szCs w:val="22"/>
          <w:lang w:eastAsia="en-US"/>
        </w:rPr>
        <w:t xml:space="preserve">Sobre la escogencia de la oferta más favorable a los intereses de la entidad y la evaluación de los factores exigidos en un caso concreto para el efecto, </w:t>
      </w:r>
      <w:r w:rsidR="00DA2194" w:rsidRPr="006D38B2">
        <w:rPr>
          <w:rFonts w:ascii="Arial" w:hAnsi="Arial" w:cs="Arial"/>
          <w:bCs/>
          <w:sz w:val="22"/>
          <w:szCs w:val="22"/>
          <w:lang w:eastAsia="en-US"/>
        </w:rPr>
        <w:t>la doctrina explica que:</w:t>
      </w:r>
    </w:p>
    <w:p w14:paraId="13A99EC5" w14:textId="77777777" w:rsidR="00DA2194" w:rsidRPr="006D38B2" w:rsidRDefault="00DA2194" w:rsidP="002C51EB">
      <w:pPr>
        <w:spacing w:after="0"/>
        <w:ind w:right="49"/>
        <w:rPr>
          <w:rFonts w:ascii="Arial" w:hAnsi="Arial" w:cs="Arial"/>
          <w:bCs/>
          <w:sz w:val="22"/>
          <w:szCs w:val="22"/>
          <w:lang w:eastAsia="en-US"/>
        </w:rPr>
      </w:pPr>
    </w:p>
    <w:p w14:paraId="15AE52E2" w14:textId="42AC3226" w:rsidR="00D06A8A" w:rsidRDefault="00DA2194" w:rsidP="003F2F3E">
      <w:pPr>
        <w:spacing w:after="0" w:line="240" w:lineRule="auto"/>
        <w:ind w:left="709" w:right="709"/>
        <w:rPr>
          <w:rFonts w:ascii="Arial" w:hAnsi="Arial" w:cs="Arial"/>
          <w:bCs/>
          <w:sz w:val="21"/>
          <w:szCs w:val="21"/>
          <w:lang w:eastAsia="en-US"/>
        </w:rPr>
      </w:pPr>
      <w:r w:rsidRPr="00D06A8A">
        <w:rPr>
          <w:rFonts w:ascii="Arial" w:hAnsi="Arial" w:cs="Arial"/>
          <w:bCs/>
          <w:sz w:val="21"/>
          <w:szCs w:val="21"/>
          <w:lang w:eastAsia="en-US"/>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6D3CB97D" w14:textId="7CA8B405" w:rsidR="00DA2194" w:rsidRPr="00D06A8A" w:rsidRDefault="00DA2194" w:rsidP="003F2F3E">
      <w:pPr>
        <w:spacing w:after="0" w:line="240" w:lineRule="auto"/>
        <w:ind w:left="709" w:right="709"/>
        <w:rPr>
          <w:rFonts w:ascii="Arial" w:hAnsi="Arial" w:cs="Arial"/>
          <w:bCs/>
          <w:sz w:val="21"/>
          <w:szCs w:val="21"/>
          <w:lang w:eastAsia="en-US"/>
        </w:rPr>
      </w:pPr>
    </w:p>
    <w:p w14:paraId="4DA4ED04" w14:textId="77777777" w:rsidR="00DA2194" w:rsidRPr="00D06A8A" w:rsidRDefault="00DA2194" w:rsidP="003F2F3E">
      <w:pPr>
        <w:spacing w:after="0" w:line="240" w:lineRule="auto"/>
        <w:ind w:left="709" w:right="709"/>
        <w:rPr>
          <w:rFonts w:ascii="Arial" w:hAnsi="Arial" w:cs="Arial"/>
          <w:bCs/>
          <w:sz w:val="21"/>
          <w:szCs w:val="21"/>
          <w:lang w:eastAsia="en-US"/>
        </w:rPr>
      </w:pPr>
      <w:r w:rsidRPr="00D06A8A">
        <w:rPr>
          <w:rFonts w:ascii="Arial" w:hAnsi="Arial" w:cs="Arial"/>
          <w:bCs/>
          <w:sz w:val="21"/>
          <w:szCs w:val="21"/>
          <w:lang w:eastAsia="en-US"/>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5F6B812B" w14:textId="77777777" w:rsidR="00D06A8A" w:rsidRDefault="00D06A8A" w:rsidP="003F2F3E">
      <w:pPr>
        <w:spacing w:after="0" w:line="240" w:lineRule="auto"/>
        <w:ind w:left="709" w:right="709"/>
        <w:rPr>
          <w:rFonts w:ascii="Arial" w:hAnsi="Arial" w:cs="Arial"/>
          <w:bCs/>
          <w:sz w:val="21"/>
          <w:szCs w:val="21"/>
          <w:lang w:eastAsia="en-US"/>
        </w:rPr>
      </w:pPr>
    </w:p>
    <w:p w14:paraId="7AEB6642" w14:textId="690938D3" w:rsidR="00DA2194" w:rsidRPr="00D06A8A" w:rsidRDefault="00DA2194" w:rsidP="003F2F3E">
      <w:pPr>
        <w:spacing w:after="0" w:line="240" w:lineRule="auto"/>
        <w:ind w:left="709" w:right="709"/>
        <w:rPr>
          <w:rFonts w:ascii="Arial" w:hAnsi="Arial" w:cs="Arial"/>
          <w:bCs/>
          <w:sz w:val="21"/>
          <w:szCs w:val="21"/>
          <w:lang w:eastAsia="en-US"/>
        </w:rPr>
      </w:pPr>
      <w:r w:rsidRPr="00D06A8A">
        <w:rPr>
          <w:rFonts w:ascii="Arial" w:hAnsi="Arial" w:cs="Arial"/>
          <w:bCs/>
          <w:sz w:val="21"/>
          <w:szCs w:val="21"/>
          <w:lang w:eastAsia="en-US"/>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D06A8A">
        <w:rPr>
          <w:rFonts w:ascii="Arial" w:hAnsi="Arial" w:cs="Arial"/>
          <w:bCs/>
          <w:sz w:val="21"/>
          <w:szCs w:val="21"/>
          <w:vertAlign w:val="superscript"/>
          <w:lang w:eastAsia="en-US"/>
        </w:rPr>
        <w:footnoteReference w:id="5"/>
      </w:r>
      <w:r w:rsidRPr="00D06A8A">
        <w:rPr>
          <w:rFonts w:ascii="Arial" w:hAnsi="Arial" w:cs="Arial"/>
          <w:bCs/>
          <w:sz w:val="21"/>
          <w:szCs w:val="21"/>
          <w:lang w:eastAsia="en-US"/>
        </w:rPr>
        <w:t>.</w:t>
      </w:r>
    </w:p>
    <w:p w14:paraId="33BEF6D3" w14:textId="77777777" w:rsidR="00DA2194" w:rsidRPr="00D06A8A" w:rsidRDefault="00DA2194" w:rsidP="002C51EB">
      <w:pPr>
        <w:spacing w:after="0"/>
        <w:ind w:left="709" w:right="709"/>
        <w:rPr>
          <w:rFonts w:ascii="Arial" w:hAnsi="Arial" w:cs="Arial"/>
          <w:bCs/>
          <w:sz w:val="21"/>
          <w:szCs w:val="21"/>
          <w:lang w:eastAsia="en-US"/>
        </w:rPr>
      </w:pPr>
    </w:p>
    <w:p w14:paraId="184588C0" w14:textId="4958B017" w:rsidR="00D06A8A" w:rsidRPr="006D38B2" w:rsidRDefault="00DA2194" w:rsidP="003F2F3E">
      <w:pPr>
        <w:spacing w:after="0"/>
        <w:ind w:firstLine="709"/>
        <w:rPr>
          <w:rFonts w:ascii="Arial" w:hAnsi="Arial" w:cs="Arial"/>
          <w:bCs/>
          <w:sz w:val="22"/>
          <w:szCs w:val="22"/>
          <w:lang w:eastAsia="en-US"/>
        </w:rPr>
      </w:pPr>
      <w:r w:rsidRPr="006D38B2">
        <w:rPr>
          <w:rFonts w:ascii="Arial" w:hAnsi="Arial" w:cs="Arial"/>
          <w:bCs/>
          <w:sz w:val="22"/>
          <w:szCs w:val="22"/>
          <w:lang w:eastAsia="en-US"/>
        </w:rPr>
        <w:t>De acuerdo con lo anterior, es posible asimilar las diferentes categorías a las que hace referencia el artículo 5 de la Ley 1150 de 2007, cuando alude a los factores que, a diferencia de los requisitos habilitantes, determinan la oferta más favorable para la entidad, y que, por lo tanto, hacen que una oferta sea mejor que otra, pese a tener que cumplir todas ellas los requisitos habilitantes. Es frente a aquellos factores</w:t>
      </w:r>
      <w:r w:rsidR="00113837">
        <w:rPr>
          <w:rFonts w:ascii="Arial" w:hAnsi="Arial" w:cs="Arial"/>
          <w:bCs/>
          <w:sz w:val="22"/>
          <w:szCs w:val="22"/>
          <w:lang w:eastAsia="en-US"/>
        </w:rPr>
        <w:t>,</w:t>
      </w:r>
      <w:r w:rsidRPr="006D38B2">
        <w:rPr>
          <w:rFonts w:ascii="Arial" w:hAnsi="Arial" w:cs="Arial"/>
          <w:bCs/>
          <w:sz w:val="22"/>
          <w:szCs w:val="22"/>
          <w:lang w:eastAsia="en-US"/>
        </w:rPr>
        <w:t xml:space="preserve"> que determinan comparativamente que una oferta sea mejor que otra, que la entidad concibe el </w:t>
      </w:r>
      <w:r w:rsidRPr="006D38B2">
        <w:rPr>
          <w:rFonts w:ascii="Arial" w:hAnsi="Arial" w:cs="Arial"/>
          <w:bCs/>
          <w:sz w:val="22"/>
          <w:szCs w:val="22"/>
          <w:lang w:eastAsia="en-US"/>
        </w:rPr>
        <w:lastRenderedPageBreak/>
        <w:t xml:space="preserve">otorgamiento de puntajes, como mecanismos para ponderar y comparar los ofrecimientos, con el fin de determinar objetivamente la oferta más favorable, aplicando para ello las reglas establecidas en el pliego o documento equivalente para la ponderación de las ofertas. </w:t>
      </w:r>
    </w:p>
    <w:p w14:paraId="1E71E742" w14:textId="73F03DAD" w:rsidR="00DD7878" w:rsidRDefault="00DA2194" w:rsidP="003F2F3E">
      <w:pPr>
        <w:spacing w:before="120" w:after="0"/>
        <w:ind w:firstLine="709"/>
        <w:rPr>
          <w:rFonts w:ascii="Arial" w:hAnsi="Arial" w:cs="Arial"/>
          <w:bCs/>
          <w:sz w:val="22"/>
          <w:szCs w:val="22"/>
          <w:lang w:eastAsia="en-US"/>
        </w:rPr>
      </w:pPr>
      <w:r w:rsidRPr="006D38B2">
        <w:rPr>
          <w:rFonts w:ascii="Arial" w:hAnsi="Arial" w:cs="Arial"/>
          <w:bCs/>
          <w:sz w:val="22"/>
          <w:szCs w:val="22"/>
          <w:lang w:eastAsia="en-US"/>
        </w:rPr>
        <w:tab/>
        <w:t>En ese sentido, la asignación de puntaje es un mecanismo mediante el cual las entidades ponderan los factores de calificación ꟷ</w:t>
      </w:r>
      <w:r w:rsidRPr="006D38B2">
        <w:rPr>
          <w:rFonts w:ascii="Arial" w:hAnsi="Arial" w:cs="Arial"/>
          <w:bCs/>
          <w:i/>
          <w:sz w:val="22"/>
          <w:szCs w:val="22"/>
          <w:lang w:eastAsia="en-US"/>
        </w:rPr>
        <w:t>v.g.</w:t>
      </w:r>
      <w:r w:rsidRPr="006D38B2">
        <w:rPr>
          <w:rFonts w:ascii="Arial" w:hAnsi="Arial" w:cs="Arial"/>
          <w:bCs/>
          <w:sz w:val="22"/>
          <w:szCs w:val="22"/>
          <w:lang w:eastAsia="en-US"/>
        </w:rPr>
        <w:t xml:space="preserve"> técnicos, de calidad y precio, etc.ꟷ en un determinado proceso de selección, como se desprende del literal a) del numeral 2 del artículo 5 de la Ley 1150 de 2007, en el que</w:t>
      </w:r>
      <w:r w:rsidR="0095522B">
        <w:rPr>
          <w:rFonts w:ascii="Arial" w:hAnsi="Arial" w:cs="Arial"/>
          <w:bCs/>
          <w:sz w:val="22"/>
          <w:szCs w:val="22"/>
          <w:lang w:eastAsia="en-US"/>
        </w:rPr>
        <w:t>,</w:t>
      </w:r>
      <w:r w:rsidRPr="006D38B2">
        <w:rPr>
          <w:rFonts w:ascii="Arial" w:hAnsi="Arial" w:cs="Arial"/>
          <w:bCs/>
          <w:sz w:val="22"/>
          <w:szCs w:val="22"/>
          <w:lang w:eastAsia="en-US"/>
        </w:rPr>
        <w:t xml:space="preserve"> expresamente</w:t>
      </w:r>
      <w:r w:rsidR="0095522B">
        <w:rPr>
          <w:rFonts w:ascii="Arial" w:hAnsi="Arial" w:cs="Arial"/>
          <w:bCs/>
          <w:sz w:val="22"/>
          <w:szCs w:val="22"/>
          <w:lang w:eastAsia="en-US"/>
        </w:rPr>
        <w:t>,</w:t>
      </w:r>
      <w:r w:rsidRPr="006D38B2">
        <w:rPr>
          <w:rFonts w:ascii="Arial" w:hAnsi="Arial" w:cs="Arial"/>
          <w:bCs/>
          <w:sz w:val="22"/>
          <w:szCs w:val="22"/>
          <w:lang w:eastAsia="en-US"/>
        </w:rPr>
        <w:t xml:space="preserve"> se alude al puntaje. Es necesario destacar que las reglas para establecer la oferta más favorable conforme al artículo 5 de la Ley 1150 de 2007, se encuentran reglamentadas en el artículo 2.2.1.1.2.2.2 del Decreto 1082 de 2015. Este artículo desarrolla los mecanismos de ponderación previstos en los literales a) y b) del artículo 5.2 de la Ley 1150 de 2007, disponiendo unas pautas para la ponderación de los elementos de calidad y precio que representen la mejor relación de costo-beneficio. Conforme a este artículo, la oferta más favorable en estos casos debe determinarse ponderando en las ofertas: i) las condiciones técnicas y económicas mínimas; ii) las condiciones técnicas adicionales que representan ventajas de calidad o de funcionamiento; iii) las condiciones económicas adicionales que representen ventajas en términos de economía, eficiencia y eficacia; y iv) el valor en dinero que la entidad estatal asigna a cada ofrecimiento técnico o económico adicional. Teniendo en cuenta estos elementos, la entidad estatal debe calcular la relación costo-beneficio de cada oferta «[…]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r w:rsidRPr="006D38B2">
        <w:rPr>
          <w:rFonts w:ascii="Arial" w:hAnsi="Arial" w:cs="Arial"/>
          <w:bCs/>
          <w:sz w:val="22"/>
          <w:szCs w:val="22"/>
          <w:vertAlign w:val="superscript"/>
          <w:lang w:eastAsia="en-US"/>
        </w:rPr>
        <w:footnoteReference w:id="6"/>
      </w:r>
      <w:r w:rsidRPr="006D38B2">
        <w:rPr>
          <w:rFonts w:ascii="Arial" w:hAnsi="Arial" w:cs="Arial"/>
          <w:bCs/>
          <w:sz w:val="22"/>
          <w:szCs w:val="22"/>
          <w:lang w:eastAsia="en-US"/>
        </w:rPr>
        <w:t>.</w:t>
      </w:r>
    </w:p>
    <w:p w14:paraId="7657AA99" w14:textId="4569D076" w:rsidR="00184724" w:rsidRDefault="005A449F" w:rsidP="003F2F3E">
      <w:pPr>
        <w:spacing w:before="120" w:after="0"/>
        <w:ind w:firstLine="709"/>
        <w:rPr>
          <w:rFonts w:ascii="Arial" w:hAnsi="Arial" w:cs="Arial"/>
          <w:bCs/>
          <w:sz w:val="22"/>
          <w:szCs w:val="22"/>
          <w:lang w:eastAsia="en-US"/>
        </w:rPr>
      </w:pPr>
      <w:r>
        <w:rPr>
          <w:rFonts w:ascii="Arial" w:hAnsi="Arial" w:cs="Arial"/>
          <w:bCs/>
          <w:sz w:val="22"/>
          <w:szCs w:val="22"/>
          <w:lang w:eastAsia="en-US"/>
        </w:rPr>
        <w:lastRenderedPageBreak/>
        <w:t xml:space="preserve">En este orden de ideas, </w:t>
      </w:r>
      <w:r w:rsidR="00DA2194" w:rsidRPr="006D38B2">
        <w:rPr>
          <w:rFonts w:ascii="Arial" w:hAnsi="Arial" w:cs="Arial"/>
          <w:bCs/>
          <w:sz w:val="22"/>
          <w:szCs w:val="22"/>
          <w:lang w:eastAsia="en-US"/>
        </w:rPr>
        <w:t>el deber de selección objetiva está ligado a la determinación del ofrecimiento más favorable, cuyo contenido debe ser precisado a partir de las diferentes alternativas del artículo 5 de la Ley 1150 de 2007, reglamentado por el artículo 2.2.1.1.2.2.2 del Decreto 1082 de 2015, que</w:t>
      </w:r>
      <w:r w:rsidR="007D0F2B">
        <w:rPr>
          <w:rFonts w:ascii="Arial" w:hAnsi="Arial" w:cs="Arial"/>
          <w:bCs/>
          <w:sz w:val="22"/>
          <w:szCs w:val="22"/>
          <w:lang w:eastAsia="en-US"/>
        </w:rPr>
        <w:t>,</w:t>
      </w:r>
      <w:r w:rsidR="00DA2194" w:rsidRPr="006D38B2">
        <w:rPr>
          <w:rFonts w:ascii="Arial" w:hAnsi="Arial" w:cs="Arial"/>
          <w:bCs/>
          <w:sz w:val="22"/>
          <w:szCs w:val="22"/>
          <w:lang w:eastAsia="en-US"/>
        </w:rPr>
        <w:t xml:space="preserve"> en todo caso</w:t>
      </w:r>
      <w:r w:rsidR="007D0F2B">
        <w:rPr>
          <w:rFonts w:ascii="Arial" w:hAnsi="Arial" w:cs="Arial"/>
          <w:bCs/>
          <w:sz w:val="22"/>
          <w:szCs w:val="22"/>
          <w:lang w:eastAsia="en-US"/>
        </w:rPr>
        <w:t>,</w:t>
      </w:r>
      <w:r w:rsidR="00DA2194" w:rsidRPr="006D38B2">
        <w:rPr>
          <w:rFonts w:ascii="Arial" w:hAnsi="Arial" w:cs="Arial"/>
          <w:bCs/>
          <w:sz w:val="22"/>
          <w:szCs w:val="22"/>
          <w:lang w:eastAsia="en-US"/>
        </w:rPr>
        <w:t xml:space="preserve"> deben reflejarse en el pliego de condiciones o documento equivalente para el respectivo proceso de selección. Estas disposiciones establecen que en los procesos de selección deben evaluarse, fuera de los requisitos habilitantes, los factores de calificación, valoración o evaluación. Estos pueden ponderarse mediante la asignación de puntaje, por lo que la norma se refiere a factores que no otorgan puntaje para diferenciar los requisitos habilitantes de los mencionados factores de calificación. Lo anterior, bajo el entendido que son estos últimos los que determinan la oferta más favorable para la entidad y la que</w:t>
      </w:r>
      <w:r w:rsidR="00184724">
        <w:rPr>
          <w:rFonts w:ascii="Arial" w:hAnsi="Arial" w:cs="Arial"/>
          <w:bCs/>
          <w:sz w:val="22"/>
          <w:szCs w:val="22"/>
          <w:lang w:eastAsia="en-US"/>
        </w:rPr>
        <w:t>,</w:t>
      </w:r>
      <w:r w:rsidR="00DA2194" w:rsidRPr="006D38B2">
        <w:rPr>
          <w:rFonts w:ascii="Arial" w:hAnsi="Arial" w:cs="Arial"/>
          <w:bCs/>
          <w:sz w:val="22"/>
          <w:szCs w:val="22"/>
          <w:lang w:eastAsia="en-US"/>
        </w:rPr>
        <w:t xml:space="preserve"> en consecuencia</w:t>
      </w:r>
      <w:r w:rsidR="00184724">
        <w:rPr>
          <w:rFonts w:ascii="Arial" w:hAnsi="Arial" w:cs="Arial"/>
          <w:bCs/>
          <w:sz w:val="22"/>
          <w:szCs w:val="22"/>
          <w:lang w:eastAsia="en-US"/>
        </w:rPr>
        <w:t>,</w:t>
      </w:r>
      <w:r w:rsidR="00DA2194" w:rsidRPr="006D38B2">
        <w:rPr>
          <w:rFonts w:ascii="Arial" w:hAnsi="Arial" w:cs="Arial"/>
          <w:bCs/>
          <w:sz w:val="22"/>
          <w:szCs w:val="22"/>
          <w:lang w:eastAsia="en-US"/>
        </w:rPr>
        <w:t xml:space="preserve"> debe elegirse.</w:t>
      </w:r>
    </w:p>
    <w:p w14:paraId="3E355293" w14:textId="2AFD0D9E" w:rsidR="009C0B9C" w:rsidRPr="006D38B2" w:rsidRDefault="005A449F" w:rsidP="003F2F3E">
      <w:pPr>
        <w:spacing w:before="120" w:after="0"/>
        <w:ind w:firstLine="709"/>
        <w:rPr>
          <w:rFonts w:ascii="Arial" w:hAnsi="Arial" w:cs="Arial"/>
          <w:bCs/>
          <w:sz w:val="22"/>
          <w:szCs w:val="22"/>
          <w:lang w:eastAsia="en-US"/>
        </w:rPr>
      </w:pPr>
      <w:r>
        <w:rPr>
          <w:rFonts w:ascii="Arial" w:hAnsi="Arial" w:cs="Arial"/>
          <w:bCs/>
          <w:sz w:val="22"/>
          <w:szCs w:val="22"/>
          <w:lang w:eastAsia="en-US"/>
        </w:rPr>
        <w:t xml:space="preserve">Además del artículo 5 de la Ley 1150 de 2007, el deber de selección objetiva y su carácter vinculante encuentre fundamento </w:t>
      </w:r>
      <w:r w:rsidR="00DA2194" w:rsidRPr="006D38B2">
        <w:rPr>
          <w:rFonts w:ascii="Arial" w:hAnsi="Arial" w:cs="Arial"/>
          <w:bCs/>
          <w:sz w:val="22"/>
          <w:szCs w:val="22"/>
          <w:lang w:eastAsia="en-US"/>
        </w:rPr>
        <w:t>en varios apartados</w:t>
      </w:r>
      <w:r>
        <w:rPr>
          <w:rFonts w:ascii="Arial" w:hAnsi="Arial" w:cs="Arial"/>
          <w:bCs/>
          <w:sz w:val="22"/>
          <w:szCs w:val="22"/>
          <w:lang w:eastAsia="en-US"/>
        </w:rPr>
        <w:t xml:space="preserve"> de la Ley 80 de 1993</w:t>
      </w:r>
      <w:r w:rsidR="00DA2194" w:rsidRPr="006D38B2">
        <w:rPr>
          <w:rFonts w:ascii="Arial" w:hAnsi="Arial" w:cs="Arial"/>
          <w:bCs/>
          <w:sz w:val="22"/>
          <w:szCs w:val="22"/>
          <w:lang w:eastAsia="en-US"/>
        </w:rPr>
        <w:t xml:space="preserve">, como: i) el primer inciso del artículo 21, que obliga a las entidades estatales a tener en cuenta la selección objetiva, al garantizar la participación de los oferentes de bienes y servicios de origen nacional, ii) el artículo 24, numeral 5º, literal a), que manda que en los pliegos de condiciones se indiquen «[…] los requisitos objetivos necesarios para participar en el correspondiente proceso de selección», iii)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iv)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vii) el numeral 2 del artículo 30, que dispone que «La entidad interesada elaborará los correspondientes pliegos de condiciones, […], en los cuales se detallarán </w:t>
      </w:r>
      <w:r w:rsidR="00DA2194" w:rsidRPr="006D38B2">
        <w:rPr>
          <w:rFonts w:ascii="Arial" w:hAnsi="Arial" w:cs="Arial"/>
          <w:bCs/>
          <w:sz w:val="22"/>
          <w:szCs w:val="22"/>
          <w:lang w:eastAsia="en-US"/>
        </w:rPr>
        <w:lastRenderedPageBreak/>
        <w:t xml:space="preserve">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viii) el inciso final del artículo 38, que obliga a las entidades estatales que tengan como objeto la prestación de servicios y actividades de telecomunicaciones a respetar el principio de selección objetiva, y ix) el segundo inciso del artículo 76, que ordena cumplir también con dicho principio a las entidades que tengan por objeto la exploración, explotación y comercialización de recursos naturales renovables y no renovables. </w:t>
      </w:r>
    </w:p>
    <w:p w14:paraId="261FF211" w14:textId="4BF94212" w:rsidR="00E415E4" w:rsidRDefault="00DA2194" w:rsidP="003F2F3E">
      <w:pPr>
        <w:spacing w:before="120" w:after="0"/>
        <w:ind w:firstLine="709"/>
        <w:rPr>
          <w:rFonts w:ascii="Arial" w:hAnsi="Arial" w:cs="Arial"/>
          <w:bCs/>
          <w:sz w:val="22"/>
          <w:szCs w:val="22"/>
          <w:lang w:eastAsia="en-US"/>
        </w:rPr>
      </w:pPr>
      <w:r w:rsidRPr="006D38B2">
        <w:rPr>
          <w:rFonts w:ascii="Arial" w:hAnsi="Arial" w:cs="Arial"/>
          <w:bCs/>
          <w:sz w:val="22"/>
          <w:szCs w:val="22"/>
          <w:lang w:eastAsia="en-US"/>
        </w:rPr>
        <w:t>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o ii) el numeral 8º del artículo 2.2.1.2.1.3.13., que establece como obligación del jurado calificador en los concursos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w:t>
      </w:r>
    </w:p>
    <w:p w14:paraId="7130DF69" w14:textId="77777777" w:rsidR="005A449F" w:rsidRDefault="005A449F" w:rsidP="003F2F3E">
      <w:pPr>
        <w:spacing w:before="120" w:after="0"/>
        <w:ind w:firstLine="709"/>
        <w:rPr>
          <w:rFonts w:ascii="Arial" w:hAnsi="Arial" w:cs="Arial"/>
          <w:bCs/>
          <w:sz w:val="22"/>
          <w:szCs w:val="22"/>
          <w:lang w:eastAsia="en-US"/>
        </w:rPr>
      </w:pPr>
      <w:r>
        <w:rPr>
          <w:rFonts w:ascii="Arial" w:hAnsi="Arial" w:cs="Arial"/>
          <w:bCs/>
          <w:sz w:val="22"/>
          <w:szCs w:val="22"/>
          <w:lang w:eastAsia="en-US"/>
        </w:rPr>
        <w:t>A su turno, l</w:t>
      </w:r>
      <w:r w:rsidR="00DA2194" w:rsidRPr="006D38B2">
        <w:rPr>
          <w:rFonts w:ascii="Arial" w:hAnsi="Arial" w:cs="Arial"/>
          <w:bCs/>
          <w:sz w:val="22"/>
          <w:szCs w:val="22"/>
          <w:lang w:eastAsia="en-US"/>
        </w:rPr>
        <w:t>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w:t>
      </w:r>
      <w:r>
        <w:rPr>
          <w:rFonts w:ascii="Arial" w:hAnsi="Arial" w:cs="Arial"/>
          <w:bCs/>
          <w:sz w:val="22"/>
          <w:szCs w:val="22"/>
          <w:lang w:eastAsia="en-US"/>
        </w:rPr>
        <w:t>:</w:t>
      </w:r>
    </w:p>
    <w:p w14:paraId="75C4D3F3" w14:textId="77777777" w:rsidR="005A449F" w:rsidRDefault="005A449F" w:rsidP="002C51EB">
      <w:pPr>
        <w:spacing w:after="0"/>
        <w:ind w:right="709" w:firstLine="709"/>
        <w:rPr>
          <w:rFonts w:ascii="Arial" w:hAnsi="Arial" w:cs="Arial"/>
          <w:bCs/>
          <w:sz w:val="22"/>
          <w:szCs w:val="22"/>
          <w:lang w:eastAsia="en-US"/>
        </w:rPr>
      </w:pPr>
    </w:p>
    <w:p w14:paraId="38D086E7" w14:textId="6527F395" w:rsidR="00F530E3" w:rsidRDefault="005A449F" w:rsidP="003F2F3E">
      <w:pPr>
        <w:spacing w:after="0" w:line="240" w:lineRule="auto"/>
        <w:ind w:left="709" w:right="709"/>
        <w:rPr>
          <w:rFonts w:ascii="Arial" w:hAnsi="Arial" w:cs="Arial"/>
          <w:bCs/>
          <w:sz w:val="21"/>
          <w:szCs w:val="21"/>
          <w:lang w:eastAsia="en-US"/>
        </w:rPr>
      </w:pPr>
      <w:r w:rsidRPr="005A449F">
        <w:rPr>
          <w:rFonts w:ascii="Arial" w:hAnsi="Arial" w:cs="Arial"/>
          <w:bCs/>
          <w:sz w:val="21"/>
          <w:szCs w:val="21"/>
          <w:lang w:eastAsia="en-US"/>
        </w:rPr>
        <w:t>[…]</w:t>
      </w:r>
      <w:r w:rsidR="00DA2194" w:rsidRPr="005A449F">
        <w:rPr>
          <w:rFonts w:ascii="Arial" w:hAnsi="Arial" w:cs="Arial"/>
          <w:bCs/>
          <w:sz w:val="21"/>
          <w:szCs w:val="21"/>
          <w:lang w:eastAsia="en-US"/>
        </w:rPr>
        <w:t>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00DA2194" w:rsidRPr="005A449F">
        <w:rPr>
          <w:rFonts w:ascii="Arial" w:hAnsi="Arial" w:cs="Arial"/>
          <w:bCs/>
          <w:sz w:val="21"/>
          <w:szCs w:val="21"/>
          <w:vertAlign w:val="superscript"/>
          <w:lang w:eastAsia="en-US"/>
        </w:rPr>
        <w:footnoteReference w:id="7"/>
      </w:r>
      <w:r w:rsidR="00DA2194" w:rsidRPr="005A449F">
        <w:rPr>
          <w:rFonts w:ascii="Arial" w:hAnsi="Arial" w:cs="Arial"/>
          <w:bCs/>
          <w:sz w:val="21"/>
          <w:szCs w:val="21"/>
          <w:lang w:eastAsia="en-US"/>
        </w:rPr>
        <w:t xml:space="preserve">. </w:t>
      </w:r>
    </w:p>
    <w:p w14:paraId="1E0A2EAE" w14:textId="77777777" w:rsidR="00F530E3" w:rsidRPr="00F530E3" w:rsidRDefault="00F530E3" w:rsidP="002C51EB">
      <w:pPr>
        <w:spacing w:after="0"/>
        <w:ind w:right="709"/>
        <w:rPr>
          <w:rFonts w:ascii="Arial" w:hAnsi="Arial" w:cs="Arial"/>
          <w:bCs/>
          <w:sz w:val="22"/>
          <w:szCs w:val="22"/>
          <w:lang w:eastAsia="en-US"/>
        </w:rPr>
      </w:pPr>
    </w:p>
    <w:p w14:paraId="65CDAA69" w14:textId="5F8FFE9D" w:rsidR="00F530E3" w:rsidRPr="00F530E3" w:rsidRDefault="00DA2194" w:rsidP="003F2F3E">
      <w:pPr>
        <w:tabs>
          <w:tab w:val="left" w:pos="7938"/>
        </w:tabs>
        <w:spacing w:after="0"/>
        <w:ind w:firstLine="709"/>
        <w:rPr>
          <w:rFonts w:ascii="Arial" w:hAnsi="Arial" w:cs="Arial"/>
          <w:bCs/>
          <w:sz w:val="22"/>
          <w:szCs w:val="22"/>
          <w:lang w:eastAsia="en-US"/>
        </w:rPr>
      </w:pPr>
      <w:r w:rsidRPr="00F530E3">
        <w:rPr>
          <w:rFonts w:ascii="Arial" w:hAnsi="Arial" w:cs="Arial"/>
          <w:bCs/>
          <w:sz w:val="22"/>
          <w:szCs w:val="22"/>
          <w:lang w:eastAsia="en-US"/>
        </w:rPr>
        <w:t xml:space="preserve">Igualmente, ha señalado que «el principio de escogencia o selección objetiva de los contratistas fundamenta uno de los principales deberes de todos los responsables de la contratación estatal en el derecho colombiano, cual es el de mantener intacta la </w:t>
      </w:r>
      <w:r w:rsidRPr="00F530E3">
        <w:rPr>
          <w:rFonts w:ascii="Arial" w:hAnsi="Arial" w:cs="Arial"/>
          <w:bCs/>
          <w:sz w:val="22"/>
          <w:szCs w:val="22"/>
          <w:lang w:eastAsia="en-US"/>
        </w:rPr>
        <w:lastRenderedPageBreak/>
        <w:t>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F530E3">
        <w:rPr>
          <w:rFonts w:ascii="Arial" w:hAnsi="Arial" w:cs="Arial"/>
          <w:bCs/>
          <w:sz w:val="22"/>
          <w:szCs w:val="22"/>
          <w:vertAlign w:val="superscript"/>
          <w:lang w:eastAsia="en-US"/>
        </w:rPr>
        <w:footnoteReference w:id="8"/>
      </w:r>
      <w:r w:rsidRPr="00F530E3">
        <w:rPr>
          <w:rFonts w:ascii="Arial" w:hAnsi="Arial" w:cs="Arial"/>
          <w:bCs/>
          <w:sz w:val="22"/>
          <w:szCs w:val="22"/>
          <w:lang w:eastAsia="en-US"/>
        </w:rPr>
        <w:t>.</w:t>
      </w:r>
    </w:p>
    <w:p w14:paraId="794BA1A1" w14:textId="3227C8AB" w:rsidR="00DA2194" w:rsidRPr="00F530E3" w:rsidRDefault="00DA2194" w:rsidP="003F2F3E">
      <w:pPr>
        <w:tabs>
          <w:tab w:val="left" w:pos="7938"/>
        </w:tabs>
        <w:spacing w:before="120" w:after="0"/>
        <w:ind w:firstLine="709"/>
        <w:rPr>
          <w:rFonts w:ascii="Arial" w:hAnsi="Arial" w:cs="Arial"/>
          <w:bCs/>
          <w:sz w:val="22"/>
          <w:szCs w:val="22"/>
          <w:lang w:eastAsia="en-US"/>
        </w:rPr>
      </w:pPr>
      <w:r w:rsidRPr="00F530E3">
        <w:rPr>
          <w:rFonts w:ascii="Arial" w:hAnsi="Arial" w:cs="Arial"/>
          <w:bCs/>
          <w:sz w:val="22"/>
          <w:szCs w:val="22"/>
          <w:lang w:eastAsia="en-US"/>
        </w:rPr>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 Esta decisión,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 Esta regla se explica a continuación.</w:t>
      </w:r>
    </w:p>
    <w:p w14:paraId="6584A09C" w14:textId="77777777" w:rsidR="00DA2194" w:rsidRPr="006D38B2" w:rsidRDefault="00DA2194" w:rsidP="002C51EB">
      <w:pPr>
        <w:spacing w:after="0"/>
        <w:ind w:right="709"/>
        <w:rPr>
          <w:rFonts w:ascii="Arial" w:hAnsi="Arial" w:cs="Arial"/>
          <w:bCs/>
          <w:sz w:val="22"/>
          <w:szCs w:val="22"/>
          <w:lang w:eastAsia="en-US"/>
        </w:rPr>
      </w:pPr>
    </w:p>
    <w:p w14:paraId="2C127C15" w14:textId="77777777" w:rsidR="00DA2194" w:rsidRPr="00DA2194" w:rsidRDefault="00DA2194" w:rsidP="002C51EB">
      <w:pPr>
        <w:spacing w:after="0"/>
        <w:ind w:right="49"/>
        <w:rPr>
          <w:rFonts w:ascii="Arial" w:hAnsi="Arial" w:cs="Arial"/>
          <w:b/>
          <w:bCs/>
          <w:sz w:val="22"/>
          <w:szCs w:val="22"/>
          <w:lang w:eastAsia="en-US"/>
        </w:rPr>
      </w:pPr>
      <w:r w:rsidRPr="00DA2194">
        <w:rPr>
          <w:rFonts w:ascii="Arial" w:hAnsi="Arial" w:cs="Arial"/>
          <w:b/>
          <w:bCs/>
          <w:sz w:val="22"/>
          <w:szCs w:val="22"/>
          <w:lang w:eastAsia="en-US"/>
        </w:rPr>
        <w:t>2.2. Alcance de la regla de la subsanabilidad de las ofertas en los procedimientos de selección y su diferencia con la figura de la aclaración de ofertas</w:t>
      </w:r>
    </w:p>
    <w:p w14:paraId="5C2EEB53" w14:textId="77777777" w:rsidR="00DA2194" w:rsidRPr="00DA2194" w:rsidRDefault="00DA2194" w:rsidP="002C51EB">
      <w:pPr>
        <w:spacing w:after="0"/>
        <w:ind w:right="49"/>
        <w:rPr>
          <w:rFonts w:ascii="Arial" w:hAnsi="Arial" w:cs="Arial"/>
          <w:b/>
          <w:bCs/>
          <w:sz w:val="22"/>
          <w:szCs w:val="22"/>
          <w:lang w:eastAsia="en-US"/>
        </w:rPr>
      </w:pPr>
    </w:p>
    <w:p w14:paraId="016F3F9E" w14:textId="3416CB48" w:rsidR="00AE38A4" w:rsidRDefault="00F530E3" w:rsidP="003F2F3E">
      <w:pPr>
        <w:spacing w:after="0"/>
        <w:rPr>
          <w:rFonts w:ascii="Arial" w:hAnsi="Arial" w:cs="Arial"/>
          <w:bCs/>
          <w:sz w:val="22"/>
          <w:szCs w:val="22"/>
          <w:lang w:eastAsia="en-US"/>
        </w:rPr>
      </w:pPr>
      <w:r>
        <w:rPr>
          <w:rFonts w:ascii="Arial" w:hAnsi="Arial" w:cs="Arial"/>
          <w:bCs/>
          <w:sz w:val="22"/>
          <w:szCs w:val="22"/>
          <w:lang w:eastAsia="en-US"/>
        </w:rPr>
        <w:t>Tal y como se admite en la consulta formulada en este caso, e</w:t>
      </w:r>
      <w:r w:rsidR="00DA2194" w:rsidRPr="00F530E3">
        <w:rPr>
          <w:rFonts w:ascii="Arial" w:hAnsi="Arial" w:cs="Arial"/>
          <w:bCs/>
          <w:sz w:val="22"/>
          <w:szCs w:val="22"/>
          <w:lang w:eastAsia="en-US"/>
        </w:rPr>
        <w:t>sta Subdirección se ha pronunciado en diversas oportunidades acerca del</w:t>
      </w:r>
      <w:r w:rsidR="00DA2194" w:rsidRPr="00DA2194">
        <w:rPr>
          <w:rFonts w:ascii="Arial" w:hAnsi="Arial" w:cs="Arial"/>
          <w:b/>
          <w:bCs/>
          <w:sz w:val="22"/>
          <w:szCs w:val="22"/>
          <w:lang w:eastAsia="en-US"/>
        </w:rPr>
        <w:t xml:space="preserve"> </w:t>
      </w:r>
      <w:r w:rsidR="00DA2194" w:rsidRPr="00F530E3">
        <w:rPr>
          <w:rFonts w:ascii="Arial" w:hAnsi="Arial" w:cs="Arial"/>
          <w:bCs/>
          <w:sz w:val="22"/>
          <w:szCs w:val="22"/>
          <w:lang w:eastAsia="en-US"/>
        </w:rPr>
        <w:t xml:space="preserve">alcance de la regla de la subsanabilidad, contenida actualmente en el artículo 5 de la Ley 1150 de 2007. Al respecto, la postura que se reitera en el presente concepto es la siguiente: </w:t>
      </w:r>
      <w:r w:rsidR="00C81F56">
        <w:rPr>
          <w:rFonts w:ascii="Arial" w:hAnsi="Arial" w:cs="Arial"/>
          <w:bCs/>
          <w:sz w:val="22"/>
          <w:szCs w:val="22"/>
          <w:lang w:eastAsia="en-US"/>
        </w:rPr>
        <w:t>p</w:t>
      </w:r>
      <w:r w:rsidR="00DA2194" w:rsidRPr="00F530E3">
        <w:rPr>
          <w:rFonts w:ascii="Arial" w:hAnsi="Arial" w:cs="Arial"/>
          <w:bCs/>
          <w:sz w:val="22"/>
          <w:szCs w:val="22"/>
          <w:lang w:eastAsia="en-US"/>
        </w:rPr>
        <w:t>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w:t>
      </w:r>
      <w:r>
        <w:rPr>
          <w:rFonts w:ascii="Arial" w:hAnsi="Arial" w:cs="Arial"/>
          <w:bCs/>
          <w:sz w:val="22"/>
          <w:szCs w:val="22"/>
          <w:lang w:eastAsia="en-US"/>
        </w:rPr>
        <w:t>ioridad al cierre del proceso. De modo que el límite para el ejercicio del derecho a subsanar los requisitos habilitantes y para el deber de las entidades públicas de permitir su ejercicio está definido en la ley, lo que indica que las situaciones en las cuales está restringido fueron previstas por el legislador de forma expresa.</w:t>
      </w:r>
    </w:p>
    <w:p w14:paraId="3BF31A41" w14:textId="698153DC" w:rsidR="009C7A17"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lastRenderedPageBreak/>
        <w:t xml:space="preserve">En efecto, la Agencia Nacional de Contratación Pública – Colombia Compra Eficiente, en el concepto CU — 060 de 16 de enero de 2020, unificó el concepto de la Agencia Nacional de Contratación Pública – Colombia Compra Eficiente en torno al alcance de la regla de la subsanabilidad, contenida actualmente en el artículo 5 de la Ley 1150 de 2007. En dicho concepto se unificó la tesis expuesta en los conceptos con radicado No. 4201913000006471 del 28 de octubre de 2019, 4201912000006711 del 12 de noviembre de 2019 y 4201912000006496 del 15 de noviembre de 2019, la cual fue reiterada en los conceptos 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y C-250 del 2 de junio de 2021. La tesis propuesta en estos conceptos es la que se expone a continuación: </w:t>
      </w:r>
    </w:p>
    <w:p w14:paraId="3295EB3C" w14:textId="217AFC6F" w:rsidR="009C7A17"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 xml:space="preserve">La posibilidad de enmendar, corregir o subsanar los errores en los que se incurre en los documentos contentivos de la oferta es un tema que ha tenido diferentes momentos o etapas en el ordenamiento jurídico colombiano. </w:t>
      </w:r>
    </w:p>
    <w:p w14:paraId="5A3D2E96" w14:textId="0632FC2E" w:rsidR="00C16B2D"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 xml:space="preserve">En un </w:t>
      </w:r>
      <w:r w:rsidRPr="00F530E3">
        <w:rPr>
          <w:rFonts w:ascii="Arial" w:hAnsi="Arial" w:cs="Arial"/>
          <w:bCs/>
          <w:i/>
          <w:sz w:val="22"/>
          <w:szCs w:val="22"/>
          <w:lang w:eastAsia="en-US"/>
        </w:rPr>
        <w:t>primer momento</w:t>
      </w:r>
      <w:r w:rsidRPr="00F530E3">
        <w:rPr>
          <w:rFonts w:ascii="Arial" w:hAnsi="Arial" w:cs="Arial"/>
          <w:bCs/>
          <w:sz w:val="22"/>
          <w:szCs w:val="22"/>
          <w:lang w:eastAsia="en-US"/>
        </w:rPr>
        <w:t xml:space="preserve">,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1281B6A5" w14:textId="6D01199F" w:rsidR="0061545D" w:rsidRPr="0022015C" w:rsidRDefault="00DA2194" w:rsidP="00030F0F">
      <w:pPr>
        <w:spacing w:before="120" w:after="0"/>
        <w:ind w:firstLine="709"/>
        <w:rPr>
          <w:rFonts w:ascii="Arial" w:hAnsi="Arial" w:cs="Arial"/>
          <w:bCs/>
          <w:i/>
          <w:sz w:val="22"/>
          <w:szCs w:val="22"/>
          <w:lang w:eastAsia="en-US"/>
        </w:rPr>
      </w:pPr>
      <w:r w:rsidRPr="00F530E3">
        <w:rPr>
          <w:rFonts w:ascii="Arial" w:hAnsi="Arial" w:cs="Arial"/>
          <w:bCs/>
          <w:sz w:val="22"/>
          <w:szCs w:val="22"/>
          <w:lang w:eastAsia="en-US"/>
        </w:rPr>
        <w:t xml:space="preserve">En un </w:t>
      </w:r>
      <w:r w:rsidRPr="00F530E3">
        <w:rPr>
          <w:rFonts w:ascii="Arial" w:hAnsi="Arial" w:cs="Arial"/>
          <w:bCs/>
          <w:i/>
          <w:sz w:val="22"/>
          <w:szCs w:val="22"/>
          <w:lang w:eastAsia="en-US"/>
        </w:rPr>
        <w:t>segundo momento</w:t>
      </w:r>
      <w:r w:rsidRPr="00F530E3">
        <w:rPr>
          <w:rFonts w:ascii="Arial" w:hAnsi="Arial" w:cs="Arial"/>
          <w:bCs/>
          <w:sz w:val="22"/>
          <w:szCs w:val="22"/>
          <w:lang w:eastAsia="en-US"/>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 En este nuevo escenario constitucional, el numeral 15 del artículo 25 de la Ley 80 de 1993 dispuso lo siguiente: </w:t>
      </w:r>
      <w:r w:rsidR="0022015C" w:rsidRPr="0022015C">
        <w:rPr>
          <w:rFonts w:ascii="Arial" w:hAnsi="Arial" w:cs="Arial"/>
          <w:bCs/>
          <w:sz w:val="22"/>
          <w:szCs w:val="22"/>
          <w:lang w:eastAsia="en-US"/>
        </w:rPr>
        <w:t>«</w:t>
      </w:r>
      <w:r w:rsidRPr="0022015C">
        <w:rPr>
          <w:rFonts w:ascii="Arial" w:hAnsi="Arial" w:cs="Arial"/>
          <w:bCs/>
          <w:i/>
          <w:sz w:val="22"/>
          <w:szCs w:val="22"/>
          <w:lang w:eastAsia="en-US"/>
        </w:rPr>
        <w:t>15. Las autoridades no exigirán sellos, autenticaciones, documentos originales o autenticados, reconocimientos de firmas, traducciones oficiales, ni cualquier otra clase de formalidades o exigencias rituales, salvo cuando en forma perentoria y expresa lo exijan leyes especiales.</w:t>
      </w:r>
      <w:r w:rsidR="0022015C" w:rsidRPr="0022015C">
        <w:rPr>
          <w:rFonts w:ascii="Arial" w:hAnsi="Arial" w:cs="Arial"/>
          <w:bCs/>
          <w:i/>
          <w:sz w:val="22"/>
          <w:szCs w:val="22"/>
          <w:lang w:eastAsia="en-US"/>
        </w:rPr>
        <w:t xml:space="preserve"> La ausencia de requisitos o la falta de documentos referentes a la futura contratación o al proponente, no necesarios para la comparación de propuestas, no servirá de título suficiente para el recha</w:t>
      </w:r>
      <w:r w:rsidR="0022015C">
        <w:rPr>
          <w:rFonts w:ascii="Arial" w:hAnsi="Arial" w:cs="Arial"/>
          <w:bCs/>
          <w:i/>
          <w:sz w:val="22"/>
          <w:szCs w:val="22"/>
          <w:lang w:eastAsia="en-US"/>
        </w:rPr>
        <w:t>zo de los ofrecimientos hechos</w:t>
      </w:r>
      <w:r w:rsidR="0022015C" w:rsidRPr="0022015C">
        <w:rPr>
          <w:rFonts w:ascii="Arial" w:hAnsi="Arial" w:cs="Arial"/>
          <w:bCs/>
          <w:i/>
          <w:sz w:val="22"/>
          <w:szCs w:val="22"/>
          <w:lang w:eastAsia="en-US"/>
        </w:rPr>
        <w:t>»</w:t>
      </w:r>
      <w:r w:rsidR="0061545D">
        <w:rPr>
          <w:rFonts w:ascii="Arial" w:hAnsi="Arial" w:cs="Arial"/>
          <w:bCs/>
          <w:i/>
          <w:sz w:val="22"/>
          <w:szCs w:val="22"/>
          <w:lang w:eastAsia="en-US"/>
        </w:rPr>
        <w:t>.</w:t>
      </w:r>
      <w:r w:rsidRPr="0022015C">
        <w:rPr>
          <w:rFonts w:ascii="Arial" w:hAnsi="Arial" w:cs="Arial"/>
          <w:bCs/>
          <w:i/>
          <w:sz w:val="22"/>
          <w:szCs w:val="22"/>
          <w:lang w:eastAsia="en-US"/>
        </w:rPr>
        <w:t xml:space="preserve"> </w:t>
      </w:r>
    </w:p>
    <w:p w14:paraId="5A4E8E02" w14:textId="09972BD7" w:rsidR="00097C83"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Bajo el amparo de esta norma, el régimen jurídico de subsanabilidad de las ofertas sufr</w:t>
      </w:r>
      <w:r w:rsidR="0061545D">
        <w:rPr>
          <w:rFonts w:ascii="Arial" w:hAnsi="Arial" w:cs="Arial"/>
          <w:bCs/>
          <w:sz w:val="22"/>
          <w:szCs w:val="22"/>
          <w:lang w:eastAsia="en-US"/>
        </w:rPr>
        <w:t>ió</w:t>
      </w:r>
      <w:r w:rsidRPr="00F530E3">
        <w:rPr>
          <w:rFonts w:ascii="Arial" w:hAnsi="Arial" w:cs="Arial"/>
          <w:bCs/>
          <w:sz w:val="22"/>
          <w:szCs w:val="22"/>
          <w:lang w:eastAsia="en-US"/>
        </w:rPr>
        <w:t xml:space="preserve"> un cambio fundamental, pues ya no era posible rechazar las ofertas por falta de </w:t>
      </w:r>
      <w:r w:rsidRPr="00F530E3">
        <w:rPr>
          <w:rFonts w:ascii="Arial" w:hAnsi="Arial" w:cs="Arial"/>
          <w:bCs/>
          <w:sz w:val="22"/>
          <w:szCs w:val="22"/>
          <w:lang w:eastAsia="en-US"/>
        </w:rPr>
        <w:lastRenderedPageBreak/>
        <w:t xml:space="preserve">requisitos o documentos que no fueran </w:t>
      </w:r>
      <w:r w:rsidR="00097C83">
        <w:rPr>
          <w:rFonts w:ascii="Arial" w:hAnsi="Arial" w:cs="Arial"/>
          <w:bCs/>
          <w:sz w:val="22"/>
          <w:szCs w:val="22"/>
          <w:lang w:eastAsia="en-US"/>
        </w:rPr>
        <w:t>«</w:t>
      </w:r>
      <w:r w:rsidRPr="00F530E3">
        <w:rPr>
          <w:rFonts w:ascii="Arial" w:hAnsi="Arial" w:cs="Arial"/>
          <w:bCs/>
          <w:i/>
          <w:sz w:val="22"/>
          <w:szCs w:val="22"/>
          <w:lang w:eastAsia="en-US"/>
        </w:rPr>
        <w:t>necesarios para la comparación de propuestas</w:t>
      </w:r>
      <w:r w:rsidR="00097C83">
        <w:rPr>
          <w:rFonts w:ascii="Arial" w:hAnsi="Arial" w:cs="Arial"/>
          <w:bCs/>
          <w:sz w:val="22"/>
          <w:szCs w:val="22"/>
          <w:lang w:eastAsia="en-US"/>
        </w:rPr>
        <w:t>»</w:t>
      </w:r>
      <w:r w:rsidRPr="00F530E3">
        <w:rPr>
          <w:rFonts w:ascii="Arial" w:hAnsi="Arial" w:cs="Arial"/>
          <w:bCs/>
          <w:sz w:val="22"/>
          <w:szCs w:val="22"/>
          <w:lang w:eastAsia="en-US"/>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326DD84E" w14:textId="077992AD" w:rsidR="00E12297" w:rsidRPr="00F530E3"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Esta norma debía leerse en conjunto con otras de la Ley 80 de 1993, particularmente con el artículo 30.7</w:t>
      </w:r>
      <w:r w:rsidRPr="00F530E3">
        <w:rPr>
          <w:rFonts w:ascii="Arial" w:hAnsi="Arial" w:cs="Arial"/>
          <w:bCs/>
          <w:sz w:val="22"/>
          <w:szCs w:val="22"/>
          <w:vertAlign w:val="superscript"/>
          <w:lang w:eastAsia="en-US"/>
        </w:rPr>
        <w:footnoteReference w:id="9"/>
      </w:r>
      <w:r w:rsidRPr="00F530E3">
        <w:rPr>
          <w:rFonts w:ascii="Arial" w:hAnsi="Arial" w:cs="Arial"/>
          <w:bCs/>
          <w:sz w:val="22"/>
          <w:szCs w:val="22"/>
          <w:lang w:eastAsia="en-US"/>
        </w:rPr>
        <w:t>, que ordena a la entidad señalar un plazo razonable para evaluar las propuestas y pedir a los proponentes, de ser necesario, que aclaren o expliquen aspectos que ofrezcan dudas y resulten indispensables para hacer la evaluación; y con el artículo 30.8</w:t>
      </w:r>
      <w:r w:rsidRPr="00F530E3">
        <w:rPr>
          <w:rFonts w:ascii="Arial" w:hAnsi="Arial" w:cs="Arial"/>
          <w:bCs/>
          <w:sz w:val="22"/>
          <w:szCs w:val="22"/>
          <w:vertAlign w:val="superscript"/>
          <w:lang w:eastAsia="en-US"/>
        </w:rPr>
        <w:footnoteReference w:id="10"/>
      </w:r>
      <w:r w:rsidRPr="00F530E3">
        <w:rPr>
          <w:rFonts w:ascii="Arial" w:hAnsi="Arial" w:cs="Arial"/>
          <w:bCs/>
          <w:sz w:val="22"/>
          <w:szCs w:val="22"/>
          <w:lang w:eastAsia="en-US"/>
        </w:rPr>
        <w:t xml:space="preserve">, que consagró el término de 5 días hábiles para que los oferentes presenten observaciones al informe de evaluación de las propuestas, sin que sea posible completar, adicionar, </w:t>
      </w:r>
      <w:r w:rsidR="0022015C">
        <w:rPr>
          <w:rFonts w:ascii="Arial" w:hAnsi="Arial" w:cs="Arial"/>
          <w:bCs/>
          <w:sz w:val="22"/>
          <w:szCs w:val="22"/>
          <w:lang w:eastAsia="en-US"/>
        </w:rPr>
        <w:t>modificar o mejorar la oferta.</w:t>
      </w:r>
    </w:p>
    <w:p w14:paraId="71342CAA" w14:textId="5DFCB9D5" w:rsidR="00AA50AA"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 xml:space="preserve">A partir de la lectura integrada de estas tres normas </w:t>
      </w:r>
      <w:r w:rsidR="0022015C">
        <w:rPr>
          <w:rFonts w:ascii="Arial" w:hAnsi="Arial" w:cs="Arial"/>
          <w:bCs/>
          <w:sz w:val="22"/>
          <w:szCs w:val="22"/>
          <w:lang w:eastAsia="en-US"/>
        </w:rPr>
        <w:t>se imponía concluir</w:t>
      </w:r>
      <w:r w:rsidRPr="00F530E3">
        <w:rPr>
          <w:rFonts w:ascii="Arial" w:hAnsi="Arial" w:cs="Arial"/>
          <w:bCs/>
          <w:sz w:val="22"/>
          <w:szCs w:val="22"/>
          <w:lang w:eastAsia="en-US"/>
        </w:rPr>
        <w:t xml:space="preserve"> que con la Ley 80 de 1993 era posible subsanar las propuestas, y la omisión o el error en algún aspecto de la misma no podía llevar a su rechazo, sin antes verificar que lo omitido fuera un aspecto necesario para la comparación. </w:t>
      </w:r>
    </w:p>
    <w:p w14:paraId="7017646C" w14:textId="77777777" w:rsidR="00DA2194" w:rsidRPr="00F530E3"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 xml:space="preserve">En un </w:t>
      </w:r>
      <w:r w:rsidRPr="00F530E3">
        <w:rPr>
          <w:rFonts w:ascii="Arial" w:hAnsi="Arial" w:cs="Arial"/>
          <w:bCs/>
          <w:i/>
          <w:sz w:val="22"/>
          <w:szCs w:val="22"/>
          <w:lang w:eastAsia="en-US"/>
        </w:rPr>
        <w:t>tercer momento</w:t>
      </w:r>
      <w:r w:rsidRPr="00F530E3">
        <w:rPr>
          <w:rFonts w:ascii="Arial" w:hAnsi="Arial" w:cs="Arial"/>
          <w:bCs/>
          <w:sz w:val="22"/>
          <w:szCs w:val="22"/>
          <w:lang w:eastAsia="en-US"/>
        </w:rPr>
        <w:t xml:space="preserve">, y siguiendo la línea trazada por la Ley 80 de 1993, el legislador expidió la Ley 1150 de 2007, que, en el parágrafo 1º del artículo 5, determinó lo siguiente: </w:t>
      </w:r>
    </w:p>
    <w:p w14:paraId="4C7472CD" w14:textId="77777777" w:rsidR="00DA2194" w:rsidRPr="00F530E3" w:rsidRDefault="00DA2194" w:rsidP="002C51EB">
      <w:pPr>
        <w:spacing w:after="0"/>
        <w:ind w:right="709"/>
        <w:rPr>
          <w:rFonts w:ascii="Arial" w:hAnsi="Arial" w:cs="Arial"/>
          <w:bCs/>
          <w:sz w:val="22"/>
          <w:szCs w:val="22"/>
          <w:lang w:eastAsia="en-US"/>
        </w:rPr>
      </w:pPr>
    </w:p>
    <w:p w14:paraId="2A650E25" w14:textId="08D22E6A" w:rsidR="00DA2194" w:rsidRPr="0022015C" w:rsidRDefault="00DA2194" w:rsidP="00030F0F">
      <w:pPr>
        <w:spacing w:after="0" w:line="240" w:lineRule="auto"/>
        <w:ind w:left="709" w:right="709"/>
        <w:rPr>
          <w:rFonts w:ascii="Arial" w:hAnsi="Arial" w:cs="Arial"/>
          <w:bCs/>
          <w:i/>
          <w:sz w:val="21"/>
          <w:szCs w:val="21"/>
          <w:lang w:eastAsia="en-US"/>
        </w:rPr>
      </w:pPr>
      <w:r w:rsidRPr="0022015C">
        <w:rPr>
          <w:rFonts w:ascii="Arial" w:hAnsi="Arial" w:cs="Arial"/>
          <w:bCs/>
          <w:sz w:val="21"/>
          <w:szCs w:val="21"/>
          <w:lang w:eastAsia="en-US"/>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w:t>
      </w:r>
      <w:r w:rsidR="0018180F" w:rsidRPr="0022015C">
        <w:rPr>
          <w:rFonts w:ascii="Arial" w:hAnsi="Arial" w:cs="Arial"/>
          <w:bCs/>
          <w:sz w:val="21"/>
          <w:szCs w:val="21"/>
          <w:lang w:eastAsia="en-US"/>
        </w:rPr>
        <w:t>obstante,</w:t>
      </w:r>
      <w:r w:rsidRPr="0022015C">
        <w:rPr>
          <w:rFonts w:ascii="Arial" w:hAnsi="Arial" w:cs="Arial"/>
          <w:bCs/>
          <w:sz w:val="21"/>
          <w:szCs w:val="21"/>
          <w:lang w:eastAsia="en-US"/>
        </w:rPr>
        <w:t xml:space="preserve"> lo anterior, en aquellos procesos de selección en los que se utilice el mecanismo de subasta, deberán ser solicitados hasta el momento previo a su realización</w:t>
      </w:r>
      <w:r w:rsidR="0022015C" w:rsidRPr="0022015C">
        <w:rPr>
          <w:rFonts w:ascii="Arial" w:hAnsi="Arial" w:cs="Arial"/>
          <w:bCs/>
          <w:i/>
          <w:sz w:val="21"/>
          <w:szCs w:val="21"/>
          <w:lang w:eastAsia="en-US"/>
        </w:rPr>
        <w:t>.</w:t>
      </w:r>
      <w:r w:rsidRPr="0022015C">
        <w:rPr>
          <w:rFonts w:ascii="Arial" w:hAnsi="Arial" w:cs="Arial"/>
          <w:bCs/>
          <w:i/>
          <w:sz w:val="21"/>
          <w:szCs w:val="21"/>
          <w:lang w:eastAsia="en-US"/>
        </w:rPr>
        <w:t xml:space="preserve"> </w:t>
      </w:r>
    </w:p>
    <w:p w14:paraId="01DC7BF5" w14:textId="77777777" w:rsidR="00DA2194" w:rsidRPr="00F530E3" w:rsidRDefault="00DA2194" w:rsidP="002C51EB">
      <w:pPr>
        <w:spacing w:after="0"/>
        <w:ind w:right="709"/>
        <w:rPr>
          <w:rFonts w:ascii="Arial" w:hAnsi="Arial" w:cs="Arial"/>
          <w:bCs/>
          <w:sz w:val="22"/>
          <w:szCs w:val="22"/>
          <w:lang w:eastAsia="en-US"/>
        </w:rPr>
      </w:pPr>
    </w:p>
    <w:p w14:paraId="2C687FD7" w14:textId="1C10E6D8" w:rsidR="007018FD" w:rsidRDefault="00DA2194" w:rsidP="00030F0F">
      <w:pPr>
        <w:spacing w:after="0"/>
        <w:ind w:firstLine="709"/>
        <w:rPr>
          <w:rFonts w:ascii="Arial" w:hAnsi="Arial" w:cs="Arial"/>
          <w:bCs/>
          <w:sz w:val="22"/>
          <w:szCs w:val="22"/>
          <w:lang w:eastAsia="en-US"/>
        </w:rPr>
      </w:pPr>
      <w:r w:rsidRPr="00F530E3">
        <w:rPr>
          <w:rFonts w:ascii="Arial" w:hAnsi="Arial" w:cs="Arial"/>
          <w:bCs/>
          <w:sz w:val="22"/>
          <w:szCs w:val="22"/>
          <w:lang w:eastAsia="en-US"/>
        </w:rPr>
        <w:lastRenderedPageBreak/>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w:t>
      </w:r>
      <w:r w:rsidR="004037C6" w:rsidRPr="00F530E3">
        <w:rPr>
          <w:rFonts w:ascii="Arial" w:hAnsi="Arial" w:cs="Arial"/>
          <w:bCs/>
          <w:sz w:val="22"/>
          <w:szCs w:val="22"/>
          <w:lang w:eastAsia="en-US"/>
        </w:rPr>
        <w:t xml:space="preserve">o no </w:t>
      </w:r>
      <w:r w:rsidRPr="00F530E3">
        <w:rPr>
          <w:rFonts w:ascii="Arial" w:hAnsi="Arial" w:cs="Arial"/>
          <w:bCs/>
          <w:sz w:val="22"/>
          <w:szCs w:val="22"/>
          <w:lang w:eastAsia="en-US"/>
        </w:rPr>
        <w:t>de los aspectos que otorgan puntaje. Si</w:t>
      </w:r>
      <w:r w:rsidR="004037C6">
        <w:rPr>
          <w:rFonts w:ascii="Arial" w:hAnsi="Arial" w:cs="Arial"/>
          <w:bCs/>
          <w:sz w:val="22"/>
          <w:szCs w:val="22"/>
          <w:lang w:eastAsia="en-US"/>
        </w:rPr>
        <w:t>,</w:t>
      </w:r>
      <w:r w:rsidRPr="00F530E3">
        <w:rPr>
          <w:rFonts w:ascii="Arial" w:hAnsi="Arial" w:cs="Arial"/>
          <w:bCs/>
          <w:sz w:val="22"/>
          <w:szCs w:val="22"/>
          <w:lang w:eastAsia="en-US"/>
        </w:rPr>
        <w:t xml:space="preserve"> al verificar</w:t>
      </w:r>
      <w:r w:rsidR="004037C6">
        <w:rPr>
          <w:rFonts w:ascii="Arial" w:hAnsi="Arial" w:cs="Arial"/>
          <w:bCs/>
          <w:sz w:val="22"/>
          <w:szCs w:val="22"/>
          <w:lang w:eastAsia="en-US"/>
        </w:rPr>
        <w:t>,</w:t>
      </w:r>
      <w:r w:rsidRPr="00F530E3">
        <w:rPr>
          <w:rFonts w:ascii="Arial" w:hAnsi="Arial" w:cs="Arial"/>
          <w:bCs/>
          <w:sz w:val="22"/>
          <w:szCs w:val="22"/>
          <w:lang w:eastAsia="en-US"/>
        </w:rPr>
        <w:t xml:space="preserve"> la Administración encuentra que lo omitido por el proponente es un aspecto que otorga puntaje, no es posible subsanarlo; pero, si no otorga puntaje</w:t>
      </w:r>
      <w:r w:rsidR="007018FD">
        <w:rPr>
          <w:rFonts w:ascii="Arial" w:hAnsi="Arial" w:cs="Arial"/>
          <w:bCs/>
          <w:sz w:val="22"/>
          <w:szCs w:val="22"/>
          <w:lang w:eastAsia="en-US"/>
        </w:rPr>
        <w:t>,</w:t>
      </w:r>
      <w:r w:rsidRPr="00F530E3">
        <w:rPr>
          <w:rFonts w:ascii="Arial" w:hAnsi="Arial" w:cs="Arial"/>
          <w:bCs/>
          <w:sz w:val="22"/>
          <w:szCs w:val="22"/>
          <w:lang w:eastAsia="en-US"/>
        </w:rPr>
        <w:t xml:space="preserve"> la Administración debe requerir al proponente para que lo subsane.</w:t>
      </w:r>
    </w:p>
    <w:p w14:paraId="5627396C" w14:textId="31D90E98" w:rsidR="00DA2194" w:rsidRPr="00F530E3"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 xml:space="preserve">El artículo 5 de la Ley 1150 de 2007, además de consagrar un criterio más claro, y, de paso, reducir la discrecionalidad de la Administración, fijó un ámbito temporal para la subsanación de las ofertas: </w:t>
      </w:r>
      <w:r w:rsidR="007018FD">
        <w:rPr>
          <w:rFonts w:ascii="Arial" w:hAnsi="Arial" w:cs="Arial"/>
          <w:bCs/>
          <w:sz w:val="22"/>
          <w:szCs w:val="22"/>
          <w:lang w:eastAsia="en-US"/>
        </w:rPr>
        <w:t>«</w:t>
      </w:r>
      <w:r w:rsidRPr="00F530E3">
        <w:rPr>
          <w:rFonts w:ascii="Arial" w:hAnsi="Arial" w:cs="Arial"/>
          <w:bCs/>
          <w:i/>
          <w:sz w:val="22"/>
          <w:szCs w:val="22"/>
          <w:lang w:eastAsia="en-US"/>
        </w:rPr>
        <w:t>en cualquier momento, hasta la adjudicación</w:t>
      </w:r>
      <w:r w:rsidR="007018FD">
        <w:rPr>
          <w:rFonts w:ascii="Arial" w:hAnsi="Arial" w:cs="Arial"/>
          <w:bCs/>
          <w:sz w:val="22"/>
          <w:szCs w:val="22"/>
          <w:lang w:eastAsia="en-US"/>
        </w:rPr>
        <w:t>»</w:t>
      </w:r>
      <w:r w:rsidRPr="00F530E3">
        <w:rPr>
          <w:rFonts w:ascii="Arial" w:hAnsi="Arial" w:cs="Arial"/>
          <w:bCs/>
          <w:sz w:val="22"/>
          <w:szCs w:val="22"/>
          <w:lang w:eastAsia="en-US"/>
        </w:rPr>
        <w:t>. El Consejo de Estado, con particular sindéresis, concluyó que</w:t>
      </w:r>
      <w:r w:rsidR="007018FD">
        <w:rPr>
          <w:rFonts w:ascii="Arial" w:hAnsi="Arial" w:cs="Arial"/>
          <w:bCs/>
          <w:sz w:val="22"/>
          <w:szCs w:val="22"/>
          <w:lang w:eastAsia="en-US"/>
        </w:rPr>
        <w:t>,</w:t>
      </w:r>
      <w:r w:rsidRPr="00F530E3">
        <w:rPr>
          <w:rFonts w:ascii="Arial" w:hAnsi="Arial" w:cs="Arial"/>
          <w:bCs/>
          <w:sz w:val="22"/>
          <w:szCs w:val="22"/>
          <w:lang w:eastAsia="en-US"/>
        </w:rPr>
        <w:t xml:space="preserve"> a partir del parágrafo 1º del artículo 5 de la Ley 1150, la definición de lo que es subsanable y lo que no lo es surge a partir del planteamiento de la pregunta sobre si el defecto asigna puntaje o no, en estos términos: </w:t>
      </w:r>
    </w:p>
    <w:p w14:paraId="39D2CCD5" w14:textId="77777777" w:rsidR="00DA2194" w:rsidRPr="00F530E3" w:rsidRDefault="00DA2194" w:rsidP="002C51EB">
      <w:pPr>
        <w:spacing w:after="0"/>
        <w:ind w:right="709"/>
        <w:rPr>
          <w:rFonts w:ascii="Arial" w:hAnsi="Arial" w:cs="Arial"/>
          <w:bCs/>
          <w:sz w:val="22"/>
          <w:szCs w:val="22"/>
          <w:lang w:eastAsia="en-US"/>
        </w:rPr>
      </w:pPr>
    </w:p>
    <w:p w14:paraId="6708C917" w14:textId="15AE4BDE" w:rsidR="00DA2194" w:rsidRPr="0022015C" w:rsidRDefault="00DA2194" w:rsidP="00030F0F">
      <w:pPr>
        <w:spacing w:after="0" w:line="240" w:lineRule="auto"/>
        <w:ind w:left="709" w:right="709"/>
        <w:rPr>
          <w:rFonts w:ascii="Arial" w:hAnsi="Arial" w:cs="Arial"/>
          <w:bCs/>
          <w:sz w:val="21"/>
          <w:szCs w:val="21"/>
          <w:lang w:eastAsia="en-US"/>
        </w:rPr>
      </w:pPr>
      <w:r w:rsidRPr="0022015C">
        <w:rPr>
          <w:rFonts w:ascii="Arial" w:hAnsi="Arial" w:cs="Arial"/>
          <w:bCs/>
          <w:sz w:val="21"/>
          <w:szCs w:val="21"/>
          <w:lang w:eastAsia="en-US"/>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22015C">
        <w:rPr>
          <w:rFonts w:ascii="Arial" w:hAnsi="Arial" w:cs="Arial"/>
          <w:bCs/>
          <w:sz w:val="21"/>
          <w:szCs w:val="21"/>
          <w:vertAlign w:val="superscript"/>
          <w:lang w:eastAsia="en-US"/>
        </w:rPr>
        <w:footnoteReference w:id="11"/>
      </w:r>
      <w:r w:rsidRPr="0022015C">
        <w:rPr>
          <w:rFonts w:ascii="Arial" w:hAnsi="Arial" w:cs="Arial"/>
          <w:bCs/>
          <w:sz w:val="21"/>
          <w:szCs w:val="21"/>
          <w:lang w:eastAsia="en-US"/>
        </w:rPr>
        <w:t>.</w:t>
      </w:r>
    </w:p>
    <w:p w14:paraId="57175CA8" w14:textId="77777777" w:rsidR="00DA2194" w:rsidRPr="00F530E3" w:rsidRDefault="00DA2194" w:rsidP="002C51EB">
      <w:pPr>
        <w:spacing w:after="0"/>
        <w:ind w:right="709"/>
        <w:rPr>
          <w:rFonts w:ascii="Arial" w:hAnsi="Arial" w:cs="Arial"/>
          <w:bCs/>
          <w:sz w:val="22"/>
          <w:szCs w:val="22"/>
          <w:lang w:eastAsia="en-US"/>
        </w:rPr>
      </w:pPr>
    </w:p>
    <w:p w14:paraId="118E06A3" w14:textId="5AA12E6E" w:rsidR="00774F0E" w:rsidRDefault="00DA2194" w:rsidP="00030F0F">
      <w:pPr>
        <w:spacing w:after="0"/>
        <w:ind w:firstLine="709"/>
        <w:rPr>
          <w:rFonts w:ascii="Arial" w:hAnsi="Arial" w:cs="Arial"/>
          <w:bCs/>
          <w:sz w:val="22"/>
          <w:szCs w:val="22"/>
          <w:lang w:eastAsia="en-US"/>
        </w:rPr>
      </w:pPr>
      <w:r w:rsidRPr="00F530E3">
        <w:rPr>
          <w:rFonts w:ascii="Arial" w:hAnsi="Arial" w:cs="Arial"/>
          <w:bCs/>
          <w:sz w:val="22"/>
          <w:szCs w:val="22"/>
          <w:lang w:eastAsia="en-US"/>
        </w:rPr>
        <w:t>Esa interpretación fue compartida por la Agencia Nacional de Contratación Pública – Colombia Compra Eficiente, pues en la Circular Externa Única se precisó que</w:t>
      </w:r>
      <w:r w:rsidR="0022015C">
        <w:rPr>
          <w:rFonts w:ascii="Arial" w:hAnsi="Arial" w:cs="Arial"/>
          <w:bCs/>
          <w:sz w:val="22"/>
          <w:szCs w:val="22"/>
          <w:lang w:eastAsia="en-US"/>
        </w:rPr>
        <w:t>,</w:t>
      </w:r>
      <w:r w:rsidRPr="00F530E3">
        <w:rPr>
          <w:rFonts w:ascii="Arial" w:hAnsi="Arial" w:cs="Arial"/>
          <w:bCs/>
          <w:sz w:val="22"/>
          <w:szCs w:val="22"/>
          <w:lang w:eastAsia="en-US"/>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64788067" w14:textId="747F274C" w:rsidR="00DA2194" w:rsidRPr="00F530E3"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 xml:space="preserve">En un </w:t>
      </w:r>
      <w:r w:rsidRPr="00F530E3">
        <w:rPr>
          <w:rFonts w:ascii="Arial" w:hAnsi="Arial" w:cs="Arial"/>
          <w:bCs/>
          <w:i/>
          <w:sz w:val="22"/>
          <w:szCs w:val="22"/>
          <w:lang w:eastAsia="en-US"/>
        </w:rPr>
        <w:t>cuarto momento</w:t>
      </w:r>
      <w:r w:rsidRPr="00F530E3">
        <w:rPr>
          <w:rFonts w:ascii="Arial" w:hAnsi="Arial" w:cs="Arial"/>
          <w:bCs/>
          <w:sz w:val="22"/>
          <w:szCs w:val="22"/>
          <w:lang w:eastAsia="en-US"/>
        </w:rPr>
        <w:t xml:space="preserve">, el legislador expidió la Ley 1882 de 2018, con la finalidad de introducir cambios y ajustes para fortalecer la contratación pública. El artículo 5 </w:t>
      </w:r>
      <w:r w:rsidRPr="00F530E3">
        <w:rPr>
          <w:rFonts w:ascii="Arial" w:hAnsi="Arial" w:cs="Arial"/>
          <w:bCs/>
          <w:sz w:val="22"/>
          <w:szCs w:val="22"/>
          <w:lang w:eastAsia="en-US"/>
        </w:rPr>
        <w:lastRenderedPageBreak/>
        <w:t>modificó el parágrafo 1º del artículo 5 de la Ley 1150 de 2007</w:t>
      </w:r>
      <w:r w:rsidR="0022015C">
        <w:rPr>
          <w:rFonts w:ascii="Arial" w:hAnsi="Arial" w:cs="Arial"/>
          <w:bCs/>
          <w:sz w:val="22"/>
          <w:szCs w:val="22"/>
          <w:lang w:eastAsia="en-US"/>
        </w:rPr>
        <w:t xml:space="preserve">, cuyo texto </w:t>
      </w:r>
      <w:r w:rsidR="00774F0E">
        <w:rPr>
          <w:rFonts w:ascii="Arial" w:hAnsi="Arial" w:cs="Arial"/>
          <w:bCs/>
          <w:sz w:val="22"/>
          <w:szCs w:val="22"/>
          <w:lang w:eastAsia="en-US"/>
        </w:rPr>
        <w:t xml:space="preserve">reformado </w:t>
      </w:r>
      <w:r w:rsidR="0022015C">
        <w:rPr>
          <w:rFonts w:ascii="Arial" w:hAnsi="Arial" w:cs="Arial"/>
          <w:bCs/>
          <w:sz w:val="22"/>
          <w:szCs w:val="22"/>
          <w:lang w:eastAsia="en-US"/>
        </w:rPr>
        <w:t>es el siguiente</w:t>
      </w:r>
      <w:r w:rsidRPr="00F530E3">
        <w:rPr>
          <w:rFonts w:ascii="Arial" w:hAnsi="Arial" w:cs="Arial"/>
          <w:bCs/>
          <w:sz w:val="22"/>
          <w:szCs w:val="22"/>
          <w:lang w:eastAsia="en-US"/>
        </w:rPr>
        <w:t xml:space="preserve">: </w:t>
      </w:r>
    </w:p>
    <w:p w14:paraId="7A943F2D" w14:textId="77777777" w:rsidR="00774F0E" w:rsidRDefault="00774F0E" w:rsidP="00774F0E">
      <w:pPr>
        <w:spacing w:after="0" w:line="240" w:lineRule="auto"/>
        <w:ind w:left="709" w:right="709"/>
        <w:rPr>
          <w:rFonts w:ascii="Arial" w:hAnsi="Arial" w:cs="Arial"/>
          <w:bCs/>
          <w:sz w:val="21"/>
          <w:szCs w:val="21"/>
          <w:lang w:eastAsia="en-US"/>
        </w:rPr>
      </w:pPr>
    </w:p>
    <w:p w14:paraId="01696DFB" w14:textId="4D1379AE" w:rsidR="00DA2194" w:rsidRPr="0022015C" w:rsidRDefault="00DA2194" w:rsidP="00030F0F">
      <w:pPr>
        <w:spacing w:after="0" w:line="240" w:lineRule="auto"/>
        <w:ind w:left="709" w:right="709"/>
        <w:rPr>
          <w:rFonts w:ascii="Arial" w:hAnsi="Arial" w:cs="Arial"/>
          <w:bCs/>
          <w:sz w:val="21"/>
          <w:szCs w:val="21"/>
          <w:lang w:eastAsia="en-US"/>
        </w:rPr>
      </w:pPr>
      <w:r w:rsidRPr="0022015C">
        <w:rPr>
          <w:rFonts w:ascii="Arial" w:hAnsi="Arial" w:cs="Arial"/>
          <w:bCs/>
          <w:sz w:val="21"/>
          <w:szCs w:val="21"/>
          <w:lang w:eastAsia="en-US"/>
        </w:rPr>
        <w:t xml:space="preserve">Artículo 5°. De la selección objetiva. </w:t>
      </w:r>
    </w:p>
    <w:p w14:paraId="44ACD4FB" w14:textId="77777777" w:rsidR="00DA2194" w:rsidRPr="0022015C" w:rsidRDefault="00DA2194" w:rsidP="00030F0F">
      <w:pPr>
        <w:spacing w:after="0" w:line="240" w:lineRule="auto"/>
        <w:ind w:left="709" w:right="709"/>
        <w:rPr>
          <w:rFonts w:ascii="Arial" w:hAnsi="Arial" w:cs="Arial"/>
          <w:bCs/>
          <w:sz w:val="21"/>
          <w:szCs w:val="21"/>
          <w:lang w:eastAsia="en-US"/>
        </w:rPr>
      </w:pPr>
      <w:r w:rsidRPr="0022015C">
        <w:rPr>
          <w:rFonts w:ascii="Arial" w:hAnsi="Arial" w:cs="Arial"/>
          <w:bCs/>
          <w:sz w:val="21"/>
          <w:szCs w:val="21"/>
          <w:lang w:eastAsia="en-US"/>
        </w:rPr>
        <w:t xml:space="preserve">(... ) </w:t>
      </w:r>
    </w:p>
    <w:p w14:paraId="35736DC3" w14:textId="5A9D9A9E" w:rsidR="00DA2194" w:rsidRPr="0022015C" w:rsidRDefault="006F2941" w:rsidP="00030F0F">
      <w:pPr>
        <w:tabs>
          <w:tab w:val="left" w:pos="4990"/>
        </w:tabs>
        <w:spacing w:after="0" w:line="240" w:lineRule="auto"/>
        <w:ind w:left="709" w:right="709"/>
        <w:rPr>
          <w:rFonts w:ascii="Arial" w:hAnsi="Arial" w:cs="Arial"/>
          <w:bCs/>
          <w:sz w:val="21"/>
          <w:szCs w:val="21"/>
          <w:lang w:eastAsia="en-US"/>
        </w:rPr>
      </w:pPr>
      <w:r>
        <w:rPr>
          <w:rFonts w:ascii="Arial" w:hAnsi="Arial" w:cs="Arial"/>
          <w:bCs/>
          <w:sz w:val="21"/>
          <w:szCs w:val="21"/>
          <w:lang w:eastAsia="en-US"/>
        </w:rPr>
        <w:tab/>
      </w:r>
    </w:p>
    <w:p w14:paraId="2846A935" w14:textId="7F2FF7C7" w:rsidR="00DA2194" w:rsidRPr="0022015C" w:rsidRDefault="00DA2194" w:rsidP="00030F0F">
      <w:pPr>
        <w:spacing w:after="0" w:line="240" w:lineRule="auto"/>
        <w:ind w:left="709" w:right="709"/>
        <w:rPr>
          <w:rFonts w:ascii="Arial" w:hAnsi="Arial" w:cs="Arial"/>
          <w:bCs/>
          <w:sz w:val="21"/>
          <w:szCs w:val="21"/>
          <w:lang w:eastAsia="en-US"/>
        </w:rPr>
      </w:pPr>
      <w:r w:rsidRPr="0022015C">
        <w:rPr>
          <w:rFonts w:ascii="Arial" w:hAnsi="Arial" w:cs="Arial"/>
          <w:bCs/>
          <w:sz w:val="21"/>
          <w:szCs w:val="21"/>
          <w:lang w:eastAsia="en-US"/>
        </w:rPr>
        <w:t>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w:t>
      </w:r>
      <w:r w:rsidR="00E7074D">
        <w:rPr>
          <w:rFonts w:ascii="Arial" w:hAnsi="Arial" w:cs="Arial"/>
          <w:bCs/>
          <w:sz w:val="21"/>
          <w:szCs w:val="21"/>
          <w:lang w:eastAsia="en-US"/>
        </w:rPr>
        <w:t>erioridad al cierre del proceso</w:t>
      </w:r>
      <w:r w:rsidR="00774F0E">
        <w:rPr>
          <w:rFonts w:ascii="Arial" w:hAnsi="Arial" w:cs="Arial"/>
          <w:bCs/>
          <w:i/>
          <w:sz w:val="21"/>
          <w:szCs w:val="21"/>
          <w:lang w:eastAsia="en-US"/>
        </w:rPr>
        <w:t>.</w:t>
      </w:r>
      <w:r w:rsidRPr="0022015C">
        <w:rPr>
          <w:rFonts w:ascii="Arial" w:hAnsi="Arial" w:cs="Arial"/>
          <w:bCs/>
          <w:sz w:val="21"/>
          <w:szCs w:val="21"/>
          <w:lang w:eastAsia="en-US"/>
        </w:rPr>
        <w:t xml:space="preserve"> </w:t>
      </w:r>
    </w:p>
    <w:p w14:paraId="39D62827" w14:textId="77777777" w:rsidR="00DA2194" w:rsidRPr="0022015C" w:rsidRDefault="00DA2194" w:rsidP="002C51EB">
      <w:pPr>
        <w:spacing w:after="0"/>
        <w:ind w:left="709" w:right="709"/>
        <w:rPr>
          <w:rFonts w:ascii="Arial" w:hAnsi="Arial" w:cs="Arial"/>
          <w:bCs/>
          <w:sz w:val="21"/>
          <w:szCs w:val="21"/>
          <w:lang w:eastAsia="en-US"/>
        </w:rPr>
      </w:pPr>
    </w:p>
    <w:p w14:paraId="0E4AFB05" w14:textId="63E0A8BB" w:rsidR="006F2941" w:rsidRDefault="00DA2194" w:rsidP="00030F0F">
      <w:pPr>
        <w:spacing w:after="0"/>
        <w:ind w:firstLine="709"/>
        <w:rPr>
          <w:rFonts w:ascii="Arial" w:hAnsi="Arial" w:cs="Arial"/>
          <w:bCs/>
          <w:sz w:val="22"/>
          <w:szCs w:val="22"/>
          <w:lang w:eastAsia="en-US"/>
        </w:rPr>
      </w:pPr>
      <w:r w:rsidRPr="00F530E3">
        <w:rPr>
          <w:rFonts w:ascii="Arial" w:hAnsi="Arial" w:cs="Arial"/>
          <w:bCs/>
          <w:sz w:val="22"/>
          <w:szCs w:val="22"/>
          <w:lang w:eastAsia="en-US"/>
        </w:rPr>
        <w:t xml:space="preserve">Como puede observarse, esta norma: i) mantiene el criterio de la Ley 80 de 1993, relativo a que todo lo que no sea necesario para la comparación de propuestas no es título suficiente para su rechazo; ii) </w:t>
      </w:r>
      <w:r w:rsidR="006F2941">
        <w:rPr>
          <w:rFonts w:ascii="Arial" w:hAnsi="Arial" w:cs="Arial"/>
          <w:bCs/>
          <w:sz w:val="22"/>
          <w:szCs w:val="22"/>
          <w:lang w:eastAsia="en-US"/>
        </w:rPr>
        <w:t>conserva</w:t>
      </w:r>
      <w:r w:rsidR="006F2941" w:rsidRPr="00F530E3">
        <w:rPr>
          <w:rFonts w:ascii="Arial" w:hAnsi="Arial" w:cs="Arial"/>
          <w:bCs/>
          <w:sz w:val="22"/>
          <w:szCs w:val="22"/>
          <w:lang w:eastAsia="en-US"/>
        </w:rPr>
        <w:t xml:space="preserve"> </w:t>
      </w:r>
      <w:r w:rsidRPr="00F530E3">
        <w:rPr>
          <w:rFonts w:ascii="Arial" w:hAnsi="Arial" w:cs="Arial"/>
          <w:bCs/>
          <w:sz w:val="22"/>
          <w:szCs w:val="22"/>
          <w:lang w:eastAsia="en-US"/>
        </w:rPr>
        <w:t>el criterio aclaratorio de la Ley 1150 de 2007, según el cual todo lo que no afecte la asignación de puntaje puede subsanarse e iii) introduce modificaciones en relación con cuatro aspectos que se analizarán a continuación</w:t>
      </w:r>
      <w:r w:rsidR="00D773D6">
        <w:rPr>
          <w:rFonts w:ascii="Arial" w:hAnsi="Arial" w:cs="Arial"/>
          <w:bCs/>
          <w:sz w:val="22"/>
          <w:szCs w:val="22"/>
          <w:lang w:eastAsia="en-US"/>
        </w:rPr>
        <w:t>:</w:t>
      </w:r>
      <w:r w:rsidRPr="00F530E3">
        <w:rPr>
          <w:rFonts w:ascii="Arial" w:hAnsi="Arial" w:cs="Arial"/>
          <w:bCs/>
          <w:sz w:val="22"/>
          <w:szCs w:val="22"/>
          <w:lang w:eastAsia="en-US"/>
        </w:rPr>
        <w:t xml:space="preserve"> </w:t>
      </w:r>
    </w:p>
    <w:p w14:paraId="00BEA89B" w14:textId="3982768B" w:rsidR="00D600BB" w:rsidRDefault="00DA2194" w:rsidP="00083069">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sidRPr="00F530E3">
        <w:rPr>
          <w:rFonts w:ascii="Arial" w:hAnsi="Arial" w:cs="Arial"/>
          <w:bCs/>
          <w:sz w:val="22"/>
          <w:szCs w:val="22"/>
          <w:vertAlign w:val="superscript"/>
          <w:lang w:eastAsia="en-US"/>
        </w:rPr>
        <w:footnoteReference w:id="12"/>
      </w:r>
      <w:r w:rsidRPr="00F530E3">
        <w:rPr>
          <w:rFonts w:ascii="Arial" w:hAnsi="Arial" w:cs="Arial"/>
          <w:bCs/>
          <w:sz w:val="22"/>
          <w:szCs w:val="22"/>
          <w:lang w:eastAsia="en-US"/>
        </w:rPr>
        <w:t xml:space="preserve">; en el último los documentos o requisitos subsanables deben solicitarse hasta el momento previo a su realización. </w:t>
      </w:r>
    </w:p>
    <w:p w14:paraId="0DDD6212" w14:textId="77777777" w:rsidR="00083069" w:rsidRDefault="00083069" w:rsidP="00030F0F">
      <w:pPr>
        <w:spacing w:before="120" w:after="0"/>
        <w:ind w:firstLine="709"/>
        <w:rPr>
          <w:rFonts w:ascii="Arial" w:hAnsi="Arial" w:cs="Arial"/>
          <w:bCs/>
          <w:sz w:val="22"/>
          <w:szCs w:val="22"/>
          <w:lang w:eastAsia="en-US"/>
        </w:rPr>
      </w:pPr>
    </w:p>
    <w:p w14:paraId="3C9AEFA5" w14:textId="17722A0A" w:rsidR="004E10E5" w:rsidRPr="00F530E3" w:rsidRDefault="00DA2194" w:rsidP="002C51EB">
      <w:pPr>
        <w:spacing w:after="0"/>
        <w:ind w:right="49"/>
        <w:rPr>
          <w:rFonts w:ascii="Arial" w:hAnsi="Arial" w:cs="Arial"/>
          <w:bCs/>
          <w:sz w:val="22"/>
          <w:szCs w:val="22"/>
          <w:lang w:eastAsia="en-US"/>
        </w:rPr>
      </w:pPr>
      <w:r w:rsidRPr="00F530E3">
        <w:rPr>
          <w:rFonts w:ascii="Arial" w:hAnsi="Arial" w:cs="Arial"/>
          <w:bCs/>
          <w:sz w:val="22"/>
          <w:szCs w:val="22"/>
          <w:lang w:eastAsia="en-US"/>
        </w:rPr>
        <w:t xml:space="preserve">Frente a la regla general, la norma fijó un límite final para que la Administración y los oferentes subsanen los requisitos o documentos que puedan y deban ser subsanados, </w:t>
      </w:r>
      <w:r w:rsidRPr="00F530E3">
        <w:rPr>
          <w:rFonts w:ascii="Arial" w:hAnsi="Arial" w:cs="Arial"/>
          <w:bCs/>
          <w:sz w:val="22"/>
          <w:szCs w:val="22"/>
          <w:lang w:eastAsia="en-US"/>
        </w:rPr>
        <w:lastRenderedPageBreak/>
        <w:t xml:space="preserve">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«deberán ser solicitados por las entidades estatales y deberán ser entregados por los proponentes hasta el término de traslado del informe de evaluación que corresponda a cada modalidad de selección». </w:t>
      </w:r>
    </w:p>
    <w:p w14:paraId="7F49A34C" w14:textId="2B80EAD0" w:rsidR="008046BD"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 xml:space="preserve">No obstante, de la lectura de este aparte podrían, en la práctica, </w:t>
      </w:r>
      <w:r w:rsidR="00C6101B">
        <w:rPr>
          <w:rFonts w:ascii="Arial" w:hAnsi="Arial" w:cs="Arial"/>
          <w:bCs/>
          <w:sz w:val="22"/>
          <w:szCs w:val="22"/>
          <w:lang w:eastAsia="en-US"/>
        </w:rPr>
        <w:t>presentarse</w:t>
      </w:r>
      <w:r w:rsidR="00C6101B" w:rsidRPr="00F530E3">
        <w:rPr>
          <w:rFonts w:ascii="Arial" w:hAnsi="Arial" w:cs="Arial"/>
          <w:bCs/>
          <w:sz w:val="22"/>
          <w:szCs w:val="22"/>
          <w:lang w:eastAsia="en-US"/>
        </w:rPr>
        <w:t xml:space="preserve"> </w:t>
      </w:r>
      <w:r w:rsidRPr="00F530E3">
        <w:rPr>
          <w:rFonts w:ascii="Arial" w:hAnsi="Arial" w:cs="Arial"/>
          <w:bCs/>
          <w:sz w:val="22"/>
          <w:szCs w:val="22"/>
          <w:lang w:eastAsia="en-US"/>
        </w:rPr>
        <w:t xml:space="preserve">dos interpretaciones que dan lugar a dos formas de proceder en los procesos de selección, en lo que se refiere a la subsanabilidad de las ofertas. </w:t>
      </w:r>
      <w:r w:rsidRPr="00F530E3">
        <w:rPr>
          <w:rFonts w:ascii="Arial" w:hAnsi="Arial" w:cs="Arial"/>
          <w:bCs/>
          <w:i/>
          <w:sz w:val="22"/>
          <w:szCs w:val="22"/>
          <w:lang w:eastAsia="en-US"/>
        </w:rPr>
        <w:t>Primera</w:t>
      </w:r>
      <w:r w:rsidRPr="00F530E3">
        <w:rPr>
          <w:rFonts w:ascii="Arial" w:hAnsi="Arial" w:cs="Arial"/>
          <w:bCs/>
          <w:sz w:val="22"/>
          <w:szCs w:val="22"/>
          <w:lang w:eastAsia="en-US"/>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F530E3">
        <w:rPr>
          <w:rFonts w:ascii="Arial" w:hAnsi="Arial" w:cs="Arial"/>
          <w:bCs/>
          <w:i/>
          <w:sz w:val="22"/>
          <w:szCs w:val="22"/>
          <w:lang w:eastAsia="en-US"/>
        </w:rPr>
        <w:t>segunda</w:t>
      </w:r>
      <w:r w:rsidRPr="00F530E3">
        <w:rPr>
          <w:rFonts w:ascii="Arial" w:hAnsi="Arial" w:cs="Arial"/>
          <w:bCs/>
          <w:sz w:val="22"/>
          <w:szCs w:val="22"/>
          <w:lang w:eastAsia="en-US"/>
        </w:rPr>
        <w:t xml:space="preserve">, que el término del traslado del informe de evaluación es el límite para la subsanación de ofertas, pero no el único momento para hacerlo. De acuerdo con </w:t>
      </w:r>
      <w:r w:rsidR="00AA1D36">
        <w:rPr>
          <w:rFonts w:ascii="Arial" w:hAnsi="Arial" w:cs="Arial"/>
          <w:bCs/>
          <w:sz w:val="22"/>
          <w:szCs w:val="22"/>
          <w:lang w:eastAsia="en-US"/>
        </w:rPr>
        <w:t>esta</w:t>
      </w:r>
      <w:r w:rsidRPr="00F530E3">
        <w:rPr>
          <w:rFonts w:ascii="Arial" w:hAnsi="Arial" w:cs="Arial"/>
          <w:bCs/>
          <w:sz w:val="22"/>
          <w:szCs w:val="22"/>
          <w:lang w:eastAsia="en-US"/>
        </w:rPr>
        <w:t xml:space="preserve"> primera interpretación, el informe de evaluación se convierte en la oportunidad que </w:t>
      </w:r>
      <w:r w:rsidR="00E45AA6" w:rsidRPr="00F530E3">
        <w:rPr>
          <w:rFonts w:ascii="Arial" w:hAnsi="Arial" w:cs="Arial"/>
          <w:bCs/>
          <w:sz w:val="22"/>
          <w:szCs w:val="22"/>
          <w:lang w:eastAsia="en-US"/>
        </w:rPr>
        <w:t>a</w:t>
      </w:r>
      <w:r w:rsidR="00E45AA6">
        <w:rPr>
          <w:rFonts w:ascii="Arial" w:hAnsi="Arial" w:cs="Arial"/>
          <w:bCs/>
          <w:sz w:val="22"/>
          <w:szCs w:val="22"/>
          <w:lang w:eastAsia="en-US"/>
        </w:rPr>
        <w:t>provecha</w:t>
      </w:r>
      <w:r w:rsidR="00E45AA6" w:rsidRPr="00F530E3">
        <w:rPr>
          <w:rFonts w:ascii="Arial" w:hAnsi="Arial" w:cs="Arial"/>
          <w:bCs/>
          <w:sz w:val="22"/>
          <w:szCs w:val="22"/>
          <w:lang w:eastAsia="en-US"/>
        </w:rPr>
        <w:t xml:space="preserve"> </w:t>
      </w:r>
      <w:r w:rsidRPr="00F530E3">
        <w:rPr>
          <w:rFonts w:ascii="Arial" w:hAnsi="Arial" w:cs="Arial"/>
          <w:bCs/>
          <w:sz w:val="22"/>
          <w:szCs w:val="22"/>
          <w:lang w:eastAsia="en-US"/>
        </w:rPr>
        <w:t>la Administración para comunicarles a los oferentes qué documentos o requisitos omitieron y deben subsanar y, consecuentemente, el término del traslado es la oportunidad del proponente para cumplir con lo solicitado.  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4D7F9927" w14:textId="7CD1A298" w:rsidR="00093B11"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r w:rsidR="00B60B53">
        <w:rPr>
          <w:rFonts w:ascii="Arial" w:hAnsi="Arial" w:cs="Arial"/>
          <w:bCs/>
          <w:sz w:val="22"/>
          <w:szCs w:val="22"/>
          <w:lang w:eastAsia="en-US"/>
        </w:rPr>
        <w:t>L</w:t>
      </w:r>
      <w:r w:rsidRPr="00F530E3">
        <w:rPr>
          <w:rFonts w:ascii="Arial" w:hAnsi="Arial" w:cs="Arial"/>
          <w:bCs/>
          <w:sz w:val="22"/>
          <w:szCs w:val="22"/>
          <w:lang w:eastAsia="en-US"/>
        </w:rPr>
        <w:t>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w:t>
      </w:r>
      <w:r w:rsidR="00093B11">
        <w:rPr>
          <w:rFonts w:ascii="Arial" w:hAnsi="Arial" w:cs="Arial"/>
          <w:bCs/>
          <w:sz w:val="22"/>
          <w:szCs w:val="22"/>
          <w:lang w:eastAsia="en-US"/>
        </w:rPr>
        <w:t>;</w:t>
      </w:r>
      <w:r w:rsidRPr="00F530E3">
        <w:rPr>
          <w:rFonts w:ascii="Arial" w:hAnsi="Arial" w:cs="Arial"/>
          <w:bCs/>
          <w:sz w:val="22"/>
          <w:szCs w:val="22"/>
          <w:lang w:eastAsia="en-US"/>
        </w:rPr>
        <w:t xml:space="preserv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647B9DD3" w14:textId="4D30177A" w:rsidR="00DA2194" w:rsidRPr="00F530E3" w:rsidRDefault="001E3F29" w:rsidP="00030F0F">
      <w:pPr>
        <w:spacing w:before="120" w:after="0"/>
        <w:ind w:firstLine="709"/>
        <w:rPr>
          <w:rFonts w:ascii="Arial" w:hAnsi="Arial" w:cs="Arial"/>
          <w:bCs/>
          <w:sz w:val="22"/>
          <w:szCs w:val="22"/>
          <w:lang w:eastAsia="en-US"/>
        </w:rPr>
      </w:pPr>
      <w:r>
        <w:rPr>
          <w:rFonts w:ascii="Arial" w:hAnsi="Arial" w:cs="Arial"/>
          <w:bCs/>
          <w:sz w:val="22"/>
          <w:szCs w:val="22"/>
          <w:lang w:eastAsia="en-US"/>
        </w:rPr>
        <w:lastRenderedPageBreak/>
        <w:t>E</w:t>
      </w:r>
      <w:r w:rsidR="00DA2194" w:rsidRPr="00F530E3">
        <w:rPr>
          <w:rFonts w:ascii="Arial" w:hAnsi="Arial" w:cs="Arial"/>
          <w:bCs/>
          <w:sz w:val="22"/>
          <w:szCs w:val="22"/>
          <w:lang w:eastAsia="en-US"/>
        </w:rPr>
        <w:t>l segundo cambio importante de la Ley 1882 de 2018 fue la introducción de un criterio material, directamente relacionado con los aspectos subsanables: «los proponentes no podrán acreditar circunstancias ocurridas con posterioridad al cierre del proceso»</w:t>
      </w:r>
      <w:r w:rsidR="00DA2194" w:rsidRPr="00F530E3">
        <w:rPr>
          <w:rFonts w:ascii="Arial" w:hAnsi="Arial" w:cs="Arial"/>
          <w:bCs/>
          <w:i/>
          <w:sz w:val="22"/>
          <w:szCs w:val="22"/>
          <w:lang w:eastAsia="en-US"/>
        </w:rPr>
        <w:t>.</w:t>
      </w:r>
      <w:r w:rsidR="00DA2194" w:rsidRPr="00F530E3">
        <w:rPr>
          <w:rFonts w:ascii="Arial" w:hAnsi="Arial" w:cs="Arial"/>
          <w:bCs/>
          <w:sz w:val="22"/>
          <w:szCs w:val="22"/>
          <w:lang w:eastAsia="en-US"/>
        </w:rPr>
        <w:t xml:space="preserve"> Lo anterior ofrece dos aspectos que merecen clarificación: </w:t>
      </w:r>
      <w:r w:rsidR="00DA2194" w:rsidRPr="00F530E3">
        <w:rPr>
          <w:rFonts w:ascii="Arial" w:hAnsi="Arial" w:cs="Arial"/>
          <w:bCs/>
          <w:i/>
          <w:sz w:val="22"/>
          <w:szCs w:val="22"/>
          <w:lang w:eastAsia="en-US"/>
        </w:rPr>
        <w:t>primero</w:t>
      </w:r>
      <w:r w:rsidR="00DA2194" w:rsidRPr="00F530E3">
        <w:rPr>
          <w:rFonts w:ascii="Arial" w:hAnsi="Arial" w:cs="Arial"/>
          <w:bCs/>
          <w:sz w:val="22"/>
          <w:szCs w:val="22"/>
          <w:lang w:eastAsia="en-US"/>
        </w:rPr>
        <w:t xml:space="preserve">, qué debe entenderse por circunstancias ocurridas con posterioridad; y </w:t>
      </w:r>
      <w:r w:rsidR="00DA2194" w:rsidRPr="00F530E3">
        <w:rPr>
          <w:rFonts w:ascii="Arial" w:hAnsi="Arial" w:cs="Arial"/>
          <w:bCs/>
          <w:i/>
          <w:sz w:val="22"/>
          <w:szCs w:val="22"/>
          <w:lang w:eastAsia="en-US"/>
        </w:rPr>
        <w:t>segundo</w:t>
      </w:r>
      <w:r w:rsidR="00DA2194" w:rsidRPr="00F530E3">
        <w:rPr>
          <w:rFonts w:ascii="Arial" w:hAnsi="Arial" w:cs="Arial"/>
          <w:bCs/>
          <w:sz w:val="22"/>
          <w:szCs w:val="22"/>
          <w:lang w:eastAsia="en-US"/>
        </w:rPr>
        <w:t>, qué es el cierre del proceso.</w:t>
      </w:r>
      <w:r>
        <w:rPr>
          <w:rFonts w:ascii="Arial" w:hAnsi="Arial" w:cs="Arial"/>
          <w:bCs/>
          <w:sz w:val="22"/>
          <w:szCs w:val="22"/>
          <w:lang w:eastAsia="en-US"/>
        </w:rPr>
        <w:t xml:space="preserve"> </w:t>
      </w:r>
      <w:r w:rsidR="00DA2194" w:rsidRPr="00F530E3">
        <w:rPr>
          <w:rFonts w:ascii="Arial" w:hAnsi="Arial" w:cs="Arial"/>
          <w:bCs/>
          <w:sz w:val="22"/>
          <w:szCs w:val="22"/>
          <w:lang w:eastAsia="en-US"/>
        </w:rPr>
        <w:t>La Sala de Consulta y Servicio Civil del Consejo de Estado ya había tenido la oportunidad de precisar estas expresiones, a propósito de un concepto en el que se refirió al artículo 10 del derogado Decreto 2474 de 2008</w:t>
      </w:r>
      <w:r w:rsidR="00DA2194" w:rsidRPr="00F530E3">
        <w:rPr>
          <w:rFonts w:ascii="Arial" w:hAnsi="Arial" w:cs="Arial"/>
          <w:bCs/>
          <w:sz w:val="22"/>
          <w:szCs w:val="22"/>
          <w:vertAlign w:val="superscript"/>
          <w:lang w:eastAsia="en-US"/>
        </w:rPr>
        <w:footnoteReference w:id="13"/>
      </w:r>
      <w:r w:rsidR="00DA2194" w:rsidRPr="00F530E3">
        <w:rPr>
          <w:rFonts w:ascii="Arial" w:hAnsi="Arial" w:cs="Arial"/>
          <w:bCs/>
          <w:sz w:val="22"/>
          <w:szCs w:val="22"/>
          <w:lang w:eastAsia="en-US"/>
        </w:rPr>
        <w:t>,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w:t>
      </w:r>
      <w:r w:rsidR="00E7074D">
        <w:rPr>
          <w:rFonts w:ascii="Arial" w:hAnsi="Arial" w:cs="Arial"/>
          <w:bCs/>
          <w:sz w:val="22"/>
          <w:szCs w:val="22"/>
          <w:lang w:eastAsia="en-US"/>
        </w:rPr>
        <w:t>on con anterioridad a esa fecha</w:t>
      </w:r>
      <w:r w:rsidR="002A4F6B">
        <w:rPr>
          <w:rFonts w:ascii="Arial" w:hAnsi="Arial" w:cs="Arial"/>
          <w:bCs/>
          <w:sz w:val="22"/>
          <w:szCs w:val="22"/>
          <w:lang w:eastAsia="en-US"/>
        </w:rPr>
        <w:t>, en los siguientes términos</w:t>
      </w:r>
      <w:r w:rsidR="00C74078">
        <w:rPr>
          <w:rFonts w:ascii="Arial" w:hAnsi="Arial" w:cs="Arial"/>
          <w:bCs/>
          <w:sz w:val="22"/>
          <w:szCs w:val="22"/>
          <w:lang w:eastAsia="en-US"/>
        </w:rPr>
        <w:t>:</w:t>
      </w:r>
      <w:r w:rsidR="00DA2194" w:rsidRPr="00F530E3">
        <w:rPr>
          <w:rFonts w:ascii="Arial" w:hAnsi="Arial" w:cs="Arial"/>
          <w:bCs/>
          <w:sz w:val="22"/>
          <w:szCs w:val="22"/>
          <w:lang w:eastAsia="en-US"/>
        </w:rPr>
        <w:t xml:space="preserve"> </w:t>
      </w:r>
    </w:p>
    <w:p w14:paraId="75629C9D" w14:textId="77777777" w:rsidR="00DA2194" w:rsidRPr="00F530E3" w:rsidRDefault="00DA2194" w:rsidP="002C51EB">
      <w:pPr>
        <w:spacing w:after="0"/>
        <w:ind w:right="709"/>
        <w:rPr>
          <w:rFonts w:ascii="Arial" w:hAnsi="Arial" w:cs="Arial"/>
          <w:bCs/>
          <w:sz w:val="22"/>
          <w:szCs w:val="22"/>
          <w:lang w:eastAsia="en-US"/>
        </w:rPr>
      </w:pPr>
    </w:p>
    <w:p w14:paraId="63079C76" w14:textId="576813DF" w:rsidR="00DA2194" w:rsidRPr="002A4F6B" w:rsidRDefault="00DA2194" w:rsidP="00030F0F">
      <w:pPr>
        <w:spacing w:after="0" w:line="240" w:lineRule="auto"/>
        <w:ind w:left="709" w:right="709"/>
        <w:rPr>
          <w:rFonts w:ascii="Arial" w:hAnsi="Arial" w:cs="Arial"/>
          <w:bCs/>
          <w:sz w:val="21"/>
          <w:szCs w:val="21"/>
          <w:lang w:eastAsia="en-US"/>
        </w:rPr>
      </w:pPr>
      <w:r w:rsidRPr="002A4F6B">
        <w:rPr>
          <w:rFonts w:ascii="Arial" w:hAnsi="Arial" w:cs="Arial"/>
          <w:bCs/>
          <w:sz w:val="21"/>
          <w:szCs w:val="21"/>
          <w:lang w:eastAsia="en-US"/>
        </w:rPr>
        <w:t>De esta manera, quien se presenta al proceso de selección debe cumplir para la fec</w:t>
      </w:r>
      <w:r w:rsidR="00E7074D" w:rsidRPr="002A4F6B">
        <w:rPr>
          <w:rFonts w:ascii="Arial" w:hAnsi="Arial" w:cs="Arial"/>
          <w:bCs/>
          <w:sz w:val="21"/>
          <w:szCs w:val="21"/>
          <w:lang w:eastAsia="en-US"/>
        </w:rPr>
        <w:t xml:space="preserve">ha en que ‘se cierra el proceso </w:t>
      </w:r>
      <w:r w:rsidRPr="002A4F6B">
        <w:rPr>
          <w:rFonts w:ascii="Arial" w:hAnsi="Arial" w:cs="Arial"/>
          <w:bCs/>
          <w:sz w:val="21"/>
          <w:szCs w:val="21"/>
          <w:lang w:eastAsia="en-US"/>
        </w:rPr>
        <w:t xml:space="preserve">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w:t>
      </w:r>
      <w:r w:rsidRPr="002A4F6B">
        <w:rPr>
          <w:rFonts w:ascii="Arial" w:hAnsi="Arial" w:cs="Arial"/>
          <w:bCs/>
          <w:sz w:val="21"/>
          <w:szCs w:val="21"/>
          <w:lang w:eastAsia="en-US"/>
        </w:rPr>
        <w:lastRenderedPageBreak/>
        <w:t>que haga entrega del mismo o lo actualice, pero no para que se constituya la sociedad con posterioridad al cierre del proceso, pues si ello no se había hecho, significa simplemente que el oferente no tenía la condición para participar</w:t>
      </w:r>
      <w:r w:rsidRPr="002A4F6B">
        <w:rPr>
          <w:rFonts w:ascii="Arial" w:hAnsi="Arial" w:cs="Arial"/>
          <w:bCs/>
          <w:sz w:val="21"/>
          <w:szCs w:val="21"/>
          <w:vertAlign w:val="superscript"/>
          <w:lang w:eastAsia="en-US"/>
        </w:rPr>
        <w:footnoteReference w:id="14"/>
      </w:r>
      <w:r w:rsidRPr="002A4F6B">
        <w:rPr>
          <w:rFonts w:ascii="Arial" w:hAnsi="Arial" w:cs="Arial"/>
          <w:bCs/>
          <w:sz w:val="21"/>
          <w:szCs w:val="21"/>
          <w:lang w:eastAsia="en-US"/>
        </w:rPr>
        <w:t>.</w:t>
      </w:r>
    </w:p>
    <w:p w14:paraId="360A4424" w14:textId="77777777" w:rsidR="00DA2194" w:rsidRPr="00F530E3" w:rsidRDefault="00DA2194" w:rsidP="002C51EB">
      <w:pPr>
        <w:spacing w:after="0"/>
        <w:ind w:right="709"/>
        <w:rPr>
          <w:rFonts w:ascii="Arial" w:hAnsi="Arial" w:cs="Arial"/>
          <w:bCs/>
          <w:sz w:val="22"/>
          <w:szCs w:val="22"/>
          <w:lang w:eastAsia="en-US"/>
        </w:rPr>
      </w:pPr>
    </w:p>
    <w:p w14:paraId="0F49E977" w14:textId="4ECF263B" w:rsidR="002A4F6B" w:rsidRPr="00F530E3" w:rsidRDefault="00DA2194" w:rsidP="00030F0F">
      <w:pPr>
        <w:spacing w:after="0"/>
        <w:ind w:firstLine="709"/>
        <w:rPr>
          <w:rFonts w:ascii="Arial" w:hAnsi="Arial" w:cs="Arial"/>
          <w:bCs/>
          <w:sz w:val="22"/>
          <w:szCs w:val="22"/>
          <w:lang w:eastAsia="en-US"/>
        </w:rPr>
      </w:pPr>
      <w:r w:rsidRPr="00F530E3">
        <w:rPr>
          <w:rFonts w:ascii="Arial" w:hAnsi="Arial" w:cs="Arial"/>
          <w:bCs/>
          <w:sz w:val="22"/>
          <w:szCs w:val="22"/>
          <w:lang w:eastAsia="en-US"/>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788FB330" w14:textId="7BFA8590" w:rsidR="006F146F"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 xml:space="preserve">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02BCDEB2" w14:textId="54E2E73D" w:rsidR="00F52DCF"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F530E3">
        <w:rPr>
          <w:rFonts w:ascii="Arial" w:hAnsi="Arial" w:cs="Arial"/>
          <w:bCs/>
          <w:sz w:val="22"/>
          <w:szCs w:val="22"/>
          <w:vertAlign w:val="superscript"/>
          <w:lang w:eastAsia="en-US"/>
        </w:rPr>
        <w:footnoteReference w:id="15"/>
      </w:r>
      <w:r w:rsidRPr="00F530E3">
        <w:rPr>
          <w:rFonts w:ascii="Arial" w:hAnsi="Arial" w:cs="Arial"/>
          <w:bCs/>
          <w:sz w:val="22"/>
          <w:szCs w:val="22"/>
          <w:lang w:eastAsia="en-US"/>
        </w:rPr>
        <w:t>; iii) si un oferente no anexó el certificado de existencia y representación legal, el documento aportado con posterioridad debe dar cuenta de que la sociedad existe desde antes del cierre del proceso</w:t>
      </w:r>
      <w:r w:rsidRPr="00F530E3">
        <w:rPr>
          <w:rFonts w:ascii="Arial" w:hAnsi="Arial" w:cs="Arial"/>
          <w:bCs/>
          <w:sz w:val="22"/>
          <w:szCs w:val="22"/>
          <w:vertAlign w:val="superscript"/>
          <w:lang w:eastAsia="en-US"/>
        </w:rPr>
        <w:footnoteReference w:id="16"/>
      </w:r>
      <w:r w:rsidRPr="00F530E3">
        <w:rPr>
          <w:rFonts w:ascii="Arial" w:hAnsi="Arial" w:cs="Arial"/>
          <w:bCs/>
          <w:sz w:val="22"/>
          <w:szCs w:val="22"/>
          <w:lang w:eastAsia="en-US"/>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aportó un certificado de experiencia, el documento que subsana –sin importar </w:t>
      </w:r>
      <w:r w:rsidRPr="00F530E3">
        <w:rPr>
          <w:rFonts w:ascii="Arial" w:hAnsi="Arial" w:cs="Arial"/>
          <w:bCs/>
          <w:sz w:val="22"/>
          <w:szCs w:val="22"/>
          <w:lang w:eastAsia="en-US"/>
        </w:rPr>
        <w:lastRenderedPageBreak/>
        <w:t xml:space="preserve">que tenga fecha posterior– debe demostrar que la experiencia que se pretende hacer valer se obtuvo antes de vencerse el término para presentar ofertas, y vi) si el oferente olvidó firmar la propuesta o presentar una copia de ella, puede subsanar sin que se entienda que acreditó una circunstancia ocurrida con posterioridad al cierre del proceso. </w:t>
      </w:r>
    </w:p>
    <w:p w14:paraId="126A39A4" w14:textId="1FCDE7CD" w:rsidR="00AB0B96"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F530E3">
        <w:rPr>
          <w:rFonts w:ascii="Arial" w:hAnsi="Arial" w:cs="Arial"/>
          <w:bCs/>
          <w:sz w:val="22"/>
          <w:szCs w:val="22"/>
          <w:vertAlign w:val="superscript"/>
          <w:lang w:eastAsia="en-US"/>
        </w:rPr>
        <w:footnoteReference w:id="17"/>
      </w:r>
      <w:r w:rsidRPr="00F530E3">
        <w:rPr>
          <w:rFonts w:ascii="Arial" w:hAnsi="Arial" w:cs="Arial"/>
          <w:bCs/>
          <w:sz w:val="22"/>
          <w:szCs w:val="22"/>
          <w:lang w:eastAsia="en-US"/>
        </w:rPr>
        <w:t xml:space="preserve">. </w:t>
      </w:r>
    </w:p>
    <w:p w14:paraId="5ED9F88A" w14:textId="394278BE" w:rsidR="00AB0B96" w:rsidRDefault="001827E7" w:rsidP="00030F0F">
      <w:pPr>
        <w:spacing w:before="120" w:after="0"/>
        <w:ind w:firstLine="709"/>
        <w:rPr>
          <w:rFonts w:ascii="Arial" w:hAnsi="Arial" w:cs="Arial"/>
          <w:bCs/>
          <w:sz w:val="22"/>
          <w:szCs w:val="22"/>
          <w:lang w:eastAsia="en-US"/>
        </w:rPr>
      </w:pPr>
      <w:r>
        <w:rPr>
          <w:rFonts w:ascii="Arial" w:hAnsi="Arial" w:cs="Arial"/>
          <w:bCs/>
          <w:sz w:val="22"/>
          <w:szCs w:val="22"/>
          <w:lang w:eastAsia="en-US"/>
        </w:rPr>
        <w:t xml:space="preserve">La anterior tesis fue reiterada por esta Subdirección en los conceptos </w:t>
      </w:r>
      <w:r w:rsidR="00DA2194" w:rsidRPr="00F530E3">
        <w:rPr>
          <w:rFonts w:ascii="Arial" w:hAnsi="Arial" w:cs="Arial"/>
          <w:bCs/>
          <w:sz w:val="22"/>
          <w:szCs w:val="22"/>
          <w:lang w:eastAsia="en-US"/>
        </w:rPr>
        <w:t xml:space="preserve">4201912000007418 del </w:t>
      </w:r>
      <w:r>
        <w:rPr>
          <w:rFonts w:ascii="Arial" w:hAnsi="Arial" w:cs="Arial"/>
          <w:bCs/>
          <w:sz w:val="22"/>
          <w:szCs w:val="22"/>
          <w:lang w:eastAsia="en-US"/>
        </w:rPr>
        <w:t xml:space="preserve">30 de octubre de 2019 y </w:t>
      </w:r>
      <w:r w:rsidR="00DA2194" w:rsidRPr="00F530E3">
        <w:rPr>
          <w:rFonts w:ascii="Arial" w:hAnsi="Arial" w:cs="Arial"/>
          <w:bCs/>
          <w:sz w:val="22"/>
          <w:szCs w:val="22"/>
          <w:lang w:eastAsia="en-US"/>
        </w:rPr>
        <w:t xml:space="preserve">4201912000008198, en el que indicó que las certificaciones de experiencia que no otorgaran puntaje podían aportarse corregidos o incluso, en reemplazo de las que no cumplieran el requisito habilitante, siempre que en los documentos aportados en la etapa de subsanabilidad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1946567D" w14:textId="461EDFA0" w:rsidR="00225ABE" w:rsidRDefault="001827E7" w:rsidP="00030F0F">
      <w:pPr>
        <w:spacing w:before="120" w:after="0"/>
        <w:ind w:firstLine="709"/>
        <w:rPr>
          <w:rFonts w:ascii="Arial" w:hAnsi="Arial" w:cs="Arial"/>
          <w:bCs/>
          <w:sz w:val="22"/>
          <w:szCs w:val="22"/>
          <w:lang w:eastAsia="en-US"/>
        </w:rPr>
      </w:pPr>
      <w:r>
        <w:rPr>
          <w:rFonts w:ascii="Arial" w:hAnsi="Arial" w:cs="Arial"/>
          <w:bCs/>
          <w:sz w:val="22"/>
          <w:szCs w:val="22"/>
          <w:lang w:eastAsia="en-US"/>
        </w:rPr>
        <w:t>De igual manera, la postura de esta S</w:t>
      </w:r>
      <w:r w:rsidR="00DA2194" w:rsidRPr="00F530E3">
        <w:rPr>
          <w:rFonts w:ascii="Arial" w:hAnsi="Arial" w:cs="Arial"/>
          <w:bCs/>
          <w:sz w:val="22"/>
          <w:szCs w:val="22"/>
          <w:lang w:eastAsia="en-US"/>
        </w:rPr>
        <w:t xml:space="preserve">ubdirección, según la cual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w:t>
      </w:r>
      <w:r>
        <w:rPr>
          <w:rFonts w:ascii="Arial" w:hAnsi="Arial" w:cs="Arial"/>
          <w:bCs/>
          <w:sz w:val="22"/>
          <w:szCs w:val="22"/>
          <w:lang w:eastAsia="en-US"/>
        </w:rPr>
        <w:t>posterioridad a dicho momento, fue reiterada en</w:t>
      </w:r>
      <w:r w:rsidR="00DA2194" w:rsidRPr="00F530E3">
        <w:rPr>
          <w:rFonts w:ascii="Arial" w:hAnsi="Arial" w:cs="Arial"/>
          <w:bCs/>
          <w:sz w:val="22"/>
          <w:szCs w:val="22"/>
          <w:lang w:eastAsia="en-US"/>
        </w:rPr>
        <w:t xml:space="preserve">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w:t>
      </w:r>
      <w:r w:rsidR="00DA2194" w:rsidRPr="00F530E3">
        <w:rPr>
          <w:rFonts w:ascii="Arial" w:hAnsi="Arial" w:cs="Arial"/>
          <w:bCs/>
          <w:sz w:val="22"/>
          <w:szCs w:val="22"/>
          <w:lang w:eastAsia="en-US"/>
        </w:rPr>
        <w:lastRenderedPageBreak/>
        <w:t xml:space="preserve">nuevas certificaciones, siempre que con ellas no se probara una experiencia que no se tenía antes del cierre–; 2201913000009373 </w:t>
      </w:r>
      <w:r w:rsidR="00DA2194" w:rsidRPr="00DA4C2C">
        <w:rPr>
          <w:rFonts w:ascii="Arial" w:hAnsi="Arial" w:cs="Arial"/>
          <w:bCs/>
          <w:sz w:val="22"/>
          <w:szCs w:val="22"/>
          <w:lang w:eastAsia="en-US"/>
        </w:rPr>
        <w:t>del 17 de diciembre de 2019 –en el cual se expresó que la carta de conformación de un consorcio es un documento subsanable, bajo la condición de que el documento aportado permita</w:t>
      </w:r>
      <w:r w:rsidR="00DA2194" w:rsidRPr="00F530E3">
        <w:rPr>
          <w:rFonts w:ascii="Arial" w:hAnsi="Arial" w:cs="Arial"/>
          <w:bCs/>
          <w:sz w:val="22"/>
          <w:szCs w:val="22"/>
          <w:lang w:eastAsia="en-US"/>
        </w:rPr>
        <w:t xml:space="preserve"> constatar que el consorcio se conformó antes del vencimiento del término para la presentación de las propuestas–; 2201913000008049 del 28 de octubre de 2019 –en el que se reiteró que no es posible variar el porcentaje de participación en una unión temporal, porque implicaría una modificación de la oferta y la acreditación de un aspecto que es posterior al cierre del procedimiento de selección–. </w:t>
      </w:r>
    </w:p>
    <w:p w14:paraId="06576E26" w14:textId="2975C55C" w:rsidR="0091594D"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 xml:space="preserve">Visto lo anterior, una vez verificada la ausencia de requisitos y/o documentos de la oferta, para saber si se puede subsanar,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71281002" w14:textId="262111CC" w:rsidR="0091594D" w:rsidRPr="00F530E3"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66CC4005" w14:textId="6FF2C6C6" w:rsidR="00DA2194" w:rsidRPr="00F530E3"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Ahora bien, la Agencia debe diferenciar entre la regla sobre subsanación de ofertas en los procedimientos de selección</w:t>
      </w:r>
      <w:r w:rsidR="008F10F1">
        <w:rPr>
          <w:rFonts w:ascii="Arial" w:hAnsi="Arial" w:cs="Arial"/>
          <w:bCs/>
          <w:sz w:val="22"/>
          <w:szCs w:val="22"/>
          <w:lang w:eastAsia="en-US"/>
        </w:rPr>
        <w:t>,</w:t>
      </w:r>
      <w:r w:rsidRPr="00F530E3">
        <w:rPr>
          <w:rFonts w:ascii="Arial" w:hAnsi="Arial" w:cs="Arial"/>
          <w:bCs/>
          <w:sz w:val="22"/>
          <w:szCs w:val="22"/>
          <w:lang w:eastAsia="en-US"/>
        </w:rPr>
        <w:t xml:space="preserve"> que acaba de explicarse, por un lado, y por el otro lo referido a la </w:t>
      </w:r>
      <w:r w:rsidRPr="00030F0F">
        <w:rPr>
          <w:rFonts w:ascii="Arial" w:hAnsi="Arial" w:cs="Arial"/>
          <w:bCs/>
          <w:i/>
          <w:iCs/>
          <w:sz w:val="22"/>
          <w:szCs w:val="22"/>
          <w:lang w:eastAsia="en-US"/>
        </w:rPr>
        <w:t>aclaración de las ofertas</w:t>
      </w:r>
      <w:r w:rsidRPr="00F530E3">
        <w:rPr>
          <w:rFonts w:ascii="Arial" w:hAnsi="Arial" w:cs="Arial"/>
          <w:bCs/>
          <w:sz w:val="22"/>
          <w:szCs w:val="22"/>
          <w:lang w:eastAsia="en-US"/>
        </w:rPr>
        <w:t>, cuestiones que resultan ser distintas, sin perjuicio de que ambas puedan ser considerados como elementos propios del principio de selección objetiva.</w:t>
      </w:r>
      <w:r w:rsidR="008F10F1">
        <w:rPr>
          <w:rFonts w:ascii="Arial" w:hAnsi="Arial" w:cs="Arial"/>
          <w:bCs/>
          <w:sz w:val="22"/>
          <w:szCs w:val="22"/>
          <w:lang w:eastAsia="en-US"/>
        </w:rPr>
        <w:t xml:space="preserve"> </w:t>
      </w:r>
      <w:r w:rsidRPr="00F530E3">
        <w:rPr>
          <w:rFonts w:ascii="Arial" w:hAnsi="Arial" w:cs="Arial"/>
          <w:bCs/>
          <w:sz w:val="22"/>
          <w:szCs w:val="22"/>
          <w:lang w:eastAsia="en-US"/>
        </w:rPr>
        <w:t xml:space="preserve">Así, en aras de que la entidad, 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 componentes que deberá contener el pliego de condiciones incluye al «plazo razonable dentro del cual la entidad deberá elaborar los estudios técnicos, económicos y jurídicos necesarios para la evaluación de las propuestas y </w:t>
      </w:r>
      <w:r w:rsidRPr="00F530E3">
        <w:rPr>
          <w:rFonts w:ascii="Arial" w:hAnsi="Arial" w:cs="Arial"/>
          <w:bCs/>
          <w:i/>
          <w:sz w:val="22"/>
          <w:szCs w:val="22"/>
          <w:lang w:eastAsia="en-US"/>
        </w:rPr>
        <w:t>para solicitar a los proponentes las aclaraciones y explicaciones</w:t>
      </w:r>
      <w:r w:rsidRPr="00F530E3">
        <w:rPr>
          <w:rFonts w:ascii="Arial" w:hAnsi="Arial" w:cs="Arial"/>
          <w:bCs/>
          <w:sz w:val="22"/>
          <w:szCs w:val="22"/>
          <w:lang w:eastAsia="en-US"/>
        </w:rPr>
        <w:t xml:space="preserve"> que se estimen indispensables» (</w:t>
      </w:r>
      <w:r w:rsidR="003850B6">
        <w:rPr>
          <w:rFonts w:ascii="Arial" w:hAnsi="Arial" w:cs="Arial"/>
          <w:bCs/>
          <w:sz w:val="22"/>
          <w:szCs w:val="22"/>
          <w:lang w:eastAsia="en-US"/>
        </w:rPr>
        <w:t>Cursiva</w:t>
      </w:r>
      <w:r w:rsidRPr="00F530E3">
        <w:rPr>
          <w:rFonts w:ascii="Arial" w:hAnsi="Arial" w:cs="Arial"/>
          <w:bCs/>
          <w:sz w:val="22"/>
          <w:szCs w:val="22"/>
          <w:lang w:eastAsia="en-US"/>
        </w:rPr>
        <w:t xml:space="preserve"> fuera de texto).</w:t>
      </w:r>
    </w:p>
    <w:p w14:paraId="68CBA76D" w14:textId="77777777" w:rsidR="006810F8" w:rsidRDefault="006810F8" w:rsidP="002C51EB">
      <w:pPr>
        <w:spacing w:after="0"/>
        <w:ind w:right="49"/>
        <w:rPr>
          <w:rFonts w:ascii="Arial" w:hAnsi="Arial" w:cs="Arial"/>
          <w:bCs/>
          <w:sz w:val="22"/>
          <w:szCs w:val="22"/>
          <w:lang w:eastAsia="en-US"/>
        </w:rPr>
      </w:pPr>
    </w:p>
    <w:p w14:paraId="64320FDC" w14:textId="361F6B5A" w:rsidR="0084622B"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lastRenderedPageBreak/>
        <w:t xml:space="preserve">La misma facultad en cabeza de la </w:t>
      </w:r>
      <w:r w:rsidR="006810F8">
        <w:rPr>
          <w:rFonts w:ascii="Arial" w:hAnsi="Arial" w:cs="Arial"/>
          <w:bCs/>
          <w:sz w:val="22"/>
          <w:szCs w:val="22"/>
          <w:lang w:eastAsia="en-US"/>
        </w:rPr>
        <w:t>A</w:t>
      </w:r>
      <w:r w:rsidRPr="00F530E3">
        <w:rPr>
          <w:rFonts w:ascii="Arial" w:hAnsi="Arial" w:cs="Arial"/>
          <w:bCs/>
          <w:sz w:val="22"/>
          <w:szCs w:val="22"/>
          <w:lang w:eastAsia="en-US"/>
        </w:rPr>
        <w:t>dministración se establece, entre otras, en el artículo 2.2.1.1.2.2.4. del Decreto 1082 de 2015</w:t>
      </w:r>
      <w:r w:rsidR="006810F8">
        <w:rPr>
          <w:rFonts w:ascii="Arial" w:hAnsi="Arial" w:cs="Arial"/>
          <w:bCs/>
          <w:sz w:val="22"/>
          <w:szCs w:val="22"/>
          <w:lang w:eastAsia="en-US"/>
        </w:rPr>
        <w:t>,</w:t>
      </w:r>
      <w:r w:rsidRPr="00F530E3">
        <w:rPr>
          <w:rFonts w:ascii="Arial" w:hAnsi="Arial" w:cs="Arial"/>
          <w:bCs/>
          <w:sz w:val="22"/>
          <w:szCs w:val="22"/>
          <w:lang w:eastAsia="en-US"/>
        </w:rPr>
        <w:t xml:space="preserve"> referido a las explicaciones que la entidad estatal deberá pedir al oferente</w:t>
      </w:r>
      <w:r w:rsidR="00FE1C01">
        <w:rPr>
          <w:rFonts w:ascii="Arial" w:hAnsi="Arial" w:cs="Arial"/>
          <w:bCs/>
          <w:sz w:val="22"/>
          <w:szCs w:val="22"/>
          <w:lang w:eastAsia="en-US"/>
        </w:rPr>
        <w:t>,</w:t>
      </w:r>
      <w:r w:rsidRPr="00F530E3">
        <w:rPr>
          <w:rFonts w:ascii="Arial" w:hAnsi="Arial" w:cs="Arial"/>
          <w:bCs/>
          <w:sz w:val="22"/>
          <w:szCs w:val="22"/>
          <w:lang w:eastAsia="en-US"/>
        </w:rPr>
        <w:t xml:space="preserve"> cuando advierta que su oferta contiene un precio artificialmente bajo. En similar sentido, el numeral 3 del artículo 2.2.1.2.1.3.12 incluye el deber de aclaración</w:t>
      </w:r>
      <w:r w:rsidR="00FE1C01">
        <w:rPr>
          <w:rFonts w:ascii="Arial" w:hAnsi="Arial" w:cs="Arial"/>
          <w:bCs/>
          <w:sz w:val="22"/>
          <w:szCs w:val="22"/>
          <w:lang w:eastAsia="en-US"/>
        </w:rPr>
        <w:t>,</w:t>
      </w:r>
      <w:r w:rsidRPr="00F530E3">
        <w:rPr>
          <w:rFonts w:ascii="Arial" w:hAnsi="Arial" w:cs="Arial"/>
          <w:bCs/>
          <w:sz w:val="22"/>
          <w:szCs w:val="22"/>
          <w:lang w:eastAsia="en-US"/>
        </w:rPr>
        <w:t xml:space="preserve"> en cabeza del organismo asesor dentro del </w:t>
      </w:r>
      <w:r w:rsidR="00FE1C01">
        <w:rPr>
          <w:rFonts w:ascii="Arial" w:hAnsi="Arial" w:cs="Arial"/>
          <w:bCs/>
          <w:sz w:val="22"/>
          <w:szCs w:val="22"/>
          <w:lang w:eastAsia="en-US"/>
        </w:rPr>
        <w:t>c</w:t>
      </w:r>
      <w:r w:rsidRPr="00F530E3">
        <w:rPr>
          <w:rFonts w:ascii="Arial" w:hAnsi="Arial" w:cs="Arial"/>
          <w:bCs/>
          <w:sz w:val="22"/>
          <w:szCs w:val="22"/>
          <w:lang w:eastAsia="en-US"/>
        </w:rPr>
        <w:t xml:space="preserve">oncurso de </w:t>
      </w:r>
      <w:r w:rsidR="00FE1C01">
        <w:rPr>
          <w:rFonts w:ascii="Arial" w:hAnsi="Arial" w:cs="Arial"/>
          <w:bCs/>
          <w:sz w:val="22"/>
          <w:szCs w:val="22"/>
          <w:lang w:eastAsia="en-US"/>
        </w:rPr>
        <w:t>a</w:t>
      </w:r>
      <w:r w:rsidRPr="00F530E3">
        <w:rPr>
          <w:rFonts w:ascii="Arial" w:hAnsi="Arial" w:cs="Arial"/>
          <w:bCs/>
          <w:sz w:val="22"/>
          <w:szCs w:val="22"/>
          <w:lang w:eastAsia="en-US"/>
        </w:rPr>
        <w:t xml:space="preserve">rquitectura o la posibilidad con la que cuenta la entidad estatal para solicitar aclaraciones al originador del proyecto al tratarse de asociaciones público privadas de iniciativa privada. Todas estas normas contienen ejemplos de aplicación del mismo principio de selección objetiva, porque pretenden que la entidad u organismo que evaluará la respectiva oferta o iniciativa, según el caso, cuente con el conocimiento e información veraz y suficiente para tomar una decisión acertada. </w:t>
      </w:r>
    </w:p>
    <w:p w14:paraId="04B70F6B" w14:textId="6E661F6E" w:rsidR="004E4001" w:rsidRPr="00F530E3"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de la entidad, realizar modificaciones que impliquen una mejora o alteración sustancial de la oferta, tal y como ha sido exp</w:t>
      </w:r>
      <w:r w:rsidR="003850B6">
        <w:rPr>
          <w:rFonts w:ascii="Arial" w:hAnsi="Arial" w:cs="Arial"/>
          <w:bCs/>
          <w:sz w:val="22"/>
          <w:szCs w:val="22"/>
          <w:lang w:eastAsia="en-US"/>
        </w:rPr>
        <w:t>resado por el Consejo de Estado.</w:t>
      </w:r>
    </w:p>
    <w:p w14:paraId="6EF6144C" w14:textId="62DF57A3" w:rsidR="004E4001"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 xml:space="preserve">Ahora bien, lo anterior no impide que se puedan hacer aclaraciones a las propuestas bien porque la </w:t>
      </w:r>
      <w:r w:rsidR="0084622B">
        <w:rPr>
          <w:rFonts w:ascii="Arial" w:hAnsi="Arial" w:cs="Arial"/>
          <w:bCs/>
          <w:sz w:val="22"/>
          <w:szCs w:val="22"/>
          <w:lang w:eastAsia="en-US"/>
        </w:rPr>
        <w:t>entidad estatal</w:t>
      </w:r>
      <w:r w:rsidRPr="00F530E3">
        <w:rPr>
          <w:rFonts w:ascii="Arial" w:hAnsi="Arial" w:cs="Arial"/>
          <w:bCs/>
          <w:sz w:val="22"/>
          <w:szCs w:val="22"/>
          <w:lang w:eastAsia="en-US"/>
        </w:rPr>
        <w:t xml:space="preserve"> las solicite en la etapa de </w:t>
      </w:r>
      <w:r w:rsidR="003850B6" w:rsidRPr="00F530E3">
        <w:rPr>
          <w:rFonts w:ascii="Arial" w:hAnsi="Arial" w:cs="Arial"/>
          <w:bCs/>
          <w:sz w:val="22"/>
          <w:szCs w:val="22"/>
          <w:lang w:eastAsia="en-US"/>
        </w:rPr>
        <w:t>evaluación</w:t>
      </w:r>
      <w:r w:rsidRPr="00F530E3">
        <w:rPr>
          <w:rFonts w:ascii="Arial" w:hAnsi="Arial" w:cs="Arial"/>
          <w:bCs/>
          <w:sz w:val="22"/>
          <w:szCs w:val="22"/>
          <w:lang w:eastAsia="en-US"/>
        </w:rPr>
        <w:t xml:space="preserve"> de las mismas, ora porque las realicen los oferentes en la etapa dispuesta para las observaciones a los informes de </w:t>
      </w:r>
      <w:r w:rsidR="003850B6" w:rsidRPr="00F530E3">
        <w:rPr>
          <w:rFonts w:ascii="Arial" w:hAnsi="Arial" w:cs="Arial"/>
          <w:bCs/>
          <w:sz w:val="22"/>
          <w:szCs w:val="22"/>
          <w:lang w:eastAsia="en-US"/>
        </w:rPr>
        <w:t>evaluación</w:t>
      </w:r>
      <w:r w:rsidRPr="00F530E3">
        <w:rPr>
          <w:rFonts w:ascii="Arial" w:hAnsi="Arial" w:cs="Arial"/>
          <w:bCs/>
          <w:sz w:val="22"/>
          <w:szCs w:val="22"/>
          <w:lang w:eastAsia="en-US"/>
        </w:rPr>
        <w:t xml:space="preserve">, pero siempre y cuando verse sobre aspectos meramente formales o adjetivos o que en todo caso no comporten una </w:t>
      </w:r>
      <w:r w:rsidR="003850B6" w:rsidRPr="00F530E3">
        <w:rPr>
          <w:rFonts w:ascii="Arial" w:hAnsi="Arial" w:cs="Arial"/>
          <w:bCs/>
          <w:sz w:val="22"/>
          <w:szCs w:val="22"/>
          <w:lang w:eastAsia="en-US"/>
        </w:rPr>
        <w:t>variación</w:t>
      </w:r>
      <w:r w:rsidRPr="00F530E3">
        <w:rPr>
          <w:rFonts w:ascii="Arial" w:hAnsi="Arial" w:cs="Arial"/>
          <w:bCs/>
          <w:sz w:val="22"/>
          <w:szCs w:val="22"/>
          <w:lang w:eastAsia="en-US"/>
        </w:rPr>
        <w:t xml:space="preserve"> o </w:t>
      </w:r>
      <w:r w:rsidR="003850B6" w:rsidRPr="00F530E3">
        <w:rPr>
          <w:rFonts w:ascii="Arial" w:hAnsi="Arial" w:cs="Arial"/>
          <w:bCs/>
          <w:sz w:val="22"/>
          <w:szCs w:val="22"/>
          <w:lang w:eastAsia="en-US"/>
        </w:rPr>
        <w:t>corrección</w:t>
      </w:r>
      <w:r w:rsidRPr="00F530E3">
        <w:rPr>
          <w:rFonts w:ascii="Arial" w:hAnsi="Arial" w:cs="Arial"/>
          <w:bCs/>
          <w:sz w:val="22"/>
          <w:szCs w:val="22"/>
          <w:lang w:eastAsia="en-US"/>
        </w:rPr>
        <w:t xml:space="preserve"> del fondo de la propuesta a favor de quien las presenta y en detrimento de la </w:t>
      </w:r>
      <w:r w:rsidR="003850B6" w:rsidRPr="00F530E3">
        <w:rPr>
          <w:rFonts w:ascii="Arial" w:hAnsi="Arial" w:cs="Arial"/>
          <w:bCs/>
          <w:sz w:val="22"/>
          <w:szCs w:val="22"/>
          <w:lang w:eastAsia="en-US"/>
        </w:rPr>
        <w:t>posición</w:t>
      </w:r>
      <w:r w:rsidRPr="00F530E3">
        <w:rPr>
          <w:rFonts w:ascii="Arial" w:hAnsi="Arial" w:cs="Arial"/>
          <w:bCs/>
          <w:sz w:val="22"/>
          <w:szCs w:val="22"/>
          <w:lang w:eastAsia="en-US"/>
        </w:rPr>
        <w:t xml:space="preserve"> de los </w:t>
      </w:r>
      <w:r w:rsidR="003850B6" w:rsidRPr="00F530E3">
        <w:rPr>
          <w:rFonts w:ascii="Arial" w:hAnsi="Arial" w:cs="Arial"/>
          <w:bCs/>
          <w:sz w:val="22"/>
          <w:szCs w:val="22"/>
          <w:lang w:eastAsia="en-US"/>
        </w:rPr>
        <w:t>demás</w:t>
      </w:r>
      <w:r w:rsidRPr="00F530E3">
        <w:rPr>
          <w:rFonts w:ascii="Arial" w:hAnsi="Arial" w:cs="Arial"/>
          <w:bCs/>
          <w:sz w:val="22"/>
          <w:szCs w:val="22"/>
          <w:lang w:eastAsia="en-US"/>
        </w:rPr>
        <w:t xml:space="preserve"> proponentes en la </w:t>
      </w:r>
      <w:r w:rsidR="003850B6" w:rsidRPr="00F530E3">
        <w:rPr>
          <w:rFonts w:ascii="Arial" w:hAnsi="Arial" w:cs="Arial"/>
          <w:bCs/>
          <w:sz w:val="22"/>
          <w:szCs w:val="22"/>
          <w:lang w:eastAsia="en-US"/>
        </w:rPr>
        <w:t>evaluación</w:t>
      </w:r>
      <w:r w:rsidRPr="00F530E3">
        <w:rPr>
          <w:rFonts w:ascii="Arial" w:hAnsi="Arial" w:cs="Arial"/>
          <w:bCs/>
          <w:sz w:val="22"/>
          <w:szCs w:val="22"/>
          <w:lang w:eastAsia="en-US"/>
        </w:rPr>
        <w:t xml:space="preserve">, esto es, sujetas a </w:t>
      </w:r>
      <w:r w:rsidR="003850B6" w:rsidRPr="00F530E3">
        <w:rPr>
          <w:rFonts w:ascii="Arial" w:hAnsi="Arial" w:cs="Arial"/>
          <w:bCs/>
          <w:sz w:val="22"/>
          <w:szCs w:val="22"/>
          <w:lang w:eastAsia="en-US"/>
        </w:rPr>
        <w:t>condición</w:t>
      </w:r>
      <w:r w:rsidRPr="00F530E3">
        <w:rPr>
          <w:rFonts w:ascii="Arial" w:hAnsi="Arial" w:cs="Arial"/>
          <w:bCs/>
          <w:sz w:val="22"/>
          <w:szCs w:val="22"/>
          <w:lang w:eastAsia="en-US"/>
        </w:rPr>
        <w:t xml:space="preserve"> de que con las mismas no se altere de manera sustancial la </w:t>
      </w:r>
      <w:r w:rsidR="003850B6" w:rsidRPr="00F530E3">
        <w:rPr>
          <w:rFonts w:ascii="Arial" w:hAnsi="Arial" w:cs="Arial"/>
          <w:bCs/>
          <w:sz w:val="22"/>
          <w:szCs w:val="22"/>
          <w:lang w:eastAsia="en-US"/>
        </w:rPr>
        <w:t>información</w:t>
      </w:r>
      <w:r w:rsidRPr="00F530E3">
        <w:rPr>
          <w:rFonts w:ascii="Arial" w:hAnsi="Arial" w:cs="Arial"/>
          <w:bCs/>
          <w:sz w:val="22"/>
          <w:szCs w:val="22"/>
          <w:lang w:eastAsia="en-US"/>
        </w:rPr>
        <w:t xml:space="preserve"> inicialmente suministrada y la </w:t>
      </w:r>
      <w:r w:rsidR="003850B6" w:rsidRPr="00F530E3">
        <w:rPr>
          <w:rFonts w:ascii="Arial" w:hAnsi="Arial" w:cs="Arial"/>
          <w:bCs/>
          <w:sz w:val="22"/>
          <w:szCs w:val="22"/>
          <w:lang w:eastAsia="en-US"/>
        </w:rPr>
        <w:t>situación</w:t>
      </w:r>
      <w:r w:rsidRPr="00F530E3">
        <w:rPr>
          <w:rFonts w:ascii="Arial" w:hAnsi="Arial" w:cs="Arial"/>
          <w:bCs/>
          <w:sz w:val="22"/>
          <w:szCs w:val="22"/>
          <w:lang w:eastAsia="en-US"/>
        </w:rPr>
        <w:t xml:space="preserve"> de los oferentes en el proceso de </w:t>
      </w:r>
      <w:r w:rsidR="003850B6" w:rsidRPr="00F530E3">
        <w:rPr>
          <w:rFonts w:ascii="Arial" w:hAnsi="Arial" w:cs="Arial"/>
          <w:bCs/>
          <w:sz w:val="22"/>
          <w:szCs w:val="22"/>
          <w:lang w:eastAsia="en-US"/>
        </w:rPr>
        <w:t>licitación</w:t>
      </w:r>
      <w:r w:rsidRPr="00F530E3">
        <w:rPr>
          <w:rFonts w:ascii="Arial" w:hAnsi="Arial" w:cs="Arial"/>
          <w:bCs/>
          <w:sz w:val="22"/>
          <w:szCs w:val="22"/>
          <w:lang w:eastAsia="en-US"/>
        </w:rPr>
        <w:t xml:space="preserve">. Por eso, como es posible que por </w:t>
      </w:r>
      <w:r w:rsidR="00DA4C2C" w:rsidRPr="00F530E3">
        <w:rPr>
          <w:rFonts w:ascii="Arial" w:hAnsi="Arial" w:cs="Arial"/>
          <w:bCs/>
          <w:sz w:val="22"/>
          <w:szCs w:val="22"/>
          <w:lang w:eastAsia="en-US"/>
        </w:rPr>
        <w:t>vía</w:t>
      </w:r>
      <w:r w:rsidRPr="00F530E3">
        <w:rPr>
          <w:rFonts w:ascii="Arial" w:hAnsi="Arial" w:cs="Arial"/>
          <w:bCs/>
          <w:sz w:val="22"/>
          <w:szCs w:val="22"/>
          <w:lang w:eastAsia="en-US"/>
        </w:rPr>
        <w:t xml:space="preserve"> aclaratoria los proponentes intenten modificar o mejorar sus ofertas, hay que distinguir entre las simples aclaraciones de las propuestas y las modificaciones a </w:t>
      </w:r>
      <w:r w:rsidR="00DA4C2C" w:rsidRPr="00F530E3">
        <w:rPr>
          <w:rFonts w:ascii="Arial" w:hAnsi="Arial" w:cs="Arial"/>
          <w:bCs/>
          <w:sz w:val="22"/>
          <w:szCs w:val="22"/>
          <w:lang w:eastAsia="en-US"/>
        </w:rPr>
        <w:t>estas</w:t>
      </w:r>
      <w:r w:rsidRPr="00F530E3">
        <w:rPr>
          <w:rFonts w:ascii="Arial" w:hAnsi="Arial" w:cs="Arial"/>
          <w:bCs/>
          <w:sz w:val="22"/>
          <w:szCs w:val="22"/>
          <w:lang w:eastAsia="en-US"/>
        </w:rPr>
        <w:t xml:space="preserve">; las primeras son los medios para que se pueda hacer perceptible, manifiesto, </w:t>
      </w:r>
      <w:r w:rsidR="00DA4C2C" w:rsidRPr="00F530E3">
        <w:rPr>
          <w:rFonts w:ascii="Arial" w:hAnsi="Arial" w:cs="Arial"/>
          <w:bCs/>
          <w:sz w:val="22"/>
          <w:szCs w:val="22"/>
          <w:lang w:eastAsia="en-US"/>
        </w:rPr>
        <w:t>explícito</w:t>
      </w:r>
      <w:r w:rsidRPr="00F530E3">
        <w:rPr>
          <w:rFonts w:ascii="Arial" w:hAnsi="Arial" w:cs="Arial"/>
          <w:bCs/>
          <w:sz w:val="22"/>
          <w:szCs w:val="22"/>
          <w:lang w:eastAsia="en-US"/>
        </w:rPr>
        <w:t xml:space="preserve"> o inteligible </w:t>
      </w:r>
      <w:r w:rsidR="00DA4C2C" w:rsidRPr="00F530E3">
        <w:rPr>
          <w:rFonts w:ascii="Arial" w:hAnsi="Arial" w:cs="Arial"/>
          <w:bCs/>
          <w:sz w:val="22"/>
          <w:szCs w:val="22"/>
          <w:lang w:eastAsia="en-US"/>
        </w:rPr>
        <w:t>algún</w:t>
      </w:r>
      <w:r w:rsidRPr="00F530E3">
        <w:rPr>
          <w:rFonts w:ascii="Arial" w:hAnsi="Arial" w:cs="Arial"/>
          <w:bCs/>
          <w:sz w:val="22"/>
          <w:szCs w:val="22"/>
          <w:lang w:eastAsia="en-US"/>
        </w:rPr>
        <w:t xml:space="preserve"> aspecto confuso de la propuesta, sin implicar una </w:t>
      </w:r>
      <w:r w:rsidR="00DA4C2C" w:rsidRPr="00F530E3">
        <w:rPr>
          <w:rFonts w:ascii="Arial" w:hAnsi="Arial" w:cs="Arial"/>
          <w:bCs/>
          <w:sz w:val="22"/>
          <w:szCs w:val="22"/>
          <w:lang w:eastAsia="en-US"/>
        </w:rPr>
        <w:t>complementación</w:t>
      </w:r>
      <w:r w:rsidRPr="00F530E3">
        <w:rPr>
          <w:rFonts w:ascii="Arial" w:hAnsi="Arial" w:cs="Arial"/>
          <w:bCs/>
          <w:sz w:val="22"/>
          <w:szCs w:val="22"/>
          <w:lang w:eastAsia="en-US"/>
        </w:rPr>
        <w:t xml:space="preserve">, </w:t>
      </w:r>
      <w:r w:rsidR="00DA4C2C" w:rsidRPr="00F530E3">
        <w:rPr>
          <w:rFonts w:ascii="Arial" w:hAnsi="Arial" w:cs="Arial"/>
          <w:bCs/>
          <w:sz w:val="22"/>
          <w:szCs w:val="22"/>
          <w:lang w:eastAsia="en-US"/>
        </w:rPr>
        <w:t>adición</w:t>
      </w:r>
      <w:r w:rsidRPr="00F530E3">
        <w:rPr>
          <w:rFonts w:ascii="Arial" w:hAnsi="Arial" w:cs="Arial"/>
          <w:bCs/>
          <w:sz w:val="22"/>
          <w:szCs w:val="22"/>
          <w:lang w:eastAsia="en-US"/>
        </w:rPr>
        <w:t xml:space="preserve">, </w:t>
      </w:r>
      <w:r w:rsidR="00DA4C2C" w:rsidRPr="00F530E3">
        <w:rPr>
          <w:rFonts w:ascii="Arial" w:hAnsi="Arial" w:cs="Arial"/>
          <w:bCs/>
          <w:sz w:val="22"/>
          <w:szCs w:val="22"/>
          <w:lang w:eastAsia="en-US"/>
        </w:rPr>
        <w:t>modificación</w:t>
      </w:r>
      <w:r w:rsidRPr="00F530E3">
        <w:rPr>
          <w:rFonts w:ascii="Arial" w:hAnsi="Arial" w:cs="Arial"/>
          <w:bCs/>
          <w:sz w:val="22"/>
          <w:szCs w:val="22"/>
          <w:lang w:eastAsia="en-US"/>
        </w:rPr>
        <w:t xml:space="preserve"> o mejora de dicho aspecto, que es</w:t>
      </w:r>
      <w:r w:rsidR="004E4001">
        <w:rPr>
          <w:rFonts w:ascii="Arial" w:hAnsi="Arial" w:cs="Arial"/>
          <w:bCs/>
          <w:sz w:val="22"/>
          <w:szCs w:val="22"/>
          <w:lang w:eastAsia="en-US"/>
        </w:rPr>
        <w:t>,</w:t>
      </w:r>
      <w:r w:rsidRPr="00F530E3">
        <w:rPr>
          <w:rFonts w:ascii="Arial" w:hAnsi="Arial" w:cs="Arial"/>
          <w:bCs/>
          <w:sz w:val="22"/>
          <w:szCs w:val="22"/>
          <w:lang w:eastAsia="en-US"/>
        </w:rPr>
        <w:t xml:space="preserve"> precisamente</w:t>
      </w:r>
      <w:r w:rsidR="004E4001">
        <w:rPr>
          <w:rFonts w:ascii="Arial" w:hAnsi="Arial" w:cs="Arial"/>
          <w:bCs/>
          <w:sz w:val="22"/>
          <w:szCs w:val="22"/>
          <w:lang w:eastAsia="en-US"/>
        </w:rPr>
        <w:t>,</w:t>
      </w:r>
      <w:r w:rsidRPr="00F530E3">
        <w:rPr>
          <w:rFonts w:ascii="Arial" w:hAnsi="Arial" w:cs="Arial"/>
          <w:bCs/>
          <w:sz w:val="22"/>
          <w:szCs w:val="22"/>
          <w:lang w:eastAsia="en-US"/>
        </w:rPr>
        <w:t xml:space="preserve"> en lo que consisten las segundas.</w:t>
      </w:r>
    </w:p>
    <w:p w14:paraId="5D20475B" w14:textId="2D31FC6E" w:rsidR="00DA2194" w:rsidRPr="00F530E3" w:rsidRDefault="00DA2194" w:rsidP="00030F0F">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La solicitud de aclaraciones permite que las entidades requieran a los proponentes esclarecer aspectos de su</w:t>
      </w:r>
      <w:r w:rsidR="0024504A">
        <w:rPr>
          <w:rFonts w:ascii="Arial" w:hAnsi="Arial" w:cs="Arial"/>
          <w:bCs/>
          <w:sz w:val="22"/>
          <w:szCs w:val="22"/>
          <w:lang w:eastAsia="en-US"/>
        </w:rPr>
        <w:t>s</w:t>
      </w:r>
      <w:r w:rsidRPr="00F530E3">
        <w:rPr>
          <w:rFonts w:ascii="Arial" w:hAnsi="Arial" w:cs="Arial"/>
          <w:bCs/>
          <w:sz w:val="22"/>
          <w:szCs w:val="22"/>
          <w:lang w:eastAsia="en-US"/>
        </w:rPr>
        <w:t xml:space="preserve"> propuesta</w:t>
      </w:r>
      <w:r w:rsidR="0024504A">
        <w:rPr>
          <w:rFonts w:ascii="Arial" w:hAnsi="Arial" w:cs="Arial"/>
          <w:bCs/>
          <w:sz w:val="22"/>
          <w:szCs w:val="22"/>
          <w:lang w:eastAsia="en-US"/>
        </w:rPr>
        <w:t>s</w:t>
      </w:r>
      <w:r w:rsidRPr="00F530E3">
        <w:rPr>
          <w:rFonts w:ascii="Arial" w:hAnsi="Arial" w:cs="Arial"/>
          <w:bCs/>
          <w:sz w:val="22"/>
          <w:szCs w:val="22"/>
          <w:lang w:eastAsia="en-US"/>
        </w:rPr>
        <w:t xml:space="preserve"> que</w:t>
      </w:r>
      <w:r w:rsidR="0024504A">
        <w:rPr>
          <w:rFonts w:ascii="Arial" w:hAnsi="Arial" w:cs="Arial"/>
          <w:bCs/>
          <w:sz w:val="22"/>
          <w:szCs w:val="22"/>
          <w:lang w:eastAsia="en-US"/>
        </w:rPr>
        <w:t>,</w:t>
      </w:r>
      <w:r w:rsidRPr="00F530E3">
        <w:rPr>
          <w:rFonts w:ascii="Arial" w:hAnsi="Arial" w:cs="Arial"/>
          <w:bCs/>
          <w:sz w:val="22"/>
          <w:szCs w:val="22"/>
          <w:lang w:eastAsia="en-US"/>
        </w:rPr>
        <w:t xml:space="preserve"> en principio</w:t>
      </w:r>
      <w:r w:rsidR="0024504A">
        <w:rPr>
          <w:rFonts w:ascii="Arial" w:hAnsi="Arial" w:cs="Arial"/>
          <w:bCs/>
          <w:sz w:val="22"/>
          <w:szCs w:val="22"/>
          <w:lang w:eastAsia="en-US"/>
        </w:rPr>
        <w:t>,</w:t>
      </w:r>
      <w:r w:rsidRPr="00F530E3">
        <w:rPr>
          <w:rFonts w:ascii="Arial" w:hAnsi="Arial" w:cs="Arial"/>
          <w:bCs/>
          <w:sz w:val="22"/>
          <w:szCs w:val="22"/>
          <w:lang w:eastAsia="en-US"/>
        </w:rPr>
        <w:t xml:space="preserve"> resultan confusos para efectos de la evaluación, diferenciándose de la subsanabilidad, pues no parte del supuesto de la ausencia de requisitos de la oferta sino de la existencia de </w:t>
      </w:r>
      <w:r w:rsidR="0024504A">
        <w:rPr>
          <w:rFonts w:ascii="Arial" w:hAnsi="Arial" w:cs="Arial"/>
          <w:bCs/>
          <w:sz w:val="22"/>
          <w:szCs w:val="22"/>
          <w:lang w:eastAsia="en-US"/>
        </w:rPr>
        <w:t>dudas</w:t>
      </w:r>
      <w:r w:rsidR="0024504A" w:rsidRPr="00F530E3">
        <w:rPr>
          <w:rFonts w:ascii="Arial" w:hAnsi="Arial" w:cs="Arial"/>
          <w:bCs/>
          <w:sz w:val="22"/>
          <w:szCs w:val="22"/>
          <w:lang w:eastAsia="en-US"/>
        </w:rPr>
        <w:t xml:space="preserve"> </w:t>
      </w:r>
      <w:r w:rsidRPr="00F530E3">
        <w:rPr>
          <w:rFonts w:ascii="Arial" w:hAnsi="Arial" w:cs="Arial"/>
          <w:bCs/>
          <w:sz w:val="22"/>
          <w:szCs w:val="22"/>
          <w:lang w:eastAsia="en-US"/>
        </w:rPr>
        <w:t xml:space="preserve">en la misma, cuya explicación se requiere para la evaluar la propuesta. Esta diferencia es importante, pues </w:t>
      </w:r>
      <w:r w:rsidRPr="00030F0F">
        <w:rPr>
          <w:rFonts w:ascii="Arial" w:hAnsi="Arial" w:cs="Arial"/>
          <w:bCs/>
          <w:i/>
          <w:iCs/>
          <w:sz w:val="22"/>
          <w:szCs w:val="22"/>
          <w:lang w:eastAsia="en-US"/>
        </w:rPr>
        <w:t>es posible aclarar los requisitos que asignan puntaje</w:t>
      </w:r>
      <w:r w:rsidRPr="00F530E3">
        <w:rPr>
          <w:rFonts w:ascii="Arial" w:hAnsi="Arial" w:cs="Arial"/>
          <w:bCs/>
          <w:sz w:val="22"/>
          <w:szCs w:val="22"/>
          <w:lang w:eastAsia="en-US"/>
        </w:rPr>
        <w:t>, tal como lo ha señalado la jurisprudencia en los siguientes términos:</w:t>
      </w:r>
    </w:p>
    <w:p w14:paraId="3A5E4460" w14:textId="77777777" w:rsidR="00DA2194" w:rsidRPr="003850B6" w:rsidRDefault="00DA2194" w:rsidP="002C51EB">
      <w:pPr>
        <w:spacing w:after="0"/>
        <w:ind w:left="709" w:right="709"/>
        <w:rPr>
          <w:rFonts w:ascii="Arial" w:hAnsi="Arial" w:cs="Arial"/>
          <w:bCs/>
          <w:sz w:val="21"/>
          <w:szCs w:val="21"/>
          <w:lang w:eastAsia="en-US"/>
        </w:rPr>
      </w:pPr>
    </w:p>
    <w:p w14:paraId="4D71FA4E" w14:textId="3526F961" w:rsidR="00DA2194" w:rsidRDefault="00DA2194" w:rsidP="00030F0F">
      <w:pPr>
        <w:spacing w:after="0" w:line="240" w:lineRule="auto"/>
        <w:ind w:left="709" w:right="709"/>
        <w:rPr>
          <w:rFonts w:ascii="Arial" w:hAnsi="Arial" w:cs="Arial"/>
          <w:bCs/>
          <w:sz w:val="21"/>
          <w:szCs w:val="21"/>
          <w:lang w:eastAsia="en-US"/>
        </w:rPr>
      </w:pPr>
      <w:bookmarkStart w:id="2" w:name="_3znysh7" w:colFirst="0" w:colLast="0"/>
      <w:bookmarkEnd w:id="2"/>
      <w:r w:rsidRPr="003850B6">
        <w:rPr>
          <w:rFonts w:ascii="Arial" w:hAnsi="Arial" w:cs="Arial"/>
          <w:bCs/>
          <w:sz w:val="21"/>
          <w:szCs w:val="21"/>
          <w:lang w:eastAsia="en-US"/>
        </w:rPr>
        <w:t>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sidRPr="003850B6">
        <w:rPr>
          <w:rFonts w:ascii="Arial" w:hAnsi="Arial" w:cs="Arial"/>
          <w:bCs/>
          <w:sz w:val="21"/>
          <w:szCs w:val="21"/>
          <w:vertAlign w:val="superscript"/>
          <w:lang w:eastAsia="en-US"/>
        </w:rPr>
        <w:footnoteReference w:id="18"/>
      </w:r>
    </w:p>
    <w:p w14:paraId="16A416AF" w14:textId="77777777" w:rsidR="009D0460" w:rsidRPr="003850B6" w:rsidRDefault="009D0460" w:rsidP="002C51EB">
      <w:pPr>
        <w:spacing w:after="0"/>
        <w:ind w:left="709" w:right="709"/>
        <w:rPr>
          <w:rFonts w:ascii="Arial" w:hAnsi="Arial" w:cs="Arial"/>
          <w:bCs/>
          <w:sz w:val="21"/>
          <w:szCs w:val="21"/>
          <w:lang w:eastAsia="en-US"/>
        </w:rPr>
      </w:pPr>
    </w:p>
    <w:p w14:paraId="08F0BD3D" w14:textId="7351B622" w:rsidR="00871CD7" w:rsidRDefault="00DA2194" w:rsidP="008E0274">
      <w:pPr>
        <w:spacing w:after="0"/>
        <w:ind w:firstLine="709"/>
        <w:rPr>
          <w:rFonts w:ascii="Arial" w:hAnsi="Arial" w:cs="Arial"/>
          <w:bCs/>
          <w:sz w:val="22"/>
          <w:szCs w:val="22"/>
          <w:lang w:eastAsia="en-US"/>
        </w:rPr>
      </w:pPr>
      <w:r w:rsidRPr="00F530E3">
        <w:rPr>
          <w:rFonts w:ascii="Arial" w:hAnsi="Arial" w:cs="Arial"/>
          <w:bCs/>
          <w:sz w:val="22"/>
          <w:szCs w:val="22"/>
          <w:lang w:eastAsia="en-US"/>
        </w:rPr>
        <w:t xml:space="preserve">De tal forma que, tal y como lo expresó la alta Corporación, aclarar una oferta no puede implicar su alteración sustancial o mejoría de sus componentes, sino limitarse a disipar lo que resulta borroso u otorgar claridad a lo que resulta oscuro o ininteligible. En este punto, se concluye, </w:t>
      </w:r>
      <w:r w:rsidR="00F930F0" w:rsidRPr="00F530E3">
        <w:rPr>
          <w:rFonts w:ascii="Arial" w:hAnsi="Arial" w:cs="Arial"/>
          <w:bCs/>
          <w:sz w:val="22"/>
          <w:szCs w:val="22"/>
          <w:lang w:eastAsia="en-US"/>
        </w:rPr>
        <w:t xml:space="preserve">es </w:t>
      </w:r>
      <w:r w:rsidRPr="00F530E3">
        <w:rPr>
          <w:rFonts w:ascii="Arial" w:hAnsi="Arial" w:cs="Arial"/>
          <w:bCs/>
          <w:sz w:val="22"/>
          <w:szCs w:val="22"/>
          <w:lang w:eastAsia="en-US"/>
        </w:rPr>
        <w:t xml:space="preserve">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w:t>
      </w:r>
      <w:r w:rsidR="00871CD7">
        <w:rPr>
          <w:rFonts w:ascii="Arial" w:hAnsi="Arial" w:cs="Arial"/>
          <w:bCs/>
          <w:sz w:val="22"/>
          <w:szCs w:val="22"/>
          <w:lang w:eastAsia="en-US"/>
        </w:rPr>
        <w:t xml:space="preserve">el </w:t>
      </w:r>
      <w:r w:rsidRPr="00F530E3">
        <w:rPr>
          <w:rFonts w:ascii="Arial" w:hAnsi="Arial" w:cs="Arial"/>
          <w:bCs/>
          <w:sz w:val="22"/>
          <w:szCs w:val="22"/>
          <w:lang w:eastAsia="en-US"/>
        </w:rPr>
        <w:t xml:space="preserve">entendimiento de los elementos de la oferta, sean o no subsanables, para la correcta verificación y evaluación de los mismos por parte de la entidad pública. </w:t>
      </w:r>
      <w:r w:rsidR="00F930F0">
        <w:rPr>
          <w:rFonts w:ascii="Arial" w:hAnsi="Arial" w:cs="Arial"/>
          <w:bCs/>
          <w:sz w:val="22"/>
          <w:szCs w:val="22"/>
          <w:lang w:eastAsia="en-US"/>
        </w:rPr>
        <w:t xml:space="preserve"> </w:t>
      </w:r>
    </w:p>
    <w:p w14:paraId="7E730120" w14:textId="789821D6" w:rsidR="00DA2194" w:rsidRPr="00F530E3" w:rsidRDefault="00DA2194" w:rsidP="008E0274">
      <w:pPr>
        <w:spacing w:before="120" w:after="0"/>
        <w:ind w:firstLine="709"/>
        <w:rPr>
          <w:rFonts w:ascii="Arial" w:hAnsi="Arial" w:cs="Arial"/>
          <w:bCs/>
          <w:sz w:val="22"/>
          <w:szCs w:val="22"/>
          <w:lang w:eastAsia="en-US"/>
        </w:rPr>
      </w:pPr>
      <w:r w:rsidRPr="00F530E3">
        <w:rPr>
          <w:rFonts w:ascii="Arial" w:hAnsi="Arial" w:cs="Arial"/>
          <w:bCs/>
          <w:sz w:val="22"/>
          <w:szCs w:val="22"/>
          <w:lang w:eastAsia="en-US"/>
        </w:rPr>
        <w:t>Finalmente, como dispone el artículo 30.7 de la Ley 80 de 1993, la aclaración de las propuestas se realiza durante la evaluación de estas, pues es necesario esclarecer los aspectos dudosos de las ofertas antes de la adjudicación</w:t>
      </w:r>
      <w:r w:rsidR="003850B6">
        <w:rPr>
          <w:rStyle w:val="Refdenotaalpie"/>
          <w:rFonts w:ascii="Arial" w:hAnsi="Arial" w:cs="Arial"/>
          <w:bCs/>
          <w:sz w:val="22"/>
          <w:szCs w:val="22"/>
          <w:lang w:eastAsia="en-US"/>
        </w:rPr>
        <w:footnoteReference w:id="19"/>
      </w:r>
      <w:r w:rsidRPr="00F530E3">
        <w:rPr>
          <w:rFonts w:ascii="Arial" w:hAnsi="Arial" w:cs="Arial"/>
          <w:bCs/>
          <w:sz w:val="22"/>
          <w:szCs w:val="22"/>
          <w:lang w:eastAsia="en-US"/>
        </w:rPr>
        <w:t xml:space="preserve">. Por ello, la jurisprudencia </w:t>
      </w:r>
      <w:r w:rsidRPr="00F530E3">
        <w:rPr>
          <w:rFonts w:ascii="Arial" w:hAnsi="Arial" w:cs="Arial"/>
          <w:bCs/>
          <w:sz w:val="22"/>
          <w:szCs w:val="22"/>
          <w:lang w:eastAsia="en-US"/>
        </w:rPr>
        <w:lastRenderedPageBreak/>
        <w:t>también explica que «[…] el proponente debe acogerse al tiempo que le otorga la administración para subsanar o aclarar la oferta, lapso que la entidad no puede extender más allá de la adjudicación […]»</w:t>
      </w:r>
      <w:r w:rsidRPr="00F530E3">
        <w:rPr>
          <w:rFonts w:ascii="Arial" w:hAnsi="Arial" w:cs="Arial"/>
          <w:bCs/>
          <w:sz w:val="22"/>
          <w:szCs w:val="22"/>
          <w:vertAlign w:val="superscript"/>
          <w:lang w:eastAsia="en-US"/>
        </w:rPr>
        <w:footnoteReference w:id="20"/>
      </w:r>
      <w:r w:rsidRPr="00F530E3">
        <w:rPr>
          <w:rFonts w:ascii="Arial" w:hAnsi="Arial" w:cs="Arial"/>
          <w:bCs/>
          <w:sz w:val="22"/>
          <w:szCs w:val="22"/>
          <w:lang w:eastAsia="en-US"/>
        </w:rPr>
        <w:t xml:space="preserve">. De esta manera, «lo ideal en un </w:t>
      </w:r>
      <w:r w:rsidR="003850B6">
        <w:rPr>
          <w:rFonts w:ascii="Arial" w:hAnsi="Arial" w:cs="Arial"/>
          <w:bCs/>
          <w:sz w:val="22"/>
          <w:szCs w:val="22"/>
          <w:lang w:eastAsia="en-US"/>
        </w:rPr>
        <w:t xml:space="preserve">proceso de selección es que las </w:t>
      </w:r>
      <w:r w:rsidR="003850B6">
        <w:rPr>
          <w:rFonts w:ascii="Arial" w:hAnsi="Arial" w:cs="Arial"/>
          <w:bCs/>
          <w:i/>
          <w:sz w:val="22"/>
          <w:szCs w:val="22"/>
          <w:lang w:eastAsia="en-US"/>
        </w:rPr>
        <w:t xml:space="preserve">aclaraciones </w:t>
      </w:r>
      <w:r w:rsidR="003850B6">
        <w:rPr>
          <w:rFonts w:ascii="Arial" w:hAnsi="Arial" w:cs="Arial"/>
          <w:bCs/>
          <w:sz w:val="22"/>
          <w:szCs w:val="22"/>
          <w:lang w:eastAsia="en-US"/>
        </w:rPr>
        <w:t xml:space="preserve">y </w:t>
      </w:r>
      <w:r w:rsidRPr="00F530E3">
        <w:rPr>
          <w:rFonts w:ascii="Arial" w:hAnsi="Arial" w:cs="Arial"/>
          <w:bCs/>
          <w:i/>
          <w:sz w:val="22"/>
          <w:szCs w:val="22"/>
          <w:lang w:eastAsia="en-US"/>
        </w:rPr>
        <w:t>explicaciones</w:t>
      </w:r>
      <w:r w:rsidR="003850B6">
        <w:rPr>
          <w:rFonts w:ascii="Arial" w:hAnsi="Arial" w:cs="Arial"/>
          <w:bCs/>
          <w:i/>
          <w:sz w:val="22"/>
          <w:szCs w:val="22"/>
          <w:lang w:eastAsia="en-US"/>
        </w:rPr>
        <w:t xml:space="preserve"> </w:t>
      </w:r>
      <w:r w:rsidRPr="00F530E3">
        <w:rPr>
          <w:rFonts w:ascii="Arial" w:hAnsi="Arial" w:cs="Arial"/>
          <w:bCs/>
          <w:sz w:val="22"/>
          <w:szCs w:val="22"/>
          <w:lang w:eastAsia="en-US"/>
        </w:rPr>
        <w:t>se anticipen y soliciten durante la etapa de</w:t>
      </w:r>
      <w:r w:rsidR="003850B6">
        <w:rPr>
          <w:rFonts w:ascii="Arial" w:hAnsi="Arial" w:cs="Arial"/>
          <w:bCs/>
          <w:sz w:val="22"/>
          <w:szCs w:val="22"/>
          <w:lang w:eastAsia="en-US"/>
        </w:rPr>
        <w:t xml:space="preserve"> </w:t>
      </w:r>
      <w:r w:rsidRPr="00F530E3">
        <w:rPr>
          <w:rFonts w:ascii="Arial" w:hAnsi="Arial" w:cs="Arial"/>
          <w:bCs/>
          <w:i/>
          <w:sz w:val="22"/>
          <w:szCs w:val="22"/>
          <w:lang w:eastAsia="en-US"/>
        </w:rPr>
        <w:t>evaluación</w:t>
      </w:r>
      <w:r w:rsidRPr="00F530E3">
        <w:rPr>
          <w:rFonts w:ascii="Arial" w:hAnsi="Arial" w:cs="Arial"/>
          <w:bCs/>
          <w:sz w:val="22"/>
          <w:szCs w:val="22"/>
          <w:lang w:eastAsia="en-US"/>
        </w:rPr>
        <w:t>, lo más pronto posible, es decir, antes de que la entidad elabore el informe respectivo, de tal manera que las tenga en cuenta para producir ese acto administrativo».</w:t>
      </w:r>
      <w:r w:rsidRPr="00F530E3">
        <w:rPr>
          <w:rFonts w:ascii="Arial" w:hAnsi="Arial" w:cs="Arial"/>
          <w:bCs/>
          <w:sz w:val="22"/>
          <w:szCs w:val="22"/>
          <w:vertAlign w:val="superscript"/>
          <w:lang w:eastAsia="en-US"/>
        </w:rPr>
        <w:footnoteReference w:id="21"/>
      </w:r>
      <w:r w:rsidRPr="00F530E3">
        <w:rPr>
          <w:rFonts w:ascii="Arial" w:hAnsi="Arial" w:cs="Arial"/>
          <w:bCs/>
          <w:sz w:val="22"/>
          <w:szCs w:val="22"/>
          <w:lang w:eastAsia="en-US"/>
        </w:rPr>
        <w:t xml:space="preserve"> </w:t>
      </w:r>
    </w:p>
    <w:p w14:paraId="05881EC9" w14:textId="30E60338" w:rsidR="003850B6" w:rsidRDefault="003850B6" w:rsidP="002C51EB">
      <w:pPr>
        <w:spacing w:after="0"/>
        <w:ind w:right="49"/>
        <w:rPr>
          <w:rFonts w:ascii="Arial" w:hAnsi="Arial" w:cs="Arial"/>
          <w:bCs/>
          <w:sz w:val="22"/>
          <w:szCs w:val="22"/>
          <w:lang w:eastAsia="en-US"/>
        </w:rPr>
      </w:pPr>
    </w:p>
    <w:p w14:paraId="6AC353EA" w14:textId="56C30FF3" w:rsidR="002E0BEF" w:rsidRPr="002E0BEF" w:rsidRDefault="002E0BEF" w:rsidP="008E0274">
      <w:pPr>
        <w:spacing w:after="0"/>
        <w:rPr>
          <w:rFonts w:ascii="Arial" w:hAnsi="Arial" w:cs="Arial"/>
          <w:b/>
          <w:bCs/>
          <w:sz w:val="22"/>
          <w:szCs w:val="22"/>
          <w:lang w:eastAsia="en-US"/>
        </w:rPr>
      </w:pPr>
      <w:r w:rsidRPr="002E0BEF">
        <w:rPr>
          <w:rFonts w:ascii="Arial" w:hAnsi="Arial" w:cs="Arial"/>
          <w:b/>
          <w:bCs/>
          <w:sz w:val="22"/>
          <w:szCs w:val="22"/>
          <w:lang w:eastAsia="en-US"/>
        </w:rPr>
        <w:t>2.3.</w:t>
      </w:r>
      <w:r>
        <w:rPr>
          <w:rFonts w:ascii="Arial" w:hAnsi="Arial" w:cs="Arial"/>
          <w:b/>
          <w:bCs/>
          <w:sz w:val="22"/>
          <w:szCs w:val="22"/>
          <w:lang w:eastAsia="en-US"/>
        </w:rPr>
        <w:t xml:space="preserve"> Análisis de las tesis planteadas en el concepto C-281 del 2022</w:t>
      </w:r>
      <w:r w:rsidR="001D6FC7">
        <w:rPr>
          <w:rFonts w:ascii="Arial" w:hAnsi="Arial" w:cs="Arial"/>
          <w:b/>
          <w:bCs/>
          <w:sz w:val="22"/>
          <w:szCs w:val="22"/>
          <w:lang w:eastAsia="en-US"/>
        </w:rPr>
        <w:t>,</w:t>
      </w:r>
      <w:r>
        <w:rPr>
          <w:rFonts w:ascii="Arial" w:hAnsi="Arial" w:cs="Arial"/>
          <w:b/>
          <w:bCs/>
          <w:sz w:val="22"/>
          <w:szCs w:val="22"/>
          <w:lang w:eastAsia="en-US"/>
        </w:rPr>
        <w:t xml:space="preserve"> en relación con la subsanabilidad</w:t>
      </w:r>
      <w:r w:rsidR="001D6FC7">
        <w:rPr>
          <w:rFonts w:ascii="Arial" w:hAnsi="Arial" w:cs="Arial"/>
          <w:b/>
          <w:bCs/>
          <w:sz w:val="22"/>
          <w:szCs w:val="22"/>
          <w:lang w:eastAsia="en-US"/>
        </w:rPr>
        <w:t>,</w:t>
      </w:r>
      <w:r w:rsidR="00E43F99">
        <w:rPr>
          <w:rFonts w:ascii="Arial" w:hAnsi="Arial" w:cs="Arial"/>
          <w:b/>
          <w:bCs/>
          <w:sz w:val="22"/>
          <w:szCs w:val="22"/>
          <w:lang w:eastAsia="en-US"/>
        </w:rPr>
        <w:t xml:space="preserve"> y de la </w:t>
      </w:r>
      <w:r w:rsidR="001D6FC7">
        <w:rPr>
          <w:rFonts w:ascii="Arial" w:hAnsi="Arial" w:cs="Arial"/>
          <w:b/>
          <w:bCs/>
          <w:sz w:val="22"/>
          <w:szCs w:val="22"/>
          <w:lang w:eastAsia="en-US"/>
        </w:rPr>
        <w:t>S</w:t>
      </w:r>
      <w:r w:rsidR="00E43F99">
        <w:rPr>
          <w:rFonts w:ascii="Arial" w:hAnsi="Arial" w:cs="Arial"/>
          <w:b/>
          <w:bCs/>
          <w:sz w:val="22"/>
          <w:szCs w:val="22"/>
          <w:lang w:eastAsia="en-US"/>
        </w:rPr>
        <w:t xml:space="preserve">entencia de </w:t>
      </w:r>
      <w:r w:rsidR="00E43F99" w:rsidRPr="00E43F99">
        <w:rPr>
          <w:rFonts w:ascii="Arial" w:hAnsi="Arial" w:cs="Arial"/>
          <w:b/>
          <w:bCs/>
          <w:sz w:val="22"/>
          <w:szCs w:val="22"/>
          <w:lang w:eastAsia="en-US"/>
        </w:rPr>
        <w:t>Sección Tercera, Subsección C, del Consejo de Estado,</w:t>
      </w:r>
      <w:r w:rsidR="00E43F99">
        <w:rPr>
          <w:rFonts w:ascii="Arial" w:hAnsi="Arial" w:cs="Arial"/>
          <w:b/>
          <w:bCs/>
          <w:sz w:val="22"/>
          <w:szCs w:val="22"/>
          <w:lang w:eastAsia="en-US"/>
        </w:rPr>
        <w:t xml:space="preserve"> proferida</w:t>
      </w:r>
      <w:r w:rsidR="00E43F99" w:rsidRPr="00E43F99">
        <w:rPr>
          <w:rFonts w:ascii="Arial" w:hAnsi="Arial" w:cs="Arial"/>
          <w:b/>
          <w:bCs/>
          <w:sz w:val="22"/>
          <w:szCs w:val="22"/>
          <w:lang w:eastAsia="en-US"/>
        </w:rPr>
        <w:t xml:space="preserve"> en el expediente 65134 </w:t>
      </w:r>
    </w:p>
    <w:p w14:paraId="3CB4FDF8" w14:textId="77777777" w:rsidR="002E0BEF" w:rsidRDefault="002E0BEF" w:rsidP="002C51EB">
      <w:pPr>
        <w:spacing w:after="0"/>
        <w:ind w:right="49" w:firstLine="709"/>
        <w:rPr>
          <w:rFonts w:ascii="Arial" w:hAnsi="Arial" w:cs="Arial"/>
          <w:bCs/>
          <w:sz w:val="22"/>
          <w:szCs w:val="22"/>
          <w:lang w:eastAsia="en-US"/>
        </w:rPr>
      </w:pPr>
    </w:p>
    <w:p w14:paraId="45812E8D" w14:textId="2B8ADEAF" w:rsidR="0011757A" w:rsidRDefault="00E43F99" w:rsidP="008E0274">
      <w:pPr>
        <w:spacing w:after="0"/>
        <w:rPr>
          <w:rFonts w:ascii="Arial" w:hAnsi="Arial" w:cs="Arial"/>
          <w:bCs/>
          <w:sz w:val="22"/>
          <w:szCs w:val="22"/>
          <w:lang w:eastAsia="en-US"/>
        </w:rPr>
      </w:pPr>
      <w:r>
        <w:rPr>
          <w:rFonts w:ascii="Arial" w:hAnsi="Arial" w:cs="Arial"/>
          <w:bCs/>
          <w:sz w:val="22"/>
          <w:szCs w:val="22"/>
          <w:lang w:eastAsia="en-US"/>
        </w:rPr>
        <w:t>En cuanto</w:t>
      </w:r>
      <w:r w:rsidR="002E0BEF">
        <w:rPr>
          <w:rFonts w:ascii="Arial" w:hAnsi="Arial" w:cs="Arial"/>
          <w:bCs/>
          <w:sz w:val="22"/>
          <w:szCs w:val="22"/>
          <w:lang w:eastAsia="en-US"/>
        </w:rPr>
        <w:t xml:space="preserve"> la consulta</w:t>
      </w:r>
      <w:r w:rsidR="00DA4C2C" w:rsidRPr="00DA4C2C">
        <w:rPr>
          <w:rFonts w:ascii="Arial" w:hAnsi="Arial" w:cs="Arial"/>
          <w:bCs/>
          <w:sz w:val="22"/>
          <w:szCs w:val="22"/>
          <w:lang w:eastAsia="en-US"/>
        </w:rPr>
        <w:t xml:space="preserve"> formulada en este caso plantea que esta Agencia</w:t>
      </w:r>
      <w:r w:rsidR="00DA4C2C">
        <w:rPr>
          <w:rFonts w:ascii="Arial" w:hAnsi="Arial" w:cs="Arial"/>
          <w:bCs/>
          <w:sz w:val="22"/>
          <w:szCs w:val="22"/>
          <w:lang w:eastAsia="en-US"/>
        </w:rPr>
        <w:t>, en el concepto C-281 del 2022</w:t>
      </w:r>
      <w:r>
        <w:rPr>
          <w:rFonts w:ascii="Arial" w:hAnsi="Arial" w:cs="Arial"/>
          <w:bCs/>
          <w:sz w:val="22"/>
          <w:szCs w:val="22"/>
          <w:lang w:eastAsia="en-US"/>
        </w:rPr>
        <w:t>,</w:t>
      </w:r>
      <w:r w:rsidR="00DA4C2C">
        <w:rPr>
          <w:rFonts w:ascii="Arial" w:hAnsi="Arial" w:cs="Arial"/>
          <w:bCs/>
          <w:sz w:val="22"/>
          <w:szCs w:val="22"/>
          <w:lang w:eastAsia="en-US"/>
        </w:rPr>
        <w:t xml:space="preserve"> </w:t>
      </w:r>
      <w:r w:rsidR="00DA4C2C" w:rsidRPr="00DA4C2C">
        <w:rPr>
          <w:rFonts w:ascii="Arial" w:hAnsi="Arial" w:cs="Arial"/>
          <w:bCs/>
          <w:sz w:val="22"/>
          <w:szCs w:val="22"/>
          <w:lang w:eastAsia="en-US"/>
        </w:rPr>
        <w:t>admiti</w:t>
      </w:r>
      <w:r w:rsidR="00DA4C2C">
        <w:rPr>
          <w:rFonts w:ascii="Arial" w:hAnsi="Arial" w:cs="Arial"/>
          <w:bCs/>
          <w:sz w:val="22"/>
          <w:szCs w:val="22"/>
          <w:lang w:eastAsia="en-US"/>
        </w:rPr>
        <w:t>ó que es procedente subsanar</w:t>
      </w:r>
      <w:r w:rsidR="008C7BF8">
        <w:rPr>
          <w:rFonts w:ascii="Arial" w:hAnsi="Arial" w:cs="Arial"/>
          <w:bCs/>
          <w:sz w:val="22"/>
          <w:szCs w:val="22"/>
          <w:lang w:eastAsia="en-US"/>
        </w:rPr>
        <w:t xml:space="preserve"> las ofertas en relación con </w:t>
      </w:r>
      <w:r w:rsidR="00DA4C2C">
        <w:rPr>
          <w:rFonts w:ascii="Arial" w:hAnsi="Arial" w:cs="Arial"/>
          <w:bCs/>
          <w:sz w:val="22"/>
          <w:szCs w:val="22"/>
          <w:lang w:eastAsia="en-US"/>
        </w:rPr>
        <w:t>documentos a través de los cuales se acrediten</w:t>
      </w:r>
      <w:r w:rsidR="00C01941">
        <w:rPr>
          <w:rFonts w:ascii="Arial" w:hAnsi="Arial" w:cs="Arial"/>
          <w:bCs/>
          <w:sz w:val="22"/>
          <w:szCs w:val="22"/>
          <w:lang w:eastAsia="en-US"/>
        </w:rPr>
        <w:t>,</w:t>
      </w:r>
      <w:r w:rsidR="008C7BF8">
        <w:rPr>
          <w:rFonts w:ascii="Arial" w:hAnsi="Arial" w:cs="Arial"/>
          <w:bCs/>
          <w:sz w:val="22"/>
          <w:szCs w:val="22"/>
          <w:lang w:eastAsia="en-US"/>
        </w:rPr>
        <w:t xml:space="preserve"> al mismo tiempo</w:t>
      </w:r>
      <w:r w:rsidR="00C01941">
        <w:rPr>
          <w:rFonts w:ascii="Arial" w:hAnsi="Arial" w:cs="Arial"/>
          <w:bCs/>
          <w:sz w:val="22"/>
          <w:szCs w:val="22"/>
          <w:lang w:eastAsia="en-US"/>
        </w:rPr>
        <w:t>,</w:t>
      </w:r>
      <w:r w:rsidR="00DA4C2C">
        <w:rPr>
          <w:rFonts w:ascii="Arial" w:hAnsi="Arial" w:cs="Arial"/>
          <w:bCs/>
          <w:sz w:val="22"/>
          <w:szCs w:val="22"/>
          <w:lang w:eastAsia="en-US"/>
        </w:rPr>
        <w:t xml:space="preserve"> requisitos habilitantes</w:t>
      </w:r>
      <w:r w:rsidR="008C7BF8">
        <w:rPr>
          <w:rFonts w:ascii="Arial" w:hAnsi="Arial" w:cs="Arial"/>
          <w:bCs/>
          <w:sz w:val="22"/>
          <w:szCs w:val="22"/>
          <w:lang w:eastAsia="en-US"/>
        </w:rPr>
        <w:t xml:space="preserve"> y factores de ponderación, siempre que el documento subsanado no sea tenido en cuenta para la asignación de puntaje, resultan pertinentes las siguientes consideraciones:</w:t>
      </w:r>
    </w:p>
    <w:p w14:paraId="508A77FD" w14:textId="6CB72EEB" w:rsidR="000140C4" w:rsidRDefault="008C7BF8" w:rsidP="008E0274">
      <w:pPr>
        <w:spacing w:before="120" w:after="0"/>
        <w:ind w:firstLine="709"/>
        <w:rPr>
          <w:rFonts w:ascii="Arial" w:hAnsi="Arial" w:cs="Arial"/>
          <w:bCs/>
          <w:sz w:val="22"/>
          <w:szCs w:val="22"/>
          <w:lang w:eastAsia="en-US"/>
        </w:rPr>
      </w:pPr>
      <w:r>
        <w:rPr>
          <w:rFonts w:ascii="Arial" w:hAnsi="Arial" w:cs="Arial"/>
          <w:bCs/>
          <w:sz w:val="22"/>
          <w:szCs w:val="22"/>
          <w:lang w:eastAsia="en-US"/>
        </w:rPr>
        <w:t xml:space="preserve">En el concepto C-281 del 2022, esta </w:t>
      </w:r>
      <w:r w:rsidR="0011757A">
        <w:rPr>
          <w:rFonts w:ascii="Arial" w:hAnsi="Arial" w:cs="Arial"/>
          <w:bCs/>
          <w:sz w:val="22"/>
          <w:szCs w:val="22"/>
          <w:lang w:eastAsia="en-US"/>
        </w:rPr>
        <w:t>A</w:t>
      </w:r>
      <w:r>
        <w:rPr>
          <w:rFonts w:ascii="Arial" w:hAnsi="Arial" w:cs="Arial"/>
          <w:bCs/>
          <w:sz w:val="22"/>
          <w:szCs w:val="22"/>
          <w:lang w:eastAsia="en-US"/>
        </w:rPr>
        <w:t>gencia analizó, de forma extensa y detallada, el alcance, contenido y finalidad de la Ley 2069 del 2020, conocida como Ley de emprendimiento</w:t>
      </w:r>
      <w:r w:rsidR="0011757A">
        <w:rPr>
          <w:rFonts w:ascii="Arial" w:hAnsi="Arial" w:cs="Arial"/>
          <w:bCs/>
          <w:sz w:val="22"/>
          <w:szCs w:val="22"/>
          <w:lang w:eastAsia="en-US"/>
        </w:rPr>
        <w:t>,</w:t>
      </w:r>
      <w:r>
        <w:rPr>
          <w:rFonts w:ascii="Arial" w:hAnsi="Arial" w:cs="Arial"/>
          <w:bCs/>
          <w:sz w:val="22"/>
          <w:szCs w:val="22"/>
          <w:lang w:eastAsia="en-US"/>
        </w:rPr>
        <w:t xml:space="preserve"> así como los casos en los cuales sus disposiciones tienen aplicación directa y aquellos en los que se hizo necesaria su reglamentación, contenida en el Decreto 1860 del 2021. En dicho concepto, además, se precisaron los parámetros definidos en </w:t>
      </w:r>
      <w:r w:rsidR="00D71E59">
        <w:rPr>
          <w:rFonts w:ascii="Arial" w:hAnsi="Arial" w:cs="Arial"/>
          <w:bCs/>
          <w:sz w:val="22"/>
          <w:szCs w:val="22"/>
          <w:lang w:eastAsia="en-US"/>
        </w:rPr>
        <w:t xml:space="preserve">la referida </w:t>
      </w:r>
      <w:r>
        <w:rPr>
          <w:rFonts w:ascii="Arial" w:hAnsi="Arial" w:cs="Arial"/>
          <w:bCs/>
          <w:sz w:val="22"/>
          <w:szCs w:val="22"/>
          <w:lang w:eastAsia="en-US"/>
        </w:rPr>
        <w:t>Ley y en su reglamento</w:t>
      </w:r>
      <w:r w:rsidR="00D71E59">
        <w:rPr>
          <w:rFonts w:ascii="Arial" w:hAnsi="Arial" w:cs="Arial"/>
          <w:bCs/>
          <w:sz w:val="22"/>
          <w:szCs w:val="22"/>
          <w:lang w:eastAsia="en-US"/>
        </w:rPr>
        <w:t>,</w:t>
      </w:r>
      <w:r>
        <w:rPr>
          <w:rFonts w:ascii="Arial" w:hAnsi="Arial" w:cs="Arial"/>
          <w:bCs/>
          <w:sz w:val="22"/>
          <w:szCs w:val="22"/>
          <w:lang w:eastAsia="en-US"/>
        </w:rPr>
        <w:t xml:space="preserve"> en relación con los criterios diferenciales en favor de las </w:t>
      </w:r>
      <w:r w:rsidR="00404C8E">
        <w:rPr>
          <w:rFonts w:ascii="Arial" w:hAnsi="Arial" w:cs="Arial"/>
          <w:bCs/>
          <w:sz w:val="22"/>
          <w:szCs w:val="22"/>
          <w:lang w:eastAsia="en-US"/>
        </w:rPr>
        <w:t>Mipyme</w:t>
      </w:r>
      <w:r>
        <w:rPr>
          <w:rFonts w:ascii="Arial" w:hAnsi="Arial" w:cs="Arial"/>
          <w:bCs/>
          <w:sz w:val="22"/>
          <w:szCs w:val="22"/>
          <w:lang w:eastAsia="en-US"/>
        </w:rPr>
        <w:t xml:space="preserve"> y los emprendimientos de mujeres</w:t>
      </w:r>
      <w:r w:rsidR="00404C8E">
        <w:rPr>
          <w:rFonts w:ascii="Arial" w:hAnsi="Arial" w:cs="Arial"/>
          <w:bCs/>
          <w:sz w:val="22"/>
          <w:szCs w:val="22"/>
          <w:lang w:eastAsia="en-US"/>
        </w:rPr>
        <w:t>, como los referidos a los factores de desempate y su subsana</w:t>
      </w:r>
      <w:r w:rsidR="00137032">
        <w:rPr>
          <w:rFonts w:ascii="Arial" w:hAnsi="Arial" w:cs="Arial"/>
          <w:bCs/>
          <w:sz w:val="22"/>
          <w:szCs w:val="22"/>
          <w:lang w:eastAsia="en-US"/>
        </w:rPr>
        <w:t>bilidad</w:t>
      </w:r>
      <w:r w:rsidR="000140C4">
        <w:rPr>
          <w:rFonts w:ascii="Arial" w:hAnsi="Arial" w:cs="Arial"/>
          <w:bCs/>
          <w:sz w:val="22"/>
          <w:szCs w:val="22"/>
          <w:lang w:eastAsia="en-US"/>
        </w:rPr>
        <w:t>. En cuanto tienen que ver con la posibilidad de subsanar ofertas, en el referido concepto se expuso lo siguiente:</w:t>
      </w:r>
    </w:p>
    <w:p w14:paraId="130A2295" w14:textId="085F086A" w:rsidR="000140C4" w:rsidRDefault="000140C4" w:rsidP="002C51EB">
      <w:pPr>
        <w:spacing w:after="0"/>
        <w:ind w:right="49" w:firstLine="709"/>
        <w:rPr>
          <w:rFonts w:ascii="Arial" w:hAnsi="Arial" w:cs="Arial"/>
          <w:bCs/>
          <w:sz w:val="22"/>
          <w:szCs w:val="22"/>
          <w:lang w:eastAsia="en-US"/>
        </w:rPr>
      </w:pPr>
    </w:p>
    <w:p w14:paraId="4E1701B3" w14:textId="3339DD53" w:rsidR="000140C4" w:rsidRPr="00D71E59" w:rsidRDefault="000140C4" w:rsidP="008E0274">
      <w:pPr>
        <w:spacing w:after="0" w:line="240" w:lineRule="auto"/>
        <w:ind w:left="709" w:right="709"/>
        <w:rPr>
          <w:rFonts w:ascii="Arial" w:hAnsi="Arial" w:cs="Arial"/>
          <w:bCs/>
          <w:sz w:val="21"/>
          <w:szCs w:val="21"/>
          <w:lang w:eastAsia="en-US"/>
        </w:rPr>
      </w:pPr>
      <w:r w:rsidRPr="00D71E59">
        <w:rPr>
          <w:rFonts w:ascii="Arial" w:hAnsi="Arial" w:cs="Arial"/>
          <w:bCs/>
          <w:sz w:val="21"/>
          <w:szCs w:val="21"/>
          <w:lang w:eastAsia="en-US"/>
        </w:rPr>
        <w:t xml:space="preserve">Por último, en lo que tiene que ver con la posibilidad o no de corregir los errores documentales o </w:t>
      </w:r>
      <w:r w:rsidRPr="00D71E59">
        <w:rPr>
          <w:rFonts w:ascii="Arial" w:hAnsi="Arial" w:cs="Arial"/>
          <w:bCs/>
          <w:i/>
          <w:sz w:val="21"/>
          <w:szCs w:val="21"/>
          <w:lang w:eastAsia="en-US"/>
        </w:rPr>
        <w:t>de aportar documentos faltantes para demostrar los factores de desempate</w:t>
      </w:r>
      <w:r w:rsidRPr="00D71E59">
        <w:rPr>
          <w:rFonts w:ascii="Arial" w:hAnsi="Arial" w:cs="Arial"/>
          <w:bCs/>
          <w:sz w:val="21"/>
          <w:szCs w:val="21"/>
          <w:lang w:eastAsia="en-US"/>
        </w:rPr>
        <w:t xml:space="preserve">, conviene hacer algunas consideraciones, pues sobre este tema también se formulan algunas preguntas en la consulta. Como lo ha indicado esta </w:t>
      </w:r>
      <w:r w:rsidR="00660ED3" w:rsidRPr="00D71E59">
        <w:rPr>
          <w:rFonts w:ascii="Arial" w:hAnsi="Arial" w:cs="Arial"/>
          <w:bCs/>
          <w:sz w:val="21"/>
          <w:szCs w:val="21"/>
          <w:lang w:eastAsia="en-US"/>
        </w:rPr>
        <w:t>Agencia en los documentos tipo</w:t>
      </w:r>
      <w:r w:rsidR="00660ED3" w:rsidRPr="00D71E59">
        <w:rPr>
          <w:rStyle w:val="Refdenotaalpie"/>
          <w:rFonts w:ascii="Arial" w:hAnsi="Arial" w:cs="Arial"/>
          <w:bCs/>
          <w:sz w:val="21"/>
          <w:szCs w:val="21"/>
          <w:lang w:eastAsia="en-US"/>
        </w:rPr>
        <w:footnoteReference w:id="22"/>
      </w:r>
      <w:r w:rsidRPr="00D71E59">
        <w:rPr>
          <w:rFonts w:ascii="Arial" w:hAnsi="Arial" w:cs="Arial"/>
          <w:bCs/>
          <w:sz w:val="21"/>
          <w:szCs w:val="21"/>
          <w:lang w:eastAsia="en-US"/>
        </w:rPr>
        <w:t xml:space="preserve"> , «Todos aquellos requisitos de la oferta que afecten la asignación de puntaje, incluyendo los necesarios para acreditar requisitos de desempate, no son subsanables, por lo que los mismos deben ser aportados por los proponentes desde la presentación de la oferta. </w:t>
      </w:r>
      <w:r w:rsidRPr="00D71E59">
        <w:rPr>
          <w:rFonts w:ascii="Arial" w:hAnsi="Arial" w:cs="Arial"/>
          <w:bCs/>
          <w:i/>
          <w:sz w:val="21"/>
          <w:szCs w:val="21"/>
          <w:lang w:eastAsia="en-US"/>
        </w:rPr>
        <w:t>No obstante, pueden ser aclarados o ser objeto de explicación»</w:t>
      </w:r>
      <w:r w:rsidRPr="00D71E59">
        <w:rPr>
          <w:rFonts w:ascii="Arial" w:hAnsi="Arial" w:cs="Arial"/>
          <w:bCs/>
          <w:sz w:val="21"/>
          <w:szCs w:val="21"/>
          <w:lang w:eastAsia="en-US"/>
        </w:rPr>
        <w:t xml:space="preserve"> (énfasis fuera de texto). Esta interpretación guarda consonancia con el parágrafo 1 del artículo 5 de la Ley 1150 de 2007, modificado por el artículo 5 de la Ley 1882 de 2018, </w:t>
      </w:r>
      <w:r w:rsidRPr="00D71E59">
        <w:rPr>
          <w:rFonts w:ascii="Arial" w:hAnsi="Arial" w:cs="Arial"/>
          <w:bCs/>
          <w:sz w:val="21"/>
          <w:szCs w:val="21"/>
          <w:lang w:eastAsia="en-US"/>
        </w:rPr>
        <w:lastRenderedPageBreak/>
        <w:t xml:space="preserve">que indica que «[…],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(énfasis fuera de texto). </w:t>
      </w:r>
      <w:r w:rsidRPr="008E0274">
        <w:rPr>
          <w:rFonts w:ascii="Arial" w:hAnsi="Arial" w:cs="Arial"/>
          <w:bCs/>
          <w:sz w:val="21"/>
          <w:szCs w:val="21"/>
          <w:lang w:eastAsia="en-US"/>
        </w:rPr>
        <w:t>De allí se desprende que los documentos que deba presentar el oferente para acreditar las circunstancias que otorgan puntaje no son subsanables</w:t>
      </w:r>
      <w:r w:rsidRPr="00D71E59">
        <w:rPr>
          <w:rFonts w:ascii="Arial" w:hAnsi="Arial" w:cs="Arial"/>
          <w:bCs/>
          <w:sz w:val="21"/>
          <w:szCs w:val="21"/>
          <w:lang w:eastAsia="en-US"/>
        </w:rPr>
        <w:t xml:space="preserve">. Esto ocurre, precisamente, con los documentos que han de aportarse para demostrar que el proponente se encuentra en los supuestos regulados en el artículo 35 de la Ley 2069 de 2020, reglamentado por el artículo 2.2.1.2.4.2.17. del Decreto 1082 de 2015 –adicionado por el artículo 3 del Decreto 1860 de 2021–, para ser beneficiario de los factores de desempate, pues estos inciden sobre la calificación. A partir de lo anterior, puede decirse </w:t>
      </w:r>
      <w:r w:rsidR="00660ED3" w:rsidRPr="00D71E59">
        <w:rPr>
          <w:rFonts w:ascii="Arial" w:hAnsi="Arial" w:cs="Arial"/>
          <w:bCs/>
          <w:sz w:val="21"/>
          <w:szCs w:val="21"/>
          <w:lang w:eastAsia="en-US"/>
        </w:rPr>
        <w:t>que,</w:t>
      </w:r>
      <w:r w:rsidRPr="00D71E59">
        <w:rPr>
          <w:rFonts w:ascii="Arial" w:hAnsi="Arial" w:cs="Arial"/>
          <w:bCs/>
          <w:sz w:val="21"/>
          <w:szCs w:val="21"/>
          <w:lang w:eastAsia="en-US"/>
        </w:rPr>
        <w:t xml:space="preserve"> si un documento sirve para acreditar un requisito habilitante y también para demostrar alguna de los supuestos que permiten la aplicación de los factores de desempate, </w:t>
      </w:r>
      <w:r w:rsidRPr="00030F0F">
        <w:rPr>
          <w:rFonts w:ascii="Arial" w:hAnsi="Arial" w:cs="Arial"/>
          <w:bCs/>
          <w:sz w:val="21"/>
          <w:szCs w:val="21"/>
          <w:lang w:eastAsia="en-US"/>
        </w:rPr>
        <w:t>debe permitirse su subsanación frente al requisito habilitante, más no frente a los factores de desempate.</w:t>
      </w:r>
      <w:r w:rsidRPr="00D71E59">
        <w:rPr>
          <w:rFonts w:ascii="Arial" w:hAnsi="Arial" w:cs="Arial"/>
          <w:bCs/>
          <w:sz w:val="21"/>
          <w:szCs w:val="21"/>
          <w:lang w:eastAsia="en-US"/>
        </w:rPr>
        <w:t xml:space="preserve"> Así también lo h</w:t>
      </w:r>
      <w:r w:rsidR="00660ED3" w:rsidRPr="00D71E59">
        <w:rPr>
          <w:rFonts w:ascii="Arial" w:hAnsi="Arial" w:cs="Arial"/>
          <w:bCs/>
          <w:sz w:val="21"/>
          <w:szCs w:val="21"/>
          <w:lang w:eastAsia="en-US"/>
        </w:rPr>
        <w:t>a</w:t>
      </w:r>
      <w:r w:rsidRPr="00030F0F">
        <w:rPr>
          <w:rFonts w:ascii="Arial" w:hAnsi="Arial" w:cs="Arial"/>
          <w:sz w:val="21"/>
          <w:szCs w:val="21"/>
        </w:rPr>
        <w:t xml:space="preserve"> </w:t>
      </w:r>
      <w:r w:rsidR="00660ED3" w:rsidRPr="00030F0F">
        <w:rPr>
          <w:rFonts w:ascii="Arial" w:hAnsi="Arial" w:cs="Arial"/>
          <w:sz w:val="21"/>
          <w:szCs w:val="21"/>
        </w:rPr>
        <w:t>i</w:t>
      </w:r>
      <w:r w:rsidRPr="00D71E59">
        <w:rPr>
          <w:rFonts w:ascii="Arial" w:hAnsi="Arial" w:cs="Arial"/>
          <w:bCs/>
          <w:sz w:val="21"/>
          <w:szCs w:val="21"/>
          <w:lang w:eastAsia="en-US"/>
        </w:rPr>
        <w:t>nterpretado esta Agencia en los documentos tipo. Por ejemplo, en lo que respecta a la acreditación del puntaje por servicios nacionales o con trato nacional, ha indicado: «El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w:t>
      </w:r>
      <w:r w:rsidR="00D71E59" w:rsidRPr="00D71E59">
        <w:rPr>
          <w:rFonts w:ascii="Arial" w:hAnsi="Arial" w:cs="Arial"/>
          <w:bCs/>
          <w:sz w:val="21"/>
          <w:szCs w:val="21"/>
          <w:lang w:eastAsia="en-US"/>
        </w:rPr>
        <w:t>.</w:t>
      </w:r>
    </w:p>
    <w:p w14:paraId="58E4350D" w14:textId="1E064A6A" w:rsidR="00660ED3" w:rsidRDefault="00660ED3" w:rsidP="002C51EB">
      <w:pPr>
        <w:spacing w:after="0"/>
        <w:ind w:left="709" w:right="49"/>
        <w:rPr>
          <w:rFonts w:ascii="Arial" w:hAnsi="Arial" w:cs="Arial"/>
          <w:bCs/>
          <w:sz w:val="21"/>
          <w:szCs w:val="21"/>
          <w:lang w:eastAsia="en-US"/>
        </w:rPr>
      </w:pPr>
    </w:p>
    <w:p w14:paraId="28D45A46" w14:textId="4E45A8E2" w:rsidR="00AA6F9D" w:rsidRPr="007823CD" w:rsidRDefault="00564856" w:rsidP="00030F0F">
      <w:pPr>
        <w:spacing w:after="0"/>
        <w:ind w:firstLine="709"/>
        <w:rPr>
          <w:rFonts w:ascii="Arial" w:hAnsi="Arial" w:cs="Arial"/>
          <w:bCs/>
          <w:sz w:val="22"/>
          <w:szCs w:val="22"/>
          <w:lang w:eastAsia="en-US"/>
        </w:rPr>
      </w:pPr>
      <w:r>
        <w:rPr>
          <w:rFonts w:ascii="Arial" w:hAnsi="Arial" w:cs="Arial"/>
          <w:bCs/>
          <w:sz w:val="22"/>
          <w:szCs w:val="22"/>
          <w:lang w:eastAsia="en-US"/>
        </w:rPr>
        <w:t>C</w:t>
      </w:r>
      <w:r w:rsidR="00660ED3" w:rsidRPr="007823CD">
        <w:rPr>
          <w:rFonts w:ascii="Arial" w:hAnsi="Arial" w:cs="Arial"/>
          <w:bCs/>
          <w:sz w:val="22"/>
          <w:szCs w:val="22"/>
          <w:lang w:eastAsia="en-US"/>
        </w:rPr>
        <w:t>omo consta en el citado concepto, esta Agencia ha acogido los límites definidos en la Ley para el ejercicio del derecho a subsanar ofertas y para el cumplimiento del correlativo deber</w:t>
      </w:r>
      <w:r w:rsidR="003D46B4">
        <w:rPr>
          <w:rFonts w:ascii="Arial" w:hAnsi="Arial" w:cs="Arial"/>
          <w:bCs/>
          <w:sz w:val="22"/>
          <w:szCs w:val="22"/>
          <w:lang w:eastAsia="en-US"/>
        </w:rPr>
        <w:t>,</w:t>
      </w:r>
      <w:r w:rsidR="00660ED3" w:rsidRPr="007823CD">
        <w:rPr>
          <w:rFonts w:ascii="Arial" w:hAnsi="Arial" w:cs="Arial"/>
          <w:bCs/>
          <w:sz w:val="22"/>
          <w:szCs w:val="22"/>
          <w:lang w:eastAsia="en-US"/>
        </w:rPr>
        <w:t xml:space="preserve"> a cargo de las entidades públicas</w:t>
      </w:r>
      <w:r w:rsidR="003D46B4">
        <w:rPr>
          <w:rFonts w:ascii="Arial" w:hAnsi="Arial" w:cs="Arial"/>
          <w:bCs/>
          <w:sz w:val="22"/>
          <w:szCs w:val="22"/>
          <w:lang w:eastAsia="en-US"/>
        </w:rPr>
        <w:t>.</w:t>
      </w:r>
      <w:r w:rsidR="00660ED3" w:rsidRPr="007823CD">
        <w:rPr>
          <w:rFonts w:ascii="Arial" w:hAnsi="Arial" w:cs="Arial"/>
          <w:bCs/>
          <w:sz w:val="22"/>
          <w:szCs w:val="22"/>
          <w:lang w:eastAsia="en-US"/>
        </w:rPr>
        <w:t xml:space="preserve"> </w:t>
      </w:r>
      <w:r w:rsidR="00200046">
        <w:rPr>
          <w:rFonts w:ascii="Arial" w:hAnsi="Arial" w:cs="Arial"/>
          <w:bCs/>
          <w:sz w:val="22"/>
          <w:szCs w:val="22"/>
          <w:lang w:eastAsia="en-US"/>
        </w:rPr>
        <w:t>Es decir, ha conceptuado de manera acorde con el precepto según el cual</w:t>
      </w:r>
      <w:r w:rsidR="00660ED3" w:rsidRPr="007823CD">
        <w:rPr>
          <w:rFonts w:ascii="Arial" w:hAnsi="Arial" w:cs="Arial"/>
          <w:bCs/>
          <w:sz w:val="22"/>
          <w:szCs w:val="22"/>
          <w:lang w:eastAsia="en-US"/>
        </w:rPr>
        <w:t xml:space="preserve"> todos los requisitos que no afecten la asignación de puntaje pue</w:t>
      </w:r>
      <w:r w:rsidR="002E0BEF" w:rsidRPr="007823CD">
        <w:rPr>
          <w:rFonts w:ascii="Arial" w:hAnsi="Arial" w:cs="Arial"/>
          <w:bCs/>
          <w:sz w:val="22"/>
          <w:szCs w:val="22"/>
          <w:lang w:eastAsia="en-US"/>
        </w:rPr>
        <w:t>den ser subsanados, siempre que se refieran a hechos ocurridos con anterioridad</w:t>
      </w:r>
      <w:r w:rsidR="00F21BFA" w:rsidRPr="007823CD">
        <w:rPr>
          <w:rFonts w:ascii="Arial" w:hAnsi="Arial" w:cs="Arial"/>
          <w:bCs/>
          <w:sz w:val="22"/>
          <w:szCs w:val="22"/>
          <w:lang w:eastAsia="en-US"/>
        </w:rPr>
        <w:t xml:space="preserve"> </w:t>
      </w:r>
      <w:r w:rsidR="002E0BEF" w:rsidRPr="007823CD">
        <w:rPr>
          <w:rFonts w:ascii="Arial" w:hAnsi="Arial" w:cs="Arial"/>
          <w:bCs/>
          <w:sz w:val="22"/>
          <w:szCs w:val="22"/>
          <w:lang w:eastAsia="en-US"/>
        </w:rPr>
        <w:t>al cierre del proceso</w:t>
      </w:r>
      <w:r w:rsidR="000D5201">
        <w:rPr>
          <w:rFonts w:ascii="Arial" w:hAnsi="Arial" w:cs="Arial"/>
          <w:bCs/>
          <w:sz w:val="22"/>
          <w:szCs w:val="22"/>
          <w:lang w:eastAsia="en-US"/>
        </w:rPr>
        <w:t xml:space="preserve">. Así  mismo, </w:t>
      </w:r>
      <w:r w:rsidR="002E0BEF" w:rsidRPr="007823CD">
        <w:rPr>
          <w:rFonts w:ascii="Arial" w:hAnsi="Arial" w:cs="Arial"/>
          <w:bCs/>
          <w:sz w:val="22"/>
          <w:szCs w:val="22"/>
          <w:lang w:eastAsia="en-US"/>
        </w:rPr>
        <w:t xml:space="preserve"> partiendo de la distinción consagrada en el artículo 5 de la Ley 1150 de 2007, ente requisitos habilitantes y factores de ponderación, </w:t>
      </w:r>
      <w:r w:rsidR="000D5201">
        <w:rPr>
          <w:rFonts w:ascii="Arial" w:hAnsi="Arial" w:cs="Arial"/>
          <w:bCs/>
          <w:sz w:val="22"/>
          <w:szCs w:val="22"/>
          <w:lang w:eastAsia="en-US"/>
        </w:rPr>
        <w:t xml:space="preserve">esta Agencia </w:t>
      </w:r>
      <w:r w:rsidR="002E0BEF" w:rsidRPr="007823CD">
        <w:rPr>
          <w:rFonts w:ascii="Arial" w:hAnsi="Arial" w:cs="Arial"/>
          <w:bCs/>
          <w:sz w:val="22"/>
          <w:szCs w:val="22"/>
          <w:lang w:eastAsia="en-US"/>
        </w:rPr>
        <w:t xml:space="preserve">le ha asignado a cada uno de </w:t>
      </w:r>
      <w:r w:rsidR="00FF5732">
        <w:rPr>
          <w:rFonts w:ascii="Arial" w:hAnsi="Arial" w:cs="Arial"/>
          <w:bCs/>
          <w:sz w:val="22"/>
          <w:szCs w:val="22"/>
          <w:lang w:eastAsia="en-US"/>
        </w:rPr>
        <w:t>e</w:t>
      </w:r>
      <w:r w:rsidR="002E0BEF" w:rsidRPr="007823CD">
        <w:rPr>
          <w:rFonts w:ascii="Arial" w:hAnsi="Arial" w:cs="Arial"/>
          <w:bCs/>
          <w:sz w:val="22"/>
          <w:szCs w:val="22"/>
          <w:lang w:eastAsia="en-US"/>
        </w:rPr>
        <w:t xml:space="preserve">stos el alcance permitido por el legislador, </w:t>
      </w:r>
      <w:r w:rsidR="000D5201">
        <w:rPr>
          <w:rFonts w:ascii="Arial" w:hAnsi="Arial" w:cs="Arial"/>
          <w:bCs/>
          <w:sz w:val="22"/>
          <w:szCs w:val="22"/>
          <w:lang w:eastAsia="en-US"/>
        </w:rPr>
        <w:t xml:space="preserve">en los eventos en que el contenido de un documento pueda usarse para acreditar requisitos habilitantes </w:t>
      </w:r>
      <w:r w:rsidR="00E43F99">
        <w:rPr>
          <w:rFonts w:ascii="Arial" w:hAnsi="Arial" w:cs="Arial"/>
          <w:bCs/>
          <w:sz w:val="22"/>
          <w:szCs w:val="22"/>
          <w:lang w:eastAsia="en-US"/>
        </w:rPr>
        <w:t>y</w:t>
      </w:r>
      <w:r w:rsidR="000D5201">
        <w:rPr>
          <w:rFonts w:ascii="Arial" w:hAnsi="Arial" w:cs="Arial"/>
          <w:bCs/>
          <w:sz w:val="22"/>
          <w:szCs w:val="22"/>
          <w:lang w:eastAsia="en-US"/>
        </w:rPr>
        <w:t xml:space="preserve"> factores de ponderación</w:t>
      </w:r>
      <w:r w:rsidR="00AA6F9D">
        <w:rPr>
          <w:rFonts w:ascii="Arial" w:hAnsi="Arial" w:cs="Arial"/>
          <w:bCs/>
          <w:sz w:val="22"/>
          <w:szCs w:val="22"/>
          <w:lang w:eastAsia="en-US"/>
        </w:rPr>
        <w:t>.</w:t>
      </w:r>
      <w:r w:rsidR="000D5201">
        <w:rPr>
          <w:rFonts w:ascii="Arial" w:hAnsi="Arial" w:cs="Arial"/>
          <w:bCs/>
          <w:sz w:val="22"/>
          <w:szCs w:val="22"/>
          <w:lang w:eastAsia="en-US"/>
        </w:rPr>
        <w:t xml:space="preserve"> </w:t>
      </w:r>
      <w:r w:rsidR="00AA6F9D">
        <w:rPr>
          <w:rFonts w:ascii="Arial" w:hAnsi="Arial" w:cs="Arial"/>
          <w:bCs/>
          <w:sz w:val="22"/>
          <w:szCs w:val="22"/>
          <w:lang w:eastAsia="en-US"/>
        </w:rPr>
        <w:t>P</w:t>
      </w:r>
      <w:r w:rsidR="000D5201">
        <w:rPr>
          <w:rFonts w:ascii="Arial" w:hAnsi="Arial" w:cs="Arial"/>
          <w:bCs/>
          <w:sz w:val="22"/>
          <w:szCs w:val="22"/>
          <w:lang w:eastAsia="en-US"/>
        </w:rPr>
        <w:t xml:space="preserve">or ello, ha sido precisa en señalar que en tales circunstancias existe la </w:t>
      </w:r>
      <w:r w:rsidR="002E0BEF" w:rsidRPr="007823CD">
        <w:rPr>
          <w:rFonts w:ascii="Arial" w:hAnsi="Arial" w:cs="Arial"/>
          <w:bCs/>
          <w:sz w:val="22"/>
          <w:szCs w:val="22"/>
          <w:lang w:eastAsia="en-US"/>
        </w:rPr>
        <w:t>posibilidad de subsanar los primeros</w:t>
      </w:r>
      <w:r w:rsidR="000D5201">
        <w:rPr>
          <w:rFonts w:ascii="Arial" w:hAnsi="Arial" w:cs="Arial"/>
          <w:bCs/>
          <w:sz w:val="22"/>
          <w:szCs w:val="22"/>
          <w:lang w:eastAsia="en-US"/>
        </w:rPr>
        <w:t>, pero la información objeto de subsanación no puede</w:t>
      </w:r>
      <w:r w:rsidR="002E0BEF" w:rsidRPr="007823CD">
        <w:rPr>
          <w:rFonts w:ascii="Arial" w:hAnsi="Arial" w:cs="Arial"/>
          <w:bCs/>
          <w:sz w:val="22"/>
          <w:szCs w:val="22"/>
          <w:lang w:eastAsia="en-US"/>
        </w:rPr>
        <w:t xml:space="preserve"> ser tenida en cuenta para la asignación de puntaje. </w:t>
      </w:r>
    </w:p>
    <w:p w14:paraId="17D7586A" w14:textId="7DCD43D6" w:rsidR="00D61BF2" w:rsidRPr="007823CD" w:rsidRDefault="002E0BEF" w:rsidP="00030F0F">
      <w:pPr>
        <w:spacing w:before="120" w:after="0"/>
        <w:ind w:firstLine="709"/>
        <w:rPr>
          <w:rFonts w:ascii="Arial" w:hAnsi="Arial" w:cs="Arial"/>
          <w:bCs/>
          <w:sz w:val="22"/>
          <w:szCs w:val="22"/>
          <w:lang w:eastAsia="en-US"/>
        </w:rPr>
      </w:pPr>
      <w:r w:rsidRPr="007823CD">
        <w:rPr>
          <w:rFonts w:ascii="Arial" w:hAnsi="Arial" w:cs="Arial"/>
          <w:bCs/>
          <w:sz w:val="22"/>
          <w:szCs w:val="22"/>
          <w:lang w:eastAsia="en-US"/>
        </w:rPr>
        <w:t>Estas conclusiones guardan armonía</w:t>
      </w:r>
      <w:r w:rsidR="000D5201">
        <w:rPr>
          <w:rFonts w:ascii="Arial" w:hAnsi="Arial" w:cs="Arial"/>
          <w:bCs/>
          <w:sz w:val="22"/>
          <w:szCs w:val="22"/>
          <w:lang w:eastAsia="en-US"/>
        </w:rPr>
        <w:t xml:space="preserve"> con el principio de selección objetiva</w:t>
      </w:r>
      <w:r w:rsidR="00AF473C">
        <w:rPr>
          <w:rFonts w:ascii="Arial" w:hAnsi="Arial" w:cs="Arial"/>
          <w:bCs/>
          <w:sz w:val="22"/>
          <w:szCs w:val="22"/>
          <w:lang w:eastAsia="en-US"/>
        </w:rPr>
        <w:t>,</w:t>
      </w:r>
      <w:r w:rsidR="000D5201">
        <w:rPr>
          <w:rFonts w:ascii="Arial" w:hAnsi="Arial" w:cs="Arial"/>
          <w:bCs/>
          <w:sz w:val="22"/>
          <w:szCs w:val="22"/>
          <w:lang w:eastAsia="en-US"/>
        </w:rPr>
        <w:t xml:space="preserve"> del cual forma parte integral la subsanabilidad de las ofertas, con el alcance del artículo 5 de la Ley 1150 de 2007 y</w:t>
      </w:r>
      <w:r w:rsidRPr="007823CD">
        <w:rPr>
          <w:rFonts w:ascii="Arial" w:hAnsi="Arial" w:cs="Arial"/>
          <w:bCs/>
          <w:sz w:val="22"/>
          <w:szCs w:val="22"/>
          <w:lang w:eastAsia="en-US"/>
        </w:rPr>
        <w:t xml:space="preserve"> con los planteamientos </w:t>
      </w:r>
      <w:r w:rsidR="00F21BFA" w:rsidRPr="007823CD">
        <w:rPr>
          <w:rFonts w:ascii="Arial" w:hAnsi="Arial" w:cs="Arial"/>
          <w:bCs/>
          <w:sz w:val="22"/>
          <w:szCs w:val="22"/>
          <w:lang w:eastAsia="en-US"/>
        </w:rPr>
        <w:t>recogidos en los distintos conceptos emitidos por esta Agencia</w:t>
      </w:r>
      <w:r w:rsidR="00AF473C">
        <w:rPr>
          <w:rFonts w:ascii="Arial" w:hAnsi="Arial" w:cs="Arial"/>
          <w:bCs/>
          <w:sz w:val="22"/>
          <w:szCs w:val="22"/>
          <w:lang w:eastAsia="en-US"/>
        </w:rPr>
        <w:t>.</w:t>
      </w:r>
      <w:r w:rsidR="00F21BFA" w:rsidRPr="007823CD">
        <w:rPr>
          <w:rFonts w:ascii="Arial" w:hAnsi="Arial" w:cs="Arial"/>
          <w:bCs/>
          <w:sz w:val="22"/>
          <w:szCs w:val="22"/>
          <w:lang w:eastAsia="en-US"/>
        </w:rPr>
        <w:t xml:space="preserve"> </w:t>
      </w:r>
      <w:r w:rsidR="00AF473C">
        <w:rPr>
          <w:rFonts w:ascii="Arial" w:hAnsi="Arial" w:cs="Arial"/>
          <w:bCs/>
          <w:sz w:val="22"/>
          <w:szCs w:val="22"/>
          <w:lang w:eastAsia="en-US"/>
        </w:rPr>
        <w:t>En dichos pronunciamientos</w:t>
      </w:r>
      <w:r w:rsidR="00F21BFA" w:rsidRPr="007823CD">
        <w:rPr>
          <w:rFonts w:ascii="Arial" w:hAnsi="Arial" w:cs="Arial"/>
          <w:bCs/>
          <w:sz w:val="22"/>
          <w:szCs w:val="22"/>
          <w:lang w:eastAsia="en-US"/>
        </w:rPr>
        <w:t xml:space="preserve">, luego de analizar la evolución </w:t>
      </w:r>
      <w:r w:rsidR="00C6097C" w:rsidRPr="007823CD">
        <w:rPr>
          <w:rFonts w:ascii="Arial" w:hAnsi="Arial" w:cs="Arial"/>
          <w:bCs/>
          <w:sz w:val="22"/>
          <w:szCs w:val="22"/>
          <w:lang w:eastAsia="en-US"/>
        </w:rPr>
        <w:t>cronológica</w:t>
      </w:r>
      <w:r w:rsidR="00F21BFA" w:rsidRPr="007823CD">
        <w:rPr>
          <w:rFonts w:ascii="Arial" w:hAnsi="Arial" w:cs="Arial"/>
          <w:bCs/>
          <w:sz w:val="22"/>
          <w:szCs w:val="22"/>
          <w:lang w:eastAsia="en-US"/>
        </w:rPr>
        <w:t xml:space="preserve"> y normativa de la figura, se ha reiterado que</w:t>
      </w:r>
      <w:r w:rsidR="000D5201">
        <w:rPr>
          <w:rFonts w:ascii="Arial" w:hAnsi="Arial" w:cs="Arial"/>
          <w:bCs/>
          <w:sz w:val="22"/>
          <w:szCs w:val="22"/>
          <w:lang w:eastAsia="en-US"/>
        </w:rPr>
        <w:t>,</w:t>
      </w:r>
      <w:r w:rsidR="00F21BFA" w:rsidRPr="007823CD">
        <w:rPr>
          <w:rFonts w:ascii="Arial" w:hAnsi="Arial" w:cs="Arial"/>
          <w:bCs/>
          <w:sz w:val="22"/>
          <w:szCs w:val="22"/>
          <w:lang w:eastAsia="en-US"/>
        </w:rPr>
        <w:t xml:space="preserve"> conforme a la normativ</w:t>
      </w:r>
      <w:r w:rsidR="00AF473C">
        <w:rPr>
          <w:rFonts w:ascii="Arial" w:hAnsi="Arial" w:cs="Arial"/>
          <w:bCs/>
          <w:sz w:val="22"/>
          <w:szCs w:val="22"/>
          <w:lang w:eastAsia="en-US"/>
        </w:rPr>
        <w:t>a</w:t>
      </w:r>
      <w:r w:rsidR="00F21BFA" w:rsidRPr="007823CD">
        <w:rPr>
          <w:rFonts w:ascii="Arial" w:hAnsi="Arial" w:cs="Arial"/>
          <w:bCs/>
          <w:sz w:val="22"/>
          <w:szCs w:val="22"/>
          <w:lang w:eastAsia="en-US"/>
        </w:rPr>
        <w:t xml:space="preserve"> vigente, todos los requisitos que no afecten la asignación de puntaje, excepto la presentación de la garantía </w:t>
      </w:r>
      <w:r w:rsidR="00F21BFA" w:rsidRPr="007823CD">
        <w:rPr>
          <w:rFonts w:ascii="Arial" w:hAnsi="Arial" w:cs="Arial"/>
          <w:bCs/>
          <w:sz w:val="22"/>
          <w:szCs w:val="22"/>
          <w:lang w:eastAsia="en-US"/>
        </w:rPr>
        <w:lastRenderedPageBreak/>
        <w:t>de seriedad de la oferta, pueden ser subsanados, siempre que se refieran a hechos ocurridos con anterioridad cierre del proceso</w:t>
      </w:r>
      <w:r w:rsidR="000D5201">
        <w:rPr>
          <w:rFonts w:ascii="Arial" w:hAnsi="Arial" w:cs="Arial"/>
          <w:bCs/>
          <w:sz w:val="22"/>
          <w:szCs w:val="22"/>
          <w:lang w:eastAsia="en-US"/>
        </w:rPr>
        <w:t>.</w:t>
      </w:r>
    </w:p>
    <w:p w14:paraId="3469642A" w14:textId="767517BA" w:rsidR="0083599C" w:rsidRDefault="002E0BEF" w:rsidP="00EE2B72">
      <w:pPr>
        <w:spacing w:before="120" w:after="0"/>
        <w:rPr>
          <w:rFonts w:ascii="Arial" w:hAnsi="Arial" w:cs="Arial"/>
          <w:bCs/>
          <w:sz w:val="22"/>
          <w:szCs w:val="22"/>
          <w:lang w:eastAsia="en-US"/>
        </w:rPr>
      </w:pPr>
      <w:r w:rsidRPr="007823CD">
        <w:rPr>
          <w:rFonts w:ascii="Arial" w:hAnsi="Arial" w:cs="Arial"/>
          <w:bCs/>
          <w:sz w:val="22"/>
          <w:szCs w:val="22"/>
          <w:lang w:eastAsia="en-US"/>
        </w:rPr>
        <w:t xml:space="preserve">Ahora bien, como quiera que en el consulta presentada en este caso se pone de presente la existencia de una </w:t>
      </w:r>
      <w:r w:rsidR="00820242">
        <w:rPr>
          <w:rFonts w:ascii="Arial" w:hAnsi="Arial" w:cs="Arial"/>
          <w:bCs/>
          <w:sz w:val="22"/>
          <w:szCs w:val="22"/>
          <w:lang w:eastAsia="en-US"/>
        </w:rPr>
        <w:t xml:space="preserve">supuesta </w:t>
      </w:r>
      <w:r w:rsidRPr="007823CD">
        <w:rPr>
          <w:rFonts w:ascii="Arial" w:hAnsi="Arial" w:cs="Arial"/>
          <w:bCs/>
          <w:sz w:val="22"/>
          <w:szCs w:val="22"/>
          <w:lang w:eastAsia="en-US"/>
        </w:rPr>
        <w:t>contradicción entre los planteamientos de es</w:t>
      </w:r>
      <w:r w:rsidR="00820242">
        <w:rPr>
          <w:rFonts w:ascii="Arial" w:hAnsi="Arial" w:cs="Arial"/>
          <w:bCs/>
          <w:sz w:val="22"/>
          <w:szCs w:val="22"/>
          <w:lang w:eastAsia="en-US"/>
        </w:rPr>
        <w:t>t</w:t>
      </w:r>
      <w:r w:rsidRPr="007823CD">
        <w:rPr>
          <w:rFonts w:ascii="Arial" w:hAnsi="Arial" w:cs="Arial"/>
          <w:bCs/>
          <w:sz w:val="22"/>
          <w:szCs w:val="22"/>
          <w:lang w:eastAsia="en-US"/>
        </w:rPr>
        <w:t>a Agencia y los contenidos en la sentencia</w:t>
      </w:r>
      <w:r w:rsidR="00A005BE">
        <w:rPr>
          <w:rFonts w:ascii="Arial" w:hAnsi="Arial" w:cs="Arial"/>
          <w:bCs/>
          <w:sz w:val="22"/>
          <w:szCs w:val="22"/>
          <w:lang w:eastAsia="en-US"/>
        </w:rPr>
        <w:t xml:space="preserve"> del 28 de febrero del 2022, proferida por la Sección Tercera, Subsección C, del Consejo de Estado </w:t>
      </w:r>
      <w:r w:rsidR="00820242">
        <w:rPr>
          <w:rFonts w:ascii="Arial" w:hAnsi="Arial" w:cs="Arial"/>
          <w:bCs/>
          <w:sz w:val="22"/>
          <w:szCs w:val="22"/>
          <w:lang w:eastAsia="en-US"/>
        </w:rPr>
        <w:t>–</w:t>
      </w:r>
      <w:r w:rsidR="00A005BE">
        <w:rPr>
          <w:rFonts w:ascii="Arial" w:hAnsi="Arial" w:cs="Arial"/>
          <w:bCs/>
          <w:sz w:val="22"/>
          <w:szCs w:val="22"/>
          <w:lang w:eastAsia="en-US"/>
        </w:rPr>
        <w:t>en el expediente 65134</w:t>
      </w:r>
      <w:r w:rsidR="00820242">
        <w:rPr>
          <w:rFonts w:ascii="Arial" w:hAnsi="Arial" w:cs="Arial"/>
          <w:bCs/>
          <w:sz w:val="22"/>
          <w:szCs w:val="22"/>
          <w:lang w:eastAsia="en-US"/>
        </w:rPr>
        <w:t>–</w:t>
      </w:r>
      <w:r w:rsidR="00A005BE">
        <w:rPr>
          <w:rFonts w:ascii="Arial" w:hAnsi="Arial" w:cs="Arial"/>
          <w:bCs/>
          <w:sz w:val="22"/>
          <w:szCs w:val="22"/>
          <w:lang w:eastAsia="en-US"/>
        </w:rPr>
        <w:t>,</w:t>
      </w:r>
      <w:r w:rsidR="00EE2B72">
        <w:rPr>
          <w:rFonts w:ascii="Arial" w:hAnsi="Arial" w:cs="Arial"/>
          <w:bCs/>
          <w:sz w:val="22"/>
          <w:szCs w:val="22"/>
          <w:lang w:eastAsia="en-US"/>
        </w:rPr>
        <w:t xml:space="preserve"> esta Subdirección resalta que no existe tal discordancia</w:t>
      </w:r>
      <w:r w:rsidR="0083599C">
        <w:rPr>
          <w:rFonts w:ascii="Arial" w:hAnsi="Arial" w:cs="Arial"/>
          <w:bCs/>
          <w:sz w:val="22"/>
          <w:szCs w:val="22"/>
          <w:lang w:eastAsia="en-US"/>
        </w:rPr>
        <w:t xml:space="preserve"> como se pasa a explicar</w:t>
      </w:r>
      <w:r w:rsidR="00EE2B72">
        <w:rPr>
          <w:rFonts w:ascii="Arial" w:hAnsi="Arial" w:cs="Arial"/>
          <w:bCs/>
          <w:sz w:val="22"/>
          <w:szCs w:val="22"/>
          <w:lang w:eastAsia="en-US"/>
        </w:rPr>
        <w:t xml:space="preserve">. </w:t>
      </w:r>
    </w:p>
    <w:p w14:paraId="595A1988" w14:textId="77777777" w:rsidR="0083599C" w:rsidRDefault="0083599C" w:rsidP="00EE2B72">
      <w:pPr>
        <w:spacing w:before="120" w:after="0"/>
        <w:rPr>
          <w:rFonts w:ascii="Arial" w:hAnsi="Arial" w:cs="Arial"/>
          <w:bCs/>
          <w:sz w:val="22"/>
          <w:szCs w:val="22"/>
          <w:lang w:eastAsia="en-US"/>
        </w:rPr>
      </w:pPr>
    </w:p>
    <w:p w14:paraId="7A964257" w14:textId="36F11D47" w:rsidR="00BA6490" w:rsidRDefault="00EE2B72" w:rsidP="00030F0F">
      <w:pPr>
        <w:spacing w:before="120" w:after="0"/>
        <w:rPr>
          <w:rFonts w:ascii="Arial" w:hAnsi="Arial" w:cs="Arial"/>
          <w:bCs/>
          <w:sz w:val="22"/>
          <w:szCs w:val="22"/>
          <w:lang w:eastAsia="en-US"/>
        </w:rPr>
      </w:pPr>
      <w:r>
        <w:rPr>
          <w:rFonts w:ascii="Arial" w:hAnsi="Arial" w:cs="Arial"/>
          <w:bCs/>
          <w:sz w:val="22"/>
          <w:szCs w:val="22"/>
          <w:lang w:eastAsia="en-US"/>
        </w:rPr>
        <w:t>En efecto, en la sentencia</w:t>
      </w:r>
      <w:r w:rsidR="0083599C">
        <w:rPr>
          <w:rFonts w:ascii="Arial" w:hAnsi="Arial" w:cs="Arial"/>
          <w:bCs/>
          <w:sz w:val="22"/>
          <w:szCs w:val="22"/>
          <w:lang w:eastAsia="en-US"/>
        </w:rPr>
        <w:t xml:space="preserve"> </w:t>
      </w:r>
      <w:r>
        <w:rPr>
          <w:rFonts w:ascii="Arial" w:hAnsi="Arial" w:cs="Arial"/>
          <w:bCs/>
          <w:sz w:val="22"/>
          <w:szCs w:val="22"/>
          <w:lang w:eastAsia="en-US"/>
        </w:rPr>
        <w:t>citada</w:t>
      </w:r>
      <w:r w:rsidR="00BA6490">
        <w:rPr>
          <w:rFonts w:ascii="Arial" w:hAnsi="Arial" w:cs="Arial"/>
          <w:bCs/>
          <w:sz w:val="22"/>
          <w:szCs w:val="22"/>
          <w:lang w:eastAsia="en-US"/>
        </w:rPr>
        <w:t xml:space="preserve">, </w:t>
      </w:r>
      <w:r>
        <w:rPr>
          <w:rFonts w:ascii="Arial" w:hAnsi="Arial" w:cs="Arial"/>
          <w:bCs/>
          <w:sz w:val="22"/>
          <w:szCs w:val="22"/>
          <w:lang w:eastAsia="en-US"/>
        </w:rPr>
        <w:t xml:space="preserve">se </w:t>
      </w:r>
      <w:r w:rsidR="00BA6490">
        <w:rPr>
          <w:rFonts w:ascii="Arial" w:hAnsi="Arial" w:cs="Arial"/>
          <w:bCs/>
          <w:sz w:val="22"/>
          <w:szCs w:val="22"/>
          <w:lang w:eastAsia="en-US"/>
        </w:rPr>
        <w:t xml:space="preserve">dirimió </w:t>
      </w:r>
      <w:r w:rsidR="009930C4">
        <w:rPr>
          <w:rFonts w:ascii="Arial" w:hAnsi="Arial" w:cs="Arial"/>
          <w:bCs/>
          <w:sz w:val="22"/>
          <w:szCs w:val="22"/>
          <w:lang w:eastAsia="en-US"/>
        </w:rPr>
        <w:t xml:space="preserve">un </w:t>
      </w:r>
      <w:r w:rsidR="00BA6490">
        <w:rPr>
          <w:rFonts w:ascii="Arial" w:hAnsi="Arial" w:cs="Arial"/>
          <w:bCs/>
          <w:sz w:val="22"/>
          <w:szCs w:val="22"/>
          <w:lang w:eastAsia="en-US"/>
        </w:rPr>
        <w:t xml:space="preserve">debate jurídico que existió entre Transespeciales El Samán S.A.S. </w:t>
      </w:r>
      <w:r w:rsidR="009930C4">
        <w:rPr>
          <w:rFonts w:ascii="Arial" w:hAnsi="Arial" w:cs="Arial"/>
          <w:bCs/>
          <w:sz w:val="22"/>
          <w:szCs w:val="22"/>
          <w:lang w:eastAsia="en-US"/>
        </w:rPr>
        <w:t>–</w:t>
      </w:r>
      <w:r w:rsidR="00BA6490">
        <w:rPr>
          <w:rFonts w:ascii="Arial" w:hAnsi="Arial" w:cs="Arial"/>
          <w:bCs/>
          <w:sz w:val="22"/>
          <w:szCs w:val="22"/>
          <w:lang w:eastAsia="en-US"/>
        </w:rPr>
        <w:t>demandante</w:t>
      </w:r>
      <w:r w:rsidR="009930C4">
        <w:rPr>
          <w:rFonts w:ascii="Arial" w:hAnsi="Arial" w:cs="Arial"/>
          <w:bCs/>
          <w:sz w:val="22"/>
          <w:szCs w:val="22"/>
          <w:lang w:eastAsia="en-US"/>
        </w:rPr>
        <w:t>–</w:t>
      </w:r>
      <w:r w:rsidR="00BA6490">
        <w:rPr>
          <w:rFonts w:ascii="Arial" w:hAnsi="Arial" w:cs="Arial"/>
          <w:bCs/>
          <w:sz w:val="22"/>
          <w:szCs w:val="22"/>
          <w:lang w:eastAsia="en-US"/>
        </w:rPr>
        <w:t xml:space="preserve"> y el municipio de Pereira –demandado</w:t>
      </w:r>
      <w:r w:rsidR="009930C4">
        <w:rPr>
          <w:rFonts w:ascii="Arial" w:hAnsi="Arial" w:cs="Arial"/>
          <w:bCs/>
          <w:sz w:val="22"/>
          <w:szCs w:val="22"/>
          <w:lang w:eastAsia="en-US"/>
        </w:rPr>
        <w:t>–</w:t>
      </w:r>
      <w:r w:rsidR="00CC2DA8">
        <w:rPr>
          <w:rFonts w:ascii="Arial" w:hAnsi="Arial" w:cs="Arial"/>
          <w:bCs/>
          <w:sz w:val="22"/>
          <w:szCs w:val="22"/>
          <w:lang w:eastAsia="en-US"/>
        </w:rPr>
        <w:t>, cuyas</w:t>
      </w:r>
      <w:r w:rsidR="00BA6490">
        <w:rPr>
          <w:rFonts w:ascii="Arial" w:hAnsi="Arial" w:cs="Arial"/>
          <w:bCs/>
          <w:sz w:val="22"/>
          <w:szCs w:val="22"/>
          <w:lang w:eastAsia="en-US"/>
        </w:rPr>
        <w:t xml:space="preserve"> </w:t>
      </w:r>
      <w:r w:rsidR="00CC2DA8">
        <w:rPr>
          <w:rFonts w:ascii="Arial" w:hAnsi="Arial" w:cs="Arial"/>
          <w:bCs/>
          <w:sz w:val="22"/>
          <w:szCs w:val="22"/>
          <w:lang w:eastAsia="en-US"/>
        </w:rPr>
        <w:t xml:space="preserve">pretensiones </w:t>
      </w:r>
      <w:r w:rsidR="00BA6490">
        <w:rPr>
          <w:rFonts w:ascii="Arial" w:hAnsi="Arial" w:cs="Arial"/>
          <w:bCs/>
          <w:sz w:val="22"/>
          <w:szCs w:val="22"/>
          <w:lang w:eastAsia="en-US"/>
        </w:rPr>
        <w:t>fueron</w:t>
      </w:r>
      <w:r w:rsidR="00CC2DA8">
        <w:rPr>
          <w:rFonts w:ascii="Arial" w:hAnsi="Arial" w:cs="Arial"/>
          <w:bCs/>
          <w:sz w:val="22"/>
          <w:szCs w:val="22"/>
          <w:lang w:eastAsia="en-US"/>
        </w:rPr>
        <w:t xml:space="preserve">, entre otras, </w:t>
      </w:r>
      <w:r w:rsidR="00BA6490">
        <w:rPr>
          <w:rFonts w:ascii="Arial" w:hAnsi="Arial" w:cs="Arial"/>
          <w:bCs/>
          <w:sz w:val="22"/>
          <w:szCs w:val="22"/>
          <w:lang w:eastAsia="en-US"/>
        </w:rPr>
        <w:t>declarar la nulidad de la resolución de adjudicación de un proceso de selección adelantado por</w:t>
      </w:r>
      <w:r w:rsidR="00CC2DA8">
        <w:rPr>
          <w:rFonts w:ascii="Arial" w:hAnsi="Arial" w:cs="Arial"/>
          <w:bCs/>
          <w:sz w:val="22"/>
          <w:szCs w:val="22"/>
          <w:lang w:eastAsia="en-US"/>
        </w:rPr>
        <w:t xml:space="preserve"> la el demandando en el cual  el demandante tuvo la condición de oferente y el consecuente restablecimiento del derecho</w:t>
      </w:r>
      <w:r w:rsidR="00CD6D12">
        <w:rPr>
          <w:rFonts w:ascii="Arial" w:hAnsi="Arial" w:cs="Arial"/>
          <w:bCs/>
          <w:sz w:val="22"/>
          <w:szCs w:val="22"/>
          <w:lang w:eastAsia="en-US"/>
        </w:rPr>
        <w:t>.</w:t>
      </w:r>
      <w:r w:rsidR="005A2084">
        <w:rPr>
          <w:rFonts w:ascii="Arial" w:hAnsi="Arial" w:cs="Arial"/>
          <w:bCs/>
          <w:sz w:val="22"/>
          <w:szCs w:val="22"/>
          <w:lang w:eastAsia="en-US"/>
        </w:rPr>
        <w:t xml:space="preserve"> </w:t>
      </w:r>
      <w:r w:rsidR="00CC2DA8">
        <w:rPr>
          <w:rFonts w:ascii="Arial" w:hAnsi="Arial" w:cs="Arial"/>
          <w:bCs/>
          <w:sz w:val="22"/>
          <w:szCs w:val="22"/>
          <w:lang w:eastAsia="en-US"/>
        </w:rPr>
        <w:t xml:space="preserve">El sustento fáctico de la pretensión referida fue que la </w:t>
      </w:r>
      <w:r w:rsidR="00CC2DA8" w:rsidRPr="00CC2DA8">
        <w:rPr>
          <w:rFonts w:ascii="Arial" w:hAnsi="Arial" w:cs="Arial"/>
          <w:bCs/>
          <w:sz w:val="22"/>
          <w:szCs w:val="22"/>
          <w:lang w:eastAsia="en-US"/>
        </w:rPr>
        <w:t>entidad demandada solicitó al oferente Transportes Especiales del Otún S.A.S. subsanar un requisito habilitante que incidía en la comparación de las ofertas, de tal suerte que permitió que el oferente la mejorara, en lugar de proceder a su rechazo.</w:t>
      </w:r>
      <w:r w:rsidR="00ED2A3C">
        <w:rPr>
          <w:rFonts w:ascii="Arial" w:hAnsi="Arial" w:cs="Arial"/>
          <w:bCs/>
          <w:sz w:val="22"/>
          <w:szCs w:val="22"/>
          <w:lang w:eastAsia="en-US"/>
        </w:rPr>
        <w:t xml:space="preserve"> </w:t>
      </w:r>
      <w:r w:rsidR="002C51EB">
        <w:rPr>
          <w:rFonts w:ascii="Arial" w:hAnsi="Arial" w:cs="Arial"/>
          <w:bCs/>
          <w:sz w:val="22"/>
          <w:szCs w:val="22"/>
          <w:lang w:eastAsia="en-US"/>
        </w:rPr>
        <w:t xml:space="preserve">La descripción del fundamento fáctico que se tuvo en cuenta para adoptar la decisión respectiva, </w:t>
      </w:r>
      <w:r w:rsidR="00D82A5B">
        <w:rPr>
          <w:rFonts w:ascii="Arial" w:hAnsi="Arial" w:cs="Arial"/>
          <w:bCs/>
          <w:sz w:val="22"/>
          <w:szCs w:val="22"/>
          <w:lang w:eastAsia="en-US"/>
        </w:rPr>
        <w:t>se cita a continuación</w:t>
      </w:r>
      <w:r w:rsidR="00637AEC">
        <w:rPr>
          <w:rFonts w:ascii="Arial" w:hAnsi="Arial" w:cs="Arial"/>
          <w:bCs/>
          <w:sz w:val="22"/>
          <w:szCs w:val="22"/>
          <w:lang w:eastAsia="en-US"/>
        </w:rPr>
        <w:t>, con el fin de identificar el alcance y contexto de la decisión</w:t>
      </w:r>
      <w:r w:rsidR="00D82A5B">
        <w:rPr>
          <w:rFonts w:ascii="Arial" w:hAnsi="Arial" w:cs="Arial"/>
          <w:bCs/>
          <w:sz w:val="22"/>
          <w:szCs w:val="22"/>
          <w:lang w:eastAsia="en-US"/>
        </w:rPr>
        <w:t>:</w:t>
      </w:r>
    </w:p>
    <w:p w14:paraId="45D8356D" w14:textId="4F2B8700" w:rsidR="00D82A5B" w:rsidRDefault="00D82A5B" w:rsidP="002C51EB">
      <w:pPr>
        <w:spacing w:after="0"/>
        <w:ind w:right="51" w:firstLine="709"/>
        <w:rPr>
          <w:rFonts w:ascii="Arial" w:hAnsi="Arial" w:cs="Arial"/>
          <w:bCs/>
          <w:sz w:val="22"/>
          <w:szCs w:val="22"/>
          <w:lang w:eastAsia="en-US"/>
        </w:rPr>
      </w:pPr>
    </w:p>
    <w:p w14:paraId="53E6F240" w14:textId="5AFD0355" w:rsidR="00D82A5B" w:rsidRPr="009930C4" w:rsidRDefault="00637AEC" w:rsidP="00030F0F">
      <w:pPr>
        <w:spacing w:after="0" w:line="240" w:lineRule="auto"/>
        <w:ind w:left="709" w:right="709"/>
        <w:rPr>
          <w:rFonts w:ascii="Arial" w:hAnsi="Arial" w:cs="Arial"/>
          <w:bCs/>
          <w:sz w:val="21"/>
          <w:szCs w:val="21"/>
          <w:lang w:eastAsia="en-US"/>
        </w:rPr>
      </w:pPr>
      <w:r w:rsidRPr="009930C4">
        <w:rPr>
          <w:rFonts w:ascii="Arial" w:hAnsi="Arial" w:cs="Arial"/>
          <w:bCs/>
          <w:sz w:val="21"/>
          <w:szCs w:val="21"/>
          <w:lang w:eastAsia="en-US"/>
        </w:rPr>
        <w:t>[…]</w:t>
      </w:r>
      <w:r w:rsidR="00D82A5B" w:rsidRPr="009930C4">
        <w:rPr>
          <w:rFonts w:ascii="Arial" w:hAnsi="Arial" w:cs="Arial"/>
          <w:bCs/>
          <w:sz w:val="21"/>
          <w:szCs w:val="21"/>
          <w:lang w:eastAsia="en-US"/>
        </w:rPr>
        <w:t xml:space="preserve"> </w:t>
      </w:r>
      <w:r w:rsidR="00D82A5B" w:rsidRPr="00030F0F">
        <w:rPr>
          <w:rFonts w:ascii="Arial" w:hAnsi="Arial" w:cs="Arial"/>
          <w:bCs/>
          <w:sz w:val="21"/>
          <w:szCs w:val="21"/>
          <w:lang w:eastAsia="en-US"/>
        </w:rPr>
        <w:t>el recurrente afirmó que dentro del proceso de licitación resultaba procedente que el comité evaluador solicitara al oferente Transportes Especiales del Otún S.A.S que subsanara su propuesta en el sentido de adicionar las tarjetas de operación, toda vez que dicho aspecto no incidió en la comparación de las ofertas, pues no se le asignó puntaje alguno</w:t>
      </w:r>
      <w:r w:rsidR="00D82A5B" w:rsidRPr="009930C4">
        <w:rPr>
          <w:rFonts w:ascii="Arial" w:hAnsi="Arial" w:cs="Arial"/>
          <w:bCs/>
          <w:sz w:val="21"/>
          <w:szCs w:val="21"/>
          <w:lang w:eastAsia="en-US"/>
        </w:rPr>
        <w:t xml:space="preserve">. </w:t>
      </w:r>
    </w:p>
    <w:p w14:paraId="4C8E5C64" w14:textId="77777777" w:rsidR="00D82A5B" w:rsidRPr="009930C4" w:rsidRDefault="00D82A5B" w:rsidP="00030F0F">
      <w:pPr>
        <w:spacing w:after="0" w:line="240" w:lineRule="auto"/>
        <w:ind w:left="709" w:right="709"/>
        <w:rPr>
          <w:rFonts w:ascii="Arial" w:hAnsi="Arial" w:cs="Arial"/>
          <w:bCs/>
          <w:sz w:val="21"/>
          <w:szCs w:val="21"/>
          <w:lang w:eastAsia="en-US"/>
        </w:rPr>
      </w:pPr>
    </w:p>
    <w:p w14:paraId="62F25F9F" w14:textId="5FA441F6" w:rsidR="00D82A5B" w:rsidRPr="009930C4" w:rsidRDefault="00637AEC" w:rsidP="00030F0F">
      <w:pPr>
        <w:spacing w:after="0" w:line="240" w:lineRule="auto"/>
        <w:ind w:left="709" w:right="709"/>
        <w:rPr>
          <w:rFonts w:ascii="Arial" w:hAnsi="Arial" w:cs="Arial"/>
          <w:bCs/>
          <w:sz w:val="21"/>
          <w:szCs w:val="21"/>
          <w:lang w:eastAsia="en-US"/>
        </w:rPr>
      </w:pPr>
      <w:r w:rsidRPr="009930C4">
        <w:rPr>
          <w:rFonts w:ascii="Arial" w:hAnsi="Arial" w:cs="Arial"/>
          <w:bCs/>
          <w:sz w:val="21"/>
          <w:szCs w:val="21"/>
          <w:lang w:eastAsia="en-US"/>
        </w:rPr>
        <w:t>[…]</w:t>
      </w:r>
      <w:r w:rsidR="00D82A5B" w:rsidRPr="009930C4">
        <w:rPr>
          <w:rFonts w:ascii="Arial" w:hAnsi="Arial" w:cs="Arial"/>
          <w:bCs/>
          <w:sz w:val="21"/>
          <w:szCs w:val="21"/>
          <w:lang w:eastAsia="en-US"/>
        </w:rPr>
        <w:t>. Por tanto, de cara a los argumentos del recurso de alzada, la Sala analizará si el requisito habilitante correspondiente a las tarjetas de operación de los vehículos que cubrirían las rutas afectaba la asignación de puntaje no podía subsanarse y si, en consecuencia, la licitación pública debió adjudicársele a la empresa Trans Especiales el Samán S.A.S. y si esta tiene derecho a la utilidad dejada de percibir</w:t>
      </w:r>
      <w:r w:rsidR="007C2A16" w:rsidRPr="009930C4">
        <w:rPr>
          <w:rFonts w:ascii="Arial" w:hAnsi="Arial" w:cs="Arial"/>
          <w:bCs/>
          <w:sz w:val="21"/>
          <w:szCs w:val="21"/>
          <w:lang w:eastAsia="en-US"/>
        </w:rPr>
        <w:t>.</w:t>
      </w:r>
    </w:p>
    <w:p w14:paraId="3D5510F9" w14:textId="6DA6030F" w:rsidR="007C2A16" w:rsidRPr="009930C4" w:rsidRDefault="007C2A16" w:rsidP="00030F0F">
      <w:pPr>
        <w:spacing w:after="0" w:line="240" w:lineRule="auto"/>
        <w:ind w:left="709" w:right="709"/>
        <w:rPr>
          <w:rFonts w:ascii="Arial" w:hAnsi="Arial" w:cs="Arial"/>
          <w:bCs/>
          <w:sz w:val="21"/>
          <w:szCs w:val="21"/>
          <w:lang w:eastAsia="en-US"/>
        </w:rPr>
      </w:pPr>
    </w:p>
    <w:p w14:paraId="14D041AD" w14:textId="444B728C" w:rsidR="007C2A16" w:rsidRPr="00030F0F" w:rsidRDefault="007C2A16" w:rsidP="00030F0F">
      <w:pPr>
        <w:spacing w:after="0" w:line="240" w:lineRule="auto"/>
        <w:ind w:left="709" w:right="709"/>
        <w:rPr>
          <w:rFonts w:ascii="Arial" w:hAnsi="Arial" w:cs="Arial"/>
          <w:bCs/>
          <w:sz w:val="21"/>
          <w:szCs w:val="21"/>
          <w:lang w:eastAsia="en-US"/>
        </w:rPr>
      </w:pPr>
      <w:r w:rsidRPr="009930C4">
        <w:rPr>
          <w:rFonts w:ascii="Arial" w:hAnsi="Arial" w:cs="Arial"/>
          <w:bCs/>
          <w:sz w:val="21"/>
          <w:szCs w:val="21"/>
          <w:lang w:eastAsia="en-US"/>
        </w:rPr>
        <w:t xml:space="preserve">[…] De conformidad con lo consignado en el pliego, </w:t>
      </w:r>
      <w:r w:rsidR="00637AEC" w:rsidRPr="009930C4">
        <w:rPr>
          <w:rFonts w:ascii="Arial" w:hAnsi="Arial" w:cs="Arial"/>
          <w:bCs/>
          <w:sz w:val="21"/>
          <w:szCs w:val="21"/>
          <w:lang w:eastAsia="en-US"/>
        </w:rPr>
        <w:t>[…</w:t>
      </w:r>
      <w:r w:rsidR="0018180F" w:rsidRPr="009930C4">
        <w:rPr>
          <w:rFonts w:ascii="Arial" w:hAnsi="Arial" w:cs="Arial"/>
          <w:bCs/>
          <w:sz w:val="21"/>
          <w:szCs w:val="21"/>
          <w:lang w:eastAsia="en-US"/>
        </w:rPr>
        <w:t>] (</w:t>
      </w:r>
      <w:r w:rsidRPr="009930C4">
        <w:rPr>
          <w:rFonts w:ascii="Arial" w:hAnsi="Arial" w:cs="Arial"/>
          <w:bCs/>
          <w:sz w:val="21"/>
          <w:szCs w:val="21"/>
          <w:lang w:eastAsia="en-US"/>
        </w:rPr>
        <w:t>numerales 2.1. y 2.1.1.), se determinó que el transporte especial escolar rural debería prestarse a 3169 estudiantes de la zona rural en las rutas especificadas. En lo que corresponde a la evaluación de las propuestas, en el numeral 4.3.10. del pliego se establecieron los documentos esenciales y los requisitos mínimos de participación, dentro de los cuales se incluyó la presentación de la fotocopia de la tarjeta de operación de los vehículos relacionados para cubrir las rutas.</w:t>
      </w:r>
      <w:r w:rsidRPr="00030F0F">
        <w:rPr>
          <w:rFonts w:ascii="Arial" w:hAnsi="Arial" w:cs="Arial"/>
          <w:sz w:val="21"/>
          <w:szCs w:val="21"/>
        </w:rPr>
        <w:t xml:space="preserve"> </w:t>
      </w:r>
      <w:r w:rsidRPr="009930C4">
        <w:rPr>
          <w:rFonts w:ascii="Arial" w:hAnsi="Arial" w:cs="Arial"/>
          <w:bCs/>
          <w:sz w:val="21"/>
          <w:szCs w:val="21"/>
          <w:lang w:eastAsia="en-US"/>
        </w:rPr>
        <w:t xml:space="preserve"> Por demás, expresamente se consignó que los requisitos habilitantes podían </w:t>
      </w:r>
      <w:r w:rsidRPr="009930C4">
        <w:rPr>
          <w:rFonts w:ascii="Arial" w:hAnsi="Arial" w:cs="Arial"/>
          <w:bCs/>
          <w:sz w:val="21"/>
          <w:szCs w:val="21"/>
          <w:lang w:eastAsia="en-US"/>
        </w:rPr>
        <w:lastRenderedPageBreak/>
        <w:t xml:space="preserve">subsanarse </w:t>
      </w:r>
      <w:r w:rsidRPr="00030F0F">
        <w:rPr>
          <w:rFonts w:ascii="Arial" w:hAnsi="Arial" w:cs="Arial"/>
          <w:bCs/>
          <w:sz w:val="21"/>
          <w:szCs w:val="21"/>
          <w:lang w:eastAsia="en-US"/>
        </w:rPr>
        <w:t>siempre y cuando no fueran esenciales para la evaluación.</w:t>
      </w:r>
      <w:r w:rsidRPr="00030F0F">
        <w:rPr>
          <w:rFonts w:ascii="Arial" w:hAnsi="Arial" w:cs="Arial"/>
          <w:sz w:val="21"/>
          <w:szCs w:val="21"/>
        </w:rPr>
        <w:t xml:space="preserve"> </w:t>
      </w:r>
      <w:r w:rsidRPr="00030F0F">
        <w:rPr>
          <w:rFonts w:ascii="Arial" w:hAnsi="Arial" w:cs="Arial"/>
          <w:bCs/>
          <w:sz w:val="21"/>
          <w:szCs w:val="21"/>
          <w:lang w:eastAsia="en-US"/>
        </w:rPr>
        <w:t>A este efecto se plasmó lo siguiente:</w:t>
      </w:r>
    </w:p>
    <w:p w14:paraId="3794BA0A" w14:textId="77777777" w:rsidR="007C2A16" w:rsidRPr="009930C4" w:rsidRDefault="007C2A16" w:rsidP="00030F0F">
      <w:pPr>
        <w:spacing w:after="0" w:line="240" w:lineRule="auto"/>
        <w:ind w:left="709" w:right="709"/>
        <w:rPr>
          <w:rFonts w:ascii="Arial" w:hAnsi="Arial" w:cs="Arial"/>
          <w:bCs/>
          <w:sz w:val="21"/>
          <w:szCs w:val="21"/>
          <w:lang w:eastAsia="en-US"/>
        </w:rPr>
      </w:pPr>
    </w:p>
    <w:p w14:paraId="5335C4C3" w14:textId="07CE490A" w:rsidR="007C2A16" w:rsidRPr="009930C4" w:rsidRDefault="007C2A16" w:rsidP="00030F0F">
      <w:pPr>
        <w:spacing w:after="0" w:line="240" w:lineRule="auto"/>
        <w:ind w:left="709" w:right="709"/>
        <w:rPr>
          <w:rFonts w:ascii="Arial" w:hAnsi="Arial" w:cs="Arial"/>
          <w:bCs/>
          <w:sz w:val="21"/>
          <w:szCs w:val="21"/>
          <w:lang w:eastAsia="en-US"/>
        </w:rPr>
      </w:pPr>
      <w:r w:rsidRPr="009930C4">
        <w:rPr>
          <w:rFonts w:ascii="Arial" w:hAnsi="Arial" w:cs="Arial"/>
          <w:bCs/>
          <w:sz w:val="21"/>
          <w:szCs w:val="21"/>
          <w:lang w:eastAsia="en-US"/>
        </w:rPr>
        <w:t xml:space="preserve">4.3.10 CIERRE DEL PROCESO Y APERTURA DE PROPUESTAS […] </w:t>
      </w:r>
      <w:r w:rsidRPr="009930C4">
        <w:rPr>
          <w:rFonts w:ascii="Segoe UI Symbol" w:hAnsi="Segoe UI Symbol" w:cs="Segoe UI Symbol"/>
          <w:bCs/>
          <w:sz w:val="21"/>
          <w:szCs w:val="21"/>
          <w:lang w:eastAsia="en-US"/>
        </w:rPr>
        <w:t>➢</w:t>
      </w:r>
      <w:r w:rsidRPr="009930C4">
        <w:rPr>
          <w:rFonts w:ascii="Arial" w:hAnsi="Arial" w:cs="Arial"/>
          <w:bCs/>
          <w:sz w:val="21"/>
          <w:szCs w:val="21"/>
          <w:lang w:eastAsia="en-US"/>
        </w:rPr>
        <w:t xml:space="preserve"> REVISIÓN DE DOCUMENTOS ESENCIALES: </w:t>
      </w:r>
      <w:r w:rsidR="00637AEC" w:rsidRPr="009930C4">
        <w:rPr>
          <w:rFonts w:ascii="Arial" w:hAnsi="Arial" w:cs="Arial"/>
          <w:bCs/>
          <w:sz w:val="21"/>
          <w:szCs w:val="21"/>
          <w:lang w:eastAsia="en-US"/>
        </w:rPr>
        <w:t xml:space="preserve">[…] </w:t>
      </w:r>
      <w:r w:rsidRPr="009930C4">
        <w:rPr>
          <w:rFonts w:ascii="Arial" w:hAnsi="Arial" w:cs="Arial"/>
          <w:bCs/>
          <w:sz w:val="21"/>
          <w:szCs w:val="21"/>
          <w:lang w:eastAsia="en-US"/>
        </w:rPr>
        <w:t xml:space="preserve">El Comité Evaluador podrá solicitar a los proponentes las aclaraciones que considere convenientes, actuación que no contraviene a las demás disposiciones señaladas en este pliego de condiciones generales, de acuerdo al siguiente procedimiento: </w:t>
      </w:r>
    </w:p>
    <w:p w14:paraId="3A2F6E38" w14:textId="77777777" w:rsidR="007C2A16" w:rsidRPr="009930C4" w:rsidRDefault="007C2A16" w:rsidP="00030F0F">
      <w:pPr>
        <w:spacing w:after="0" w:line="240" w:lineRule="auto"/>
        <w:ind w:left="709" w:right="709"/>
        <w:rPr>
          <w:rFonts w:ascii="Arial" w:hAnsi="Arial" w:cs="Arial"/>
          <w:bCs/>
          <w:sz w:val="21"/>
          <w:szCs w:val="21"/>
          <w:lang w:eastAsia="en-US"/>
        </w:rPr>
      </w:pPr>
    </w:p>
    <w:p w14:paraId="6D397E31" w14:textId="148D0814" w:rsidR="007C2A16" w:rsidRPr="009930C4" w:rsidRDefault="00791D93" w:rsidP="00030F0F">
      <w:pPr>
        <w:spacing w:after="0" w:line="240" w:lineRule="auto"/>
        <w:ind w:left="709" w:right="709"/>
        <w:rPr>
          <w:rFonts w:ascii="Arial" w:hAnsi="Arial" w:cs="Arial"/>
          <w:bCs/>
          <w:sz w:val="21"/>
          <w:szCs w:val="21"/>
          <w:lang w:eastAsia="en-US"/>
        </w:rPr>
      </w:pPr>
      <w:r w:rsidRPr="009930C4">
        <w:rPr>
          <w:rFonts w:ascii="Arial" w:hAnsi="Arial" w:cs="Arial"/>
          <w:bCs/>
          <w:sz w:val="21"/>
          <w:szCs w:val="21"/>
          <w:lang w:eastAsia="en-US"/>
        </w:rPr>
        <w:t>[…]R</w:t>
      </w:r>
      <w:r w:rsidR="007C2A16" w:rsidRPr="009930C4">
        <w:rPr>
          <w:rFonts w:ascii="Arial" w:hAnsi="Arial" w:cs="Arial"/>
          <w:bCs/>
          <w:sz w:val="21"/>
          <w:szCs w:val="21"/>
          <w:lang w:eastAsia="en-US"/>
        </w:rPr>
        <w:t>EVISIÓN DE DOCUMENTOS HABILITANTES</w:t>
      </w:r>
      <w:r w:rsidR="00637AEC" w:rsidRPr="009930C4">
        <w:rPr>
          <w:rFonts w:ascii="Arial" w:hAnsi="Arial" w:cs="Arial"/>
          <w:bCs/>
          <w:sz w:val="21"/>
          <w:szCs w:val="21"/>
          <w:lang w:eastAsia="en-US"/>
        </w:rPr>
        <w:t xml:space="preserve"> […] </w:t>
      </w:r>
      <w:r w:rsidR="007C2A16" w:rsidRPr="009930C4">
        <w:rPr>
          <w:rFonts w:ascii="Arial" w:hAnsi="Arial" w:cs="Arial"/>
          <w:bCs/>
          <w:sz w:val="21"/>
          <w:szCs w:val="21"/>
          <w:lang w:eastAsia="en-US"/>
        </w:rPr>
        <w:t>el municipio de Pereira, requiere que los proponentes presenten al momento del cierre los documentos que sirvan para verificar la capacidad jurídica, las condiciones de experiencia, capacidad financiera y de organización, los cuales serán objeto de verificación de cumplimiento como requisitos habilitantes para la participación en el presente proceso de selección y no otorgarán puntaje, así:</w:t>
      </w:r>
    </w:p>
    <w:p w14:paraId="1B690A3E" w14:textId="4DA10089" w:rsidR="00637AEC" w:rsidRPr="009930C4" w:rsidRDefault="00637AEC" w:rsidP="00030F0F">
      <w:pPr>
        <w:spacing w:after="0" w:line="240" w:lineRule="auto"/>
        <w:ind w:left="709" w:right="709"/>
        <w:rPr>
          <w:rFonts w:ascii="Arial" w:hAnsi="Arial" w:cs="Arial"/>
          <w:bCs/>
          <w:sz w:val="21"/>
          <w:szCs w:val="21"/>
          <w:lang w:eastAsia="en-US"/>
        </w:rPr>
      </w:pPr>
    </w:p>
    <w:p w14:paraId="349E643B" w14:textId="37A837A7" w:rsidR="00637AEC" w:rsidRPr="009930C4" w:rsidRDefault="00637AEC" w:rsidP="00030F0F">
      <w:pPr>
        <w:spacing w:after="0" w:line="240" w:lineRule="auto"/>
        <w:ind w:left="709" w:right="709"/>
        <w:rPr>
          <w:rFonts w:ascii="Arial" w:hAnsi="Arial" w:cs="Arial"/>
          <w:bCs/>
          <w:sz w:val="21"/>
          <w:szCs w:val="21"/>
          <w:lang w:eastAsia="en-US"/>
        </w:rPr>
      </w:pPr>
      <w:r w:rsidRPr="009930C4">
        <w:rPr>
          <w:rFonts w:ascii="Arial" w:hAnsi="Arial" w:cs="Arial"/>
          <w:bCs/>
          <w:sz w:val="21"/>
          <w:szCs w:val="21"/>
          <w:lang w:eastAsia="en-US"/>
        </w:rPr>
        <w:t>[…]m) Fotocopia de la Tarjeta de Operación de cada uno de los vehículos relacionados para cubrir las rutas.</w:t>
      </w:r>
    </w:p>
    <w:p w14:paraId="4B6BC780" w14:textId="15946845" w:rsidR="00637AEC" w:rsidRPr="009930C4" w:rsidRDefault="00637AEC" w:rsidP="00030F0F">
      <w:pPr>
        <w:spacing w:after="0" w:line="240" w:lineRule="auto"/>
        <w:ind w:left="709" w:right="709"/>
        <w:rPr>
          <w:rFonts w:ascii="Arial" w:hAnsi="Arial" w:cs="Arial"/>
          <w:bCs/>
          <w:sz w:val="21"/>
          <w:szCs w:val="21"/>
          <w:lang w:eastAsia="en-US"/>
        </w:rPr>
      </w:pPr>
    </w:p>
    <w:p w14:paraId="195445B1" w14:textId="60CD8260" w:rsidR="00637AEC" w:rsidRPr="00030F0F" w:rsidRDefault="00637AEC" w:rsidP="00030F0F">
      <w:pPr>
        <w:spacing w:after="0" w:line="240" w:lineRule="auto"/>
        <w:ind w:left="709" w:right="709"/>
        <w:rPr>
          <w:rFonts w:ascii="Arial" w:hAnsi="Arial" w:cs="Arial"/>
          <w:bCs/>
          <w:sz w:val="21"/>
          <w:szCs w:val="21"/>
          <w:lang w:eastAsia="en-US"/>
        </w:rPr>
      </w:pPr>
      <w:r w:rsidRPr="009930C4">
        <w:rPr>
          <w:rFonts w:ascii="Arial" w:hAnsi="Arial" w:cs="Arial"/>
          <w:bCs/>
          <w:sz w:val="21"/>
          <w:szCs w:val="21"/>
          <w:lang w:eastAsia="en-US"/>
        </w:rPr>
        <w:t>NOTAS:</w:t>
      </w:r>
      <w:r w:rsidR="00791D93" w:rsidRPr="009930C4">
        <w:rPr>
          <w:rFonts w:ascii="Arial" w:hAnsi="Arial" w:cs="Arial"/>
          <w:bCs/>
          <w:sz w:val="21"/>
          <w:szCs w:val="21"/>
          <w:lang w:eastAsia="en-US"/>
        </w:rPr>
        <w:t xml:space="preserve"> </w:t>
      </w:r>
      <w:r w:rsidRPr="009930C4">
        <w:rPr>
          <w:rFonts w:ascii="Arial" w:hAnsi="Arial" w:cs="Arial"/>
          <w:bCs/>
          <w:sz w:val="21"/>
          <w:szCs w:val="21"/>
          <w:lang w:eastAsia="en-US"/>
        </w:rPr>
        <w:t>[…] Nota 2</w:t>
      </w:r>
      <w:r w:rsidRPr="00030F0F">
        <w:rPr>
          <w:rFonts w:ascii="Arial" w:hAnsi="Arial" w:cs="Arial"/>
          <w:bCs/>
          <w:sz w:val="21"/>
          <w:szCs w:val="21"/>
          <w:lang w:eastAsia="en-US"/>
        </w:rPr>
        <w:t xml:space="preserve">: La propuesta que incumpla con alguno o algunos de estos documentos y que no se consideren esenciales para la evaluación, podrán ser solicitados por el MUNICIPIO DE PEREIRA, en condiciones de igualdad para todos los proponentes hasta la adjudicación”. </w:t>
      </w:r>
    </w:p>
    <w:p w14:paraId="781C54DF" w14:textId="388DA957" w:rsidR="00637AEC" w:rsidRPr="00030F0F" w:rsidRDefault="00637AEC" w:rsidP="00030F0F">
      <w:pPr>
        <w:spacing w:after="0" w:line="240" w:lineRule="auto"/>
        <w:ind w:left="709" w:right="709"/>
        <w:rPr>
          <w:rFonts w:ascii="Arial" w:hAnsi="Arial" w:cs="Arial"/>
          <w:bCs/>
          <w:sz w:val="21"/>
          <w:szCs w:val="21"/>
          <w:lang w:eastAsia="en-US"/>
        </w:rPr>
      </w:pPr>
    </w:p>
    <w:p w14:paraId="7DF8C2D3" w14:textId="77777777" w:rsidR="00637AEC" w:rsidRPr="009930C4" w:rsidRDefault="00637AEC" w:rsidP="00030F0F">
      <w:pPr>
        <w:spacing w:after="0" w:line="240" w:lineRule="auto"/>
        <w:ind w:left="709" w:right="709"/>
        <w:rPr>
          <w:rFonts w:ascii="Arial" w:hAnsi="Arial" w:cs="Arial"/>
          <w:bCs/>
          <w:sz w:val="21"/>
          <w:szCs w:val="21"/>
          <w:lang w:eastAsia="en-US"/>
        </w:rPr>
      </w:pPr>
      <w:r w:rsidRPr="009930C4">
        <w:rPr>
          <w:rFonts w:ascii="Arial" w:hAnsi="Arial" w:cs="Arial"/>
          <w:bCs/>
          <w:sz w:val="21"/>
          <w:szCs w:val="21"/>
          <w:lang w:eastAsia="en-US"/>
        </w:rPr>
        <w:t xml:space="preserve">En lo que corresponde a la evaluación de las propuestas […] se dispuso que aquellas se evaluarían de la siguiente manera: “4.3.11 EVALUACIÓN DE LAS PROPUESTAS: </w:t>
      </w:r>
    </w:p>
    <w:p w14:paraId="7875307E" w14:textId="77777777" w:rsidR="00637AEC" w:rsidRPr="009930C4" w:rsidRDefault="00637AEC" w:rsidP="00030F0F">
      <w:pPr>
        <w:spacing w:after="0" w:line="240" w:lineRule="auto"/>
        <w:ind w:left="709" w:right="709"/>
        <w:rPr>
          <w:rFonts w:ascii="Arial" w:hAnsi="Arial" w:cs="Arial"/>
          <w:bCs/>
          <w:sz w:val="21"/>
          <w:szCs w:val="21"/>
          <w:lang w:eastAsia="en-US"/>
        </w:rPr>
      </w:pPr>
    </w:p>
    <w:p w14:paraId="55ADD5D1" w14:textId="77777777" w:rsidR="00637AEC" w:rsidRPr="009930C4" w:rsidRDefault="00637AEC" w:rsidP="00030F0F">
      <w:pPr>
        <w:spacing w:after="0" w:line="240" w:lineRule="auto"/>
        <w:ind w:left="709" w:right="709"/>
        <w:rPr>
          <w:rFonts w:ascii="Arial" w:hAnsi="Arial" w:cs="Arial"/>
          <w:bCs/>
          <w:sz w:val="21"/>
          <w:szCs w:val="21"/>
          <w:lang w:eastAsia="en-US"/>
        </w:rPr>
      </w:pPr>
      <w:r w:rsidRPr="009930C4">
        <w:rPr>
          <w:rFonts w:ascii="Arial" w:hAnsi="Arial" w:cs="Arial"/>
          <w:bCs/>
          <w:sz w:val="21"/>
          <w:szCs w:val="21"/>
          <w:lang w:eastAsia="en-US"/>
        </w:rPr>
        <w:t xml:space="preserve">[…] REVISIÓN DE LOS REQUISITOS MÍNIMOS DE PARTICIPACIÓN: Se revisará a cada una de las propuestas todos los requisitos exigidos en el pliego de condiciones </w:t>
      </w:r>
    </w:p>
    <w:p w14:paraId="33C4B79C" w14:textId="77777777" w:rsidR="00637AEC" w:rsidRPr="009930C4" w:rsidRDefault="00637AEC" w:rsidP="00030F0F">
      <w:pPr>
        <w:spacing w:after="0" w:line="240" w:lineRule="auto"/>
        <w:ind w:left="709" w:right="709"/>
        <w:rPr>
          <w:rFonts w:ascii="Arial" w:hAnsi="Arial" w:cs="Arial"/>
          <w:bCs/>
          <w:sz w:val="21"/>
          <w:szCs w:val="21"/>
          <w:lang w:eastAsia="en-US"/>
        </w:rPr>
      </w:pPr>
      <w:r w:rsidRPr="009930C4">
        <w:rPr>
          <w:rFonts w:ascii="Arial" w:hAnsi="Arial" w:cs="Arial"/>
          <w:bCs/>
          <w:sz w:val="21"/>
          <w:szCs w:val="21"/>
          <w:lang w:eastAsia="en-US"/>
        </w:rPr>
        <w:t xml:space="preserve">• REVISIÓN DE LA PROPUESTA TÉCNICA Y ECONÓMICA: Se realizará la revisión de la propuesta técnica y económica, con el fin de verificar el cumplimiento de los requerimientos de la Entidad. </w:t>
      </w:r>
    </w:p>
    <w:p w14:paraId="3FD9342E" w14:textId="2FC859A7" w:rsidR="00791D93" w:rsidRPr="009930C4" w:rsidRDefault="00637AEC" w:rsidP="00030F0F">
      <w:pPr>
        <w:spacing w:after="0" w:line="240" w:lineRule="auto"/>
        <w:ind w:left="709" w:right="709"/>
        <w:rPr>
          <w:rFonts w:ascii="Arial" w:hAnsi="Arial" w:cs="Arial"/>
          <w:bCs/>
          <w:sz w:val="21"/>
          <w:szCs w:val="21"/>
          <w:lang w:eastAsia="en-US"/>
        </w:rPr>
      </w:pPr>
      <w:r w:rsidRPr="009930C4">
        <w:rPr>
          <w:rFonts w:ascii="Arial" w:hAnsi="Arial" w:cs="Arial"/>
          <w:bCs/>
          <w:sz w:val="21"/>
          <w:szCs w:val="21"/>
          <w:lang w:eastAsia="en-US"/>
        </w:rPr>
        <w:t>• APLICACIÓN DE LOS CRITERIOS DE EVALUACIÓN: A las propuestas hábiles, es decir, aquellas que cumplan con los requisitos esenciales de participación se les aplicarán los criterios de evaluación previstos en el presente pliego de condiciones, para obtener el orden de</w:t>
      </w:r>
      <w:r w:rsidR="00791D93" w:rsidRPr="009930C4">
        <w:rPr>
          <w:rFonts w:ascii="Arial" w:hAnsi="Arial" w:cs="Arial"/>
          <w:bCs/>
          <w:sz w:val="21"/>
          <w:szCs w:val="21"/>
          <w:lang w:eastAsia="en-US"/>
        </w:rPr>
        <w:t xml:space="preserve"> elegibilidad correspondiente. </w:t>
      </w:r>
    </w:p>
    <w:p w14:paraId="35B6C102" w14:textId="3DCB3953" w:rsidR="00637AEC" w:rsidRPr="009930C4" w:rsidRDefault="00637AEC" w:rsidP="00030F0F">
      <w:pPr>
        <w:spacing w:after="0" w:line="240" w:lineRule="auto"/>
        <w:ind w:left="709" w:right="709"/>
        <w:rPr>
          <w:rFonts w:ascii="Arial" w:hAnsi="Arial" w:cs="Arial"/>
          <w:bCs/>
          <w:sz w:val="21"/>
          <w:szCs w:val="21"/>
          <w:lang w:eastAsia="en-US"/>
        </w:rPr>
      </w:pPr>
    </w:p>
    <w:p w14:paraId="58BAE02C" w14:textId="7F179ED6" w:rsidR="00791D93" w:rsidRPr="009930C4" w:rsidRDefault="00791D93" w:rsidP="00030F0F">
      <w:pPr>
        <w:spacing w:after="0" w:line="240" w:lineRule="auto"/>
        <w:ind w:left="709" w:right="709"/>
        <w:rPr>
          <w:rFonts w:ascii="Arial" w:hAnsi="Arial" w:cs="Arial"/>
          <w:bCs/>
          <w:sz w:val="21"/>
          <w:szCs w:val="21"/>
          <w:lang w:eastAsia="en-US"/>
        </w:rPr>
      </w:pPr>
      <w:r w:rsidRPr="009930C4">
        <w:rPr>
          <w:rFonts w:ascii="Arial" w:hAnsi="Arial" w:cs="Arial"/>
          <w:bCs/>
          <w:sz w:val="21"/>
          <w:szCs w:val="21"/>
          <w:lang w:eastAsia="en-US"/>
        </w:rPr>
        <w:t>[…]</w:t>
      </w:r>
      <w:r w:rsidR="00637AEC" w:rsidRPr="009930C4">
        <w:rPr>
          <w:rFonts w:ascii="Arial" w:hAnsi="Arial" w:cs="Arial"/>
          <w:bCs/>
          <w:sz w:val="21"/>
          <w:szCs w:val="21"/>
          <w:lang w:eastAsia="en-US"/>
        </w:rPr>
        <w:t>En cuanto a la evaluación de las ofertas, en el numeral 4.5. del pliego se establecieron como criterios para proceder en tal sentido: la calidad, el precio y el incentivo a la industria nacional, a saber: “</w:t>
      </w:r>
      <w:r w:rsidRPr="009930C4">
        <w:rPr>
          <w:rFonts w:ascii="Arial" w:hAnsi="Arial" w:cs="Arial"/>
          <w:bCs/>
          <w:sz w:val="21"/>
          <w:szCs w:val="21"/>
          <w:lang w:eastAsia="en-US"/>
        </w:rPr>
        <w:t xml:space="preserve">[…] </w:t>
      </w:r>
      <w:r w:rsidR="00637AEC" w:rsidRPr="009930C4">
        <w:rPr>
          <w:rFonts w:ascii="Arial" w:hAnsi="Arial" w:cs="Arial"/>
          <w:bCs/>
          <w:sz w:val="21"/>
          <w:szCs w:val="21"/>
          <w:lang w:eastAsia="en-US"/>
        </w:rPr>
        <w:t xml:space="preserve">4.5.1.1 CALIDAD DEL SERVICIO: CINCUENTA PUNTOS Este ítem se calificará en razón a los siguientes factores: […]PROPONENTE QUE PRESENTE PORCENTAJE DE PARQUE AUTOMOTOR QUE PRESTE EL SERVICIO ASIGNADO A LAS RUTAS CON MODELOS DEL AÑO 2008 EN ADELANTE, ASÍ </w:t>
      </w:r>
    </w:p>
    <w:p w14:paraId="287DC35C" w14:textId="77777777" w:rsidR="00791D93" w:rsidRPr="009930C4" w:rsidRDefault="00791D93" w:rsidP="00030F0F">
      <w:pPr>
        <w:spacing w:after="0" w:line="240" w:lineRule="auto"/>
        <w:ind w:left="709" w:right="709"/>
        <w:rPr>
          <w:rFonts w:ascii="Arial" w:hAnsi="Arial" w:cs="Arial"/>
          <w:bCs/>
          <w:sz w:val="21"/>
          <w:szCs w:val="21"/>
          <w:lang w:eastAsia="en-US"/>
        </w:rPr>
      </w:pPr>
    </w:p>
    <w:p w14:paraId="16125683" w14:textId="582ED1B6" w:rsidR="00637AEC" w:rsidRPr="009930C4" w:rsidRDefault="00637AEC" w:rsidP="00030F0F">
      <w:pPr>
        <w:spacing w:after="0" w:line="240" w:lineRule="auto"/>
        <w:ind w:left="709" w:right="709"/>
        <w:rPr>
          <w:rFonts w:ascii="Arial" w:hAnsi="Arial" w:cs="Arial"/>
          <w:bCs/>
          <w:sz w:val="21"/>
          <w:szCs w:val="21"/>
          <w:lang w:eastAsia="en-US"/>
        </w:rPr>
      </w:pPr>
      <w:r w:rsidRPr="009930C4">
        <w:rPr>
          <w:rFonts w:ascii="Arial" w:hAnsi="Arial" w:cs="Arial"/>
          <w:bCs/>
          <w:sz w:val="21"/>
          <w:szCs w:val="21"/>
          <w:lang w:eastAsia="en-US"/>
        </w:rPr>
        <w:lastRenderedPageBreak/>
        <w:t>[…]</w:t>
      </w:r>
      <w:r w:rsidR="00791D93" w:rsidRPr="009930C4">
        <w:rPr>
          <w:rFonts w:ascii="Arial" w:hAnsi="Arial" w:cs="Arial"/>
          <w:bCs/>
          <w:sz w:val="21"/>
          <w:szCs w:val="21"/>
          <w:lang w:eastAsia="en-US"/>
        </w:rPr>
        <w:t>7.1.3. El 13 de diciembre de 2016, el comité evaluador dio a conocer el informe de evaluación en el que solicitó al oferente Transportes Especiales del Otún S.A.S. subsanar su propuesta, en el sentido de allegar tarjetas de operación adicionales a las presentadas al cierre del proceso, con el fin de cubrir la totalidad de los cupos requeridos -3169- de cara a la necesidad a contratar, pues, según indicó, con aquellas que fueron aportadas con la oferta tan solo reunía 2920 cupos, a propósito de lo cual recalcó que la subsanación del requisito se tendría en cuenta únicamente para la habilitación del oferente y no se tendrían en cuenta para la asignación de puntaje.</w:t>
      </w:r>
    </w:p>
    <w:p w14:paraId="09D4AAC7" w14:textId="3F69B734" w:rsidR="00791D93" w:rsidRPr="009930C4" w:rsidRDefault="00791D93" w:rsidP="00030F0F">
      <w:pPr>
        <w:spacing w:after="0" w:line="240" w:lineRule="auto"/>
        <w:ind w:left="709" w:right="709"/>
        <w:rPr>
          <w:rFonts w:ascii="Arial" w:hAnsi="Arial" w:cs="Arial"/>
          <w:bCs/>
          <w:sz w:val="21"/>
          <w:szCs w:val="21"/>
          <w:lang w:eastAsia="en-US"/>
        </w:rPr>
      </w:pPr>
    </w:p>
    <w:p w14:paraId="468B86B5" w14:textId="0DA72908" w:rsidR="00791D93" w:rsidRPr="009930C4" w:rsidRDefault="002C51EB" w:rsidP="00030F0F">
      <w:pPr>
        <w:spacing w:after="0" w:line="240" w:lineRule="auto"/>
        <w:ind w:left="709" w:right="709"/>
        <w:rPr>
          <w:rFonts w:ascii="Arial" w:hAnsi="Arial" w:cs="Arial"/>
          <w:bCs/>
          <w:sz w:val="21"/>
          <w:szCs w:val="21"/>
          <w:lang w:eastAsia="en-US"/>
        </w:rPr>
      </w:pPr>
      <w:r w:rsidRPr="009930C4">
        <w:rPr>
          <w:rFonts w:ascii="Arial" w:hAnsi="Arial" w:cs="Arial"/>
          <w:bCs/>
          <w:sz w:val="21"/>
          <w:szCs w:val="21"/>
          <w:lang w:eastAsia="en-US"/>
        </w:rPr>
        <w:t>[…]E</w:t>
      </w:r>
      <w:r w:rsidR="00791D93" w:rsidRPr="009930C4">
        <w:rPr>
          <w:rFonts w:ascii="Arial" w:hAnsi="Arial" w:cs="Arial"/>
          <w:bCs/>
          <w:sz w:val="21"/>
          <w:szCs w:val="21"/>
          <w:lang w:eastAsia="en-US"/>
        </w:rPr>
        <w:t>l oferente Trans Especiales el Samán S.A.S. presentó observaciones al informe de evaluación, manifestando que la adición de las tarjetas de operación afectaba la comparación de las propuestas, razón por la cual dicho requisito no era subsanable.</w:t>
      </w:r>
    </w:p>
    <w:p w14:paraId="7E2902D3" w14:textId="3F1D3330" w:rsidR="00791D93" w:rsidRPr="009930C4" w:rsidRDefault="00791D93" w:rsidP="00030F0F">
      <w:pPr>
        <w:spacing w:after="0" w:line="240" w:lineRule="auto"/>
        <w:ind w:left="709" w:right="709"/>
        <w:rPr>
          <w:rFonts w:ascii="Arial" w:hAnsi="Arial" w:cs="Arial"/>
          <w:bCs/>
          <w:sz w:val="21"/>
          <w:szCs w:val="21"/>
          <w:lang w:eastAsia="en-US"/>
        </w:rPr>
      </w:pPr>
    </w:p>
    <w:p w14:paraId="5E417E7E" w14:textId="3775CC37" w:rsidR="00791D93" w:rsidRPr="009930C4" w:rsidRDefault="00791D93" w:rsidP="00030F0F">
      <w:pPr>
        <w:spacing w:after="0" w:line="240" w:lineRule="auto"/>
        <w:ind w:left="709" w:right="709"/>
        <w:rPr>
          <w:rFonts w:ascii="Arial" w:hAnsi="Arial" w:cs="Arial"/>
          <w:bCs/>
          <w:sz w:val="21"/>
          <w:szCs w:val="21"/>
          <w:lang w:eastAsia="en-US"/>
        </w:rPr>
      </w:pPr>
      <w:r w:rsidRPr="009930C4">
        <w:rPr>
          <w:rFonts w:ascii="Arial" w:hAnsi="Arial" w:cs="Arial"/>
          <w:bCs/>
          <w:sz w:val="21"/>
          <w:szCs w:val="21"/>
          <w:lang w:eastAsia="en-US"/>
        </w:rPr>
        <w:t>[…]7.1.5. Sin fecha determinada, el municipio de Pereira respondió las observaciones presentadas por el oferente Trans Especiales el Samán S.A.S., precisando que las tarjetas de operación solamente se tendrían en cuenta para la habilitación del oferente Transportes Especiales del Otún S.A.S. y no para la asignación de puntaje, razón por la cual era procedente subsanar este requisito</w:t>
      </w:r>
      <w:r w:rsidR="002C51EB" w:rsidRPr="009930C4">
        <w:rPr>
          <w:rFonts w:ascii="Arial" w:hAnsi="Arial" w:cs="Arial"/>
          <w:bCs/>
          <w:sz w:val="21"/>
          <w:szCs w:val="21"/>
          <w:lang w:eastAsia="en-US"/>
        </w:rPr>
        <w:t>.</w:t>
      </w:r>
    </w:p>
    <w:p w14:paraId="5A02D125" w14:textId="77777777" w:rsidR="00BA6490" w:rsidRPr="007C2A16" w:rsidRDefault="00BA6490" w:rsidP="002C51EB">
      <w:pPr>
        <w:tabs>
          <w:tab w:val="left" w:pos="0"/>
          <w:tab w:val="left" w:pos="8577"/>
        </w:tabs>
        <w:spacing w:after="0"/>
        <w:rPr>
          <w:rFonts w:ascii="Arial" w:eastAsia="Times New Roman" w:hAnsi="Arial" w:cs="Arial"/>
          <w:color w:val="000000"/>
          <w:shd w:val="clear" w:color="auto" w:fill="FFFFFF"/>
          <w:lang w:val="es-CO" w:eastAsia="es-ES"/>
        </w:rPr>
      </w:pPr>
    </w:p>
    <w:p w14:paraId="680FCCEB" w14:textId="48B523D8" w:rsidR="000B00C8" w:rsidRDefault="002C51EB" w:rsidP="002C51EB">
      <w:pPr>
        <w:tabs>
          <w:tab w:val="left" w:pos="0"/>
          <w:tab w:val="left" w:pos="8577"/>
        </w:tabs>
        <w:spacing w:after="0"/>
        <w:ind w:firstLine="709"/>
        <w:rPr>
          <w:rFonts w:ascii="Arial" w:eastAsia="Times New Roman" w:hAnsi="Arial" w:cs="Arial"/>
          <w:color w:val="000000"/>
          <w:sz w:val="22"/>
          <w:szCs w:val="22"/>
          <w:shd w:val="clear" w:color="auto" w:fill="FFFFFF"/>
          <w:lang w:eastAsia="es-ES"/>
        </w:rPr>
      </w:pPr>
      <w:r>
        <w:rPr>
          <w:rFonts w:ascii="Arial" w:eastAsia="Times New Roman" w:hAnsi="Arial" w:cs="Arial"/>
          <w:color w:val="000000"/>
          <w:sz w:val="22"/>
          <w:szCs w:val="22"/>
          <w:shd w:val="clear" w:color="auto" w:fill="FFFFFF"/>
          <w:lang w:eastAsia="es-ES"/>
        </w:rPr>
        <w:t>Con base en el contexto fáctico citado con anterioridad y luego de realizar un recuento sobre la evolución normativa de la figura de la subsanabilidad</w:t>
      </w:r>
      <w:r w:rsidR="0079726B">
        <w:rPr>
          <w:rFonts w:ascii="Arial" w:eastAsia="Times New Roman" w:hAnsi="Arial" w:cs="Arial"/>
          <w:color w:val="000000"/>
          <w:sz w:val="22"/>
          <w:szCs w:val="22"/>
          <w:shd w:val="clear" w:color="auto" w:fill="FFFFFF"/>
          <w:lang w:eastAsia="es-ES"/>
        </w:rPr>
        <w:t>,</w:t>
      </w:r>
      <w:r>
        <w:rPr>
          <w:rFonts w:ascii="Arial" w:eastAsia="Times New Roman" w:hAnsi="Arial" w:cs="Arial"/>
          <w:color w:val="000000"/>
          <w:sz w:val="22"/>
          <w:szCs w:val="22"/>
          <w:shd w:val="clear" w:color="auto" w:fill="FFFFFF"/>
          <w:lang w:eastAsia="es-ES"/>
        </w:rPr>
        <w:t xml:space="preserve"> la Subsección C de la Sección Tercera del Consejo de Estado resaltó que, conforme a la </w:t>
      </w:r>
      <w:r w:rsidR="00101BAD">
        <w:rPr>
          <w:rFonts w:ascii="Arial" w:eastAsia="Times New Roman" w:hAnsi="Arial" w:cs="Arial"/>
          <w:color w:val="000000"/>
          <w:sz w:val="22"/>
          <w:szCs w:val="22"/>
          <w:shd w:val="clear" w:color="auto" w:fill="FFFFFF"/>
          <w:lang w:eastAsia="es-ES"/>
        </w:rPr>
        <w:t xml:space="preserve">normativa </w:t>
      </w:r>
      <w:r>
        <w:rPr>
          <w:rFonts w:ascii="Arial" w:eastAsia="Times New Roman" w:hAnsi="Arial" w:cs="Arial"/>
          <w:color w:val="000000"/>
          <w:sz w:val="22"/>
          <w:szCs w:val="22"/>
          <w:shd w:val="clear" w:color="auto" w:fill="FFFFFF"/>
          <w:lang w:eastAsia="es-ES"/>
        </w:rPr>
        <w:t>vigente, lo</w:t>
      </w:r>
      <w:r w:rsidRPr="002C51EB">
        <w:rPr>
          <w:rFonts w:ascii="Arial" w:eastAsia="Times New Roman" w:hAnsi="Arial" w:cs="Arial"/>
          <w:color w:val="000000"/>
          <w:sz w:val="22"/>
          <w:szCs w:val="22"/>
          <w:shd w:val="clear" w:color="auto" w:fill="FFFFFF"/>
          <w:lang w:eastAsia="es-ES"/>
        </w:rPr>
        <w:t xml:space="preserve">s requisitos subsanables </w:t>
      </w:r>
      <w:r>
        <w:rPr>
          <w:rFonts w:ascii="Arial" w:eastAsia="Times New Roman" w:hAnsi="Arial" w:cs="Arial"/>
          <w:color w:val="000000"/>
          <w:sz w:val="22"/>
          <w:szCs w:val="22"/>
          <w:shd w:val="clear" w:color="auto" w:fill="FFFFFF"/>
          <w:lang w:eastAsia="es-ES"/>
        </w:rPr>
        <w:t>son todos aquellos que no afecten</w:t>
      </w:r>
      <w:r w:rsidRPr="002C51EB">
        <w:rPr>
          <w:rFonts w:ascii="Arial" w:eastAsia="Times New Roman" w:hAnsi="Arial" w:cs="Arial"/>
          <w:color w:val="000000"/>
          <w:sz w:val="22"/>
          <w:szCs w:val="22"/>
          <w:shd w:val="clear" w:color="auto" w:fill="FFFFFF"/>
          <w:lang w:eastAsia="es-ES"/>
        </w:rPr>
        <w:t xml:space="preserve"> la asignación de puntaje</w:t>
      </w:r>
      <w:r>
        <w:rPr>
          <w:rFonts w:ascii="Arial" w:eastAsia="Times New Roman" w:hAnsi="Arial" w:cs="Arial"/>
          <w:color w:val="000000"/>
          <w:sz w:val="22"/>
          <w:szCs w:val="22"/>
          <w:shd w:val="clear" w:color="auto" w:fill="FFFFFF"/>
          <w:lang w:eastAsia="es-ES"/>
        </w:rPr>
        <w:t xml:space="preserve"> y advirtió que, en cualquier caso, </w:t>
      </w:r>
      <w:r w:rsidRPr="002C51EB">
        <w:rPr>
          <w:rFonts w:ascii="Arial" w:eastAsia="Times New Roman" w:hAnsi="Arial" w:cs="Arial"/>
          <w:color w:val="000000"/>
          <w:sz w:val="22"/>
          <w:szCs w:val="22"/>
          <w:shd w:val="clear" w:color="auto" w:fill="FFFFFF"/>
          <w:lang w:eastAsia="es-ES"/>
        </w:rPr>
        <w:t xml:space="preserve">no </w:t>
      </w:r>
      <w:r>
        <w:rPr>
          <w:rFonts w:ascii="Arial" w:eastAsia="Times New Roman" w:hAnsi="Arial" w:cs="Arial"/>
          <w:color w:val="000000"/>
          <w:sz w:val="22"/>
          <w:szCs w:val="22"/>
          <w:shd w:val="clear" w:color="auto" w:fill="FFFFFF"/>
          <w:lang w:eastAsia="es-ES"/>
        </w:rPr>
        <w:t xml:space="preserve">se </w:t>
      </w:r>
      <w:r w:rsidRPr="002C51EB">
        <w:rPr>
          <w:rFonts w:ascii="Arial" w:eastAsia="Times New Roman" w:hAnsi="Arial" w:cs="Arial"/>
          <w:color w:val="000000"/>
          <w:sz w:val="22"/>
          <w:szCs w:val="22"/>
          <w:shd w:val="clear" w:color="auto" w:fill="FFFFFF"/>
          <w:lang w:eastAsia="es-ES"/>
        </w:rPr>
        <w:t>pueden subsanar circunstancias ocurridas con posterioridad al cierre del proceso.</w:t>
      </w:r>
      <w:r w:rsidR="00C70156">
        <w:rPr>
          <w:rFonts w:ascii="Arial" w:eastAsia="Times New Roman" w:hAnsi="Arial" w:cs="Arial"/>
          <w:color w:val="000000"/>
          <w:sz w:val="22"/>
          <w:szCs w:val="22"/>
          <w:shd w:val="clear" w:color="auto" w:fill="FFFFFF"/>
          <w:lang w:eastAsia="es-ES"/>
        </w:rPr>
        <w:t xml:space="preserve"> Hecha esta precisión y con fundamento en lo previsto en el pliego de condiciones, concluyó que: </w:t>
      </w:r>
    </w:p>
    <w:p w14:paraId="6F546D80" w14:textId="77777777" w:rsidR="000B00C8" w:rsidRDefault="000B00C8" w:rsidP="002C51EB">
      <w:pPr>
        <w:tabs>
          <w:tab w:val="left" w:pos="0"/>
          <w:tab w:val="left" w:pos="8577"/>
        </w:tabs>
        <w:spacing w:after="0"/>
        <w:ind w:firstLine="709"/>
        <w:rPr>
          <w:rFonts w:ascii="Arial" w:eastAsia="Times New Roman" w:hAnsi="Arial" w:cs="Arial"/>
          <w:color w:val="000000"/>
          <w:sz w:val="22"/>
          <w:szCs w:val="22"/>
          <w:shd w:val="clear" w:color="auto" w:fill="FFFFFF"/>
          <w:lang w:eastAsia="es-ES"/>
        </w:rPr>
      </w:pPr>
    </w:p>
    <w:p w14:paraId="4020527B" w14:textId="1D02911A" w:rsidR="000B00C8" w:rsidRPr="00030F0F" w:rsidRDefault="00101BAD" w:rsidP="00030F0F">
      <w:pPr>
        <w:spacing w:after="0" w:line="240" w:lineRule="auto"/>
        <w:ind w:left="709" w:right="709"/>
        <w:rPr>
          <w:rFonts w:ascii="Arial" w:hAnsi="Arial" w:cs="Arial"/>
          <w:bCs/>
          <w:sz w:val="21"/>
          <w:szCs w:val="21"/>
          <w:lang w:eastAsia="en-US"/>
        </w:rPr>
      </w:pPr>
      <w:r>
        <w:rPr>
          <w:rFonts w:ascii="Arial" w:hAnsi="Arial" w:cs="Arial"/>
          <w:bCs/>
          <w:sz w:val="21"/>
          <w:szCs w:val="21"/>
          <w:lang w:eastAsia="en-US"/>
        </w:rPr>
        <w:t xml:space="preserve">[…] </w:t>
      </w:r>
      <w:r w:rsidR="00C70156" w:rsidRPr="00030F0F">
        <w:rPr>
          <w:rFonts w:ascii="Arial" w:hAnsi="Arial" w:cs="Arial"/>
          <w:bCs/>
          <w:sz w:val="21"/>
          <w:szCs w:val="21"/>
          <w:lang w:eastAsia="en-US"/>
        </w:rPr>
        <w:t>la Sala estima que en el asunto sometido a juicio no resultaba procedente que la entidad pública demandada solicitara al oferente Transportes Especiales del Otún S.A.S. que subsanara su propuesta adicionando las tarjetas de operación de los vehículos con los que cubriría las rutas previamente determinadas en el pliego de condiciones, puesto que dicho requisito, en los términos estrictamente establecidos en el pliego de condiciones, afectaba la asignación de puntaje, razón por la cual su propuesta debió rechazarse</w:t>
      </w:r>
    </w:p>
    <w:p w14:paraId="3C70FEAC" w14:textId="77777777" w:rsidR="000B00C8" w:rsidRPr="00030F0F" w:rsidRDefault="000B00C8" w:rsidP="00030F0F">
      <w:pPr>
        <w:spacing w:after="0" w:line="240" w:lineRule="auto"/>
        <w:ind w:left="709" w:right="709"/>
        <w:rPr>
          <w:rFonts w:ascii="Arial" w:hAnsi="Arial" w:cs="Arial"/>
          <w:bCs/>
          <w:sz w:val="21"/>
          <w:szCs w:val="21"/>
          <w:lang w:eastAsia="en-US"/>
        </w:rPr>
      </w:pPr>
    </w:p>
    <w:p w14:paraId="4260FB88" w14:textId="06854746" w:rsidR="000B00C8" w:rsidRPr="00030F0F" w:rsidRDefault="000B00C8" w:rsidP="00030F0F">
      <w:pPr>
        <w:spacing w:after="0" w:line="240" w:lineRule="auto"/>
        <w:ind w:left="709" w:right="709"/>
        <w:rPr>
          <w:rFonts w:ascii="Arial" w:hAnsi="Arial" w:cs="Arial"/>
          <w:bCs/>
          <w:sz w:val="21"/>
          <w:szCs w:val="21"/>
          <w:lang w:eastAsia="en-US"/>
        </w:rPr>
      </w:pPr>
      <w:r w:rsidRPr="00030F0F">
        <w:rPr>
          <w:rFonts w:ascii="Arial" w:hAnsi="Arial" w:cs="Arial"/>
          <w:bCs/>
          <w:sz w:val="21"/>
          <w:szCs w:val="21"/>
          <w:lang w:eastAsia="en-US"/>
        </w:rPr>
        <w:t xml:space="preserve">[…]En suma, el pliego de condiciones, la propuesta y el contrato suscrito deben ser interpretados armónica e integralmente, con prevalencia obligatoria del pliego, que constituye la fuente principal de los derechos y obligaciones de las partes y la base para interpretación e integración del contrato, a propósito de lo cual en el asunto que ocupa la atención de la Sala resulta forzoso concluir que la entidad pública demandada no podía solicitar que fueran subsanados requisitos habilitantes que, según las reglas contenidas en el pliego, incidieran </w:t>
      </w:r>
      <w:r w:rsidRPr="00030F0F">
        <w:rPr>
          <w:rFonts w:ascii="Arial" w:hAnsi="Arial" w:cs="Arial"/>
          <w:bCs/>
          <w:sz w:val="21"/>
          <w:szCs w:val="21"/>
          <w:lang w:eastAsia="en-US"/>
        </w:rPr>
        <w:lastRenderedPageBreak/>
        <w:t>en la asignación de puntaje, como en efecto ocurrió con la adición de tarjetas de operación.</w:t>
      </w:r>
    </w:p>
    <w:p w14:paraId="29983711" w14:textId="77777777" w:rsidR="00C53C58" w:rsidRPr="00030F0F" w:rsidRDefault="00C53C58" w:rsidP="00030F0F">
      <w:pPr>
        <w:spacing w:after="0" w:line="240" w:lineRule="auto"/>
        <w:ind w:left="709" w:right="709"/>
        <w:rPr>
          <w:rFonts w:ascii="Arial" w:hAnsi="Arial" w:cs="Arial"/>
          <w:bCs/>
          <w:sz w:val="21"/>
          <w:szCs w:val="21"/>
          <w:lang w:eastAsia="en-US"/>
        </w:rPr>
      </w:pPr>
    </w:p>
    <w:p w14:paraId="0198443A" w14:textId="40910659" w:rsidR="000B00C8" w:rsidRPr="00030F0F" w:rsidRDefault="000B00C8" w:rsidP="00030F0F">
      <w:pPr>
        <w:spacing w:after="0" w:line="240" w:lineRule="auto"/>
        <w:ind w:left="709" w:right="709"/>
        <w:rPr>
          <w:rFonts w:ascii="Arial" w:hAnsi="Arial" w:cs="Arial"/>
          <w:bCs/>
          <w:sz w:val="21"/>
          <w:szCs w:val="21"/>
          <w:lang w:eastAsia="en-US"/>
        </w:rPr>
      </w:pPr>
      <w:r w:rsidRPr="00030F0F">
        <w:rPr>
          <w:rFonts w:ascii="Arial" w:hAnsi="Arial" w:cs="Arial"/>
          <w:bCs/>
          <w:sz w:val="21"/>
          <w:szCs w:val="21"/>
          <w:lang w:eastAsia="en-US"/>
        </w:rPr>
        <w:t>[…]</w:t>
      </w:r>
      <w:r w:rsidR="003C35F5">
        <w:rPr>
          <w:rFonts w:ascii="Arial" w:hAnsi="Arial" w:cs="Arial"/>
          <w:bCs/>
          <w:sz w:val="21"/>
          <w:szCs w:val="21"/>
          <w:lang w:eastAsia="en-US"/>
        </w:rPr>
        <w:t xml:space="preserve"> </w:t>
      </w:r>
      <w:r w:rsidRPr="00030F0F">
        <w:rPr>
          <w:rFonts w:ascii="Arial" w:hAnsi="Arial" w:cs="Arial"/>
          <w:bCs/>
          <w:sz w:val="21"/>
          <w:szCs w:val="21"/>
          <w:lang w:eastAsia="en-US"/>
        </w:rPr>
        <w:t>De hecho, en el pliego de condiciones de la licitación pública quedó establecido que la propuesta que incumpliera con alguno de los requisitos habilitantes, como en efecto lo eran las fotocopias de las tarjetas de operación de los vehículos, podría ser subsanada, siempre y cuando dichos requisitos no fueran esenciales para la evaluación (nota 2, numeral 4.3.10 del pliego).</w:t>
      </w:r>
    </w:p>
    <w:p w14:paraId="6424C9A6" w14:textId="77777777" w:rsidR="000B00C8" w:rsidRPr="00030F0F" w:rsidRDefault="000B00C8" w:rsidP="00030F0F">
      <w:pPr>
        <w:spacing w:after="0" w:line="240" w:lineRule="auto"/>
        <w:ind w:left="709" w:right="709"/>
        <w:rPr>
          <w:rFonts w:ascii="Arial" w:hAnsi="Arial" w:cs="Arial"/>
          <w:bCs/>
          <w:sz w:val="21"/>
          <w:szCs w:val="21"/>
          <w:lang w:eastAsia="en-US"/>
        </w:rPr>
      </w:pPr>
    </w:p>
    <w:p w14:paraId="6E4A8A96" w14:textId="420BFE14" w:rsidR="002C51EB" w:rsidRPr="00030F0F" w:rsidRDefault="000B00C8" w:rsidP="00030F0F">
      <w:pPr>
        <w:spacing w:after="0" w:line="240" w:lineRule="auto"/>
        <w:ind w:left="709" w:right="709"/>
        <w:rPr>
          <w:rFonts w:ascii="Arial" w:hAnsi="Arial" w:cs="Arial"/>
          <w:bCs/>
          <w:sz w:val="21"/>
          <w:szCs w:val="21"/>
          <w:lang w:eastAsia="en-US"/>
        </w:rPr>
      </w:pPr>
      <w:r w:rsidRPr="00030F0F">
        <w:rPr>
          <w:rFonts w:ascii="Arial" w:hAnsi="Arial" w:cs="Arial"/>
          <w:bCs/>
          <w:sz w:val="21"/>
          <w:szCs w:val="21"/>
          <w:lang w:eastAsia="en-US"/>
        </w:rPr>
        <w:t xml:space="preserve">Ahora, la Sala no pasa por alto que en el caso concreto el comité de evaluación de la entidad demandada expresamente manifestó que el requisito a subsanar, es decir, la adición de las tarjetas de operación, únicamente lo tendría en cuenta como criterio para la habilitación del proponente y no para su evaluación. A este efecto, </w:t>
      </w:r>
      <w:r w:rsidR="00C53C58" w:rsidRPr="00030F0F">
        <w:rPr>
          <w:rFonts w:ascii="Arial" w:hAnsi="Arial" w:cs="Arial"/>
          <w:bCs/>
          <w:sz w:val="21"/>
          <w:szCs w:val="21"/>
          <w:lang w:eastAsia="en-US"/>
        </w:rPr>
        <w:t>se considera que el comité evaluador del municipio de Pereira modificó las reglas del proceso de selección y creó en el curso del proceso contractual un nuevo criterio para calificar las propuestas, consistente en permitir que un requisito esencial para la evaluación del factor calidad fuese subsanado al entender que este era de aquellos meramente habilitantes como es el número mínimo de cupos garantizados para atender el servicio de transporte a contratar, cuando lo cierto es que de cara al pliego, se trata de aquellos requisitos que incidían en la calificación por cuanto el número de vehículos con que se debía completar el número de cupos mínimo para surtir el objeto contractual tenía incidencia directa en la calificación del factor de calidad, pues esta calificación estaba determinada por el número de vehículos de modelo posterior al año 2008 que porcentualmente participaran en el total de vehículos ofertados. Luego es claro que este factor es de aquellos que no podía ser subsanado, pues tenía incidencia en el puntaje y por ende al haberse permitido al oferente subsanarlo se vulneraron con ello las reglas contenidas en el pliego de condiciones</w:t>
      </w:r>
      <w:r w:rsidR="00C70156" w:rsidRPr="00030F0F">
        <w:rPr>
          <w:rFonts w:ascii="Arial" w:hAnsi="Arial" w:cs="Arial"/>
          <w:bCs/>
          <w:sz w:val="21"/>
          <w:szCs w:val="21"/>
          <w:lang w:eastAsia="en-US"/>
        </w:rPr>
        <w:t>.</w:t>
      </w:r>
    </w:p>
    <w:p w14:paraId="2C420BE4" w14:textId="77777777" w:rsidR="002C51EB" w:rsidRPr="000B00C8" w:rsidRDefault="002C51EB" w:rsidP="002C51EB">
      <w:pPr>
        <w:tabs>
          <w:tab w:val="left" w:pos="0"/>
          <w:tab w:val="left" w:pos="8577"/>
        </w:tabs>
        <w:spacing w:after="0"/>
        <w:rPr>
          <w:rFonts w:ascii="Arial" w:eastAsia="Times New Roman" w:hAnsi="Arial" w:cs="Arial"/>
          <w:color w:val="000000"/>
          <w:shd w:val="clear" w:color="auto" w:fill="FFFFFF"/>
          <w:lang w:eastAsia="es-ES"/>
        </w:rPr>
      </w:pPr>
    </w:p>
    <w:p w14:paraId="3A54A8BD" w14:textId="5C933859" w:rsidR="000605C5" w:rsidRDefault="0083599C" w:rsidP="000605C5">
      <w:pPr>
        <w:pStyle w:val="NormalWeb"/>
      </w:pPr>
      <w:r>
        <w:rPr>
          <w:rFonts w:ascii="Arial" w:eastAsia="Times New Roman" w:hAnsi="Arial" w:cs="Arial"/>
          <w:color w:val="000000"/>
          <w:sz w:val="22"/>
          <w:szCs w:val="22"/>
          <w:shd w:val="clear" w:color="auto" w:fill="FFFFFF"/>
          <w:lang w:eastAsia="es-ES"/>
        </w:rPr>
        <w:t xml:space="preserve">De lo expuesto, se evidencia que la razón para haber declarado la nulidad del acto de adjudicación obedeció a que el comité evaluador cambió las reglas consagradas en el pliego de condiciones las cuales no permitian </w:t>
      </w:r>
      <w:r w:rsidR="00C53C58">
        <w:rPr>
          <w:rFonts w:ascii="Arial" w:eastAsia="Times New Roman" w:hAnsi="Arial" w:cs="Arial"/>
          <w:color w:val="000000"/>
          <w:sz w:val="22"/>
          <w:szCs w:val="22"/>
          <w:shd w:val="clear" w:color="auto" w:fill="FFFFFF"/>
          <w:lang w:eastAsia="es-ES"/>
        </w:rPr>
        <w:t>la subsanación de requisitos habilitantes, cuando los documentos respectivos también pudieran incidir en la asignación de puntaje</w:t>
      </w:r>
      <w:r w:rsidR="00967AF9">
        <w:rPr>
          <w:rFonts w:ascii="Arial" w:eastAsia="Times New Roman" w:hAnsi="Arial" w:cs="Arial"/>
          <w:color w:val="000000"/>
          <w:sz w:val="22"/>
          <w:szCs w:val="22"/>
          <w:shd w:val="clear" w:color="auto" w:fill="FFFFFF"/>
          <w:lang w:eastAsia="es-ES"/>
        </w:rPr>
        <w:t xml:space="preserve">. </w:t>
      </w:r>
      <w:r w:rsidR="000605C5">
        <w:rPr>
          <w:rFonts w:ascii="Arial" w:eastAsia="Times New Roman" w:hAnsi="Arial" w:cs="Arial"/>
          <w:color w:val="000000"/>
          <w:sz w:val="22"/>
          <w:szCs w:val="22"/>
          <w:shd w:val="clear" w:color="auto" w:fill="FFFFFF"/>
          <w:lang w:eastAsia="es-ES"/>
        </w:rPr>
        <w:t>Aunado a lo anterior, en la misma sentencia se advierte que “</w:t>
      </w:r>
      <w:r w:rsidR="000605C5">
        <w:rPr>
          <w:rFonts w:ascii="ArialMT" w:hAnsi="ArialMT"/>
        </w:rPr>
        <w:t xml:space="preserve">al régimen de subsanabilidad de las ofertas, corresponderá al juez del contrato, en cada caso, determinar la normativa aplicable, con el fin de establecer el alcance y las condiciones en las que procede la subsanación de las ofertas” </w:t>
      </w:r>
    </w:p>
    <w:p w14:paraId="3A84B766" w14:textId="0347212A" w:rsidR="00FB4396" w:rsidRDefault="00803E02" w:rsidP="00030F0F">
      <w:pPr>
        <w:tabs>
          <w:tab w:val="left" w:pos="0"/>
          <w:tab w:val="left" w:pos="8577"/>
        </w:tabs>
        <w:spacing w:after="0"/>
        <w:rPr>
          <w:rFonts w:ascii="Arial" w:eastAsia="Times New Roman" w:hAnsi="Arial" w:cs="Arial"/>
          <w:bCs/>
          <w:color w:val="000000"/>
          <w:sz w:val="22"/>
          <w:szCs w:val="22"/>
          <w:shd w:val="clear" w:color="auto" w:fill="FFFFFF"/>
          <w:lang w:eastAsia="es-ES"/>
        </w:rPr>
      </w:pPr>
      <w:r>
        <w:rPr>
          <w:rFonts w:ascii="Arial" w:eastAsia="Times New Roman" w:hAnsi="Arial" w:cs="Arial"/>
          <w:bCs/>
          <w:color w:val="000000"/>
          <w:sz w:val="22"/>
          <w:szCs w:val="22"/>
          <w:shd w:val="clear" w:color="auto" w:fill="FFFFFF"/>
          <w:lang w:eastAsia="es-ES"/>
        </w:rPr>
        <w:t>Por las anteriores razones</w:t>
      </w:r>
      <w:r w:rsidR="00CD6D12">
        <w:rPr>
          <w:rFonts w:ascii="Arial" w:eastAsia="Times New Roman" w:hAnsi="Arial" w:cs="Arial"/>
          <w:bCs/>
          <w:color w:val="000000"/>
          <w:sz w:val="22"/>
          <w:szCs w:val="22"/>
          <w:shd w:val="clear" w:color="auto" w:fill="FFFFFF"/>
          <w:lang w:eastAsia="es-ES"/>
        </w:rPr>
        <w:t>, no existe</w:t>
      </w:r>
      <w:r w:rsidR="000605C5">
        <w:rPr>
          <w:rFonts w:ascii="Arial" w:eastAsia="Times New Roman" w:hAnsi="Arial" w:cs="Arial"/>
          <w:bCs/>
          <w:color w:val="000000"/>
          <w:sz w:val="22"/>
          <w:szCs w:val="22"/>
          <w:shd w:val="clear" w:color="auto" w:fill="FFFFFF"/>
          <w:lang w:eastAsia="es-ES"/>
        </w:rPr>
        <w:t xml:space="preserve"> </w:t>
      </w:r>
      <w:r w:rsidR="00CD6D12">
        <w:rPr>
          <w:rFonts w:ascii="Arial" w:eastAsia="Times New Roman" w:hAnsi="Arial" w:cs="Arial"/>
          <w:bCs/>
          <w:color w:val="000000"/>
          <w:sz w:val="22"/>
          <w:szCs w:val="22"/>
          <w:shd w:val="clear" w:color="auto" w:fill="FFFFFF"/>
          <w:lang w:eastAsia="es-ES"/>
        </w:rPr>
        <w:t>una contradicción entre los planteamientos de la sentencia y las consideraciones expresadas por esta Agencia, en otros</w:t>
      </w:r>
      <w:r>
        <w:rPr>
          <w:rFonts w:ascii="Arial" w:eastAsia="Times New Roman" w:hAnsi="Arial" w:cs="Arial"/>
          <w:bCs/>
          <w:color w:val="000000"/>
          <w:sz w:val="22"/>
          <w:szCs w:val="22"/>
          <w:shd w:val="clear" w:color="auto" w:fill="FFFFFF"/>
          <w:lang w:eastAsia="es-ES"/>
        </w:rPr>
        <w:t xml:space="preserve"> pronunciamientos</w:t>
      </w:r>
      <w:r w:rsidR="00CD6D12">
        <w:rPr>
          <w:rFonts w:ascii="Arial" w:eastAsia="Times New Roman" w:hAnsi="Arial" w:cs="Arial"/>
          <w:bCs/>
          <w:color w:val="000000"/>
          <w:sz w:val="22"/>
          <w:szCs w:val="22"/>
          <w:shd w:val="clear" w:color="auto" w:fill="FFFFFF"/>
          <w:lang w:eastAsia="es-ES"/>
        </w:rPr>
        <w:t>, en el concepto C-281 del 2022.</w:t>
      </w:r>
    </w:p>
    <w:p w14:paraId="4AB46857" w14:textId="25D98432" w:rsidR="00FB4396" w:rsidRDefault="00CD6D12" w:rsidP="00030F0F">
      <w:pPr>
        <w:tabs>
          <w:tab w:val="left" w:pos="0"/>
          <w:tab w:val="left" w:pos="8577"/>
        </w:tabs>
        <w:spacing w:before="120" w:after="0"/>
        <w:ind w:firstLine="709"/>
        <w:rPr>
          <w:rFonts w:ascii="Arial" w:eastAsia="Times New Roman" w:hAnsi="Arial" w:cs="Arial"/>
          <w:bCs/>
          <w:color w:val="000000"/>
          <w:sz w:val="22"/>
          <w:szCs w:val="22"/>
          <w:shd w:val="clear" w:color="auto" w:fill="FFFFFF"/>
          <w:lang w:eastAsia="es-ES"/>
        </w:rPr>
      </w:pPr>
      <w:r>
        <w:rPr>
          <w:rFonts w:ascii="Arial" w:eastAsia="Times New Roman" w:hAnsi="Arial" w:cs="Arial"/>
          <w:bCs/>
          <w:color w:val="000000"/>
          <w:sz w:val="22"/>
          <w:szCs w:val="22"/>
          <w:shd w:val="clear" w:color="auto" w:fill="FFFFFF"/>
          <w:lang w:eastAsia="es-ES"/>
        </w:rPr>
        <w:t>En cualquier caso, esta Subdirección considera pertinente resaltar que, con base en la normativ</w:t>
      </w:r>
      <w:r w:rsidR="00FB4396">
        <w:rPr>
          <w:rFonts w:ascii="Arial" w:eastAsia="Times New Roman" w:hAnsi="Arial" w:cs="Arial"/>
          <w:bCs/>
          <w:color w:val="000000"/>
          <w:sz w:val="22"/>
          <w:szCs w:val="22"/>
          <w:shd w:val="clear" w:color="auto" w:fill="FFFFFF"/>
          <w:lang w:eastAsia="es-ES"/>
        </w:rPr>
        <w:t>a</w:t>
      </w:r>
      <w:r>
        <w:rPr>
          <w:rFonts w:ascii="Arial" w:eastAsia="Times New Roman" w:hAnsi="Arial" w:cs="Arial"/>
          <w:bCs/>
          <w:color w:val="000000"/>
          <w:sz w:val="22"/>
          <w:szCs w:val="22"/>
          <w:shd w:val="clear" w:color="auto" w:fill="FFFFFF"/>
          <w:lang w:eastAsia="es-ES"/>
        </w:rPr>
        <w:t xml:space="preserve"> vigente</w:t>
      </w:r>
      <w:r w:rsidR="006A2F8D">
        <w:rPr>
          <w:rFonts w:ascii="Arial" w:eastAsia="Times New Roman" w:hAnsi="Arial" w:cs="Arial"/>
          <w:bCs/>
          <w:color w:val="000000"/>
          <w:sz w:val="22"/>
          <w:szCs w:val="22"/>
          <w:shd w:val="clear" w:color="auto" w:fill="FFFFFF"/>
          <w:lang w:eastAsia="es-ES"/>
        </w:rPr>
        <w:t xml:space="preserve">, </w:t>
      </w:r>
      <w:r>
        <w:rPr>
          <w:rFonts w:ascii="Arial" w:eastAsia="Times New Roman" w:hAnsi="Arial" w:cs="Arial"/>
          <w:bCs/>
          <w:color w:val="000000"/>
          <w:sz w:val="22"/>
          <w:szCs w:val="22"/>
          <w:shd w:val="clear" w:color="auto" w:fill="FFFFFF"/>
          <w:lang w:eastAsia="es-ES"/>
        </w:rPr>
        <w:t xml:space="preserve">todos los </w:t>
      </w:r>
      <w:r w:rsidR="006A2F8D">
        <w:rPr>
          <w:rFonts w:ascii="Arial" w:eastAsia="Times New Roman" w:hAnsi="Arial" w:cs="Arial"/>
          <w:bCs/>
          <w:color w:val="000000"/>
          <w:sz w:val="22"/>
          <w:szCs w:val="22"/>
          <w:shd w:val="clear" w:color="auto" w:fill="FFFFFF"/>
          <w:lang w:eastAsia="es-ES"/>
        </w:rPr>
        <w:t>r</w:t>
      </w:r>
      <w:r w:rsidR="006A2F8D" w:rsidRPr="006A2F8D">
        <w:rPr>
          <w:rFonts w:ascii="Arial" w:eastAsia="Times New Roman" w:hAnsi="Arial" w:cs="Arial"/>
          <w:bCs/>
          <w:color w:val="000000"/>
          <w:sz w:val="22"/>
          <w:szCs w:val="22"/>
          <w:shd w:val="clear" w:color="auto" w:fill="FFFFFF"/>
          <w:lang w:eastAsia="es-ES"/>
        </w:rPr>
        <w:t xml:space="preserve">equisitos de la propuesta que no afecten la asignación </w:t>
      </w:r>
      <w:r w:rsidR="006A2F8D" w:rsidRPr="006A2F8D">
        <w:rPr>
          <w:rFonts w:ascii="Arial" w:eastAsia="Times New Roman" w:hAnsi="Arial" w:cs="Arial"/>
          <w:bCs/>
          <w:color w:val="000000"/>
          <w:sz w:val="22"/>
          <w:szCs w:val="22"/>
          <w:shd w:val="clear" w:color="auto" w:fill="FFFFFF"/>
          <w:lang w:eastAsia="es-ES"/>
        </w:rPr>
        <w:lastRenderedPageBreak/>
        <w:t>de puntaje deberán ser solicitados por las entidades estatales</w:t>
      </w:r>
      <w:r w:rsidR="006A2F8D">
        <w:rPr>
          <w:rFonts w:ascii="Arial" w:eastAsia="Times New Roman" w:hAnsi="Arial" w:cs="Arial"/>
          <w:bCs/>
          <w:color w:val="000000"/>
          <w:sz w:val="22"/>
          <w:szCs w:val="22"/>
          <w:shd w:val="clear" w:color="auto" w:fill="FFFFFF"/>
          <w:lang w:eastAsia="es-ES"/>
        </w:rPr>
        <w:t xml:space="preserve"> para permitir la subsanación de las ofertas</w:t>
      </w:r>
      <w:r w:rsidR="006A2F8D" w:rsidRPr="006A2F8D">
        <w:rPr>
          <w:rFonts w:ascii="Arial" w:eastAsia="Times New Roman" w:hAnsi="Arial" w:cs="Arial"/>
          <w:bCs/>
          <w:color w:val="000000"/>
          <w:sz w:val="22"/>
          <w:szCs w:val="22"/>
          <w:shd w:val="clear" w:color="auto" w:fill="FFFFFF"/>
          <w:lang w:eastAsia="es-ES"/>
        </w:rPr>
        <w:t>, pues ese es</w:t>
      </w:r>
      <w:r w:rsidR="000605C5">
        <w:rPr>
          <w:rFonts w:ascii="Arial" w:eastAsia="Times New Roman" w:hAnsi="Arial" w:cs="Arial"/>
          <w:bCs/>
          <w:color w:val="000000"/>
          <w:sz w:val="22"/>
          <w:szCs w:val="22"/>
          <w:shd w:val="clear" w:color="auto" w:fill="FFFFFF"/>
          <w:lang w:eastAsia="es-ES"/>
        </w:rPr>
        <w:t xml:space="preserve"> </w:t>
      </w:r>
      <w:r w:rsidR="006A2F8D" w:rsidRPr="006A2F8D">
        <w:rPr>
          <w:rFonts w:ascii="Arial" w:eastAsia="Times New Roman" w:hAnsi="Arial" w:cs="Arial"/>
          <w:bCs/>
          <w:color w:val="000000"/>
          <w:sz w:val="22"/>
          <w:szCs w:val="22"/>
          <w:shd w:val="clear" w:color="auto" w:fill="FFFFFF"/>
          <w:lang w:eastAsia="es-ES"/>
        </w:rPr>
        <w:t>el tenor literal del artículo 5 de la Ley 1150 de 2007, modificado por el artículo 5 de la Ley 1882 del 2018</w:t>
      </w:r>
      <w:r w:rsidR="00FB4396">
        <w:rPr>
          <w:rFonts w:ascii="Arial" w:eastAsia="Times New Roman" w:hAnsi="Arial" w:cs="Arial"/>
          <w:bCs/>
          <w:color w:val="000000"/>
          <w:sz w:val="22"/>
          <w:szCs w:val="22"/>
          <w:shd w:val="clear" w:color="auto" w:fill="FFFFFF"/>
          <w:lang w:eastAsia="es-ES"/>
        </w:rPr>
        <w:t>.</w:t>
      </w:r>
      <w:r w:rsidR="006A2F8D">
        <w:rPr>
          <w:rFonts w:ascii="Arial" w:eastAsia="Times New Roman" w:hAnsi="Arial" w:cs="Arial"/>
          <w:bCs/>
          <w:color w:val="000000"/>
          <w:sz w:val="22"/>
          <w:szCs w:val="22"/>
          <w:shd w:val="clear" w:color="auto" w:fill="FFFFFF"/>
          <w:lang w:eastAsia="es-ES"/>
        </w:rPr>
        <w:t xml:space="preserve"> </w:t>
      </w:r>
      <w:r w:rsidR="00FB4396">
        <w:rPr>
          <w:rFonts w:ascii="Arial" w:eastAsia="Times New Roman" w:hAnsi="Arial" w:cs="Arial"/>
          <w:bCs/>
          <w:color w:val="000000"/>
          <w:sz w:val="22"/>
          <w:szCs w:val="22"/>
          <w:shd w:val="clear" w:color="auto" w:fill="FFFFFF"/>
          <w:lang w:eastAsia="es-ES"/>
        </w:rPr>
        <w:t>D</w:t>
      </w:r>
      <w:r w:rsidR="006A2F8D">
        <w:rPr>
          <w:rFonts w:ascii="Arial" w:eastAsia="Times New Roman" w:hAnsi="Arial" w:cs="Arial"/>
          <w:bCs/>
          <w:color w:val="000000"/>
          <w:sz w:val="22"/>
          <w:szCs w:val="22"/>
          <w:shd w:val="clear" w:color="auto" w:fill="FFFFFF"/>
          <w:lang w:eastAsia="es-ES"/>
        </w:rPr>
        <w:t xml:space="preserve">e </w:t>
      </w:r>
      <w:r w:rsidR="00FB4396">
        <w:rPr>
          <w:rFonts w:ascii="Arial" w:eastAsia="Times New Roman" w:hAnsi="Arial" w:cs="Arial"/>
          <w:bCs/>
          <w:color w:val="000000"/>
          <w:sz w:val="22"/>
          <w:szCs w:val="22"/>
          <w:shd w:val="clear" w:color="auto" w:fill="FFFFFF"/>
          <w:lang w:eastAsia="es-ES"/>
        </w:rPr>
        <w:t>esto se</w:t>
      </w:r>
      <w:r w:rsidR="006A2F8D">
        <w:rPr>
          <w:rFonts w:ascii="Arial" w:eastAsia="Times New Roman" w:hAnsi="Arial" w:cs="Arial"/>
          <w:bCs/>
          <w:color w:val="000000"/>
          <w:sz w:val="22"/>
          <w:szCs w:val="22"/>
          <w:shd w:val="clear" w:color="auto" w:fill="FFFFFF"/>
          <w:lang w:eastAsia="es-ES"/>
        </w:rPr>
        <w:t xml:space="preserve"> sigue que esa fue la voluntad expresa de legislador y que, ante la claridad de la expresión </w:t>
      </w:r>
      <w:r w:rsidR="00FB4396">
        <w:rPr>
          <w:rFonts w:ascii="Arial" w:eastAsia="Times New Roman" w:hAnsi="Arial" w:cs="Arial"/>
          <w:bCs/>
          <w:color w:val="000000"/>
          <w:sz w:val="22"/>
          <w:szCs w:val="22"/>
          <w:shd w:val="clear" w:color="auto" w:fill="FFFFFF"/>
          <w:lang w:eastAsia="es-ES"/>
        </w:rPr>
        <w:t>«</w:t>
      </w:r>
      <w:r w:rsidR="006A2F8D">
        <w:rPr>
          <w:rFonts w:ascii="Arial" w:eastAsia="Times New Roman" w:hAnsi="Arial" w:cs="Arial"/>
          <w:bCs/>
          <w:color w:val="000000"/>
          <w:sz w:val="22"/>
          <w:szCs w:val="22"/>
          <w:shd w:val="clear" w:color="auto" w:fill="FFFFFF"/>
          <w:lang w:eastAsia="es-ES"/>
        </w:rPr>
        <w:t>todos aquellos</w:t>
      </w:r>
      <w:r w:rsidR="00FB4396">
        <w:rPr>
          <w:rFonts w:ascii="Arial" w:eastAsia="Times New Roman" w:hAnsi="Arial" w:cs="Arial"/>
          <w:bCs/>
          <w:color w:val="000000"/>
          <w:sz w:val="22"/>
          <w:szCs w:val="22"/>
          <w:shd w:val="clear" w:color="auto" w:fill="FFFFFF"/>
          <w:lang w:eastAsia="es-ES"/>
        </w:rPr>
        <w:t>»</w:t>
      </w:r>
      <w:r w:rsidR="006A2F8D">
        <w:rPr>
          <w:rFonts w:ascii="Arial" w:eastAsia="Times New Roman" w:hAnsi="Arial" w:cs="Arial"/>
          <w:bCs/>
          <w:color w:val="000000"/>
          <w:sz w:val="22"/>
          <w:szCs w:val="22"/>
          <w:shd w:val="clear" w:color="auto" w:fill="FFFFFF"/>
          <w:lang w:eastAsia="es-ES"/>
        </w:rPr>
        <w:t>, incluida en dicha norma, le está vedado al operador jurídico hacer distinciones para excluir la aplicaci</w:t>
      </w:r>
      <w:r w:rsidR="00933A6C">
        <w:rPr>
          <w:rFonts w:ascii="Arial" w:eastAsia="Times New Roman" w:hAnsi="Arial" w:cs="Arial"/>
          <w:bCs/>
          <w:color w:val="000000"/>
          <w:sz w:val="22"/>
          <w:szCs w:val="22"/>
          <w:shd w:val="clear" w:color="auto" w:fill="FFFFFF"/>
          <w:lang w:eastAsia="es-ES"/>
        </w:rPr>
        <w:t xml:space="preserve">ón de la subsanabilidad en </w:t>
      </w:r>
      <w:r w:rsidR="006A2F8D">
        <w:rPr>
          <w:rFonts w:ascii="Arial" w:eastAsia="Times New Roman" w:hAnsi="Arial" w:cs="Arial"/>
          <w:bCs/>
          <w:color w:val="000000"/>
          <w:sz w:val="22"/>
          <w:szCs w:val="22"/>
          <w:shd w:val="clear" w:color="auto" w:fill="FFFFFF"/>
          <w:lang w:eastAsia="es-ES"/>
        </w:rPr>
        <w:t xml:space="preserve"> caso</w:t>
      </w:r>
      <w:r w:rsidR="00933A6C">
        <w:rPr>
          <w:rFonts w:ascii="Arial" w:eastAsia="Times New Roman" w:hAnsi="Arial" w:cs="Arial"/>
          <w:bCs/>
          <w:color w:val="000000"/>
          <w:sz w:val="22"/>
          <w:szCs w:val="22"/>
          <w:shd w:val="clear" w:color="auto" w:fill="FFFFFF"/>
          <w:lang w:eastAsia="es-ES"/>
        </w:rPr>
        <w:t>s</w:t>
      </w:r>
      <w:r w:rsidR="006A2F8D">
        <w:rPr>
          <w:rFonts w:ascii="Arial" w:eastAsia="Times New Roman" w:hAnsi="Arial" w:cs="Arial"/>
          <w:bCs/>
          <w:color w:val="000000"/>
          <w:sz w:val="22"/>
          <w:szCs w:val="22"/>
          <w:shd w:val="clear" w:color="auto" w:fill="FFFFFF"/>
          <w:lang w:eastAsia="es-ES"/>
        </w:rPr>
        <w:t xml:space="preserve"> </w:t>
      </w:r>
      <w:r w:rsidR="00933A6C">
        <w:rPr>
          <w:rFonts w:ascii="Arial" w:eastAsia="Times New Roman" w:hAnsi="Arial" w:cs="Arial"/>
          <w:bCs/>
          <w:color w:val="000000"/>
          <w:sz w:val="22"/>
          <w:szCs w:val="22"/>
          <w:shd w:val="clear" w:color="auto" w:fill="FFFFFF"/>
          <w:lang w:eastAsia="es-ES"/>
        </w:rPr>
        <w:t>distintos a los que la ley prevé</w:t>
      </w:r>
      <w:r w:rsidR="006A2F8D">
        <w:rPr>
          <w:rFonts w:ascii="Arial" w:eastAsia="Times New Roman" w:hAnsi="Arial" w:cs="Arial"/>
          <w:bCs/>
          <w:color w:val="000000"/>
          <w:sz w:val="22"/>
          <w:szCs w:val="22"/>
          <w:shd w:val="clear" w:color="auto" w:fill="FFFFFF"/>
          <w:lang w:eastAsia="es-ES"/>
        </w:rPr>
        <w:t xml:space="preserve">. </w:t>
      </w:r>
    </w:p>
    <w:p w14:paraId="3E080F9E" w14:textId="42AC66EB" w:rsidR="00E508C3" w:rsidRDefault="006A2F8D" w:rsidP="00030F0F">
      <w:pPr>
        <w:tabs>
          <w:tab w:val="left" w:pos="0"/>
          <w:tab w:val="left" w:pos="8577"/>
        </w:tabs>
        <w:spacing w:before="120" w:after="0"/>
        <w:ind w:firstLine="709"/>
        <w:rPr>
          <w:rFonts w:ascii="Arial" w:eastAsia="Times New Roman" w:hAnsi="Arial" w:cs="Arial"/>
          <w:bCs/>
          <w:color w:val="000000"/>
          <w:sz w:val="22"/>
          <w:szCs w:val="22"/>
          <w:shd w:val="clear" w:color="auto" w:fill="FFFFFF"/>
          <w:lang w:eastAsia="es-ES"/>
        </w:rPr>
      </w:pPr>
      <w:r>
        <w:rPr>
          <w:rFonts w:ascii="Arial" w:eastAsia="Times New Roman" w:hAnsi="Arial" w:cs="Arial"/>
          <w:bCs/>
          <w:color w:val="000000"/>
          <w:sz w:val="22"/>
          <w:szCs w:val="22"/>
          <w:shd w:val="clear" w:color="auto" w:fill="FFFFFF"/>
          <w:lang w:eastAsia="es-ES"/>
        </w:rPr>
        <w:t>A</w:t>
      </w:r>
      <w:r w:rsidR="00FB4396">
        <w:rPr>
          <w:rFonts w:ascii="Arial" w:eastAsia="Times New Roman" w:hAnsi="Arial" w:cs="Arial"/>
          <w:bCs/>
          <w:color w:val="000000"/>
          <w:sz w:val="22"/>
          <w:szCs w:val="22"/>
          <w:shd w:val="clear" w:color="auto" w:fill="FFFFFF"/>
          <w:lang w:eastAsia="es-ES"/>
        </w:rPr>
        <w:t>de</w:t>
      </w:r>
      <w:r>
        <w:rPr>
          <w:rFonts w:ascii="Arial" w:eastAsia="Times New Roman" w:hAnsi="Arial" w:cs="Arial"/>
          <w:bCs/>
          <w:color w:val="000000"/>
          <w:sz w:val="22"/>
          <w:szCs w:val="22"/>
          <w:shd w:val="clear" w:color="auto" w:fill="FFFFFF"/>
          <w:lang w:eastAsia="es-ES"/>
        </w:rPr>
        <w:t xml:space="preserve">más de lo anterior, resulta importante </w:t>
      </w:r>
      <w:r w:rsidR="001E48DF">
        <w:rPr>
          <w:rFonts w:ascii="Arial" w:eastAsia="Times New Roman" w:hAnsi="Arial" w:cs="Arial"/>
          <w:bCs/>
          <w:color w:val="000000"/>
          <w:sz w:val="22"/>
          <w:szCs w:val="22"/>
          <w:shd w:val="clear" w:color="auto" w:fill="FFFFFF"/>
          <w:lang w:eastAsia="es-ES"/>
        </w:rPr>
        <w:t xml:space="preserve">destacar </w:t>
      </w:r>
      <w:r>
        <w:rPr>
          <w:rFonts w:ascii="Arial" w:eastAsia="Times New Roman" w:hAnsi="Arial" w:cs="Arial"/>
          <w:bCs/>
          <w:color w:val="000000"/>
          <w:sz w:val="22"/>
          <w:szCs w:val="22"/>
          <w:shd w:val="clear" w:color="auto" w:fill="FFFFFF"/>
          <w:lang w:eastAsia="es-ES"/>
        </w:rPr>
        <w:t xml:space="preserve">que la línea interpretativa que ha mantenido el </w:t>
      </w:r>
      <w:r w:rsidRPr="006A2F8D">
        <w:rPr>
          <w:rFonts w:ascii="Arial" w:eastAsia="Times New Roman" w:hAnsi="Arial" w:cs="Arial"/>
          <w:bCs/>
          <w:color w:val="000000"/>
          <w:sz w:val="22"/>
          <w:szCs w:val="22"/>
          <w:shd w:val="clear" w:color="auto" w:fill="FFFFFF"/>
          <w:lang w:eastAsia="es-ES"/>
        </w:rPr>
        <w:t xml:space="preserve"> Consejo de Estado</w:t>
      </w:r>
      <w:r>
        <w:rPr>
          <w:rStyle w:val="Refdenotaalpie"/>
          <w:rFonts w:ascii="Arial" w:eastAsia="Times New Roman" w:hAnsi="Arial" w:cs="Arial"/>
          <w:bCs/>
          <w:color w:val="000000"/>
          <w:sz w:val="22"/>
          <w:szCs w:val="22"/>
          <w:shd w:val="clear" w:color="auto" w:fill="FFFFFF"/>
          <w:lang w:eastAsia="es-ES"/>
        </w:rPr>
        <w:footnoteReference w:id="23"/>
      </w:r>
      <w:r>
        <w:rPr>
          <w:rFonts w:ascii="Arial" w:eastAsia="Times New Roman" w:hAnsi="Arial" w:cs="Arial"/>
          <w:bCs/>
          <w:color w:val="000000"/>
          <w:sz w:val="22"/>
          <w:szCs w:val="22"/>
          <w:shd w:val="clear" w:color="auto" w:fill="FFFFFF"/>
          <w:lang w:eastAsia="es-ES"/>
        </w:rPr>
        <w:t xml:space="preserve"> se dirige a comprender la figura de la subsanabilidad de las ofertas –con el alcance que se haya definido en las normas vigentes en un momento determinado</w:t>
      </w:r>
      <w:r w:rsidR="00E508C3">
        <w:rPr>
          <w:rFonts w:ascii="Arial" w:eastAsia="Times New Roman" w:hAnsi="Arial" w:cs="Arial"/>
          <w:bCs/>
          <w:color w:val="000000"/>
          <w:sz w:val="22"/>
          <w:szCs w:val="22"/>
          <w:shd w:val="clear" w:color="auto" w:fill="FFFFFF"/>
          <w:lang w:eastAsia="es-ES"/>
        </w:rPr>
        <w:t>–</w:t>
      </w:r>
      <w:r>
        <w:rPr>
          <w:rFonts w:ascii="Arial" w:eastAsia="Times New Roman" w:hAnsi="Arial" w:cs="Arial"/>
          <w:bCs/>
          <w:color w:val="000000"/>
          <w:sz w:val="22"/>
          <w:szCs w:val="22"/>
          <w:shd w:val="clear" w:color="auto" w:fill="FFFFFF"/>
          <w:lang w:eastAsia="es-ES"/>
        </w:rPr>
        <w:t>, como parte del principio de selección objetiva y como una manifestación de la prevalencia del derecho sustancial sobre el procesal, de obligada aplicación, en virtud de lo previsto en el artículo</w:t>
      </w:r>
      <w:r w:rsidR="00612834">
        <w:rPr>
          <w:rFonts w:ascii="Arial" w:eastAsia="Times New Roman" w:hAnsi="Arial" w:cs="Arial"/>
          <w:bCs/>
          <w:color w:val="000000"/>
          <w:sz w:val="22"/>
          <w:szCs w:val="22"/>
          <w:shd w:val="clear" w:color="auto" w:fill="FFFFFF"/>
          <w:lang w:eastAsia="es-ES"/>
        </w:rPr>
        <w:t xml:space="preserve"> 228</w:t>
      </w:r>
      <w:r>
        <w:rPr>
          <w:rFonts w:ascii="Arial" w:eastAsia="Times New Roman" w:hAnsi="Arial" w:cs="Arial"/>
          <w:bCs/>
          <w:color w:val="000000"/>
          <w:sz w:val="22"/>
          <w:szCs w:val="22"/>
          <w:shd w:val="clear" w:color="auto" w:fill="FFFFFF"/>
          <w:lang w:eastAsia="es-ES"/>
        </w:rPr>
        <w:t xml:space="preserve"> de la Constitución Pol</w:t>
      </w:r>
      <w:r w:rsidR="00AA2F74">
        <w:rPr>
          <w:rFonts w:ascii="Arial" w:eastAsia="Times New Roman" w:hAnsi="Arial" w:cs="Arial"/>
          <w:bCs/>
          <w:color w:val="000000"/>
          <w:sz w:val="22"/>
          <w:szCs w:val="22"/>
          <w:shd w:val="clear" w:color="auto" w:fill="FFFFFF"/>
          <w:lang w:eastAsia="es-ES"/>
        </w:rPr>
        <w:t>ítica y en el artículo 25 de la Ley 80 de 1993</w:t>
      </w:r>
      <w:r w:rsidR="00E508C3">
        <w:rPr>
          <w:rFonts w:ascii="Arial" w:eastAsia="Times New Roman" w:hAnsi="Arial" w:cs="Arial"/>
          <w:bCs/>
          <w:color w:val="000000"/>
          <w:sz w:val="22"/>
          <w:szCs w:val="22"/>
          <w:shd w:val="clear" w:color="auto" w:fill="FFFFFF"/>
          <w:lang w:eastAsia="es-ES"/>
        </w:rPr>
        <w:t>.</w:t>
      </w:r>
      <w:r w:rsidR="00AA2F74">
        <w:rPr>
          <w:rFonts w:ascii="Arial" w:eastAsia="Times New Roman" w:hAnsi="Arial" w:cs="Arial"/>
          <w:bCs/>
          <w:color w:val="000000"/>
          <w:sz w:val="22"/>
          <w:szCs w:val="22"/>
          <w:shd w:val="clear" w:color="auto" w:fill="FFFFFF"/>
          <w:lang w:eastAsia="es-ES"/>
        </w:rPr>
        <w:t xml:space="preserve"> </w:t>
      </w:r>
      <w:r w:rsidR="00E508C3">
        <w:rPr>
          <w:rFonts w:ascii="Arial" w:eastAsia="Times New Roman" w:hAnsi="Arial" w:cs="Arial"/>
          <w:bCs/>
          <w:color w:val="000000"/>
          <w:sz w:val="22"/>
          <w:szCs w:val="22"/>
          <w:shd w:val="clear" w:color="auto" w:fill="FFFFFF"/>
          <w:lang w:eastAsia="es-ES"/>
        </w:rPr>
        <w:t xml:space="preserve">De </w:t>
      </w:r>
      <w:r>
        <w:rPr>
          <w:rFonts w:ascii="Arial" w:eastAsia="Times New Roman" w:hAnsi="Arial" w:cs="Arial"/>
          <w:bCs/>
          <w:color w:val="000000"/>
          <w:sz w:val="22"/>
          <w:szCs w:val="22"/>
          <w:shd w:val="clear" w:color="auto" w:fill="FFFFFF"/>
          <w:lang w:eastAsia="es-ES"/>
        </w:rPr>
        <w:t>modo que</w:t>
      </w:r>
      <w:r w:rsidR="00AA2F74">
        <w:rPr>
          <w:rFonts w:ascii="Arial" w:eastAsia="Times New Roman" w:hAnsi="Arial" w:cs="Arial"/>
          <w:bCs/>
          <w:color w:val="000000"/>
          <w:sz w:val="22"/>
          <w:szCs w:val="22"/>
          <w:shd w:val="clear" w:color="auto" w:fill="FFFFFF"/>
          <w:lang w:eastAsia="es-ES"/>
        </w:rPr>
        <w:t xml:space="preserve"> también esa Corporación ha entendido, de forma general, que debe permitirse subsanar en todos los casos en que la normativ</w:t>
      </w:r>
      <w:r w:rsidR="00E508C3">
        <w:rPr>
          <w:rFonts w:ascii="Arial" w:eastAsia="Times New Roman" w:hAnsi="Arial" w:cs="Arial"/>
          <w:bCs/>
          <w:color w:val="000000"/>
          <w:sz w:val="22"/>
          <w:szCs w:val="22"/>
          <w:shd w:val="clear" w:color="auto" w:fill="FFFFFF"/>
          <w:lang w:eastAsia="es-ES"/>
        </w:rPr>
        <w:t>a</w:t>
      </w:r>
      <w:r w:rsidR="00AA2F74">
        <w:rPr>
          <w:rFonts w:ascii="Arial" w:eastAsia="Times New Roman" w:hAnsi="Arial" w:cs="Arial"/>
          <w:bCs/>
          <w:color w:val="000000"/>
          <w:sz w:val="22"/>
          <w:szCs w:val="22"/>
          <w:shd w:val="clear" w:color="auto" w:fill="FFFFFF"/>
          <w:lang w:eastAsia="es-ES"/>
        </w:rPr>
        <w:t xml:space="preserve"> vigente lo permita, por lo cual una interpretación en la que se restrinja su ejercicio </w:t>
      </w:r>
      <w:r w:rsidR="00E508C3">
        <w:rPr>
          <w:rFonts w:ascii="Arial" w:eastAsia="Times New Roman" w:hAnsi="Arial" w:cs="Arial"/>
          <w:bCs/>
          <w:color w:val="000000"/>
          <w:sz w:val="22"/>
          <w:szCs w:val="22"/>
          <w:shd w:val="clear" w:color="auto" w:fill="FFFFFF"/>
          <w:lang w:eastAsia="es-ES"/>
        </w:rPr>
        <w:t xml:space="preserve">en </w:t>
      </w:r>
      <w:r w:rsidR="00AA2F74">
        <w:rPr>
          <w:rFonts w:ascii="Arial" w:eastAsia="Times New Roman" w:hAnsi="Arial" w:cs="Arial"/>
          <w:bCs/>
          <w:color w:val="000000"/>
          <w:sz w:val="22"/>
          <w:szCs w:val="22"/>
          <w:shd w:val="clear" w:color="auto" w:fill="FFFFFF"/>
          <w:lang w:eastAsia="es-ES"/>
        </w:rPr>
        <w:t>circunstancias distintas a las fijada en la ley sería contraria a tales postulados</w:t>
      </w:r>
      <w:r w:rsidR="00C74854">
        <w:rPr>
          <w:rStyle w:val="Refdenotaalpie"/>
          <w:rFonts w:ascii="Arial" w:eastAsia="Times New Roman" w:hAnsi="Arial" w:cs="Arial"/>
          <w:bCs/>
          <w:color w:val="000000"/>
          <w:sz w:val="22"/>
          <w:szCs w:val="22"/>
          <w:shd w:val="clear" w:color="auto" w:fill="FFFFFF"/>
          <w:lang w:eastAsia="es-ES"/>
        </w:rPr>
        <w:footnoteReference w:id="24"/>
      </w:r>
      <w:r w:rsidR="00E508C3">
        <w:rPr>
          <w:rFonts w:ascii="Arial" w:eastAsia="Times New Roman" w:hAnsi="Arial" w:cs="Arial"/>
          <w:bCs/>
          <w:color w:val="000000"/>
          <w:sz w:val="22"/>
          <w:szCs w:val="22"/>
          <w:shd w:val="clear" w:color="auto" w:fill="FFFFFF"/>
          <w:lang w:eastAsia="es-ES"/>
        </w:rPr>
        <w:t>.</w:t>
      </w:r>
    </w:p>
    <w:p w14:paraId="3AEA5D9E" w14:textId="5850D113" w:rsidR="00E508C3" w:rsidRPr="00933A6C" w:rsidRDefault="00933A6C" w:rsidP="00030F0F">
      <w:pPr>
        <w:tabs>
          <w:tab w:val="left" w:pos="0"/>
          <w:tab w:val="left" w:pos="8577"/>
        </w:tabs>
        <w:spacing w:before="120" w:after="0"/>
        <w:ind w:firstLine="709"/>
        <w:rPr>
          <w:rFonts w:ascii="Arial" w:eastAsia="Times New Roman" w:hAnsi="Arial" w:cs="Arial"/>
          <w:bCs/>
          <w:color w:val="000000"/>
          <w:sz w:val="22"/>
          <w:szCs w:val="22"/>
          <w:shd w:val="clear" w:color="auto" w:fill="FFFFFF"/>
          <w:lang w:eastAsia="es-ES"/>
        </w:rPr>
      </w:pPr>
      <w:r>
        <w:rPr>
          <w:rFonts w:ascii="Arial" w:eastAsia="Times New Roman" w:hAnsi="Arial" w:cs="Arial"/>
          <w:bCs/>
          <w:color w:val="000000"/>
          <w:sz w:val="22"/>
          <w:szCs w:val="22"/>
          <w:shd w:val="clear" w:color="auto" w:fill="FFFFFF"/>
          <w:lang w:eastAsia="es-ES"/>
        </w:rPr>
        <w:t xml:space="preserve">Por todo lo anterior, la interpretación según la cual cuando </w:t>
      </w:r>
      <w:r w:rsidRPr="00933A6C">
        <w:rPr>
          <w:rFonts w:ascii="Arial" w:eastAsia="Times New Roman" w:hAnsi="Arial" w:cs="Arial"/>
          <w:bCs/>
          <w:color w:val="000000"/>
          <w:sz w:val="22"/>
          <w:szCs w:val="22"/>
          <w:shd w:val="clear" w:color="auto" w:fill="FFFFFF"/>
          <w:lang w:eastAsia="es-ES"/>
        </w:rPr>
        <w:t>el contenido de un documento pueda usarse para acreditar requisitos habilitantes y</w:t>
      </w:r>
      <w:r>
        <w:rPr>
          <w:rFonts w:ascii="Arial" w:eastAsia="Times New Roman" w:hAnsi="Arial" w:cs="Arial"/>
          <w:bCs/>
          <w:color w:val="000000"/>
          <w:sz w:val="22"/>
          <w:szCs w:val="22"/>
          <w:shd w:val="clear" w:color="auto" w:fill="FFFFFF"/>
          <w:lang w:eastAsia="es-ES"/>
        </w:rPr>
        <w:t xml:space="preserve"> a la vez para acreditar factores de ponderación</w:t>
      </w:r>
      <w:r w:rsidR="003C2788">
        <w:rPr>
          <w:rFonts w:ascii="Arial" w:eastAsia="Times New Roman" w:hAnsi="Arial" w:cs="Arial"/>
          <w:bCs/>
          <w:color w:val="000000"/>
          <w:sz w:val="22"/>
          <w:szCs w:val="22"/>
          <w:shd w:val="clear" w:color="auto" w:fill="FFFFFF"/>
          <w:lang w:eastAsia="es-ES"/>
        </w:rPr>
        <w:t xml:space="preserve">, </w:t>
      </w:r>
      <w:r>
        <w:rPr>
          <w:rFonts w:ascii="Arial" w:eastAsia="Times New Roman" w:hAnsi="Arial" w:cs="Arial"/>
          <w:bCs/>
          <w:color w:val="000000"/>
          <w:sz w:val="22"/>
          <w:szCs w:val="22"/>
          <w:shd w:val="clear" w:color="auto" w:fill="FFFFFF"/>
          <w:lang w:eastAsia="es-ES"/>
        </w:rPr>
        <w:t>se debe</w:t>
      </w:r>
      <w:r w:rsidRPr="00933A6C">
        <w:rPr>
          <w:rFonts w:ascii="Arial" w:eastAsia="Times New Roman" w:hAnsi="Arial" w:cs="Arial"/>
          <w:bCs/>
          <w:color w:val="000000"/>
          <w:sz w:val="22"/>
          <w:szCs w:val="22"/>
          <w:shd w:val="clear" w:color="auto" w:fill="FFFFFF"/>
          <w:lang w:eastAsia="es-ES"/>
        </w:rPr>
        <w:t xml:space="preserve"> excluir la posibilidad de subsanar los primeros</w:t>
      </w:r>
      <w:r>
        <w:rPr>
          <w:rFonts w:ascii="Arial" w:eastAsia="Times New Roman" w:hAnsi="Arial" w:cs="Arial"/>
          <w:bCs/>
          <w:color w:val="000000"/>
          <w:sz w:val="22"/>
          <w:szCs w:val="22"/>
          <w:shd w:val="clear" w:color="auto" w:fill="FFFFFF"/>
          <w:lang w:eastAsia="es-ES"/>
        </w:rPr>
        <w:t xml:space="preserve">, no resulta ajustada a la reglas fijada en el artículo 5 de la Ley 1150 de 2007, modificado por el artículo 5 de la Ley 1882 del 2018, pues, restringe el derecho de los proponente y con ello su posibilidad de </w:t>
      </w:r>
      <w:r w:rsidRPr="00933A6C">
        <w:rPr>
          <w:rFonts w:ascii="Arial" w:eastAsia="Times New Roman" w:hAnsi="Arial" w:cs="Arial"/>
          <w:bCs/>
          <w:color w:val="000000"/>
          <w:sz w:val="22"/>
          <w:szCs w:val="22"/>
          <w:shd w:val="clear" w:color="auto" w:fill="FFFFFF"/>
          <w:lang w:eastAsia="es-ES"/>
        </w:rPr>
        <w:t>pasar a la etapa de calificación</w:t>
      </w:r>
      <w:r>
        <w:rPr>
          <w:rFonts w:ascii="Arial" w:eastAsia="Times New Roman" w:hAnsi="Arial" w:cs="Arial"/>
          <w:bCs/>
          <w:color w:val="000000"/>
          <w:sz w:val="22"/>
          <w:szCs w:val="22"/>
          <w:shd w:val="clear" w:color="auto" w:fill="FFFFFF"/>
          <w:lang w:eastAsia="es-ES"/>
        </w:rPr>
        <w:t>, en la cual, se insiste, no podrían tenerse en cuenta los documentos subsanados, para la asignación de puntaje</w:t>
      </w:r>
      <w:r w:rsidR="00E508C3">
        <w:rPr>
          <w:rFonts w:ascii="Arial" w:eastAsia="Times New Roman" w:hAnsi="Arial" w:cs="Arial"/>
          <w:bCs/>
          <w:color w:val="000000"/>
          <w:sz w:val="22"/>
          <w:szCs w:val="22"/>
          <w:shd w:val="clear" w:color="auto" w:fill="FFFFFF"/>
          <w:lang w:eastAsia="es-ES"/>
        </w:rPr>
        <w:t>.</w:t>
      </w:r>
      <w:r w:rsidRPr="00933A6C">
        <w:rPr>
          <w:rFonts w:ascii="Arial" w:eastAsia="Times New Roman" w:hAnsi="Arial" w:cs="Arial"/>
          <w:bCs/>
          <w:color w:val="000000"/>
          <w:sz w:val="22"/>
          <w:szCs w:val="22"/>
          <w:shd w:val="clear" w:color="auto" w:fill="FFFFFF"/>
          <w:lang w:eastAsia="es-ES"/>
        </w:rPr>
        <w:t xml:space="preserve"> </w:t>
      </w:r>
    </w:p>
    <w:p w14:paraId="161B810B" w14:textId="2DEA4D43" w:rsidR="003C2788" w:rsidRPr="003C2788" w:rsidRDefault="003C2788" w:rsidP="00030F0F">
      <w:pPr>
        <w:tabs>
          <w:tab w:val="left" w:pos="0"/>
          <w:tab w:val="left" w:pos="8577"/>
        </w:tabs>
        <w:spacing w:before="120" w:after="0"/>
        <w:ind w:firstLine="709"/>
        <w:rPr>
          <w:rFonts w:ascii="Arial" w:eastAsia="Arial" w:hAnsi="Arial" w:cs="Arial"/>
          <w:bCs/>
          <w:color w:val="000000"/>
          <w:sz w:val="22"/>
          <w:szCs w:val="22"/>
        </w:rPr>
      </w:pPr>
      <w:r w:rsidRPr="003C2788">
        <w:rPr>
          <w:rFonts w:ascii="Arial" w:eastAsia="Arial" w:hAnsi="Arial" w:cs="Arial"/>
          <w:color w:val="000000"/>
          <w:sz w:val="22"/>
          <w:szCs w:val="22"/>
        </w:rPr>
        <w:t>En conclusión</w:t>
      </w:r>
      <w:r>
        <w:rPr>
          <w:rFonts w:ascii="Arial" w:eastAsia="Arial" w:hAnsi="Arial" w:cs="Arial"/>
          <w:color w:val="000000"/>
          <w:sz w:val="22"/>
          <w:szCs w:val="22"/>
        </w:rPr>
        <w:t xml:space="preserve">, para esta Subdirección resulta claro que la interpretación que más respeta el espíritu del artículo 5 de la Ley 1150 de 2007, modificada por el artículo 5 de la Ley 1882 del 2018, es aquella en la que se entiende que es </w:t>
      </w:r>
      <w:r w:rsidRPr="003C2788">
        <w:rPr>
          <w:rFonts w:ascii="Arial" w:eastAsia="Arial" w:hAnsi="Arial" w:cs="Arial"/>
          <w:bCs/>
          <w:color w:val="000000"/>
          <w:sz w:val="22"/>
          <w:szCs w:val="22"/>
        </w:rPr>
        <w:t xml:space="preserve">procedente subsanar las ofertas en relación con documentos a través de los cuales se acrediten al mismo tiempo </w:t>
      </w:r>
      <w:r w:rsidRPr="003C2788">
        <w:rPr>
          <w:rFonts w:ascii="Arial" w:eastAsia="Arial" w:hAnsi="Arial" w:cs="Arial"/>
          <w:bCs/>
          <w:color w:val="000000"/>
          <w:sz w:val="22"/>
          <w:szCs w:val="22"/>
        </w:rPr>
        <w:lastRenderedPageBreak/>
        <w:t>requisitos habilitantes y factores de ponderación, siempre que el documento subsanado no sea tenido en cuent</w:t>
      </w:r>
      <w:r w:rsidR="009757FB">
        <w:rPr>
          <w:rFonts w:ascii="Arial" w:eastAsia="Arial" w:hAnsi="Arial" w:cs="Arial"/>
          <w:bCs/>
          <w:color w:val="000000"/>
          <w:sz w:val="22"/>
          <w:szCs w:val="22"/>
        </w:rPr>
        <w:t>a para la asignación de puntaje.</w:t>
      </w:r>
    </w:p>
    <w:p w14:paraId="622BF8F8" w14:textId="47F1AF95" w:rsidR="003C2788" w:rsidRPr="003C2788" w:rsidRDefault="003C2788" w:rsidP="003C2788">
      <w:pPr>
        <w:tabs>
          <w:tab w:val="left" w:pos="0"/>
          <w:tab w:val="left" w:pos="8577"/>
        </w:tabs>
        <w:spacing w:after="0"/>
        <w:ind w:firstLine="709"/>
        <w:rPr>
          <w:rFonts w:ascii="Arial" w:eastAsia="Arial" w:hAnsi="Arial" w:cs="Arial"/>
          <w:color w:val="FFFFFF" w:themeColor="background1"/>
          <w:sz w:val="22"/>
          <w:szCs w:val="22"/>
        </w:rPr>
      </w:pPr>
    </w:p>
    <w:p w14:paraId="734FFAC2" w14:textId="7F206340" w:rsidR="00871181" w:rsidRPr="003C2788" w:rsidRDefault="007F7DA6" w:rsidP="00030F0F">
      <w:pPr>
        <w:tabs>
          <w:tab w:val="left" w:pos="0"/>
          <w:tab w:val="left" w:pos="8577"/>
        </w:tabs>
        <w:spacing w:after="0"/>
        <w:rPr>
          <w:rFonts w:ascii="Arial" w:eastAsia="Arial" w:hAnsi="Arial" w:cs="Arial"/>
          <w:b/>
          <w:color w:val="000000"/>
          <w:sz w:val="22"/>
          <w:szCs w:val="22"/>
        </w:rPr>
      </w:pPr>
      <w:r>
        <w:rPr>
          <w:rFonts w:ascii="Arial" w:eastAsia="Arial" w:hAnsi="Arial" w:cs="Arial"/>
          <w:b/>
          <w:color w:val="000000"/>
          <w:sz w:val="22"/>
          <w:szCs w:val="22"/>
        </w:rPr>
        <w:t xml:space="preserve">3. </w:t>
      </w:r>
      <w:r w:rsidR="003E3EF7" w:rsidRPr="003C2788">
        <w:rPr>
          <w:rFonts w:ascii="Arial" w:eastAsia="Arial" w:hAnsi="Arial" w:cs="Arial"/>
          <w:b/>
          <w:color w:val="000000"/>
          <w:sz w:val="22"/>
          <w:szCs w:val="22"/>
        </w:rPr>
        <w:t>Respuesta</w:t>
      </w:r>
    </w:p>
    <w:p w14:paraId="47996DF3" w14:textId="5A125013" w:rsidR="00897E75" w:rsidRPr="003C2788" w:rsidRDefault="00897E75" w:rsidP="002C51EB">
      <w:pPr>
        <w:spacing w:after="0"/>
        <w:ind w:left="709" w:right="709"/>
        <w:rPr>
          <w:rFonts w:ascii="Arial" w:eastAsia="Arial" w:hAnsi="Arial" w:cs="Arial"/>
          <w:color w:val="000000"/>
          <w:sz w:val="21"/>
          <w:szCs w:val="21"/>
        </w:rPr>
      </w:pPr>
    </w:p>
    <w:p w14:paraId="35A2822B" w14:textId="21C789C7" w:rsidR="003C2788" w:rsidRPr="003C2788" w:rsidRDefault="003C2788" w:rsidP="009757FB">
      <w:pPr>
        <w:spacing w:after="0"/>
        <w:ind w:left="709"/>
        <w:rPr>
          <w:rFonts w:ascii="Arial" w:eastAsia="Arial" w:hAnsi="Arial" w:cs="Arial"/>
          <w:color w:val="000000"/>
          <w:sz w:val="21"/>
          <w:szCs w:val="21"/>
        </w:rPr>
      </w:pPr>
      <w:bookmarkStart w:id="3" w:name="_2grqrue" w:colFirst="0" w:colLast="0"/>
      <w:bookmarkEnd w:id="3"/>
      <w:r w:rsidRPr="003C2788">
        <w:rPr>
          <w:rFonts w:ascii="Arial" w:eastAsia="Arial" w:hAnsi="Arial" w:cs="Arial"/>
          <w:color w:val="000000"/>
          <w:sz w:val="21"/>
          <w:szCs w:val="21"/>
        </w:rPr>
        <w:t>¿un requisito que tiene doble connotación de habilitante y puntuable puede subsanarse?</w:t>
      </w:r>
    </w:p>
    <w:p w14:paraId="36688AEE" w14:textId="77777777" w:rsidR="003C2788" w:rsidRPr="003C2788" w:rsidRDefault="003C2788" w:rsidP="003C2788">
      <w:pPr>
        <w:spacing w:after="0"/>
        <w:rPr>
          <w:rFonts w:ascii="Arial" w:eastAsia="Arial" w:hAnsi="Arial" w:cs="Arial"/>
          <w:color w:val="000000"/>
          <w:sz w:val="21"/>
          <w:szCs w:val="21"/>
        </w:rPr>
      </w:pPr>
    </w:p>
    <w:p w14:paraId="4289EC27" w14:textId="34D65006" w:rsidR="009757FB" w:rsidRPr="009757FB" w:rsidRDefault="003C2788" w:rsidP="009757FB">
      <w:pPr>
        <w:spacing w:after="0"/>
        <w:rPr>
          <w:rFonts w:ascii="Arial" w:eastAsia="Arial" w:hAnsi="Arial" w:cs="Arial"/>
          <w:bCs/>
          <w:color w:val="000000"/>
          <w:sz w:val="22"/>
          <w:szCs w:val="22"/>
        </w:rPr>
      </w:pPr>
      <w:r>
        <w:rPr>
          <w:rFonts w:ascii="Arial" w:eastAsia="Arial" w:hAnsi="Arial" w:cs="Arial"/>
          <w:color w:val="000000"/>
          <w:sz w:val="22"/>
          <w:szCs w:val="22"/>
        </w:rPr>
        <w:t xml:space="preserve">Teniendo en cuenta </w:t>
      </w:r>
      <w:r w:rsidR="007F7DA6">
        <w:rPr>
          <w:rFonts w:ascii="Arial" w:eastAsia="Arial" w:hAnsi="Arial" w:cs="Arial"/>
          <w:color w:val="000000"/>
          <w:sz w:val="22"/>
          <w:szCs w:val="22"/>
        </w:rPr>
        <w:t xml:space="preserve">que </w:t>
      </w:r>
      <w:r>
        <w:rPr>
          <w:rFonts w:ascii="Arial" w:eastAsia="Arial" w:hAnsi="Arial" w:cs="Arial"/>
          <w:color w:val="000000"/>
          <w:sz w:val="22"/>
          <w:szCs w:val="22"/>
        </w:rPr>
        <w:t>el texto del artículo 5 de la Ley 1150 de 2007, modificado por el artículo 5 de la Ley 1882 de 2018</w:t>
      </w:r>
      <w:r w:rsidR="007F7DA6">
        <w:rPr>
          <w:rFonts w:ascii="Arial" w:eastAsia="Arial" w:hAnsi="Arial" w:cs="Arial"/>
          <w:color w:val="000000"/>
          <w:sz w:val="22"/>
          <w:szCs w:val="22"/>
        </w:rPr>
        <w:t>,</w:t>
      </w:r>
      <w:r>
        <w:rPr>
          <w:rFonts w:ascii="Arial" w:eastAsia="Arial" w:hAnsi="Arial" w:cs="Arial"/>
          <w:color w:val="000000"/>
          <w:sz w:val="22"/>
          <w:szCs w:val="22"/>
        </w:rPr>
        <w:t xml:space="preserve"> prevé expresamente que</w:t>
      </w:r>
      <w:r w:rsidRPr="003C2788">
        <w:rPr>
          <w:rFonts w:ascii="Arial" w:eastAsia="Times New Roman" w:hAnsi="Arial" w:cs="Arial"/>
          <w:bCs/>
          <w:color w:val="000000"/>
          <w:sz w:val="22"/>
          <w:szCs w:val="22"/>
          <w:shd w:val="clear" w:color="auto" w:fill="FFFFFF"/>
          <w:lang w:eastAsia="es-ES"/>
        </w:rPr>
        <w:t xml:space="preserve"> </w:t>
      </w:r>
      <w:r>
        <w:rPr>
          <w:rFonts w:ascii="Arial" w:eastAsia="Arial" w:hAnsi="Arial" w:cs="Arial"/>
          <w:bCs/>
          <w:color w:val="000000"/>
          <w:sz w:val="22"/>
          <w:szCs w:val="22"/>
        </w:rPr>
        <w:t xml:space="preserve">todos aquellos requisitos que no afecten la asignación de puntajes tienen la condición de subsanables, excepción hecha de la garantía de seriedad de la oferta, al operador jurídico le está vedado incluir excepciones adicionales. En esas condiciones, si un mismo documento sirve para acreditar requisitos habilitantes </w:t>
      </w:r>
      <w:r w:rsidR="009757FB">
        <w:rPr>
          <w:rFonts w:ascii="Arial" w:eastAsia="Arial" w:hAnsi="Arial" w:cs="Arial"/>
          <w:bCs/>
          <w:color w:val="000000"/>
          <w:sz w:val="22"/>
          <w:szCs w:val="22"/>
        </w:rPr>
        <w:t xml:space="preserve">y para demostrar factores de ponderación, se debe entender que es posible la subsanación, únicamente, en relación con los primeros, es decir, que es </w:t>
      </w:r>
      <w:r w:rsidR="009757FB" w:rsidRPr="009757FB">
        <w:rPr>
          <w:rFonts w:ascii="Arial" w:eastAsia="Arial" w:hAnsi="Arial" w:cs="Arial"/>
          <w:bCs/>
          <w:color w:val="000000"/>
          <w:sz w:val="22"/>
          <w:szCs w:val="22"/>
        </w:rPr>
        <w:t>procedente subsanar las ofertas en relación con documentos a través de los cuales se acrediten al mismo tiempo requisitos habilitantes y factores de ponderación, siempre que el documento subsanado no sea tenido en cuenta para la asignación de puntaje.</w:t>
      </w:r>
    </w:p>
    <w:p w14:paraId="457F8CEF" w14:textId="77777777" w:rsidR="009757FB" w:rsidRDefault="009757FB" w:rsidP="002C51EB">
      <w:pPr>
        <w:spacing w:after="0"/>
        <w:rPr>
          <w:rFonts w:ascii="Arial" w:eastAsia="Arial" w:hAnsi="Arial" w:cs="Arial"/>
          <w:color w:val="000000"/>
          <w:sz w:val="22"/>
          <w:szCs w:val="22"/>
        </w:rPr>
      </w:pPr>
    </w:p>
    <w:p w14:paraId="38D709B1" w14:textId="751BC5C8" w:rsidR="00871181" w:rsidRPr="006A06F2" w:rsidRDefault="003E3EF7" w:rsidP="002C51EB">
      <w:pPr>
        <w:spacing w:after="0"/>
        <w:rPr>
          <w:rFonts w:ascii="Arial" w:eastAsia="Arial" w:hAnsi="Arial" w:cs="Arial"/>
          <w:color w:val="000000"/>
          <w:sz w:val="22"/>
          <w:szCs w:val="22"/>
        </w:rPr>
      </w:pPr>
      <w:r w:rsidRPr="006A06F2">
        <w:rPr>
          <w:rFonts w:ascii="Arial" w:eastAsia="Arial" w:hAnsi="Arial" w:cs="Arial"/>
          <w:color w:val="000000"/>
          <w:sz w:val="22"/>
          <w:szCs w:val="22"/>
        </w:rPr>
        <w:t>Este concepto tiene el alcance previsto en el artículo 28 del Código de Procedimiento Administrativo y de lo Contencioso Administrativo.</w:t>
      </w:r>
    </w:p>
    <w:p w14:paraId="52F6E176" w14:textId="77777777" w:rsidR="00F65C6A" w:rsidRDefault="00F65C6A" w:rsidP="002C51EB">
      <w:pPr>
        <w:spacing w:after="0"/>
        <w:rPr>
          <w:rFonts w:ascii="Arial" w:eastAsia="Arial" w:hAnsi="Arial" w:cs="Arial"/>
          <w:color w:val="000000"/>
          <w:sz w:val="22"/>
          <w:szCs w:val="22"/>
        </w:rPr>
      </w:pPr>
    </w:p>
    <w:p w14:paraId="0A5D2706" w14:textId="64345E6E" w:rsidR="00F65C6A" w:rsidRPr="00C479B0" w:rsidRDefault="00F65C6A" w:rsidP="002C51EB">
      <w:pPr>
        <w:spacing w:after="0"/>
        <w:rPr>
          <w:rFonts w:ascii="Arial" w:eastAsia="Arial" w:hAnsi="Arial" w:cs="Arial"/>
          <w:color w:val="000000"/>
          <w:sz w:val="22"/>
          <w:szCs w:val="22"/>
        </w:rPr>
      </w:pPr>
      <w:r w:rsidRPr="00C479B0">
        <w:rPr>
          <w:rFonts w:ascii="Arial" w:eastAsia="Arial" w:hAnsi="Arial" w:cs="Arial"/>
          <w:color w:val="000000"/>
          <w:sz w:val="22"/>
          <w:szCs w:val="22"/>
        </w:rPr>
        <w:t>Atentamente,</w:t>
      </w:r>
    </w:p>
    <w:p w14:paraId="55525100" w14:textId="00C50FA6" w:rsidR="00326817" w:rsidRDefault="00326817" w:rsidP="00030F0F">
      <w:pPr>
        <w:spacing w:after="0"/>
        <w:jc w:val="center"/>
        <w:rPr>
          <w:rFonts w:ascii="Arial" w:eastAsia="Arial" w:hAnsi="Arial" w:cs="Arial"/>
          <w:color w:val="000000"/>
          <w:sz w:val="22"/>
          <w:szCs w:val="22"/>
        </w:rPr>
      </w:pPr>
    </w:p>
    <w:p w14:paraId="22F5FD57" w14:textId="13496026" w:rsidR="00633284" w:rsidRDefault="00633284" w:rsidP="00030F0F">
      <w:pPr>
        <w:spacing w:after="0"/>
        <w:jc w:val="center"/>
        <w:rPr>
          <w:rFonts w:ascii="Arial" w:eastAsia="Arial" w:hAnsi="Arial" w:cs="Arial"/>
          <w:color w:val="000000"/>
          <w:sz w:val="22"/>
          <w:szCs w:val="22"/>
        </w:rPr>
      </w:pPr>
    </w:p>
    <w:p w14:paraId="4115C74F" w14:textId="7976AF24" w:rsidR="00633284" w:rsidRPr="00633284" w:rsidRDefault="00633284" w:rsidP="00633284">
      <w:pPr>
        <w:spacing w:after="0" w:line="240" w:lineRule="auto"/>
        <w:jc w:val="center"/>
        <w:rPr>
          <w:rFonts w:ascii="Times New Roman" w:eastAsia="Times New Roman" w:hAnsi="Times New Roman" w:cs="Times New Roman"/>
          <w:lang w:val="es-CO" w:eastAsia="es-MX"/>
        </w:rPr>
      </w:pPr>
      <w:r w:rsidRPr="00633284">
        <w:rPr>
          <w:rFonts w:ascii="Arial" w:eastAsia="Arial" w:hAnsi="Arial" w:cs="Arial"/>
          <w:noProof/>
          <w:color w:val="000000"/>
          <w:sz w:val="22"/>
          <w:szCs w:val="22"/>
        </w:rPr>
        <w:drawing>
          <wp:inline distT="0" distB="0" distL="0" distR="0" wp14:anchorId="113F3660" wp14:editId="5F77965D">
            <wp:extent cx="2344420" cy="921775"/>
            <wp:effectExtent l="0" t="0" r="508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3101" cy="933052"/>
                    </a:xfrm>
                    <a:prstGeom prst="rect">
                      <a:avLst/>
                    </a:prstGeom>
                    <a:noFill/>
                    <a:ln>
                      <a:noFill/>
                    </a:ln>
                  </pic:spPr>
                </pic:pic>
              </a:graphicData>
            </a:graphic>
          </wp:inline>
        </w:drawing>
      </w:r>
    </w:p>
    <w:p w14:paraId="00FA3DA4" w14:textId="1B1B7A06" w:rsidR="00633284" w:rsidRDefault="00633284" w:rsidP="00030F0F">
      <w:pPr>
        <w:spacing w:after="0"/>
        <w:jc w:val="center"/>
        <w:rPr>
          <w:rFonts w:ascii="Arial" w:eastAsia="Arial" w:hAnsi="Arial" w:cs="Arial"/>
          <w:color w:val="000000"/>
          <w:sz w:val="22"/>
          <w:szCs w:val="22"/>
        </w:rPr>
      </w:pPr>
    </w:p>
    <w:p w14:paraId="0824E990" w14:textId="77777777" w:rsidR="00633284" w:rsidRPr="006A06F2" w:rsidRDefault="00633284" w:rsidP="00030F0F">
      <w:pPr>
        <w:spacing w:after="0"/>
        <w:jc w:val="center"/>
        <w:rPr>
          <w:rFonts w:ascii="Arial" w:eastAsia="Arial" w:hAnsi="Arial" w:cs="Arial"/>
          <w:color w:val="000000"/>
          <w:sz w:val="22"/>
          <w:szCs w:val="22"/>
        </w:rPr>
      </w:pPr>
    </w:p>
    <w:p w14:paraId="3E845F14" w14:textId="26397683" w:rsidR="00871181" w:rsidRPr="006A06F2" w:rsidRDefault="00871181" w:rsidP="002C51EB">
      <w:pPr>
        <w:spacing w:after="0"/>
        <w:jc w:val="center"/>
        <w:rPr>
          <w:rFonts w:ascii="Arial" w:eastAsia="Arial" w:hAnsi="Arial" w:cs="Arial"/>
          <w:color w:val="000000"/>
          <w:sz w:val="18"/>
          <w:szCs w:val="18"/>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D0460" w:rsidRPr="00AA12BE" w14:paraId="6DCC13EA" w14:textId="77777777" w:rsidTr="004945BD">
        <w:trPr>
          <w:trHeight w:val="315"/>
        </w:trPr>
        <w:tc>
          <w:tcPr>
            <w:tcW w:w="812" w:type="dxa"/>
            <w:vAlign w:val="center"/>
            <w:hideMark/>
          </w:tcPr>
          <w:p w14:paraId="1F335FD8" w14:textId="77777777" w:rsidR="009D0460" w:rsidRPr="00AA12BE" w:rsidRDefault="009D0460" w:rsidP="004945BD">
            <w:pPr>
              <w:rPr>
                <w:rFonts w:ascii="Arial" w:hAnsi="Arial" w:cs="Arial"/>
                <w:sz w:val="16"/>
                <w:szCs w:val="16"/>
                <w:lang w:val="es-ES_tradnl" w:eastAsia="es-ES"/>
              </w:rPr>
            </w:pPr>
            <w:r w:rsidRPr="00AA12BE">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0F09B18" w14:textId="77777777" w:rsidR="009D0460" w:rsidRPr="00AA12BE" w:rsidRDefault="009D0460" w:rsidP="004945BD">
            <w:pPr>
              <w:rPr>
                <w:rFonts w:ascii="Arial" w:hAnsi="Arial" w:cs="Arial"/>
                <w:sz w:val="16"/>
                <w:szCs w:val="16"/>
                <w:lang w:val="es-ES_tradnl" w:eastAsia="es-ES"/>
              </w:rPr>
            </w:pPr>
            <w:r w:rsidRPr="00AA12BE">
              <w:rPr>
                <w:rFonts w:ascii="Arial" w:hAnsi="Arial" w:cs="Arial"/>
                <w:sz w:val="16"/>
                <w:szCs w:val="16"/>
                <w:lang w:val="es-ES_tradnl" w:eastAsia="es-ES"/>
              </w:rPr>
              <w:t xml:space="preserve">Álvaro </w:t>
            </w:r>
            <w:proofErr w:type="spellStart"/>
            <w:r w:rsidRPr="00AA12BE">
              <w:rPr>
                <w:rFonts w:ascii="Arial" w:hAnsi="Arial" w:cs="Arial"/>
                <w:sz w:val="16"/>
                <w:szCs w:val="16"/>
                <w:lang w:val="es-ES_tradnl" w:eastAsia="es-ES"/>
              </w:rPr>
              <w:t>Namén</w:t>
            </w:r>
            <w:proofErr w:type="spellEnd"/>
            <w:r w:rsidRPr="00AA12BE">
              <w:rPr>
                <w:rFonts w:ascii="Arial" w:hAnsi="Arial" w:cs="Arial"/>
                <w:sz w:val="16"/>
                <w:szCs w:val="16"/>
                <w:lang w:val="es-ES_tradnl" w:eastAsia="es-ES"/>
              </w:rPr>
              <w:t xml:space="preserve"> Vargas </w:t>
            </w:r>
          </w:p>
          <w:p w14:paraId="797A8EFA" w14:textId="77777777" w:rsidR="009D0460" w:rsidRPr="00AA12BE" w:rsidRDefault="009D0460" w:rsidP="004945BD">
            <w:pPr>
              <w:rPr>
                <w:rFonts w:ascii="Arial" w:hAnsi="Arial" w:cs="Arial"/>
                <w:sz w:val="16"/>
                <w:szCs w:val="16"/>
                <w:lang w:val="es-ES_tradnl" w:eastAsia="es-ES"/>
              </w:rPr>
            </w:pPr>
            <w:r w:rsidRPr="00AA12BE">
              <w:rPr>
                <w:rFonts w:ascii="Arial" w:hAnsi="Arial" w:cs="Arial"/>
                <w:sz w:val="16"/>
                <w:szCs w:val="16"/>
                <w:lang w:val="es-ES_tradnl" w:eastAsia="es-ES"/>
              </w:rPr>
              <w:t>Contratista de la Subdirección de Gestión Contractual</w:t>
            </w:r>
          </w:p>
        </w:tc>
      </w:tr>
      <w:tr w:rsidR="009D0460" w:rsidRPr="00AA12BE" w14:paraId="64487AA3" w14:textId="77777777" w:rsidTr="004945BD">
        <w:trPr>
          <w:trHeight w:val="330"/>
        </w:trPr>
        <w:tc>
          <w:tcPr>
            <w:tcW w:w="812" w:type="dxa"/>
            <w:vAlign w:val="center"/>
            <w:hideMark/>
          </w:tcPr>
          <w:p w14:paraId="4924E507" w14:textId="77777777" w:rsidR="009D0460" w:rsidRPr="00AA12BE" w:rsidRDefault="009D0460" w:rsidP="004945BD">
            <w:pPr>
              <w:rPr>
                <w:rFonts w:ascii="Arial" w:hAnsi="Arial" w:cs="Arial"/>
                <w:sz w:val="16"/>
                <w:szCs w:val="16"/>
                <w:lang w:val="es-ES_tradnl" w:eastAsia="es-ES"/>
              </w:rPr>
            </w:pPr>
            <w:r w:rsidRPr="00AA12BE">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732279" w14:textId="5E6E26A9" w:rsidR="009D0460" w:rsidRPr="006A06F2" w:rsidRDefault="009D0460" w:rsidP="004945BD">
            <w:r>
              <w:rPr>
                <w:rFonts w:ascii="Arial" w:eastAsia="Arial" w:hAnsi="Arial" w:cs="Arial"/>
                <w:color w:val="000000"/>
                <w:sz w:val="16"/>
                <w:szCs w:val="16"/>
              </w:rPr>
              <w:t xml:space="preserve">Cristian </w:t>
            </w:r>
            <w:r w:rsidR="0094139F">
              <w:rPr>
                <w:rFonts w:ascii="Arial" w:eastAsia="Arial" w:hAnsi="Arial" w:cs="Arial"/>
                <w:color w:val="000000"/>
                <w:sz w:val="16"/>
                <w:szCs w:val="16"/>
              </w:rPr>
              <w:t xml:space="preserve">Andrés </w:t>
            </w:r>
            <w:r>
              <w:rPr>
                <w:rFonts w:ascii="Arial" w:eastAsia="Arial" w:hAnsi="Arial" w:cs="Arial"/>
                <w:color w:val="000000"/>
                <w:sz w:val="16"/>
                <w:szCs w:val="16"/>
              </w:rPr>
              <w:t>D</w:t>
            </w:r>
            <w:r w:rsidR="0094139F">
              <w:rPr>
                <w:rFonts w:ascii="Arial" w:eastAsia="Arial" w:hAnsi="Arial" w:cs="Arial"/>
                <w:color w:val="000000"/>
                <w:sz w:val="16"/>
                <w:szCs w:val="16"/>
              </w:rPr>
              <w:t>í</w:t>
            </w:r>
            <w:r>
              <w:rPr>
                <w:rFonts w:ascii="Arial" w:eastAsia="Arial" w:hAnsi="Arial" w:cs="Arial"/>
                <w:color w:val="000000"/>
                <w:sz w:val="16"/>
                <w:szCs w:val="16"/>
              </w:rPr>
              <w:t>az</w:t>
            </w:r>
            <w:r w:rsidR="0094139F">
              <w:rPr>
                <w:rFonts w:ascii="Arial" w:eastAsia="Arial" w:hAnsi="Arial" w:cs="Arial"/>
                <w:color w:val="000000"/>
                <w:sz w:val="16"/>
                <w:szCs w:val="16"/>
              </w:rPr>
              <w:t xml:space="preserve"> Díez</w:t>
            </w:r>
            <w:r>
              <w:rPr>
                <w:rFonts w:ascii="Arial" w:eastAsia="Arial" w:hAnsi="Arial" w:cs="Arial"/>
                <w:color w:val="000000"/>
                <w:sz w:val="16"/>
                <w:szCs w:val="16"/>
              </w:rPr>
              <w:t xml:space="preserve"> </w:t>
            </w:r>
          </w:p>
          <w:p w14:paraId="06FE4923" w14:textId="77777777" w:rsidR="009D0460" w:rsidRPr="00AA12BE" w:rsidRDefault="009D0460" w:rsidP="004945BD">
            <w:pPr>
              <w:rPr>
                <w:rFonts w:ascii="Arial" w:hAnsi="Arial" w:cs="Arial"/>
                <w:sz w:val="16"/>
                <w:szCs w:val="16"/>
                <w:lang w:val="es-ES_tradnl" w:eastAsia="es-ES"/>
              </w:rPr>
            </w:pPr>
            <w:r w:rsidRPr="006A06F2">
              <w:rPr>
                <w:rFonts w:ascii="Arial" w:eastAsia="Arial" w:hAnsi="Arial" w:cs="Arial"/>
                <w:color w:val="000000"/>
                <w:sz w:val="16"/>
                <w:szCs w:val="16"/>
              </w:rPr>
              <w:t>Contratista de la Subdirección de Gestión Contractual</w:t>
            </w:r>
          </w:p>
        </w:tc>
      </w:tr>
      <w:tr w:rsidR="009D0460" w:rsidRPr="000C11A8" w14:paraId="6EF907AC" w14:textId="77777777" w:rsidTr="004945BD">
        <w:trPr>
          <w:trHeight w:val="300"/>
        </w:trPr>
        <w:tc>
          <w:tcPr>
            <w:tcW w:w="812" w:type="dxa"/>
            <w:vAlign w:val="center"/>
            <w:hideMark/>
          </w:tcPr>
          <w:p w14:paraId="4B959E86" w14:textId="77777777" w:rsidR="009D0460" w:rsidRPr="00AA12BE" w:rsidRDefault="009D0460" w:rsidP="004945BD">
            <w:pPr>
              <w:rPr>
                <w:rFonts w:ascii="Arial" w:hAnsi="Arial" w:cs="Arial"/>
                <w:sz w:val="16"/>
                <w:szCs w:val="16"/>
                <w:lang w:val="es-ES_tradnl" w:eastAsia="es-ES"/>
              </w:rPr>
            </w:pPr>
            <w:r w:rsidRPr="00AA12BE">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EF5651" w14:textId="77777777" w:rsidR="009D0460" w:rsidRPr="006A06F2" w:rsidRDefault="009D0460" w:rsidP="004945BD">
            <w:r>
              <w:rPr>
                <w:rFonts w:ascii="Arial" w:eastAsia="Arial" w:hAnsi="Arial" w:cs="Arial"/>
                <w:color w:val="000000"/>
                <w:sz w:val="16"/>
                <w:szCs w:val="16"/>
              </w:rPr>
              <w:t>Juan David Marín López</w:t>
            </w:r>
          </w:p>
          <w:p w14:paraId="09CF40E3" w14:textId="77777777" w:rsidR="009D0460" w:rsidRPr="000C11A8" w:rsidRDefault="009D0460" w:rsidP="004945BD">
            <w:pPr>
              <w:rPr>
                <w:rFonts w:ascii="Arial" w:hAnsi="Arial" w:cs="Arial"/>
                <w:sz w:val="16"/>
                <w:szCs w:val="16"/>
                <w:lang w:val="es-ES_tradnl"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tbl>
    <w:p w14:paraId="78937CB3" w14:textId="77777777" w:rsidR="00871181" w:rsidRDefault="00871181" w:rsidP="002C51EB">
      <w:pPr>
        <w:spacing w:after="0"/>
        <w:rPr>
          <w:rFonts w:ascii="Arial" w:eastAsia="Arial" w:hAnsi="Arial" w:cs="Arial"/>
          <w:b/>
          <w:color w:val="000000"/>
          <w:sz w:val="20"/>
          <w:szCs w:val="20"/>
        </w:rPr>
      </w:pPr>
    </w:p>
    <w:sectPr w:rsidR="00871181" w:rsidSect="00683517">
      <w:headerReference w:type="default" r:id="rId10"/>
      <w:footerReference w:type="default" r:id="rId11"/>
      <w:pgSz w:w="12240" w:h="15840"/>
      <w:pgMar w:top="408" w:right="1701" w:bottom="1276" w:left="1843"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D26A" w14:textId="77777777" w:rsidR="006E73CB" w:rsidRDefault="006E73CB">
      <w:pPr>
        <w:spacing w:after="0" w:line="240" w:lineRule="auto"/>
      </w:pPr>
      <w:r>
        <w:separator/>
      </w:r>
    </w:p>
  </w:endnote>
  <w:endnote w:type="continuationSeparator" w:id="0">
    <w:p w14:paraId="58F1CD44" w14:textId="77777777" w:rsidR="006E73CB" w:rsidRDefault="006E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768D" w14:textId="77777777" w:rsidR="00BA6490" w:rsidRDefault="00BA6490">
    <w:pPr>
      <w:pBdr>
        <w:top w:val="nil"/>
        <w:left w:val="nil"/>
        <w:bottom w:val="nil"/>
        <w:right w:val="nil"/>
        <w:between w:val="nil"/>
      </w:pBdr>
      <w:spacing w:after="0" w:line="240" w:lineRule="auto"/>
      <w:rPr>
        <w:rFonts w:ascii="Arial" w:eastAsia="Arial" w:hAnsi="Arial" w:cs="Arial"/>
        <w:color w:val="000000"/>
        <w:sz w:val="18"/>
        <w:szCs w:val="18"/>
      </w:rPr>
    </w:pPr>
  </w:p>
  <w:p w14:paraId="306BC5E2" w14:textId="29FC8D9F" w:rsidR="00BA6490" w:rsidRDefault="00BA6490">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F536D4">
      <w:rPr>
        <w:rFonts w:ascii="Arial" w:eastAsia="Arial" w:hAnsi="Arial" w:cs="Arial"/>
        <w:b/>
        <w:noProof/>
        <w:color w:val="7F7F7F"/>
        <w:sz w:val="16"/>
        <w:szCs w:val="16"/>
      </w:rPr>
      <w:t>41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F536D4">
      <w:rPr>
        <w:rFonts w:ascii="Arial" w:eastAsia="Arial" w:hAnsi="Arial" w:cs="Arial"/>
        <w:b/>
        <w:noProof/>
        <w:color w:val="7F7F7F"/>
        <w:sz w:val="16"/>
        <w:szCs w:val="16"/>
      </w:rPr>
      <w:t>41</w:t>
    </w:r>
    <w:r>
      <w:rPr>
        <w:rFonts w:ascii="Arial" w:eastAsia="Arial" w:hAnsi="Arial" w:cs="Arial"/>
        <w:b/>
        <w:color w:val="7F7F7F"/>
        <w:sz w:val="16"/>
        <w:szCs w:val="16"/>
      </w:rPr>
      <w:fldChar w:fldCharType="end"/>
    </w:r>
  </w:p>
  <w:p w14:paraId="31932D98" w14:textId="77777777" w:rsidR="00BA6490" w:rsidRDefault="00BA6490">
    <w:pPr>
      <w:pBdr>
        <w:top w:val="nil"/>
        <w:left w:val="nil"/>
        <w:bottom w:val="nil"/>
        <w:right w:val="nil"/>
        <w:between w:val="nil"/>
      </w:pBdr>
      <w:tabs>
        <w:tab w:val="center" w:pos="4419"/>
        <w:tab w:val="right" w:pos="8838"/>
      </w:tabs>
      <w:jc w:val="center"/>
      <w:rPr>
        <w:color w:val="000000"/>
      </w:rPr>
    </w:pPr>
    <w:r>
      <w:rPr>
        <w:noProof/>
        <w:color w:val="000000"/>
        <w:lang w:val="es-CO" w:eastAsia="es-CO"/>
      </w:rPr>
      <w:drawing>
        <wp:inline distT="0" distB="0" distL="0" distR="0" wp14:anchorId="2317FF68" wp14:editId="6AADFB3E">
          <wp:extent cx="4241994" cy="595165"/>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7648E66C" w14:textId="77777777" w:rsidR="00BA6490" w:rsidRDefault="00BA6490">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73C2" w14:textId="77777777" w:rsidR="006E73CB" w:rsidRDefault="006E73CB">
      <w:pPr>
        <w:spacing w:after="0" w:line="240" w:lineRule="auto"/>
      </w:pPr>
      <w:r>
        <w:separator/>
      </w:r>
    </w:p>
  </w:footnote>
  <w:footnote w:type="continuationSeparator" w:id="0">
    <w:p w14:paraId="7D14EB6E" w14:textId="77777777" w:rsidR="006E73CB" w:rsidRDefault="006E73CB">
      <w:pPr>
        <w:spacing w:after="0" w:line="240" w:lineRule="auto"/>
      </w:pPr>
      <w:r>
        <w:continuationSeparator/>
      </w:r>
    </w:p>
  </w:footnote>
  <w:footnote w:id="1">
    <w:p w14:paraId="3CFE2DC2" w14:textId="77777777" w:rsidR="00BA6490" w:rsidRPr="00AF6C31" w:rsidRDefault="00BA6490" w:rsidP="001C0EC8">
      <w:pPr>
        <w:pBdr>
          <w:top w:val="nil"/>
          <w:left w:val="nil"/>
          <w:bottom w:val="nil"/>
          <w:right w:val="nil"/>
          <w:between w:val="nil"/>
        </w:pBdr>
        <w:spacing w:after="0" w:line="240" w:lineRule="auto"/>
        <w:ind w:firstLine="709"/>
        <w:rPr>
          <w:rFonts w:ascii="Arial" w:eastAsia="Arial" w:hAnsi="Arial" w:cs="Arial"/>
          <w:color w:val="000000"/>
          <w:sz w:val="19"/>
          <w:szCs w:val="19"/>
        </w:rPr>
      </w:pPr>
      <w:r w:rsidRPr="001C0EC8">
        <w:rPr>
          <w:rFonts w:ascii="Arial" w:hAnsi="Arial" w:cs="Arial"/>
          <w:sz w:val="19"/>
          <w:szCs w:val="19"/>
          <w:vertAlign w:val="superscript"/>
        </w:rPr>
        <w:footnoteRef/>
      </w:r>
      <w:r w:rsidRPr="00AF6C31">
        <w:rPr>
          <w:rFonts w:ascii="Arial" w:eastAsia="Arial" w:hAnsi="Arial" w:cs="Arial"/>
          <w:color w:val="000000"/>
          <w:sz w:val="19"/>
          <w:szCs w:val="19"/>
        </w:rPr>
        <w:t xml:space="preserve"> Al respecto, conviene recordar el artículo 29 de la Ley 80 de 1993, derogado por el artículo 32 de la Ley 1150 de 2007, que establecía: «La selección de contratistas será objetiva.</w:t>
      </w:r>
    </w:p>
    <w:p w14:paraId="7E2E4577" w14:textId="06911893" w:rsidR="00BA6490" w:rsidRPr="00AF6C31" w:rsidRDefault="00BA6490" w:rsidP="001C0EC8">
      <w:pPr>
        <w:pBdr>
          <w:top w:val="nil"/>
          <w:left w:val="nil"/>
          <w:bottom w:val="nil"/>
          <w:right w:val="nil"/>
          <w:between w:val="nil"/>
        </w:pBdr>
        <w:spacing w:after="0" w:line="240" w:lineRule="auto"/>
        <w:ind w:firstLine="709"/>
        <w:rPr>
          <w:rFonts w:ascii="Arial" w:eastAsia="Arial" w:hAnsi="Arial" w:cs="Arial"/>
          <w:color w:val="000000"/>
          <w:sz w:val="19"/>
          <w:szCs w:val="19"/>
        </w:rPr>
      </w:pPr>
      <w:r w:rsidRPr="00AF6C31">
        <w:rPr>
          <w:rFonts w:ascii="Arial" w:eastAsia="Arial" w:hAnsi="Arial" w:cs="Arial"/>
          <w:color w:val="000000"/>
          <w:sz w:val="19"/>
          <w:szCs w:val="19"/>
        </w:rPr>
        <w:t>» Es objetiva la selección en la cual la escogencia se hace al ofrecimiento más favorable a la entidad y a los fines que ella busca, sin tener en consideración factores de afecto o de interés y, en general, cualquier clase de motivación subjetiva.</w:t>
      </w:r>
    </w:p>
    <w:p w14:paraId="502BDCD7" w14:textId="77777777" w:rsidR="00BA6490" w:rsidRPr="00AF6C31" w:rsidRDefault="00BA6490" w:rsidP="001C0EC8">
      <w:pPr>
        <w:pBdr>
          <w:top w:val="nil"/>
          <w:left w:val="nil"/>
          <w:bottom w:val="nil"/>
          <w:right w:val="nil"/>
          <w:between w:val="nil"/>
        </w:pBdr>
        <w:spacing w:after="0" w:line="240" w:lineRule="auto"/>
        <w:ind w:firstLine="709"/>
        <w:rPr>
          <w:rFonts w:ascii="Arial" w:eastAsia="Arial" w:hAnsi="Arial" w:cs="Arial"/>
          <w:color w:val="000000"/>
          <w:sz w:val="19"/>
          <w:szCs w:val="19"/>
        </w:rPr>
      </w:pPr>
      <w:r w:rsidRPr="00AF6C31">
        <w:rPr>
          <w:rFonts w:ascii="Arial" w:eastAsia="Arial" w:hAnsi="Arial" w:cs="Arial"/>
          <w:color w:val="000000"/>
          <w:sz w:val="19"/>
          <w:szCs w:val="19"/>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3DC412A0" w14:textId="0E7B3AE5" w:rsidR="00BA6490" w:rsidRPr="00AF6C31" w:rsidRDefault="0018180F" w:rsidP="001C0EC8">
      <w:pPr>
        <w:pBdr>
          <w:top w:val="nil"/>
          <w:left w:val="nil"/>
          <w:bottom w:val="nil"/>
          <w:right w:val="nil"/>
          <w:between w:val="nil"/>
        </w:pBdr>
        <w:spacing w:after="0" w:line="240" w:lineRule="auto"/>
        <w:ind w:firstLine="709"/>
        <w:rPr>
          <w:rFonts w:ascii="Arial" w:eastAsia="Arial" w:hAnsi="Arial" w:cs="Arial"/>
          <w:color w:val="000000"/>
          <w:sz w:val="19"/>
          <w:szCs w:val="19"/>
        </w:rPr>
      </w:pPr>
      <w:r w:rsidRPr="00AF6C31">
        <w:rPr>
          <w:rFonts w:ascii="Arial" w:eastAsia="Arial" w:hAnsi="Arial" w:cs="Arial"/>
          <w:color w:val="000000"/>
          <w:sz w:val="19"/>
          <w:szCs w:val="19"/>
        </w:rPr>
        <w:t>» El</w:t>
      </w:r>
      <w:r w:rsidR="00BA6490" w:rsidRPr="00AF6C31">
        <w:rPr>
          <w:rFonts w:ascii="Arial" w:eastAsia="Arial" w:hAnsi="Arial" w:cs="Arial"/>
          <w:color w:val="000000"/>
          <w:sz w:val="19"/>
          <w:szCs w:val="19"/>
        </w:rPr>
        <w:t xml:space="preserve">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260B5AE5" w14:textId="35C32B42" w:rsidR="00BA6490" w:rsidRPr="00AF6C31" w:rsidRDefault="0018180F" w:rsidP="001C0EC8">
      <w:pPr>
        <w:pBdr>
          <w:top w:val="nil"/>
          <w:left w:val="nil"/>
          <w:bottom w:val="nil"/>
          <w:right w:val="nil"/>
          <w:between w:val="nil"/>
        </w:pBdr>
        <w:spacing w:after="0" w:line="240" w:lineRule="auto"/>
        <w:ind w:firstLine="709"/>
        <w:rPr>
          <w:rFonts w:ascii="Arial" w:eastAsia="Arial" w:hAnsi="Arial" w:cs="Arial"/>
          <w:color w:val="000000"/>
          <w:sz w:val="19"/>
          <w:szCs w:val="19"/>
        </w:rPr>
      </w:pPr>
      <w:r w:rsidRPr="00AF6C31">
        <w:rPr>
          <w:rFonts w:ascii="Arial" w:eastAsia="Arial" w:hAnsi="Arial" w:cs="Arial"/>
          <w:color w:val="000000"/>
          <w:sz w:val="19"/>
          <w:szCs w:val="19"/>
        </w:rPr>
        <w:t>» En</w:t>
      </w:r>
      <w:r w:rsidR="00BA6490" w:rsidRPr="00AF6C31">
        <w:rPr>
          <w:rFonts w:ascii="Arial" w:eastAsia="Arial" w:hAnsi="Arial" w:cs="Arial"/>
          <w:color w:val="000000"/>
          <w:sz w:val="19"/>
          <w:szCs w:val="19"/>
        </w:rPr>
        <w:t xml:space="preserve"> caso de comparación de propuestas nacionales y extranjeras, se incluirán los costos necesarios para la entrega del producto terminado en el lugar de su utilización».</w:t>
      </w:r>
    </w:p>
  </w:footnote>
  <w:footnote w:id="2">
    <w:p w14:paraId="1CAAC3B5"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DÁVILA VINUEZA, Luis Guillermo. Régimen jurídico de la contratación estatal. Tercera edición, Bogotá: Legis, 2016. p. 355.</w:t>
      </w:r>
    </w:p>
    <w:p w14:paraId="5E22B94A"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3">
    <w:p w14:paraId="752B311C"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RODRÍGUEZ TAMAYO, Mauricio F. Evaluación y rechazo de ofertas en la Ley 80 de 1993. Primera edición. Medellín: Librería Jurídica Sánchez, 2016. pp. 110-111.</w:t>
      </w:r>
    </w:p>
    <w:p w14:paraId="1507E839"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4">
    <w:p w14:paraId="6B649FA8"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EXPÓSITO VELEZ, Juan C., El deber de selección objetiva, en: Del contrato estatal a los sistemas de compras públicas, por COVILLA MARTINEZ Juan C. y LOZANO VILLEGAS Germán (Eds.). Universidad Externado de Colombia, Bogotá, 2019. págs. 118-184.</w:t>
      </w:r>
    </w:p>
    <w:p w14:paraId="0E4DDEC7"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5">
    <w:p w14:paraId="5C683DC0"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i/>
          <w:color w:val="000000"/>
          <w:sz w:val="19"/>
          <w:szCs w:val="19"/>
        </w:rPr>
        <w:t xml:space="preserve"> Ibídem.</w:t>
      </w:r>
    </w:p>
  </w:footnote>
  <w:footnote w:id="6">
    <w:p w14:paraId="2615D734" w14:textId="77777777" w:rsidR="00BA6490" w:rsidRPr="00AF6C31" w:rsidRDefault="00BA6490" w:rsidP="00030F0F">
      <w:pPr>
        <w:spacing w:after="0" w:line="240" w:lineRule="auto"/>
        <w:ind w:firstLine="709"/>
        <w:rPr>
          <w:rFonts w:ascii="Arial" w:eastAsia="Arial" w:hAnsi="Arial" w:cs="Arial"/>
          <w:sz w:val="19"/>
          <w:szCs w:val="19"/>
        </w:rPr>
      </w:pPr>
      <w:r w:rsidRPr="00030F0F">
        <w:rPr>
          <w:rFonts w:ascii="Arial" w:hAnsi="Arial" w:cs="Arial"/>
          <w:sz w:val="19"/>
          <w:szCs w:val="19"/>
          <w:vertAlign w:val="superscript"/>
        </w:rPr>
        <w:footnoteRef/>
      </w:r>
      <w:r w:rsidRPr="00AF6C31">
        <w:rPr>
          <w:rFonts w:ascii="Arial" w:eastAsia="Arial" w:hAnsi="Arial" w:cs="Arial"/>
          <w:sz w:val="19"/>
          <w:szCs w:val="19"/>
        </w:rPr>
        <w:t xml:space="preserve"> Decreto 1082 de 2015 «Artículo 2.2.1.1.2.2.2. Ofrecimiento más favorable. La Entidad Estatal debe determinar la oferta más favorable teniendo en cuenta las normas aplicables a cada modalidad de selección del contratista. </w:t>
      </w:r>
    </w:p>
    <w:p w14:paraId="2EEDA14F" w14:textId="42CE062C" w:rsidR="00BA6490" w:rsidRPr="00AF6C31" w:rsidRDefault="00BA6490" w:rsidP="00030F0F">
      <w:pPr>
        <w:spacing w:after="0" w:line="240" w:lineRule="auto"/>
        <w:ind w:firstLine="709"/>
        <w:rPr>
          <w:rFonts w:ascii="Arial" w:eastAsia="Arial" w:hAnsi="Arial" w:cs="Arial"/>
          <w:sz w:val="19"/>
          <w:szCs w:val="19"/>
        </w:rPr>
      </w:pPr>
      <w:r w:rsidRPr="00AF6C31">
        <w:rPr>
          <w:rFonts w:ascii="Arial" w:eastAsia="Arial" w:hAnsi="Arial" w:cs="Arial"/>
          <w:sz w:val="19"/>
          <w:szCs w:val="19"/>
        </w:rPr>
        <w:t>  </w:t>
      </w:r>
      <w:r w:rsidR="0018180F" w:rsidRPr="00AF6C31">
        <w:rPr>
          <w:rFonts w:ascii="Arial" w:eastAsia="Arial" w:hAnsi="Arial" w:cs="Arial"/>
          <w:sz w:val="19"/>
          <w:szCs w:val="19"/>
        </w:rPr>
        <w:t>» En</w:t>
      </w:r>
      <w:r w:rsidRPr="00AF6C31">
        <w:rPr>
          <w:rFonts w:ascii="Arial" w:eastAsia="Arial" w:hAnsi="Arial" w:cs="Arial"/>
          <w:sz w:val="19"/>
          <w:szCs w:val="19"/>
        </w:rPr>
        <w:t xml:space="preserve">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6D522F1C" w14:textId="74CFAB96" w:rsidR="00BA6490" w:rsidRPr="00AF6C31" w:rsidRDefault="00BA6490" w:rsidP="00030F0F">
      <w:pPr>
        <w:spacing w:after="0" w:line="240" w:lineRule="auto"/>
        <w:ind w:firstLine="709"/>
        <w:rPr>
          <w:rFonts w:ascii="Arial" w:eastAsia="Arial" w:hAnsi="Arial" w:cs="Arial"/>
          <w:sz w:val="19"/>
          <w:szCs w:val="19"/>
        </w:rPr>
      </w:pPr>
      <w:r w:rsidRPr="00AF6C31">
        <w:rPr>
          <w:rFonts w:ascii="Arial" w:eastAsia="Arial" w:hAnsi="Arial" w:cs="Arial"/>
          <w:sz w:val="19"/>
          <w:szCs w:val="19"/>
        </w:rPr>
        <w:t>  »1. Las condiciones técnicas y económicas mínimas de la oferta. </w:t>
      </w:r>
    </w:p>
    <w:p w14:paraId="04E63618" w14:textId="5DF67F05" w:rsidR="00BA6490" w:rsidRPr="00AF6C31" w:rsidRDefault="00BA6490" w:rsidP="00030F0F">
      <w:pPr>
        <w:spacing w:after="0" w:line="240" w:lineRule="auto"/>
        <w:ind w:firstLine="709"/>
        <w:rPr>
          <w:rFonts w:ascii="Arial" w:eastAsia="Arial" w:hAnsi="Arial" w:cs="Arial"/>
          <w:sz w:val="19"/>
          <w:szCs w:val="19"/>
        </w:rPr>
      </w:pPr>
      <w:r w:rsidRPr="00AF6C31">
        <w:rPr>
          <w:rFonts w:ascii="Arial" w:eastAsia="Arial" w:hAnsi="Arial" w:cs="Arial"/>
          <w:sz w:val="19"/>
          <w:szCs w:val="19"/>
        </w:rPr>
        <w:t>  »2. Las condiciones técnicas adicionales que representan ventajas de calidad o de funcionamiento, tales como el uso de tecnología o materiales que generen mayor eficiencia, rendimiento o duración del bien, obra o servicio. </w:t>
      </w:r>
    </w:p>
    <w:p w14:paraId="0EB5E002" w14:textId="5473C173" w:rsidR="00BA6490" w:rsidRPr="00AF6C31" w:rsidRDefault="00BA6490" w:rsidP="00030F0F">
      <w:pPr>
        <w:spacing w:after="0" w:line="240" w:lineRule="auto"/>
        <w:ind w:firstLine="709"/>
        <w:rPr>
          <w:rFonts w:ascii="Arial" w:eastAsia="Arial" w:hAnsi="Arial" w:cs="Arial"/>
          <w:sz w:val="19"/>
          <w:szCs w:val="19"/>
        </w:rPr>
      </w:pPr>
      <w:r w:rsidRPr="00AF6C31">
        <w:rPr>
          <w:rFonts w:ascii="Arial" w:eastAsia="Arial" w:hAnsi="Arial" w:cs="Arial"/>
          <w:sz w:val="19"/>
          <w:szCs w:val="19"/>
        </w:rPr>
        <w:t>  »3.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725F636C" w14:textId="77D1426C" w:rsidR="00BA6490" w:rsidRPr="00AF6C31" w:rsidRDefault="00BA6490" w:rsidP="00030F0F">
      <w:pPr>
        <w:spacing w:after="0" w:line="240" w:lineRule="auto"/>
        <w:ind w:firstLine="709"/>
        <w:rPr>
          <w:rFonts w:ascii="Arial" w:eastAsia="Arial" w:hAnsi="Arial" w:cs="Arial"/>
          <w:sz w:val="19"/>
          <w:szCs w:val="19"/>
        </w:rPr>
      </w:pPr>
      <w:r w:rsidRPr="00AF6C31">
        <w:rPr>
          <w:rFonts w:ascii="Arial" w:eastAsia="Arial" w:hAnsi="Arial" w:cs="Arial"/>
          <w:sz w:val="19"/>
          <w:szCs w:val="19"/>
        </w:rPr>
        <w:t>  »4. El valor en dinero que la Entidad Estatal asigna a cada ofrecimiento técnico o económico adicional, para permitir la ponderación de las ofertas presentadas. </w:t>
      </w:r>
    </w:p>
    <w:p w14:paraId="50761700" w14:textId="31EE2DC9" w:rsidR="00BA6490" w:rsidRPr="00AF6C31" w:rsidRDefault="00BA6490" w:rsidP="00030F0F">
      <w:pPr>
        <w:spacing w:after="0" w:line="240" w:lineRule="auto"/>
        <w:ind w:firstLine="709"/>
        <w:rPr>
          <w:rFonts w:ascii="Arial" w:eastAsia="Arial" w:hAnsi="Arial" w:cs="Arial"/>
          <w:sz w:val="19"/>
          <w:szCs w:val="19"/>
        </w:rPr>
      </w:pPr>
      <w:r w:rsidRPr="00AF6C31">
        <w:rPr>
          <w:rFonts w:ascii="Arial" w:eastAsia="Arial" w:hAnsi="Arial" w:cs="Arial"/>
          <w:sz w:val="19"/>
          <w:szCs w:val="19"/>
        </w:rPr>
        <w:t>  </w:t>
      </w:r>
      <w:r w:rsidR="0018180F" w:rsidRPr="00AF6C31">
        <w:rPr>
          <w:rFonts w:ascii="Arial" w:eastAsia="Arial" w:hAnsi="Arial" w:cs="Arial"/>
          <w:sz w:val="19"/>
          <w:szCs w:val="19"/>
        </w:rPr>
        <w:t>» La</w:t>
      </w:r>
      <w:r w:rsidRPr="00AF6C31">
        <w:rPr>
          <w:rFonts w:ascii="Arial" w:eastAsia="Arial" w:hAnsi="Arial" w:cs="Arial"/>
          <w:sz w:val="19"/>
          <w:szCs w:val="19"/>
        </w:rPr>
        <w:t xml:space="preserve">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5D5D4313" w14:textId="195F37F0" w:rsidR="00BA6490" w:rsidRPr="00AF6C31" w:rsidRDefault="00BA6490" w:rsidP="00030F0F">
      <w:pPr>
        <w:spacing w:after="0" w:line="240" w:lineRule="auto"/>
        <w:ind w:firstLine="709"/>
        <w:rPr>
          <w:rFonts w:ascii="Arial" w:eastAsia="Arial" w:hAnsi="Arial" w:cs="Arial"/>
          <w:sz w:val="19"/>
          <w:szCs w:val="19"/>
        </w:rPr>
      </w:pPr>
      <w:r w:rsidRPr="00AF6C31">
        <w:rPr>
          <w:rFonts w:ascii="Arial" w:eastAsia="Arial" w:hAnsi="Arial" w:cs="Arial"/>
          <w:sz w:val="19"/>
          <w:szCs w:val="19"/>
        </w:rPr>
        <w:t>  </w:t>
      </w:r>
      <w:r w:rsidR="0018180F" w:rsidRPr="00AF6C31">
        <w:rPr>
          <w:rFonts w:ascii="Arial" w:eastAsia="Arial" w:hAnsi="Arial" w:cs="Arial"/>
          <w:sz w:val="19"/>
          <w:szCs w:val="19"/>
        </w:rPr>
        <w:t>» La</w:t>
      </w:r>
      <w:r w:rsidRPr="00AF6C31">
        <w:rPr>
          <w:rFonts w:ascii="Arial" w:eastAsia="Arial" w:hAnsi="Arial" w:cs="Arial"/>
          <w:sz w:val="19"/>
          <w:szCs w:val="19"/>
        </w:rPr>
        <w:t xml:space="preserve"> Entidad Estatal debe adjudicar al oferente que presentó la oferta con la mejor relación costo-beneficio y suscribir el contrato por el precio total ofrecido». </w:t>
      </w:r>
    </w:p>
  </w:footnote>
  <w:footnote w:id="7">
    <w:p w14:paraId="5DE31534"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Consejo de Estado. Sección Tercera. Subsección A. Sentencia del 25 de octubre de 2019. Exp. 39.945. Consejera Ponente: María Adriana Marín.</w:t>
      </w:r>
    </w:p>
  </w:footnote>
  <w:footnote w:id="8">
    <w:p w14:paraId="6BB15BE8"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vertAlign w:val="superscript"/>
        </w:rPr>
        <w:t xml:space="preserve"> </w:t>
      </w:r>
      <w:r w:rsidRPr="00AF6C31">
        <w:rPr>
          <w:rFonts w:ascii="Arial" w:eastAsia="Arial" w:hAnsi="Arial" w:cs="Arial"/>
          <w:color w:val="000000"/>
          <w:sz w:val="19"/>
          <w:szCs w:val="19"/>
        </w:rPr>
        <w:t>Consejo de Estado. Sección Tercera. Subsección A. Sentencia del 5 de julio de 2018. Exp. 37.834. Consejero Ponente: Carlos Alberto Zambrano Barrera.</w:t>
      </w:r>
    </w:p>
  </w:footnote>
  <w:footnote w:id="9">
    <w:p w14:paraId="0E1FC254"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736ECB7B"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b/>
          <w:color w:val="000000"/>
          <w:sz w:val="19"/>
          <w:szCs w:val="19"/>
        </w:rPr>
      </w:pPr>
    </w:p>
  </w:footnote>
  <w:footnote w:id="10">
    <w:p w14:paraId="7C812C02"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1">
    <w:p w14:paraId="02825286"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Consejo de Estado. Sección Tercera, Subsección C. Sentencia del 26 de febrero de 2014. C.P. Enrique Gil Botero, Rad. 1999-00113-01 (25.804). </w:t>
      </w:r>
    </w:p>
  </w:footnote>
  <w:footnote w:id="12">
    <w:p w14:paraId="5CA493A7"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vertAlign w:val="superscript"/>
        </w:rPr>
        <w:t xml:space="preserve"> </w:t>
      </w:r>
      <w:r w:rsidRPr="00AF6C31">
        <w:rPr>
          <w:rFonts w:ascii="Arial" w:eastAsia="Arial" w:hAnsi="Arial" w:cs="Arial"/>
          <w:color w:val="000000"/>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13">
    <w:p w14:paraId="30C1579F" w14:textId="77777777" w:rsidR="00BA6490" w:rsidRPr="00AF6C31" w:rsidRDefault="00BA6490" w:rsidP="00030F0F">
      <w:pP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Decreto 2474 de 2008 (DEROGADO): «art. 10. Reglas de subsanabilidad. En todo proceso de selección de contratistas primará lo sustancial sobre lo formal. </w:t>
      </w:r>
      <w:r w:rsidRPr="00AF6C31">
        <w:rPr>
          <w:rFonts w:ascii="Arial" w:eastAsia="Arial" w:hAnsi="Arial" w:cs="Arial"/>
          <w:color w:val="000000"/>
          <w:sz w:val="19"/>
          <w:szCs w:val="19"/>
        </w:rPr>
        <w:t xml:space="preserve">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w:t>
      </w:r>
      <w:r w:rsidRPr="00AF6C31">
        <w:rPr>
          <w:rFonts w:ascii="Arial" w:eastAsia="Arial" w:hAnsi="Arial" w:cs="Arial"/>
          <w:color w:val="000000"/>
          <w:sz w:val="19"/>
          <w:szCs w:val="19"/>
        </w:rPr>
        <w:t>la </w:t>
      </w:r>
      <w:r w:rsidR="00AF473C" w:rsidRPr="00AF6C31">
        <w:rPr>
          <w:rFonts w:ascii="Arial" w:hAnsi="Arial" w:cs="Arial"/>
          <w:sz w:val="19"/>
          <w:szCs w:val="19"/>
        </w:rPr>
        <w:fldChar w:fldCharType="begin"/>
      </w:r>
      <w:r w:rsidR="00AF473C" w:rsidRPr="00030F0F">
        <w:rPr>
          <w:rFonts w:ascii="Arial" w:hAnsi="Arial" w:cs="Arial"/>
          <w:sz w:val="19"/>
          <w:szCs w:val="19"/>
        </w:rPr>
        <w:instrText>HYPERLINK "http://www.lexbase.biz/lexbase/normas/leyes/2007/L1150de2007.htm" \h</w:instrText>
      </w:r>
      <w:r w:rsidR="00AF473C" w:rsidRPr="00AF6C31">
        <w:rPr>
          <w:rFonts w:ascii="Arial" w:hAnsi="Arial" w:cs="Arial"/>
          <w:sz w:val="19"/>
          <w:szCs w:val="19"/>
        </w:rPr>
        <w:fldChar w:fldCharType="separate"/>
      </w:r>
      <w:r w:rsidRPr="00AF6C31">
        <w:rPr>
          <w:rFonts w:ascii="Arial" w:eastAsia="Arial" w:hAnsi="Arial" w:cs="Arial"/>
          <w:color w:val="000000"/>
          <w:sz w:val="19"/>
          <w:szCs w:val="19"/>
        </w:rPr>
        <w:t>Ley 1150 de 2007</w:t>
      </w:r>
      <w:r w:rsidR="00AF473C" w:rsidRPr="00AF6C31">
        <w:rPr>
          <w:rFonts w:ascii="Arial" w:eastAsia="Arial" w:hAnsi="Arial" w:cs="Arial"/>
          <w:color w:val="000000"/>
          <w:sz w:val="19"/>
          <w:szCs w:val="19"/>
        </w:rPr>
        <w:fldChar w:fldCharType="end"/>
      </w:r>
      <w:r w:rsidRPr="00AF6C31">
        <w:rPr>
          <w:rFonts w:ascii="Arial" w:eastAsia="Arial" w:hAnsi="Arial" w:cs="Arial"/>
          <w:color w:val="000000"/>
          <w:sz w:val="19"/>
          <w:szCs w:val="19"/>
        </w:rPr>
        <w:t> y en el presente decreto.</w:t>
      </w:r>
    </w:p>
    <w:p w14:paraId="044B331A" w14:textId="74F1A356" w:rsidR="00BA6490" w:rsidRPr="00AF6C31" w:rsidRDefault="0018180F" w:rsidP="00030F0F">
      <w:pPr>
        <w:spacing w:after="0" w:line="240" w:lineRule="auto"/>
        <w:ind w:firstLine="709"/>
        <w:rPr>
          <w:rFonts w:ascii="Arial" w:eastAsia="Arial" w:hAnsi="Arial" w:cs="Arial"/>
          <w:color w:val="000000"/>
          <w:sz w:val="19"/>
          <w:szCs w:val="19"/>
        </w:rPr>
      </w:pPr>
      <w:r w:rsidRPr="00AF6C31">
        <w:rPr>
          <w:rFonts w:ascii="Arial" w:eastAsia="Arial" w:hAnsi="Arial" w:cs="Arial"/>
          <w:color w:val="000000"/>
          <w:sz w:val="19"/>
          <w:szCs w:val="19"/>
        </w:rPr>
        <w:t>»Tales</w:t>
      </w:r>
      <w:r w:rsidR="00BA6490" w:rsidRPr="00AF6C31">
        <w:rPr>
          <w:rFonts w:ascii="Arial" w:eastAsia="Arial" w:hAnsi="Arial" w:cs="Arial"/>
          <w:color w:val="000000"/>
          <w:sz w:val="19"/>
          <w:szCs w:val="19"/>
        </w:rPr>
        <w:t xml:space="preserve">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53F412BC" w14:textId="75142070" w:rsidR="00BA6490" w:rsidRPr="00AF6C31" w:rsidRDefault="0018180F" w:rsidP="00030F0F">
      <w:pPr>
        <w:spacing w:after="0" w:line="240" w:lineRule="auto"/>
        <w:ind w:firstLine="709"/>
        <w:rPr>
          <w:rFonts w:ascii="Arial" w:eastAsia="Arial" w:hAnsi="Arial" w:cs="Arial"/>
          <w:color w:val="000000"/>
          <w:sz w:val="19"/>
          <w:szCs w:val="19"/>
        </w:rPr>
      </w:pPr>
      <w:r w:rsidRPr="00AF6C31">
        <w:rPr>
          <w:rFonts w:ascii="Arial" w:eastAsia="Arial" w:hAnsi="Arial" w:cs="Arial"/>
          <w:color w:val="000000"/>
          <w:sz w:val="19"/>
          <w:szCs w:val="19"/>
        </w:rPr>
        <w:t>»Será</w:t>
      </w:r>
      <w:r w:rsidR="00BA6490" w:rsidRPr="00AF6C31">
        <w:rPr>
          <w:rFonts w:ascii="Arial" w:eastAsia="Arial" w:hAnsi="Arial" w:cs="Arial"/>
          <w:color w:val="000000"/>
          <w:sz w:val="19"/>
          <w:szCs w:val="19"/>
        </w:rPr>
        <w:t xml:space="preserve"> rechazada la oferta del proponente que dentro del término previsto en el pliego o en la solicitud, no responda al requerimiento que le haga la entidad para subsanarla.</w:t>
      </w:r>
    </w:p>
    <w:p w14:paraId="557F892B" w14:textId="202D4ED1" w:rsidR="00BA6490" w:rsidRPr="00AF6C31" w:rsidRDefault="0018180F" w:rsidP="00030F0F">
      <w:pPr>
        <w:spacing w:after="0" w:line="240" w:lineRule="auto"/>
        <w:ind w:firstLine="709"/>
        <w:rPr>
          <w:rFonts w:ascii="Arial" w:eastAsia="Arial" w:hAnsi="Arial" w:cs="Arial"/>
          <w:color w:val="000000"/>
          <w:sz w:val="19"/>
          <w:szCs w:val="19"/>
        </w:rPr>
      </w:pPr>
      <w:r w:rsidRPr="00AF6C31">
        <w:rPr>
          <w:rFonts w:ascii="Arial" w:eastAsia="Arial" w:hAnsi="Arial" w:cs="Arial"/>
          <w:color w:val="000000"/>
          <w:sz w:val="19"/>
          <w:szCs w:val="19"/>
        </w:rPr>
        <w:t>»Cuando</w:t>
      </w:r>
      <w:r w:rsidR="00BA6490" w:rsidRPr="00AF6C31">
        <w:rPr>
          <w:rFonts w:ascii="Arial" w:eastAsia="Arial" w:hAnsi="Arial" w:cs="Arial"/>
          <w:color w:val="000000"/>
          <w:sz w:val="19"/>
          <w:szCs w:val="19"/>
        </w:rPr>
        <w:t xml:space="preserve"> se utilice el mecanismo de subasta esta posibilidad deberá ejercerse hasta el momento previo a su realización, de conformidad con el artículo 22 del presente decreto.</w:t>
      </w:r>
    </w:p>
    <w:p w14:paraId="18BE0C6B" w14:textId="05357196" w:rsidR="00BA6490" w:rsidRPr="00AF6C31" w:rsidRDefault="0018180F" w:rsidP="00030F0F">
      <w:pPr>
        <w:spacing w:after="0" w:line="240" w:lineRule="auto"/>
        <w:ind w:firstLine="709"/>
        <w:rPr>
          <w:rFonts w:ascii="Arial" w:eastAsia="Arial" w:hAnsi="Arial" w:cs="Arial"/>
          <w:color w:val="000000"/>
          <w:sz w:val="19"/>
          <w:szCs w:val="19"/>
        </w:rPr>
      </w:pPr>
      <w:r w:rsidRPr="00AF6C31">
        <w:rPr>
          <w:rFonts w:ascii="Arial" w:eastAsia="Arial" w:hAnsi="Arial" w:cs="Arial"/>
          <w:color w:val="000000"/>
          <w:sz w:val="19"/>
          <w:szCs w:val="19"/>
        </w:rPr>
        <w:t>»En</w:t>
      </w:r>
      <w:r w:rsidR="00BA6490" w:rsidRPr="00AF6C31">
        <w:rPr>
          <w:rFonts w:ascii="Arial" w:eastAsia="Arial" w:hAnsi="Arial" w:cs="Arial"/>
          <w:color w:val="000000"/>
          <w:sz w:val="19"/>
          <w:szCs w:val="19"/>
        </w:rPr>
        <w:t xml:space="preserve"> ningún caso la entidad podrá señalar taxativamente los requisitos o documentos subsanables o no subsanables en el pliego de condiciones, </w:t>
      </w:r>
      <w:r w:rsidR="00BA6490" w:rsidRPr="00AF6C31">
        <w:rPr>
          <w:rFonts w:ascii="Arial" w:eastAsia="Arial" w:hAnsi="Arial" w:cs="Arial"/>
          <w:i/>
          <w:color w:val="000000"/>
          <w:sz w:val="19"/>
          <w:szCs w:val="19"/>
        </w:rPr>
        <w:t>ni permitir que se subsane la falta de capacidad para presentar la oferta, ni que se acrediten circunstancias ocurridas con posterioridad al cierre del proceso</w:t>
      </w:r>
      <w:r w:rsidR="00BA6490" w:rsidRPr="00AF6C31">
        <w:rPr>
          <w:rFonts w:ascii="Arial" w:eastAsia="Arial" w:hAnsi="Arial" w:cs="Arial"/>
          <w:color w:val="000000"/>
          <w:sz w:val="19"/>
          <w:szCs w:val="19"/>
        </w:rPr>
        <w:t xml:space="preserve">». (Cursivas fuera de texto). </w:t>
      </w:r>
    </w:p>
    <w:p w14:paraId="4DEF1786"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4">
    <w:p w14:paraId="6866416D"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w:t>
      </w:r>
      <w:r w:rsidRPr="00AF6C31">
        <w:rPr>
          <w:rFonts w:ascii="Arial" w:eastAsia="Arial" w:hAnsi="Arial" w:cs="Arial"/>
          <w:color w:val="000000"/>
          <w:sz w:val="19"/>
          <w:szCs w:val="19"/>
        </w:rPr>
        <w:t>Consejo de Estado, Sala de Consulta y Servicio Civil, concepto del 6 de noviembre de 2008. C.P. William Zambrano Cetina. Rad. 2008-00079-00(1927).</w:t>
      </w:r>
    </w:p>
    <w:p w14:paraId="35E8D2F5"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r w:rsidRPr="00AF6C31">
        <w:rPr>
          <w:rFonts w:ascii="Arial" w:eastAsia="Arial" w:hAnsi="Arial" w:cs="Arial"/>
          <w:color w:val="000000"/>
          <w:sz w:val="19"/>
          <w:szCs w:val="19"/>
        </w:rPr>
        <w:t xml:space="preserve">  </w:t>
      </w:r>
    </w:p>
  </w:footnote>
  <w:footnote w:id="15">
    <w:p w14:paraId="3FF1CB1C"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w:t>
      </w:r>
      <w:r w:rsidRPr="00AF6C31">
        <w:rPr>
          <w:rFonts w:ascii="Arial" w:eastAsia="Arial" w:hAnsi="Arial" w:cs="Arial"/>
          <w:color w:val="000000"/>
          <w:sz w:val="19"/>
          <w:szCs w:val="19"/>
        </w:rPr>
        <w:t xml:space="preserve">Ver Consejo de Estado, Sección Tercera, Subsección C. Sentencia del 26 de febrero de 2011. C.P. Jaime Orlando Santofimio. Rad. 36.408.  </w:t>
      </w:r>
    </w:p>
    <w:p w14:paraId="3A09BD4D"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6">
    <w:p w14:paraId="22AFFB6E"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Ver Consejo de Estado, Sección Tercera, Subsección C. Sentencia del 26 de febrero de 2014. C.P. Enrique Gil Botero. Rad. 25.804.  </w:t>
      </w:r>
    </w:p>
    <w:p w14:paraId="544D773D"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7">
    <w:p w14:paraId="3AE4358E"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Consejo de Estado, Sala de Consulta y Servicio Civil, concepto del 20 de mayo de 2010. C.P. Enrique José Arboleda Perdomo. Rad. 2010-00034-00(1992).</w:t>
      </w:r>
    </w:p>
    <w:p w14:paraId="5FE74C9F"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8">
    <w:p w14:paraId="477346E7"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r w:rsidRPr="00030F0F">
        <w:rPr>
          <w:rFonts w:ascii="Arial" w:hAnsi="Arial" w:cs="Arial"/>
          <w:sz w:val="19"/>
          <w:szCs w:val="19"/>
          <w:vertAlign w:val="superscript"/>
        </w:rPr>
        <w:footnoteRef/>
      </w:r>
      <w:r w:rsidRPr="00AF6C31">
        <w:rPr>
          <w:rFonts w:ascii="Arial" w:eastAsia="Arial" w:hAnsi="Arial" w:cs="Arial"/>
          <w:color w:val="000000"/>
          <w:sz w:val="19"/>
          <w:szCs w:val="19"/>
        </w:rPr>
        <w:t xml:space="preserve"> CONSEJO DE ESTADO. Sección Tercera. Subsección C. Sentencia del 12 de noviembre de 2014. Exp. 27.986. C.P. Enrique Gil Botero.</w:t>
      </w:r>
    </w:p>
    <w:p w14:paraId="2C73EF46" w14:textId="77777777" w:rsidR="00BA6490" w:rsidRPr="00AF6C31" w:rsidRDefault="00BA6490" w:rsidP="00030F0F">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9">
    <w:p w14:paraId="7F5701E7" w14:textId="67C48569" w:rsidR="00BA6490" w:rsidRPr="00AF6C31" w:rsidRDefault="00BA6490" w:rsidP="00030F0F">
      <w:pPr>
        <w:pStyle w:val="Textonotapie"/>
        <w:ind w:firstLine="709"/>
        <w:rPr>
          <w:rFonts w:ascii="Arial" w:hAnsi="Arial" w:cs="Arial"/>
          <w:sz w:val="19"/>
          <w:szCs w:val="19"/>
          <w:lang w:val="es-CO"/>
        </w:rPr>
      </w:pPr>
      <w:r w:rsidRPr="00AF6C31">
        <w:rPr>
          <w:rStyle w:val="Refdenotaalpie"/>
          <w:rFonts w:ascii="Arial" w:hAnsi="Arial" w:cs="Arial"/>
          <w:sz w:val="19"/>
          <w:szCs w:val="19"/>
        </w:rPr>
        <w:footnoteRef/>
      </w:r>
      <w:r w:rsidRPr="00AF6C31">
        <w:rPr>
          <w:rFonts w:ascii="Arial" w:hAnsi="Arial" w:cs="Arial"/>
          <w:sz w:val="19"/>
          <w:szCs w:val="19"/>
        </w:rPr>
        <w:t xml:space="preserve"> </w:t>
      </w:r>
      <w:r w:rsidRPr="00AF6C31">
        <w:rPr>
          <w:rFonts w:ascii="Arial" w:hAnsi="Arial" w:cs="Arial"/>
          <w:bCs/>
          <w:sz w:val="19"/>
          <w:szCs w:val="19"/>
        </w:rPr>
        <w:t>En todo caso, conforme al parágrafo 3 del artículo 30 del Estatuto General de Contratación de la Administración pública, es necesario tener en cuenta que para los procesos de licitación para los contratistas de obra pública la oferta debe entregarse en dos sobres. El sobre numero 2 contiene la propuesta económica, y la norma dispone «[…]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r w:rsidR="000E229F">
        <w:rPr>
          <w:rFonts w:ascii="Arial" w:hAnsi="Arial" w:cs="Arial"/>
          <w:bCs/>
          <w:sz w:val="19"/>
          <w:szCs w:val="19"/>
        </w:rPr>
        <w:t>.</w:t>
      </w:r>
      <w:r w:rsidRPr="00AF6C31">
        <w:rPr>
          <w:rFonts w:ascii="Arial" w:hAnsi="Arial" w:cs="Arial"/>
          <w:bCs/>
          <w:sz w:val="19"/>
          <w:szCs w:val="19"/>
        </w:rPr>
        <w:t xml:space="preserve"> </w:t>
      </w:r>
    </w:p>
  </w:footnote>
  <w:footnote w:id="20">
    <w:p w14:paraId="3820B44F" w14:textId="1DDC59B1" w:rsidR="00BA6490" w:rsidRPr="00030F0F" w:rsidRDefault="00BA6490" w:rsidP="00030F0F">
      <w:pPr>
        <w:pBdr>
          <w:top w:val="nil"/>
          <w:left w:val="nil"/>
          <w:bottom w:val="nil"/>
          <w:right w:val="nil"/>
          <w:between w:val="nil"/>
        </w:pBdr>
        <w:spacing w:after="0" w:line="240" w:lineRule="auto"/>
        <w:ind w:firstLine="709"/>
        <w:rPr>
          <w:rFonts w:ascii="Arial" w:hAnsi="Arial" w:cs="Arial"/>
          <w:color w:val="000000"/>
          <w:sz w:val="19"/>
          <w:szCs w:val="19"/>
        </w:rPr>
      </w:pPr>
      <w:r w:rsidRPr="00030F0F">
        <w:rPr>
          <w:rFonts w:ascii="Arial" w:hAnsi="Arial" w:cs="Arial"/>
          <w:sz w:val="19"/>
          <w:szCs w:val="19"/>
          <w:vertAlign w:val="superscript"/>
        </w:rPr>
        <w:footnoteRef/>
      </w:r>
      <w:r w:rsidRPr="00030F0F">
        <w:rPr>
          <w:rFonts w:ascii="Arial" w:hAnsi="Arial" w:cs="Arial"/>
          <w:color w:val="000000"/>
          <w:sz w:val="19"/>
          <w:szCs w:val="19"/>
        </w:rPr>
        <w:t xml:space="preserve"> </w:t>
      </w:r>
      <w:r w:rsidR="0018180F" w:rsidRPr="00AF6C31">
        <w:rPr>
          <w:rFonts w:ascii="Arial" w:eastAsia="Arial" w:hAnsi="Arial" w:cs="Arial"/>
          <w:color w:val="000000"/>
          <w:sz w:val="19"/>
          <w:szCs w:val="19"/>
        </w:rPr>
        <w:t>Ibídem</w:t>
      </w:r>
      <w:r w:rsidRPr="00AF6C31">
        <w:rPr>
          <w:rFonts w:ascii="Arial" w:eastAsia="Arial" w:hAnsi="Arial" w:cs="Arial"/>
          <w:i/>
          <w:color w:val="000000"/>
          <w:sz w:val="19"/>
          <w:szCs w:val="19"/>
        </w:rPr>
        <w:t>.</w:t>
      </w:r>
    </w:p>
  </w:footnote>
  <w:footnote w:id="21">
    <w:p w14:paraId="59B21224" w14:textId="361786E9" w:rsidR="00BA6490" w:rsidRPr="00030F0F" w:rsidRDefault="00BA6490" w:rsidP="00030F0F">
      <w:pPr>
        <w:pBdr>
          <w:top w:val="nil"/>
          <w:left w:val="nil"/>
          <w:bottom w:val="nil"/>
          <w:right w:val="nil"/>
          <w:between w:val="nil"/>
        </w:pBdr>
        <w:spacing w:after="0" w:line="240" w:lineRule="auto"/>
        <w:ind w:firstLine="709"/>
        <w:rPr>
          <w:rFonts w:ascii="Arial" w:hAnsi="Arial" w:cs="Arial"/>
          <w:color w:val="000000"/>
          <w:sz w:val="19"/>
          <w:szCs w:val="19"/>
        </w:rPr>
      </w:pPr>
      <w:r w:rsidRPr="00030F0F">
        <w:rPr>
          <w:rFonts w:ascii="Arial" w:hAnsi="Arial" w:cs="Arial"/>
          <w:sz w:val="19"/>
          <w:szCs w:val="19"/>
          <w:vertAlign w:val="superscript"/>
        </w:rPr>
        <w:footnoteRef/>
      </w:r>
      <w:r w:rsidRPr="00030F0F">
        <w:rPr>
          <w:rFonts w:ascii="Arial" w:hAnsi="Arial" w:cs="Arial"/>
          <w:color w:val="000000"/>
          <w:sz w:val="19"/>
          <w:szCs w:val="19"/>
        </w:rPr>
        <w:t xml:space="preserve"> </w:t>
      </w:r>
      <w:r w:rsidR="0018180F" w:rsidRPr="00030F0F">
        <w:rPr>
          <w:rFonts w:ascii="Arial" w:hAnsi="Arial" w:cs="Arial"/>
          <w:color w:val="000000"/>
          <w:sz w:val="19"/>
          <w:szCs w:val="19"/>
        </w:rPr>
        <w:t>Ibídem</w:t>
      </w:r>
    </w:p>
  </w:footnote>
  <w:footnote w:id="22">
    <w:p w14:paraId="391C4E4E" w14:textId="5BC277E1" w:rsidR="00BA6490" w:rsidRPr="00AF6C31" w:rsidRDefault="00BA6490" w:rsidP="00030F0F">
      <w:pPr>
        <w:pStyle w:val="Textonotapie"/>
        <w:ind w:firstLine="709"/>
        <w:rPr>
          <w:rFonts w:ascii="Arial" w:hAnsi="Arial" w:cs="Arial"/>
          <w:sz w:val="19"/>
          <w:szCs w:val="19"/>
          <w:lang w:val="es-CO"/>
        </w:rPr>
      </w:pPr>
      <w:r w:rsidRPr="00AF6C31">
        <w:rPr>
          <w:rStyle w:val="Refdenotaalpie"/>
          <w:rFonts w:ascii="Arial" w:hAnsi="Arial" w:cs="Arial"/>
          <w:sz w:val="19"/>
          <w:szCs w:val="19"/>
        </w:rPr>
        <w:footnoteRef/>
      </w:r>
      <w:r w:rsidRPr="00AF6C31">
        <w:rPr>
          <w:rFonts w:ascii="Arial" w:hAnsi="Arial" w:cs="Arial"/>
          <w:sz w:val="19"/>
          <w:szCs w:val="19"/>
        </w:rPr>
        <w:t xml:space="preserve">Numeral 1.6. de los documentos tipo de licitación de obra pública de infraestructura de transporte, versión 3, vigentes.  </w:t>
      </w:r>
    </w:p>
  </w:footnote>
  <w:footnote w:id="23">
    <w:p w14:paraId="34E1189F" w14:textId="0777CB63" w:rsidR="006A2F8D" w:rsidRPr="00AF6C31" w:rsidRDefault="006A2F8D" w:rsidP="00030F0F">
      <w:pPr>
        <w:pStyle w:val="Textonotapie"/>
        <w:ind w:firstLine="709"/>
        <w:rPr>
          <w:rFonts w:ascii="Arial" w:hAnsi="Arial" w:cs="Arial"/>
          <w:sz w:val="19"/>
          <w:szCs w:val="19"/>
          <w:lang w:val="es-CO"/>
        </w:rPr>
      </w:pPr>
      <w:r w:rsidRPr="00030F0F">
        <w:rPr>
          <w:rStyle w:val="Refdenotaalpie"/>
          <w:rFonts w:ascii="Arial" w:hAnsi="Arial" w:cs="Arial"/>
          <w:sz w:val="19"/>
          <w:szCs w:val="19"/>
        </w:rPr>
        <w:footnoteRef/>
      </w:r>
      <w:r w:rsidRPr="00030F0F">
        <w:rPr>
          <w:rFonts w:ascii="Arial" w:hAnsi="Arial" w:cs="Arial"/>
          <w:sz w:val="19"/>
          <w:szCs w:val="19"/>
        </w:rPr>
        <w:t xml:space="preserve"> </w:t>
      </w:r>
      <w:r w:rsidRPr="00AF6C31">
        <w:rPr>
          <w:rFonts w:ascii="Arial" w:hAnsi="Arial" w:cs="Arial"/>
          <w:sz w:val="19"/>
          <w:szCs w:val="19"/>
          <w:lang w:val="es-CO"/>
        </w:rPr>
        <w:t>En ese sentido</w:t>
      </w:r>
      <w:r w:rsidR="00AA2F74" w:rsidRPr="00AF6C31">
        <w:rPr>
          <w:rFonts w:ascii="Arial" w:hAnsi="Arial" w:cs="Arial"/>
          <w:sz w:val="19"/>
          <w:szCs w:val="19"/>
          <w:lang w:val="es-CO"/>
        </w:rPr>
        <w:t xml:space="preserve">, además, de las sentencia citadas con anterioridad en el texto del presente concepto, </w:t>
      </w:r>
      <w:r w:rsidRPr="00AF6C31">
        <w:rPr>
          <w:rFonts w:ascii="Arial" w:hAnsi="Arial" w:cs="Arial"/>
          <w:sz w:val="19"/>
          <w:szCs w:val="19"/>
          <w:lang w:val="es-CO"/>
        </w:rPr>
        <w:t xml:space="preserve"> pueden verse las siguientes sentencias, en las que se aprecia la comprensión sustancial de la figura de la </w:t>
      </w:r>
      <w:proofErr w:type="spellStart"/>
      <w:r w:rsidRPr="00AF6C31">
        <w:rPr>
          <w:rFonts w:ascii="Arial" w:hAnsi="Arial" w:cs="Arial"/>
          <w:sz w:val="19"/>
          <w:szCs w:val="19"/>
          <w:lang w:val="es-CO"/>
        </w:rPr>
        <w:t>subsanabilidad</w:t>
      </w:r>
      <w:proofErr w:type="spellEnd"/>
      <w:r w:rsidRPr="00AF6C31">
        <w:rPr>
          <w:rFonts w:ascii="Arial" w:hAnsi="Arial" w:cs="Arial"/>
          <w:sz w:val="19"/>
          <w:szCs w:val="19"/>
          <w:lang w:val="es-CO"/>
        </w:rPr>
        <w:t xml:space="preserve"> de las ofertas:</w:t>
      </w:r>
      <w:r w:rsidR="00AA2F74" w:rsidRPr="00AF6C31">
        <w:rPr>
          <w:rFonts w:ascii="Arial" w:hAnsi="Arial" w:cs="Arial"/>
          <w:sz w:val="19"/>
          <w:szCs w:val="19"/>
        </w:rPr>
        <w:t xml:space="preserve"> Sentencia del 18 de octubre de 2000, proferida por la Sección Tercera del Consejo de Estado, expediente 12.663</w:t>
      </w:r>
      <w:r w:rsidR="00C74854" w:rsidRPr="00AF6C31">
        <w:rPr>
          <w:rFonts w:ascii="Arial" w:hAnsi="Arial" w:cs="Arial"/>
          <w:sz w:val="19"/>
          <w:szCs w:val="19"/>
        </w:rPr>
        <w:t>;</w:t>
      </w:r>
      <w:r w:rsidR="00AA2F74" w:rsidRPr="00AF6C31">
        <w:rPr>
          <w:rFonts w:ascii="Arial" w:hAnsi="Arial" w:cs="Arial"/>
          <w:sz w:val="19"/>
          <w:szCs w:val="19"/>
        </w:rPr>
        <w:t xml:space="preserve"> Sentencia del 3 de diciembre de 2007, radicado 24.715, 25.206, 25.409, 24.524, 27.834, 25.410, 26.105, 28.244, 31.447, acumulados</w:t>
      </w:r>
      <w:r w:rsidR="00C74854" w:rsidRPr="00AF6C31">
        <w:rPr>
          <w:rFonts w:ascii="Arial" w:hAnsi="Arial" w:cs="Arial"/>
          <w:sz w:val="19"/>
          <w:szCs w:val="19"/>
        </w:rPr>
        <w:t>;</w:t>
      </w:r>
      <w:r w:rsidR="00C74854" w:rsidRPr="00030F0F">
        <w:rPr>
          <w:rFonts w:ascii="Arial" w:hAnsi="Arial" w:cs="Arial"/>
          <w:sz w:val="19"/>
          <w:szCs w:val="19"/>
        </w:rPr>
        <w:t xml:space="preserve"> </w:t>
      </w:r>
      <w:r w:rsidR="00C74854" w:rsidRPr="00AF6C31">
        <w:rPr>
          <w:rFonts w:ascii="Arial" w:hAnsi="Arial" w:cs="Arial"/>
          <w:sz w:val="19"/>
          <w:szCs w:val="19"/>
        </w:rPr>
        <w:t xml:space="preserve">Sentencia del 26 de febrero de 2014, proferida por la Sección Tercera Subsección C, en el expediente radicado 25.804; </w:t>
      </w:r>
      <w:r w:rsidR="0018180F" w:rsidRPr="00AF6C31">
        <w:rPr>
          <w:rFonts w:ascii="Arial" w:hAnsi="Arial" w:cs="Arial"/>
          <w:sz w:val="19"/>
          <w:szCs w:val="19"/>
          <w:lang w:val="es-CO"/>
        </w:rPr>
        <w:t>sentencia</w:t>
      </w:r>
      <w:r w:rsidR="00AA2F74" w:rsidRPr="00AF6C31">
        <w:rPr>
          <w:rFonts w:ascii="Arial" w:hAnsi="Arial" w:cs="Arial"/>
          <w:sz w:val="19"/>
          <w:szCs w:val="19"/>
          <w:lang w:val="es-CO"/>
        </w:rPr>
        <w:t xml:space="preserve"> del 12 de junio del 2014, proferida por la Sección Tercera, Subsección C. en el expediente 2324, C.P Enrique Gil Botero</w:t>
      </w:r>
      <w:r w:rsidR="00C74854" w:rsidRPr="00AF6C31">
        <w:rPr>
          <w:rFonts w:ascii="Arial" w:hAnsi="Arial" w:cs="Arial"/>
          <w:sz w:val="19"/>
          <w:szCs w:val="19"/>
          <w:lang w:val="es-CO"/>
        </w:rPr>
        <w:t>;</w:t>
      </w:r>
      <w:r w:rsidR="00AA2F74" w:rsidRPr="00AF6C31">
        <w:rPr>
          <w:rFonts w:ascii="Arial" w:hAnsi="Arial" w:cs="Arial"/>
          <w:sz w:val="19"/>
          <w:szCs w:val="19"/>
          <w:lang w:val="es-CO"/>
        </w:rPr>
        <w:t xml:space="preserve"> </w:t>
      </w:r>
      <w:r w:rsidR="00E808B0">
        <w:rPr>
          <w:rFonts w:ascii="Arial" w:hAnsi="Arial" w:cs="Arial"/>
          <w:sz w:val="19"/>
          <w:szCs w:val="19"/>
          <w:lang w:val="es-CO"/>
        </w:rPr>
        <w:t xml:space="preserve">y </w:t>
      </w:r>
      <w:r w:rsidR="00AA2F74" w:rsidRPr="00AF6C31">
        <w:rPr>
          <w:rFonts w:ascii="Arial" w:hAnsi="Arial" w:cs="Arial"/>
          <w:sz w:val="19"/>
          <w:szCs w:val="19"/>
          <w:lang w:val="es-CO"/>
        </w:rPr>
        <w:t>sentencia del 10 de diciembre del 2018, proferida por la Sección Tercera, Subsección A. en el expediente 390664, C.P Carlos Alberto Zambrano</w:t>
      </w:r>
      <w:r w:rsidR="00E808B0">
        <w:rPr>
          <w:rFonts w:ascii="Arial" w:hAnsi="Arial" w:cs="Arial"/>
          <w:sz w:val="19"/>
          <w:szCs w:val="19"/>
          <w:lang w:val="es-CO"/>
        </w:rPr>
        <w:t>.</w:t>
      </w:r>
    </w:p>
  </w:footnote>
  <w:footnote w:id="24">
    <w:p w14:paraId="361C4DEC" w14:textId="77777777" w:rsidR="00E808B0" w:rsidRDefault="00E808B0">
      <w:pPr>
        <w:pStyle w:val="Textonotapie"/>
        <w:ind w:firstLine="709"/>
        <w:rPr>
          <w:rFonts w:ascii="Arial" w:hAnsi="Arial" w:cs="Arial"/>
          <w:sz w:val="19"/>
          <w:szCs w:val="19"/>
        </w:rPr>
      </w:pPr>
    </w:p>
    <w:p w14:paraId="6953D411" w14:textId="020287B1" w:rsidR="00C74854" w:rsidRPr="00030F0F" w:rsidRDefault="00C74854" w:rsidP="00030F0F">
      <w:pPr>
        <w:pStyle w:val="Textonotapie"/>
        <w:ind w:firstLine="709"/>
        <w:rPr>
          <w:rFonts w:ascii="Arial" w:hAnsi="Arial" w:cs="Arial"/>
          <w:sz w:val="19"/>
          <w:szCs w:val="19"/>
          <w:lang w:val="es-CO"/>
        </w:rPr>
      </w:pPr>
      <w:r w:rsidRPr="00030F0F">
        <w:rPr>
          <w:rStyle w:val="Refdenotaalpie"/>
          <w:rFonts w:ascii="Arial" w:hAnsi="Arial" w:cs="Arial"/>
          <w:sz w:val="19"/>
          <w:szCs w:val="19"/>
        </w:rPr>
        <w:footnoteRef/>
      </w:r>
      <w:r w:rsidRPr="00030F0F">
        <w:rPr>
          <w:rFonts w:ascii="Arial" w:hAnsi="Arial" w:cs="Arial"/>
          <w:sz w:val="19"/>
          <w:szCs w:val="19"/>
        </w:rPr>
        <w:t xml:space="preserve"> </w:t>
      </w:r>
      <w:r w:rsidRPr="00030F0F">
        <w:rPr>
          <w:rFonts w:ascii="Arial" w:hAnsi="Arial" w:cs="Arial"/>
          <w:sz w:val="19"/>
          <w:szCs w:val="19"/>
          <w:lang w:val="es-CO"/>
        </w:rPr>
        <w:t>Sobre esta conclusión resultan particularmente ilustrativas las consideraciones del</w:t>
      </w:r>
      <w:r w:rsidRPr="00030F0F">
        <w:rPr>
          <w:rFonts w:ascii="Arial" w:hAnsi="Arial" w:cs="Arial"/>
          <w:sz w:val="19"/>
          <w:szCs w:val="19"/>
        </w:rPr>
        <w:t xml:space="preserve"> Consejo de Estado, Sala de lo Contencioso Administrativo, Sección Tercera, Subsección A, contenidas en la Sentencia del 24 de octubre de 2016, expediente 21.324.</w:t>
      </w:r>
      <w:r w:rsidRPr="00030F0F">
        <w:rPr>
          <w:rFonts w:ascii="Arial" w:hAnsi="Arial" w:cs="Arial"/>
          <w:sz w:val="19"/>
          <w:szCs w:val="19"/>
          <w:lang w:val="es-CO"/>
        </w:rPr>
        <w:t xml:space="preserve">, en la cual se señaló que la finalidad de los procesos contractuales es </w:t>
      </w:r>
      <w:r w:rsidRPr="00030F0F">
        <w:rPr>
          <w:rFonts w:ascii="Arial" w:hAnsi="Arial" w:cs="Arial"/>
          <w:sz w:val="19"/>
          <w:szCs w:val="19"/>
        </w:rPr>
        <w:t>“asegurar el derecho a participar en el acceso a los contratos del Estado”.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A4F8" w14:textId="77777777" w:rsidR="00BA6490" w:rsidRDefault="00BA6490">
    <w:pPr>
      <w:pBdr>
        <w:top w:val="nil"/>
        <w:left w:val="nil"/>
        <w:bottom w:val="nil"/>
        <w:right w:val="nil"/>
        <w:between w:val="nil"/>
      </w:pBdr>
      <w:tabs>
        <w:tab w:val="center" w:pos="4252"/>
        <w:tab w:val="right" w:pos="8504"/>
      </w:tabs>
      <w:rPr>
        <w:color w:val="000000"/>
      </w:rPr>
    </w:pPr>
    <w:r>
      <w:rPr>
        <w:noProof/>
        <w:lang w:val="es-CO" w:eastAsia="es-CO"/>
      </w:rPr>
      <w:drawing>
        <wp:anchor distT="0" distB="0" distL="114300" distR="114300" simplePos="0" relativeHeight="251658240" behindDoc="0" locked="0" layoutInCell="1" hidden="0" allowOverlap="1" wp14:anchorId="1738C0C5" wp14:editId="77481344">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4B658473" w14:textId="77777777" w:rsidR="00BA6490" w:rsidRDefault="00BA6490">
    <w:pPr>
      <w:pBdr>
        <w:top w:val="nil"/>
        <w:left w:val="nil"/>
        <w:bottom w:val="nil"/>
        <w:right w:val="nil"/>
        <w:between w:val="nil"/>
      </w:pBdr>
      <w:tabs>
        <w:tab w:val="center" w:pos="4252"/>
        <w:tab w:val="right" w:pos="8504"/>
      </w:tabs>
      <w:spacing w:after="0"/>
      <w:rPr>
        <w:color w:val="000000"/>
      </w:rPr>
    </w:pPr>
  </w:p>
  <w:p w14:paraId="10971F20" w14:textId="77777777" w:rsidR="00BA6490" w:rsidRDefault="00BA649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E3"/>
    <w:multiLevelType w:val="hybridMultilevel"/>
    <w:tmpl w:val="5796AAE4"/>
    <w:lvl w:ilvl="0" w:tplc="90547F3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AE944F8"/>
    <w:multiLevelType w:val="hybridMultilevel"/>
    <w:tmpl w:val="549C73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7F2A10"/>
    <w:multiLevelType w:val="hybridMultilevel"/>
    <w:tmpl w:val="1FBE013A"/>
    <w:lvl w:ilvl="0" w:tplc="EF3096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D506E3C"/>
    <w:multiLevelType w:val="hybridMultilevel"/>
    <w:tmpl w:val="B17EE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407C4"/>
    <w:multiLevelType w:val="hybridMultilevel"/>
    <w:tmpl w:val="3EEA22F4"/>
    <w:lvl w:ilvl="0" w:tplc="82D21D6C">
      <w:start w:val="1"/>
      <w:numFmt w:val="bullet"/>
      <w:lvlText w:val="-"/>
      <w:lvlJc w:val="left"/>
      <w:pPr>
        <w:ind w:left="1080" w:hanging="360"/>
      </w:pPr>
      <w:rPr>
        <w:rFonts w:ascii="Arial" w:eastAsia="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AE4EC2"/>
    <w:multiLevelType w:val="hybridMultilevel"/>
    <w:tmpl w:val="C6008E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012183"/>
    <w:multiLevelType w:val="hybridMultilevel"/>
    <w:tmpl w:val="A6545F1A"/>
    <w:lvl w:ilvl="0" w:tplc="F834AA70">
      <w:start w:val="1"/>
      <w:numFmt w:val="decimal"/>
      <w:lvlText w:val="%1."/>
      <w:lvlJc w:val="left"/>
      <w:pPr>
        <w:ind w:left="1008" w:hanging="280"/>
        <w:jc w:val="right"/>
      </w:pPr>
      <w:rPr>
        <w:rFonts w:hint="default"/>
        <w:spacing w:val="-13"/>
        <w:w w:val="100"/>
        <w:lang w:val="es-ES" w:eastAsia="es-ES" w:bidi="es-ES"/>
      </w:rPr>
    </w:lvl>
    <w:lvl w:ilvl="1" w:tplc="25F46660">
      <w:numFmt w:val="bullet"/>
      <w:lvlText w:val="•"/>
      <w:lvlJc w:val="left"/>
      <w:pPr>
        <w:ind w:left="1854" w:hanging="280"/>
      </w:pPr>
      <w:rPr>
        <w:rFonts w:hint="default"/>
        <w:lang w:val="es-ES" w:eastAsia="es-ES" w:bidi="es-ES"/>
      </w:rPr>
    </w:lvl>
    <w:lvl w:ilvl="2" w:tplc="D8DE7148">
      <w:numFmt w:val="bullet"/>
      <w:lvlText w:val="•"/>
      <w:lvlJc w:val="left"/>
      <w:pPr>
        <w:ind w:left="2708" w:hanging="280"/>
      </w:pPr>
      <w:rPr>
        <w:rFonts w:hint="default"/>
        <w:lang w:val="es-ES" w:eastAsia="es-ES" w:bidi="es-ES"/>
      </w:rPr>
    </w:lvl>
    <w:lvl w:ilvl="3" w:tplc="71C8629A">
      <w:numFmt w:val="bullet"/>
      <w:lvlText w:val="•"/>
      <w:lvlJc w:val="left"/>
      <w:pPr>
        <w:ind w:left="3562" w:hanging="280"/>
      </w:pPr>
      <w:rPr>
        <w:rFonts w:hint="default"/>
        <w:lang w:val="es-ES" w:eastAsia="es-ES" w:bidi="es-ES"/>
      </w:rPr>
    </w:lvl>
    <w:lvl w:ilvl="4" w:tplc="25D00170">
      <w:numFmt w:val="bullet"/>
      <w:lvlText w:val="•"/>
      <w:lvlJc w:val="left"/>
      <w:pPr>
        <w:ind w:left="4416" w:hanging="280"/>
      </w:pPr>
      <w:rPr>
        <w:rFonts w:hint="default"/>
        <w:lang w:val="es-ES" w:eastAsia="es-ES" w:bidi="es-ES"/>
      </w:rPr>
    </w:lvl>
    <w:lvl w:ilvl="5" w:tplc="79182724">
      <w:numFmt w:val="bullet"/>
      <w:lvlText w:val="•"/>
      <w:lvlJc w:val="left"/>
      <w:pPr>
        <w:ind w:left="5270" w:hanging="280"/>
      </w:pPr>
      <w:rPr>
        <w:rFonts w:hint="default"/>
        <w:lang w:val="es-ES" w:eastAsia="es-ES" w:bidi="es-ES"/>
      </w:rPr>
    </w:lvl>
    <w:lvl w:ilvl="6" w:tplc="D33AFA62">
      <w:numFmt w:val="bullet"/>
      <w:lvlText w:val="•"/>
      <w:lvlJc w:val="left"/>
      <w:pPr>
        <w:ind w:left="6124" w:hanging="280"/>
      </w:pPr>
      <w:rPr>
        <w:rFonts w:hint="default"/>
        <w:lang w:val="es-ES" w:eastAsia="es-ES" w:bidi="es-ES"/>
      </w:rPr>
    </w:lvl>
    <w:lvl w:ilvl="7" w:tplc="2272B4E4">
      <w:numFmt w:val="bullet"/>
      <w:lvlText w:val="•"/>
      <w:lvlJc w:val="left"/>
      <w:pPr>
        <w:ind w:left="6978" w:hanging="280"/>
      </w:pPr>
      <w:rPr>
        <w:rFonts w:hint="default"/>
        <w:lang w:val="es-ES" w:eastAsia="es-ES" w:bidi="es-ES"/>
      </w:rPr>
    </w:lvl>
    <w:lvl w:ilvl="8" w:tplc="2DDE1FF6">
      <w:numFmt w:val="bullet"/>
      <w:lvlText w:val="•"/>
      <w:lvlJc w:val="left"/>
      <w:pPr>
        <w:ind w:left="7832" w:hanging="280"/>
      </w:pPr>
      <w:rPr>
        <w:rFonts w:hint="default"/>
        <w:lang w:val="es-ES" w:eastAsia="es-ES" w:bidi="es-ES"/>
      </w:rPr>
    </w:lvl>
  </w:abstractNum>
  <w:abstractNum w:abstractNumId="8" w15:restartNumberingAfterBreak="0">
    <w:nsid w:val="366F0EF9"/>
    <w:multiLevelType w:val="multilevel"/>
    <w:tmpl w:val="483A64F6"/>
    <w:lvl w:ilvl="0">
      <w:start w:val="1"/>
      <w:numFmt w:val="decimal"/>
      <w:lvlText w:val="%1."/>
      <w:lvlJc w:val="left"/>
      <w:pPr>
        <w:ind w:left="1429" w:hanging="360"/>
      </w:pPr>
      <w:rPr>
        <w:rFonts w:hint="default"/>
      </w:r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3A98220F"/>
    <w:multiLevelType w:val="hybridMultilevel"/>
    <w:tmpl w:val="28BE89E0"/>
    <w:lvl w:ilvl="0" w:tplc="A098732E">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0" w15:restartNumberingAfterBreak="0">
    <w:nsid w:val="412F6BCA"/>
    <w:multiLevelType w:val="hybridMultilevel"/>
    <w:tmpl w:val="29FAAD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1383C2B"/>
    <w:multiLevelType w:val="hybridMultilevel"/>
    <w:tmpl w:val="1FBE013A"/>
    <w:lvl w:ilvl="0" w:tplc="EF3096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B0F461B"/>
    <w:multiLevelType w:val="multilevel"/>
    <w:tmpl w:val="810A030E"/>
    <w:lvl w:ilvl="0">
      <w:start w:val="1"/>
      <w:numFmt w:val="decimal"/>
      <w:lvlText w:val="%1."/>
      <w:lvlJc w:val="left"/>
      <w:pPr>
        <w:ind w:left="720" w:hanging="360"/>
      </w:pPr>
      <w:rPr>
        <w:rFonts w:hint="default"/>
        <w:sz w:val="22"/>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51BC72FE"/>
    <w:multiLevelType w:val="hybridMultilevel"/>
    <w:tmpl w:val="30AA68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70D68B1"/>
    <w:multiLevelType w:val="hybridMultilevel"/>
    <w:tmpl w:val="1FBE013A"/>
    <w:lvl w:ilvl="0" w:tplc="EF3096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58225F5E"/>
    <w:multiLevelType w:val="hybridMultilevel"/>
    <w:tmpl w:val="D3702DAE"/>
    <w:lvl w:ilvl="0" w:tplc="F092A82A">
      <w:start w:val="1"/>
      <w:numFmt w:val="lowerLetter"/>
      <w:lvlText w:val="%1)"/>
      <w:lvlJc w:val="left"/>
      <w:pPr>
        <w:ind w:left="555" w:hanging="255"/>
      </w:pPr>
      <w:rPr>
        <w:rFonts w:ascii="Arial" w:eastAsia="Arial" w:hAnsi="Arial" w:cs="Arial" w:hint="default"/>
        <w:b/>
        <w:bCs/>
        <w:color w:val="000000" w:themeColor="text1"/>
        <w:spacing w:val="-1"/>
        <w:w w:val="100"/>
        <w:sz w:val="22"/>
        <w:szCs w:val="22"/>
        <w:lang w:val="es-ES" w:eastAsia="es-ES" w:bidi="es-ES"/>
      </w:rPr>
    </w:lvl>
    <w:lvl w:ilvl="1" w:tplc="1A4675B6">
      <w:numFmt w:val="bullet"/>
      <w:lvlText w:val="•"/>
      <w:lvlJc w:val="left"/>
      <w:pPr>
        <w:ind w:left="1458" w:hanging="255"/>
      </w:pPr>
      <w:rPr>
        <w:rFonts w:hint="default"/>
        <w:lang w:val="es-ES" w:eastAsia="es-ES" w:bidi="es-ES"/>
      </w:rPr>
    </w:lvl>
    <w:lvl w:ilvl="2" w:tplc="23329AB8">
      <w:numFmt w:val="bullet"/>
      <w:lvlText w:val="•"/>
      <w:lvlJc w:val="left"/>
      <w:pPr>
        <w:ind w:left="2356" w:hanging="255"/>
      </w:pPr>
      <w:rPr>
        <w:rFonts w:hint="default"/>
        <w:lang w:val="es-ES" w:eastAsia="es-ES" w:bidi="es-ES"/>
      </w:rPr>
    </w:lvl>
    <w:lvl w:ilvl="3" w:tplc="FCB0B6BC">
      <w:numFmt w:val="bullet"/>
      <w:lvlText w:val="•"/>
      <w:lvlJc w:val="left"/>
      <w:pPr>
        <w:ind w:left="3254" w:hanging="255"/>
      </w:pPr>
      <w:rPr>
        <w:rFonts w:hint="default"/>
        <w:lang w:val="es-ES" w:eastAsia="es-ES" w:bidi="es-ES"/>
      </w:rPr>
    </w:lvl>
    <w:lvl w:ilvl="4" w:tplc="D806E2C2">
      <w:numFmt w:val="bullet"/>
      <w:lvlText w:val="•"/>
      <w:lvlJc w:val="left"/>
      <w:pPr>
        <w:ind w:left="4152" w:hanging="255"/>
      </w:pPr>
      <w:rPr>
        <w:rFonts w:hint="default"/>
        <w:lang w:val="es-ES" w:eastAsia="es-ES" w:bidi="es-ES"/>
      </w:rPr>
    </w:lvl>
    <w:lvl w:ilvl="5" w:tplc="EF4495DC">
      <w:numFmt w:val="bullet"/>
      <w:lvlText w:val="•"/>
      <w:lvlJc w:val="left"/>
      <w:pPr>
        <w:ind w:left="5050" w:hanging="255"/>
      </w:pPr>
      <w:rPr>
        <w:rFonts w:hint="default"/>
        <w:lang w:val="es-ES" w:eastAsia="es-ES" w:bidi="es-ES"/>
      </w:rPr>
    </w:lvl>
    <w:lvl w:ilvl="6" w:tplc="B42EC684">
      <w:numFmt w:val="bullet"/>
      <w:lvlText w:val="•"/>
      <w:lvlJc w:val="left"/>
      <w:pPr>
        <w:ind w:left="5948" w:hanging="255"/>
      </w:pPr>
      <w:rPr>
        <w:rFonts w:hint="default"/>
        <w:lang w:val="es-ES" w:eastAsia="es-ES" w:bidi="es-ES"/>
      </w:rPr>
    </w:lvl>
    <w:lvl w:ilvl="7" w:tplc="50BCD532">
      <w:numFmt w:val="bullet"/>
      <w:lvlText w:val="•"/>
      <w:lvlJc w:val="left"/>
      <w:pPr>
        <w:ind w:left="6846" w:hanging="255"/>
      </w:pPr>
      <w:rPr>
        <w:rFonts w:hint="default"/>
        <w:lang w:val="es-ES" w:eastAsia="es-ES" w:bidi="es-ES"/>
      </w:rPr>
    </w:lvl>
    <w:lvl w:ilvl="8" w:tplc="9AA432A4">
      <w:numFmt w:val="bullet"/>
      <w:lvlText w:val="•"/>
      <w:lvlJc w:val="left"/>
      <w:pPr>
        <w:ind w:left="7744" w:hanging="255"/>
      </w:pPr>
      <w:rPr>
        <w:rFonts w:hint="default"/>
        <w:lang w:val="es-ES" w:eastAsia="es-ES" w:bidi="es-ES"/>
      </w:rPr>
    </w:lvl>
  </w:abstractNum>
  <w:abstractNum w:abstractNumId="17" w15:restartNumberingAfterBreak="0">
    <w:nsid w:val="58F43F16"/>
    <w:multiLevelType w:val="hybridMultilevel"/>
    <w:tmpl w:val="8D1AB136"/>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8B74AA"/>
    <w:multiLevelType w:val="hybridMultilevel"/>
    <w:tmpl w:val="CB5E6D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A250521"/>
    <w:multiLevelType w:val="hybridMultilevel"/>
    <w:tmpl w:val="D988F23A"/>
    <w:lvl w:ilvl="0" w:tplc="06CC0ED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60737832"/>
    <w:multiLevelType w:val="hybridMultilevel"/>
    <w:tmpl w:val="90A21EBA"/>
    <w:lvl w:ilvl="0" w:tplc="B0B48D6A">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65471227"/>
    <w:multiLevelType w:val="hybridMultilevel"/>
    <w:tmpl w:val="549C73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7365C5A"/>
    <w:multiLevelType w:val="multilevel"/>
    <w:tmpl w:val="52D4F4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36584C"/>
    <w:multiLevelType w:val="hybridMultilevel"/>
    <w:tmpl w:val="C7BAB5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DE77614"/>
    <w:multiLevelType w:val="hybridMultilevel"/>
    <w:tmpl w:val="28BE89E0"/>
    <w:lvl w:ilvl="0" w:tplc="A098732E">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16cid:durableId="2126608111">
    <w:abstractNumId w:val="17"/>
  </w:num>
  <w:num w:numId="2" w16cid:durableId="1680346176">
    <w:abstractNumId w:val="23"/>
  </w:num>
  <w:num w:numId="3" w16cid:durableId="1012997009">
    <w:abstractNumId w:val="9"/>
  </w:num>
  <w:num w:numId="4" w16cid:durableId="868030152">
    <w:abstractNumId w:val="24"/>
  </w:num>
  <w:num w:numId="5" w16cid:durableId="1469937393">
    <w:abstractNumId w:val="0"/>
  </w:num>
  <w:num w:numId="6" w16cid:durableId="1946228692">
    <w:abstractNumId w:val="13"/>
  </w:num>
  <w:num w:numId="7" w16cid:durableId="1649935399">
    <w:abstractNumId w:val="18"/>
  </w:num>
  <w:num w:numId="8" w16cid:durableId="843010621">
    <w:abstractNumId w:val="4"/>
  </w:num>
  <w:num w:numId="9" w16cid:durableId="958292321">
    <w:abstractNumId w:val="15"/>
  </w:num>
  <w:num w:numId="10" w16cid:durableId="307907759">
    <w:abstractNumId w:val="11"/>
  </w:num>
  <w:num w:numId="11" w16cid:durableId="1623339699">
    <w:abstractNumId w:val="2"/>
  </w:num>
  <w:num w:numId="12" w16cid:durableId="1872452209">
    <w:abstractNumId w:val="3"/>
  </w:num>
  <w:num w:numId="13" w16cid:durableId="1887520770">
    <w:abstractNumId w:val="8"/>
  </w:num>
  <w:num w:numId="14" w16cid:durableId="232938447">
    <w:abstractNumId w:val="6"/>
  </w:num>
  <w:num w:numId="15" w16cid:durableId="267196727">
    <w:abstractNumId w:val="1"/>
  </w:num>
  <w:num w:numId="16" w16cid:durableId="778262499">
    <w:abstractNumId w:val="21"/>
  </w:num>
  <w:num w:numId="17" w16cid:durableId="160891955">
    <w:abstractNumId w:val="7"/>
  </w:num>
  <w:num w:numId="18" w16cid:durableId="1245070521">
    <w:abstractNumId w:val="16"/>
  </w:num>
  <w:num w:numId="19" w16cid:durableId="921184946">
    <w:abstractNumId w:val="22"/>
  </w:num>
  <w:num w:numId="20" w16cid:durableId="561450432">
    <w:abstractNumId w:val="12"/>
  </w:num>
  <w:num w:numId="21" w16cid:durableId="98187922">
    <w:abstractNumId w:val="19"/>
  </w:num>
  <w:num w:numId="22" w16cid:durableId="792019617">
    <w:abstractNumId w:val="14"/>
  </w:num>
  <w:num w:numId="23" w16cid:durableId="1389376855">
    <w:abstractNumId w:val="5"/>
  </w:num>
  <w:num w:numId="24" w16cid:durableId="1799103191">
    <w:abstractNumId w:val="20"/>
  </w:num>
  <w:num w:numId="25" w16cid:durableId="1811434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181"/>
    <w:rsid w:val="000018DA"/>
    <w:rsid w:val="00002CBB"/>
    <w:rsid w:val="000030F0"/>
    <w:rsid w:val="000050C5"/>
    <w:rsid w:val="0000699B"/>
    <w:rsid w:val="00010B3E"/>
    <w:rsid w:val="000140C4"/>
    <w:rsid w:val="00015660"/>
    <w:rsid w:val="00017D79"/>
    <w:rsid w:val="00027CDD"/>
    <w:rsid w:val="00030F0F"/>
    <w:rsid w:val="00032699"/>
    <w:rsid w:val="00033443"/>
    <w:rsid w:val="0004105F"/>
    <w:rsid w:val="00046D2D"/>
    <w:rsid w:val="000511F5"/>
    <w:rsid w:val="000545BA"/>
    <w:rsid w:val="00054969"/>
    <w:rsid w:val="00057AC7"/>
    <w:rsid w:val="00057B15"/>
    <w:rsid w:val="000605C5"/>
    <w:rsid w:val="00060F40"/>
    <w:rsid w:val="00063DCC"/>
    <w:rsid w:val="0006799A"/>
    <w:rsid w:val="0007324F"/>
    <w:rsid w:val="00076B95"/>
    <w:rsid w:val="00081DD3"/>
    <w:rsid w:val="00083069"/>
    <w:rsid w:val="000842A4"/>
    <w:rsid w:val="000844CE"/>
    <w:rsid w:val="000845BF"/>
    <w:rsid w:val="00087088"/>
    <w:rsid w:val="000902EF"/>
    <w:rsid w:val="00093B11"/>
    <w:rsid w:val="00097C83"/>
    <w:rsid w:val="000A2731"/>
    <w:rsid w:val="000B00C8"/>
    <w:rsid w:val="000B1145"/>
    <w:rsid w:val="000B2E54"/>
    <w:rsid w:val="000B353A"/>
    <w:rsid w:val="000B4594"/>
    <w:rsid w:val="000B7AA3"/>
    <w:rsid w:val="000C113B"/>
    <w:rsid w:val="000D0AA3"/>
    <w:rsid w:val="000D2381"/>
    <w:rsid w:val="000D5201"/>
    <w:rsid w:val="000E01DD"/>
    <w:rsid w:val="000E229F"/>
    <w:rsid w:val="000E2FC3"/>
    <w:rsid w:val="000E30C5"/>
    <w:rsid w:val="000E379F"/>
    <w:rsid w:val="000E542F"/>
    <w:rsid w:val="000F1429"/>
    <w:rsid w:val="000F227D"/>
    <w:rsid w:val="00101054"/>
    <w:rsid w:val="00101BAD"/>
    <w:rsid w:val="00102941"/>
    <w:rsid w:val="0010477B"/>
    <w:rsid w:val="001070B5"/>
    <w:rsid w:val="00113837"/>
    <w:rsid w:val="0011757A"/>
    <w:rsid w:val="00117BD8"/>
    <w:rsid w:val="001220A2"/>
    <w:rsid w:val="001230DB"/>
    <w:rsid w:val="00124845"/>
    <w:rsid w:val="00127B62"/>
    <w:rsid w:val="0013064B"/>
    <w:rsid w:val="001326E7"/>
    <w:rsid w:val="00133F82"/>
    <w:rsid w:val="00137032"/>
    <w:rsid w:val="0014579E"/>
    <w:rsid w:val="00146CDB"/>
    <w:rsid w:val="001503BF"/>
    <w:rsid w:val="00150423"/>
    <w:rsid w:val="001515A9"/>
    <w:rsid w:val="00151DF3"/>
    <w:rsid w:val="00153293"/>
    <w:rsid w:val="001534FE"/>
    <w:rsid w:val="00156D47"/>
    <w:rsid w:val="0016522C"/>
    <w:rsid w:val="0018033B"/>
    <w:rsid w:val="0018180F"/>
    <w:rsid w:val="001827E7"/>
    <w:rsid w:val="00184724"/>
    <w:rsid w:val="00194E10"/>
    <w:rsid w:val="001A01BA"/>
    <w:rsid w:val="001A6E50"/>
    <w:rsid w:val="001C0EC8"/>
    <w:rsid w:val="001C0FF1"/>
    <w:rsid w:val="001C2850"/>
    <w:rsid w:val="001C35A0"/>
    <w:rsid w:val="001D27F8"/>
    <w:rsid w:val="001D30EF"/>
    <w:rsid w:val="001D486F"/>
    <w:rsid w:val="001D5EB5"/>
    <w:rsid w:val="001D6FC7"/>
    <w:rsid w:val="001D715B"/>
    <w:rsid w:val="001E073E"/>
    <w:rsid w:val="001E0B67"/>
    <w:rsid w:val="001E3F29"/>
    <w:rsid w:val="001E48DF"/>
    <w:rsid w:val="00200046"/>
    <w:rsid w:val="0020665A"/>
    <w:rsid w:val="00213E8F"/>
    <w:rsid w:val="00216C08"/>
    <w:rsid w:val="0022015C"/>
    <w:rsid w:val="00225134"/>
    <w:rsid w:val="00225ABE"/>
    <w:rsid w:val="00234034"/>
    <w:rsid w:val="002355E3"/>
    <w:rsid w:val="00235ABD"/>
    <w:rsid w:val="00240AE4"/>
    <w:rsid w:val="0024504A"/>
    <w:rsid w:val="002459F1"/>
    <w:rsid w:val="002460B6"/>
    <w:rsid w:val="00246BDB"/>
    <w:rsid w:val="00257424"/>
    <w:rsid w:val="002649FB"/>
    <w:rsid w:val="00270801"/>
    <w:rsid w:val="00273C71"/>
    <w:rsid w:val="002753FE"/>
    <w:rsid w:val="0027784B"/>
    <w:rsid w:val="00280402"/>
    <w:rsid w:val="002828AC"/>
    <w:rsid w:val="00282E73"/>
    <w:rsid w:val="0029138E"/>
    <w:rsid w:val="00294DE1"/>
    <w:rsid w:val="002A0770"/>
    <w:rsid w:val="002A2DF8"/>
    <w:rsid w:val="002A4F6B"/>
    <w:rsid w:val="002A539B"/>
    <w:rsid w:val="002A572D"/>
    <w:rsid w:val="002A6FCB"/>
    <w:rsid w:val="002B7BE8"/>
    <w:rsid w:val="002C0494"/>
    <w:rsid w:val="002C0AC5"/>
    <w:rsid w:val="002C115D"/>
    <w:rsid w:val="002C2CF5"/>
    <w:rsid w:val="002C3534"/>
    <w:rsid w:val="002C51EB"/>
    <w:rsid w:val="002C52E8"/>
    <w:rsid w:val="002C5413"/>
    <w:rsid w:val="002D4DA1"/>
    <w:rsid w:val="002E0BEF"/>
    <w:rsid w:val="002E3DD6"/>
    <w:rsid w:val="002E4D20"/>
    <w:rsid w:val="002F3D47"/>
    <w:rsid w:val="002F5BFC"/>
    <w:rsid w:val="002F610B"/>
    <w:rsid w:val="0030205B"/>
    <w:rsid w:val="003056BA"/>
    <w:rsid w:val="00305D5B"/>
    <w:rsid w:val="00311CFD"/>
    <w:rsid w:val="003150EF"/>
    <w:rsid w:val="00315A19"/>
    <w:rsid w:val="00323C9B"/>
    <w:rsid w:val="00326817"/>
    <w:rsid w:val="00326B89"/>
    <w:rsid w:val="00331302"/>
    <w:rsid w:val="00341FF0"/>
    <w:rsid w:val="003429BC"/>
    <w:rsid w:val="0035084D"/>
    <w:rsid w:val="00355453"/>
    <w:rsid w:val="00356678"/>
    <w:rsid w:val="0036272B"/>
    <w:rsid w:val="0037354E"/>
    <w:rsid w:val="00373745"/>
    <w:rsid w:val="003751D1"/>
    <w:rsid w:val="00376085"/>
    <w:rsid w:val="00381B45"/>
    <w:rsid w:val="003833EC"/>
    <w:rsid w:val="0038381C"/>
    <w:rsid w:val="00384AE8"/>
    <w:rsid w:val="003850B6"/>
    <w:rsid w:val="00394399"/>
    <w:rsid w:val="003977C6"/>
    <w:rsid w:val="00397B0E"/>
    <w:rsid w:val="003A013B"/>
    <w:rsid w:val="003A514F"/>
    <w:rsid w:val="003B24A8"/>
    <w:rsid w:val="003B53C6"/>
    <w:rsid w:val="003C11FD"/>
    <w:rsid w:val="003C2788"/>
    <w:rsid w:val="003C35F5"/>
    <w:rsid w:val="003D46B4"/>
    <w:rsid w:val="003D4B0A"/>
    <w:rsid w:val="003E07C8"/>
    <w:rsid w:val="003E3EF7"/>
    <w:rsid w:val="003E7F27"/>
    <w:rsid w:val="003F0B0D"/>
    <w:rsid w:val="003F1B57"/>
    <w:rsid w:val="003F2F3E"/>
    <w:rsid w:val="003F484A"/>
    <w:rsid w:val="003F484C"/>
    <w:rsid w:val="00400E27"/>
    <w:rsid w:val="004037C6"/>
    <w:rsid w:val="00404852"/>
    <w:rsid w:val="00404C8E"/>
    <w:rsid w:val="0040759B"/>
    <w:rsid w:val="0041415A"/>
    <w:rsid w:val="0041760D"/>
    <w:rsid w:val="004206D9"/>
    <w:rsid w:val="0043184B"/>
    <w:rsid w:val="00431D1A"/>
    <w:rsid w:val="00437808"/>
    <w:rsid w:val="00440FA3"/>
    <w:rsid w:val="004418D0"/>
    <w:rsid w:val="004528B4"/>
    <w:rsid w:val="004548DF"/>
    <w:rsid w:val="00460DA6"/>
    <w:rsid w:val="004617AB"/>
    <w:rsid w:val="00462123"/>
    <w:rsid w:val="004709EB"/>
    <w:rsid w:val="00473CC6"/>
    <w:rsid w:val="0048284D"/>
    <w:rsid w:val="00482938"/>
    <w:rsid w:val="00493600"/>
    <w:rsid w:val="0049435E"/>
    <w:rsid w:val="00495D8D"/>
    <w:rsid w:val="00497220"/>
    <w:rsid w:val="004A19BD"/>
    <w:rsid w:val="004A28A6"/>
    <w:rsid w:val="004A4294"/>
    <w:rsid w:val="004A50F8"/>
    <w:rsid w:val="004B6D5C"/>
    <w:rsid w:val="004B777F"/>
    <w:rsid w:val="004C778E"/>
    <w:rsid w:val="004D015D"/>
    <w:rsid w:val="004D0666"/>
    <w:rsid w:val="004D0B70"/>
    <w:rsid w:val="004D388D"/>
    <w:rsid w:val="004D48D3"/>
    <w:rsid w:val="004E10E5"/>
    <w:rsid w:val="004E1CC9"/>
    <w:rsid w:val="004E4001"/>
    <w:rsid w:val="004F06CC"/>
    <w:rsid w:val="004F0FF7"/>
    <w:rsid w:val="004F6A0A"/>
    <w:rsid w:val="00511475"/>
    <w:rsid w:val="005248CC"/>
    <w:rsid w:val="005255B7"/>
    <w:rsid w:val="0053319E"/>
    <w:rsid w:val="005335E0"/>
    <w:rsid w:val="005336D2"/>
    <w:rsid w:val="00534598"/>
    <w:rsid w:val="005407C6"/>
    <w:rsid w:val="00540D9B"/>
    <w:rsid w:val="005452FA"/>
    <w:rsid w:val="005457EE"/>
    <w:rsid w:val="0054627E"/>
    <w:rsid w:val="00546B3B"/>
    <w:rsid w:val="00550A2F"/>
    <w:rsid w:val="00561AEA"/>
    <w:rsid w:val="00564856"/>
    <w:rsid w:val="0056543B"/>
    <w:rsid w:val="005667EF"/>
    <w:rsid w:val="0057153C"/>
    <w:rsid w:val="00580032"/>
    <w:rsid w:val="0058075D"/>
    <w:rsid w:val="00581F39"/>
    <w:rsid w:val="00584150"/>
    <w:rsid w:val="005A2084"/>
    <w:rsid w:val="005A449F"/>
    <w:rsid w:val="005B407D"/>
    <w:rsid w:val="005C0BC0"/>
    <w:rsid w:val="005C5472"/>
    <w:rsid w:val="005C71C7"/>
    <w:rsid w:val="005D2C5B"/>
    <w:rsid w:val="005D72A5"/>
    <w:rsid w:val="005E25B4"/>
    <w:rsid w:val="005E320B"/>
    <w:rsid w:val="005E5EDC"/>
    <w:rsid w:val="005F468A"/>
    <w:rsid w:val="005F5037"/>
    <w:rsid w:val="0060386F"/>
    <w:rsid w:val="006105C7"/>
    <w:rsid w:val="00612834"/>
    <w:rsid w:val="00612CA1"/>
    <w:rsid w:val="0061545D"/>
    <w:rsid w:val="00616E35"/>
    <w:rsid w:val="00626639"/>
    <w:rsid w:val="00633284"/>
    <w:rsid w:val="0063395D"/>
    <w:rsid w:val="0063408F"/>
    <w:rsid w:val="00637AEC"/>
    <w:rsid w:val="00643113"/>
    <w:rsid w:val="00660ED3"/>
    <w:rsid w:val="00665BE8"/>
    <w:rsid w:val="00667648"/>
    <w:rsid w:val="00670B7F"/>
    <w:rsid w:val="00671825"/>
    <w:rsid w:val="00676359"/>
    <w:rsid w:val="00676AA1"/>
    <w:rsid w:val="006810F8"/>
    <w:rsid w:val="00683517"/>
    <w:rsid w:val="00690A02"/>
    <w:rsid w:val="00697C71"/>
    <w:rsid w:val="006A06F2"/>
    <w:rsid w:val="006A2202"/>
    <w:rsid w:val="006A2342"/>
    <w:rsid w:val="006A2F8D"/>
    <w:rsid w:val="006B138A"/>
    <w:rsid w:val="006B331B"/>
    <w:rsid w:val="006B499A"/>
    <w:rsid w:val="006C085F"/>
    <w:rsid w:val="006C28C2"/>
    <w:rsid w:val="006C5521"/>
    <w:rsid w:val="006C5C9B"/>
    <w:rsid w:val="006D122C"/>
    <w:rsid w:val="006D38B2"/>
    <w:rsid w:val="006D4E0E"/>
    <w:rsid w:val="006E02F8"/>
    <w:rsid w:val="006E448D"/>
    <w:rsid w:val="006E73CB"/>
    <w:rsid w:val="006F146F"/>
    <w:rsid w:val="006F2941"/>
    <w:rsid w:val="007018FD"/>
    <w:rsid w:val="00701F9C"/>
    <w:rsid w:val="007041DA"/>
    <w:rsid w:val="00704CEE"/>
    <w:rsid w:val="00710AD1"/>
    <w:rsid w:val="007144D6"/>
    <w:rsid w:val="0072248C"/>
    <w:rsid w:val="007232E5"/>
    <w:rsid w:val="00723D39"/>
    <w:rsid w:val="00725553"/>
    <w:rsid w:val="0072596A"/>
    <w:rsid w:val="00730A24"/>
    <w:rsid w:val="00731703"/>
    <w:rsid w:val="0073263D"/>
    <w:rsid w:val="00732A4E"/>
    <w:rsid w:val="00734A2B"/>
    <w:rsid w:val="00740A51"/>
    <w:rsid w:val="00742700"/>
    <w:rsid w:val="0074635C"/>
    <w:rsid w:val="00747BD4"/>
    <w:rsid w:val="00762894"/>
    <w:rsid w:val="00774F0E"/>
    <w:rsid w:val="00775E0F"/>
    <w:rsid w:val="007823CD"/>
    <w:rsid w:val="0078421A"/>
    <w:rsid w:val="00786EAE"/>
    <w:rsid w:val="0079024C"/>
    <w:rsid w:val="00791555"/>
    <w:rsid w:val="00791D93"/>
    <w:rsid w:val="0079726B"/>
    <w:rsid w:val="007A484C"/>
    <w:rsid w:val="007A5D5E"/>
    <w:rsid w:val="007A63BA"/>
    <w:rsid w:val="007B0DDE"/>
    <w:rsid w:val="007B109F"/>
    <w:rsid w:val="007B16EC"/>
    <w:rsid w:val="007B2A79"/>
    <w:rsid w:val="007B4B52"/>
    <w:rsid w:val="007B556F"/>
    <w:rsid w:val="007C191C"/>
    <w:rsid w:val="007C1CDD"/>
    <w:rsid w:val="007C2A16"/>
    <w:rsid w:val="007C338F"/>
    <w:rsid w:val="007D0F2B"/>
    <w:rsid w:val="007D1BE4"/>
    <w:rsid w:val="007D4926"/>
    <w:rsid w:val="007E1CDB"/>
    <w:rsid w:val="007F232E"/>
    <w:rsid w:val="007F31B2"/>
    <w:rsid w:val="007F7DA6"/>
    <w:rsid w:val="00801C6E"/>
    <w:rsid w:val="00802A0A"/>
    <w:rsid w:val="00803160"/>
    <w:rsid w:val="00803E02"/>
    <w:rsid w:val="008046BD"/>
    <w:rsid w:val="008116BF"/>
    <w:rsid w:val="00814116"/>
    <w:rsid w:val="00820242"/>
    <w:rsid w:val="00824825"/>
    <w:rsid w:val="00826F54"/>
    <w:rsid w:val="00830CB5"/>
    <w:rsid w:val="00832049"/>
    <w:rsid w:val="00833495"/>
    <w:rsid w:val="0083599C"/>
    <w:rsid w:val="0084622B"/>
    <w:rsid w:val="00846FDA"/>
    <w:rsid w:val="00852EC7"/>
    <w:rsid w:val="00853FC3"/>
    <w:rsid w:val="008543A7"/>
    <w:rsid w:val="0086341F"/>
    <w:rsid w:val="008635D8"/>
    <w:rsid w:val="008642AE"/>
    <w:rsid w:val="00871181"/>
    <w:rsid w:val="00871CD7"/>
    <w:rsid w:val="008771D6"/>
    <w:rsid w:val="0088143D"/>
    <w:rsid w:val="00886B19"/>
    <w:rsid w:val="00892398"/>
    <w:rsid w:val="0089457D"/>
    <w:rsid w:val="00896D01"/>
    <w:rsid w:val="00897E75"/>
    <w:rsid w:val="008A0E53"/>
    <w:rsid w:val="008A58B9"/>
    <w:rsid w:val="008A58C3"/>
    <w:rsid w:val="008B2F50"/>
    <w:rsid w:val="008C0946"/>
    <w:rsid w:val="008C1947"/>
    <w:rsid w:val="008C32E8"/>
    <w:rsid w:val="008C71FC"/>
    <w:rsid w:val="008C7BF8"/>
    <w:rsid w:val="008D7E20"/>
    <w:rsid w:val="008E0274"/>
    <w:rsid w:val="008E4228"/>
    <w:rsid w:val="008F10F1"/>
    <w:rsid w:val="008F5CBD"/>
    <w:rsid w:val="008F60BF"/>
    <w:rsid w:val="008F7B30"/>
    <w:rsid w:val="00903F42"/>
    <w:rsid w:val="0091594D"/>
    <w:rsid w:val="00917DAD"/>
    <w:rsid w:val="009253BF"/>
    <w:rsid w:val="009326E7"/>
    <w:rsid w:val="00933A6C"/>
    <w:rsid w:val="0094139F"/>
    <w:rsid w:val="009419EB"/>
    <w:rsid w:val="00942BA5"/>
    <w:rsid w:val="00943629"/>
    <w:rsid w:val="00943C10"/>
    <w:rsid w:val="0094778F"/>
    <w:rsid w:val="00950B86"/>
    <w:rsid w:val="00951B88"/>
    <w:rsid w:val="0095522B"/>
    <w:rsid w:val="00955810"/>
    <w:rsid w:val="00962FB0"/>
    <w:rsid w:val="00964122"/>
    <w:rsid w:val="009668F8"/>
    <w:rsid w:val="00967AF9"/>
    <w:rsid w:val="00970570"/>
    <w:rsid w:val="00972B91"/>
    <w:rsid w:val="009757FB"/>
    <w:rsid w:val="009761B2"/>
    <w:rsid w:val="009828D0"/>
    <w:rsid w:val="009906B1"/>
    <w:rsid w:val="00991B98"/>
    <w:rsid w:val="0099225D"/>
    <w:rsid w:val="009930C4"/>
    <w:rsid w:val="009A2749"/>
    <w:rsid w:val="009C0B9C"/>
    <w:rsid w:val="009C4FF5"/>
    <w:rsid w:val="009C7A17"/>
    <w:rsid w:val="009D0460"/>
    <w:rsid w:val="009D3585"/>
    <w:rsid w:val="009E03DD"/>
    <w:rsid w:val="009E4C14"/>
    <w:rsid w:val="009E579C"/>
    <w:rsid w:val="00A00493"/>
    <w:rsid w:val="00A005BE"/>
    <w:rsid w:val="00A0282E"/>
    <w:rsid w:val="00A03977"/>
    <w:rsid w:val="00A1537E"/>
    <w:rsid w:val="00A1714D"/>
    <w:rsid w:val="00A301A8"/>
    <w:rsid w:val="00A310D3"/>
    <w:rsid w:val="00A42584"/>
    <w:rsid w:val="00A43805"/>
    <w:rsid w:val="00A463B1"/>
    <w:rsid w:val="00A556C0"/>
    <w:rsid w:val="00A643FA"/>
    <w:rsid w:val="00A6602F"/>
    <w:rsid w:val="00A67050"/>
    <w:rsid w:val="00A70D7A"/>
    <w:rsid w:val="00A73E91"/>
    <w:rsid w:val="00A774E6"/>
    <w:rsid w:val="00A82D51"/>
    <w:rsid w:val="00A858E9"/>
    <w:rsid w:val="00A93281"/>
    <w:rsid w:val="00AA13A9"/>
    <w:rsid w:val="00AA1B5C"/>
    <w:rsid w:val="00AA1D09"/>
    <w:rsid w:val="00AA1D36"/>
    <w:rsid w:val="00AA2951"/>
    <w:rsid w:val="00AA2F74"/>
    <w:rsid w:val="00AA50AA"/>
    <w:rsid w:val="00AA6F9D"/>
    <w:rsid w:val="00AB0B96"/>
    <w:rsid w:val="00AB3C3F"/>
    <w:rsid w:val="00AC14C5"/>
    <w:rsid w:val="00AC1666"/>
    <w:rsid w:val="00AC214B"/>
    <w:rsid w:val="00AC3FA8"/>
    <w:rsid w:val="00AC5959"/>
    <w:rsid w:val="00AC760E"/>
    <w:rsid w:val="00AE38A4"/>
    <w:rsid w:val="00AE4737"/>
    <w:rsid w:val="00AF473C"/>
    <w:rsid w:val="00AF6C31"/>
    <w:rsid w:val="00B01784"/>
    <w:rsid w:val="00B054C9"/>
    <w:rsid w:val="00B067CD"/>
    <w:rsid w:val="00B13376"/>
    <w:rsid w:val="00B13CCC"/>
    <w:rsid w:val="00B14780"/>
    <w:rsid w:val="00B16CF7"/>
    <w:rsid w:val="00B17A66"/>
    <w:rsid w:val="00B24AF6"/>
    <w:rsid w:val="00B31DF7"/>
    <w:rsid w:val="00B32870"/>
    <w:rsid w:val="00B46638"/>
    <w:rsid w:val="00B56EED"/>
    <w:rsid w:val="00B60B53"/>
    <w:rsid w:val="00B755F9"/>
    <w:rsid w:val="00B771E4"/>
    <w:rsid w:val="00B777E5"/>
    <w:rsid w:val="00B81079"/>
    <w:rsid w:val="00B91B22"/>
    <w:rsid w:val="00B96223"/>
    <w:rsid w:val="00B97D6B"/>
    <w:rsid w:val="00BA001E"/>
    <w:rsid w:val="00BA1505"/>
    <w:rsid w:val="00BA6490"/>
    <w:rsid w:val="00BB0873"/>
    <w:rsid w:val="00BB2355"/>
    <w:rsid w:val="00BB75ED"/>
    <w:rsid w:val="00BD2153"/>
    <w:rsid w:val="00BD4769"/>
    <w:rsid w:val="00BF0131"/>
    <w:rsid w:val="00BF42DF"/>
    <w:rsid w:val="00C01941"/>
    <w:rsid w:val="00C14DD5"/>
    <w:rsid w:val="00C161FF"/>
    <w:rsid w:val="00C16B2D"/>
    <w:rsid w:val="00C17A10"/>
    <w:rsid w:val="00C212FA"/>
    <w:rsid w:val="00C323EF"/>
    <w:rsid w:val="00C33D5D"/>
    <w:rsid w:val="00C34E97"/>
    <w:rsid w:val="00C36E16"/>
    <w:rsid w:val="00C37041"/>
    <w:rsid w:val="00C40A8E"/>
    <w:rsid w:val="00C40EF3"/>
    <w:rsid w:val="00C51CB2"/>
    <w:rsid w:val="00C528CC"/>
    <w:rsid w:val="00C53C16"/>
    <w:rsid w:val="00C53C58"/>
    <w:rsid w:val="00C55127"/>
    <w:rsid w:val="00C6097C"/>
    <w:rsid w:val="00C6101B"/>
    <w:rsid w:val="00C624AB"/>
    <w:rsid w:val="00C70156"/>
    <w:rsid w:val="00C70C44"/>
    <w:rsid w:val="00C74078"/>
    <w:rsid w:val="00C74854"/>
    <w:rsid w:val="00C81F56"/>
    <w:rsid w:val="00C825DD"/>
    <w:rsid w:val="00C83040"/>
    <w:rsid w:val="00C830CE"/>
    <w:rsid w:val="00C86B8F"/>
    <w:rsid w:val="00C87713"/>
    <w:rsid w:val="00C967E6"/>
    <w:rsid w:val="00C97C37"/>
    <w:rsid w:val="00CA1667"/>
    <w:rsid w:val="00CA6E4F"/>
    <w:rsid w:val="00CB654D"/>
    <w:rsid w:val="00CB766D"/>
    <w:rsid w:val="00CC0803"/>
    <w:rsid w:val="00CC2DA8"/>
    <w:rsid w:val="00CD2BBE"/>
    <w:rsid w:val="00CD4696"/>
    <w:rsid w:val="00CD60F5"/>
    <w:rsid w:val="00CD6579"/>
    <w:rsid w:val="00CD6D12"/>
    <w:rsid w:val="00CE0B9D"/>
    <w:rsid w:val="00CE1E7C"/>
    <w:rsid w:val="00CE21B3"/>
    <w:rsid w:val="00CE5AAB"/>
    <w:rsid w:val="00CE6058"/>
    <w:rsid w:val="00CE6AD8"/>
    <w:rsid w:val="00CE7CCA"/>
    <w:rsid w:val="00D01FA7"/>
    <w:rsid w:val="00D03718"/>
    <w:rsid w:val="00D03C25"/>
    <w:rsid w:val="00D06A8A"/>
    <w:rsid w:val="00D06CC6"/>
    <w:rsid w:val="00D1519A"/>
    <w:rsid w:val="00D227C9"/>
    <w:rsid w:val="00D31237"/>
    <w:rsid w:val="00D345C2"/>
    <w:rsid w:val="00D44634"/>
    <w:rsid w:val="00D46A12"/>
    <w:rsid w:val="00D46FAD"/>
    <w:rsid w:val="00D600BB"/>
    <w:rsid w:val="00D61BF2"/>
    <w:rsid w:val="00D64262"/>
    <w:rsid w:val="00D66646"/>
    <w:rsid w:val="00D71E59"/>
    <w:rsid w:val="00D738BA"/>
    <w:rsid w:val="00D758A7"/>
    <w:rsid w:val="00D773D6"/>
    <w:rsid w:val="00D77EBB"/>
    <w:rsid w:val="00D8065A"/>
    <w:rsid w:val="00D82A5B"/>
    <w:rsid w:val="00D83487"/>
    <w:rsid w:val="00D83DA4"/>
    <w:rsid w:val="00D970B4"/>
    <w:rsid w:val="00DA2194"/>
    <w:rsid w:val="00DA237F"/>
    <w:rsid w:val="00DA39D0"/>
    <w:rsid w:val="00DA4C2C"/>
    <w:rsid w:val="00DC3745"/>
    <w:rsid w:val="00DC67A7"/>
    <w:rsid w:val="00DD2193"/>
    <w:rsid w:val="00DD2E1A"/>
    <w:rsid w:val="00DD2E4E"/>
    <w:rsid w:val="00DD7878"/>
    <w:rsid w:val="00DD7920"/>
    <w:rsid w:val="00DF0018"/>
    <w:rsid w:val="00DF3F54"/>
    <w:rsid w:val="00DF7F58"/>
    <w:rsid w:val="00E04114"/>
    <w:rsid w:val="00E04F51"/>
    <w:rsid w:val="00E06F4D"/>
    <w:rsid w:val="00E119D0"/>
    <w:rsid w:val="00E12297"/>
    <w:rsid w:val="00E173C3"/>
    <w:rsid w:val="00E2102B"/>
    <w:rsid w:val="00E323E0"/>
    <w:rsid w:val="00E3624B"/>
    <w:rsid w:val="00E415E4"/>
    <w:rsid w:val="00E43F99"/>
    <w:rsid w:val="00E45AA6"/>
    <w:rsid w:val="00E5063C"/>
    <w:rsid w:val="00E508C3"/>
    <w:rsid w:val="00E51805"/>
    <w:rsid w:val="00E52FC6"/>
    <w:rsid w:val="00E56271"/>
    <w:rsid w:val="00E6741B"/>
    <w:rsid w:val="00E7074D"/>
    <w:rsid w:val="00E72612"/>
    <w:rsid w:val="00E72941"/>
    <w:rsid w:val="00E72FD1"/>
    <w:rsid w:val="00E808B0"/>
    <w:rsid w:val="00E81325"/>
    <w:rsid w:val="00E83610"/>
    <w:rsid w:val="00E87D3C"/>
    <w:rsid w:val="00E94BAA"/>
    <w:rsid w:val="00EA121D"/>
    <w:rsid w:val="00EB3BD8"/>
    <w:rsid w:val="00EC018E"/>
    <w:rsid w:val="00EC1B87"/>
    <w:rsid w:val="00EC4F38"/>
    <w:rsid w:val="00EC68B5"/>
    <w:rsid w:val="00ED09A1"/>
    <w:rsid w:val="00ED2A3C"/>
    <w:rsid w:val="00ED5839"/>
    <w:rsid w:val="00EE1DFF"/>
    <w:rsid w:val="00EE2B72"/>
    <w:rsid w:val="00EE669C"/>
    <w:rsid w:val="00EE7BE3"/>
    <w:rsid w:val="00EF13CB"/>
    <w:rsid w:val="00EF3F15"/>
    <w:rsid w:val="00EF58E7"/>
    <w:rsid w:val="00F137F6"/>
    <w:rsid w:val="00F21BFA"/>
    <w:rsid w:val="00F23ABF"/>
    <w:rsid w:val="00F24191"/>
    <w:rsid w:val="00F253F4"/>
    <w:rsid w:val="00F31097"/>
    <w:rsid w:val="00F32FFE"/>
    <w:rsid w:val="00F341E1"/>
    <w:rsid w:val="00F37CB3"/>
    <w:rsid w:val="00F454DA"/>
    <w:rsid w:val="00F473C3"/>
    <w:rsid w:val="00F52DCF"/>
    <w:rsid w:val="00F530E3"/>
    <w:rsid w:val="00F536D4"/>
    <w:rsid w:val="00F537EB"/>
    <w:rsid w:val="00F57337"/>
    <w:rsid w:val="00F65C6A"/>
    <w:rsid w:val="00F6717E"/>
    <w:rsid w:val="00F7086F"/>
    <w:rsid w:val="00F7099A"/>
    <w:rsid w:val="00F92C0B"/>
    <w:rsid w:val="00F930F0"/>
    <w:rsid w:val="00F9680C"/>
    <w:rsid w:val="00FA7857"/>
    <w:rsid w:val="00FB1238"/>
    <w:rsid w:val="00FB4396"/>
    <w:rsid w:val="00FC1E52"/>
    <w:rsid w:val="00FC4DC4"/>
    <w:rsid w:val="00FC7886"/>
    <w:rsid w:val="00FD0B53"/>
    <w:rsid w:val="00FD0E21"/>
    <w:rsid w:val="00FD2086"/>
    <w:rsid w:val="00FD28C5"/>
    <w:rsid w:val="00FD4934"/>
    <w:rsid w:val="00FD549B"/>
    <w:rsid w:val="00FE1C01"/>
    <w:rsid w:val="00FE5C7B"/>
    <w:rsid w:val="00FF5732"/>
    <w:rsid w:val="00FF6E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AA8D"/>
  <w15:docId w15:val="{74014E73-EE5C-48A0-A275-66C09E71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22"/>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1">
    <w:name w:val="1"/>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802A0A"/>
    <w:rPr>
      <w:b/>
      <w:bCs/>
    </w:rPr>
  </w:style>
  <w:style w:type="character" w:customStyle="1" w:styleId="AsuntodelcomentarioCar">
    <w:name w:val="Asunto del comentario Car"/>
    <w:basedOn w:val="TextocomentarioCar"/>
    <w:link w:val="Asuntodelcomentario"/>
    <w:uiPriority w:val="99"/>
    <w:semiHidden/>
    <w:rsid w:val="00802A0A"/>
    <w:rPr>
      <w:b/>
      <w:bCs/>
      <w:sz w:val="20"/>
      <w:szCs w:val="20"/>
    </w:rPr>
  </w:style>
  <w:style w:type="paragraph" w:styleId="Textodeglobo">
    <w:name w:val="Balloon Text"/>
    <w:basedOn w:val="Normal"/>
    <w:link w:val="TextodegloboCar"/>
    <w:uiPriority w:val="99"/>
    <w:semiHidden/>
    <w:unhideWhenUsed/>
    <w:rsid w:val="00802A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A0A"/>
    <w:rPr>
      <w:rFonts w:ascii="Segoe UI" w:hAnsi="Segoe UI" w:cs="Segoe UI"/>
      <w:sz w:val="18"/>
      <w:szCs w:val="18"/>
    </w:rPr>
  </w:style>
  <w:style w:type="paragraph" w:styleId="Textonotapie">
    <w:name w:val="footnote text"/>
    <w:basedOn w:val="Normal"/>
    <w:link w:val="TextonotapieCar"/>
    <w:uiPriority w:val="99"/>
    <w:unhideWhenUsed/>
    <w:rsid w:val="00734A2B"/>
    <w:pPr>
      <w:spacing w:after="0" w:line="240" w:lineRule="auto"/>
    </w:pPr>
    <w:rPr>
      <w:sz w:val="20"/>
      <w:szCs w:val="20"/>
    </w:rPr>
  </w:style>
  <w:style w:type="character" w:customStyle="1" w:styleId="TextonotapieCar">
    <w:name w:val="Texto nota pie Car"/>
    <w:basedOn w:val="Fuentedeprrafopredeter"/>
    <w:link w:val="Textonotapie"/>
    <w:uiPriority w:val="99"/>
    <w:rsid w:val="00734A2B"/>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34A2B"/>
    <w:rPr>
      <w:vertAlign w:val="superscript"/>
    </w:rPr>
  </w:style>
  <w:style w:type="paragraph" w:customStyle="1" w:styleId="Appelnotedebasde">
    <w:name w:val="Appel note de bas de..."/>
    <w:basedOn w:val="Normal"/>
    <w:link w:val="Refdenotaalpie"/>
    <w:uiPriority w:val="99"/>
    <w:rsid w:val="00734A2B"/>
    <w:pPr>
      <w:spacing w:after="160" w:line="240" w:lineRule="exact"/>
    </w:pPr>
    <w:rPr>
      <w:vertAlign w:val="superscript"/>
    </w:rPr>
  </w:style>
  <w:style w:type="character" w:customStyle="1" w:styleId="Hipervnculo1">
    <w:name w:val="Hipervínculo1"/>
    <w:basedOn w:val="Fuentedeprrafopredeter"/>
    <w:uiPriority w:val="99"/>
    <w:unhideWhenUsed/>
    <w:rsid w:val="00734A2B"/>
    <w:rPr>
      <w:color w:val="0563C1"/>
      <w:u w:val="single"/>
    </w:rPr>
  </w:style>
  <w:style w:type="character" w:styleId="Hipervnculo">
    <w:name w:val="Hyperlink"/>
    <w:basedOn w:val="Fuentedeprrafopredeter"/>
    <w:uiPriority w:val="99"/>
    <w:unhideWhenUsed/>
    <w:rsid w:val="00734A2B"/>
    <w:rPr>
      <w:color w:val="0000FF" w:themeColor="hyperlink"/>
      <w:u w:val="single"/>
    </w:rPr>
  </w:style>
  <w:style w:type="paragraph" w:styleId="NormalWeb">
    <w:name w:val="Normal (Web)"/>
    <w:basedOn w:val="Normal"/>
    <w:uiPriority w:val="99"/>
    <w:semiHidden/>
    <w:unhideWhenUsed/>
    <w:rsid w:val="000E542F"/>
    <w:rPr>
      <w:rFonts w:ascii="Times New Roman" w:hAnsi="Times New Roman" w:cs="Times New Roman"/>
    </w:rPr>
  </w:style>
  <w:style w:type="paragraph" w:styleId="Prrafodelista">
    <w:name w:val="List Paragraph"/>
    <w:basedOn w:val="Normal"/>
    <w:uiPriority w:val="34"/>
    <w:qFormat/>
    <w:rsid w:val="00A310D3"/>
    <w:pPr>
      <w:ind w:left="720"/>
      <w:contextualSpacing/>
    </w:pPr>
  </w:style>
  <w:style w:type="character" w:customStyle="1" w:styleId="baj">
    <w:name w:val="b_aj"/>
    <w:basedOn w:val="Fuentedeprrafopredeter"/>
    <w:rsid w:val="00897E75"/>
  </w:style>
  <w:style w:type="paragraph" w:styleId="Encabezado">
    <w:name w:val="header"/>
    <w:basedOn w:val="Normal"/>
    <w:link w:val="EncabezadoCar"/>
    <w:uiPriority w:val="99"/>
    <w:unhideWhenUsed/>
    <w:rsid w:val="00897E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7E75"/>
  </w:style>
  <w:style w:type="paragraph" w:styleId="Piedepgina">
    <w:name w:val="footer"/>
    <w:basedOn w:val="Normal"/>
    <w:link w:val="PiedepginaCar"/>
    <w:uiPriority w:val="99"/>
    <w:unhideWhenUsed/>
    <w:rsid w:val="00897E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7E75"/>
  </w:style>
  <w:style w:type="character" w:styleId="nfasis">
    <w:name w:val="Emphasis"/>
    <w:basedOn w:val="Fuentedeprrafopredeter"/>
    <w:uiPriority w:val="20"/>
    <w:qFormat/>
    <w:rsid w:val="00397B0E"/>
    <w:rPr>
      <w:i/>
      <w:iCs/>
    </w:rPr>
  </w:style>
  <w:style w:type="character" w:styleId="Textoennegrita">
    <w:name w:val="Strong"/>
    <w:basedOn w:val="Fuentedeprrafopredeter"/>
    <w:uiPriority w:val="22"/>
    <w:qFormat/>
    <w:rsid w:val="00791555"/>
    <w:rPr>
      <w:b/>
      <w:bCs/>
    </w:rPr>
  </w:style>
  <w:style w:type="character" w:styleId="Hipervnculovisitado">
    <w:name w:val="FollowedHyperlink"/>
    <w:basedOn w:val="Fuentedeprrafopredeter"/>
    <w:uiPriority w:val="99"/>
    <w:semiHidden/>
    <w:unhideWhenUsed/>
    <w:rsid w:val="00C830CE"/>
    <w:rPr>
      <w:color w:val="800080" w:themeColor="followedHyperlink"/>
      <w:u w:val="single"/>
    </w:rPr>
  </w:style>
  <w:style w:type="paragraph" w:styleId="Textoindependiente">
    <w:name w:val="Body Text"/>
    <w:basedOn w:val="Normal"/>
    <w:link w:val="TextoindependienteCar"/>
    <w:uiPriority w:val="99"/>
    <w:semiHidden/>
    <w:unhideWhenUsed/>
    <w:rsid w:val="00A301A8"/>
    <w:pPr>
      <w:spacing w:after="120"/>
    </w:pPr>
  </w:style>
  <w:style w:type="character" w:customStyle="1" w:styleId="TextoindependienteCar">
    <w:name w:val="Texto independiente Car"/>
    <w:basedOn w:val="Fuentedeprrafopredeter"/>
    <w:link w:val="Textoindependiente"/>
    <w:uiPriority w:val="99"/>
    <w:semiHidden/>
    <w:rsid w:val="00A301A8"/>
  </w:style>
  <w:style w:type="paragraph" w:styleId="Revisin">
    <w:name w:val="Revision"/>
    <w:hidden/>
    <w:uiPriority w:val="99"/>
    <w:semiHidden/>
    <w:rsid w:val="00BA001E"/>
    <w:pPr>
      <w:spacing w:after="0" w:line="240" w:lineRule="auto"/>
      <w:jc w:val="left"/>
    </w:pPr>
  </w:style>
  <w:style w:type="table" w:customStyle="1" w:styleId="Tablaconcuadrcula2">
    <w:name w:val="Tabla con cuadrícula2"/>
    <w:basedOn w:val="Tablanormal"/>
    <w:next w:val="Tablaconcuadrcula"/>
    <w:uiPriority w:val="39"/>
    <w:rsid w:val="009D0460"/>
    <w:pPr>
      <w:spacing w:after="0" w:line="240" w:lineRule="auto"/>
      <w:jc w:val="left"/>
    </w:pPr>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D0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779">
      <w:bodyDiv w:val="1"/>
      <w:marLeft w:val="0"/>
      <w:marRight w:val="0"/>
      <w:marTop w:val="0"/>
      <w:marBottom w:val="0"/>
      <w:divBdr>
        <w:top w:val="none" w:sz="0" w:space="0" w:color="auto"/>
        <w:left w:val="none" w:sz="0" w:space="0" w:color="auto"/>
        <w:bottom w:val="none" w:sz="0" w:space="0" w:color="auto"/>
        <w:right w:val="none" w:sz="0" w:space="0" w:color="auto"/>
      </w:divBdr>
      <w:divsChild>
        <w:div w:id="1345206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661739">
              <w:marLeft w:val="0"/>
              <w:marRight w:val="0"/>
              <w:marTop w:val="0"/>
              <w:marBottom w:val="0"/>
              <w:divBdr>
                <w:top w:val="none" w:sz="0" w:space="0" w:color="auto"/>
                <w:left w:val="none" w:sz="0" w:space="0" w:color="auto"/>
                <w:bottom w:val="none" w:sz="0" w:space="0" w:color="auto"/>
                <w:right w:val="none" w:sz="0" w:space="0" w:color="auto"/>
              </w:divBdr>
              <w:divsChild>
                <w:div w:id="371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9380">
      <w:bodyDiv w:val="1"/>
      <w:marLeft w:val="0"/>
      <w:marRight w:val="0"/>
      <w:marTop w:val="0"/>
      <w:marBottom w:val="0"/>
      <w:divBdr>
        <w:top w:val="none" w:sz="0" w:space="0" w:color="auto"/>
        <w:left w:val="none" w:sz="0" w:space="0" w:color="auto"/>
        <w:bottom w:val="none" w:sz="0" w:space="0" w:color="auto"/>
        <w:right w:val="none" w:sz="0" w:space="0" w:color="auto"/>
      </w:divBdr>
    </w:div>
    <w:div w:id="225343558">
      <w:bodyDiv w:val="1"/>
      <w:marLeft w:val="0"/>
      <w:marRight w:val="0"/>
      <w:marTop w:val="0"/>
      <w:marBottom w:val="0"/>
      <w:divBdr>
        <w:top w:val="none" w:sz="0" w:space="0" w:color="auto"/>
        <w:left w:val="none" w:sz="0" w:space="0" w:color="auto"/>
        <w:bottom w:val="none" w:sz="0" w:space="0" w:color="auto"/>
        <w:right w:val="none" w:sz="0" w:space="0" w:color="auto"/>
      </w:divBdr>
    </w:div>
    <w:div w:id="338846728">
      <w:bodyDiv w:val="1"/>
      <w:marLeft w:val="0"/>
      <w:marRight w:val="0"/>
      <w:marTop w:val="0"/>
      <w:marBottom w:val="0"/>
      <w:divBdr>
        <w:top w:val="none" w:sz="0" w:space="0" w:color="auto"/>
        <w:left w:val="none" w:sz="0" w:space="0" w:color="auto"/>
        <w:bottom w:val="none" w:sz="0" w:space="0" w:color="auto"/>
        <w:right w:val="none" w:sz="0" w:space="0" w:color="auto"/>
      </w:divBdr>
    </w:div>
    <w:div w:id="417218324">
      <w:bodyDiv w:val="1"/>
      <w:marLeft w:val="0"/>
      <w:marRight w:val="0"/>
      <w:marTop w:val="0"/>
      <w:marBottom w:val="0"/>
      <w:divBdr>
        <w:top w:val="none" w:sz="0" w:space="0" w:color="auto"/>
        <w:left w:val="none" w:sz="0" w:space="0" w:color="auto"/>
        <w:bottom w:val="none" w:sz="0" w:space="0" w:color="auto"/>
        <w:right w:val="none" w:sz="0" w:space="0" w:color="auto"/>
      </w:divBdr>
    </w:div>
    <w:div w:id="492181611">
      <w:bodyDiv w:val="1"/>
      <w:marLeft w:val="0"/>
      <w:marRight w:val="0"/>
      <w:marTop w:val="0"/>
      <w:marBottom w:val="0"/>
      <w:divBdr>
        <w:top w:val="none" w:sz="0" w:space="0" w:color="auto"/>
        <w:left w:val="none" w:sz="0" w:space="0" w:color="auto"/>
        <w:bottom w:val="none" w:sz="0" w:space="0" w:color="auto"/>
        <w:right w:val="none" w:sz="0" w:space="0" w:color="auto"/>
      </w:divBdr>
    </w:div>
    <w:div w:id="527989436">
      <w:bodyDiv w:val="1"/>
      <w:marLeft w:val="0"/>
      <w:marRight w:val="0"/>
      <w:marTop w:val="0"/>
      <w:marBottom w:val="0"/>
      <w:divBdr>
        <w:top w:val="none" w:sz="0" w:space="0" w:color="auto"/>
        <w:left w:val="none" w:sz="0" w:space="0" w:color="auto"/>
        <w:bottom w:val="none" w:sz="0" w:space="0" w:color="auto"/>
        <w:right w:val="none" w:sz="0" w:space="0" w:color="auto"/>
      </w:divBdr>
    </w:div>
    <w:div w:id="546264470">
      <w:bodyDiv w:val="1"/>
      <w:marLeft w:val="0"/>
      <w:marRight w:val="0"/>
      <w:marTop w:val="0"/>
      <w:marBottom w:val="0"/>
      <w:divBdr>
        <w:top w:val="none" w:sz="0" w:space="0" w:color="auto"/>
        <w:left w:val="none" w:sz="0" w:space="0" w:color="auto"/>
        <w:bottom w:val="none" w:sz="0" w:space="0" w:color="auto"/>
        <w:right w:val="none" w:sz="0" w:space="0" w:color="auto"/>
      </w:divBdr>
    </w:div>
    <w:div w:id="656955283">
      <w:bodyDiv w:val="1"/>
      <w:marLeft w:val="0"/>
      <w:marRight w:val="0"/>
      <w:marTop w:val="0"/>
      <w:marBottom w:val="0"/>
      <w:divBdr>
        <w:top w:val="none" w:sz="0" w:space="0" w:color="auto"/>
        <w:left w:val="none" w:sz="0" w:space="0" w:color="auto"/>
        <w:bottom w:val="none" w:sz="0" w:space="0" w:color="auto"/>
        <w:right w:val="none" w:sz="0" w:space="0" w:color="auto"/>
      </w:divBdr>
    </w:div>
    <w:div w:id="698119622">
      <w:bodyDiv w:val="1"/>
      <w:marLeft w:val="0"/>
      <w:marRight w:val="0"/>
      <w:marTop w:val="0"/>
      <w:marBottom w:val="0"/>
      <w:divBdr>
        <w:top w:val="none" w:sz="0" w:space="0" w:color="auto"/>
        <w:left w:val="none" w:sz="0" w:space="0" w:color="auto"/>
        <w:bottom w:val="none" w:sz="0" w:space="0" w:color="auto"/>
        <w:right w:val="none" w:sz="0" w:space="0" w:color="auto"/>
      </w:divBdr>
      <w:divsChild>
        <w:div w:id="183322019">
          <w:marLeft w:val="0"/>
          <w:marRight w:val="0"/>
          <w:marTop w:val="0"/>
          <w:marBottom w:val="0"/>
          <w:divBdr>
            <w:top w:val="none" w:sz="0" w:space="0" w:color="auto"/>
            <w:left w:val="none" w:sz="0" w:space="0" w:color="auto"/>
            <w:bottom w:val="none" w:sz="0" w:space="0" w:color="auto"/>
            <w:right w:val="none" w:sz="0" w:space="0" w:color="auto"/>
          </w:divBdr>
          <w:divsChild>
            <w:div w:id="1159348459">
              <w:marLeft w:val="0"/>
              <w:marRight w:val="0"/>
              <w:marTop w:val="0"/>
              <w:marBottom w:val="0"/>
              <w:divBdr>
                <w:top w:val="none" w:sz="0" w:space="0" w:color="auto"/>
                <w:left w:val="none" w:sz="0" w:space="0" w:color="auto"/>
                <w:bottom w:val="none" w:sz="0" w:space="0" w:color="auto"/>
                <w:right w:val="none" w:sz="0" w:space="0" w:color="auto"/>
              </w:divBdr>
            </w:div>
          </w:divsChild>
        </w:div>
        <w:div w:id="714499568">
          <w:marLeft w:val="0"/>
          <w:marRight w:val="0"/>
          <w:marTop w:val="0"/>
          <w:marBottom w:val="0"/>
          <w:divBdr>
            <w:top w:val="none" w:sz="0" w:space="0" w:color="auto"/>
            <w:left w:val="none" w:sz="0" w:space="0" w:color="auto"/>
            <w:bottom w:val="none" w:sz="0" w:space="0" w:color="auto"/>
            <w:right w:val="none" w:sz="0" w:space="0" w:color="auto"/>
          </w:divBdr>
          <w:divsChild>
            <w:div w:id="1642420608">
              <w:marLeft w:val="0"/>
              <w:marRight w:val="0"/>
              <w:marTop w:val="0"/>
              <w:marBottom w:val="0"/>
              <w:divBdr>
                <w:top w:val="none" w:sz="0" w:space="0" w:color="auto"/>
                <w:left w:val="none" w:sz="0" w:space="0" w:color="auto"/>
                <w:bottom w:val="none" w:sz="0" w:space="0" w:color="auto"/>
                <w:right w:val="none" w:sz="0" w:space="0" w:color="auto"/>
              </w:divBdr>
            </w:div>
          </w:divsChild>
        </w:div>
        <w:div w:id="974798296">
          <w:marLeft w:val="0"/>
          <w:marRight w:val="0"/>
          <w:marTop w:val="0"/>
          <w:marBottom w:val="0"/>
          <w:divBdr>
            <w:top w:val="none" w:sz="0" w:space="0" w:color="auto"/>
            <w:left w:val="none" w:sz="0" w:space="0" w:color="auto"/>
            <w:bottom w:val="none" w:sz="0" w:space="0" w:color="auto"/>
            <w:right w:val="none" w:sz="0" w:space="0" w:color="auto"/>
          </w:divBdr>
          <w:divsChild>
            <w:div w:id="1942491899">
              <w:marLeft w:val="0"/>
              <w:marRight w:val="0"/>
              <w:marTop w:val="0"/>
              <w:marBottom w:val="0"/>
              <w:divBdr>
                <w:top w:val="none" w:sz="0" w:space="0" w:color="auto"/>
                <w:left w:val="none" w:sz="0" w:space="0" w:color="auto"/>
                <w:bottom w:val="none" w:sz="0" w:space="0" w:color="auto"/>
                <w:right w:val="none" w:sz="0" w:space="0" w:color="auto"/>
              </w:divBdr>
            </w:div>
          </w:divsChild>
        </w:div>
        <w:div w:id="1396244973">
          <w:marLeft w:val="0"/>
          <w:marRight w:val="0"/>
          <w:marTop w:val="0"/>
          <w:marBottom w:val="0"/>
          <w:divBdr>
            <w:top w:val="none" w:sz="0" w:space="0" w:color="auto"/>
            <w:left w:val="none" w:sz="0" w:space="0" w:color="auto"/>
            <w:bottom w:val="none" w:sz="0" w:space="0" w:color="auto"/>
            <w:right w:val="none" w:sz="0" w:space="0" w:color="auto"/>
          </w:divBdr>
          <w:divsChild>
            <w:div w:id="405154561">
              <w:marLeft w:val="0"/>
              <w:marRight w:val="0"/>
              <w:marTop w:val="0"/>
              <w:marBottom w:val="0"/>
              <w:divBdr>
                <w:top w:val="none" w:sz="0" w:space="0" w:color="auto"/>
                <w:left w:val="none" w:sz="0" w:space="0" w:color="auto"/>
                <w:bottom w:val="none" w:sz="0" w:space="0" w:color="auto"/>
                <w:right w:val="none" w:sz="0" w:space="0" w:color="auto"/>
              </w:divBdr>
            </w:div>
          </w:divsChild>
        </w:div>
        <w:div w:id="1469468370">
          <w:marLeft w:val="0"/>
          <w:marRight w:val="0"/>
          <w:marTop w:val="0"/>
          <w:marBottom w:val="0"/>
          <w:divBdr>
            <w:top w:val="none" w:sz="0" w:space="0" w:color="auto"/>
            <w:left w:val="none" w:sz="0" w:space="0" w:color="auto"/>
            <w:bottom w:val="none" w:sz="0" w:space="0" w:color="auto"/>
            <w:right w:val="none" w:sz="0" w:space="0" w:color="auto"/>
          </w:divBdr>
          <w:divsChild>
            <w:div w:id="14587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79795">
      <w:bodyDiv w:val="1"/>
      <w:marLeft w:val="0"/>
      <w:marRight w:val="0"/>
      <w:marTop w:val="0"/>
      <w:marBottom w:val="0"/>
      <w:divBdr>
        <w:top w:val="none" w:sz="0" w:space="0" w:color="auto"/>
        <w:left w:val="none" w:sz="0" w:space="0" w:color="auto"/>
        <w:bottom w:val="none" w:sz="0" w:space="0" w:color="auto"/>
        <w:right w:val="none" w:sz="0" w:space="0" w:color="auto"/>
      </w:divBdr>
      <w:divsChild>
        <w:div w:id="121021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2960">
              <w:marLeft w:val="0"/>
              <w:marRight w:val="0"/>
              <w:marTop w:val="0"/>
              <w:marBottom w:val="0"/>
              <w:divBdr>
                <w:top w:val="none" w:sz="0" w:space="0" w:color="auto"/>
                <w:left w:val="none" w:sz="0" w:space="0" w:color="auto"/>
                <w:bottom w:val="none" w:sz="0" w:space="0" w:color="auto"/>
                <w:right w:val="none" w:sz="0" w:space="0" w:color="auto"/>
              </w:divBdr>
              <w:divsChild>
                <w:div w:id="885339560">
                  <w:marLeft w:val="0"/>
                  <w:marRight w:val="0"/>
                  <w:marTop w:val="0"/>
                  <w:marBottom w:val="0"/>
                  <w:divBdr>
                    <w:top w:val="none" w:sz="0" w:space="0" w:color="auto"/>
                    <w:left w:val="none" w:sz="0" w:space="0" w:color="auto"/>
                    <w:bottom w:val="none" w:sz="0" w:space="0" w:color="auto"/>
                    <w:right w:val="none" w:sz="0" w:space="0" w:color="auto"/>
                  </w:divBdr>
                  <w:divsChild>
                    <w:div w:id="1491167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010986">
                          <w:marLeft w:val="0"/>
                          <w:marRight w:val="0"/>
                          <w:marTop w:val="0"/>
                          <w:marBottom w:val="0"/>
                          <w:divBdr>
                            <w:top w:val="none" w:sz="0" w:space="0" w:color="auto"/>
                            <w:left w:val="none" w:sz="0" w:space="0" w:color="auto"/>
                            <w:bottom w:val="none" w:sz="0" w:space="0" w:color="auto"/>
                            <w:right w:val="none" w:sz="0" w:space="0" w:color="auto"/>
                          </w:divBdr>
                          <w:divsChild>
                            <w:div w:id="1825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161738">
      <w:bodyDiv w:val="1"/>
      <w:marLeft w:val="0"/>
      <w:marRight w:val="0"/>
      <w:marTop w:val="0"/>
      <w:marBottom w:val="0"/>
      <w:divBdr>
        <w:top w:val="none" w:sz="0" w:space="0" w:color="auto"/>
        <w:left w:val="none" w:sz="0" w:space="0" w:color="auto"/>
        <w:bottom w:val="none" w:sz="0" w:space="0" w:color="auto"/>
        <w:right w:val="none" w:sz="0" w:space="0" w:color="auto"/>
      </w:divBdr>
    </w:div>
    <w:div w:id="878780301">
      <w:bodyDiv w:val="1"/>
      <w:marLeft w:val="0"/>
      <w:marRight w:val="0"/>
      <w:marTop w:val="0"/>
      <w:marBottom w:val="0"/>
      <w:divBdr>
        <w:top w:val="none" w:sz="0" w:space="0" w:color="auto"/>
        <w:left w:val="none" w:sz="0" w:space="0" w:color="auto"/>
        <w:bottom w:val="none" w:sz="0" w:space="0" w:color="auto"/>
        <w:right w:val="none" w:sz="0" w:space="0" w:color="auto"/>
      </w:divBdr>
    </w:div>
    <w:div w:id="893008449">
      <w:bodyDiv w:val="1"/>
      <w:marLeft w:val="0"/>
      <w:marRight w:val="0"/>
      <w:marTop w:val="0"/>
      <w:marBottom w:val="0"/>
      <w:divBdr>
        <w:top w:val="none" w:sz="0" w:space="0" w:color="auto"/>
        <w:left w:val="none" w:sz="0" w:space="0" w:color="auto"/>
        <w:bottom w:val="none" w:sz="0" w:space="0" w:color="auto"/>
        <w:right w:val="none" w:sz="0" w:space="0" w:color="auto"/>
      </w:divBdr>
    </w:div>
    <w:div w:id="894970612">
      <w:bodyDiv w:val="1"/>
      <w:marLeft w:val="0"/>
      <w:marRight w:val="0"/>
      <w:marTop w:val="0"/>
      <w:marBottom w:val="0"/>
      <w:divBdr>
        <w:top w:val="none" w:sz="0" w:space="0" w:color="auto"/>
        <w:left w:val="none" w:sz="0" w:space="0" w:color="auto"/>
        <w:bottom w:val="none" w:sz="0" w:space="0" w:color="auto"/>
        <w:right w:val="none" w:sz="0" w:space="0" w:color="auto"/>
      </w:divBdr>
    </w:div>
    <w:div w:id="951664996">
      <w:bodyDiv w:val="1"/>
      <w:marLeft w:val="0"/>
      <w:marRight w:val="0"/>
      <w:marTop w:val="0"/>
      <w:marBottom w:val="0"/>
      <w:divBdr>
        <w:top w:val="none" w:sz="0" w:space="0" w:color="auto"/>
        <w:left w:val="none" w:sz="0" w:space="0" w:color="auto"/>
        <w:bottom w:val="none" w:sz="0" w:space="0" w:color="auto"/>
        <w:right w:val="none" w:sz="0" w:space="0" w:color="auto"/>
      </w:divBdr>
    </w:div>
    <w:div w:id="1079406859">
      <w:bodyDiv w:val="1"/>
      <w:marLeft w:val="0"/>
      <w:marRight w:val="0"/>
      <w:marTop w:val="0"/>
      <w:marBottom w:val="0"/>
      <w:divBdr>
        <w:top w:val="none" w:sz="0" w:space="0" w:color="auto"/>
        <w:left w:val="none" w:sz="0" w:space="0" w:color="auto"/>
        <w:bottom w:val="none" w:sz="0" w:space="0" w:color="auto"/>
        <w:right w:val="none" w:sz="0" w:space="0" w:color="auto"/>
      </w:divBdr>
    </w:div>
    <w:div w:id="1152714230">
      <w:bodyDiv w:val="1"/>
      <w:marLeft w:val="0"/>
      <w:marRight w:val="0"/>
      <w:marTop w:val="0"/>
      <w:marBottom w:val="0"/>
      <w:divBdr>
        <w:top w:val="none" w:sz="0" w:space="0" w:color="auto"/>
        <w:left w:val="none" w:sz="0" w:space="0" w:color="auto"/>
        <w:bottom w:val="none" w:sz="0" w:space="0" w:color="auto"/>
        <w:right w:val="none" w:sz="0" w:space="0" w:color="auto"/>
      </w:divBdr>
    </w:div>
    <w:div w:id="1171215652">
      <w:bodyDiv w:val="1"/>
      <w:marLeft w:val="0"/>
      <w:marRight w:val="0"/>
      <w:marTop w:val="0"/>
      <w:marBottom w:val="0"/>
      <w:divBdr>
        <w:top w:val="none" w:sz="0" w:space="0" w:color="auto"/>
        <w:left w:val="none" w:sz="0" w:space="0" w:color="auto"/>
        <w:bottom w:val="none" w:sz="0" w:space="0" w:color="auto"/>
        <w:right w:val="none" w:sz="0" w:space="0" w:color="auto"/>
      </w:divBdr>
    </w:div>
    <w:div w:id="1187258632">
      <w:bodyDiv w:val="1"/>
      <w:marLeft w:val="0"/>
      <w:marRight w:val="0"/>
      <w:marTop w:val="0"/>
      <w:marBottom w:val="0"/>
      <w:divBdr>
        <w:top w:val="none" w:sz="0" w:space="0" w:color="auto"/>
        <w:left w:val="none" w:sz="0" w:space="0" w:color="auto"/>
        <w:bottom w:val="none" w:sz="0" w:space="0" w:color="auto"/>
        <w:right w:val="none" w:sz="0" w:space="0" w:color="auto"/>
      </w:divBdr>
    </w:div>
    <w:div w:id="1189418048">
      <w:bodyDiv w:val="1"/>
      <w:marLeft w:val="0"/>
      <w:marRight w:val="0"/>
      <w:marTop w:val="0"/>
      <w:marBottom w:val="0"/>
      <w:divBdr>
        <w:top w:val="none" w:sz="0" w:space="0" w:color="auto"/>
        <w:left w:val="none" w:sz="0" w:space="0" w:color="auto"/>
        <w:bottom w:val="none" w:sz="0" w:space="0" w:color="auto"/>
        <w:right w:val="none" w:sz="0" w:space="0" w:color="auto"/>
      </w:divBdr>
    </w:div>
    <w:div w:id="1248078066">
      <w:bodyDiv w:val="1"/>
      <w:marLeft w:val="0"/>
      <w:marRight w:val="0"/>
      <w:marTop w:val="0"/>
      <w:marBottom w:val="0"/>
      <w:divBdr>
        <w:top w:val="none" w:sz="0" w:space="0" w:color="auto"/>
        <w:left w:val="none" w:sz="0" w:space="0" w:color="auto"/>
        <w:bottom w:val="none" w:sz="0" w:space="0" w:color="auto"/>
        <w:right w:val="none" w:sz="0" w:space="0" w:color="auto"/>
      </w:divBdr>
    </w:div>
    <w:div w:id="1312632176">
      <w:bodyDiv w:val="1"/>
      <w:marLeft w:val="0"/>
      <w:marRight w:val="0"/>
      <w:marTop w:val="0"/>
      <w:marBottom w:val="0"/>
      <w:divBdr>
        <w:top w:val="none" w:sz="0" w:space="0" w:color="auto"/>
        <w:left w:val="none" w:sz="0" w:space="0" w:color="auto"/>
        <w:bottom w:val="none" w:sz="0" w:space="0" w:color="auto"/>
        <w:right w:val="none" w:sz="0" w:space="0" w:color="auto"/>
      </w:divBdr>
      <w:divsChild>
        <w:div w:id="42488419">
          <w:marLeft w:val="547"/>
          <w:marRight w:val="0"/>
          <w:marTop w:val="0"/>
          <w:marBottom w:val="0"/>
          <w:divBdr>
            <w:top w:val="none" w:sz="0" w:space="0" w:color="auto"/>
            <w:left w:val="none" w:sz="0" w:space="0" w:color="auto"/>
            <w:bottom w:val="none" w:sz="0" w:space="0" w:color="auto"/>
            <w:right w:val="none" w:sz="0" w:space="0" w:color="auto"/>
          </w:divBdr>
        </w:div>
      </w:divsChild>
    </w:div>
    <w:div w:id="1321229190">
      <w:bodyDiv w:val="1"/>
      <w:marLeft w:val="0"/>
      <w:marRight w:val="0"/>
      <w:marTop w:val="0"/>
      <w:marBottom w:val="0"/>
      <w:divBdr>
        <w:top w:val="none" w:sz="0" w:space="0" w:color="auto"/>
        <w:left w:val="none" w:sz="0" w:space="0" w:color="auto"/>
        <w:bottom w:val="none" w:sz="0" w:space="0" w:color="auto"/>
        <w:right w:val="none" w:sz="0" w:space="0" w:color="auto"/>
      </w:divBdr>
    </w:div>
    <w:div w:id="1466965590">
      <w:bodyDiv w:val="1"/>
      <w:marLeft w:val="0"/>
      <w:marRight w:val="0"/>
      <w:marTop w:val="0"/>
      <w:marBottom w:val="0"/>
      <w:divBdr>
        <w:top w:val="none" w:sz="0" w:space="0" w:color="auto"/>
        <w:left w:val="none" w:sz="0" w:space="0" w:color="auto"/>
        <w:bottom w:val="none" w:sz="0" w:space="0" w:color="auto"/>
        <w:right w:val="none" w:sz="0" w:space="0" w:color="auto"/>
      </w:divBdr>
    </w:div>
    <w:div w:id="1540320393">
      <w:bodyDiv w:val="1"/>
      <w:marLeft w:val="0"/>
      <w:marRight w:val="0"/>
      <w:marTop w:val="0"/>
      <w:marBottom w:val="0"/>
      <w:divBdr>
        <w:top w:val="none" w:sz="0" w:space="0" w:color="auto"/>
        <w:left w:val="none" w:sz="0" w:space="0" w:color="auto"/>
        <w:bottom w:val="none" w:sz="0" w:space="0" w:color="auto"/>
        <w:right w:val="none" w:sz="0" w:space="0" w:color="auto"/>
      </w:divBdr>
    </w:div>
    <w:div w:id="1543130869">
      <w:bodyDiv w:val="1"/>
      <w:marLeft w:val="0"/>
      <w:marRight w:val="0"/>
      <w:marTop w:val="0"/>
      <w:marBottom w:val="0"/>
      <w:divBdr>
        <w:top w:val="none" w:sz="0" w:space="0" w:color="auto"/>
        <w:left w:val="none" w:sz="0" w:space="0" w:color="auto"/>
        <w:bottom w:val="none" w:sz="0" w:space="0" w:color="auto"/>
        <w:right w:val="none" w:sz="0" w:space="0" w:color="auto"/>
      </w:divBdr>
    </w:div>
    <w:div w:id="1667828344">
      <w:bodyDiv w:val="1"/>
      <w:marLeft w:val="0"/>
      <w:marRight w:val="0"/>
      <w:marTop w:val="0"/>
      <w:marBottom w:val="0"/>
      <w:divBdr>
        <w:top w:val="none" w:sz="0" w:space="0" w:color="auto"/>
        <w:left w:val="none" w:sz="0" w:space="0" w:color="auto"/>
        <w:bottom w:val="none" w:sz="0" w:space="0" w:color="auto"/>
        <w:right w:val="none" w:sz="0" w:space="0" w:color="auto"/>
      </w:divBdr>
      <w:divsChild>
        <w:div w:id="331153621">
          <w:marLeft w:val="0"/>
          <w:marRight w:val="0"/>
          <w:marTop w:val="0"/>
          <w:marBottom w:val="0"/>
          <w:divBdr>
            <w:top w:val="none" w:sz="0" w:space="0" w:color="auto"/>
            <w:left w:val="none" w:sz="0" w:space="0" w:color="auto"/>
            <w:bottom w:val="none" w:sz="0" w:space="0" w:color="auto"/>
            <w:right w:val="none" w:sz="0" w:space="0" w:color="auto"/>
          </w:divBdr>
          <w:divsChild>
            <w:div w:id="1162042939">
              <w:marLeft w:val="0"/>
              <w:marRight w:val="0"/>
              <w:marTop w:val="0"/>
              <w:marBottom w:val="0"/>
              <w:divBdr>
                <w:top w:val="none" w:sz="0" w:space="0" w:color="auto"/>
                <w:left w:val="none" w:sz="0" w:space="0" w:color="auto"/>
                <w:bottom w:val="none" w:sz="0" w:space="0" w:color="auto"/>
                <w:right w:val="none" w:sz="0" w:space="0" w:color="auto"/>
              </w:divBdr>
              <w:divsChild>
                <w:div w:id="1689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9294">
      <w:bodyDiv w:val="1"/>
      <w:marLeft w:val="0"/>
      <w:marRight w:val="0"/>
      <w:marTop w:val="0"/>
      <w:marBottom w:val="0"/>
      <w:divBdr>
        <w:top w:val="none" w:sz="0" w:space="0" w:color="auto"/>
        <w:left w:val="none" w:sz="0" w:space="0" w:color="auto"/>
        <w:bottom w:val="none" w:sz="0" w:space="0" w:color="auto"/>
        <w:right w:val="none" w:sz="0" w:space="0" w:color="auto"/>
      </w:divBdr>
    </w:div>
    <w:div w:id="1908612038">
      <w:bodyDiv w:val="1"/>
      <w:marLeft w:val="0"/>
      <w:marRight w:val="0"/>
      <w:marTop w:val="0"/>
      <w:marBottom w:val="0"/>
      <w:divBdr>
        <w:top w:val="none" w:sz="0" w:space="0" w:color="auto"/>
        <w:left w:val="none" w:sz="0" w:space="0" w:color="auto"/>
        <w:bottom w:val="none" w:sz="0" w:space="0" w:color="auto"/>
        <w:right w:val="none" w:sz="0" w:space="0" w:color="auto"/>
      </w:divBdr>
    </w:div>
    <w:div w:id="1930649695">
      <w:bodyDiv w:val="1"/>
      <w:marLeft w:val="0"/>
      <w:marRight w:val="0"/>
      <w:marTop w:val="0"/>
      <w:marBottom w:val="0"/>
      <w:divBdr>
        <w:top w:val="none" w:sz="0" w:space="0" w:color="auto"/>
        <w:left w:val="none" w:sz="0" w:space="0" w:color="auto"/>
        <w:bottom w:val="none" w:sz="0" w:space="0" w:color="auto"/>
        <w:right w:val="none" w:sz="0" w:space="0" w:color="auto"/>
      </w:divBdr>
    </w:div>
    <w:div w:id="1949583030">
      <w:bodyDiv w:val="1"/>
      <w:marLeft w:val="0"/>
      <w:marRight w:val="0"/>
      <w:marTop w:val="0"/>
      <w:marBottom w:val="0"/>
      <w:divBdr>
        <w:top w:val="none" w:sz="0" w:space="0" w:color="auto"/>
        <w:left w:val="none" w:sz="0" w:space="0" w:color="auto"/>
        <w:bottom w:val="none" w:sz="0" w:space="0" w:color="auto"/>
        <w:right w:val="none" w:sz="0" w:space="0" w:color="auto"/>
      </w:divBdr>
    </w:div>
    <w:div w:id="1971592219">
      <w:bodyDiv w:val="1"/>
      <w:marLeft w:val="0"/>
      <w:marRight w:val="0"/>
      <w:marTop w:val="0"/>
      <w:marBottom w:val="0"/>
      <w:divBdr>
        <w:top w:val="none" w:sz="0" w:space="0" w:color="auto"/>
        <w:left w:val="none" w:sz="0" w:space="0" w:color="auto"/>
        <w:bottom w:val="none" w:sz="0" w:space="0" w:color="auto"/>
        <w:right w:val="none" w:sz="0" w:space="0" w:color="auto"/>
      </w:divBdr>
    </w:div>
    <w:div w:id="1976905484">
      <w:bodyDiv w:val="1"/>
      <w:marLeft w:val="0"/>
      <w:marRight w:val="0"/>
      <w:marTop w:val="0"/>
      <w:marBottom w:val="0"/>
      <w:divBdr>
        <w:top w:val="none" w:sz="0" w:space="0" w:color="auto"/>
        <w:left w:val="none" w:sz="0" w:space="0" w:color="auto"/>
        <w:bottom w:val="none" w:sz="0" w:space="0" w:color="auto"/>
        <w:right w:val="none" w:sz="0" w:space="0" w:color="auto"/>
      </w:divBdr>
    </w:div>
    <w:div w:id="2009598787">
      <w:bodyDiv w:val="1"/>
      <w:marLeft w:val="0"/>
      <w:marRight w:val="0"/>
      <w:marTop w:val="0"/>
      <w:marBottom w:val="0"/>
      <w:divBdr>
        <w:top w:val="none" w:sz="0" w:space="0" w:color="auto"/>
        <w:left w:val="none" w:sz="0" w:space="0" w:color="auto"/>
        <w:bottom w:val="none" w:sz="0" w:space="0" w:color="auto"/>
        <w:right w:val="none" w:sz="0" w:space="0" w:color="auto"/>
      </w:divBdr>
    </w:div>
    <w:div w:id="2094622134">
      <w:bodyDiv w:val="1"/>
      <w:marLeft w:val="0"/>
      <w:marRight w:val="0"/>
      <w:marTop w:val="0"/>
      <w:marBottom w:val="0"/>
      <w:divBdr>
        <w:top w:val="none" w:sz="0" w:space="0" w:color="auto"/>
        <w:left w:val="none" w:sz="0" w:space="0" w:color="auto"/>
        <w:bottom w:val="none" w:sz="0" w:space="0" w:color="auto"/>
        <w:right w:val="none" w:sz="0" w:space="0" w:color="auto"/>
      </w:divBdr>
    </w:div>
    <w:div w:id="2128313139">
      <w:bodyDiv w:val="1"/>
      <w:marLeft w:val="0"/>
      <w:marRight w:val="0"/>
      <w:marTop w:val="0"/>
      <w:marBottom w:val="0"/>
      <w:divBdr>
        <w:top w:val="none" w:sz="0" w:space="0" w:color="auto"/>
        <w:left w:val="none" w:sz="0" w:space="0" w:color="auto"/>
        <w:bottom w:val="none" w:sz="0" w:space="0" w:color="auto"/>
        <w:right w:val="none" w:sz="0" w:space="0" w:color="auto"/>
      </w:divBdr>
    </w:div>
    <w:div w:id="2131197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5EAAF2-8B47-472A-A6A4-290FBFE27440}">
  <ds:schemaRefs>
    <ds:schemaRef ds:uri="http://schemas.openxmlformats.org/officeDocument/2006/bibliography"/>
  </ds:schemaRefs>
</ds:datastoreItem>
</file>

<file path=customXml/itemProps2.xml><?xml version="1.0" encoding="utf-8"?>
<ds:datastoreItem xmlns:ds="http://schemas.openxmlformats.org/officeDocument/2006/customXml" ds:itemID="{767DE82D-D394-420B-8C71-1B1A58C7B4DA}"/>
</file>

<file path=customXml/itemProps3.xml><?xml version="1.0" encoding="utf-8"?>
<ds:datastoreItem xmlns:ds="http://schemas.openxmlformats.org/officeDocument/2006/customXml" ds:itemID="{C1A06C7B-2D62-4417-9C3B-E82C6235CF21}"/>
</file>

<file path=customXml/itemProps4.xml><?xml version="1.0" encoding="utf-8"?>
<ds:datastoreItem xmlns:ds="http://schemas.openxmlformats.org/officeDocument/2006/customXml" ds:itemID="{A4584836-5836-46E3-B660-310EDF1F266C}"/>
</file>

<file path=docProps/app.xml><?xml version="1.0" encoding="utf-8"?>
<Properties xmlns="http://schemas.openxmlformats.org/officeDocument/2006/extended-properties" xmlns:vt="http://schemas.openxmlformats.org/officeDocument/2006/docPropsVTypes">
  <Template>Normal.dotm</Template>
  <TotalTime>44</TotalTime>
  <Pages>32</Pages>
  <Words>12985</Words>
  <Characters>71419</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Luisa Fernanda Pascuaza Cabrera</cp:lastModifiedBy>
  <cp:revision>6</cp:revision>
  <cp:lastPrinted>2022-03-24T20:14:00Z</cp:lastPrinted>
  <dcterms:created xsi:type="dcterms:W3CDTF">2022-07-25T03:06:00Z</dcterms:created>
  <dcterms:modified xsi:type="dcterms:W3CDTF">2022-08-17T12:07:00Z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