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77891" w14:textId="359A3E5B" w:rsidR="00F07362" w:rsidRPr="001C4260" w:rsidRDefault="00CC7571" w:rsidP="006835FF">
      <w:pPr>
        <w:spacing w:after="0" w:line="240" w:lineRule="auto"/>
        <w:jc w:val="both"/>
        <w:rPr>
          <w:rFonts w:ascii="Arial" w:hAnsi="Arial" w:cs="Arial"/>
          <w:b/>
          <w:sz w:val="20"/>
          <w:szCs w:val="20"/>
        </w:rPr>
      </w:pPr>
      <w:r w:rsidRPr="001C4260">
        <w:rPr>
          <w:rFonts w:ascii="Arial" w:eastAsia="Calibri" w:hAnsi="Arial" w:cs="Arial"/>
          <w:b/>
          <w:bCs/>
          <w:sz w:val="20"/>
          <w:szCs w:val="20"/>
        </w:rPr>
        <w:t>D</w:t>
      </w:r>
      <w:r w:rsidR="0037490B" w:rsidRPr="001C4260">
        <w:rPr>
          <w:rFonts w:ascii="Arial" w:eastAsia="Calibri" w:hAnsi="Arial" w:cs="Arial"/>
          <w:b/>
          <w:bCs/>
          <w:sz w:val="20"/>
          <w:szCs w:val="20"/>
        </w:rPr>
        <w:t>OCUMENTOS TIPO</w:t>
      </w:r>
      <w:r w:rsidR="008938BC" w:rsidRPr="001C4260">
        <w:rPr>
          <w:rFonts w:ascii="Arial" w:eastAsia="Calibri" w:hAnsi="Arial" w:cs="Arial"/>
          <w:b/>
          <w:bCs/>
          <w:sz w:val="20"/>
          <w:szCs w:val="20"/>
        </w:rPr>
        <w:t xml:space="preserve"> </w:t>
      </w:r>
      <w:r w:rsidR="00F07362" w:rsidRPr="001C4260">
        <w:rPr>
          <w:rFonts w:ascii="Arial" w:hAnsi="Arial" w:cs="Arial"/>
          <w:b/>
          <w:sz w:val="20"/>
          <w:szCs w:val="20"/>
        </w:rPr>
        <w:t xml:space="preserve">– Fundamento normativo – </w:t>
      </w:r>
      <w:r w:rsidR="001A468B">
        <w:rPr>
          <w:rFonts w:ascii="Arial" w:hAnsi="Arial" w:cs="Arial"/>
          <w:b/>
          <w:sz w:val="20"/>
          <w:szCs w:val="20"/>
        </w:rPr>
        <w:t>G</w:t>
      </w:r>
      <w:r w:rsidR="00F07362" w:rsidRPr="001C4260">
        <w:rPr>
          <w:rFonts w:ascii="Arial" w:hAnsi="Arial" w:cs="Arial"/>
          <w:b/>
          <w:sz w:val="20"/>
          <w:szCs w:val="20"/>
        </w:rPr>
        <w:t>eneralidades</w:t>
      </w:r>
    </w:p>
    <w:p w14:paraId="15BDDB8D" w14:textId="47D320E6" w:rsidR="002A6137" w:rsidRPr="001C4260" w:rsidRDefault="002A6137" w:rsidP="003A1D1C">
      <w:pPr>
        <w:spacing w:after="0" w:line="240" w:lineRule="auto"/>
        <w:jc w:val="both"/>
        <w:rPr>
          <w:rFonts w:ascii="Arial" w:eastAsia="Calibri" w:hAnsi="Arial" w:cs="Arial"/>
          <w:b/>
          <w:bCs/>
          <w:sz w:val="20"/>
          <w:szCs w:val="20"/>
        </w:rPr>
      </w:pPr>
    </w:p>
    <w:p w14:paraId="09A1EE53" w14:textId="107F1E1C" w:rsidR="006E20BA" w:rsidRPr="001C4260" w:rsidRDefault="001C4260" w:rsidP="003A1D1C">
      <w:pPr>
        <w:spacing w:after="0" w:line="240" w:lineRule="auto"/>
        <w:jc w:val="both"/>
        <w:rPr>
          <w:rFonts w:ascii="Arial" w:eastAsia="Calibri" w:hAnsi="Arial" w:cs="Arial"/>
          <w:sz w:val="20"/>
          <w:szCs w:val="20"/>
          <w:lang w:val="es-ES_tradnl"/>
        </w:rPr>
      </w:pPr>
      <w:r w:rsidRPr="001C4260">
        <w:rPr>
          <w:rFonts w:ascii="Arial" w:eastAsia="Calibri" w:hAnsi="Arial" w:cs="Arial"/>
          <w:sz w:val="20"/>
          <w:szCs w:val="20"/>
          <w:lang w:val="es-ES_tradnl"/>
        </w:rPr>
        <w:t>La adopción de los documentos tipo obligatorios en el ordenamiento jurídico colombiano se incluyó por primera vez en el parágrafo 3 del artículo 2 de la Ley 1150 de 2007, que facultó al gobierno nacional para expedirlos, pero solo cuando se tratara de la adquisición o suministro de bienes y servicios de características técnicas uniformes y de común utilización; facultad que no ha sido ejercida hasta la actualidad. 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 .</w:t>
      </w:r>
    </w:p>
    <w:p w14:paraId="225FD87C" w14:textId="77777777" w:rsidR="001C4260" w:rsidRPr="001C4260" w:rsidRDefault="001C4260" w:rsidP="001C4260">
      <w:pPr>
        <w:spacing w:after="0" w:line="240" w:lineRule="auto"/>
        <w:jc w:val="both"/>
        <w:rPr>
          <w:rFonts w:ascii="Arial" w:eastAsia="Calibri" w:hAnsi="Arial" w:cs="Arial"/>
          <w:b/>
          <w:bCs/>
          <w:sz w:val="20"/>
          <w:szCs w:val="20"/>
        </w:rPr>
      </w:pPr>
    </w:p>
    <w:p w14:paraId="492A0B80" w14:textId="2C1EA1E1" w:rsidR="006E20BA" w:rsidRPr="001C4260" w:rsidRDefault="006E20BA" w:rsidP="006835FF">
      <w:pPr>
        <w:spacing w:after="0" w:line="240" w:lineRule="auto"/>
        <w:jc w:val="both"/>
        <w:rPr>
          <w:rFonts w:ascii="Arial" w:eastAsia="Calibri" w:hAnsi="Arial" w:cs="Arial"/>
          <w:b/>
          <w:bCs/>
          <w:sz w:val="20"/>
          <w:szCs w:val="20"/>
        </w:rPr>
      </w:pPr>
      <w:r w:rsidRPr="001C4260">
        <w:rPr>
          <w:rFonts w:ascii="Arial" w:eastAsia="Calibri" w:hAnsi="Arial" w:cs="Arial"/>
          <w:b/>
          <w:bCs/>
          <w:sz w:val="20"/>
          <w:szCs w:val="20"/>
        </w:rPr>
        <w:t>DOCUMENTOS TIPO</w:t>
      </w:r>
      <w:r w:rsidR="00F85E49" w:rsidRPr="001C4260">
        <w:rPr>
          <w:rFonts w:ascii="Arial" w:hAnsi="Arial" w:cs="Arial"/>
          <w:b/>
          <w:sz w:val="20"/>
          <w:szCs w:val="20"/>
        </w:rPr>
        <w:t xml:space="preserve"> </w:t>
      </w:r>
      <w:r w:rsidRPr="001C4260">
        <w:rPr>
          <w:rFonts w:ascii="Arial" w:hAnsi="Arial" w:cs="Arial"/>
          <w:b/>
          <w:sz w:val="20"/>
          <w:szCs w:val="20"/>
        </w:rPr>
        <w:t xml:space="preserve">– Inalterabilidad  </w:t>
      </w:r>
    </w:p>
    <w:p w14:paraId="7746E90F" w14:textId="77777777" w:rsidR="00721A08" w:rsidRPr="001C4260" w:rsidRDefault="00721A08" w:rsidP="006835FF">
      <w:pPr>
        <w:spacing w:after="0" w:line="240" w:lineRule="auto"/>
        <w:jc w:val="both"/>
        <w:rPr>
          <w:rFonts w:ascii="Arial" w:eastAsia="Calibri" w:hAnsi="Arial" w:cs="Arial"/>
          <w:sz w:val="20"/>
          <w:szCs w:val="20"/>
          <w:lang w:val="es-ES_tradnl"/>
        </w:rPr>
      </w:pPr>
    </w:p>
    <w:p w14:paraId="47CDF812" w14:textId="5AF0F990" w:rsidR="00853CC5" w:rsidRPr="001C4260" w:rsidRDefault="00026DB6" w:rsidP="00F85E49">
      <w:pPr>
        <w:spacing w:after="120" w:line="240" w:lineRule="auto"/>
        <w:jc w:val="both"/>
        <w:rPr>
          <w:rFonts w:ascii="Arial" w:eastAsia="Calibri" w:hAnsi="Arial" w:cs="Arial"/>
          <w:sz w:val="20"/>
          <w:szCs w:val="20"/>
          <w:lang w:val="es-ES_tradnl"/>
        </w:rPr>
      </w:pPr>
      <w:r w:rsidRPr="001C4260">
        <w:rPr>
          <w:rFonts w:ascii="Arial" w:eastAsia="Calibri" w:hAnsi="Arial" w:cs="Arial"/>
          <w:sz w:val="20"/>
          <w:szCs w:val="20"/>
          <w:lang w:val="es-ES_tradnl"/>
        </w:rPr>
        <w:t xml:space="preserve">[…] Esta prohibición consiste en que las entidades estatales no pueden incluir o modificar en los </w:t>
      </w:r>
      <w:r w:rsidRPr="001C4260">
        <w:rPr>
          <w:rFonts w:ascii="Arial" w:eastAsia="Calibri" w:hAnsi="Arial" w:cs="Arial"/>
          <w:i/>
          <w:iCs/>
          <w:sz w:val="20"/>
          <w:szCs w:val="20"/>
          <w:lang w:val="es-ES_tradnl"/>
        </w:rPr>
        <w:t>Documentos del Proceso</w:t>
      </w:r>
      <w:r w:rsidRPr="001C4260">
        <w:rPr>
          <w:rFonts w:ascii="Arial" w:eastAsia="Calibri" w:hAnsi="Arial" w:cs="Arial"/>
          <w:sz w:val="20"/>
          <w:szCs w:val="20"/>
          <w:lang w:val="es-ES_tradnl"/>
        </w:rPr>
        <w:t xml:space="preserve">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r w:rsidR="0082705E" w:rsidRPr="001C4260">
        <w:rPr>
          <w:rFonts w:ascii="Arial" w:eastAsia="Calibri" w:hAnsi="Arial" w:cs="Arial"/>
          <w:sz w:val="20"/>
          <w:szCs w:val="20"/>
          <w:lang w:val="es-ES_tradnl"/>
        </w:rPr>
        <w:t xml:space="preserve"> </w:t>
      </w:r>
      <w:r w:rsidR="00853CC5" w:rsidRPr="001C4260">
        <w:rPr>
          <w:rFonts w:ascii="Arial" w:eastAsia="Calibri" w:hAnsi="Arial" w:cs="Arial"/>
          <w:sz w:val="20"/>
          <w:szCs w:val="20"/>
          <w:lang w:val="es-ES_tradnl"/>
        </w:rPr>
        <w:t xml:space="preserve">El fundamento legal vigente de la regla de la inalterabilidad está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Decreto 2096 de 2019 y 594 de 2020, que adicionaron, respectivamente, los artículos 2.2.1.2.6.1.4, 2.2.1.2.6.2.3 y 2.2.1.2.6.3.4 al Decreto 1082 de 2015. En esta línea, las entidades públicas deberán sujetarse de forma irrestricta a las reglas establecidas en los documentos tipo, dispuestas en las diferentes resoluciones expedidas por la Agencia, por lo que no pueden hacer excepciones bajo una supuesta discrecionalidad a estas reglas que son obligatorias.  La inalterabilidad de los documentos es una manifestación en mayor grado de las potestades regladas, lo cual implica una reducción de la discrecionalidad de la Administración en el momento de tomar una decisión en el proceso de contratación. Cada entidad pública sujeta a los documentos tipo deberá hacer una aplicación o constatación irrestricta de las reglas y condiciones dispuestas en estos, salvo que las mismas posibilitan la discrecionalidad en determinados aspectos. </w:t>
      </w:r>
    </w:p>
    <w:p w14:paraId="08BB85F2" w14:textId="77777777" w:rsidR="00853CC5" w:rsidRPr="001C4260" w:rsidRDefault="00853CC5" w:rsidP="00F85E49">
      <w:pPr>
        <w:spacing w:after="120" w:line="240" w:lineRule="auto"/>
        <w:jc w:val="both"/>
        <w:rPr>
          <w:rFonts w:ascii="Arial" w:eastAsia="Calibri" w:hAnsi="Arial" w:cs="Arial"/>
          <w:b/>
          <w:bCs/>
          <w:sz w:val="20"/>
          <w:szCs w:val="20"/>
        </w:rPr>
      </w:pPr>
    </w:p>
    <w:p w14:paraId="35F40243" w14:textId="2E350A15" w:rsidR="006E20BA" w:rsidRPr="001C4260" w:rsidRDefault="00A868D7" w:rsidP="006835FF">
      <w:pPr>
        <w:spacing w:after="0" w:line="240" w:lineRule="auto"/>
        <w:jc w:val="both"/>
        <w:rPr>
          <w:rFonts w:ascii="Arial" w:hAnsi="Arial" w:cs="Arial"/>
          <w:b/>
          <w:sz w:val="20"/>
          <w:szCs w:val="20"/>
          <w:lang w:eastAsia="es-MX"/>
        </w:rPr>
      </w:pPr>
      <w:r w:rsidRPr="001C4260">
        <w:rPr>
          <w:rFonts w:ascii="Arial" w:hAnsi="Arial" w:cs="Arial"/>
          <w:b/>
          <w:sz w:val="20"/>
          <w:szCs w:val="20"/>
          <w:lang w:eastAsia="es-MX"/>
        </w:rPr>
        <w:t xml:space="preserve">MÉTODOS </w:t>
      </w:r>
      <w:r w:rsidR="006E20BA" w:rsidRPr="001C4260">
        <w:rPr>
          <w:rFonts w:ascii="Arial" w:hAnsi="Arial" w:cs="Arial"/>
          <w:b/>
          <w:sz w:val="20"/>
          <w:szCs w:val="20"/>
          <w:lang w:eastAsia="es-MX"/>
        </w:rPr>
        <w:t>DE PONDERACIÓN DE LA OFERTA ECONÓMICA – Documentos tipo – Método aleatorio – Ley 1882 de 2018 – TRM</w:t>
      </w:r>
    </w:p>
    <w:p w14:paraId="5F46B0A8" w14:textId="77777777" w:rsidR="006E20BA" w:rsidRPr="001C4260" w:rsidRDefault="006E20BA" w:rsidP="006835FF">
      <w:pPr>
        <w:spacing w:after="0" w:line="240" w:lineRule="auto"/>
        <w:jc w:val="both"/>
        <w:rPr>
          <w:rFonts w:ascii="Arial" w:eastAsia="Calibri" w:hAnsi="Arial" w:cs="Arial"/>
          <w:b/>
          <w:bCs/>
          <w:sz w:val="20"/>
          <w:szCs w:val="20"/>
        </w:rPr>
      </w:pPr>
    </w:p>
    <w:p w14:paraId="55FB5983" w14:textId="3B44297C" w:rsidR="006F70AD" w:rsidRPr="001C4260" w:rsidRDefault="006F70AD" w:rsidP="00F85E49">
      <w:pPr>
        <w:pStyle w:val="Normal11pt"/>
        <w:ind w:left="0"/>
        <w:rPr>
          <w:rFonts w:eastAsia="Calibri"/>
          <w:color w:val="auto"/>
          <w:sz w:val="20"/>
          <w:szCs w:val="20"/>
        </w:rPr>
      </w:pPr>
      <w:r w:rsidRPr="001C4260">
        <w:rPr>
          <w:rFonts w:eastAsia="Calibri"/>
          <w:color w:val="auto"/>
          <w:sz w:val="20"/>
          <w:szCs w:val="20"/>
        </w:rPr>
        <w:t>Los Documentos Tipo adoptados por esta Agencia, han regulado de manera uniforme lo relativo a la determinación del factor que se tendrá en cuenta a efectos de pondera</w:t>
      </w:r>
      <w:r w:rsidR="00DC7E8D" w:rsidRPr="001C4260">
        <w:rPr>
          <w:rFonts w:eastAsia="Calibri"/>
          <w:color w:val="auto"/>
          <w:sz w:val="20"/>
          <w:szCs w:val="20"/>
        </w:rPr>
        <w:t>r</w:t>
      </w:r>
      <w:r w:rsidRPr="001C4260">
        <w:rPr>
          <w:rFonts w:eastAsia="Calibri"/>
          <w:color w:val="auto"/>
          <w:sz w:val="20"/>
          <w:szCs w:val="20"/>
        </w:rPr>
        <w:t xml:space="preserve"> el aspecto económico de las ofertas presentadas por los oferentes en el respectivo Proceso de Selección, acogiendo, como se </w:t>
      </w:r>
      <w:r w:rsidRPr="001C4260">
        <w:rPr>
          <w:rFonts w:eastAsia="Calibri"/>
          <w:color w:val="auto"/>
          <w:sz w:val="20"/>
          <w:szCs w:val="20"/>
        </w:rPr>
        <w:lastRenderedPageBreak/>
        <w:t xml:space="preserve">anunció, </w:t>
      </w:r>
      <w:proofErr w:type="gramStart"/>
      <w:r w:rsidRPr="001C4260">
        <w:rPr>
          <w:rFonts w:eastAsia="Calibri"/>
          <w:color w:val="auto"/>
          <w:sz w:val="20"/>
          <w:szCs w:val="20"/>
        </w:rPr>
        <w:t>a  la</w:t>
      </w:r>
      <w:proofErr w:type="gramEnd"/>
      <w:r w:rsidRPr="001C4260">
        <w:rPr>
          <w:rFonts w:eastAsia="Calibri"/>
          <w:color w:val="auto"/>
          <w:sz w:val="20"/>
          <w:szCs w:val="20"/>
        </w:rPr>
        <w:t xml:space="preserve"> Tasa Representativa del Mercado que rija para determinado momento como la cifra que a la postre definirá uno de los métodos de ponderación de la propuesta establecidos en los documentos del proceso. La Tasa de Cambio Representativa del Mercado – TRM «es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(IMC) entre las 7:30 a.m. y la 1:00 p.m.», definido por la Superintendencia Financiera, es decir, denota la relación entre la moneda colombiana y el dólar. Por su parte, el Banco de la República ha definido la tasa de cambio representativa del mercado como «la cantidad de pesos colombianos por un dólar de los Estados Unidos», de donde se despende que la TRM es un valor que se origina en la fluctuación del mercado. </w:t>
      </w:r>
    </w:p>
    <w:p w14:paraId="26A5E5A3" w14:textId="6A5B5479" w:rsidR="006F70AD" w:rsidRPr="001C4260" w:rsidRDefault="006F70AD" w:rsidP="006F70AD">
      <w:pPr>
        <w:spacing w:after="0" w:line="240" w:lineRule="auto"/>
        <w:contextualSpacing/>
        <w:rPr>
          <w:rFonts w:ascii="Arial" w:hAnsi="Arial" w:cs="Arial"/>
          <w:b/>
          <w:sz w:val="20"/>
          <w:szCs w:val="20"/>
          <w:lang w:eastAsia="es-MX"/>
        </w:rPr>
      </w:pPr>
    </w:p>
    <w:p w14:paraId="4CC494ED" w14:textId="6A702B07" w:rsidR="00A868D7" w:rsidRPr="001C4260" w:rsidRDefault="00A868D7" w:rsidP="006835FF">
      <w:pPr>
        <w:spacing w:after="0" w:line="240" w:lineRule="auto"/>
        <w:contextualSpacing/>
        <w:jc w:val="both"/>
        <w:rPr>
          <w:rFonts w:ascii="Arial" w:hAnsi="Arial" w:cs="Arial"/>
          <w:b/>
          <w:sz w:val="20"/>
          <w:szCs w:val="20"/>
          <w:lang w:eastAsia="es-MX"/>
        </w:rPr>
      </w:pPr>
      <w:r w:rsidRPr="001C4260">
        <w:rPr>
          <w:rFonts w:ascii="Arial" w:hAnsi="Arial" w:cs="Arial"/>
          <w:b/>
          <w:sz w:val="20"/>
          <w:szCs w:val="20"/>
          <w:lang w:eastAsia="es-MX"/>
        </w:rPr>
        <w:t>MÉTODOS DE PONDERACIÓN DE LA OFERTA ECONÓMICA – Documentos tipo – Inalterabilidad</w:t>
      </w:r>
    </w:p>
    <w:p w14:paraId="75FD553F" w14:textId="24FEA0A9" w:rsidR="00CC7571" w:rsidRPr="001C4260" w:rsidRDefault="00CC7571" w:rsidP="0055101F">
      <w:pPr>
        <w:spacing w:after="120" w:line="240" w:lineRule="auto"/>
        <w:jc w:val="both"/>
        <w:rPr>
          <w:rFonts w:ascii="Arial" w:eastAsia="Calibri" w:hAnsi="Arial" w:cs="Arial"/>
          <w:sz w:val="20"/>
          <w:szCs w:val="20"/>
        </w:rPr>
      </w:pPr>
    </w:p>
    <w:p w14:paraId="576646A4" w14:textId="5ABB8190" w:rsidR="00A868D7" w:rsidRPr="001C4260" w:rsidRDefault="00A868D7" w:rsidP="006835FF">
      <w:pPr>
        <w:pStyle w:val="Normal11pt"/>
        <w:ind w:left="0"/>
        <w:rPr>
          <w:rFonts w:eastAsia="Calibri"/>
          <w:color w:val="auto"/>
          <w:sz w:val="20"/>
          <w:szCs w:val="20"/>
        </w:rPr>
      </w:pPr>
      <w:r w:rsidRPr="001C4260">
        <w:rPr>
          <w:rFonts w:eastAsia="Calibri"/>
          <w:color w:val="auto"/>
          <w:sz w:val="20"/>
          <w:szCs w:val="20"/>
        </w:rPr>
        <w:t xml:space="preserve">[...] los documentos tipo estandarizan la forma como se evalúan las propuestas económicas, particularmente en lo relacionado con los métodos de ponderación de las ofertas económicas, presentando 4 alternativas, esto es: i) mediana con valor absoluto, </w:t>
      </w:r>
      <w:proofErr w:type="spellStart"/>
      <w:r w:rsidRPr="001C4260">
        <w:rPr>
          <w:rFonts w:eastAsia="Calibri"/>
          <w:color w:val="auto"/>
          <w:sz w:val="20"/>
          <w:szCs w:val="20"/>
        </w:rPr>
        <w:t>ii</w:t>
      </w:r>
      <w:proofErr w:type="spellEnd"/>
      <w:r w:rsidRPr="001C4260">
        <w:rPr>
          <w:rFonts w:eastAsia="Calibri"/>
          <w:color w:val="auto"/>
          <w:sz w:val="20"/>
          <w:szCs w:val="20"/>
        </w:rPr>
        <w:t xml:space="preserve">) media geométrica, </w:t>
      </w:r>
      <w:proofErr w:type="spellStart"/>
      <w:r w:rsidRPr="001C4260">
        <w:rPr>
          <w:rFonts w:eastAsia="Calibri"/>
          <w:color w:val="auto"/>
          <w:sz w:val="20"/>
          <w:szCs w:val="20"/>
        </w:rPr>
        <w:t>iii</w:t>
      </w:r>
      <w:proofErr w:type="spellEnd"/>
      <w:r w:rsidRPr="001C4260">
        <w:rPr>
          <w:rFonts w:eastAsia="Calibri"/>
          <w:color w:val="auto"/>
          <w:sz w:val="20"/>
          <w:szCs w:val="20"/>
        </w:rPr>
        <w:t xml:space="preserve">) media aritmética baja y </w:t>
      </w:r>
      <w:proofErr w:type="spellStart"/>
      <w:r w:rsidRPr="001C4260">
        <w:rPr>
          <w:rFonts w:eastAsia="Calibri"/>
          <w:color w:val="auto"/>
          <w:sz w:val="20"/>
          <w:szCs w:val="20"/>
        </w:rPr>
        <w:t>iv</w:t>
      </w:r>
      <w:proofErr w:type="spellEnd"/>
      <w:r w:rsidRPr="001C4260">
        <w:rPr>
          <w:rFonts w:eastAsia="Calibri"/>
          <w:color w:val="auto"/>
          <w:sz w:val="20"/>
          <w:szCs w:val="20"/>
        </w:rPr>
        <w:t>) menor valor. Además, cabe precisar que los documentos tipo no admiten la posibilidad de modificar estos métodos o de incluir algunos nuevos. En tal sentido, en relación con los métodos de ponderación de las ofertas económicas pesa la regla de la inalterabilidad que se explicó en el numeral 2.2. de este concepto, por lo cual las entidades estatales no pueden incluir nuevos métodos –fórmulas– para evaluar las ofertas económicas, sino que deben aplicar las establecidas en los documentos tipo, cuando se trate de procesos regidos por ellos.</w:t>
      </w:r>
    </w:p>
    <w:p w14:paraId="59D799DE" w14:textId="3F36C2FF" w:rsidR="00CC7571" w:rsidRPr="001C4260" w:rsidRDefault="00CC7571" w:rsidP="0055101F">
      <w:pPr>
        <w:spacing w:after="120" w:line="240" w:lineRule="auto"/>
        <w:jc w:val="both"/>
        <w:rPr>
          <w:rFonts w:ascii="Arial" w:eastAsia="Calibri" w:hAnsi="Arial" w:cs="Arial"/>
          <w:sz w:val="20"/>
          <w:szCs w:val="20"/>
        </w:rPr>
      </w:pPr>
    </w:p>
    <w:p w14:paraId="32E39950" w14:textId="607D6262" w:rsidR="00CC7571" w:rsidRPr="001C4260" w:rsidRDefault="00CC7571" w:rsidP="0055101F">
      <w:pPr>
        <w:spacing w:after="120" w:line="240" w:lineRule="auto"/>
        <w:jc w:val="both"/>
        <w:rPr>
          <w:rFonts w:ascii="Arial" w:eastAsia="Calibri" w:hAnsi="Arial" w:cs="Arial"/>
          <w:sz w:val="20"/>
          <w:szCs w:val="20"/>
        </w:rPr>
      </w:pPr>
    </w:p>
    <w:p w14:paraId="45343F04" w14:textId="00624823" w:rsidR="00CC7571" w:rsidRPr="001C4260" w:rsidRDefault="00CC7571" w:rsidP="0055101F">
      <w:pPr>
        <w:spacing w:after="120" w:line="240" w:lineRule="auto"/>
        <w:jc w:val="both"/>
        <w:rPr>
          <w:rFonts w:ascii="Arial" w:eastAsia="Calibri" w:hAnsi="Arial" w:cs="Arial"/>
          <w:sz w:val="20"/>
          <w:szCs w:val="20"/>
        </w:rPr>
      </w:pPr>
    </w:p>
    <w:p w14:paraId="5576055C" w14:textId="2BB87F6E" w:rsidR="00CC7571" w:rsidRPr="001C4260" w:rsidRDefault="00CC7571" w:rsidP="0055101F">
      <w:pPr>
        <w:spacing w:after="120" w:line="240" w:lineRule="auto"/>
        <w:jc w:val="both"/>
        <w:rPr>
          <w:rFonts w:ascii="Arial" w:eastAsia="Calibri" w:hAnsi="Arial" w:cs="Arial"/>
          <w:sz w:val="20"/>
          <w:szCs w:val="20"/>
        </w:rPr>
      </w:pPr>
    </w:p>
    <w:p w14:paraId="5FFD5B20" w14:textId="159DD55C" w:rsidR="00CC7571" w:rsidRPr="001C4260" w:rsidRDefault="00CC7571" w:rsidP="0055101F">
      <w:pPr>
        <w:spacing w:after="120" w:line="240" w:lineRule="auto"/>
        <w:jc w:val="both"/>
        <w:rPr>
          <w:rFonts w:ascii="Arial" w:eastAsia="Calibri" w:hAnsi="Arial" w:cs="Arial"/>
          <w:sz w:val="20"/>
          <w:szCs w:val="20"/>
        </w:rPr>
      </w:pPr>
    </w:p>
    <w:p w14:paraId="630EF220" w14:textId="4F6BAF4F" w:rsidR="00CC7571" w:rsidRPr="001C4260" w:rsidRDefault="00CC7571">
      <w:pPr>
        <w:rPr>
          <w:rFonts w:ascii="Arial" w:eastAsia="Calibri" w:hAnsi="Arial" w:cs="Arial"/>
          <w:sz w:val="20"/>
          <w:szCs w:val="20"/>
        </w:rPr>
      </w:pPr>
      <w:r w:rsidRPr="001C4260">
        <w:rPr>
          <w:rFonts w:ascii="Arial" w:eastAsia="Calibri" w:hAnsi="Arial" w:cs="Arial"/>
          <w:sz w:val="20"/>
          <w:szCs w:val="20"/>
        </w:rPr>
        <w:br w:type="page"/>
      </w:r>
    </w:p>
    <w:p w14:paraId="713142F0" w14:textId="77777777" w:rsidR="00CC7571" w:rsidRPr="001C4260" w:rsidRDefault="00CC7571" w:rsidP="0055101F">
      <w:pPr>
        <w:spacing w:after="120" w:line="240" w:lineRule="auto"/>
        <w:jc w:val="both"/>
        <w:rPr>
          <w:rFonts w:ascii="Arial" w:eastAsia="Calibri" w:hAnsi="Arial" w:cs="Arial"/>
          <w:sz w:val="20"/>
          <w:szCs w:val="20"/>
        </w:rPr>
      </w:pPr>
    </w:p>
    <w:p w14:paraId="483A25AF" w14:textId="5EC2BE74" w:rsidR="00601F06" w:rsidRDefault="00B53A32" w:rsidP="00CE3AFC">
      <w:pPr>
        <w:spacing w:after="0"/>
        <w:jc w:val="right"/>
        <w:rPr>
          <w:rFonts w:ascii="Arial" w:eastAsia="Calibri" w:hAnsi="Arial" w:cs="Arial"/>
          <w:lang w:val="es-ES_tradnl"/>
        </w:rPr>
      </w:pPr>
      <w:bookmarkStart w:id="0" w:name="_Hlk113266481"/>
      <w:r w:rsidRPr="00B53A32">
        <w:rPr>
          <w:rFonts w:ascii="Arial" w:eastAsia="Calibri" w:hAnsi="Arial" w:cs="Arial"/>
          <w:noProof/>
          <w:lang w:val="es-ES_tradnl"/>
        </w:rPr>
        <w:drawing>
          <wp:inline distT="0" distB="0" distL="0" distR="0" wp14:anchorId="70115E00" wp14:editId="52B31B74">
            <wp:extent cx="2940380" cy="771525"/>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951676" cy="774489"/>
                    </a:xfrm>
                    <a:prstGeom prst="rect">
                      <a:avLst/>
                    </a:prstGeom>
                  </pic:spPr>
                </pic:pic>
              </a:graphicData>
            </a:graphic>
          </wp:inline>
        </w:drawing>
      </w:r>
    </w:p>
    <w:p w14:paraId="042A5D63" w14:textId="2BEB8D0A" w:rsidR="00B53A32" w:rsidRDefault="00B53A32" w:rsidP="00CE3AFC">
      <w:pPr>
        <w:spacing w:after="0"/>
        <w:jc w:val="right"/>
        <w:rPr>
          <w:rFonts w:ascii="Arial" w:eastAsia="Calibri" w:hAnsi="Arial" w:cs="Arial"/>
          <w:lang w:val="es-ES_tradnl"/>
        </w:rPr>
      </w:pPr>
    </w:p>
    <w:p w14:paraId="068E90C1" w14:textId="77777777" w:rsidR="00B53A32" w:rsidRPr="001C4260" w:rsidRDefault="00B53A32" w:rsidP="00CE3AFC">
      <w:pPr>
        <w:spacing w:after="0"/>
        <w:jc w:val="right"/>
        <w:rPr>
          <w:rFonts w:ascii="Arial" w:eastAsia="Calibri" w:hAnsi="Arial" w:cs="Arial"/>
          <w:lang w:val="es-ES_tradnl"/>
        </w:rPr>
      </w:pPr>
    </w:p>
    <w:p w14:paraId="189649D0" w14:textId="0DC52A5E" w:rsidR="00B53A32" w:rsidRPr="00B53A32" w:rsidRDefault="00B53A32" w:rsidP="00455DC9">
      <w:pPr>
        <w:spacing w:after="0"/>
        <w:jc w:val="both"/>
        <w:rPr>
          <w:rFonts w:ascii="Arial" w:hAnsi="Arial" w:cs="Arial"/>
        </w:rPr>
      </w:pPr>
      <w:bookmarkStart w:id="1" w:name="_Hlk73599102"/>
      <w:r w:rsidRPr="001C4260">
        <w:rPr>
          <w:rFonts w:ascii="Arial" w:hAnsi="Arial" w:cs="Arial"/>
        </w:rPr>
        <w:t xml:space="preserve">Bogotá, </w:t>
      </w:r>
      <w:r>
        <w:rPr>
          <w:rFonts w:ascii="Arial" w:hAnsi="Arial" w:cs="Arial"/>
        </w:rPr>
        <w:t xml:space="preserve">05 de </w:t>
      </w:r>
      <w:proofErr w:type="gramStart"/>
      <w:r w:rsidR="002E08A3">
        <w:rPr>
          <w:rFonts w:ascii="Arial" w:hAnsi="Arial" w:cs="Arial"/>
        </w:rPr>
        <w:t>S</w:t>
      </w:r>
      <w:r>
        <w:rPr>
          <w:rFonts w:ascii="Arial" w:hAnsi="Arial" w:cs="Arial"/>
        </w:rPr>
        <w:t>eptiembre</w:t>
      </w:r>
      <w:proofErr w:type="gramEnd"/>
      <w:r>
        <w:rPr>
          <w:rFonts w:ascii="Arial" w:hAnsi="Arial" w:cs="Arial"/>
        </w:rPr>
        <w:t xml:space="preserve"> de 2022</w:t>
      </w:r>
    </w:p>
    <w:p w14:paraId="5365EC44" w14:textId="77777777" w:rsidR="00CE3AFC" w:rsidRPr="001C4260" w:rsidRDefault="00CE3AFC" w:rsidP="00455DC9">
      <w:pPr>
        <w:spacing w:after="0"/>
        <w:jc w:val="both"/>
        <w:rPr>
          <w:rFonts w:ascii="Arial" w:eastAsia="Calibri" w:hAnsi="Arial" w:cs="Arial"/>
          <w:lang w:val="es-ES_tradnl"/>
        </w:rPr>
      </w:pPr>
    </w:p>
    <w:p w14:paraId="68192B90" w14:textId="6E58AA71" w:rsidR="00455DC9" w:rsidRPr="001C4260" w:rsidRDefault="00455DC9" w:rsidP="00455DC9">
      <w:pPr>
        <w:spacing w:after="0"/>
        <w:jc w:val="both"/>
        <w:rPr>
          <w:rFonts w:ascii="Arial" w:eastAsia="Calibri" w:hAnsi="Arial" w:cs="Arial"/>
          <w:lang w:val="es-ES_tradnl"/>
        </w:rPr>
      </w:pPr>
      <w:r w:rsidRPr="001C4260">
        <w:rPr>
          <w:rFonts w:ascii="Arial" w:eastAsia="Calibri" w:hAnsi="Arial" w:cs="Arial"/>
          <w:lang w:val="es-ES_tradnl"/>
        </w:rPr>
        <w:t>Señor</w:t>
      </w:r>
    </w:p>
    <w:p w14:paraId="48DEF007" w14:textId="23C8EDD4" w:rsidR="00455DC9" w:rsidRPr="001C4260" w:rsidRDefault="0007244D" w:rsidP="00455DC9">
      <w:pPr>
        <w:spacing w:after="0"/>
        <w:jc w:val="both"/>
        <w:rPr>
          <w:rFonts w:ascii="Arial" w:hAnsi="Arial" w:cs="Arial"/>
          <w:b/>
          <w:bCs/>
        </w:rPr>
      </w:pPr>
      <w:r w:rsidRPr="001C4260">
        <w:rPr>
          <w:rFonts w:ascii="Arial" w:hAnsi="Arial" w:cs="Arial"/>
          <w:b/>
          <w:bCs/>
        </w:rPr>
        <w:t>Edmundo Cruz V.</w:t>
      </w:r>
    </w:p>
    <w:p w14:paraId="278D61E6" w14:textId="5C8E3212" w:rsidR="00455DC9" w:rsidRPr="001C4260" w:rsidRDefault="0007244D" w:rsidP="00455DC9">
      <w:pPr>
        <w:spacing w:after="0"/>
        <w:jc w:val="both"/>
        <w:rPr>
          <w:rFonts w:ascii="Arial" w:eastAsia="Calibri" w:hAnsi="Arial" w:cs="Arial"/>
          <w:lang w:val="es-ES_tradnl"/>
        </w:rPr>
      </w:pPr>
      <w:r w:rsidRPr="001C4260">
        <w:rPr>
          <w:rFonts w:ascii="Arial" w:hAnsi="Arial" w:cs="Arial"/>
        </w:rPr>
        <w:t>Neiva, Huila</w:t>
      </w:r>
    </w:p>
    <w:p w14:paraId="3CA232E9" w14:textId="07536920" w:rsidR="00BF1842" w:rsidRPr="001C4260" w:rsidRDefault="00BF1842" w:rsidP="00BF1842">
      <w:pPr>
        <w:spacing w:after="0"/>
        <w:rPr>
          <w:rFonts w:ascii="Arial" w:eastAsia="Calibri" w:hAnsi="Arial" w:cs="Arial"/>
          <w:b/>
          <w:bCs/>
          <w:lang w:val="es-ES_tradnl"/>
        </w:rPr>
      </w:pPr>
    </w:p>
    <w:p w14:paraId="25F49CE9" w14:textId="77777777" w:rsidR="00601F06" w:rsidRPr="001C4260" w:rsidRDefault="00601F06" w:rsidP="00BF1842">
      <w:pPr>
        <w:spacing w:after="0"/>
        <w:rPr>
          <w:rFonts w:ascii="Arial" w:eastAsia="Calibri" w:hAnsi="Arial" w:cs="Arial"/>
          <w:b/>
          <w:bCs/>
          <w:lang w:val="es-ES_tradnl"/>
        </w:rPr>
      </w:pPr>
    </w:p>
    <w:p w14:paraId="6043DFB7" w14:textId="759D8F55" w:rsidR="00455DC9" w:rsidRPr="001C4260" w:rsidRDefault="00455DC9" w:rsidP="00BF1842">
      <w:pPr>
        <w:spacing w:after="0"/>
        <w:rPr>
          <w:rFonts w:ascii="Arial" w:eastAsia="Calibri" w:hAnsi="Arial" w:cs="Arial"/>
          <w:b/>
          <w:bCs/>
          <w:lang w:val="es-ES_tradnl"/>
        </w:rPr>
      </w:pPr>
      <w:r w:rsidRPr="001C4260">
        <w:rPr>
          <w:rFonts w:ascii="Arial" w:eastAsia="Calibri" w:hAnsi="Arial" w:cs="Arial"/>
          <w:b/>
          <w:bCs/>
          <w:lang w:val="es-ES_tradnl"/>
        </w:rPr>
        <w:t xml:space="preserve">                                            Concepto C ‒ </w:t>
      </w:r>
      <w:r w:rsidR="00B30B3C" w:rsidRPr="001C4260">
        <w:rPr>
          <w:rFonts w:ascii="Arial" w:eastAsia="Calibri" w:hAnsi="Arial" w:cs="Arial"/>
          <w:b/>
          <w:bCs/>
          <w:lang w:val="es-ES_tradnl"/>
        </w:rPr>
        <w:t>558</w:t>
      </w:r>
      <w:r w:rsidR="00BF1842" w:rsidRPr="001C4260">
        <w:rPr>
          <w:rFonts w:ascii="Arial" w:eastAsia="Calibri" w:hAnsi="Arial" w:cs="Arial"/>
          <w:b/>
          <w:bCs/>
          <w:lang w:val="es-ES_tradnl"/>
        </w:rPr>
        <w:t xml:space="preserve"> </w:t>
      </w:r>
      <w:r w:rsidRPr="001C4260">
        <w:rPr>
          <w:rFonts w:ascii="Arial" w:eastAsia="Calibri" w:hAnsi="Arial" w:cs="Arial"/>
          <w:b/>
          <w:bCs/>
          <w:lang w:val="es-ES_tradnl"/>
        </w:rPr>
        <w:t>de 202</w:t>
      </w:r>
      <w:r w:rsidR="00B30B3C" w:rsidRPr="001C4260">
        <w:rPr>
          <w:rFonts w:ascii="Arial" w:eastAsia="Calibri" w:hAnsi="Arial" w:cs="Arial"/>
          <w:b/>
          <w:bCs/>
          <w:lang w:val="es-ES_tradnl"/>
        </w:rPr>
        <w:t>2</w:t>
      </w:r>
    </w:p>
    <w:p w14:paraId="26EA6725" w14:textId="77777777" w:rsidR="00455DC9" w:rsidRPr="001C4260" w:rsidRDefault="00455DC9" w:rsidP="00BF1842">
      <w:pPr>
        <w:spacing w:after="0"/>
        <w:jc w:val="both"/>
        <w:rPr>
          <w:rFonts w:ascii="Arial" w:eastAsia="Calibri" w:hAnsi="Arial" w:cs="Arial"/>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C4260" w:rsidRPr="001C4260" w14:paraId="7A68FD80" w14:textId="77777777" w:rsidTr="005F47AD">
        <w:tc>
          <w:tcPr>
            <w:tcW w:w="2689" w:type="dxa"/>
          </w:tcPr>
          <w:p w14:paraId="0983ACFE" w14:textId="77777777" w:rsidR="00455DC9" w:rsidRPr="001C4260" w:rsidRDefault="00455DC9" w:rsidP="00BF1842">
            <w:pPr>
              <w:jc w:val="both"/>
              <w:rPr>
                <w:rFonts w:ascii="Arial" w:eastAsia="Calibri" w:hAnsi="Arial" w:cs="Arial"/>
                <w:lang w:val="es-ES_tradnl"/>
              </w:rPr>
            </w:pPr>
            <w:r w:rsidRPr="001C4260">
              <w:rPr>
                <w:rFonts w:ascii="Arial" w:eastAsia="Calibri" w:hAnsi="Arial" w:cs="Arial"/>
                <w:b/>
                <w:lang w:val="es-ES_tradnl"/>
              </w:rPr>
              <w:t>Temas:</w:t>
            </w:r>
            <w:r w:rsidRPr="001C4260">
              <w:rPr>
                <w:rFonts w:ascii="Arial" w:eastAsia="Calibri" w:hAnsi="Arial" w:cs="Arial"/>
                <w:lang w:val="es-ES_tradnl"/>
              </w:rPr>
              <w:t xml:space="preserve">                                      </w:t>
            </w:r>
          </w:p>
        </w:tc>
        <w:tc>
          <w:tcPr>
            <w:tcW w:w="6237" w:type="dxa"/>
          </w:tcPr>
          <w:p w14:paraId="047AC0E2" w14:textId="4F5EF55C" w:rsidR="00B426CA" w:rsidRPr="001C4260" w:rsidRDefault="00B426CA" w:rsidP="00B426CA">
            <w:pPr>
              <w:jc w:val="both"/>
              <w:rPr>
                <w:rFonts w:ascii="Arial" w:eastAsia="Calibri" w:hAnsi="Arial" w:cs="Arial"/>
                <w:bCs/>
              </w:rPr>
            </w:pPr>
            <w:r w:rsidRPr="001C4260">
              <w:rPr>
                <w:rFonts w:ascii="Arial" w:eastAsia="Calibri" w:hAnsi="Arial" w:cs="Arial"/>
                <w:bCs/>
              </w:rPr>
              <w:t xml:space="preserve">DOCUMENTO TIPO – Fundamentos </w:t>
            </w:r>
            <w:r w:rsidR="00444CAB" w:rsidRPr="001C4260">
              <w:rPr>
                <w:rFonts w:ascii="Arial" w:eastAsia="Calibri" w:hAnsi="Arial" w:cs="Arial"/>
                <w:bCs/>
              </w:rPr>
              <w:t xml:space="preserve">Normativo – Generalidades </w:t>
            </w:r>
            <w:r w:rsidRPr="001C4260">
              <w:rPr>
                <w:rFonts w:ascii="Arial" w:eastAsia="Calibri" w:hAnsi="Arial" w:cs="Arial"/>
                <w:bCs/>
              </w:rPr>
              <w:t xml:space="preserve">/ DOCUMENTO TIPO – Inalterabilidad/ DOCUMENTO TIPO – Inalterabilidad / </w:t>
            </w:r>
            <w:r w:rsidR="00444CAB" w:rsidRPr="001C4260">
              <w:rPr>
                <w:rFonts w:ascii="Arial" w:hAnsi="Arial" w:cs="Arial"/>
                <w:bCs/>
                <w:sz w:val="20"/>
                <w:szCs w:val="20"/>
                <w:lang w:eastAsia="es-MX"/>
              </w:rPr>
              <w:t>MÉTODOS DE PONDERACIÓN DE LA OFERTA ECONÓMICA – Documentos tipo – Método aleatorio – Ley 1882 de 2018 – TRM /</w:t>
            </w:r>
            <w:r w:rsidR="00A868D7" w:rsidRPr="001C4260">
              <w:rPr>
                <w:rFonts w:ascii="Arial" w:eastAsia="Calibri" w:hAnsi="Arial" w:cs="Arial"/>
                <w:bCs/>
              </w:rPr>
              <w:t xml:space="preserve"> MÉTODOS DE PONDERACIÓN DE LA OFERTA ECONÓMICA – Documentos tipo – Inalterabilidad</w:t>
            </w:r>
          </w:p>
          <w:p w14:paraId="09436AE8" w14:textId="77777777" w:rsidR="00455DC9" w:rsidRPr="001C4260" w:rsidRDefault="00455DC9" w:rsidP="00B426CA">
            <w:pPr>
              <w:spacing w:line="276" w:lineRule="auto"/>
              <w:jc w:val="both"/>
              <w:rPr>
                <w:rFonts w:ascii="Arial" w:eastAsia="Calibri" w:hAnsi="Arial" w:cs="Arial"/>
                <w:bCs/>
              </w:rPr>
            </w:pPr>
          </w:p>
        </w:tc>
      </w:tr>
      <w:tr w:rsidR="00175F6D" w:rsidRPr="001C4260" w14:paraId="55275687" w14:textId="77777777" w:rsidTr="003A1D1C">
        <w:trPr>
          <w:trHeight w:val="80"/>
        </w:trPr>
        <w:tc>
          <w:tcPr>
            <w:tcW w:w="2689" w:type="dxa"/>
          </w:tcPr>
          <w:p w14:paraId="28D212AF" w14:textId="77777777" w:rsidR="00455DC9" w:rsidRPr="001C4260" w:rsidRDefault="00455DC9" w:rsidP="00BF1842">
            <w:pPr>
              <w:jc w:val="both"/>
              <w:rPr>
                <w:rFonts w:ascii="Arial" w:eastAsia="Calibri" w:hAnsi="Arial" w:cs="Arial"/>
                <w:b/>
                <w:lang w:val="es-ES_tradnl"/>
              </w:rPr>
            </w:pPr>
            <w:r w:rsidRPr="001C4260">
              <w:rPr>
                <w:rFonts w:ascii="Arial" w:eastAsia="Calibri" w:hAnsi="Arial" w:cs="Arial"/>
                <w:b/>
                <w:lang w:val="es-ES_tradnl"/>
              </w:rPr>
              <w:t>Radicación:</w:t>
            </w:r>
            <w:r w:rsidRPr="001C4260">
              <w:rPr>
                <w:rFonts w:ascii="Arial" w:eastAsia="Calibri" w:hAnsi="Arial" w:cs="Arial"/>
                <w:lang w:val="es-ES_tradnl"/>
              </w:rPr>
              <w:t xml:space="preserve">                              </w:t>
            </w:r>
          </w:p>
        </w:tc>
        <w:tc>
          <w:tcPr>
            <w:tcW w:w="6237" w:type="dxa"/>
          </w:tcPr>
          <w:p w14:paraId="1E238EBB" w14:textId="44D7A73F" w:rsidR="00455DC9" w:rsidRPr="001C4260" w:rsidRDefault="00455DC9" w:rsidP="00BF1842">
            <w:pPr>
              <w:jc w:val="both"/>
              <w:rPr>
                <w:rFonts w:ascii="Arial" w:eastAsia="Calibri" w:hAnsi="Arial" w:cs="Arial"/>
                <w:lang w:val="es-ES_tradnl"/>
              </w:rPr>
            </w:pPr>
            <w:r w:rsidRPr="001C4260">
              <w:rPr>
                <w:rFonts w:ascii="Arial" w:eastAsia="Calibri" w:hAnsi="Arial" w:cs="Arial"/>
                <w:lang w:val="es-ES_tradnl"/>
              </w:rPr>
              <w:t xml:space="preserve">Respuesta a consulta # </w:t>
            </w:r>
            <w:r w:rsidR="00C2073F" w:rsidRPr="001C4260">
              <w:rPr>
                <w:rFonts w:ascii="Arial" w:eastAsia="Calibri" w:hAnsi="Arial" w:cs="Arial"/>
                <w:lang w:val="es-ES_tradnl"/>
              </w:rPr>
              <w:t>P20220725007260</w:t>
            </w:r>
          </w:p>
        </w:tc>
      </w:tr>
    </w:tbl>
    <w:p w14:paraId="6FCAB6ED" w14:textId="34345789" w:rsidR="00455DC9" w:rsidRPr="001C4260" w:rsidRDefault="00455DC9" w:rsidP="00BF1842">
      <w:pPr>
        <w:spacing w:after="0"/>
        <w:jc w:val="both"/>
        <w:rPr>
          <w:rFonts w:ascii="Arial" w:eastAsia="Calibri" w:hAnsi="Arial" w:cs="Arial"/>
          <w:lang w:val="es-ES_tradnl"/>
        </w:rPr>
      </w:pPr>
    </w:p>
    <w:p w14:paraId="570EE1C8" w14:textId="77777777" w:rsidR="00601F06" w:rsidRPr="001C4260" w:rsidRDefault="00601F06" w:rsidP="00BF1842">
      <w:pPr>
        <w:spacing w:after="0"/>
        <w:jc w:val="both"/>
        <w:rPr>
          <w:rFonts w:ascii="Arial" w:eastAsia="Calibri" w:hAnsi="Arial" w:cs="Arial"/>
          <w:lang w:val="es-ES_tradnl"/>
        </w:rPr>
      </w:pPr>
    </w:p>
    <w:p w14:paraId="4ED893EA" w14:textId="22643C30" w:rsidR="00455DC9" w:rsidRPr="001C4260" w:rsidRDefault="00455DC9" w:rsidP="00BF1842">
      <w:pPr>
        <w:spacing w:after="0"/>
        <w:jc w:val="both"/>
        <w:rPr>
          <w:rFonts w:ascii="Arial" w:eastAsia="Calibri" w:hAnsi="Arial" w:cs="Arial"/>
          <w:lang w:val="es-ES_tradnl"/>
        </w:rPr>
      </w:pPr>
      <w:r w:rsidRPr="001C4260">
        <w:rPr>
          <w:rFonts w:ascii="Arial" w:eastAsia="Calibri" w:hAnsi="Arial" w:cs="Arial"/>
          <w:lang w:val="es-ES_tradnl"/>
        </w:rPr>
        <w:t>Estimad</w:t>
      </w:r>
      <w:r w:rsidR="0007244D" w:rsidRPr="001C4260">
        <w:rPr>
          <w:rFonts w:ascii="Arial" w:eastAsia="Calibri" w:hAnsi="Arial" w:cs="Arial"/>
          <w:lang w:val="es-ES_tradnl"/>
        </w:rPr>
        <w:t>o</w:t>
      </w:r>
      <w:r w:rsidRPr="001C4260">
        <w:rPr>
          <w:rFonts w:ascii="Arial" w:eastAsia="Calibri" w:hAnsi="Arial" w:cs="Arial"/>
          <w:lang w:val="es-ES_tradnl"/>
        </w:rPr>
        <w:t xml:space="preserve"> señor</w:t>
      </w:r>
      <w:r w:rsidR="00BF1842" w:rsidRPr="001C4260">
        <w:rPr>
          <w:rFonts w:ascii="Arial" w:hAnsi="Arial" w:cs="Arial"/>
          <w:b/>
          <w:bCs/>
        </w:rPr>
        <w:t xml:space="preserve"> </w:t>
      </w:r>
      <w:r w:rsidR="0007244D" w:rsidRPr="001C4260">
        <w:rPr>
          <w:rFonts w:ascii="Arial" w:hAnsi="Arial" w:cs="Arial"/>
        </w:rPr>
        <w:t>Cruz</w:t>
      </w:r>
      <w:r w:rsidRPr="001C4260">
        <w:rPr>
          <w:rFonts w:ascii="Arial" w:eastAsia="Calibri" w:hAnsi="Arial" w:cs="Arial"/>
          <w:lang w:val="es-ES_tradnl"/>
        </w:rPr>
        <w:t>:</w:t>
      </w:r>
    </w:p>
    <w:p w14:paraId="5A8D2776" w14:textId="77777777" w:rsidR="00BF1842" w:rsidRPr="001C4260" w:rsidRDefault="00BF1842" w:rsidP="00BF1842">
      <w:pPr>
        <w:spacing w:after="0"/>
        <w:jc w:val="both"/>
        <w:rPr>
          <w:rFonts w:ascii="Arial" w:eastAsia="Calibri" w:hAnsi="Arial" w:cs="Arial"/>
          <w:lang w:val="es-ES_tradnl"/>
        </w:rPr>
      </w:pPr>
    </w:p>
    <w:p w14:paraId="11654933" w14:textId="45091CD1" w:rsidR="00455DC9" w:rsidRPr="001C4260" w:rsidRDefault="00455DC9" w:rsidP="00BF1842">
      <w:pPr>
        <w:spacing w:after="0" w:line="276" w:lineRule="auto"/>
        <w:jc w:val="both"/>
        <w:rPr>
          <w:rFonts w:ascii="Arial" w:eastAsia="Calibri" w:hAnsi="Arial" w:cs="Arial"/>
          <w:lang w:val="es-ES_tradnl"/>
        </w:rPr>
      </w:pPr>
      <w:r w:rsidRPr="001C4260">
        <w:rPr>
          <w:rFonts w:ascii="Arial" w:eastAsia="Calibri" w:hAnsi="Arial" w:cs="Arial"/>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BF1842" w:rsidRPr="001C4260">
        <w:rPr>
          <w:rFonts w:ascii="Arial" w:eastAsia="Calibri" w:hAnsi="Arial" w:cs="Arial"/>
          <w:lang w:val="es-ES_tradnl"/>
        </w:rPr>
        <w:t>2</w:t>
      </w:r>
      <w:r w:rsidR="00F85E49" w:rsidRPr="001C4260">
        <w:rPr>
          <w:rFonts w:ascii="Arial" w:eastAsia="Calibri" w:hAnsi="Arial" w:cs="Arial"/>
          <w:lang w:val="es-ES_tradnl"/>
        </w:rPr>
        <w:t>5</w:t>
      </w:r>
      <w:r w:rsidRPr="001C4260">
        <w:rPr>
          <w:rFonts w:ascii="Arial" w:eastAsia="Calibri" w:hAnsi="Arial" w:cs="Arial"/>
          <w:lang w:val="es-ES_tradnl"/>
        </w:rPr>
        <w:t xml:space="preserve"> de </w:t>
      </w:r>
      <w:r w:rsidR="00F85E49" w:rsidRPr="001C4260">
        <w:rPr>
          <w:rFonts w:ascii="Arial" w:eastAsia="Calibri" w:hAnsi="Arial" w:cs="Arial"/>
          <w:lang w:val="es-ES_tradnl"/>
        </w:rPr>
        <w:t>julio</w:t>
      </w:r>
      <w:r w:rsidR="00BF1842" w:rsidRPr="001C4260">
        <w:rPr>
          <w:rFonts w:ascii="Arial" w:eastAsia="Calibri" w:hAnsi="Arial" w:cs="Arial"/>
          <w:lang w:val="es-ES_tradnl"/>
        </w:rPr>
        <w:t xml:space="preserve"> </w:t>
      </w:r>
      <w:r w:rsidRPr="001C4260">
        <w:rPr>
          <w:rFonts w:ascii="Arial" w:eastAsia="Calibri" w:hAnsi="Arial" w:cs="Arial"/>
          <w:lang w:val="es-ES_tradnl"/>
        </w:rPr>
        <w:t>de 202</w:t>
      </w:r>
      <w:r w:rsidR="00F85E49" w:rsidRPr="001C4260">
        <w:rPr>
          <w:rFonts w:ascii="Arial" w:eastAsia="Calibri" w:hAnsi="Arial" w:cs="Arial"/>
          <w:lang w:val="es-ES_tradnl"/>
        </w:rPr>
        <w:t>2</w:t>
      </w:r>
      <w:r w:rsidRPr="001C4260">
        <w:rPr>
          <w:rFonts w:ascii="Arial" w:eastAsia="Calibri" w:hAnsi="Arial" w:cs="Arial"/>
          <w:lang w:val="es-ES_tradnl"/>
        </w:rPr>
        <w:t>.</w:t>
      </w:r>
    </w:p>
    <w:p w14:paraId="50ABD158" w14:textId="11C22732" w:rsidR="00455DC9" w:rsidRPr="001C4260" w:rsidRDefault="00455DC9" w:rsidP="008D663D">
      <w:pPr>
        <w:tabs>
          <w:tab w:val="left" w:pos="426"/>
        </w:tabs>
        <w:spacing w:after="0" w:line="276" w:lineRule="auto"/>
        <w:contextualSpacing/>
        <w:jc w:val="both"/>
        <w:rPr>
          <w:rFonts w:ascii="Arial" w:eastAsia="Calibri" w:hAnsi="Arial" w:cs="Arial"/>
          <w:b/>
        </w:rPr>
      </w:pPr>
    </w:p>
    <w:p w14:paraId="606675ED" w14:textId="4664A0D0" w:rsidR="008D663D" w:rsidRPr="001C4260" w:rsidRDefault="008D663D" w:rsidP="008D663D">
      <w:pPr>
        <w:tabs>
          <w:tab w:val="left" w:pos="426"/>
        </w:tabs>
        <w:spacing w:after="0" w:line="276" w:lineRule="auto"/>
        <w:contextualSpacing/>
        <w:jc w:val="both"/>
        <w:rPr>
          <w:rFonts w:ascii="Arial" w:eastAsia="Calibri" w:hAnsi="Arial" w:cs="Arial"/>
          <w:b/>
        </w:rPr>
      </w:pPr>
      <w:r w:rsidRPr="001C4260">
        <w:rPr>
          <w:rFonts w:ascii="Arial" w:eastAsia="Calibri" w:hAnsi="Arial" w:cs="Arial"/>
          <w:b/>
        </w:rPr>
        <w:t>1. Problemas planteados</w:t>
      </w:r>
    </w:p>
    <w:p w14:paraId="41AFD44B" w14:textId="1EB82922" w:rsidR="00C9638C" w:rsidRPr="001C4260" w:rsidRDefault="00C9638C" w:rsidP="00C9638C">
      <w:pPr>
        <w:tabs>
          <w:tab w:val="left" w:pos="426"/>
        </w:tabs>
        <w:spacing w:after="0" w:line="276" w:lineRule="auto"/>
        <w:jc w:val="both"/>
        <w:rPr>
          <w:rFonts w:ascii="Arial" w:eastAsia="Calibri" w:hAnsi="Arial" w:cs="Arial"/>
          <w:bCs/>
        </w:rPr>
      </w:pPr>
    </w:p>
    <w:p w14:paraId="65FF389D" w14:textId="36BDFDF2" w:rsidR="00A12283" w:rsidRPr="001C4260" w:rsidRDefault="000142B7" w:rsidP="00A12283">
      <w:pPr>
        <w:tabs>
          <w:tab w:val="left" w:pos="426"/>
        </w:tabs>
        <w:spacing w:after="120" w:line="276" w:lineRule="auto"/>
        <w:jc w:val="both"/>
        <w:rPr>
          <w:rFonts w:ascii="Arial" w:eastAsia="Calibri" w:hAnsi="Arial" w:cs="Arial"/>
          <w:bCs/>
        </w:rPr>
      </w:pPr>
      <w:r w:rsidRPr="001C4260">
        <w:rPr>
          <w:rFonts w:ascii="Arial" w:eastAsia="Calibri" w:hAnsi="Arial" w:cs="Arial"/>
          <w:bCs/>
        </w:rPr>
        <w:t>En relación con los documentos tipo expedidos por esta Agencia, usted</w:t>
      </w:r>
      <w:r w:rsidR="00A12283" w:rsidRPr="001C4260">
        <w:rPr>
          <w:rFonts w:ascii="Arial" w:eastAsia="Calibri" w:hAnsi="Arial" w:cs="Arial"/>
          <w:bCs/>
        </w:rPr>
        <w:t xml:space="preserve"> pregunta si «¿Las entidades pueden cambiar los métodos por: </w:t>
      </w:r>
      <w:proofErr w:type="gramStart"/>
      <w:r w:rsidR="00A12283" w:rsidRPr="001C4260">
        <w:rPr>
          <w:rFonts w:ascii="Arial" w:eastAsia="Calibri" w:hAnsi="Arial" w:cs="Arial"/>
          <w:bCs/>
        </w:rPr>
        <w:t>Media Geométrica con PO, Media Aritmética Alta?</w:t>
      </w:r>
      <w:proofErr w:type="gramEnd"/>
      <w:r w:rsidR="00A12283" w:rsidRPr="001C4260">
        <w:rPr>
          <w:rFonts w:ascii="Arial" w:eastAsia="Calibri" w:hAnsi="Arial" w:cs="Arial"/>
          <w:bCs/>
        </w:rPr>
        <w:t>».</w:t>
      </w:r>
    </w:p>
    <w:p w14:paraId="61C71279" w14:textId="2EEDD510" w:rsidR="00BB3582" w:rsidRPr="001C4260" w:rsidRDefault="00A12283" w:rsidP="00A12283">
      <w:pPr>
        <w:tabs>
          <w:tab w:val="left" w:pos="426"/>
        </w:tabs>
        <w:spacing w:after="120" w:line="276" w:lineRule="auto"/>
        <w:jc w:val="both"/>
        <w:rPr>
          <w:rFonts w:ascii="Arial" w:eastAsia="Calibri" w:hAnsi="Arial" w:cs="Arial"/>
          <w:bCs/>
        </w:rPr>
      </w:pPr>
      <w:r w:rsidRPr="001C4260">
        <w:rPr>
          <w:rFonts w:ascii="Arial" w:eastAsia="Calibri" w:hAnsi="Arial" w:cs="Arial"/>
          <w:bCs/>
        </w:rPr>
        <w:tab/>
      </w:r>
      <w:r w:rsidR="00F85E49" w:rsidRPr="001C4260">
        <w:rPr>
          <w:rFonts w:ascii="Arial" w:eastAsia="Calibri" w:hAnsi="Arial" w:cs="Arial"/>
          <w:bCs/>
        </w:rPr>
        <w:tab/>
      </w:r>
      <w:r w:rsidR="000142B7" w:rsidRPr="001C4260">
        <w:rPr>
          <w:rFonts w:ascii="Arial" w:eastAsia="Calibri" w:hAnsi="Arial" w:cs="Arial"/>
          <w:bCs/>
        </w:rPr>
        <w:t xml:space="preserve">Lo anterior, según afirma: </w:t>
      </w:r>
      <w:r w:rsidR="00C9638C" w:rsidRPr="001C4260">
        <w:rPr>
          <w:rFonts w:ascii="Arial" w:eastAsia="Calibri" w:hAnsi="Arial" w:cs="Arial"/>
          <w:bCs/>
        </w:rPr>
        <w:t>«</w:t>
      </w:r>
      <w:r w:rsidR="000142B7" w:rsidRPr="001C4260">
        <w:rPr>
          <w:rFonts w:ascii="Arial" w:eastAsia="Calibri" w:hAnsi="Arial" w:cs="Arial"/>
          <w:bCs/>
        </w:rPr>
        <w:t xml:space="preserve">[…] </w:t>
      </w:r>
      <w:r w:rsidR="00C9638C" w:rsidRPr="001C4260">
        <w:rPr>
          <w:rFonts w:ascii="Arial" w:eastAsia="Calibri" w:hAnsi="Arial" w:cs="Arial"/>
          <w:bCs/>
        </w:rPr>
        <w:t xml:space="preserve">debido a que como viene ocurriendo en la Aeronáutica civil, la mayoría de los procesos caen en valores ofertados muy bajos, ya que </w:t>
      </w:r>
      <w:r w:rsidR="00C9638C" w:rsidRPr="001C4260">
        <w:rPr>
          <w:rFonts w:ascii="Arial" w:eastAsia="Calibri" w:hAnsi="Arial" w:cs="Arial"/>
          <w:bCs/>
        </w:rPr>
        <w:lastRenderedPageBreak/>
        <w:t>los métodos para ponderación tienden a qué se produzca esa tendencia. El pliego tiene Menor Valor, Media Arit. Baja, Media Geométrica (sic) (sin PO), y Mediana»</w:t>
      </w:r>
      <w:r w:rsidR="00BB3582" w:rsidRPr="001C4260">
        <w:rPr>
          <w:rFonts w:ascii="Arial" w:eastAsia="Calibri" w:hAnsi="Arial" w:cs="Arial"/>
          <w:bCs/>
        </w:rPr>
        <w:t>.</w:t>
      </w:r>
    </w:p>
    <w:p w14:paraId="49961D29" w14:textId="77777777" w:rsidR="007407E8" w:rsidRPr="001C4260" w:rsidRDefault="007407E8" w:rsidP="008D663D">
      <w:pPr>
        <w:tabs>
          <w:tab w:val="left" w:pos="426"/>
        </w:tabs>
        <w:spacing w:after="0" w:line="276" w:lineRule="auto"/>
        <w:contextualSpacing/>
        <w:jc w:val="both"/>
        <w:rPr>
          <w:rFonts w:ascii="Arial" w:eastAsia="Calibri" w:hAnsi="Arial" w:cs="Arial"/>
          <w:b/>
        </w:rPr>
      </w:pPr>
    </w:p>
    <w:p w14:paraId="6092CF10" w14:textId="6604E2EC" w:rsidR="00F37112" w:rsidRPr="001C4260" w:rsidRDefault="008D663D" w:rsidP="008D663D">
      <w:pPr>
        <w:tabs>
          <w:tab w:val="left" w:pos="426"/>
        </w:tabs>
        <w:spacing w:after="0" w:line="276" w:lineRule="auto"/>
        <w:contextualSpacing/>
        <w:jc w:val="both"/>
        <w:rPr>
          <w:rFonts w:ascii="Arial" w:eastAsia="Calibri" w:hAnsi="Arial" w:cs="Arial"/>
          <w:b/>
        </w:rPr>
      </w:pPr>
      <w:r w:rsidRPr="001C4260">
        <w:rPr>
          <w:rFonts w:ascii="Arial" w:eastAsia="Calibri" w:hAnsi="Arial" w:cs="Arial"/>
          <w:b/>
        </w:rPr>
        <w:t xml:space="preserve">2. </w:t>
      </w:r>
      <w:r w:rsidR="00F37112" w:rsidRPr="001C4260">
        <w:rPr>
          <w:rFonts w:ascii="Arial" w:eastAsia="Calibri" w:hAnsi="Arial" w:cs="Arial"/>
          <w:b/>
        </w:rPr>
        <w:t>Consideraciones</w:t>
      </w:r>
    </w:p>
    <w:p w14:paraId="7B1E763F" w14:textId="77777777" w:rsidR="00F37112" w:rsidRPr="001C4260" w:rsidRDefault="00F37112" w:rsidP="00F37112">
      <w:pPr>
        <w:tabs>
          <w:tab w:val="left" w:pos="426"/>
        </w:tabs>
        <w:spacing w:after="0" w:line="276" w:lineRule="auto"/>
        <w:jc w:val="both"/>
        <w:rPr>
          <w:rFonts w:ascii="Arial" w:eastAsia="Calibri" w:hAnsi="Arial" w:cs="Arial"/>
          <w:b/>
        </w:rPr>
      </w:pPr>
    </w:p>
    <w:p w14:paraId="121FCACC" w14:textId="71CD9032" w:rsidR="00F03692" w:rsidRPr="001C4260" w:rsidRDefault="00BF1842" w:rsidP="006835FF">
      <w:pPr>
        <w:spacing w:after="0" w:line="276" w:lineRule="auto"/>
        <w:jc w:val="both"/>
        <w:rPr>
          <w:rFonts w:ascii="Arial" w:hAnsi="Arial" w:cs="Arial"/>
        </w:rPr>
      </w:pPr>
      <w:r w:rsidRPr="001C4260">
        <w:rPr>
          <w:rFonts w:ascii="Arial" w:hAnsi="Arial" w:cs="Arial"/>
        </w:rPr>
        <w:t xml:space="preserve">La Agencia Nacional de Contratación Pública </w:t>
      </w:r>
      <w:r w:rsidR="00F938B9" w:rsidRPr="001C4260">
        <w:rPr>
          <w:rFonts w:ascii="Arial" w:hAnsi="Arial" w:cs="Arial"/>
        </w:rPr>
        <w:t>–</w:t>
      </w:r>
      <w:r w:rsidRPr="001C4260">
        <w:rPr>
          <w:rFonts w:ascii="Arial" w:hAnsi="Arial" w:cs="Arial"/>
        </w:rPr>
        <w:t xml:space="preserve"> Colombia Compra Eficiente </w:t>
      </w:r>
      <w:r w:rsidRPr="001C4260">
        <w:rPr>
          <w:rFonts w:ascii="Arial" w:eastAsia="Calibri" w:hAnsi="Arial" w:cs="Arial"/>
        </w:rPr>
        <w:t>e</w:t>
      </w:r>
      <w:r w:rsidRPr="001C4260">
        <w:rPr>
          <w:rFonts w:ascii="Arial" w:hAnsi="Arial" w:cs="Arial"/>
        </w:rPr>
        <w:t>n los conceptos C–144 del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C-064 del 8 de marzo de 2021</w:t>
      </w:r>
      <w:r w:rsidR="0061413C" w:rsidRPr="001C4260">
        <w:rPr>
          <w:rFonts w:ascii="Arial" w:hAnsi="Arial" w:cs="Arial"/>
        </w:rPr>
        <w:t>,</w:t>
      </w:r>
      <w:r w:rsidR="00AE6E3B" w:rsidRPr="001C4260">
        <w:rPr>
          <w:rFonts w:ascii="Arial" w:hAnsi="Arial" w:cs="Arial"/>
        </w:rPr>
        <w:t xml:space="preserve"> C-157 del 13 de abril de 2021, C-204 del 6 de mayo de 2021, C-215 del 12 de mayo de 2021, C-263, C-268 del 3 de junio de 2021, C-287, C-304 del 28 de junio de 2021, C-361 del 2 de agosto de 2021, C-425 del 19 de agosto, C-471 del 30 de agosto de 2021, C-511 del 22 de septiembre de 2021, C-531 del 27 de septiembre de 2021, C-624 del 8 de noviembre de 2021, C-643 del 17 de noviembre de 2021, C-706 del 17 de enero de 2022, C-066 del 28 de enero de 2022, C-705 del 5 de enero de 2022</w:t>
      </w:r>
      <w:r w:rsidR="00A36171" w:rsidRPr="001C4260">
        <w:rPr>
          <w:rFonts w:ascii="Arial" w:hAnsi="Arial" w:cs="Arial"/>
        </w:rPr>
        <w:t xml:space="preserve">, </w:t>
      </w:r>
      <w:r w:rsidR="00B80C0E" w:rsidRPr="001C4260">
        <w:rPr>
          <w:rFonts w:ascii="Arial" w:eastAsia="Calibri" w:hAnsi="Arial" w:cs="Arial"/>
          <w:lang w:val="es-ES_tradnl" w:eastAsia="es-ES_tradnl"/>
        </w:rPr>
        <w:t>C-753 del 6 de febrero de 2022, C-011 del 18 de febrero de 2022, C-033 del 4 de marzo de 2022, C-060 del 10 de marzo de 2022, C-086 del 15 de marzo de 2022, C-130 del 22 de marzo de 2022, C-110 del 23 de marzo de 2022, C-347 del 9 de junio de 2022</w:t>
      </w:r>
      <w:r w:rsidR="0002601B" w:rsidRPr="001C4260">
        <w:rPr>
          <w:rFonts w:ascii="Arial" w:eastAsia="Calibri" w:hAnsi="Arial" w:cs="Arial"/>
          <w:lang w:val="es-ES_tradnl" w:eastAsia="es-ES_tradnl"/>
        </w:rPr>
        <w:t xml:space="preserve">, </w:t>
      </w:r>
      <w:r w:rsidR="00B80C0E" w:rsidRPr="001C4260">
        <w:rPr>
          <w:rFonts w:ascii="Arial" w:eastAsia="Calibri" w:hAnsi="Arial" w:cs="Arial"/>
          <w:lang w:val="es-ES_tradnl" w:eastAsia="es-ES_tradnl"/>
        </w:rPr>
        <w:t xml:space="preserve">C-386 del 15 de junio de 2022, </w:t>
      </w:r>
      <w:r w:rsidR="00B80C0E" w:rsidRPr="001C4260">
        <w:rPr>
          <w:rFonts w:ascii="Arial" w:hAnsi="Arial" w:cs="Arial"/>
        </w:rPr>
        <w:t>C-398 del 15 de junio de 2022, C-403 del 22 de junio de 2022</w:t>
      </w:r>
      <w:r w:rsidR="00E27A66" w:rsidRPr="001C4260">
        <w:rPr>
          <w:rFonts w:ascii="Arial" w:hAnsi="Arial" w:cs="Arial"/>
        </w:rPr>
        <w:t xml:space="preserve">, </w:t>
      </w:r>
      <w:r w:rsidR="00021AEC" w:rsidRPr="001C4260">
        <w:rPr>
          <w:rFonts w:ascii="Arial" w:eastAsia="Calibri" w:hAnsi="Arial" w:cs="Arial"/>
          <w:lang w:val="es-ES_tradnl" w:eastAsia="es-ES_tradnl"/>
        </w:rPr>
        <w:t>C-356 del 6 de julio de 2022</w:t>
      </w:r>
      <w:r w:rsidR="00E27A66" w:rsidRPr="001C4260">
        <w:rPr>
          <w:rFonts w:ascii="Arial" w:eastAsia="Calibri" w:hAnsi="Arial" w:cs="Arial"/>
          <w:lang w:val="es-ES_tradnl" w:eastAsia="es-ES_tradnl"/>
        </w:rPr>
        <w:t xml:space="preserve">, </w:t>
      </w:r>
      <w:r w:rsidR="00E27A66" w:rsidRPr="001C4260">
        <w:rPr>
          <w:rFonts w:ascii="Arial" w:hAnsi="Arial" w:cs="Arial"/>
          <w:shd w:val="clear" w:color="auto" w:fill="FFFFFF"/>
        </w:rPr>
        <w:t>C-405 del 22 de junio de 2022, C-410 del 23 de junio de 2022 y C</w:t>
      </w:r>
      <w:r w:rsidR="00750F32" w:rsidRPr="001C4260">
        <w:rPr>
          <w:rFonts w:ascii="Arial" w:hAnsi="Arial" w:cs="Arial"/>
          <w:shd w:val="clear" w:color="auto" w:fill="FFFFFF"/>
        </w:rPr>
        <w:t>-499 del 2 de agosto de 2022</w:t>
      </w:r>
      <w:r w:rsidR="00F85E49" w:rsidRPr="001C4260">
        <w:rPr>
          <w:rFonts w:ascii="Arial" w:hAnsi="Arial" w:cs="Arial"/>
        </w:rPr>
        <w:t>,</w:t>
      </w:r>
      <w:r w:rsidR="002368E5" w:rsidRPr="001C4260">
        <w:rPr>
          <w:rFonts w:ascii="Arial" w:hAnsi="Arial" w:cs="Arial"/>
        </w:rPr>
        <w:t xml:space="preserve"> </w:t>
      </w:r>
      <w:r w:rsidRPr="001C4260">
        <w:rPr>
          <w:rFonts w:ascii="Arial" w:hAnsi="Arial" w:cs="Arial"/>
        </w:rPr>
        <w:t>explicó el principio de inalterabilidad de los documentos tipo y sus excepciones</w:t>
      </w:r>
      <w:r w:rsidR="00F20118" w:rsidRPr="001C4260">
        <w:rPr>
          <w:rFonts w:ascii="Arial" w:hAnsi="Arial" w:cs="Arial"/>
        </w:rPr>
        <w:t xml:space="preserve">, </w:t>
      </w:r>
      <w:r w:rsidR="00F938B9" w:rsidRPr="001C4260">
        <w:rPr>
          <w:rFonts w:ascii="Arial" w:eastAsia="Calibri" w:hAnsi="Arial" w:cs="Arial"/>
        </w:rPr>
        <w:t>l</w:t>
      </w:r>
      <w:r w:rsidR="00F03692" w:rsidRPr="001C4260">
        <w:rPr>
          <w:rFonts w:ascii="Arial" w:eastAsia="Calibri" w:hAnsi="Arial" w:cs="Arial"/>
        </w:rPr>
        <w:t>as tesis desarrolladas en estos conceptos</w:t>
      </w:r>
      <w:r w:rsidR="00F938B9" w:rsidRPr="001C4260">
        <w:rPr>
          <w:rFonts w:ascii="Arial" w:eastAsia="Calibri" w:hAnsi="Arial" w:cs="Arial"/>
        </w:rPr>
        <w:t xml:space="preserve"> </w:t>
      </w:r>
      <w:r w:rsidR="00F03692" w:rsidRPr="001C4260">
        <w:rPr>
          <w:rFonts w:ascii="Arial" w:eastAsia="Calibri" w:hAnsi="Arial" w:cs="Arial"/>
        </w:rPr>
        <w:t xml:space="preserve">se </w:t>
      </w:r>
      <w:r w:rsidR="00F938B9" w:rsidRPr="001C4260">
        <w:rPr>
          <w:rFonts w:ascii="Arial" w:eastAsia="Calibri" w:hAnsi="Arial" w:cs="Arial"/>
        </w:rPr>
        <w:t>reiteran</w:t>
      </w:r>
      <w:r w:rsidR="00F03692" w:rsidRPr="001C4260">
        <w:rPr>
          <w:rFonts w:ascii="Arial" w:eastAsia="Calibri" w:hAnsi="Arial" w:cs="Arial"/>
        </w:rPr>
        <w:t xml:space="preserve"> a continuación:</w:t>
      </w:r>
    </w:p>
    <w:p w14:paraId="4CF456C1" w14:textId="77777777" w:rsidR="00BF1842" w:rsidRPr="001C4260" w:rsidRDefault="00BF1842" w:rsidP="00F03692">
      <w:pPr>
        <w:spacing w:after="0" w:line="276" w:lineRule="auto"/>
        <w:jc w:val="both"/>
        <w:rPr>
          <w:rFonts w:ascii="Arial" w:eastAsia="Calibri" w:hAnsi="Arial" w:cs="Arial"/>
          <w:lang w:val="es-MX"/>
        </w:rPr>
      </w:pPr>
    </w:p>
    <w:p w14:paraId="38F4788A" w14:textId="77777777" w:rsidR="00607DC1" w:rsidRPr="001C4260" w:rsidRDefault="00607DC1" w:rsidP="00607DC1">
      <w:pPr>
        <w:spacing w:after="0" w:line="276" w:lineRule="auto"/>
        <w:jc w:val="both"/>
        <w:rPr>
          <w:rFonts w:ascii="Arial" w:eastAsia="Calibri" w:hAnsi="Arial" w:cs="Arial"/>
          <w:b/>
          <w:bCs/>
        </w:rPr>
      </w:pPr>
      <w:r w:rsidRPr="001C4260">
        <w:rPr>
          <w:rFonts w:ascii="Arial" w:eastAsia="Calibri" w:hAnsi="Arial" w:cs="Arial"/>
          <w:b/>
          <w:bCs/>
        </w:rPr>
        <w:t>2.1. Fundamento normativo y ámbito de aplicación de los documentos tipo</w:t>
      </w:r>
    </w:p>
    <w:p w14:paraId="15C1199B" w14:textId="77777777" w:rsidR="00607DC1" w:rsidRPr="001C4260" w:rsidRDefault="00607DC1" w:rsidP="00607DC1">
      <w:pPr>
        <w:spacing w:after="0" w:line="276" w:lineRule="auto"/>
        <w:jc w:val="both"/>
        <w:rPr>
          <w:rFonts w:ascii="Arial" w:eastAsia="Calibri" w:hAnsi="Arial" w:cs="Arial"/>
        </w:rPr>
      </w:pPr>
    </w:p>
    <w:p w14:paraId="767C73D5" w14:textId="77777777" w:rsidR="00675ADC" w:rsidRPr="001C4260" w:rsidRDefault="00675ADC" w:rsidP="00675ADC">
      <w:pPr>
        <w:spacing w:after="120" w:line="276" w:lineRule="auto"/>
        <w:jc w:val="both"/>
        <w:rPr>
          <w:rFonts w:ascii="Arial" w:eastAsia="Calibri" w:hAnsi="Arial" w:cs="Arial"/>
          <w:lang w:val="es-ES"/>
        </w:rPr>
      </w:pPr>
      <w:bookmarkStart w:id="2" w:name="_Hlk113267191"/>
      <w:r w:rsidRPr="001C4260">
        <w:rPr>
          <w:rFonts w:ascii="Arial" w:eastAsia="Calibri" w:hAnsi="Arial" w:cs="Arial"/>
          <w:lang w:val="es-ES"/>
        </w:rPr>
        <w:lastRenderedPageBreak/>
        <w:t>La adopción de los documentos tipo obligatorios en el ordenamiento jurídico colombiano se incluyó por primera vez en el parágrafo 3 del artículo 2 de la Ley 1150 de 2007</w:t>
      </w:r>
      <w:r w:rsidRPr="001C4260">
        <w:rPr>
          <w:rFonts w:ascii="Arial" w:eastAsia="Calibri" w:hAnsi="Arial" w:cs="Arial"/>
          <w:vertAlign w:val="superscript"/>
          <w:lang w:val="es-ES"/>
        </w:rPr>
        <w:footnoteReference w:id="1"/>
      </w:r>
      <w:r w:rsidRPr="001C4260">
        <w:rPr>
          <w:rFonts w:ascii="Arial" w:eastAsia="Calibri" w:hAnsi="Arial" w:cs="Arial"/>
          <w:lang w:val="es-ES"/>
        </w:rPr>
        <w:t xml:space="preserve">, que facultó al gobierno nacional para expedirlos, pero solo cuando se tratara de la adquisición o suministro de bienes y servicios de características técnicas uniformes y de común utilización; facultad que no ha sido ejercida hasta la actualidad. </w:t>
      </w:r>
    </w:p>
    <w:p w14:paraId="1F74985C" w14:textId="77777777" w:rsidR="00675ADC" w:rsidRPr="001C4260" w:rsidRDefault="00675ADC" w:rsidP="00675ADC">
      <w:pPr>
        <w:spacing w:line="276" w:lineRule="auto"/>
        <w:ind w:firstLine="708"/>
        <w:jc w:val="both"/>
        <w:rPr>
          <w:rFonts w:ascii="Arial" w:eastAsia="Calibri" w:hAnsi="Arial" w:cs="Arial"/>
          <w:lang w:val="es-ES"/>
        </w:rPr>
      </w:pPr>
      <w:r w:rsidRPr="001C4260">
        <w:rPr>
          <w:rFonts w:ascii="Arial" w:eastAsia="Calibri" w:hAnsi="Arial" w:cs="Arial"/>
          <w:lang w:val="es-ES"/>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5705BD23" w14:textId="77777777" w:rsidR="00675ADC" w:rsidRPr="001C4260" w:rsidRDefault="00675ADC" w:rsidP="00675ADC">
      <w:pPr>
        <w:spacing w:before="120" w:after="120" w:line="276" w:lineRule="auto"/>
        <w:ind w:firstLine="708"/>
        <w:jc w:val="both"/>
        <w:rPr>
          <w:rFonts w:ascii="Arial" w:eastAsia="Calibri" w:hAnsi="Arial" w:cs="Arial"/>
          <w:lang w:val="es-ES"/>
        </w:rPr>
      </w:pPr>
      <w:r w:rsidRPr="001C4260">
        <w:rPr>
          <w:rFonts w:ascii="Arial" w:eastAsia="Calibri" w:hAnsi="Arial" w:cs="Arial"/>
          <w:lang w:val="es-ES"/>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1C4260">
        <w:rPr>
          <w:rFonts w:ascii="Arial" w:eastAsia="Calibri" w:hAnsi="Arial" w:cs="Arial"/>
          <w:vertAlign w:val="superscript"/>
          <w:lang w:val="es-ES"/>
        </w:rPr>
        <w:footnoteReference w:id="2"/>
      </w:r>
      <w:r w:rsidRPr="001C4260">
        <w:rPr>
          <w:rFonts w:ascii="Arial" w:eastAsia="Calibri" w:hAnsi="Arial" w:cs="Arial"/>
          <w:lang w:val="es-ES"/>
        </w:rPr>
        <w:t>.</w:t>
      </w:r>
    </w:p>
    <w:bookmarkEnd w:id="2"/>
    <w:p w14:paraId="1235DF01" w14:textId="77777777" w:rsidR="00675ADC" w:rsidRPr="001C4260" w:rsidRDefault="00675ADC" w:rsidP="00675ADC">
      <w:pPr>
        <w:spacing w:before="120" w:after="120" w:line="276" w:lineRule="auto"/>
        <w:jc w:val="both"/>
        <w:rPr>
          <w:rFonts w:ascii="Arial" w:eastAsia="Calibri" w:hAnsi="Arial" w:cs="Arial"/>
          <w:lang w:val="es-ES"/>
        </w:rPr>
      </w:pPr>
      <w:r w:rsidRPr="001C4260">
        <w:rPr>
          <w:rFonts w:ascii="Arial" w:eastAsia="Calibri" w:hAnsi="Arial" w:cs="Arial"/>
          <w:lang w:val="es-ES"/>
        </w:rPr>
        <w:tab/>
        <w:t xml:space="preserve">Asimismo, señalaba que, dentro de los documentos tipo, el gobierno adoptaría de manera general y con alcance obligatorio para todas las entidades las condiciones habilitantes, así como los factores técnicos y económicos de escogencia, según </w:t>
      </w:r>
      <w:r w:rsidRPr="001C4260">
        <w:rPr>
          <w:rFonts w:ascii="Arial" w:eastAsia="Calibri" w:hAnsi="Arial" w:cs="Arial"/>
          <w:lang w:val="es-ES"/>
        </w:rPr>
        <w:lastRenderedPageBreak/>
        <w:t xml:space="preserve">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37B8E36F" w14:textId="77777777" w:rsidR="00675ADC" w:rsidRPr="001C4260" w:rsidRDefault="00675ADC" w:rsidP="00675ADC">
      <w:pPr>
        <w:spacing w:before="120" w:after="120" w:line="276" w:lineRule="auto"/>
        <w:jc w:val="both"/>
        <w:rPr>
          <w:rFonts w:ascii="Arial" w:eastAsia="Calibri" w:hAnsi="Arial" w:cs="Arial"/>
          <w:lang w:val="es-ES"/>
        </w:rPr>
      </w:pPr>
      <w:r w:rsidRPr="001C4260">
        <w:rPr>
          <w:rFonts w:ascii="Arial" w:eastAsia="Calibri" w:hAnsi="Arial" w:cs="Arial"/>
          <w:lang w:val="es-ES"/>
        </w:rPr>
        <w:tab/>
        <w:t xml:space="preserve">De la norma descrita se concluía lo siguiente: i) la adopción de los documentos tipo estaba en cabeza del gobierno nacional; </w:t>
      </w:r>
      <w:proofErr w:type="spellStart"/>
      <w:r w:rsidRPr="001C4260">
        <w:rPr>
          <w:rFonts w:ascii="Arial" w:eastAsia="Calibri" w:hAnsi="Arial" w:cs="Arial"/>
          <w:lang w:val="es-ES"/>
        </w:rPr>
        <w:t>ii</w:t>
      </w:r>
      <w:proofErr w:type="spellEnd"/>
      <w:r w:rsidRPr="001C4260">
        <w:rPr>
          <w:rFonts w:ascii="Arial" w:eastAsia="Calibri" w:hAnsi="Arial" w:cs="Arial"/>
          <w:lang w:val="es-ES"/>
        </w:rPr>
        <w:t xml:space="preserve">) estos debían relacionarse con procesos de obra públicas, interventoría para las obras públicas, interventoría para consultoría de estudios y diseños y, finalmente, consultoría en ingeniería para obras; </w:t>
      </w:r>
      <w:proofErr w:type="spellStart"/>
      <w:r w:rsidRPr="001C4260">
        <w:rPr>
          <w:rFonts w:ascii="Arial" w:eastAsia="Calibri" w:hAnsi="Arial" w:cs="Arial"/>
          <w:lang w:val="es-ES"/>
        </w:rPr>
        <w:t>iii</w:t>
      </w:r>
      <w:proofErr w:type="spellEnd"/>
      <w:r w:rsidRPr="001C4260">
        <w:rPr>
          <w:rFonts w:ascii="Arial" w:eastAsia="Calibri" w:hAnsi="Arial" w:cs="Arial"/>
          <w:lang w:val="es-ES"/>
        </w:rPr>
        <w:t xml:space="preserve">) eran de obligatorio cumplimiento por parte de todas las entidades sometidas al Estatuto General de Contratación de la Administración Pública; </w:t>
      </w:r>
      <w:proofErr w:type="spellStart"/>
      <w:r w:rsidRPr="001C4260">
        <w:rPr>
          <w:rFonts w:ascii="Arial" w:eastAsia="Calibri" w:hAnsi="Arial" w:cs="Arial"/>
          <w:lang w:val="es-ES"/>
        </w:rPr>
        <w:t>iv</w:t>
      </w:r>
      <w:proofErr w:type="spellEnd"/>
      <w:r w:rsidRPr="001C4260">
        <w:rPr>
          <w:rFonts w:ascii="Arial" w:eastAsia="Calibri" w:hAnsi="Arial" w:cs="Arial"/>
          <w:lang w:val="es-ES"/>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4AF9EA65" w14:textId="77777777" w:rsidR="00675ADC" w:rsidRPr="001C4260" w:rsidRDefault="00675ADC" w:rsidP="00675ADC">
      <w:pPr>
        <w:spacing w:before="120" w:after="120" w:line="276" w:lineRule="auto"/>
        <w:jc w:val="both"/>
        <w:rPr>
          <w:rFonts w:ascii="Arial" w:eastAsia="Calibri" w:hAnsi="Arial" w:cs="Arial"/>
          <w:lang w:val="es-ES"/>
        </w:rPr>
      </w:pPr>
      <w:r w:rsidRPr="001C4260">
        <w:rPr>
          <w:rFonts w:ascii="Arial" w:eastAsia="Calibri" w:hAnsi="Arial" w:cs="Arial"/>
          <w:lang w:val="es-ES"/>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1C4260">
        <w:rPr>
          <w:rFonts w:ascii="Arial" w:eastAsia="Calibri" w:hAnsi="Arial" w:cs="Arial"/>
          <w:vertAlign w:val="superscript"/>
          <w:lang w:val="es-ES"/>
        </w:rPr>
        <w:footnoteReference w:id="3"/>
      </w:r>
      <w:r w:rsidRPr="001C4260">
        <w:rPr>
          <w:rFonts w:ascii="Arial" w:eastAsia="Calibri" w:hAnsi="Arial" w:cs="Arial"/>
          <w:lang w:val="es-ES"/>
        </w:rPr>
        <w:t>.</w:t>
      </w:r>
    </w:p>
    <w:p w14:paraId="70A2130F" w14:textId="77777777" w:rsidR="00675ADC" w:rsidRPr="001C4260" w:rsidRDefault="00675ADC" w:rsidP="00675ADC">
      <w:pPr>
        <w:spacing w:before="120" w:after="120" w:line="276" w:lineRule="auto"/>
        <w:jc w:val="both"/>
        <w:rPr>
          <w:rFonts w:ascii="Arial" w:eastAsia="Calibri" w:hAnsi="Arial" w:cs="Arial"/>
          <w:lang w:val="es-ES"/>
        </w:rPr>
      </w:pPr>
      <w:r w:rsidRPr="001C4260">
        <w:rPr>
          <w:rFonts w:ascii="Arial" w:eastAsia="Calibri" w:hAnsi="Arial" w:cs="Arial"/>
          <w:lang w:val="es-ES"/>
        </w:rPr>
        <w:tab/>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w:t>
      </w:r>
      <w:r w:rsidRPr="001C4260">
        <w:rPr>
          <w:rFonts w:ascii="Arial" w:eastAsia="Calibri" w:hAnsi="Arial" w:cs="Arial"/>
          <w:lang w:val="es-ES"/>
        </w:rPr>
        <w:lastRenderedPageBreak/>
        <w:t>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14C215A5" w14:textId="77777777" w:rsidR="00675ADC" w:rsidRPr="001C4260" w:rsidRDefault="00675ADC" w:rsidP="00675ADC">
      <w:pPr>
        <w:spacing w:before="120" w:after="120" w:line="276" w:lineRule="auto"/>
        <w:jc w:val="both"/>
        <w:rPr>
          <w:rFonts w:ascii="Arial" w:eastAsia="Calibri" w:hAnsi="Arial" w:cs="Arial"/>
          <w:lang w:val="es-ES"/>
        </w:rPr>
      </w:pPr>
      <w:r w:rsidRPr="001C4260">
        <w:rPr>
          <w:rFonts w:ascii="Arial" w:eastAsia="Calibri" w:hAnsi="Arial" w:cs="Arial"/>
          <w:lang w:val="es-ES"/>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74C523B2" w14:textId="77777777" w:rsidR="00675ADC" w:rsidRPr="001C4260" w:rsidRDefault="00675ADC" w:rsidP="00675ADC">
      <w:pPr>
        <w:spacing w:before="120" w:after="120" w:line="276" w:lineRule="auto"/>
        <w:jc w:val="both"/>
        <w:rPr>
          <w:rFonts w:ascii="Arial" w:eastAsia="Calibri" w:hAnsi="Arial" w:cs="Arial"/>
          <w:lang w:val="es-ES"/>
        </w:rPr>
      </w:pPr>
      <w:r w:rsidRPr="001C4260">
        <w:rPr>
          <w:rFonts w:ascii="Arial" w:eastAsia="Calibri" w:hAnsi="Arial" w:cs="Arial"/>
          <w:lang w:val="es-E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1C4260" w:rsidDel="00A434AB">
        <w:rPr>
          <w:rFonts w:ascii="Arial" w:eastAsia="Calibri" w:hAnsi="Arial" w:cs="Arial"/>
          <w:lang w:val="es-ES"/>
        </w:rPr>
        <w:t xml:space="preserve"> </w:t>
      </w:r>
      <w:r w:rsidRPr="001C4260">
        <w:rPr>
          <w:rFonts w:ascii="Arial" w:eastAsia="Calibri" w:hAnsi="Arial" w:cs="Arial"/>
          <w:lang w:val="es-E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49F74BD0" w14:textId="672FBD7E" w:rsidR="00675ADC" w:rsidRPr="001C4260" w:rsidRDefault="00675ADC" w:rsidP="00675ADC">
      <w:pPr>
        <w:spacing w:before="120" w:line="276" w:lineRule="auto"/>
        <w:ind w:firstLine="709"/>
        <w:jc w:val="both"/>
        <w:rPr>
          <w:rFonts w:ascii="Arial" w:eastAsia="Calibri" w:hAnsi="Arial" w:cs="Arial"/>
          <w:lang w:val="es-ES" w:eastAsia="es-ES"/>
        </w:rPr>
      </w:pPr>
      <w:r w:rsidRPr="001C4260">
        <w:rPr>
          <w:rFonts w:ascii="Arial" w:eastAsia="Calibri" w:hAnsi="Arial" w:cs="Arial"/>
          <w:lang w:val="es-ES" w:eastAsia="es-ES"/>
        </w:rPr>
        <w:t>Por otra parte</w:t>
      </w:r>
      <w:r w:rsidRPr="001C4260">
        <w:rPr>
          <w:rFonts w:ascii="Arial" w:eastAsia="Calibri" w:hAnsi="Arial" w:cs="Arial"/>
          <w:i/>
          <w:iCs/>
          <w:lang w:val="es-ES" w:eastAsia="es-ES"/>
        </w:rPr>
        <w:t>,</w:t>
      </w:r>
      <w:r w:rsidRPr="001C4260">
        <w:rPr>
          <w:rFonts w:ascii="Arial" w:eastAsia="Calibri" w:hAnsi="Arial" w:cs="Arial"/>
          <w:lang w:val="es-ES" w:eastAsia="es-ES"/>
        </w:rPr>
        <w:t xml:space="preserve"> debe tenerse en cuenta que la Ley 2022 de 2020 fue sancionada por el </w:t>
      </w:r>
      <w:r w:rsidR="001C4260" w:rsidRPr="001C4260">
        <w:rPr>
          <w:rFonts w:ascii="Arial" w:eastAsia="Calibri" w:hAnsi="Arial" w:cs="Arial"/>
          <w:lang w:val="es-ES" w:eastAsia="es-ES"/>
        </w:rPr>
        <w:t>presidente</w:t>
      </w:r>
      <w:r w:rsidRPr="001C4260">
        <w:rPr>
          <w:rFonts w:ascii="Arial" w:eastAsia="Calibri" w:hAnsi="Arial" w:cs="Arial"/>
          <w:lang w:val="es-ES" w:eastAsia="es-ES"/>
        </w:rPr>
        <w:t xml:space="preserv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1C4260">
        <w:rPr>
          <w:rFonts w:ascii="Arial" w:eastAsia="Calibri" w:hAnsi="Arial" w:cs="Arial"/>
          <w:vertAlign w:val="superscript"/>
          <w:lang w:val="es-ES" w:eastAsia="es-ES"/>
        </w:rPr>
        <w:footnoteReference w:id="4"/>
      </w:r>
      <w:r w:rsidRPr="001C4260">
        <w:rPr>
          <w:rFonts w:ascii="Arial" w:eastAsia="Calibri" w:hAnsi="Arial" w:cs="Arial"/>
          <w:lang w:val="es-ES" w:eastAsia="es-ES"/>
        </w:rPr>
        <w:t xml:space="preserve">. En este sentido, </w:t>
      </w:r>
      <w:r w:rsidRPr="001C4260">
        <w:rPr>
          <w:rFonts w:ascii="Arial" w:eastAsia="Calibri" w:hAnsi="Arial" w:cs="Arial"/>
          <w:lang w:val="es-ES" w:eastAsia="es-ES"/>
        </w:rPr>
        <w:lastRenderedPageBreak/>
        <w:t xml:space="preserve">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2F2456FC" w14:textId="77777777" w:rsidR="00675ADC" w:rsidRPr="001C4260" w:rsidRDefault="00675ADC" w:rsidP="00675ADC">
      <w:pPr>
        <w:spacing w:before="120" w:line="276" w:lineRule="auto"/>
        <w:ind w:firstLine="709"/>
        <w:jc w:val="both"/>
        <w:rPr>
          <w:rFonts w:ascii="Arial" w:eastAsia="Calibri" w:hAnsi="Arial" w:cs="Arial"/>
          <w:lang w:val="es-ES" w:eastAsia="es-ES"/>
        </w:rPr>
      </w:pPr>
      <w:r w:rsidRPr="001C4260">
        <w:rPr>
          <w:rFonts w:ascii="Arial" w:eastAsia="Calibri" w:hAnsi="Arial" w:cs="Arial"/>
          <w:lang w:val="es-ES" w:eastAsia="es-ES"/>
        </w:rPr>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1C4260">
        <w:rPr>
          <w:rFonts w:ascii="Arial" w:eastAsia="Calibri" w:hAnsi="Arial" w:cs="Arial"/>
          <w:lang w:val="es-ES" w:eastAsia="es-ES"/>
        </w:rPr>
        <w:t>entró en vigencia</w:t>
      </w:r>
      <w:proofErr w:type="gramEnd"/>
      <w:r w:rsidRPr="001C4260">
        <w:rPr>
          <w:rFonts w:ascii="Arial" w:eastAsia="Calibri" w:hAnsi="Arial" w:cs="Arial"/>
          <w:lang w:val="es-ES" w:eastAsia="es-ES"/>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2029D505" w14:textId="77777777" w:rsidR="00675ADC" w:rsidRPr="001C4260" w:rsidRDefault="00675ADC" w:rsidP="00675ADC">
      <w:pPr>
        <w:spacing w:before="120" w:after="120" w:line="276" w:lineRule="auto"/>
        <w:ind w:firstLine="709"/>
        <w:jc w:val="both"/>
        <w:rPr>
          <w:rFonts w:ascii="Arial" w:hAnsi="Arial" w:cs="Arial"/>
          <w:lang w:val="es-MX"/>
        </w:rPr>
      </w:pPr>
      <w:r w:rsidRPr="001C4260">
        <w:rPr>
          <w:rFonts w:ascii="Arial" w:eastAsia="Calibri" w:hAnsi="Arial" w:cs="Arial"/>
          <w:lang w:val="es-ES" w:eastAsia="es-ES"/>
        </w:rPr>
        <w:t xml:space="preserve">Asimismo, en el transcurso del año 2021, esta Agencia expidió la Resolución 193 del 14 de julio de 2021 «Por la cual se adoptan los documentos tipo para los procesos de selección de concurso de méritos, para contratar la consultoría de estudios de ingeniería de infraestructura de transporte». De igual forma, el 6 de agosto de 2021, se adoptaron las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serán utilizados en forma transversal en los sectores de educación, salud y recreación, </w:t>
      </w:r>
      <w:r w:rsidRPr="001C4260">
        <w:rPr>
          <w:rFonts w:ascii="Arial" w:eastAsia="Calibri" w:hAnsi="Arial" w:cs="Arial"/>
          <w:lang w:val="es-ES" w:eastAsia="es-ES"/>
        </w:rPr>
        <w:lastRenderedPageBreak/>
        <w:t>cultura y deporte. En esta línea, posteriormente se expidió la Resolución 392 del 18 de noviembre de 2021 «</w:t>
      </w:r>
      <w:r w:rsidRPr="001C4260">
        <w:rPr>
          <w:rFonts w:ascii="Arial" w:hAnsi="Arial" w:cs="Arial"/>
          <w:bCs/>
          <w:iCs/>
          <w:shd w:val="clear" w:color="auto" w:fill="FFFFFF"/>
          <w:lang w:val="es-MX"/>
        </w:rPr>
        <w:t>Por la cual se adoptan los documentos tipo complementarios para los procesos de licitación de obra pública de infraestructura social relacionados con el sector salud</w:t>
      </w:r>
      <w:r w:rsidRPr="001C4260">
        <w:rPr>
          <w:rFonts w:ascii="Arial" w:eastAsia="Calibri" w:hAnsi="Arial" w:cs="Arial"/>
          <w:lang w:val="es-ES" w:eastAsia="es-ES"/>
        </w:rPr>
        <w:t>». Luego, se expidió la Resolución 454 del 16 de diciembre de 2021 «</w:t>
      </w:r>
      <w:r w:rsidRPr="001C4260">
        <w:rPr>
          <w:rFonts w:ascii="Arial" w:hAnsi="Arial" w:cs="Arial"/>
          <w:lang w:val="es-MX"/>
        </w:rPr>
        <w:t>Por la cual se adoptan los documentos tipo complementarios para los procesos de licitación de obra pública de infraestructura social relacionados con el sector cultura, recreación y deporte</w:t>
      </w:r>
      <w:r w:rsidRPr="001C4260">
        <w:rPr>
          <w:rFonts w:ascii="Arial" w:eastAsia="Calibri" w:hAnsi="Arial" w:cs="Arial"/>
          <w:lang w:val="es-ES" w:eastAsia="es-ES"/>
        </w:rPr>
        <w:t>»</w:t>
      </w:r>
      <w:r w:rsidRPr="001C4260">
        <w:rPr>
          <w:rFonts w:ascii="Arial" w:hAnsi="Arial" w:cs="Arial"/>
          <w:lang w:val="es-MX"/>
        </w:rPr>
        <w:t xml:space="preserve">. </w:t>
      </w:r>
    </w:p>
    <w:p w14:paraId="7FDDE1A0" w14:textId="2D858595" w:rsidR="00675ADC" w:rsidRPr="001C4260" w:rsidRDefault="00675ADC" w:rsidP="00675ADC">
      <w:pPr>
        <w:spacing w:before="120" w:after="120" w:line="276" w:lineRule="auto"/>
        <w:ind w:firstLine="709"/>
        <w:jc w:val="both"/>
        <w:rPr>
          <w:rFonts w:ascii="Arial" w:hAnsi="Arial" w:cs="Arial"/>
          <w:lang w:val="es-ES"/>
        </w:rPr>
      </w:pPr>
      <w:r w:rsidRPr="001C4260">
        <w:rPr>
          <w:rFonts w:ascii="Arial" w:hAnsi="Arial" w:cs="Arial"/>
          <w:lang w:val="es-MX"/>
        </w:rPr>
        <w:t xml:space="preserve">En el año 2022, la Agencia expidió la Resolución 326 del 22 de julio de 2022 </w:t>
      </w:r>
      <w:r w:rsidRPr="001C4260">
        <w:rPr>
          <w:rFonts w:ascii="Arial" w:eastAsia="Calibri" w:hAnsi="Arial" w:cs="Arial"/>
          <w:lang w:val="es-ES" w:eastAsia="es-ES"/>
        </w:rPr>
        <w:t xml:space="preserve">«Por la cual se actualizan los documentos tipo para los procesos de contratación de concurso de méritos para contratar la interventoría de obras de infraestructura de transporte y se deroga la Resolución 256 de 2020», y la Resolución </w:t>
      </w:r>
      <w:r w:rsidRPr="001C4260">
        <w:rPr>
          <w:rFonts w:ascii="Arial" w:hAnsi="Arial" w:cs="Arial"/>
        </w:rPr>
        <w:t xml:space="preserve">333 del 27 de julio de 2022 </w:t>
      </w:r>
      <w:r w:rsidRPr="001C4260">
        <w:rPr>
          <w:rFonts w:ascii="Arial" w:eastAsia="Calibri" w:hAnsi="Arial" w:cs="Arial"/>
          <w:lang w:val="es-ES" w:eastAsia="es-ES"/>
        </w:rPr>
        <w:t>«Por la cual se adoptan los documentos tipo para los procesos de selección de concurso de méritos para contratar la interventoría de obras públicas de infraestructura de agua potable y saneamiento básico»</w:t>
      </w:r>
      <w:r w:rsidRPr="001C4260">
        <w:rPr>
          <w:rFonts w:ascii="Arial" w:hAnsi="Arial" w:cs="Arial"/>
          <w:lang w:val="es-ES"/>
        </w:rPr>
        <w:t xml:space="preserve">. </w:t>
      </w:r>
    </w:p>
    <w:p w14:paraId="7E25BBE5" w14:textId="77777777" w:rsidR="00675ADC" w:rsidRPr="001C4260" w:rsidRDefault="00675ADC" w:rsidP="00675ADC">
      <w:pPr>
        <w:spacing w:before="120" w:after="120" w:line="276" w:lineRule="auto"/>
        <w:ind w:firstLine="709"/>
        <w:jc w:val="both"/>
        <w:rPr>
          <w:rFonts w:ascii="Arial" w:hAnsi="Arial" w:cs="Arial"/>
          <w:bdr w:val="none" w:sz="0" w:space="0" w:color="auto" w:frame="1"/>
          <w:lang w:val="es-ES_tradnl" w:eastAsia="es-CO"/>
        </w:rPr>
      </w:pPr>
      <w:r w:rsidRPr="001C4260">
        <w:rPr>
          <w:rFonts w:ascii="Arial" w:hAnsi="Arial" w:cs="Arial"/>
          <w:bdr w:val="none" w:sz="0" w:space="0" w:color="auto" w:frame="1"/>
          <w:lang w:val="es-ES_tradnl" w:eastAsia="es-CO"/>
        </w:rPr>
        <w:t xml:space="preserve">No obstante, con la expedición de la Ley de Emprendimiento, se modificaron varios documentos tipo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08A63B4D" w14:textId="77777777" w:rsidR="00675ADC" w:rsidRPr="001C4260" w:rsidRDefault="00675ADC" w:rsidP="00675ADC">
      <w:pPr>
        <w:spacing w:after="120" w:line="276" w:lineRule="auto"/>
        <w:ind w:firstLine="708"/>
        <w:jc w:val="both"/>
        <w:rPr>
          <w:rFonts w:ascii="Arial" w:hAnsi="Arial" w:cs="Arial"/>
          <w:spacing w:val="2"/>
          <w:lang w:eastAsia="es-CO"/>
        </w:rPr>
      </w:pPr>
      <w:r w:rsidRPr="001C4260">
        <w:rPr>
          <w:rFonts w:ascii="Arial" w:hAnsi="Arial" w:cs="Arial"/>
          <w:spacing w:val="2"/>
          <w:lang w:eastAsia="es-CO"/>
        </w:rPr>
        <w:t xml:space="preserve">Posteriormente, el Decreto 680 del 22 de junio de 2021 modificó la regla de origen aplicable a los Servicios Nacionales, con el fin de acercar el mercado de compras públicas a las empresas colombianas de manera directa o indirecta, promoviendo el empleo en el país y generando emparejamientos y encadenamientos productivos. En armonía con lo anterior, se expidió la Resolución 304 del 13 de octubre de 2021, la cual ajusta los documentos tipo a las nuevas reglas de origen aplicables a los servicios nacionales. Además, se expidió la Resolución 146 del 25 de marzo de 2022, mediante la cual se modificaron los documentos tipo de obra pública de infraestructura bajo la modalidad de mínima cuantía. </w:t>
      </w:r>
    </w:p>
    <w:p w14:paraId="6C3DBD3B" w14:textId="77777777" w:rsidR="00675ADC" w:rsidRPr="001C4260" w:rsidRDefault="00675ADC" w:rsidP="00675ADC">
      <w:pPr>
        <w:spacing w:after="120" w:line="276" w:lineRule="auto"/>
        <w:ind w:firstLine="708"/>
        <w:jc w:val="both"/>
        <w:rPr>
          <w:rFonts w:ascii="Arial" w:hAnsi="Arial" w:cs="Arial"/>
          <w:spacing w:val="2"/>
          <w:lang w:eastAsia="es-CO"/>
        </w:rPr>
      </w:pPr>
      <w:r w:rsidRPr="001C4260">
        <w:rPr>
          <w:rFonts w:ascii="Arial" w:hAnsi="Arial" w:cs="Arial"/>
          <w:spacing w:val="2"/>
          <w:lang w:eastAsia="es-CO"/>
        </w:rPr>
        <w:t xml:space="preserve">Finalmente, teniendo en cuenta la expedición del Decreto 1860 del 24 de diciembre de 2021, que modificó el Decreto 1082 de 2015 y reglamentó los artículos 30, 31, 32, 34 y 35 de la Ley 2069 de 2020, la Agencia modificó los diferentes documentos tipo que había expedido hasta ese momento, con la finalidad de hacerlos compatibles con la nueva regulación, por lo que se expidió la Resolución 275 del 24 de junio de 2022, «Por la cual se modifican los documentos tipo adoptados por la Agencia Nacional de Contratación Pública – Colombia Compra Eficiente». No obstante, esta última modificación aplicará a los procesos cuyo aviso de convocatoria se publique a partir del 29 de agosto de 2022. </w:t>
      </w:r>
    </w:p>
    <w:p w14:paraId="17916C7C" w14:textId="77777777" w:rsidR="00675ADC" w:rsidRPr="001C4260" w:rsidRDefault="00675ADC" w:rsidP="00675ADC">
      <w:pPr>
        <w:spacing w:before="120" w:line="276" w:lineRule="auto"/>
        <w:ind w:firstLine="709"/>
        <w:jc w:val="both"/>
        <w:rPr>
          <w:rFonts w:ascii="Arial" w:eastAsia="Calibri" w:hAnsi="Arial" w:cs="Arial"/>
          <w:lang w:val="es-ES" w:eastAsia="es-ES"/>
        </w:rPr>
      </w:pPr>
      <w:r w:rsidRPr="001C4260">
        <w:rPr>
          <w:rFonts w:ascii="Arial" w:eastAsia="Calibri" w:hAnsi="Arial" w:cs="Arial"/>
          <w:lang w:val="es-ES" w:eastAsia="es-ES"/>
        </w:rPr>
        <w:t xml:space="preserve">En síntesis, hasta el momento se han expedido los siguientes documentos tipo que son obligatorios para todas las entidades sometidas al Estatuto General de Contratación de la Administración Pública: </w:t>
      </w:r>
    </w:p>
    <w:p w14:paraId="40FB81D3" w14:textId="77777777" w:rsidR="00675ADC" w:rsidRPr="001C4260" w:rsidRDefault="00675ADC" w:rsidP="00675ADC">
      <w:pPr>
        <w:spacing w:before="120" w:line="276" w:lineRule="auto"/>
        <w:ind w:firstLine="709"/>
        <w:jc w:val="both"/>
        <w:rPr>
          <w:rFonts w:ascii="Arial" w:eastAsia="Calibri" w:hAnsi="Arial" w:cs="Arial"/>
          <w:lang w:val="es-ES" w:eastAsia="es-ES"/>
        </w:rPr>
      </w:pPr>
      <w:r w:rsidRPr="001C4260">
        <w:rPr>
          <w:rFonts w:ascii="Arial" w:eastAsia="Calibri" w:hAnsi="Arial" w:cs="Arial"/>
          <w:lang w:val="es-ES" w:eastAsia="es-ES"/>
        </w:rPr>
        <w:lastRenderedPageBreak/>
        <w:t xml:space="preserve">i) Documentos tipo para licitación de obra pública de infraestructura de transporte –versión 1–, obligatorios para los procesos cuyo aviso de convocatoria se haya publicado desde el 1 de abril de 2019. </w:t>
      </w:r>
    </w:p>
    <w:p w14:paraId="0BB05F03" w14:textId="77777777" w:rsidR="00675ADC" w:rsidRPr="001C4260" w:rsidRDefault="00675ADC" w:rsidP="00675ADC">
      <w:pPr>
        <w:spacing w:before="120" w:line="276" w:lineRule="auto"/>
        <w:ind w:firstLine="709"/>
        <w:jc w:val="both"/>
        <w:rPr>
          <w:rFonts w:ascii="Arial" w:eastAsia="Calibri" w:hAnsi="Arial" w:cs="Arial"/>
          <w:lang w:val="es-ES" w:eastAsia="es-ES"/>
        </w:rPr>
      </w:pPr>
      <w:proofErr w:type="spellStart"/>
      <w:r w:rsidRPr="001C4260">
        <w:rPr>
          <w:rFonts w:ascii="Arial" w:eastAsia="Calibri" w:hAnsi="Arial" w:cs="Arial"/>
          <w:lang w:val="es-ES" w:eastAsia="es-ES"/>
        </w:rPr>
        <w:t>ii</w:t>
      </w:r>
      <w:proofErr w:type="spellEnd"/>
      <w:r w:rsidRPr="001C4260">
        <w:rPr>
          <w:rFonts w:ascii="Arial" w:eastAsia="Calibri" w:hAnsi="Arial" w:cs="Arial"/>
          <w:lang w:val="es-ES" w:eastAsia="es-ES"/>
        </w:rPr>
        <w:t>) Documentos tipo para licitación de obra pública de infraestructura de transporte –versión 2–, obligatorios para los procesos cuyo aviso de convocatoria se haya publicado desde el 10 de marzo de 2020.</w:t>
      </w:r>
    </w:p>
    <w:p w14:paraId="0839A406" w14:textId="77777777" w:rsidR="00675ADC" w:rsidRPr="001C4260" w:rsidRDefault="00675ADC" w:rsidP="00675ADC">
      <w:pPr>
        <w:spacing w:before="120" w:line="276" w:lineRule="auto"/>
        <w:ind w:firstLine="709"/>
        <w:jc w:val="both"/>
        <w:rPr>
          <w:rFonts w:ascii="Arial" w:eastAsia="Calibri" w:hAnsi="Arial" w:cs="Arial"/>
          <w:lang w:val="es-ES" w:eastAsia="es-ES"/>
        </w:rPr>
      </w:pPr>
      <w:proofErr w:type="spellStart"/>
      <w:r w:rsidRPr="001C4260">
        <w:rPr>
          <w:rFonts w:ascii="Arial" w:eastAsia="Calibri" w:hAnsi="Arial" w:cs="Arial"/>
          <w:lang w:val="es-ES" w:eastAsia="es-ES"/>
        </w:rPr>
        <w:t>iii</w:t>
      </w:r>
      <w:proofErr w:type="spellEnd"/>
      <w:r w:rsidRPr="001C4260">
        <w:rPr>
          <w:rFonts w:ascii="Arial" w:eastAsia="Calibri" w:hAnsi="Arial" w:cs="Arial"/>
          <w:lang w:val="es-ES" w:eastAsia="es-ES"/>
        </w:rPr>
        <w:t>) Documentos tipo para licitación de obra pública de infraestructura de transporte –versión 3–, obligatorios para los procesos cuyo aviso de convocatoria se haya publicado desde el 1 de enero de 2021.</w:t>
      </w:r>
    </w:p>
    <w:p w14:paraId="26563AEB" w14:textId="77777777" w:rsidR="00675ADC" w:rsidRPr="001C4260" w:rsidRDefault="00675ADC" w:rsidP="00675ADC">
      <w:pPr>
        <w:spacing w:before="120" w:line="276" w:lineRule="auto"/>
        <w:ind w:firstLine="709"/>
        <w:jc w:val="both"/>
        <w:rPr>
          <w:rFonts w:ascii="Arial" w:eastAsia="Calibri" w:hAnsi="Arial" w:cs="Arial"/>
          <w:lang w:val="es-ES" w:eastAsia="es-ES"/>
        </w:rPr>
      </w:pPr>
      <w:proofErr w:type="spellStart"/>
      <w:r w:rsidRPr="001C4260">
        <w:rPr>
          <w:rFonts w:ascii="Arial" w:eastAsia="Calibri" w:hAnsi="Arial" w:cs="Arial"/>
          <w:lang w:val="es-ES" w:eastAsia="es-ES"/>
        </w:rPr>
        <w:t>iv</w:t>
      </w:r>
      <w:proofErr w:type="spellEnd"/>
      <w:r w:rsidRPr="001C4260">
        <w:rPr>
          <w:rFonts w:ascii="Arial" w:eastAsia="Calibri" w:hAnsi="Arial" w:cs="Arial"/>
          <w:lang w:val="es-ES" w:eastAsia="es-ES"/>
        </w:rPr>
        <w:t>) Documentos tipo para procesos de selección abreviada de menor cuantía de infraestructura de transporte –versión 1–, obligatorios para los procesos cuyo aviso de convocatoria se haya publicado desde el 17 de febrero de 2020.</w:t>
      </w:r>
    </w:p>
    <w:p w14:paraId="551F20D0" w14:textId="77777777" w:rsidR="00675ADC" w:rsidRPr="001C4260" w:rsidRDefault="00675ADC" w:rsidP="00675ADC">
      <w:pPr>
        <w:spacing w:before="120" w:line="276" w:lineRule="auto"/>
        <w:ind w:firstLine="709"/>
        <w:jc w:val="both"/>
        <w:rPr>
          <w:rFonts w:ascii="Arial" w:eastAsia="Calibri" w:hAnsi="Arial" w:cs="Arial"/>
          <w:lang w:val="es-ES" w:eastAsia="es-ES"/>
        </w:rPr>
      </w:pPr>
      <w:r w:rsidRPr="001C4260">
        <w:rPr>
          <w:rFonts w:ascii="Arial" w:eastAsia="Calibri" w:hAnsi="Arial" w:cs="Arial"/>
          <w:lang w:val="es-ES"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263AA46E" w14:textId="77777777" w:rsidR="00675ADC" w:rsidRPr="001C4260" w:rsidRDefault="00675ADC" w:rsidP="00675ADC">
      <w:pPr>
        <w:spacing w:before="120" w:line="276" w:lineRule="auto"/>
        <w:ind w:firstLine="709"/>
        <w:jc w:val="both"/>
        <w:rPr>
          <w:rFonts w:ascii="Arial" w:eastAsia="Calibri" w:hAnsi="Arial" w:cs="Arial"/>
          <w:lang w:val="es-ES" w:eastAsia="es-ES"/>
        </w:rPr>
      </w:pPr>
      <w:r w:rsidRPr="001C4260">
        <w:rPr>
          <w:rFonts w:ascii="Arial" w:eastAsia="Calibri" w:hAnsi="Arial" w:cs="Arial"/>
          <w:lang w:val="es-ES" w:eastAsia="es-ES"/>
        </w:rPr>
        <w:t>vi) Documentos tipo para procesos de mínima cuantía de infraestructura de transporte, obligatorios para los procesos cuya invitación pública se haya publicado a partir del 10 de junio de 2020.</w:t>
      </w:r>
    </w:p>
    <w:p w14:paraId="32C2D3C6" w14:textId="77777777" w:rsidR="00675ADC" w:rsidRPr="001C4260" w:rsidRDefault="00675ADC" w:rsidP="00675ADC">
      <w:pPr>
        <w:spacing w:before="120" w:line="276" w:lineRule="auto"/>
        <w:ind w:firstLine="709"/>
        <w:jc w:val="both"/>
        <w:rPr>
          <w:rFonts w:ascii="Arial" w:eastAsia="Calibri" w:hAnsi="Arial" w:cs="Arial"/>
          <w:lang w:val="es-ES" w:eastAsia="es-ES"/>
        </w:rPr>
      </w:pPr>
      <w:proofErr w:type="spellStart"/>
      <w:r w:rsidRPr="001C4260">
        <w:rPr>
          <w:rFonts w:ascii="Arial" w:eastAsia="Calibri" w:hAnsi="Arial" w:cs="Arial"/>
          <w:lang w:val="es-ES" w:eastAsia="es-ES"/>
        </w:rPr>
        <w:t>vii</w:t>
      </w:r>
      <w:proofErr w:type="spellEnd"/>
      <w:r w:rsidRPr="001C4260">
        <w:rPr>
          <w:rFonts w:ascii="Arial" w:eastAsia="Calibri" w:hAnsi="Arial" w:cs="Arial"/>
          <w:lang w:val="es-ES" w:eastAsia="es-ES"/>
        </w:rPr>
        <w:t>) Documentos tipo para procesos de concurso de méritos para contratar la interventoría de obras públicas de infraestructura de transporte, obligatorios para los procesos cuyo aviso de convocatoria se haya publicado desde el 1 de enero de 2021.</w:t>
      </w:r>
    </w:p>
    <w:p w14:paraId="7743152A" w14:textId="77777777" w:rsidR="00675ADC" w:rsidRPr="001C4260" w:rsidRDefault="00675ADC" w:rsidP="00675ADC">
      <w:pPr>
        <w:spacing w:before="120" w:line="276" w:lineRule="auto"/>
        <w:ind w:firstLine="709"/>
        <w:jc w:val="both"/>
        <w:rPr>
          <w:rFonts w:ascii="Arial" w:eastAsia="Calibri" w:hAnsi="Arial" w:cs="Arial"/>
          <w:lang w:val="es-ES" w:eastAsia="es-ES"/>
        </w:rPr>
      </w:pPr>
      <w:proofErr w:type="spellStart"/>
      <w:r w:rsidRPr="001C4260">
        <w:rPr>
          <w:rFonts w:ascii="Arial" w:eastAsia="Calibri" w:hAnsi="Arial" w:cs="Arial"/>
          <w:lang w:val="es-ES" w:eastAsia="es-ES"/>
        </w:rPr>
        <w:t>viii</w:t>
      </w:r>
      <w:proofErr w:type="spellEnd"/>
      <w:r w:rsidRPr="001C4260">
        <w:rPr>
          <w:rFonts w:ascii="Arial" w:eastAsia="Calibri" w:hAnsi="Arial" w:cs="Arial"/>
          <w:lang w:val="es-ES" w:eastAsia="es-ES"/>
        </w:rPr>
        <w:t>) Documentos tipo para procesos de licitación pública para obras de infraestructura de agua potable y saneamiento básico, obligatorios para los procesos cuyo aviso de convocatoria se haya publicado desde el 11 de diciembre de 2020.</w:t>
      </w:r>
    </w:p>
    <w:p w14:paraId="638FDBF9" w14:textId="77777777" w:rsidR="00675ADC" w:rsidRPr="001C4260" w:rsidRDefault="00675ADC" w:rsidP="00675ADC">
      <w:pPr>
        <w:spacing w:before="120" w:line="276" w:lineRule="auto"/>
        <w:ind w:firstLine="709"/>
        <w:jc w:val="both"/>
        <w:rPr>
          <w:rFonts w:ascii="Arial" w:eastAsia="Calibri" w:hAnsi="Arial" w:cs="Arial"/>
          <w:lang w:val="es-ES" w:eastAsia="es-ES"/>
        </w:rPr>
      </w:pPr>
      <w:proofErr w:type="spellStart"/>
      <w:r w:rsidRPr="001C4260">
        <w:rPr>
          <w:rFonts w:ascii="Arial" w:eastAsia="Calibri" w:hAnsi="Arial" w:cs="Arial"/>
          <w:lang w:val="es-ES" w:eastAsia="es-ES"/>
        </w:rPr>
        <w:t>ix</w:t>
      </w:r>
      <w:proofErr w:type="spellEnd"/>
      <w:r w:rsidRPr="001C4260">
        <w:rPr>
          <w:rFonts w:ascii="Arial" w:eastAsia="Calibri" w:hAnsi="Arial" w:cs="Arial"/>
          <w:lang w:val="es-ES" w:eastAsia="es-ES"/>
        </w:rPr>
        <w:t>)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20F6D911" w14:textId="77777777" w:rsidR="00675ADC" w:rsidRPr="001C4260" w:rsidRDefault="00675ADC" w:rsidP="00675ADC">
      <w:pPr>
        <w:spacing w:before="120" w:line="276" w:lineRule="auto"/>
        <w:ind w:firstLine="709"/>
        <w:jc w:val="both"/>
        <w:rPr>
          <w:rFonts w:ascii="Arial" w:eastAsia="Calibri" w:hAnsi="Arial" w:cs="Arial"/>
          <w:lang w:val="es-ES" w:eastAsia="es-ES"/>
        </w:rPr>
      </w:pPr>
      <w:r w:rsidRPr="001C4260">
        <w:rPr>
          <w:rFonts w:ascii="Arial" w:eastAsia="Calibri" w:hAnsi="Arial" w:cs="Arial"/>
          <w:lang w:val="es-ES" w:eastAsia="es-ES"/>
        </w:rPr>
        <w:t>x) Documentos tipo para procesos de gestión catastral con enfoque multipropósito que se celebren a través de contratos interadministrativos, a partir del 1 de febrero de 2021.</w:t>
      </w:r>
    </w:p>
    <w:p w14:paraId="38F23373" w14:textId="77777777" w:rsidR="00675ADC" w:rsidRPr="001C4260" w:rsidRDefault="00675ADC" w:rsidP="00675ADC">
      <w:pPr>
        <w:spacing w:before="120" w:after="120" w:line="276" w:lineRule="auto"/>
        <w:ind w:firstLine="709"/>
        <w:jc w:val="both"/>
        <w:rPr>
          <w:rFonts w:ascii="Arial" w:eastAsia="Calibri" w:hAnsi="Arial" w:cs="Arial"/>
          <w:lang w:val="es-ES" w:eastAsia="es-ES"/>
        </w:rPr>
      </w:pPr>
      <w:r w:rsidRPr="001C4260">
        <w:rPr>
          <w:rFonts w:ascii="Arial" w:eastAsia="Calibri" w:hAnsi="Arial" w:cs="Arial"/>
          <w:lang w:val="es-ES" w:eastAsia="es-ES"/>
        </w:rPr>
        <w:t>xi) Documentos tipo para procesos de selección de concurso de méritos, para contratar la consultoría de estudios de ingeniería de infraestructura de transporte, para los procesos cuyo aviso de convocatoria se haya publicado desde 9 de agosto de 2021</w:t>
      </w:r>
    </w:p>
    <w:p w14:paraId="3EAC8730" w14:textId="77777777" w:rsidR="00675ADC" w:rsidRPr="001C4260" w:rsidRDefault="00675ADC" w:rsidP="00675ADC">
      <w:pPr>
        <w:spacing w:after="120" w:line="276" w:lineRule="auto"/>
        <w:ind w:firstLine="708"/>
        <w:jc w:val="both"/>
        <w:rPr>
          <w:rFonts w:ascii="Arial" w:eastAsia="Calibri" w:hAnsi="Arial" w:cs="Arial"/>
          <w:lang w:val="es-ES_tradnl"/>
        </w:rPr>
      </w:pPr>
      <w:proofErr w:type="spellStart"/>
      <w:r w:rsidRPr="001C4260">
        <w:rPr>
          <w:rFonts w:ascii="Arial" w:eastAsia="Calibri" w:hAnsi="Arial" w:cs="Arial"/>
          <w:lang w:val="es-ES" w:eastAsia="es-ES"/>
        </w:rPr>
        <w:t>xii</w:t>
      </w:r>
      <w:proofErr w:type="spellEnd"/>
      <w:r w:rsidRPr="001C4260">
        <w:rPr>
          <w:rFonts w:ascii="Arial" w:eastAsia="Calibri" w:hAnsi="Arial" w:cs="Arial"/>
          <w:lang w:val="es-ES" w:eastAsia="es-ES"/>
        </w:rPr>
        <w:t xml:space="preserve">) Documentos tipo para procesos de licitación de obra pública de infraestructura social, que </w:t>
      </w:r>
      <w:r w:rsidRPr="001C4260">
        <w:rPr>
          <w:rFonts w:ascii="Arial" w:hAnsi="Arial" w:cs="Arial"/>
          <w:lang w:val="es-ES_tradnl"/>
        </w:rPr>
        <w:t xml:space="preserve">entrarán a regir de acuerdo con los términos establecidos en el artículo 6 de la </w:t>
      </w:r>
      <w:r w:rsidRPr="001C4260">
        <w:rPr>
          <w:rFonts w:ascii="Arial" w:hAnsi="Arial" w:cs="Arial"/>
          <w:lang w:val="es-ES_tradnl"/>
        </w:rPr>
        <w:lastRenderedPageBreak/>
        <w:t>Resolución 219 de 2021 −modificado por el artículo 1 de la Resolución 336 del 2 de noviembre de 2021−</w:t>
      </w:r>
      <w:r w:rsidRPr="001C4260">
        <w:rPr>
          <w:rFonts w:ascii="Arial" w:eastAsia="Calibri" w:hAnsi="Arial" w:cs="Arial"/>
          <w:lang w:val="es-ES_tradnl"/>
        </w:rPr>
        <w:t>.</w:t>
      </w:r>
    </w:p>
    <w:p w14:paraId="7BCB100E" w14:textId="77777777" w:rsidR="00675ADC" w:rsidRPr="001C4260" w:rsidRDefault="00675ADC" w:rsidP="00675ADC">
      <w:pPr>
        <w:spacing w:after="120" w:line="276" w:lineRule="auto"/>
        <w:ind w:firstLine="708"/>
        <w:jc w:val="both"/>
        <w:rPr>
          <w:rFonts w:ascii="Arial" w:eastAsia="Calibri" w:hAnsi="Arial" w:cs="Arial"/>
          <w:lang w:val="es-ES_tradnl"/>
        </w:rPr>
      </w:pPr>
      <w:proofErr w:type="spellStart"/>
      <w:r w:rsidRPr="001C4260">
        <w:rPr>
          <w:rFonts w:ascii="Arial" w:eastAsia="Calibri" w:hAnsi="Arial" w:cs="Arial"/>
          <w:lang w:val="es-ES" w:eastAsia="es-ES"/>
        </w:rPr>
        <w:t>xiii</w:t>
      </w:r>
      <w:proofErr w:type="spellEnd"/>
      <w:r w:rsidRPr="001C4260">
        <w:rPr>
          <w:rFonts w:ascii="Arial" w:eastAsia="Calibri" w:hAnsi="Arial" w:cs="Arial"/>
          <w:lang w:val="es-ES" w:eastAsia="es-ES"/>
        </w:rPr>
        <w:t xml:space="preserve">) Documentos tipo complementarios para los procesos de licitación de obra pública de infraestructura social relacionados con el sector educativo, que </w:t>
      </w:r>
      <w:r w:rsidRPr="001C4260">
        <w:rPr>
          <w:rFonts w:ascii="Arial" w:hAnsi="Arial" w:cs="Arial"/>
          <w:lang w:val="es-ES_tradnl"/>
        </w:rPr>
        <w:t>entrarán a regir de acuerdo con los términos establecidos en el artículo 6 de la Resolución 219 de 2021 −modificado por el artículo 1 de la Resolución 336 del 2 de noviembre de 2021−.</w:t>
      </w:r>
    </w:p>
    <w:p w14:paraId="3833DE33" w14:textId="77777777" w:rsidR="00675ADC" w:rsidRPr="001C4260" w:rsidRDefault="00675ADC" w:rsidP="00675ADC">
      <w:pPr>
        <w:spacing w:after="120" w:line="276" w:lineRule="auto"/>
        <w:ind w:firstLine="708"/>
        <w:jc w:val="both"/>
        <w:rPr>
          <w:rFonts w:ascii="Arial" w:eastAsia="Calibri" w:hAnsi="Arial" w:cs="Arial"/>
          <w:lang w:val="es-ES_tradnl"/>
        </w:rPr>
      </w:pPr>
      <w:proofErr w:type="spellStart"/>
      <w:r w:rsidRPr="001C4260">
        <w:rPr>
          <w:rFonts w:ascii="Arial" w:eastAsia="Calibri" w:hAnsi="Arial" w:cs="Arial"/>
          <w:lang w:val="es-ES" w:eastAsia="es-ES"/>
        </w:rPr>
        <w:t>xiv</w:t>
      </w:r>
      <w:proofErr w:type="spellEnd"/>
      <w:r w:rsidRPr="001C4260">
        <w:rPr>
          <w:rFonts w:ascii="Arial" w:eastAsia="Calibri" w:hAnsi="Arial" w:cs="Arial"/>
          <w:lang w:val="es-ES" w:eastAsia="es-ES"/>
        </w:rPr>
        <w:t xml:space="preserve">) Documentos tipo complementarios para los procesos de licitación de obra pública de infraestructura social relacionados con el sector salud, que entrarán a regir </w:t>
      </w:r>
      <w:r w:rsidRPr="001C4260">
        <w:rPr>
          <w:rFonts w:ascii="Arial" w:hAnsi="Arial" w:cs="Arial"/>
          <w:lang w:val="es-ES_tradnl"/>
        </w:rPr>
        <w:t>de acuerdo con los términos establecidos en el artículo 6 de la Resolución 219 de 2021 −modificado por el artículo 1 de la Resolución 336 del 2 de noviembre de 2021− y en el artículo 4 de la Resolución 392 de 18 de noviembre de 2021</w:t>
      </w:r>
      <w:r w:rsidRPr="001C4260">
        <w:rPr>
          <w:rFonts w:ascii="Arial" w:eastAsia="Calibri" w:hAnsi="Arial" w:cs="Arial"/>
          <w:lang w:val="es-ES_tradnl"/>
        </w:rPr>
        <w:t>.</w:t>
      </w:r>
    </w:p>
    <w:p w14:paraId="38E020C5" w14:textId="77777777" w:rsidR="00675ADC" w:rsidRPr="001C4260" w:rsidRDefault="00675ADC" w:rsidP="00675ADC">
      <w:pPr>
        <w:spacing w:after="120" w:line="276" w:lineRule="auto"/>
        <w:ind w:firstLine="708"/>
        <w:jc w:val="both"/>
        <w:rPr>
          <w:rFonts w:ascii="Arial" w:hAnsi="Arial" w:cs="Arial"/>
          <w:lang w:val="es-ES_tradnl"/>
        </w:rPr>
      </w:pPr>
      <w:proofErr w:type="spellStart"/>
      <w:r w:rsidRPr="001C4260">
        <w:rPr>
          <w:rFonts w:ascii="Arial" w:eastAsia="Calibri" w:hAnsi="Arial" w:cs="Arial"/>
          <w:lang w:val="es-ES_tradnl"/>
        </w:rPr>
        <w:t>xv</w:t>
      </w:r>
      <w:proofErr w:type="spellEnd"/>
      <w:r w:rsidRPr="001C4260">
        <w:rPr>
          <w:rFonts w:ascii="Arial" w:eastAsia="Calibri" w:hAnsi="Arial" w:cs="Arial"/>
          <w:lang w:val="es-ES_tradnl"/>
        </w:rPr>
        <w:t xml:space="preserve">) </w:t>
      </w:r>
      <w:r w:rsidRPr="001C4260">
        <w:rPr>
          <w:rFonts w:ascii="Arial" w:eastAsia="Calibri" w:hAnsi="Arial" w:cs="Arial"/>
          <w:lang w:val="es-ES" w:eastAsia="es-ES"/>
        </w:rPr>
        <w:t>Documentos tipo complementarios para los procesos de licitación de obra pública de infraestructura social relacionados con el sector cultura, recreación y deporte</w:t>
      </w:r>
      <w:r w:rsidRPr="001C4260">
        <w:rPr>
          <w:rFonts w:ascii="Arial" w:eastAsia="Calibri" w:hAnsi="Arial" w:cs="Arial"/>
          <w:lang w:val="es-ES_tradnl"/>
        </w:rPr>
        <w:t xml:space="preserve">, </w:t>
      </w:r>
      <w:r w:rsidRPr="001C4260">
        <w:rPr>
          <w:rFonts w:ascii="Arial" w:eastAsia="Calibri" w:hAnsi="Arial" w:cs="Arial"/>
          <w:lang w:val="es-ES" w:eastAsia="es-ES"/>
        </w:rPr>
        <w:t xml:space="preserve">que entrarán a regir </w:t>
      </w:r>
      <w:r w:rsidRPr="001C4260">
        <w:rPr>
          <w:rFonts w:ascii="Arial" w:hAnsi="Arial" w:cs="Arial"/>
          <w:lang w:val="es-ES_tradnl"/>
        </w:rPr>
        <w:t>de acuerdo con los términos establecidos en el artículo 4 de la Resolución 454 de 2021.</w:t>
      </w:r>
    </w:p>
    <w:p w14:paraId="09560208" w14:textId="77777777" w:rsidR="00675ADC" w:rsidRPr="001C4260" w:rsidRDefault="00675ADC" w:rsidP="00675ADC">
      <w:pPr>
        <w:spacing w:after="120" w:line="276" w:lineRule="auto"/>
        <w:ind w:firstLine="708"/>
        <w:jc w:val="both"/>
        <w:rPr>
          <w:rFonts w:ascii="Arial" w:hAnsi="Arial" w:cs="Arial"/>
          <w:lang w:val="es-ES_tradnl"/>
        </w:rPr>
      </w:pPr>
      <w:proofErr w:type="spellStart"/>
      <w:r w:rsidRPr="001C4260">
        <w:rPr>
          <w:rFonts w:ascii="Arial" w:hAnsi="Arial" w:cs="Arial"/>
          <w:lang w:val="es-ES_tradnl"/>
        </w:rPr>
        <w:t>xvi</w:t>
      </w:r>
      <w:proofErr w:type="spellEnd"/>
      <w:r w:rsidRPr="001C4260">
        <w:rPr>
          <w:rFonts w:ascii="Arial" w:hAnsi="Arial" w:cs="Arial"/>
          <w:lang w:val="es-ES_tradnl"/>
        </w:rPr>
        <w:t xml:space="preserve">) Documentos tipo de interventoría para los procesos de selección de concurso de méritos para contratar la interventoría de infraestructura de transporte –Versión 2–, para los procesos cuyo aviso de convocatoria se haya publicado desde el 1 de noviembre de 2022, de conformidad con la Resolución 326 del 22 de julio de 2022. </w:t>
      </w:r>
    </w:p>
    <w:p w14:paraId="4398A5ED" w14:textId="5A53708F" w:rsidR="00675ADC" w:rsidRPr="001C4260" w:rsidRDefault="00675ADC" w:rsidP="00675ADC">
      <w:pPr>
        <w:spacing w:after="120" w:line="276" w:lineRule="auto"/>
        <w:ind w:firstLine="708"/>
        <w:jc w:val="both"/>
        <w:rPr>
          <w:rFonts w:ascii="Arial" w:eastAsia="Calibri" w:hAnsi="Arial" w:cs="Arial"/>
          <w:lang w:val="es-ES_tradnl"/>
        </w:rPr>
      </w:pPr>
      <w:proofErr w:type="spellStart"/>
      <w:r w:rsidRPr="001C4260">
        <w:rPr>
          <w:rFonts w:ascii="Arial" w:hAnsi="Arial" w:cs="Arial"/>
          <w:lang w:val="es-ES_tradnl"/>
        </w:rPr>
        <w:t>xvii</w:t>
      </w:r>
      <w:proofErr w:type="spellEnd"/>
      <w:r w:rsidRPr="001C4260">
        <w:rPr>
          <w:rFonts w:ascii="Arial" w:hAnsi="Arial" w:cs="Arial"/>
          <w:lang w:val="es-ES_tradnl"/>
        </w:rPr>
        <w:t xml:space="preserve">) Documentos tipo de interventoría </w:t>
      </w:r>
      <w:r w:rsidRPr="001C4260">
        <w:rPr>
          <w:rFonts w:ascii="Arial" w:eastAsia="Calibri" w:hAnsi="Arial" w:cs="Arial"/>
          <w:lang w:val="es-ES" w:eastAsia="es-ES"/>
        </w:rPr>
        <w:t xml:space="preserve">para los procesos de selección de concurso de méritos para contratar la interventoría de obras públicas de infraestructura de agua potable y saneamiento básico, para los procesos cuyo aviso de convocatoria se haya publicado desde el 3 de octubre de 2022, de acuerdo con la Resolución 333 del 27 de julio de 2022. </w:t>
      </w:r>
    </w:p>
    <w:p w14:paraId="522257B4" w14:textId="77777777" w:rsidR="00675ADC" w:rsidRPr="001C4260" w:rsidRDefault="00675ADC" w:rsidP="006835FF">
      <w:pPr>
        <w:shd w:val="clear" w:color="auto" w:fill="FFFFFF"/>
        <w:spacing w:after="0" w:line="276" w:lineRule="auto"/>
        <w:ind w:firstLine="709"/>
        <w:jc w:val="both"/>
        <w:textAlignment w:val="baseline"/>
        <w:rPr>
          <w:rFonts w:ascii="Arial" w:eastAsia="Calibri" w:hAnsi="Arial" w:cs="Arial"/>
          <w:bdr w:val="none" w:sz="0" w:space="0" w:color="auto" w:frame="1"/>
          <w:lang w:val="es-ES_tradnl"/>
        </w:rPr>
      </w:pPr>
      <w:r w:rsidRPr="001C4260">
        <w:rPr>
          <w:rFonts w:ascii="Arial" w:eastAsia="Calibri" w:hAnsi="Arial" w:cs="Arial"/>
        </w:rPr>
        <w:t xml:space="preserve">De acuerdo con lo expuesto, sin perjuicio de lo que se analizará en el numeral siguiente, </w:t>
      </w:r>
      <w:r w:rsidRPr="001C4260">
        <w:rPr>
          <w:rFonts w:ascii="Arial" w:eastAsia="Calibri" w:hAnsi="Arial" w:cs="Arial"/>
          <w:bdr w:val="none" w:sz="0" w:space="0" w:color="auto" w:frame="1"/>
        </w:rPr>
        <w:t xml:space="preserve">los documentos tipo adoptados son obligatorios para las entidades estatales cuyos contratos se rijan por el Estatuto General de la Contratación de la Administración Pública, que adelanten procesos de contratación mediante la modalidad que establecen los documentos tipo para cada sector y teniendo en cuenta el ámbito de aplicación determinado en la Matriz de Experiencia de cada uno de ellos. </w:t>
      </w:r>
      <w:r w:rsidRPr="001C4260">
        <w:rPr>
          <w:rFonts w:ascii="Arial" w:eastAsia="Calibri" w:hAnsi="Arial" w:cs="Arial"/>
          <w:bdr w:val="none" w:sz="0" w:space="0" w:color="auto" w:frame="1"/>
          <w:lang w:val="es-ES_tradnl"/>
        </w:rPr>
        <w:t xml:space="preserve">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cada uno de ellos, para determinar si la modalidad de escogencia y el objeto a contratar son o no subsumibles dentro de lo dispuesto en estos. De ser así, la entidad estará obligada a adelantar el proceso de contratación aplicando los documentos tipo del caso. </w:t>
      </w:r>
    </w:p>
    <w:p w14:paraId="211A2B79" w14:textId="77777777" w:rsidR="009B66A6" w:rsidRPr="001C4260" w:rsidRDefault="009B66A6" w:rsidP="009B66A6">
      <w:pPr>
        <w:shd w:val="clear" w:color="auto" w:fill="FFFFFF"/>
        <w:spacing w:after="0" w:line="276" w:lineRule="auto"/>
        <w:textAlignment w:val="baseline"/>
        <w:rPr>
          <w:rFonts w:ascii="Arial" w:eastAsia="Times New Roman" w:hAnsi="Arial" w:cs="Arial"/>
          <w:lang w:eastAsia="es-CO"/>
        </w:rPr>
      </w:pPr>
    </w:p>
    <w:p w14:paraId="040273D6" w14:textId="79DFC22D" w:rsidR="009B66A6" w:rsidRPr="001C4260" w:rsidRDefault="009B66A6" w:rsidP="009B66A6">
      <w:pPr>
        <w:shd w:val="clear" w:color="auto" w:fill="FFFFFF"/>
        <w:spacing w:after="0" w:line="276" w:lineRule="auto"/>
        <w:jc w:val="both"/>
        <w:textAlignment w:val="baseline"/>
        <w:rPr>
          <w:rFonts w:ascii="Arial" w:eastAsia="Times New Roman" w:hAnsi="Arial" w:cs="Arial"/>
          <w:b/>
          <w:bCs/>
          <w:lang w:eastAsia="es-CO"/>
        </w:rPr>
      </w:pPr>
      <w:r w:rsidRPr="001C4260">
        <w:rPr>
          <w:rFonts w:ascii="Arial" w:eastAsia="Times New Roman" w:hAnsi="Arial" w:cs="Arial"/>
          <w:b/>
          <w:bCs/>
          <w:lang w:eastAsia="es-CO"/>
        </w:rPr>
        <w:t>2.2. Inalterabilidad de los «Documentos Tipo</w:t>
      </w:r>
      <w:r w:rsidR="00001CF7" w:rsidRPr="001C4260">
        <w:rPr>
          <w:rFonts w:ascii="Arial" w:eastAsia="Times New Roman" w:hAnsi="Arial" w:cs="Arial"/>
          <w:b/>
          <w:bCs/>
          <w:lang w:eastAsia="es-CO"/>
        </w:rPr>
        <w:t>»</w:t>
      </w:r>
    </w:p>
    <w:p w14:paraId="6D229907" w14:textId="77777777" w:rsidR="009B66A6" w:rsidRPr="001C4260" w:rsidRDefault="009B66A6" w:rsidP="009B66A6">
      <w:pPr>
        <w:shd w:val="clear" w:color="auto" w:fill="FFFFFF"/>
        <w:spacing w:after="0" w:line="276" w:lineRule="auto"/>
        <w:textAlignment w:val="baseline"/>
        <w:rPr>
          <w:rFonts w:ascii="Arial" w:eastAsia="Times New Roman" w:hAnsi="Arial" w:cs="Arial"/>
          <w:b/>
          <w:bCs/>
          <w:lang w:eastAsia="es-CO"/>
        </w:rPr>
      </w:pPr>
    </w:p>
    <w:p w14:paraId="45D15CF7" w14:textId="77777777" w:rsidR="00D61DBE" w:rsidRPr="001C4260" w:rsidRDefault="00D61DBE" w:rsidP="00D61DBE">
      <w:pPr>
        <w:spacing w:after="120" w:line="276" w:lineRule="auto"/>
        <w:jc w:val="both"/>
        <w:rPr>
          <w:rFonts w:ascii="Arial" w:eastAsia="Calibri" w:hAnsi="Arial" w:cs="Arial"/>
          <w:lang w:val="es-ES_tradnl"/>
        </w:rPr>
      </w:pPr>
      <w:r w:rsidRPr="001C4260">
        <w:rPr>
          <w:rFonts w:ascii="Arial" w:eastAsia="Calibri" w:hAnsi="Arial" w:cs="Arial"/>
          <w:lang w:val="es-ES_tradnl"/>
        </w:rPr>
        <w:t>Todas las resoluciones</w:t>
      </w:r>
      <w:r w:rsidRPr="001C4260">
        <w:rPr>
          <w:rFonts w:ascii="Arial" w:eastAsia="Calibri" w:hAnsi="Arial" w:cs="Arial"/>
          <w:vertAlign w:val="superscript"/>
          <w:lang w:val="es-ES_tradnl"/>
        </w:rPr>
        <w:footnoteReference w:id="5"/>
      </w:r>
      <w:r w:rsidRPr="001C4260">
        <w:rPr>
          <w:rFonts w:ascii="Arial" w:eastAsia="Calibri" w:hAnsi="Arial" w:cs="Arial"/>
          <w:lang w:val="es-ES_tradnl"/>
        </w:rPr>
        <w:t xml:space="preserve">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1C4260">
        <w:rPr>
          <w:rFonts w:ascii="Arial" w:eastAsia="Calibri" w:hAnsi="Arial" w:cs="Arial"/>
          <w:i/>
          <w:iCs/>
          <w:lang w:val="es-ES_tradnl"/>
        </w:rPr>
        <w:t>Documentos del Proceso</w:t>
      </w:r>
      <w:r w:rsidRPr="001C4260">
        <w:rPr>
          <w:rFonts w:ascii="Arial" w:eastAsia="Calibri" w:hAnsi="Arial" w:cs="Arial"/>
          <w:lang w:val="es-ES_tradnl"/>
        </w:rPr>
        <w:t xml:space="preserve">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0BE850FE" w14:textId="2DE4EFFE" w:rsidR="00D61DBE" w:rsidRPr="001C4260" w:rsidRDefault="00D61DBE" w:rsidP="00D61DBE">
      <w:pPr>
        <w:spacing w:after="120" w:line="276" w:lineRule="auto"/>
        <w:ind w:firstLine="709"/>
        <w:jc w:val="both"/>
        <w:rPr>
          <w:rFonts w:ascii="Arial" w:eastAsia="Calibri" w:hAnsi="Arial" w:cs="Arial"/>
          <w:lang w:val="es-ES_tradnl"/>
        </w:rPr>
      </w:pPr>
      <w:r w:rsidRPr="001C4260">
        <w:rPr>
          <w:rFonts w:ascii="Arial" w:eastAsia="Calibri" w:hAnsi="Arial" w:cs="Arial"/>
          <w:lang w:val="es-ES_tradnl"/>
        </w:rPr>
        <w:t xml:space="preserve">El fundamento legal vigente de la regla de la inalterabilidad está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Decreto 2096 de 2019 y 594 de 2020, que adicionaron, respectivamente, los artículos 2.2.1.2.6.1.4, 2.2.1.2.6.2.3 y 2.2.1.2.6.3.4 al Decreto 1082 de 2015. En esta línea, las entidades públicas deberán sujetarse a las reglas establecidas en los documentos tipo, dispuestas en las diferentes resoluciones expedidas por la Agencia, por lo que no pueden hacer excepciones bajo una supuesta discrecionalidad a estas reglas que son obligatorias.  </w:t>
      </w:r>
    </w:p>
    <w:p w14:paraId="6A77CAE8" w14:textId="42342049" w:rsidR="00D61DBE" w:rsidRPr="001C4260" w:rsidRDefault="00D61DBE" w:rsidP="00D61DBE">
      <w:pPr>
        <w:spacing w:after="120" w:line="276" w:lineRule="auto"/>
        <w:ind w:firstLine="709"/>
        <w:jc w:val="both"/>
        <w:rPr>
          <w:rFonts w:ascii="Arial" w:eastAsia="Calibri" w:hAnsi="Arial" w:cs="Arial"/>
          <w:lang w:val="es-ES_tradnl"/>
        </w:rPr>
      </w:pPr>
      <w:r w:rsidRPr="001C4260">
        <w:rPr>
          <w:rFonts w:ascii="Arial" w:eastAsia="Calibri" w:hAnsi="Arial" w:cs="Arial"/>
          <w:lang w:val="es-ES_tradnl"/>
        </w:rPr>
        <w:t>La inalterabilidad de los documentos es una manifestación en mayor grado de las potestades regladas, lo cual implica una reducción de la discrecionalidad de la Administración en el momento de tomar una decisión en el proceso de contratación</w:t>
      </w:r>
      <w:r w:rsidRPr="001C4260">
        <w:rPr>
          <w:rFonts w:ascii="Arial" w:eastAsia="Calibri" w:hAnsi="Arial" w:cs="Arial"/>
          <w:vertAlign w:val="superscript"/>
          <w:lang w:val="es-ES_tradnl"/>
        </w:rPr>
        <w:footnoteReference w:id="6"/>
      </w:r>
      <w:r w:rsidRPr="001C4260">
        <w:rPr>
          <w:rFonts w:ascii="Arial" w:eastAsia="Calibri" w:hAnsi="Arial" w:cs="Arial"/>
          <w:lang w:val="es-ES_tradnl"/>
        </w:rPr>
        <w:t xml:space="preserve">. Cada entidad pública sujeta a los documentos tipo deberá hacer una aplicación o constatación de </w:t>
      </w:r>
      <w:r w:rsidRPr="001C4260">
        <w:rPr>
          <w:rFonts w:ascii="Arial" w:eastAsia="Calibri" w:hAnsi="Arial" w:cs="Arial"/>
          <w:lang w:val="es-ES_tradnl"/>
        </w:rPr>
        <w:lastRenderedPageBreak/>
        <w:t>las reglas y condiciones dispuestas en estos, salvo que las mismas posibilit</w:t>
      </w:r>
      <w:r w:rsidR="004A5C5F" w:rsidRPr="001C4260">
        <w:rPr>
          <w:rFonts w:ascii="Arial" w:eastAsia="Calibri" w:hAnsi="Arial" w:cs="Arial"/>
          <w:lang w:val="es-ES_tradnl"/>
        </w:rPr>
        <w:t>e</w:t>
      </w:r>
      <w:r w:rsidRPr="001C4260">
        <w:rPr>
          <w:rFonts w:ascii="Arial" w:eastAsia="Calibri" w:hAnsi="Arial" w:cs="Arial"/>
          <w:lang w:val="es-ES_tradnl"/>
        </w:rPr>
        <w:t xml:space="preserve">n la discrecionalidad en determinados </w:t>
      </w:r>
      <w:r w:rsidR="004A5C5F" w:rsidRPr="001C4260">
        <w:rPr>
          <w:rFonts w:ascii="Arial" w:eastAsia="Calibri" w:hAnsi="Arial" w:cs="Arial"/>
          <w:lang w:val="es-ES_tradnl"/>
        </w:rPr>
        <w:t>contenidos</w:t>
      </w:r>
      <w:r w:rsidRPr="001C4260">
        <w:rPr>
          <w:rFonts w:ascii="Arial" w:eastAsia="Calibri" w:hAnsi="Arial" w:cs="Arial"/>
          <w:lang w:val="es-ES_tradnl"/>
        </w:rPr>
        <w:t xml:space="preserve">. </w:t>
      </w:r>
    </w:p>
    <w:p w14:paraId="10B00DAF" w14:textId="77777777" w:rsidR="00D61DBE" w:rsidRPr="001C4260" w:rsidRDefault="00D61DBE" w:rsidP="00D61DBE">
      <w:pPr>
        <w:spacing w:after="120" w:line="276" w:lineRule="auto"/>
        <w:ind w:firstLine="709"/>
        <w:jc w:val="both"/>
        <w:rPr>
          <w:rFonts w:ascii="Arial" w:eastAsia="Calibri" w:hAnsi="Arial" w:cs="Arial"/>
          <w:bCs/>
          <w:lang w:val="es-ES_tradnl"/>
        </w:rPr>
      </w:pPr>
      <w:r w:rsidRPr="001C4260">
        <w:rPr>
          <w:rFonts w:ascii="Arial" w:eastAsia="Calibri" w:hAnsi="Arial" w:cs="Arial"/>
          <w:bCs/>
          <w:lang w:val="es-ES_tradnl"/>
        </w:rPr>
        <w:t xml:space="preserve">Además, las entidades estatales deben garantizar el </w:t>
      </w:r>
      <w:r w:rsidRPr="001C4260">
        <w:rPr>
          <w:rFonts w:ascii="Arial" w:eastAsia="Calibri" w:hAnsi="Arial" w:cs="Arial"/>
          <w:bCs/>
          <w:i/>
          <w:iCs/>
          <w:lang w:val="es-ES_tradnl"/>
        </w:rPr>
        <w:t>principio de economía</w:t>
      </w:r>
      <w:r w:rsidRPr="001C4260">
        <w:rPr>
          <w:rFonts w:ascii="Arial" w:eastAsia="Calibri" w:hAnsi="Arial" w:cs="Arial"/>
          <w:bCs/>
          <w:lang w:val="es-ES_tradnl"/>
        </w:rPr>
        <w:t>, del cual se desprende que no pueden exigir documentos o requisitos más allá de los que permitan la Constitución, la ley y los reglamentos. Este postulado ha sido recogido no solo en la contratación estatal</w:t>
      </w:r>
      <w:r w:rsidRPr="001C4260">
        <w:rPr>
          <w:rFonts w:ascii="Arial" w:eastAsia="Calibri" w:hAnsi="Arial" w:cs="Arial"/>
          <w:bCs/>
          <w:vertAlign w:val="superscript"/>
          <w:lang w:val="es-ES_tradnl"/>
        </w:rPr>
        <w:footnoteReference w:id="7"/>
      </w:r>
      <w:r w:rsidRPr="001C4260">
        <w:rPr>
          <w:rFonts w:ascii="Arial" w:eastAsia="Calibri" w:hAnsi="Arial" w:cs="Arial"/>
          <w:bCs/>
          <w:lang w:val="es-ES_tradnl"/>
        </w:rPr>
        <w:t xml:space="preserve"> sino además en la normativa </w:t>
      </w:r>
      <w:proofErr w:type="spellStart"/>
      <w:r w:rsidRPr="001C4260">
        <w:rPr>
          <w:rFonts w:ascii="Arial" w:eastAsia="Calibri" w:hAnsi="Arial" w:cs="Arial"/>
          <w:bCs/>
          <w:lang w:val="es-ES_tradnl"/>
        </w:rPr>
        <w:t>antitrámites</w:t>
      </w:r>
      <w:proofErr w:type="spellEnd"/>
      <w:r w:rsidRPr="001C4260">
        <w:rPr>
          <w:rFonts w:ascii="Arial" w:eastAsia="Calibri" w:hAnsi="Arial" w:cs="Arial"/>
          <w:bCs/>
          <w:vertAlign w:val="superscript"/>
          <w:lang w:val="es-ES_tradnl"/>
        </w:rPr>
        <w:footnoteReference w:id="8"/>
      </w:r>
      <w:r w:rsidRPr="001C4260">
        <w:rPr>
          <w:rFonts w:ascii="Arial" w:eastAsia="Calibri" w:hAnsi="Arial" w:cs="Arial"/>
          <w:bCs/>
          <w:lang w:val="es-ES_tradnl"/>
        </w:rPr>
        <w:t>; pues se inscribe dentro de la tendencia de simplificación y racionalización de los procedimientos administrativos. De ahí que cuando las autoridades solicitan la entrega de documentación innecesaria, desconocen el principio de economía.</w:t>
      </w:r>
    </w:p>
    <w:p w14:paraId="4D09BF86" w14:textId="77777777" w:rsidR="00D61DBE" w:rsidRPr="001C4260" w:rsidRDefault="00D61DBE" w:rsidP="00D61DBE">
      <w:pPr>
        <w:spacing w:after="120" w:line="276" w:lineRule="auto"/>
        <w:ind w:firstLine="709"/>
        <w:jc w:val="both"/>
        <w:rPr>
          <w:rFonts w:ascii="Arial" w:eastAsia="Calibri" w:hAnsi="Arial" w:cs="Arial"/>
          <w:bCs/>
          <w:lang w:val="es-MX"/>
        </w:rPr>
      </w:pPr>
      <w:r w:rsidRPr="001C4260">
        <w:rPr>
          <w:rFonts w:ascii="Arial" w:eastAsia="Calibri" w:hAnsi="Arial" w:cs="Arial"/>
          <w:bCs/>
          <w:lang w:val="es-MX"/>
        </w:rPr>
        <w:t xml:space="preserve">Esta regla de inalterabilidad también aplica a los formatos, formularios y anexos implementados junto con el «Documento Base», los cuales deben usarse en el procedimiento de contratación. Estos, al igual que el «Documento Base», contienen apartes entre corchetes y resaltados en gris, los cuales deben ser diligenciados por la entidad, al igual que otros aspectos relativos a información que debe ser completada por los oferentes al hacer uso del formato. </w:t>
      </w:r>
    </w:p>
    <w:p w14:paraId="0A05666D" w14:textId="77777777" w:rsidR="00D61DBE" w:rsidRPr="001C4260" w:rsidRDefault="00D61DBE" w:rsidP="00D61DBE">
      <w:pPr>
        <w:spacing w:after="120" w:line="276" w:lineRule="auto"/>
        <w:ind w:firstLine="709"/>
        <w:jc w:val="both"/>
        <w:rPr>
          <w:rFonts w:ascii="Arial" w:eastAsia="Calibri" w:hAnsi="Arial" w:cs="Arial"/>
          <w:lang w:val="es-MX"/>
        </w:rPr>
      </w:pPr>
      <w:r w:rsidRPr="001C4260">
        <w:rPr>
          <w:rFonts w:ascii="Arial" w:eastAsia="Calibri" w:hAnsi="Arial" w:cs="Arial"/>
          <w:lang w:val="es-MX"/>
        </w:rPr>
        <w:t xml:space="preserve">Adicionalmente, la parte introductoria de los documentos base de los documentos tipo disponen que los aspectos incluidos en corchetes y resaltados en gris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 los mismos documentos tipo. </w:t>
      </w:r>
    </w:p>
    <w:p w14:paraId="266763FE" w14:textId="7AE4CA5E" w:rsidR="00D61DBE" w:rsidRPr="001C4260" w:rsidRDefault="00D61DBE" w:rsidP="006835FF">
      <w:pPr>
        <w:spacing w:after="120" w:line="276" w:lineRule="auto"/>
        <w:ind w:firstLine="709"/>
        <w:jc w:val="both"/>
        <w:rPr>
          <w:rFonts w:ascii="Arial" w:eastAsia="Arial" w:hAnsi="Arial" w:cs="Arial"/>
          <w:bCs/>
          <w:sz w:val="21"/>
          <w:szCs w:val="21"/>
          <w:lang w:val="es-ES"/>
        </w:rPr>
      </w:pPr>
      <w:r w:rsidRPr="001C4260">
        <w:rPr>
          <w:rFonts w:ascii="Arial" w:eastAsia="Calibri" w:hAnsi="Arial" w:cs="Arial"/>
          <w:bCs/>
          <w:lang w:val="es-MX"/>
        </w:rPr>
        <w:t xml:space="preserve">En suma, la regla general frente la aplicación de los documentos tipo es su inalterabilidad, y no podrán incluirse o modificarse en los documentos del proceso las </w:t>
      </w:r>
      <w:r w:rsidRPr="001C4260">
        <w:rPr>
          <w:rFonts w:ascii="Arial" w:eastAsia="Calibri" w:hAnsi="Arial" w:cs="Arial"/>
          <w:bCs/>
          <w:lang w:val="es-MX"/>
        </w:rPr>
        <w:lastRenderedPageBreak/>
        <w:t>condiciones habilitantes, los factores técnicos y económicos de escogencia y los sistemas de ponderación distintos a los señalados en los documentos tipo. En tal sentido, solo se podrán modificar aquellos contenidos que el mismo documento tipo permita</w:t>
      </w:r>
      <w:r w:rsidR="004A5C5F" w:rsidRPr="001C4260">
        <w:rPr>
          <w:rFonts w:ascii="Arial" w:eastAsia="Calibri" w:hAnsi="Arial" w:cs="Arial"/>
          <w:bCs/>
          <w:lang w:val="es-MX"/>
        </w:rPr>
        <w:t>.</w:t>
      </w:r>
    </w:p>
    <w:p w14:paraId="628A52F9" w14:textId="77777777" w:rsidR="00D61DBE" w:rsidRPr="001C4260" w:rsidRDefault="00D61DBE" w:rsidP="00D61DBE">
      <w:pPr>
        <w:spacing w:after="120" w:line="276" w:lineRule="auto"/>
        <w:ind w:firstLine="709"/>
        <w:jc w:val="both"/>
        <w:rPr>
          <w:rFonts w:ascii="Arial" w:eastAsia="Calibri" w:hAnsi="Arial" w:cs="Arial"/>
          <w:lang w:val="es-MX"/>
        </w:rPr>
      </w:pPr>
      <w:r w:rsidRPr="001C4260">
        <w:rPr>
          <w:rFonts w:ascii="Arial" w:eastAsia="Calibri" w:hAnsi="Arial" w:cs="Arial"/>
          <w:lang w:val="es-MX"/>
        </w:rPr>
        <w:t xml:space="preserve">Con todo, la regla de inalterabilidad de los documentos tipo debe armonizarse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w:t>
      </w:r>
    </w:p>
    <w:p w14:paraId="6F9E1197" w14:textId="77777777" w:rsidR="00D61DBE" w:rsidRPr="001C4260" w:rsidRDefault="00D61DBE" w:rsidP="00D61DBE">
      <w:pPr>
        <w:spacing w:after="120" w:line="276" w:lineRule="auto"/>
        <w:ind w:firstLine="709"/>
        <w:jc w:val="both"/>
        <w:rPr>
          <w:rFonts w:ascii="Arial" w:eastAsia="Calibri" w:hAnsi="Arial" w:cs="Arial"/>
          <w:lang w:val="es-MX"/>
        </w:rPr>
      </w:pPr>
      <w:r w:rsidRPr="001C4260">
        <w:rPr>
          <w:rFonts w:ascii="Arial" w:eastAsia="Calibri" w:hAnsi="Arial" w:cs="Arial"/>
          <w:lang w:val="es-MX"/>
        </w:rPr>
        <w:t>El carácter inalterable de los documentos tipo no puede, entonces, hacerse extensivo a los aspectos meramente formales de tales documentos, esto es, el tamaño y tipo de letra, las márgenes o las expresiones que pretenden hacer más comprensible el documento, como es el caso de aquellas que informan que una expresión larga será referida con otra similar pero más corta. Lo anterior considerando que estos aspectos en nada afectan la aplicación y alcance de los documentos tipo, es decir, no afectan su contenido esencial y, mucho menos, las obligaciones, deberes y derechos que se derivan para las partes contratantes.</w:t>
      </w:r>
    </w:p>
    <w:p w14:paraId="1E15C6B8" w14:textId="77777777" w:rsidR="00D61DBE" w:rsidRPr="001C4260" w:rsidRDefault="00D61DBE" w:rsidP="006835FF">
      <w:pPr>
        <w:spacing w:after="120" w:line="276" w:lineRule="auto"/>
        <w:ind w:firstLine="709"/>
        <w:jc w:val="both"/>
        <w:rPr>
          <w:rFonts w:ascii="Arial" w:eastAsia="Calibri" w:hAnsi="Arial" w:cs="Arial"/>
          <w:lang w:val="es-MX"/>
        </w:rPr>
      </w:pPr>
      <w:r w:rsidRPr="001C4260">
        <w:rPr>
          <w:rFonts w:ascii="Arial" w:eastAsia="Calibri" w:hAnsi="Arial" w:cs="Arial"/>
          <w:lang w:val="es-MX"/>
        </w:rPr>
        <w:t xml:space="preserve">Bajo este entendimiento </w:t>
      </w:r>
      <w:proofErr w:type="spellStart"/>
      <w:r w:rsidRPr="001C4260">
        <w:rPr>
          <w:rFonts w:ascii="Arial" w:eastAsia="Calibri" w:hAnsi="Arial" w:cs="Arial"/>
          <w:lang w:val="es-MX"/>
        </w:rPr>
        <w:t>principialístico</w:t>
      </w:r>
      <w:proofErr w:type="spellEnd"/>
      <w:r w:rsidRPr="001C4260">
        <w:rPr>
          <w:rFonts w:ascii="Arial" w:eastAsia="Calibri" w:hAnsi="Arial" w:cs="Arial"/>
          <w:lang w:val="es-MX"/>
        </w:rPr>
        <w:t xml:space="preserve">, la inclusión o supresión de expresiones en los formatos y anexos de los documentos tipo no generan </w:t>
      </w:r>
      <w:r w:rsidRPr="001C4260">
        <w:rPr>
          <w:rFonts w:ascii="Arial" w:eastAsia="Calibri" w:hAnsi="Arial" w:cs="Arial"/>
          <w:i/>
          <w:lang w:val="es-MX"/>
        </w:rPr>
        <w:t>per se</w:t>
      </w:r>
      <w:r w:rsidRPr="001C4260">
        <w:rPr>
          <w:rFonts w:ascii="Arial" w:eastAsia="Calibri" w:hAnsi="Arial" w:cs="Arial"/>
          <w:lang w:val="es-MX"/>
        </w:rPr>
        <w:t xml:space="preserve"> un rechazo de la oferta, toda vez que lo importante es que lo expresado en el documento sea necesario dentro del proceso de contratación. Por ello, en aras de garantizar la primacía de lo sustancial sobre lo formal, no podrá rechazarse la oferta por cuestiones formales, ya sea en esta o en los anexos. Así pues, aquellas modificaciones formales en los diferentes formatos y anexos de los documentos no son un argumento suficiente para un rechazo de la oferta, pues lo que debe garantizarse es el principio de selección objetiva y la libre concurrencia de los proponentes. </w:t>
      </w:r>
    </w:p>
    <w:p w14:paraId="35E54E48" w14:textId="77777777" w:rsidR="00345E68" w:rsidRPr="001C4260" w:rsidRDefault="00345E68" w:rsidP="00BA38ED">
      <w:pPr>
        <w:spacing w:after="0"/>
      </w:pPr>
    </w:p>
    <w:p w14:paraId="69FB5749" w14:textId="77777777" w:rsidR="00A816B5" w:rsidRPr="001C4260" w:rsidRDefault="00455DC9" w:rsidP="006835FF">
      <w:pPr>
        <w:tabs>
          <w:tab w:val="left" w:pos="426"/>
        </w:tabs>
        <w:spacing w:afterLines="120" w:after="288"/>
        <w:jc w:val="both"/>
        <w:rPr>
          <w:rFonts w:ascii="Arial" w:eastAsia="Arial" w:hAnsi="Arial" w:cs="Arial"/>
          <w:b/>
          <w:lang w:val="es-MX" w:eastAsia="es-ES_tradnl"/>
        </w:rPr>
      </w:pPr>
      <w:r w:rsidRPr="001C4260">
        <w:rPr>
          <w:rFonts w:ascii="Arial" w:hAnsi="Arial" w:cs="Arial"/>
          <w:b/>
          <w:bCs/>
        </w:rPr>
        <w:t>2.</w:t>
      </w:r>
      <w:r w:rsidR="00230B29" w:rsidRPr="001C4260">
        <w:rPr>
          <w:rFonts w:ascii="Arial" w:hAnsi="Arial" w:cs="Arial"/>
          <w:b/>
          <w:bCs/>
        </w:rPr>
        <w:t>3</w:t>
      </w:r>
      <w:r w:rsidRPr="001C4260">
        <w:rPr>
          <w:rFonts w:ascii="Arial" w:hAnsi="Arial" w:cs="Arial"/>
          <w:b/>
          <w:bCs/>
        </w:rPr>
        <w:t xml:space="preserve">. </w:t>
      </w:r>
      <w:bookmarkStart w:id="4" w:name="_Hlk103265819"/>
      <w:r w:rsidR="00A816B5" w:rsidRPr="001C4260">
        <w:rPr>
          <w:rFonts w:ascii="Arial" w:eastAsia="Calibri" w:hAnsi="Arial" w:cs="Arial"/>
          <w:b/>
          <w:bCs/>
          <w:bdr w:val="none" w:sz="0" w:space="0" w:color="auto" w:frame="1"/>
          <w:lang w:val="es-MX" w:eastAsia="es-CO"/>
        </w:rPr>
        <w:t>Determinación del método de ponderación de la propuesta económica en los procesos regidos por documentos tipo</w:t>
      </w:r>
      <w:bookmarkEnd w:id="4"/>
    </w:p>
    <w:p w14:paraId="6A5082A7" w14:textId="4DA65EED" w:rsidR="00A816B5" w:rsidRPr="001C4260" w:rsidRDefault="00A816B5" w:rsidP="006835FF">
      <w:pPr>
        <w:spacing w:after="0" w:line="276" w:lineRule="auto"/>
        <w:jc w:val="both"/>
        <w:rPr>
          <w:rFonts w:ascii="Arial" w:eastAsia="Calibri" w:hAnsi="Arial" w:cs="Arial"/>
          <w:lang w:val="es-ES_tradnl" w:eastAsia="es-ES"/>
        </w:rPr>
      </w:pPr>
      <w:r w:rsidRPr="001C4260">
        <w:rPr>
          <w:rFonts w:ascii="Arial" w:eastAsia="Calibri" w:hAnsi="Arial" w:cs="Arial"/>
          <w:lang w:val="es-ES_tradnl" w:eastAsia="es-ES"/>
        </w:rPr>
        <w:t xml:space="preserve">Los Documentos Tipo adoptados por esta Agencia han regulado de manera uniforme lo relativo a la determinación del factor que se tendrá en cuenta para determinar el método para la ponderación de las ofertas económicas, </w:t>
      </w:r>
      <w:r w:rsidR="00536884" w:rsidRPr="001C4260">
        <w:rPr>
          <w:rFonts w:ascii="Arial" w:eastAsia="Calibri" w:hAnsi="Arial" w:cs="Arial"/>
          <w:lang w:val="es-ES_tradnl" w:eastAsia="es-ES"/>
        </w:rPr>
        <w:t xml:space="preserve">acudiendo a </w:t>
      </w:r>
      <w:r w:rsidRPr="001C4260">
        <w:rPr>
          <w:rFonts w:ascii="Arial" w:eastAsia="Calibri" w:hAnsi="Arial" w:cs="Arial"/>
          <w:lang w:val="es-ES_tradnl" w:eastAsia="es-ES"/>
        </w:rPr>
        <w:t xml:space="preserve">la Tasa Representativa del Mercado que rija para determinado momento, como la cifra o criterio que definirá uno de los métodos de ponderación de la propuesta establecidos en los documentos tipo. </w:t>
      </w:r>
    </w:p>
    <w:p w14:paraId="2DB13987" w14:textId="77777777" w:rsidR="00A816B5" w:rsidRPr="001C4260" w:rsidRDefault="00A816B5" w:rsidP="00A816B5">
      <w:pPr>
        <w:spacing w:before="120" w:after="120" w:line="276" w:lineRule="auto"/>
        <w:ind w:firstLine="709"/>
        <w:jc w:val="both"/>
        <w:rPr>
          <w:rFonts w:ascii="Arial" w:eastAsia="Calibri" w:hAnsi="Arial" w:cs="Arial"/>
          <w:szCs w:val="24"/>
          <w:lang w:val="es-ES_tradnl" w:eastAsia="es-ES_tradnl"/>
        </w:rPr>
      </w:pPr>
      <w:r w:rsidRPr="001C4260">
        <w:rPr>
          <w:rFonts w:ascii="Arial" w:eastAsia="Calibri" w:hAnsi="Arial" w:cs="Arial"/>
          <w:szCs w:val="24"/>
          <w:lang w:val="es-ES_tradnl" w:eastAsia="es-ES_tradnl"/>
        </w:rPr>
        <w:lastRenderedPageBreak/>
        <w:t>La Tasa de Cambio Representativa del Mercado – TRM «</w:t>
      </w:r>
      <w:r w:rsidRPr="001C4260">
        <w:rPr>
          <w:rFonts w:ascii="Arial" w:eastAsia="Calibri" w:hAnsi="Arial" w:cs="Arial"/>
          <w:szCs w:val="24"/>
          <w:lang w:val="es-MX" w:eastAsia="es-ES_tradnl"/>
        </w:rPr>
        <w:t>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(IMC) entre las 7:30 a.m. y la 1:00 p.m.</w:t>
      </w:r>
      <w:r w:rsidRPr="001C4260">
        <w:rPr>
          <w:rFonts w:ascii="Arial" w:eastAsia="Calibri" w:hAnsi="Arial" w:cs="Arial"/>
          <w:szCs w:val="24"/>
          <w:lang w:val="es-ES_tradnl" w:eastAsia="es-ES_tradnl"/>
        </w:rPr>
        <w:t>»</w:t>
      </w:r>
      <w:r w:rsidRPr="001C4260">
        <w:rPr>
          <w:rFonts w:ascii="Arial" w:eastAsia="Calibri" w:hAnsi="Arial" w:cs="Arial"/>
          <w:szCs w:val="24"/>
          <w:vertAlign w:val="superscript"/>
          <w:lang w:val="es-ES_tradnl" w:eastAsia="es-ES_tradnl"/>
        </w:rPr>
        <w:t xml:space="preserve"> </w:t>
      </w:r>
      <w:r w:rsidRPr="001C4260">
        <w:rPr>
          <w:rFonts w:ascii="Arial" w:eastAsia="Calibri" w:hAnsi="Arial" w:cs="Arial"/>
          <w:szCs w:val="24"/>
          <w:vertAlign w:val="superscript"/>
          <w:lang w:val="es-ES_tradnl" w:eastAsia="es-ES_tradnl"/>
        </w:rPr>
        <w:footnoteReference w:id="9"/>
      </w:r>
      <w:r w:rsidRPr="001C4260">
        <w:rPr>
          <w:rFonts w:ascii="Arial" w:eastAsia="Calibri" w:hAnsi="Arial" w:cs="Arial"/>
          <w:szCs w:val="24"/>
          <w:lang w:val="es-ES_tradnl" w:eastAsia="es-ES_tradnl"/>
        </w:rPr>
        <w:t>, definido por la Superintendencia Financiera, es decir, denota la relación entre la moneda colombiana y el dólar. Por su parte, el Banco de la República ha definido la tasa de cambio representativa del mercado como «la cantidad de pesos colombianos por un dólar de los Estados Unidos</w:t>
      </w:r>
      <w:r w:rsidRPr="001C4260">
        <w:rPr>
          <w:rFonts w:ascii="Arial" w:eastAsia="Calibri" w:hAnsi="Arial" w:cs="Arial"/>
          <w:szCs w:val="24"/>
          <w:vertAlign w:val="superscript"/>
          <w:lang w:val="es-ES_tradnl" w:eastAsia="es-ES_tradnl"/>
        </w:rPr>
        <w:footnoteReference w:id="10"/>
      </w:r>
      <w:r w:rsidRPr="001C4260">
        <w:rPr>
          <w:rFonts w:ascii="Arial" w:eastAsia="Calibri" w:hAnsi="Arial" w:cs="Arial"/>
          <w:szCs w:val="24"/>
          <w:lang w:val="es-ES_tradnl" w:eastAsia="es-ES_tradnl"/>
        </w:rPr>
        <w:t xml:space="preserve">», de donde se despende que la TRM es un valor que se origina en la fluctuación del mercado. </w:t>
      </w:r>
    </w:p>
    <w:p w14:paraId="02F8C95D" w14:textId="1C916822" w:rsidR="00A816B5" w:rsidRPr="001C4260" w:rsidRDefault="00A816B5" w:rsidP="00A816B5">
      <w:pPr>
        <w:spacing w:after="120" w:line="276" w:lineRule="auto"/>
        <w:jc w:val="both"/>
        <w:rPr>
          <w:rFonts w:ascii="Arial" w:eastAsia="Calibri" w:hAnsi="Arial" w:cs="Arial"/>
          <w:szCs w:val="24"/>
          <w:lang w:val="es-ES" w:eastAsia="es-ES_tradnl"/>
        </w:rPr>
      </w:pPr>
      <w:r w:rsidRPr="001C4260">
        <w:rPr>
          <w:rFonts w:ascii="Arial" w:eastAsia="Calibri" w:hAnsi="Arial" w:cs="Arial"/>
          <w:szCs w:val="24"/>
          <w:lang w:val="es-MX" w:eastAsia="es-ES_tradnl"/>
        </w:rPr>
        <w:tab/>
        <w:t xml:space="preserve">La TRM que la entidad usará para el método de ponderación podrá variar </w:t>
      </w:r>
      <w:r w:rsidR="005701DB" w:rsidRPr="001C4260">
        <w:rPr>
          <w:rFonts w:ascii="Arial" w:eastAsia="Calibri" w:hAnsi="Arial" w:cs="Arial"/>
          <w:szCs w:val="24"/>
          <w:lang w:val="es-MX" w:eastAsia="es-ES_tradnl"/>
        </w:rPr>
        <w:t>de acuerdo con el</w:t>
      </w:r>
      <w:r w:rsidRPr="001C4260">
        <w:rPr>
          <w:rFonts w:ascii="Arial" w:eastAsia="Calibri" w:hAnsi="Arial" w:cs="Arial"/>
          <w:szCs w:val="24"/>
          <w:lang w:val="es-MX" w:eastAsia="es-ES_tradnl"/>
        </w:rPr>
        <w:t xml:space="preserve"> proceso de selección regulado en el respectivo Documento Tipo. Así, </w:t>
      </w:r>
      <w:r w:rsidRPr="001C4260">
        <w:rPr>
          <w:rFonts w:ascii="Arial" w:eastAsia="Calibri" w:hAnsi="Arial" w:cs="Arial"/>
          <w:lang w:val="es-MX"/>
        </w:rPr>
        <w:t>los «Documentos Tipo – Versión 3» de licitación de obra de infraestructura de transporte,</w:t>
      </w:r>
      <w:r w:rsidRPr="001C4260">
        <w:rPr>
          <w:rFonts w:ascii="Arial" w:eastAsia="Calibri" w:hAnsi="Arial" w:cs="Arial"/>
          <w:lang w:val="es-MX" w:eastAsia="es-ES_tradnl"/>
        </w:rPr>
        <w:t xml:space="preserve"> establecen en el numeral </w:t>
      </w:r>
      <w:bookmarkStart w:id="5" w:name="_Toc32147369"/>
      <w:bookmarkStart w:id="6" w:name="_Toc84413953"/>
      <w:bookmarkStart w:id="7" w:name="_Hlk511666009"/>
      <w:r w:rsidRPr="001C4260">
        <w:rPr>
          <w:rFonts w:ascii="Arial" w:eastAsia="Calibri" w:hAnsi="Arial" w:cs="Arial"/>
          <w:lang w:eastAsia="es-ES_tradnl"/>
        </w:rPr>
        <w:t>4.1.4. «</w:t>
      </w:r>
      <w:r w:rsidRPr="001C4260">
        <w:rPr>
          <w:rFonts w:ascii="Arial" w:eastAsia="Arial" w:hAnsi="Arial" w:cs="Arial"/>
          <w:lang w:eastAsia="es-ES_tradnl"/>
        </w:rPr>
        <w:t>DETERMINACIÓN DEL MÉTODO PARA LA PONDERACIÓN DE LA PROPUESTA ECONÓMICA</w:t>
      </w:r>
      <w:bookmarkEnd w:id="5"/>
      <w:bookmarkEnd w:id="6"/>
      <w:bookmarkEnd w:id="7"/>
      <w:r w:rsidRPr="001C4260">
        <w:rPr>
          <w:rFonts w:ascii="Arial" w:eastAsia="Arial" w:hAnsi="Arial" w:cs="Arial"/>
          <w:lang w:eastAsia="es-ES_tradnl"/>
        </w:rPr>
        <w:t xml:space="preserve">», que </w:t>
      </w:r>
      <w:r w:rsidRPr="001C4260">
        <w:rPr>
          <w:rFonts w:ascii="Arial" w:eastAsia="Calibri" w:hAnsi="Arial" w:cs="Arial"/>
          <w:szCs w:val="24"/>
          <w:lang w:val="es-ES" w:eastAsia="es-ES_tradnl"/>
        </w:rPr>
        <w:t>l</w:t>
      </w:r>
      <w:r w:rsidRPr="001C4260">
        <w:rPr>
          <w:rFonts w:ascii="Arial" w:eastAsia="Calibri" w:hAnsi="Arial" w:cs="Arial"/>
          <w:szCs w:val="24"/>
          <w:lang w:val="es-MX" w:eastAsia="es-ES_tradnl"/>
        </w:rPr>
        <w:t>a TRM que la entidad usará para definir el método de ponderación será la que rija el día hábil siguiente del día en que efectivamente sea la apertura del segundo sobre, según la publicación hecha por la Superintendencia en horas de la tarde el día de la apertura del segundo sobre</w:t>
      </w:r>
      <w:r w:rsidRPr="001C4260">
        <w:rPr>
          <w:rFonts w:ascii="Arial" w:eastAsia="Calibri" w:hAnsi="Arial" w:cs="Arial"/>
          <w:szCs w:val="24"/>
          <w:lang w:val="es-ES" w:eastAsia="es-ES_tradnl"/>
        </w:rPr>
        <w:t xml:space="preserve">. </w:t>
      </w:r>
    </w:p>
    <w:p w14:paraId="1D5195AE" w14:textId="29DA4756" w:rsidR="00A816B5" w:rsidRPr="001C4260" w:rsidRDefault="00A816B5" w:rsidP="00A816B5">
      <w:pPr>
        <w:spacing w:before="120" w:after="120" w:line="276" w:lineRule="auto"/>
        <w:jc w:val="both"/>
        <w:textAlignment w:val="baseline"/>
        <w:rPr>
          <w:rFonts w:ascii="Arial" w:eastAsia="Times New Roman" w:hAnsi="Arial" w:cs="Arial"/>
          <w:szCs w:val="24"/>
          <w:lang w:val="es-MX" w:eastAsia="es-CO"/>
        </w:rPr>
      </w:pPr>
      <w:r w:rsidRPr="001C4260">
        <w:rPr>
          <w:rFonts w:ascii="Arial" w:eastAsia="Calibri" w:hAnsi="Arial" w:cs="Arial"/>
          <w:szCs w:val="24"/>
          <w:lang w:val="es-ES" w:eastAsia="es-ES_tradnl"/>
        </w:rPr>
        <w:tab/>
        <w:t xml:space="preserve">En efecto, </w:t>
      </w:r>
      <w:r w:rsidRPr="001C4260">
        <w:rPr>
          <w:rFonts w:ascii="Arial" w:eastAsia="Times New Roman" w:hAnsi="Arial" w:cs="Arial"/>
          <w:szCs w:val="24"/>
          <w:lang w:val="es-MX" w:eastAsia="es-CO"/>
        </w:rPr>
        <w:t xml:space="preserve">el numeral 4.1.4 del Documento Base de licitación de obra pública de infraestructura de transporte, </w:t>
      </w:r>
      <w:r w:rsidRPr="001C4260">
        <w:rPr>
          <w:rFonts w:ascii="Arial" w:eastAsia="Calibri" w:hAnsi="Arial" w:cs="Arial"/>
          <w:szCs w:val="24"/>
          <w:lang w:val="es-MX" w:eastAsia="es-ES_tradnl"/>
        </w:rPr>
        <w:t xml:space="preserve">señala los métodos de ponderación de las ofertas económicas presentando 4 alternativas: i) mediana con valor absoluto, </w:t>
      </w:r>
      <w:proofErr w:type="spellStart"/>
      <w:r w:rsidRPr="001C4260">
        <w:rPr>
          <w:rFonts w:ascii="Arial" w:eastAsia="Calibri" w:hAnsi="Arial" w:cs="Arial"/>
          <w:szCs w:val="24"/>
          <w:lang w:val="es-MX" w:eastAsia="es-ES_tradnl"/>
        </w:rPr>
        <w:t>ii</w:t>
      </w:r>
      <w:proofErr w:type="spellEnd"/>
      <w:r w:rsidRPr="001C4260">
        <w:rPr>
          <w:rFonts w:ascii="Arial" w:eastAsia="Calibri" w:hAnsi="Arial" w:cs="Arial"/>
          <w:szCs w:val="24"/>
          <w:lang w:val="es-MX" w:eastAsia="es-ES_tradnl"/>
        </w:rPr>
        <w:t xml:space="preserve">) media geométrica, </w:t>
      </w:r>
      <w:proofErr w:type="spellStart"/>
      <w:r w:rsidRPr="001C4260">
        <w:rPr>
          <w:rFonts w:ascii="Arial" w:eastAsia="Calibri" w:hAnsi="Arial" w:cs="Arial"/>
          <w:szCs w:val="24"/>
          <w:lang w:val="es-MX" w:eastAsia="es-ES_tradnl"/>
        </w:rPr>
        <w:t>iii</w:t>
      </w:r>
      <w:proofErr w:type="spellEnd"/>
      <w:r w:rsidRPr="001C4260">
        <w:rPr>
          <w:rFonts w:ascii="Arial" w:eastAsia="Calibri" w:hAnsi="Arial" w:cs="Arial"/>
          <w:szCs w:val="24"/>
          <w:lang w:val="es-MX" w:eastAsia="es-ES_tradnl"/>
        </w:rPr>
        <w:t xml:space="preserve">) media aritmética baja y </w:t>
      </w:r>
      <w:proofErr w:type="spellStart"/>
      <w:r w:rsidRPr="001C4260">
        <w:rPr>
          <w:rFonts w:ascii="Arial" w:eastAsia="Calibri" w:hAnsi="Arial" w:cs="Arial"/>
          <w:szCs w:val="24"/>
          <w:lang w:val="es-MX" w:eastAsia="es-ES_tradnl"/>
        </w:rPr>
        <w:t>iv</w:t>
      </w:r>
      <w:proofErr w:type="spellEnd"/>
      <w:r w:rsidRPr="001C4260">
        <w:rPr>
          <w:rFonts w:ascii="Arial" w:eastAsia="Calibri" w:hAnsi="Arial" w:cs="Arial"/>
          <w:szCs w:val="24"/>
          <w:lang w:val="es-MX" w:eastAsia="es-ES_tradnl"/>
        </w:rPr>
        <w:t>) menor valor</w:t>
      </w:r>
      <w:r w:rsidRPr="001C4260">
        <w:rPr>
          <w:rFonts w:ascii="Arial" w:eastAsia="Times New Roman" w:hAnsi="Arial" w:cs="Arial"/>
          <w:szCs w:val="24"/>
          <w:lang w:val="es-MX" w:eastAsia="es-CO"/>
        </w:rPr>
        <w:t xml:space="preserve">, las cuales deben aplicarse de manera aleatoria según los centavos de la TRM publicada por la Superintendencia Financiera. Al respecto, el documento base señala lo siguiente: </w:t>
      </w:r>
    </w:p>
    <w:p w14:paraId="5DE80416" w14:textId="77777777" w:rsidR="00A816B5" w:rsidRPr="001C4260" w:rsidRDefault="00A816B5" w:rsidP="00A816B5">
      <w:pPr>
        <w:spacing w:line="240" w:lineRule="auto"/>
        <w:ind w:left="709" w:right="709"/>
        <w:jc w:val="both"/>
        <w:rPr>
          <w:rFonts w:ascii="Arial" w:eastAsia="Calibri" w:hAnsi="Arial" w:cs="Arial"/>
          <w:sz w:val="21"/>
          <w:szCs w:val="21"/>
          <w:lang w:val="es-MX"/>
        </w:rPr>
      </w:pPr>
      <w:r w:rsidRPr="001C4260">
        <w:rPr>
          <w:rFonts w:ascii="Arial" w:eastAsia="Calibri" w:hAnsi="Arial" w:cs="Arial"/>
          <w:sz w:val="21"/>
          <w:szCs w:val="21"/>
          <w:lang w:val="es-MX"/>
        </w:rPr>
        <w:t>La entidad seleccionará el método de ponderación de la propuesta económica de acuerdo con las siguientes alternativas:</w:t>
      </w:r>
    </w:p>
    <w:tbl>
      <w:tblPr>
        <w:tblStyle w:val="Tablaconcuadrcula1"/>
        <w:tblW w:w="0" w:type="auto"/>
        <w:jc w:val="center"/>
        <w:tblLook w:val="04A0" w:firstRow="1" w:lastRow="0" w:firstColumn="1" w:lastColumn="0" w:noHBand="0" w:noVBand="1"/>
      </w:tblPr>
      <w:tblGrid>
        <w:gridCol w:w="1560"/>
        <w:gridCol w:w="1984"/>
      </w:tblGrid>
      <w:tr w:rsidR="001C4260" w:rsidRPr="001C4260" w14:paraId="2F31FB52" w14:textId="77777777" w:rsidTr="00E7438D">
        <w:trPr>
          <w:trHeight w:val="20"/>
          <w:tblHeader/>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vAlign w:val="center"/>
            <w:hideMark/>
          </w:tcPr>
          <w:p w14:paraId="28F1A299" w14:textId="77777777" w:rsidR="00A816B5" w:rsidRPr="001C4260" w:rsidRDefault="00A816B5" w:rsidP="00A816B5">
            <w:pPr>
              <w:spacing w:after="200" w:line="276" w:lineRule="auto"/>
              <w:jc w:val="center"/>
              <w:rPr>
                <w:rFonts w:ascii="Arial" w:hAnsi="Arial" w:cs="Calibri"/>
                <w:b/>
                <w:bCs/>
                <w:sz w:val="21"/>
                <w:szCs w:val="21"/>
                <w:lang w:val="es-MX" w:eastAsia="es-ES_tradnl"/>
              </w:rPr>
            </w:pPr>
            <w:bookmarkStart w:id="8" w:name="_Hlk511666058"/>
            <w:r w:rsidRPr="001C4260">
              <w:rPr>
                <w:rFonts w:ascii="Arial" w:hAnsi="Arial" w:cs="Calibri"/>
                <w:b/>
                <w:bCs/>
                <w:sz w:val="21"/>
                <w:szCs w:val="21"/>
                <w:lang w:val="es-MX" w:eastAsia="es-ES_tradnl"/>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vAlign w:val="center"/>
            <w:hideMark/>
          </w:tcPr>
          <w:p w14:paraId="58F7A2EB" w14:textId="77777777" w:rsidR="00A816B5" w:rsidRPr="001C4260" w:rsidRDefault="00A816B5" w:rsidP="00A816B5">
            <w:pPr>
              <w:spacing w:after="200" w:line="276" w:lineRule="auto"/>
              <w:jc w:val="center"/>
              <w:rPr>
                <w:rFonts w:ascii="Arial" w:hAnsi="Arial" w:cs="Calibri"/>
                <w:b/>
                <w:bCs/>
                <w:sz w:val="21"/>
                <w:szCs w:val="21"/>
                <w:lang w:val="es-MX" w:eastAsia="es-ES_tradnl"/>
              </w:rPr>
            </w:pPr>
            <w:r w:rsidRPr="001C4260">
              <w:rPr>
                <w:rFonts w:ascii="Arial" w:hAnsi="Arial" w:cs="Calibri"/>
                <w:b/>
                <w:bCs/>
                <w:sz w:val="21"/>
                <w:szCs w:val="21"/>
                <w:lang w:val="es-MX" w:eastAsia="es-ES_tradnl"/>
              </w:rPr>
              <w:t>Método</w:t>
            </w:r>
          </w:p>
        </w:tc>
      </w:tr>
      <w:tr w:rsidR="001C4260" w:rsidRPr="001C4260" w14:paraId="6C825F3F" w14:textId="77777777" w:rsidTr="00E7438D">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2B834C7C" w14:textId="77777777" w:rsidR="00A816B5" w:rsidRPr="001C4260" w:rsidRDefault="00A816B5" w:rsidP="00A816B5">
            <w:pPr>
              <w:spacing w:after="200" w:line="276" w:lineRule="auto"/>
              <w:jc w:val="center"/>
              <w:rPr>
                <w:rFonts w:ascii="Arial" w:hAnsi="Arial" w:cs="Calibri"/>
                <w:sz w:val="21"/>
                <w:szCs w:val="21"/>
                <w:lang w:val="es-ES" w:eastAsia="es-ES_tradnl"/>
              </w:rPr>
            </w:pPr>
            <w:r w:rsidRPr="001C4260">
              <w:rPr>
                <w:rFonts w:ascii="Arial" w:hAnsi="Arial" w:cs="Calibri"/>
                <w:sz w:val="21"/>
                <w:szCs w:val="21"/>
                <w:lang w:val="es-ES" w:eastAsia="es-ES_tradnl"/>
              </w:rPr>
              <w:t>1</w:t>
            </w:r>
          </w:p>
        </w:tc>
        <w:tc>
          <w:tcPr>
            <w:tcW w:w="1984" w:type="dxa"/>
            <w:tcBorders>
              <w:top w:val="single" w:sz="4" w:space="0" w:color="auto"/>
              <w:left w:val="single" w:sz="4" w:space="0" w:color="auto"/>
              <w:bottom w:val="single" w:sz="4" w:space="0" w:color="auto"/>
              <w:right w:val="double" w:sz="4" w:space="0" w:color="auto"/>
            </w:tcBorders>
            <w:vAlign w:val="center"/>
            <w:hideMark/>
          </w:tcPr>
          <w:p w14:paraId="671A06C3" w14:textId="77777777" w:rsidR="00A816B5" w:rsidRPr="001C4260" w:rsidRDefault="00A816B5" w:rsidP="00A816B5">
            <w:pPr>
              <w:spacing w:after="200" w:line="276" w:lineRule="auto"/>
              <w:jc w:val="center"/>
              <w:rPr>
                <w:rFonts w:ascii="Arial" w:hAnsi="Arial" w:cs="Calibri"/>
                <w:sz w:val="21"/>
                <w:szCs w:val="21"/>
                <w:lang w:val="es-ES" w:eastAsia="es-ES_tradnl"/>
              </w:rPr>
            </w:pPr>
            <w:r w:rsidRPr="001C4260">
              <w:rPr>
                <w:rFonts w:ascii="Arial" w:hAnsi="Arial" w:cs="Calibri"/>
                <w:sz w:val="21"/>
                <w:szCs w:val="21"/>
                <w:lang w:val="es-ES" w:eastAsia="es-ES_tradnl"/>
              </w:rPr>
              <w:t>Mediana con valor absoluto</w:t>
            </w:r>
          </w:p>
        </w:tc>
      </w:tr>
      <w:tr w:rsidR="001C4260" w:rsidRPr="001C4260" w14:paraId="70500177" w14:textId="77777777" w:rsidTr="00E7438D">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608CF01E" w14:textId="77777777" w:rsidR="00A816B5" w:rsidRPr="001C4260" w:rsidRDefault="00A816B5" w:rsidP="00A816B5">
            <w:pPr>
              <w:spacing w:after="200" w:line="276" w:lineRule="auto"/>
              <w:jc w:val="center"/>
              <w:rPr>
                <w:rFonts w:ascii="Arial" w:hAnsi="Arial" w:cs="Calibri"/>
                <w:sz w:val="21"/>
                <w:szCs w:val="21"/>
                <w:lang w:val="es-ES" w:eastAsia="es-ES_tradnl"/>
              </w:rPr>
            </w:pPr>
            <w:r w:rsidRPr="001C4260">
              <w:rPr>
                <w:rFonts w:ascii="Arial" w:hAnsi="Arial" w:cs="Calibri"/>
                <w:sz w:val="21"/>
                <w:szCs w:val="21"/>
                <w:lang w:val="es-ES" w:eastAsia="es-ES_tradnl"/>
              </w:rPr>
              <w:t>2</w:t>
            </w:r>
          </w:p>
        </w:tc>
        <w:tc>
          <w:tcPr>
            <w:tcW w:w="1984" w:type="dxa"/>
            <w:tcBorders>
              <w:top w:val="single" w:sz="4" w:space="0" w:color="auto"/>
              <w:left w:val="single" w:sz="4" w:space="0" w:color="auto"/>
              <w:bottom w:val="single" w:sz="4" w:space="0" w:color="auto"/>
              <w:right w:val="double" w:sz="4" w:space="0" w:color="auto"/>
            </w:tcBorders>
            <w:vAlign w:val="center"/>
            <w:hideMark/>
          </w:tcPr>
          <w:p w14:paraId="19E48F09" w14:textId="77777777" w:rsidR="00A816B5" w:rsidRPr="001C4260" w:rsidRDefault="00A816B5" w:rsidP="00A816B5">
            <w:pPr>
              <w:spacing w:after="200" w:line="276" w:lineRule="auto"/>
              <w:jc w:val="center"/>
              <w:rPr>
                <w:rFonts w:ascii="Arial" w:hAnsi="Arial" w:cs="Calibri"/>
                <w:sz w:val="21"/>
                <w:szCs w:val="21"/>
                <w:lang w:val="es-ES" w:eastAsia="es-ES_tradnl"/>
              </w:rPr>
            </w:pPr>
            <w:r w:rsidRPr="001C4260">
              <w:rPr>
                <w:rFonts w:ascii="Arial" w:hAnsi="Arial" w:cs="Calibri"/>
                <w:sz w:val="21"/>
                <w:szCs w:val="21"/>
                <w:lang w:val="es-ES" w:eastAsia="es-ES_tradnl"/>
              </w:rPr>
              <w:t>Media geométrica</w:t>
            </w:r>
          </w:p>
        </w:tc>
      </w:tr>
      <w:tr w:rsidR="001C4260" w:rsidRPr="001C4260" w14:paraId="11D586DE" w14:textId="77777777" w:rsidTr="00E7438D">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48553115" w14:textId="77777777" w:rsidR="00A816B5" w:rsidRPr="001C4260" w:rsidRDefault="00A816B5" w:rsidP="00A816B5">
            <w:pPr>
              <w:spacing w:after="200" w:line="276" w:lineRule="auto"/>
              <w:jc w:val="center"/>
              <w:rPr>
                <w:rFonts w:ascii="Arial" w:hAnsi="Arial" w:cs="Calibri"/>
                <w:sz w:val="21"/>
                <w:szCs w:val="21"/>
                <w:lang w:val="es-ES" w:eastAsia="es-ES_tradnl"/>
              </w:rPr>
            </w:pPr>
            <w:r w:rsidRPr="001C4260">
              <w:rPr>
                <w:rFonts w:ascii="Arial" w:hAnsi="Arial" w:cs="Calibri"/>
                <w:sz w:val="21"/>
                <w:szCs w:val="21"/>
                <w:lang w:val="es-ES" w:eastAsia="es-ES_tradnl"/>
              </w:rPr>
              <w:t>3</w:t>
            </w:r>
          </w:p>
        </w:tc>
        <w:tc>
          <w:tcPr>
            <w:tcW w:w="1984" w:type="dxa"/>
            <w:tcBorders>
              <w:top w:val="single" w:sz="4" w:space="0" w:color="auto"/>
              <w:left w:val="single" w:sz="4" w:space="0" w:color="auto"/>
              <w:bottom w:val="single" w:sz="4" w:space="0" w:color="auto"/>
              <w:right w:val="double" w:sz="4" w:space="0" w:color="auto"/>
            </w:tcBorders>
            <w:vAlign w:val="center"/>
          </w:tcPr>
          <w:p w14:paraId="0748E067" w14:textId="77777777" w:rsidR="00A816B5" w:rsidRPr="001C4260" w:rsidRDefault="00A816B5" w:rsidP="00A816B5">
            <w:pPr>
              <w:spacing w:after="200" w:line="276" w:lineRule="auto"/>
              <w:jc w:val="center"/>
              <w:rPr>
                <w:rFonts w:ascii="Arial" w:hAnsi="Arial" w:cs="Calibri"/>
                <w:sz w:val="21"/>
                <w:szCs w:val="21"/>
                <w:lang w:val="es-ES" w:eastAsia="es-ES_tradnl"/>
              </w:rPr>
            </w:pPr>
            <w:r w:rsidRPr="001C4260">
              <w:rPr>
                <w:rFonts w:ascii="Arial" w:hAnsi="Arial" w:cs="Calibri"/>
                <w:sz w:val="21"/>
                <w:szCs w:val="21"/>
                <w:lang w:val="es-ES" w:eastAsia="es-ES_tradnl"/>
              </w:rPr>
              <w:t>Media aritmética baja</w:t>
            </w:r>
          </w:p>
        </w:tc>
      </w:tr>
      <w:tr w:rsidR="00A816B5" w:rsidRPr="001C4260" w14:paraId="4B274CD2" w14:textId="77777777" w:rsidTr="00E7438D">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tcPr>
          <w:p w14:paraId="47A3B602" w14:textId="77777777" w:rsidR="00A816B5" w:rsidRPr="001C4260" w:rsidRDefault="00A816B5" w:rsidP="00A816B5">
            <w:pPr>
              <w:spacing w:after="200" w:line="276" w:lineRule="auto"/>
              <w:jc w:val="center"/>
              <w:rPr>
                <w:rFonts w:ascii="Arial" w:hAnsi="Arial" w:cs="Calibri"/>
                <w:sz w:val="21"/>
                <w:szCs w:val="21"/>
                <w:lang w:val="es-ES" w:eastAsia="es-ES_tradnl"/>
              </w:rPr>
            </w:pPr>
            <w:r w:rsidRPr="001C4260">
              <w:rPr>
                <w:rFonts w:ascii="Arial" w:hAnsi="Arial" w:cs="Calibri"/>
                <w:sz w:val="21"/>
                <w:szCs w:val="21"/>
                <w:lang w:val="es-ES" w:eastAsia="es-ES_tradnl"/>
              </w:rPr>
              <w:lastRenderedPageBreak/>
              <w:t>4</w:t>
            </w:r>
          </w:p>
        </w:tc>
        <w:tc>
          <w:tcPr>
            <w:tcW w:w="1984" w:type="dxa"/>
            <w:tcBorders>
              <w:top w:val="single" w:sz="4" w:space="0" w:color="auto"/>
              <w:left w:val="single" w:sz="4" w:space="0" w:color="auto"/>
              <w:bottom w:val="double" w:sz="4" w:space="0" w:color="auto"/>
              <w:right w:val="double" w:sz="4" w:space="0" w:color="auto"/>
            </w:tcBorders>
            <w:vAlign w:val="center"/>
          </w:tcPr>
          <w:p w14:paraId="6E8A4FE1" w14:textId="77777777" w:rsidR="00A816B5" w:rsidRPr="001C4260" w:rsidRDefault="00A816B5" w:rsidP="00A816B5">
            <w:pPr>
              <w:spacing w:after="200" w:line="276" w:lineRule="auto"/>
              <w:jc w:val="center"/>
              <w:rPr>
                <w:rFonts w:ascii="Arial" w:hAnsi="Arial" w:cs="Calibri"/>
                <w:sz w:val="21"/>
                <w:szCs w:val="21"/>
                <w:lang w:val="es-ES" w:eastAsia="es-ES_tradnl"/>
              </w:rPr>
            </w:pPr>
            <w:r w:rsidRPr="001C4260">
              <w:rPr>
                <w:rFonts w:ascii="Arial" w:hAnsi="Arial" w:cs="Calibri"/>
                <w:sz w:val="21"/>
                <w:szCs w:val="21"/>
                <w:lang w:val="es-ES" w:eastAsia="es-ES_tradnl"/>
              </w:rPr>
              <w:t>Menor valor</w:t>
            </w:r>
          </w:p>
        </w:tc>
      </w:tr>
      <w:bookmarkEnd w:id="8"/>
    </w:tbl>
    <w:p w14:paraId="3DBAE549" w14:textId="77777777" w:rsidR="00A816B5" w:rsidRPr="001C4260" w:rsidRDefault="00A816B5" w:rsidP="00A816B5">
      <w:pPr>
        <w:jc w:val="both"/>
        <w:rPr>
          <w:rFonts w:ascii="Arial" w:eastAsia="Calibri" w:hAnsi="Arial" w:cs="Arial"/>
          <w:sz w:val="21"/>
          <w:szCs w:val="21"/>
          <w:lang w:val="es-MX"/>
        </w:rPr>
      </w:pPr>
    </w:p>
    <w:p w14:paraId="45FB08EC" w14:textId="77777777" w:rsidR="00A816B5" w:rsidRPr="001C4260" w:rsidRDefault="00A816B5" w:rsidP="00A816B5">
      <w:pPr>
        <w:spacing w:line="240" w:lineRule="auto"/>
        <w:ind w:left="709" w:right="709"/>
        <w:jc w:val="both"/>
        <w:rPr>
          <w:rFonts w:ascii="Arial" w:eastAsia="Calibri" w:hAnsi="Arial" w:cs="Arial"/>
          <w:sz w:val="21"/>
          <w:szCs w:val="21"/>
          <w:lang w:val="es-MX"/>
        </w:rPr>
      </w:pPr>
      <w:r w:rsidRPr="001C4260">
        <w:rPr>
          <w:rFonts w:ascii="Arial" w:eastAsia="Calibri" w:hAnsi="Arial" w:cs="Arial"/>
          <w:sz w:val="21"/>
          <w:szCs w:val="21"/>
          <w:lang w:val="es-MX"/>
        </w:rPr>
        <w:t>Para determinar el método de ponderación, la entidad tomará los centavos de la Tasa de Cambio Representativa del Mercado (TRM), certificada por la Superintendencia Financiera de Colombia (en su sitio web: https://www.superfinanciera.gov.co/publicacion/60819).</w:t>
      </w:r>
    </w:p>
    <w:p w14:paraId="4A9212AF" w14:textId="77777777" w:rsidR="00A816B5" w:rsidRPr="001C4260" w:rsidRDefault="00A816B5" w:rsidP="00A816B5">
      <w:pPr>
        <w:spacing w:line="240" w:lineRule="auto"/>
        <w:ind w:left="709" w:right="709"/>
        <w:jc w:val="both"/>
        <w:rPr>
          <w:rFonts w:ascii="Arial" w:eastAsia="Calibri" w:hAnsi="Arial" w:cs="Arial"/>
          <w:sz w:val="21"/>
          <w:szCs w:val="21"/>
          <w:lang w:val="es-MX"/>
        </w:rPr>
      </w:pPr>
      <w:r w:rsidRPr="001C4260">
        <w:rPr>
          <w:rFonts w:ascii="Arial" w:eastAsia="Calibri" w:hAnsi="Arial" w:cs="Arial"/>
          <w:sz w:val="21"/>
          <w:szCs w:val="21"/>
          <w:lang w:val="es-MX"/>
        </w:rPr>
        <w:t xml:space="preserve">El día de la audiencia efectiva de adjudicación, la entidad iniciará respondiendo y resolviendo las observaciones presentadas al informe de evaluación, de conformidad con el numeral 2.6. Acto seguido, la entidad iniciará la apertura de los sobres de las ofertas económicas y definirá el método de ponderación de las propuestas de acuerdo con la TRM que rija al día hábil siguiente; sin embargo, la entidad debe finalizar la apertura de los sobres económicos hasta antes de las 3:00 pm. De conformidad con lo anterior, la entidad no podrá abrir los sobres económicos teniendo conocimiento de la TRM que regirá al día hábil siguiente. En este sentido, atendiendo a las circunstancias anteriores y las particularidades de cada caso, la entidad podrá optar por suspender la audiencia y reiniciarla cuando lo considere conveniente, de manera que inicie y finalice la apertura de los sobres antes de las 3:00 pm del día respectivo. </w:t>
      </w:r>
    </w:p>
    <w:p w14:paraId="60E3B251" w14:textId="77777777" w:rsidR="00A816B5" w:rsidRPr="001C4260" w:rsidRDefault="00A816B5" w:rsidP="00A816B5">
      <w:pPr>
        <w:spacing w:line="240" w:lineRule="auto"/>
        <w:ind w:left="709" w:right="709"/>
        <w:jc w:val="both"/>
        <w:rPr>
          <w:rFonts w:ascii="Arial" w:eastAsia="Calibri" w:hAnsi="Arial" w:cs="Arial"/>
          <w:sz w:val="21"/>
          <w:szCs w:val="21"/>
          <w:lang w:val="es-MX"/>
        </w:rPr>
      </w:pPr>
      <w:r w:rsidRPr="001C4260">
        <w:rPr>
          <w:rFonts w:ascii="Arial" w:eastAsia="Calibri" w:hAnsi="Arial" w:cs="Arial"/>
          <w:sz w:val="21"/>
          <w:szCs w:val="21"/>
          <w:lang w:val="es-MX"/>
        </w:rPr>
        <w:t>[…]</w:t>
      </w:r>
    </w:p>
    <w:p w14:paraId="1A3CB91A" w14:textId="77777777" w:rsidR="00A816B5" w:rsidRPr="001C4260" w:rsidRDefault="00A816B5" w:rsidP="00A816B5">
      <w:pPr>
        <w:spacing w:line="240" w:lineRule="auto"/>
        <w:ind w:left="709" w:right="709"/>
        <w:jc w:val="both"/>
        <w:rPr>
          <w:rFonts w:ascii="Arial" w:eastAsia="Calibri" w:hAnsi="Arial" w:cs="Arial"/>
          <w:sz w:val="21"/>
          <w:szCs w:val="21"/>
          <w:lang w:val="es-MX"/>
        </w:rPr>
      </w:pPr>
      <w:r w:rsidRPr="001C4260">
        <w:rPr>
          <w:rFonts w:ascii="Arial" w:eastAsia="Calibri" w:hAnsi="Arial" w:cs="Arial"/>
          <w:sz w:val="21"/>
          <w:szCs w:val="21"/>
          <w:lang w:val="es-MX"/>
        </w:rPr>
        <w:t xml:space="preserve">Para mayor claridad y, de acuerdo con lo indicado, </w:t>
      </w:r>
      <w:r w:rsidRPr="001C4260">
        <w:rPr>
          <w:rFonts w:ascii="Arial" w:eastAsia="Calibri" w:hAnsi="Arial" w:cs="Arial"/>
          <w:i/>
          <w:iCs/>
          <w:sz w:val="21"/>
          <w:szCs w:val="21"/>
          <w:lang w:val="es-MX"/>
        </w:rPr>
        <w:t>la TRM que la entidad utilizará para determinar el método de ponderación será la que rija el día hábil siguiente del día en que efectivamente sea la apertura del segundo sobre. Esto es, la que la Superintendencia Financiera publique en horas de la tarde el día de la apertura del segundo sobre</w:t>
      </w:r>
      <w:r w:rsidRPr="001C4260">
        <w:rPr>
          <w:rFonts w:ascii="Arial" w:eastAsia="Calibri" w:hAnsi="Arial" w:cs="Arial"/>
          <w:sz w:val="21"/>
          <w:szCs w:val="21"/>
          <w:lang w:val="es-MX"/>
        </w:rPr>
        <w:t xml:space="preserve">. </w:t>
      </w:r>
      <w:r w:rsidRPr="001C4260">
        <w:rPr>
          <w:rFonts w:ascii="Arial" w:eastAsia="Calibri" w:hAnsi="Arial" w:cs="Arial"/>
          <w:sz w:val="21"/>
          <w:szCs w:val="21"/>
          <w:highlight w:val="lightGray"/>
          <w:lang w:val="es-MX"/>
        </w:rPr>
        <w:t>[Por ejemplo, si la audiencia de adjudicación se realiza el 10 de febrero de 2020 y ese mismo día se abre el segundo sobre, la TRM que se usará para determinar el método de evaluación será la del 11 de febrero de 2020, que se publica en la tarde del 10 de febrero de 2020]</w:t>
      </w:r>
      <w:r w:rsidRPr="001C4260">
        <w:rPr>
          <w:rFonts w:ascii="Arial" w:eastAsia="Calibri" w:hAnsi="Arial" w:cs="Arial"/>
          <w:sz w:val="21"/>
          <w:szCs w:val="21"/>
          <w:lang w:val="es-MX"/>
        </w:rPr>
        <w:t xml:space="preserve">. </w:t>
      </w:r>
    </w:p>
    <w:p w14:paraId="2695CE99" w14:textId="77777777" w:rsidR="00A816B5" w:rsidRPr="001C4260" w:rsidRDefault="00A816B5" w:rsidP="00A816B5">
      <w:pPr>
        <w:spacing w:line="240" w:lineRule="auto"/>
        <w:ind w:left="709" w:right="709"/>
        <w:jc w:val="both"/>
        <w:rPr>
          <w:rFonts w:ascii="Arial" w:eastAsia="Calibri" w:hAnsi="Arial" w:cs="Arial"/>
          <w:sz w:val="21"/>
          <w:szCs w:val="21"/>
          <w:lang w:val="es-MX"/>
        </w:rPr>
      </w:pPr>
      <w:r w:rsidRPr="001C4260">
        <w:rPr>
          <w:rFonts w:ascii="Arial" w:eastAsia="Calibri" w:hAnsi="Arial" w:cs="Arial"/>
          <w:sz w:val="21"/>
          <w:szCs w:val="21"/>
          <w:lang w:val="es-MX"/>
        </w:rPr>
        <w:t>El método de ponderación se determinará de acuerdo con los rangos del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1010"/>
        <w:gridCol w:w="2503"/>
      </w:tblGrid>
      <w:tr w:rsidR="001C4260" w:rsidRPr="001C4260" w14:paraId="75A2F2B0" w14:textId="77777777" w:rsidTr="00E7438D">
        <w:trPr>
          <w:trHeight w:val="20"/>
          <w:tblHeader/>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vAlign w:val="center"/>
            <w:hideMark/>
          </w:tcPr>
          <w:p w14:paraId="5C23873E" w14:textId="77777777" w:rsidR="00A816B5" w:rsidRPr="001C4260" w:rsidRDefault="00A816B5" w:rsidP="00A816B5">
            <w:pPr>
              <w:spacing w:after="0" w:line="240" w:lineRule="auto"/>
              <w:jc w:val="center"/>
              <w:rPr>
                <w:rFonts w:ascii="Arial" w:eastAsia="Arial,Calibri" w:hAnsi="Arial" w:cs="Arial"/>
                <w:b/>
                <w:bCs/>
                <w:sz w:val="21"/>
                <w:szCs w:val="21"/>
              </w:rPr>
            </w:pPr>
            <w:r w:rsidRPr="001C4260">
              <w:rPr>
                <w:rFonts w:ascii="Arial" w:eastAsia="Calibri" w:hAnsi="Arial" w:cs="Arial"/>
                <w:b/>
                <w:bCs/>
                <w:sz w:val="21"/>
                <w:szCs w:val="21"/>
              </w:rPr>
              <w:t>Rango</w:t>
            </w:r>
            <w:r w:rsidRPr="001C4260">
              <w:rPr>
                <w:rFonts w:ascii="Arial" w:eastAsia="Arial,Calibri" w:hAnsi="Arial" w:cs="Arial"/>
                <w:b/>
                <w:bCs/>
                <w:sz w:val="21"/>
                <w:szCs w:val="21"/>
              </w:rPr>
              <w:t xml:space="preserve"> </w:t>
            </w:r>
            <w:r w:rsidRPr="001C4260">
              <w:rPr>
                <w:rFonts w:ascii="Arial" w:eastAsia="Calibri" w:hAnsi="Arial" w:cs="Arial"/>
                <w:b/>
                <w:bCs/>
                <w:sz w:val="21"/>
                <w:szCs w:val="21"/>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vAlign w:val="center"/>
            <w:hideMark/>
          </w:tcPr>
          <w:p w14:paraId="5A08302F" w14:textId="77777777" w:rsidR="00A816B5" w:rsidRPr="001C4260" w:rsidRDefault="00A816B5" w:rsidP="00A816B5">
            <w:pPr>
              <w:spacing w:after="0" w:line="240" w:lineRule="auto"/>
              <w:jc w:val="center"/>
              <w:rPr>
                <w:rFonts w:ascii="Arial" w:eastAsia="Arial,Calibri" w:hAnsi="Arial" w:cs="Arial"/>
                <w:b/>
                <w:bCs/>
                <w:sz w:val="21"/>
                <w:szCs w:val="21"/>
              </w:rPr>
            </w:pPr>
            <w:r w:rsidRPr="001C4260">
              <w:rPr>
                <w:rFonts w:ascii="Arial" w:eastAsia="Calibri" w:hAnsi="Arial" w:cs="Arial"/>
                <w:b/>
                <w:bCs/>
                <w:sz w:val="21"/>
                <w:szCs w:val="21"/>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vAlign w:val="center"/>
            <w:hideMark/>
          </w:tcPr>
          <w:p w14:paraId="072D730A" w14:textId="77777777" w:rsidR="00A816B5" w:rsidRPr="001C4260" w:rsidRDefault="00A816B5" w:rsidP="00A816B5">
            <w:pPr>
              <w:spacing w:after="0" w:line="240" w:lineRule="auto"/>
              <w:jc w:val="center"/>
              <w:rPr>
                <w:rFonts w:ascii="Arial" w:eastAsia="Arial,Calibri" w:hAnsi="Arial" w:cs="Arial"/>
                <w:b/>
                <w:bCs/>
                <w:sz w:val="21"/>
                <w:szCs w:val="21"/>
              </w:rPr>
            </w:pPr>
            <w:r w:rsidRPr="001C4260">
              <w:rPr>
                <w:rFonts w:ascii="Arial" w:eastAsia="Calibri" w:hAnsi="Arial" w:cs="Arial"/>
                <w:b/>
                <w:bCs/>
                <w:sz w:val="21"/>
                <w:szCs w:val="21"/>
              </w:rPr>
              <w:t>Método</w:t>
            </w:r>
          </w:p>
        </w:tc>
      </w:tr>
      <w:tr w:rsidR="001C4260" w:rsidRPr="001C4260" w14:paraId="0C96E3EC" w14:textId="77777777" w:rsidTr="00E7438D">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074542A7" w14:textId="77777777" w:rsidR="00A816B5" w:rsidRPr="001C4260" w:rsidRDefault="00A816B5" w:rsidP="00A816B5">
            <w:pPr>
              <w:spacing w:after="0" w:line="240" w:lineRule="auto"/>
              <w:jc w:val="center"/>
              <w:rPr>
                <w:rFonts w:ascii="Arial" w:eastAsia="Calibri" w:hAnsi="Arial" w:cs="Arial"/>
                <w:sz w:val="21"/>
                <w:szCs w:val="21"/>
                <w:lang w:val="es-ES" w:eastAsia="es-CO"/>
              </w:rPr>
            </w:pPr>
            <w:r w:rsidRPr="001C4260">
              <w:rPr>
                <w:rFonts w:ascii="Arial" w:eastAsia="Calibri" w:hAnsi="Arial" w:cs="Arial"/>
                <w:sz w:val="21"/>
                <w:szCs w:val="21"/>
                <w:lang w:val="es-ES"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071AA5C3" w14:textId="77777777" w:rsidR="00A816B5" w:rsidRPr="001C4260" w:rsidRDefault="00A816B5" w:rsidP="00A816B5">
            <w:pPr>
              <w:spacing w:after="0" w:line="240" w:lineRule="auto"/>
              <w:jc w:val="center"/>
              <w:rPr>
                <w:rFonts w:ascii="Arial" w:eastAsia="Arial,Times New Roman" w:hAnsi="Arial" w:cs="Arial"/>
                <w:sz w:val="21"/>
                <w:szCs w:val="21"/>
                <w:lang w:val="es-ES" w:eastAsia="es-CO"/>
              </w:rPr>
            </w:pPr>
            <w:r w:rsidRPr="001C4260">
              <w:rPr>
                <w:rFonts w:ascii="Arial" w:eastAsia="Calibri" w:hAnsi="Arial" w:cs="Arial"/>
                <w:sz w:val="21"/>
                <w:szCs w:val="21"/>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2455D9F2" w14:textId="77777777" w:rsidR="00A816B5" w:rsidRPr="001C4260" w:rsidRDefault="00A816B5" w:rsidP="00A816B5">
            <w:pPr>
              <w:spacing w:after="0" w:line="240" w:lineRule="auto"/>
              <w:jc w:val="center"/>
              <w:rPr>
                <w:rFonts w:ascii="Arial" w:eastAsia="Arial,Times New Roman" w:hAnsi="Arial" w:cs="Arial"/>
                <w:sz w:val="21"/>
                <w:szCs w:val="21"/>
                <w:lang w:val="es-ES" w:eastAsia="es-CO"/>
              </w:rPr>
            </w:pPr>
            <w:r w:rsidRPr="001C4260">
              <w:rPr>
                <w:rFonts w:ascii="Arial" w:eastAsia="Calibri" w:hAnsi="Arial" w:cs="Arial"/>
                <w:sz w:val="21"/>
                <w:szCs w:val="21"/>
                <w:lang w:val="es-ES" w:eastAsia="es-CO"/>
              </w:rPr>
              <w:t>Mediana con valor absoluto</w:t>
            </w:r>
          </w:p>
        </w:tc>
      </w:tr>
      <w:tr w:rsidR="001C4260" w:rsidRPr="001C4260" w14:paraId="53759234" w14:textId="77777777" w:rsidTr="00E7438D">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13B28165" w14:textId="77777777" w:rsidR="00A816B5" w:rsidRPr="001C4260" w:rsidRDefault="00A816B5" w:rsidP="00A816B5">
            <w:pPr>
              <w:spacing w:after="0" w:line="240" w:lineRule="auto"/>
              <w:jc w:val="center"/>
              <w:rPr>
                <w:rFonts w:ascii="Arial" w:eastAsia="Calibri" w:hAnsi="Arial" w:cs="Arial"/>
                <w:sz w:val="21"/>
                <w:szCs w:val="21"/>
                <w:lang w:val="es-ES" w:eastAsia="es-CO"/>
              </w:rPr>
            </w:pPr>
            <w:r w:rsidRPr="001C4260">
              <w:rPr>
                <w:rFonts w:ascii="Arial" w:eastAsia="Calibri" w:hAnsi="Arial" w:cs="Arial"/>
                <w:sz w:val="21"/>
                <w:szCs w:val="21"/>
                <w:lang w:val="es-ES"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421ABD0F" w14:textId="77777777" w:rsidR="00A816B5" w:rsidRPr="001C4260" w:rsidRDefault="00A816B5" w:rsidP="00A816B5">
            <w:pPr>
              <w:spacing w:after="0" w:line="240" w:lineRule="auto"/>
              <w:jc w:val="center"/>
              <w:rPr>
                <w:rFonts w:ascii="Arial" w:eastAsia="Arial,Times New Roman" w:hAnsi="Arial" w:cs="Arial"/>
                <w:sz w:val="21"/>
                <w:szCs w:val="21"/>
                <w:lang w:val="es-ES" w:eastAsia="es-CO"/>
              </w:rPr>
            </w:pPr>
            <w:r w:rsidRPr="001C4260">
              <w:rPr>
                <w:rFonts w:ascii="Arial" w:eastAsia="Arial,Times New Roman" w:hAnsi="Arial" w:cs="Arial"/>
                <w:sz w:val="21"/>
                <w:szCs w:val="21"/>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16D3B93A" w14:textId="77777777" w:rsidR="00A816B5" w:rsidRPr="001C4260" w:rsidRDefault="00A816B5" w:rsidP="00A816B5">
            <w:pPr>
              <w:spacing w:after="0" w:line="240" w:lineRule="auto"/>
              <w:jc w:val="center"/>
              <w:rPr>
                <w:rFonts w:ascii="Arial" w:eastAsia="Arial,Times New Roman" w:hAnsi="Arial" w:cs="Arial"/>
                <w:sz w:val="21"/>
                <w:szCs w:val="21"/>
                <w:lang w:val="es-ES" w:eastAsia="es-CO"/>
              </w:rPr>
            </w:pPr>
            <w:r w:rsidRPr="001C4260">
              <w:rPr>
                <w:rFonts w:ascii="Arial" w:eastAsia="Calibri" w:hAnsi="Arial" w:cs="Arial"/>
                <w:sz w:val="21"/>
                <w:szCs w:val="21"/>
                <w:lang w:val="es-ES" w:eastAsia="es-CO"/>
              </w:rPr>
              <w:t>Media geométrica</w:t>
            </w:r>
          </w:p>
        </w:tc>
      </w:tr>
      <w:tr w:rsidR="001C4260" w:rsidRPr="001C4260" w14:paraId="220B8BD6" w14:textId="77777777" w:rsidTr="00E7438D">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6076AE34" w14:textId="77777777" w:rsidR="00A816B5" w:rsidRPr="001C4260" w:rsidRDefault="00A816B5" w:rsidP="00A816B5">
            <w:pPr>
              <w:spacing w:after="0" w:line="240" w:lineRule="auto"/>
              <w:jc w:val="center"/>
              <w:rPr>
                <w:rFonts w:ascii="Arial" w:eastAsia="Calibri" w:hAnsi="Arial" w:cs="Arial"/>
                <w:sz w:val="21"/>
                <w:szCs w:val="21"/>
                <w:lang w:val="es-ES" w:eastAsia="es-CO"/>
              </w:rPr>
            </w:pPr>
            <w:r w:rsidRPr="001C4260">
              <w:rPr>
                <w:rFonts w:ascii="Arial" w:eastAsia="Calibri" w:hAnsi="Arial" w:cs="Arial"/>
                <w:sz w:val="21"/>
                <w:szCs w:val="21"/>
                <w:lang w:val="es-ES"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4405EE83" w14:textId="77777777" w:rsidR="00A816B5" w:rsidRPr="001C4260" w:rsidRDefault="00A816B5" w:rsidP="00A816B5">
            <w:pPr>
              <w:spacing w:after="0" w:line="240" w:lineRule="auto"/>
              <w:jc w:val="center"/>
              <w:rPr>
                <w:rFonts w:ascii="Arial" w:eastAsia="Calibri" w:hAnsi="Arial" w:cs="Arial"/>
                <w:sz w:val="21"/>
                <w:szCs w:val="21"/>
                <w:lang w:val="es-ES" w:eastAsia="es-CO"/>
              </w:rPr>
            </w:pPr>
            <w:r w:rsidRPr="001C4260">
              <w:rPr>
                <w:rFonts w:ascii="Arial" w:eastAsia="Calibri" w:hAnsi="Arial" w:cs="Arial"/>
                <w:sz w:val="21"/>
                <w:szCs w:val="21"/>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329BE777" w14:textId="77777777" w:rsidR="00A816B5" w:rsidRPr="001C4260" w:rsidRDefault="00A816B5" w:rsidP="00A816B5">
            <w:pPr>
              <w:spacing w:after="0" w:line="240" w:lineRule="auto"/>
              <w:jc w:val="center"/>
              <w:rPr>
                <w:rFonts w:ascii="Arial" w:eastAsia="Calibri" w:hAnsi="Arial" w:cs="Arial"/>
                <w:sz w:val="21"/>
                <w:szCs w:val="21"/>
                <w:lang w:val="es-ES" w:eastAsia="es-CO"/>
              </w:rPr>
            </w:pPr>
            <w:r w:rsidRPr="001C4260">
              <w:rPr>
                <w:rFonts w:ascii="Arial" w:eastAsia="Calibri" w:hAnsi="Arial" w:cs="Arial"/>
                <w:sz w:val="21"/>
                <w:szCs w:val="21"/>
                <w:lang w:val="es-ES" w:eastAsia="es-CO"/>
              </w:rPr>
              <w:t>Media aritmética baja</w:t>
            </w:r>
          </w:p>
        </w:tc>
      </w:tr>
      <w:tr w:rsidR="00A816B5" w:rsidRPr="001C4260" w14:paraId="26AA7D49" w14:textId="77777777" w:rsidTr="00E7438D">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30004EC9" w14:textId="77777777" w:rsidR="00A816B5" w:rsidRPr="001C4260" w:rsidRDefault="00A816B5" w:rsidP="00A816B5">
            <w:pPr>
              <w:spacing w:after="0" w:line="240" w:lineRule="auto"/>
              <w:jc w:val="center"/>
              <w:rPr>
                <w:rFonts w:ascii="Arial" w:eastAsia="Calibri" w:hAnsi="Arial" w:cs="Arial"/>
                <w:sz w:val="21"/>
                <w:szCs w:val="21"/>
                <w:lang w:val="es-ES" w:eastAsia="es-CO"/>
              </w:rPr>
            </w:pPr>
            <w:r w:rsidRPr="001C4260">
              <w:rPr>
                <w:rFonts w:ascii="Arial" w:eastAsia="Calibri" w:hAnsi="Arial" w:cs="Arial"/>
                <w:sz w:val="21"/>
                <w:szCs w:val="21"/>
                <w:lang w:val="es-ES"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16DB37C9" w14:textId="77777777" w:rsidR="00A816B5" w:rsidRPr="001C4260" w:rsidRDefault="00A816B5" w:rsidP="00A816B5">
            <w:pPr>
              <w:spacing w:after="0" w:line="240" w:lineRule="auto"/>
              <w:jc w:val="center"/>
              <w:rPr>
                <w:rFonts w:ascii="Arial" w:eastAsia="Calibri" w:hAnsi="Arial" w:cs="Arial"/>
                <w:sz w:val="21"/>
                <w:szCs w:val="21"/>
                <w:lang w:val="es-ES" w:eastAsia="es-CO"/>
              </w:rPr>
            </w:pPr>
            <w:r w:rsidRPr="001C4260">
              <w:rPr>
                <w:rFonts w:ascii="Arial" w:eastAsia="Calibri" w:hAnsi="Arial" w:cs="Arial"/>
                <w:sz w:val="21"/>
                <w:szCs w:val="21"/>
                <w:lang w:val="es-ES"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72F7C76C" w14:textId="77777777" w:rsidR="00A816B5" w:rsidRPr="001C4260" w:rsidRDefault="00A816B5" w:rsidP="00A816B5">
            <w:pPr>
              <w:spacing w:after="0" w:line="240" w:lineRule="auto"/>
              <w:jc w:val="center"/>
              <w:rPr>
                <w:rFonts w:ascii="Arial" w:eastAsia="Calibri" w:hAnsi="Arial" w:cs="Arial"/>
                <w:sz w:val="21"/>
                <w:szCs w:val="21"/>
                <w:lang w:val="es-ES" w:eastAsia="es-CO"/>
              </w:rPr>
            </w:pPr>
            <w:r w:rsidRPr="001C4260">
              <w:rPr>
                <w:rFonts w:ascii="Arial" w:eastAsia="Calibri" w:hAnsi="Arial" w:cs="Arial"/>
                <w:sz w:val="21"/>
                <w:szCs w:val="21"/>
                <w:lang w:val="es-ES" w:eastAsia="es-CO"/>
              </w:rPr>
              <w:t>Menor valor</w:t>
            </w:r>
          </w:p>
        </w:tc>
      </w:tr>
    </w:tbl>
    <w:p w14:paraId="75952784" w14:textId="527131DF" w:rsidR="00A816B5" w:rsidRPr="001C4260" w:rsidRDefault="00A816B5" w:rsidP="00A816B5">
      <w:pPr>
        <w:spacing w:after="120" w:line="276" w:lineRule="auto"/>
        <w:jc w:val="both"/>
        <w:rPr>
          <w:rFonts w:ascii="Arial" w:eastAsia="Calibri" w:hAnsi="Arial" w:cs="Arial"/>
          <w:szCs w:val="24"/>
          <w:lang w:val="es-ES" w:eastAsia="es-ES_tradnl"/>
        </w:rPr>
      </w:pPr>
    </w:p>
    <w:p w14:paraId="7619F686" w14:textId="77777777" w:rsidR="00A816B5" w:rsidRPr="001C4260" w:rsidRDefault="00A816B5" w:rsidP="00A816B5">
      <w:pPr>
        <w:tabs>
          <w:tab w:val="left" w:pos="426"/>
        </w:tabs>
        <w:spacing w:after="120" w:line="276" w:lineRule="auto"/>
        <w:jc w:val="both"/>
        <w:rPr>
          <w:rFonts w:ascii="Arial" w:eastAsia="Calibri" w:hAnsi="Arial" w:cs="Arial"/>
          <w:szCs w:val="24"/>
          <w:lang w:val="es-MX" w:eastAsia="es-ES_tradnl"/>
        </w:rPr>
      </w:pPr>
      <w:r w:rsidRPr="001C4260">
        <w:rPr>
          <w:rFonts w:ascii="Arial" w:eastAsia="Calibri" w:hAnsi="Arial" w:cs="Arial"/>
          <w:szCs w:val="24"/>
          <w:lang w:val="es-MX" w:eastAsia="es-ES_tradnl"/>
        </w:rPr>
        <w:lastRenderedPageBreak/>
        <w:tab/>
      </w:r>
      <w:r w:rsidRPr="001C4260">
        <w:rPr>
          <w:rFonts w:ascii="Arial" w:eastAsia="Calibri" w:hAnsi="Arial" w:cs="Arial"/>
          <w:szCs w:val="24"/>
          <w:lang w:val="es-MX" w:eastAsia="es-ES_tradnl"/>
        </w:rPr>
        <w:tab/>
        <w:t>Como se advierte, los documentos tipo acuden a la Tasa Representativa del Mercado –TRM– como el criterio de escogencia del método aleatorio para evaluar la oferta económica, porque su definición no depende de la discrecionalidad de la administración pública en cualquiera de sus órdenes y niveles. Aunque se establece y certifica por parte de la Superintendencia Financiera, su determinación depende de las dinámicas del mercado de divisas, garantizando una elección aleatoria del método de ponderación aplicable para tal propósito, lo que dota de transparencia y selección objetiva la evaluación de las ofertas.</w:t>
      </w:r>
    </w:p>
    <w:p w14:paraId="5D137162" w14:textId="77777777" w:rsidR="00A816B5" w:rsidRPr="001C4260" w:rsidRDefault="00A816B5" w:rsidP="00A816B5">
      <w:pPr>
        <w:spacing w:after="120" w:line="276" w:lineRule="auto"/>
        <w:ind w:firstLine="709"/>
        <w:jc w:val="both"/>
        <w:rPr>
          <w:rFonts w:ascii="Arial" w:eastAsia="Calibri" w:hAnsi="Arial" w:cs="Arial"/>
          <w:szCs w:val="24"/>
          <w:lang w:val="es-MX" w:eastAsia="es-ES_tradnl"/>
        </w:rPr>
      </w:pPr>
      <w:r w:rsidRPr="001C4260">
        <w:rPr>
          <w:rFonts w:ascii="Arial" w:eastAsia="Calibri" w:hAnsi="Arial" w:cs="Arial"/>
          <w:szCs w:val="24"/>
          <w:lang w:val="es-MX" w:eastAsia="es-ES_tradnl"/>
        </w:rPr>
        <w:t xml:space="preserve">De conformidad con lo anterior, se puede concluir que el método aleatorio para seleccionar la fórmula de ponderación de la oferta económica desestimula los actos de corrupción, puesto que no es posible manipular la TRM para conocer con anticipación la fórmula aplicable y poder adjudicar al proponente que la entidad desee. Hasta este punto resulta clara la justificación de la escogencia del método aleatorio a partir de la TRM como un mecanismo que desestimula los actos de corrupción en el proceso de evaluación para escoger el método aleatorio de ponderación de las ofertas económicas. </w:t>
      </w:r>
    </w:p>
    <w:p w14:paraId="4DF19C6F" w14:textId="08B4981A" w:rsidR="00A816B5" w:rsidRPr="001C4260" w:rsidRDefault="00A816B5" w:rsidP="006835FF">
      <w:pPr>
        <w:tabs>
          <w:tab w:val="left" w:pos="426"/>
        </w:tabs>
        <w:spacing w:after="0" w:line="276" w:lineRule="auto"/>
        <w:jc w:val="both"/>
        <w:rPr>
          <w:rFonts w:ascii="Arial" w:eastAsia="Arial" w:hAnsi="Arial" w:cs="Arial"/>
          <w:bCs/>
          <w:lang w:val="es-MX" w:eastAsia="es-ES_tradnl"/>
        </w:rPr>
      </w:pPr>
      <w:r w:rsidRPr="001C4260">
        <w:rPr>
          <w:rFonts w:ascii="Arial" w:eastAsia="Arial" w:hAnsi="Arial" w:cs="Arial"/>
          <w:b/>
          <w:lang w:val="es-MX" w:eastAsia="es-ES_tradnl"/>
        </w:rPr>
        <w:tab/>
      </w:r>
      <w:r w:rsidRPr="001C4260">
        <w:rPr>
          <w:rFonts w:ascii="Arial" w:eastAsia="Arial" w:hAnsi="Arial" w:cs="Arial"/>
          <w:b/>
          <w:lang w:val="es-MX" w:eastAsia="es-ES_tradnl"/>
        </w:rPr>
        <w:tab/>
      </w:r>
      <w:r w:rsidR="003D271E" w:rsidRPr="001C4260">
        <w:rPr>
          <w:rFonts w:ascii="Arial" w:eastAsia="Arial" w:hAnsi="Arial" w:cs="Arial"/>
          <w:bCs/>
          <w:lang w:val="es-MX" w:eastAsia="es-ES_tradnl"/>
        </w:rPr>
        <w:t>De acuerdo con lo expresado, los documentos tipo</w:t>
      </w:r>
      <w:r w:rsidR="00564F48" w:rsidRPr="001C4260">
        <w:rPr>
          <w:rFonts w:ascii="Arial" w:eastAsia="Arial" w:hAnsi="Arial" w:cs="Arial"/>
          <w:bCs/>
          <w:lang w:val="es-MX" w:eastAsia="es-ES_tradnl"/>
        </w:rPr>
        <w:t xml:space="preserve"> estandarizan la forma como se evalúan las </w:t>
      </w:r>
      <w:r w:rsidR="00105B49" w:rsidRPr="001C4260">
        <w:rPr>
          <w:rFonts w:ascii="Arial" w:eastAsia="Arial" w:hAnsi="Arial" w:cs="Arial"/>
          <w:bCs/>
          <w:lang w:val="es-MX" w:eastAsia="es-ES_tradnl"/>
        </w:rPr>
        <w:t>propuestas</w:t>
      </w:r>
      <w:r w:rsidR="00564F48" w:rsidRPr="001C4260">
        <w:rPr>
          <w:rFonts w:ascii="Arial" w:eastAsia="Arial" w:hAnsi="Arial" w:cs="Arial"/>
          <w:bCs/>
          <w:lang w:val="es-MX" w:eastAsia="es-ES_tradnl"/>
        </w:rPr>
        <w:t xml:space="preserve"> económicas, particularmente en lo relacionado con los </w:t>
      </w:r>
      <w:r w:rsidR="003D271E" w:rsidRPr="001C4260">
        <w:rPr>
          <w:rFonts w:ascii="Arial" w:eastAsia="Calibri" w:hAnsi="Arial" w:cs="Arial"/>
          <w:szCs w:val="24"/>
          <w:lang w:val="es-MX" w:eastAsia="es-ES_tradnl"/>
        </w:rPr>
        <w:t>métodos de ponderación de las ofertas económicas</w:t>
      </w:r>
      <w:r w:rsidR="00564F48" w:rsidRPr="001C4260">
        <w:rPr>
          <w:rFonts w:ascii="Arial" w:eastAsia="Calibri" w:hAnsi="Arial" w:cs="Arial"/>
          <w:szCs w:val="24"/>
          <w:lang w:val="es-MX" w:eastAsia="es-ES_tradnl"/>
        </w:rPr>
        <w:t>,</w:t>
      </w:r>
      <w:r w:rsidR="003D271E" w:rsidRPr="001C4260">
        <w:rPr>
          <w:rFonts w:ascii="Arial" w:eastAsia="Calibri" w:hAnsi="Arial" w:cs="Arial"/>
          <w:szCs w:val="24"/>
          <w:lang w:val="es-MX" w:eastAsia="es-ES_tradnl"/>
        </w:rPr>
        <w:t xml:space="preserve"> presentando 4 alternativas</w:t>
      </w:r>
      <w:r w:rsidR="00564F48" w:rsidRPr="001C4260">
        <w:rPr>
          <w:rFonts w:ascii="Arial" w:eastAsia="Calibri" w:hAnsi="Arial" w:cs="Arial"/>
          <w:szCs w:val="24"/>
          <w:lang w:val="es-MX" w:eastAsia="es-ES_tradnl"/>
        </w:rPr>
        <w:t>, esto es</w:t>
      </w:r>
      <w:r w:rsidR="003D271E" w:rsidRPr="001C4260">
        <w:rPr>
          <w:rFonts w:ascii="Arial" w:eastAsia="Calibri" w:hAnsi="Arial" w:cs="Arial"/>
          <w:szCs w:val="24"/>
          <w:lang w:val="es-MX" w:eastAsia="es-ES_tradnl"/>
        </w:rPr>
        <w:t xml:space="preserve">: i) mediana con valor absoluto, </w:t>
      </w:r>
      <w:proofErr w:type="spellStart"/>
      <w:r w:rsidR="003D271E" w:rsidRPr="001C4260">
        <w:rPr>
          <w:rFonts w:ascii="Arial" w:eastAsia="Calibri" w:hAnsi="Arial" w:cs="Arial"/>
          <w:szCs w:val="24"/>
          <w:lang w:val="es-MX" w:eastAsia="es-ES_tradnl"/>
        </w:rPr>
        <w:t>ii</w:t>
      </w:r>
      <w:proofErr w:type="spellEnd"/>
      <w:r w:rsidR="003D271E" w:rsidRPr="001C4260">
        <w:rPr>
          <w:rFonts w:ascii="Arial" w:eastAsia="Calibri" w:hAnsi="Arial" w:cs="Arial"/>
          <w:szCs w:val="24"/>
          <w:lang w:val="es-MX" w:eastAsia="es-ES_tradnl"/>
        </w:rPr>
        <w:t xml:space="preserve">) media geométrica, </w:t>
      </w:r>
      <w:proofErr w:type="spellStart"/>
      <w:r w:rsidR="003D271E" w:rsidRPr="001C4260">
        <w:rPr>
          <w:rFonts w:ascii="Arial" w:eastAsia="Calibri" w:hAnsi="Arial" w:cs="Arial"/>
          <w:szCs w:val="24"/>
          <w:lang w:val="es-MX" w:eastAsia="es-ES_tradnl"/>
        </w:rPr>
        <w:t>iii</w:t>
      </w:r>
      <w:proofErr w:type="spellEnd"/>
      <w:r w:rsidR="003D271E" w:rsidRPr="001C4260">
        <w:rPr>
          <w:rFonts w:ascii="Arial" w:eastAsia="Calibri" w:hAnsi="Arial" w:cs="Arial"/>
          <w:szCs w:val="24"/>
          <w:lang w:val="es-MX" w:eastAsia="es-ES_tradnl"/>
        </w:rPr>
        <w:t xml:space="preserve">) media aritmética baja y </w:t>
      </w:r>
      <w:proofErr w:type="spellStart"/>
      <w:r w:rsidR="003D271E" w:rsidRPr="001C4260">
        <w:rPr>
          <w:rFonts w:ascii="Arial" w:eastAsia="Calibri" w:hAnsi="Arial" w:cs="Arial"/>
          <w:szCs w:val="24"/>
          <w:lang w:val="es-MX" w:eastAsia="es-ES_tradnl"/>
        </w:rPr>
        <w:t>iv</w:t>
      </w:r>
      <w:proofErr w:type="spellEnd"/>
      <w:r w:rsidR="003D271E" w:rsidRPr="001C4260">
        <w:rPr>
          <w:rFonts w:ascii="Arial" w:eastAsia="Calibri" w:hAnsi="Arial" w:cs="Arial"/>
          <w:szCs w:val="24"/>
          <w:lang w:val="es-MX" w:eastAsia="es-ES_tradnl"/>
        </w:rPr>
        <w:t>) menor valor</w:t>
      </w:r>
      <w:r w:rsidR="00564F48" w:rsidRPr="001C4260">
        <w:rPr>
          <w:rFonts w:ascii="Arial" w:eastAsia="Calibri" w:hAnsi="Arial" w:cs="Arial"/>
          <w:szCs w:val="24"/>
          <w:lang w:val="es-MX" w:eastAsia="es-ES_tradnl"/>
        </w:rPr>
        <w:t xml:space="preserve">. Además, cabe precisar que los documentos tipo no admiten la posibilidad de modificar estos métodos o de incluir algunos nuevos. En tal sentido, en relación con los métodos de ponderación de las ofertas económicas pesa la regla de la inalterabilidad que se explicó en el numeral 2.2. de este concepto, por lo cual las entidades estatales no pueden incluir </w:t>
      </w:r>
      <w:r w:rsidR="00105B49" w:rsidRPr="001C4260">
        <w:rPr>
          <w:rFonts w:ascii="Arial" w:eastAsia="Calibri" w:hAnsi="Arial" w:cs="Arial"/>
          <w:szCs w:val="24"/>
          <w:lang w:val="es-MX" w:eastAsia="es-ES_tradnl"/>
        </w:rPr>
        <w:t>nuevos métodos –fórmulas– para evaluar las ofertas económicas, sino que deben aplicar las establecidas en los documentos tipo, cuando se trate de procesos regidos por ellos.</w:t>
      </w:r>
    </w:p>
    <w:p w14:paraId="6C698407" w14:textId="7C7925BB" w:rsidR="00A816B5" w:rsidRPr="001C4260" w:rsidRDefault="00A816B5" w:rsidP="006835FF">
      <w:pPr>
        <w:tabs>
          <w:tab w:val="left" w:pos="426"/>
        </w:tabs>
        <w:spacing w:after="0" w:line="276" w:lineRule="auto"/>
        <w:jc w:val="both"/>
        <w:rPr>
          <w:rFonts w:ascii="Arial" w:eastAsia="Arial" w:hAnsi="Arial" w:cs="Arial"/>
          <w:bCs/>
          <w:lang w:val="es-MX" w:eastAsia="es-ES_tradnl"/>
        </w:rPr>
      </w:pPr>
      <w:r w:rsidRPr="001C4260">
        <w:rPr>
          <w:rFonts w:ascii="Arial" w:eastAsia="Arial" w:hAnsi="Arial" w:cs="Arial"/>
          <w:bCs/>
          <w:lang w:val="es-MX" w:eastAsia="es-ES_tradnl"/>
        </w:rPr>
        <w:tab/>
      </w:r>
      <w:r w:rsidRPr="001C4260">
        <w:rPr>
          <w:rFonts w:ascii="Arial" w:eastAsia="Arial" w:hAnsi="Arial" w:cs="Arial"/>
          <w:bCs/>
          <w:lang w:val="es-MX" w:eastAsia="es-ES_tradnl"/>
        </w:rPr>
        <w:tab/>
      </w:r>
    </w:p>
    <w:p w14:paraId="5E804A3E" w14:textId="266BEA7E" w:rsidR="00E87850" w:rsidRPr="001C4260" w:rsidRDefault="006C4F41" w:rsidP="00A868D7">
      <w:pPr>
        <w:spacing w:after="0" w:line="276" w:lineRule="auto"/>
        <w:jc w:val="both"/>
        <w:rPr>
          <w:rFonts w:ascii="Arial" w:hAnsi="Arial" w:cs="Arial"/>
          <w:b/>
          <w:bCs/>
        </w:rPr>
      </w:pPr>
      <w:r w:rsidRPr="001C4260">
        <w:rPr>
          <w:rFonts w:ascii="Arial" w:hAnsi="Arial" w:cs="Arial"/>
          <w:b/>
          <w:bCs/>
        </w:rPr>
        <w:t xml:space="preserve">Respuesta </w:t>
      </w:r>
    </w:p>
    <w:p w14:paraId="10A6E5C2" w14:textId="6DC8F993" w:rsidR="00A816B5" w:rsidRPr="001C4260" w:rsidRDefault="00A816B5" w:rsidP="00A868D7">
      <w:pPr>
        <w:spacing w:after="0" w:line="276" w:lineRule="auto"/>
        <w:jc w:val="both"/>
        <w:rPr>
          <w:rFonts w:ascii="Arial" w:hAnsi="Arial" w:cs="Arial"/>
          <w:b/>
          <w:bCs/>
        </w:rPr>
      </w:pPr>
    </w:p>
    <w:p w14:paraId="521B5BC9" w14:textId="77777777" w:rsidR="00A816B5" w:rsidRPr="001C4260" w:rsidRDefault="00A816B5" w:rsidP="00A868D7">
      <w:pPr>
        <w:spacing w:after="0" w:line="276" w:lineRule="auto"/>
        <w:jc w:val="both"/>
        <w:rPr>
          <w:rFonts w:ascii="Arial" w:hAnsi="Arial" w:cs="Arial"/>
          <w:b/>
          <w:bCs/>
        </w:rPr>
      </w:pPr>
    </w:p>
    <w:p w14:paraId="700C5BB0" w14:textId="741845CD" w:rsidR="00AE2AE5" w:rsidRPr="001C4260" w:rsidRDefault="006C4F41" w:rsidP="006835FF">
      <w:pPr>
        <w:tabs>
          <w:tab w:val="left" w:pos="426"/>
        </w:tabs>
        <w:spacing w:after="0" w:line="240" w:lineRule="auto"/>
        <w:ind w:left="709" w:right="709"/>
        <w:jc w:val="both"/>
        <w:rPr>
          <w:rFonts w:ascii="Arial" w:eastAsia="Calibri" w:hAnsi="Arial" w:cs="Arial"/>
          <w:bCs/>
          <w:sz w:val="21"/>
          <w:szCs w:val="21"/>
        </w:rPr>
      </w:pPr>
      <w:r w:rsidRPr="001C4260">
        <w:rPr>
          <w:rFonts w:ascii="Arial" w:eastAsia="Calibri" w:hAnsi="Arial" w:cs="Arial"/>
          <w:bCs/>
          <w:sz w:val="21"/>
          <w:szCs w:val="21"/>
        </w:rPr>
        <w:t xml:space="preserve">En relación con los documentos tipo expedidos por esta Agencia, usted pregunta si «¿Las entidades pueden cambiar los métodos por: </w:t>
      </w:r>
      <w:proofErr w:type="gramStart"/>
      <w:r w:rsidRPr="001C4260">
        <w:rPr>
          <w:rFonts w:ascii="Arial" w:eastAsia="Calibri" w:hAnsi="Arial" w:cs="Arial"/>
          <w:bCs/>
          <w:sz w:val="21"/>
          <w:szCs w:val="21"/>
        </w:rPr>
        <w:t>Media Geométrica con PO, Media Aritmética Alta?</w:t>
      </w:r>
      <w:proofErr w:type="gramEnd"/>
      <w:r w:rsidRPr="001C4260">
        <w:rPr>
          <w:rFonts w:ascii="Arial" w:eastAsia="Calibri" w:hAnsi="Arial" w:cs="Arial"/>
          <w:bCs/>
          <w:sz w:val="21"/>
          <w:szCs w:val="21"/>
        </w:rPr>
        <w:t>».</w:t>
      </w:r>
    </w:p>
    <w:p w14:paraId="623ABF68" w14:textId="09DCF260" w:rsidR="001B1BC6" w:rsidRPr="001C4260" w:rsidRDefault="001B1BC6" w:rsidP="006835FF">
      <w:pPr>
        <w:tabs>
          <w:tab w:val="left" w:pos="426"/>
        </w:tabs>
        <w:spacing w:after="0" w:line="276" w:lineRule="auto"/>
        <w:jc w:val="both"/>
        <w:rPr>
          <w:rFonts w:ascii="Arial" w:hAnsi="Arial" w:cs="Arial"/>
          <w:b/>
          <w:bCs/>
        </w:rPr>
      </w:pPr>
    </w:p>
    <w:p w14:paraId="7C4B0405" w14:textId="47167483" w:rsidR="00105B49" w:rsidRPr="001C4260" w:rsidRDefault="00105B49" w:rsidP="001B1BC6">
      <w:pPr>
        <w:tabs>
          <w:tab w:val="left" w:pos="426"/>
        </w:tabs>
        <w:spacing w:after="120" w:line="276" w:lineRule="auto"/>
        <w:jc w:val="both"/>
        <w:rPr>
          <w:rFonts w:ascii="Arial" w:hAnsi="Arial" w:cs="Arial"/>
          <w:b/>
          <w:bCs/>
        </w:rPr>
      </w:pPr>
      <w:r w:rsidRPr="001C4260">
        <w:rPr>
          <w:rFonts w:ascii="Arial" w:hAnsi="Arial" w:cs="Arial"/>
          <w:b/>
          <w:bCs/>
        </w:rPr>
        <w:tab/>
      </w:r>
      <w:r w:rsidRPr="001C4260">
        <w:rPr>
          <w:rFonts w:ascii="Arial" w:hAnsi="Arial" w:cs="Arial"/>
          <w:b/>
          <w:bCs/>
        </w:rPr>
        <w:tab/>
      </w:r>
      <w:r w:rsidRPr="001C4260">
        <w:rPr>
          <w:rFonts w:ascii="Arial" w:hAnsi="Arial" w:cs="Arial"/>
        </w:rPr>
        <w:t xml:space="preserve">De acuerdo con las consideraciones de este concepto, </w:t>
      </w:r>
      <w:r w:rsidRPr="001C4260">
        <w:rPr>
          <w:rFonts w:ascii="Arial" w:eastAsia="Arial" w:hAnsi="Arial" w:cs="Arial"/>
          <w:lang w:val="es-MX" w:eastAsia="es-ES_tradnl"/>
        </w:rPr>
        <w:t>los documentos tipo de licitación de obra pública de infraestructura de transporte – Versión</w:t>
      </w:r>
      <w:r w:rsidRPr="001C4260">
        <w:rPr>
          <w:rFonts w:ascii="Arial" w:eastAsia="Arial" w:hAnsi="Arial" w:cs="Arial"/>
          <w:bCs/>
          <w:lang w:val="es-MX" w:eastAsia="es-ES_tradnl"/>
        </w:rPr>
        <w:t xml:space="preserve"> 3 estandarizan la forma como se evalúan las propuestas económicas, particularmente en lo relacionado con los </w:t>
      </w:r>
      <w:r w:rsidRPr="001C4260">
        <w:rPr>
          <w:rFonts w:ascii="Arial" w:eastAsia="Calibri" w:hAnsi="Arial" w:cs="Arial"/>
          <w:szCs w:val="24"/>
          <w:lang w:val="es-MX" w:eastAsia="es-ES_tradnl"/>
        </w:rPr>
        <w:t xml:space="preserve">métodos de ponderación de las ofertas económicas, presentando 4 alternativas, esto es: i) mediana con valor absoluto, </w:t>
      </w:r>
      <w:proofErr w:type="spellStart"/>
      <w:r w:rsidRPr="001C4260">
        <w:rPr>
          <w:rFonts w:ascii="Arial" w:eastAsia="Calibri" w:hAnsi="Arial" w:cs="Arial"/>
          <w:szCs w:val="24"/>
          <w:lang w:val="es-MX" w:eastAsia="es-ES_tradnl"/>
        </w:rPr>
        <w:t>ii</w:t>
      </w:r>
      <w:proofErr w:type="spellEnd"/>
      <w:r w:rsidRPr="001C4260">
        <w:rPr>
          <w:rFonts w:ascii="Arial" w:eastAsia="Calibri" w:hAnsi="Arial" w:cs="Arial"/>
          <w:szCs w:val="24"/>
          <w:lang w:val="es-MX" w:eastAsia="es-ES_tradnl"/>
        </w:rPr>
        <w:t xml:space="preserve">) media geométrica, </w:t>
      </w:r>
      <w:proofErr w:type="spellStart"/>
      <w:r w:rsidRPr="001C4260">
        <w:rPr>
          <w:rFonts w:ascii="Arial" w:eastAsia="Calibri" w:hAnsi="Arial" w:cs="Arial"/>
          <w:szCs w:val="24"/>
          <w:lang w:val="es-MX" w:eastAsia="es-ES_tradnl"/>
        </w:rPr>
        <w:t>iii</w:t>
      </w:r>
      <w:proofErr w:type="spellEnd"/>
      <w:r w:rsidRPr="001C4260">
        <w:rPr>
          <w:rFonts w:ascii="Arial" w:eastAsia="Calibri" w:hAnsi="Arial" w:cs="Arial"/>
          <w:szCs w:val="24"/>
          <w:lang w:val="es-MX" w:eastAsia="es-ES_tradnl"/>
        </w:rPr>
        <w:t xml:space="preserve">) media aritmética baja y </w:t>
      </w:r>
      <w:proofErr w:type="spellStart"/>
      <w:r w:rsidRPr="001C4260">
        <w:rPr>
          <w:rFonts w:ascii="Arial" w:eastAsia="Calibri" w:hAnsi="Arial" w:cs="Arial"/>
          <w:szCs w:val="24"/>
          <w:lang w:val="es-MX" w:eastAsia="es-ES_tradnl"/>
        </w:rPr>
        <w:t>iv</w:t>
      </w:r>
      <w:proofErr w:type="spellEnd"/>
      <w:r w:rsidRPr="001C4260">
        <w:rPr>
          <w:rFonts w:ascii="Arial" w:eastAsia="Calibri" w:hAnsi="Arial" w:cs="Arial"/>
          <w:szCs w:val="24"/>
          <w:lang w:val="es-MX" w:eastAsia="es-ES_tradnl"/>
        </w:rPr>
        <w:t xml:space="preserve">) menor valor. Además, cabe precisar que los documentos tipo no admiten la posibilidad de modificar estos métodos o de incluir algunos nuevos. En tal sentido, en relación con los métodos de </w:t>
      </w:r>
      <w:r w:rsidRPr="001C4260">
        <w:rPr>
          <w:rFonts w:ascii="Arial" w:eastAsia="Calibri" w:hAnsi="Arial" w:cs="Arial"/>
          <w:szCs w:val="24"/>
          <w:lang w:val="es-MX" w:eastAsia="es-ES_tradnl"/>
        </w:rPr>
        <w:lastRenderedPageBreak/>
        <w:t>ponderación de las ofertas económicas pesa la regla de la inalterabilidad que se explicó en el numeral 2.2. de este concepto, por lo cual las entidades estatales no pueden incluir nuevos métodos –fórmulas– para evaluar las ofertas económicas, sino que deben aplicar las establecidas en los documentos tipo, cuando se trate de procesos regidos por ellos.</w:t>
      </w:r>
    </w:p>
    <w:p w14:paraId="4A43FAB6" w14:textId="77777777" w:rsidR="00AE2AE5" w:rsidRPr="001C4260" w:rsidRDefault="00AE2AE5" w:rsidP="00FC6ABC">
      <w:pPr>
        <w:spacing w:after="0" w:line="276" w:lineRule="auto"/>
        <w:jc w:val="both"/>
        <w:rPr>
          <w:rFonts w:ascii="Arial" w:eastAsia="Calibri" w:hAnsi="Arial" w:cs="Arial"/>
        </w:rPr>
      </w:pPr>
    </w:p>
    <w:p w14:paraId="7470523E" w14:textId="16891621" w:rsidR="00806859" w:rsidRPr="001C4260" w:rsidRDefault="00806859" w:rsidP="0055101F">
      <w:pPr>
        <w:tabs>
          <w:tab w:val="left" w:pos="426"/>
        </w:tabs>
        <w:spacing w:before="120" w:after="0" w:line="276" w:lineRule="auto"/>
        <w:contextualSpacing/>
        <w:jc w:val="both"/>
        <w:rPr>
          <w:rFonts w:ascii="Arial" w:eastAsia="Times New Roman" w:hAnsi="Arial" w:cs="Arial"/>
          <w:bCs/>
          <w:lang w:eastAsia="es-CO"/>
        </w:rPr>
      </w:pPr>
      <w:r w:rsidRPr="001C4260">
        <w:rPr>
          <w:rFonts w:ascii="Arial" w:eastAsia="Times New Roman" w:hAnsi="Arial" w:cs="Arial"/>
          <w:bCs/>
          <w:lang w:eastAsia="es-CO"/>
        </w:rPr>
        <w:t>Este concepto tiene el alcance previsto en el artículo 28 del Código de Procedimiento Administrativo y de lo Contencioso Administrativo.</w:t>
      </w:r>
    </w:p>
    <w:p w14:paraId="72D9A193" w14:textId="77777777" w:rsidR="00455DC9" w:rsidRPr="001C4260" w:rsidRDefault="00455DC9" w:rsidP="00455DC9">
      <w:pPr>
        <w:spacing w:after="0" w:line="276" w:lineRule="auto"/>
        <w:jc w:val="both"/>
        <w:rPr>
          <w:rFonts w:ascii="Arial" w:eastAsia="Times New Roman" w:hAnsi="Arial" w:cs="Arial"/>
          <w:lang w:val="es-ES_tradnl" w:eastAsia="es-CO"/>
        </w:rPr>
      </w:pPr>
    </w:p>
    <w:p w14:paraId="22186776" w14:textId="77777777" w:rsidR="00455DC9" w:rsidRPr="001C4260" w:rsidRDefault="00455DC9" w:rsidP="00455DC9">
      <w:pPr>
        <w:tabs>
          <w:tab w:val="left" w:pos="426"/>
        </w:tabs>
        <w:spacing w:after="120" w:line="276" w:lineRule="auto"/>
        <w:jc w:val="both"/>
        <w:rPr>
          <w:rFonts w:ascii="Arial" w:eastAsia="Times New Roman" w:hAnsi="Arial" w:cs="Arial"/>
          <w:sz w:val="18"/>
          <w:szCs w:val="20"/>
          <w:lang w:val="es-ES_tradnl" w:eastAsia="es-CO"/>
        </w:rPr>
      </w:pPr>
      <w:r w:rsidRPr="001C4260">
        <w:rPr>
          <w:rFonts w:ascii="Arial" w:eastAsia="Calibri" w:hAnsi="Arial" w:cs="Arial"/>
          <w:lang w:val="es-ES"/>
        </w:rPr>
        <w:t>Atentamente,</w:t>
      </w:r>
    </w:p>
    <w:p w14:paraId="2ED1B760" w14:textId="0EA231E0" w:rsidR="00FC7E05" w:rsidRPr="001C4260" w:rsidRDefault="00FC7E05" w:rsidP="00455DC9">
      <w:pPr>
        <w:pStyle w:val="NormalWeb"/>
        <w:spacing w:before="0" w:beforeAutospacing="0" w:after="0" w:afterAutospacing="0" w:line="276" w:lineRule="auto"/>
        <w:jc w:val="center"/>
        <w:rPr>
          <w:rFonts w:ascii="Arial" w:hAnsi="Arial" w:cs="Arial"/>
          <w:sz w:val="22"/>
          <w:szCs w:val="22"/>
          <w:lang w:val="es-ES_tradnl"/>
        </w:rPr>
      </w:pPr>
    </w:p>
    <w:p w14:paraId="7F60269A" w14:textId="26B5E60C" w:rsidR="00C01BA5" w:rsidRPr="001C4260" w:rsidRDefault="00C01BA5" w:rsidP="00455DC9">
      <w:pPr>
        <w:pStyle w:val="NormalWeb"/>
        <w:spacing w:before="0" w:beforeAutospacing="0" w:after="0" w:afterAutospacing="0" w:line="276" w:lineRule="auto"/>
        <w:jc w:val="center"/>
        <w:rPr>
          <w:rFonts w:ascii="Arial" w:hAnsi="Arial" w:cs="Arial"/>
          <w:sz w:val="22"/>
          <w:szCs w:val="22"/>
          <w:lang w:val="es-ES_tradnl"/>
        </w:rPr>
      </w:pPr>
    </w:p>
    <w:p w14:paraId="1A36931B" w14:textId="4A5D2A1D" w:rsidR="001175DA" w:rsidRPr="001C4260" w:rsidRDefault="00EA3B76" w:rsidP="00455DC9">
      <w:pPr>
        <w:pStyle w:val="NormalWeb"/>
        <w:spacing w:before="0" w:beforeAutospacing="0" w:after="0" w:afterAutospacing="0" w:line="276" w:lineRule="auto"/>
        <w:jc w:val="center"/>
        <w:rPr>
          <w:rFonts w:ascii="Arial" w:hAnsi="Arial" w:cs="Arial"/>
          <w:sz w:val="22"/>
          <w:szCs w:val="22"/>
          <w:lang w:val="es-ES_tradnl"/>
        </w:rPr>
      </w:pPr>
      <w:r>
        <w:rPr>
          <w:rFonts w:ascii="Arial" w:hAnsi="Arial" w:cs="Arial"/>
          <w:noProof/>
          <w:sz w:val="22"/>
          <w:szCs w:val="22"/>
          <w:lang w:val="es-ES_tradnl"/>
        </w:rPr>
        <w:drawing>
          <wp:inline distT="0" distB="0" distL="0" distR="0" wp14:anchorId="69FB71A0" wp14:editId="6BE38C99">
            <wp:extent cx="2990850" cy="1162050"/>
            <wp:effectExtent l="0" t="0" r="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850" cy="1162050"/>
                    </a:xfrm>
                    <a:prstGeom prst="rect">
                      <a:avLst/>
                    </a:prstGeom>
                    <a:noFill/>
                    <a:ln>
                      <a:noFill/>
                    </a:ln>
                  </pic:spPr>
                </pic:pic>
              </a:graphicData>
            </a:graphic>
          </wp:inline>
        </w:drawing>
      </w:r>
      <w:r>
        <w:rPr>
          <w:color w:val="000000"/>
          <w:shd w:val="clear" w:color="auto" w:fill="FFFFFF"/>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C4260" w:rsidRPr="001C4260" w14:paraId="454135E0" w14:textId="77777777" w:rsidTr="005F47AD">
        <w:trPr>
          <w:trHeight w:val="315"/>
        </w:trPr>
        <w:tc>
          <w:tcPr>
            <w:tcW w:w="812" w:type="dxa"/>
            <w:vAlign w:val="center"/>
            <w:hideMark/>
          </w:tcPr>
          <w:p w14:paraId="6E0FF971" w14:textId="77777777" w:rsidR="00455DC9" w:rsidRPr="001C4260" w:rsidRDefault="00455DC9" w:rsidP="005F47AD">
            <w:pPr>
              <w:jc w:val="both"/>
              <w:rPr>
                <w:rFonts w:ascii="Arial" w:hAnsi="Arial" w:cs="Arial"/>
                <w:sz w:val="16"/>
                <w:szCs w:val="16"/>
                <w:lang w:val="es-ES_tradnl" w:eastAsia="es-ES"/>
              </w:rPr>
            </w:pPr>
            <w:r w:rsidRPr="001C4260">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5E14D9F" w14:textId="0CF0FBAA" w:rsidR="00455DC9" w:rsidRPr="001C4260" w:rsidRDefault="00D5783D" w:rsidP="005F47AD">
            <w:pPr>
              <w:rPr>
                <w:rFonts w:ascii="Arial" w:hAnsi="Arial" w:cs="Arial"/>
                <w:sz w:val="16"/>
                <w:szCs w:val="16"/>
                <w:lang w:val="es-ES" w:eastAsia="es-ES"/>
              </w:rPr>
            </w:pPr>
            <w:r w:rsidRPr="001C4260">
              <w:rPr>
                <w:rFonts w:ascii="Arial" w:hAnsi="Arial" w:cs="Arial"/>
                <w:sz w:val="16"/>
                <w:szCs w:val="16"/>
                <w:lang w:val="es-ES" w:eastAsia="es-ES"/>
              </w:rPr>
              <w:t>Edwin Johan Chocontá Quintero</w:t>
            </w:r>
          </w:p>
          <w:p w14:paraId="5F6BCA6A" w14:textId="6E9ECA1D" w:rsidR="00455DC9" w:rsidRPr="001C4260" w:rsidRDefault="001E05DE" w:rsidP="005F47AD">
            <w:pPr>
              <w:jc w:val="both"/>
              <w:rPr>
                <w:rFonts w:ascii="Arial" w:hAnsi="Arial" w:cs="Arial"/>
                <w:sz w:val="16"/>
                <w:szCs w:val="16"/>
                <w:lang w:val="es-ES_tradnl" w:eastAsia="es-ES"/>
              </w:rPr>
            </w:pPr>
            <w:r w:rsidRPr="001C4260">
              <w:rPr>
                <w:rFonts w:ascii="Arial" w:hAnsi="Arial" w:cs="Arial"/>
                <w:sz w:val="16"/>
                <w:szCs w:val="16"/>
                <w:lang w:val="es-ES" w:eastAsia="es-ES"/>
              </w:rPr>
              <w:t>Analista T2 – 02 de la Subdirección de Gestión Contractual</w:t>
            </w:r>
          </w:p>
        </w:tc>
      </w:tr>
      <w:tr w:rsidR="001C4260" w:rsidRPr="001C4260" w14:paraId="4E9EEE2B" w14:textId="77777777" w:rsidTr="005F47AD">
        <w:trPr>
          <w:trHeight w:val="330"/>
        </w:trPr>
        <w:tc>
          <w:tcPr>
            <w:tcW w:w="812" w:type="dxa"/>
            <w:vAlign w:val="center"/>
            <w:hideMark/>
          </w:tcPr>
          <w:p w14:paraId="71BCA565" w14:textId="77777777" w:rsidR="00455DC9" w:rsidRPr="001C4260" w:rsidRDefault="00455DC9" w:rsidP="005F47AD">
            <w:pPr>
              <w:jc w:val="both"/>
              <w:rPr>
                <w:rFonts w:ascii="Arial" w:hAnsi="Arial" w:cs="Arial"/>
                <w:sz w:val="16"/>
                <w:szCs w:val="16"/>
                <w:lang w:val="es-ES_tradnl" w:eastAsia="es-ES"/>
              </w:rPr>
            </w:pPr>
            <w:r w:rsidRPr="001C4260">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21F76B" w14:textId="061D6ADA" w:rsidR="00455DC9" w:rsidRPr="001C4260" w:rsidRDefault="00F85E49" w:rsidP="005F47AD">
            <w:pPr>
              <w:jc w:val="both"/>
              <w:rPr>
                <w:rFonts w:ascii="Arial" w:hAnsi="Arial" w:cs="Arial"/>
                <w:sz w:val="16"/>
                <w:szCs w:val="16"/>
                <w:lang w:val="es-ES_tradnl" w:eastAsia="es-ES"/>
              </w:rPr>
            </w:pPr>
            <w:r w:rsidRPr="001C4260">
              <w:rPr>
                <w:rFonts w:ascii="Arial" w:hAnsi="Arial" w:cs="Arial"/>
                <w:sz w:val="16"/>
                <w:szCs w:val="16"/>
                <w:lang w:val="es-ES_tradnl" w:eastAsia="es-ES"/>
              </w:rPr>
              <w:t>Sebastián Ramírez Grisales</w:t>
            </w:r>
          </w:p>
          <w:p w14:paraId="4B1DBB15" w14:textId="2CB78285" w:rsidR="00455DC9" w:rsidRPr="001C4260" w:rsidRDefault="00F85E49" w:rsidP="005F47AD">
            <w:pPr>
              <w:jc w:val="both"/>
              <w:rPr>
                <w:rFonts w:ascii="Arial" w:hAnsi="Arial" w:cs="Arial"/>
                <w:sz w:val="16"/>
                <w:szCs w:val="16"/>
                <w:lang w:val="es-ES_tradnl" w:eastAsia="es-ES"/>
              </w:rPr>
            </w:pPr>
            <w:r w:rsidRPr="001C4260">
              <w:rPr>
                <w:rFonts w:ascii="Arial" w:hAnsi="Arial" w:cs="Arial"/>
                <w:sz w:val="16"/>
                <w:szCs w:val="16"/>
                <w:lang w:val="es-ES_tradnl" w:eastAsia="es-ES"/>
              </w:rPr>
              <w:t>Contratista</w:t>
            </w:r>
            <w:r w:rsidR="00455DC9" w:rsidRPr="001C4260">
              <w:rPr>
                <w:rFonts w:ascii="Arial" w:hAnsi="Arial" w:cs="Arial"/>
                <w:sz w:val="16"/>
                <w:szCs w:val="16"/>
                <w:lang w:val="es-ES_tradnl" w:eastAsia="es-ES"/>
              </w:rPr>
              <w:t xml:space="preserve"> de la Subdirección de Gestión Contractual</w:t>
            </w:r>
          </w:p>
        </w:tc>
      </w:tr>
      <w:tr w:rsidR="00455DC9" w:rsidRPr="001C4260" w14:paraId="7283E930" w14:textId="77777777" w:rsidTr="005F47AD">
        <w:trPr>
          <w:trHeight w:val="300"/>
        </w:trPr>
        <w:tc>
          <w:tcPr>
            <w:tcW w:w="812" w:type="dxa"/>
            <w:vAlign w:val="center"/>
            <w:hideMark/>
          </w:tcPr>
          <w:p w14:paraId="4223C3C8" w14:textId="77777777" w:rsidR="00455DC9" w:rsidRPr="001C4260" w:rsidRDefault="00455DC9" w:rsidP="005F47AD">
            <w:pPr>
              <w:jc w:val="both"/>
              <w:rPr>
                <w:rFonts w:ascii="Arial" w:hAnsi="Arial" w:cs="Arial"/>
                <w:sz w:val="16"/>
                <w:szCs w:val="16"/>
                <w:lang w:val="es-ES_tradnl" w:eastAsia="es-ES"/>
              </w:rPr>
            </w:pPr>
            <w:r w:rsidRPr="001C4260">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2F30C1E" w14:textId="061694DA" w:rsidR="006E448D" w:rsidRPr="001C4260" w:rsidRDefault="006E448D" w:rsidP="005F47AD">
            <w:pPr>
              <w:jc w:val="both"/>
              <w:rPr>
                <w:rFonts w:ascii="Arial" w:hAnsi="Arial" w:cs="Arial"/>
                <w:sz w:val="16"/>
                <w:szCs w:val="16"/>
                <w:lang w:val="es-ES_tradnl" w:eastAsia="es-ES"/>
              </w:rPr>
            </w:pPr>
            <w:r w:rsidRPr="001C4260">
              <w:rPr>
                <w:rFonts w:ascii="Arial" w:hAnsi="Arial" w:cs="Arial"/>
                <w:sz w:val="16"/>
                <w:szCs w:val="16"/>
                <w:lang w:val="es-ES_tradnl" w:eastAsia="es-ES"/>
              </w:rPr>
              <w:t>Juan David Marín López</w:t>
            </w:r>
          </w:p>
          <w:p w14:paraId="294C6322" w14:textId="661148DA" w:rsidR="00455DC9" w:rsidRPr="001C4260" w:rsidRDefault="00455DC9" w:rsidP="005F47AD">
            <w:pPr>
              <w:jc w:val="both"/>
              <w:rPr>
                <w:rFonts w:ascii="Arial" w:hAnsi="Arial" w:cs="Arial"/>
                <w:sz w:val="16"/>
                <w:szCs w:val="16"/>
                <w:lang w:val="es-ES_tradnl" w:eastAsia="es-ES"/>
              </w:rPr>
            </w:pPr>
            <w:r w:rsidRPr="001C4260">
              <w:rPr>
                <w:rFonts w:ascii="Arial" w:hAnsi="Arial" w:cs="Arial"/>
                <w:sz w:val="16"/>
                <w:szCs w:val="16"/>
                <w:lang w:val="es-ES_tradnl" w:eastAsia="es-ES"/>
              </w:rPr>
              <w:t xml:space="preserve">Subdirector de Gestión Contractual </w:t>
            </w:r>
            <w:r w:rsidR="006E448D" w:rsidRPr="001C4260">
              <w:rPr>
                <w:rFonts w:ascii="Arial" w:hAnsi="Arial" w:cs="Arial"/>
                <w:sz w:val="16"/>
                <w:szCs w:val="16"/>
                <w:lang w:val="es-ES_tradnl" w:eastAsia="es-ES"/>
              </w:rPr>
              <w:t>(E)</w:t>
            </w:r>
          </w:p>
        </w:tc>
      </w:tr>
      <w:bookmarkEnd w:id="0"/>
      <w:bookmarkEnd w:id="1"/>
    </w:tbl>
    <w:p w14:paraId="1F671C3D" w14:textId="77777777" w:rsidR="00455DC9" w:rsidRPr="001C4260" w:rsidRDefault="00455DC9"/>
    <w:sectPr w:rsidR="00455DC9" w:rsidRPr="001C4260">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D735F" w14:textId="77777777" w:rsidR="00084812" w:rsidRDefault="00084812" w:rsidP="00F37112">
      <w:pPr>
        <w:spacing w:after="0" w:line="240" w:lineRule="auto"/>
      </w:pPr>
      <w:r>
        <w:separator/>
      </w:r>
    </w:p>
  </w:endnote>
  <w:endnote w:type="continuationSeparator" w:id="0">
    <w:p w14:paraId="040A4BEB" w14:textId="77777777" w:rsidR="00084812" w:rsidRDefault="00084812" w:rsidP="00F37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Calibri">
    <w:altName w:val="Times New Roman"/>
    <w:charset w:val="00"/>
    <w:family w:val="roman"/>
    <w:pitch w:val="default"/>
  </w:font>
  <w:font w:name="Arial,Times New Roman">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7EB4" w14:textId="77777777" w:rsidR="009D1F74" w:rsidRDefault="009D1F74" w:rsidP="009D1F74">
    <w:pPr>
      <w:pStyle w:val="Sinespaciado"/>
      <w:rPr>
        <w:rFonts w:ascii="Arial" w:hAnsi="Arial" w:cs="Arial"/>
        <w:sz w:val="18"/>
        <w:szCs w:val="18"/>
      </w:rPr>
    </w:pPr>
  </w:p>
  <w:p w14:paraId="2E20B51B" w14:textId="77777777" w:rsidR="009D1F74" w:rsidRPr="005A79FE" w:rsidRDefault="009D1F74" w:rsidP="009D1F74">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37D08E12" w14:textId="77777777" w:rsidR="009D1F74" w:rsidRDefault="009D1F74" w:rsidP="009D1F74">
    <w:pPr>
      <w:pStyle w:val="Piedepgina"/>
      <w:jc w:val="center"/>
      <w:rPr>
        <w:lang w:val="es-ES"/>
      </w:rPr>
    </w:pPr>
    <w:r>
      <w:rPr>
        <w:noProof/>
      </w:rPr>
      <w:drawing>
        <wp:inline distT="0" distB="0" distL="0" distR="0" wp14:anchorId="587D6A55" wp14:editId="5E653530">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05EE8" w14:textId="77777777" w:rsidR="00084812" w:rsidRDefault="00084812" w:rsidP="00F37112">
      <w:pPr>
        <w:spacing w:after="0" w:line="240" w:lineRule="auto"/>
      </w:pPr>
      <w:r>
        <w:separator/>
      </w:r>
    </w:p>
  </w:footnote>
  <w:footnote w:type="continuationSeparator" w:id="0">
    <w:p w14:paraId="48796257" w14:textId="77777777" w:rsidR="00084812" w:rsidRDefault="00084812" w:rsidP="00F37112">
      <w:pPr>
        <w:spacing w:after="0" w:line="240" w:lineRule="auto"/>
      </w:pPr>
      <w:r>
        <w:continuationSeparator/>
      </w:r>
    </w:p>
  </w:footnote>
  <w:footnote w:id="1">
    <w:p w14:paraId="0A8B6FBB" w14:textId="77777777" w:rsidR="00675ADC" w:rsidRPr="00D54F13" w:rsidRDefault="00675ADC" w:rsidP="00675ADC">
      <w:pPr>
        <w:pStyle w:val="Textonotapie"/>
        <w:ind w:firstLine="709"/>
        <w:jc w:val="both"/>
        <w:rPr>
          <w:rFonts w:ascii="Arial" w:hAnsi="Arial" w:cs="Arial"/>
          <w:color w:val="000000"/>
          <w:sz w:val="19"/>
          <w:szCs w:val="19"/>
        </w:rPr>
      </w:pPr>
      <w:r w:rsidRPr="00D54F13">
        <w:rPr>
          <w:rStyle w:val="Refdenotaalpie"/>
          <w:rFonts w:ascii="Arial" w:hAnsi="Arial" w:cs="Arial"/>
          <w:color w:val="000000"/>
          <w:sz w:val="19"/>
          <w:szCs w:val="19"/>
        </w:rPr>
        <w:footnoteRef/>
      </w:r>
      <w:r w:rsidRPr="00D54F13">
        <w:rPr>
          <w:rFonts w:ascii="Arial" w:hAnsi="Arial" w:cs="Arial"/>
          <w:color w:val="000000"/>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224A1C85" w14:textId="77777777" w:rsidR="00675ADC" w:rsidRPr="00D54F13" w:rsidRDefault="00675ADC" w:rsidP="00675ADC">
      <w:pPr>
        <w:pStyle w:val="Textonotapie"/>
        <w:ind w:firstLine="709"/>
        <w:jc w:val="both"/>
        <w:rPr>
          <w:rFonts w:ascii="Arial" w:hAnsi="Arial" w:cs="Arial"/>
          <w:color w:val="000000"/>
          <w:sz w:val="19"/>
          <w:szCs w:val="19"/>
          <w:lang w:val="es-CO"/>
        </w:rPr>
      </w:pPr>
    </w:p>
  </w:footnote>
  <w:footnote w:id="2">
    <w:p w14:paraId="1034EE04" w14:textId="77777777" w:rsidR="00675ADC" w:rsidRPr="00D54F13" w:rsidRDefault="00675ADC" w:rsidP="00675ADC">
      <w:pPr>
        <w:pStyle w:val="Textonotapie"/>
        <w:ind w:firstLine="709"/>
        <w:jc w:val="both"/>
        <w:rPr>
          <w:rFonts w:ascii="Arial" w:hAnsi="Arial" w:cs="Arial"/>
          <w:color w:val="000000"/>
          <w:sz w:val="19"/>
          <w:szCs w:val="19"/>
        </w:rPr>
      </w:pPr>
      <w:r w:rsidRPr="00D54F13">
        <w:rPr>
          <w:rStyle w:val="Refdenotaalpie"/>
          <w:rFonts w:ascii="Arial" w:hAnsi="Arial" w:cs="Arial"/>
          <w:color w:val="000000"/>
          <w:sz w:val="19"/>
          <w:szCs w:val="19"/>
        </w:rPr>
        <w:footnoteRef/>
      </w:r>
      <w:r w:rsidRPr="00D54F13">
        <w:rPr>
          <w:rFonts w:ascii="Arial" w:hAnsi="Arial" w:cs="Arial"/>
          <w:color w:val="000000"/>
          <w:sz w:val="19"/>
          <w:szCs w:val="19"/>
        </w:rPr>
        <w:t xml:space="preserve"> </w:t>
      </w:r>
      <w:r w:rsidRPr="00D54F13">
        <w:rPr>
          <w:rFonts w:ascii="Arial" w:hAnsi="Arial" w:cs="Arial"/>
          <w:color w:val="000000"/>
          <w:sz w:val="19"/>
          <w:szCs w:val="19"/>
          <w:lang w:val="es-CO"/>
        </w:rPr>
        <w:t xml:space="preserve">Ley 1882 de 2018: «Artículo 4. </w:t>
      </w:r>
      <w:r w:rsidRPr="00D54F13">
        <w:rPr>
          <w:rFonts w:ascii="Arial" w:hAnsi="Arial" w:cs="Arial"/>
          <w:color w:val="000000"/>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599BBECE" w14:textId="77777777" w:rsidR="00675ADC" w:rsidRPr="00D54F13" w:rsidRDefault="00675ADC" w:rsidP="00675ADC">
      <w:pPr>
        <w:pStyle w:val="Textonotapie"/>
        <w:ind w:firstLine="709"/>
        <w:jc w:val="both"/>
        <w:rPr>
          <w:rFonts w:ascii="Arial" w:hAnsi="Arial" w:cs="Arial"/>
          <w:color w:val="000000"/>
          <w:sz w:val="19"/>
          <w:szCs w:val="19"/>
          <w:lang w:val="es-CO"/>
        </w:rPr>
      </w:pPr>
      <w:proofErr w:type="gramStart"/>
      <w:r w:rsidRPr="00D54F13">
        <w:rPr>
          <w:rFonts w:ascii="Arial" w:hAnsi="Arial" w:cs="Arial"/>
          <w:color w:val="000000"/>
          <w:sz w:val="19"/>
          <w:szCs w:val="19"/>
          <w:lang w:val="es-CO"/>
        </w:rPr>
        <w:t>»La</w:t>
      </w:r>
      <w:proofErr w:type="gramEnd"/>
      <w:r w:rsidRPr="00D54F13">
        <w:rPr>
          <w:rFonts w:ascii="Arial" w:hAnsi="Arial" w:cs="Arial"/>
          <w:color w:val="000000"/>
          <w:sz w:val="19"/>
          <w:szCs w:val="19"/>
          <w:lang w:val="es-CO"/>
        </w:rPr>
        <w:t xml:space="preserve"> facultad de adoptar documentos tipo la tendrá el Gobierno nacional, cuando lo considere necesario, en relación con otros contratos o procesos de selección.</w:t>
      </w:r>
    </w:p>
    <w:p w14:paraId="46F3DD3F" w14:textId="77777777" w:rsidR="00675ADC" w:rsidRPr="00D54F13" w:rsidRDefault="00675ADC" w:rsidP="00675ADC">
      <w:pPr>
        <w:pStyle w:val="Textonotapie"/>
        <w:ind w:firstLine="709"/>
        <w:jc w:val="both"/>
        <w:rPr>
          <w:rFonts w:ascii="Arial" w:hAnsi="Arial" w:cs="Arial"/>
          <w:color w:val="000000"/>
          <w:sz w:val="19"/>
          <w:szCs w:val="19"/>
          <w:lang w:val="es-CO"/>
        </w:rPr>
      </w:pPr>
      <w:r w:rsidRPr="00D54F13">
        <w:rPr>
          <w:rFonts w:ascii="Arial" w:hAnsi="Arial" w:cs="Arial"/>
          <w:color w:val="000000"/>
          <w:sz w:val="19"/>
          <w:szCs w:val="19"/>
          <w:lang w:val="es-CO"/>
        </w:rPr>
        <w:t>»Los pliegos tipo se adoptarán por categorías de acuerdo con la cuantía de la contratación, según la reglamentación que expida el Gobierno nacional».</w:t>
      </w:r>
    </w:p>
    <w:p w14:paraId="147B8FC2" w14:textId="77777777" w:rsidR="00675ADC" w:rsidRPr="00D54F13" w:rsidRDefault="00675ADC" w:rsidP="00675ADC">
      <w:pPr>
        <w:pStyle w:val="Textonotapie"/>
        <w:ind w:firstLine="709"/>
        <w:jc w:val="both"/>
        <w:rPr>
          <w:rFonts w:ascii="Arial" w:hAnsi="Arial" w:cs="Arial"/>
          <w:color w:val="000000"/>
          <w:sz w:val="19"/>
          <w:szCs w:val="19"/>
          <w:lang w:val="es-CO"/>
        </w:rPr>
      </w:pPr>
    </w:p>
  </w:footnote>
  <w:footnote w:id="3">
    <w:p w14:paraId="6346BF18" w14:textId="77777777" w:rsidR="00675ADC" w:rsidRPr="00D54F13" w:rsidRDefault="00675ADC" w:rsidP="00675ADC">
      <w:pPr>
        <w:pStyle w:val="Textonotapie"/>
        <w:ind w:firstLine="709"/>
        <w:jc w:val="both"/>
        <w:rPr>
          <w:rFonts w:ascii="Arial" w:hAnsi="Arial" w:cs="Arial"/>
          <w:color w:val="000000"/>
          <w:sz w:val="19"/>
          <w:szCs w:val="19"/>
        </w:rPr>
      </w:pPr>
      <w:r w:rsidRPr="00D54F13">
        <w:rPr>
          <w:rStyle w:val="Refdenotaalpie"/>
          <w:rFonts w:ascii="Arial" w:hAnsi="Arial" w:cs="Arial"/>
          <w:color w:val="000000"/>
          <w:sz w:val="19"/>
          <w:szCs w:val="19"/>
        </w:rPr>
        <w:footnoteRef/>
      </w:r>
      <w:r w:rsidRPr="00D54F13">
        <w:rPr>
          <w:rFonts w:ascii="Arial" w:hAnsi="Arial" w:cs="Arial"/>
          <w:color w:val="000000"/>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2C1DEFB6" w14:textId="77777777" w:rsidR="00675ADC" w:rsidRPr="00D54F13" w:rsidRDefault="00675ADC" w:rsidP="00675ADC">
      <w:pPr>
        <w:pStyle w:val="Textonotapie"/>
        <w:ind w:firstLine="709"/>
        <w:jc w:val="both"/>
        <w:rPr>
          <w:rFonts w:ascii="Arial" w:hAnsi="Arial" w:cs="Arial"/>
          <w:color w:val="000000"/>
          <w:sz w:val="19"/>
          <w:szCs w:val="19"/>
        </w:rPr>
      </w:pPr>
    </w:p>
  </w:footnote>
  <w:footnote w:id="4">
    <w:p w14:paraId="1381D37D" w14:textId="77777777" w:rsidR="00675ADC" w:rsidRPr="00D54F13" w:rsidRDefault="00675ADC" w:rsidP="00675ADC">
      <w:pPr>
        <w:pStyle w:val="Textonotapie"/>
        <w:ind w:firstLine="708"/>
        <w:jc w:val="both"/>
        <w:rPr>
          <w:rFonts w:ascii="Arial" w:hAnsi="Arial" w:cs="Arial"/>
          <w:color w:val="000000"/>
          <w:sz w:val="19"/>
          <w:szCs w:val="19"/>
        </w:rPr>
      </w:pPr>
      <w:r w:rsidRPr="00D54F13">
        <w:rPr>
          <w:rStyle w:val="Refdenotaalpie"/>
          <w:rFonts w:ascii="Arial" w:hAnsi="Arial" w:cs="Arial"/>
          <w:color w:val="000000"/>
          <w:sz w:val="19"/>
          <w:szCs w:val="19"/>
        </w:rPr>
        <w:footnoteRef/>
      </w:r>
      <w:r w:rsidRPr="00D54F13">
        <w:rPr>
          <w:rFonts w:ascii="Arial" w:hAnsi="Arial" w:cs="Arial"/>
          <w:color w:val="000000"/>
          <w:sz w:val="19"/>
          <w:szCs w:val="19"/>
        </w:rPr>
        <w:t xml:space="preserve"> «ARTÍCULO 1o. Modifíquese el artículo 4o de la Ley 1882 de 2018, el cual quedará así:</w:t>
      </w:r>
    </w:p>
    <w:p w14:paraId="769B28FD" w14:textId="77777777" w:rsidR="00675ADC" w:rsidRPr="00D54F13" w:rsidRDefault="00675ADC" w:rsidP="00675ADC">
      <w:pPr>
        <w:pStyle w:val="Textonotapie"/>
        <w:ind w:firstLine="708"/>
        <w:jc w:val="both"/>
        <w:rPr>
          <w:rFonts w:ascii="Arial" w:hAnsi="Arial" w:cs="Arial"/>
          <w:color w:val="000000"/>
          <w:sz w:val="19"/>
          <w:szCs w:val="19"/>
        </w:rPr>
      </w:pPr>
      <w:r w:rsidRPr="00D54F13">
        <w:rPr>
          <w:rFonts w:ascii="Arial" w:hAnsi="Arial" w:cs="Arial"/>
          <w:color w:val="000000"/>
          <w:sz w:val="19"/>
          <w:szCs w:val="19"/>
        </w:rPr>
        <w:t>»Artículo 4o. Adiciónese el siguiente parágrafo al artículo 2o de la Ley 1150 de 2007.</w:t>
      </w:r>
    </w:p>
    <w:p w14:paraId="39807629" w14:textId="77777777" w:rsidR="00675ADC" w:rsidRPr="00D54F13" w:rsidRDefault="00675ADC" w:rsidP="00675ADC">
      <w:pPr>
        <w:pStyle w:val="Textonotapie"/>
        <w:ind w:firstLine="708"/>
        <w:jc w:val="both"/>
        <w:rPr>
          <w:rFonts w:ascii="Arial" w:hAnsi="Arial" w:cs="Arial"/>
          <w:color w:val="000000"/>
          <w:sz w:val="19"/>
          <w:szCs w:val="19"/>
        </w:rPr>
      </w:pPr>
      <w:r w:rsidRPr="00D54F13">
        <w:rPr>
          <w:rFonts w:ascii="Arial" w:hAnsi="Arial" w:cs="Arial"/>
          <w:color w:val="000000"/>
          <w:sz w:val="19"/>
          <w:szCs w:val="19"/>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1041CD4D" w14:textId="77777777" w:rsidR="00675ADC" w:rsidRPr="00D54F13" w:rsidRDefault="00675ADC" w:rsidP="00675ADC">
      <w:pPr>
        <w:pStyle w:val="Textonotapie"/>
        <w:ind w:firstLine="708"/>
        <w:jc w:val="both"/>
        <w:rPr>
          <w:rFonts w:ascii="Arial" w:hAnsi="Arial" w:cs="Arial"/>
          <w:color w:val="000000"/>
          <w:sz w:val="19"/>
          <w:szCs w:val="19"/>
        </w:rPr>
      </w:pPr>
      <w:r w:rsidRPr="00D54F13">
        <w:rPr>
          <w:rFonts w:ascii="Arial" w:hAnsi="Arial" w:cs="Arial"/>
          <w:color w:val="000000"/>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476DC49C" w14:textId="77777777" w:rsidR="00675ADC" w:rsidRPr="00D54F13" w:rsidRDefault="00675ADC" w:rsidP="00675ADC">
      <w:pPr>
        <w:pStyle w:val="Textonotapie"/>
        <w:ind w:firstLine="708"/>
        <w:jc w:val="both"/>
        <w:rPr>
          <w:rFonts w:ascii="Arial" w:hAnsi="Arial" w:cs="Arial"/>
          <w:color w:val="000000"/>
          <w:sz w:val="19"/>
          <w:szCs w:val="19"/>
        </w:rPr>
      </w:pPr>
      <w:r w:rsidRPr="00D54F13">
        <w:rPr>
          <w:rFonts w:ascii="Arial" w:hAnsi="Arial" w:cs="Arial"/>
          <w:color w:val="000000"/>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591C7301" w14:textId="77777777" w:rsidR="00675ADC" w:rsidRPr="00D54F13" w:rsidRDefault="00675ADC" w:rsidP="00675ADC">
      <w:pPr>
        <w:pStyle w:val="Textonotapie"/>
        <w:ind w:firstLine="708"/>
        <w:jc w:val="both"/>
        <w:rPr>
          <w:rFonts w:ascii="Arial" w:hAnsi="Arial" w:cs="Arial"/>
          <w:color w:val="000000"/>
          <w:sz w:val="19"/>
          <w:szCs w:val="19"/>
        </w:rPr>
      </w:pPr>
      <w:r w:rsidRPr="00D54F13">
        <w:rPr>
          <w:rFonts w:ascii="Arial" w:hAnsi="Arial" w:cs="Arial"/>
          <w:color w:val="000000"/>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3374E181" w14:textId="77777777" w:rsidR="00675ADC" w:rsidRPr="00D54F13" w:rsidRDefault="00675ADC" w:rsidP="00675ADC">
      <w:pPr>
        <w:pStyle w:val="Textonotapie"/>
        <w:ind w:firstLine="708"/>
        <w:jc w:val="both"/>
        <w:rPr>
          <w:rFonts w:ascii="Arial" w:hAnsi="Arial" w:cs="Arial"/>
          <w:color w:val="000000"/>
          <w:sz w:val="19"/>
          <w:szCs w:val="19"/>
          <w:lang w:val="es-CO"/>
        </w:rPr>
      </w:pPr>
      <w:r w:rsidRPr="00D54F13">
        <w:rPr>
          <w:rFonts w:ascii="Arial" w:hAnsi="Arial" w:cs="Arial"/>
          <w:color w:val="000000"/>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5">
    <w:p w14:paraId="0BD6E716" w14:textId="77777777" w:rsidR="00D61DBE" w:rsidRPr="00DA5414" w:rsidRDefault="00D61DBE" w:rsidP="00D61DBE">
      <w:pPr>
        <w:pStyle w:val="Textonotapie"/>
        <w:ind w:firstLine="709"/>
        <w:jc w:val="both"/>
        <w:rPr>
          <w:rFonts w:ascii="Arial" w:hAnsi="Arial" w:cs="Arial"/>
          <w:sz w:val="18"/>
          <w:szCs w:val="18"/>
          <w:lang w:val="es-ES"/>
        </w:rPr>
      </w:pPr>
      <w:r w:rsidRPr="00D035F8">
        <w:rPr>
          <w:rStyle w:val="Refdenotaalpie"/>
          <w:rFonts w:ascii="Arial" w:hAnsi="Arial" w:cs="Arial"/>
          <w:sz w:val="18"/>
          <w:szCs w:val="18"/>
        </w:rPr>
        <w:footnoteRef/>
      </w:r>
      <w:r w:rsidRPr="00D035F8">
        <w:rPr>
          <w:rFonts w:ascii="Arial" w:hAnsi="Arial" w:cs="Arial"/>
          <w:sz w:val="18"/>
          <w:szCs w:val="18"/>
        </w:rPr>
        <w:t xml:space="preserve"> </w:t>
      </w:r>
      <w:r w:rsidRPr="00D035F8">
        <w:rPr>
          <w:rFonts w:ascii="Arial" w:hAnsi="Arial" w:cs="Arial"/>
          <w:sz w:val="18"/>
          <w:szCs w:val="18"/>
          <w:lang w:val="es-ES"/>
        </w:rPr>
        <w:t xml:space="preserve">En cuanto a las resoluciones vigentes, dicha regla se observa en el artículo 3 de las Resoluciones </w:t>
      </w:r>
      <w:bookmarkStart w:id="3" w:name="_Hlk82363077"/>
      <w:r w:rsidRPr="00D035F8">
        <w:rPr>
          <w:rFonts w:ascii="Arial" w:hAnsi="Arial" w:cs="Arial"/>
          <w:sz w:val="18"/>
          <w:szCs w:val="18"/>
          <w:lang w:val="es-ES"/>
        </w:rPr>
        <w:t xml:space="preserve">240 de 2020, 241 de 2020, 248 de 2020, 249 de 2020, 269 de 2020, 219 de 2021, 392 de 2021, 454 de 2021, entre otras, así como lo dispuesto en el </w:t>
      </w:r>
      <w:r w:rsidRPr="00992278">
        <w:rPr>
          <w:rFonts w:ascii="Arial" w:hAnsi="Arial" w:cs="Arial"/>
          <w:sz w:val="18"/>
          <w:szCs w:val="18"/>
          <w:lang w:val="es-ES"/>
        </w:rPr>
        <w:t>artículo 2 de la Resolución 094 de 2020</w:t>
      </w:r>
      <w:bookmarkEnd w:id="3"/>
      <w:r w:rsidRPr="00992278">
        <w:rPr>
          <w:rFonts w:ascii="Arial" w:hAnsi="Arial" w:cs="Arial"/>
          <w:sz w:val="18"/>
          <w:szCs w:val="18"/>
          <w:lang w:val="es-ES"/>
        </w:rPr>
        <w:t>.</w:t>
      </w:r>
    </w:p>
    <w:p w14:paraId="4E6BF7E1" w14:textId="77777777" w:rsidR="00D61DBE" w:rsidRPr="005A14E0" w:rsidRDefault="00D61DBE" w:rsidP="00D61DBE">
      <w:pPr>
        <w:pStyle w:val="Textonotapie"/>
        <w:ind w:firstLine="709"/>
        <w:jc w:val="both"/>
        <w:rPr>
          <w:rFonts w:ascii="Arial" w:hAnsi="Arial" w:cs="Arial"/>
          <w:sz w:val="18"/>
          <w:szCs w:val="18"/>
          <w:lang w:val="es-ES"/>
        </w:rPr>
      </w:pPr>
    </w:p>
  </w:footnote>
  <w:footnote w:id="6">
    <w:p w14:paraId="1F11581E" w14:textId="77777777" w:rsidR="00D61DBE" w:rsidRPr="005A14E0" w:rsidRDefault="00D61DBE" w:rsidP="00D61DBE">
      <w:pPr>
        <w:pStyle w:val="Textonotapie"/>
        <w:ind w:firstLine="709"/>
        <w:jc w:val="both"/>
        <w:rPr>
          <w:rFonts w:ascii="Arial" w:hAnsi="Arial" w:cs="Arial"/>
          <w:sz w:val="18"/>
          <w:szCs w:val="18"/>
        </w:rPr>
      </w:pPr>
      <w:r w:rsidRPr="00D035F8">
        <w:rPr>
          <w:rStyle w:val="Refdenotaalpie"/>
          <w:rFonts w:ascii="Arial" w:hAnsi="Arial" w:cs="Arial"/>
          <w:sz w:val="18"/>
          <w:szCs w:val="18"/>
        </w:rPr>
        <w:footnoteRef/>
      </w:r>
      <w:r w:rsidRPr="00D035F8">
        <w:rPr>
          <w:rFonts w:ascii="Arial" w:hAnsi="Arial" w:cs="Arial"/>
          <w:sz w:val="18"/>
          <w:szCs w:val="18"/>
        </w:rPr>
        <w:t xml:space="preserve"> En torno a las potestades regladas, García de Enterría y Fernández manifiestan: «El ejercicio de las ptestades regladas reduce a la Administración a la constatación (accertamento, en el expresivo concepto italiano) del</w:t>
      </w:r>
      <w:r w:rsidRPr="00DA5414">
        <w:rPr>
          <w:rFonts w:ascii="Arial" w:hAnsi="Arial" w:cs="Arial"/>
          <w:sz w:val="18"/>
          <w:szCs w:val="18"/>
        </w:rPr>
        <w:t xml:space="preserve"> supuesto de hecho legalmente definido de manera completa y aplicar en presenci</w:t>
      </w:r>
      <w:r w:rsidRPr="005A14E0">
        <w:rPr>
          <w:rFonts w:ascii="Arial" w:hAnsi="Arial" w:cs="Arial"/>
          <w:sz w:val="18"/>
          <w:szCs w:val="18"/>
        </w:rPr>
        <w:t>a del mismo lo que la propia Ley ha determinado también agotadoramente […] La decisión en que consista el ejercicio de la potestad es obligatoria en presencia de dicho supuesto y su contenido no puede ser configurado libremente por la Administración, sino que ha de limitarse a lo que la propia Ley ha previsto sobre ese contenido de modo preciso y completo» (GARCÍA DE ENTERRÍA, Eduardo; y FERNÁNDEZ, Tom</w:t>
      </w:r>
      <w:r>
        <w:rPr>
          <w:rFonts w:ascii="Arial" w:hAnsi="Arial" w:cs="Arial"/>
          <w:sz w:val="18"/>
          <w:szCs w:val="18"/>
        </w:rPr>
        <w:t>á</w:t>
      </w:r>
      <w:r w:rsidRPr="005A14E0">
        <w:rPr>
          <w:rFonts w:ascii="Arial" w:hAnsi="Arial" w:cs="Arial"/>
          <w:sz w:val="18"/>
          <w:szCs w:val="18"/>
        </w:rPr>
        <w:t>s</w:t>
      </w:r>
      <w:r>
        <w:rPr>
          <w:rFonts w:ascii="Arial" w:hAnsi="Arial" w:cs="Arial"/>
          <w:sz w:val="18"/>
          <w:szCs w:val="18"/>
        </w:rPr>
        <w:t>-Ramón</w:t>
      </w:r>
      <w:r w:rsidRPr="005A14E0">
        <w:rPr>
          <w:rFonts w:ascii="Arial" w:hAnsi="Arial" w:cs="Arial"/>
          <w:sz w:val="18"/>
          <w:szCs w:val="18"/>
        </w:rPr>
        <w:t>. Curso de derecho administrativo. Tomo I. Madrid: Civitas, 1997. pp. 444-445)</w:t>
      </w:r>
    </w:p>
    <w:p w14:paraId="776E4785" w14:textId="77777777" w:rsidR="00D61DBE" w:rsidRPr="005A14E0" w:rsidRDefault="00D61DBE" w:rsidP="00D61DBE">
      <w:pPr>
        <w:pStyle w:val="Textonotapie"/>
        <w:ind w:firstLine="709"/>
        <w:jc w:val="both"/>
        <w:rPr>
          <w:rFonts w:ascii="Arial" w:hAnsi="Arial" w:cs="Arial"/>
          <w:sz w:val="18"/>
          <w:szCs w:val="18"/>
        </w:rPr>
      </w:pPr>
    </w:p>
  </w:footnote>
  <w:footnote w:id="7">
    <w:p w14:paraId="5CBAA43D" w14:textId="77777777" w:rsidR="00D61DBE" w:rsidRPr="00DA5414" w:rsidRDefault="00D61DBE" w:rsidP="00D61DBE">
      <w:pPr>
        <w:pStyle w:val="Textonotapie"/>
        <w:ind w:firstLine="709"/>
        <w:jc w:val="both"/>
        <w:rPr>
          <w:rFonts w:ascii="Arial" w:hAnsi="Arial" w:cs="Arial"/>
          <w:sz w:val="18"/>
          <w:szCs w:val="18"/>
        </w:rPr>
      </w:pPr>
      <w:r w:rsidRPr="00D035F8">
        <w:rPr>
          <w:rStyle w:val="Refdenotaalpie"/>
          <w:rFonts w:ascii="Arial" w:hAnsi="Arial" w:cs="Arial"/>
          <w:sz w:val="18"/>
          <w:szCs w:val="18"/>
        </w:rPr>
        <w:footnoteRef/>
      </w:r>
      <w:r w:rsidRPr="00D035F8">
        <w:rPr>
          <w:rFonts w:ascii="Arial" w:hAnsi="Arial" w:cs="Arial"/>
          <w:sz w:val="18"/>
          <w:szCs w:val="18"/>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w:t>
      </w:r>
      <w:r w:rsidRPr="00DA5414">
        <w:rPr>
          <w:rFonts w:ascii="Arial" w:hAnsi="Arial" w:cs="Arial"/>
          <w:sz w:val="18"/>
          <w:szCs w:val="18"/>
        </w:rPr>
        <w:t>oficioso a las actuaciones».</w:t>
      </w:r>
    </w:p>
    <w:p w14:paraId="7F3B99CA" w14:textId="77777777" w:rsidR="00D61DBE" w:rsidRPr="005A14E0" w:rsidRDefault="00D61DBE" w:rsidP="00D61DBE">
      <w:pPr>
        <w:pStyle w:val="Textonotapie"/>
        <w:ind w:firstLine="709"/>
        <w:jc w:val="both"/>
        <w:rPr>
          <w:rFonts w:ascii="Arial" w:hAnsi="Arial" w:cs="Arial"/>
          <w:sz w:val="18"/>
          <w:szCs w:val="18"/>
        </w:rPr>
      </w:pPr>
    </w:p>
  </w:footnote>
  <w:footnote w:id="8">
    <w:p w14:paraId="2C87CE39" w14:textId="77777777" w:rsidR="00D61DBE" w:rsidRPr="005A14E0" w:rsidRDefault="00D61DBE" w:rsidP="00D61DBE">
      <w:pPr>
        <w:ind w:firstLine="709"/>
        <w:jc w:val="both"/>
        <w:rPr>
          <w:rFonts w:ascii="Arial" w:hAnsi="Arial" w:cs="Arial"/>
          <w:sz w:val="18"/>
          <w:szCs w:val="18"/>
          <w:lang w:val="es-ES"/>
        </w:rPr>
      </w:pPr>
      <w:r w:rsidRPr="00D035F8">
        <w:rPr>
          <w:rStyle w:val="Refdenotaalpie"/>
          <w:rFonts w:ascii="Arial" w:hAnsi="Arial" w:cs="Arial"/>
          <w:sz w:val="18"/>
          <w:szCs w:val="18"/>
        </w:rPr>
        <w:footnoteRef/>
      </w:r>
      <w:r w:rsidRPr="00D035F8">
        <w:rPr>
          <w:rFonts w:ascii="Arial" w:hAnsi="Arial" w:cs="Arial"/>
          <w:sz w:val="18"/>
          <w:szCs w:val="18"/>
        </w:rPr>
        <w:t xml:space="preserve"> </w:t>
      </w:r>
      <w:r w:rsidRPr="00D035F8">
        <w:rPr>
          <w:rFonts w:ascii="Arial" w:hAnsi="Arial" w:cs="Arial"/>
          <w:sz w:val="18"/>
          <w:szCs w:val="18"/>
          <w:lang w:val="es-ES"/>
        </w:rPr>
        <w:t>En efecto, el artículo 5 del Decreto 019 de 2012 prevé lo siguiente: «Las normas de procedimiento administrativo deben ser utilizadas para agilizar las decisiones; los procedimientos se deben adelantar en el menor tiempo y c</w:t>
      </w:r>
      <w:r w:rsidRPr="00DA5414">
        <w:rPr>
          <w:rFonts w:ascii="Arial" w:hAnsi="Arial" w:cs="Arial"/>
          <w:sz w:val="18"/>
          <w:szCs w:val="18"/>
          <w:lang w:val="es-ES"/>
        </w:rPr>
        <w:t>on la menor cantidad de gastos de quienes intervienen en ellos; las autoridades</w:t>
      </w:r>
      <w:r w:rsidRPr="005A14E0">
        <w:rPr>
          <w:rFonts w:ascii="Arial" w:hAnsi="Arial" w:cs="Arial"/>
          <w:sz w:val="18"/>
          <w:szCs w:val="18"/>
          <w:lang w:val="es-ES"/>
        </w:rPr>
        <w:t xml:space="preserve">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70FF33A6" w14:textId="77777777" w:rsidR="00D61DBE" w:rsidRPr="005A14E0" w:rsidRDefault="00D61DBE" w:rsidP="00D61DBE">
      <w:pPr>
        <w:ind w:firstLine="709"/>
        <w:jc w:val="both"/>
        <w:rPr>
          <w:rFonts w:ascii="Arial" w:hAnsi="Arial" w:cs="Arial"/>
          <w:sz w:val="18"/>
          <w:szCs w:val="18"/>
          <w:lang w:val="es-ES"/>
        </w:rPr>
      </w:pPr>
    </w:p>
  </w:footnote>
  <w:footnote w:id="9">
    <w:p w14:paraId="02422036" w14:textId="77777777" w:rsidR="00A816B5" w:rsidRPr="00A816B5" w:rsidRDefault="00A816B5" w:rsidP="00A816B5">
      <w:pPr>
        <w:pStyle w:val="Textonotapie"/>
        <w:ind w:firstLine="708"/>
        <w:jc w:val="both"/>
        <w:rPr>
          <w:rFonts w:ascii="Arial" w:hAnsi="Arial" w:cs="Arial"/>
          <w:color w:val="000000"/>
          <w:sz w:val="19"/>
          <w:szCs w:val="19"/>
        </w:rPr>
      </w:pPr>
      <w:r w:rsidRPr="00A816B5">
        <w:rPr>
          <w:rStyle w:val="Refdenotaalpie"/>
          <w:rFonts w:ascii="Arial" w:hAnsi="Arial" w:cs="Arial"/>
          <w:color w:val="000000"/>
          <w:sz w:val="19"/>
          <w:szCs w:val="19"/>
        </w:rPr>
        <w:footnoteRef/>
      </w:r>
      <w:r w:rsidRPr="00A816B5">
        <w:rPr>
          <w:rFonts w:ascii="Arial" w:hAnsi="Arial" w:cs="Arial"/>
          <w:color w:val="000000"/>
          <w:sz w:val="19"/>
          <w:szCs w:val="19"/>
        </w:rPr>
        <w:t xml:space="preserve"> BANCO DE LA REPÚBLICA. Circular Reglamentaria Externa – DOAM- 146 de 4 de noviembre de 2020. </w:t>
      </w:r>
    </w:p>
    <w:p w14:paraId="3DDA7582" w14:textId="77777777" w:rsidR="00A816B5" w:rsidRPr="00A816B5" w:rsidRDefault="00A816B5" w:rsidP="00A816B5">
      <w:pPr>
        <w:pStyle w:val="Textonotapie"/>
        <w:ind w:firstLine="708"/>
        <w:jc w:val="both"/>
        <w:rPr>
          <w:rFonts w:ascii="Arial" w:hAnsi="Arial" w:cs="Arial"/>
          <w:color w:val="000000"/>
          <w:sz w:val="19"/>
          <w:szCs w:val="19"/>
        </w:rPr>
      </w:pPr>
    </w:p>
  </w:footnote>
  <w:footnote w:id="10">
    <w:p w14:paraId="00DAD76C" w14:textId="77777777" w:rsidR="00A816B5" w:rsidRPr="00A816B5" w:rsidRDefault="00A816B5" w:rsidP="00A816B5">
      <w:pPr>
        <w:pStyle w:val="Textonotapie"/>
        <w:ind w:firstLine="708"/>
        <w:jc w:val="both"/>
        <w:rPr>
          <w:rFonts w:ascii="Arial" w:hAnsi="Arial" w:cs="Arial"/>
          <w:color w:val="000000"/>
          <w:sz w:val="19"/>
          <w:szCs w:val="19"/>
        </w:rPr>
      </w:pPr>
      <w:r w:rsidRPr="00A816B5">
        <w:rPr>
          <w:rStyle w:val="Refdenotaalpie"/>
          <w:rFonts w:ascii="Arial" w:hAnsi="Arial" w:cs="Arial"/>
          <w:color w:val="000000"/>
          <w:sz w:val="19"/>
          <w:szCs w:val="19"/>
        </w:rPr>
        <w:footnoteRef/>
      </w:r>
      <w:r w:rsidRPr="00A816B5">
        <w:rPr>
          <w:rFonts w:ascii="Arial" w:hAnsi="Arial" w:cs="Arial"/>
          <w:color w:val="000000"/>
          <w:sz w:val="19"/>
          <w:szCs w:val="19"/>
        </w:rPr>
        <w:t xml:space="preserve"> BANCO DE LA REPÚBLICA. Disponible en línea: </w:t>
      </w:r>
      <w:hyperlink r:id="rId1" w:history="1">
        <w:r w:rsidRPr="00A816B5">
          <w:rPr>
            <w:rStyle w:val="Hipervnculo1"/>
            <w:rFonts w:ascii="Arial" w:hAnsi="Arial" w:cs="Arial"/>
            <w:color w:val="000000"/>
            <w:sz w:val="19"/>
            <w:szCs w:val="19"/>
          </w:rPr>
          <w:t>https://www.banrep.gov.co/es/estadisticas/trm</w:t>
        </w:r>
      </w:hyperlink>
      <w:r w:rsidRPr="00A816B5">
        <w:rPr>
          <w:rStyle w:val="Hipervnculo1"/>
          <w:rFonts w:ascii="Arial" w:hAnsi="Arial" w:cs="Arial"/>
          <w:color w:val="000000"/>
          <w:sz w:val="19"/>
          <w:szCs w:val="19"/>
        </w:rPr>
        <w:t xml:space="preserve">. Consultado el 3 de diciembre de 2021. </w:t>
      </w:r>
      <w:r w:rsidRPr="00A816B5">
        <w:rPr>
          <w:rFonts w:ascii="Arial" w:hAnsi="Arial" w:cs="Arial"/>
          <w:color w:val="000000"/>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EDD3" w14:textId="77777777" w:rsidR="00146156" w:rsidRDefault="00146156" w:rsidP="00146156">
    <w:pPr>
      <w:pStyle w:val="Encabezado"/>
    </w:pPr>
  </w:p>
  <w:p w14:paraId="71F865DC" w14:textId="6EA98C7F" w:rsidR="00146156" w:rsidRDefault="00146156" w:rsidP="00146156">
    <w:pPr>
      <w:pStyle w:val="Encabezado"/>
    </w:pPr>
    <w:r>
      <w:rPr>
        <w:noProof/>
        <w:lang w:val="en-US"/>
      </w:rPr>
      <w:drawing>
        <wp:anchor distT="0" distB="0" distL="114300" distR="114300" simplePos="0" relativeHeight="251659776" behindDoc="1" locked="0" layoutInCell="1" allowOverlap="1" wp14:anchorId="06528C34" wp14:editId="09B48A37">
          <wp:simplePos x="0" y="0"/>
          <wp:positionH relativeFrom="column">
            <wp:posOffset>4753610</wp:posOffset>
          </wp:positionH>
          <wp:positionV relativeFrom="paragraph">
            <wp:posOffset>114300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7FD6B3" w14:textId="77777777" w:rsidR="00146156" w:rsidRDefault="00146156" w:rsidP="00146156">
    <w:pPr>
      <w:pStyle w:val="Encabezado"/>
    </w:pPr>
  </w:p>
  <w:p w14:paraId="6168A36E" w14:textId="77777777" w:rsidR="00146156" w:rsidRDefault="00146156" w:rsidP="00146156">
    <w:pPr>
      <w:pStyle w:val="Encabezado"/>
    </w:pPr>
  </w:p>
  <w:p w14:paraId="1457B436" w14:textId="77777777" w:rsidR="009D1F74" w:rsidRDefault="009D1F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FED"/>
    <w:multiLevelType w:val="hybridMultilevel"/>
    <w:tmpl w:val="17B270D8"/>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C06310"/>
    <w:multiLevelType w:val="multilevel"/>
    <w:tmpl w:val="923CB4E6"/>
    <w:lvl w:ilvl="0">
      <w:start w:val="1"/>
      <w:numFmt w:val="decimal"/>
      <w:lvlText w:val="%1."/>
      <w:lvlJc w:val="left"/>
      <w:pPr>
        <w:ind w:left="6241" w:hanging="360"/>
      </w:pPr>
      <w:rPr>
        <w:b/>
        <w:color w:val="auto"/>
      </w:rPr>
    </w:lvl>
    <w:lvl w:ilvl="1">
      <w:start w:val="2"/>
      <w:numFmt w:val="decimal"/>
      <w:isLgl/>
      <w:lvlText w:val="%1.%2"/>
      <w:lvlJc w:val="left"/>
      <w:pPr>
        <w:ind w:left="5881" w:hanging="360"/>
      </w:pPr>
    </w:lvl>
    <w:lvl w:ilvl="2">
      <w:start w:val="1"/>
      <w:numFmt w:val="decimal"/>
      <w:isLgl/>
      <w:lvlText w:val="%1.%2.%3"/>
      <w:lvlJc w:val="left"/>
      <w:pPr>
        <w:ind w:left="6601" w:hanging="720"/>
      </w:pPr>
    </w:lvl>
    <w:lvl w:ilvl="3">
      <w:start w:val="1"/>
      <w:numFmt w:val="decimal"/>
      <w:isLgl/>
      <w:lvlText w:val="%1.%2.%3.%4"/>
      <w:lvlJc w:val="left"/>
      <w:pPr>
        <w:ind w:left="6601" w:hanging="720"/>
      </w:pPr>
    </w:lvl>
    <w:lvl w:ilvl="4">
      <w:start w:val="1"/>
      <w:numFmt w:val="decimal"/>
      <w:isLgl/>
      <w:lvlText w:val="%1.%2.%3.%4.%5"/>
      <w:lvlJc w:val="left"/>
      <w:pPr>
        <w:ind w:left="6961" w:hanging="1080"/>
      </w:pPr>
    </w:lvl>
    <w:lvl w:ilvl="5">
      <w:start w:val="1"/>
      <w:numFmt w:val="decimal"/>
      <w:isLgl/>
      <w:lvlText w:val="%1.%2.%3.%4.%5.%6"/>
      <w:lvlJc w:val="left"/>
      <w:pPr>
        <w:ind w:left="6961" w:hanging="1080"/>
      </w:pPr>
    </w:lvl>
    <w:lvl w:ilvl="6">
      <w:start w:val="1"/>
      <w:numFmt w:val="decimal"/>
      <w:isLgl/>
      <w:lvlText w:val="%1.%2.%3.%4.%5.%6.%7"/>
      <w:lvlJc w:val="left"/>
      <w:pPr>
        <w:ind w:left="7321" w:hanging="1440"/>
      </w:pPr>
    </w:lvl>
    <w:lvl w:ilvl="7">
      <w:start w:val="1"/>
      <w:numFmt w:val="decimal"/>
      <w:isLgl/>
      <w:lvlText w:val="%1.%2.%3.%4.%5.%6.%7.%8"/>
      <w:lvlJc w:val="left"/>
      <w:pPr>
        <w:ind w:left="7321" w:hanging="1440"/>
      </w:pPr>
    </w:lvl>
    <w:lvl w:ilvl="8">
      <w:start w:val="1"/>
      <w:numFmt w:val="decimal"/>
      <w:isLgl/>
      <w:lvlText w:val="%1.%2.%3.%4.%5.%6.%7.%8.%9"/>
      <w:lvlJc w:val="left"/>
      <w:pPr>
        <w:ind w:left="7681" w:hanging="1800"/>
      </w:pPr>
    </w:lvl>
  </w:abstractNum>
  <w:abstractNum w:abstractNumId="2" w15:restartNumberingAfterBreak="0">
    <w:nsid w:val="10E2574C"/>
    <w:multiLevelType w:val="hybridMultilevel"/>
    <w:tmpl w:val="77101136"/>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8016FFA"/>
    <w:multiLevelType w:val="hybridMultilevel"/>
    <w:tmpl w:val="76980B5C"/>
    <w:lvl w:ilvl="0" w:tplc="45F0579C">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382DC4"/>
    <w:multiLevelType w:val="hybridMultilevel"/>
    <w:tmpl w:val="E2EAAFB4"/>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812437C"/>
    <w:multiLevelType w:val="hybridMultilevel"/>
    <w:tmpl w:val="6EB0EDD8"/>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F5371AE"/>
    <w:multiLevelType w:val="hybridMultilevel"/>
    <w:tmpl w:val="F88CA0EC"/>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A0C4E2E"/>
    <w:multiLevelType w:val="hybridMultilevel"/>
    <w:tmpl w:val="B7666588"/>
    <w:lvl w:ilvl="0" w:tplc="C8DE6E8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5DF36F1B"/>
    <w:multiLevelType w:val="hybridMultilevel"/>
    <w:tmpl w:val="8096864C"/>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20C3BE4"/>
    <w:multiLevelType w:val="hybridMultilevel"/>
    <w:tmpl w:val="B9F0D03C"/>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FA77192"/>
    <w:multiLevelType w:val="hybridMultilevel"/>
    <w:tmpl w:val="356E03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7534534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5299110">
    <w:abstractNumId w:val="10"/>
  </w:num>
  <w:num w:numId="3" w16cid:durableId="1889147114">
    <w:abstractNumId w:val="7"/>
  </w:num>
  <w:num w:numId="4" w16cid:durableId="1351224235">
    <w:abstractNumId w:val="3"/>
  </w:num>
  <w:num w:numId="5" w16cid:durableId="1454521597">
    <w:abstractNumId w:val="2"/>
  </w:num>
  <w:num w:numId="6" w16cid:durableId="1942688834">
    <w:abstractNumId w:val="8"/>
  </w:num>
  <w:num w:numId="7" w16cid:durableId="1441418177">
    <w:abstractNumId w:val="6"/>
  </w:num>
  <w:num w:numId="8" w16cid:durableId="1888030835">
    <w:abstractNumId w:val="0"/>
  </w:num>
  <w:num w:numId="9" w16cid:durableId="792289858">
    <w:abstractNumId w:val="4"/>
  </w:num>
  <w:num w:numId="10" w16cid:durableId="1437754254">
    <w:abstractNumId w:val="5"/>
  </w:num>
  <w:num w:numId="11" w16cid:durableId="1816247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112"/>
    <w:rsid w:val="0000026C"/>
    <w:rsid w:val="000002B7"/>
    <w:rsid w:val="00001CF7"/>
    <w:rsid w:val="000142B7"/>
    <w:rsid w:val="00021AEC"/>
    <w:rsid w:val="0002601B"/>
    <w:rsid w:val="00026DB6"/>
    <w:rsid w:val="000352B5"/>
    <w:rsid w:val="00036B56"/>
    <w:rsid w:val="00047EBA"/>
    <w:rsid w:val="00054D2B"/>
    <w:rsid w:val="0006447D"/>
    <w:rsid w:val="0007244D"/>
    <w:rsid w:val="00077074"/>
    <w:rsid w:val="000810A1"/>
    <w:rsid w:val="00084812"/>
    <w:rsid w:val="000879CF"/>
    <w:rsid w:val="000B4D44"/>
    <w:rsid w:val="000B5840"/>
    <w:rsid w:val="000C5AE5"/>
    <w:rsid w:val="000E59B7"/>
    <w:rsid w:val="000F2E04"/>
    <w:rsid w:val="00105B49"/>
    <w:rsid w:val="00110F0A"/>
    <w:rsid w:val="00112069"/>
    <w:rsid w:val="001175DA"/>
    <w:rsid w:val="00123FAE"/>
    <w:rsid w:val="001426E9"/>
    <w:rsid w:val="001453AF"/>
    <w:rsid w:val="00146156"/>
    <w:rsid w:val="001537EE"/>
    <w:rsid w:val="0016016F"/>
    <w:rsid w:val="00165A36"/>
    <w:rsid w:val="00175F6D"/>
    <w:rsid w:val="00177B0A"/>
    <w:rsid w:val="001852B2"/>
    <w:rsid w:val="00192926"/>
    <w:rsid w:val="00195A38"/>
    <w:rsid w:val="001A425D"/>
    <w:rsid w:val="001A4386"/>
    <w:rsid w:val="001A468B"/>
    <w:rsid w:val="001B1BC6"/>
    <w:rsid w:val="001B4C74"/>
    <w:rsid w:val="001C4260"/>
    <w:rsid w:val="001C57B7"/>
    <w:rsid w:val="001D267C"/>
    <w:rsid w:val="001D42A2"/>
    <w:rsid w:val="001E05DE"/>
    <w:rsid w:val="001F2548"/>
    <w:rsid w:val="0020741B"/>
    <w:rsid w:val="0021776D"/>
    <w:rsid w:val="00230B29"/>
    <w:rsid w:val="002368E5"/>
    <w:rsid w:val="002430E1"/>
    <w:rsid w:val="002539AB"/>
    <w:rsid w:val="00253D26"/>
    <w:rsid w:val="00264DBF"/>
    <w:rsid w:val="0027706B"/>
    <w:rsid w:val="002812CC"/>
    <w:rsid w:val="002833CC"/>
    <w:rsid w:val="00286D86"/>
    <w:rsid w:val="002A0D70"/>
    <w:rsid w:val="002A49DA"/>
    <w:rsid w:val="002A6137"/>
    <w:rsid w:val="002B75F8"/>
    <w:rsid w:val="002C3FEC"/>
    <w:rsid w:val="002D1858"/>
    <w:rsid w:val="002D3ACF"/>
    <w:rsid w:val="002D56B4"/>
    <w:rsid w:val="002E08A3"/>
    <w:rsid w:val="002E6E05"/>
    <w:rsid w:val="002F305A"/>
    <w:rsid w:val="00312C2C"/>
    <w:rsid w:val="003255AD"/>
    <w:rsid w:val="00325C7F"/>
    <w:rsid w:val="00325E4D"/>
    <w:rsid w:val="003321F9"/>
    <w:rsid w:val="00342EC3"/>
    <w:rsid w:val="0034389E"/>
    <w:rsid w:val="00343A92"/>
    <w:rsid w:val="00345E68"/>
    <w:rsid w:val="0034733B"/>
    <w:rsid w:val="003500FE"/>
    <w:rsid w:val="003622D8"/>
    <w:rsid w:val="0037490B"/>
    <w:rsid w:val="003772DC"/>
    <w:rsid w:val="00387064"/>
    <w:rsid w:val="003900C5"/>
    <w:rsid w:val="00393356"/>
    <w:rsid w:val="00397A2A"/>
    <w:rsid w:val="003A1D1C"/>
    <w:rsid w:val="003B32EA"/>
    <w:rsid w:val="003B461A"/>
    <w:rsid w:val="003B47A7"/>
    <w:rsid w:val="003C75CE"/>
    <w:rsid w:val="003D271E"/>
    <w:rsid w:val="003E002C"/>
    <w:rsid w:val="003F1149"/>
    <w:rsid w:val="003F13ED"/>
    <w:rsid w:val="003F595B"/>
    <w:rsid w:val="00411E0D"/>
    <w:rsid w:val="0042354E"/>
    <w:rsid w:val="00431CED"/>
    <w:rsid w:val="00435767"/>
    <w:rsid w:val="00436D2F"/>
    <w:rsid w:val="00444CAB"/>
    <w:rsid w:val="00452EE7"/>
    <w:rsid w:val="00455DC9"/>
    <w:rsid w:val="00456AA2"/>
    <w:rsid w:val="004636CF"/>
    <w:rsid w:val="00483796"/>
    <w:rsid w:val="004853B8"/>
    <w:rsid w:val="0049674A"/>
    <w:rsid w:val="004A064E"/>
    <w:rsid w:val="004A22C5"/>
    <w:rsid w:val="004A5C5F"/>
    <w:rsid w:val="004C1809"/>
    <w:rsid w:val="004C2569"/>
    <w:rsid w:val="004C332B"/>
    <w:rsid w:val="004D1732"/>
    <w:rsid w:val="004D2116"/>
    <w:rsid w:val="004D2BBA"/>
    <w:rsid w:val="00515F3D"/>
    <w:rsid w:val="00516930"/>
    <w:rsid w:val="00524F9F"/>
    <w:rsid w:val="0053077A"/>
    <w:rsid w:val="00536884"/>
    <w:rsid w:val="00536B67"/>
    <w:rsid w:val="0055101F"/>
    <w:rsid w:val="00551914"/>
    <w:rsid w:val="00551F4A"/>
    <w:rsid w:val="00556591"/>
    <w:rsid w:val="005614ED"/>
    <w:rsid w:val="00564F48"/>
    <w:rsid w:val="0056577E"/>
    <w:rsid w:val="005701DB"/>
    <w:rsid w:val="0057064E"/>
    <w:rsid w:val="005A4912"/>
    <w:rsid w:val="005A79E0"/>
    <w:rsid w:val="005B43E8"/>
    <w:rsid w:val="005C4624"/>
    <w:rsid w:val="005E40F9"/>
    <w:rsid w:val="005E7BB2"/>
    <w:rsid w:val="005F3A02"/>
    <w:rsid w:val="005F454D"/>
    <w:rsid w:val="00601F06"/>
    <w:rsid w:val="0060575A"/>
    <w:rsid w:val="0060695D"/>
    <w:rsid w:val="00607DC1"/>
    <w:rsid w:val="0061413C"/>
    <w:rsid w:val="0063541B"/>
    <w:rsid w:val="00651D2F"/>
    <w:rsid w:val="00654044"/>
    <w:rsid w:val="00657E00"/>
    <w:rsid w:val="0066416F"/>
    <w:rsid w:val="00672697"/>
    <w:rsid w:val="00675ADC"/>
    <w:rsid w:val="006835FF"/>
    <w:rsid w:val="00687878"/>
    <w:rsid w:val="00690991"/>
    <w:rsid w:val="006910E0"/>
    <w:rsid w:val="006B1584"/>
    <w:rsid w:val="006B5B8C"/>
    <w:rsid w:val="006C4F41"/>
    <w:rsid w:val="006C5FEB"/>
    <w:rsid w:val="006D2F4B"/>
    <w:rsid w:val="006E20BA"/>
    <w:rsid w:val="006E448D"/>
    <w:rsid w:val="006F2BB3"/>
    <w:rsid w:val="006F5D6D"/>
    <w:rsid w:val="006F70AD"/>
    <w:rsid w:val="0071577B"/>
    <w:rsid w:val="00721A08"/>
    <w:rsid w:val="007407E8"/>
    <w:rsid w:val="00747CF3"/>
    <w:rsid w:val="00747F4B"/>
    <w:rsid w:val="00750F32"/>
    <w:rsid w:val="00755936"/>
    <w:rsid w:val="00755FEA"/>
    <w:rsid w:val="007672C6"/>
    <w:rsid w:val="0077221B"/>
    <w:rsid w:val="00772FF0"/>
    <w:rsid w:val="00792508"/>
    <w:rsid w:val="007A0959"/>
    <w:rsid w:val="007A6505"/>
    <w:rsid w:val="007C061E"/>
    <w:rsid w:val="007C0720"/>
    <w:rsid w:val="007C6077"/>
    <w:rsid w:val="007C6130"/>
    <w:rsid w:val="007D63D7"/>
    <w:rsid w:val="00806859"/>
    <w:rsid w:val="008074B8"/>
    <w:rsid w:val="0081518F"/>
    <w:rsid w:val="008157B8"/>
    <w:rsid w:val="00822ED6"/>
    <w:rsid w:val="0082705E"/>
    <w:rsid w:val="00837F63"/>
    <w:rsid w:val="00840EC8"/>
    <w:rsid w:val="008416BF"/>
    <w:rsid w:val="00843371"/>
    <w:rsid w:val="00845031"/>
    <w:rsid w:val="00853CC5"/>
    <w:rsid w:val="00880680"/>
    <w:rsid w:val="008938BC"/>
    <w:rsid w:val="00894883"/>
    <w:rsid w:val="008B6425"/>
    <w:rsid w:val="008D116A"/>
    <w:rsid w:val="008D663D"/>
    <w:rsid w:val="0090274A"/>
    <w:rsid w:val="009035A1"/>
    <w:rsid w:val="00905323"/>
    <w:rsid w:val="00912C92"/>
    <w:rsid w:val="00914BBB"/>
    <w:rsid w:val="00920A92"/>
    <w:rsid w:val="009274F3"/>
    <w:rsid w:val="009334AA"/>
    <w:rsid w:val="00954D90"/>
    <w:rsid w:val="00955B43"/>
    <w:rsid w:val="00957A35"/>
    <w:rsid w:val="00963EE4"/>
    <w:rsid w:val="009675A7"/>
    <w:rsid w:val="0097608D"/>
    <w:rsid w:val="00980F7A"/>
    <w:rsid w:val="00983D80"/>
    <w:rsid w:val="00984FCC"/>
    <w:rsid w:val="009A6C2B"/>
    <w:rsid w:val="009B3719"/>
    <w:rsid w:val="009B66A6"/>
    <w:rsid w:val="009C3187"/>
    <w:rsid w:val="009D0BD2"/>
    <w:rsid w:val="009D1F74"/>
    <w:rsid w:val="009E3CE2"/>
    <w:rsid w:val="009E474D"/>
    <w:rsid w:val="009F240F"/>
    <w:rsid w:val="00A01065"/>
    <w:rsid w:val="00A07FF2"/>
    <w:rsid w:val="00A1218D"/>
    <w:rsid w:val="00A12283"/>
    <w:rsid w:val="00A12A6D"/>
    <w:rsid w:val="00A317A2"/>
    <w:rsid w:val="00A32084"/>
    <w:rsid w:val="00A36171"/>
    <w:rsid w:val="00A43B30"/>
    <w:rsid w:val="00A45814"/>
    <w:rsid w:val="00A46048"/>
    <w:rsid w:val="00A47577"/>
    <w:rsid w:val="00A57ED8"/>
    <w:rsid w:val="00A816B5"/>
    <w:rsid w:val="00A868D7"/>
    <w:rsid w:val="00A953D4"/>
    <w:rsid w:val="00A96776"/>
    <w:rsid w:val="00A96B4A"/>
    <w:rsid w:val="00AB4338"/>
    <w:rsid w:val="00AC524D"/>
    <w:rsid w:val="00AC7E58"/>
    <w:rsid w:val="00AE0C88"/>
    <w:rsid w:val="00AE2AE5"/>
    <w:rsid w:val="00AE4600"/>
    <w:rsid w:val="00AE6E3B"/>
    <w:rsid w:val="00AF5124"/>
    <w:rsid w:val="00AF787F"/>
    <w:rsid w:val="00B066DE"/>
    <w:rsid w:val="00B06893"/>
    <w:rsid w:val="00B12A28"/>
    <w:rsid w:val="00B1721D"/>
    <w:rsid w:val="00B25B99"/>
    <w:rsid w:val="00B27947"/>
    <w:rsid w:val="00B30B3C"/>
    <w:rsid w:val="00B426CA"/>
    <w:rsid w:val="00B42C0F"/>
    <w:rsid w:val="00B53303"/>
    <w:rsid w:val="00B53A32"/>
    <w:rsid w:val="00B56F17"/>
    <w:rsid w:val="00B6089D"/>
    <w:rsid w:val="00B64F6C"/>
    <w:rsid w:val="00B667FF"/>
    <w:rsid w:val="00B80C0E"/>
    <w:rsid w:val="00B810E3"/>
    <w:rsid w:val="00B83754"/>
    <w:rsid w:val="00BA38ED"/>
    <w:rsid w:val="00BA7097"/>
    <w:rsid w:val="00BB1D3E"/>
    <w:rsid w:val="00BB3582"/>
    <w:rsid w:val="00BC1BE8"/>
    <w:rsid w:val="00BC6CD4"/>
    <w:rsid w:val="00BC6FDB"/>
    <w:rsid w:val="00BD316B"/>
    <w:rsid w:val="00BD47E6"/>
    <w:rsid w:val="00BF1842"/>
    <w:rsid w:val="00C01BA5"/>
    <w:rsid w:val="00C0426A"/>
    <w:rsid w:val="00C145A1"/>
    <w:rsid w:val="00C2073F"/>
    <w:rsid w:val="00C23490"/>
    <w:rsid w:val="00C313A2"/>
    <w:rsid w:val="00C50EA6"/>
    <w:rsid w:val="00C50FBB"/>
    <w:rsid w:val="00C54615"/>
    <w:rsid w:val="00C5616F"/>
    <w:rsid w:val="00C5791E"/>
    <w:rsid w:val="00C65227"/>
    <w:rsid w:val="00C7311B"/>
    <w:rsid w:val="00C9638C"/>
    <w:rsid w:val="00C97AA3"/>
    <w:rsid w:val="00CA7A63"/>
    <w:rsid w:val="00CB1503"/>
    <w:rsid w:val="00CB68F2"/>
    <w:rsid w:val="00CB772D"/>
    <w:rsid w:val="00CC3AD4"/>
    <w:rsid w:val="00CC53DD"/>
    <w:rsid w:val="00CC7571"/>
    <w:rsid w:val="00CD6CB7"/>
    <w:rsid w:val="00CE3AFC"/>
    <w:rsid w:val="00CF530B"/>
    <w:rsid w:val="00D010B7"/>
    <w:rsid w:val="00D03E11"/>
    <w:rsid w:val="00D05EEB"/>
    <w:rsid w:val="00D3097F"/>
    <w:rsid w:val="00D35D83"/>
    <w:rsid w:val="00D50E4A"/>
    <w:rsid w:val="00D51C48"/>
    <w:rsid w:val="00D5450B"/>
    <w:rsid w:val="00D5783D"/>
    <w:rsid w:val="00D60126"/>
    <w:rsid w:val="00D61DBE"/>
    <w:rsid w:val="00D90303"/>
    <w:rsid w:val="00DC7E8D"/>
    <w:rsid w:val="00DD01C8"/>
    <w:rsid w:val="00DD426F"/>
    <w:rsid w:val="00E02E01"/>
    <w:rsid w:val="00E17DFA"/>
    <w:rsid w:val="00E20C90"/>
    <w:rsid w:val="00E27A66"/>
    <w:rsid w:val="00E3205E"/>
    <w:rsid w:val="00E336DD"/>
    <w:rsid w:val="00E37AEE"/>
    <w:rsid w:val="00E42846"/>
    <w:rsid w:val="00E514B3"/>
    <w:rsid w:val="00E544CF"/>
    <w:rsid w:val="00E76CAB"/>
    <w:rsid w:val="00E87850"/>
    <w:rsid w:val="00E94DAC"/>
    <w:rsid w:val="00EA1634"/>
    <w:rsid w:val="00EA3B76"/>
    <w:rsid w:val="00EA3CD7"/>
    <w:rsid w:val="00EA410F"/>
    <w:rsid w:val="00EA65D2"/>
    <w:rsid w:val="00EB0332"/>
    <w:rsid w:val="00EB3CFF"/>
    <w:rsid w:val="00ED407B"/>
    <w:rsid w:val="00ED5A37"/>
    <w:rsid w:val="00ED5B05"/>
    <w:rsid w:val="00EE2A76"/>
    <w:rsid w:val="00EE340C"/>
    <w:rsid w:val="00EF09BD"/>
    <w:rsid w:val="00F03692"/>
    <w:rsid w:val="00F07362"/>
    <w:rsid w:val="00F20118"/>
    <w:rsid w:val="00F20E6C"/>
    <w:rsid w:val="00F22129"/>
    <w:rsid w:val="00F23F9A"/>
    <w:rsid w:val="00F273ED"/>
    <w:rsid w:val="00F33B91"/>
    <w:rsid w:val="00F37112"/>
    <w:rsid w:val="00F371BF"/>
    <w:rsid w:val="00F42655"/>
    <w:rsid w:val="00F42BB2"/>
    <w:rsid w:val="00F4683E"/>
    <w:rsid w:val="00F46BD3"/>
    <w:rsid w:val="00F511AC"/>
    <w:rsid w:val="00F65AFE"/>
    <w:rsid w:val="00F745C1"/>
    <w:rsid w:val="00F7704C"/>
    <w:rsid w:val="00F85E49"/>
    <w:rsid w:val="00F91557"/>
    <w:rsid w:val="00F93584"/>
    <w:rsid w:val="00F938B9"/>
    <w:rsid w:val="00F95F3B"/>
    <w:rsid w:val="00FA523C"/>
    <w:rsid w:val="00FC04EE"/>
    <w:rsid w:val="00FC6ABC"/>
    <w:rsid w:val="00FC7E05"/>
    <w:rsid w:val="00FD1E80"/>
    <w:rsid w:val="00FD58F2"/>
    <w:rsid w:val="00FF18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F398B"/>
  <w15:chartTrackingRefBased/>
  <w15:docId w15:val="{4AE3DA79-2842-4262-9EE7-19DDC3B9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C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3711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F37112"/>
    <w:pPr>
      <w:spacing w:after="0" w:line="240" w:lineRule="auto"/>
    </w:pPr>
    <w:rPr>
      <w:sz w:val="20"/>
      <w:szCs w:val="20"/>
      <w:lang w:val="es-MX"/>
    </w:rPr>
  </w:style>
  <w:style w:type="character" w:customStyle="1" w:styleId="TextonotapieCar1">
    <w:name w:val="Texto nota pie Car1"/>
    <w:basedOn w:val="Fuentedeprrafopredeter"/>
    <w:uiPriority w:val="99"/>
    <w:semiHidden/>
    <w:rsid w:val="00F37112"/>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F37112"/>
    <w:rPr>
      <w:vertAlign w:val="superscript"/>
    </w:rPr>
  </w:style>
  <w:style w:type="paragraph" w:customStyle="1" w:styleId="Appelnotedebasde">
    <w:name w:val="Appel note de bas de..."/>
    <w:basedOn w:val="Normal"/>
    <w:link w:val="Refdenotaalpie"/>
    <w:uiPriority w:val="99"/>
    <w:rsid w:val="00F37112"/>
    <w:pPr>
      <w:spacing w:line="240" w:lineRule="exact"/>
    </w:pPr>
    <w:rPr>
      <w:vertAlign w:val="superscript"/>
    </w:rPr>
  </w:style>
  <w:style w:type="character" w:styleId="Textoennegrita">
    <w:name w:val="Strong"/>
    <w:basedOn w:val="Fuentedeprrafopredeter"/>
    <w:uiPriority w:val="22"/>
    <w:qFormat/>
    <w:rsid w:val="00455DC9"/>
    <w:rPr>
      <w:b/>
      <w:bCs/>
    </w:rPr>
  </w:style>
  <w:style w:type="character" w:styleId="nfasis">
    <w:name w:val="Emphasis"/>
    <w:basedOn w:val="Fuentedeprrafopredeter"/>
    <w:uiPriority w:val="20"/>
    <w:qFormat/>
    <w:rsid w:val="00455DC9"/>
    <w:rPr>
      <w:i/>
      <w:iCs/>
    </w:rPr>
  </w:style>
  <w:style w:type="table" w:styleId="Tablaconcuadrcula">
    <w:name w:val="Table Grid"/>
    <w:basedOn w:val="Tablanormal"/>
    <w:uiPriority w:val="59"/>
    <w:rsid w:val="0045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455DC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455DC9"/>
    <w:rPr>
      <w:rFonts w:ascii="Times New Roman" w:eastAsia="Times New Roman" w:hAnsi="Times New Roman" w:cs="Times New Roman"/>
      <w:sz w:val="24"/>
      <w:szCs w:val="24"/>
      <w:lang w:eastAsia="es-CO"/>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BF1842"/>
    <w:pPr>
      <w:spacing w:after="0" w:line="240" w:lineRule="auto"/>
      <w:ind w:left="720"/>
      <w:contextualSpacing/>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F1842"/>
    <w:rPr>
      <w:sz w:val="24"/>
      <w:lang w:val="es-MX"/>
    </w:rPr>
  </w:style>
  <w:style w:type="paragraph" w:styleId="Encabezado">
    <w:name w:val="header"/>
    <w:basedOn w:val="Normal"/>
    <w:link w:val="EncabezadoCar"/>
    <w:uiPriority w:val="99"/>
    <w:unhideWhenUsed/>
    <w:rsid w:val="009D1F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1F74"/>
  </w:style>
  <w:style w:type="paragraph" w:styleId="Piedepgina">
    <w:name w:val="footer"/>
    <w:basedOn w:val="Normal"/>
    <w:link w:val="PiedepginaCar"/>
    <w:uiPriority w:val="99"/>
    <w:unhideWhenUsed/>
    <w:rsid w:val="009D1F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1F74"/>
  </w:style>
  <w:style w:type="paragraph" w:styleId="Sinespaciado">
    <w:name w:val="No Spacing"/>
    <w:uiPriority w:val="1"/>
    <w:qFormat/>
    <w:rsid w:val="009D1F74"/>
    <w:pPr>
      <w:spacing w:after="0" w:line="240" w:lineRule="auto"/>
    </w:pPr>
    <w:rPr>
      <w:sz w:val="24"/>
      <w:lang w:val="es-MX"/>
    </w:rPr>
  </w:style>
  <w:style w:type="character" w:styleId="Refdecomentario">
    <w:name w:val="annotation reference"/>
    <w:basedOn w:val="Fuentedeprrafopredeter"/>
    <w:uiPriority w:val="99"/>
    <w:semiHidden/>
    <w:unhideWhenUsed/>
    <w:rsid w:val="002A0D70"/>
    <w:rPr>
      <w:sz w:val="16"/>
      <w:szCs w:val="16"/>
    </w:rPr>
  </w:style>
  <w:style w:type="paragraph" w:styleId="Textocomentario">
    <w:name w:val="annotation text"/>
    <w:basedOn w:val="Normal"/>
    <w:link w:val="TextocomentarioCar"/>
    <w:uiPriority w:val="99"/>
    <w:unhideWhenUsed/>
    <w:rsid w:val="002A0D70"/>
    <w:pPr>
      <w:spacing w:line="240" w:lineRule="auto"/>
    </w:pPr>
    <w:rPr>
      <w:sz w:val="20"/>
      <w:szCs w:val="20"/>
    </w:rPr>
  </w:style>
  <w:style w:type="character" w:customStyle="1" w:styleId="TextocomentarioCar">
    <w:name w:val="Texto comentario Car"/>
    <w:basedOn w:val="Fuentedeprrafopredeter"/>
    <w:link w:val="Textocomentario"/>
    <w:uiPriority w:val="99"/>
    <w:rsid w:val="002A0D70"/>
    <w:rPr>
      <w:sz w:val="20"/>
      <w:szCs w:val="20"/>
    </w:rPr>
  </w:style>
  <w:style w:type="paragraph" w:styleId="Asuntodelcomentario">
    <w:name w:val="annotation subject"/>
    <w:basedOn w:val="Textocomentario"/>
    <w:next w:val="Textocomentario"/>
    <w:link w:val="AsuntodelcomentarioCar"/>
    <w:uiPriority w:val="99"/>
    <w:semiHidden/>
    <w:unhideWhenUsed/>
    <w:rsid w:val="002A0D70"/>
    <w:rPr>
      <w:b/>
      <w:bCs/>
    </w:rPr>
  </w:style>
  <w:style w:type="character" w:customStyle="1" w:styleId="AsuntodelcomentarioCar">
    <w:name w:val="Asunto del comentario Car"/>
    <w:basedOn w:val="TextocomentarioCar"/>
    <w:link w:val="Asuntodelcomentario"/>
    <w:uiPriority w:val="99"/>
    <w:semiHidden/>
    <w:rsid w:val="002A0D70"/>
    <w:rPr>
      <w:b/>
      <w:bCs/>
      <w:sz w:val="20"/>
      <w:szCs w:val="20"/>
    </w:rPr>
  </w:style>
  <w:style w:type="paragraph" w:customStyle="1" w:styleId="Normal11pt">
    <w:name w:val="Normal + 11 pt"/>
    <w:aliases w:val="Negro,Justificado,Izquierda:  -0,95 cm,Derecha:  0,04 cm"/>
    <w:basedOn w:val="Normal"/>
    <w:uiPriority w:val="99"/>
    <w:rsid w:val="00607DC1"/>
    <w:pPr>
      <w:spacing w:after="0" w:line="240" w:lineRule="auto"/>
      <w:ind w:left="-540"/>
      <w:jc w:val="both"/>
    </w:pPr>
    <w:rPr>
      <w:rFonts w:ascii="Arial" w:eastAsia="Times New Roman" w:hAnsi="Arial" w:cs="Arial"/>
      <w:color w:val="000000"/>
      <w:lang w:val="es-ES_tradnl" w:eastAsia="es-ES"/>
    </w:rPr>
  </w:style>
  <w:style w:type="character" w:customStyle="1" w:styleId="Hipervnculo1">
    <w:name w:val="Hipervínculo1"/>
    <w:basedOn w:val="Fuentedeprrafopredeter"/>
    <w:uiPriority w:val="99"/>
    <w:unhideWhenUsed/>
    <w:rsid w:val="00A816B5"/>
    <w:rPr>
      <w:color w:val="0000FF"/>
      <w:u w:val="single"/>
    </w:rPr>
  </w:style>
  <w:style w:type="table" w:customStyle="1" w:styleId="Tablaconcuadrcula1">
    <w:name w:val="Tabla con cuadrícula1"/>
    <w:basedOn w:val="Tablanormal"/>
    <w:next w:val="Tablaconcuadrcula"/>
    <w:uiPriority w:val="59"/>
    <w:rsid w:val="00A816B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A816B5"/>
    <w:rPr>
      <w:color w:val="0563C1" w:themeColor="hyperlink"/>
      <w:u w:val="single"/>
    </w:rPr>
  </w:style>
  <w:style w:type="paragraph" w:styleId="Revisin">
    <w:name w:val="Revision"/>
    <w:hidden/>
    <w:uiPriority w:val="99"/>
    <w:semiHidden/>
    <w:rsid w:val="00F85E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554">
      <w:bodyDiv w:val="1"/>
      <w:marLeft w:val="0"/>
      <w:marRight w:val="0"/>
      <w:marTop w:val="0"/>
      <w:marBottom w:val="0"/>
      <w:divBdr>
        <w:top w:val="none" w:sz="0" w:space="0" w:color="auto"/>
        <w:left w:val="none" w:sz="0" w:space="0" w:color="auto"/>
        <w:bottom w:val="none" w:sz="0" w:space="0" w:color="auto"/>
        <w:right w:val="none" w:sz="0" w:space="0" w:color="auto"/>
      </w:divBdr>
    </w:div>
    <w:div w:id="860779968">
      <w:bodyDiv w:val="1"/>
      <w:marLeft w:val="0"/>
      <w:marRight w:val="0"/>
      <w:marTop w:val="0"/>
      <w:marBottom w:val="0"/>
      <w:divBdr>
        <w:top w:val="none" w:sz="0" w:space="0" w:color="auto"/>
        <w:left w:val="none" w:sz="0" w:space="0" w:color="auto"/>
        <w:bottom w:val="none" w:sz="0" w:space="0" w:color="auto"/>
        <w:right w:val="none" w:sz="0" w:space="0" w:color="auto"/>
      </w:divBdr>
    </w:div>
    <w:div w:id="8622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45E55F-5AEF-4998-8665-3341504EE053}">
  <ds:schemaRefs>
    <ds:schemaRef ds:uri="http://schemas.openxmlformats.org/officeDocument/2006/bibliography"/>
  </ds:schemaRefs>
</ds:datastoreItem>
</file>

<file path=customXml/itemProps2.xml><?xml version="1.0" encoding="utf-8"?>
<ds:datastoreItem xmlns:ds="http://schemas.openxmlformats.org/officeDocument/2006/customXml" ds:itemID="{8DF1DB52-3CE9-4E42-AE92-F6BB56CCC9AA}">
  <ds:schemaRefs>
    <ds:schemaRef ds:uri="http://schemas.microsoft.com/sharepoint/v3/contenttype/forms"/>
  </ds:schemaRefs>
</ds:datastoreItem>
</file>

<file path=customXml/itemProps3.xml><?xml version="1.0" encoding="utf-8"?>
<ds:datastoreItem xmlns:ds="http://schemas.openxmlformats.org/officeDocument/2006/customXml" ds:itemID="{83B28C39-36E5-4DD2-BC1D-D3658A9C7A1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D3D901D4-70CF-4749-B07E-EA19498C7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6594</Words>
  <Characters>36271</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Jorge Eliecer Moran Buitrón</cp:lastModifiedBy>
  <cp:revision>9</cp:revision>
  <dcterms:created xsi:type="dcterms:W3CDTF">2022-09-05T15:51:00Z</dcterms:created>
  <dcterms:modified xsi:type="dcterms:W3CDTF">2022-09-21T22:07:00Z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