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08DE9" w14:textId="77777777" w:rsidR="002A3452" w:rsidRPr="00AB628F" w:rsidRDefault="002A3452" w:rsidP="00B32DB2">
      <w:pPr>
        <w:spacing w:before="240" w:line="276" w:lineRule="auto"/>
        <w:jc w:val="right"/>
        <w:rPr>
          <w:rFonts w:ascii="Arial" w:eastAsia="Calibri" w:hAnsi="Arial" w:cs="Arial"/>
          <w:b/>
          <w:bCs/>
          <w:sz w:val="22"/>
        </w:rPr>
      </w:pPr>
      <w:bookmarkStart w:id="0" w:name="_Hlk47949675"/>
      <w:bookmarkStart w:id="1" w:name="_Hlk112395290"/>
      <w:r w:rsidRPr="009A758C">
        <w:rPr>
          <w:rFonts w:ascii="Arial" w:hAnsi="Arial" w:cs="Arial"/>
          <w:b/>
          <w:bCs/>
          <w:sz w:val="16"/>
          <w:szCs w:val="16"/>
          <w:lang w:eastAsia="es-ES"/>
        </w:rPr>
        <w:t>CCE-DES-FM-17</w:t>
      </w:r>
    </w:p>
    <w:bookmarkEnd w:id="0"/>
    <w:p w14:paraId="6E32C85B" w14:textId="77777777" w:rsidR="005526A0" w:rsidRDefault="005526A0" w:rsidP="003A2797">
      <w:pPr>
        <w:tabs>
          <w:tab w:val="left" w:pos="0"/>
        </w:tabs>
        <w:jc w:val="both"/>
        <w:rPr>
          <w:rFonts w:ascii="Arial" w:eastAsia="Calibri" w:hAnsi="Arial" w:cs="Arial"/>
          <w:b/>
          <w:sz w:val="22"/>
          <w:szCs w:val="22"/>
        </w:rPr>
      </w:pPr>
    </w:p>
    <w:p w14:paraId="363B4A84" w14:textId="77777777" w:rsidR="004C484C" w:rsidRPr="005359A7" w:rsidRDefault="004C484C" w:rsidP="004C484C">
      <w:pPr>
        <w:autoSpaceDE w:val="0"/>
        <w:autoSpaceDN w:val="0"/>
        <w:adjustRightInd w:val="0"/>
        <w:jc w:val="both"/>
        <w:rPr>
          <w:rFonts w:ascii="Arial" w:eastAsia="Calibri" w:hAnsi="Arial" w:cs="Arial"/>
          <w:b/>
          <w:bCs/>
          <w:sz w:val="22"/>
          <w:szCs w:val="22"/>
        </w:rPr>
      </w:pPr>
      <w:r w:rsidRPr="00A03FAB">
        <w:rPr>
          <w:rFonts w:ascii="Arial" w:eastAsia="Calibri" w:hAnsi="Arial" w:cs="Arial"/>
          <w:b/>
          <w:bCs/>
          <w:sz w:val="22"/>
          <w:szCs w:val="22"/>
        </w:rPr>
        <w:t xml:space="preserve">CAPACIDAD RESIDUAL – Saldos </w:t>
      </w:r>
      <w:r>
        <w:rPr>
          <w:rFonts w:ascii="Arial" w:eastAsia="Calibri" w:hAnsi="Arial" w:cs="Arial"/>
          <w:b/>
          <w:bCs/>
          <w:sz w:val="22"/>
          <w:szCs w:val="22"/>
        </w:rPr>
        <w:t>–</w:t>
      </w:r>
      <w:r w:rsidRPr="00A03FAB">
        <w:rPr>
          <w:rFonts w:ascii="Arial" w:eastAsia="Calibri" w:hAnsi="Arial" w:cs="Arial"/>
          <w:b/>
          <w:bCs/>
          <w:sz w:val="22"/>
          <w:szCs w:val="22"/>
        </w:rPr>
        <w:t xml:space="preserve"> Contratos en </w:t>
      </w:r>
      <w:r>
        <w:rPr>
          <w:rFonts w:ascii="Arial" w:eastAsia="Calibri" w:hAnsi="Arial" w:cs="Arial"/>
          <w:b/>
          <w:bCs/>
          <w:sz w:val="22"/>
          <w:szCs w:val="22"/>
        </w:rPr>
        <w:t>e</w:t>
      </w:r>
      <w:r w:rsidRPr="00A03FAB">
        <w:rPr>
          <w:rFonts w:ascii="Arial" w:eastAsia="Calibri" w:hAnsi="Arial" w:cs="Arial"/>
          <w:b/>
          <w:bCs/>
          <w:sz w:val="22"/>
          <w:szCs w:val="22"/>
        </w:rPr>
        <w:t>jecución</w:t>
      </w:r>
      <w:r>
        <w:rPr>
          <w:rFonts w:ascii="Arial" w:eastAsia="Calibri" w:hAnsi="Arial" w:cs="Arial"/>
          <w:b/>
          <w:color w:val="000000" w:themeColor="text1"/>
          <w:sz w:val="22"/>
          <w:szCs w:val="22"/>
          <w:lang w:eastAsia="en-US"/>
        </w:rPr>
        <w:t xml:space="preserve"> </w:t>
      </w:r>
    </w:p>
    <w:p w14:paraId="1BA689CA" w14:textId="77777777" w:rsidR="004C484C" w:rsidRPr="00E76C1B" w:rsidRDefault="004C484C" w:rsidP="004C484C">
      <w:pPr>
        <w:jc w:val="both"/>
        <w:rPr>
          <w:rFonts w:ascii="Arial" w:eastAsia="Calibri" w:hAnsi="Arial" w:cs="Arial"/>
          <w:sz w:val="20"/>
          <w:szCs w:val="20"/>
          <w:lang w:eastAsia="en-US"/>
        </w:rPr>
      </w:pPr>
    </w:p>
    <w:p w14:paraId="5F00CA12" w14:textId="77777777" w:rsidR="004C484C" w:rsidRPr="002D2C5D" w:rsidRDefault="004C484C" w:rsidP="004C484C">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 </w:t>
      </w:r>
      <w:r w:rsidRPr="00680CA2">
        <w:rPr>
          <w:rFonts w:ascii="Arial" w:eastAsia="Calibri" w:hAnsi="Arial" w:cs="Arial"/>
          <w:bCs/>
          <w:color w:val="000000" w:themeColor="text1"/>
          <w:sz w:val="20"/>
          <w:szCs w:val="20"/>
        </w:rPr>
        <w:t>los saldos pendientes se derivan de las obligaciones que se encuentran en ejecución al momento de la presentación de la oferta y se refieren a contratos cuyo objeto sea la ejecución de obras civiles. Se aclara que deben tenerse en cuenta los contratos sin acta de inicio, pues el criterio determinante para establecer si un contrato se encuentra en ejecución, para efectos de calcular la capacidad residual, no lo determina el acta, sino que el mismo contrato obligue al proponente. Además, los saldos pendientes por ejecutar de los contratos afectados por una suspensión constituyen, también, información relevante para calcular la capacidad residual del proponente «CRP». Lo anterior, en la medida en que la ejecución de los contratos en principio suspendidos puede, eventualmente, afectar la aptitud del oferente para cumplir con el contrato ofertado, razón por la que, ante la posibilidad de que tales contratos se reanuden, se ha estimado necesario evaluar los saldos pendientes por ejecutar de tales contratos para determinar si el proponente cumple con la capacidad residual requerida.</w:t>
      </w:r>
    </w:p>
    <w:p w14:paraId="3C54FD84" w14:textId="77777777" w:rsidR="004C484C" w:rsidRPr="00D235AA" w:rsidRDefault="004C484C" w:rsidP="004C484C">
      <w:pPr>
        <w:jc w:val="both"/>
        <w:rPr>
          <w:rFonts w:ascii="Arial" w:eastAsia="Calibri" w:hAnsi="Arial" w:cs="Arial"/>
          <w:bCs/>
          <w:color w:val="000000" w:themeColor="text1"/>
          <w:sz w:val="20"/>
          <w:szCs w:val="20"/>
          <w:lang w:val="es-ES"/>
        </w:rPr>
      </w:pPr>
    </w:p>
    <w:p w14:paraId="238E76CA" w14:textId="77777777" w:rsidR="004C484C" w:rsidRPr="00034520" w:rsidRDefault="004C484C" w:rsidP="004C484C">
      <w:pPr>
        <w:jc w:val="both"/>
        <w:rPr>
          <w:rFonts w:ascii="Arial" w:eastAsia="Calibri" w:hAnsi="Arial" w:cs="Arial"/>
          <w:b/>
          <w:sz w:val="22"/>
          <w:szCs w:val="22"/>
          <w:lang w:val="es-MX"/>
        </w:rPr>
      </w:pPr>
      <w:r w:rsidRPr="00034520">
        <w:rPr>
          <w:rFonts w:ascii="Arial" w:eastAsia="Calibri" w:hAnsi="Arial" w:cs="Arial"/>
          <w:b/>
          <w:sz w:val="22"/>
          <w:szCs w:val="22"/>
          <w:lang w:val="es-MX"/>
        </w:rPr>
        <w:t>DOCUMENTOS TIPO – Infraestructura de transporte – Versión 3 – Capacidad residual – Rechazo de la oferta – Causales</w:t>
      </w:r>
    </w:p>
    <w:p w14:paraId="2B6FE1F3" w14:textId="77777777" w:rsidR="004C484C" w:rsidRDefault="004C484C" w:rsidP="004C484C">
      <w:pPr>
        <w:jc w:val="both"/>
        <w:rPr>
          <w:rFonts w:ascii="Arial" w:eastAsiaTheme="minorHAnsi" w:hAnsi="Arial" w:cs="Arial"/>
          <w:sz w:val="20"/>
          <w:szCs w:val="20"/>
          <w:lang w:val="es-MX" w:eastAsia="en-US"/>
        </w:rPr>
      </w:pPr>
    </w:p>
    <w:p w14:paraId="7E3BF473" w14:textId="77777777" w:rsidR="004C484C" w:rsidRDefault="004C484C" w:rsidP="004C484C">
      <w:pPr>
        <w:jc w:val="both"/>
        <w:rPr>
          <w:rFonts w:ascii="Arial" w:eastAsiaTheme="minorHAnsi" w:hAnsi="Arial" w:cs="Arial"/>
          <w:sz w:val="20"/>
          <w:szCs w:val="20"/>
          <w:lang w:val="es-MX" w:eastAsia="en-US"/>
        </w:rPr>
      </w:pPr>
      <w:r w:rsidRPr="00680CA2">
        <w:rPr>
          <w:rFonts w:ascii="Arial" w:eastAsiaTheme="minorHAnsi" w:hAnsi="Arial" w:cs="Arial"/>
          <w:sz w:val="20"/>
          <w:szCs w:val="20"/>
          <w:lang w:val="es-MX" w:eastAsia="en-US"/>
        </w:rPr>
        <w:t>El numeral 3.10 del documento base de obra de licitación para obra pública de infraestructura de transporte –versión 3– establece como requisito habilitante la capacidad residual. En este documento tipo, al menos tres causales de rechazo del numeral 1.15 se relacionan con la capacidad residual como requisito habilitante, esto es, los literales E, H y Z.</w:t>
      </w:r>
      <w:r>
        <w:rPr>
          <w:rFonts w:ascii="Arial" w:eastAsiaTheme="minorHAnsi" w:hAnsi="Arial" w:cs="Arial"/>
          <w:sz w:val="20"/>
          <w:szCs w:val="20"/>
          <w:lang w:val="es-MX" w:eastAsia="en-US"/>
        </w:rPr>
        <w:t xml:space="preserve"> […] </w:t>
      </w:r>
      <w:r w:rsidRPr="00680CA2">
        <w:rPr>
          <w:rFonts w:ascii="Arial" w:eastAsiaTheme="minorHAnsi" w:hAnsi="Arial" w:cs="Arial"/>
          <w:sz w:val="20"/>
          <w:szCs w:val="20"/>
          <w:lang w:val="es-MX" w:eastAsia="en-US"/>
        </w:rPr>
        <w:t>i) La causal del literal Z del numeral 1.15 solamente aplica cuando el proponente no informa todos los contratos que tiene en ejecución antes del cierre. Esto se traduce en un deber de cumplir con esta exigencia, sin tener en cuenta la información relacionada en cada uno de ellos. ii) 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w:t>
      </w:r>
      <w:r>
        <w:rPr>
          <w:rFonts w:ascii="Arial" w:eastAsiaTheme="minorHAnsi" w:hAnsi="Arial" w:cs="Arial"/>
          <w:sz w:val="20"/>
          <w:szCs w:val="20"/>
          <w:lang w:val="es-MX" w:eastAsia="en-US"/>
        </w:rPr>
        <w:t xml:space="preserve"> </w:t>
      </w:r>
      <w:r w:rsidRPr="00680CA2">
        <w:rPr>
          <w:rFonts w:ascii="Arial" w:eastAsiaTheme="minorHAnsi" w:hAnsi="Arial" w:cs="Arial"/>
          <w:sz w:val="20"/>
          <w:szCs w:val="20"/>
          <w:lang w:val="es-MX" w:eastAsia="en-US"/>
        </w:rPr>
        <w:t>iii) Lo dicho en los numerales precedentes tampoco descarta la posibilidad de que la entidad rechace la oferta si encuentra configurada la causal establecida en el literal H del numeral 1.15, que aplica cuando el proponente aporta información inexacta, de acuerdo con lo señalado en el numeral 1.11. del documento base</w:t>
      </w:r>
    </w:p>
    <w:p w14:paraId="0A899775" w14:textId="61DD522F" w:rsidR="00691875" w:rsidRDefault="00691875" w:rsidP="002A460E">
      <w:pPr>
        <w:jc w:val="both"/>
        <w:rPr>
          <w:rFonts w:ascii="Arial" w:eastAsia="Calibri" w:hAnsi="Arial" w:cs="Arial"/>
          <w:b/>
          <w:sz w:val="22"/>
          <w:szCs w:val="22"/>
          <w:lang w:val="es-ES_tradnl" w:eastAsia="en-US"/>
        </w:rPr>
      </w:pPr>
      <w:bookmarkStart w:id="2" w:name="_Hlk70510939"/>
    </w:p>
    <w:p w14:paraId="02A6C924" w14:textId="350DD883" w:rsidR="00A176FD" w:rsidRDefault="00A176FD" w:rsidP="002A460E">
      <w:pPr>
        <w:jc w:val="both"/>
        <w:rPr>
          <w:rFonts w:ascii="Arial" w:eastAsia="Calibri" w:hAnsi="Arial" w:cs="Arial"/>
          <w:b/>
          <w:sz w:val="22"/>
          <w:szCs w:val="22"/>
          <w:lang w:val="es-ES_tradnl" w:eastAsia="en-US"/>
        </w:rPr>
      </w:pPr>
      <w:r>
        <w:rPr>
          <w:rFonts w:ascii="Arial" w:eastAsia="Calibri" w:hAnsi="Arial" w:cs="Arial"/>
          <w:b/>
          <w:sz w:val="22"/>
          <w:szCs w:val="22"/>
          <w:lang w:val="es-ES_tradnl" w:eastAsia="en-US"/>
        </w:rPr>
        <w:t xml:space="preserve">CAPACIDAD RESIDUAL – Deber de reportar la totalidad de </w:t>
      </w:r>
      <w:r w:rsidR="00083AFC">
        <w:rPr>
          <w:rFonts w:ascii="Arial" w:eastAsia="Calibri" w:hAnsi="Arial" w:cs="Arial"/>
          <w:b/>
          <w:sz w:val="22"/>
          <w:szCs w:val="22"/>
          <w:lang w:val="es-ES_tradnl" w:eastAsia="en-US"/>
        </w:rPr>
        <w:t>contratos – Cargas - Proponente</w:t>
      </w:r>
    </w:p>
    <w:p w14:paraId="2DDB49D1" w14:textId="77777777" w:rsidR="00A176FD" w:rsidRDefault="00A176FD" w:rsidP="002A460E">
      <w:pPr>
        <w:jc w:val="both"/>
        <w:rPr>
          <w:rFonts w:ascii="Arial" w:eastAsia="Calibri" w:hAnsi="Arial" w:cs="Arial"/>
          <w:b/>
          <w:sz w:val="22"/>
          <w:szCs w:val="22"/>
          <w:lang w:val="es-ES_tradnl" w:eastAsia="en-US"/>
        </w:rPr>
      </w:pPr>
    </w:p>
    <w:p w14:paraId="62D3E4F1" w14:textId="77777777" w:rsidR="00A176FD" w:rsidRPr="00037591" w:rsidRDefault="00A176FD" w:rsidP="00A176FD">
      <w:pPr>
        <w:jc w:val="both"/>
        <w:rPr>
          <w:rFonts w:ascii="Arial" w:eastAsiaTheme="minorHAnsi" w:hAnsi="Arial" w:cs="Arial"/>
          <w:sz w:val="20"/>
          <w:szCs w:val="20"/>
          <w:lang w:val="es-MX" w:eastAsia="en-US"/>
        </w:rPr>
      </w:pPr>
      <w:r w:rsidRPr="00037591">
        <w:rPr>
          <w:rFonts w:ascii="Arial" w:eastAsiaTheme="minorHAnsi" w:hAnsi="Arial" w:cs="Arial"/>
          <w:sz w:val="20"/>
          <w:szCs w:val="20"/>
          <w:lang w:val="es-MX" w:eastAsia="en-US"/>
        </w:rPr>
        <w:t>De conformidad con lo expuesto, el «Saldo de Contratos en Ejecución» corresponde a la sumatoria de los saldos de la totalidad de los «Contratos en ejecución» que obligan al proponente a la ejecución de obras civiles, en los que el proponente tiene obligaciones pendientes de ejecutar, bien sea con entidades estatales o entidades privadas. De lo anterior se deduce que el proponente debe presentar todos los contratos, incluidos aquellos que se encuentren en ejecución con la entidad que está desarrollando el proceso de selección.</w:t>
      </w:r>
    </w:p>
    <w:p w14:paraId="50B16A56" w14:textId="7602E17E" w:rsidR="00A176FD" w:rsidRPr="00037591" w:rsidRDefault="00A176FD" w:rsidP="00A176FD">
      <w:pPr>
        <w:jc w:val="both"/>
        <w:rPr>
          <w:rFonts w:ascii="Arial" w:eastAsiaTheme="minorHAnsi" w:hAnsi="Arial" w:cs="Arial"/>
          <w:sz w:val="20"/>
          <w:szCs w:val="20"/>
          <w:lang w:val="es-MX" w:eastAsia="en-US"/>
        </w:rPr>
      </w:pPr>
      <w:r w:rsidRPr="00037591">
        <w:rPr>
          <w:rFonts w:ascii="Arial" w:eastAsiaTheme="minorHAnsi" w:hAnsi="Arial" w:cs="Arial"/>
          <w:sz w:val="20"/>
          <w:szCs w:val="20"/>
          <w:lang w:val="es-MX" w:eastAsia="en-US"/>
        </w:rPr>
        <w:t xml:space="preserve">En efecto, tanto la Guía para Determinar y Verificar la Capacidad Residual del Proponente en los Procesos de Contratación de Obra Pública, como el Decreto 1082 de 2015 y las demás normas </w:t>
      </w:r>
      <w:r w:rsidRPr="00037591">
        <w:rPr>
          <w:rFonts w:ascii="Arial" w:eastAsiaTheme="minorHAnsi" w:hAnsi="Arial" w:cs="Arial"/>
          <w:sz w:val="20"/>
          <w:szCs w:val="20"/>
          <w:lang w:val="es-MX" w:eastAsia="en-US"/>
        </w:rPr>
        <w:lastRenderedPageBreak/>
        <w:t>mencionadas en las consideraciones, no establecen excepción alguna frente al reporte que debe realizar el proponente para la determinación de la capacidad de residual; al contrario, establecen, de manera general, que el proponente debe reportar la totalidad de contratos, lo que conlleva a entender que existe una carga de relacionar los contratos en ejecución, sin importar si el contratante es la misma entidad titular del proceso de contratación.</w:t>
      </w:r>
    </w:p>
    <w:p w14:paraId="76D11D13" w14:textId="77777777" w:rsidR="00691875" w:rsidRPr="00037591" w:rsidRDefault="00691875" w:rsidP="002A460E">
      <w:pPr>
        <w:jc w:val="both"/>
        <w:rPr>
          <w:rFonts w:ascii="Arial" w:eastAsiaTheme="minorHAnsi" w:hAnsi="Arial" w:cs="Arial"/>
          <w:sz w:val="20"/>
          <w:szCs w:val="20"/>
          <w:lang w:val="es-MX" w:eastAsia="en-US"/>
        </w:rPr>
      </w:pPr>
    </w:p>
    <w:p w14:paraId="32A04053" w14:textId="77777777" w:rsidR="009D33E7" w:rsidRDefault="009D33E7" w:rsidP="002A460E">
      <w:pPr>
        <w:jc w:val="both"/>
        <w:rPr>
          <w:rFonts w:ascii="Arial" w:hAnsi="Arial" w:cs="Arial"/>
          <w:color w:val="161616" w:themeColor="background1" w:themeShade="1A"/>
          <w:sz w:val="22"/>
          <w:szCs w:val="22"/>
          <w:lang w:val="es-ES"/>
        </w:rPr>
      </w:pPr>
    </w:p>
    <w:p w14:paraId="7EC43B0F" w14:textId="1F7CA275" w:rsidR="009D33E7" w:rsidRDefault="009D33E7" w:rsidP="009D33E7">
      <w:pPr>
        <w:jc w:val="right"/>
        <w:rPr>
          <w:rFonts w:ascii="Arial" w:hAnsi="Arial" w:cs="Arial"/>
          <w:color w:val="161616" w:themeColor="background1" w:themeShade="1A"/>
          <w:sz w:val="22"/>
          <w:szCs w:val="22"/>
          <w:lang w:val="es-ES"/>
        </w:rPr>
      </w:pPr>
      <w:r w:rsidRPr="009D33E7">
        <w:rPr>
          <w:rFonts w:ascii="Arial" w:hAnsi="Arial" w:cs="Arial"/>
          <w:noProof/>
          <w:color w:val="161616" w:themeColor="background1" w:themeShade="1A"/>
          <w:sz w:val="22"/>
          <w:szCs w:val="22"/>
          <w:lang w:val="es-ES"/>
        </w:rPr>
        <w:drawing>
          <wp:inline distT="0" distB="0" distL="0" distR="0" wp14:anchorId="0B71226C" wp14:editId="6DEBC329">
            <wp:extent cx="2448267" cy="762106"/>
            <wp:effectExtent l="0" t="0" r="9525"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1"/>
                    <a:stretch>
                      <a:fillRect/>
                    </a:stretch>
                  </pic:blipFill>
                  <pic:spPr>
                    <a:xfrm>
                      <a:off x="0" y="0"/>
                      <a:ext cx="2448267" cy="762106"/>
                    </a:xfrm>
                    <a:prstGeom prst="rect">
                      <a:avLst/>
                    </a:prstGeom>
                  </pic:spPr>
                </pic:pic>
              </a:graphicData>
            </a:graphic>
          </wp:inline>
        </w:drawing>
      </w:r>
    </w:p>
    <w:p w14:paraId="25832913" w14:textId="01070B06" w:rsidR="00FD42C8" w:rsidRPr="00037591" w:rsidRDefault="00085560" w:rsidP="002A460E">
      <w:pPr>
        <w:jc w:val="both"/>
        <w:rPr>
          <w:rFonts w:ascii="Arial" w:eastAsiaTheme="minorHAnsi" w:hAnsi="Arial" w:cs="Arial"/>
          <w:sz w:val="20"/>
          <w:szCs w:val="20"/>
          <w:lang w:val="es-MX" w:eastAsia="en-US"/>
        </w:rPr>
      </w:pPr>
      <w:r w:rsidRPr="00037591">
        <w:rPr>
          <w:rFonts w:ascii="Arial" w:hAnsi="Arial" w:cs="Arial"/>
          <w:color w:val="161616" w:themeColor="background1" w:themeShade="1A"/>
          <w:sz w:val="22"/>
          <w:szCs w:val="22"/>
          <w:lang w:val="es-ES"/>
        </w:rPr>
        <w:t>Bogotá,</w:t>
      </w:r>
      <w:r w:rsidRPr="00037591">
        <w:rPr>
          <w:rFonts w:ascii="Arial" w:eastAsiaTheme="minorHAnsi" w:hAnsi="Arial" w:cs="Arial"/>
          <w:sz w:val="20"/>
          <w:szCs w:val="20"/>
          <w:lang w:val="es-MX" w:eastAsia="en-US"/>
        </w:rPr>
        <w:t xml:space="preserve">  </w:t>
      </w:r>
      <w:r w:rsidR="00F52719">
        <w:rPr>
          <w:rFonts w:ascii="Arial" w:eastAsiaTheme="minorHAnsi" w:hAnsi="Arial" w:cs="Arial"/>
          <w:sz w:val="20"/>
          <w:szCs w:val="20"/>
          <w:lang w:val="es-MX" w:eastAsia="en-US"/>
        </w:rPr>
        <w:t>26 Agosto de 2022</w:t>
      </w:r>
      <w:r w:rsidRPr="00037591">
        <w:rPr>
          <w:rFonts w:ascii="Arial" w:eastAsiaTheme="minorHAnsi" w:hAnsi="Arial" w:cs="Arial"/>
          <w:sz w:val="20"/>
          <w:szCs w:val="20"/>
          <w:lang w:val="es-MX" w:eastAsia="en-US"/>
        </w:rPr>
        <w:tab/>
        <w:t xml:space="preserve">  </w:t>
      </w:r>
      <w:r w:rsidRPr="00037591">
        <w:rPr>
          <w:rFonts w:ascii="Arial" w:eastAsiaTheme="minorHAnsi" w:hAnsi="Arial" w:cs="Arial"/>
          <w:sz w:val="20"/>
          <w:szCs w:val="20"/>
          <w:lang w:val="es-MX" w:eastAsia="en-US"/>
        </w:rPr>
        <w:tab/>
        <w:t xml:space="preserve">  </w:t>
      </w:r>
      <w:r w:rsidRPr="00037591">
        <w:rPr>
          <w:rFonts w:ascii="Arial" w:eastAsiaTheme="minorHAnsi" w:hAnsi="Arial" w:cs="Arial"/>
          <w:sz w:val="20"/>
          <w:szCs w:val="20"/>
          <w:lang w:val="es-MX" w:eastAsia="en-US"/>
        </w:rPr>
        <w:tab/>
        <w:t xml:space="preserve"> </w:t>
      </w:r>
    </w:p>
    <w:p w14:paraId="7AE20689" w14:textId="77777777" w:rsidR="00B74B57" w:rsidRDefault="00B74B57" w:rsidP="002A460E">
      <w:pPr>
        <w:jc w:val="both"/>
        <w:rPr>
          <w:rFonts w:ascii="Arial" w:hAnsi="Arial" w:cs="Arial"/>
          <w:color w:val="161616" w:themeColor="background1" w:themeShade="1A"/>
          <w:sz w:val="22"/>
          <w:szCs w:val="22"/>
          <w:lang w:val="es-ES"/>
        </w:rPr>
      </w:pPr>
    </w:p>
    <w:p w14:paraId="37F8CC19" w14:textId="368630C1" w:rsidR="00B92052" w:rsidRPr="00085560" w:rsidRDefault="00E54365" w:rsidP="00B0182C">
      <w:pPr>
        <w:jc w:val="both"/>
        <w:rPr>
          <w:rFonts w:ascii="Arial" w:hAnsi="Arial" w:cs="Arial"/>
          <w:i/>
          <w:iCs/>
          <w:sz w:val="20"/>
          <w:szCs w:val="20"/>
        </w:rPr>
      </w:pPr>
      <w:r w:rsidRPr="00B03CFE">
        <w:rPr>
          <w:rFonts w:ascii="Arial" w:hAnsi="Arial" w:cs="Arial"/>
          <w:color w:val="161616" w:themeColor="background1" w:themeShade="1A"/>
          <w:sz w:val="22"/>
          <w:szCs w:val="22"/>
          <w:lang w:val="es-ES"/>
        </w:rPr>
        <w:t>Señor</w:t>
      </w:r>
      <w:r w:rsidR="00721A10">
        <w:rPr>
          <w:rFonts w:ascii="Arial" w:hAnsi="Arial" w:cs="Arial"/>
          <w:color w:val="161616" w:themeColor="background1" w:themeShade="1A"/>
          <w:sz w:val="22"/>
          <w:szCs w:val="22"/>
          <w:lang w:val="es-ES"/>
        </w:rPr>
        <w:t>a</w:t>
      </w:r>
    </w:p>
    <w:p w14:paraId="29EDE1B7" w14:textId="4A09AF0D" w:rsidR="00721A10" w:rsidRDefault="00721A10" w:rsidP="00B0182C">
      <w:pPr>
        <w:jc w:val="both"/>
        <w:rPr>
          <w:rFonts w:ascii="Arial" w:hAnsi="Arial" w:cs="Arial"/>
          <w:color w:val="000000" w:themeColor="text1"/>
          <w:sz w:val="22"/>
          <w:szCs w:val="22"/>
        </w:rPr>
      </w:pPr>
      <w:r>
        <w:rPr>
          <w:rFonts w:ascii="Arial" w:hAnsi="Arial" w:cs="Arial"/>
          <w:b/>
          <w:bCs/>
          <w:color w:val="000000" w:themeColor="text1"/>
          <w:sz w:val="22"/>
          <w:szCs w:val="22"/>
        </w:rPr>
        <w:t>Andrea del Pilar Núñez</w:t>
      </w:r>
      <w:r w:rsidR="00A8294C">
        <w:rPr>
          <w:rFonts w:ascii="Arial" w:hAnsi="Arial" w:cs="Arial"/>
          <w:b/>
          <w:bCs/>
          <w:color w:val="000000" w:themeColor="text1"/>
          <w:sz w:val="22"/>
          <w:szCs w:val="22"/>
        </w:rPr>
        <w:t xml:space="preserve"> </w:t>
      </w:r>
      <w:r>
        <w:rPr>
          <w:rFonts w:ascii="Arial" w:hAnsi="Arial" w:cs="Arial"/>
          <w:b/>
          <w:bCs/>
          <w:color w:val="000000" w:themeColor="text1"/>
          <w:sz w:val="22"/>
          <w:szCs w:val="22"/>
        </w:rPr>
        <w:t>Vásquez</w:t>
      </w:r>
    </w:p>
    <w:p w14:paraId="5054D7CD" w14:textId="2BF32562" w:rsidR="00212401" w:rsidRPr="00CF267E" w:rsidRDefault="00721A10" w:rsidP="00B0182C">
      <w:pPr>
        <w:jc w:val="both"/>
        <w:rPr>
          <w:rFonts w:ascii="Arial" w:hAnsi="Arial" w:cs="Arial"/>
          <w:color w:val="000000" w:themeColor="text1"/>
          <w:sz w:val="22"/>
          <w:szCs w:val="22"/>
          <w:lang w:val="es-ES_tradnl"/>
        </w:rPr>
      </w:pPr>
      <w:r>
        <w:rPr>
          <w:rFonts w:ascii="Arial" w:hAnsi="Arial" w:cs="Arial"/>
          <w:color w:val="000000" w:themeColor="text1"/>
          <w:sz w:val="22"/>
          <w:szCs w:val="22"/>
        </w:rPr>
        <w:t>San Gil, Santander</w:t>
      </w:r>
      <w:r w:rsidR="00A8294C">
        <w:rPr>
          <w:rFonts w:ascii="Arial" w:hAnsi="Arial" w:cs="Arial"/>
          <w:color w:val="000000" w:themeColor="text1"/>
          <w:sz w:val="22"/>
          <w:szCs w:val="22"/>
        </w:rPr>
        <w:t xml:space="preserve"> </w:t>
      </w:r>
    </w:p>
    <w:p w14:paraId="52CE7B0E" w14:textId="77777777" w:rsidR="004B3D4D" w:rsidRPr="00515D32" w:rsidRDefault="004B3D4D" w:rsidP="0081103C">
      <w:pPr>
        <w:rPr>
          <w:rFonts w:ascii="Arial" w:hAnsi="Arial" w:cs="Arial"/>
          <w:b/>
          <w:bCs/>
          <w:color w:val="161616" w:themeColor="background1" w:themeShade="1A"/>
          <w:sz w:val="22"/>
          <w:szCs w:val="22"/>
          <w:lang w:val="es-ES_tradnl"/>
        </w:rPr>
      </w:pPr>
    </w:p>
    <w:p w14:paraId="17BA6817" w14:textId="5DD98AB2" w:rsidR="00E54365" w:rsidRPr="00515D32" w:rsidRDefault="00E54365" w:rsidP="00F06A29">
      <w:pPr>
        <w:ind w:left="2124" w:firstLine="708"/>
        <w:rPr>
          <w:rFonts w:ascii="Arial" w:hAnsi="Arial" w:cs="Arial"/>
          <w:b/>
          <w:bCs/>
          <w:color w:val="161616" w:themeColor="background1" w:themeShade="1A"/>
          <w:sz w:val="22"/>
          <w:szCs w:val="22"/>
          <w:lang w:val="es-ES_tradnl"/>
        </w:rPr>
      </w:pPr>
      <w:r w:rsidRPr="00515D32">
        <w:rPr>
          <w:rFonts w:ascii="Arial" w:hAnsi="Arial" w:cs="Arial"/>
          <w:b/>
          <w:bCs/>
          <w:color w:val="161616" w:themeColor="background1" w:themeShade="1A"/>
          <w:sz w:val="22"/>
          <w:szCs w:val="22"/>
          <w:lang w:val="es-ES_tradnl"/>
        </w:rPr>
        <w:t>Concepto</w:t>
      </w:r>
      <w:r w:rsidR="006559E3" w:rsidRPr="00515D32">
        <w:rPr>
          <w:rFonts w:ascii="Arial" w:hAnsi="Arial" w:cs="Arial"/>
          <w:b/>
          <w:bCs/>
          <w:color w:val="161616" w:themeColor="background1" w:themeShade="1A"/>
          <w:sz w:val="22"/>
          <w:szCs w:val="22"/>
          <w:lang w:val="es-ES_tradnl"/>
        </w:rPr>
        <w:t xml:space="preserve"> </w:t>
      </w:r>
      <w:r w:rsidRPr="00515D32">
        <w:rPr>
          <w:rFonts w:ascii="Arial" w:hAnsi="Arial" w:cs="Arial"/>
          <w:b/>
          <w:bCs/>
          <w:color w:val="161616" w:themeColor="background1" w:themeShade="1A"/>
          <w:sz w:val="22"/>
          <w:szCs w:val="22"/>
          <w:lang w:val="es-ES_tradnl"/>
        </w:rPr>
        <w:t>C</w:t>
      </w:r>
      <w:r w:rsidR="00766A70" w:rsidRPr="00515D32">
        <w:rPr>
          <w:rFonts w:ascii="Arial" w:hAnsi="Arial" w:cs="Arial"/>
          <w:b/>
          <w:bCs/>
          <w:color w:val="161616" w:themeColor="background1" w:themeShade="1A"/>
          <w:sz w:val="22"/>
          <w:szCs w:val="22"/>
          <w:lang w:val="es-ES_tradnl"/>
        </w:rPr>
        <w:t xml:space="preserve"> </w:t>
      </w:r>
      <w:r w:rsidR="00F301AD" w:rsidRPr="00515D32">
        <w:rPr>
          <w:rFonts w:ascii="Arial" w:hAnsi="Arial" w:cs="Arial"/>
          <w:b/>
          <w:bCs/>
          <w:color w:val="161616" w:themeColor="background1" w:themeShade="1A"/>
          <w:sz w:val="22"/>
          <w:szCs w:val="22"/>
          <w:lang w:val="es-ES_tradnl"/>
        </w:rPr>
        <w:t>–</w:t>
      </w:r>
      <w:r w:rsidR="00766A70" w:rsidRPr="00515D32">
        <w:rPr>
          <w:rFonts w:ascii="Arial" w:hAnsi="Arial" w:cs="Arial"/>
          <w:b/>
          <w:bCs/>
          <w:color w:val="161616" w:themeColor="background1" w:themeShade="1A"/>
          <w:sz w:val="22"/>
          <w:szCs w:val="22"/>
          <w:lang w:val="es-ES_tradnl"/>
        </w:rPr>
        <w:t xml:space="preserve"> </w:t>
      </w:r>
      <w:r w:rsidR="005A5914">
        <w:rPr>
          <w:rFonts w:ascii="Arial" w:hAnsi="Arial" w:cs="Arial"/>
          <w:b/>
          <w:bCs/>
          <w:color w:val="161616" w:themeColor="background1" w:themeShade="1A"/>
          <w:sz w:val="22"/>
          <w:szCs w:val="22"/>
          <w:lang w:val="es-ES_tradnl"/>
        </w:rPr>
        <w:t>5</w:t>
      </w:r>
      <w:r w:rsidR="00721A10">
        <w:rPr>
          <w:rFonts w:ascii="Arial" w:hAnsi="Arial" w:cs="Arial"/>
          <w:b/>
          <w:bCs/>
          <w:color w:val="161616" w:themeColor="background1" w:themeShade="1A"/>
          <w:sz w:val="22"/>
          <w:szCs w:val="22"/>
          <w:lang w:val="es-ES_tradnl"/>
        </w:rPr>
        <w:t>38</w:t>
      </w:r>
      <w:r w:rsidR="00455438">
        <w:rPr>
          <w:rFonts w:ascii="Arial" w:hAnsi="Arial" w:cs="Arial"/>
          <w:b/>
          <w:bCs/>
          <w:color w:val="161616" w:themeColor="background1" w:themeShade="1A"/>
          <w:sz w:val="22"/>
          <w:szCs w:val="22"/>
          <w:lang w:val="es-ES_tradnl"/>
        </w:rPr>
        <w:t xml:space="preserve"> </w:t>
      </w:r>
      <w:r w:rsidRPr="00515D32">
        <w:rPr>
          <w:rFonts w:ascii="Arial" w:hAnsi="Arial" w:cs="Arial"/>
          <w:b/>
          <w:bCs/>
          <w:color w:val="161616" w:themeColor="background1" w:themeShade="1A"/>
          <w:sz w:val="22"/>
          <w:szCs w:val="22"/>
          <w:lang w:val="es-ES_tradnl"/>
        </w:rPr>
        <w:t>de 202</w:t>
      </w:r>
      <w:r w:rsidR="00DC02B2" w:rsidRPr="00515D32">
        <w:rPr>
          <w:rFonts w:ascii="Arial" w:hAnsi="Arial" w:cs="Arial"/>
          <w:b/>
          <w:bCs/>
          <w:color w:val="161616" w:themeColor="background1" w:themeShade="1A"/>
          <w:sz w:val="22"/>
          <w:szCs w:val="22"/>
          <w:lang w:val="es-ES_tradnl"/>
        </w:rPr>
        <w:t>2</w:t>
      </w:r>
    </w:p>
    <w:p w14:paraId="3C57C781" w14:textId="77777777" w:rsidR="00FE4C26" w:rsidRPr="00515D32" w:rsidRDefault="00FE4C26" w:rsidP="00F06A29">
      <w:pPr>
        <w:ind w:left="2824" w:hanging="2818"/>
        <w:jc w:val="both"/>
        <w:rPr>
          <w:rFonts w:ascii="Arial" w:eastAsia="Calibri" w:hAnsi="Arial" w:cs="Arial"/>
          <w:b/>
          <w:noProof/>
          <w:color w:val="161616" w:themeColor="background1" w:themeShade="1A"/>
          <w:sz w:val="22"/>
          <w:szCs w:val="22"/>
          <w:lang w:val="es-ES_tradnl" w:eastAsia="en-US"/>
        </w:rPr>
      </w:pPr>
    </w:p>
    <w:p w14:paraId="6059F3C0" w14:textId="0AC20EA7" w:rsidR="000E561B" w:rsidRPr="00F75800" w:rsidRDefault="00E54365" w:rsidP="0081103C">
      <w:pPr>
        <w:ind w:left="2824" w:hanging="2818"/>
        <w:jc w:val="both"/>
        <w:rPr>
          <w:rFonts w:ascii="Arial" w:eastAsia="Calibri" w:hAnsi="Arial" w:cs="Arial"/>
          <w:bCs/>
          <w:color w:val="161616" w:themeColor="background1" w:themeShade="1A"/>
          <w:sz w:val="22"/>
          <w:szCs w:val="22"/>
          <w:lang w:val="es-ES_tradnl"/>
        </w:rPr>
      </w:pPr>
      <w:r w:rsidRPr="00515D32">
        <w:rPr>
          <w:rFonts w:ascii="Arial" w:eastAsia="Calibri" w:hAnsi="Arial" w:cs="Arial"/>
          <w:b/>
          <w:noProof/>
          <w:color w:val="161616" w:themeColor="background1" w:themeShade="1A"/>
          <w:sz w:val="22"/>
          <w:szCs w:val="22"/>
          <w:lang w:val="es-ES_tradnl" w:eastAsia="en-US"/>
        </w:rPr>
        <w:t>Temas</w:t>
      </w:r>
      <w:r w:rsidRPr="00515D32">
        <w:rPr>
          <w:rFonts w:ascii="Arial" w:eastAsia="Calibri" w:hAnsi="Arial" w:cs="Arial"/>
          <w:bCs/>
          <w:noProof/>
          <w:color w:val="161616" w:themeColor="background1" w:themeShade="1A"/>
          <w:sz w:val="22"/>
          <w:szCs w:val="22"/>
          <w:lang w:val="es-ES_tradnl" w:eastAsia="en-US"/>
        </w:rPr>
        <w:t xml:space="preserve">: </w:t>
      </w:r>
      <w:r w:rsidRPr="00515D32">
        <w:rPr>
          <w:rFonts w:ascii="Arial" w:eastAsia="Calibri" w:hAnsi="Arial" w:cs="Arial"/>
          <w:bCs/>
          <w:noProof/>
          <w:color w:val="161616" w:themeColor="background1" w:themeShade="1A"/>
          <w:sz w:val="22"/>
          <w:szCs w:val="22"/>
          <w:lang w:val="es-ES_tradnl" w:eastAsia="en-US"/>
        </w:rPr>
        <w:tab/>
      </w:r>
      <w:r w:rsidR="003A2797" w:rsidRPr="003A2797">
        <w:rPr>
          <w:rFonts w:ascii="Arial" w:eastAsia="Calibri" w:hAnsi="Arial" w:cs="Arial"/>
          <w:bCs/>
          <w:color w:val="161616" w:themeColor="background1" w:themeShade="1A"/>
          <w:sz w:val="22"/>
          <w:szCs w:val="22"/>
          <w:lang w:val="es-ES_tradnl"/>
        </w:rPr>
        <w:t>CAPACIDAD RESIDUAL – Saldos de Contratos en Ejecución «SCE» – Contratos de obra – Contratos suspendidos – Saldos pendientes por ejecutar</w:t>
      </w:r>
      <w:r w:rsidR="005526A0">
        <w:rPr>
          <w:rFonts w:ascii="Arial" w:eastAsia="Calibri" w:hAnsi="Arial" w:cs="Arial"/>
          <w:bCs/>
          <w:color w:val="161616" w:themeColor="background1" w:themeShade="1A"/>
          <w:sz w:val="22"/>
          <w:szCs w:val="22"/>
          <w:lang w:val="es-ES_tradnl"/>
        </w:rPr>
        <w:t xml:space="preserve"> / </w:t>
      </w:r>
      <w:r w:rsidR="003A2797" w:rsidRPr="003A2797">
        <w:rPr>
          <w:rFonts w:ascii="Arial" w:eastAsia="Calibri" w:hAnsi="Arial" w:cs="Arial"/>
          <w:bCs/>
          <w:color w:val="161616" w:themeColor="background1" w:themeShade="1A"/>
          <w:sz w:val="22"/>
          <w:szCs w:val="22"/>
          <w:lang w:val="es-ES_tradnl"/>
        </w:rPr>
        <w:t>DOCUMENTOS TIPO – Versión 3 – Licitación Pública - Capacidad residual – Rechazo de la oferta – Causales</w:t>
      </w:r>
    </w:p>
    <w:p w14:paraId="0D4EBF52" w14:textId="77777777" w:rsidR="0081103C" w:rsidRPr="0081103C" w:rsidRDefault="0081103C" w:rsidP="0081103C">
      <w:pPr>
        <w:ind w:left="2824" w:hanging="2818"/>
        <w:jc w:val="both"/>
        <w:rPr>
          <w:rFonts w:ascii="Arial" w:eastAsia="Calibri" w:hAnsi="Arial" w:cs="Arial"/>
          <w:bCs/>
          <w:color w:val="161616" w:themeColor="background1" w:themeShade="1A"/>
          <w:sz w:val="22"/>
          <w:szCs w:val="22"/>
          <w:lang w:val="es-MX"/>
        </w:rPr>
      </w:pPr>
    </w:p>
    <w:p w14:paraId="49699107" w14:textId="3758763E" w:rsidR="00E54365" w:rsidRPr="00515D32" w:rsidRDefault="00E54365" w:rsidP="00F06A29">
      <w:pPr>
        <w:ind w:left="2835" w:hanging="2835"/>
        <w:jc w:val="both"/>
        <w:rPr>
          <w:rFonts w:ascii="Arial" w:hAnsi="Arial" w:cs="Arial"/>
          <w:color w:val="161616" w:themeColor="background1" w:themeShade="1A"/>
          <w:sz w:val="22"/>
          <w:szCs w:val="22"/>
          <w:lang w:val="es-ES_tradnl"/>
        </w:rPr>
      </w:pPr>
      <w:r w:rsidRPr="00515D32">
        <w:rPr>
          <w:rFonts w:ascii="Arial" w:eastAsia="Calibri" w:hAnsi="Arial" w:cs="Arial"/>
          <w:b/>
          <w:noProof/>
          <w:color w:val="161616" w:themeColor="background1" w:themeShade="1A"/>
          <w:sz w:val="22"/>
          <w:szCs w:val="22"/>
          <w:lang w:val="es-ES_tradnl" w:eastAsia="en-US"/>
        </w:rPr>
        <w:t>Radicación</w:t>
      </w:r>
      <w:r w:rsidRPr="00515D32">
        <w:rPr>
          <w:rFonts w:ascii="Arial" w:eastAsia="Calibri" w:hAnsi="Arial" w:cs="Arial"/>
          <w:bCs/>
          <w:noProof/>
          <w:color w:val="161616" w:themeColor="background1" w:themeShade="1A"/>
          <w:sz w:val="22"/>
          <w:szCs w:val="22"/>
          <w:lang w:val="es-ES_tradnl" w:eastAsia="en-US"/>
        </w:rPr>
        <w:t>:</w:t>
      </w:r>
      <w:r w:rsidRPr="00515D32">
        <w:rPr>
          <w:rFonts w:ascii="Arial" w:eastAsia="Calibri" w:hAnsi="Arial" w:cs="Arial"/>
          <w:bCs/>
          <w:noProof/>
          <w:color w:val="161616" w:themeColor="background1" w:themeShade="1A"/>
          <w:sz w:val="22"/>
          <w:szCs w:val="22"/>
          <w:lang w:val="es-ES_tradnl" w:eastAsia="en-US"/>
        </w:rPr>
        <w:tab/>
        <w:t>Respuesta a consulta</w:t>
      </w:r>
      <w:r w:rsidR="00FB5E3B" w:rsidRPr="00515D32">
        <w:rPr>
          <w:rFonts w:ascii="Arial" w:eastAsia="Calibri" w:hAnsi="Arial" w:cs="Arial"/>
          <w:bCs/>
          <w:noProof/>
          <w:color w:val="161616" w:themeColor="background1" w:themeShade="1A"/>
          <w:sz w:val="22"/>
          <w:szCs w:val="22"/>
          <w:lang w:val="es-ES_tradnl" w:eastAsia="en-US"/>
        </w:rPr>
        <w:t xml:space="preserve"> </w:t>
      </w:r>
      <w:r w:rsidR="00721A10" w:rsidRPr="00721A10">
        <w:rPr>
          <w:rFonts w:ascii="Arial" w:eastAsia="Calibri" w:hAnsi="Arial" w:cs="Arial"/>
          <w:bCs/>
          <w:noProof/>
          <w:color w:val="161616" w:themeColor="background1" w:themeShade="1A"/>
          <w:sz w:val="22"/>
          <w:szCs w:val="22"/>
          <w:lang w:val="es-ES_tradnl" w:eastAsia="en-US"/>
        </w:rPr>
        <w:t>P20220714006860</w:t>
      </w:r>
      <w:r w:rsidR="00E111EA">
        <w:rPr>
          <w:rFonts w:ascii="Arial" w:eastAsia="Calibri" w:hAnsi="Arial" w:cs="Arial"/>
          <w:bCs/>
          <w:noProof/>
          <w:color w:val="161616" w:themeColor="background1" w:themeShade="1A"/>
          <w:sz w:val="22"/>
          <w:szCs w:val="22"/>
          <w:lang w:val="es-ES_tradnl" w:eastAsia="en-US"/>
        </w:rPr>
        <w:t xml:space="preserve"> </w:t>
      </w:r>
    </w:p>
    <w:p w14:paraId="5EF97382" w14:textId="77777777" w:rsidR="0063440E" w:rsidRPr="00515D32" w:rsidRDefault="0063440E" w:rsidP="00F06A29">
      <w:pPr>
        <w:rPr>
          <w:rFonts w:ascii="Arial" w:hAnsi="Arial" w:cs="Arial"/>
          <w:color w:val="161616" w:themeColor="background1" w:themeShade="1A"/>
          <w:sz w:val="22"/>
          <w:szCs w:val="22"/>
          <w:lang w:val="es-ES_tradnl"/>
        </w:rPr>
      </w:pPr>
    </w:p>
    <w:p w14:paraId="71ED9EB2" w14:textId="4834399E" w:rsidR="00E54365" w:rsidRPr="00515D32" w:rsidRDefault="00E54365" w:rsidP="00870412">
      <w:pPr>
        <w:spacing w:before="240" w:line="276" w:lineRule="auto"/>
        <w:rPr>
          <w:rFonts w:ascii="Arial" w:hAnsi="Arial" w:cs="Arial"/>
          <w:color w:val="161616" w:themeColor="background1" w:themeShade="1A"/>
          <w:sz w:val="22"/>
          <w:szCs w:val="22"/>
          <w:lang w:val="es-ES_tradnl"/>
        </w:rPr>
      </w:pPr>
      <w:r w:rsidRPr="00515D32">
        <w:rPr>
          <w:rFonts w:ascii="Arial" w:hAnsi="Arial" w:cs="Arial"/>
          <w:color w:val="161616" w:themeColor="background1" w:themeShade="1A"/>
          <w:sz w:val="22"/>
          <w:szCs w:val="22"/>
          <w:lang w:val="es-ES_tradnl"/>
        </w:rPr>
        <w:t>Estimad</w:t>
      </w:r>
      <w:r w:rsidR="00721A10">
        <w:rPr>
          <w:rFonts w:ascii="Arial" w:hAnsi="Arial" w:cs="Arial"/>
          <w:color w:val="161616" w:themeColor="background1" w:themeShade="1A"/>
          <w:sz w:val="22"/>
          <w:szCs w:val="22"/>
          <w:lang w:val="es-ES_tradnl"/>
        </w:rPr>
        <w:t>a señora Núñez</w:t>
      </w:r>
      <w:r w:rsidR="007168C5">
        <w:rPr>
          <w:rFonts w:ascii="Arial" w:hAnsi="Arial" w:cs="Arial"/>
          <w:color w:val="161616" w:themeColor="background1" w:themeShade="1A"/>
          <w:sz w:val="22"/>
          <w:szCs w:val="22"/>
          <w:lang w:val="es-ES_tradnl"/>
        </w:rPr>
        <w:t xml:space="preserve">, </w:t>
      </w:r>
      <w:r w:rsidR="006D2519" w:rsidRPr="00515D32">
        <w:rPr>
          <w:rFonts w:ascii="Arial" w:hAnsi="Arial" w:cs="Arial"/>
          <w:color w:val="161616" w:themeColor="background1" w:themeShade="1A"/>
          <w:sz w:val="22"/>
          <w:szCs w:val="22"/>
          <w:lang w:val="es-ES_tradnl"/>
        </w:rPr>
        <w:t xml:space="preserve"> </w:t>
      </w:r>
      <w:r w:rsidRPr="00515D32">
        <w:rPr>
          <w:rFonts w:ascii="Arial" w:hAnsi="Arial" w:cs="Arial"/>
          <w:color w:val="161616" w:themeColor="background1" w:themeShade="1A"/>
          <w:sz w:val="22"/>
          <w:szCs w:val="22"/>
          <w:lang w:val="es-ES_tradnl"/>
        </w:rPr>
        <w:t xml:space="preserve"> </w:t>
      </w:r>
    </w:p>
    <w:p w14:paraId="59F550C5" w14:textId="2F546834" w:rsidR="00B32DB2" w:rsidRPr="00515D32" w:rsidRDefault="00E54365" w:rsidP="00870412">
      <w:pPr>
        <w:spacing w:before="240" w:line="276" w:lineRule="auto"/>
        <w:jc w:val="both"/>
        <w:rPr>
          <w:rFonts w:ascii="Arial" w:hAnsi="Arial" w:cs="Arial"/>
          <w:color w:val="161616" w:themeColor="background1" w:themeShade="1A"/>
          <w:sz w:val="22"/>
          <w:szCs w:val="22"/>
          <w:lang w:val="es-ES_tradnl"/>
        </w:rPr>
      </w:pPr>
      <w:r w:rsidRPr="00515D32">
        <w:rPr>
          <w:rFonts w:ascii="Arial" w:hAnsi="Arial" w:cs="Arial"/>
          <w:color w:val="161616" w:themeColor="background1" w:themeShade="1A"/>
          <w:sz w:val="22"/>
          <w:szCs w:val="22"/>
          <w:lang w:val="es-ES_tradnl"/>
        </w:rPr>
        <w:t xml:space="preserve">En ejercicio de la competencia otorgada por el numeral 8 del artículo 11 y el numeral 5 del artículo 3 del Decreto Ley 4170 de 2011, la Agencia Nacional de Contratación Pública− Colombia Compra Eficiente responde su consulta </w:t>
      </w:r>
      <w:r w:rsidR="00584D9E" w:rsidRPr="00584D9E">
        <w:rPr>
          <w:rFonts w:ascii="Arial" w:hAnsi="Arial" w:cs="Arial"/>
          <w:color w:val="161616" w:themeColor="background1" w:themeShade="1A"/>
          <w:sz w:val="22"/>
          <w:szCs w:val="22"/>
          <w:lang w:val="es-ES_tradnl"/>
        </w:rPr>
        <w:t xml:space="preserve">remitida el </w:t>
      </w:r>
      <w:r w:rsidR="00721A10">
        <w:rPr>
          <w:rFonts w:ascii="Arial" w:hAnsi="Arial" w:cs="Arial"/>
          <w:color w:val="161616" w:themeColor="background1" w:themeShade="1A"/>
          <w:sz w:val="22"/>
          <w:szCs w:val="22"/>
          <w:lang w:val="es-ES_tradnl"/>
        </w:rPr>
        <w:t>14</w:t>
      </w:r>
      <w:r w:rsidR="00EA2015">
        <w:rPr>
          <w:rFonts w:ascii="Arial" w:hAnsi="Arial" w:cs="Arial"/>
          <w:color w:val="161616" w:themeColor="background1" w:themeShade="1A"/>
          <w:sz w:val="22"/>
          <w:szCs w:val="22"/>
          <w:lang w:val="es-ES_tradnl"/>
        </w:rPr>
        <w:t xml:space="preserve"> de </w:t>
      </w:r>
      <w:r w:rsidR="00A8294C">
        <w:rPr>
          <w:rFonts w:ascii="Arial" w:hAnsi="Arial" w:cs="Arial"/>
          <w:color w:val="161616" w:themeColor="background1" w:themeShade="1A"/>
          <w:sz w:val="22"/>
          <w:szCs w:val="22"/>
          <w:lang w:val="es-ES_tradnl"/>
        </w:rPr>
        <w:t>ju</w:t>
      </w:r>
      <w:r w:rsidR="00721A10">
        <w:rPr>
          <w:rFonts w:ascii="Arial" w:hAnsi="Arial" w:cs="Arial"/>
          <w:color w:val="161616" w:themeColor="background1" w:themeShade="1A"/>
          <w:sz w:val="22"/>
          <w:szCs w:val="22"/>
          <w:lang w:val="es-ES_tradnl"/>
        </w:rPr>
        <w:t>l</w:t>
      </w:r>
      <w:r w:rsidR="00A8294C">
        <w:rPr>
          <w:rFonts w:ascii="Arial" w:hAnsi="Arial" w:cs="Arial"/>
          <w:color w:val="161616" w:themeColor="background1" w:themeShade="1A"/>
          <w:sz w:val="22"/>
          <w:szCs w:val="22"/>
          <w:lang w:val="es-ES_tradnl"/>
        </w:rPr>
        <w:t>io</w:t>
      </w:r>
      <w:r w:rsidR="002E257B">
        <w:rPr>
          <w:rFonts w:ascii="Arial" w:hAnsi="Arial" w:cs="Arial"/>
          <w:color w:val="161616" w:themeColor="background1" w:themeShade="1A"/>
          <w:sz w:val="22"/>
          <w:szCs w:val="22"/>
          <w:lang w:val="es-ES_tradnl"/>
        </w:rPr>
        <w:t xml:space="preserve"> </w:t>
      </w:r>
      <w:r w:rsidR="00EA2015">
        <w:rPr>
          <w:rFonts w:ascii="Arial" w:hAnsi="Arial" w:cs="Arial"/>
          <w:color w:val="161616" w:themeColor="background1" w:themeShade="1A"/>
          <w:sz w:val="22"/>
          <w:szCs w:val="22"/>
          <w:lang w:val="es-ES_tradnl"/>
        </w:rPr>
        <w:t>de 2022</w:t>
      </w:r>
      <w:r w:rsidR="002E257B">
        <w:rPr>
          <w:rFonts w:ascii="Arial" w:hAnsi="Arial" w:cs="Arial"/>
          <w:color w:val="161616" w:themeColor="background1" w:themeShade="1A"/>
          <w:sz w:val="22"/>
          <w:szCs w:val="22"/>
          <w:lang w:val="es-ES_tradnl"/>
        </w:rPr>
        <w:t xml:space="preserve">. </w:t>
      </w:r>
    </w:p>
    <w:p w14:paraId="4CDB27A1" w14:textId="23AF4B73" w:rsidR="00FB5E3B" w:rsidRPr="00515D32" w:rsidRDefault="00E54365" w:rsidP="00870412">
      <w:pPr>
        <w:spacing w:before="240" w:line="276" w:lineRule="auto"/>
        <w:rPr>
          <w:rFonts w:ascii="Arial" w:hAnsi="Arial" w:cs="Arial"/>
          <w:b/>
          <w:color w:val="161616" w:themeColor="background1" w:themeShade="1A"/>
          <w:sz w:val="22"/>
          <w:szCs w:val="22"/>
          <w:lang w:val="es-ES_tradnl"/>
        </w:rPr>
      </w:pPr>
      <w:r w:rsidRPr="00515D32">
        <w:rPr>
          <w:rFonts w:ascii="Arial" w:hAnsi="Arial" w:cs="Arial"/>
          <w:b/>
          <w:color w:val="161616" w:themeColor="background1" w:themeShade="1A"/>
          <w:sz w:val="22"/>
          <w:szCs w:val="22"/>
          <w:lang w:val="es-ES_tradnl"/>
        </w:rPr>
        <w:t xml:space="preserve">1. Problema planteado </w:t>
      </w:r>
    </w:p>
    <w:p w14:paraId="6104A85E" w14:textId="6DDA2CBC" w:rsidR="00301ABA" w:rsidRDefault="00FB5E3B" w:rsidP="00870412">
      <w:pPr>
        <w:spacing w:before="240" w:line="276" w:lineRule="auto"/>
        <w:jc w:val="both"/>
        <w:rPr>
          <w:rFonts w:ascii="Arial" w:hAnsi="Arial" w:cs="Arial"/>
          <w:color w:val="161616" w:themeColor="background1" w:themeShade="1A"/>
          <w:sz w:val="22"/>
          <w:szCs w:val="22"/>
          <w:lang w:val="es-ES_tradnl"/>
        </w:rPr>
      </w:pPr>
      <w:r w:rsidRPr="00515D32">
        <w:rPr>
          <w:rFonts w:ascii="Arial" w:hAnsi="Arial" w:cs="Arial"/>
          <w:color w:val="161616" w:themeColor="background1" w:themeShade="1A"/>
          <w:sz w:val="22"/>
          <w:szCs w:val="22"/>
          <w:lang w:val="es-ES_tradnl"/>
        </w:rPr>
        <w:t xml:space="preserve">Usted </w:t>
      </w:r>
      <w:r w:rsidR="00EF64D8" w:rsidRPr="00515D32">
        <w:rPr>
          <w:rFonts w:ascii="Arial" w:hAnsi="Arial" w:cs="Arial"/>
          <w:color w:val="161616" w:themeColor="background1" w:themeShade="1A"/>
          <w:sz w:val="22"/>
          <w:szCs w:val="22"/>
          <w:lang w:val="es-ES_tradnl"/>
        </w:rPr>
        <w:t>formula</w:t>
      </w:r>
      <w:r w:rsidRPr="00515D32">
        <w:rPr>
          <w:rFonts w:ascii="Arial" w:hAnsi="Arial" w:cs="Arial"/>
          <w:color w:val="161616" w:themeColor="background1" w:themeShade="1A"/>
          <w:sz w:val="22"/>
          <w:szCs w:val="22"/>
          <w:lang w:val="es-ES_tradnl"/>
        </w:rPr>
        <w:t xml:space="preserve"> la</w:t>
      </w:r>
      <w:r w:rsidR="002A460E">
        <w:rPr>
          <w:rFonts w:ascii="Arial" w:hAnsi="Arial" w:cs="Arial"/>
          <w:color w:val="161616" w:themeColor="background1" w:themeShade="1A"/>
          <w:sz w:val="22"/>
          <w:szCs w:val="22"/>
          <w:lang w:val="es-ES_tradnl"/>
        </w:rPr>
        <w:t>s</w:t>
      </w:r>
      <w:r w:rsidRPr="00515D32">
        <w:rPr>
          <w:rFonts w:ascii="Arial" w:hAnsi="Arial" w:cs="Arial"/>
          <w:color w:val="161616" w:themeColor="background1" w:themeShade="1A"/>
          <w:sz w:val="22"/>
          <w:szCs w:val="22"/>
          <w:lang w:val="es-ES_tradnl"/>
        </w:rPr>
        <w:t xml:space="preserve"> </w:t>
      </w:r>
      <w:r w:rsidR="00A8294C">
        <w:rPr>
          <w:rFonts w:ascii="Arial" w:hAnsi="Arial" w:cs="Arial"/>
          <w:color w:val="161616" w:themeColor="background1" w:themeShade="1A"/>
          <w:sz w:val="22"/>
          <w:szCs w:val="22"/>
          <w:lang w:val="es-ES_tradnl"/>
        </w:rPr>
        <w:t xml:space="preserve">siguientes preguntas </w:t>
      </w:r>
      <w:r w:rsidR="002A460E">
        <w:rPr>
          <w:rFonts w:ascii="Arial" w:hAnsi="Arial" w:cs="Arial"/>
          <w:color w:val="161616" w:themeColor="background1" w:themeShade="1A"/>
          <w:sz w:val="22"/>
          <w:szCs w:val="22"/>
          <w:lang w:val="es-ES_tradnl"/>
        </w:rPr>
        <w:t>relacionadas</w:t>
      </w:r>
      <w:r w:rsidR="00A8294C">
        <w:rPr>
          <w:rFonts w:ascii="Arial" w:hAnsi="Arial" w:cs="Arial"/>
          <w:color w:val="161616" w:themeColor="background1" w:themeShade="1A"/>
          <w:sz w:val="22"/>
          <w:szCs w:val="22"/>
          <w:lang w:val="es-ES_tradnl"/>
        </w:rPr>
        <w:t xml:space="preserve"> con los documentos tipo</w:t>
      </w:r>
      <w:r w:rsidR="002A460E">
        <w:rPr>
          <w:rFonts w:ascii="Arial" w:hAnsi="Arial" w:cs="Arial"/>
          <w:color w:val="161616" w:themeColor="background1" w:themeShade="1A"/>
          <w:sz w:val="22"/>
          <w:szCs w:val="22"/>
          <w:lang w:val="es-ES_tradnl"/>
        </w:rPr>
        <w:t xml:space="preserve"> de</w:t>
      </w:r>
      <w:r w:rsidR="00A8294C">
        <w:rPr>
          <w:rFonts w:ascii="Arial" w:hAnsi="Arial" w:cs="Arial"/>
          <w:color w:val="161616" w:themeColor="background1" w:themeShade="1A"/>
          <w:sz w:val="22"/>
          <w:szCs w:val="22"/>
          <w:lang w:val="es-ES_tradnl"/>
        </w:rPr>
        <w:t xml:space="preserve"> licitación pública </w:t>
      </w:r>
      <w:r w:rsidR="002A460E">
        <w:rPr>
          <w:rFonts w:ascii="Arial" w:hAnsi="Arial" w:cs="Arial"/>
          <w:color w:val="161616" w:themeColor="background1" w:themeShade="1A"/>
          <w:sz w:val="22"/>
          <w:szCs w:val="22"/>
          <w:lang w:val="es-ES_tradnl"/>
        </w:rPr>
        <w:t xml:space="preserve">para </w:t>
      </w:r>
      <w:r w:rsidR="00A8294C">
        <w:rPr>
          <w:rFonts w:ascii="Arial" w:hAnsi="Arial" w:cs="Arial"/>
          <w:color w:val="161616" w:themeColor="background1" w:themeShade="1A"/>
          <w:sz w:val="22"/>
          <w:szCs w:val="22"/>
          <w:lang w:val="es-ES_tradnl"/>
        </w:rPr>
        <w:t>obr</w:t>
      </w:r>
      <w:r w:rsidR="002A460E">
        <w:rPr>
          <w:rFonts w:ascii="Arial" w:hAnsi="Arial" w:cs="Arial"/>
          <w:color w:val="161616" w:themeColor="background1" w:themeShade="1A"/>
          <w:sz w:val="22"/>
          <w:szCs w:val="22"/>
          <w:lang w:val="es-ES_tradnl"/>
        </w:rPr>
        <w:t>a</w:t>
      </w:r>
      <w:r w:rsidR="00A8294C">
        <w:rPr>
          <w:rFonts w:ascii="Arial" w:hAnsi="Arial" w:cs="Arial"/>
          <w:color w:val="161616" w:themeColor="background1" w:themeShade="1A"/>
          <w:sz w:val="22"/>
          <w:szCs w:val="22"/>
          <w:lang w:val="es-ES_tradnl"/>
        </w:rPr>
        <w:t xml:space="preserve"> de infraestructura de transporte </w:t>
      </w:r>
      <w:r w:rsidR="00B04087">
        <w:rPr>
          <w:rFonts w:ascii="Arial" w:hAnsi="Arial" w:cs="Arial"/>
          <w:color w:val="161616" w:themeColor="background1" w:themeShade="1A"/>
          <w:sz w:val="22"/>
          <w:szCs w:val="22"/>
          <w:lang w:val="es-ES_tradnl"/>
        </w:rPr>
        <w:t>– V</w:t>
      </w:r>
      <w:r w:rsidR="00A8294C">
        <w:rPr>
          <w:rFonts w:ascii="Arial" w:hAnsi="Arial" w:cs="Arial"/>
          <w:color w:val="161616" w:themeColor="background1" w:themeShade="1A"/>
          <w:sz w:val="22"/>
          <w:szCs w:val="22"/>
          <w:lang w:val="es-ES_tradnl"/>
        </w:rPr>
        <w:t>ersión 3</w:t>
      </w:r>
      <w:r w:rsidR="00721A10">
        <w:rPr>
          <w:rFonts w:ascii="Arial" w:hAnsi="Arial" w:cs="Arial"/>
          <w:color w:val="161616" w:themeColor="background1" w:themeShade="1A"/>
          <w:sz w:val="22"/>
          <w:szCs w:val="22"/>
          <w:lang w:val="es-ES_tradnl"/>
        </w:rPr>
        <w:t xml:space="preserve"> y la causal de rechazo que establece «</w:t>
      </w:r>
      <w:r w:rsidR="00721A10" w:rsidRPr="00721A10">
        <w:rPr>
          <w:rFonts w:ascii="Arial" w:hAnsi="Arial" w:cs="Arial"/>
          <w:color w:val="161616" w:themeColor="background1" w:themeShade="1A"/>
          <w:sz w:val="22"/>
          <w:szCs w:val="22"/>
          <w:lang w:val="es-ES_tradnl"/>
        </w:rPr>
        <w:t>No informar todos los contratos que el proponente tenga en ejecución antes del cierre, necesarios para acreditar su capacidad residual conforme a la sección 3.10</w:t>
      </w:r>
      <w:r w:rsidR="00721A10">
        <w:rPr>
          <w:rFonts w:ascii="Arial" w:hAnsi="Arial" w:cs="Arial"/>
          <w:color w:val="161616" w:themeColor="background1" w:themeShade="1A"/>
          <w:sz w:val="22"/>
          <w:szCs w:val="22"/>
          <w:lang w:val="es-ES_tradnl"/>
        </w:rPr>
        <w:t>»</w:t>
      </w:r>
      <w:r w:rsidR="00301ABA">
        <w:rPr>
          <w:rFonts w:ascii="Arial" w:hAnsi="Arial" w:cs="Arial"/>
          <w:color w:val="161616" w:themeColor="background1" w:themeShade="1A"/>
          <w:sz w:val="22"/>
          <w:szCs w:val="22"/>
          <w:lang w:val="es-ES_tradnl"/>
        </w:rPr>
        <w:t>:</w:t>
      </w:r>
    </w:p>
    <w:p w14:paraId="65F3147E" w14:textId="77777777" w:rsidR="00EA48E3" w:rsidRPr="00721A10" w:rsidRDefault="00EA48E3" w:rsidP="002D3FF2">
      <w:pPr>
        <w:spacing w:line="276" w:lineRule="auto"/>
        <w:jc w:val="both"/>
        <w:rPr>
          <w:color w:val="000000"/>
          <w:sz w:val="27"/>
          <w:szCs w:val="27"/>
        </w:rPr>
      </w:pPr>
    </w:p>
    <w:p w14:paraId="674DA85D" w14:textId="11DA77BD" w:rsidR="00721A10" w:rsidRPr="00721A10" w:rsidRDefault="00721A10" w:rsidP="002D3FF2">
      <w:pPr>
        <w:spacing w:after="120"/>
        <w:ind w:left="709" w:right="709"/>
        <w:jc w:val="both"/>
        <w:rPr>
          <w:rFonts w:ascii="Arial" w:hAnsi="Arial" w:cs="Arial"/>
          <w:color w:val="161616" w:themeColor="background1" w:themeShade="1A"/>
          <w:sz w:val="21"/>
          <w:szCs w:val="21"/>
          <w:lang w:val="es-ES_tradnl"/>
        </w:rPr>
      </w:pPr>
      <w:bookmarkStart w:id="3" w:name="_Hlk111709464"/>
      <w:r w:rsidRPr="00CF077C">
        <w:rPr>
          <w:rFonts w:ascii="Arial" w:hAnsi="Arial" w:cs="Arial"/>
          <w:color w:val="161616" w:themeColor="background1" w:themeShade="1A"/>
          <w:sz w:val="21"/>
          <w:szCs w:val="21"/>
          <w:lang w:val="es-ES_tradnl"/>
        </w:rPr>
        <w:lastRenderedPageBreak/>
        <w:t>«</w:t>
      </w:r>
      <w:r w:rsidRPr="00721A10">
        <w:rPr>
          <w:rFonts w:ascii="Arial" w:hAnsi="Arial" w:cs="Arial"/>
          <w:color w:val="161616" w:themeColor="background1" w:themeShade="1A"/>
          <w:sz w:val="21"/>
          <w:szCs w:val="21"/>
          <w:lang w:val="es-ES_tradnl"/>
        </w:rPr>
        <w:t>1) Si el oferente no relaciona en el formato de capacidad residual un contrato que se encuentra en la misma entidad en ejecución y adicional a ello no afecta la capacidad residual. La entidad lo debe habilitar y no rechazar la oferta?</w:t>
      </w:r>
    </w:p>
    <w:p w14:paraId="2940D67F" w14:textId="053045B6" w:rsidR="00721A10" w:rsidRPr="00721A10" w:rsidRDefault="00721A10" w:rsidP="002D3FF2">
      <w:pPr>
        <w:spacing w:after="120"/>
        <w:ind w:left="709" w:right="709"/>
        <w:jc w:val="both"/>
        <w:rPr>
          <w:rFonts w:ascii="Arial" w:hAnsi="Arial" w:cs="Arial"/>
          <w:color w:val="161616" w:themeColor="background1" w:themeShade="1A"/>
          <w:sz w:val="21"/>
          <w:szCs w:val="21"/>
          <w:lang w:val="es-ES_tradnl"/>
        </w:rPr>
      </w:pPr>
      <w:r w:rsidRPr="00CF077C">
        <w:rPr>
          <w:rFonts w:ascii="Arial" w:hAnsi="Arial" w:cs="Arial"/>
          <w:color w:val="161616" w:themeColor="background1" w:themeShade="1A"/>
          <w:sz w:val="21"/>
          <w:szCs w:val="21"/>
          <w:lang w:val="es-ES_tradnl"/>
        </w:rPr>
        <w:t>»</w:t>
      </w:r>
      <w:r w:rsidRPr="00721A10">
        <w:rPr>
          <w:rFonts w:ascii="Arial" w:hAnsi="Arial" w:cs="Arial"/>
          <w:color w:val="161616" w:themeColor="background1" w:themeShade="1A"/>
          <w:sz w:val="21"/>
          <w:szCs w:val="21"/>
          <w:lang w:val="es-ES_tradnl"/>
        </w:rPr>
        <w:t>2) O en su defecto debe ser rechazada?.</w:t>
      </w:r>
    </w:p>
    <w:p w14:paraId="37719064" w14:textId="5F5329C2" w:rsidR="00721A10" w:rsidRDefault="00721A10" w:rsidP="00EA48E3">
      <w:pPr>
        <w:spacing w:after="120"/>
        <w:ind w:left="709" w:right="709"/>
        <w:jc w:val="both"/>
        <w:rPr>
          <w:rFonts w:ascii="Arial" w:hAnsi="Arial" w:cs="Arial"/>
          <w:color w:val="161616" w:themeColor="background1" w:themeShade="1A"/>
          <w:sz w:val="21"/>
          <w:szCs w:val="21"/>
          <w:lang w:val="es-ES_tradnl"/>
        </w:rPr>
      </w:pPr>
      <w:r w:rsidRPr="00CF077C">
        <w:rPr>
          <w:rFonts w:ascii="Arial" w:hAnsi="Arial" w:cs="Arial"/>
          <w:color w:val="161616" w:themeColor="background1" w:themeShade="1A"/>
          <w:sz w:val="21"/>
          <w:szCs w:val="21"/>
          <w:lang w:val="es-ES_tradnl"/>
        </w:rPr>
        <w:t>»</w:t>
      </w:r>
      <w:r w:rsidRPr="00721A10">
        <w:rPr>
          <w:rFonts w:ascii="Arial" w:hAnsi="Arial" w:cs="Arial"/>
          <w:color w:val="161616" w:themeColor="background1" w:themeShade="1A"/>
          <w:sz w:val="21"/>
          <w:szCs w:val="21"/>
          <w:lang w:val="es-ES_tradnl"/>
        </w:rPr>
        <w:t>3) En caso de ser rechazada, cuáles serían los argumentos para ser rechazada teniendo en cuenta la naturaleza de la ley anti tramites en relación con la naturaleza normativa que adopto los pliegos tipo?</w:t>
      </w:r>
      <w:r w:rsidRPr="00CF077C">
        <w:rPr>
          <w:rFonts w:ascii="Arial" w:hAnsi="Arial" w:cs="Arial"/>
          <w:color w:val="161616" w:themeColor="background1" w:themeShade="1A"/>
          <w:sz w:val="21"/>
          <w:szCs w:val="21"/>
          <w:lang w:val="es-ES_tradnl"/>
        </w:rPr>
        <w:t>»</w:t>
      </w:r>
    </w:p>
    <w:p w14:paraId="1475E793" w14:textId="77777777" w:rsidR="00EA48E3" w:rsidRPr="00721A10" w:rsidRDefault="00EA48E3" w:rsidP="002D3FF2">
      <w:pPr>
        <w:spacing w:after="120"/>
        <w:ind w:left="709" w:right="709"/>
        <w:jc w:val="both"/>
        <w:rPr>
          <w:rFonts w:ascii="Arial" w:hAnsi="Arial" w:cs="Arial"/>
          <w:color w:val="161616" w:themeColor="background1" w:themeShade="1A"/>
          <w:sz w:val="21"/>
          <w:szCs w:val="21"/>
          <w:lang w:val="es-ES_tradnl"/>
        </w:rPr>
      </w:pPr>
    </w:p>
    <w:bookmarkEnd w:id="3"/>
    <w:p w14:paraId="0F58A986" w14:textId="041060E5" w:rsidR="00AA171A" w:rsidRPr="00870412" w:rsidRDefault="00E54365" w:rsidP="00870412">
      <w:pPr>
        <w:spacing w:before="240" w:line="276" w:lineRule="auto"/>
        <w:rPr>
          <w:rFonts w:ascii="Arial" w:hAnsi="Arial" w:cs="Arial"/>
          <w:b/>
          <w:color w:val="161616" w:themeColor="background1" w:themeShade="1A"/>
          <w:sz w:val="22"/>
          <w:szCs w:val="22"/>
          <w:lang w:val="es-ES_tradnl"/>
        </w:rPr>
      </w:pPr>
      <w:r w:rsidRPr="00515D32">
        <w:rPr>
          <w:rFonts w:ascii="Arial" w:hAnsi="Arial" w:cs="Arial"/>
          <w:b/>
          <w:color w:val="161616" w:themeColor="background1" w:themeShade="1A"/>
          <w:sz w:val="22"/>
          <w:szCs w:val="22"/>
          <w:lang w:val="es-ES_tradnl"/>
        </w:rPr>
        <w:t xml:space="preserve">2. Consideraciones </w:t>
      </w:r>
    </w:p>
    <w:p w14:paraId="02D43E7E" w14:textId="77777777" w:rsidR="00F158B5" w:rsidRDefault="00F158B5" w:rsidP="00F158B5">
      <w:pPr>
        <w:spacing w:after="120" w:line="276" w:lineRule="auto"/>
        <w:jc w:val="both"/>
        <w:rPr>
          <w:rFonts w:ascii="Arial" w:hAnsi="Arial" w:cs="Arial"/>
          <w:bCs/>
          <w:sz w:val="22"/>
          <w:szCs w:val="22"/>
          <w:lang w:val="es-MX"/>
        </w:rPr>
      </w:pPr>
    </w:p>
    <w:p w14:paraId="302008FE" w14:textId="49CFCF15" w:rsidR="00F2274F" w:rsidRPr="004F49DE" w:rsidRDefault="008F7985" w:rsidP="004F49DE">
      <w:pPr>
        <w:spacing w:after="120" w:line="276" w:lineRule="auto"/>
        <w:jc w:val="both"/>
        <w:rPr>
          <w:rFonts w:ascii="Arial" w:hAnsi="Arial" w:cs="Arial"/>
          <w:color w:val="000000"/>
          <w:sz w:val="22"/>
          <w:szCs w:val="22"/>
          <w:lang w:eastAsia="es-MX"/>
        </w:rPr>
      </w:pPr>
      <w:r>
        <w:rPr>
          <w:rFonts w:ascii="Arial" w:eastAsia="Calibri" w:hAnsi="Arial" w:cs="Arial"/>
          <w:color w:val="000000" w:themeColor="text1"/>
          <w:sz w:val="22"/>
          <w:szCs w:val="22"/>
          <w:lang w:val="es-ES_tradnl"/>
        </w:rPr>
        <w:t xml:space="preserve">Para responder su consulta, en desarrollo del presente concepto, se analizarán los siguientes temas: </w:t>
      </w:r>
      <w:r w:rsidR="004F49DE" w:rsidRPr="004F49DE">
        <w:rPr>
          <w:rFonts w:ascii="Arial" w:hAnsi="Arial" w:cs="Arial"/>
          <w:color w:val="000000"/>
          <w:sz w:val="22"/>
          <w:szCs w:val="22"/>
          <w:lang w:eastAsia="es-MX"/>
        </w:rPr>
        <w:t xml:space="preserve">i) capacidad residual como requisito habilitante: Saldo de Contratos en Ejecución –SCE–, </w:t>
      </w:r>
      <w:r>
        <w:rPr>
          <w:rFonts w:ascii="Arial" w:hAnsi="Arial" w:cs="Arial"/>
          <w:color w:val="000000"/>
          <w:sz w:val="22"/>
          <w:szCs w:val="22"/>
          <w:lang w:eastAsia="es-MX"/>
        </w:rPr>
        <w:t xml:space="preserve">y </w:t>
      </w:r>
      <w:r w:rsidR="004F49DE" w:rsidRPr="004F49DE">
        <w:rPr>
          <w:rFonts w:ascii="Arial" w:hAnsi="Arial" w:cs="Arial"/>
          <w:color w:val="000000"/>
          <w:sz w:val="22"/>
          <w:szCs w:val="22"/>
          <w:lang w:eastAsia="es-MX"/>
        </w:rPr>
        <w:t>ii) Capacidad residual y rechazo de la oferta en los «Documentos Tipo – Versión 3» de licitación para obra pública de infraestructura de transporte</w:t>
      </w:r>
      <w:r>
        <w:rPr>
          <w:rFonts w:ascii="Arial" w:hAnsi="Arial" w:cs="Arial"/>
          <w:color w:val="000000"/>
          <w:sz w:val="22"/>
          <w:szCs w:val="22"/>
          <w:lang w:eastAsia="es-MX"/>
        </w:rPr>
        <w:t>.</w:t>
      </w:r>
    </w:p>
    <w:p w14:paraId="3104EF14" w14:textId="366B91FC" w:rsidR="008F7985" w:rsidRDefault="008F7985" w:rsidP="002D3FF2">
      <w:pPr>
        <w:spacing w:before="120" w:after="120" w:line="276" w:lineRule="auto"/>
        <w:ind w:firstLine="709"/>
        <w:jc w:val="both"/>
        <w:rPr>
          <w:rFonts w:ascii="Arial" w:hAnsi="Arial" w:cs="Arial"/>
          <w:b/>
          <w:bCs/>
          <w:sz w:val="22"/>
          <w:lang w:val="es-ES"/>
        </w:rPr>
      </w:pPr>
      <w:r w:rsidRPr="00F2274F">
        <w:rPr>
          <w:rFonts w:ascii="Arial" w:hAnsi="Arial" w:cs="Arial"/>
          <w:bCs/>
          <w:color w:val="161616" w:themeColor="background1" w:themeShade="1A"/>
          <w:sz w:val="22"/>
          <w:szCs w:val="22"/>
        </w:rPr>
        <w:t>La Agencia Nacional de Contratación Pública − Colombia Compra Eficiente se ha pronunciado sobre la capacidad residual, y la forma como esta se debe acreditar, en los conceptos</w:t>
      </w:r>
      <w:r>
        <w:rPr>
          <w:rFonts w:ascii="Arial" w:hAnsi="Arial" w:cs="Arial"/>
          <w:bCs/>
          <w:color w:val="161616" w:themeColor="background1" w:themeShade="1A"/>
          <w:sz w:val="22"/>
          <w:szCs w:val="22"/>
        </w:rPr>
        <w:t xml:space="preserve"> </w:t>
      </w:r>
      <w:r>
        <w:rPr>
          <w:rStyle w:val="normaltextrun"/>
          <w:rFonts w:ascii="Arial" w:hAnsi="Arial" w:cs="Arial"/>
          <w:sz w:val="22"/>
        </w:rPr>
        <w:t>2201913000006275 del 27 de agosto de 2019, 2201913000009465 del 20 de diciembre de 2019, 2201913000009642 y 2201913000009640 del 26 de diciembre de 2019; así como en los conceptos C–022 del 20 de febrero de 2020, C–089 del 4 de marzo de 2020, C–112 del 16 de marzo de 2020, C–133 del 25 de marzo de 2020, C–194 del 21 de abril de 2020, C–326 del 9 de junio de 2020, C–446 del 6 de julio de 2020,</w:t>
      </w:r>
      <w:r>
        <w:rPr>
          <w:rStyle w:val="normaltextrun"/>
        </w:rPr>
        <w:t xml:space="preserve"> </w:t>
      </w:r>
      <w:r>
        <w:rPr>
          <w:rStyle w:val="normaltextrun"/>
          <w:rFonts w:ascii="Arial" w:hAnsi="Arial" w:cs="Arial"/>
          <w:sz w:val="22"/>
        </w:rPr>
        <w:t xml:space="preserve">C-461 del 13 de julio de 2020, C–668 del 20 de noviembre de 2020, C–742 del 16 de diciembre de 2020, C–045 del 5 de marzo de 2021, C–003 del 26 de marzo de 2021, C–121 del 31 de marzo de 2021, C–143 del 9 de abril de 2021, C–202 del 7 de mayo de 2021, C–219 del 19 de mayo de 2021, C–368 del 28 de julio de 2021, C–392 del 5 de agosto de 2021, C–513 del 23 de septiembre de 2021, C–590 del 12 de octubre de 2021, </w:t>
      </w:r>
      <w:r w:rsidRPr="00F2274F">
        <w:rPr>
          <w:rFonts w:ascii="Arial" w:hAnsi="Arial" w:cs="Arial"/>
          <w:bCs/>
          <w:color w:val="161616" w:themeColor="background1" w:themeShade="1A"/>
          <w:sz w:val="22"/>
          <w:szCs w:val="22"/>
        </w:rPr>
        <w:t>C-068 de</w:t>
      </w:r>
      <w:r>
        <w:rPr>
          <w:rFonts w:ascii="Arial" w:hAnsi="Arial" w:cs="Arial"/>
          <w:bCs/>
          <w:color w:val="161616" w:themeColor="background1" w:themeShade="1A"/>
          <w:sz w:val="22"/>
          <w:szCs w:val="22"/>
        </w:rPr>
        <w:t xml:space="preserve">l 9 de marzo de </w:t>
      </w:r>
      <w:r w:rsidRPr="00F2274F">
        <w:rPr>
          <w:rFonts w:ascii="Arial" w:hAnsi="Arial" w:cs="Arial"/>
          <w:bCs/>
          <w:color w:val="161616" w:themeColor="background1" w:themeShade="1A"/>
          <w:sz w:val="22"/>
          <w:szCs w:val="22"/>
        </w:rPr>
        <w:t>2022</w:t>
      </w:r>
      <w:r>
        <w:rPr>
          <w:rFonts w:ascii="Arial" w:hAnsi="Arial" w:cs="Arial"/>
          <w:bCs/>
          <w:color w:val="161616" w:themeColor="background1" w:themeShade="1A"/>
          <w:sz w:val="22"/>
          <w:szCs w:val="22"/>
        </w:rPr>
        <w:t xml:space="preserve">, </w:t>
      </w:r>
      <w:r w:rsidRPr="00F2274F">
        <w:rPr>
          <w:rFonts w:ascii="Arial" w:eastAsia="Calibri" w:hAnsi="Arial" w:cs="Arial"/>
          <w:bCs/>
          <w:sz w:val="22"/>
          <w:szCs w:val="22"/>
          <w:lang w:val="es-ES"/>
        </w:rPr>
        <w:t>C-</w:t>
      </w:r>
      <w:r>
        <w:rPr>
          <w:rFonts w:ascii="Arial" w:eastAsia="Calibri" w:hAnsi="Arial" w:cs="Arial"/>
          <w:bCs/>
          <w:sz w:val="22"/>
          <w:szCs w:val="22"/>
          <w:lang w:val="es-ES"/>
        </w:rPr>
        <w:t>220</w:t>
      </w:r>
      <w:r w:rsidRPr="00F2274F">
        <w:rPr>
          <w:rFonts w:ascii="Arial" w:eastAsia="Calibri" w:hAnsi="Arial" w:cs="Arial"/>
          <w:bCs/>
          <w:sz w:val="22"/>
          <w:szCs w:val="22"/>
          <w:lang w:val="es-ES"/>
        </w:rPr>
        <w:t xml:space="preserve"> del 22 de abril de 2022</w:t>
      </w:r>
      <w:r>
        <w:rPr>
          <w:rFonts w:ascii="Arial" w:eastAsia="Calibri" w:hAnsi="Arial" w:cs="Arial"/>
          <w:bCs/>
          <w:sz w:val="22"/>
          <w:szCs w:val="22"/>
          <w:lang w:val="es-ES"/>
        </w:rPr>
        <w:t>, C-306 de 16 de mayo de 2022, C-351 de 23 de mayo de 2022</w:t>
      </w:r>
      <w:r w:rsidR="00EA48E3">
        <w:rPr>
          <w:rFonts w:ascii="Arial" w:eastAsia="Calibri" w:hAnsi="Arial" w:cs="Arial"/>
          <w:bCs/>
          <w:sz w:val="22"/>
          <w:szCs w:val="22"/>
          <w:lang w:val="es-ES"/>
        </w:rPr>
        <w:t>,</w:t>
      </w:r>
      <w:r>
        <w:rPr>
          <w:rFonts w:ascii="Arial" w:eastAsia="Calibri" w:hAnsi="Arial" w:cs="Arial"/>
          <w:bCs/>
          <w:sz w:val="22"/>
          <w:szCs w:val="22"/>
          <w:lang w:val="es-ES"/>
        </w:rPr>
        <w:t xml:space="preserve"> </w:t>
      </w:r>
      <w:r w:rsidR="00FA357B">
        <w:rPr>
          <w:rFonts w:ascii="Arial" w:eastAsia="Calibri" w:hAnsi="Arial" w:cs="Arial"/>
          <w:bCs/>
          <w:sz w:val="22"/>
          <w:szCs w:val="22"/>
          <w:lang w:val="es-ES"/>
        </w:rPr>
        <w:t>C-</w:t>
      </w:r>
      <w:r>
        <w:rPr>
          <w:rFonts w:ascii="Arial" w:eastAsia="Calibri" w:hAnsi="Arial" w:cs="Arial"/>
          <w:bCs/>
          <w:sz w:val="22"/>
          <w:szCs w:val="22"/>
          <w:lang w:val="es-ES"/>
        </w:rPr>
        <w:t>512 del 10 de agosto de 2022</w:t>
      </w:r>
      <w:r w:rsidR="00EA48E3">
        <w:rPr>
          <w:rFonts w:ascii="Arial" w:eastAsia="Calibri" w:hAnsi="Arial" w:cs="Arial"/>
          <w:bCs/>
          <w:sz w:val="22"/>
          <w:szCs w:val="22"/>
          <w:lang w:val="es-ES"/>
        </w:rPr>
        <w:t>, C</w:t>
      </w:r>
      <w:r w:rsidR="00FA357B">
        <w:rPr>
          <w:rFonts w:ascii="Arial" w:eastAsia="Calibri" w:hAnsi="Arial" w:cs="Arial"/>
          <w:bCs/>
          <w:sz w:val="22"/>
          <w:szCs w:val="22"/>
          <w:lang w:val="es-ES"/>
        </w:rPr>
        <w:t>-</w:t>
      </w:r>
      <w:r w:rsidR="00EA48E3">
        <w:rPr>
          <w:rFonts w:ascii="Arial" w:eastAsia="Calibri" w:hAnsi="Arial" w:cs="Arial"/>
          <w:bCs/>
          <w:sz w:val="22"/>
          <w:szCs w:val="22"/>
          <w:lang w:val="es-ES"/>
        </w:rPr>
        <w:t>615 del 19 de agosto de 2020 y C-536 del 22 de agosto de 2022</w:t>
      </w:r>
      <w:r>
        <w:rPr>
          <w:rFonts w:ascii="Arial" w:hAnsi="Arial" w:cs="Arial"/>
          <w:bCs/>
          <w:color w:val="161616" w:themeColor="background1" w:themeShade="1A"/>
          <w:sz w:val="22"/>
          <w:szCs w:val="22"/>
          <w:lang w:val="es-ES"/>
        </w:rPr>
        <w:t xml:space="preserve">. </w:t>
      </w:r>
      <w:r w:rsidRPr="00F2274F">
        <w:rPr>
          <w:rFonts w:ascii="Arial" w:hAnsi="Arial" w:cs="Arial"/>
          <w:bCs/>
          <w:color w:val="161616" w:themeColor="background1" w:themeShade="1A"/>
          <w:sz w:val="22"/>
          <w:szCs w:val="22"/>
        </w:rPr>
        <w:t>La tesis propuesta se expone y, en lo pertinente, se complementa a continuación</w:t>
      </w:r>
      <w:r>
        <w:rPr>
          <w:rFonts w:ascii="Arial" w:hAnsi="Arial" w:cs="Arial"/>
          <w:bCs/>
          <w:color w:val="161616" w:themeColor="background1" w:themeShade="1A"/>
          <w:sz w:val="22"/>
          <w:szCs w:val="22"/>
        </w:rPr>
        <w:t>.</w:t>
      </w:r>
    </w:p>
    <w:p w14:paraId="097E5372" w14:textId="77777777" w:rsidR="008F7985" w:rsidRDefault="008F7985" w:rsidP="00740E5C">
      <w:pPr>
        <w:spacing w:line="276" w:lineRule="auto"/>
        <w:jc w:val="both"/>
        <w:rPr>
          <w:rFonts w:ascii="Arial" w:eastAsia="Calibri" w:hAnsi="Arial" w:cs="Arial"/>
          <w:b/>
          <w:bCs/>
          <w:color w:val="000000"/>
          <w:sz w:val="22"/>
          <w:szCs w:val="22"/>
        </w:rPr>
      </w:pPr>
    </w:p>
    <w:p w14:paraId="06D42A2C" w14:textId="7B15AC42" w:rsidR="00740E5C" w:rsidRPr="00740E5C" w:rsidRDefault="00740E5C" w:rsidP="00740E5C">
      <w:pPr>
        <w:spacing w:line="276" w:lineRule="auto"/>
        <w:jc w:val="both"/>
        <w:rPr>
          <w:rFonts w:ascii="Arial" w:eastAsia="Calibri" w:hAnsi="Arial" w:cs="Arial"/>
          <w:b/>
          <w:bCs/>
          <w:color w:val="000000"/>
          <w:sz w:val="22"/>
          <w:szCs w:val="22"/>
        </w:rPr>
      </w:pPr>
      <w:r w:rsidRPr="00740E5C">
        <w:rPr>
          <w:rFonts w:ascii="Arial" w:eastAsia="Calibri" w:hAnsi="Arial" w:cs="Arial"/>
          <w:b/>
          <w:bCs/>
          <w:color w:val="000000"/>
          <w:sz w:val="22"/>
          <w:szCs w:val="22"/>
        </w:rPr>
        <w:t>2.</w:t>
      </w:r>
      <w:r w:rsidR="00301ABA">
        <w:rPr>
          <w:rFonts w:ascii="Arial" w:eastAsia="Calibri" w:hAnsi="Arial" w:cs="Arial"/>
          <w:b/>
          <w:bCs/>
          <w:color w:val="000000"/>
          <w:sz w:val="22"/>
          <w:szCs w:val="22"/>
        </w:rPr>
        <w:t>1</w:t>
      </w:r>
      <w:r w:rsidRPr="00740E5C">
        <w:rPr>
          <w:rFonts w:ascii="Arial" w:eastAsia="Calibri" w:hAnsi="Arial" w:cs="Arial"/>
          <w:b/>
          <w:bCs/>
          <w:color w:val="000000"/>
          <w:sz w:val="22"/>
          <w:szCs w:val="22"/>
        </w:rPr>
        <w:t xml:space="preserve">. Capacidad residual como requisito habilitante: </w:t>
      </w:r>
      <w:r w:rsidR="00174AD4">
        <w:rPr>
          <w:rFonts w:ascii="Arial" w:eastAsia="Calibri" w:hAnsi="Arial" w:cs="Arial"/>
          <w:b/>
          <w:bCs/>
          <w:color w:val="000000"/>
          <w:sz w:val="22"/>
          <w:szCs w:val="22"/>
        </w:rPr>
        <w:t>S</w:t>
      </w:r>
      <w:r w:rsidRPr="00740E5C">
        <w:rPr>
          <w:rFonts w:ascii="Arial" w:eastAsia="Calibri" w:hAnsi="Arial" w:cs="Arial"/>
          <w:b/>
          <w:bCs/>
          <w:color w:val="000000"/>
          <w:sz w:val="22"/>
          <w:szCs w:val="22"/>
        </w:rPr>
        <w:t xml:space="preserve">aldo de </w:t>
      </w:r>
      <w:r w:rsidR="00174AD4">
        <w:rPr>
          <w:rFonts w:ascii="Arial" w:eastAsia="Calibri" w:hAnsi="Arial" w:cs="Arial"/>
          <w:b/>
          <w:bCs/>
          <w:color w:val="000000"/>
          <w:sz w:val="22"/>
          <w:szCs w:val="22"/>
        </w:rPr>
        <w:t>C</w:t>
      </w:r>
      <w:r w:rsidRPr="00740E5C">
        <w:rPr>
          <w:rFonts w:ascii="Arial" w:eastAsia="Calibri" w:hAnsi="Arial" w:cs="Arial"/>
          <w:b/>
          <w:bCs/>
          <w:color w:val="000000"/>
          <w:sz w:val="22"/>
          <w:szCs w:val="22"/>
        </w:rPr>
        <w:t xml:space="preserve">ontratos en </w:t>
      </w:r>
      <w:r w:rsidR="00174AD4">
        <w:rPr>
          <w:rFonts w:ascii="Arial" w:eastAsia="Calibri" w:hAnsi="Arial" w:cs="Arial"/>
          <w:b/>
          <w:bCs/>
          <w:color w:val="000000"/>
          <w:sz w:val="22"/>
          <w:szCs w:val="22"/>
        </w:rPr>
        <w:t>E</w:t>
      </w:r>
      <w:r w:rsidRPr="00740E5C">
        <w:rPr>
          <w:rFonts w:ascii="Arial" w:eastAsia="Calibri" w:hAnsi="Arial" w:cs="Arial"/>
          <w:b/>
          <w:bCs/>
          <w:color w:val="000000"/>
          <w:sz w:val="22"/>
          <w:szCs w:val="22"/>
        </w:rPr>
        <w:t>jecución –SCE–</w:t>
      </w:r>
    </w:p>
    <w:p w14:paraId="04A29574" w14:textId="77777777" w:rsidR="008F7985" w:rsidRDefault="008F7985" w:rsidP="008F7985">
      <w:pPr>
        <w:spacing w:line="276" w:lineRule="auto"/>
        <w:jc w:val="both"/>
        <w:rPr>
          <w:rFonts w:ascii="Arial" w:hAnsi="Arial" w:cs="Arial"/>
          <w:color w:val="000000" w:themeColor="text1"/>
          <w:sz w:val="22"/>
          <w:szCs w:val="22"/>
          <w:lang w:val="es-MX"/>
        </w:rPr>
      </w:pPr>
    </w:p>
    <w:p w14:paraId="221C2D96" w14:textId="4E53EC71" w:rsidR="00740E5C" w:rsidRPr="00740E5C" w:rsidRDefault="00740E5C" w:rsidP="008F7985">
      <w:pPr>
        <w:spacing w:line="276" w:lineRule="auto"/>
        <w:jc w:val="both"/>
        <w:rPr>
          <w:rFonts w:ascii="Arial" w:hAnsi="Arial" w:cs="Arial"/>
          <w:color w:val="000000" w:themeColor="text1"/>
          <w:sz w:val="22"/>
          <w:szCs w:val="22"/>
          <w:lang w:val="es-MX"/>
        </w:rPr>
      </w:pPr>
      <w:r w:rsidRPr="00740E5C">
        <w:rPr>
          <w:rFonts w:ascii="Arial" w:hAnsi="Arial" w:cs="Arial"/>
          <w:color w:val="000000" w:themeColor="text1"/>
          <w:sz w:val="22"/>
          <w:szCs w:val="22"/>
          <w:lang w:val="es-MX"/>
        </w:rPr>
        <w:t xml:space="preserve">De acuerdo con el artículo 2.2.1.1.1.3.1 del Decreto 1082 de 2015, la capacidad residual es la aptitud de los oferentes para cumplir de manera oportuna y a cabalidad el objeto de un contrato de obra pública, sin que los demás compromisos contractuales que han adquirido </w:t>
      </w:r>
      <w:r w:rsidRPr="00740E5C">
        <w:rPr>
          <w:rFonts w:ascii="Arial" w:hAnsi="Arial" w:cs="Arial"/>
          <w:color w:val="000000" w:themeColor="text1"/>
          <w:sz w:val="22"/>
          <w:szCs w:val="22"/>
          <w:lang w:val="es-MX"/>
        </w:rPr>
        <w:lastRenderedPageBreak/>
        <w:t>afecten su habilidad de cumplir el objeto del contrato que está en proceso de selección</w:t>
      </w:r>
      <w:r w:rsidRPr="00740E5C">
        <w:rPr>
          <w:rFonts w:ascii="Arial" w:hAnsi="Arial" w:cs="Arial"/>
          <w:color w:val="000000" w:themeColor="text1"/>
          <w:sz w:val="22"/>
          <w:szCs w:val="22"/>
          <w:vertAlign w:val="superscript"/>
          <w:lang w:val="es-MX"/>
        </w:rPr>
        <w:footnoteReference w:id="1"/>
      </w:r>
      <w:r w:rsidRPr="00740E5C">
        <w:rPr>
          <w:rFonts w:ascii="Arial" w:hAnsi="Arial" w:cs="Arial"/>
          <w:color w:val="000000" w:themeColor="text1"/>
          <w:sz w:val="22"/>
          <w:szCs w:val="22"/>
          <w:lang w:val="es-MX"/>
        </w:rPr>
        <w:t>. Por su parte, el Consejo de Estado ha definido la capacidad residual como «la diferencia que existe entre el potencial de contratación que se tiene y los compromisos que haya adquirido y que se encuentren en ejecución, para la fecha de presentación de la oferta»</w:t>
      </w:r>
      <w:r w:rsidRPr="00740E5C">
        <w:rPr>
          <w:rFonts w:ascii="Arial" w:eastAsia="Calibri" w:hAnsi="Arial" w:cs="Arial"/>
          <w:color w:val="000000" w:themeColor="text1"/>
          <w:sz w:val="22"/>
          <w:szCs w:val="22"/>
          <w:vertAlign w:val="superscript"/>
          <w:lang w:val="es-MX"/>
        </w:rPr>
        <w:footnoteReference w:id="2"/>
      </w:r>
      <w:r w:rsidRPr="00740E5C">
        <w:rPr>
          <w:rFonts w:ascii="Arial" w:hAnsi="Arial" w:cs="Arial"/>
          <w:color w:val="000000" w:themeColor="text1"/>
          <w:sz w:val="22"/>
          <w:szCs w:val="22"/>
          <w:lang w:val="es-MX"/>
        </w:rPr>
        <w:t>.</w:t>
      </w:r>
    </w:p>
    <w:p w14:paraId="2E0D9F79" w14:textId="77777777" w:rsidR="00740E5C" w:rsidRPr="00740E5C" w:rsidRDefault="00740E5C" w:rsidP="00740E5C">
      <w:pPr>
        <w:spacing w:before="120" w:line="276" w:lineRule="auto"/>
        <w:ind w:firstLine="708"/>
        <w:jc w:val="both"/>
        <w:rPr>
          <w:rFonts w:ascii="Arial" w:hAnsi="Arial" w:cs="Arial"/>
          <w:color w:val="000000" w:themeColor="text1"/>
          <w:sz w:val="22"/>
          <w:szCs w:val="22"/>
          <w:lang w:val="es-MX"/>
        </w:rPr>
      </w:pPr>
      <w:r w:rsidRPr="00740E5C">
        <w:rPr>
          <w:rFonts w:ascii="Arial" w:hAnsi="Arial" w:cs="Arial"/>
          <w:color w:val="000000" w:themeColor="text1"/>
          <w:sz w:val="22"/>
          <w:szCs w:val="22"/>
          <w:lang w:val="es-MX"/>
        </w:rPr>
        <w:t xml:space="preserve">De esta manera, la capacidad residual se refiere a la suficiencia que tiene el proponente para asumir nuevas obligaciones que se derivan del contrato objeto del proceso de contratación, en relación con las obligaciones que ya adquirió frente a otros contratos. Por su parte, el artículo 6 de la Ley 1150 de 2007 dispone que la capacidad residual de los interesados en participar en procesos de selección para contratos de obra deberá ser igual o superior al que la entidad ha establecido en los pliegos de condiciones, en los siguientes términos: </w:t>
      </w:r>
    </w:p>
    <w:p w14:paraId="5BAB9F7A" w14:textId="77777777" w:rsidR="00740E5C" w:rsidRPr="00ED0894" w:rsidRDefault="00740E5C" w:rsidP="00740E5C">
      <w:pPr>
        <w:spacing w:line="276" w:lineRule="auto"/>
        <w:ind w:firstLine="708"/>
        <w:jc w:val="both"/>
        <w:rPr>
          <w:rFonts w:ascii="Arial" w:hAnsi="Arial" w:cs="Arial"/>
          <w:color w:val="000000" w:themeColor="text1"/>
          <w:lang w:val="es-MX"/>
        </w:rPr>
      </w:pPr>
    </w:p>
    <w:p w14:paraId="6211DFD6" w14:textId="77777777" w:rsidR="00740E5C" w:rsidRPr="00ED0894" w:rsidRDefault="00740E5C" w:rsidP="00740E5C">
      <w:pPr>
        <w:spacing w:after="120"/>
        <w:ind w:left="709" w:right="709"/>
        <w:jc w:val="both"/>
        <w:rPr>
          <w:rFonts w:ascii="Arial" w:eastAsia="Calibri" w:hAnsi="Arial" w:cs="Arial"/>
          <w:color w:val="000000" w:themeColor="text1"/>
          <w:sz w:val="21"/>
          <w:szCs w:val="21"/>
          <w:lang w:val="es-MX"/>
        </w:rPr>
      </w:pPr>
      <w:r w:rsidRPr="00ED0894">
        <w:rPr>
          <w:rFonts w:ascii="Arial" w:eastAsia="Calibri" w:hAnsi="Arial" w:cs="Arial"/>
          <w:color w:val="000000" w:themeColor="text1"/>
          <w:sz w:val="21"/>
          <w:szCs w:val="21"/>
          <w:lang w:val="es-MX"/>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62C510BF" w14:textId="77777777" w:rsidR="00740E5C" w:rsidRPr="00ED0894" w:rsidRDefault="00740E5C" w:rsidP="00740E5C">
      <w:pPr>
        <w:ind w:left="708" w:right="709"/>
        <w:jc w:val="both"/>
        <w:rPr>
          <w:rFonts w:ascii="Arial" w:eastAsia="Calibri" w:hAnsi="Arial" w:cs="Arial"/>
          <w:color w:val="000000" w:themeColor="text1"/>
          <w:sz w:val="21"/>
          <w:szCs w:val="21"/>
          <w:lang w:val="es-MX"/>
        </w:rPr>
      </w:pPr>
      <w:r w:rsidRPr="00ED0894">
        <w:rPr>
          <w:rFonts w:ascii="Arial" w:eastAsia="Calibri" w:hAnsi="Arial" w:cs="Arial"/>
          <w:color w:val="000000" w:themeColor="text1"/>
          <w:sz w:val="21"/>
          <w:szCs w:val="21"/>
          <w:lang w:val="es-MX"/>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3D2060D4" w14:textId="77777777" w:rsidR="00740E5C" w:rsidRPr="00ED0894" w:rsidRDefault="00740E5C" w:rsidP="00740E5C">
      <w:pPr>
        <w:spacing w:line="276" w:lineRule="auto"/>
        <w:ind w:right="709"/>
        <w:jc w:val="both"/>
        <w:rPr>
          <w:rFonts w:ascii="Arial" w:eastAsia="Calibri" w:hAnsi="Arial" w:cs="Arial"/>
          <w:color w:val="000000" w:themeColor="text1"/>
          <w:lang w:val="es-MX"/>
        </w:rPr>
      </w:pPr>
    </w:p>
    <w:p w14:paraId="1E2F7F02" w14:textId="77777777" w:rsidR="00740E5C" w:rsidRPr="00740E5C" w:rsidRDefault="00740E5C" w:rsidP="00740E5C">
      <w:pPr>
        <w:spacing w:line="276" w:lineRule="auto"/>
        <w:ind w:firstLine="709"/>
        <w:jc w:val="both"/>
        <w:rPr>
          <w:rFonts w:ascii="Arial" w:eastAsia="Calibri" w:hAnsi="Arial" w:cs="Arial"/>
          <w:color w:val="000000" w:themeColor="text1"/>
          <w:sz w:val="22"/>
          <w:szCs w:val="22"/>
        </w:rPr>
      </w:pPr>
      <w:r w:rsidRPr="00740E5C">
        <w:rPr>
          <w:rFonts w:ascii="Arial" w:eastAsia="Calibri" w:hAnsi="Arial" w:cs="Arial"/>
          <w:color w:val="000000" w:themeColor="text1"/>
          <w:sz w:val="22"/>
          <w:szCs w:val="22"/>
          <w:lang w:val="es-MX"/>
        </w:rPr>
        <w:t xml:space="preserve">De acuerdo con </w:t>
      </w:r>
      <w:r w:rsidRPr="00740E5C">
        <w:rPr>
          <w:rFonts w:ascii="Arial" w:eastAsia="Calibri" w:hAnsi="Arial" w:cs="Arial"/>
          <w:color w:val="000000" w:themeColor="text1"/>
          <w:sz w:val="22"/>
          <w:szCs w:val="22"/>
        </w:rPr>
        <w:t xml:space="preserve">el artículo 72 de la Ley 1682 de 2013, la «capacidad residual de contratación cuando se realicen contratos de obra pública se obtendrá de sustraer de la capacidad de contratación, el saldo del valor de los contratos en ejecución». La «capacidad de contratación», según se desprende de la misma disposición, «[…] se deberá calcular </w:t>
      </w:r>
      <w:r w:rsidRPr="00740E5C">
        <w:rPr>
          <w:rFonts w:ascii="Arial" w:eastAsia="Calibri" w:hAnsi="Arial" w:cs="Arial"/>
          <w:color w:val="000000" w:themeColor="text1"/>
          <w:sz w:val="22"/>
          <w:szCs w:val="22"/>
        </w:rPr>
        <w:lastRenderedPageBreak/>
        <w:t>mediante la evaluación de los siguientes factores: Experiencia (E), Capacidad Financiera (CF), Capacidad Técnica (CT), y Capacidad de Organización (CO)».</w:t>
      </w:r>
    </w:p>
    <w:p w14:paraId="1F2828F9" w14:textId="35F1608E" w:rsidR="00740E5C" w:rsidRPr="00740E5C" w:rsidRDefault="00740E5C" w:rsidP="00740E5C">
      <w:pPr>
        <w:spacing w:before="120" w:after="120" w:line="276" w:lineRule="auto"/>
        <w:ind w:firstLine="709"/>
        <w:jc w:val="both"/>
        <w:rPr>
          <w:rFonts w:ascii="Arial" w:eastAsia="Calibri" w:hAnsi="Arial" w:cs="Arial"/>
          <w:color w:val="000000" w:themeColor="text1"/>
          <w:sz w:val="22"/>
          <w:szCs w:val="22"/>
          <w:lang w:val="es-MX"/>
        </w:rPr>
      </w:pPr>
      <w:bookmarkStart w:id="4" w:name="_Hlk103608376"/>
      <w:r w:rsidRPr="00740E5C">
        <w:rPr>
          <w:rFonts w:ascii="Arial" w:eastAsia="Calibri" w:hAnsi="Arial" w:cs="Arial"/>
          <w:color w:val="000000" w:themeColor="text1"/>
          <w:sz w:val="22"/>
          <w:szCs w:val="22"/>
          <w:lang w:val="es-MX"/>
        </w:rPr>
        <w:t>Por su parte, el artículo 2.2.1.1.1.6.4 del Decreto 1082 de 2015 dispone que las entidades estatales deberán calcular la capacidad residual conforme a la metodología definida por Colombia Compre Eficiente. Para tale fines, resulta necesario tener en cuenta los factores de</w:t>
      </w:r>
      <w:r w:rsidR="00EA48E3">
        <w:rPr>
          <w:rFonts w:ascii="Arial" w:eastAsia="Calibri" w:hAnsi="Arial" w:cs="Arial"/>
          <w:color w:val="000000" w:themeColor="text1"/>
          <w:sz w:val="22"/>
          <w:szCs w:val="22"/>
          <w:lang w:val="es-MX"/>
        </w:rPr>
        <w:t>:</w:t>
      </w:r>
      <w:r w:rsidRPr="00740E5C">
        <w:rPr>
          <w:rFonts w:ascii="Arial" w:eastAsia="Calibri" w:hAnsi="Arial" w:cs="Arial"/>
          <w:color w:val="000000" w:themeColor="text1"/>
          <w:sz w:val="22"/>
          <w:szCs w:val="22"/>
          <w:lang w:val="es-MX"/>
        </w:rPr>
        <w:t xml:space="preserve"> i) Experiencia –E–, ii) Capacidad Financiera –CF–, iii) Capacidad Técnica –CT–, iv) Capacidad de Organización y v) los Saldos de los Contratos en Ejecución –SCE–</w:t>
      </w:r>
      <w:r w:rsidR="00EA48E3">
        <w:rPr>
          <w:rFonts w:ascii="Arial" w:eastAsia="Calibri" w:hAnsi="Arial" w:cs="Arial"/>
          <w:color w:val="000000" w:themeColor="text1"/>
          <w:sz w:val="22"/>
          <w:szCs w:val="22"/>
          <w:lang w:val="es-MX"/>
        </w:rPr>
        <w:t>.</w:t>
      </w:r>
    </w:p>
    <w:p w14:paraId="62B8A99A" w14:textId="77777777" w:rsidR="00740E5C" w:rsidRPr="00740E5C" w:rsidRDefault="00740E5C" w:rsidP="00740E5C">
      <w:pPr>
        <w:spacing w:before="120" w:after="120" w:line="276" w:lineRule="auto"/>
        <w:ind w:firstLine="709"/>
        <w:jc w:val="both"/>
        <w:rPr>
          <w:rFonts w:ascii="Arial" w:hAnsi="Arial" w:cs="Arial"/>
          <w:sz w:val="22"/>
          <w:szCs w:val="22"/>
          <w:lang w:val="es-MX"/>
        </w:rPr>
      </w:pPr>
      <w:r w:rsidRPr="00740E5C">
        <w:rPr>
          <w:rFonts w:ascii="Arial" w:eastAsia="Calibri" w:hAnsi="Arial" w:cs="Arial"/>
          <w:color w:val="000000" w:themeColor="text1"/>
          <w:sz w:val="22"/>
          <w:szCs w:val="22"/>
          <w:lang w:val="es-MX"/>
        </w:rPr>
        <w:t xml:space="preserve">De igual manera, </w:t>
      </w:r>
      <w:r w:rsidRPr="00740E5C">
        <w:rPr>
          <w:rFonts w:ascii="Arial" w:hAnsi="Arial" w:cs="Arial"/>
          <w:sz w:val="22"/>
          <w:szCs w:val="22"/>
          <w:lang w:val="es-MX"/>
        </w:rPr>
        <w:t>establece que el interesado en celebrar contratos de obra pública acreditará su capacidad residual con los siguientes documentos: i) la lista de los contratos de obras civiles en ejecución suscritos con entidades estatales y con entidades privadas; ii) la lista de contratos de obras civiles en ejecución, suscritos por sociedades, consorcios o uniones temporales, en los cuales el proponente tenga participación, con entidades estatales y con entidades privadas; y finalmente iii) el balance general auditado del año inmediatamente anterior y estado de resultados auditado del año en que haya obtenido el mayor ingreso operacional en los últimos cinco (5) años</w:t>
      </w:r>
      <w:bookmarkEnd w:id="4"/>
      <w:r w:rsidRPr="00740E5C">
        <w:rPr>
          <w:rFonts w:ascii="Arial" w:hAnsi="Arial" w:cs="Arial"/>
          <w:sz w:val="22"/>
          <w:szCs w:val="22"/>
          <w:vertAlign w:val="superscript"/>
          <w:lang w:val="es-MX"/>
        </w:rPr>
        <w:footnoteReference w:id="3"/>
      </w:r>
      <w:r w:rsidRPr="00740E5C">
        <w:rPr>
          <w:rFonts w:ascii="Arial" w:hAnsi="Arial" w:cs="Arial"/>
          <w:sz w:val="22"/>
          <w:szCs w:val="22"/>
          <w:lang w:val="es-MX"/>
        </w:rPr>
        <w:t xml:space="preserve">. </w:t>
      </w:r>
    </w:p>
    <w:p w14:paraId="614F6E48" w14:textId="77777777" w:rsidR="00740E5C" w:rsidRPr="00740E5C" w:rsidRDefault="00740E5C" w:rsidP="00740E5C">
      <w:pPr>
        <w:spacing w:before="120" w:after="120" w:line="276" w:lineRule="auto"/>
        <w:ind w:firstLine="709"/>
        <w:jc w:val="both"/>
        <w:rPr>
          <w:rFonts w:ascii="Arial" w:eastAsia="Calibri" w:hAnsi="Arial" w:cs="Arial"/>
          <w:bCs/>
          <w:color w:val="000000" w:themeColor="text1"/>
          <w:sz w:val="22"/>
          <w:szCs w:val="22"/>
        </w:rPr>
      </w:pPr>
      <w:r w:rsidRPr="00740E5C">
        <w:rPr>
          <w:rFonts w:ascii="Arial" w:hAnsi="Arial" w:cs="Arial"/>
          <w:color w:val="000000" w:themeColor="text1"/>
          <w:sz w:val="22"/>
          <w:szCs w:val="22"/>
          <w:lang w:val="es-MX"/>
        </w:rPr>
        <w:t>De conformidad con lo expuesto, la Agencia Nacional de Contratación Pública – Colombia Compra Eficiente expidió la Guía para Determinar y Verificar la Capacidad Residual del Proponente en los Procesos de Contratación de Obra Pública. Este documento establece, entre otras cuestiones, que a la entidad contratante le corresponde, primero, establecer la capacidad residual del proceso de contratación «CRPC» y, segundo, determinar si los proponentes cumplen con la capacidad residual del proceso de contratación, teniendo en cuenta la información mencionada en el párrafo precedente.</w:t>
      </w:r>
    </w:p>
    <w:p w14:paraId="3F46AB3B" w14:textId="77777777" w:rsidR="00740E5C" w:rsidRPr="00740E5C" w:rsidRDefault="00740E5C" w:rsidP="00740E5C">
      <w:pPr>
        <w:spacing w:line="276" w:lineRule="auto"/>
        <w:ind w:firstLine="709"/>
        <w:jc w:val="both"/>
        <w:rPr>
          <w:rFonts w:ascii="Arial" w:eastAsia="Calibri" w:hAnsi="Arial" w:cs="Arial"/>
          <w:bCs/>
          <w:color w:val="000000" w:themeColor="text1"/>
          <w:sz w:val="22"/>
          <w:szCs w:val="22"/>
        </w:rPr>
      </w:pPr>
      <w:r w:rsidRPr="00740E5C">
        <w:rPr>
          <w:rFonts w:ascii="Arial" w:eastAsia="Calibri" w:hAnsi="Arial" w:cs="Arial"/>
          <w:bCs/>
          <w:color w:val="000000" w:themeColor="text1"/>
          <w:sz w:val="22"/>
          <w:szCs w:val="22"/>
        </w:rPr>
        <w:lastRenderedPageBreak/>
        <w:t>En relación con el primer aspecto, sobre la determinación de la capacidad residual del proceso de contratación «CRPC», debe determinarse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1523BF91" w14:textId="77777777" w:rsidR="00740E5C" w:rsidRPr="00740E5C" w:rsidRDefault="00740E5C" w:rsidP="00740E5C">
      <w:pPr>
        <w:spacing w:before="120" w:line="276" w:lineRule="auto"/>
        <w:ind w:firstLine="709"/>
        <w:jc w:val="both"/>
        <w:rPr>
          <w:rFonts w:ascii="Arial" w:eastAsia="Calibri" w:hAnsi="Arial" w:cs="Arial"/>
          <w:bCs/>
          <w:color w:val="000000" w:themeColor="text1"/>
          <w:sz w:val="22"/>
          <w:szCs w:val="22"/>
        </w:rPr>
      </w:pPr>
      <w:r w:rsidRPr="00740E5C">
        <w:rPr>
          <w:rFonts w:ascii="Arial" w:eastAsia="Calibri" w:hAnsi="Arial" w:cs="Arial"/>
          <w:bCs/>
          <w:color w:val="000000" w:themeColor="text1"/>
          <w:sz w:val="22"/>
          <w:szCs w:val="22"/>
        </w:rPr>
        <w:t xml:space="preserve">En cuanto al segundo aspecto, sobre la validación de </w:t>
      </w:r>
      <w:bookmarkStart w:id="5" w:name="_Hlk68683272"/>
      <w:r w:rsidRPr="00740E5C">
        <w:rPr>
          <w:rFonts w:ascii="Arial" w:eastAsia="Calibri" w:hAnsi="Arial" w:cs="Arial"/>
          <w:bCs/>
          <w:color w:val="000000" w:themeColor="text1"/>
          <w:sz w:val="22"/>
          <w:szCs w:val="22"/>
        </w:rPr>
        <w:t>que cada proponente cumpla con la CRPC</w:t>
      </w:r>
      <w:bookmarkEnd w:id="5"/>
      <w:r w:rsidRPr="00740E5C">
        <w:rPr>
          <w:rFonts w:ascii="Arial" w:eastAsia="Calibri" w:hAnsi="Arial" w:cs="Arial"/>
          <w:bCs/>
          <w:color w:val="000000" w:themeColor="text1"/>
          <w:sz w:val="22"/>
          <w:szCs w:val="22"/>
        </w:rPr>
        <w:t>, la entidad pública debe verificar que la capacidad residual del proponente «CRP» sea igual o superior a la capacidad referida en el párrafo precedente. De todas formas, previamente debe establecer la CRP, con fundamento en los siguientes factores: i) experiencia «E»; ii) capacidad financiera «CF»; iii) capacidad técnica «CT», iv) capacidad de organización «CO»; y v) los saldos de los contratos en ejecución «SCE», según la siguiente formula:</w:t>
      </w:r>
    </w:p>
    <w:p w14:paraId="1778DBF2" w14:textId="77777777" w:rsidR="00740E5C" w:rsidRPr="00ED0894" w:rsidRDefault="00740E5C" w:rsidP="00740E5C">
      <w:pPr>
        <w:spacing w:line="276" w:lineRule="auto"/>
        <w:ind w:firstLine="709"/>
        <w:jc w:val="both"/>
        <w:rPr>
          <w:rFonts w:ascii="Arial" w:eastAsia="Calibri" w:hAnsi="Arial" w:cs="Arial"/>
          <w:bCs/>
          <w:color w:val="000000" w:themeColor="text1"/>
        </w:rPr>
      </w:pPr>
      <w:r w:rsidRPr="00ED0894">
        <w:rPr>
          <w:rFonts w:ascii="Arial" w:eastAsia="Calibri" w:hAnsi="Arial" w:cs="Arial"/>
          <w:bCs/>
          <w:noProof/>
          <w:color w:val="000000" w:themeColor="text1"/>
        </w:rPr>
        <w:drawing>
          <wp:anchor distT="0" distB="0" distL="0" distR="0" simplePos="0" relativeHeight="251663360" behindDoc="0" locked="0" layoutInCell="1" allowOverlap="1" wp14:anchorId="0F65C6AB" wp14:editId="4E8352C1">
            <wp:simplePos x="0" y="0"/>
            <wp:positionH relativeFrom="margin">
              <wp:align>center</wp:align>
            </wp:positionH>
            <wp:positionV relativeFrom="paragraph">
              <wp:posOffset>222250</wp:posOffset>
            </wp:positionV>
            <wp:extent cx="4638040" cy="552450"/>
            <wp:effectExtent l="0" t="0" r="0" b="0"/>
            <wp:wrapTopAndBottom/>
            <wp:docPr id="1" name="image3.jpe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Diagrama&#10;&#10;Descripción generada automáticamente"/>
                    <pic:cNvPicPr/>
                  </pic:nvPicPr>
                  <pic:blipFill>
                    <a:blip r:embed="rId12" cstate="print"/>
                    <a:stretch>
                      <a:fillRect/>
                    </a:stretch>
                  </pic:blipFill>
                  <pic:spPr>
                    <a:xfrm>
                      <a:off x="0" y="0"/>
                      <a:ext cx="4638040" cy="552450"/>
                    </a:xfrm>
                    <a:prstGeom prst="rect">
                      <a:avLst/>
                    </a:prstGeom>
                  </pic:spPr>
                </pic:pic>
              </a:graphicData>
            </a:graphic>
            <wp14:sizeRelH relativeFrom="margin">
              <wp14:pctWidth>0</wp14:pctWidth>
            </wp14:sizeRelH>
            <wp14:sizeRelV relativeFrom="margin">
              <wp14:pctHeight>0</wp14:pctHeight>
            </wp14:sizeRelV>
          </wp:anchor>
        </w:drawing>
      </w:r>
    </w:p>
    <w:p w14:paraId="129A8438" w14:textId="77777777" w:rsidR="00740E5C" w:rsidRPr="00ED0894" w:rsidRDefault="00740E5C" w:rsidP="00740E5C">
      <w:pPr>
        <w:spacing w:line="276" w:lineRule="auto"/>
        <w:jc w:val="both"/>
        <w:rPr>
          <w:rFonts w:ascii="Arial" w:eastAsia="Calibri" w:hAnsi="Arial" w:cs="Arial"/>
          <w:bCs/>
          <w:color w:val="000000" w:themeColor="text1"/>
          <w:lang w:val="es-MX"/>
        </w:rPr>
      </w:pPr>
    </w:p>
    <w:p w14:paraId="4CCF1FC0" w14:textId="77777777" w:rsidR="00740E5C" w:rsidRPr="00740E5C" w:rsidRDefault="00740E5C" w:rsidP="00740E5C">
      <w:pPr>
        <w:spacing w:line="276" w:lineRule="auto"/>
        <w:ind w:firstLine="709"/>
        <w:jc w:val="both"/>
        <w:rPr>
          <w:rFonts w:ascii="Arial" w:hAnsi="Arial" w:cs="Arial"/>
          <w:i/>
          <w:iCs/>
          <w:sz w:val="22"/>
          <w:szCs w:val="22"/>
        </w:rPr>
      </w:pPr>
      <w:r w:rsidRPr="00740E5C">
        <w:rPr>
          <w:rFonts w:ascii="Arial" w:eastAsia="Calibri" w:hAnsi="Arial" w:cs="Arial"/>
          <w:bCs/>
          <w:color w:val="000000" w:themeColor="text1"/>
          <w:sz w:val="22"/>
          <w:szCs w:val="22"/>
          <w:lang w:val="es-MX"/>
        </w:rPr>
        <w:t xml:space="preserve">Particularmente, </w:t>
      </w:r>
      <w:bookmarkStart w:id="6" w:name="_Hlk100139879"/>
      <w:r w:rsidRPr="00740E5C">
        <w:rPr>
          <w:rFonts w:ascii="Arial" w:eastAsia="Calibri" w:hAnsi="Arial" w:cs="Arial"/>
          <w:bCs/>
          <w:color w:val="000000" w:themeColor="text1"/>
          <w:sz w:val="22"/>
          <w:szCs w:val="22"/>
          <w:lang w:val="es-MX"/>
        </w:rPr>
        <w:t xml:space="preserve">respecto del factor de saldos de los contratos en ejecución </w:t>
      </w:r>
      <w:r w:rsidRPr="00740E5C">
        <w:rPr>
          <w:rFonts w:ascii="Arial" w:eastAsia="Calibri" w:hAnsi="Arial" w:cs="Arial"/>
          <w:bCs/>
          <w:color w:val="000000" w:themeColor="text1"/>
          <w:sz w:val="22"/>
          <w:szCs w:val="22"/>
        </w:rPr>
        <w:t>«SCE»,</w:t>
      </w:r>
      <w:r w:rsidRPr="00740E5C">
        <w:rPr>
          <w:rFonts w:ascii="Arial" w:hAnsi="Arial" w:cs="Arial"/>
          <w:sz w:val="22"/>
          <w:szCs w:val="22"/>
        </w:rPr>
        <w:t xml:space="preserve"> es necesario tener en cuenta que la Guía para Determinar y Verificar la Capacidad Residual del Proponente en los Procesos de Contratación de Obra Pública</w:t>
      </w:r>
      <w:r w:rsidRPr="00740E5C">
        <w:rPr>
          <w:rFonts w:ascii="Arial" w:hAnsi="Arial" w:cs="Arial"/>
          <w:i/>
          <w:iCs/>
          <w:sz w:val="22"/>
          <w:szCs w:val="22"/>
        </w:rPr>
        <w:t xml:space="preserve">, </w:t>
      </w:r>
      <w:r w:rsidRPr="00740E5C">
        <w:rPr>
          <w:rFonts w:ascii="Arial" w:hAnsi="Arial" w:cs="Arial"/>
          <w:sz w:val="22"/>
          <w:szCs w:val="22"/>
        </w:rPr>
        <w:t xml:space="preserve">define a este factor </w:t>
      </w:r>
      <w:r w:rsidRPr="00740E5C">
        <w:rPr>
          <w:rFonts w:ascii="Arial" w:eastAsia="Calibri" w:hAnsi="Arial" w:cs="Arial"/>
          <w:bCs/>
          <w:color w:val="000000" w:themeColor="text1"/>
          <w:sz w:val="22"/>
          <w:szCs w:val="22"/>
        </w:rPr>
        <w:t>como «la suma de los montos por ejecutar de los contratos en ejecución durante los 12 meses siguientes»</w:t>
      </w:r>
      <w:bookmarkEnd w:id="6"/>
      <w:r w:rsidRPr="00740E5C">
        <w:rPr>
          <w:rFonts w:ascii="Arial" w:eastAsia="Calibri" w:hAnsi="Arial" w:cs="Arial"/>
          <w:bCs/>
          <w:color w:val="000000" w:themeColor="text1"/>
          <w:sz w:val="22"/>
          <w:szCs w:val="22"/>
        </w:rPr>
        <w:t>. Así mismo, define los</w:t>
      </w:r>
      <w:r w:rsidRPr="00740E5C">
        <w:rPr>
          <w:rFonts w:ascii="Arial" w:hAnsi="Arial" w:cs="Arial"/>
          <w:sz w:val="22"/>
          <w:szCs w:val="22"/>
        </w:rPr>
        <w:t xml:space="preserve"> </w:t>
      </w:r>
      <w:bookmarkStart w:id="7" w:name="_Hlk78819022"/>
      <w:r w:rsidRPr="00740E5C">
        <w:rPr>
          <w:rFonts w:ascii="Arial" w:hAnsi="Arial" w:cs="Arial"/>
          <w:i/>
          <w:iCs/>
          <w:sz w:val="22"/>
          <w:szCs w:val="22"/>
        </w:rPr>
        <w:t>Contratos en Ejecución</w:t>
      </w:r>
      <w:r w:rsidRPr="00740E5C">
        <w:rPr>
          <w:rFonts w:ascii="Arial" w:hAnsi="Arial" w:cs="Arial"/>
          <w:sz w:val="22"/>
          <w:szCs w:val="22"/>
        </w:rPr>
        <w:t xml:space="preserve"> </w:t>
      </w:r>
      <w:bookmarkEnd w:id="7"/>
      <w:r w:rsidRPr="00740E5C">
        <w:rPr>
          <w:rFonts w:ascii="Arial" w:hAnsi="Arial" w:cs="Arial"/>
          <w:sz w:val="22"/>
          <w:szCs w:val="22"/>
        </w:rPr>
        <w:t xml:space="preserve">de la siguiente manera: </w:t>
      </w:r>
      <w:r w:rsidRPr="00740E5C">
        <w:rPr>
          <w:rFonts w:ascii="Arial" w:hAnsi="Arial" w:cs="Arial"/>
          <w:i/>
          <w:iCs/>
          <w:sz w:val="22"/>
          <w:szCs w:val="22"/>
        </w:rPr>
        <w:t xml:space="preserve"> </w:t>
      </w:r>
    </w:p>
    <w:p w14:paraId="4101E68F" w14:textId="77777777" w:rsidR="00740E5C" w:rsidRPr="00ED0894" w:rsidRDefault="00740E5C" w:rsidP="00740E5C">
      <w:pPr>
        <w:spacing w:line="276" w:lineRule="auto"/>
        <w:ind w:firstLine="709"/>
        <w:jc w:val="both"/>
        <w:rPr>
          <w:rFonts w:ascii="Arial" w:hAnsi="Arial" w:cs="Arial"/>
        </w:rPr>
      </w:pPr>
    </w:p>
    <w:p w14:paraId="00F6E5AD" w14:textId="77777777" w:rsidR="00740E5C" w:rsidRPr="00ED0894" w:rsidRDefault="00740E5C" w:rsidP="00740E5C">
      <w:pPr>
        <w:ind w:left="709" w:right="709"/>
        <w:jc w:val="both"/>
        <w:rPr>
          <w:rFonts w:ascii="Arial" w:hAnsi="Arial" w:cs="Arial"/>
          <w:sz w:val="21"/>
          <w:szCs w:val="21"/>
        </w:rPr>
      </w:pPr>
      <w:r w:rsidRPr="00ED0894">
        <w:rPr>
          <w:rFonts w:ascii="Arial" w:hAnsi="Arial" w:cs="Arial"/>
          <w:sz w:val="21"/>
          <w:szCs w:val="21"/>
        </w:rPr>
        <w:t>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p>
    <w:p w14:paraId="1AD5DCA4" w14:textId="77777777" w:rsidR="00740E5C" w:rsidRPr="00ED0894" w:rsidRDefault="00740E5C" w:rsidP="00740E5C">
      <w:pPr>
        <w:spacing w:line="276" w:lineRule="auto"/>
        <w:ind w:right="709"/>
        <w:jc w:val="both"/>
        <w:rPr>
          <w:rFonts w:ascii="Arial" w:hAnsi="Arial" w:cs="Arial"/>
        </w:rPr>
      </w:pPr>
    </w:p>
    <w:p w14:paraId="197E3B4D" w14:textId="72CAF575" w:rsidR="00740E5C" w:rsidRPr="00740E5C" w:rsidRDefault="00740E5C" w:rsidP="00740E5C">
      <w:pPr>
        <w:spacing w:line="276" w:lineRule="auto"/>
        <w:ind w:firstLine="709"/>
        <w:jc w:val="both"/>
        <w:rPr>
          <w:rFonts w:ascii="Arial" w:hAnsi="Arial" w:cs="Arial"/>
          <w:sz w:val="22"/>
          <w:szCs w:val="22"/>
          <w:lang w:val="es-MX"/>
        </w:rPr>
      </w:pPr>
      <w:bookmarkStart w:id="8" w:name="_Hlk100139912"/>
      <w:bookmarkStart w:id="9" w:name="_Hlk103609030"/>
      <w:r w:rsidRPr="00740E5C">
        <w:rPr>
          <w:rFonts w:ascii="Arial" w:hAnsi="Arial" w:cs="Arial"/>
          <w:sz w:val="22"/>
          <w:szCs w:val="22"/>
        </w:rPr>
        <w:t>En este sentido, los saldos pendientes se derivan de las obligaciones que se encuentran en ejecución al momento de la presentación de la oferta y se refieren a contratos cuyo objeto sea la ejecución de obras civiles</w:t>
      </w:r>
      <w:bookmarkEnd w:id="8"/>
      <w:r w:rsidRPr="00740E5C">
        <w:rPr>
          <w:rFonts w:ascii="Arial" w:hAnsi="Arial" w:cs="Arial"/>
          <w:sz w:val="22"/>
          <w:szCs w:val="22"/>
        </w:rPr>
        <w:t xml:space="preserve">. </w:t>
      </w:r>
      <w:bookmarkStart w:id="10" w:name="_Hlk100139986"/>
      <w:r w:rsidRPr="00740E5C">
        <w:rPr>
          <w:rFonts w:ascii="Arial" w:hAnsi="Arial" w:cs="Arial"/>
          <w:sz w:val="22"/>
          <w:szCs w:val="22"/>
        </w:rPr>
        <w:t>Se aclara que deben tenerse en cuenta los contratos sin acta de inicio, pues el criterio determinante para establecer si un contrato se encuentra en ejecución</w:t>
      </w:r>
      <w:r w:rsidR="00FA357B">
        <w:rPr>
          <w:rFonts w:ascii="Arial" w:hAnsi="Arial" w:cs="Arial"/>
          <w:sz w:val="22"/>
          <w:szCs w:val="22"/>
        </w:rPr>
        <w:t>, para efectos de calcular la capacidad residual,</w:t>
      </w:r>
      <w:r w:rsidRPr="00740E5C">
        <w:rPr>
          <w:rFonts w:ascii="Arial" w:hAnsi="Arial" w:cs="Arial"/>
          <w:sz w:val="22"/>
          <w:szCs w:val="22"/>
        </w:rPr>
        <w:t xml:space="preserve"> no lo determina el acta, sino que el mismo contrato obligue al proponente, tal como se establece en la Guía indicada. Además, los saldos pendientes por ejecutar de los contratos afectados por una </w:t>
      </w:r>
      <w:r w:rsidRPr="00740E5C">
        <w:rPr>
          <w:rFonts w:ascii="Arial" w:hAnsi="Arial" w:cs="Arial"/>
          <w:sz w:val="22"/>
          <w:szCs w:val="22"/>
        </w:rPr>
        <w:lastRenderedPageBreak/>
        <w:t xml:space="preserve">suspensión constituyen, también, información relevante para calcular la capacidad residual del proponente </w:t>
      </w:r>
      <w:r w:rsidRPr="00740E5C">
        <w:rPr>
          <w:rFonts w:ascii="Arial" w:eastAsia="Calibri" w:hAnsi="Arial" w:cs="Arial"/>
          <w:b/>
          <w:color w:val="000000" w:themeColor="text1"/>
          <w:sz w:val="22"/>
          <w:szCs w:val="22"/>
        </w:rPr>
        <w:t>«</w:t>
      </w:r>
      <w:r w:rsidRPr="00740E5C">
        <w:rPr>
          <w:rFonts w:ascii="Arial" w:eastAsia="Calibri" w:hAnsi="Arial" w:cs="Arial"/>
          <w:bCs/>
          <w:color w:val="000000" w:themeColor="text1"/>
          <w:sz w:val="22"/>
          <w:szCs w:val="22"/>
        </w:rPr>
        <w:t>CRP</w:t>
      </w:r>
      <w:r w:rsidRPr="00740E5C">
        <w:rPr>
          <w:rFonts w:ascii="Arial" w:eastAsia="Calibri" w:hAnsi="Arial" w:cs="Arial"/>
          <w:b/>
          <w:color w:val="000000" w:themeColor="text1"/>
          <w:sz w:val="22"/>
          <w:szCs w:val="22"/>
        </w:rPr>
        <w:t>»</w:t>
      </w:r>
      <w:r w:rsidRPr="00740E5C">
        <w:rPr>
          <w:rFonts w:ascii="Arial" w:hAnsi="Arial" w:cs="Arial"/>
          <w:sz w:val="22"/>
          <w:szCs w:val="22"/>
        </w:rPr>
        <w:t>. Lo anterior, en la medida en que la ejecución de los contratos en principio suspendidos puede, eventualmente, afectar la aptitud del oferente para cumplir con el contrato ofertado, razón por la que, ante la posibilidad de que tales contratos se reanuden, la Guía estimó necesario evaluar los saldos pendientes por ejecutar de tales contratos para determinar si el proponente cumple con la capacidad residual requerida</w:t>
      </w:r>
      <w:bookmarkEnd w:id="9"/>
      <w:bookmarkEnd w:id="10"/>
      <w:r w:rsidRPr="00740E5C">
        <w:rPr>
          <w:rFonts w:ascii="Arial" w:hAnsi="Arial" w:cs="Arial"/>
          <w:sz w:val="22"/>
          <w:szCs w:val="22"/>
        </w:rPr>
        <w:t xml:space="preserve">. </w:t>
      </w:r>
      <w:r w:rsidRPr="00740E5C">
        <w:rPr>
          <w:rFonts w:ascii="Arial" w:hAnsi="Arial" w:cs="Arial"/>
          <w:sz w:val="22"/>
          <w:szCs w:val="22"/>
          <w:lang w:val="es-MX"/>
        </w:rPr>
        <w:t>Por lo demás, en dicha guía también se precisa que:</w:t>
      </w:r>
    </w:p>
    <w:p w14:paraId="1AB5AF09" w14:textId="77777777" w:rsidR="00740E5C" w:rsidRPr="00ED0894" w:rsidRDefault="00740E5C" w:rsidP="00740E5C">
      <w:pPr>
        <w:spacing w:line="276" w:lineRule="auto"/>
        <w:ind w:firstLine="709"/>
        <w:jc w:val="both"/>
        <w:rPr>
          <w:rFonts w:ascii="Arial" w:hAnsi="Arial" w:cs="Arial"/>
          <w:szCs w:val="20"/>
          <w:lang w:val="es-MX"/>
        </w:rPr>
      </w:pPr>
    </w:p>
    <w:p w14:paraId="4708B4FD" w14:textId="77777777" w:rsidR="00740E5C" w:rsidRPr="00ED0894" w:rsidRDefault="00740E5C" w:rsidP="00740E5C">
      <w:pPr>
        <w:ind w:left="709" w:right="709"/>
        <w:jc w:val="both"/>
        <w:rPr>
          <w:rFonts w:ascii="Arial" w:hAnsi="Arial" w:cs="Arial"/>
          <w:sz w:val="21"/>
          <w:szCs w:val="21"/>
        </w:rPr>
      </w:pPr>
      <w:bookmarkStart w:id="11" w:name="_Hlk100140013"/>
      <w:r w:rsidRPr="00ED0894">
        <w:rPr>
          <w:rFonts w:ascii="Arial" w:hAnsi="Arial" w:cs="Arial"/>
          <w:sz w:val="21"/>
          <w:szCs w:val="21"/>
        </w:rPr>
        <w:t>El cálculo del Saldo de los Contratos en Ejecución debe hacerse linealmente calculando una ejecución diaria equivalente al valor del contrato dividido por el plazo del contrato expresado en días. Este resultado se multiplica por el número de días pendientes para cumplir el plazo del contrato y si el contrato es ejecutado por una estructura plural por la participación del proponente en el respectivo contratista. Si el número de días por ejecutar en un contrato es superior a 12 meses, es decir 360 días, el Saldo del Contrato en Ejecución solo tendrá en cuenta la proporción lineal de 12 meses</w:t>
      </w:r>
      <w:bookmarkEnd w:id="11"/>
      <w:r w:rsidRPr="00ED0894">
        <w:rPr>
          <w:rFonts w:ascii="Arial" w:hAnsi="Arial" w:cs="Arial"/>
          <w:sz w:val="21"/>
          <w:szCs w:val="21"/>
        </w:rPr>
        <w:t>.</w:t>
      </w:r>
    </w:p>
    <w:p w14:paraId="34141F65" w14:textId="77777777" w:rsidR="00740E5C" w:rsidRPr="00ED0894" w:rsidRDefault="00740E5C" w:rsidP="00740E5C">
      <w:pPr>
        <w:spacing w:after="120"/>
        <w:ind w:left="709" w:right="709"/>
        <w:jc w:val="both"/>
        <w:rPr>
          <w:rFonts w:ascii="Arial" w:hAnsi="Arial" w:cs="Arial"/>
          <w:sz w:val="21"/>
          <w:szCs w:val="21"/>
          <w:lang w:val="es-MX"/>
        </w:rPr>
      </w:pPr>
      <w:r w:rsidRPr="00ED0894">
        <w:rPr>
          <w:rFonts w:ascii="Arial" w:hAnsi="Arial" w:cs="Arial"/>
          <w:sz w:val="21"/>
          <w:szCs w:val="21"/>
          <w:lang w:val="es-MX"/>
        </w:rPr>
        <w:t>[…]</w:t>
      </w:r>
    </w:p>
    <w:p w14:paraId="030540CF" w14:textId="77777777" w:rsidR="00740E5C" w:rsidRPr="00ED0894" w:rsidRDefault="00740E5C" w:rsidP="00740E5C">
      <w:pPr>
        <w:ind w:left="709" w:right="709"/>
        <w:jc w:val="both"/>
        <w:rPr>
          <w:rFonts w:ascii="Arial" w:hAnsi="Arial" w:cs="Arial"/>
          <w:sz w:val="21"/>
          <w:szCs w:val="21"/>
        </w:rPr>
      </w:pPr>
      <w:r w:rsidRPr="00ED0894">
        <w:rPr>
          <w:rFonts w:ascii="Arial" w:hAnsi="Arial" w:cs="Arial"/>
          <w:i/>
          <w:iCs/>
          <w:sz w:val="21"/>
          <w:szCs w:val="21"/>
        </w:rPr>
        <w:t>Si un contrato se encuentra suspendido, el cálculo del Saldo del Contrato en Ejecución de dicho contrato debe calcularse asumiendo que lo que falta por ejecutar empezará a ejecutarse en la fecha de la presentación de la oferta del Proceso de Contratación</w:t>
      </w:r>
      <w:r w:rsidRPr="00ED0894">
        <w:rPr>
          <w:rFonts w:ascii="Arial" w:hAnsi="Arial" w:cs="Arial"/>
          <w:sz w:val="21"/>
          <w:szCs w:val="21"/>
        </w:rPr>
        <w:t>. (Énfasis fuera de texto)</w:t>
      </w:r>
    </w:p>
    <w:p w14:paraId="7B93F3E0" w14:textId="77777777" w:rsidR="00740E5C" w:rsidRPr="00ED0894" w:rsidRDefault="00740E5C" w:rsidP="00740E5C">
      <w:pPr>
        <w:spacing w:line="276" w:lineRule="auto"/>
        <w:ind w:firstLine="709"/>
        <w:jc w:val="both"/>
        <w:rPr>
          <w:rFonts w:ascii="Arial" w:hAnsi="Arial" w:cs="Arial"/>
        </w:rPr>
      </w:pPr>
    </w:p>
    <w:p w14:paraId="75FFDECC" w14:textId="40B3A775" w:rsidR="00740E5C" w:rsidRPr="00AC57DD" w:rsidRDefault="00740E5C" w:rsidP="00740E5C">
      <w:pPr>
        <w:spacing w:line="276" w:lineRule="auto"/>
        <w:ind w:firstLine="709"/>
        <w:jc w:val="both"/>
        <w:rPr>
          <w:rFonts w:ascii="Arial" w:hAnsi="Arial" w:cs="Arial"/>
          <w:sz w:val="22"/>
          <w:szCs w:val="22"/>
        </w:rPr>
      </w:pPr>
      <w:r w:rsidRPr="00AC57DD">
        <w:rPr>
          <w:rFonts w:ascii="Arial" w:hAnsi="Arial" w:cs="Arial"/>
          <w:sz w:val="22"/>
          <w:szCs w:val="22"/>
        </w:rPr>
        <w:t xml:space="preserve">De este modo, para acreditar el factor </w:t>
      </w:r>
      <w:r w:rsidRPr="00AC57DD">
        <w:rPr>
          <w:rFonts w:ascii="Arial" w:eastAsia="Calibri" w:hAnsi="Arial" w:cs="Arial"/>
          <w:bCs/>
          <w:color w:val="000000" w:themeColor="text1"/>
          <w:sz w:val="22"/>
          <w:szCs w:val="22"/>
          <w:lang w:val="es-MX"/>
        </w:rPr>
        <w:t xml:space="preserve">saldos de los contratos en ejecución </w:t>
      </w:r>
      <w:r w:rsidRPr="00AC57DD">
        <w:rPr>
          <w:rFonts w:ascii="Arial" w:eastAsia="Calibri" w:hAnsi="Arial" w:cs="Arial"/>
          <w:bCs/>
          <w:color w:val="000000" w:themeColor="text1"/>
          <w:sz w:val="22"/>
          <w:szCs w:val="22"/>
        </w:rPr>
        <w:t>«SCE»</w:t>
      </w:r>
      <w:r w:rsidR="00636963">
        <w:rPr>
          <w:rFonts w:ascii="Arial" w:eastAsia="Calibri" w:hAnsi="Arial" w:cs="Arial"/>
          <w:bCs/>
          <w:color w:val="000000" w:themeColor="text1"/>
          <w:sz w:val="22"/>
          <w:szCs w:val="22"/>
        </w:rPr>
        <w:t>,</w:t>
      </w:r>
      <w:r w:rsidRPr="00AC57DD">
        <w:rPr>
          <w:rFonts w:ascii="Arial" w:hAnsi="Arial" w:cs="Arial"/>
          <w:sz w:val="22"/>
          <w:szCs w:val="22"/>
        </w:rPr>
        <w:t xml:space="preserve">  como lo establece la Guía, el proponente debe presentar la lista de </w:t>
      </w:r>
      <w:r w:rsidR="00175AE1">
        <w:rPr>
          <w:rFonts w:ascii="Arial" w:hAnsi="Arial" w:cs="Arial"/>
          <w:sz w:val="22"/>
          <w:szCs w:val="22"/>
        </w:rPr>
        <w:t xml:space="preserve">la totalidad de </w:t>
      </w:r>
      <w:r w:rsidRPr="00AC57DD">
        <w:rPr>
          <w:rFonts w:ascii="Arial" w:hAnsi="Arial" w:cs="Arial"/>
          <w:sz w:val="22"/>
          <w:szCs w:val="22"/>
        </w:rPr>
        <w:t>contratos de obras civiles en ejecución, tanto a nivel nacional como internacional</w:t>
      </w:r>
      <w:r w:rsidR="00695740">
        <w:rPr>
          <w:rFonts w:ascii="Arial" w:hAnsi="Arial" w:cs="Arial"/>
          <w:sz w:val="22"/>
          <w:szCs w:val="22"/>
        </w:rPr>
        <w:t>,</w:t>
      </w:r>
      <w:r w:rsidRPr="00AC57DD">
        <w:rPr>
          <w:rFonts w:ascii="Arial" w:hAnsi="Arial" w:cs="Arial"/>
          <w:sz w:val="22"/>
          <w:szCs w:val="22"/>
        </w:rPr>
        <w:t xml:space="preserve"> señalando: i) el valor del contrato; ii) el plazo del contrato en meses; iii) la fecha de inicio de las obras objeto del contrato (día, mes, año); iv)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 En concordancia con lo anterior, sobre la acreditación del factor </w:t>
      </w:r>
      <w:r w:rsidRPr="00AC57DD">
        <w:rPr>
          <w:rFonts w:ascii="Arial" w:eastAsia="Calibri" w:hAnsi="Arial" w:cs="Arial"/>
          <w:bCs/>
          <w:color w:val="000000" w:themeColor="text1"/>
          <w:sz w:val="22"/>
          <w:szCs w:val="22"/>
        </w:rPr>
        <w:t xml:space="preserve">«SCE» </w:t>
      </w:r>
      <w:r w:rsidRPr="00AC57DD">
        <w:rPr>
          <w:rFonts w:ascii="Arial" w:hAnsi="Arial" w:cs="Arial"/>
          <w:sz w:val="22"/>
          <w:szCs w:val="22"/>
        </w:rPr>
        <w:t xml:space="preserve">en los documentos tipo de licitación de obra pública para infraestructura de transporte, </w:t>
      </w:r>
      <w:bookmarkStart w:id="12" w:name="_Hlk100140108"/>
      <w:r w:rsidRPr="00AC57DD">
        <w:rPr>
          <w:rFonts w:ascii="Arial" w:hAnsi="Arial" w:cs="Arial"/>
          <w:sz w:val="22"/>
          <w:szCs w:val="22"/>
        </w:rPr>
        <w:t>el literal E del numeral 3.10.2 del documento base</w:t>
      </w:r>
      <w:bookmarkEnd w:id="12"/>
      <w:r w:rsidRPr="00AC57DD">
        <w:rPr>
          <w:rFonts w:ascii="Arial" w:hAnsi="Arial" w:cs="Arial"/>
          <w:sz w:val="22"/>
          <w:szCs w:val="22"/>
        </w:rPr>
        <w:t xml:space="preserve"> señala lo siguiente:</w:t>
      </w:r>
    </w:p>
    <w:p w14:paraId="741323C7" w14:textId="77777777" w:rsidR="00740E5C" w:rsidRPr="00ED0894" w:rsidRDefault="00740E5C" w:rsidP="00740E5C">
      <w:pPr>
        <w:spacing w:line="276" w:lineRule="auto"/>
        <w:ind w:firstLine="709"/>
        <w:jc w:val="both"/>
        <w:rPr>
          <w:rFonts w:ascii="Arial" w:hAnsi="Arial" w:cs="Arial"/>
        </w:rPr>
      </w:pPr>
    </w:p>
    <w:p w14:paraId="1D508A3F" w14:textId="77777777" w:rsidR="00740E5C" w:rsidRPr="00ED0894" w:rsidRDefault="00740E5C" w:rsidP="00740E5C">
      <w:pPr>
        <w:ind w:left="709" w:right="709"/>
        <w:jc w:val="both"/>
        <w:rPr>
          <w:rFonts w:ascii="Arial" w:eastAsia="Arial," w:hAnsi="Arial" w:cs="Arial"/>
          <w:sz w:val="21"/>
          <w:szCs w:val="21"/>
        </w:rPr>
      </w:pPr>
      <w:r w:rsidRPr="00ED0894">
        <w:rPr>
          <w:rFonts w:ascii="Arial" w:hAnsi="Arial" w:cs="Arial"/>
          <w:sz w:val="21"/>
          <w:szCs w:val="21"/>
        </w:rPr>
        <w:t>Para</w:t>
      </w:r>
      <w:r w:rsidRPr="00ED0894">
        <w:rPr>
          <w:rFonts w:ascii="Arial" w:eastAsia="Arial," w:hAnsi="Arial" w:cs="Arial"/>
          <w:sz w:val="21"/>
          <w:szCs w:val="21"/>
        </w:rPr>
        <w:t xml:space="preserve"> </w:t>
      </w:r>
      <w:r w:rsidRPr="00ED0894">
        <w:rPr>
          <w:rFonts w:ascii="Arial" w:hAnsi="Arial" w:cs="Arial"/>
          <w:sz w:val="21"/>
          <w:szCs w:val="21"/>
        </w:rPr>
        <w:t>acreditar</w:t>
      </w:r>
      <w:r w:rsidRPr="00ED0894">
        <w:rPr>
          <w:rFonts w:ascii="Arial" w:eastAsia="Arial," w:hAnsi="Arial" w:cs="Arial"/>
          <w:sz w:val="21"/>
          <w:szCs w:val="21"/>
        </w:rPr>
        <w:t xml:space="preserve"> </w:t>
      </w: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factor</w:t>
      </w:r>
      <w:r w:rsidRPr="00ED0894">
        <w:rPr>
          <w:rFonts w:ascii="Arial" w:eastAsia="Arial," w:hAnsi="Arial" w:cs="Arial"/>
          <w:sz w:val="21"/>
          <w:szCs w:val="21"/>
        </w:rPr>
        <w:t xml:space="preserve"> </w:t>
      </w:r>
      <w:r w:rsidRPr="00ED0894">
        <w:rPr>
          <w:rFonts w:ascii="Arial" w:hAnsi="Arial" w:cs="Arial"/>
          <w:sz w:val="21"/>
          <w:szCs w:val="21"/>
        </w:rPr>
        <w:t>(SCE)</w:t>
      </w:r>
      <w:r w:rsidRPr="00ED0894">
        <w:rPr>
          <w:rFonts w:ascii="Arial" w:eastAsia="Arial," w:hAnsi="Arial" w:cs="Arial"/>
          <w:sz w:val="21"/>
          <w:szCs w:val="21"/>
        </w:rPr>
        <w:t xml:space="preserve"> </w:t>
      </w: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Proponente</w:t>
      </w:r>
      <w:r w:rsidRPr="00ED0894">
        <w:rPr>
          <w:rFonts w:ascii="Arial" w:eastAsia="Arial," w:hAnsi="Arial" w:cs="Arial"/>
          <w:sz w:val="21"/>
          <w:szCs w:val="21"/>
        </w:rPr>
        <w:t xml:space="preserve"> </w:t>
      </w:r>
      <w:r w:rsidRPr="00ED0894">
        <w:rPr>
          <w:rFonts w:ascii="Arial" w:hAnsi="Arial" w:cs="Arial"/>
          <w:sz w:val="21"/>
          <w:szCs w:val="21"/>
        </w:rPr>
        <w:t>tendrá</w:t>
      </w:r>
      <w:r w:rsidRPr="00ED0894">
        <w:rPr>
          <w:rFonts w:ascii="Arial" w:eastAsia="Arial," w:hAnsi="Arial" w:cs="Arial"/>
          <w:sz w:val="21"/>
          <w:szCs w:val="21"/>
        </w:rPr>
        <w:t xml:space="preserve"> </w:t>
      </w:r>
      <w:r w:rsidRPr="00ED0894">
        <w:rPr>
          <w:rFonts w:ascii="Arial" w:hAnsi="Arial" w:cs="Arial"/>
          <w:sz w:val="21"/>
          <w:szCs w:val="21"/>
        </w:rPr>
        <w:t>en</w:t>
      </w:r>
      <w:r w:rsidRPr="00ED0894">
        <w:rPr>
          <w:rFonts w:ascii="Arial" w:eastAsia="Arial," w:hAnsi="Arial" w:cs="Arial"/>
          <w:sz w:val="21"/>
          <w:szCs w:val="21"/>
        </w:rPr>
        <w:t xml:space="preserve"> </w:t>
      </w:r>
      <w:r w:rsidRPr="00ED0894">
        <w:rPr>
          <w:rFonts w:ascii="Arial" w:hAnsi="Arial" w:cs="Arial"/>
          <w:sz w:val="21"/>
          <w:szCs w:val="21"/>
        </w:rPr>
        <w:t>cuenta</w:t>
      </w:r>
      <w:r w:rsidRPr="00ED0894">
        <w:rPr>
          <w:rFonts w:ascii="Arial" w:eastAsia="Arial," w:hAnsi="Arial" w:cs="Arial"/>
          <w:sz w:val="21"/>
          <w:szCs w:val="21"/>
        </w:rPr>
        <w:t xml:space="preserve"> </w:t>
      </w:r>
      <w:r w:rsidRPr="00ED0894">
        <w:rPr>
          <w:rFonts w:ascii="Arial" w:hAnsi="Arial" w:cs="Arial"/>
          <w:sz w:val="21"/>
          <w:szCs w:val="21"/>
        </w:rPr>
        <w:t>lo</w:t>
      </w:r>
      <w:r w:rsidRPr="00ED0894">
        <w:rPr>
          <w:rFonts w:ascii="Arial" w:eastAsia="Arial," w:hAnsi="Arial" w:cs="Arial"/>
          <w:sz w:val="21"/>
          <w:szCs w:val="21"/>
        </w:rPr>
        <w:t xml:space="preserve"> </w:t>
      </w:r>
      <w:r w:rsidRPr="00ED0894">
        <w:rPr>
          <w:rFonts w:ascii="Arial" w:hAnsi="Arial" w:cs="Arial"/>
          <w:sz w:val="21"/>
          <w:szCs w:val="21"/>
        </w:rPr>
        <w:t>siguiente:</w:t>
      </w:r>
      <w:r w:rsidRPr="00ED0894">
        <w:rPr>
          <w:rFonts w:ascii="Arial" w:eastAsia="Arial," w:hAnsi="Arial" w:cs="Arial"/>
          <w:sz w:val="21"/>
          <w:szCs w:val="21"/>
        </w:rPr>
        <w:t xml:space="preserve"> </w:t>
      </w:r>
    </w:p>
    <w:p w14:paraId="35D45D97" w14:textId="77777777" w:rsidR="00740E5C" w:rsidRPr="00ED0894" w:rsidRDefault="00740E5C" w:rsidP="00740E5C">
      <w:pPr>
        <w:ind w:right="709" w:firstLine="709"/>
        <w:jc w:val="both"/>
        <w:rPr>
          <w:rFonts w:ascii="Arial" w:eastAsia="Arial," w:hAnsi="Arial" w:cs="Arial"/>
          <w:sz w:val="21"/>
          <w:szCs w:val="21"/>
        </w:rPr>
      </w:pPr>
      <w:r w:rsidRPr="00ED0894">
        <w:rPr>
          <w:rFonts w:ascii="Arial" w:eastAsia="Arial," w:hAnsi="Arial" w:cs="Arial"/>
          <w:sz w:val="21"/>
          <w:szCs w:val="21"/>
        </w:rPr>
        <w:t>[…]</w:t>
      </w:r>
    </w:p>
    <w:p w14:paraId="2F17475E" w14:textId="77777777" w:rsidR="00740E5C" w:rsidRPr="00ED0894" w:rsidRDefault="00740E5C" w:rsidP="00740E5C">
      <w:pPr>
        <w:ind w:right="709" w:firstLine="709"/>
        <w:jc w:val="both"/>
        <w:rPr>
          <w:rFonts w:ascii="Arial" w:eastAsia="Arial," w:hAnsi="Arial" w:cs="Arial"/>
          <w:sz w:val="21"/>
          <w:szCs w:val="21"/>
        </w:rPr>
      </w:pPr>
    </w:p>
    <w:p w14:paraId="2B19AF00" w14:textId="77777777" w:rsidR="00740E5C" w:rsidRPr="00ED0894" w:rsidRDefault="00740E5C" w:rsidP="00740E5C">
      <w:pPr>
        <w:ind w:left="1134" w:right="709" w:hanging="425"/>
        <w:jc w:val="both"/>
        <w:rPr>
          <w:rFonts w:ascii="Arial" w:eastAsia="Arial" w:hAnsi="Arial" w:cs="Arial"/>
          <w:sz w:val="21"/>
          <w:szCs w:val="21"/>
          <w:lang w:val="es-MX"/>
        </w:rPr>
      </w:pPr>
      <w:r w:rsidRPr="00ED0894">
        <w:rPr>
          <w:rFonts w:ascii="Arial" w:eastAsia="Arial" w:hAnsi="Arial" w:cs="Arial"/>
          <w:sz w:val="21"/>
          <w:szCs w:val="21"/>
          <w:lang w:val="es-MX"/>
        </w:rPr>
        <w:t xml:space="preserve">II.    Los contratos de obras civiles en ejecución son aquellos que a la fecha de presentación de la oferta obligan al proponente con entidades estatales y con entidades privadas para ejecutar obras civiles. Estas incluyen las obras </w:t>
      </w:r>
      <w:r w:rsidRPr="00ED0894">
        <w:rPr>
          <w:rFonts w:ascii="Arial" w:eastAsia="Arial" w:hAnsi="Arial" w:cs="Arial"/>
          <w:sz w:val="21"/>
          <w:szCs w:val="21"/>
          <w:lang w:val="es-MX"/>
        </w:rPr>
        <w:lastRenderedPageBreak/>
        <w:t>civiles de los contratos de concesión y los contratos de obra suscritos con concesionarios, así como, los contratos suspendidos y aquellos que no tengan acta de inicio. No se entenderán como contratos en ejecución los que se encuentren en liquidación.</w:t>
      </w:r>
    </w:p>
    <w:p w14:paraId="135B6247" w14:textId="77777777" w:rsidR="00740E5C" w:rsidRPr="00ED0894" w:rsidRDefault="00740E5C" w:rsidP="00740E5C">
      <w:pPr>
        <w:ind w:left="1134" w:right="709" w:hanging="425"/>
        <w:jc w:val="both"/>
        <w:rPr>
          <w:rFonts w:ascii="Arial" w:eastAsia="Arial" w:hAnsi="Arial" w:cs="Arial"/>
          <w:sz w:val="21"/>
          <w:szCs w:val="21"/>
          <w:lang w:val="es-MX"/>
        </w:rPr>
      </w:pPr>
      <w:r w:rsidRPr="00ED0894">
        <w:rPr>
          <w:rFonts w:ascii="Arial" w:eastAsia="Arial" w:hAnsi="Arial" w:cs="Arial"/>
          <w:sz w:val="21"/>
          <w:szCs w:val="21"/>
          <w:lang w:val="es-MX"/>
        </w:rPr>
        <w:t>III.  Se tendrán en cuenta los contratos de obras civiles en ejecución suscritos por el proponente o por sociedades, consorcios o uniones temporales en los cuales el proponente tenga participación</w:t>
      </w:r>
    </w:p>
    <w:p w14:paraId="33D5F803" w14:textId="77777777" w:rsidR="00740E5C" w:rsidRPr="00ED0894" w:rsidRDefault="00740E5C" w:rsidP="00740E5C">
      <w:pPr>
        <w:ind w:left="1134" w:right="709" w:hanging="425"/>
        <w:jc w:val="both"/>
        <w:rPr>
          <w:rFonts w:ascii="Arial" w:eastAsia="Arial" w:hAnsi="Arial" w:cs="Arial"/>
          <w:i/>
          <w:iCs/>
          <w:sz w:val="21"/>
          <w:szCs w:val="21"/>
          <w:lang w:val="es-MX"/>
        </w:rPr>
      </w:pPr>
      <w:r w:rsidRPr="00ED0894">
        <w:rPr>
          <w:rFonts w:ascii="Arial" w:eastAsia="Arial" w:hAnsi="Arial" w:cs="Arial"/>
          <w:sz w:val="21"/>
          <w:szCs w:val="21"/>
          <w:lang w:val="es-MX"/>
        </w:rPr>
        <w:t xml:space="preserve">IV.  </w:t>
      </w:r>
      <w:bookmarkStart w:id="13" w:name="_Hlk100140218"/>
      <w:r w:rsidRPr="008975B8">
        <w:rPr>
          <w:rFonts w:ascii="Arial" w:eastAsia="Arial" w:hAnsi="Arial" w:cs="Arial"/>
          <w:sz w:val="21"/>
          <w:szCs w:val="21"/>
          <w:lang w:val="es-MX"/>
        </w:rPr>
        <w:t>Si</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un</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contrato</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se</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encuentra</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suspendido,</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el</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cálculo</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del</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(SCE)</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de</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dicho</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contrato</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debe</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efectuarse</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asumiendo</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que</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lo</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que</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falta</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por</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ejecutar</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iniciara</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en</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la</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fecha de</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presentación</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de</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la</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oferta</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del</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Proceso de Contratación.</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Si</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el</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contrato</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está</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suspendido</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el</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Proponente</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debe</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informar</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el</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saldo</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pendiente</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por</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ejecutar</w:t>
      </w:r>
      <w:bookmarkEnd w:id="13"/>
      <w:r w:rsidRPr="008975B8">
        <w:rPr>
          <w:rFonts w:ascii="Arial" w:eastAsia="Arial" w:hAnsi="Arial" w:cs="Arial"/>
          <w:sz w:val="21"/>
          <w:szCs w:val="21"/>
          <w:lang w:val="es-MX"/>
        </w:rPr>
        <w:t>.</w:t>
      </w:r>
      <w:r w:rsidRPr="00ED0894">
        <w:rPr>
          <w:rFonts w:ascii="Arial" w:eastAsia="Arial" w:hAnsi="Arial" w:cs="Arial"/>
          <w:i/>
          <w:iCs/>
          <w:sz w:val="21"/>
          <w:szCs w:val="21"/>
          <w:lang w:val="es-MX"/>
        </w:rPr>
        <w:t xml:space="preserve"> </w:t>
      </w:r>
    </w:p>
    <w:p w14:paraId="32986A1A" w14:textId="685236EC" w:rsidR="00740E5C" w:rsidRPr="00ED0894" w:rsidRDefault="00740E5C" w:rsidP="00740E5C">
      <w:pPr>
        <w:ind w:left="1134" w:right="709" w:hanging="425"/>
        <w:jc w:val="both"/>
        <w:rPr>
          <w:rFonts w:ascii="Arial" w:eastAsia="Arial" w:hAnsi="Arial" w:cs="Arial"/>
          <w:sz w:val="21"/>
          <w:szCs w:val="21"/>
          <w:lang w:val="es-MX"/>
        </w:rPr>
      </w:pPr>
      <w:r w:rsidRPr="00ED0894">
        <w:rPr>
          <w:rFonts w:ascii="Arial" w:eastAsia="Arial" w:hAnsi="Arial" w:cs="Arial"/>
          <w:sz w:val="21"/>
          <w:szCs w:val="21"/>
          <w:lang w:val="es-MX"/>
        </w:rPr>
        <w:t xml:space="preserve">V.  </w:t>
      </w:r>
      <w:bookmarkStart w:id="14" w:name="_Hlk100140164"/>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cálculo</w:t>
      </w:r>
      <w:r w:rsidRPr="00ED0894">
        <w:rPr>
          <w:rFonts w:ascii="Arial" w:eastAsia="Arial" w:hAnsi="Arial" w:cs="Arial"/>
          <w:sz w:val="21"/>
          <w:szCs w:val="21"/>
        </w:rPr>
        <w:t xml:space="preserve"> </w:t>
      </w:r>
      <w:r w:rsidRPr="00ED0894">
        <w:rPr>
          <w:rFonts w:ascii="Arial" w:hAnsi="Arial" w:cs="Arial"/>
          <w:sz w:val="21"/>
          <w:szCs w:val="21"/>
        </w:rPr>
        <w:t>del</w:t>
      </w:r>
      <w:r w:rsidRPr="00ED0894">
        <w:rPr>
          <w:rFonts w:ascii="Arial" w:eastAsia="Arial" w:hAnsi="Arial" w:cs="Arial"/>
          <w:sz w:val="21"/>
          <w:szCs w:val="21"/>
        </w:rPr>
        <w:t xml:space="preserve"> </w:t>
      </w:r>
      <w:r w:rsidRPr="00ED0894">
        <w:rPr>
          <w:rFonts w:ascii="Arial" w:hAnsi="Arial" w:cs="Arial"/>
          <w:sz w:val="21"/>
          <w:szCs w:val="21"/>
        </w:rPr>
        <w:t>factor</w:t>
      </w:r>
      <w:r w:rsidRPr="00ED0894">
        <w:rPr>
          <w:rFonts w:ascii="Arial" w:eastAsia="Arial" w:hAnsi="Arial" w:cs="Arial"/>
          <w:sz w:val="21"/>
          <w:szCs w:val="21"/>
        </w:rPr>
        <w:t xml:space="preserve"> </w:t>
      </w:r>
      <w:r w:rsidRPr="00ED0894">
        <w:rPr>
          <w:rFonts w:ascii="Arial" w:hAnsi="Arial" w:cs="Arial"/>
          <w:sz w:val="21"/>
          <w:szCs w:val="21"/>
        </w:rPr>
        <w:t>(SCE)</w:t>
      </w:r>
      <w:r w:rsidRPr="00ED0894">
        <w:rPr>
          <w:rFonts w:ascii="Arial" w:eastAsia="Arial" w:hAnsi="Arial" w:cs="Arial"/>
          <w:sz w:val="21"/>
          <w:szCs w:val="21"/>
        </w:rPr>
        <w:t xml:space="preserve"> </w:t>
      </w:r>
      <w:r w:rsidRPr="00ED0894">
        <w:rPr>
          <w:rFonts w:ascii="Arial" w:hAnsi="Arial" w:cs="Arial"/>
          <w:sz w:val="21"/>
          <w:szCs w:val="21"/>
        </w:rPr>
        <w:t>debe</w:t>
      </w:r>
      <w:r w:rsidRPr="00ED0894">
        <w:rPr>
          <w:rFonts w:ascii="Arial" w:eastAsia="Arial" w:hAnsi="Arial" w:cs="Arial"/>
          <w:sz w:val="21"/>
          <w:szCs w:val="21"/>
        </w:rPr>
        <w:t xml:space="preserve"> </w:t>
      </w:r>
      <w:r w:rsidRPr="00ED0894">
        <w:rPr>
          <w:rFonts w:ascii="Arial" w:hAnsi="Arial" w:cs="Arial"/>
          <w:sz w:val="21"/>
          <w:szCs w:val="21"/>
        </w:rPr>
        <w:t>hacerse</w:t>
      </w:r>
      <w:r w:rsidRPr="00ED0894">
        <w:rPr>
          <w:rFonts w:ascii="Arial" w:eastAsia="Arial" w:hAnsi="Arial" w:cs="Arial"/>
          <w:sz w:val="21"/>
          <w:szCs w:val="21"/>
        </w:rPr>
        <w:t xml:space="preserve"> </w:t>
      </w:r>
      <w:r w:rsidRPr="00ED0894">
        <w:rPr>
          <w:rFonts w:ascii="Arial" w:hAnsi="Arial" w:cs="Arial"/>
          <w:sz w:val="21"/>
          <w:szCs w:val="21"/>
        </w:rPr>
        <w:t>linealmente</w:t>
      </w:r>
      <w:r w:rsidRPr="00ED0894">
        <w:rPr>
          <w:rFonts w:ascii="Arial" w:eastAsia="Arial" w:hAnsi="Arial" w:cs="Arial"/>
          <w:sz w:val="21"/>
          <w:szCs w:val="21"/>
        </w:rPr>
        <w:t xml:space="preserve"> </w:t>
      </w:r>
      <w:r w:rsidRPr="00ED0894">
        <w:rPr>
          <w:rFonts w:ascii="Arial" w:hAnsi="Arial" w:cs="Arial"/>
          <w:sz w:val="21"/>
          <w:szCs w:val="21"/>
        </w:rPr>
        <w:t>calculando</w:t>
      </w:r>
      <w:r w:rsidRPr="00ED0894">
        <w:rPr>
          <w:rFonts w:ascii="Arial" w:eastAsia="Arial" w:hAnsi="Arial" w:cs="Arial"/>
          <w:sz w:val="21"/>
          <w:szCs w:val="21"/>
        </w:rPr>
        <w:t xml:space="preserve"> </w:t>
      </w:r>
      <w:r w:rsidRPr="00ED0894">
        <w:rPr>
          <w:rFonts w:ascii="Arial" w:hAnsi="Arial" w:cs="Arial"/>
          <w:sz w:val="21"/>
          <w:szCs w:val="21"/>
        </w:rPr>
        <w:t>una</w:t>
      </w:r>
      <w:r w:rsidRPr="00ED0894">
        <w:rPr>
          <w:rFonts w:ascii="Arial" w:eastAsia="Arial" w:hAnsi="Arial" w:cs="Arial"/>
          <w:sz w:val="21"/>
          <w:szCs w:val="21"/>
        </w:rPr>
        <w:t xml:space="preserve"> </w:t>
      </w:r>
      <w:r w:rsidRPr="00ED0894">
        <w:rPr>
          <w:rFonts w:ascii="Arial" w:hAnsi="Arial" w:cs="Arial"/>
          <w:sz w:val="21"/>
          <w:szCs w:val="21"/>
        </w:rPr>
        <w:t>ejecución</w:t>
      </w:r>
      <w:r w:rsidRPr="00ED0894">
        <w:rPr>
          <w:rFonts w:ascii="Arial" w:eastAsia="Arial" w:hAnsi="Arial" w:cs="Arial"/>
          <w:sz w:val="21"/>
          <w:szCs w:val="21"/>
        </w:rPr>
        <w:t xml:space="preserve"> </w:t>
      </w:r>
      <w:r w:rsidRPr="00ED0894">
        <w:rPr>
          <w:rFonts w:ascii="Arial" w:hAnsi="Arial" w:cs="Arial"/>
          <w:sz w:val="21"/>
          <w:szCs w:val="21"/>
        </w:rPr>
        <w:t>diaria</w:t>
      </w:r>
      <w:r w:rsidRPr="00ED0894">
        <w:rPr>
          <w:rFonts w:ascii="Arial" w:eastAsia="Arial" w:hAnsi="Arial" w:cs="Arial"/>
          <w:sz w:val="21"/>
          <w:szCs w:val="21"/>
        </w:rPr>
        <w:t xml:space="preserve"> </w:t>
      </w:r>
      <w:r w:rsidRPr="00ED0894">
        <w:rPr>
          <w:rFonts w:ascii="Arial" w:hAnsi="Arial" w:cs="Arial"/>
          <w:sz w:val="21"/>
          <w:szCs w:val="21"/>
        </w:rPr>
        <w:t>equivalente</w:t>
      </w:r>
      <w:r w:rsidRPr="00ED0894">
        <w:rPr>
          <w:rFonts w:ascii="Arial" w:eastAsia="Arial" w:hAnsi="Arial" w:cs="Arial"/>
          <w:sz w:val="21"/>
          <w:szCs w:val="21"/>
        </w:rPr>
        <w:t xml:space="preserve"> </w:t>
      </w:r>
      <w:r w:rsidRPr="00ED0894">
        <w:rPr>
          <w:rFonts w:ascii="Arial" w:hAnsi="Arial" w:cs="Arial"/>
          <w:sz w:val="21"/>
          <w:szCs w:val="21"/>
        </w:rPr>
        <w:t>al</w:t>
      </w:r>
      <w:r w:rsidRPr="00ED0894">
        <w:rPr>
          <w:rFonts w:ascii="Arial" w:eastAsia="Arial" w:hAnsi="Arial" w:cs="Arial"/>
          <w:sz w:val="21"/>
          <w:szCs w:val="21"/>
        </w:rPr>
        <w:t xml:space="preserve"> </w:t>
      </w:r>
      <w:r w:rsidRPr="00ED0894">
        <w:rPr>
          <w:rFonts w:ascii="Arial" w:hAnsi="Arial" w:cs="Arial"/>
          <w:sz w:val="21"/>
          <w:szCs w:val="21"/>
        </w:rPr>
        <w:t>valor</w:t>
      </w:r>
      <w:r w:rsidRPr="00ED0894">
        <w:rPr>
          <w:rFonts w:ascii="Arial" w:eastAsia="Arial" w:hAnsi="Arial" w:cs="Arial"/>
          <w:sz w:val="21"/>
          <w:szCs w:val="21"/>
        </w:rPr>
        <w:t xml:space="preserve"> </w:t>
      </w:r>
      <w:r w:rsidRPr="00ED0894">
        <w:rPr>
          <w:rFonts w:ascii="Arial" w:hAnsi="Arial" w:cs="Arial"/>
          <w:sz w:val="21"/>
          <w:szCs w:val="21"/>
        </w:rPr>
        <w:t>del</w:t>
      </w:r>
      <w:r w:rsidRPr="00ED0894">
        <w:rPr>
          <w:rFonts w:ascii="Arial" w:eastAsia="Arial" w:hAnsi="Arial" w:cs="Arial"/>
          <w:sz w:val="21"/>
          <w:szCs w:val="21"/>
        </w:rPr>
        <w:t xml:space="preserve"> </w:t>
      </w:r>
      <w:r w:rsidRPr="00ED0894">
        <w:rPr>
          <w:rFonts w:ascii="Arial" w:hAnsi="Arial" w:cs="Arial"/>
          <w:sz w:val="21"/>
          <w:szCs w:val="21"/>
        </w:rPr>
        <w:t>contrato</w:t>
      </w:r>
      <w:r w:rsidRPr="00ED0894">
        <w:rPr>
          <w:rFonts w:ascii="Arial" w:eastAsia="Arial" w:hAnsi="Arial" w:cs="Arial"/>
          <w:sz w:val="21"/>
          <w:szCs w:val="21"/>
        </w:rPr>
        <w:t xml:space="preserve"> </w:t>
      </w:r>
      <w:r w:rsidRPr="00ED0894">
        <w:rPr>
          <w:rFonts w:ascii="Arial" w:hAnsi="Arial" w:cs="Arial"/>
          <w:sz w:val="21"/>
          <w:szCs w:val="21"/>
        </w:rPr>
        <w:t>dividido</w:t>
      </w:r>
      <w:r w:rsidRPr="00ED0894">
        <w:rPr>
          <w:rFonts w:ascii="Arial" w:eastAsia="Arial" w:hAnsi="Arial" w:cs="Arial"/>
          <w:sz w:val="21"/>
          <w:szCs w:val="21"/>
        </w:rPr>
        <w:t xml:space="preserve"> </w:t>
      </w:r>
      <w:r w:rsidRPr="00ED0894">
        <w:rPr>
          <w:rFonts w:ascii="Arial" w:hAnsi="Arial" w:cs="Arial"/>
          <w:sz w:val="21"/>
          <w:szCs w:val="21"/>
        </w:rPr>
        <w:t>por</w:t>
      </w:r>
      <w:r w:rsidRPr="00ED0894">
        <w:rPr>
          <w:rFonts w:ascii="Arial" w:eastAsia="Arial" w:hAnsi="Arial" w:cs="Arial"/>
          <w:sz w:val="21"/>
          <w:szCs w:val="21"/>
        </w:rPr>
        <w:t xml:space="preserve"> </w:t>
      </w: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plazo</w:t>
      </w:r>
      <w:r w:rsidRPr="00ED0894">
        <w:rPr>
          <w:rFonts w:ascii="Arial" w:eastAsia="Arial" w:hAnsi="Arial" w:cs="Arial"/>
          <w:sz w:val="21"/>
          <w:szCs w:val="21"/>
        </w:rPr>
        <w:t xml:space="preserve"> </w:t>
      </w:r>
      <w:r w:rsidRPr="00ED0894">
        <w:rPr>
          <w:rFonts w:ascii="Arial" w:hAnsi="Arial" w:cs="Arial"/>
          <w:sz w:val="21"/>
          <w:szCs w:val="21"/>
        </w:rPr>
        <w:t>del</w:t>
      </w:r>
      <w:r w:rsidRPr="00ED0894">
        <w:rPr>
          <w:rFonts w:ascii="Arial" w:eastAsia="Arial" w:hAnsi="Arial" w:cs="Arial"/>
          <w:sz w:val="21"/>
          <w:szCs w:val="21"/>
        </w:rPr>
        <w:t xml:space="preserve"> </w:t>
      </w:r>
      <w:r w:rsidRPr="00ED0894">
        <w:rPr>
          <w:rFonts w:ascii="Arial" w:hAnsi="Arial" w:cs="Arial"/>
          <w:sz w:val="21"/>
          <w:szCs w:val="21"/>
        </w:rPr>
        <w:t>contrato</w:t>
      </w:r>
      <w:r w:rsidRPr="00ED0894">
        <w:rPr>
          <w:rFonts w:ascii="Arial" w:eastAsia="Arial" w:hAnsi="Arial" w:cs="Arial"/>
          <w:sz w:val="21"/>
          <w:szCs w:val="21"/>
        </w:rPr>
        <w:t xml:space="preserve"> </w:t>
      </w:r>
      <w:r w:rsidRPr="00ED0894">
        <w:rPr>
          <w:rFonts w:ascii="Arial" w:hAnsi="Arial" w:cs="Arial"/>
          <w:sz w:val="21"/>
          <w:szCs w:val="21"/>
        </w:rPr>
        <w:t>expresado</w:t>
      </w:r>
      <w:r w:rsidRPr="00ED0894">
        <w:rPr>
          <w:rFonts w:ascii="Arial" w:eastAsia="Arial" w:hAnsi="Arial" w:cs="Arial"/>
          <w:sz w:val="21"/>
          <w:szCs w:val="21"/>
        </w:rPr>
        <w:t xml:space="preserve"> </w:t>
      </w:r>
      <w:r w:rsidRPr="00ED0894">
        <w:rPr>
          <w:rFonts w:ascii="Arial" w:hAnsi="Arial" w:cs="Arial"/>
          <w:sz w:val="21"/>
          <w:szCs w:val="21"/>
        </w:rPr>
        <w:t>en</w:t>
      </w:r>
      <w:r w:rsidRPr="00ED0894">
        <w:rPr>
          <w:rFonts w:ascii="Arial" w:eastAsia="Arial" w:hAnsi="Arial" w:cs="Arial"/>
          <w:sz w:val="21"/>
          <w:szCs w:val="21"/>
        </w:rPr>
        <w:t xml:space="preserve"> </w:t>
      </w:r>
      <w:r w:rsidRPr="00ED0894">
        <w:rPr>
          <w:rFonts w:ascii="Arial" w:hAnsi="Arial" w:cs="Arial"/>
          <w:sz w:val="21"/>
          <w:szCs w:val="21"/>
        </w:rPr>
        <w:t>días.</w:t>
      </w:r>
      <w:r w:rsidRPr="00ED0894">
        <w:rPr>
          <w:rFonts w:ascii="Arial" w:eastAsia="Arial" w:hAnsi="Arial" w:cs="Arial"/>
          <w:sz w:val="21"/>
          <w:szCs w:val="21"/>
        </w:rPr>
        <w:t xml:space="preserve"> </w:t>
      </w:r>
      <w:r w:rsidRPr="00ED0894">
        <w:rPr>
          <w:rFonts w:ascii="Arial" w:hAnsi="Arial" w:cs="Arial"/>
          <w:sz w:val="21"/>
          <w:szCs w:val="21"/>
        </w:rPr>
        <w:t>Este</w:t>
      </w:r>
      <w:r w:rsidRPr="00ED0894">
        <w:rPr>
          <w:rFonts w:ascii="Arial" w:eastAsia="Arial" w:hAnsi="Arial" w:cs="Arial"/>
          <w:sz w:val="21"/>
          <w:szCs w:val="21"/>
        </w:rPr>
        <w:t xml:space="preserve"> </w:t>
      </w:r>
      <w:r w:rsidRPr="00ED0894">
        <w:rPr>
          <w:rFonts w:ascii="Arial" w:hAnsi="Arial" w:cs="Arial"/>
          <w:sz w:val="21"/>
          <w:szCs w:val="21"/>
        </w:rPr>
        <w:t>resultado</w:t>
      </w:r>
      <w:r w:rsidRPr="00ED0894">
        <w:rPr>
          <w:rFonts w:ascii="Arial" w:eastAsia="Arial" w:hAnsi="Arial" w:cs="Arial"/>
          <w:sz w:val="21"/>
          <w:szCs w:val="21"/>
        </w:rPr>
        <w:t xml:space="preserve"> </w:t>
      </w:r>
      <w:r w:rsidRPr="00ED0894">
        <w:rPr>
          <w:rFonts w:ascii="Arial" w:hAnsi="Arial" w:cs="Arial"/>
          <w:sz w:val="21"/>
          <w:szCs w:val="21"/>
        </w:rPr>
        <w:t>se</w:t>
      </w:r>
      <w:r w:rsidRPr="00ED0894">
        <w:rPr>
          <w:rFonts w:ascii="Arial" w:eastAsia="Arial" w:hAnsi="Arial" w:cs="Arial"/>
          <w:sz w:val="21"/>
          <w:szCs w:val="21"/>
        </w:rPr>
        <w:t xml:space="preserve"> </w:t>
      </w:r>
      <w:r w:rsidRPr="00ED0894">
        <w:rPr>
          <w:rFonts w:ascii="Arial" w:hAnsi="Arial" w:cs="Arial"/>
          <w:sz w:val="21"/>
          <w:szCs w:val="21"/>
        </w:rPr>
        <w:t>multiplica</w:t>
      </w:r>
      <w:r w:rsidRPr="00ED0894">
        <w:rPr>
          <w:rFonts w:ascii="Arial" w:eastAsia="Arial" w:hAnsi="Arial" w:cs="Arial"/>
          <w:sz w:val="21"/>
          <w:szCs w:val="21"/>
        </w:rPr>
        <w:t xml:space="preserve"> </w:t>
      </w:r>
      <w:r w:rsidRPr="00ED0894">
        <w:rPr>
          <w:rFonts w:ascii="Arial" w:hAnsi="Arial" w:cs="Arial"/>
          <w:sz w:val="21"/>
          <w:szCs w:val="21"/>
        </w:rPr>
        <w:t>por</w:t>
      </w:r>
      <w:r w:rsidRPr="00ED0894">
        <w:rPr>
          <w:rFonts w:ascii="Arial" w:eastAsia="Arial" w:hAnsi="Arial" w:cs="Arial"/>
          <w:sz w:val="21"/>
          <w:szCs w:val="21"/>
        </w:rPr>
        <w:t xml:space="preserve"> </w:t>
      </w: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número</w:t>
      </w:r>
      <w:r w:rsidRPr="00ED0894">
        <w:rPr>
          <w:rFonts w:ascii="Arial" w:eastAsia="Arial" w:hAnsi="Arial" w:cs="Arial"/>
          <w:sz w:val="21"/>
          <w:szCs w:val="21"/>
        </w:rPr>
        <w:t xml:space="preserve"> </w:t>
      </w:r>
      <w:r w:rsidRPr="00ED0894">
        <w:rPr>
          <w:rFonts w:ascii="Arial" w:hAnsi="Arial" w:cs="Arial"/>
          <w:sz w:val="21"/>
          <w:szCs w:val="21"/>
        </w:rPr>
        <w:t>de</w:t>
      </w:r>
      <w:r w:rsidRPr="00ED0894">
        <w:rPr>
          <w:rFonts w:ascii="Arial" w:eastAsia="Arial" w:hAnsi="Arial" w:cs="Arial"/>
          <w:sz w:val="21"/>
          <w:szCs w:val="21"/>
        </w:rPr>
        <w:t xml:space="preserve"> </w:t>
      </w:r>
      <w:r w:rsidRPr="00ED0894">
        <w:rPr>
          <w:rFonts w:ascii="Arial" w:hAnsi="Arial" w:cs="Arial"/>
          <w:sz w:val="21"/>
          <w:szCs w:val="21"/>
        </w:rPr>
        <w:t>días</w:t>
      </w:r>
      <w:r w:rsidRPr="00ED0894">
        <w:rPr>
          <w:rFonts w:ascii="Arial" w:eastAsia="Arial" w:hAnsi="Arial" w:cs="Arial"/>
          <w:sz w:val="21"/>
          <w:szCs w:val="21"/>
        </w:rPr>
        <w:t xml:space="preserve"> </w:t>
      </w:r>
      <w:r w:rsidRPr="00ED0894">
        <w:rPr>
          <w:rFonts w:ascii="Arial" w:hAnsi="Arial" w:cs="Arial"/>
          <w:sz w:val="21"/>
          <w:szCs w:val="21"/>
        </w:rPr>
        <w:t>pendientes</w:t>
      </w:r>
      <w:r w:rsidRPr="00ED0894">
        <w:rPr>
          <w:rFonts w:ascii="Arial" w:eastAsia="Arial" w:hAnsi="Arial" w:cs="Arial"/>
          <w:sz w:val="21"/>
          <w:szCs w:val="21"/>
        </w:rPr>
        <w:t xml:space="preserve"> </w:t>
      </w:r>
      <w:r w:rsidRPr="00ED0894">
        <w:rPr>
          <w:rFonts w:ascii="Arial" w:hAnsi="Arial" w:cs="Arial"/>
          <w:sz w:val="21"/>
          <w:szCs w:val="21"/>
        </w:rPr>
        <w:t>para</w:t>
      </w:r>
      <w:r w:rsidRPr="00ED0894">
        <w:rPr>
          <w:rFonts w:ascii="Arial" w:eastAsia="Arial" w:hAnsi="Arial" w:cs="Arial"/>
          <w:sz w:val="21"/>
          <w:szCs w:val="21"/>
        </w:rPr>
        <w:t xml:space="preserve"> </w:t>
      </w:r>
      <w:r w:rsidRPr="00ED0894">
        <w:rPr>
          <w:rFonts w:ascii="Arial" w:hAnsi="Arial" w:cs="Arial"/>
          <w:sz w:val="21"/>
          <w:szCs w:val="21"/>
        </w:rPr>
        <w:t>cumplir</w:t>
      </w:r>
      <w:r w:rsidRPr="00ED0894">
        <w:rPr>
          <w:rFonts w:ascii="Arial" w:eastAsia="Arial" w:hAnsi="Arial" w:cs="Arial"/>
          <w:sz w:val="21"/>
          <w:szCs w:val="21"/>
        </w:rPr>
        <w:t xml:space="preserve"> </w:t>
      </w: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plazo</w:t>
      </w:r>
      <w:r w:rsidRPr="00ED0894">
        <w:rPr>
          <w:rFonts w:ascii="Arial" w:eastAsia="Arial" w:hAnsi="Arial" w:cs="Arial"/>
          <w:sz w:val="21"/>
          <w:szCs w:val="21"/>
        </w:rPr>
        <w:t xml:space="preserve"> </w:t>
      </w:r>
      <w:r w:rsidRPr="00ED0894">
        <w:rPr>
          <w:rFonts w:ascii="Arial" w:hAnsi="Arial" w:cs="Arial"/>
          <w:sz w:val="21"/>
          <w:szCs w:val="21"/>
        </w:rPr>
        <w:t>del</w:t>
      </w:r>
      <w:r w:rsidRPr="00ED0894">
        <w:rPr>
          <w:rFonts w:ascii="Arial" w:eastAsia="Arial" w:hAnsi="Arial" w:cs="Arial"/>
          <w:sz w:val="21"/>
          <w:szCs w:val="21"/>
        </w:rPr>
        <w:t xml:space="preserve"> </w:t>
      </w:r>
      <w:r w:rsidRPr="00ED0894">
        <w:rPr>
          <w:rFonts w:ascii="Arial" w:hAnsi="Arial" w:cs="Arial"/>
          <w:sz w:val="21"/>
          <w:szCs w:val="21"/>
        </w:rPr>
        <w:t>contrato</w:t>
      </w:r>
      <w:r w:rsidRPr="00ED0894">
        <w:rPr>
          <w:rFonts w:ascii="Arial" w:eastAsia="Arial" w:hAnsi="Arial" w:cs="Arial"/>
          <w:sz w:val="21"/>
          <w:szCs w:val="21"/>
        </w:rPr>
        <w:t xml:space="preserve"> </w:t>
      </w:r>
      <w:r w:rsidRPr="00ED0894">
        <w:rPr>
          <w:rFonts w:ascii="Arial" w:hAnsi="Arial" w:cs="Arial"/>
          <w:sz w:val="21"/>
          <w:szCs w:val="21"/>
        </w:rPr>
        <w:t>y</w:t>
      </w:r>
      <w:r w:rsidRPr="00ED0894">
        <w:rPr>
          <w:rFonts w:ascii="Arial" w:eastAsia="Arial" w:hAnsi="Arial" w:cs="Arial"/>
          <w:sz w:val="21"/>
          <w:szCs w:val="21"/>
        </w:rPr>
        <w:t xml:space="preserve"> </w:t>
      </w:r>
      <w:r w:rsidRPr="00ED0894">
        <w:rPr>
          <w:rFonts w:ascii="Arial" w:hAnsi="Arial" w:cs="Arial"/>
          <w:sz w:val="21"/>
          <w:szCs w:val="21"/>
        </w:rPr>
        <w:t>si</w:t>
      </w:r>
      <w:r w:rsidRPr="00ED0894">
        <w:rPr>
          <w:rFonts w:ascii="Arial" w:eastAsia="Arial" w:hAnsi="Arial" w:cs="Arial"/>
          <w:sz w:val="21"/>
          <w:szCs w:val="21"/>
        </w:rPr>
        <w:t xml:space="preserve"> </w:t>
      </w: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contrato</w:t>
      </w:r>
      <w:r w:rsidRPr="00ED0894">
        <w:rPr>
          <w:rFonts w:ascii="Arial" w:eastAsia="Arial" w:hAnsi="Arial" w:cs="Arial"/>
          <w:sz w:val="21"/>
          <w:szCs w:val="21"/>
        </w:rPr>
        <w:t xml:space="preserve"> </w:t>
      </w:r>
      <w:r w:rsidRPr="00ED0894">
        <w:rPr>
          <w:rFonts w:ascii="Arial" w:hAnsi="Arial" w:cs="Arial"/>
          <w:sz w:val="21"/>
          <w:szCs w:val="21"/>
        </w:rPr>
        <w:t>es</w:t>
      </w:r>
      <w:r w:rsidRPr="00ED0894">
        <w:rPr>
          <w:rFonts w:ascii="Arial" w:eastAsia="Arial" w:hAnsi="Arial" w:cs="Arial"/>
          <w:sz w:val="21"/>
          <w:szCs w:val="21"/>
        </w:rPr>
        <w:t xml:space="preserve"> </w:t>
      </w:r>
      <w:r w:rsidRPr="00ED0894">
        <w:rPr>
          <w:rFonts w:ascii="Arial" w:hAnsi="Arial" w:cs="Arial"/>
          <w:sz w:val="21"/>
          <w:szCs w:val="21"/>
        </w:rPr>
        <w:t>ejecutado</w:t>
      </w:r>
      <w:r w:rsidRPr="00ED0894">
        <w:rPr>
          <w:rFonts w:ascii="Arial" w:eastAsia="Arial" w:hAnsi="Arial" w:cs="Arial"/>
          <w:sz w:val="21"/>
          <w:szCs w:val="21"/>
        </w:rPr>
        <w:t xml:space="preserve"> </w:t>
      </w:r>
      <w:r w:rsidRPr="00ED0894">
        <w:rPr>
          <w:rFonts w:ascii="Arial" w:hAnsi="Arial" w:cs="Arial"/>
          <w:sz w:val="21"/>
          <w:szCs w:val="21"/>
        </w:rPr>
        <w:t>por</w:t>
      </w:r>
      <w:r w:rsidRPr="00ED0894">
        <w:rPr>
          <w:rFonts w:ascii="Arial" w:eastAsia="Arial" w:hAnsi="Arial" w:cs="Arial"/>
          <w:sz w:val="21"/>
          <w:szCs w:val="21"/>
        </w:rPr>
        <w:t xml:space="preserve"> </w:t>
      </w:r>
      <w:r w:rsidRPr="00ED0894">
        <w:rPr>
          <w:rFonts w:ascii="Arial" w:hAnsi="Arial" w:cs="Arial"/>
          <w:sz w:val="21"/>
          <w:szCs w:val="21"/>
        </w:rPr>
        <w:t>una estructura plural</w:t>
      </w:r>
      <w:r w:rsidRPr="00ED0894">
        <w:rPr>
          <w:rFonts w:ascii="Arial" w:eastAsia="Arial" w:hAnsi="Arial" w:cs="Arial"/>
          <w:sz w:val="21"/>
          <w:szCs w:val="21"/>
        </w:rPr>
        <w:t xml:space="preserve"> </w:t>
      </w:r>
      <w:r w:rsidRPr="00ED0894">
        <w:rPr>
          <w:rFonts w:ascii="Arial" w:hAnsi="Arial" w:cs="Arial"/>
          <w:sz w:val="21"/>
          <w:szCs w:val="21"/>
        </w:rPr>
        <w:t>por</w:t>
      </w:r>
      <w:r w:rsidRPr="00ED0894">
        <w:rPr>
          <w:rFonts w:ascii="Arial" w:eastAsia="Arial" w:hAnsi="Arial" w:cs="Arial"/>
          <w:sz w:val="21"/>
          <w:szCs w:val="21"/>
        </w:rPr>
        <w:t xml:space="preserve"> </w:t>
      </w:r>
      <w:r w:rsidRPr="00ED0894">
        <w:rPr>
          <w:rFonts w:ascii="Arial" w:hAnsi="Arial" w:cs="Arial"/>
          <w:sz w:val="21"/>
          <w:szCs w:val="21"/>
        </w:rPr>
        <w:t>la</w:t>
      </w:r>
      <w:r w:rsidRPr="00ED0894">
        <w:rPr>
          <w:rFonts w:ascii="Arial" w:eastAsia="Arial" w:hAnsi="Arial" w:cs="Arial"/>
          <w:sz w:val="21"/>
          <w:szCs w:val="21"/>
        </w:rPr>
        <w:t xml:space="preserve"> </w:t>
      </w:r>
      <w:r w:rsidRPr="00ED0894">
        <w:rPr>
          <w:rFonts w:ascii="Arial" w:hAnsi="Arial" w:cs="Arial"/>
          <w:sz w:val="21"/>
          <w:szCs w:val="21"/>
        </w:rPr>
        <w:t>participación</w:t>
      </w:r>
      <w:r w:rsidRPr="00ED0894">
        <w:rPr>
          <w:rFonts w:ascii="Arial" w:eastAsia="Arial" w:hAnsi="Arial" w:cs="Arial"/>
          <w:sz w:val="21"/>
          <w:szCs w:val="21"/>
        </w:rPr>
        <w:t xml:space="preserve"> </w:t>
      </w:r>
      <w:r w:rsidRPr="00ED0894">
        <w:rPr>
          <w:rFonts w:ascii="Arial" w:hAnsi="Arial" w:cs="Arial"/>
          <w:sz w:val="21"/>
          <w:szCs w:val="21"/>
        </w:rPr>
        <w:t>del</w:t>
      </w:r>
      <w:r w:rsidRPr="00ED0894">
        <w:rPr>
          <w:rFonts w:ascii="Arial" w:eastAsia="Arial" w:hAnsi="Arial" w:cs="Arial"/>
          <w:sz w:val="21"/>
          <w:szCs w:val="21"/>
        </w:rPr>
        <w:t xml:space="preserve"> </w:t>
      </w:r>
      <w:r w:rsidRPr="00ED0894">
        <w:rPr>
          <w:rFonts w:ascii="Arial" w:hAnsi="Arial" w:cs="Arial"/>
          <w:sz w:val="21"/>
          <w:szCs w:val="21"/>
        </w:rPr>
        <w:t>Proponente</w:t>
      </w:r>
      <w:r w:rsidRPr="00ED0894">
        <w:rPr>
          <w:rFonts w:ascii="Arial" w:eastAsia="Arial" w:hAnsi="Arial" w:cs="Arial"/>
          <w:sz w:val="21"/>
          <w:szCs w:val="21"/>
        </w:rPr>
        <w:t xml:space="preserve"> </w:t>
      </w:r>
      <w:r w:rsidRPr="00ED0894">
        <w:rPr>
          <w:rFonts w:ascii="Arial" w:hAnsi="Arial" w:cs="Arial"/>
          <w:sz w:val="21"/>
          <w:szCs w:val="21"/>
        </w:rPr>
        <w:t>en</w:t>
      </w:r>
      <w:r w:rsidRPr="00ED0894">
        <w:rPr>
          <w:rFonts w:ascii="Arial" w:eastAsia="Arial" w:hAnsi="Arial" w:cs="Arial"/>
          <w:sz w:val="21"/>
          <w:szCs w:val="21"/>
        </w:rPr>
        <w:t xml:space="preserve"> </w:t>
      </w:r>
      <w:r w:rsidRPr="00ED0894">
        <w:rPr>
          <w:rFonts w:ascii="Arial" w:hAnsi="Arial" w:cs="Arial"/>
          <w:sz w:val="21"/>
          <w:szCs w:val="21"/>
        </w:rPr>
        <w:t>la respectiva estructura</w:t>
      </w:r>
      <w:bookmarkEnd w:id="14"/>
      <w:r w:rsidRPr="00ED0894">
        <w:rPr>
          <w:rFonts w:ascii="Arial" w:hAnsi="Arial" w:cs="Arial"/>
          <w:sz w:val="21"/>
          <w:szCs w:val="21"/>
        </w:rPr>
        <w:t xml:space="preserve">. </w:t>
      </w:r>
    </w:p>
    <w:p w14:paraId="1C2B2736" w14:textId="77777777" w:rsidR="00740E5C" w:rsidRPr="00ED0894" w:rsidRDefault="00740E5C" w:rsidP="00740E5C">
      <w:pPr>
        <w:spacing w:line="276" w:lineRule="auto"/>
        <w:contextualSpacing/>
        <w:jc w:val="both"/>
        <w:rPr>
          <w:rFonts w:ascii="Arial" w:eastAsia="Arial," w:hAnsi="Arial" w:cs="Arial"/>
          <w:lang w:val="es-MX"/>
        </w:rPr>
      </w:pPr>
    </w:p>
    <w:p w14:paraId="1622A26B" w14:textId="5186B280" w:rsidR="00822C99" w:rsidRDefault="00740E5C" w:rsidP="002D3FF2">
      <w:pPr>
        <w:spacing w:after="120" w:line="276" w:lineRule="auto"/>
        <w:ind w:firstLine="709"/>
        <w:jc w:val="both"/>
        <w:rPr>
          <w:rFonts w:ascii="Arial" w:hAnsi="Arial" w:cs="Arial"/>
          <w:sz w:val="22"/>
          <w:szCs w:val="22"/>
          <w:lang w:val="es-MX"/>
        </w:rPr>
      </w:pPr>
      <w:r w:rsidRPr="00AC57DD">
        <w:rPr>
          <w:rFonts w:ascii="Arial" w:eastAsia="Arial," w:hAnsi="Arial" w:cs="Arial"/>
          <w:sz w:val="22"/>
          <w:szCs w:val="22"/>
        </w:rPr>
        <w:t xml:space="preserve">Como se aprecia, los apartados transcritos del documento base están en armonía con lo dispuesto en la </w:t>
      </w:r>
      <w:r w:rsidRPr="00AC57DD">
        <w:rPr>
          <w:rFonts w:ascii="Arial" w:hAnsi="Arial" w:cs="Arial"/>
          <w:sz w:val="22"/>
          <w:szCs w:val="22"/>
        </w:rPr>
        <w:t xml:space="preserve">Guía para Determinar y Verificar la Capacidad Residual del Proponente en los Procesos de Contratación de Obra Pública, y se refieren a los contratos de obras civiles en ejecución, incluyendo los contratos suspendidos y los que no tienen acta de inicio. Lo expuesto es congruente con </w:t>
      </w:r>
      <w:r w:rsidRPr="00AC57DD">
        <w:rPr>
          <w:rFonts w:ascii="Arial" w:eastAsia="Calibri" w:hAnsi="Arial" w:cs="Arial"/>
          <w:color w:val="000000" w:themeColor="text1"/>
          <w:sz w:val="22"/>
          <w:szCs w:val="22"/>
          <w:lang w:val="es-MX"/>
        </w:rPr>
        <w:t xml:space="preserve">el artículo 2.2.1.1.1.6.4 del Decreto 1082 de 2015, en virtud del cual, para efectos de </w:t>
      </w:r>
      <w:r w:rsidRPr="00AC57DD">
        <w:rPr>
          <w:rFonts w:ascii="Arial" w:hAnsi="Arial" w:cs="Arial"/>
          <w:sz w:val="22"/>
          <w:szCs w:val="22"/>
          <w:lang w:val="es-MX"/>
        </w:rPr>
        <w:t>acreditar la capacidad residual del proponente, se requiere el listado de</w:t>
      </w:r>
      <w:r w:rsidR="00175AE1">
        <w:rPr>
          <w:rFonts w:ascii="Arial" w:hAnsi="Arial" w:cs="Arial"/>
          <w:sz w:val="22"/>
          <w:szCs w:val="22"/>
          <w:lang w:val="es-MX"/>
        </w:rPr>
        <w:t xml:space="preserve"> la totalidad de</w:t>
      </w:r>
      <w:r w:rsidRPr="00AC57DD">
        <w:rPr>
          <w:rFonts w:ascii="Arial" w:hAnsi="Arial" w:cs="Arial"/>
          <w:sz w:val="22"/>
          <w:szCs w:val="22"/>
          <w:lang w:val="es-MX"/>
        </w:rPr>
        <w:t xml:space="preserve"> contratos de obra civiles en ejecución suscritos con entidades estatales y con entidades privadas</w:t>
      </w:r>
      <w:r w:rsidR="00175AE1">
        <w:rPr>
          <w:rFonts w:ascii="Arial" w:hAnsi="Arial" w:cs="Arial"/>
          <w:sz w:val="22"/>
          <w:szCs w:val="22"/>
          <w:lang w:val="es-MX"/>
        </w:rPr>
        <w:t xml:space="preserve">, lo que quiere decir que el proponente debe presentar todos los contratos, incluidos aquellos que se encuentren en ejecución con la entidad </w:t>
      </w:r>
      <w:r w:rsidR="00822C99">
        <w:rPr>
          <w:rFonts w:ascii="Arial" w:hAnsi="Arial" w:cs="Arial"/>
          <w:sz w:val="22"/>
          <w:szCs w:val="22"/>
          <w:lang w:val="es-MX"/>
        </w:rPr>
        <w:t>que está desarrollando el proceso de selección.</w:t>
      </w:r>
    </w:p>
    <w:p w14:paraId="3E8C0C32" w14:textId="366D9075" w:rsidR="00740E5C" w:rsidRPr="002D3FF2" w:rsidRDefault="00822C99" w:rsidP="00EB6259">
      <w:pPr>
        <w:spacing w:line="276" w:lineRule="auto"/>
        <w:ind w:firstLine="708"/>
        <w:jc w:val="both"/>
        <w:rPr>
          <w:rFonts w:ascii="Arial" w:hAnsi="Arial" w:cs="Arial"/>
          <w:sz w:val="22"/>
          <w:szCs w:val="22"/>
          <w:lang w:val="es-MX"/>
        </w:rPr>
      </w:pPr>
      <w:r>
        <w:rPr>
          <w:rFonts w:ascii="Arial" w:hAnsi="Arial" w:cs="Arial"/>
          <w:sz w:val="22"/>
          <w:szCs w:val="22"/>
          <w:lang w:val="es-MX"/>
        </w:rPr>
        <w:t xml:space="preserve">En efecto, tanto la Guía </w:t>
      </w:r>
      <w:r w:rsidRPr="002D3FF2">
        <w:rPr>
          <w:rFonts w:ascii="Arial" w:hAnsi="Arial" w:cs="Arial"/>
          <w:sz w:val="22"/>
          <w:szCs w:val="22"/>
          <w:lang w:val="es-MX"/>
        </w:rPr>
        <w:t>para Determinar y Verificar la Capacidad Residual del Proponente en los Procesos de Contratación de Obra Pública,</w:t>
      </w:r>
      <w:r>
        <w:rPr>
          <w:rFonts w:ascii="Arial" w:hAnsi="Arial" w:cs="Arial"/>
          <w:sz w:val="22"/>
          <w:szCs w:val="22"/>
          <w:lang w:val="es-MX"/>
        </w:rPr>
        <w:t xml:space="preserve"> como el Decreto 1082 de 2015 y las demás normas mencionadas en párrafos anteriores, no establecen excepción alguna </w:t>
      </w:r>
      <w:r w:rsidR="00EB6259">
        <w:rPr>
          <w:rFonts w:ascii="Arial" w:hAnsi="Arial" w:cs="Arial"/>
          <w:sz w:val="22"/>
          <w:szCs w:val="22"/>
          <w:lang w:val="es-MX"/>
        </w:rPr>
        <w:t xml:space="preserve">frente </w:t>
      </w:r>
      <w:r>
        <w:rPr>
          <w:rFonts w:ascii="Arial" w:hAnsi="Arial" w:cs="Arial"/>
          <w:sz w:val="22"/>
          <w:szCs w:val="22"/>
          <w:lang w:val="es-MX"/>
        </w:rPr>
        <w:t>al reporte que debe realizar el proponente para la determinación de la capacidad de residual</w:t>
      </w:r>
      <w:r w:rsidR="00695740">
        <w:rPr>
          <w:rFonts w:ascii="Arial" w:hAnsi="Arial" w:cs="Arial"/>
          <w:sz w:val="22"/>
          <w:szCs w:val="22"/>
          <w:lang w:val="es-MX"/>
        </w:rPr>
        <w:t>;</w:t>
      </w:r>
      <w:r>
        <w:rPr>
          <w:rFonts w:ascii="Arial" w:hAnsi="Arial" w:cs="Arial"/>
          <w:sz w:val="22"/>
          <w:szCs w:val="22"/>
          <w:lang w:val="es-MX"/>
        </w:rPr>
        <w:t xml:space="preserve"> al contrario, establecen, de manera general, que el proponente debe reportar la totalidad de contratos</w:t>
      </w:r>
      <w:r w:rsidR="00695740">
        <w:rPr>
          <w:rFonts w:ascii="Arial" w:hAnsi="Arial" w:cs="Arial"/>
          <w:sz w:val="22"/>
          <w:szCs w:val="22"/>
          <w:lang w:val="es-MX"/>
        </w:rPr>
        <w:t>, lo que conlleva a entender que existe una carga de relacionar los contratos en ejecución</w:t>
      </w:r>
      <w:r>
        <w:rPr>
          <w:rFonts w:ascii="Arial" w:hAnsi="Arial" w:cs="Arial"/>
          <w:sz w:val="22"/>
          <w:szCs w:val="22"/>
          <w:lang w:val="es-MX"/>
        </w:rPr>
        <w:t xml:space="preserve"> sin importar si </w:t>
      </w:r>
      <w:r w:rsidR="00695740">
        <w:rPr>
          <w:rFonts w:ascii="Arial" w:hAnsi="Arial" w:cs="Arial"/>
          <w:sz w:val="22"/>
          <w:szCs w:val="22"/>
          <w:lang w:val="es-MX"/>
        </w:rPr>
        <w:t xml:space="preserve">el contratante es </w:t>
      </w:r>
      <w:r>
        <w:rPr>
          <w:rFonts w:ascii="Arial" w:hAnsi="Arial" w:cs="Arial"/>
          <w:sz w:val="22"/>
          <w:szCs w:val="22"/>
          <w:lang w:val="es-MX"/>
        </w:rPr>
        <w:t xml:space="preserve">la misma entidad </w:t>
      </w:r>
      <w:r w:rsidR="00EB6259">
        <w:rPr>
          <w:rFonts w:ascii="Arial" w:hAnsi="Arial" w:cs="Arial"/>
          <w:sz w:val="22"/>
          <w:szCs w:val="22"/>
          <w:lang w:val="es-MX"/>
        </w:rPr>
        <w:t xml:space="preserve">que realiza </w:t>
      </w:r>
      <w:r>
        <w:rPr>
          <w:rFonts w:ascii="Arial" w:hAnsi="Arial" w:cs="Arial"/>
          <w:sz w:val="22"/>
          <w:szCs w:val="22"/>
          <w:lang w:val="es-MX"/>
        </w:rPr>
        <w:t>el proceso de contratación.</w:t>
      </w:r>
    </w:p>
    <w:p w14:paraId="1DBCC23E" w14:textId="77777777" w:rsidR="00740E5C" w:rsidRPr="00AC57DD" w:rsidRDefault="00740E5C" w:rsidP="00740E5C">
      <w:pPr>
        <w:spacing w:line="276" w:lineRule="auto"/>
        <w:jc w:val="both"/>
        <w:rPr>
          <w:rFonts w:ascii="Arial" w:hAnsi="Arial" w:cs="Arial"/>
          <w:sz w:val="22"/>
          <w:szCs w:val="22"/>
        </w:rPr>
      </w:pPr>
    </w:p>
    <w:p w14:paraId="6D748376" w14:textId="0A1F59B6" w:rsidR="00740E5C" w:rsidRPr="00AC57DD" w:rsidRDefault="00740E5C" w:rsidP="00740E5C">
      <w:pPr>
        <w:tabs>
          <w:tab w:val="left" w:pos="426"/>
        </w:tabs>
        <w:spacing w:line="276" w:lineRule="auto"/>
        <w:jc w:val="both"/>
        <w:rPr>
          <w:rFonts w:ascii="Arial" w:hAnsi="Arial" w:cs="Arial"/>
          <w:b/>
          <w:bCs/>
          <w:sz w:val="22"/>
          <w:szCs w:val="22"/>
          <w:lang w:val="es-MX"/>
        </w:rPr>
      </w:pPr>
      <w:r w:rsidRPr="00AC57DD">
        <w:rPr>
          <w:rFonts w:ascii="Arial" w:eastAsia="Calibri" w:hAnsi="Arial" w:cs="Arial"/>
          <w:b/>
          <w:bCs/>
          <w:color w:val="000000"/>
          <w:sz w:val="22"/>
          <w:szCs w:val="22"/>
        </w:rPr>
        <w:t>2.</w:t>
      </w:r>
      <w:r w:rsidR="00301ABA">
        <w:rPr>
          <w:rFonts w:ascii="Arial" w:eastAsia="Calibri" w:hAnsi="Arial" w:cs="Arial"/>
          <w:b/>
          <w:bCs/>
          <w:color w:val="000000"/>
          <w:sz w:val="22"/>
          <w:szCs w:val="22"/>
        </w:rPr>
        <w:t>2</w:t>
      </w:r>
      <w:r w:rsidRPr="00AC57DD">
        <w:rPr>
          <w:rFonts w:ascii="Arial" w:eastAsia="Calibri" w:hAnsi="Arial" w:cs="Arial"/>
          <w:b/>
          <w:bCs/>
          <w:color w:val="000000"/>
          <w:sz w:val="22"/>
          <w:szCs w:val="22"/>
        </w:rPr>
        <w:t xml:space="preserve">. Capacidad residual </w:t>
      </w:r>
      <w:r w:rsidRPr="00AC57DD">
        <w:rPr>
          <w:rFonts w:ascii="Arial" w:hAnsi="Arial" w:cs="Arial"/>
          <w:b/>
          <w:bCs/>
          <w:sz w:val="22"/>
          <w:szCs w:val="22"/>
          <w:lang w:val="es-MX"/>
        </w:rPr>
        <w:t>y rechazo de la oferta</w:t>
      </w:r>
      <w:r w:rsidRPr="00AC57DD">
        <w:rPr>
          <w:rFonts w:ascii="Arial" w:eastAsia="Calibri" w:hAnsi="Arial" w:cs="Arial"/>
          <w:b/>
          <w:bCs/>
          <w:color w:val="000000"/>
          <w:sz w:val="22"/>
          <w:szCs w:val="22"/>
        </w:rPr>
        <w:t xml:space="preserve"> en los «Documentos Tipo – Versión 3» </w:t>
      </w:r>
      <w:r w:rsidRPr="00AC57DD">
        <w:rPr>
          <w:rFonts w:ascii="Arial" w:hAnsi="Arial" w:cs="Arial"/>
          <w:b/>
          <w:bCs/>
          <w:sz w:val="22"/>
          <w:szCs w:val="22"/>
          <w:lang w:val="es-MX"/>
        </w:rPr>
        <w:t>de licitación para obra pública de infraestructura de transporte</w:t>
      </w:r>
    </w:p>
    <w:p w14:paraId="29E435E3" w14:textId="77777777" w:rsidR="00740E5C" w:rsidRPr="00AC57DD" w:rsidRDefault="00740E5C" w:rsidP="00740E5C">
      <w:pPr>
        <w:tabs>
          <w:tab w:val="left" w:pos="426"/>
        </w:tabs>
        <w:spacing w:line="276" w:lineRule="auto"/>
        <w:jc w:val="both"/>
        <w:rPr>
          <w:rFonts w:ascii="Arial" w:hAnsi="Arial" w:cs="Arial"/>
          <w:b/>
          <w:bCs/>
          <w:sz w:val="22"/>
          <w:szCs w:val="22"/>
          <w:lang w:val="es-MX"/>
        </w:rPr>
      </w:pPr>
    </w:p>
    <w:p w14:paraId="7345E1A6" w14:textId="244BAB74" w:rsidR="008975B8" w:rsidRDefault="008975B8" w:rsidP="007F7D47">
      <w:pPr>
        <w:tabs>
          <w:tab w:val="left" w:pos="426"/>
        </w:tabs>
        <w:spacing w:after="120" w:line="276" w:lineRule="auto"/>
        <w:jc w:val="both"/>
        <w:rPr>
          <w:rFonts w:ascii="Arial" w:hAnsi="Arial" w:cs="Arial"/>
          <w:sz w:val="22"/>
          <w:szCs w:val="22"/>
          <w:lang w:val="es-MX"/>
        </w:rPr>
      </w:pPr>
      <w:r>
        <w:rPr>
          <w:rStyle w:val="normaltextrun"/>
          <w:rFonts w:ascii="Arial" w:hAnsi="Arial" w:cs="Arial"/>
          <w:sz w:val="22"/>
          <w:szCs w:val="22"/>
          <w:lang w:val="es-MX"/>
        </w:rPr>
        <w:t xml:space="preserve">Esta Agencia, </w:t>
      </w:r>
      <w:r w:rsidRPr="00ED0894">
        <w:rPr>
          <w:rStyle w:val="normaltextrun"/>
          <w:rFonts w:ascii="Arial" w:hAnsi="Arial" w:cs="Arial"/>
          <w:sz w:val="22"/>
          <w:szCs w:val="22"/>
        </w:rPr>
        <w:t>en los conceptos del 21 de agosto y el 30 de octubre de 2019 −radicados Nos. 2201913000006054 y 2201913000008148–, C-033 del 13 de marzo de 2020, C-133 del 30 de marzo de 2020, C-196 del 8 de abril de 2020, C-297 del 4 de junio de 2020, C-489 del 23 de julio de 2020, C-522 del 6 de agosto de 2020, C-547 del 12 de agosto de 2020, C- 663 del 30 de noviembre de 2021</w:t>
      </w:r>
      <w:r>
        <w:rPr>
          <w:rStyle w:val="normaltextrun"/>
          <w:rFonts w:ascii="Arial" w:hAnsi="Arial" w:cs="Arial"/>
          <w:sz w:val="22"/>
          <w:szCs w:val="22"/>
        </w:rPr>
        <w:t>,</w:t>
      </w:r>
      <w:r w:rsidRPr="00ED0894">
        <w:rPr>
          <w:rStyle w:val="normaltextrun"/>
          <w:rFonts w:ascii="Arial" w:hAnsi="Arial" w:cs="Arial"/>
          <w:sz w:val="22"/>
          <w:szCs w:val="22"/>
        </w:rPr>
        <w:t xml:space="preserve"> C-692 del 28 de diciembre de 2021</w:t>
      </w:r>
      <w:r w:rsidR="00FA357B">
        <w:rPr>
          <w:rStyle w:val="normaltextrun"/>
          <w:rFonts w:ascii="Arial" w:hAnsi="Arial" w:cs="Arial"/>
          <w:sz w:val="22"/>
          <w:szCs w:val="22"/>
        </w:rPr>
        <w:t>,</w:t>
      </w:r>
      <w:r>
        <w:rPr>
          <w:rStyle w:val="normaltextrun"/>
          <w:rFonts w:ascii="Arial" w:hAnsi="Arial" w:cs="Arial"/>
          <w:sz w:val="22"/>
          <w:szCs w:val="22"/>
        </w:rPr>
        <w:t xml:space="preserve"> C-306 de 16 de mayo de 2022,</w:t>
      </w:r>
      <w:r w:rsidR="00FA357B">
        <w:rPr>
          <w:rStyle w:val="normaltextrun"/>
          <w:rFonts w:ascii="Arial" w:hAnsi="Arial" w:cs="Arial"/>
          <w:sz w:val="22"/>
          <w:szCs w:val="22"/>
        </w:rPr>
        <w:t xml:space="preserve"> </w:t>
      </w:r>
      <w:r w:rsidR="00FA357B">
        <w:rPr>
          <w:rFonts w:ascii="Arial" w:eastAsia="Calibri" w:hAnsi="Arial" w:cs="Arial"/>
          <w:bCs/>
          <w:sz w:val="22"/>
          <w:szCs w:val="22"/>
          <w:lang w:val="es-ES"/>
        </w:rPr>
        <w:t>C-512 del 10 de agosto de 2022, C-615 del 19 de agosto de 2020 y C-536 del 22 de agosto de 2022</w:t>
      </w:r>
      <w:r w:rsidRPr="00ED0894">
        <w:rPr>
          <w:rStyle w:val="normaltextrun"/>
          <w:rFonts w:ascii="Arial" w:hAnsi="Arial" w:cs="Arial"/>
          <w:sz w:val="22"/>
          <w:szCs w:val="22"/>
        </w:rPr>
        <w:t xml:space="preserve">  analizó el rechazo de propuestas por falta de acreditación del requisito de capacidad residual.</w:t>
      </w:r>
      <w:r>
        <w:rPr>
          <w:rStyle w:val="normaltextrun"/>
          <w:rFonts w:ascii="Arial" w:hAnsi="Arial" w:cs="Arial"/>
          <w:sz w:val="22"/>
          <w:szCs w:val="22"/>
        </w:rPr>
        <w:t xml:space="preserve"> Lo expuesto se reitera y complementa en lo que corresponda.</w:t>
      </w:r>
    </w:p>
    <w:p w14:paraId="32F40E39" w14:textId="19AF9316" w:rsidR="00740E5C" w:rsidRPr="00AC57DD" w:rsidRDefault="008975B8" w:rsidP="00740E5C">
      <w:pPr>
        <w:tabs>
          <w:tab w:val="left" w:pos="426"/>
        </w:tabs>
        <w:spacing w:line="276" w:lineRule="auto"/>
        <w:jc w:val="both"/>
        <w:rPr>
          <w:rFonts w:ascii="Arial" w:eastAsia="Calibri" w:hAnsi="Arial" w:cs="Arial"/>
          <w:b/>
          <w:bCs/>
          <w:color w:val="000000"/>
          <w:sz w:val="22"/>
          <w:szCs w:val="22"/>
        </w:rPr>
      </w:pPr>
      <w:r>
        <w:rPr>
          <w:rFonts w:ascii="Arial" w:hAnsi="Arial" w:cs="Arial"/>
          <w:sz w:val="22"/>
          <w:szCs w:val="22"/>
          <w:lang w:val="es-MX"/>
        </w:rPr>
        <w:tab/>
      </w:r>
      <w:r w:rsidR="00FA357B">
        <w:rPr>
          <w:rFonts w:ascii="Arial" w:hAnsi="Arial" w:cs="Arial"/>
          <w:sz w:val="22"/>
          <w:szCs w:val="22"/>
          <w:lang w:val="es-MX"/>
        </w:rPr>
        <w:tab/>
      </w:r>
      <w:r w:rsidR="00740E5C" w:rsidRPr="00AC57DD">
        <w:rPr>
          <w:rFonts w:ascii="Arial" w:hAnsi="Arial" w:cs="Arial"/>
          <w:sz w:val="22"/>
          <w:szCs w:val="22"/>
          <w:lang w:val="es-MX"/>
        </w:rPr>
        <w:t xml:space="preserve">El numeral 3.10 del documento base de obra de licitación para obra pública de infraestructura de transporte –versión 3– establece </w:t>
      </w:r>
      <w:r w:rsidR="00740E5C" w:rsidRPr="00AC57DD">
        <w:rPr>
          <w:rFonts w:ascii="Arial" w:hAnsi="Arial" w:cs="Arial"/>
          <w:sz w:val="22"/>
          <w:szCs w:val="22"/>
        </w:rPr>
        <w:t xml:space="preserve">como requisito habilitante la capacidad residual. En este documento tipo, </w:t>
      </w:r>
      <w:r w:rsidR="00740E5C" w:rsidRPr="00AC57DD">
        <w:rPr>
          <w:rFonts w:ascii="Arial" w:hAnsi="Arial" w:cs="Arial"/>
          <w:sz w:val="22"/>
          <w:szCs w:val="22"/>
          <w:lang w:val="es-MX"/>
        </w:rPr>
        <w:t>al menos tres causales de rechazo del numeral 1.15 se relacionan con la capacidad residual como requisito habilitante, esto es, los literales E, H y Z. Estas causales disponen lo siguiente:</w:t>
      </w:r>
    </w:p>
    <w:p w14:paraId="57D2627E" w14:textId="77777777" w:rsidR="00740E5C" w:rsidRPr="00ED0894" w:rsidRDefault="00740E5C" w:rsidP="00740E5C">
      <w:pPr>
        <w:ind w:left="709" w:right="709"/>
        <w:jc w:val="both"/>
        <w:rPr>
          <w:rFonts w:ascii="Arial" w:hAnsi="Arial" w:cs="Arial"/>
          <w:b/>
          <w:bCs/>
          <w:sz w:val="21"/>
          <w:szCs w:val="21"/>
        </w:rPr>
      </w:pPr>
    </w:p>
    <w:p w14:paraId="3D19680C" w14:textId="77777777" w:rsidR="00740E5C" w:rsidRPr="00ED0894" w:rsidRDefault="00740E5C" w:rsidP="00740E5C">
      <w:pPr>
        <w:ind w:left="709" w:right="709"/>
        <w:jc w:val="both"/>
        <w:rPr>
          <w:rFonts w:ascii="Arial" w:hAnsi="Arial" w:cs="Arial"/>
          <w:b/>
          <w:bCs/>
          <w:sz w:val="21"/>
          <w:szCs w:val="21"/>
          <w:lang w:val="es-MX"/>
        </w:rPr>
      </w:pPr>
      <w:r w:rsidRPr="00ED0894">
        <w:rPr>
          <w:rFonts w:ascii="Arial" w:hAnsi="Arial" w:cs="Arial"/>
          <w:b/>
          <w:bCs/>
          <w:sz w:val="21"/>
          <w:szCs w:val="21"/>
          <w:lang w:val="es-MX"/>
        </w:rPr>
        <w:t>1.15.</w:t>
      </w:r>
      <w:r w:rsidRPr="00ED0894">
        <w:rPr>
          <w:rFonts w:ascii="Arial" w:hAnsi="Arial" w:cs="Arial"/>
          <w:b/>
          <w:bCs/>
          <w:sz w:val="21"/>
          <w:szCs w:val="21"/>
          <w:lang w:val="es-MX"/>
        </w:rPr>
        <w:tab/>
        <w:t xml:space="preserve">CAUSALES DE RECHAZO </w:t>
      </w:r>
    </w:p>
    <w:p w14:paraId="12B959E5" w14:textId="77777777" w:rsidR="00740E5C" w:rsidRPr="00ED0894" w:rsidRDefault="00740E5C" w:rsidP="00740E5C">
      <w:pPr>
        <w:ind w:left="709" w:right="709"/>
        <w:jc w:val="both"/>
        <w:rPr>
          <w:rFonts w:ascii="Arial" w:hAnsi="Arial" w:cs="Arial"/>
          <w:sz w:val="21"/>
          <w:szCs w:val="21"/>
          <w:lang w:val="es-MX"/>
        </w:rPr>
      </w:pPr>
      <w:r w:rsidRPr="00ED0894">
        <w:rPr>
          <w:rFonts w:ascii="Arial" w:hAnsi="Arial" w:cs="Arial"/>
          <w:sz w:val="21"/>
          <w:szCs w:val="21"/>
          <w:lang w:val="es-MX"/>
        </w:rPr>
        <w:t>Son causales de rechazo las siguientes [Las Entidades no podrán modificar o incluir causales de rechazo distintas a las señaladas en la presente sección]:</w:t>
      </w:r>
    </w:p>
    <w:p w14:paraId="6BBA6F3F" w14:textId="77777777" w:rsidR="00740E5C" w:rsidRPr="00ED0894" w:rsidRDefault="00740E5C" w:rsidP="00740E5C">
      <w:pPr>
        <w:spacing w:after="120"/>
        <w:ind w:left="709" w:right="709"/>
        <w:jc w:val="both"/>
        <w:rPr>
          <w:rFonts w:ascii="Arial" w:hAnsi="Arial" w:cs="Arial"/>
          <w:sz w:val="21"/>
          <w:szCs w:val="21"/>
          <w:lang w:val="es-MX"/>
        </w:rPr>
      </w:pPr>
      <w:r w:rsidRPr="00ED0894">
        <w:rPr>
          <w:rFonts w:ascii="Arial" w:hAnsi="Arial" w:cs="Arial"/>
          <w:sz w:val="21"/>
          <w:szCs w:val="21"/>
          <w:lang w:val="es-MX"/>
        </w:rPr>
        <w:t>[…]</w:t>
      </w:r>
    </w:p>
    <w:p w14:paraId="6A4AA18B" w14:textId="77777777" w:rsidR="00740E5C" w:rsidRPr="00ED0894" w:rsidRDefault="00740E5C" w:rsidP="00740E5C">
      <w:pPr>
        <w:ind w:left="709" w:right="709"/>
        <w:jc w:val="both"/>
        <w:rPr>
          <w:rFonts w:ascii="Arial" w:hAnsi="Arial" w:cs="Arial"/>
          <w:sz w:val="21"/>
          <w:szCs w:val="21"/>
          <w:lang w:val="es-MX"/>
        </w:rPr>
      </w:pPr>
      <w:r w:rsidRPr="00ED0894">
        <w:rPr>
          <w:rFonts w:ascii="Arial" w:hAnsi="Arial" w:cs="Arial"/>
          <w:sz w:val="21"/>
          <w:szCs w:val="21"/>
          <w:lang w:val="es-MX"/>
        </w:rPr>
        <w:t>E. Que el Proponente no aclare, subsane o aporte documentos necesarios para el cumplimiento de un requisito habilitante en los términos establecidos en la sección 1.6.</w:t>
      </w:r>
    </w:p>
    <w:p w14:paraId="4C2453CC" w14:textId="77777777" w:rsidR="00740E5C" w:rsidRPr="00ED0894" w:rsidRDefault="00740E5C" w:rsidP="00740E5C">
      <w:pPr>
        <w:ind w:left="709" w:right="709"/>
        <w:jc w:val="both"/>
        <w:rPr>
          <w:rFonts w:ascii="Arial" w:hAnsi="Arial" w:cs="Arial"/>
          <w:sz w:val="21"/>
          <w:szCs w:val="21"/>
          <w:lang w:val="es-MX"/>
        </w:rPr>
      </w:pPr>
      <w:r w:rsidRPr="00ED0894">
        <w:rPr>
          <w:rFonts w:ascii="Arial" w:hAnsi="Arial" w:cs="Arial"/>
          <w:sz w:val="21"/>
          <w:szCs w:val="21"/>
          <w:lang w:val="es-MX"/>
        </w:rPr>
        <w:t>[…]</w:t>
      </w:r>
    </w:p>
    <w:p w14:paraId="28AF8E14" w14:textId="77777777" w:rsidR="00740E5C" w:rsidRPr="00ED0894" w:rsidRDefault="00740E5C" w:rsidP="00740E5C">
      <w:pPr>
        <w:spacing w:before="120"/>
        <w:ind w:left="709" w:right="709"/>
        <w:jc w:val="both"/>
        <w:rPr>
          <w:rFonts w:ascii="Arial" w:hAnsi="Arial" w:cs="Arial"/>
          <w:sz w:val="21"/>
          <w:szCs w:val="21"/>
          <w:lang w:val="es-MX"/>
        </w:rPr>
      </w:pPr>
      <w:r w:rsidRPr="00ED0894">
        <w:rPr>
          <w:rFonts w:ascii="Arial" w:hAnsi="Arial" w:cs="Arial"/>
          <w:sz w:val="21"/>
          <w:szCs w:val="21"/>
          <w:lang w:val="es-MX"/>
        </w:rPr>
        <w:t>H. Que el Proponente aporte información inexacta sobre la cual pueda existir una posible falsedad en los términos de la sección 1.11.</w:t>
      </w:r>
    </w:p>
    <w:p w14:paraId="71EA6E5A" w14:textId="77777777" w:rsidR="00740E5C" w:rsidRPr="00ED0894" w:rsidRDefault="00740E5C" w:rsidP="00740E5C">
      <w:pPr>
        <w:spacing w:after="120"/>
        <w:ind w:left="709" w:right="709"/>
        <w:jc w:val="both"/>
        <w:rPr>
          <w:rFonts w:ascii="Arial" w:hAnsi="Arial" w:cs="Arial"/>
          <w:sz w:val="21"/>
          <w:szCs w:val="21"/>
          <w:lang w:val="es-MX"/>
        </w:rPr>
      </w:pPr>
      <w:r w:rsidRPr="00ED0894">
        <w:rPr>
          <w:rFonts w:ascii="Arial" w:hAnsi="Arial" w:cs="Arial"/>
          <w:sz w:val="21"/>
          <w:szCs w:val="21"/>
          <w:lang w:val="es-MX"/>
        </w:rPr>
        <w:t>[…]</w:t>
      </w:r>
    </w:p>
    <w:p w14:paraId="499871C6" w14:textId="77777777" w:rsidR="00740E5C" w:rsidRPr="00ED0894" w:rsidRDefault="00740E5C" w:rsidP="00740E5C">
      <w:pPr>
        <w:ind w:left="709" w:right="709"/>
        <w:jc w:val="both"/>
        <w:rPr>
          <w:rFonts w:ascii="Arial" w:hAnsi="Arial" w:cs="Arial"/>
          <w:sz w:val="21"/>
          <w:szCs w:val="21"/>
          <w:lang w:val="es-MX"/>
        </w:rPr>
      </w:pPr>
      <w:r w:rsidRPr="00ED0894">
        <w:rPr>
          <w:rFonts w:ascii="Arial" w:hAnsi="Arial" w:cs="Arial"/>
          <w:sz w:val="21"/>
          <w:szCs w:val="21"/>
          <w:lang w:val="es-MX"/>
        </w:rPr>
        <w:t xml:space="preserve">Z. </w:t>
      </w:r>
      <w:bookmarkStart w:id="15" w:name="_Hlk78878480"/>
      <w:r w:rsidRPr="00ED0894">
        <w:rPr>
          <w:rFonts w:ascii="Arial" w:hAnsi="Arial" w:cs="Arial"/>
          <w:sz w:val="21"/>
          <w:szCs w:val="21"/>
          <w:lang w:val="es-MX"/>
        </w:rPr>
        <w:t>No informar todos los contratos que el Proponente tenga en ejecución antes del cierre, necesarios para acreditar su capacidad residual conforme a la sección 3.10.</w:t>
      </w:r>
    </w:p>
    <w:bookmarkEnd w:id="15"/>
    <w:p w14:paraId="7851952A" w14:textId="77777777" w:rsidR="00740E5C" w:rsidRPr="00ED0894" w:rsidRDefault="00740E5C" w:rsidP="00740E5C">
      <w:pPr>
        <w:ind w:left="709" w:right="709"/>
        <w:jc w:val="both"/>
        <w:rPr>
          <w:rFonts w:ascii="Arial" w:hAnsi="Arial" w:cs="Arial"/>
          <w:szCs w:val="20"/>
          <w:lang w:val="es-MX"/>
        </w:rPr>
      </w:pPr>
    </w:p>
    <w:p w14:paraId="6CD45D19" w14:textId="77777777" w:rsidR="00740E5C" w:rsidRPr="00AC57DD" w:rsidRDefault="00740E5C" w:rsidP="00740E5C">
      <w:pPr>
        <w:spacing w:after="120" w:line="276" w:lineRule="auto"/>
        <w:ind w:firstLine="709"/>
        <w:jc w:val="both"/>
        <w:rPr>
          <w:rFonts w:ascii="Arial" w:hAnsi="Arial" w:cs="Arial"/>
          <w:sz w:val="22"/>
          <w:szCs w:val="22"/>
          <w:lang w:val="es-MX"/>
        </w:rPr>
      </w:pPr>
      <w:bookmarkStart w:id="16" w:name="_Hlk91596805"/>
      <w:r w:rsidRPr="00AC57DD">
        <w:rPr>
          <w:rFonts w:ascii="Arial" w:hAnsi="Arial" w:cs="Arial"/>
          <w:sz w:val="22"/>
          <w:szCs w:val="22"/>
          <w:lang w:val="es-MX"/>
        </w:rPr>
        <w:t xml:space="preserve">Como se consideró en los conceptos del 25 de septiembre y el 23 de diciembre de 2019 −radicados Nos. 2201913000007117 y 2201913000009538−, las causales de rechazo de ofertas contempladas en los documentos tipo son taxativas, descartándose que la entidad introduzca otras,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w:t>
      </w:r>
      <w:r w:rsidRPr="00AC57DD">
        <w:rPr>
          <w:rFonts w:ascii="Arial" w:hAnsi="Arial" w:cs="Arial"/>
          <w:sz w:val="22"/>
          <w:szCs w:val="22"/>
          <w:lang w:val="es-MX"/>
        </w:rPr>
        <w:lastRenderedPageBreak/>
        <w:t>ampliar su alcance. En ese contexto, las tres causales de rechazo mencionadas tienen el siguiente alcance:</w:t>
      </w:r>
    </w:p>
    <w:bookmarkEnd w:id="16"/>
    <w:p w14:paraId="2A047734" w14:textId="0C14EA99" w:rsidR="00740E5C" w:rsidRPr="00AC57DD" w:rsidRDefault="00740E5C" w:rsidP="00740E5C">
      <w:pPr>
        <w:spacing w:before="120" w:after="120" w:line="276" w:lineRule="auto"/>
        <w:ind w:firstLine="709"/>
        <w:jc w:val="both"/>
        <w:rPr>
          <w:rFonts w:ascii="Arial" w:hAnsi="Arial" w:cs="Arial"/>
          <w:i/>
          <w:iCs/>
          <w:sz w:val="22"/>
          <w:szCs w:val="22"/>
          <w:lang w:val="es-MX"/>
        </w:rPr>
      </w:pPr>
      <w:r w:rsidRPr="00AC57DD">
        <w:rPr>
          <w:rFonts w:ascii="Arial" w:hAnsi="Arial" w:cs="Arial"/>
          <w:i/>
          <w:sz w:val="22"/>
          <w:szCs w:val="22"/>
          <w:lang w:val="es-MX"/>
        </w:rPr>
        <w:t>i)</w:t>
      </w:r>
      <w:r w:rsidRPr="00AC57DD">
        <w:rPr>
          <w:rFonts w:ascii="Arial" w:hAnsi="Arial" w:cs="Arial"/>
          <w:sz w:val="22"/>
          <w:szCs w:val="22"/>
          <w:lang w:val="es-MX"/>
        </w:rPr>
        <w:t xml:space="preserve"> La causal del </w:t>
      </w:r>
      <w:r w:rsidRPr="00AC57DD">
        <w:rPr>
          <w:rFonts w:ascii="Arial" w:hAnsi="Arial" w:cs="Arial"/>
          <w:i/>
          <w:iCs/>
          <w:sz w:val="22"/>
          <w:szCs w:val="22"/>
          <w:lang w:val="es-MX"/>
        </w:rPr>
        <w:t>literal Z</w:t>
      </w:r>
      <w:r w:rsidRPr="00AC57DD">
        <w:rPr>
          <w:rFonts w:ascii="Arial" w:hAnsi="Arial" w:cs="Arial"/>
          <w:sz w:val="22"/>
          <w:szCs w:val="22"/>
          <w:lang w:val="es-MX"/>
        </w:rPr>
        <w:t xml:space="preserve"> del numeral 1.15 solamente aplica cuando el proponente no informa todos los contratos que tiene en ejecución antes del cierre. Esto se traduce en un deber </w:t>
      </w:r>
      <w:r w:rsidR="00335863">
        <w:rPr>
          <w:rFonts w:ascii="Arial" w:hAnsi="Arial" w:cs="Arial"/>
          <w:sz w:val="22"/>
          <w:szCs w:val="22"/>
          <w:lang w:val="es-MX"/>
        </w:rPr>
        <w:t>–</w:t>
      </w:r>
      <w:r w:rsidR="00301ABA">
        <w:rPr>
          <w:rFonts w:ascii="Arial" w:hAnsi="Arial" w:cs="Arial"/>
          <w:sz w:val="22"/>
          <w:szCs w:val="22"/>
          <w:lang w:val="es-MX"/>
        </w:rPr>
        <w:t>una carga que corresponde al proponente</w:t>
      </w:r>
      <w:r w:rsidR="00335863">
        <w:rPr>
          <w:rFonts w:ascii="Arial" w:hAnsi="Arial" w:cs="Arial"/>
          <w:sz w:val="22"/>
          <w:szCs w:val="22"/>
          <w:lang w:val="es-MX"/>
        </w:rPr>
        <w:t>–</w:t>
      </w:r>
      <w:r w:rsidR="00301ABA">
        <w:rPr>
          <w:rFonts w:ascii="Arial" w:hAnsi="Arial" w:cs="Arial"/>
          <w:sz w:val="22"/>
          <w:szCs w:val="22"/>
          <w:lang w:val="es-MX"/>
        </w:rPr>
        <w:t xml:space="preserve"> </w:t>
      </w:r>
      <w:r w:rsidRPr="00AC57DD">
        <w:rPr>
          <w:rFonts w:ascii="Arial" w:hAnsi="Arial" w:cs="Arial"/>
          <w:sz w:val="22"/>
          <w:szCs w:val="22"/>
          <w:lang w:val="es-MX"/>
        </w:rPr>
        <w:t xml:space="preserve">de cumplir con esta exigencia, sin tener en cuenta la información relacionada en cada uno de ellos. Por ejemplo, si el </w:t>
      </w:r>
      <w:r w:rsidR="00335863">
        <w:rPr>
          <w:rFonts w:ascii="Arial" w:hAnsi="Arial" w:cs="Arial"/>
          <w:sz w:val="22"/>
          <w:szCs w:val="22"/>
          <w:lang w:val="es-MX"/>
        </w:rPr>
        <w:t>proponente</w:t>
      </w:r>
      <w:r w:rsidR="00335863" w:rsidRPr="00AC57DD">
        <w:rPr>
          <w:rFonts w:ascii="Arial" w:hAnsi="Arial" w:cs="Arial"/>
          <w:sz w:val="22"/>
          <w:szCs w:val="22"/>
          <w:lang w:val="es-MX"/>
        </w:rPr>
        <w:t xml:space="preserve"> </w:t>
      </w:r>
      <w:r w:rsidRPr="00AC57DD">
        <w:rPr>
          <w:rFonts w:ascii="Arial" w:hAnsi="Arial" w:cs="Arial"/>
          <w:sz w:val="22"/>
          <w:szCs w:val="22"/>
          <w:lang w:val="es-MX"/>
        </w:rPr>
        <w:t xml:space="preserve">tiene en ejecución diez contratos, esta causal aplica si reporta nueve o menos; excluyéndose la configuración de la causal cuando el proponente comete algún error en la información de los contratos, siempre que los reporte todos. Por tanto, la configuración de la causal de rechazo del literal Z es objetiva, pues solo aplica ante la omisión del proponente de informar el número total de contratos en ejecución antes del cierre. </w:t>
      </w:r>
    </w:p>
    <w:p w14:paraId="085DC7C2" w14:textId="77777777" w:rsidR="00740E5C" w:rsidRPr="00AC57DD" w:rsidRDefault="00740E5C" w:rsidP="00740E5C">
      <w:pPr>
        <w:spacing w:before="120" w:line="276" w:lineRule="auto"/>
        <w:ind w:firstLine="708"/>
        <w:jc w:val="both"/>
        <w:rPr>
          <w:rFonts w:ascii="Arial" w:hAnsi="Arial" w:cs="Arial"/>
          <w:sz w:val="22"/>
          <w:szCs w:val="22"/>
          <w:lang w:val="es-MX"/>
        </w:rPr>
      </w:pPr>
      <w:bookmarkStart w:id="17" w:name="_Hlk91596835"/>
      <w:r w:rsidRPr="00AC57DD">
        <w:rPr>
          <w:rFonts w:ascii="Arial" w:hAnsi="Arial" w:cs="Arial"/>
          <w:i/>
          <w:sz w:val="22"/>
          <w:szCs w:val="22"/>
          <w:lang w:val="es-MX"/>
        </w:rPr>
        <w:t xml:space="preserve">ii) </w:t>
      </w:r>
      <w:r w:rsidRPr="00AC57DD">
        <w:rPr>
          <w:rFonts w:ascii="Arial" w:hAnsi="Arial" w:cs="Arial"/>
          <w:sz w:val="22"/>
          <w:szCs w:val="22"/>
          <w:lang w:val="es-MX"/>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w:t>
      </w:r>
      <w:r w:rsidRPr="00AC57DD">
        <w:rPr>
          <w:rFonts w:ascii="Arial" w:hAnsi="Arial" w:cs="Arial"/>
          <w:i/>
          <w:iCs/>
          <w:sz w:val="22"/>
          <w:szCs w:val="22"/>
          <w:lang w:val="es-MX"/>
        </w:rPr>
        <w:t>literal E</w:t>
      </w:r>
      <w:r w:rsidRPr="00AC57DD">
        <w:rPr>
          <w:rFonts w:ascii="Arial" w:hAnsi="Arial" w:cs="Arial"/>
          <w:sz w:val="22"/>
          <w:szCs w:val="22"/>
          <w:lang w:val="es-MX"/>
        </w:rPr>
        <w:t xml:space="preserve"> del numeral 1.15.</w:t>
      </w:r>
      <w:bookmarkEnd w:id="17"/>
      <w:r w:rsidRPr="00AC57DD">
        <w:rPr>
          <w:rFonts w:ascii="Arial" w:hAnsi="Arial" w:cs="Arial"/>
          <w:sz w:val="22"/>
          <w:szCs w:val="22"/>
          <w:lang w:val="es-MX"/>
        </w:rPr>
        <w:t xml:space="preserve"> </w:t>
      </w:r>
    </w:p>
    <w:p w14:paraId="10C503FE" w14:textId="77777777" w:rsidR="00740E5C" w:rsidRPr="00AC57DD" w:rsidRDefault="00740E5C" w:rsidP="00740E5C">
      <w:pPr>
        <w:spacing w:before="120" w:line="276" w:lineRule="auto"/>
        <w:ind w:firstLine="708"/>
        <w:jc w:val="both"/>
        <w:rPr>
          <w:rFonts w:ascii="Arial" w:hAnsi="Arial" w:cs="Arial"/>
          <w:sz w:val="22"/>
          <w:szCs w:val="22"/>
          <w:lang w:val="es-MX"/>
        </w:rPr>
      </w:pPr>
      <w:r w:rsidRPr="00AC57DD">
        <w:rPr>
          <w:rFonts w:ascii="Arial" w:hAnsi="Arial" w:cs="Arial"/>
          <w:i/>
          <w:sz w:val="22"/>
          <w:szCs w:val="22"/>
          <w:lang w:val="es-MX"/>
        </w:rPr>
        <w:t xml:space="preserve">iii) </w:t>
      </w:r>
      <w:r w:rsidRPr="00AC57DD">
        <w:rPr>
          <w:rFonts w:ascii="Arial" w:hAnsi="Arial" w:cs="Arial"/>
          <w:sz w:val="22"/>
          <w:szCs w:val="22"/>
          <w:lang w:val="es-MX"/>
        </w:rPr>
        <w:t xml:space="preserve">Lo dicho en los numerales precedentes tampoco descarta la posibilidad de que la entidad rechace la oferta si encuentra configurada la causal establecida en </w:t>
      </w:r>
      <w:bookmarkStart w:id="18" w:name="_Hlk81383775"/>
      <w:r w:rsidRPr="00AC57DD">
        <w:rPr>
          <w:rFonts w:ascii="Arial" w:hAnsi="Arial" w:cs="Arial"/>
          <w:sz w:val="22"/>
          <w:szCs w:val="22"/>
          <w:lang w:val="es-MX"/>
        </w:rPr>
        <w:t xml:space="preserve">el </w:t>
      </w:r>
      <w:r w:rsidRPr="00AC57DD">
        <w:rPr>
          <w:rFonts w:ascii="Arial" w:hAnsi="Arial" w:cs="Arial"/>
          <w:i/>
          <w:iCs/>
          <w:sz w:val="22"/>
          <w:szCs w:val="22"/>
          <w:lang w:val="es-MX"/>
        </w:rPr>
        <w:t>literal H</w:t>
      </w:r>
      <w:r w:rsidRPr="00AC57DD">
        <w:rPr>
          <w:rFonts w:ascii="Arial" w:hAnsi="Arial" w:cs="Arial"/>
          <w:sz w:val="22"/>
          <w:szCs w:val="22"/>
          <w:lang w:val="es-MX"/>
        </w:rPr>
        <w:t xml:space="preserve"> del numeral 1.15, que aplica cuando el proponente aporta información inexacta, de acuerdo con lo señalado en el numeral 1.11. del documento base</w:t>
      </w:r>
      <w:bookmarkEnd w:id="18"/>
      <w:r w:rsidRPr="00AC57DD">
        <w:rPr>
          <w:rFonts w:ascii="Arial" w:hAnsi="Arial" w:cs="Arial"/>
          <w:sz w:val="22"/>
          <w:szCs w:val="22"/>
          <w:lang w:val="es-MX"/>
        </w:rPr>
        <w:t xml:space="preserve">: </w:t>
      </w:r>
    </w:p>
    <w:p w14:paraId="7136E8AF" w14:textId="77777777" w:rsidR="00740E5C" w:rsidRPr="00ED0894" w:rsidRDefault="00740E5C" w:rsidP="00740E5C">
      <w:pPr>
        <w:spacing w:line="276" w:lineRule="auto"/>
        <w:jc w:val="both"/>
        <w:rPr>
          <w:rFonts w:ascii="Arial" w:hAnsi="Arial" w:cs="Arial"/>
          <w:lang w:val="es-MX"/>
        </w:rPr>
      </w:pPr>
    </w:p>
    <w:p w14:paraId="6289715E" w14:textId="77777777" w:rsidR="00740E5C" w:rsidRPr="00ED0894" w:rsidRDefault="00740E5C" w:rsidP="00740E5C">
      <w:pPr>
        <w:spacing w:after="120"/>
        <w:ind w:left="709" w:right="709"/>
        <w:jc w:val="both"/>
        <w:rPr>
          <w:rFonts w:ascii="Arial" w:hAnsi="Arial" w:cs="Arial"/>
          <w:b/>
          <w:bCs/>
          <w:sz w:val="21"/>
          <w:szCs w:val="21"/>
        </w:rPr>
      </w:pPr>
      <w:r w:rsidRPr="00ED0894">
        <w:rPr>
          <w:rFonts w:ascii="Arial" w:hAnsi="Arial" w:cs="Arial"/>
          <w:b/>
          <w:bCs/>
          <w:sz w:val="21"/>
          <w:szCs w:val="21"/>
        </w:rPr>
        <w:t xml:space="preserve">1.11 INFORMACIÓN INEXACTA </w:t>
      </w:r>
    </w:p>
    <w:p w14:paraId="4DCEFD49" w14:textId="77777777" w:rsidR="00740E5C" w:rsidRPr="00ED0894" w:rsidRDefault="00740E5C" w:rsidP="00740E5C">
      <w:pPr>
        <w:spacing w:after="120"/>
        <w:ind w:left="709" w:right="709"/>
        <w:jc w:val="both"/>
        <w:rPr>
          <w:rFonts w:ascii="Arial" w:hAnsi="Arial" w:cs="Arial"/>
          <w:sz w:val="21"/>
          <w:szCs w:val="21"/>
        </w:rPr>
      </w:pPr>
      <w:r w:rsidRPr="00ED0894">
        <w:rPr>
          <w:rFonts w:ascii="Arial" w:hAnsi="Arial" w:cs="Arial"/>
          <w:sz w:val="21"/>
          <w:szCs w:val="21"/>
        </w:rPr>
        <w:t xml:space="preserve">La Entidad </w:t>
      </w:r>
      <w:bookmarkStart w:id="19" w:name="_Hlk88664526"/>
      <w:r w:rsidRPr="00ED0894">
        <w:rPr>
          <w:rFonts w:ascii="Arial" w:hAnsi="Arial" w:cs="Arial"/>
          <w:sz w:val="21"/>
          <w:szCs w:val="21"/>
        </w:rPr>
        <w:t>se reserva el derecho de verificar integralmente la información aportada por el Proponente</w:t>
      </w:r>
      <w:bookmarkEnd w:id="19"/>
      <w:r w:rsidRPr="00ED0894">
        <w:rPr>
          <w:rFonts w:ascii="Arial" w:hAnsi="Arial" w:cs="Arial"/>
          <w:sz w:val="21"/>
          <w:szCs w:val="21"/>
        </w:rPr>
        <w:t xml:space="preserve">. Para esto, puede acudir a las autoridades, personas, empresas o entidades respectivas. </w:t>
      </w:r>
    </w:p>
    <w:p w14:paraId="18D7C711" w14:textId="77777777" w:rsidR="00740E5C" w:rsidRPr="00ED0894" w:rsidRDefault="00740E5C" w:rsidP="00740E5C">
      <w:pPr>
        <w:spacing w:after="120"/>
        <w:ind w:left="709" w:right="709"/>
        <w:jc w:val="both"/>
        <w:rPr>
          <w:rFonts w:ascii="Arial" w:hAnsi="Arial" w:cs="Arial"/>
          <w:sz w:val="21"/>
          <w:szCs w:val="21"/>
        </w:rPr>
      </w:pPr>
      <w:r w:rsidRPr="00ED0894">
        <w:rPr>
          <w:rFonts w:ascii="Arial" w:hAnsi="Arial" w:cs="Arial"/>
          <w:sz w:val="21"/>
          <w:szCs w:val="21"/>
        </w:rPr>
        <w:t xml:space="preserve">Cuando exista inconsistencia entre la información suministrada por el Proponente y la efectivamente verificada por la Entidad, la información que pretende demostrar el Proponente se tendrá por no acreditada. </w:t>
      </w:r>
    </w:p>
    <w:p w14:paraId="28FCA015" w14:textId="77777777" w:rsidR="00740E5C" w:rsidRPr="00ED0894" w:rsidRDefault="00740E5C" w:rsidP="00740E5C">
      <w:pPr>
        <w:ind w:left="709" w:right="709"/>
        <w:jc w:val="both"/>
        <w:rPr>
          <w:rFonts w:ascii="Arial" w:hAnsi="Arial" w:cs="Arial"/>
          <w:sz w:val="21"/>
          <w:szCs w:val="21"/>
        </w:rPr>
      </w:pPr>
      <w:r w:rsidRPr="00ED0894">
        <w:rPr>
          <w:rFonts w:ascii="Arial" w:hAnsi="Arial" w:cs="Arial"/>
          <w:sz w:val="21"/>
          <w:szCs w:val="21"/>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14:paraId="7E961559" w14:textId="77777777" w:rsidR="00740E5C" w:rsidRPr="00ED0894" w:rsidRDefault="00740E5C" w:rsidP="00740E5C">
      <w:pPr>
        <w:ind w:left="709" w:right="709"/>
        <w:jc w:val="both"/>
        <w:rPr>
          <w:rFonts w:ascii="Arial" w:hAnsi="Arial" w:cs="Arial"/>
          <w:sz w:val="21"/>
          <w:szCs w:val="21"/>
        </w:rPr>
      </w:pPr>
      <w:r w:rsidRPr="00ED0894">
        <w:rPr>
          <w:rFonts w:ascii="Arial" w:hAnsi="Arial" w:cs="Arial"/>
          <w:sz w:val="21"/>
          <w:szCs w:val="21"/>
        </w:rPr>
        <w:t>[…]</w:t>
      </w:r>
    </w:p>
    <w:p w14:paraId="5EBE01B9" w14:textId="77777777" w:rsidR="00740E5C" w:rsidRPr="00ED0894" w:rsidRDefault="00740E5C" w:rsidP="00740E5C">
      <w:pPr>
        <w:spacing w:line="276" w:lineRule="auto"/>
        <w:jc w:val="both"/>
        <w:rPr>
          <w:rFonts w:ascii="Arial" w:hAnsi="Arial" w:cs="Arial"/>
        </w:rPr>
      </w:pPr>
    </w:p>
    <w:p w14:paraId="3A5502EE" w14:textId="77777777" w:rsidR="00740E5C" w:rsidRPr="00AC57DD" w:rsidRDefault="00740E5C" w:rsidP="00740E5C">
      <w:pPr>
        <w:spacing w:after="120" w:line="276" w:lineRule="auto"/>
        <w:ind w:firstLine="709"/>
        <w:jc w:val="both"/>
        <w:rPr>
          <w:rFonts w:ascii="Arial" w:hAnsi="Arial" w:cs="Arial"/>
          <w:sz w:val="22"/>
          <w:szCs w:val="22"/>
        </w:rPr>
      </w:pPr>
      <w:r w:rsidRPr="00AC57DD">
        <w:rPr>
          <w:rFonts w:ascii="Arial" w:hAnsi="Arial" w:cs="Arial"/>
          <w:sz w:val="22"/>
          <w:szCs w:val="22"/>
        </w:rPr>
        <w:t xml:space="preserve">Este numeral faculta a la entidad estatal para verificar la información aportada, para lo cual podrá acudir a las autoridades, personas, empresas o entidades que estén en posición de otorgar la información. No obstante, tal verificación es potestativa, no obligatoria, pues los procedimientos de selección exigen que los proponentes actúen </w:t>
      </w:r>
      <w:r w:rsidRPr="00AC57DD">
        <w:rPr>
          <w:rFonts w:ascii="Arial" w:hAnsi="Arial" w:cs="Arial"/>
          <w:sz w:val="22"/>
          <w:szCs w:val="22"/>
        </w:rPr>
        <w:lastRenderedPageBreak/>
        <w:t>conforme al principio de la buena fe, «que se debe manifestar en la presentación completa y veraz de la información que constituye su oferta, así como la lealtad y comportamiento adecuado frente a la entidad estatal y los demás proponentes durante las diferentes etapas del procedimiento de contratación»</w:t>
      </w:r>
      <w:r w:rsidRPr="00AC57DD">
        <w:rPr>
          <w:rFonts w:ascii="Arial" w:hAnsi="Arial" w:cs="Arial"/>
          <w:sz w:val="22"/>
          <w:szCs w:val="22"/>
          <w:vertAlign w:val="superscript"/>
        </w:rPr>
        <w:footnoteReference w:id="4"/>
      </w:r>
      <w:r w:rsidRPr="00AC57DD">
        <w:rPr>
          <w:rFonts w:ascii="Arial" w:hAnsi="Arial" w:cs="Arial"/>
          <w:sz w:val="22"/>
          <w:szCs w:val="22"/>
        </w:rPr>
        <w:t>. Conforme a ello, la prerrogativa de verificación es una herramienta para que la Administración adquiera certeza frente al cumplimiento de los requisitos del procedimiento de selección y del comportamiento leal que se exige de los proponentes.</w:t>
      </w:r>
    </w:p>
    <w:p w14:paraId="6A5E2D70" w14:textId="36281493" w:rsidR="00740E5C" w:rsidRPr="00AC57DD" w:rsidRDefault="00740E5C" w:rsidP="00740E5C">
      <w:pPr>
        <w:spacing w:before="120" w:after="120" w:line="276" w:lineRule="auto"/>
        <w:ind w:firstLine="708"/>
        <w:jc w:val="both"/>
        <w:rPr>
          <w:rFonts w:ascii="Arial" w:eastAsiaTheme="minorEastAsia" w:hAnsi="Arial" w:cs="Arial"/>
          <w:sz w:val="22"/>
          <w:szCs w:val="22"/>
          <w:lang w:val="es-MX" w:eastAsia="es-CO"/>
        </w:rPr>
      </w:pPr>
      <w:r w:rsidRPr="00AC57DD">
        <w:rPr>
          <w:rFonts w:ascii="Arial" w:eastAsiaTheme="minorEastAsia" w:hAnsi="Arial" w:cs="Arial"/>
          <w:sz w:val="22"/>
          <w:szCs w:val="22"/>
          <w:lang w:eastAsia="es-CO"/>
        </w:rPr>
        <w:t>Según</w:t>
      </w:r>
      <w:r w:rsidRPr="00AC57DD">
        <w:rPr>
          <w:rFonts w:ascii="Arial" w:eastAsiaTheme="minorEastAsia" w:hAnsi="Arial" w:cs="Arial"/>
          <w:sz w:val="22"/>
          <w:szCs w:val="22"/>
          <w:lang w:val="es-MX" w:eastAsia="es-CO"/>
        </w:rPr>
        <w:t xml:space="preserve"> lo expuesto por esta Agencia</w:t>
      </w:r>
      <w:r w:rsidR="005829DE">
        <w:rPr>
          <w:rFonts w:ascii="Arial" w:eastAsiaTheme="minorEastAsia" w:hAnsi="Arial" w:cs="Arial"/>
          <w:sz w:val="22"/>
          <w:szCs w:val="22"/>
          <w:lang w:val="es-MX" w:eastAsia="es-CO"/>
        </w:rPr>
        <w:t>,</w:t>
      </w:r>
      <w:r w:rsidRPr="00AC57DD">
        <w:rPr>
          <w:rFonts w:ascii="Arial" w:eastAsiaTheme="minorEastAsia" w:hAnsi="Arial" w:cs="Arial"/>
          <w:sz w:val="22"/>
          <w:szCs w:val="22"/>
          <w:lang w:val="es-MX" w:eastAsia="es-CO"/>
        </w:rPr>
        <w:t xml:space="preserve"> en el concepto con radicado 2201913000008148 del 30 de octubre de 2019, la inexactitud –en el contexto de los «Documentos Tipo»– se entiende como «la disparidad, imprecisión, disconformidad o falta de precisión que se da de una información a otra». En este sentido, «[…] se habla de inexactitud cuando la información que aporta el proponente no concuerda con la que verifica la entidad, lo cual lleva a que esta información se entienda como no acreditada».</w:t>
      </w:r>
    </w:p>
    <w:p w14:paraId="3A021EBE" w14:textId="77777777" w:rsidR="00740E5C" w:rsidRPr="00AC57DD" w:rsidRDefault="00740E5C" w:rsidP="00740E5C">
      <w:pPr>
        <w:spacing w:before="120" w:after="120" w:line="276" w:lineRule="auto"/>
        <w:ind w:firstLine="709"/>
        <w:jc w:val="both"/>
        <w:rPr>
          <w:rFonts w:ascii="Arial" w:hAnsi="Arial" w:cs="Arial"/>
          <w:sz w:val="22"/>
          <w:szCs w:val="22"/>
        </w:rPr>
      </w:pPr>
      <w:r w:rsidRPr="00AC57DD">
        <w:rPr>
          <w:rFonts w:ascii="Arial" w:hAnsi="Arial" w:cs="Arial"/>
          <w:sz w:val="22"/>
          <w:szCs w:val="22"/>
          <w:lang w:val="es-MX"/>
        </w:rPr>
        <w:t xml:space="preserve">La </w:t>
      </w:r>
      <w:r w:rsidRPr="00AC57DD">
        <w:rPr>
          <w:rFonts w:ascii="Arial" w:hAnsi="Arial" w:cs="Arial"/>
          <w:sz w:val="22"/>
          <w:szCs w:val="22"/>
        </w:rPr>
        <w:t xml:space="preserve">regla de verificación de la información prevista en el numeral 1.11 del documento base aplica frente a la totalidad de la información y documentación aportada para cumplir los requisitos exigidos en el pliego de condiciones. Además, dispone dos supuestos, con consecuencias diferentes: el primero, señala que una vez verificada la información y evidenciada la inconsistencia, la entidad estatal la tendrá por no acreditada. 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falsedad. </w:t>
      </w:r>
    </w:p>
    <w:p w14:paraId="7E623EEE" w14:textId="77777777" w:rsidR="00740E5C" w:rsidRPr="00AC57DD" w:rsidRDefault="00740E5C" w:rsidP="00740E5C">
      <w:pPr>
        <w:spacing w:before="120" w:after="120" w:line="276" w:lineRule="auto"/>
        <w:ind w:firstLine="709"/>
        <w:jc w:val="both"/>
        <w:rPr>
          <w:rFonts w:ascii="Arial" w:hAnsi="Arial" w:cs="Arial"/>
          <w:sz w:val="22"/>
          <w:szCs w:val="22"/>
        </w:rPr>
      </w:pPr>
      <w:r w:rsidRPr="00AC57DD">
        <w:rPr>
          <w:rFonts w:ascii="Arial" w:hAnsi="Arial" w:cs="Arial"/>
          <w:sz w:val="22"/>
          <w:szCs w:val="22"/>
        </w:rPr>
        <w:t xml:space="preserve">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procedente </w:t>
      </w:r>
      <w:r w:rsidRPr="00AC57DD">
        <w:rPr>
          <w:rFonts w:ascii="Arial" w:hAnsi="Arial" w:cs="Arial"/>
          <w:sz w:val="22"/>
          <w:szCs w:val="22"/>
        </w:rPr>
        <w:lastRenderedPageBreak/>
        <w:t xml:space="preserve">rechazar la oferta y compulsar copias a las autoridades competentes, quienes adelantarán las respectivas investigaciones. </w:t>
      </w:r>
    </w:p>
    <w:p w14:paraId="1A151D7C" w14:textId="77777777" w:rsidR="00740E5C" w:rsidRPr="00AC57DD" w:rsidRDefault="00740E5C" w:rsidP="00740E5C">
      <w:pPr>
        <w:spacing w:before="120" w:after="120" w:line="276" w:lineRule="auto"/>
        <w:ind w:firstLine="708"/>
        <w:jc w:val="both"/>
        <w:rPr>
          <w:rFonts w:ascii="Arial" w:hAnsi="Arial" w:cs="Arial"/>
          <w:sz w:val="22"/>
          <w:szCs w:val="22"/>
        </w:rPr>
      </w:pPr>
      <w:r w:rsidRPr="00AC57DD">
        <w:rPr>
          <w:rFonts w:ascii="Arial" w:hAnsi="Arial" w:cs="Arial"/>
          <w:sz w:val="22"/>
          <w:szCs w:val="22"/>
        </w:rPr>
        <w:t xml:space="preserve">Ahora bien, aunque las causales de rechazo del literal E, H y Z del numeral 1.15 de los documentos tipo se relacionan con la capacidad residual como requisito habilitante, estas se aplican en supuestos diferentes, de acuerdo con lo explicado </w:t>
      </w:r>
      <w:r w:rsidRPr="00AC57DD">
        <w:rPr>
          <w:rFonts w:ascii="Arial" w:hAnsi="Arial" w:cs="Arial"/>
          <w:i/>
          <w:sz w:val="22"/>
          <w:szCs w:val="22"/>
        </w:rPr>
        <w:t>ut supra</w:t>
      </w:r>
      <w:r w:rsidRPr="00AC57DD">
        <w:rPr>
          <w:rFonts w:ascii="Arial" w:hAnsi="Arial" w:cs="Arial"/>
          <w:sz w:val="22"/>
          <w:szCs w:val="22"/>
        </w:rPr>
        <w:t>. De esta manera, la causal 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Por su parte, la causal del literal Z se presenta cuando el proponente deja de informar la totalidad de los contratos que tiene en ejecución antes del cierre o no reporta la información de los contratos exigida en el documento base. Siguiendo con el ejemplo, el supuesto de hecho se presenta si el proponente, teniendo tres contratos de obra en ejecución antes del cierre, no informa la totalidad de estos.</w:t>
      </w:r>
    </w:p>
    <w:p w14:paraId="3718DC9D" w14:textId="77777777" w:rsidR="00740E5C" w:rsidRPr="00AC57DD" w:rsidRDefault="00740E5C" w:rsidP="00740E5C">
      <w:pPr>
        <w:spacing w:before="120" w:after="120" w:line="276" w:lineRule="auto"/>
        <w:ind w:firstLine="708"/>
        <w:jc w:val="both"/>
        <w:rPr>
          <w:rFonts w:ascii="Arial" w:hAnsi="Arial" w:cs="Arial"/>
          <w:sz w:val="22"/>
          <w:szCs w:val="22"/>
        </w:rPr>
      </w:pPr>
      <w:r w:rsidRPr="00AC57DD">
        <w:rPr>
          <w:rFonts w:ascii="Arial" w:hAnsi="Arial" w:cs="Arial"/>
          <w:sz w:val="22"/>
          <w:szCs w:val="22"/>
        </w:rPr>
        <w:t>Finalmente, esta distinción también se proyecta sobre las reglas de subsanabilidad de las ofertas de la Ley 1150 de 2007, pues solo habrá lugar a subsanar en los eventos en los que el proponente omite información sobre los contratos informados, esto es, en el evento de la causal del literal E. Dicho de otra forma, no se puede subsanar cuando se incurre en las causales H y Z, eventos en los cuales el rechazo procede de forma automática, es decir, sin permitirle al proponente subsanar la «inexactitud» de la oferta o el número de contratos de obra que tenía el deber de reportar, dada la forma en que están configuradas las causales de rechazo enunciadas.</w:t>
      </w:r>
    </w:p>
    <w:p w14:paraId="4FD44036" w14:textId="1978A515" w:rsidR="00740E5C" w:rsidRPr="00AC57DD" w:rsidRDefault="00740E5C" w:rsidP="00740E5C">
      <w:pPr>
        <w:spacing w:before="120" w:after="120" w:line="276" w:lineRule="auto"/>
        <w:ind w:firstLine="708"/>
        <w:jc w:val="both"/>
        <w:rPr>
          <w:rFonts w:ascii="Arial" w:hAnsi="Arial" w:cs="Arial"/>
          <w:sz w:val="22"/>
          <w:szCs w:val="22"/>
        </w:rPr>
      </w:pPr>
      <w:r w:rsidRPr="00AC57DD">
        <w:rPr>
          <w:rFonts w:ascii="Arial" w:hAnsi="Arial" w:cs="Arial"/>
          <w:noProof/>
          <w:sz w:val="22"/>
          <w:szCs w:val="22"/>
        </w:rPr>
        <w:t>Ahora bien, es importate precisar que lo</w:t>
      </w:r>
      <w:r w:rsidRPr="00AC57DD">
        <w:rPr>
          <w:rFonts w:ascii="Arial" w:hAnsi="Arial" w:cs="Arial"/>
          <w:sz w:val="22"/>
          <w:szCs w:val="22"/>
        </w:rPr>
        <w:t xml:space="preserve"> expresado en el párrafo precedente no contradice lo dispuesto en el artículo 5, parágrafo 1, de la Ley 1150 de 2007, adicionado por el artículo 5 de la Ley 1882 de 2018, norma que dispone que «[…]</w:t>
      </w:r>
      <w:r w:rsidRPr="00AC57DD">
        <w:rPr>
          <w:sz w:val="22"/>
          <w:szCs w:val="22"/>
        </w:rPr>
        <w:t xml:space="preserve"> </w:t>
      </w:r>
      <w:r w:rsidRPr="00AC57DD">
        <w:rPr>
          <w:rFonts w:ascii="Arial" w:hAnsi="Arial" w:cs="Arial"/>
          <w:sz w:val="22"/>
          <w:szCs w:val="22"/>
        </w:rPr>
        <w:t xml:space="preserve">todos aquellos requisitos de la propuesta que no afecten la asignación de puntaje deberán ser solicitados por las entidades estatales y deberán ser entregados por los proponentes». Es cierto que la información «inexacta» </w:t>
      </w:r>
      <w:r w:rsidR="00335863">
        <w:rPr>
          <w:rFonts w:ascii="Arial" w:hAnsi="Arial" w:cs="Arial"/>
          <w:sz w:val="22"/>
          <w:szCs w:val="22"/>
        </w:rPr>
        <w:t xml:space="preserve">sobre la que puede existir una posible falsedad </w:t>
      </w:r>
      <w:r w:rsidRPr="00AC57DD">
        <w:rPr>
          <w:rFonts w:ascii="Arial" w:hAnsi="Arial" w:cs="Arial"/>
          <w:sz w:val="22"/>
          <w:szCs w:val="22"/>
        </w:rPr>
        <w:t>y los contratos que no fueron informados no afectan la asignación de puntaje, pues estos se solicitan para la acreditación de la capacidad residual del proponente, que es uno de los requisitos habilitantes a los que se refiere el Capítulo III del documento base. Sin embargo, los supuestos de hecho en los que se fundamentan las causales de rechazo no permiten la subsanación</w:t>
      </w:r>
      <w:r w:rsidR="00335863">
        <w:rPr>
          <w:rFonts w:ascii="Arial" w:hAnsi="Arial" w:cs="Arial"/>
          <w:sz w:val="22"/>
          <w:szCs w:val="22"/>
        </w:rPr>
        <w:t>, dado los eventos que contienen cada uno de ellos</w:t>
      </w:r>
      <w:r w:rsidRPr="00AC57DD">
        <w:rPr>
          <w:rFonts w:ascii="Arial" w:hAnsi="Arial" w:cs="Arial"/>
          <w:sz w:val="22"/>
          <w:szCs w:val="22"/>
        </w:rPr>
        <w:t>. De esta manera, la imposibilidad de subsanar se deriva, entonces, del supuesto de hecho de aquellas causales, sin que en esto sea relevante que se otorguen o no puntos a la propuesta por el requisito de capacidad residual</w:t>
      </w:r>
      <w:r w:rsidR="00335863">
        <w:rPr>
          <w:rFonts w:ascii="Arial" w:hAnsi="Arial" w:cs="Arial"/>
          <w:sz w:val="22"/>
          <w:szCs w:val="22"/>
        </w:rPr>
        <w:t>, pues ocurridos los eventos que contienen se configura el supuesto que da lugar al rechazo.</w:t>
      </w:r>
    </w:p>
    <w:p w14:paraId="1CB034E8" w14:textId="77777777" w:rsidR="00740E5C" w:rsidRPr="00AC57DD" w:rsidRDefault="00740E5C" w:rsidP="00740E5C">
      <w:pPr>
        <w:spacing w:before="120" w:after="120" w:line="276" w:lineRule="auto"/>
        <w:ind w:firstLine="709"/>
        <w:jc w:val="both"/>
        <w:rPr>
          <w:rFonts w:ascii="Arial" w:hAnsi="Arial" w:cs="Arial"/>
          <w:sz w:val="22"/>
          <w:szCs w:val="22"/>
        </w:rPr>
      </w:pPr>
      <w:r w:rsidRPr="00AC57DD">
        <w:rPr>
          <w:rFonts w:ascii="Arial" w:hAnsi="Arial" w:cs="Arial"/>
          <w:sz w:val="22"/>
          <w:szCs w:val="22"/>
        </w:rPr>
        <w:lastRenderedPageBreak/>
        <w:t xml:space="preserve">Como se expresó, la causal del literal Z procede cuando el proponente no informa todos los contratos de obra,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 Incluso, en el evento en que el proponente «corrija» el error e informe la existencia de un contrato no reportado, implica aceptar que ocurrió la causal del literal Z, esto es, que el proponente incumplió su obligación de informar todos los contratos de obra que tenía en ejecución. </w:t>
      </w:r>
    </w:p>
    <w:p w14:paraId="2EEA613A" w14:textId="4461E4A1" w:rsidR="00740E5C" w:rsidRPr="00AC57DD" w:rsidRDefault="00740E5C" w:rsidP="00740E5C">
      <w:pPr>
        <w:spacing w:before="120" w:after="120" w:line="276" w:lineRule="auto"/>
        <w:ind w:firstLine="709"/>
        <w:jc w:val="both"/>
        <w:rPr>
          <w:rFonts w:ascii="Arial" w:hAnsi="Arial" w:cs="Arial"/>
          <w:sz w:val="22"/>
          <w:szCs w:val="22"/>
        </w:rPr>
      </w:pPr>
      <w:r w:rsidRPr="00AC57DD">
        <w:rPr>
          <w:rFonts w:ascii="Arial" w:hAnsi="Arial" w:cs="Arial"/>
          <w:sz w:val="22"/>
          <w:szCs w:val="22"/>
        </w:rPr>
        <w:t xml:space="preserve">Conclusión similar le aplica al literal H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 Al respecto, surge la siguiente inquietud: ¿es posible subsanar el hecho de aportar una firma falsa presentando el documento firmado válidamente? Para esta entidad, la respuesta es negativa debido a que la finalidad que persigue la causal </w:t>
      </w:r>
      <w:r w:rsidRPr="00AC57DD">
        <w:rPr>
          <w:rFonts w:ascii="Arial" w:hAnsi="Arial" w:cs="Arial"/>
          <w:i/>
          <w:sz w:val="22"/>
          <w:szCs w:val="22"/>
        </w:rPr>
        <w:t>sub examine</w:t>
      </w:r>
      <w:r w:rsidRPr="00AC57DD">
        <w:rPr>
          <w:rFonts w:ascii="Arial" w:hAnsi="Arial" w:cs="Arial"/>
          <w:sz w:val="22"/>
          <w:szCs w:val="22"/>
        </w:rPr>
        <w:t xml:space="preserve"> es desincentivar todas las prácticas fraudulentas en los procesos de contratación estatal</w:t>
      </w:r>
      <w:r w:rsidR="00335863">
        <w:rPr>
          <w:rFonts w:ascii="Arial" w:hAnsi="Arial" w:cs="Arial"/>
          <w:sz w:val="22"/>
          <w:szCs w:val="22"/>
        </w:rPr>
        <w:t>, finalidad que también persigue la causal del literal Z.</w:t>
      </w:r>
      <w:r w:rsidRPr="00AC57DD">
        <w:rPr>
          <w:rFonts w:ascii="Arial" w:hAnsi="Arial" w:cs="Arial"/>
          <w:sz w:val="22"/>
          <w:szCs w:val="22"/>
        </w:rPr>
        <w:t xml:space="preserve"> </w:t>
      </w:r>
    </w:p>
    <w:p w14:paraId="70A0C9B4" w14:textId="77777777" w:rsidR="00740E5C" w:rsidRPr="00AC57DD" w:rsidRDefault="00740E5C" w:rsidP="00740E5C">
      <w:pPr>
        <w:spacing w:before="120" w:after="120" w:line="276" w:lineRule="auto"/>
        <w:ind w:firstLine="709"/>
        <w:jc w:val="both"/>
        <w:rPr>
          <w:rFonts w:ascii="Arial" w:hAnsi="Arial" w:cs="Arial"/>
          <w:sz w:val="22"/>
          <w:szCs w:val="22"/>
        </w:rPr>
      </w:pPr>
      <w:r w:rsidRPr="00AC57DD">
        <w:rPr>
          <w:rStyle w:val="normaltextrun"/>
          <w:rFonts w:ascii="Arial" w:hAnsi="Arial" w:cs="Arial"/>
          <w:color w:val="000000"/>
          <w:sz w:val="22"/>
          <w:szCs w:val="22"/>
          <w:shd w:val="clear" w:color="auto" w:fill="FFFFFF"/>
        </w:rPr>
        <w:t>En este sentido, la configuración de la causal se determinará teniendo en cuenta si la información inexacta conduce a una posible falsedad. Piénsese en el evento en que el proponente reporta todos los contratos de obra en ejecución en el formato de saldos de contratos en ejecución, pero incurre en algún error en la información de estos contratos, como por ejemplo en el valor o el plazo. En este caso, conforme a la explicación precedente, en principio, no se trata de información inexacta que tenga la connotación de falsedad por lo que no habría lugar a rechazo de la propuesta por esta causal. Por ello, si el proponente omite o se equivoca en la información específica de un contrato incluido en el formato respectivo, la entidad podrá requerirlo para que aclare la información y, en caso de no responder, rechazar la propuesta por la causal que consagra el literal E del numeral 1.15</w:t>
      </w:r>
      <w:r w:rsidRPr="00AC57DD">
        <w:rPr>
          <w:rFonts w:ascii="Arial" w:hAnsi="Arial" w:cs="Arial"/>
          <w:sz w:val="22"/>
          <w:szCs w:val="22"/>
        </w:rPr>
        <w:t xml:space="preserve">. </w:t>
      </w:r>
    </w:p>
    <w:p w14:paraId="63670436" w14:textId="7A8CD1B2" w:rsidR="00740E5C" w:rsidRPr="00AC57DD" w:rsidRDefault="00740E5C" w:rsidP="00740E5C">
      <w:pPr>
        <w:spacing w:before="120" w:after="120" w:line="276" w:lineRule="auto"/>
        <w:ind w:firstLine="709"/>
        <w:jc w:val="both"/>
        <w:rPr>
          <w:rFonts w:ascii="Arial" w:hAnsi="Arial" w:cs="Arial"/>
          <w:sz w:val="22"/>
          <w:szCs w:val="22"/>
        </w:rPr>
      </w:pPr>
      <w:r w:rsidRPr="00AC57DD">
        <w:rPr>
          <w:rStyle w:val="normaltextrun"/>
          <w:rFonts w:ascii="Arial" w:hAnsi="Arial" w:cs="Arial"/>
          <w:color w:val="000000"/>
          <w:sz w:val="22"/>
          <w:szCs w:val="22"/>
          <w:shd w:val="clear" w:color="auto" w:fill="FFFFFF"/>
        </w:rPr>
        <w:t xml:space="preserve">Sin embargo, las situaciones en la que la información inexacta conduce a una posible falsedad pueden ser múltiples y su configuración como causal de rechazo dependerá de las circunstancias particulares de cada caso. Por consiguiente, la entidad estatal deberá analizar concretamente cada una de ellas para determinar si existe una posible falsedad, caso en el cual, luego de dar la oportunidad para que el proponente se manifieste, es procedente rechazar la oferta y </w:t>
      </w:r>
      <w:r w:rsidR="00335863">
        <w:rPr>
          <w:rStyle w:val="normaltextrun"/>
          <w:rFonts w:ascii="Arial" w:hAnsi="Arial" w:cs="Arial"/>
          <w:color w:val="000000"/>
          <w:sz w:val="22"/>
          <w:szCs w:val="22"/>
          <w:shd w:val="clear" w:color="auto" w:fill="FFFFFF"/>
        </w:rPr>
        <w:t>remitir</w:t>
      </w:r>
      <w:r w:rsidR="00335863" w:rsidRPr="00AC57DD">
        <w:rPr>
          <w:rStyle w:val="normaltextrun"/>
          <w:rFonts w:ascii="Arial" w:hAnsi="Arial" w:cs="Arial"/>
          <w:color w:val="000000"/>
          <w:sz w:val="22"/>
          <w:szCs w:val="22"/>
          <w:shd w:val="clear" w:color="auto" w:fill="FFFFFF"/>
        </w:rPr>
        <w:t xml:space="preserve"> </w:t>
      </w:r>
      <w:r w:rsidRPr="00AC57DD">
        <w:rPr>
          <w:rStyle w:val="normaltextrun"/>
          <w:rFonts w:ascii="Arial" w:hAnsi="Arial" w:cs="Arial"/>
          <w:color w:val="000000"/>
          <w:sz w:val="22"/>
          <w:szCs w:val="22"/>
          <w:shd w:val="clear" w:color="auto" w:fill="FFFFFF"/>
        </w:rPr>
        <w:t xml:space="preserve">copias a las autoridades competentes, quienes adelantarán las respectivas investigaciones. Por ejemplo, en el evento en que se reporten todos los contratos y la entidad advierta que se consignó información errada en el formato respectivo soportada en documentos presuntamente falsos. En este caso, los datos </w:t>
      </w:r>
      <w:r w:rsidRPr="00AC57DD">
        <w:rPr>
          <w:rStyle w:val="normaltextrun"/>
          <w:rFonts w:ascii="Arial" w:hAnsi="Arial" w:cs="Arial"/>
          <w:color w:val="000000"/>
          <w:sz w:val="22"/>
          <w:szCs w:val="22"/>
          <w:shd w:val="clear" w:color="auto" w:fill="FFFFFF"/>
        </w:rPr>
        <w:lastRenderedPageBreak/>
        <w:t>erróneos corresponden a información inexacta sobre la cual pueda existir una posible falsedad, lo cual da lugar a la configuración de la causal de rechazo del literal H del numeral 1.15. del documento base e impide la subsanabilidad de la oferta en este aspecto</w:t>
      </w:r>
      <w:r w:rsidRPr="00AC57DD">
        <w:rPr>
          <w:rFonts w:ascii="Arial" w:hAnsi="Arial" w:cs="Arial"/>
          <w:sz w:val="22"/>
          <w:szCs w:val="22"/>
        </w:rPr>
        <w:t xml:space="preserve">. </w:t>
      </w:r>
    </w:p>
    <w:p w14:paraId="02197558" w14:textId="77777777" w:rsidR="00740E5C" w:rsidRPr="00AC57DD" w:rsidRDefault="00740E5C" w:rsidP="00740E5C">
      <w:pPr>
        <w:spacing w:line="276" w:lineRule="auto"/>
        <w:ind w:firstLine="708"/>
        <w:jc w:val="both"/>
        <w:rPr>
          <w:rFonts w:ascii="Arial" w:hAnsi="Arial" w:cs="Arial"/>
          <w:sz w:val="22"/>
          <w:szCs w:val="22"/>
        </w:rPr>
      </w:pPr>
      <w:r w:rsidRPr="00AC57DD">
        <w:rPr>
          <w:rFonts w:ascii="Arial" w:hAnsi="Arial" w:cs="Arial"/>
          <w:sz w:val="22"/>
          <w:szCs w:val="22"/>
        </w:rPr>
        <w:t xml:space="preserve">En relación con la información contractual no incluida que pueda afectar la capacidad residual del proponente, el pliego de condiciones del «Documento Tipo – Versión 3» de licitación para obra pública de infraestructura de transporte estableció una regla especial en el numeral 3.10 así: </w:t>
      </w:r>
    </w:p>
    <w:p w14:paraId="25B76FC3" w14:textId="77777777" w:rsidR="00740E5C" w:rsidRPr="00ED0894" w:rsidRDefault="00740E5C" w:rsidP="00740E5C">
      <w:pPr>
        <w:spacing w:line="276" w:lineRule="auto"/>
        <w:ind w:firstLine="709"/>
        <w:jc w:val="both"/>
        <w:rPr>
          <w:rFonts w:ascii="Arial" w:hAnsi="Arial" w:cs="Arial"/>
        </w:rPr>
      </w:pPr>
    </w:p>
    <w:p w14:paraId="09474790" w14:textId="77777777" w:rsidR="00740E5C" w:rsidRPr="00ED0894" w:rsidRDefault="00740E5C" w:rsidP="00740E5C">
      <w:pPr>
        <w:keepNext/>
        <w:spacing w:after="120"/>
        <w:ind w:left="709" w:right="709"/>
        <w:outlineLvl w:val="1"/>
        <w:rPr>
          <w:rFonts w:ascii="Arial" w:hAnsi="Arial" w:cs="Arial"/>
          <w:b/>
          <w:sz w:val="21"/>
          <w:szCs w:val="21"/>
          <w:lang w:eastAsia="es-CO"/>
        </w:rPr>
      </w:pPr>
      <w:bookmarkStart w:id="20" w:name="_Toc32096843"/>
      <w:bookmarkStart w:id="21" w:name="_Toc32144836"/>
      <w:r w:rsidRPr="00ED0894">
        <w:rPr>
          <w:rFonts w:ascii="Arial" w:hAnsi="Arial" w:cs="Arial"/>
          <w:b/>
          <w:sz w:val="21"/>
          <w:szCs w:val="21"/>
          <w:lang w:eastAsia="es-CO"/>
        </w:rPr>
        <w:t>3.10. CAPACIDAD RESIDUAL</w:t>
      </w:r>
      <w:bookmarkEnd w:id="20"/>
      <w:bookmarkEnd w:id="21"/>
      <w:r w:rsidRPr="00ED0894">
        <w:rPr>
          <w:rFonts w:ascii="Arial" w:hAnsi="Arial" w:cs="Arial"/>
          <w:b/>
          <w:sz w:val="21"/>
          <w:szCs w:val="21"/>
          <w:lang w:eastAsia="es-CO"/>
        </w:rPr>
        <w:t xml:space="preserve"> </w:t>
      </w:r>
    </w:p>
    <w:p w14:paraId="0E9120E1" w14:textId="77777777" w:rsidR="00740E5C" w:rsidRPr="00ED0894" w:rsidRDefault="00740E5C" w:rsidP="00740E5C">
      <w:pPr>
        <w:widowControl w:val="0"/>
        <w:ind w:left="709" w:right="709"/>
        <w:jc w:val="both"/>
        <w:rPr>
          <w:rFonts w:ascii="Arial" w:eastAsia="Arial" w:hAnsi="Arial" w:cs="Arial"/>
          <w:sz w:val="21"/>
          <w:szCs w:val="21"/>
        </w:rPr>
      </w:pP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Proponente</w:t>
      </w:r>
      <w:r w:rsidRPr="00ED0894">
        <w:rPr>
          <w:rFonts w:ascii="Arial" w:eastAsia="Arial" w:hAnsi="Arial" w:cs="Arial"/>
          <w:sz w:val="21"/>
          <w:szCs w:val="21"/>
        </w:rPr>
        <w:t xml:space="preserve"> </w:t>
      </w:r>
      <w:r w:rsidRPr="00ED0894">
        <w:rPr>
          <w:rFonts w:ascii="Arial" w:hAnsi="Arial" w:cs="Arial"/>
          <w:sz w:val="21"/>
          <w:szCs w:val="21"/>
        </w:rPr>
        <w:t>será</w:t>
      </w:r>
      <w:r w:rsidRPr="00ED0894">
        <w:rPr>
          <w:rFonts w:ascii="Arial" w:eastAsia="Arial" w:hAnsi="Arial" w:cs="Arial"/>
          <w:sz w:val="21"/>
          <w:szCs w:val="21"/>
        </w:rPr>
        <w:t xml:space="preserve"> </w:t>
      </w:r>
      <w:r w:rsidRPr="00ED0894">
        <w:rPr>
          <w:rFonts w:ascii="Arial" w:hAnsi="Arial" w:cs="Arial"/>
          <w:sz w:val="21"/>
          <w:szCs w:val="21"/>
        </w:rPr>
        <w:t>hábil</w:t>
      </w:r>
      <w:r w:rsidRPr="00ED0894">
        <w:rPr>
          <w:rFonts w:ascii="Arial" w:eastAsia="Arial" w:hAnsi="Arial" w:cs="Arial"/>
          <w:sz w:val="21"/>
          <w:szCs w:val="21"/>
        </w:rPr>
        <w:t xml:space="preserve"> </w:t>
      </w:r>
      <w:r w:rsidRPr="00ED0894">
        <w:rPr>
          <w:rFonts w:ascii="Arial" w:hAnsi="Arial" w:cs="Arial"/>
          <w:sz w:val="21"/>
          <w:szCs w:val="21"/>
        </w:rPr>
        <w:t>si</w:t>
      </w:r>
      <w:r w:rsidRPr="00ED0894">
        <w:rPr>
          <w:rFonts w:ascii="Arial" w:eastAsia="Arial" w:hAnsi="Arial" w:cs="Arial"/>
          <w:sz w:val="21"/>
          <w:szCs w:val="21"/>
        </w:rPr>
        <w:t xml:space="preserve"> </w:t>
      </w:r>
      <w:r w:rsidRPr="00ED0894">
        <w:rPr>
          <w:rFonts w:ascii="Arial" w:hAnsi="Arial" w:cs="Arial"/>
          <w:sz w:val="21"/>
          <w:szCs w:val="21"/>
        </w:rPr>
        <w:t>la</w:t>
      </w:r>
      <w:r w:rsidRPr="00ED0894">
        <w:rPr>
          <w:rFonts w:ascii="Arial" w:eastAsia="Arial" w:hAnsi="Arial" w:cs="Arial"/>
          <w:sz w:val="21"/>
          <w:szCs w:val="21"/>
        </w:rPr>
        <w:t xml:space="preserve"> </w:t>
      </w:r>
      <w:r w:rsidRPr="00ED0894">
        <w:rPr>
          <w:rFonts w:ascii="Arial" w:hAnsi="Arial" w:cs="Arial"/>
          <w:sz w:val="21"/>
          <w:szCs w:val="21"/>
        </w:rPr>
        <w:t>capacidad</w:t>
      </w:r>
      <w:r w:rsidRPr="00ED0894">
        <w:rPr>
          <w:rFonts w:ascii="Arial" w:eastAsia="Arial" w:hAnsi="Arial" w:cs="Arial"/>
          <w:sz w:val="21"/>
          <w:szCs w:val="21"/>
        </w:rPr>
        <w:t xml:space="preserve"> </w:t>
      </w:r>
      <w:r w:rsidRPr="00ED0894">
        <w:rPr>
          <w:rFonts w:ascii="Arial" w:hAnsi="Arial" w:cs="Arial"/>
          <w:sz w:val="21"/>
          <w:szCs w:val="21"/>
        </w:rPr>
        <w:t>residual</w:t>
      </w:r>
      <w:r w:rsidRPr="00ED0894">
        <w:rPr>
          <w:rFonts w:ascii="Arial" w:eastAsia="Arial" w:hAnsi="Arial" w:cs="Arial"/>
          <w:sz w:val="21"/>
          <w:szCs w:val="21"/>
        </w:rPr>
        <w:t xml:space="preserve"> </w:t>
      </w:r>
      <w:r w:rsidRPr="00ED0894">
        <w:rPr>
          <w:rFonts w:ascii="Arial" w:hAnsi="Arial" w:cs="Arial"/>
          <w:sz w:val="21"/>
          <w:szCs w:val="21"/>
        </w:rPr>
        <w:t>del</w:t>
      </w:r>
      <w:r w:rsidRPr="00ED0894">
        <w:rPr>
          <w:rFonts w:ascii="Arial" w:eastAsia="Arial" w:hAnsi="Arial" w:cs="Arial"/>
          <w:sz w:val="21"/>
          <w:szCs w:val="21"/>
        </w:rPr>
        <w:t xml:space="preserve"> </w:t>
      </w:r>
      <w:r w:rsidRPr="00ED0894">
        <w:rPr>
          <w:rFonts w:ascii="Arial" w:hAnsi="Arial" w:cs="Arial"/>
          <w:sz w:val="21"/>
          <w:szCs w:val="21"/>
        </w:rPr>
        <w:t>Proponente</w:t>
      </w:r>
      <w:r w:rsidRPr="00ED0894">
        <w:rPr>
          <w:rFonts w:ascii="Arial" w:eastAsia="Arial" w:hAnsi="Arial" w:cs="Arial"/>
          <w:sz w:val="21"/>
          <w:szCs w:val="21"/>
        </w:rPr>
        <w:t xml:space="preserve"> </w:t>
      </w:r>
      <w:r w:rsidRPr="00ED0894">
        <w:rPr>
          <w:rFonts w:ascii="Arial" w:hAnsi="Arial" w:cs="Arial"/>
          <w:sz w:val="21"/>
          <w:szCs w:val="21"/>
        </w:rPr>
        <w:t>(CRP)</w:t>
      </w:r>
      <w:r w:rsidRPr="00ED0894">
        <w:rPr>
          <w:rFonts w:ascii="Arial" w:eastAsia="Arial" w:hAnsi="Arial" w:cs="Arial"/>
          <w:sz w:val="21"/>
          <w:szCs w:val="21"/>
        </w:rPr>
        <w:t xml:space="preserve"> </w:t>
      </w:r>
      <w:r w:rsidRPr="00ED0894">
        <w:rPr>
          <w:rFonts w:ascii="Arial" w:hAnsi="Arial" w:cs="Arial"/>
          <w:sz w:val="21"/>
          <w:szCs w:val="21"/>
        </w:rPr>
        <w:t>es</w:t>
      </w:r>
      <w:r w:rsidRPr="00ED0894">
        <w:rPr>
          <w:rFonts w:ascii="Arial" w:eastAsia="Arial" w:hAnsi="Arial" w:cs="Arial"/>
          <w:sz w:val="21"/>
          <w:szCs w:val="21"/>
        </w:rPr>
        <w:t xml:space="preserve"> </w:t>
      </w:r>
      <w:r w:rsidRPr="00ED0894">
        <w:rPr>
          <w:rFonts w:ascii="Arial" w:hAnsi="Arial" w:cs="Arial"/>
          <w:sz w:val="21"/>
          <w:szCs w:val="21"/>
        </w:rPr>
        <w:t>mayor</w:t>
      </w:r>
      <w:r w:rsidRPr="00ED0894">
        <w:rPr>
          <w:rFonts w:ascii="Arial" w:eastAsia="Arial" w:hAnsi="Arial" w:cs="Arial"/>
          <w:sz w:val="21"/>
          <w:szCs w:val="21"/>
        </w:rPr>
        <w:t xml:space="preserve"> </w:t>
      </w:r>
      <w:r w:rsidRPr="00ED0894">
        <w:rPr>
          <w:rFonts w:ascii="Arial" w:hAnsi="Arial" w:cs="Arial"/>
          <w:sz w:val="21"/>
          <w:szCs w:val="21"/>
        </w:rPr>
        <w:t>o</w:t>
      </w:r>
      <w:r w:rsidRPr="00ED0894">
        <w:rPr>
          <w:rFonts w:ascii="Arial" w:eastAsia="Arial" w:hAnsi="Arial" w:cs="Arial"/>
          <w:sz w:val="21"/>
          <w:szCs w:val="21"/>
        </w:rPr>
        <w:t xml:space="preserve"> </w:t>
      </w:r>
      <w:r w:rsidRPr="00ED0894">
        <w:rPr>
          <w:rFonts w:ascii="Arial" w:hAnsi="Arial" w:cs="Arial"/>
          <w:sz w:val="21"/>
          <w:szCs w:val="21"/>
        </w:rPr>
        <w:t>igual</w:t>
      </w:r>
      <w:r w:rsidRPr="00ED0894">
        <w:rPr>
          <w:rFonts w:ascii="Arial" w:eastAsia="Arial" w:hAnsi="Arial" w:cs="Arial"/>
          <w:sz w:val="21"/>
          <w:szCs w:val="21"/>
        </w:rPr>
        <w:t xml:space="preserve"> </w:t>
      </w:r>
      <w:r w:rsidRPr="00ED0894">
        <w:rPr>
          <w:rFonts w:ascii="Arial" w:hAnsi="Arial" w:cs="Arial"/>
          <w:sz w:val="21"/>
          <w:szCs w:val="21"/>
        </w:rPr>
        <w:t>a</w:t>
      </w:r>
      <w:r w:rsidRPr="00ED0894">
        <w:rPr>
          <w:rFonts w:ascii="Arial" w:eastAsia="Arial" w:hAnsi="Arial" w:cs="Arial"/>
          <w:sz w:val="21"/>
          <w:szCs w:val="21"/>
        </w:rPr>
        <w:t xml:space="preserve"> </w:t>
      </w:r>
      <w:r w:rsidRPr="00ED0894">
        <w:rPr>
          <w:rFonts w:ascii="Arial" w:hAnsi="Arial" w:cs="Arial"/>
          <w:sz w:val="21"/>
          <w:szCs w:val="21"/>
        </w:rPr>
        <w:t>la</w:t>
      </w:r>
      <w:r w:rsidRPr="00ED0894">
        <w:rPr>
          <w:rFonts w:ascii="Arial" w:eastAsia="Arial" w:hAnsi="Arial" w:cs="Arial"/>
          <w:sz w:val="21"/>
          <w:szCs w:val="21"/>
        </w:rPr>
        <w:t xml:space="preserve"> </w:t>
      </w:r>
      <w:r w:rsidRPr="00ED0894">
        <w:rPr>
          <w:rFonts w:ascii="Arial" w:hAnsi="Arial" w:cs="Arial"/>
          <w:sz w:val="21"/>
          <w:szCs w:val="21"/>
        </w:rPr>
        <w:t>capacidad</w:t>
      </w:r>
      <w:r w:rsidRPr="00ED0894">
        <w:rPr>
          <w:rFonts w:ascii="Arial" w:eastAsia="Arial" w:hAnsi="Arial" w:cs="Arial"/>
          <w:sz w:val="21"/>
          <w:szCs w:val="21"/>
        </w:rPr>
        <w:t xml:space="preserve"> </w:t>
      </w:r>
      <w:r w:rsidRPr="00ED0894">
        <w:rPr>
          <w:rFonts w:ascii="Arial" w:hAnsi="Arial" w:cs="Arial"/>
          <w:sz w:val="21"/>
          <w:szCs w:val="21"/>
        </w:rPr>
        <w:t>residual</w:t>
      </w:r>
      <w:r w:rsidRPr="00ED0894">
        <w:rPr>
          <w:rFonts w:ascii="Arial" w:eastAsia="Arial" w:hAnsi="Arial" w:cs="Arial"/>
          <w:sz w:val="21"/>
          <w:szCs w:val="21"/>
        </w:rPr>
        <w:t xml:space="preserve"> </w:t>
      </w:r>
      <w:r w:rsidRPr="00ED0894">
        <w:rPr>
          <w:rFonts w:ascii="Arial" w:hAnsi="Arial" w:cs="Arial"/>
          <w:sz w:val="21"/>
          <w:szCs w:val="21"/>
        </w:rPr>
        <w:t>de</w:t>
      </w:r>
      <w:r w:rsidRPr="00ED0894">
        <w:rPr>
          <w:rFonts w:ascii="Arial" w:eastAsia="Arial" w:hAnsi="Arial" w:cs="Arial"/>
          <w:sz w:val="21"/>
          <w:szCs w:val="21"/>
        </w:rPr>
        <w:t xml:space="preserve"> </w:t>
      </w:r>
      <w:r w:rsidRPr="00ED0894">
        <w:rPr>
          <w:rFonts w:ascii="Arial" w:hAnsi="Arial" w:cs="Arial"/>
          <w:sz w:val="21"/>
          <w:szCs w:val="21"/>
        </w:rPr>
        <w:t>Proceso de Contratación</w:t>
      </w:r>
      <w:r w:rsidRPr="00ED0894">
        <w:rPr>
          <w:rFonts w:ascii="Arial" w:eastAsia="Arial" w:hAnsi="Arial" w:cs="Arial"/>
          <w:sz w:val="21"/>
          <w:szCs w:val="21"/>
        </w:rPr>
        <w:t xml:space="preserve"> </w:t>
      </w:r>
      <w:r w:rsidRPr="00ED0894">
        <w:rPr>
          <w:rFonts w:ascii="Arial" w:hAnsi="Arial" w:cs="Arial"/>
          <w:sz w:val="21"/>
          <w:szCs w:val="21"/>
        </w:rPr>
        <w:t>(CRPC).</w:t>
      </w:r>
      <w:r w:rsidRPr="00ED0894">
        <w:rPr>
          <w:rFonts w:ascii="Arial" w:eastAsia="Arial" w:hAnsi="Arial" w:cs="Arial"/>
          <w:sz w:val="21"/>
          <w:szCs w:val="21"/>
        </w:rPr>
        <w:t xml:space="preserve"> </w:t>
      </w:r>
      <w:r w:rsidRPr="00ED0894">
        <w:rPr>
          <w:rFonts w:ascii="Arial" w:hAnsi="Arial" w:cs="Arial"/>
          <w:sz w:val="21"/>
          <w:szCs w:val="21"/>
        </w:rPr>
        <w:t>Así:</w:t>
      </w:r>
      <w:r w:rsidRPr="00ED0894">
        <w:rPr>
          <w:rFonts w:ascii="Arial" w:eastAsia="Arial" w:hAnsi="Arial" w:cs="Arial"/>
          <w:sz w:val="21"/>
          <w:szCs w:val="21"/>
        </w:rPr>
        <w:t xml:space="preserve"> </w:t>
      </w:r>
    </w:p>
    <w:p w14:paraId="70A708BD" w14:textId="77777777" w:rsidR="00740E5C" w:rsidRPr="00ED0894" w:rsidRDefault="00740E5C" w:rsidP="00740E5C">
      <w:pPr>
        <w:widowControl w:val="0"/>
        <w:ind w:left="709" w:right="709"/>
        <w:jc w:val="both"/>
        <w:rPr>
          <w:rFonts w:ascii="Arial" w:eastAsia="Arial" w:hAnsi="Arial" w:cs="Arial"/>
          <w:sz w:val="21"/>
          <w:szCs w:val="21"/>
        </w:rPr>
      </w:pPr>
    </w:p>
    <w:p w14:paraId="530732EB" w14:textId="77777777" w:rsidR="00740E5C" w:rsidRPr="00ED0894" w:rsidRDefault="00740E5C" w:rsidP="00740E5C">
      <w:pPr>
        <w:widowControl w:val="0"/>
        <w:ind w:left="709" w:right="709"/>
        <w:jc w:val="center"/>
        <w:rPr>
          <w:rFonts w:ascii="Arial" w:eastAsiaTheme="minorEastAsia" w:hAnsi="Arial" w:cs="Arial"/>
          <w:sz w:val="21"/>
          <w:szCs w:val="21"/>
        </w:rPr>
      </w:pPr>
      <m:oMathPara>
        <m:oMath>
          <m:r>
            <w:rPr>
              <w:rFonts w:ascii="Cambria Math" w:hAnsi="Cambria Math" w:cs="Arial"/>
              <w:sz w:val="21"/>
              <w:szCs w:val="21"/>
            </w:rPr>
            <m:t>CRP ≥CRPC</m:t>
          </m:r>
        </m:oMath>
      </m:oMathPara>
    </w:p>
    <w:p w14:paraId="56394FBD" w14:textId="77777777" w:rsidR="00740E5C" w:rsidRPr="00ED0894" w:rsidRDefault="00740E5C" w:rsidP="00740E5C">
      <w:pPr>
        <w:widowControl w:val="0"/>
        <w:ind w:left="709" w:right="709"/>
        <w:jc w:val="center"/>
        <w:rPr>
          <w:rFonts w:ascii="Arial" w:hAnsi="Arial" w:cs="Arial"/>
          <w:sz w:val="21"/>
          <w:szCs w:val="21"/>
        </w:rPr>
      </w:pPr>
    </w:p>
    <w:p w14:paraId="6FB4F4DA" w14:textId="77777777" w:rsidR="00740E5C" w:rsidRPr="00ED0894" w:rsidRDefault="00740E5C" w:rsidP="00740E5C">
      <w:pPr>
        <w:widowControl w:val="0"/>
        <w:spacing w:after="120"/>
        <w:ind w:left="709" w:right="709"/>
        <w:jc w:val="both"/>
        <w:rPr>
          <w:rFonts w:ascii="Arial" w:eastAsia="Arial" w:hAnsi="Arial" w:cs="Arial"/>
          <w:sz w:val="21"/>
          <w:szCs w:val="21"/>
        </w:rPr>
      </w:pPr>
      <w:r w:rsidRPr="00ED0894">
        <w:rPr>
          <w:rFonts w:ascii="Arial" w:hAnsi="Arial" w:cs="Arial"/>
          <w:sz w:val="21"/>
          <w:szCs w:val="21"/>
        </w:rPr>
        <w:t xml:space="preserve">Los Proponentes acreditarán la capacidad residual o K de contratación conforme se describe a continuación. </w:t>
      </w:r>
      <w:r w:rsidRPr="00ED0894">
        <w:rPr>
          <w:rFonts w:ascii="Arial" w:hAnsi="Arial" w:cs="Arial"/>
          <w:i/>
          <w:iCs/>
          <w:sz w:val="21"/>
          <w:szCs w:val="21"/>
          <w:lang w:val="es-MX"/>
        </w:rPr>
        <w:t>En todo caso, si con posterioridad al cierre del proceso cualquier interesado, durante el traslado del informe de evaluación, o la entidad, en uso de la potestad verificadora, advierte que se dejó de incluir, al cierre del proceso, por parte de un proponente, alguna información contractual que afecte su capacidad residual, la entidad rechazará la oferta</w:t>
      </w:r>
      <w:r w:rsidRPr="00ED0894">
        <w:rPr>
          <w:rFonts w:ascii="Arial" w:hAnsi="Arial" w:cs="Arial"/>
          <w:sz w:val="21"/>
          <w:szCs w:val="21"/>
        </w:rPr>
        <w:t xml:space="preserve">. </w:t>
      </w:r>
    </w:p>
    <w:p w14:paraId="0C223E51" w14:textId="77777777" w:rsidR="00740E5C" w:rsidRPr="00ED0894" w:rsidRDefault="00740E5C" w:rsidP="00740E5C">
      <w:pPr>
        <w:widowControl w:val="0"/>
        <w:spacing w:after="120"/>
        <w:ind w:left="709" w:right="709"/>
        <w:jc w:val="both"/>
        <w:rPr>
          <w:rFonts w:ascii="Arial" w:hAnsi="Arial" w:cs="Arial"/>
          <w:sz w:val="21"/>
          <w:szCs w:val="21"/>
        </w:rPr>
      </w:pPr>
      <w:r w:rsidRPr="00ED0894">
        <w:rPr>
          <w:rFonts w:ascii="Arial" w:hAnsi="Arial" w:cs="Arial"/>
          <w:sz w:val="21"/>
          <w:szCs w:val="21"/>
        </w:rPr>
        <w:t>Lo anterior, sin perjuicio de las acciones administrativas y/o judiciales a que haya lugar, en contra de la (s) persona (s) que haya (n) suscrito las certificaciones exigidas para el cálculo de la capacidad residual.</w:t>
      </w:r>
    </w:p>
    <w:p w14:paraId="18BD6B4A" w14:textId="77777777" w:rsidR="00740E5C" w:rsidRPr="00ED0894" w:rsidRDefault="00740E5C" w:rsidP="00740E5C">
      <w:pPr>
        <w:widowControl w:val="0"/>
        <w:ind w:left="709" w:right="709"/>
        <w:jc w:val="both"/>
        <w:rPr>
          <w:rFonts w:ascii="Arial" w:hAnsi="Arial" w:cs="Arial"/>
          <w:sz w:val="21"/>
          <w:szCs w:val="21"/>
        </w:rPr>
      </w:pPr>
      <w:r w:rsidRPr="00ED0894">
        <w:rPr>
          <w:rFonts w:ascii="Arial" w:hAnsi="Arial" w:cs="Arial"/>
          <w:sz w:val="21"/>
          <w:szCs w:val="21"/>
        </w:rPr>
        <w:t xml:space="preserve">[…] (Énfasis fuera de texto) </w:t>
      </w:r>
    </w:p>
    <w:p w14:paraId="35C9C2C3" w14:textId="77777777" w:rsidR="00740E5C" w:rsidRPr="00ED0894" w:rsidRDefault="00740E5C" w:rsidP="00740E5C">
      <w:pPr>
        <w:widowControl w:val="0"/>
        <w:spacing w:line="276" w:lineRule="auto"/>
        <w:ind w:right="709"/>
        <w:jc w:val="both"/>
        <w:rPr>
          <w:rFonts w:ascii="Arial" w:hAnsi="Arial" w:cs="Arial"/>
        </w:rPr>
      </w:pPr>
    </w:p>
    <w:p w14:paraId="18417441" w14:textId="77777777" w:rsidR="00740E5C" w:rsidRPr="00AC57DD" w:rsidRDefault="00740E5C" w:rsidP="00740E5C">
      <w:pPr>
        <w:spacing w:before="120" w:after="120" w:line="276" w:lineRule="auto"/>
        <w:ind w:firstLine="708"/>
        <w:jc w:val="both"/>
        <w:rPr>
          <w:rFonts w:ascii="Arial" w:eastAsiaTheme="minorEastAsia" w:hAnsi="Arial" w:cs="Arial"/>
          <w:sz w:val="22"/>
          <w:szCs w:val="22"/>
          <w:lang w:eastAsia="es-CO"/>
        </w:rPr>
      </w:pPr>
      <w:bookmarkStart w:id="22" w:name="_Hlk81551358"/>
      <w:r w:rsidRPr="00AC57DD">
        <w:rPr>
          <w:rStyle w:val="normaltextrun"/>
          <w:rFonts w:ascii="Arial" w:hAnsi="Arial" w:cs="Arial"/>
          <w:color w:val="000000"/>
          <w:sz w:val="22"/>
          <w:szCs w:val="22"/>
          <w:shd w:val="clear" w:color="auto" w:fill="FFFFFF"/>
        </w:rPr>
        <w:t xml:space="preserve">De conformidad con esta regla, el rechazo de la oferta procede cuando en ejercicio de la potestad verificadora se advierta que se dejó de incluir información que afecta la capacidad residual del proponente, esto es, la referente a contratos de obra en ejecución. </w:t>
      </w:r>
      <w:r w:rsidRPr="00AC57DD">
        <w:rPr>
          <w:rFonts w:ascii="Arial" w:hAnsi="Arial" w:cs="Arial"/>
          <w:sz w:val="22"/>
          <w:szCs w:val="22"/>
        </w:rPr>
        <w:t xml:space="preserve">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 </w:t>
      </w:r>
      <w:bookmarkEnd w:id="22"/>
      <w:r w:rsidRPr="00AC57DD">
        <w:rPr>
          <w:rFonts w:ascii="Arial" w:hAnsi="Arial" w:cs="Arial"/>
          <w:sz w:val="22"/>
          <w:szCs w:val="22"/>
        </w:rPr>
        <w:t>Esto concuerda con la causal de rechazo prevista en el literal «H» del numeral 1.15 del documento base, el cual autoriza el rechazo de la propuesta en el evento en «</w:t>
      </w:r>
      <w:r w:rsidRPr="00AC57DD">
        <w:rPr>
          <w:rFonts w:ascii="Arial" w:eastAsia="Arial" w:hAnsi="Arial" w:cs="Arial"/>
          <w:sz w:val="22"/>
          <w:szCs w:val="22"/>
          <w:lang w:eastAsia="es-CO"/>
        </w:rPr>
        <w:t>Que</w:t>
      </w:r>
      <w:r w:rsidRPr="00AC57DD">
        <w:rPr>
          <w:rFonts w:ascii="Arial" w:eastAsia="Arial,Calibri" w:hAnsi="Arial" w:cs="Arial"/>
          <w:sz w:val="22"/>
          <w:szCs w:val="22"/>
          <w:lang w:eastAsia="es-CO"/>
        </w:rPr>
        <w:t xml:space="preserve"> </w:t>
      </w:r>
      <w:r w:rsidRPr="00AC57DD">
        <w:rPr>
          <w:rFonts w:ascii="Arial" w:eastAsia="Arial" w:hAnsi="Arial" w:cs="Arial"/>
          <w:sz w:val="22"/>
          <w:szCs w:val="22"/>
          <w:lang w:eastAsia="es-CO"/>
        </w:rPr>
        <w:t>el</w:t>
      </w:r>
      <w:r w:rsidRPr="00AC57DD">
        <w:rPr>
          <w:rFonts w:ascii="Arial" w:eastAsia="Arial,Calibri" w:hAnsi="Arial" w:cs="Arial"/>
          <w:sz w:val="22"/>
          <w:szCs w:val="22"/>
          <w:lang w:eastAsia="es-CO"/>
        </w:rPr>
        <w:t xml:space="preserve"> </w:t>
      </w:r>
      <w:r w:rsidRPr="00AC57DD">
        <w:rPr>
          <w:rFonts w:ascii="Arial" w:eastAsia="Arial" w:hAnsi="Arial" w:cs="Arial"/>
          <w:sz w:val="22"/>
          <w:szCs w:val="22"/>
          <w:lang w:eastAsia="es-CO"/>
        </w:rPr>
        <w:t>Proponente</w:t>
      </w:r>
      <w:r w:rsidRPr="00AC57DD">
        <w:rPr>
          <w:rFonts w:ascii="Arial" w:eastAsia="Arial,Calibri" w:hAnsi="Arial" w:cs="Arial"/>
          <w:sz w:val="22"/>
          <w:szCs w:val="22"/>
          <w:lang w:eastAsia="es-CO"/>
        </w:rPr>
        <w:t xml:space="preserve"> </w:t>
      </w:r>
      <w:r w:rsidRPr="00AC57DD">
        <w:rPr>
          <w:rFonts w:ascii="Arial" w:eastAsia="Arial" w:hAnsi="Arial" w:cs="Arial"/>
          <w:sz w:val="22"/>
          <w:szCs w:val="22"/>
          <w:lang w:eastAsia="es-CO"/>
        </w:rPr>
        <w:t xml:space="preserve">aporte información inexacta </w:t>
      </w:r>
      <w:r w:rsidRPr="00AC57DD">
        <w:rPr>
          <w:rFonts w:ascii="Arial" w:eastAsiaTheme="minorEastAsia" w:hAnsi="Arial" w:cs="Arial"/>
          <w:sz w:val="22"/>
          <w:szCs w:val="22"/>
          <w:lang w:eastAsia="es-CO"/>
        </w:rPr>
        <w:t>sobre la cual pueda existir una posible falsedad</w:t>
      </w:r>
      <w:r w:rsidRPr="00AC57DD" w:rsidDel="003061D1">
        <w:rPr>
          <w:rFonts w:ascii="Arial" w:eastAsiaTheme="minorEastAsia" w:hAnsi="Arial" w:cs="Arial"/>
          <w:sz w:val="22"/>
          <w:szCs w:val="22"/>
          <w:lang w:eastAsia="es-CO"/>
        </w:rPr>
        <w:t xml:space="preserve"> </w:t>
      </w:r>
      <w:r w:rsidRPr="00AC57DD">
        <w:rPr>
          <w:rFonts w:ascii="Arial" w:eastAsiaTheme="minorEastAsia" w:hAnsi="Arial" w:cs="Arial"/>
          <w:sz w:val="22"/>
          <w:szCs w:val="22"/>
          <w:lang w:eastAsia="es-CO"/>
        </w:rPr>
        <w:t>en los términos de la sección 1.11».</w:t>
      </w:r>
    </w:p>
    <w:p w14:paraId="2215AB0C" w14:textId="4F33FBB9" w:rsidR="00740E5C" w:rsidRDefault="00740E5C" w:rsidP="00740E5C">
      <w:pPr>
        <w:spacing w:before="120" w:after="120" w:line="276" w:lineRule="auto"/>
        <w:ind w:firstLine="708"/>
        <w:jc w:val="both"/>
        <w:rPr>
          <w:rFonts w:ascii="Arial" w:hAnsi="Arial" w:cs="Arial"/>
          <w:sz w:val="22"/>
          <w:szCs w:val="22"/>
        </w:rPr>
      </w:pPr>
      <w:r w:rsidRPr="00AC57DD">
        <w:rPr>
          <w:rFonts w:ascii="Arial" w:hAnsi="Arial" w:cs="Arial"/>
          <w:sz w:val="22"/>
          <w:szCs w:val="22"/>
        </w:rPr>
        <w:t xml:space="preserve">Según lo expuesto, al verificarse que el proponente no incluyó información contractual que afecte su capacidad residual, la entidad no estará en posición de solicitar </w:t>
      </w:r>
      <w:r w:rsidRPr="00AC57DD">
        <w:rPr>
          <w:rFonts w:ascii="Arial" w:hAnsi="Arial" w:cs="Arial"/>
          <w:sz w:val="22"/>
          <w:szCs w:val="22"/>
        </w:rPr>
        <w:lastRenderedPageBreak/>
        <w:t>aclaraciones, o acudir al régimen de subsanabilidad de ofertas</w:t>
      </w:r>
      <w:r w:rsidRPr="00AC57DD">
        <w:rPr>
          <w:rFonts w:ascii="Arial" w:hAnsi="Arial" w:cs="Arial"/>
          <w:sz w:val="22"/>
          <w:szCs w:val="22"/>
          <w:vertAlign w:val="superscript"/>
        </w:rPr>
        <w:footnoteReference w:id="5"/>
      </w:r>
      <w:r w:rsidRPr="00AC57DD">
        <w:rPr>
          <w:rFonts w:ascii="Arial" w:hAnsi="Arial" w:cs="Arial"/>
          <w:sz w:val="22"/>
          <w:szCs w:val="22"/>
        </w:rPr>
        <w:t>. Esto en la medida que tal circunstancia constituye una causal de rechazo en los términos de los literales H y Z del numeral 1.15 del documento base, las cuales deberán analizar, caso a caso, las entidades contratantes conforme a los parámetros antes mencionados.</w:t>
      </w:r>
    </w:p>
    <w:p w14:paraId="184CB7DC" w14:textId="6587BE2B" w:rsidR="007630EA" w:rsidRPr="00AC57DD" w:rsidRDefault="007630EA" w:rsidP="00740E5C">
      <w:pPr>
        <w:spacing w:before="120" w:after="120" w:line="276" w:lineRule="auto"/>
        <w:ind w:firstLine="708"/>
        <w:jc w:val="both"/>
        <w:rPr>
          <w:rFonts w:ascii="Arial" w:hAnsi="Arial" w:cs="Arial"/>
          <w:sz w:val="22"/>
          <w:szCs w:val="22"/>
        </w:rPr>
      </w:pPr>
      <w:r w:rsidRPr="00137859">
        <w:rPr>
          <w:rFonts w:ascii="Arial" w:eastAsia="Calibri" w:hAnsi="Arial" w:cs="Arial"/>
          <w:sz w:val="22"/>
          <w:szCs w:val="22"/>
          <w:lang w:eastAsia="en-US"/>
        </w:rPr>
        <w:t>Re</w:t>
      </w:r>
      <w:r>
        <w:rPr>
          <w:rFonts w:ascii="Arial" w:eastAsia="Calibri" w:hAnsi="Arial" w:cs="Arial"/>
          <w:sz w:val="22"/>
          <w:szCs w:val="22"/>
          <w:lang w:eastAsia="en-US"/>
        </w:rPr>
        <w:t>iterando</w:t>
      </w:r>
      <w:r w:rsidRPr="00137859">
        <w:rPr>
          <w:rFonts w:ascii="Arial" w:eastAsia="Calibri" w:hAnsi="Arial" w:cs="Arial"/>
          <w:sz w:val="22"/>
          <w:szCs w:val="22"/>
          <w:lang w:eastAsia="en-US"/>
        </w:rPr>
        <w:t xml:space="preserve"> tesis de conceptos anteriores de esta Agencia, debe precisarse que la información omitida afectará la capacidad residual, en aquellos eventos que se refiera a contratos de obra que no solo hayan sido adjudicados al proponente, sino que se requiere que los mismos estuviesen en ejecución al momento del cierre, incluyendo los contratos suspendidos y aquellos que no tengan acta de inicio. En efecto, como se expuso en el acápite anterior, la Guía para Determinar y Verificar la Capacidad Residual del Proponente en los Procesos de Contratación de Obra Pública</w:t>
      </w:r>
      <w:r w:rsidRPr="00137859">
        <w:rPr>
          <w:rFonts w:ascii="Arial" w:eastAsia="Calibri" w:hAnsi="Arial" w:cs="Arial"/>
          <w:i/>
          <w:iCs/>
          <w:sz w:val="22"/>
          <w:szCs w:val="22"/>
          <w:lang w:eastAsia="en-US"/>
        </w:rPr>
        <w:t xml:space="preserve"> </w:t>
      </w:r>
      <w:r w:rsidRPr="00137859">
        <w:rPr>
          <w:rFonts w:ascii="Arial" w:eastAsia="Calibri" w:hAnsi="Arial" w:cs="Arial"/>
          <w:sz w:val="22"/>
          <w:szCs w:val="22"/>
          <w:lang w:eastAsia="en-US"/>
        </w:rPr>
        <w:t>incluye en la definición de contratos en ejecución aquellos que se encuentren suspendidos y que no tengan acta de inicio. Esta misma se recogió en el numeral 3.10.2, literal E, del documento base, el cual señaló que para acreditar el factor «SCE</w:t>
      </w:r>
      <w:r w:rsidRPr="00137859">
        <w:rPr>
          <w:rFonts w:ascii="Arial" w:hAnsi="Arial" w:cs="Arial"/>
          <w:sz w:val="22"/>
          <w:szCs w:val="22"/>
          <w:lang w:eastAsia="es-CO"/>
        </w:rPr>
        <w:t>»</w:t>
      </w:r>
      <w:r w:rsidRPr="00137859">
        <w:rPr>
          <w:rFonts w:ascii="Arial" w:eastAsia="Calibri" w:hAnsi="Arial" w:cs="Arial"/>
          <w:sz w:val="22"/>
          <w:szCs w:val="22"/>
          <w:lang w:eastAsia="en-US"/>
        </w:rPr>
        <w:t xml:space="preserve"> el proponente tendrá en cuenta «los contratos suspendidos y aquellos que no tengan acta de inicio</w:t>
      </w:r>
      <w:r w:rsidRPr="00137859">
        <w:rPr>
          <w:rFonts w:ascii="Arial" w:hAnsi="Arial" w:cs="Arial"/>
          <w:sz w:val="22"/>
          <w:szCs w:val="22"/>
          <w:lang w:eastAsia="es-CO"/>
        </w:rPr>
        <w:t>».</w:t>
      </w:r>
    </w:p>
    <w:p w14:paraId="344F9F23" w14:textId="77777777" w:rsidR="00740E5C" w:rsidRPr="00AC57DD" w:rsidRDefault="00740E5C" w:rsidP="00740E5C">
      <w:pPr>
        <w:spacing w:before="120" w:line="276" w:lineRule="auto"/>
        <w:jc w:val="both"/>
        <w:rPr>
          <w:rFonts w:ascii="Arial" w:hAnsi="Arial" w:cs="Arial"/>
          <w:sz w:val="22"/>
          <w:szCs w:val="22"/>
        </w:rPr>
      </w:pPr>
      <w:r w:rsidRPr="00AC57DD">
        <w:rPr>
          <w:rFonts w:ascii="Arial" w:hAnsi="Arial" w:cs="Arial"/>
          <w:sz w:val="22"/>
          <w:szCs w:val="22"/>
        </w:rPr>
        <w:tab/>
        <w:t xml:space="preserve">En el caso de que el proponente presente la oferta con antelación a la fecha de cierre, informando los contratos que hasta entonces esté ejecutando, pero antes de la fecha de cierre comienza a ejecutar otro nuevo, está en la obligación de reportarlo a la entidad. De lo contrario estaría informando menos contratos, lo que además de afectar el cálculo de su capacidad residual o </w:t>
      </w:r>
      <w:r w:rsidRPr="00AC57DD">
        <w:rPr>
          <w:rFonts w:ascii="Arial" w:hAnsi="Arial" w:cs="Arial"/>
          <w:i/>
          <w:iCs/>
          <w:sz w:val="22"/>
          <w:szCs w:val="22"/>
        </w:rPr>
        <w:t>K</w:t>
      </w:r>
      <w:r w:rsidRPr="00AC57DD">
        <w:rPr>
          <w:rFonts w:ascii="Arial" w:hAnsi="Arial" w:cs="Arial"/>
          <w:sz w:val="22"/>
          <w:szCs w:val="22"/>
        </w:rPr>
        <w:t xml:space="preserve"> de contratación, facultaría a la entidad para rechazar su oferta conforme a la causal Z del numeral 1.15 del documento base o, eventualmente, por la causal del literal H </w:t>
      </w:r>
      <w:r w:rsidRPr="00AC57DD">
        <w:rPr>
          <w:rFonts w:ascii="Arial" w:hAnsi="Arial" w:cs="Arial"/>
          <w:i/>
          <w:sz w:val="22"/>
          <w:szCs w:val="22"/>
        </w:rPr>
        <w:t>ibídem</w:t>
      </w:r>
      <w:r w:rsidRPr="00AC57DD">
        <w:rPr>
          <w:rFonts w:ascii="Arial" w:hAnsi="Arial" w:cs="Arial"/>
          <w:sz w:val="22"/>
          <w:szCs w:val="22"/>
        </w:rPr>
        <w:t>.</w:t>
      </w:r>
    </w:p>
    <w:p w14:paraId="6D98C8E5" w14:textId="5692D795" w:rsidR="00740E5C" w:rsidRDefault="00740E5C" w:rsidP="007F7D47">
      <w:pPr>
        <w:spacing w:before="120" w:after="120" w:line="276" w:lineRule="auto"/>
        <w:jc w:val="both"/>
        <w:rPr>
          <w:rFonts w:ascii="Arial" w:hAnsi="Arial" w:cs="Arial"/>
          <w:bCs/>
          <w:sz w:val="22"/>
          <w:szCs w:val="22"/>
          <w:lang w:val="es-MX"/>
        </w:rPr>
      </w:pPr>
      <w:r w:rsidRPr="00AC57DD">
        <w:rPr>
          <w:rFonts w:ascii="Arial" w:hAnsi="Arial" w:cs="Arial"/>
          <w:sz w:val="22"/>
          <w:szCs w:val="22"/>
        </w:rPr>
        <w:tab/>
        <w:t xml:space="preserve">Ahora bien, en congruencia con lo explicado en el numeral anterior, es importante tener en cuenta que </w:t>
      </w:r>
      <w:r w:rsidRPr="00AC57DD">
        <w:rPr>
          <w:rFonts w:ascii="Arial" w:hAnsi="Arial" w:cs="Arial"/>
          <w:sz w:val="22"/>
          <w:szCs w:val="22"/>
          <w:lang w:val="es-ES"/>
        </w:rPr>
        <w:t>la causal de rechazo del literal Z del numeral 1.15 del pliego aplica por «</w:t>
      </w:r>
      <w:r w:rsidRPr="00AC57DD">
        <w:rPr>
          <w:rFonts w:ascii="Arial" w:hAnsi="Arial" w:cs="Arial"/>
          <w:sz w:val="22"/>
          <w:szCs w:val="22"/>
          <w:lang w:val="es-MX"/>
        </w:rPr>
        <w:t xml:space="preserve">No informar todos los contratos que el Proponente tenga en ejecución antes del cierre, necesarios para acreditar su capacidad residual conforme a la sección 3.10». Para estos efectos, conforme a las definiciones previstas en </w:t>
      </w:r>
      <w:r w:rsidRPr="00AC57DD">
        <w:rPr>
          <w:rFonts w:ascii="Arial" w:hAnsi="Arial" w:cs="Arial"/>
          <w:bCs/>
          <w:sz w:val="22"/>
          <w:szCs w:val="22"/>
          <w:lang w:val="es-ES"/>
        </w:rPr>
        <w:t>la Guía para Determinar y Verificar la Capacidad Residual del Proponente en los Procesos de Contratación de Obra Pública, el numeral II del literal E del numeral 3.10.2 del documento base dispone que «</w:t>
      </w:r>
      <w:r w:rsidRPr="00AC57DD">
        <w:rPr>
          <w:rFonts w:ascii="Arial" w:hAnsi="Arial" w:cs="Arial"/>
          <w:bCs/>
          <w:sz w:val="22"/>
          <w:szCs w:val="22"/>
          <w:lang w:val="es-MX"/>
        </w:rPr>
        <w:t xml:space="preserve">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w:t>
      </w:r>
      <w:r w:rsidRPr="00AC57DD">
        <w:rPr>
          <w:rFonts w:ascii="Arial" w:hAnsi="Arial" w:cs="Arial"/>
          <w:bCs/>
          <w:sz w:val="22"/>
          <w:szCs w:val="22"/>
          <w:lang w:val="es-MX"/>
        </w:rPr>
        <w:lastRenderedPageBreak/>
        <w:t xml:space="preserve">acta de inicio. No se entenderán como contratos en ejecución los que se encuentren en liquidación». </w:t>
      </w:r>
    </w:p>
    <w:p w14:paraId="195FE876" w14:textId="74639C93" w:rsidR="00740E5C" w:rsidRPr="00AC57DD" w:rsidRDefault="00740E5C" w:rsidP="00740E5C">
      <w:pPr>
        <w:spacing w:line="276" w:lineRule="auto"/>
        <w:ind w:firstLine="708"/>
        <w:jc w:val="both"/>
        <w:rPr>
          <w:rFonts w:ascii="Arial" w:hAnsi="Arial" w:cs="Arial"/>
          <w:bCs/>
          <w:sz w:val="22"/>
          <w:szCs w:val="22"/>
          <w:lang w:val="es-MX"/>
        </w:rPr>
      </w:pPr>
      <w:r w:rsidRPr="00AC57DD">
        <w:rPr>
          <w:rFonts w:ascii="Arial" w:hAnsi="Arial" w:cs="Arial"/>
          <w:bCs/>
          <w:sz w:val="22"/>
          <w:szCs w:val="22"/>
          <w:lang w:val="es-MX"/>
        </w:rPr>
        <w:t xml:space="preserve">Como se observa, la definición solo aplica a los </w:t>
      </w:r>
      <w:r w:rsidRPr="00AC57DD">
        <w:rPr>
          <w:rFonts w:ascii="Arial" w:hAnsi="Arial" w:cs="Arial"/>
          <w:bCs/>
          <w:i/>
          <w:iCs/>
          <w:sz w:val="22"/>
          <w:szCs w:val="22"/>
          <w:lang w:val="es-MX"/>
        </w:rPr>
        <w:t>contratos perfeccionados</w:t>
      </w:r>
      <w:r w:rsidRPr="00AC57DD">
        <w:rPr>
          <w:rFonts w:ascii="Arial" w:hAnsi="Arial" w:cs="Arial"/>
          <w:bCs/>
          <w:sz w:val="22"/>
          <w:szCs w:val="22"/>
          <w:lang w:val="es-MX"/>
        </w:rPr>
        <w:t>, aunque estos estén suspendidos o no tengan acta de inicio. Por tanto, están fuera de esta los</w:t>
      </w:r>
      <w:r w:rsidR="00152A7E">
        <w:rPr>
          <w:rFonts w:ascii="Arial" w:hAnsi="Arial" w:cs="Arial"/>
          <w:bCs/>
          <w:sz w:val="22"/>
          <w:szCs w:val="22"/>
          <w:lang w:val="es-MX"/>
        </w:rPr>
        <w:t xml:space="preserve"> procesos de selección </w:t>
      </w:r>
      <w:r w:rsidRPr="00AC57DD">
        <w:rPr>
          <w:rFonts w:ascii="Arial" w:hAnsi="Arial" w:cs="Arial"/>
          <w:bCs/>
          <w:i/>
          <w:iCs/>
          <w:sz w:val="22"/>
          <w:szCs w:val="22"/>
          <w:lang w:val="es-MX"/>
        </w:rPr>
        <w:t>adjudicados</w:t>
      </w:r>
      <w:r w:rsidRPr="00AC57DD">
        <w:rPr>
          <w:rFonts w:ascii="Arial" w:hAnsi="Arial" w:cs="Arial"/>
          <w:bCs/>
          <w:sz w:val="22"/>
          <w:szCs w:val="22"/>
          <w:lang w:val="es-MX"/>
        </w:rPr>
        <w:t xml:space="preserve">, pues –en los términos del artículo 41 de la Ley 80 de 1993– los contratos estatales de las entidades sometidas al Estatuto General de Contratación de la Administración Pública </w:t>
      </w:r>
      <w:r w:rsidRPr="00AC57DD">
        <w:rPr>
          <w:rFonts w:ascii="Arial" w:hAnsi="Arial" w:cs="Arial"/>
          <w:bCs/>
          <w:sz w:val="22"/>
          <w:szCs w:val="22"/>
        </w:rPr>
        <w:t>se perfeccionan cuando se logre acuerdo sobre el objeto y la contraprestación y éste se eleve a escrito</w:t>
      </w:r>
      <w:r w:rsidR="00152A7E">
        <w:rPr>
          <w:rFonts w:ascii="Arial" w:hAnsi="Arial" w:cs="Arial"/>
          <w:bCs/>
          <w:sz w:val="22"/>
          <w:szCs w:val="22"/>
        </w:rPr>
        <w:t>, lo cual ocurre con la suscripción formal del contrato y no con el acto de adjudicación</w:t>
      </w:r>
      <w:r w:rsidRPr="00AC57DD">
        <w:rPr>
          <w:rFonts w:ascii="Arial" w:hAnsi="Arial" w:cs="Arial"/>
          <w:bCs/>
          <w:sz w:val="22"/>
          <w:szCs w:val="22"/>
        </w:rPr>
        <w:t xml:space="preserve">. </w:t>
      </w:r>
      <w:r w:rsidRPr="00AC57DD">
        <w:rPr>
          <w:rFonts w:ascii="Arial" w:hAnsi="Arial" w:cs="Arial"/>
          <w:sz w:val="22"/>
          <w:szCs w:val="22"/>
        </w:rPr>
        <w:t xml:space="preserve">Lo expuesto es congruente con </w:t>
      </w:r>
      <w:r w:rsidRPr="00AC57DD">
        <w:rPr>
          <w:rFonts w:ascii="Arial" w:eastAsia="Calibri" w:hAnsi="Arial" w:cs="Arial"/>
          <w:color w:val="000000" w:themeColor="text1"/>
          <w:sz w:val="22"/>
          <w:szCs w:val="22"/>
          <w:lang w:val="es-MX"/>
        </w:rPr>
        <w:t xml:space="preserve">el artículo 2.2.1.1.1.6.4 del Decreto 1082 de 2015, en virtud del cual, para efectos de </w:t>
      </w:r>
      <w:r w:rsidRPr="00AC57DD">
        <w:rPr>
          <w:rFonts w:ascii="Arial" w:hAnsi="Arial" w:cs="Arial"/>
          <w:sz w:val="22"/>
          <w:szCs w:val="22"/>
          <w:lang w:val="es-MX"/>
        </w:rPr>
        <w:t>acreditar la capacidad residual del proponente, se requiere el listado de contratos de obra civiles en ejecución suscritos con entidades estatales y con entidades privadas.</w:t>
      </w:r>
    </w:p>
    <w:p w14:paraId="0B5723FA" w14:textId="7651A596" w:rsidR="00C32018" w:rsidRDefault="00E54365" w:rsidP="00870412">
      <w:pPr>
        <w:spacing w:before="240" w:line="276" w:lineRule="auto"/>
        <w:ind w:right="79"/>
        <w:jc w:val="both"/>
        <w:rPr>
          <w:rFonts w:ascii="Arial" w:eastAsia="Calibri" w:hAnsi="Arial" w:cs="Arial"/>
          <w:b/>
          <w:noProof/>
          <w:color w:val="161616" w:themeColor="background1" w:themeShade="1A"/>
          <w:sz w:val="22"/>
          <w:szCs w:val="22"/>
          <w:lang w:val="es-ES_tradnl"/>
        </w:rPr>
      </w:pPr>
      <w:bookmarkStart w:id="23" w:name="_1y810tw" w:colFirst="0" w:colLast="0"/>
      <w:bookmarkStart w:id="24" w:name="_2xcytpi" w:colFirst="0" w:colLast="0"/>
      <w:bookmarkStart w:id="25" w:name="_1ci93xb" w:colFirst="0" w:colLast="0"/>
      <w:bookmarkStart w:id="26" w:name="_3whwml4" w:colFirst="0" w:colLast="0"/>
      <w:bookmarkEnd w:id="23"/>
      <w:bookmarkEnd w:id="24"/>
      <w:bookmarkEnd w:id="25"/>
      <w:bookmarkEnd w:id="26"/>
      <w:r w:rsidRPr="00D86474">
        <w:rPr>
          <w:rFonts w:ascii="Arial" w:eastAsia="Calibri" w:hAnsi="Arial" w:cs="Arial"/>
          <w:b/>
          <w:noProof/>
          <w:color w:val="161616" w:themeColor="background1" w:themeShade="1A"/>
          <w:sz w:val="22"/>
          <w:szCs w:val="22"/>
          <w:lang w:val="es-ES_tradnl"/>
        </w:rPr>
        <w:t>3. Respuesta</w:t>
      </w:r>
      <w:r w:rsidR="00DC7191">
        <w:rPr>
          <w:rFonts w:ascii="Arial" w:eastAsia="Calibri" w:hAnsi="Arial" w:cs="Arial"/>
          <w:b/>
          <w:noProof/>
          <w:color w:val="161616" w:themeColor="background1" w:themeShade="1A"/>
          <w:sz w:val="22"/>
          <w:szCs w:val="22"/>
          <w:lang w:val="es-ES_tradnl"/>
        </w:rPr>
        <w:t>s</w:t>
      </w:r>
    </w:p>
    <w:p w14:paraId="17292913" w14:textId="22E5EB5C" w:rsidR="00CF077C" w:rsidRPr="002D3FF2" w:rsidRDefault="009548D4" w:rsidP="00CF077C">
      <w:pPr>
        <w:spacing w:before="240"/>
        <w:ind w:left="708" w:right="709"/>
        <w:jc w:val="both"/>
        <w:rPr>
          <w:rFonts w:ascii="Arial" w:hAnsi="Arial" w:cs="Arial"/>
          <w:color w:val="161616" w:themeColor="background1" w:themeShade="1A"/>
          <w:sz w:val="21"/>
          <w:szCs w:val="21"/>
          <w:lang w:val="es-ES_tradnl"/>
        </w:rPr>
      </w:pPr>
      <w:r w:rsidRPr="002D3FF2">
        <w:rPr>
          <w:rFonts w:ascii="Arial" w:hAnsi="Arial" w:cs="Arial"/>
          <w:color w:val="161616" w:themeColor="background1" w:themeShade="1A"/>
          <w:sz w:val="21"/>
          <w:szCs w:val="21"/>
          <w:lang w:val="es-ES_tradnl"/>
        </w:rPr>
        <w:t>«</w:t>
      </w:r>
      <w:r w:rsidR="00CF077C" w:rsidRPr="002D3FF2">
        <w:rPr>
          <w:rFonts w:ascii="Arial" w:hAnsi="Arial" w:cs="Arial"/>
          <w:color w:val="161616" w:themeColor="background1" w:themeShade="1A"/>
          <w:sz w:val="21"/>
          <w:szCs w:val="21"/>
          <w:lang w:val="es-ES_tradnl"/>
        </w:rPr>
        <w:t>1) Si el oferente no relaciona en el formato de capacidad residual un contrato que se encuentra en la misma entidad en ejecución y adicional a ello no afecta la capacidad residual. La entidad lo debe habilitar y no rechazar la oferta?</w:t>
      </w:r>
    </w:p>
    <w:p w14:paraId="21198C48" w14:textId="77777777" w:rsidR="00CF077C" w:rsidRPr="002D3FF2" w:rsidRDefault="00CF077C" w:rsidP="00CF077C">
      <w:pPr>
        <w:spacing w:before="240"/>
        <w:ind w:left="708" w:right="709"/>
        <w:jc w:val="both"/>
        <w:rPr>
          <w:rFonts w:ascii="Arial" w:hAnsi="Arial" w:cs="Arial"/>
          <w:color w:val="161616" w:themeColor="background1" w:themeShade="1A"/>
          <w:sz w:val="21"/>
          <w:szCs w:val="21"/>
          <w:lang w:val="es-ES_tradnl"/>
        </w:rPr>
      </w:pPr>
      <w:r w:rsidRPr="002D3FF2">
        <w:rPr>
          <w:rFonts w:ascii="Arial" w:hAnsi="Arial" w:cs="Arial"/>
          <w:color w:val="161616" w:themeColor="background1" w:themeShade="1A"/>
          <w:sz w:val="21"/>
          <w:szCs w:val="21"/>
          <w:lang w:val="es-ES_tradnl"/>
        </w:rPr>
        <w:t>»2) O en su defecto debe ser rechazada?.</w:t>
      </w:r>
    </w:p>
    <w:p w14:paraId="7B37B349" w14:textId="77777777" w:rsidR="00CF077C" w:rsidRPr="002D3FF2" w:rsidRDefault="00CF077C" w:rsidP="00CF077C">
      <w:pPr>
        <w:spacing w:before="240"/>
        <w:ind w:left="708" w:right="709"/>
        <w:jc w:val="both"/>
        <w:rPr>
          <w:rFonts w:ascii="Arial" w:hAnsi="Arial" w:cs="Arial"/>
          <w:color w:val="161616" w:themeColor="background1" w:themeShade="1A"/>
          <w:sz w:val="21"/>
          <w:szCs w:val="21"/>
          <w:lang w:val="es-ES_tradnl"/>
        </w:rPr>
      </w:pPr>
      <w:r w:rsidRPr="002D3FF2">
        <w:rPr>
          <w:rFonts w:ascii="Arial" w:hAnsi="Arial" w:cs="Arial"/>
          <w:color w:val="161616" w:themeColor="background1" w:themeShade="1A"/>
          <w:sz w:val="21"/>
          <w:szCs w:val="21"/>
          <w:lang w:val="es-ES_tradnl"/>
        </w:rPr>
        <w:t>»3) En caso de ser rechazada, cuáles serían los argumentos para ser rechazada teniendo en cuenta la naturaleza de la ley anti tramites en relación con la naturaleza normativa que adopto los pliegos tipo?»</w:t>
      </w:r>
    </w:p>
    <w:p w14:paraId="6D7EE2D8" w14:textId="77777777" w:rsidR="00D1729C" w:rsidRDefault="00D1729C" w:rsidP="00D1729C">
      <w:pPr>
        <w:spacing w:after="120" w:line="276" w:lineRule="auto"/>
        <w:ind w:right="79"/>
        <w:jc w:val="both"/>
        <w:rPr>
          <w:rFonts w:ascii="Arial" w:hAnsi="Arial" w:cs="Arial"/>
          <w:sz w:val="22"/>
          <w:szCs w:val="22"/>
        </w:rPr>
      </w:pPr>
    </w:p>
    <w:p w14:paraId="0B71C235" w14:textId="79C32DFB" w:rsidR="00695740" w:rsidRDefault="00D1729C" w:rsidP="002D3FF2">
      <w:pPr>
        <w:spacing w:after="120" w:line="276" w:lineRule="auto"/>
        <w:jc w:val="both"/>
        <w:rPr>
          <w:rFonts w:ascii="Arial" w:hAnsi="Arial" w:cs="Arial"/>
          <w:sz w:val="22"/>
          <w:szCs w:val="22"/>
          <w:lang w:val="es-MX"/>
        </w:rPr>
      </w:pPr>
      <w:r w:rsidRPr="003A48FA">
        <w:rPr>
          <w:rFonts w:ascii="Arial" w:hAnsi="Arial" w:cs="Arial"/>
          <w:sz w:val="22"/>
          <w:szCs w:val="22"/>
        </w:rPr>
        <w:t xml:space="preserve">De conformidad con lo expuesto, el «Saldo de Contratos en </w:t>
      </w:r>
      <w:r w:rsidR="006709A7" w:rsidRPr="003A48FA">
        <w:rPr>
          <w:rFonts w:ascii="Arial" w:hAnsi="Arial" w:cs="Arial"/>
          <w:sz w:val="22"/>
          <w:szCs w:val="22"/>
        </w:rPr>
        <w:t>E</w:t>
      </w:r>
      <w:r w:rsidRPr="003A48FA">
        <w:rPr>
          <w:rFonts w:ascii="Arial" w:hAnsi="Arial" w:cs="Arial"/>
          <w:sz w:val="22"/>
          <w:szCs w:val="22"/>
        </w:rPr>
        <w:t>jecución» corresponde a la sumatoria de los saldos de</w:t>
      </w:r>
      <w:r w:rsidR="00A02A2F">
        <w:rPr>
          <w:rFonts w:ascii="Arial" w:hAnsi="Arial" w:cs="Arial"/>
          <w:sz w:val="22"/>
          <w:szCs w:val="22"/>
        </w:rPr>
        <w:t xml:space="preserve"> la totalidad de</w:t>
      </w:r>
      <w:r w:rsidRPr="003A48FA">
        <w:rPr>
          <w:rFonts w:ascii="Arial" w:hAnsi="Arial" w:cs="Arial"/>
          <w:sz w:val="22"/>
          <w:szCs w:val="22"/>
        </w:rPr>
        <w:t xml:space="preserve"> los «Contratos en ejecución» que obligan al proponente a la ejecución de obras civiles, en los que el proponente tiene obligaciones pendientes de ejecutar, bien sea con entidades estatales o entidades privadas</w:t>
      </w:r>
      <w:r w:rsidR="00EB6259">
        <w:rPr>
          <w:rFonts w:ascii="Arial" w:hAnsi="Arial" w:cs="Arial"/>
          <w:sz w:val="22"/>
          <w:szCs w:val="22"/>
        </w:rPr>
        <w:t>.</w:t>
      </w:r>
      <w:r w:rsidR="00A02A2F">
        <w:rPr>
          <w:rFonts w:ascii="Arial" w:hAnsi="Arial" w:cs="Arial"/>
          <w:sz w:val="22"/>
          <w:szCs w:val="22"/>
        </w:rPr>
        <w:t xml:space="preserve"> De lo anterior se deduce que </w:t>
      </w:r>
      <w:r w:rsidR="00695740">
        <w:rPr>
          <w:rFonts w:ascii="Arial" w:hAnsi="Arial" w:cs="Arial"/>
          <w:sz w:val="22"/>
          <w:szCs w:val="22"/>
          <w:lang w:val="es-MX"/>
        </w:rPr>
        <w:t>el proponente debe presentar todos los contratos, incluidos aquellos que se encuentren en ejecución con la entidad que está desarrollando el proceso de selección.</w:t>
      </w:r>
    </w:p>
    <w:p w14:paraId="39D36EDD" w14:textId="4FC7DC3C" w:rsidR="00695740" w:rsidRPr="00AC57DD" w:rsidRDefault="00695740" w:rsidP="002D3FF2">
      <w:pPr>
        <w:spacing w:line="276" w:lineRule="auto"/>
        <w:ind w:firstLine="708"/>
        <w:jc w:val="both"/>
        <w:rPr>
          <w:rFonts w:ascii="Arial" w:hAnsi="Arial" w:cs="Arial"/>
          <w:sz w:val="22"/>
          <w:szCs w:val="22"/>
        </w:rPr>
      </w:pPr>
      <w:r>
        <w:rPr>
          <w:rFonts w:ascii="Arial" w:hAnsi="Arial" w:cs="Arial"/>
          <w:sz w:val="22"/>
          <w:szCs w:val="22"/>
          <w:lang w:val="es-MX"/>
        </w:rPr>
        <w:t xml:space="preserve">En efecto, tanto la Guía </w:t>
      </w:r>
      <w:r w:rsidRPr="00AC57DD">
        <w:rPr>
          <w:rFonts w:ascii="Arial" w:hAnsi="Arial" w:cs="Arial"/>
          <w:sz w:val="22"/>
          <w:szCs w:val="22"/>
        </w:rPr>
        <w:t>para Determinar y Verificar la Capacidad Residual del Proponente en los Procesos de Contratación de Obra Pública</w:t>
      </w:r>
      <w:r>
        <w:rPr>
          <w:rFonts w:ascii="Arial" w:hAnsi="Arial" w:cs="Arial"/>
          <w:sz w:val="22"/>
          <w:szCs w:val="22"/>
        </w:rPr>
        <w:t>,</w:t>
      </w:r>
      <w:r>
        <w:rPr>
          <w:rFonts w:ascii="Arial" w:hAnsi="Arial" w:cs="Arial"/>
          <w:sz w:val="22"/>
          <w:szCs w:val="22"/>
          <w:lang w:val="es-MX"/>
        </w:rPr>
        <w:t xml:space="preserve"> como el Decreto 1082 de 2015 y las demás normas mencionadas en </w:t>
      </w:r>
      <w:r w:rsidR="00EB6259">
        <w:rPr>
          <w:rFonts w:ascii="Arial" w:hAnsi="Arial" w:cs="Arial"/>
          <w:sz w:val="22"/>
          <w:szCs w:val="22"/>
          <w:lang w:val="es-MX"/>
        </w:rPr>
        <w:t>las consideraciones</w:t>
      </w:r>
      <w:r>
        <w:rPr>
          <w:rFonts w:ascii="Arial" w:hAnsi="Arial" w:cs="Arial"/>
          <w:sz w:val="22"/>
          <w:szCs w:val="22"/>
          <w:lang w:val="es-MX"/>
        </w:rPr>
        <w:t xml:space="preserve">, no establecen excepción alguna </w:t>
      </w:r>
      <w:r w:rsidR="00EB6259">
        <w:rPr>
          <w:rFonts w:ascii="Arial" w:hAnsi="Arial" w:cs="Arial"/>
          <w:sz w:val="22"/>
          <w:szCs w:val="22"/>
          <w:lang w:val="es-MX"/>
        </w:rPr>
        <w:t xml:space="preserve">frente </w:t>
      </w:r>
      <w:r>
        <w:rPr>
          <w:rFonts w:ascii="Arial" w:hAnsi="Arial" w:cs="Arial"/>
          <w:sz w:val="22"/>
          <w:szCs w:val="22"/>
          <w:lang w:val="es-MX"/>
        </w:rPr>
        <w:t xml:space="preserve">al reporte que debe realizar el proponente para la determinación de la capacidad de residual; al contrario, establecen, de manera general, que el proponente debe reportar la totalidad de contratos, lo que conlleva a entender que existe una carga de </w:t>
      </w:r>
      <w:r>
        <w:rPr>
          <w:rFonts w:ascii="Arial" w:hAnsi="Arial" w:cs="Arial"/>
          <w:sz w:val="22"/>
          <w:szCs w:val="22"/>
          <w:lang w:val="es-MX"/>
        </w:rPr>
        <w:lastRenderedPageBreak/>
        <w:t>relacionar los contratos en ejecución</w:t>
      </w:r>
      <w:r w:rsidR="00EB6259">
        <w:rPr>
          <w:rFonts w:ascii="Arial" w:hAnsi="Arial" w:cs="Arial"/>
          <w:sz w:val="22"/>
          <w:szCs w:val="22"/>
          <w:lang w:val="es-MX"/>
        </w:rPr>
        <w:t>,</w:t>
      </w:r>
      <w:r>
        <w:rPr>
          <w:rFonts w:ascii="Arial" w:hAnsi="Arial" w:cs="Arial"/>
          <w:sz w:val="22"/>
          <w:szCs w:val="22"/>
          <w:lang w:val="es-MX"/>
        </w:rPr>
        <w:t xml:space="preserve"> sin importar si el contratante es la misma entidad titular del proceso de contratación.</w:t>
      </w:r>
    </w:p>
    <w:p w14:paraId="7542CB0E" w14:textId="0C266CDF" w:rsidR="00A02A2F" w:rsidRDefault="003A48FA" w:rsidP="00A02A2F">
      <w:pPr>
        <w:spacing w:before="120" w:after="120" w:line="276" w:lineRule="auto"/>
        <w:ind w:right="79" w:firstLine="709"/>
        <w:jc w:val="both"/>
        <w:rPr>
          <w:rFonts w:ascii="Arial" w:eastAsia="Arial" w:hAnsi="Arial" w:cs="Arial"/>
          <w:color w:val="161616" w:themeColor="background1" w:themeShade="1A"/>
          <w:sz w:val="22"/>
          <w:szCs w:val="22"/>
        </w:rPr>
      </w:pPr>
      <w:r w:rsidRPr="003A48FA">
        <w:rPr>
          <w:rFonts w:ascii="Arial" w:eastAsia="Arial" w:hAnsi="Arial" w:cs="Arial"/>
          <w:color w:val="161616" w:themeColor="background1" w:themeShade="1A"/>
          <w:sz w:val="22"/>
          <w:szCs w:val="22"/>
        </w:rPr>
        <w:t xml:space="preserve">De otro lado, </w:t>
      </w:r>
      <w:r w:rsidR="00EB6259">
        <w:rPr>
          <w:rFonts w:ascii="Arial" w:eastAsia="Arial" w:hAnsi="Arial" w:cs="Arial"/>
          <w:color w:val="161616" w:themeColor="background1" w:themeShade="1A"/>
          <w:sz w:val="22"/>
          <w:szCs w:val="22"/>
        </w:rPr>
        <w:t xml:space="preserve">como se analizó a profundidad en la consideraciones, </w:t>
      </w:r>
      <w:r w:rsidRPr="003A48FA">
        <w:rPr>
          <w:rFonts w:ascii="Arial" w:eastAsia="Arial" w:hAnsi="Arial" w:cs="Arial"/>
          <w:color w:val="161616" w:themeColor="background1" w:themeShade="1A"/>
          <w:sz w:val="22"/>
          <w:szCs w:val="22"/>
        </w:rPr>
        <w:t xml:space="preserve">al menos tres causales de rechazo del numeral 1.15 </w:t>
      </w:r>
      <w:r w:rsidRPr="003A48FA">
        <w:rPr>
          <w:rFonts w:ascii="Arial" w:hAnsi="Arial" w:cs="Arial"/>
          <w:sz w:val="22"/>
          <w:szCs w:val="22"/>
          <w:lang w:val="es-MX"/>
        </w:rPr>
        <w:t xml:space="preserve">del documento base de obra de licitación para obra pública de infraestructura de transporte –versión 3– </w:t>
      </w:r>
      <w:r w:rsidRPr="003A48FA">
        <w:rPr>
          <w:rFonts w:ascii="Arial" w:eastAsia="Arial" w:hAnsi="Arial" w:cs="Arial"/>
          <w:color w:val="161616" w:themeColor="background1" w:themeShade="1A"/>
          <w:sz w:val="22"/>
          <w:szCs w:val="22"/>
        </w:rPr>
        <w:t>se relacionan con la capacidad residual como requisito habilitante, esto es, los literales E, H y Z.</w:t>
      </w:r>
      <w:r w:rsidR="00A02A2F">
        <w:rPr>
          <w:rFonts w:ascii="Arial" w:eastAsia="Arial" w:hAnsi="Arial" w:cs="Arial"/>
          <w:color w:val="161616" w:themeColor="background1" w:themeShade="1A"/>
          <w:sz w:val="22"/>
          <w:szCs w:val="22"/>
        </w:rPr>
        <w:t xml:space="preserve"> </w:t>
      </w:r>
    </w:p>
    <w:p w14:paraId="06FD8813" w14:textId="1264881F" w:rsidR="003A48FA" w:rsidRDefault="00A02A2F" w:rsidP="002D3FF2">
      <w:pPr>
        <w:spacing w:before="120" w:after="120" w:line="276" w:lineRule="auto"/>
        <w:ind w:right="79" w:firstLine="709"/>
        <w:jc w:val="both"/>
        <w:rPr>
          <w:rFonts w:ascii="Arial" w:eastAsia="Arial" w:hAnsi="Arial" w:cs="Arial"/>
          <w:color w:val="161616" w:themeColor="background1" w:themeShade="1A"/>
          <w:sz w:val="22"/>
          <w:szCs w:val="22"/>
        </w:rPr>
      </w:pPr>
      <w:r>
        <w:rPr>
          <w:rFonts w:ascii="Arial" w:eastAsia="Arial" w:hAnsi="Arial" w:cs="Arial"/>
          <w:color w:val="161616" w:themeColor="background1" w:themeShade="1A"/>
          <w:sz w:val="22"/>
          <w:szCs w:val="22"/>
        </w:rPr>
        <w:t xml:space="preserve">Específicamente, la causal </w:t>
      </w:r>
      <w:r w:rsidR="003A48FA" w:rsidRPr="003A48FA">
        <w:rPr>
          <w:rFonts w:ascii="Arial" w:eastAsia="Arial" w:hAnsi="Arial" w:cs="Arial"/>
          <w:color w:val="161616" w:themeColor="background1" w:themeShade="1A"/>
          <w:sz w:val="22"/>
          <w:szCs w:val="22"/>
        </w:rPr>
        <w:t xml:space="preserve">del literal Z del numeral 1.15 aplica cuando el proponente no informa </w:t>
      </w:r>
      <w:r w:rsidR="003A48FA" w:rsidRPr="002D3FF2">
        <w:rPr>
          <w:rFonts w:ascii="Arial" w:eastAsia="Arial" w:hAnsi="Arial" w:cs="Arial"/>
          <w:i/>
          <w:iCs/>
          <w:color w:val="161616" w:themeColor="background1" w:themeShade="1A"/>
          <w:sz w:val="22"/>
          <w:szCs w:val="22"/>
        </w:rPr>
        <w:t>todos</w:t>
      </w:r>
      <w:r w:rsidR="003A48FA" w:rsidRPr="003A48FA">
        <w:rPr>
          <w:rFonts w:ascii="Arial" w:eastAsia="Arial" w:hAnsi="Arial" w:cs="Arial"/>
          <w:color w:val="161616" w:themeColor="background1" w:themeShade="1A"/>
          <w:sz w:val="22"/>
          <w:szCs w:val="22"/>
        </w:rPr>
        <w:t xml:space="preserve"> los contratos que tiene en ejecución antes del cierre</w:t>
      </w:r>
      <w:r w:rsidR="009B70F6">
        <w:rPr>
          <w:rFonts w:ascii="Arial" w:eastAsia="Arial" w:hAnsi="Arial" w:cs="Arial"/>
          <w:color w:val="161616" w:themeColor="background1" w:themeShade="1A"/>
          <w:sz w:val="22"/>
          <w:szCs w:val="22"/>
        </w:rPr>
        <w:t xml:space="preserve">, </w:t>
      </w:r>
      <w:r w:rsidR="00EB6259">
        <w:rPr>
          <w:rFonts w:ascii="Arial" w:eastAsia="Arial" w:hAnsi="Arial" w:cs="Arial"/>
          <w:color w:val="161616" w:themeColor="background1" w:themeShade="1A"/>
          <w:sz w:val="22"/>
          <w:szCs w:val="22"/>
        </w:rPr>
        <w:t>por lo que es una carga de información que le corresponde al proponente, de acuerdo con las reglas establecidas en el pliego de condiciones</w:t>
      </w:r>
      <w:r w:rsidR="003A48FA" w:rsidRPr="003A48FA">
        <w:rPr>
          <w:rFonts w:ascii="Arial" w:eastAsia="Arial" w:hAnsi="Arial" w:cs="Arial"/>
          <w:color w:val="161616" w:themeColor="background1" w:themeShade="1A"/>
          <w:sz w:val="22"/>
          <w:szCs w:val="22"/>
        </w:rPr>
        <w:t xml:space="preserve">. </w:t>
      </w:r>
      <w:r w:rsidR="00EB6259">
        <w:rPr>
          <w:rFonts w:ascii="Arial" w:eastAsia="Arial" w:hAnsi="Arial" w:cs="Arial"/>
          <w:color w:val="161616" w:themeColor="background1" w:themeShade="1A"/>
          <w:sz w:val="22"/>
          <w:szCs w:val="22"/>
        </w:rPr>
        <w:t>En este sentido, e</w:t>
      </w:r>
      <w:r w:rsidR="009B70F6">
        <w:rPr>
          <w:rFonts w:ascii="Arial" w:eastAsia="Arial" w:hAnsi="Arial" w:cs="Arial"/>
          <w:color w:val="161616" w:themeColor="background1" w:themeShade="1A"/>
          <w:sz w:val="22"/>
          <w:szCs w:val="22"/>
        </w:rPr>
        <w:t xml:space="preserve">l contenido de la causal del literal Z </w:t>
      </w:r>
      <w:r w:rsidR="003A48FA" w:rsidRPr="003A48FA">
        <w:rPr>
          <w:rFonts w:ascii="Arial" w:eastAsia="Arial" w:hAnsi="Arial" w:cs="Arial"/>
          <w:color w:val="161616" w:themeColor="background1" w:themeShade="1A"/>
          <w:sz w:val="22"/>
          <w:szCs w:val="22"/>
        </w:rPr>
        <w:t>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configuración de la causal de rechazo del literal Z es objetiva, pues aplica ante la omisión del proponente de informar el número total de contratos en ejecución antes del cierre</w:t>
      </w:r>
      <w:r>
        <w:rPr>
          <w:rFonts w:ascii="Arial" w:eastAsia="Arial" w:hAnsi="Arial" w:cs="Arial"/>
          <w:color w:val="161616" w:themeColor="background1" w:themeShade="1A"/>
          <w:sz w:val="22"/>
          <w:szCs w:val="22"/>
        </w:rPr>
        <w:t xml:space="preserve">, lo que implica reportar también los contratos que se encuentran en ejecución con la entidad </w:t>
      </w:r>
      <w:r w:rsidR="00D36319">
        <w:rPr>
          <w:rFonts w:ascii="Arial" w:eastAsia="Arial" w:hAnsi="Arial" w:cs="Arial"/>
          <w:color w:val="161616" w:themeColor="background1" w:themeShade="1A"/>
          <w:sz w:val="22"/>
          <w:szCs w:val="22"/>
        </w:rPr>
        <w:t xml:space="preserve">que adelanta </w:t>
      </w:r>
      <w:r>
        <w:rPr>
          <w:rFonts w:ascii="Arial" w:eastAsia="Arial" w:hAnsi="Arial" w:cs="Arial"/>
          <w:color w:val="161616" w:themeColor="background1" w:themeShade="1A"/>
          <w:sz w:val="22"/>
          <w:szCs w:val="22"/>
        </w:rPr>
        <w:t>el proceso de selección.</w:t>
      </w:r>
    </w:p>
    <w:p w14:paraId="2FE2A821" w14:textId="06048F62" w:rsidR="00073FE3" w:rsidRDefault="00D36319" w:rsidP="002D3FF2">
      <w:pPr>
        <w:spacing w:after="120" w:line="276" w:lineRule="auto"/>
        <w:ind w:right="79" w:firstLine="708"/>
        <w:jc w:val="both"/>
        <w:rPr>
          <w:rFonts w:ascii="Arial" w:eastAsia="Arial" w:hAnsi="Arial" w:cs="Arial"/>
          <w:color w:val="161616" w:themeColor="background1" w:themeShade="1A"/>
          <w:sz w:val="22"/>
          <w:szCs w:val="22"/>
        </w:rPr>
      </w:pPr>
      <w:r>
        <w:rPr>
          <w:rFonts w:ascii="Arial" w:eastAsia="Arial" w:hAnsi="Arial" w:cs="Arial"/>
          <w:color w:val="161616" w:themeColor="background1" w:themeShade="1A"/>
          <w:sz w:val="22"/>
          <w:szCs w:val="22"/>
        </w:rPr>
        <w:t>Teniendo en cuenta las consideraciones anteriores, corresponderá a cada entidad estatal, atendiendo a las circunstancias de cada procedimiento de selección, tomar las decisiones que correspondan en el proceso de evaluación de las ofertas.</w:t>
      </w:r>
    </w:p>
    <w:p w14:paraId="64BE30C1" w14:textId="6066E4F5" w:rsidR="00695B70" w:rsidRDefault="00695B70" w:rsidP="00983F3D">
      <w:pPr>
        <w:spacing w:before="240" w:line="276" w:lineRule="auto"/>
        <w:jc w:val="both"/>
        <w:rPr>
          <w:rFonts w:ascii="Arial" w:eastAsia="Calibri" w:hAnsi="Arial" w:cs="Arial"/>
          <w:color w:val="161616" w:themeColor="background1" w:themeShade="1A"/>
          <w:sz w:val="22"/>
          <w:szCs w:val="22"/>
          <w:lang w:val="es-ES_tradnl"/>
        </w:rPr>
      </w:pPr>
      <w:r w:rsidRPr="00515D32">
        <w:rPr>
          <w:rFonts w:ascii="Arial" w:eastAsia="Calibri" w:hAnsi="Arial" w:cs="Arial"/>
          <w:color w:val="161616" w:themeColor="background1" w:themeShade="1A"/>
          <w:sz w:val="22"/>
          <w:szCs w:val="22"/>
          <w:lang w:val="es-ES_tradnl"/>
        </w:rPr>
        <w:t>Este concepto tiene el alcance previsto en el artículo 28 del Código de Procedimiento Administrativo y de lo Contencioso Administrativo.</w:t>
      </w:r>
    </w:p>
    <w:p w14:paraId="4D1C4C79" w14:textId="508B9E0F" w:rsidR="00103D05" w:rsidRDefault="00EE6A82" w:rsidP="00EA1918">
      <w:pPr>
        <w:spacing w:before="240" w:line="276" w:lineRule="auto"/>
        <w:jc w:val="both"/>
        <w:rPr>
          <w:rFonts w:ascii="Arial" w:hAnsi="Arial" w:cs="Arial"/>
          <w:color w:val="161616" w:themeColor="background1" w:themeShade="1A"/>
          <w:sz w:val="22"/>
          <w:szCs w:val="22"/>
          <w:lang w:val="es-ES_tradnl" w:eastAsia="es-CO"/>
        </w:rPr>
      </w:pPr>
      <w:bookmarkStart w:id="27" w:name="_Hlk50986665"/>
      <w:bookmarkStart w:id="28" w:name="_Hlk52766744"/>
      <w:r w:rsidRPr="00515D32">
        <w:rPr>
          <w:rFonts w:ascii="Arial" w:hAnsi="Arial" w:cs="Arial"/>
          <w:color w:val="161616" w:themeColor="background1" w:themeShade="1A"/>
          <w:sz w:val="22"/>
          <w:szCs w:val="22"/>
          <w:lang w:val="es-ES_tradnl" w:eastAsia="es-CO"/>
        </w:rPr>
        <w:t>Atentamente</w:t>
      </w:r>
      <w:bookmarkEnd w:id="2"/>
      <w:bookmarkEnd w:id="27"/>
      <w:bookmarkEnd w:id="28"/>
      <w:r w:rsidR="00EA1918">
        <w:rPr>
          <w:rFonts w:ascii="Arial" w:hAnsi="Arial" w:cs="Arial"/>
          <w:color w:val="161616" w:themeColor="background1" w:themeShade="1A"/>
          <w:sz w:val="22"/>
          <w:szCs w:val="22"/>
          <w:lang w:val="es-ES_tradnl" w:eastAsia="es-CO"/>
        </w:rPr>
        <w:t>,</w:t>
      </w:r>
    </w:p>
    <w:p w14:paraId="35B56F46" w14:textId="00809209" w:rsidR="00746E08" w:rsidRDefault="00085560" w:rsidP="003E323D">
      <w:pPr>
        <w:jc w:val="center"/>
        <w:rPr>
          <w:rFonts w:ascii="Arial" w:hAnsi="Arial" w:cs="Arial"/>
          <w:color w:val="161616" w:themeColor="background1" w:themeShade="1A"/>
          <w:sz w:val="22"/>
          <w:szCs w:val="22"/>
          <w:lang w:val="es-ES_tradnl" w:eastAsia="es-CO"/>
        </w:rPr>
      </w:pPr>
      <w:r>
        <w:rPr>
          <w:color w:val="000000"/>
          <w:shd w:val="clear" w:color="auto" w:fill="FFFFFF"/>
        </w:rPr>
        <w:br/>
      </w:r>
      <w:r w:rsidR="005B54D4">
        <w:rPr>
          <w:noProof/>
        </w:rPr>
        <w:drawing>
          <wp:inline distT="0" distB="0" distL="0" distR="0" wp14:anchorId="5F6F16F8" wp14:editId="43D10EAC">
            <wp:extent cx="2714625" cy="1009650"/>
            <wp:effectExtent l="0" t="0" r="9525" b="0"/>
            <wp:docPr id="704682195" name="Imagen 70468219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704682195" name="Imagen 704682195" descr="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714625" cy="1009650"/>
                    </a:xfrm>
                    <a:prstGeom prst="rect">
                      <a:avLst/>
                    </a:prstGeom>
                  </pic:spPr>
                </pic:pic>
              </a:graphicData>
            </a:graphic>
          </wp:inline>
        </w:drawing>
      </w: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8423BA" w:rsidRPr="006328BD" w14:paraId="47EE0A9C" w14:textId="77777777" w:rsidTr="00EA4372">
        <w:trPr>
          <w:trHeight w:val="286"/>
        </w:trPr>
        <w:tc>
          <w:tcPr>
            <w:tcW w:w="817" w:type="dxa"/>
            <w:vAlign w:val="center"/>
          </w:tcPr>
          <w:p w14:paraId="05579E3A" w14:textId="77777777" w:rsidR="008423BA" w:rsidRPr="006328BD" w:rsidRDefault="008423BA" w:rsidP="00EA4372">
            <w:pPr>
              <w:rPr>
                <w:rFonts w:ascii="Arial" w:hAnsi="Arial" w:cs="Arial"/>
                <w:sz w:val="14"/>
                <w:szCs w:val="14"/>
                <w:lang w:eastAsia="es-ES"/>
              </w:rPr>
            </w:pPr>
            <w:r w:rsidRPr="006328BD">
              <w:rPr>
                <w:rFonts w:ascii="Arial" w:hAnsi="Arial" w:cs="Arial"/>
                <w:sz w:val="14"/>
                <w:szCs w:val="14"/>
                <w:lang w:eastAsia="es-ES"/>
              </w:rPr>
              <w:t>Elaboró:</w:t>
            </w:r>
          </w:p>
        </w:tc>
        <w:tc>
          <w:tcPr>
            <w:tcW w:w="4445" w:type="dxa"/>
            <w:tcBorders>
              <w:bottom w:val="dotted" w:sz="4" w:space="0" w:color="7F7F7F"/>
            </w:tcBorders>
            <w:vAlign w:val="center"/>
          </w:tcPr>
          <w:p w14:paraId="0D5DC54E" w14:textId="44A0BEF8" w:rsidR="008423BA" w:rsidRPr="006328BD" w:rsidRDefault="009B70F6" w:rsidP="00EA4372">
            <w:pPr>
              <w:rPr>
                <w:rFonts w:ascii="Arial" w:hAnsi="Arial" w:cs="Arial"/>
                <w:sz w:val="14"/>
                <w:szCs w:val="14"/>
                <w:lang w:eastAsia="es-ES"/>
              </w:rPr>
            </w:pPr>
            <w:r>
              <w:rPr>
                <w:rFonts w:ascii="Arial" w:hAnsi="Arial" w:cs="Arial"/>
                <w:sz w:val="14"/>
                <w:szCs w:val="14"/>
                <w:lang w:eastAsia="es-ES"/>
              </w:rPr>
              <w:t>Nathalia Urrego Jiménez</w:t>
            </w:r>
          </w:p>
          <w:p w14:paraId="61670314" w14:textId="77777777" w:rsidR="008423BA" w:rsidRPr="006328BD" w:rsidRDefault="008423BA" w:rsidP="00EA4372">
            <w:pPr>
              <w:rPr>
                <w:rFonts w:ascii="Arial" w:hAnsi="Arial" w:cs="Arial"/>
                <w:sz w:val="14"/>
                <w:szCs w:val="14"/>
                <w:lang w:eastAsia="es-ES"/>
              </w:rPr>
            </w:pPr>
            <w:r w:rsidRPr="006328BD">
              <w:rPr>
                <w:rFonts w:ascii="Arial" w:hAnsi="Arial" w:cs="Arial"/>
                <w:sz w:val="14"/>
                <w:szCs w:val="14"/>
                <w:lang w:eastAsia="es-ES"/>
              </w:rPr>
              <w:t>Contratista de la Subdirección de Gestión Contractual</w:t>
            </w:r>
          </w:p>
        </w:tc>
      </w:tr>
      <w:tr w:rsidR="008423BA" w:rsidRPr="006328BD" w14:paraId="2D328240" w14:textId="77777777" w:rsidTr="00EA4372">
        <w:trPr>
          <w:trHeight w:val="299"/>
        </w:trPr>
        <w:tc>
          <w:tcPr>
            <w:tcW w:w="817" w:type="dxa"/>
            <w:vAlign w:val="center"/>
          </w:tcPr>
          <w:p w14:paraId="1219E7C1" w14:textId="77777777" w:rsidR="008423BA" w:rsidRPr="006328BD" w:rsidRDefault="008423BA" w:rsidP="00EA4372">
            <w:pPr>
              <w:rPr>
                <w:rFonts w:ascii="Arial" w:hAnsi="Arial" w:cs="Arial"/>
                <w:sz w:val="14"/>
                <w:szCs w:val="14"/>
                <w:lang w:eastAsia="es-ES"/>
              </w:rPr>
            </w:pPr>
            <w:r w:rsidRPr="006328BD">
              <w:rPr>
                <w:rFonts w:ascii="Arial" w:hAnsi="Arial" w:cs="Arial"/>
                <w:sz w:val="14"/>
                <w:szCs w:val="14"/>
                <w:lang w:eastAsia="es-ES"/>
              </w:rPr>
              <w:t>Revisó:</w:t>
            </w:r>
          </w:p>
        </w:tc>
        <w:tc>
          <w:tcPr>
            <w:tcW w:w="4445" w:type="dxa"/>
            <w:tcBorders>
              <w:top w:val="dotted" w:sz="4" w:space="0" w:color="7F7F7F"/>
              <w:bottom w:val="dotted" w:sz="4" w:space="0" w:color="7F7F7F"/>
            </w:tcBorders>
            <w:vAlign w:val="center"/>
          </w:tcPr>
          <w:p w14:paraId="37A4E093" w14:textId="4D765376" w:rsidR="008423BA" w:rsidRDefault="0020112B" w:rsidP="00EA4372">
            <w:pPr>
              <w:rPr>
                <w:rFonts w:ascii="Arial" w:hAnsi="Arial" w:cs="Arial"/>
                <w:sz w:val="14"/>
                <w:szCs w:val="14"/>
                <w:lang w:eastAsia="es-ES"/>
              </w:rPr>
            </w:pPr>
            <w:r>
              <w:rPr>
                <w:rFonts w:ascii="Arial" w:hAnsi="Arial" w:cs="Arial"/>
                <w:sz w:val="14"/>
                <w:szCs w:val="14"/>
                <w:lang w:eastAsia="es-ES"/>
              </w:rPr>
              <w:t>Sebastián Ramírez Grisales</w:t>
            </w:r>
          </w:p>
          <w:p w14:paraId="4B483BFF" w14:textId="539A444B" w:rsidR="008423BA" w:rsidRPr="006328BD" w:rsidRDefault="0020112B" w:rsidP="00EA4372">
            <w:pPr>
              <w:rPr>
                <w:rFonts w:ascii="Arial" w:hAnsi="Arial" w:cs="Arial"/>
                <w:sz w:val="14"/>
                <w:szCs w:val="14"/>
                <w:lang w:eastAsia="es-ES"/>
              </w:rPr>
            </w:pPr>
            <w:r>
              <w:rPr>
                <w:rFonts w:ascii="Arial" w:hAnsi="Arial" w:cs="Arial"/>
                <w:sz w:val="14"/>
                <w:szCs w:val="14"/>
                <w:lang w:eastAsia="es-ES"/>
              </w:rPr>
              <w:t>Contratista</w:t>
            </w:r>
            <w:r w:rsidR="008423BA" w:rsidRPr="006328BD">
              <w:rPr>
                <w:rFonts w:ascii="Arial" w:hAnsi="Arial" w:cs="Arial"/>
                <w:sz w:val="14"/>
                <w:szCs w:val="14"/>
                <w:lang w:eastAsia="es-ES"/>
              </w:rPr>
              <w:t xml:space="preserve"> de la Subdirección de Gestión Contractual</w:t>
            </w:r>
          </w:p>
        </w:tc>
      </w:tr>
      <w:tr w:rsidR="008423BA" w:rsidRPr="006328BD" w14:paraId="695797F3" w14:textId="77777777" w:rsidTr="00EA4372">
        <w:trPr>
          <w:trHeight w:val="272"/>
        </w:trPr>
        <w:tc>
          <w:tcPr>
            <w:tcW w:w="817" w:type="dxa"/>
            <w:vAlign w:val="center"/>
          </w:tcPr>
          <w:p w14:paraId="05BB9836" w14:textId="77777777" w:rsidR="008423BA" w:rsidRPr="006328BD" w:rsidRDefault="008423BA" w:rsidP="00EA4372">
            <w:pPr>
              <w:rPr>
                <w:rFonts w:ascii="Arial" w:hAnsi="Arial" w:cs="Arial"/>
                <w:sz w:val="14"/>
                <w:szCs w:val="14"/>
                <w:lang w:eastAsia="es-ES"/>
              </w:rPr>
            </w:pPr>
            <w:r w:rsidRPr="006328BD">
              <w:rPr>
                <w:rFonts w:ascii="Arial" w:hAnsi="Arial" w:cs="Arial"/>
                <w:sz w:val="14"/>
                <w:szCs w:val="14"/>
                <w:lang w:eastAsia="es-ES"/>
              </w:rPr>
              <w:lastRenderedPageBreak/>
              <w:t>Aprobó:</w:t>
            </w:r>
          </w:p>
        </w:tc>
        <w:tc>
          <w:tcPr>
            <w:tcW w:w="4445" w:type="dxa"/>
            <w:tcBorders>
              <w:top w:val="dotted" w:sz="4" w:space="0" w:color="7F7F7F"/>
              <w:bottom w:val="dotted" w:sz="4" w:space="0" w:color="7F7F7F"/>
            </w:tcBorders>
            <w:vAlign w:val="center"/>
          </w:tcPr>
          <w:p w14:paraId="08CB039F" w14:textId="5BC61F25" w:rsidR="008423BA" w:rsidRPr="006328BD" w:rsidRDefault="0020112B" w:rsidP="00EA4372">
            <w:pPr>
              <w:rPr>
                <w:rFonts w:ascii="Arial" w:hAnsi="Arial" w:cs="Arial"/>
                <w:sz w:val="14"/>
                <w:szCs w:val="14"/>
                <w:lang w:eastAsia="es-ES"/>
              </w:rPr>
            </w:pPr>
            <w:r>
              <w:rPr>
                <w:rFonts w:ascii="Arial" w:hAnsi="Arial" w:cs="Arial"/>
                <w:sz w:val="14"/>
                <w:szCs w:val="14"/>
                <w:lang w:eastAsia="es-ES"/>
              </w:rPr>
              <w:t>Juan David Marín López</w:t>
            </w:r>
          </w:p>
          <w:p w14:paraId="6F56A07C" w14:textId="77FD4CA2" w:rsidR="008423BA" w:rsidRPr="006328BD" w:rsidRDefault="008423BA" w:rsidP="00EA4372">
            <w:pPr>
              <w:rPr>
                <w:rFonts w:ascii="Arial" w:hAnsi="Arial" w:cs="Arial"/>
                <w:sz w:val="14"/>
                <w:szCs w:val="14"/>
                <w:lang w:eastAsia="es-ES"/>
              </w:rPr>
            </w:pPr>
            <w:r w:rsidRPr="006328BD">
              <w:rPr>
                <w:rFonts w:ascii="Arial" w:hAnsi="Arial" w:cs="Arial"/>
                <w:sz w:val="14"/>
                <w:szCs w:val="14"/>
                <w:lang w:eastAsia="es-ES"/>
              </w:rPr>
              <w:t xml:space="preserve">Subdirector de Gestión Contractual </w:t>
            </w:r>
            <w:r w:rsidR="00D36319">
              <w:rPr>
                <w:rFonts w:ascii="Arial" w:hAnsi="Arial" w:cs="Arial"/>
                <w:sz w:val="14"/>
                <w:szCs w:val="14"/>
                <w:lang w:eastAsia="es-ES"/>
              </w:rPr>
              <w:t>(E)</w:t>
            </w:r>
          </w:p>
        </w:tc>
      </w:tr>
    </w:tbl>
    <w:p w14:paraId="23EAD1F9" w14:textId="1D1C6BDB" w:rsidR="008423BA" w:rsidRDefault="008423BA" w:rsidP="00B32DB2">
      <w:pPr>
        <w:spacing w:before="240"/>
        <w:jc w:val="center"/>
        <w:rPr>
          <w:rFonts w:ascii="Arial" w:hAnsi="Arial" w:cs="Arial"/>
          <w:color w:val="161616" w:themeColor="background1" w:themeShade="1A"/>
          <w:sz w:val="22"/>
          <w:szCs w:val="22"/>
          <w:lang w:val="es-ES_tradnl" w:eastAsia="es-CO"/>
        </w:rPr>
      </w:pPr>
    </w:p>
    <w:bookmarkEnd w:id="1"/>
    <w:p w14:paraId="46A2D6C9" w14:textId="77777777" w:rsidR="00123BE2" w:rsidRPr="00515D32" w:rsidRDefault="00123BE2" w:rsidP="00B32DB2">
      <w:pPr>
        <w:spacing w:before="240"/>
        <w:rPr>
          <w:rFonts w:ascii="Arial" w:hAnsi="Arial" w:cs="Arial"/>
          <w:color w:val="161616" w:themeColor="background1" w:themeShade="1A"/>
          <w:sz w:val="22"/>
          <w:szCs w:val="22"/>
          <w:lang w:val="es-ES_tradnl"/>
        </w:rPr>
      </w:pPr>
    </w:p>
    <w:sectPr w:rsidR="00123BE2" w:rsidRPr="00515D32" w:rsidSect="002D3FF2">
      <w:headerReference w:type="default" r:id="rId14"/>
      <w:footerReference w:type="default" r:id="rId15"/>
      <w:pgSz w:w="12240" w:h="15840" w:code="1"/>
      <w:pgMar w:top="2041" w:right="1701" w:bottom="1474"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0947" w14:textId="77777777" w:rsidR="002B588A" w:rsidRDefault="002B588A">
      <w:r>
        <w:separator/>
      </w:r>
    </w:p>
  </w:endnote>
  <w:endnote w:type="continuationSeparator" w:id="0">
    <w:p w14:paraId="680E918B" w14:textId="77777777" w:rsidR="002B588A" w:rsidRDefault="002B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Calibri">
    <w:altName w:val="Arial"/>
    <w:charset w:val="00"/>
    <w:family w:val="roman"/>
    <w:pitch w:val="default"/>
  </w:font>
  <w:font w:name="Geomanist Light">
    <w:altName w:val="Calibri"/>
    <w:panose1 w:val="02000503000000020004"/>
    <w:charset w:val="00"/>
    <w:family w:val="modern"/>
    <w:notTrueType/>
    <w:pitch w:val="variable"/>
    <w:sig w:usb0="A000002F" w:usb1="1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B57C" w14:textId="77777777" w:rsidR="00EA48E3" w:rsidRDefault="00EA48E3" w:rsidP="00EA48E3">
    <w:pPr>
      <w:pStyle w:val="Piedepgina"/>
      <w:rPr>
        <w:lang w:val="es-ES"/>
      </w:rPr>
    </w:pPr>
    <w:r>
      <w:rPr>
        <w:noProof/>
      </w:rPr>
      <w:drawing>
        <wp:inline distT="0" distB="0" distL="0" distR="0" wp14:anchorId="49714D20" wp14:editId="1AA8AFDA">
          <wp:extent cx="5539740" cy="860365"/>
          <wp:effectExtent l="0" t="0" r="3810" b="0"/>
          <wp:docPr id="6" name="Imagen 6"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39740" cy="860365"/>
                  </a:xfrm>
                  <a:prstGeom prst="rect">
                    <a:avLst/>
                  </a:prstGeom>
                </pic:spPr>
              </pic:pic>
            </a:graphicData>
          </a:graphic>
        </wp:inline>
      </w:drawing>
    </w: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
      <w:gridCol w:w="419"/>
      <w:gridCol w:w="844"/>
      <w:gridCol w:w="1932"/>
      <w:gridCol w:w="720"/>
      <w:gridCol w:w="1898"/>
      <w:gridCol w:w="1915"/>
    </w:tblGrid>
    <w:tr w:rsidR="00EA48E3" w:rsidRPr="00304B85" w14:paraId="72AF4830" w14:textId="77777777" w:rsidTr="008F71CF">
      <w:trPr>
        <w:trHeight w:val="229"/>
        <w:jc w:val="center"/>
      </w:trPr>
      <w:tc>
        <w:tcPr>
          <w:tcW w:w="995"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26681B95" w14:textId="77777777" w:rsidR="00EA48E3" w:rsidRPr="00304B85" w:rsidRDefault="00EA48E3" w:rsidP="00EA48E3">
          <w:pPr>
            <w:tabs>
              <w:tab w:val="center" w:pos="4419"/>
              <w:tab w:val="right" w:pos="8838"/>
            </w:tabs>
            <w:jc w:val="center"/>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Versión:</w:t>
          </w:r>
        </w:p>
      </w:tc>
      <w:tc>
        <w:tcPr>
          <w:tcW w:w="419"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02F6EC30" w14:textId="77777777" w:rsidR="00EA48E3" w:rsidRPr="00304B85" w:rsidRDefault="00EA48E3" w:rsidP="00EA48E3">
          <w:pPr>
            <w:tabs>
              <w:tab w:val="center" w:pos="4419"/>
              <w:tab w:val="right" w:pos="8838"/>
            </w:tabs>
            <w:jc w:val="center"/>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03</w:t>
          </w:r>
        </w:p>
      </w:tc>
      <w:tc>
        <w:tcPr>
          <w:tcW w:w="837"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55CFA4BC" w14:textId="77777777" w:rsidR="00EA48E3" w:rsidRPr="00304B85" w:rsidRDefault="00EA48E3" w:rsidP="00EA48E3">
          <w:pPr>
            <w:tabs>
              <w:tab w:val="center" w:pos="4419"/>
              <w:tab w:val="right" w:pos="8838"/>
            </w:tabs>
            <w:jc w:val="center"/>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Código:</w:t>
          </w:r>
        </w:p>
      </w:tc>
      <w:tc>
        <w:tcPr>
          <w:tcW w:w="1932"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19EF9C17" w14:textId="77777777" w:rsidR="00EA48E3" w:rsidRPr="00304B85" w:rsidRDefault="00EA48E3" w:rsidP="00EA48E3">
          <w:pPr>
            <w:tabs>
              <w:tab w:val="center" w:pos="4252"/>
              <w:tab w:val="center" w:pos="5400"/>
              <w:tab w:val="right" w:pos="8504"/>
            </w:tabs>
            <w:jc w:val="right"/>
            <w:rPr>
              <w:rFonts w:ascii="Geomanist Light" w:eastAsiaTheme="minorHAnsi" w:hAnsi="Geomanist Light" w:cstheme="minorBidi"/>
              <w:color w:val="404040" w:themeColor="text1" w:themeTint="BF"/>
              <w:sz w:val="18"/>
              <w:szCs w:val="18"/>
              <w:lang w:val="es-MX" w:eastAsia="en-US"/>
            </w:rPr>
          </w:pPr>
          <w:r w:rsidRPr="00304B85">
            <w:rPr>
              <w:rFonts w:ascii="Geomanist Light" w:eastAsiaTheme="minorHAnsi" w:hAnsi="Geomanist Light" w:cstheme="minorBidi"/>
              <w:color w:val="404040" w:themeColor="text1" w:themeTint="BF"/>
              <w:sz w:val="18"/>
              <w:szCs w:val="18"/>
              <w:lang w:val="es-MX" w:eastAsia="en-US"/>
            </w:rPr>
            <w:t>CCE-DES-FM-17</w:t>
          </w:r>
        </w:p>
      </w:tc>
      <w:tc>
        <w:tcPr>
          <w:tcW w:w="718"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1843D608" w14:textId="77777777" w:rsidR="00EA48E3" w:rsidRPr="00304B85" w:rsidRDefault="00EA48E3" w:rsidP="00EA48E3">
          <w:pPr>
            <w:tabs>
              <w:tab w:val="center" w:pos="4419"/>
              <w:tab w:val="right" w:pos="8838"/>
            </w:tabs>
            <w:jc w:val="center"/>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Fecha:</w:t>
          </w:r>
        </w:p>
      </w:tc>
      <w:tc>
        <w:tcPr>
          <w:tcW w:w="189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7D76A2CE" w14:textId="77777777" w:rsidR="00EA48E3" w:rsidRPr="00304B85" w:rsidRDefault="00EA48E3" w:rsidP="00EA48E3">
          <w:pPr>
            <w:tabs>
              <w:tab w:val="center" w:pos="4419"/>
              <w:tab w:val="right" w:pos="8838"/>
            </w:tabs>
            <w:jc w:val="center"/>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10 de agosto de 2022</w:t>
          </w:r>
        </w:p>
      </w:tc>
      <w:tc>
        <w:tcPr>
          <w:tcW w:w="1915"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4B50B7FD" w14:textId="77777777" w:rsidR="00EA48E3" w:rsidRPr="00304B85" w:rsidRDefault="00EA48E3" w:rsidP="00EA48E3">
          <w:pPr>
            <w:tabs>
              <w:tab w:val="center" w:pos="4419"/>
              <w:tab w:val="right" w:pos="8838"/>
            </w:tabs>
            <w:jc w:val="right"/>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 xml:space="preserve">Página </w:t>
          </w:r>
          <w:r w:rsidRPr="00304B85">
            <w:rPr>
              <w:rFonts w:ascii="Geomanist Light" w:eastAsiaTheme="minorHAnsi" w:hAnsi="Geomanist Light" w:cstheme="minorBidi"/>
              <w:b/>
              <w:bCs/>
              <w:sz w:val="18"/>
              <w:szCs w:val="18"/>
              <w:lang w:val="es-MX" w:eastAsia="en-US"/>
            </w:rPr>
            <w:fldChar w:fldCharType="begin"/>
          </w:r>
          <w:r w:rsidRPr="00304B85">
            <w:rPr>
              <w:rFonts w:ascii="Geomanist Light" w:eastAsiaTheme="minorHAnsi" w:hAnsi="Geomanist Light" w:cstheme="minorBidi"/>
              <w:b/>
              <w:bCs/>
              <w:sz w:val="18"/>
              <w:szCs w:val="18"/>
              <w:lang w:val="es-MX" w:eastAsia="en-US"/>
            </w:rPr>
            <w:instrText>PAGE  \* Arabic  \* MERGEFORMAT</w:instrText>
          </w:r>
          <w:r w:rsidRPr="00304B85">
            <w:rPr>
              <w:rFonts w:ascii="Geomanist Light" w:eastAsiaTheme="minorHAnsi" w:hAnsi="Geomanist Light" w:cstheme="minorBidi"/>
              <w:b/>
              <w:bCs/>
              <w:sz w:val="18"/>
              <w:szCs w:val="18"/>
              <w:lang w:val="es-MX" w:eastAsia="en-US"/>
            </w:rPr>
            <w:fldChar w:fldCharType="separate"/>
          </w:r>
          <w:r>
            <w:rPr>
              <w:rFonts w:ascii="Geomanist Light" w:eastAsiaTheme="minorHAnsi" w:hAnsi="Geomanist Light" w:cstheme="minorBidi"/>
              <w:b/>
              <w:bCs/>
              <w:sz w:val="18"/>
              <w:szCs w:val="18"/>
              <w:lang w:val="es-MX" w:eastAsia="en-US"/>
            </w:rPr>
            <w:t>1</w:t>
          </w:r>
          <w:r w:rsidRPr="00304B85">
            <w:rPr>
              <w:rFonts w:ascii="Geomanist Light" w:eastAsiaTheme="minorHAnsi" w:hAnsi="Geomanist Light" w:cstheme="minorBidi"/>
              <w:b/>
              <w:bCs/>
              <w:sz w:val="18"/>
              <w:szCs w:val="18"/>
              <w:lang w:val="es-MX" w:eastAsia="en-US"/>
            </w:rPr>
            <w:fldChar w:fldCharType="end"/>
          </w:r>
          <w:r w:rsidRPr="00304B85">
            <w:rPr>
              <w:rFonts w:ascii="Geomanist Light" w:eastAsiaTheme="minorHAnsi" w:hAnsi="Geomanist Light" w:cstheme="minorBidi"/>
              <w:sz w:val="18"/>
              <w:szCs w:val="18"/>
              <w:lang w:val="es-MX" w:eastAsia="en-US"/>
            </w:rPr>
            <w:t xml:space="preserve"> de </w:t>
          </w:r>
          <w:r w:rsidRPr="00304B85">
            <w:rPr>
              <w:rFonts w:ascii="Geomanist Light" w:eastAsiaTheme="minorHAnsi" w:hAnsi="Geomanist Light" w:cstheme="minorBidi"/>
              <w:b/>
              <w:bCs/>
              <w:sz w:val="18"/>
              <w:szCs w:val="18"/>
              <w:lang w:val="es-MX" w:eastAsia="en-US"/>
            </w:rPr>
            <w:fldChar w:fldCharType="begin"/>
          </w:r>
          <w:r w:rsidRPr="00304B85">
            <w:rPr>
              <w:rFonts w:ascii="Geomanist Light" w:eastAsiaTheme="minorHAnsi" w:hAnsi="Geomanist Light" w:cstheme="minorBidi"/>
              <w:b/>
              <w:bCs/>
              <w:sz w:val="18"/>
              <w:szCs w:val="18"/>
              <w:lang w:val="es-MX" w:eastAsia="en-US"/>
            </w:rPr>
            <w:instrText>NUMPAGES  \* Arabic  \* MERGEFORMAT</w:instrText>
          </w:r>
          <w:r w:rsidRPr="00304B85">
            <w:rPr>
              <w:rFonts w:ascii="Geomanist Light" w:eastAsiaTheme="minorHAnsi" w:hAnsi="Geomanist Light" w:cstheme="minorBidi"/>
              <w:b/>
              <w:bCs/>
              <w:sz w:val="18"/>
              <w:szCs w:val="18"/>
              <w:lang w:val="es-MX" w:eastAsia="en-US"/>
            </w:rPr>
            <w:fldChar w:fldCharType="separate"/>
          </w:r>
          <w:r>
            <w:rPr>
              <w:rFonts w:ascii="Geomanist Light" w:eastAsiaTheme="minorHAnsi" w:hAnsi="Geomanist Light" w:cstheme="minorBidi"/>
              <w:b/>
              <w:bCs/>
              <w:sz w:val="18"/>
              <w:szCs w:val="18"/>
              <w:lang w:val="es-MX" w:eastAsia="en-US"/>
            </w:rPr>
            <w:t>18</w:t>
          </w:r>
          <w:r w:rsidRPr="00304B85">
            <w:rPr>
              <w:rFonts w:ascii="Geomanist Light" w:eastAsiaTheme="minorHAnsi" w:hAnsi="Geomanist Light" w:cstheme="minorBidi"/>
              <w:b/>
              <w:bCs/>
              <w:sz w:val="18"/>
              <w:szCs w:val="18"/>
              <w:lang w:val="es-MX" w:eastAsia="en-US"/>
            </w:rPr>
            <w:fldChar w:fldCharType="end"/>
          </w:r>
        </w:p>
      </w:tc>
    </w:tr>
  </w:tbl>
  <w:p w14:paraId="6C0EFC49" w14:textId="77777777" w:rsidR="00EF64D8" w:rsidRPr="007B0854"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C6419" w14:textId="77777777" w:rsidR="002B588A" w:rsidRDefault="002B588A">
      <w:r>
        <w:separator/>
      </w:r>
    </w:p>
  </w:footnote>
  <w:footnote w:type="continuationSeparator" w:id="0">
    <w:p w14:paraId="784D500B" w14:textId="77777777" w:rsidR="002B588A" w:rsidRDefault="002B588A">
      <w:r>
        <w:continuationSeparator/>
      </w:r>
    </w:p>
  </w:footnote>
  <w:footnote w:id="1">
    <w:p w14:paraId="1F0A9EA4" w14:textId="77777777" w:rsidR="00740E5C" w:rsidRPr="0020112B" w:rsidRDefault="00740E5C" w:rsidP="0020112B">
      <w:pPr>
        <w:pStyle w:val="Textonotapie"/>
        <w:spacing w:line="240" w:lineRule="auto"/>
        <w:ind w:firstLine="709"/>
        <w:rPr>
          <w:rFonts w:ascii="Arial" w:eastAsia="Calibri" w:hAnsi="Arial" w:cs="Arial"/>
          <w:color w:val="000000" w:themeColor="text1"/>
          <w:sz w:val="18"/>
          <w:szCs w:val="18"/>
        </w:rPr>
      </w:pPr>
      <w:r w:rsidRPr="0020112B">
        <w:rPr>
          <w:rStyle w:val="Refdenotaalpie"/>
          <w:rFonts w:ascii="Arial" w:hAnsi="Arial" w:cs="Arial"/>
          <w:color w:val="000000" w:themeColor="text1"/>
          <w:sz w:val="18"/>
          <w:szCs w:val="18"/>
        </w:rPr>
        <w:footnoteRef/>
      </w:r>
      <w:r w:rsidRPr="0020112B">
        <w:rPr>
          <w:rFonts w:ascii="Arial" w:hAnsi="Arial" w:cs="Arial"/>
          <w:color w:val="000000" w:themeColor="text1"/>
          <w:sz w:val="18"/>
          <w:szCs w:val="18"/>
        </w:rPr>
        <w:t xml:space="preserve"> </w:t>
      </w:r>
      <w:r w:rsidRPr="0020112B">
        <w:rPr>
          <w:rFonts w:ascii="Arial" w:eastAsia="Calibri" w:hAnsi="Arial" w:cs="Arial"/>
          <w:color w:val="000000" w:themeColor="text1"/>
          <w:sz w:val="18"/>
          <w:szCs w:val="18"/>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7574BBF6" w14:textId="77777777" w:rsidR="00740E5C" w:rsidRPr="0020112B" w:rsidRDefault="00740E5C" w:rsidP="0020112B">
      <w:pPr>
        <w:pStyle w:val="Textonotapie"/>
        <w:spacing w:line="240" w:lineRule="auto"/>
        <w:ind w:firstLine="709"/>
        <w:rPr>
          <w:rFonts w:ascii="Arial" w:eastAsia="Calibri" w:hAnsi="Arial" w:cs="Arial"/>
          <w:color w:val="000000" w:themeColor="text1"/>
          <w:sz w:val="18"/>
          <w:szCs w:val="18"/>
        </w:rPr>
      </w:pPr>
      <w:r w:rsidRPr="0020112B">
        <w:rPr>
          <w:rFonts w:ascii="Arial" w:eastAsia="Calibri" w:hAnsi="Arial" w:cs="Arial"/>
          <w:color w:val="000000" w:themeColor="text1"/>
          <w:sz w:val="18"/>
          <w:szCs w:val="18"/>
        </w:rPr>
        <w:t>[…]</w:t>
      </w:r>
    </w:p>
    <w:p w14:paraId="4E62132F" w14:textId="33A8CC1B" w:rsidR="00740E5C" w:rsidRPr="0020112B" w:rsidRDefault="00740E5C" w:rsidP="0020112B">
      <w:pPr>
        <w:pStyle w:val="Textonotapie"/>
        <w:spacing w:line="240" w:lineRule="auto"/>
        <w:ind w:firstLine="709"/>
        <w:rPr>
          <w:rFonts w:ascii="Arial" w:hAnsi="Arial" w:cs="Arial"/>
          <w:color w:val="000000" w:themeColor="text1"/>
          <w:sz w:val="18"/>
          <w:szCs w:val="18"/>
          <w:lang w:val="es-CO"/>
        </w:rPr>
      </w:pPr>
      <w:r w:rsidRPr="0020112B">
        <w:rPr>
          <w:rFonts w:ascii="Arial" w:eastAsia="Calibri" w:hAnsi="Arial" w:cs="Arial"/>
          <w:color w:val="000000" w:themeColor="text1"/>
          <w:sz w:val="18"/>
          <w:szCs w:val="18"/>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20112B">
        <w:rPr>
          <w:rFonts w:ascii="Arial" w:hAnsi="Arial" w:cs="Arial"/>
          <w:color w:val="000000" w:themeColor="text1"/>
          <w:sz w:val="18"/>
          <w:szCs w:val="18"/>
          <w:lang w:val="es-CO"/>
        </w:rPr>
        <w:t xml:space="preserve"> </w:t>
      </w:r>
    </w:p>
  </w:footnote>
  <w:footnote w:id="2">
    <w:p w14:paraId="2386C519" w14:textId="77777777" w:rsidR="00740E5C" w:rsidRPr="0020112B" w:rsidRDefault="00740E5C" w:rsidP="0020112B">
      <w:pPr>
        <w:pStyle w:val="Textonotapie"/>
        <w:spacing w:line="240" w:lineRule="auto"/>
        <w:ind w:firstLine="709"/>
        <w:rPr>
          <w:rFonts w:ascii="Arial" w:hAnsi="Arial" w:cs="Arial"/>
          <w:color w:val="000000" w:themeColor="text1"/>
          <w:sz w:val="18"/>
          <w:szCs w:val="18"/>
          <w:lang w:val="es-CO"/>
        </w:rPr>
      </w:pPr>
      <w:r w:rsidRPr="0020112B">
        <w:rPr>
          <w:rFonts w:ascii="Arial" w:eastAsia="Calibri" w:hAnsi="Arial" w:cs="Arial"/>
          <w:color w:val="000000" w:themeColor="text1"/>
          <w:sz w:val="18"/>
          <w:szCs w:val="18"/>
          <w:vertAlign w:val="superscript"/>
        </w:rPr>
        <w:footnoteRef/>
      </w:r>
      <w:r w:rsidRPr="0020112B">
        <w:rPr>
          <w:rFonts w:ascii="Arial" w:eastAsia="Calibri" w:hAnsi="Arial" w:cs="Arial"/>
          <w:color w:val="000000" w:themeColor="text1"/>
          <w:sz w:val="18"/>
          <w:szCs w:val="18"/>
          <w:vertAlign w:val="superscript"/>
        </w:rPr>
        <w:t xml:space="preserve"> </w:t>
      </w:r>
      <w:r w:rsidRPr="0020112B">
        <w:rPr>
          <w:rFonts w:ascii="Arial" w:eastAsia="Calibri" w:hAnsi="Arial" w:cs="Arial"/>
          <w:color w:val="000000" w:themeColor="text1"/>
          <w:sz w:val="18"/>
          <w:szCs w:val="18"/>
        </w:rPr>
        <w:t xml:space="preserve">Consejo de Estado. Sección Tercera. Sentencia del 26 de junio de 2003. Rad. 13.354. C.P: María Elena Giraldo Gómez. </w:t>
      </w:r>
    </w:p>
  </w:footnote>
  <w:footnote w:id="3">
    <w:p w14:paraId="04440D74" w14:textId="77777777" w:rsidR="00740E5C" w:rsidRPr="0020112B" w:rsidRDefault="00740E5C" w:rsidP="0020112B">
      <w:pPr>
        <w:pStyle w:val="NormalWeb"/>
        <w:shd w:val="clear" w:color="auto" w:fill="FFFFFF"/>
        <w:spacing w:after="0" w:line="240" w:lineRule="auto"/>
        <w:ind w:firstLine="709"/>
        <w:rPr>
          <w:rFonts w:ascii="Arial" w:hAnsi="Arial" w:cs="Arial"/>
          <w:sz w:val="18"/>
          <w:szCs w:val="18"/>
        </w:rPr>
      </w:pPr>
      <w:r w:rsidRPr="0020112B">
        <w:rPr>
          <w:rStyle w:val="Refdenotaalpie"/>
          <w:rFonts w:ascii="Arial" w:hAnsi="Arial" w:cs="Arial"/>
          <w:sz w:val="18"/>
          <w:szCs w:val="18"/>
          <w:lang w:val="es-MX"/>
        </w:rPr>
        <w:footnoteRef/>
      </w:r>
      <w:r w:rsidRPr="0020112B">
        <w:rPr>
          <w:rStyle w:val="Refdenotaalpie"/>
          <w:rFonts w:ascii="Arial" w:hAnsi="Arial" w:cs="Arial"/>
          <w:sz w:val="18"/>
          <w:szCs w:val="18"/>
          <w:lang w:val="es-MX"/>
        </w:rPr>
        <w:t xml:space="preserve"> </w:t>
      </w:r>
      <w:r w:rsidRPr="0020112B">
        <w:rPr>
          <w:rFonts w:ascii="Arial" w:hAnsi="Arial" w:cs="Arial"/>
          <w:sz w:val="18"/>
          <w:szCs w:val="18"/>
        </w:rPr>
        <w:t>«Artículo 2.2.1.1.1.6.4. Capacidad Residual: El interesado en celebrar contratos de obra pública con Entidades Estatales debe acreditar su Capacidad Residual o K de Contratación con los siguientes documentos:</w:t>
      </w:r>
    </w:p>
    <w:p w14:paraId="41C4C58D" w14:textId="77777777" w:rsidR="00740E5C" w:rsidRPr="0020112B" w:rsidRDefault="00740E5C" w:rsidP="0020112B">
      <w:pPr>
        <w:shd w:val="clear" w:color="auto" w:fill="FFFFFF"/>
        <w:ind w:firstLine="709"/>
        <w:jc w:val="both"/>
        <w:rPr>
          <w:rFonts w:ascii="Arial" w:hAnsi="Arial" w:cs="Arial"/>
          <w:sz w:val="18"/>
          <w:szCs w:val="18"/>
        </w:rPr>
      </w:pPr>
      <w:r w:rsidRPr="0020112B">
        <w:rPr>
          <w:rFonts w:ascii="Arial" w:hAnsi="Arial" w:cs="Arial"/>
          <w:sz w:val="18"/>
          <w:szCs w:val="18"/>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34DB84B8" w14:textId="77777777" w:rsidR="00740E5C" w:rsidRPr="0020112B" w:rsidRDefault="00740E5C" w:rsidP="0020112B">
      <w:pPr>
        <w:shd w:val="clear" w:color="auto" w:fill="FFFFFF"/>
        <w:ind w:firstLine="709"/>
        <w:jc w:val="both"/>
        <w:rPr>
          <w:rFonts w:ascii="Arial" w:hAnsi="Arial" w:cs="Arial"/>
          <w:sz w:val="18"/>
          <w:szCs w:val="18"/>
        </w:rPr>
      </w:pPr>
      <w:r w:rsidRPr="0020112B">
        <w:rPr>
          <w:rFonts w:ascii="Arial" w:hAnsi="Arial" w:cs="Arial"/>
          <w:sz w:val="18"/>
          <w:szCs w:val="18"/>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647F6028" w14:textId="77777777" w:rsidR="00740E5C" w:rsidRPr="0020112B" w:rsidRDefault="00740E5C" w:rsidP="0020112B">
      <w:pPr>
        <w:shd w:val="clear" w:color="auto" w:fill="FFFFFF"/>
        <w:ind w:firstLine="709"/>
        <w:jc w:val="both"/>
        <w:rPr>
          <w:rFonts w:ascii="Arial" w:hAnsi="Arial" w:cs="Arial"/>
          <w:sz w:val="18"/>
          <w:szCs w:val="18"/>
        </w:rPr>
      </w:pPr>
      <w:r w:rsidRPr="0020112B">
        <w:rPr>
          <w:rFonts w:ascii="Arial" w:hAnsi="Arial" w:cs="Arial"/>
          <w:sz w:val="18"/>
          <w:szCs w:val="18"/>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4">
    <w:p w14:paraId="0598CC28" w14:textId="77777777" w:rsidR="00740E5C" w:rsidRPr="0020112B" w:rsidRDefault="00740E5C" w:rsidP="0020112B">
      <w:pPr>
        <w:pStyle w:val="Textonotapie"/>
        <w:spacing w:line="240" w:lineRule="auto"/>
        <w:ind w:firstLine="709"/>
        <w:rPr>
          <w:rFonts w:ascii="Arial" w:hAnsi="Arial" w:cs="Arial"/>
          <w:sz w:val="18"/>
          <w:szCs w:val="18"/>
        </w:rPr>
      </w:pPr>
      <w:r w:rsidRPr="0020112B">
        <w:rPr>
          <w:rStyle w:val="Refdenotaalpie"/>
          <w:rFonts w:ascii="Arial" w:hAnsi="Arial" w:cs="Arial"/>
          <w:sz w:val="18"/>
          <w:szCs w:val="18"/>
        </w:rPr>
        <w:footnoteRef/>
      </w:r>
      <w:r w:rsidRPr="0020112B">
        <w:rPr>
          <w:rFonts w:ascii="Arial" w:hAnsi="Arial" w:cs="Arial"/>
          <w:sz w:val="18"/>
          <w:szCs w:val="18"/>
        </w:rPr>
        <w:t xml:space="preserve"> Colombia Compra Eficiente. Concepto C-297 del 4 de junio de 2020. </w:t>
      </w:r>
    </w:p>
  </w:footnote>
  <w:footnote w:id="5">
    <w:p w14:paraId="51DCC40A" w14:textId="77777777" w:rsidR="00740E5C" w:rsidRPr="0020112B" w:rsidRDefault="00740E5C" w:rsidP="0020112B">
      <w:pPr>
        <w:pStyle w:val="Textonotapie"/>
        <w:spacing w:line="240" w:lineRule="auto"/>
        <w:ind w:firstLine="708"/>
        <w:rPr>
          <w:rFonts w:ascii="Arial" w:hAnsi="Arial" w:cs="Arial"/>
          <w:sz w:val="18"/>
          <w:szCs w:val="18"/>
        </w:rPr>
      </w:pPr>
      <w:r w:rsidRPr="0020112B">
        <w:rPr>
          <w:rStyle w:val="Refdenotaalpie"/>
          <w:rFonts w:ascii="Arial" w:hAnsi="Arial" w:cs="Arial"/>
          <w:sz w:val="18"/>
          <w:szCs w:val="18"/>
        </w:rPr>
        <w:footnoteRef/>
      </w:r>
      <w:r w:rsidRPr="0020112B">
        <w:rPr>
          <w:rFonts w:ascii="Arial" w:hAnsi="Arial" w:cs="Arial"/>
          <w:sz w:val="18"/>
          <w:szCs w:val="18"/>
        </w:rPr>
        <w:t xml:space="preserve"> Concepto C-196 de 2020. Radicado de entrada No. 4202013000001559. Radicado de salida No. 2202013000002534.</w:t>
      </w:r>
    </w:p>
    <w:p w14:paraId="1D59A59A" w14:textId="77777777" w:rsidR="00740E5C" w:rsidRPr="0020112B" w:rsidRDefault="00740E5C" w:rsidP="0020112B">
      <w:pPr>
        <w:pStyle w:val="Textonotapie"/>
        <w:spacing w:line="240" w:lineRule="auto"/>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02130F83" w:rsidR="00EF64D8" w:rsidRDefault="00EA48E3" w:rsidP="00EA48E3">
    <w:pPr>
      <w:pStyle w:val="Encabezado"/>
      <w:jc w:val="right"/>
    </w:pPr>
    <w:r>
      <w:rPr>
        <w:noProof/>
      </w:rPr>
      <w:drawing>
        <wp:inline distT="0" distB="0" distL="0" distR="0" wp14:anchorId="3046B5C9" wp14:editId="23B8A568">
          <wp:extent cx="1688465" cy="701040"/>
          <wp:effectExtent l="0" t="0" r="6985" b="3810"/>
          <wp:docPr id="5" name="Imagen 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88465" cy="701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2F02B9"/>
    <w:multiLevelType w:val="hybridMultilevel"/>
    <w:tmpl w:val="64F6AB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8A2D41"/>
    <w:multiLevelType w:val="hybridMultilevel"/>
    <w:tmpl w:val="B8CC0D4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1CED79AB"/>
    <w:multiLevelType w:val="hybridMultilevel"/>
    <w:tmpl w:val="A9AE1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380B19"/>
    <w:multiLevelType w:val="hybridMultilevel"/>
    <w:tmpl w:val="1F66EDE8"/>
    <w:lvl w:ilvl="0" w:tplc="60226B48">
      <w:start w:val="1"/>
      <w:numFmt w:val="decimal"/>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3B1499"/>
    <w:multiLevelType w:val="hybridMultilevel"/>
    <w:tmpl w:val="B5BA0E08"/>
    <w:lvl w:ilvl="0" w:tplc="EC46EAB4">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7B7BA6"/>
    <w:multiLevelType w:val="hybridMultilevel"/>
    <w:tmpl w:val="0A9A1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C1658E"/>
    <w:multiLevelType w:val="hybridMultilevel"/>
    <w:tmpl w:val="6BB45F22"/>
    <w:lvl w:ilvl="0" w:tplc="324E2A2C">
      <w:start w:val="1"/>
      <w:numFmt w:val="upperRoman"/>
      <w:lvlText w:val="%1."/>
      <w:lvlJc w:val="right"/>
      <w:pPr>
        <w:ind w:left="1429" w:hanging="360"/>
      </w:pPr>
      <w:rPr>
        <w:sz w:val="22"/>
        <w:szCs w:val="22"/>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3642528B"/>
    <w:multiLevelType w:val="hybridMultilevel"/>
    <w:tmpl w:val="D408B580"/>
    <w:lvl w:ilvl="0" w:tplc="15DE398A">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3DF77F05"/>
    <w:multiLevelType w:val="hybridMultilevel"/>
    <w:tmpl w:val="0E90E834"/>
    <w:lvl w:ilvl="0" w:tplc="073E4240">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444D0259"/>
    <w:multiLevelType w:val="hybridMultilevel"/>
    <w:tmpl w:val="77FC860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0090DB1"/>
    <w:multiLevelType w:val="hybridMultilevel"/>
    <w:tmpl w:val="078E2E72"/>
    <w:lvl w:ilvl="0" w:tplc="30687C90">
      <w:start w:val="1"/>
      <w:numFmt w:val="lowerRoman"/>
      <w:lvlText w:val="%1)"/>
      <w:lvlJc w:val="left"/>
      <w:pPr>
        <w:ind w:left="1427" w:hanging="720"/>
      </w:pPr>
    </w:lvl>
    <w:lvl w:ilvl="1" w:tplc="080A0019">
      <w:start w:val="1"/>
      <w:numFmt w:val="lowerLetter"/>
      <w:lvlText w:val="%2."/>
      <w:lvlJc w:val="left"/>
      <w:pPr>
        <w:ind w:left="1787" w:hanging="360"/>
      </w:pPr>
    </w:lvl>
    <w:lvl w:ilvl="2" w:tplc="080A001B">
      <w:start w:val="1"/>
      <w:numFmt w:val="lowerRoman"/>
      <w:lvlText w:val="%3."/>
      <w:lvlJc w:val="right"/>
      <w:pPr>
        <w:ind w:left="2507" w:hanging="180"/>
      </w:pPr>
    </w:lvl>
    <w:lvl w:ilvl="3" w:tplc="080A000F">
      <w:start w:val="1"/>
      <w:numFmt w:val="decimal"/>
      <w:lvlText w:val="%4."/>
      <w:lvlJc w:val="left"/>
      <w:pPr>
        <w:ind w:left="3227" w:hanging="360"/>
      </w:pPr>
    </w:lvl>
    <w:lvl w:ilvl="4" w:tplc="080A0019">
      <w:start w:val="1"/>
      <w:numFmt w:val="lowerLetter"/>
      <w:lvlText w:val="%5."/>
      <w:lvlJc w:val="left"/>
      <w:pPr>
        <w:ind w:left="3947" w:hanging="360"/>
      </w:pPr>
    </w:lvl>
    <w:lvl w:ilvl="5" w:tplc="080A001B">
      <w:start w:val="1"/>
      <w:numFmt w:val="lowerRoman"/>
      <w:lvlText w:val="%6."/>
      <w:lvlJc w:val="right"/>
      <w:pPr>
        <w:ind w:left="4667" w:hanging="180"/>
      </w:pPr>
    </w:lvl>
    <w:lvl w:ilvl="6" w:tplc="080A000F">
      <w:start w:val="1"/>
      <w:numFmt w:val="decimal"/>
      <w:lvlText w:val="%7."/>
      <w:lvlJc w:val="left"/>
      <w:pPr>
        <w:ind w:left="5387" w:hanging="360"/>
      </w:pPr>
    </w:lvl>
    <w:lvl w:ilvl="7" w:tplc="080A0019">
      <w:start w:val="1"/>
      <w:numFmt w:val="lowerLetter"/>
      <w:lvlText w:val="%8."/>
      <w:lvlJc w:val="left"/>
      <w:pPr>
        <w:ind w:left="6107" w:hanging="360"/>
      </w:pPr>
    </w:lvl>
    <w:lvl w:ilvl="8" w:tplc="080A001B">
      <w:start w:val="1"/>
      <w:numFmt w:val="lowerRoman"/>
      <w:lvlText w:val="%9."/>
      <w:lvlJc w:val="right"/>
      <w:pPr>
        <w:ind w:left="6827" w:hanging="180"/>
      </w:pPr>
    </w:lvl>
  </w:abstractNum>
  <w:abstractNum w:abstractNumId="20" w15:restartNumberingAfterBreak="0">
    <w:nsid w:val="632B27AF"/>
    <w:multiLevelType w:val="hybridMultilevel"/>
    <w:tmpl w:val="BA34E780"/>
    <w:lvl w:ilvl="0" w:tplc="56241FF8">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22" w15:restartNumberingAfterBreak="0">
    <w:nsid w:val="6A9B7B46"/>
    <w:multiLevelType w:val="hybridMultilevel"/>
    <w:tmpl w:val="103E82C4"/>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FEE5641"/>
    <w:multiLevelType w:val="hybridMultilevel"/>
    <w:tmpl w:val="CE064F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0966857"/>
    <w:multiLevelType w:val="hybridMultilevel"/>
    <w:tmpl w:val="2EB8A27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6" w15:restartNumberingAfterBreak="0">
    <w:nsid w:val="7C703690"/>
    <w:multiLevelType w:val="hybridMultilevel"/>
    <w:tmpl w:val="F9862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34179683">
    <w:abstractNumId w:val="11"/>
  </w:num>
  <w:num w:numId="2" w16cid:durableId="912013030">
    <w:abstractNumId w:val="9"/>
  </w:num>
  <w:num w:numId="3" w16cid:durableId="114908635">
    <w:abstractNumId w:val="16"/>
  </w:num>
  <w:num w:numId="4" w16cid:durableId="1798909150">
    <w:abstractNumId w:val="17"/>
  </w:num>
  <w:num w:numId="5" w16cid:durableId="426196458">
    <w:abstractNumId w:val="23"/>
  </w:num>
  <w:num w:numId="6" w16cid:durableId="185742848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7861583">
    <w:abstractNumId w:val="18"/>
  </w:num>
  <w:num w:numId="8" w16cid:durableId="771318483">
    <w:abstractNumId w:val="6"/>
  </w:num>
  <w:num w:numId="9" w16cid:durableId="1673487509">
    <w:abstractNumId w:val="1"/>
  </w:num>
  <w:num w:numId="10" w16cid:durableId="1062017924">
    <w:abstractNumId w:val="7"/>
  </w:num>
  <w:num w:numId="11" w16cid:durableId="273631254">
    <w:abstractNumId w:val="2"/>
  </w:num>
  <w:num w:numId="12" w16cid:durableId="1951204891">
    <w:abstractNumId w:val="10"/>
  </w:num>
  <w:num w:numId="13" w16cid:durableId="1195267409">
    <w:abstractNumId w:val="3"/>
  </w:num>
  <w:num w:numId="14" w16cid:durableId="1266767260">
    <w:abstractNumId w:val="20"/>
  </w:num>
  <w:num w:numId="15" w16cid:durableId="2057926776">
    <w:abstractNumId w:val="15"/>
  </w:num>
  <w:num w:numId="16" w16cid:durableId="1664163686">
    <w:abstractNumId w:val="13"/>
  </w:num>
  <w:num w:numId="17" w16cid:durableId="1051269089">
    <w:abstractNumId w:val="25"/>
  </w:num>
  <w:num w:numId="18" w16cid:durableId="1266961995">
    <w:abstractNumId w:val="5"/>
  </w:num>
  <w:num w:numId="19" w16cid:durableId="248545200">
    <w:abstractNumId w:val="12"/>
  </w:num>
  <w:num w:numId="20" w16cid:durableId="845023395">
    <w:abstractNumId w:val="14"/>
  </w:num>
  <w:num w:numId="21" w16cid:durableId="2078746639">
    <w:abstractNumId w:val="22"/>
  </w:num>
  <w:num w:numId="22" w16cid:durableId="1064841179">
    <w:abstractNumId w:val="8"/>
  </w:num>
  <w:num w:numId="23" w16cid:durableId="478615592">
    <w:abstractNumId w:val="26"/>
  </w:num>
  <w:num w:numId="24" w16cid:durableId="1269850502">
    <w:abstractNumId w:val="24"/>
  </w:num>
  <w:num w:numId="25" w16cid:durableId="1668048068">
    <w:abstractNumId w:val="21"/>
  </w:num>
  <w:num w:numId="26" w16cid:durableId="16882160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980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0B16"/>
    <w:rsid w:val="0000126D"/>
    <w:rsid w:val="0000147C"/>
    <w:rsid w:val="000019A6"/>
    <w:rsid w:val="00001A1D"/>
    <w:rsid w:val="000025E0"/>
    <w:rsid w:val="000034EE"/>
    <w:rsid w:val="00003617"/>
    <w:rsid w:val="000056FB"/>
    <w:rsid w:val="000070A8"/>
    <w:rsid w:val="0001231C"/>
    <w:rsid w:val="000135A1"/>
    <w:rsid w:val="00013F7C"/>
    <w:rsid w:val="00015BF3"/>
    <w:rsid w:val="00015E80"/>
    <w:rsid w:val="00015F78"/>
    <w:rsid w:val="000169A0"/>
    <w:rsid w:val="00016D26"/>
    <w:rsid w:val="00016D2E"/>
    <w:rsid w:val="00017245"/>
    <w:rsid w:val="00017253"/>
    <w:rsid w:val="00017C1D"/>
    <w:rsid w:val="000205F1"/>
    <w:rsid w:val="000210DF"/>
    <w:rsid w:val="000217A2"/>
    <w:rsid w:val="0002264C"/>
    <w:rsid w:val="0002271C"/>
    <w:rsid w:val="000229A9"/>
    <w:rsid w:val="00023CD9"/>
    <w:rsid w:val="00024653"/>
    <w:rsid w:val="000268E2"/>
    <w:rsid w:val="0002739B"/>
    <w:rsid w:val="000300C6"/>
    <w:rsid w:val="00030271"/>
    <w:rsid w:val="00032989"/>
    <w:rsid w:val="00032A51"/>
    <w:rsid w:val="00033802"/>
    <w:rsid w:val="00033C14"/>
    <w:rsid w:val="00033D8C"/>
    <w:rsid w:val="00034398"/>
    <w:rsid w:val="00034663"/>
    <w:rsid w:val="000352A2"/>
    <w:rsid w:val="000360E0"/>
    <w:rsid w:val="00037591"/>
    <w:rsid w:val="000379E3"/>
    <w:rsid w:val="00040044"/>
    <w:rsid w:val="000414BE"/>
    <w:rsid w:val="00041517"/>
    <w:rsid w:val="00042041"/>
    <w:rsid w:val="00042FD0"/>
    <w:rsid w:val="000432DF"/>
    <w:rsid w:val="00044D8C"/>
    <w:rsid w:val="00050C64"/>
    <w:rsid w:val="0005181E"/>
    <w:rsid w:val="000520BA"/>
    <w:rsid w:val="00053136"/>
    <w:rsid w:val="000540E1"/>
    <w:rsid w:val="00054817"/>
    <w:rsid w:val="000641A8"/>
    <w:rsid w:val="0006467C"/>
    <w:rsid w:val="0006474E"/>
    <w:rsid w:val="00065205"/>
    <w:rsid w:val="00066517"/>
    <w:rsid w:val="00071132"/>
    <w:rsid w:val="00071351"/>
    <w:rsid w:val="000716B2"/>
    <w:rsid w:val="000729FF"/>
    <w:rsid w:val="00073FE3"/>
    <w:rsid w:val="0007405A"/>
    <w:rsid w:val="00074BEE"/>
    <w:rsid w:val="00074D1E"/>
    <w:rsid w:val="00075C19"/>
    <w:rsid w:val="00075D07"/>
    <w:rsid w:val="00076B31"/>
    <w:rsid w:val="000770DB"/>
    <w:rsid w:val="00080542"/>
    <w:rsid w:val="0008228E"/>
    <w:rsid w:val="000822A6"/>
    <w:rsid w:val="0008274C"/>
    <w:rsid w:val="00082CE0"/>
    <w:rsid w:val="00083AFC"/>
    <w:rsid w:val="00084B97"/>
    <w:rsid w:val="00085560"/>
    <w:rsid w:val="00086501"/>
    <w:rsid w:val="00086D8D"/>
    <w:rsid w:val="000877B5"/>
    <w:rsid w:val="000902BC"/>
    <w:rsid w:val="00091AC6"/>
    <w:rsid w:val="00092617"/>
    <w:rsid w:val="00092B6A"/>
    <w:rsid w:val="000942EB"/>
    <w:rsid w:val="000943FC"/>
    <w:rsid w:val="00095B25"/>
    <w:rsid w:val="00096C01"/>
    <w:rsid w:val="0009763D"/>
    <w:rsid w:val="000A1B61"/>
    <w:rsid w:val="000A4DD7"/>
    <w:rsid w:val="000A5915"/>
    <w:rsid w:val="000B076C"/>
    <w:rsid w:val="000B0E61"/>
    <w:rsid w:val="000B103F"/>
    <w:rsid w:val="000B14BA"/>
    <w:rsid w:val="000B2D9A"/>
    <w:rsid w:val="000B4246"/>
    <w:rsid w:val="000B5C13"/>
    <w:rsid w:val="000C00A2"/>
    <w:rsid w:val="000C0769"/>
    <w:rsid w:val="000C1515"/>
    <w:rsid w:val="000C1CBB"/>
    <w:rsid w:val="000C3232"/>
    <w:rsid w:val="000C394F"/>
    <w:rsid w:val="000C3F9B"/>
    <w:rsid w:val="000C4E3E"/>
    <w:rsid w:val="000C5512"/>
    <w:rsid w:val="000C5D99"/>
    <w:rsid w:val="000D1837"/>
    <w:rsid w:val="000D186A"/>
    <w:rsid w:val="000D25BC"/>
    <w:rsid w:val="000D5214"/>
    <w:rsid w:val="000D7953"/>
    <w:rsid w:val="000D7A0F"/>
    <w:rsid w:val="000E0DED"/>
    <w:rsid w:val="000E2239"/>
    <w:rsid w:val="000E3909"/>
    <w:rsid w:val="000E561B"/>
    <w:rsid w:val="000E6563"/>
    <w:rsid w:val="000E739D"/>
    <w:rsid w:val="000F091C"/>
    <w:rsid w:val="000F14E8"/>
    <w:rsid w:val="000F2AA2"/>
    <w:rsid w:val="000F2EE1"/>
    <w:rsid w:val="000F4695"/>
    <w:rsid w:val="000F7FC3"/>
    <w:rsid w:val="00100D69"/>
    <w:rsid w:val="00101018"/>
    <w:rsid w:val="00103915"/>
    <w:rsid w:val="00103D05"/>
    <w:rsid w:val="001041A9"/>
    <w:rsid w:val="00105AAA"/>
    <w:rsid w:val="001072DB"/>
    <w:rsid w:val="001078AA"/>
    <w:rsid w:val="00110CE1"/>
    <w:rsid w:val="001112FD"/>
    <w:rsid w:val="0011178C"/>
    <w:rsid w:val="00111CDF"/>
    <w:rsid w:val="001124EB"/>
    <w:rsid w:val="00113157"/>
    <w:rsid w:val="00113E35"/>
    <w:rsid w:val="00114327"/>
    <w:rsid w:val="00114900"/>
    <w:rsid w:val="00114EE9"/>
    <w:rsid w:val="0011520A"/>
    <w:rsid w:val="00115328"/>
    <w:rsid w:val="001155B8"/>
    <w:rsid w:val="00116C84"/>
    <w:rsid w:val="0011766B"/>
    <w:rsid w:val="00120CC9"/>
    <w:rsid w:val="00120D67"/>
    <w:rsid w:val="001214BC"/>
    <w:rsid w:val="00122B23"/>
    <w:rsid w:val="00122B9A"/>
    <w:rsid w:val="00123BE2"/>
    <w:rsid w:val="0012416B"/>
    <w:rsid w:val="00124A82"/>
    <w:rsid w:val="001300F3"/>
    <w:rsid w:val="00130457"/>
    <w:rsid w:val="001336B2"/>
    <w:rsid w:val="00133F8F"/>
    <w:rsid w:val="00134D65"/>
    <w:rsid w:val="0013770F"/>
    <w:rsid w:val="001377EC"/>
    <w:rsid w:val="00137E66"/>
    <w:rsid w:val="00137FFA"/>
    <w:rsid w:val="0014071F"/>
    <w:rsid w:val="001419D7"/>
    <w:rsid w:val="00141B41"/>
    <w:rsid w:val="00141CCA"/>
    <w:rsid w:val="00141E25"/>
    <w:rsid w:val="0014214B"/>
    <w:rsid w:val="00142560"/>
    <w:rsid w:val="001429C2"/>
    <w:rsid w:val="00143D03"/>
    <w:rsid w:val="00144D68"/>
    <w:rsid w:val="00150CB3"/>
    <w:rsid w:val="00151129"/>
    <w:rsid w:val="00151936"/>
    <w:rsid w:val="00151D08"/>
    <w:rsid w:val="00152A7E"/>
    <w:rsid w:val="00152FDA"/>
    <w:rsid w:val="00154785"/>
    <w:rsid w:val="00155B3D"/>
    <w:rsid w:val="00155C13"/>
    <w:rsid w:val="00156216"/>
    <w:rsid w:val="0015738F"/>
    <w:rsid w:val="00160CB0"/>
    <w:rsid w:val="00161A37"/>
    <w:rsid w:val="001643A4"/>
    <w:rsid w:val="00165347"/>
    <w:rsid w:val="00165995"/>
    <w:rsid w:val="00171685"/>
    <w:rsid w:val="00172F4D"/>
    <w:rsid w:val="0017335A"/>
    <w:rsid w:val="00173B85"/>
    <w:rsid w:val="00173DE5"/>
    <w:rsid w:val="00174AD4"/>
    <w:rsid w:val="00175AE1"/>
    <w:rsid w:val="00176A9A"/>
    <w:rsid w:val="00180188"/>
    <w:rsid w:val="001824DD"/>
    <w:rsid w:val="001827CB"/>
    <w:rsid w:val="00182A86"/>
    <w:rsid w:val="00182EEE"/>
    <w:rsid w:val="0018335C"/>
    <w:rsid w:val="00185A59"/>
    <w:rsid w:val="0018635C"/>
    <w:rsid w:val="00190961"/>
    <w:rsid w:val="00191C4D"/>
    <w:rsid w:val="00192CDC"/>
    <w:rsid w:val="00192CE0"/>
    <w:rsid w:val="001961C8"/>
    <w:rsid w:val="00197BB3"/>
    <w:rsid w:val="001A0A19"/>
    <w:rsid w:val="001A0E7A"/>
    <w:rsid w:val="001A1753"/>
    <w:rsid w:val="001A1FB1"/>
    <w:rsid w:val="001A217F"/>
    <w:rsid w:val="001A2EBE"/>
    <w:rsid w:val="001A40A1"/>
    <w:rsid w:val="001A4E88"/>
    <w:rsid w:val="001A78DE"/>
    <w:rsid w:val="001A7FD7"/>
    <w:rsid w:val="001B0444"/>
    <w:rsid w:val="001B0BE3"/>
    <w:rsid w:val="001B2F08"/>
    <w:rsid w:val="001B39FA"/>
    <w:rsid w:val="001B5217"/>
    <w:rsid w:val="001B5D90"/>
    <w:rsid w:val="001B6E10"/>
    <w:rsid w:val="001B789E"/>
    <w:rsid w:val="001C01AF"/>
    <w:rsid w:val="001C24BF"/>
    <w:rsid w:val="001C2ED7"/>
    <w:rsid w:val="001C47C8"/>
    <w:rsid w:val="001C5143"/>
    <w:rsid w:val="001C6F95"/>
    <w:rsid w:val="001C763E"/>
    <w:rsid w:val="001D0C03"/>
    <w:rsid w:val="001D1560"/>
    <w:rsid w:val="001D17C2"/>
    <w:rsid w:val="001D2F93"/>
    <w:rsid w:val="001D2FC9"/>
    <w:rsid w:val="001D30D8"/>
    <w:rsid w:val="001D3178"/>
    <w:rsid w:val="001D33DD"/>
    <w:rsid w:val="001D3585"/>
    <w:rsid w:val="001D4EA4"/>
    <w:rsid w:val="001D5434"/>
    <w:rsid w:val="001D567B"/>
    <w:rsid w:val="001D612F"/>
    <w:rsid w:val="001D745B"/>
    <w:rsid w:val="001E01F9"/>
    <w:rsid w:val="001E074F"/>
    <w:rsid w:val="001E1959"/>
    <w:rsid w:val="001E1EEE"/>
    <w:rsid w:val="001E2866"/>
    <w:rsid w:val="001E2A7A"/>
    <w:rsid w:val="001E4B0D"/>
    <w:rsid w:val="001E6679"/>
    <w:rsid w:val="001E6C8C"/>
    <w:rsid w:val="001E7D79"/>
    <w:rsid w:val="001F4619"/>
    <w:rsid w:val="001F4D43"/>
    <w:rsid w:val="001F4F5C"/>
    <w:rsid w:val="001F5388"/>
    <w:rsid w:val="001F5745"/>
    <w:rsid w:val="001F6290"/>
    <w:rsid w:val="001F6378"/>
    <w:rsid w:val="001F7341"/>
    <w:rsid w:val="001F774C"/>
    <w:rsid w:val="0020001F"/>
    <w:rsid w:val="0020059F"/>
    <w:rsid w:val="00200651"/>
    <w:rsid w:val="00200E03"/>
    <w:rsid w:val="0020112B"/>
    <w:rsid w:val="002025CC"/>
    <w:rsid w:val="0020324E"/>
    <w:rsid w:val="00203979"/>
    <w:rsid w:val="00203E16"/>
    <w:rsid w:val="00204675"/>
    <w:rsid w:val="00205185"/>
    <w:rsid w:val="00205753"/>
    <w:rsid w:val="00205CAE"/>
    <w:rsid w:val="0020632A"/>
    <w:rsid w:val="002075B6"/>
    <w:rsid w:val="002076CC"/>
    <w:rsid w:val="00210A2D"/>
    <w:rsid w:val="00210DF2"/>
    <w:rsid w:val="002110EB"/>
    <w:rsid w:val="00211338"/>
    <w:rsid w:val="00212401"/>
    <w:rsid w:val="00213541"/>
    <w:rsid w:val="0021518A"/>
    <w:rsid w:val="00215618"/>
    <w:rsid w:val="00215B97"/>
    <w:rsid w:val="00216AEE"/>
    <w:rsid w:val="00216E64"/>
    <w:rsid w:val="002177D9"/>
    <w:rsid w:val="00217988"/>
    <w:rsid w:val="00217C7F"/>
    <w:rsid w:val="00220120"/>
    <w:rsid w:val="002203DA"/>
    <w:rsid w:val="00220E20"/>
    <w:rsid w:val="0022167B"/>
    <w:rsid w:val="002232F5"/>
    <w:rsid w:val="002246A7"/>
    <w:rsid w:val="002249BC"/>
    <w:rsid w:val="002255EF"/>
    <w:rsid w:val="002270C0"/>
    <w:rsid w:val="002309D1"/>
    <w:rsid w:val="00230F89"/>
    <w:rsid w:val="00233909"/>
    <w:rsid w:val="002339D3"/>
    <w:rsid w:val="00234113"/>
    <w:rsid w:val="00234B84"/>
    <w:rsid w:val="00234C1A"/>
    <w:rsid w:val="002364D4"/>
    <w:rsid w:val="0023691B"/>
    <w:rsid w:val="002379B1"/>
    <w:rsid w:val="002409B6"/>
    <w:rsid w:val="002439AD"/>
    <w:rsid w:val="00243EE8"/>
    <w:rsid w:val="0024424D"/>
    <w:rsid w:val="002456B1"/>
    <w:rsid w:val="002456DB"/>
    <w:rsid w:val="00246944"/>
    <w:rsid w:val="00247C35"/>
    <w:rsid w:val="0025069C"/>
    <w:rsid w:val="0025151A"/>
    <w:rsid w:val="002534F1"/>
    <w:rsid w:val="002538B5"/>
    <w:rsid w:val="00254711"/>
    <w:rsid w:val="00255215"/>
    <w:rsid w:val="00255D2C"/>
    <w:rsid w:val="002560F8"/>
    <w:rsid w:val="00256CE7"/>
    <w:rsid w:val="002576FD"/>
    <w:rsid w:val="00257918"/>
    <w:rsid w:val="00261136"/>
    <w:rsid w:val="002627A8"/>
    <w:rsid w:val="0026362F"/>
    <w:rsid w:val="00263755"/>
    <w:rsid w:val="0026403D"/>
    <w:rsid w:val="002647F7"/>
    <w:rsid w:val="00264E94"/>
    <w:rsid w:val="002654C1"/>
    <w:rsid w:val="0026616C"/>
    <w:rsid w:val="00267A47"/>
    <w:rsid w:val="00267DDA"/>
    <w:rsid w:val="002708A2"/>
    <w:rsid w:val="00271043"/>
    <w:rsid w:val="002725EE"/>
    <w:rsid w:val="00272858"/>
    <w:rsid w:val="00272FBF"/>
    <w:rsid w:val="002737FD"/>
    <w:rsid w:val="00273E83"/>
    <w:rsid w:val="00274DDF"/>
    <w:rsid w:val="00275C49"/>
    <w:rsid w:val="00275E86"/>
    <w:rsid w:val="00277969"/>
    <w:rsid w:val="002801C7"/>
    <w:rsid w:val="002841E3"/>
    <w:rsid w:val="00284D31"/>
    <w:rsid w:val="00285503"/>
    <w:rsid w:val="00285AC8"/>
    <w:rsid w:val="00285AC9"/>
    <w:rsid w:val="00286089"/>
    <w:rsid w:val="00286153"/>
    <w:rsid w:val="00287343"/>
    <w:rsid w:val="00287741"/>
    <w:rsid w:val="00290E9F"/>
    <w:rsid w:val="002914E1"/>
    <w:rsid w:val="00291C4F"/>
    <w:rsid w:val="00291EB5"/>
    <w:rsid w:val="00291FE3"/>
    <w:rsid w:val="002938BD"/>
    <w:rsid w:val="00293BBD"/>
    <w:rsid w:val="002941C6"/>
    <w:rsid w:val="00296B40"/>
    <w:rsid w:val="002A2E12"/>
    <w:rsid w:val="002A3452"/>
    <w:rsid w:val="002A3C30"/>
    <w:rsid w:val="002A3C35"/>
    <w:rsid w:val="002A460E"/>
    <w:rsid w:val="002A4F9E"/>
    <w:rsid w:val="002A5498"/>
    <w:rsid w:val="002A5F87"/>
    <w:rsid w:val="002A695B"/>
    <w:rsid w:val="002B3433"/>
    <w:rsid w:val="002B41FB"/>
    <w:rsid w:val="002B4390"/>
    <w:rsid w:val="002B55C7"/>
    <w:rsid w:val="002B588A"/>
    <w:rsid w:val="002B6B8F"/>
    <w:rsid w:val="002C088B"/>
    <w:rsid w:val="002C216A"/>
    <w:rsid w:val="002C28E1"/>
    <w:rsid w:val="002C2B56"/>
    <w:rsid w:val="002C2D1E"/>
    <w:rsid w:val="002C32E1"/>
    <w:rsid w:val="002C40FB"/>
    <w:rsid w:val="002C4C0C"/>
    <w:rsid w:val="002C5565"/>
    <w:rsid w:val="002C57C8"/>
    <w:rsid w:val="002C6821"/>
    <w:rsid w:val="002D08FE"/>
    <w:rsid w:val="002D155C"/>
    <w:rsid w:val="002D1FC4"/>
    <w:rsid w:val="002D2CD0"/>
    <w:rsid w:val="002D3589"/>
    <w:rsid w:val="002D3FF2"/>
    <w:rsid w:val="002D481A"/>
    <w:rsid w:val="002D65E2"/>
    <w:rsid w:val="002D7275"/>
    <w:rsid w:val="002E06A1"/>
    <w:rsid w:val="002E257B"/>
    <w:rsid w:val="002E7580"/>
    <w:rsid w:val="002E78D5"/>
    <w:rsid w:val="002E7979"/>
    <w:rsid w:val="002F334B"/>
    <w:rsid w:val="002F4470"/>
    <w:rsid w:val="002F7BD7"/>
    <w:rsid w:val="003016E2"/>
    <w:rsid w:val="00301ABA"/>
    <w:rsid w:val="003033BA"/>
    <w:rsid w:val="00304580"/>
    <w:rsid w:val="00304B38"/>
    <w:rsid w:val="0030589C"/>
    <w:rsid w:val="00306C30"/>
    <w:rsid w:val="00307067"/>
    <w:rsid w:val="003073C0"/>
    <w:rsid w:val="00307855"/>
    <w:rsid w:val="003078D7"/>
    <w:rsid w:val="003108EF"/>
    <w:rsid w:val="0031206F"/>
    <w:rsid w:val="00312204"/>
    <w:rsid w:val="00312ADC"/>
    <w:rsid w:val="00312D89"/>
    <w:rsid w:val="00314C7D"/>
    <w:rsid w:val="00315FA4"/>
    <w:rsid w:val="00316214"/>
    <w:rsid w:val="003162C8"/>
    <w:rsid w:val="00316B16"/>
    <w:rsid w:val="00320075"/>
    <w:rsid w:val="00321018"/>
    <w:rsid w:val="00322937"/>
    <w:rsid w:val="0032350A"/>
    <w:rsid w:val="003238A9"/>
    <w:rsid w:val="00324011"/>
    <w:rsid w:val="0032590F"/>
    <w:rsid w:val="00327549"/>
    <w:rsid w:val="00327CEB"/>
    <w:rsid w:val="00330722"/>
    <w:rsid w:val="00331030"/>
    <w:rsid w:val="00334638"/>
    <w:rsid w:val="00335863"/>
    <w:rsid w:val="003404C6"/>
    <w:rsid w:val="0034096E"/>
    <w:rsid w:val="0034177C"/>
    <w:rsid w:val="00341D52"/>
    <w:rsid w:val="00341F89"/>
    <w:rsid w:val="003429F6"/>
    <w:rsid w:val="00343547"/>
    <w:rsid w:val="00344B03"/>
    <w:rsid w:val="00345705"/>
    <w:rsid w:val="0034680A"/>
    <w:rsid w:val="00347024"/>
    <w:rsid w:val="00350AA9"/>
    <w:rsid w:val="00350DA7"/>
    <w:rsid w:val="00352AD1"/>
    <w:rsid w:val="00353653"/>
    <w:rsid w:val="00353DD5"/>
    <w:rsid w:val="00353EE8"/>
    <w:rsid w:val="00355084"/>
    <w:rsid w:val="00355E8C"/>
    <w:rsid w:val="00357167"/>
    <w:rsid w:val="00361495"/>
    <w:rsid w:val="003618CD"/>
    <w:rsid w:val="00361BA8"/>
    <w:rsid w:val="00361F13"/>
    <w:rsid w:val="00364EF6"/>
    <w:rsid w:val="003652E7"/>
    <w:rsid w:val="00366283"/>
    <w:rsid w:val="00366693"/>
    <w:rsid w:val="00367828"/>
    <w:rsid w:val="00371F43"/>
    <w:rsid w:val="00372E26"/>
    <w:rsid w:val="003754D2"/>
    <w:rsid w:val="003757C2"/>
    <w:rsid w:val="00376930"/>
    <w:rsid w:val="00380FAE"/>
    <w:rsid w:val="00381C32"/>
    <w:rsid w:val="00381F36"/>
    <w:rsid w:val="003834F8"/>
    <w:rsid w:val="00384C43"/>
    <w:rsid w:val="00385CF3"/>
    <w:rsid w:val="00386456"/>
    <w:rsid w:val="003901B3"/>
    <w:rsid w:val="003903B0"/>
    <w:rsid w:val="00390C02"/>
    <w:rsid w:val="003912A3"/>
    <w:rsid w:val="0039143D"/>
    <w:rsid w:val="003923F8"/>
    <w:rsid w:val="003949EE"/>
    <w:rsid w:val="003964D5"/>
    <w:rsid w:val="00396918"/>
    <w:rsid w:val="003A0878"/>
    <w:rsid w:val="003A0EBE"/>
    <w:rsid w:val="003A2797"/>
    <w:rsid w:val="003A30B4"/>
    <w:rsid w:val="003A3529"/>
    <w:rsid w:val="003A48FA"/>
    <w:rsid w:val="003A4CA4"/>
    <w:rsid w:val="003A581E"/>
    <w:rsid w:val="003A5E90"/>
    <w:rsid w:val="003A6751"/>
    <w:rsid w:val="003A7F89"/>
    <w:rsid w:val="003B027A"/>
    <w:rsid w:val="003B2341"/>
    <w:rsid w:val="003B267F"/>
    <w:rsid w:val="003B3044"/>
    <w:rsid w:val="003B43DB"/>
    <w:rsid w:val="003B49DA"/>
    <w:rsid w:val="003B68EA"/>
    <w:rsid w:val="003B73DE"/>
    <w:rsid w:val="003C004D"/>
    <w:rsid w:val="003C01B1"/>
    <w:rsid w:val="003C0588"/>
    <w:rsid w:val="003C0D86"/>
    <w:rsid w:val="003C6CBA"/>
    <w:rsid w:val="003C75FC"/>
    <w:rsid w:val="003D1BE9"/>
    <w:rsid w:val="003D33FF"/>
    <w:rsid w:val="003D3D29"/>
    <w:rsid w:val="003D3D9D"/>
    <w:rsid w:val="003D43B0"/>
    <w:rsid w:val="003D45AC"/>
    <w:rsid w:val="003D527E"/>
    <w:rsid w:val="003D6C03"/>
    <w:rsid w:val="003D6EB5"/>
    <w:rsid w:val="003D7E29"/>
    <w:rsid w:val="003E04EE"/>
    <w:rsid w:val="003E0D9E"/>
    <w:rsid w:val="003E1992"/>
    <w:rsid w:val="003E1DFC"/>
    <w:rsid w:val="003E323D"/>
    <w:rsid w:val="003E4A30"/>
    <w:rsid w:val="003E6423"/>
    <w:rsid w:val="003E6884"/>
    <w:rsid w:val="003E71FC"/>
    <w:rsid w:val="003E7AA5"/>
    <w:rsid w:val="003F00C3"/>
    <w:rsid w:val="003F0161"/>
    <w:rsid w:val="003F18DE"/>
    <w:rsid w:val="003F1D3C"/>
    <w:rsid w:val="003F4E89"/>
    <w:rsid w:val="0040246E"/>
    <w:rsid w:val="004030F2"/>
    <w:rsid w:val="00405913"/>
    <w:rsid w:val="00406251"/>
    <w:rsid w:val="00406A1A"/>
    <w:rsid w:val="0040737C"/>
    <w:rsid w:val="00407705"/>
    <w:rsid w:val="0040799E"/>
    <w:rsid w:val="004129BB"/>
    <w:rsid w:val="00412A43"/>
    <w:rsid w:val="00413C8D"/>
    <w:rsid w:val="00413E61"/>
    <w:rsid w:val="00414152"/>
    <w:rsid w:val="00414BC9"/>
    <w:rsid w:val="00415DDE"/>
    <w:rsid w:val="00416308"/>
    <w:rsid w:val="00416996"/>
    <w:rsid w:val="00417025"/>
    <w:rsid w:val="00417425"/>
    <w:rsid w:val="00420A6C"/>
    <w:rsid w:val="00421624"/>
    <w:rsid w:val="00421DF6"/>
    <w:rsid w:val="004228D3"/>
    <w:rsid w:val="00423F66"/>
    <w:rsid w:val="00423F9F"/>
    <w:rsid w:val="00425FD7"/>
    <w:rsid w:val="00426486"/>
    <w:rsid w:val="00426DD1"/>
    <w:rsid w:val="00427F2F"/>
    <w:rsid w:val="00430D86"/>
    <w:rsid w:val="00432AD1"/>
    <w:rsid w:val="00432B52"/>
    <w:rsid w:val="00433494"/>
    <w:rsid w:val="00434140"/>
    <w:rsid w:val="00435826"/>
    <w:rsid w:val="0043612C"/>
    <w:rsid w:val="004376B9"/>
    <w:rsid w:val="00437BA7"/>
    <w:rsid w:val="00440848"/>
    <w:rsid w:val="00440B8D"/>
    <w:rsid w:val="00441DC6"/>
    <w:rsid w:val="00441EE4"/>
    <w:rsid w:val="004422D6"/>
    <w:rsid w:val="0044490E"/>
    <w:rsid w:val="00446E21"/>
    <w:rsid w:val="00447165"/>
    <w:rsid w:val="00447729"/>
    <w:rsid w:val="004511B1"/>
    <w:rsid w:val="00451E90"/>
    <w:rsid w:val="00452F9A"/>
    <w:rsid w:val="00454101"/>
    <w:rsid w:val="00455438"/>
    <w:rsid w:val="00455EAA"/>
    <w:rsid w:val="00456AC2"/>
    <w:rsid w:val="00457110"/>
    <w:rsid w:val="00460D1C"/>
    <w:rsid w:val="00461E70"/>
    <w:rsid w:val="00464311"/>
    <w:rsid w:val="00466026"/>
    <w:rsid w:val="0046603E"/>
    <w:rsid w:val="00466082"/>
    <w:rsid w:val="0046653B"/>
    <w:rsid w:val="0046694E"/>
    <w:rsid w:val="00472B78"/>
    <w:rsid w:val="00472BBB"/>
    <w:rsid w:val="0047380F"/>
    <w:rsid w:val="0047426F"/>
    <w:rsid w:val="0047453E"/>
    <w:rsid w:val="004746AD"/>
    <w:rsid w:val="00474E3B"/>
    <w:rsid w:val="00475F18"/>
    <w:rsid w:val="00477498"/>
    <w:rsid w:val="00477514"/>
    <w:rsid w:val="004779F8"/>
    <w:rsid w:val="00480824"/>
    <w:rsid w:val="00480D03"/>
    <w:rsid w:val="00480ECA"/>
    <w:rsid w:val="00482900"/>
    <w:rsid w:val="00485814"/>
    <w:rsid w:val="004861E4"/>
    <w:rsid w:val="0048674D"/>
    <w:rsid w:val="004870BB"/>
    <w:rsid w:val="004872D8"/>
    <w:rsid w:val="0048754A"/>
    <w:rsid w:val="00487BC0"/>
    <w:rsid w:val="00487C10"/>
    <w:rsid w:val="00490A62"/>
    <w:rsid w:val="0049241A"/>
    <w:rsid w:val="004956F3"/>
    <w:rsid w:val="00496FA4"/>
    <w:rsid w:val="004974CD"/>
    <w:rsid w:val="004A0085"/>
    <w:rsid w:val="004A0106"/>
    <w:rsid w:val="004A0F49"/>
    <w:rsid w:val="004A34D2"/>
    <w:rsid w:val="004A4F76"/>
    <w:rsid w:val="004A677C"/>
    <w:rsid w:val="004A6841"/>
    <w:rsid w:val="004A7B59"/>
    <w:rsid w:val="004B0B42"/>
    <w:rsid w:val="004B1292"/>
    <w:rsid w:val="004B1C70"/>
    <w:rsid w:val="004B353C"/>
    <w:rsid w:val="004B3D4D"/>
    <w:rsid w:val="004B45A7"/>
    <w:rsid w:val="004B580E"/>
    <w:rsid w:val="004B6500"/>
    <w:rsid w:val="004B6E7D"/>
    <w:rsid w:val="004B7D5F"/>
    <w:rsid w:val="004C246A"/>
    <w:rsid w:val="004C31AF"/>
    <w:rsid w:val="004C3ADF"/>
    <w:rsid w:val="004C3BA4"/>
    <w:rsid w:val="004C484C"/>
    <w:rsid w:val="004C49B9"/>
    <w:rsid w:val="004C59F7"/>
    <w:rsid w:val="004C60C5"/>
    <w:rsid w:val="004C755C"/>
    <w:rsid w:val="004C7603"/>
    <w:rsid w:val="004D087D"/>
    <w:rsid w:val="004D22DE"/>
    <w:rsid w:val="004D4A87"/>
    <w:rsid w:val="004D52FA"/>
    <w:rsid w:val="004D53FA"/>
    <w:rsid w:val="004D5756"/>
    <w:rsid w:val="004D63F7"/>
    <w:rsid w:val="004D65AC"/>
    <w:rsid w:val="004D702B"/>
    <w:rsid w:val="004D7944"/>
    <w:rsid w:val="004D7D21"/>
    <w:rsid w:val="004D7FB4"/>
    <w:rsid w:val="004E05CC"/>
    <w:rsid w:val="004E07A4"/>
    <w:rsid w:val="004E4C6D"/>
    <w:rsid w:val="004E5463"/>
    <w:rsid w:val="004E5A0D"/>
    <w:rsid w:val="004E679C"/>
    <w:rsid w:val="004F0804"/>
    <w:rsid w:val="004F1425"/>
    <w:rsid w:val="004F16DB"/>
    <w:rsid w:val="004F30F8"/>
    <w:rsid w:val="004F3492"/>
    <w:rsid w:val="004F3517"/>
    <w:rsid w:val="004F3CDF"/>
    <w:rsid w:val="004F49DE"/>
    <w:rsid w:val="004F510B"/>
    <w:rsid w:val="004F5B24"/>
    <w:rsid w:val="004F6048"/>
    <w:rsid w:val="00501473"/>
    <w:rsid w:val="00504E1A"/>
    <w:rsid w:val="005051F8"/>
    <w:rsid w:val="0051074C"/>
    <w:rsid w:val="00510CF8"/>
    <w:rsid w:val="005112E4"/>
    <w:rsid w:val="00511922"/>
    <w:rsid w:val="00513AF2"/>
    <w:rsid w:val="00514439"/>
    <w:rsid w:val="00514D99"/>
    <w:rsid w:val="00514E3C"/>
    <w:rsid w:val="00515D32"/>
    <w:rsid w:val="0051759B"/>
    <w:rsid w:val="005216C1"/>
    <w:rsid w:val="00523703"/>
    <w:rsid w:val="00525997"/>
    <w:rsid w:val="00525FE7"/>
    <w:rsid w:val="005265E4"/>
    <w:rsid w:val="00526943"/>
    <w:rsid w:val="00527E3C"/>
    <w:rsid w:val="0053038B"/>
    <w:rsid w:val="0053170C"/>
    <w:rsid w:val="00531D5C"/>
    <w:rsid w:val="00532B96"/>
    <w:rsid w:val="00535106"/>
    <w:rsid w:val="005355D8"/>
    <w:rsid w:val="00535A34"/>
    <w:rsid w:val="0054155D"/>
    <w:rsid w:val="00542065"/>
    <w:rsid w:val="00542B62"/>
    <w:rsid w:val="00542BA7"/>
    <w:rsid w:val="0054413A"/>
    <w:rsid w:val="0054713D"/>
    <w:rsid w:val="005472F5"/>
    <w:rsid w:val="00550567"/>
    <w:rsid w:val="00550D93"/>
    <w:rsid w:val="005514ED"/>
    <w:rsid w:val="00551FE1"/>
    <w:rsid w:val="005526A0"/>
    <w:rsid w:val="00552754"/>
    <w:rsid w:val="00553DE0"/>
    <w:rsid w:val="00554A77"/>
    <w:rsid w:val="005564CA"/>
    <w:rsid w:val="005601A8"/>
    <w:rsid w:val="00561506"/>
    <w:rsid w:val="0056182B"/>
    <w:rsid w:val="005622EB"/>
    <w:rsid w:val="00562332"/>
    <w:rsid w:val="0056311D"/>
    <w:rsid w:val="0056728F"/>
    <w:rsid w:val="00567F3B"/>
    <w:rsid w:val="00570F08"/>
    <w:rsid w:val="0057142B"/>
    <w:rsid w:val="005721B3"/>
    <w:rsid w:val="00573F4F"/>
    <w:rsid w:val="005756AA"/>
    <w:rsid w:val="0057591C"/>
    <w:rsid w:val="00575A1C"/>
    <w:rsid w:val="0057646F"/>
    <w:rsid w:val="00577148"/>
    <w:rsid w:val="005771B5"/>
    <w:rsid w:val="005829DE"/>
    <w:rsid w:val="00582AE3"/>
    <w:rsid w:val="00583D79"/>
    <w:rsid w:val="00584054"/>
    <w:rsid w:val="00584D9E"/>
    <w:rsid w:val="0058679D"/>
    <w:rsid w:val="00586BDB"/>
    <w:rsid w:val="00587458"/>
    <w:rsid w:val="005879CA"/>
    <w:rsid w:val="00587E63"/>
    <w:rsid w:val="00590095"/>
    <w:rsid w:val="00590380"/>
    <w:rsid w:val="005930B1"/>
    <w:rsid w:val="0059377A"/>
    <w:rsid w:val="0059502B"/>
    <w:rsid w:val="00596896"/>
    <w:rsid w:val="00597412"/>
    <w:rsid w:val="005A0414"/>
    <w:rsid w:val="005A119F"/>
    <w:rsid w:val="005A1645"/>
    <w:rsid w:val="005A2130"/>
    <w:rsid w:val="005A4FC5"/>
    <w:rsid w:val="005A5914"/>
    <w:rsid w:val="005A6AB9"/>
    <w:rsid w:val="005A7DBD"/>
    <w:rsid w:val="005B1144"/>
    <w:rsid w:val="005B1772"/>
    <w:rsid w:val="005B1817"/>
    <w:rsid w:val="005B4267"/>
    <w:rsid w:val="005B54D4"/>
    <w:rsid w:val="005B59E8"/>
    <w:rsid w:val="005B5BE2"/>
    <w:rsid w:val="005B753A"/>
    <w:rsid w:val="005C00FA"/>
    <w:rsid w:val="005C04BF"/>
    <w:rsid w:val="005C12C8"/>
    <w:rsid w:val="005C2A3B"/>
    <w:rsid w:val="005C343C"/>
    <w:rsid w:val="005C3BE4"/>
    <w:rsid w:val="005C5C9A"/>
    <w:rsid w:val="005C6A48"/>
    <w:rsid w:val="005C6C85"/>
    <w:rsid w:val="005C7184"/>
    <w:rsid w:val="005C7FC4"/>
    <w:rsid w:val="005D0467"/>
    <w:rsid w:val="005D1BC0"/>
    <w:rsid w:val="005D3155"/>
    <w:rsid w:val="005D35B6"/>
    <w:rsid w:val="005D36B1"/>
    <w:rsid w:val="005D483D"/>
    <w:rsid w:val="005D4AEF"/>
    <w:rsid w:val="005D4E8A"/>
    <w:rsid w:val="005D50CE"/>
    <w:rsid w:val="005D51FA"/>
    <w:rsid w:val="005D5B90"/>
    <w:rsid w:val="005D791B"/>
    <w:rsid w:val="005E01CE"/>
    <w:rsid w:val="005E09A6"/>
    <w:rsid w:val="005E139E"/>
    <w:rsid w:val="005E1974"/>
    <w:rsid w:val="005E2C01"/>
    <w:rsid w:val="005E363E"/>
    <w:rsid w:val="005E3B5B"/>
    <w:rsid w:val="005E42CD"/>
    <w:rsid w:val="005E4765"/>
    <w:rsid w:val="005E5651"/>
    <w:rsid w:val="005E5697"/>
    <w:rsid w:val="005E5B1E"/>
    <w:rsid w:val="005F055F"/>
    <w:rsid w:val="005F1B0F"/>
    <w:rsid w:val="005F22F9"/>
    <w:rsid w:val="005F317C"/>
    <w:rsid w:val="005F37CD"/>
    <w:rsid w:val="005F3CD0"/>
    <w:rsid w:val="005F51FB"/>
    <w:rsid w:val="005F53B6"/>
    <w:rsid w:val="005F599B"/>
    <w:rsid w:val="005F650A"/>
    <w:rsid w:val="005F68F7"/>
    <w:rsid w:val="005F788C"/>
    <w:rsid w:val="0060070B"/>
    <w:rsid w:val="006009A3"/>
    <w:rsid w:val="00602708"/>
    <w:rsid w:val="00603E4D"/>
    <w:rsid w:val="00603FBE"/>
    <w:rsid w:val="00604384"/>
    <w:rsid w:val="00604893"/>
    <w:rsid w:val="00604B04"/>
    <w:rsid w:val="006058F6"/>
    <w:rsid w:val="00611ED9"/>
    <w:rsid w:val="00612C51"/>
    <w:rsid w:val="00613FDA"/>
    <w:rsid w:val="006146F1"/>
    <w:rsid w:val="00614817"/>
    <w:rsid w:val="00616E1F"/>
    <w:rsid w:val="00620C5F"/>
    <w:rsid w:val="00620FE8"/>
    <w:rsid w:val="00621021"/>
    <w:rsid w:val="00621A1E"/>
    <w:rsid w:val="00623D2C"/>
    <w:rsid w:val="00624498"/>
    <w:rsid w:val="00625EEF"/>
    <w:rsid w:val="0062724E"/>
    <w:rsid w:val="00630D7C"/>
    <w:rsid w:val="006318E7"/>
    <w:rsid w:val="0063224F"/>
    <w:rsid w:val="0063269D"/>
    <w:rsid w:val="00633DBF"/>
    <w:rsid w:val="006341BB"/>
    <w:rsid w:val="006343EE"/>
    <w:rsid w:val="0063440E"/>
    <w:rsid w:val="00635DED"/>
    <w:rsid w:val="0063667E"/>
    <w:rsid w:val="00636963"/>
    <w:rsid w:val="0063754D"/>
    <w:rsid w:val="00643B51"/>
    <w:rsid w:val="006441CE"/>
    <w:rsid w:val="006447B9"/>
    <w:rsid w:val="00644D7F"/>
    <w:rsid w:val="0064514E"/>
    <w:rsid w:val="00650FE8"/>
    <w:rsid w:val="00651335"/>
    <w:rsid w:val="006518DC"/>
    <w:rsid w:val="00651D7C"/>
    <w:rsid w:val="00652BAA"/>
    <w:rsid w:val="00653CA3"/>
    <w:rsid w:val="00654069"/>
    <w:rsid w:val="0065480B"/>
    <w:rsid w:val="00655371"/>
    <w:rsid w:val="006559E3"/>
    <w:rsid w:val="00656EB7"/>
    <w:rsid w:val="00657259"/>
    <w:rsid w:val="00657446"/>
    <w:rsid w:val="00660D51"/>
    <w:rsid w:val="00662C7E"/>
    <w:rsid w:val="0066325D"/>
    <w:rsid w:val="00667768"/>
    <w:rsid w:val="006678A3"/>
    <w:rsid w:val="00667E0E"/>
    <w:rsid w:val="00670466"/>
    <w:rsid w:val="006709A7"/>
    <w:rsid w:val="0067148D"/>
    <w:rsid w:val="0067157B"/>
    <w:rsid w:val="00672272"/>
    <w:rsid w:val="00672725"/>
    <w:rsid w:val="006728A0"/>
    <w:rsid w:val="006734E6"/>
    <w:rsid w:val="006748E0"/>
    <w:rsid w:val="00674F99"/>
    <w:rsid w:val="00677097"/>
    <w:rsid w:val="006807C6"/>
    <w:rsid w:val="00680B58"/>
    <w:rsid w:val="00681EED"/>
    <w:rsid w:val="00682E7B"/>
    <w:rsid w:val="006852F3"/>
    <w:rsid w:val="006906D4"/>
    <w:rsid w:val="0069141C"/>
    <w:rsid w:val="00691875"/>
    <w:rsid w:val="006919EA"/>
    <w:rsid w:val="00692992"/>
    <w:rsid w:val="00692F57"/>
    <w:rsid w:val="006954E4"/>
    <w:rsid w:val="00695740"/>
    <w:rsid w:val="00695B70"/>
    <w:rsid w:val="00697665"/>
    <w:rsid w:val="00697742"/>
    <w:rsid w:val="00697C55"/>
    <w:rsid w:val="00697DD0"/>
    <w:rsid w:val="006A0EB7"/>
    <w:rsid w:val="006A6ACB"/>
    <w:rsid w:val="006A7BB4"/>
    <w:rsid w:val="006A7CB5"/>
    <w:rsid w:val="006A7FD0"/>
    <w:rsid w:val="006B064B"/>
    <w:rsid w:val="006B08EC"/>
    <w:rsid w:val="006B0C4E"/>
    <w:rsid w:val="006B0D3D"/>
    <w:rsid w:val="006B1779"/>
    <w:rsid w:val="006B2398"/>
    <w:rsid w:val="006B24DE"/>
    <w:rsid w:val="006B2D45"/>
    <w:rsid w:val="006B318A"/>
    <w:rsid w:val="006B39D4"/>
    <w:rsid w:val="006B5019"/>
    <w:rsid w:val="006B5051"/>
    <w:rsid w:val="006B5FA9"/>
    <w:rsid w:val="006B6E0A"/>
    <w:rsid w:val="006B7ACA"/>
    <w:rsid w:val="006C06E6"/>
    <w:rsid w:val="006C116D"/>
    <w:rsid w:val="006C132E"/>
    <w:rsid w:val="006C1463"/>
    <w:rsid w:val="006C18C1"/>
    <w:rsid w:val="006C1A72"/>
    <w:rsid w:val="006C2A51"/>
    <w:rsid w:val="006C2B00"/>
    <w:rsid w:val="006C3B52"/>
    <w:rsid w:val="006C4F62"/>
    <w:rsid w:val="006C53B1"/>
    <w:rsid w:val="006C61D6"/>
    <w:rsid w:val="006C6EE9"/>
    <w:rsid w:val="006C771B"/>
    <w:rsid w:val="006C7CD4"/>
    <w:rsid w:val="006C7EC1"/>
    <w:rsid w:val="006C7F3D"/>
    <w:rsid w:val="006D0BAE"/>
    <w:rsid w:val="006D2519"/>
    <w:rsid w:val="006D5552"/>
    <w:rsid w:val="006D5B2B"/>
    <w:rsid w:val="006D6079"/>
    <w:rsid w:val="006D7687"/>
    <w:rsid w:val="006D78DC"/>
    <w:rsid w:val="006D7CF6"/>
    <w:rsid w:val="006E034F"/>
    <w:rsid w:val="006E0572"/>
    <w:rsid w:val="006E0932"/>
    <w:rsid w:val="006E131E"/>
    <w:rsid w:val="006E170C"/>
    <w:rsid w:val="006E19D3"/>
    <w:rsid w:val="006E1E98"/>
    <w:rsid w:val="006E37FA"/>
    <w:rsid w:val="006E59A1"/>
    <w:rsid w:val="006E66D9"/>
    <w:rsid w:val="006F3617"/>
    <w:rsid w:val="006F4EB3"/>
    <w:rsid w:val="006F56C4"/>
    <w:rsid w:val="006F6168"/>
    <w:rsid w:val="006F6B04"/>
    <w:rsid w:val="006F7679"/>
    <w:rsid w:val="00700370"/>
    <w:rsid w:val="00700B57"/>
    <w:rsid w:val="00700BFB"/>
    <w:rsid w:val="007014F8"/>
    <w:rsid w:val="00705403"/>
    <w:rsid w:val="00705631"/>
    <w:rsid w:val="00706C8B"/>
    <w:rsid w:val="00707531"/>
    <w:rsid w:val="00710134"/>
    <w:rsid w:val="00710DF4"/>
    <w:rsid w:val="00711205"/>
    <w:rsid w:val="00711F32"/>
    <w:rsid w:val="007136AC"/>
    <w:rsid w:val="00713BDB"/>
    <w:rsid w:val="00715437"/>
    <w:rsid w:val="00715EAA"/>
    <w:rsid w:val="0071643A"/>
    <w:rsid w:val="007168C5"/>
    <w:rsid w:val="00716CC3"/>
    <w:rsid w:val="00720050"/>
    <w:rsid w:val="007213F0"/>
    <w:rsid w:val="00721A10"/>
    <w:rsid w:val="00722293"/>
    <w:rsid w:val="00723A5D"/>
    <w:rsid w:val="00723B38"/>
    <w:rsid w:val="00724D11"/>
    <w:rsid w:val="00726952"/>
    <w:rsid w:val="00726F60"/>
    <w:rsid w:val="00730CAD"/>
    <w:rsid w:val="00733984"/>
    <w:rsid w:val="00733BCA"/>
    <w:rsid w:val="0073441F"/>
    <w:rsid w:val="0073589B"/>
    <w:rsid w:val="00735AEF"/>
    <w:rsid w:val="00735C0B"/>
    <w:rsid w:val="00736AB2"/>
    <w:rsid w:val="00737D33"/>
    <w:rsid w:val="00740E5C"/>
    <w:rsid w:val="007412B8"/>
    <w:rsid w:val="00741A9E"/>
    <w:rsid w:val="00742281"/>
    <w:rsid w:val="00742DD2"/>
    <w:rsid w:val="00746E08"/>
    <w:rsid w:val="00747C96"/>
    <w:rsid w:val="007503E9"/>
    <w:rsid w:val="0075094E"/>
    <w:rsid w:val="007522E8"/>
    <w:rsid w:val="00755CC4"/>
    <w:rsid w:val="0075647A"/>
    <w:rsid w:val="007572F9"/>
    <w:rsid w:val="00760166"/>
    <w:rsid w:val="00760D29"/>
    <w:rsid w:val="00762948"/>
    <w:rsid w:val="00762F48"/>
    <w:rsid w:val="007630EA"/>
    <w:rsid w:val="007634AD"/>
    <w:rsid w:val="00763845"/>
    <w:rsid w:val="00764011"/>
    <w:rsid w:val="0076432E"/>
    <w:rsid w:val="007668D9"/>
    <w:rsid w:val="00766A70"/>
    <w:rsid w:val="00766E39"/>
    <w:rsid w:val="0077057C"/>
    <w:rsid w:val="007707A7"/>
    <w:rsid w:val="00770A41"/>
    <w:rsid w:val="00770B28"/>
    <w:rsid w:val="00771DF3"/>
    <w:rsid w:val="00773CB2"/>
    <w:rsid w:val="00775563"/>
    <w:rsid w:val="00776689"/>
    <w:rsid w:val="007767FE"/>
    <w:rsid w:val="00776838"/>
    <w:rsid w:val="0078122E"/>
    <w:rsid w:val="00783A83"/>
    <w:rsid w:val="00786FF8"/>
    <w:rsid w:val="00792E66"/>
    <w:rsid w:val="00792F13"/>
    <w:rsid w:val="007930A5"/>
    <w:rsid w:val="00793E57"/>
    <w:rsid w:val="00794007"/>
    <w:rsid w:val="00795647"/>
    <w:rsid w:val="007970CB"/>
    <w:rsid w:val="007973B1"/>
    <w:rsid w:val="007A04A7"/>
    <w:rsid w:val="007A174B"/>
    <w:rsid w:val="007A3611"/>
    <w:rsid w:val="007A5737"/>
    <w:rsid w:val="007A5FD3"/>
    <w:rsid w:val="007A6125"/>
    <w:rsid w:val="007A7594"/>
    <w:rsid w:val="007A76FC"/>
    <w:rsid w:val="007B0854"/>
    <w:rsid w:val="007B1A29"/>
    <w:rsid w:val="007B1ACE"/>
    <w:rsid w:val="007B1D86"/>
    <w:rsid w:val="007B27D7"/>
    <w:rsid w:val="007B2D7A"/>
    <w:rsid w:val="007B4F45"/>
    <w:rsid w:val="007B4F4C"/>
    <w:rsid w:val="007B660A"/>
    <w:rsid w:val="007C0AB3"/>
    <w:rsid w:val="007C1528"/>
    <w:rsid w:val="007C15C8"/>
    <w:rsid w:val="007C209F"/>
    <w:rsid w:val="007C22B6"/>
    <w:rsid w:val="007C2357"/>
    <w:rsid w:val="007C2D7E"/>
    <w:rsid w:val="007C33A6"/>
    <w:rsid w:val="007C4A1C"/>
    <w:rsid w:val="007C4BE5"/>
    <w:rsid w:val="007C58BD"/>
    <w:rsid w:val="007C5C1C"/>
    <w:rsid w:val="007C691F"/>
    <w:rsid w:val="007D00BD"/>
    <w:rsid w:val="007D01F0"/>
    <w:rsid w:val="007D0B72"/>
    <w:rsid w:val="007D0DCE"/>
    <w:rsid w:val="007D2169"/>
    <w:rsid w:val="007D3671"/>
    <w:rsid w:val="007D4919"/>
    <w:rsid w:val="007D4DBE"/>
    <w:rsid w:val="007D4F06"/>
    <w:rsid w:val="007D4FD1"/>
    <w:rsid w:val="007D5C3E"/>
    <w:rsid w:val="007D6C71"/>
    <w:rsid w:val="007D7901"/>
    <w:rsid w:val="007D7DD8"/>
    <w:rsid w:val="007E02AE"/>
    <w:rsid w:val="007E0C58"/>
    <w:rsid w:val="007E1312"/>
    <w:rsid w:val="007E25A3"/>
    <w:rsid w:val="007E3ACA"/>
    <w:rsid w:val="007E5C16"/>
    <w:rsid w:val="007E676C"/>
    <w:rsid w:val="007E7A93"/>
    <w:rsid w:val="007F15AE"/>
    <w:rsid w:val="007F1C69"/>
    <w:rsid w:val="007F4032"/>
    <w:rsid w:val="007F4118"/>
    <w:rsid w:val="007F51B0"/>
    <w:rsid w:val="007F54FB"/>
    <w:rsid w:val="007F5623"/>
    <w:rsid w:val="007F573F"/>
    <w:rsid w:val="007F6A64"/>
    <w:rsid w:val="007F6B46"/>
    <w:rsid w:val="007F6D80"/>
    <w:rsid w:val="007F72CB"/>
    <w:rsid w:val="007F7D47"/>
    <w:rsid w:val="00800C47"/>
    <w:rsid w:val="0080224B"/>
    <w:rsid w:val="0080370F"/>
    <w:rsid w:val="0080514C"/>
    <w:rsid w:val="00806AD5"/>
    <w:rsid w:val="0081103C"/>
    <w:rsid w:val="008132FA"/>
    <w:rsid w:val="00813644"/>
    <w:rsid w:val="00813988"/>
    <w:rsid w:val="00814E0D"/>
    <w:rsid w:val="0081553B"/>
    <w:rsid w:val="00815BCC"/>
    <w:rsid w:val="008160B2"/>
    <w:rsid w:val="00817744"/>
    <w:rsid w:val="008178A8"/>
    <w:rsid w:val="00817C29"/>
    <w:rsid w:val="0082065D"/>
    <w:rsid w:val="00820A37"/>
    <w:rsid w:val="008217B7"/>
    <w:rsid w:val="00822950"/>
    <w:rsid w:val="00822C99"/>
    <w:rsid w:val="0082422A"/>
    <w:rsid w:val="00824BF9"/>
    <w:rsid w:val="00830018"/>
    <w:rsid w:val="00830303"/>
    <w:rsid w:val="0083119B"/>
    <w:rsid w:val="00833039"/>
    <w:rsid w:val="00835917"/>
    <w:rsid w:val="00836EAB"/>
    <w:rsid w:val="0083782B"/>
    <w:rsid w:val="00837845"/>
    <w:rsid w:val="00840960"/>
    <w:rsid w:val="008420C6"/>
    <w:rsid w:val="008423BA"/>
    <w:rsid w:val="008445AD"/>
    <w:rsid w:val="00844864"/>
    <w:rsid w:val="00845AF5"/>
    <w:rsid w:val="00845FC4"/>
    <w:rsid w:val="00846235"/>
    <w:rsid w:val="00846B3D"/>
    <w:rsid w:val="0085092D"/>
    <w:rsid w:val="00850F79"/>
    <w:rsid w:val="00851723"/>
    <w:rsid w:val="00851D62"/>
    <w:rsid w:val="00852EBF"/>
    <w:rsid w:val="00853074"/>
    <w:rsid w:val="00853AE0"/>
    <w:rsid w:val="00853AF8"/>
    <w:rsid w:val="00854D44"/>
    <w:rsid w:val="00854DB7"/>
    <w:rsid w:val="00857EEA"/>
    <w:rsid w:val="00860F20"/>
    <w:rsid w:val="00861D0A"/>
    <w:rsid w:val="00861F54"/>
    <w:rsid w:val="0086218A"/>
    <w:rsid w:val="008632AF"/>
    <w:rsid w:val="008636DE"/>
    <w:rsid w:val="00864821"/>
    <w:rsid w:val="008654BA"/>
    <w:rsid w:val="00870412"/>
    <w:rsid w:val="00870AF9"/>
    <w:rsid w:val="00871990"/>
    <w:rsid w:val="00872A2E"/>
    <w:rsid w:val="008749A9"/>
    <w:rsid w:val="00876146"/>
    <w:rsid w:val="0087668B"/>
    <w:rsid w:val="00876868"/>
    <w:rsid w:val="008770F7"/>
    <w:rsid w:val="00880378"/>
    <w:rsid w:val="00880D11"/>
    <w:rsid w:val="00881812"/>
    <w:rsid w:val="00881A23"/>
    <w:rsid w:val="00882C43"/>
    <w:rsid w:val="00882F5E"/>
    <w:rsid w:val="0088409B"/>
    <w:rsid w:val="0088434E"/>
    <w:rsid w:val="0088605D"/>
    <w:rsid w:val="00886168"/>
    <w:rsid w:val="00886E97"/>
    <w:rsid w:val="00887C57"/>
    <w:rsid w:val="00890D42"/>
    <w:rsid w:val="008915B7"/>
    <w:rsid w:val="00891FB0"/>
    <w:rsid w:val="008927F9"/>
    <w:rsid w:val="0089306D"/>
    <w:rsid w:val="00894211"/>
    <w:rsid w:val="00894D5C"/>
    <w:rsid w:val="008975B8"/>
    <w:rsid w:val="0089774F"/>
    <w:rsid w:val="008A18EE"/>
    <w:rsid w:val="008A1C35"/>
    <w:rsid w:val="008A1C99"/>
    <w:rsid w:val="008A1E91"/>
    <w:rsid w:val="008A2550"/>
    <w:rsid w:val="008A2823"/>
    <w:rsid w:val="008A3153"/>
    <w:rsid w:val="008A383B"/>
    <w:rsid w:val="008A4934"/>
    <w:rsid w:val="008A519B"/>
    <w:rsid w:val="008A5929"/>
    <w:rsid w:val="008B0FE7"/>
    <w:rsid w:val="008B1829"/>
    <w:rsid w:val="008B29AC"/>
    <w:rsid w:val="008B2C6A"/>
    <w:rsid w:val="008B3AED"/>
    <w:rsid w:val="008B6265"/>
    <w:rsid w:val="008B6B7E"/>
    <w:rsid w:val="008C01A4"/>
    <w:rsid w:val="008C2E55"/>
    <w:rsid w:val="008C30C7"/>
    <w:rsid w:val="008C34B5"/>
    <w:rsid w:val="008C3736"/>
    <w:rsid w:val="008C4741"/>
    <w:rsid w:val="008C5D2B"/>
    <w:rsid w:val="008C6F87"/>
    <w:rsid w:val="008C7425"/>
    <w:rsid w:val="008C7C2E"/>
    <w:rsid w:val="008D1EFE"/>
    <w:rsid w:val="008D271F"/>
    <w:rsid w:val="008D46D3"/>
    <w:rsid w:val="008D4731"/>
    <w:rsid w:val="008D56BF"/>
    <w:rsid w:val="008D572E"/>
    <w:rsid w:val="008D6907"/>
    <w:rsid w:val="008D711B"/>
    <w:rsid w:val="008D79F4"/>
    <w:rsid w:val="008D7EE7"/>
    <w:rsid w:val="008E1C15"/>
    <w:rsid w:val="008E35DC"/>
    <w:rsid w:val="008E3C08"/>
    <w:rsid w:val="008E4E6A"/>
    <w:rsid w:val="008E5687"/>
    <w:rsid w:val="008E7DBB"/>
    <w:rsid w:val="008F0B5E"/>
    <w:rsid w:val="008F0C40"/>
    <w:rsid w:val="008F2683"/>
    <w:rsid w:val="008F2D5F"/>
    <w:rsid w:val="008F39C7"/>
    <w:rsid w:val="008F538E"/>
    <w:rsid w:val="008F5551"/>
    <w:rsid w:val="008F6CB0"/>
    <w:rsid w:val="008F7712"/>
    <w:rsid w:val="008F7985"/>
    <w:rsid w:val="00900304"/>
    <w:rsid w:val="00900817"/>
    <w:rsid w:val="009008CF"/>
    <w:rsid w:val="00900F40"/>
    <w:rsid w:val="0090222E"/>
    <w:rsid w:val="009037EE"/>
    <w:rsid w:val="00904534"/>
    <w:rsid w:val="00904785"/>
    <w:rsid w:val="009047C5"/>
    <w:rsid w:val="009065BE"/>
    <w:rsid w:val="00906A56"/>
    <w:rsid w:val="0091187A"/>
    <w:rsid w:val="00911E6D"/>
    <w:rsid w:val="009139FF"/>
    <w:rsid w:val="00913DEE"/>
    <w:rsid w:val="00914DA0"/>
    <w:rsid w:val="00914F6A"/>
    <w:rsid w:val="00915799"/>
    <w:rsid w:val="00915933"/>
    <w:rsid w:val="00915B66"/>
    <w:rsid w:val="00915D2F"/>
    <w:rsid w:val="00916D58"/>
    <w:rsid w:val="009173EE"/>
    <w:rsid w:val="0091758D"/>
    <w:rsid w:val="00917D8E"/>
    <w:rsid w:val="00920A32"/>
    <w:rsid w:val="00921674"/>
    <w:rsid w:val="009224E5"/>
    <w:rsid w:val="00922597"/>
    <w:rsid w:val="00922786"/>
    <w:rsid w:val="009234B9"/>
    <w:rsid w:val="00923802"/>
    <w:rsid w:val="00923BB6"/>
    <w:rsid w:val="009246D0"/>
    <w:rsid w:val="00924C63"/>
    <w:rsid w:val="00927D00"/>
    <w:rsid w:val="009350C1"/>
    <w:rsid w:val="009368B9"/>
    <w:rsid w:val="00937020"/>
    <w:rsid w:val="00940DB9"/>
    <w:rsid w:val="0094567D"/>
    <w:rsid w:val="009458F0"/>
    <w:rsid w:val="009471A0"/>
    <w:rsid w:val="00947622"/>
    <w:rsid w:val="00951621"/>
    <w:rsid w:val="00951845"/>
    <w:rsid w:val="00951B07"/>
    <w:rsid w:val="00952E98"/>
    <w:rsid w:val="0095385A"/>
    <w:rsid w:val="009548D4"/>
    <w:rsid w:val="00955202"/>
    <w:rsid w:val="00955B44"/>
    <w:rsid w:val="00956821"/>
    <w:rsid w:val="00964425"/>
    <w:rsid w:val="00964942"/>
    <w:rsid w:val="009658C0"/>
    <w:rsid w:val="00967268"/>
    <w:rsid w:val="00967CD8"/>
    <w:rsid w:val="00970437"/>
    <w:rsid w:val="00971F9D"/>
    <w:rsid w:val="00971FAB"/>
    <w:rsid w:val="009726BB"/>
    <w:rsid w:val="0097606C"/>
    <w:rsid w:val="00976295"/>
    <w:rsid w:val="00981216"/>
    <w:rsid w:val="00982027"/>
    <w:rsid w:val="009820DB"/>
    <w:rsid w:val="0098238F"/>
    <w:rsid w:val="00983695"/>
    <w:rsid w:val="00983F3D"/>
    <w:rsid w:val="0098489D"/>
    <w:rsid w:val="00984AB9"/>
    <w:rsid w:val="009862D4"/>
    <w:rsid w:val="009875AF"/>
    <w:rsid w:val="009900DC"/>
    <w:rsid w:val="009906BE"/>
    <w:rsid w:val="0099095D"/>
    <w:rsid w:val="009916A7"/>
    <w:rsid w:val="00992127"/>
    <w:rsid w:val="009922C8"/>
    <w:rsid w:val="0099237F"/>
    <w:rsid w:val="0099262B"/>
    <w:rsid w:val="00994DF5"/>
    <w:rsid w:val="00994E2D"/>
    <w:rsid w:val="009976EE"/>
    <w:rsid w:val="009A0F94"/>
    <w:rsid w:val="009A23CE"/>
    <w:rsid w:val="009A2B57"/>
    <w:rsid w:val="009A3569"/>
    <w:rsid w:val="009A4826"/>
    <w:rsid w:val="009A60FC"/>
    <w:rsid w:val="009A758C"/>
    <w:rsid w:val="009B4776"/>
    <w:rsid w:val="009B512E"/>
    <w:rsid w:val="009B5190"/>
    <w:rsid w:val="009B5DE1"/>
    <w:rsid w:val="009B61A4"/>
    <w:rsid w:val="009B70F6"/>
    <w:rsid w:val="009C0D78"/>
    <w:rsid w:val="009C2DCC"/>
    <w:rsid w:val="009C31BE"/>
    <w:rsid w:val="009C37DC"/>
    <w:rsid w:val="009C38F7"/>
    <w:rsid w:val="009C57EF"/>
    <w:rsid w:val="009C6959"/>
    <w:rsid w:val="009C713B"/>
    <w:rsid w:val="009D33E7"/>
    <w:rsid w:val="009D3BBA"/>
    <w:rsid w:val="009D3CF6"/>
    <w:rsid w:val="009D4945"/>
    <w:rsid w:val="009D4B2F"/>
    <w:rsid w:val="009D5C7D"/>
    <w:rsid w:val="009D6E69"/>
    <w:rsid w:val="009E043B"/>
    <w:rsid w:val="009E2846"/>
    <w:rsid w:val="009E30D4"/>
    <w:rsid w:val="009E54F2"/>
    <w:rsid w:val="009E5853"/>
    <w:rsid w:val="009E5D6E"/>
    <w:rsid w:val="009E64D5"/>
    <w:rsid w:val="009F1040"/>
    <w:rsid w:val="009F261D"/>
    <w:rsid w:val="009F3602"/>
    <w:rsid w:val="009F38B4"/>
    <w:rsid w:val="009F5096"/>
    <w:rsid w:val="009F59C2"/>
    <w:rsid w:val="009F78A0"/>
    <w:rsid w:val="00A0103E"/>
    <w:rsid w:val="00A010FC"/>
    <w:rsid w:val="00A02213"/>
    <w:rsid w:val="00A02A2F"/>
    <w:rsid w:val="00A03425"/>
    <w:rsid w:val="00A03867"/>
    <w:rsid w:val="00A04977"/>
    <w:rsid w:val="00A04B5C"/>
    <w:rsid w:val="00A05140"/>
    <w:rsid w:val="00A0528D"/>
    <w:rsid w:val="00A05B7A"/>
    <w:rsid w:val="00A066BD"/>
    <w:rsid w:val="00A071E0"/>
    <w:rsid w:val="00A10053"/>
    <w:rsid w:val="00A11895"/>
    <w:rsid w:val="00A12B18"/>
    <w:rsid w:val="00A13886"/>
    <w:rsid w:val="00A14415"/>
    <w:rsid w:val="00A146B7"/>
    <w:rsid w:val="00A1653D"/>
    <w:rsid w:val="00A16FAB"/>
    <w:rsid w:val="00A176FD"/>
    <w:rsid w:val="00A1798B"/>
    <w:rsid w:val="00A2084E"/>
    <w:rsid w:val="00A20C9F"/>
    <w:rsid w:val="00A21B32"/>
    <w:rsid w:val="00A228C5"/>
    <w:rsid w:val="00A22FB9"/>
    <w:rsid w:val="00A23693"/>
    <w:rsid w:val="00A23CE5"/>
    <w:rsid w:val="00A2433B"/>
    <w:rsid w:val="00A2439B"/>
    <w:rsid w:val="00A24560"/>
    <w:rsid w:val="00A24834"/>
    <w:rsid w:val="00A27708"/>
    <w:rsid w:val="00A32B79"/>
    <w:rsid w:val="00A3420B"/>
    <w:rsid w:val="00A34538"/>
    <w:rsid w:val="00A350AF"/>
    <w:rsid w:val="00A35AD8"/>
    <w:rsid w:val="00A371DE"/>
    <w:rsid w:val="00A37C18"/>
    <w:rsid w:val="00A37FB6"/>
    <w:rsid w:val="00A40A28"/>
    <w:rsid w:val="00A42365"/>
    <w:rsid w:val="00A426EC"/>
    <w:rsid w:val="00A44260"/>
    <w:rsid w:val="00A462AB"/>
    <w:rsid w:val="00A46DD4"/>
    <w:rsid w:val="00A500EF"/>
    <w:rsid w:val="00A505A0"/>
    <w:rsid w:val="00A509BC"/>
    <w:rsid w:val="00A51659"/>
    <w:rsid w:val="00A5208D"/>
    <w:rsid w:val="00A529CB"/>
    <w:rsid w:val="00A531A5"/>
    <w:rsid w:val="00A5350E"/>
    <w:rsid w:val="00A5539A"/>
    <w:rsid w:val="00A568F6"/>
    <w:rsid w:val="00A57160"/>
    <w:rsid w:val="00A579E9"/>
    <w:rsid w:val="00A60441"/>
    <w:rsid w:val="00A60D5F"/>
    <w:rsid w:val="00A61297"/>
    <w:rsid w:val="00A612F6"/>
    <w:rsid w:val="00A62322"/>
    <w:rsid w:val="00A65AD5"/>
    <w:rsid w:val="00A65DB0"/>
    <w:rsid w:val="00A66BF9"/>
    <w:rsid w:val="00A7090A"/>
    <w:rsid w:val="00A7157E"/>
    <w:rsid w:val="00A715D2"/>
    <w:rsid w:val="00A734C1"/>
    <w:rsid w:val="00A73C6F"/>
    <w:rsid w:val="00A74544"/>
    <w:rsid w:val="00A74E6C"/>
    <w:rsid w:val="00A757E2"/>
    <w:rsid w:val="00A771A5"/>
    <w:rsid w:val="00A82473"/>
    <w:rsid w:val="00A8294C"/>
    <w:rsid w:val="00A83087"/>
    <w:rsid w:val="00A83E55"/>
    <w:rsid w:val="00A83F78"/>
    <w:rsid w:val="00A8570E"/>
    <w:rsid w:val="00A878F0"/>
    <w:rsid w:val="00A87ECD"/>
    <w:rsid w:val="00A91699"/>
    <w:rsid w:val="00A91BEA"/>
    <w:rsid w:val="00A944C2"/>
    <w:rsid w:val="00A9502E"/>
    <w:rsid w:val="00A95095"/>
    <w:rsid w:val="00A95142"/>
    <w:rsid w:val="00A9533C"/>
    <w:rsid w:val="00A957B9"/>
    <w:rsid w:val="00A9641E"/>
    <w:rsid w:val="00A97125"/>
    <w:rsid w:val="00A97234"/>
    <w:rsid w:val="00AA08E7"/>
    <w:rsid w:val="00AA0B78"/>
    <w:rsid w:val="00AA0BE1"/>
    <w:rsid w:val="00AA171A"/>
    <w:rsid w:val="00AA2094"/>
    <w:rsid w:val="00AA442B"/>
    <w:rsid w:val="00AA669D"/>
    <w:rsid w:val="00AA7403"/>
    <w:rsid w:val="00AA7503"/>
    <w:rsid w:val="00AB0518"/>
    <w:rsid w:val="00AB0808"/>
    <w:rsid w:val="00AB2664"/>
    <w:rsid w:val="00AB3212"/>
    <w:rsid w:val="00AB3581"/>
    <w:rsid w:val="00AB35A6"/>
    <w:rsid w:val="00AB5852"/>
    <w:rsid w:val="00AB5969"/>
    <w:rsid w:val="00AB5C7F"/>
    <w:rsid w:val="00AB628F"/>
    <w:rsid w:val="00AB6591"/>
    <w:rsid w:val="00AB6875"/>
    <w:rsid w:val="00AC146A"/>
    <w:rsid w:val="00AC27E8"/>
    <w:rsid w:val="00AC4829"/>
    <w:rsid w:val="00AC4E34"/>
    <w:rsid w:val="00AC514C"/>
    <w:rsid w:val="00AC5690"/>
    <w:rsid w:val="00AC57DD"/>
    <w:rsid w:val="00AC5F3A"/>
    <w:rsid w:val="00AD1A73"/>
    <w:rsid w:val="00AD45E3"/>
    <w:rsid w:val="00AD4D49"/>
    <w:rsid w:val="00AD52AD"/>
    <w:rsid w:val="00AE08F9"/>
    <w:rsid w:val="00AE1539"/>
    <w:rsid w:val="00AE2D2E"/>
    <w:rsid w:val="00AE32F2"/>
    <w:rsid w:val="00AE3618"/>
    <w:rsid w:val="00AE4B35"/>
    <w:rsid w:val="00AE4C20"/>
    <w:rsid w:val="00AE5ABF"/>
    <w:rsid w:val="00AE61E1"/>
    <w:rsid w:val="00AE6434"/>
    <w:rsid w:val="00AE69A5"/>
    <w:rsid w:val="00AE6C09"/>
    <w:rsid w:val="00AE7779"/>
    <w:rsid w:val="00AF07FB"/>
    <w:rsid w:val="00AF0BEC"/>
    <w:rsid w:val="00AF373E"/>
    <w:rsid w:val="00AF561D"/>
    <w:rsid w:val="00B000D8"/>
    <w:rsid w:val="00B012D7"/>
    <w:rsid w:val="00B0182C"/>
    <w:rsid w:val="00B02774"/>
    <w:rsid w:val="00B02AD1"/>
    <w:rsid w:val="00B03CFE"/>
    <w:rsid w:val="00B04012"/>
    <w:rsid w:val="00B04087"/>
    <w:rsid w:val="00B04E6F"/>
    <w:rsid w:val="00B050B8"/>
    <w:rsid w:val="00B05411"/>
    <w:rsid w:val="00B074DD"/>
    <w:rsid w:val="00B0753B"/>
    <w:rsid w:val="00B10566"/>
    <w:rsid w:val="00B12F06"/>
    <w:rsid w:val="00B13EC0"/>
    <w:rsid w:val="00B15011"/>
    <w:rsid w:val="00B16829"/>
    <w:rsid w:val="00B179C1"/>
    <w:rsid w:val="00B20525"/>
    <w:rsid w:val="00B21442"/>
    <w:rsid w:val="00B22E22"/>
    <w:rsid w:val="00B235C4"/>
    <w:rsid w:val="00B2423F"/>
    <w:rsid w:val="00B2513E"/>
    <w:rsid w:val="00B2548B"/>
    <w:rsid w:val="00B25E66"/>
    <w:rsid w:val="00B27AD4"/>
    <w:rsid w:val="00B30086"/>
    <w:rsid w:val="00B31325"/>
    <w:rsid w:val="00B31F22"/>
    <w:rsid w:val="00B32BCD"/>
    <w:rsid w:val="00B32DB2"/>
    <w:rsid w:val="00B35625"/>
    <w:rsid w:val="00B359ED"/>
    <w:rsid w:val="00B36260"/>
    <w:rsid w:val="00B37C00"/>
    <w:rsid w:val="00B426AA"/>
    <w:rsid w:val="00B44270"/>
    <w:rsid w:val="00B44AD6"/>
    <w:rsid w:val="00B44E8E"/>
    <w:rsid w:val="00B46C42"/>
    <w:rsid w:val="00B51003"/>
    <w:rsid w:val="00B512FD"/>
    <w:rsid w:val="00B525CB"/>
    <w:rsid w:val="00B5487A"/>
    <w:rsid w:val="00B552B6"/>
    <w:rsid w:val="00B5546E"/>
    <w:rsid w:val="00B5566E"/>
    <w:rsid w:val="00B55851"/>
    <w:rsid w:val="00B5758A"/>
    <w:rsid w:val="00B57B27"/>
    <w:rsid w:val="00B60461"/>
    <w:rsid w:val="00B61B4F"/>
    <w:rsid w:val="00B62A61"/>
    <w:rsid w:val="00B62F95"/>
    <w:rsid w:val="00B633F9"/>
    <w:rsid w:val="00B63872"/>
    <w:rsid w:val="00B63CB2"/>
    <w:rsid w:val="00B641D9"/>
    <w:rsid w:val="00B64EDB"/>
    <w:rsid w:val="00B654E7"/>
    <w:rsid w:val="00B66578"/>
    <w:rsid w:val="00B71C79"/>
    <w:rsid w:val="00B7315F"/>
    <w:rsid w:val="00B74B57"/>
    <w:rsid w:val="00B750D9"/>
    <w:rsid w:val="00B76967"/>
    <w:rsid w:val="00B77F95"/>
    <w:rsid w:val="00B81F6E"/>
    <w:rsid w:val="00B84416"/>
    <w:rsid w:val="00B84BA7"/>
    <w:rsid w:val="00B85186"/>
    <w:rsid w:val="00B91AF0"/>
    <w:rsid w:val="00B91B8E"/>
    <w:rsid w:val="00B92052"/>
    <w:rsid w:val="00B9384C"/>
    <w:rsid w:val="00B93C9A"/>
    <w:rsid w:val="00B94548"/>
    <w:rsid w:val="00B955AB"/>
    <w:rsid w:val="00B95AC8"/>
    <w:rsid w:val="00B9618B"/>
    <w:rsid w:val="00B96AA5"/>
    <w:rsid w:val="00B97E63"/>
    <w:rsid w:val="00BA19D8"/>
    <w:rsid w:val="00BA2325"/>
    <w:rsid w:val="00BA3286"/>
    <w:rsid w:val="00BA3871"/>
    <w:rsid w:val="00BA4D28"/>
    <w:rsid w:val="00BA4E77"/>
    <w:rsid w:val="00BA60E7"/>
    <w:rsid w:val="00BB00BC"/>
    <w:rsid w:val="00BB3B04"/>
    <w:rsid w:val="00BB3EE8"/>
    <w:rsid w:val="00BB584D"/>
    <w:rsid w:val="00BB7084"/>
    <w:rsid w:val="00BB7E79"/>
    <w:rsid w:val="00BC2704"/>
    <w:rsid w:val="00BC3EC6"/>
    <w:rsid w:val="00BC4869"/>
    <w:rsid w:val="00BC7280"/>
    <w:rsid w:val="00BD120E"/>
    <w:rsid w:val="00BD15FA"/>
    <w:rsid w:val="00BD2036"/>
    <w:rsid w:val="00BD2700"/>
    <w:rsid w:val="00BD78FE"/>
    <w:rsid w:val="00BE0AD3"/>
    <w:rsid w:val="00BE15DA"/>
    <w:rsid w:val="00BE16E8"/>
    <w:rsid w:val="00BE1CEA"/>
    <w:rsid w:val="00BE2BCB"/>
    <w:rsid w:val="00BE642B"/>
    <w:rsid w:val="00BE67A9"/>
    <w:rsid w:val="00BE72D6"/>
    <w:rsid w:val="00BE7DEE"/>
    <w:rsid w:val="00BE7E91"/>
    <w:rsid w:val="00BF31BA"/>
    <w:rsid w:val="00BF3C4C"/>
    <w:rsid w:val="00BF5E9C"/>
    <w:rsid w:val="00BF618F"/>
    <w:rsid w:val="00BF653A"/>
    <w:rsid w:val="00BF6D9D"/>
    <w:rsid w:val="00BF7724"/>
    <w:rsid w:val="00C00202"/>
    <w:rsid w:val="00C00B9C"/>
    <w:rsid w:val="00C014AB"/>
    <w:rsid w:val="00C0241E"/>
    <w:rsid w:val="00C02CA7"/>
    <w:rsid w:val="00C0362B"/>
    <w:rsid w:val="00C03773"/>
    <w:rsid w:val="00C0469E"/>
    <w:rsid w:val="00C055D5"/>
    <w:rsid w:val="00C06A57"/>
    <w:rsid w:val="00C06B30"/>
    <w:rsid w:val="00C07B9B"/>
    <w:rsid w:val="00C126E0"/>
    <w:rsid w:val="00C1486D"/>
    <w:rsid w:val="00C170AF"/>
    <w:rsid w:val="00C17177"/>
    <w:rsid w:val="00C17E35"/>
    <w:rsid w:val="00C20738"/>
    <w:rsid w:val="00C20AB9"/>
    <w:rsid w:val="00C220CE"/>
    <w:rsid w:val="00C225E9"/>
    <w:rsid w:val="00C22BB6"/>
    <w:rsid w:val="00C24150"/>
    <w:rsid w:val="00C2445E"/>
    <w:rsid w:val="00C245B6"/>
    <w:rsid w:val="00C24D7E"/>
    <w:rsid w:val="00C2524E"/>
    <w:rsid w:val="00C25DEC"/>
    <w:rsid w:val="00C269AB"/>
    <w:rsid w:val="00C27711"/>
    <w:rsid w:val="00C3033B"/>
    <w:rsid w:val="00C309CE"/>
    <w:rsid w:val="00C32018"/>
    <w:rsid w:val="00C32119"/>
    <w:rsid w:val="00C34208"/>
    <w:rsid w:val="00C34AAC"/>
    <w:rsid w:val="00C3555C"/>
    <w:rsid w:val="00C366C4"/>
    <w:rsid w:val="00C373C2"/>
    <w:rsid w:val="00C374F0"/>
    <w:rsid w:val="00C375CB"/>
    <w:rsid w:val="00C37B92"/>
    <w:rsid w:val="00C404E4"/>
    <w:rsid w:val="00C41AE9"/>
    <w:rsid w:val="00C42508"/>
    <w:rsid w:val="00C42C10"/>
    <w:rsid w:val="00C42D9F"/>
    <w:rsid w:val="00C4437C"/>
    <w:rsid w:val="00C444D0"/>
    <w:rsid w:val="00C472D7"/>
    <w:rsid w:val="00C50170"/>
    <w:rsid w:val="00C50A4B"/>
    <w:rsid w:val="00C5372F"/>
    <w:rsid w:val="00C53D2D"/>
    <w:rsid w:val="00C54978"/>
    <w:rsid w:val="00C54BAF"/>
    <w:rsid w:val="00C60DBA"/>
    <w:rsid w:val="00C62699"/>
    <w:rsid w:val="00C6465E"/>
    <w:rsid w:val="00C64A86"/>
    <w:rsid w:val="00C64B33"/>
    <w:rsid w:val="00C64E43"/>
    <w:rsid w:val="00C6552A"/>
    <w:rsid w:val="00C65533"/>
    <w:rsid w:val="00C66DA8"/>
    <w:rsid w:val="00C70B9D"/>
    <w:rsid w:val="00C75629"/>
    <w:rsid w:val="00C758C6"/>
    <w:rsid w:val="00C76212"/>
    <w:rsid w:val="00C76AD9"/>
    <w:rsid w:val="00C77041"/>
    <w:rsid w:val="00C77849"/>
    <w:rsid w:val="00C77F03"/>
    <w:rsid w:val="00C818AF"/>
    <w:rsid w:val="00C81ADC"/>
    <w:rsid w:val="00C81F3D"/>
    <w:rsid w:val="00C8217C"/>
    <w:rsid w:val="00C822C2"/>
    <w:rsid w:val="00C837D5"/>
    <w:rsid w:val="00C841DD"/>
    <w:rsid w:val="00C8458D"/>
    <w:rsid w:val="00C8725E"/>
    <w:rsid w:val="00C90701"/>
    <w:rsid w:val="00C9106A"/>
    <w:rsid w:val="00C91242"/>
    <w:rsid w:val="00C91E8D"/>
    <w:rsid w:val="00C92E3E"/>
    <w:rsid w:val="00C93279"/>
    <w:rsid w:val="00C9585F"/>
    <w:rsid w:val="00C96C1B"/>
    <w:rsid w:val="00C97AAA"/>
    <w:rsid w:val="00CA059D"/>
    <w:rsid w:val="00CA2C72"/>
    <w:rsid w:val="00CA6FB7"/>
    <w:rsid w:val="00CA7385"/>
    <w:rsid w:val="00CB0765"/>
    <w:rsid w:val="00CB2B36"/>
    <w:rsid w:val="00CB2C0F"/>
    <w:rsid w:val="00CB3E91"/>
    <w:rsid w:val="00CB42FC"/>
    <w:rsid w:val="00CB5943"/>
    <w:rsid w:val="00CB619A"/>
    <w:rsid w:val="00CB63B3"/>
    <w:rsid w:val="00CB67C1"/>
    <w:rsid w:val="00CB772B"/>
    <w:rsid w:val="00CC00CD"/>
    <w:rsid w:val="00CC0339"/>
    <w:rsid w:val="00CC0B3D"/>
    <w:rsid w:val="00CC0E85"/>
    <w:rsid w:val="00CC1F51"/>
    <w:rsid w:val="00CC4DF1"/>
    <w:rsid w:val="00CC748E"/>
    <w:rsid w:val="00CD02E0"/>
    <w:rsid w:val="00CD2B8C"/>
    <w:rsid w:val="00CD305E"/>
    <w:rsid w:val="00CD4A86"/>
    <w:rsid w:val="00CD5576"/>
    <w:rsid w:val="00CD67EE"/>
    <w:rsid w:val="00CD7005"/>
    <w:rsid w:val="00CD7E27"/>
    <w:rsid w:val="00CE12E2"/>
    <w:rsid w:val="00CE15B5"/>
    <w:rsid w:val="00CE2805"/>
    <w:rsid w:val="00CE4E6E"/>
    <w:rsid w:val="00CE7A1A"/>
    <w:rsid w:val="00CF02E0"/>
    <w:rsid w:val="00CF0701"/>
    <w:rsid w:val="00CF077C"/>
    <w:rsid w:val="00CF1B01"/>
    <w:rsid w:val="00CF267E"/>
    <w:rsid w:val="00CF2CB7"/>
    <w:rsid w:val="00CF4E65"/>
    <w:rsid w:val="00CF600D"/>
    <w:rsid w:val="00CF7275"/>
    <w:rsid w:val="00CF7A13"/>
    <w:rsid w:val="00D01760"/>
    <w:rsid w:val="00D01EBF"/>
    <w:rsid w:val="00D06596"/>
    <w:rsid w:val="00D077EB"/>
    <w:rsid w:val="00D078B8"/>
    <w:rsid w:val="00D10800"/>
    <w:rsid w:val="00D12085"/>
    <w:rsid w:val="00D129EB"/>
    <w:rsid w:val="00D13D5F"/>
    <w:rsid w:val="00D15B95"/>
    <w:rsid w:val="00D16E39"/>
    <w:rsid w:val="00D16EED"/>
    <w:rsid w:val="00D170B9"/>
    <w:rsid w:val="00D1729C"/>
    <w:rsid w:val="00D17379"/>
    <w:rsid w:val="00D1798A"/>
    <w:rsid w:val="00D21C43"/>
    <w:rsid w:val="00D220D3"/>
    <w:rsid w:val="00D2214A"/>
    <w:rsid w:val="00D223B6"/>
    <w:rsid w:val="00D22BEB"/>
    <w:rsid w:val="00D23AD8"/>
    <w:rsid w:val="00D2423E"/>
    <w:rsid w:val="00D25DC9"/>
    <w:rsid w:val="00D261E8"/>
    <w:rsid w:val="00D2686C"/>
    <w:rsid w:val="00D26B57"/>
    <w:rsid w:val="00D26E1A"/>
    <w:rsid w:val="00D27442"/>
    <w:rsid w:val="00D27E69"/>
    <w:rsid w:val="00D30F01"/>
    <w:rsid w:val="00D32A50"/>
    <w:rsid w:val="00D350DE"/>
    <w:rsid w:val="00D35FC1"/>
    <w:rsid w:val="00D36319"/>
    <w:rsid w:val="00D41655"/>
    <w:rsid w:val="00D41EE1"/>
    <w:rsid w:val="00D42298"/>
    <w:rsid w:val="00D42E4F"/>
    <w:rsid w:val="00D4320D"/>
    <w:rsid w:val="00D44E97"/>
    <w:rsid w:val="00D460D9"/>
    <w:rsid w:val="00D47709"/>
    <w:rsid w:val="00D506C0"/>
    <w:rsid w:val="00D517B4"/>
    <w:rsid w:val="00D53894"/>
    <w:rsid w:val="00D53C6C"/>
    <w:rsid w:val="00D54876"/>
    <w:rsid w:val="00D54C45"/>
    <w:rsid w:val="00D54D4B"/>
    <w:rsid w:val="00D56F1D"/>
    <w:rsid w:val="00D60327"/>
    <w:rsid w:val="00D612BB"/>
    <w:rsid w:val="00D641C3"/>
    <w:rsid w:val="00D64981"/>
    <w:rsid w:val="00D650B5"/>
    <w:rsid w:val="00D65318"/>
    <w:rsid w:val="00D66C4F"/>
    <w:rsid w:val="00D679D8"/>
    <w:rsid w:val="00D7075B"/>
    <w:rsid w:val="00D710B9"/>
    <w:rsid w:val="00D71D22"/>
    <w:rsid w:val="00D72126"/>
    <w:rsid w:val="00D72E9D"/>
    <w:rsid w:val="00D73FA7"/>
    <w:rsid w:val="00D74765"/>
    <w:rsid w:val="00D7568C"/>
    <w:rsid w:val="00D757E1"/>
    <w:rsid w:val="00D7727A"/>
    <w:rsid w:val="00D82CE5"/>
    <w:rsid w:val="00D84FE0"/>
    <w:rsid w:val="00D85A25"/>
    <w:rsid w:val="00D85C8F"/>
    <w:rsid w:val="00D86474"/>
    <w:rsid w:val="00D86E0F"/>
    <w:rsid w:val="00D87181"/>
    <w:rsid w:val="00D8736E"/>
    <w:rsid w:val="00D90EFA"/>
    <w:rsid w:val="00D914DB"/>
    <w:rsid w:val="00D92770"/>
    <w:rsid w:val="00D93287"/>
    <w:rsid w:val="00D94D04"/>
    <w:rsid w:val="00D95BD9"/>
    <w:rsid w:val="00D970D3"/>
    <w:rsid w:val="00D978B4"/>
    <w:rsid w:val="00D97DDD"/>
    <w:rsid w:val="00DA191E"/>
    <w:rsid w:val="00DA41EF"/>
    <w:rsid w:val="00DA583D"/>
    <w:rsid w:val="00DA5AB1"/>
    <w:rsid w:val="00DA77EC"/>
    <w:rsid w:val="00DA7B6E"/>
    <w:rsid w:val="00DA7CCA"/>
    <w:rsid w:val="00DB0DFA"/>
    <w:rsid w:val="00DB1542"/>
    <w:rsid w:val="00DB28B8"/>
    <w:rsid w:val="00DB3D31"/>
    <w:rsid w:val="00DB6234"/>
    <w:rsid w:val="00DB68F9"/>
    <w:rsid w:val="00DC02B2"/>
    <w:rsid w:val="00DC1562"/>
    <w:rsid w:val="00DC2AFD"/>
    <w:rsid w:val="00DC3544"/>
    <w:rsid w:val="00DC3A87"/>
    <w:rsid w:val="00DC4E41"/>
    <w:rsid w:val="00DC62E5"/>
    <w:rsid w:val="00DC7191"/>
    <w:rsid w:val="00DC743F"/>
    <w:rsid w:val="00DC78DC"/>
    <w:rsid w:val="00DD0BB0"/>
    <w:rsid w:val="00DD293E"/>
    <w:rsid w:val="00DD32A0"/>
    <w:rsid w:val="00DD3E02"/>
    <w:rsid w:val="00DD3E55"/>
    <w:rsid w:val="00DD451F"/>
    <w:rsid w:val="00DD47A2"/>
    <w:rsid w:val="00DD49C4"/>
    <w:rsid w:val="00DD5376"/>
    <w:rsid w:val="00DD54ED"/>
    <w:rsid w:val="00DD652D"/>
    <w:rsid w:val="00DD6845"/>
    <w:rsid w:val="00DD6847"/>
    <w:rsid w:val="00DD735D"/>
    <w:rsid w:val="00DD7FA8"/>
    <w:rsid w:val="00DE07A5"/>
    <w:rsid w:val="00DE247F"/>
    <w:rsid w:val="00DE308A"/>
    <w:rsid w:val="00DE3119"/>
    <w:rsid w:val="00DE3139"/>
    <w:rsid w:val="00DE3BBA"/>
    <w:rsid w:val="00DE5BCA"/>
    <w:rsid w:val="00DE6872"/>
    <w:rsid w:val="00DF0650"/>
    <w:rsid w:val="00DF20FB"/>
    <w:rsid w:val="00DF2128"/>
    <w:rsid w:val="00DF236B"/>
    <w:rsid w:val="00DF2804"/>
    <w:rsid w:val="00DF28C7"/>
    <w:rsid w:val="00DF3553"/>
    <w:rsid w:val="00DF3F8D"/>
    <w:rsid w:val="00DF64F5"/>
    <w:rsid w:val="00DF6AA5"/>
    <w:rsid w:val="00DF7086"/>
    <w:rsid w:val="00DF7F9E"/>
    <w:rsid w:val="00E00221"/>
    <w:rsid w:val="00E0048D"/>
    <w:rsid w:val="00E00F1D"/>
    <w:rsid w:val="00E018F9"/>
    <w:rsid w:val="00E019EA"/>
    <w:rsid w:val="00E02842"/>
    <w:rsid w:val="00E02B70"/>
    <w:rsid w:val="00E04A52"/>
    <w:rsid w:val="00E057C5"/>
    <w:rsid w:val="00E0677C"/>
    <w:rsid w:val="00E06A8D"/>
    <w:rsid w:val="00E10879"/>
    <w:rsid w:val="00E111EA"/>
    <w:rsid w:val="00E11408"/>
    <w:rsid w:val="00E13AB8"/>
    <w:rsid w:val="00E13D3F"/>
    <w:rsid w:val="00E1640E"/>
    <w:rsid w:val="00E16924"/>
    <w:rsid w:val="00E228D6"/>
    <w:rsid w:val="00E234D7"/>
    <w:rsid w:val="00E25CB3"/>
    <w:rsid w:val="00E27E15"/>
    <w:rsid w:val="00E3074B"/>
    <w:rsid w:val="00E31A47"/>
    <w:rsid w:val="00E32A49"/>
    <w:rsid w:val="00E33B62"/>
    <w:rsid w:val="00E34106"/>
    <w:rsid w:val="00E34DEB"/>
    <w:rsid w:val="00E354CF"/>
    <w:rsid w:val="00E356D7"/>
    <w:rsid w:val="00E359EB"/>
    <w:rsid w:val="00E36139"/>
    <w:rsid w:val="00E40D14"/>
    <w:rsid w:val="00E4143A"/>
    <w:rsid w:val="00E41823"/>
    <w:rsid w:val="00E41943"/>
    <w:rsid w:val="00E42461"/>
    <w:rsid w:val="00E42761"/>
    <w:rsid w:val="00E43624"/>
    <w:rsid w:val="00E44610"/>
    <w:rsid w:val="00E46137"/>
    <w:rsid w:val="00E50774"/>
    <w:rsid w:val="00E510C7"/>
    <w:rsid w:val="00E5199E"/>
    <w:rsid w:val="00E51CF8"/>
    <w:rsid w:val="00E52E0F"/>
    <w:rsid w:val="00E53B77"/>
    <w:rsid w:val="00E54365"/>
    <w:rsid w:val="00E5462E"/>
    <w:rsid w:val="00E56338"/>
    <w:rsid w:val="00E56EC0"/>
    <w:rsid w:val="00E57652"/>
    <w:rsid w:val="00E62C10"/>
    <w:rsid w:val="00E631C7"/>
    <w:rsid w:val="00E65BDD"/>
    <w:rsid w:val="00E66455"/>
    <w:rsid w:val="00E66F90"/>
    <w:rsid w:val="00E70C4B"/>
    <w:rsid w:val="00E73728"/>
    <w:rsid w:val="00E73C2F"/>
    <w:rsid w:val="00E73F9E"/>
    <w:rsid w:val="00E742E7"/>
    <w:rsid w:val="00E76013"/>
    <w:rsid w:val="00E76D64"/>
    <w:rsid w:val="00E76DD0"/>
    <w:rsid w:val="00E76F4B"/>
    <w:rsid w:val="00E81300"/>
    <w:rsid w:val="00E81CD9"/>
    <w:rsid w:val="00E81FD0"/>
    <w:rsid w:val="00E84BEA"/>
    <w:rsid w:val="00E87FB5"/>
    <w:rsid w:val="00E90617"/>
    <w:rsid w:val="00E90847"/>
    <w:rsid w:val="00E91B88"/>
    <w:rsid w:val="00E9622C"/>
    <w:rsid w:val="00E96F1A"/>
    <w:rsid w:val="00EA04BE"/>
    <w:rsid w:val="00EA0C86"/>
    <w:rsid w:val="00EA1918"/>
    <w:rsid w:val="00EA1DB5"/>
    <w:rsid w:val="00EA2015"/>
    <w:rsid w:val="00EA2E7A"/>
    <w:rsid w:val="00EA3761"/>
    <w:rsid w:val="00EA3916"/>
    <w:rsid w:val="00EA3B8E"/>
    <w:rsid w:val="00EA48E3"/>
    <w:rsid w:val="00EA4951"/>
    <w:rsid w:val="00EA620F"/>
    <w:rsid w:val="00EB03A0"/>
    <w:rsid w:val="00EB0D38"/>
    <w:rsid w:val="00EB23D0"/>
    <w:rsid w:val="00EB2CBD"/>
    <w:rsid w:val="00EB5263"/>
    <w:rsid w:val="00EB5408"/>
    <w:rsid w:val="00EB55EE"/>
    <w:rsid w:val="00EB5A79"/>
    <w:rsid w:val="00EB5E41"/>
    <w:rsid w:val="00EB6259"/>
    <w:rsid w:val="00EC2339"/>
    <w:rsid w:val="00EC5592"/>
    <w:rsid w:val="00EC5B1B"/>
    <w:rsid w:val="00EC77E0"/>
    <w:rsid w:val="00ED0181"/>
    <w:rsid w:val="00ED05A8"/>
    <w:rsid w:val="00ED0D83"/>
    <w:rsid w:val="00ED18C9"/>
    <w:rsid w:val="00ED1921"/>
    <w:rsid w:val="00ED1A5E"/>
    <w:rsid w:val="00ED21E1"/>
    <w:rsid w:val="00ED2C7A"/>
    <w:rsid w:val="00ED3136"/>
    <w:rsid w:val="00ED34C2"/>
    <w:rsid w:val="00ED5E7E"/>
    <w:rsid w:val="00ED6D48"/>
    <w:rsid w:val="00ED716D"/>
    <w:rsid w:val="00EE084F"/>
    <w:rsid w:val="00EE2C9C"/>
    <w:rsid w:val="00EE336A"/>
    <w:rsid w:val="00EE3508"/>
    <w:rsid w:val="00EE4DB1"/>
    <w:rsid w:val="00EE506E"/>
    <w:rsid w:val="00EE55BB"/>
    <w:rsid w:val="00EE59B5"/>
    <w:rsid w:val="00EE64FF"/>
    <w:rsid w:val="00EE6A82"/>
    <w:rsid w:val="00EE75CC"/>
    <w:rsid w:val="00EE7C1A"/>
    <w:rsid w:val="00EF0420"/>
    <w:rsid w:val="00EF169E"/>
    <w:rsid w:val="00EF1F7B"/>
    <w:rsid w:val="00EF28A9"/>
    <w:rsid w:val="00EF2D58"/>
    <w:rsid w:val="00EF3258"/>
    <w:rsid w:val="00EF3F42"/>
    <w:rsid w:val="00EF4E3B"/>
    <w:rsid w:val="00EF5547"/>
    <w:rsid w:val="00EF5E27"/>
    <w:rsid w:val="00EF64D8"/>
    <w:rsid w:val="00EF6FEA"/>
    <w:rsid w:val="00F0076F"/>
    <w:rsid w:val="00F01990"/>
    <w:rsid w:val="00F033A6"/>
    <w:rsid w:val="00F04156"/>
    <w:rsid w:val="00F04D40"/>
    <w:rsid w:val="00F05E5B"/>
    <w:rsid w:val="00F0608C"/>
    <w:rsid w:val="00F06296"/>
    <w:rsid w:val="00F06A29"/>
    <w:rsid w:val="00F074DD"/>
    <w:rsid w:val="00F0774D"/>
    <w:rsid w:val="00F077AE"/>
    <w:rsid w:val="00F10954"/>
    <w:rsid w:val="00F11955"/>
    <w:rsid w:val="00F11D29"/>
    <w:rsid w:val="00F128BC"/>
    <w:rsid w:val="00F158B5"/>
    <w:rsid w:val="00F16AE2"/>
    <w:rsid w:val="00F172E0"/>
    <w:rsid w:val="00F2035B"/>
    <w:rsid w:val="00F2107D"/>
    <w:rsid w:val="00F2195A"/>
    <w:rsid w:val="00F21B2C"/>
    <w:rsid w:val="00F21BA2"/>
    <w:rsid w:val="00F21D09"/>
    <w:rsid w:val="00F2274F"/>
    <w:rsid w:val="00F24230"/>
    <w:rsid w:val="00F25C0B"/>
    <w:rsid w:val="00F26F3C"/>
    <w:rsid w:val="00F26F4E"/>
    <w:rsid w:val="00F301AD"/>
    <w:rsid w:val="00F3110C"/>
    <w:rsid w:val="00F33364"/>
    <w:rsid w:val="00F34431"/>
    <w:rsid w:val="00F34C8E"/>
    <w:rsid w:val="00F34CBA"/>
    <w:rsid w:val="00F3533F"/>
    <w:rsid w:val="00F3791E"/>
    <w:rsid w:val="00F42CA4"/>
    <w:rsid w:val="00F43158"/>
    <w:rsid w:val="00F4315D"/>
    <w:rsid w:val="00F43A17"/>
    <w:rsid w:val="00F43A68"/>
    <w:rsid w:val="00F44246"/>
    <w:rsid w:val="00F476A9"/>
    <w:rsid w:val="00F47A21"/>
    <w:rsid w:val="00F5101F"/>
    <w:rsid w:val="00F5123F"/>
    <w:rsid w:val="00F51E02"/>
    <w:rsid w:val="00F520D5"/>
    <w:rsid w:val="00F52719"/>
    <w:rsid w:val="00F536CD"/>
    <w:rsid w:val="00F55F3A"/>
    <w:rsid w:val="00F574CC"/>
    <w:rsid w:val="00F6029C"/>
    <w:rsid w:val="00F6064F"/>
    <w:rsid w:val="00F6143F"/>
    <w:rsid w:val="00F61B1D"/>
    <w:rsid w:val="00F61C41"/>
    <w:rsid w:val="00F61F32"/>
    <w:rsid w:val="00F62963"/>
    <w:rsid w:val="00F6355B"/>
    <w:rsid w:val="00F64812"/>
    <w:rsid w:val="00F64BC2"/>
    <w:rsid w:val="00F65EC5"/>
    <w:rsid w:val="00F65FD5"/>
    <w:rsid w:val="00F66CBD"/>
    <w:rsid w:val="00F6751F"/>
    <w:rsid w:val="00F73D70"/>
    <w:rsid w:val="00F75800"/>
    <w:rsid w:val="00F75BAD"/>
    <w:rsid w:val="00F764CE"/>
    <w:rsid w:val="00F77855"/>
    <w:rsid w:val="00F80D0F"/>
    <w:rsid w:val="00F80E8A"/>
    <w:rsid w:val="00F84899"/>
    <w:rsid w:val="00F84F4F"/>
    <w:rsid w:val="00F859F0"/>
    <w:rsid w:val="00F90DB0"/>
    <w:rsid w:val="00F91287"/>
    <w:rsid w:val="00F91CA1"/>
    <w:rsid w:val="00F92D53"/>
    <w:rsid w:val="00F93250"/>
    <w:rsid w:val="00F94805"/>
    <w:rsid w:val="00F94B44"/>
    <w:rsid w:val="00F9511B"/>
    <w:rsid w:val="00F95598"/>
    <w:rsid w:val="00F95FAB"/>
    <w:rsid w:val="00F97544"/>
    <w:rsid w:val="00FA0BE5"/>
    <w:rsid w:val="00FA1420"/>
    <w:rsid w:val="00FA15DA"/>
    <w:rsid w:val="00FA1947"/>
    <w:rsid w:val="00FA28BF"/>
    <w:rsid w:val="00FA3221"/>
    <w:rsid w:val="00FA357B"/>
    <w:rsid w:val="00FA63A7"/>
    <w:rsid w:val="00FA6B54"/>
    <w:rsid w:val="00FB324F"/>
    <w:rsid w:val="00FB48C5"/>
    <w:rsid w:val="00FB5E3B"/>
    <w:rsid w:val="00FB5F23"/>
    <w:rsid w:val="00FC08AD"/>
    <w:rsid w:val="00FC16AE"/>
    <w:rsid w:val="00FC4AF7"/>
    <w:rsid w:val="00FC5EB6"/>
    <w:rsid w:val="00FD1C4A"/>
    <w:rsid w:val="00FD2088"/>
    <w:rsid w:val="00FD2829"/>
    <w:rsid w:val="00FD2EA3"/>
    <w:rsid w:val="00FD3F65"/>
    <w:rsid w:val="00FD42C8"/>
    <w:rsid w:val="00FD461D"/>
    <w:rsid w:val="00FD46B4"/>
    <w:rsid w:val="00FD4AA4"/>
    <w:rsid w:val="00FD5F1B"/>
    <w:rsid w:val="00FD7084"/>
    <w:rsid w:val="00FD7993"/>
    <w:rsid w:val="00FD7D17"/>
    <w:rsid w:val="00FE07B7"/>
    <w:rsid w:val="00FE094E"/>
    <w:rsid w:val="00FE0B32"/>
    <w:rsid w:val="00FE141E"/>
    <w:rsid w:val="00FE1C75"/>
    <w:rsid w:val="00FE1C7D"/>
    <w:rsid w:val="00FE1E34"/>
    <w:rsid w:val="00FE3575"/>
    <w:rsid w:val="00FE38FF"/>
    <w:rsid w:val="00FE3D48"/>
    <w:rsid w:val="00FE42ED"/>
    <w:rsid w:val="00FE4C26"/>
    <w:rsid w:val="00FE4EF2"/>
    <w:rsid w:val="00FE63C7"/>
    <w:rsid w:val="00FE6445"/>
    <w:rsid w:val="00FE759E"/>
    <w:rsid w:val="00FE7664"/>
    <w:rsid w:val="00FF1C68"/>
    <w:rsid w:val="00FF4164"/>
    <w:rsid w:val="00FF485B"/>
    <w:rsid w:val="00FF4CB9"/>
    <w:rsid w:val="00FF7E3F"/>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560"/>
    <w:pPr>
      <w:spacing w:before="0" w:after="0" w:line="240" w:lineRule="auto"/>
      <w:jc w:val="left"/>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99"/>
    <w:semiHidden/>
    <w:rsid w:val="00A16FAB"/>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9246D0"/>
    <w:pPr>
      <w:spacing w:before="0" w:after="0" w:line="240" w:lineRule="auto"/>
      <w:jc w:val="left"/>
    </w:pPr>
    <w:rPr>
      <w:rFonts w:ascii="Times New Roman" w:eastAsia="Times New Roman" w:hAnsi="Times New Roman" w:cs="Times New Roman"/>
      <w:sz w:val="24"/>
      <w:szCs w:val="24"/>
      <w:lang w:eastAsia="en-GB"/>
    </w:rPr>
  </w:style>
  <w:style w:type="character" w:customStyle="1" w:styleId="Mencinsinresolver3">
    <w:name w:val="Mención sin resolver3"/>
    <w:basedOn w:val="Fuentedeprrafopredeter"/>
    <w:uiPriority w:val="99"/>
    <w:semiHidden/>
    <w:unhideWhenUsed/>
    <w:rsid w:val="00B552B6"/>
    <w:rPr>
      <w:color w:val="605E5C"/>
      <w:shd w:val="clear" w:color="auto" w:fill="E1DFDD"/>
    </w:rPr>
  </w:style>
  <w:style w:type="character" w:customStyle="1" w:styleId="normaltextrun">
    <w:name w:val="normaltextrun"/>
    <w:basedOn w:val="Fuentedeprrafopredeter"/>
    <w:rsid w:val="00F2274F"/>
  </w:style>
  <w:style w:type="character" w:styleId="Textodelmarcadordeposicin">
    <w:name w:val="Placeholder Text"/>
    <w:basedOn w:val="Fuentedeprrafopredeter"/>
    <w:uiPriority w:val="99"/>
    <w:semiHidden/>
    <w:rsid w:val="00721A10"/>
    <w:rPr>
      <w:color w:val="808080"/>
    </w:rPr>
  </w:style>
  <w:style w:type="table" w:customStyle="1" w:styleId="Tablaconcuadrcula2">
    <w:name w:val="Tabla con cuadrícula2"/>
    <w:basedOn w:val="Tablanormal"/>
    <w:next w:val="Tablaconcuadrcula"/>
    <w:uiPriority w:val="39"/>
    <w:rsid w:val="00EA48E3"/>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9504353">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93744512">
      <w:bodyDiv w:val="1"/>
      <w:marLeft w:val="0"/>
      <w:marRight w:val="0"/>
      <w:marTop w:val="0"/>
      <w:marBottom w:val="0"/>
      <w:divBdr>
        <w:top w:val="none" w:sz="0" w:space="0" w:color="auto"/>
        <w:left w:val="none" w:sz="0" w:space="0" w:color="auto"/>
        <w:bottom w:val="none" w:sz="0" w:space="0" w:color="auto"/>
        <w:right w:val="none" w:sz="0" w:space="0" w:color="auto"/>
      </w:divBdr>
    </w:div>
    <w:div w:id="94375242">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54686247">
      <w:bodyDiv w:val="1"/>
      <w:marLeft w:val="0"/>
      <w:marRight w:val="0"/>
      <w:marTop w:val="0"/>
      <w:marBottom w:val="0"/>
      <w:divBdr>
        <w:top w:val="none" w:sz="0" w:space="0" w:color="auto"/>
        <w:left w:val="none" w:sz="0" w:space="0" w:color="auto"/>
        <w:bottom w:val="none" w:sz="0" w:space="0" w:color="auto"/>
        <w:right w:val="none" w:sz="0" w:space="0" w:color="auto"/>
      </w:divBdr>
    </w:div>
    <w:div w:id="156462446">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3216244">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09284185">
      <w:bodyDiv w:val="1"/>
      <w:marLeft w:val="0"/>
      <w:marRight w:val="0"/>
      <w:marTop w:val="0"/>
      <w:marBottom w:val="0"/>
      <w:divBdr>
        <w:top w:val="none" w:sz="0" w:space="0" w:color="auto"/>
        <w:left w:val="none" w:sz="0" w:space="0" w:color="auto"/>
        <w:bottom w:val="none" w:sz="0" w:space="0" w:color="auto"/>
        <w:right w:val="none" w:sz="0" w:space="0" w:color="auto"/>
      </w:divBdr>
    </w:div>
    <w:div w:id="346564690">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469787518">
      <w:bodyDiv w:val="1"/>
      <w:marLeft w:val="0"/>
      <w:marRight w:val="0"/>
      <w:marTop w:val="0"/>
      <w:marBottom w:val="0"/>
      <w:divBdr>
        <w:top w:val="none" w:sz="0" w:space="0" w:color="auto"/>
        <w:left w:val="none" w:sz="0" w:space="0" w:color="auto"/>
        <w:bottom w:val="none" w:sz="0" w:space="0" w:color="auto"/>
        <w:right w:val="none" w:sz="0" w:space="0" w:color="auto"/>
      </w:divBdr>
    </w:div>
    <w:div w:id="496309153">
      <w:bodyDiv w:val="1"/>
      <w:marLeft w:val="0"/>
      <w:marRight w:val="0"/>
      <w:marTop w:val="0"/>
      <w:marBottom w:val="0"/>
      <w:divBdr>
        <w:top w:val="none" w:sz="0" w:space="0" w:color="auto"/>
        <w:left w:val="none" w:sz="0" w:space="0" w:color="auto"/>
        <w:bottom w:val="none" w:sz="0" w:space="0" w:color="auto"/>
        <w:right w:val="none" w:sz="0" w:space="0" w:color="auto"/>
      </w:divBdr>
    </w:div>
    <w:div w:id="499346589">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36294">
      <w:bodyDiv w:val="1"/>
      <w:marLeft w:val="0"/>
      <w:marRight w:val="0"/>
      <w:marTop w:val="0"/>
      <w:marBottom w:val="0"/>
      <w:divBdr>
        <w:top w:val="none" w:sz="0" w:space="0" w:color="auto"/>
        <w:left w:val="none" w:sz="0" w:space="0" w:color="auto"/>
        <w:bottom w:val="none" w:sz="0" w:space="0" w:color="auto"/>
        <w:right w:val="none" w:sz="0" w:space="0" w:color="auto"/>
      </w:divBdr>
    </w:div>
    <w:div w:id="551625329">
      <w:bodyDiv w:val="1"/>
      <w:marLeft w:val="0"/>
      <w:marRight w:val="0"/>
      <w:marTop w:val="0"/>
      <w:marBottom w:val="0"/>
      <w:divBdr>
        <w:top w:val="none" w:sz="0" w:space="0" w:color="auto"/>
        <w:left w:val="none" w:sz="0" w:space="0" w:color="auto"/>
        <w:bottom w:val="none" w:sz="0" w:space="0" w:color="auto"/>
        <w:right w:val="none" w:sz="0" w:space="0" w:color="auto"/>
      </w:divBdr>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357188">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86492545">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6826">
      <w:bodyDiv w:val="1"/>
      <w:marLeft w:val="0"/>
      <w:marRight w:val="0"/>
      <w:marTop w:val="0"/>
      <w:marBottom w:val="0"/>
      <w:divBdr>
        <w:top w:val="none" w:sz="0" w:space="0" w:color="auto"/>
        <w:left w:val="none" w:sz="0" w:space="0" w:color="auto"/>
        <w:bottom w:val="none" w:sz="0" w:space="0" w:color="auto"/>
        <w:right w:val="none" w:sz="0" w:space="0" w:color="auto"/>
      </w:divBdr>
    </w:div>
    <w:div w:id="704867754">
      <w:bodyDiv w:val="1"/>
      <w:marLeft w:val="0"/>
      <w:marRight w:val="0"/>
      <w:marTop w:val="0"/>
      <w:marBottom w:val="0"/>
      <w:divBdr>
        <w:top w:val="none" w:sz="0" w:space="0" w:color="auto"/>
        <w:left w:val="none" w:sz="0" w:space="0" w:color="auto"/>
        <w:bottom w:val="none" w:sz="0" w:space="0" w:color="auto"/>
        <w:right w:val="none" w:sz="0" w:space="0" w:color="auto"/>
      </w:divBdr>
    </w:div>
    <w:div w:id="744299666">
      <w:bodyDiv w:val="1"/>
      <w:marLeft w:val="0"/>
      <w:marRight w:val="0"/>
      <w:marTop w:val="0"/>
      <w:marBottom w:val="0"/>
      <w:divBdr>
        <w:top w:val="none" w:sz="0" w:space="0" w:color="auto"/>
        <w:left w:val="none" w:sz="0" w:space="0" w:color="auto"/>
        <w:bottom w:val="none" w:sz="0" w:space="0" w:color="auto"/>
        <w:right w:val="none" w:sz="0" w:space="0" w:color="auto"/>
      </w:divBdr>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61217209">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799808717">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01673658">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3967672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954755376">
      <w:bodyDiv w:val="1"/>
      <w:marLeft w:val="0"/>
      <w:marRight w:val="0"/>
      <w:marTop w:val="0"/>
      <w:marBottom w:val="0"/>
      <w:divBdr>
        <w:top w:val="none" w:sz="0" w:space="0" w:color="auto"/>
        <w:left w:val="none" w:sz="0" w:space="0" w:color="auto"/>
        <w:bottom w:val="none" w:sz="0" w:space="0" w:color="auto"/>
        <w:right w:val="none" w:sz="0" w:space="0" w:color="auto"/>
      </w:divBdr>
    </w:div>
    <w:div w:id="958267825">
      <w:bodyDiv w:val="1"/>
      <w:marLeft w:val="0"/>
      <w:marRight w:val="0"/>
      <w:marTop w:val="0"/>
      <w:marBottom w:val="0"/>
      <w:divBdr>
        <w:top w:val="none" w:sz="0" w:space="0" w:color="auto"/>
        <w:left w:val="none" w:sz="0" w:space="0" w:color="auto"/>
        <w:bottom w:val="none" w:sz="0" w:space="0" w:color="auto"/>
        <w:right w:val="none" w:sz="0" w:space="0" w:color="auto"/>
      </w:divBdr>
    </w:div>
    <w:div w:id="969702650">
      <w:bodyDiv w:val="1"/>
      <w:marLeft w:val="0"/>
      <w:marRight w:val="0"/>
      <w:marTop w:val="0"/>
      <w:marBottom w:val="0"/>
      <w:divBdr>
        <w:top w:val="none" w:sz="0" w:space="0" w:color="auto"/>
        <w:left w:val="none" w:sz="0" w:space="0" w:color="auto"/>
        <w:bottom w:val="none" w:sz="0" w:space="0" w:color="auto"/>
        <w:right w:val="none" w:sz="0" w:space="0" w:color="auto"/>
      </w:divBdr>
    </w:div>
    <w:div w:id="974527350">
      <w:bodyDiv w:val="1"/>
      <w:marLeft w:val="0"/>
      <w:marRight w:val="0"/>
      <w:marTop w:val="0"/>
      <w:marBottom w:val="0"/>
      <w:divBdr>
        <w:top w:val="none" w:sz="0" w:space="0" w:color="auto"/>
        <w:left w:val="none" w:sz="0" w:space="0" w:color="auto"/>
        <w:bottom w:val="none" w:sz="0" w:space="0" w:color="auto"/>
        <w:right w:val="none" w:sz="0" w:space="0" w:color="auto"/>
      </w:divBdr>
    </w:div>
    <w:div w:id="992298205">
      <w:bodyDiv w:val="1"/>
      <w:marLeft w:val="0"/>
      <w:marRight w:val="0"/>
      <w:marTop w:val="0"/>
      <w:marBottom w:val="0"/>
      <w:divBdr>
        <w:top w:val="none" w:sz="0" w:space="0" w:color="auto"/>
        <w:left w:val="none" w:sz="0" w:space="0" w:color="auto"/>
        <w:bottom w:val="none" w:sz="0" w:space="0" w:color="auto"/>
        <w:right w:val="none" w:sz="0" w:space="0" w:color="auto"/>
      </w:divBdr>
    </w:div>
    <w:div w:id="998535819">
      <w:bodyDiv w:val="1"/>
      <w:marLeft w:val="0"/>
      <w:marRight w:val="0"/>
      <w:marTop w:val="0"/>
      <w:marBottom w:val="0"/>
      <w:divBdr>
        <w:top w:val="none" w:sz="0" w:space="0" w:color="auto"/>
        <w:left w:val="none" w:sz="0" w:space="0" w:color="auto"/>
        <w:bottom w:val="none" w:sz="0" w:space="0" w:color="auto"/>
        <w:right w:val="none" w:sz="0" w:space="0" w:color="auto"/>
      </w:divBdr>
      <w:divsChild>
        <w:div w:id="1582371669">
          <w:marLeft w:val="0"/>
          <w:marRight w:val="0"/>
          <w:marTop w:val="120"/>
          <w:marBottom w:val="120"/>
          <w:divBdr>
            <w:top w:val="none" w:sz="0" w:space="0" w:color="auto"/>
            <w:left w:val="none" w:sz="0" w:space="0" w:color="auto"/>
            <w:bottom w:val="none" w:sz="0" w:space="0" w:color="auto"/>
            <w:right w:val="none" w:sz="0" w:space="0" w:color="auto"/>
          </w:divBdr>
          <w:divsChild>
            <w:div w:id="1431854296">
              <w:marLeft w:val="0"/>
              <w:marRight w:val="0"/>
              <w:marTop w:val="0"/>
              <w:marBottom w:val="0"/>
              <w:divBdr>
                <w:top w:val="none" w:sz="0" w:space="0" w:color="auto"/>
                <w:left w:val="none" w:sz="0" w:space="0" w:color="auto"/>
                <w:bottom w:val="none" w:sz="0" w:space="0" w:color="auto"/>
                <w:right w:val="none" w:sz="0" w:space="0" w:color="auto"/>
              </w:divBdr>
            </w:div>
          </w:divsChild>
        </w:div>
        <w:div w:id="190846579">
          <w:marLeft w:val="0"/>
          <w:marRight w:val="0"/>
          <w:marTop w:val="0"/>
          <w:marBottom w:val="120"/>
          <w:divBdr>
            <w:top w:val="none" w:sz="0" w:space="0" w:color="auto"/>
            <w:left w:val="none" w:sz="0" w:space="0" w:color="auto"/>
            <w:bottom w:val="none" w:sz="0" w:space="0" w:color="auto"/>
            <w:right w:val="none" w:sz="0" w:space="0" w:color="auto"/>
          </w:divBdr>
          <w:divsChild>
            <w:div w:id="6472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36738959">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88667">
      <w:bodyDiv w:val="1"/>
      <w:marLeft w:val="0"/>
      <w:marRight w:val="0"/>
      <w:marTop w:val="0"/>
      <w:marBottom w:val="0"/>
      <w:divBdr>
        <w:top w:val="none" w:sz="0" w:space="0" w:color="auto"/>
        <w:left w:val="none" w:sz="0" w:space="0" w:color="auto"/>
        <w:bottom w:val="none" w:sz="0" w:space="0" w:color="auto"/>
        <w:right w:val="none" w:sz="0" w:space="0" w:color="auto"/>
      </w:divBdr>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72965863">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066427">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57264985">
      <w:bodyDiv w:val="1"/>
      <w:marLeft w:val="0"/>
      <w:marRight w:val="0"/>
      <w:marTop w:val="0"/>
      <w:marBottom w:val="0"/>
      <w:divBdr>
        <w:top w:val="none" w:sz="0" w:space="0" w:color="auto"/>
        <w:left w:val="none" w:sz="0" w:space="0" w:color="auto"/>
        <w:bottom w:val="none" w:sz="0" w:space="0" w:color="auto"/>
        <w:right w:val="none" w:sz="0" w:space="0" w:color="auto"/>
      </w:divBdr>
    </w:div>
    <w:div w:id="1170565204">
      <w:bodyDiv w:val="1"/>
      <w:marLeft w:val="0"/>
      <w:marRight w:val="0"/>
      <w:marTop w:val="0"/>
      <w:marBottom w:val="0"/>
      <w:divBdr>
        <w:top w:val="none" w:sz="0" w:space="0" w:color="auto"/>
        <w:left w:val="none" w:sz="0" w:space="0" w:color="auto"/>
        <w:bottom w:val="none" w:sz="0" w:space="0" w:color="auto"/>
        <w:right w:val="none" w:sz="0" w:space="0" w:color="auto"/>
      </w:divBdr>
    </w:div>
    <w:div w:id="1178304134">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07139070">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2639898">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0252316">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17289661">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09482">
      <w:bodyDiv w:val="1"/>
      <w:marLeft w:val="0"/>
      <w:marRight w:val="0"/>
      <w:marTop w:val="0"/>
      <w:marBottom w:val="0"/>
      <w:divBdr>
        <w:top w:val="none" w:sz="0" w:space="0" w:color="auto"/>
        <w:left w:val="none" w:sz="0" w:space="0" w:color="auto"/>
        <w:bottom w:val="none" w:sz="0" w:space="0" w:color="auto"/>
        <w:right w:val="none" w:sz="0" w:space="0" w:color="auto"/>
      </w:divBdr>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1543459">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25941">
      <w:bodyDiv w:val="1"/>
      <w:marLeft w:val="0"/>
      <w:marRight w:val="0"/>
      <w:marTop w:val="0"/>
      <w:marBottom w:val="0"/>
      <w:divBdr>
        <w:top w:val="none" w:sz="0" w:space="0" w:color="auto"/>
        <w:left w:val="none" w:sz="0" w:space="0" w:color="auto"/>
        <w:bottom w:val="none" w:sz="0" w:space="0" w:color="auto"/>
        <w:right w:val="none" w:sz="0" w:space="0" w:color="auto"/>
      </w:divBdr>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09334319">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24600835">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1921401915">
      <w:bodyDiv w:val="1"/>
      <w:marLeft w:val="0"/>
      <w:marRight w:val="0"/>
      <w:marTop w:val="0"/>
      <w:marBottom w:val="0"/>
      <w:divBdr>
        <w:top w:val="none" w:sz="0" w:space="0" w:color="auto"/>
        <w:left w:val="none" w:sz="0" w:space="0" w:color="auto"/>
        <w:bottom w:val="none" w:sz="0" w:space="0" w:color="auto"/>
        <w:right w:val="none" w:sz="0" w:space="0" w:color="auto"/>
      </w:divBdr>
    </w:div>
    <w:div w:id="1954940571">
      <w:bodyDiv w:val="1"/>
      <w:marLeft w:val="0"/>
      <w:marRight w:val="0"/>
      <w:marTop w:val="0"/>
      <w:marBottom w:val="0"/>
      <w:divBdr>
        <w:top w:val="none" w:sz="0" w:space="0" w:color="auto"/>
        <w:left w:val="none" w:sz="0" w:space="0" w:color="auto"/>
        <w:bottom w:val="none" w:sz="0" w:space="0" w:color="auto"/>
        <w:right w:val="none" w:sz="0" w:space="0" w:color="auto"/>
      </w:divBdr>
    </w:div>
    <w:div w:id="2016108594">
      <w:bodyDiv w:val="1"/>
      <w:marLeft w:val="0"/>
      <w:marRight w:val="0"/>
      <w:marTop w:val="0"/>
      <w:marBottom w:val="0"/>
      <w:divBdr>
        <w:top w:val="none" w:sz="0" w:space="0" w:color="auto"/>
        <w:left w:val="none" w:sz="0" w:space="0" w:color="auto"/>
        <w:bottom w:val="none" w:sz="0" w:space="0" w:color="auto"/>
        <w:right w:val="none" w:sz="0" w:space="0" w:color="auto"/>
      </w:divBdr>
    </w:div>
    <w:div w:id="2041316034">
      <w:bodyDiv w:val="1"/>
      <w:marLeft w:val="0"/>
      <w:marRight w:val="0"/>
      <w:marTop w:val="0"/>
      <w:marBottom w:val="0"/>
      <w:divBdr>
        <w:top w:val="none" w:sz="0" w:space="0" w:color="auto"/>
        <w:left w:val="none" w:sz="0" w:space="0" w:color="auto"/>
        <w:bottom w:val="none" w:sz="0" w:space="0" w:color="auto"/>
        <w:right w:val="none" w:sz="0" w:space="0" w:color="auto"/>
      </w:divBdr>
    </w:div>
    <w:div w:id="2082019158">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034BD75A-A4CA-4FCC-AD53-A62EFC8174EA}">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0B4C10EF-6D79-4B66-967C-A10EBDC6F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12</TotalTime>
  <Pages>18</Pages>
  <Words>6695</Words>
  <Characters>36828</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Jorge Eliecer Moran Buitrón</cp:lastModifiedBy>
  <cp:revision>9</cp:revision>
  <cp:lastPrinted>2020-01-30T15:05:00Z</cp:lastPrinted>
  <dcterms:created xsi:type="dcterms:W3CDTF">2022-08-26T13:43:00Z</dcterms:created>
  <dcterms:modified xsi:type="dcterms:W3CDTF">2022-09-23T20:54:00Z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