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9DED" w14:textId="77777777" w:rsidR="00DC701A" w:rsidRPr="00DC701A" w:rsidRDefault="00DC701A" w:rsidP="00DC701A">
      <w:pPr>
        <w:spacing w:after="0" w:line="240" w:lineRule="auto"/>
        <w:jc w:val="right"/>
        <w:rPr>
          <w:rFonts w:ascii="Arial" w:eastAsia="Times New Roman" w:hAnsi="Arial" w:cs="Arial"/>
          <w:b/>
          <w:sz w:val="16"/>
          <w:szCs w:val="16"/>
          <w:lang w:val="es-ES" w:eastAsia="es-ES"/>
        </w:rPr>
      </w:pPr>
      <w:r w:rsidRPr="00DC701A">
        <w:rPr>
          <w:rFonts w:ascii="Arial" w:eastAsia="Times New Roman" w:hAnsi="Arial" w:cs="Arial"/>
          <w:b/>
          <w:sz w:val="16"/>
          <w:szCs w:val="16"/>
          <w:lang w:val="es-ES" w:eastAsia="es-ES"/>
        </w:rPr>
        <w:t>CCE-DES-FM-17</w:t>
      </w:r>
    </w:p>
    <w:p w14:paraId="042C8882" w14:textId="77777777" w:rsidR="00DC701A" w:rsidRPr="00DC701A" w:rsidRDefault="00DC701A" w:rsidP="00DC701A">
      <w:pPr>
        <w:spacing w:after="0" w:line="240" w:lineRule="auto"/>
        <w:jc w:val="both"/>
        <w:rPr>
          <w:rFonts w:ascii="Arial" w:eastAsia="Calibri" w:hAnsi="Arial" w:cs="Arial"/>
          <w:b/>
          <w:sz w:val="20"/>
          <w:szCs w:val="20"/>
          <w:lang w:val="es-MX" w:eastAsia="es-MX"/>
        </w:rPr>
      </w:pPr>
    </w:p>
    <w:p w14:paraId="085877A5" w14:textId="77777777" w:rsidR="001055FC" w:rsidRPr="00DC701A" w:rsidRDefault="001055FC" w:rsidP="001055FC">
      <w:pPr>
        <w:tabs>
          <w:tab w:val="left" w:pos="0"/>
        </w:tabs>
        <w:spacing w:after="0" w:line="240" w:lineRule="auto"/>
        <w:jc w:val="both"/>
        <w:rPr>
          <w:rFonts w:ascii="Arial" w:eastAsia="Calibri" w:hAnsi="Arial" w:cs="Arial"/>
          <w:b/>
          <w:lang w:eastAsia="es-MX"/>
        </w:rPr>
      </w:pPr>
      <w:r w:rsidRPr="00DC701A">
        <w:rPr>
          <w:rFonts w:ascii="Arial" w:eastAsia="Calibri" w:hAnsi="Arial" w:cs="Arial"/>
          <w:b/>
          <w:lang w:eastAsia="es-MX"/>
        </w:rPr>
        <w:t xml:space="preserve">CAPACIDAD RESIDUAL – Cálculo </w:t>
      </w:r>
    </w:p>
    <w:p w14:paraId="44F2B8E7" w14:textId="77777777" w:rsidR="001055FC" w:rsidRPr="00DC701A" w:rsidRDefault="001055FC" w:rsidP="001055FC">
      <w:pPr>
        <w:tabs>
          <w:tab w:val="left" w:pos="0"/>
        </w:tabs>
        <w:spacing w:after="0" w:line="240" w:lineRule="auto"/>
        <w:jc w:val="both"/>
        <w:rPr>
          <w:rFonts w:ascii="Arial" w:eastAsia="Calibri" w:hAnsi="Arial" w:cs="Arial"/>
          <w:b/>
          <w:sz w:val="24"/>
          <w:szCs w:val="24"/>
          <w:lang w:eastAsia="es-MX"/>
        </w:rPr>
      </w:pPr>
    </w:p>
    <w:p w14:paraId="2EAC4618" w14:textId="77777777" w:rsidR="001055FC" w:rsidRPr="00465635" w:rsidRDefault="001055FC" w:rsidP="001055FC">
      <w:pPr>
        <w:spacing w:after="0" w:line="240" w:lineRule="auto"/>
        <w:jc w:val="both"/>
        <w:rPr>
          <w:rFonts w:ascii="Arial" w:eastAsia="Times New Roman" w:hAnsi="Arial" w:cs="Arial"/>
          <w:color w:val="000000"/>
          <w:sz w:val="20"/>
          <w:szCs w:val="20"/>
          <w:lang w:val="es-MX" w:eastAsia="en-GB"/>
        </w:rPr>
      </w:pPr>
      <w:r w:rsidRPr="00465635">
        <w:rPr>
          <w:rFonts w:ascii="Arial" w:eastAsia="Times New Roman" w:hAnsi="Arial" w:cs="Arial"/>
          <w:color w:val="000000"/>
          <w:sz w:val="20"/>
          <w:szCs w:val="20"/>
          <w:lang w:val="es-MX" w:eastAsia="en-GB"/>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p>
    <w:p w14:paraId="2209C7D5" w14:textId="77777777" w:rsidR="001055FC" w:rsidRPr="00DC701A" w:rsidRDefault="001055FC" w:rsidP="001055FC">
      <w:pPr>
        <w:tabs>
          <w:tab w:val="left" w:pos="0"/>
        </w:tabs>
        <w:spacing w:after="0" w:line="240" w:lineRule="auto"/>
        <w:jc w:val="both"/>
        <w:rPr>
          <w:rFonts w:ascii="Arial" w:eastAsia="Calibri" w:hAnsi="Arial" w:cs="Arial"/>
          <w:b/>
          <w:sz w:val="20"/>
          <w:szCs w:val="20"/>
          <w:lang w:eastAsia="es-MX"/>
        </w:rPr>
      </w:pPr>
    </w:p>
    <w:p w14:paraId="6C440A4C" w14:textId="77777777" w:rsidR="001055FC" w:rsidRPr="00DC701A" w:rsidRDefault="001055FC" w:rsidP="001055FC">
      <w:pPr>
        <w:tabs>
          <w:tab w:val="left" w:pos="0"/>
        </w:tabs>
        <w:spacing w:after="0" w:line="240" w:lineRule="auto"/>
        <w:jc w:val="both"/>
        <w:rPr>
          <w:rFonts w:ascii="Arial" w:eastAsia="Calibri" w:hAnsi="Arial" w:cs="Arial"/>
          <w:b/>
          <w:lang w:eastAsia="es-MX"/>
        </w:rPr>
      </w:pPr>
      <w:r w:rsidRPr="00DC701A">
        <w:rPr>
          <w:rFonts w:ascii="Arial" w:eastAsia="Calibri" w:hAnsi="Arial" w:cs="Arial"/>
          <w:b/>
          <w:lang w:eastAsia="es-MX"/>
        </w:rPr>
        <w:t>SALDOS DE CONTRATOS EN EJECUCIÓN – Acreditación</w:t>
      </w:r>
    </w:p>
    <w:p w14:paraId="094BF03C" w14:textId="77777777" w:rsidR="001055FC" w:rsidRPr="00DC701A" w:rsidRDefault="001055FC" w:rsidP="001055FC">
      <w:pPr>
        <w:tabs>
          <w:tab w:val="left" w:pos="0"/>
        </w:tabs>
        <w:spacing w:after="0" w:line="240" w:lineRule="auto"/>
        <w:jc w:val="both"/>
        <w:rPr>
          <w:rFonts w:ascii="Arial" w:eastAsia="Calibri" w:hAnsi="Arial" w:cs="Arial"/>
          <w:b/>
          <w:sz w:val="24"/>
          <w:szCs w:val="24"/>
          <w:lang w:eastAsia="es-MX"/>
        </w:rPr>
      </w:pPr>
    </w:p>
    <w:p w14:paraId="414BF38E" w14:textId="77777777" w:rsidR="001055FC" w:rsidRPr="008A7DAA" w:rsidRDefault="001055FC" w:rsidP="001055FC">
      <w:pPr>
        <w:spacing w:after="0" w:line="240" w:lineRule="auto"/>
        <w:jc w:val="both"/>
        <w:rPr>
          <w:rFonts w:ascii="Arial" w:eastAsia="Times New Roman" w:hAnsi="Arial" w:cs="Arial"/>
          <w:sz w:val="20"/>
          <w:szCs w:val="20"/>
          <w:lang w:eastAsia="en-GB"/>
        </w:rPr>
      </w:pPr>
      <w:r w:rsidRPr="008A7DAA">
        <w:rPr>
          <w:rFonts w:ascii="Arial" w:eastAsia="Times New Roman" w:hAnsi="Arial" w:cs="Arial"/>
          <w:sz w:val="20"/>
          <w:szCs w:val="20"/>
          <w:lang w:eastAsia="en-GB"/>
        </w:rPr>
        <w:t xml:space="preserve">De este modo, para acreditar el factor </w:t>
      </w:r>
      <w:r w:rsidRPr="008A7DAA">
        <w:rPr>
          <w:rFonts w:ascii="Arial" w:eastAsia="Calibri" w:hAnsi="Arial" w:cs="Arial"/>
          <w:bCs/>
          <w:color w:val="000000"/>
          <w:sz w:val="20"/>
          <w:szCs w:val="20"/>
          <w:lang w:val="es-MX" w:eastAsia="en-GB"/>
        </w:rPr>
        <w:t xml:space="preserve">saldos de los contratos en ejecución </w:t>
      </w:r>
      <w:r w:rsidRPr="008A7DAA">
        <w:rPr>
          <w:rFonts w:ascii="Arial" w:eastAsia="Calibri" w:hAnsi="Arial" w:cs="Arial"/>
          <w:bCs/>
          <w:color w:val="000000"/>
          <w:sz w:val="20"/>
          <w:szCs w:val="20"/>
          <w:lang w:eastAsia="en-GB"/>
        </w:rPr>
        <w:t>«SCE»,</w:t>
      </w:r>
      <w:r w:rsidRPr="008A7DAA">
        <w:rPr>
          <w:rFonts w:ascii="Arial" w:eastAsia="Times New Roman" w:hAnsi="Arial" w:cs="Arial"/>
          <w:sz w:val="20"/>
          <w:szCs w:val="20"/>
          <w:lang w:eastAsia="en-GB"/>
        </w:rPr>
        <w:t xml:space="preserve">  como lo establece la Guía, el proponente debe presentar la lista de contratos de obras civiles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19CB6C8C" w14:textId="77777777" w:rsidR="001055FC" w:rsidRPr="00DC701A" w:rsidRDefault="001055FC" w:rsidP="001055FC">
      <w:pPr>
        <w:spacing w:after="0" w:line="240" w:lineRule="auto"/>
        <w:jc w:val="both"/>
        <w:rPr>
          <w:rFonts w:ascii="Arial" w:eastAsia="Arial," w:hAnsi="Arial" w:cs="Arial"/>
          <w:sz w:val="20"/>
          <w:szCs w:val="20"/>
          <w:lang w:eastAsia="es-MX"/>
        </w:rPr>
      </w:pPr>
    </w:p>
    <w:p w14:paraId="2C100828" w14:textId="77777777" w:rsidR="001055FC" w:rsidRDefault="001055FC" w:rsidP="001055FC">
      <w:pPr>
        <w:tabs>
          <w:tab w:val="left" w:pos="0"/>
        </w:tabs>
        <w:spacing w:after="0" w:line="240" w:lineRule="auto"/>
        <w:jc w:val="both"/>
        <w:rPr>
          <w:rFonts w:ascii="Arial" w:eastAsia="Calibri" w:hAnsi="Arial" w:cs="Arial"/>
          <w:b/>
          <w:lang w:val="es-MX" w:eastAsia="es-MX"/>
        </w:rPr>
      </w:pPr>
      <w:r w:rsidRPr="00DC701A">
        <w:rPr>
          <w:rFonts w:ascii="Arial" w:eastAsia="Calibri" w:hAnsi="Arial" w:cs="Arial"/>
          <w:b/>
          <w:lang w:val="es-MX" w:eastAsia="es-MX"/>
        </w:rPr>
        <w:t xml:space="preserve">CONTRATOS EN EJECUCIÓN – Actas de inicio de contratos </w:t>
      </w:r>
    </w:p>
    <w:p w14:paraId="7E15C370" w14:textId="77777777" w:rsidR="001055FC" w:rsidRPr="00DC701A" w:rsidRDefault="001055FC" w:rsidP="001055FC">
      <w:pPr>
        <w:tabs>
          <w:tab w:val="left" w:pos="0"/>
        </w:tabs>
        <w:spacing w:after="0" w:line="240" w:lineRule="auto"/>
        <w:jc w:val="both"/>
        <w:rPr>
          <w:rFonts w:ascii="Arial" w:eastAsia="Calibri" w:hAnsi="Arial" w:cs="Arial"/>
          <w:b/>
          <w:lang w:val="es-MX" w:eastAsia="es-MX"/>
        </w:rPr>
      </w:pPr>
    </w:p>
    <w:p w14:paraId="23F7A8E2" w14:textId="77777777" w:rsidR="001055FC" w:rsidRPr="008A7DAA" w:rsidRDefault="001055FC" w:rsidP="001055FC">
      <w:pPr>
        <w:spacing w:after="0" w:line="240" w:lineRule="auto"/>
        <w:jc w:val="both"/>
        <w:rPr>
          <w:rFonts w:ascii="Arial" w:eastAsia="Times New Roman" w:hAnsi="Arial" w:cs="Arial"/>
          <w:sz w:val="20"/>
          <w:szCs w:val="20"/>
          <w:lang w:eastAsia="en-GB"/>
        </w:rPr>
      </w:pPr>
      <w:bookmarkStart w:id="0" w:name="_Hlk65849162"/>
      <w:r w:rsidRPr="008A7DAA">
        <w:rPr>
          <w:rFonts w:ascii="Arial" w:eastAsia="Arial," w:hAnsi="Arial" w:cs="Arial"/>
          <w:sz w:val="20"/>
          <w:szCs w:val="20"/>
          <w:lang w:eastAsia="en-GB"/>
        </w:rPr>
        <w:t xml:space="preserve">Como se aprecia, los apartados transcritos del documento base están en armonía con lo dispuesto en la </w:t>
      </w:r>
      <w:r w:rsidRPr="008A7DAA">
        <w:rPr>
          <w:rFonts w:ascii="Arial" w:eastAsia="Times New Roman" w:hAnsi="Arial" w:cs="Arial"/>
          <w:sz w:val="20"/>
          <w:szCs w:val="20"/>
          <w:lang w:eastAsia="en-GB"/>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8A7DAA">
        <w:rPr>
          <w:rFonts w:ascii="Arial" w:eastAsia="Calibri" w:hAnsi="Arial" w:cs="Arial"/>
          <w:color w:val="000000"/>
          <w:sz w:val="20"/>
          <w:szCs w:val="20"/>
          <w:lang w:val="es-MX" w:eastAsia="en-GB"/>
        </w:rPr>
        <w:t xml:space="preserve">el artículo 2.2.1.1.1.6.4 del Decreto 1082 de 2015, en virtud del cual, para efectos de </w:t>
      </w:r>
      <w:r w:rsidRPr="008A7DAA">
        <w:rPr>
          <w:rFonts w:ascii="Arial" w:eastAsia="Times New Roman" w:hAnsi="Arial" w:cs="Arial"/>
          <w:sz w:val="20"/>
          <w:szCs w:val="20"/>
          <w:lang w:val="es-MX" w:eastAsia="en-GB"/>
        </w:rPr>
        <w:t xml:space="preserve">acreditar la capacidad residual del proponente, se requiere el listado de contratos de obra civiles en ejecución suscritos con entidades estatales y con entidades privadas. </w:t>
      </w:r>
    </w:p>
    <w:p w14:paraId="6F16B00E" w14:textId="77777777" w:rsidR="001055FC" w:rsidRDefault="001055FC" w:rsidP="001055FC">
      <w:pPr>
        <w:spacing w:after="0" w:line="240" w:lineRule="auto"/>
        <w:jc w:val="both"/>
        <w:rPr>
          <w:rFonts w:ascii="Arial" w:eastAsia="Calibri" w:hAnsi="Arial" w:cs="Arial"/>
          <w:b/>
          <w:lang w:val="es-MX"/>
        </w:rPr>
      </w:pPr>
    </w:p>
    <w:p w14:paraId="546CEDA4" w14:textId="77777777" w:rsidR="001055FC" w:rsidRPr="00ED0894" w:rsidRDefault="001055FC" w:rsidP="001055FC">
      <w:pPr>
        <w:spacing w:after="0" w:line="240" w:lineRule="auto"/>
        <w:jc w:val="both"/>
        <w:rPr>
          <w:rFonts w:ascii="Arial" w:eastAsia="Calibri" w:hAnsi="Arial" w:cs="Arial"/>
          <w:b/>
          <w:lang w:val="es-MX"/>
        </w:rPr>
      </w:pPr>
      <w:r w:rsidRPr="00ED0894">
        <w:rPr>
          <w:rFonts w:ascii="Arial" w:eastAsia="Calibri" w:hAnsi="Arial" w:cs="Arial"/>
          <w:b/>
          <w:lang w:val="es-MX"/>
        </w:rPr>
        <w:t>DOCUMENTOS TIPO – Versión 3 – Licitación Pública - Capacidad residual – Rechazo de la oferta – Causales</w:t>
      </w:r>
    </w:p>
    <w:p w14:paraId="71E57D6C" w14:textId="77777777" w:rsidR="001055FC" w:rsidRPr="00ED0894" w:rsidRDefault="001055FC" w:rsidP="001055FC">
      <w:pPr>
        <w:spacing w:after="0" w:line="240" w:lineRule="auto"/>
        <w:jc w:val="both"/>
        <w:rPr>
          <w:rFonts w:ascii="Arial" w:eastAsia="Calibri" w:hAnsi="Arial" w:cs="Arial"/>
          <w:sz w:val="20"/>
          <w:szCs w:val="20"/>
          <w:lang w:val="es-MX"/>
        </w:rPr>
      </w:pPr>
    </w:p>
    <w:bookmarkEnd w:id="0"/>
    <w:p w14:paraId="0C099811" w14:textId="77777777" w:rsidR="001055FC" w:rsidRPr="008A7DAA" w:rsidRDefault="001055FC" w:rsidP="001055FC">
      <w:pPr>
        <w:spacing w:after="120" w:line="240" w:lineRule="auto"/>
        <w:jc w:val="both"/>
        <w:rPr>
          <w:rFonts w:ascii="Arial" w:eastAsia="Calibri" w:hAnsi="Arial" w:cs="Arial"/>
          <w:sz w:val="20"/>
          <w:szCs w:val="20"/>
          <w:lang w:val="es-MX"/>
        </w:rPr>
      </w:pPr>
      <w:r w:rsidRPr="008A7DAA">
        <w:rPr>
          <w:rFonts w:ascii="Arial" w:eastAsia="Calibri" w:hAnsi="Arial" w:cs="Arial"/>
          <w:sz w:val="20"/>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671B7327" w14:textId="77777777" w:rsidR="001055FC" w:rsidRPr="008A7DAA" w:rsidRDefault="001055FC" w:rsidP="001055FC">
      <w:pPr>
        <w:spacing w:after="120" w:line="240" w:lineRule="auto"/>
        <w:jc w:val="both"/>
        <w:rPr>
          <w:rFonts w:ascii="Arial" w:eastAsia="Calibri" w:hAnsi="Arial" w:cs="Arial"/>
          <w:sz w:val="20"/>
          <w:szCs w:val="20"/>
          <w:lang w:val="es-MX"/>
        </w:rPr>
      </w:pPr>
      <w:r w:rsidRPr="008A7DAA">
        <w:rPr>
          <w:rFonts w:ascii="Arial" w:eastAsia="Calibri" w:hAnsi="Arial" w:cs="Arial"/>
          <w:i/>
          <w:sz w:val="20"/>
          <w:szCs w:val="20"/>
          <w:lang w:val="es-MX"/>
        </w:rPr>
        <w:t>i)</w:t>
      </w:r>
      <w:r w:rsidRPr="008A7DAA">
        <w:rPr>
          <w:rFonts w:ascii="Arial" w:eastAsia="Calibri" w:hAnsi="Arial" w:cs="Arial"/>
          <w:sz w:val="20"/>
          <w:szCs w:val="20"/>
          <w:lang w:val="es-MX"/>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w:t>
      </w:r>
      <w:r w:rsidRPr="008A7DAA">
        <w:rPr>
          <w:rFonts w:ascii="Arial" w:eastAsia="Calibri" w:hAnsi="Arial" w:cs="Arial"/>
          <w:sz w:val="20"/>
          <w:szCs w:val="20"/>
          <w:lang w:val="es-MX"/>
        </w:rPr>
        <w:lastRenderedPageBreak/>
        <w:t>información de los contratos, siempre que los reporte todos. Por tanto, la configuración de la causal de rechazo del literal Z es objetiva, pues solo aplica ante la omisión del proponente de informar el número total de contratos en ejecución antes del cierre.</w:t>
      </w:r>
    </w:p>
    <w:p w14:paraId="231D9B1A" w14:textId="77777777" w:rsidR="001055FC" w:rsidRPr="008A7DAA" w:rsidRDefault="001055FC" w:rsidP="001055FC">
      <w:pPr>
        <w:spacing w:after="120" w:line="240" w:lineRule="auto"/>
        <w:jc w:val="both"/>
        <w:rPr>
          <w:rFonts w:ascii="Arial" w:eastAsia="Calibri" w:hAnsi="Arial" w:cs="Arial"/>
          <w:sz w:val="20"/>
          <w:szCs w:val="20"/>
          <w:lang w:val="es-MX"/>
        </w:rPr>
      </w:pPr>
      <w:r w:rsidRPr="008A7DAA">
        <w:rPr>
          <w:rFonts w:ascii="Arial" w:eastAsia="Calibri" w:hAnsi="Arial" w:cs="Arial"/>
          <w:sz w:val="20"/>
          <w:szCs w:val="20"/>
          <w:lang w:val="es-MX"/>
        </w:rPr>
        <w:t xml:space="preserve">ii)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41D3F88E" w14:textId="77777777" w:rsidR="001055FC" w:rsidRPr="008A7DAA" w:rsidRDefault="001055FC" w:rsidP="001055FC">
      <w:pPr>
        <w:spacing w:after="0" w:line="240" w:lineRule="auto"/>
        <w:jc w:val="both"/>
        <w:rPr>
          <w:rFonts w:ascii="Arial" w:eastAsia="Calibri" w:hAnsi="Arial" w:cs="Arial"/>
          <w:sz w:val="20"/>
          <w:szCs w:val="20"/>
          <w:lang w:val="es-MX"/>
        </w:rPr>
      </w:pPr>
      <w:r w:rsidRPr="008A7DAA">
        <w:rPr>
          <w:rFonts w:ascii="Arial" w:eastAsia="Calibri" w:hAnsi="Arial" w:cs="Arial"/>
          <w:sz w:val="20"/>
          <w:szCs w:val="20"/>
          <w:lang w:val="es-MX"/>
        </w:rPr>
        <w:t>iii) Lo dicho en los numerales precedentes tampoco descarta la posibilidad de que la entidad rechace la oferta si encuentra configurada la causal establecida en el literal H del numeral 1.15, que aplica cuando el proponente aporta información inexacta</w:t>
      </w:r>
    </w:p>
    <w:p w14:paraId="7BF33DB1" w14:textId="77777777" w:rsidR="001055FC" w:rsidRPr="00F31C2D" w:rsidRDefault="001055FC" w:rsidP="001055FC">
      <w:pPr>
        <w:spacing w:after="0" w:line="276" w:lineRule="auto"/>
        <w:jc w:val="both"/>
        <w:rPr>
          <w:rFonts w:ascii="Arial" w:hAnsi="Arial" w:cs="Arial"/>
          <w:sz w:val="20"/>
          <w:szCs w:val="18"/>
          <w:lang w:val="es-MX"/>
        </w:rPr>
      </w:pPr>
    </w:p>
    <w:p w14:paraId="3D92B4E6" w14:textId="77777777" w:rsidR="001055FC" w:rsidRPr="00ED0894" w:rsidRDefault="001055FC" w:rsidP="001055FC">
      <w:pPr>
        <w:spacing w:after="0" w:line="240" w:lineRule="auto"/>
        <w:jc w:val="both"/>
        <w:rPr>
          <w:rFonts w:ascii="Arial" w:eastAsia="Calibri" w:hAnsi="Arial" w:cs="Arial"/>
          <w:b/>
          <w:lang w:val="es-MX"/>
        </w:rPr>
      </w:pPr>
      <w:bookmarkStart w:id="1" w:name="_Hlk65849173"/>
      <w:r w:rsidRPr="00ED0894">
        <w:rPr>
          <w:rFonts w:ascii="Arial" w:eastAsia="Calibri" w:hAnsi="Arial" w:cs="Arial"/>
          <w:b/>
          <w:lang w:val="es-MX"/>
        </w:rPr>
        <w:t xml:space="preserve">CAPACIDAD RESIDUAL – Rechazo de la oferta – Afectación – Subsanabilidad </w:t>
      </w:r>
    </w:p>
    <w:bookmarkEnd w:id="1"/>
    <w:p w14:paraId="4032B04D" w14:textId="77777777" w:rsidR="001055FC" w:rsidRPr="00ED0894" w:rsidRDefault="001055FC" w:rsidP="001055FC">
      <w:pPr>
        <w:spacing w:after="0" w:line="240" w:lineRule="auto"/>
        <w:jc w:val="both"/>
        <w:rPr>
          <w:rFonts w:ascii="Arial" w:eastAsia="Calibri" w:hAnsi="Arial" w:cs="Arial"/>
          <w:b/>
          <w:sz w:val="20"/>
          <w:szCs w:val="20"/>
          <w:lang w:val="es-MX"/>
        </w:rPr>
      </w:pPr>
    </w:p>
    <w:p w14:paraId="73A23E28" w14:textId="77777777" w:rsidR="001055FC" w:rsidRPr="008A7DAA" w:rsidRDefault="001055FC" w:rsidP="001055FC">
      <w:pPr>
        <w:spacing w:after="0" w:line="240" w:lineRule="auto"/>
        <w:jc w:val="both"/>
        <w:rPr>
          <w:rFonts w:ascii="Arial" w:hAnsi="Arial" w:cs="Arial"/>
          <w:sz w:val="20"/>
          <w:szCs w:val="20"/>
        </w:rPr>
      </w:pPr>
      <w:r w:rsidRPr="008A7DAA">
        <w:rPr>
          <w:rFonts w:ascii="Arial" w:hAnsi="Arial" w:cs="Arial"/>
          <w:sz w:val="20"/>
          <w:szCs w:val="20"/>
        </w:rPr>
        <w:t xml:space="preserve">[…] aunque las causales de rechazo del literal E, H y Z del numeral 1.15 de los documentos tipo se relacionan con la capacidad residual como requisito habilitante, estas se aplican en supuestos diferentes, de acuerdo con lo explicado </w:t>
      </w:r>
      <w:r w:rsidRPr="008A7DAA">
        <w:rPr>
          <w:rFonts w:ascii="Arial" w:hAnsi="Arial" w:cs="Arial"/>
          <w:i/>
          <w:sz w:val="20"/>
          <w:szCs w:val="20"/>
        </w:rPr>
        <w:t>ut supra</w:t>
      </w:r>
      <w:r w:rsidRPr="008A7DAA">
        <w:rPr>
          <w:rFonts w:ascii="Arial" w:hAnsi="Arial" w:cs="Arial"/>
          <w:sz w:val="20"/>
          <w:szCs w:val="20"/>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3237699C" w14:textId="77777777" w:rsidR="001055FC" w:rsidRPr="00ED0894" w:rsidRDefault="001055FC" w:rsidP="001055FC">
      <w:pPr>
        <w:spacing w:after="0" w:line="240" w:lineRule="auto"/>
        <w:jc w:val="both"/>
        <w:rPr>
          <w:rFonts w:ascii="Arial" w:hAnsi="Arial" w:cs="Arial"/>
          <w:sz w:val="20"/>
          <w:szCs w:val="20"/>
        </w:rPr>
      </w:pPr>
    </w:p>
    <w:p w14:paraId="12DB60DD" w14:textId="77777777" w:rsidR="001055FC" w:rsidRPr="00ED0894" w:rsidRDefault="001055FC" w:rsidP="001055FC">
      <w:pPr>
        <w:spacing w:after="0" w:line="240" w:lineRule="auto"/>
        <w:jc w:val="both"/>
        <w:rPr>
          <w:rFonts w:ascii="Arial" w:eastAsia="Calibri" w:hAnsi="Arial" w:cs="Arial"/>
          <w:b/>
          <w:lang w:val="es-MX"/>
        </w:rPr>
      </w:pPr>
      <w:bookmarkStart w:id="2" w:name="_Hlk65849188"/>
      <w:r w:rsidRPr="00ED0894">
        <w:rPr>
          <w:rFonts w:ascii="Arial" w:eastAsia="Calibri" w:hAnsi="Arial" w:cs="Arial"/>
          <w:b/>
          <w:lang w:val="es-MX"/>
        </w:rPr>
        <w:t xml:space="preserve">RECHAZO DE LA OFERTA – Capacidad residual – Documento Base – Literal Z – Versión 3 – Licitación Pública – </w:t>
      </w:r>
      <w:r w:rsidRPr="00ED0894">
        <w:rPr>
          <w:rFonts w:ascii="Arial" w:hAnsi="Arial" w:cs="Arial"/>
          <w:b/>
          <w:lang w:val="es-MX"/>
        </w:rPr>
        <w:t>Alcance</w:t>
      </w:r>
      <w:bookmarkEnd w:id="2"/>
    </w:p>
    <w:p w14:paraId="051FB3F0" w14:textId="77777777" w:rsidR="001055FC" w:rsidRPr="00ED0894" w:rsidRDefault="001055FC" w:rsidP="001055FC">
      <w:pPr>
        <w:spacing w:after="0" w:line="240" w:lineRule="auto"/>
        <w:jc w:val="both"/>
        <w:rPr>
          <w:rFonts w:ascii="Arial" w:eastAsia="Calibri" w:hAnsi="Arial" w:cs="Arial"/>
          <w:b/>
          <w:lang w:val="es-MX"/>
        </w:rPr>
      </w:pPr>
    </w:p>
    <w:p w14:paraId="2C46B3C3" w14:textId="77777777" w:rsidR="001055FC" w:rsidRPr="008A7DAA" w:rsidRDefault="001055FC" w:rsidP="001055FC">
      <w:pPr>
        <w:spacing w:after="0" w:line="240" w:lineRule="auto"/>
        <w:jc w:val="both"/>
        <w:rPr>
          <w:rFonts w:ascii="Arial" w:hAnsi="Arial" w:cs="Arial"/>
          <w:sz w:val="20"/>
          <w:szCs w:val="20"/>
        </w:rPr>
      </w:pPr>
      <w:r w:rsidRPr="008A7DAA">
        <w:rPr>
          <w:rFonts w:ascii="Arial" w:hAnsi="Arial" w:cs="Arial"/>
          <w:sz w:val="20"/>
          <w:szCs w:val="20"/>
        </w:rPr>
        <w:t>[…] 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que el proponente «corrija» el error e informe la existencia de un contrato no reportado, implica aceptar que ocurrió la causal del literal Z, esto es, que el proponente incumplió su obligación de informar todos los contratos de obra que tenía en ejecución.</w:t>
      </w:r>
    </w:p>
    <w:p w14:paraId="2F6B14CF" w14:textId="77777777" w:rsidR="001055FC" w:rsidRDefault="001055FC" w:rsidP="001055FC">
      <w:pPr>
        <w:spacing w:after="0" w:line="240" w:lineRule="auto"/>
        <w:jc w:val="both"/>
        <w:rPr>
          <w:rFonts w:ascii="Arial" w:hAnsi="Arial" w:cs="Arial"/>
          <w:sz w:val="20"/>
          <w:szCs w:val="20"/>
        </w:rPr>
      </w:pPr>
    </w:p>
    <w:p w14:paraId="3A0A224A" w14:textId="77777777" w:rsidR="001055FC" w:rsidRPr="00EA76F6" w:rsidRDefault="001055FC" w:rsidP="001055FC">
      <w:pPr>
        <w:spacing w:after="0" w:line="240" w:lineRule="auto"/>
        <w:jc w:val="both"/>
        <w:rPr>
          <w:rFonts w:ascii="Arial" w:eastAsia="Calibri" w:hAnsi="Arial" w:cs="Arial"/>
          <w:b/>
          <w:lang w:val="es-MX"/>
        </w:rPr>
      </w:pPr>
      <w:r w:rsidRPr="00EA76F6">
        <w:rPr>
          <w:rFonts w:ascii="Arial" w:eastAsia="Calibri" w:hAnsi="Arial" w:cs="Arial"/>
          <w:b/>
          <w:bCs/>
          <w:lang w:val="es-MX"/>
        </w:rPr>
        <w:t xml:space="preserve">PRECIOS ARTIFICIALMENTE BAJOS </w:t>
      </w:r>
      <w:r w:rsidRPr="00EA76F6">
        <w:rPr>
          <w:rFonts w:ascii="Arial" w:eastAsia="Calibri" w:hAnsi="Arial" w:cs="Arial"/>
          <w:b/>
          <w:lang w:val="es-MX"/>
        </w:rPr>
        <w:t>–</w:t>
      </w:r>
      <w:r w:rsidRPr="00EA76F6">
        <w:rPr>
          <w:rFonts w:ascii="Arial" w:eastAsia="Calibri" w:hAnsi="Arial" w:cs="Arial"/>
          <w:b/>
          <w:bCs/>
          <w:lang w:val="es-MX"/>
        </w:rPr>
        <w:t xml:space="preserve"> Noción </w:t>
      </w:r>
      <w:r w:rsidRPr="00EA76F6">
        <w:rPr>
          <w:rFonts w:ascii="Arial" w:eastAsia="Calibri" w:hAnsi="Arial" w:cs="Arial"/>
          <w:b/>
          <w:lang w:val="es-MX"/>
        </w:rPr>
        <w:t>– Colombia Compra Eficiente</w:t>
      </w:r>
    </w:p>
    <w:p w14:paraId="31D24999" w14:textId="77777777" w:rsidR="001055FC" w:rsidRPr="00EA76F6" w:rsidRDefault="001055FC" w:rsidP="001055FC">
      <w:pPr>
        <w:spacing w:after="0" w:line="240" w:lineRule="auto"/>
        <w:jc w:val="both"/>
        <w:rPr>
          <w:rFonts w:ascii="Arial" w:eastAsia="Calibri" w:hAnsi="Arial" w:cs="Arial"/>
          <w:sz w:val="20"/>
          <w:szCs w:val="20"/>
          <w:lang w:val="es-ES"/>
        </w:rPr>
      </w:pPr>
    </w:p>
    <w:p w14:paraId="6B5E4ED1" w14:textId="77777777" w:rsidR="001055FC" w:rsidRPr="008A7DAA" w:rsidRDefault="001055FC" w:rsidP="001055FC">
      <w:pPr>
        <w:spacing w:after="120" w:line="240" w:lineRule="auto"/>
        <w:jc w:val="both"/>
        <w:rPr>
          <w:rFonts w:ascii="Arial" w:eastAsia="Calibri" w:hAnsi="Arial" w:cs="Arial"/>
          <w:sz w:val="20"/>
          <w:szCs w:val="20"/>
          <w:lang w:val="es-MX"/>
        </w:rPr>
      </w:pPr>
      <w:r w:rsidRPr="008A7DAA">
        <w:rPr>
          <w:rFonts w:ascii="Arial" w:eastAsia="Calibri" w:hAnsi="Arial" w:cs="Arial"/>
          <w:sz w:val="20"/>
          <w:szCs w:val="20"/>
          <w:lang w:val="es-MX"/>
        </w:rPr>
        <w:t xml:space="preserve">Con la precisión anterior, la Guía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 […]». </w:t>
      </w:r>
    </w:p>
    <w:p w14:paraId="1C0298C5" w14:textId="77777777" w:rsidR="001055FC" w:rsidRPr="008A7DAA" w:rsidRDefault="001055FC" w:rsidP="001055FC">
      <w:pPr>
        <w:spacing w:after="0" w:line="240" w:lineRule="auto"/>
        <w:jc w:val="both"/>
        <w:rPr>
          <w:rFonts w:ascii="Arial" w:eastAsia="Calibri" w:hAnsi="Arial" w:cs="Arial"/>
          <w:sz w:val="20"/>
          <w:szCs w:val="20"/>
          <w:lang w:val="es-MX"/>
        </w:rPr>
      </w:pPr>
      <w:r w:rsidRPr="008A7DAA">
        <w:rPr>
          <w:rFonts w:ascii="Arial" w:eastAsia="Calibri" w:hAnsi="Arial" w:cs="Arial"/>
          <w:sz w:val="20"/>
          <w:szCs w:val="20"/>
          <w:lang w:val="es-MX"/>
        </w:rPr>
        <w:t xml:space="preserve">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2AAB8653" w14:textId="77777777" w:rsidR="001055FC" w:rsidRPr="00EA76F6" w:rsidRDefault="001055FC" w:rsidP="001055FC">
      <w:pPr>
        <w:spacing w:after="0" w:line="240" w:lineRule="auto"/>
        <w:jc w:val="both"/>
        <w:rPr>
          <w:rFonts w:ascii="Arial" w:eastAsia="Calibri" w:hAnsi="Arial" w:cs="Arial"/>
          <w:sz w:val="20"/>
          <w:szCs w:val="20"/>
          <w:lang w:val="es-ES"/>
        </w:rPr>
      </w:pPr>
    </w:p>
    <w:p w14:paraId="114CDFF1" w14:textId="77777777" w:rsidR="001055FC" w:rsidRPr="00EA76F6" w:rsidRDefault="001055FC" w:rsidP="001055FC">
      <w:pPr>
        <w:spacing w:after="0" w:line="240" w:lineRule="auto"/>
        <w:jc w:val="both"/>
        <w:rPr>
          <w:rFonts w:ascii="Arial" w:eastAsia="Calibri" w:hAnsi="Arial" w:cs="Arial"/>
          <w:b/>
          <w:lang w:val="es-MX"/>
        </w:rPr>
      </w:pPr>
      <w:r w:rsidRPr="00EA76F6">
        <w:rPr>
          <w:rFonts w:ascii="Arial" w:eastAsia="Calibri" w:hAnsi="Arial" w:cs="Arial"/>
          <w:b/>
          <w:bCs/>
          <w:lang w:val="es-MX"/>
        </w:rPr>
        <w:lastRenderedPageBreak/>
        <w:t xml:space="preserve">GUÍA PARA EL MANEJO DE OFERTAS ARTIFICIALMENTE BAJAS </w:t>
      </w:r>
      <w:r w:rsidRPr="00EA76F6">
        <w:rPr>
          <w:rFonts w:ascii="Arial" w:eastAsia="Calibri" w:hAnsi="Arial" w:cs="Arial"/>
          <w:b/>
          <w:lang w:val="es-MX"/>
        </w:rPr>
        <w:t>– Identificación</w:t>
      </w:r>
    </w:p>
    <w:p w14:paraId="4D37E675" w14:textId="77777777" w:rsidR="001055FC" w:rsidRPr="00EA76F6" w:rsidRDefault="001055FC" w:rsidP="001055FC">
      <w:pPr>
        <w:spacing w:after="0" w:line="240" w:lineRule="auto"/>
        <w:jc w:val="both"/>
        <w:rPr>
          <w:rFonts w:ascii="Arial" w:eastAsia="Calibri" w:hAnsi="Arial" w:cs="Arial"/>
          <w:sz w:val="20"/>
          <w:szCs w:val="20"/>
          <w:lang w:val="es-ES"/>
        </w:rPr>
      </w:pPr>
    </w:p>
    <w:p w14:paraId="74910266" w14:textId="77777777" w:rsidR="001055FC" w:rsidRPr="008A7DAA" w:rsidRDefault="001055FC" w:rsidP="001055FC">
      <w:pPr>
        <w:spacing w:after="120" w:line="240" w:lineRule="auto"/>
        <w:jc w:val="both"/>
        <w:rPr>
          <w:rFonts w:ascii="Arial" w:eastAsia="Calibri" w:hAnsi="Arial" w:cs="Arial"/>
          <w:sz w:val="20"/>
          <w:szCs w:val="20"/>
          <w:lang w:val="es-MX"/>
        </w:rPr>
      </w:pPr>
      <w:r w:rsidRPr="008A7DAA">
        <w:rPr>
          <w:rFonts w:ascii="Arial" w:eastAsia="Calibri" w:hAnsi="Arial" w:cs="Arial"/>
          <w:sz w:val="20"/>
          <w:szCs w:val="20"/>
          <w:lang w:val="es-MX"/>
        </w:rPr>
        <w:t xml:space="preserve">Con esta información, la Guía propone dos (2) «herramientas» y una (1) «metodología», y su aplicación depende de la cantidad de ofertas que se presentaron al procedimiento. Para la primera herramienta, la entidad puede acudir a la </w:t>
      </w:r>
      <w:r w:rsidRPr="008A7DAA">
        <w:rPr>
          <w:rFonts w:ascii="Arial" w:eastAsia="Calibri" w:hAnsi="Arial" w:cs="Arial"/>
          <w:i/>
          <w:iCs/>
          <w:sz w:val="20"/>
          <w:szCs w:val="20"/>
          <w:lang w:val="es-MX"/>
        </w:rPr>
        <w:t>comparación absoluta,</w:t>
      </w:r>
      <w:r w:rsidRPr="008A7DAA">
        <w:rPr>
          <w:rFonts w:ascii="Arial" w:eastAsia="Calibri" w:hAnsi="Arial" w:cs="Arial"/>
          <w:sz w:val="20"/>
          <w:szCs w:val="20"/>
          <w:lang w:val="es-MX"/>
        </w:rPr>
        <w:t xml:space="preserve">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pueden contener precios artificialmente bajos. Por consiguiente, esta herramienta no se puede aplicar cuando se reciben cinco (5) o más ofertas, y no todas las ofertas deben ser tratadas por posibles «precios artificialmente bajos</w:t>
      </w:r>
      <w:r w:rsidRPr="008A7DAA">
        <w:rPr>
          <w:rFonts w:ascii="Arial" w:eastAsia="Calibri" w:hAnsi="Arial" w:cs="Arial"/>
          <w:sz w:val="20"/>
          <w:szCs w:val="20"/>
          <w:lang w:val="es-ES"/>
        </w:rPr>
        <w:t>» sino aquellas con un valor por debajo del 20% o un porcentaje superior, respecto del valor que la entidad definió como precio del bien, obra o servicio.</w:t>
      </w:r>
    </w:p>
    <w:p w14:paraId="7A15F278" w14:textId="77777777" w:rsidR="001055FC" w:rsidRPr="008A7DAA" w:rsidRDefault="001055FC" w:rsidP="001055FC">
      <w:pPr>
        <w:spacing w:after="120" w:line="240" w:lineRule="auto"/>
        <w:jc w:val="both"/>
        <w:rPr>
          <w:rFonts w:ascii="Arial" w:eastAsia="Calibri" w:hAnsi="Arial" w:cs="Arial"/>
          <w:sz w:val="20"/>
          <w:szCs w:val="20"/>
          <w:lang w:val="es-MX"/>
        </w:rPr>
      </w:pPr>
      <w:r w:rsidRPr="008A7DAA">
        <w:rPr>
          <w:rFonts w:ascii="Arial" w:eastAsia="Calibri" w:hAnsi="Arial" w:cs="Arial"/>
          <w:sz w:val="20"/>
          <w:szCs w:val="20"/>
          <w:lang w:val="es-MX"/>
        </w:rPr>
        <w:t xml:space="preserve">La segunda herramienta, denominada </w:t>
      </w:r>
      <w:r w:rsidRPr="008A7DAA">
        <w:rPr>
          <w:rFonts w:ascii="Arial" w:eastAsia="Calibri" w:hAnsi="Arial" w:cs="Arial"/>
          <w:i/>
          <w:iCs/>
          <w:sz w:val="20"/>
          <w:szCs w:val="20"/>
          <w:lang w:val="es-MX"/>
        </w:rPr>
        <w:t>comparación relativa,</w:t>
      </w:r>
      <w:r w:rsidRPr="008A7DAA">
        <w:rPr>
          <w:rFonts w:ascii="Arial" w:eastAsia="Calibri" w:hAnsi="Arial" w:cs="Arial"/>
          <w:sz w:val="20"/>
          <w:szCs w:val="20"/>
          <w:lang w:val="es-MX"/>
        </w:rPr>
        <w:t xml:space="preserve"> corresponde a la «comparación de cada oferta con las demás presentadas», sin que se indique la cantidad de ofertas que recibió la entidad, por lo cual nada obsta para aplicarla, independientemente del número de ofertas presentadas al procedimiento. Sin embargo, las herramientas mencionadas no son funcionales cuando el mercado se encuentra coludido, ya que los precios están distorsionados y no permiten una comparación objetiva, porque son precios que no corresponden a las dinámicas de mercado, al ser acordados entre los proponentes e impiden identificar diferencias significativas que evidencien «precios artificialmente bajos», los cuales no serán visibles por esta circunstancia.</w:t>
      </w:r>
    </w:p>
    <w:p w14:paraId="3703E9B1" w14:textId="77777777" w:rsidR="001055FC" w:rsidRPr="00ED0894" w:rsidRDefault="001055FC" w:rsidP="001055FC">
      <w:pPr>
        <w:spacing w:after="0" w:line="240" w:lineRule="auto"/>
        <w:jc w:val="both"/>
        <w:rPr>
          <w:rFonts w:ascii="Arial" w:hAnsi="Arial" w:cs="Arial"/>
          <w:sz w:val="20"/>
          <w:szCs w:val="20"/>
        </w:rPr>
      </w:pPr>
    </w:p>
    <w:p w14:paraId="2C290E22" w14:textId="77777777" w:rsidR="001055FC" w:rsidRPr="00DC701A" w:rsidRDefault="001055FC" w:rsidP="001055FC">
      <w:pPr>
        <w:spacing w:before="100" w:beforeAutospacing="1" w:after="0" w:line="240" w:lineRule="auto"/>
        <w:jc w:val="both"/>
        <w:rPr>
          <w:rFonts w:ascii="Arial" w:eastAsia="Times New Roman" w:hAnsi="Arial" w:cs="Arial"/>
          <w:color w:val="000000" w:themeColor="text1"/>
          <w:sz w:val="20"/>
          <w:szCs w:val="20"/>
          <w:lang w:eastAsia="es-MX"/>
        </w:rPr>
      </w:pPr>
    </w:p>
    <w:p w14:paraId="4DA4E2E7" w14:textId="08C847D3" w:rsidR="000A50AA" w:rsidRDefault="000A50AA" w:rsidP="00DC701A">
      <w:pPr>
        <w:spacing w:before="100" w:beforeAutospacing="1" w:after="0" w:line="240" w:lineRule="auto"/>
        <w:jc w:val="both"/>
        <w:rPr>
          <w:rFonts w:ascii="Arial" w:eastAsia="Times New Roman" w:hAnsi="Arial" w:cs="Arial"/>
          <w:color w:val="000000" w:themeColor="text1"/>
          <w:sz w:val="20"/>
          <w:szCs w:val="20"/>
          <w:lang w:eastAsia="es-MX"/>
        </w:rPr>
      </w:pPr>
    </w:p>
    <w:p w14:paraId="06782D9E" w14:textId="4B7AB035" w:rsidR="001055FC" w:rsidRDefault="001055FC" w:rsidP="00DC701A">
      <w:pPr>
        <w:spacing w:before="100" w:beforeAutospacing="1" w:after="0" w:line="240" w:lineRule="auto"/>
        <w:jc w:val="both"/>
        <w:rPr>
          <w:rFonts w:ascii="Arial" w:eastAsia="Times New Roman" w:hAnsi="Arial" w:cs="Arial"/>
          <w:color w:val="000000" w:themeColor="text1"/>
          <w:sz w:val="20"/>
          <w:szCs w:val="20"/>
          <w:lang w:eastAsia="es-MX"/>
        </w:rPr>
      </w:pPr>
    </w:p>
    <w:p w14:paraId="3CC6C8BB" w14:textId="310F81DB" w:rsidR="001055FC" w:rsidRDefault="001055FC" w:rsidP="00DC701A">
      <w:pPr>
        <w:spacing w:before="100" w:beforeAutospacing="1" w:after="0" w:line="240" w:lineRule="auto"/>
        <w:jc w:val="both"/>
        <w:rPr>
          <w:rFonts w:ascii="Arial" w:eastAsia="Times New Roman" w:hAnsi="Arial" w:cs="Arial"/>
          <w:color w:val="000000" w:themeColor="text1"/>
          <w:sz w:val="20"/>
          <w:szCs w:val="20"/>
          <w:lang w:eastAsia="es-MX"/>
        </w:rPr>
      </w:pPr>
    </w:p>
    <w:p w14:paraId="3AF572D2" w14:textId="7542A7F8" w:rsidR="001055FC" w:rsidRDefault="001055FC" w:rsidP="00DC701A">
      <w:pPr>
        <w:spacing w:before="100" w:beforeAutospacing="1" w:after="0" w:line="240" w:lineRule="auto"/>
        <w:jc w:val="both"/>
        <w:rPr>
          <w:rFonts w:ascii="Arial" w:eastAsia="Times New Roman" w:hAnsi="Arial" w:cs="Arial"/>
          <w:color w:val="000000" w:themeColor="text1"/>
          <w:sz w:val="20"/>
          <w:szCs w:val="20"/>
          <w:lang w:eastAsia="es-MX"/>
        </w:rPr>
      </w:pPr>
    </w:p>
    <w:p w14:paraId="1932D274" w14:textId="77777777" w:rsidR="001055FC" w:rsidRPr="00DC701A" w:rsidRDefault="001055FC" w:rsidP="00DC701A">
      <w:pPr>
        <w:spacing w:before="100" w:beforeAutospacing="1" w:after="0" w:line="240" w:lineRule="auto"/>
        <w:jc w:val="both"/>
        <w:rPr>
          <w:rFonts w:ascii="Arial" w:eastAsia="Times New Roman" w:hAnsi="Arial" w:cs="Arial"/>
          <w:color w:val="000000" w:themeColor="text1"/>
          <w:sz w:val="20"/>
          <w:szCs w:val="20"/>
          <w:lang w:eastAsia="es-MX"/>
        </w:rPr>
      </w:pPr>
    </w:p>
    <w:p w14:paraId="5D1D0D97" w14:textId="77777777" w:rsidR="00DC701A" w:rsidRPr="00DC701A" w:rsidRDefault="00DC701A" w:rsidP="00DC701A">
      <w:pPr>
        <w:tabs>
          <w:tab w:val="left" w:pos="0"/>
        </w:tabs>
        <w:spacing w:after="120" w:line="240" w:lineRule="auto"/>
        <w:jc w:val="both"/>
        <w:rPr>
          <w:rFonts w:ascii="Arial" w:eastAsia="Calibri" w:hAnsi="Arial" w:cs="Arial"/>
          <w:b/>
          <w:sz w:val="24"/>
          <w:szCs w:val="24"/>
          <w:lang w:val="es-MX" w:eastAsia="es-MX"/>
        </w:rPr>
      </w:pPr>
    </w:p>
    <w:p w14:paraId="3E9F3113" w14:textId="77777777" w:rsidR="00DC701A" w:rsidRPr="00DC701A" w:rsidRDefault="00DC701A" w:rsidP="00DC701A">
      <w:pPr>
        <w:tabs>
          <w:tab w:val="left" w:pos="0"/>
        </w:tabs>
        <w:spacing w:after="120" w:line="240" w:lineRule="auto"/>
        <w:jc w:val="both"/>
        <w:rPr>
          <w:rFonts w:ascii="Arial" w:eastAsia="Calibri" w:hAnsi="Arial" w:cs="Arial"/>
          <w:b/>
          <w:lang w:val="es-MX" w:eastAsia="es-MX"/>
        </w:rPr>
      </w:pPr>
    </w:p>
    <w:p w14:paraId="7C2A69DC" w14:textId="77777777" w:rsidR="00DC701A" w:rsidRPr="00DC701A" w:rsidRDefault="00DC701A" w:rsidP="00DC701A">
      <w:pPr>
        <w:tabs>
          <w:tab w:val="left" w:pos="0"/>
        </w:tabs>
        <w:spacing w:after="120" w:line="240" w:lineRule="auto"/>
        <w:jc w:val="both"/>
        <w:rPr>
          <w:rFonts w:ascii="Arial" w:eastAsia="Calibri" w:hAnsi="Arial" w:cs="Arial"/>
          <w:b/>
          <w:lang w:val="es-MX" w:eastAsia="es-MX"/>
        </w:rPr>
      </w:pPr>
    </w:p>
    <w:p w14:paraId="022C1376" w14:textId="77777777" w:rsidR="00DC701A" w:rsidRPr="00DC701A" w:rsidRDefault="00DC701A" w:rsidP="00DC701A">
      <w:pPr>
        <w:tabs>
          <w:tab w:val="left" w:pos="0"/>
        </w:tabs>
        <w:spacing w:after="120" w:line="240" w:lineRule="auto"/>
        <w:jc w:val="both"/>
        <w:rPr>
          <w:rFonts w:ascii="Arial" w:eastAsia="Calibri" w:hAnsi="Arial" w:cs="Arial"/>
          <w:b/>
          <w:lang w:val="es-MX" w:eastAsia="es-MX"/>
        </w:rPr>
      </w:pPr>
    </w:p>
    <w:p w14:paraId="6FF35721" w14:textId="77777777" w:rsidR="00DC701A" w:rsidRPr="00DC701A" w:rsidRDefault="00DC701A" w:rsidP="00DC701A">
      <w:pPr>
        <w:tabs>
          <w:tab w:val="left" w:pos="0"/>
        </w:tabs>
        <w:spacing w:after="120" w:line="240" w:lineRule="auto"/>
        <w:jc w:val="both"/>
        <w:rPr>
          <w:rFonts w:ascii="Arial" w:eastAsia="Calibri" w:hAnsi="Arial" w:cs="Arial"/>
          <w:b/>
          <w:lang w:val="es-MX" w:eastAsia="es-MX"/>
        </w:rPr>
      </w:pPr>
    </w:p>
    <w:p w14:paraId="65626ED8" w14:textId="77777777" w:rsidR="00DC701A" w:rsidRPr="00DC701A" w:rsidRDefault="00DC701A" w:rsidP="00DC701A">
      <w:pPr>
        <w:tabs>
          <w:tab w:val="left" w:pos="0"/>
        </w:tabs>
        <w:spacing w:after="120" w:line="240" w:lineRule="auto"/>
        <w:jc w:val="both"/>
        <w:rPr>
          <w:rFonts w:ascii="Arial" w:eastAsia="Calibri" w:hAnsi="Arial" w:cs="Arial"/>
          <w:b/>
          <w:lang w:val="es-MX" w:eastAsia="es-MX"/>
        </w:rPr>
      </w:pPr>
    </w:p>
    <w:p w14:paraId="0C434DEE" w14:textId="77777777" w:rsidR="00DC701A" w:rsidRPr="00DC701A" w:rsidRDefault="00DC701A" w:rsidP="00DC701A">
      <w:pPr>
        <w:tabs>
          <w:tab w:val="left" w:pos="0"/>
        </w:tabs>
        <w:spacing w:after="120" w:line="240" w:lineRule="auto"/>
        <w:jc w:val="both"/>
        <w:rPr>
          <w:rFonts w:ascii="Arial" w:eastAsia="Calibri" w:hAnsi="Arial" w:cs="Arial"/>
          <w:b/>
          <w:lang w:val="es-MX" w:eastAsia="es-MX"/>
        </w:rPr>
      </w:pPr>
    </w:p>
    <w:p w14:paraId="0D1167CD" w14:textId="404BAA13" w:rsidR="00DC701A" w:rsidRDefault="00DC701A" w:rsidP="00DC701A">
      <w:pPr>
        <w:spacing w:after="0" w:line="240" w:lineRule="auto"/>
        <w:rPr>
          <w:rFonts w:ascii="Arial" w:eastAsia="Calibri" w:hAnsi="Arial" w:cs="Arial"/>
          <w:b/>
          <w:lang w:val="es-MX" w:eastAsia="es-MX"/>
        </w:rPr>
      </w:pPr>
    </w:p>
    <w:p w14:paraId="31C88334" w14:textId="5550FACC" w:rsidR="00FA76F3" w:rsidRDefault="00FA76F3" w:rsidP="00DC701A">
      <w:pPr>
        <w:spacing w:after="0" w:line="240" w:lineRule="auto"/>
        <w:rPr>
          <w:rFonts w:ascii="Arial" w:eastAsia="Calibri" w:hAnsi="Arial" w:cs="Arial"/>
          <w:b/>
          <w:lang w:val="es-MX" w:eastAsia="es-MX"/>
        </w:rPr>
      </w:pPr>
    </w:p>
    <w:p w14:paraId="1EB246A4" w14:textId="7F537959" w:rsidR="00FA76F3" w:rsidRDefault="00FA76F3" w:rsidP="00DC701A">
      <w:pPr>
        <w:spacing w:after="0" w:line="240" w:lineRule="auto"/>
        <w:rPr>
          <w:rFonts w:ascii="Arial" w:eastAsia="Calibri" w:hAnsi="Arial" w:cs="Arial"/>
          <w:b/>
          <w:lang w:val="es-MX" w:eastAsia="es-MX"/>
        </w:rPr>
      </w:pPr>
    </w:p>
    <w:p w14:paraId="13B11098" w14:textId="5598C0F5" w:rsidR="00DC701A" w:rsidRPr="00DC701A" w:rsidRDefault="004A7D7D" w:rsidP="004A7D7D">
      <w:pPr>
        <w:spacing w:after="0" w:line="240" w:lineRule="auto"/>
        <w:jc w:val="right"/>
        <w:rPr>
          <w:rFonts w:ascii="Arial" w:eastAsia="Calibri" w:hAnsi="Arial" w:cs="Arial"/>
          <w:lang w:val="es-ES" w:eastAsia="es-MX"/>
        </w:rPr>
      </w:pPr>
      <w:r>
        <w:rPr>
          <w:noProof/>
        </w:rPr>
        <w:drawing>
          <wp:inline distT="0" distB="0" distL="0" distR="0" wp14:anchorId="3CFB07A6" wp14:editId="0CEFADC1">
            <wp:extent cx="2917940" cy="790575"/>
            <wp:effectExtent l="0" t="0" r="0" b="0"/>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rotWithShape="1">
                    <a:blip r:embed="rId7"/>
                    <a:srcRect l="57196" t="37734" r="8351" b="45663"/>
                    <a:stretch/>
                  </pic:blipFill>
                  <pic:spPr bwMode="auto">
                    <a:xfrm>
                      <a:off x="0" y="0"/>
                      <a:ext cx="2921983" cy="791670"/>
                    </a:xfrm>
                    <a:prstGeom prst="rect">
                      <a:avLst/>
                    </a:prstGeom>
                    <a:ln>
                      <a:noFill/>
                    </a:ln>
                    <a:extLst>
                      <a:ext uri="{53640926-AAD7-44D8-BBD7-CCE9431645EC}">
                        <a14:shadowObscured xmlns:a14="http://schemas.microsoft.com/office/drawing/2010/main"/>
                      </a:ext>
                    </a:extLst>
                  </pic:spPr>
                </pic:pic>
              </a:graphicData>
            </a:graphic>
          </wp:inline>
        </w:drawing>
      </w:r>
    </w:p>
    <w:p w14:paraId="3240D3E0" w14:textId="1B81CC76" w:rsidR="004A7D7D" w:rsidRDefault="004A7D7D" w:rsidP="00DC701A">
      <w:pPr>
        <w:spacing w:after="0" w:line="276" w:lineRule="auto"/>
        <w:rPr>
          <w:rFonts w:ascii="Arial" w:eastAsia="Calibri" w:hAnsi="Arial" w:cs="Arial"/>
          <w:lang w:val="es-ES" w:eastAsia="es-MX"/>
        </w:rPr>
      </w:pPr>
      <w:bookmarkStart w:id="3" w:name="_Hlk112768347"/>
      <w:r>
        <w:rPr>
          <w:rFonts w:ascii="Arial" w:eastAsia="Calibri" w:hAnsi="Arial" w:cs="Arial"/>
          <w:lang w:val="es-ES" w:eastAsia="es-MX"/>
        </w:rPr>
        <w:t>Bogotá 30 de agosto de 2022</w:t>
      </w:r>
    </w:p>
    <w:p w14:paraId="1B55A71B" w14:textId="77777777" w:rsidR="004A7D7D" w:rsidRDefault="004A7D7D" w:rsidP="00DC701A">
      <w:pPr>
        <w:spacing w:after="0" w:line="276" w:lineRule="auto"/>
        <w:rPr>
          <w:rFonts w:ascii="Arial" w:eastAsia="Calibri" w:hAnsi="Arial" w:cs="Arial"/>
          <w:lang w:val="es-ES" w:eastAsia="es-MX"/>
        </w:rPr>
      </w:pPr>
    </w:p>
    <w:p w14:paraId="0AD66200" w14:textId="7C0D0A6B" w:rsidR="00DC701A" w:rsidRPr="00DC701A" w:rsidRDefault="00DC701A" w:rsidP="00DC701A">
      <w:pPr>
        <w:spacing w:after="0" w:line="276" w:lineRule="auto"/>
        <w:rPr>
          <w:rFonts w:ascii="Arial" w:eastAsia="Calibri" w:hAnsi="Arial" w:cs="Arial"/>
          <w:lang w:val="es-ES" w:eastAsia="es-MX"/>
        </w:rPr>
      </w:pPr>
      <w:r w:rsidRPr="00DC701A">
        <w:rPr>
          <w:rFonts w:ascii="Arial" w:eastAsia="Calibri" w:hAnsi="Arial" w:cs="Arial"/>
          <w:lang w:val="es-ES" w:eastAsia="es-MX"/>
        </w:rPr>
        <w:t>Señor</w:t>
      </w:r>
    </w:p>
    <w:p w14:paraId="61233023" w14:textId="70DC1E58" w:rsidR="00DC701A" w:rsidRDefault="00DC701A" w:rsidP="00DC701A">
      <w:pPr>
        <w:spacing w:after="0" w:line="276" w:lineRule="auto"/>
        <w:rPr>
          <w:rFonts w:ascii="Arial" w:eastAsia="Calibri" w:hAnsi="Arial" w:cs="Arial"/>
          <w:b/>
          <w:bCs/>
          <w:lang w:val="es-ES" w:eastAsia="es-MX"/>
        </w:rPr>
      </w:pPr>
      <w:r>
        <w:rPr>
          <w:rFonts w:ascii="Arial" w:eastAsia="Calibri" w:hAnsi="Arial" w:cs="Arial"/>
          <w:b/>
          <w:bCs/>
          <w:lang w:val="es-ES" w:eastAsia="es-MX"/>
        </w:rPr>
        <w:t>Carlos Alberto Cruz Rubio</w:t>
      </w:r>
    </w:p>
    <w:p w14:paraId="47850E01" w14:textId="53715C9C" w:rsidR="00DC701A" w:rsidRPr="00DC701A" w:rsidRDefault="00DC701A" w:rsidP="00DC701A">
      <w:pPr>
        <w:spacing w:after="0" w:line="276" w:lineRule="auto"/>
        <w:rPr>
          <w:rFonts w:ascii="Arial" w:eastAsia="Calibri" w:hAnsi="Arial" w:cs="Arial"/>
          <w:lang w:val="es-ES" w:eastAsia="es-MX"/>
        </w:rPr>
      </w:pPr>
      <w:r w:rsidRPr="00DC701A">
        <w:rPr>
          <w:rFonts w:ascii="Arial" w:eastAsia="Calibri" w:hAnsi="Arial" w:cs="Arial"/>
          <w:lang w:val="es-ES" w:eastAsia="es-MX"/>
        </w:rPr>
        <w:t>Villavicencio, Meta</w:t>
      </w:r>
    </w:p>
    <w:p w14:paraId="1DFA8BC7" w14:textId="77777777" w:rsidR="00DC701A" w:rsidRPr="00DC701A" w:rsidRDefault="00DC701A" w:rsidP="00DC701A">
      <w:pPr>
        <w:spacing w:after="0" w:line="240" w:lineRule="auto"/>
        <w:rPr>
          <w:rFonts w:ascii="Arial" w:eastAsia="Calibri" w:hAnsi="Arial" w:cs="Arial"/>
          <w:b/>
          <w:lang w:val="es-ES" w:eastAsia="es-MX"/>
        </w:rPr>
      </w:pPr>
    </w:p>
    <w:p w14:paraId="2FD11BB3" w14:textId="1A85F81E" w:rsidR="00DC701A" w:rsidRPr="00DC701A" w:rsidRDefault="00DC701A" w:rsidP="00DC701A">
      <w:pPr>
        <w:spacing w:after="0" w:line="240" w:lineRule="auto"/>
        <w:rPr>
          <w:rFonts w:ascii="Arial" w:eastAsia="Calibri" w:hAnsi="Arial" w:cs="Arial"/>
          <w:b/>
          <w:lang w:val="es-ES" w:eastAsia="es-MX"/>
        </w:rPr>
      </w:pPr>
      <w:r w:rsidRPr="00DC701A">
        <w:rPr>
          <w:rFonts w:ascii="Arial" w:eastAsia="Calibri" w:hAnsi="Arial" w:cs="Arial"/>
          <w:b/>
          <w:lang w:val="es-ES" w:eastAsia="es-MX"/>
        </w:rPr>
        <w:t xml:space="preserve">                                          Concepto C – </w:t>
      </w:r>
      <w:r>
        <w:rPr>
          <w:rFonts w:ascii="Arial" w:eastAsia="Calibri" w:hAnsi="Arial" w:cs="Arial"/>
          <w:b/>
          <w:lang w:val="es-ES" w:eastAsia="es-MX"/>
        </w:rPr>
        <w:t>546</w:t>
      </w:r>
      <w:r w:rsidRPr="00DC701A">
        <w:rPr>
          <w:rFonts w:ascii="Arial" w:eastAsia="Calibri" w:hAnsi="Arial" w:cs="Arial"/>
          <w:b/>
          <w:lang w:val="es-ES" w:eastAsia="es-MX"/>
        </w:rPr>
        <w:t xml:space="preserve"> de 2022</w:t>
      </w:r>
    </w:p>
    <w:p w14:paraId="042063AB" w14:textId="77777777" w:rsidR="00DC701A" w:rsidRPr="00DC701A" w:rsidRDefault="00DC701A" w:rsidP="00DC701A">
      <w:pPr>
        <w:spacing w:after="0" w:line="240" w:lineRule="auto"/>
        <w:rPr>
          <w:rFonts w:ascii="Arial" w:eastAsia="Calibri" w:hAnsi="Arial" w:cs="Arial"/>
          <w:b/>
          <w:lang w:val="es-ES"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DC701A" w:rsidRPr="00DC701A" w14:paraId="2245E572" w14:textId="77777777" w:rsidTr="00A95868">
        <w:trPr>
          <w:trHeight w:val="550"/>
        </w:trPr>
        <w:tc>
          <w:tcPr>
            <w:tcW w:w="2552" w:type="dxa"/>
          </w:tcPr>
          <w:p w14:paraId="699C4F17" w14:textId="77777777" w:rsidR="00DC701A" w:rsidRPr="00DC701A" w:rsidRDefault="00DC701A" w:rsidP="00DC701A">
            <w:pPr>
              <w:rPr>
                <w:rFonts w:ascii="Arial" w:eastAsia="Calibri" w:hAnsi="Arial" w:cs="Arial"/>
                <w:lang w:val="es-ES" w:eastAsia="es-MX"/>
              </w:rPr>
            </w:pPr>
            <w:r w:rsidRPr="00DC701A">
              <w:rPr>
                <w:rFonts w:ascii="Arial" w:eastAsia="Calibri" w:hAnsi="Arial" w:cs="Arial"/>
                <w:b/>
                <w:lang w:val="es-ES" w:eastAsia="es-MX"/>
              </w:rPr>
              <w:t>Temas:</w:t>
            </w:r>
            <w:r w:rsidRPr="00DC701A">
              <w:rPr>
                <w:rFonts w:ascii="Arial" w:eastAsia="Calibri" w:hAnsi="Arial" w:cs="Arial"/>
                <w:lang w:val="es-ES" w:eastAsia="es-MX"/>
              </w:rPr>
              <w:t xml:space="preserve">                                    </w:t>
            </w:r>
          </w:p>
        </w:tc>
        <w:tc>
          <w:tcPr>
            <w:tcW w:w="6374" w:type="dxa"/>
          </w:tcPr>
          <w:p w14:paraId="29B1FC98" w14:textId="092604DC" w:rsidR="00B15B99" w:rsidRPr="00EA76F6" w:rsidRDefault="00B15B99" w:rsidP="00B15B99">
            <w:pPr>
              <w:jc w:val="both"/>
              <w:rPr>
                <w:rFonts w:ascii="Arial" w:eastAsia="Calibri" w:hAnsi="Arial" w:cs="Arial"/>
                <w:bCs/>
                <w:lang w:val="es-MX"/>
              </w:rPr>
            </w:pPr>
            <w:r w:rsidRPr="00972F84">
              <w:rPr>
                <w:rFonts w:ascii="Arial" w:eastAsia="Calibri" w:hAnsi="Arial" w:cs="Arial"/>
                <w:bCs/>
                <w:lang w:eastAsia="es-MX"/>
              </w:rPr>
              <w:t xml:space="preserve">CAPACIDAD RESIDUAL – Cálculo / SALDOS DE CONTRATOS EN EJECUCIÓN – Acreditación / </w:t>
            </w:r>
            <w:r w:rsidRPr="00972F84">
              <w:rPr>
                <w:rFonts w:ascii="Arial" w:eastAsia="Calibri" w:hAnsi="Arial" w:cs="Arial"/>
                <w:bCs/>
                <w:lang w:val="es-MX" w:eastAsia="es-MX"/>
              </w:rPr>
              <w:t xml:space="preserve">CONTRATOS EN EJECUCIÓN – Actas de inicio de contratos / </w:t>
            </w:r>
            <w:r w:rsidRPr="00972F84">
              <w:rPr>
                <w:rFonts w:ascii="Arial" w:eastAsia="Calibri" w:hAnsi="Arial" w:cs="Arial"/>
                <w:bCs/>
                <w:lang w:val="es-MX"/>
              </w:rPr>
              <w:t xml:space="preserve">DOCUMENTOS TIPO – Versión 3 – Licitación Pública - Capacidad residual – Rechazo de la oferta – Causales / CAPACIDAD RESIDUAL – Rechazo de la oferta – Afectación – Subsanabilidad / RECHAZO DE LA OFERTA – Capacidad residual – Documento Base – Literal Z – Versión 3 – Licitación Pública – </w:t>
            </w:r>
            <w:r w:rsidRPr="00972F84">
              <w:rPr>
                <w:rFonts w:ascii="Arial" w:hAnsi="Arial" w:cs="Arial"/>
                <w:bCs/>
                <w:lang w:val="es-MX"/>
              </w:rPr>
              <w:t xml:space="preserve">Alcance / </w:t>
            </w:r>
            <w:r w:rsidRPr="00EA76F6">
              <w:rPr>
                <w:rFonts w:ascii="Arial" w:eastAsia="Calibri" w:hAnsi="Arial" w:cs="Arial"/>
                <w:bCs/>
                <w:lang w:val="es-MX"/>
              </w:rPr>
              <w:t>PRECIOS ARTIFICIALMENTE BAJOS – Noción – Colombia Compra Eficiente</w:t>
            </w:r>
            <w:r w:rsidRPr="00972F84">
              <w:rPr>
                <w:rFonts w:ascii="Arial" w:eastAsia="Calibri" w:hAnsi="Arial" w:cs="Arial"/>
                <w:bCs/>
                <w:lang w:val="es-MX"/>
              </w:rPr>
              <w:t xml:space="preserve"> / </w:t>
            </w:r>
            <w:r w:rsidRPr="00EA76F6">
              <w:rPr>
                <w:rFonts w:ascii="Arial" w:eastAsia="Calibri" w:hAnsi="Arial" w:cs="Arial"/>
                <w:bCs/>
                <w:lang w:val="es-MX"/>
              </w:rPr>
              <w:t>GUÍA PARA EL MANEJO DE OFERTAS ARTIFICIALMENTE BAJAS – Identificación</w:t>
            </w:r>
          </w:p>
          <w:p w14:paraId="2C93197F" w14:textId="4A867B39" w:rsidR="00DC701A" w:rsidRPr="00DC701A" w:rsidRDefault="00DC701A" w:rsidP="00DC701A">
            <w:pPr>
              <w:tabs>
                <w:tab w:val="left" w:pos="0"/>
              </w:tabs>
              <w:spacing w:after="120"/>
              <w:jc w:val="both"/>
              <w:rPr>
                <w:rFonts w:ascii="Arial" w:eastAsia="Calibri" w:hAnsi="Arial" w:cs="Arial"/>
                <w:b/>
                <w:lang w:val="es-MX" w:eastAsia="es-MX"/>
              </w:rPr>
            </w:pPr>
          </w:p>
        </w:tc>
      </w:tr>
      <w:tr w:rsidR="00DC701A" w:rsidRPr="00DC701A" w14:paraId="6ECB0F1C" w14:textId="77777777" w:rsidTr="00A95868">
        <w:tc>
          <w:tcPr>
            <w:tcW w:w="2552" w:type="dxa"/>
          </w:tcPr>
          <w:p w14:paraId="6E8004C0" w14:textId="77777777" w:rsidR="00DC701A" w:rsidRPr="00DC701A" w:rsidRDefault="00DC701A" w:rsidP="00DC701A">
            <w:pPr>
              <w:rPr>
                <w:rFonts w:ascii="Arial" w:eastAsia="Calibri" w:hAnsi="Arial" w:cs="Arial"/>
                <w:lang w:val="es-ES" w:eastAsia="es-MX"/>
              </w:rPr>
            </w:pPr>
            <w:r w:rsidRPr="00DC701A">
              <w:rPr>
                <w:rFonts w:ascii="Arial" w:eastAsia="Calibri" w:hAnsi="Arial" w:cs="Arial"/>
                <w:b/>
                <w:lang w:val="es-ES" w:eastAsia="es-MX"/>
              </w:rPr>
              <w:t>Radicación:</w:t>
            </w:r>
            <w:r w:rsidRPr="00DC701A">
              <w:rPr>
                <w:rFonts w:ascii="Arial" w:eastAsia="Calibri" w:hAnsi="Arial" w:cs="Arial"/>
                <w:lang w:val="es-ES" w:eastAsia="es-MX"/>
              </w:rPr>
              <w:t xml:space="preserve">                              </w:t>
            </w:r>
          </w:p>
        </w:tc>
        <w:tc>
          <w:tcPr>
            <w:tcW w:w="6374" w:type="dxa"/>
          </w:tcPr>
          <w:p w14:paraId="40433EBF" w14:textId="703C511A" w:rsidR="00DC701A" w:rsidRPr="00DC701A" w:rsidRDefault="00DC701A" w:rsidP="00DC701A">
            <w:pPr>
              <w:rPr>
                <w:rFonts w:ascii="Arial" w:eastAsia="Calibri" w:hAnsi="Arial" w:cs="Arial"/>
                <w:lang w:val="es-ES" w:eastAsia="es-MX"/>
              </w:rPr>
            </w:pPr>
            <w:r w:rsidRPr="00DC701A">
              <w:rPr>
                <w:rFonts w:ascii="Arial" w:eastAsia="Calibri" w:hAnsi="Arial" w:cs="Arial"/>
                <w:lang w:val="es-ES" w:eastAsia="es-MX"/>
              </w:rPr>
              <w:t>Respuesta a consulta P20220716006935</w:t>
            </w:r>
          </w:p>
        </w:tc>
      </w:tr>
    </w:tbl>
    <w:p w14:paraId="123A7463" w14:textId="77777777" w:rsidR="00DC701A" w:rsidRPr="00DC701A" w:rsidRDefault="00DC701A" w:rsidP="00DC701A">
      <w:pPr>
        <w:spacing w:after="0" w:line="276" w:lineRule="auto"/>
        <w:rPr>
          <w:rFonts w:ascii="Arial" w:eastAsia="Calibri" w:hAnsi="Arial" w:cs="Arial"/>
          <w:lang w:val="es-ES" w:eastAsia="es-MX"/>
        </w:rPr>
      </w:pPr>
    </w:p>
    <w:p w14:paraId="678FB289" w14:textId="46051740" w:rsidR="00DC701A" w:rsidRPr="00DC701A" w:rsidRDefault="00DC701A" w:rsidP="00DC701A">
      <w:pPr>
        <w:tabs>
          <w:tab w:val="left" w:pos="3736"/>
        </w:tabs>
        <w:spacing w:after="0" w:line="276" w:lineRule="auto"/>
        <w:rPr>
          <w:rFonts w:ascii="Arial" w:eastAsia="Calibri" w:hAnsi="Arial" w:cs="Arial"/>
          <w:lang w:val="es-ES" w:eastAsia="es-MX"/>
        </w:rPr>
      </w:pPr>
      <w:r w:rsidRPr="00DC701A">
        <w:rPr>
          <w:rFonts w:ascii="Arial" w:eastAsia="Calibri" w:hAnsi="Arial" w:cs="Arial"/>
          <w:lang w:val="es-ES" w:eastAsia="es-MX"/>
        </w:rPr>
        <w:t>Estimado señor</w:t>
      </w:r>
      <w:r>
        <w:rPr>
          <w:rFonts w:ascii="Arial" w:eastAsia="Calibri" w:hAnsi="Arial" w:cs="Arial"/>
          <w:lang w:val="es-ES" w:eastAsia="es-MX"/>
        </w:rPr>
        <w:t xml:space="preserve"> Cruz Rubio:</w:t>
      </w:r>
      <w:r w:rsidRPr="00DC701A">
        <w:rPr>
          <w:rFonts w:ascii="Arial" w:eastAsia="Calibri" w:hAnsi="Arial" w:cs="Arial"/>
          <w:lang w:val="es-ES" w:eastAsia="es-MX"/>
        </w:rPr>
        <w:tab/>
      </w:r>
    </w:p>
    <w:p w14:paraId="0EC110EF" w14:textId="77777777" w:rsidR="00DC701A" w:rsidRPr="00DC701A" w:rsidRDefault="00DC701A" w:rsidP="00DC701A">
      <w:pPr>
        <w:spacing w:after="0" w:line="276" w:lineRule="auto"/>
        <w:rPr>
          <w:rFonts w:ascii="Arial" w:eastAsia="Calibri" w:hAnsi="Arial" w:cs="Arial"/>
          <w:lang w:val="es-ES" w:eastAsia="es-MX"/>
        </w:rPr>
      </w:pPr>
    </w:p>
    <w:p w14:paraId="1FB3482A" w14:textId="600435B3" w:rsidR="00DC701A" w:rsidRPr="00DC701A" w:rsidRDefault="00DC701A" w:rsidP="00DC701A">
      <w:pPr>
        <w:spacing w:after="0" w:line="276" w:lineRule="auto"/>
        <w:jc w:val="both"/>
        <w:rPr>
          <w:rFonts w:ascii="Arial" w:eastAsia="Calibri" w:hAnsi="Arial" w:cs="Arial"/>
          <w:lang w:val="es-ES" w:eastAsia="es-MX"/>
        </w:rPr>
      </w:pPr>
      <w:r w:rsidRPr="00DC701A">
        <w:rPr>
          <w:rFonts w:ascii="Arial" w:eastAsia="Calibri" w:hAnsi="Arial" w:cs="Arial"/>
          <w:lang w:val="es-ES" w:eastAsia="es-MX"/>
        </w:rPr>
        <w:t xml:space="preserve">La Agencia Nacional de Contratación Pública – Colombia Compra Eficiente, en ejercicio de la competencia otorgada por el numeral 8 del artículo 11 y el numeral 5 del artículo 3 del Decreto Ley 4170 de 2011, responde a su consulta del </w:t>
      </w:r>
      <w:r>
        <w:rPr>
          <w:rFonts w:ascii="Arial" w:eastAsia="Calibri" w:hAnsi="Arial" w:cs="Arial"/>
          <w:lang w:val="es-ES" w:eastAsia="es-MX"/>
        </w:rPr>
        <w:t>16</w:t>
      </w:r>
      <w:r w:rsidRPr="00DC701A">
        <w:rPr>
          <w:rFonts w:ascii="Arial" w:eastAsia="Calibri" w:hAnsi="Arial" w:cs="Arial"/>
          <w:lang w:val="es-ES" w:eastAsia="es-MX"/>
        </w:rPr>
        <w:t xml:space="preserve"> de </w:t>
      </w:r>
      <w:r>
        <w:rPr>
          <w:rFonts w:ascii="Arial" w:eastAsia="Calibri" w:hAnsi="Arial" w:cs="Arial"/>
          <w:lang w:val="es-ES" w:eastAsia="es-MX"/>
        </w:rPr>
        <w:t>julio</w:t>
      </w:r>
      <w:r w:rsidRPr="00DC701A">
        <w:rPr>
          <w:rFonts w:ascii="Arial" w:eastAsia="Calibri" w:hAnsi="Arial" w:cs="Arial"/>
          <w:lang w:val="es-ES" w:eastAsia="es-MX"/>
        </w:rPr>
        <w:t xml:space="preserve"> de 2022.</w:t>
      </w:r>
    </w:p>
    <w:p w14:paraId="3BE43499" w14:textId="77777777" w:rsidR="00DC701A" w:rsidRPr="00DC701A" w:rsidRDefault="00DC701A" w:rsidP="00DC701A">
      <w:pPr>
        <w:spacing w:after="0" w:line="276" w:lineRule="auto"/>
        <w:contextualSpacing/>
        <w:rPr>
          <w:rFonts w:ascii="Arial" w:eastAsia="Calibri" w:hAnsi="Arial" w:cs="Arial"/>
          <w:lang w:val="es-ES"/>
        </w:rPr>
      </w:pPr>
    </w:p>
    <w:p w14:paraId="3CC2940B" w14:textId="77777777" w:rsidR="00DC701A" w:rsidRPr="00DC701A" w:rsidRDefault="00DC701A" w:rsidP="00DC701A">
      <w:pPr>
        <w:tabs>
          <w:tab w:val="left" w:pos="0"/>
        </w:tabs>
        <w:spacing w:after="0" w:line="276" w:lineRule="auto"/>
        <w:jc w:val="both"/>
        <w:rPr>
          <w:rFonts w:ascii="Arial" w:eastAsia="Calibri" w:hAnsi="Arial" w:cs="Arial"/>
          <w:b/>
          <w:lang w:val="es-ES" w:eastAsia="es-MX"/>
        </w:rPr>
      </w:pPr>
      <w:r w:rsidRPr="00DC701A">
        <w:rPr>
          <w:rFonts w:ascii="Arial" w:eastAsia="Calibri" w:hAnsi="Arial" w:cs="Arial"/>
          <w:b/>
          <w:lang w:val="es-ES" w:eastAsia="es-MX"/>
        </w:rPr>
        <w:t>1. Problema planteado</w:t>
      </w:r>
    </w:p>
    <w:p w14:paraId="0FB64842" w14:textId="77777777" w:rsidR="00DC701A" w:rsidRPr="00DC701A" w:rsidRDefault="00DC701A" w:rsidP="00DC701A">
      <w:pPr>
        <w:spacing w:after="0" w:line="240" w:lineRule="auto"/>
        <w:rPr>
          <w:rFonts w:ascii="Arial" w:eastAsia="Calibri" w:hAnsi="Arial" w:cs="Arial"/>
          <w:lang w:val="es-ES" w:eastAsia="es-MX"/>
        </w:rPr>
      </w:pPr>
    </w:p>
    <w:p w14:paraId="5EFED2C8" w14:textId="5D6C7F4C" w:rsidR="00DC701A" w:rsidRPr="00DC701A" w:rsidRDefault="008C3131" w:rsidP="00DE6F61">
      <w:pPr>
        <w:spacing w:after="0" w:line="276" w:lineRule="auto"/>
        <w:jc w:val="both"/>
        <w:rPr>
          <w:rFonts w:ascii="Arial" w:eastAsia="Calibri" w:hAnsi="Arial" w:cs="Arial"/>
          <w:lang w:val="es-ES" w:eastAsia="es-MX"/>
        </w:rPr>
      </w:pPr>
      <w:r>
        <w:rPr>
          <w:rFonts w:ascii="Arial" w:eastAsia="Calibri" w:hAnsi="Arial" w:cs="Arial"/>
          <w:lang w:val="es-ES" w:eastAsia="es-MX"/>
        </w:rPr>
        <w:t>U</w:t>
      </w:r>
      <w:r w:rsidR="00DC701A" w:rsidRPr="00DC701A">
        <w:rPr>
          <w:rFonts w:ascii="Arial" w:eastAsia="Calibri" w:hAnsi="Arial" w:cs="Arial"/>
          <w:lang w:val="es-ES" w:eastAsia="es-MX"/>
        </w:rPr>
        <w:t>sted realiza la</w:t>
      </w:r>
      <w:r w:rsidR="00DC701A">
        <w:rPr>
          <w:rFonts w:ascii="Arial" w:eastAsia="Calibri" w:hAnsi="Arial" w:cs="Arial"/>
          <w:lang w:val="es-ES" w:eastAsia="es-MX"/>
        </w:rPr>
        <w:t>s</w:t>
      </w:r>
      <w:r w:rsidR="00DC701A" w:rsidRPr="00DC701A">
        <w:rPr>
          <w:rFonts w:ascii="Arial" w:eastAsia="Calibri" w:hAnsi="Arial" w:cs="Arial"/>
          <w:lang w:val="es-ES" w:eastAsia="es-MX"/>
        </w:rPr>
        <w:t xml:space="preserve"> siguiente</w:t>
      </w:r>
      <w:r w:rsidR="00DC701A">
        <w:rPr>
          <w:rFonts w:ascii="Arial" w:eastAsia="Calibri" w:hAnsi="Arial" w:cs="Arial"/>
          <w:lang w:val="es-ES" w:eastAsia="es-MX"/>
        </w:rPr>
        <w:t>s</w:t>
      </w:r>
      <w:r w:rsidR="00DC701A" w:rsidRPr="00DC701A">
        <w:rPr>
          <w:rFonts w:ascii="Arial" w:eastAsia="Calibri" w:hAnsi="Arial" w:cs="Arial"/>
          <w:lang w:val="es-ES" w:eastAsia="es-MX"/>
        </w:rPr>
        <w:t xml:space="preserve"> pregunta</w:t>
      </w:r>
      <w:r w:rsidR="00DC701A">
        <w:rPr>
          <w:rFonts w:ascii="Arial" w:eastAsia="Calibri" w:hAnsi="Arial" w:cs="Arial"/>
          <w:lang w:val="es-ES" w:eastAsia="es-MX"/>
        </w:rPr>
        <w:t>s</w:t>
      </w:r>
      <w:r w:rsidR="00DC701A" w:rsidRPr="00DC701A">
        <w:rPr>
          <w:rFonts w:ascii="Arial" w:eastAsia="Calibri" w:hAnsi="Arial" w:cs="Arial"/>
          <w:lang w:val="es-ES" w:eastAsia="es-MX"/>
        </w:rPr>
        <w:t xml:space="preserve">: </w:t>
      </w:r>
    </w:p>
    <w:p w14:paraId="70E93572" w14:textId="77777777" w:rsidR="00DC701A" w:rsidRPr="00DE6F61" w:rsidRDefault="00DC701A" w:rsidP="00DE6F61">
      <w:pPr>
        <w:spacing w:after="0" w:line="240" w:lineRule="auto"/>
        <w:ind w:left="709" w:right="709"/>
        <w:jc w:val="both"/>
        <w:rPr>
          <w:rFonts w:ascii="Arial" w:hAnsi="Arial" w:cs="Arial"/>
          <w:sz w:val="21"/>
          <w:szCs w:val="21"/>
        </w:rPr>
      </w:pPr>
    </w:p>
    <w:p w14:paraId="187A399B" w14:textId="3C6DCFF1" w:rsidR="00DC701A" w:rsidRPr="00462728" w:rsidRDefault="00DC701A" w:rsidP="00DC701A">
      <w:pPr>
        <w:spacing w:after="120" w:line="240" w:lineRule="auto"/>
        <w:ind w:left="709" w:right="709"/>
        <w:jc w:val="both"/>
        <w:rPr>
          <w:rFonts w:ascii="Arial" w:hAnsi="Arial" w:cs="Arial"/>
          <w:sz w:val="21"/>
          <w:szCs w:val="21"/>
        </w:rPr>
      </w:pPr>
      <w:r w:rsidRPr="00462728">
        <w:rPr>
          <w:rFonts w:ascii="Arial" w:hAnsi="Arial" w:cs="Arial"/>
          <w:sz w:val="21"/>
          <w:szCs w:val="21"/>
        </w:rPr>
        <w:t>«</w:t>
      </w:r>
      <w:r w:rsidR="001A7318">
        <w:rPr>
          <w:rFonts w:ascii="Arial" w:hAnsi="Arial" w:cs="Arial"/>
          <w:sz w:val="21"/>
          <w:szCs w:val="21"/>
        </w:rPr>
        <w:t>i)</w:t>
      </w:r>
      <w:r w:rsidRPr="00462728">
        <w:rPr>
          <w:rFonts w:ascii="Arial" w:hAnsi="Arial" w:cs="Arial"/>
          <w:sz w:val="21"/>
          <w:szCs w:val="21"/>
        </w:rPr>
        <w:t xml:space="preserve">. Formato 5C . En este formato según la guía se deben de informar todos los contratos que el proponente tenga en ejecución y si el oferente reporta un contrato con el valor que es, pero comete un error en las fechas de suspensión, de inicio, o de reinicio, esto es motivo para que la entidad rechace la oferta? </w:t>
      </w:r>
    </w:p>
    <w:p w14:paraId="06A5EFE8" w14:textId="6F6E1DAC" w:rsidR="00DC701A" w:rsidRPr="00462728" w:rsidRDefault="001A7318" w:rsidP="00DC701A">
      <w:pPr>
        <w:spacing w:after="120" w:line="240" w:lineRule="auto"/>
        <w:ind w:left="709" w:right="709"/>
        <w:jc w:val="both"/>
        <w:rPr>
          <w:rFonts w:ascii="Arial" w:hAnsi="Arial" w:cs="Arial"/>
          <w:sz w:val="21"/>
          <w:szCs w:val="21"/>
        </w:rPr>
      </w:pPr>
      <w:r>
        <w:rPr>
          <w:rFonts w:ascii="Arial" w:hAnsi="Arial" w:cs="Arial"/>
          <w:sz w:val="21"/>
          <w:szCs w:val="21"/>
        </w:rPr>
        <w:lastRenderedPageBreak/>
        <w:t>ii)</w:t>
      </w:r>
      <w:r w:rsidR="00DC701A" w:rsidRPr="00462728">
        <w:rPr>
          <w:rFonts w:ascii="Arial" w:hAnsi="Arial" w:cs="Arial"/>
          <w:sz w:val="21"/>
          <w:szCs w:val="21"/>
        </w:rPr>
        <w:t xml:space="preserve">. Formato 5C. Un contrato adjudicado sin acta de inicio antes del cierre del proceso se debe de reportar en este formato? </w:t>
      </w:r>
    </w:p>
    <w:p w14:paraId="558FB522" w14:textId="656C63E1" w:rsidR="00DC701A" w:rsidRPr="00462728" w:rsidRDefault="001A7318" w:rsidP="00DC701A">
      <w:pPr>
        <w:spacing w:after="120" w:line="240" w:lineRule="auto"/>
        <w:ind w:left="709" w:right="709"/>
        <w:jc w:val="both"/>
        <w:rPr>
          <w:rFonts w:ascii="Arial" w:hAnsi="Arial" w:cs="Arial"/>
          <w:sz w:val="21"/>
          <w:szCs w:val="21"/>
        </w:rPr>
      </w:pPr>
      <w:r>
        <w:rPr>
          <w:rFonts w:ascii="Arial" w:hAnsi="Arial" w:cs="Arial"/>
          <w:sz w:val="21"/>
          <w:szCs w:val="21"/>
        </w:rPr>
        <w:t>iii)</w:t>
      </w:r>
      <w:r w:rsidR="00DC701A" w:rsidRPr="00462728">
        <w:rPr>
          <w:rFonts w:ascii="Arial" w:hAnsi="Arial" w:cs="Arial"/>
          <w:sz w:val="21"/>
          <w:szCs w:val="21"/>
        </w:rPr>
        <w:t xml:space="preserve">. Se solicita a la plataforma Secop II, que cuando se creen consorcio o uniones temporales, la plataforma envié un mensaje de aprobación de la creación a los proponentes invitados, ya que en mi caso me han usado mi empresa para crear uniones temporales y presentan propuestas sin mi consentimiento, lo cual es un delito y se debe denunciar, pero para evitar este desgaste se hace muy amablemente esta solicitud. </w:t>
      </w:r>
    </w:p>
    <w:p w14:paraId="463E6D41" w14:textId="1A3BC036" w:rsidR="00DC701A" w:rsidRPr="00462728" w:rsidRDefault="001A7318" w:rsidP="00462728">
      <w:pPr>
        <w:spacing w:after="0" w:line="240" w:lineRule="auto"/>
        <w:ind w:left="709" w:right="709"/>
        <w:jc w:val="both"/>
        <w:rPr>
          <w:rFonts w:ascii="Arial" w:hAnsi="Arial" w:cs="Arial"/>
          <w:sz w:val="21"/>
          <w:szCs w:val="21"/>
        </w:rPr>
      </w:pPr>
      <w:r>
        <w:rPr>
          <w:rFonts w:ascii="Arial" w:hAnsi="Arial" w:cs="Arial"/>
          <w:sz w:val="21"/>
          <w:szCs w:val="21"/>
        </w:rPr>
        <w:t>iv)</w:t>
      </w:r>
      <w:r w:rsidR="00DC701A" w:rsidRPr="00462728">
        <w:rPr>
          <w:rFonts w:ascii="Arial" w:hAnsi="Arial" w:cs="Arial"/>
          <w:sz w:val="21"/>
          <w:szCs w:val="21"/>
        </w:rPr>
        <w:t>. Se solicita a la entidad que amplié la guía para el requerimiento por precios artificialmente bajos y brinde unas pautas mas puntuales para el rechazo de oferentes con precios bajos, ya que esto se a vuelto un tema de discusión, ya que hay entidades que han rechazado proponentes de manera subjetiva simplemente con el argumento de "los documentos presentados no generan confianza para la ejecución de las obra" y esto es un tema técnico y de soporte y no de criterio personal».</w:t>
      </w:r>
    </w:p>
    <w:p w14:paraId="2082D8F4" w14:textId="77777777" w:rsidR="00462728" w:rsidRPr="00DC701A" w:rsidRDefault="00462728" w:rsidP="00462728">
      <w:pPr>
        <w:spacing w:after="0" w:line="240" w:lineRule="auto"/>
        <w:ind w:left="709" w:right="709"/>
        <w:jc w:val="both"/>
        <w:rPr>
          <w:rFonts w:ascii="Arial" w:hAnsi="Arial" w:cs="Arial"/>
        </w:rPr>
      </w:pPr>
    </w:p>
    <w:p w14:paraId="45E9B268" w14:textId="16DAAF80" w:rsidR="00462728" w:rsidRDefault="00462728" w:rsidP="00915FD9">
      <w:pPr>
        <w:spacing w:after="0" w:line="276" w:lineRule="auto"/>
        <w:jc w:val="both"/>
        <w:rPr>
          <w:rFonts w:ascii="Arial" w:eastAsia="Times New Roman" w:hAnsi="Arial" w:cs="Arial"/>
          <w:lang w:val="es-MX"/>
        </w:rPr>
      </w:pPr>
      <w:r w:rsidRPr="00924037">
        <w:rPr>
          <w:rFonts w:ascii="Arial" w:eastAsia="Times New Roman" w:hAnsi="Arial" w:cs="Arial"/>
          <w:lang w:val="es-MX"/>
        </w:rPr>
        <w:t xml:space="preserve">Teniendo en cuenta las competencias otorgadas a la Subdirección de Gestión Contractual por el artículo 11 de Decreto 4170 de 2011, esta Subdirección se pronunciará respecto de las preguntas, uno (1), dos (2) y cuatro (4) de su petición de consulta. </w:t>
      </w:r>
      <w:r w:rsidR="004F3E36" w:rsidRPr="00924037">
        <w:rPr>
          <w:rFonts w:ascii="Arial" w:eastAsia="Times New Roman" w:hAnsi="Arial" w:cs="Arial"/>
          <w:lang w:val="es-MX"/>
        </w:rPr>
        <w:t>R</w:t>
      </w:r>
      <w:r w:rsidRPr="00924037">
        <w:rPr>
          <w:rFonts w:ascii="Arial" w:eastAsia="Times New Roman" w:hAnsi="Arial" w:cs="Arial"/>
          <w:lang w:val="es-MX"/>
        </w:rPr>
        <w:t>especto de la pregunta tres (3), se informa que</w:t>
      </w:r>
      <w:r w:rsidR="004F3E36" w:rsidRPr="00924037">
        <w:rPr>
          <w:rFonts w:ascii="Arial" w:eastAsia="Times New Roman" w:hAnsi="Arial" w:cs="Arial"/>
          <w:lang w:val="es-MX"/>
        </w:rPr>
        <w:t xml:space="preserve"> esta fue atendida </w:t>
      </w:r>
      <w:r w:rsidRPr="00924037">
        <w:rPr>
          <w:rFonts w:ascii="Arial" w:eastAsia="Times New Roman" w:hAnsi="Arial" w:cs="Arial"/>
          <w:lang w:val="es-MX"/>
        </w:rPr>
        <w:t xml:space="preserve">desde la Subdirección Información y Desarrollo Tecnológico, mediante oficio </w:t>
      </w:r>
      <w:r w:rsidR="004F3E36" w:rsidRPr="00924037">
        <w:rPr>
          <w:rFonts w:ascii="Arial" w:eastAsia="Times New Roman" w:hAnsi="Arial" w:cs="Arial"/>
          <w:lang w:val="es-MX"/>
        </w:rPr>
        <w:t xml:space="preserve">con radicado de salida No. RS20220830010493 del 30 de agosto de 2022. </w:t>
      </w:r>
    </w:p>
    <w:p w14:paraId="581FE6A9" w14:textId="77777777" w:rsidR="00462728" w:rsidRPr="00DC701A" w:rsidRDefault="00462728" w:rsidP="00915FD9">
      <w:pPr>
        <w:spacing w:after="0" w:line="276" w:lineRule="auto"/>
        <w:jc w:val="both"/>
        <w:rPr>
          <w:rFonts w:ascii="Arial" w:eastAsia="Calibri" w:hAnsi="Arial" w:cs="Arial"/>
          <w:bCs/>
          <w:lang w:val="es-ES" w:eastAsia="es-MX"/>
        </w:rPr>
      </w:pPr>
    </w:p>
    <w:p w14:paraId="63F23578" w14:textId="2231A8EF" w:rsidR="00DC701A" w:rsidRDefault="00DC701A" w:rsidP="00915FD9">
      <w:pPr>
        <w:spacing w:after="0" w:line="276" w:lineRule="auto"/>
        <w:jc w:val="both"/>
        <w:rPr>
          <w:rFonts w:ascii="Arial" w:eastAsia="Calibri" w:hAnsi="Arial" w:cs="Arial"/>
          <w:b/>
          <w:lang w:val="es-ES" w:eastAsia="es-MX"/>
        </w:rPr>
      </w:pPr>
      <w:r w:rsidRPr="00DC701A">
        <w:rPr>
          <w:rFonts w:ascii="Arial" w:eastAsia="Calibri" w:hAnsi="Arial" w:cs="Arial"/>
          <w:b/>
          <w:lang w:val="es-ES" w:eastAsia="es-MX"/>
        </w:rPr>
        <w:t>2. Consideraciones</w:t>
      </w:r>
    </w:p>
    <w:p w14:paraId="662AAB3E" w14:textId="77777777" w:rsidR="00915FD9" w:rsidRPr="00DC701A" w:rsidRDefault="00915FD9" w:rsidP="00915FD9">
      <w:pPr>
        <w:spacing w:after="0" w:line="276" w:lineRule="auto"/>
        <w:jc w:val="both"/>
        <w:rPr>
          <w:rFonts w:ascii="Arial" w:eastAsia="Calibri" w:hAnsi="Arial" w:cs="Arial"/>
          <w:b/>
          <w:lang w:val="es-ES" w:eastAsia="es-MX"/>
        </w:rPr>
      </w:pPr>
    </w:p>
    <w:p w14:paraId="4CB790C2" w14:textId="77777777" w:rsidR="002E3271" w:rsidRPr="002E3271" w:rsidRDefault="002E3271" w:rsidP="00915FD9">
      <w:pPr>
        <w:spacing w:after="0" w:line="276" w:lineRule="auto"/>
        <w:jc w:val="both"/>
        <w:rPr>
          <w:rFonts w:ascii="Arial" w:eastAsia="Times New Roman" w:hAnsi="Arial" w:cs="Arial"/>
          <w:bCs/>
          <w:color w:val="161616"/>
          <w:lang w:val="es-ES" w:eastAsia="en-GB"/>
        </w:rPr>
      </w:pPr>
      <w:r w:rsidRPr="002E3271">
        <w:rPr>
          <w:rFonts w:ascii="Arial" w:eastAsia="Times New Roman" w:hAnsi="Arial" w:cs="Arial"/>
          <w:bCs/>
          <w:color w:val="161616"/>
          <w:lang w:val="es-ES" w:eastAsia="en-GB"/>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393932BA" w14:textId="77777777" w:rsidR="002E3271" w:rsidRPr="002E3271" w:rsidRDefault="002E3271" w:rsidP="00D14713">
      <w:pPr>
        <w:spacing w:before="120" w:after="120" w:line="276" w:lineRule="auto"/>
        <w:ind w:firstLine="709"/>
        <w:jc w:val="both"/>
        <w:rPr>
          <w:rFonts w:ascii="Arial" w:eastAsia="Times New Roman" w:hAnsi="Arial" w:cs="Arial"/>
          <w:bCs/>
          <w:color w:val="161616"/>
          <w:lang w:val="es-ES" w:eastAsia="en-GB"/>
        </w:rPr>
      </w:pPr>
      <w:r w:rsidRPr="002E3271">
        <w:rPr>
          <w:rFonts w:ascii="Arial" w:eastAsia="Times New Roman" w:hAnsi="Arial" w:cs="Arial"/>
          <w:bCs/>
          <w:color w:val="161616"/>
          <w:lang w:val="es-ES" w:eastAsia="en-GB"/>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 </w:t>
      </w:r>
      <w:r w:rsidRPr="002E3271">
        <w:rPr>
          <w:rFonts w:ascii="Arial" w:eastAsia="Times New Roman" w:hAnsi="Arial" w:cs="Arial"/>
          <w:szCs w:val="24"/>
          <w:lang w:val="es-ES" w:eastAsia="en-GB"/>
        </w:rPr>
        <w:t xml:space="preserve">Esto en la medida en que, para resolver una consulta de carácter particular, además de conocer un sinnúmero de detalles de la actuación administrativa, es necesario acceder al expediente y </w:t>
      </w:r>
      <w:r w:rsidRPr="002E3271">
        <w:rPr>
          <w:rFonts w:ascii="Arial" w:eastAsia="Times New Roman" w:hAnsi="Arial" w:cs="Arial"/>
          <w:szCs w:val="24"/>
          <w:lang w:val="es-ES" w:eastAsia="en-GB"/>
        </w:rPr>
        <w:lastRenderedPageBreak/>
        <w:t>a los documentos del procedimiento contractual donde surge la inquietud.</w:t>
      </w:r>
      <w:r w:rsidRPr="002E3271">
        <w:rPr>
          <w:rFonts w:ascii="Arial" w:eastAsia="Times New Roman" w:hAnsi="Arial" w:cs="Arial"/>
          <w:bCs/>
          <w:color w:val="161616"/>
          <w:lang w:val="es-ES" w:eastAsia="en-GB"/>
        </w:rPr>
        <w:t xml:space="preserve"> Por lo anterior, previo concepto de sus órganos asesores, la solución de estos temas corresponde a la entidad que adelanta el procedimiento de selección y, en caso de conflicto, a las autoridades judiciales, fiscales y disciplinarias.</w:t>
      </w:r>
    </w:p>
    <w:p w14:paraId="2E3E8CC9" w14:textId="770C5FB9" w:rsidR="009978B0" w:rsidRPr="00F3160E" w:rsidRDefault="00D14713" w:rsidP="005220EB">
      <w:pPr>
        <w:spacing w:after="120" w:line="276" w:lineRule="auto"/>
        <w:jc w:val="both"/>
        <w:rPr>
          <w:rFonts w:ascii="Arial" w:eastAsia="Calibri" w:hAnsi="Arial" w:cs="Arial"/>
          <w:b/>
          <w:bCs/>
          <w:color w:val="000000"/>
          <w:lang w:val="es-MX" w:eastAsia="en-GB"/>
        </w:rPr>
      </w:pPr>
      <w:r>
        <w:rPr>
          <w:rFonts w:ascii="Arial" w:eastAsia="Times New Roman" w:hAnsi="Arial" w:cs="Arial"/>
          <w:bCs/>
          <w:color w:val="161616"/>
          <w:lang w:val="es-ES" w:eastAsia="en-GB"/>
        </w:rPr>
        <w:tab/>
      </w:r>
      <w:r w:rsidR="002E3271" w:rsidRPr="002E3271">
        <w:rPr>
          <w:rFonts w:ascii="Arial" w:eastAsia="Times New Roman" w:hAnsi="Arial" w:cs="Arial"/>
          <w:bCs/>
          <w:color w:val="161616"/>
          <w:lang w:val="es-ES" w:eastAsia="en-GB"/>
        </w:rPr>
        <w:t xml:space="preserve">En este contexto, la Subdirección –dentro de los límites de sus atribuciones, esto es, haciendo abstracción del caso particular expuesto por el peticionario– resolverá la consulta conforme a las normas generales en materia de contratación estatal. Para ello, </w:t>
      </w:r>
      <w:r w:rsidR="002E3271" w:rsidRPr="002E3271">
        <w:rPr>
          <w:rFonts w:ascii="Arial" w:eastAsia="Calibri" w:hAnsi="Arial" w:cs="Arial"/>
          <w:szCs w:val="24"/>
          <w:lang w:eastAsia="en-GB"/>
        </w:rPr>
        <w:t>esta dependencia analizará los siguientes temas: i) capacidad residual: generalidade</w:t>
      </w:r>
      <w:r w:rsidR="003B47D3">
        <w:rPr>
          <w:rFonts w:ascii="Arial" w:eastAsia="Calibri" w:hAnsi="Arial" w:cs="Arial"/>
          <w:szCs w:val="24"/>
          <w:lang w:eastAsia="en-GB"/>
        </w:rPr>
        <w:t>s,</w:t>
      </w:r>
      <w:r w:rsidR="002E3271" w:rsidRPr="002E3271">
        <w:rPr>
          <w:rFonts w:ascii="Arial" w:eastAsia="Calibri" w:hAnsi="Arial" w:cs="Arial"/>
          <w:szCs w:val="24"/>
          <w:lang w:eastAsia="en-GB"/>
        </w:rPr>
        <w:t xml:space="preserve"> ii) </w:t>
      </w:r>
      <w:bookmarkStart w:id="4" w:name="_Hlk81557838"/>
      <w:r w:rsidR="002E3271" w:rsidRPr="002E3271">
        <w:rPr>
          <w:rFonts w:ascii="Arial" w:eastAsia="Times New Roman" w:hAnsi="Arial" w:cs="Arial"/>
          <w:lang w:eastAsia="en-GB"/>
        </w:rPr>
        <w:t xml:space="preserve">contratos a tener en cuenta para el cálculo del factor Saldos de Contratos en Ejecución –SCE– de la fórmula para determinar la </w:t>
      </w:r>
      <w:r w:rsidR="002E3271" w:rsidRPr="009723D8">
        <w:rPr>
          <w:rFonts w:ascii="Arial" w:eastAsia="Times New Roman" w:hAnsi="Arial" w:cs="Arial"/>
          <w:lang w:eastAsia="en-GB"/>
        </w:rPr>
        <w:t>Capacidad Residual del Proponente –CRP–</w:t>
      </w:r>
      <w:bookmarkEnd w:id="4"/>
      <w:r w:rsidR="004643ED" w:rsidRPr="009723D8">
        <w:rPr>
          <w:rFonts w:ascii="Arial" w:eastAsia="Times New Roman" w:hAnsi="Arial" w:cs="Arial"/>
          <w:lang w:eastAsia="en-GB"/>
        </w:rPr>
        <w:t>, iii)</w:t>
      </w:r>
      <w:r w:rsidR="004643ED">
        <w:rPr>
          <w:rFonts w:ascii="Arial" w:eastAsia="Times New Roman" w:hAnsi="Arial" w:cs="Arial"/>
          <w:lang w:eastAsia="en-GB"/>
        </w:rPr>
        <w:t xml:space="preserve"> </w:t>
      </w:r>
      <w:r w:rsidR="004643ED">
        <w:rPr>
          <w:rFonts w:ascii="Arial" w:eastAsia="Calibri" w:hAnsi="Arial" w:cs="Arial"/>
          <w:color w:val="000000"/>
          <w:szCs w:val="24"/>
          <w:lang w:eastAsia="en-GB"/>
        </w:rPr>
        <w:t>c</w:t>
      </w:r>
      <w:r w:rsidR="004643ED" w:rsidRPr="004643ED">
        <w:rPr>
          <w:rFonts w:ascii="Arial" w:eastAsia="Calibri" w:hAnsi="Arial" w:cs="Arial"/>
          <w:color w:val="000000"/>
          <w:szCs w:val="24"/>
          <w:lang w:eastAsia="en-GB"/>
        </w:rPr>
        <w:t xml:space="preserve">apacidad residual </w:t>
      </w:r>
      <w:r w:rsidR="004643ED" w:rsidRPr="004643ED">
        <w:rPr>
          <w:rFonts w:ascii="Arial" w:eastAsia="Calibri" w:hAnsi="Arial" w:cs="Arial"/>
          <w:szCs w:val="20"/>
          <w:lang w:val="es-MX"/>
        </w:rPr>
        <w:t>y rechazo de la oferta</w:t>
      </w:r>
      <w:r w:rsidR="004643ED" w:rsidRPr="004643ED">
        <w:rPr>
          <w:rFonts w:ascii="Arial" w:eastAsia="Calibri" w:hAnsi="Arial" w:cs="Arial"/>
          <w:color w:val="000000"/>
          <w:szCs w:val="24"/>
          <w:lang w:eastAsia="en-GB"/>
        </w:rPr>
        <w:t xml:space="preserve"> en los documentos tipo d</w:t>
      </w:r>
      <w:r w:rsidR="004643ED" w:rsidRPr="004643ED">
        <w:rPr>
          <w:rFonts w:ascii="Arial" w:eastAsia="Calibri" w:hAnsi="Arial" w:cs="Arial"/>
          <w:szCs w:val="20"/>
          <w:lang w:val="es-MX"/>
        </w:rPr>
        <w:t>e obra para procesos de licitación pública de infraestructura de transporte</w:t>
      </w:r>
      <w:r w:rsidR="009978B0">
        <w:rPr>
          <w:rFonts w:ascii="Arial" w:eastAsia="Calibri" w:hAnsi="Arial" w:cs="Arial"/>
          <w:b/>
          <w:bCs/>
          <w:szCs w:val="20"/>
          <w:lang w:val="es-MX"/>
        </w:rPr>
        <w:t xml:space="preserve">, </w:t>
      </w:r>
      <w:r w:rsidR="009978B0" w:rsidRPr="009978B0">
        <w:rPr>
          <w:rFonts w:ascii="Arial" w:eastAsia="Calibri" w:hAnsi="Arial" w:cs="Arial"/>
          <w:szCs w:val="20"/>
          <w:lang w:val="es-MX"/>
        </w:rPr>
        <w:t xml:space="preserve">iv) </w:t>
      </w:r>
      <w:r>
        <w:rPr>
          <w:rFonts w:ascii="Arial" w:eastAsia="Calibri" w:hAnsi="Arial" w:cs="Arial"/>
          <w:color w:val="000000"/>
          <w:szCs w:val="24"/>
          <w:lang w:eastAsia="en-GB"/>
        </w:rPr>
        <w:t>c</w:t>
      </w:r>
      <w:r w:rsidR="009978B0" w:rsidRPr="009978B0">
        <w:rPr>
          <w:rFonts w:ascii="Arial" w:eastAsia="Calibri" w:hAnsi="Arial" w:cs="Arial"/>
          <w:color w:val="000000"/>
          <w:szCs w:val="24"/>
          <w:lang w:eastAsia="en-GB"/>
        </w:rPr>
        <w:t xml:space="preserve">apacidad residual </w:t>
      </w:r>
      <w:r w:rsidR="009978B0" w:rsidRPr="009978B0">
        <w:rPr>
          <w:rFonts w:ascii="Arial" w:eastAsia="Calibri" w:hAnsi="Arial" w:cs="Arial"/>
          <w:szCs w:val="20"/>
          <w:lang w:val="es-MX"/>
        </w:rPr>
        <w:t>y rechazo de la oferta</w:t>
      </w:r>
      <w:r w:rsidR="009978B0" w:rsidRPr="009978B0">
        <w:rPr>
          <w:rFonts w:ascii="Arial" w:eastAsia="Calibri" w:hAnsi="Arial" w:cs="Arial"/>
          <w:color w:val="000000"/>
          <w:szCs w:val="24"/>
          <w:lang w:eastAsia="en-GB"/>
        </w:rPr>
        <w:t xml:space="preserve"> en los documentos tipo d</w:t>
      </w:r>
      <w:r w:rsidR="009978B0" w:rsidRPr="009978B0">
        <w:rPr>
          <w:rFonts w:ascii="Arial" w:eastAsia="Calibri" w:hAnsi="Arial" w:cs="Arial"/>
          <w:szCs w:val="20"/>
          <w:lang w:val="es-MX"/>
        </w:rPr>
        <w:t xml:space="preserve">e obra para procesos de licitación pública de infraestructura de transporte </w:t>
      </w:r>
      <w:r w:rsidR="009978B0">
        <w:rPr>
          <w:rFonts w:ascii="Arial" w:eastAsia="Calibri" w:hAnsi="Arial" w:cs="Arial"/>
          <w:szCs w:val="20"/>
          <w:lang w:val="es-MX"/>
        </w:rPr>
        <w:t>y</w:t>
      </w:r>
      <w:r w:rsidR="009717F7">
        <w:rPr>
          <w:rFonts w:ascii="Arial" w:eastAsia="Calibri" w:hAnsi="Arial" w:cs="Arial"/>
          <w:szCs w:val="20"/>
          <w:lang w:val="es-MX"/>
        </w:rPr>
        <w:t>,</w:t>
      </w:r>
      <w:r w:rsidR="009978B0">
        <w:rPr>
          <w:rFonts w:ascii="Arial" w:eastAsia="Calibri" w:hAnsi="Arial" w:cs="Arial"/>
          <w:szCs w:val="20"/>
          <w:lang w:val="es-MX"/>
        </w:rPr>
        <w:t xml:space="preserve"> v) </w:t>
      </w:r>
      <w:r w:rsidR="005220EB" w:rsidRPr="005220EB">
        <w:rPr>
          <w:rFonts w:ascii="Arial" w:eastAsia="Calibri" w:hAnsi="Arial" w:cs="Arial"/>
          <w:color w:val="000000"/>
          <w:lang w:val="es-MX" w:eastAsia="en-GB"/>
        </w:rPr>
        <w:t>r</w:t>
      </w:r>
      <w:r w:rsidR="00C57C89" w:rsidRPr="005220EB">
        <w:rPr>
          <w:rFonts w:ascii="Arial" w:eastAsia="Calibri" w:hAnsi="Arial" w:cs="Arial"/>
        </w:rPr>
        <w:t>recomendaciones</w:t>
      </w:r>
      <w:r w:rsidR="005220EB" w:rsidRPr="005220EB">
        <w:rPr>
          <w:rFonts w:ascii="Arial" w:eastAsia="Calibri" w:hAnsi="Arial" w:cs="Arial"/>
        </w:rPr>
        <w:t xml:space="preserve"> del ente rector de la contratación pública - Colombia Compra Eficiente respecto del manejo de ofertas que pueden tener «precios artificialmente bajos».</w:t>
      </w:r>
    </w:p>
    <w:p w14:paraId="67A54838" w14:textId="77777777" w:rsidR="00F86165" w:rsidRDefault="002E3271" w:rsidP="00504EE9">
      <w:pPr>
        <w:spacing w:after="120" w:line="276" w:lineRule="auto"/>
        <w:ind w:firstLine="709"/>
        <w:jc w:val="both"/>
        <w:rPr>
          <w:rFonts w:ascii="Arial" w:eastAsia="Times New Roman" w:hAnsi="Arial" w:cs="Arial"/>
          <w:bCs/>
          <w:color w:val="161616"/>
          <w:lang w:val="es-ES" w:eastAsia="en-GB"/>
        </w:rPr>
      </w:pPr>
      <w:r w:rsidRPr="002E3271">
        <w:rPr>
          <w:rFonts w:ascii="Arial" w:eastAsia="Times New Roman" w:hAnsi="Arial" w:cs="Arial"/>
          <w:bCs/>
          <w:color w:val="161616"/>
          <w:lang w:eastAsia="en-GB"/>
        </w:rPr>
        <w:t xml:space="preserve">La Agencia Nacional de Contratación Pública − Colombia Compra Eficiente se ha pronunciado sobre la capacidad residual, y la forma como esta se debe acreditar, en los conceptos </w:t>
      </w:r>
      <w:r w:rsidRPr="002E3271">
        <w:rPr>
          <w:rFonts w:ascii="Arial" w:eastAsia="Times New Roman" w:hAnsi="Arial" w:cs="Arial"/>
          <w:szCs w:val="24"/>
          <w:lang w:eastAsia="en-GB"/>
        </w:rPr>
        <w:t>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w:t>
      </w:r>
      <w:r w:rsidRPr="002E3271">
        <w:rPr>
          <w:rFonts w:ascii="Times New Roman" w:eastAsia="Times New Roman" w:hAnsi="Times New Roman" w:cs="Times New Roman"/>
          <w:sz w:val="24"/>
          <w:szCs w:val="24"/>
          <w:lang w:eastAsia="en-GB"/>
        </w:rPr>
        <w:t xml:space="preserve"> </w:t>
      </w:r>
      <w:r w:rsidRPr="002E3271">
        <w:rPr>
          <w:rFonts w:ascii="Arial" w:eastAsia="Times New Roman" w:hAnsi="Arial" w:cs="Arial"/>
          <w:szCs w:val="24"/>
          <w:lang w:eastAsia="en-GB"/>
        </w:rPr>
        <w:t xml:space="preserve">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2E3271">
        <w:rPr>
          <w:rFonts w:ascii="Arial" w:eastAsia="Times New Roman" w:hAnsi="Arial" w:cs="Arial"/>
          <w:bCs/>
          <w:color w:val="161616"/>
          <w:lang w:eastAsia="en-GB"/>
        </w:rPr>
        <w:t xml:space="preserve">C-068 del 9 de marzo de 2022, </w:t>
      </w:r>
      <w:r w:rsidRPr="002E3271">
        <w:rPr>
          <w:rFonts w:ascii="Arial" w:eastAsia="Calibri" w:hAnsi="Arial" w:cs="Arial"/>
          <w:bCs/>
          <w:lang w:val="es-ES" w:eastAsia="en-GB"/>
        </w:rPr>
        <w:t>C-220 del 22 de abril de 2022</w:t>
      </w:r>
      <w:r>
        <w:rPr>
          <w:rFonts w:ascii="Arial" w:eastAsia="Calibri" w:hAnsi="Arial" w:cs="Arial"/>
          <w:bCs/>
          <w:lang w:val="es-ES" w:eastAsia="en-GB"/>
        </w:rPr>
        <w:t xml:space="preserve">, </w:t>
      </w:r>
      <w:r w:rsidRPr="002E3271">
        <w:rPr>
          <w:rFonts w:ascii="Arial" w:eastAsia="Calibri" w:hAnsi="Arial" w:cs="Arial"/>
          <w:bCs/>
          <w:lang w:val="es-ES" w:eastAsia="en-GB"/>
        </w:rPr>
        <w:t>C-351 del 23 de mayo de 2022</w:t>
      </w:r>
      <w:r>
        <w:rPr>
          <w:rFonts w:ascii="Arial" w:eastAsia="Calibri" w:hAnsi="Arial" w:cs="Arial"/>
          <w:bCs/>
          <w:lang w:val="es-ES" w:eastAsia="en-GB"/>
        </w:rPr>
        <w:t xml:space="preserve"> y C-392 del 16 de junio de 2022</w:t>
      </w:r>
      <w:r w:rsidRPr="002E3271">
        <w:rPr>
          <w:rFonts w:ascii="Arial" w:eastAsia="Times New Roman" w:hAnsi="Arial" w:cs="Arial"/>
          <w:bCs/>
          <w:color w:val="161616"/>
          <w:lang w:val="es-ES" w:eastAsia="en-GB"/>
        </w:rPr>
        <w:t xml:space="preserve">. </w:t>
      </w:r>
    </w:p>
    <w:p w14:paraId="70A38F26" w14:textId="4DB78C6E" w:rsidR="00D33322" w:rsidRDefault="00F86165" w:rsidP="00504EE9">
      <w:pPr>
        <w:spacing w:after="120" w:line="276" w:lineRule="auto"/>
        <w:ind w:firstLine="708"/>
        <w:jc w:val="both"/>
        <w:rPr>
          <w:rFonts w:ascii="Arial" w:eastAsia="Calibri" w:hAnsi="Arial" w:cs="Arial"/>
        </w:rPr>
      </w:pPr>
      <w:r>
        <w:rPr>
          <w:rFonts w:ascii="Arial" w:eastAsia="Calibri" w:hAnsi="Arial" w:cs="Arial"/>
          <w:color w:val="000000" w:themeColor="text1"/>
        </w:rPr>
        <w:t xml:space="preserve">Por otra parte, en los conceptos </w:t>
      </w:r>
      <w:r w:rsidRPr="0016149E">
        <w:rPr>
          <w:rFonts w:ascii="Arial" w:eastAsia="Calibri" w:hAnsi="Arial" w:cs="Arial"/>
        </w:rPr>
        <w:t>C-033</w:t>
      </w:r>
      <w:r>
        <w:rPr>
          <w:rFonts w:ascii="Arial" w:eastAsia="Calibri" w:hAnsi="Arial" w:cs="Arial"/>
        </w:rPr>
        <w:t xml:space="preserve"> del 13 de marzo de 2020, </w:t>
      </w:r>
      <w:r w:rsidRPr="008E15F6">
        <w:rPr>
          <w:rFonts w:ascii="Arial" w:eastAsia="Calibri" w:hAnsi="Arial" w:cs="Arial"/>
        </w:rPr>
        <w:t>C-133 del 30 de marzo de 2020, C-196 del 8 de abril de 2020, C-297 del 4 de junio de 2020, C-489 del 23 de julio de 2020, C-522 del 6 de agosto de 2020, C-547 del 21 de agosto de 2020, C-642 de 30 de octubre de 2020, C-668 del 20 de noviembre de 2020</w:t>
      </w:r>
      <w:r>
        <w:rPr>
          <w:rFonts w:ascii="Arial" w:eastAsia="Calibri" w:hAnsi="Arial" w:cs="Arial"/>
        </w:rPr>
        <w:t>,</w:t>
      </w:r>
      <w:r w:rsidRPr="008E15F6">
        <w:rPr>
          <w:rFonts w:ascii="Arial" w:eastAsia="Calibri" w:hAnsi="Arial" w:cs="Arial"/>
        </w:rPr>
        <w:t xml:space="preserve"> C-720 del 11 de diciembre de 2020</w:t>
      </w:r>
      <w:r>
        <w:rPr>
          <w:rFonts w:ascii="Arial" w:eastAsia="Calibri" w:hAnsi="Arial" w:cs="Arial"/>
        </w:rPr>
        <w:t>, C-789 del 19 de enero de 2021, C-042 del 3 de marzo de 2021, C-173 de</w:t>
      </w:r>
      <w:r w:rsidR="00D33322">
        <w:rPr>
          <w:rFonts w:ascii="Arial" w:eastAsia="Calibri" w:hAnsi="Arial" w:cs="Arial"/>
        </w:rPr>
        <w:t>l</w:t>
      </w:r>
      <w:r>
        <w:rPr>
          <w:rFonts w:ascii="Arial" w:eastAsia="Calibri" w:hAnsi="Arial" w:cs="Arial"/>
        </w:rPr>
        <w:t xml:space="preserve"> 07 de abril de 2022 y C-219 del 19 de mayo de 2022, esta Agencia se pronunció en aspectos referentes al rechazo de propuestas por falta de acreditación del requisito de capacidad residual</w:t>
      </w:r>
      <w:r>
        <w:rPr>
          <w:rFonts w:ascii="Arial" w:hAnsi="Arial" w:cs="Arial"/>
          <w:bCs/>
          <w:color w:val="000000" w:themeColor="text1"/>
          <w:lang w:val="es-MX"/>
        </w:rPr>
        <w:t>.</w:t>
      </w:r>
      <w:r w:rsidRPr="0016149E">
        <w:rPr>
          <w:rFonts w:ascii="Arial" w:eastAsia="Calibri" w:hAnsi="Arial" w:cs="Arial"/>
        </w:rPr>
        <w:t xml:space="preserve"> </w:t>
      </w:r>
    </w:p>
    <w:p w14:paraId="0EE3B158" w14:textId="516C759E" w:rsidR="00847C7E" w:rsidRDefault="00847C7E" w:rsidP="00504EE9">
      <w:pPr>
        <w:spacing w:after="0" w:line="276" w:lineRule="auto"/>
        <w:ind w:firstLine="708"/>
        <w:jc w:val="both"/>
        <w:rPr>
          <w:rFonts w:ascii="Arial" w:eastAsia="Arial MT" w:hAnsi="Arial" w:cs="Arial"/>
          <w:bCs/>
          <w:lang w:val="es-MX"/>
        </w:rPr>
      </w:pPr>
      <w:r w:rsidRPr="00847C7E">
        <w:rPr>
          <w:rFonts w:ascii="Arial" w:hAnsi="Arial" w:cs="Arial"/>
          <w:color w:val="000000" w:themeColor="text1"/>
          <w:lang w:val="es-ES"/>
        </w:rPr>
        <w:lastRenderedPageBreak/>
        <w:t xml:space="preserve">Asimismo, esta Agencia </w:t>
      </w:r>
      <w:r w:rsidRPr="00847C7E">
        <w:rPr>
          <w:rFonts w:ascii="Arial" w:eastAsia="Calibri" w:hAnsi="Arial" w:cs="Arial"/>
          <w:color w:val="000000" w:themeColor="text1"/>
          <w:lang w:val="es-ES"/>
        </w:rPr>
        <w:t xml:space="preserve">analizó la noción y alcance de los precios artificialmente bajos en los conceptos 2201913000007853 </w:t>
      </w:r>
      <w:r w:rsidRPr="00847C7E">
        <w:rPr>
          <w:rFonts w:ascii="Arial" w:eastAsia="Calibri" w:hAnsi="Arial" w:cs="Arial"/>
          <w:color w:val="000000"/>
          <w:lang w:val="es-ES" w:eastAsia="en-GB"/>
        </w:rPr>
        <w:t xml:space="preserve">del 21 de octubre de 2019; 2201913000008058 del 28 de octubre de 2019, 2201913000008288 del 7 de noviembre de 2019; 2201913000009110 del 11 de diciembre de 2019, 2201913000009489 del 20 de diciembre de 2019, 2202013000000038 del 7 de enero de 2020, </w:t>
      </w:r>
      <w:r w:rsidRPr="00847C7E">
        <w:rPr>
          <w:rFonts w:ascii="Arial" w:eastAsia="Calibri" w:hAnsi="Arial" w:cs="Arial"/>
        </w:rPr>
        <w:t xml:space="preserve">C−163 del 31 de marzo de 2020, </w:t>
      </w:r>
      <w:r w:rsidRPr="00847C7E">
        <w:rPr>
          <w:rFonts w:ascii="Arial" w:eastAsia="Calibri" w:hAnsi="Arial" w:cs="Arial"/>
          <w:color w:val="000000"/>
          <w:lang w:val="es-ES" w:eastAsia="en-GB"/>
        </w:rPr>
        <w:t>C</w:t>
      </w:r>
      <w:bookmarkStart w:id="5" w:name="_Hlk68610319"/>
      <w:r w:rsidRPr="00847C7E">
        <w:rPr>
          <w:rFonts w:ascii="Arial" w:eastAsia="Calibri" w:hAnsi="Arial" w:cs="Arial"/>
          <w:color w:val="000000"/>
          <w:lang w:val="es-ES" w:eastAsia="en-GB"/>
        </w:rPr>
        <w:t>–</w:t>
      </w:r>
      <w:bookmarkEnd w:id="5"/>
      <w:r w:rsidRPr="00847C7E">
        <w:rPr>
          <w:rFonts w:ascii="Arial" w:eastAsia="Calibri" w:hAnsi="Arial" w:cs="Arial"/>
          <w:color w:val="000000"/>
          <w:lang w:val="es-ES" w:eastAsia="en-GB"/>
        </w:rPr>
        <w:t xml:space="preserve">012 del 28 de enero de 2020, C–163 del 31 de marzo de 2020, C–200 del 14 de abril de 2020, </w:t>
      </w:r>
      <w:r w:rsidRPr="00847C7E">
        <w:rPr>
          <w:rFonts w:ascii="Arial" w:eastAsia="Calibri" w:hAnsi="Arial" w:cs="Arial"/>
        </w:rPr>
        <w:t xml:space="preserve">C−473 del 13 de julio de 2002, C−496 del 27 de julio de 2020, C−506 del 29 de julio de 2020, C-679 del 23 de noviembre de 2020, </w:t>
      </w:r>
      <w:r w:rsidRPr="00847C7E">
        <w:rPr>
          <w:rFonts w:ascii="Arial" w:eastAsia="Calibri" w:hAnsi="Arial" w:cs="Arial"/>
          <w:color w:val="000000"/>
          <w:lang w:val="es-ES" w:eastAsia="en-GB"/>
        </w:rPr>
        <w:t>C–767 del 7 de enero de 2021, C-205 del 7 de mayo del 2021, C-737 del 27 de enero de 2022</w:t>
      </w:r>
      <w:r w:rsidR="00DB6E28">
        <w:rPr>
          <w:rFonts w:ascii="Arial" w:eastAsia="Calibri" w:hAnsi="Arial" w:cs="Arial"/>
          <w:color w:val="000000"/>
          <w:lang w:val="es-ES" w:eastAsia="en-GB"/>
        </w:rPr>
        <w:t>,</w:t>
      </w:r>
      <w:r w:rsidR="00182B5F">
        <w:rPr>
          <w:rFonts w:ascii="Arial" w:eastAsia="Calibri" w:hAnsi="Arial" w:cs="Arial"/>
          <w:color w:val="000000"/>
          <w:lang w:val="es-ES" w:eastAsia="en-GB"/>
        </w:rPr>
        <w:t xml:space="preserve">  </w:t>
      </w:r>
      <w:r w:rsidRPr="00847C7E">
        <w:rPr>
          <w:rFonts w:ascii="Arial" w:eastAsia="Calibri" w:hAnsi="Arial" w:cs="Arial"/>
          <w:color w:val="000000"/>
          <w:lang w:val="es-ES" w:eastAsia="en-GB"/>
        </w:rPr>
        <w:t>C-287 del 4 de mayo de 2022</w:t>
      </w:r>
      <w:r w:rsidR="00182B5F">
        <w:rPr>
          <w:rFonts w:ascii="Arial" w:eastAsia="Calibri" w:hAnsi="Arial" w:cs="Arial"/>
          <w:color w:val="000000"/>
          <w:lang w:val="es-ES" w:eastAsia="en-GB"/>
        </w:rPr>
        <w:t>, C-205 del 7 de mayo de 2022 y C-</w:t>
      </w:r>
      <w:r w:rsidR="004C7381">
        <w:rPr>
          <w:rFonts w:ascii="Arial" w:eastAsia="Calibri" w:hAnsi="Arial" w:cs="Arial"/>
          <w:color w:val="000000"/>
          <w:lang w:val="es-ES" w:eastAsia="en-GB"/>
        </w:rPr>
        <w:t>403 del 22 de junio de 2022</w:t>
      </w:r>
      <w:r w:rsidRPr="00847C7E">
        <w:rPr>
          <w:rFonts w:ascii="Arial" w:eastAsia="Calibri" w:hAnsi="Arial" w:cs="Arial"/>
          <w:color w:val="000000"/>
          <w:vertAlign w:val="superscript"/>
          <w:lang w:val="es-ES" w:eastAsia="en-GB"/>
        </w:rPr>
        <w:footnoteReference w:id="1"/>
      </w:r>
      <w:r w:rsidRPr="00847C7E">
        <w:rPr>
          <w:rFonts w:ascii="Arial" w:eastAsia="Calibri" w:hAnsi="Arial" w:cs="Arial"/>
          <w:color w:val="000000"/>
          <w:lang w:val="es-ES" w:eastAsia="en-GB"/>
        </w:rPr>
        <w:t>.</w:t>
      </w:r>
      <w:r w:rsidRPr="00847C7E">
        <w:rPr>
          <w:rFonts w:ascii="Arial" w:eastAsia="Arial MT" w:hAnsi="Arial" w:cs="Arial"/>
          <w:lang w:val="es-ES_tradnl"/>
        </w:rPr>
        <w:t xml:space="preserve"> </w:t>
      </w:r>
      <w:r w:rsidRPr="00847C7E">
        <w:rPr>
          <w:rFonts w:ascii="Arial" w:eastAsia="Arial MT" w:hAnsi="Arial" w:cs="Arial"/>
        </w:rPr>
        <w:t xml:space="preserve">Las tesis desarrolladas en estos conceptos se reiteran a continuación </w:t>
      </w:r>
      <w:r w:rsidRPr="00847C7E">
        <w:rPr>
          <w:rFonts w:ascii="Arial" w:eastAsia="Arial MT" w:hAnsi="Arial" w:cs="Arial"/>
          <w:bCs/>
          <w:lang w:val="es-MX"/>
        </w:rPr>
        <w:t xml:space="preserve">y se complementa en lo pertinente: </w:t>
      </w:r>
    </w:p>
    <w:p w14:paraId="48E906F7" w14:textId="77777777" w:rsidR="00504EE9" w:rsidRPr="00847C7E" w:rsidRDefault="00504EE9" w:rsidP="00504EE9">
      <w:pPr>
        <w:spacing w:after="0" w:line="276" w:lineRule="auto"/>
        <w:ind w:firstLine="708"/>
        <w:jc w:val="both"/>
        <w:rPr>
          <w:rFonts w:ascii="Arial" w:eastAsia="Arial MT" w:hAnsi="Arial" w:cs="Arial"/>
          <w:lang w:val="es-ES_tradnl"/>
        </w:rPr>
      </w:pPr>
    </w:p>
    <w:p w14:paraId="3F368DFA" w14:textId="07B6EB24" w:rsidR="002E3271" w:rsidRDefault="00DC701A" w:rsidP="00504EE9">
      <w:pPr>
        <w:spacing w:after="0" w:line="276" w:lineRule="auto"/>
        <w:jc w:val="both"/>
        <w:textAlignment w:val="baseline"/>
        <w:rPr>
          <w:rFonts w:ascii="Arial" w:eastAsia="Times New Roman" w:hAnsi="Arial" w:cs="Arial"/>
          <w:b/>
          <w:bCs/>
          <w:szCs w:val="24"/>
          <w:lang w:val="es-ES" w:eastAsia="en-GB"/>
        </w:rPr>
      </w:pPr>
      <w:r w:rsidRPr="00DC701A">
        <w:rPr>
          <w:rFonts w:ascii="Arial" w:eastAsia="Times New Roman" w:hAnsi="Arial" w:cs="Arial"/>
          <w:color w:val="000000"/>
          <w:lang w:eastAsia="es-MX"/>
        </w:rPr>
        <w:t> </w:t>
      </w:r>
      <w:r w:rsidR="002E3271" w:rsidRPr="002E3271">
        <w:rPr>
          <w:rFonts w:ascii="Arial" w:eastAsia="Calibri" w:hAnsi="Arial" w:cs="Arial"/>
          <w:b/>
          <w:bCs/>
          <w:lang w:eastAsia="en-GB"/>
        </w:rPr>
        <w:t xml:space="preserve">2.1. </w:t>
      </w:r>
      <w:r w:rsidR="00AD145B" w:rsidRPr="00740E5C">
        <w:rPr>
          <w:rFonts w:ascii="Arial" w:eastAsia="Calibri" w:hAnsi="Arial" w:cs="Arial"/>
          <w:b/>
          <w:bCs/>
          <w:color w:val="000000"/>
        </w:rPr>
        <w:t xml:space="preserve">Capacidad residual como requisito habilitante: </w:t>
      </w:r>
      <w:r w:rsidR="00AD145B">
        <w:rPr>
          <w:rFonts w:ascii="Arial" w:eastAsia="Calibri" w:hAnsi="Arial" w:cs="Arial"/>
          <w:b/>
          <w:bCs/>
          <w:color w:val="000000"/>
        </w:rPr>
        <w:t>S</w:t>
      </w:r>
      <w:r w:rsidR="00AD145B" w:rsidRPr="00740E5C">
        <w:rPr>
          <w:rFonts w:ascii="Arial" w:eastAsia="Calibri" w:hAnsi="Arial" w:cs="Arial"/>
          <w:b/>
          <w:bCs/>
          <w:color w:val="000000"/>
        </w:rPr>
        <w:t xml:space="preserve">aldo de </w:t>
      </w:r>
      <w:r w:rsidR="00AD145B">
        <w:rPr>
          <w:rFonts w:ascii="Arial" w:eastAsia="Calibri" w:hAnsi="Arial" w:cs="Arial"/>
          <w:b/>
          <w:bCs/>
          <w:color w:val="000000"/>
        </w:rPr>
        <w:t>C</w:t>
      </w:r>
      <w:r w:rsidR="00AD145B" w:rsidRPr="00740E5C">
        <w:rPr>
          <w:rFonts w:ascii="Arial" w:eastAsia="Calibri" w:hAnsi="Arial" w:cs="Arial"/>
          <w:b/>
          <w:bCs/>
          <w:color w:val="000000"/>
        </w:rPr>
        <w:t xml:space="preserve">ontratos en </w:t>
      </w:r>
      <w:r w:rsidR="00AD145B">
        <w:rPr>
          <w:rFonts w:ascii="Arial" w:eastAsia="Calibri" w:hAnsi="Arial" w:cs="Arial"/>
          <w:b/>
          <w:bCs/>
          <w:color w:val="000000"/>
        </w:rPr>
        <w:t>E</w:t>
      </w:r>
      <w:r w:rsidR="00AD145B" w:rsidRPr="00740E5C">
        <w:rPr>
          <w:rFonts w:ascii="Arial" w:eastAsia="Calibri" w:hAnsi="Arial" w:cs="Arial"/>
          <w:b/>
          <w:bCs/>
          <w:color w:val="000000"/>
        </w:rPr>
        <w:t>jecución –SCE–</w:t>
      </w:r>
      <w:r w:rsidR="002E3271" w:rsidRPr="002E3271">
        <w:rPr>
          <w:rFonts w:ascii="Arial" w:eastAsia="Times New Roman" w:hAnsi="Arial" w:cs="Arial"/>
          <w:b/>
          <w:bCs/>
          <w:szCs w:val="24"/>
          <w:lang w:val="es-ES" w:eastAsia="en-GB"/>
        </w:rPr>
        <w:t xml:space="preserve"> </w:t>
      </w:r>
    </w:p>
    <w:p w14:paraId="5F81D594" w14:textId="77777777" w:rsidR="0065548B" w:rsidRPr="002E3271" w:rsidRDefault="0065548B" w:rsidP="00504EE9">
      <w:pPr>
        <w:spacing w:after="0" w:line="276" w:lineRule="auto"/>
        <w:jc w:val="both"/>
        <w:textAlignment w:val="baseline"/>
        <w:rPr>
          <w:rFonts w:ascii="Arial" w:eastAsia="Times New Roman" w:hAnsi="Arial" w:cs="Arial"/>
          <w:b/>
          <w:bCs/>
          <w:szCs w:val="24"/>
          <w:lang w:val="es-ES" w:eastAsia="en-GB"/>
        </w:rPr>
      </w:pPr>
    </w:p>
    <w:p w14:paraId="47888623" w14:textId="77777777" w:rsidR="00AD145B" w:rsidRPr="00AD145B" w:rsidRDefault="00AD145B" w:rsidP="00924037">
      <w:pPr>
        <w:spacing w:after="0" w:line="276" w:lineRule="auto"/>
        <w:jc w:val="both"/>
        <w:rPr>
          <w:rFonts w:ascii="Arial" w:eastAsia="Times New Roman" w:hAnsi="Arial" w:cs="Arial"/>
          <w:color w:val="000000"/>
          <w:lang w:val="es-MX" w:eastAsia="en-GB"/>
        </w:rPr>
      </w:pPr>
      <w:bookmarkStart w:id="6" w:name="_Hlk112658098"/>
      <w:r w:rsidRPr="00AD145B">
        <w:rPr>
          <w:rFonts w:ascii="Arial" w:eastAsia="Times New Roman" w:hAnsi="Arial" w:cs="Arial"/>
          <w:color w:val="000000"/>
          <w:lang w:val="es-MX" w:eastAsia="en-GB"/>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AD145B">
        <w:rPr>
          <w:rFonts w:ascii="Arial" w:eastAsia="Times New Roman" w:hAnsi="Arial" w:cs="Arial"/>
          <w:color w:val="000000"/>
          <w:vertAlign w:val="superscript"/>
          <w:lang w:val="es-MX" w:eastAsia="en-GB"/>
        </w:rPr>
        <w:footnoteReference w:id="2"/>
      </w:r>
      <w:r w:rsidRPr="00AD145B">
        <w:rPr>
          <w:rFonts w:ascii="Arial" w:eastAsia="Times New Roman" w:hAnsi="Arial" w:cs="Arial"/>
          <w:color w:val="000000"/>
          <w:lang w:val="es-MX" w:eastAsia="en-GB"/>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AD145B">
        <w:rPr>
          <w:rFonts w:ascii="Arial" w:eastAsia="Calibri" w:hAnsi="Arial" w:cs="Arial"/>
          <w:color w:val="000000"/>
          <w:vertAlign w:val="superscript"/>
          <w:lang w:val="es-MX" w:eastAsia="en-GB"/>
        </w:rPr>
        <w:footnoteReference w:id="3"/>
      </w:r>
      <w:r w:rsidRPr="00AD145B">
        <w:rPr>
          <w:rFonts w:ascii="Arial" w:eastAsia="Times New Roman" w:hAnsi="Arial" w:cs="Arial"/>
          <w:color w:val="000000"/>
          <w:lang w:val="es-MX" w:eastAsia="en-GB"/>
        </w:rPr>
        <w:t>.</w:t>
      </w:r>
    </w:p>
    <w:p w14:paraId="5B8EB671" w14:textId="77777777" w:rsidR="00AD145B" w:rsidRPr="00AD145B" w:rsidRDefault="00AD145B" w:rsidP="00AD145B">
      <w:pPr>
        <w:spacing w:before="120" w:after="0" w:line="276" w:lineRule="auto"/>
        <w:ind w:firstLine="708"/>
        <w:jc w:val="both"/>
        <w:rPr>
          <w:rFonts w:ascii="Arial" w:eastAsia="Times New Roman" w:hAnsi="Arial" w:cs="Arial"/>
          <w:color w:val="000000"/>
          <w:lang w:val="es-MX" w:eastAsia="en-GB"/>
        </w:rPr>
      </w:pPr>
      <w:r w:rsidRPr="00AD145B">
        <w:rPr>
          <w:rFonts w:ascii="Arial" w:eastAsia="Times New Roman" w:hAnsi="Arial" w:cs="Arial"/>
          <w:color w:val="000000"/>
          <w:lang w:val="es-MX" w:eastAsia="en-GB"/>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0CFA0311" w14:textId="77777777" w:rsidR="00AD145B" w:rsidRPr="00AD145B" w:rsidRDefault="00AD145B" w:rsidP="00AD145B">
      <w:pPr>
        <w:spacing w:after="0" w:line="276" w:lineRule="auto"/>
        <w:ind w:firstLine="708"/>
        <w:jc w:val="both"/>
        <w:rPr>
          <w:rFonts w:ascii="Arial" w:eastAsia="Times New Roman" w:hAnsi="Arial" w:cs="Arial"/>
          <w:color w:val="000000"/>
          <w:sz w:val="24"/>
          <w:szCs w:val="24"/>
          <w:lang w:val="es-MX" w:eastAsia="en-GB"/>
        </w:rPr>
      </w:pPr>
    </w:p>
    <w:p w14:paraId="6E5459DF" w14:textId="77777777" w:rsidR="00AD145B" w:rsidRPr="00AD145B" w:rsidRDefault="00AD145B" w:rsidP="00AD145B">
      <w:pPr>
        <w:spacing w:after="120" w:line="240" w:lineRule="auto"/>
        <w:ind w:left="709" w:right="709"/>
        <w:jc w:val="both"/>
        <w:rPr>
          <w:rFonts w:ascii="Arial" w:eastAsia="Calibri" w:hAnsi="Arial" w:cs="Arial"/>
          <w:color w:val="000000"/>
          <w:sz w:val="21"/>
          <w:szCs w:val="21"/>
          <w:lang w:val="es-MX" w:eastAsia="en-GB"/>
        </w:rPr>
      </w:pPr>
      <w:r w:rsidRPr="00AD145B">
        <w:rPr>
          <w:rFonts w:ascii="Arial" w:eastAsia="Calibri" w:hAnsi="Arial" w:cs="Arial"/>
          <w:color w:val="000000"/>
          <w:sz w:val="21"/>
          <w:szCs w:val="21"/>
          <w:lang w:val="es-MX" w:eastAsia="en-GB"/>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3508B0C8" w14:textId="77777777" w:rsidR="00AD145B" w:rsidRPr="00AD145B" w:rsidRDefault="00AD145B" w:rsidP="00AD145B">
      <w:pPr>
        <w:spacing w:after="0" w:line="240" w:lineRule="auto"/>
        <w:ind w:left="708" w:right="709"/>
        <w:jc w:val="both"/>
        <w:rPr>
          <w:rFonts w:ascii="Arial" w:eastAsia="Calibri" w:hAnsi="Arial" w:cs="Arial"/>
          <w:color w:val="000000"/>
          <w:sz w:val="21"/>
          <w:szCs w:val="21"/>
          <w:lang w:val="es-MX" w:eastAsia="en-GB"/>
        </w:rPr>
      </w:pPr>
      <w:r w:rsidRPr="00AD145B">
        <w:rPr>
          <w:rFonts w:ascii="Arial" w:eastAsia="Calibri" w:hAnsi="Arial" w:cs="Arial"/>
          <w:color w:val="000000"/>
          <w:sz w:val="21"/>
          <w:szCs w:val="21"/>
          <w:lang w:val="es-MX" w:eastAsia="en-GB"/>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2972AA5F" w14:textId="77777777" w:rsidR="00AD145B" w:rsidRPr="00AD145B" w:rsidRDefault="00AD145B" w:rsidP="00AD145B">
      <w:pPr>
        <w:spacing w:after="0" w:line="276" w:lineRule="auto"/>
        <w:ind w:right="709"/>
        <w:jc w:val="both"/>
        <w:rPr>
          <w:rFonts w:ascii="Arial" w:eastAsia="Calibri" w:hAnsi="Arial" w:cs="Arial"/>
          <w:color w:val="000000"/>
          <w:sz w:val="24"/>
          <w:szCs w:val="24"/>
          <w:lang w:val="es-MX" w:eastAsia="en-GB"/>
        </w:rPr>
      </w:pPr>
    </w:p>
    <w:p w14:paraId="2EFEBD74" w14:textId="77777777" w:rsidR="00AD145B" w:rsidRPr="00AD145B" w:rsidRDefault="00AD145B" w:rsidP="00AD145B">
      <w:pPr>
        <w:spacing w:after="0" w:line="276" w:lineRule="auto"/>
        <w:ind w:firstLine="709"/>
        <w:jc w:val="both"/>
        <w:rPr>
          <w:rFonts w:ascii="Arial" w:eastAsia="Calibri" w:hAnsi="Arial" w:cs="Arial"/>
          <w:color w:val="000000"/>
          <w:lang w:eastAsia="en-GB"/>
        </w:rPr>
      </w:pPr>
      <w:r w:rsidRPr="00AD145B">
        <w:rPr>
          <w:rFonts w:ascii="Arial" w:eastAsia="Calibri" w:hAnsi="Arial" w:cs="Arial"/>
          <w:color w:val="000000"/>
          <w:lang w:val="es-MX" w:eastAsia="en-GB"/>
        </w:rPr>
        <w:t xml:space="preserve">De acuerdo con </w:t>
      </w:r>
      <w:r w:rsidRPr="00AD145B">
        <w:rPr>
          <w:rFonts w:ascii="Arial" w:eastAsia="Calibri" w:hAnsi="Arial" w:cs="Arial"/>
          <w:color w:val="000000"/>
          <w:lang w:eastAsia="en-GB"/>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7DB6D4CB" w14:textId="77777777" w:rsidR="00AD145B" w:rsidRPr="00AD145B" w:rsidRDefault="00AD145B" w:rsidP="00AD145B">
      <w:pPr>
        <w:spacing w:before="120" w:after="120" w:line="276" w:lineRule="auto"/>
        <w:ind w:firstLine="709"/>
        <w:jc w:val="both"/>
        <w:rPr>
          <w:rFonts w:ascii="Arial" w:eastAsia="Calibri" w:hAnsi="Arial" w:cs="Arial"/>
          <w:color w:val="000000"/>
          <w:lang w:val="es-MX" w:eastAsia="en-GB"/>
        </w:rPr>
      </w:pPr>
      <w:bookmarkStart w:id="7" w:name="_Hlk103608376"/>
      <w:r w:rsidRPr="00AD145B">
        <w:rPr>
          <w:rFonts w:ascii="Arial" w:eastAsia="Calibri" w:hAnsi="Arial" w:cs="Arial"/>
          <w:color w:val="000000"/>
          <w:lang w:val="es-MX" w:eastAsia="en-GB"/>
        </w:rPr>
        <w:t>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iv) Capacidad de Organización y v) los Saldos de los Contratos en Ejecución –SCE–</w:t>
      </w:r>
    </w:p>
    <w:p w14:paraId="6A0E5ECA" w14:textId="77777777" w:rsidR="00AD145B" w:rsidRPr="00AD145B" w:rsidRDefault="00AD145B" w:rsidP="00AD145B">
      <w:pPr>
        <w:spacing w:before="120" w:after="120" w:line="276" w:lineRule="auto"/>
        <w:ind w:firstLine="709"/>
        <w:jc w:val="both"/>
        <w:rPr>
          <w:rFonts w:ascii="Arial" w:eastAsia="Times New Roman" w:hAnsi="Arial" w:cs="Arial"/>
          <w:lang w:val="es-MX" w:eastAsia="en-GB"/>
        </w:rPr>
      </w:pPr>
      <w:r w:rsidRPr="00AD145B">
        <w:rPr>
          <w:rFonts w:ascii="Arial" w:eastAsia="Calibri" w:hAnsi="Arial" w:cs="Arial"/>
          <w:color w:val="000000"/>
          <w:lang w:val="es-MX" w:eastAsia="en-GB"/>
        </w:rPr>
        <w:t xml:space="preserve">De igual manera, </w:t>
      </w:r>
      <w:r w:rsidRPr="00AD145B">
        <w:rPr>
          <w:rFonts w:ascii="Arial" w:eastAsia="Times New Roman" w:hAnsi="Arial" w:cs="Arial"/>
          <w:lang w:val="es-MX" w:eastAsia="en-GB"/>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bookmarkEnd w:id="7"/>
      <w:r w:rsidRPr="00AD145B">
        <w:rPr>
          <w:rFonts w:ascii="Arial" w:eastAsia="Times New Roman" w:hAnsi="Arial" w:cs="Arial"/>
          <w:vertAlign w:val="superscript"/>
          <w:lang w:val="es-MX" w:eastAsia="en-GB"/>
        </w:rPr>
        <w:footnoteReference w:id="4"/>
      </w:r>
      <w:r w:rsidRPr="00AD145B">
        <w:rPr>
          <w:rFonts w:ascii="Arial" w:eastAsia="Times New Roman" w:hAnsi="Arial" w:cs="Arial"/>
          <w:lang w:val="es-MX" w:eastAsia="en-GB"/>
        </w:rPr>
        <w:t xml:space="preserve">. </w:t>
      </w:r>
    </w:p>
    <w:p w14:paraId="44574CB7" w14:textId="77777777" w:rsidR="00AD145B" w:rsidRPr="00AD145B" w:rsidRDefault="00AD145B" w:rsidP="00AD145B">
      <w:pPr>
        <w:spacing w:before="120" w:after="120" w:line="276" w:lineRule="auto"/>
        <w:ind w:firstLine="709"/>
        <w:jc w:val="both"/>
        <w:rPr>
          <w:rFonts w:ascii="Arial" w:eastAsia="Calibri" w:hAnsi="Arial" w:cs="Arial"/>
          <w:bCs/>
          <w:color w:val="000000"/>
          <w:lang w:eastAsia="en-GB"/>
        </w:rPr>
      </w:pPr>
      <w:r w:rsidRPr="00AD145B">
        <w:rPr>
          <w:rFonts w:ascii="Arial" w:eastAsia="Times New Roman" w:hAnsi="Arial" w:cs="Arial"/>
          <w:color w:val="000000"/>
          <w:lang w:val="es-MX" w:eastAsia="en-GB"/>
        </w:rPr>
        <w:lastRenderedPageBreak/>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6426E072" w14:textId="77777777" w:rsidR="00AD145B" w:rsidRPr="00AD145B" w:rsidRDefault="00AD145B" w:rsidP="00AD145B">
      <w:pPr>
        <w:spacing w:after="0" w:line="276" w:lineRule="auto"/>
        <w:ind w:firstLine="709"/>
        <w:jc w:val="both"/>
        <w:rPr>
          <w:rFonts w:ascii="Arial" w:eastAsia="Calibri" w:hAnsi="Arial" w:cs="Arial"/>
          <w:bCs/>
          <w:color w:val="000000"/>
          <w:lang w:eastAsia="en-GB"/>
        </w:rPr>
      </w:pPr>
      <w:r w:rsidRPr="00AD145B">
        <w:rPr>
          <w:rFonts w:ascii="Arial" w:eastAsia="Calibri" w:hAnsi="Arial" w:cs="Arial"/>
          <w:bCs/>
          <w:color w:val="000000"/>
          <w:lang w:eastAsia="en-GB"/>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27D58B2" w14:textId="77777777" w:rsidR="00AD145B" w:rsidRPr="00AD145B" w:rsidRDefault="00AD145B" w:rsidP="00AD145B">
      <w:pPr>
        <w:spacing w:before="120" w:after="0" w:line="276" w:lineRule="auto"/>
        <w:ind w:firstLine="709"/>
        <w:jc w:val="both"/>
        <w:rPr>
          <w:rFonts w:ascii="Arial" w:eastAsia="Calibri" w:hAnsi="Arial" w:cs="Arial"/>
          <w:bCs/>
          <w:color w:val="000000"/>
          <w:lang w:eastAsia="en-GB"/>
        </w:rPr>
      </w:pPr>
      <w:r w:rsidRPr="00AD145B">
        <w:rPr>
          <w:rFonts w:ascii="Arial" w:eastAsia="Calibri" w:hAnsi="Arial" w:cs="Arial"/>
          <w:bCs/>
          <w:color w:val="000000"/>
          <w:lang w:eastAsia="en-GB"/>
        </w:rPr>
        <w:t xml:space="preserve">En cuanto al segundo aspecto, sobre la validación de </w:t>
      </w:r>
      <w:bookmarkStart w:id="8" w:name="_Hlk68683272"/>
      <w:r w:rsidRPr="00AD145B">
        <w:rPr>
          <w:rFonts w:ascii="Arial" w:eastAsia="Calibri" w:hAnsi="Arial" w:cs="Arial"/>
          <w:bCs/>
          <w:color w:val="000000"/>
          <w:lang w:eastAsia="en-GB"/>
        </w:rPr>
        <w:t>que cada proponente cumpla con la CRPC</w:t>
      </w:r>
      <w:bookmarkEnd w:id="8"/>
      <w:r w:rsidRPr="00AD145B">
        <w:rPr>
          <w:rFonts w:ascii="Arial" w:eastAsia="Calibri" w:hAnsi="Arial" w:cs="Arial"/>
          <w:bCs/>
          <w:color w:val="000000"/>
          <w:lang w:eastAsia="en-GB"/>
        </w:rPr>
        <w:t>,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formula:</w:t>
      </w:r>
    </w:p>
    <w:p w14:paraId="5DC071FD" w14:textId="77777777" w:rsidR="00AD145B" w:rsidRPr="00AD145B" w:rsidRDefault="00AD145B" w:rsidP="00AD145B">
      <w:pPr>
        <w:spacing w:after="0" w:line="276" w:lineRule="auto"/>
        <w:ind w:firstLine="709"/>
        <w:jc w:val="both"/>
        <w:rPr>
          <w:rFonts w:ascii="Arial" w:eastAsia="Calibri" w:hAnsi="Arial" w:cs="Arial"/>
          <w:bCs/>
          <w:color w:val="000000"/>
          <w:sz w:val="24"/>
          <w:szCs w:val="24"/>
          <w:lang w:eastAsia="en-GB"/>
        </w:rPr>
      </w:pPr>
      <w:r w:rsidRPr="00AD145B">
        <w:rPr>
          <w:rFonts w:ascii="Arial" w:eastAsia="Calibri" w:hAnsi="Arial" w:cs="Arial"/>
          <w:bCs/>
          <w:noProof/>
          <w:color w:val="000000"/>
          <w:sz w:val="24"/>
          <w:szCs w:val="24"/>
          <w:lang w:eastAsia="en-GB"/>
        </w:rPr>
        <w:drawing>
          <wp:anchor distT="0" distB="0" distL="0" distR="0" simplePos="0" relativeHeight="251661312" behindDoc="0" locked="0" layoutInCell="1" allowOverlap="1" wp14:anchorId="14110260" wp14:editId="6B94CBB4">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8"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3AE1E222" w14:textId="77777777" w:rsidR="00AD145B" w:rsidRPr="00AD145B" w:rsidRDefault="00AD145B" w:rsidP="00AD145B">
      <w:pPr>
        <w:spacing w:after="0" w:line="276" w:lineRule="auto"/>
        <w:jc w:val="both"/>
        <w:rPr>
          <w:rFonts w:ascii="Arial" w:eastAsia="Calibri" w:hAnsi="Arial" w:cs="Arial"/>
          <w:bCs/>
          <w:color w:val="000000"/>
          <w:sz w:val="24"/>
          <w:szCs w:val="24"/>
          <w:lang w:val="es-MX" w:eastAsia="en-GB"/>
        </w:rPr>
      </w:pPr>
    </w:p>
    <w:p w14:paraId="06AD096C" w14:textId="77777777" w:rsidR="00AD145B" w:rsidRPr="00AD145B" w:rsidRDefault="00AD145B" w:rsidP="00AD145B">
      <w:pPr>
        <w:spacing w:after="0" w:line="276" w:lineRule="auto"/>
        <w:ind w:firstLine="709"/>
        <w:jc w:val="both"/>
        <w:rPr>
          <w:rFonts w:ascii="Arial" w:eastAsia="Times New Roman" w:hAnsi="Arial" w:cs="Arial"/>
          <w:i/>
          <w:iCs/>
          <w:lang w:eastAsia="en-GB"/>
        </w:rPr>
      </w:pPr>
      <w:r w:rsidRPr="00AD145B">
        <w:rPr>
          <w:rFonts w:ascii="Arial" w:eastAsia="Calibri" w:hAnsi="Arial" w:cs="Arial"/>
          <w:bCs/>
          <w:color w:val="000000"/>
          <w:lang w:val="es-MX" w:eastAsia="en-GB"/>
        </w:rPr>
        <w:t xml:space="preserve">Particularmente, </w:t>
      </w:r>
      <w:bookmarkStart w:id="9" w:name="_Hlk100139879"/>
      <w:r w:rsidRPr="00AD145B">
        <w:rPr>
          <w:rFonts w:ascii="Arial" w:eastAsia="Calibri" w:hAnsi="Arial" w:cs="Arial"/>
          <w:bCs/>
          <w:color w:val="000000"/>
          <w:lang w:val="es-MX" w:eastAsia="en-GB"/>
        </w:rPr>
        <w:t xml:space="preserve">respecto del factor de saldos de los contratos en ejecución </w:t>
      </w:r>
      <w:r w:rsidRPr="00AD145B">
        <w:rPr>
          <w:rFonts w:ascii="Arial" w:eastAsia="Calibri" w:hAnsi="Arial" w:cs="Arial"/>
          <w:bCs/>
          <w:color w:val="000000"/>
          <w:lang w:eastAsia="en-GB"/>
        </w:rPr>
        <w:t>«SCE»,</w:t>
      </w:r>
      <w:r w:rsidRPr="00AD145B">
        <w:rPr>
          <w:rFonts w:ascii="Arial" w:eastAsia="Times New Roman" w:hAnsi="Arial" w:cs="Arial"/>
          <w:lang w:eastAsia="en-GB"/>
        </w:rPr>
        <w:t xml:space="preserve"> es necesario tener en cuenta que la Guía para Determinar y Verificar la Capacidad Residual del Proponente en los Procesos de Contratación de Obra Pública</w:t>
      </w:r>
      <w:r w:rsidRPr="00AD145B">
        <w:rPr>
          <w:rFonts w:ascii="Arial" w:eastAsia="Times New Roman" w:hAnsi="Arial" w:cs="Arial"/>
          <w:i/>
          <w:iCs/>
          <w:lang w:eastAsia="en-GB"/>
        </w:rPr>
        <w:t xml:space="preserve">, </w:t>
      </w:r>
      <w:r w:rsidRPr="00AD145B">
        <w:rPr>
          <w:rFonts w:ascii="Arial" w:eastAsia="Times New Roman" w:hAnsi="Arial" w:cs="Arial"/>
          <w:lang w:eastAsia="en-GB"/>
        </w:rPr>
        <w:t xml:space="preserve">define a este factor </w:t>
      </w:r>
      <w:r w:rsidRPr="00AD145B">
        <w:rPr>
          <w:rFonts w:ascii="Arial" w:eastAsia="Calibri" w:hAnsi="Arial" w:cs="Arial"/>
          <w:bCs/>
          <w:color w:val="000000"/>
          <w:lang w:eastAsia="en-GB"/>
        </w:rPr>
        <w:t>como «la suma de los montos por ejecutar de los contratos en ejecución durante los 12 meses siguientes»</w:t>
      </w:r>
      <w:bookmarkEnd w:id="9"/>
      <w:r w:rsidRPr="00AD145B">
        <w:rPr>
          <w:rFonts w:ascii="Arial" w:eastAsia="Calibri" w:hAnsi="Arial" w:cs="Arial"/>
          <w:bCs/>
          <w:color w:val="000000"/>
          <w:lang w:eastAsia="en-GB"/>
        </w:rPr>
        <w:t>. Así mismo, define los</w:t>
      </w:r>
      <w:r w:rsidRPr="00AD145B">
        <w:rPr>
          <w:rFonts w:ascii="Arial" w:eastAsia="Times New Roman" w:hAnsi="Arial" w:cs="Arial"/>
          <w:lang w:eastAsia="en-GB"/>
        </w:rPr>
        <w:t xml:space="preserve"> </w:t>
      </w:r>
      <w:bookmarkStart w:id="10" w:name="_Hlk78819022"/>
      <w:r w:rsidRPr="00AD145B">
        <w:rPr>
          <w:rFonts w:ascii="Arial" w:eastAsia="Times New Roman" w:hAnsi="Arial" w:cs="Arial"/>
          <w:i/>
          <w:iCs/>
          <w:lang w:eastAsia="en-GB"/>
        </w:rPr>
        <w:t>Contratos en Ejecución</w:t>
      </w:r>
      <w:r w:rsidRPr="00AD145B">
        <w:rPr>
          <w:rFonts w:ascii="Arial" w:eastAsia="Times New Roman" w:hAnsi="Arial" w:cs="Arial"/>
          <w:lang w:eastAsia="en-GB"/>
        </w:rPr>
        <w:t xml:space="preserve"> </w:t>
      </w:r>
      <w:bookmarkEnd w:id="10"/>
      <w:r w:rsidRPr="00AD145B">
        <w:rPr>
          <w:rFonts w:ascii="Arial" w:eastAsia="Times New Roman" w:hAnsi="Arial" w:cs="Arial"/>
          <w:lang w:eastAsia="en-GB"/>
        </w:rPr>
        <w:t xml:space="preserve">de la siguiente manera: </w:t>
      </w:r>
      <w:r w:rsidRPr="00AD145B">
        <w:rPr>
          <w:rFonts w:ascii="Arial" w:eastAsia="Times New Roman" w:hAnsi="Arial" w:cs="Arial"/>
          <w:i/>
          <w:iCs/>
          <w:lang w:eastAsia="en-GB"/>
        </w:rPr>
        <w:t xml:space="preserve"> </w:t>
      </w:r>
    </w:p>
    <w:p w14:paraId="374F2A42" w14:textId="77777777" w:rsidR="00AD145B" w:rsidRPr="00AD145B" w:rsidRDefault="00AD145B" w:rsidP="00AD145B">
      <w:pPr>
        <w:spacing w:after="0" w:line="276" w:lineRule="auto"/>
        <w:ind w:firstLine="709"/>
        <w:jc w:val="both"/>
        <w:rPr>
          <w:rFonts w:ascii="Arial" w:eastAsia="Times New Roman" w:hAnsi="Arial" w:cs="Arial"/>
          <w:sz w:val="24"/>
          <w:szCs w:val="24"/>
          <w:lang w:eastAsia="en-GB"/>
        </w:rPr>
      </w:pPr>
    </w:p>
    <w:p w14:paraId="7314FE64" w14:textId="77777777" w:rsidR="00AD145B" w:rsidRPr="00AD145B" w:rsidRDefault="00AD145B" w:rsidP="00AD145B">
      <w:pPr>
        <w:spacing w:after="0" w:line="240" w:lineRule="auto"/>
        <w:ind w:left="709" w:right="709"/>
        <w:jc w:val="both"/>
        <w:rPr>
          <w:rFonts w:ascii="Arial" w:eastAsia="Times New Roman" w:hAnsi="Arial" w:cs="Arial"/>
          <w:sz w:val="21"/>
          <w:szCs w:val="21"/>
          <w:lang w:eastAsia="en-GB"/>
        </w:rPr>
      </w:pPr>
      <w:r w:rsidRPr="00AD145B">
        <w:rPr>
          <w:rFonts w:ascii="Arial" w:eastAsia="Times New Roman" w:hAnsi="Arial" w:cs="Arial"/>
          <w:sz w:val="21"/>
          <w:szCs w:val="21"/>
          <w:lang w:eastAsia="en-GB"/>
        </w:rPr>
        <w:lastRenderedPageBreak/>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0770290F" w14:textId="77777777" w:rsidR="00AD145B" w:rsidRPr="00AD145B" w:rsidRDefault="00AD145B" w:rsidP="00AD145B">
      <w:pPr>
        <w:spacing w:after="0" w:line="276" w:lineRule="auto"/>
        <w:ind w:right="709"/>
        <w:jc w:val="both"/>
        <w:rPr>
          <w:rFonts w:ascii="Arial" w:eastAsia="Times New Roman" w:hAnsi="Arial" w:cs="Arial"/>
          <w:sz w:val="24"/>
          <w:szCs w:val="24"/>
          <w:lang w:eastAsia="en-GB"/>
        </w:rPr>
      </w:pPr>
    </w:p>
    <w:p w14:paraId="74E3D91F" w14:textId="77777777" w:rsidR="00AD145B" w:rsidRPr="00AD145B" w:rsidRDefault="00AD145B" w:rsidP="00AD145B">
      <w:pPr>
        <w:spacing w:after="0" w:line="276" w:lineRule="auto"/>
        <w:ind w:firstLine="709"/>
        <w:jc w:val="both"/>
        <w:rPr>
          <w:rFonts w:ascii="Arial" w:eastAsia="Times New Roman" w:hAnsi="Arial" w:cs="Arial"/>
          <w:lang w:val="es-MX" w:eastAsia="en-GB"/>
        </w:rPr>
      </w:pPr>
      <w:bookmarkStart w:id="11" w:name="_Hlk100139912"/>
      <w:bookmarkStart w:id="12" w:name="_Hlk103609030"/>
      <w:r w:rsidRPr="00AD145B">
        <w:rPr>
          <w:rFonts w:ascii="Arial" w:eastAsia="Times New Roman" w:hAnsi="Arial" w:cs="Arial"/>
          <w:lang w:eastAsia="en-GB"/>
        </w:rPr>
        <w:t>En este sentido, los saldos pendientes se derivan de las obligaciones que se encuentran en ejecución al momento de la presentación de la oferta y se refieren a contratos cuyo objeto sea la ejecución de obras civiles</w:t>
      </w:r>
      <w:bookmarkEnd w:id="11"/>
      <w:r w:rsidRPr="00AD145B">
        <w:rPr>
          <w:rFonts w:ascii="Arial" w:eastAsia="Times New Roman" w:hAnsi="Arial" w:cs="Arial"/>
          <w:lang w:eastAsia="en-GB"/>
        </w:rPr>
        <w:t xml:space="preserve">. </w:t>
      </w:r>
      <w:bookmarkStart w:id="13" w:name="_Hlk100139986"/>
      <w:r w:rsidRPr="00AD145B">
        <w:rPr>
          <w:rFonts w:ascii="Arial" w:eastAsia="Times New Roman" w:hAnsi="Arial" w:cs="Arial"/>
          <w:lang w:eastAsia="en-GB"/>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Pr="00AD145B">
        <w:rPr>
          <w:rFonts w:ascii="Arial" w:eastAsia="Calibri" w:hAnsi="Arial" w:cs="Arial"/>
          <w:b/>
          <w:color w:val="000000"/>
          <w:lang w:eastAsia="en-GB"/>
        </w:rPr>
        <w:t>«</w:t>
      </w:r>
      <w:r w:rsidRPr="00AD145B">
        <w:rPr>
          <w:rFonts w:ascii="Arial" w:eastAsia="Calibri" w:hAnsi="Arial" w:cs="Arial"/>
          <w:bCs/>
          <w:color w:val="000000"/>
          <w:lang w:eastAsia="en-GB"/>
        </w:rPr>
        <w:t>CRP</w:t>
      </w:r>
      <w:r w:rsidRPr="00AD145B">
        <w:rPr>
          <w:rFonts w:ascii="Arial" w:eastAsia="Calibri" w:hAnsi="Arial" w:cs="Arial"/>
          <w:b/>
          <w:color w:val="000000"/>
          <w:lang w:eastAsia="en-GB"/>
        </w:rPr>
        <w:t>»</w:t>
      </w:r>
      <w:r w:rsidRPr="00AD145B">
        <w:rPr>
          <w:rFonts w:ascii="Arial" w:eastAsia="Times New Roman" w:hAnsi="Arial" w:cs="Arial"/>
          <w:lang w:eastAsia="en-GB"/>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12"/>
      <w:bookmarkEnd w:id="13"/>
      <w:r w:rsidRPr="00AD145B">
        <w:rPr>
          <w:rFonts w:ascii="Arial" w:eastAsia="Times New Roman" w:hAnsi="Arial" w:cs="Arial"/>
          <w:lang w:eastAsia="en-GB"/>
        </w:rPr>
        <w:t xml:space="preserve">. </w:t>
      </w:r>
      <w:r w:rsidRPr="00AD145B">
        <w:rPr>
          <w:rFonts w:ascii="Arial" w:eastAsia="Times New Roman" w:hAnsi="Arial" w:cs="Arial"/>
          <w:lang w:val="es-MX" w:eastAsia="en-GB"/>
        </w:rPr>
        <w:t>Por lo demás, en dicha guía también se precisa que:</w:t>
      </w:r>
    </w:p>
    <w:p w14:paraId="640D6EB3" w14:textId="77777777" w:rsidR="00AD145B" w:rsidRPr="00AD145B" w:rsidRDefault="00AD145B" w:rsidP="00AD145B">
      <w:pPr>
        <w:spacing w:after="0" w:line="276" w:lineRule="auto"/>
        <w:ind w:firstLine="709"/>
        <w:jc w:val="both"/>
        <w:rPr>
          <w:rFonts w:ascii="Arial" w:eastAsia="Times New Roman" w:hAnsi="Arial" w:cs="Arial"/>
          <w:sz w:val="24"/>
          <w:szCs w:val="20"/>
          <w:lang w:val="es-MX" w:eastAsia="en-GB"/>
        </w:rPr>
      </w:pPr>
    </w:p>
    <w:p w14:paraId="725CAD5B" w14:textId="77777777" w:rsidR="00AD145B" w:rsidRPr="00AD145B" w:rsidRDefault="00AD145B" w:rsidP="00AD145B">
      <w:pPr>
        <w:spacing w:after="0" w:line="240" w:lineRule="auto"/>
        <w:ind w:left="709" w:right="709"/>
        <w:jc w:val="both"/>
        <w:rPr>
          <w:rFonts w:ascii="Arial" w:eastAsia="Times New Roman" w:hAnsi="Arial" w:cs="Arial"/>
          <w:sz w:val="21"/>
          <w:szCs w:val="21"/>
          <w:lang w:eastAsia="en-GB"/>
        </w:rPr>
      </w:pPr>
      <w:bookmarkStart w:id="14" w:name="_Hlk100140013"/>
      <w:r w:rsidRPr="00AD145B">
        <w:rPr>
          <w:rFonts w:ascii="Arial" w:eastAsia="Times New Roman" w:hAnsi="Arial" w:cs="Arial"/>
          <w:sz w:val="21"/>
          <w:szCs w:val="21"/>
          <w:lang w:eastAsia="en-GB"/>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4"/>
      <w:r w:rsidRPr="00AD145B">
        <w:rPr>
          <w:rFonts w:ascii="Arial" w:eastAsia="Times New Roman" w:hAnsi="Arial" w:cs="Arial"/>
          <w:sz w:val="21"/>
          <w:szCs w:val="21"/>
          <w:lang w:eastAsia="en-GB"/>
        </w:rPr>
        <w:t>.</w:t>
      </w:r>
    </w:p>
    <w:p w14:paraId="68735E36" w14:textId="77777777" w:rsidR="00AD145B" w:rsidRPr="00AD145B" w:rsidRDefault="00AD145B" w:rsidP="00AD145B">
      <w:pPr>
        <w:spacing w:after="120" w:line="240" w:lineRule="auto"/>
        <w:ind w:left="709" w:right="709"/>
        <w:jc w:val="both"/>
        <w:rPr>
          <w:rFonts w:ascii="Arial" w:eastAsia="Times New Roman" w:hAnsi="Arial" w:cs="Arial"/>
          <w:sz w:val="21"/>
          <w:szCs w:val="21"/>
          <w:lang w:val="es-MX" w:eastAsia="en-GB"/>
        </w:rPr>
      </w:pPr>
      <w:r w:rsidRPr="00AD145B">
        <w:rPr>
          <w:rFonts w:ascii="Arial" w:eastAsia="Times New Roman" w:hAnsi="Arial" w:cs="Arial"/>
          <w:sz w:val="21"/>
          <w:szCs w:val="21"/>
          <w:lang w:val="es-MX" w:eastAsia="en-GB"/>
        </w:rPr>
        <w:t>[…]</w:t>
      </w:r>
    </w:p>
    <w:p w14:paraId="2CF23C06" w14:textId="77777777" w:rsidR="00AD145B" w:rsidRPr="00AD145B" w:rsidRDefault="00AD145B" w:rsidP="00AD145B">
      <w:pPr>
        <w:spacing w:after="0" w:line="240" w:lineRule="auto"/>
        <w:ind w:left="709" w:right="709"/>
        <w:jc w:val="both"/>
        <w:rPr>
          <w:rFonts w:ascii="Arial" w:eastAsia="Times New Roman" w:hAnsi="Arial" w:cs="Arial"/>
          <w:sz w:val="21"/>
          <w:szCs w:val="21"/>
          <w:lang w:eastAsia="en-GB"/>
        </w:rPr>
      </w:pPr>
      <w:r w:rsidRPr="00AD145B">
        <w:rPr>
          <w:rFonts w:ascii="Arial" w:eastAsia="Times New Roman" w:hAnsi="Arial" w:cs="Arial"/>
          <w:i/>
          <w:iCs/>
          <w:sz w:val="21"/>
          <w:szCs w:val="21"/>
          <w:lang w:eastAsia="en-GB"/>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AD145B">
        <w:rPr>
          <w:rFonts w:ascii="Arial" w:eastAsia="Times New Roman" w:hAnsi="Arial" w:cs="Arial"/>
          <w:sz w:val="21"/>
          <w:szCs w:val="21"/>
          <w:lang w:eastAsia="en-GB"/>
        </w:rPr>
        <w:t>. (Énfasis fuera de texto)</w:t>
      </w:r>
    </w:p>
    <w:p w14:paraId="63F57610" w14:textId="77777777" w:rsidR="00AD145B" w:rsidRPr="00AD145B" w:rsidRDefault="00AD145B" w:rsidP="00AD145B">
      <w:pPr>
        <w:spacing w:after="0" w:line="276" w:lineRule="auto"/>
        <w:ind w:firstLine="709"/>
        <w:jc w:val="both"/>
        <w:rPr>
          <w:rFonts w:ascii="Arial" w:eastAsia="Times New Roman" w:hAnsi="Arial" w:cs="Arial"/>
          <w:sz w:val="24"/>
          <w:szCs w:val="24"/>
          <w:lang w:eastAsia="en-GB"/>
        </w:rPr>
      </w:pPr>
    </w:p>
    <w:p w14:paraId="5ABF3361" w14:textId="77777777" w:rsidR="00AD145B" w:rsidRPr="00AD145B" w:rsidRDefault="00AD145B" w:rsidP="00AD145B">
      <w:pPr>
        <w:spacing w:after="0" w:line="276" w:lineRule="auto"/>
        <w:ind w:firstLine="709"/>
        <w:jc w:val="both"/>
        <w:rPr>
          <w:rFonts w:ascii="Arial" w:eastAsia="Times New Roman" w:hAnsi="Arial" w:cs="Arial"/>
          <w:lang w:eastAsia="en-GB"/>
        </w:rPr>
      </w:pPr>
      <w:r w:rsidRPr="00AD145B">
        <w:rPr>
          <w:rFonts w:ascii="Arial" w:eastAsia="Times New Roman" w:hAnsi="Arial" w:cs="Arial"/>
          <w:lang w:eastAsia="en-GB"/>
        </w:rPr>
        <w:t xml:space="preserve">De este modo, para acreditar el factor </w:t>
      </w:r>
      <w:r w:rsidRPr="00AD145B">
        <w:rPr>
          <w:rFonts w:ascii="Arial" w:eastAsia="Calibri" w:hAnsi="Arial" w:cs="Arial"/>
          <w:bCs/>
          <w:color w:val="000000"/>
          <w:lang w:val="es-MX" w:eastAsia="en-GB"/>
        </w:rPr>
        <w:t xml:space="preserve">saldos de los contratos en ejecución </w:t>
      </w:r>
      <w:r w:rsidRPr="00AD145B">
        <w:rPr>
          <w:rFonts w:ascii="Arial" w:eastAsia="Calibri" w:hAnsi="Arial" w:cs="Arial"/>
          <w:bCs/>
          <w:color w:val="000000"/>
          <w:lang w:eastAsia="en-GB"/>
        </w:rPr>
        <w:t>«SCE»,</w:t>
      </w:r>
      <w:r w:rsidRPr="00AD145B">
        <w:rPr>
          <w:rFonts w:ascii="Arial" w:eastAsia="Times New Roman" w:hAnsi="Arial" w:cs="Arial"/>
          <w:lang w:eastAsia="en-GB"/>
        </w:rPr>
        <w:t xml:space="preserve">  como lo establece la Guía, el proponente debe presentar la lista de contratos de obras civiles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w:t>
      </w:r>
      <w:r w:rsidRPr="00AD145B">
        <w:rPr>
          <w:rFonts w:ascii="Arial" w:eastAsia="Times New Roman" w:hAnsi="Arial" w:cs="Arial"/>
          <w:lang w:eastAsia="en-GB"/>
        </w:rPr>
        <w:lastRenderedPageBreak/>
        <w:t xml:space="preserve">el proponente no tiene contratos en ejecución, en el certificado debe constar expresamente esa circunstancia. En concordancia con lo anterior, sobre la acreditación del factor </w:t>
      </w:r>
      <w:r w:rsidRPr="00AD145B">
        <w:rPr>
          <w:rFonts w:ascii="Arial" w:eastAsia="Calibri" w:hAnsi="Arial" w:cs="Arial"/>
          <w:bCs/>
          <w:color w:val="000000"/>
          <w:lang w:eastAsia="en-GB"/>
        </w:rPr>
        <w:t xml:space="preserve">«SCE» </w:t>
      </w:r>
      <w:r w:rsidRPr="00AD145B">
        <w:rPr>
          <w:rFonts w:ascii="Arial" w:eastAsia="Times New Roman" w:hAnsi="Arial" w:cs="Arial"/>
          <w:lang w:eastAsia="en-GB"/>
        </w:rPr>
        <w:t xml:space="preserve">en los documentos tipo de licitación de obra pública para infraestructura de transporte, </w:t>
      </w:r>
      <w:bookmarkStart w:id="15" w:name="_Hlk100140108"/>
      <w:r w:rsidRPr="00AD145B">
        <w:rPr>
          <w:rFonts w:ascii="Arial" w:eastAsia="Times New Roman" w:hAnsi="Arial" w:cs="Arial"/>
          <w:lang w:eastAsia="en-GB"/>
        </w:rPr>
        <w:t>el literal E del numeral 3.10.2 del documento base</w:t>
      </w:r>
      <w:bookmarkEnd w:id="15"/>
      <w:r w:rsidRPr="00AD145B">
        <w:rPr>
          <w:rFonts w:ascii="Arial" w:eastAsia="Times New Roman" w:hAnsi="Arial" w:cs="Arial"/>
          <w:lang w:eastAsia="en-GB"/>
        </w:rPr>
        <w:t xml:space="preserve"> señala lo siguiente:</w:t>
      </w:r>
    </w:p>
    <w:p w14:paraId="7422FBD5" w14:textId="77777777" w:rsidR="00AD145B" w:rsidRPr="00AD145B" w:rsidRDefault="00AD145B" w:rsidP="00AD145B">
      <w:pPr>
        <w:spacing w:after="0" w:line="276" w:lineRule="auto"/>
        <w:ind w:firstLine="709"/>
        <w:jc w:val="both"/>
        <w:rPr>
          <w:rFonts w:ascii="Arial" w:eastAsia="Times New Roman" w:hAnsi="Arial" w:cs="Arial"/>
          <w:sz w:val="24"/>
          <w:szCs w:val="24"/>
          <w:lang w:eastAsia="en-GB"/>
        </w:rPr>
      </w:pPr>
    </w:p>
    <w:p w14:paraId="7D241449" w14:textId="77777777" w:rsidR="00AD145B" w:rsidRPr="00AD145B" w:rsidRDefault="00AD145B" w:rsidP="00AD145B">
      <w:pPr>
        <w:spacing w:after="0" w:line="240" w:lineRule="auto"/>
        <w:ind w:left="709" w:right="709"/>
        <w:jc w:val="both"/>
        <w:rPr>
          <w:rFonts w:ascii="Arial" w:eastAsia="Arial," w:hAnsi="Arial" w:cs="Arial"/>
          <w:sz w:val="21"/>
          <w:szCs w:val="21"/>
          <w:lang w:eastAsia="en-GB"/>
        </w:rPr>
      </w:pPr>
      <w:r w:rsidRPr="00AD145B">
        <w:rPr>
          <w:rFonts w:ascii="Arial" w:eastAsia="Times New Roman" w:hAnsi="Arial" w:cs="Arial"/>
          <w:sz w:val="21"/>
          <w:szCs w:val="21"/>
          <w:lang w:eastAsia="en-GB"/>
        </w:rPr>
        <w:t>Para</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acreditar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factor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(SCE)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Proponente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tendrá</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en</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cuenta</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lo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siguiente:</w:t>
      </w:r>
      <w:r w:rsidRPr="00AD145B">
        <w:rPr>
          <w:rFonts w:ascii="Arial" w:eastAsia="Arial," w:hAnsi="Arial" w:cs="Arial"/>
          <w:sz w:val="21"/>
          <w:szCs w:val="21"/>
          <w:lang w:eastAsia="en-GB"/>
        </w:rPr>
        <w:t xml:space="preserve"> </w:t>
      </w:r>
    </w:p>
    <w:p w14:paraId="6C2B22BD" w14:textId="77777777" w:rsidR="00AD145B" w:rsidRPr="00AD145B" w:rsidRDefault="00AD145B" w:rsidP="00AD145B">
      <w:pPr>
        <w:spacing w:after="0" w:line="240" w:lineRule="auto"/>
        <w:ind w:right="709" w:firstLine="709"/>
        <w:jc w:val="both"/>
        <w:rPr>
          <w:rFonts w:ascii="Arial" w:eastAsia="Arial," w:hAnsi="Arial" w:cs="Arial"/>
          <w:sz w:val="21"/>
          <w:szCs w:val="21"/>
          <w:lang w:eastAsia="en-GB"/>
        </w:rPr>
      </w:pPr>
      <w:r w:rsidRPr="00AD145B">
        <w:rPr>
          <w:rFonts w:ascii="Arial" w:eastAsia="Arial," w:hAnsi="Arial" w:cs="Arial"/>
          <w:sz w:val="21"/>
          <w:szCs w:val="21"/>
          <w:lang w:eastAsia="en-GB"/>
        </w:rPr>
        <w:t>[…]</w:t>
      </w:r>
    </w:p>
    <w:p w14:paraId="4DE08DFE" w14:textId="77777777" w:rsidR="00AD145B" w:rsidRPr="00AD145B" w:rsidRDefault="00AD145B" w:rsidP="00AD145B">
      <w:pPr>
        <w:spacing w:after="0" w:line="240" w:lineRule="auto"/>
        <w:ind w:right="709" w:firstLine="709"/>
        <w:jc w:val="both"/>
        <w:rPr>
          <w:rFonts w:ascii="Arial" w:eastAsia="Arial," w:hAnsi="Arial" w:cs="Arial"/>
          <w:sz w:val="21"/>
          <w:szCs w:val="21"/>
          <w:lang w:eastAsia="en-GB"/>
        </w:rPr>
      </w:pPr>
    </w:p>
    <w:p w14:paraId="3AB42151" w14:textId="77777777" w:rsidR="00AD145B" w:rsidRPr="00AD145B" w:rsidRDefault="00AD145B" w:rsidP="00AD145B">
      <w:pPr>
        <w:spacing w:after="0" w:line="240" w:lineRule="auto"/>
        <w:ind w:left="1134" w:right="709" w:hanging="425"/>
        <w:jc w:val="both"/>
        <w:rPr>
          <w:rFonts w:ascii="Arial" w:eastAsia="Arial" w:hAnsi="Arial" w:cs="Arial"/>
          <w:sz w:val="21"/>
          <w:szCs w:val="21"/>
          <w:lang w:val="es-MX" w:eastAsia="en-GB"/>
        </w:rPr>
      </w:pPr>
      <w:r w:rsidRPr="00AD145B">
        <w:rPr>
          <w:rFonts w:ascii="Arial" w:eastAsia="Arial" w:hAnsi="Arial" w:cs="Arial"/>
          <w:sz w:val="21"/>
          <w:szCs w:val="21"/>
          <w:lang w:val="es-MX" w:eastAsia="en-GB"/>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2B6EE450" w14:textId="77777777" w:rsidR="00AD145B" w:rsidRPr="00AD145B" w:rsidRDefault="00AD145B" w:rsidP="00AD145B">
      <w:pPr>
        <w:spacing w:after="0" w:line="240" w:lineRule="auto"/>
        <w:ind w:left="1134" w:right="709" w:hanging="425"/>
        <w:jc w:val="both"/>
        <w:rPr>
          <w:rFonts w:ascii="Arial" w:eastAsia="Arial" w:hAnsi="Arial" w:cs="Arial"/>
          <w:sz w:val="21"/>
          <w:szCs w:val="21"/>
          <w:lang w:val="es-MX" w:eastAsia="en-GB"/>
        </w:rPr>
      </w:pPr>
      <w:r w:rsidRPr="00AD145B">
        <w:rPr>
          <w:rFonts w:ascii="Arial" w:eastAsia="Arial" w:hAnsi="Arial" w:cs="Arial"/>
          <w:sz w:val="21"/>
          <w:szCs w:val="21"/>
          <w:lang w:val="es-MX" w:eastAsia="en-GB"/>
        </w:rPr>
        <w:t>III.  Se tendrán en cuenta los contratos de obras civiles en ejecución suscritos por el proponente o por sociedades, consorcios o uniones temporales en los cuales el proponente tenga participación</w:t>
      </w:r>
    </w:p>
    <w:p w14:paraId="58399A44" w14:textId="77777777" w:rsidR="00AD145B" w:rsidRPr="00AD145B" w:rsidRDefault="00AD145B" w:rsidP="00AD145B">
      <w:pPr>
        <w:spacing w:after="0" w:line="240" w:lineRule="auto"/>
        <w:ind w:left="1134" w:right="709" w:hanging="425"/>
        <w:jc w:val="both"/>
        <w:rPr>
          <w:rFonts w:ascii="Arial" w:eastAsia="Arial" w:hAnsi="Arial" w:cs="Arial"/>
          <w:i/>
          <w:iCs/>
          <w:sz w:val="21"/>
          <w:szCs w:val="21"/>
          <w:lang w:val="es-MX" w:eastAsia="en-GB"/>
        </w:rPr>
      </w:pPr>
      <w:r w:rsidRPr="00AD145B">
        <w:rPr>
          <w:rFonts w:ascii="Arial" w:eastAsia="Arial" w:hAnsi="Arial" w:cs="Arial"/>
          <w:sz w:val="21"/>
          <w:szCs w:val="21"/>
          <w:lang w:val="es-MX" w:eastAsia="en-GB"/>
        </w:rPr>
        <w:t xml:space="preserve">IV.  </w:t>
      </w:r>
      <w:bookmarkStart w:id="16" w:name="_Hlk100140218"/>
      <w:r w:rsidRPr="00AD145B">
        <w:rPr>
          <w:rFonts w:ascii="Arial" w:eastAsia="Arial" w:hAnsi="Arial" w:cs="Arial"/>
          <w:sz w:val="21"/>
          <w:szCs w:val="21"/>
          <w:lang w:val="es-MX" w:eastAsia="en-GB"/>
        </w:rPr>
        <w:t>Si</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un</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contrato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se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encuentra</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suspendido,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el</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cálculo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del</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(SCE)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de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dicho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contrato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debe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efectuarse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asumiendo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que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lo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que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falta</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por</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ejecutar</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iniciara</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en</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la</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fecha de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presentación</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de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la</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oferta</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del</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Proceso de Contratación.</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Si</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el</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contrato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está</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suspendido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el</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Proponente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debe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informar</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el</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saldo</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pendiente</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por</w:t>
      </w:r>
      <w:r w:rsidRPr="00AD145B">
        <w:rPr>
          <w:rFonts w:ascii="Arial" w:eastAsia="Arial," w:hAnsi="Arial" w:cs="Arial"/>
          <w:sz w:val="21"/>
          <w:szCs w:val="21"/>
          <w:lang w:val="es-MX" w:eastAsia="en-GB"/>
        </w:rPr>
        <w:t xml:space="preserve"> </w:t>
      </w:r>
      <w:r w:rsidRPr="00AD145B">
        <w:rPr>
          <w:rFonts w:ascii="Arial" w:eastAsia="Arial" w:hAnsi="Arial" w:cs="Arial"/>
          <w:sz w:val="21"/>
          <w:szCs w:val="21"/>
          <w:lang w:val="es-MX" w:eastAsia="en-GB"/>
        </w:rPr>
        <w:t>ejecutar</w:t>
      </w:r>
      <w:bookmarkEnd w:id="16"/>
      <w:r w:rsidRPr="00AD145B">
        <w:rPr>
          <w:rFonts w:ascii="Arial" w:eastAsia="Arial" w:hAnsi="Arial" w:cs="Arial"/>
          <w:sz w:val="21"/>
          <w:szCs w:val="21"/>
          <w:lang w:val="es-MX" w:eastAsia="en-GB"/>
        </w:rPr>
        <w:t>.</w:t>
      </w:r>
      <w:r w:rsidRPr="00AD145B">
        <w:rPr>
          <w:rFonts w:ascii="Arial" w:eastAsia="Arial" w:hAnsi="Arial" w:cs="Arial"/>
          <w:i/>
          <w:iCs/>
          <w:sz w:val="21"/>
          <w:szCs w:val="21"/>
          <w:lang w:val="es-MX" w:eastAsia="en-GB"/>
        </w:rPr>
        <w:t xml:space="preserve"> </w:t>
      </w:r>
    </w:p>
    <w:p w14:paraId="34E00E4D" w14:textId="77777777" w:rsidR="00AD145B" w:rsidRPr="00AD145B" w:rsidRDefault="00AD145B" w:rsidP="00AD145B">
      <w:pPr>
        <w:spacing w:after="0" w:line="240" w:lineRule="auto"/>
        <w:ind w:left="1134" w:right="709" w:hanging="425"/>
        <w:jc w:val="both"/>
        <w:rPr>
          <w:rFonts w:ascii="Arial" w:eastAsia="Arial" w:hAnsi="Arial" w:cs="Arial"/>
          <w:sz w:val="21"/>
          <w:szCs w:val="21"/>
          <w:lang w:val="es-MX" w:eastAsia="en-GB"/>
        </w:rPr>
      </w:pPr>
      <w:r w:rsidRPr="00AD145B">
        <w:rPr>
          <w:rFonts w:ascii="Arial" w:eastAsia="Arial" w:hAnsi="Arial" w:cs="Arial"/>
          <w:sz w:val="21"/>
          <w:szCs w:val="21"/>
          <w:lang w:val="es-MX" w:eastAsia="en-GB"/>
        </w:rPr>
        <w:t xml:space="preserve">V.  </w:t>
      </w:r>
      <w:bookmarkStart w:id="17" w:name="_Hlk100140164"/>
      <w:r w:rsidRPr="00AD145B">
        <w:rPr>
          <w:rFonts w:ascii="Arial" w:eastAsia="Times New Roman" w:hAnsi="Arial" w:cs="Arial"/>
          <w:sz w:val="21"/>
          <w:szCs w:val="21"/>
          <w:lang w:eastAsia="en-GB"/>
        </w:rPr>
        <w:t>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cálculo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factor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(SCE)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debe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hacerse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linealmente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calculando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una</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ejecución</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diaria</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equivalente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al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valor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contrato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dividido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por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plazo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contrato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expresado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en</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días.</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Este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resultado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se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multiplica</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por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número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días</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pendientes</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para</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cumplir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plazo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contrato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y</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si</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contrato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es</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ejecutado</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por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una estructura plural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por</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la</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participación</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del</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Proponente</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en</w:t>
      </w:r>
      <w:r w:rsidRPr="00AD145B">
        <w:rPr>
          <w:rFonts w:ascii="Arial" w:eastAsia="Arial" w:hAnsi="Arial" w:cs="Arial"/>
          <w:sz w:val="21"/>
          <w:szCs w:val="21"/>
          <w:lang w:eastAsia="en-GB"/>
        </w:rPr>
        <w:t xml:space="preserve"> </w:t>
      </w:r>
      <w:r w:rsidRPr="00AD145B">
        <w:rPr>
          <w:rFonts w:ascii="Arial" w:eastAsia="Times New Roman" w:hAnsi="Arial" w:cs="Arial"/>
          <w:sz w:val="21"/>
          <w:szCs w:val="21"/>
          <w:lang w:eastAsia="en-GB"/>
        </w:rPr>
        <w:t>la respectiva estructura</w:t>
      </w:r>
      <w:bookmarkEnd w:id="17"/>
      <w:r w:rsidRPr="00AD145B">
        <w:rPr>
          <w:rFonts w:ascii="Arial" w:eastAsia="Times New Roman" w:hAnsi="Arial" w:cs="Arial"/>
          <w:sz w:val="21"/>
          <w:szCs w:val="21"/>
          <w:lang w:eastAsia="en-GB"/>
        </w:rPr>
        <w:t xml:space="preserve">. </w:t>
      </w:r>
    </w:p>
    <w:p w14:paraId="12917385" w14:textId="77777777" w:rsidR="00AD145B" w:rsidRPr="00AD145B" w:rsidRDefault="00AD145B" w:rsidP="00AD145B">
      <w:pPr>
        <w:spacing w:after="0" w:line="276" w:lineRule="auto"/>
        <w:contextualSpacing/>
        <w:jc w:val="both"/>
        <w:rPr>
          <w:rFonts w:ascii="Arial" w:eastAsia="Arial," w:hAnsi="Arial" w:cs="Arial"/>
          <w:sz w:val="24"/>
          <w:szCs w:val="24"/>
          <w:lang w:val="es-MX" w:eastAsia="en-GB"/>
        </w:rPr>
      </w:pPr>
    </w:p>
    <w:p w14:paraId="71097D18" w14:textId="77777777" w:rsidR="00AD145B" w:rsidRPr="00AD145B" w:rsidRDefault="00AD145B" w:rsidP="00AD145B">
      <w:pPr>
        <w:spacing w:after="0" w:line="276" w:lineRule="auto"/>
        <w:ind w:firstLine="708"/>
        <w:jc w:val="both"/>
        <w:rPr>
          <w:rFonts w:ascii="Arial" w:eastAsia="Times New Roman" w:hAnsi="Arial" w:cs="Arial"/>
          <w:lang w:eastAsia="en-GB"/>
        </w:rPr>
      </w:pPr>
      <w:r w:rsidRPr="00AD145B">
        <w:rPr>
          <w:rFonts w:ascii="Arial" w:eastAsia="Arial," w:hAnsi="Arial" w:cs="Arial"/>
          <w:lang w:eastAsia="en-GB"/>
        </w:rPr>
        <w:t xml:space="preserve">Como se aprecia, los apartados transcritos del documento base están en armonía con lo dispuesto en la </w:t>
      </w:r>
      <w:r w:rsidRPr="00AD145B">
        <w:rPr>
          <w:rFonts w:ascii="Arial" w:eastAsia="Times New Roman" w:hAnsi="Arial" w:cs="Arial"/>
          <w:lang w:eastAsia="en-GB"/>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AD145B">
        <w:rPr>
          <w:rFonts w:ascii="Arial" w:eastAsia="Calibri" w:hAnsi="Arial" w:cs="Arial"/>
          <w:color w:val="000000"/>
          <w:lang w:val="es-MX" w:eastAsia="en-GB"/>
        </w:rPr>
        <w:t xml:space="preserve">el artículo 2.2.1.1.1.6.4 del Decreto 1082 de 2015, en virtud del cual, para efectos de </w:t>
      </w:r>
      <w:r w:rsidRPr="00AD145B">
        <w:rPr>
          <w:rFonts w:ascii="Arial" w:eastAsia="Times New Roman" w:hAnsi="Arial" w:cs="Arial"/>
          <w:lang w:val="es-MX" w:eastAsia="en-GB"/>
        </w:rPr>
        <w:t xml:space="preserve">acreditar la capacidad residual del proponente, se requiere el listado de contratos de obra civiles en ejecución suscritos con entidades estatales y con entidades privadas. </w:t>
      </w:r>
    </w:p>
    <w:bookmarkEnd w:id="6"/>
    <w:p w14:paraId="6335CFCA" w14:textId="77777777" w:rsidR="007E7590" w:rsidRDefault="007E7590" w:rsidP="00D16D1D">
      <w:pPr>
        <w:tabs>
          <w:tab w:val="left" w:pos="426"/>
        </w:tabs>
        <w:spacing w:after="0" w:line="276" w:lineRule="auto"/>
        <w:jc w:val="both"/>
        <w:rPr>
          <w:rFonts w:ascii="Arial" w:eastAsia="Calibri" w:hAnsi="Arial" w:cs="Arial"/>
          <w:b/>
          <w:bCs/>
          <w:color w:val="000000"/>
          <w:szCs w:val="24"/>
          <w:lang w:eastAsia="en-GB"/>
        </w:rPr>
      </w:pPr>
    </w:p>
    <w:p w14:paraId="563638C1" w14:textId="27FEACF0" w:rsidR="00F3565B" w:rsidRPr="00F3565B" w:rsidRDefault="00F3565B" w:rsidP="00F3565B">
      <w:pPr>
        <w:tabs>
          <w:tab w:val="left" w:pos="426"/>
        </w:tabs>
        <w:spacing w:after="0" w:line="276" w:lineRule="auto"/>
        <w:jc w:val="both"/>
        <w:rPr>
          <w:rFonts w:ascii="Arial" w:eastAsia="Calibri" w:hAnsi="Arial" w:cs="Arial"/>
          <w:b/>
          <w:bCs/>
          <w:szCs w:val="20"/>
          <w:lang w:val="es-MX"/>
        </w:rPr>
      </w:pPr>
      <w:r w:rsidRPr="00F3565B">
        <w:rPr>
          <w:rFonts w:ascii="Arial" w:eastAsia="Calibri" w:hAnsi="Arial" w:cs="Arial"/>
          <w:b/>
          <w:bCs/>
          <w:color w:val="000000"/>
          <w:szCs w:val="24"/>
          <w:lang w:eastAsia="en-GB"/>
        </w:rPr>
        <w:t>2.</w:t>
      </w:r>
      <w:r w:rsidR="00AD145B">
        <w:rPr>
          <w:rFonts w:ascii="Arial" w:eastAsia="Calibri" w:hAnsi="Arial" w:cs="Arial"/>
          <w:b/>
          <w:bCs/>
          <w:color w:val="000000"/>
          <w:szCs w:val="24"/>
          <w:lang w:eastAsia="en-GB"/>
        </w:rPr>
        <w:t>2</w:t>
      </w:r>
      <w:r w:rsidRPr="00F3565B">
        <w:rPr>
          <w:rFonts w:ascii="Arial" w:eastAsia="Calibri" w:hAnsi="Arial" w:cs="Arial"/>
          <w:b/>
          <w:bCs/>
          <w:color w:val="000000"/>
          <w:szCs w:val="24"/>
          <w:lang w:eastAsia="en-GB"/>
        </w:rPr>
        <w:t xml:space="preserve">. Capacidad residual </w:t>
      </w:r>
      <w:r w:rsidRPr="00F3565B">
        <w:rPr>
          <w:rFonts w:ascii="Arial" w:eastAsia="Calibri" w:hAnsi="Arial" w:cs="Arial"/>
          <w:b/>
          <w:bCs/>
          <w:szCs w:val="20"/>
          <w:lang w:val="es-MX"/>
        </w:rPr>
        <w:t>y rechazo de la oferta</w:t>
      </w:r>
      <w:r w:rsidRPr="00F3565B">
        <w:rPr>
          <w:rFonts w:ascii="Arial" w:eastAsia="Calibri" w:hAnsi="Arial" w:cs="Arial"/>
          <w:b/>
          <w:bCs/>
          <w:color w:val="000000"/>
          <w:szCs w:val="24"/>
          <w:lang w:eastAsia="en-GB"/>
        </w:rPr>
        <w:t xml:space="preserve"> en los documentos tipo d</w:t>
      </w:r>
      <w:r w:rsidRPr="00F3565B">
        <w:rPr>
          <w:rFonts w:ascii="Arial" w:eastAsia="Calibri" w:hAnsi="Arial" w:cs="Arial"/>
          <w:b/>
          <w:bCs/>
          <w:szCs w:val="20"/>
          <w:lang w:val="es-MX"/>
        </w:rPr>
        <w:t xml:space="preserve">e obra para procesos de licitación pública de infraestructura de transporte </w:t>
      </w:r>
    </w:p>
    <w:p w14:paraId="2B0DD2C2" w14:textId="77777777" w:rsidR="004643ED" w:rsidRDefault="004643ED" w:rsidP="00F3565B">
      <w:pPr>
        <w:tabs>
          <w:tab w:val="left" w:pos="426"/>
        </w:tabs>
        <w:spacing w:after="0" w:line="276" w:lineRule="auto"/>
        <w:jc w:val="both"/>
        <w:rPr>
          <w:rFonts w:ascii="Arial" w:eastAsia="Calibri" w:hAnsi="Arial" w:cs="Arial"/>
          <w:szCs w:val="20"/>
          <w:lang w:val="es-MX"/>
        </w:rPr>
      </w:pPr>
    </w:p>
    <w:p w14:paraId="2E5D561B" w14:textId="0F77E204" w:rsidR="00F3565B" w:rsidRPr="00F3565B" w:rsidRDefault="004643ED" w:rsidP="00F3565B">
      <w:pPr>
        <w:tabs>
          <w:tab w:val="left" w:pos="426"/>
        </w:tabs>
        <w:spacing w:after="0" w:line="276" w:lineRule="auto"/>
        <w:jc w:val="both"/>
        <w:rPr>
          <w:rFonts w:ascii="Arial" w:eastAsia="Calibri" w:hAnsi="Arial" w:cs="Arial"/>
          <w:b/>
          <w:bCs/>
          <w:color w:val="000000"/>
          <w:szCs w:val="24"/>
          <w:lang w:eastAsia="en-GB"/>
        </w:rPr>
      </w:pPr>
      <w:r>
        <w:rPr>
          <w:rFonts w:ascii="Arial" w:eastAsia="Calibri" w:hAnsi="Arial" w:cs="Arial"/>
          <w:szCs w:val="20"/>
          <w:lang w:val="es-MX"/>
        </w:rPr>
        <w:t>E</w:t>
      </w:r>
      <w:r w:rsidR="00F3565B" w:rsidRPr="00F3565B">
        <w:rPr>
          <w:rFonts w:ascii="Arial" w:eastAsia="Calibri" w:hAnsi="Arial" w:cs="Arial"/>
          <w:szCs w:val="20"/>
          <w:lang w:val="es-MX"/>
        </w:rPr>
        <w:t>l numeral 3.10 del documento base de obra de infraestructura de transporte para procesos de licitación pública – Versión 3</w:t>
      </w:r>
      <w:r w:rsidR="009F694E">
        <w:rPr>
          <w:rFonts w:ascii="Arial" w:eastAsia="Calibri" w:hAnsi="Arial" w:cs="Arial"/>
          <w:szCs w:val="20"/>
          <w:lang w:val="es-MX"/>
        </w:rPr>
        <w:t>–</w:t>
      </w:r>
      <w:r w:rsidR="00F3565B" w:rsidRPr="00F3565B">
        <w:rPr>
          <w:rFonts w:ascii="Arial" w:eastAsia="Calibri" w:hAnsi="Arial" w:cs="Arial"/>
          <w:szCs w:val="20"/>
          <w:lang w:val="es-MX"/>
        </w:rPr>
        <w:t xml:space="preserve">, establece </w:t>
      </w:r>
      <w:r w:rsidR="00F3565B" w:rsidRPr="00F3565B">
        <w:rPr>
          <w:rFonts w:ascii="Arial" w:eastAsia="Times New Roman" w:hAnsi="Arial" w:cs="Arial"/>
          <w:szCs w:val="20"/>
          <w:lang w:eastAsia="es-ES_tradnl"/>
        </w:rPr>
        <w:t xml:space="preserve">como requisito habilitante la capacidad residual. </w:t>
      </w:r>
      <w:r w:rsidR="00F3565B" w:rsidRPr="00F3565B">
        <w:rPr>
          <w:rFonts w:ascii="Arial" w:eastAsia="Times New Roman" w:hAnsi="Arial" w:cs="Arial"/>
          <w:szCs w:val="20"/>
          <w:lang w:eastAsia="es-ES_tradnl"/>
        </w:rPr>
        <w:lastRenderedPageBreak/>
        <w:t xml:space="preserve">En este documento tipo, </w:t>
      </w:r>
      <w:r w:rsidR="00F3565B" w:rsidRPr="00F3565B">
        <w:rPr>
          <w:rFonts w:ascii="Arial" w:eastAsia="Calibri" w:hAnsi="Arial" w:cs="Arial"/>
          <w:szCs w:val="20"/>
          <w:lang w:val="es-MX"/>
        </w:rPr>
        <w:t>al menos tres causales de rechazo del numeral 1.15 se relacionan con la capacidad residual como requisito habilitante, esto es, los literales E, H y Z. Estas causales disponen lo siguiente:</w:t>
      </w:r>
    </w:p>
    <w:p w14:paraId="4DBD0BAC" w14:textId="77777777" w:rsidR="00F3565B" w:rsidRPr="00F3565B" w:rsidRDefault="00F3565B" w:rsidP="00F3565B">
      <w:pPr>
        <w:spacing w:after="0" w:line="240" w:lineRule="auto"/>
        <w:ind w:left="709" w:right="709"/>
        <w:jc w:val="both"/>
        <w:rPr>
          <w:rFonts w:ascii="Arial" w:eastAsia="Calibri" w:hAnsi="Arial" w:cs="Arial"/>
          <w:b/>
          <w:bCs/>
          <w:sz w:val="21"/>
          <w:szCs w:val="21"/>
        </w:rPr>
      </w:pPr>
    </w:p>
    <w:p w14:paraId="6875925C" w14:textId="5F24EF69" w:rsidR="00F3565B" w:rsidRDefault="00F3565B" w:rsidP="00F3565B">
      <w:pPr>
        <w:spacing w:after="0" w:line="240" w:lineRule="auto"/>
        <w:ind w:left="709" w:right="709"/>
        <w:jc w:val="both"/>
        <w:rPr>
          <w:rFonts w:ascii="Arial" w:eastAsia="Calibri" w:hAnsi="Arial" w:cs="Arial"/>
          <w:b/>
          <w:bCs/>
          <w:sz w:val="21"/>
          <w:szCs w:val="21"/>
          <w:lang w:val="es-MX"/>
        </w:rPr>
      </w:pPr>
      <w:r w:rsidRPr="00F3565B">
        <w:rPr>
          <w:rFonts w:ascii="Arial" w:eastAsia="Calibri" w:hAnsi="Arial" w:cs="Arial"/>
          <w:b/>
          <w:bCs/>
          <w:sz w:val="21"/>
          <w:szCs w:val="21"/>
          <w:lang w:val="es-MX"/>
        </w:rPr>
        <w:t>1.15.</w:t>
      </w:r>
      <w:r w:rsidRPr="00F3565B">
        <w:rPr>
          <w:rFonts w:ascii="Arial" w:eastAsia="Calibri" w:hAnsi="Arial" w:cs="Arial"/>
          <w:b/>
          <w:bCs/>
          <w:sz w:val="21"/>
          <w:szCs w:val="21"/>
          <w:lang w:val="es-MX"/>
        </w:rPr>
        <w:tab/>
        <w:t xml:space="preserve">CAUSALES DE RECHAZO </w:t>
      </w:r>
    </w:p>
    <w:p w14:paraId="27018755" w14:textId="77777777" w:rsidR="0025358B" w:rsidRPr="00F3565B" w:rsidRDefault="0025358B" w:rsidP="00F3565B">
      <w:pPr>
        <w:spacing w:after="0" w:line="240" w:lineRule="auto"/>
        <w:ind w:left="709" w:right="709"/>
        <w:jc w:val="both"/>
        <w:rPr>
          <w:rFonts w:ascii="Arial" w:eastAsia="Calibri" w:hAnsi="Arial" w:cs="Arial"/>
          <w:b/>
          <w:bCs/>
          <w:sz w:val="21"/>
          <w:szCs w:val="21"/>
          <w:lang w:val="es-MX"/>
        </w:rPr>
      </w:pPr>
    </w:p>
    <w:p w14:paraId="017CBB34" w14:textId="02C66545" w:rsidR="00F3565B" w:rsidRPr="00F3565B" w:rsidRDefault="00F3565B" w:rsidP="00F3565B">
      <w:pPr>
        <w:spacing w:after="0" w:line="240" w:lineRule="auto"/>
        <w:ind w:left="709" w:right="709"/>
        <w:jc w:val="both"/>
        <w:rPr>
          <w:rFonts w:ascii="Arial" w:eastAsia="Calibri" w:hAnsi="Arial" w:cs="Arial"/>
          <w:sz w:val="21"/>
          <w:szCs w:val="21"/>
          <w:lang w:val="es-MX"/>
        </w:rPr>
      </w:pPr>
      <w:r w:rsidRPr="00F3565B">
        <w:rPr>
          <w:rFonts w:ascii="Arial" w:eastAsia="Calibri" w:hAnsi="Arial" w:cs="Arial"/>
          <w:sz w:val="21"/>
          <w:szCs w:val="21"/>
          <w:lang w:val="es-MX"/>
        </w:rPr>
        <w:t xml:space="preserve">Son causales de rechazo </w:t>
      </w:r>
      <w:r w:rsidR="0025358B">
        <w:rPr>
          <w:rFonts w:ascii="Arial" w:eastAsia="Calibri" w:hAnsi="Arial" w:cs="Arial"/>
          <w:sz w:val="21"/>
          <w:szCs w:val="21"/>
          <w:lang w:val="es-MX"/>
        </w:rPr>
        <w:t xml:space="preserve">de las propuestas </w:t>
      </w:r>
      <w:r w:rsidRPr="00F3565B">
        <w:rPr>
          <w:rFonts w:ascii="Arial" w:eastAsia="Calibri" w:hAnsi="Arial" w:cs="Arial"/>
          <w:sz w:val="21"/>
          <w:szCs w:val="21"/>
          <w:lang w:val="es-MX"/>
        </w:rPr>
        <w:t xml:space="preserve">las siguientes [Las </w:t>
      </w:r>
      <w:r w:rsidR="0025358B">
        <w:rPr>
          <w:rFonts w:ascii="Arial" w:eastAsia="Calibri" w:hAnsi="Arial" w:cs="Arial"/>
          <w:sz w:val="21"/>
          <w:szCs w:val="21"/>
          <w:lang w:val="es-MX"/>
        </w:rPr>
        <w:t>e</w:t>
      </w:r>
      <w:r w:rsidRPr="00F3565B">
        <w:rPr>
          <w:rFonts w:ascii="Arial" w:eastAsia="Calibri" w:hAnsi="Arial" w:cs="Arial"/>
          <w:sz w:val="21"/>
          <w:szCs w:val="21"/>
          <w:lang w:val="es-MX"/>
        </w:rPr>
        <w:t>ntidades no podrán incluir causales de rechazo distintas a las señaladas en la presente sección]:</w:t>
      </w:r>
    </w:p>
    <w:p w14:paraId="29265CF5" w14:textId="77777777" w:rsidR="00F3565B" w:rsidRPr="00F3565B" w:rsidRDefault="00F3565B" w:rsidP="00F3565B">
      <w:pPr>
        <w:spacing w:after="120" w:line="240" w:lineRule="auto"/>
        <w:ind w:left="709" w:right="709"/>
        <w:jc w:val="both"/>
        <w:rPr>
          <w:rFonts w:ascii="Arial" w:eastAsia="Calibri" w:hAnsi="Arial" w:cs="Arial"/>
          <w:sz w:val="21"/>
          <w:szCs w:val="21"/>
          <w:lang w:val="es-MX"/>
        </w:rPr>
      </w:pPr>
      <w:r w:rsidRPr="00F3565B">
        <w:rPr>
          <w:rFonts w:ascii="Arial" w:eastAsia="Calibri" w:hAnsi="Arial" w:cs="Arial"/>
          <w:sz w:val="21"/>
          <w:szCs w:val="21"/>
          <w:lang w:val="es-MX"/>
        </w:rPr>
        <w:t>[…]</w:t>
      </w:r>
    </w:p>
    <w:p w14:paraId="3FC8FD25" w14:textId="04794440" w:rsidR="00F3565B" w:rsidRPr="00F3565B" w:rsidRDefault="00F3565B" w:rsidP="00F3565B">
      <w:pPr>
        <w:spacing w:after="0" w:line="240" w:lineRule="auto"/>
        <w:ind w:left="709" w:right="709"/>
        <w:jc w:val="both"/>
        <w:rPr>
          <w:rFonts w:ascii="Arial" w:eastAsia="Calibri" w:hAnsi="Arial" w:cs="Arial"/>
          <w:sz w:val="21"/>
          <w:szCs w:val="21"/>
          <w:lang w:val="es-MX"/>
        </w:rPr>
      </w:pPr>
      <w:r w:rsidRPr="00F3565B">
        <w:rPr>
          <w:rFonts w:ascii="Arial" w:eastAsia="Calibri" w:hAnsi="Arial" w:cs="Arial"/>
          <w:sz w:val="21"/>
          <w:szCs w:val="21"/>
          <w:lang w:val="es-MX"/>
        </w:rPr>
        <w:t xml:space="preserve">E. </w:t>
      </w:r>
      <w:r w:rsidR="0014513F" w:rsidRPr="0014513F">
        <w:rPr>
          <w:rFonts w:ascii="Arial" w:eastAsia="Calibri" w:hAnsi="Arial" w:cs="Arial"/>
          <w:sz w:val="21"/>
          <w:szCs w:val="21"/>
          <w:lang w:val="es-MX"/>
        </w:rPr>
        <w:t>Que el proponente no aclare, subsane o aporte documentos necesarios para cumplir un requisito habilitante o aportándolos no lo haga de forma correcta, en los términos establecidos en la sección 1.6.</w:t>
      </w:r>
    </w:p>
    <w:p w14:paraId="1CA44721" w14:textId="77777777" w:rsidR="00F3565B" w:rsidRPr="00F3565B" w:rsidRDefault="00F3565B" w:rsidP="00F3565B">
      <w:pPr>
        <w:spacing w:after="0" w:line="240" w:lineRule="auto"/>
        <w:ind w:left="709" w:right="709"/>
        <w:jc w:val="both"/>
        <w:rPr>
          <w:rFonts w:ascii="Arial" w:eastAsia="Calibri" w:hAnsi="Arial" w:cs="Arial"/>
          <w:sz w:val="21"/>
          <w:szCs w:val="21"/>
          <w:lang w:val="es-MX"/>
        </w:rPr>
      </w:pPr>
      <w:r w:rsidRPr="00F3565B">
        <w:rPr>
          <w:rFonts w:ascii="Arial" w:eastAsia="Calibri" w:hAnsi="Arial" w:cs="Arial"/>
          <w:sz w:val="21"/>
          <w:szCs w:val="21"/>
          <w:lang w:val="es-MX"/>
        </w:rPr>
        <w:t>[…]</w:t>
      </w:r>
    </w:p>
    <w:p w14:paraId="65496E24" w14:textId="77777777" w:rsidR="00F3565B" w:rsidRPr="00F3565B" w:rsidRDefault="00F3565B" w:rsidP="00F3565B">
      <w:pPr>
        <w:spacing w:before="120" w:after="0" w:line="240" w:lineRule="auto"/>
        <w:ind w:left="709" w:right="709"/>
        <w:jc w:val="both"/>
        <w:rPr>
          <w:rFonts w:ascii="Arial" w:eastAsia="Calibri" w:hAnsi="Arial" w:cs="Arial"/>
          <w:sz w:val="21"/>
          <w:szCs w:val="21"/>
          <w:lang w:val="es-MX"/>
        </w:rPr>
      </w:pPr>
      <w:r w:rsidRPr="00F3565B">
        <w:rPr>
          <w:rFonts w:ascii="Arial" w:eastAsia="Calibri" w:hAnsi="Arial" w:cs="Arial"/>
          <w:sz w:val="21"/>
          <w:szCs w:val="21"/>
          <w:lang w:val="es-MX"/>
        </w:rPr>
        <w:t>H. Que el Proponente aporte información inexacta sobre la cual pueda existir una posible falsedad en los términos de la sección 1.11.</w:t>
      </w:r>
    </w:p>
    <w:p w14:paraId="4D133AE9" w14:textId="77777777" w:rsidR="00F3565B" w:rsidRPr="00F3565B" w:rsidRDefault="00F3565B" w:rsidP="00F3565B">
      <w:pPr>
        <w:spacing w:after="120" w:line="240" w:lineRule="auto"/>
        <w:ind w:left="709" w:right="709"/>
        <w:jc w:val="both"/>
        <w:rPr>
          <w:rFonts w:ascii="Arial" w:eastAsia="Calibri" w:hAnsi="Arial" w:cs="Arial"/>
          <w:sz w:val="21"/>
          <w:szCs w:val="21"/>
          <w:lang w:val="es-MX"/>
        </w:rPr>
      </w:pPr>
      <w:r w:rsidRPr="00F3565B">
        <w:rPr>
          <w:rFonts w:ascii="Arial" w:eastAsia="Calibri" w:hAnsi="Arial" w:cs="Arial"/>
          <w:sz w:val="21"/>
          <w:szCs w:val="21"/>
          <w:lang w:val="es-MX"/>
        </w:rPr>
        <w:t>[…]</w:t>
      </w:r>
    </w:p>
    <w:p w14:paraId="75C7E2B2" w14:textId="77777777" w:rsidR="00F3565B" w:rsidRPr="00F3565B" w:rsidRDefault="00F3565B" w:rsidP="00F3565B">
      <w:pPr>
        <w:spacing w:after="0" w:line="240" w:lineRule="auto"/>
        <w:ind w:left="709" w:right="709"/>
        <w:jc w:val="both"/>
        <w:rPr>
          <w:rFonts w:ascii="Arial" w:eastAsia="Calibri" w:hAnsi="Arial" w:cs="Arial"/>
          <w:sz w:val="21"/>
          <w:szCs w:val="21"/>
          <w:lang w:val="es-MX"/>
        </w:rPr>
      </w:pPr>
      <w:r w:rsidRPr="00F3565B">
        <w:rPr>
          <w:rFonts w:ascii="Arial" w:eastAsia="Calibri" w:hAnsi="Arial" w:cs="Arial"/>
          <w:sz w:val="21"/>
          <w:szCs w:val="21"/>
          <w:lang w:val="es-MX"/>
        </w:rPr>
        <w:t>Z. No informar todos los contratos que el Proponente tenga en ejecución antes del cierre, necesarios para acreditar su capacidad residual conforme a la sección 3.10.</w:t>
      </w:r>
    </w:p>
    <w:p w14:paraId="1050AFA4" w14:textId="77777777" w:rsidR="00F3565B" w:rsidRPr="00F3565B" w:rsidRDefault="00F3565B" w:rsidP="00F3565B">
      <w:pPr>
        <w:spacing w:after="0" w:line="240" w:lineRule="auto"/>
        <w:ind w:left="709" w:right="709"/>
        <w:jc w:val="both"/>
        <w:rPr>
          <w:rFonts w:ascii="Arial" w:eastAsia="Calibri" w:hAnsi="Arial" w:cs="Arial"/>
          <w:szCs w:val="20"/>
          <w:lang w:val="es-MX"/>
        </w:rPr>
      </w:pPr>
    </w:p>
    <w:p w14:paraId="026EEC7E" w14:textId="77777777" w:rsidR="00F3565B" w:rsidRPr="00F3565B" w:rsidRDefault="00F3565B" w:rsidP="00F3565B">
      <w:pPr>
        <w:spacing w:after="0" w:line="276" w:lineRule="auto"/>
        <w:ind w:firstLine="708"/>
        <w:jc w:val="both"/>
        <w:rPr>
          <w:rFonts w:ascii="Arial" w:eastAsia="Calibri" w:hAnsi="Arial" w:cs="Arial"/>
          <w:szCs w:val="20"/>
          <w:lang w:val="es-MX"/>
        </w:rPr>
      </w:pPr>
      <w:r w:rsidRPr="00F3565B">
        <w:rPr>
          <w:rFonts w:ascii="Arial" w:eastAsia="Calibri" w:hAnsi="Arial" w:cs="Arial"/>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74733CF1" w14:textId="703D447B" w:rsidR="00F3565B" w:rsidRPr="00F3565B" w:rsidRDefault="00F3565B" w:rsidP="00F3565B">
      <w:pPr>
        <w:spacing w:before="120" w:after="0" w:line="276" w:lineRule="auto"/>
        <w:ind w:firstLine="708"/>
        <w:jc w:val="both"/>
        <w:rPr>
          <w:rFonts w:ascii="Arial" w:eastAsia="Calibri" w:hAnsi="Arial" w:cs="Arial"/>
          <w:szCs w:val="20"/>
          <w:lang w:val="es-MX"/>
        </w:rPr>
      </w:pPr>
      <w:r w:rsidRPr="00F3565B">
        <w:rPr>
          <w:rFonts w:ascii="Arial" w:eastAsia="Calibri" w:hAnsi="Arial" w:cs="Arial"/>
          <w:i/>
          <w:szCs w:val="20"/>
          <w:lang w:val="es-MX"/>
        </w:rPr>
        <w:t>i)</w:t>
      </w:r>
      <w:r w:rsidRPr="00F3565B">
        <w:rPr>
          <w:rFonts w:ascii="Arial" w:eastAsia="Calibri" w:hAnsi="Arial" w:cs="Arial"/>
          <w:szCs w:val="20"/>
          <w:lang w:val="es-MX"/>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w:t>
      </w:r>
      <w:r w:rsidR="00BD4298">
        <w:rPr>
          <w:rFonts w:ascii="Arial" w:eastAsia="Calibri" w:hAnsi="Arial" w:cs="Arial"/>
          <w:szCs w:val="20"/>
          <w:lang w:val="es-MX"/>
        </w:rPr>
        <w:t>P</w:t>
      </w:r>
      <w:r w:rsidR="009F694E">
        <w:rPr>
          <w:rFonts w:ascii="Arial" w:eastAsia="Calibri" w:hAnsi="Arial" w:cs="Arial"/>
          <w:szCs w:val="20"/>
          <w:lang w:val="es-MX"/>
        </w:rPr>
        <w:t>or tanto</w:t>
      </w:r>
      <w:r w:rsidRPr="00F3565B">
        <w:rPr>
          <w:rFonts w:ascii="Arial" w:eastAsia="Calibri" w:hAnsi="Arial" w:cs="Arial"/>
          <w:szCs w:val="20"/>
          <w:lang w:val="es-MX"/>
        </w:rPr>
        <w:t xml:space="preserve">, la </w:t>
      </w:r>
      <w:r w:rsidRPr="00F3565B">
        <w:rPr>
          <w:rFonts w:ascii="Arial" w:eastAsia="Calibri" w:hAnsi="Arial" w:cs="Arial"/>
          <w:lang w:val="es-MX"/>
        </w:rPr>
        <w:t>configuración de la causal de rechazo del literal Z es objetiva, pues solo aplica ante la omisión del proponente de informar el número total de contratos en ejecución antes del cierre.</w:t>
      </w:r>
    </w:p>
    <w:p w14:paraId="03F5D8FA" w14:textId="77777777" w:rsidR="00F3565B" w:rsidRPr="00F3565B" w:rsidRDefault="00F3565B" w:rsidP="00F3565B">
      <w:pPr>
        <w:spacing w:before="120" w:after="0" w:line="276" w:lineRule="auto"/>
        <w:ind w:firstLine="708"/>
        <w:jc w:val="both"/>
        <w:rPr>
          <w:rFonts w:ascii="Arial" w:eastAsia="Calibri" w:hAnsi="Arial" w:cs="Arial"/>
          <w:szCs w:val="20"/>
          <w:lang w:val="es-MX"/>
        </w:rPr>
      </w:pPr>
      <w:r w:rsidRPr="00F3565B">
        <w:rPr>
          <w:rFonts w:ascii="Arial" w:eastAsia="Calibri" w:hAnsi="Arial" w:cs="Arial"/>
          <w:i/>
          <w:szCs w:val="20"/>
          <w:lang w:val="es-MX"/>
        </w:rPr>
        <w:t xml:space="preserve">ii) </w:t>
      </w:r>
      <w:r w:rsidRPr="00F3565B">
        <w:rPr>
          <w:rFonts w:ascii="Arial" w:eastAsia="Calibri" w:hAnsi="Arial" w:cs="Arial"/>
          <w:szCs w:val="20"/>
          <w:lang w:val="es-MX"/>
        </w:rPr>
        <w:t xml:space="preserve">Lo anterior, sin perjuicio de que para el proponente tenga consecuencias omitir o errar en la información específica de cada contrato –esto es, la cuantía o el plazo, entre </w:t>
      </w:r>
      <w:r w:rsidRPr="00F3565B">
        <w:rPr>
          <w:rFonts w:ascii="Arial" w:eastAsia="Calibri" w:hAnsi="Arial" w:cs="Arial"/>
          <w:szCs w:val="20"/>
          <w:lang w:val="es-MX"/>
        </w:rPr>
        <w:lastRenderedPageBreak/>
        <w:t xml:space="preserve">otros–, pues la entidad podrá requerirlo para que aclare la información y, en caso de no responder, rechazar la propuesta por la causal que consagra el literal E del numeral 1.15. </w:t>
      </w:r>
    </w:p>
    <w:p w14:paraId="099196C3" w14:textId="77777777" w:rsidR="00F3565B" w:rsidRPr="00F3565B" w:rsidRDefault="00F3565B" w:rsidP="00F3565B">
      <w:pPr>
        <w:spacing w:before="120" w:after="0" w:line="276" w:lineRule="auto"/>
        <w:ind w:firstLine="708"/>
        <w:jc w:val="both"/>
        <w:rPr>
          <w:rFonts w:ascii="Arial" w:eastAsia="Calibri" w:hAnsi="Arial" w:cs="Arial"/>
          <w:szCs w:val="20"/>
          <w:lang w:val="es-MX"/>
        </w:rPr>
      </w:pPr>
      <w:r w:rsidRPr="00F3565B">
        <w:rPr>
          <w:rFonts w:ascii="Arial" w:eastAsia="Calibri" w:hAnsi="Arial" w:cs="Arial"/>
          <w:i/>
          <w:szCs w:val="20"/>
          <w:lang w:val="es-MX"/>
        </w:rPr>
        <w:t xml:space="preserve">iii) </w:t>
      </w:r>
      <w:r w:rsidRPr="00F3565B">
        <w:rPr>
          <w:rFonts w:ascii="Arial" w:eastAsia="Calibri" w:hAnsi="Arial" w:cs="Arial"/>
          <w:szCs w:val="20"/>
          <w:lang w:val="es-MX"/>
        </w:rPr>
        <w:t xml:space="preserve">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w:t>
      </w:r>
    </w:p>
    <w:p w14:paraId="31516333" w14:textId="77777777" w:rsidR="00F3565B" w:rsidRPr="00F3565B" w:rsidRDefault="00F3565B" w:rsidP="00F3565B">
      <w:pPr>
        <w:spacing w:after="0" w:line="276" w:lineRule="auto"/>
        <w:jc w:val="both"/>
        <w:rPr>
          <w:rFonts w:ascii="Arial" w:eastAsia="Calibri" w:hAnsi="Arial" w:cs="Arial"/>
          <w:lang w:val="es-MX"/>
        </w:rPr>
      </w:pPr>
    </w:p>
    <w:p w14:paraId="1A576363" w14:textId="77777777" w:rsidR="00F3565B" w:rsidRPr="00F3565B" w:rsidRDefault="00F3565B" w:rsidP="00F3565B">
      <w:pPr>
        <w:spacing w:after="120" w:line="240" w:lineRule="auto"/>
        <w:ind w:left="709" w:right="709"/>
        <w:jc w:val="both"/>
        <w:rPr>
          <w:rFonts w:ascii="Arial" w:eastAsia="Calibri" w:hAnsi="Arial" w:cs="Arial"/>
          <w:b/>
          <w:bCs/>
          <w:sz w:val="21"/>
          <w:szCs w:val="21"/>
        </w:rPr>
      </w:pPr>
      <w:bookmarkStart w:id="18" w:name="_Toc508648251"/>
      <w:bookmarkStart w:id="19" w:name="_Toc508984035"/>
      <w:bookmarkStart w:id="20" w:name="_Toc509843865"/>
      <w:bookmarkStart w:id="21" w:name="_Toc511924773"/>
      <w:bookmarkStart w:id="22" w:name="_Toc520226862"/>
      <w:bookmarkStart w:id="23" w:name="_Toc520297832"/>
      <w:bookmarkStart w:id="24" w:name="_Toc520317097"/>
      <w:bookmarkStart w:id="25" w:name="_Toc533083698"/>
      <w:bookmarkStart w:id="26" w:name="_Ref4940712"/>
      <w:bookmarkStart w:id="27" w:name="_Toc5006129"/>
      <w:r w:rsidRPr="00F3565B">
        <w:rPr>
          <w:rFonts w:ascii="Arial" w:eastAsia="Calibri" w:hAnsi="Arial" w:cs="Arial"/>
          <w:b/>
          <w:bCs/>
          <w:sz w:val="21"/>
          <w:szCs w:val="21"/>
        </w:rPr>
        <w:t>1.11 INFORMACIÓN INEXACTA</w:t>
      </w:r>
      <w:bookmarkEnd w:id="18"/>
      <w:bookmarkEnd w:id="19"/>
      <w:bookmarkEnd w:id="20"/>
      <w:bookmarkEnd w:id="21"/>
      <w:bookmarkEnd w:id="22"/>
      <w:bookmarkEnd w:id="23"/>
      <w:bookmarkEnd w:id="24"/>
      <w:bookmarkEnd w:id="25"/>
      <w:bookmarkEnd w:id="26"/>
      <w:bookmarkEnd w:id="27"/>
      <w:r w:rsidRPr="00F3565B">
        <w:rPr>
          <w:rFonts w:ascii="Arial" w:eastAsia="Calibri" w:hAnsi="Arial" w:cs="Arial"/>
          <w:b/>
          <w:bCs/>
          <w:sz w:val="21"/>
          <w:szCs w:val="21"/>
        </w:rPr>
        <w:t xml:space="preserve"> </w:t>
      </w:r>
    </w:p>
    <w:p w14:paraId="258C87DC" w14:textId="77777777" w:rsidR="00F3565B" w:rsidRPr="00F3565B" w:rsidRDefault="00F3565B" w:rsidP="00F3565B">
      <w:pPr>
        <w:spacing w:after="120" w:line="240" w:lineRule="auto"/>
        <w:ind w:left="709" w:right="709"/>
        <w:jc w:val="both"/>
        <w:rPr>
          <w:rFonts w:ascii="Arial" w:eastAsia="Calibri" w:hAnsi="Arial" w:cs="Arial"/>
          <w:sz w:val="21"/>
          <w:szCs w:val="21"/>
        </w:rPr>
      </w:pPr>
      <w:r w:rsidRPr="00F3565B">
        <w:rPr>
          <w:rFonts w:ascii="Arial" w:eastAsia="Calibri" w:hAnsi="Arial" w:cs="Arial"/>
          <w:sz w:val="21"/>
          <w:szCs w:val="21"/>
        </w:rPr>
        <w:t xml:space="preserve">La Entidad se reserva el derecho de verificar integralmente la información aportada por el Proponente. Para esto, puede acudir a las autoridades, personas, empresas o entidades respectivas. </w:t>
      </w:r>
    </w:p>
    <w:p w14:paraId="1B44D3EC" w14:textId="77777777" w:rsidR="00F3565B" w:rsidRPr="00F3565B" w:rsidRDefault="00F3565B" w:rsidP="00F3565B">
      <w:pPr>
        <w:spacing w:after="120" w:line="240" w:lineRule="auto"/>
        <w:ind w:left="709" w:right="709"/>
        <w:jc w:val="both"/>
        <w:rPr>
          <w:rFonts w:ascii="Arial" w:eastAsia="Calibri" w:hAnsi="Arial" w:cs="Arial"/>
          <w:sz w:val="21"/>
          <w:szCs w:val="21"/>
        </w:rPr>
      </w:pPr>
      <w:r w:rsidRPr="00F3565B">
        <w:rPr>
          <w:rFonts w:ascii="Arial" w:eastAsia="Calibri"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3A82C5C6" w14:textId="77777777" w:rsidR="00F3565B" w:rsidRPr="00F3565B" w:rsidRDefault="00F3565B" w:rsidP="00F3565B">
      <w:pPr>
        <w:spacing w:after="0" w:line="240" w:lineRule="auto"/>
        <w:ind w:left="709" w:right="709"/>
        <w:jc w:val="both"/>
        <w:rPr>
          <w:rFonts w:ascii="Arial" w:eastAsia="Calibri" w:hAnsi="Arial" w:cs="Arial"/>
          <w:sz w:val="21"/>
          <w:szCs w:val="21"/>
        </w:rPr>
      </w:pPr>
      <w:r w:rsidRPr="00F3565B">
        <w:rPr>
          <w:rFonts w:ascii="Arial" w:eastAsia="Calibri"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45EA09E2" w14:textId="77777777" w:rsidR="00F3565B" w:rsidRPr="00F3565B" w:rsidRDefault="00F3565B" w:rsidP="00F3565B">
      <w:pPr>
        <w:spacing w:after="0" w:line="276" w:lineRule="auto"/>
        <w:jc w:val="both"/>
        <w:rPr>
          <w:rFonts w:ascii="Arial" w:eastAsia="Calibri" w:hAnsi="Arial" w:cs="Arial"/>
        </w:rPr>
      </w:pPr>
    </w:p>
    <w:p w14:paraId="3E89EB7C" w14:textId="77777777" w:rsidR="00F3565B" w:rsidRPr="00F3565B" w:rsidRDefault="00F3565B" w:rsidP="00F3565B">
      <w:pPr>
        <w:spacing w:after="0" w:line="276" w:lineRule="auto"/>
        <w:ind w:firstLine="709"/>
        <w:jc w:val="both"/>
        <w:rPr>
          <w:rFonts w:ascii="Arial" w:eastAsia="Calibri" w:hAnsi="Arial" w:cs="Arial"/>
        </w:rPr>
      </w:pPr>
      <w:r w:rsidRPr="00F3565B">
        <w:rPr>
          <w:rFonts w:ascii="Arial" w:eastAsia="Calibri" w:hAnsi="Arial" w:cs="Arial"/>
        </w:rPr>
        <w:t>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F3565B">
        <w:rPr>
          <w:rFonts w:ascii="Arial" w:eastAsia="Calibri" w:hAnsi="Arial" w:cs="Arial"/>
          <w:vertAlign w:val="superscript"/>
        </w:rPr>
        <w:footnoteReference w:id="5"/>
      </w:r>
      <w:r w:rsidRPr="00F3565B">
        <w:rPr>
          <w:rFonts w:ascii="Arial" w:eastAsia="Calibri" w:hAnsi="Arial" w:cs="Arial"/>
        </w:rPr>
        <w:t>. Conforme a ello, la prerrogativa de verificación es una herramienta para que la Administración adquiera certeza en el cumplimiento de los requisitos del procedimiento de selección y del comportamiento leal que se exige a los proponentes.</w:t>
      </w:r>
    </w:p>
    <w:p w14:paraId="4C1BB95B" w14:textId="77777777" w:rsidR="00F3565B" w:rsidRPr="00F3565B" w:rsidRDefault="00F3565B" w:rsidP="00F3565B">
      <w:pPr>
        <w:spacing w:before="120" w:after="0" w:line="276" w:lineRule="auto"/>
        <w:ind w:firstLine="708"/>
        <w:jc w:val="both"/>
        <w:rPr>
          <w:rFonts w:ascii="Arial" w:eastAsia="MS Mincho" w:hAnsi="Arial" w:cs="Arial"/>
          <w:lang w:val="es-MX" w:eastAsia="es-CO"/>
        </w:rPr>
      </w:pPr>
      <w:r w:rsidRPr="00F3565B">
        <w:rPr>
          <w:rFonts w:ascii="Arial" w:eastAsia="MS Mincho" w:hAnsi="Arial" w:cs="Arial"/>
          <w:lang w:eastAsia="es-CO"/>
        </w:rPr>
        <w:t>Según</w:t>
      </w:r>
      <w:r w:rsidRPr="00F3565B">
        <w:rPr>
          <w:rFonts w:ascii="Arial" w:eastAsia="MS Mincho"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5EA2B292" w14:textId="77777777" w:rsidR="00F3565B" w:rsidRPr="00F3565B" w:rsidRDefault="00F3565B" w:rsidP="00F3565B">
      <w:pPr>
        <w:spacing w:before="120" w:after="0" w:line="276" w:lineRule="auto"/>
        <w:ind w:firstLine="709"/>
        <w:jc w:val="both"/>
        <w:rPr>
          <w:rFonts w:ascii="Arial" w:eastAsia="Calibri" w:hAnsi="Arial" w:cs="Arial"/>
        </w:rPr>
      </w:pPr>
      <w:r w:rsidRPr="00F3565B">
        <w:rPr>
          <w:rFonts w:ascii="Arial" w:eastAsia="Calibri" w:hAnsi="Arial" w:cs="Arial"/>
          <w:lang w:val="es-MX"/>
        </w:rPr>
        <w:t xml:space="preserve">La </w:t>
      </w:r>
      <w:r w:rsidRPr="00F3565B">
        <w:rPr>
          <w:rFonts w:ascii="Arial" w:eastAsia="Calibri" w:hAnsi="Arial" w:cs="Arial"/>
        </w:rPr>
        <w:t xml:space="preserve">regla de verificación de la información prevista en el numeral 1.11 dispone dos supuestos, con consecuencias diferentes: el primero, señala que una vez verificada la </w:t>
      </w:r>
      <w:r w:rsidRPr="00F3565B">
        <w:rPr>
          <w:rFonts w:ascii="Arial" w:eastAsia="Calibri" w:hAnsi="Arial" w:cs="Arial"/>
        </w:rPr>
        <w:lastRenderedPageBreak/>
        <w:t xml:space="preserve">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22A97511" w14:textId="77777777" w:rsidR="00F3565B" w:rsidRPr="00F3565B" w:rsidRDefault="00F3565B" w:rsidP="00F3565B">
      <w:pPr>
        <w:spacing w:before="120" w:after="0" w:line="276" w:lineRule="auto"/>
        <w:ind w:firstLine="709"/>
        <w:jc w:val="both"/>
        <w:rPr>
          <w:rFonts w:ascii="Arial" w:eastAsia="Calibri" w:hAnsi="Arial" w:cs="Arial"/>
        </w:rPr>
      </w:pPr>
      <w:r w:rsidRPr="00F3565B">
        <w:rPr>
          <w:rFonts w:ascii="Arial" w:eastAsia="Calibri"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45652E7B" w14:textId="77777777" w:rsidR="007E7590" w:rsidRPr="00ED0894" w:rsidRDefault="007E7590" w:rsidP="007E7590">
      <w:pPr>
        <w:spacing w:before="120" w:after="120" w:line="276" w:lineRule="auto"/>
        <w:ind w:firstLine="708"/>
        <w:jc w:val="both"/>
        <w:rPr>
          <w:rFonts w:ascii="Arial" w:hAnsi="Arial" w:cs="Arial"/>
        </w:rPr>
      </w:pPr>
      <w:r w:rsidRPr="00ED0894">
        <w:rPr>
          <w:rFonts w:ascii="Arial" w:hAnsi="Arial" w:cs="Arial"/>
        </w:rPr>
        <w:t>Ahora bien, aunque las</w:t>
      </w:r>
      <w:r w:rsidRPr="00ED0894">
        <w:rPr>
          <w:rFonts w:ascii="Arial" w:hAnsi="Arial" w:cs="Arial"/>
          <w:szCs w:val="20"/>
        </w:rPr>
        <w:t xml:space="preserve"> causales de rechazo del literal E, H y Z del numeral 1.15 de los documentos tipo se relacionan con la capacidad residual como requisito habilitante</w:t>
      </w:r>
      <w:r w:rsidRPr="00ED0894">
        <w:rPr>
          <w:rFonts w:ascii="Arial" w:hAnsi="Arial" w:cs="Arial"/>
        </w:rPr>
        <w:t xml:space="preserve">, estas se aplican en supuestos diferentes, de acuerdo con lo explicado </w:t>
      </w:r>
      <w:r w:rsidRPr="00ED0894">
        <w:rPr>
          <w:rFonts w:ascii="Arial" w:hAnsi="Arial" w:cs="Arial"/>
          <w:i/>
        </w:rPr>
        <w:t>ut supra</w:t>
      </w:r>
      <w:r w:rsidRPr="00ED0894">
        <w:rPr>
          <w:rFonts w:ascii="Arial" w:hAnsi="Arial" w:cs="Arial"/>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55B50ABC" w14:textId="77777777" w:rsidR="007E7590" w:rsidRPr="00ED0894" w:rsidRDefault="007E7590" w:rsidP="007E7590">
      <w:pPr>
        <w:spacing w:before="120" w:after="120" w:line="276" w:lineRule="auto"/>
        <w:ind w:firstLine="708"/>
        <w:jc w:val="both"/>
        <w:rPr>
          <w:rFonts w:ascii="Arial" w:hAnsi="Arial" w:cs="Arial"/>
        </w:rPr>
      </w:pPr>
      <w:r w:rsidRPr="00ED0894">
        <w:rPr>
          <w:rFonts w:ascii="Arial" w:hAnsi="Arial" w:cs="Arial"/>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1D69B746" w14:textId="77777777" w:rsidR="007E7590" w:rsidRPr="00ED0894" w:rsidRDefault="007E7590" w:rsidP="007E7590">
      <w:pPr>
        <w:spacing w:before="120" w:after="120" w:line="276" w:lineRule="auto"/>
        <w:ind w:firstLine="708"/>
        <w:jc w:val="both"/>
        <w:rPr>
          <w:rFonts w:ascii="Arial" w:hAnsi="Arial" w:cs="Arial"/>
        </w:rPr>
      </w:pPr>
      <w:r w:rsidRPr="00ED0894">
        <w:rPr>
          <w:rFonts w:ascii="Arial" w:hAnsi="Arial" w:cs="Arial"/>
          <w:noProof/>
        </w:rPr>
        <w:lastRenderedPageBreak/>
        <w:t>Ahora bien, es importate precisar que lo</w:t>
      </w:r>
      <w:r w:rsidRPr="00ED0894">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ED0894">
        <w:t xml:space="preserve"> </w:t>
      </w:r>
      <w:r w:rsidRPr="00ED0894">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1397F545" w14:textId="77777777" w:rsidR="007E7590" w:rsidRPr="00ED0894" w:rsidRDefault="007E7590" w:rsidP="007E7590">
      <w:pPr>
        <w:spacing w:before="120" w:after="120" w:line="276" w:lineRule="auto"/>
        <w:ind w:firstLine="709"/>
        <w:jc w:val="both"/>
        <w:rPr>
          <w:rFonts w:ascii="Arial" w:hAnsi="Arial" w:cs="Arial"/>
        </w:rPr>
      </w:pPr>
      <w:r w:rsidRPr="00ED0894">
        <w:rPr>
          <w:rFonts w:ascii="Arial" w:hAnsi="Arial" w:cs="Arial"/>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ED0894">
        <w:rPr>
          <w:rFonts w:ascii="Arial" w:hAnsi="Arial" w:cs="Arial"/>
          <w:i/>
        </w:rPr>
        <w:t>sub examine</w:t>
      </w:r>
      <w:r w:rsidRPr="00ED0894">
        <w:rPr>
          <w:rFonts w:ascii="Arial" w:hAnsi="Arial" w:cs="Arial"/>
        </w:rPr>
        <w:t xml:space="preserve"> es desincentivar todas las prácticas fraudulentas en los procesos de contratación estatal. </w:t>
      </w:r>
    </w:p>
    <w:p w14:paraId="47A92551" w14:textId="77777777" w:rsidR="007E7590" w:rsidRPr="00ED0894" w:rsidRDefault="007E7590" w:rsidP="007E7590">
      <w:pPr>
        <w:spacing w:before="120" w:after="120" w:line="276" w:lineRule="auto"/>
        <w:ind w:firstLine="709"/>
        <w:jc w:val="both"/>
        <w:rPr>
          <w:rFonts w:ascii="Arial" w:hAnsi="Arial" w:cs="Arial"/>
        </w:rPr>
      </w:pPr>
      <w:r w:rsidRPr="00ED0894">
        <w:rPr>
          <w:rStyle w:val="normaltextrun"/>
          <w:rFonts w:ascii="Arial" w:hAnsi="Arial" w:cs="Arial"/>
          <w:color w:val="000000"/>
          <w:shd w:val="clear" w:color="auto" w:fill="FFFFFF"/>
        </w:rPr>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w:t>
      </w:r>
      <w:r w:rsidRPr="00ED0894">
        <w:rPr>
          <w:rStyle w:val="normaltextrun"/>
          <w:rFonts w:ascii="Arial" w:hAnsi="Arial" w:cs="Arial"/>
          <w:color w:val="000000"/>
          <w:shd w:val="clear" w:color="auto" w:fill="FFFFFF"/>
          <w:lang w:val="es-MX"/>
        </w:rPr>
        <w:t>incurre en algún error en la información de estos contratos, como por ejemplo en el valor o el plazo</w:t>
      </w:r>
      <w:r w:rsidRPr="00ED0894">
        <w:rPr>
          <w:rStyle w:val="normaltextrun"/>
          <w:rFonts w:ascii="Arial" w:hAnsi="Arial" w:cs="Arial"/>
          <w:color w:val="000000"/>
          <w:shd w:val="clear" w:color="auto" w:fill="FFFFFF"/>
        </w:rPr>
        <w:t>. En este caso, conforme a la explicación precedente, en principio, no se trata de información inexacta que tenga la connotación de falsedad por lo que no habría lugar a rechazo de la propuesta por esta causal. Por ello, si el proponente omite o se equivoca en la información específica de un contrato incluido en el formato respectivo</w:t>
      </w:r>
      <w:r w:rsidRPr="00ED0894">
        <w:rPr>
          <w:rStyle w:val="normaltextrun"/>
          <w:rFonts w:ascii="Arial" w:hAnsi="Arial" w:cs="Arial"/>
          <w:color w:val="000000"/>
          <w:shd w:val="clear" w:color="auto" w:fill="FFFFFF"/>
          <w:lang w:val="es-MX"/>
        </w:rPr>
        <w:t>, la entidad podrá requerirlo para que aclare la información y, en caso de no responder, rechazar la propuesta por la causal que consagra el literal E del numeral 1.15</w:t>
      </w:r>
      <w:r w:rsidRPr="00ED0894">
        <w:rPr>
          <w:rFonts w:ascii="Arial" w:hAnsi="Arial" w:cs="Arial"/>
        </w:rPr>
        <w:t xml:space="preserve">. </w:t>
      </w:r>
    </w:p>
    <w:p w14:paraId="3F0978AE" w14:textId="77777777" w:rsidR="007E7590" w:rsidRPr="00ED0894" w:rsidRDefault="007E7590" w:rsidP="007E7590">
      <w:pPr>
        <w:spacing w:before="120" w:after="120" w:line="276" w:lineRule="auto"/>
        <w:ind w:firstLine="709"/>
        <w:jc w:val="both"/>
        <w:rPr>
          <w:rFonts w:ascii="Arial" w:hAnsi="Arial" w:cs="Arial"/>
        </w:rPr>
      </w:pPr>
      <w:r w:rsidRPr="00ED0894">
        <w:rPr>
          <w:rStyle w:val="normaltextrun"/>
          <w:rFonts w:ascii="Arial" w:hAnsi="Arial" w:cs="Arial"/>
          <w:color w:val="000000"/>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Por ejemplo, </w:t>
      </w:r>
      <w:r w:rsidRPr="00ED0894">
        <w:rPr>
          <w:rStyle w:val="normaltextrun"/>
          <w:rFonts w:ascii="Arial" w:hAnsi="Arial" w:cs="Arial"/>
          <w:color w:val="000000"/>
          <w:shd w:val="clear" w:color="auto" w:fill="FFFFFF"/>
          <w:lang w:val="es-MX"/>
        </w:rPr>
        <w:t xml:space="preserve">en el </w:t>
      </w:r>
      <w:r w:rsidRPr="00ED0894">
        <w:rPr>
          <w:rStyle w:val="normaltextrun"/>
          <w:rFonts w:ascii="Arial" w:hAnsi="Arial" w:cs="Arial"/>
          <w:color w:val="000000"/>
          <w:shd w:val="clear" w:color="auto" w:fill="FFFFFF"/>
          <w:lang w:val="es-MX"/>
        </w:rPr>
        <w:lastRenderedPageBreak/>
        <w:t>evento en que se reporten todos los contratos y la entidad advierta que se consignó información errada en el formato respectivo soportada en documentos presuntamente falsos. En este caso,</w:t>
      </w:r>
      <w:r w:rsidRPr="00ED0894">
        <w:rPr>
          <w:rStyle w:val="normaltextrun"/>
          <w:rFonts w:ascii="Arial" w:hAnsi="Arial" w:cs="Arial"/>
          <w:color w:val="000000"/>
          <w:shd w:val="clear" w:color="auto" w:fill="FFFFFF"/>
        </w:rPr>
        <w:t xml:space="preserve"> los datos erróneos corresponden a información inexacta sobre la cual pueda existir una posible falsedad, lo cual da lugar a la configuración de la causal de rechazo del literal H </w:t>
      </w:r>
      <w:r w:rsidRPr="00ED0894">
        <w:rPr>
          <w:rStyle w:val="normaltextrun"/>
          <w:rFonts w:ascii="Arial" w:hAnsi="Arial" w:cs="Arial"/>
          <w:color w:val="000000"/>
          <w:shd w:val="clear" w:color="auto" w:fill="FFFFFF"/>
          <w:lang w:val="es-MX"/>
        </w:rPr>
        <w:t xml:space="preserve">del numeral 1.15. del documento base </w:t>
      </w:r>
      <w:r w:rsidRPr="00ED0894">
        <w:rPr>
          <w:rStyle w:val="normaltextrun"/>
          <w:rFonts w:ascii="Arial" w:hAnsi="Arial" w:cs="Arial"/>
          <w:color w:val="000000"/>
          <w:shd w:val="clear" w:color="auto" w:fill="FFFFFF"/>
        </w:rPr>
        <w:t>e impide la subsanabilidad de la oferta en este aspecto</w:t>
      </w:r>
      <w:r w:rsidRPr="00ED0894">
        <w:rPr>
          <w:rFonts w:ascii="Arial" w:hAnsi="Arial" w:cs="Arial"/>
        </w:rPr>
        <w:t xml:space="preserve">. </w:t>
      </w:r>
    </w:p>
    <w:p w14:paraId="69678665" w14:textId="77777777" w:rsidR="007E7590" w:rsidRPr="00ED0894" w:rsidRDefault="007E7590" w:rsidP="007E7590">
      <w:pPr>
        <w:spacing w:after="0" w:line="276" w:lineRule="auto"/>
        <w:ind w:firstLine="708"/>
        <w:jc w:val="both"/>
        <w:rPr>
          <w:rFonts w:ascii="Arial" w:hAnsi="Arial" w:cs="Arial"/>
        </w:rPr>
      </w:pPr>
      <w:r w:rsidRPr="00ED0894">
        <w:rPr>
          <w:rFonts w:ascii="Arial" w:hAnsi="Arial" w:cs="Arial"/>
        </w:rPr>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439BD311" w14:textId="77777777" w:rsidR="007E7590" w:rsidRPr="00ED0894" w:rsidRDefault="007E7590" w:rsidP="007E7590">
      <w:pPr>
        <w:spacing w:after="0" w:line="276" w:lineRule="auto"/>
        <w:ind w:firstLine="709"/>
        <w:jc w:val="both"/>
        <w:rPr>
          <w:rFonts w:ascii="Arial" w:hAnsi="Arial" w:cs="Arial"/>
        </w:rPr>
      </w:pPr>
    </w:p>
    <w:p w14:paraId="4BFD0F1D" w14:textId="77777777" w:rsidR="007E7590" w:rsidRPr="00ED0894" w:rsidRDefault="007E7590" w:rsidP="007E7590">
      <w:pPr>
        <w:keepNext/>
        <w:spacing w:after="120" w:line="240" w:lineRule="auto"/>
        <w:ind w:left="709" w:right="709"/>
        <w:outlineLvl w:val="1"/>
        <w:rPr>
          <w:rFonts w:ascii="Arial" w:eastAsia="Times New Roman" w:hAnsi="Arial" w:cs="Arial"/>
          <w:b/>
          <w:sz w:val="21"/>
          <w:szCs w:val="21"/>
          <w:lang w:eastAsia="es-CO"/>
        </w:rPr>
      </w:pPr>
      <w:bookmarkStart w:id="28" w:name="_Toc32096843"/>
      <w:bookmarkStart w:id="29" w:name="_Toc32144836"/>
      <w:r w:rsidRPr="00ED0894">
        <w:rPr>
          <w:rFonts w:ascii="Arial" w:eastAsia="Times New Roman" w:hAnsi="Arial" w:cs="Arial"/>
          <w:b/>
          <w:sz w:val="21"/>
          <w:szCs w:val="21"/>
          <w:lang w:eastAsia="es-CO"/>
        </w:rPr>
        <w:t>3.10. CAPACIDAD RESIDUAL</w:t>
      </w:r>
      <w:bookmarkEnd w:id="28"/>
      <w:bookmarkEnd w:id="29"/>
      <w:r w:rsidRPr="00ED0894">
        <w:rPr>
          <w:rFonts w:ascii="Arial" w:eastAsia="Times New Roman" w:hAnsi="Arial" w:cs="Arial"/>
          <w:b/>
          <w:sz w:val="21"/>
          <w:szCs w:val="21"/>
          <w:lang w:eastAsia="es-CO"/>
        </w:rPr>
        <w:t xml:space="preserve"> </w:t>
      </w:r>
    </w:p>
    <w:p w14:paraId="7F160B10" w14:textId="77777777" w:rsidR="008A4E29" w:rsidRPr="008A4E29" w:rsidRDefault="008A4E29" w:rsidP="008A4E29">
      <w:pPr>
        <w:spacing w:line="240" w:lineRule="auto"/>
        <w:ind w:left="709" w:right="709"/>
        <w:jc w:val="both"/>
        <w:rPr>
          <w:rFonts w:ascii="Arial" w:hAnsi="Arial" w:cs="Arial"/>
          <w:color w:val="000000" w:themeColor="text1"/>
          <w:sz w:val="21"/>
          <w:szCs w:val="21"/>
          <w:lang w:val="es-MX"/>
        </w:rPr>
      </w:pPr>
      <w:r w:rsidRPr="008A4E29">
        <w:rPr>
          <w:rFonts w:ascii="Arial" w:hAnsi="Arial" w:cs="Arial"/>
          <w:color w:val="000000" w:themeColor="text1"/>
          <w:sz w:val="21"/>
          <w:szCs w:val="21"/>
          <w:lang w:val="es-MX"/>
        </w:rPr>
        <w:t>El proponente será hábil si su capacidad residual es mayor o igual a la capacidad residual de proceso de contratación (CRPC). Así:</w:t>
      </w:r>
    </w:p>
    <w:p w14:paraId="0BB36C96" w14:textId="77777777" w:rsidR="008A4E29" w:rsidRPr="008A4E29" w:rsidRDefault="008A4E29" w:rsidP="008A4E29">
      <w:pPr>
        <w:widowControl w:val="0"/>
        <w:spacing w:line="240" w:lineRule="auto"/>
        <w:ind w:left="709" w:right="709"/>
        <w:jc w:val="center"/>
        <w:rPr>
          <w:rFonts w:ascii="Arial" w:hAnsi="Arial" w:cs="Arial"/>
          <w:color w:val="000000" w:themeColor="text1"/>
          <w:sz w:val="21"/>
          <w:szCs w:val="21"/>
        </w:rPr>
      </w:pPr>
      <m:oMathPara>
        <m:oMath>
          <m:r>
            <w:rPr>
              <w:rFonts w:ascii="Cambria Math" w:hAnsi="Cambria Math" w:cs="Arial"/>
              <w:color w:val="000000" w:themeColor="text1"/>
              <w:sz w:val="21"/>
              <w:szCs w:val="21"/>
            </w:rPr>
            <m:t>CRP ≥CRPC</m:t>
          </m:r>
        </m:oMath>
      </m:oMathPara>
    </w:p>
    <w:p w14:paraId="7D596F0F" w14:textId="77777777" w:rsidR="008A4E29" w:rsidRPr="008A4E29" w:rsidRDefault="008A4E29" w:rsidP="008A4E29">
      <w:pPr>
        <w:spacing w:line="240" w:lineRule="auto"/>
        <w:ind w:left="709" w:right="709"/>
        <w:jc w:val="both"/>
        <w:rPr>
          <w:rFonts w:ascii="Arial" w:hAnsi="Arial" w:cs="Arial"/>
          <w:i/>
          <w:iCs/>
          <w:color w:val="000000" w:themeColor="text1"/>
          <w:sz w:val="21"/>
          <w:szCs w:val="21"/>
          <w:lang w:val="es-MX"/>
        </w:rPr>
      </w:pPr>
      <w:r w:rsidRPr="008A4E29">
        <w:rPr>
          <w:rFonts w:ascii="Arial" w:hAnsi="Arial" w:cs="Arial"/>
          <w:color w:val="000000" w:themeColor="text1"/>
          <w:sz w:val="21"/>
          <w:szCs w:val="21"/>
          <w:lang w:val="es-MX"/>
        </w:rPr>
        <w:t xml:space="preserve">Los proponentes acreditarán la capacidad residual o K de contratación conforme se describe a continuación. </w:t>
      </w:r>
      <w:r w:rsidRPr="008A4E29">
        <w:rPr>
          <w:rFonts w:ascii="Arial" w:hAnsi="Arial" w:cs="Arial"/>
          <w:i/>
          <w:iCs/>
          <w:color w:val="000000" w:themeColor="text1"/>
          <w:sz w:val="21"/>
          <w:szCs w:val="21"/>
          <w:lang w:val="es-MX"/>
        </w:rPr>
        <w:t xml:space="preserve">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 </w:t>
      </w:r>
    </w:p>
    <w:p w14:paraId="6B0697F8" w14:textId="77777777" w:rsidR="008A4E29" w:rsidRPr="008A4E29" w:rsidRDefault="008A4E29" w:rsidP="008A4E29">
      <w:pPr>
        <w:spacing w:line="240" w:lineRule="auto"/>
        <w:ind w:left="709" w:right="709"/>
        <w:jc w:val="both"/>
        <w:rPr>
          <w:rFonts w:ascii="Arial" w:hAnsi="Arial" w:cs="Arial"/>
          <w:color w:val="000000" w:themeColor="text1"/>
          <w:sz w:val="21"/>
          <w:szCs w:val="21"/>
          <w:lang w:val="es-MX"/>
        </w:rPr>
      </w:pPr>
      <w:r w:rsidRPr="008A4E29">
        <w:rPr>
          <w:rFonts w:ascii="Arial" w:hAnsi="Arial" w:cs="Arial"/>
          <w:color w:val="000000" w:themeColor="text1"/>
          <w:sz w:val="21"/>
          <w:szCs w:val="21"/>
          <w:lang w:val="es-MX"/>
        </w:rPr>
        <w:t>Lo anterior, sin perjuicio de las acciones administrativas y/o judiciales a que haya lugar, en contra de la (s) persona (s) que haya (n) suscrito las certificaciones exigidas para el cálculo de la capacidad residual.</w:t>
      </w:r>
    </w:p>
    <w:p w14:paraId="086D6496" w14:textId="2BD14766" w:rsidR="007E7590" w:rsidRPr="00ED0894" w:rsidRDefault="007E7590" w:rsidP="007E7590">
      <w:pPr>
        <w:widowControl w:val="0"/>
        <w:spacing w:after="0" w:line="240" w:lineRule="auto"/>
        <w:ind w:left="709" w:right="709"/>
        <w:jc w:val="both"/>
        <w:rPr>
          <w:rFonts w:ascii="Arial" w:hAnsi="Arial" w:cs="Arial"/>
          <w:sz w:val="21"/>
          <w:szCs w:val="21"/>
        </w:rPr>
      </w:pPr>
      <w:r w:rsidRPr="00ED0894">
        <w:rPr>
          <w:rFonts w:ascii="Arial" w:hAnsi="Arial" w:cs="Arial"/>
          <w:sz w:val="21"/>
          <w:szCs w:val="21"/>
        </w:rPr>
        <w:t xml:space="preserve">[…] (Énfasis fuera de texto) </w:t>
      </w:r>
    </w:p>
    <w:p w14:paraId="67B87647" w14:textId="77777777" w:rsidR="007E7590" w:rsidRPr="00ED0894" w:rsidRDefault="007E7590" w:rsidP="008A78BF">
      <w:pPr>
        <w:widowControl w:val="0"/>
        <w:spacing w:after="0" w:line="276" w:lineRule="auto"/>
        <w:ind w:right="709"/>
        <w:jc w:val="both"/>
        <w:rPr>
          <w:rFonts w:ascii="Arial" w:hAnsi="Arial" w:cs="Arial"/>
        </w:rPr>
      </w:pPr>
    </w:p>
    <w:p w14:paraId="2A9E6CF1" w14:textId="77777777" w:rsidR="007E7590" w:rsidRPr="00ED0894" w:rsidRDefault="007E7590" w:rsidP="008A78BF">
      <w:pPr>
        <w:spacing w:after="0" w:line="276" w:lineRule="auto"/>
        <w:ind w:firstLine="708"/>
        <w:jc w:val="both"/>
        <w:rPr>
          <w:rFonts w:ascii="Arial" w:eastAsiaTheme="minorEastAsia" w:hAnsi="Arial" w:cs="Arial"/>
          <w:lang w:eastAsia="es-CO"/>
        </w:rPr>
      </w:pPr>
      <w:bookmarkStart w:id="30" w:name="_Hlk81551358"/>
      <w:r w:rsidRPr="00ED0894">
        <w:rPr>
          <w:rStyle w:val="normaltextrun"/>
          <w:rFonts w:ascii="Arial" w:hAnsi="Arial" w:cs="Arial"/>
          <w:color w:val="000000"/>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ED0894">
        <w:rPr>
          <w:rFonts w:ascii="Arial" w:hAnsi="Arial" w:cs="Arial"/>
        </w:rPr>
        <w:t xml:space="preserve">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30"/>
      <w:r w:rsidRPr="00ED0894">
        <w:rPr>
          <w:rFonts w:ascii="Arial" w:hAnsi="Arial" w:cs="Arial"/>
        </w:rPr>
        <w:t>Esto concuerda con la causal de rechazo prevista en el literal «H» del numeral 1.15 del documento base, el cual autoriza el rechazo de la propuesta en el evento en «</w:t>
      </w:r>
      <w:r w:rsidRPr="00ED0894">
        <w:rPr>
          <w:rFonts w:ascii="Arial" w:eastAsia="Arial" w:hAnsi="Arial" w:cs="Arial"/>
          <w:lang w:eastAsia="es-CO"/>
        </w:rPr>
        <w:t>Que</w:t>
      </w:r>
      <w:r w:rsidRPr="00ED0894">
        <w:rPr>
          <w:rFonts w:ascii="Arial" w:eastAsia="Arial,Calibri" w:hAnsi="Arial" w:cs="Arial"/>
          <w:lang w:eastAsia="es-CO"/>
        </w:rPr>
        <w:t xml:space="preserve"> </w:t>
      </w:r>
      <w:r w:rsidRPr="00ED0894">
        <w:rPr>
          <w:rFonts w:ascii="Arial" w:eastAsia="Arial" w:hAnsi="Arial" w:cs="Arial"/>
          <w:lang w:eastAsia="es-CO"/>
        </w:rPr>
        <w:t>el</w:t>
      </w:r>
      <w:r w:rsidRPr="00ED0894">
        <w:rPr>
          <w:rFonts w:ascii="Arial" w:eastAsia="Arial,Calibri" w:hAnsi="Arial" w:cs="Arial"/>
          <w:lang w:eastAsia="es-CO"/>
        </w:rPr>
        <w:t xml:space="preserve"> </w:t>
      </w:r>
      <w:r w:rsidRPr="00ED0894">
        <w:rPr>
          <w:rFonts w:ascii="Arial" w:eastAsia="Arial" w:hAnsi="Arial" w:cs="Arial"/>
          <w:lang w:eastAsia="es-CO"/>
        </w:rPr>
        <w:t>Proponente</w:t>
      </w:r>
      <w:r w:rsidRPr="00ED0894">
        <w:rPr>
          <w:rFonts w:ascii="Arial" w:eastAsia="Arial,Calibri" w:hAnsi="Arial" w:cs="Arial"/>
          <w:lang w:eastAsia="es-CO"/>
        </w:rPr>
        <w:t xml:space="preserve"> </w:t>
      </w:r>
      <w:r w:rsidRPr="00ED0894">
        <w:rPr>
          <w:rFonts w:ascii="Arial" w:eastAsia="Arial" w:hAnsi="Arial" w:cs="Arial"/>
          <w:lang w:eastAsia="es-CO"/>
        </w:rPr>
        <w:t xml:space="preserve">aporte información inexacta </w:t>
      </w:r>
      <w:r w:rsidRPr="00ED0894">
        <w:rPr>
          <w:rFonts w:ascii="Arial" w:eastAsiaTheme="minorEastAsia" w:hAnsi="Arial" w:cs="Arial"/>
          <w:lang w:eastAsia="es-CO"/>
        </w:rPr>
        <w:t>sobre la cual pueda existir una posible falsedad</w:t>
      </w:r>
      <w:r w:rsidRPr="00ED0894" w:rsidDel="003061D1">
        <w:rPr>
          <w:rFonts w:ascii="Arial" w:eastAsiaTheme="minorEastAsia" w:hAnsi="Arial" w:cs="Arial"/>
          <w:lang w:eastAsia="es-CO"/>
        </w:rPr>
        <w:t xml:space="preserve"> </w:t>
      </w:r>
      <w:r w:rsidRPr="00ED0894">
        <w:rPr>
          <w:rFonts w:ascii="Arial" w:eastAsiaTheme="minorEastAsia" w:hAnsi="Arial" w:cs="Arial"/>
          <w:lang w:eastAsia="es-CO"/>
        </w:rPr>
        <w:t>en los términos de la sección 1.11».</w:t>
      </w:r>
    </w:p>
    <w:p w14:paraId="1AC629A7" w14:textId="77777777" w:rsidR="007E7590" w:rsidRPr="00ED0894" w:rsidRDefault="007E7590" w:rsidP="007E7590">
      <w:pPr>
        <w:spacing w:before="120" w:after="120" w:line="276" w:lineRule="auto"/>
        <w:ind w:firstLine="708"/>
        <w:jc w:val="both"/>
        <w:rPr>
          <w:rFonts w:ascii="Arial" w:hAnsi="Arial" w:cs="Arial"/>
        </w:rPr>
      </w:pPr>
      <w:r w:rsidRPr="00ED0894">
        <w:rPr>
          <w:rFonts w:ascii="Arial" w:hAnsi="Arial" w:cs="Arial"/>
        </w:rPr>
        <w:t xml:space="preserve">Según lo expuesto, al verificarse que el proponente no incluyó información contractual que afecte su capacidad residual, la entidad no estará en posición de solicitar </w:t>
      </w:r>
      <w:r w:rsidRPr="00ED0894">
        <w:rPr>
          <w:rFonts w:ascii="Arial" w:hAnsi="Arial" w:cs="Arial"/>
        </w:rPr>
        <w:lastRenderedPageBreak/>
        <w:t>aclaraciones, o acudir al régimen de subsanabilidad de ofertas</w:t>
      </w:r>
      <w:r w:rsidRPr="00ED0894">
        <w:rPr>
          <w:rFonts w:ascii="Arial" w:hAnsi="Arial" w:cs="Arial"/>
          <w:vertAlign w:val="superscript"/>
        </w:rPr>
        <w:footnoteReference w:id="6"/>
      </w:r>
      <w:r w:rsidRPr="00ED0894">
        <w:rPr>
          <w:rFonts w:ascii="Arial" w:hAnsi="Arial" w:cs="Arial"/>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3F38A5D0" w14:textId="77777777" w:rsidR="007E7590" w:rsidRPr="00ED0894" w:rsidRDefault="007E7590" w:rsidP="0065548B">
      <w:pPr>
        <w:spacing w:after="120" w:line="276" w:lineRule="auto"/>
        <w:jc w:val="both"/>
        <w:rPr>
          <w:rFonts w:ascii="Arial" w:hAnsi="Arial" w:cs="Arial"/>
        </w:rPr>
      </w:pPr>
      <w:r w:rsidRPr="00ED0894">
        <w:rPr>
          <w:rFonts w:ascii="Arial" w:hAnsi="Arial" w:cs="Arial"/>
        </w:rPr>
        <w:tab/>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ED0894">
        <w:rPr>
          <w:rFonts w:ascii="Arial" w:hAnsi="Arial" w:cs="Arial"/>
          <w:i/>
          <w:iCs/>
        </w:rPr>
        <w:t>K</w:t>
      </w:r>
      <w:r w:rsidRPr="00ED0894">
        <w:rPr>
          <w:rFonts w:ascii="Arial" w:hAnsi="Arial" w:cs="Arial"/>
        </w:rPr>
        <w:t xml:space="preserve"> de contratación, facultaría a la entidad para rechazar su oferta conforme a la causal Z del numeral 1.15 del documento base o, eventualmente, por la causal del literal H </w:t>
      </w:r>
      <w:r w:rsidRPr="00ED0894">
        <w:rPr>
          <w:rFonts w:ascii="Arial" w:hAnsi="Arial" w:cs="Arial"/>
          <w:i/>
        </w:rPr>
        <w:t>ibídem</w:t>
      </w:r>
      <w:r w:rsidRPr="00ED0894">
        <w:rPr>
          <w:rFonts w:ascii="Arial" w:hAnsi="Arial" w:cs="Arial"/>
        </w:rPr>
        <w:t>.</w:t>
      </w:r>
    </w:p>
    <w:p w14:paraId="5A04963E" w14:textId="21CAE068" w:rsidR="0065548B" w:rsidRDefault="005962A0" w:rsidP="0065548B">
      <w:pPr>
        <w:widowControl w:val="0"/>
        <w:autoSpaceDE w:val="0"/>
        <w:autoSpaceDN w:val="0"/>
        <w:spacing w:after="0" w:line="276" w:lineRule="auto"/>
        <w:ind w:firstLine="709"/>
        <w:jc w:val="both"/>
        <w:rPr>
          <w:rFonts w:ascii="Arial" w:eastAsia="Arial" w:hAnsi="Arial" w:cs="Arial"/>
          <w:bCs/>
          <w:lang w:val="es-ES" w:eastAsia="es-ES" w:bidi="es-ES"/>
        </w:rPr>
      </w:pPr>
      <w:r>
        <w:rPr>
          <w:rFonts w:ascii="Arial" w:eastAsia="Calibri" w:hAnsi="Arial" w:cs="Arial"/>
          <w:lang w:val="es-ES" w:eastAsia="es-ES" w:bidi="es-ES"/>
        </w:rPr>
        <w:t xml:space="preserve">Sin perjuicio de lo anterior, </w:t>
      </w:r>
      <w:r w:rsidR="0065548B" w:rsidRPr="00CB3676">
        <w:rPr>
          <w:rFonts w:ascii="Arial" w:eastAsia="Calibri" w:hAnsi="Arial" w:cs="Arial"/>
          <w:lang w:val="es-ES" w:eastAsia="es-ES" w:bidi="es-ES"/>
        </w:rPr>
        <w:t xml:space="preserve">resulta pertinente mencionar que, </w:t>
      </w:r>
      <w:r>
        <w:rPr>
          <w:rFonts w:ascii="Arial" w:eastAsia="Calibri" w:hAnsi="Arial" w:cs="Arial"/>
          <w:lang w:val="es-ES" w:eastAsia="es-ES" w:bidi="es-ES"/>
        </w:rPr>
        <w:t xml:space="preserve">en relación con las causales de rechazo </w:t>
      </w:r>
      <w:r w:rsidR="00775BA1">
        <w:rPr>
          <w:rFonts w:ascii="Arial" w:eastAsia="Calibri" w:hAnsi="Arial" w:cs="Arial"/>
          <w:lang w:val="es-ES" w:eastAsia="es-ES" w:bidi="es-ES"/>
        </w:rPr>
        <w:t xml:space="preserve">relacionadas </w:t>
      </w:r>
      <w:r w:rsidR="00775BA1" w:rsidRPr="00F3565B">
        <w:rPr>
          <w:rFonts w:ascii="Arial" w:eastAsia="Calibri" w:hAnsi="Arial" w:cs="Arial"/>
          <w:szCs w:val="20"/>
          <w:lang w:val="es-MX"/>
        </w:rPr>
        <w:t>con la capacidad residual como requisito habilitante</w:t>
      </w:r>
      <w:r w:rsidR="00DB0A99">
        <w:rPr>
          <w:rFonts w:ascii="Arial" w:eastAsia="Calibri" w:hAnsi="Arial" w:cs="Arial"/>
          <w:szCs w:val="20"/>
          <w:lang w:val="es-MX"/>
        </w:rPr>
        <w:t>,</w:t>
      </w:r>
      <w:r w:rsidR="00775BA1" w:rsidRPr="00CB3676">
        <w:rPr>
          <w:rFonts w:ascii="Arial" w:eastAsia="Calibri" w:hAnsi="Arial" w:cs="Arial"/>
          <w:lang w:val="es-ES" w:eastAsia="es-ES" w:bidi="es-ES"/>
        </w:rPr>
        <w:t xml:space="preserve"> </w:t>
      </w:r>
      <w:r w:rsidR="0065548B" w:rsidRPr="00CB3676">
        <w:rPr>
          <w:rFonts w:ascii="Arial" w:eastAsia="Calibri" w:hAnsi="Arial" w:cs="Arial"/>
          <w:lang w:val="es-ES" w:eastAsia="es-ES" w:bidi="es-ES"/>
        </w:rPr>
        <w:t>de</w:t>
      </w:r>
      <w:r w:rsidR="0065548B">
        <w:rPr>
          <w:rFonts w:ascii="Arial" w:eastAsia="Calibri" w:hAnsi="Arial" w:cs="Arial"/>
          <w:lang w:val="es-ES" w:eastAsia="es-ES" w:bidi="es-ES"/>
        </w:rPr>
        <w:t xml:space="preserve">be ser la entidad estatal quien determine si alguno de los supuestos de hecho contenidos en </w:t>
      </w:r>
      <w:r w:rsidR="0065548B" w:rsidRPr="00CB3676">
        <w:rPr>
          <w:rFonts w:ascii="Arial" w:eastAsia="Calibri" w:hAnsi="Arial" w:cs="Arial"/>
          <w:lang w:val="es-ES" w:eastAsia="es-ES" w:bidi="es-ES"/>
        </w:rPr>
        <w:t xml:space="preserve">las causales de rechazo contenidas </w:t>
      </w:r>
      <w:r w:rsidR="0065548B">
        <w:rPr>
          <w:rFonts w:ascii="Arial" w:eastAsia="Calibri" w:hAnsi="Arial" w:cs="Arial"/>
          <w:lang w:val="es-ES" w:eastAsia="es-ES" w:bidi="es-ES"/>
        </w:rPr>
        <w:t>del</w:t>
      </w:r>
      <w:r w:rsidR="0065548B" w:rsidRPr="00CB3676">
        <w:rPr>
          <w:rFonts w:ascii="Arial" w:eastAsia="Calibri" w:hAnsi="Arial" w:cs="Arial"/>
          <w:lang w:val="es-ES" w:eastAsia="es-ES" w:bidi="es-ES"/>
        </w:rPr>
        <w:t xml:space="preserve"> numeral 1.15 del Documento Base </w:t>
      </w:r>
      <w:r w:rsidR="0065548B" w:rsidRPr="00CB3676">
        <w:rPr>
          <w:rFonts w:ascii="Arial" w:eastAsia="Arial" w:hAnsi="Arial" w:cs="Arial"/>
          <w:bCs/>
          <w:lang w:val="es-ES" w:eastAsia="es-ES" w:bidi="es-ES"/>
        </w:rPr>
        <w:t>de los «Documentos Tipo – Versión 3»,</w:t>
      </w:r>
      <w:r w:rsidR="0065548B">
        <w:rPr>
          <w:rFonts w:ascii="Arial" w:eastAsia="Arial" w:hAnsi="Arial" w:cs="Arial"/>
          <w:bCs/>
          <w:lang w:val="es-ES" w:eastAsia="es-ES" w:bidi="es-ES"/>
        </w:rPr>
        <w:t xml:space="preserve"> aplican frente a la situación particular.</w:t>
      </w:r>
    </w:p>
    <w:p w14:paraId="5F80650C" w14:textId="77777777" w:rsidR="009F694E" w:rsidRDefault="009F694E" w:rsidP="00924037">
      <w:pPr>
        <w:spacing w:before="120" w:after="120" w:line="276" w:lineRule="auto"/>
        <w:ind w:firstLine="708"/>
        <w:jc w:val="both"/>
        <w:rPr>
          <w:rFonts w:ascii="Arial" w:hAnsi="Arial" w:cs="Arial"/>
          <w:bCs/>
          <w:lang w:val="es-MX"/>
        </w:rPr>
      </w:pPr>
      <w:r w:rsidRPr="00AC57DD">
        <w:rPr>
          <w:rFonts w:ascii="Arial" w:hAnsi="Arial" w:cs="Arial"/>
        </w:rPr>
        <w:t xml:space="preserve">Ahora bien, en congruencia con lo explicado en el </w:t>
      </w:r>
      <w:r w:rsidRPr="00F946EA">
        <w:rPr>
          <w:rFonts w:ascii="Arial" w:hAnsi="Arial" w:cs="Arial"/>
        </w:rPr>
        <w:t>numeral anterior,</w:t>
      </w:r>
      <w:r w:rsidRPr="00AC57DD">
        <w:rPr>
          <w:rFonts w:ascii="Arial" w:hAnsi="Arial" w:cs="Arial"/>
        </w:rPr>
        <w:t xml:space="preserve"> es importante tener en cuenta que </w:t>
      </w:r>
      <w:r w:rsidRPr="00AC57DD">
        <w:rPr>
          <w:rFonts w:ascii="Arial" w:hAnsi="Arial" w:cs="Arial"/>
          <w:lang w:val="es-ES"/>
        </w:rPr>
        <w:t>la causal de rechazo del literal Z del numeral 1.15 del pliego aplica por «</w:t>
      </w:r>
      <w:r w:rsidRPr="00AC57DD">
        <w:rPr>
          <w:rFonts w:ascii="Arial" w:hAnsi="Arial" w:cs="Arial"/>
          <w:lang w:val="es-MX"/>
        </w:rPr>
        <w:t xml:space="preserve">No informar todos los contratos que el Proponente tenga en ejecución antes del cierre, necesarios para acreditar su capacidad residual conforme a la sección 3.10». Para estos efectos, conforme a las definiciones previstas en </w:t>
      </w:r>
      <w:r w:rsidRPr="00AC57DD">
        <w:rPr>
          <w:rFonts w:ascii="Arial" w:hAnsi="Arial" w:cs="Arial"/>
          <w:bCs/>
          <w:lang w:val="es-ES"/>
        </w:rPr>
        <w:t>la Guía para Determinar y Verificar la Capacidad Residual del Proponente en los Procesos de Contratación de Obra Pública, el numeral II del literal E del numeral 3.10.2 del documento base dispone que «</w:t>
      </w:r>
      <w:r w:rsidRPr="00AC57DD">
        <w:rPr>
          <w:rFonts w:ascii="Arial" w:hAnsi="Arial" w:cs="Arial"/>
          <w:bCs/>
          <w:lang w:val="es-MX"/>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14:paraId="5BB16F79" w14:textId="77777777" w:rsidR="009F694E" w:rsidRPr="00AC57DD" w:rsidRDefault="009F694E" w:rsidP="009F694E">
      <w:pPr>
        <w:spacing w:line="276" w:lineRule="auto"/>
        <w:ind w:firstLine="708"/>
        <w:jc w:val="both"/>
        <w:rPr>
          <w:rFonts w:ascii="Arial" w:hAnsi="Arial" w:cs="Arial"/>
          <w:bCs/>
          <w:lang w:val="es-MX"/>
        </w:rPr>
      </w:pPr>
      <w:r w:rsidRPr="00AC57DD">
        <w:rPr>
          <w:rFonts w:ascii="Arial" w:hAnsi="Arial" w:cs="Arial"/>
          <w:bCs/>
          <w:lang w:val="es-MX"/>
        </w:rPr>
        <w:t xml:space="preserve">Como se observa, la definición solo aplica a los </w:t>
      </w:r>
      <w:r w:rsidRPr="00AC57DD">
        <w:rPr>
          <w:rFonts w:ascii="Arial" w:hAnsi="Arial" w:cs="Arial"/>
          <w:bCs/>
          <w:i/>
          <w:iCs/>
          <w:lang w:val="es-MX"/>
        </w:rPr>
        <w:t>contratos perfeccionados</w:t>
      </w:r>
      <w:r w:rsidRPr="00AC57DD">
        <w:rPr>
          <w:rFonts w:ascii="Arial" w:hAnsi="Arial" w:cs="Arial"/>
          <w:bCs/>
          <w:lang w:val="es-MX"/>
        </w:rPr>
        <w:t>, aunque estos estén suspendidos o no tengan acta de inicio. Por tanto, están fuera de esta los</w:t>
      </w:r>
      <w:r>
        <w:rPr>
          <w:rFonts w:ascii="Arial" w:hAnsi="Arial" w:cs="Arial"/>
          <w:bCs/>
          <w:lang w:val="es-MX"/>
        </w:rPr>
        <w:t xml:space="preserve"> procesos de selección </w:t>
      </w:r>
      <w:r w:rsidRPr="00AC57DD">
        <w:rPr>
          <w:rFonts w:ascii="Arial" w:hAnsi="Arial" w:cs="Arial"/>
          <w:bCs/>
          <w:i/>
          <w:iCs/>
          <w:lang w:val="es-MX"/>
        </w:rPr>
        <w:t>adjudicados</w:t>
      </w:r>
      <w:r w:rsidRPr="00AC57DD">
        <w:rPr>
          <w:rFonts w:ascii="Arial" w:hAnsi="Arial" w:cs="Arial"/>
          <w:bCs/>
          <w:lang w:val="es-MX"/>
        </w:rPr>
        <w:t xml:space="preserve">, pues –en los términos del artículo 41 de la Ley 80 de 1993– los contratos estatales de las entidades sometidas al Estatuto General de Contratación de la Administración Pública </w:t>
      </w:r>
      <w:r w:rsidRPr="00AC57DD">
        <w:rPr>
          <w:rFonts w:ascii="Arial" w:hAnsi="Arial" w:cs="Arial"/>
          <w:bCs/>
        </w:rPr>
        <w:t>se perfeccionan cuando se logre acuerdo sobre el objeto y la contraprestación y éste se eleve a escrito</w:t>
      </w:r>
      <w:r>
        <w:rPr>
          <w:rFonts w:ascii="Arial" w:hAnsi="Arial" w:cs="Arial"/>
          <w:bCs/>
        </w:rPr>
        <w:t xml:space="preserve">, lo cual ocurre con la suscripción </w:t>
      </w:r>
      <w:r>
        <w:rPr>
          <w:rFonts w:ascii="Arial" w:hAnsi="Arial" w:cs="Arial"/>
          <w:bCs/>
        </w:rPr>
        <w:lastRenderedPageBreak/>
        <w:t>formal del contrato y no con el acto de adjudicación</w:t>
      </w:r>
      <w:r w:rsidRPr="00AC57DD">
        <w:rPr>
          <w:rFonts w:ascii="Arial" w:hAnsi="Arial" w:cs="Arial"/>
          <w:bCs/>
        </w:rPr>
        <w:t xml:space="preserve">. </w:t>
      </w:r>
      <w:r w:rsidRPr="00AC57DD">
        <w:rPr>
          <w:rFonts w:ascii="Arial" w:hAnsi="Arial" w:cs="Arial"/>
        </w:rPr>
        <w:t xml:space="preserve">Lo expuesto es congruente con </w:t>
      </w:r>
      <w:r w:rsidRPr="00AC57DD">
        <w:rPr>
          <w:rFonts w:ascii="Arial" w:eastAsia="Calibri" w:hAnsi="Arial" w:cs="Arial"/>
          <w:color w:val="000000" w:themeColor="text1"/>
          <w:lang w:val="es-MX"/>
        </w:rPr>
        <w:t xml:space="preserve">el artículo 2.2.1.1.1.6.4 del Decreto 1082 de 2015, en virtud del cual, para efectos de </w:t>
      </w:r>
      <w:r w:rsidRPr="00AC57DD">
        <w:rPr>
          <w:rFonts w:ascii="Arial" w:hAnsi="Arial" w:cs="Arial"/>
          <w:lang w:val="es-MX"/>
        </w:rPr>
        <w:t>acreditar la capacidad residual del proponente, se requiere el listado de contratos de obra civiles en ejecución suscritos con entidades estatales y con entidades privadas.</w:t>
      </w:r>
    </w:p>
    <w:p w14:paraId="60F4507B" w14:textId="797925F4" w:rsidR="00F3160E" w:rsidRPr="00F3160E" w:rsidRDefault="00F3160E" w:rsidP="005220EB">
      <w:pPr>
        <w:spacing w:after="0" w:line="276" w:lineRule="auto"/>
        <w:jc w:val="both"/>
        <w:rPr>
          <w:rFonts w:ascii="Arial" w:eastAsia="Calibri" w:hAnsi="Arial" w:cs="Arial"/>
          <w:b/>
          <w:bCs/>
          <w:color w:val="000000"/>
          <w:lang w:val="es-MX" w:eastAsia="en-GB"/>
        </w:rPr>
      </w:pPr>
      <w:r w:rsidRPr="00F3160E">
        <w:rPr>
          <w:rFonts w:ascii="Arial" w:eastAsia="Calibri" w:hAnsi="Arial" w:cs="Arial"/>
          <w:b/>
          <w:color w:val="000000"/>
          <w:lang w:val="es-ES" w:eastAsia="en-GB"/>
        </w:rPr>
        <w:t>2.</w:t>
      </w:r>
      <w:r w:rsidR="00BD4298">
        <w:rPr>
          <w:rFonts w:ascii="Arial" w:eastAsia="Calibri" w:hAnsi="Arial" w:cs="Arial"/>
          <w:b/>
          <w:color w:val="000000"/>
          <w:lang w:val="es-ES" w:eastAsia="en-GB"/>
        </w:rPr>
        <w:t>3</w:t>
      </w:r>
      <w:r w:rsidRPr="00F3160E">
        <w:rPr>
          <w:rFonts w:ascii="Arial" w:eastAsia="Calibri" w:hAnsi="Arial" w:cs="Arial"/>
          <w:b/>
          <w:color w:val="000000"/>
          <w:lang w:val="es-ES" w:eastAsia="en-GB"/>
        </w:rPr>
        <w:t xml:space="preserve">. </w:t>
      </w:r>
      <w:r w:rsidR="005220EB">
        <w:rPr>
          <w:rFonts w:ascii="Arial" w:eastAsia="Calibri" w:hAnsi="Arial" w:cs="Arial"/>
          <w:b/>
          <w:bCs/>
          <w:color w:val="000000"/>
          <w:lang w:val="es-MX" w:eastAsia="en-GB"/>
        </w:rPr>
        <w:t>R</w:t>
      </w:r>
      <w:r w:rsidR="008F6D6E" w:rsidRPr="004930D7">
        <w:rPr>
          <w:rFonts w:ascii="Arial" w:eastAsia="Calibri" w:hAnsi="Arial" w:cs="Arial"/>
          <w:b/>
          <w:bCs/>
        </w:rPr>
        <w:t xml:space="preserve">ecomendaciones del ente rector de la contratación pública - Colombia Compra Eficiente respecto del manejo de ofertas que pueden tener </w:t>
      </w:r>
      <w:r w:rsidR="008F6D6E" w:rsidRPr="004930D7">
        <w:rPr>
          <w:rFonts w:ascii="Arial" w:eastAsia="Calibri" w:hAnsi="Arial" w:cs="Arial"/>
          <w:b/>
        </w:rPr>
        <w:t>«precios artificialmente bajos»</w:t>
      </w:r>
    </w:p>
    <w:p w14:paraId="17C05D05" w14:textId="7C87A21F" w:rsidR="00F3160E" w:rsidRDefault="00F3160E" w:rsidP="005220EB">
      <w:pPr>
        <w:spacing w:after="0" w:line="240" w:lineRule="auto"/>
        <w:jc w:val="both"/>
        <w:rPr>
          <w:rFonts w:ascii="Arial" w:hAnsi="Arial" w:cs="Arial"/>
          <w:color w:val="000000" w:themeColor="text1"/>
          <w:lang w:val="es-MX"/>
        </w:rPr>
      </w:pPr>
    </w:p>
    <w:p w14:paraId="7812D713" w14:textId="44567DB2" w:rsidR="00572010" w:rsidRPr="00F3160E" w:rsidRDefault="00572010" w:rsidP="005220EB">
      <w:pPr>
        <w:spacing w:after="0" w:line="276" w:lineRule="auto"/>
        <w:jc w:val="both"/>
        <w:rPr>
          <w:rFonts w:ascii="Arial" w:hAnsi="Arial" w:cs="Arial"/>
          <w:color w:val="000000" w:themeColor="text1"/>
          <w:lang w:val="es-MX"/>
        </w:rPr>
      </w:pPr>
      <w:r w:rsidRPr="00F3160E">
        <w:rPr>
          <w:rFonts w:ascii="Arial" w:hAnsi="Arial" w:cs="Arial"/>
          <w:color w:val="000000" w:themeColor="text1"/>
          <w:lang w:val="es-MX"/>
        </w:rPr>
        <w:t xml:space="preserve">El artículo 2.2.1.1.2.2.4. del Decreto 1082 de 2015 regula el procedimiento a seguir en los eventos en que se presenten propuestas </w:t>
      </w:r>
      <w:r w:rsidR="00A0161A">
        <w:rPr>
          <w:rFonts w:ascii="Arial" w:hAnsi="Arial" w:cs="Arial"/>
          <w:color w:val="000000" w:themeColor="text1"/>
          <w:lang w:val="es-MX"/>
        </w:rPr>
        <w:t>que parecen ser</w:t>
      </w:r>
      <w:r w:rsidRPr="00F3160E">
        <w:rPr>
          <w:rFonts w:ascii="Arial" w:hAnsi="Arial" w:cs="Arial"/>
          <w:color w:val="000000" w:themeColor="text1"/>
          <w:lang w:val="es-MX"/>
        </w:rPr>
        <w:t xml:space="preserve"> artificialmente baj</w:t>
      </w:r>
      <w:r w:rsidR="00A0161A">
        <w:rPr>
          <w:rFonts w:ascii="Arial" w:hAnsi="Arial" w:cs="Arial"/>
          <w:color w:val="000000" w:themeColor="text1"/>
          <w:lang w:val="es-MX"/>
        </w:rPr>
        <w:t>as</w:t>
      </w:r>
      <w:r w:rsidRPr="00F3160E">
        <w:rPr>
          <w:rFonts w:ascii="Arial" w:hAnsi="Arial" w:cs="Arial"/>
          <w:color w:val="000000" w:themeColor="text1"/>
          <w:lang w:val="es-MX"/>
        </w:rPr>
        <w:t xml:space="preserve">, así: </w:t>
      </w:r>
    </w:p>
    <w:p w14:paraId="05D1E01A" w14:textId="77777777" w:rsidR="00572010" w:rsidRPr="00F3160E" w:rsidRDefault="00572010" w:rsidP="00572010">
      <w:pPr>
        <w:spacing w:after="0" w:line="276" w:lineRule="auto"/>
        <w:ind w:firstLine="709"/>
        <w:jc w:val="both"/>
        <w:rPr>
          <w:rFonts w:ascii="Arial" w:hAnsi="Arial" w:cs="Arial"/>
          <w:color w:val="000000" w:themeColor="text1"/>
          <w:lang w:val="es-MX"/>
        </w:rPr>
      </w:pPr>
    </w:p>
    <w:p w14:paraId="5F8F0402" w14:textId="77777777" w:rsidR="00572010" w:rsidRPr="00F3160E" w:rsidRDefault="00572010" w:rsidP="00572010">
      <w:pPr>
        <w:spacing w:after="120" w:line="240" w:lineRule="auto"/>
        <w:ind w:left="709" w:right="709"/>
        <w:jc w:val="both"/>
        <w:rPr>
          <w:rFonts w:ascii="Arial" w:hAnsi="Arial" w:cs="Arial"/>
          <w:color w:val="000000" w:themeColor="text1"/>
          <w:sz w:val="21"/>
          <w:szCs w:val="21"/>
          <w:lang w:val="es-MX"/>
        </w:rPr>
      </w:pPr>
      <w:r w:rsidRPr="00F3160E">
        <w:rPr>
          <w:rFonts w:ascii="Arial" w:hAnsi="Arial" w:cs="Arial"/>
          <w:color w:val="000000" w:themeColor="text1"/>
          <w:sz w:val="21"/>
          <w:szCs w:val="21"/>
          <w:lang w:val="es-MX"/>
        </w:rPr>
        <w:t>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0C99B445" w14:textId="77777777" w:rsidR="00572010" w:rsidRPr="00F3160E" w:rsidRDefault="00572010" w:rsidP="00572010">
      <w:pPr>
        <w:spacing w:after="120" w:line="240" w:lineRule="auto"/>
        <w:ind w:left="709" w:right="709"/>
        <w:jc w:val="both"/>
        <w:rPr>
          <w:rFonts w:ascii="Arial" w:hAnsi="Arial" w:cs="Arial"/>
          <w:color w:val="000000" w:themeColor="text1"/>
          <w:sz w:val="21"/>
          <w:szCs w:val="21"/>
          <w:lang w:val="es-MX"/>
        </w:rPr>
      </w:pPr>
      <w:r w:rsidRPr="00F3160E">
        <w:rPr>
          <w:rFonts w:ascii="Arial" w:hAnsi="Arial" w:cs="Arial"/>
          <w:color w:val="000000" w:themeColor="text1"/>
          <w:sz w:val="21"/>
          <w:szCs w:val="21"/>
          <w:lang w:val="es-MX"/>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7FA571FC" w14:textId="77777777" w:rsidR="00572010" w:rsidRPr="00F3160E" w:rsidRDefault="00572010" w:rsidP="00572010">
      <w:pPr>
        <w:spacing w:after="0" w:line="240" w:lineRule="auto"/>
        <w:ind w:left="709" w:right="709"/>
        <w:jc w:val="both"/>
        <w:rPr>
          <w:rFonts w:ascii="Arial" w:hAnsi="Arial" w:cs="Arial"/>
          <w:color w:val="000000" w:themeColor="text1"/>
          <w:sz w:val="21"/>
          <w:szCs w:val="21"/>
          <w:lang w:val="es-MX"/>
        </w:rPr>
      </w:pPr>
      <w:r w:rsidRPr="00F3160E">
        <w:rPr>
          <w:rFonts w:ascii="Arial" w:hAnsi="Arial" w:cs="Arial"/>
          <w:color w:val="000000" w:themeColor="text1"/>
          <w:sz w:val="21"/>
          <w:szCs w:val="21"/>
          <w:lang w:val="es-MX"/>
        </w:rPr>
        <w:t>En la subasta inversa esta disposición es aplicable sobre el precio obtenido al final de la misma.</w:t>
      </w:r>
    </w:p>
    <w:p w14:paraId="0912D639" w14:textId="77777777" w:rsidR="00572010" w:rsidRPr="00F3160E" w:rsidRDefault="00572010" w:rsidP="00572010">
      <w:pPr>
        <w:spacing w:after="0" w:line="276" w:lineRule="auto"/>
        <w:ind w:left="709" w:right="709"/>
        <w:jc w:val="both"/>
        <w:rPr>
          <w:rFonts w:ascii="Arial" w:hAnsi="Arial" w:cs="Arial"/>
          <w:color w:val="000000" w:themeColor="text1"/>
          <w:sz w:val="20"/>
          <w:szCs w:val="20"/>
          <w:lang w:val="es-MX"/>
        </w:rPr>
      </w:pPr>
    </w:p>
    <w:p w14:paraId="32B0FDFB" w14:textId="7B4D66F2" w:rsidR="00572010" w:rsidRDefault="00572010" w:rsidP="00572010">
      <w:pPr>
        <w:spacing w:after="120" w:line="276" w:lineRule="auto"/>
        <w:ind w:firstLine="709"/>
        <w:jc w:val="both"/>
        <w:rPr>
          <w:rFonts w:ascii="Arial" w:hAnsi="Arial" w:cs="Arial"/>
          <w:color w:val="000000" w:themeColor="text1"/>
          <w:lang w:val="es-MX"/>
        </w:rPr>
      </w:pPr>
      <w:r w:rsidRPr="00F3160E">
        <w:rPr>
          <w:rFonts w:ascii="Arial" w:hAnsi="Arial" w:cs="Arial"/>
          <w:color w:val="000000" w:themeColor="text1"/>
          <w:lang w:val="es-MX"/>
        </w:rPr>
        <w:t xml:space="preserve">De lo expuesto se desprende que, ante una propuesta, la entidad estatal deberá determinar si esta es considerada artificialmente baja, de acuerdo con la información del análisis del sector. De ser así, está obligada a realizar los siguientes pasos: (i) requerir al oferente para que explique las razones que sustentan el valor ofrecido; (ii) analizar las explicaciones; y (iii) con base en lo anterior, rechazar la oferta o continuar con el análisis de la misma en la evaluación de las ofertas. </w:t>
      </w:r>
    </w:p>
    <w:p w14:paraId="5BEB2628" w14:textId="77777777" w:rsidR="00C72279" w:rsidRPr="00C72279" w:rsidRDefault="00C72279" w:rsidP="00C72279">
      <w:pPr>
        <w:spacing w:after="120" w:line="276" w:lineRule="auto"/>
        <w:ind w:firstLine="709"/>
        <w:jc w:val="both"/>
        <w:rPr>
          <w:rFonts w:ascii="Arial" w:eastAsia="Calibri" w:hAnsi="Arial" w:cs="Arial"/>
          <w:lang w:val="es-MX"/>
        </w:rPr>
      </w:pPr>
      <w:r w:rsidRPr="00C72279">
        <w:rPr>
          <w:rFonts w:ascii="Arial" w:eastAsia="Calibri" w:hAnsi="Arial" w:cs="Arial"/>
          <w:lang w:val="es-MX"/>
        </w:rPr>
        <w:t>El análisis de los precios de una oferta se hace en la fase de evaluación del procedimiento, que es la oportunidad para verificar, a través del comité evaluador</w:t>
      </w:r>
      <w:r w:rsidRPr="00C72279">
        <w:rPr>
          <w:rFonts w:ascii="Calibri" w:eastAsia="Calibri" w:hAnsi="Calibri" w:cs="Times New Roman"/>
          <w:sz w:val="24"/>
          <w:vertAlign w:val="superscript"/>
          <w:lang w:val="es-MX"/>
        </w:rPr>
        <w:footnoteReference w:id="7"/>
      </w:r>
      <w:r w:rsidRPr="00C72279">
        <w:rPr>
          <w:rFonts w:ascii="Arial" w:eastAsia="Calibri" w:hAnsi="Arial" w:cs="Arial"/>
          <w:lang w:val="es-MX"/>
        </w:rPr>
        <w:t xml:space="preserve">, las </w:t>
      </w:r>
      <w:r w:rsidRPr="00C72279">
        <w:rPr>
          <w:rFonts w:ascii="Arial" w:eastAsia="Calibri" w:hAnsi="Arial" w:cs="Arial"/>
          <w:lang w:val="es-MX"/>
        </w:rPr>
        <w:lastRenderedPageBreak/>
        <w:t xml:space="preserve">reglas diseñadas en la estructuración del procedimiento y plasmadas en los pliegos de condiciones, con el fin de comprobar si las cumplen o no, calificar a los oferentes o rechazarlos para establecer un orden de elegibilidad. </w:t>
      </w:r>
    </w:p>
    <w:p w14:paraId="6723B0C9" w14:textId="77777777" w:rsidR="00C72279" w:rsidRPr="00C72279" w:rsidRDefault="00C72279" w:rsidP="00C72279">
      <w:pPr>
        <w:spacing w:after="120" w:line="276" w:lineRule="auto"/>
        <w:ind w:firstLine="709"/>
        <w:jc w:val="both"/>
        <w:rPr>
          <w:rFonts w:ascii="Arial" w:eastAsia="Calibri" w:hAnsi="Arial" w:cs="Arial"/>
          <w:lang w:val="es-MX"/>
        </w:rPr>
      </w:pPr>
      <w:r w:rsidRPr="00C72279">
        <w:rPr>
          <w:rFonts w:ascii="Arial" w:eastAsia="Calibri" w:hAnsi="Arial" w:cs="Arial"/>
          <w:lang w:val="es-MX"/>
        </w:rPr>
        <w:t>En ese sentido, en la evaluación la entidad debe verificar la oferta y su componente económico, para determinar si corresponde con el resultado del análisis de la oferta en el estudio de mercado, o si los precios tienen un componente atípico que no se identificó al observar el comportamiento de los proveedores del bien, obra o servicio que se pretende contratar. En ese caso, la entidad podrá identificar las ofertas con precios que parecen artificialmente bajos, y seguir el procedimiento del Decreto 1082 de 2015.</w:t>
      </w:r>
    </w:p>
    <w:p w14:paraId="5F41EA35" w14:textId="77777777" w:rsidR="00C72279" w:rsidRPr="00C72279" w:rsidRDefault="00C72279" w:rsidP="00C72279">
      <w:pPr>
        <w:spacing w:after="120" w:line="276" w:lineRule="auto"/>
        <w:ind w:firstLine="708"/>
        <w:jc w:val="both"/>
        <w:rPr>
          <w:rFonts w:ascii="Arial" w:eastAsia="Calibri" w:hAnsi="Arial" w:cs="Arial"/>
          <w:lang w:val="es-MX"/>
        </w:rPr>
      </w:pPr>
      <w:r w:rsidRPr="00C72279">
        <w:rPr>
          <w:rFonts w:ascii="Arial" w:eastAsia="Calibri" w:hAnsi="Arial" w:cs="Arial"/>
          <w:lang w:val="es-MX"/>
        </w:rPr>
        <w:t>Finalmente, concluido ese análisis, es posible que a partir de las explicaciones ofrecidas por el proponente se determine que el valor responde a circunstancias objetivas que le permiten cumplir el contrato, sin que con ello termine la evaluación, porque el Decreto 1082 de 2015 señala que la entidad puede continuar el análisis en esta fase de evaluación.</w:t>
      </w:r>
    </w:p>
    <w:p w14:paraId="4B0C65A4" w14:textId="77777777" w:rsidR="00572010" w:rsidRPr="00735584" w:rsidRDefault="00572010" w:rsidP="00C72279">
      <w:pPr>
        <w:spacing w:after="120" w:line="276" w:lineRule="auto"/>
        <w:ind w:firstLine="709"/>
        <w:jc w:val="both"/>
        <w:rPr>
          <w:rFonts w:ascii="Arial" w:eastAsia="Calibri" w:hAnsi="Arial" w:cs="Arial"/>
          <w:lang w:val="es-MX"/>
        </w:rPr>
      </w:pPr>
      <w:r w:rsidRPr="00735584">
        <w:rPr>
          <w:rFonts w:ascii="Arial" w:eastAsia="Calibri" w:hAnsi="Arial" w:cs="Arial"/>
          <w:lang w:val="es-MX"/>
        </w:rPr>
        <w:t xml:space="preserve">La Agencia Nacional de Contratación Pública – Colombia Compra Eficiente expidió la «Guía para el manejo de ofertas artificialmente bajas en Procesos de Contratación», en la cual se señalan las causas y consecuencias de que en los procedimientos contractuales existan este tipo de ofertas, y las herramientas y pasos para identificarlas y manejarlas; además de estrategias para reducir la posibilidad de recibir ofertas con «precios artificialmente bajos». </w:t>
      </w:r>
    </w:p>
    <w:p w14:paraId="35A42E27" w14:textId="77777777" w:rsidR="00572010" w:rsidRPr="00735584" w:rsidRDefault="00572010" w:rsidP="007776C8">
      <w:pPr>
        <w:spacing w:after="120" w:line="276" w:lineRule="auto"/>
        <w:ind w:firstLine="709"/>
        <w:jc w:val="both"/>
        <w:rPr>
          <w:rFonts w:ascii="Arial" w:eastAsia="Calibri" w:hAnsi="Arial" w:cs="Arial"/>
          <w:lang w:val="es-MX"/>
        </w:rPr>
      </w:pPr>
      <w:r w:rsidRPr="00735584">
        <w:rPr>
          <w:rFonts w:ascii="Arial" w:eastAsia="Calibri" w:hAnsi="Arial" w:cs="Arial"/>
          <w:lang w:val="es-MX"/>
        </w:rPr>
        <w:t>Esta Guía brinda recomendaciones a los participantes de la contratación pública, en cumplimiento del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w:t>
      </w:r>
      <w:r w:rsidRPr="00735584">
        <w:rPr>
          <w:rFonts w:ascii="Arial" w:eastAsia="Calibri" w:hAnsi="Arial" w:cs="Arial"/>
          <w:vertAlign w:val="superscript"/>
          <w:lang w:val="es-MX"/>
        </w:rPr>
        <w:footnoteReference w:id="8"/>
      </w:r>
      <w:r w:rsidRPr="00735584">
        <w:rPr>
          <w:rFonts w:ascii="Arial" w:eastAsia="Calibri" w:hAnsi="Arial" w:cs="Arial"/>
          <w:lang w:val="es-MX"/>
        </w:rPr>
        <w:t xml:space="preserve">. </w:t>
      </w:r>
    </w:p>
    <w:p w14:paraId="768B6562" w14:textId="77777777" w:rsidR="00572010" w:rsidRPr="00735584" w:rsidRDefault="00572010" w:rsidP="00572010">
      <w:pPr>
        <w:spacing w:after="120" w:line="276" w:lineRule="auto"/>
        <w:ind w:firstLine="708"/>
        <w:jc w:val="both"/>
        <w:rPr>
          <w:rFonts w:ascii="Arial" w:eastAsia="Calibri" w:hAnsi="Arial" w:cs="Arial"/>
          <w:lang w:val="es-MX"/>
        </w:rPr>
      </w:pPr>
      <w:r w:rsidRPr="00735584">
        <w:rPr>
          <w:rFonts w:ascii="Arial" w:eastAsia="Calibri" w:hAnsi="Arial" w:cs="Arial"/>
          <w:lang w:val="es-MX"/>
        </w:rPr>
        <w:lastRenderedPageBreak/>
        <w:t xml:space="preserve">Entre las funciones asignadas se contempla el desarrollo y publicación de instrumentos y herramientas que ayuden a los participantes de la contratación pública, los cuales fueron denominados por la Agencia como manuales y guías. Los lineamientos y orientaciones que esta entidad propone tienen en cuenta la aplicación de normas de carácter general en materia de compras y contratación pública, y por ende se dirigen a facilitar la actividad contractual de las entidades públicas en general. </w:t>
      </w:r>
    </w:p>
    <w:p w14:paraId="5CBD4AEC" w14:textId="77777777" w:rsidR="00572010" w:rsidRPr="00735584" w:rsidRDefault="00572010" w:rsidP="00572010">
      <w:pPr>
        <w:spacing w:after="120" w:line="276" w:lineRule="auto"/>
        <w:ind w:firstLine="709"/>
        <w:jc w:val="both"/>
        <w:rPr>
          <w:rFonts w:ascii="Arial" w:eastAsia="Calibri" w:hAnsi="Arial" w:cs="Arial"/>
          <w:lang w:val="es-MX"/>
        </w:rPr>
      </w:pPr>
      <w:r w:rsidRPr="00735584">
        <w:rPr>
          <w:rFonts w:ascii="Arial" w:eastAsia="Calibri" w:hAnsi="Arial" w:cs="Arial"/>
          <w:lang w:val="es-MX"/>
        </w:rPr>
        <w:t>Con la precisión anterior, la Guía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 […]»</w:t>
      </w:r>
      <w:r w:rsidRPr="00735584">
        <w:rPr>
          <w:rFonts w:ascii="Arial" w:eastAsia="Calibri" w:hAnsi="Arial" w:cs="Arial"/>
          <w:vertAlign w:val="superscript"/>
          <w:lang w:val="es-MX"/>
        </w:rPr>
        <w:footnoteReference w:id="9"/>
      </w:r>
      <w:r w:rsidRPr="00735584">
        <w:rPr>
          <w:rFonts w:ascii="Arial" w:eastAsia="Calibri" w:hAnsi="Arial" w:cs="Arial"/>
          <w:lang w:val="es-MX"/>
        </w:rPr>
        <w:t xml:space="preserve">. </w:t>
      </w:r>
    </w:p>
    <w:p w14:paraId="64F03658" w14:textId="77777777" w:rsidR="00572010" w:rsidRPr="00735584" w:rsidRDefault="00572010" w:rsidP="00572010">
      <w:pPr>
        <w:spacing w:after="120" w:line="276" w:lineRule="auto"/>
        <w:ind w:firstLine="709"/>
        <w:jc w:val="both"/>
        <w:rPr>
          <w:rFonts w:ascii="Arial" w:eastAsia="Calibri" w:hAnsi="Arial" w:cs="Arial"/>
          <w:lang w:val="es-MX"/>
        </w:rPr>
      </w:pPr>
      <w:r w:rsidRPr="00735584">
        <w:rPr>
          <w:rFonts w:ascii="Arial" w:eastAsia="Calibri" w:hAnsi="Arial" w:cs="Arial"/>
          <w:lang w:val="es-MX"/>
        </w:rPr>
        <w:t xml:space="preserve">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5F005C0F" w14:textId="77777777" w:rsidR="00572010" w:rsidRPr="00735584" w:rsidRDefault="00572010" w:rsidP="001C24CC">
      <w:pPr>
        <w:spacing w:after="120" w:line="276" w:lineRule="auto"/>
        <w:ind w:firstLine="708"/>
        <w:jc w:val="both"/>
        <w:rPr>
          <w:rFonts w:ascii="Arial" w:eastAsia="Calibri" w:hAnsi="Arial" w:cs="Arial"/>
          <w:lang w:val="es-MX"/>
        </w:rPr>
      </w:pPr>
      <w:r w:rsidRPr="00735584">
        <w:rPr>
          <w:rFonts w:ascii="Arial" w:eastAsia="Calibri" w:hAnsi="Arial" w:cs="Arial"/>
          <w:lang w:val="es-MX"/>
        </w:rPr>
        <w:t>En la introducción de la Guía</w:t>
      </w:r>
      <w:r w:rsidRPr="00735584">
        <w:rPr>
          <w:rFonts w:ascii="Arial" w:eastAsia="Calibri" w:hAnsi="Arial" w:cs="Arial"/>
          <w:vertAlign w:val="superscript"/>
          <w:lang w:val="es-MX"/>
        </w:rPr>
        <w:footnoteReference w:id="10"/>
      </w:r>
      <w:r w:rsidRPr="00735584">
        <w:rPr>
          <w:rFonts w:ascii="Arial" w:eastAsia="Calibri" w:hAnsi="Arial" w:cs="Arial"/>
          <w:lang w:val="es-MX"/>
        </w:rPr>
        <w:t xml:space="preserve">, se indica que su propósito es identificar las características de este tipo de ofertas, y después se señalan las consecuencias para la ejecución del contrato, cuando la oferta tiene «precios artificialmente bajos», como sobrecostos y distorsiones del mercado. Sobre las causas, se indica que puede ser el desconocimiento o que se busca afectar la competencia y la participación de otros proponentes. </w:t>
      </w:r>
    </w:p>
    <w:p w14:paraId="2BD8831E" w14:textId="77777777" w:rsidR="00572010" w:rsidRPr="00735584" w:rsidRDefault="00572010" w:rsidP="00332B98">
      <w:pPr>
        <w:spacing w:after="120" w:line="276" w:lineRule="auto"/>
        <w:ind w:firstLine="709"/>
        <w:jc w:val="both"/>
        <w:rPr>
          <w:rFonts w:ascii="Arial" w:eastAsia="Calibri" w:hAnsi="Arial" w:cs="Arial"/>
          <w:lang w:val="es-MX"/>
        </w:rPr>
      </w:pPr>
      <w:r w:rsidRPr="00735584">
        <w:rPr>
          <w:rFonts w:ascii="Arial" w:eastAsia="Calibri" w:hAnsi="Arial" w:cs="Arial"/>
          <w:lang w:val="es-MX"/>
        </w:rPr>
        <w:t>Con lo anterior, la Guía propone que el análisis se realice con todas las ofertas en general, no de forma aislada, porque sin ese análisis global no se pueden separar las que ofrecen «precios artificialmente bajos» de las que no. Para identificar las ofertas, la entidad debe tener como insumos: i) el promedio del valor de las ofertas; ii) la mediana del valor las ofertas</w:t>
      </w:r>
      <w:r w:rsidRPr="00735584">
        <w:rPr>
          <w:rFonts w:ascii="Arial" w:eastAsia="Calibri" w:hAnsi="Arial" w:cs="Arial"/>
          <w:vertAlign w:val="superscript"/>
          <w:lang w:val="es-MX"/>
        </w:rPr>
        <w:footnoteReference w:id="11"/>
      </w:r>
      <w:r w:rsidRPr="00735584">
        <w:rPr>
          <w:rFonts w:ascii="Arial" w:eastAsia="Calibri" w:hAnsi="Arial" w:cs="Arial"/>
          <w:lang w:val="es-MX"/>
        </w:rPr>
        <w:t xml:space="preserve">; iii) la desviación estándar del valor de las ofertas; iv) la diferencia entre el costo estimado del contrato y el promedio o mediana del valor de las ofertas; v) la diferencia entre </w:t>
      </w:r>
      <w:r w:rsidRPr="00735584">
        <w:rPr>
          <w:rFonts w:ascii="Arial" w:eastAsia="Calibri" w:hAnsi="Arial" w:cs="Arial"/>
          <w:lang w:val="es-MX"/>
        </w:rPr>
        <w:lastRenderedPageBreak/>
        <w:t xml:space="preserve">el valor de la oferta que puede ser artificialmente baja y el promedio del valor de las ofertas; vi) la diferencia entre el valor de la oferta que puede ser artificialmente baja y el costo estimado del contrato y vii) la información histórica de ofertas y contratos del objeto del proceso de contratación. </w:t>
      </w:r>
    </w:p>
    <w:p w14:paraId="2C2ADD4E" w14:textId="77777777" w:rsidR="00572010" w:rsidRPr="00735584" w:rsidRDefault="00572010" w:rsidP="00572010">
      <w:pPr>
        <w:spacing w:after="120" w:line="276" w:lineRule="auto"/>
        <w:ind w:firstLine="708"/>
        <w:jc w:val="both"/>
        <w:rPr>
          <w:rFonts w:ascii="Arial" w:eastAsia="Calibri" w:hAnsi="Arial" w:cs="Arial"/>
          <w:lang w:val="es-MX"/>
        </w:rPr>
      </w:pPr>
      <w:r w:rsidRPr="00735584">
        <w:rPr>
          <w:rFonts w:ascii="Arial" w:eastAsia="Calibri" w:hAnsi="Arial" w:cs="Arial"/>
          <w:lang w:val="es-MX"/>
        </w:rPr>
        <w:t xml:space="preserve">Con esta información, la Guía propone dos (2) «herramientas» y una (1) «metodología», y su aplicación depende de la cantidad de ofertas que se presentaron al procedimiento. Para la primera herramienta, la entidad puede acudir a la </w:t>
      </w:r>
      <w:r w:rsidRPr="00735584">
        <w:rPr>
          <w:rFonts w:ascii="Arial" w:eastAsia="Calibri" w:hAnsi="Arial" w:cs="Arial"/>
          <w:i/>
          <w:iCs/>
          <w:lang w:val="es-MX"/>
        </w:rPr>
        <w:t>comparación absoluta,</w:t>
      </w:r>
      <w:r w:rsidRPr="00735584">
        <w:rPr>
          <w:rFonts w:ascii="Arial" w:eastAsia="Calibri" w:hAnsi="Arial" w:cs="Arial"/>
          <w:lang w:val="es-MX"/>
        </w:rPr>
        <w:t xml:space="preserve">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pueden contener precios artificialmente bajos. Por consiguiente, esta herramienta no se puede aplicar cuando se reciben cinco (5) o más ofertas, y no todas las ofertas deben ser tratadas por posibles «precios artificialmente bajos</w:t>
      </w:r>
      <w:r w:rsidRPr="00735584">
        <w:rPr>
          <w:rFonts w:ascii="Arial" w:eastAsia="Calibri" w:hAnsi="Arial" w:cs="Arial"/>
          <w:lang w:val="es-ES"/>
        </w:rPr>
        <w:t>» sino aquellas con un valor por debajo del 20% o un porcentaje superior, respecto del valor que la entidad definió como precio del bien, obra o servicio.</w:t>
      </w:r>
    </w:p>
    <w:p w14:paraId="0378D726" w14:textId="77777777" w:rsidR="00572010" w:rsidRPr="00735584" w:rsidRDefault="00572010" w:rsidP="00572010">
      <w:pPr>
        <w:spacing w:after="120" w:line="276" w:lineRule="auto"/>
        <w:ind w:firstLine="708"/>
        <w:jc w:val="both"/>
        <w:rPr>
          <w:rFonts w:ascii="Arial" w:eastAsia="Calibri" w:hAnsi="Arial" w:cs="Arial"/>
          <w:lang w:val="es-MX"/>
        </w:rPr>
      </w:pPr>
      <w:bookmarkStart w:id="31" w:name="_Hlk64372641"/>
      <w:r w:rsidRPr="00735584">
        <w:rPr>
          <w:rFonts w:ascii="Arial" w:eastAsia="Calibri" w:hAnsi="Arial" w:cs="Arial"/>
          <w:lang w:val="es-MX"/>
        </w:rPr>
        <w:t xml:space="preserve">La segunda herramienta, denominada </w:t>
      </w:r>
      <w:r w:rsidRPr="00735584">
        <w:rPr>
          <w:rFonts w:ascii="Arial" w:eastAsia="Calibri" w:hAnsi="Arial" w:cs="Arial"/>
          <w:i/>
          <w:iCs/>
          <w:lang w:val="es-MX"/>
        </w:rPr>
        <w:t>comparación relativa,</w:t>
      </w:r>
      <w:r w:rsidRPr="00735584">
        <w:rPr>
          <w:rFonts w:ascii="Arial" w:eastAsia="Calibri" w:hAnsi="Arial" w:cs="Arial"/>
          <w:lang w:val="es-MX"/>
        </w:rPr>
        <w:t xml:space="preserve"> corresponde a la «comparación de cada oferta con las demás presentadas», sin que se indique la cantidad de ofertas que recibió la entidad, por lo cual nada obsta para aplicarla, independientemente del número de ofertas presentadas al procedimiento. Sin embargo, las herramientas mencionadas no son funcionales cuando el mercado se encuentra coludido, ya que los precios están distorsionados y no permiten una comparación objetiva, porque son precios que no corresponden a las dinámicas de mercado, al ser acordados entre los proponentes e impiden identificar diferencias significativas que evidencien «precios artificialmente bajos», los cuales no serán visibles por esta circunstancia.</w:t>
      </w:r>
    </w:p>
    <w:p w14:paraId="4DE2902A" w14:textId="77777777" w:rsidR="00572010" w:rsidRPr="00735584" w:rsidRDefault="00572010" w:rsidP="00572010">
      <w:pPr>
        <w:spacing w:before="120" w:after="120" w:line="276" w:lineRule="auto"/>
        <w:ind w:firstLine="709"/>
        <w:jc w:val="both"/>
        <w:rPr>
          <w:rFonts w:ascii="Arial" w:eastAsia="Calibri" w:hAnsi="Arial" w:cs="Arial"/>
          <w:sz w:val="21"/>
          <w:szCs w:val="21"/>
        </w:rPr>
      </w:pPr>
      <w:bookmarkStart w:id="32" w:name="_Hlk64372704"/>
      <w:bookmarkEnd w:id="31"/>
      <w:r w:rsidRPr="00735584">
        <w:rPr>
          <w:rFonts w:ascii="Arial" w:eastAsia="Calibri" w:hAnsi="Arial" w:cs="Arial"/>
          <w:lang w:val="es-MX"/>
        </w:rPr>
        <w:t xml:space="preserve">Por otra parte, Colombia Compra Eficiente ha sugerido aplicar la siguiente metodología con pasos sucesivos, para identificar ofertas que pueden tener «precios artificialmente bajos», en los procedimientos donde hay cinco (5) o más ofertas, </w:t>
      </w:r>
      <w:bookmarkEnd w:id="32"/>
      <w:r w:rsidRPr="00735584">
        <w:rPr>
          <w:rFonts w:ascii="Arial" w:eastAsia="Calibri" w:hAnsi="Arial" w:cs="Arial"/>
          <w:lang w:val="es-MX"/>
        </w:rPr>
        <w:t>es decir, no es posible aplicarla cuando se reciben menos de cinco (5) ofertas: i) tomar el conjunto de ofertas a evaluar, ii) calcular la mediana, o dependiendo de la dispersión de los datos el promedio, del valor de cada oferta o de cada ítem dentro de la oferta, iii) calcular la desviación estándar del conjunto y iv) determinar el valor mínimo aceptable</w:t>
      </w:r>
      <w:r w:rsidRPr="00735584">
        <w:rPr>
          <w:rFonts w:ascii="Arial" w:eastAsia="Calibri" w:hAnsi="Arial" w:cs="Arial"/>
          <w:sz w:val="21"/>
          <w:szCs w:val="21"/>
          <w:vertAlign w:val="superscript"/>
          <w:lang w:val="es-MX"/>
        </w:rPr>
        <w:footnoteReference w:id="12"/>
      </w:r>
      <w:r w:rsidRPr="00735584">
        <w:rPr>
          <w:rFonts w:ascii="Arial" w:eastAsia="Calibri" w:hAnsi="Arial" w:cs="Arial"/>
          <w:sz w:val="21"/>
          <w:szCs w:val="21"/>
        </w:rPr>
        <w:t>.</w:t>
      </w:r>
    </w:p>
    <w:p w14:paraId="07C1806A" w14:textId="77777777" w:rsidR="00572010" w:rsidRPr="00735584" w:rsidRDefault="00572010" w:rsidP="00572010">
      <w:pPr>
        <w:spacing w:after="0" w:line="276" w:lineRule="auto"/>
        <w:ind w:firstLine="708"/>
        <w:jc w:val="both"/>
        <w:rPr>
          <w:rFonts w:ascii="Arial" w:eastAsia="Calibri" w:hAnsi="Arial" w:cs="Arial"/>
          <w:lang w:val="es-MX"/>
        </w:rPr>
      </w:pPr>
      <w:r w:rsidRPr="00735584">
        <w:rPr>
          <w:rFonts w:ascii="Arial" w:eastAsia="Calibri" w:hAnsi="Arial" w:cs="Arial"/>
          <w:lang w:val="es-MX"/>
        </w:rPr>
        <w:t xml:space="preserve">La </w:t>
      </w:r>
      <w:r w:rsidRPr="00735584">
        <w:rPr>
          <w:rFonts w:ascii="Arial" w:eastAsia="Calibri" w:hAnsi="Arial" w:cs="Arial"/>
          <w:i/>
          <w:iCs/>
          <w:lang w:val="es-MX"/>
        </w:rPr>
        <w:t>mediana</w:t>
      </w:r>
      <w:r w:rsidRPr="00735584">
        <w:rPr>
          <w:rFonts w:ascii="Arial" w:eastAsia="Calibri" w:hAnsi="Arial" w:cs="Arial"/>
          <w:lang w:val="es-MX"/>
        </w:rPr>
        <w:t xml:space="preserve"> se debe calcular ordenando los valores de mayor a menor y tomando el valor de la oferta en la mitad de la lista. Si el número de ofertas es par, no habrá una oferta «en la mitad», por lo que se toman los dos valores del medio, se suman y dividen en dos. </w:t>
      </w:r>
      <w:r w:rsidRPr="00735584">
        <w:rPr>
          <w:rFonts w:ascii="Arial" w:eastAsia="Calibri" w:hAnsi="Arial" w:cs="Arial"/>
          <w:lang w:val="es-MX"/>
        </w:rPr>
        <w:lastRenderedPageBreak/>
        <w:t xml:space="preserve">Posteriormente, es necesario calcular la </w:t>
      </w:r>
      <w:r w:rsidRPr="00735584">
        <w:rPr>
          <w:rFonts w:ascii="Arial" w:eastAsia="Calibri" w:hAnsi="Arial" w:cs="Arial"/>
          <w:i/>
          <w:iCs/>
          <w:lang w:val="es-MX"/>
        </w:rPr>
        <w:t>desviación estándar</w:t>
      </w:r>
      <w:r w:rsidRPr="00735584">
        <w:rPr>
          <w:rFonts w:ascii="Arial" w:eastAsia="Calibri" w:hAnsi="Arial" w:cs="Arial"/>
          <w:lang w:val="es-MX"/>
        </w:rPr>
        <w:t xml:space="preserve">, utilizando la siguiente fórmula, en la que el </w:t>
      </w:r>
      <w:r w:rsidRPr="00735584">
        <w:rPr>
          <w:rFonts w:ascii="Arial" w:eastAsia="Calibri" w:hAnsi="Arial" w:cs="Arial"/>
          <w:lang w:val="es-ES"/>
        </w:rPr>
        <w:t xml:space="preserve">valor </w:t>
      </w:r>
      <w:r w:rsidRPr="00735584">
        <w:rPr>
          <w:rFonts w:ascii="Arial" w:eastAsia="Calibri" w:hAnsi="Arial" w:cs="Arial"/>
          <w:i/>
          <w:lang w:val="es-ES"/>
        </w:rPr>
        <w:t>n</w:t>
      </w:r>
      <w:r w:rsidRPr="00735584">
        <w:rPr>
          <w:rFonts w:ascii="Arial" w:eastAsia="Calibri" w:hAnsi="Arial" w:cs="Arial"/>
          <w:lang w:val="es-ES"/>
        </w:rPr>
        <w:t xml:space="preserve"> es el número de ofertas</w:t>
      </w:r>
      <w:r w:rsidRPr="00735584">
        <w:rPr>
          <w:rFonts w:ascii="Arial" w:eastAsia="Calibri" w:hAnsi="Arial" w:cs="Arial"/>
          <w:lang w:val="es-MX"/>
        </w:rPr>
        <w:t xml:space="preserve">: </w:t>
      </w:r>
    </w:p>
    <w:p w14:paraId="25681E3A" w14:textId="77777777" w:rsidR="00572010" w:rsidRPr="00735584" w:rsidRDefault="00572010" w:rsidP="00572010">
      <w:pPr>
        <w:spacing w:after="0" w:line="276" w:lineRule="auto"/>
        <w:ind w:firstLine="708"/>
        <w:jc w:val="both"/>
        <w:rPr>
          <w:rFonts w:ascii="Arial" w:eastAsia="Calibri" w:hAnsi="Arial" w:cs="Arial"/>
          <w:lang w:val="es-MX"/>
        </w:rPr>
      </w:pPr>
    </w:p>
    <w:p w14:paraId="265C67FF" w14:textId="77777777" w:rsidR="00572010" w:rsidRPr="00735584" w:rsidRDefault="00572010" w:rsidP="00572010">
      <w:pPr>
        <w:spacing w:after="0" w:line="276" w:lineRule="auto"/>
        <w:ind w:left="709" w:right="709"/>
        <w:jc w:val="both"/>
        <w:rPr>
          <w:rFonts w:ascii="Arial" w:eastAsia="Calibri" w:hAnsi="Arial" w:cs="Arial"/>
          <w:lang w:val="es-MX"/>
        </w:rPr>
      </w:pPr>
      <w:r w:rsidRPr="00735584">
        <w:rPr>
          <w:rFonts w:ascii="Arial" w:eastAsia="Calibri" w:hAnsi="Arial" w:cs="Arial"/>
          <w:noProof/>
          <w:sz w:val="24"/>
          <w:lang w:val="es-MX"/>
        </w:rPr>
        <w:drawing>
          <wp:inline distT="0" distB="0" distL="0" distR="0" wp14:anchorId="3ED53D0B" wp14:editId="1593962E">
            <wp:extent cx="4967416" cy="460709"/>
            <wp:effectExtent l="0" t="0" r="5080" b="0"/>
            <wp:docPr id="9" name="Imagen 9"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Texto, Aplicación, Correo electrónico&#10;&#10;Descripción generada automáticamente"/>
                    <pic:cNvPicPr/>
                  </pic:nvPicPr>
                  <pic:blipFill rotWithShape="1">
                    <a:blip r:embed="rId9"/>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420E5BB5" w14:textId="77777777" w:rsidR="00572010" w:rsidRPr="00735584" w:rsidRDefault="00572010" w:rsidP="00572010">
      <w:pPr>
        <w:spacing w:after="0" w:line="276" w:lineRule="auto"/>
        <w:jc w:val="both"/>
        <w:rPr>
          <w:rFonts w:ascii="Arial" w:eastAsia="Calibri" w:hAnsi="Arial" w:cs="Arial"/>
          <w:lang w:val="es-MX"/>
        </w:rPr>
      </w:pPr>
    </w:p>
    <w:p w14:paraId="3BE0FFD4" w14:textId="77777777" w:rsidR="00572010" w:rsidRPr="00735584" w:rsidRDefault="00572010" w:rsidP="00572010">
      <w:pPr>
        <w:spacing w:after="0" w:line="276" w:lineRule="auto"/>
        <w:ind w:firstLine="709"/>
        <w:jc w:val="both"/>
        <w:rPr>
          <w:rFonts w:ascii="Arial" w:eastAsia="Calibri" w:hAnsi="Arial" w:cs="Arial"/>
          <w:lang w:val="es-ES"/>
        </w:rPr>
      </w:pPr>
      <w:r w:rsidRPr="00735584">
        <w:rPr>
          <w:rFonts w:ascii="Arial" w:eastAsia="Calibri" w:hAnsi="Arial" w:cs="Arial"/>
          <w:lang w:val="es-MX"/>
        </w:rPr>
        <w:t xml:space="preserve">El </w:t>
      </w:r>
      <w:r w:rsidRPr="00735584">
        <w:rPr>
          <w:rFonts w:ascii="Arial" w:eastAsia="Calibri" w:hAnsi="Arial" w:cs="Arial"/>
          <w:i/>
          <w:iCs/>
          <w:lang w:val="es-MX"/>
        </w:rPr>
        <w:t>valor mínimo aceptable</w:t>
      </w:r>
      <w:r w:rsidRPr="00735584">
        <w:rPr>
          <w:rFonts w:ascii="Arial" w:eastAsia="Calibri" w:hAnsi="Arial" w:cs="Arial"/>
          <w:lang w:val="es-MX"/>
        </w:rPr>
        <w:t xml:space="preserve">, por último, será igual a la </w:t>
      </w:r>
      <w:r w:rsidRPr="00735584">
        <w:rPr>
          <w:rFonts w:ascii="Arial" w:eastAsia="Calibri" w:hAnsi="Arial" w:cs="Arial"/>
          <w:i/>
          <w:iCs/>
          <w:lang w:val="es-MX"/>
        </w:rPr>
        <w:t>mediana</w:t>
      </w:r>
      <w:r w:rsidRPr="00735584">
        <w:rPr>
          <w:rFonts w:ascii="Arial" w:eastAsia="Calibri" w:hAnsi="Arial" w:cs="Arial"/>
          <w:lang w:val="es-MX"/>
        </w:rPr>
        <w:t xml:space="preserve"> menos la </w:t>
      </w:r>
      <w:r w:rsidRPr="00735584">
        <w:rPr>
          <w:rFonts w:ascii="Arial" w:eastAsia="Calibri" w:hAnsi="Arial" w:cs="Arial"/>
          <w:i/>
          <w:iCs/>
          <w:lang w:val="es-MX"/>
        </w:rPr>
        <w:t>desviación estándar</w:t>
      </w:r>
      <w:r w:rsidRPr="00735584">
        <w:rPr>
          <w:rFonts w:ascii="Arial" w:eastAsia="Calibri" w:hAnsi="Arial" w:cs="Arial"/>
          <w:lang w:val="es-MX"/>
        </w:rPr>
        <w:t>. Con todo, dicho valor puede ser diferente al obtenido con la anterior metodología, dependiendo de la información y los datos con los que cuenten las entidades. Esto es así porque l</w:t>
      </w:r>
      <w:r w:rsidRPr="00735584">
        <w:rPr>
          <w:rFonts w:ascii="Arial" w:eastAsia="Calibri" w:hAnsi="Arial" w:cs="Arial"/>
          <w:lang w:val="es-ES"/>
        </w:rPr>
        <w:t>as entidades pueden o no acoger la metodología explicada, toda vez que la Guía no es de obligatorio cumplimiento para las entidades, sino que es una orientación o lineamiento para sus procedimientos de contratación. En todo caso, «La Entidad Estatal puede identificar como posibles ofertas artificialmente bajas a todas las ofertas que cuenten con valores por debajo del valor mínimo aceptable».</w:t>
      </w:r>
    </w:p>
    <w:p w14:paraId="41C33006" w14:textId="77777777" w:rsidR="00572010" w:rsidRPr="00F3160E" w:rsidRDefault="00572010" w:rsidP="00572010">
      <w:pPr>
        <w:spacing w:before="120" w:after="0" w:line="276" w:lineRule="auto"/>
        <w:ind w:firstLine="708"/>
        <w:jc w:val="both"/>
        <w:rPr>
          <w:rFonts w:ascii="Arial" w:eastAsia="Calibri" w:hAnsi="Arial" w:cs="Arial"/>
          <w:color w:val="000000" w:themeColor="text1"/>
          <w:lang w:val="es-ES"/>
        </w:rPr>
      </w:pPr>
      <w:r w:rsidRPr="00F3160E">
        <w:rPr>
          <w:rFonts w:ascii="Arial" w:eastAsia="Calibri" w:hAnsi="Arial" w:cs="Arial"/>
          <w:color w:val="000000" w:themeColor="text1"/>
          <w:lang w:val="es-ES"/>
        </w:rPr>
        <w:t xml:space="preserve">Al respecto, la Guía sugiere llevar a cabo las siguientes actuaciones en caso de duda: i) comparar el valor de cada oferta con el costo estimado de la provisión del bien o servicio, de acuerdo con el estudio del sector que elaboró la entidad. De todos modos, la verificación de las ofertas artificialmente bajas se puede sustentar en información adicional, como, por ejemplo, los precios de fabricantes y otros factores económicos relevantes. ii) Solicitar explicaciones a los proponentes cuyas ofertas sean menores en un 20% o más en relación con el precio estimado por la Entidad Estatal. Para tales fines, se sugiere acudir al método de </w:t>
      </w:r>
      <w:r w:rsidRPr="00F3160E">
        <w:rPr>
          <w:rFonts w:ascii="Arial" w:eastAsia="Calibri" w:hAnsi="Arial" w:cs="Arial"/>
          <w:i/>
          <w:iCs/>
          <w:color w:val="000000" w:themeColor="text1"/>
          <w:lang w:val="es-ES"/>
        </w:rPr>
        <w:t>comparación absoluta</w:t>
      </w:r>
      <w:r w:rsidRPr="00F3160E">
        <w:rPr>
          <w:rFonts w:ascii="Arial" w:eastAsia="Calibri" w:hAnsi="Arial" w:cs="Arial"/>
          <w:color w:val="000000" w:themeColor="text1"/>
          <w:lang w:val="es-ES"/>
        </w:rPr>
        <w:t xml:space="preserve">, previamente explicado. Así mismo, iii) analizar la información remitida por el proponente requerido y, con fundamento en esta, considerar el rechazo de las ofertas por la configuración de alguno de los eventos señalados en la Sección VII de la mencionada Guía. </w:t>
      </w:r>
    </w:p>
    <w:p w14:paraId="78161F02" w14:textId="77777777" w:rsidR="00572010" w:rsidRPr="00F3160E" w:rsidRDefault="00572010" w:rsidP="00C734AC">
      <w:pPr>
        <w:spacing w:before="120" w:after="120" w:line="276" w:lineRule="auto"/>
        <w:ind w:firstLine="708"/>
        <w:jc w:val="both"/>
        <w:rPr>
          <w:rFonts w:ascii="Arial" w:hAnsi="Arial" w:cs="Arial"/>
          <w:color w:val="000000" w:themeColor="text1"/>
          <w:lang w:val="es-MX"/>
        </w:rPr>
      </w:pPr>
      <w:r w:rsidRPr="00F3160E">
        <w:rPr>
          <w:rFonts w:ascii="Arial" w:hAnsi="Arial" w:cs="Arial"/>
          <w:color w:val="000000" w:themeColor="text1"/>
          <w:lang w:val="es-ES"/>
        </w:rPr>
        <w:t>Una</w:t>
      </w:r>
      <w:r w:rsidRPr="00F3160E">
        <w:rPr>
          <w:rFonts w:ascii="Arial" w:hAnsi="Arial" w:cs="Arial"/>
          <w:color w:val="000000" w:themeColor="text1"/>
          <w:lang w:val="es-MX"/>
        </w:rPr>
        <w:t xml:space="preserve"> vez la entidad haya surtido el proceso de determinación de una propuesta identificada como posiblemente artificialmente baja y considerando que la oferta se encuentra inmersa en esta circunstancia, resulta necesario que se requiera al oferente para que explique las razones que sustentan el valor ofrecido. Posteriormente, el comité evaluador analizará las explicaciones y decidirá si rechaza la oferta o continúa con el análisis de la misma en el proceso de evaluación de ofertas. </w:t>
      </w:r>
    </w:p>
    <w:p w14:paraId="208AF6E9" w14:textId="720B7021" w:rsidR="00572010" w:rsidRPr="001D067A" w:rsidRDefault="00C734AC" w:rsidP="00C734AC">
      <w:pPr>
        <w:spacing w:before="120" w:after="120" w:line="276" w:lineRule="auto"/>
        <w:ind w:firstLine="709"/>
        <w:jc w:val="both"/>
        <w:rPr>
          <w:rFonts w:ascii="Arial" w:eastAsia="Calibri" w:hAnsi="Arial" w:cs="Arial"/>
          <w:color w:val="000000"/>
          <w:lang w:val="es-ES"/>
        </w:rPr>
      </w:pPr>
      <w:r>
        <w:rPr>
          <w:rFonts w:ascii="Arial" w:eastAsia="Calibri" w:hAnsi="Arial" w:cs="Arial"/>
          <w:color w:val="000000"/>
          <w:lang w:val="es-ES"/>
        </w:rPr>
        <w:t>V</w:t>
      </w:r>
      <w:r w:rsidR="00572010" w:rsidRPr="001D067A">
        <w:rPr>
          <w:rFonts w:ascii="Arial" w:eastAsia="Calibri" w:hAnsi="Arial" w:cs="Arial"/>
          <w:color w:val="000000"/>
          <w:lang w:val="es-ES"/>
        </w:rPr>
        <w:t xml:space="preserve">erificada la información remitida por el proponente, la entidad debe definir si rechaza o no la oferta. En la «Guía para el manejo de ofertas artificialmente bajas en Procesos de Contratación», la </w:t>
      </w:r>
      <w:r w:rsidR="00572010" w:rsidRPr="001D067A">
        <w:rPr>
          <w:rFonts w:ascii="Arial" w:eastAsia="Times New Roman" w:hAnsi="Arial" w:cs="Arial"/>
          <w:color w:val="000000"/>
          <w:szCs w:val="24"/>
          <w:lang w:val="es-US" w:eastAsia="es-ES_tradnl"/>
        </w:rPr>
        <w:t xml:space="preserve">Agencia Nacional de Contratación Pública </w:t>
      </w:r>
      <w:r w:rsidR="00572010">
        <w:rPr>
          <w:rFonts w:ascii="Arial" w:eastAsia="Calibri" w:hAnsi="Arial" w:cs="Arial"/>
          <w:color w:val="000000"/>
          <w:lang w:val="es-ES"/>
        </w:rPr>
        <w:t>señala</w:t>
      </w:r>
      <w:r w:rsidR="00572010" w:rsidRPr="001D067A">
        <w:rPr>
          <w:rFonts w:ascii="Arial" w:eastAsia="Calibri" w:hAnsi="Arial" w:cs="Arial"/>
          <w:color w:val="000000"/>
          <w:lang w:val="es-ES"/>
        </w:rPr>
        <w:t xml:space="preserve"> que </w:t>
      </w:r>
      <w:r w:rsidR="00572010">
        <w:rPr>
          <w:rFonts w:ascii="Arial" w:eastAsia="Calibri" w:hAnsi="Arial" w:cs="Arial"/>
          <w:color w:val="000000"/>
          <w:lang w:val="es-ES"/>
        </w:rPr>
        <w:t xml:space="preserve">procedería el rechazo de la oferta </w:t>
      </w:r>
      <w:r w:rsidR="00572010" w:rsidRPr="001D067A">
        <w:rPr>
          <w:rFonts w:ascii="Arial" w:eastAsia="Calibri" w:hAnsi="Arial" w:cs="Arial"/>
          <w:color w:val="000000"/>
          <w:lang w:val="es-ES"/>
        </w:rPr>
        <w:t xml:space="preserve">en los siguientes eventos: i) «el proponente no presenta por escrito a la entidad estatal la aclaración de la oferta», ii) «el proponente no envía parte o la totalidad de la información solicitada por la entidad estatal», iii) «las aclaraciones del proponente no son satisfactorias para garantizar la sostenibilidad de la oferta durante la </w:t>
      </w:r>
      <w:r w:rsidR="00572010" w:rsidRPr="001D067A">
        <w:rPr>
          <w:rFonts w:ascii="Arial" w:eastAsia="Calibri" w:hAnsi="Arial" w:cs="Arial"/>
          <w:color w:val="000000"/>
          <w:lang w:val="es-ES"/>
        </w:rPr>
        <w:lastRenderedPageBreak/>
        <w:t>ejecución del contrato» y iv) «las aclaraciones del proponente no desvirtúan la teoría de que está utilizando su oferta como parte de una estrategia colusoria o […] anticompetitiva durante el proceso de selección». Lo anterior, sin perjuicio de los eventos señalados en la Sección VII de la «Guía para el manejo de ofertas artificialmente bajas en Procesos de Contratación de Colombia Compra Eficiente», los cuales, debe advertirse, son criterios orientadores para las entidades públicas y no «causales de rechazo» en estricto sentido.</w:t>
      </w:r>
    </w:p>
    <w:p w14:paraId="03B5BD0D" w14:textId="0FD43200" w:rsidR="00A60AE5" w:rsidRPr="001B29AA" w:rsidRDefault="00572010" w:rsidP="00115342">
      <w:pPr>
        <w:spacing w:after="0" w:line="276" w:lineRule="auto"/>
        <w:ind w:firstLine="709"/>
        <w:jc w:val="both"/>
        <w:rPr>
          <w:rFonts w:ascii="Arial" w:eastAsia="Calibri" w:hAnsi="Arial" w:cs="Arial"/>
          <w:color w:val="000000"/>
          <w:lang w:val="es-ES"/>
        </w:rPr>
      </w:pPr>
      <w:r w:rsidRPr="001D067A">
        <w:rPr>
          <w:rFonts w:ascii="Arial" w:eastAsia="Times New Roman" w:hAnsi="Arial" w:cs="Arial"/>
          <w:color w:val="000000"/>
          <w:shd w:val="clear" w:color="auto" w:fill="FFFFFF"/>
          <w:lang w:val="es-US" w:eastAsia="es-ES_tradnl"/>
        </w:rPr>
        <w:t xml:space="preserve">Todo lo anterior, teniendo en cuenta que </w:t>
      </w:r>
      <w:bookmarkStart w:id="33" w:name="_Hlk111021218"/>
      <w:r w:rsidR="00A60AE5" w:rsidRPr="00E648BC">
        <w:rPr>
          <w:rFonts w:ascii="Arial" w:eastAsia="Times New Roman" w:hAnsi="Arial" w:cs="Arial"/>
          <w:color w:val="000000"/>
          <w:shd w:val="clear" w:color="auto" w:fill="FFFFFF"/>
          <w:lang w:val="es-US" w:eastAsia="en-GB"/>
        </w:rPr>
        <w:t>la referida Guía contiene criterios orientadores para las entidades públicas, los cuales, en consecuencia, no son vinculantes ni de obligatorio acatamiento, de manera que las entidades pueden, a partir de los datos de los que dispongan, servirse de otros métodos razonables, para aplicar el procedimiento establecido en el artículo 2.2.1.1.2.2.4 del Decreto 1082 de 2015. En otras palabras, las entidades están facultadas para aplicar los criterios contenidos en la Guía o acudir, si bien lo tienen, a otro tipo de criterios que consideren más apropiados para cada proceso de contratación</w:t>
      </w:r>
      <w:r w:rsidR="00A60AE5" w:rsidRPr="00E648BC">
        <w:rPr>
          <w:rFonts w:ascii="Arial" w:eastAsia="Times New Roman" w:hAnsi="Arial" w:cs="Arial"/>
          <w:color w:val="000000"/>
          <w:shd w:val="clear" w:color="auto" w:fill="FFFFFF"/>
          <w:lang w:val="es-US"/>
        </w:rPr>
        <w:t>.</w:t>
      </w:r>
      <w:r w:rsidR="00A60AE5">
        <w:rPr>
          <w:rFonts w:ascii="Arial" w:hAnsi="Arial" w:cs="Arial"/>
          <w:color w:val="000000"/>
          <w:shd w:val="clear" w:color="auto" w:fill="FFFFFF"/>
          <w:lang w:val="es-US"/>
        </w:rPr>
        <w:t xml:space="preserve"> Lo anterior, además responde a que son muchas las circunstancias específicas que pueden presentarse en cada procedimiento de selección en concreto, y frente a cada proponente en particular, por lo cual no se considera adecuado establecer criterios absolutos, que eventualmente podrían resultar insuficientes o inadecuados en circunstancias específicas, razón por la cual esta Agencia, con fundamento en el artículo </w:t>
      </w:r>
      <w:r w:rsidR="00A60AE5" w:rsidRPr="004B45A7">
        <w:rPr>
          <w:rFonts w:ascii="Arial" w:hAnsi="Arial" w:cs="Arial"/>
          <w:color w:val="000000"/>
          <w:shd w:val="clear" w:color="auto" w:fill="FFFFFF"/>
          <w:lang w:val="es-US"/>
        </w:rPr>
        <w:t>2.2.1.1.2.2.4.</w:t>
      </w:r>
      <w:r w:rsidR="00A60AE5">
        <w:rPr>
          <w:rFonts w:ascii="Arial" w:hAnsi="Arial" w:cs="Arial"/>
          <w:color w:val="000000"/>
          <w:shd w:val="clear" w:color="auto" w:fill="FFFFFF"/>
          <w:lang w:val="es-US"/>
        </w:rPr>
        <w:t xml:space="preserve"> del Decreto 1082 de 2015, estableció algunas recomendaciones a las entidades estatales para el manejo de </w:t>
      </w:r>
      <w:r w:rsidR="00A60AE5" w:rsidRPr="004B45A7">
        <w:rPr>
          <w:rFonts w:ascii="Arial" w:hAnsi="Arial" w:cs="Arial"/>
          <w:color w:val="000000"/>
          <w:shd w:val="clear" w:color="auto" w:fill="FFFFFF"/>
          <w:lang w:val="es-US"/>
        </w:rPr>
        <w:t>ofertas</w:t>
      </w:r>
      <w:r w:rsidR="00A60AE5">
        <w:rPr>
          <w:rFonts w:ascii="Arial" w:hAnsi="Arial" w:cs="Arial"/>
          <w:color w:val="000000"/>
          <w:shd w:val="clear" w:color="auto" w:fill="FFFFFF"/>
          <w:lang w:val="es-US"/>
        </w:rPr>
        <w:t xml:space="preserve"> </w:t>
      </w:r>
      <w:r w:rsidR="00A60AE5" w:rsidRPr="004B45A7">
        <w:rPr>
          <w:rFonts w:ascii="Arial" w:hAnsi="Arial" w:cs="Arial"/>
          <w:color w:val="000000"/>
          <w:shd w:val="clear" w:color="auto" w:fill="FFFFFF"/>
          <w:lang w:val="es-US"/>
        </w:rPr>
        <w:t>artificialmente bajas en</w:t>
      </w:r>
      <w:r w:rsidR="00A60AE5">
        <w:rPr>
          <w:rFonts w:ascii="Arial" w:hAnsi="Arial" w:cs="Arial"/>
          <w:color w:val="000000"/>
          <w:shd w:val="clear" w:color="auto" w:fill="FFFFFF"/>
          <w:lang w:val="es-US"/>
        </w:rPr>
        <w:t xml:space="preserve"> los p</w:t>
      </w:r>
      <w:r w:rsidR="00A60AE5" w:rsidRPr="004B45A7">
        <w:rPr>
          <w:rFonts w:ascii="Arial" w:hAnsi="Arial" w:cs="Arial"/>
          <w:color w:val="000000"/>
          <w:shd w:val="clear" w:color="auto" w:fill="FFFFFF"/>
          <w:lang w:val="es-US"/>
        </w:rPr>
        <w:t xml:space="preserve">rocesos de </w:t>
      </w:r>
      <w:r w:rsidR="00A60AE5">
        <w:rPr>
          <w:rFonts w:ascii="Arial" w:hAnsi="Arial" w:cs="Arial"/>
          <w:color w:val="000000"/>
          <w:shd w:val="clear" w:color="auto" w:fill="FFFFFF"/>
          <w:lang w:val="es-US"/>
        </w:rPr>
        <w:t>c</w:t>
      </w:r>
      <w:r w:rsidR="00A60AE5" w:rsidRPr="004B45A7">
        <w:rPr>
          <w:rFonts w:ascii="Arial" w:hAnsi="Arial" w:cs="Arial"/>
          <w:color w:val="000000"/>
          <w:shd w:val="clear" w:color="auto" w:fill="FFFFFF"/>
          <w:lang w:val="es-US"/>
        </w:rPr>
        <w:t>ontratación</w:t>
      </w:r>
      <w:r w:rsidR="00A60AE5">
        <w:rPr>
          <w:rFonts w:ascii="Arial" w:hAnsi="Arial" w:cs="Arial"/>
          <w:color w:val="000000"/>
          <w:shd w:val="clear" w:color="auto" w:fill="FFFFFF"/>
          <w:lang w:val="es-US"/>
        </w:rPr>
        <w:t>, para que ellas tomen las decisiones que correspondan en cada procedimiento de selección.</w:t>
      </w:r>
      <w:bookmarkEnd w:id="33"/>
    </w:p>
    <w:p w14:paraId="17C0A55D" w14:textId="77777777" w:rsidR="005053D9" w:rsidRPr="00DC701A" w:rsidRDefault="005053D9" w:rsidP="00A60AE5">
      <w:pPr>
        <w:spacing w:after="0" w:line="276" w:lineRule="auto"/>
        <w:ind w:firstLine="709"/>
        <w:jc w:val="both"/>
        <w:rPr>
          <w:rFonts w:ascii="Arial" w:eastAsia="Arial," w:hAnsi="Arial" w:cs="Arial"/>
        </w:rPr>
      </w:pPr>
    </w:p>
    <w:p w14:paraId="2876EEDA" w14:textId="3B9CBCFE" w:rsidR="00DC701A" w:rsidRDefault="00DC701A" w:rsidP="00DC701A">
      <w:pPr>
        <w:tabs>
          <w:tab w:val="left" w:pos="709"/>
        </w:tabs>
        <w:spacing w:after="0" w:line="276" w:lineRule="auto"/>
        <w:jc w:val="both"/>
        <w:rPr>
          <w:rFonts w:ascii="Arial" w:eastAsia="Calibri" w:hAnsi="Arial" w:cs="Arial"/>
          <w:b/>
          <w:lang w:val="es-ES" w:eastAsia="es-MX"/>
        </w:rPr>
      </w:pPr>
      <w:r w:rsidRPr="00DC701A">
        <w:rPr>
          <w:rFonts w:ascii="Arial" w:eastAsia="Calibri" w:hAnsi="Arial" w:cs="Arial"/>
          <w:b/>
          <w:lang w:val="es-ES" w:eastAsia="es-MX"/>
        </w:rPr>
        <w:t>3. Respuesta</w:t>
      </w:r>
    </w:p>
    <w:p w14:paraId="070B312C" w14:textId="77777777" w:rsidR="00C72279" w:rsidRPr="00DC701A" w:rsidRDefault="00C72279" w:rsidP="00DC701A">
      <w:pPr>
        <w:tabs>
          <w:tab w:val="left" w:pos="709"/>
        </w:tabs>
        <w:spacing w:after="0" w:line="276" w:lineRule="auto"/>
        <w:jc w:val="both"/>
        <w:rPr>
          <w:rFonts w:ascii="Arial" w:eastAsia="Calibri" w:hAnsi="Arial" w:cs="Arial"/>
          <w:b/>
          <w:lang w:val="es-ES" w:eastAsia="es-MX"/>
        </w:rPr>
      </w:pPr>
    </w:p>
    <w:p w14:paraId="2092048F" w14:textId="08629493" w:rsidR="009117FC" w:rsidRDefault="00737AD3" w:rsidP="009117FC">
      <w:pPr>
        <w:spacing w:after="120" w:line="240" w:lineRule="auto"/>
        <w:ind w:left="709" w:right="709"/>
        <w:jc w:val="both"/>
        <w:rPr>
          <w:rFonts w:ascii="Arial" w:hAnsi="Arial" w:cs="Arial"/>
          <w:sz w:val="21"/>
          <w:szCs w:val="21"/>
        </w:rPr>
      </w:pPr>
      <w:r>
        <w:rPr>
          <w:rFonts w:ascii="Arial" w:hAnsi="Arial" w:cs="Arial"/>
          <w:sz w:val="21"/>
          <w:szCs w:val="21"/>
        </w:rPr>
        <w:t>i)</w:t>
      </w:r>
      <w:r w:rsidR="009117FC" w:rsidRPr="00462728">
        <w:rPr>
          <w:rFonts w:ascii="Arial" w:hAnsi="Arial" w:cs="Arial"/>
          <w:sz w:val="21"/>
          <w:szCs w:val="21"/>
        </w:rPr>
        <w:t xml:space="preserve">. </w:t>
      </w:r>
      <w:r w:rsidR="009723D8">
        <w:rPr>
          <w:rFonts w:ascii="Arial" w:hAnsi="Arial" w:cs="Arial"/>
          <w:sz w:val="21"/>
          <w:szCs w:val="21"/>
        </w:rPr>
        <w:t>«</w:t>
      </w:r>
      <w:r w:rsidR="009117FC" w:rsidRPr="00462728">
        <w:rPr>
          <w:rFonts w:ascii="Arial" w:hAnsi="Arial" w:cs="Arial"/>
          <w:sz w:val="21"/>
          <w:szCs w:val="21"/>
        </w:rPr>
        <w:t>Formato 5C . En este formato según la guía se deben de informar todos los contratos que el proponente tenga en ejecución y si el oferente reporta un contrato con el valor que es, pero comete un error en las fechas de suspensión, de inicio, o de reinicio, esto es motivo para que la entidad rechace la oferta?</w:t>
      </w:r>
      <w:r w:rsidR="009723D8">
        <w:rPr>
          <w:rFonts w:ascii="Arial" w:hAnsi="Arial" w:cs="Arial"/>
          <w:sz w:val="21"/>
          <w:szCs w:val="21"/>
        </w:rPr>
        <w:t xml:space="preserve">». </w:t>
      </w:r>
    </w:p>
    <w:p w14:paraId="26FEF424" w14:textId="0AA20A6E" w:rsidR="00517002" w:rsidRDefault="00517002" w:rsidP="00201F9D">
      <w:pPr>
        <w:spacing w:after="0" w:line="240" w:lineRule="auto"/>
        <w:ind w:right="709"/>
        <w:jc w:val="both"/>
        <w:rPr>
          <w:rFonts w:ascii="Arial" w:hAnsi="Arial" w:cs="Arial"/>
          <w:sz w:val="21"/>
          <w:szCs w:val="21"/>
        </w:rPr>
      </w:pPr>
    </w:p>
    <w:p w14:paraId="042E2935" w14:textId="77777777" w:rsidR="00C23EF6" w:rsidRPr="00C23EF6" w:rsidRDefault="00C23EF6" w:rsidP="00C23EF6">
      <w:pPr>
        <w:spacing w:after="120" w:line="276" w:lineRule="auto"/>
        <w:jc w:val="both"/>
        <w:rPr>
          <w:rFonts w:ascii="Arial" w:eastAsia="Calibri" w:hAnsi="Arial" w:cs="Arial"/>
          <w:lang w:val="es-MX"/>
        </w:rPr>
      </w:pPr>
      <w:r w:rsidRPr="00C23EF6">
        <w:rPr>
          <w:rFonts w:ascii="Arial" w:eastAsia="Times New Roman" w:hAnsi="Arial" w:cs="Arial"/>
          <w:bCs/>
          <w:color w:val="161616"/>
          <w:lang w:val="es-ES" w:eastAsia="en-GB"/>
        </w:rPr>
        <w:t xml:space="preserve">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w:t>
      </w:r>
      <w:r w:rsidRPr="00C23EF6">
        <w:rPr>
          <w:rFonts w:ascii="Arial" w:eastAsia="Calibri" w:hAnsi="Arial" w:cs="Arial"/>
          <w:lang w:val="es-MX"/>
        </w:rPr>
        <w:t>Sin perjuicio de lo anterior, esta Agencia responderá a su pregunta de forma general, en los siguientes términos:</w:t>
      </w:r>
    </w:p>
    <w:p w14:paraId="79EF95A4" w14:textId="77777777" w:rsidR="00C23EF6" w:rsidRPr="00C23EF6" w:rsidRDefault="00C23EF6" w:rsidP="00C23EF6">
      <w:pPr>
        <w:spacing w:after="120" w:line="276" w:lineRule="auto"/>
        <w:ind w:firstLine="709"/>
        <w:jc w:val="both"/>
        <w:rPr>
          <w:rFonts w:ascii="Arial" w:eastAsia="Calibri" w:hAnsi="Arial" w:cs="Arial"/>
          <w:lang w:val="es-MX"/>
        </w:rPr>
      </w:pPr>
      <w:r w:rsidRPr="00C23EF6">
        <w:rPr>
          <w:rFonts w:ascii="Arial" w:eastAsia="Calibri" w:hAnsi="Arial" w:cs="Arial"/>
          <w:lang w:val="es-MX"/>
        </w:rPr>
        <w:t xml:space="preserve">El numeral 3.10 del documento base de obra de infraestructura de transporte para procesos de licitación pública – Versión 3, establece </w:t>
      </w:r>
      <w:r w:rsidRPr="00C23EF6">
        <w:rPr>
          <w:rFonts w:ascii="Arial" w:eastAsia="Times New Roman" w:hAnsi="Arial" w:cs="Arial"/>
          <w:lang w:val="es-MX" w:eastAsia="es-ES_tradnl"/>
        </w:rPr>
        <w:t xml:space="preserve">como requisito habilitante la capacidad residual. En este documento tipo, </w:t>
      </w:r>
      <w:r w:rsidRPr="00C23EF6">
        <w:rPr>
          <w:rFonts w:ascii="Arial" w:eastAsia="Calibri" w:hAnsi="Arial" w:cs="Arial"/>
          <w:lang w:val="es-MX"/>
        </w:rPr>
        <w:t xml:space="preserve">al menos tres causales de rechazo del numeral 1.15 se </w:t>
      </w:r>
      <w:r w:rsidRPr="00C23EF6">
        <w:rPr>
          <w:rFonts w:ascii="Arial" w:eastAsia="Calibri" w:hAnsi="Arial" w:cs="Arial"/>
          <w:lang w:val="es-MX"/>
        </w:rPr>
        <w:lastRenderedPageBreak/>
        <w:t>relacionan con la capacidad residual como requisito habilitante, esto es, los literales E, H y Z.</w:t>
      </w:r>
    </w:p>
    <w:p w14:paraId="774CA80A" w14:textId="77777777" w:rsidR="00C23EF6" w:rsidRPr="00C23EF6" w:rsidRDefault="00C23EF6" w:rsidP="00C23EF6">
      <w:pPr>
        <w:spacing w:after="0" w:line="276" w:lineRule="auto"/>
        <w:ind w:firstLine="708"/>
        <w:jc w:val="both"/>
        <w:rPr>
          <w:rFonts w:ascii="Arial" w:eastAsia="Calibri" w:hAnsi="Arial" w:cs="Arial"/>
          <w:lang w:val="es-MX"/>
        </w:rPr>
      </w:pPr>
      <w:r w:rsidRPr="00C23EF6">
        <w:rPr>
          <w:rFonts w:ascii="Arial" w:eastAsia="Calibri" w:hAnsi="Arial" w:cs="Arial"/>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52D78463" w14:textId="5A8ED8AE" w:rsidR="00C23EF6" w:rsidRPr="00C23EF6" w:rsidRDefault="00C23EF6" w:rsidP="00C23EF6">
      <w:pPr>
        <w:spacing w:before="120" w:after="0" w:line="276" w:lineRule="auto"/>
        <w:ind w:firstLine="708"/>
        <w:jc w:val="both"/>
        <w:rPr>
          <w:rFonts w:ascii="Arial" w:eastAsia="Calibri" w:hAnsi="Arial" w:cs="Arial"/>
          <w:lang w:val="es-MX"/>
        </w:rPr>
      </w:pPr>
      <w:r w:rsidRPr="00C23EF6">
        <w:rPr>
          <w:rFonts w:ascii="Arial" w:eastAsia="Calibri" w:hAnsi="Arial" w:cs="Arial"/>
          <w:i/>
          <w:lang w:val="es-MX"/>
        </w:rPr>
        <w:t>i)</w:t>
      </w:r>
      <w:r w:rsidRPr="00C23EF6">
        <w:rPr>
          <w:rFonts w:ascii="Arial" w:eastAsia="Calibri" w:hAnsi="Arial" w:cs="Arial"/>
          <w:lang w:val="es-MX"/>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w:t>
      </w:r>
      <w:r w:rsidR="00BD4298">
        <w:rPr>
          <w:rFonts w:ascii="Arial" w:eastAsia="Calibri" w:hAnsi="Arial" w:cs="Arial"/>
          <w:lang w:val="es-MX"/>
        </w:rPr>
        <w:t>Por tanto</w:t>
      </w:r>
      <w:r w:rsidRPr="00C23EF6">
        <w:rPr>
          <w:rFonts w:ascii="Arial" w:eastAsia="Calibri" w:hAnsi="Arial" w:cs="Arial"/>
          <w:lang w:val="es-MX"/>
        </w:rPr>
        <w:t>, la configuración de la causal de rechazo del literal Z es objetiva, pues solo aplica ante la omisión del proponente de informar el número total de contratos en ejecución antes del cierre.</w:t>
      </w:r>
    </w:p>
    <w:p w14:paraId="30FEB470" w14:textId="77777777" w:rsidR="00C23EF6" w:rsidRPr="00C23EF6" w:rsidRDefault="00C23EF6" w:rsidP="00C23EF6">
      <w:pPr>
        <w:spacing w:before="120" w:after="120" w:line="276" w:lineRule="auto"/>
        <w:ind w:firstLine="708"/>
        <w:jc w:val="both"/>
        <w:rPr>
          <w:rFonts w:ascii="Arial" w:eastAsia="Calibri" w:hAnsi="Arial" w:cs="Arial"/>
          <w:lang w:val="es-MX"/>
        </w:rPr>
      </w:pPr>
      <w:r w:rsidRPr="00C23EF6">
        <w:rPr>
          <w:rFonts w:ascii="Arial" w:eastAsia="Calibri" w:hAnsi="Arial" w:cs="Arial"/>
          <w:i/>
          <w:lang w:val="es-MX"/>
        </w:rPr>
        <w:t xml:space="preserve">ii) </w:t>
      </w:r>
      <w:r w:rsidRPr="00C23EF6">
        <w:rPr>
          <w:rFonts w:ascii="Arial" w:eastAsia="Calibri" w:hAnsi="Arial" w:cs="Arial"/>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365D0ACC" w14:textId="77777777" w:rsidR="00C23EF6" w:rsidRPr="00C23EF6" w:rsidRDefault="00C23EF6" w:rsidP="00C23EF6">
      <w:pPr>
        <w:spacing w:before="120" w:after="120" w:line="276" w:lineRule="auto"/>
        <w:ind w:firstLine="708"/>
        <w:jc w:val="both"/>
        <w:rPr>
          <w:rFonts w:ascii="Arial" w:eastAsia="Calibri" w:hAnsi="Arial" w:cs="Arial"/>
          <w:lang w:val="es-MX"/>
        </w:rPr>
      </w:pPr>
      <w:r w:rsidRPr="00C23EF6">
        <w:rPr>
          <w:rFonts w:ascii="Arial" w:eastAsia="Calibri" w:hAnsi="Arial" w:cs="Arial"/>
          <w:i/>
          <w:lang w:val="es-MX"/>
        </w:rPr>
        <w:t xml:space="preserve">iii) </w:t>
      </w:r>
      <w:r w:rsidRPr="00C23EF6">
        <w:rPr>
          <w:rFonts w:ascii="Arial" w:eastAsia="Calibri" w:hAnsi="Arial" w:cs="Arial"/>
          <w:lang w:val="es-MX"/>
        </w:rPr>
        <w:t>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14:paraId="2A741358" w14:textId="77777777" w:rsidR="00C23EF6" w:rsidRPr="00C23EF6" w:rsidRDefault="00C23EF6" w:rsidP="00C23EF6">
      <w:pPr>
        <w:spacing w:before="120" w:after="120" w:line="276" w:lineRule="auto"/>
        <w:ind w:firstLine="708"/>
        <w:jc w:val="both"/>
        <w:rPr>
          <w:rFonts w:ascii="Arial" w:hAnsi="Arial" w:cs="Arial"/>
          <w:lang w:val="es-MX"/>
        </w:rPr>
      </w:pPr>
      <w:r w:rsidRPr="00C23EF6">
        <w:rPr>
          <w:rFonts w:ascii="Arial" w:hAnsi="Arial" w:cs="Arial"/>
          <w:lang w:val="es-MX"/>
        </w:rPr>
        <w:t>En relación con las reglas de subsanabilidad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4216EBA3" w14:textId="77777777" w:rsidR="00C23EF6" w:rsidRPr="00C23EF6" w:rsidRDefault="00C23EF6" w:rsidP="00C23EF6">
      <w:pPr>
        <w:spacing w:before="120" w:after="120" w:line="276" w:lineRule="auto"/>
        <w:ind w:firstLine="709"/>
        <w:jc w:val="both"/>
        <w:rPr>
          <w:rFonts w:ascii="Arial" w:hAnsi="Arial" w:cs="Arial"/>
        </w:rPr>
      </w:pPr>
      <w:r w:rsidRPr="00C23EF6">
        <w:rPr>
          <w:rFonts w:ascii="Arial" w:hAnsi="Arial" w:cs="Arial"/>
        </w:rPr>
        <w:t xml:space="preserve">En relación con el literal H del numeral 1.15. del documento base, en el entendido de que el supuesto de hecho de esa causal, esto es, lo que genera el rechazo de la oferta, </w:t>
      </w:r>
      <w:r w:rsidRPr="00C23EF6">
        <w:rPr>
          <w:rFonts w:ascii="Arial" w:hAnsi="Arial" w:cs="Arial"/>
        </w:rPr>
        <w:lastRenderedPageBreak/>
        <w:t xml:space="preserve">es la acción del proponente de aportar «[…] información inexacta sobre la cual pueda existir una posible falsedad […]», no la ausencia de la información que podría haberse tomado del contrato viciado de falsedad. </w:t>
      </w:r>
      <w:r w:rsidRPr="00C23EF6">
        <w:rPr>
          <w:rFonts w:ascii="Arial" w:hAnsi="Arial" w:cs="Arial"/>
          <w:color w:val="000000"/>
          <w:shd w:val="clear" w:color="auto" w:fill="FFFFFF"/>
        </w:rPr>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w:t>
      </w:r>
      <w:r w:rsidRPr="00C23EF6">
        <w:rPr>
          <w:rFonts w:ascii="Arial" w:hAnsi="Arial" w:cs="Arial"/>
          <w:color w:val="000000"/>
          <w:shd w:val="clear" w:color="auto" w:fill="FFFFFF"/>
          <w:lang w:val="es-MX"/>
        </w:rPr>
        <w:t>incurre en algún error en la información de estos contratos, como por ejemplo en el valor o el plazo</w:t>
      </w:r>
      <w:r w:rsidRPr="00C23EF6">
        <w:rPr>
          <w:rFonts w:ascii="Arial" w:hAnsi="Arial" w:cs="Arial"/>
          <w:color w:val="000000"/>
          <w:shd w:val="clear" w:color="auto" w:fill="FFFFFF"/>
        </w:rPr>
        <w:t>. En este caso, conforme a la explicación precedente, en principio, no se trata de información inexacta que tenga la connotación de falsedad por lo que no habría lugar a rechazo de la propuesta por esta causal. Por ello, si el proponente omite o se equivoca en la información específica de un contrato incluido en el formato respectivo</w:t>
      </w:r>
      <w:r w:rsidRPr="00C23EF6">
        <w:rPr>
          <w:rFonts w:ascii="Arial" w:hAnsi="Arial" w:cs="Arial"/>
          <w:color w:val="000000"/>
          <w:shd w:val="clear" w:color="auto" w:fill="FFFFFF"/>
          <w:lang w:val="es-MX"/>
        </w:rPr>
        <w:t>, la entidad podrá requerirlo para que aclare la información y, en caso de no responder, rechazar la propuesta por la causal que consagra el literal E del numeral 1.15</w:t>
      </w:r>
      <w:r w:rsidRPr="00C23EF6">
        <w:rPr>
          <w:rFonts w:ascii="Arial" w:hAnsi="Arial" w:cs="Arial"/>
        </w:rPr>
        <w:t xml:space="preserve">. </w:t>
      </w:r>
    </w:p>
    <w:p w14:paraId="045AAFCC" w14:textId="2878D202" w:rsidR="00C23EF6" w:rsidRPr="00C23EF6" w:rsidRDefault="00C23EF6" w:rsidP="00C23EF6">
      <w:pPr>
        <w:spacing w:before="120" w:after="120" w:line="276" w:lineRule="auto"/>
        <w:ind w:firstLine="709"/>
        <w:jc w:val="both"/>
        <w:rPr>
          <w:rFonts w:ascii="Arial" w:hAnsi="Arial" w:cs="Arial"/>
        </w:rPr>
      </w:pPr>
      <w:r w:rsidRPr="00C23EF6">
        <w:rPr>
          <w:rFonts w:ascii="Arial" w:hAnsi="Arial" w:cs="Arial"/>
          <w:color w:val="000000"/>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2616E7F3" w14:textId="77777777" w:rsidR="00C23EF6" w:rsidRPr="00C23EF6" w:rsidRDefault="00C23EF6" w:rsidP="00C23EF6">
      <w:pPr>
        <w:spacing w:after="120" w:line="276" w:lineRule="auto"/>
        <w:ind w:firstLine="709"/>
        <w:jc w:val="both"/>
        <w:rPr>
          <w:rFonts w:ascii="Arial" w:hAnsi="Arial" w:cs="Arial"/>
        </w:rPr>
      </w:pPr>
      <w:r w:rsidRPr="00C23EF6">
        <w:rPr>
          <w:rFonts w:ascii="Arial" w:hAnsi="Arial" w:cs="Arial"/>
        </w:rPr>
        <w:t>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w:t>
      </w:r>
    </w:p>
    <w:p w14:paraId="57CD09A7" w14:textId="77777777" w:rsidR="00C23EF6" w:rsidRPr="00C23EF6" w:rsidRDefault="00C23EF6" w:rsidP="00C23EF6">
      <w:pPr>
        <w:spacing w:after="120" w:line="276" w:lineRule="auto"/>
        <w:ind w:firstLine="709"/>
        <w:jc w:val="both"/>
        <w:rPr>
          <w:rFonts w:ascii="Arial" w:eastAsiaTheme="minorEastAsia" w:hAnsi="Arial" w:cs="Arial"/>
          <w:lang w:eastAsia="es-CO"/>
        </w:rPr>
      </w:pPr>
      <w:r w:rsidRPr="00C23EF6">
        <w:rPr>
          <w:rFonts w:ascii="Arial" w:hAnsi="Arial" w:cs="Arial"/>
          <w:color w:val="000000"/>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Pr="00C23EF6">
        <w:rPr>
          <w:rFonts w:ascii="Arial" w:hAnsi="Arial" w:cs="Arial"/>
        </w:rPr>
        <w:t>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w:t>
      </w:r>
      <w:r w:rsidRPr="00C23EF6">
        <w:rPr>
          <w:rFonts w:ascii="Arial" w:eastAsia="Arial" w:hAnsi="Arial" w:cs="Arial"/>
          <w:lang w:eastAsia="es-CO"/>
        </w:rPr>
        <w:t>Que</w:t>
      </w:r>
      <w:r w:rsidRPr="00C23EF6">
        <w:rPr>
          <w:rFonts w:ascii="Arial" w:eastAsia="Arial,Calibri" w:hAnsi="Arial" w:cs="Arial"/>
          <w:lang w:eastAsia="es-CO"/>
        </w:rPr>
        <w:t xml:space="preserve"> </w:t>
      </w:r>
      <w:r w:rsidRPr="00C23EF6">
        <w:rPr>
          <w:rFonts w:ascii="Arial" w:eastAsia="Arial" w:hAnsi="Arial" w:cs="Arial"/>
          <w:lang w:eastAsia="es-CO"/>
        </w:rPr>
        <w:t>el</w:t>
      </w:r>
      <w:r w:rsidRPr="00C23EF6">
        <w:rPr>
          <w:rFonts w:ascii="Arial" w:eastAsia="Arial,Calibri" w:hAnsi="Arial" w:cs="Arial"/>
          <w:lang w:eastAsia="es-CO"/>
        </w:rPr>
        <w:t xml:space="preserve"> </w:t>
      </w:r>
      <w:r w:rsidRPr="00C23EF6">
        <w:rPr>
          <w:rFonts w:ascii="Arial" w:eastAsia="Arial" w:hAnsi="Arial" w:cs="Arial"/>
          <w:lang w:eastAsia="es-CO"/>
        </w:rPr>
        <w:t>Proponente</w:t>
      </w:r>
      <w:r w:rsidRPr="00C23EF6">
        <w:rPr>
          <w:rFonts w:ascii="Arial" w:eastAsia="Arial,Calibri" w:hAnsi="Arial" w:cs="Arial"/>
          <w:lang w:eastAsia="es-CO"/>
        </w:rPr>
        <w:t xml:space="preserve"> </w:t>
      </w:r>
      <w:r w:rsidRPr="00C23EF6">
        <w:rPr>
          <w:rFonts w:ascii="Arial" w:eastAsia="Arial" w:hAnsi="Arial" w:cs="Arial"/>
          <w:lang w:eastAsia="es-CO"/>
        </w:rPr>
        <w:t xml:space="preserve">aporte información inexacta </w:t>
      </w:r>
      <w:r w:rsidRPr="00C23EF6">
        <w:rPr>
          <w:rFonts w:ascii="Arial" w:eastAsiaTheme="minorEastAsia" w:hAnsi="Arial" w:cs="Arial"/>
          <w:lang w:eastAsia="es-CO"/>
        </w:rPr>
        <w:t>sobre la cual pueda existir una posible falsedad</w:t>
      </w:r>
      <w:r w:rsidRPr="00C23EF6" w:rsidDel="003061D1">
        <w:rPr>
          <w:rFonts w:ascii="Arial" w:eastAsiaTheme="minorEastAsia" w:hAnsi="Arial" w:cs="Arial"/>
          <w:lang w:eastAsia="es-CO"/>
        </w:rPr>
        <w:t xml:space="preserve"> </w:t>
      </w:r>
      <w:r w:rsidRPr="00C23EF6">
        <w:rPr>
          <w:rFonts w:ascii="Arial" w:eastAsiaTheme="minorEastAsia" w:hAnsi="Arial" w:cs="Arial"/>
          <w:lang w:eastAsia="es-CO"/>
        </w:rPr>
        <w:t>en los términos de la sección 1.11».</w:t>
      </w:r>
    </w:p>
    <w:p w14:paraId="6FF8243B" w14:textId="77777777" w:rsidR="00C23EF6" w:rsidRPr="00C23EF6" w:rsidRDefault="00C23EF6" w:rsidP="00C23EF6">
      <w:pPr>
        <w:spacing w:before="120" w:after="120" w:line="276" w:lineRule="auto"/>
        <w:ind w:firstLine="708"/>
        <w:jc w:val="both"/>
        <w:rPr>
          <w:rFonts w:ascii="Arial" w:hAnsi="Arial" w:cs="Arial"/>
        </w:rPr>
      </w:pPr>
      <w:r w:rsidRPr="00C23EF6">
        <w:rPr>
          <w:rFonts w:ascii="Arial" w:hAnsi="Arial" w:cs="Arial"/>
        </w:rPr>
        <w:t xml:space="preserve">Según lo expuesto, al verificarse que el proponente no incluyó información contractual que afecte su capacidad residual, la entidad no estará en posición de solicitar aclaraciones, o acudir al régimen de subsanabilidad de ofertas. Esto en la medida que tal </w:t>
      </w:r>
      <w:r w:rsidRPr="00C23EF6">
        <w:rPr>
          <w:rFonts w:ascii="Arial" w:hAnsi="Arial" w:cs="Arial"/>
        </w:rPr>
        <w:lastRenderedPageBreak/>
        <w:t>circunstancia constituye una causal de rechazo en los términos de los literales H y Z del numeral 1.15 del documento base, las cuales deberán analizar, caso a caso, las entidades contratantes conforme a los parámetros antes mencionados.</w:t>
      </w:r>
    </w:p>
    <w:p w14:paraId="1D92E019" w14:textId="3E1D5DAF" w:rsidR="00C23EF6" w:rsidRPr="00C23EF6" w:rsidRDefault="00C23EF6" w:rsidP="00C23EF6">
      <w:pPr>
        <w:spacing w:after="0" w:line="276" w:lineRule="auto"/>
        <w:jc w:val="both"/>
        <w:rPr>
          <w:rFonts w:ascii="Arial" w:eastAsia="Calibri" w:hAnsi="Arial" w:cs="Arial"/>
          <w:lang w:val="es-ES" w:eastAsia="es-ES" w:bidi="es-ES"/>
        </w:rPr>
      </w:pPr>
      <w:r w:rsidRPr="00C23EF6">
        <w:rPr>
          <w:rFonts w:ascii="Arial" w:hAnsi="Arial" w:cs="Arial"/>
        </w:rPr>
        <w:tab/>
      </w:r>
      <w:r w:rsidRPr="00C23EF6">
        <w:rPr>
          <w:rFonts w:ascii="Arial" w:eastAsia="Calibri" w:hAnsi="Arial" w:cs="Arial"/>
          <w:lang w:val="es-ES" w:eastAsia="es-ES" w:bidi="es-ES"/>
        </w:rPr>
        <w:t xml:space="preserve">En todo caso, resulta pertinente mencionar que, debe ser la entidad estatal quien determine si alguno de los supuestos de hecho contenidos en las causales de rechazo contenidas del numeral 1.15 del Documento Base </w:t>
      </w:r>
      <w:r w:rsidRPr="00C23EF6">
        <w:rPr>
          <w:rFonts w:ascii="Arial" w:eastAsia="Arial" w:hAnsi="Arial" w:cs="Arial"/>
          <w:bCs/>
          <w:lang w:val="es-ES" w:eastAsia="es-ES" w:bidi="es-ES"/>
        </w:rPr>
        <w:t xml:space="preserve">de los «Documentos Tipo – Versión 3», aplican frente a </w:t>
      </w:r>
      <w:r w:rsidR="007A03A6">
        <w:rPr>
          <w:rFonts w:ascii="Arial" w:eastAsia="Arial" w:hAnsi="Arial" w:cs="Arial"/>
          <w:bCs/>
          <w:lang w:val="es-ES" w:eastAsia="es-ES" w:bidi="es-ES"/>
        </w:rPr>
        <w:t>cada</w:t>
      </w:r>
      <w:r w:rsidR="007A03A6" w:rsidRPr="00C23EF6">
        <w:rPr>
          <w:rFonts w:ascii="Arial" w:eastAsia="Arial" w:hAnsi="Arial" w:cs="Arial"/>
          <w:bCs/>
          <w:lang w:val="es-ES" w:eastAsia="es-ES" w:bidi="es-ES"/>
        </w:rPr>
        <w:t xml:space="preserve"> </w:t>
      </w:r>
      <w:r w:rsidRPr="00C23EF6">
        <w:rPr>
          <w:rFonts w:ascii="Arial" w:eastAsia="Arial" w:hAnsi="Arial" w:cs="Arial"/>
          <w:bCs/>
          <w:lang w:val="es-ES" w:eastAsia="es-ES" w:bidi="es-ES"/>
        </w:rPr>
        <w:t>situación particular.</w:t>
      </w:r>
    </w:p>
    <w:p w14:paraId="0576E692" w14:textId="77777777" w:rsidR="00201F9D" w:rsidRPr="00462728" w:rsidRDefault="00201F9D" w:rsidP="00517002">
      <w:pPr>
        <w:spacing w:after="120" w:line="240" w:lineRule="auto"/>
        <w:ind w:right="709"/>
        <w:jc w:val="both"/>
        <w:rPr>
          <w:rFonts w:ascii="Arial" w:hAnsi="Arial" w:cs="Arial"/>
          <w:sz w:val="21"/>
          <w:szCs w:val="21"/>
        </w:rPr>
      </w:pPr>
    </w:p>
    <w:p w14:paraId="1CC59D4C" w14:textId="3DD83946" w:rsidR="009117FC" w:rsidRPr="00462728" w:rsidRDefault="00737AD3" w:rsidP="009117FC">
      <w:pPr>
        <w:spacing w:after="120" w:line="240" w:lineRule="auto"/>
        <w:ind w:left="709" w:right="709"/>
        <w:jc w:val="both"/>
        <w:rPr>
          <w:rFonts w:ascii="Arial" w:hAnsi="Arial" w:cs="Arial"/>
          <w:sz w:val="21"/>
          <w:szCs w:val="21"/>
        </w:rPr>
      </w:pPr>
      <w:r>
        <w:rPr>
          <w:rFonts w:ascii="Arial" w:hAnsi="Arial" w:cs="Arial"/>
          <w:sz w:val="21"/>
          <w:szCs w:val="21"/>
        </w:rPr>
        <w:t>ii)</w:t>
      </w:r>
      <w:r w:rsidR="009117FC" w:rsidRPr="00462728">
        <w:rPr>
          <w:rFonts w:ascii="Arial" w:hAnsi="Arial" w:cs="Arial"/>
          <w:sz w:val="21"/>
          <w:szCs w:val="21"/>
        </w:rPr>
        <w:t xml:space="preserve">. </w:t>
      </w:r>
      <w:r w:rsidR="009723D8">
        <w:rPr>
          <w:rFonts w:ascii="Arial" w:hAnsi="Arial" w:cs="Arial"/>
          <w:sz w:val="21"/>
          <w:szCs w:val="21"/>
        </w:rPr>
        <w:t>«</w:t>
      </w:r>
      <w:r w:rsidR="009117FC" w:rsidRPr="00462728">
        <w:rPr>
          <w:rFonts w:ascii="Arial" w:hAnsi="Arial" w:cs="Arial"/>
          <w:sz w:val="21"/>
          <w:szCs w:val="21"/>
        </w:rPr>
        <w:t>Formato 5C. Un contrato adjudicado sin acta de inicio antes del cierre del proceso se debe de reportar en este formato?</w:t>
      </w:r>
      <w:r w:rsidR="009723D8">
        <w:rPr>
          <w:rFonts w:ascii="Arial" w:hAnsi="Arial" w:cs="Arial"/>
          <w:sz w:val="21"/>
          <w:szCs w:val="21"/>
        </w:rPr>
        <w:t xml:space="preserve">». </w:t>
      </w:r>
    </w:p>
    <w:p w14:paraId="48859EB5" w14:textId="77777777" w:rsidR="00DC701A" w:rsidRPr="00DC701A" w:rsidRDefault="00DC701A" w:rsidP="00737AD3">
      <w:pPr>
        <w:spacing w:after="0" w:line="276" w:lineRule="auto"/>
        <w:ind w:right="709"/>
        <w:jc w:val="both"/>
        <w:rPr>
          <w:rFonts w:ascii="Arial" w:eastAsia="Times New Roman" w:hAnsi="Arial" w:cs="Arial"/>
          <w:sz w:val="21"/>
          <w:szCs w:val="21"/>
          <w:lang w:eastAsia="es-MX"/>
        </w:rPr>
      </w:pPr>
    </w:p>
    <w:p w14:paraId="093979A9" w14:textId="77777777" w:rsidR="006D7D62" w:rsidRDefault="00DC701A" w:rsidP="00924037">
      <w:pPr>
        <w:spacing w:before="120" w:after="120" w:line="276" w:lineRule="auto"/>
        <w:jc w:val="both"/>
        <w:rPr>
          <w:rFonts w:ascii="Arial" w:eastAsia="Times New Roman" w:hAnsi="Arial" w:cs="Arial"/>
          <w:i/>
          <w:iCs/>
          <w:lang w:eastAsia="es-MX"/>
        </w:rPr>
      </w:pPr>
      <w:r w:rsidRPr="00DC701A">
        <w:rPr>
          <w:rFonts w:ascii="Arial" w:eastAsia="Times New Roman" w:hAnsi="Arial" w:cs="Arial"/>
          <w:lang w:eastAsia="es-MX"/>
        </w:rPr>
        <w:t xml:space="preserve">Con base en las anteriores consideraciones, es posible concluir que la normativa vigente prevé en la definición de contratos en ejecución aquellos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Pr="00DC701A">
        <w:rPr>
          <w:rFonts w:ascii="Arial" w:eastAsia="Times New Roman" w:hAnsi="Arial" w:cs="Arial"/>
          <w:i/>
          <w:iCs/>
          <w:lang w:eastAsia="es-MX"/>
        </w:rPr>
        <w:t>incluyendo los contratos suspendidos y aquellos que no tengan acta de inicio</w:t>
      </w:r>
      <w:r w:rsidRPr="00DC701A">
        <w:rPr>
          <w:rFonts w:ascii="Arial" w:eastAsia="Times New Roman" w:hAnsi="Arial" w:cs="Arial"/>
          <w:lang w:eastAsia="es-MX"/>
        </w:rPr>
        <w:t>, como se establece en la «Guía para Determinar y Verificar la Capacidad Residual del Proponente en los Procesos de Contratación de Obra Pública»</w:t>
      </w:r>
      <w:r w:rsidRPr="00DC701A">
        <w:rPr>
          <w:rFonts w:ascii="Arial" w:eastAsia="Times New Roman" w:hAnsi="Arial" w:cs="Arial"/>
          <w:i/>
          <w:iCs/>
          <w:lang w:eastAsia="es-MX"/>
        </w:rPr>
        <w:t xml:space="preserve">. </w:t>
      </w:r>
    </w:p>
    <w:p w14:paraId="558E5970" w14:textId="0EDC96C3" w:rsidR="006D7D62" w:rsidRDefault="006D7D62" w:rsidP="006D7D62">
      <w:pPr>
        <w:spacing w:before="120" w:after="120" w:line="276" w:lineRule="auto"/>
        <w:ind w:firstLine="708"/>
        <w:jc w:val="both"/>
        <w:rPr>
          <w:rFonts w:ascii="Arial" w:hAnsi="Arial" w:cs="Arial"/>
          <w:bCs/>
          <w:lang w:val="es-MX"/>
        </w:rPr>
      </w:pPr>
      <w:r>
        <w:rPr>
          <w:rFonts w:ascii="Arial" w:eastAsia="Times New Roman" w:hAnsi="Arial" w:cs="Arial"/>
          <w:b/>
          <w:bCs/>
          <w:i/>
          <w:iCs/>
          <w:lang w:eastAsia="es-MX"/>
        </w:rPr>
        <w:t xml:space="preserve"> </w:t>
      </w:r>
      <w:r>
        <w:rPr>
          <w:rFonts w:ascii="Arial" w:eastAsia="Times New Roman" w:hAnsi="Arial" w:cs="Arial"/>
          <w:lang w:eastAsia="es-MX"/>
        </w:rPr>
        <w:t xml:space="preserve">En este sentido, </w:t>
      </w:r>
      <w:r>
        <w:rPr>
          <w:rFonts w:ascii="Arial" w:eastAsia="Arial" w:hAnsi="Arial" w:cs="Arial"/>
          <w:color w:val="1A1A1A" w:themeColor="background1" w:themeShade="1A"/>
        </w:rPr>
        <w:t xml:space="preserve">como se señaló en los numerales 2.1 y 2.2. de este concepto, </w:t>
      </w:r>
      <w:r w:rsidRPr="00AC57DD">
        <w:rPr>
          <w:rFonts w:ascii="Arial" w:hAnsi="Arial" w:cs="Arial"/>
          <w:lang w:val="es-MX"/>
        </w:rPr>
        <w:t xml:space="preserve">conforme a las definiciones previstas en </w:t>
      </w:r>
      <w:r w:rsidRPr="00AC57DD">
        <w:rPr>
          <w:rFonts w:ascii="Arial" w:hAnsi="Arial" w:cs="Arial"/>
          <w:bCs/>
          <w:lang w:val="es-ES"/>
        </w:rPr>
        <w:t xml:space="preserve">la Guía </w:t>
      </w:r>
      <w:r w:rsidR="007F799F">
        <w:rPr>
          <w:rFonts w:ascii="Arial" w:hAnsi="Arial" w:cs="Arial"/>
          <w:bCs/>
          <w:lang w:val="es-ES"/>
        </w:rPr>
        <w:t>indicada</w:t>
      </w:r>
      <w:r w:rsidRPr="00AC57DD">
        <w:rPr>
          <w:rFonts w:ascii="Arial" w:hAnsi="Arial" w:cs="Arial"/>
          <w:bCs/>
          <w:lang w:val="es-ES"/>
        </w:rPr>
        <w:t>, el numeral II del literal E del numeral 3.10.2 del documento base dispone que «</w:t>
      </w:r>
      <w:r w:rsidRPr="00AC57DD">
        <w:rPr>
          <w:rFonts w:ascii="Arial" w:hAnsi="Arial" w:cs="Arial"/>
          <w:bCs/>
          <w:lang w:val="es-MX"/>
        </w:rPr>
        <w:t xml:space="preserve">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14:paraId="510A00F7" w14:textId="205DEAB2" w:rsidR="006D7D62" w:rsidRPr="00AC57DD" w:rsidRDefault="006D7D62" w:rsidP="00924037">
      <w:pPr>
        <w:spacing w:after="0" w:line="276" w:lineRule="auto"/>
        <w:ind w:firstLine="708"/>
        <w:jc w:val="both"/>
        <w:rPr>
          <w:rFonts w:ascii="Arial" w:hAnsi="Arial" w:cs="Arial"/>
          <w:bCs/>
          <w:lang w:val="es-MX"/>
        </w:rPr>
      </w:pPr>
      <w:r w:rsidRPr="00AC57DD">
        <w:rPr>
          <w:rFonts w:ascii="Arial" w:hAnsi="Arial" w:cs="Arial"/>
          <w:bCs/>
          <w:lang w:val="es-MX"/>
        </w:rPr>
        <w:t xml:space="preserve">Como se observa, la definición solo aplica a los </w:t>
      </w:r>
      <w:r w:rsidRPr="00AC57DD">
        <w:rPr>
          <w:rFonts w:ascii="Arial" w:hAnsi="Arial" w:cs="Arial"/>
          <w:bCs/>
          <w:i/>
          <w:iCs/>
          <w:lang w:val="es-MX"/>
        </w:rPr>
        <w:t>contratos perfeccionados</w:t>
      </w:r>
      <w:r w:rsidRPr="00AC57DD">
        <w:rPr>
          <w:rFonts w:ascii="Arial" w:hAnsi="Arial" w:cs="Arial"/>
          <w:bCs/>
          <w:lang w:val="es-MX"/>
        </w:rPr>
        <w:t>, aunque estos estén suspendidos o no tengan acta de inicio. Por tanto, est</w:t>
      </w:r>
      <w:r w:rsidR="007F799F">
        <w:rPr>
          <w:rFonts w:ascii="Arial" w:hAnsi="Arial" w:cs="Arial"/>
          <w:bCs/>
          <w:lang w:val="es-MX"/>
        </w:rPr>
        <w:t>arían</w:t>
      </w:r>
      <w:r w:rsidRPr="00AC57DD">
        <w:rPr>
          <w:rFonts w:ascii="Arial" w:hAnsi="Arial" w:cs="Arial"/>
          <w:bCs/>
          <w:lang w:val="es-MX"/>
        </w:rPr>
        <w:t xml:space="preserve"> fuera de esta los</w:t>
      </w:r>
      <w:r>
        <w:rPr>
          <w:rFonts w:ascii="Arial" w:hAnsi="Arial" w:cs="Arial"/>
          <w:bCs/>
          <w:lang w:val="es-MX"/>
        </w:rPr>
        <w:t xml:space="preserve"> procesos de selección </w:t>
      </w:r>
      <w:r w:rsidRPr="00AC57DD">
        <w:rPr>
          <w:rFonts w:ascii="Arial" w:hAnsi="Arial" w:cs="Arial"/>
          <w:bCs/>
          <w:i/>
          <w:iCs/>
          <w:lang w:val="es-MX"/>
        </w:rPr>
        <w:t>adjudicados</w:t>
      </w:r>
      <w:r w:rsidRPr="00AC57DD">
        <w:rPr>
          <w:rFonts w:ascii="Arial" w:hAnsi="Arial" w:cs="Arial"/>
          <w:bCs/>
          <w:lang w:val="es-MX"/>
        </w:rPr>
        <w:t xml:space="preserve">, pues –en los términos del artículo 41 de la Ley 80 de 1993– los contratos estatales de las entidades sometidas al Estatuto General de Contratación de la Administración Pública </w:t>
      </w:r>
      <w:r w:rsidRPr="00AC57DD">
        <w:rPr>
          <w:rFonts w:ascii="Arial" w:hAnsi="Arial" w:cs="Arial"/>
          <w:bCs/>
        </w:rPr>
        <w:t>se perfeccionan cuando se logre acuerdo sobre el objeto y la contraprestación y éste se eleve a escrito</w:t>
      </w:r>
      <w:r>
        <w:rPr>
          <w:rFonts w:ascii="Arial" w:hAnsi="Arial" w:cs="Arial"/>
          <w:bCs/>
        </w:rPr>
        <w:t>, lo cual ocurre con la suscripción formal del contrato y no con el acto de adjudicación</w:t>
      </w:r>
      <w:r w:rsidRPr="00AC57DD">
        <w:rPr>
          <w:rFonts w:ascii="Arial" w:hAnsi="Arial" w:cs="Arial"/>
          <w:bCs/>
        </w:rPr>
        <w:t xml:space="preserve">. </w:t>
      </w:r>
      <w:r w:rsidRPr="00AC57DD">
        <w:rPr>
          <w:rFonts w:ascii="Arial" w:hAnsi="Arial" w:cs="Arial"/>
        </w:rPr>
        <w:t xml:space="preserve">Lo expuesto es congruente con </w:t>
      </w:r>
      <w:r w:rsidRPr="00AC57DD">
        <w:rPr>
          <w:rFonts w:ascii="Arial" w:eastAsia="Calibri" w:hAnsi="Arial" w:cs="Arial"/>
          <w:color w:val="000000" w:themeColor="text1"/>
          <w:lang w:val="es-MX"/>
        </w:rPr>
        <w:t xml:space="preserve">el artículo 2.2.1.1.1.6.4 del Decreto 1082 de 2015, en virtud del cual, para efectos de </w:t>
      </w:r>
      <w:r w:rsidRPr="00AC57DD">
        <w:rPr>
          <w:rFonts w:ascii="Arial" w:hAnsi="Arial" w:cs="Arial"/>
          <w:lang w:val="es-MX"/>
        </w:rPr>
        <w:t>acreditar la capacidad residual del proponente, se requiere el listado de contratos de obra civiles en ejecución suscritos con entidades estatales y con entidades privadas.</w:t>
      </w:r>
    </w:p>
    <w:p w14:paraId="582A2383" w14:textId="640F5A6B" w:rsidR="00DC701A" w:rsidRDefault="00DC701A" w:rsidP="00924037">
      <w:pPr>
        <w:spacing w:after="0" w:line="276" w:lineRule="auto"/>
        <w:jc w:val="both"/>
        <w:rPr>
          <w:rFonts w:ascii="Arial" w:eastAsia="Calibri" w:hAnsi="Arial" w:cs="Arial"/>
          <w:lang w:val="es-ES" w:eastAsia="es-MX"/>
        </w:rPr>
      </w:pPr>
    </w:p>
    <w:p w14:paraId="64AB8228" w14:textId="29DCC5F1" w:rsidR="009723D8" w:rsidRPr="00462728" w:rsidRDefault="009723D8" w:rsidP="009723D8">
      <w:pPr>
        <w:spacing w:after="0" w:line="240" w:lineRule="auto"/>
        <w:ind w:left="709" w:right="709"/>
        <w:jc w:val="both"/>
        <w:rPr>
          <w:rFonts w:ascii="Arial" w:hAnsi="Arial" w:cs="Arial"/>
          <w:sz w:val="21"/>
          <w:szCs w:val="21"/>
        </w:rPr>
      </w:pPr>
      <w:r>
        <w:rPr>
          <w:rFonts w:ascii="Arial" w:hAnsi="Arial" w:cs="Arial"/>
          <w:sz w:val="21"/>
          <w:szCs w:val="21"/>
        </w:rPr>
        <w:t>iii). «</w:t>
      </w:r>
      <w:r w:rsidRPr="00462728">
        <w:rPr>
          <w:rFonts w:ascii="Arial" w:hAnsi="Arial" w:cs="Arial"/>
          <w:sz w:val="21"/>
          <w:szCs w:val="21"/>
        </w:rPr>
        <w:t>Se solicita a la entidad que amplié la guía para el requerimiento por precios artificialmente bajos y brinde unas pautas mas puntuales para el rechazo de oferentes con precios bajos, ya que esto se a vuelto un tema de discusión, ya que hay entidades que han rechazado proponentes de manera subjetiva simplemente con el argumento de "los documentos presentados no generan confianza para la ejecución de las obra" y esto es un tema técnico y de soporte y no de criterio personal».</w:t>
      </w:r>
    </w:p>
    <w:p w14:paraId="3C0C9A41" w14:textId="0E55181F" w:rsidR="009723D8" w:rsidRDefault="009723D8" w:rsidP="00AD0CCE">
      <w:pPr>
        <w:spacing w:after="0" w:line="276" w:lineRule="auto"/>
        <w:ind w:right="49"/>
        <w:jc w:val="both"/>
        <w:rPr>
          <w:rFonts w:ascii="Arial" w:eastAsia="Calibri" w:hAnsi="Arial" w:cs="Arial"/>
          <w:lang w:val="es-ES" w:eastAsia="es-MX"/>
        </w:rPr>
      </w:pPr>
    </w:p>
    <w:p w14:paraId="0094E2BF" w14:textId="77777777" w:rsidR="00096C36" w:rsidRPr="00735584" w:rsidRDefault="00096C36" w:rsidP="00096C36">
      <w:pPr>
        <w:spacing w:after="120" w:line="276" w:lineRule="auto"/>
        <w:jc w:val="both"/>
        <w:rPr>
          <w:rFonts w:ascii="Arial" w:eastAsia="Calibri" w:hAnsi="Arial" w:cs="Arial"/>
          <w:lang w:val="es-MX"/>
        </w:rPr>
      </w:pPr>
      <w:r w:rsidRPr="00735584">
        <w:rPr>
          <w:rFonts w:ascii="Arial" w:eastAsia="Calibri" w:hAnsi="Arial" w:cs="Arial"/>
          <w:lang w:val="es-MX"/>
        </w:rPr>
        <w:t xml:space="preserve">La Agencia Nacional de Contratación Pública – Colombia Compra Eficiente expidió la «Guía para el manejo de ofertas artificialmente bajas en Procesos de Contratación», en la cual se señalan las causas y consecuencias de que en los procedimientos contractuales existan este tipo de ofertas, y las herramientas y pasos para identificarlas y manejarlas; además de estrategias para reducir la posibilidad de recibir ofertas con «precios artificialmente bajos». </w:t>
      </w:r>
    </w:p>
    <w:p w14:paraId="6ACB7B8C" w14:textId="77777777" w:rsidR="00096C36" w:rsidRPr="00735584" w:rsidRDefault="00096C36" w:rsidP="00096C36">
      <w:pPr>
        <w:spacing w:after="120" w:line="276" w:lineRule="auto"/>
        <w:ind w:firstLine="709"/>
        <w:jc w:val="both"/>
        <w:rPr>
          <w:rFonts w:ascii="Arial" w:eastAsia="Calibri" w:hAnsi="Arial" w:cs="Arial"/>
          <w:lang w:val="es-MX"/>
        </w:rPr>
      </w:pPr>
      <w:r w:rsidRPr="00735584">
        <w:rPr>
          <w:rFonts w:ascii="Arial" w:eastAsia="Calibri" w:hAnsi="Arial" w:cs="Arial"/>
          <w:lang w:val="es-MX"/>
        </w:rPr>
        <w:t xml:space="preserve">Esta Guía brinda recomendaciones a los participantes de la contratación pública, en cumplimiento del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 </w:t>
      </w:r>
    </w:p>
    <w:p w14:paraId="1B4F929D" w14:textId="77777777" w:rsidR="00096C36" w:rsidRPr="00735584" w:rsidRDefault="00096C36" w:rsidP="00096C36">
      <w:pPr>
        <w:spacing w:after="120" w:line="276" w:lineRule="auto"/>
        <w:ind w:firstLine="708"/>
        <w:jc w:val="both"/>
        <w:rPr>
          <w:rFonts w:ascii="Arial" w:eastAsia="Calibri" w:hAnsi="Arial" w:cs="Arial"/>
          <w:lang w:val="es-MX"/>
        </w:rPr>
      </w:pPr>
      <w:r w:rsidRPr="00735584">
        <w:rPr>
          <w:rFonts w:ascii="Arial" w:eastAsia="Calibri" w:hAnsi="Arial" w:cs="Arial"/>
          <w:lang w:val="es-MX"/>
        </w:rPr>
        <w:t xml:space="preserve">Entre las funciones asignadas se contempla el desarrollo y publicación de instrumentos y herramientas que ayuden a los participantes de la contratación pública, los cuales fueron denominados por la Agencia como manuales y guías. Los lineamientos y orientaciones que esta entidad propone tienen en cuenta la aplicación de normas de carácter general en materia de compras y contratación pública, y por ende se dirigen a facilitar la actividad contractual de las entidades públicas en general. </w:t>
      </w:r>
    </w:p>
    <w:p w14:paraId="4ACD72E4" w14:textId="67DD481F" w:rsidR="00A60AE5" w:rsidRPr="00DC701A" w:rsidRDefault="00096C36" w:rsidP="00A60AE5">
      <w:pPr>
        <w:spacing w:after="0" w:line="276" w:lineRule="auto"/>
        <w:ind w:firstLine="709"/>
        <w:jc w:val="both"/>
        <w:rPr>
          <w:rFonts w:ascii="Arial" w:eastAsia="Arial," w:hAnsi="Arial" w:cs="Arial"/>
        </w:rPr>
      </w:pPr>
      <w:r>
        <w:rPr>
          <w:rFonts w:ascii="Arial" w:eastAsia="Times New Roman" w:hAnsi="Arial" w:cs="Arial"/>
          <w:color w:val="000000"/>
          <w:shd w:val="clear" w:color="auto" w:fill="FFFFFF"/>
          <w:lang w:val="es-US" w:eastAsia="es-ES_tradnl"/>
        </w:rPr>
        <w:t xml:space="preserve">Conforme con lo anterior, </w:t>
      </w:r>
      <w:r w:rsidRPr="001D067A">
        <w:rPr>
          <w:rFonts w:ascii="Arial" w:eastAsia="Times New Roman" w:hAnsi="Arial" w:cs="Arial"/>
          <w:color w:val="000000"/>
          <w:shd w:val="clear" w:color="auto" w:fill="FFFFFF"/>
          <w:lang w:val="es-US" w:eastAsia="es-ES_tradnl"/>
        </w:rPr>
        <w:t>la referida Guía contiene criterios orientadores para las entidades públicas, los cuales, en consecuencia, no son vinculantes ni de obligatorio acatamiento</w:t>
      </w:r>
      <w:r>
        <w:rPr>
          <w:rFonts w:ascii="Arial" w:eastAsia="Times New Roman" w:hAnsi="Arial" w:cs="Arial"/>
          <w:color w:val="000000"/>
          <w:shd w:val="clear" w:color="auto" w:fill="FFFFFF"/>
          <w:lang w:val="es-US" w:eastAsia="es-ES_tradnl"/>
        </w:rPr>
        <w:t xml:space="preserve">, </w:t>
      </w:r>
      <w:r w:rsidRPr="001D067A">
        <w:rPr>
          <w:rFonts w:ascii="Arial" w:eastAsia="Times New Roman" w:hAnsi="Arial" w:cs="Arial"/>
          <w:color w:val="000000"/>
          <w:szCs w:val="24"/>
          <w:lang w:eastAsia="es-ES_tradnl"/>
        </w:rPr>
        <w:t xml:space="preserve">de manera que las entidades pueden, a partir de los datos de los que dispongan, servirse de otros métodos razonables, </w:t>
      </w:r>
      <w:r>
        <w:rPr>
          <w:rFonts w:ascii="Arial" w:eastAsia="Times New Roman" w:hAnsi="Arial" w:cs="Arial"/>
          <w:color w:val="000000"/>
          <w:szCs w:val="24"/>
          <w:lang w:eastAsia="es-ES_tradnl"/>
        </w:rPr>
        <w:t xml:space="preserve">para aplicar el procedimiento establecido en el artículo </w:t>
      </w:r>
      <w:r w:rsidRPr="001D067A">
        <w:rPr>
          <w:rFonts w:ascii="Arial" w:eastAsia="Times New Roman" w:hAnsi="Arial" w:cs="Arial"/>
          <w:color w:val="000000"/>
          <w:szCs w:val="24"/>
          <w:lang w:eastAsia="es-ES_tradnl"/>
        </w:rPr>
        <w:t>2.2.1.1.2.2.4</w:t>
      </w:r>
      <w:r>
        <w:rPr>
          <w:rFonts w:ascii="Arial" w:eastAsia="Times New Roman" w:hAnsi="Arial" w:cs="Arial"/>
          <w:color w:val="000000"/>
          <w:szCs w:val="24"/>
          <w:lang w:eastAsia="es-ES_tradnl"/>
        </w:rPr>
        <w:t xml:space="preserve"> del Decreto 1082 de 2015</w:t>
      </w:r>
      <w:r w:rsidRPr="001D067A">
        <w:rPr>
          <w:rFonts w:ascii="Arial" w:eastAsia="Times New Roman" w:hAnsi="Arial" w:cs="Arial"/>
          <w:color w:val="000000"/>
          <w:shd w:val="clear" w:color="auto" w:fill="FFFFFF"/>
          <w:lang w:val="es-US" w:eastAsia="es-ES_tradnl"/>
        </w:rPr>
        <w:t>. En otras palabras, las entidades están facultadas para aplicar los criterios contenidos en la Guía o acudir, si bien lo tienen, a otro tipo de criterios que consideren más apropiados para cada proceso de contratación</w:t>
      </w:r>
      <w:r w:rsidRPr="001D067A">
        <w:rPr>
          <w:rFonts w:ascii="Arial" w:eastAsia="Calibri" w:hAnsi="Arial" w:cs="Arial"/>
          <w:color w:val="000000"/>
          <w:lang w:val="es-ES"/>
        </w:rPr>
        <w:t>.</w:t>
      </w:r>
      <w:r w:rsidR="00A60AE5">
        <w:rPr>
          <w:rFonts w:ascii="Arial" w:eastAsia="Calibri" w:hAnsi="Arial" w:cs="Arial"/>
          <w:color w:val="000000"/>
          <w:lang w:val="es-ES"/>
        </w:rPr>
        <w:t xml:space="preserve"> </w:t>
      </w:r>
      <w:r w:rsidR="00A60AE5">
        <w:rPr>
          <w:rFonts w:ascii="Arial" w:hAnsi="Arial" w:cs="Arial"/>
          <w:color w:val="000000"/>
          <w:shd w:val="clear" w:color="auto" w:fill="FFFFFF"/>
          <w:lang w:val="es-US"/>
        </w:rPr>
        <w:t xml:space="preserve">Lo anterior, además responde a que son muchas las circunstancias específicas que pueden presentarse en cada procedimiento de selección en concreto, y frente a cada proponente en particular, por lo cual no se considera adecuado establecer criterios absolutos, que eventualmente podrían resultar insuficientes o inadecuados en circunstancias específicas, razón por la cual esta Agencia, con fundamento en el artículo </w:t>
      </w:r>
      <w:r w:rsidR="00A60AE5" w:rsidRPr="004B45A7">
        <w:rPr>
          <w:rFonts w:ascii="Arial" w:hAnsi="Arial" w:cs="Arial"/>
          <w:color w:val="000000"/>
          <w:shd w:val="clear" w:color="auto" w:fill="FFFFFF"/>
          <w:lang w:val="es-US"/>
        </w:rPr>
        <w:t>2.2.1.1.2.2.4.</w:t>
      </w:r>
      <w:r w:rsidR="00A60AE5">
        <w:rPr>
          <w:rFonts w:ascii="Arial" w:hAnsi="Arial" w:cs="Arial"/>
          <w:color w:val="000000"/>
          <w:shd w:val="clear" w:color="auto" w:fill="FFFFFF"/>
          <w:lang w:val="es-US"/>
        </w:rPr>
        <w:t xml:space="preserve"> del Decreto 1082 de 2015, estableció algunas recomendaciones a las entidades estatales para el manejo de </w:t>
      </w:r>
      <w:r w:rsidR="00A60AE5" w:rsidRPr="004B45A7">
        <w:rPr>
          <w:rFonts w:ascii="Arial" w:hAnsi="Arial" w:cs="Arial"/>
          <w:color w:val="000000"/>
          <w:shd w:val="clear" w:color="auto" w:fill="FFFFFF"/>
          <w:lang w:val="es-US"/>
        </w:rPr>
        <w:t>ofertas</w:t>
      </w:r>
      <w:r w:rsidR="00A60AE5">
        <w:rPr>
          <w:rFonts w:ascii="Arial" w:hAnsi="Arial" w:cs="Arial"/>
          <w:color w:val="000000"/>
          <w:shd w:val="clear" w:color="auto" w:fill="FFFFFF"/>
          <w:lang w:val="es-US"/>
        </w:rPr>
        <w:t xml:space="preserve"> </w:t>
      </w:r>
      <w:r w:rsidR="00A60AE5" w:rsidRPr="004B45A7">
        <w:rPr>
          <w:rFonts w:ascii="Arial" w:hAnsi="Arial" w:cs="Arial"/>
          <w:color w:val="000000"/>
          <w:shd w:val="clear" w:color="auto" w:fill="FFFFFF"/>
          <w:lang w:val="es-US"/>
        </w:rPr>
        <w:t>artificialmente bajas en</w:t>
      </w:r>
      <w:r w:rsidR="00A60AE5">
        <w:rPr>
          <w:rFonts w:ascii="Arial" w:hAnsi="Arial" w:cs="Arial"/>
          <w:color w:val="000000"/>
          <w:shd w:val="clear" w:color="auto" w:fill="FFFFFF"/>
          <w:lang w:val="es-US"/>
        </w:rPr>
        <w:t xml:space="preserve"> los p</w:t>
      </w:r>
      <w:r w:rsidR="00A60AE5" w:rsidRPr="004B45A7">
        <w:rPr>
          <w:rFonts w:ascii="Arial" w:hAnsi="Arial" w:cs="Arial"/>
          <w:color w:val="000000"/>
          <w:shd w:val="clear" w:color="auto" w:fill="FFFFFF"/>
          <w:lang w:val="es-US"/>
        </w:rPr>
        <w:t xml:space="preserve">rocesos de </w:t>
      </w:r>
      <w:r w:rsidR="00A60AE5">
        <w:rPr>
          <w:rFonts w:ascii="Arial" w:hAnsi="Arial" w:cs="Arial"/>
          <w:color w:val="000000"/>
          <w:shd w:val="clear" w:color="auto" w:fill="FFFFFF"/>
          <w:lang w:val="es-US"/>
        </w:rPr>
        <w:t>c</w:t>
      </w:r>
      <w:r w:rsidR="00A60AE5" w:rsidRPr="004B45A7">
        <w:rPr>
          <w:rFonts w:ascii="Arial" w:hAnsi="Arial" w:cs="Arial"/>
          <w:color w:val="000000"/>
          <w:shd w:val="clear" w:color="auto" w:fill="FFFFFF"/>
          <w:lang w:val="es-US"/>
        </w:rPr>
        <w:t>ontratación</w:t>
      </w:r>
      <w:r w:rsidR="00A60AE5">
        <w:rPr>
          <w:rFonts w:ascii="Arial" w:hAnsi="Arial" w:cs="Arial"/>
          <w:color w:val="000000"/>
          <w:shd w:val="clear" w:color="auto" w:fill="FFFFFF"/>
          <w:lang w:val="es-US"/>
        </w:rPr>
        <w:t>, para que ellas tomen las decisiones que correspondan en cada procedimiento de selección.</w:t>
      </w:r>
    </w:p>
    <w:p w14:paraId="56B84D80" w14:textId="46BD7376" w:rsidR="00096C36" w:rsidRPr="00924037" w:rsidRDefault="00096C36" w:rsidP="00096C36">
      <w:pPr>
        <w:spacing w:after="0" w:line="276" w:lineRule="auto"/>
        <w:ind w:firstLine="709"/>
        <w:jc w:val="both"/>
        <w:rPr>
          <w:rFonts w:ascii="Arial" w:eastAsia="Calibri" w:hAnsi="Arial" w:cs="Arial"/>
          <w:color w:val="000000"/>
        </w:rPr>
      </w:pPr>
    </w:p>
    <w:p w14:paraId="718B1AED" w14:textId="77777777" w:rsidR="00096C36" w:rsidRPr="00DC701A" w:rsidRDefault="00096C36" w:rsidP="00AD0CCE">
      <w:pPr>
        <w:spacing w:after="0" w:line="276" w:lineRule="auto"/>
        <w:ind w:right="49"/>
        <w:jc w:val="both"/>
        <w:rPr>
          <w:rFonts w:ascii="Arial" w:eastAsia="Calibri" w:hAnsi="Arial" w:cs="Arial"/>
          <w:lang w:val="es-ES" w:eastAsia="es-MX"/>
        </w:rPr>
      </w:pPr>
    </w:p>
    <w:p w14:paraId="63A1454F" w14:textId="77777777" w:rsidR="00DC701A" w:rsidRPr="00DC701A" w:rsidRDefault="00DC701A" w:rsidP="00AD0CCE">
      <w:pPr>
        <w:spacing w:after="0" w:line="276" w:lineRule="auto"/>
        <w:jc w:val="both"/>
        <w:rPr>
          <w:rFonts w:ascii="Arial" w:eastAsia="Calibri" w:hAnsi="Arial" w:cs="Arial"/>
          <w:lang w:val="es-ES" w:eastAsia="es-MX"/>
        </w:rPr>
      </w:pPr>
      <w:r w:rsidRPr="00DC701A">
        <w:rPr>
          <w:rFonts w:ascii="Arial" w:eastAsia="Calibri" w:hAnsi="Arial" w:cs="Arial"/>
          <w:lang w:val="es-ES" w:eastAsia="es-MX"/>
        </w:rPr>
        <w:t>Este concepto tiene el alcance previsto en el artículo 28 del Código de Procedimiento Administrativo y de lo Contencioso Administrativo.</w:t>
      </w:r>
    </w:p>
    <w:p w14:paraId="3CECD70B" w14:textId="77777777" w:rsidR="00DC701A" w:rsidRPr="00DC701A" w:rsidRDefault="00DC701A" w:rsidP="00DC701A">
      <w:pPr>
        <w:spacing w:after="0" w:line="240" w:lineRule="auto"/>
        <w:jc w:val="both"/>
        <w:rPr>
          <w:rFonts w:ascii="Arial" w:eastAsia="Calibri" w:hAnsi="Arial" w:cs="Arial"/>
          <w:lang w:val="es-ES" w:eastAsia="es-MX"/>
        </w:rPr>
      </w:pPr>
    </w:p>
    <w:p w14:paraId="650297B0" w14:textId="77777777" w:rsidR="00DC701A" w:rsidRPr="00DC701A" w:rsidRDefault="00DC701A" w:rsidP="00DC701A">
      <w:pPr>
        <w:spacing w:after="0" w:line="240" w:lineRule="auto"/>
        <w:jc w:val="both"/>
        <w:rPr>
          <w:rFonts w:ascii="Arial" w:eastAsia="Times New Roman" w:hAnsi="Arial" w:cs="Arial"/>
          <w:lang w:val="es-ES" w:eastAsia="es-CO"/>
        </w:rPr>
      </w:pPr>
      <w:r w:rsidRPr="00DC701A">
        <w:rPr>
          <w:rFonts w:ascii="Arial" w:eastAsia="Times New Roman" w:hAnsi="Arial" w:cs="Arial"/>
          <w:lang w:val="es-ES" w:eastAsia="es-CO"/>
        </w:rPr>
        <w:t>Atentamente,</w:t>
      </w:r>
    </w:p>
    <w:p w14:paraId="21D7CA60" w14:textId="63044A4B" w:rsidR="00FB347B" w:rsidRDefault="00FB347B">
      <w:pPr>
        <w:rPr>
          <w:rFonts w:ascii="Arial" w:eastAsia="Times New Roman" w:hAnsi="Arial" w:cs="Arial"/>
          <w:sz w:val="16"/>
          <w:szCs w:val="16"/>
          <w:lang w:val="es-ES" w:eastAsia="es-ES"/>
        </w:rPr>
      </w:pPr>
    </w:p>
    <w:p w14:paraId="434D3CB5" w14:textId="055B90DC" w:rsidR="003F3F37" w:rsidRPr="003F3F37" w:rsidRDefault="007934AD" w:rsidP="003F3F37">
      <w:pPr>
        <w:spacing w:after="0" w:line="240" w:lineRule="auto"/>
        <w:jc w:val="center"/>
        <w:rPr>
          <w:rFonts w:ascii="Arial" w:eastAsia="Times New Roman" w:hAnsi="Arial" w:cs="Arial"/>
          <w:color w:val="000000" w:themeColor="text1"/>
          <w:sz w:val="18"/>
          <w:szCs w:val="20"/>
          <w:lang w:eastAsia="es-CO"/>
        </w:rPr>
      </w:pPr>
      <w:r>
        <w:rPr>
          <w:rFonts w:ascii="Arial" w:hAnsi="Arial" w:cs="Arial"/>
          <w:noProof/>
          <w:color w:val="000000" w:themeColor="text1"/>
          <w:lang w:val="es-ES_tradnl"/>
        </w:rPr>
        <w:drawing>
          <wp:inline distT="0" distB="0" distL="0" distR="0" wp14:anchorId="24D0F328" wp14:editId="7F0D17F3">
            <wp:extent cx="2993390" cy="1164590"/>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3F37" w:rsidRPr="003F3F37" w14:paraId="7CDB3F4F" w14:textId="77777777" w:rsidTr="00A95868">
        <w:trPr>
          <w:trHeight w:val="315"/>
        </w:trPr>
        <w:tc>
          <w:tcPr>
            <w:tcW w:w="812" w:type="dxa"/>
            <w:vAlign w:val="center"/>
            <w:hideMark/>
          </w:tcPr>
          <w:p w14:paraId="051ED448" w14:textId="77777777" w:rsidR="003F3F37" w:rsidRPr="003F3F37" w:rsidRDefault="003F3F37" w:rsidP="003F3F37">
            <w:pPr>
              <w:rPr>
                <w:rFonts w:ascii="Arial" w:eastAsia="Calibri" w:hAnsi="Arial" w:cs="Arial"/>
                <w:sz w:val="16"/>
                <w:szCs w:val="16"/>
                <w:lang w:val="es-ES_tradnl" w:eastAsia="es-ES"/>
              </w:rPr>
            </w:pPr>
            <w:r w:rsidRPr="003F3F37">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0AC2908C" w14:textId="77777777" w:rsidR="003F3F37" w:rsidRPr="003F3F37" w:rsidRDefault="003F3F37" w:rsidP="003F3F37">
            <w:pPr>
              <w:rPr>
                <w:rFonts w:ascii="Arial" w:eastAsia="Calibri" w:hAnsi="Arial" w:cs="Arial"/>
                <w:sz w:val="16"/>
                <w:szCs w:val="16"/>
                <w:lang w:val="es-ES_tradnl" w:eastAsia="es-ES"/>
              </w:rPr>
            </w:pPr>
            <w:r w:rsidRPr="003F3F37">
              <w:rPr>
                <w:rFonts w:ascii="Arial" w:eastAsia="Calibri" w:hAnsi="Arial" w:cs="Arial"/>
                <w:sz w:val="16"/>
                <w:szCs w:val="16"/>
                <w:lang w:val="es-ES_tradnl" w:eastAsia="es-ES"/>
              </w:rPr>
              <w:t>Carlos Mario Castrillón Endo</w:t>
            </w:r>
          </w:p>
          <w:p w14:paraId="652FFBC9" w14:textId="77777777" w:rsidR="003F3F37" w:rsidRPr="003F3F37" w:rsidRDefault="003F3F37" w:rsidP="003F3F37">
            <w:pPr>
              <w:rPr>
                <w:rFonts w:ascii="Arial" w:eastAsia="Calibri" w:hAnsi="Arial" w:cs="Arial"/>
                <w:sz w:val="16"/>
                <w:szCs w:val="16"/>
                <w:lang w:val="es-ES_tradnl" w:eastAsia="es-ES"/>
              </w:rPr>
            </w:pPr>
            <w:r w:rsidRPr="003F3F37">
              <w:rPr>
                <w:rFonts w:ascii="Arial" w:eastAsia="Calibri" w:hAnsi="Arial" w:cs="Arial"/>
                <w:sz w:val="16"/>
                <w:szCs w:val="16"/>
                <w:lang w:val="es-ES_tradnl" w:eastAsia="es-ES"/>
              </w:rPr>
              <w:t>Contratista de la Subdirección de Gestión Contractual</w:t>
            </w:r>
          </w:p>
        </w:tc>
      </w:tr>
      <w:tr w:rsidR="003F3F37" w:rsidRPr="003F3F37" w14:paraId="4EB730B0" w14:textId="77777777" w:rsidTr="00A95868">
        <w:trPr>
          <w:trHeight w:val="330"/>
        </w:trPr>
        <w:tc>
          <w:tcPr>
            <w:tcW w:w="812" w:type="dxa"/>
            <w:vAlign w:val="center"/>
            <w:hideMark/>
          </w:tcPr>
          <w:p w14:paraId="0218AC1E" w14:textId="77777777" w:rsidR="003F3F37" w:rsidRPr="003F3F37" w:rsidRDefault="003F3F37" w:rsidP="003F3F37">
            <w:pPr>
              <w:rPr>
                <w:rFonts w:ascii="Arial" w:eastAsia="Calibri" w:hAnsi="Arial" w:cs="Arial"/>
                <w:sz w:val="16"/>
                <w:szCs w:val="16"/>
                <w:lang w:val="es-ES_tradnl" w:eastAsia="es-ES"/>
              </w:rPr>
            </w:pPr>
            <w:r w:rsidRPr="003F3F37">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1A7C2E8" w14:textId="15C47585" w:rsidR="003F3F37" w:rsidRPr="003F3F37" w:rsidRDefault="003F3F37" w:rsidP="003F3F37">
            <w:pPr>
              <w:rPr>
                <w:rFonts w:ascii="Arial" w:eastAsia="Calibri" w:hAnsi="Arial" w:cs="Arial"/>
                <w:sz w:val="16"/>
                <w:szCs w:val="16"/>
                <w:lang w:val="es-ES_tradnl" w:eastAsia="es-ES"/>
              </w:rPr>
            </w:pPr>
            <w:r>
              <w:rPr>
                <w:rFonts w:ascii="Arial" w:eastAsia="Calibri" w:hAnsi="Arial" w:cs="Arial"/>
                <w:sz w:val="16"/>
                <w:szCs w:val="16"/>
                <w:lang w:val="es-ES_tradnl" w:eastAsia="es-ES"/>
              </w:rPr>
              <w:t>Sebastián Ramírez Grisales</w:t>
            </w:r>
          </w:p>
          <w:p w14:paraId="303DD23D" w14:textId="1BED01B8" w:rsidR="003F3F37" w:rsidRPr="003F3F37" w:rsidRDefault="003F3F37" w:rsidP="003F3F37">
            <w:pPr>
              <w:rPr>
                <w:rFonts w:ascii="Arial" w:eastAsia="Calibri" w:hAnsi="Arial" w:cs="Arial"/>
                <w:sz w:val="16"/>
                <w:szCs w:val="16"/>
                <w:lang w:val="es-ES_tradnl" w:eastAsia="es-ES"/>
              </w:rPr>
            </w:pPr>
            <w:r w:rsidRPr="003F3F37">
              <w:rPr>
                <w:rFonts w:ascii="Arial" w:eastAsia="Calibri" w:hAnsi="Arial" w:cs="Arial"/>
                <w:sz w:val="16"/>
                <w:szCs w:val="16"/>
                <w:lang w:val="es-ES_tradnl" w:eastAsia="es-ES"/>
              </w:rPr>
              <w:t>Contratista de la Subdirección de Gestión Contractual</w:t>
            </w:r>
            <w:r w:rsidRPr="003F3F37">
              <w:rPr>
                <w:rFonts w:ascii="Arial" w:hAnsi="Arial" w:cs="Arial"/>
                <w:color w:val="000000" w:themeColor="text1"/>
                <w:sz w:val="16"/>
                <w:szCs w:val="16"/>
                <w:lang w:val="es-ES_tradnl" w:eastAsia="es-ES"/>
              </w:rPr>
              <w:t xml:space="preserve"> </w:t>
            </w:r>
          </w:p>
        </w:tc>
      </w:tr>
      <w:tr w:rsidR="003F3F37" w:rsidRPr="003F3F37" w14:paraId="4CFAAD19" w14:textId="77777777" w:rsidTr="00A95868">
        <w:trPr>
          <w:trHeight w:val="300"/>
        </w:trPr>
        <w:tc>
          <w:tcPr>
            <w:tcW w:w="812" w:type="dxa"/>
            <w:vAlign w:val="center"/>
            <w:hideMark/>
          </w:tcPr>
          <w:p w14:paraId="64D3A5EA" w14:textId="77777777" w:rsidR="003F3F37" w:rsidRPr="003F3F37" w:rsidRDefault="003F3F37" w:rsidP="003F3F37">
            <w:pPr>
              <w:rPr>
                <w:rFonts w:ascii="Arial" w:eastAsia="Calibri" w:hAnsi="Arial" w:cs="Arial"/>
                <w:sz w:val="16"/>
                <w:szCs w:val="16"/>
                <w:lang w:val="es-ES_tradnl" w:eastAsia="es-ES"/>
              </w:rPr>
            </w:pPr>
            <w:r w:rsidRPr="003F3F37">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2690FF97" w14:textId="77777777" w:rsidR="003F3F37" w:rsidRPr="003F3F37" w:rsidRDefault="003F3F37" w:rsidP="003F3F37">
            <w:pPr>
              <w:rPr>
                <w:rFonts w:ascii="Arial" w:eastAsia="Calibri" w:hAnsi="Arial" w:cs="Arial"/>
                <w:sz w:val="16"/>
                <w:szCs w:val="16"/>
                <w:lang w:val="pt-BR" w:eastAsia="es-ES"/>
              </w:rPr>
            </w:pPr>
            <w:r w:rsidRPr="003F3F37">
              <w:rPr>
                <w:rFonts w:ascii="Arial" w:eastAsia="Calibri" w:hAnsi="Arial" w:cs="Arial"/>
                <w:sz w:val="16"/>
                <w:szCs w:val="16"/>
                <w:lang w:val="pt-BR" w:eastAsia="es-ES"/>
              </w:rPr>
              <w:t>Juan David Marín López</w:t>
            </w:r>
          </w:p>
          <w:p w14:paraId="23AA07D1" w14:textId="77777777" w:rsidR="003F3F37" w:rsidRPr="003F3F37" w:rsidRDefault="003F3F37" w:rsidP="003F3F37">
            <w:pPr>
              <w:rPr>
                <w:rFonts w:ascii="Arial" w:eastAsia="Calibri" w:hAnsi="Arial" w:cs="Arial"/>
                <w:sz w:val="16"/>
                <w:szCs w:val="16"/>
                <w:lang w:val="pt-BR" w:eastAsia="es-ES"/>
              </w:rPr>
            </w:pPr>
            <w:r w:rsidRPr="003F3F37">
              <w:rPr>
                <w:rFonts w:ascii="Arial" w:eastAsia="Calibri" w:hAnsi="Arial" w:cs="Arial"/>
                <w:sz w:val="16"/>
                <w:szCs w:val="16"/>
                <w:lang w:val="pt-BR" w:eastAsia="es-ES"/>
              </w:rPr>
              <w:t>Subdirector de Gestión Contractual ANCP – CCE (E)</w:t>
            </w:r>
          </w:p>
        </w:tc>
      </w:tr>
      <w:tr w:rsidR="004F3E36" w:rsidRPr="003F3F37" w14:paraId="6720E3ED" w14:textId="77777777" w:rsidTr="00A95868">
        <w:trPr>
          <w:trHeight w:val="300"/>
        </w:trPr>
        <w:tc>
          <w:tcPr>
            <w:tcW w:w="812" w:type="dxa"/>
            <w:vAlign w:val="center"/>
          </w:tcPr>
          <w:p w14:paraId="3EB4908A" w14:textId="08BBF089" w:rsidR="004F3E36" w:rsidRPr="003F3F37" w:rsidRDefault="004F3E36" w:rsidP="003F3F37">
            <w:pPr>
              <w:rPr>
                <w:rFonts w:ascii="Arial" w:eastAsia="Calibri" w:hAnsi="Arial" w:cs="Arial"/>
                <w:sz w:val="16"/>
                <w:szCs w:val="16"/>
                <w:lang w:val="es-ES_tradnl" w:eastAsia="es-ES"/>
              </w:rPr>
            </w:pPr>
            <w:r>
              <w:rPr>
                <w:rFonts w:ascii="Arial" w:eastAsia="Calibri" w:hAnsi="Arial" w:cs="Arial"/>
                <w:sz w:val="16"/>
                <w:szCs w:val="16"/>
                <w:lang w:val="es-ES_tradnl" w:eastAsia="es-ES"/>
              </w:rPr>
              <w:t>Anexo:</w:t>
            </w:r>
          </w:p>
        </w:tc>
        <w:tc>
          <w:tcPr>
            <w:tcW w:w="4413" w:type="dxa"/>
            <w:tcBorders>
              <w:top w:val="dotted" w:sz="4" w:space="0" w:color="7F7F7F"/>
              <w:left w:val="nil"/>
              <w:bottom w:val="dotted" w:sz="4" w:space="0" w:color="7F7F7F"/>
              <w:right w:val="nil"/>
            </w:tcBorders>
            <w:vAlign w:val="center"/>
          </w:tcPr>
          <w:p w14:paraId="3019C17F" w14:textId="78BEEC5C" w:rsidR="004F3E36" w:rsidRPr="003F3F37" w:rsidRDefault="004F3E36" w:rsidP="003F3F37">
            <w:pPr>
              <w:rPr>
                <w:rFonts w:ascii="Arial" w:eastAsia="Calibri" w:hAnsi="Arial" w:cs="Arial"/>
                <w:sz w:val="16"/>
                <w:szCs w:val="16"/>
                <w:lang w:val="pt-BR" w:eastAsia="es-ES"/>
              </w:rPr>
            </w:pPr>
            <w:r>
              <w:rPr>
                <w:rFonts w:ascii="Arial" w:eastAsia="Calibri" w:hAnsi="Arial" w:cs="Arial"/>
                <w:sz w:val="16"/>
                <w:szCs w:val="16"/>
                <w:lang w:val="es-ES_tradnl" w:eastAsia="es-ES"/>
              </w:rPr>
              <w:t>R</w:t>
            </w:r>
            <w:r w:rsidRPr="00924037">
              <w:rPr>
                <w:rFonts w:ascii="Arial" w:eastAsia="Calibri" w:hAnsi="Arial" w:cs="Arial"/>
                <w:sz w:val="16"/>
                <w:szCs w:val="16"/>
                <w:lang w:val="es-ES_tradnl" w:eastAsia="es-ES"/>
              </w:rPr>
              <w:t>adicado de salida No. RS20220830010493 del 30 de agosto de 2022</w:t>
            </w:r>
          </w:p>
        </w:tc>
      </w:tr>
      <w:bookmarkEnd w:id="3"/>
    </w:tbl>
    <w:p w14:paraId="47CF7F8F" w14:textId="77777777" w:rsidR="003F3F37" w:rsidRPr="003F3F37" w:rsidRDefault="003F3F37" w:rsidP="00581760">
      <w:pPr>
        <w:spacing w:after="0" w:line="276" w:lineRule="auto"/>
        <w:jc w:val="center"/>
        <w:rPr>
          <w:rFonts w:ascii="Arial" w:hAnsi="Arial" w:cs="Arial"/>
          <w:noProof/>
          <w:color w:val="000000" w:themeColor="text1"/>
          <w:lang w:val="es-ES_tradnl"/>
        </w:rPr>
      </w:pPr>
    </w:p>
    <w:sectPr w:rsidR="003F3F37" w:rsidRPr="003F3F37"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F0A5" w14:textId="77777777" w:rsidR="003620D3" w:rsidRDefault="003620D3" w:rsidP="00DC701A">
      <w:pPr>
        <w:spacing w:after="0" w:line="240" w:lineRule="auto"/>
      </w:pPr>
      <w:r>
        <w:separator/>
      </w:r>
    </w:p>
  </w:endnote>
  <w:endnote w:type="continuationSeparator" w:id="0">
    <w:p w14:paraId="464B5084" w14:textId="77777777" w:rsidR="003620D3" w:rsidRDefault="003620D3" w:rsidP="00DC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695B" w14:textId="7F962684" w:rsidR="007934AD" w:rsidRDefault="007934AD" w:rsidP="007F1895">
    <w:pPr>
      <w:pStyle w:val="Piedepgina"/>
      <w:jc w:val="right"/>
      <w:rPr>
        <w:rFonts w:ascii="Arial" w:hAnsi="Arial" w:cs="Arial"/>
        <w:bCs/>
        <w:color w:val="7F7F7F" w:themeColor="text1" w:themeTint="80"/>
        <w:sz w:val="16"/>
        <w:szCs w:val="16"/>
      </w:rPr>
    </w:pPr>
  </w:p>
  <w:p w14:paraId="3E508140" w14:textId="77777777" w:rsidR="001055FC" w:rsidRDefault="001055FC" w:rsidP="007F1895">
    <w:pPr>
      <w:pStyle w:val="Piedepgina"/>
      <w:jc w:val="right"/>
      <w:rPr>
        <w:rFonts w:ascii="Arial" w:hAnsi="Arial" w:cs="Arial"/>
        <w:bCs/>
        <w:color w:val="7F7F7F" w:themeColor="text1" w:themeTint="80"/>
        <w:sz w:val="16"/>
        <w:szCs w:val="16"/>
      </w:rPr>
    </w:pPr>
  </w:p>
  <w:p w14:paraId="1F8E16E5" w14:textId="4CCAAAB9" w:rsidR="00387886" w:rsidRPr="008217B7" w:rsidRDefault="002F1809"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11212A" w14:textId="77777777" w:rsidR="00387886" w:rsidRDefault="002F1809" w:rsidP="007F1895">
    <w:pPr>
      <w:pStyle w:val="Piedepgina"/>
      <w:jc w:val="center"/>
      <w:rPr>
        <w:lang w:val="es-ES"/>
      </w:rPr>
    </w:pPr>
    <w:r>
      <w:rPr>
        <w:noProof/>
      </w:rPr>
      <w:drawing>
        <wp:inline distT="0" distB="0" distL="0" distR="0" wp14:anchorId="557BB9CF" wp14:editId="0694162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1321729" w14:textId="01FB1C2D" w:rsidR="00387886" w:rsidRDefault="00000000" w:rsidP="007F1895">
    <w:pPr>
      <w:pStyle w:val="Piedepgina"/>
      <w:jc w:val="center"/>
      <w:rPr>
        <w:sz w:val="18"/>
        <w:szCs w:val="18"/>
        <w:lang w:val="es-ES"/>
      </w:rPr>
    </w:pPr>
  </w:p>
  <w:p w14:paraId="1974AED6" w14:textId="77777777" w:rsidR="00EF54A3" w:rsidRPr="00E756AC" w:rsidRDefault="00EF54A3"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B83E" w14:textId="77777777" w:rsidR="003620D3" w:rsidRDefault="003620D3" w:rsidP="00DC701A">
      <w:pPr>
        <w:spacing w:after="0" w:line="240" w:lineRule="auto"/>
      </w:pPr>
      <w:r>
        <w:separator/>
      </w:r>
    </w:p>
  </w:footnote>
  <w:footnote w:type="continuationSeparator" w:id="0">
    <w:p w14:paraId="28CDB348" w14:textId="77777777" w:rsidR="003620D3" w:rsidRDefault="003620D3" w:rsidP="00DC701A">
      <w:pPr>
        <w:spacing w:after="0" w:line="240" w:lineRule="auto"/>
      </w:pPr>
      <w:r>
        <w:continuationSeparator/>
      </w:r>
    </w:p>
  </w:footnote>
  <w:footnote w:id="1">
    <w:p w14:paraId="501731F1" w14:textId="77777777" w:rsidR="00847C7E" w:rsidRPr="00AE5764" w:rsidRDefault="00847C7E" w:rsidP="00847C7E">
      <w:pPr>
        <w:pStyle w:val="Textonotapie"/>
        <w:ind w:firstLine="709"/>
        <w:jc w:val="both"/>
        <w:rPr>
          <w:rFonts w:ascii="Arial" w:hAnsi="Arial" w:cs="Arial"/>
          <w:sz w:val="19"/>
          <w:szCs w:val="19"/>
          <w:lang w:val="es-CO"/>
        </w:rPr>
      </w:pPr>
      <w:r w:rsidRPr="00AE5764">
        <w:rPr>
          <w:rStyle w:val="Refdenotaalpie"/>
          <w:rFonts w:ascii="Arial" w:hAnsi="Arial" w:cs="Arial"/>
          <w:sz w:val="19"/>
          <w:szCs w:val="19"/>
        </w:rPr>
        <w:footnoteRef/>
      </w:r>
      <w:r w:rsidRPr="00AE5764">
        <w:rPr>
          <w:rFonts w:ascii="Arial" w:hAnsi="Arial" w:cs="Arial"/>
          <w:sz w:val="19"/>
          <w:szCs w:val="19"/>
        </w:rPr>
        <w:t xml:space="preserve"> </w:t>
      </w:r>
      <w:r w:rsidRPr="00AE5764">
        <w:rPr>
          <w:rFonts w:ascii="Arial" w:hAnsi="Arial" w:cs="Arial"/>
          <w:sz w:val="19"/>
          <w:szCs w:val="19"/>
          <w:lang w:val="es-CO"/>
        </w:rPr>
        <w:t xml:space="preserve">Estos conceptos pueden ser consultados en: </w:t>
      </w:r>
      <w:hyperlink r:id="rId1" w:history="1">
        <w:r w:rsidRPr="00AE5764">
          <w:rPr>
            <w:rStyle w:val="Hipervnculo"/>
            <w:rFonts w:ascii="Arial" w:hAnsi="Arial" w:cs="Arial"/>
            <w:color w:val="000000" w:themeColor="text1"/>
            <w:sz w:val="19"/>
            <w:szCs w:val="19"/>
            <w:lang w:val="es-CO"/>
          </w:rPr>
          <w:t>https://relatoria.colombiacompra.gov.co/busqueda/conceptos#</w:t>
        </w:r>
      </w:hyperlink>
      <w:r w:rsidRPr="00AE5764">
        <w:rPr>
          <w:rFonts w:ascii="Arial" w:hAnsi="Arial" w:cs="Arial"/>
          <w:sz w:val="19"/>
          <w:szCs w:val="19"/>
          <w:lang w:val="es-CO"/>
        </w:rPr>
        <w:t xml:space="preserve"> </w:t>
      </w:r>
    </w:p>
  </w:footnote>
  <w:footnote w:id="2">
    <w:p w14:paraId="4657A663" w14:textId="77777777" w:rsidR="00AD145B" w:rsidRPr="00AD145B" w:rsidRDefault="00AD145B" w:rsidP="00AD145B">
      <w:pPr>
        <w:pStyle w:val="Textonotapie"/>
        <w:ind w:firstLine="709"/>
        <w:rPr>
          <w:rFonts w:ascii="Arial" w:eastAsia="Calibri" w:hAnsi="Arial" w:cs="Arial"/>
          <w:color w:val="000000"/>
          <w:sz w:val="18"/>
          <w:szCs w:val="18"/>
        </w:rPr>
      </w:pPr>
      <w:r w:rsidRPr="00AD145B">
        <w:rPr>
          <w:rStyle w:val="Refdenotaalpie"/>
          <w:rFonts w:ascii="Arial" w:hAnsi="Arial" w:cs="Arial"/>
          <w:color w:val="000000"/>
          <w:sz w:val="18"/>
          <w:szCs w:val="18"/>
        </w:rPr>
        <w:footnoteRef/>
      </w:r>
      <w:r w:rsidRPr="00AD145B">
        <w:rPr>
          <w:rFonts w:ascii="Arial" w:hAnsi="Arial" w:cs="Arial"/>
          <w:color w:val="000000"/>
          <w:sz w:val="18"/>
          <w:szCs w:val="18"/>
        </w:rPr>
        <w:t xml:space="preserve"> </w:t>
      </w:r>
      <w:r w:rsidRPr="00AD145B">
        <w:rPr>
          <w:rFonts w:ascii="Arial" w:eastAsia="Calibri" w:hAnsi="Arial" w:cs="Arial"/>
          <w:color w:val="000000"/>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2B96F051" w14:textId="77777777" w:rsidR="00AD145B" w:rsidRPr="00AD145B" w:rsidRDefault="00AD145B" w:rsidP="00AD145B">
      <w:pPr>
        <w:pStyle w:val="Textonotapie"/>
        <w:ind w:firstLine="709"/>
        <w:rPr>
          <w:rFonts w:ascii="Arial" w:eastAsia="Calibri" w:hAnsi="Arial" w:cs="Arial"/>
          <w:color w:val="000000"/>
          <w:sz w:val="18"/>
          <w:szCs w:val="18"/>
        </w:rPr>
      </w:pPr>
      <w:r w:rsidRPr="00AD145B">
        <w:rPr>
          <w:rFonts w:ascii="Arial" w:eastAsia="Calibri" w:hAnsi="Arial" w:cs="Arial"/>
          <w:color w:val="000000"/>
          <w:sz w:val="18"/>
          <w:szCs w:val="18"/>
        </w:rPr>
        <w:t>[…]</w:t>
      </w:r>
    </w:p>
    <w:p w14:paraId="588E30C9" w14:textId="77777777" w:rsidR="00AD145B" w:rsidRPr="00AD145B" w:rsidRDefault="00AD145B" w:rsidP="00AD145B">
      <w:pPr>
        <w:pStyle w:val="Textonotapie"/>
        <w:ind w:firstLine="709"/>
        <w:rPr>
          <w:rFonts w:ascii="Arial" w:hAnsi="Arial" w:cs="Arial"/>
          <w:color w:val="000000"/>
          <w:sz w:val="18"/>
          <w:szCs w:val="18"/>
          <w:lang w:val="es-CO"/>
        </w:rPr>
      </w:pPr>
      <w:r w:rsidRPr="00AD145B">
        <w:rPr>
          <w:rFonts w:ascii="Arial" w:eastAsia="Calibri" w:hAnsi="Arial" w:cs="Arial"/>
          <w:color w:val="000000"/>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AD145B">
        <w:rPr>
          <w:rFonts w:ascii="Arial" w:hAnsi="Arial" w:cs="Arial"/>
          <w:color w:val="000000"/>
          <w:sz w:val="18"/>
          <w:szCs w:val="18"/>
          <w:lang w:val="es-CO"/>
        </w:rPr>
        <w:t xml:space="preserve"> </w:t>
      </w:r>
    </w:p>
  </w:footnote>
  <w:footnote w:id="3">
    <w:p w14:paraId="61F2754B" w14:textId="77777777" w:rsidR="00AD145B" w:rsidRPr="00AD145B" w:rsidRDefault="00AD145B" w:rsidP="00AD145B">
      <w:pPr>
        <w:pStyle w:val="Textonotapie"/>
        <w:ind w:firstLine="709"/>
        <w:rPr>
          <w:rFonts w:ascii="Arial" w:hAnsi="Arial" w:cs="Arial"/>
          <w:color w:val="000000"/>
          <w:sz w:val="18"/>
          <w:szCs w:val="18"/>
          <w:lang w:val="es-CO"/>
        </w:rPr>
      </w:pPr>
      <w:r w:rsidRPr="00AD145B">
        <w:rPr>
          <w:rFonts w:ascii="Arial" w:eastAsia="Calibri" w:hAnsi="Arial" w:cs="Arial"/>
          <w:color w:val="000000"/>
          <w:sz w:val="18"/>
          <w:szCs w:val="18"/>
          <w:vertAlign w:val="superscript"/>
        </w:rPr>
        <w:footnoteRef/>
      </w:r>
      <w:r w:rsidRPr="00AD145B">
        <w:rPr>
          <w:rFonts w:ascii="Arial" w:eastAsia="Calibri" w:hAnsi="Arial" w:cs="Arial"/>
          <w:color w:val="000000"/>
          <w:sz w:val="18"/>
          <w:szCs w:val="18"/>
          <w:vertAlign w:val="superscript"/>
        </w:rPr>
        <w:t xml:space="preserve"> </w:t>
      </w:r>
      <w:r w:rsidRPr="00AD145B">
        <w:rPr>
          <w:rFonts w:ascii="Arial" w:eastAsia="Calibri" w:hAnsi="Arial" w:cs="Arial"/>
          <w:color w:val="000000"/>
          <w:sz w:val="18"/>
          <w:szCs w:val="18"/>
        </w:rPr>
        <w:t xml:space="preserve">Consejo de Estado. Sección Tercera. Sentencia del 26 de junio de 2003. Rad. 13.354. C.P: María Elena Giraldo Gómez. </w:t>
      </w:r>
    </w:p>
  </w:footnote>
  <w:footnote w:id="4">
    <w:p w14:paraId="2D8ABC21" w14:textId="77777777" w:rsidR="00AD145B" w:rsidRPr="0020112B" w:rsidRDefault="00AD145B" w:rsidP="00AD145B">
      <w:pPr>
        <w:pStyle w:val="NormalWeb"/>
        <w:shd w:val="clear" w:color="auto" w:fill="FFFFFF"/>
        <w:spacing w:after="0" w:line="240" w:lineRule="auto"/>
        <w:ind w:firstLine="709"/>
        <w:rPr>
          <w:rFonts w:ascii="Arial" w:hAnsi="Arial" w:cs="Arial"/>
          <w:sz w:val="18"/>
          <w:szCs w:val="18"/>
        </w:rPr>
      </w:pPr>
      <w:r w:rsidRPr="0020112B">
        <w:rPr>
          <w:rStyle w:val="Refdenotaalpie"/>
          <w:rFonts w:ascii="Arial" w:hAnsi="Arial" w:cs="Arial"/>
          <w:sz w:val="18"/>
          <w:szCs w:val="18"/>
          <w:lang w:val="es-MX"/>
        </w:rPr>
        <w:footnoteRef/>
      </w:r>
      <w:r w:rsidRPr="0020112B">
        <w:rPr>
          <w:rStyle w:val="Refdenotaalpie"/>
          <w:rFonts w:ascii="Arial" w:hAnsi="Arial" w:cs="Arial"/>
          <w:sz w:val="18"/>
          <w:szCs w:val="18"/>
          <w:lang w:val="es-MX"/>
        </w:rPr>
        <w:t xml:space="preserve"> </w:t>
      </w:r>
      <w:r w:rsidRPr="0020112B">
        <w:rPr>
          <w:rFonts w:ascii="Arial" w:hAnsi="Arial" w:cs="Arial"/>
          <w:sz w:val="18"/>
          <w:szCs w:val="18"/>
        </w:rPr>
        <w:t>«Artículo 2.2.1.1.1.6.4. Capacidad Residual: El interesado en celebrar contratos de obra pública con Entidades Estatales debe acreditar su Capacidad Residual o K de Contratación con los siguientes documentos:</w:t>
      </w:r>
    </w:p>
    <w:p w14:paraId="3E5FF775" w14:textId="77777777" w:rsidR="00AD145B" w:rsidRPr="0020112B" w:rsidRDefault="00AD145B" w:rsidP="00AD145B">
      <w:pPr>
        <w:shd w:val="clear" w:color="auto" w:fill="FFFFFF"/>
        <w:ind w:firstLine="709"/>
        <w:jc w:val="both"/>
        <w:rPr>
          <w:rFonts w:ascii="Arial" w:hAnsi="Arial" w:cs="Arial"/>
          <w:sz w:val="18"/>
          <w:szCs w:val="18"/>
        </w:rPr>
      </w:pPr>
      <w:r w:rsidRPr="0020112B">
        <w:rPr>
          <w:rFonts w:ascii="Arial" w:hAnsi="Arial"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02A5298F" w14:textId="77777777" w:rsidR="00AD145B" w:rsidRPr="0020112B" w:rsidRDefault="00AD145B" w:rsidP="00AD145B">
      <w:pPr>
        <w:shd w:val="clear" w:color="auto" w:fill="FFFFFF"/>
        <w:ind w:firstLine="709"/>
        <w:jc w:val="both"/>
        <w:rPr>
          <w:rFonts w:ascii="Arial" w:hAnsi="Arial" w:cs="Arial"/>
          <w:sz w:val="18"/>
          <w:szCs w:val="18"/>
        </w:rPr>
      </w:pPr>
      <w:r w:rsidRPr="0020112B">
        <w:rPr>
          <w:rFonts w:ascii="Arial" w:hAnsi="Arial"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15381590" w14:textId="77777777" w:rsidR="00AD145B" w:rsidRPr="0020112B" w:rsidRDefault="00AD145B" w:rsidP="00AD145B">
      <w:pPr>
        <w:shd w:val="clear" w:color="auto" w:fill="FFFFFF"/>
        <w:ind w:firstLine="709"/>
        <w:jc w:val="both"/>
        <w:rPr>
          <w:rFonts w:ascii="Arial" w:hAnsi="Arial" w:cs="Arial"/>
          <w:sz w:val="18"/>
          <w:szCs w:val="18"/>
        </w:rPr>
      </w:pPr>
      <w:r w:rsidRPr="0020112B">
        <w:rPr>
          <w:rFonts w:ascii="Arial" w:hAnsi="Arial"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5">
    <w:p w14:paraId="5A5B3528" w14:textId="77777777" w:rsidR="00F3565B" w:rsidRPr="00F50E2F" w:rsidRDefault="00F3565B" w:rsidP="00F3565B">
      <w:pPr>
        <w:pStyle w:val="Textonotapie"/>
        <w:ind w:firstLine="708"/>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p>
  </w:footnote>
  <w:footnote w:id="6">
    <w:p w14:paraId="7B3DF49A" w14:textId="77777777" w:rsidR="007E7590" w:rsidRPr="00B637F3" w:rsidRDefault="007E7590" w:rsidP="007E7590">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12DDA232" w14:textId="77777777" w:rsidR="007E7590" w:rsidRPr="00B637F3" w:rsidRDefault="007E7590" w:rsidP="007E7590">
      <w:pPr>
        <w:pStyle w:val="Textonotapie"/>
        <w:jc w:val="both"/>
        <w:rPr>
          <w:rFonts w:ascii="Arial" w:hAnsi="Arial" w:cs="Arial"/>
          <w:sz w:val="19"/>
          <w:szCs w:val="19"/>
        </w:rPr>
      </w:pPr>
    </w:p>
  </w:footnote>
  <w:footnote w:id="7">
    <w:p w14:paraId="7EC2CF43" w14:textId="77777777" w:rsidR="00C72279" w:rsidRPr="009A69E3" w:rsidRDefault="00C72279" w:rsidP="00C72279">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Decreto 1082 de 2015: </w:t>
      </w:r>
      <w:r w:rsidRPr="009A69E3">
        <w:rPr>
          <w:rFonts w:ascii="Arial" w:eastAsia="Times New Roman" w:hAnsi="Arial" w:cs="Arial"/>
          <w:sz w:val="19"/>
          <w:szCs w:val="19"/>
          <w:lang w:val="es-CO"/>
        </w:rPr>
        <w:t>«</w:t>
      </w:r>
      <w:r w:rsidRPr="009A69E3">
        <w:rPr>
          <w:rFonts w:ascii="Arial" w:hAnsi="Arial" w:cs="Arial"/>
          <w:sz w:val="19"/>
          <w:szCs w:val="19"/>
        </w:rPr>
        <w:t>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12963FA5" w14:textId="77777777" w:rsidR="00C72279" w:rsidRPr="009A69E3" w:rsidRDefault="00C72279" w:rsidP="00C72279">
      <w:pPr>
        <w:pStyle w:val="Textonotapie"/>
        <w:ind w:firstLine="708"/>
        <w:jc w:val="both"/>
        <w:rPr>
          <w:rFonts w:ascii="Arial" w:hAnsi="Arial" w:cs="Arial"/>
          <w:sz w:val="19"/>
          <w:szCs w:val="19"/>
        </w:rPr>
      </w:pPr>
      <w:r w:rsidRPr="009A69E3">
        <w:rPr>
          <w:rFonts w:ascii="Arial" w:hAnsi="Arial" w:cs="Arial"/>
          <w:sz w:val="19"/>
          <w:szCs w:val="19"/>
        </w:rPr>
        <w:t>»Los miembros del comité evaluador están sujetos al régimen de inhabilidades e incompatibilidades y conflicto de interés previstos en la Constitución y la ley.</w:t>
      </w:r>
    </w:p>
    <w:p w14:paraId="29144BA0" w14:textId="77777777" w:rsidR="00C72279" w:rsidRPr="009A69E3" w:rsidRDefault="00C72279" w:rsidP="00C72279">
      <w:pPr>
        <w:pStyle w:val="Textonotapie"/>
        <w:ind w:firstLine="708"/>
        <w:jc w:val="both"/>
        <w:rPr>
          <w:rFonts w:ascii="Arial" w:hAnsi="Arial" w:cs="Arial"/>
          <w:sz w:val="19"/>
          <w:szCs w:val="19"/>
        </w:rPr>
      </w:pPr>
      <w:r w:rsidRPr="009A69E3">
        <w:rPr>
          <w:rFonts w:ascii="Arial" w:hAnsi="Arial" w:cs="Arial"/>
          <w:sz w:val="19"/>
          <w:szCs w:val="19"/>
        </w:rPr>
        <w:t>»La verificación y la evaluación de las ofertas para la mínima cuantía será adelantada por quien sea designado por el ordenador del gasto sin que se requiera un comité plural».</w:t>
      </w:r>
    </w:p>
    <w:p w14:paraId="0AA5F2D3" w14:textId="77777777" w:rsidR="00C72279" w:rsidRPr="009A69E3" w:rsidRDefault="00C72279" w:rsidP="00C72279">
      <w:pPr>
        <w:pStyle w:val="Textonotapie"/>
        <w:ind w:firstLine="708"/>
        <w:jc w:val="both"/>
        <w:rPr>
          <w:rFonts w:ascii="Arial" w:hAnsi="Arial" w:cs="Arial"/>
          <w:sz w:val="19"/>
          <w:szCs w:val="19"/>
          <w:lang w:val="es-ES"/>
        </w:rPr>
      </w:pPr>
    </w:p>
  </w:footnote>
  <w:footnote w:id="8">
    <w:p w14:paraId="59F52B9D" w14:textId="77777777" w:rsidR="00572010" w:rsidRPr="009A69E3" w:rsidRDefault="00572010" w:rsidP="00572010">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Decreto 4170 de 2011: «Artículo 2. Objetivo de la Agencia Nacional de Contratación Pública </w:t>
      </w:r>
      <w:r w:rsidRPr="009A69E3">
        <w:rPr>
          <w:rFonts w:ascii="Arial" w:hAnsi="Arial" w:cs="Arial"/>
          <w:sz w:val="19"/>
          <w:szCs w:val="19"/>
        </w:rPr>
        <w:softHyphen/>
        <w:t xml:space="preserve">Colombia Compra Eficiente-. La Agencia Nacional de Contratación Pública </w:t>
      </w:r>
      <w:r w:rsidRPr="009A69E3">
        <w:rPr>
          <w:rFonts w:ascii="Arial" w:hAnsi="Arial" w:cs="Arial"/>
          <w:sz w:val="19"/>
          <w:szCs w:val="19"/>
        </w:rPr>
        <w:softHyphen/>
        <w:t xml:space="preserve">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2D971C20" w14:textId="77777777" w:rsidR="00572010" w:rsidRPr="009A69E3" w:rsidRDefault="00572010" w:rsidP="00572010">
      <w:pPr>
        <w:pStyle w:val="Textonotapie"/>
        <w:ind w:firstLine="708"/>
        <w:jc w:val="both"/>
        <w:rPr>
          <w:rFonts w:ascii="Arial" w:hAnsi="Arial" w:cs="Arial"/>
          <w:sz w:val="19"/>
          <w:szCs w:val="19"/>
        </w:rPr>
      </w:pPr>
      <w:r w:rsidRPr="009A69E3">
        <w:rPr>
          <w:rFonts w:ascii="Arial" w:hAnsi="Arial" w:cs="Arial"/>
          <w:sz w:val="19"/>
          <w:szCs w:val="19"/>
        </w:rPr>
        <w:t xml:space="preserve">»Artículo 3. Funciones. La Agencia Nacional de Contratación Pública </w:t>
      </w:r>
      <w:r w:rsidRPr="009A69E3">
        <w:rPr>
          <w:rFonts w:ascii="Arial" w:hAnsi="Arial" w:cs="Arial"/>
          <w:sz w:val="19"/>
          <w:szCs w:val="19"/>
        </w:rPr>
        <w:softHyphen/>
        <w:t xml:space="preserve"> Colombia Compra Eficiente- ejercerá las siguientes funciones:</w:t>
      </w:r>
    </w:p>
    <w:p w14:paraId="191EB54B" w14:textId="77777777" w:rsidR="00572010" w:rsidRPr="009A69E3" w:rsidRDefault="00572010" w:rsidP="00572010">
      <w:pPr>
        <w:pStyle w:val="Textonotapie"/>
        <w:ind w:firstLine="708"/>
        <w:jc w:val="both"/>
        <w:rPr>
          <w:rFonts w:ascii="Arial" w:hAnsi="Arial" w:cs="Arial"/>
          <w:sz w:val="19"/>
          <w:szCs w:val="19"/>
        </w:rPr>
      </w:pPr>
      <w:r w:rsidRPr="009A69E3">
        <w:rPr>
          <w:rFonts w:ascii="Arial" w:hAnsi="Arial" w:cs="Arial"/>
          <w:sz w:val="19"/>
          <w:szCs w:val="19"/>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14:paraId="4A1DC487" w14:textId="77777777" w:rsidR="00572010" w:rsidRPr="009A69E3" w:rsidRDefault="00572010" w:rsidP="00572010">
      <w:pPr>
        <w:pStyle w:val="Textonotapie"/>
        <w:ind w:firstLine="708"/>
        <w:jc w:val="both"/>
        <w:rPr>
          <w:rFonts w:ascii="Arial" w:hAnsi="Arial" w:cs="Arial"/>
          <w:sz w:val="19"/>
          <w:szCs w:val="19"/>
        </w:rPr>
      </w:pPr>
      <w:r w:rsidRPr="009A69E3">
        <w:rPr>
          <w:rFonts w:ascii="Arial" w:hAnsi="Arial" w:cs="Arial"/>
          <w:sz w:val="19"/>
          <w:szCs w:val="19"/>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p>
    <w:p w14:paraId="7309576A" w14:textId="77777777" w:rsidR="00572010" w:rsidRPr="009A69E3" w:rsidRDefault="00572010" w:rsidP="00572010">
      <w:pPr>
        <w:pStyle w:val="Textonotapie"/>
        <w:ind w:firstLine="708"/>
        <w:jc w:val="both"/>
        <w:rPr>
          <w:rFonts w:ascii="Arial" w:hAnsi="Arial" w:cs="Arial"/>
          <w:sz w:val="19"/>
          <w:szCs w:val="19"/>
        </w:rPr>
      </w:pPr>
      <w:r w:rsidRPr="009A69E3">
        <w:rPr>
          <w:rFonts w:ascii="Arial" w:hAnsi="Arial" w:cs="Arial"/>
          <w:sz w:val="19"/>
          <w:szCs w:val="19"/>
        </w:rPr>
        <w:t>[...]».</w:t>
      </w:r>
    </w:p>
    <w:p w14:paraId="486B7EAF" w14:textId="77777777" w:rsidR="00572010" w:rsidRPr="009A69E3" w:rsidRDefault="00572010" w:rsidP="00572010">
      <w:pPr>
        <w:pStyle w:val="Textonotapie"/>
        <w:ind w:firstLine="708"/>
        <w:jc w:val="both"/>
        <w:rPr>
          <w:rFonts w:ascii="Arial" w:hAnsi="Arial" w:cs="Arial"/>
          <w:sz w:val="19"/>
          <w:szCs w:val="19"/>
          <w:lang w:val="es-ES"/>
        </w:rPr>
      </w:pPr>
    </w:p>
  </w:footnote>
  <w:footnote w:id="9">
    <w:p w14:paraId="5EE7DF1B" w14:textId="77777777" w:rsidR="00572010" w:rsidRPr="009A69E3" w:rsidRDefault="00572010" w:rsidP="00572010">
      <w:pPr>
        <w:pStyle w:val="Textonotapie"/>
        <w:ind w:firstLine="708"/>
        <w:jc w:val="both"/>
        <w:rPr>
          <w:rFonts w:ascii="Arial" w:hAnsi="Arial" w:cs="Arial"/>
          <w:sz w:val="19"/>
          <w:szCs w:val="19"/>
          <w:lang w:val="es-CO"/>
        </w:rPr>
      </w:pPr>
      <w:r w:rsidRPr="009A69E3">
        <w:rPr>
          <w:rStyle w:val="Refdenotaalpie"/>
          <w:rFonts w:ascii="Arial" w:hAnsi="Arial" w:cs="Arial"/>
          <w:sz w:val="19"/>
          <w:szCs w:val="19"/>
        </w:rPr>
        <w:footnoteRef/>
      </w:r>
      <w:r w:rsidRPr="009A69E3">
        <w:rPr>
          <w:rFonts w:ascii="Arial" w:hAnsi="Arial" w:cs="Arial"/>
          <w:sz w:val="19"/>
          <w:szCs w:val="19"/>
        </w:rPr>
        <w:t xml:space="preserve"> Colombia Compra Eficiente. Guía para el manejo de ofertas artificialmente bajas en Procesos de Contratación. p. 3.</w:t>
      </w:r>
    </w:p>
  </w:footnote>
  <w:footnote w:id="10">
    <w:p w14:paraId="0066FF5B" w14:textId="77777777" w:rsidR="00572010" w:rsidRPr="009A69E3" w:rsidRDefault="00572010" w:rsidP="00572010">
      <w:pPr>
        <w:pStyle w:val="Textonotapie"/>
        <w:jc w:val="both"/>
        <w:rPr>
          <w:rFonts w:ascii="Arial" w:hAnsi="Arial" w:cs="Arial"/>
          <w:sz w:val="19"/>
          <w:szCs w:val="19"/>
        </w:rPr>
      </w:pPr>
    </w:p>
    <w:p w14:paraId="0A5EF2CB" w14:textId="77777777" w:rsidR="00572010" w:rsidRPr="009A69E3" w:rsidRDefault="00572010" w:rsidP="00572010">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Ibidem. p. 3.</w:t>
      </w:r>
    </w:p>
    <w:p w14:paraId="77951A14" w14:textId="77777777" w:rsidR="00572010" w:rsidRPr="009A69E3" w:rsidRDefault="00572010" w:rsidP="00572010">
      <w:pPr>
        <w:pStyle w:val="Textonotapie"/>
        <w:ind w:firstLine="708"/>
        <w:jc w:val="both"/>
        <w:rPr>
          <w:rFonts w:ascii="Arial" w:hAnsi="Arial" w:cs="Arial"/>
          <w:sz w:val="19"/>
          <w:szCs w:val="19"/>
          <w:lang w:val="es-CO"/>
        </w:rPr>
      </w:pPr>
    </w:p>
  </w:footnote>
  <w:footnote w:id="11">
    <w:p w14:paraId="2E1672A9" w14:textId="77777777" w:rsidR="00572010" w:rsidRPr="009A69E3" w:rsidRDefault="00572010" w:rsidP="00572010">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La mediana representa el valor de la variable en posición central para un conjunto de datos ordenados.</w:t>
      </w:r>
    </w:p>
    <w:p w14:paraId="2E397C43" w14:textId="77777777" w:rsidR="00572010" w:rsidRPr="009A69E3" w:rsidRDefault="00572010" w:rsidP="00572010">
      <w:pPr>
        <w:pStyle w:val="Textonotapie"/>
        <w:ind w:firstLine="708"/>
        <w:jc w:val="both"/>
        <w:rPr>
          <w:rFonts w:ascii="Arial" w:hAnsi="Arial" w:cs="Arial"/>
          <w:sz w:val="19"/>
          <w:szCs w:val="19"/>
          <w:lang w:val="es-ES"/>
        </w:rPr>
      </w:pPr>
    </w:p>
  </w:footnote>
  <w:footnote w:id="12">
    <w:p w14:paraId="6E60D906" w14:textId="77777777" w:rsidR="00572010" w:rsidRPr="009A69E3" w:rsidRDefault="00572010" w:rsidP="00572010">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Colombia Compra Eficiente. Guía para el manejo de ofertas artificialmente bajas en Procesos de Contratación. p.5.</w:t>
      </w:r>
    </w:p>
    <w:p w14:paraId="1472AE59" w14:textId="77777777" w:rsidR="00572010" w:rsidRPr="009A69E3" w:rsidRDefault="00572010" w:rsidP="00572010">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8760" w14:textId="77777777" w:rsidR="00387886" w:rsidRDefault="002F1809">
    <w:pPr>
      <w:pStyle w:val="Encabezado"/>
    </w:pPr>
    <w:r>
      <w:rPr>
        <w:noProof/>
        <w:lang w:eastAsia="es-CO"/>
      </w:rPr>
      <w:drawing>
        <wp:anchor distT="0" distB="0" distL="114300" distR="114300" simplePos="0" relativeHeight="251659264" behindDoc="1" locked="0" layoutInCell="1" allowOverlap="1" wp14:anchorId="3BE0B07C" wp14:editId="35DF603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7C4233"/>
    <w:multiLevelType w:val="hybridMultilevel"/>
    <w:tmpl w:val="6CDA6FB8"/>
    <w:lvl w:ilvl="0" w:tplc="893674DA">
      <w:start w:val="2"/>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1804C7"/>
    <w:multiLevelType w:val="multilevel"/>
    <w:tmpl w:val="01ECF908"/>
    <w:lvl w:ilvl="0">
      <w:start w:val="2"/>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090DB1"/>
    <w:multiLevelType w:val="hybridMultilevel"/>
    <w:tmpl w:val="078E2E72"/>
    <w:lvl w:ilvl="0" w:tplc="30687C90">
      <w:start w:val="1"/>
      <w:numFmt w:val="lowerRoman"/>
      <w:lvlText w:val="%1)"/>
      <w:lvlJc w:val="left"/>
      <w:pPr>
        <w:ind w:left="1429"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4" w15:restartNumberingAfterBreak="0">
    <w:nsid w:val="60A27E04"/>
    <w:multiLevelType w:val="hybridMultilevel"/>
    <w:tmpl w:val="AB905834"/>
    <w:lvl w:ilvl="0" w:tplc="35E4F0D0">
      <w:start w:val="4"/>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2048985101">
    <w:abstractNumId w:val="5"/>
  </w:num>
  <w:num w:numId="2" w16cid:durableId="2135900962">
    <w:abstractNumId w:val="3"/>
  </w:num>
  <w:num w:numId="3" w16cid:durableId="896236371">
    <w:abstractNumId w:val="2"/>
  </w:num>
  <w:num w:numId="4" w16cid:durableId="517624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4630835">
    <w:abstractNumId w:val="0"/>
  </w:num>
  <w:num w:numId="6" w16cid:durableId="405684388">
    <w:abstractNumId w:val="1"/>
  </w:num>
  <w:num w:numId="7" w16cid:durableId="375013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1A"/>
    <w:rsid w:val="000175A4"/>
    <w:rsid w:val="00051645"/>
    <w:rsid w:val="00096C36"/>
    <w:rsid w:val="000A50AA"/>
    <w:rsid w:val="000E71F8"/>
    <w:rsid w:val="001055FC"/>
    <w:rsid w:val="00111AA2"/>
    <w:rsid w:val="00115342"/>
    <w:rsid w:val="0013760D"/>
    <w:rsid w:val="001425C6"/>
    <w:rsid w:val="0014513F"/>
    <w:rsid w:val="00181A0F"/>
    <w:rsid w:val="00182B5F"/>
    <w:rsid w:val="001842C5"/>
    <w:rsid w:val="00186528"/>
    <w:rsid w:val="001A5C14"/>
    <w:rsid w:val="001A7318"/>
    <w:rsid w:val="001C24CC"/>
    <w:rsid w:val="001C6BC5"/>
    <w:rsid w:val="00201F9D"/>
    <w:rsid w:val="00235B28"/>
    <w:rsid w:val="0025358B"/>
    <w:rsid w:val="002B3F2F"/>
    <w:rsid w:val="002C30D7"/>
    <w:rsid w:val="002E3271"/>
    <w:rsid w:val="002F1809"/>
    <w:rsid w:val="00327687"/>
    <w:rsid w:val="00331E4B"/>
    <w:rsid w:val="00332B98"/>
    <w:rsid w:val="003620D3"/>
    <w:rsid w:val="003A2285"/>
    <w:rsid w:val="003B47D3"/>
    <w:rsid w:val="003E5B08"/>
    <w:rsid w:val="003F3F37"/>
    <w:rsid w:val="00413753"/>
    <w:rsid w:val="00430678"/>
    <w:rsid w:val="00462728"/>
    <w:rsid w:val="004643ED"/>
    <w:rsid w:val="004A7D7D"/>
    <w:rsid w:val="004C4571"/>
    <w:rsid w:val="004C7381"/>
    <w:rsid w:val="004D2194"/>
    <w:rsid w:val="004F3E36"/>
    <w:rsid w:val="00504EE9"/>
    <w:rsid w:val="005053D9"/>
    <w:rsid w:val="00517002"/>
    <w:rsid w:val="005220EB"/>
    <w:rsid w:val="00523A68"/>
    <w:rsid w:val="00540157"/>
    <w:rsid w:val="00541140"/>
    <w:rsid w:val="0055777F"/>
    <w:rsid w:val="0056320A"/>
    <w:rsid w:val="00572010"/>
    <w:rsid w:val="00581760"/>
    <w:rsid w:val="00592645"/>
    <w:rsid w:val="00594D3F"/>
    <w:rsid w:val="005962A0"/>
    <w:rsid w:val="0059690B"/>
    <w:rsid w:val="005A3892"/>
    <w:rsid w:val="005B0E3F"/>
    <w:rsid w:val="00603CB2"/>
    <w:rsid w:val="0065548B"/>
    <w:rsid w:val="006853D0"/>
    <w:rsid w:val="00687A6F"/>
    <w:rsid w:val="006B6A28"/>
    <w:rsid w:val="006D7D62"/>
    <w:rsid w:val="00700E4B"/>
    <w:rsid w:val="00737AD3"/>
    <w:rsid w:val="00775BA1"/>
    <w:rsid w:val="007776C8"/>
    <w:rsid w:val="007934AD"/>
    <w:rsid w:val="007A03A6"/>
    <w:rsid w:val="007E2F12"/>
    <w:rsid w:val="007E7590"/>
    <w:rsid w:val="007F799F"/>
    <w:rsid w:val="008366D2"/>
    <w:rsid w:val="00847C7E"/>
    <w:rsid w:val="00884A3C"/>
    <w:rsid w:val="00887820"/>
    <w:rsid w:val="00893956"/>
    <w:rsid w:val="008A4E29"/>
    <w:rsid w:val="008A78BF"/>
    <w:rsid w:val="008C3131"/>
    <w:rsid w:val="008F6D6E"/>
    <w:rsid w:val="009117FC"/>
    <w:rsid w:val="00915FD9"/>
    <w:rsid w:val="00924037"/>
    <w:rsid w:val="0095221C"/>
    <w:rsid w:val="009717F7"/>
    <w:rsid w:val="009723D8"/>
    <w:rsid w:val="009978B0"/>
    <w:rsid w:val="009F694E"/>
    <w:rsid w:val="00A0161A"/>
    <w:rsid w:val="00A554DB"/>
    <w:rsid w:val="00A60AE5"/>
    <w:rsid w:val="00A905ED"/>
    <w:rsid w:val="00AD0CCE"/>
    <w:rsid w:val="00AD145B"/>
    <w:rsid w:val="00B15B99"/>
    <w:rsid w:val="00B30F6D"/>
    <w:rsid w:val="00B44C67"/>
    <w:rsid w:val="00B52F45"/>
    <w:rsid w:val="00B70565"/>
    <w:rsid w:val="00B856C0"/>
    <w:rsid w:val="00B861F9"/>
    <w:rsid w:val="00BD4298"/>
    <w:rsid w:val="00BF17A3"/>
    <w:rsid w:val="00C23EF6"/>
    <w:rsid w:val="00C36F17"/>
    <w:rsid w:val="00C57C89"/>
    <w:rsid w:val="00C72279"/>
    <w:rsid w:val="00C734AC"/>
    <w:rsid w:val="00C80A9B"/>
    <w:rsid w:val="00CB4F95"/>
    <w:rsid w:val="00D11012"/>
    <w:rsid w:val="00D14713"/>
    <w:rsid w:val="00D16D1D"/>
    <w:rsid w:val="00D32AEF"/>
    <w:rsid w:val="00D33322"/>
    <w:rsid w:val="00D4040E"/>
    <w:rsid w:val="00D95CD5"/>
    <w:rsid w:val="00DB0A99"/>
    <w:rsid w:val="00DB6E28"/>
    <w:rsid w:val="00DC701A"/>
    <w:rsid w:val="00DE468B"/>
    <w:rsid w:val="00DE6F61"/>
    <w:rsid w:val="00E274A2"/>
    <w:rsid w:val="00E425D3"/>
    <w:rsid w:val="00E428BD"/>
    <w:rsid w:val="00E62D3D"/>
    <w:rsid w:val="00E74184"/>
    <w:rsid w:val="00EA76F6"/>
    <w:rsid w:val="00EC6EE1"/>
    <w:rsid w:val="00EF54A3"/>
    <w:rsid w:val="00F3160E"/>
    <w:rsid w:val="00F3565B"/>
    <w:rsid w:val="00F35A7A"/>
    <w:rsid w:val="00F86165"/>
    <w:rsid w:val="00F946EA"/>
    <w:rsid w:val="00FA76F3"/>
    <w:rsid w:val="00FB3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4C0B"/>
  <w15:chartTrackingRefBased/>
  <w15:docId w15:val="{9EEEF717-C40B-45A4-940D-25E47963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C70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01A"/>
  </w:style>
  <w:style w:type="paragraph" w:styleId="Encabezado">
    <w:name w:val="header"/>
    <w:basedOn w:val="Normal"/>
    <w:link w:val="EncabezadoCar"/>
    <w:uiPriority w:val="99"/>
    <w:unhideWhenUsed/>
    <w:rsid w:val="00DC70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01A"/>
  </w:style>
  <w:style w:type="paragraph" w:styleId="Sinespaciado">
    <w:name w:val="No Spacing"/>
    <w:uiPriority w:val="1"/>
    <w:qFormat/>
    <w:rsid w:val="00DC701A"/>
    <w:pPr>
      <w:spacing w:after="0" w:line="240" w:lineRule="auto"/>
    </w:pPr>
  </w:style>
  <w:style w:type="table" w:styleId="Tablaconcuadrcula">
    <w:name w:val="Table Grid"/>
    <w:basedOn w:val="Tablanormal"/>
    <w:uiPriority w:val="39"/>
    <w:qFormat/>
    <w:rsid w:val="00DC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C701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C701A"/>
    <w:pPr>
      <w:spacing w:after="0" w:line="240" w:lineRule="auto"/>
    </w:pPr>
    <w:rPr>
      <w:sz w:val="20"/>
      <w:szCs w:val="20"/>
      <w:lang w:val="es-MX"/>
    </w:rPr>
  </w:style>
  <w:style w:type="character" w:customStyle="1" w:styleId="TextonotapieCar1">
    <w:name w:val="Texto nota pie Car1"/>
    <w:basedOn w:val="Fuentedeprrafopredeter"/>
    <w:uiPriority w:val="99"/>
    <w:semiHidden/>
    <w:rsid w:val="00DC701A"/>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C701A"/>
    <w:rPr>
      <w:vertAlign w:val="superscript"/>
    </w:rPr>
  </w:style>
  <w:style w:type="paragraph" w:customStyle="1" w:styleId="Appelnotedebasde">
    <w:name w:val="Appel note de bas de..."/>
    <w:basedOn w:val="Normal"/>
    <w:link w:val="Refdenotaalpie"/>
    <w:uiPriority w:val="99"/>
    <w:rsid w:val="00DC701A"/>
    <w:pPr>
      <w:spacing w:line="240" w:lineRule="exact"/>
    </w:pPr>
    <w:rPr>
      <w:vertAlign w:val="superscript"/>
    </w:rPr>
  </w:style>
  <w:style w:type="character" w:styleId="Hipervnculo">
    <w:name w:val="Hyperlink"/>
    <w:basedOn w:val="Fuentedeprrafopredeter"/>
    <w:uiPriority w:val="99"/>
    <w:unhideWhenUsed/>
    <w:rsid w:val="00DC701A"/>
    <w:rPr>
      <w:color w:val="0563C1" w:themeColor="hyperlink"/>
      <w:u w:val="single"/>
    </w:rPr>
  </w:style>
  <w:style w:type="table" w:customStyle="1" w:styleId="Tablaconcuadrcula1">
    <w:name w:val="Tabla con cuadrícula1"/>
    <w:basedOn w:val="Tablanormal"/>
    <w:next w:val="Tablaconcuadrcula"/>
    <w:uiPriority w:val="39"/>
    <w:qFormat/>
    <w:rsid w:val="002E3271"/>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E7590"/>
  </w:style>
  <w:style w:type="table" w:customStyle="1" w:styleId="Tablaconcuadrcula11">
    <w:name w:val="Tabla con cuadrícula11"/>
    <w:basedOn w:val="Tablanormal"/>
    <w:next w:val="Tablaconcuadrcula"/>
    <w:uiPriority w:val="39"/>
    <w:rsid w:val="003F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0161A"/>
    <w:pPr>
      <w:spacing w:after="0" w:line="240" w:lineRule="auto"/>
    </w:pPr>
  </w:style>
  <w:style w:type="paragraph" w:styleId="NormalWeb">
    <w:name w:val="Normal (Web)"/>
    <w:basedOn w:val="Normal"/>
    <w:uiPriority w:val="99"/>
    <w:semiHidden/>
    <w:unhideWhenUsed/>
    <w:rsid w:val="00AD145B"/>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F946EA"/>
    <w:rPr>
      <w:sz w:val="16"/>
      <w:szCs w:val="16"/>
    </w:rPr>
  </w:style>
  <w:style w:type="paragraph" w:styleId="Textocomentario">
    <w:name w:val="annotation text"/>
    <w:basedOn w:val="Normal"/>
    <w:link w:val="TextocomentarioCar"/>
    <w:uiPriority w:val="99"/>
    <w:unhideWhenUsed/>
    <w:rsid w:val="00F946EA"/>
    <w:pPr>
      <w:spacing w:line="240" w:lineRule="auto"/>
    </w:pPr>
    <w:rPr>
      <w:sz w:val="20"/>
      <w:szCs w:val="20"/>
    </w:rPr>
  </w:style>
  <w:style w:type="character" w:customStyle="1" w:styleId="TextocomentarioCar">
    <w:name w:val="Texto comentario Car"/>
    <w:basedOn w:val="Fuentedeprrafopredeter"/>
    <w:link w:val="Textocomentario"/>
    <w:uiPriority w:val="99"/>
    <w:rsid w:val="00F946EA"/>
    <w:rPr>
      <w:sz w:val="20"/>
      <w:szCs w:val="20"/>
    </w:rPr>
  </w:style>
  <w:style w:type="paragraph" w:styleId="Asuntodelcomentario">
    <w:name w:val="annotation subject"/>
    <w:basedOn w:val="Textocomentario"/>
    <w:next w:val="Textocomentario"/>
    <w:link w:val="AsuntodelcomentarioCar"/>
    <w:uiPriority w:val="99"/>
    <w:semiHidden/>
    <w:unhideWhenUsed/>
    <w:rsid w:val="00F946EA"/>
    <w:rPr>
      <w:b/>
      <w:bCs/>
    </w:rPr>
  </w:style>
  <w:style w:type="character" w:customStyle="1" w:styleId="AsuntodelcomentarioCar">
    <w:name w:val="Asunto del comentario Car"/>
    <w:basedOn w:val="TextocomentarioCar"/>
    <w:link w:val="Asuntodelcomentario"/>
    <w:uiPriority w:val="99"/>
    <w:semiHidden/>
    <w:rsid w:val="00F94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28</Pages>
  <Words>11451</Words>
  <Characters>62986</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7</cp:revision>
  <dcterms:created xsi:type="dcterms:W3CDTF">2022-08-30T21:22:00Z</dcterms:created>
  <dcterms:modified xsi:type="dcterms:W3CDTF">2022-09-02T22:02:00Z</dcterms:modified>
</cp:coreProperties>
</file>