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13949735"/>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bookmarkEnd w:id="3"/>
    <w:p w14:paraId="65D38D5D" w14:textId="25F0BC13" w:rsidR="00150A26" w:rsidRPr="000E55DA" w:rsidRDefault="00150A26" w:rsidP="00150A26">
      <w:pPr>
        <w:jc w:val="both"/>
        <w:rPr>
          <w:rFonts w:ascii="Arial" w:hAnsi="Arial" w:cs="Arial"/>
          <w:b/>
          <w:bCs/>
          <w:sz w:val="22"/>
          <w:szCs w:val="22"/>
        </w:rPr>
      </w:pPr>
      <w:r w:rsidRPr="000E55DA">
        <w:rPr>
          <w:rFonts w:ascii="Arial" w:hAnsi="Arial" w:cs="Arial"/>
          <w:b/>
          <w:bCs/>
          <w:sz w:val="22"/>
          <w:szCs w:val="22"/>
        </w:rPr>
        <w:t xml:space="preserve">EXPERIENCIA </w:t>
      </w:r>
      <w:bookmarkStart w:id="4" w:name="_Hlk39676694"/>
      <w:r w:rsidRPr="000E55DA">
        <w:rPr>
          <w:rFonts w:ascii="Arial" w:eastAsia="Calibri" w:hAnsi="Arial" w:cs="Arial"/>
          <w:b/>
          <w:sz w:val="22"/>
          <w:szCs w:val="22"/>
        </w:rPr>
        <w:t>–</w:t>
      </w:r>
      <w:bookmarkEnd w:id="4"/>
      <w:r w:rsidRPr="000E55DA">
        <w:rPr>
          <w:rFonts w:ascii="Arial" w:eastAsia="Calibri" w:hAnsi="Arial" w:cs="Arial"/>
          <w:b/>
          <w:sz w:val="22"/>
          <w:szCs w:val="22"/>
        </w:rPr>
        <w:t xml:space="preserve"> Concepto </w:t>
      </w:r>
    </w:p>
    <w:p w14:paraId="7FE30611" w14:textId="77777777" w:rsidR="00150A26" w:rsidRPr="00150A26" w:rsidRDefault="00150A26" w:rsidP="00150A26">
      <w:pPr>
        <w:jc w:val="both"/>
        <w:rPr>
          <w:rFonts w:ascii="Arial" w:hAnsi="Arial" w:cs="Arial"/>
          <w:b/>
          <w:bCs/>
          <w:sz w:val="20"/>
          <w:szCs w:val="20"/>
          <w:highlight w:val="yellow"/>
        </w:rPr>
      </w:pPr>
    </w:p>
    <w:p w14:paraId="36327046" w14:textId="064FFC65" w:rsidR="00E61502" w:rsidRPr="00E61502" w:rsidRDefault="00150A26" w:rsidP="00E61502">
      <w:pPr>
        <w:jc w:val="both"/>
        <w:rPr>
          <w:rFonts w:ascii="Arial" w:hAnsi="Arial" w:cs="Arial"/>
          <w:sz w:val="20"/>
          <w:szCs w:val="20"/>
          <w:lang w:eastAsia="es-ES"/>
        </w:rPr>
      </w:pPr>
      <w:r w:rsidRPr="00150A26">
        <w:rPr>
          <w:rFonts w:ascii="Arial" w:hAnsi="Arial" w:cs="Arial"/>
          <w:sz w:val="20"/>
          <w:szCs w:val="20"/>
          <w:lang w:eastAsia="es-ES"/>
        </w:rPr>
        <w:t>[…],</w:t>
      </w:r>
      <w:r w:rsidR="00E61502">
        <w:rPr>
          <w:rFonts w:ascii="Arial" w:hAnsi="Arial" w:cs="Arial"/>
          <w:sz w:val="20"/>
          <w:szCs w:val="20"/>
          <w:lang w:eastAsia="es-ES"/>
        </w:rPr>
        <w:t xml:space="preserve"> </w:t>
      </w:r>
      <w:r w:rsidR="00E61502" w:rsidRPr="00E61502">
        <w:rPr>
          <w:rFonts w:ascii="Arial" w:hAnsi="Arial" w:cs="Arial"/>
          <w:sz w:val="20"/>
          <w:szCs w:val="20"/>
          <w:lang w:eastAsia="es-ES"/>
        </w:rPr>
        <w:t xml:space="preserve">se pueden extraer cuatro conclusiones relevantes respecto de la experiencia, para evaluar a continuación las figuras y reformas estatutarias de las sociedades comerciales: </w:t>
      </w:r>
    </w:p>
    <w:p w14:paraId="480A0911" w14:textId="77777777" w:rsidR="00E61502" w:rsidRPr="00E61502" w:rsidRDefault="00E61502" w:rsidP="00E61502">
      <w:pPr>
        <w:jc w:val="both"/>
        <w:rPr>
          <w:rFonts w:ascii="Arial" w:hAnsi="Arial" w:cs="Arial"/>
          <w:sz w:val="20"/>
          <w:szCs w:val="20"/>
          <w:lang w:eastAsia="es-ES"/>
        </w:rPr>
      </w:pPr>
      <w:r w:rsidRPr="00E61502">
        <w:rPr>
          <w:rFonts w:ascii="Arial" w:hAnsi="Arial" w:cs="Arial"/>
          <w:sz w:val="20"/>
          <w:szCs w:val="20"/>
          <w:lang w:eastAsia="es-ES"/>
        </w:rPr>
        <w:t>i) La experiencia es personal, esto es, se adquiere participando, directa o indirectamente, sin que sea posible no hacerlo y tener experiencia.</w:t>
      </w:r>
    </w:p>
    <w:p w14:paraId="440AB0A2" w14:textId="77777777" w:rsidR="00E61502" w:rsidRPr="00E61502" w:rsidRDefault="00E61502" w:rsidP="00E61502">
      <w:pPr>
        <w:jc w:val="both"/>
        <w:rPr>
          <w:rFonts w:ascii="Arial" w:hAnsi="Arial" w:cs="Arial"/>
          <w:sz w:val="20"/>
          <w:szCs w:val="20"/>
          <w:lang w:eastAsia="es-ES"/>
        </w:rPr>
      </w:pPr>
      <w:proofErr w:type="spellStart"/>
      <w:r w:rsidRPr="00E61502">
        <w:rPr>
          <w:rFonts w:ascii="Arial" w:hAnsi="Arial" w:cs="Arial"/>
          <w:sz w:val="20"/>
          <w:szCs w:val="20"/>
          <w:lang w:eastAsia="es-ES"/>
        </w:rPr>
        <w:t>ii</w:t>
      </w:r>
      <w:proofErr w:type="spellEnd"/>
      <w:r w:rsidRPr="00E61502">
        <w:rPr>
          <w:rFonts w:ascii="Arial" w:hAnsi="Arial" w:cs="Arial"/>
          <w:sz w:val="20"/>
          <w:szCs w:val="20"/>
          <w:lang w:eastAsia="es-ES"/>
        </w:rPr>
        <w:t xml:space="preserve">) La experiencia se puede compartir, sin que implique que la compartida a una persona se entienda suya, ya que dentro del procedimiento contractual se reflejará que esa persona tiene la experiencia de otra, como es el caso de las figuras </w:t>
      </w:r>
      <w:proofErr w:type="gramStart"/>
      <w:r w:rsidRPr="00E61502">
        <w:rPr>
          <w:rFonts w:ascii="Arial" w:hAnsi="Arial" w:cs="Arial"/>
          <w:sz w:val="20"/>
          <w:szCs w:val="20"/>
          <w:lang w:eastAsia="es-ES"/>
        </w:rPr>
        <w:t>asociativas  –</w:t>
      </w:r>
      <w:proofErr w:type="gramEnd"/>
      <w:r w:rsidRPr="00E61502">
        <w:rPr>
          <w:rFonts w:ascii="Arial" w:hAnsi="Arial" w:cs="Arial"/>
          <w:sz w:val="20"/>
          <w:szCs w:val="20"/>
          <w:lang w:eastAsia="es-ES"/>
        </w:rPr>
        <w:t>consorcios y uniones temporales– que se verificará en el documento privado de constitución.</w:t>
      </w:r>
    </w:p>
    <w:p w14:paraId="6927206C" w14:textId="77777777" w:rsidR="00E61502" w:rsidRPr="00E61502" w:rsidRDefault="00E61502" w:rsidP="00E61502">
      <w:pPr>
        <w:jc w:val="both"/>
        <w:rPr>
          <w:rFonts w:ascii="Arial" w:hAnsi="Arial" w:cs="Arial"/>
          <w:sz w:val="20"/>
          <w:szCs w:val="20"/>
          <w:lang w:eastAsia="es-ES"/>
        </w:rPr>
      </w:pPr>
      <w:proofErr w:type="spellStart"/>
      <w:r w:rsidRPr="00E61502">
        <w:rPr>
          <w:rFonts w:ascii="Arial" w:hAnsi="Arial" w:cs="Arial"/>
          <w:sz w:val="20"/>
          <w:szCs w:val="20"/>
          <w:lang w:eastAsia="es-ES"/>
        </w:rPr>
        <w:t>iii</w:t>
      </w:r>
      <w:proofErr w:type="spellEnd"/>
      <w:r w:rsidRPr="00E61502">
        <w:rPr>
          <w:rFonts w:ascii="Arial" w:hAnsi="Arial" w:cs="Arial"/>
          <w:sz w:val="20"/>
          <w:szCs w:val="20"/>
          <w:lang w:eastAsia="es-ES"/>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6392E8E6" w14:textId="7D5BF20D" w:rsidR="00150A26" w:rsidRPr="00150A26" w:rsidRDefault="00E61502" w:rsidP="00E61502">
      <w:pPr>
        <w:jc w:val="both"/>
        <w:rPr>
          <w:rFonts w:ascii="Arial" w:hAnsi="Arial" w:cs="Arial"/>
          <w:sz w:val="20"/>
          <w:szCs w:val="20"/>
          <w:lang w:eastAsia="es-ES"/>
        </w:rPr>
      </w:pPr>
      <w:proofErr w:type="spellStart"/>
      <w:r w:rsidRPr="00E61502">
        <w:rPr>
          <w:rFonts w:ascii="Arial" w:hAnsi="Arial" w:cs="Arial"/>
          <w:sz w:val="20"/>
          <w:szCs w:val="20"/>
          <w:lang w:eastAsia="es-ES"/>
        </w:rPr>
        <w:t>iv</w:t>
      </w:r>
      <w:proofErr w:type="spellEnd"/>
      <w:r w:rsidRPr="00E61502">
        <w:rPr>
          <w:rFonts w:ascii="Arial" w:hAnsi="Arial" w:cs="Arial"/>
          <w:sz w:val="20"/>
          <w:szCs w:val="20"/>
          <w:lang w:eastAsia="es-ES"/>
        </w:rPr>
        <w:t>) Cuando la persona que adquirió la experiencia desaparece o se liquida no es posible que comparta o transfiera su experiencia, puesto que, al ser esta personal, sigue la suerte de quien la adquirió.</w:t>
      </w:r>
    </w:p>
    <w:p w14:paraId="15FDB0D9" w14:textId="77777777" w:rsidR="00150A26" w:rsidRPr="000E55DA" w:rsidRDefault="00150A26" w:rsidP="00150A26">
      <w:pPr>
        <w:jc w:val="both"/>
        <w:rPr>
          <w:rFonts w:ascii="Arial" w:hAnsi="Arial" w:cs="Arial"/>
          <w:b/>
          <w:bCs/>
          <w:highlight w:val="yellow"/>
          <w:lang w:eastAsia="es-ES"/>
        </w:rPr>
      </w:pPr>
    </w:p>
    <w:p w14:paraId="407640E2" w14:textId="77777777" w:rsidR="00150A26" w:rsidRPr="00E61502" w:rsidRDefault="00150A26" w:rsidP="00150A26">
      <w:pPr>
        <w:jc w:val="both"/>
        <w:rPr>
          <w:rFonts w:ascii="Arial" w:hAnsi="Arial" w:cs="Arial"/>
          <w:b/>
          <w:bCs/>
          <w:sz w:val="22"/>
          <w:szCs w:val="22"/>
          <w:lang w:eastAsia="es-ES"/>
        </w:rPr>
      </w:pPr>
      <w:r w:rsidRPr="00E61502">
        <w:rPr>
          <w:rFonts w:ascii="Arial" w:hAnsi="Arial" w:cs="Arial"/>
          <w:b/>
          <w:bCs/>
          <w:sz w:val="22"/>
          <w:szCs w:val="22"/>
          <w:lang w:eastAsia="es-ES"/>
        </w:rPr>
        <w:t xml:space="preserve">EXPERIENCIA </w:t>
      </w:r>
      <w:r w:rsidRPr="00E61502">
        <w:rPr>
          <w:rFonts w:ascii="Arial" w:eastAsia="Calibri" w:hAnsi="Arial" w:cs="Arial"/>
          <w:b/>
          <w:bCs/>
          <w:sz w:val="22"/>
          <w:szCs w:val="22"/>
          <w:lang w:eastAsia="es-ES"/>
        </w:rPr>
        <w:t>– Transformación</w:t>
      </w:r>
    </w:p>
    <w:p w14:paraId="13A405F5" w14:textId="77777777" w:rsidR="00150A26" w:rsidRPr="00150A26" w:rsidRDefault="00150A26" w:rsidP="00150A26">
      <w:pPr>
        <w:widowControl w:val="0"/>
        <w:autoSpaceDE w:val="0"/>
        <w:autoSpaceDN w:val="0"/>
        <w:jc w:val="both"/>
        <w:rPr>
          <w:rFonts w:ascii="Arial" w:hAnsi="Arial" w:cs="Arial"/>
          <w:b/>
          <w:bCs/>
          <w:sz w:val="20"/>
          <w:szCs w:val="20"/>
          <w:highlight w:val="yellow"/>
          <w:lang w:val="es-MX"/>
        </w:rPr>
      </w:pPr>
    </w:p>
    <w:p w14:paraId="1685320B" w14:textId="77960AB3" w:rsidR="00150A26" w:rsidRPr="00150A26" w:rsidRDefault="00E61502" w:rsidP="00150A26">
      <w:pPr>
        <w:autoSpaceDE w:val="0"/>
        <w:autoSpaceDN w:val="0"/>
        <w:adjustRightInd w:val="0"/>
        <w:jc w:val="both"/>
        <w:rPr>
          <w:rFonts w:ascii="Arial" w:hAnsi="Arial" w:cs="Arial"/>
          <w:sz w:val="20"/>
          <w:szCs w:val="20"/>
          <w:lang w:eastAsia="es-ES"/>
        </w:rPr>
      </w:pPr>
      <w:r w:rsidRPr="00E61502">
        <w:rPr>
          <w:rFonts w:ascii="Arial" w:hAnsi="Arial" w:cs="Arial"/>
          <w:sz w:val="20"/>
          <w:szCs w:val="20"/>
          <w:lang w:eastAsia="es-ES"/>
        </w:rPr>
        <w:t>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w:t>
      </w:r>
      <w:r>
        <w:rPr>
          <w:rFonts w:ascii="Arial" w:hAnsi="Arial" w:cs="Arial"/>
          <w:sz w:val="20"/>
          <w:szCs w:val="20"/>
          <w:lang w:eastAsia="es-ES"/>
        </w:rPr>
        <w:t xml:space="preserve">. </w:t>
      </w:r>
    </w:p>
    <w:p w14:paraId="0EDD7FA7" w14:textId="77777777" w:rsidR="00150A26" w:rsidRPr="000E55DA" w:rsidRDefault="00150A26" w:rsidP="00150A26">
      <w:pPr>
        <w:autoSpaceDE w:val="0"/>
        <w:autoSpaceDN w:val="0"/>
        <w:adjustRightInd w:val="0"/>
        <w:rPr>
          <w:rFonts w:ascii="Arial" w:hAnsi="Arial" w:cs="Arial"/>
          <w:sz w:val="22"/>
          <w:szCs w:val="22"/>
          <w:lang w:eastAsia="es-ES"/>
        </w:rPr>
      </w:pPr>
    </w:p>
    <w:p w14:paraId="6276F139" w14:textId="77777777" w:rsidR="00150A26" w:rsidRPr="000E55DA" w:rsidRDefault="00150A26" w:rsidP="00150A26">
      <w:pPr>
        <w:jc w:val="both"/>
        <w:rPr>
          <w:rFonts w:ascii="Arial" w:hAnsi="Arial" w:cs="Arial"/>
          <w:b/>
          <w:bCs/>
          <w:sz w:val="22"/>
          <w:szCs w:val="22"/>
        </w:rPr>
      </w:pPr>
      <w:r w:rsidRPr="000E55DA">
        <w:rPr>
          <w:rFonts w:ascii="Arial" w:hAnsi="Arial" w:cs="Arial"/>
          <w:b/>
          <w:bCs/>
          <w:sz w:val="22"/>
          <w:szCs w:val="22"/>
        </w:rPr>
        <w:t xml:space="preserve">EXPERIENCIA </w:t>
      </w:r>
      <w:r w:rsidRPr="000E55DA">
        <w:rPr>
          <w:rFonts w:ascii="Arial" w:eastAsia="Calibri" w:hAnsi="Arial" w:cs="Arial"/>
          <w:b/>
          <w:sz w:val="22"/>
          <w:szCs w:val="22"/>
        </w:rPr>
        <w:t>– Escisión</w:t>
      </w:r>
    </w:p>
    <w:p w14:paraId="08110375" w14:textId="77777777" w:rsidR="00150A26" w:rsidRPr="00150A26" w:rsidRDefault="00150A26" w:rsidP="00150A26">
      <w:pPr>
        <w:widowControl w:val="0"/>
        <w:autoSpaceDE w:val="0"/>
        <w:autoSpaceDN w:val="0"/>
        <w:jc w:val="both"/>
        <w:rPr>
          <w:rFonts w:ascii="Arial" w:hAnsi="Arial" w:cs="Arial"/>
          <w:b/>
          <w:sz w:val="20"/>
          <w:szCs w:val="20"/>
          <w:highlight w:val="yellow"/>
          <w:lang w:val="es-MX"/>
        </w:rPr>
      </w:pPr>
    </w:p>
    <w:p w14:paraId="0FBE5AA0" w14:textId="1A6A0D1D" w:rsidR="00150A26" w:rsidRPr="00150A26" w:rsidRDefault="00E61502" w:rsidP="00150A26">
      <w:pPr>
        <w:jc w:val="both"/>
        <w:rPr>
          <w:rFonts w:ascii="Arial" w:hAnsi="Arial" w:cs="Arial"/>
          <w:sz w:val="20"/>
          <w:szCs w:val="20"/>
          <w:lang w:eastAsia="es-ES"/>
        </w:rPr>
      </w:pPr>
      <w:r w:rsidRPr="00E61502">
        <w:rPr>
          <w:rFonts w:ascii="Arial" w:hAnsi="Arial" w:cs="Arial"/>
          <w:sz w:val="20"/>
          <w:szCs w:val="20"/>
          <w:lang w:eastAsia="es-ES"/>
        </w:rPr>
        <w:t>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retomar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continúa por sí misma y puede adquirir experiencia, pero no puede transferirla porque le pertenece, al ser quien la adquirió</w:t>
      </w:r>
      <w:r>
        <w:rPr>
          <w:rFonts w:ascii="Arial" w:hAnsi="Arial" w:cs="Arial"/>
          <w:sz w:val="20"/>
          <w:szCs w:val="20"/>
          <w:lang w:eastAsia="es-ES"/>
        </w:rPr>
        <w:t xml:space="preserve">. </w:t>
      </w:r>
    </w:p>
    <w:p w14:paraId="14A76BAB" w14:textId="745AF739" w:rsidR="00150A26" w:rsidRPr="00150A26" w:rsidRDefault="00E61502" w:rsidP="00150A26">
      <w:pPr>
        <w:jc w:val="both"/>
        <w:rPr>
          <w:rFonts w:ascii="Arial" w:hAnsi="Arial" w:cs="Arial"/>
          <w:sz w:val="20"/>
          <w:szCs w:val="20"/>
        </w:rPr>
      </w:pPr>
      <w:r w:rsidRPr="00E61502">
        <w:rPr>
          <w:rFonts w:ascii="Arial" w:hAnsi="Arial" w:cs="Arial"/>
          <w:sz w:val="20"/>
          <w:szCs w:val="20"/>
        </w:rPr>
        <w:t xml:space="preserve">Por otro lado, a pesar de que en la segunda modalidad existe «disolución», no hay transferencia de la experiencia porque la persona jurídica fraccionada deja de ser quien es y desaparece, quedando </w:t>
      </w:r>
      <w:r w:rsidRPr="00E61502">
        <w:rPr>
          <w:rFonts w:ascii="Arial" w:hAnsi="Arial" w:cs="Arial"/>
          <w:sz w:val="20"/>
          <w:szCs w:val="20"/>
        </w:rPr>
        <w:lastRenderedPageBreak/>
        <w:t>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r>
        <w:rPr>
          <w:rFonts w:ascii="Arial" w:hAnsi="Arial" w:cs="Arial"/>
          <w:sz w:val="20"/>
          <w:szCs w:val="20"/>
        </w:rPr>
        <w:t xml:space="preserve">. </w:t>
      </w:r>
    </w:p>
    <w:p w14:paraId="75DA33CB" w14:textId="77777777" w:rsidR="00150A26" w:rsidRPr="00150A26" w:rsidRDefault="00150A26" w:rsidP="00150A26">
      <w:pPr>
        <w:jc w:val="both"/>
        <w:rPr>
          <w:rFonts w:ascii="Arial" w:hAnsi="Arial" w:cs="Arial"/>
          <w:sz w:val="20"/>
          <w:szCs w:val="20"/>
        </w:rPr>
      </w:pPr>
    </w:p>
    <w:p w14:paraId="4F01E72F" w14:textId="608E54EA" w:rsidR="00150A26" w:rsidRPr="000E55DA" w:rsidRDefault="00150A26" w:rsidP="00150A26">
      <w:pPr>
        <w:widowControl w:val="0"/>
        <w:autoSpaceDE w:val="0"/>
        <w:autoSpaceDN w:val="0"/>
        <w:ind w:right="102"/>
        <w:jc w:val="both"/>
        <w:rPr>
          <w:rFonts w:ascii="Arial" w:eastAsia="Arial" w:hAnsi="Arial" w:cs="Arial"/>
          <w:b/>
          <w:sz w:val="22"/>
          <w:szCs w:val="22"/>
          <w:lang w:val="es-ES"/>
        </w:rPr>
      </w:pPr>
      <w:r w:rsidRPr="000E55DA">
        <w:rPr>
          <w:rFonts w:ascii="Arial" w:eastAsia="Arial" w:hAnsi="Arial" w:cs="Arial"/>
          <w:b/>
          <w:sz w:val="22"/>
          <w:szCs w:val="22"/>
          <w:lang w:val="es-ES"/>
        </w:rPr>
        <w:t xml:space="preserve">EXPERIENCIA – Fusión </w:t>
      </w:r>
    </w:p>
    <w:p w14:paraId="170EDA68" w14:textId="77777777" w:rsidR="00150A26" w:rsidRPr="00150A26" w:rsidRDefault="00150A26" w:rsidP="00150A26">
      <w:pPr>
        <w:widowControl w:val="0"/>
        <w:autoSpaceDE w:val="0"/>
        <w:autoSpaceDN w:val="0"/>
        <w:ind w:left="301" w:right="102"/>
        <w:jc w:val="both"/>
        <w:rPr>
          <w:rFonts w:ascii="Arial" w:eastAsia="Arial" w:hAnsi="Arial" w:cs="Arial"/>
          <w:b/>
          <w:sz w:val="20"/>
          <w:szCs w:val="20"/>
          <w:lang w:val="es-ES"/>
        </w:rPr>
      </w:pPr>
    </w:p>
    <w:p w14:paraId="2FDD8393" w14:textId="11DB7805" w:rsidR="00150A26" w:rsidRPr="00150A26" w:rsidRDefault="00E61502" w:rsidP="00150A26">
      <w:pPr>
        <w:widowControl w:val="0"/>
        <w:autoSpaceDE w:val="0"/>
        <w:autoSpaceDN w:val="0"/>
        <w:jc w:val="both"/>
        <w:rPr>
          <w:rFonts w:ascii="Arial" w:eastAsia="Calibri" w:hAnsi="Arial" w:cs="Arial"/>
          <w:sz w:val="20"/>
          <w:szCs w:val="20"/>
          <w:lang w:eastAsia="es-ES"/>
        </w:rPr>
      </w:pPr>
      <w:r w:rsidRPr="00E61502">
        <w:rPr>
          <w:rFonts w:ascii="Arial" w:eastAsia="Calibri" w:hAnsi="Arial" w:cs="Arial"/>
          <w:bCs/>
          <w:sz w:val="20"/>
          <w:szCs w:val="20"/>
          <w:lang w:eastAsia="es-ES"/>
        </w:rPr>
        <w:t xml:space="preserve">Para analizar la fusión y sus efectos respecto de la experiencia de la sociedad que se </w:t>
      </w:r>
      <w:r w:rsidRPr="00E61502">
        <w:rPr>
          <w:rFonts w:ascii="Arial" w:eastAsia="Calibri" w:hAnsi="Arial" w:cs="Arial"/>
          <w:sz w:val="20"/>
          <w:szCs w:val="20"/>
          <w:lang w:eastAsia="es-ES"/>
        </w:rPr>
        <w:t>«</w:t>
      </w:r>
      <w:r w:rsidRPr="00E61502">
        <w:rPr>
          <w:rFonts w:ascii="Arial" w:eastAsia="Calibri" w:hAnsi="Arial" w:cs="Arial"/>
          <w:bCs/>
          <w:sz w:val="20"/>
          <w:szCs w:val="20"/>
          <w:lang w:eastAsia="es-ES"/>
        </w:rPr>
        <w:t xml:space="preserve">disuelve» pero no se </w:t>
      </w:r>
      <w:r w:rsidRPr="00E61502">
        <w:rPr>
          <w:rFonts w:ascii="Arial" w:eastAsia="Calibri" w:hAnsi="Arial" w:cs="Arial"/>
          <w:sz w:val="20"/>
          <w:szCs w:val="20"/>
          <w:lang w:eastAsia="es-ES"/>
        </w:rPr>
        <w:t>«</w:t>
      </w:r>
      <w:r w:rsidRPr="00E61502">
        <w:rPr>
          <w:rFonts w:ascii="Arial" w:eastAsia="Calibri" w:hAnsi="Arial" w:cs="Arial"/>
          <w:bCs/>
          <w:sz w:val="20"/>
          <w:szCs w:val="20"/>
          <w:lang w:eastAsia="es-ES"/>
        </w:rPr>
        <w:t xml:space="preserve">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w:t>
      </w:r>
      <w:r w:rsidRPr="00E61502">
        <w:rPr>
          <w:rFonts w:ascii="Arial" w:eastAsia="Calibri" w:hAnsi="Arial" w:cs="Arial"/>
          <w:bCs/>
          <w:i/>
          <w:iCs/>
          <w:sz w:val="20"/>
          <w:szCs w:val="20"/>
          <w:lang w:eastAsia="es-ES"/>
        </w:rPr>
        <w:t>transfiere</w:t>
      </w:r>
      <w:r w:rsidRPr="00E61502">
        <w:rPr>
          <w:rFonts w:ascii="Arial" w:eastAsia="Calibri" w:hAnsi="Arial" w:cs="Arial"/>
          <w:bCs/>
          <w:sz w:val="20"/>
          <w:szCs w:val="20"/>
          <w:lang w:eastAsia="es-ES"/>
        </w:rPr>
        <w:t xml:space="preserve"> su experiencia y todos sus derechos y obligaciones, de conformidad con el artículo 172 y siguientes del Código de Comercio</w:t>
      </w:r>
      <w:r>
        <w:rPr>
          <w:rFonts w:ascii="Arial" w:eastAsia="Calibri" w:hAnsi="Arial" w:cs="Arial"/>
          <w:bCs/>
          <w:sz w:val="20"/>
          <w:szCs w:val="20"/>
          <w:lang w:eastAsia="es-ES"/>
        </w:rPr>
        <w:t xml:space="preserve">. </w:t>
      </w:r>
    </w:p>
    <w:p w14:paraId="600D764B" w14:textId="2B9809A5" w:rsidR="00150A26" w:rsidRDefault="00150A26" w:rsidP="00150A26">
      <w:pPr>
        <w:widowControl w:val="0"/>
        <w:autoSpaceDE w:val="0"/>
        <w:autoSpaceDN w:val="0"/>
        <w:ind w:right="102"/>
        <w:jc w:val="both"/>
        <w:rPr>
          <w:rFonts w:ascii="Arial" w:eastAsia="Arial" w:hAnsi="Arial" w:cs="Arial"/>
          <w:sz w:val="20"/>
          <w:szCs w:val="20"/>
          <w:lang w:val="es-ES"/>
        </w:rPr>
      </w:pPr>
      <w:r w:rsidRPr="00150A26">
        <w:rPr>
          <w:rFonts w:ascii="Arial" w:eastAsia="Arial" w:hAnsi="Arial" w:cs="Arial"/>
          <w:sz w:val="20"/>
          <w:szCs w:val="20"/>
          <w:lang w:val="es-ES"/>
        </w:rPr>
        <w:t>[…]</w:t>
      </w:r>
    </w:p>
    <w:p w14:paraId="02B6D0C4" w14:textId="77777777" w:rsidR="00E61502" w:rsidRPr="00150A26" w:rsidRDefault="00E61502" w:rsidP="00150A26">
      <w:pPr>
        <w:widowControl w:val="0"/>
        <w:autoSpaceDE w:val="0"/>
        <w:autoSpaceDN w:val="0"/>
        <w:ind w:right="102"/>
        <w:jc w:val="both"/>
        <w:rPr>
          <w:rFonts w:ascii="Arial" w:eastAsia="Arial" w:hAnsi="Arial" w:cs="Arial"/>
          <w:sz w:val="20"/>
          <w:szCs w:val="20"/>
          <w:lang w:val="es-ES"/>
        </w:rPr>
      </w:pPr>
    </w:p>
    <w:p w14:paraId="7F7FF78E" w14:textId="5B00B898" w:rsidR="00150A26" w:rsidRPr="00150A26" w:rsidRDefault="00E61502" w:rsidP="00150A26">
      <w:pPr>
        <w:widowControl w:val="0"/>
        <w:autoSpaceDE w:val="0"/>
        <w:autoSpaceDN w:val="0"/>
        <w:ind w:right="102"/>
        <w:jc w:val="both"/>
        <w:rPr>
          <w:rFonts w:ascii="Arial" w:eastAsia="Arial" w:hAnsi="Arial" w:cs="Arial"/>
          <w:sz w:val="20"/>
          <w:szCs w:val="20"/>
          <w:lang w:val="es-ES"/>
        </w:rPr>
      </w:pPr>
      <w:r w:rsidRPr="00E61502">
        <w:rPr>
          <w:rFonts w:ascii="Arial" w:eastAsia="Arial" w:hAnsi="Arial" w:cs="Arial"/>
          <w:bCs/>
          <w:sz w:val="20"/>
          <w:szCs w:val="20"/>
        </w:rPr>
        <w:t>En consecuencia, en la fusión por absorción o creación de una nueva sociedad es posible que la sociedad absorbente o la nueva obtenga la experiencia de la absorbida, porque esta última continuó a través de la primera, y ello implica que transfirió su experiencia debido a que no se liquidó, es decir, no desapareció, lo que haría imposible la transferencia de experiencia</w:t>
      </w:r>
      <w:r>
        <w:rPr>
          <w:rFonts w:ascii="Arial" w:eastAsia="Arial" w:hAnsi="Arial" w:cs="Arial"/>
          <w:bCs/>
          <w:sz w:val="20"/>
          <w:szCs w:val="20"/>
        </w:rPr>
        <w:t xml:space="preserve">. </w:t>
      </w:r>
    </w:p>
    <w:p w14:paraId="6B48FA65" w14:textId="77777777" w:rsidR="00150A26" w:rsidRPr="00150A26" w:rsidRDefault="00150A26" w:rsidP="00150A26">
      <w:pPr>
        <w:spacing w:line="276" w:lineRule="auto"/>
        <w:jc w:val="both"/>
        <w:rPr>
          <w:rFonts w:ascii="Arial" w:hAnsi="Arial" w:cs="Arial"/>
          <w:noProof/>
          <w:color w:val="000000" w:themeColor="text1"/>
          <w:sz w:val="20"/>
          <w:szCs w:val="20"/>
          <w:lang w:val="es-ES_tradnl"/>
        </w:rPr>
      </w:pPr>
    </w:p>
    <w:p w14:paraId="69BADF9D" w14:textId="77777777" w:rsidR="00150A26" w:rsidRPr="00150A26" w:rsidRDefault="00150A26" w:rsidP="00150A26">
      <w:pPr>
        <w:spacing w:line="276" w:lineRule="auto"/>
        <w:jc w:val="both"/>
        <w:rPr>
          <w:rFonts w:ascii="Arial" w:hAnsi="Arial" w:cs="Arial"/>
          <w:noProof/>
          <w:color w:val="000000" w:themeColor="text1"/>
          <w:sz w:val="20"/>
          <w:szCs w:val="20"/>
          <w:lang w:val="es-ES_tradnl"/>
        </w:rPr>
      </w:pPr>
    </w:p>
    <w:p w14:paraId="79B0C924" w14:textId="6F8110DF" w:rsidR="00E803A6" w:rsidRDefault="00E803A6" w:rsidP="00C118DB">
      <w:pPr>
        <w:spacing w:line="276" w:lineRule="auto"/>
        <w:jc w:val="both"/>
        <w:rPr>
          <w:rFonts w:ascii="Arial" w:eastAsia="Calibri" w:hAnsi="Arial" w:cs="Arial"/>
          <w:b/>
          <w:sz w:val="22"/>
          <w:lang w:val="es-ES_tradnl"/>
        </w:rPr>
      </w:pPr>
    </w:p>
    <w:p w14:paraId="4571403C" w14:textId="24BA1624" w:rsidR="00150A26" w:rsidRDefault="00150A26" w:rsidP="00C118DB">
      <w:pPr>
        <w:spacing w:line="276" w:lineRule="auto"/>
        <w:jc w:val="both"/>
        <w:rPr>
          <w:rFonts w:ascii="Arial" w:eastAsia="Calibri" w:hAnsi="Arial" w:cs="Arial"/>
          <w:b/>
          <w:sz w:val="22"/>
          <w:lang w:val="es-ES_tradnl"/>
        </w:rPr>
      </w:pPr>
    </w:p>
    <w:p w14:paraId="11F01C7A" w14:textId="43812D0B" w:rsidR="00150A26" w:rsidRDefault="00150A26" w:rsidP="00C118DB">
      <w:pPr>
        <w:spacing w:line="276" w:lineRule="auto"/>
        <w:jc w:val="both"/>
        <w:rPr>
          <w:rFonts w:ascii="Arial" w:eastAsia="Calibri" w:hAnsi="Arial" w:cs="Arial"/>
          <w:b/>
          <w:sz w:val="22"/>
          <w:lang w:val="es-ES_tradnl"/>
        </w:rPr>
      </w:pPr>
    </w:p>
    <w:p w14:paraId="4DA9C5BA" w14:textId="05135C65" w:rsidR="00150A26" w:rsidRDefault="00150A26" w:rsidP="00C118DB">
      <w:pPr>
        <w:spacing w:line="276" w:lineRule="auto"/>
        <w:jc w:val="both"/>
        <w:rPr>
          <w:rFonts w:ascii="Arial" w:eastAsia="Calibri" w:hAnsi="Arial" w:cs="Arial"/>
          <w:b/>
          <w:sz w:val="22"/>
          <w:lang w:val="es-ES_tradnl"/>
        </w:rPr>
      </w:pPr>
    </w:p>
    <w:p w14:paraId="52CC50C7" w14:textId="0343C414" w:rsidR="00150A26" w:rsidRDefault="00150A26" w:rsidP="00C118DB">
      <w:pPr>
        <w:spacing w:line="276" w:lineRule="auto"/>
        <w:jc w:val="both"/>
        <w:rPr>
          <w:rFonts w:ascii="Arial" w:eastAsia="Calibri" w:hAnsi="Arial" w:cs="Arial"/>
          <w:b/>
          <w:sz w:val="22"/>
          <w:lang w:val="es-ES_tradnl"/>
        </w:rPr>
      </w:pPr>
    </w:p>
    <w:p w14:paraId="59C5E850" w14:textId="186E35FC" w:rsidR="00150A26" w:rsidRDefault="00150A26" w:rsidP="00C118DB">
      <w:pPr>
        <w:spacing w:line="276" w:lineRule="auto"/>
        <w:jc w:val="both"/>
        <w:rPr>
          <w:rFonts w:ascii="Arial" w:eastAsia="Calibri" w:hAnsi="Arial" w:cs="Arial"/>
          <w:b/>
          <w:sz w:val="22"/>
          <w:lang w:val="es-ES_tradnl"/>
        </w:rPr>
      </w:pPr>
    </w:p>
    <w:p w14:paraId="5719C4C2" w14:textId="129E39DF" w:rsidR="00150A26" w:rsidRDefault="00150A26" w:rsidP="00C118DB">
      <w:pPr>
        <w:spacing w:line="276" w:lineRule="auto"/>
        <w:jc w:val="both"/>
        <w:rPr>
          <w:rFonts w:ascii="Arial" w:eastAsia="Calibri" w:hAnsi="Arial" w:cs="Arial"/>
          <w:b/>
          <w:sz w:val="22"/>
          <w:lang w:val="es-ES_tradnl"/>
        </w:rPr>
      </w:pPr>
    </w:p>
    <w:p w14:paraId="5B1EC8FF" w14:textId="4711C630" w:rsidR="00150A26" w:rsidRDefault="00150A26" w:rsidP="00C118DB">
      <w:pPr>
        <w:spacing w:line="276" w:lineRule="auto"/>
        <w:jc w:val="both"/>
        <w:rPr>
          <w:rFonts w:ascii="Arial" w:eastAsia="Calibri" w:hAnsi="Arial" w:cs="Arial"/>
          <w:b/>
          <w:sz w:val="22"/>
          <w:lang w:val="es-ES_tradnl"/>
        </w:rPr>
      </w:pPr>
    </w:p>
    <w:p w14:paraId="0FECFA54" w14:textId="114C28A8" w:rsidR="00150A26" w:rsidRDefault="00150A26" w:rsidP="00C118DB">
      <w:pPr>
        <w:spacing w:line="276" w:lineRule="auto"/>
        <w:jc w:val="both"/>
        <w:rPr>
          <w:rFonts w:ascii="Arial" w:eastAsia="Calibri" w:hAnsi="Arial" w:cs="Arial"/>
          <w:b/>
          <w:sz w:val="22"/>
          <w:lang w:val="es-ES_tradnl"/>
        </w:rPr>
      </w:pPr>
    </w:p>
    <w:p w14:paraId="3599E9B4" w14:textId="2DE30940" w:rsidR="00BD3C3D" w:rsidRDefault="00BD3C3D" w:rsidP="00C118DB">
      <w:pPr>
        <w:spacing w:line="276" w:lineRule="auto"/>
        <w:jc w:val="both"/>
        <w:rPr>
          <w:rFonts w:ascii="Arial" w:eastAsia="Calibri" w:hAnsi="Arial" w:cs="Arial"/>
          <w:b/>
          <w:sz w:val="22"/>
          <w:lang w:val="es-ES_tradnl"/>
        </w:rPr>
      </w:pPr>
    </w:p>
    <w:p w14:paraId="79E6AEE5" w14:textId="21D06E72" w:rsidR="007417BF" w:rsidRDefault="007417BF" w:rsidP="00C118DB">
      <w:pPr>
        <w:spacing w:line="276" w:lineRule="auto"/>
        <w:jc w:val="both"/>
        <w:rPr>
          <w:rFonts w:ascii="Arial" w:eastAsia="Calibri" w:hAnsi="Arial" w:cs="Arial"/>
          <w:b/>
          <w:sz w:val="22"/>
          <w:lang w:val="es-ES_tradnl"/>
        </w:rPr>
      </w:pPr>
    </w:p>
    <w:p w14:paraId="5429CA94" w14:textId="2A870880" w:rsidR="007417BF" w:rsidRDefault="007417BF" w:rsidP="007417BF">
      <w:pPr>
        <w:spacing w:line="276" w:lineRule="auto"/>
        <w:jc w:val="right"/>
        <w:rPr>
          <w:rFonts w:ascii="Arial" w:eastAsia="Calibri" w:hAnsi="Arial" w:cs="Arial"/>
          <w:b/>
          <w:sz w:val="22"/>
          <w:lang w:val="es-ES_tradnl"/>
        </w:rPr>
      </w:pPr>
      <w:r w:rsidRPr="007417BF">
        <w:rPr>
          <w:rFonts w:ascii="Arial" w:eastAsia="Calibri" w:hAnsi="Arial" w:cs="Arial"/>
          <w:b/>
          <w:noProof/>
          <w:sz w:val="22"/>
          <w:lang w:val="es-ES_tradnl"/>
        </w:rPr>
        <w:lastRenderedPageBreak/>
        <w:drawing>
          <wp:inline distT="0" distB="0" distL="0" distR="0" wp14:anchorId="56D2921D" wp14:editId="01849ECA">
            <wp:extent cx="2428875" cy="857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857250"/>
                    </a:xfrm>
                    <a:prstGeom prst="rect">
                      <a:avLst/>
                    </a:prstGeom>
                    <a:noFill/>
                    <a:ln>
                      <a:noFill/>
                    </a:ln>
                  </pic:spPr>
                </pic:pic>
              </a:graphicData>
            </a:graphic>
          </wp:inline>
        </w:drawing>
      </w:r>
    </w:p>
    <w:p w14:paraId="4F8E48D5" w14:textId="208CF5B0" w:rsidR="007417BF" w:rsidRDefault="007417BF" w:rsidP="00C118DB">
      <w:pPr>
        <w:spacing w:line="276" w:lineRule="auto"/>
        <w:jc w:val="both"/>
        <w:rPr>
          <w:rFonts w:ascii="Arial" w:eastAsia="Calibri" w:hAnsi="Arial" w:cs="Arial"/>
          <w:b/>
          <w:sz w:val="22"/>
          <w:lang w:val="es-ES_tradnl"/>
        </w:rPr>
      </w:pPr>
    </w:p>
    <w:p w14:paraId="5ABA2067" w14:textId="77777777" w:rsidR="007417BF" w:rsidRDefault="007417BF" w:rsidP="00C118DB">
      <w:pPr>
        <w:spacing w:line="276" w:lineRule="auto"/>
        <w:jc w:val="both"/>
        <w:rPr>
          <w:rFonts w:ascii="Arial" w:eastAsia="Calibri" w:hAnsi="Arial" w:cs="Arial"/>
          <w:b/>
          <w:sz w:val="22"/>
          <w:lang w:val="es-ES_tradnl"/>
        </w:rPr>
      </w:pPr>
    </w:p>
    <w:p w14:paraId="6A8A869B" w14:textId="0352A870" w:rsidR="00B95C30" w:rsidRPr="007417BF" w:rsidRDefault="00B95C30" w:rsidP="007417BF">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7417BF">
        <w:rPr>
          <w:rFonts w:ascii="Arial" w:hAnsi="Arial" w:cs="Arial"/>
          <w:b/>
          <w:color w:val="000000" w:themeColor="text1"/>
          <w:sz w:val="22"/>
        </w:rPr>
        <w:t>13 de septiembre de 2022</w:t>
      </w:r>
    </w:p>
    <w:p w14:paraId="5FDF9495" w14:textId="77777777" w:rsidR="00631A31" w:rsidRPr="00A51520" w:rsidRDefault="00631A31" w:rsidP="00B95C30">
      <w:pPr>
        <w:jc w:val="both"/>
        <w:rPr>
          <w:rFonts w:ascii="Arial" w:hAnsi="Arial" w:cs="Arial"/>
          <w:b/>
          <w:color w:val="000000" w:themeColor="text1"/>
          <w:sz w:val="22"/>
          <w:lang w:val="pt-BR"/>
        </w:rPr>
      </w:pPr>
    </w:p>
    <w:p w14:paraId="798A20AC" w14:textId="1BF91BF4" w:rsidR="005F5F37" w:rsidRDefault="00B95C30" w:rsidP="00BF4EC5">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3EB21AE9" w14:textId="7C99B80C" w:rsidR="0062281D" w:rsidRPr="00D91BA7" w:rsidRDefault="00150A26" w:rsidP="00BF4EC5">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Andrés </w:t>
      </w:r>
      <w:r w:rsidR="003F136D">
        <w:rPr>
          <w:rFonts w:ascii="Arial" w:eastAsia="Calibri" w:hAnsi="Arial" w:cs="Arial"/>
          <w:b/>
          <w:bCs/>
          <w:color w:val="000000" w:themeColor="text1"/>
          <w:sz w:val="22"/>
        </w:rPr>
        <w:t xml:space="preserve">Arturo </w:t>
      </w:r>
      <w:r>
        <w:rPr>
          <w:rFonts w:ascii="Arial" w:eastAsia="Calibri" w:hAnsi="Arial" w:cs="Arial"/>
          <w:b/>
          <w:bCs/>
          <w:color w:val="000000" w:themeColor="text1"/>
          <w:sz w:val="22"/>
        </w:rPr>
        <w:t xml:space="preserve">Carreño </w:t>
      </w:r>
      <w:r w:rsidR="003F136D">
        <w:rPr>
          <w:rFonts w:ascii="Arial" w:eastAsia="Calibri" w:hAnsi="Arial" w:cs="Arial"/>
          <w:b/>
          <w:bCs/>
          <w:color w:val="000000" w:themeColor="text1"/>
          <w:sz w:val="22"/>
        </w:rPr>
        <w:t>Dallos</w:t>
      </w:r>
    </w:p>
    <w:p w14:paraId="411CBCE1" w14:textId="17384A1E" w:rsidR="00BF4EC5" w:rsidRPr="00A51520" w:rsidRDefault="00150A2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62281D">
        <w:rPr>
          <w:rFonts w:ascii="Arial" w:eastAsia="Calibri" w:hAnsi="Arial" w:cs="Arial"/>
          <w:bCs/>
          <w:color w:val="000000" w:themeColor="text1"/>
          <w:sz w:val="22"/>
        </w:rPr>
        <w:t xml:space="preserve"> </w:t>
      </w:r>
    </w:p>
    <w:p w14:paraId="4A1C8FFE" w14:textId="77777777" w:rsidR="008120C4" w:rsidRPr="00A51520" w:rsidRDefault="008120C4" w:rsidP="003C0791">
      <w:pPr>
        <w:rPr>
          <w:rFonts w:ascii="Arial" w:eastAsia="Calibri" w:hAnsi="Arial" w:cs="Arial"/>
          <w:b/>
          <w:bCs/>
          <w:color w:val="000000" w:themeColor="text1"/>
          <w:sz w:val="22"/>
        </w:rPr>
      </w:pPr>
    </w:p>
    <w:p w14:paraId="1BD594F9" w14:textId="7B14B5C4"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62281D">
        <w:rPr>
          <w:rFonts w:ascii="Arial" w:eastAsia="Calibri" w:hAnsi="Arial" w:cs="Arial"/>
          <w:b/>
          <w:bCs/>
          <w:color w:val="000000" w:themeColor="text1"/>
          <w:sz w:val="22"/>
          <w:lang w:val="pt-BR"/>
        </w:rPr>
        <w:t>5</w:t>
      </w:r>
      <w:r w:rsidR="00150A26">
        <w:rPr>
          <w:rFonts w:ascii="Arial" w:eastAsia="Calibri" w:hAnsi="Arial" w:cs="Arial"/>
          <w:b/>
          <w:bCs/>
          <w:color w:val="000000" w:themeColor="text1"/>
          <w:sz w:val="22"/>
          <w:lang w:val="pt-BR"/>
        </w:rPr>
        <w:t>69</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04C722DD" w:rsidR="00337178" w:rsidRPr="00864378" w:rsidRDefault="00150A26" w:rsidP="00864378">
            <w:pPr>
              <w:tabs>
                <w:tab w:val="left" w:pos="6551"/>
              </w:tabs>
              <w:jc w:val="both"/>
              <w:rPr>
                <w:rFonts w:ascii="Arial" w:eastAsia="Calibri" w:hAnsi="Arial" w:cs="Arial"/>
                <w:bCs/>
                <w:color w:val="000000" w:themeColor="text1"/>
                <w:sz w:val="22"/>
                <w:lang w:val="es-ES_tradnl"/>
              </w:rPr>
            </w:pPr>
            <w:r w:rsidRPr="00150A26">
              <w:rPr>
                <w:rFonts w:ascii="Arial" w:eastAsia="Calibri" w:hAnsi="Arial" w:cs="Arial"/>
                <w:bCs/>
                <w:sz w:val="22"/>
                <w:szCs w:val="22"/>
                <w:lang w:val="es-MX" w:eastAsia="en-US"/>
              </w:rPr>
              <w:t>EXPERIENCIA – Concepto</w:t>
            </w:r>
            <w:r w:rsidR="00A86DB1">
              <w:rPr>
                <w:rFonts w:ascii="Arial" w:eastAsia="Calibri" w:hAnsi="Arial" w:cs="Arial"/>
                <w:bCs/>
                <w:sz w:val="22"/>
                <w:szCs w:val="22"/>
                <w:lang w:val="es-MX" w:eastAsia="en-US"/>
              </w:rPr>
              <w:t xml:space="preserve"> </w:t>
            </w:r>
            <w:r w:rsidRPr="00150A26">
              <w:rPr>
                <w:rFonts w:ascii="Arial" w:eastAsia="Calibri" w:hAnsi="Arial" w:cs="Arial"/>
                <w:bCs/>
                <w:sz w:val="22"/>
                <w:szCs w:val="22"/>
                <w:lang w:val="es-MX" w:eastAsia="en-US"/>
              </w:rPr>
              <w:t>/ EXPERIENCIA – Transformación / EXPERIENCIA – Escisión / EXPERIENCIA – Fusión</w:t>
            </w:r>
          </w:p>
        </w:tc>
      </w:tr>
      <w:tr w:rsidR="00B95C30" w:rsidRPr="00A51520" w14:paraId="27CD52AB" w14:textId="77777777" w:rsidTr="00150A26">
        <w:trPr>
          <w:trHeight w:val="301"/>
        </w:trPr>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19BABF87"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150A26">
              <w:rPr>
                <w:rFonts w:ascii="Arial" w:eastAsia="Calibri" w:hAnsi="Arial" w:cs="Arial"/>
                <w:color w:val="000000" w:themeColor="text1"/>
                <w:sz w:val="22"/>
                <w:lang w:val="es-ES_tradnl"/>
              </w:rPr>
              <w:t xml:space="preserve"> </w:t>
            </w:r>
            <w:r w:rsidR="00150A26" w:rsidRPr="00150A26">
              <w:rPr>
                <w:rFonts w:ascii="Arial" w:eastAsia="Calibri" w:hAnsi="Arial" w:cs="Arial"/>
                <w:color w:val="000000" w:themeColor="text1"/>
                <w:sz w:val="22"/>
                <w:lang w:val="es-ES_tradnl"/>
              </w:rPr>
              <w:t>P20220801007507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2AFAF2B6"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914C29">
        <w:rPr>
          <w:rFonts w:ascii="Arial" w:eastAsia="Calibri" w:hAnsi="Arial" w:cs="Arial"/>
          <w:color w:val="000000" w:themeColor="text1"/>
          <w:sz w:val="22"/>
          <w:lang w:val="es-ES_tradnl"/>
        </w:rPr>
        <w:t xml:space="preserve"> </w:t>
      </w:r>
      <w:r w:rsidR="00150A26">
        <w:rPr>
          <w:rFonts w:ascii="Arial" w:eastAsia="Calibri" w:hAnsi="Arial" w:cs="Arial"/>
          <w:color w:val="000000" w:themeColor="text1"/>
          <w:sz w:val="22"/>
          <w:lang w:val="es-ES_tradnl"/>
        </w:rPr>
        <w:t>Carreño</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48C3EFCA"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150A26">
        <w:rPr>
          <w:rFonts w:ascii="Arial" w:eastAsia="Calibri" w:hAnsi="Arial" w:cs="Arial"/>
          <w:color w:val="000000" w:themeColor="text1"/>
          <w:sz w:val="22"/>
          <w:lang w:val="es-ES_tradnl"/>
        </w:rPr>
        <w:t xml:space="preserve">1 </w:t>
      </w:r>
      <w:r w:rsidR="00F21D6D" w:rsidRPr="00A51520">
        <w:rPr>
          <w:rFonts w:ascii="Arial" w:eastAsia="Calibri" w:hAnsi="Arial" w:cs="Arial"/>
          <w:color w:val="000000" w:themeColor="text1"/>
          <w:sz w:val="22"/>
          <w:lang w:val="es-ES_tradnl"/>
        </w:rPr>
        <w:t xml:space="preserve">de </w:t>
      </w:r>
      <w:r w:rsidR="00150A26">
        <w:rPr>
          <w:rFonts w:ascii="Arial" w:eastAsia="Calibri" w:hAnsi="Arial" w:cs="Arial"/>
          <w:color w:val="000000" w:themeColor="text1"/>
          <w:sz w:val="22"/>
          <w:lang w:val="es-ES_tradnl"/>
        </w:rPr>
        <w:t>agosto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30491FA" w14:textId="0FE732FB" w:rsidR="009E5371" w:rsidRDefault="00150A26" w:rsidP="009E5371">
      <w:pPr>
        <w:spacing w:line="276" w:lineRule="auto"/>
        <w:jc w:val="both"/>
        <w:rPr>
          <w:rFonts w:ascii="Arial" w:hAnsi="Arial" w:cs="Arial"/>
          <w:sz w:val="22"/>
          <w:lang w:val="es-ES_tradnl"/>
        </w:rPr>
      </w:pPr>
      <w:r>
        <w:rPr>
          <w:rFonts w:ascii="Arial" w:hAnsi="Arial" w:cs="Arial"/>
          <w:color w:val="000000" w:themeColor="text1"/>
          <w:sz w:val="22"/>
          <w:szCs w:val="22"/>
          <w:lang w:val="es-ES_tradnl"/>
        </w:rPr>
        <w:t>U</w:t>
      </w:r>
      <w:r w:rsidR="00827203" w:rsidRPr="00A51520">
        <w:rPr>
          <w:rFonts w:ascii="Arial" w:hAnsi="Arial" w:cs="Arial"/>
          <w:color w:val="000000" w:themeColor="text1"/>
          <w:sz w:val="22"/>
          <w:szCs w:val="22"/>
          <w:lang w:val="es-ES_tradnl"/>
        </w:rPr>
        <w:t xml:space="preserve">sted </w:t>
      </w:r>
      <w:r w:rsidR="0065218F">
        <w:rPr>
          <w:rFonts w:ascii="Arial" w:hAnsi="Arial" w:cs="Arial"/>
          <w:color w:val="000000" w:themeColor="text1"/>
          <w:sz w:val="22"/>
          <w:szCs w:val="22"/>
          <w:lang w:val="es-ES_tradnl"/>
        </w:rPr>
        <w:t xml:space="preserve">realiza </w:t>
      </w:r>
      <w:r w:rsidR="00026092" w:rsidRPr="00A51520">
        <w:rPr>
          <w:rFonts w:ascii="Arial" w:hAnsi="Arial" w:cs="Arial"/>
          <w:color w:val="000000" w:themeColor="text1"/>
          <w:sz w:val="22"/>
          <w:szCs w:val="22"/>
          <w:lang w:val="es-ES_tradnl"/>
        </w:rPr>
        <w:t>la</w:t>
      </w:r>
      <w:r w:rsidR="0065218F">
        <w:rPr>
          <w:rFonts w:ascii="Arial" w:hAnsi="Arial" w:cs="Arial"/>
          <w:color w:val="000000" w:themeColor="text1"/>
          <w:sz w:val="22"/>
          <w:szCs w:val="22"/>
          <w:lang w:val="es-ES_tradnl"/>
        </w:rPr>
        <w:t>s</w:t>
      </w:r>
      <w:r w:rsidR="00026092" w:rsidRPr="00A51520">
        <w:rPr>
          <w:rFonts w:ascii="Arial" w:hAnsi="Arial" w:cs="Arial"/>
          <w:color w:val="000000" w:themeColor="text1"/>
          <w:sz w:val="22"/>
          <w:szCs w:val="22"/>
          <w:lang w:val="es-ES_tradnl"/>
        </w:rPr>
        <w:t xml:space="preserve"> siguiente</w:t>
      </w:r>
      <w:r w:rsidR="008C5E9A">
        <w:rPr>
          <w:rFonts w:ascii="Arial" w:hAnsi="Arial" w:cs="Arial"/>
          <w:color w:val="000000" w:themeColor="text1"/>
          <w:sz w:val="22"/>
          <w:szCs w:val="22"/>
          <w:lang w:val="es-ES_tradnl"/>
        </w:rPr>
        <w:t>s</w:t>
      </w:r>
      <w:r w:rsidR="00AC4D8F"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preguntas</w:t>
      </w:r>
      <w:r w:rsidR="008C5E9A">
        <w:rPr>
          <w:rFonts w:ascii="Arial" w:hAnsi="Arial" w:cs="Arial"/>
          <w:sz w:val="22"/>
          <w:lang w:val="es-ES_tradnl"/>
        </w:rPr>
        <w:t xml:space="preserve">: </w:t>
      </w:r>
    </w:p>
    <w:p w14:paraId="339B7CE9" w14:textId="38470F0F" w:rsidR="00150A26" w:rsidRPr="00150A26" w:rsidRDefault="00150A26" w:rsidP="009E5371">
      <w:pPr>
        <w:spacing w:line="276" w:lineRule="auto"/>
        <w:jc w:val="both"/>
        <w:rPr>
          <w:rFonts w:ascii="Arial" w:hAnsi="Arial" w:cs="Arial"/>
          <w:sz w:val="21"/>
          <w:szCs w:val="21"/>
          <w:lang w:val="es-ES_tradnl"/>
        </w:rPr>
      </w:pPr>
    </w:p>
    <w:p w14:paraId="6A55BBDB" w14:textId="77777777" w:rsidR="00150A26" w:rsidRPr="00150A26" w:rsidRDefault="00150A26" w:rsidP="00150A26">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eastAsia="en-US"/>
        </w:rPr>
        <w:t xml:space="preserve">«1. </w:t>
      </w:r>
      <w:r w:rsidRPr="00150A26">
        <w:rPr>
          <w:rFonts w:ascii="Arial" w:eastAsia="Calibri" w:hAnsi="Arial" w:cs="Arial"/>
          <w:bCs/>
          <w:sz w:val="21"/>
          <w:szCs w:val="21"/>
          <w:lang w:val="es-ES_tradnl" w:eastAsia="en-US"/>
        </w:rPr>
        <w:t>Que la entidad rinda concepto respecto a los efectos que tiene la fusión en la experiencia adquirida por las sociedades que participan en esta operación, tanto si es por absorción como si es para la constitución de una nueva sociedad.</w:t>
      </w:r>
    </w:p>
    <w:p w14:paraId="7614BE4A" w14:textId="77777777" w:rsidR="00150A26" w:rsidRPr="00150A26" w:rsidRDefault="00150A26" w:rsidP="00150A26">
      <w:pPr>
        <w:ind w:left="709" w:right="474"/>
        <w:jc w:val="both"/>
        <w:rPr>
          <w:rFonts w:ascii="Arial" w:eastAsia="Calibri" w:hAnsi="Arial" w:cs="Arial"/>
          <w:bCs/>
          <w:sz w:val="21"/>
          <w:szCs w:val="21"/>
          <w:lang w:val="es-ES_tradnl" w:eastAsia="en-US"/>
        </w:rPr>
      </w:pPr>
    </w:p>
    <w:p w14:paraId="14D505C9" w14:textId="77777777" w:rsidR="00150A26" w:rsidRPr="00150A26" w:rsidRDefault="00150A26" w:rsidP="00150A26">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t xml:space="preserve">2. Que la entidad rinda concepto respecto a la integración que se realiza a través del RUP de la experiencia adquirida por las sociedades que participan en la fusión, y su representación como experiencia de la sociedad absorbente o nueva sociedad. </w:t>
      </w:r>
    </w:p>
    <w:p w14:paraId="4B4BAEE2" w14:textId="77777777" w:rsidR="00150A26" w:rsidRPr="00150A26" w:rsidRDefault="00150A26" w:rsidP="00150A26">
      <w:pPr>
        <w:ind w:left="709" w:right="474"/>
        <w:jc w:val="both"/>
        <w:rPr>
          <w:rFonts w:ascii="Arial" w:eastAsia="Calibri" w:hAnsi="Arial" w:cs="Arial"/>
          <w:bCs/>
          <w:sz w:val="21"/>
          <w:szCs w:val="21"/>
          <w:lang w:val="es-ES_tradnl" w:eastAsia="en-US"/>
        </w:rPr>
      </w:pPr>
    </w:p>
    <w:p w14:paraId="3180FD27" w14:textId="77777777" w:rsidR="00150A26" w:rsidRPr="00150A26" w:rsidRDefault="00150A26" w:rsidP="00150A26">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t xml:space="preserve">3. Que la entidad rinda concepto acerca de la acreditación de experiencia de las sociedades participantes en la fusión, cuando es presentada por la nueva sociedad o la sociedad absorbente como requisito habilitante en un proceso de selección. </w:t>
      </w:r>
    </w:p>
    <w:p w14:paraId="3C7C8DF8" w14:textId="77777777" w:rsidR="00150A26" w:rsidRPr="00150A26" w:rsidRDefault="00150A26" w:rsidP="00150A26">
      <w:pPr>
        <w:ind w:left="709" w:right="474"/>
        <w:jc w:val="both"/>
        <w:rPr>
          <w:rFonts w:ascii="Arial" w:eastAsia="Calibri" w:hAnsi="Arial" w:cs="Arial"/>
          <w:bCs/>
          <w:sz w:val="21"/>
          <w:szCs w:val="21"/>
          <w:lang w:val="es-ES_tradnl" w:eastAsia="en-US"/>
        </w:rPr>
      </w:pPr>
    </w:p>
    <w:p w14:paraId="115F43E7" w14:textId="77777777" w:rsidR="00150A26" w:rsidRPr="00150A26" w:rsidRDefault="00150A26" w:rsidP="00150A26">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lastRenderedPageBreak/>
        <w:t xml:space="preserve">4. Que la entidad rinda concepto con respecto a la divisibilidad y transferencia de la experiencia adquirida por una sociedad que a través de la escisión busca asignarla en sociedad beneficiarias. </w:t>
      </w:r>
    </w:p>
    <w:p w14:paraId="0EBCC279" w14:textId="77777777" w:rsidR="00150A26" w:rsidRPr="00150A26" w:rsidRDefault="00150A26" w:rsidP="00150A26">
      <w:pPr>
        <w:ind w:left="709" w:right="474"/>
        <w:jc w:val="both"/>
        <w:rPr>
          <w:rFonts w:ascii="Arial" w:eastAsia="Calibri" w:hAnsi="Arial" w:cs="Arial"/>
          <w:bCs/>
          <w:sz w:val="21"/>
          <w:szCs w:val="21"/>
          <w:lang w:val="es-ES_tradnl" w:eastAsia="en-US"/>
        </w:rPr>
      </w:pPr>
    </w:p>
    <w:p w14:paraId="19198E9D" w14:textId="35719E64" w:rsidR="00150A26" w:rsidRPr="0091736C" w:rsidRDefault="00150A26" w:rsidP="0091736C">
      <w:pPr>
        <w:ind w:left="709" w:right="474"/>
        <w:jc w:val="both"/>
        <w:rPr>
          <w:rFonts w:ascii="Arial" w:eastAsia="Calibri" w:hAnsi="Arial" w:cs="Arial"/>
          <w:bCs/>
          <w:sz w:val="21"/>
          <w:szCs w:val="21"/>
          <w:lang w:eastAsia="en-US"/>
        </w:rPr>
      </w:pPr>
      <w:r w:rsidRPr="00150A26">
        <w:rPr>
          <w:rFonts w:ascii="Arial" w:eastAsia="Calibri" w:hAnsi="Arial" w:cs="Arial"/>
          <w:bCs/>
          <w:sz w:val="21"/>
          <w:szCs w:val="21"/>
          <w:lang w:val="es-ES_tradnl" w:eastAsia="en-US"/>
        </w:rPr>
        <w:t>5. Que se sirva la entidad de poner a disposición de este peticionario los fundamentos en derecho, jurisprudencia, conceptos y demás aplicables a los temas indagados en el presente documento</w:t>
      </w:r>
      <w:r w:rsidRPr="00150A26">
        <w:rPr>
          <w:rFonts w:ascii="Arial" w:eastAsia="Calibri" w:hAnsi="Arial" w:cs="Arial"/>
          <w:bCs/>
          <w:sz w:val="21"/>
          <w:szCs w:val="21"/>
          <w:lang w:eastAsia="en-US"/>
        </w:rPr>
        <w:t>.</w:t>
      </w:r>
      <w:r w:rsidRPr="00150A26">
        <w:rPr>
          <w:rFonts w:ascii="Arial" w:eastAsia="Calibri" w:hAnsi="Arial" w:cs="Arial"/>
          <w:color w:val="000000"/>
          <w:sz w:val="21"/>
          <w:szCs w:val="21"/>
          <w:lang w:val="es-ES_tradnl" w:eastAsia="en-US"/>
        </w:rPr>
        <w:t>»</w:t>
      </w:r>
    </w:p>
    <w:p w14:paraId="05F0DBB2" w14:textId="77777777" w:rsidR="0065218F" w:rsidRPr="0065218F" w:rsidRDefault="0065218F" w:rsidP="009E5371">
      <w:pPr>
        <w:spacing w:line="276" w:lineRule="auto"/>
        <w:ind w:right="476"/>
        <w:jc w:val="both"/>
        <w:rPr>
          <w:rFonts w:ascii="Arial" w:eastAsia="Calibri" w:hAnsi="Arial" w:cs="Arial"/>
          <w:bCs/>
          <w:sz w:val="20"/>
          <w:szCs w:val="20"/>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634898A2" w14:textId="77777777" w:rsidR="009E5371" w:rsidRDefault="009E5371" w:rsidP="009E5371">
      <w:pPr>
        <w:spacing w:line="276" w:lineRule="auto"/>
        <w:jc w:val="both"/>
        <w:rPr>
          <w:rFonts w:ascii="Arial" w:eastAsia="Calibri" w:hAnsi="Arial" w:cs="Arial"/>
          <w:color w:val="000000" w:themeColor="text1"/>
          <w:sz w:val="22"/>
          <w:szCs w:val="22"/>
        </w:rPr>
      </w:pPr>
    </w:p>
    <w:p w14:paraId="569AE3ED" w14:textId="3BBC2715" w:rsidR="0091736C" w:rsidRPr="0091736C" w:rsidRDefault="0091736C" w:rsidP="0091736C">
      <w:pPr>
        <w:spacing w:before="120" w:line="276" w:lineRule="auto"/>
        <w:jc w:val="both"/>
        <w:rPr>
          <w:rFonts w:ascii="Arial" w:eastAsia="Calibri" w:hAnsi="Arial" w:cs="Arial"/>
          <w:color w:val="000000" w:themeColor="text1"/>
          <w:sz w:val="22"/>
          <w:szCs w:val="22"/>
        </w:rPr>
      </w:pPr>
      <w:r w:rsidRPr="0091736C">
        <w:rPr>
          <w:rFonts w:ascii="Arial" w:eastAsia="Calibri" w:hAnsi="Arial" w:cs="Arial"/>
          <w:color w:val="000000" w:themeColor="text1"/>
          <w:sz w:val="22"/>
          <w:szCs w:val="22"/>
        </w:rPr>
        <w:t>Para emitir una respuesta, esta Subdirección analizará previamente los siguientes temas: i) el concepto de experiencia en la contratación pública y ii) los efectos de las figuras y reformas estatutarias sobre la experiencia de las sociedades comerciales en la contratación estatal</w:t>
      </w:r>
      <w:r>
        <w:rPr>
          <w:rFonts w:ascii="Arial" w:eastAsia="Calibri" w:hAnsi="Arial" w:cs="Arial"/>
          <w:color w:val="000000" w:themeColor="text1"/>
          <w:sz w:val="22"/>
          <w:szCs w:val="22"/>
        </w:rPr>
        <w:t xml:space="preserve">. </w:t>
      </w:r>
    </w:p>
    <w:p w14:paraId="4CFCF200" w14:textId="06B8F554" w:rsidR="00E9592E" w:rsidRPr="0091736C" w:rsidRDefault="0091736C" w:rsidP="0091736C">
      <w:pPr>
        <w:spacing w:before="120" w:line="276" w:lineRule="auto"/>
        <w:ind w:firstLine="709"/>
        <w:jc w:val="both"/>
        <w:rPr>
          <w:rFonts w:ascii="Arial" w:eastAsia="Calibri" w:hAnsi="Arial" w:cs="Arial"/>
          <w:sz w:val="22"/>
        </w:rPr>
      </w:pPr>
      <w:r w:rsidRPr="00DC5CAD">
        <w:rPr>
          <w:rFonts w:ascii="Arial" w:eastAsia="Calibri" w:hAnsi="Arial" w:cs="Arial"/>
          <w:sz w:val="22"/>
        </w:rPr>
        <w:t xml:space="preserve">La Agencia Nacional de Contratación Pública </w:t>
      </w:r>
      <w:r>
        <w:rPr>
          <w:rFonts w:ascii="Arial" w:eastAsia="Calibri" w:hAnsi="Arial" w:cs="Arial"/>
          <w:sz w:val="22"/>
        </w:rPr>
        <w:t>–</w:t>
      </w:r>
      <w:r w:rsidRPr="00DC5CAD">
        <w:rPr>
          <w:rFonts w:ascii="Arial" w:eastAsia="Calibri" w:hAnsi="Arial" w:cs="Arial"/>
          <w:sz w:val="22"/>
        </w:rPr>
        <w:t xml:space="preserve"> Colombia Compra Eficiente,</w:t>
      </w:r>
      <w:r>
        <w:rPr>
          <w:rFonts w:ascii="Arial" w:eastAsia="Calibri" w:hAnsi="Arial" w:cs="Arial"/>
          <w:sz w:val="22"/>
        </w:rPr>
        <w:t xml:space="preserve"> </w:t>
      </w:r>
      <w:r w:rsidRPr="00DC5CAD">
        <w:rPr>
          <w:rFonts w:ascii="Arial" w:eastAsia="Calibri" w:hAnsi="Arial" w:cs="Arial"/>
          <w:sz w:val="22"/>
        </w:rPr>
        <w:t>e</w:t>
      </w:r>
      <w:r>
        <w:rPr>
          <w:rFonts w:ascii="Arial" w:eastAsia="Calibri" w:hAnsi="Arial" w:cs="Arial"/>
          <w:sz w:val="22"/>
        </w:rPr>
        <w:t xml:space="preserve">n el concepto </w:t>
      </w:r>
      <w:r w:rsidRPr="00DC5CAD">
        <w:rPr>
          <w:rFonts w:ascii="Arial" w:eastAsia="Calibri" w:hAnsi="Arial" w:cs="Arial"/>
          <w:sz w:val="22"/>
        </w:rPr>
        <w:t>C - 002 del 20 de febrero de 2020</w:t>
      </w:r>
      <w:r>
        <w:rPr>
          <w:rFonts w:ascii="Arial" w:eastAsia="Calibri" w:hAnsi="Arial" w:cs="Arial"/>
          <w:sz w:val="22"/>
        </w:rPr>
        <w:t xml:space="preserve">, </w:t>
      </w:r>
      <w:r w:rsidRPr="00DC5CAD">
        <w:rPr>
          <w:rFonts w:ascii="Arial" w:eastAsia="Calibri" w:hAnsi="Arial" w:cs="Arial"/>
          <w:sz w:val="22"/>
        </w:rPr>
        <w:t>reiterad</w:t>
      </w:r>
      <w:r>
        <w:rPr>
          <w:rFonts w:ascii="Arial" w:eastAsia="Calibri" w:hAnsi="Arial" w:cs="Arial"/>
          <w:sz w:val="22"/>
        </w:rPr>
        <w:t>o</w:t>
      </w:r>
      <w:r w:rsidRPr="00DC5CAD">
        <w:rPr>
          <w:rFonts w:ascii="Arial" w:eastAsia="Calibri" w:hAnsi="Arial" w:cs="Arial"/>
          <w:sz w:val="22"/>
        </w:rPr>
        <w:t xml:space="preserve"> en </w:t>
      </w:r>
      <w:r>
        <w:rPr>
          <w:rFonts w:ascii="Arial" w:eastAsia="Calibri" w:hAnsi="Arial" w:cs="Arial"/>
          <w:sz w:val="22"/>
        </w:rPr>
        <w:t>los</w:t>
      </w:r>
      <w:r w:rsidRPr="00DC5CAD">
        <w:rPr>
          <w:rFonts w:ascii="Arial" w:eastAsia="Calibri" w:hAnsi="Arial" w:cs="Arial"/>
          <w:sz w:val="22"/>
        </w:rPr>
        <w:t xml:space="preserve"> concepto</w:t>
      </w:r>
      <w:r>
        <w:rPr>
          <w:rFonts w:ascii="Arial" w:eastAsia="Calibri" w:hAnsi="Arial" w:cs="Arial"/>
          <w:sz w:val="22"/>
        </w:rPr>
        <w:t>s</w:t>
      </w:r>
      <w:r w:rsidRPr="00DC5CAD">
        <w:rPr>
          <w:rFonts w:ascii="Arial" w:eastAsia="Calibri" w:hAnsi="Arial" w:cs="Arial"/>
          <w:sz w:val="22"/>
        </w:rPr>
        <w:t xml:space="preserve"> C-491 del 27 de julio de 2020</w:t>
      </w:r>
      <w:r>
        <w:rPr>
          <w:rFonts w:ascii="Arial" w:eastAsia="Calibri" w:hAnsi="Arial" w:cs="Arial"/>
          <w:sz w:val="22"/>
        </w:rPr>
        <w:t>, C-350 del 1 de junio de 2020, C-584 del 31 de agosto de 2020, C-002 del 9 de febrero de 2021, C-115 del 29 de marzo de 2021, C-343 del 13 de julio de 2021</w:t>
      </w:r>
      <w:r w:rsidR="00C6624E">
        <w:rPr>
          <w:rFonts w:ascii="Arial" w:eastAsia="Calibri" w:hAnsi="Arial" w:cs="Arial"/>
          <w:sz w:val="22"/>
        </w:rPr>
        <w:t xml:space="preserve"> y</w:t>
      </w:r>
      <w:r>
        <w:rPr>
          <w:rFonts w:ascii="Arial" w:eastAsia="Calibri" w:hAnsi="Arial" w:cs="Arial"/>
          <w:sz w:val="22"/>
        </w:rPr>
        <w:t xml:space="preserve"> C-342 del 13 de julio de 2021, se pronunció sobre el tema objeto de esta consulta, señalando</w:t>
      </w:r>
      <w:r w:rsidRPr="00DC5CAD">
        <w:rPr>
          <w:rFonts w:ascii="Arial" w:eastAsia="Calibri" w:hAnsi="Arial" w:cs="Arial"/>
          <w:sz w:val="22"/>
        </w:rPr>
        <w:t xml:space="preserve"> que es viable la transferencia de experiencia en la transformación y en la fusión, pero no en la escisión</w:t>
      </w:r>
      <w:r w:rsidRPr="0091736C">
        <w:rPr>
          <w:rFonts w:ascii="Arial" w:eastAsia="Calibri" w:hAnsi="Arial" w:cs="Arial"/>
          <w:color w:val="000000" w:themeColor="text1"/>
          <w:sz w:val="22"/>
          <w:szCs w:val="22"/>
        </w:rPr>
        <w:t>. La tesis expuesta en estos conceptos se reitera a continuación</w:t>
      </w:r>
      <w:r w:rsidR="00E9592E">
        <w:rPr>
          <w:rFonts w:ascii="Arial" w:eastAsia="Calibri" w:hAnsi="Arial" w:cs="Arial"/>
          <w:sz w:val="22"/>
          <w:szCs w:val="22"/>
          <w:lang w:val="es-ES_tradnl"/>
        </w:rPr>
        <w:t xml:space="preserve">. </w:t>
      </w:r>
    </w:p>
    <w:p w14:paraId="27DA9246" w14:textId="77777777" w:rsidR="00BA79B8" w:rsidRPr="001C75C1" w:rsidRDefault="00BA79B8" w:rsidP="002E70BF">
      <w:pPr>
        <w:spacing w:line="276" w:lineRule="auto"/>
        <w:jc w:val="both"/>
        <w:rPr>
          <w:rFonts w:ascii="Arial" w:eastAsia="Calibri" w:hAnsi="Arial" w:cs="Arial"/>
          <w:color w:val="000000" w:themeColor="text1"/>
          <w:sz w:val="22"/>
          <w:szCs w:val="22"/>
          <w:lang w:val="es-ES_tradnl"/>
        </w:rPr>
      </w:pPr>
    </w:p>
    <w:p w14:paraId="2DF0049B" w14:textId="77777777" w:rsidR="0091736C" w:rsidRPr="0091736C" w:rsidRDefault="00063085" w:rsidP="0091736C">
      <w:pPr>
        <w:spacing w:line="276" w:lineRule="auto"/>
        <w:jc w:val="both"/>
        <w:rPr>
          <w:rFonts w:ascii="Arial" w:eastAsia="Calibri" w:hAnsi="Arial" w:cs="Arial"/>
          <w:b/>
          <w:sz w:val="22"/>
        </w:rPr>
      </w:pPr>
      <w:r>
        <w:rPr>
          <w:rFonts w:ascii="Arial" w:eastAsia="Calibri" w:hAnsi="Arial" w:cs="Arial"/>
          <w:b/>
          <w:bCs/>
          <w:color w:val="000000" w:themeColor="text1"/>
          <w:sz w:val="22"/>
          <w:szCs w:val="22"/>
          <w:lang w:val="es-ES_tradnl"/>
        </w:rPr>
        <w:t>2.1</w:t>
      </w:r>
      <w:r w:rsidR="00CF148D">
        <w:rPr>
          <w:rFonts w:ascii="Arial" w:eastAsia="Calibri" w:hAnsi="Arial" w:cs="Arial"/>
          <w:b/>
          <w:bCs/>
          <w:color w:val="000000" w:themeColor="text1"/>
          <w:sz w:val="22"/>
          <w:szCs w:val="22"/>
          <w:lang w:val="es-ES_tradnl"/>
        </w:rPr>
        <w:t xml:space="preserve"> </w:t>
      </w:r>
      <w:r w:rsidR="0091736C" w:rsidRPr="0091736C">
        <w:rPr>
          <w:rFonts w:ascii="Arial" w:eastAsia="Calibri" w:hAnsi="Arial" w:cs="Arial"/>
          <w:b/>
          <w:sz w:val="22"/>
        </w:rPr>
        <w:t>Aproximación general al concepto de experiencia en la contratación pública</w:t>
      </w:r>
    </w:p>
    <w:p w14:paraId="6BED8479" w14:textId="77777777" w:rsidR="0091736C" w:rsidRPr="0091736C" w:rsidRDefault="0091736C" w:rsidP="0091736C">
      <w:pPr>
        <w:spacing w:line="276" w:lineRule="auto"/>
        <w:jc w:val="both"/>
        <w:rPr>
          <w:rFonts w:ascii="Arial" w:eastAsia="Calibri" w:hAnsi="Arial" w:cs="Arial"/>
          <w:b/>
          <w:sz w:val="22"/>
        </w:rPr>
      </w:pPr>
    </w:p>
    <w:p w14:paraId="120011D1" w14:textId="77777777" w:rsidR="0091736C" w:rsidRPr="0091736C" w:rsidRDefault="0091736C" w:rsidP="0091736C">
      <w:pPr>
        <w:spacing w:line="276" w:lineRule="auto"/>
        <w:jc w:val="both"/>
        <w:rPr>
          <w:rFonts w:ascii="Arial" w:eastAsia="Calibri" w:hAnsi="Arial" w:cs="Arial"/>
          <w:sz w:val="22"/>
          <w:highlight w:val="yellow"/>
        </w:rPr>
      </w:pPr>
      <w:bookmarkStart w:id="5" w:name="_Hlk113212496"/>
      <w:r w:rsidRPr="0091736C">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91736C">
        <w:rPr>
          <w:rFonts w:ascii="Arial" w:eastAsia="Calibri" w:hAnsi="Arial" w:cs="Arial"/>
          <w:sz w:val="22"/>
          <w:vertAlign w:val="superscript"/>
        </w:rPr>
        <w:footnoteReference w:id="2"/>
      </w:r>
      <w:r w:rsidRPr="0091736C">
        <w:rPr>
          <w:rFonts w:ascii="Arial" w:eastAsia="Calibri" w:hAnsi="Arial" w:cs="Arial"/>
          <w:sz w:val="22"/>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w:t>
      </w:r>
      <w:r w:rsidRPr="0091736C">
        <w:rPr>
          <w:rFonts w:ascii="Arial" w:eastAsia="Calibri" w:hAnsi="Arial" w:cs="Arial"/>
          <w:sz w:val="22"/>
        </w:rPr>
        <w:lastRenderedPageBreak/>
        <w:t>2.2.1.1.1.6.2. del Decreto 1082 de 2015, debe tener en cuenta el estudio del sector y sus componentes, como la identificación de riesgos, así como el mercado y precio del bien, obra o servicio a contratar</w:t>
      </w:r>
      <w:r w:rsidRPr="0091736C">
        <w:rPr>
          <w:rFonts w:ascii="Arial" w:eastAsia="Calibri" w:hAnsi="Arial" w:cs="Arial"/>
          <w:sz w:val="22"/>
          <w:vertAlign w:val="superscript"/>
        </w:rPr>
        <w:footnoteReference w:id="3"/>
      </w:r>
      <w:r w:rsidRPr="0091736C">
        <w:rPr>
          <w:rFonts w:ascii="Arial" w:eastAsia="Calibri" w:hAnsi="Arial" w:cs="Arial"/>
          <w:sz w:val="22"/>
        </w:rPr>
        <w:t>.</w:t>
      </w:r>
    </w:p>
    <w:p w14:paraId="27B83C25" w14:textId="77777777"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La experiencia que se deriva de los contratos que el proponente ha celebrado y ejecutado con diferentes contratantes, sin importar la naturaleza de estos, se verifica con el Registro Único de Proponentes – RUP</w:t>
      </w:r>
      <w:r w:rsidRPr="0091736C">
        <w:rPr>
          <w:rFonts w:ascii="Arial" w:eastAsia="Calibri" w:hAnsi="Arial" w:cs="Arial"/>
          <w:sz w:val="22"/>
          <w:vertAlign w:val="superscript"/>
        </w:rPr>
        <w:footnoteReference w:id="4"/>
      </w:r>
      <w:r w:rsidRPr="0091736C">
        <w:rPr>
          <w:rFonts w:ascii="Arial" w:eastAsia="Calibri" w:hAnsi="Arial" w:cs="Arial"/>
          <w:sz w:val="22"/>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91736C">
        <w:rPr>
          <w:rFonts w:ascii="Arial" w:eastAsia="Calibri" w:hAnsi="Arial" w:cs="Arial"/>
          <w:sz w:val="22"/>
          <w:vertAlign w:val="superscript"/>
        </w:rPr>
        <w:footnoteReference w:id="5"/>
      </w:r>
      <w:r w:rsidRPr="0091736C">
        <w:rPr>
          <w:rFonts w:ascii="Arial" w:eastAsia="Calibri" w:hAnsi="Arial" w:cs="Arial"/>
          <w:sz w:val="22"/>
        </w:rPr>
        <w:t>.</w:t>
      </w:r>
    </w:p>
    <w:p w14:paraId="61E81A47" w14:textId="77777777" w:rsidR="0091736C" w:rsidRPr="0091736C" w:rsidRDefault="0091736C" w:rsidP="0091736C">
      <w:pPr>
        <w:spacing w:line="276" w:lineRule="auto"/>
        <w:ind w:firstLine="708"/>
        <w:jc w:val="both"/>
        <w:rPr>
          <w:rFonts w:ascii="Arial" w:eastAsia="Calibri" w:hAnsi="Arial" w:cs="Arial"/>
          <w:sz w:val="22"/>
        </w:rPr>
      </w:pPr>
      <w:r w:rsidRPr="0091736C">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91736C">
        <w:rPr>
          <w:rFonts w:ascii="Arial" w:eastAsia="Calibri" w:hAnsi="Arial" w:cs="Arial"/>
          <w:sz w:val="22"/>
          <w:vertAlign w:val="superscript"/>
        </w:rPr>
        <w:footnoteReference w:id="6"/>
      </w:r>
      <w:r w:rsidRPr="0091736C">
        <w:rPr>
          <w:rFonts w:ascii="Arial" w:eastAsia="Calibri" w:hAnsi="Arial" w:cs="Arial"/>
          <w:sz w:val="22"/>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w:t>
      </w:r>
      <w:r w:rsidRPr="0091736C">
        <w:rPr>
          <w:rFonts w:ascii="Arial" w:eastAsia="Calibri" w:hAnsi="Arial" w:cs="Arial"/>
          <w:sz w:val="22"/>
        </w:rPr>
        <w:lastRenderedPageBreak/>
        <w:t>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2044F089" w14:textId="26FEDC21" w:rsidR="0091736C" w:rsidRPr="0091736C" w:rsidRDefault="0091736C" w:rsidP="0091736C">
      <w:pPr>
        <w:spacing w:before="120" w:line="276" w:lineRule="auto"/>
        <w:ind w:firstLine="709"/>
        <w:jc w:val="both"/>
        <w:rPr>
          <w:rFonts w:ascii="Arial" w:eastAsia="Calibri" w:hAnsi="Arial" w:cs="Arial"/>
          <w:sz w:val="22"/>
        </w:rPr>
      </w:pPr>
      <w:r w:rsidRPr="0091736C">
        <w:rPr>
          <w:rFonts w:ascii="Arial" w:eastAsia="Calibri" w:hAnsi="Arial" w:cs="Arial"/>
          <w:sz w:val="22"/>
        </w:rPr>
        <w:t xml:space="preserve">La Agencia Nacional de Contratación Pública - Colombia Compra Eficiente puso a disposición de los interesados del Sistema de Compra Pública el </w:t>
      </w:r>
      <w:r w:rsidRPr="0091736C">
        <w:rPr>
          <w:rFonts w:ascii="Arial" w:eastAsia="Calibri" w:hAnsi="Arial" w:cs="Arial"/>
          <w:i/>
          <w:iCs/>
          <w:sz w:val="22"/>
        </w:rPr>
        <w:t>Manual para determinar y verificar requisitos habilitantes en los procesos de contratación</w:t>
      </w:r>
      <w:r w:rsidR="008221EA">
        <w:rPr>
          <w:rStyle w:val="Refdenotaalpie"/>
          <w:rFonts w:ascii="Arial" w:eastAsia="Calibri" w:hAnsi="Arial" w:cs="Arial"/>
          <w:i/>
          <w:iCs/>
          <w:sz w:val="22"/>
        </w:rPr>
        <w:footnoteReference w:id="7"/>
      </w:r>
      <w:r w:rsidRPr="0091736C">
        <w:rPr>
          <w:rFonts w:ascii="Arial" w:eastAsia="Calibri" w:hAnsi="Arial" w:cs="Arial"/>
          <w:sz w:val="22"/>
        </w:rPr>
        <w:t>. En dicho Manual se establecen las definiciones de cada requisito habilitante y se dan lineamientos orientadores sobre lo que las entidades pueden hacer para configurarlos. Sobre el particular, para la experiencia</w:t>
      </w:r>
      <w:r w:rsidR="00FC58B0">
        <w:rPr>
          <w:rFonts w:ascii="Arial" w:eastAsia="Calibri" w:hAnsi="Arial" w:cs="Arial"/>
          <w:sz w:val="22"/>
        </w:rPr>
        <w:t xml:space="preserve"> </w:t>
      </w:r>
      <w:r w:rsidRPr="0091736C">
        <w:rPr>
          <w:rFonts w:ascii="Arial" w:eastAsia="Calibri" w:hAnsi="Arial" w:cs="Arial"/>
          <w:sz w:val="22"/>
        </w:rPr>
        <w:t>como requisito habilitante el Manual se centra en una de sus cualidades y es que es personal, lo cual significa que quien tiene la experiencia lo hace en razón de su participación, con anterioridad, en actividades que le permitieron conocer cómo ejecutar el objeto contractual que la entidad pretende satisfacer ahora</w:t>
      </w:r>
      <w:r w:rsidRPr="0091736C">
        <w:rPr>
          <w:rFonts w:ascii="Arial" w:eastAsia="Calibri" w:hAnsi="Arial" w:cs="Arial"/>
          <w:sz w:val="22"/>
          <w:vertAlign w:val="superscript"/>
        </w:rPr>
        <w:footnoteReference w:id="8"/>
      </w:r>
      <w:r w:rsidRPr="0091736C">
        <w:rPr>
          <w:rFonts w:ascii="Arial" w:eastAsia="Calibri" w:hAnsi="Arial" w:cs="Arial"/>
          <w:sz w:val="22"/>
        </w:rPr>
        <w:t>.</w:t>
      </w:r>
    </w:p>
    <w:p w14:paraId="183C2705" w14:textId="60C4A7EB" w:rsidR="00753E96" w:rsidRDefault="0091736C" w:rsidP="00753E96">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w:t>
      </w:r>
      <w:r w:rsidRPr="006F1606">
        <w:rPr>
          <w:rFonts w:ascii="Arial" w:eastAsia="Calibri" w:hAnsi="Arial" w:cs="Arial"/>
          <w:sz w:val="22"/>
          <w:szCs w:val="22"/>
        </w:rPr>
        <w:t xml:space="preserve">vez. </w:t>
      </w:r>
      <w:bookmarkStart w:id="8" w:name="_Hlk113212591"/>
      <w:r w:rsidR="00753E96" w:rsidRPr="006F1606">
        <w:rPr>
          <w:rFonts w:ascii="Arial" w:eastAsia="Calibri" w:hAnsi="Arial" w:cs="Arial"/>
          <w:sz w:val="22"/>
          <w:szCs w:val="22"/>
        </w:rPr>
        <w:t xml:space="preserve">Al respecto, la jurisprudencia ha señalado que la experiencia acreditable </w:t>
      </w:r>
      <w:r w:rsidR="00753E96" w:rsidRPr="006F1606">
        <w:rPr>
          <w:rFonts w:ascii="Arial" w:hAnsi="Arial" w:cs="Arial"/>
          <w:sz w:val="22"/>
          <w:szCs w:val="22"/>
        </w:rPr>
        <w:t>«</w:t>
      </w:r>
      <w:r w:rsidR="00753E96" w:rsidRPr="006F1606">
        <w:rPr>
          <w:rFonts w:ascii="Arial" w:eastAsia="Calibri" w:hAnsi="Arial" w:cs="Arial"/>
          <w:sz w:val="22"/>
          <w:szCs w:val="22"/>
        </w:rPr>
        <w:t xml:space="preserve">no es más que un valor agregado para el contratista en consideración al registro documentado del hecho de haberlo ejecutado, es decir de haber cumplido las consideraciones pactadas, asunto que alude a un </w:t>
      </w:r>
      <w:r w:rsidR="00753E96" w:rsidRPr="00CE3AF1">
        <w:rPr>
          <w:rFonts w:ascii="Arial" w:eastAsia="Calibri" w:hAnsi="Arial" w:cs="Arial"/>
          <w:sz w:val="22"/>
          <w:szCs w:val="22"/>
        </w:rPr>
        <w:t>estado adquirido por el contratante en función de la real ejecución que han hecho del contrato</w:t>
      </w:r>
      <w:r w:rsidR="00753E96" w:rsidRPr="006F1606">
        <w:rPr>
          <w:rFonts w:ascii="Arial" w:eastAsia="Calibri" w:hAnsi="Arial" w:cs="Arial"/>
          <w:sz w:val="22"/>
          <w:szCs w:val="22"/>
        </w:rPr>
        <w:t xml:space="preserve">. </w:t>
      </w:r>
      <w:r w:rsidR="006F1606" w:rsidRPr="006F1606">
        <w:rPr>
          <w:rFonts w:ascii="Arial" w:eastAsia="Calibri" w:hAnsi="Arial" w:cs="Arial"/>
          <w:sz w:val="22"/>
          <w:szCs w:val="22"/>
        </w:rPr>
        <w:t>L</w:t>
      </w:r>
      <w:r w:rsidR="00753E96" w:rsidRPr="006F1606">
        <w:rPr>
          <w:rFonts w:ascii="Arial" w:eastAsia="Calibri" w:hAnsi="Arial" w:cs="Arial"/>
          <w:sz w:val="22"/>
          <w:szCs w:val="22"/>
        </w:rPr>
        <w:t>a experiencia predicada de un sujeto comprende unas competencias o habilidades que este obtuvo, como consecuencia de la ejecución del contrato […]</w:t>
      </w:r>
      <w:bookmarkStart w:id="9" w:name="_Hlk113199905"/>
      <w:r w:rsidR="00753E96" w:rsidRPr="006F1606">
        <w:rPr>
          <w:rFonts w:ascii="Arial" w:hAnsi="Arial" w:cs="Arial"/>
          <w:sz w:val="22"/>
          <w:szCs w:val="22"/>
        </w:rPr>
        <w:t>»</w:t>
      </w:r>
      <w:bookmarkEnd w:id="9"/>
      <w:r w:rsidR="00C108C4">
        <w:rPr>
          <w:rStyle w:val="Refdenotaalpie"/>
          <w:rFonts w:ascii="Arial" w:hAnsi="Arial" w:cs="Arial"/>
          <w:sz w:val="22"/>
          <w:szCs w:val="22"/>
        </w:rPr>
        <w:footnoteReference w:id="9"/>
      </w:r>
      <w:r w:rsidR="006F1606" w:rsidRPr="006F1606">
        <w:rPr>
          <w:rFonts w:ascii="Arial" w:hAnsi="Arial" w:cs="Arial"/>
          <w:sz w:val="22"/>
          <w:szCs w:val="22"/>
        </w:rPr>
        <w:t>.</w:t>
      </w:r>
      <w:r w:rsidR="00CE3AF1">
        <w:rPr>
          <w:rFonts w:ascii="Arial" w:hAnsi="Arial" w:cs="Arial"/>
          <w:sz w:val="22"/>
          <w:szCs w:val="22"/>
        </w:rPr>
        <w:t xml:space="preserve"> En tal sentido, la ejecución del contrato </w:t>
      </w:r>
      <w:r w:rsidR="00CE3AF1" w:rsidRPr="006F1606">
        <w:rPr>
          <w:rFonts w:ascii="Arial" w:hAnsi="Arial" w:cs="Arial"/>
          <w:sz w:val="22"/>
          <w:szCs w:val="22"/>
        </w:rPr>
        <w:t>«</w:t>
      </w:r>
      <w:r w:rsidR="00CE3AF1">
        <w:rPr>
          <w:rFonts w:ascii="Arial" w:hAnsi="Arial" w:cs="Arial"/>
          <w:sz w:val="22"/>
          <w:szCs w:val="22"/>
        </w:rPr>
        <w:t>se revela como un aspecto inherente a la persona que lo ejecutó</w:t>
      </w:r>
      <w:r w:rsidR="00CE3AF1" w:rsidRPr="006F1606">
        <w:rPr>
          <w:rFonts w:ascii="Arial" w:hAnsi="Arial" w:cs="Arial"/>
          <w:sz w:val="22"/>
          <w:szCs w:val="22"/>
        </w:rPr>
        <w:t>»</w:t>
      </w:r>
      <w:r w:rsidR="00CE3AF1">
        <w:rPr>
          <w:rFonts w:ascii="Arial" w:hAnsi="Arial" w:cs="Arial"/>
          <w:sz w:val="22"/>
          <w:szCs w:val="22"/>
        </w:rPr>
        <w:t>, por lo que</w:t>
      </w:r>
      <w:r w:rsidR="006F1606" w:rsidRPr="006F1606">
        <w:rPr>
          <w:rFonts w:ascii="Arial" w:hAnsi="Arial" w:cs="Arial"/>
          <w:sz w:val="22"/>
          <w:szCs w:val="22"/>
        </w:rPr>
        <w:t xml:space="preserve"> </w:t>
      </w:r>
      <w:r w:rsidR="006F1606" w:rsidRPr="006F1606">
        <w:rPr>
          <w:rFonts w:ascii="Arial" w:hAnsi="Arial" w:cs="Arial"/>
          <w:sz w:val="22"/>
          <w:szCs w:val="22"/>
        </w:rPr>
        <w:lastRenderedPageBreak/>
        <w:t>es en virtud de</w:t>
      </w:r>
      <w:r w:rsidR="00CE3AF1">
        <w:rPr>
          <w:rFonts w:ascii="Arial" w:hAnsi="Arial" w:cs="Arial"/>
          <w:sz w:val="22"/>
          <w:szCs w:val="22"/>
        </w:rPr>
        <w:t xml:space="preserve"> dicha</w:t>
      </w:r>
      <w:r w:rsidR="006F1606" w:rsidRPr="006F1606">
        <w:rPr>
          <w:rFonts w:ascii="Arial" w:hAnsi="Arial" w:cs="Arial"/>
          <w:sz w:val="22"/>
          <w:szCs w:val="22"/>
        </w:rPr>
        <w:t xml:space="preserve"> </w:t>
      </w:r>
      <w:r w:rsidR="00CE3AF1">
        <w:rPr>
          <w:rFonts w:ascii="Arial" w:hAnsi="Arial" w:cs="Arial"/>
          <w:sz w:val="22"/>
          <w:szCs w:val="22"/>
        </w:rPr>
        <w:t xml:space="preserve">ejecución </w:t>
      </w:r>
      <w:r w:rsidR="006F1606" w:rsidRPr="006F1606">
        <w:rPr>
          <w:rFonts w:ascii="Arial" w:hAnsi="Arial" w:cs="Arial"/>
          <w:sz w:val="22"/>
          <w:szCs w:val="22"/>
        </w:rPr>
        <w:t>que se obtiene las habilidades y competencia</w:t>
      </w:r>
      <w:r w:rsidR="006F1606">
        <w:rPr>
          <w:rFonts w:ascii="Arial" w:hAnsi="Arial" w:cs="Arial"/>
          <w:sz w:val="22"/>
          <w:szCs w:val="22"/>
        </w:rPr>
        <w:t>s que califican al proponente</w:t>
      </w:r>
      <w:r w:rsidR="00C108C4">
        <w:rPr>
          <w:rFonts w:ascii="Arial" w:hAnsi="Arial" w:cs="Arial"/>
          <w:sz w:val="22"/>
          <w:szCs w:val="22"/>
        </w:rPr>
        <w:t xml:space="preserve">. </w:t>
      </w:r>
    </w:p>
    <w:bookmarkEnd w:id="8"/>
    <w:p w14:paraId="0FCC69FA" w14:textId="59BF3AB5" w:rsidR="0091736C" w:rsidRDefault="0091736C" w:rsidP="00753E96">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300A43C2" w14:textId="1CA04608" w:rsidR="0091736C" w:rsidRPr="0091736C" w:rsidRDefault="00A86DB1" w:rsidP="0091736C">
      <w:pPr>
        <w:spacing w:before="120" w:after="120" w:line="276" w:lineRule="auto"/>
        <w:ind w:firstLine="708"/>
        <w:jc w:val="both"/>
        <w:rPr>
          <w:rFonts w:ascii="Arial" w:eastAsia="Calibri" w:hAnsi="Arial" w:cs="Arial"/>
          <w:sz w:val="22"/>
        </w:rPr>
      </w:pPr>
      <w:bookmarkStart w:id="10" w:name="_Hlk113212612"/>
      <w:r>
        <w:rPr>
          <w:rFonts w:ascii="Arial" w:eastAsia="Calibri" w:hAnsi="Arial" w:cs="Arial"/>
          <w:sz w:val="22"/>
        </w:rPr>
        <w:t>De lo anterior</w:t>
      </w:r>
      <w:r w:rsidR="00DA79F5">
        <w:rPr>
          <w:rFonts w:ascii="Arial" w:eastAsia="Calibri" w:hAnsi="Arial" w:cs="Arial"/>
          <w:sz w:val="22"/>
        </w:rPr>
        <w:t>mente expuesto</w:t>
      </w:r>
      <w:bookmarkEnd w:id="10"/>
      <w:r w:rsidR="0091736C" w:rsidRPr="0091736C">
        <w:rPr>
          <w:rFonts w:ascii="Arial" w:eastAsia="Calibri" w:hAnsi="Arial" w:cs="Arial"/>
          <w:sz w:val="22"/>
        </w:rPr>
        <w:t xml:space="preserve">, se pueden extraer cuatro conclusiones relevantes </w:t>
      </w:r>
      <w:r w:rsidR="00A82202" w:rsidRPr="0091736C">
        <w:rPr>
          <w:rFonts w:ascii="Arial" w:eastAsia="Calibri" w:hAnsi="Arial" w:cs="Arial"/>
          <w:sz w:val="22"/>
        </w:rPr>
        <w:t>respecto de la experiencia</w:t>
      </w:r>
      <w:r w:rsidR="00A82202">
        <w:rPr>
          <w:rFonts w:ascii="Arial" w:eastAsia="Calibri" w:hAnsi="Arial" w:cs="Arial"/>
          <w:sz w:val="22"/>
        </w:rPr>
        <w:t xml:space="preserve">, </w:t>
      </w:r>
      <w:r w:rsidR="0091736C" w:rsidRPr="0091736C">
        <w:rPr>
          <w:rFonts w:ascii="Arial" w:eastAsia="Calibri" w:hAnsi="Arial" w:cs="Arial"/>
          <w:sz w:val="22"/>
        </w:rPr>
        <w:t xml:space="preserve">para evaluar a continuación las figuras y reformas estatutarias de las sociedades comerciales: </w:t>
      </w:r>
    </w:p>
    <w:p w14:paraId="14D63C33" w14:textId="77777777"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i) La experiencia es personal, esto es, se adquiere participando, directa o indirectamente, sin que sea posible no hacerlo y tener experiencia.</w:t>
      </w:r>
    </w:p>
    <w:p w14:paraId="79D03861" w14:textId="61B64235"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ii) La experiencia se puede compartir, sin que implique que la compartida a una persona se entienda suya, ya que dentro del procedimiento contractual se reflejará que esa persona tiene la experiencia de otra, como es el caso de las figuras </w:t>
      </w:r>
      <w:proofErr w:type="gramStart"/>
      <w:r w:rsidR="00096E9A" w:rsidRPr="0091736C">
        <w:rPr>
          <w:rFonts w:ascii="Arial" w:eastAsia="Calibri" w:hAnsi="Arial" w:cs="Arial"/>
          <w:sz w:val="22"/>
        </w:rPr>
        <w:t>asociativas</w:t>
      </w:r>
      <w:r w:rsidR="00096E9A">
        <w:rPr>
          <w:rFonts w:ascii="Arial" w:eastAsia="Calibri" w:hAnsi="Arial" w:cs="Arial"/>
          <w:sz w:val="22"/>
        </w:rPr>
        <w:t xml:space="preserve">  </w:t>
      </w:r>
      <w:r w:rsidR="00387CB6">
        <w:rPr>
          <w:rFonts w:ascii="Arial" w:eastAsia="Calibri" w:hAnsi="Arial" w:cs="Arial"/>
          <w:sz w:val="22"/>
        </w:rPr>
        <w:t>–</w:t>
      </w:r>
      <w:proofErr w:type="gramEnd"/>
      <w:r w:rsidRPr="0091736C">
        <w:rPr>
          <w:rFonts w:ascii="Arial" w:eastAsia="Calibri" w:hAnsi="Arial" w:cs="Arial"/>
          <w:sz w:val="22"/>
        </w:rPr>
        <w:t>consorcios y uniones temporales</w:t>
      </w:r>
      <w:r w:rsidR="00387CB6">
        <w:rPr>
          <w:rFonts w:ascii="Arial" w:eastAsia="Calibri" w:hAnsi="Arial" w:cs="Arial"/>
          <w:sz w:val="22"/>
        </w:rPr>
        <w:t>–</w:t>
      </w:r>
      <w:r w:rsidR="00BE68FA">
        <w:rPr>
          <w:rFonts w:ascii="Arial" w:eastAsia="Calibri" w:hAnsi="Arial" w:cs="Arial"/>
          <w:sz w:val="22"/>
        </w:rPr>
        <w:t xml:space="preserve"> </w:t>
      </w:r>
      <w:r w:rsidRPr="0091736C">
        <w:rPr>
          <w:rFonts w:ascii="Arial" w:eastAsia="Calibri" w:hAnsi="Arial" w:cs="Arial"/>
          <w:sz w:val="22"/>
        </w:rPr>
        <w:t>que se verificará en el documento privado de constitución.</w:t>
      </w:r>
    </w:p>
    <w:p w14:paraId="440FE8DC" w14:textId="77777777"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31651112" w14:textId="14495D2F" w:rsidR="0091736C" w:rsidRPr="0091736C" w:rsidRDefault="0091736C" w:rsidP="0091736C">
      <w:pPr>
        <w:spacing w:line="276" w:lineRule="auto"/>
        <w:ind w:firstLine="708"/>
        <w:jc w:val="both"/>
        <w:rPr>
          <w:rFonts w:ascii="Arial" w:eastAsia="Calibri" w:hAnsi="Arial" w:cs="Arial"/>
          <w:sz w:val="22"/>
        </w:rPr>
      </w:pPr>
      <w:r w:rsidRPr="0091736C">
        <w:rPr>
          <w:rFonts w:ascii="Arial" w:eastAsia="Calibri" w:hAnsi="Arial" w:cs="Arial"/>
          <w:sz w:val="22"/>
        </w:rPr>
        <w:t xml:space="preserve">iv) Cuando </w:t>
      </w:r>
      <w:bookmarkStart w:id="11" w:name="_Hlk113212638"/>
      <w:r w:rsidRPr="0091736C">
        <w:rPr>
          <w:rFonts w:ascii="Arial" w:eastAsia="Calibri" w:hAnsi="Arial" w:cs="Arial"/>
          <w:sz w:val="22"/>
        </w:rPr>
        <w:t>la persona que adquirió la experiencia desaparece o se liquida no es posible que comparta o transfiera su experiencia, p</w:t>
      </w:r>
      <w:r w:rsidR="00096E9A">
        <w:rPr>
          <w:rFonts w:ascii="Arial" w:eastAsia="Calibri" w:hAnsi="Arial" w:cs="Arial"/>
          <w:sz w:val="22"/>
        </w:rPr>
        <w:t>uesto que</w:t>
      </w:r>
      <w:r w:rsidRPr="0091736C">
        <w:rPr>
          <w:rFonts w:ascii="Arial" w:eastAsia="Calibri" w:hAnsi="Arial" w:cs="Arial"/>
          <w:sz w:val="22"/>
        </w:rPr>
        <w:t xml:space="preserve">, al ser </w:t>
      </w:r>
      <w:r w:rsidR="00096E9A">
        <w:rPr>
          <w:rFonts w:ascii="Arial" w:eastAsia="Calibri" w:hAnsi="Arial" w:cs="Arial"/>
          <w:sz w:val="22"/>
        </w:rPr>
        <w:t xml:space="preserve">esta </w:t>
      </w:r>
      <w:r w:rsidRPr="0091736C">
        <w:rPr>
          <w:rFonts w:ascii="Arial" w:eastAsia="Calibri" w:hAnsi="Arial" w:cs="Arial"/>
          <w:sz w:val="22"/>
        </w:rPr>
        <w:t>personal, sigue la suerte de quien la adquirió</w:t>
      </w:r>
      <w:bookmarkEnd w:id="11"/>
      <w:r w:rsidRPr="0091736C">
        <w:rPr>
          <w:rFonts w:ascii="Arial" w:eastAsia="Calibri" w:hAnsi="Arial" w:cs="Arial"/>
          <w:sz w:val="22"/>
        </w:rPr>
        <w:t>.</w:t>
      </w:r>
    </w:p>
    <w:p w14:paraId="0D4CAE84" w14:textId="67D75D2C"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De lo anterior se </w:t>
      </w:r>
      <w:r w:rsidR="00096E9A">
        <w:rPr>
          <w:rFonts w:ascii="Arial" w:eastAsia="Calibri" w:hAnsi="Arial" w:cs="Arial"/>
          <w:sz w:val="22"/>
        </w:rPr>
        <w:t>desprende</w:t>
      </w:r>
      <w:r w:rsidRPr="0091736C">
        <w:rPr>
          <w:rFonts w:ascii="Arial" w:eastAsia="Calibri" w:hAnsi="Arial" w:cs="Arial"/>
          <w:sz w:val="22"/>
        </w:rPr>
        <w:t xml:space="preserve"> que, por regla general, en la actividad contractual regulada por el Estatuto General de Contratación de la Administración Pública la experiencia es personal e intransferible, salvo algunas excepciones. 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w:t>
      </w:r>
      <w:r w:rsidRPr="0091736C">
        <w:rPr>
          <w:rFonts w:ascii="Arial" w:eastAsia="Calibri" w:hAnsi="Arial" w:cs="Arial"/>
          <w:sz w:val="22"/>
        </w:rPr>
        <w:lastRenderedPageBreak/>
        <w:t>constitución del interesado es menor a tres (3) años, puede acreditar la experiencia de sus accionistas, socios o constituyentes».</w:t>
      </w:r>
    </w:p>
    <w:p w14:paraId="51CFC2A9" w14:textId="74DC1A75" w:rsidR="0091736C" w:rsidRPr="0091736C" w:rsidRDefault="0091736C" w:rsidP="004F6680">
      <w:pPr>
        <w:spacing w:before="120" w:line="276" w:lineRule="auto"/>
        <w:ind w:firstLine="709"/>
        <w:jc w:val="both"/>
        <w:rPr>
          <w:rFonts w:ascii="Arial" w:eastAsia="Calibri" w:hAnsi="Arial" w:cs="Arial"/>
          <w:sz w:val="22"/>
        </w:rPr>
      </w:pPr>
      <w:r w:rsidRPr="0091736C">
        <w:rPr>
          <w:rFonts w:ascii="Arial" w:eastAsia="Calibri" w:hAnsi="Arial" w:cs="Arial"/>
          <w:sz w:val="22"/>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w:t>
      </w:r>
      <w:r w:rsidR="004F6680" w:rsidRPr="00DC5CAD">
        <w:rPr>
          <w:rFonts w:ascii="Arial" w:eastAsia="Calibri" w:hAnsi="Arial" w:cs="Arial"/>
          <w:sz w:val="22"/>
        </w:rPr>
        <w:t>C-491 del 27 de julio de 2020</w:t>
      </w:r>
      <w:r w:rsidR="004F6680">
        <w:rPr>
          <w:rFonts w:ascii="Arial" w:eastAsia="Calibri" w:hAnsi="Arial" w:cs="Arial"/>
          <w:sz w:val="22"/>
        </w:rPr>
        <w:t xml:space="preserve">, C-350 del 1 de junio de 2020, C-584 del 31 de agosto de 2020, C-002 del 9 de febrero de 2021, C-115 del 29 de marzo de 2021, C-343 del 13 de julio de 2021 y C-342 del 13 de julio de 2021, </w:t>
      </w:r>
      <w:r w:rsidRPr="0091736C">
        <w:rPr>
          <w:rFonts w:ascii="Arial" w:eastAsia="Calibri" w:hAnsi="Arial" w:cs="Arial"/>
          <w:sz w:val="22"/>
        </w:rPr>
        <w:t xml:space="preserve">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12" w:name="_Hlk113212671"/>
      <w:r w:rsidR="00B053A3">
        <w:rPr>
          <w:rFonts w:ascii="Arial" w:eastAsia="Calibri" w:hAnsi="Arial" w:cs="Arial"/>
          <w:sz w:val="22"/>
        </w:rPr>
        <w:t xml:space="preserve">se debe verificar la experiencia de </w:t>
      </w:r>
      <w:bookmarkEnd w:id="12"/>
      <w:r w:rsidRPr="0091736C">
        <w:rPr>
          <w:rFonts w:ascii="Arial" w:eastAsia="Calibri" w:hAnsi="Arial" w:cs="Arial"/>
          <w:sz w:val="22"/>
        </w:rPr>
        <w:t>«</w:t>
      </w:r>
      <w:r w:rsidR="00A23FD4">
        <w:rPr>
          <w:rFonts w:ascii="Arial" w:eastAsia="Calibri" w:hAnsi="Arial" w:cs="Arial"/>
          <w:sz w:val="22"/>
        </w:rPr>
        <w:t>l</w:t>
      </w:r>
      <w:r w:rsidRPr="0091736C">
        <w:rPr>
          <w:rFonts w:ascii="Arial" w:eastAsia="Calibri" w:hAnsi="Arial" w:cs="Arial"/>
          <w:sz w:val="22"/>
        </w:rPr>
        <w:t>os contratos celebrados por el interesado para cada uno de los bienes, obras y servicios que ofrecerá a las Entidades Estatales, identificados con el Clasificador de Bienes y Servicios en el tercer nivel y su valor expresado en SMMLV […]». En el concepto C-002</w:t>
      </w:r>
      <w:r w:rsidR="00E33D12">
        <w:rPr>
          <w:rFonts w:ascii="Arial" w:eastAsia="Calibri" w:hAnsi="Arial" w:cs="Arial"/>
          <w:sz w:val="22"/>
        </w:rPr>
        <w:t xml:space="preserve"> de 2020</w:t>
      </w:r>
      <w:r w:rsidRPr="0091736C">
        <w:rPr>
          <w:rFonts w:ascii="Arial" w:eastAsia="Calibri" w:hAnsi="Arial" w:cs="Arial"/>
          <w:sz w:val="22"/>
        </w:rPr>
        <w:t>,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w:t>
      </w:r>
      <w:bookmarkStart w:id="13" w:name="_Hlk113212692"/>
      <w:r w:rsidRPr="0091736C">
        <w:rPr>
          <w:rFonts w:ascii="Arial" w:eastAsia="Calibri" w:hAnsi="Arial" w:cs="Arial"/>
          <w:sz w:val="22"/>
        </w:rPr>
        <w:t xml:space="preserve"> </w:t>
      </w:r>
      <w:r w:rsidR="00B053A3">
        <w:rPr>
          <w:rFonts w:ascii="Arial" w:eastAsia="Calibri" w:hAnsi="Arial" w:cs="Arial"/>
          <w:sz w:val="22"/>
        </w:rPr>
        <w:t xml:space="preserve">tesis que </w:t>
      </w:r>
      <w:r w:rsidRPr="0091736C">
        <w:rPr>
          <w:rFonts w:ascii="Arial" w:eastAsia="Calibri" w:hAnsi="Arial" w:cs="Arial"/>
          <w:sz w:val="22"/>
        </w:rPr>
        <w:t>se r</w:t>
      </w:r>
      <w:r w:rsidR="00B053A3">
        <w:rPr>
          <w:rFonts w:ascii="Arial" w:eastAsia="Calibri" w:hAnsi="Arial" w:cs="Arial"/>
          <w:sz w:val="22"/>
        </w:rPr>
        <w:t>eitera</w:t>
      </w:r>
      <w:r w:rsidRPr="0091736C">
        <w:rPr>
          <w:rFonts w:ascii="Arial" w:eastAsia="Calibri" w:hAnsi="Arial" w:cs="Arial"/>
          <w:sz w:val="22"/>
        </w:rPr>
        <w:t xml:space="preserve"> </w:t>
      </w:r>
      <w:r w:rsidR="00096E9A">
        <w:rPr>
          <w:rFonts w:ascii="Arial" w:eastAsia="Calibri" w:hAnsi="Arial" w:cs="Arial"/>
          <w:sz w:val="22"/>
        </w:rPr>
        <w:t>en este concepto</w:t>
      </w:r>
      <w:r w:rsidR="00B053A3">
        <w:rPr>
          <w:rFonts w:ascii="Arial" w:eastAsia="Calibri" w:hAnsi="Arial" w:cs="Arial"/>
          <w:sz w:val="22"/>
        </w:rPr>
        <w:t xml:space="preserve"> como a continuación se expone.</w:t>
      </w:r>
      <w:bookmarkEnd w:id="13"/>
    </w:p>
    <w:bookmarkEnd w:id="5"/>
    <w:p w14:paraId="2A6BBCE4" w14:textId="77777777" w:rsidR="0091736C" w:rsidRPr="0091736C" w:rsidRDefault="0091736C" w:rsidP="0091736C">
      <w:pPr>
        <w:spacing w:line="276" w:lineRule="auto"/>
        <w:jc w:val="both"/>
        <w:rPr>
          <w:rFonts w:ascii="Arial" w:eastAsia="Calibri" w:hAnsi="Arial" w:cs="Arial"/>
          <w:b/>
          <w:sz w:val="22"/>
        </w:rPr>
      </w:pPr>
    </w:p>
    <w:p w14:paraId="023A3519" w14:textId="77777777" w:rsidR="0091736C" w:rsidRPr="0091736C" w:rsidRDefault="0091736C" w:rsidP="0091736C">
      <w:pPr>
        <w:spacing w:line="276" w:lineRule="auto"/>
        <w:jc w:val="both"/>
        <w:rPr>
          <w:rFonts w:ascii="Arial" w:eastAsia="Calibri" w:hAnsi="Arial" w:cs="Arial"/>
          <w:b/>
          <w:sz w:val="22"/>
        </w:rPr>
      </w:pPr>
      <w:r w:rsidRPr="0091736C">
        <w:rPr>
          <w:rFonts w:ascii="Arial" w:eastAsia="Calibri" w:hAnsi="Arial" w:cs="Arial"/>
          <w:b/>
          <w:sz w:val="22"/>
        </w:rPr>
        <w:t>2.2. Figuras y reformas estatutarias, y efectos sobre la experiencia de las sociedades comerciales</w:t>
      </w:r>
    </w:p>
    <w:p w14:paraId="0E13B163" w14:textId="77777777" w:rsidR="0091736C" w:rsidRPr="0091736C" w:rsidRDefault="0091736C" w:rsidP="0091736C">
      <w:pPr>
        <w:spacing w:line="276" w:lineRule="auto"/>
        <w:jc w:val="both"/>
        <w:rPr>
          <w:rFonts w:ascii="Arial" w:eastAsia="Calibri" w:hAnsi="Arial" w:cs="Arial"/>
          <w:b/>
          <w:sz w:val="22"/>
        </w:rPr>
      </w:pPr>
    </w:p>
    <w:p w14:paraId="2488EA60" w14:textId="77777777" w:rsidR="0091736C" w:rsidRPr="0091736C" w:rsidRDefault="0091736C" w:rsidP="0091736C">
      <w:pPr>
        <w:spacing w:after="120" w:line="276" w:lineRule="auto"/>
        <w:jc w:val="both"/>
        <w:rPr>
          <w:rFonts w:ascii="Arial" w:eastAsia="Calibri" w:hAnsi="Arial" w:cs="Arial"/>
          <w:bCs/>
          <w:sz w:val="22"/>
        </w:rPr>
      </w:pPr>
      <w:r w:rsidRPr="0091736C">
        <w:rPr>
          <w:rFonts w:ascii="Arial" w:eastAsia="Calibri" w:hAnsi="Arial" w:cs="Arial"/>
          <w:bCs/>
          <w:sz w:val="22"/>
        </w:rPr>
        <w:t xml:space="preserve">Antes de analizar las figuras y reformas estatutarias, es necesario aclarar dos conceptos respecto de las sociedades comerciales: i) «disolución» y ii) «liquidación», ya que se aplican a las figuras y reformas estatutarias, y tienen incidencia en la posibilidad de transferir o no la experiencia de una sociedad. </w:t>
      </w:r>
    </w:p>
    <w:p w14:paraId="33943353" w14:textId="77777777" w:rsidR="0091736C" w:rsidRPr="0091736C" w:rsidRDefault="0091736C" w:rsidP="0091736C">
      <w:pPr>
        <w:spacing w:line="276" w:lineRule="auto"/>
        <w:ind w:firstLine="708"/>
        <w:jc w:val="both"/>
        <w:rPr>
          <w:rFonts w:ascii="Arial" w:eastAsia="Calibri" w:hAnsi="Arial" w:cs="Arial"/>
          <w:bCs/>
          <w:sz w:val="22"/>
        </w:rPr>
      </w:pPr>
      <w:r w:rsidRPr="0091736C">
        <w:rPr>
          <w:rFonts w:ascii="Arial" w:eastAsia="Calibri" w:hAnsi="Arial" w:cs="Arial"/>
          <w:bCs/>
          <w:sz w:val="22"/>
        </w:rPr>
        <w:t>En primer lugar, el Código de Comercio señala, como efecto de la «disolución», que la persona jurídica no desaparece, sino que conserva su capacidad jurídica, únicamente para «liquidarse» y para las operaciones o actos autorizados por la ley</w:t>
      </w:r>
      <w:r w:rsidRPr="0091736C">
        <w:rPr>
          <w:rFonts w:ascii="Arial" w:eastAsia="Calibri" w:hAnsi="Arial" w:cs="Arial"/>
          <w:bCs/>
          <w:sz w:val="22"/>
          <w:vertAlign w:val="superscript"/>
        </w:rPr>
        <w:footnoteReference w:id="10"/>
      </w:r>
      <w:r w:rsidRPr="0091736C">
        <w:rPr>
          <w:rFonts w:ascii="Arial" w:eastAsia="Calibri" w:hAnsi="Arial" w:cs="Arial"/>
          <w:bCs/>
          <w:sz w:val="22"/>
        </w:rPr>
        <w:t xml:space="preserve">, como las figuras </w:t>
      </w:r>
      <w:r w:rsidRPr="0091736C">
        <w:rPr>
          <w:rFonts w:ascii="Arial" w:eastAsia="Calibri" w:hAnsi="Arial" w:cs="Arial"/>
          <w:bCs/>
          <w:sz w:val="22"/>
        </w:rPr>
        <w:lastRenderedPageBreak/>
        <w:t>y reformas estatutarias que se verán a continuación. 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91736C">
        <w:rPr>
          <w:rFonts w:ascii="Arial" w:eastAsia="Calibri" w:hAnsi="Arial" w:cs="Arial"/>
          <w:bCs/>
          <w:sz w:val="22"/>
          <w:vertAlign w:val="superscript"/>
        </w:rPr>
        <w:footnoteReference w:id="11"/>
      </w:r>
      <w:r w:rsidRPr="0091736C">
        <w:rPr>
          <w:rFonts w:ascii="Arial" w:eastAsia="Calibri" w:hAnsi="Arial" w:cs="Arial"/>
          <w:bCs/>
          <w:sz w:val="22"/>
        </w:rPr>
        <w:t xml:space="preserve"> y la experiencia desaparece junto con la sociedad que la adquirió.</w:t>
      </w:r>
    </w:p>
    <w:p w14:paraId="5781D7CF" w14:textId="77777777" w:rsidR="0091736C" w:rsidRPr="0091736C" w:rsidRDefault="0091736C" w:rsidP="0091736C">
      <w:pPr>
        <w:spacing w:line="276" w:lineRule="auto"/>
        <w:jc w:val="both"/>
        <w:rPr>
          <w:rFonts w:ascii="Arial" w:eastAsia="Calibri" w:hAnsi="Arial" w:cs="Arial"/>
          <w:sz w:val="22"/>
        </w:rPr>
      </w:pPr>
    </w:p>
    <w:p w14:paraId="2B41062E" w14:textId="77777777" w:rsidR="0091736C" w:rsidRPr="0091736C" w:rsidRDefault="0091736C" w:rsidP="0091736C">
      <w:pPr>
        <w:spacing w:line="276" w:lineRule="auto"/>
        <w:jc w:val="both"/>
        <w:rPr>
          <w:rFonts w:ascii="Arial" w:eastAsia="Calibri" w:hAnsi="Arial" w:cs="Arial"/>
          <w:b/>
          <w:bCs/>
          <w:sz w:val="22"/>
        </w:rPr>
      </w:pPr>
      <w:r w:rsidRPr="0091736C">
        <w:rPr>
          <w:rFonts w:ascii="Arial" w:eastAsia="Calibri" w:hAnsi="Arial" w:cs="Arial"/>
          <w:b/>
          <w:bCs/>
          <w:sz w:val="22"/>
        </w:rPr>
        <w:t>a) Transformación</w:t>
      </w:r>
    </w:p>
    <w:p w14:paraId="7896CE5A" w14:textId="77777777" w:rsidR="0091736C" w:rsidRPr="0091736C" w:rsidRDefault="0091736C" w:rsidP="0091736C">
      <w:pPr>
        <w:spacing w:line="276" w:lineRule="auto"/>
        <w:jc w:val="both"/>
        <w:rPr>
          <w:rFonts w:ascii="Arial" w:eastAsia="Calibri" w:hAnsi="Arial" w:cs="Arial"/>
          <w:b/>
          <w:bCs/>
          <w:sz w:val="22"/>
        </w:rPr>
      </w:pPr>
    </w:p>
    <w:p w14:paraId="4C774303" w14:textId="14415B48" w:rsidR="0091736C" w:rsidRPr="0091736C" w:rsidRDefault="0091736C" w:rsidP="0091736C">
      <w:pPr>
        <w:spacing w:after="120" w:line="276" w:lineRule="auto"/>
        <w:jc w:val="both"/>
        <w:rPr>
          <w:rFonts w:ascii="Arial" w:eastAsia="Calibri" w:hAnsi="Arial" w:cs="Arial"/>
          <w:sz w:val="22"/>
        </w:rPr>
      </w:pPr>
      <w:r w:rsidRPr="0091736C">
        <w:rPr>
          <w:rFonts w:ascii="Arial" w:eastAsia="Calibri" w:hAnsi="Arial" w:cs="Arial"/>
          <w:sz w:val="22"/>
        </w:rPr>
        <w:t>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se interrumpa la continuidad de la sociedad comercial o persona jurídica</w:t>
      </w:r>
      <w:r w:rsidRPr="0091736C">
        <w:rPr>
          <w:rFonts w:ascii="Arial" w:eastAsia="Calibri" w:hAnsi="Arial" w:cs="Arial"/>
          <w:sz w:val="22"/>
          <w:vertAlign w:val="superscript"/>
        </w:rPr>
        <w:footnoteReference w:id="12"/>
      </w:r>
      <w:r w:rsidRPr="0091736C">
        <w:rPr>
          <w:rFonts w:ascii="Arial" w:eastAsia="Calibri" w:hAnsi="Arial" w:cs="Arial"/>
          <w:sz w:val="22"/>
        </w:rPr>
        <w:t>. Es importante destacar que en esta reforma estatutaria solo participa la sociedad involucrada, y no existen otras sociedades que se relacionen o intervengan, lo cual diferencia la transformación de otras reformas o figuras.</w:t>
      </w:r>
    </w:p>
    <w:p w14:paraId="1652AEB9" w14:textId="330D7A3B" w:rsidR="0091736C" w:rsidRPr="0091736C" w:rsidRDefault="0091736C" w:rsidP="0091736C">
      <w:pPr>
        <w:spacing w:line="276" w:lineRule="auto"/>
        <w:ind w:firstLine="708"/>
        <w:jc w:val="both"/>
        <w:rPr>
          <w:rFonts w:ascii="Arial" w:eastAsia="Calibri" w:hAnsi="Arial" w:cs="Arial"/>
          <w:sz w:val="22"/>
        </w:rPr>
      </w:pPr>
      <w:r w:rsidRPr="0091736C">
        <w:rPr>
          <w:rFonts w:ascii="Arial" w:eastAsia="Calibri" w:hAnsi="Arial" w:cs="Arial"/>
          <w:sz w:val="22"/>
        </w:rPr>
        <w:t>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w:t>
      </w:r>
      <w:r w:rsidR="005E2014">
        <w:rPr>
          <w:rFonts w:ascii="Arial" w:eastAsia="Calibri" w:hAnsi="Arial" w:cs="Arial"/>
          <w:sz w:val="22"/>
        </w:rPr>
        <w:t>,</w:t>
      </w:r>
      <w:r w:rsidRPr="0091736C">
        <w:rPr>
          <w:rFonts w:ascii="Arial" w:eastAsia="Calibri" w:hAnsi="Arial" w:cs="Arial"/>
          <w:sz w:val="22"/>
        </w:rPr>
        <w:t xml:space="preserve"> por ende</w:t>
      </w:r>
      <w:r w:rsidR="005E2014">
        <w:rPr>
          <w:rFonts w:ascii="Arial" w:eastAsia="Calibri" w:hAnsi="Arial" w:cs="Arial"/>
          <w:sz w:val="22"/>
        </w:rPr>
        <w:t>,</w:t>
      </w:r>
      <w:r w:rsidRPr="0091736C">
        <w:rPr>
          <w:rFonts w:ascii="Arial" w:eastAsia="Calibri" w:hAnsi="Arial" w:cs="Arial"/>
          <w:sz w:val="22"/>
        </w:rPr>
        <w:t xml:space="preserve"> tampoco se «liquida», porque, de acuerdo con el artículo 222 del Código de Comercio, para «liquidarse» necesita estar «disuelta»</w:t>
      </w:r>
      <w:r w:rsidR="005E2014">
        <w:rPr>
          <w:rFonts w:ascii="Arial" w:eastAsia="Calibri" w:hAnsi="Arial" w:cs="Arial"/>
          <w:sz w:val="22"/>
        </w:rPr>
        <w:t>. De esta manera,</w:t>
      </w:r>
      <w:r w:rsidRPr="0091736C">
        <w:rPr>
          <w:rFonts w:ascii="Arial" w:eastAsia="Calibri" w:hAnsi="Arial" w:cs="Arial"/>
          <w:sz w:val="22"/>
        </w:rPr>
        <w:t xml:space="preserve"> solo cambia el tipo societario que había adoptado en su constitución, es decir, no sufre modificaciones o alteraciones y por eso puede continuar adquiriendo experiencia y compartirla, pero no puede trasladarla, porque para ello tendría </w:t>
      </w:r>
      <w:r w:rsidRPr="0091736C">
        <w:rPr>
          <w:rFonts w:ascii="Arial" w:eastAsia="Calibri" w:hAnsi="Arial" w:cs="Arial"/>
          <w:sz w:val="22"/>
        </w:rPr>
        <w:lastRenderedPageBreak/>
        <w:t xml:space="preserve">que «disolverse» </w:t>
      </w:r>
      <w:r w:rsidR="005E2014">
        <w:rPr>
          <w:rFonts w:ascii="Arial" w:eastAsia="Calibri" w:hAnsi="Arial" w:cs="Arial"/>
          <w:sz w:val="22"/>
        </w:rPr>
        <w:t>–</w:t>
      </w:r>
      <w:r w:rsidRPr="0091736C">
        <w:rPr>
          <w:rFonts w:ascii="Arial" w:eastAsia="Calibri" w:hAnsi="Arial" w:cs="Arial"/>
          <w:sz w:val="22"/>
        </w:rPr>
        <w:t>o conformar un consorcio</w:t>
      </w:r>
      <w:r w:rsidR="005E2014">
        <w:rPr>
          <w:rFonts w:ascii="Arial" w:eastAsia="Calibri" w:hAnsi="Arial" w:cs="Arial"/>
          <w:sz w:val="22"/>
        </w:rPr>
        <w:t>–</w:t>
      </w:r>
      <w:r w:rsidRPr="0091736C">
        <w:rPr>
          <w:rFonts w:ascii="Arial" w:eastAsia="Calibri" w:hAnsi="Arial" w:cs="Arial"/>
          <w:sz w:val="22"/>
        </w:rPr>
        <w:t xml:space="preserve">, como se verá en la fusión y en una de las modalidades de escisión.  </w:t>
      </w:r>
    </w:p>
    <w:p w14:paraId="7D05A082" w14:textId="77777777" w:rsidR="0091736C" w:rsidRPr="0091736C" w:rsidRDefault="0091736C" w:rsidP="0091736C">
      <w:pPr>
        <w:spacing w:line="276" w:lineRule="auto"/>
        <w:jc w:val="both"/>
        <w:rPr>
          <w:rFonts w:ascii="Arial" w:eastAsia="Calibri" w:hAnsi="Arial" w:cs="Arial"/>
          <w:b/>
          <w:bCs/>
          <w:sz w:val="22"/>
        </w:rPr>
      </w:pPr>
    </w:p>
    <w:p w14:paraId="5BEB88FF" w14:textId="77777777" w:rsidR="0091736C" w:rsidRPr="0091736C" w:rsidRDefault="0091736C" w:rsidP="0091736C">
      <w:pPr>
        <w:spacing w:line="276" w:lineRule="auto"/>
        <w:jc w:val="both"/>
        <w:rPr>
          <w:rFonts w:ascii="Arial" w:eastAsia="Calibri" w:hAnsi="Arial" w:cs="Arial"/>
          <w:b/>
          <w:bCs/>
          <w:sz w:val="22"/>
        </w:rPr>
      </w:pPr>
      <w:r w:rsidRPr="0091736C">
        <w:rPr>
          <w:rFonts w:ascii="Arial" w:eastAsia="Calibri" w:hAnsi="Arial" w:cs="Arial"/>
          <w:b/>
          <w:bCs/>
          <w:sz w:val="22"/>
        </w:rPr>
        <w:t>b) Escisión</w:t>
      </w:r>
    </w:p>
    <w:p w14:paraId="75F37C85" w14:textId="77777777" w:rsidR="0091736C" w:rsidRPr="0091736C" w:rsidRDefault="0091736C" w:rsidP="0091736C">
      <w:pPr>
        <w:spacing w:line="276" w:lineRule="auto"/>
        <w:jc w:val="both"/>
        <w:rPr>
          <w:rFonts w:ascii="Arial" w:eastAsia="Calibri" w:hAnsi="Arial" w:cs="Arial"/>
          <w:b/>
          <w:bCs/>
          <w:sz w:val="22"/>
        </w:rPr>
      </w:pPr>
    </w:p>
    <w:p w14:paraId="18FCEB03" w14:textId="54595A3F" w:rsidR="0091736C" w:rsidRPr="0091736C" w:rsidRDefault="0091736C" w:rsidP="0091736C">
      <w:pPr>
        <w:spacing w:after="120" w:line="276" w:lineRule="auto"/>
        <w:jc w:val="both"/>
        <w:rPr>
          <w:rFonts w:ascii="Arial" w:eastAsia="Calibri" w:hAnsi="Arial" w:cs="Arial"/>
          <w:sz w:val="22"/>
        </w:rPr>
      </w:pPr>
      <w:r w:rsidRPr="0091736C">
        <w:rPr>
          <w:rFonts w:ascii="Arial" w:eastAsia="Calibri" w:hAnsi="Arial" w:cs="Arial"/>
          <w:sz w:val="22"/>
        </w:rPr>
        <w:t xml:space="preserve">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de acuerdo con lo mencionado sobre estos conceptos. En ese sentido, </w:t>
      </w:r>
      <w:r w:rsidR="00A2733D">
        <w:rPr>
          <w:rFonts w:ascii="Arial" w:eastAsia="Calibri" w:hAnsi="Arial" w:cs="Arial"/>
          <w:sz w:val="22"/>
        </w:rPr>
        <w:t xml:space="preserve">esta Subdirección </w:t>
      </w:r>
      <w:r w:rsidRPr="0091736C">
        <w:rPr>
          <w:rFonts w:ascii="Arial" w:eastAsia="Calibri" w:hAnsi="Arial" w:cs="Arial"/>
          <w:sz w:val="22"/>
        </w:rPr>
        <w:t xml:space="preserve">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39D08CC2" w14:textId="77777777" w:rsidR="0091736C" w:rsidRPr="0091736C" w:rsidRDefault="0091736C" w:rsidP="0091736C">
      <w:pPr>
        <w:spacing w:line="276" w:lineRule="auto"/>
        <w:ind w:firstLine="708"/>
        <w:jc w:val="both"/>
        <w:rPr>
          <w:rFonts w:ascii="Arial" w:eastAsia="Calibri" w:hAnsi="Arial" w:cs="Arial"/>
          <w:sz w:val="22"/>
        </w:rPr>
      </w:pPr>
      <w:r w:rsidRPr="0091736C">
        <w:rPr>
          <w:rFonts w:ascii="Arial" w:eastAsia="Calibri" w:hAnsi="Arial" w:cs="Arial"/>
          <w:sz w:val="22"/>
        </w:rPr>
        <w:t>La segunda modalidad se trata de una sociedad que se «disuelve» sin «liquidarse», esto es, que implica una reforma social, lo cual no ocurre con la primera modalidad, y también existe fraccionamiento del patrimonio con el mismo fin</w:t>
      </w:r>
      <w:r w:rsidRPr="0091736C">
        <w:rPr>
          <w:rFonts w:ascii="Arial" w:eastAsia="Calibri" w:hAnsi="Arial" w:cs="Arial"/>
          <w:sz w:val="22"/>
          <w:vertAlign w:val="superscript"/>
        </w:rPr>
        <w:footnoteReference w:id="13"/>
      </w:r>
      <w:r w:rsidRPr="0091736C">
        <w:rPr>
          <w:rFonts w:ascii="Arial" w:eastAsia="Calibri" w:hAnsi="Arial" w:cs="Arial"/>
          <w:sz w:val="22"/>
        </w:rPr>
        <w:t xml:space="preserve">. Como se observa, participa una sociedad y otra, u otras, que reciben la transferencia del patrimonio en bloque. </w:t>
      </w:r>
    </w:p>
    <w:p w14:paraId="10B4D0F0" w14:textId="28CFAB15"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w:t>
      </w:r>
      <w:r w:rsidR="00A2733D">
        <w:rPr>
          <w:rFonts w:ascii="Arial" w:eastAsia="Calibri" w:hAnsi="Arial" w:cs="Arial"/>
          <w:sz w:val="22"/>
        </w:rPr>
        <w:t>retomar l</w:t>
      </w:r>
      <w:r w:rsidRPr="0091736C">
        <w:rPr>
          <w:rFonts w:ascii="Arial" w:eastAsia="Calibri" w:hAnsi="Arial" w:cs="Arial"/>
          <w:sz w:val="22"/>
        </w:rPr>
        <w:t xml:space="preserve">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w:t>
      </w:r>
      <w:r w:rsidRPr="0091736C">
        <w:rPr>
          <w:rFonts w:ascii="Arial" w:eastAsia="Calibri" w:hAnsi="Arial" w:cs="Arial"/>
          <w:sz w:val="22"/>
        </w:rPr>
        <w:lastRenderedPageBreak/>
        <w:t xml:space="preserve">continúa por sí misma y puede adquirir experiencia, pero no puede transferirla porque le pertenece, al ser quien la adquirió. </w:t>
      </w:r>
    </w:p>
    <w:p w14:paraId="03C02E3B" w14:textId="77777777" w:rsidR="0091736C" w:rsidRPr="0091736C" w:rsidRDefault="0091736C" w:rsidP="0091736C">
      <w:pPr>
        <w:spacing w:before="120" w:after="120" w:line="276" w:lineRule="auto"/>
        <w:ind w:firstLine="708"/>
        <w:jc w:val="both"/>
        <w:rPr>
          <w:rFonts w:ascii="Arial" w:eastAsia="Calibri" w:hAnsi="Arial" w:cs="Arial"/>
          <w:sz w:val="22"/>
        </w:rPr>
      </w:pPr>
      <w:r w:rsidRPr="0091736C">
        <w:rPr>
          <w:rFonts w:ascii="Arial" w:eastAsia="Calibri" w:hAnsi="Arial" w:cs="Arial"/>
          <w:sz w:val="22"/>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7EBA32E5" w14:textId="36D95D04" w:rsidR="0091736C" w:rsidRPr="0091736C" w:rsidRDefault="0091736C" w:rsidP="0091736C">
      <w:pPr>
        <w:spacing w:before="120" w:line="276" w:lineRule="auto"/>
        <w:ind w:firstLine="709"/>
        <w:jc w:val="both"/>
        <w:rPr>
          <w:rFonts w:ascii="Arial" w:eastAsia="Calibri" w:hAnsi="Arial" w:cs="Arial"/>
          <w:sz w:val="22"/>
        </w:rPr>
      </w:pPr>
      <w:r w:rsidRPr="0091736C">
        <w:rPr>
          <w:rFonts w:ascii="Arial" w:eastAsia="Calibri" w:hAnsi="Arial" w:cs="Arial"/>
          <w:sz w:val="22"/>
        </w:rPr>
        <w:t>Pero en la fusión, como se verá, a pesar de que la sociedad está «disuelta» y debería «liquidarse» 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483F7480" w14:textId="77777777" w:rsidR="0091736C" w:rsidRPr="0091736C" w:rsidRDefault="0091736C" w:rsidP="0091736C">
      <w:pPr>
        <w:spacing w:line="276" w:lineRule="auto"/>
        <w:jc w:val="both"/>
        <w:rPr>
          <w:rFonts w:ascii="Arial" w:eastAsia="Calibri" w:hAnsi="Arial" w:cs="Arial"/>
          <w:sz w:val="22"/>
        </w:rPr>
      </w:pPr>
    </w:p>
    <w:p w14:paraId="45652F56" w14:textId="77777777" w:rsidR="0091736C" w:rsidRPr="0091736C" w:rsidRDefault="0091736C" w:rsidP="0091736C">
      <w:pPr>
        <w:spacing w:line="276" w:lineRule="auto"/>
        <w:jc w:val="both"/>
        <w:rPr>
          <w:rFonts w:ascii="Arial" w:eastAsia="Calibri" w:hAnsi="Arial" w:cs="Arial"/>
          <w:b/>
          <w:bCs/>
          <w:sz w:val="22"/>
        </w:rPr>
      </w:pPr>
      <w:r w:rsidRPr="0091736C">
        <w:rPr>
          <w:rFonts w:ascii="Arial" w:eastAsia="Calibri" w:hAnsi="Arial" w:cs="Arial"/>
          <w:b/>
          <w:bCs/>
          <w:sz w:val="22"/>
        </w:rPr>
        <w:t>c) Fusión</w:t>
      </w:r>
    </w:p>
    <w:p w14:paraId="55D5D21A" w14:textId="77777777" w:rsidR="0091736C" w:rsidRPr="0091736C" w:rsidRDefault="0091736C" w:rsidP="0091736C">
      <w:pPr>
        <w:spacing w:line="276" w:lineRule="auto"/>
        <w:jc w:val="both"/>
        <w:rPr>
          <w:rFonts w:ascii="Arial" w:eastAsia="Calibri" w:hAnsi="Arial" w:cs="Arial"/>
          <w:b/>
          <w:bCs/>
          <w:sz w:val="22"/>
        </w:rPr>
      </w:pPr>
    </w:p>
    <w:p w14:paraId="06EA23D0" w14:textId="77777777" w:rsidR="0091736C" w:rsidRPr="0091736C" w:rsidRDefault="0091736C" w:rsidP="0091736C">
      <w:pPr>
        <w:spacing w:line="276" w:lineRule="auto"/>
        <w:jc w:val="both"/>
        <w:rPr>
          <w:rFonts w:ascii="Arial" w:eastAsia="Calibri" w:hAnsi="Arial" w:cs="Arial"/>
          <w:sz w:val="22"/>
        </w:rPr>
      </w:pPr>
      <w:r w:rsidRPr="0091736C">
        <w:rPr>
          <w:rFonts w:ascii="Arial" w:eastAsia="Calibri" w:hAnsi="Arial" w:cs="Arial"/>
          <w:sz w:val="22"/>
        </w:rPr>
        <w:t>Es una figura con 4 tipologías: i) por absorción: una o más sociedades se «disuelven» sin «liquidarse» para ser absorbidas por otra existente; ii) por creación: una o más sociedades se «disuelven» sin «liquidarse» para ser absorbidas por otra nueva</w:t>
      </w:r>
      <w:r w:rsidRPr="0091736C">
        <w:rPr>
          <w:rFonts w:ascii="Arial" w:eastAsia="Calibri" w:hAnsi="Arial" w:cs="Arial"/>
          <w:sz w:val="22"/>
          <w:vertAlign w:val="superscript"/>
        </w:rPr>
        <w:footnoteReference w:id="14"/>
      </w:r>
      <w:r w:rsidRPr="0091736C">
        <w:rPr>
          <w:rFonts w:ascii="Arial" w:eastAsia="Calibri" w:hAnsi="Arial" w:cs="Arial"/>
          <w:sz w:val="22"/>
        </w:rPr>
        <w:t>; iii) impropia: una sociedad se «disuelve» sin el propósito de realizar una fusión sino de «liquidarse», y antes de la liquidación se toma la decisión de crear una sociedad</w:t>
      </w:r>
      <w:r w:rsidRPr="0091736C">
        <w:rPr>
          <w:rFonts w:ascii="Arial" w:eastAsia="Calibri" w:hAnsi="Arial" w:cs="Arial"/>
          <w:sz w:val="22"/>
          <w:vertAlign w:val="superscript"/>
        </w:rPr>
        <w:footnoteReference w:id="15"/>
      </w:r>
      <w:r w:rsidRPr="0091736C">
        <w:rPr>
          <w:rFonts w:ascii="Arial" w:eastAsia="Calibri" w:hAnsi="Arial" w:cs="Arial"/>
          <w:sz w:val="22"/>
        </w:rPr>
        <w:t xml:space="preserve">; iv) abreviada: solo aplica cuando una Sociedad por Acciones Simplificada (S.A.S.) pertenece a otra sociedad en más del 90% de sus acciones, y es posible que esa sociedad controlante absorba a la S.A.S, </w:t>
      </w:r>
      <w:r w:rsidRPr="0091736C">
        <w:rPr>
          <w:rFonts w:ascii="Arial" w:eastAsia="Calibri" w:hAnsi="Arial" w:cs="Arial"/>
          <w:sz w:val="22"/>
        </w:rPr>
        <w:lastRenderedPageBreak/>
        <w:t>es decir, que ocurra una fusión por absorción</w:t>
      </w:r>
      <w:r w:rsidRPr="0091736C">
        <w:rPr>
          <w:rFonts w:ascii="Arial" w:eastAsia="Calibri" w:hAnsi="Arial" w:cs="Arial"/>
          <w:sz w:val="22"/>
          <w:vertAlign w:val="superscript"/>
        </w:rPr>
        <w:footnoteReference w:id="16"/>
      </w:r>
      <w:r w:rsidRPr="0091736C">
        <w:rPr>
          <w:rFonts w:ascii="Arial" w:eastAsia="Calibri" w:hAnsi="Arial" w:cs="Arial"/>
          <w:sz w:val="22"/>
        </w:rPr>
        <w:t>. La norma no se refiere a la «disolución de la S.A.S», lo cual no implica que no exista fusión, sino que es abreviada porque no se requiere configurar el estado de «disolución» de la sociedad.</w:t>
      </w:r>
    </w:p>
    <w:p w14:paraId="5F6C9969" w14:textId="39810B8F" w:rsidR="0091736C" w:rsidRPr="0091736C" w:rsidRDefault="0091736C" w:rsidP="0091736C">
      <w:pPr>
        <w:spacing w:before="120" w:line="276" w:lineRule="auto"/>
        <w:ind w:firstLine="708"/>
        <w:jc w:val="both"/>
        <w:rPr>
          <w:rFonts w:ascii="Arial" w:eastAsia="Calibri" w:hAnsi="Arial" w:cs="Arial"/>
          <w:bCs/>
          <w:sz w:val="22"/>
        </w:rPr>
      </w:pPr>
      <w:bookmarkStart w:id="14" w:name="_Hlk77271644"/>
      <w:r w:rsidRPr="0091736C">
        <w:rPr>
          <w:rFonts w:ascii="Arial" w:eastAsia="Calibri" w:hAnsi="Arial" w:cs="Arial"/>
          <w:bCs/>
          <w:sz w:val="22"/>
        </w:rPr>
        <w:t xml:space="preserve">Para analizar la fusión y sus efectos respecto de la experiencia de la sociedad que se </w:t>
      </w:r>
      <w:r w:rsidRPr="0091736C">
        <w:rPr>
          <w:rFonts w:ascii="Arial" w:eastAsia="Calibri" w:hAnsi="Arial" w:cs="Arial"/>
          <w:sz w:val="22"/>
        </w:rPr>
        <w:t>«</w:t>
      </w:r>
      <w:r w:rsidRPr="0091736C">
        <w:rPr>
          <w:rFonts w:ascii="Arial" w:eastAsia="Calibri" w:hAnsi="Arial" w:cs="Arial"/>
          <w:bCs/>
          <w:sz w:val="22"/>
        </w:rPr>
        <w:t xml:space="preserve">disuelve» pero no se </w:t>
      </w:r>
      <w:r w:rsidRPr="0091736C">
        <w:rPr>
          <w:rFonts w:ascii="Arial" w:eastAsia="Calibri" w:hAnsi="Arial" w:cs="Arial"/>
          <w:sz w:val="22"/>
        </w:rPr>
        <w:t>«</w:t>
      </w:r>
      <w:r w:rsidRPr="0091736C">
        <w:rPr>
          <w:rFonts w:ascii="Arial" w:eastAsia="Calibri" w:hAnsi="Arial" w:cs="Arial"/>
          <w:bCs/>
          <w:sz w:val="22"/>
        </w:rPr>
        <w:t>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w:t>
      </w:r>
      <w:r w:rsidR="00DA6972">
        <w:rPr>
          <w:rFonts w:ascii="Arial" w:eastAsia="Calibri" w:hAnsi="Arial" w:cs="Arial"/>
          <w:bCs/>
          <w:sz w:val="22"/>
        </w:rPr>
        <w:t>,</w:t>
      </w:r>
      <w:r w:rsidRPr="0091736C">
        <w:rPr>
          <w:rFonts w:ascii="Arial" w:eastAsia="Calibri" w:hAnsi="Arial" w:cs="Arial"/>
          <w:bCs/>
          <w:sz w:val="22"/>
        </w:rPr>
        <w:t xml:space="preserve"> cuando es fusión por creación</w:t>
      </w:r>
      <w:r w:rsidR="00DA6972">
        <w:rPr>
          <w:rFonts w:ascii="Arial" w:eastAsia="Calibri" w:hAnsi="Arial" w:cs="Arial"/>
          <w:bCs/>
          <w:sz w:val="22"/>
        </w:rPr>
        <w:t>;</w:t>
      </w:r>
      <w:r w:rsidRPr="0091736C">
        <w:rPr>
          <w:rFonts w:ascii="Arial" w:eastAsia="Calibri" w:hAnsi="Arial" w:cs="Arial"/>
          <w:bCs/>
          <w:sz w:val="22"/>
        </w:rPr>
        <w:t xml:space="preserve"> o una sociedad existente</w:t>
      </w:r>
      <w:r w:rsidR="00DA6972">
        <w:rPr>
          <w:rFonts w:ascii="Arial" w:eastAsia="Calibri" w:hAnsi="Arial" w:cs="Arial"/>
          <w:bCs/>
          <w:sz w:val="22"/>
        </w:rPr>
        <w:t>,</w:t>
      </w:r>
      <w:r w:rsidRPr="0091736C">
        <w:rPr>
          <w:rFonts w:ascii="Arial" w:eastAsia="Calibri" w:hAnsi="Arial" w:cs="Arial"/>
          <w:bCs/>
          <w:sz w:val="22"/>
        </w:rPr>
        <w:t xml:space="preserve"> en la fusión por absorción. La experiencia no se comparte, porque para esto la sociedad debería continuar individualmente considerada, pero en este evento continúa a través de otra, a quien le </w:t>
      </w:r>
      <w:r w:rsidRPr="000231A1">
        <w:rPr>
          <w:rFonts w:ascii="Arial" w:eastAsia="Calibri" w:hAnsi="Arial" w:cs="Arial"/>
          <w:bCs/>
          <w:i/>
          <w:iCs/>
          <w:sz w:val="22"/>
        </w:rPr>
        <w:t>transfiere</w:t>
      </w:r>
      <w:r w:rsidRPr="0091736C">
        <w:rPr>
          <w:rFonts w:ascii="Arial" w:eastAsia="Calibri" w:hAnsi="Arial" w:cs="Arial"/>
          <w:bCs/>
          <w:sz w:val="22"/>
        </w:rPr>
        <w:t xml:space="preserve"> su experiencia y todos sus derechos y obligaciones, de conformidad con el artículo 172 y siguientes del Código de Comercio.</w:t>
      </w:r>
    </w:p>
    <w:bookmarkEnd w:id="14"/>
    <w:p w14:paraId="6446297C" w14:textId="2C78E792" w:rsidR="0091736C" w:rsidRPr="0091736C" w:rsidRDefault="0091736C" w:rsidP="0091736C">
      <w:pPr>
        <w:spacing w:before="120" w:line="276" w:lineRule="auto"/>
        <w:ind w:firstLine="708"/>
        <w:jc w:val="both"/>
        <w:rPr>
          <w:rFonts w:ascii="Arial" w:eastAsia="Calibri" w:hAnsi="Arial" w:cs="Arial"/>
          <w:bCs/>
          <w:sz w:val="22"/>
        </w:rPr>
      </w:pPr>
      <w:r w:rsidRPr="0091736C">
        <w:rPr>
          <w:rFonts w:ascii="Arial" w:eastAsia="Calibri" w:hAnsi="Arial" w:cs="Arial"/>
          <w:bCs/>
          <w:sz w:val="22"/>
        </w:rPr>
        <w:t xml:space="preserve">La anterior conclusión es coherente con lo establecido en la Guía de Asuntos Corporativos en los Procesos de Contratación, expedida por la Agencia Nacional de Contratación Pública </w:t>
      </w:r>
      <w:r w:rsidR="00DA6972">
        <w:rPr>
          <w:rFonts w:ascii="Arial" w:eastAsia="Calibri" w:hAnsi="Arial" w:cs="Arial"/>
          <w:bCs/>
          <w:sz w:val="22"/>
        </w:rPr>
        <w:t>–</w:t>
      </w:r>
      <w:r w:rsidRPr="0091736C">
        <w:rPr>
          <w:rFonts w:ascii="Arial" w:eastAsia="Calibri" w:hAnsi="Arial" w:cs="Arial"/>
          <w:bCs/>
          <w:sz w:val="22"/>
        </w:rPr>
        <w:t xml:space="preserve"> Colombia Compra Eficiente, pues en ella se dice que «La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 Obsérvese que la Guía no establece que la experiencia es «siempre» intransferible, sino que sostiene que ello es así «en principio». Además, precisa que no es posible transferir la experiencia en la escisión y en la liquidación, justamente porque </w:t>
      </w:r>
      <w:r w:rsidR="00DA6972">
        <w:rPr>
          <w:rFonts w:ascii="Arial" w:eastAsia="Calibri" w:hAnsi="Arial" w:cs="Arial"/>
          <w:bCs/>
          <w:sz w:val="22"/>
        </w:rPr>
        <w:t xml:space="preserve">en </w:t>
      </w:r>
      <w:r w:rsidRPr="0091736C">
        <w:rPr>
          <w:rFonts w:ascii="Arial" w:eastAsia="Calibri" w:hAnsi="Arial" w:cs="Arial"/>
          <w:bCs/>
          <w:sz w:val="22"/>
        </w:rPr>
        <w:t xml:space="preserve">esos casos la persona jurídica desaparece, lo que no sucede en la fusión. Es decir que en este supuesto sí es posible la transferencia de la experiencia de la sociedad fusionada a la resultante. </w:t>
      </w:r>
    </w:p>
    <w:p w14:paraId="72B259CD" w14:textId="6C92BA15" w:rsidR="0091736C" w:rsidRPr="0091736C" w:rsidRDefault="0091736C" w:rsidP="0091736C">
      <w:pPr>
        <w:spacing w:before="120" w:line="276" w:lineRule="auto"/>
        <w:ind w:firstLine="708"/>
        <w:jc w:val="both"/>
        <w:rPr>
          <w:rFonts w:ascii="Arial" w:eastAsia="Calibri" w:hAnsi="Arial" w:cs="Arial"/>
          <w:bCs/>
          <w:sz w:val="22"/>
        </w:rPr>
      </w:pPr>
      <w:r w:rsidRPr="0091736C">
        <w:rPr>
          <w:rFonts w:ascii="Arial" w:eastAsia="Calibri" w:hAnsi="Arial" w:cs="Arial"/>
          <w:bCs/>
          <w:sz w:val="22"/>
        </w:rPr>
        <w:t>Esta postura en torno a la validez de la transferencia de experiencia de la sociedad absorbida a la absorbente es compartida por la Superintendencia de Sociedades. Dicha entidad</w:t>
      </w:r>
      <w:r w:rsidR="00DA6972">
        <w:rPr>
          <w:rFonts w:ascii="Arial" w:eastAsia="Calibri" w:hAnsi="Arial" w:cs="Arial"/>
          <w:bCs/>
          <w:sz w:val="22"/>
        </w:rPr>
        <w:t>,</w:t>
      </w:r>
      <w:r w:rsidRPr="0091736C">
        <w:rPr>
          <w:rFonts w:ascii="Arial" w:eastAsia="Calibri" w:hAnsi="Arial" w:cs="Arial"/>
          <w:bCs/>
          <w:sz w:val="22"/>
        </w:rPr>
        <w:t xml:space="preserve"> en ejercicio de la función consultiva</w:t>
      </w:r>
      <w:r w:rsidR="00DA6972">
        <w:rPr>
          <w:rFonts w:ascii="Arial" w:eastAsia="Calibri" w:hAnsi="Arial" w:cs="Arial"/>
          <w:bCs/>
          <w:sz w:val="22"/>
        </w:rPr>
        <w:t>,</w:t>
      </w:r>
      <w:r w:rsidRPr="0091736C">
        <w:rPr>
          <w:rFonts w:ascii="Arial" w:eastAsia="Calibri" w:hAnsi="Arial" w:cs="Arial"/>
          <w:bCs/>
          <w:sz w:val="22"/>
        </w:rPr>
        <w:t xml:space="preserve"> ha manifestado que </w:t>
      </w:r>
      <w:r w:rsidR="00DA6972">
        <w:rPr>
          <w:rFonts w:ascii="Arial" w:eastAsia="Calibri" w:hAnsi="Arial" w:cs="Arial"/>
          <w:bCs/>
          <w:sz w:val="22"/>
        </w:rPr>
        <w:t xml:space="preserve">en </w:t>
      </w:r>
      <w:r w:rsidRPr="0091736C">
        <w:rPr>
          <w:rFonts w:ascii="Arial" w:eastAsia="Calibri" w:hAnsi="Arial" w:cs="Arial"/>
          <w:bCs/>
          <w:sz w:val="22"/>
        </w:rPr>
        <w:t xml:space="preserve">esta figura es </w:t>
      </w:r>
      <w:r w:rsidRPr="0091736C">
        <w:rPr>
          <w:rFonts w:ascii="Arial" w:eastAsia="Calibri" w:hAnsi="Arial" w:cs="Arial"/>
          <w:bCs/>
          <w:sz w:val="22"/>
        </w:rPr>
        <w:lastRenderedPageBreak/>
        <w:t>adecuada que la sociedad absorbida transfiera a la segunda sus atributos en lo relacionado con la experiencia</w:t>
      </w:r>
      <w:r w:rsidRPr="0091736C">
        <w:rPr>
          <w:rFonts w:ascii="Arial" w:eastAsia="Calibri" w:hAnsi="Arial" w:cs="Arial"/>
          <w:bCs/>
          <w:sz w:val="22"/>
          <w:vertAlign w:val="superscript"/>
        </w:rPr>
        <w:footnoteReference w:id="17"/>
      </w:r>
      <w:r w:rsidRPr="0091736C">
        <w:rPr>
          <w:rFonts w:ascii="Arial" w:eastAsia="Calibri" w:hAnsi="Arial" w:cs="Arial"/>
          <w:bCs/>
          <w:sz w:val="22"/>
        </w:rPr>
        <w:t xml:space="preserve">. Al respecto se ha manifestado: </w:t>
      </w:r>
    </w:p>
    <w:p w14:paraId="3F2C12EC" w14:textId="77777777" w:rsidR="0091736C" w:rsidRPr="0091736C" w:rsidRDefault="0091736C" w:rsidP="0091736C">
      <w:pPr>
        <w:ind w:left="709" w:right="709"/>
        <w:jc w:val="both"/>
        <w:rPr>
          <w:rFonts w:ascii="Arial" w:hAnsi="Arial" w:cs="Arial"/>
          <w:sz w:val="21"/>
          <w:szCs w:val="21"/>
        </w:rPr>
      </w:pPr>
    </w:p>
    <w:p w14:paraId="18DEAE8B" w14:textId="10124849" w:rsidR="0091736C" w:rsidRPr="0091736C" w:rsidRDefault="0091736C" w:rsidP="0091736C">
      <w:pPr>
        <w:ind w:left="709" w:right="709"/>
        <w:jc w:val="both"/>
        <w:rPr>
          <w:rFonts w:ascii="Arial" w:hAnsi="Arial" w:cs="Arial"/>
          <w:sz w:val="21"/>
          <w:szCs w:val="21"/>
        </w:rPr>
      </w:pPr>
      <w:r w:rsidRPr="0091736C">
        <w:rPr>
          <w:rFonts w:ascii="Arial" w:hAnsi="Arial" w:cs="Arial"/>
          <w:sz w:val="21"/>
          <w:szCs w:val="21"/>
        </w:rPr>
        <w:t>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Know How, entre otros</w:t>
      </w:r>
      <w:r w:rsidR="00DA6972">
        <w:rPr>
          <w:rFonts w:ascii="Arial" w:hAnsi="Arial" w:cs="Arial"/>
          <w:sz w:val="21"/>
          <w:szCs w:val="21"/>
        </w:rPr>
        <w:t>.</w:t>
      </w:r>
    </w:p>
    <w:p w14:paraId="31DAD6ED" w14:textId="77777777" w:rsidR="0091736C" w:rsidRPr="0091736C" w:rsidRDefault="0091736C" w:rsidP="0091736C">
      <w:pPr>
        <w:ind w:left="709" w:right="709"/>
        <w:jc w:val="both"/>
        <w:rPr>
          <w:rFonts w:ascii="Arial" w:hAnsi="Arial" w:cs="Arial"/>
          <w:sz w:val="21"/>
          <w:szCs w:val="21"/>
        </w:rPr>
      </w:pPr>
    </w:p>
    <w:p w14:paraId="33740010" w14:textId="77777777" w:rsidR="0091736C" w:rsidRPr="0091736C" w:rsidRDefault="0091736C" w:rsidP="0091736C">
      <w:pPr>
        <w:ind w:left="709" w:right="709"/>
        <w:jc w:val="both"/>
        <w:rPr>
          <w:rFonts w:ascii="Arial" w:hAnsi="Arial" w:cs="Arial"/>
          <w:sz w:val="21"/>
          <w:szCs w:val="21"/>
        </w:rPr>
      </w:pPr>
      <w:r w:rsidRPr="0091736C">
        <w:rPr>
          <w:rFonts w:ascii="Arial" w:hAnsi="Arial" w:cs="Arial"/>
          <w:sz w:val="21"/>
          <w:szCs w:val="21"/>
        </w:rPr>
        <w:t>[…]</w:t>
      </w:r>
    </w:p>
    <w:p w14:paraId="043347F9" w14:textId="77777777" w:rsidR="0091736C" w:rsidRPr="0091736C" w:rsidRDefault="0091736C" w:rsidP="0091736C">
      <w:pPr>
        <w:ind w:left="709" w:right="709"/>
        <w:jc w:val="both"/>
        <w:rPr>
          <w:rFonts w:ascii="Arial" w:hAnsi="Arial" w:cs="Arial"/>
          <w:sz w:val="21"/>
          <w:szCs w:val="21"/>
        </w:rPr>
      </w:pPr>
    </w:p>
    <w:p w14:paraId="3E5CCCFC" w14:textId="586E5E23" w:rsidR="0091736C" w:rsidRPr="0091736C" w:rsidRDefault="0091736C" w:rsidP="0091736C">
      <w:pPr>
        <w:ind w:left="709" w:right="709"/>
        <w:jc w:val="both"/>
        <w:rPr>
          <w:rFonts w:ascii="Arial" w:hAnsi="Arial" w:cs="Arial"/>
          <w:sz w:val="21"/>
          <w:szCs w:val="21"/>
        </w:rPr>
      </w:pPr>
      <w:r w:rsidRPr="0091736C">
        <w:rPr>
          <w:rFonts w:ascii="Arial" w:hAnsi="Arial" w:cs="Arial"/>
          <w:sz w:val="21"/>
          <w:szCs w:val="21"/>
        </w:rPr>
        <w:t xml:space="preserve">En cuanto refiere a </w:t>
      </w:r>
      <w:r w:rsidRPr="0091736C">
        <w:rPr>
          <w:rFonts w:ascii="Arial" w:hAnsi="Arial" w:cs="Arial"/>
          <w:i/>
          <w:iCs/>
          <w:sz w:val="21"/>
          <w:szCs w:val="21"/>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91736C">
        <w:rPr>
          <w:rFonts w:ascii="Arial" w:hAnsi="Arial" w:cs="Arial"/>
          <w:sz w:val="21"/>
          <w:szCs w:val="21"/>
        </w:rPr>
        <w:t>por lo que la considera válida para efecto de ser invocada por la absorbente, a través del certificado que le expida la cámara de comercio con base en la información depositada en el Registro Único de Proponentes, RUP</w:t>
      </w:r>
      <w:r w:rsidRPr="0091736C">
        <w:rPr>
          <w:rFonts w:ascii="Arial" w:hAnsi="Arial" w:cs="Arial"/>
          <w:sz w:val="21"/>
          <w:szCs w:val="21"/>
          <w:vertAlign w:val="superscript"/>
        </w:rPr>
        <w:footnoteReference w:id="18"/>
      </w:r>
      <w:r w:rsidRPr="0091736C">
        <w:rPr>
          <w:rFonts w:ascii="Arial" w:hAnsi="Arial" w:cs="Arial"/>
          <w:sz w:val="21"/>
          <w:szCs w:val="21"/>
        </w:rPr>
        <w:t xml:space="preserve">. </w:t>
      </w:r>
      <w:r w:rsidR="00B808A1">
        <w:rPr>
          <w:rFonts w:ascii="Arial" w:hAnsi="Arial" w:cs="Arial"/>
          <w:sz w:val="21"/>
          <w:szCs w:val="21"/>
        </w:rPr>
        <w:t>(</w:t>
      </w:r>
      <w:r w:rsidRPr="0091736C">
        <w:rPr>
          <w:rFonts w:ascii="Arial" w:hAnsi="Arial" w:cs="Arial"/>
          <w:sz w:val="21"/>
          <w:szCs w:val="21"/>
        </w:rPr>
        <w:t>Énfasis fuera de texto</w:t>
      </w:r>
      <w:r w:rsidR="00B808A1">
        <w:rPr>
          <w:rFonts w:ascii="Arial" w:hAnsi="Arial" w:cs="Arial"/>
          <w:sz w:val="21"/>
          <w:szCs w:val="21"/>
        </w:rPr>
        <w:t>).</w:t>
      </w:r>
    </w:p>
    <w:p w14:paraId="0930BBDD" w14:textId="77777777" w:rsidR="0091736C" w:rsidRPr="0091736C" w:rsidRDefault="0091736C" w:rsidP="0091736C">
      <w:pPr>
        <w:spacing w:line="276" w:lineRule="auto"/>
        <w:ind w:left="709" w:right="709"/>
        <w:jc w:val="both"/>
        <w:rPr>
          <w:rFonts w:ascii="Arial" w:hAnsi="Arial" w:cs="Arial"/>
          <w:sz w:val="21"/>
          <w:szCs w:val="21"/>
        </w:rPr>
      </w:pPr>
    </w:p>
    <w:p w14:paraId="2DA3B85F" w14:textId="77777777" w:rsidR="0091736C" w:rsidRPr="0091736C" w:rsidRDefault="0091736C" w:rsidP="0091736C">
      <w:pPr>
        <w:spacing w:line="276" w:lineRule="auto"/>
        <w:ind w:firstLine="708"/>
        <w:jc w:val="both"/>
        <w:rPr>
          <w:rFonts w:ascii="Arial" w:hAnsi="Arial" w:cs="Arial"/>
          <w:color w:val="000000"/>
          <w:sz w:val="22"/>
          <w:szCs w:val="22"/>
        </w:rPr>
      </w:pPr>
      <w:r w:rsidRPr="0091736C">
        <w:rPr>
          <w:rFonts w:ascii="Arial" w:eastAsia="Calibri" w:hAnsi="Arial" w:cs="Arial"/>
          <w:bCs/>
          <w:sz w:val="22"/>
          <w:szCs w:val="22"/>
        </w:rPr>
        <w:t>En efecto, el artículo 2.2.1.1.1.5.3 del Decreto 1082 de 2015 hace referencia a que las cámaras de comercio deberán registrar la experiencia certificada con base en los «</w:t>
      </w:r>
      <w:r w:rsidRPr="0091736C">
        <w:rPr>
          <w:rFonts w:ascii="Arial" w:hAnsi="Arial" w:cs="Arial"/>
          <w:color w:val="000000"/>
          <w:sz w:val="22"/>
          <w:szCs w:val="22"/>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91736C">
        <w:rPr>
          <w:rFonts w:ascii="Arial" w:hAnsi="Arial" w:cs="Arial"/>
          <w:i/>
          <w:iCs/>
          <w:color w:val="000000"/>
          <w:sz w:val="22"/>
          <w:szCs w:val="22"/>
        </w:rPr>
        <w:t>supra</w:t>
      </w:r>
      <w:r w:rsidRPr="0091736C">
        <w:rPr>
          <w:rFonts w:ascii="Arial" w:hAnsi="Arial" w:cs="Arial"/>
          <w:i/>
          <w:iCs/>
          <w:color w:val="000000"/>
          <w:sz w:val="22"/>
          <w:szCs w:val="22"/>
          <w:vertAlign w:val="superscript"/>
        </w:rPr>
        <w:footnoteReference w:id="19"/>
      </w:r>
      <w:r w:rsidRPr="0091736C">
        <w:rPr>
          <w:rFonts w:ascii="Arial" w:hAnsi="Arial" w:cs="Arial"/>
          <w:color w:val="000000"/>
          <w:sz w:val="22"/>
          <w:szCs w:val="22"/>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07F518D6" w14:textId="5A699C15" w:rsidR="00803C65" w:rsidRPr="00634064" w:rsidRDefault="0091736C" w:rsidP="00634064">
      <w:pPr>
        <w:spacing w:before="120" w:line="276" w:lineRule="auto"/>
        <w:ind w:firstLine="708"/>
        <w:jc w:val="both"/>
        <w:rPr>
          <w:rFonts w:ascii="Arial" w:hAnsi="Arial" w:cs="Arial"/>
          <w:bCs/>
          <w:color w:val="000000"/>
          <w:sz w:val="22"/>
          <w:szCs w:val="22"/>
        </w:rPr>
      </w:pPr>
      <w:r w:rsidRPr="0091736C">
        <w:rPr>
          <w:rFonts w:ascii="Arial" w:hAnsi="Arial" w:cs="Arial"/>
          <w:color w:val="000000"/>
          <w:sz w:val="22"/>
          <w:szCs w:val="22"/>
        </w:rPr>
        <w:lastRenderedPageBreak/>
        <w:t>En ese sentido, considerando que el RUP es el documento que constituye plena prueba de la experiencia adquirida por el proponente, es necesario que la experiencia de la sociedad absorbida qued</w:t>
      </w:r>
      <w:r w:rsidR="00B808A1">
        <w:rPr>
          <w:rFonts w:ascii="Arial" w:hAnsi="Arial" w:cs="Arial"/>
          <w:color w:val="000000"/>
          <w:sz w:val="22"/>
          <w:szCs w:val="22"/>
        </w:rPr>
        <w:t>e</w:t>
      </w:r>
      <w:r w:rsidRPr="0091736C">
        <w:rPr>
          <w:rFonts w:ascii="Arial" w:hAnsi="Arial" w:cs="Arial"/>
          <w:color w:val="000000"/>
          <w:sz w:val="22"/>
          <w:szCs w:val="22"/>
        </w:rPr>
        <w:t xml:space="preserve"> incorporada en el RUP de la absorbente para que esta pueda acreditarla. Esto implica que la sociedad absorbente haya adelantado el respectivo trámite de actualización o renovación del RUP, en el marco del cual se haya consolidado la transferencia de experiencia. </w:t>
      </w:r>
      <w:r w:rsidR="00634064" w:rsidRPr="00634064">
        <w:rPr>
          <w:rFonts w:ascii="Arial" w:hAnsi="Arial" w:cs="Arial"/>
          <w:bCs/>
          <w:color w:val="000000"/>
          <w:sz w:val="22"/>
          <w:szCs w:val="22"/>
        </w:rPr>
        <w:t xml:space="preserve">Para estos efectos, el proponente debe realizar el trámite pertinente ante la </w:t>
      </w:r>
      <w:r w:rsidR="00D84A0A">
        <w:rPr>
          <w:rFonts w:ascii="Arial" w:hAnsi="Arial" w:cs="Arial"/>
          <w:bCs/>
          <w:color w:val="000000"/>
          <w:sz w:val="22"/>
          <w:szCs w:val="22"/>
        </w:rPr>
        <w:t>c</w:t>
      </w:r>
      <w:r w:rsidR="00634064" w:rsidRPr="00634064">
        <w:rPr>
          <w:rFonts w:ascii="Arial" w:hAnsi="Arial" w:cs="Arial"/>
          <w:bCs/>
          <w:color w:val="000000"/>
          <w:sz w:val="22"/>
          <w:szCs w:val="22"/>
        </w:rPr>
        <w:t xml:space="preserve">ámara de </w:t>
      </w:r>
      <w:r w:rsidR="00D84A0A">
        <w:rPr>
          <w:rFonts w:ascii="Arial" w:hAnsi="Arial" w:cs="Arial"/>
          <w:bCs/>
          <w:color w:val="000000"/>
          <w:sz w:val="22"/>
          <w:szCs w:val="22"/>
        </w:rPr>
        <w:t>c</w:t>
      </w:r>
      <w:r w:rsidR="00634064" w:rsidRPr="00634064">
        <w:rPr>
          <w:rFonts w:ascii="Arial" w:hAnsi="Arial" w:cs="Arial"/>
          <w:bCs/>
          <w:color w:val="000000"/>
          <w:sz w:val="22"/>
          <w:szCs w:val="22"/>
        </w:rPr>
        <w:t xml:space="preserve">omercio </w:t>
      </w:r>
      <w:r w:rsidR="00634064" w:rsidRPr="00634064">
        <w:rPr>
          <w:rFonts w:ascii="Arial" w:hAnsi="Arial" w:cs="Arial"/>
          <w:color w:val="000000"/>
          <w:sz w:val="22"/>
          <w:szCs w:val="22"/>
        </w:rPr>
        <w:t>con copia de los contratos o con certificados de los contratos celebrados con diferentes contratantes y los demás documentos requeridos</w:t>
      </w:r>
      <w:r w:rsidR="00634064">
        <w:rPr>
          <w:rFonts w:ascii="Arial" w:hAnsi="Arial" w:cs="Arial"/>
          <w:color w:val="000000"/>
          <w:sz w:val="22"/>
          <w:szCs w:val="22"/>
        </w:rPr>
        <w:t xml:space="preserve"> por dicha entidad</w:t>
      </w:r>
      <w:r w:rsidR="00634064" w:rsidRPr="00634064">
        <w:rPr>
          <w:rFonts w:ascii="Arial" w:hAnsi="Arial" w:cs="Arial"/>
          <w:color w:val="000000"/>
          <w:sz w:val="22"/>
          <w:szCs w:val="22"/>
        </w:rPr>
        <w:t>. Tales contratos deben codificarse con el clasificador de bienes y servicios en el tercer nivel</w:t>
      </w:r>
      <w:r w:rsidR="00B808A1">
        <w:rPr>
          <w:rFonts w:ascii="Arial" w:hAnsi="Arial" w:cs="Arial"/>
          <w:color w:val="000000"/>
          <w:sz w:val="22"/>
          <w:szCs w:val="22"/>
        </w:rPr>
        <w:t>, como se explicó anteriormente.</w:t>
      </w:r>
      <w:r w:rsidR="00634064" w:rsidRPr="00634064">
        <w:rPr>
          <w:rFonts w:ascii="Arial" w:hAnsi="Arial" w:cs="Arial"/>
          <w:color w:val="000000"/>
          <w:sz w:val="22"/>
          <w:szCs w:val="22"/>
        </w:rPr>
        <w:t xml:space="preserve"> </w:t>
      </w:r>
    </w:p>
    <w:p w14:paraId="4F507BFC" w14:textId="77777777" w:rsidR="00700956" w:rsidRPr="00A51520" w:rsidRDefault="00700956" w:rsidP="00700956">
      <w:pPr>
        <w:spacing w:line="276" w:lineRule="auto"/>
        <w:jc w:val="both"/>
        <w:rPr>
          <w:rFonts w:ascii="Arial" w:hAnsi="Arial" w:cs="Arial"/>
          <w:sz w:val="22"/>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B90E5C">
      <w:pPr>
        <w:spacing w:line="276" w:lineRule="auto"/>
        <w:jc w:val="both"/>
        <w:rPr>
          <w:rFonts w:ascii="Arial" w:hAnsi="Arial" w:cs="Arial"/>
          <w:color w:val="000000" w:themeColor="text1"/>
          <w:sz w:val="22"/>
          <w:lang w:val="es-ES_tradnl"/>
        </w:rPr>
      </w:pPr>
    </w:p>
    <w:p w14:paraId="6D245606" w14:textId="2AA87F83" w:rsidR="009903B1" w:rsidRDefault="00A518D9" w:rsidP="000231A1">
      <w:pPr>
        <w:ind w:left="709" w:right="709"/>
        <w:jc w:val="both"/>
        <w:rPr>
          <w:rFonts w:ascii="Arial" w:eastAsia="Calibri" w:hAnsi="Arial" w:cs="Arial"/>
          <w:bCs/>
          <w:sz w:val="21"/>
          <w:szCs w:val="21"/>
          <w:lang w:val="es-ES_tradnl" w:eastAsia="en-US"/>
        </w:rPr>
      </w:pPr>
      <w:r w:rsidRPr="00150A26">
        <w:rPr>
          <w:rFonts w:ascii="Arial" w:eastAsia="Calibri" w:hAnsi="Arial" w:cs="Arial"/>
          <w:bCs/>
          <w:sz w:val="21"/>
          <w:szCs w:val="21"/>
          <w:lang w:eastAsia="en-US"/>
        </w:rPr>
        <w:t xml:space="preserve">«1. </w:t>
      </w:r>
      <w:r w:rsidRPr="00150A26">
        <w:rPr>
          <w:rFonts w:ascii="Arial" w:eastAsia="Calibri" w:hAnsi="Arial" w:cs="Arial"/>
          <w:bCs/>
          <w:sz w:val="21"/>
          <w:szCs w:val="21"/>
          <w:lang w:val="es-ES_tradnl" w:eastAsia="en-US"/>
        </w:rPr>
        <w:t>Que la entidad rinda concepto respecto a los efectos que tiene la fusión en la experiencia adquirida por las sociedades que participan en esta operación, tanto si es por absorción como si es para la constitución de una nueva sociedad.</w:t>
      </w:r>
    </w:p>
    <w:p w14:paraId="1D307F56" w14:textId="6891C94D" w:rsidR="009903B1" w:rsidRDefault="009903B1" w:rsidP="00C6624E">
      <w:pPr>
        <w:spacing w:line="276" w:lineRule="auto"/>
        <w:ind w:right="476"/>
        <w:jc w:val="both"/>
        <w:rPr>
          <w:rFonts w:ascii="Arial" w:eastAsia="Calibri" w:hAnsi="Arial" w:cs="Arial"/>
          <w:bCs/>
          <w:sz w:val="21"/>
          <w:szCs w:val="21"/>
          <w:lang w:val="es-ES_tradnl" w:eastAsia="en-US"/>
        </w:rPr>
      </w:pPr>
    </w:p>
    <w:p w14:paraId="3676CC40" w14:textId="3E1CD14C" w:rsidR="00C6624E" w:rsidRPr="00C51C15" w:rsidRDefault="00C6624E" w:rsidP="00C51C15">
      <w:pPr>
        <w:spacing w:line="276" w:lineRule="auto"/>
        <w:jc w:val="both"/>
        <w:rPr>
          <w:rFonts w:ascii="Arial" w:hAnsi="Arial" w:cs="Arial"/>
          <w:bCs/>
          <w:color w:val="000000"/>
          <w:sz w:val="22"/>
          <w:szCs w:val="22"/>
        </w:rPr>
      </w:pPr>
      <w:r w:rsidRPr="00C51C15">
        <w:rPr>
          <w:rFonts w:ascii="Arial" w:hAnsi="Arial" w:cs="Arial"/>
          <w:bCs/>
          <w:color w:val="000000"/>
          <w:sz w:val="22"/>
          <w:szCs w:val="22"/>
        </w:rPr>
        <w:t>Con fundamento en las consideraciones efectuadas,</w:t>
      </w:r>
      <w:r w:rsidR="006B630C">
        <w:rPr>
          <w:rFonts w:ascii="Arial" w:hAnsi="Arial" w:cs="Arial"/>
          <w:bCs/>
          <w:color w:val="000000"/>
          <w:sz w:val="22"/>
          <w:szCs w:val="22"/>
        </w:rPr>
        <w:t xml:space="preserve"> </w:t>
      </w:r>
      <w:r w:rsidR="006B630C" w:rsidRPr="00C51C15">
        <w:rPr>
          <w:rFonts w:ascii="Arial" w:hAnsi="Arial" w:cs="Arial"/>
          <w:bCs/>
          <w:color w:val="000000"/>
          <w:sz w:val="22"/>
          <w:szCs w:val="22"/>
        </w:rPr>
        <w:t xml:space="preserve">la Subdirección de Gestión Contractual responde su petición, reiterando </w:t>
      </w:r>
      <w:r w:rsidR="006B630C">
        <w:rPr>
          <w:rFonts w:ascii="Arial" w:hAnsi="Arial" w:cs="Arial"/>
          <w:bCs/>
          <w:color w:val="000000"/>
          <w:sz w:val="22"/>
          <w:szCs w:val="22"/>
        </w:rPr>
        <w:t xml:space="preserve">que </w:t>
      </w:r>
      <w:r w:rsidRPr="00C51C15">
        <w:rPr>
          <w:rFonts w:ascii="Arial" w:hAnsi="Arial" w:cs="Arial"/>
          <w:bCs/>
          <w:color w:val="000000"/>
          <w:sz w:val="22"/>
          <w:szCs w:val="22"/>
        </w:rPr>
        <w:t>si bien en principio la experiencia de las personas jurídicas es intransferible en la contratación estatal regulada por el Estatuto General de Contratación de la Administración Pública, dicha regla general tiene excepciones. Una de ellas se presenta en la fusión, pues, al disolverse la persona jurídica, sin liquidarse, puede transferirle la experiencia a la sociedad resultante.</w:t>
      </w:r>
      <w:r w:rsidR="00F805FF">
        <w:rPr>
          <w:rFonts w:ascii="Arial" w:hAnsi="Arial" w:cs="Arial"/>
          <w:bCs/>
          <w:color w:val="000000"/>
          <w:sz w:val="22"/>
          <w:szCs w:val="22"/>
        </w:rPr>
        <w:t xml:space="preserve"> En efecto</w:t>
      </w:r>
      <w:r w:rsidRPr="00C51C15">
        <w:rPr>
          <w:rFonts w:ascii="Arial" w:hAnsi="Arial" w:cs="Arial"/>
          <w:bCs/>
          <w:color w:val="000000"/>
          <w:sz w:val="22"/>
          <w:szCs w:val="22"/>
        </w:rPr>
        <w:t xml:space="preserve">, </w:t>
      </w:r>
      <w:r w:rsidR="00634064" w:rsidRPr="00C51C15">
        <w:rPr>
          <w:rFonts w:ascii="Arial" w:hAnsi="Arial" w:cs="Arial"/>
          <w:bCs/>
          <w:color w:val="000000"/>
          <w:sz w:val="22"/>
          <w:szCs w:val="22"/>
        </w:rPr>
        <w:t xml:space="preserve">en la fusión por absorción </w:t>
      </w:r>
      <w:r w:rsidR="008549C7" w:rsidRPr="00C51C15">
        <w:rPr>
          <w:rFonts w:ascii="Arial" w:hAnsi="Arial" w:cs="Arial"/>
          <w:bCs/>
          <w:color w:val="000000"/>
          <w:sz w:val="22"/>
          <w:szCs w:val="22"/>
        </w:rPr>
        <w:t xml:space="preserve">y </w:t>
      </w:r>
      <w:r w:rsidR="00634064" w:rsidRPr="00C51C15">
        <w:rPr>
          <w:rFonts w:ascii="Arial" w:hAnsi="Arial" w:cs="Arial"/>
          <w:bCs/>
          <w:color w:val="000000"/>
          <w:sz w:val="22"/>
          <w:szCs w:val="22"/>
        </w:rPr>
        <w:t xml:space="preserve">en la </w:t>
      </w:r>
      <w:r w:rsidR="00B808A1">
        <w:rPr>
          <w:rFonts w:ascii="Arial" w:hAnsi="Arial" w:cs="Arial"/>
          <w:bCs/>
          <w:color w:val="000000"/>
          <w:sz w:val="22"/>
          <w:szCs w:val="22"/>
        </w:rPr>
        <w:t xml:space="preserve">que da lugar a la </w:t>
      </w:r>
      <w:r w:rsidR="00634064" w:rsidRPr="00C51C15">
        <w:rPr>
          <w:rFonts w:ascii="Arial" w:hAnsi="Arial" w:cs="Arial"/>
          <w:bCs/>
          <w:color w:val="000000"/>
          <w:sz w:val="22"/>
          <w:szCs w:val="22"/>
        </w:rPr>
        <w:t>creación de una nueva sociedad, la experiencia es transferible en la medida en que la sociedad se disuelve y no se liquida, es decir, no desaparece</w:t>
      </w:r>
      <w:r w:rsidR="00B808A1">
        <w:rPr>
          <w:rFonts w:ascii="Arial" w:hAnsi="Arial" w:cs="Arial"/>
          <w:bCs/>
          <w:color w:val="000000"/>
          <w:sz w:val="22"/>
          <w:szCs w:val="22"/>
        </w:rPr>
        <w:t>, sino que continúa a través de otra</w:t>
      </w:r>
      <w:r w:rsidR="00634064" w:rsidRPr="00C51C15">
        <w:rPr>
          <w:rFonts w:ascii="Arial" w:hAnsi="Arial" w:cs="Arial"/>
          <w:bCs/>
          <w:color w:val="000000"/>
          <w:sz w:val="22"/>
          <w:szCs w:val="22"/>
        </w:rPr>
        <w:t xml:space="preserve">. En este sentido, la trasferencia de la experiencia ocurre porque la persona jurídica continúa a través de otra, esto es, deja de ser quien es pero no desaparece porque otra sociedad se convierte en ella, ya sea una sociedad nueva cuando es fusión por creación, o una sociedad existente en la fusión por absorción. </w:t>
      </w:r>
    </w:p>
    <w:p w14:paraId="3BE47E9E" w14:textId="48E26B80" w:rsidR="009903B1" w:rsidRPr="00150A26" w:rsidRDefault="00C6624E" w:rsidP="00C51C15">
      <w:pPr>
        <w:spacing w:before="120" w:line="276" w:lineRule="auto"/>
        <w:ind w:firstLine="709"/>
        <w:jc w:val="both"/>
        <w:rPr>
          <w:rFonts w:ascii="Arial" w:hAnsi="Arial" w:cs="Arial"/>
          <w:bCs/>
          <w:color w:val="000000"/>
          <w:sz w:val="22"/>
          <w:szCs w:val="22"/>
        </w:rPr>
      </w:pPr>
      <w:r w:rsidRPr="00C6624E">
        <w:rPr>
          <w:rFonts w:ascii="Arial" w:hAnsi="Arial" w:cs="Arial"/>
          <w:bCs/>
          <w:color w:val="000000"/>
          <w:sz w:val="22"/>
          <w:szCs w:val="22"/>
        </w:rPr>
        <w:t>En consecuencia, en la fusión por absorción</w:t>
      </w:r>
      <w:r w:rsidR="00086A59" w:rsidRPr="00C51C15">
        <w:rPr>
          <w:rFonts w:ascii="Arial" w:hAnsi="Arial" w:cs="Arial"/>
          <w:bCs/>
          <w:color w:val="000000"/>
          <w:sz w:val="22"/>
          <w:szCs w:val="22"/>
        </w:rPr>
        <w:t xml:space="preserve"> o creación de una nueva sociedad</w:t>
      </w:r>
      <w:r w:rsidRPr="00C6624E">
        <w:rPr>
          <w:rFonts w:ascii="Arial" w:hAnsi="Arial" w:cs="Arial"/>
          <w:bCs/>
          <w:color w:val="000000"/>
          <w:sz w:val="22"/>
          <w:szCs w:val="22"/>
        </w:rPr>
        <w:t xml:space="preserve"> es posible que la sociedad absorbente</w:t>
      </w:r>
      <w:r w:rsidR="00C51C15">
        <w:rPr>
          <w:rFonts w:ascii="Arial" w:hAnsi="Arial" w:cs="Arial"/>
          <w:bCs/>
          <w:color w:val="000000"/>
          <w:sz w:val="22"/>
          <w:szCs w:val="22"/>
        </w:rPr>
        <w:t xml:space="preserve"> o la nueva</w:t>
      </w:r>
      <w:r w:rsidRPr="00C6624E">
        <w:rPr>
          <w:rFonts w:ascii="Arial" w:hAnsi="Arial" w:cs="Arial"/>
          <w:bCs/>
          <w:color w:val="000000"/>
          <w:sz w:val="22"/>
          <w:szCs w:val="22"/>
        </w:rPr>
        <w:t xml:space="preserve"> obtenga la experiencia de la absorbida, porque esta última continuó a través de la primera, y ello implica que transfirió su experiencia debido a que no se liquidó, es decir</w:t>
      </w:r>
      <w:r w:rsidR="00B808A1">
        <w:rPr>
          <w:rFonts w:ascii="Arial" w:hAnsi="Arial" w:cs="Arial"/>
          <w:bCs/>
          <w:color w:val="000000"/>
          <w:sz w:val="22"/>
          <w:szCs w:val="22"/>
        </w:rPr>
        <w:t>,</w:t>
      </w:r>
      <w:r w:rsidRPr="00C6624E">
        <w:rPr>
          <w:rFonts w:ascii="Arial" w:hAnsi="Arial" w:cs="Arial"/>
          <w:bCs/>
          <w:color w:val="000000"/>
          <w:sz w:val="22"/>
          <w:szCs w:val="22"/>
        </w:rPr>
        <w:t xml:space="preserve"> no desapareció, lo que haría imposible la transferencia de experiencia. </w:t>
      </w:r>
    </w:p>
    <w:p w14:paraId="543D119A" w14:textId="77777777" w:rsidR="00A518D9" w:rsidRPr="00150A26" w:rsidRDefault="00A518D9" w:rsidP="00A518D9">
      <w:pPr>
        <w:ind w:left="709" w:right="474"/>
        <w:jc w:val="both"/>
        <w:rPr>
          <w:rFonts w:ascii="Arial" w:eastAsia="Calibri" w:hAnsi="Arial" w:cs="Arial"/>
          <w:bCs/>
          <w:sz w:val="21"/>
          <w:szCs w:val="21"/>
          <w:lang w:val="es-ES_tradnl" w:eastAsia="en-US"/>
        </w:rPr>
      </w:pPr>
    </w:p>
    <w:p w14:paraId="45D92546" w14:textId="77777777" w:rsidR="00A518D9" w:rsidRPr="00150A26" w:rsidRDefault="00A518D9" w:rsidP="00A518D9">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t xml:space="preserve">2. Que la entidad rinda concepto respecto a la integración que se realiza a través del RUP de la experiencia adquirida por las sociedades que participan en la fusión, y su representación como experiencia de la sociedad absorbente o nueva sociedad. </w:t>
      </w:r>
    </w:p>
    <w:p w14:paraId="3677D096" w14:textId="77777777" w:rsidR="00A518D9" w:rsidRPr="00150A26" w:rsidRDefault="00A518D9" w:rsidP="00A518D9">
      <w:pPr>
        <w:ind w:left="709" w:right="474"/>
        <w:jc w:val="both"/>
        <w:rPr>
          <w:rFonts w:ascii="Arial" w:eastAsia="Calibri" w:hAnsi="Arial" w:cs="Arial"/>
          <w:bCs/>
          <w:sz w:val="21"/>
          <w:szCs w:val="21"/>
          <w:lang w:val="es-ES_tradnl" w:eastAsia="en-US"/>
        </w:rPr>
      </w:pPr>
    </w:p>
    <w:p w14:paraId="2D89E262" w14:textId="77777777" w:rsidR="00A518D9" w:rsidRPr="00150A26" w:rsidRDefault="00A518D9" w:rsidP="00A518D9">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t xml:space="preserve">3. Que la entidad rinda concepto acerca de la acreditación de experiencia de las sociedades participantes en la fusión, cuando es presentada por la nueva sociedad o la sociedad absorbente como requisito habilitante en un proceso de selección. </w:t>
      </w:r>
    </w:p>
    <w:p w14:paraId="1AC6C65F" w14:textId="56B4F2AB" w:rsidR="009903B1" w:rsidRDefault="009903B1" w:rsidP="00C96A86">
      <w:pPr>
        <w:spacing w:line="276" w:lineRule="auto"/>
        <w:jc w:val="both"/>
        <w:rPr>
          <w:rFonts w:ascii="Arial" w:eastAsia="Calibri" w:hAnsi="Arial" w:cs="Arial"/>
          <w:bCs/>
          <w:sz w:val="21"/>
          <w:szCs w:val="21"/>
          <w:lang w:val="es-ES_tradnl" w:eastAsia="en-US"/>
        </w:rPr>
      </w:pPr>
    </w:p>
    <w:p w14:paraId="394A3D39" w14:textId="77777777" w:rsidR="009903B1" w:rsidRPr="009903B1" w:rsidRDefault="009903B1" w:rsidP="00C96A86">
      <w:pPr>
        <w:spacing w:line="276" w:lineRule="auto"/>
        <w:jc w:val="both"/>
        <w:rPr>
          <w:rFonts w:ascii="Arial" w:hAnsi="Arial" w:cs="Arial"/>
          <w:i/>
          <w:iCs/>
          <w:color w:val="000000"/>
          <w:sz w:val="22"/>
          <w:szCs w:val="22"/>
        </w:rPr>
      </w:pPr>
      <w:r w:rsidRPr="009903B1">
        <w:rPr>
          <w:rFonts w:ascii="Arial" w:eastAsia="Calibri" w:hAnsi="Arial" w:cs="Arial"/>
          <w:bCs/>
          <w:sz w:val="22"/>
          <w:szCs w:val="22"/>
        </w:rPr>
        <w:t>El artículo 2.2.1.1.1.5.3 del Decreto 1082 de 2015 hace referencia a que las cámaras de comercio deberán registrar la experiencia certificada con base en los «</w:t>
      </w:r>
      <w:r w:rsidRPr="009903B1">
        <w:rPr>
          <w:rFonts w:ascii="Arial" w:hAnsi="Arial" w:cs="Arial"/>
          <w:color w:val="000000"/>
          <w:sz w:val="22"/>
          <w:szCs w:val="22"/>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9903B1">
        <w:rPr>
          <w:rFonts w:ascii="Arial" w:hAnsi="Arial" w:cs="Arial"/>
          <w:i/>
          <w:iCs/>
          <w:color w:val="000000"/>
          <w:sz w:val="22"/>
          <w:szCs w:val="22"/>
        </w:rPr>
        <w:t>supra.</w:t>
      </w:r>
    </w:p>
    <w:p w14:paraId="11CAD4BF" w14:textId="2DE30236" w:rsidR="002F0430" w:rsidRPr="009903B1" w:rsidRDefault="009903B1" w:rsidP="00C96A86">
      <w:pPr>
        <w:spacing w:before="120" w:line="276" w:lineRule="auto"/>
        <w:ind w:firstLine="709"/>
        <w:jc w:val="both"/>
        <w:rPr>
          <w:rFonts w:ascii="Arial" w:eastAsia="Calibri" w:hAnsi="Arial" w:cs="Arial"/>
          <w:bCs/>
          <w:sz w:val="22"/>
          <w:szCs w:val="22"/>
          <w:lang w:eastAsia="en-US"/>
        </w:rPr>
      </w:pPr>
      <w:r w:rsidRPr="009903B1">
        <w:rPr>
          <w:rFonts w:ascii="Arial" w:eastAsia="Calibri" w:hAnsi="Arial" w:cs="Arial"/>
          <w:bCs/>
          <w:sz w:val="22"/>
          <w:szCs w:val="22"/>
          <w:lang w:eastAsia="en-US"/>
        </w:rPr>
        <w:t>En ese sentido, considerando que el RUP es el documento que constituye plena prueba de la experiencia adquirida por el proponente, es necesario que la experiencia de la sociedad absorbida qued</w:t>
      </w:r>
      <w:r w:rsidR="00B808A1">
        <w:rPr>
          <w:rFonts w:ascii="Arial" w:eastAsia="Calibri" w:hAnsi="Arial" w:cs="Arial"/>
          <w:bCs/>
          <w:sz w:val="22"/>
          <w:szCs w:val="22"/>
          <w:lang w:eastAsia="en-US"/>
        </w:rPr>
        <w:t>e</w:t>
      </w:r>
      <w:r w:rsidRPr="009903B1">
        <w:rPr>
          <w:rFonts w:ascii="Arial" w:eastAsia="Calibri" w:hAnsi="Arial" w:cs="Arial"/>
          <w:bCs/>
          <w:sz w:val="22"/>
          <w:szCs w:val="22"/>
          <w:lang w:eastAsia="en-US"/>
        </w:rPr>
        <w:t xml:space="preserve"> incorporada en el RUP de la absorbente para que esta pueda acreditarla</w:t>
      </w:r>
      <w:r w:rsidR="00F805FF">
        <w:rPr>
          <w:rFonts w:ascii="Arial" w:eastAsia="Calibri" w:hAnsi="Arial" w:cs="Arial"/>
          <w:bCs/>
          <w:sz w:val="22"/>
          <w:szCs w:val="22"/>
          <w:lang w:eastAsia="en-US"/>
        </w:rPr>
        <w:t xml:space="preserve"> dentro de</w:t>
      </w:r>
      <w:r w:rsidR="00B808A1">
        <w:rPr>
          <w:rFonts w:ascii="Arial" w:eastAsia="Calibri" w:hAnsi="Arial" w:cs="Arial"/>
          <w:bCs/>
          <w:sz w:val="22"/>
          <w:szCs w:val="22"/>
          <w:lang w:eastAsia="en-US"/>
        </w:rPr>
        <w:t xml:space="preserve"> un</w:t>
      </w:r>
      <w:r w:rsidR="00F805FF">
        <w:rPr>
          <w:rFonts w:ascii="Arial" w:eastAsia="Calibri" w:hAnsi="Arial" w:cs="Arial"/>
          <w:bCs/>
          <w:sz w:val="22"/>
          <w:szCs w:val="22"/>
          <w:lang w:eastAsia="en-US"/>
        </w:rPr>
        <w:t xml:space="preserve"> </w:t>
      </w:r>
      <w:r w:rsidR="00B808A1">
        <w:rPr>
          <w:rFonts w:ascii="Arial" w:eastAsia="Calibri" w:hAnsi="Arial" w:cs="Arial"/>
          <w:bCs/>
          <w:sz w:val="22"/>
          <w:szCs w:val="22"/>
          <w:lang w:eastAsia="en-US"/>
        </w:rPr>
        <w:t>p</w:t>
      </w:r>
      <w:r w:rsidR="00F805FF">
        <w:rPr>
          <w:rFonts w:ascii="Arial" w:eastAsia="Calibri" w:hAnsi="Arial" w:cs="Arial"/>
          <w:bCs/>
          <w:sz w:val="22"/>
          <w:szCs w:val="22"/>
          <w:lang w:eastAsia="en-US"/>
        </w:rPr>
        <w:t>roce</w:t>
      </w:r>
      <w:r w:rsidR="00B808A1">
        <w:rPr>
          <w:rFonts w:ascii="Arial" w:eastAsia="Calibri" w:hAnsi="Arial" w:cs="Arial"/>
          <w:bCs/>
          <w:sz w:val="22"/>
          <w:szCs w:val="22"/>
          <w:lang w:eastAsia="en-US"/>
        </w:rPr>
        <w:t>dimiento de selección de contratistas</w:t>
      </w:r>
      <w:r w:rsidRPr="009903B1">
        <w:rPr>
          <w:rFonts w:ascii="Arial" w:eastAsia="Calibri" w:hAnsi="Arial" w:cs="Arial"/>
          <w:bCs/>
          <w:sz w:val="22"/>
          <w:szCs w:val="22"/>
          <w:lang w:eastAsia="en-US"/>
        </w:rPr>
        <w:t xml:space="preserve">. Esto implica que la sociedad absorbente haya adelantado el respectivo trámite de actualización o renovación del RUP, en el marco del cual se haya consolidado la transferencia de experiencia. </w:t>
      </w:r>
      <w:r w:rsidR="002F0430">
        <w:rPr>
          <w:rFonts w:ascii="Arial" w:eastAsia="Calibri" w:hAnsi="Arial" w:cs="Arial"/>
          <w:bCs/>
          <w:sz w:val="22"/>
          <w:szCs w:val="22"/>
          <w:lang w:eastAsia="en-US"/>
        </w:rPr>
        <w:t>Para estos efectos, el proponente debe realizar el tr</w:t>
      </w:r>
      <w:r w:rsidR="00E74622">
        <w:rPr>
          <w:rFonts w:ascii="Arial" w:eastAsia="Calibri" w:hAnsi="Arial" w:cs="Arial"/>
          <w:bCs/>
          <w:sz w:val="22"/>
          <w:szCs w:val="22"/>
          <w:lang w:eastAsia="en-US"/>
        </w:rPr>
        <w:t>á</w:t>
      </w:r>
      <w:r w:rsidR="002F0430">
        <w:rPr>
          <w:rFonts w:ascii="Arial" w:eastAsia="Calibri" w:hAnsi="Arial" w:cs="Arial"/>
          <w:bCs/>
          <w:sz w:val="22"/>
          <w:szCs w:val="22"/>
          <w:lang w:eastAsia="en-US"/>
        </w:rPr>
        <w:t xml:space="preserve">mite pertinente ante la </w:t>
      </w:r>
      <w:r w:rsidR="00D84A0A">
        <w:rPr>
          <w:rFonts w:ascii="Arial" w:eastAsia="Calibri" w:hAnsi="Arial" w:cs="Arial"/>
          <w:bCs/>
          <w:sz w:val="22"/>
          <w:szCs w:val="22"/>
          <w:lang w:eastAsia="en-US"/>
        </w:rPr>
        <w:t>c</w:t>
      </w:r>
      <w:r w:rsidR="002F0430">
        <w:rPr>
          <w:rFonts w:ascii="Arial" w:eastAsia="Calibri" w:hAnsi="Arial" w:cs="Arial"/>
          <w:bCs/>
          <w:sz w:val="22"/>
          <w:szCs w:val="22"/>
          <w:lang w:eastAsia="en-US"/>
        </w:rPr>
        <w:t xml:space="preserve">ámara de </w:t>
      </w:r>
      <w:r w:rsidR="00D84A0A">
        <w:rPr>
          <w:rFonts w:ascii="Arial" w:eastAsia="Calibri" w:hAnsi="Arial" w:cs="Arial"/>
          <w:bCs/>
          <w:sz w:val="22"/>
          <w:szCs w:val="22"/>
          <w:lang w:eastAsia="en-US"/>
        </w:rPr>
        <w:t>c</w:t>
      </w:r>
      <w:r w:rsidR="002F0430">
        <w:rPr>
          <w:rFonts w:ascii="Arial" w:eastAsia="Calibri" w:hAnsi="Arial" w:cs="Arial"/>
          <w:bCs/>
          <w:sz w:val="22"/>
          <w:szCs w:val="22"/>
          <w:lang w:eastAsia="en-US"/>
        </w:rPr>
        <w:t xml:space="preserve">omercio </w:t>
      </w:r>
      <w:r w:rsidR="002F0430" w:rsidRPr="00DC5CAD">
        <w:rPr>
          <w:rFonts w:ascii="Arial" w:eastAsia="Calibri" w:hAnsi="Arial" w:cs="Arial"/>
          <w:sz w:val="22"/>
        </w:rPr>
        <w:t>con copia de los contratos o con certificados de los contratos celebrados con diferentes contratantes</w:t>
      </w:r>
      <w:r w:rsidR="00FA2D1E">
        <w:rPr>
          <w:rFonts w:ascii="Arial" w:eastAsia="Calibri" w:hAnsi="Arial" w:cs="Arial"/>
          <w:sz w:val="22"/>
        </w:rPr>
        <w:t xml:space="preserve"> y los demás documentos requeridos</w:t>
      </w:r>
      <w:r w:rsidR="00634064">
        <w:rPr>
          <w:rFonts w:ascii="Arial" w:eastAsia="Calibri" w:hAnsi="Arial" w:cs="Arial"/>
          <w:sz w:val="22"/>
        </w:rPr>
        <w:t xml:space="preserve"> por dicha entidad</w:t>
      </w:r>
      <w:r w:rsidR="002F0430">
        <w:rPr>
          <w:rFonts w:ascii="Arial" w:eastAsia="Calibri" w:hAnsi="Arial" w:cs="Arial"/>
          <w:sz w:val="22"/>
        </w:rPr>
        <w:t xml:space="preserve">. Tales </w:t>
      </w:r>
      <w:r w:rsidR="00FA2D1E">
        <w:rPr>
          <w:rFonts w:ascii="Arial" w:eastAsia="Calibri" w:hAnsi="Arial" w:cs="Arial"/>
          <w:sz w:val="22"/>
        </w:rPr>
        <w:t>contratos</w:t>
      </w:r>
      <w:r w:rsidR="002F0430" w:rsidRPr="00DC5CAD">
        <w:rPr>
          <w:rFonts w:ascii="Arial" w:eastAsia="Calibri" w:hAnsi="Arial" w:cs="Arial"/>
          <w:sz w:val="22"/>
        </w:rPr>
        <w:t xml:space="preserve"> deben codificarse con el clasificador de bienes y servicios en el tercer nivel. </w:t>
      </w:r>
    </w:p>
    <w:p w14:paraId="297C6186" w14:textId="77777777" w:rsidR="009903B1" w:rsidRPr="00150A26" w:rsidRDefault="009903B1" w:rsidP="009903B1">
      <w:pPr>
        <w:ind w:right="474"/>
        <w:jc w:val="both"/>
        <w:rPr>
          <w:rFonts w:ascii="Arial" w:eastAsia="Calibri" w:hAnsi="Arial" w:cs="Arial"/>
          <w:bCs/>
          <w:sz w:val="21"/>
          <w:szCs w:val="21"/>
          <w:lang w:val="es-ES_tradnl" w:eastAsia="en-US"/>
        </w:rPr>
      </w:pPr>
    </w:p>
    <w:p w14:paraId="35EFD375" w14:textId="04777209" w:rsidR="00A518D9" w:rsidRDefault="00A518D9" w:rsidP="00A518D9">
      <w:pPr>
        <w:ind w:left="709" w:right="474"/>
        <w:jc w:val="both"/>
        <w:rPr>
          <w:rFonts w:ascii="Arial" w:eastAsia="Calibri" w:hAnsi="Arial" w:cs="Arial"/>
          <w:bCs/>
          <w:sz w:val="21"/>
          <w:szCs w:val="21"/>
          <w:lang w:val="es-ES_tradnl" w:eastAsia="en-US"/>
        </w:rPr>
      </w:pPr>
      <w:r w:rsidRPr="00150A26">
        <w:rPr>
          <w:rFonts w:ascii="Arial" w:eastAsia="Calibri" w:hAnsi="Arial" w:cs="Arial"/>
          <w:bCs/>
          <w:sz w:val="21"/>
          <w:szCs w:val="21"/>
          <w:lang w:val="es-ES_tradnl" w:eastAsia="en-US"/>
        </w:rPr>
        <w:t xml:space="preserve">4. Que la entidad rinda concepto con respecto a la divisibilidad y transferencia de la experiencia adquirida por una sociedad que a través de la escisión busca asignarla en sociedad beneficiarias. </w:t>
      </w:r>
    </w:p>
    <w:p w14:paraId="755E7B3D" w14:textId="77777777" w:rsidR="00F805FF" w:rsidRPr="00150A26" w:rsidRDefault="00F805FF" w:rsidP="00C96A86">
      <w:pPr>
        <w:tabs>
          <w:tab w:val="left" w:pos="8222"/>
        </w:tabs>
        <w:jc w:val="both"/>
        <w:rPr>
          <w:rFonts w:ascii="Arial" w:eastAsia="Calibri" w:hAnsi="Arial" w:cs="Arial"/>
          <w:bCs/>
          <w:sz w:val="21"/>
          <w:szCs w:val="21"/>
          <w:lang w:val="es-ES_tradnl" w:eastAsia="en-US"/>
        </w:rPr>
      </w:pPr>
    </w:p>
    <w:p w14:paraId="552D287C" w14:textId="28E7EAF4" w:rsidR="000271C5" w:rsidRDefault="00C96A86" w:rsidP="00C96A86">
      <w:pPr>
        <w:tabs>
          <w:tab w:val="left" w:pos="8222"/>
        </w:tabs>
        <w:spacing w:line="276" w:lineRule="auto"/>
        <w:jc w:val="both"/>
        <w:rPr>
          <w:rFonts w:ascii="Arial" w:eastAsia="Calibri" w:hAnsi="Arial" w:cs="Arial"/>
          <w:bCs/>
          <w:sz w:val="22"/>
          <w:szCs w:val="22"/>
          <w:lang w:val="es-MX" w:eastAsia="en-US"/>
        </w:rPr>
      </w:pPr>
      <w:r w:rsidRPr="00C96A86">
        <w:rPr>
          <w:rFonts w:ascii="Arial" w:eastAsia="Calibri" w:hAnsi="Arial" w:cs="Arial"/>
          <w:bCs/>
          <w:sz w:val="22"/>
          <w:szCs w:val="22"/>
          <w:lang w:val="es-MX" w:eastAsia="en-US"/>
        </w:rPr>
        <w:t>Conforme se expuso</w:t>
      </w:r>
      <w:r>
        <w:rPr>
          <w:rFonts w:ascii="Arial" w:eastAsia="Calibri" w:hAnsi="Arial" w:cs="Arial"/>
          <w:bCs/>
          <w:sz w:val="22"/>
          <w:szCs w:val="22"/>
          <w:lang w:val="es-MX" w:eastAsia="en-US"/>
        </w:rPr>
        <w:t xml:space="preserve"> en las consideraciones de este concepto</w:t>
      </w:r>
      <w:r w:rsidRPr="00C96A86">
        <w:rPr>
          <w:rFonts w:ascii="Arial" w:eastAsia="Calibri" w:hAnsi="Arial" w:cs="Arial"/>
          <w:bCs/>
          <w:sz w:val="22"/>
          <w:szCs w:val="22"/>
          <w:lang w:val="es-MX" w:eastAsia="en-US"/>
        </w:rPr>
        <w:t xml:space="preserve">, la primera modalidad </w:t>
      </w:r>
      <w:r>
        <w:rPr>
          <w:rFonts w:ascii="Arial" w:eastAsia="Calibri" w:hAnsi="Arial" w:cs="Arial"/>
          <w:bCs/>
          <w:sz w:val="22"/>
          <w:szCs w:val="22"/>
          <w:lang w:val="es-MX" w:eastAsia="en-US"/>
        </w:rPr>
        <w:t xml:space="preserve">de la escisión </w:t>
      </w:r>
      <w:r w:rsidRPr="00C96A86">
        <w:rPr>
          <w:rFonts w:ascii="Arial" w:eastAsia="Calibri" w:hAnsi="Arial" w:cs="Arial"/>
          <w:bCs/>
          <w:sz w:val="22"/>
          <w:szCs w:val="22"/>
          <w:lang w:val="es-MX" w:eastAsia="en-US"/>
        </w:rPr>
        <w:t xml:space="preserve">señala que la </w:t>
      </w:r>
      <w:r w:rsidR="009756E0" w:rsidRPr="009756E0">
        <w:rPr>
          <w:rFonts w:ascii="Arial" w:eastAsia="Calibri" w:hAnsi="Arial" w:cs="Arial"/>
          <w:bCs/>
          <w:sz w:val="22"/>
          <w:szCs w:val="22"/>
          <w:lang w:eastAsia="en-US"/>
        </w:rPr>
        <w:t>sociedad no se «disuelve» ni se «liquida», es decir, permanece sin modificaciones ni reformas, pero fracciona su patrimonio para transferir una o varias partes, a una o varias sociedades existentes o por crearse</w:t>
      </w:r>
      <w:r w:rsidR="009756E0">
        <w:rPr>
          <w:rFonts w:ascii="Arial" w:eastAsia="Calibri" w:hAnsi="Arial" w:cs="Arial"/>
          <w:bCs/>
          <w:sz w:val="22"/>
          <w:szCs w:val="22"/>
          <w:lang w:eastAsia="en-US"/>
        </w:rPr>
        <w:t xml:space="preserve">, </w:t>
      </w:r>
      <w:r w:rsidRPr="00C96A86">
        <w:rPr>
          <w:rFonts w:ascii="Arial" w:eastAsia="Calibri" w:hAnsi="Arial" w:cs="Arial"/>
          <w:bCs/>
          <w:sz w:val="22"/>
          <w:szCs w:val="22"/>
          <w:lang w:val="es-MX" w:eastAsia="en-US"/>
        </w:rPr>
        <w:t>por lo que no transfiere su experiencia.</w:t>
      </w:r>
      <w:r w:rsidRPr="00C96A86">
        <w:rPr>
          <w:rFonts w:ascii="Arial" w:eastAsia="Calibri" w:hAnsi="Arial" w:cs="Arial"/>
          <w:bCs/>
          <w:sz w:val="20"/>
          <w:szCs w:val="20"/>
        </w:rPr>
        <w:t xml:space="preserve"> </w:t>
      </w:r>
      <w:r w:rsidRPr="00C96A86">
        <w:rPr>
          <w:rFonts w:ascii="Arial" w:eastAsia="Calibri" w:hAnsi="Arial" w:cs="Arial"/>
          <w:bCs/>
          <w:sz w:val="22"/>
          <w:szCs w:val="22"/>
          <w:lang w:eastAsia="en-US"/>
        </w:rPr>
        <w:t xml:space="preserve">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En ese sentido, </w:t>
      </w:r>
      <w:r w:rsidR="000271C5">
        <w:rPr>
          <w:rFonts w:ascii="Arial" w:eastAsia="Calibri" w:hAnsi="Arial" w:cs="Arial"/>
          <w:bCs/>
          <w:sz w:val="22"/>
          <w:szCs w:val="22"/>
          <w:lang w:eastAsia="en-US"/>
        </w:rPr>
        <w:t xml:space="preserve">se </w:t>
      </w:r>
      <w:r w:rsidRPr="00C96A86">
        <w:rPr>
          <w:rFonts w:ascii="Arial" w:eastAsia="Calibri" w:hAnsi="Arial" w:cs="Arial"/>
          <w:bCs/>
          <w:sz w:val="22"/>
          <w:szCs w:val="22"/>
          <w:lang w:eastAsia="en-US"/>
        </w:rPr>
        <w:t>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w:t>
      </w:r>
      <w:r w:rsidR="000271C5">
        <w:rPr>
          <w:rFonts w:ascii="Arial" w:eastAsia="Calibri" w:hAnsi="Arial" w:cs="Arial"/>
          <w:bCs/>
          <w:sz w:val="22"/>
          <w:szCs w:val="22"/>
          <w:lang w:val="es-MX" w:eastAsia="en-US"/>
        </w:rPr>
        <w:t>.</w:t>
      </w:r>
    </w:p>
    <w:p w14:paraId="4C8FF3FD" w14:textId="5AF54391" w:rsidR="00A518D9" w:rsidRPr="000271C5" w:rsidRDefault="00C96A86" w:rsidP="000271C5">
      <w:pPr>
        <w:tabs>
          <w:tab w:val="left" w:pos="8222"/>
        </w:tabs>
        <w:spacing w:before="120" w:line="276" w:lineRule="auto"/>
        <w:ind w:firstLine="709"/>
        <w:jc w:val="both"/>
        <w:rPr>
          <w:rFonts w:ascii="Arial" w:eastAsia="Calibri" w:hAnsi="Arial" w:cs="Arial"/>
          <w:bCs/>
          <w:sz w:val="22"/>
          <w:szCs w:val="22"/>
          <w:lang w:val="es-MX" w:eastAsia="en-US"/>
        </w:rPr>
      </w:pPr>
      <w:r w:rsidRPr="00C96A86">
        <w:rPr>
          <w:rFonts w:ascii="Arial" w:eastAsia="Calibri" w:hAnsi="Arial" w:cs="Arial"/>
          <w:bCs/>
          <w:sz w:val="22"/>
          <w:szCs w:val="22"/>
          <w:lang w:val="es-MX" w:eastAsia="en-US"/>
        </w:rPr>
        <w:t xml:space="preserve">En la segunda modalidad, a pesar de que existe «disolución», no hay transferencia de la experiencia, porque la persona jurídica fraccionada deja de ser quién es y tiende a </w:t>
      </w:r>
      <w:r w:rsidRPr="00C96A86">
        <w:rPr>
          <w:rFonts w:ascii="Arial" w:eastAsia="Calibri" w:hAnsi="Arial" w:cs="Arial"/>
          <w:bCs/>
          <w:sz w:val="22"/>
          <w:szCs w:val="22"/>
          <w:lang w:val="es-MX" w:eastAsia="en-US"/>
        </w:rPr>
        <w:lastRenderedPageBreak/>
        <w:t>desaparecer, es decir, no puede continuar en otra persona, lo cual no corresponde con la definición de experiencia personal ni de transferencia de experiencia</w:t>
      </w:r>
      <w:r w:rsidR="000271C5">
        <w:rPr>
          <w:rFonts w:ascii="Arial" w:eastAsia="Calibri" w:hAnsi="Arial" w:cs="Arial"/>
          <w:bCs/>
          <w:sz w:val="22"/>
          <w:szCs w:val="22"/>
          <w:lang w:val="es-MX" w:eastAsia="en-US"/>
        </w:rPr>
        <w:t xml:space="preserve">. </w:t>
      </w:r>
      <w:r w:rsidR="000271C5" w:rsidRPr="000271C5">
        <w:rPr>
          <w:rFonts w:ascii="Arial" w:eastAsia="Calibri" w:hAnsi="Arial" w:cs="Arial"/>
          <w:bCs/>
          <w:sz w:val="22"/>
          <w:szCs w:val="22"/>
          <w:lang w:eastAsia="en-US"/>
        </w:rPr>
        <w:t xml:space="preserve">En este </w:t>
      </w:r>
      <w:r w:rsidR="000271C5">
        <w:rPr>
          <w:rFonts w:ascii="Arial" w:eastAsia="Calibri" w:hAnsi="Arial" w:cs="Arial"/>
          <w:bCs/>
          <w:sz w:val="22"/>
          <w:szCs w:val="22"/>
          <w:lang w:eastAsia="en-US"/>
        </w:rPr>
        <w:t>evento</w:t>
      </w:r>
      <w:r w:rsidR="000271C5" w:rsidRPr="000271C5">
        <w:rPr>
          <w:rFonts w:ascii="Arial" w:eastAsia="Calibri" w:hAnsi="Arial" w:cs="Arial"/>
          <w:bCs/>
          <w:sz w:val="22"/>
          <w:szCs w:val="22"/>
          <w:lang w:eastAsia="en-US"/>
        </w:rPr>
        <w:t>, aunque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w:t>
      </w:r>
      <w:r w:rsidR="000271C5">
        <w:rPr>
          <w:rFonts w:ascii="Arial" w:eastAsia="Calibri" w:hAnsi="Arial" w:cs="Arial"/>
          <w:bCs/>
          <w:sz w:val="22"/>
          <w:szCs w:val="22"/>
          <w:lang w:eastAsia="en-US"/>
        </w:rPr>
        <w:t xml:space="preserve">. </w:t>
      </w:r>
    </w:p>
    <w:p w14:paraId="4B9E9361" w14:textId="77777777" w:rsidR="00A518D9" w:rsidRPr="00150A26" w:rsidRDefault="00A518D9" w:rsidP="00A518D9">
      <w:pPr>
        <w:ind w:right="474"/>
        <w:jc w:val="both"/>
        <w:rPr>
          <w:rFonts w:ascii="Arial" w:eastAsia="Calibri" w:hAnsi="Arial" w:cs="Arial"/>
          <w:bCs/>
          <w:sz w:val="21"/>
          <w:szCs w:val="21"/>
          <w:lang w:val="es-ES_tradnl" w:eastAsia="en-US"/>
        </w:rPr>
      </w:pPr>
    </w:p>
    <w:p w14:paraId="0ABF266B" w14:textId="3615F821" w:rsidR="00D91BA7" w:rsidRPr="00A518D9" w:rsidRDefault="00A518D9" w:rsidP="00A518D9">
      <w:pPr>
        <w:ind w:left="709" w:right="474"/>
        <w:jc w:val="both"/>
        <w:rPr>
          <w:rFonts w:ascii="Arial" w:eastAsia="Calibri" w:hAnsi="Arial" w:cs="Arial"/>
          <w:bCs/>
          <w:sz w:val="21"/>
          <w:szCs w:val="21"/>
          <w:lang w:eastAsia="en-US"/>
        </w:rPr>
      </w:pPr>
      <w:r w:rsidRPr="00150A26">
        <w:rPr>
          <w:rFonts w:ascii="Arial" w:eastAsia="Calibri" w:hAnsi="Arial" w:cs="Arial"/>
          <w:bCs/>
          <w:sz w:val="21"/>
          <w:szCs w:val="21"/>
          <w:lang w:val="es-ES_tradnl" w:eastAsia="en-US"/>
        </w:rPr>
        <w:t>5. Que se sirva la entidad de poner a disposición de este peticionario los fundamentos en derecho, jurisprudencia, conceptos y demás aplicables a los temas indagados en el presente documento</w:t>
      </w:r>
      <w:r w:rsidRPr="00150A26">
        <w:rPr>
          <w:rFonts w:ascii="Arial" w:eastAsia="Calibri" w:hAnsi="Arial" w:cs="Arial"/>
          <w:bCs/>
          <w:sz w:val="21"/>
          <w:szCs w:val="21"/>
          <w:lang w:eastAsia="en-US"/>
        </w:rPr>
        <w:t>.</w:t>
      </w:r>
      <w:r w:rsidRPr="00150A26">
        <w:rPr>
          <w:rFonts w:ascii="Arial" w:eastAsia="Calibri" w:hAnsi="Arial" w:cs="Arial"/>
          <w:color w:val="000000"/>
          <w:sz w:val="21"/>
          <w:szCs w:val="21"/>
          <w:lang w:val="es-ES_tradnl" w:eastAsia="en-US"/>
        </w:rPr>
        <w:t>»</w:t>
      </w:r>
    </w:p>
    <w:p w14:paraId="4F4EB773" w14:textId="4164B810" w:rsidR="00625547" w:rsidRDefault="00625547" w:rsidP="00385B03">
      <w:pPr>
        <w:spacing w:line="276" w:lineRule="auto"/>
        <w:jc w:val="both"/>
        <w:rPr>
          <w:rFonts w:ascii="Arial" w:hAnsi="Arial" w:cs="Arial"/>
          <w:iCs/>
          <w:sz w:val="22"/>
          <w:lang w:eastAsia="es-MX"/>
        </w:rPr>
      </w:pPr>
    </w:p>
    <w:p w14:paraId="4FF602AC" w14:textId="7781995E" w:rsidR="00385B03" w:rsidRPr="00B33BE9" w:rsidRDefault="008853C1" w:rsidP="00385B03">
      <w:pPr>
        <w:spacing w:line="276" w:lineRule="auto"/>
        <w:jc w:val="both"/>
        <w:rPr>
          <w:rFonts w:ascii="Arial" w:hAnsi="Arial" w:cs="Arial"/>
          <w:bCs/>
          <w:sz w:val="22"/>
          <w:szCs w:val="22"/>
        </w:rPr>
      </w:pPr>
      <w:r>
        <w:rPr>
          <w:rFonts w:ascii="Arial" w:hAnsi="Arial" w:cs="Arial"/>
          <w:iCs/>
          <w:sz w:val="22"/>
          <w:lang w:eastAsia="es-MX"/>
        </w:rPr>
        <w:t xml:space="preserve">En las consideraciones de este concepto se relacionan los argumentos que sustentan la </w:t>
      </w:r>
      <w:r w:rsidRPr="003513C4">
        <w:rPr>
          <w:rFonts w:ascii="Arial" w:eastAsia="Calibri" w:hAnsi="Arial" w:cs="Arial"/>
          <w:sz w:val="22"/>
        </w:rPr>
        <w:t xml:space="preserve">posición de </w:t>
      </w:r>
      <w:r w:rsidR="00B33BE9">
        <w:rPr>
          <w:rFonts w:ascii="Arial" w:eastAsia="Calibri" w:hAnsi="Arial" w:cs="Arial"/>
          <w:sz w:val="22"/>
        </w:rPr>
        <w:t xml:space="preserve">esta Subdirección </w:t>
      </w:r>
      <w:r w:rsidRPr="003513C4">
        <w:rPr>
          <w:rFonts w:ascii="Arial" w:eastAsia="Calibri" w:hAnsi="Arial" w:cs="Arial"/>
          <w:sz w:val="22"/>
        </w:rPr>
        <w:t>sobre las figuras y reformas estatutarias de transformación, fusión y escisión, respecto de la experiencia</w:t>
      </w:r>
      <w:r w:rsidR="00B33BE9">
        <w:rPr>
          <w:rFonts w:ascii="Arial" w:eastAsia="Calibri" w:hAnsi="Arial" w:cs="Arial"/>
          <w:sz w:val="22"/>
        </w:rPr>
        <w:t xml:space="preserve">, reiterando las tesis sostenida en los conceptos </w:t>
      </w:r>
      <w:r w:rsidR="00B33BE9" w:rsidRPr="00C51C15">
        <w:rPr>
          <w:rFonts w:ascii="Arial" w:hAnsi="Arial" w:cs="Arial"/>
          <w:bCs/>
          <w:color w:val="000000"/>
          <w:sz w:val="22"/>
          <w:szCs w:val="22"/>
        </w:rPr>
        <w:t>C - 002 del 20 de febrero de 2020</w:t>
      </w:r>
      <w:r w:rsidR="00B33BE9">
        <w:rPr>
          <w:rFonts w:ascii="Arial" w:hAnsi="Arial" w:cs="Arial"/>
          <w:bCs/>
          <w:color w:val="000000"/>
          <w:sz w:val="22"/>
          <w:szCs w:val="22"/>
        </w:rPr>
        <w:t>,</w:t>
      </w:r>
      <w:r w:rsidR="00B33BE9" w:rsidRPr="00C51C15">
        <w:rPr>
          <w:rFonts w:ascii="Arial" w:hAnsi="Arial" w:cs="Arial"/>
          <w:bCs/>
          <w:color w:val="000000"/>
          <w:sz w:val="22"/>
          <w:szCs w:val="22"/>
        </w:rPr>
        <w:t xml:space="preserve"> C-491 del 27 de julio de 2020, C-350 del 1 de junio de 2020, C-584 del 31 de agosto de 2020, C-002 del 9 de febrero de 2021, C-115 del 29 de marzo de 2021, C-343 del 13 de julio de 2021</w:t>
      </w:r>
      <w:r w:rsidR="00B33BE9">
        <w:rPr>
          <w:rFonts w:ascii="Arial" w:hAnsi="Arial" w:cs="Arial"/>
          <w:bCs/>
          <w:color w:val="000000"/>
          <w:sz w:val="22"/>
          <w:szCs w:val="22"/>
        </w:rPr>
        <w:t xml:space="preserve"> y</w:t>
      </w:r>
      <w:r w:rsidR="00B33BE9" w:rsidRPr="00C51C15">
        <w:rPr>
          <w:rFonts w:ascii="Arial" w:hAnsi="Arial" w:cs="Arial"/>
          <w:bCs/>
          <w:color w:val="000000"/>
          <w:sz w:val="22"/>
          <w:szCs w:val="22"/>
        </w:rPr>
        <w:t xml:space="preserve"> C-342 del 13 de julio de 2021</w:t>
      </w:r>
      <w:r w:rsidR="00B33BE9">
        <w:rPr>
          <w:rFonts w:ascii="Arial" w:hAnsi="Arial" w:cs="Arial"/>
          <w:bCs/>
          <w:color w:val="000000"/>
          <w:sz w:val="22"/>
          <w:szCs w:val="22"/>
        </w:rPr>
        <w:t>. Estos conceptos pueden ser consultados en</w:t>
      </w:r>
      <w:r w:rsidR="00D84A0A">
        <w:rPr>
          <w:rFonts w:ascii="Arial" w:hAnsi="Arial" w:cs="Arial"/>
          <w:bCs/>
          <w:color w:val="000000"/>
          <w:sz w:val="22"/>
          <w:szCs w:val="22"/>
        </w:rPr>
        <w:t xml:space="preserve"> la relatoría de la Agencia, en el siguiente enlace:</w:t>
      </w:r>
      <w:r w:rsidR="00B33BE9">
        <w:rPr>
          <w:rFonts w:ascii="Arial" w:hAnsi="Arial" w:cs="Arial"/>
          <w:bCs/>
          <w:color w:val="000000"/>
          <w:sz w:val="22"/>
          <w:szCs w:val="22"/>
        </w:rPr>
        <w:t xml:space="preserve"> </w:t>
      </w:r>
      <w:hyperlink r:id="rId12" w:history="1">
        <w:r w:rsidR="00E74622" w:rsidRPr="00E74622">
          <w:rPr>
            <w:rStyle w:val="Hipervnculo"/>
            <w:rFonts w:ascii="Arial" w:hAnsi="Arial" w:cs="Arial"/>
            <w:bCs/>
            <w:color w:val="auto"/>
            <w:sz w:val="22"/>
            <w:szCs w:val="22"/>
            <w:u w:val="none"/>
          </w:rPr>
          <w:t>https://relatoria.colombiacompra.gov.co/busqueda/conceptos</w:t>
        </w:r>
      </w:hyperlink>
      <w:r w:rsidR="00E74622" w:rsidRPr="00E74622">
        <w:rPr>
          <w:rFonts w:ascii="Arial" w:hAnsi="Arial" w:cs="Arial"/>
          <w:bCs/>
          <w:sz w:val="22"/>
          <w:szCs w:val="22"/>
        </w:rPr>
        <w:t xml:space="preserve"> </w:t>
      </w:r>
    </w:p>
    <w:p w14:paraId="2A45E983" w14:textId="77777777" w:rsidR="00B33BE9" w:rsidRPr="00625547" w:rsidRDefault="00B33BE9" w:rsidP="00385B03">
      <w:pPr>
        <w:spacing w:line="276" w:lineRule="auto"/>
        <w:jc w:val="both"/>
        <w:rPr>
          <w:rFonts w:ascii="Arial" w:hAnsi="Arial" w:cs="Arial"/>
          <w:iCs/>
          <w:sz w:val="22"/>
          <w:lang w:eastAsia="es-MX"/>
        </w:rPr>
      </w:pPr>
    </w:p>
    <w:p w14:paraId="056816F7" w14:textId="5C200F74"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7CAF8D25" w14:textId="605713B9" w:rsidR="00002294" w:rsidRPr="00A51520" w:rsidRDefault="00EE5B62" w:rsidP="00002294">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079C8BF5" wp14:editId="1BB1F120">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75C6C670" w14:textId="77777777" w:rsidR="00002294" w:rsidRPr="00A51520" w:rsidRDefault="00002294" w:rsidP="00002294">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2294" w:rsidRPr="00A51520" w14:paraId="3080275B" w14:textId="77777777" w:rsidTr="001C69CB">
        <w:trPr>
          <w:trHeight w:val="160"/>
        </w:trPr>
        <w:tc>
          <w:tcPr>
            <w:tcW w:w="812" w:type="dxa"/>
            <w:vAlign w:val="center"/>
            <w:hideMark/>
          </w:tcPr>
          <w:p w14:paraId="65B7BC95"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4CA90BF"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7A1FC973"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 de la Subdirección de Gestión Contractual</w:t>
            </w:r>
          </w:p>
        </w:tc>
      </w:tr>
      <w:tr w:rsidR="00002294" w:rsidRPr="00A51520" w14:paraId="207AF0A0" w14:textId="77777777" w:rsidTr="001C69CB">
        <w:trPr>
          <w:trHeight w:val="330"/>
        </w:trPr>
        <w:tc>
          <w:tcPr>
            <w:tcW w:w="812" w:type="dxa"/>
            <w:vAlign w:val="center"/>
            <w:hideMark/>
          </w:tcPr>
          <w:p w14:paraId="3F729B29"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B74A37" w14:textId="77777777" w:rsidR="00002294" w:rsidRPr="00A51520" w:rsidRDefault="00002294" w:rsidP="001C69CB">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54A6DD0C" w14:textId="77777777" w:rsidR="00002294" w:rsidRPr="00A51520" w:rsidRDefault="00002294" w:rsidP="001C69CB">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 xml:space="preserve">Contratista </w:t>
            </w:r>
            <w:r w:rsidRPr="00A51520">
              <w:rPr>
                <w:rFonts w:ascii="Arial" w:hAnsi="Arial" w:cs="Arial"/>
                <w:color w:val="000000"/>
                <w:sz w:val="16"/>
                <w:szCs w:val="16"/>
                <w:shd w:val="clear" w:color="auto" w:fill="FFFFFF"/>
              </w:rPr>
              <w:t>de la </w:t>
            </w:r>
            <w:r w:rsidRPr="00A51520">
              <w:rPr>
                <w:rFonts w:ascii="Arial" w:hAnsi="Arial" w:cs="Arial"/>
                <w:color w:val="000000" w:themeColor="text1"/>
                <w:sz w:val="16"/>
                <w:szCs w:val="16"/>
                <w:lang w:val="es-ES" w:eastAsia="es-ES"/>
              </w:rPr>
              <w:t>Subdirección de Gestión Contractual</w:t>
            </w:r>
          </w:p>
        </w:tc>
      </w:tr>
      <w:tr w:rsidR="00002294" w:rsidRPr="00D40F8B" w14:paraId="60BF1858" w14:textId="77777777" w:rsidTr="001C69CB">
        <w:trPr>
          <w:trHeight w:val="300"/>
        </w:trPr>
        <w:tc>
          <w:tcPr>
            <w:tcW w:w="812" w:type="dxa"/>
            <w:vAlign w:val="center"/>
            <w:hideMark/>
          </w:tcPr>
          <w:p w14:paraId="276DE6BE"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39DED7" w14:textId="77777777" w:rsidR="00002294" w:rsidRPr="006A06F2" w:rsidRDefault="00002294" w:rsidP="001C69CB">
            <w:r>
              <w:rPr>
                <w:rFonts w:ascii="Arial" w:eastAsia="Arial" w:hAnsi="Arial" w:cs="Arial"/>
                <w:color w:val="000000"/>
                <w:sz w:val="16"/>
                <w:szCs w:val="16"/>
              </w:rPr>
              <w:t>Juan David Marín López</w:t>
            </w:r>
          </w:p>
          <w:p w14:paraId="4D26B373" w14:textId="77777777" w:rsidR="00002294" w:rsidRPr="00D40F8B" w:rsidRDefault="00002294" w:rsidP="001C69CB">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2"/>
    </w:tbl>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4"/>
      <w:footerReference w:type="default" r:id="rId15"/>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ADDE" w14:textId="77777777" w:rsidR="000D15B1" w:rsidRDefault="000D15B1">
      <w:r>
        <w:separator/>
      </w:r>
    </w:p>
  </w:endnote>
  <w:endnote w:type="continuationSeparator" w:id="0">
    <w:p w14:paraId="407CF037" w14:textId="77777777" w:rsidR="000D15B1" w:rsidRDefault="000D15B1">
      <w:r>
        <w:continuationSeparator/>
      </w:r>
    </w:p>
  </w:endnote>
  <w:endnote w:type="continuationNotice" w:id="1">
    <w:p w14:paraId="033D43D2" w14:textId="77777777" w:rsidR="000D15B1" w:rsidRDefault="000D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orbel"/>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BDE5" w14:textId="589B152C" w:rsidR="00F86880" w:rsidRDefault="00EE5B62" w:rsidP="007B0854">
    <w:pPr>
      <w:pStyle w:val="Piedepgina"/>
      <w:jc w:val="center"/>
      <w:rPr>
        <w:lang w:val="es-ES"/>
      </w:rPr>
    </w:pPr>
    <w:r>
      <w:rPr>
        <w:noProof/>
      </w:rPr>
      <w:drawing>
        <wp:inline distT="0" distB="0" distL="0" distR="0" wp14:anchorId="50882ED9" wp14:editId="064A42A4">
          <wp:extent cx="5581015" cy="866775"/>
          <wp:effectExtent l="0" t="0" r="635" b="9525"/>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6775"/>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E5B62" w:rsidRPr="00080DA3" w14:paraId="2794BCAB" w14:textId="77777777" w:rsidTr="00DF3948">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6F6E11A" w14:textId="77777777" w:rsidR="00EE5B62" w:rsidRPr="00080DA3" w:rsidRDefault="00EE5B62" w:rsidP="00EE5B6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8265DDC" w14:textId="77777777" w:rsidR="00EE5B62" w:rsidRPr="00080DA3" w:rsidRDefault="00EE5B62" w:rsidP="00EE5B6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2EBC2B3" w14:textId="77777777" w:rsidR="00EE5B62" w:rsidRPr="00080DA3" w:rsidRDefault="00EE5B62" w:rsidP="00EE5B6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49991795" w14:textId="77777777" w:rsidR="00EE5B62" w:rsidRPr="004B6B0E" w:rsidRDefault="00EE5B62" w:rsidP="00EE5B6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12A7EB5" w14:textId="77777777" w:rsidR="00EE5B62" w:rsidRPr="00080DA3" w:rsidRDefault="00EE5B62" w:rsidP="00EE5B6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64B957C" w14:textId="77777777" w:rsidR="00EE5B62" w:rsidRPr="00080DA3" w:rsidRDefault="00EE5B62" w:rsidP="00EE5B62">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CB28492" w14:textId="77777777" w:rsidR="00EE5B62" w:rsidRPr="00080DA3" w:rsidRDefault="00EE5B62" w:rsidP="00EE5B6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760C" w14:textId="77777777" w:rsidR="000D15B1" w:rsidRDefault="000D15B1">
      <w:r>
        <w:separator/>
      </w:r>
    </w:p>
  </w:footnote>
  <w:footnote w:type="continuationSeparator" w:id="0">
    <w:p w14:paraId="29DEECE7" w14:textId="77777777" w:rsidR="000D15B1" w:rsidRDefault="000D15B1">
      <w:r>
        <w:continuationSeparator/>
      </w:r>
    </w:p>
  </w:footnote>
  <w:footnote w:type="continuationNotice" w:id="1">
    <w:p w14:paraId="09FD28B6" w14:textId="77777777" w:rsidR="000D15B1" w:rsidRDefault="000D15B1"/>
  </w:footnote>
  <w:footnote w:id="2">
    <w:p w14:paraId="4F3CF415"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EE5B62">
        <w:rPr>
          <w:rFonts w:ascii="Arial" w:hAnsi="Arial" w:cs="Arial"/>
          <w:sz w:val="14"/>
          <w:szCs w:val="14"/>
        </w:rPr>
        <w:t>equivalentes,</w:t>
      </w:r>
      <w:proofErr w:type="gramEnd"/>
      <w:r w:rsidRPr="00EE5B62">
        <w:rPr>
          <w:rFonts w:ascii="Arial" w:hAnsi="Arial" w:cs="Arial"/>
          <w:sz w:val="14"/>
          <w:szCs w:val="14"/>
        </w:rPr>
        <w:t xml:space="preserve"> tendrán en cuenta los siguientes criterios:</w:t>
      </w:r>
    </w:p>
    <w:p w14:paraId="706CAA95"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3D917FC" w14:textId="77777777" w:rsidR="0091736C" w:rsidRPr="00EE5B62" w:rsidRDefault="0091736C" w:rsidP="0091736C">
      <w:pPr>
        <w:pStyle w:val="Textonotapie"/>
        <w:jc w:val="both"/>
        <w:rPr>
          <w:rFonts w:ascii="Arial" w:hAnsi="Arial" w:cs="Arial"/>
          <w:sz w:val="14"/>
          <w:szCs w:val="14"/>
          <w:lang w:val="es-ES"/>
        </w:rPr>
      </w:pPr>
    </w:p>
  </w:footnote>
  <w:footnote w:id="3">
    <w:p w14:paraId="0A79C9C9"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D3ED013" w14:textId="77777777" w:rsidR="0091736C" w:rsidRPr="00EE5B62" w:rsidRDefault="0091736C" w:rsidP="0091736C">
      <w:pPr>
        <w:pStyle w:val="Textonotapie"/>
        <w:ind w:firstLine="708"/>
        <w:jc w:val="both"/>
        <w:rPr>
          <w:rFonts w:ascii="Arial" w:hAnsi="Arial" w:cs="Arial"/>
          <w:sz w:val="14"/>
          <w:szCs w:val="14"/>
          <w:lang w:val="es-ES"/>
        </w:rPr>
      </w:pPr>
    </w:p>
  </w:footnote>
  <w:footnote w:id="4">
    <w:p w14:paraId="6DC1619C"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2ECA8F7D"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»1. Experiencia – Los contratos celebrados por el interesado para cada uno de los bienes, obras y servicios que ofrecerá a las Entidades Estatales, identificados con el Clasificador de Bienes y Servicios en el tercer nivel y su valor expresado en SMMLV.</w:t>
      </w:r>
    </w:p>
    <w:p w14:paraId="2BEF84F4"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w:t>
      </w:r>
    </w:p>
    <w:p w14:paraId="1ECC569D" w14:textId="77777777" w:rsidR="0091736C" w:rsidRPr="00EE5B62" w:rsidRDefault="0091736C" w:rsidP="0091736C">
      <w:pPr>
        <w:pStyle w:val="Textonotapie"/>
        <w:ind w:firstLine="708"/>
        <w:jc w:val="both"/>
        <w:rPr>
          <w:rFonts w:ascii="Arial" w:hAnsi="Arial" w:cs="Arial"/>
          <w:sz w:val="14"/>
          <w:szCs w:val="14"/>
          <w:lang w:val="es-ES"/>
        </w:rPr>
      </w:pPr>
    </w:p>
  </w:footnote>
  <w:footnote w:id="5">
    <w:p w14:paraId="202393F0"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FEF1BEF"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w:t>
      </w:r>
    </w:p>
    <w:p w14:paraId="630F46B6"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»El</w:t>
      </w:r>
      <w:proofErr w:type="gramEnd"/>
      <w:r w:rsidRPr="00EE5B62">
        <w:rPr>
          <w:rFonts w:ascii="Arial" w:hAnsi="Arial" w:cs="Arial"/>
          <w:sz w:val="14"/>
          <w:szCs w:val="14"/>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18985F"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»No</w:t>
      </w:r>
      <w:proofErr w:type="gramEnd"/>
      <w:r w:rsidRPr="00EE5B62">
        <w:rPr>
          <w:rFonts w:ascii="Arial" w:hAnsi="Arial" w:cs="Arial"/>
          <w:sz w:val="14"/>
          <w:szCs w:val="14"/>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69A4FB3" w14:textId="77777777" w:rsidR="0091736C" w:rsidRPr="00EE5B62" w:rsidRDefault="0091736C" w:rsidP="0091736C">
      <w:pPr>
        <w:pStyle w:val="Textonotapie"/>
        <w:jc w:val="both"/>
        <w:rPr>
          <w:rFonts w:ascii="Arial" w:hAnsi="Arial" w:cs="Arial"/>
          <w:sz w:val="14"/>
          <w:szCs w:val="14"/>
          <w:lang w:val="es-ES"/>
        </w:rPr>
      </w:pPr>
    </w:p>
  </w:footnote>
  <w:footnote w:id="6">
    <w:p w14:paraId="58F0620A"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EDF593"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»1.    Si es una persona natural:</w:t>
      </w:r>
    </w:p>
    <w:p w14:paraId="7BF2B701"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»1.1. Bienes, obras y servicios que ofrecerá a las Entidades Estatales, identificados con el Clasificador de Bienes y Servicios en el tercer nivel.</w:t>
      </w:r>
    </w:p>
    <w:p w14:paraId="2963A0D1"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E1D4AB7" w14:textId="77777777" w:rsidR="0091736C" w:rsidRPr="00EE5B62" w:rsidRDefault="0091736C" w:rsidP="0091736C">
      <w:pPr>
        <w:pStyle w:val="Textonotapie"/>
        <w:ind w:firstLine="708"/>
        <w:jc w:val="both"/>
        <w:rPr>
          <w:rFonts w:ascii="Arial" w:hAnsi="Arial" w:cs="Arial"/>
          <w:sz w:val="14"/>
          <w:szCs w:val="14"/>
          <w:lang w:val="es-ES"/>
        </w:rPr>
      </w:pPr>
    </w:p>
  </w:footnote>
  <w:footnote w:id="7">
    <w:p w14:paraId="1A4FAF23" w14:textId="52D4F04B" w:rsidR="008221EA" w:rsidRPr="00EE5B62" w:rsidRDefault="008221EA" w:rsidP="00BE68FA">
      <w:pPr>
        <w:pStyle w:val="Textonotapie"/>
        <w:ind w:firstLine="709"/>
        <w:jc w:val="both"/>
        <w:rPr>
          <w:rFonts w:ascii="Arial" w:hAnsi="Arial" w:cs="Arial"/>
          <w:sz w:val="14"/>
          <w:szCs w:val="14"/>
        </w:rPr>
      </w:pPr>
      <w:r w:rsidRPr="00EE5B62">
        <w:rPr>
          <w:rStyle w:val="Refdenotaalpie"/>
          <w:sz w:val="14"/>
          <w:szCs w:val="14"/>
        </w:rPr>
        <w:footnoteRef/>
      </w:r>
      <w:r w:rsidRPr="00EE5B62">
        <w:rPr>
          <w:sz w:val="14"/>
          <w:szCs w:val="14"/>
        </w:rPr>
        <w:t xml:space="preserve"> </w:t>
      </w:r>
      <w:bookmarkStart w:id="6" w:name="_Hlk110954603"/>
      <w:r w:rsidRPr="00EE5B62">
        <w:rPr>
          <w:rFonts w:ascii="Arial" w:hAnsi="Arial" w:cs="Arial"/>
          <w:sz w:val="14"/>
          <w:szCs w:val="14"/>
        </w:rPr>
        <w:t xml:space="preserve">La versión actualizada puede ser consultada en: </w:t>
      </w:r>
      <w:hyperlink r:id="rId1" w:history="1">
        <w:r w:rsidRPr="00EE5B62">
          <w:rPr>
            <w:rStyle w:val="Hipervnculo"/>
            <w:rFonts w:ascii="Arial" w:hAnsi="Arial" w:cs="Arial"/>
            <w:color w:val="auto"/>
            <w:sz w:val="14"/>
            <w:szCs w:val="14"/>
          </w:rPr>
          <w:t>https://www.colombiacompra.gov.co/sites/cce_public/files/files_2020/cce-eicp-ma-04._manual_requisitos_habilitantes_v.02.pdf</w:t>
        </w:r>
      </w:hyperlink>
      <w:r w:rsidRPr="00EE5B62">
        <w:rPr>
          <w:rFonts w:ascii="Arial" w:hAnsi="Arial" w:cs="Arial"/>
          <w:sz w:val="14"/>
          <w:szCs w:val="14"/>
          <w:u w:val="single"/>
        </w:rPr>
        <w:t>.</w:t>
      </w:r>
    </w:p>
    <w:bookmarkEnd w:id="6"/>
    <w:p w14:paraId="24EB5580" w14:textId="77777777" w:rsidR="008221EA" w:rsidRPr="00EE5B62" w:rsidRDefault="008221EA" w:rsidP="008221EA">
      <w:pPr>
        <w:pStyle w:val="Textonotapie"/>
        <w:jc w:val="both"/>
        <w:rPr>
          <w:sz w:val="14"/>
          <w:szCs w:val="14"/>
          <w:lang w:val="es-CO"/>
        </w:rPr>
      </w:pPr>
    </w:p>
  </w:footnote>
  <w:footnote w:id="8">
    <w:p w14:paraId="74C831AF" w14:textId="626C0992"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Colombia Compra Eficiente, Manual para determinar y verificar requisitos habilitantes en los procesos de contratación</w:t>
      </w:r>
      <w:r w:rsidR="00FC58B0" w:rsidRPr="00EE5B62">
        <w:rPr>
          <w:rFonts w:ascii="Arial" w:hAnsi="Arial" w:cs="Arial"/>
          <w:sz w:val="14"/>
          <w:szCs w:val="14"/>
        </w:rPr>
        <w:t xml:space="preserve"> V2</w:t>
      </w:r>
      <w:r w:rsidRPr="00EE5B62">
        <w:rPr>
          <w:rFonts w:ascii="Arial" w:hAnsi="Arial" w:cs="Arial"/>
          <w:sz w:val="14"/>
          <w:szCs w:val="14"/>
        </w:rPr>
        <w:t>: «</w:t>
      </w:r>
      <w:bookmarkStart w:id="7" w:name="_Hlk110954624"/>
      <w:r w:rsidR="00FC58B0" w:rsidRPr="00EE5B62">
        <w:rPr>
          <w:rFonts w:ascii="Arial" w:hAnsi="Arial" w:cs="Arial"/>
          <w:sz w:val="14"/>
          <w:szCs w:val="14"/>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EE5B62">
        <w:rPr>
          <w:rFonts w:ascii="Arial" w:hAnsi="Arial" w:cs="Arial"/>
          <w:sz w:val="14"/>
          <w:szCs w:val="14"/>
        </w:rPr>
        <w:t>.</w:t>
      </w:r>
    </w:p>
    <w:p w14:paraId="545073AA"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w:t>
      </w:r>
    </w:p>
    <w:p w14:paraId="2D0A30E1" w14:textId="77777777" w:rsidR="008221EA" w:rsidRPr="00EE5B62" w:rsidRDefault="0091736C" w:rsidP="0091736C">
      <w:pPr>
        <w:pStyle w:val="Textonotapie"/>
        <w:ind w:firstLine="708"/>
        <w:jc w:val="both"/>
        <w:rPr>
          <w:rFonts w:ascii="Arial" w:hAnsi="Arial" w:cs="Arial"/>
          <w:sz w:val="14"/>
          <w:szCs w:val="14"/>
          <w:lang w:val="es-CO"/>
        </w:rPr>
      </w:pPr>
      <w:proofErr w:type="gramStart"/>
      <w:r w:rsidRPr="00EE5B62">
        <w:rPr>
          <w:rFonts w:ascii="Arial" w:hAnsi="Arial" w:cs="Arial"/>
          <w:sz w:val="14"/>
          <w:szCs w:val="14"/>
        </w:rPr>
        <w:t>»</w:t>
      </w:r>
      <w:r w:rsidR="008221EA" w:rsidRPr="00EE5B62">
        <w:rPr>
          <w:rFonts w:ascii="Arial" w:hAnsi="Arial" w:cs="Arial"/>
          <w:sz w:val="14"/>
          <w:szCs w:val="14"/>
          <w:lang w:val="es-CO"/>
        </w:rPr>
        <w:t>Así</w:t>
      </w:r>
      <w:proofErr w:type="gramEnd"/>
      <w:r w:rsidR="008221EA" w:rsidRPr="00EE5B62">
        <w:rPr>
          <w:rFonts w:ascii="Arial" w:hAnsi="Arial" w:cs="Arial"/>
          <w:sz w:val="14"/>
          <w:szCs w:val="14"/>
          <w:lang w:val="es-CO"/>
        </w:rPr>
        <w:t xml:space="preserve">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0E05CAA9" w14:textId="28D3EEBC" w:rsidR="0091736C" w:rsidRPr="00EE5B62" w:rsidRDefault="008221EA" w:rsidP="008221EA">
      <w:pPr>
        <w:pStyle w:val="Textonotapie"/>
        <w:ind w:firstLine="708"/>
        <w:jc w:val="both"/>
        <w:rPr>
          <w:rFonts w:ascii="Arial" w:hAnsi="Arial" w:cs="Arial"/>
          <w:sz w:val="14"/>
          <w:szCs w:val="14"/>
        </w:rPr>
      </w:pPr>
      <w:proofErr w:type="gramStart"/>
      <w:r w:rsidRPr="00EE5B62">
        <w:rPr>
          <w:rFonts w:ascii="Arial" w:hAnsi="Arial" w:cs="Arial"/>
          <w:sz w:val="14"/>
          <w:szCs w:val="14"/>
        </w:rPr>
        <w:t>»</w:t>
      </w:r>
      <w:r w:rsidRPr="00EE5B62">
        <w:rPr>
          <w:rFonts w:ascii="Arial" w:hAnsi="Arial" w:cs="Arial"/>
          <w:sz w:val="14"/>
          <w:szCs w:val="14"/>
          <w:lang w:val="es-CO"/>
        </w:rPr>
        <w:t>Es</w:t>
      </w:r>
      <w:proofErr w:type="gramEnd"/>
      <w:r w:rsidRPr="00EE5B62">
        <w:rPr>
          <w:rFonts w:ascii="Arial" w:hAnsi="Arial" w:cs="Arial"/>
          <w:sz w:val="14"/>
          <w:szCs w:val="14"/>
          <w:lang w:val="es-CO"/>
        </w:rPr>
        <w:t xml:space="preserve">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p>
    <w:p w14:paraId="0F3C7C6E"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w:t>
      </w:r>
    </w:p>
    <w:bookmarkEnd w:id="7"/>
  </w:footnote>
  <w:footnote w:id="9">
    <w:p w14:paraId="27798E56" w14:textId="12DFDD81" w:rsidR="00C108C4" w:rsidRPr="00EE5B62" w:rsidRDefault="00C108C4" w:rsidP="00C108C4">
      <w:pPr>
        <w:pStyle w:val="Textonotapie"/>
        <w:ind w:firstLine="709"/>
        <w:jc w:val="both"/>
        <w:rPr>
          <w:sz w:val="14"/>
          <w:szCs w:val="14"/>
          <w:lang w:val="es-CO"/>
        </w:rPr>
      </w:pPr>
      <w:r w:rsidRPr="00EE5B62">
        <w:rPr>
          <w:rStyle w:val="Refdenotaalpie"/>
          <w:sz w:val="14"/>
          <w:szCs w:val="14"/>
        </w:rPr>
        <w:footnoteRef/>
      </w:r>
      <w:r w:rsidRPr="00EE5B62">
        <w:rPr>
          <w:sz w:val="14"/>
          <w:szCs w:val="14"/>
        </w:rPr>
        <w:t xml:space="preserve"> </w:t>
      </w:r>
      <w:r w:rsidRPr="00EE5B62">
        <w:rPr>
          <w:rFonts w:ascii="Arial" w:hAnsi="Arial" w:cs="Arial"/>
          <w:sz w:val="14"/>
          <w:szCs w:val="14"/>
          <w:lang w:val="es-CO"/>
        </w:rPr>
        <w:t>Consejo de Estado. Sección Tercera. Sentencia del 20 de abril del 2022. Radicación Nro. 54482. C.P.: Jaime Enrique Rodríguez Navas.</w:t>
      </w:r>
    </w:p>
  </w:footnote>
  <w:footnote w:id="10">
    <w:p w14:paraId="14E444E1"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14333924"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»El</w:t>
      </w:r>
      <w:proofErr w:type="gramEnd"/>
      <w:r w:rsidRPr="00EE5B62">
        <w:rPr>
          <w:rFonts w:ascii="Arial" w:hAnsi="Arial" w:cs="Arial"/>
          <w:sz w:val="14"/>
          <w:szCs w:val="14"/>
        </w:rPr>
        <w:t xml:space="preserve"> nombre de la sociedad disuelta deberá adicionarse siempre con la expresión ‘en liquidación’. Los encargados de realizarla responderán de los daños y perjuicios que se deriven por dicha omisión».</w:t>
      </w:r>
    </w:p>
    <w:p w14:paraId="0C23E5E9" w14:textId="77777777" w:rsidR="0091736C" w:rsidRPr="00EE5B62" w:rsidRDefault="0091736C" w:rsidP="0091736C">
      <w:pPr>
        <w:pStyle w:val="Textonotapie"/>
        <w:jc w:val="both"/>
        <w:rPr>
          <w:rFonts w:ascii="Arial" w:hAnsi="Arial" w:cs="Arial"/>
          <w:sz w:val="14"/>
          <w:szCs w:val="14"/>
          <w:lang w:val="es-CO"/>
        </w:rPr>
      </w:pPr>
    </w:p>
  </w:footnote>
  <w:footnote w:id="11">
    <w:p w14:paraId="5837C83A"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Ver artículos 225 y ss. del Código de Comercio.</w:t>
      </w:r>
    </w:p>
    <w:p w14:paraId="6F0935D4" w14:textId="77777777" w:rsidR="0091736C" w:rsidRPr="00EE5B62" w:rsidRDefault="0091736C" w:rsidP="0091736C">
      <w:pPr>
        <w:pStyle w:val="Textonotapie"/>
        <w:ind w:firstLine="708"/>
        <w:jc w:val="both"/>
        <w:rPr>
          <w:rFonts w:ascii="Arial" w:hAnsi="Arial" w:cs="Arial"/>
          <w:sz w:val="14"/>
          <w:szCs w:val="14"/>
          <w:lang w:val="es-CO"/>
        </w:rPr>
      </w:pPr>
      <w:r w:rsidRPr="00EE5B62">
        <w:rPr>
          <w:rFonts w:ascii="Arial" w:hAnsi="Arial" w:cs="Arial"/>
          <w:sz w:val="14"/>
          <w:szCs w:val="14"/>
        </w:rPr>
        <w:t xml:space="preserve"> </w:t>
      </w:r>
    </w:p>
  </w:footnote>
  <w:footnote w:id="12">
    <w:p w14:paraId="4F630146"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2434ACA1"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»La</w:t>
      </w:r>
      <w:proofErr w:type="gramEnd"/>
      <w:r w:rsidRPr="00EE5B62">
        <w:rPr>
          <w:rFonts w:ascii="Arial" w:hAnsi="Arial" w:cs="Arial"/>
          <w:sz w:val="14"/>
          <w:szCs w:val="14"/>
        </w:rPr>
        <w:t xml:space="preserve"> transformación no producirá solución de continuidad en la existencia de la sociedad como persona jurídica, ni en sus actividades ni en su patrimonio».</w:t>
      </w:r>
    </w:p>
    <w:p w14:paraId="13CF59EF" w14:textId="77777777" w:rsidR="0091736C" w:rsidRPr="00EE5B62" w:rsidRDefault="0091736C" w:rsidP="0091736C">
      <w:pPr>
        <w:pStyle w:val="Textonotapie"/>
        <w:ind w:firstLine="708"/>
        <w:jc w:val="both"/>
        <w:rPr>
          <w:rFonts w:ascii="Arial" w:hAnsi="Arial" w:cs="Arial"/>
          <w:sz w:val="14"/>
          <w:szCs w:val="14"/>
        </w:rPr>
      </w:pPr>
    </w:p>
  </w:footnote>
  <w:footnote w:id="13">
    <w:p w14:paraId="14B9D734"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222 de 1995: «Artículo 3. Modalidades. Habrá escisión cuando:</w:t>
      </w:r>
    </w:p>
    <w:p w14:paraId="3881B444"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 xml:space="preserve">»1. Una sociedad sin </w:t>
      </w:r>
      <w:proofErr w:type="gramStart"/>
      <w:r w:rsidRPr="00EE5B62">
        <w:rPr>
          <w:rFonts w:ascii="Arial" w:hAnsi="Arial" w:cs="Arial"/>
          <w:sz w:val="14"/>
          <w:szCs w:val="14"/>
        </w:rPr>
        <w:t>disolverse,</w:t>
      </w:r>
      <w:proofErr w:type="gramEnd"/>
      <w:r w:rsidRPr="00EE5B62">
        <w:rPr>
          <w:rFonts w:ascii="Arial" w:hAnsi="Arial" w:cs="Arial"/>
          <w:sz w:val="14"/>
          <w:szCs w:val="14"/>
        </w:rPr>
        <w:t xml:space="preserve"> transfiere en bloque una o varias partes de su patrimonio a una o más sociedades existentes o las destina a la creación de una o varias sociedades.</w:t>
      </w:r>
    </w:p>
    <w:p w14:paraId="62ED6E64" w14:textId="77777777" w:rsidR="0091736C" w:rsidRPr="00EE5B62" w:rsidRDefault="0091736C" w:rsidP="0091736C">
      <w:pPr>
        <w:pStyle w:val="Textonotapie"/>
        <w:ind w:firstLine="708"/>
        <w:jc w:val="both"/>
        <w:rPr>
          <w:rFonts w:ascii="Arial" w:hAnsi="Arial" w:cs="Arial"/>
          <w:sz w:val="14"/>
          <w:szCs w:val="14"/>
        </w:rPr>
      </w:pPr>
      <w:r w:rsidRPr="00EE5B62">
        <w:rPr>
          <w:rFonts w:ascii="Arial" w:hAnsi="Arial" w:cs="Arial"/>
          <w:sz w:val="14"/>
          <w:szCs w:val="14"/>
        </w:rPr>
        <w:t>»2. Una sociedad se disuelve sin liquidarse, dividiendo su patrimonio en dos o más partes, que se transfieren a varias sociedades existentes o se destinan a la creación de nuevas sociedades.</w:t>
      </w:r>
    </w:p>
    <w:p w14:paraId="49B0DC6D"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»La</w:t>
      </w:r>
      <w:proofErr w:type="gramEnd"/>
      <w:r w:rsidRPr="00EE5B62">
        <w:rPr>
          <w:rFonts w:ascii="Arial" w:hAnsi="Arial" w:cs="Arial"/>
          <w:sz w:val="14"/>
          <w:szCs w:val="14"/>
        </w:rPr>
        <w:t xml:space="preserve"> sociedad o sociedades destinatarias de las transferencias resultantes de la escisión, se denominarán sociedades beneficiarias.</w:t>
      </w:r>
    </w:p>
    <w:p w14:paraId="2105233B" w14:textId="77777777" w:rsidR="0091736C" w:rsidRPr="00EE5B62" w:rsidRDefault="0091736C" w:rsidP="0091736C">
      <w:pPr>
        <w:pStyle w:val="Textonotapie"/>
        <w:ind w:firstLine="708"/>
        <w:jc w:val="both"/>
        <w:rPr>
          <w:rFonts w:ascii="Arial" w:hAnsi="Arial" w:cs="Arial"/>
          <w:sz w:val="14"/>
          <w:szCs w:val="14"/>
          <w:lang w:val="es-CO"/>
        </w:rPr>
      </w:pPr>
      <w:proofErr w:type="gramStart"/>
      <w:r w:rsidRPr="00EE5B62">
        <w:rPr>
          <w:rFonts w:ascii="Arial" w:hAnsi="Arial" w:cs="Arial"/>
          <w:sz w:val="14"/>
          <w:szCs w:val="14"/>
        </w:rPr>
        <w:t>»Los</w:t>
      </w:r>
      <w:proofErr w:type="gramEnd"/>
      <w:r w:rsidRPr="00EE5B62">
        <w:rPr>
          <w:rFonts w:ascii="Arial" w:hAnsi="Arial" w:cs="Arial"/>
          <w:sz w:val="14"/>
          <w:szCs w:val="14"/>
        </w:rPr>
        <w:t xml:space="preserve">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4">
    <w:p w14:paraId="5D255BE8"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172. Fusión de la sociedad-concepto. Habrá fusión cuando una o más sociedades se disuelvan, sin liquidarse, para ser absorbidas por otra o para crear una nueva.</w:t>
      </w:r>
    </w:p>
    <w:p w14:paraId="7D43CC70"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»La</w:t>
      </w:r>
      <w:proofErr w:type="gramEnd"/>
      <w:r w:rsidRPr="00EE5B62">
        <w:rPr>
          <w:rFonts w:ascii="Arial" w:hAnsi="Arial" w:cs="Arial"/>
          <w:sz w:val="14"/>
          <w:szCs w:val="14"/>
        </w:rPr>
        <w:t xml:space="preserve"> absorbente o la nueva compañía adquirirá los derechos y obligaciones de la sociedad o sociedades disueltas al formalizarse el acuerdo de fusión».</w:t>
      </w:r>
    </w:p>
    <w:p w14:paraId="2D06D9E0" w14:textId="77777777" w:rsidR="0091736C" w:rsidRPr="00EE5B62" w:rsidRDefault="0091736C" w:rsidP="0091736C">
      <w:pPr>
        <w:pStyle w:val="Textonotapie"/>
        <w:jc w:val="both"/>
        <w:rPr>
          <w:rFonts w:ascii="Arial" w:hAnsi="Arial" w:cs="Arial"/>
          <w:sz w:val="14"/>
          <w:szCs w:val="14"/>
          <w:lang w:val="es-CO"/>
        </w:rPr>
      </w:pPr>
    </w:p>
  </w:footnote>
  <w:footnote w:id="15">
    <w:p w14:paraId="7AE14382"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2EE7C9F7" w14:textId="77777777" w:rsidR="0091736C" w:rsidRPr="00EE5B62" w:rsidRDefault="0091736C" w:rsidP="0091736C">
      <w:pPr>
        <w:pStyle w:val="Textonotapie"/>
        <w:ind w:firstLine="708"/>
        <w:jc w:val="both"/>
        <w:rPr>
          <w:rFonts w:ascii="Arial" w:hAnsi="Arial" w:cs="Arial"/>
          <w:sz w:val="14"/>
          <w:szCs w:val="14"/>
          <w:lang w:val="es-CO"/>
        </w:rPr>
      </w:pPr>
    </w:p>
  </w:footnote>
  <w:footnote w:id="16">
    <w:p w14:paraId="0D3BC666"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4936FD56"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»El</w:t>
      </w:r>
      <w:proofErr w:type="gramEnd"/>
      <w:r w:rsidRPr="00EE5B62">
        <w:rPr>
          <w:rFonts w:ascii="Arial" w:hAnsi="Arial" w:cs="Arial"/>
          <w:sz w:val="14"/>
          <w:szCs w:val="14"/>
        </w:rPr>
        <w:t xml:space="preserve">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5DA1B49E" w14:textId="77777777" w:rsidR="0091736C" w:rsidRPr="00EE5B62" w:rsidRDefault="0091736C" w:rsidP="0091736C">
      <w:pPr>
        <w:pStyle w:val="Textonotapie"/>
        <w:ind w:firstLine="708"/>
        <w:jc w:val="both"/>
        <w:rPr>
          <w:rFonts w:ascii="Arial" w:hAnsi="Arial" w:cs="Arial"/>
          <w:sz w:val="14"/>
          <w:szCs w:val="14"/>
        </w:rPr>
      </w:pPr>
      <w:proofErr w:type="gramStart"/>
      <w:r w:rsidRPr="00EE5B62">
        <w:rPr>
          <w:rFonts w:ascii="Arial" w:hAnsi="Arial" w:cs="Arial"/>
          <w:sz w:val="14"/>
          <w:szCs w:val="14"/>
        </w:rPr>
        <w:t>»El</w:t>
      </w:r>
      <w:proofErr w:type="gramEnd"/>
      <w:r w:rsidRPr="00EE5B62">
        <w:rPr>
          <w:rFonts w:ascii="Arial" w:hAnsi="Arial" w:cs="Arial"/>
          <w:sz w:val="14"/>
          <w:szCs w:val="14"/>
        </w:rPr>
        <w:t xml:space="preserve">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1F9AEC37" w14:textId="77777777" w:rsidR="0091736C" w:rsidRPr="00EE5B62" w:rsidRDefault="0091736C" w:rsidP="0091736C">
      <w:pPr>
        <w:pStyle w:val="Textonotapie"/>
        <w:ind w:firstLine="708"/>
        <w:jc w:val="both"/>
        <w:rPr>
          <w:rFonts w:ascii="Arial" w:hAnsi="Arial" w:cs="Arial"/>
          <w:sz w:val="14"/>
          <w:szCs w:val="14"/>
          <w:lang w:val="es-CO"/>
        </w:rPr>
      </w:pPr>
    </w:p>
  </w:footnote>
  <w:footnote w:id="17">
    <w:p w14:paraId="1564B327" w14:textId="77777777" w:rsidR="0091736C" w:rsidRPr="00EE5B62" w:rsidRDefault="0091736C" w:rsidP="0091736C">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Superintendencia de Sociedades. Oficios 220-072759 del 14 de mayo de 2014, 220-100613 del 14 de julio de 2015, 220-079814 del 31 de agosto de 2015,220-142284 del 15 de julio de 2016, 095721 del 16 de junio de 2020.</w:t>
      </w:r>
    </w:p>
    <w:p w14:paraId="5339A959" w14:textId="77777777" w:rsidR="0091736C" w:rsidRPr="00EE5B62" w:rsidRDefault="0091736C" w:rsidP="0091736C">
      <w:pPr>
        <w:pStyle w:val="Textonotapie"/>
        <w:ind w:firstLine="708"/>
        <w:jc w:val="both"/>
        <w:rPr>
          <w:rFonts w:ascii="Arial" w:hAnsi="Arial" w:cs="Arial"/>
          <w:sz w:val="14"/>
          <w:szCs w:val="14"/>
          <w:lang w:val="es-CO"/>
        </w:rPr>
      </w:pPr>
    </w:p>
  </w:footnote>
  <w:footnote w:id="18">
    <w:p w14:paraId="66228E6D" w14:textId="77777777" w:rsidR="0091736C" w:rsidRPr="00EE5B62" w:rsidRDefault="0091736C" w:rsidP="0091736C">
      <w:pPr>
        <w:pStyle w:val="Textonotapie"/>
        <w:ind w:firstLine="708"/>
        <w:rPr>
          <w:sz w:val="14"/>
          <w:szCs w:val="14"/>
          <w:lang w:val="es-CO"/>
        </w:rPr>
      </w:pPr>
      <w:r w:rsidRPr="00EE5B62">
        <w:rPr>
          <w:rStyle w:val="Refdenotaalpie"/>
          <w:rFonts w:ascii="Arial" w:hAnsi="Arial" w:cs="Arial"/>
          <w:sz w:val="14"/>
          <w:szCs w:val="14"/>
        </w:rPr>
        <w:footnoteRef/>
      </w:r>
      <w:r w:rsidRPr="00EE5B62">
        <w:rPr>
          <w:rFonts w:ascii="Arial" w:hAnsi="Arial" w:cs="Arial"/>
          <w:sz w:val="14"/>
          <w:szCs w:val="14"/>
        </w:rPr>
        <w:t xml:space="preserve"> Superintendencia de Sociedades. Oficio 220- 063311 del 6 de abril de 2020.</w:t>
      </w:r>
    </w:p>
  </w:footnote>
  <w:footnote w:id="19">
    <w:p w14:paraId="56BED64B" w14:textId="77777777" w:rsidR="0091736C" w:rsidRPr="00EE5B62" w:rsidRDefault="0091736C" w:rsidP="0091736C">
      <w:pPr>
        <w:pStyle w:val="Textonotapie"/>
        <w:ind w:firstLine="708"/>
        <w:jc w:val="both"/>
        <w:rPr>
          <w:rFonts w:ascii="Arial" w:hAnsi="Arial" w:cs="Arial"/>
          <w:sz w:val="14"/>
          <w:szCs w:val="14"/>
          <w:lang w:val="es-CO"/>
        </w:rPr>
      </w:pPr>
      <w:r w:rsidRPr="00EE5B62">
        <w:rPr>
          <w:rStyle w:val="Refdenotaalpie"/>
          <w:rFonts w:ascii="Arial" w:hAnsi="Arial" w:cs="Arial"/>
          <w:sz w:val="14"/>
          <w:szCs w:val="14"/>
        </w:rPr>
        <w:footnoteRef/>
      </w:r>
      <w:r w:rsidRPr="00EE5B62">
        <w:rPr>
          <w:rFonts w:ascii="Arial" w:hAnsi="Arial" w:cs="Arial"/>
          <w:sz w:val="14"/>
          <w:szCs w:val="14"/>
        </w:rPr>
        <w:t xml:space="preserve"> </w:t>
      </w:r>
      <w:r w:rsidRPr="00EE5B62">
        <w:rPr>
          <w:rFonts w:ascii="Arial" w:hAnsi="Arial" w:cs="Arial"/>
          <w:sz w:val="14"/>
          <w:szCs w:val="14"/>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14:paraId="722FEE42" w14:textId="77777777" w:rsidR="0091736C" w:rsidRPr="00EE5B62" w:rsidRDefault="0091736C" w:rsidP="0091736C">
      <w:pPr>
        <w:pStyle w:val="Textonotapie"/>
        <w:ind w:firstLine="708"/>
        <w:jc w:val="both"/>
        <w:rPr>
          <w:rFonts w:ascii="Arial" w:hAnsi="Arial" w:cs="Arial"/>
          <w:sz w:val="14"/>
          <w:szCs w:val="14"/>
          <w:lang w:val="es-CO"/>
        </w:rPr>
      </w:pPr>
      <w:r w:rsidRPr="00EE5B62">
        <w:rPr>
          <w:rFonts w:ascii="Arial" w:hAnsi="Arial" w:cs="Arial"/>
          <w:sz w:val="14"/>
          <w:szCs w:val="14"/>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33D45336" w14:textId="77777777" w:rsidR="0091736C" w:rsidRPr="00EE5B62" w:rsidRDefault="0091736C" w:rsidP="0091736C">
      <w:pPr>
        <w:pStyle w:val="Textonotapie"/>
        <w:ind w:firstLine="708"/>
        <w:jc w:val="both"/>
        <w:rPr>
          <w:sz w:val="14"/>
          <w:szCs w:val="14"/>
          <w:lang w:val="es-CO"/>
        </w:rPr>
      </w:pPr>
      <w:proofErr w:type="gramStart"/>
      <w:r w:rsidRPr="00EE5B62">
        <w:rPr>
          <w:rFonts w:ascii="Arial" w:hAnsi="Arial" w:cs="Arial"/>
          <w:sz w:val="14"/>
          <w:szCs w:val="14"/>
          <w:lang w:val="es-CO"/>
        </w:rPr>
        <w:t>»Los</w:t>
      </w:r>
      <w:proofErr w:type="gramEnd"/>
      <w:r w:rsidRPr="00EE5B62">
        <w:rPr>
          <w:rFonts w:ascii="Arial" w:hAnsi="Arial" w:cs="Arial"/>
          <w:sz w:val="14"/>
          <w:szCs w:val="14"/>
          <w:lang w:val="es-CO"/>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0E788A6B" w:rsidR="00E2520A" w:rsidRDefault="00E2520A"/>
  <w:p w14:paraId="75353C86" w14:textId="77777777" w:rsidR="00EE5B62" w:rsidRPr="00005EFF" w:rsidRDefault="00EE5B62" w:rsidP="00EE5B62">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4F0C121A" wp14:editId="1D1F5C05">
          <wp:simplePos x="0" y="0"/>
          <wp:positionH relativeFrom="margin">
            <wp:posOffset>3952875</wp:posOffset>
          </wp:positionH>
          <wp:positionV relativeFrom="paragraph">
            <wp:posOffset>8255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EE5B62" w:rsidRPr="00367110" w14:paraId="71E4BE12" w14:textId="77777777" w:rsidTr="00DF3948">
      <w:tc>
        <w:tcPr>
          <w:tcW w:w="6756" w:type="dxa"/>
        </w:tcPr>
        <w:p w14:paraId="165FEA40" w14:textId="77777777" w:rsidR="00EE5B62" w:rsidRPr="006478E3" w:rsidRDefault="00EE5B62" w:rsidP="00EE5B62">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8AA5F9B" w14:textId="77777777" w:rsidR="00EE5B62" w:rsidRPr="0057618A" w:rsidRDefault="00EE5B62" w:rsidP="00EE5B62">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3B22ACA7" w14:textId="77777777" w:rsidR="00EE5B62" w:rsidRPr="00367110" w:rsidRDefault="00EE5B62" w:rsidP="00EE5B62">
          <w:pPr>
            <w:jc w:val="right"/>
            <w:rPr>
              <w:rFonts w:eastAsia="Arial Nova" w:cs="Arial Nova"/>
              <w:lang w:eastAsia="es-CO"/>
            </w:rPr>
          </w:pPr>
        </w:p>
      </w:tc>
      <w:tc>
        <w:tcPr>
          <w:tcW w:w="1324" w:type="dxa"/>
        </w:tcPr>
        <w:p w14:paraId="3C465983" w14:textId="77777777" w:rsidR="00EE5B62" w:rsidRPr="00367110" w:rsidRDefault="00EE5B62" w:rsidP="00EE5B62">
          <w:pPr>
            <w:jc w:val="right"/>
            <w:rPr>
              <w:rFonts w:eastAsia="Arial Nova" w:cs="Arial Nova"/>
              <w:lang w:eastAsia="es-CO"/>
            </w:rPr>
          </w:pPr>
        </w:p>
      </w:tc>
    </w:tr>
  </w:tbl>
  <w:p w14:paraId="6F5C9D51" w14:textId="77777777" w:rsidR="00EE5B62" w:rsidRDefault="00EE5B62" w:rsidP="00EE5B62">
    <w:r w:rsidRPr="00367110">
      <w:rPr>
        <w:rFonts w:eastAsia="Arial Nova" w:cs="Arial Nova"/>
        <w:noProof/>
        <w:color w:val="000000"/>
        <w:lang w:eastAsia="es-CO"/>
      </w:rPr>
      <w:drawing>
        <wp:anchor distT="0" distB="0" distL="114300" distR="114300" simplePos="0" relativeHeight="251660288" behindDoc="1" locked="0" layoutInCell="1" allowOverlap="1" wp14:anchorId="5719E6DC" wp14:editId="17BA64DC">
          <wp:simplePos x="0" y="0"/>
          <wp:positionH relativeFrom="margin">
            <wp:align>left</wp:align>
          </wp:positionH>
          <wp:positionV relativeFrom="paragraph">
            <wp:posOffset>133350</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p>
  <w:p w14:paraId="5DBE9C96" w14:textId="6B669BBC" w:rsidR="00E2520A" w:rsidRDefault="00E2520A" w:rsidP="00F8688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94"/>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99B"/>
    <w:rsid w:val="00015695"/>
    <w:rsid w:val="00015B44"/>
    <w:rsid w:val="00015BD4"/>
    <w:rsid w:val="00016081"/>
    <w:rsid w:val="000163DF"/>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1A1"/>
    <w:rsid w:val="00023DAE"/>
    <w:rsid w:val="00023FA5"/>
    <w:rsid w:val="00024592"/>
    <w:rsid w:val="00024896"/>
    <w:rsid w:val="000254C0"/>
    <w:rsid w:val="000258A6"/>
    <w:rsid w:val="00026092"/>
    <w:rsid w:val="000263F0"/>
    <w:rsid w:val="00026407"/>
    <w:rsid w:val="000264F6"/>
    <w:rsid w:val="00026608"/>
    <w:rsid w:val="00026B36"/>
    <w:rsid w:val="000271C5"/>
    <w:rsid w:val="0002738B"/>
    <w:rsid w:val="00027545"/>
    <w:rsid w:val="00027787"/>
    <w:rsid w:val="000278D2"/>
    <w:rsid w:val="00031384"/>
    <w:rsid w:val="000315E1"/>
    <w:rsid w:val="0003236E"/>
    <w:rsid w:val="00033295"/>
    <w:rsid w:val="0003339A"/>
    <w:rsid w:val="00033B3F"/>
    <w:rsid w:val="00034134"/>
    <w:rsid w:val="000341F2"/>
    <w:rsid w:val="00034651"/>
    <w:rsid w:val="000351F2"/>
    <w:rsid w:val="00035224"/>
    <w:rsid w:val="0003535E"/>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1E58"/>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67818"/>
    <w:rsid w:val="00070055"/>
    <w:rsid w:val="00070AF1"/>
    <w:rsid w:val="00070E24"/>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0B35"/>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A59"/>
    <w:rsid w:val="00086B2A"/>
    <w:rsid w:val="00086ED2"/>
    <w:rsid w:val="00087019"/>
    <w:rsid w:val="000914D6"/>
    <w:rsid w:val="00091569"/>
    <w:rsid w:val="00092DCA"/>
    <w:rsid w:val="000935F8"/>
    <w:rsid w:val="00093C51"/>
    <w:rsid w:val="000942EB"/>
    <w:rsid w:val="00095B70"/>
    <w:rsid w:val="00095C0D"/>
    <w:rsid w:val="0009617E"/>
    <w:rsid w:val="00096489"/>
    <w:rsid w:val="00096E9A"/>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9A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5B1"/>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1ADC"/>
    <w:rsid w:val="000E2109"/>
    <w:rsid w:val="000E22CF"/>
    <w:rsid w:val="000E2977"/>
    <w:rsid w:val="000E2B36"/>
    <w:rsid w:val="000E30AC"/>
    <w:rsid w:val="000E3B46"/>
    <w:rsid w:val="000E3E11"/>
    <w:rsid w:val="000E4596"/>
    <w:rsid w:val="000E55DA"/>
    <w:rsid w:val="000E5768"/>
    <w:rsid w:val="000E5843"/>
    <w:rsid w:val="000E6139"/>
    <w:rsid w:val="000E6B73"/>
    <w:rsid w:val="000E6BE1"/>
    <w:rsid w:val="000E6DDE"/>
    <w:rsid w:val="000E739A"/>
    <w:rsid w:val="000E7E0B"/>
    <w:rsid w:val="000F078A"/>
    <w:rsid w:val="000F122D"/>
    <w:rsid w:val="000F1450"/>
    <w:rsid w:val="000F14E8"/>
    <w:rsid w:val="000F16F5"/>
    <w:rsid w:val="000F1B9B"/>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6D84"/>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13AB"/>
    <w:rsid w:val="001417C5"/>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0A26"/>
    <w:rsid w:val="00151B99"/>
    <w:rsid w:val="001521B2"/>
    <w:rsid w:val="00152288"/>
    <w:rsid w:val="00152EDD"/>
    <w:rsid w:val="00153491"/>
    <w:rsid w:val="0015361C"/>
    <w:rsid w:val="0015372F"/>
    <w:rsid w:val="00153A05"/>
    <w:rsid w:val="00153A18"/>
    <w:rsid w:val="00153BFB"/>
    <w:rsid w:val="0015407E"/>
    <w:rsid w:val="001542E6"/>
    <w:rsid w:val="0015441F"/>
    <w:rsid w:val="0015448E"/>
    <w:rsid w:val="00154A6F"/>
    <w:rsid w:val="00155D08"/>
    <w:rsid w:val="00156B13"/>
    <w:rsid w:val="00156BE5"/>
    <w:rsid w:val="00156FDB"/>
    <w:rsid w:val="00157232"/>
    <w:rsid w:val="00160401"/>
    <w:rsid w:val="00160D4E"/>
    <w:rsid w:val="001615B9"/>
    <w:rsid w:val="00161E62"/>
    <w:rsid w:val="00161F1C"/>
    <w:rsid w:val="0016200B"/>
    <w:rsid w:val="00163D7A"/>
    <w:rsid w:val="00164281"/>
    <w:rsid w:val="00164AF1"/>
    <w:rsid w:val="001654DF"/>
    <w:rsid w:val="00166476"/>
    <w:rsid w:val="00166C27"/>
    <w:rsid w:val="00167503"/>
    <w:rsid w:val="001676A9"/>
    <w:rsid w:val="00167A15"/>
    <w:rsid w:val="00167A50"/>
    <w:rsid w:val="00167D66"/>
    <w:rsid w:val="00167DF5"/>
    <w:rsid w:val="00170001"/>
    <w:rsid w:val="001709A4"/>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BCE"/>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97AB4"/>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D03"/>
    <w:rsid w:val="001A7DB7"/>
    <w:rsid w:val="001B0366"/>
    <w:rsid w:val="001B0444"/>
    <w:rsid w:val="001B080D"/>
    <w:rsid w:val="001B096B"/>
    <w:rsid w:val="001B0F9F"/>
    <w:rsid w:val="001B123C"/>
    <w:rsid w:val="001B1A0D"/>
    <w:rsid w:val="001B1BF1"/>
    <w:rsid w:val="001B2456"/>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5CE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EAC"/>
    <w:rsid w:val="001E4258"/>
    <w:rsid w:val="001E442F"/>
    <w:rsid w:val="001E4587"/>
    <w:rsid w:val="001E56FF"/>
    <w:rsid w:val="001E5A69"/>
    <w:rsid w:val="001E5B84"/>
    <w:rsid w:val="001E5D6A"/>
    <w:rsid w:val="001E64CE"/>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949"/>
    <w:rsid w:val="002221CE"/>
    <w:rsid w:val="00222740"/>
    <w:rsid w:val="00222BE8"/>
    <w:rsid w:val="00223102"/>
    <w:rsid w:val="002232CB"/>
    <w:rsid w:val="00223AA2"/>
    <w:rsid w:val="00224022"/>
    <w:rsid w:val="0022552A"/>
    <w:rsid w:val="00226055"/>
    <w:rsid w:val="0022613F"/>
    <w:rsid w:val="00226236"/>
    <w:rsid w:val="00226DF9"/>
    <w:rsid w:val="002270C9"/>
    <w:rsid w:val="00227710"/>
    <w:rsid w:val="00227A8B"/>
    <w:rsid w:val="0023146B"/>
    <w:rsid w:val="002315A0"/>
    <w:rsid w:val="00231CE0"/>
    <w:rsid w:val="00231DBA"/>
    <w:rsid w:val="00231EC7"/>
    <w:rsid w:val="002324A3"/>
    <w:rsid w:val="00232A6C"/>
    <w:rsid w:val="00232E15"/>
    <w:rsid w:val="00233079"/>
    <w:rsid w:val="0023382C"/>
    <w:rsid w:val="00233977"/>
    <w:rsid w:val="00233C58"/>
    <w:rsid w:val="00233C71"/>
    <w:rsid w:val="002345B6"/>
    <w:rsid w:val="00234B84"/>
    <w:rsid w:val="00236016"/>
    <w:rsid w:val="00236271"/>
    <w:rsid w:val="00237065"/>
    <w:rsid w:val="00237589"/>
    <w:rsid w:val="0023758D"/>
    <w:rsid w:val="002375A7"/>
    <w:rsid w:val="0024019A"/>
    <w:rsid w:val="00240A4A"/>
    <w:rsid w:val="002411DE"/>
    <w:rsid w:val="0024131D"/>
    <w:rsid w:val="002413B5"/>
    <w:rsid w:val="002415B8"/>
    <w:rsid w:val="00241618"/>
    <w:rsid w:val="00242059"/>
    <w:rsid w:val="00242D62"/>
    <w:rsid w:val="00243057"/>
    <w:rsid w:val="002431D7"/>
    <w:rsid w:val="00243257"/>
    <w:rsid w:val="00243434"/>
    <w:rsid w:val="00243EAD"/>
    <w:rsid w:val="00244058"/>
    <w:rsid w:val="00244F9A"/>
    <w:rsid w:val="00245718"/>
    <w:rsid w:val="00245E07"/>
    <w:rsid w:val="0024729C"/>
    <w:rsid w:val="00247712"/>
    <w:rsid w:val="00250EC6"/>
    <w:rsid w:val="00251866"/>
    <w:rsid w:val="00251A9F"/>
    <w:rsid w:val="00251E56"/>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F7F"/>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147"/>
    <w:rsid w:val="0028428F"/>
    <w:rsid w:val="00284CFC"/>
    <w:rsid w:val="002851C6"/>
    <w:rsid w:val="0028565E"/>
    <w:rsid w:val="00285832"/>
    <w:rsid w:val="00285969"/>
    <w:rsid w:val="0028663B"/>
    <w:rsid w:val="00286CEC"/>
    <w:rsid w:val="002871A9"/>
    <w:rsid w:val="0028750E"/>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E7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6F42"/>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2EF0"/>
    <w:rsid w:val="002D301F"/>
    <w:rsid w:val="002D302A"/>
    <w:rsid w:val="002D36C6"/>
    <w:rsid w:val="002D37C1"/>
    <w:rsid w:val="002D444B"/>
    <w:rsid w:val="002D4A45"/>
    <w:rsid w:val="002D4A73"/>
    <w:rsid w:val="002D4AB1"/>
    <w:rsid w:val="002D4B42"/>
    <w:rsid w:val="002D4DBA"/>
    <w:rsid w:val="002D4FDE"/>
    <w:rsid w:val="002D5A1B"/>
    <w:rsid w:val="002D65BC"/>
    <w:rsid w:val="002D6740"/>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0BF"/>
    <w:rsid w:val="002E74C4"/>
    <w:rsid w:val="002E7847"/>
    <w:rsid w:val="002E7FCF"/>
    <w:rsid w:val="002F0073"/>
    <w:rsid w:val="002F0430"/>
    <w:rsid w:val="002F0618"/>
    <w:rsid w:val="002F186C"/>
    <w:rsid w:val="002F1D41"/>
    <w:rsid w:val="002F240B"/>
    <w:rsid w:val="002F2F50"/>
    <w:rsid w:val="002F3601"/>
    <w:rsid w:val="002F37DD"/>
    <w:rsid w:val="002F45F6"/>
    <w:rsid w:val="002F692F"/>
    <w:rsid w:val="002F69BE"/>
    <w:rsid w:val="002F7B66"/>
    <w:rsid w:val="00300CB4"/>
    <w:rsid w:val="00300DE7"/>
    <w:rsid w:val="00300E24"/>
    <w:rsid w:val="0030101C"/>
    <w:rsid w:val="00302B42"/>
    <w:rsid w:val="00303196"/>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821"/>
    <w:rsid w:val="003254F5"/>
    <w:rsid w:val="00325D98"/>
    <w:rsid w:val="0032682A"/>
    <w:rsid w:val="00327A5C"/>
    <w:rsid w:val="0033092C"/>
    <w:rsid w:val="0033122A"/>
    <w:rsid w:val="003315AC"/>
    <w:rsid w:val="00331932"/>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56BCA"/>
    <w:rsid w:val="003609C4"/>
    <w:rsid w:val="003618D9"/>
    <w:rsid w:val="00361A59"/>
    <w:rsid w:val="0036315A"/>
    <w:rsid w:val="003631CC"/>
    <w:rsid w:val="003632CC"/>
    <w:rsid w:val="00363348"/>
    <w:rsid w:val="00363857"/>
    <w:rsid w:val="00363D59"/>
    <w:rsid w:val="003640F7"/>
    <w:rsid w:val="00364300"/>
    <w:rsid w:val="00364795"/>
    <w:rsid w:val="00364E66"/>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5B03"/>
    <w:rsid w:val="00386456"/>
    <w:rsid w:val="003865A9"/>
    <w:rsid w:val="00387642"/>
    <w:rsid w:val="00387CB6"/>
    <w:rsid w:val="003903B6"/>
    <w:rsid w:val="00390F32"/>
    <w:rsid w:val="0039135E"/>
    <w:rsid w:val="0039200F"/>
    <w:rsid w:val="0039319C"/>
    <w:rsid w:val="003932B1"/>
    <w:rsid w:val="003938CD"/>
    <w:rsid w:val="00393CAE"/>
    <w:rsid w:val="003945DC"/>
    <w:rsid w:val="003945F4"/>
    <w:rsid w:val="00394EB5"/>
    <w:rsid w:val="003953B4"/>
    <w:rsid w:val="0039615F"/>
    <w:rsid w:val="00396923"/>
    <w:rsid w:val="00396A29"/>
    <w:rsid w:val="00397FF0"/>
    <w:rsid w:val="003A0878"/>
    <w:rsid w:val="003A1561"/>
    <w:rsid w:val="003A1D25"/>
    <w:rsid w:val="003A22A2"/>
    <w:rsid w:val="003A2447"/>
    <w:rsid w:val="003A285F"/>
    <w:rsid w:val="003A2AA1"/>
    <w:rsid w:val="003A31A5"/>
    <w:rsid w:val="003A3851"/>
    <w:rsid w:val="003A39DD"/>
    <w:rsid w:val="003A4A8E"/>
    <w:rsid w:val="003A532A"/>
    <w:rsid w:val="003A563C"/>
    <w:rsid w:val="003A581E"/>
    <w:rsid w:val="003A6160"/>
    <w:rsid w:val="003A65A5"/>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136D"/>
    <w:rsid w:val="003F1CE4"/>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42A"/>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0A2"/>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4DF"/>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33"/>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6DF3"/>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F0B"/>
    <w:rsid w:val="004B163F"/>
    <w:rsid w:val="004B2197"/>
    <w:rsid w:val="004B298A"/>
    <w:rsid w:val="004B578D"/>
    <w:rsid w:val="004B5BE7"/>
    <w:rsid w:val="004B5E2D"/>
    <w:rsid w:val="004B5ED5"/>
    <w:rsid w:val="004B6793"/>
    <w:rsid w:val="004B6C07"/>
    <w:rsid w:val="004B70DF"/>
    <w:rsid w:val="004B74D3"/>
    <w:rsid w:val="004B76D3"/>
    <w:rsid w:val="004B788E"/>
    <w:rsid w:val="004B79B3"/>
    <w:rsid w:val="004B7E5D"/>
    <w:rsid w:val="004C0DD8"/>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33"/>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80"/>
    <w:rsid w:val="004F66BC"/>
    <w:rsid w:val="004F67B2"/>
    <w:rsid w:val="004F6C26"/>
    <w:rsid w:val="004F7AC9"/>
    <w:rsid w:val="0050062F"/>
    <w:rsid w:val="005012E2"/>
    <w:rsid w:val="00501481"/>
    <w:rsid w:val="0050160F"/>
    <w:rsid w:val="0050208C"/>
    <w:rsid w:val="0050284E"/>
    <w:rsid w:val="00504676"/>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83C"/>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23A"/>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0D5F"/>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014"/>
    <w:rsid w:val="005E273D"/>
    <w:rsid w:val="005E3278"/>
    <w:rsid w:val="005E363B"/>
    <w:rsid w:val="005E3760"/>
    <w:rsid w:val="005E3B0D"/>
    <w:rsid w:val="005E62EE"/>
    <w:rsid w:val="005E6EA5"/>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2E7"/>
    <w:rsid w:val="005F63B1"/>
    <w:rsid w:val="005F6CE2"/>
    <w:rsid w:val="005F7111"/>
    <w:rsid w:val="005F72E9"/>
    <w:rsid w:val="005F730E"/>
    <w:rsid w:val="005F780B"/>
    <w:rsid w:val="005F7B0D"/>
    <w:rsid w:val="00600195"/>
    <w:rsid w:val="00600473"/>
    <w:rsid w:val="006013C9"/>
    <w:rsid w:val="006016EA"/>
    <w:rsid w:val="00602B45"/>
    <w:rsid w:val="00602D25"/>
    <w:rsid w:val="00603499"/>
    <w:rsid w:val="006035F5"/>
    <w:rsid w:val="00603B08"/>
    <w:rsid w:val="00603CC2"/>
    <w:rsid w:val="006047D1"/>
    <w:rsid w:val="00604A55"/>
    <w:rsid w:val="00604D3F"/>
    <w:rsid w:val="00605AC3"/>
    <w:rsid w:val="00606908"/>
    <w:rsid w:val="00607996"/>
    <w:rsid w:val="00607A37"/>
    <w:rsid w:val="00607E9F"/>
    <w:rsid w:val="0061085E"/>
    <w:rsid w:val="00611398"/>
    <w:rsid w:val="006118F4"/>
    <w:rsid w:val="0061204A"/>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17A70"/>
    <w:rsid w:val="00620719"/>
    <w:rsid w:val="006212C9"/>
    <w:rsid w:val="00621D0C"/>
    <w:rsid w:val="00622470"/>
    <w:rsid w:val="00622725"/>
    <w:rsid w:val="0062281D"/>
    <w:rsid w:val="006231AA"/>
    <w:rsid w:val="00623482"/>
    <w:rsid w:val="00623AC2"/>
    <w:rsid w:val="00623FF7"/>
    <w:rsid w:val="0062471F"/>
    <w:rsid w:val="0062554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1FBD"/>
    <w:rsid w:val="006324C2"/>
    <w:rsid w:val="0063295C"/>
    <w:rsid w:val="00633367"/>
    <w:rsid w:val="00633DBF"/>
    <w:rsid w:val="00634064"/>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2E85"/>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6B9A"/>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A8C"/>
    <w:rsid w:val="006B16D3"/>
    <w:rsid w:val="006B2534"/>
    <w:rsid w:val="006B2CB2"/>
    <w:rsid w:val="006B347D"/>
    <w:rsid w:val="006B3E19"/>
    <w:rsid w:val="006B4488"/>
    <w:rsid w:val="006B5B75"/>
    <w:rsid w:val="006B630C"/>
    <w:rsid w:val="006B671C"/>
    <w:rsid w:val="006B67AC"/>
    <w:rsid w:val="006B6A25"/>
    <w:rsid w:val="006B7285"/>
    <w:rsid w:val="006B786A"/>
    <w:rsid w:val="006B7E4E"/>
    <w:rsid w:val="006C003A"/>
    <w:rsid w:val="006C2454"/>
    <w:rsid w:val="006C2551"/>
    <w:rsid w:val="006C3746"/>
    <w:rsid w:val="006C37CA"/>
    <w:rsid w:val="006C40B7"/>
    <w:rsid w:val="006C40D2"/>
    <w:rsid w:val="006C5530"/>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7275"/>
    <w:rsid w:val="006E77B8"/>
    <w:rsid w:val="006F15CC"/>
    <w:rsid w:val="006F1606"/>
    <w:rsid w:val="006F38AD"/>
    <w:rsid w:val="006F3BDD"/>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228"/>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912"/>
    <w:rsid w:val="00716CAD"/>
    <w:rsid w:val="00716F18"/>
    <w:rsid w:val="0071716D"/>
    <w:rsid w:val="0071718F"/>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7DDC"/>
    <w:rsid w:val="00730CD6"/>
    <w:rsid w:val="00730F74"/>
    <w:rsid w:val="0073114B"/>
    <w:rsid w:val="0073253A"/>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394"/>
    <w:rsid w:val="00741626"/>
    <w:rsid w:val="007417BF"/>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3BAC"/>
    <w:rsid w:val="00753E96"/>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5EF"/>
    <w:rsid w:val="007827B0"/>
    <w:rsid w:val="0078286B"/>
    <w:rsid w:val="00782D2C"/>
    <w:rsid w:val="00782FC2"/>
    <w:rsid w:val="00784696"/>
    <w:rsid w:val="00784FC4"/>
    <w:rsid w:val="00785BBB"/>
    <w:rsid w:val="00785C8D"/>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134"/>
    <w:rsid w:val="007A5816"/>
    <w:rsid w:val="007A5947"/>
    <w:rsid w:val="007A6CE7"/>
    <w:rsid w:val="007A6F90"/>
    <w:rsid w:val="007B00D8"/>
    <w:rsid w:val="007B0313"/>
    <w:rsid w:val="007B05FB"/>
    <w:rsid w:val="007B0854"/>
    <w:rsid w:val="007B0E48"/>
    <w:rsid w:val="007B12F1"/>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6339"/>
    <w:rsid w:val="007C6EC5"/>
    <w:rsid w:val="007C6F35"/>
    <w:rsid w:val="007C7C43"/>
    <w:rsid w:val="007C7F0D"/>
    <w:rsid w:val="007D0D03"/>
    <w:rsid w:val="007D1134"/>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368"/>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A62"/>
    <w:rsid w:val="00800E6D"/>
    <w:rsid w:val="008014D9"/>
    <w:rsid w:val="0080150F"/>
    <w:rsid w:val="0080153A"/>
    <w:rsid w:val="00801A2A"/>
    <w:rsid w:val="00802041"/>
    <w:rsid w:val="008022C9"/>
    <w:rsid w:val="008026D4"/>
    <w:rsid w:val="00802C0C"/>
    <w:rsid w:val="00802F9E"/>
    <w:rsid w:val="00803700"/>
    <w:rsid w:val="00803C65"/>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6E1F"/>
    <w:rsid w:val="0081766B"/>
    <w:rsid w:val="00820705"/>
    <w:rsid w:val="00820CBF"/>
    <w:rsid w:val="00820FA8"/>
    <w:rsid w:val="008212FD"/>
    <w:rsid w:val="00821489"/>
    <w:rsid w:val="008217B7"/>
    <w:rsid w:val="00821F5E"/>
    <w:rsid w:val="008221EA"/>
    <w:rsid w:val="0082239B"/>
    <w:rsid w:val="0082282A"/>
    <w:rsid w:val="0082292E"/>
    <w:rsid w:val="00822D06"/>
    <w:rsid w:val="00822D87"/>
    <w:rsid w:val="0082348D"/>
    <w:rsid w:val="008234E0"/>
    <w:rsid w:val="008236BE"/>
    <w:rsid w:val="00823A46"/>
    <w:rsid w:val="00823A93"/>
    <w:rsid w:val="008241CE"/>
    <w:rsid w:val="00825240"/>
    <w:rsid w:val="00825B43"/>
    <w:rsid w:val="00825EF8"/>
    <w:rsid w:val="0082629D"/>
    <w:rsid w:val="008263EB"/>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197"/>
    <w:rsid w:val="00836E74"/>
    <w:rsid w:val="00836EAB"/>
    <w:rsid w:val="00837673"/>
    <w:rsid w:val="00837937"/>
    <w:rsid w:val="00837D82"/>
    <w:rsid w:val="0084004C"/>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49C7"/>
    <w:rsid w:val="00855A41"/>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378"/>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53C1"/>
    <w:rsid w:val="00886DF2"/>
    <w:rsid w:val="00886FB9"/>
    <w:rsid w:val="00887080"/>
    <w:rsid w:val="008870C4"/>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595"/>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07A"/>
    <w:rsid w:val="008B2268"/>
    <w:rsid w:val="008B23F7"/>
    <w:rsid w:val="008B263F"/>
    <w:rsid w:val="008B47A6"/>
    <w:rsid w:val="008B5761"/>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91A"/>
    <w:rsid w:val="008E1C15"/>
    <w:rsid w:val="008E1C9A"/>
    <w:rsid w:val="008E24A7"/>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1DE"/>
    <w:rsid w:val="008F538E"/>
    <w:rsid w:val="008F59B4"/>
    <w:rsid w:val="008F5A20"/>
    <w:rsid w:val="008F5ABA"/>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683"/>
    <w:rsid w:val="00910E00"/>
    <w:rsid w:val="009116CE"/>
    <w:rsid w:val="00911714"/>
    <w:rsid w:val="00911A5B"/>
    <w:rsid w:val="00912AC9"/>
    <w:rsid w:val="009136D4"/>
    <w:rsid w:val="00913E3C"/>
    <w:rsid w:val="00914B9A"/>
    <w:rsid w:val="00914C29"/>
    <w:rsid w:val="00914C3F"/>
    <w:rsid w:val="00914F33"/>
    <w:rsid w:val="009153F6"/>
    <w:rsid w:val="00915FCE"/>
    <w:rsid w:val="00916AFE"/>
    <w:rsid w:val="00916FC8"/>
    <w:rsid w:val="009170D3"/>
    <w:rsid w:val="0091736C"/>
    <w:rsid w:val="0091759C"/>
    <w:rsid w:val="00917910"/>
    <w:rsid w:val="00920026"/>
    <w:rsid w:val="0092032F"/>
    <w:rsid w:val="009203E2"/>
    <w:rsid w:val="00920846"/>
    <w:rsid w:val="00921304"/>
    <w:rsid w:val="0092177A"/>
    <w:rsid w:val="00921805"/>
    <w:rsid w:val="00921BA7"/>
    <w:rsid w:val="009228C0"/>
    <w:rsid w:val="00923396"/>
    <w:rsid w:val="00923F56"/>
    <w:rsid w:val="00923FA6"/>
    <w:rsid w:val="009246C4"/>
    <w:rsid w:val="00925743"/>
    <w:rsid w:val="0092579F"/>
    <w:rsid w:val="00927E8D"/>
    <w:rsid w:val="00927F23"/>
    <w:rsid w:val="00930698"/>
    <w:rsid w:val="009307CD"/>
    <w:rsid w:val="00931451"/>
    <w:rsid w:val="00931458"/>
    <w:rsid w:val="009314FA"/>
    <w:rsid w:val="0093194F"/>
    <w:rsid w:val="00931BF3"/>
    <w:rsid w:val="00931C55"/>
    <w:rsid w:val="00933333"/>
    <w:rsid w:val="0093349A"/>
    <w:rsid w:val="009337B2"/>
    <w:rsid w:val="00933AB5"/>
    <w:rsid w:val="00933FCB"/>
    <w:rsid w:val="00934E69"/>
    <w:rsid w:val="009367D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50A5B"/>
    <w:rsid w:val="009512FA"/>
    <w:rsid w:val="00951E57"/>
    <w:rsid w:val="00953018"/>
    <w:rsid w:val="009533E2"/>
    <w:rsid w:val="00953554"/>
    <w:rsid w:val="0095385A"/>
    <w:rsid w:val="00953928"/>
    <w:rsid w:val="009540F0"/>
    <w:rsid w:val="00954F18"/>
    <w:rsid w:val="00955906"/>
    <w:rsid w:val="00955978"/>
    <w:rsid w:val="00956105"/>
    <w:rsid w:val="00957010"/>
    <w:rsid w:val="009574F8"/>
    <w:rsid w:val="0095780A"/>
    <w:rsid w:val="009579E4"/>
    <w:rsid w:val="00957AA4"/>
    <w:rsid w:val="00957ACB"/>
    <w:rsid w:val="00957E21"/>
    <w:rsid w:val="00957F27"/>
    <w:rsid w:val="009609F0"/>
    <w:rsid w:val="00960BDB"/>
    <w:rsid w:val="0096147D"/>
    <w:rsid w:val="00961E5F"/>
    <w:rsid w:val="00962038"/>
    <w:rsid w:val="009625C6"/>
    <w:rsid w:val="009629B5"/>
    <w:rsid w:val="00962A50"/>
    <w:rsid w:val="00962E25"/>
    <w:rsid w:val="00962E33"/>
    <w:rsid w:val="00962F47"/>
    <w:rsid w:val="009631BD"/>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6E0"/>
    <w:rsid w:val="00975DA3"/>
    <w:rsid w:val="009761ED"/>
    <w:rsid w:val="00976D35"/>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3B1"/>
    <w:rsid w:val="00990583"/>
    <w:rsid w:val="00990701"/>
    <w:rsid w:val="0099090B"/>
    <w:rsid w:val="00990BC7"/>
    <w:rsid w:val="0099119C"/>
    <w:rsid w:val="0099137A"/>
    <w:rsid w:val="00991805"/>
    <w:rsid w:val="0099211C"/>
    <w:rsid w:val="00993B78"/>
    <w:rsid w:val="00993CD6"/>
    <w:rsid w:val="0099467B"/>
    <w:rsid w:val="0099483A"/>
    <w:rsid w:val="00995119"/>
    <w:rsid w:val="009953AD"/>
    <w:rsid w:val="0099583D"/>
    <w:rsid w:val="00995B7C"/>
    <w:rsid w:val="00996992"/>
    <w:rsid w:val="00996B49"/>
    <w:rsid w:val="00996E1E"/>
    <w:rsid w:val="00997392"/>
    <w:rsid w:val="0099747C"/>
    <w:rsid w:val="0099771C"/>
    <w:rsid w:val="009A01E4"/>
    <w:rsid w:val="009A0917"/>
    <w:rsid w:val="009A0A33"/>
    <w:rsid w:val="009A0A35"/>
    <w:rsid w:val="009A0D3F"/>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25E"/>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79B"/>
    <w:rsid w:val="009E4E05"/>
    <w:rsid w:val="009E5371"/>
    <w:rsid w:val="009E56FF"/>
    <w:rsid w:val="009E5CB1"/>
    <w:rsid w:val="009E5E56"/>
    <w:rsid w:val="009E61EA"/>
    <w:rsid w:val="009E6990"/>
    <w:rsid w:val="009E6FEE"/>
    <w:rsid w:val="009F060F"/>
    <w:rsid w:val="009F0781"/>
    <w:rsid w:val="009F0850"/>
    <w:rsid w:val="009F11B2"/>
    <w:rsid w:val="009F18A4"/>
    <w:rsid w:val="009F1BDF"/>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3FD4"/>
    <w:rsid w:val="00A24560"/>
    <w:rsid w:val="00A25B0F"/>
    <w:rsid w:val="00A25BBB"/>
    <w:rsid w:val="00A25F8E"/>
    <w:rsid w:val="00A2733D"/>
    <w:rsid w:val="00A27F18"/>
    <w:rsid w:val="00A27FB6"/>
    <w:rsid w:val="00A30121"/>
    <w:rsid w:val="00A301D9"/>
    <w:rsid w:val="00A30350"/>
    <w:rsid w:val="00A30368"/>
    <w:rsid w:val="00A3043A"/>
    <w:rsid w:val="00A30E02"/>
    <w:rsid w:val="00A30F6A"/>
    <w:rsid w:val="00A31BA2"/>
    <w:rsid w:val="00A31C3E"/>
    <w:rsid w:val="00A34538"/>
    <w:rsid w:val="00A34677"/>
    <w:rsid w:val="00A34BA0"/>
    <w:rsid w:val="00A3518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623"/>
    <w:rsid w:val="00A51520"/>
    <w:rsid w:val="00A518D9"/>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5E2E"/>
    <w:rsid w:val="00A76438"/>
    <w:rsid w:val="00A767F2"/>
    <w:rsid w:val="00A77168"/>
    <w:rsid w:val="00A7723B"/>
    <w:rsid w:val="00A77525"/>
    <w:rsid w:val="00A7793C"/>
    <w:rsid w:val="00A77D21"/>
    <w:rsid w:val="00A80085"/>
    <w:rsid w:val="00A8043B"/>
    <w:rsid w:val="00A8119D"/>
    <w:rsid w:val="00A81323"/>
    <w:rsid w:val="00A81AC0"/>
    <w:rsid w:val="00A820CB"/>
    <w:rsid w:val="00A82202"/>
    <w:rsid w:val="00A82342"/>
    <w:rsid w:val="00A83760"/>
    <w:rsid w:val="00A83BEF"/>
    <w:rsid w:val="00A841E1"/>
    <w:rsid w:val="00A84443"/>
    <w:rsid w:val="00A8487F"/>
    <w:rsid w:val="00A848FC"/>
    <w:rsid w:val="00A849A3"/>
    <w:rsid w:val="00A84A0E"/>
    <w:rsid w:val="00A84D7C"/>
    <w:rsid w:val="00A851FD"/>
    <w:rsid w:val="00A86DB1"/>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5E02"/>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11A9"/>
    <w:rsid w:val="00B024ED"/>
    <w:rsid w:val="00B02EB3"/>
    <w:rsid w:val="00B02FCB"/>
    <w:rsid w:val="00B033F8"/>
    <w:rsid w:val="00B03C1E"/>
    <w:rsid w:val="00B04400"/>
    <w:rsid w:val="00B04835"/>
    <w:rsid w:val="00B04D29"/>
    <w:rsid w:val="00B053A3"/>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4E99"/>
    <w:rsid w:val="00B1557C"/>
    <w:rsid w:val="00B155DC"/>
    <w:rsid w:val="00B15766"/>
    <w:rsid w:val="00B158F6"/>
    <w:rsid w:val="00B159AA"/>
    <w:rsid w:val="00B1666A"/>
    <w:rsid w:val="00B1686D"/>
    <w:rsid w:val="00B17037"/>
    <w:rsid w:val="00B1741D"/>
    <w:rsid w:val="00B17447"/>
    <w:rsid w:val="00B17563"/>
    <w:rsid w:val="00B1771D"/>
    <w:rsid w:val="00B179BC"/>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FED"/>
    <w:rsid w:val="00B3008D"/>
    <w:rsid w:val="00B309C9"/>
    <w:rsid w:val="00B30E11"/>
    <w:rsid w:val="00B30EEB"/>
    <w:rsid w:val="00B30FD0"/>
    <w:rsid w:val="00B31423"/>
    <w:rsid w:val="00B31710"/>
    <w:rsid w:val="00B323E0"/>
    <w:rsid w:val="00B32DC0"/>
    <w:rsid w:val="00B3346C"/>
    <w:rsid w:val="00B335E4"/>
    <w:rsid w:val="00B33BE9"/>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851"/>
    <w:rsid w:val="00B56D6E"/>
    <w:rsid w:val="00B572F7"/>
    <w:rsid w:val="00B57B9D"/>
    <w:rsid w:val="00B57DAF"/>
    <w:rsid w:val="00B60094"/>
    <w:rsid w:val="00B6022C"/>
    <w:rsid w:val="00B614E0"/>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E37"/>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8A1"/>
    <w:rsid w:val="00B80C72"/>
    <w:rsid w:val="00B81964"/>
    <w:rsid w:val="00B81E6F"/>
    <w:rsid w:val="00B82121"/>
    <w:rsid w:val="00B82123"/>
    <w:rsid w:val="00B8225B"/>
    <w:rsid w:val="00B82BB5"/>
    <w:rsid w:val="00B83182"/>
    <w:rsid w:val="00B833E0"/>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6F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02B"/>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3BA"/>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68FA"/>
    <w:rsid w:val="00BE7257"/>
    <w:rsid w:val="00BF020D"/>
    <w:rsid w:val="00BF1750"/>
    <w:rsid w:val="00BF18BF"/>
    <w:rsid w:val="00BF1DD2"/>
    <w:rsid w:val="00BF23A3"/>
    <w:rsid w:val="00BF28DB"/>
    <w:rsid w:val="00BF2A7E"/>
    <w:rsid w:val="00BF3331"/>
    <w:rsid w:val="00BF3A45"/>
    <w:rsid w:val="00BF436F"/>
    <w:rsid w:val="00BF4EC5"/>
    <w:rsid w:val="00BF5723"/>
    <w:rsid w:val="00BF5C05"/>
    <w:rsid w:val="00BF5E94"/>
    <w:rsid w:val="00BF60C8"/>
    <w:rsid w:val="00BF6FC6"/>
    <w:rsid w:val="00BF73E1"/>
    <w:rsid w:val="00BF7C52"/>
    <w:rsid w:val="00BF7F99"/>
    <w:rsid w:val="00C00713"/>
    <w:rsid w:val="00C009A0"/>
    <w:rsid w:val="00C018B2"/>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08C4"/>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66FF"/>
    <w:rsid w:val="00C16B1A"/>
    <w:rsid w:val="00C176D5"/>
    <w:rsid w:val="00C2082C"/>
    <w:rsid w:val="00C20832"/>
    <w:rsid w:val="00C20EB0"/>
    <w:rsid w:val="00C21005"/>
    <w:rsid w:val="00C2183B"/>
    <w:rsid w:val="00C220B6"/>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E61"/>
    <w:rsid w:val="00C4539B"/>
    <w:rsid w:val="00C45466"/>
    <w:rsid w:val="00C455C1"/>
    <w:rsid w:val="00C4581D"/>
    <w:rsid w:val="00C47472"/>
    <w:rsid w:val="00C47E4D"/>
    <w:rsid w:val="00C47EA5"/>
    <w:rsid w:val="00C500F0"/>
    <w:rsid w:val="00C502BB"/>
    <w:rsid w:val="00C504A7"/>
    <w:rsid w:val="00C506C9"/>
    <w:rsid w:val="00C50A16"/>
    <w:rsid w:val="00C5122B"/>
    <w:rsid w:val="00C51C15"/>
    <w:rsid w:val="00C51C9A"/>
    <w:rsid w:val="00C51E32"/>
    <w:rsid w:val="00C52428"/>
    <w:rsid w:val="00C52C68"/>
    <w:rsid w:val="00C52D98"/>
    <w:rsid w:val="00C5325C"/>
    <w:rsid w:val="00C53D24"/>
    <w:rsid w:val="00C54640"/>
    <w:rsid w:val="00C547A6"/>
    <w:rsid w:val="00C54A3A"/>
    <w:rsid w:val="00C5503F"/>
    <w:rsid w:val="00C551EE"/>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4E"/>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4CDD"/>
    <w:rsid w:val="00C959BD"/>
    <w:rsid w:val="00C95F44"/>
    <w:rsid w:val="00C96807"/>
    <w:rsid w:val="00C96A86"/>
    <w:rsid w:val="00C96D1B"/>
    <w:rsid w:val="00C97106"/>
    <w:rsid w:val="00C97684"/>
    <w:rsid w:val="00C97F8B"/>
    <w:rsid w:val="00CA0031"/>
    <w:rsid w:val="00CA0413"/>
    <w:rsid w:val="00CA043A"/>
    <w:rsid w:val="00CA04F8"/>
    <w:rsid w:val="00CA05B7"/>
    <w:rsid w:val="00CA1613"/>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C1"/>
    <w:rsid w:val="00CB52D0"/>
    <w:rsid w:val="00CB5578"/>
    <w:rsid w:val="00CB5671"/>
    <w:rsid w:val="00CB591C"/>
    <w:rsid w:val="00CB5943"/>
    <w:rsid w:val="00CB61B3"/>
    <w:rsid w:val="00CB690C"/>
    <w:rsid w:val="00CB6F83"/>
    <w:rsid w:val="00CB72AE"/>
    <w:rsid w:val="00CB78AD"/>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71A"/>
    <w:rsid w:val="00CD7EFA"/>
    <w:rsid w:val="00CE020E"/>
    <w:rsid w:val="00CE0566"/>
    <w:rsid w:val="00CE10BB"/>
    <w:rsid w:val="00CE16A9"/>
    <w:rsid w:val="00CE1CD4"/>
    <w:rsid w:val="00CE23FE"/>
    <w:rsid w:val="00CE2761"/>
    <w:rsid w:val="00CE2B49"/>
    <w:rsid w:val="00CE314E"/>
    <w:rsid w:val="00CE3AF1"/>
    <w:rsid w:val="00CE3D5C"/>
    <w:rsid w:val="00CE3E14"/>
    <w:rsid w:val="00CE44C7"/>
    <w:rsid w:val="00CE4D4D"/>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DD5"/>
    <w:rsid w:val="00CF41D5"/>
    <w:rsid w:val="00CF4897"/>
    <w:rsid w:val="00CF4A21"/>
    <w:rsid w:val="00CF4AF7"/>
    <w:rsid w:val="00CF4D20"/>
    <w:rsid w:val="00CF55DF"/>
    <w:rsid w:val="00CF6180"/>
    <w:rsid w:val="00CF64F6"/>
    <w:rsid w:val="00CF721C"/>
    <w:rsid w:val="00CF73F8"/>
    <w:rsid w:val="00CF7928"/>
    <w:rsid w:val="00CF7CA2"/>
    <w:rsid w:val="00D00A8E"/>
    <w:rsid w:val="00D00DE0"/>
    <w:rsid w:val="00D00F79"/>
    <w:rsid w:val="00D01121"/>
    <w:rsid w:val="00D012BF"/>
    <w:rsid w:val="00D01760"/>
    <w:rsid w:val="00D0368E"/>
    <w:rsid w:val="00D036B0"/>
    <w:rsid w:val="00D03D2D"/>
    <w:rsid w:val="00D03E7B"/>
    <w:rsid w:val="00D0401A"/>
    <w:rsid w:val="00D047E0"/>
    <w:rsid w:val="00D04B9F"/>
    <w:rsid w:val="00D04FFB"/>
    <w:rsid w:val="00D05153"/>
    <w:rsid w:val="00D058E9"/>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A9D"/>
    <w:rsid w:val="00D26C21"/>
    <w:rsid w:val="00D2742F"/>
    <w:rsid w:val="00D2754F"/>
    <w:rsid w:val="00D27912"/>
    <w:rsid w:val="00D279D9"/>
    <w:rsid w:val="00D27C74"/>
    <w:rsid w:val="00D300FF"/>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498E"/>
    <w:rsid w:val="00D4515F"/>
    <w:rsid w:val="00D451E8"/>
    <w:rsid w:val="00D4636B"/>
    <w:rsid w:val="00D466C9"/>
    <w:rsid w:val="00D467D8"/>
    <w:rsid w:val="00D47275"/>
    <w:rsid w:val="00D4767B"/>
    <w:rsid w:val="00D50A9F"/>
    <w:rsid w:val="00D50AEF"/>
    <w:rsid w:val="00D50C39"/>
    <w:rsid w:val="00D51E15"/>
    <w:rsid w:val="00D52B7E"/>
    <w:rsid w:val="00D52CC8"/>
    <w:rsid w:val="00D52E2F"/>
    <w:rsid w:val="00D52F59"/>
    <w:rsid w:val="00D53E3E"/>
    <w:rsid w:val="00D5497A"/>
    <w:rsid w:val="00D55904"/>
    <w:rsid w:val="00D5616F"/>
    <w:rsid w:val="00D57940"/>
    <w:rsid w:val="00D60327"/>
    <w:rsid w:val="00D6104D"/>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342C"/>
    <w:rsid w:val="00D84A0A"/>
    <w:rsid w:val="00D85494"/>
    <w:rsid w:val="00D8582C"/>
    <w:rsid w:val="00D85D61"/>
    <w:rsid w:val="00D8616D"/>
    <w:rsid w:val="00D8711B"/>
    <w:rsid w:val="00D87384"/>
    <w:rsid w:val="00D90683"/>
    <w:rsid w:val="00D915C8"/>
    <w:rsid w:val="00D91638"/>
    <w:rsid w:val="00D91BA7"/>
    <w:rsid w:val="00D9261C"/>
    <w:rsid w:val="00D9310B"/>
    <w:rsid w:val="00D93299"/>
    <w:rsid w:val="00D93726"/>
    <w:rsid w:val="00D93DD3"/>
    <w:rsid w:val="00D93F3E"/>
    <w:rsid w:val="00D9405B"/>
    <w:rsid w:val="00D94942"/>
    <w:rsid w:val="00D94A22"/>
    <w:rsid w:val="00D95145"/>
    <w:rsid w:val="00D967CB"/>
    <w:rsid w:val="00D96EE0"/>
    <w:rsid w:val="00D97BD1"/>
    <w:rsid w:val="00DA06B8"/>
    <w:rsid w:val="00DA286D"/>
    <w:rsid w:val="00DA2969"/>
    <w:rsid w:val="00DA29B7"/>
    <w:rsid w:val="00DA4842"/>
    <w:rsid w:val="00DA5989"/>
    <w:rsid w:val="00DA5AB1"/>
    <w:rsid w:val="00DA5F9D"/>
    <w:rsid w:val="00DA6972"/>
    <w:rsid w:val="00DA69B2"/>
    <w:rsid w:val="00DA6A7B"/>
    <w:rsid w:val="00DA7462"/>
    <w:rsid w:val="00DA777E"/>
    <w:rsid w:val="00DA79F5"/>
    <w:rsid w:val="00DA7AD0"/>
    <w:rsid w:val="00DB02D7"/>
    <w:rsid w:val="00DB03CC"/>
    <w:rsid w:val="00DB12D4"/>
    <w:rsid w:val="00DB14F0"/>
    <w:rsid w:val="00DB1745"/>
    <w:rsid w:val="00DB1AFF"/>
    <w:rsid w:val="00DB219A"/>
    <w:rsid w:val="00DB2647"/>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2710"/>
    <w:rsid w:val="00DC30B8"/>
    <w:rsid w:val="00DC32C6"/>
    <w:rsid w:val="00DC3720"/>
    <w:rsid w:val="00DC478F"/>
    <w:rsid w:val="00DC62E5"/>
    <w:rsid w:val="00DC6AB9"/>
    <w:rsid w:val="00DC6CA7"/>
    <w:rsid w:val="00DC6F33"/>
    <w:rsid w:val="00DC729E"/>
    <w:rsid w:val="00DC7349"/>
    <w:rsid w:val="00DC7C76"/>
    <w:rsid w:val="00DD005B"/>
    <w:rsid w:val="00DD118B"/>
    <w:rsid w:val="00DD1249"/>
    <w:rsid w:val="00DD14D8"/>
    <w:rsid w:val="00DD1599"/>
    <w:rsid w:val="00DD177F"/>
    <w:rsid w:val="00DD197A"/>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2E2"/>
    <w:rsid w:val="00DE78D1"/>
    <w:rsid w:val="00DF0263"/>
    <w:rsid w:val="00DF098E"/>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3F26"/>
    <w:rsid w:val="00E14622"/>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3D12"/>
    <w:rsid w:val="00E3403D"/>
    <w:rsid w:val="00E348C2"/>
    <w:rsid w:val="00E34E6C"/>
    <w:rsid w:val="00E350D8"/>
    <w:rsid w:val="00E353E2"/>
    <w:rsid w:val="00E36345"/>
    <w:rsid w:val="00E363A3"/>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1A8"/>
    <w:rsid w:val="00E54534"/>
    <w:rsid w:val="00E548C3"/>
    <w:rsid w:val="00E54DA0"/>
    <w:rsid w:val="00E54E17"/>
    <w:rsid w:val="00E54F27"/>
    <w:rsid w:val="00E556F5"/>
    <w:rsid w:val="00E55FF1"/>
    <w:rsid w:val="00E56090"/>
    <w:rsid w:val="00E565B9"/>
    <w:rsid w:val="00E5733B"/>
    <w:rsid w:val="00E5756C"/>
    <w:rsid w:val="00E601BE"/>
    <w:rsid w:val="00E60B5F"/>
    <w:rsid w:val="00E60D04"/>
    <w:rsid w:val="00E613AE"/>
    <w:rsid w:val="00E61429"/>
    <w:rsid w:val="00E61502"/>
    <w:rsid w:val="00E61ABB"/>
    <w:rsid w:val="00E61FD7"/>
    <w:rsid w:val="00E623E6"/>
    <w:rsid w:val="00E62C6F"/>
    <w:rsid w:val="00E630C0"/>
    <w:rsid w:val="00E63107"/>
    <w:rsid w:val="00E634E6"/>
    <w:rsid w:val="00E63DCE"/>
    <w:rsid w:val="00E64700"/>
    <w:rsid w:val="00E64E0B"/>
    <w:rsid w:val="00E65074"/>
    <w:rsid w:val="00E65E70"/>
    <w:rsid w:val="00E65EE9"/>
    <w:rsid w:val="00E66087"/>
    <w:rsid w:val="00E66D79"/>
    <w:rsid w:val="00E66FF9"/>
    <w:rsid w:val="00E673E3"/>
    <w:rsid w:val="00E67856"/>
    <w:rsid w:val="00E679C8"/>
    <w:rsid w:val="00E70314"/>
    <w:rsid w:val="00E70FCD"/>
    <w:rsid w:val="00E718C6"/>
    <w:rsid w:val="00E724E7"/>
    <w:rsid w:val="00E72B41"/>
    <w:rsid w:val="00E7347B"/>
    <w:rsid w:val="00E73D03"/>
    <w:rsid w:val="00E74622"/>
    <w:rsid w:val="00E7471C"/>
    <w:rsid w:val="00E7498A"/>
    <w:rsid w:val="00E7514E"/>
    <w:rsid w:val="00E75B34"/>
    <w:rsid w:val="00E77AF5"/>
    <w:rsid w:val="00E8029A"/>
    <w:rsid w:val="00E803A6"/>
    <w:rsid w:val="00E81653"/>
    <w:rsid w:val="00E818B6"/>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592E"/>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1EBB"/>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8A5"/>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B62"/>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CD0"/>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54A"/>
    <w:rsid w:val="00F327EF"/>
    <w:rsid w:val="00F32C50"/>
    <w:rsid w:val="00F33980"/>
    <w:rsid w:val="00F3399B"/>
    <w:rsid w:val="00F33C1A"/>
    <w:rsid w:val="00F3461B"/>
    <w:rsid w:val="00F346ED"/>
    <w:rsid w:val="00F34945"/>
    <w:rsid w:val="00F3496F"/>
    <w:rsid w:val="00F34E1E"/>
    <w:rsid w:val="00F351E8"/>
    <w:rsid w:val="00F3547C"/>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F"/>
    <w:rsid w:val="00F45B91"/>
    <w:rsid w:val="00F46639"/>
    <w:rsid w:val="00F46692"/>
    <w:rsid w:val="00F46708"/>
    <w:rsid w:val="00F46782"/>
    <w:rsid w:val="00F47AAA"/>
    <w:rsid w:val="00F47B3B"/>
    <w:rsid w:val="00F47CF7"/>
    <w:rsid w:val="00F50183"/>
    <w:rsid w:val="00F50D92"/>
    <w:rsid w:val="00F51765"/>
    <w:rsid w:val="00F51A51"/>
    <w:rsid w:val="00F51CB4"/>
    <w:rsid w:val="00F52324"/>
    <w:rsid w:val="00F52950"/>
    <w:rsid w:val="00F52C9D"/>
    <w:rsid w:val="00F52E39"/>
    <w:rsid w:val="00F533F1"/>
    <w:rsid w:val="00F53B81"/>
    <w:rsid w:val="00F547CB"/>
    <w:rsid w:val="00F55679"/>
    <w:rsid w:val="00F561E3"/>
    <w:rsid w:val="00F565E6"/>
    <w:rsid w:val="00F56AB9"/>
    <w:rsid w:val="00F56AFA"/>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831"/>
    <w:rsid w:val="00F7492E"/>
    <w:rsid w:val="00F74945"/>
    <w:rsid w:val="00F749A3"/>
    <w:rsid w:val="00F74A04"/>
    <w:rsid w:val="00F74AE8"/>
    <w:rsid w:val="00F75A86"/>
    <w:rsid w:val="00F76C11"/>
    <w:rsid w:val="00F77021"/>
    <w:rsid w:val="00F775CB"/>
    <w:rsid w:val="00F77E61"/>
    <w:rsid w:val="00F805FF"/>
    <w:rsid w:val="00F814B2"/>
    <w:rsid w:val="00F815AC"/>
    <w:rsid w:val="00F82459"/>
    <w:rsid w:val="00F83075"/>
    <w:rsid w:val="00F83200"/>
    <w:rsid w:val="00F834EE"/>
    <w:rsid w:val="00F83B33"/>
    <w:rsid w:val="00F83CAE"/>
    <w:rsid w:val="00F840BF"/>
    <w:rsid w:val="00F8415D"/>
    <w:rsid w:val="00F8427A"/>
    <w:rsid w:val="00F842E1"/>
    <w:rsid w:val="00F843DF"/>
    <w:rsid w:val="00F84899"/>
    <w:rsid w:val="00F848AB"/>
    <w:rsid w:val="00F84A0A"/>
    <w:rsid w:val="00F84CF5"/>
    <w:rsid w:val="00F853A5"/>
    <w:rsid w:val="00F85585"/>
    <w:rsid w:val="00F859F0"/>
    <w:rsid w:val="00F85CC1"/>
    <w:rsid w:val="00F86880"/>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B02"/>
    <w:rsid w:val="00F92E3E"/>
    <w:rsid w:val="00F93DBC"/>
    <w:rsid w:val="00F93E41"/>
    <w:rsid w:val="00F94644"/>
    <w:rsid w:val="00F95075"/>
    <w:rsid w:val="00F9537B"/>
    <w:rsid w:val="00F953B8"/>
    <w:rsid w:val="00F95567"/>
    <w:rsid w:val="00F963FC"/>
    <w:rsid w:val="00FA015F"/>
    <w:rsid w:val="00FA0FAC"/>
    <w:rsid w:val="00FA1DA2"/>
    <w:rsid w:val="00FA2D1E"/>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4D3"/>
    <w:rsid w:val="00FC58B0"/>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0500122">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3156170">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066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28827332">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cce-eicp-ma-04._manual_requisitos_habilitantes_v.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1671228-0662-4CC2-AAAA-2192F6C542E4}"/>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16</Pages>
  <Words>5831</Words>
  <Characters>32076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2022-09-13T13:37:00Z</dcterms:created>
  <dcterms:modified xsi:type="dcterms:W3CDTF">2022-09-13T13:46:00Z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