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9372" w14:textId="77777777" w:rsidR="00C06955" w:rsidRPr="0020782C" w:rsidRDefault="00C06955" w:rsidP="00C06955">
      <w:pPr>
        <w:jc w:val="both"/>
        <w:rPr>
          <w:rFonts w:ascii="Arial" w:eastAsia="Calibri" w:hAnsi="Arial" w:cs="Arial"/>
          <w:b/>
          <w:sz w:val="20"/>
          <w:szCs w:val="20"/>
          <w:highlight w:val="yellow"/>
        </w:rPr>
      </w:pPr>
      <w:bookmarkStart w:id="0" w:name="_Hlk103947551"/>
    </w:p>
    <w:p w14:paraId="26BB2181" w14:textId="77777777" w:rsidR="00C06955" w:rsidRPr="0020782C" w:rsidRDefault="00C06955" w:rsidP="00C06955">
      <w:pPr>
        <w:jc w:val="both"/>
        <w:rPr>
          <w:rFonts w:ascii="Arial" w:eastAsia="Calibri" w:hAnsi="Arial" w:cs="Arial"/>
          <w:b/>
          <w:bCs/>
          <w:sz w:val="22"/>
        </w:rPr>
      </w:pPr>
      <w:r w:rsidRPr="063DB410">
        <w:rPr>
          <w:rFonts w:ascii="Arial" w:eastAsia="Calibri" w:hAnsi="Arial" w:cs="Arial"/>
          <w:b/>
          <w:bCs/>
          <w:sz w:val="22"/>
          <w:szCs w:val="22"/>
        </w:rPr>
        <w:t>CONTRATO ESTATAL – Funciones de control y vigilancia</w:t>
      </w:r>
    </w:p>
    <w:p w14:paraId="7C7DD00E" w14:textId="77777777" w:rsidR="00C7339E" w:rsidRDefault="00C7339E" w:rsidP="00C06955">
      <w:pPr>
        <w:jc w:val="both"/>
        <w:rPr>
          <w:rFonts w:ascii="Arial" w:hAnsi="Arial" w:cs="Arial"/>
          <w:sz w:val="20"/>
          <w:szCs w:val="20"/>
          <w:lang w:val="es-ES"/>
        </w:rPr>
      </w:pPr>
    </w:p>
    <w:p w14:paraId="6B750FE1" w14:textId="5EA50A02" w:rsidR="00C06955" w:rsidRPr="0020782C" w:rsidRDefault="00C7339E" w:rsidP="00C06955">
      <w:pPr>
        <w:jc w:val="both"/>
        <w:rPr>
          <w:rFonts w:ascii="Arial" w:hAnsi="Arial" w:cs="Arial"/>
          <w:sz w:val="20"/>
          <w:szCs w:val="20"/>
          <w:lang w:val="es-ES"/>
        </w:rPr>
      </w:pPr>
      <w:r w:rsidRPr="00C7339E">
        <w:rPr>
          <w:rFonts w:ascii="Arial" w:hAnsi="Arial" w:cs="Arial"/>
          <w:sz w:val="20"/>
          <w:szCs w:val="20"/>
          <w:lang w:val="es-ES"/>
        </w:rPr>
        <w:t>El seguimiento de la ejecución del contrato para su dirección, control y vigilancia de su correcto cumplimiento es un deber legal que permite a las entidades estatales tomar medidas orientadas a la satisfacción de los fines de la contratación. Entre esas medidas se destacan la posibilidad de pactar y ejercer las cláusulas exorbitantes ─en algunos supuestos ─, la designación de una supervisión o la contratación de una interventoría para vigilar la ejecución del contrato y la facultad de pactar e imponer multas, la cláusula penal o hacer efectivas las garantías del contrato, previa declaratoria de incumplimiento de las obligaciones. Todo lo anterior a efectos de lograr la satisfacción de las necesidades de bienes, obra o servicios que se pretenden suplir con la celebración de los contratos estatales</w:t>
      </w:r>
      <w:r>
        <w:rPr>
          <w:rFonts w:ascii="Arial" w:hAnsi="Arial" w:cs="Arial"/>
          <w:sz w:val="20"/>
          <w:szCs w:val="20"/>
          <w:lang w:val="es-ES"/>
        </w:rPr>
        <w:t>.</w:t>
      </w:r>
    </w:p>
    <w:p w14:paraId="04EF2433" w14:textId="77777777" w:rsidR="00C06955" w:rsidRPr="0020782C" w:rsidRDefault="00C06955" w:rsidP="00C06955">
      <w:pPr>
        <w:jc w:val="both"/>
        <w:rPr>
          <w:rFonts w:ascii="Arial" w:eastAsia="Calibri" w:hAnsi="Arial" w:cs="Arial"/>
          <w:b/>
          <w:sz w:val="20"/>
          <w:szCs w:val="20"/>
        </w:rPr>
      </w:pPr>
    </w:p>
    <w:p w14:paraId="654C7CEF" w14:textId="77777777" w:rsidR="00C06955" w:rsidRPr="0020782C" w:rsidRDefault="00C06955" w:rsidP="00C06955">
      <w:pPr>
        <w:jc w:val="both"/>
        <w:rPr>
          <w:rFonts w:ascii="Arial" w:eastAsia="Calibri" w:hAnsi="Arial" w:cs="Arial"/>
          <w:b/>
          <w:bCs/>
          <w:sz w:val="22"/>
        </w:rPr>
      </w:pPr>
      <w:r w:rsidRPr="063DB410">
        <w:rPr>
          <w:rFonts w:ascii="Arial" w:eastAsia="Calibri" w:hAnsi="Arial" w:cs="Arial"/>
          <w:b/>
          <w:bCs/>
          <w:sz w:val="22"/>
          <w:szCs w:val="22"/>
        </w:rPr>
        <w:t>SUPERVISIÓN – Ejercicio – Contratista – Imposibilidad – Apoyo a la supervisión</w:t>
      </w:r>
    </w:p>
    <w:p w14:paraId="4261D6CF" w14:textId="77777777" w:rsidR="00C06955" w:rsidRPr="0020782C" w:rsidRDefault="00C06955" w:rsidP="00C06955">
      <w:pPr>
        <w:jc w:val="both"/>
        <w:rPr>
          <w:rFonts w:ascii="Arial" w:hAnsi="Arial" w:cs="Arial"/>
          <w:sz w:val="20"/>
          <w:szCs w:val="20"/>
          <w:highlight w:val="yellow"/>
        </w:rPr>
      </w:pPr>
    </w:p>
    <w:p w14:paraId="3E7A91F3" w14:textId="191430BC" w:rsidR="00C06955" w:rsidRPr="00873A9D" w:rsidRDefault="00C06955" w:rsidP="00C06955">
      <w:pPr>
        <w:pStyle w:val="Sinespaciado"/>
        <w:spacing w:after="120"/>
        <w:jc w:val="both"/>
        <w:rPr>
          <w:rFonts w:ascii="Arial" w:hAnsi="Arial" w:cs="Arial"/>
          <w:bCs/>
          <w:sz w:val="20"/>
          <w:szCs w:val="20"/>
        </w:rPr>
      </w:pPr>
      <w:r w:rsidRPr="00B8134D">
        <w:rPr>
          <w:rFonts w:ascii="Arial" w:eastAsia="Calibri" w:hAnsi="Arial" w:cs="Arial"/>
          <w:sz w:val="20"/>
          <w:szCs w:val="20"/>
          <w:lang w:val="es-ES_tradnl"/>
        </w:rPr>
        <w:t>[…]</w:t>
      </w:r>
      <w:r>
        <w:rPr>
          <w:rFonts w:ascii="Arial" w:eastAsia="Calibri" w:hAnsi="Arial" w:cs="Arial"/>
          <w:sz w:val="20"/>
          <w:szCs w:val="20"/>
          <w:lang w:val="es-ES_tradnl"/>
        </w:rPr>
        <w:t xml:space="preserve"> </w:t>
      </w:r>
      <w:r w:rsidR="00C7339E" w:rsidRPr="00C7339E">
        <w:rPr>
          <w:rFonts w:ascii="Arial" w:eastAsia="Calibri" w:hAnsi="Arial" w:cs="Arial"/>
          <w:bCs/>
          <w:sz w:val="20"/>
          <w:szCs w:val="20"/>
          <w:lang w:val="es-CO"/>
        </w:rPr>
        <w:t xml:space="preserve">la responsabilidad por el control y vigilancia de la ejecución del contrato está a cargo de la entidad estatal contratante y, de este modo, es esta quien debe supervisar los contratos mediante sus funcionarios o servidores públicos y únicamente puede contratar personal en caso de necesitarlo como apoyo a su gestión en la supervisión. Así las cosas, el contratista podría fungir de apoyo a la supervisión del contrato, en la medida en que el contrato de prestación de servicios profesionales y de apoyo a la gestión tenga como objeto obligaciones dirigidas a apoyar dicha actividad de supervisión de contratos. En este orden de ideas, los contratistas no pueden asumir de forma íntegra, directa y excluyente la actividad de supervisión de los contratos estatales. </w:t>
      </w:r>
    </w:p>
    <w:p w14:paraId="7F3DED71" w14:textId="77777777" w:rsidR="00C06955" w:rsidRDefault="00C06955" w:rsidP="00C06955">
      <w:pPr>
        <w:spacing w:line="276" w:lineRule="auto"/>
        <w:jc w:val="both"/>
        <w:rPr>
          <w:rFonts w:ascii="Arial" w:eastAsia="Calibri" w:hAnsi="Arial" w:cs="Arial"/>
          <w:sz w:val="20"/>
          <w:szCs w:val="20"/>
        </w:rPr>
      </w:pPr>
    </w:p>
    <w:p w14:paraId="05CB03E9" w14:textId="59FDBBDB" w:rsidR="00C06955" w:rsidRPr="00D8525E" w:rsidRDefault="00C06955" w:rsidP="00C06955">
      <w:pPr>
        <w:spacing w:line="276" w:lineRule="auto"/>
        <w:jc w:val="both"/>
        <w:rPr>
          <w:rFonts w:ascii="Arial" w:eastAsia="Calibri" w:hAnsi="Arial" w:cs="Arial"/>
          <w:b/>
          <w:bCs/>
          <w:sz w:val="22"/>
          <w:szCs w:val="22"/>
        </w:rPr>
      </w:pPr>
      <w:r w:rsidRPr="00D8525E">
        <w:rPr>
          <w:rFonts w:ascii="Arial" w:eastAsia="Calibri" w:hAnsi="Arial" w:cs="Arial"/>
          <w:b/>
          <w:bCs/>
          <w:sz w:val="22"/>
          <w:szCs w:val="22"/>
        </w:rPr>
        <w:t xml:space="preserve">CONTRATO DE PRESTACIÓN DE SERVICIOS – Apoyo a la supervisión </w:t>
      </w:r>
    </w:p>
    <w:p w14:paraId="5861BEDC" w14:textId="77777777" w:rsidR="00C06955" w:rsidRDefault="00C06955" w:rsidP="00C06955">
      <w:pPr>
        <w:spacing w:line="276" w:lineRule="auto"/>
        <w:jc w:val="both"/>
        <w:rPr>
          <w:rFonts w:ascii="Arial" w:eastAsia="Calibri" w:hAnsi="Arial" w:cs="Arial"/>
          <w:b/>
          <w:bCs/>
          <w:sz w:val="20"/>
          <w:szCs w:val="20"/>
        </w:rPr>
      </w:pPr>
    </w:p>
    <w:p w14:paraId="1ECDBCC4" w14:textId="77777777" w:rsidR="00C7339E" w:rsidRDefault="00C06955" w:rsidP="00C06955">
      <w:pPr>
        <w:jc w:val="both"/>
        <w:rPr>
          <w:rFonts w:ascii="Arial" w:eastAsia="Calibri" w:hAnsi="Arial" w:cs="Arial"/>
          <w:sz w:val="20"/>
          <w:szCs w:val="20"/>
          <w:lang w:val="es-MX"/>
        </w:rPr>
      </w:pPr>
      <w:r w:rsidRPr="00B8134D">
        <w:rPr>
          <w:rFonts w:ascii="Arial" w:eastAsia="Calibri" w:hAnsi="Arial" w:cs="Arial"/>
          <w:sz w:val="20"/>
          <w:szCs w:val="20"/>
          <w:lang w:val="es-ES_tradnl"/>
        </w:rPr>
        <w:t>[…]</w:t>
      </w:r>
      <w:r>
        <w:rPr>
          <w:rFonts w:ascii="Arial" w:eastAsia="Calibri" w:hAnsi="Arial" w:cs="Arial"/>
          <w:sz w:val="20"/>
          <w:szCs w:val="20"/>
          <w:lang w:val="es-ES_tradnl"/>
        </w:rPr>
        <w:t xml:space="preserve"> </w:t>
      </w:r>
      <w:r w:rsidR="00C7339E" w:rsidRPr="00C7339E">
        <w:rPr>
          <w:rFonts w:ascii="Arial" w:eastAsia="Calibri" w:hAnsi="Arial" w:cs="Arial"/>
          <w:bCs/>
          <w:sz w:val="20"/>
          <w:szCs w:val="20"/>
        </w:rPr>
        <w:t xml:space="preserve">el contrato por prestación de servicios no le otorga al particular la condición de servidor público, la aclaración anterior es importante en la medida en que quienes ejerzan las funciones de supervisión o interventoría se encontrarán </w:t>
      </w:r>
      <w:r w:rsidR="00C7339E" w:rsidRPr="00C7339E">
        <w:rPr>
          <w:rFonts w:ascii="Arial" w:eastAsia="Calibri" w:hAnsi="Arial" w:cs="Arial"/>
          <w:sz w:val="20"/>
          <w:szCs w:val="20"/>
          <w:lang w:val="es-MX"/>
        </w:rPr>
        <w:t xml:space="preserve">sujetos a la aplicación del régimen de responsabilidad civil, penal, disciplinario y fiscal: el primero –supervisor– en virtud de su condición de servidor público, el segundo –interventor– en virtud de una expresa disposición legal contenida en el artículo 82 de la Ley 1474 de 2011. Por su parte, en relación con los contratistas en prestación de servicios que apoyen las labores de supervisión, en los términos del artículo 52 de la Ley 80 de 1993, se les aplica el régimen general de responsabilidad, según el cual el contratista estatal responderá civil y penalmente por sus acciones y omisiones en la actuación contractual en los términos de la ley. </w:t>
      </w:r>
    </w:p>
    <w:p w14:paraId="1A266B01" w14:textId="77777777" w:rsidR="00C06955" w:rsidRPr="00D8525E" w:rsidRDefault="00C06955" w:rsidP="00C06955">
      <w:pPr>
        <w:spacing w:line="276" w:lineRule="auto"/>
        <w:jc w:val="both"/>
        <w:rPr>
          <w:rFonts w:ascii="Arial" w:eastAsia="Calibri" w:hAnsi="Arial" w:cs="Arial"/>
          <w:b/>
          <w:bCs/>
          <w:sz w:val="20"/>
          <w:szCs w:val="20"/>
        </w:rPr>
      </w:pPr>
    </w:p>
    <w:p w14:paraId="4EE3B791" w14:textId="77777777" w:rsidR="00C06955" w:rsidRDefault="00C06955" w:rsidP="00C06955">
      <w:pPr>
        <w:jc w:val="both"/>
        <w:rPr>
          <w:rFonts w:ascii="Arial" w:eastAsia="Calibri" w:hAnsi="Arial" w:cs="Arial"/>
          <w:b/>
          <w:color w:val="000000" w:themeColor="text1"/>
          <w:sz w:val="22"/>
          <w:lang w:val="es-ES_tradnl"/>
        </w:rPr>
      </w:pPr>
    </w:p>
    <w:p w14:paraId="022E4F4D" w14:textId="65BC6FCA" w:rsidR="00113952" w:rsidRDefault="00113952" w:rsidP="00C118DB">
      <w:pPr>
        <w:spacing w:line="276" w:lineRule="auto"/>
        <w:jc w:val="both"/>
        <w:rPr>
          <w:rFonts w:ascii="Arial" w:eastAsia="Calibri" w:hAnsi="Arial" w:cs="Arial"/>
          <w:b/>
          <w:sz w:val="22"/>
          <w:lang w:val="es-ES_tradnl"/>
        </w:rPr>
      </w:pPr>
    </w:p>
    <w:p w14:paraId="09198C3A" w14:textId="34253981" w:rsidR="00E77D4E" w:rsidRDefault="00E77D4E" w:rsidP="00C118DB">
      <w:pPr>
        <w:spacing w:line="276" w:lineRule="auto"/>
        <w:jc w:val="both"/>
        <w:rPr>
          <w:rFonts w:ascii="Arial" w:eastAsia="Calibri" w:hAnsi="Arial" w:cs="Arial"/>
          <w:b/>
          <w:sz w:val="22"/>
          <w:lang w:val="es-ES_tradnl"/>
        </w:rPr>
      </w:pPr>
    </w:p>
    <w:p w14:paraId="131BD8B1" w14:textId="2E54B513" w:rsidR="00E77D4E" w:rsidRDefault="00E77D4E" w:rsidP="00C118DB">
      <w:pPr>
        <w:spacing w:line="276" w:lineRule="auto"/>
        <w:jc w:val="both"/>
        <w:rPr>
          <w:rFonts w:ascii="Arial" w:eastAsia="Calibri" w:hAnsi="Arial" w:cs="Arial"/>
          <w:b/>
          <w:sz w:val="22"/>
          <w:lang w:val="es-ES_tradnl"/>
        </w:rPr>
      </w:pPr>
    </w:p>
    <w:p w14:paraId="02B36B47" w14:textId="3827404F" w:rsidR="00E77D4E" w:rsidRDefault="00E77D4E" w:rsidP="00C118DB">
      <w:pPr>
        <w:spacing w:line="276" w:lineRule="auto"/>
        <w:jc w:val="both"/>
        <w:rPr>
          <w:rFonts w:ascii="Arial" w:eastAsia="Calibri" w:hAnsi="Arial" w:cs="Arial"/>
          <w:b/>
          <w:sz w:val="22"/>
          <w:lang w:val="es-ES_tradnl"/>
        </w:rPr>
      </w:pPr>
    </w:p>
    <w:p w14:paraId="54DAF569" w14:textId="6F059E66" w:rsidR="00E77D4E" w:rsidRDefault="00E77D4E" w:rsidP="00C118DB">
      <w:pPr>
        <w:spacing w:line="276" w:lineRule="auto"/>
        <w:jc w:val="both"/>
        <w:rPr>
          <w:rFonts w:ascii="Arial" w:eastAsia="Calibri" w:hAnsi="Arial" w:cs="Arial"/>
          <w:b/>
          <w:sz w:val="22"/>
          <w:lang w:val="es-ES_tradnl"/>
        </w:rPr>
      </w:pPr>
    </w:p>
    <w:p w14:paraId="459AA66A" w14:textId="58EF17FC" w:rsidR="00E77D4E" w:rsidRDefault="00E77D4E" w:rsidP="00C118DB">
      <w:pPr>
        <w:spacing w:line="276" w:lineRule="auto"/>
        <w:jc w:val="both"/>
        <w:rPr>
          <w:rFonts w:ascii="Arial" w:eastAsia="Calibri" w:hAnsi="Arial" w:cs="Arial"/>
          <w:b/>
          <w:sz w:val="22"/>
          <w:lang w:val="es-ES_tradnl"/>
        </w:rPr>
      </w:pPr>
    </w:p>
    <w:p w14:paraId="6777F277" w14:textId="7F9DA9DA" w:rsidR="00E77D4E" w:rsidRDefault="00E77D4E" w:rsidP="00C118DB">
      <w:pPr>
        <w:spacing w:line="276" w:lineRule="auto"/>
        <w:jc w:val="both"/>
        <w:rPr>
          <w:rFonts w:ascii="Arial" w:eastAsia="Calibri" w:hAnsi="Arial" w:cs="Arial"/>
          <w:b/>
          <w:sz w:val="22"/>
          <w:lang w:val="es-ES_tradnl"/>
        </w:rPr>
      </w:pPr>
    </w:p>
    <w:p w14:paraId="6DE62977" w14:textId="77777777" w:rsidR="00B47E8B" w:rsidRDefault="00B47E8B" w:rsidP="00B47E8B">
      <w:pPr>
        <w:spacing w:line="276" w:lineRule="auto"/>
        <w:jc w:val="both"/>
        <w:rPr>
          <w:rFonts w:ascii="Arial" w:hAnsi="Arial" w:cs="Arial"/>
          <w:noProof/>
          <w:color w:val="000000" w:themeColor="text1"/>
          <w:sz w:val="22"/>
        </w:rPr>
      </w:pPr>
    </w:p>
    <w:p w14:paraId="54129B48" w14:textId="714BA5FD" w:rsidR="00B47E8B" w:rsidRDefault="00B47E8B" w:rsidP="00B47E8B">
      <w:pPr>
        <w:spacing w:line="276" w:lineRule="auto"/>
        <w:jc w:val="right"/>
        <w:rPr>
          <w:rFonts w:ascii="Arial" w:hAnsi="Arial" w:cs="Arial"/>
          <w:noProof/>
          <w:color w:val="000000" w:themeColor="text1"/>
          <w:sz w:val="22"/>
        </w:rPr>
      </w:pPr>
      <w:r w:rsidRPr="00B47E8B">
        <w:rPr>
          <w:rFonts w:ascii="Arial" w:hAnsi="Arial" w:cs="Arial"/>
          <w:noProof/>
          <w:color w:val="000000" w:themeColor="text1"/>
          <w:sz w:val="22"/>
        </w:rPr>
        <w:lastRenderedPageBreak/>
        <w:drawing>
          <wp:inline distT="0" distB="0" distL="0" distR="0" wp14:anchorId="29622250" wp14:editId="5D18308A">
            <wp:extent cx="2247900" cy="733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733425"/>
                    </a:xfrm>
                    <a:prstGeom prst="rect">
                      <a:avLst/>
                    </a:prstGeom>
                    <a:noFill/>
                    <a:ln>
                      <a:noFill/>
                    </a:ln>
                  </pic:spPr>
                </pic:pic>
              </a:graphicData>
            </a:graphic>
          </wp:inline>
        </w:drawing>
      </w:r>
    </w:p>
    <w:p w14:paraId="0CFF0C7C" w14:textId="77777777" w:rsidR="00B47E8B" w:rsidRDefault="00B47E8B" w:rsidP="00B47E8B">
      <w:pPr>
        <w:spacing w:line="276" w:lineRule="auto"/>
        <w:jc w:val="both"/>
        <w:rPr>
          <w:rFonts w:ascii="Arial" w:hAnsi="Arial" w:cs="Arial"/>
          <w:noProof/>
          <w:color w:val="000000" w:themeColor="text1"/>
          <w:sz w:val="22"/>
        </w:rPr>
      </w:pPr>
    </w:p>
    <w:p w14:paraId="36AE699A" w14:textId="60328401" w:rsidR="00631A31" w:rsidRPr="00A51520" w:rsidRDefault="00B95C30" w:rsidP="00B47E8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Bogotá D.C.,</w:t>
      </w:r>
      <w:r w:rsidR="00B47E8B">
        <w:rPr>
          <w:rFonts w:ascii="Arial" w:hAnsi="Arial" w:cs="Arial"/>
          <w:noProof/>
          <w:color w:val="000000" w:themeColor="text1"/>
          <w:sz w:val="22"/>
        </w:rPr>
        <w:t xml:space="preserve"> </w:t>
      </w:r>
      <w:r w:rsidR="00B47E8B" w:rsidRPr="00B47E8B">
        <w:rPr>
          <w:rFonts w:ascii="Arial" w:hAnsi="Arial" w:cs="Arial"/>
          <w:b/>
          <w:bCs/>
          <w:noProof/>
          <w:color w:val="000000" w:themeColor="text1"/>
          <w:sz w:val="22"/>
        </w:rPr>
        <w:t>9 de septiembre de 2022</w:t>
      </w:r>
    </w:p>
    <w:p w14:paraId="5FDF9495" w14:textId="77777777" w:rsidR="00631A31" w:rsidRPr="00A51520" w:rsidRDefault="00631A31" w:rsidP="00B95C30">
      <w:pPr>
        <w:jc w:val="both"/>
        <w:rPr>
          <w:rFonts w:ascii="Arial" w:hAnsi="Arial" w:cs="Arial"/>
          <w:b/>
          <w:color w:val="000000" w:themeColor="text1"/>
          <w:sz w:val="22"/>
          <w:lang w:val="pt-BR"/>
        </w:rPr>
      </w:pPr>
    </w:p>
    <w:p w14:paraId="37D16F59" w14:textId="77777777" w:rsidR="00B47E8B" w:rsidRDefault="00B47E8B" w:rsidP="00B95C30">
      <w:pPr>
        <w:jc w:val="both"/>
        <w:rPr>
          <w:rFonts w:ascii="Arial" w:eastAsia="Calibri" w:hAnsi="Arial" w:cs="Arial"/>
          <w:color w:val="000000" w:themeColor="text1"/>
          <w:sz w:val="22"/>
        </w:rPr>
      </w:pPr>
      <w:bookmarkStart w:id="1" w:name="_Hlk100051121"/>
    </w:p>
    <w:p w14:paraId="5F5AE9EF" w14:textId="040B1280" w:rsidR="00B95C30" w:rsidRPr="00A51520" w:rsidRDefault="00B95C30" w:rsidP="00B95C30">
      <w:pPr>
        <w:jc w:val="both"/>
        <w:rPr>
          <w:rFonts w:ascii="Arial" w:eastAsia="Calibri" w:hAnsi="Arial" w:cs="Arial"/>
          <w:color w:val="000000" w:themeColor="text1"/>
          <w:sz w:val="22"/>
        </w:rPr>
      </w:pPr>
      <w:r w:rsidRPr="00A51520">
        <w:rPr>
          <w:rFonts w:ascii="Arial" w:eastAsia="Calibri" w:hAnsi="Arial" w:cs="Arial"/>
          <w:color w:val="000000" w:themeColor="text1"/>
          <w:sz w:val="22"/>
        </w:rPr>
        <w:t>Señor</w:t>
      </w:r>
      <w:r w:rsidR="00BA1D64">
        <w:rPr>
          <w:rFonts w:ascii="Arial" w:eastAsia="Calibri" w:hAnsi="Arial" w:cs="Arial"/>
          <w:color w:val="000000" w:themeColor="text1"/>
          <w:sz w:val="22"/>
        </w:rPr>
        <w:t>a</w:t>
      </w:r>
    </w:p>
    <w:p w14:paraId="798A20AC" w14:textId="7CF9A652" w:rsidR="005F5F37" w:rsidRPr="00A51520" w:rsidRDefault="00BA1D64" w:rsidP="00F650A2">
      <w:pPr>
        <w:tabs>
          <w:tab w:val="center" w:pos="4394"/>
        </w:tabs>
        <w:jc w:val="both"/>
        <w:rPr>
          <w:rFonts w:ascii="Arial" w:eastAsia="Calibri" w:hAnsi="Arial" w:cs="Arial"/>
          <w:b/>
          <w:color w:val="000000" w:themeColor="text1"/>
          <w:sz w:val="22"/>
        </w:rPr>
      </w:pPr>
      <w:proofErr w:type="spellStart"/>
      <w:r>
        <w:rPr>
          <w:rFonts w:ascii="Arial" w:eastAsia="Calibri" w:hAnsi="Arial" w:cs="Arial"/>
          <w:b/>
          <w:color w:val="000000" w:themeColor="text1"/>
          <w:sz w:val="22"/>
        </w:rPr>
        <w:t>Ya</w:t>
      </w:r>
      <w:r w:rsidR="00A72849">
        <w:rPr>
          <w:rFonts w:ascii="Arial" w:eastAsia="Calibri" w:hAnsi="Arial" w:cs="Arial"/>
          <w:b/>
          <w:color w:val="000000" w:themeColor="text1"/>
          <w:sz w:val="22"/>
        </w:rPr>
        <w:t>s</w:t>
      </w:r>
      <w:r>
        <w:rPr>
          <w:rFonts w:ascii="Arial" w:eastAsia="Calibri" w:hAnsi="Arial" w:cs="Arial"/>
          <w:b/>
          <w:color w:val="000000" w:themeColor="text1"/>
          <w:sz w:val="22"/>
        </w:rPr>
        <w:t>min</w:t>
      </w:r>
      <w:proofErr w:type="spellEnd"/>
      <w:r>
        <w:rPr>
          <w:rFonts w:ascii="Arial" w:eastAsia="Calibri" w:hAnsi="Arial" w:cs="Arial"/>
          <w:b/>
          <w:color w:val="000000" w:themeColor="text1"/>
          <w:sz w:val="22"/>
        </w:rPr>
        <w:t xml:space="preserve"> Velásquez Caicedo </w:t>
      </w:r>
      <w:r w:rsidR="00F650A2">
        <w:rPr>
          <w:rFonts w:ascii="Arial" w:eastAsia="Calibri" w:hAnsi="Arial" w:cs="Arial"/>
          <w:b/>
          <w:color w:val="000000" w:themeColor="text1"/>
          <w:sz w:val="22"/>
        </w:rPr>
        <w:tab/>
      </w:r>
    </w:p>
    <w:p w14:paraId="4A1C8FFE" w14:textId="0A413161" w:rsidR="008120C4" w:rsidRDefault="00F14618" w:rsidP="003C0791">
      <w:pPr>
        <w:rPr>
          <w:rFonts w:ascii="Arial" w:eastAsia="Calibri" w:hAnsi="Arial" w:cs="Arial"/>
          <w:b/>
          <w:bCs/>
          <w:color w:val="000000" w:themeColor="text1"/>
          <w:sz w:val="22"/>
        </w:rPr>
      </w:pPr>
      <w:r>
        <w:rPr>
          <w:rFonts w:ascii="Arial" w:eastAsia="Calibri" w:hAnsi="Arial" w:cs="Arial"/>
          <w:bCs/>
          <w:color w:val="000000" w:themeColor="text1"/>
          <w:sz w:val="22"/>
        </w:rPr>
        <w:t>Bogotá D.C.</w:t>
      </w:r>
    </w:p>
    <w:p w14:paraId="122205C3" w14:textId="77777777" w:rsidR="000277A2" w:rsidRPr="00A51520" w:rsidRDefault="000277A2" w:rsidP="003C0791">
      <w:pPr>
        <w:rPr>
          <w:rFonts w:ascii="Arial" w:eastAsia="Calibri" w:hAnsi="Arial" w:cs="Arial"/>
          <w:b/>
          <w:bCs/>
          <w:color w:val="000000" w:themeColor="text1"/>
          <w:sz w:val="22"/>
        </w:rPr>
      </w:pPr>
    </w:p>
    <w:p w14:paraId="1BD594F9" w14:textId="7CC94395"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150A17">
        <w:rPr>
          <w:rFonts w:ascii="Arial" w:eastAsia="Calibri" w:hAnsi="Arial" w:cs="Arial"/>
          <w:b/>
          <w:bCs/>
          <w:color w:val="000000" w:themeColor="text1"/>
          <w:sz w:val="22"/>
          <w:lang w:val="pt-BR"/>
        </w:rPr>
        <w:t>5</w:t>
      </w:r>
      <w:r w:rsidR="00BA1D64">
        <w:rPr>
          <w:rFonts w:ascii="Arial" w:eastAsia="Calibri" w:hAnsi="Arial" w:cs="Arial"/>
          <w:b/>
          <w:bCs/>
          <w:color w:val="000000" w:themeColor="text1"/>
          <w:sz w:val="22"/>
          <w:lang w:val="pt-BR"/>
        </w:rPr>
        <w:t>79</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C06955">
        <w:trPr>
          <w:trHeight w:val="884"/>
        </w:trPr>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44C5723D" w:rsidR="00B95C30" w:rsidRPr="00C06955" w:rsidRDefault="00C06955" w:rsidP="00F90FA8">
            <w:pPr>
              <w:tabs>
                <w:tab w:val="left" w:pos="0"/>
              </w:tabs>
              <w:jc w:val="both"/>
              <w:rPr>
                <w:rFonts w:ascii="Arial" w:eastAsia="Calibri" w:hAnsi="Arial" w:cs="Arial"/>
                <w:b/>
                <w:bCs/>
                <w:sz w:val="22"/>
              </w:rPr>
            </w:pPr>
            <w:r w:rsidRPr="00C06955">
              <w:rPr>
                <w:rFonts w:ascii="Arial" w:eastAsia="Calibri" w:hAnsi="Arial" w:cs="Arial"/>
                <w:bCs/>
                <w:sz w:val="22"/>
              </w:rPr>
              <w:t xml:space="preserve">CONTRATO ESTATAL − Funciones de control y vigilancia / SUPERVISIÓN </w:t>
            </w:r>
            <w:r w:rsidR="00E77D4E">
              <w:rPr>
                <w:rFonts w:ascii="Arial" w:eastAsia="Calibri" w:hAnsi="Arial" w:cs="Arial"/>
                <w:bCs/>
                <w:sz w:val="22"/>
              </w:rPr>
              <w:t>–</w:t>
            </w:r>
            <w:r w:rsidRPr="00C06955">
              <w:rPr>
                <w:rFonts w:ascii="Arial" w:eastAsia="Calibri" w:hAnsi="Arial" w:cs="Arial"/>
                <w:bCs/>
                <w:sz w:val="22"/>
              </w:rPr>
              <w:t xml:space="preserve"> </w:t>
            </w:r>
            <w:r w:rsidR="00E77D4E">
              <w:rPr>
                <w:rFonts w:ascii="Arial" w:eastAsia="Calibri" w:hAnsi="Arial" w:cs="Arial"/>
                <w:bCs/>
                <w:sz w:val="22"/>
              </w:rPr>
              <w:t>Ejercicio –</w:t>
            </w:r>
            <w:r w:rsidR="00E77D4E" w:rsidRPr="00C06955">
              <w:rPr>
                <w:rFonts w:ascii="Arial" w:eastAsia="Calibri" w:hAnsi="Arial" w:cs="Arial"/>
                <w:bCs/>
                <w:sz w:val="22"/>
              </w:rPr>
              <w:t xml:space="preserve"> </w:t>
            </w:r>
            <w:r w:rsidR="00E77D4E">
              <w:rPr>
                <w:rFonts w:ascii="Arial" w:eastAsia="Calibri" w:hAnsi="Arial" w:cs="Arial"/>
                <w:bCs/>
                <w:sz w:val="22"/>
              </w:rPr>
              <w:t>Contratista –</w:t>
            </w:r>
            <w:r w:rsidR="00E77D4E" w:rsidRPr="00C06955">
              <w:rPr>
                <w:rFonts w:ascii="Arial" w:eastAsia="Calibri" w:hAnsi="Arial" w:cs="Arial"/>
                <w:bCs/>
                <w:sz w:val="22"/>
              </w:rPr>
              <w:t xml:space="preserve"> </w:t>
            </w:r>
            <w:r w:rsidRPr="00C06955">
              <w:rPr>
                <w:rFonts w:ascii="Arial" w:eastAsia="Calibri" w:hAnsi="Arial" w:cs="Arial"/>
                <w:bCs/>
                <w:sz w:val="22"/>
              </w:rPr>
              <w:t>Imposibilidad</w:t>
            </w:r>
            <w:r w:rsidR="00E77D4E">
              <w:rPr>
                <w:rFonts w:ascii="Arial" w:eastAsia="Calibri" w:hAnsi="Arial" w:cs="Arial"/>
                <w:bCs/>
                <w:sz w:val="22"/>
              </w:rPr>
              <w:t xml:space="preserve"> </w:t>
            </w:r>
            <w:r w:rsidRPr="00C06955">
              <w:rPr>
                <w:rFonts w:ascii="Arial" w:eastAsia="Calibri" w:hAnsi="Arial" w:cs="Arial"/>
                <w:bCs/>
                <w:sz w:val="22"/>
              </w:rPr>
              <w:t xml:space="preserve">– Apoyo a la supervisión / </w:t>
            </w:r>
            <w:r w:rsidR="00E77D4E" w:rsidRPr="00C06955">
              <w:rPr>
                <w:rFonts w:ascii="Arial" w:eastAsia="Calibri" w:hAnsi="Arial" w:cs="Arial"/>
                <w:bCs/>
                <w:sz w:val="22"/>
              </w:rPr>
              <w:t>CONTRATO DE PRESTACIÓN DE SERVICIOS</w:t>
            </w:r>
            <w:r w:rsidRPr="00C06955">
              <w:rPr>
                <w:rFonts w:ascii="Arial" w:eastAsia="Calibri" w:hAnsi="Arial" w:cs="Arial"/>
                <w:bCs/>
                <w:sz w:val="22"/>
              </w:rPr>
              <w:t xml:space="preserve"> – Apoyo a la supervisión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52EA16E7"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536E7A">
              <w:rPr>
                <w:rFonts w:ascii="Arial" w:eastAsia="Calibri" w:hAnsi="Arial" w:cs="Arial"/>
                <w:color w:val="000000" w:themeColor="text1"/>
                <w:sz w:val="22"/>
                <w:lang w:val="es-ES_tradnl"/>
              </w:rPr>
              <w:t>s</w:t>
            </w:r>
            <w:r w:rsidR="00DB3D29">
              <w:rPr>
                <w:rFonts w:ascii="Arial" w:eastAsia="Calibri" w:hAnsi="Arial" w:cs="Arial"/>
                <w:color w:val="000000" w:themeColor="text1"/>
                <w:sz w:val="22"/>
                <w:lang w:val="es-ES_tradnl"/>
              </w:rPr>
              <w:t xml:space="preserve"> </w:t>
            </w:r>
            <w:r w:rsidR="00BA1D64" w:rsidRPr="00BA1D64">
              <w:rPr>
                <w:rFonts w:ascii="Arial" w:eastAsia="Calibri" w:hAnsi="Arial" w:cs="Arial"/>
                <w:color w:val="000000" w:themeColor="text1"/>
                <w:sz w:val="22"/>
                <w:lang w:val="es-ES_tradnl"/>
              </w:rPr>
              <w:t>P20220803007658</w:t>
            </w:r>
            <w:r w:rsidR="00536E7A">
              <w:rPr>
                <w:rFonts w:ascii="Arial" w:eastAsia="Calibri" w:hAnsi="Arial" w:cs="Arial"/>
                <w:color w:val="000000" w:themeColor="text1"/>
                <w:sz w:val="22"/>
                <w:lang w:val="es-ES_tradnl"/>
              </w:rPr>
              <w:t xml:space="preserve"> y </w:t>
            </w:r>
            <w:r w:rsidR="00536E7A" w:rsidRPr="00536E7A">
              <w:rPr>
                <w:rFonts w:ascii="Arial" w:eastAsia="Calibri" w:hAnsi="Arial" w:cs="Arial"/>
                <w:color w:val="000000" w:themeColor="text1"/>
                <w:sz w:val="22"/>
                <w:lang w:val="es-ES_tradnl"/>
              </w:rPr>
              <w:t>P20220822008328</w:t>
            </w:r>
            <w:r w:rsidR="00DB3D29">
              <w:rPr>
                <w:rFonts w:ascii="Arial" w:eastAsia="Calibri" w:hAnsi="Arial" w:cs="Arial"/>
                <w:color w:val="000000" w:themeColor="text1"/>
                <w:sz w:val="22"/>
                <w:lang w:val="es-ES_tradnl"/>
              </w:rPr>
              <w:t xml:space="preserve"> </w:t>
            </w:r>
            <w:r w:rsidR="00DB3D29">
              <w:rPr>
                <w:rFonts w:ascii="Arial" w:eastAsia="Calibri" w:hAnsi="Arial" w:cs="Arial"/>
                <w:color w:val="000000" w:themeColor="text1"/>
                <w:sz w:val="22"/>
              </w:rPr>
              <w:t>– Acumuladas</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5EABE9D4"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A1D64">
        <w:rPr>
          <w:rFonts w:ascii="Arial" w:eastAsia="Calibri" w:hAnsi="Arial" w:cs="Arial"/>
          <w:color w:val="000000" w:themeColor="text1"/>
          <w:sz w:val="22"/>
          <w:lang w:val="es-ES_tradnl"/>
        </w:rPr>
        <w:t>a</w:t>
      </w:r>
      <w:r w:rsidRPr="00A51520">
        <w:rPr>
          <w:rFonts w:ascii="Arial" w:eastAsia="Calibri" w:hAnsi="Arial" w:cs="Arial"/>
          <w:color w:val="000000" w:themeColor="text1"/>
          <w:sz w:val="22"/>
          <w:lang w:val="es-ES_tradnl"/>
        </w:rPr>
        <w:t xml:space="preserve"> señor</w:t>
      </w:r>
      <w:r w:rsidR="00BA1D64">
        <w:rPr>
          <w:rFonts w:ascii="Arial" w:eastAsia="Calibri" w:hAnsi="Arial" w:cs="Arial"/>
          <w:color w:val="000000" w:themeColor="text1"/>
          <w:sz w:val="22"/>
          <w:lang w:val="es-ES_tradnl"/>
        </w:rPr>
        <w:t>a</w:t>
      </w:r>
      <w:r w:rsidR="00BF4EC5" w:rsidRPr="00A51520">
        <w:rPr>
          <w:rFonts w:ascii="Arial" w:eastAsia="Calibri" w:hAnsi="Arial" w:cs="Arial"/>
          <w:color w:val="000000" w:themeColor="text1"/>
          <w:sz w:val="22"/>
          <w:lang w:val="es-ES_tradnl"/>
        </w:rPr>
        <w:t xml:space="preserve"> </w:t>
      </w:r>
      <w:r w:rsidR="00BA1D64">
        <w:rPr>
          <w:rFonts w:ascii="Arial" w:eastAsia="Calibri" w:hAnsi="Arial" w:cs="Arial"/>
          <w:color w:val="000000" w:themeColor="text1"/>
          <w:sz w:val="22"/>
          <w:lang w:val="es-ES_tradnl"/>
        </w:rPr>
        <w:t>Velásquez</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38CA1B33"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4D6574">
        <w:rPr>
          <w:rFonts w:ascii="Arial" w:eastAsia="Calibri" w:hAnsi="Arial" w:cs="Arial"/>
          <w:color w:val="000000" w:themeColor="text1"/>
          <w:sz w:val="22"/>
          <w:lang w:val="es-ES_tradnl"/>
        </w:rPr>
        <w:t>la</w:t>
      </w:r>
      <w:r w:rsidR="003902B1">
        <w:rPr>
          <w:rFonts w:ascii="Arial" w:eastAsia="Calibri" w:hAnsi="Arial" w:cs="Arial"/>
          <w:color w:val="000000" w:themeColor="text1"/>
          <w:sz w:val="22"/>
          <w:lang w:val="es-ES_tradnl"/>
        </w:rPr>
        <w:t xml:space="preserve"> </w:t>
      </w:r>
      <w:r w:rsidR="002E5083">
        <w:rPr>
          <w:rFonts w:ascii="Arial" w:eastAsia="Calibri" w:hAnsi="Arial" w:cs="Arial"/>
          <w:color w:val="000000" w:themeColor="text1"/>
          <w:sz w:val="22"/>
          <w:lang w:val="es-ES_tradnl"/>
        </w:rPr>
        <w:t>pregunta</w:t>
      </w:r>
      <w:r w:rsidR="00150A17">
        <w:rPr>
          <w:rFonts w:ascii="Arial" w:eastAsia="Calibri" w:hAnsi="Arial" w:cs="Arial"/>
          <w:color w:val="000000" w:themeColor="text1"/>
          <w:sz w:val="22"/>
          <w:lang w:val="es-ES_tradnl"/>
        </w:rPr>
        <w:t xml:space="preserve"> remitida por competencia por el Departamento</w:t>
      </w:r>
      <w:r w:rsidR="006E7824">
        <w:rPr>
          <w:rFonts w:ascii="Arial" w:eastAsia="Calibri" w:hAnsi="Arial" w:cs="Arial"/>
          <w:color w:val="000000" w:themeColor="text1"/>
          <w:sz w:val="22"/>
          <w:lang w:val="es-ES_tradnl"/>
        </w:rPr>
        <w:t xml:space="preserve"> Administrativo</w:t>
      </w:r>
      <w:r w:rsidR="00150A17">
        <w:rPr>
          <w:rFonts w:ascii="Arial" w:eastAsia="Calibri" w:hAnsi="Arial" w:cs="Arial"/>
          <w:color w:val="000000" w:themeColor="text1"/>
          <w:sz w:val="22"/>
          <w:lang w:val="es-ES_tradnl"/>
        </w:rPr>
        <w:t xml:space="preserve"> </w:t>
      </w:r>
      <w:r w:rsidR="006E7824">
        <w:rPr>
          <w:rFonts w:ascii="Arial" w:eastAsia="Calibri" w:hAnsi="Arial" w:cs="Arial"/>
          <w:color w:val="000000" w:themeColor="text1"/>
          <w:sz w:val="22"/>
          <w:lang w:val="es-ES_tradnl"/>
        </w:rPr>
        <w:t>de la Función Pública</w:t>
      </w:r>
      <w:r w:rsidR="00150A17">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 xml:space="preserve">el </w:t>
      </w:r>
      <w:r w:rsidR="00BA1D64">
        <w:rPr>
          <w:rFonts w:ascii="Arial" w:eastAsia="Calibri" w:hAnsi="Arial" w:cs="Arial"/>
          <w:color w:val="000000" w:themeColor="text1"/>
          <w:sz w:val="22"/>
          <w:lang w:val="es-ES_tradnl"/>
        </w:rPr>
        <w:t>3</w:t>
      </w:r>
      <w:r w:rsidR="00150A17">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 xml:space="preserve">de </w:t>
      </w:r>
      <w:r w:rsidR="00BA1D64">
        <w:rPr>
          <w:rFonts w:ascii="Arial" w:eastAsia="Calibri" w:hAnsi="Arial" w:cs="Arial"/>
          <w:color w:val="000000" w:themeColor="text1"/>
          <w:sz w:val="22"/>
          <w:lang w:val="es-ES_tradnl"/>
        </w:rPr>
        <w:t>agosto</w:t>
      </w:r>
      <w:r w:rsidR="00F14618">
        <w:rPr>
          <w:rFonts w:ascii="Arial" w:eastAsia="Calibri" w:hAnsi="Arial" w:cs="Arial"/>
          <w:color w:val="000000" w:themeColor="text1"/>
          <w:sz w:val="22"/>
          <w:lang w:val="es-ES_tradnl"/>
        </w:rPr>
        <w:t xml:space="preserve"> de 202</w:t>
      </w:r>
      <w:r w:rsidR="00782354">
        <w:rPr>
          <w:rFonts w:ascii="Arial" w:eastAsia="Calibri" w:hAnsi="Arial" w:cs="Arial"/>
          <w:color w:val="000000" w:themeColor="text1"/>
          <w:sz w:val="22"/>
          <w:lang w:val="es-ES_tradnl"/>
        </w:rPr>
        <w:t>2</w:t>
      </w:r>
      <w:r w:rsidR="00536E7A">
        <w:rPr>
          <w:rFonts w:ascii="Arial" w:eastAsia="Calibri" w:hAnsi="Arial" w:cs="Arial"/>
          <w:color w:val="000000" w:themeColor="text1"/>
          <w:sz w:val="22"/>
          <w:lang w:val="es-ES_tradnl"/>
        </w:rPr>
        <w:t xml:space="preserve"> y </w:t>
      </w:r>
      <w:r w:rsidR="004D6574">
        <w:rPr>
          <w:rFonts w:ascii="Arial" w:eastAsia="Calibri" w:hAnsi="Arial" w:cs="Arial"/>
          <w:color w:val="000000" w:themeColor="text1"/>
          <w:sz w:val="22"/>
          <w:lang w:val="es-ES_tradnl"/>
        </w:rPr>
        <w:t>la</w:t>
      </w:r>
      <w:r w:rsidR="00536E7A">
        <w:rPr>
          <w:rFonts w:ascii="Arial" w:eastAsia="Calibri" w:hAnsi="Arial" w:cs="Arial"/>
          <w:color w:val="000000" w:themeColor="text1"/>
          <w:sz w:val="22"/>
          <w:lang w:val="es-ES_tradnl"/>
        </w:rPr>
        <w:t xml:space="preserve"> consulta radicada el 22 de agosto de 2022. </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23DC0BDF"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89D86EB" w14:textId="6520C9A5" w:rsidR="00536E7A" w:rsidRDefault="00447021" w:rsidP="00536E7A">
      <w:pPr>
        <w:spacing w:line="276" w:lineRule="auto"/>
        <w:jc w:val="both"/>
        <w:rPr>
          <w:rFonts w:ascii="Arial" w:hAnsi="Arial" w:cs="Arial"/>
          <w:color w:val="000000" w:themeColor="text1"/>
          <w:sz w:val="21"/>
          <w:szCs w:val="21"/>
        </w:rPr>
      </w:pPr>
      <w:r w:rsidRPr="00447021">
        <w:rPr>
          <w:rFonts w:ascii="Arial" w:hAnsi="Arial" w:cs="Arial"/>
          <w:bCs/>
          <w:sz w:val="22"/>
          <w:szCs w:val="22"/>
        </w:rPr>
        <w:t>En relación con el artículo 44 de la Ley 1474 de 2011</w:t>
      </w:r>
      <w:r w:rsidR="006E7824">
        <w:rPr>
          <w:rFonts w:ascii="Arial" w:hAnsi="Arial" w:cs="Arial"/>
          <w:bCs/>
          <w:sz w:val="22"/>
          <w:szCs w:val="22"/>
        </w:rPr>
        <w:t>, usted</w:t>
      </w:r>
      <w:r w:rsidRPr="00447021">
        <w:rPr>
          <w:rFonts w:ascii="Arial" w:hAnsi="Arial" w:cs="Arial"/>
          <w:bCs/>
          <w:sz w:val="22"/>
          <w:szCs w:val="22"/>
        </w:rPr>
        <w:t xml:space="preserve"> </w:t>
      </w:r>
      <w:r>
        <w:rPr>
          <w:rFonts w:ascii="Arial" w:hAnsi="Arial" w:cs="Arial"/>
          <w:bCs/>
          <w:sz w:val="22"/>
          <w:szCs w:val="22"/>
        </w:rPr>
        <w:t>pregunta</w:t>
      </w:r>
      <w:r w:rsidRPr="00447021">
        <w:rPr>
          <w:rFonts w:ascii="Arial" w:hAnsi="Arial" w:cs="Arial"/>
          <w:bCs/>
          <w:sz w:val="22"/>
          <w:szCs w:val="22"/>
        </w:rPr>
        <w:t xml:space="preserve"> lo siguiente: «En razón a lo estipulado en dicho artículo: El presente régimen se aplica a los particulares que cumplan labores de interventoría o supervisión en los contratos estatales</w:t>
      </w:r>
      <w:r>
        <w:rPr>
          <w:rFonts w:ascii="Arial" w:hAnsi="Arial" w:cs="Arial"/>
          <w:bCs/>
          <w:sz w:val="22"/>
          <w:szCs w:val="22"/>
        </w:rPr>
        <w:t xml:space="preserve">. </w:t>
      </w:r>
      <w:r w:rsidRPr="00447021">
        <w:rPr>
          <w:rFonts w:ascii="Arial" w:hAnsi="Arial" w:cs="Arial"/>
          <w:bCs/>
          <w:sz w:val="22"/>
          <w:szCs w:val="22"/>
        </w:rPr>
        <w:t>Se puede colegir de este artículo, (el cual modifico el 53 de la ley 734 de 2002) que los contratistas, pueden ejercer labores de supervisión?</w:t>
      </w:r>
      <w:r w:rsidRPr="00153A87">
        <w:rPr>
          <w:rFonts w:ascii="Arial" w:hAnsi="Arial" w:cs="Arial"/>
          <w:color w:val="000000" w:themeColor="text1"/>
          <w:sz w:val="21"/>
          <w:szCs w:val="21"/>
        </w:rPr>
        <w:t>»</w:t>
      </w:r>
    </w:p>
    <w:p w14:paraId="35E4A718" w14:textId="3D2134E8" w:rsidR="00536E7A" w:rsidRPr="00C57D7C" w:rsidRDefault="00536E7A" w:rsidP="00C57D7C">
      <w:pPr>
        <w:spacing w:before="120" w:line="276" w:lineRule="auto"/>
        <w:ind w:firstLine="709"/>
        <w:jc w:val="both"/>
        <w:rPr>
          <w:rFonts w:ascii="Arial" w:hAnsi="Arial" w:cs="Arial"/>
          <w:bCs/>
          <w:sz w:val="22"/>
        </w:rPr>
      </w:pPr>
      <w:r w:rsidRPr="00536E7A">
        <w:rPr>
          <w:rFonts w:ascii="Arial" w:hAnsi="Arial" w:cs="Arial"/>
          <w:color w:val="000000" w:themeColor="text1"/>
          <w:sz w:val="22"/>
          <w:szCs w:val="22"/>
        </w:rPr>
        <w:t xml:space="preserve">Asimismo, </w:t>
      </w:r>
      <w:r>
        <w:rPr>
          <w:rFonts w:ascii="Arial" w:hAnsi="Arial" w:cs="Arial"/>
          <w:color w:val="000000" w:themeColor="text1"/>
          <w:sz w:val="22"/>
          <w:szCs w:val="22"/>
        </w:rPr>
        <w:t xml:space="preserve">usted plantea la siguiente pregunta </w:t>
      </w:r>
      <w:r w:rsidR="00C57D7C">
        <w:rPr>
          <w:rFonts w:ascii="Arial" w:hAnsi="Arial" w:cs="Arial"/>
          <w:color w:val="000000" w:themeColor="text1"/>
          <w:sz w:val="22"/>
          <w:szCs w:val="22"/>
        </w:rPr>
        <w:t xml:space="preserve">respecto del citado artículo 44 de la Ley 1474 de 2011 y la Guía </w:t>
      </w:r>
      <w:r w:rsidR="00C57D7C" w:rsidRPr="0020782C">
        <w:rPr>
          <w:rFonts w:ascii="Arial" w:hAnsi="Arial" w:cs="Arial"/>
          <w:sz w:val="22"/>
        </w:rPr>
        <w:t>para el ejercicio de las funciones de supervisión e interventoría de los contratos del Estado</w:t>
      </w:r>
      <w:r w:rsidR="00C57D7C">
        <w:rPr>
          <w:rFonts w:ascii="Arial" w:hAnsi="Arial" w:cs="Arial"/>
          <w:sz w:val="22"/>
        </w:rPr>
        <w:t xml:space="preserve"> expedida por la Agencia Nacional de Contratación Pública - </w:t>
      </w:r>
      <w:r w:rsidR="00C57D7C">
        <w:rPr>
          <w:rFonts w:ascii="Arial" w:hAnsi="Arial" w:cs="Arial"/>
          <w:sz w:val="22"/>
        </w:rPr>
        <w:lastRenderedPageBreak/>
        <w:t xml:space="preserve">Colombia Compra Eficiente: </w:t>
      </w:r>
      <w:r w:rsidR="00C57D7C" w:rsidRPr="00C57D7C">
        <w:rPr>
          <w:rFonts w:ascii="Arial" w:hAnsi="Arial" w:cs="Arial"/>
          <w:bCs/>
          <w:sz w:val="22"/>
          <w:szCs w:val="22"/>
        </w:rPr>
        <w:t>«</w:t>
      </w:r>
      <w:r w:rsidR="00C57D7C" w:rsidRPr="00C57D7C">
        <w:rPr>
          <w:rFonts w:ascii="Arial" w:hAnsi="Arial" w:cs="Arial"/>
          <w:sz w:val="22"/>
        </w:rPr>
        <w:t>cuál es la norma o Ley de orden superior en la cual se apoya la Guía de Colombia Compra Eficiente para afirmar que:</w:t>
      </w:r>
      <w:r w:rsidR="00C57D7C">
        <w:rPr>
          <w:rFonts w:ascii="Arial" w:hAnsi="Arial" w:cs="Arial"/>
          <w:sz w:val="22"/>
        </w:rPr>
        <w:t xml:space="preserve"> </w:t>
      </w:r>
      <w:r w:rsidR="00C57D7C" w:rsidRPr="00C57D7C">
        <w:rPr>
          <w:rFonts w:ascii="Arial" w:hAnsi="Arial" w:cs="Arial"/>
          <w:bCs/>
          <w:sz w:val="22"/>
        </w:rPr>
        <w:t>La supervisión directa no puede delegarse a los particulares contratados por prestación de servicios. O, por el contrario, ¿se trata de un yerro expresado en la Guía, que hasta la fecha no había sido contextualizado con las leyes existentes, y por tanto debe subsanarse con una versión actualizada de la Guía en la cual se debe ampliar el espectro de todos aquellos quienes pueden ejercer labores de supervisión?</w:t>
      </w:r>
      <w:r w:rsidR="00C57D7C" w:rsidRPr="00C57D7C">
        <w:rPr>
          <w:rFonts w:ascii="Arial" w:hAnsi="Arial" w:cs="Arial"/>
          <w:bCs/>
          <w:color w:val="000000" w:themeColor="text1"/>
          <w:sz w:val="21"/>
          <w:szCs w:val="21"/>
        </w:rPr>
        <w:t>»</w:t>
      </w:r>
      <w:r w:rsidR="00C57D7C" w:rsidRPr="00C57D7C">
        <w:rPr>
          <w:rFonts w:ascii="Arial" w:hAnsi="Arial" w:cs="Arial"/>
          <w:bCs/>
          <w:sz w:val="22"/>
        </w:rPr>
        <w:t> </w:t>
      </w:r>
    </w:p>
    <w:p w14:paraId="4AB20E6A" w14:textId="77777777" w:rsidR="00536E7A" w:rsidRPr="00A51520" w:rsidRDefault="00536E7A" w:rsidP="00536E7A">
      <w:pPr>
        <w:spacing w:line="276" w:lineRule="auto"/>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4F8E7AAB" w14:textId="77777777" w:rsidR="006E7824" w:rsidRPr="0060580F" w:rsidRDefault="006E7824" w:rsidP="006E7824">
      <w:pPr>
        <w:spacing w:after="120" w:line="276" w:lineRule="auto"/>
        <w:jc w:val="both"/>
        <w:rPr>
          <w:rFonts w:ascii="Arial" w:hAnsi="Arial" w:cs="Arial"/>
          <w:sz w:val="22"/>
          <w:szCs w:val="22"/>
          <w:lang w:val="es-ES"/>
        </w:rPr>
      </w:pPr>
      <w:r w:rsidRPr="0060580F">
        <w:rPr>
          <w:rFonts w:ascii="Arial" w:hAnsi="Arial" w:cs="Arial"/>
          <w:bCs/>
          <w:sz w:val="22"/>
          <w:szCs w:val="22"/>
        </w:rPr>
        <w:t xml:space="preserve">En ejercicio de las competencias establecidas en los artículos 3.5 y 11.8 del Decreto 4170 de 2011, la Agencia Nacional de Contratación Pública – Colombia Compra Eficiente resuelve consultas sobre </w:t>
      </w:r>
      <w:r w:rsidRPr="0060580F">
        <w:rPr>
          <w:rFonts w:ascii="Arial" w:hAnsi="Arial" w:cs="Arial"/>
          <w:sz w:val="22"/>
          <w:szCs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60580F">
        <w:rPr>
          <w:rFonts w:ascii="Arial" w:hAnsi="Arial" w:cs="Arial"/>
          <w:bCs/>
          <w:sz w:val="22"/>
          <w:szCs w:val="22"/>
        </w:rPr>
        <w:t xml:space="preserve"> de todos los partícipes de la contratación estatal ni para interpretar el alcance de cualquier norma vigente en el ordenamiento jurídico.</w:t>
      </w:r>
    </w:p>
    <w:p w14:paraId="2804D75A" w14:textId="69579C5B" w:rsidR="006E7824" w:rsidRPr="0060580F" w:rsidRDefault="006E7824" w:rsidP="006E7824">
      <w:pPr>
        <w:spacing w:after="120" w:line="276" w:lineRule="auto"/>
        <w:ind w:firstLine="708"/>
        <w:jc w:val="both"/>
        <w:rPr>
          <w:rFonts w:ascii="Arial" w:hAnsi="Arial" w:cs="Arial"/>
          <w:sz w:val="22"/>
          <w:szCs w:val="22"/>
          <w:lang w:val="es-ES"/>
        </w:rPr>
      </w:pPr>
      <w:r w:rsidRPr="0060580F">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0580F">
        <w:rPr>
          <w:rFonts w:ascii="Arial" w:hAnsi="Arial" w:cs="Arial"/>
          <w:sz w:val="22"/>
          <w:szCs w:val="22"/>
          <w:vertAlign w:val="superscript"/>
          <w:lang w:val="es-ES"/>
        </w:rPr>
        <w:footnoteReference w:id="2"/>
      </w:r>
      <w:r w:rsidRPr="0060580F">
        <w:rPr>
          <w:rFonts w:ascii="Arial" w:hAnsi="Arial" w:cs="Arial"/>
          <w:sz w:val="22"/>
          <w:szCs w:val="22"/>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258BF491" w14:textId="4E4E80BC" w:rsidR="00B44E8C" w:rsidRPr="00696DCD" w:rsidRDefault="006E7824" w:rsidP="00696DCD">
      <w:pPr>
        <w:spacing w:after="120" w:line="276" w:lineRule="auto"/>
        <w:ind w:firstLine="708"/>
        <w:jc w:val="both"/>
        <w:rPr>
          <w:rFonts w:ascii="Arial" w:eastAsia="Calibri" w:hAnsi="Arial" w:cs="Arial"/>
          <w:bCs/>
          <w:color w:val="000000" w:themeColor="text1"/>
          <w:sz w:val="22"/>
          <w:lang w:val="es-ES"/>
        </w:rPr>
      </w:pPr>
      <w:r w:rsidRPr="0060580F">
        <w:rPr>
          <w:rFonts w:ascii="Arial" w:hAnsi="Arial" w:cs="Arial"/>
          <w:sz w:val="22"/>
          <w:szCs w:val="22"/>
          <w:lang w:val="es-ES"/>
        </w:rPr>
        <w:t xml:space="preserve">En este contexto, </w:t>
      </w:r>
      <w:r w:rsidRPr="00621981">
        <w:rPr>
          <w:rFonts w:ascii="Arial" w:eastAsia="Calibri" w:hAnsi="Arial" w:cs="Arial"/>
          <w:bCs/>
          <w:color w:val="000000" w:themeColor="text1"/>
          <w:sz w:val="22"/>
          <w:lang w:val="es-ES"/>
        </w:rPr>
        <w:t xml:space="preserve">la Subdirección –dentro de los límites de sus atribuciones– resolverá la consulta conforme a las normas generales en materia de contratación </w:t>
      </w:r>
      <w:r w:rsidR="007B1D1E" w:rsidRPr="00621981">
        <w:rPr>
          <w:rFonts w:ascii="Arial" w:eastAsia="Calibri" w:hAnsi="Arial" w:cs="Arial"/>
          <w:bCs/>
          <w:color w:val="000000" w:themeColor="text1"/>
          <w:sz w:val="22"/>
          <w:lang w:val="es-ES"/>
        </w:rPr>
        <w:t>estatal</w:t>
      </w:r>
      <w:r w:rsidR="00A72849">
        <w:rPr>
          <w:rFonts w:ascii="Arial" w:eastAsia="Calibri" w:hAnsi="Arial" w:cs="Arial"/>
          <w:bCs/>
          <w:color w:val="000000" w:themeColor="text1"/>
          <w:sz w:val="22"/>
          <w:lang w:val="es-ES"/>
        </w:rPr>
        <w:t>,</w:t>
      </w:r>
      <w:r w:rsidR="00696DCD" w:rsidRPr="00696DCD">
        <w:rPr>
          <w:rFonts w:ascii="Arial" w:eastAsia="Calibri" w:hAnsi="Arial" w:cs="Arial"/>
          <w:bCs/>
          <w:sz w:val="20"/>
          <w:szCs w:val="20"/>
          <w:lang w:val="es-ES" w:eastAsia="en-US"/>
        </w:rPr>
        <w:t xml:space="preserve"> </w:t>
      </w:r>
      <w:r w:rsidR="00696DCD" w:rsidRPr="00696DCD">
        <w:rPr>
          <w:rFonts w:ascii="Arial" w:eastAsia="Calibri" w:hAnsi="Arial" w:cs="Arial"/>
          <w:bCs/>
          <w:color w:val="000000" w:themeColor="text1"/>
          <w:sz w:val="22"/>
          <w:lang w:val="es-ES"/>
        </w:rPr>
        <w:t>haciendo abstracción de las normas relacionadas con el ámbito de aplicación del régimen disciplinario</w:t>
      </w:r>
      <w:r w:rsidR="00696DCD">
        <w:rPr>
          <w:rFonts w:ascii="Arial" w:eastAsia="Calibri" w:hAnsi="Arial" w:cs="Arial"/>
          <w:bCs/>
          <w:color w:val="000000" w:themeColor="text1"/>
          <w:sz w:val="22"/>
          <w:lang w:val="es-ES"/>
        </w:rPr>
        <w:t xml:space="preserve"> establecido en </w:t>
      </w:r>
      <w:r w:rsidR="00696DCD">
        <w:rPr>
          <w:rFonts w:ascii="Arial" w:hAnsi="Arial" w:cs="Arial"/>
          <w:sz w:val="22"/>
          <w:szCs w:val="22"/>
          <w:lang w:val="es-ES"/>
        </w:rPr>
        <w:t>Ley 1952 de 2019</w:t>
      </w:r>
      <w:r w:rsidR="00D734E7">
        <w:rPr>
          <w:rFonts w:ascii="Arial" w:hAnsi="Arial" w:cs="Arial"/>
          <w:sz w:val="22"/>
          <w:szCs w:val="22"/>
          <w:lang w:val="es-ES"/>
        </w:rPr>
        <w:t xml:space="preserve"> </w:t>
      </w:r>
      <w:r w:rsidR="00D734E7" w:rsidRPr="009C4505">
        <w:rPr>
          <w:rFonts w:ascii="Arial" w:hAnsi="Arial" w:cs="Arial"/>
          <w:bCs/>
          <w:sz w:val="22"/>
        </w:rPr>
        <w:t>«</w:t>
      </w:r>
      <w:r w:rsidR="00D734E7" w:rsidRPr="00D734E7">
        <w:rPr>
          <w:rFonts w:ascii="Arial" w:hAnsi="Arial" w:cs="Arial"/>
          <w:sz w:val="22"/>
          <w:szCs w:val="22"/>
        </w:rPr>
        <w:t>Por medio de la cual se expide el Código General Disciplinario, se derogan la Ley </w:t>
      </w:r>
      <w:hyperlink r:id="rId12" w:anchor="Inicio" w:history="1">
        <w:r w:rsidR="00D734E7" w:rsidRPr="00D734E7">
          <w:rPr>
            <w:rStyle w:val="Hipervnculo"/>
            <w:rFonts w:ascii="Arial" w:hAnsi="Arial" w:cs="Arial"/>
            <w:color w:val="auto"/>
            <w:sz w:val="22"/>
            <w:szCs w:val="22"/>
            <w:u w:val="none"/>
          </w:rPr>
          <w:t>734</w:t>
        </w:r>
      </w:hyperlink>
      <w:r w:rsidR="00D734E7" w:rsidRPr="00D734E7">
        <w:rPr>
          <w:rFonts w:ascii="Arial" w:hAnsi="Arial" w:cs="Arial"/>
          <w:sz w:val="22"/>
          <w:szCs w:val="22"/>
        </w:rPr>
        <w:t> de 2002 y algunas disposiciones de la Ley 1474 de 2011, relacionadas con el derecho disciplinario</w:t>
      </w:r>
      <w:r w:rsidR="00D734E7" w:rsidRPr="009C4505">
        <w:rPr>
          <w:rFonts w:ascii="Arial" w:hAnsi="Arial" w:cs="Arial"/>
          <w:bCs/>
          <w:sz w:val="22"/>
        </w:rPr>
        <w:t>»</w:t>
      </w:r>
      <w:r w:rsidR="00BF3356">
        <w:rPr>
          <w:rFonts w:ascii="Arial" w:eastAsia="Calibri" w:hAnsi="Arial" w:cs="Arial"/>
          <w:bCs/>
          <w:color w:val="000000" w:themeColor="text1"/>
          <w:sz w:val="22"/>
          <w:lang w:val="es-ES"/>
        </w:rPr>
        <w:t xml:space="preserve">. </w:t>
      </w:r>
      <w:r w:rsidRPr="00621981">
        <w:rPr>
          <w:rFonts w:ascii="Arial" w:eastAsia="Calibri" w:hAnsi="Arial" w:cs="Arial"/>
          <w:bCs/>
          <w:color w:val="000000" w:themeColor="text1"/>
          <w:sz w:val="22"/>
        </w:rPr>
        <w:t xml:space="preserve">Para estos efectos, </w:t>
      </w:r>
      <w:r w:rsidRPr="00621981">
        <w:rPr>
          <w:rFonts w:ascii="Arial" w:eastAsia="Calibri" w:hAnsi="Arial" w:cs="Arial"/>
          <w:bCs/>
          <w:color w:val="000000" w:themeColor="text1"/>
          <w:sz w:val="22"/>
          <w:lang w:val="es-ES"/>
        </w:rPr>
        <w:t xml:space="preserve">se analizarán </w:t>
      </w:r>
      <w:r w:rsidRPr="00621981">
        <w:rPr>
          <w:rFonts w:ascii="Arial" w:eastAsia="Calibri" w:hAnsi="Arial" w:cs="Arial"/>
          <w:bCs/>
          <w:color w:val="000000" w:themeColor="text1"/>
          <w:sz w:val="22"/>
          <w:lang w:val="es-ES"/>
        </w:rPr>
        <w:lastRenderedPageBreak/>
        <w:t>los siguientes temas:</w:t>
      </w:r>
      <w:r w:rsidRPr="00621981">
        <w:rPr>
          <w:rFonts w:ascii="Arial" w:eastAsia="Calibri" w:hAnsi="Arial" w:cs="Arial"/>
          <w:bCs/>
          <w:color w:val="000000" w:themeColor="text1"/>
          <w:sz w:val="22"/>
        </w:rPr>
        <w:t xml:space="preserve"> </w:t>
      </w:r>
      <w:r w:rsidR="00B44E8C">
        <w:rPr>
          <w:rFonts w:ascii="Arial" w:eastAsia="Calibri" w:hAnsi="Arial" w:cs="Arial"/>
          <w:bCs/>
          <w:color w:val="000000" w:themeColor="text1"/>
          <w:sz w:val="22"/>
        </w:rPr>
        <w:t>i</w:t>
      </w:r>
      <w:r w:rsidR="00B44E8C" w:rsidRPr="0020782C">
        <w:rPr>
          <w:rFonts w:ascii="Arial" w:hAnsi="Arial" w:cs="Arial"/>
          <w:sz w:val="22"/>
        </w:rPr>
        <w:t>) la obligación de vigilar la correcta ejecución del objeto contratado</w:t>
      </w:r>
      <w:r w:rsidR="00F17FA6">
        <w:rPr>
          <w:rFonts w:ascii="Arial" w:hAnsi="Arial" w:cs="Arial"/>
          <w:sz w:val="22"/>
        </w:rPr>
        <w:t xml:space="preserve"> y </w:t>
      </w:r>
      <w:proofErr w:type="spellStart"/>
      <w:r w:rsidR="00B44E8C" w:rsidRPr="0020782C">
        <w:rPr>
          <w:rFonts w:ascii="Arial" w:hAnsi="Arial" w:cs="Arial"/>
          <w:bCs/>
          <w:sz w:val="22"/>
        </w:rPr>
        <w:t>ii</w:t>
      </w:r>
      <w:proofErr w:type="spellEnd"/>
      <w:r w:rsidR="00B44E8C" w:rsidRPr="0020782C">
        <w:rPr>
          <w:rFonts w:ascii="Arial" w:hAnsi="Arial" w:cs="Arial"/>
          <w:bCs/>
          <w:sz w:val="22"/>
        </w:rPr>
        <w:t>) la supervisión en los contratos estatales</w:t>
      </w:r>
      <w:r w:rsidR="00F17FA6">
        <w:rPr>
          <w:rFonts w:ascii="Arial" w:hAnsi="Arial" w:cs="Arial"/>
          <w:bCs/>
          <w:sz w:val="22"/>
        </w:rPr>
        <w:t>.</w:t>
      </w:r>
    </w:p>
    <w:p w14:paraId="6CD1888C" w14:textId="12BE0833" w:rsidR="005016C7" w:rsidRPr="00B44E8C" w:rsidRDefault="00B44E8C" w:rsidP="00B44E8C">
      <w:pPr>
        <w:pStyle w:val="Sinespaciado"/>
        <w:spacing w:line="276" w:lineRule="auto"/>
        <w:ind w:firstLine="708"/>
        <w:jc w:val="both"/>
        <w:rPr>
          <w:rFonts w:ascii="Arial" w:eastAsia="Calibri" w:hAnsi="Arial" w:cs="Arial"/>
          <w:sz w:val="22"/>
        </w:rPr>
      </w:pPr>
      <w:r w:rsidRPr="0020782C">
        <w:rPr>
          <w:rFonts w:ascii="Arial" w:hAnsi="Arial" w:cs="Arial"/>
          <w:sz w:val="22"/>
        </w:rPr>
        <w:t xml:space="preserve">La </w:t>
      </w:r>
      <w:r w:rsidRPr="0020782C">
        <w:rPr>
          <w:rFonts w:ascii="Arial" w:eastAsia="Calibri" w:hAnsi="Arial" w:cs="Arial"/>
          <w:sz w:val="22"/>
        </w:rPr>
        <w:t xml:space="preserve">Agencia Nacional de Contratación Pública </w:t>
      </w:r>
      <w:r>
        <w:rPr>
          <w:rFonts w:ascii="Arial" w:eastAsia="Calibri" w:hAnsi="Arial" w:cs="Arial"/>
          <w:sz w:val="22"/>
        </w:rPr>
        <w:t>–</w:t>
      </w:r>
      <w:r w:rsidRPr="0020782C">
        <w:rPr>
          <w:rFonts w:ascii="Arial" w:eastAsia="Calibri" w:hAnsi="Arial" w:cs="Arial"/>
          <w:sz w:val="22"/>
        </w:rPr>
        <w:t xml:space="preserve"> Colombia Compra Eficiente se ha pronunciado sobre la obligación de controlar y vigilar la ejecución de los contratos estatales, en los conceptos con radicado 4201913000004799</w:t>
      </w:r>
      <w:r>
        <w:rPr>
          <w:rFonts w:ascii="Arial" w:eastAsia="Calibri" w:hAnsi="Arial" w:cs="Arial"/>
          <w:sz w:val="22"/>
        </w:rPr>
        <w:t xml:space="preserve"> d</w:t>
      </w:r>
      <w:r w:rsidRPr="0020782C">
        <w:rPr>
          <w:rFonts w:ascii="Arial" w:eastAsia="Calibri" w:hAnsi="Arial" w:cs="Arial"/>
          <w:sz w:val="22"/>
        </w:rPr>
        <w:t>el 30 de agosto de 2019, y 4201913000008240 del 20 de diciembre de 2019</w:t>
      </w:r>
      <w:r>
        <w:rPr>
          <w:rFonts w:ascii="Arial" w:eastAsia="Calibri" w:hAnsi="Arial" w:cs="Arial"/>
          <w:sz w:val="22"/>
        </w:rPr>
        <w:t xml:space="preserve"> y </w:t>
      </w:r>
      <w:r w:rsidRPr="0020782C">
        <w:rPr>
          <w:rFonts w:ascii="Arial" w:eastAsia="Calibri" w:hAnsi="Arial" w:cs="Arial"/>
          <w:sz w:val="22"/>
        </w:rPr>
        <w:t>en los conceptos C-064 del 28 de febrero de 2020, C–077 del 18 de marzo de 2020</w:t>
      </w:r>
      <w:r>
        <w:rPr>
          <w:rFonts w:ascii="Arial" w:eastAsia="Calibri" w:hAnsi="Arial" w:cs="Arial"/>
          <w:sz w:val="22"/>
        </w:rPr>
        <w:t xml:space="preserve">, </w:t>
      </w:r>
      <w:r w:rsidRPr="0020782C">
        <w:rPr>
          <w:rFonts w:ascii="Arial" w:eastAsia="Calibri" w:hAnsi="Arial" w:cs="Arial"/>
          <w:sz w:val="22"/>
        </w:rPr>
        <w:t>C–150 del 18 de marzo de 2020</w:t>
      </w:r>
      <w:r>
        <w:rPr>
          <w:rFonts w:ascii="Arial" w:eastAsia="Calibri" w:hAnsi="Arial" w:cs="Arial"/>
          <w:sz w:val="22"/>
        </w:rPr>
        <w:t xml:space="preserve">, </w:t>
      </w:r>
      <w:r w:rsidRPr="0020782C">
        <w:rPr>
          <w:rFonts w:ascii="Arial" w:eastAsia="Calibri" w:hAnsi="Arial" w:cs="Arial"/>
          <w:sz w:val="22"/>
        </w:rPr>
        <w:t>C–134 del 30 de marzo de 2020</w:t>
      </w:r>
      <w:r>
        <w:rPr>
          <w:rFonts w:ascii="Arial" w:eastAsia="Calibri" w:hAnsi="Arial" w:cs="Arial"/>
          <w:sz w:val="22"/>
        </w:rPr>
        <w:t xml:space="preserve">, </w:t>
      </w:r>
      <w:r w:rsidRPr="0020782C">
        <w:rPr>
          <w:rFonts w:ascii="Arial" w:eastAsia="Calibri" w:hAnsi="Arial" w:cs="Arial"/>
          <w:sz w:val="22"/>
        </w:rPr>
        <w:t>C–180 del 13 de abril de 2020</w:t>
      </w:r>
      <w:r>
        <w:rPr>
          <w:rFonts w:ascii="Arial" w:eastAsia="Calibri" w:hAnsi="Arial" w:cs="Arial"/>
          <w:sz w:val="22"/>
        </w:rPr>
        <w:t>, C-344 del 24 de junio de 2020, C-414 de 2020 del 27 de julio de 2020, C-765 de 2020 de 7 de enero de 2021</w:t>
      </w:r>
      <w:r w:rsidR="0026306A">
        <w:rPr>
          <w:rFonts w:ascii="Arial" w:eastAsia="Calibri" w:hAnsi="Arial" w:cs="Arial"/>
          <w:sz w:val="22"/>
        </w:rPr>
        <w:t>,</w:t>
      </w:r>
      <w:r>
        <w:rPr>
          <w:rFonts w:ascii="Arial" w:eastAsia="Calibri" w:hAnsi="Arial" w:cs="Arial"/>
          <w:sz w:val="22"/>
        </w:rPr>
        <w:t xml:space="preserve"> C-</w:t>
      </w:r>
      <w:r w:rsidR="0026306A">
        <w:rPr>
          <w:rFonts w:ascii="Arial" w:eastAsia="Calibri" w:hAnsi="Arial" w:cs="Arial"/>
          <w:sz w:val="22"/>
        </w:rPr>
        <w:t xml:space="preserve">805 del 10 de febrero de 2021 y C-745 del </w:t>
      </w:r>
      <w:r w:rsidR="00C764E2">
        <w:rPr>
          <w:rFonts w:ascii="Arial" w:eastAsia="Calibri" w:hAnsi="Arial" w:cs="Arial"/>
          <w:sz w:val="22"/>
        </w:rPr>
        <w:t>3</w:t>
      </w:r>
      <w:r w:rsidR="0026306A">
        <w:rPr>
          <w:rFonts w:ascii="Arial" w:eastAsia="Calibri" w:hAnsi="Arial" w:cs="Arial"/>
          <w:sz w:val="22"/>
        </w:rPr>
        <w:t xml:space="preserve"> de febrero de 2022</w:t>
      </w:r>
      <w:r>
        <w:rPr>
          <w:rFonts w:ascii="Arial" w:eastAsia="Calibri" w:hAnsi="Arial" w:cs="Arial"/>
          <w:sz w:val="22"/>
        </w:rPr>
        <w:t xml:space="preserve">. </w:t>
      </w:r>
      <w:r w:rsidR="00153A87" w:rsidRPr="00F7469C">
        <w:rPr>
          <w:rFonts w:ascii="Arial" w:hAnsi="Arial" w:cs="Arial"/>
          <w:color w:val="000000" w:themeColor="text1"/>
          <w:sz w:val="22"/>
          <w:lang w:val="es-ES_tradnl"/>
        </w:rPr>
        <w:t>Las tesis propuestas en aquellas oportunidades se reiteran a continuación</w:t>
      </w:r>
      <w:r>
        <w:rPr>
          <w:rFonts w:ascii="Arial" w:hAnsi="Arial" w:cs="Arial"/>
          <w:color w:val="000000" w:themeColor="text1"/>
          <w:sz w:val="22"/>
          <w:lang w:val="es-ES_tradnl"/>
        </w:rPr>
        <w:t>.</w:t>
      </w:r>
    </w:p>
    <w:p w14:paraId="3A56B07B" w14:textId="77777777" w:rsidR="00031AD9" w:rsidRPr="00E858D2" w:rsidRDefault="00031AD9" w:rsidP="00031AD9">
      <w:pPr>
        <w:spacing w:line="276" w:lineRule="auto"/>
        <w:jc w:val="both"/>
        <w:rPr>
          <w:rFonts w:ascii="Arial" w:eastAsia="Arial" w:hAnsi="Arial" w:cs="Arial"/>
          <w:b/>
          <w:bCs/>
          <w:sz w:val="22"/>
          <w:lang w:val="es-ES_tradnl"/>
        </w:rPr>
      </w:pPr>
    </w:p>
    <w:p w14:paraId="47F10119" w14:textId="77777777" w:rsidR="00B65BBE" w:rsidRPr="00BC42A3" w:rsidRDefault="00031AD9" w:rsidP="00B65BBE">
      <w:pPr>
        <w:spacing w:line="276" w:lineRule="auto"/>
        <w:jc w:val="both"/>
        <w:rPr>
          <w:rFonts w:ascii="Arial" w:hAnsi="Arial" w:cs="Arial"/>
          <w:b/>
          <w:sz w:val="22"/>
          <w:lang w:val="es-ES_tradnl"/>
        </w:rPr>
      </w:pPr>
      <w:r w:rsidRPr="00E858D2">
        <w:rPr>
          <w:rFonts w:ascii="Arial" w:eastAsia="Arial" w:hAnsi="Arial" w:cs="Arial"/>
          <w:b/>
          <w:bCs/>
          <w:sz w:val="22"/>
          <w:lang w:val="es-ES_tradnl"/>
        </w:rPr>
        <w:t xml:space="preserve">2.1. </w:t>
      </w:r>
      <w:r w:rsidR="00B65BBE">
        <w:rPr>
          <w:rFonts w:ascii="Arial" w:hAnsi="Arial" w:cs="Arial"/>
          <w:b/>
          <w:sz w:val="22"/>
          <w:lang w:val="es-ES_tradnl"/>
        </w:rPr>
        <w:t>La obligación de vigilar la correcta ejecución del objeto contratado</w:t>
      </w:r>
    </w:p>
    <w:p w14:paraId="03C3E969" w14:textId="77777777" w:rsidR="00B65BBE" w:rsidRDefault="00B65BBE" w:rsidP="00B65BBE">
      <w:pPr>
        <w:spacing w:line="276" w:lineRule="auto"/>
        <w:jc w:val="both"/>
        <w:rPr>
          <w:rFonts w:ascii="Arial" w:eastAsia="Calibri" w:hAnsi="Arial" w:cs="Arial"/>
          <w:b/>
          <w:color w:val="000000" w:themeColor="text1"/>
          <w:sz w:val="22"/>
        </w:rPr>
      </w:pPr>
    </w:p>
    <w:p w14:paraId="0DDE2602" w14:textId="77777777" w:rsidR="00B65BBE" w:rsidRDefault="00B65BBE" w:rsidP="00B65BBE">
      <w:pPr>
        <w:pStyle w:val="Sinespaciado"/>
        <w:spacing w:after="120" w:line="276" w:lineRule="auto"/>
        <w:jc w:val="both"/>
        <w:rPr>
          <w:rFonts w:ascii="Arial" w:hAnsi="Arial" w:cs="Arial"/>
          <w:bCs/>
          <w:sz w:val="22"/>
        </w:rPr>
      </w:pPr>
      <w:r>
        <w:rPr>
          <w:rFonts w:ascii="Arial" w:hAnsi="Arial" w:cs="Arial"/>
          <w:bCs/>
          <w:sz w:val="22"/>
        </w:rPr>
        <w:t>Mediante</w:t>
      </w:r>
      <w:r w:rsidRPr="009C4505">
        <w:rPr>
          <w:rFonts w:ascii="Arial" w:hAnsi="Arial" w:cs="Arial"/>
          <w:bCs/>
          <w:sz w:val="22"/>
        </w:rPr>
        <w:t xml:space="preserve"> la actividad contractual el Estado adquiere bienes, obras y servicios para cumplir los fines que le impone el ordenamiento jurídico, </w:t>
      </w:r>
      <w:r>
        <w:rPr>
          <w:rFonts w:ascii="Arial" w:hAnsi="Arial" w:cs="Arial"/>
          <w:bCs/>
          <w:sz w:val="22"/>
        </w:rPr>
        <w:t xml:space="preserve">con el fin de </w:t>
      </w:r>
      <w:r w:rsidRPr="009C4505">
        <w:rPr>
          <w:rFonts w:ascii="Arial" w:hAnsi="Arial" w:cs="Arial"/>
          <w:bCs/>
          <w:sz w:val="22"/>
        </w:rPr>
        <w:t>garantiza</w:t>
      </w:r>
      <w:r>
        <w:rPr>
          <w:rFonts w:ascii="Arial" w:hAnsi="Arial" w:cs="Arial"/>
          <w:bCs/>
          <w:sz w:val="22"/>
        </w:rPr>
        <w:t>r as</w:t>
      </w:r>
      <w:r w:rsidRPr="009C4505">
        <w:rPr>
          <w:rFonts w:ascii="Arial" w:hAnsi="Arial" w:cs="Arial"/>
          <w:bCs/>
          <w:sz w:val="22"/>
        </w:rPr>
        <w:t>í la continuidad y eficiente prestación de los servicios públicos y la efectividad de los derechos e intereses de los administrados</w:t>
      </w:r>
      <w:r w:rsidRPr="009C4505">
        <w:rPr>
          <w:rStyle w:val="Refdenotaalpie"/>
          <w:rFonts w:ascii="Arial" w:hAnsi="Arial" w:cs="Arial"/>
          <w:sz w:val="22"/>
        </w:rPr>
        <w:footnoteReference w:id="3"/>
      </w:r>
      <w:r w:rsidRPr="009C4505">
        <w:rPr>
          <w:rFonts w:ascii="Arial" w:hAnsi="Arial" w:cs="Arial"/>
          <w:bCs/>
          <w:sz w:val="22"/>
        </w:rPr>
        <w:t xml:space="preserve">. Para la garantía del interés general, el Estatuto General de Contratación de la Administración Pública –en adelante EGCAP– dispone que </w:t>
      </w:r>
      <w:bookmarkStart w:id="2" w:name="_Hlk111131301"/>
      <w:r w:rsidRPr="009C4505">
        <w:rPr>
          <w:rFonts w:ascii="Arial" w:hAnsi="Arial" w:cs="Arial"/>
          <w:bCs/>
          <w:sz w:val="22"/>
        </w:rPr>
        <w:t>las entidades estatales y los servidores públicos tienen la obligación de controlar y vigilar la correcta ejecución del objeto contratado. Lo anterior busca que las finalidades perseguidas con la celebración de los contratos estatales se logren de manera satisfactoria.</w:t>
      </w:r>
    </w:p>
    <w:p w14:paraId="1E64CB6F" w14:textId="77777777" w:rsidR="00B65BBE" w:rsidRDefault="00B65BBE" w:rsidP="00B65BBE">
      <w:pPr>
        <w:spacing w:after="120" w:line="276" w:lineRule="auto"/>
        <w:ind w:firstLine="709"/>
        <w:jc w:val="both"/>
        <w:rPr>
          <w:rFonts w:ascii="Arial" w:hAnsi="Arial" w:cs="Arial"/>
          <w:sz w:val="22"/>
          <w:szCs w:val="22"/>
          <w:lang w:val="es-ES"/>
        </w:rPr>
      </w:pPr>
      <w:r w:rsidRPr="00873A9D">
        <w:rPr>
          <w:rFonts w:ascii="Arial" w:hAnsi="Arial" w:cs="Arial"/>
          <w:sz w:val="22"/>
          <w:szCs w:val="22"/>
          <w:lang w:val="es-ES"/>
        </w:rPr>
        <w:t>El seguimiento de la ejecución del contrato para su dirección, control y vigilancia de su correcto cumplimiento es un deber legal que permite a las entidades estatales tomar medidas orientadas a la satisfacción de los fines de la contratación</w:t>
      </w:r>
      <w:r>
        <w:rPr>
          <w:rFonts w:ascii="Arial" w:hAnsi="Arial" w:cs="Arial"/>
          <w:sz w:val="22"/>
          <w:szCs w:val="22"/>
          <w:lang w:val="es-ES"/>
        </w:rPr>
        <w:t>.</w:t>
      </w:r>
      <w:r w:rsidRPr="00873A9D">
        <w:rPr>
          <w:rFonts w:ascii="Arial" w:hAnsi="Arial" w:cs="Arial"/>
          <w:sz w:val="22"/>
          <w:szCs w:val="22"/>
          <w:lang w:val="es-ES"/>
        </w:rPr>
        <w:t xml:space="preserve"> </w:t>
      </w:r>
      <w:r>
        <w:rPr>
          <w:rFonts w:ascii="Arial" w:hAnsi="Arial" w:cs="Arial"/>
          <w:sz w:val="22"/>
          <w:szCs w:val="22"/>
          <w:lang w:val="es-ES"/>
        </w:rPr>
        <w:t xml:space="preserve">Entre esas medidas </w:t>
      </w:r>
      <w:r w:rsidRPr="00873A9D">
        <w:rPr>
          <w:rFonts w:ascii="Arial" w:hAnsi="Arial" w:cs="Arial"/>
          <w:sz w:val="22"/>
          <w:szCs w:val="22"/>
          <w:lang w:val="es-ES"/>
        </w:rPr>
        <w:t xml:space="preserve">se </w:t>
      </w:r>
      <w:r>
        <w:rPr>
          <w:rFonts w:ascii="Arial" w:hAnsi="Arial" w:cs="Arial"/>
          <w:sz w:val="22"/>
          <w:szCs w:val="22"/>
          <w:lang w:val="es-ES"/>
        </w:rPr>
        <w:t>destacan</w:t>
      </w:r>
      <w:r w:rsidRPr="00873A9D">
        <w:rPr>
          <w:rFonts w:ascii="Arial" w:hAnsi="Arial" w:cs="Arial"/>
          <w:sz w:val="22"/>
          <w:szCs w:val="22"/>
          <w:lang w:val="es-ES"/>
        </w:rPr>
        <w:t xml:space="preserve"> la posibilidad de pactar y ejercer las cláusulas exorbitantes ─en algunos supuestos ─, la designación de una supervisión o la contratación de una interventoría para vigilar la ejecución del contrato y la facultad de pactar e imponer multas,</w:t>
      </w:r>
      <w:r>
        <w:rPr>
          <w:rFonts w:ascii="Arial" w:hAnsi="Arial" w:cs="Arial"/>
          <w:sz w:val="22"/>
          <w:szCs w:val="22"/>
          <w:lang w:val="es-ES"/>
        </w:rPr>
        <w:t xml:space="preserve"> la</w:t>
      </w:r>
      <w:r w:rsidRPr="00873A9D">
        <w:rPr>
          <w:rFonts w:ascii="Arial" w:hAnsi="Arial" w:cs="Arial"/>
          <w:sz w:val="22"/>
          <w:szCs w:val="22"/>
          <w:lang w:val="es-ES"/>
        </w:rPr>
        <w:t xml:space="preserve"> cl</w:t>
      </w:r>
      <w:r>
        <w:rPr>
          <w:rFonts w:ascii="Arial" w:hAnsi="Arial" w:cs="Arial"/>
          <w:sz w:val="22"/>
          <w:szCs w:val="22"/>
          <w:lang w:val="es-ES"/>
        </w:rPr>
        <w:t>á</w:t>
      </w:r>
      <w:r w:rsidRPr="00873A9D">
        <w:rPr>
          <w:rFonts w:ascii="Arial" w:hAnsi="Arial" w:cs="Arial"/>
          <w:sz w:val="22"/>
          <w:szCs w:val="22"/>
          <w:lang w:val="es-ES"/>
        </w:rPr>
        <w:t>usula penal o hacer efectivas las garantías del contrato, previa declaratoria de incumplimiento de las obligaciones</w:t>
      </w:r>
      <w:r>
        <w:rPr>
          <w:rFonts w:ascii="Arial" w:hAnsi="Arial" w:cs="Arial"/>
          <w:sz w:val="22"/>
          <w:szCs w:val="22"/>
          <w:lang w:val="es-ES"/>
        </w:rPr>
        <w:t>. Todo lo anterior a efectos</w:t>
      </w:r>
      <w:r w:rsidRPr="00873A9D">
        <w:rPr>
          <w:rFonts w:ascii="Arial" w:hAnsi="Arial" w:cs="Arial"/>
          <w:sz w:val="22"/>
          <w:szCs w:val="22"/>
          <w:lang w:val="es-ES"/>
        </w:rPr>
        <w:t xml:space="preserve"> de lograr la satisfacción de las necesidades de bienes, obra o servicios que se pretenden suplir con la celebración de los contratos estatales. </w:t>
      </w:r>
    </w:p>
    <w:bookmarkEnd w:id="2"/>
    <w:p w14:paraId="1BDD175A" w14:textId="77777777" w:rsidR="00B65BBE" w:rsidRPr="009C4505" w:rsidRDefault="00B65BBE" w:rsidP="00B65BBE">
      <w:pPr>
        <w:spacing w:line="276" w:lineRule="auto"/>
        <w:ind w:firstLine="709"/>
        <w:jc w:val="both"/>
        <w:rPr>
          <w:rFonts w:ascii="Arial" w:hAnsi="Arial" w:cs="Arial"/>
          <w:sz w:val="22"/>
        </w:rPr>
      </w:pPr>
      <w:r w:rsidRPr="00873A9D">
        <w:rPr>
          <w:rFonts w:ascii="Arial" w:hAnsi="Arial" w:cs="Arial"/>
          <w:sz w:val="22"/>
          <w:szCs w:val="22"/>
        </w:rPr>
        <w:t xml:space="preserve">Así, por ejemplo, </w:t>
      </w:r>
      <w:r w:rsidRPr="00873A9D">
        <w:rPr>
          <w:rFonts w:ascii="Arial" w:eastAsia="Calibri" w:hAnsi="Arial" w:cs="Arial"/>
          <w:bCs/>
          <w:sz w:val="22"/>
          <w:szCs w:val="22"/>
        </w:rPr>
        <w:t xml:space="preserve">los artículos 4, 5, 12, 14 y 26 de la Ley 80 de 1993 consagran, entre otros aspectos, la obligación de la entidad estatal de velar por el correcto y oportuno cumplimiento de las prestaciones del contrato, las especificaciones de los bienes, obras y </w:t>
      </w:r>
      <w:r w:rsidRPr="00873A9D">
        <w:rPr>
          <w:rFonts w:ascii="Arial" w:eastAsia="Calibri" w:hAnsi="Arial" w:cs="Arial"/>
          <w:bCs/>
          <w:sz w:val="22"/>
          <w:szCs w:val="22"/>
        </w:rPr>
        <w:lastRenderedPageBreak/>
        <w:t xml:space="preserve">servicios objeto </w:t>
      </w:r>
      <w:proofErr w:type="gramStart"/>
      <w:r w:rsidRPr="00873A9D">
        <w:rPr>
          <w:rFonts w:ascii="Arial" w:eastAsia="Calibri" w:hAnsi="Arial" w:cs="Arial"/>
          <w:bCs/>
          <w:sz w:val="22"/>
          <w:szCs w:val="22"/>
        </w:rPr>
        <w:t>del mismo</w:t>
      </w:r>
      <w:proofErr w:type="gramEnd"/>
      <w:r w:rsidRPr="00873A9D">
        <w:rPr>
          <w:rFonts w:ascii="Arial" w:eastAsia="Calibri" w:hAnsi="Arial" w:cs="Arial"/>
          <w:bCs/>
          <w:sz w:val="22"/>
          <w:szCs w:val="22"/>
        </w:rPr>
        <w:t xml:space="preserve">, las condiciones de calidad ofrecidas, etc. Esta obligación se predica del jefe o representante legal de la entidad, por tener la responsabilidad de la dirección y manejo de la actividad contractual y de los servidores públicos que intervienen en dicha actividad. </w:t>
      </w:r>
      <w:r>
        <w:rPr>
          <w:rFonts w:ascii="Arial" w:hAnsi="Arial" w:cs="Arial"/>
          <w:sz w:val="22"/>
          <w:szCs w:val="22"/>
        </w:rPr>
        <w:t>Por ello</w:t>
      </w:r>
      <w:r w:rsidRPr="00873A9D">
        <w:rPr>
          <w:rFonts w:ascii="Arial" w:hAnsi="Arial" w:cs="Arial"/>
          <w:sz w:val="22"/>
          <w:szCs w:val="22"/>
        </w:rPr>
        <w:t>, las entidades estatales deben ejercer el control de la ejecución del contrato y, de ser el caso, tomar medidas para exigir el adecuado cumplimiento</w:t>
      </w:r>
      <w:r w:rsidRPr="009C4505">
        <w:rPr>
          <w:rFonts w:ascii="Arial" w:hAnsi="Arial" w:cs="Arial"/>
          <w:sz w:val="22"/>
        </w:rPr>
        <w:t>.</w:t>
      </w:r>
    </w:p>
    <w:p w14:paraId="0BD589C0" w14:textId="77777777" w:rsidR="00B65BBE" w:rsidRPr="009C4505" w:rsidRDefault="00B65BBE" w:rsidP="00B65BBE">
      <w:pPr>
        <w:spacing w:before="120" w:after="120" w:line="276" w:lineRule="auto"/>
        <w:ind w:firstLine="709"/>
        <w:jc w:val="both"/>
        <w:rPr>
          <w:rFonts w:ascii="Arial" w:hAnsi="Arial" w:cs="Arial"/>
          <w:sz w:val="22"/>
        </w:rPr>
      </w:pPr>
      <w:r w:rsidRPr="009C4505">
        <w:rPr>
          <w:rFonts w:ascii="Arial" w:hAnsi="Arial" w:cs="Arial"/>
          <w:sz w:val="22"/>
        </w:rPr>
        <w:t>A</w:t>
      </w:r>
      <w:r>
        <w:rPr>
          <w:rFonts w:ascii="Arial" w:hAnsi="Arial" w:cs="Arial"/>
          <w:sz w:val="22"/>
        </w:rPr>
        <w:t>l</w:t>
      </w:r>
      <w:r w:rsidRPr="009C4505">
        <w:rPr>
          <w:rFonts w:ascii="Arial" w:hAnsi="Arial" w:cs="Arial"/>
          <w:sz w:val="22"/>
        </w:rPr>
        <w:t xml:space="preserve"> respecto, es oportuno citar la </w:t>
      </w:r>
      <w:r>
        <w:rPr>
          <w:rFonts w:ascii="Arial" w:hAnsi="Arial" w:cs="Arial"/>
          <w:sz w:val="22"/>
        </w:rPr>
        <w:t>Sentencia de 27 de noviembre de 2017</w:t>
      </w:r>
      <w:r w:rsidRPr="009C4505">
        <w:rPr>
          <w:rFonts w:ascii="Arial" w:hAnsi="Arial" w:cs="Arial"/>
          <w:sz w:val="22"/>
        </w:rPr>
        <w:t xml:space="preserve"> del</w:t>
      </w:r>
      <w:r>
        <w:rPr>
          <w:rFonts w:ascii="Arial" w:hAnsi="Arial" w:cs="Arial"/>
          <w:sz w:val="22"/>
        </w:rPr>
        <w:t xml:space="preserve"> Consejo de Estado</w:t>
      </w:r>
      <w:r w:rsidRPr="009C4505">
        <w:rPr>
          <w:rFonts w:ascii="Arial" w:hAnsi="Arial" w:cs="Arial"/>
          <w:sz w:val="22"/>
        </w:rPr>
        <w:t xml:space="preserve">, en la cual se hizo énfasis en que </w:t>
      </w:r>
      <w:r w:rsidRPr="00353613">
        <w:rPr>
          <w:rFonts w:ascii="Arial" w:hAnsi="Arial" w:cs="Arial"/>
          <w:sz w:val="22"/>
        </w:rPr>
        <w:t>«</w:t>
      </w:r>
      <w:r>
        <w:rPr>
          <w:rFonts w:ascii="Arial" w:hAnsi="Arial" w:cs="Arial"/>
          <w:sz w:val="22"/>
        </w:rPr>
        <w:t>L</w:t>
      </w:r>
      <w:r w:rsidRPr="008043A3">
        <w:rPr>
          <w:rFonts w:ascii="Arial" w:hAnsi="Arial" w:cs="Arial"/>
          <w:sz w:val="22"/>
        </w:rPr>
        <w:t>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353613">
        <w:rPr>
          <w:rFonts w:ascii="Arial" w:hAnsi="Arial" w:cs="Arial"/>
          <w:sz w:val="22"/>
        </w:rPr>
        <w:t>»</w:t>
      </w:r>
      <w:r>
        <w:rPr>
          <w:rStyle w:val="Refdenotaalpie"/>
          <w:rFonts w:ascii="Arial" w:hAnsi="Arial" w:cs="Arial"/>
          <w:sz w:val="22"/>
        </w:rPr>
        <w:footnoteReference w:id="4"/>
      </w:r>
      <w:r w:rsidRPr="00353613">
        <w:rPr>
          <w:rFonts w:ascii="Arial" w:hAnsi="Arial" w:cs="Arial"/>
          <w:sz w:val="22"/>
        </w:rPr>
        <w:t>.</w:t>
      </w:r>
    </w:p>
    <w:p w14:paraId="1A124B1E" w14:textId="77777777" w:rsidR="00B65BBE" w:rsidRPr="009C4505" w:rsidRDefault="00B65BBE" w:rsidP="00B65BBE">
      <w:pPr>
        <w:pStyle w:val="Sinespaciado"/>
        <w:spacing w:before="120" w:after="120" w:line="276" w:lineRule="auto"/>
        <w:ind w:firstLine="709"/>
        <w:jc w:val="both"/>
        <w:rPr>
          <w:rFonts w:ascii="Arial" w:hAnsi="Arial" w:cs="Arial"/>
          <w:bCs/>
          <w:sz w:val="22"/>
        </w:rPr>
      </w:pPr>
      <w:r>
        <w:rPr>
          <w:rFonts w:ascii="Arial" w:hAnsi="Arial" w:cs="Arial"/>
          <w:bCs/>
          <w:sz w:val="22"/>
        </w:rPr>
        <w:t>De igual forma</w:t>
      </w:r>
      <w:r w:rsidRPr="009C4505">
        <w:rPr>
          <w:rFonts w:ascii="Arial" w:hAnsi="Arial" w:cs="Arial"/>
          <w:bCs/>
          <w:sz w:val="22"/>
        </w:rPr>
        <w:t xml:space="preserve">, las Leyes 1150 de 2007 y 1474 de 2011 complementan el régimen jurídico de la obligación de vigilar la correcta ejecución de los contratos estatales. </w:t>
      </w:r>
      <w:r>
        <w:rPr>
          <w:rFonts w:ascii="Arial" w:hAnsi="Arial" w:cs="Arial"/>
          <w:bCs/>
          <w:sz w:val="22"/>
        </w:rPr>
        <w:t>En dichas leyes</w:t>
      </w:r>
      <w:r w:rsidRPr="009C4505">
        <w:rPr>
          <w:rFonts w:ascii="Arial" w:hAnsi="Arial" w:cs="Arial"/>
          <w:bCs/>
          <w:sz w:val="22"/>
        </w:rPr>
        <w:t xml:space="preserve"> se impone el debido proceso como principio rector en materia sancionatoria contractual, entre otros supuestos, para la imposición de multas y la decisión de hacer efectiva la cláusula penal</w:t>
      </w:r>
      <w:r>
        <w:rPr>
          <w:rFonts w:ascii="Arial" w:hAnsi="Arial" w:cs="Arial"/>
          <w:bCs/>
          <w:sz w:val="22"/>
        </w:rPr>
        <w:t>. Dicho</w:t>
      </w:r>
      <w:r w:rsidRPr="009C4505">
        <w:rPr>
          <w:rFonts w:ascii="Arial" w:hAnsi="Arial" w:cs="Arial"/>
          <w:bCs/>
          <w:sz w:val="22"/>
        </w:rPr>
        <w:t xml:space="preserve"> principio </w:t>
      </w:r>
      <w:r>
        <w:rPr>
          <w:rFonts w:ascii="Arial" w:hAnsi="Arial" w:cs="Arial"/>
          <w:bCs/>
          <w:sz w:val="22"/>
        </w:rPr>
        <w:t>también</w:t>
      </w:r>
      <w:r w:rsidRPr="009C4505">
        <w:rPr>
          <w:rFonts w:ascii="Arial" w:hAnsi="Arial" w:cs="Arial"/>
          <w:bCs/>
          <w:sz w:val="22"/>
        </w:rPr>
        <w:t xml:space="preserve"> se debe respetar en el ejercicio del control y vigilancia de la ejecución contractual</w:t>
      </w:r>
      <w:r w:rsidRPr="009C4505">
        <w:rPr>
          <w:rStyle w:val="Refdenotaalpie"/>
          <w:rFonts w:ascii="Arial" w:hAnsi="Arial" w:cs="Arial"/>
          <w:sz w:val="22"/>
        </w:rPr>
        <w:footnoteReference w:id="5"/>
      </w:r>
      <w:r w:rsidRPr="009C4505">
        <w:rPr>
          <w:rFonts w:ascii="Arial" w:hAnsi="Arial" w:cs="Arial"/>
          <w:bCs/>
          <w:sz w:val="22"/>
        </w:rPr>
        <w:t xml:space="preserve">. </w:t>
      </w:r>
      <w:r>
        <w:rPr>
          <w:rFonts w:ascii="Arial" w:hAnsi="Arial" w:cs="Arial"/>
          <w:bCs/>
          <w:sz w:val="22"/>
        </w:rPr>
        <w:t>Igualmente,</w:t>
      </w:r>
      <w:r w:rsidRPr="009C4505">
        <w:rPr>
          <w:rFonts w:ascii="Arial" w:hAnsi="Arial" w:cs="Arial"/>
          <w:bCs/>
          <w:sz w:val="22"/>
        </w:rPr>
        <w:t xml:space="preserve"> se establecen los límites de la responsabilidad del representante legal ante la delegación de sus funciones en materia contractual</w:t>
      </w:r>
      <w:r w:rsidRPr="009C4505">
        <w:rPr>
          <w:rStyle w:val="Refdenotaalpie"/>
          <w:rFonts w:ascii="Arial" w:hAnsi="Arial" w:cs="Arial"/>
          <w:sz w:val="22"/>
        </w:rPr>
        <w:footnoteReference w:id="6"/>
      </w:r>
      <w:r w:rsidRPr="009C4505">
        <w:rPr>
          <w:rFonts w:ascii="Arial" w:hAnsi="Arial" w:cs="Arial"/>
          <w:bCs/>
          <w:sz w:val="22"/>
        </w:rPr>
        <w:t xml:space="preserve"> y se regula la supervisión y la interventoría de los contratos estatales</w:t>
      </w:r>
      <w:r w:rsidRPr="009C4505">
        <w:rPr>
          <w:rStyle w:val="Refdenotaalpie"/>
          <w:rFonts w:ascii="Arial" w:hAnsi="Arial" w:cs="Arial"/>
          <w:sz w:val="22"/>
        </w:rPr>
        <w:footnoteReference w:id="7"/>
      </w:r>
      <w:r w:rsidRPr="009C4505">
        <w:rPr>
          <w:rFonts w:ascii="Arial" w:hAnsi="Arial" w:cs="Arial"/>
          <w:bCs/>
          <w:sz w:val="22"/>
        </w:rPr>
        <w:t xml:space="preserve">. </w:t>
      </w:r>
    </w:p>
    <w:p w14:paraId="4AD8727F" w14:textId="77777777" w:rsidR="00B65BBE" w:rsidRPr="009C4505" w:rsidRDefault="00B65BBE" w:rsidP="00B65BBE">
      <w:pPr>
        <w:pStyle w:val="Sinespaciado"/>
        <w:spacing w:before="120" w:line="276" w:lineRule="auto"/>
        <w:ind w:firstLine="709"/>
        <w:jc w:val="both"/>
        <w:rPr>
          <w:rFonts w:ascii="Arial" w:hAnsi="Arial" w:cs="Arial"/>
          <w:bCs/>
          <w:sz w:val="22"/>
        </w:rPr>
      </w:pPr>
      <w:r w:rsidRPr="009C4505">
        <w:rPr>
          <w:rFonts w:ascii="Arial" w:hAnsi="Arial" w:cs="Arial"/>
          <w:sz w:val="22"/>
        </w:rPr>
        <w:t xml:space="preserve">En el ordenamiento jurídico colombiano, </w:t>
      </w:r>
      <w:bookmarkStart w:id="3" w:name="_Hlk111131416"/>
      <w:r w:rsidRPr="009C4505">
        <w:rPr>
          <w:rFonts w:ascii="Arial" w:hAnsi="Arial" w:cs="Arial"/>
          <w:sz w:val="22"/>
        </w:rPr>
        <w:t>la tarea de fiscalización de los negocios jurídicos del Estado quedaba comprendida en su totalidad bajo la figura de la interventoría</w:t>
      </w:r>
      <w:r>
        <w:rPr>
          <w:rFonts w:ascii="Arial" w:hAnsi="Arial" w:cs="Arial"/>
          <w:sz w:val="22"/>
        </w:rPr>
        <w:t>.</w:t>
      </w:r>
      <w:r w:rsidRPr="009C4505">
        <w:rPr>
          <w:rFonts w:ascii="Arial" w:hAnsi="Arial" w:cs="Arial"/>
          <w:sz w:val="22"/>
        </w:rPr>
        <w:t xml:space="preserve"> </w:t>
      </w:r>
      <w:r>
        <w:rPr>
          <w:rFonts w:ascii="Arial" w:hAnsi="Arial" w:cs="Arial"/>
          <w:sz w:val="22"/>
        </w:rPr>
        <w:t>S</w:t>
      </w:r>
      <w:r w:rsidRPr="009C4505">
        <w:rPr>
          <w:rFonts w:ascii="Arial" w:hAnsi="Arial" w:cs="Arial"/>
          <w:sz w:val="22"/>
        </w:rPr>
        <w:t>in embargo</w:t>
      </w:r>
      <w:r>
        <w:rPr>
          <w:rFonts w:ascii="Arial" w:hAnsi="Arial" w:cs="Arial"/>
          <w:sz w:val="22"/>
        </w:rPr>
        <w:t>,</w:t>
      </w:r>
      <w:r w:rsidRPr="009C4505">
        <w:rPr>
          <w:rFonts w:ascii="Arial" w:hAnsi="Arial" w:cs="Arial"/>
          <w:sz w:val="22"/>
        </w:rPr>
        <w:t xml:space="preserve"> la </w:t>
      </w:r>
      <w:hyperlink r:id="rId13" w:history="1">
        <w:r w:rsidRPr="009C4505">
          <w:rPr>
            <w:rFonts w:ascii="Arial" w:hAnsi="Arial" w:cs="Arial"/>
            <w:sz w:val="22"/>
          </w:rPr>
          <w:t>Ley 1474 de 2011</w:t>
        </w:r>
      </w:hyperlink>
      <w:r w:rsidRPr="009C4505">
        <w:rPr>
          <w:rFonts w:ascii="Arial" w:hAnsi="Arial" w:cs="Arial"/>
          <w:sz w:val="22"/>
        </w:rPr>
        <w:t xml:space="preserve"> introdujo la categoría de supervisión. </w:t>
      </w:r>
      <w:r>
        <w:rPr>
          <w:rFonts w:ascii="Arial" w:hAnsi="Arial" w:cs="Arial"/>
          <w:sz w:val="22"/>
        </w:rPr>
        <w:t>En todo caso,</w:t>
      </w:r>
      <w:r w:rsidRPr="009C4505">
        <w:rPr>
          <w:rFonts w:ascii="Arial" w:hAnsi="Arial" w:cs="Arial"/>
          <w:sz w:val="22"/>
        </w:rPr>
        <w:t xml:space="preserve"> materialmente las labores que corresponde desempeñar a los interventores y a los supervisores es </w:t>
      </w:r>
      <w:r w:rsidRPr="007F3718">
        <w:rPr>
          <w:rFonts w:ascii="Arial" w:hAnsi="Arial" w:cs="Arial"/>
          <w:i/>
          <w:iCs/>
          <w:sz w:val="22"/>
        </w:rPr>
        <w:t>mutatis mutandis</w:t>
      </w:r>
      <w:r>
        <w:rPr>
          <w:rFonts w:ascii="Arial" w:hAnsi="Arial" w:cs="Arial"/>
          <w:sz w:val="22"/>
        </w:rPr>
        <w:t xml:space="preserve"> similar</w:t>
      </w:r>
      <w:r w:rsidRPr="009C4505">
        <w:rPr>
          <w:rFonts w:ascii="Arial" w:hAnsi="Arial" w:cs="Arial"/>
          <w:sz w:val="22"/>
        </w:rPr>
        <w:t xml:space="preserve">, pues en uno y otro </w:t>
      </w:r>
      <w:r>
        <w:rPr>
          <w:rFonts w:ascii="Arial" w:hAnsi="Arial" w:cs="Arial"/>
          <w:sz w:val="22"/>
        </w:rPr>
        <w:t>evento</w:t>
      </w:r>
      <w:r w:rsidRPr="009C4505">
        <w:rPr>
          <w:rFonts w:ascii="Arial" w:hAnsi="Arial" w:cs="Arial"/>
          <w:sz w:val="22"/>
        </w:rPr>
        <w:t xml:space="preserve"> se trata de una vigilancia </w:t>
      </w:r>
      <w:r>
        <w:rPr>
          <w:rFonts w:ascii="Arial" w:hAnsi="Arial" w:cs="Arial"/>
          <w:sz w:val="22"/>
        </w:rPr>
        <w:t>con la finalidad</w:t>
      </w:r>
      <w:r w:rsidRPr="009C4505">
        <w:rPr>
          <w:rFonts w:ascii="Arial" w:hAnsi="Arial" w:cs="Arial"/>
          <w:sz w:val="22"/>
        </w:rPr>
        <w:t xml:space="preserve"> de garantizar el cumplimiento del negocio jurídico estatal.</w:t>
      </w:r>
      <w:bookmarkEnd w:id="3"/>
    </w:p>
    <w:p w14:paraId="6CAD5F9B" w14:textId="3ED2E82D" w:rsidR="00B65BBE" w:rsidRPr="009C4505" w:rsidRDefault="00B65BBE" w:rsidP="00B65BBE">
      <w:pPr>
        <w:pStyle w:val="Sinespaciado"/>
        <w:spacing w:before="120" w:line="276" w:lineRule="auto"/>
        <w:ind w:firstLine="709"/>
        <w:jc w:val="both"/>
        <w:rPr>
          <w:rFonts w:ascii="Arial" w:hAnsi="Arial" w:cs="Arial"/>
          <w:sz w:val="22"/>
        </w:rPr>
      </w:pPr>
      <w:r w:rsidRPr="009C4505">
        <w:rPr>
          <w:rFonts w:ascii="Arial" w:hAnsi="Arial" w:cs="Arial"/>
          <w:sz w:val="22"/>
        </w:rPr>
        <w:t>La función de supervisión e interventor</w:t>
      </w:r>
      <w:r w:rsidR="002311DD">
        <w:rPr>
          <w:rFonts w:ascii="Arial" w:hAnsi="Arial" w:cs="Arial"/>
          <w:sz w:val="22"/>
        </w:rPr>
        <w:t>í</w:t>
      </w:r>
      <w:r w:rsidRPr="009C4505">
        <w:rPr>
          <w:rFonts w:ascii="Arial" w:hAnsi="Arial" w:cs="Arial"/>
          <w:sz w:val="22"/>
        </w:rPr>
        <w:t>a, según lo menciona la Sentencia del 2019 de la Subsección A, Sección Segunda, Sala de lo Contencioso Administrativo del Consejo de Estado con número de radicado interno 1338-12</w:t>
      </w:r>
      <w:r>
        <w:rPr>
          <w:rFonts w:ascii="Arial" w:hAnsi="Arial" w:cs="Arial"/>
          <w:sz w:val="22"/>
        </w:rPr>
        <w:t>,</w:t>
      </w:r>
      <w:r w:rsidRPr="009C4505">
        <w:rPr>
          <w:rFonts w:ascii="Arial" w:hAnsi="Arial" w:cs="Arial"/>
          <w:sz w:val="22"/>
        </w:rPr>
        <w:t xml:space="preserve"> </w:t>
      </w:r>
      <w:r>
        <w:rPr>
          <w:rFonts w:ascii="Arial" w:hAnsi="Arial" w:cs="Arial"/>
          <w:sz w:val="22"/>
        </w:rPr>
        <w:t>consiste en</w:t>
      </w:r>
      <w:r w:rsidRPr="009C4505">
        <w:rPr>
          <w:rFonts w:ascii="Arial" w:hAnsi="Arial" w:cs="Arial"/>
          <w:sz w:val="22"/>
        </w:rPr>
        <w:t xml:space="preserve"> una </w:t>
      </w:r>
      <w:r>
        <w:rPr>
          <w:rFonts w:ascii="Arial" w:hAnsi="Arial" w:cs="Arial"/>
          <w:sz w:val="22"/>
        </w:rPr>
        <w:t>labor</w:t>
      </w:r>
      <w:r w:rsidRPr="009C4505">
        <w:rPr>
          <w:rFonts w:ascii="Arial" w:hAnsi="Arial" w:cs="Arial"/>
          <w:sz w:val="22"/>
        </w:rPr>
        <w:t xml:space="preserve"> de control </w:t>
      </w:r>
      <w:r w:rsidRPr="009C4505">
        <w:rPr>
          <w:rFonts w:ascii="Arial" w:hAnsi="Arial" w:cs="Arial"/>
          <w:sz w:val="22"/>
        </w:rPr>
        <w:lastRenderedPageBreak/>
        <w:t>administrativo que se caracteriza por ejercerse respecto de los negocios jurídicos de la administración pública</w:t>
      </w:r>
      <w:r>
        <w:rPr>
          <w:rFonts w:ascii="Arial" w:hAnsi="Arial" w:cs="Arial"/>
          <w:sz w:val="22"/>
        </w:rPr>
        <w:t>. Mediante el ejercicio de esa labor</w:t>
      </w:r>
      <w:r w:rsidRPr="009C4505">
        <w:rPr>
          <w:rFonts w:ascii="Arial" w:hAnsi="Arial" w:cs="Arial"/>
          <w:sz w:val="22"/>
        </w:rPr>
        <w:t xml:space="preserve"> </w:t>
      </w:r>
      <w:r>
        <w:rPr>
          <w:rFonts w:ascii="Arial" w:hAnsi="Arial" w:cs="Arial"/>
          <w:sz w:val="22"/>
        </w:rPr>
        <w:t>se debe verificar</w:t>
      </w:r>
      <w:r w:rsidRPr="009C4505">
        <w:rPr>
          <w:rFonts w:ascii="Arial" w:hAnsi="Arial" w:cs="Arial"/>
          <w:sz w:val="22"/>
        </w:rPr>
        <w:t xml:space="preserve"> que el proceso de selección, como la celebración y con mayor rigurosidad la ejecución y liquidación de los </w:t>
      </w:r>
      <w:r>
        <w:rPr>
          <w:rFonts w:ascii="Arial" w:hAnsi="Arial" w:cs="Arial"/>
          <w:sz w:val="22"/>
        </w:rPr>
        <w:t>contratos</w:t>
      </w:r>
      <w:r w:rsidRPr="009C4505">
        <w:rPr>
          <w:rFonts w:ascii="Arial" w:hAnsi="Arial" w:cs="Arial"/>
          <w:sz w:val="22"/>
        </w:rPr>
        <w:t xml:space="preserve">, se realice con apego a los principios y reglas que regulan las actuaciones contractuales del </w:t>
      </w:r>
      <w:r>
        <w:rPr>
          <w:rFonts w:ascii="Arial" w:hAnsi="Arial" w:cs="Arial"/>
          <w:sz w:val="22"/>
        </w:rPr>
        <w:t>E</w:t>
      </w:r>
      <w:r w:rsidRPr="009C4505">
        <w:rPr>
          <w:rFonts w:ascii="Arial" w:hAnsi="Arial" w:cs="Arial"/>
          <w:sz w:val="22"/>
        </w:rPr>
        <w:t>stado, todo cumpli</w:t>
      </w:r>
      <w:r>
        <w:rPr>
          <w:rFonts w:ascii="Arial" w:hAnsi="Arial" w:cs="Arial"/>
          <w:sz w:val="22"/>
        </w:rPr>
        <w:t>é</w:t>
      </w:r>
      <w:r w:rsidRPr="009C4505">
        <w:rPr>
          <w:rFonts w:ascii="Arial" w:hAnsi="Arial" w:cs="Arial"/>
          <w:sz w:val="22"/>
        </w:rPr>
        <w:t>ndose con transparencia y buscando siempre satisfacer el inter</w:t>
      </w:r>
      <w:r>
        <w:rPr>
          <w:rFonts w:ascii="Arial" w:hAnsi="Arial" w:cs="Arial"/>
          <w:sz w:val="22"/>
        </w:rPr>
        <w:t>é</w:t>
      </w:r>
      <w:r w:rsidRPr="009C4505">
        <w:rPr>
          <w:rFonts w:ascii="Arial" w:hAnsi="Arial" w:cs="Arial"/>
          <w:sz w:val="22"/>
        </w:rPr>
        <w:t xml:space="preserve">s general. </w:t>
      </w:r>
      <w:r>
        <w:rPr>
          <w:rFonts w:ascii="Arial" w:hAnsi="Arial" w:cs="Arial"/>
          <w:sz w:val="22"/>
        </w:rPr>
        <w:t>Dichas</w:t>
      </w:r>
      <w:r w:rsidRPr="009C4505">
        <w:rPr>
          <w:rFonts w:ascii="Arial" w:hAnsi="Arial" w:cs="Arial"/>
          <w:sz w:val="22"/>
        </w:rPr>
        <w:t xml:space="preserve"> figuras se encuentran </w:t>
      </w:r>
      <w:r>
        <w:rPr>
          <w:rFonts w:ascii="Arial" w:hAnsi="Arial" w:cs="Arial"/>
          <w:sz w:val="22"/>
        </w:rPr>
        <w:t xml:space="preserve">consagradas </w:t>
      </w:r>
      <w:r w:rsidRPr="009C4505">
        <w:rPr>
          <w:rFonts w:ascii="Arial" w:hAnsi="Arial" w:cs="Arial"/>
          <w:sz w:val="22"/>
        </w:rPr>
        <w:t xml:space="preserve">en el </w:t>
      </w:r>
      <w:hyperlink r:id="rId14" w:history="1">
        <w:r w:rsidRPr="009C4505">
          <w:rPr>
            <w:rFonts w:ascii="Arial" w:hAnsi="Arial" w:cs="Arial"/>
            <w:sz w:val="22"/>
          </w:rPr>
          <w:t>artículo 83</w:t>
        </w:r>
      </w:hyperlink>
      <w:r w:rsidRPr="009C4505">
        <w:rPr>
          <w:rFonts w:ascii="Arial" w:hAnsi="Arial" w:cs="Arial"/>
          <w:sz w:val="22"/>
        </w:rPr>
        <w:t xml:space="preserve"> de la </w:t>
      </w:r>
      <w:hyperlink r:id="rId15" w:history="1">
        <w:r w:rsidRPr="009C4505">
          <w:rPr>
            <w:rFonts w:ascii="Arial" w:hAnsi="Arial" w:cs="Arial"/>
            <w:sz w:val="22"/>
          </w:rPr>
          <w:t>Ley 1474 de 2011</w:t>
        </w:r>
      </w:hyperlink>
      <w:r w:rsidRPr="009C4505">
        <w:rPr>
          <w:rFonts w:ascii="Arial" w:hAnsi="Arial" w:cs="Arial"/>
          <w:sz w:val="22"/>
        </w:rPr>
        <w:t>, cuyo contenido es</w:t>
      </w:r>
      <w:r>
        <w:rPr>
          <w:rFonts w:ascii="Arial" w:hAnsi="Arial" w:cs="Arial"/>
          <w:sz w:val="22"/>
        </w:rPr>
        <w:t xml:space="preserve"> el siguiente</w:t>
      </w:r>
      <w:r w:rsidRPr="009C4505">
        <w:rPr>
          <w:rFonts w:ascii="Arial" w:hAnsi="Arial" w:cs="Arial"/>
          <w:sz w:val="22"/>
        </w:rPr>
        <w:t xml:space="preserve">: </w:t>
      </w:r>
    </w:p>
    <w:p w14:paraId="5239A59C" w14:textId="77777777" w:rsidR="00B65BBE" w:rsidRDefault="00B65BBE" w:rsidP="00B65BBE">
      <w:pPr>
        <w:autoSpaceDE w:val="0"/>
        <w:autoSpaceDN w:val="0"/>
        <w:adjustRightInd w:val="0"/>
        <w:ind w:left="709" w:right="709"/>
        <w:jc w:val="both"/>
        <w:rPr>
          <w:rFonts w:ascii="Arial" w:hAnsi="Arial" w:cs="Arial"/>
          <w:sz w:val="22"/>
        </w:rPr>
      </w:pPr>
    </w:p>
    <w:p w14:paraId="08932585" w14:textId="77777777" w:rsidR="00B65BBE" w:rsidRDefault="00B65BBE" w:rsidP="00B65BBE">
      <w:pPr>
        <w:autoSpaceDE w:val="0"/>
        <w:autoSpaceDN w:val="0"/>
        <w:adjustRightInd w:val="0"/>
        <w:spacing w:after="120"/>
        <w:ind w:left="709" w:right="709"/>
        <w:jc w:val="both"/>
        <w:rPr>
          <w:rFonts w:ascii="Arial" w:hAnsi="Arial" w:cs="Arial"/>
          <w:sz w:val="21"/>
          <w:szCs w:val="21"/>
        </w:rPr>
      </w:pPr>
      <w:r w:rsidRPr="00B041F5">
        <w:rPr>
          <w:rFonts w:ascii="Arial" w:hAnsi="Arial" w:cs="Arial"/>
          <w:sz w:val="21"/>
          <w:szCs w:val="21"/>
        </w:rPr>
        <w:t xml:space="preserve">[…] </w:t>
      </w:r>
      <w:bookmarkStart w:id="4" w:name="_Hlk111131630"/>
      <w:r w:rsidRPr="00B041F5">
        <w:rPr>
          <w:rFonts w:ascii="Arial" w:hAnsi="Arial" w:cs="Arial"/>
          <w:sz w:val="21"/>
          <w:szCs w:val="21"/>
        </w:rPr>
        <w:t xml:space="preserve">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p>
    <w:p w14:paraId="10131C9C" w14:textId="77777777" w:rsidR="00B65BBE" w:rsidRPr="00B041F5" w:rsidRDefault="00B65BBE" w:rsidP="00B65BBE">
      <w:pPr>
        <w:autoSpaceDE w:val="0"/>
        <w:autoSpaceDN w:val="0"/>
        <w:adjustRightInd w:val="0"/>
        <w:ind w:left="709" w:right="709"/>
        <w:jc w:val="both"/>
        <w:rPr>
          <w:rFonts w:ascii="Arial" w:hAnsi="Arial" w:cs="Arial"/>
          <w:sz w:val="21"/>
          <w:szCs w:val="21"/>
        </w:rPr>
      </w:pPr>
      <w:r w:rsidRPr="00B041F5">
        <w:rPr>
          <w:rFonts w:ascii="Arial" w:hAnsi="Arial" w:cs="Arial"/>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B041F5">
        <w:rPr>
          <w:rFonts w:ascii="Arial" w:hAnsi="Arial" w:cs="Arial"/>
          <w:sz w:val="21"/>
          <w:szCs w:val="21"/>
        </w:rPr>
        <w:t>del mismo</w:t>
      </w:r>
      <w:proofErr w:type="gramEnd"/>
      <w:r w:rsidRPr="00B041F5">
        <w:rPr>
          <w:rFonts w:ascii="Arial" w:hAnsi="Arial" w:cs="Arial"/>
          <w:sz w:val="21"/>
          <w:szCs w:val="21"/>
        </w:rPr>
        <w:t xml:space="preserve"> lo justifiquen </w:t>
      </w:r>
      <w:bookmarkEnd w:id="4"/>
      <w:r w:rsidRPr="00B041F5">
        <w:rPr>
          <w:rFonts w:ascii="Arial" w:hAnsi="Arial" w:cs="Arial"/>
          <w:sz w:val="21"/>
          <w:szCs w:val="21"/>
        </w:rPr>
        <w:t>[…]</w:t>
      </w:r>
    </w:p>
    <w:p w14:paraId="483D567A" w14:textId="77777777" w:rsidR="00B65BBE" w:rsidRDefault="00B65BBE" w:rsidP="00B65BBE">
      <w:pPr>
        <w:pStyle w:val="Sinespaciado"/>
        <w:spacing w:line="276" w:lineRule="auto"/>
        <w:ind w:firstLine="567"/>
        <w:jc w:val="both"/>
        <w:rPr>
          <w:rFonts w:ascii="Arial" w:hAnsi="Arial" w:cs="Arial"/>
          <w:bCs/>
          <w:sz w:val="22"/>
        </w:rPr>
      </w:pPr>
    </w:p>
    <w:p w14:paraId="742B5CEF" w14:textId="77777777" w:rsidR="00B65BBE" w:rsidRPr="009C4505" w:rsidRDefault="00B65BBE" w:rsidP="00B65BBE">
      <w:pPr>
        <w:pStyle w:val="Sinespaciado"/>
        <w:spacing w:after="120" w:line="276" w:lineRule="auto"/>
        <w:ind w:firstLine="709"/>
        <w:jc w:val="both"/>
        <w:rPr>
          <w:rFonts w:ascii="Arial" w:hAnsi="Arial" w:cs="Arial"/>
          <w:bCs/>
          <w:sz w:val="22"/>
        </w:rPr>
      </w:pPr>
      <w:r w:rsidRPr="009C4505">
        <w:rPr>
          <w:rFonts w:ascii="Arial" w:hAnsi="Arial" w:cs="Arial"/>
          <w:bCs/>
          <w:sz w:val="22"/>
        </w:rPr>
        <w:t xml:space="preserve">En este punto, se reitera lo expuesto en el concepto emitido por esta Agencia con radicado 4201913000008240, del 20 de diciembre de 2019, </w:t>
      </w:r>
      <w:r>
        <w:rPr>
          <w:rFonts w:ascii="Arial" w:hAnsi="Arial" w:cs="Arial"/>
          <w:bCs/>
          <w:sz w:val="22"/>
        </w:rPr>
        <w:t xml:space="preserve">en cuya oportunidad se señaló </w:t>
      </w:r>
      <w:r w:rsidRPr="009C4505">
        <w:rPr>
          <w:rFonts w:ascii="Arial" w:hAnsi="Arial" w:cs="Arial"/>
          <w:bCs/>
          <w:sz w:val="22"/>
        </w:rPr>
        <w:t xml:space="preserve">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3E993C21" w14:textId="77777777" w:rsidR="00B65BBE" w:rsidRPr="009C4505" w:rsidRDefault="00B65BBE" w:rsidP="00B65BBE">
      <w:pPr>
        <w:pStyle w:val="Sinespaciado"/>
        <w:spacing w:after="120" w:line="276" w:lineRule="auto"/>
        <w:ind w:firstLine="567"/>
        <w:jc w:val="both"/>
        <w:rPr>
          <w:rFonts w:ascii="Arial" w:hAnsi="Arial" w:cs="Arial"/>
          <w:bCs/>
          <w:sz w:val="22"/>
        </w:rPr>
      </w:pPr>
      <w:r>
        <w:rPr>
          <w:rFonts w:ascii="Arial" w:hAnsi="Arial" w:cs="Arial"/>
          <w:bCs/>
          <w:sz w:val="22"/>
        </w:rPr>
        <w:t>Por lo tanto</w:t>
      </w:r>
      <w:r w:rsidRPr="009C4505">
        <w:rPr>
          <w:rFonts w:ascii="Arial" w:hAnsi="Arial" w:cs="Arial"/>
          <w:bCs/>
          <w:sz w:val="22"/>
        </w:rPr>
        <w:t xml:space="preserve">, </w:t>
      </w:r>
      <w:bookmarkStart w:id="5" w:name="_Hlk111131722"/>
      <w:r w:rsidRPr="009C4505">
        <w:rPr>
          <w:rFonts w:ascii="Arial" w:hAnsi="Arial" w:cs="Arial"/>
          <w:bCs/>
          <w:sz w:val="22"/>
        </w:rPr>
        <w:t xml:space="preserve">la responsabilidad </w:t>
      </w:r>
      <w:r>
        <w:rPr>
          <w:rFonts w:ascii="Arial" w:hAnsi="Arial" w:cs="Arial"/>
          <w:bCs/>
          <w:sz w:val="22"/>
        </w:rPr>
        <w:t>por</w:t>
      </w:r>
      <w:r w:rsidRPr="009C4505">
        <w:rPr>
          <w:rFonts w:ascii="Arial" w:hAnsi="Arial" w:cs="Arial"/>
          <w:bCs/>
          <w:sz w:val="22"/>
        </w:rPr>
        <w:t xml:space="preserve"> el control y vigilancia de la ejecución del contrato está a cargo de la entidad estatal contratante y, </w:t>
      </w:r>
      <w:r>
        <w:rPr>
          <w:rFonts w:ascii="Arial" w:hAnsi="Arial" w:cs="Arial"/>
          <w:bCs/>
          <w:sz w:val="22"/>
        </w:rPr>
        <w:t>de este modo</w:t>
      </w:r>
      <w:r w:rsidRPr="009C4505">
        <w:rPr>
          <w:rFonts w:ascii="Arial" w:hAnsi="Arial" w:cs="Arial"/>
          <w:bCs/>
          <w:sz w:val="22"/>
        </w:rPr>
        <w:t xml:space="preserve">, es esta quien debe supervisar los contratos mediante sus funcionarios o servidores públicos y únicamente puede contratar personal en caso de necesitarlo como apoyo a su gestión en la supervisión. </w:t>
      </w:r>
      <w:r>
        <w:rPr>
          <w:rFonts w:ascii="Arial" w:hAnsi="Arial" w:cs="Arial"/>
          <w:bCs/>
          <w:sz w:val="22"/>
        </w:rPr>
        <w:t>Así las cosas</w:t>
      </w:r>
      <w:r w:rsidRPr="009C4505">
        <w:rPr>
          <w:rFonts w:ascii="Arial" w:hAnsi="Arial" w:cs="Arial"/>
          <w:bCs/>
          <w:sz w:val="22"/>
        </w:rPr>
        <w:t xml:space="preserve">, el contratista podría fungir de apoyo a la supervisión del contrato, en la medida en que el contrato de prestación de servicios profesionales y de apoyo a la gestión tenga como objeto obligaciones dirigidas a apoyar dicha actividad de supervisión de contratos. </w:t>
      </w:r>
      <w:r>
        <w:rPr>
          <w:rFonts w:ascii="Arial" w:hAnsi="Arial" w:cs="Arial"/>
          <w:bCs/>
          <w:sz w:val="22"/>
        </w:rPr>
        <w:t>En este orden de ideas,</w:t>
      </w:r>
      <w:r w:rsidRPr="009C4505">
        <w:rPr>
          <w:rFonts w:ascii="Arial" w:hAnsi="Arial" w:cs="Arial"/>
          <w:bCs/>
          <w:sz w:val="22"/>
        </w:rPr>
        <w:t xml:space="preserve"> los contratistas no pueden asumir de forma íntegra, directa y excluyente la actividad de supervisión de los contratos estatales.  </w:t>
      </w:r>
      <w:bookmarkEnd w:id="5"/>
    </w:p>
    <w:p w14:paraId="17A488D8" w14:textId="2376E2E8" w:rsidR="00B65BBE" w:rsidRPr="009C4505" w:rsidRDefault="00F17FA6" w:rsidP="00B65BBE">
      <w:pPr>
        <w:pStyle w:val="Sinespaciado"/>
        <w:spacing w:line="276" w:lineRule="auto"/>
        <w:ind w:firstLine="567"/>
        <w:jc w:val="both"/>
        <w:rPr>
          <w:rFonts w:ascii="Arial" w:hAnsi="Arial" w:cs="Arial"/>
          <w:bCs/>
          <w:sz w:val="22"/>
        </w:rPr>
      </w:pPr>
      <w:r>
        <w:rPr>
          <w:rFonts w:ascii="Arial" w:hAnsi="Arial" w:cs="Arial"/>
          <w:bCs/>
          <w:sz w:val="22"/>
        </w:rPr>
        <w:lastRenderedPageBreak/>
        <w:t>En consecuencia</w:t>
      </w:r>
      <w:r w:rsidR="00B65BBE" w:rsidRPr="009C4505">
        <w:rPr>
          <w:rFonts w:ascii="Arial" w:hAnsi="Arial" w:cs="Arial"/>
          <w:bCs/>
          <w:sz w:val="22"/>
        </w:rPr>
        <w:t xml:space="preserve">, las entidades estatales están facultadas para celebrar contratos de prestación de servicios profesionales y de apoyo a la gestión que tengan por objeto apoyar labores de supervisión de los contratos que suscriban, pero no para ejercer directamente la supervisión, pues esta labor corresponde al servidor público que la </w:t>
      </w:r>
      <w:r w:rsidR="00B65BBE">
        <w:rPr>
          <w:rFonts w:ascii="Arial" w:hAnsi="Arial" w:cs="Arial"/>
          <w:bCs/>
          <w:sz w:val="22"/>
        </w:rPr>
        <w:t>e</w:t>
      </w:r>
      <w:r w:rsidR="00B65BBE" w:rsidRPr="009C4505">
        <w:rPr>
          <w:rFonts w:ascii="Arial" w:hAnsi="Arial" w:cs="Arial"/>
          <w:bCs/>
          <w:sz w:val="22"/>
        </w:rPr>
        <w:t>ntidad</w:t>
      </w:r>
      <w:r w:rsidR="00B65BBE">
        <w:rPr>
          <w:rFonts w:ascii="Arial" w:hAnsi="Arial" w:cs="Arial"/>
          <w:bCs/>
          <w:sz w:val="22"/>
        </w:rPr>
        <w:t xml:space="preserve"> contratante</w:t>
      </w:r>
      <w:r w:rsidR="00B65BBE" w:rsidRPr="009C4505">
        <w:rPr>
          <w:rFonts w:ascii="Arial" w:hAnsi="Arial" w:cs="Arial"/>
          <w:bCs/>
          <w:sz w:val="22"/>
        </w:rPr>
        <w:t xml:space="preserve"> designe para ello.</w:t>
      </w:r>
    </w:p>
    <w:p w14:paraId="1E228B8E" w14:textId="77777777" w:rsidR="00B65BBE" w:rsidRDefault="00B65BBE" w:rsidP="00B65BBE">
      <w:pPr>
        <w:pStyle w:val="Sinespaciado"/>
        <w:spacing w:line="276" w:lineRule="auto"/>
        <w:ind w:firstLine="567"/>
        <w:jc w:val="both"/>
        <w:rPr>
          <w:rFonts w:ascii="Arial" w:hAnsi="Arial" w:cs="Arial"/>
          <w:bCs/>
          <w:color w:val="161616" w:themeColor="background1" w:themeShade="1A"/>
          <w:sz w:val="22"/>
        </w:rPr>
      </w:pPr>
    </w:p>
    <w:p w14:paraId="2E508C32" w14:textId="77777777" w:rsidR="00B65BBE" w:rsidRPr="00BC42A3" w:rsidRDefault="00B65BBE" w:rsidP="00B65BBE">
      <w:pPr>
        <w:tabs>
          <w:tab w:val="left" w:pos="426"/>
        </w:tabs>
        <w:spacing w:line="276" w:lineRule="auto"/>
        <w:jc w:val="both"/>
        <w:rPr>
          <w:rFonts w:ascii="Arial" w:hAnsi="Arial" w:cs="Arial"/>
          <w:b/>
          <w:sz w:val="22"/>
        </w:rPr>
      </w:pPr>
      <w:r w:rsidRPr="00BC42A3">
        <w:rPr>
          <w:rFonts w:ascii="Arial" w:hAnsi="Arial" w:cs="Arial"/>
          <w:b/>
          <w:sz w:val="22"/>
        </w:rPr>
        <w:t>2.2.</w:t>
      </w:r>
      <w:r w:rsidRPr="00BC42A3">
        <w:rPr>
          <w:rFonts w:ascii="Arial" w:hAnsi="Arial" w:cs="Arial"/>
          <w:b/>
          <w:sz w:val="22"/>
        </w:rPr>
        <w:tab/>
      </w:r>
      <w:r>
        <w:rPr>
          <w:rFonts w:ascii="Arial" w:hAnsi="Arial" w:cs="Arial"/>
          <w:b/>
          <w:sz w:val="22"/>
        </w:rPr>
        <w:t>L</w:t>
      </w:r>
      <w:r w:rsidRPr="00BC5D4E">
        <w:rPr>
          <w:rFonts w:ascii="Arial" w:hAnsi="Arial" w:cs="Arial"/>
          <w:b/>
          <w:sz w:val="22"/>
        </w:rPr>
        <w:t>a supervisión en los contratos estatales</w:t>
      </w:r>
    </w:p>
    <w:p w14:paraId="631F2A30" w14:textId="77777777" w:rsidR="00B65BBE" w:rsidRPr="0020782C" w:rsidRDefault="00B65BBE" w:rsidP="00B65BBE">
      <w:pPr>
        <w:tabs>
          <w:tab w:val="left" w:pos="426"/>
        </w:tabs>
        <w:spacing w:line="276" w:lineRule="auto"/>
        <w:jc w:val="both"/>
      </w:pPr>
    </w:p>
    <w:p w14:paraId="3DA24CFA" w14:textId="1F4D39B6" w:rsidR="00B65BBE" w:rsidRPr="0020782C" w:rsidRDefault="00B65BBE" w:rsidP="00B65BBE">
      <w:pPr>
        <w:pStyle w:val="Sinespaciado"/>
        <w:spacing w:line="276" w:lineRule="auto"/>
        <w:jc w:val="both"/>
        <w:rPr>
          <w:rFonts w:ascii="Arial" w:hAnsi="Arial" w:cs="Arial"/>
          <w:sz w:val="22"/>
        </w:rPr>
      </w:pPr>
      <w:r w:rsidRPr="0020782C">
        <w:rPr>
          <w:rFonts w:ascii="Arial" w:hAnsi="Arial" w:cs="Arial"/>
          <w:sz w:val="22"/>
        </w:rPr>
        <w:t xml:space="preserve">La Ley 1474 de 2011 enmarcó el seguimiento, control y vigilancia de la ejecución del contrato estatal dentro del principio de moralidad administrativa. El artículo 83 </w:t>
      </w:r>
      <w:r w:rsidRPr="0020782C">
        <w:rPr>
          <w:rFonts w:ascii="Arial" w:hAnsi="Arial" w:cs="Arial"/>
          <w:i/>
          <w:iCs/>
          <w:sz w:val="22"/>
        </w:rPr>
        <w:t xml:space="preserve">ibidem </w:t>
      </w:r>
      <w:r w:rsidRPr="0020782C">
        <w:rPr>
          <w:rFonts w:ascii="Arial" w:hAnsi="Arial" w:cs="Arial"/>
          <w:sz w:val="22"/>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En relación con</w:t>
      </w:r>
      <w:r>
        <w:rPr>
          <w:rFonts w:ascii="Arial" w:hAnsi="Arial" w:cs="Arial"/>
          <w:sz w:val="22"/>
        </w:rPr>
        <w:t xml:space="preserve"> el alcance de estos conceptos</w:t>
      </w:r>
      <w:r w:rsidRPr="0020782C">
        <w:rPr>
          <w:rFonts w:ascii="Arial" w:hAnsi="Arial" w:cs="Arial"/>
          <w:sz w:val="22"/>
        </w:rPr>
        <w:t xml:space="preserve">, la </w:t>
      </w:r>
      <w:r>
        <w:rPr>
          <w:rFonts w:ascii="Arial" w:hAnsi="Arial" w:cs="Arial"/>
          <w:sz w:val="22"/>
        </w:rPr>
        <w:t>doctrina considera que</w:t>
      </w:r>
      <w:r w:rsidRPr="0020782C">
        <w:rPr>
          <w:rFonts w:ascii="Arial" w:hAnsi="Arial" w:cs="Arial"/>
          <w:sz w:val="22"/>
        </w:rPr>
        <w:t>:</w:t>
      </w:r>
    </w:p>
    <w:p w14:paraId="166FEEFC" w14:textId="77777777" w:rsidR="00B65BBE" w:rsidRPr="0020782C" w:rsidRDefault="00B65BBE" w:rsidP="00B65BBE">
      <w:pPr>
        <w:pStyle w:val="Sinespaciado"/>
        <w:ind w:left="709" w:right="709"/>
        <w:jc w:val="both"/>
        <w:rPr>
          <w:rFonts w:ascii="Arial" w:hAnsi="Arial" w:cs="Arial"/>
          <w:sz w:val="21"/>
          <w:szCs w:val="21"/>
        </w:rPr>
      </w:pPr>
    </w:p>
    <w:p w14:paraId="5F2FFD0E" w14:textId="77777777" w:rsidR="00B65BBE" w:rsidRDefault="00B65BBE" w:rsidP="00B65BBE">
      <w:pPr>
        <w:pStyle w:val="Sinespaciado"/>
        <w:ind w:left="709" w:right="709"/>
        <w:jc w:val="both"/>
        <w:rPr>
          <w:rFonts w:ascii="Arial" w:hAnsi="Arial" w:cs="Arial"/>
          <w:sz w:val="21"/>
          <w:szCs w:val="21"/>
        </w:rPr>
      </w:pPr>
      <w:r w:rsidRPr="0020782C">
        <w:rPr>
          <w:rFonts w:ascii="Arial" w:hAnsi="Arial" w:cs="Arial"/>
          <w:sz w:val="21"/>
          <w:szCs w:val="21"/>
        </w:rPr>
        <w:t xml:space="preserve">La supervisión </w:t>
      </w:r>
      <w:r>
        <w:rPr>
          <w:rFonts w:ascii="Arial" w:hAnsi="Arial" w:cs="Arial"/>
          <w:sz w:val="21"/>
          <w:szCs w:val="21"/>
        </w:rPr>
        <w:t>[</w:t>
      </w:r>
      <w:r w:rsidRPr="0020782C">
        <w:rPr>
          <w:rFonts w:ascii="Arial" w:hAnsi="Arial" w:cs="Arial"/>
          <w:sz w:val="21"/>
          <w:szCs w:val="21"/>
        </w:rPr>
        <w:t>…</w:t>
      </w:r>
      <w:r>
        <w:rPr>
          <w:rFonts w:ascii="Arial" w:hAnsi="Arial" w:cs="Arial"/>
          <w:sz w:val="21"/>
          <w:szCs w:val="21"/>
        </w:rPr>
        <w:t>]</w:t>
      </w:r>
      <w:r w:rsidRPr="0020782C">
        <w:rPr>
          <w:rFonts w:ascii="Arial" w:hAnsi="Arial" w:cs="Arial"/>
          <w:sz w:val="21"/>
          <w:szCs w:val="21"/>
        </w:rPr>
        <w:t xml:space="preserve">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20782C">
        <w:rPr>
          <w:rFonts w:ascii="Arial" w:hAnsi="Arial" w:cs="Arial"/>
          <w:sz w:val="21"/>
          <w:szCs w:val="21"/>
        </w:rPr>
        <w:t>que</w:t>
      </w:r>
      <w:proofErr w:type="gramEnd"/>
      <w:r w:rsidRPr="0020782C">
        <w:rPr>
          <w:rFonts w:ascii="Arial" w:hAnsi="Arial" w:cs="Arial"/>
          <w:sz w:val="21"/>
          <w:szCs w:val="21"/>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20782C">
        <w:rPr>
          <w:rStyle w:val="Refdenotaalpie"/>
          <w:rFonts w:ascii="Arial" w:hAnsi="Arial" w:cs="Arial"/>
          <w:sz w:val="21"/>
          <w:szCs w:val="21"/>
        </w:rPr>
        <w:footnoteReference w:id="8"/>
      </w:r>
      <w:r w:rsidRPr="0020782C">
        <w:rPr>
          <w:rFonts w:ascii="Arial" w:hAnsi="Arial" w:cs="Arial"/>
          <w:sz w:val="21"/>
          <w:szCs w:val="21"/>
        </w:rPr>
        <w:t xml:space="preserve">. </w:t>
      </w:r>
    </w:p>
    <w:p w14:paraId="4F0BF52D" w14:textId="77777777" w:rsidR="00B65BBE" w:rsidRPr="0020782C" w:rsidRDefault="00B65BBE" w:rsidP="00B65BBE">
      <w:pPr>
        <w:pStyle w:val="Sinespaciado"/>
        <w:spacing w:line="276" w:lineRule="auto"/>
        <w:ind w:left="709" w:right="709"/>
        <w:jc w:val="both"/>
        <w:rPr>
          <w:rFonts w:ascii="Arial" w:hAnsi="Arial" w:cs="Arial"/>
          <w:sz w:val="22"/>
        </w:rPr>
      </w:pPr>
    </w:p>
    <w:p w14:paraId="18C99930" w14:textId="77777777" w:rsidR="00B65BBE" w:rsidRPr="0020782C" w:rsidRDefault="00B65BBE" w:rsidP="00B65BBE">
      <w:pPr>
        <w:pStyle w:val="Sinespaciado"/>
        <w:spacing w:line="276" w:lineRule="auto"/>
        <w:ind w:firstLine="709"/>
        <w:jc w:val="both"/>
        <w:rPr>
          <w:rFonts w:ascii="Arial" w:hAnsi="Arial" w:cs="Arial"/>
          <w:sz w:val="22"/>
        </w:rPr>
      </w:pPr>
      <w:r w:rsidRPr="0020782C">
        <w:rPr>
          <w:rFonts w:ascii="Arial" w:hAnsi="Arial" w:cs="Arial"/>
          <w:sz w:val="22"/>
        </w:rPr>
        <w:t>Por otro lado, quien ejerza la vigilancia de la ejecución del contrato, ya sea mediante la supervisión o mediante la interventoría, puede hacer uso de las facultades previstas en el artículo 84 de la Ley 1474 de 2011 para efectuar el seguimiento al cumplimiento obligacional del contrato y estará sometido a los deberes y responsabilidades que implica el ejercicio de dicha actividad.</w:t>
      </w:r>
    </w:p>
    <w:p w14:paraId="0906981D" w14:textId="6362BA03" w:rsidR="00B65BBE" w:rsidRPr="0020782C" w:rsidRDefault="00B65BBE" w:rsidP="00B65BBE">
      <w:pPr>
        <w:pStyle w:val="Sinespaciado"/>
        <w:spacing w:before="120" w:line="276" w:lineRule="auto"/>
        <w:ind w:firstLine="709"/>
        <w:jc w:val="both"/>
        <w:rPr>
          <w:rFonts w:ascii="Arial" w:hAnsi="Arial" w:cs="Arial"/>
          <w:sz w:val="22"/>
        </w:rPr>
      </w:pPr>
      <w:r>
        <w:rPr>
          <w:rFonts w:ascii="Arial" w:hAnsi="Arial" w:cs="Arial"/>
          <w:bCs/>
          <w:sz w:val="22"/>
        </w:rPr>
        <w:lastRenderedPageBreak/>
        <w:t>Debe aclararse que</w:t>
      </w:r>
      <w:r w:rsidRPr="0020782C">
        <w:rPr>
          <w:rFonts w:ascii="Arial" w:hAnsi="Arial" w:cs="Arial"/>
          <w:bCs/>
          <w:sz w:val="22"/>
        </w:rPr>
        <w:t xml:space="preserve"> e</w:t>
      </w:r>
      <w:r w:rsidRPr="0020782C">
        <w:rPr>
          <w:rFonts w:ascii="Arial" w:hAnsi="Arial" w:cs="Arial"/>
          <w:sz w:val="22"/>
        </w:rPr>
        <w:t xml:space="preserve">n cuanto a la designación del supervisor </w:t>
      </w:r>
      <w:r>
        <w:rPr>
          <w:rFonts w:ascii="Arial" w:hAnsi="Arial" w:cs="Arial"/>
          <w:sz w:val="22"/>
        </w:rPr>
        <w:t>esta Agencia</w:t>
      </w:r>
      <w:r w:rsidRPr="0020782C">
        <w:rPr>
          <w:rFonts w:ascii="Arial" w:hAnsi="Arial" w:cs="Arial"/>
          <w:sz w:val="22"/>
        </w:rPr>
        <w:t>, en la «Guía</w:t>
      </w:r>
      <w:bookmarkStart w:id="6" w:name="_Hlk113285926"/>
      <w:r w:rsidRPr="0020782C">
        <w:rPr>
          <w:rFonts w:ascii="Arial" w:hAnsi="Arial" w:cs="Arial"/>
          <w:sz w:val="22"/>
        </w:rPr>
        <w:t xml:space="preserve"> para el ejercicio de las funciones de supervisión e interventoría de los contratos del </w:t>
      </w:r>
      <w:r w:rsidR="002618EB">
        <w:rPr>
          <w:rFonts w:ascii="Arial" w:hAnsi="Arial" w:cs="Arial"/>
          <w:sz w:val="22"/>
        </w:rPr>
        <w:t xml:space="preserve">suscritos por las Entidades </w:t>
      </w:r>
      <w:bookmarkEnd w:id="6"/>
      <w:r w:rsidR="002618EB">
        <w:rPr>
          <w:rFonts w:ascii="Arial" w:hAnsi="Arial" w:cs="Arial"/>
          <w:sz w:val="22"/>
        </w:rPr>
        <w:t>Estatales</w:t>
      </w:r>
      <w:r w:rsidRPr="0020782C">
        <w:rPr>
          <w:rFonts w:ascii="Arial" w:hAnsi="Arial" w:cs="Arial"/>
          <w:sz w:val="22"/>
        </w:rPr>
        <w:t>»</w:t>
      </w:r>
      <w:r w:rsidRPr="0020782C">
        <w:rPr>
          <w:rStyle w:val="Refdenotaalpie"/>
          <w:rFonts w:ascii="Arial" w:hAnsi="Arial" w:cs="Arial"/>
          <w:sz w:val="22"/>
        </w:rPr>
        <w:footnoteReference w:id="9"/>
      </w:r>
      <w:r>
        <w:rPr>
          <w:rFonts w:ascii="Arial" w:hAnsi="Arial" w:cs="Arial"/>
          <w:sz w:val="22"/>
        </w:rPr>
        <w:t>,</w:t>
      </w:r>
      <w:r w:rsidRPr="0020782C">
        <w:rPr>
          <w:rFonts w:ascii="Arial" w:hAnsi="Arial" w:cs="Arial"/>
          <w:sz w:val="22"/>
        </w:rPr>
        <w:t xml:space="preserve"> recomienda que </w:t>
      </w:r>
      <w:r>
        <w:rPr>
          <w:rFonts w:ascii="Arial" w:hAnsi="Arial" w:cs="Arial"/>
          <w:sz w:val="22"/>
        </w:rPr>
        <w:t xml:space="preserve">dicha función </w:t>
      </w:r>
      <w:r w:rsidRPr="0020782C">
        <w:rPr>
          <w:rFonts w:ascii="Arial" w:hAnsi="Arial" w:cs="Arial"/>
          <w:sz w:val="22"/>
        </w:rPr>
        <w:t>se</w:t>
      </w:r>
      <w:r>
        <w:rPr>
          <w:rFonts w:ascii="Arial" w:hAnsi="Arial" w:cs="Arial"/>
          <w:sz w:val="22"/>
        </w:rPr>
        <w:t xml:space="preserve">a radicada </w:t>
      </w:r>
      <w:r w:rsidRPr="0020782C">
        <w:rPr>
          <w:rFonts w:ascii="Arial" w:hAnsi="Arial" w:cs="Arial"/>
          <w:sz w:val="22"/>
        </w:rPr>
        <w:t xml:space="preserve">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w:t>
      </w:r>
      <w:r>
        <w:rPr>
          <w:rFonts w:ascii="Arial" w:hAnsi="Arial" w:cs="Arial"/>
          <w:sz w:val="22"/>
        </w:rPr>
        <w:t>Igualmente, se recomienda que l</w:t>
      </w:r>
      <w:r w:rsidRPr="0020782C">
        <w:rPr>
          <w:rFonts w:ascii="Arial" w:hAnsi="Arial" w:cs="Arial"/>
          <w:sz w:val="22"/>
        </w:rPr>
        <w:t>a designación se efect</w:t>
      </w:r>
      <w:r>
        <w:rPr>
          <w:rFonts w:ascii="Arial" w:hAnsi="Arial" w:cs="Arial"/>
          <w:sz w:val="22"/>
        </w:rPr>
        <w:t>úe</w:t>
      </w:r>
      <w:r w:rsidRPr="0020782C">
        <w:rPr>
          <w:rFonts w:ascii="Arial" w:hAnsi="Arial" w:cs="Arial"/>
          <w:sz w:val="22"/>
        </w:rPr>
        <w:t xml:space="preserve"> en la fecha en que se adjudique el contrato o cuando se suscriba, tratándose de contratación directa.</w:t>
      </w:r>
      <w:r>
        <w:rPr>
          <w:rFonts w:ascii="Arial" w:hAnsi="Arial" w:cs="Arial"/>
          <w:sz w:val="22"/>
        </w:rPr>
        <w:t xml:space="preserve"> Además,</w:t>
      </w:r>
      <w:r w:rsidRPr="0020782C">
        <w:rPr>
          <w:rFonts w:ascii="Arial" w:hAnsi="Arial" w:cs="Arial"/>
          <w:sz w:val="22"/>
        </w:rPr>
        <w:t xml:space="preserve"> </w:t>
      </w:r>
      <w:r>
        <w:rPr>
          <w:rFonts w:ascii="Arial" w:hAnsi="Arial" w:cs="Arial"/>
          <w:sz w:val="22"/>
        </w:rPr>
        <w:t>e</w:t>
      </w:r>
      <w:r w:rsidRPr="0020782C">
        <w:rPr>
          <w:rFonts w:ascii="Arial" w:hAnsi="Arial" w:cs="Arial"/>
          <w:sz w:val="22"/>
        </w:rPr>
        <w:t xml:space="preserve">l supervisor designado debe ser comunicado de la labor encomendada y debe conocer las obligaciones del contrato para efectos de que pueda desempeñar su labor de manera idónea. </w:t>
      </w:r>
    </w:p>
    <w:p w14:paraId="5D06438F" w14:textId="77777777" w:rsidR="00B65BBE" w:rsidRPr="0020782C" w:rsidRDefault="00B65BBE" w:rsidP="00B65BBE">
      <w:pPr>
        <w:pStyle w:val="Sinespaciado"/>
        <w:spacing w:before="120" w:line="276" w:lineRule="auto"/>
        <w:ind w:firstLine="709"/>
        <w:jc w:val="both"/>
        <w:rPr>
          <w:rFonts w:ascii="Arial" w:hAnsi="Arial" w:cs="Arial"/>
          <w:sz w:val="22"/>
        </w:rPr>
      </w:pPr>
      <w:r w:rsidRPr="0020782C">
        <w:rPr>
          <w:rFonts w:ascii="Arial" w:hAnsi="Arial" w:cs="Arial"/>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20782C">
        <w:rPr>
          <w:rStyle w:val="Refdenotaalpie"/>
          <w:rFonts w:ascii="Arial" w:hAnsi="Arial" w:cs="Arial"/>
          <w:sz w:val="22"/>
        </w:rPr>
        <w:footnoteReference w:id="10"/>
      </w:r>
      <w:r w:rsidRPr="0020782C">
        <w:rPr>
          <w:rFonts w:ascii="Arial" w:hAnsi="Arial" w:cs="Arial"/>
          <w:sz w:val="22"/>
        </w:rPr>
        <w:t>.</w:t>
      </w:r>
    </w:p>
    <w:p w14:paraId="545AB989" w14:textId="77777777" w:rsidR="00B65BBE" w:rsidRPr="00990075" w:rsidRDefault="00B65BBE" w:rsidP="00B65BBE">
      <w:pPr>
        <w:pStyle w:val="Sinespaciado"/>
        <w:spacing w:before="120" w:line="276" w:lineRule="auto"/>
        <w:ind w:firstLine="709"/>
        <w:jc w:val="both"/>
        <w:rPr>
          <w:rFonts w:ascii="Arial" w:hAnsi="Arial" w:cs="Arial"/>
          <w:sz w:val="22"/>
        </w:rPr>
      </w:pPr>
      <w:r w:rsidRPr="00990075">
        <w:rPr>
          <w:rFonts w:ascii="Arial" w:hAnsi="Arial" w:cs="Arial"/>
          <w:sz w:val="22"/>
        </w:rPr>
        <w:t xml:space="preserve">Si bien es cierto que para desarrollar la supervisión del contrato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Lo anterior con miras a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378CAEE3" w14:textId="77777777" w:rsidR="00B65BBE" w:rsidRPr="0020782C" w:rsidRDefault="00B65BBE" w:rsidP="00B65BBE">
      <w:pPr>
        <w:pStyle w:val="Sinespaciado"/>
        <w:spacing w:before="120" w:line="276" w:lineRule="auto"/>
        <w:ind w:firstLine="709"/>
        <w:jc w:val="both"/>
        <w:rPr>
          <w:rFonts w:ascii="Arial" w:hAnsi="Arial" w:cs="Arial"/>
          <w:sz w:val="22"/>
        </w:rPr>
      </w:pPr>
      <w:r w:rsidRPr="0020782C">
        <w:rPr>
          <w:rFonts w:ascii="Arial" w:hAnsi="Arial" w:cs="Arial"/>
          <w:sz w:val="22"/>
        </w:rPr>
        <w:t xml:space="preserve">En el concepto del 30 de agosto de 2019, que corresponde al radicado No. 2201913000006394, </w:t>
      </w:r>
      <w:r>
        <w:rPr>
          <w:rFonts w:ascii="Arial" w:hAnsi="Arial" w:cs="Arial"/>
          <w:sz w:val="22"/>
        </w:rPr>
        <w:t>esta Agencia</w:t>
      </w:r>
      <w:r w:rsidRPr="0020782C">
        <w:rPr>
          <w:rFonts w:ascii="Arial" w:hAnsi="Arial" w:cs="Arial"/>
          <w:sz w:val="22"/>
        </w:rPr>
        <w:t xml:space="preserve"> consideró que del texto del artículo 83 de la Ley 1474 «es posible inferir que la ley determina que la supervisión debe ser ejercida por la misma entidad estatal en cumplimiento de su deber de vigilancia de la ejecución idónea y oportuna </w:t>
      </w:r>
      <w:r w:rsidRPr="0020782C">
        <w:rPr>
          <w:rFonts w:ascii="Arial" w:hAnsi="Arial" w:cs="Arial"/>
          <w:sz w:val="22"/>
        </w:rPr>
        <w:lastRenderedPageBreak/>
        <w:t xml:space="preserve">del objeto contratado y puede llevarse a cabo con el apoyo de contratistas, pero no prevé que dicha actividad sea realizada directamente por el contratista, y que sea este último el único responsable del seguimiento contractual». </w:t>
      </w:r>
    </w:p>
    <w:p w14:paraId="2B1E0672" w14:textId="77777777" w:rsidR="00B65BBE" w:rsidRPr="0020782C" w:rsidRDefault="00B65BBE" w:rsidP="00B65BBE">
      <w:pPr>
        <w:pStyle w:val="Sinespaciado"/>
        <w:spacing w:before="120" w:line="276" w:lineRule="auto"/>
        <w:ind w:firstLine="709"/>
        <w:jc w:val="both"/>
        <w:rPr>
          <w:rFonts w:ascii="Arial" w:hAnsi="Arial" w:cs="Arial"/>
          <w:sz w:val="22"/>
        </w:rPr>
      </w:pPr>
      <w:r w:rsidRPr="0020782C">
        <w:rPr>
          <w:rFonts w:ascii="Arial" w:hAnsi="Arial" w:cs="Arial"/>
          <w:sz w:val="22"/>
        </w:rPr>
        <w:t>Es cierto que el proyecto de ley que se convirtió en la Ley 1474 de 2011, inicialmente, establecía que «la supervisión de los contratos ser[</w:t>
      </w:r>
      <w:proofErr w:type="spellStart"/>
      <w:r w:rsidRPr="0020782C">
        <w:rPr>
          <w:rFonts w:ascii="Arial" w:hAnsi="Arial" w:cs="Arial"/>
          <w:sz w:val="22"/>
        </w:rPr>
        <w:t>ía</w:t>
      </w:r>
      <w:proofErr w:type="spellEnd"/>
      <w:r w:rsidRPr="0020782C">
        <w:rPr>
          <w:rFonts w:ascii="Arial" w:hAnsi="Arial" w:cs="Arial"/>
          <w:sz w:val="22"/>
        </w:rPr>
        <w:t>] ejercida por un funcionario de la misma entidad estatal, o por un contratista de prestación de servicios profesionales […]»</w:t>
      </w:r>
      <w:r w:rsidRPr="0020782C">
        <w:rPr>
          <w:rStyle w:val="Refdenotaalpie"/>
          <w:rFonts w:ascii="Arial" w:hAnsi="Arial" w:cs="Arial"/>
          <w:sz w:val="22"/>
        </w:rPr>
        <w:footnoteReference w:id="11"/>
      </w:r>
      <w:r w:rsidRPr="0020782C">
        <w:rPr>
          <w:rFonts w:ascii="Arial" w:hAnsi="Arial" w:cs="Arial"/>
          <w:sz w:val="22"/>
        </w:rPr>
        <w:t>. Sin embargo, también lo es que esa postura fue modificada para el segundo debate legislativo</w:t>
      </w:r>
      <w:r w:rsidRPr="0020782C">
        <w:rPr>
          <w:rStyle w:val="Refdenotaalpie"/>
          <w:rFonts w:ascii="Arial" w:hAnsi="Arial" w:cs="Arial"/>
          <w:sz w:val="22"/>
        </w:rPr>
        <w:footnoteReference w:id="12"/>
      </w:r>
      <w:r w:rsidRPr="0020782C">
        <w:rPr>
          <w:rFonts w:ascii="Arial" w:hAnsi="Arial" w:cs="Arial"/>
          <w:sz w:val="22"/>
        </w:rPr>
        <w:t xml:space="preserve"> y en la ponencia registrada para tercer debate</w:t>
      </w:r>
      <w:r w:rsidRPr="0020782C">
        <w:rPr>
          <w:rStyle w:val="Refdenotaalpie"/>
          <w:rFonts w:ascii="Arial" w:hAnsi="Arial" w:cs="Arial"/>
          <w:sz w:val="22"/>
        </w:rPr>
        <w:footnoteReference w:id="13"/>
      </w:r>
      <w:r w:rsidRPr="0020782C">
        <w:rPr>
          <w:rFonts w:ascii="Arial" w:hAnsi="Arial" w:cs="Arial"/>
          <w:sz w:val="22"/>
        </w:rPr>
        <w:t>, en donde se estableció que «la supervisión de los contratos ser[</w:t>
      </w:r>
      <w:proofErr w:type="spellStart"/>
      <w:r w:rsidRPr="0020782C">
        <w:rPr>
          <w:rFonts w:ascii="Arial" w:hAnsi="Arial" w:cs="Arial"/>
          <w:sz w:val="22"/>
        </w:rPr>
        <w:t>ía</w:t>
      </w:r>
      <w:proofErr w:type="spellEnd"/>
      <w:r w:rsidRPr="0020782C">
        <w:rPr>
          <w:rFonts w:ascii="Arial" w:hAnsi="Arial" w:cs="Arial"/>
          <w:sz w:val="22"/>
        </w:rPr>
        <w:t>] ejercida por un funcionario de la misma entidad estatal». Incluso, la versión que finalmente se aprobó en cuarto debate</w:t>
      </w:r>
      <w:r w:rsidRPr="0020782C">
        <w:rPr>
          <w:rStyle w:val="Refdenotaalpie"/>
          <w:rFonts w:ascii="Arial" w:hAnsi="Arial" w:cs="Arial"/>
          <w:sz w:val="22"/>
        </w:rPr>
        <w:footnoteReference w:id="14"/>
      </w:r>
      <w:r w:rsidRPr="0020782C">
        <w:rPr>
          <w:rFonts w:ascii="Arial" w:hAnsi="Arial" w:cs="Arial"/>
          <w:sz w:val="22"/>
        </w:rPr>
        <w:t>, que fue acogida por ambas cámaras legislativas</w:t>
      </w:r>
      <w:r w:rsidRPr="0020782C">
        <w:rPr>
          <w:rStyle w:val="Refdenotaalpie"/>
          <w:rFonts w:ascii="Arial" w:hAnsi="Arial" w:cs="Arial"/>
          <w:sz w:val="22"/>
        </w:rPr>
        <w:footnoteReference w:id="15"/>
      </w:r>
      <w:r w:rsidRPr="0020782C">
        <w:rPr>
          <w:rFonts w:ascii="Arial" w:hAnsi="Arial" w:cs="Arial"/>
          <w:sz w:val="22"/>
        </w:rPr>
        <w:t xml:space="preserve"> luego del correspondiente trámite de conciliación</w:t>
      </w:r>
      <w:r w:rsidRPr="0020782C">
        <w:rPr>
          <w:rStyle w:val="Refdenotaalpie"/>
          <w:rFonts w:ascii="Arial" w:hAnsi="Arial" w:cs="Arial"/>
          <w:sz w:val="22"/>
        </w:rPr>
        <w:footnoteReference w:id="16"/>
      </w:r>
      <w:r w:rsidRPr="0020782C">
        <w:rPr>
          <w:rFonts w:ascii="Arial" w:hAnsi="Arial" w:cs="Arial"/>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39E9FDEF" w14:textId="77777777" w:rsidR="00B65BBE" w:rsidRPr="0020782C" w:rsidRDefault="00B65BBE" w:rsidP="00B65BBE">
      <w:pPr>
        <w:pStyle w:val="Sinespaciado"/>
        <w:spacing w:before="120" w:line="276" w:lineRule="auto"/>
        <w:ind w:firstLine="709"/>
        <w:jc w:val="both"/>
        <w:rPr>
          <w:rFonts w:ascii="Arial" w:hAnsi="Arial" w:cs="Arial"/>
          <w:sz w:val="22"/>
        </w:rPr>
      </w:pPr>
      <w:r w:rsidRPr="0020782C">
        <w:rPr>
          <w:rFonts w:ascii="Arial" w:hAnsi="Arial" w:cs="Arial"/>
          <w:sz w:val="22"/>
        </w:rPr>
        <w:t>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20782C">
        <w:rPr>
          <w:rStyle w:val="Refdenotaalpie"/>
          <w:rFonts w:ascii="Arial" w:hAnsi="Arial" w:cs="Arial"/>
          <w:sz w:val="22"/>
        </w:rPr>
        <w:footnoteReference w:id="17"/>
      </w:r>
      <w:r w:rsidRPr="0020782C">
        <w:rPr>
          <w:rFonts w:ascii="Arial" w:hAnsi="Arial" w:cs="Arial"/>
          <w:sz w:val="22"/>
        </w:rPr>
        <w:t xml:space="preserve">, en providencia del 12 de diciembre de 2014, consideró que la calidad de supervisor la tienen los funcionarios de la entidad y no los contratistas. </w:t>
      </w:r>
      <w:r>
        <w:rPr>
          <w:rFonts w:ascii="Arial" w:hAnsi="Arial" w:cs="Arial"/>
          <w:sz w:val="22"/>
        </w:rPr>
        <w:t xml:space="preserve">Dicha Corporación lo estableció </w:t>
      </w:r>
      <w:r w:rsidRPr="0020782C">
        <w:rPr>
          <w:rFonts w:ascii="Arial" w:hAnsi="Arial" w:cs="Arial"/>
          <w:sz w:val="22"/>
        </w:rPr>
        <w:t>en los siguientes términos:</w:t>
      </w:r>
    </w:p>
    <w:p w14:paraId="60BF8E57" w14:textId="77777777" w:rsidR="00B65BBE" w:rsidRPr="0020782C" w:rsidRDefault="00B65BBE" w:rsidP="00B65BBE">
      <w:pPr>
        <w:pStyle w:val="Sinespaciado"/>
        <w:spacing w:line="276" w:lineRule="auto"/>
        <w:ind w:firstLine="709"/>
        <w:jc w:val="both"/>
        <w:rPr>
          <w:rFonts w:ascii="Arial" w:hAnsi="Arial" w:cs="Arial"/>
          <w:sz w:val="22"/>
        </w:rPr>
      </w:pPr>
    </w:p>
    <w:p w14:paraId="2FC49B9D" w14:textId="77777777" w:rsidR="00B65BBE" w:rsidRPr="0020782C" w:rsidRDefault="00B65BBE" w:rsidP="00B65BBE">
      <w:pPr>
        <w:pStyle w:val="Sinespaciado"/>
        <w:ind w:left="709" w:right="709"/>
        <w:jc w:val="both"/>
        <w:rPr>
          <w:rFonts w:ascii="Arial" w:hAnsi="Arial" w:cs="Arial"/>
          <w:sz w:val="21"/>
          <w:szCs w:val="21"/>
        </w:rPr>
      </w:pPr>
      <w:r w:rsidRPr="0020782C">
        <w:rPr>
          <w:rFonts w:ascii="Arial" w:hAnsi="Arial" w:cs="Arial"/>
          <w:sz w:val="21"/>
          <w:szCs w:val="21"/>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w:t>
      </w:r>
      <w:r w:rsidRPr="0020782C">
        <w:rPr>
          <w:rFonts w:ascii="Arial" w:hAnsi="Arial" w:cs="Arial"/>
          <w:sz w:val="21"/>
          <w:szCs w:val="21"/>
        </w:rPr>
        <w:lastRenderedPageBreak/>
        <w:t>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w:t>
      </w:r>
    </w:p>
    <w:p w14:paraId="2492A11E" w14:textId="77777777" w:rsidR="00B65BBE" w:rsidRPr="0020782C" w:rsidRDefault="00B65BBE" w:rsidP="00B65BBE">
      <w:pPr>
        <w:pStyle w:val="Sinespaciado"/>
        <w:spacing w:after="120"/>
        <w:ind w:left="709" w:right="709"/>
        <w:jc w:val="both"/>
        <w:rPr>
          <w:rFonts w:ascii="Arial" w:hAnsi="Arial" w:cs="Arial"/>
          <w:sz w:val="21"/>
          <w:szCs w:val="21"/>
        </w:rPr>
      </w:pPr>
      <w:r w:rsidRPr="0020782C">
        <w:rPr>
          <w:rFonts w:ascii="Arial" w:hAnsi="Arial" w:cs="Arial"/>
          <w:sz w:val="21"/>
          <w:szCs w:val="21"/>
        </w:rPr>
        <w:t>[…]</w:t>
      </w:r>
    </w:p>
    <w:p w14:paraId="283BAF87" w14:textId="77777777" w:rsidR="00B65BBE" w:rsidRPr="0020782C" w:rsidRDefault="00B65BBE" w:rsidP="00B65BBE">
      <w:pPr>
        <w:pStyle w:val="Sinespaciado"/>
        <w:spacing w:after="120"/>
        <w:ind w:left="709" w:right="709"/>
        <w:jc w:val="both"/>
        <w:rPr>
          <w:rFonts w:ascii="Arial" w:hAnsi="Arial" w:cs="Arial"/>
          <w:sz w:val="21"/>
          <w:szCs w:val="21"/>
        </w:rPr>
      </w:pPr>
      <w:r w:rsidRPr="0020782C">
        <w:rPr>
          <w:rFonts w:ascii="Arial" w:hAnsi="Arial" w:cs="Arial"/>
          <w:sz w:val="21"/>
          <w:szCs w:val="21"/>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14C9874B" w14:textId="77777777" w:rsidR="00B65BBE" w:rsidRPr="0020782C" w:rsidRDefault="00B65BBE" w:rsidP="00B65BBE">
      <w:pPr>
        <w:pStyle w:val="Sinespaciado"/>
        <w:ind w:left="709" w:right="709"/>
        <w:jc w:val="both"/>
        <w:rPr>
          <w:rFonts w:ascii="Arial" w:hAnsi="Arial" w:cs="Arial"/>
          <w:sz w:val="22"/>
        </w:rPr>
      </w:pPr>
      <w:r w:rsidRPr="0020782C">
        <w:rPr>
          <w:rFonts w:ascii="Arial" w:hAnsi="Arial" w:cs="Arial"/>
          <w:sz w:val="21"/>
          <w:szCs w:val="21"/>
        </w:rPr>
        <w:t xml:space="preserve">Actualmente, la cuestión se mantiene en similares condiciones, </w:t>
      </w:r>
      <w:bookmarkStart w:id="7" w:name="_Hlk111131789"/>
      <w:r w:rsidRPr="0020782C">
        <w:rPr>
          <w:rFonts w:ascii="Arial" w:hAnsi="Arial" w:cs="Arial"/>
          <w:sz w:val="21"/>
          <w:szCs w:val="21"/>
        </w:rPr>
        <w:t xml:space="preserve">sólo </w:t>
      </w:r>
      <w:r w:rsidRPr="0020782C">
        <w:rPr>
          <w:rFonts w:ascii="Arial" w:hAnsi="Arial" w:cs="Arial"/>
          <w:i/>
          <w:iCs/>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20782C">
        <w:rPr>
          <w:rFonts w:ascii="Arial" w:hAnsi="Arial" w:cs="Arial"/>
          <w:sz w:val="21"/>
          <w:szCs w:val="21"/>
        </w:rPr>
        <w:t>, so pena de variar de una consultoría a otra tipología diferente y, por consiguiente, de eludir procesos de selección. Por su parte, se hablará de interventor cuando se trate de una vigilancia externa o contratada.</w:t>
      </w:r>
      <w:bookmarkEnd w:id="7"/>
      <w:r w:rsidRPr="0020782C">
        <w:rPr>
          <w:rFonts w:ascii="Arial" w:hAnsi="Arial" w:cs="Arial"/>
          <w:sz w:val="21"/>
          <w:szCs w:val="21"/>
        </w:rPr>
        <w:br/>
        <w:t>[Cursivas propias]</w:t>
      </w:r>
    </w:p>
    <w:p w14:paraId="1257F309" w14:textId="77777777" w:rsidR="00B65BBE" w:rsidRPr="0020782C" w:rsidRDefault="00B65BBE" w:rsidP="00B65BBE">
      <w:pPr>
        <w:pStyle w:val="Sinespaciado"/>
        <w:spacing w:line="276" w:lineRule="auto"/>
        <w:ind w:firstLine="709"/>
        <w:jc w:val="both"/>
        <w:rPr>
          <w:rFonts w:ascii="Arial" w:hAnsi="Arial" w:cs="Arial"/>
          <w:sz w:val="22"/>
        </w:rPr>
      </w:pPr>
    </w:p>
    <w:p w14:paraId="531348E1" w14:textId="6F9B5A80" w:rsidR="00B65BBE" w:rsidRPr="0020782C" w:rsidRDefault="00B65BBE" w:rsidP="00B65BBE">
      <w:pPr>
        <w:pStyle w:val="Sinespaciado"/>
        <w:spacing w:line="276" w:lineRule="auto"/>
        <w:ind w:firstLine="709"/>
        <w:jc w:val="both"/>
        <w:rPr>
          <w:rFonts w:ascii="Arial" w:hAnsi="Arial" w:cs="Arial"/>
          <w:sz w:val="22"/>
        </w:rPr>
      </w:pPr>
      <w:r w:rsidRPr="0020782C">
        <w:rPr>
          <w:rFonts w:ascii="Arial" w:hAnsi="Arial" w:cs="Arial"/>
          <w:sz w:val="22"/>
        </w:rPr>
        <w:t>En ese mismo sentido, la «</w:t>
      </w:r>
      <w:bookmarkStart w:id="8" w:name="_Hlk111131841"/>
      <w:r w:rsidRPr="0020782C">
        <w:rPr>
          <w:rFonts w:ascii="Arial" w:hAnsi="Arial" w:cs="Arial"/>
          <w:sz w:val="22"/>
        </w:rPr>
        <w:t>Guía para el ejercicio de las funciones de supervisión e interventoría de los contratos suscritos por las Entidades Estatales</w:t>
      </w:r>
      <w:bookmarkEnd w:id="8"/>
      <w:r w:rsidRPr="0020782C">
        <w:rPr>
          <w:rFonts w:ascii="Arial" w:hAnsi="Arial" w:cs="Arial"/>
          <w:sz w:val="22"/>
        </w:rPr>
        <w:t xml:space="preserve">», elaborada por </w:t>
      </w:r>
      <w:r>
        <w:rPr>
          <w:rFonts w:ascii="Arial" w:hAnsi="Arial" w:cs="Arial"/>
          <w:sz w:val="22"/>
        </w:rPr>
        <w:t>esta Agencia</w:t>
      </w:r>
      <w:r w:rsidRPr="0020782C">
        <w:rPr>
          <w:rFonts w:ascii="Arial" w:hAnsi="Arial" w:cs="Arial"/>
          <w:sz w:val="22"/>
        </w:rPr>
        <w:t xml:space="preserve">, </w:t>
      </w:r>
      <w:bookmarkStart w:id="9" w:name="_Hlk111131979"/>
      <w:r w:rsidRPr="0020782C">
        <w:rPr>
          <w:rFonts w:ascii="Arial" w:hAnsi="Arial" w:cs="Arial"/>
          <w:sz w:val="22"/>
        </w:rPr>
        <w:t xml:space="preserve">establece que la supervisión del contrato corresponde al funcionario público de la entidad. </w:t>
      </w:r>
      <w:bookmarkEnd w:id="9"/>
      <w:r w:rsidRPr="0020782C">
        <w:rPr>
          <w:rFonts w:ascii="Arial" w:hAnsi="Arial" w:cs="Arial"/>
          <w:sz w:val="22"/>
        </w:rPr>
        <w:t xml:space="preserve">En efecto, el referido documento </w:t>
      </w:r>
      <w:r>
        <w:rPr>
          <w:rFonts w:ascii="Arial" w:hAnsi="Arial" w:cs="Arial"/>
          <w:sz w:val="22"/>
        </w:rPr>
        <w:t xml:space="preserve">indica que </w:t>
      </w:r>
      <w:r w:rsidRPr="0020782C">
        <w:rPr>
          <w:rFonts w:ascii="Arial" w:hAnsi="Arial" w:cs="Arial"/>
          <w:sz w:val="22"/>
        </w:rPr>
        <w:t>«la supervisión de los contratos estatales corresponde al funcionario público que el ordenador del gasto de la Entidad designe para ello atendiendo los principales aspectos del contrato a supervisar».</w:t>
      </w:r>
    </w:p>
    <w:p w14:paraId="2B2EA8EE" w14:textId="0860CBD9" w:rsidR="00B65BBE" w:rsidRPr="00C764E2" w:rsidRDefault="00B65BBE" w:rsidP="00C764E2">
      <w:pPr>
        <w:pStyle w:val="Sinespaciado"/>
        <w:spacing w:before="120" w:line="276" w:lineRule="auto"/>
        <w:ind w:firstLine="709"/>
        <w:jc w:val="both"/>
        <w:rPr>
          <w:rFonts w:ascii="Arial" w:eastAsia="Calibri" w:hAnsi="Arial" w:cs="Arial"/>
          <w:sz w:val="22"/>
        </w:rPr>
      </w:pPr>
      <w:r>
        <w:rPr>
          <w:rFonts w:ascii="Arial" w:hAnsi="Arial" w:cs="Arial"/>
          <w:sz w:val="22"/>
        </w:rPr>
        <w:t>Sin embargo</w:t>
      </w:r>
      <w:r w:rsidRPr="0020782C">
        <w:rPr>
          <w:rFonts w:ascii="Arial" w:hAnsi="Arial" w:cs="Arial"/>
          <w:sz w:val="22"/>
        </w:rPr>
        <w:t xml:space="preserve">, lo dicho antes no descarta que </w:t>
      </w:r>
      <w:bookmarkStart w:id="10" w:name="_Hlk111132072"/>
      <w:r w:rsidRPr="0020782C">
        <w:rPr>
          <w:rFonts w:ascii="Arial" w:hAnsi="Arial" w:cs="Arial"/>
          <w:sz w:val="22"/>
        </w:rPr>
        <w:t xml:space="preserve">las </w:t>
      </w:r>
      <w:r>
        <w:rPr>
          <w:rFonts w:ascii="Arial" w:hAnsi="Arial" w:cs="Arial"/>
          <w:sz w:val="22"/>
        </w:rPr>
        <w:t>e</w:t>
      </w:r>
      <w:r w:rsidRPr="0020782C">
        <w:rPr>
          <w:rFonts w:ascii="Arial" w:hAnsi="Arial" w:cs="Arial"/>
          <w:sz w:val="22"/>
        </w:rPr>
        <w:t xml:space="preserve">ntidades </w:t>
      </w:r>
      <w:r>
        <w:rPr>
          <w:rFonts w:ascii="Arial" w:hAnsi="Arial" w:cs="Arial"/>
          <w:sz w:val="22"/>
        </w:rPr>
        <w:t>e</w:t>
      </w:r>
      <w:r w:rsidRPr="0020782C">
        <w:rPr>
          <w:rFonts w:ascii="Arial" w:hAnsi="Arial" w:cs="Arial"/>
          <w:sz w:val="22"/>
        </w:rPr>
        <w:t xml:space="preserve">statales puedan celebrar contratos de prestación de servicios para apoyar las actividades de supervisión, consignando en ellos las actividades propias del apoyo a la supervisión. </w:t>
      </w:r>
      <w:bookmarkEnd w:id="10"/>
      <w:r w:rsidRPr="0020782C">
        <w:rPr>
          <w:rFonts w:ascii="Arial" w:eastAsia="Calibri" w:hAnsi="Arial" w:cs="Arial"/>
          <w:sz w:val="22"/>
        </w:rPr>
        <w:t xml:space="preserve">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w:t>
      </w:r>
      <w:r w:rsidRPr="0020782C">
        <w:rPr>
          <w:rFonts w:ascii="Arial" w:eastAsia="Calibri" w:hAnsi="Arial" w:cs="Arial"/>
          <w:sz w:val="22"/>
        </w:rPr>
        <w:lastRenderedPageBreak/>
        <w:t>y darle su concepto al supervisor. De todos modos, quien autorizará el pago ante la entidad estatal será el funcionario sobre quien recae la supervisión.</w:t>
      </w:r>
      <w:r w:rsidRPr="00B60E43">
        <w:rPr>
          <w:rFonts w:ascii="Arial" w:hAnsi="Arial" w:cs="Arial"/>
          <w:sz w:val="22"/>
          <w:lang w:val="es-ES_tradnl"/>
        </w:rPr>
        <w:t xml:space="preserve">    </w:t>
      </w:r>
    </w:p>
    <w:p w14:paraId="2D25646B" w14:textId="626F4492" w:rsidR="00B65BBE" w:rsidRDefault="00C764E2" w:rsidP="00C764E2">
      <w:pPr>
        <w:autoSpaceDE w:val="0"/>
        <w:autoSpaceDN w:val="0"/>
        <w:adjustRightInd w:val="0"/>
        <w:spacing w:before="120" w:line="276" w:lineRule="auto"/>
        <w:ind w:firstLine="709"/>
        <w:jc w:val="both"/>
        <w:rPr>
          <w:rFonts w:ascii="Arial" w:eastAsiaTheme="minorHAnsi" w:hAnsi="Arial" w:cs="Arial"/>
          <w:sz w:val="22"/>
          <w:szCs w:val="22"/>
          <w:lang w:val="es-MX" w:eastAsia="en-US"/>
        </w:rPr>
      </w:pPr>
      <w:r>
        <w:rPr>
          <w:rFonts w:ascii="Arial" w:eastAsia="Calibri" w:hAnsi="Arial" w:cs="Arial"/>
          <w:bCs/>
          <w:color w:val="000000" w:themeColor="text1"/>
          <w:sz w:val="22"/>
          <w:szCs w:val="22"/>
        </w:rPr>
        <w:t xml:space="preserve">En este punto, </w:t>
      </w:r>
      <w:r w:rsidR="00B65BBE">
        <w:rPr>
          <w:rFonts w:ascii="Arial" w:eastAsia="Calibri" w:hAnsi="Arial" w:cs="Arial"/>
          <w:bCs/>
          <w:color w:val="000000" w:themeColor="text1"/>
          <w:sz w:val="22"/>
          <w:szCs w:val="22"/>
        </w:rPr>
        <w:t xml:space="preserve">es oportuno aclarar que el contrato por prestación de servicios no le otorga al particular la condición de servidor público, la aclaración anterior es importante en la medida en que quienes ejerzan las funciones de </w:t>
      </w:r>
      <w:r>
        <w:rPr>
          <w:rFonts w:ascii="Arial" w:eastAsia="Calibri" w:hAnsi="Arial" w:cs="Arial"/>
          <w:bCs/>
          <w:color w:val="000000" w:themeColor="text1"/>
          <w:sz w:val="22"/>
          <w:szCs w:val="22"/>
        </w:rPr>
        <w:t>supervisión</w:t>
      </w:r>
      <w:r w:rsidR="00B65BBE">
        <w:rPr>
          <w:rFonts w:ascii="Arial" w:eastAsia="Calibri" w:hAnsi="Arial" w:cs="Arial"/>
          <w:bCs/>
          <w:color w:val="000000" w:themeColor="text1"/>
          <w:sz w:val="22"/>
          <w:szCs w:val="22"/>
        </w:rPr>
        <w:t xml:space="preserve"> o </w:t>
      </w:r>
      <w:r>
        <w:rPr>
          <w:rFonts w:ascii="Arial" w:eastAsia="Calibri" w:hAnsi="Arial" w:cs="Arial"/>
          <w:bCs/>
          <w:color w:val="000000" w:themeColor="text1"/>
          <w:sz w:val="22"/>
          <w:szCs w:val="22"/>
        </w:rPr>
        <w:t>interventoría</w:t>
      </w:r>
      <w:r w:rsidR="00B65BBE">
        <w:rPr>
          <w:rFonts w:ascii="Arial" w:eastAsia="Calibri" w:hAnsi="Arial" w:cs="Arial"/>
          <w:bCs/>
          <w:color w:val="000000" w:themeColor="text1"/>
          <w:sz w:val="22"/>
          <w:szCs w:val="22"/>
        </w:rPr>
        <w:t xml:space="preserve"> se encontrarán </w:t>
      </w:r>
      <w:r w:rsidR="00B65BBE" w:rsidRPr="00BC5D4E">
        <w:rPr>
          <w:rFonts w:ascii="Arial" w:eastAsiaTheme="minorHAnsi" w:hAnsi="Arial" w:cs="Arial"/>
          <w:sz w:val="22"/>
          <w:szCs w:val="22"/>
          <w:lang w:val="es-MX" w:eastAsia="en-US"/>
        </w:rPr>
        <w:t>sujet</w:t>
      </w:r>
      <w:r w:rsidR="00B65BBE">
        <w:rPr>
          <w:rFonts w:ascii="Arial" w:eastAsiaTheme="minorHAnsi" w:hAnsi="Arial" w:cs="Arial"/>
          <w:sz w:val="22"/>
          <w:szCs w:val="22"/>
          <w:lang w:val="es-MX" w:eastAsia="en-US"/>
        </w:rPr>
        <w:t>o</w:t>
      </w:r>
      <w:r w:rsidR="00B65BBE" w:rsidRPr="00BC5D4E">
        <w:rPr>
          <w:rFonts w:ascii="Arial" w:eastAsiaTheme="minorHAnsi" w:hAnsi="Arial" w:cs="Arial"/>
          <w:sz w:val="22"/>
          <w:szCs w:val="22"/>
          <w:lang w:val="es-MX" w:eastAsia="en-US"/>
        </w:rPr>
        <w:t>s a la aplicación del régimen de responsabilidad civil, penal, disciplinario y fisca</w:t>
      </w:r>
      <w:r w:rsidR="00B65BBE">
        <w:rPr>
          <w:rFonts w:ascii="Arial" w:eastAsiaTheme="minorHAnsi" w:hAnsi="Arial" w:cs="Arial"/>
          <w:sz w:val="22"/>
          <w:szCs w:val="22"/>
          <w:lang w:val="es-MX" w:eastAsia="en-US"/>
        </w:rPr>
        <w:t>l: el primero –supervisor– en virtud de su condición de servidor público, el segundo –interventor– en virtud de una expresa disposición legal contenida en el artículo 82 de la Ley 1474 de 2011</w:t>
      </w:r>
      <w:r w:rsidR="00B65BBE" w:rsidRPr="00BC5D4E">
        <w:rPr>
          <w:rFonts w:ascii="Arial" w:eastAsiaTheme="minorHAnsi" w:hAnsi="Arial" w:cs="Arial"/>
          <w:sz w:val="22"/>
          <w:szCs w:val="22"/>
          <w:lang w:val="es-MX" w:eastAsia="en-US"/>
        </w:rPr>
        <w:t xml:space="preserve">. Por su parte, </w:t>
      </w:r>
      <w:bookmarkStart w:id="11" w:name="_Hlk111132143"/>
      <w:r w:rsidR="00B65BBE" w:rsidRPr="00BC5D4E">
        <w:rPr>
          <w:rFonts w:ascii="Arial" w:eastAsiaTheme="minorHAnsi" w:hAnsi="Arial" w:cs="Arial"/>
          <w:sz w:val="22"/>
          <w:szCs w:val="22"/>
          <w:lang w:val="es-MX" w:eastAsia="en-US"/>
        </w:rPr>
        <w:t>en relación con los contratistas</w:t>
      </w:r>
      <w:r w:rsidR="00B65BBE">
        <w:rPr>
          <w:rFonts w:ascii="Arial" w:eastAsiaTheme="minorHAnsi" w:hAnsi="Arial" w:cs="Arial"/>
          <w:sz w:val="22"/>
          <w:szCs w:val="22"/>
          <w:lang w:val="es-MX" w:eastAsia="en-US"/>
        </w:rPr>
        <w:t xml:space="preserve"> en prestación de servicios que apoyen las labores de supervisión</w:t>
      </w:r>
      <w:r w:rsidR="00B65BBE" w:rsidRPr="00BC5D4E">
        <w:rPr>
          <w:rFonts w:ascii="Arial" w:eastAsiaTheme="minorHAnsi" w:hAnsi="Arial" w:cs="Arial"/>
          <w:sz w:val="22"/>
          <w:szCs w:val="22"/>
          <w:lang w:val="es-MX" w:eastAsia="en-US"/>
        </w:rPr>
        <w:t xml:space="preserve">, en los términos del artículo 52 de la Ley 80 de 1993, </w:t>
      </w:r>
      <w:r w:rsidR="00B65BBE">
        <w:rPr>
          <w:rFonts w:ascii="Arial" w:eastAsiaTheme="minorHAnsi" w:hAnsi="Arial" w:cs="Arial"/>
          <w:sz w:val="22"/>
          <w:szCs w:val="22"/>
          <w:lang w:val="es-MX" w:eastAsia="en-US"/>
        </w:rPr>
        <w:t xml:space="preserve">se les aplica el régimen general de responsabilidad, según el cual </w:t>
      </w:r>
      <w:r w:rsidR="00B65BBE" w:rsidRPr="00BC5D4E">
        <w:rPr>
          <w:rFonts w:ascii="Arial" w:eastAsiaTheme="minorHAnsi" w:hAnsi="Arial" w:cs="Arial"/>
          <w:sz w:val="22"/>
          <w:szCs w:val="22"/>
          <w:lang w:val="es-MX" w:eastAsia="en-US"/>
        </w:rPr>
        <w:t xml:space="preserve">el contratista </w:t>
      </w:r>
      <w:r w:rsidR="00B65BBE">
        <w:rPr>
          <w:rFonts w:ascii="Arial" w:eastAsiaTheme="minorHAnsi" w:hAnsi="Arial" w:cs="Arial"/>
          <w:sz w:val="22"/>
          <w:szCs w:val="22"/>
          <w:lang w:val="es-MX" w:eastAsia="en-US"/>
        </w:rPr>
        <w:t xml:space="preserve">estatal </w:t>
      </w:r>
      <w:r w:rsidR="00B65BBE" w:rsidRPr="00BC5D4E">
        <w:rPr>
          <w:rFonts w:ascii="Arial" w:eastAsiaTheme="minorHAnsi" w:hAnsi="Arial" w:cs="Arial"/>
          <w:sz w:val="22"/>
          <w:szCs w:val="22"/>
          <w:lang w:val="es-MX" w:eastAsia="en-US"/>
        </w:rPr>
        <w:t xml:space="preserve">responderá civil y penalmente por sus acciones y omisiones en la actuación contractual en los términos de la ley. </w:t>
      </w:r>
    </w:p>
    <w:bookmarkEnd w:id="11"/>
    <w:p w14:paraId="0478F2AB" w14:textId="2E45F88B" w:rsidR="00C764E2" w:rsidRDefault="00C764E2" w:rsidP="00C764E2">
      <w:pPr>
        <w:spacing w:before="120" w:line="276" w:lineRule="auto"/>
        <w:ind w:firstLine="709"/>
        <w:jc w:val="both"/>
        <w:rPr>
          <w:rFonts w:ascii="Arial" w:eastAsia="Calibri" w:hAnsi="Arial" w:cs="Arial"/>
          <w:sz w:val="22"/>
        </w:rPr>
      </w:pPr>
      <w:r w:rsidRPr="0020782C">
        <w:rPr>
          <w:rFonts w:ascii="Arial" w:eastAsia="Calibri" w:hAnsi="Arial" w:cs="Arial"/>
          <w:sz w:val="22"/>
        </w:rPr>
        <w:t xml:space="preserve">En conclusión, </w:t>
      </w:r>
      <w:bookmarkStart w:id="12" w:name="_Hlk111132029"/>
      <w:r w:rsidRPr="0020782C">
        <w:rPr>
          <w:rFonts w:ascii="Arial" w:eastAsia="Calibri" w:hAnsi="Arial" w:cs="Arial"/>
          <w:sz w:val="22"/>
        </w:rPr>
        <w:t>de acuerdo con</w:t>
      </w:r>
      <w:r w:rsidR="000F2928">
        <w:rPr>
          <w:rFonts w:ascii="Arial" w:eastAsia="Calibri" w:hAnsi="Arial" w:cs="Arial"/>
          <w:sz w:val="22"/>
        </w:rPr>
        <w:t xml:space="preserve"> las consideraciones anteriores</w:t>
      </w:r>
      <w:r w:rsidRPr="0020782C">
        <w:rPr>
          <w:rFonts w:ascii="Arial" w:eastAsia="Calibri" w:hAnsi="Arial" w:cs="Arial"/>
          <w:sz w:val="22"/>
        </w:rPr>
        <w:t>, jurídicamente no es viable ejercer directamente la función de supervisión contractual mediante la celebración de contratos de prestación de servicios, pues dicha labor corresponde a los funcionarios de la Entidad que se designen para tal fin.</w:t>
      </w:r>
    </w:p>
    <w:bookmarkEnd w:id="12"/>
    <w:p w14:paraId="1C567C92" w14:textId="77777777" w:rsidR="00186984" w:rsidRPr="004633CF" w:rsidRDefault="00186984" w:rsidP="00D43988">
      <w:pPr>
        <w:tabs>
          <w:tab w:val="left" w:pos="0"/>
        </w:tabs>
        <w:spacing w:line="276" w:lineRule="auto"/>
        <w:jc w:val="both"/>
        <w:rPr>
          <w:rFonts w:ascii="Arial" w:eastAsia="Calibri" w:hAnsi="Arial" w:cs="Arial"/>
          <w:bCs/>
          <w:sz w:val="22"/>
          <w:lang w:val="es-ES_tradnl"/>
        </w:rPr>
      </w:pPr>
    </w:p>
    <w:p w14:paraId="49375CFA" w14:textId="3DF1F5E6" w:rsidR="00D633AC" w:rsidRPr="008F293D" w:rsidRDefault="004177A6" w:rsidP="008F293D">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511D4A79" w14:textId="77777777" w:rsidR="008F293D" w:rsidRPr="00B65BBE" w:rsidRDefault="008F293D" w:rsidP="008F293D">
      <w:pPr>
        <w:tabs>
          <w:tab w:val="left" w:pos="8080"/>
        </w:tabs>
        <w:spacing w:line="276" w:lineRule="auto"/>
        <w:ind w:right="709"/>
        <w:jc w:val="both"/>
        <w:rPr>
          <w:rFonts w:ascii="Arial" w:hAnsi="Arial" w:cs="Arial"/>
          <w:color w:val="000000" w:themeColor="text1"/>
          <w:sz w:val="21"/>
          <w:szCs w:val="21"/>
          <w:lang w:val="es-ES_tradnl"/>
        </w:rPr>
      </w:pPr>
    </w:p>
    <w:p w14:paraId="17056ACF" w14:textId="35F71376" w:rsidR="00B65BBE" w:rsidRDefault="00B65BBE" w:rsidP="00F17FA6">
      <w:pPr>
        <w:tabs>
          <w:tab w:val="left" w:pos="8080"/>
        </w:tabs>
        <w:ind w:left="567" w:right="709"/>
        <w:jc w:val="both"/>
        <w:rPr>
          <w:rFonts w:ascii="Arial" w:hAnsi="Arial" w:cs="Arial"/>
          <w:color w:val="000000" w:themeColor="text1"/>
          <w:sz w:val="21"/>
          <w:szCs w:val="21"/>
        </w:rPr>
      </w:pPr>
      <w:r w:rsidRPr="00447021">
        <w:rPr>
          <w:rFonts w:ascii="Arial" w:hAnsi="Arial" w:cs="Arial"/>
          <w:bCs/>
          <w:color w:val="000000" w:themeColor="text1"/>
          <w:sz w:val="21"/>
          <w:szCs w:val="21"/>
        </w:rPr>
        <w:t>En relación con el artículo 44 de la Ley 1474 de 2011</w:t>
      </w:r>
      <w:r w:rsidRPr="00B65BBE">
        <w:rPr>
          <w:rFonts w:ascii="Arial" w:hAnsi="Arial" w:cs="Arial"/>
          <w:bCs/>
          <w:color w:val="000000" w:themeColor="text1"/>
          <w:sz w:val="21"/>
          <w:szCs w:val="21"/>
        </w:rPr>
        <w:t>, usted</w:t>
      </w:r>
      <w:r w:rsidRPr="00447021">
        <w:rPr>
          <w:rFonts w:ascii="Arial" w:hAnsi="Arial" w:cs="Arial"/>
          <w:bCs/>
          <w:color w:val="000000" w:themeColor="text1"/>
          <w:sz w:val="21"/>
          <w:szCs w:val="21"/>
        </w:rPr>
        <w:t xml:space="preserve"> </w:t>
      </w:r>
      <w:r w:rsidRPr="00B65BBE">
        <w:rPr>
          <w:rFonts w:ascii="Arial" w:hAnsi="Arial" w:cs="Arial"/>
          <w:bCs/>
          <w:color w:val="000000" w:themeColor="text1"/>
          <w:sz w:val="21"/>
          <w:szCs w:val="21"/>
        </w:rPr>
        <w:t>pregunta</w:t>
      </w:r>
      <w:r w:rsidRPr="00447021">
        <w:rPr>
          <w:rFonts w:ascii="Arial" w:hAnsi="Arial" w:cs="Arial"/>
          <w:bCs/>
          <w:color w:val="000000" w:themeColor="text1"/>
          <w:sz w:val="21"/>
          <w:szCs w:val="21"/>
        </w:rPr>
        <w:t xml:space="preserve"> lo siguiente: «En razón a lo estipulado en dicho artículo: El presente régimen se aplica a los particulares que cumplan labores de interventoría o supervisión en los contratos estatales</w:t>
      </w:r>
      <w:r w:rsidRPr="00B65BBE">
        <w:rPr>
          <w:rFonts w:ascii="Arial" w:hAnsi="Arial" w:cs="Arial"/>
          <w:bCs/>
          <w:color w:val="000000" w:themeColor="text1"/>
          <w:sz w:val="21"/>
          <w:szCs w:val="21"/>
        </w:rPr>
        <w:t xml:space="preserve">. </w:t>
      </w:r>
      <w:r w:rsidRPr="00447021">
        <w:rPr>
          <w:rFonts w:ascii="Arial" w:hAnsi="Arial" w:cs="Arial"/>
          <w:bCs/>
          <w:color w:val="000000" w:themeColor="text1"/>
          <w:sz w:val="21"/>
          <w:szCs w:val="21"/>
        </w:rPr>
        <w:t>Se puede colegir de este artículo, (el cual modifico el 53 de la ley 734 de 2002) que los contratistas, pueden ejercer labores de supervisión?</w:t>
      </w:r>
      <w:r w:rsidRPr="00B65BBE">
        <w:rPr>
          <w:rFonts w:ascii="Arial" w:hAnsi="Arial" w:cs="Arial"/>
          <w:color w:val="000000" w:themeColor="text1"/>
          <w:sz w:val="21"/>
          <w:szCs w:val="21"/>
        </w:rPr>
        <w:t>»</w:t>
      </w:r>
    </w:p>
    <w:p w14:paraId="62B25B06" w14:textId="42F3B009" w:rsidR="00925AD4" w:rsidRDefault="00925AD4" w:rsidP="00F17FA6">
      <w:pPr>
        <w:tabs>
          <w:tab w:val="left" w:pos="8080"/>
        </w:tabs>
        <w:ind w:left="567" w:right="709"/>
        <w:jc w:val="both"/>
        <w:rPr>
          <w:rFonts w:ascii="Arial" w:hAnsi="Arial" w:cs="Arial"/>
          <w:color w:val="000000" w:themeColor="text1"/>
          <w:sz w:val="21"/>
          <w:szCs w:val="21"/>
        </w:rPr>
      </w:pPr>
    </w:p>
    <w:p w14:paraId="2AD75A40" w14:textId="17D81179" w:rsidR="00925AD4" w:rsidRPr="00925AD4" w:rsidRDefault="00925AD4" w:rsidP="00F17FA6">
      <w:pPr>
        <w:tabs>
          <w:tab w:val="left" w:pos="8080"/>
        </w:tabs>
        <w:ind w:left="567" w:right="709"/>
        <w:jc w:val="both"/>
        <w:rPr>
          <w:rFonts w:ascii="Arial" w:hAnsi="Arial" w:cs="Arial"/>
          <w:color w:val="000000" w:themeColor="text1"/>
          <w:sz w:val="21"/>
          <w:szCs w:val="21"/>
        </w:rPr>
      </w:pPr>
      <w:r>
        <w:rPr>
          <w:rFonts w:ascii="Arial" w:hAnsi="Arial" w:cs="Arial"/>
          <w:color w:val="000000" w:themeColor="text1"/>
          <w:sz w:val="21"/>
          <w:szCs w:val="21"/>
        </w:rPr>
        <w:t xml:space="preserve">Asimismo, </w:t>
      </w:r>
      <w:r w:rsidRPr="00925AD4">
        <w:rPr>
          <w:rFonts w:ascii="Arial" w:hAnsi="Arial" w:cs="Arial"/>
          <w:color w:val="000000" w:themeColor="text1"/>
          <w:sz w:val="21"/>
          <w:szCs w:val="21"/>
        </w:rPr>
        <w:t>usted plantea la siguiente pregunta respecto del citado artículo 44 de la Ley 1474 de 2011 y la Guía para el ejercicio de las funciones de supervisión e interventoría de los contratos del Estado expedida por la Agencia Nacional de Contratación Pública - Colombia Compra Eficiente</w:t>
      </w:r>
      <w:r>
        <w:rPr>
          <w:rFonts w:ascii="Arial" w:hAnsi="Arial" w:cs="Arial"/>
          <w:color w:val="000000" w:themeColor="text1"/>
          <w:sz w:val="21"/>
          <w:szCs w:val="21"/>
        </w:rPr>
        <w:t xml:space="preserve">: </w:t>
      </w:r>
      <w:r w:rsidRPr="00925AD4">
        <w:rPr>
          <w:rFonts w:ascii="Arial" w:hAnsi="Arial" w:cs="Arial"/>
          <w:bCs/>
          <w:color w:val="000000" w:themeColor="text1"/>
          <w:sz w:val="21"/>
          <w:szCs w:val="21"/>
        </w:rPr>
        <w:t xml:space="preserve">«cuál es la norma o Ley de orden superior en la cual se apoya la Guía de Colombia Compra Eficiente para afirmar que: </w:t>
      </w:r>
      <w:r w:rsidRPr="00C57D7C">
        <w:rPr>
          <w:rFonts w:ascii="Arial" w:hAnsi="Arial" w:cs="Arial"/>
          <w:bCs/>
          <w:color w:val="000000" w:themeColor="text1"/>
          <w:sz w:val="21"/>
          <w:szCs w:val="21"/>
        </w:rPr>
        <w:t>La supervisión directa no puede delegarse a los particulares contratados por prestación de servicios.</w:t>
      </w:r>
      <w:r w:rsidRPr="00925AD4">
        <w:rPr>
          <w:rFonts w:ascii="Arial" w:hAnsi="Arial" w:cs="Arial"/>
          <w:bCs/>
          <w:color w:val="000000" w:themeColor="text1"/>
          <w:sz w:val="21"/>
          <w:szCs w:val="21"/>
        </w:rPr>
        <w:t xml:space="preserve"> </w:t>
      </w:r>
      <w:r w:rsidRPr="00C57D7C">
        <w:rPr>
          <w:rFonts w:ascii="Arial" w:hAnsi="Arial" w:cs="Arial"/>
          <w:bCs/>
          <w:color w:val="000000" w:themeColor="text1"/>
          <w:sz w:val="21"/>
          <w:szCs w:val="21"/>
        </w:rPr>
        <w:t>O, por el contrario, ¿se trata de un yerro expresado en la Guía, que hasta la fecha no había sido contextualizado con las leyes existentes, y por tanto debe subsanarse con una versión actualizada de la Guía en la cual se debe ampliar el espectro de todos aquellos quienes pueden ejercer labores de supervisión?» </w:t>
      </w:r>
    </w:p>
    <w:p w14:paraId="259CF803" w14:textId="45DF3548" w:rsidR="008F293D" w:rsidRPr="008F293D" w:rsidRDefault="008F293D" w:rsidP="00925AD4">
      <w:pPr>
        <w:tabs>
          <w:tab w:val="left" w:pos="8080"/>
        </w:tabs>
        <w:spacing w:line="276" w:lineRule="auto"/>
        <w:ind w:right="709"/>
        <w:jc w:val="both"/>
        <w:rPr>
          <w:rFonts w:ascii="Arial" w:hAnsi="Arial" w:cs="Arial"/>
          <w:color w:val="000000" w:themeColor="text1"/>
          <w:sz w:val="22"/>
          <w:szCs w:val="22"/>
          <w:lang w:val="es-ES_tradnl"/>
        </w:rPr>
      </w:pPr>
    </w:p>
    <w:p w14:paraId="392C4742" w14:textId="77777777" w:rsidR="00324C08" w:rsidRDefault="00925AD4" w:rsidP="00531DEA">
      <w:pPr>
        <w:spacing w:after="120" w:line="276" w:lineRule="auto"/>
        <w:jc w:val="both"/>
        <w:rPr>
          <w:rFonts w:ascii="Arial" w:hAnsi="Arial" w:cs="Arial"/>
          <w:bCs/>
          <w:sz w:val="22"/>
          <w:szCs w:val="22"/>
        </w:rPr>
      </w:pPr>
      <w:r>
        <w:rPr>
          <w:rFonts w:ascii="Arial" w:eastAsiaTheme="minorHAnsi" w:hAnsi="Arial" w:cs="Arial"/>
          <w:sz w:val="22"/>
          <w:szCs w:val="22"/>
          <w:lang w:eastAsia="en-US"/>
        </w:rPr>
        <w:t>De las preguntas en concreto, se precisa</w:t>
      </w:r>
      <w:r w:rsidR="00324C08">
        <w:rPr>
          <w:rFonts w:ascii="Arial" w:eastAsiaTheme="minorHAnsi" w:hAnsi="Arial" w:cs="Arial"/>
          <w:sz w:val="22"/>
          <w:szCs w:val="22"/>
          <w:lang w:eastAsia="en-US"/>
        </w:rPr>
        <w:t xml:space="preserve"> que la Agencia Nacional de Contratación Pública tiene competencia para atender consultas relativas a temas contractuales, pero solo para absolver consultas sobre la aplicación de normas de carácter general. Por ello, </w:t>
      </w:r>
      <w:r w:rsidR="00324C08" w:rsidRPr="0060580F">
        <w:rPr>
          <w:rFonts w:ascii="Arial" w:hAnsi="Arial" w:cs="Arial"/>
          <w:sz w:val="22"/>
          <w:szCs w:val="22"/>
          <w:lang w:val="es-ES"/>
        </w:rPr>
        <w:t xml:space="preserve">resolver </w:t>
      </w:r>
      <w:r w:rsidR="00324C08" w:rsidRPr="0060580F">
        <w:rPr>
          <w:rFonts w:ascii="Arial" w:hAnsi="Arial" w:cs="Arial"/>
          <w:sz w:val="22"/>
          <w:szCs w:val="22"/>
          <w:lang w:val="es-ES"/>
        </w:rPr>
        <w:lastRenderedPageBreak/>
        <w:t>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00324C08" w:rsidRPr="0060580F">
        <w:rPr>
          <w:rFonts w:ascii="Arial" w:hAnsi="Arial" w:cs="Arial"/>
          <w:bCs/>
          <w:sz w:val="22"/>
          <w:szCs w:val="22"/>
        </w:rPr>
        <w:t xml:space="preserve"> de todos los partícipes de la contratación estatal ni para interpretar el alcance de cualquier norma vigente en el ordenamiento jurídico</w:t>
      </w:r>
      <w:r w:rsidR="00324C08">
        <w:rPr>
          <w:rFonts w:ascii="Arial" w:hAnsi="Arial" w:cs="Arial"/>
          <w:bCs/>
          <w:sz w:val="22"/>
          <w:szCs w:val="22"/>
        </w:rPr>
        <w:t>.</w:t>
      </w:r>
    </w:p>
    <w:p w14:paraId="4033985B" w14:textId="77777777" w:rsidR="00C93ED4" w:rsidRDefault="00324C08" w:rsidP="00531DEA">
      <w:pPr>
        <w:pStyle w:val="Sinespaciado"/>
        <w:spacing w:before="120" w:line="276" w:lineRule="auto"/>
        <w:ind w:firstLine="709"/>
        <w:jc w:val="both"/>
        <w:rPr>
          <w:rFonts w:ascii="Arial" w:hAnsi="Arial" w:cs="Arial"/>
          <w:sz w:val="22"/>
        </w:rPr>
      </w:pPr>
      <w:r>
        <w:rPr>
          <w:rFonts w:ascii="Arial" w:hAnsi="Arial" w:cs="Arial"/>
          <w:bCs/>
          <w:sz w:val="22"/>
        </w:rPr>
        <w:t>A partir de la precisión anterior, d</w:t>
      </w:r>
      <w:r w:rsidR="00FD3D53" w:rsidRPr="00FD3D53">
        <w:rPr>
          <w:rFonts w:ascii="Arial" w:hAnsi="Arial" w:cs="Arial"/>
          <w:sz w:val="22"/>
        </w:rPr>
        <w:t>e acuerdo con l</w:t>
      </w:r>
      <w:r w:rsidR="00390088">
        <w:rPr>
          <w:rFonts w:ascii="Arial" w:hAnsi="Arial" w:cs="Arial"/>
          <w:sz w:val="22"/>
        </w:rPr>
        <w:t>as consideraciones expuestas</w:t>
      </w:r>
      <w:r w:rsidR="000F2928">
        <w:rPr>
          <w:rFonts w:ascii="Arial" w:hAnsi="Arial" w:cs="Arial"/>
          <w:sz w:val="22"/>
        </w:rPr>
        <w:t xml:space="preserve"> en este concepto</w:t>
      </w:r>
      <w:r w:rsidR="00FD3D53" w:rsidRPr="00FD3D53">
        <w:rPr>
          <w:rFonts w:ascii="Arial" w:hAnsi="Arial" w:cs="Arial"/>
          <w:sz w:val="22"/>
        </w:rPr>
        <w:t xml:space="preserve">, </w:t>
      </w:r>
      <w:r w:rsidR="00623E9C" w:rsidRPr="009C4505">
        <w:rPr>
          <w:rFonts w:ascii="Arial" w:hAnsi="Arial" w:cs="Arial"/>
          <w:bCs/>
          <w:sz w:val="22"/>
        </w:rPr>
        <w:t xml:space="preserve">la responsabilidad </w:t>
      </w:r>
      <w:r w:rsidR="00623E9C">
        <w:rPr>
          <w:rFonts w:ascii="Arial" w:hAnsi="Arial" w:cs="Arial"/>
          <w:bCs/>
          <w:sz w:val="22"/>
        </w:rPr>
        <w:t>por</w:t>
      </w:r>
      <w:r w:rsidR="00623E9C" w:rsidRPr="009C4505">
        <w:rPr>
          <w:rFonts w:ascii="Arial" w:hAnsi="Arial" w:cs="Arial"/>
          <w:bCs/>
          <w:sz w:val="22"/>
        </w:rPr>
        <w:t xml:space="preserve"> el control y vigilancia de la ejecución del contrato está a cargo de la entidad estatal contratante y, </w:t>
      </w:r>
      <w:r w:rsidR="00623E9C">
        <w:rPr>
          <w:rFonts w:ascii="Arial" w:hAnsi="Arial" w:cs="Arial"/>
          <w:bCs/>
          <w:sz w:val="22"/>
        </w:rPr>
        <w:t>de este modo</w:t>
      </w:r>
      <w:r w:rsidR="00623E9C" w:rsidRPr="009C4505">
        <w:rPr>
          <w:rFonts w:ascii="Arial" w:hAnsi="Arial" w:cs="Arial"/>
          <w:bCs/>
          <w:sz w:val="22"/>
        </w:rPr>
        <w:t>, es esta quien debe supervisar los contratos mediante sus funcionarios o servidores públicos</w:t>
      </w:r>
      <w:r w:rsidR="008E4BF8">
        <w:rPr>
          <w:rFonts w:ascii="Arial" w:hAnsi="Arial" w:cs="Arial"/>
          <w:bCs/>
          <w:sz w:val="22"/>
        </w:rPr>
        <w:t>.</w:t>
      </w:r>
      <w:r w:rsidR="00623E9C" w:rsidRPr="009C4505">
        <w:rPr>
          <w:rFonts w:ascii="Arial" w:hAnsi="Arial" w:cs="Arial"/>
          <w:bCs/>
          <w:sz w:val="22"/>
        </w:rPr>
        <w:t xml:space="preserve"> </w:t>
      </w:r>
      <w:r w:rsidR="00623E9C">
        <w:rPr>
          <w:rFonts w:ascii="Arial" w:hAnsi="Arial" w:cs="Arial"/>
          <w:bCs/>
          <w:sz w:val="22"/>
        </w:rPr>
        <w:t xml:space="preserve">Por tanto, no </w:t>
      </w:r>
      <w:r w:rsidR="00623E9C" w:rsidRPr="00FD3D53">
        <w:rPr>
          <w:rFonts w:ascii="Arial" w:hAnsi="Arial" w:cs="Arial"/>
          <w:sz w:val="22"/>
        </w:rPr>
        <w:t xml:space="preserve">es viable ejercer directamente la función de supervisión contractual mediante la celebración de contratos de prestación de servicios, pues dicha labor corresponde a los funcionarios de la </w:t>
      </w:r>
      <w:r w:rsidR="00623E9C">
        <w:rPr>
          <w:rFonts w:ascii="Arial" w:hAnsi="Arial" w:cs="Arial"/>
          <w:sz w:val="22"/>
        </w:rPr>
        <w:t>e</w:t>
      </w:r>
      <w:r w:rsidR="00623E9C" w:rsidRPr="00FD3D53">
        <w:rPr>
          <w:rFonts w:ascii="Arial" w:hAnsi="Arial" w:cs="Arial"/>
          <w:sz w:val="22"/>
        </w:rPr>
        <w:t>ntidad que se designen para tal fin</w:t>
      </w:r>
      <w:r w:rsidR="000E5C89">
        <w:rPr>
          <w:rFonts w:ascii="Arial" w:hAnsi="Arial" w:cs="Arial"/>
          <w:sz w:val="22"/>
        </w:rPr>
        <w:t xml:space="preserve">. </w:t>
      </w:r>
      <w:r w:rsidR="000E5C89" w:rsidRPr="00BC5D4E">
        <w:rPr>
          <w:rFonts w:ascii="Arial" w:hAnsi="Arial" w:cs="Arial"/>
          <w:sz w:val="22"/>
        </w:rPr>
        <w:t>Sin embargo</w:t>
      </w:r>
      <w:r w:rsidR="000E5C89" w:rsidRPr="00D35212">
        <w:rPr>
          <w:rFonts w:ascii="Arial" w:hAnsi="Arial" w:cs="Arial"/>
          <w:sz w:val="22"/>
        </w:rPr>
        <w:t xml:space="preserve">, la </w:t>
      </w:r>
      <w:r w:rsidR="000E5C89">
        <w:rPr>
          <w:rFonts w:ascii="Arial" w:hAnsi="Arial" w:cs="Arial"/>
          <w:sz w:val="22"/>
        </w:rPr>
        <w:t>e</w:t>
      </w:r>
      <w:r w:rsidR="000E5C89" w:rsidRPr="00D35212">
        <w:rPr>
          <w:rFonts w:ascii="Arial" w:hAnsi="Arial" w:cs="Arial"/>
          <w:sz w:val="22"/>
        </w:rPr>
        <w:t>ntidad</w:t>
      </w:r>
      <w:r w:rsidR="000E5C89">
        <w:rPr>
          <w:rFonts w:ascii="Arial" w:hAnsi="Arial" w:cs="Arial"/>
          <w:sz w:val="22"/>
        </w:rPr>
        <w:t xml:space="preserve"> estatal</w:t>
      </w:r>
      <w:r w:rsidR="000E5C89" w:rsidRPr="00D35212">
        <w:rPr>
          <w:rFonts w:ascii="Arial" w:hAnsi="Arial" w:cs="Arial"/>
          <w:sz w:val="22"/>
        </w:rPr>
        <w:t xml:space="preserve"> está</w:t>
      </w:r>
      <w:r w:rsidR="000E5C89">
        <w:rPr>
          <w:rFonts w:ascii="Arial" w:hAnsi="Arial" w:cs="Arial"/>
          <w:sz w:val="22"/>
        </w:rPr>
        <w:t xml:space="preserve"> </w:t>
      </w:r>
      <w:r w:rsidR="00623E9C" w:rsidRPr="00D35212">
        <w:rPr>
          <w:rFonts w:ascii="Arial" w:hAnsi="Arial" w:cs="Arial"/>
          <w:sz w:val="22"/>
        </w:rPr>
        <w:t>facultada para contratar el apoyo a la supervisión, sin que este pueda realizar directamente y de forma aislada y autónoma la supervisión de los contratos estatales</w:t>
      </w:r>
      <w:r w:rsidR="000E5C89">
        <w:rPr>
          <w:rFonts w:ascii="Arial" w:hAnsi="Arial" w:cs="Arial"/>
          <w:sz w:val="22"/>
        </w:rPr>
        <w:t>.</w:t>
      </w:r>
      <w:r w:rsidR="00623E9C" w:rsidRPr="00D35212">
        <w:rPr>
          <w:rFonts w:ascii="Arial" w:hAnsi="Arial" w:cs="Arial"/>
          <w:sz w:val="22"/>
        </w:rPr>
        <w:t xml:space="preserve"> </w:t>
      </w:r>
    </w:p>
    <w:p w14:paraId="2D293D0F" w14:textId="18B0582E" w:rsidR="008E4BF8" w:rsidRPr="0020782C" w:rsidRDefault="008E4BF8" w:rsidP="00531DEA">
      <w:pPr>
        <w:pStyle w:val="Sinespaciado"/>
        <w:spacing w:before="120" w:line="276" w:lineRule="auto"/>
        <w:ind w:firstLine="709"/>
        <w:jc w:val="both"/>
        <w:rPr>
          <w:rFonts w:ascii="Arial" w:hAnsi="Arial" w:cs="Arial"/>
          <w:sz w:val="22"/>
        </w:rPr>
      </w:pPr>
      <w:r>
        <w:rPr>
          <w:rFonts w:ascii="Arial" w:hAnsi="Arial" w:cs="Arial"/>
          <w:sz w:val="22"/>
        </w:rPr>
        <w:t>Al respecto,</w:t>
      </w:r>
      <w:r w:rsidRPr="0020782C">
        <w:rPr>
          <w:rFonts w:ascii="Arial" w:hAnsi="Arial" w:cs="Arial"/>
          <w:sz w:val="22"/>
        </w:rPr>
        <w:t xml:space="preserve"> la Sección Tercera del Consejo de Estado, en providencia del 12 de diciembre de 2014, consideró que la calidad de supervisor la tienen los funcionarios de la entidad y no los contratistas. </w:t>
      </w:r>
      <w:r>
        <w:rPr>
          <w:rFonts w:ascii="Arial" w:hAnsi="Arial" w:cs="Arial"/>
          <w:sz w:val="22"/>
        </w:rPr>
        <w:t xml:space="preserve">Dicha Corporación lo estableció </w:t>
      </w:r>
      <w:r w:rsidRPr="0020782C">
        <w:rPr>
          <w:rFonts w:ascii="Arial" w:hAnsi="Arial" w:cs="Arial"/>
          <w:sz w:val="22"/>
        </w:rPr>
        <w:t>en los siguientes términos:</w:t>
      </w:r>
    </w:p>
    <w:p w14:paraId="22182299" w14:textId="77777777" w:rsidR="008E4BF8" w:rsidRPr="0020782C" w:rsidRDefault="008E4BF8" w:rsidP="008E4BF8">
      <w:pPr>
        <w:pStyle w:val="Sinespaciado"/>
        <w:spacing w:line="276" w:lineRule="auto"/>
        <w:ind w:firstLine="709"/>
        <w:jc w:val="both"/>
        <w:rPr>
          <w:rFonts w:ascii="Arial" w:hAnsi="Arial" w:cs="Arial"/>
          <w:sz w:val="22"/>
        </w:rPr>
      </w:pPr>
    </w:p>
    <w:p w14:paraId="12F3F943" w14:textId="77777777" w:rsidR="008E4BF8" w:rsidRPr="0020782C" w:rsidRDefault="008E4BF8" w:rsidP="008E4BF8">
      <w:pPr>
        <w:pStyle w:val="Sinespaciado"/>
        <w:ind w:left="709" w:right="709"/>
        <w:jc w:val="both"/>
        <w:rPr>
          <w:rFonts w:ascii="Arial" w:hAnsi="Arial" w:cs="Arial"/>
          <w:sz w:val="21"/>
          <w:szCs w:val="21"/>
        </w:rPr>
      </w:pPr>
      <w:r w:rsidRPr="0020782C">
        <w:rPr>
          <w:rFonts w:ascii="Arial" w:hAnsi="Arial" w:cs="Arial"/>
          <w:sz w:val="21"/>
          <w:szCs w:val="21"/>
        </w:rPr>
        <w:t>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w:t>
      </w:r>
    </w:p>
    <w:p w14:paraId="3EBE3A57" w14:textId="77777777" w:rsidR="008E4BF8" w:rsidRPr="0020782C" w:rsidRDefault="008E4BF8" w:rsidP="008E4BF8">
      <w:pPr>
        <w:pStyle w:val="Sinespaciado"/>
        <w:spacing w:after="120"/>
        <w:ind w:left="709" w:right="709"/>
        <w:jc w:val="both"/>
        <w:rPr>
          <w:rFonts w:ascii="Arial" w:hAnsi="Arial" w:cs="Arial"/>
          <w:sz w:val="21"/>
          <w:szCs w:val="21"/>
        </w:rPr>
      </w:pPr>
      <w:r w:rsidRPr="0020782C">
        <w:rPr>
          <w:rFonts w:ascii="Arial" w:hAnsi="Arial" w:cs="Arial"/>
          <w:sz w:val="21"/>
          <w:szCs w:val="21"/>
        </w:rPr>
        <w:t>[…]</w:t>
      </w:r>
    </w:p>
    <w:p w14:paraId="22D0FDB0" w14:textId="77777777" w:rsidR="008E4BF8" w:rsidRPr="0020782C" w:rsidRDefault="008E4BF8" w:rsidP="008E4BF8">
      <w:pPr>
        <w:pStyle w:val="Sinespaciado"/>
        <w:spacing w:after="120"/>
        <w:ind w:left="709" w:right="709"/>
        <w:jc w:val="both"/>
        <w:rPr>
          <w:rFonts w:ascii="Arial" w:hAnsi="Arial" w:cs="Arial"/>
          <w:sz w:val="21"/>
          <w:szCs w:val="21"/>
        </w:rPr>
      </w:pPr>
      <w:r w:rsidRPr="0020782C">
        <w:rPr>
          <w:rFonts w:ascii="Arial" w:hAnsi="Arial" w:cs="Arial"/>
          <w:sz w:val="21"/>
          <w:szCs w:val="21"/>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46A119DC" w14:textId="77777777" w:rsidR="008E4BF8" w:rsidRPr="0020782C" w:rsidRDefault="008E4BF8" w:rsidP="008E4BF8">
      <w:pPr>
        <w:pStyle w:val="Sinespaciado"/>
        <w:ind w:left="709" w:right="709"/>
        <w:jc w:val="both"/>
        <w:rPr>
          <w:rFonts w:ascii="Arial" w:hAnsi="Arial" w:cs="Arial"/>
          <w:sz w:val="22"/>
        </w:rPr>
      </w:pPr>
      <w:r w:rsidRPr="0020782C">
        <w:rPr>
          <w:rFonts w:ascii="Arial" w:hAnsi="Arial" w:cs="Arial"/>
          <w:sz w:val="21"/>
          <w:szCs w:val="21"/>
        </w:rPr>
        <w:lastRenderedPageBreak/>
        <w:t xml:space="preserve">Actualmente, la cuestión se mantiene en similares condiciones, sólo </w:t>
      </w:r>
      <w:r w:rsidRPr="0020782C">
        <w:rPr>
          <w:rFonts w:ascii="Arial" w:hAnsi="Arial" w:cs="Arial"/>
          <w:i/>
          <w:iCs/>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20782C">
        <w:rPr>
          <w:rFonts w:ascii="Arial" w:hAnsi="Arial" w:cs="Arial"/>
          <w:sz w:val="21"/>
          <w:szCs w:val="21"/>
        </w:rPr>
        <w:t>, so pena de variar de una consultoría a otra tipología diferente y, por consiguiente, de eludir procesos de selección. Por su parte, se hablará de interventor cuando se trate de una vigilancia externa o contratada.</w:t>
      </w:r>
      <w:r w:rsidRPr="0020782C">
        <w:rPr>
          <w:rFonts w:ascii="Arial" w:hAnsi="Arial" w:cs="Arial"/>
          <w:sz w:val="21"/>
          <w:szCs w:val="21"/>
        </w:rPr>
        <w:br/>
        <w:t>[Cursivas propias]</w:t>
      </w:r>
    </w:p>
    <w:p w14:paraId="6E7BA740" w14:textId="77777777" w:rsidR="008E4BF8" w:rsidRDefault="008E4BF8" w:rsidP="008E4BF8">
      <w:pPr>
        <w:pStyle w:val="Sinespaciado"/>
        <w:spacing w:line="276" w:lineRule="auto"/>
        <w:ind w:firstLine="709"/>
        <w:jc w:val="both"/>
        <w:rPr>
          <w:rFonts w:ascii="Arial" w:hAnsi="Arial" w:cs="Arial"/>
          <w:sz w:val="22"/>
        </w:rPr>
      </w:pPr>
    </w:p>
    <w:p w14:paraId="3A512930" w14:textId="3DE3C916" w:rsidR="000E5C89" w:rsidRPr="00203B42" w:rsidRDefault="008E4BF8" w:rsidP="008E4BF8">
      <w:pPr>
        <w:pStyle w:val="Sinespaciado"/>
        <w:spacing w:line="276" w:lineRule="auto"/>
        <w:ind w:firstLine="709"/>
        <w:jc w:val="both"/>
        <w:rPr>
          <w:rFonts w:ascii="Arial" w:hAnsi="Arial" w:cs="Arial"/>
          <w:sz w:val="22"/>
        </w:rPr>
      </w:pPr>
      <w:r w:rsidRPr="00203B42">
        <w:rPr>
          <w:rFonts w:ascii="Arial" w:hAnsi="Arial" w:cs="Arial"/>
          <w:sz w:val="22"/>
        </w:rPr>
        <w:t>E</w:t>
      </w:r>
      <w:r w:rsidR="00931FEC" w:rsidRPr="00203B42">
        <w:rPr>
          <w:rFonts w:ascii="Arial" w:hAnsi="Arial" w:cs="Arial"/>
          <w:sz w:val="22"/>
        </w:rPr>
        <w:t>n concordancia con lo expuesto por la jurisprudencia</w:t>
      </w:r>
      <w:r w:rsidRPr="00203B42">
        <w:rPr>
          <w:rFonts w:ascii="Arial" w:hAnsi="Arial" w:cs="Arial"/>
          <w:sz w:val="22"/>
        </w:rPr>
        <w:t>, la «Guía para el ejercicio de las funciones de supervisión e interventoría de los contratos suscritos por las Entidades Estatales», elaborada por esta Agencia, establece que la supervisión del contrato corresponde al funcionario público de la entidad. En efecto, el referido documento indica que «la supervisión de los contratos estatales corresponde al funcionario público que el ordenador del gasto de la Entidad designe para ello atendiendo los principales aspectos del contrato a supervisar».</w:t>
      </w:r>
    </w:p>
    <w:p w14:paraId="05F86304" w14:textId="287C0ED1" w:rsidR="00623E9C" w:rsidRPr="00203B42" w:rsidRDefault="00623E9C" w:rsidP="000E5C89">
      <w:pPr>
        <w:autoSpaceDE w:val="0"/>
        <w:autoSpaceDN w:val="0"/>
        <w:adjustRightInd w:val="0"/>
        <w:spacing w:before="120" w:line="276" w:lineRule="auto"/>
        <w:ind w:firstLine="709"/>
        <w:jc w:val="both"/>
        <w:rPr>
          <w:rFonts w:ascii="Arial" w:eastAsiaTheme="minorHAnsi" w:hAnsi="Arial" w:cs="Arial"/>
          <w:sz w:val="22"/>
          <w:szCs w:val="22"/>
          <w:lang w:eastAsia="en-US"/>
        </w:rPr>
      </w:pPr>
      <w:r w:rsidRPr="00203B42">
        <w:rPr>
          <w:rFonts w:ascii="Arial" w:hAnsi="Arial" w:cs="Arial"/>
          <w:bCs/>
          <w:sz w:val="22"/>
          <w:szCs w:val="22"/>
        </w:rPr>
        <w:t xml:space="preserve">Así las cosas, el contratista podría fungir de apoyo a la supervisión del contrato, en la medida en que el contrato de prestación de servicios profesionales y de apoyo a la gestión tenga como objeto obligaciones dirigidas a apoyar dicha actividad de supervisión de contratos. En este orden de ideas, los contratistas no pueden asumir de forma íntegra, directa y excluyente la actividad de supervisión de los contratos estatales.  </w:t>
      </w:r>
    </w:p>
    <w:p w14:paraId="564754AF" w14:textId="77777777" w:rsidR="00623E9C" w:rsidRDefault="00623E9C" w:rsidP="00D11E0B">
      <w:pPr>
        <w:autoSpaceDE w:val="0"/>
        <w:autoSpaceDN w:val="0"/>
        <w:adjustRightInd w:val="0"/>
        <w:spacing w:before="120" w:line="276" w:lineRule="auto"/>
        <w:jc w:val="both"/>
        <w:rPr>
          <w:rFonts w:ascii="Arial" w:eastAsiaTheme="minorHAnsi" w:hAnsi="Arial" w:cs="Arial"/>
          <w:sz w:val="22"/>
          <w:szCs w:val="22"/>
          <w:lang w:eastAsia="en-US"/>
        </w:rPr>
      </w:pPr>
    </w:p>
    <w:p w14:paraId="056816F7" w14:textId="36C087E7" w:rsidR="00D40F8B" w:rsidRPr="00A51520" w:rsidRDefault="00DD5B04" w:rsidP="00B21AD4">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27E16E5E" w:rsidR="00D40F8B" w:rsidRPr="00A51520" w:rsidRDefault="00B47E8B"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0E53E52B" wp14:editId="438B4E01">
            <wp:extent cx="2993390" cy="11645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6577CF1D" w:rsidR="003A07D9" w:rsidRDefault="002E07D3"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Alejandro Sarmiento</w:t>
            </w:r>
            <w:r w:rsidR="00005E78">
              <w:rPr>
                <w:rFonts w:ascii="Arial" w:hAnsi="Arial" w:cs="Arial"/>
                <w:color w:val="000000" w:themeColor="text1"/>
                <w:sz w:val="16"/>
                <w:szCs w:val="16"/>
                <w:lang w:eastAsia="es-ES"/>
              </w:rPr>
              <w:t xml:space="preserve"> Cantillo</w:t>
            </w:r>
          </w:p>
          <w:p w14:paraId="130B3228" w14:textId="7B765391" w:rsidR="00DD5B04" w:rsidRPr="003A07D9" w:rsidRDefault="003A07D9"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Gestor T1-15 de la 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6A06F2" w:rsidRDefault="008657C6" w:rsidP="008657C6">
            <w:r>
              <w:rPr>
                <w:rFonts w:ascii="Arial" w:eastAsia="Arial" w:hAnsi="Arial" w:cs="Arial"/>
                <w:color w:val="000000"/>
                <w:sz w:val="16"/>
                <w:szCs w:val="16"/>
              </w:rPr>
              <w:t>Juan David Marín López</w:t>
            </w:r>
          </w:p>
          <w:p w14:paraId="1ADC483B" w14:textId="0B971153" w:rsidR="00DD5B04" w:rsidRPr="00D40F8B" w:rsidRDefault="008657C6" w:rsidP="008657C6">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0"/>
      <w:bookmarkEnd w:id="1"/>
    </w:tbl>
    <w:p w14:paraId="575AF8D6" w14:textId="503E82EC" w:rsidR="003A07D9" w:rsidRPr="003A07D9" w:rsidRDefault="003A07D9" w:rsidP="003A07D9">
      <w:pPr>
        <w:tabs>
          <w:tab w:val="left" w:pos="3570"/>
        </w:tabs>
        <w:rPr>
          <w:rFonts w:ascii="Arial" w:hAnsi="Arial" w:cs="Arial"/>
          <w:lang w:val="es-ES_tradnl"/>
        </w:rPr>
      </w:pPr>
    </w:p>
    <w:sectPr w:rsidR="003A07D9" w:rsidRPr="003A07D9" w:rsidSect="00026B36">
      <w:headerReference w:type="default" r:id="rId17"/>
      <w:footerReference w:type="default" r:id="rId18"/>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2E70" w14:textId="77777777" w:rsidR="008B298B" w:rsidRDefault="008B298B">
      <w:r>
        <w:separator/>
      </w:r>
    </w:p>
  </w:endnote>
  <w:endnote w:type="continuationSeparator" w:id="0">
    <w:p w14:paraId="13B77185" w14:textId="77777777" w:rsidR="008B298B" w:rsidRDefault="008B298B">
      <w:r>
        <w:continuationSeparator/>
      </w:r>
    </w:p>
  </w:endnote>
  <w:endnote w:type="continuationNotice" w:id="1">
    <w:p w14:paraId="09F84A0A" w14:textId="77777777" w:rsidR="008B298B" w:rsidRDefault="008B2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1D7EA227" w:rsidR="00E2520A" w:rsidRPr="00EC6D8D" w:rsidRDefault="00E2520A" w:rsidP="000F2928">
    <w:pPr>
      <w:pStyle w:val="Piedepgina"/>
      <w:rPr>
        <w:rFonts w:ascii="Arial" w:hAnsi="Arial" w:cs="Arial"/>
        <w:color w:val="7F7F7F"/>
        <w:sz w:val="16"/>
        <w:szCs w:val="16"/>
      </w:rPr>
    </w:pPr>
  </w:p>
  <w:p w14:paraId="48FC6A04" w14:textId="48285BEE" w:rsidR="00E2520A" w:rsidRDefault="00B47E8B" w:rsidP="00322937">
    <w:pPr>
      <w:pStyle w:val="Piedepgina"/>
      <w:jc w:val="center"/>
      <w:rPr>
        <w:lang w:val="es-ES"/>
      </w:rPr>
    </w:pPr>
    <w:r>
      <w:rPr>
        <w:noProof/>
      </w:rPr>
      <w:drawing>
        <wp:inline distT="0" distB="0" distL="0" distR="0" wp14:anchorId="4F5B8B22" wp14:editId="05F570B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B47E8B" w:rsidRPr="00080DA3" w14:paraId="321A42CE" w14:textId="77777777" w:rsidTr="00CA1583">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B6FC72C" w14:textId="77777777" w:rsidR="00B47E8B" w:rsidRPr="00080DA3" w:rsidRDefault="00B47E8B" w:rsidP="00B47E8B">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A38CEF6" w14:textId="77777777" w:rsidR="00B47E8B" w:rsidRPr="00080DA3" w:rsidRDefault="00B47E8B" w:rsidP="00B47E8B">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40687408" w14:textId="77777777" w:rsidR="00B47E8B" w:rsidRPr="00080DA3" w:rsidRDefault="00B47E8B" w:rsidP="00B47E8B">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2382762" w14:textId="77777777" w:rsidR="00B47E8B" w:rsidRPr="004B6B0E" w:rsidRDefault="00B47E8B" w:rsidP="00B47E8B">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3F4B913A" w14:textId="77777777" w:rsidR="00B47E8B" w:rsidRPr="00080DA3" w:rsidRDefault="00B47E8B" w:rsidP="00B47E8B">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10F2182" w14:textId="77777777" w:rsidR="00B47E8B" w:rsidRPr="00080DA3" w:rsidRDefault="00B47E8B" w:rsidP="00B47E8B">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4C8554FD" w14:textId="77777777" w:rsidR="00B47E8B" w:rsidRPr="00080DA3" w:rsidRDefault="00B47E8B" w:rsidP="00B47E8B">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6A2E" w14:textId="77777777" w:rsidR="008B298B" w:rsidRDefault="008B298B">
      <w:r>
        <w:separator/>
      </w:r>
    </w:p>
  </w:footnote>
  <w:footnote w:type="continuationSeparator" w:id="0">
    <w:p w14:paraId="1A442ED1" w14:textId="77777777" w:rsidR="008B298B" w:rsidRDefault="008B298B">
      <w:r>
        <w:continuationSeparator/>
      </w:r>
    </w:p>
  </w:footnote>
  <w:footnote w:type="continuationNotice" w:id="1">
    <w:p w14:paraId="4A700EED" w14:textId="77777777" w:rsidR="008B298B" w:rsidRDefault="008B298B"/>
  </w:footnote>
  <w:footnote w:id="2">
    <w:p w14:paraId="76AF0639" w14:textId="77777777" w:rsidR="006E7824" w:rsidRPr="00216199" w:rsidRDefault="006E7824" w:rsidP="006E7824">
      <w:pPr>
        <w:pStyle w:val="Textonotapie"/>
        <w:ind w:firstLine="708"/>
        <w:jc w:val="both"/>
        <w:rPr>
          <w:rFonts w:ascii="Arial" w:hAnsi="Arial" w:cs="Arial"/>
          <w:sz w:val="17"/>
          <w:szCs w:val="17"/>
          <w:lang w:val="es-ES"/>
        </w:rPr>
      </w:pPr>
      <w:r w:rsidRPr="00216199">
        <w:rPr>
          <w:rStyle w:val="Refdenotaalpie"/>
          <w:rFonts w:ascii="Arial" w:hAnsi="Arial" w:cs="Arial"/>
          <w:sz w:val="17"/>
          <w:szCs w:val="17"/>
        </w:rPr>
        <w:footnoteRef/>
      </w:r>
      <w:r w:rsidRPr="00216199">
        <w:rPr>
          <w:rFonts w:ascii="Arial" w:hAnsi="Arial" w:cs="Arial"/>
          <w:sz w:val="17"/>
          <w:szCs w:val="17"/>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16199">
        <w:rPr>
          <w:rFonts w:ascii="Arial" w:hAnsi="Arial" w:cs="Arial"/>
          <w:i/>
          <w:iCs/>
          <w:sz w:val="17"/>
          <w:szCs w:val="17"/>
        </w:rPr>
        <w:t xml:space="preserve">ibidem </w:t>
      </w:r>
      <w:r w:rsidRPr="00216199">
        <w:rPr>
          <w:rFonts w:ascii="Arial" w:hAnsi="Arial" w:cs="Arial"/>
          <w:sz w:val="17"/>
          <w:szCs w:val="17"/>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5607C23" w14:textId="77777777" w:rsidR="00B65BBE" w:rsidRPr="00216199" w:rsidRDefault="00B65BBE" w:rsidP="00B65BBE">
      <w:pPr>
        <w:pStyle w:val="Textonotapie"/>
        <w:ind w:firstLine="709"/>
        <w:jc w:val="both"/>
        <w:rPr>
          <w:rFonts w:ascii="Arial" w:hAnsi="Arial" w:cs="Arial"/>
          <w:iCs/>
          <w:color w:val="161616" w:themeColor="background1" w:themeShade="1A"/>
          <w:sz w:val="17"/>
          <w:szCs w:val="17"/>
        </w:rPr>
      </w:pPr>
      <w:r w:rsidRPr="00216199">
        <w:rPr>
          <w:rStyle w:val="Refdenotaalpie"/>
          <w:rFonts w:ascii="Arial" w:hAnsi="Arial" w:cs="Arial"/>
          <w:color w:val="161616" w:themeColor="background1" w:themeShade="1A"/>
          <w:sz w:val="17"/>
          <w:szCs w:val="17"/>
        </w:rPr>
        <w:footnoteRef/>
      </w:r>
      <w:r w:rsidRPr="00216199">
        <w:rPr>
          <w:rFonts w:ascii="Arial" w:hAnsi="Arial" w:cs="Arial"/>
          <w:color w:val="161616" w:themeColor="background1" w:themeShade="1A"/>
          <w:sz w:val="17"/>
          <w:szCs w:val="17"/>
        </w:rPr>
        <w:t xml:space="preserve"> </w:t>
      </w:r>
      <w:r w:rsidRPr="00216199">
        <w:rPr>
          <w:rFonts w:ascii="Arial" w:hAnsi="Arial" w:cs="Arial"/>
          <w:iCs/>
          <w:color w:val="161616" w:themeColor="background1" w:themeShade="1A"/>
          <w:sz w:val="17"/>
          <w:szCs w:val="17"/>
        </w:rPr>
        <w:t>Artículo 3 de la Ley 80 de 1993.</w:t>
      </w:r>
    </w:p>
    <w:p w14:paraId="41873976" w14:textId="77777777" w:rsidR="00B65BBE" w:rsidRPr="00216199" w:rsidRDefault="00B65BBE" w:rsidP="00B65BBE">
      <w:pPr>
        <w:pStyle w:val="Textonotapie"/>
        <w:ind w:firstLine="709"/>
        <w:jc w:val="both"/>
        <w:rPr>
          <w:rFonts w:ascii="Arial" w:hAnsi="Arial" w:cs="Arial"/>
          <w:iCs/>
          <w:color w:val="161616" w:themeColor="background1" w:themeShade="1A"/>
          <w:sz w:val="17"/>
          <w:szCs w:val="17"/>
        </w:rPr>
      </w:pPr>
    </w:p>
  </w:footnote>
  <w:footnote w:id="4">
    <w:p w14:paraId="7BB4292C" w14:textId="77777777" w:rsidR="00B65BBE" w:rsidRPr="00216199" w:rsidRDefault="00B65BBE" w:rsidP="00B65BBE">
      <w:pPr>
        <w:pStyle w:val="Textonotapie"/>
        <w:ind w:firstLine="709"/>
        <w:jc w:val="both"/>
        <w:rPr>
          <w:rFonts w:ascii="Arial" w:hAnsi="Arial" w:cs="Arial"/>
          <w:sz w:val="17"/>
          <w:szCs w:val="17"/>
        </w:rPr>
      </w:pPr>
      <w:r w:rsidRPr="00216199">
        <w:rPr>
          <w:rStyle w:val="Refdenotaalpie"/>
          <w:rFonts w:ascii="Arial" w:hAnsi="Arial" w:cs="Arial"/>
          <w:sz w:val="17"/>
          <w:szCs w:val="17"/>
        </w:rPr>
        <w:footnoteRef/>
      </w:r>
      <w:r w:rsidRPr="00216199">
        <w:rPr>
          <w:rFonts w:ascii="Arial" w:hAnsi="Arial" w:cs="Arial"/>
          <w:sz w:val="17"/>
          <w:szCs w:val="17"/>
        </w:rPr>
        <w:t xml:space="preserve"> Consejo de Estado. Sección Tercera. Sentencia del 27 de noviembre de 2017. Consejero Ponente: Jaime Orlando Santofimio. Expediente: 51.802.</w:t>
      </w:r>
    </w:p>
    <w:p w14:paraId="499C7DDC" w14:textId="77777777" w:rsidR="00B65BBE" w:rsidRPr="00216199" w:rsidRDefault="00B65BBE" w:rsidP="00B65BBE">
      <w:pPr>
        <w:pStyle w:val="Textonotapie"/>
        <w:ind w:firstLine="709"/>
        <w:jc w:val="both"/>
        <w:rPr>
          <w:rFonts w:ascii="Arial" w:hAnsi="Arial" w:cs="Arial"/>
          <w:sz w:val="17"/>
          <w:szCs w:val="17"/>
        </w:rPr>
      </w:pPr>
    </w:p>
  </w:footnote>
  <w:footnote w:id="5">
    <w:p w14:paraId="13954AF3" w14:textId="77777777" w:rsidR="00B65BBE" w:rsidRPr="00216199" w:rsidRDefault="00B65BBE" w:rsidP="00B65BBE">
      <w:pPr>
        <w:pStyle w:val="Textonotapie"/>
        <w:ind w:firstLine="709"/>
        <w:jc w:val="both"/>
        <w:rPr>
          <w:rFonts w:ascii="Arial" w:hAnsi="Arial" w:cs="Arial"/>
          <w:iCs/>
          <w:color w:val="161616" w:themeColor="background1" w:themeShade="1A"/>
          <w:sz w:val="17"/>
          <w:szCs w:val="17"/>
        </w:rPr>
      </w:pPr>
      <w:r w:rsidRPr="00216199">
        <w:rPr>
          <w:rStyle w:val="Refdenotaalpie"/>
          <w:rFonts w:ascii="Arial" w:hAnsi="Arial" w:cs="Arial"/>
          <w:color w:val="161616" w:themeColor="background1" w:themeShade="1A"/>
          <w:sz w:val="17"/>
          <w:szCs w:val="17"/>
        </w:rPr>
        <w:footnoteRef/>
      </w:r>
      <w:r w:rsidRPr="00216199">
        <w:rPr>
          <w:rFonts w:ascii="Arial" w:hAnsi="Arial" w:cs="Arial"/>
          <w:color w:val="161616" w:themeColor="background1" w:themeShade="1A"/>
          <w:sz w:val="17"/>
          <w:szCs w:val="17"/>
        </w:rPr>
        <w:t xml:space="preserve"> </w:t>
      </w:r>
      <w:r w:rsidRPr="00216199">
        <w:rPr>
          <w:rFonts w:ascii="Arial" w:hAnsi="Arial" w:cs="Arial"/>
          <w:iCs/>
          <w:color w:val="161616" w:themeColor="background1" w:themeShade="1A"/>
          <w:sz w:val="17"/>
          <w:szCs w:val="17"/>
        </w:rPr>
        <w:t>Artículo 17 de la Ley 1150 de 2007.</w:t>
      </w:r>
    </w:p>
    <w:p w14:paraId="61690093" w14:textId="77777777" w:rsidR="00B65BBE" w:rsidRPr="00216199" w:rsidRDefault="00B65BBE" w:rsidP="00B65BBE">
      <w:pPr>
        <w:pStyle w:val="Textonotapie"/>
        <w:ind w:firstLine="709"/>
        <w:jc w:val="both"/>
        <w:rPr>
          <w:rFonts w:ascii="Arial" w:hAnsi="Arial" w:cs="Arial"/>
          <w:color w:val="161616" w:themeColor="background1" w:themeShade="1A"/>
          <w:sz w:val="17"/>
          <w:szCs w:val="17"/>
          <w:lang w:val="es-ES"/>
        </w:rPr>
      </w:pPr>
    </w:p>
  </w:footnote>
  <w:footnote w:id="6">
    <w:p w14:paraId="1447FF5E" w14:textId="77777777" w:rsidR="00B65BBE" w:rsidRPr="00216199" w:rsidRDefault="00B65BBE" w:rsidP="00B65BBE">
      <w:pPr>
        <w:pStyle w:val="Textonotapie"/>
        <w:ind w:firstLine="709"/>
        <w:jc w:val="both"/>
        <w:rPr>
          <w:rFonts w:ascii="Arial" w:hAnsi="Arial" w:cs="Arial"/>
          <w:iCs/>
          <w:color w:val="161616" w:themeColor="background1" w:themeShade="1A"/>
          <w:sz w:val="17"/>
          <w:szCs w:val="17"/>
        </w:rPr>
      </w:pPr>
      <w:r w:rsidRPr="00216199">
        <w:rPr>
          <w:rStyle w:val="Refdenotaalpie"/>
          <w:rFonts w:ascii="Arial" w:hAnsi="Arial" w:cs="Arial"/>
          <w:color w:val="161616" w:themeColor="background1" w:themeShade="1A"/>
          <w:sz w:val="17"/>
          <w:szCs w:val="17"/>
        </w:rPr>
        <w:footnoteRef/>
      </w:r>
      <w:r w:rsidRPr="00216199">
        <w:rPr>
          <w:rFonts w:ascii="Arial" w:hAnsi="Arial" w:cs="Arial"/>
          <w:color w:val="161616" w:themeColor="background1" w:themeShade="1A"/>
          <w:sz w:val="17"/>
          <w:szCs w:val="17"/>
        </w:rPr>
        <w:t xml:space="preserve"> </w:t>
      </w:r>
      <w:r w:rsidRPr="00216199">
        <w:rPr>
          <w:rFonts w:ascii="Arial" w:hAnsi="Arial" w:cs="Arial"/>
          <w:iCs/>
          <w:color w:val="161616" w:themeColor="background1" w:themeShade="1A"/>
          <w:sz w:val="17"/>
          <w:szCs w:val="17"/>
        </w:rPr>
        <w:t>Artículo 21 de la Ley 1150 de 2007.</w:t>
      </w:r>
    </w:p>
    <w:p w14:paraId="291C6535" w14:textId="77777777" w:rsidR="00B65BBE" w:rsidRPr="00216199" w:rsidRDefault="00B65BBE" w:rsidP="00B65BBE">
      <w:pPr>
        <w:pStyle w:val="Textonotapie"/>
        <w:ind w:firstLine="709"/>
        <w:jc w:val="both"/>
        <w:rPr>
          <w:rFonts w:ascii="Arial" w:hAnsi="Arial" w:cs="Arial"/>
          <w:color w:val="161616" w:themeColor="background1" w:themeShade="1A"/>
          <w:sz w:val="17"/>
          <w:szCs w:val="17"/>
        </w:rPr>
      </w:pPr>
    </w:p>
  </w:footnote>
  <w:footnote w:id="7">
    <w:p w14:paraId="1F7D0353" w14:textId="14A8DC8F" w:rsidR="00B65BBE" w:rsidRPr="00216199" w:rsidRDefault="00B65BBE" w:rsidP="00216199">
      <w:pPr>
        <w:pStyle w:val="Textonotapie"/>
        <w:ind w:firstLine="709"/>
        <w:jc w:val="both"/>
        <w:rPr>
          <w:rFonts w:ascii="Arial" w:hAnsi="Arial" w:cs="Arial"/>
          <w:iCs/>
          <w:color w:val="161616" w:themeColor="background1" w:themeShade="1A"/>
          <w:sz w:val="17"/>
          <w:szCs w:val="17"/>
        </w:rPr>
      </w:pPr>
      <w:r w:rsidRPr="00216199">
        <w:rPr>
          <w:rStyle w:val="Refdenotaalpie"/>
          <w:rFonts w:ascii="Arial" w:hAnsi="Arial" w:cs="Arial"/>
          <w:color w:val="161616" w:themeColor="background1" w:themeShade="1A"/>
          <w:sz w:val="17"/>
          <w:szCs w:val="17"/>
        </w:rPr>
        <w:footnoteRef/>
      </w:r>
      <w:r w:rsidRPr="00216199">
        <w:rPr>
          <w:rFonts w:ascii="Arial" w:hAnsi="Arial" w:cs="Arial"/>
          <w:color w:val="161616" w:themeColor="background1" w:themeShade="1A"/>
          <w:sz w:val="17"/>
          <w:szCs w:val="17"/>
        </w:rPr>
        <w:t xml:space="preserve"> </w:t>
      </w:r>
      <w:r w:rsidRPr="00216199">
        <w:rPr>
          <w:rFonts w:ascii="Arial" w:hAnsi="Arial" w:cs="Arial"/>
          <w:iCs/>
          <w:color w:val="161616" w:themeColor="background1" w:themeShade="1A"/>
          <w:sz w:val="17"/>
          <w:szCs w:val="17"/>
        </w:rPr>
        <w:t>Artículos 83 a 86 de la Ley 1474 de 2011.</w:t>
      </w:r>
    </w:p>
  </w:footnote>
  <w:footnote w:id="8">
    <w:p w14:paraId="740A13CA" w14:textId="2D2216A5" w:rsidR="00B65BBE" w:rsidRPr="00216199" w:rsidRDefault="00B65BBE" w:rsidP="00216199">
      <w:pPr>
        <w:pStyle w:val="Textonotapie"/>
        <w:ind w:firstLine="708"/>
        <w:jc w:val="both"/>
        <w:rPr>
          <w:rFonts w:ascii="Arial" w:hAnsi="Arial" w:cs="Arial"/>
          <w:color w:val="000000" w:themeColor="text1"/>
          <w:sz w:val="17"/>
          <w:szCs w:val="17"/>
          <w:lang w:val="es-ES"/>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w:t>
      </w:r>
      <w:r w:rsidRPr="00216199">
        <w:rPr>
          <w:rFonts w:ascii="Arial" w:hAnsi="Arial" w:cs="Arial"/>
          <w:iCs/>
          <w:color w:val="000000" w:themeColor="text1"/>
          <w:sz w:val="17"/>
          <w:szCs w:val="17"/>
        </w:rPr>
        <w:t>SUÁREZ BELTRÁN, Gonzalo. Estudios de derecho contractual público. 1ª Ed. Legis, 2014. Bogotá. p. 256.</w:t>
      </w:r>
    </w:p>
  </w:footnote>
  <w:footnote w:id="9">
    <w:p w14:paraId="41A62564" w14:textId="76BF2B6F" w:rsidR="00B65BBE" w:rsidRPr="00216199" w:rsidRDefault="00B65BBE" w:rsidP="00B65BBE">
      <w:pPr>
        <w:pStyle w:val="Textonotapie"/>
        <w:ind w:firstLine="708"/>
        <w:jc w:val="both"/>
        <w:rPr>
          <w:rStyle w:val="Hipervnculo"/>
          <w:rFonts w:ascii="Arial" w:hAnsi="Arial" w:cs="Arial"/>
          <w:iCs/>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w:t>
      </w:r>
      <w:r w:rsidRPr="00216199">
        <w:rPr>
          <w:rFonts w:ascii="Arial" w:hAnsi="Arial" w:cs="Arial"/>
          <w:iCs/>
          <w:color w:val="000000" w:themeColor="text1"/>
          <w:sz w:val="17"/>
          <w:szCs w:val="17"/>
        </w:rPr>
        <w:t xml:space="preserve">Disponible en: </w:t>
      </w:r>
      <w:hyperlink r:id="rId1" w:history="1">
        <w:r w:rsidR="002618EB" w:rsidRPr="00216199">
          <w:rPr>
            <w:rStyle w:val="Hipervnculo"/>
            <w:rFonts w:ascii="Arial" w:hAnsi="Arial" w:cs="Arial"/>
            <w:iCs/>
            <w:color w:val="auto"/>
            <w:sz w:val="17"/>
            <w:szCs w:val="17"/>
          </w:rPr>
          <w:t>https://colombiacompra.gov.co/sites/cce_public/files/cce_documents/cce_guia_supervision_interventoria.pdf</w:t>
        </w:r>
      </w:hyperlink>
      <w:r w:rsidR="002618EB" w:rsidRPr="00216199">
        <w:rPr>
          <w:rFonts w:ascii="Arial" w:hAnsi="Arial" w:cs="Arial"/>
          <w:iCs/>
          <w:sz w:val="17"/>
          <w:szCs w:val="17"/>
        </w:rPr>
        <w:t xml:space="preserve"> </w:t>
      </w:r>
    </w:p>
    <w:p w14:paraId="1DF554A8" w14:textId="77777777" w:rsidR="00B65BBE" w:rsidRPr="00216199" w:rsidRDefault="00B65BBE" w:rsidP="00B65BBE">
      <w:pPr>
        <w:pStyle w:val="Textonotapie"/>
        <w:ind w:firstLine="708"/>
        <w:jc w:val="both"/>
        <w:rPr>
          <w:rFonts w:ascii="Arial" w:hAnsi="Arial" w:cs="Arial"/>
          <w:iCs/>
          <w:color w:val="000000" w:themeColor="text1"/>
          <w:sz w:val="17"/>
          <w:szCs w:val="17"/>
        </w:rPr>
      </w:pPr>
    </w:p>
  </w:footnote>
  <w:footnote w:id="10">
    <w:p w14:paraId="6A8BA0F4" w14:textId="0FCB705E" w:rsidR="00B65BBE" w:rsidRPr="00216199" w:rsidRDefault="00B65BBE" w:rsidP="00216199">
      <w:pPr>
        <w:pStyle w:val="Textonotapie"/>
        <w:ind w:firstLine="708"/>
        <w:jc w:val="both"/>
        <w:rPr>
          <w:rFonts w:ascii="Arial" w:hAnsi="Arial" w:cs="Arial"/>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w:t>
      </w:r>
      <w:r w:rsidRPr="00216199">
        <w:rPr>
          <w:rFonts w:ascii="Arial" w:hAnsi="Arial" w:cs="Arial"/>
          <w:iCs/>
          <w:color w:val="000000" w:themeColor="text1"/>
          <w:sz w:val="17"/>
          <w:szCs w:val="17"/>
        </w:rPr>
        <w:t>Departamento Administrativo de la Función Pública. Concepto del 6 de mayo de 2019. Rad. 140.881.</w:t>
      </w:r>
    </w:p>
  </w:footnote>
  <w:footnote w:id="11">
    <w:p w14:paraId="09AA9BF1" w14:textId="77777777" w:rsidR="00B65BBE" w:rsidRPr="00216199" w:rsidRDefault="00B65BBE" w:rsidP="00B65BBE">
      <w:pPr>
        <w:pStyle w:val="Textonotapie"/>
        <w:ind w:firstLine="708"/>
        <w:jc w:val="both"/>
        <w:rPr>
          <w:rFonts w:ascii="Arial" w:hAnsi="Arial" w:cs="Arial"/>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En las Gacetas Nos. 607 y 784 de 2010, en las páginas 12 y 24, respectivamente, se da cuenta de esto.</w:t>
      </w:r>
    </w:p>
    <w:p w14:paraId="712D2438" w14:textId="77777777" w:rsidR="00B65BBE" w:rsidRPr="00216199" w:rsidRDefault="00B65BBE" w:rsidP="00B65BBE">
      <w:pPr>
        <w:pStyle w:val="Textonotapie"/>
        <w:ind w:firstLine="708"/>
        <w:jc w:val="both"/>
        <w:rPr>
          <w:rFonts w:ascii="Arial" w:hAnsi="Arial" w:cs="Arial"/>
          <w:color w:val="000000" w:themeColor="text1"/>
          <w:sz w:val="17"/>
          <w:szCs w:val="17"/>
          <w:lang w:val="es-ES"/>
        </w:rPr>
      </w:pPr>
    </w:p>
  </w:footnote>
  <w:footnote w:id="12">
    <w:p w14:paraId="6BD376F8" w14:textId="77777777" w:rsidR="00B65BBE" w:rsidRPr="00216199" w:rsidRDefault="00B65BBE" w:rsidP="00B65BBE">
      <w:pPr>
        <w:pStyle w:val="Textonotapie"/>
        <w:ind w:firstLine="708"/>
        <w:jc w:val="both"/>
        <w:rPr>
          <w:rFonts w:ascii="Arial" w:hAnsi="Arial" w:cs="Arial"/>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Ver las Gacetas Nos. 1002 y 1117 de 2010, en las páginas 44 y 13, respectivamente.</w:t>
      </w:r>
    </w:p>
    <w:p w14:paraId="2A880766" w14:textId="77777777" w:rsidR="00B65BBE" w:rsidRPr="00216199" w:rsidRDefault="00B65BBE" w:rsidP="00B65BBE">
      <w:pPr>
        <w:pStyle w:val="Textonotapie"/>
        <w:ind w:firstLine="708"/>
        <w:jc w:val="both"/>
        <w:rPr>
          <w:rFonts w:ascii="Arial" w:hAnsi="Arial" w:cs="Arial"/>
          <w:color w:val="000000" w:themeColor="text1"/>
          <w:sz w:val="17"/>
          <w:szCs w:val="17"/>
          <w:lang w:val="es-ES"/>
        </w:rPr>
      </w:pPr>
    </w:p>
  </w:footnote>
  <w:footnote w:id="13">
    <w:p w14:paraId="3F909EE9" w14:textId="77777777" w:rsidR="00B65BBE" w:rsidRPr="00216199" w:rsidRDefault="00B65BBE" w:rsidP="00B65BBE">
      <w:pPr>
        <w:pStyle w:val="Textonotapie"/>
        <w:ind w:firstLine="708"/>
        <w:jc w:val="both"/>
        <w:rPr>
          <w:rFonts w:ascii="Arial" w:hAnsi="Arial" w:cs="Arial"/>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Ver la Gaceta No. 019 de 2011, en la página 17.</w:t>
      </w:r>
    </w:p>
    <w:p w14:paraId="2A2D15BB" w14:textId="77777777" w:rsidR="00B65BBE" w:rsidRPr="00216199" w:rsidRDefault="00B65BBE" w:rsidP="00B65BBE">
      <w:pPr>
        <w:pStyle w:val="Textonotapie"/>
        <w:ind w:firstLine="708"/>
        <w:jc w:val="both"/>
        <w:rPr>
          <w:rFonts w:ascii="Arial" w:hAnsi="Arial" w:cs="Arial"/>
          <w:color w:val="000000" w:themeColor="text1"/>
          <w:sz w:val="17"/>
          <w:szCs w:val="17"/>
          <w:lang w:val="es-ES"/>
        </w:rPr>
      </w:pPr>
    </w:p>
  </w:footnote>
  <w:footnote w:id="14">
    <w:p w14:paraId="1EA76C8B" w14:textId="77777777" w:rsidR="00B65BBE" w:rsidRPr="00216199" w:rsidRDefault="00B65BBE" w:rsidP="00B65BBE">
      <w:pPr>
        <w:pStyle w:val="Textonotapie"/>
        <w:ind w:firstLine="708"/>
        <w:jc w:val="both"/>
        <w:rPr>
          <w:rFonts w:ascii="Arial" w:hAnsi="Arial" w:cs="Arial"/>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Ver la Gaceta No. 128 de 2011, en la página 20.</w:t>
      </w:r>
    </w:p>
    <w:p w14:paraId="17FBE086" w14:textId="77777777" w:rsidR="00B65BBE" w:rsidRPr="00216199" w:rsidRDefault="00B65BBE" w:rsidP="00B65BBE">
      <w:pPr>
        <w:pStyle w:val="Textonotapie"/>
        <w:ind w:firstLine="708"/>
        <w:jc w:val="both"/>
        <w:rPr>
          <w:rFonts w:ascii="Arial" w:hAnsi="Arial" w:cs="Arial"/>
          <w:color w:val="000000" w:themeColor="text1"/>
          <w:sz w:val="17"/>
          <w:szCs w:val="17"/>
          <w:lang w:val="es-ES"/>
        </w:rPr>
      </w:pPr>
    </w:p>
  </w:footnote>
  <w:footnote w:id="15">
    <w:p w14:paraId="34E127DB" w14:textId="77777777" w:rsidR="00B65BBE" w:rsidRPr="00216199" w:rsidRDefault="00B65BBE" w:rsidP="00B65BBE">
      <w:pPr>
        <w:pStyle w:val="Textonotapie"/>
        <w:ind w:firstLine="708"/>
        <w:jc w:val="both"/>
        <w:rPr>
          <w:rFonts w:ascii="Arial" w:hAnsi="Arial" w:cs="Arial"/>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Ver la Gaceta No. 258 de 2011, en la página 16.</w:t>
      </w:r>
    </w:p>
    <w:p w14:paraId="3CC2D8B9" w14:textId="77777777" w:rsidR="00B65BBE" w:rsidRPr="00216199" w:rsidRDefault="00B65BBE" w:rsidP="00B65BBE">
      <w:pPr>
        <w:pStyle w:val="Textonotapie"/>
        <w:ind w:firstLine="708"/>
        <w:rPr>
          <w:rFonts w:ascii="Arial" w:hAnsi="Arial" w:cs="Arial"/>
          <w:color w:val="000000" w:themeColor="text1"/>
          <w:sz w:val="17"/>
          <w:szCs w:val="17"/>
          <w:lang w:val="es-ES"/>
        </w:rPr>
      </w:pPr>
    </w:p>
  </w:footnote>
  <w:footnote w:id="16">
    <w:p w14:paraId="1A00F4B8" w14:textId="77777777" w:rsidR="00B65BBE" w:rsidRPr="00216199" w:rsidRDefault="00B65BBE" w:rsidP="00B65BBE">
      <w:pPr>
        <w:pStyle w:val="Textonotapie"/>
        <w:ind w:firstLine="708"/>
        <w:rPr>
          <w:rFonts w:ascii="Arial" w:hAnsi="Arial" w:cs="Arial"/>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Ver las Gacetas Nos. 1002 y 1117 de 2010.</w:t>
      </w:r>
    </w:p>
    <w:p w14:paraId="31B90392" w14:textId="77777777" w:rsidR="00B65BBE" w:rsidRPr="00216199" w:rsidRDefault="00B65BBE" w:rsidP="00B65BBE">
      <w:pPr>
        <w:pStyle w:val="Textonotapie"/>
        <w:ind w:firstLine="708"/>
        <w:rPr>
          <w:rFonts w:ascii="Arial" w:hAnsi="Arial" w:cs="Arial"/>
          <w:color w:val="000000" w:themeColor="text1"/>
          <w:sz w:val="17"/>
          <w:szCs w:val="17"/>
          <w:lang w:val="es-ES"/>
        </w:rPr>
      </w:pPr>
    </w:p>
  </w:footnote>
  <w:footnote w:id="17">
    <w:p w14:paraId="7CE27668" w14:textId="5EB4FCBB" w:rsidR="00B65BBE" w:rsidRPr="00216199" w:rsidRDefault="00B65BBE" w:rsidP="00696DCD">
      <w:pPr>
        <w:pStyle w:val="Textonotapie"/>
        <w:ind w:firstLine="708"/>
        <w:jc w:val="both"/>
        <w:rPr>
          <w:rFonts w:ascii="Arial" w:hAnsi="Arial" w:cs="Arial"/>
          <w:color w:val="000000" w:themeColor="text1"/>
          <w:sz w:val="17"/>
          <w:szCs w:val="17"/>
        </w:rPr>
      </w:pPr>
      <w:r w:rsidRPr="00216199">
        <w:rPr>
          <w:rStyle w:val="Refdenotaalpie"/>
          <w:rFonts w:ascii="Arial" w:hAnsi="Arial" w:cs="Arial"/>
          <w:color w:val="000000" w:themeColor="text1"/>
          <w:sz w:val="17"/>
          <w:szCs w:val="17"/>
        </w:rPr>
        <w:footnoteRef/>
      </w:r>
      <w:r w:rsidRPr="00216199">
        <w:rPr>
          <w:rFonts w:ascii="Arial" w:hAnsi="Arial" w:cs="Arial"/>
          <w:color w:val="000000" w:themeColor="text1"/>
          <w:sz w:val="17"/>
          <w:szCs w:val="17"/>
        </w:rPr>
        <w:t xml:space="preserve"> Consejo de Estado, Sección Tercera, Subsección A. Radicado No. 27426. C.P. Ramiro Pazos Guerrero.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p w14:paraId="646B9088" w14:textId="77777777" w:rsidR="00B47E8B" w:rsidRDefault="00B47E8B" w:rsidP="00B47E8B"/>
  <w:p w14:paraId="0D948E65" w14:textId="77777777" w:rsidR="00B47E8B" w:rsidRDefault="00B47E8B" w:rsidP="00B47E8B">
    <w:pPr>
      <w:rPr>
        <w:rFonts w:ascii="Geomanist Bold" w:hAnsi="Geomanist Bold"/>
        <w:color w:val="002060"/>
        <w:lang w:eastAsia="en-US"/>
      </w:rPr>
    </w:pPr>
    <w:r>
      <w:rPr>
        <w:noProof/>
        <w:sz w:val="22"/>
        <w:szCs w:val="22"/>
        <w:lang w:eastAsia="en-US"/>
      </w:rPr>
      <w:drawing>
        <wp:anchor distT="0" distB="0" distL="0" distR="0" simplePos="0" relativeHeight="251659264" behindDoc="1" locked="0" layoutInCell="1" allowOverlap="1" wp14:anchorId="552A77B8" wp14:editId="593FBDDC">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B47E8B" w14:paraId="0ABC1C67" w14:textId="77777777" w:rsidTr="00CA1583">
      <w:tc>
        <w:tcPr>
          <w:tcW w:w="6757" w:type="dxa"/>
          <w:tcBorders>
            <w:top w:val="nil"/>
            <w:left w:val="nil"/>
            <w:bottom w:val="nil"/>
            <w:right w:val="nil"/>
          </w:tcBorders>
          <w:hideMark/>
        </w:tcPr>
        <w:p w14:paraId="17277C21" w14:textId="77777777" w:rsidR="00B47E8B" w:rsidRDefault="00B47E8B" w:rsidP="00B47E8B">
          <w:pPr>
            <w:tabs>
              <w:tab w:val="center" w:pos="4419"/>
              <w:tab w:val="center" w:pos="5400"/>
              <w:tab w:val="right" w:pos="8838"/>
            </w:tabs>
            <w:rPr>
              <w:rFonts w:ascii="Geomanist Bold" w:eastAsia="Geo" w:hAnsi="Geomanist Bold" w:cs="Geo"/>
              <w:b/>
              <w:color w:val="002060"/>
              <w:sz w:val="22"/>
              <w:szCs w:val="22"/>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60D1C3BF" w14:textId="77777777" w:rsidR="00B47E8B" w:rsidRDefault="00B47E8B" w:rsidP="00B47E8B">
          <w:pPr>
            <w:tabs>
              <w:tab w:val="center" w:pos="4419"/>
              <w:tab w:val="center" w:pos="5400"/>
              <w:tab w:val="right" w:pos="8838"/>
            </w:tabs>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A4F5458" w14:textId="77777777" w:rsidR="00B47E8B" w:rsidRDefault="00B47E8B" w:rsidP="00B47E8B">
          <w:pPr>
            <w:jc w:val="right"/>
            <w:rPr>
              <w:rFonts w:eastAsia="Arial Nova" w:cs="Arial Nova"/>
              <w:sz w:val="22"/>
              <w:szCs w:val="22"/>
              <w:lang w:eastAsia="es-CO"/>
            </w:rPr>
          </w:pPr>
        </w:p>
      </w:tc>
      <w:tc>
        <w:tcPr>
          <w:tcW w:w="1324" w:type="dxa"/>
          <w:tcBorders>
            <w:top w:val="nil"/>
            <w:left w:val="nil"/>
            <w:bottom w:val="nil"/>
            <w:right w:val="nil"/>
          </w:tcBorders>
        </w:tcPr>
        <w:p w14:paraId="0063ABA2" w14:textId="77777777" w:rsidR="00B47E8B" w:rsidRDefault="00B47E8B" w:rsidP="00B47E8B">
          <w:pPr>
            <w:jc w:val="right"/>
            <w:rPr>
              <w:rFonts w:eastAsia="Arial Nova" w:cs="Arial Nova"/>
              <w:lang w:eastAsia="es-CO"/>
            </w:rPr>
          </w:pPr>
        </w:p>
      </w:tc>
    </w:tr>
  </w:tbl>
  <w:p w14:paraId="6D9A57E2" w14:textId="77777777" w:rsidR="00B47E8B" w:rsidRDefault="00B47E8B" w:rsidP="00B47E8B">
    <w:r>
      <w:rPr>
        <w:noProof/>
      </w:rPr>
      <w:drawing>
        <wp:inline distT="0" distB="0" distL="0" distR="0" wp14:anchorId="7D638FF6" wp14:editId="6F96D7E9">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p w14:paraId="5DBE9C96" w14:textId="34B9F744" w:rsidR="00E2520A" w:rsidRDefault="00E2520A" w:rsidP="000F292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7"/>
  </w:num>
  <w:num w:numId="2" w16cid:durableId="1478569355">
    <w:abstractNumId w:val="15"/>
  </w:num>
  <w:num w:numId="3" w16cid:durableId="1952978564">
    <w:abstractNumId w:val="24"/>
  </w:num>
  <w:num w:numId="4" w16cid:durableId="1315186126">
    <w:abstractNumId w:val="29"/>
  </w:num>
  <w:num w:numId="5" w16cid:durableId="1309093109">
    <w:abstractNumId w:val="33"/>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0"/>
  </w:num>
  <w:num w:numId="8" w16cid:durableId="1008755670">
    <w:abstractNumId w:val="3"/>
  </w:num>
  <w:num w:numId="9" w16cid:durableId="65764095">
    <w:abstractNumId w:val="9"/>
  </w:num>
  <w:num w:numId="10" w16cid:durableId="1349602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6"/>
  </w:num>
  <w:num w:numId="13" w16cid:durableId="1145464557">
    <w:abstractNumId w:val="22"/>
  </w:num>
  <w:num w:numId="14" w16cid:durableId="848450862">
    <w:abstractNumId w:val="12"/>
  </w:num>
  <w:num w:numId="15" w16cid:durableId="191215078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35"/>
  </w:num>
  <w:num w:numId="18" w16cid:durableId="718556045">
    <w:abstractNumId w:val="25"/>
  </w:num>
  <w:num w:numId="19" w16cid:durableId="2109496769">
    <w:abstractNumId w:val="8"/>
  </w:num>
  <w:num w:numId="20" w16cid:durableId="1574777690">
    <w:abstractNumId w:val="36"/>
  </w:num>
  <w:num w:numId="21" w16cid:durableId="343829570">
    <w:abstractNumId w:val="27"/>
  </w:num>
  <w:num w:numId="22" w16cid:durableId="1521091477">
    <w:abstractNumId w:val="11"/>
  </w:num>
  <w:num w:numId="23" w16cid:durableId="1406491540">
    <w:abstractNumId w:val="10"/>
  </w:num>
  <w:num w:numId="24" w16cid:durableId="216599317">
    <w:abstractNumId w:val="31"/>
  </w:num>
  <w:num w:numId="25" w16cid:durableId="706416597">
    <w:abstractNumId w:val="19"/>
  </w:num>
  <w:num w:numId="26" w16cid:durableId="270862301">
    <w:abstractNumId w:val="34"/>
  </w:num>
  <w:num w:numId="27" w16cid:durableId="1795712713">
    <w:abstractNumId w:val="38"/>
  </w:num>
  <w:num w:numId="28" w16cid:durableId="969941319">
    <w:abstractNumId w:val="23"/>
  </w:num>
  <w:num w:numId="29" w16cid:durableId="1808891589">
    <w:abstractNumId w:val="2"/>
  </w:num>
  <w:num w:numId="30" w16cid:durableId="1508400274">
    <w:abstractNumId w:val="26"/>
  </w:num>
  <w:num w:numId="31" w16cid:durableId="1848517314">
    <w:abstractNumId w:val="20"/>
  </w:num>
  <w:num w:numId="32" w16cid:durableId="1225678077">
    <w:abstractNumId w:val="28"/>
  </w:num>
  <w:num w:numId="33" w16cid:durableId="283007414">
    <w:abstractNumId w:val="37"/>
  </w:num>
  <w:num w:numId="34" w16cid:durableId="669528079">
    <w:abstractNumId w:val="18"/>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7D0"/>
    <w:rsid w:val="00003C5C"/>
    <w:rsid w:val="000040D7"/>
    <w:rsid w:val="00004556"/>
    <w:rsid w:val="000051AF"/>
    <w:rsid w:val="00005958"/>
    <w:rsid w:val="000059D3"/>
    <w:rsid w:val="00005E78"/>
    <w:rsid w:val="0000600A"/>
    <w:rsid w:val="00006081"/>
    <w:rsid w:val="000060D0"/>
    <w:rsid w:val="00006D78"/>
    <w:rsid w:val="000075EA"/>
    <w:rsid w:val="00007750"/>
    <w:rsid w:val="000077FD"/>
    <w:rsid w:val="00007E37"/>
    <w:rsid w:val="00010408"/>
    <w:rsid w:val="00010C40"/>
    <w:rsid w:val="000112B4"/>
    <w:rsid w:val="00011BC1"/>
    <w:rsid w:val="00011DCC"/>
    <w:rsid w:val="00012532"/>
    <w:rsid w:val="00012B9E"/>
    <w:rsid w:val="00012FBA"/>
    <w:rsid w:val="000134A4"/>
    <w:rsid w:val="00013C6B"/>
    <w:rsid w:val="0001406B"/>
    <w:rsid w:val="000143F8"/>
    <w:rsid w:val="00014624"/>
    <w:rsid w:val="000147ED"/>
    <w:rsid w:val="000159D5"/>
    <w:rsid w:val="00015B44"/>
    <w:rsid w:val="00016081"/>
    <w:rsid w:val="000165AC"/>
    <w:rsid w:val="00016651"/>
    <w:rsid w:val="00016881"/>
    <w:rsid w:val="000171A2"/>
    <w:rsid w:val="00017B65"/>
    <w:rsid w:val="00020158"/>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6EDB"/>
    <w:rsid w:val="0004716A"/>
    <w:rsid w:val="00047316"/>
    <w:rsid w:val="00047385"/>
    <w:rsid w:val="000473E8"/>
    <w:rsid w:val="00050021"/>
    <w:rsid w:val="00050460"/>
    <w:rsid w:val="000504DE"/>
    <w:rsid w:val="00051074"/>
    <w:rsid w:val="0005211A"/>
    <w:rsid w:val="00052B79"/>
    <w:rsid w:val="00052B86"/>
    <w:rsid w:val="00052EA0"/>
    <w:rsid w:val="000536E3"/>
    <w:rsid w:val="00053EDA"/>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70AF1"/>
    <w:rsid w:val="00070B59"/>
    <w:rsid w:val="000714DE"/>
    <w:rsid w:val="0007254F"/>
    <w:rsid w:val="000726D1"/>
    <w:rsid w:val="00073C30"/>
    <w:rsid w:val="00074305"/>
    <w:rsid w:val="00074B2A"/>
    <w:rsid w:val="00075057"/>
    <w:rsid w:val="00075108"/>
    <w:rsid w:val="00075B3E"/>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683"/>
    <w:rsid w:val="000C7711"/>
    <w:rsid w:val="000C7AA2"/>
    <w:rsid w:val="000C7F0B"/>
    <w:rsid w:val="000D0462"/>
    <w:rsid w:val="000D0497"/>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B42"/>
    <w:rsid w:val="00203FE3"/>
    <w:rsid w:val="002042D8"/>
    <w:rsid w:val="00204515"/>
    <w:rsid w:val="00204BF5"/>
    <w:rsid w:val="00204D91"/>
    <w:rsid w:val="00204D9B"/>
    <w:rsid w:val="00204E6B"/>
    <w:rsid w:val="002058D4"/>
    <w:rsid w:val="00205BAA"/>
    <w:rsid w:val="0020632A"/>
    <w:rsid w:val="002064A6"/>
    <w:rsid w:val="0020697F"/>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199"/>
    <w:rsid w:val="00216264"/>
    <w:rsid w:val="002168B8"/>
    <w:rsid w:val="002176B6"/>
    <w:rsid w:val="0021792D"/>
    <w:rsid w:val="00217DB8"/>
    <w:rsid w:val="0022032A"/>
    <w:rsid w:val="002221CE"/>
    <w:rsid w:val="00222BE8"/>
    <w:rsid w:val="00223102"/>
    <w:rsid w:val="002232CB"/>
    <w:rsid w:val="00224022"/>
    <w:rsid w:val="00225C7E"/>
    <w:rsid w:val="00226055"/>
    <w:rsid w:val="0022613F"/>
    <w:rsid w:val="00226236"/>
    <w:rsid w:val="00226DF9"/>
    <w:rsid w:val="002270C9"/>
    <w:rsid w:val="00227710"/>
    <w:rsid w:val="00227A8B"/>
    <w:rsid w:val="002311DD"/>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8EB"/>
    <w:rsid w:val="00261CF9"/>
    <w:rsid w:val="00261EC0"/>
    <w:rsid w:val="0026231B"/>
    <w:rsid w:val="0026306A"/>
    <w:rsid w:val="00263101"/>
    <w:rsid w:val="00263201"/>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07D3"/>
    <w:rsid w:val="002E1050"/>
    <w:rsid w:val="002E18E5"/>
    <w:rsid w:val="002E1953"/>
    <w:rsid w:val="002E2D7D"/>
    <w:rsid w:val="002E3AB5"/>
    <w:rsid w:val="002E3D76"/>
    <w:rsid w:val="002E40A1"/>
    <w:rsid w:val="002E48EC"/>
    <w:rsid w:val="002E4B44"/>
    <w:rsid w:val="002E4ECB"/>
    <w:rsid w:val="002E4F23"/>
    <w:rsid w:val="002E508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90E"/>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4C08"/>
    <w:rsid w:val="003254F5"/>
    <w:rsid w:val="00325D98"/>
    <w:rsid w:val="0032682A"/>
    <w:rsid w:val="00327A5C"/>
    <w:rsid w:val="0033092C"/>
    <w:rsid w:val="0033122A"/>
    <w:rsid w:val="003315AC"/>
    <w:rsid w:val="00331932"/>
    <w:rsid w:val="0033245D"/>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90088"/>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F3"/>
    <w:rsid w:val="003B3676"/>
    <w:rsid w:val="003B4B1C"/>
    <w:rsid w:val="003B4CB2"/>
    <w:rsid w:val="003B534F"/>
    <w:rsid w:val="003B5391"/>
    <w:rsid w:val="003B5952"/>
    <w:rsid w:val="003B65D7"/>
    <w:rsid w:val="003B65E0"/>
    <w:rsid w:val="003B6BD4"/>
    <w:rsid w:val="003B6E93"/>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5C4B"/>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68C3"/>
    <w:rsid w:val="00447021"/>
    <w:rsid w:val="004474F5"/>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13"/>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63F"/>
    <w:rsid w:val="004B2197"/>
    <w:rsid w:val="004B298A"/>
    <w:rsid w:val="004B459F"/>
    <w:rsid w:val="004B578D"/>
    <w:rsid w:val="004B5BE7"/>
    <w:rsid w:val="004B5E2D"/>
    <w:rsid w:val="004B5ED5"/>
    <w:rsid w:val="004B6793"/>
    <w:rsid w:val="004B6C07"/>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574"/>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16C7"/>
    <w:rsid w:val="0050284E"/>
    <w:rsid w:val="00504F88"/>
    <w:rsid w:val="00505DCB"/>
    <w:rsid w:val="005075CA"/>
    <w:rsid w:val="00507D10"/>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2AC"/>
    <w:rsid w:val="00527440"/>
    <w:rsid w:val="00527C6B"/>
    <w:rsid w:val="00527E57"/>
    <w:rsid w:val="00530405"/>
    <w:rsid w:val="00530522"/>
    <w:rsid w:val="005305E5"/>
    <w:rsid w:val="00530F38"/>
    <w:rsid w:val="00531DEA"/>
    <w:rsid w:val="00531F26"/>
    <w:rsid w:val="0053277C"/>
    <w:rsid w:val="005327C0"/>
    <w:rsid w:val="00533101"/>
    <w:rsid w:val="005336C5"/>
    <w:rsid w:val="00533CA9"/>
    <w:rsid w:val="00533DA7"/>
    <w:rsid w:val="005342A3"/>
    <w:rsid w:val="005346AD"/>
    <w:rsid w:val="00534C25"/>
    <w:rsid w:val="00534EFB"/>
    <w:rsid w:val="00534F60"/>
    <w:rsid w:val="005357F1"/>
    <w:rsid w:val="00536053"/>
    <w:rsid w:val="005369E6"/>
    <w:rsid w:val="00536E62"/>
    <w:rsid w:val="00536E7A"/>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29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723"/>
    <w:rsid w:val="00567AB8"/>
    <w:rsid w:val="00567C02"/>
    <w:rsid w:val="005707F7"/>
    <w:rsid w:val="00570A26"/>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4233"/>
    <w:rsid w:val="005842D0"/>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5FDD"/>
    <w:rsid w:val="00596AF7"/>
    <w:rsid w:val="00596CCE"/>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6DCD"/>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803"/>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E7824"/>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4996"/>
    <w:rsid w:val="00766ECC"/>
    <w:rsid w:val="007672F3"/>
    <w:rsid w:val="007676A9"/>
    <w:rsid w:val="007677B5"/>
    <w:rsid w:val="007678B1"/>
    <w:rsid w:val="00770317"/>
    <w:rsid w:val="007708A8"/>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AEF"/>
    <w:rsid w:val="0086122C"/>
    <w:rsid w:val="00861310"/>
    <w:rsid w:val="00861679"/>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298B"/>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4BF8"/>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5AD4"/>
    <w:rsid w:val="00927E8D"/>
    <w:rsid w:val="00927F23"/>
    <w:rsid w:val="00930698"/>
    <w:rsid w:val="00930727"/>
    <w:rsid w:val="009307CD"/>
    <w:rsid w:val="009311D1"/>
    <w:rsid w:val="00931451"/>
    <w:rsid w:val="009314FA"/>
    <w:rsid w:val="0093194F"/>
    <w:rsid w:val="00931BF3"/>
    <w:rsid w:val="00931C55"/>
    <w:rsid w:val="00931FEC"/>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075"/>
    <w:rsid w:val="00990345"/>
    <w:rsid w:val="00990701"/>
    <w:rsid w:val="0099090B"/>
    <w:rsid w:val="00990BC7"/>
    <w:rsid w:val="0099119C"/>
    <w:rsid w:val="0099137A"/>
    <w:rsid w:val="00991805"/>
    <w:rsid w:val="0099211C"/>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57D"/>
    <w:rsid w:val="009B27A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43EC"/>
    <w:rsid w:val="00A14A60"/>
    <w:rsid w:val="00A1500F"/>
    <w:rsid w:val="00A15621"/>
    <w:rsid w:val="00A15670"/>
    <w:rsid w:val="00A157A0"/>
    <w:rsid w:val="00A1585B"/>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714"/>
    <w:rsid w:val="00A57E96"/>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2953"/>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3C55"/>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196"/>
    <w:rsid w:val="00B44260"/>
    <w:rsid w:val="00B44746"/>
    <w:rsid w:val="00B44854"/>
    <w:rsid w:val="00B44E8C"/>
    <w:rsid w:val="00B453FE"/>
    <w:rsid w:val="00B458D0"/>
    <w:rsid w:val="00B46120"/>
    <w:rsid w:val="00B47040"/>
    <w:rsid w:val="00B47694"/>
    <w:rsid w:val="00B4792C"/>
    <w:rsid w:val="00B47E8B"/>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3811"/>
    <w:rsid w:val="00B83B09"/>
    <w:rsid w:val="00B84684"/>
    <w:rsid w:val="00B84866"/>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229E"/>
    <w:rsid w:val="00BC23C0"/>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A45"/>
    <w:rsid w:val="00BF436F"/>
    <w:rsid w:val="00BF4EC5"/>
    <w:rsid w:val="00BF5723"/>
    <w:rsid w:val="00BF5C05"/>
    <w:rsid w:val="00BF60C8"/>
    <w:rsid w:val="00BF6A7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955"/>
    <w:rsid w:val="00C06CCF"/>
    <w:rsid w:val="00C108B8"/>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E9D"/>
    <w:rsid w:val="00C176D5"/>
    <w:rsid w:val="00C2082C"/>
    <w:rsid w:val="00C20832"/>
    <w:rsid w:val="00C209F7"/>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32B"/>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57D7C"/>
    <w:rsid w:val="00C619A1"/>
    <w:rsid w:val="00C62370"/>
    <w:rsid w:val="00C62545"/>
    <w:rsid w:val="00C62A11"/>
    <w:rsid w:val="00C62BBB"/>
    <w:rsid w:val="00C6305F"/>
    <w:rsid w:val="00C6325B"/>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9E"/>
    <w:rsid w:val="00C733BA"/>
    <w:rsid w:val="00C734F3"/>
    <w:rsid w:val="00C74F3F"/>
    <w:rsid w:val="00C760DC"/>
    <w:rsid w:val="00C764E2"/>
    <w:rsid w:val="00C800AB"/>
    <w:rsid w:val="00C8082B"/>
    <w:rsid w:val="00C81A88"/>
    <w:rsid w:val="00C81AEC"/>
    <w:rsid w:val="00C81D46"/>
    <w:rsid w:val="00C820AD"/>
    <w:rsid w:val="00C82298"/>
    <w:rsid w:val="00C82F91"/>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3ED4"/>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616F"/>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4E7"/>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418"/>
    <w:rsid w:val="00D967CB"/>
    <w:rsid w:val="00D96EE0"/>
    <w:rsid w:val="00D97BD1"/>
    <w:rsid w:val="00DA06B8"/>
    <w:rsid w:val="00DA286D"/>
    <w:rsid w:val="00DA2969"/>
    <w:rsid w:val="00DA29B7"/>
    <w:rsid w:val="00DA3BC0"/>
    <w:rsid w:val="00DA4842"/>
    <w:rsid w:val="00DA49EF"/>
    <w:rsid w:val="00DA5989"/>
    <w:rsid w:val="00DA5AB1"/>
    <w:rsid w:val="00DA5F9D"/>
    <w:rsid w:val="00DA69B2"/>
    <w:rsid w:val="00DA6A7B"/>
    <w:rsid w:val="00DA735F"/>
    <w:rsid w:val="00DA7462"/>
    <w:rsid w:val="00DA777E"/>
    <w:rsid w:val="00DA7AD0"/>
    <w:rsid w:val="00DB02D7"/>
    <w:rsid w:val="00DB03CC"/>
    <w:rsid w:val="00DB12D4"/>
    <w:rsid w:val="00DB13DD"/>
    <w:rsid w:val="00DB14F0"/>
    <w:rsid w:val="00DB1745"/>
    <w:rsid w:val="00DB1AFF"/>
    <w:rsid w:val="00DB219A"/>
    <w:rsid w:val="00DB3165"/>
    <w:rsid w:val="00DB350B"/>
    <w:rsid w:val="00DB3D29"/>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F23"/>
    <w:rsid w:val="00DE3FF0"/>
    <w:rsid w:val="00DE4105"/>
    <w:rsid w:val="00DE5189"/>
    <w:rsid w:val="00DE6230"/>
    <w:rsid w:val="00DE7108"/>
    <w:rsid w:val="00DE78D1"/>
    <w:rsid w:val="00DF0263"/>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EB"/>
    <w:rsid w:val="00E03951"/>
    <w:rsid w:val="00E03DB8"/>
    <w:rsid w:val="00E0466B"/>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671"/>
    <w:rsid w:val="00E8414B"/>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64E"/>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17FA6"/>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567"/>
    <w:rsid w:val="00F963FC"/>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18306317">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7868">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sesbiblioteca.uexternado.edu.co:2177/vid/33626606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734_2002.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basesbiblioteca.uexternado.edu.co:2177/vid/33626606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sesbiblioteca.uexternado.edu.co:2177/vid/336266069/node/8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supervision_interventori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3FE08E1F-29C3-4273-9365-1446A4B4D39F}"/>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13</Pages>
  <Words>5221</Words>
  <Characters>28718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2022-09-12T19:06:00Z</dcterms:created>
  <dcterms:modified xsi:type="dcterms:W3CDTF">2022-09-12T19:11:00Z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