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9372" w14:textId="77777777" w:rsidR="00C06955" w:rsidRPr="0020782C" w:rsidRDefault="00C06955" w:rsidP="00B7240D">
      <w:pPr>
        <w:spacing w:after="0" w:line="240" w:lineRule="auto"/>
        <w:jc w:val="both"/>
        <w:rPr>
          <w:rFonts w:ascii="Arial" w:hAnsi="Arial" w:cs="Arial"/>
          <w:b/>
          <w:sz w:val="20"/>
          <w:szCs w:val="20"/>
          <w:highlight w:val="yellow"/>
        </w:rPr>
      </w:pPr>
      <w:bookmarkStart w:id="0" w:name="_Hlk103947551"/>
    </w:p>
    <w:p w14:paraId="7EF00F9D" w14:textId="1C545D45" w:rsidR="00713D6A" w:rsidRPr="00B7032A" w:rsidRDefault="00713D6A" w:rsidP="00B7240D">
      <w:pPr>
        <w:spacing w:after="0" w:line="240" w:lineRule="auto"/>
        <w:jc w:val="both"/>
        <w:rPr>
          <w:rFonts w:ascii="Arial" w:hAnsi="Arial" w:cs="Arial"/>
          <w:b/>
        </w:rPr>
      </w:pPr>
      <w:r w:rsidRPr="00B7032A">
        <w:rPr>
          <w:rFonts w:ascii="Arial" w:hAnsi="Arial" w:cs="Arial"/>
          <w:b/>
          <w:bCs/>
          <w:lang w:val="es-ES_tradnl"/>
        </w:rPr>
        <w:t xml:space="preserve">DOCUMENTOS TIPO – Infraestructura social </w:t>
      </w:r>
    </w:p>
    <w:p w14:paraId="5A93E4CF" w14:textId="77777777" w:rsidR="00713D6A" w:rsidRPr="00B7032A" w:rsidRDefault="00713D6A" w:rsidP="00B7240D">
      <w:pPr>
        <w:spacing w:after="0" w:line="240" w:lineRule="auto"/>
        <w:jc w:val="both"/>
        <w:rPr>
          <w:rFonts w:ascii="Arial" w:hAnsi="Arial" w:cs="Arial"/>
          <w:sz w:val="20"/>
          <w:szCs w:val="20"/>
        </w:rPr>
      </w:pPr>
    </w:p>
    <w:p w14:paraId="659EA2E8" w14:textId="57593851" w:rsidR="00713D6A" w:rsidRPr="007F323C" w:rsidRDefault="00713D6A" w:rsidP="00B7240D">
      <w:pPr>
        <w:spacing w:after="0" w:line="240" w:lineRule="auto"/>
        <w:jc w:val="both"/>
        <w:rPr>
          <w:rFonts w:ascii="Arial" w:hAnsi="Arial" w:cs="Arial"/>
          <w:bCs/>
          <w:sz w:val="20"/>
          <w:szCs w:val="20"/>
          <w:lang w:val="es-ES"/>
        </w:rPr>
      </w:pPr>
      <w:r w:rsidRPr="00B7032A">
        <w:rPr>
          <w:rFonts w:ascii="Arial" w:hAnsi="Arial" w:cs="Arial"/>
          <w:bCs/>
          <w:sz w:val="20"/>
          <w:szCs w:val="20"/>
          <w:lang w:val="es-ES"/>
        </w:rPr>
        <w:t xml:space="preserve">[…] </w:t>
      </w:r>
      <w:r w:rsidRPr="007F323C">
        <w:rPr>
          <w:rFonts w:ascii="Arial" w:hAnsi="Arial" w:cs="Arial"/>
          <w:bCs/>
          <w:sz w:val="20"/>
          <w:szCs w:val="20"/>
          <w:lang w:val="es-ES"/>
        </w:rPr>
        <w:t xml:space="preserve">en materia de infraestructura social debe tenerse en cuenta que existen dos (2) clases de documentos tipo que se integran en cada proceso: i) los documentos </w:t>
      </w:r>
      <w:r w:rsidRPr="007F323C">
        <w:rPr>
          <w:rFonts w:ascii="Arial" w:hAnsi="Arial" w:cs="Arial"/>
          <w:bCs/>
          <w:i/>
          <w:sz w:val="20"/>
          <w:szCs w:val="20"/>
          <w:lang w:val="es-ES"/>
        </w:rPr>
        <w:t>transversales</w:t>
      </w:r>
      <w:r w:rsidRPr="007F323C">
        <w:rPr>
          <w:rFonts w:ascii="Arial" w:hAnsi="Arial" w:cs="Arial"/>
          <w:bCs/>
          <w:sz w:val="20"/>
          <w:szCs w:val="20"/>
          <w:lang w:val="es-ES"/>
        </w:rPr>
        <w:t xml:space="preserve"> a todos los sectores de infraestructura social, es decir, el documento base, los anexos, los formatos, los formularios y las matrices adoptados mediante la Resolución No. 219 de 2021; y ii) los documentos tipo </w:t>
      </w:r>
      <w:r w:rsidRPr="007F323C">
        <w:rPr>
          <w:rFonts w:ascii="Arial" w:hAnsi="Arial" w:cs="Arial"/>
          <w:bCs/>
          <w:i/>
          <w:sz w:val="20"/>
          <w:szCs w:val="20"/>
          <w:lang w:val="es-ES"/>
        </w:rPr>
        <w:t>complementarios</w:t>
      </w:r>
      <w:r w:rsidRPr="007F323C">
        <w:rPr>
          <w:rFonts w:ascii="Arial" w:hAnsi="Arial" w:cs="Arial"/>
          <w:bCs/>
          <w:iCs/>
          <w:sz w:val="20"/>
          <w:szCs w:val="20"/>
          <w:lang w:val="es-ES"/>
        </w:rPr>
        <w:t>,</w:t>
      </w:r>
      <w:r w:rsidRPr="007F323C">
        <w:rPr>
          <w:rFonts w:ascii="Arial" w:hAnsi="Arial" w:cs="Arial"/>
          <w:bCs/>
          <w:i/>
          <w:sz w:val="20"/>
          <w:szCs w:val="20"/>
          <w:lang w:val="es-ES"/>
        </w:rPr>
        <w:t xml:space="preserve"> </w:t>
      </w:r>
      <w:r w:rsidRPr="007F323C">
        <w:rPr>
          <w:rFonts w:ascii="Arial" w:hAnsi="Arial" w:cs="Arial"/>
          <w:bCs/>
          <w:sz w:val="20"/>
          <w:szCs w:val="20"/>
          <w:lang w:val="es-ES"/>
        </w:rPr>
        <w:t>referentes a la matriz de experiencia y el glosario, los cuales han sido adoptados en la resolución para cada sector específico</w:t>
      </w:r>
      <w:r w:rsidR="004E6758" w:rsidRPr="004E6758">
        <w:rPr>
          <w:rFonts w:ascii="Arial" w:hAnsi="Arial" w:cs="Arial"/>
          <w:bCs/>
          <w:sz w:val="20"/>
          <w:szCs w:val="20"/>
          <w:lang w:val="es-ES"/>
        </w:rPr>
        <w:t xml:space="preserve">, así: i) </w:t>
      </w:r>
      <w:r w:rsidR="004E6758" w:rsidRPr="004E6758">
        <w:rPr>
          <w:rFonts w:ascii="Arial" w:hAnsi="Arial" w:cs="Arial"/>
          <w:bCs/>
          <w:sz w:val="20"/>
          <w:szCs w:val="20"/>
        </w:rPr>
        <w:t>la Resolución 220 de 2021, «Por la cual se adoptan los documentos tipo complementarios para los procesos de licitación de obra pública de infraestructura social relacionados con el sector educativo»; ii) la Resolución 392 de 2021, «Por la cual se adoptan los documentos tipo complementarios para los procesos de licitación de obra pública de infraestructura social relacionados con el sector salud»; y iii) la Resolución 454 de 2021, «Por la cual se adoptan los documentos tipo complementarios para los procesos de licitación de obra pública de infraestructura social relacionados con el sector cultura, recreación y deporte».</w:t>
      </w:r>
    </w:p>
    <w:p w14:paraId="3B9C6624" w14:textId="7A074CEA" w:rsidR="00713D6A" w:rsidRDefault="00713D6A" w:rsidP="00B7240D">
      <w:pPr>
        <w:spacing w:after="0" w:line="240" w:lineRule="auto"/>
        <w:jc w:val="both"/>
        <w:rPr>
          <w:rFonts w:ascii="Arial" w:hAnsi="Arial" w:cs="Arial"/>
          <w:bCs/>
          <w:sz w:val="20"/>
          <w:szCs w:val="20"/>
          <w:lang w:val="es-ES"/>
        </w:rPr>
      </w:pPr>
    </w:p>
    <w:p w14:paraId="4C6129EF" w14:textId="6F2B2054" w:rsidR="00713D6A" w:rsidRPr="00B7032A" w:rsidRDefault="00713D6A" w:rsidP="00B7240D">
      <w:pPr>
        <w:tabs>
          <w:tab w:val="left" w:pos="6551"/>
        </w:tabs>
        <w:spacing w:after="0" w:line="240" w:lineRule="auto"/>
        <w:jc w:val="both"/>
        <w:rPr>
          <w:rFonts w:ascii="Arial" w:hAnsi="Arial" w:cs="Arial"/>
          <w:b/>
          <w:color w:val="000000" w:themeColor="text1"/>
          <w:lang w:val="es-ES_tradnl"/>
        </w:rPr>
      </w:pPr>
      <w:r w:rsidRPr="00B7032A">
        <w:rPr>
          <w:rFonts w:ascii="Arial" w:hAnsi="Arial" w:cs="Arial"/>
          <w:b/>
          <w:color w:val="000000" w:themeColor="text1"/>
          <w:lang w:val="es-ES_tradnl"/>
        </w:rPr>
        <w:t>EXPERIENCIA – Acreditación</w:t>
      </w:r>
      <w:r w:rsidR="004E6758">
        <w:rPr>
          <w:rFonts w:ascii="Arial" w:hAnsi="Arial" w:cs="Arial"/>
          <w:b/>
          <w:color w:val="000000" w:themeColor="text1"/>
          <w:lang w:val="es-ES_tradnl"/>
        </w:rPr>
        <w:t xml:space="preserve"> </w:t>
      </w:r>
      <w:r w:rsidR="004E6758" w:rsidRPr="00B7032A">
        <w:rPr>
          <w:rFonts w:ascii="Arial" w:hAnsi="Arial" w:cs="Arial"/>
          <w:b/>
          <w:color w:val="000000" w:themeColor="text1"/>
          <w:lang w:val="es-ES_tradnl"/>
        </w:rPr>
        <w:t>–</w:t>
      </w:r>
      <w:r w:rsidR="004E6758">
        <w:rPr>
          <w:rFonts w:ascii="Arial" w:hAnsi="Arial" w:cs="Arial"/>
          <w:b/>
          <w:color w:val="000000" w:themeColor="text1"/>
          <w:lang w:val="es-ES_tradnl"/>
        </w:rPr>
        <w:t xml:space="preserve"> Modificación </w:t>
      </w:r>
      <w:r w:rsidR="004E6758" w:rsidRPr="00B7032A">
        <w:rPr>
          <w:rFonts w:ascii="Arial" w:hAnsi="Arial" w:cs="Arial"/>
          <w:b/>
          <w:color w:val="000000" w:themeColor="text1"/>
          <w:lang w:val="es-ES_tradnl"/>
        </w:rPr>
        <w:t>–</w:t>
      </w:r>
      <w:r w:rsidR="004E6758">
        <w:rPr>
          <w:rFonts w:ascii="Arial" w:hAnsi="Arial" w:cs="Arial"/>
          <w:b/>
          <w:color w:val="000000" w:themeColor="text1"/>
          <w:lang w:val="es-ES_tradnl"/>
        </w:rPr>
        <w:t xml:space="preserve"> Resolución 275 de 2022</w:t>
      </w:r>
    </w:p>
    <w:p w14:paraId="4692877F" w14:textId="77777777" w:rsidR="00713D6A" w:rsidRPr="00B7032A" w:rsidRDefault="00713D6A" w:rsidP="00B7240D">
      <w:pPr>
        <w:tabs>
          <w:tab w:val="left" w:pos="6551"/>
        </w:tabs>
        <w:spacing w:after="0" w:line="240" w:lineRule="auto"/>
        <w:jc w:val="both"/>
        <w:rPr>
          <w:rFonts w:ascii="Arial" w:hAnsi="Arial" w:cs="Arial"/>
          <w:color w:val="000000" w:themeColor="text1"/>
          <w:sz w:val="20"/>
          <w:szCs w:val="20"/>
          <w:lang w:val="es-ES_tradnl"/>
        </w:rPr>
      </w:pPr>
    </w:p>
    <w:p w14:paraId="46AE60D9" w14:textId="0CBABB56" w:rsidR="004E6758" w:rsidRPr="00015CEF" w:rsidRDefault="004E6758" w:rsidP="00B7240D">
      <w:pPr>
        <w:tabs>
          <w:tab w:val="left" w:pos="6551"/>
        </w:tabs>
        <w:spacing w:after="0" w:line="240" w:lineRule="auto"/>
        <w:jc w:val="both"/>
        <w:rPr>
          <w:rFonts w:ascii="Arial" w:hAnsi="Arial" w:cs="Arial"/>
          <w:color w:val="000000" w:themeColor="text1"/>
          <w:sz w:val="20"/>
          <w:szCs w:val="20"/>
        </w:rPr>
      </w:pPr>
      <w:r w:rsidRPr="004E6758">
        <w:rPr>
          <w:rFonts w:ascii="Arial" w:hAnsi="Arial" w:cs="Arial"/>
          <w:color w:val="000000" w:themeColor="text1"/>
          <w:sz w:val="20"/>
          <w:szCs w:val="20"/>
          <w:lang w:val="es-MX"/>
        </w:rPr>
        <w:t>D</w:t>
      </w:r>
      <w:r w:rsidRPr="004E6758">
        <w:rPr>
          <w:rFonts w:ascii="Arial" w:hAnsi="Arial" w:cs="Arial"/>
          <w:color w:val="000000" w:themeColor="text1"/>
          <w:sz w:val="20"/>
          <w:szCs w:val="20"/>
          <w:lang w:val="es-ES"/>
        </w:rPr>
        <w:t>e</w:t>
      </w:r>
      <w:r w:rsidRPr="004E6758">
        <w:rPr>
          <w:rFonts w:ascii="Arial" w:hAnsi="Arial" w:cs="Arial"/>
          <w:color w:val="000000" w:themeColor="text1"/>
          <w:sz w:val="20"/>
          <w:szCs w:val="20"/>
        </w:rPr>
        <w:t xml:space="preserve"> acuerdo con las condiciones fijadas en el documento base de infraestructura </w:t>
      </w:r>
      <w:r w:rsidR="00015CEF">
        <w:rPr>
          <w:rFonts w:ascii="Arial" w:hAnsi="Arial" w:cs="Arial"/>
          <w:color w:val="000000" w:themeColor="text1"/>
          <w:sz w:val="20"/>
          <w:szCs w:val="20"/>
        </w:rPr>
        <w:t xml:space="preserve">social </w:t>
      </w:r>
      <w:r w:rsidRPr="004E6758">
        <w:rPr>
          <w:rFonts w:ascii="Arial" w:hAnsi="Arial" w:cs="Arial"/>
          <w:color w:val="000000" w:themeColor="text1"/>
          <w:sz w:val="20"/>
          <w:szCs w:val="20"/>
        </w:rPr>
        <w:t xml:space="preserve">y las modificaciones efectuadas por la Resolución 275 de 2022, la acreditación del requisito habilitante de experiencia se aborda desde distintos criterios. </w:t>
      </w:r>
      <w:r w:rsidRPr="004E6758">
        <w:rPr>
          <w:rFonts w:ascii="Arial" w:hAnsi="Arial" w:cs="Arial"/>
          <w:color w:val="000000" w:themeColor="text1"/>
          <w:sz w:val="20"/>
          <w:szCs w:val="20"/>
          <w:lang w:val="es-MX"/>
        </w:rPr>
        <w:t>En primer lugar, los contratos presentados por los proponentes deben corresponder a la actividad o actividades de experiencia general y específica que la entidad exija en el pliego de condiciones de acuerdo con los parámetros definidos en la Matriz 1 - Experiencia, sin perjuicio de las combinaciones de experiencia señalada en el literal A del numeral 3.5.1. en caso de requerirse</w:t>
      </w:r>
      <w:r>
        <w:rPr>
          <w:rFonts w:ascii="Arial" w:hAnsi="Arial" w:cs="Arial"/>
          <w:color w:val="000000" w:themeColor="text1"/>
          <w:sz w:val="20"/>
          <w:szCs w:val="20"/>
          <w:lang w:val="es-MX"/>
        </w:rPr>
        <w:t>.</w:t>
      </w:r>
      <w:r w:rsidRPr="004E6758">
        <w:rPr>
          <w:rFonts w:ascii="Arial" w:eastAsiaTheme="minorHAnsi" w:hAnsi="Arial" w:cs="Arial"/>
          <w:lang w:val="es-MX"/>
        </w:rPr>
        <w:t xml:space="preserve"> </w:t>
      </w:r>
      <w:r w:rsidRPr="004E6758">
        <w:rPr>
          <w:rFonts w:ascii="Arial" w:hAnsi="Arial" w:cs="Arial"/>
          <w:color w:val="000000" w:themeColor="text1"/>
          <w:sz w:val="20"/>
          <w:szCs w:val="20"/>
          <w:lang w:val="es-MX"/>
        </w:rPr>
        <w:t>En segundo lugar, los proponentes deben acreditar el cumplimiento de las condiciones fijadas con mínimo uno (1) y máximo cinco (5) contratos, que debieron terminar antes de la fecha de cierre del proceso de contratación</w:t>
      </w:r>
      <w:r>
        <w:rPr>
          <w:rFonts w:ascii="Arial" w:hAnsi="Arial" w:cs="Arial"/>
          <w:color w:val="000000" w:themeColor="text1"/>
          <w:sz w:val="20"/>
          <w:szCs w:val="20"/>
          <w:lang w:val="es-MX"/>
        </w:rPr>
        <w:t xml:space="preserve">. […] </w:t>
      </w:r>
      <w:r w:rsidRPr="004E6758">
        <w:rPr>
          <w:rFonts w:ascii="Arial" w:hAnsi="Arial" w:cs="Arial"/>
          <w:color w:val="000000" w:themeColor="text1"/>
          <w:sz w:val="20"/>
          <w:szCs w:val="20"/>
          <w:lang w:val="es-MX"/>
        </w:rPr>
        <w:t>Por último, el número de contratos aportados por el proponente debe certificar un valor mínimo correspondiente a un porcentaje del presupuesto oficial del proceso de obra expresado en SMMLV, cuya evaluación se realizará teniendo en cuenta la tabla establecida en el numeral 3.5.7. del pliego de condiciones</w:t>
      </w:r>
      <w:r>
        <w:rPr>
          <w:rFonts w:ascii="Arial" w:hAnsi="Arial" w:cs="Arial"/>
          <w:color w:val="000000" w:themeColor="text1"/>
          <w:sz w:val="20"/>
          <w:szCs w:val="20"/>
          <w:lang w:val="es-MX"/>
        </w:rPr>
        <w:t>.</w:t>
      </w:r>
    </w:p>
    <w:p w14:paraId="00D2C546" w14:textId="616806A5" w:rsidR="00713D6A" w:rsidRDefault="00713D6A" w:rsidP="00B7240D">
      <w:pPr>
        <w:tabs>
          <w:tab w:val="left" w:pos="6551"/>
        </w:tabs>
        <w:spacing w:after="0" w:line="240" w:lineRule="auto"/>
        <w:jc w:val="both"/>
        <w:rPr>
          <w:rFonts w:ascii="Arial" w:hAnsi="Arial" w:cs="Arial"/>
          <w:b/>
          <w:color w:val="000000" w:themeColor="text1"/>
          <w:lang w:val="es-ES_tradnl"/>
        </w:rPr>
      </w:pPr>
    </w:p>
    <w:p w14:paraId="2C4B72D0" w14:textId="77777777" w:rsidR="00713D6A" w:rsidRPr="00B7032A" w:rsidRDefault="00713D6A" w:rsidP="00B7240D">
      <w:pPr>
        <w:tabs>
          <w:tab w:val="left" w:pos="6551"/>
        </w:tabs>
        <w:spacing w:after="0" w:line="240" w:lineRule="auto"/>
        <w:jc w:val="both"/>
        <w:rPr>
          <w:rFonts w:ascii="Arial" w:hAnsi="Arial" w:cs="Arial"/>
          <w:b/>
          <w:color w:val="000000" w:themeColor="text1"/>
          <w:lang w:val="es-ES_tradnl"/>
        </w:rPr>
      </w:pPr>
      <w:r w:rsidRPr="00B7032A">
        <w:rPr>
          <w:rFonts w:ascii="Arial" w:hAnsi="Arial" w:cs="Arial"/>
          <w:b/>
          <w:color w:val="000000" w:themeColor="text1"/>
          <w:lang w:val="es-ES_tradnl"/>
        </w:rPr>
        <w:t xml:space="preserve">PROCESOS ESTRUCTURADOS POR LOTES – Numeral 2.10 – Reglas </w:t>
      </w:r>
    </w:p>
    <w:p w14:paraId="65805E8A" w14:textId="77777777" w:rsidR="00713D6A" w:rsidRPr="00B7032A" w:rsidRDefault="00713D6A" w:rsidP="00B7240D">
      <w:pPr>
        <w:tabs>
          <w:tab w:val="left" w:pos="6551"/>
        </w:tabs>
        <w:spacing w:after="0" w:line="240" w:lineRule="auto"/>
        <w:jc w:val="both"/>
        <w:rPr>
          <w:rFonts w:ascii="Arial" w:hAnsi="Arial" w:cs="Arial"/>
          <w:noProof/>
          <w:color w:val="000000" w:themeColor="text1"/>
          <w:lang w:val="es-ES_tradnl"/>
        </w:rPr>
      </w:pPr>
    </w:p>
    <w:p w14:paraId="69DAC7DA" w14:textId="1C36855E" w:rsidR="004E6758" w:rsidRPr="004E6758" w:rsidRDefault="004E6758" w:rsidP="00B7240D">
      <w:pPr>
        <w:tabs>
          <w:tab w:val="left" w:pos="6551"/>
        </w:tabs>
        <w:spacing w:after="0" w:line="240" w:lineRule="auto"/>
        <w:jc w:val="both"/>
        <w:rPr>
          <w:rFonts w:ascii="Arial" w:hAnsi="Arial" w:cs="Arial"/>
          <w:bCs/>
          <w:color w:val="000000" w:themeColor="text1"/>
          <w:sz w:val="20"/>
          <w:szCs w:val="20"/>
          <w:lang w:val="es-ES_tradnl"/>
        </w:rPr>
      </w:pPr>
      <w:r w:rsidRPr="004E6758">
        <w:rPr>
          <w:rFonts w:ascii="Arial" w:hAnsi="Arial" w:cs="Arial"/>
          <w:color w:val="000000" w:themeColor="text1"/>
          <w:sz w:val="20"/>
          <w:szCs w:val="20"/>
        </w:rPr>
        <w:t xml:space="preserve">En relación con los proceso estructurados en lotes o grupos </w:t>
      </w:r>
      <w:r w:rsidRPr="004E6758">
        <w:rPr>
          <w:rFonts w:ascii="Arial" w:hAnsi="Arial" w:cs="Arial"/>
          <w:bCs/>
          <w:color w:val="000000" w:themeColor="text1"/>
          <w:sz w:val="20"/>
          <w:szCs w:val="20"/>
          <w:lang w:val="es-ES_tradnl"/>
        </w:rPr>
        <w:t xml:space="preserve">es preciso señalar que el numeral 2.10 del documento base establece las reglas que se deben aplicar cuando las entidades estructuren sus procesos por lotes o grupos. […] De lo dicho se pueden extraer varias conclusiones. En primer lugar, de conformidad con los documentos tipo para licitación de obra pública de infraestructura social, las entidades estatales cuentan con discrecionalidad para estructurar sus procesos por lotes o grupos. En segundo lugar, habiendo optado por configurar así el procedimiento de selección, las entidades estatales igualmente tienen libertad para indicar si los proponentes pueden presentar oferta para más de un lote o grupo. En tercer lugar, una vez definido que si es posible lo anterior, las entidades estatales deben indicar si es viable que un oferente sea adjudicatario de más de un lote o grupo. En cuarto lugar, los proponentes deberán acreditar las condiciones habilitantes requeridas para cada uno de los lotes a los que se presente, teniendo en cuenta los requisitos establecidos por la entidad en el pliego de condiciones. En quinto lugar, la verificación de la experiencia solicitada se realiza de forma independiente para cada lote o grupo al que se presente el proponente. </w:t>
      </w:r>
    </w:p>
    <w:p w14:paraId="61EB531A" w14:textId="0931D402" w:rsidR="004E6758" w:rsidRDefault="004E6758" w:rsidP="00B7240D">
      <w:pPr>
        <w:tabs>
          <w:tab w:val="left" w:pos="6551"/>
        </w:tabs>
        <w:spacing w:after="0" w:line="240" w:lineRule="auto"/>
        <w:jc w:val="both"/>
        <w:rPr>
          <w:rFonts w:ascii="Arial" w:hAnsi="Arial" w:cs="Arial"/>
          <w:bCs/>
          <w:color w:val="000000" w:themeColor="text1"/>
          <w:sz w:val="20"/>
          <w:szCs w:val="20"/>
          <w:highlight w:val="yellow"/>
          <w:lang w:val="es-ES_tradnl"/>
        </w:rPr>
      </w:pPr>
    </w:p>
    <w:p w14:paraId="7872861A" w14:textId="77777777" w:rsidR="004E6758" w:rsidRDefault="004E6758" w:rsidP="00B7240D">
      <w:pPr>
        <w:tabs>
          <w:tab w:val="left" w:pos="6551"/>
        </w:tabs>
        <w:spacing w:after="0" w:line="240" w:lineRule="auto"/>
        <w:jc w:val="both"/>
        <w:rPr>
          <w:rFonts w:ascii="Arial" w:hAnsi="Arial" w:cs="Arial"/>
          <w:bCs/>
          <w:color w:val="000000" w:themeColor="text1"/>
          <w:sz w:val="20"/>
          <w:szCs w:val="20"/>
          <w:highlight w:val="yellow"/>
          <w:lang w:val="es-ES_tradnl"/>
        </w:rPr>
      </w:pPr>
    </w:p>
    <w:p w14:paraId="4689A693" w14:textId="77777777" w:rsidR="00F53ADC" w:rsidRPr="006A29AC" w:rsidRDefault="00F53ADC" w:rsidP="00B7240D">
      <w:pPr>
        <w:spacing w:after="0" w:line="240" w:lineRule="auto"/>
        <w:jc w:val="both"/>
        <w:rPr>
          <w:rFonts w:ascii="Arial" w:hAnsi="Arial" w:cs="Arial"/>
          <w:b/>
          <w:color w:val="000000" w:themeColor="text1"/>
          <w:sz w:val="20"/>
          <w:szCs w:val="20"/>
        </w:rPr>
      </w:pPr>
    </w:p>
    <w:p w14:paraId="143463C4" w14:textId="1A254E36" w:rsidR="004E6758" w:rsidRPr="00B7032A" w:rsidRDefault="004E6758" w:rsidP="00B7240D">
      <w:pPr>
        <w:tabs>
          <w:tab w:val="left" w:pos="6551"/>
        </w:tabs>
        <w:spacing w:after="0" w:line="240" w:lineRule="auto"/>
        <w:jc w:val="both"/>
        <w:rPr>
          <w:rFonts w:ascii="Arial" w:hAnsi="Arial" w:cs="Arial"/>
          <w:b/>
          <w:color w:val="000000" w:themeColor="text1"/>
          <w:lang w:val="es-ES_tradnl"/>
        </w:rPr>
      </w:pPr>
      <w:r w:rsidRPr="00B7032A">
        <w:rPr>
          <w:rFonts w:ascii="Arial" w:hAnsi="Arial" w:cs="Arial"/>
          <w:b/>
          <w:color w:val="000000" w:themeColor="text1"/>
          <w:lang w:val="es-ES_tradnl"/>
        </w:rPr>
        <w:t xml:space="preserve">PROCESOS ESTRUCTURADOS POR LOTES – </w:t>
      </w:r>
      <w:r>
        <w:rPr>
          <w:rFonts w:ascii="Arial" w:hAnsi="Arial" w:cs="Arial"/>
          <w:b/>
          <w:color w:val="000000" w:themeColor="text1"/>
          <w:lang w:val="es-ES_tradnl"/>
        </w:rPr>
        <w:t xml:space="preserve">Experiencia </w:t>
      </w:r>
      <w:r w:rsidRPr="00B7032A">
        <w:rPr>
          <w:rFonts w:ascii="Arial" w:hAnsi="Arial" w:cs="Arial"/>
          <w:b/>
          <w:color w:val="000000" w:themeColor="text1"/>
          <w:lang w:val="es-ES_tradnl"/>
        </w:rPr>
        <w:t>–</w:t>
      </w:r>
      <w:r>
        <w:rPr>
          <w:rFonts w:ascii="Arial" w:hAnsi="Arial" w:cs="Arial"/>
          <w:b/>
          <w:color w:val="000000" w:themeColor="text1"/>
          <w:lang w:val="es-ES_tradnl"/>
        </w:rPr>
        <w:t xml:space="preserve"> Acreditación </w:t>
      </w:r>
      <w:r w:rsidRPr="00B7032A">
        <w:rPr>
          <w:rFonts w:ascii="Arial" w:hAnsi="Arial" w:cs="Arial"/>
          <w:b/>
          <w:color w:val="000000" w:themeColor="text1"/>
          <w:lang w:val="es-ES_tradnl"/>
        </w:rPr>
        <w:t>–</w:t>
      </w:r>
      <w:r>
        <w:rPr>
          <w:rFonts w:ascii="Arial" w:hAnsi="Arial" w:cs="Arial"/>
          <w:b/>
          <w:color w:val="000000" w:themeColor="text1"/>
          <w:lang w:val="es-ES_tradnl"/>
        </w:rPr>
        <w:t xml:space="preserve"> Independiente </w:t>
      </w:r>
    </w:p>
    <w:p w14:paraId="227E333E" w14:textId="243639F9" w:rsidR="004E6758" w:rsidRDefault="004E6758" w:rsidP="00B7240D">
      <w:pPr>
        <w:spacing w:after="0" w:line="240" w:lineRule="auto"/>
        <w:jc w:val="both"/>
        <w:rPr>
          <w:rFonts w:ascii="Arial" w:hAnsi="Arial" w:cs="Arial"/>
          <w:b/>
          <w:color w:val="000000" w:themeColor="text1"/>
        </w:rPr>
      </w:pPr>
    </w:p>
    <w:p w14:paraId="4F5ABC74" w14:textId="5BF8DBAB" w:rsidR="004E6758" w:rsidRPr="00AF5F6B" w:rsidRDefault="00AF5F6B" w:rsidP="00AF5F6B">
      <w:pPr>
        <w:spacing w:after="0" w:line="240" w:lineRule="auto"/>
        <w:jc w:val="both"/>
        <w:rPr>
          <w:rFonts w:ascii="Arial" w:hAnsi="Arial" w:cs="Arial"/>
          <w:bCs/>
          <w:sz w:val="20"/>
          <w:szCs w:val="20"/>
          <w:shd w:val="clear" w:color="auto" w:fill="FFFFFF"/>
          <w:lang w:val="es-ES_tradnl"/>
        </w:rPr>
      </w:pPr>
      <w:r w:rsidRPr="00AF5F6B">
        <w:rPr>
          <w:rFonts w:ascii="Arial" w:hAnsi="Arial" w:cs="Arial"/>
          <w:sz w:val="20"/>
          <w:szCs w:val="20"/>
          <w:shd w:val="clear" w:color="auto" w:fill="FFFFFF"/>
          <w:lang w:val="es-ES_tradnl"/>
        </w:rPr>
        <w:t xml:space="preserve">para efectos de la acreditación de experiencia en los procesos estructurados por lote o grupos </w:t>
      </w:r>
      <w:r w:rsidRPr="00AF5F6B">
        <w:rPr>
          <w:rFonts w:ascii="Arial" w:hAnsi="Arial" w:cs="Arial"/>
          <w:sz w:val="20"/>
          <w:szCs w:val="20"/>
          <w:shd w:val="clear" w:color="auto" w:fill="FFFFFF"/>
        </w:rPr>
        <w:t>el proponente podrá aportar el número máximo de contratos permitidos para cada uno de los lotes o grupos a los que se presente,</w:t>
      </w:r>
      <w:r w:rsidRPr="00AF5F6B">
        <w:rPr>
          <w:rFonts w:ascii="Arial" w:hAnsi="Arial" w:cs="Arial"/>
          <w:bCs/>
          <w:sz w:val="20"/>
          <w:szCs w:val="20"/>
          <w:shd w:val="clear" w:color="auto" w:fill="FFFFFF"/>
          <w:lang w:val="es-ES_tradnl"/>
        </w:rPr>
        <w:t xml:space="preserve"> es decir, podrá allegar hasta 5 contratos para cada lote, sin perjuicio de las reglas sobre la acreditación de Mipyme y emprendimiento y empresas de mujeres. También podrá optar por allegar el mismo o varios contratos para todos o varios de los lotes o grupos, lo que significa que el contrato que aportó para un lote también podrá acreditar la experiencia respecto de otro lote o grupo, siempre que cumpla con los requisitos de experiencia general y especifica exigidos para cada uno de ellos. En todo caso, debe tenerse en cuenta que el número de contratos que aporte para cada lote o grupo impacta en relación con el valor </w:t>
      </w:r>
      <w:r w:rsidRPr="00AF5F6B">
        <w:rPr>
          <w:rFonts w:ascii="Arial" w:hAnsi="Arial" w:cs="Arial"/>
          <w:sz w:val="20"/>
          <w:szCs w:val="20"/>
          <w:shd w:val="clear" w:color="auto" w:fill="FFFFFF"/>
          <w:lang w:val="es-ES_tradnl"/>
        </w:rPr>
        <w:t xml:space="preserve">mínimo a certificar que debe ser en relación con el valor del presupuesto oficial del respectivo lote o grupo </w:t>
      </w:r>
      <w:r w:rsidRPr="00AF5F6B">
        <w:rPr>
          <w:rFonts w:ascii="Arial" w:hAnsi="Arial" w:cs="Arial"/>
          <w:bCs/>
          <w:sz w:val="20"/>
          <w:szCs w:val="20"/>
          <w:shd w:val="clear" w:color="auto" w:fill="FFFFFF"/>
          <w:lang w:val="es-ES_tradnl"/>
        </w:rPr>
        <w:t>expresado en SMMLV de acuerdo con la tabla establecida en el numeral 3.5.7 del documento base</w:t>
      </w:r>
    </w:p>
    <w:p w14:paraId="037E028C" w14:textId="77777777" w:rsidR="004E6758" w:rsidRDefault="004E6758" w:rsidP="00B7240D">
      <w:pPr>
        <w:spacing w:after="0" w:line="240" w:lineRule="auto"/>
        <w:jc w:val="both"/>
        <w:rPr>
          <w:rFonts w:ascii="Arial" w:hAnsi="Arial" w:cs="Arial"/>
          <w:b/>
          <w:color w:val="000000" w:themeColor="text1"/>
        </w:rPr>
      </w:pPr>
    </w:p>
    <w:p w14:paraId="02B36B47" w14:textId="46E6EE9D" w:rsidR="00E77D4E" w:rsidRDefault="00E77D4E" w:rsidP="00B7240D">
      <w:pPr>
        <w:spacing w:after="0" w:line="240" w:lineRule="auto"/>
        <w:jc w:val="both"/>
        <w:rPr>
          <w:rFonts w:ascii="Arial" w:eastAsiaTheme="minorHAnsi" w:hAnsi="Arial" w:cs="Arial"/>
          <w:bCs/>
          <w:sz w:val="20"/>
          <w:szCs w:val="20"/>
        </w:rPr>
      </w:pPr>
    </w:p>
    <w:p w14:paraId="245CDE85" w14:textId="19D153DC" w:rsidR="007F1C15" w:rsidRDefault="007F1C15" w:rsidP="00B7240D">
      <w:pPr>
        <w:spacing w:after="0" w:line="240" w:lineRule="auto"/>
        <w:jc w:val="both"/>
        <w:rPr>
          <w:rFonts w:ascii="Arial" w:eastAsiaTheme="minorHAnsi" w:hAnsi="Arial" w:cs="Arial"/>
          <w:bCs/>
          <w:sz w:val="20"/>
          <w:szCs w:val="20"/>
        </w:rPr>
      </w:pPr>
    </w:p>
    <w:p w14:paraId="0E8AD39A" w14:textId="7EE462A7" w:rsidR="007F1C15" w:rsidRDefault="007F1C15" w:rsidP="00B7240D">
      <w:pPr>
        <w:spacing w:after="0" w:line="240" w:lineRule="auto"/>
        <w:jc w:val="both"/>
        <w:rPr>
          <w:rFonts w:ascii="Arial" w:eastAsiaTheme="minorHAnsi" w:hAnsi="Arial" w:cs="Arial"/>
          <w:bCs/>
          <w:sz w:val="20"/>
          <w:szCs w:val="20"/>
        </w:rPr>
      </w:pPr>
    </w:p>
    <w:p w14:paraId="1AA9AB37" w14:textId="7A1A0AE9" w:rsidR="007F1C15" w:rsidRDefault="007F1C15" w:rsidP="00B7240D">
      <w:pPr>
        <w:spacing w:after="0" w:line="240" w:lineRule="auto"/>
        <w:jc w:val="both"/>
        <w:rPr>
          <w:rFonts w:ascii="Arial" w:eastAsiaTheme="minorHAnsi" w:hAnsi="Arial" w:cs="Arial"/>
          <w:bCs/>
          <w:sz w:val="20"/>
          <w:szCs w:val="20"/>
        </w:rPr>
      </w:pPr>
    </w:p>
    <w:p w14:paraId="542173BF" w14:textId="22623DD5" w:rsidR="007F1C15" w:rsidRDefault="007F1C15" w:rsidP="00B7240D">
      <w:pPr>
        <w:spacing w:after="0" w:line="240" w:lineRule="auto"/>
        <w:jc w:val="both"/>
        <w:rPr>
          <w:rFonts w:ascii="Arial" w:eastAsiaTheme="minorHAnsi" w:hAnsi="Arial" w:cs="Arial"/>
          <w:bCs/>
          <w:sz w:val="20"/>
          <w:szCs w:val="20"/>
        </w:rPr>
      </w:pPr>
    </w:p>
    <w:p w14:paraId="2DEAC6E2" w14:textId="22DC8FEA" w:rsidR="007F1C15" w:rsidRDefault="007F1C15" w:rsidP="00B7240D">
      <w:pPr>
        <w:spacing w:after="0" w:line="240" w:lineRule="auto"/>
        <w:jc w:val="both"/>
        <w:rPr>
          <w:rFonts w:ascii="Arial" w:eastAsiaTheme="minorHAnsi" w:hAnsi="Arial" w:cs="Arial"/>
          <w:bCs/>
          <w:sz w:val="20"/>
          <w:szCs w:val="20"/>
        </w:rPr>
      </w:pPr>
    </w:p>
    <w:p w14:paraId="0289C640" w14:textId="7A87283D" w:rsidR="007F1C15" w:rsidRDefault="007F1C15" w:rsidP="00B7240D">
      <w:pPr>
        <w:spacing w:after="0" w:line="240" w:lineRule="auto"/>
        <w:jc w:val="both"/>
        <w:rPr>
          <w:rFonts w:ascii="Arial" w:eastAsiaTheme="minorHAnsi" w:hAnsi="Arial" w:cs="Arial"/>
          <w:bCs/>
          <w:sz w:val="20"/>
          <w:szCs w:val="20"/>
        </w:rPr>
      </w:pPr>
    </w:p>
    <w:p w14:paraId="2E1FA5B3" w14:textId="0F24800C" w:rsidR="007F1C15" w:rsidRDefault="007F1C15" w:rsidP="00B7240D">
      <w:pPr>
        <w:spacing w:after="0" w:line="240" w:lineRule="auto"/>
        <w:jc w:val="both"/>
        <w:rPr>
          <w:rFonts w:ascii="Arial" w:eastAsiaTheme="minorHAnsi" w:hAnsi="Arial" w:cs="Arial"/>
          <w:bCs/>
          <w:sz w:val="20"/>
          <w:szCs w:val="20"/>
        </w:rPr>
      </w:pPr>
    </w:p>
    <w:p w14:paraId="065112CC" w14:textId="6F4AC5B1" w:rsidR="007F1C15" w:rsidRDefault="007F1C15" w:rsidP="00B7240D">
      <w:pPr>
        <w:spacing w:after="0" w:line="240" w:lineRule="auto"/>
        <w:jc w:val="both"/>
        <w:rPr>
          <w:rFonts w:ascii="Arial" w:eastAsiaTheme="minorHAnsi" w:hAnsi="Arial" w:cs="Arial"/>
          <w:bCs/>
          <w:sz w:val="20"/>
          <w:szCs w:val="20"/>
        </w:rPr>
      </w:pPr>
    </w:p>
    <w:p w14:paraId="228F103D" w14:textId="656EAE3A" w:rsidR="007F1C15" w:rsidRDefault="007F1C15" w:rsidP="00B7240D">
      <w:pPr>
        <w:spacing w:after="0" w:line="240" w:lineRule="auto"/>
        <w:jc w:val="both"/>
        <w:rPr>
          <w:rFonts w:ascii="Arial" w:eastAsiaTheme="minorHAnsi" w:hAnsi="Arial" w:cs="Arial"/>
          <w:bCs/>
          <w:sz w:val="20"/>
          <w:szCs w:val="20"/>
        </w:rPr>
      </w:pPr>
    </w:p>
    <w:p w14:paraId="621EDE81" w14:textId="554AE93B" w:rsidR="007F1C15" w:rsidRDefault="007F1C15" w:rsidP="00B7240D">
      <w:pPr>
        <w:spacing w:after="0" w:line="240" w:lineRule="auto"/>
        <w:jc w:val="both"/>
        <w:rPr>
          <w:rFonts w:ascii="Arial" w:eastAsiaTheme="minorHAnsi" w:hAnsi="Arial" w:cs="Arial"/>
          <w:bCs/>
          <w:sz w:val="20"/>
          <w:szCs w:val="20"/>
        </w:rPr>
      </w:pPr>
    </w:p>
    <w:p w14:paraId="35E26BA1" w14:textId="4A47C83E" w:rsidR="007F1C15" w:rsidRDefault="007F1C15" w:rsidP="00B7240D">
      <w:pPr>
        <w:spacing w:after="0" w:line="240" w:lineRule="auto"/>
        <w:jc w:val="both"/>
        <w:rPr>
          <w:rFonts w:ascii="Arial" w:eastAsiaTheme="minorHAnsi" w:hAnsi="Arial" w:cs="Arial"/>
          <w:bCs/>
          <w:sz w:val="20"/>
          <w:szCs w:val="20"/>
        </w:rPr>
      </w:pPr>
    </w:p>
    <w:p w14:paraId="3ED9DAAD" w14:textId="46A6E4C1" w:rsidR="007F1C15" w:rsidRDefault="007F1C15" w:rsidP="00B7240D">
      <w:pPr>
        <w:spacing w:after="0" w:line="240" w:lineRule="auto"/>
        <w:jc w:val="both"/>
        <w:rPr>
          <w:rFonts w:ascii="Arial" w:eastAsiaTheme="minorHAnsi" w:hAnsi="Arial" w:cs="Arial"/>
          <w:bCs/>
          <w:sz w:val="20"/>
          <w:szCs w:val="20"/>
        </w:rPr>
      </w:pPr>
    </w:p>
    <w:p w14:paraId="0BA2AC03" w14:textId="7AADB824" w:rsidR="007F1C15" w:rsidRDefault="007F1C15" w:rsidP="00B7240D">
      <w:pPr>
        <w:spacing w:after="0" w:line="240" w:lineRule="auto"/>
        <w:jc w:val="both"/>
        <w:rPr>
          <w:rFonts w:ascii="Arial" w:eastAsiaTheme="minorHAnsi" w:hAnsi="Arial" w:cs="Arial"/>
          <w:bCs/>
          <w:sz w:val="20"/>
          <w:szCs w:val="20"/>
        </w:rPr>
      </w:pPr>
    </w:p>
    <w:p w14:paraId="757E4119" w14:textId="07945E63" w:rsidR="007F1C15" w:rsidRDefault="007F1C15" w:rsidP="00B7240D">
      <w:pPr>
        <w:spacing w:after="0" w:line="240" w:lineRule="auto"/>
        <w:jc w:val="both"/>
        <w:rPr>
          <w:rFonts w:ascii="Arial" w:eastAsiaTheme="minorHAnsi" w:hAnsi="Arial" w:cs="Arial"/>
          <w:bCs/>
          <w:sz w:val="20"/>
          <w:szCs w:val="20"/>
        </w:rPr>
      </w:pPr>
    </w:p>
    <w:p w14:paraId="61F5AAA5" w14:textId="28A05C00" w:rsidR="007F1C15" w:rsidRDefault="007F1C15" w:rsidP="00B7240D">
      <w:pPr>
        <w:spacing w:after="0" w:line="240" w:lineRule="auto"/>
        <w:jc w:val="both"/>
        <w:rPr>
          <w:rFonts w:ascii="Arial" w:eastAsiaTheme="minorHAnsi" w:hAnsi="Arial" w:cs="Arial"/>
          <w:bCs/>
          <w:sz w:val="20"/>
          <w:szCs w:val="20"/>
        </w:rPr>
      </w:pPr>
    </w:p>
    <w:p w14:paraId="2AF64098" w14:textId="4418E3D5" w:rsidR="007F1C15" w:rsidRDefault="007F1C15" w:rsidP="00B7240D">
      <w:pPr>
        <w:spacing w:after="0" w:line="240" w:lineRule="auto"/>
        <w:jc w:val="both"/>
        <w:rPr>
          <w:rFonts w:ascii="Arial" w:eastAsiaTheme="minorHAnsi" w:hAnsi="Arial" w:cs="Arial"/>
          <w:bCs/>
          <w:sz w:val="20"/>
          <w:szCs w:val="20"/>
        </w:rPr>
      </w:pPr>
    </w:p>
    <w:p w14:paraId="09E92957" w14:textId="50E3A29B" w:rsidR="007F1C15" w:rsidRDefault="007F1C15" w:rsidP="00B7240D">
      <w:pPr>
        <w:spacing w:after="0" w:line="240" w:lineRule="auto"/>
        <w:jc w:val="both"/>
        <w:rPr>
          <w:rFonts w:ascii="Arial" w:eastAsiaTheme="minorHAnsi" w:hAnsi="Arial" w:cs="Arial"/>
          <w:bCs/>
          <w:sz w:val="20"/>
          <w:szCs w:val="20"/>
        </w:rPr>
      </w:pPr>
    </w:p>
    <w:p w14:paraId="47E1F065" w14:textId="41D03599" w:rsidR="007F1C15" w:rsidRDefault="007F1C15" w:rsidP="00B7240D">
      <w:pPr>
        <w:spacing w:after="0" w:line="240" w:lineRule="auto"/>
        <w:jc w:val="both"/>
        <w:rPr>
          <w:rFonts w:ascii="Arial" w:eastAsiaTheme="minorHAnsi" w:hAnsi="Arial" w:cs="Arial"/>
          <w:bCs/>
          <w:sz w:val="20"/>
          <w:szCs w:val="20"/>
        </w:rPr>
      </w:pPr>
    </w:p>
    <w:p w14:paraId="6BA4FF6D" w14:textId="33E7F86D" w:rsidR="007F1C15" w:rsidRDefault="007F1C15" w:rsidP="00B7240D">
      <w:pPr>
        <w:spacing w:after="0" w:line="240" w:lineRule="auto"/>
        <w:jc w:val="both"/>
        <w:rPr>
          <w:rFonts w:ascii="Arial" w:eastAsiaTheme="minorHAnsi" w:hAnsi="Arial" w:cs="Arial"/>
          <w:bCs/>
          <w:sz w:val="20"/>
          <w:szCs w:val="20"/>
        </w:rPr>
      </w:pPr>
    </w:p>
    <w:p w14:paraId="653242F0" w14:textId="543EED1E" w:rsidR="007F1C15" w:rsidRDefault="007F1C15" w:rsidP="00B7240D">
      <w:pPr>
        <w:spacing w:after="0" w:line="240" w:lineRule="auto"/>
        <w:jc w:val="both"/>
        <w:rPr>
          <w:rFonts w:ascii="Arial" w:eastAsiaTheme="minorHAnsi" w:hAnsi="Arial" w:cs="Arial"/>
          <w:bCs/>
          <w:sz w:val="20"/>
          <w:szCs w:val="20"/>
        </w:rPr>
      </w:pPr>
    </w:p>
    <w:p w14:paraId="0D1B8260" w14:textId="7365549E" w:rsidR="007F1C15" w:rsidRDefault="007F1C15" w:rsidP="00B7240D">
      <w:pPr>
        <w:spacing w:after="0" w:line="240" w:lineRule="auto"/>
        <w:jc w:val="both"/>
        <w:rPr>
          <w:rFonts w:ascii="Arial" w:eastAsiaTheme="minorHAnsi" w:hAnsi="Arial" w:cs="Arial"/>
          <w:bCs/>
          <w:sz w:val="20"/>
          <w:szCs w:val="20"/>
        </w:rPr>
      </w:pPr>
    </w:p>
    <w:p w14:paraId="116C3700" w14:textId="7F86A961" w:rsidR="007F1C15" w:rsidRDefault="007F1C15" w:rsidP="00B7240D">
      <w:pPr>
        <w:spacing w:after="0" w:line="240" w:lineRule="auto"/>
        <w:jc w:val="both"/>
        <w:rPr>
          <w:rFonts w:ascii="Arial" w:eastAsiaTheme="minorHAnsi" w:hAnsi="Arial" w:cs="Arial"/>
          <w:bCs/>
          <w:sz w:val="20"/>
          <w:szCs w:val="20"/>
        </w:rPr>
      </w:pPr>
    </w:p>
    <w:p w14:paraId="6C1CD8C9" w14:textId="29B57C40" w:rsidR="007F1C15" w:rsidRDefault="007F1C15" w:rsidP="00B7240D">
      <w:pPr>
        <w:spacing w:after="0" w:line="240" w:lineRule="auto"/>
        <w:jc w:val="both"/>
        <w:rPr>
          <w:rFonts w:ascii="Arial" w:eastAsiaTheme="minorHAnsi" w:hAnsi="Arial" w:cs="Arial"/>
          <w:bCs/>
          <w:sz w:val="20"/>
          <w:szCs w:val="20"/>
        </w:rPr>
      </w:pPr>
    </w:p>
    <w:p w14:paraId="326C6603" w14:textId="039254DD" w:rsidR="007F1C15" w:rsidRDefault="007F1C15" w:rsidP="00B7240D">
      <w:pPr>
        <w:spacing w:after="0" w:line="240" w:lineRule="auto"/>
        <w:jc w:val="both"/>
        <w:rPr>
          <w:rFonts w:ascii="Arial" w:eastAsiaTheme="minorHAnsi" w:hAnsi="Arial" w:cs="Arial"/>
          <w:bCs/>
          <w:sz w:val="20"/>
          <w:szCs w:val="20"/>
        </w:rPr>
      </w:pPr>
    </w:p>
    <w:p w14:paraId="1FCE589C" w14:textId="4A2A2699" w:rsidR="007F1C15" w:rsidRDefault="007F1C15" w:rsidP="00B7240D">
      <w:pPr>
        <w:spacing w:after="0" w:line="240" w:lineRule="auto"/>
        <w:jc w:val="both"/>
        <w:rPr>
          <w:rFonts w:ascii="Arial" w:eastAsiaTheme="minorHAnsi" w:hAnsi="Arial" w:cs="Arial"/>
          <w:bCs/>
          <w:sz w:val="20"/>
          <w:szCs w:val="20"/>
        </w:rPr>
      </w:pPr>
    </w:p>
    <w:p w14:paraId="4E1791D3" w14:textId="7942281C" w:rsidR="007F1C15" w:rsidRDefault="007F1C15" w:rsidP="00B7240D">
      <w:pPr>
        <w:spacing w:after="0" w:line="240" w:lineRule="auto"/>
        <w:jc w:val="both"/>
        <w:rPr>
          <w:rFonts w:ascii="Arial" w:eastAsiaTheme="minorHAnsi" w:hAnsi="Arial" w:cs="Arial"/>
          <w:bCs/>
          <w:sz w:val="20"/>
          <w:szCs w:val="20"/>
        </w:rPr>
      </w:pPr>
    </w:p>
    <w:p w14:paraId="7A09BFEA" w14:textId="1BCB07DA" w:rsidR="007F1C15" w:rsidRDefault="007F1C15" w:rsidP="00B7240D">
      <w:pPr>
        <w:spacing w:after="0" w:line="240" w:lineRule="auto"/>
        <w:jc w:val="both"/>
        <w:rPr>
          <w:rFonts w:ascii="Arial" w:eastAsiaTheme="minorHAnsi" w:hAnsi="Arial" w:cs="Arial"/>
          <w:bCs/>
          <w:sz w:val="20"/>
          <w:szCs w:val="20"/>
        </w:rPr>
      </w:pPr>
    </w:p>
    <w:p w14:paraId="56F8FC41" w14:textId="28F23417" w:rsidR="0008508B" w:rsidRDefault="0008508B" w:rsidP="00B7240D">
      <w:pPr>
        <w:spacing w:after="0" w:line="240" w:lineRule="auto"/>
        <w:jc w:val="both"/>
        <w:rPr>
          <w:rFonts w:ascii="Arial" w:eastAsiaTheme="minorHAnsi" w:hAnsi="Arial" w:cs="Arial"/>
          <w:bCs/>
          <w:sz w:val="20"/>
          <w:szCs w:val="20"/>
        </w:rPr>
      </w:pPr>
    </w:p>
    <w:p w14:paraId="6EC50E19" w14:textId="77777777" w:rsidR="0008508B" w:rsidRDefault="0008508B" w:rsidP="00B7240D">
      <w:pPr>
        <w:spacing w:after="0" w:line="240" w:lineRule="auto"/>
        <w:jc w:val="both"/>
        <w:rPr>
          <w:rFonts w:ascii="Arial" w:eastAsiaTheme="minorHAnsi" w:hAnsi="Arial" w:cs="Arial"/>
          <w:bCs/>
          <w:sz w:val="20"/>
          <w:szCs w:val="20"/>
        </w:rPr>
      </w:pPr>
    </w:p>
    <w:p w14:paraId="73B22E40" w14:textId="2E45195D" w:rsidR="00D96418" w:rsidRDefault="00D96418" w:rsidP="006A3704">
      <w:pPr>
        <w:tabs>
          <w:tab w:val="left" w:pos="2715"/>
        </w:tabs>
        <w:spacing w:after="0" w:line="276" w:lineRule="auto"/>
        <w:jc w:val="both"/>
        <w:rPr>
          <w:rFonts w:ascii="Arial" w:hAnsi="Arial" w:cs="Arial"/>
          <w:b/>
          <w:bCs/>
        </w:rPr>
      </w:pPr>
    </w:p>
    <w:p w14:paraId="2BEAC620" w14:textId="77777777" w:rsidR="006A3704" w:rsidRDefault="006A3704" w:rsidP="006A3704">
      <w:pPr>
        <w:tabs>
          <w:tab w:val="left" w:pos="2715"/>
        </w:tabs>
        <w:spacing w:after="0" w:line="276" w:lineRule="auto"/>
        <w:jc w:val="both"/>
        <w:rPr>
          <w:rFonts w:ascii="Arial" w:hAnsi="Arial" w:cs="Arial"/>
          <w:noProof/>
          <w:color w:val="000000" w:themeColor="text1"/>
        </w:rPr>
      </w:pPr>
    </w:p>
    <w:p w14:paraId="0B79E2C7" w14:textId="77777777" w:rsidR="00AF5F6B" w:rsidRDefault="00AF5F6B" w:rsidP="00B7240D">
      <w:pPr>
        <w:spacing w:after="0" w:line="276" w:lineRule="auto"/>
        <w:jc w:val="both"/>
        <w:rPr>
          <w:rFonts w:ascii="Arial" w:hAnsi="Arial" w:cs="Arial"/>
          <w:noProof/>
          <w:color w:val="000000" w:themeColor="text1"/>
        </w:rPr>
      </w:pPr>
    </w:p>
    <w:p w14:paraId="3B11D2A2" w14:textId="7DE3747D" w:rsidR="00AF5F6B" w:rsidRDefault="00AF5F6B" w:rsidP="00AF5F6B">
      <w:pPr>
        <w:spacing w:after="0" w:line="276" w:lineRule="auto"/>
        <w:jc w:val="right"/>
        <w:rPr>
          <w:rFonts w:ascii="Arial" w:hAnsi="Arial" w:cs="Arial"/>
          <w:noProof/>
          <w:color w:val="000000" w:themeColor="text1"/>
        </w:rPr>
      </w:pPr>
      <w:r w:rsidRPr="00AF5F6B">
        <w:rPr>
          <w:rFonts w:ascii="Arial" w:hAnsi="Arial" w:cs="Arial"/>
          <w:noProof/>
          <w:color w:val="000000" w:themeColor="text1"/>
        </w:rPr>
        <w:drawing>
          <wp:inline distT="0" distB="0" distL="0" distR="0" wp14:anchorId="4B1102C9" wp14:editId="43A07634">
            <wp:extent cx="2238375" cy="7429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742950"/>
                    </a:xfrm>
                    <a:prstGeom prst="rect">
                      <a:avLst/>
                    </a:prstGeom>
                    <a:noFill/>
                    <a:ln>
                      <a:noFill/>
                    </a:ln>
                  </pic:spPr>
                </pic:pic>
              </a:graphicData>
            </a:graphic>
          </wp:inline>
        </w:drawing>
      </w:r>
    </w:p>
    <w:p w14:paraId="303B27AF" w14:textId="77777777" w:rsidR="00AF5F6B" w:rsidRDefault="00AF5F6B" w:rsidP="00B7240D">
      <w:pPr>
        <w:spacing w:after="0" w:line="276" w:lineRule="auto"/>
        <w:jc w:val="both"/>
        <w:rPr>
          <w:rFonts w:ascii="Arial" w:hAnsi="Arial" w:cs="Arial"/>
          <w:noProof/>
          <w:color w:val="000000" w:themeColor="text1"/>
        </w:rPr>
      </w:pPr>
    </w:p>
    <w:p w14:paraId="5FDF9495" w14:textId="35CA62C0" w:rsidR="00631A31" w:rsidRPr="00AF5F6B" w:rsidRDefault="00B95C30" w:rsidP="00B7240D">
      <w:pPr>
        <w:spacing w:after="0" w:line="276" w:lineRule="auto"/>
        <w:jc w:val="both"/>
        <w:rPr>
          <w:rFonts w:ascii="Arial" w:hAnsi="Arial" w:cs="Arial"/>
          <w:b/>
          <w:color w:val="000000" w:themeColor="text1"/>
        </w:rPr>
      </w:pPr>
      <w:r w:rsidRPr="00A51520">
        <w:rPr>
          <w:rFonts w:ascii="Arial" w:hAnsi="Arial" w:cs="Arial"/>
          <w:noProof/>
          <w:color w:val="000000" w:themeColor="text1"/>
        </w:rPr>
        <w:t>Bogotá D.C.,</w:t>
      </w:r>
      <w:r w:rsidR="00AF5F6B">
        <w:rPr>
          <w:rFonts w:ascii="Arial" w:hAnsi="Arial" w:cs="Arial"/>
          <w:noProof/>
          <w:color w:val="000000" w:themeColor="text1"/>
        </w:rPr>
        <w:t xml:space="preserve"> </w:t>
      </w:r>
      <w:r w:rsidR="00AF5F6B" w:rsidRPr="00AF5F6B">
        <w:rPr>
          <w:rFonts w:ascii="Arial" w:hAnsi="Arial" w:cs="Arial"/>
          <w:b/>
          <w:bCs/>
          <w:noProof/>
          <w:color w:val="000000" w:themeColor="text1"/>
        </w:rPr>
        <w:t>21 de septiembre de 2022</w:t>
      </w:r>
    </w:p>
    <w:p w14:paraId="15083641" w14:textId="77777777" w:rsidR="006A3704" w:rsidRPr="00A51520" w:rsidRDefault="006A3704" w:rsidP="00B7240D">
      <w:pPr>
        <w:spacing w:after="0" w:line="276" w:lineRule="auto"/>
        <w:jc w:val="both"/>
        <w:rPr>
          <w:rFonts w:ascii="Arial" w:hAnsi="Arial" w:cs="Arial"/>
          <w:b/>
          <w:color w:val="000000" w:themeColor="text1"/>
          <w:lang w:val="pt-BR"/>
        </w:rPr>
      </w:pPr>
    </w:p>
    <w:p w14:paraId="5F5AE9EF" w14:textId="7B1908E3" w:rsidR="00B95C30" w:rsidRPr="00A51520" w:rsidRDefault="00B95C30" w:rsidP="00B7240D">
      <w:pPr>
        <w:spacing w:after="0" w:line="276" w:lineRule="auto"/>
        <w:jc w:val="both"/>
        <w:rPr>
          <w:rFonts w:ascii="Arial" w:hAnsi="Arial" w:cs="Arial"/>
          <w:color w:val="000000" w:themeColor="text1"/>
        </w:rPr>
      </w:pPr>
      <w:bookmarkStart w:id="1" w:name="_Hlk100051121"/>
      <w:r w:rsidRPr="00A51520">
        <w:rPr>
          <w:rFonts w:ascii="Arial" w:hAnsi="Arial" w:cs="Arial"/>
          <w:color w:val="000000" w:themeColor="text1"/>
        </w:rPr>
        <w:t>Señor</w:t>
      </w:r>
      <w:r w:rsidR="007F1C15">
        <w:rPr>
          <w:rFonts w:ascii="Arial" w:hAnsi="Arial" w:cs="Arial"/>
          <w:color w:val="000000" w:themeColor="text1"/>
        </w:rPr>
        <w:t>es</w:t>
      </w:r>
    </w:p>
    <w:p w14:paraId="798A20AC" w14:textId="0CFDAB74" w:rsidR="005F5F37" w:rsidRPr="00A51520" w:rsidRDefault="007F1C15" w:rsidP="00B7240D">
      <w:pPr>
        <w:tabs>
          <w:tab w:val="center" w:pos="4394"/>
        </w:tabs>
        <w:spacing w:after="0" w:line="276" w:lineRule="auto"/>
        <w:jc w:val="both"/>
        <w:rPr>
          <w:rFonts w:ascii="Arial" w:hAnsi="Arial" w:cs="Arial"/>
          <w:b/>
          <w:color w:val="000000" w:themeColor="text1"/>
        </w:rPr>
      </w:pPr>
      <w:r>
        <w:rPr>
          <w:rFonts w:ascii="Arial" w:hAnsi="Arial" w:cs="Arial"/>
          <w:b/>
          <w:color w:val="000000" w:themeColor="text1"/>
        </w:rPr>
        <w:t>BHR Constructores S.A.S</w:t>
      </w:r>
      <w:r w:rsidR="00F650A2">
        <w:rPr>
          <w:rFonts w:ascii="Arial" w:hAnsi="Arial" w:cs="Arial"/>
          <w:b/>
          <w:color w:val="000000" w:themeColor="text1"/>
        </w:rPr>
        <w:tab/>
      </w:r>
    </w:p>
    <w:p w14:paraId="4A1C8FFE" w14:textId="0A413161" w:rsidR="008120C4" w:rsidRDefault="00F14618" w:rsidP="00B7240D">
      <w:pPr>
        <w:spacing w:after="0" w:line="276" w:lineRule="auto"/>
        <w:rPr>
          <w:rFonts w:ascii="Arial" w:hAnsi="Arial" w:cs="Arial"/>
          <w:b/>
          <w:bCs/>
          <w:color w:val="000000" w:themeColor="text1"/>
        </w:rPr>
      </w:pPr>
      <w:r>
        <w:rPr>
          <w:rFonts w:ascii="Arial" w:hAnsi="Arial" w:cs="Arial"/>
          <w:bCs/>
          <w:color w:val="000000" w:themeColor="text1"/>
        </w:rPr>
        <w:t>Bogotá D.C.</w:t>
      </w:r>
    </w:p>
    <w:p w14:paraId="122205C3" w14:textId="77777777" w:rsidR="000277A2" w:rsidRPr="00A51520" w:rsidRDefault="000277A2" w:rsidP="00B7240D">
      <w:pPr>
        <w:spacing w:after="0" w:line="276" w:lineRule="auto"/>
        <w:rPr>
          <w:rFonts w:ascii="Arial" w:hAnsi="Arial" w:cs="Arial"/>
          <w:b/>
          <w:bCs/>
          <w:color w:val="000000" w:themeColor="text1"/>
        </w:rPr>
      </w:pPr>
    </w:p>
    <w:p w14:paraId="1BD594F9" w14:textId="3D2CD4F9" w:rsidR="00B95C30" w:rsidRPr="00A51520" w:rsidRDefault="005B1504" w:rsidP="00B7240D">
      <w:pPr>
        <w:spacing w:after="0" w:line="276" w:lineRule="auto"/>
        <w:rPr>
          <w:rFonts w:ascii="Arial" w:hAnsi="Arial" w:cs="Arial"/>
          <w:b/>
          <w:bCs/>
          <w:color w:val="000000" w:themeColor="text1"/>
          <w:lang w:val="pt-BR"/>
        </w:rPr>
      </w:pPr>
      <w:r w:rsidRPr="00A51520">
        <w:rPr>
          <w:rFonts w:ascii="Arial" w:hAnsi="Arial" w:cs="Arial"/>
          <w:b/>
          <w:bCs/>
          <w:color w:val="000000" w:themeColor="text1"/>
        </w:rPr>
        <w:t xml:space="preserve">                     </w:t>
      </w:r>
      <w:r w:rsidR="00923FA6">
        <w:rPr>
          <w:rFonts w:ascii="Arial" w:hAnsi="Arial" w:cs="Arial"/>
          <w:b/>
          <w:bCs/>
          <w:color w:val="000000" w:themeColor="text1"/>
        </w:rPr>
        <w:t xml:space="preserve">                      </w:t>
      </w:r>
      <w:r w:rsidRPr="00A51520">
        <w:rPr>
          <w:rFonts w:ascii="Arial" w:hAnsi="Arial" w:cs="Arial"/>
          <w:b/>
          <w:bCs/>
          <w:color w:val="000000" w:themeColor="text1"/>
        </w:rPr>
        <w:t xml:space="preserve"> </w:t>
      </w:r>
      <w:r w:rsidR="00023FA5" w:rsidRPr="00A51520">
        <w:rPr>
          <w:rFonts w:ascii="Arial" w:hAnsi="Arial" w:cs="Arial"/>
          <w:b/>
          <w:bCs/>
          <w:color w:val="000000" w:themeColor="text1"/>
          <w:lang w:val="pt-BR"/>
        </w:rPr>
        <w:t xml:space="preserve">Concepto C ‒ </w:t>
      </w:r>
      <w:r w:rsidR="007F1C15">
        <w:rPr>
          <w:rFonts w:ascii="Arial" w:hAnsi="Arial" w:cs="Arial"/>
          <w:b/>
          <w:bCs/>
          <w:color w:val="000000" w:themeColor="text1"/>
          <w:lang w:val="pt-BR"/>
        </w:rPr>
        <w:t>611</w:t>
      </w:r>
      <w:r w:rsidR="000277A2">
        <w:rPr>
          <w:rFonts w:ascii="Arial" w:hAnsi="Arial" w:cs="Arial"/>
          <w:b/>
          <w:bCs/>
          <w:color w:val="000000" w:themeColor="text1"/>
          <w:lang w:val="pt-BR"/>
        </w:rPr>
        <w:t xml:space="preserve"> </w:t>
      </w:r>
      <w:r w:rsidR="00275FBF" w:rsidRPr="00A51520">
        <w:rPr>
          <w:rFonts w:ascii="Arial" w:hAnsi="Arial" w:cs="Arial"/>
          <w:b/>
          <w:bCs/>
          <w:color w:val="000000" w:themeColor="text1"/>
          <w:lang w:val="pt-BR"/>
        </w:rPr>
        <w:t>de 202</w:t>
      </w:r>
      <w:r w:rsidR="00BF4EC5" w:rsidRPr="00A51520">
        <w:rPr>
          <w:rFonts w:ascii="Arial" w:hAnsi="Arial" w:cs="Arial"/>
          <w:b/>
          <w:bCs/>
          <w:color w:val="000000" w:themeColor="text1"/>
          <w:lang w:val="pt-BR"/>
        </w:rPr>
        <w:t>2</w:t>
      </w:r>
    </w:p>
    <w:p w14:paraId="7063750E" w14:textId="77777777" w:rsidR="005F5F37" w:rsidRPr="00A51520" w:rsidRDefault="005F5F37" w:rsidP="006A3704">
      <w:pPr>
        <w:spacing w:after="0" w:line="240" w:lineRule="auto"/>
        <w:rPr>
          <w:rFonts w:ascii="Arial" w:hAnsi="Arial" w:cs="Arial"/>
          <w:b/>
          <w:bCs/>
          <w:color w:val="000000" w:themeColor="text1"/>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C06955">
        <w:trPr>
          <w:trHeight w:val="884"/>
        </w:trPr>
        <w:tc>
          <w:tcPr>
            <w:tcW w:w="2689" w:type="dxa"/>
          </w:tcPr>
          <w:p w14:paraId="6BC0D1AC" w14:textId="569BAEB9" w:rsidR="00B95C30" w:rsidRPr="006A3704" w:rsidRDefault="00B95C30" w:rsidP="006A3704">
            <w:pPr>
              <w:spacing w:after="0" w:line="240" w:lineRule="auto"/>
              <w:jc w:val="both"/>
              <w:rPr>
                <w:rFonts w:ascii="Arial" w:hAnsi="Arial" w:cs="Arial"/>
                <w:b/>
                <w:color w:val="000000" w:themeColor="text1"/>
                <w:szCs w:val="24"/>
                <w:lang w:val="es-ES_tradnl" w:eastAsia="es-ES_tradnl"/>
              </w:rPr>
            </w:pPr>
            <w:r w:rsidRPr="006A3704">
              <w:rPr>
                <w:rFonts w:ascii="Arial" w:hAnsi="Arial" w:cs="Arial"/>
                <w:b/>
                <w:color w:val="000000" w:themeColor="text1"/>
                <w:szCs w:val="24"/>
                <w:lang w:val="es-ES_tradnl" w:eastAsia="es-ES_tradnl"/>
              </w:rPr>
              <w:t>Temas:</w:t>
            </w:r>
            <w:r w:rsidR="005B1504" w:rsidRPr="006A3704">
              <w:rPr>
                <w:rFonts w:ascii="Arial" w:hAnsi="Arial" w:cs="Arial"/>
                <w:b/>
                <w:color w:val="000000" w:themeColor="text1"/>
                <w:szCs w:val="24"/>
                <w:lang w:val="es-ES_tradnl" w:eastAsia="es-ES_tradnl"/>
              </w:rPr>
              <w:t xml:space="preserve">                   </w:t>
            </w:r>
          </w:p>
        </w:tc>
        <w:tc>
          <w:tcPr>
            <w:tcW w:w="6237" w:type="dxa"/>
          </w:tcPr>
          <w:p w14:paraId="0D676FC5" w14:textId="77777777" w:rsidR="006A3704" w:rsidRDefault="00F96F06" w:rsidP="006A3704">
            <w:pPr>
              <w:tabs>
                <w:tab w:val="left" w:pos="6551"/>
              </w:tabs>
              <w:spacing w:after="0" w:line="240" w:lineRule="auto"/>
              <w:jc w:val="both"/>
              <w:rPr>
                <w:rFonts w:ascii="Arial" w:hAnsi="Arial" w:cs="Arial"/>
                <w:bCs/>
                <w:color w:val="000000" w:themeColor="text1"/>
                <w:szCs w:val="24"/>
                <w:lang w:val="es-ES_tradnl" w:eastAsia="es-ES_tradnl"/>
              </w:rPr>
            </w:pPr>
            <w:r w:rsidRPr="006A3704">
              <w:rPr>
                <w:rFonts w:ascii="Arial" w:hAnsi="Arial" w:cs="Arial"/>
                <w:bCs/>
                <w:color w:val="000000" w:themeColor="text1"/>
                <w:szCs w:val="24"/>
                <w:lang w:val="es-ES_tradnl" w:eastAsia="es-ES_tradnl"/>
              </w:rPr>
              <w:t>DOCUMENTOS TIPO – Infraestructura social</w:t>
            </w:r>
            <w:r w:rsidR="005948B5" w:rsidRPr="006A3704">
              <w:rPr>
                <w:rFonts w:ascii="Arial" w:hAnsi="Arial" w:cs="Arial"/>
                <w:bCs/>
                <w:color w:val="000000" w:themeColor="text1"/>
                <w:szCs w:val="24"/>
                <w:lang w:val="es-ES_tradnl" w:eastAsia="es-ES_tradnl"/>
              </w:rPr>
              <w:t xml:space="preserve"> </w:t>
            </w:r>
            <w:r w:rsidR="00C06955" w:rsidRPr="006A3704">
              <w:rPr>
                <w:rFonts w:ascii="Arial" w:hAnsi="Arial" w:cs="Arial"/>
                <w:bCs/>
                <w:color w:val="000000" w:themeColor="text1"/>
                <w:szCs w:val="24"/>
                <w:lang w:val="es-ES_tradnl" w:eastAsia="es-ES_tradnl"/>
              </w:rPr>
              <w:t xml:space="preserve">/ </w:t>
            </w:r>
            <w:r w:rsidR="005948B5" w:rsidRPr="006A3704">
              <w:rPr>
                <w:rFonts w:ascii="Arial" w:hAnsi="Arial" w:cs="Arial"/>
                <w:bCs/>
                <w:color w:val="000000" w:themeColor="text1"/>
                <w:szCs w:val="24"/>
                <w:lang w:val="es-ES_tradnl" w:eastAsia="es-ES_tradnl"/>
              </w:rPr>
              <w:t xml:space="preserve">EXPERIENCIA – Acreditación – Modificación – Resolución 275 de 2022 / PROCESOS ESTRUCTURADOS POR LOTES – Numeral 2.10 – Reglas </w:t>
            </w:r>
            <w:r w:rsidR="00C06955" w:rsidRPr="006A3704">
              <w:rPr>
                <w:rFonts w:ascii="Arial" w:hAnsi="Arial" w:cs="Arial"/>
                <w:bCs/>
                <w:color w:val="000000" w:themeColor="text1"/>
                <w:szCs w:val="24"/>
                <w:lang w:val="es-ES_tradnl" w:eastAsia="es-ES_tradnl"/>
              </w:rPr>
              <w:t xml:space="preserve">/ </w:t>
            </w:r>
            <w:r w:rsidR="005948B5" w:rsidRPr="006A3704">
              <w:rPr>
                <w:rFonts w:ascii="Arial" w:hAnsi="Arial" w:cs="Arial"/>
                <w:bCs/>
                <w:color w:val="000000" w:themeColor="text1"/>
                <w:szCs w:val="24"/>
                <w:lang w:val="es-ES_tradnl" w:eastAsia="es-ES_tradnl"/>
              </w:rPr>
              <w:t>PROCESOS ESTRUCTURADOS POR LOTES – Experiencia – Acreditación – Independiente</w:t>
            </w:r>
          </w:p>
          <w:p w14:paraId="5F389CAF" w14:textId="37BDF4DC" w:rsidR="006A3704" w:rsidRPr="006A3704" w:rsidRDefault="006A3704" w:rsidP="006A3704">
            <w:pPr>
              <w:tabs>
                <w:tab w:val="left" w:pos="6551"/>
              </w:tabs>
              <w:spacing w:after="0" w:line="240" w:lineRule="auto"/>
              <w:jc w:val="both"/>
              <w:rPr>
                <w:rFonts w:ascii="Arial" w:hAnsi="Arial" w:cs="Arial"/>
                <w:bCs/>
                <w:color w:val="000000" w:themeColor="text1"/>
                <w:szCs w:val="24"/>
                <w:lang w:val="es-ES_tradnl" w:eastAsia="es-ES_tradnl"/>
              </w:rPr>
            </w:pPr>
          </w:p>
        </w:tc>
      </w:tr>
      <w:tr w:rsidR="00B95C30" w:rsidRPr="00A51520" w14:paraId="27CD52AB" w14:textId="77777777" w:rsidTr="00D15356">
        <w:tc>
          <w:tcPr>
            <w:tcW w:w="2689" w:type="dxa"/>
          </w:tcPr>
          <w:p w14:paraId="37E195A1" w14:textId="017D9507" w:rsidR="00B95C30" w:rsidRPr="006A3704" w:rsidRDefault="00B95C30" w:rsidP="006A3704">
            <w:pPr>
              <w:spacing w:after="0" w:line="240" w:lineRule="auto"/>
              <w:jc w:val="both"/>
              <w:rPr>
                <w:rFonts w:ascii="Arial" w:hAnsi="Arial" w:cs="Arial"/>
                <w:b/>
                <w:color w:val="000000" w:themeColor="text1"/>
                <w:szCs w:val="24"/>
                <w:lang w:val="es-ES_tradnl" w:eastAsia="es-ES_tradnl"/>
              </w:rPr>
            </w:pPr>
            <w:r w:rsidRPr="006A3704">
              <w:rPr>
                <w:rFonts w:ascii="Arial" w:hAnsi="Arial" w:cs="Arial"/>
                <w:b/>
                <w:color w:val="000000" w:themeColor="text1"/>
                <w:szCs w:val="24"/>
                <w:lang w:val="es-ES_tradnl" w:eastAsia="es-ES_tradnl"/>
              </w:rPr>
              <w:t>Radicación:</w:t>
            </w:r>
            <w:r w:rsidR="005B1504" w:rsidRPr="006A3704">
              <w:rPr>
                <w:rFonts w:ascii="Arial" w:hAnsi="Arial" w:cs="Arial"/>
                <w:b/>
                <w:color w:val="000000" w:themeColor="text1"/>
                <w:szCs w:val="24"/>
                <w:lang w:val="es-ES_tradnl" w:eastAsia="es-ES_tradnl"/>
              </w:rPr>
              <w:t xml:space="preserve">               </w:t>
            </w:r>
          </w:p>
        </w:tc>
        <w:tc>
          <w:tcPr>
            <w:tcW w:w="6237" w:type="dxa"/>
          </w:tcPr>
          <w:p w14:paraId="09088B1B" w14:textId="62EDF98D" w:rsidR="00B95C30" w:rsidRPr="006A3704" w:rsidRDefault="00B95C30" w:rsidP="006A3704">
            <w:pPr>
              <w:spacing w:after="0" w:line="240" w:lineRule="auto"/>
              <w:jc w:val="both"/>
              <w:rPr>
                <w:rFonts w:ascii="Arial" w:hAnsi="Arial" w:cs="Arial"/>
                <w:bCs/>
                <w:color w:val="000000" w:themeColor="text1"/>
                <w:szCs w:val="24"/>
                <w:lang w:val="es-ES_tradnl" w:eastAsia="es-ES_tradnl"/>
              </w:rPr>
            </w:pPr>
            <w:r w:rsidRPr="006A3704">
              <w:rPr>
                <w:rFonts w:ascii="Arial" w:hAnsi="Arial" w:cs="Arial"/>
                <w:bCs/>
                <w:color w:val="000000" w:themeColor="text1"/>
                <w:szCs w:val="24"/>
                <w:lang w:val="es-ES_tradnl" w:eastAsia="es-ES_tradnl"/>
              </w:rPr>
              <w:t>Respuesta a consulta</w:t>
            </w:r>
            <w:r w:rsidR="000D0CC7" w:rsidRPr="006A3704">
              <w:rPr>
                <w:rFonts w:ascii="Arial" w:hAnsi="Arial" w:cs="Arial"/>
                <w:bCs/>
                <w:color w:val="000000" w:themeColor="text1"/>
                <w:szCs w:val="24"/>
                <w:lang w:val="es-ES_tradnl" w:eastAsia="es-ES_tradnl"/>
              </w:rPr>
              <w:t xml:space="preserve"> </w:t>
            </w:r>
            <w:r w:rsidR="007F1C15" w:rsidRPr="006A3704">
              <w:rPr>
                <w:rFonts w:ascii="Arial" w:hAnsi="Arial" w:cs="Arial"/>
                <w:bCs/>
                <w:color w:val="000000" w:themeColor="text1"/>
                <w:szCs w:val="24"/>
                <w:lang w:val="es-ES_tradnl" w:eastAsia="es-ES_tradnl"/>
              </w:rPr>
              <w:t>P20220812008008</w:t>
            </w:r>
          </w:p>
        </w:tc>
      </w:tr>
    </w:tbl>
    <w:p w14:paraId="234C0002" w14:textId="62B39031" w:rsidR="005F5F37" w:rsidRDefault="005F5F37" w:rsidP="00B7240D">
      <w:pPr>
        <w:spacing w:after="0" w:line="274" w:lineRule="auto"/>
        <w:jc w:val="both"/>
        <w:rPr>
          <w:rFonts w:ascii="Arial" w:hAnsi="Arial" w:cs="Arial"/>
          <w:color w:val="000000" w:themeColor="text1"/>
          <w:lang w:val="es-ES_tradnl"/>
        </w:rPr>
      </w:pPr>
    </w:p>
    <w:p w14:paraId="1DAF8FE2" w14:textId="77777777" w:rsidR="006A3704" w:rsidRPr="00A51520" w:rsidRDefault="006A3704" w:rsidP="00B7240D">
      <w:pPr>
        <w:spacing w:after="0" w:line="274" w:lineRule="auto"/>
        <w:jc w:val="both"/>
        <w:rPr>
          <w:rFonts w:ascii="Arial" w:hAnsi="Arial" w:cs="Arial"/>
          <w:color w:val="000000" w:themeColor="text1"/>
          <w:lang w:val="es-ES_tradnl"/>
        </w:rPr>
      </w:pPr>
    </w:p>
    <w:p w14:paraId="1CF4AEA0" w14:textId="78E2B35C" w:rsidR="003C3339" w:rsidRPr="00A51520" w:rsidRDefault="003C3339" w:rsidP="00B7240D">
      <w:pPr>
        <w:spacing w:after="0" w:line="274" w:lineRule="auto"/>
        <w:jc w:val="both"/>
        <w:rPr>
          <w:rFonts w:ascii="Arial" w:hAnsi="Arial" w:cs="Arial"/>
          <w:color w:val="000000" w:themeColor="text1"/>
          <w:lang w:val="es-ES_tradnl"/>
        </w:rPr>
      </w:pPr>
      <w:r w:rsidRPr="00A51520">
        <w:rPr>
          <w:rFonts w:ascii="Arial" w:hAnsi="Arial" w:cs="Arial"/>
          <w:color w:val="000000" w:themeColor="text1"/>
          <w:lang w:val="es-ES_tradnl"/>
        </w:rPr>
        <w:t>Estimad</w:t>
      </w:r>
      <w:r w:rsidR="000D0CC7">
        <w:rPr>
          <w:rFonts w:ascii="Arial" w:hAnsi="Arial" w:cs="Arial"/>
          <w:color w:val="000000" w:themeColor="text1"/>
          <w:lang w:val="es-ES_tradnl"/>
        </w:rPr>
        <w:t>o</w:t>
      </w:r>
      <w:r w:rsidR="007F1C15">
        <w:rPr>
          <w:rFonts w:ascii="Arial" w:hAnsi="Arial" w:cs="Arial"/>
          <w:color w:val="000000" w:themeColor="text1"/>
          <w:lang w:val="es-ES_tradnl"/>
        </w:rPr>
        <w:t>s</w:t>
      </w:r>
      <w:r w:rsidRPr="00A51520">
        <w:rPr>
          <w:rFonts w:ascii="Arial" w:hAnsi="Arial" w:cs="Arial"/>
          <w:color w:val="000000" w:themeColor="text1"/>
          <w:lang w:val="es-ES_tradnl"/>
        </w:rPr>
        <w:t xml:space="preserve"> señor</w:t>
      </w:r>
      <w:r w:rsidR="007F1C15">
        <w:rPr>
          <w:rFonts w:ascii="Arial" w:hAnsi="Arial" w:cs="Arial"/>
          <w:color w:val="000000" w:themeColor="text1"/>
          <w:lang w:val="es-ES_tradnl"/>
        </w:rPr>
        <w:t>es</w:t>
      </w:r>
      <w:r w:rsidR="008C3FFC">
        <w:rPr>
          <w:rFonts w:ascii="Arial" w:hAnsi="Arial" w:cs="Arial"/>
          <w:color w:val="000000" w:themeColor="text1"/>
          <w:lang w:val="es-ES_tradnl"/>
        </w:rPr>
        <w:t xml:space="preserve">: </w:t>
      </w:r>
    </w:p>
    <w:p w14:paraId="1EAE5543" w14:textId="37990AD8" w:rsidR="00DD5B04" w:rsidRPr="00A51520" w:rsidRDefault="00DD5B04" w:rsidP="00B7240D">
      <w:pPr>
        <w:spacing w:after="0" w:line="274" w:lineRule="auto"/>
        <w:jc w:val="both"/>
        <w:rPr>
          <w:rFonts w:ascii="Arial" w:hAnsi="Arial" w:cs="Arial"/>
          <w:color w:val="000000" w:themeColor="text1"/>
          <w:lang w:val="es-ES_tradnl"/>
        </w:rPr>
      </w:pPr>
    </w:p>
    <w:p w14:paraId="2109B2D3" w14:textId="4470A990" w:rsidR="00DD5B04" w:rsidRPr="00A51520" w:rsidRDefault="00DD5B04" w:rsidP="00B7240D">
      <w:pPr>
        <w:spacing w:after="0" w:line="274" w:lineRule="auto"/>
        <w:jc w:val="both"/>
        <w:rPr>
          <w:rFonts w:ascii="Arial" w:hAnsi="Arial" w:cs="Arial"/>
          <w:color w:val="000000" w:themeColor="text1"/>
          <w:lang w:val="es-ES_tradnl"/>
        </w:rPr>
      </w:pPr>
      <w:r w:rsidRPr="00A51520">
        <w:rPr>
          <w:rFonts w:ascii="Arial" w:hAnsi="Arial" w:cs="Arial"/>
          <w:color w:val="000000" w:themeColor="text1"/>
          <w:lang w:val="es-ES_tradnl"/>
        </w:rPr>
        <w:t>En ejercicio de la competencia otorgada por el numeral 8 del artículo 11 y el numeral 5 del artículo 3 del Decreto Ley 4170 de 2011,</w:t>
      </w:r>
      <w:r w:rsidR="00B24D49" w:rsidRPr="00B24D49">
        <w:rPr>
          <w:rFonts w:ascii="Arial MT" w:eastAsia="Arial MT" w:hAnsi="Arial MT" w:cs="Arial MT"/>
          <w:lang w:val="es-ES"/>
        </w:rPr>
        <w:t xml:space="preserve"> </w:t>
      </w:r>
      <w:r w:rsidRPr="00A51520">
        <w:rPr>
          <w:rFonts w:ascii="Arial" w:hAnsi="Arial" w:cs="Arial"/>
          <w:color w:val="000000" w:themeColor="text1"/>
          <w:lang w:val="es-ES_tradnl"/>
        </w:rPr>
        <w:t xml:space="preserve">la Agencia Nacional de Contratación Pública </w:t>
      </w:r>
      <w:r w:rsidR="00C31846">
        <w:rPr>
          <w:rFonts w:ascii="Arial" w:hAnsi="Arial" w:cs="Arial"/>
          <w:color w:val="000000" w:themeColor="text1"/>
          <w:lang w:val="es-ES_tradnl"/>
        </w:rPr>
        <w:t>–</w:t>
      </w:r>
      <w:r w:rsidRPr="00A51520">
        <w:rPr>
          <w:rFonts w:ascii="Arial" w:hAnsi="Arial" w:cs="Arial"/>
          <w:color w:val="000000" w:themeColor="text1"/>
          <w:lang w:val="es-ES_tradnl"/>
        </w:rPr>
        <w:t xml:space="preserve"> Colombia Compra Eficiente</w:t>
      </w:r>
      <w:r w:rsidR="00CE69CC" w:rsidRPr="00A51520">
        <w:rPr>
          <w:rFonts w:ascii="Arial" w:hAnsi="Arial" w:cs="Arial"/>
          <w:color w:val="000000" w:themeColor="text1"/>
          <w:lang w:val="es-ES_tradnl"/>
        </w:rPr>
        <w:t xml:space="preserve">, </w:t>
      </w:r>
      <w:r w:rsidRPr="00A51520">
        <w:rPr>
          <w:rFonts w:ascii="Arial" w:hAnsi="Arial" w:cs="Arial"/>
          <w:color w:val="000000" w:themeColor="text1"/>
          <w:lang w:val="es-ES_tradnl"/>
        </w:rPr>
        <w:t xml:space="preserve">responde </w:t>
      </w:r>
      <w:r w:rsidR="00F14618">
        <w:rPr>
          <w:rFonts w:ascii="Arial" w:hAnsi="Arial" w:cs="Arial"/>
          <w:color w:val="000000" w:themeColor="text1"/>
          <w:lang w:val="es-ES_tradnl"/>
        </w:rPr>
        <w:t>su</w:t>
      </w:r>
      <w:r w:rsidR="003902B1">
        <w:rPr>
          <w:rFonts w:ascii="Arial" w:hAnsi="Arial" w:cs="Arial"/>
          <w:color w:val="000000" w:themeColor="text1"/>
          <w:lang w:val="es-ES_tradnl"/>
        </w:rPr>
        <w:t xml:space="preserve"> </w:t>
      </w:r>
      <w:r w:rsidR="00F14618">
        <w:rPr>
          <w:rFonts w:ascii="Arial" w:hAnsi="Arial" w:cs="Arial"/>
          <w:color w:val="000000" w:themeColor="text1"/>
          <w:lang w:val="es-ES_tradnl"/>
        </w:rPr>
        <w:t>consulta</w:t>
      </w:r>
      <w:r w:rsidR="00150A17">
        <w:rPr>
          <w:rFonts w:ascii="Arial" w:hAnsi="Arial" w:cs="Arial"/>
          <w:color w:val="000000" w:themeColor="text1"/>
          <w:lang w:val="es-ES_tradnl"/>
        </w:rPr>
        <w:t xml:space="preserve"> </w:t>
      </w:r>
      <w:r w:rsidR="000D0CC7">
        <w:rPr>
          <w:rFonts w:ascii="Arial" w:hAnsi="Arial" w:cs="Arial"/>
          <w:color w:val="000000" w:themeColor="text1"/>
          <w:lang w:val="es-ES_tradnl"/>
        </w:rPr>
        <w:t>d</w:t>
      </w:r>
      <w:r w:rsidR="00F14618">
        <w:rPr>
          <w:rFonts w:ascii="Arial" w:hAnsi="Arial" w:cs="Arial"/>
          <w:color w:val="000000" w:themeColor="text1"/>
          <w:lang w:val="es-ES_tradnl"/>
        </w:rPr>
        <w:t xml:space="preserve">el </w:t>
      </w:r>
      <w:r w:rsidR="000D0CC7">
        <w:rPr>
          <w:rFonts w:ascii="Arial" w:hAnsi="Arial" w:cs="Arial"/>
          <w:color w:val="000000" w:themeColor="text1"/>
          <w:lang w:val="es-ES_tradnl"/>
        </w:rPr>
        <w:t>1</w:t>
      </w:r>
      <w:r w:rsidR="007F1C15">
        <w:rPr>
          <w:rFonts w:ascii="Arial" w:hAnsi="Arial" w:cs="Arial"/>
          <w:color w:val="000000" w:themeColor="text1"/>
          <w:lang w:val="es-ES_tradnl"/>
        </w:rPr>
        <w:t>2</w:t>
      </w:r>
      <w:r w:rsidR="00150A17">
        <w:rPr>
          <w:rFonts w:ascii="Arial" w:hAnsi="Arial" w:cs="Arial"/>
          <w:color w:val="000000" w:themeColor="text1"/>
          <w:lang w:val="es-ES_tradnl"/>
        </w:rPr>
        <w:t xml:space="preserve"> </w:t>
      </w:r>
      <w:r w:rsidR="00F14618">
        <w:rPr>
          <w:rFonts w:ascii="Arial" w:hAnsi="Arial" w:cs="Arial"/>
          <w:color w:val="000000" w:themeColor="text1"/>
          <w:lang w:val="es-ES_tradnl"/>
        </w:rPr>
        <w:t xml:space="preserve">de </w:t>
      </w:r>
      <w:r w:rsidR="00BA1D64">
        <w:rPr>
          <w:rFonts w:ascii="Arial" w:hAnsi="Arial" w:cs="Arial"/>
          <w:color w:val="000000" w:themeColor="text1"/>
          <w:lang w:val="es-ES_tradnl"/>
        </w:rPr>
        <w:t>agosto</w:t>
      </w:r>
      <w:r w:rsidR="00F14618">
        <w:rPr>
          <w:rFonts w:ascii="Arial" w:hAnsi="Arial" w:cs="Arial"/>
          <w:color w:val="000000" w:themeColor="text1"/>
          <w:lang w:val="es-ES_tradnl"/>
        </w:rPr>
        <w:t xml:space="preserve"> de 202</w:t>
      </w:r>
      <w:r w:rsidR="00782354">
        <w:rPr>
          <w:rFonts w:ascii="Arial" w:hAnsi="Arial" w:cs="Arial"/>
          <w:color w:val="000000" w:themeColor="text1"/>
          <w:lang w:val="es-ES_tradnl"/>
        </w:rPr>
        <w:t>2</w:t>
      </w:r>
      <w:r w:rsidR="00F14618">
        <w:rPr>
          <w:rFonts w:ascii="Arial" w:hAnsi="Arial" w:cs="Arial"/>
          <w:color w:val="000000" w:themeColor="text1"/>
          <w:lang w:val="es-ES_tradnl"/>
        </w:rPr>
        <w:t>.</w:t>
      </w:r>
    </w:p>
    <w:p w14:paraId="0C1E0712" w14:textId="77777777" w:rsidR="00DD5B04" w:rsidRPr="00A51520" w:rsidRDefault="00DD5B04" w:rsidP="00443945">
      <w:pPr>
        <w:spacing w:after="0" w:line="276" w:lineRule="auto"/>
        <w:jc w:val="both"/>
        <w:rPr>
          <w:rFonts w:ascii="Arial" w:hAnsi="Arial" w:cs="Arial"/>
          <w:b/>
          <w:color w:val="000000" w:themeColor="text1"/>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23DC0BDF" w:rsidR="00DD5B04" w:rsidRPr="00A51520" w:rsidRDefault="00DD5B04" w:rsidP="00B7240D">
      <w:pPr>
        <w:tabs>
          <w:tab w:val="left" w:pos="426"/>
        </w:tabs>
        <w:spacing w:after="0" w:line="276" w:lineRule="auto"/>
        <w:jc w:val="both"/>
        <w:rPr>
          <w:rFonts w:ascii="Arial" w:hAnsi="Arial" w:cs="Arial"/>
          <w:b/>
          <w:color w:val="000000" w:themeColor="text1"/>
          <w:lang w:val="es-ES_tradnl"/>
        </w:rPr>
      </w:pPr>
    </w:p>
    <w:p w14:paraId="5845D8EE" w14:textId="77777777" w:rsidR="000D0CC7" w:rsidRDefault="000D0CC7" w:rsidP="00B7240D">
      <w:pPr>
        <w:spacing w:after="0" w:line="276" w:lineRule="auto"/>
        <w:jc w:val="both"/>
        <w:rPr>
          <w:rFonts w:ascii="Arial" w:hAnsi="Arial" w:cs="Arial"/>
          <w:bCs/>
        </w:rPr>
      </w:pPr>
      <w:r>
        <w:rPr>
          <w:rFonts w:ascii="Arial" w:hAnsi="Arial" w:cs="Arial"/>
          <w:bCs/>
        </w:rPr>
        <w:t xml:space="preserve">Usted realiza las siguientes preguntas relacionadas con la acreditación de experiencia en los documentos tipo de infraestructura social: </w:t>
      </w:r>
    </w:p>
    <w:p w14:paraId="70C18DEA" w14:textId="77777777" w:rsidR="000D0CC7" w:rsidRDefault="000D0CC7" w:rsidP="00B7240D">
      <w:pPr>
        <w:spacing w:after="0" w:line="240" w:lineRule="auto"/>
        <w:jc w:val="both"/>
        <w:rPr>
          <w:rFonts w:ascii="Arial" w:hAnsi="Arial" w:cs="Arial"/>
          <w:bCs/>
        </w:rPr>
      </w:pPr>
    </w:p>
    <w:p w14:paraId="19480FC0" w14:textId="77777777" w:rsidR="007F1C15" w:rsidRPr="00FA222F" w:rsidRDefault="007F1C15" w:rsidP="00B7240D">
      <w:pPr>
        <w:autoSpaceDE w:val="0"/>
        <w:autoSpaceDN w:val="0"/>
        <w:adjustRightInd w:val="0"/>
        <w:spacing w:after="0" w:line="240" w:lineRule="auto"/>
        <w:ind w:left="709" w:right="709"/>
        <w:jc w:val="both"/>
        <w:rPr>
          <w:rFonts w:ascii="Arial" w:hAnsi="Arial" w:cs="Arial"/>
          <w:sz w:val="21"/>
          <w:szCs w:val="21"/>
        </w:rPr>
      </w:pPr>
      <w:r w:rsidRPr="00FA222F">
        <w:rPr>
          <w:rFonts w:ascii="Arial" w:hAnsi="Arial" w:cs="Arial"/>
          <w:sz w:val="21"/>
          <w:szCs w:val="21"/>
        </w:rPr>
        <w:t xml:space="preserve">«Para los procesos de Infraestructura Social (Parques) estructurados por grupos, la acreditación de la experiencia debe hacerse INDIVIDUALMENTE para cada grupo, ¿independientemente de que un proponente presente 1 sola oferta para todos los grupos? o por el contrario si el proponente presenta oferta para más de un grupo se debe hacer la sumatoria de esos grupos y sobre el valor resultante acreditar los % de experiencia: </w:t>
      </w:r>
    </w:p>
    <w:p w14:paraId="7C90F18B" w14:textId="77777777" w:rsidR="007F1C15" w:rsidRPr="00FA222F" w:rsidRDefault="007F1C15" w:rsidP="00B7240D">
      <w:pPr>
        <w:autoSpaceDE w:val="0"/>
        <w:autoSpaceDN w:val="0"/>
        <w:adjustRightInd w:val="0"/>
        <w:spacing w:after="0" w:line="240" w:lineRule="auto"/>
        <w:ind w:left="709" w:right="709"/>
        <w:jc w:val="both"/>
        <w:rPr>
          <w:rFonts w:ascii="Arial" w:hAnsi="Arial" w:cs="Arial"/>
          <w:sz w:val="21"/>
          <w:szCs w:val="21"/>
        </w:rPr>
      </w:pPr>
    </w:p>
    <w:p w14:paraId="5F8F558F" w14:textId="77777777" w:rsidR="007F1C15" w:rsidRPr="00FA222F" w:rsidRDefault="007F1C15" w:rsidP="00B7240D">
      <w:pPr>
        <w:autoSpaceDE w:val="0"/>
        <w:autoSpaceDN w:val="0"/>
        <w:adjustRightInd w:val="0"/>
        <w:spacing w:after="0" w:line="240" w:lineRule="auto"/>
        <w:ind w:left="709" w:right="709"/>
        <w:jc w:val="both"/>
        <w:rPr>
          <w:rFonts w:ascii="Arial" w:hAnsi="Arial" w:cs="Arial"/>
          <w:sz w:val="21"/>
          <w:szCs w:val="21"/>
        </w:rPr>
      </w:pPr>
      <w:r w:rsidRPr="00FA222F">
        <w:rPr>
          <w:rFonts w:ascii="Arial" w:hAnsi="Arial" w:cs="Arial"/>
          <w:sz w:val="21"/>
          <w:szCs w:val="21"/>
        </w:rPr>
        <w:lastRenderedPageBreak/>
        <w:t xml:space="preserve">Ejemplo: Lote 1 - $100 Lote 2 - $200 Opción 1: Consorcio parques 1 - lotes a ofertar (1 y 2) la experiencia se acreditaría con máximo 6 contratos sobre el valor del lote 1($100) y con los mismos máximo 6 contratos acreditar la experiencia para el Lote 2 ($200). </w:t>
      </w:r>
    </w:p>
    <w:p w14:paraId="18D236BA" w14:textId="77777777" w:rsidR="007F1C15" w:rsidRPr="00FA222F" w:rsidRDefault="007F1C15" w:rsidP="00B7240D">
      <w:pPr>
        <w:autoSpaceDE w:val="0"/>
        <w:autoSpaceDN w:val="0"/>
        <w:adjustRightInd w:val="0"/>
        <w:spacing w:after="0" w:line="240" w:lineRule="auto"/>
        <w:ind w:left="709" w:right="709"/>
        <w:jc w:val="both"/>
        <w:rPr>
          <w:rFonts w:ascii="Arial" w:hAnsi="Arial" w:cs="Arial"/>
          <w:sz w:val="21"/>
          <w:szCs w:val="21"/>
        </w:rPr>
      </w:pPr>
    </w:p>
    <w:p w14:paraId="538A4700" w14:textId="77777777" w:rsidR="007F1C15" w:rsidRPr="00FA222F" w:rsidRDefault="007F1C15" w:rsidP="00B7240D">
      <w:pPr>
        <w:autoSpaceDE w:val="0"/>
        <w:autoSpaceDN w:val="0"/>
        <w:adjustRightInd w:val="0"/>
        <w:spacing w:after="0" w:line="240" w:lineRule="auto"/>
        <w:ind w:left="709" w:right="709"/>
        <w:jc w:val="both"/>
        <w:rPr>
          <w:rFonts w:ascii="Arial" w:hAnsi="Arial" w:cs="Arial"/>
          <w:sz w:val="21"/>
          <w:szCs w:val="21"/>
        </w:rPr>
      </w:pPr>
      <w:r w:rsidRPr="00FA222F">
        <w:rPr>
          <w:rFonts w:ascii="Arial" w:hAnsi="Arial" w:cs="Arial"/>
          <w:sz w:val="21"/>
          <w:szCs w:val="21"/>
        </w:rPr>
        <w:t xml:space="preserve">O </w:t>
      </w:r>
    </w:p>
    <w:p w14:paraId="7AD2A523" w14:textId="77777777" w:rsidR="007F1C15" w:rsidRPr="00FA222F" w:rsidRDefault="007F1C15" w:rsidP="00B7240D">
      <w:pPr>
        <w:autoSpaceDE w:val="0"/>
        <w:autoSpaceDN w:val="0"/>
        <w:adjustRightInd w:val="0"/>
        <w:spacing w:after="0" w:line="240" w:lineRule="auto"/>
        <w:ind w:left="709" w:right="709"/>
        <w:jc w:val="both"/>
        <w:rPr>
          <w:rFonts w:ascii="Arial" w:hAnsi="Arial" w:cs="Arial"/>
          <w:sz w:val="21"/>
          <w:szCs w:val="21"/>
        </w:rPr>
      </w:pPr>
    </w:p>
    <w:p w14:paraId="7E161D42" w14:textId="46201862" w:rsidR="007F1C15" w:rsidRPr="00FA222F" w:rsidRDefault="007F1C15" w:rsidP="00B7240D">
      <w:pPr>
        <w:autoSpaceDE w:val="0"/>
        <w:autoSpaceDN w:val="0"/>
        <w:adjustRightInd w:val="0"/>
        <w:spacing w:after="0" w:line="240" w:lineRule="auto"/>
        <w:ind w:left="709" w:right="709"/>
        <w:jc w:val="both"/>
        <w:rPr>
          <w:rFonts w:ascii="Arial" w:hAnsi="Arial" w:cs="Arial"/>
          <w:sz w:val="21"/>
          <w:szCs w:val="21"/>
        </w:rPr>
      </w:pPr>
      <w:r w:rsidRPr="00FA222F">
        <w:rPr>
          <w:rFonts w:ascii="Arial" w:hAnsi="Arial" w:cs="Arial"/>
          <w:sz w:val="21"/>
          <w:szCs w:val="21"/>
        </w:rPr>
        <w:t xml:space="preserve">Opción 1: Consorcio parques 1 - lotes a ofertar (1 y 2) – Sumatoria de presupuestos (100+200) = 300 sobre esos 300 debe el proponente acreditar experiencia? </w:t>
      </w:r>
    </w:p>
    <w:p w14:paraId="316D5C65" w14:textId="77777777" w:rsidR="007F1C15" w:rsidRPr="00FA222F" w:rsidRDefault="007F1C15" w:rsidP="00B7240D">
      <w:pPr>
        <w:autoSpaceDE w:val="0"/>
        <w:autoSpaceDN w:val="0"/>
        <w:adjustRightInd w:val="0"/>
        <w:spacing w:after="0" w:line="240" w:lineRule="auto"/>
        <w:ind w:left="709" w:right="709"/>
        <w:jc w:val="both"/>
        <w:rPr>
          <w:rFonts w:ascii="Arial" w:hAnsi="Arial" w:cs="Arial"/>
          <w:sz w:val="21"/>
          <w:szCs w:val="21"/>
        </w:rPr>
      </w:pPr>
    </w:p>
    <w:p w14:paraId="4B7E6C6D" w14:textId="77777777" w:rsidR="007F1C15" w:rsidRDefault="007F1C15" w:rsidP="00B7240D">
      <w:pPr>
        <w:autoSpaceDE w:val="0"/>
        <w:autoSpaceDN w:val="0"/>
        <w:adjustRightInd w:val="0"/>
        <w:spacing w:after="0" w:line="240" w:lineRule="auto"/>
        <w:ind w:left="709" w:right="709"/>
        <w:jc w:val="both"/>
        <w:rPr>
          <w:rFonts w:ascii="Arial" w:hAnsi="Arial" w:cs="Arial"/>
          <w:sz w:val="21"/>
          <w:szCs w:val="21"/>
        </w:rPr>
      </w:pPr>
      <w:r w:rsidRPr="00FA222F">
        <w:rPr>
          <w:rFonts w:ascii="Arial" w:hAnsi="Arial" w:cs="Arial"/>
          <w:sz w:val="21"/>
          <w:szCs w:val="21"/>
        </w:rPr>
        <w:t xml:space="preserve">Agradezcamos su pronta respuesta con el fin de poder tener argumentos para defender propuesta presentada para el proceso IDRD-DG-LP-018-2022, cuyo objeto es CONTRATAR MEDIANTE EL SISTEMA DE PRECIOS UNITARIOS Y A MONTO AGOTABLE EL MANTENIMIENTO, MEJORAMIENTO, ADECUACIÓN, REPARACIÓN Y RECUPERACIÓN DE LA INFRAESTRUCTURA DE LOS PARQUES DE LA RED DE PROXIMIDAD QUE INTEGRAN EL SISTEMA DISTRITAL DE PARQUES, grupos (1, 2, 3, 4, 5 y 6). En el cual la entidad responde observaciones el 15 de Julio diciendo: “Si el proponente decide presentarse a dos o más grupos, debe acreditar el presupuesto correspondiente a la sumatoria de los lotes o grupos a los cuales presente oferta”, respuesta que contradice lo establecido en el pliego tipo de infraestructura social»  </w:t>
      </w:r>
    </w:p>
    <w:p w14:paraId="5A9E4F83" w14:textId="77777777" w:rsidR="00991805" w:rsidRPr="00A51520" w:rsidRDefault="00991805" w:rsidP="00447021">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395997FF" w14:textId="77777777" w:rsidR="00621981" w:rsidRDefault="00621981" w:rsidP="00B7240D">
      <w:pPr>
        <w:spacing w:after="0" w:line="276" w:lineRule="auto"/>
        <w:jc w:val="both"/>
        <w:rPr>
          <w:rFonts w:ascii="Arial" w:hAnsi="Arial" w:cs="Arial"/>
          <w:color w:val="000000" w:themeColor="text1"/>
        </w:rPr>
      </w:pPr>
    </w:p>
    <w:p w14:paraId="4F8E7AAB" w14:textId="77777777" w:rsidR="006E7824" w:rsidRPr="0060580F" w:rsidRDefault="006E7824" w:rsidP="00B7240D">
      <w:pPr>
        <w:spacing w:after="0" w:line="276" w:lineRule="auto"/>
        <w:jc w:val="both"/>
        <w:rPr>
          <w:rFonts w:ascii="Arial" w:hAnsi="Arial" w:cs="Arial"/>
          <w:lang w:val="es-ES"/>
        </w:rPr>
      </w:pPr>
      <w:r w:rsidRPr="0060580F">
        <w:rPr>
          <w:rFonts w:ascii="Arial" w:hAnsi="Arial" w:cs="Arial"/>
          <w:bCs/>
        </w:rPr>
        <w:t xml:space="preserve">En ejercicio de las competencias establecidas en los artículos 3.5 y 11.8 del Decreto 4170 de 2011, la Agencia Nacional de Contratación Pública – Colombia Compra Eficiente resuelve consultas sobre </w:t>
      </w:r>
      <w:r w:rsidRPr="0060580F">
        <w:rPr>
          <w:rFonts w:ascii="Arial" w:hAnsi="Arial"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60580F">
        <w:rPr>
          <w:rFonts w:ascii="Arial" w:hAnsi="Arial" w:cs="Arial"/>
          <w:bCs/>
        </w:rPr>
        <w:t xml:space="preserve"> de todos los partícipes de la contratación estatal ni para interpretar el alcance de cualquier norma vigente en el ordenamiento jurídico.</w:t>
      </w:r>
    </w:p>
    <w:p w14:paraId="2804D75A" w14:textId="69579C5B" w:rsidR="006E7824" w:rsidRPr="0060580F" w:rsidRDefault="006E7824" w:rsidP="00B7240D">
      <w:pPr>
        <w:spacing w:before="120" w:after="0" w:line="276" w:lineRule="auto"/>
        <w:ind w:firstLine="708"/>
        <w:jc w:val="both"/>
        <w:rPr>
          <w:rFonts w:ascii="Arial" w:hAnsi="Arial" w:cs="Arial"/>
          <w:lang w:val="es-ES"/>
        </w:rPr>
      </w:pPr>
      <w:r w:rsidRPr="0060580F">
        <w:rPr>
          <w:rFonts w:ascii="Arial" w:hAnsi="Arial" w:cs="Arial"/>
          <w:lang w:val="es-ES"/>
        </w:rPr>
        <w:t xml:space="preserve">La competencia de esta entidad se fija con límites claros, con el objeto de evitar que la Agencia actúe como una instancia de validación de las actuaciones de las entidades </w:t>
      </w:r>
      <w:r w:rsidRPr="0060580F">
        <w:rPr>
          <w:rFonts w:ascii="Arial" w:hAnsi="Arial" w:cs="Arial"/>
          <w:lang w:val="es-ES"/>
        </w:rPr>
        <w:lastRenderedPageBreak/>
        <w:t>sujetas a la Ley 80 de 1993 o de los demás participantes de la contratación pública</w:t>
      </w:r>
      <w:r w:rsidRPr="0060580F">
        <w:rPr>
          <w:rFonts w:ascii="Arial" w:hAnsi="Arial" w:cs="Arial"/>
          <w:vertAlign w:val="superscript"/>
          <w:lang w:val="es-ES"/>
        </w:rPr>
        <w:footnoteReference w:id="2"/>
      </w:r>
      <w:r w:rsidRPr="0060580F">
        <w:rPr>
          <w:rFonts w:ascii="Arial" w:hAnsi="Arial" w:cs="Arial"/>
          <w:lang w:val="es-ES"/>
        </w:rPr>
        <w:t xml:space="preserve">. Esta competencia de interpretación de normas generales, por definición, no puede extenderse a la resolución de controversias, brindar asesorías sobre casos puntuales ni interpretar normas ajenas al sistema de compras públicas. </w:t>
      </w:r>
    </w:p>
    <w:p w14:paraId="1C86AFEC" w14:textId="6CB72FA5" w:rsidR="00832FDC" w:rsidRDefault="006E7824" w:rsidP="00B7240D">
      <w:pPr>
        <w:spacing w:before="120" w:after="0" w:line="276" w:lineRule="auto"/>
        <w:ind w:firstLine="708"/>
        <w:jc w:val="both"/>
        <w:rPr>
          <w:rFonts w:ascii="Arial" w:hAnsi="Arial" w:cs="Arial"/>
          <w:lang w:val="es-ES"/>
        </w:rPr>
      </w:pPr>
      <w:r w:rsidRPr="0060580F">
        <w:rPr>
          <w:rFonts w:ascii="Arial" w:hAnsi="Arial" w:cs="Arial"/>
          <w:lang w:val="es-ES"/>
        </w:rPr>
        <w:t xml:space="preserve">En este contexto, </w:t>
      </w:r>
      <w:r w:rsidR="00A71E4C">
        <w:rPr>
          <w:rFonts w:ascii="Arial" w:hAnsi="Arial" w:cs="Arial"/>
          <w:lang w:val="es-ES"/>
        </w:rPr>
        <w:t>l</w:t>
      </w:r>
      <w:r w:rsidR="00832FDC" w:rsidRPr="00B7032A">
        <w:rPr>
          <w:rFonts w:ascii="Arial" w:hAnsi="Arial" w:cs="Arial"/>
          <w:color w:val="000000" w:themeColor="text1"/>
          <w:lang w:val="es-ES"/>
        </w:rPr>
        <w:t xml:space="preserve">a Subdirección –dentro de los límites de sus atribuciones, esto es, </w:t>
      </w:r>
      <w:bookmarkStart w:id="2" w:name="_Hlk61025408"/>
      <w:r w:rsidR="00832FDC" w:rsidRPr="00B7032A">
        <w:rPr>
          <w:rFonts w:ascii="Arial" w:hAnsi="Arial" w:cs="Arial"/>
          <w:color w:val="000000" w:themeColor="text1"/>
          <w:lang w:val="es-ES"/>
        </w:rPr>
        <w:t>haciendo abstracción del caso particular expuesto por el peticionario</w:t>
      </w:r>
      <w:bookmarkEnd w:id="2"/>
      <w:r w:rsidR="00832FDC" w:rsidRPr="00B7032A">
        <w:rPr>
          <w:rFonts w:ascii="Arial" w:hAnsi="Arial" w:cs="Arial"/>
          <w:color w:val="000000" w:themeColor="text1"/>
          <w:lang w:val="es-ES"/>
        </w:rPr>
        <w:t>– resolverá la consulta conforme a las normas generales en materia de contratación estatal</w:t>
      </w:r>
      <w:r w:rsidR="00BF3356">
        <w:rPr>
          <w:rFonts w:ascii="Arial" w:hAnsi="Arial" w:cs="Arial"/>
          <w:bCs/>
          <w:color w:val="000000" w:themeColor="text1"/>
          <w:lang w:val="es-ES"/>
        </w:rPr>
        <w:t xml:space="preserve">. </w:t>
      </w:r>
      <w:r w:rsidRPr="00621981">
        <w:rPr>
          <w:rFonts w:ascii="Arial" w:hAnsi="Arial" w:cs="Arial"/>
          <w:bCs/>
          <w:color w:val="000000" w:themeColor="text1"/>
        </w:rPr>
        <w:t xml:space="preserve">Para estos efectos, </w:t>
      </w:r>
      <w:r w:rsidRPr="00621981">
        <w:rPr>
          <w:rFonts w:ascii="Arial" w:hAnsi="Arial" w:cs="Arial"/>
          <w:bCs/>
          <w:color w:val="000000" w:themeColor="text1"/>
          <w:lang w:val="es-ES"/>
        </w:rPr>
        <w:t>se analizarán los siguientes temas:</w:t>
      </w:r>
      <w:r w:rsidRPr="00621981">
        <w:rPr>
          <w:rFonts w:ascii="Arial" w:hAnsi="Arial" w:cs="Arial"/>
          <w:bCs/>
          <w:color w:val="000000" w:themeColor="text1"/>
        </w:rPr>
        <w:t xml:space="preserve"> </w:t>
      </w:r>
      <w:r w:rsidR="00832FDC" w:rsidRPr="00B7032A">
        <w:rPr>
          <w:rFonts w:ascii="Arial" w:hAnsi="Arial" w:cs="Arial"/>
          <w:lang w:val="es-ES_tradnl"/>
        </w:rPr>
        <w:t xml:space="preserve">i) </w:t>
      </w:r>
      <w:r w:rsidR="00832FDC" w:rsidRPr="00B7032A">
        <w:rPr>
          <w:rFonts w:ascii="Arial" w:hAnsi="Arial" w:cs="Arial"/>
        </w:rPr>
        <w:t>contexto normativo y ámbito de aplicación de los documentos tipo de licitación pública para obra de infraestructura social</w:t>
      </w:r>
      <w:r w:rsidR="00435F8A">
        <w:rPr>
          <w:rFonts w:ascii="Arial" w:hAnsi="Arial" w:cs="Arial"/>
        </w:rPr>
        <w:t xml:space="preserve"> y</w:t>
      </w:r>
      <w:r w:rsidR="00832FDC" w:rsidRPr="00B7032A">
        <w:rPr>
          <w:rFonts w:ascii="Arial" w:hAnsi="Arial" w:cs="Arial"/>
          <w:lang w:val="es-ES"/>
        </w:rPr>
        <w:t xml:space="preserve"> </w:t>
      </w:r>
      <w:bookmarkStart w:id="3" w:name="_Hlk99807870"/>
      <w:r w:rsidR="00832FDC">
        <w:rPr>
          <w:rFonts w:ascii="Arial" w:hAnsi="Arial" w:cs="Arial"/>
          <w:lang w:val="es-ES"/>
        </w:rPr>
        <w:t xml:space="preserve">ii) </w:t>
      </w:r>
      <w:r w:rsidR="00832FDC" w:rsidRPr="00B7032A">
        <w:rPr>
          <w:rFonts w:ascii="Arial" w:hAnsi="Arial" w:cs="Arial"/>
          <w:bCs/>
          <w:lang w:val="es-ES_tradnl"/>
        </w:rPr>
        <w:t>acreditación de la experiencia en los documentos tipo de licitación de obra pública de infraestructura social</w:t>
      </w:r>
      <w:bookmarkEnd w:id="3"/>
      <w:r w:rsidR="00832FDC" w:rsidRPr="00B7032A">
        <w:rPr>
          <w:rFonts w:ascii="Arial" w:hAnsi="Arial" w:cs="Arial"/>
          <w:bCs/>
          <w:lang w:val="es-ES_tradnl"/>
        </w:rPr>
        <w:t xml:space="preserve">: </w:t>
      </w:r>
      <w:r w:rsidR="00832FDC">
        <w:rPr>
          <w:rFonts w:ascii="Arial" w:hAnsi="Arial" w:cs="Arial"/>
          <w:bCs/>
        </w:rPr>
        <w:t>procesos estructurados por lotes o grupos</w:t>
      </w:r>
      <w:r w:rsidR="00435F8A">
        <w:rPr>
          <w:rFonts w:ascii="Arial" w:hAnsi="Arial" w:cs="Arial"/>
          <w:bCs/>
        </w:rPr>
        <w:t>.</w:t>
      </w:r>
    </w:p>
    <w:p w14:paraId="3A56B07B" w14:textId="3E34326E" w:rsidR="00031AD9" w:rsidRDefault="003B7B6B" w:rsidP="003B7B6B">
      <w:pPr>
        <w:spacing w:before="120" w:after="0" w:line="276" w:lineRule="auto"/>
        <w:ind w:firstLine="709"/>
        <w:jc w:val="both"/>
        <w:rPr>
          <w:rFonts w:ascii="Arial" w:hAnsi="Arial" w:cs="Arial"/>
        </w:rPr>
      </w:pPr>
      <w:bookmarkStart w:id="4" w:name="_Hlk113876281"/>
      <w:r w:rsidRPr="003B7B6B">
        <w:rPr>
          <w:rFonts w:ascii="Arial" w:hAnsi="Arial" w:cs="Arial"/>
          <w:lang w:val="es-ES_tradnl"/>
        </w:rPr>
        <w:t xml:space="preserve">La Agencia Nacional de Contratación Pública – Colombia Compra Eficiente se pronunció sobre la definición y el alcance de los documentos tipo en las siguientes consultas </w:t>
      </w:r>
      <w:r w:rsidRPr="003B7B6B">
        <w:rPr>
          <w:rFonts w:ascii="Arial" w:hAnsi="Arial" w:cs="Arial"/>
          <w:shd w:val="clear" w:color="auto" w:fill="FFFFFF"/>
          <w:lang w:val="es-MX"/>
        </w:rPr>
        <w:t>C-144 del 2 de marzo de 2020, C-143 del 18 de marzo de 2020, C-286 del 26 de mayo de 2020, C-450 del 3 de agosto de 2020, C-643 del 26 de octubre de 2020,</w:t>
      </w:r>
      <w:r w:rsidRPr="003B7B6B">
        <w:rPr>
          <w:rFonts w:ascii="Arial" w:hAnsi="Arial" w:cs="Arial"/>
          <w:lang w:val="es-MX"/>
        </w:rPr>
        <w:t xml:space="preserve"> C-773 del 14 de enero de 2021, C-789 del 19 de enero de 2021,</w:t>
      </w:r>
      <w:r w:rsidRPr="003B7B6B">
        <w:rPr>
          <w:rFonts w:ascii="Arial" w:hAnsi="Arial" w:cs="Arial"/>
          <w:shd w:val="clear" w:color="auto" w:fill="FFFFFF"/>
          <w:lang w:val="es-MX"/>
        </w:rPr>
        <w:t xml:space="preserve"> C-064 del 8 de marzo de 2021 y C-157 del 13 de abril del 2021, C-244 del 4 de mayo de 2021, C-224 del 20 de mayo de 2020, C-233 del 24 de mayo de 2021, C-251 del 2 de junio de 2021 y C-273 del 11 de junio de 2021, </w:t>
      </w:r>
      <w:r w:rsidRPr="003B7B6B">
        <w:rPr>
          <w:rFonts w:ascii="Arial" w:hAnsi="Arial" w:cs="Arial"/>
        </w:rPr>
        <w:t>C-375 de 27 de septiembre de 2021, C-536 de 29 de septiembre de 2021, C-719 de 24 de enero de 2022 y C-090 de 16 de marzo de 2022.</w:t>
      </w:r>
      <w:r w:rsidRPr="003B7B6B">
        <w:rPr>
          <w:rFonts w:ascii="Arial" w:hAnsi="Arial" w:cs="Arial"/>
          <w:shd w:val="clear" w:color="auto" w:fill="FFFFFF"/>
          <w:lang w:val="es-MX"/>
        </w:rPr>
        <w:t xml:space="preserve"> </w:t>
      </w:r>
      <w:r w:rsidRPr="003B7B6B">
        <w:rPr>
          <w:rFonts w:ascii="Arial" w:hAnsi="Arial" w:cs="Arial"/>
          <w:color w:val="000000"/>
          <w:lang w:val="es-ES_tradnl"/>
        </w:rPr>
        <w:t xml:space="preserve">Finalmente, en los conceptos C-375 del 27 de septiembre de 2021, C-536 del 29 de septiembre de 2021, </w:t>
      </w:r>
      <w:r w:rsidRPr="003B7B6B">
        <w:rPr>
          <w:rFonts w:ascii="Arial" w:hAnsi="Arial" w:cs="Arial"/>
          <w:color w:val="000000"/>
        </w:rPr>
        <w:t>P20210826007696 del 6 de octubre de 2021, C-729 del 24 de enero de 2022, C-090 del 16 de marzo de 2022,</w:t>
      </w:r>
      <w:r>
        <w:rPr>
          <w:rFonts w:ascii="Arial" w:hAnsi="Arial" w:cs="Arial"/>
          <w:color w:val="000000"/>
        </w:rPr>
        <w:t xml:space="preserve"> C-287 del 11 de mayo de 2022,</w:t>
      </w:r>
      <w:r w:rsidRPr="003B7B6B">
        <w:rPr>
          <w:rFonts w:ascii="Arial" w:hAnsi="Arial" w:cs="Arial"/>
          <w:color w:val="000000"/>
        </w:rPr>
        <w:t xml:space="preserve"> C-334 del 25 de mayo de 2022</w:t>
      </w:r>
      <w:r>
        <w:rPr>
          <w:rFonts w:ascii="Arial" w:hAnsi="Arial" w:cs="Arial"/>
          <w:color w:val="000000"/>
        </w:rPr>
        <w:t>,</w:t>
      </w:r>
      <w:r w:rsidRPr="003B7B6B">
        <w:rPr>
          <w:rFonts w:ascii="Arial" w:hAnsi="Arial" w:cs="Arial"/>
          <w:color w:val="000000"/>
        </w:rPr>
        <w:t xml:space="preserve"> </w:t>
      </w:r>
      <w:r w:rsidRPr="003B7B6B">
        <w:rPr>
          <w:rFonts w:ascii="Arial" w:hAnsi="Arial" w:cs="Arial"/>
          <w:lang w:val="es-ES_tradnl"/>
        </w:rPr>
        <w:t>C-344 del 9 de junio de 2022</w:t>
      </w:r>
      <w:r>
        <w:rPr>
          <w:rFonts w:ascii="Arial" w:hAnsi="Arial" w:cs="Arial"/>
          <w:lang w:val="es-ES_tradnl"/>
        </w:rPr>
        <w:t xml:space="preserve"> y C-436 del 6 de julio de 2022</w:t>
      </w:r>
      <w:r w:rsidRPr="003B7B6B">
        <w:rPr>
          <w:rFonts w:ascii="Arial" w:hAnsi="Arial" w:cs="Arial"/>
          <w:lang w:val="es-ES_tradnl"/>
        </w:rPr>
        <w:t xml:space="preserve"> </w:t>
      </w:r>
      <w:r w:rsidRPr="003B7B6B">
        <w:rPr>
          <w:rFonts w:ascii="Arial" w:hAnsi="Arial" w:cs="Arial"/>
          <w:color w:val="000000"/>
        </w:rPr>
        <w:t xml:space="preserve">se analizó la aplicación de los documentos tipo </w:t>
      </w:r>
      <w:r w:rsidRPr="003B7B6B">
        <w:rPr>
          <w:rFonts w:ascii="Arial" w:hAnsi="Arial" w:cs="Arial"/>
        </w:rPr>
        <w:t>complementarios para los procesos de licitación de obra pública de infraestructura social</w:t>
      </w:r>
      <w:bookmarkEnd w:id="4"/>
      <w:r w:rsidRPr="003B7B6B">
        <w:rPr>
          <w:rFonts w:ascii="Arial" w:hAnsi="Arial" w:cs="Arial"/>
        </w:rPr>
        <w:t>.</w:t>
      </w:r>
      <w:r w:rsidRPr="003B7B6B">
        <w:rPr>
          <w:rFonts w:ascii="Arial" w:hAnsi="Arial" w:cs="Arial"/>
          <w:color w:val="000000"/>
          <w:lang w:val="es-ES_tradnl"/>
        </w:rPr>
        <w:t xml:space="preserve"> </w:t>
      </w:r>
      <w:r w:rsidRPr="003B7B6B">
        <w:rPr>
          <w:rFonts w:ascii="Arial" w:hAnsi="Arial" w:cs="Arial"/>
        </w:rPr>
        <w:t xml:space="preserve">Las tesis expuestas en los anteriores conceptos se reiteran a continuación y se complementan en lo pertinente: </w:t>
      </w:r>
    </w:p>
    <w:p w14:paraId="2883BA92" w14:textId="77777777" w:rsidR="003B7B6B" w:rsidRPr="003B7B6B" w:rsidRDefault="003B7B6B" w:rsidP="003B7B6B">
      <w:pPr>
        <w:spacing w:after="0" w:line="276" w:lineRule="auto"/>
        <w:ind w:firstLine="709"/>
        <w:jc w:val="both"/>
        <w:rPr>
          <w:rFonts w:ascii="Arial" w:hAnsi="Arial" w:cs="Arial"/>
        </w:rPr>
      </w:pPr>
    </w:p>
    <w:p w14:paraId="0121ECC7" w14:textId="6B8AD45D" w:rsidR="00C41F7F" w:rsidRPr="00B7032A" w:rsidRDefault="00031AD9" w:rsidP="003B7B6B">
      <w:pPr>
        <w:spacing w:after="0" w:line="276" w:lineRule="auto"/>
        <w:jc w:val="both"/>
        <w:rPr>
          <w:rFonts w:ascii="Arial" w:hAnsi="Arial" w:cs="Arial"/>
          <w:b/>
          <w:bCs/>
          <w:color w:val="000000"/>
          <w:lang w:eastAsia="en-GB"/>
        </w:rPr>
      </w:pPr>
      <w:r w:rsidRPr="00E858D2">
        <w:rPr>
          <w:rFonts w:ascii="Arial" w:eastAsia="Arial" w:hAnsi="Arial" w:cs="Arial"/>
          <w:b/>
          <w:bCs/>
          <w:lang w:val="es-ES_tradnl"/>
        </w:rPr>
        <w:lastRenderedPageBreak/>
        <w:t xml:space="preserve">2.1. </w:t>
      </w:r>
      <w:bookmarkStart w:id="5" w:name="_Hlk99816484"/>
      <w:r w:rsidR="00C41F7F" w:rsidRPr="00B7032A">
        <w:rPr>
          <w:rFonts w:ascii="Arial" w:hAnsi="Arial" w:cs="Arial"/>
          <w:b/>
          <w:bCs/>
          <w:color w:val="000000"/>
          <w:lang w:eastAsia="en-GB"/>
        </w:rPr>
        <w:t xml:space="preserve">Contexto normativo y ámbito de aplicación de los documentos tipo de licitación pública para obra de infraestructura social </w:t>
      </w:r>
    </w:p>
    <w:bookmarkEnd w:id="5"/>
    <w:p w14:paraId="0D852DC4" w14:textId="77777777" w:rsidR="00C41F7F" w:rsidRPr="00B7032A" w:rsidRDefault="00C41F7F" w:rsidP="003B7B6B">
      <w:pPr>
        <w:spacing w:after="0" w:line="276" w:lineRule="auto"/>
        <w:jc w:val="both"/>
        <w:rPr>
          <w:rFonts w:ascii="Arial" w:hAnsi="Arial" w:cs="Arial"/>
          <w:b/>
          <w:bCs/>
          <w:color w:val="000000" w:themeColor="text1"/>
        </w:rPr>
      </w:pPr>
    </w:p>
    <w:p w14:paraId="493976C5" w14:textId="77777777" w:rsidR="00C41F7F" w:rsidRPr="00B7032A" w:rsidRDefault="00C41F7F" w:rsidP="00C41F7F">
      <w:pPr>
        <w:spacing w:line="276" w:lineRule="auto"/>
        <w:jc w:val="both"/>
        <w:rPr>
          <w:rFonts w:ascii="Arial" w:eastAsiaTheme="minorHAnsi" w:hAnsi="Arial" w:cs="Arial"/>
          <w:color w:val="0D0D0D" w:themeColor="text1" w:themeTint="F2"/>
          <w:lang w:val="es-MX"/>
        </w:rPr>
      </w:pPr>
      <w:r w:rsidRPr="00B7032A">
        <w:rPr>
          <w:rFonts w:ascii="Arial" w:hAnsi="Arial" w:cs="Arial"/>
          <w:color w:val="000000"/>
        </w:rPr>
        <w:t>El artículo 4 de la Ley 1882 de 2018 determinó la obligatoriedad por parte de todas las entidades públicas sometidas al estatuto general de contratación pública de aplicar los documentos tipo adoptados por el gobierno nacional. Esta norma 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w:t>
      </w:r>
      <w:r w:rsidRPr="00B7032A">
        <w:rPr>
          <w:rStyle w:val="Refdenotaalpie"/>
          <w:rFonts w:ascii="Arial" w:hAnsi="Arial" w:cs="Arial"/>
          <w:color w:val="000000"/>
        </w:rPr>
        <w:footnoteReference w:id="3"/>
      </w:r>
      <w:r w:rsidRPr="00B7032A">
        <w:rPr>
          <w:rFonts w:ascii="Arial" w:hAnsi="Arial" w:cs="Arial"/>
          <w:color w:val="000000"/>
        </w:rPr>
        <w:t>.</w:t>
      </w:r>
      <w:r w:rsidRPr="00B7032A">
        <w:rPr>
          <w:rFonts w:ascii="Arial" w:eastAsiaTheme="minorHAnsi" w:hAnsi="Arial" w:cs="Arial"/>
          <w:color w:val="0D0D0D" w:themeColor="text1" w:themeTint="F2"/>
          <w:lang w:val="es-MX"/>
        </w:rPr>
        <w:t xml:space="preserve"> </w:t>
      </w:r>
    </w:p>
    <w:p w14:paraId="3C8E3C3F" w14:textId="77777777" w:rsidR="00C41F7F" w:rsidRPr="00B7032A" w:rsidRDefault="00C41F7F" w:rsidP="00C41F7F">
      <w:pPr>
        <w:spacing w:before="120" w:line="276" w:lineRule="auto"/>
        <w:ind w:firstLine="708"/>
        <w:jc w:val="both"/>
        <w:rPr>
          <w:rFonts w:ascii="Arial" w:eastAsiaTheme="minorHAnsi" w:hAnsi="Arial" w:cs="Arial"/>
          <w:color w:val="0D0D0D" w:themeColor="text1" w:themeTint="F2"/>
          <w:lang w:val="es-MX"/>
        </w:rPr>
      </w:pPr>
      <w:r w:rsidRPr="00B7032A">
        <w:rPr>
          <w:rFonts w:ascii="Arial" w:eastAsiaTheme="minorHAnsi" w:hAnsi="Arial" w:cs="Arial"/>
          <w:color w:val="0D0D0D" w:themeColor="text1" w:themeTint="F2"/>
          <w:lang w:val="es-MX"/>
        </w:rPr>
        <w:t xml:space="preserve">Posteriormente,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w:t>
      </w:r>
      <w:r w:rsidRPr="00B7032A">
        <w:rPr>
          <w:rFonts w:ascii="Arial" w:eastAsiaTheme="minorHAnsi" w:hAnsi="Arial" w:cs="Arial"/>
          <w:color w:val="0D0D0D" w:themeColor="text1" w:themeTint="F2"/>
          <w:lang w:val="es-MX"/>
        </w:rPr>
        <w:lastRenderedPageBreak/>
        <w:t>entidades especializadas, recepción de comentarios de los interesados y revisión de los documentos tipo expedidos</w:t>
      </w:r>
      <w:r w:rsidRPr="00B7032A">
        <w:rPr>
          <w:rFonts w:ascii="Arial" w:eastAsiaTheme="minorHAnsi" w:hAnsi="Arial" w:cs="Arial"/>
          <w:color w:val="0D0D0D" w:themeColor="text1" w:themeTint="F2"/>
          <w:vertAlign w:val="superscript"/>
          <w:lang w:val="es-MX"/>
        </w:rPr>
        <w:footnoteReference w:id="4"/>
      </w:r>
      <w:r w:rsidRPr="00B7032A">
        <w:rPr>
          <w:rFonts w:ascii="Arial" w:eastAsiaTheme="minorHAnsi" w:hAnsi="Arial" w:cs="Arial"/>
          <w:color w:val="0D0D0D" w:themeColor="text1" w:themeTint="F2"/>
          <w:lang w:val="es-MX"/>
        </w:rPr>
        <w:t xml:space="preserve">. </w:t>
      </w:r>
    </w:p>
    <w:p w14:paraId="37AA026C" w14:textId="77777777" w:rsidR="00C41F7F" w:rsidRPr="00B7032A" w:rsidRDefault="00C41F7F" w:rsidP="00C41F7F">
      <w:pPr>
        <w:spacing w:before="120" w:line="276" w:lineRule="auto"/>
        <w:ind w:firstLine="709"/>
        <w:jc w:val="both"/>
        <w:rPr>
          <w:rFonts w:ascii="Arial" w:hAnsi="Arial" w:cs="Arial"/>
          <w:lang w:val="es-MX"/>
        </w:rPr>
      </w:pPr>
      <w:r w:rsidRPr="00B7032A">
        <w:rPr>
          <w:rFonts w:ascii="Arial" w:hAnsi="Arial" w:cs="Arial"/>
          <w:lang w:val="es-MX"/>
        </w:rPr>
        <w:t>De conformidad con esta Ley, se otorgó a la Agencia Nacional de Contratación Pública – Colombia Compra Eficiente la competencia para adoptar los documentos tipo; entidad que para el cumplimiento de las funciones atribuidas por el Decreto Ley 4170 de 2011, requiere la «coordinación con entidades técnicas o especializadas». Lo anterior con la finalidad de elaborar los cronogramas y procedimientos indispensables para implementarlos de forma estratégica en los distintos sectores de la economía, facilitando su incorporación en el sistema de compra pública.</w:t>
      </w:r>
    </w:p>
    <w:p w14:paraId="102BB24B" w14:textId="77777777" w:rsidR="00C41F7F" w:rsidRPr="00B7032A" w:rsidRDefault="00C41F7F" w:rsidP="00C41F7F">
      <w:pPr>
        <w:spacing w:before="120" w:line="276" w:lineRule="auto"/>
        <w:ind w:firstLine="709"/>
        <w:jc w:val="both"/>
        <w:rPr>
          <w:rFonts w:ascii="Arial" w:hAnsi="Arial" w:cs="Arial"/>
          <w:lang w:val="es-MX"/>
        </w:rPr>
      </w:pPr>
      <w:r w:rsidRPr="00B7032A">
        <w:rPr>
          <w:rFonts w:ascii="Arial" w:hAnsi="Arial" w:cs="Arial"/>
        </w:rPr>
        <w:t>Además, por disposición expresa de la Ley 2022 de 2020, los «Documentos tipo» adoptados por la Agencia Nacional de Contratación Pública son de obligatorio cumplimiento por todas las entidades públicas, cuyo régimen de contratación sea el Estatuto General de la Contratación de la Administración Pública ‒EGCAP‒. Esta obligatoriedad implica que las autoridades deben implementar los documentos tipo que encuentren dentro de su ámbito de aplicación, sin perjuicio de su «inalterabilidad»</w:t>
      </w:r>
      <w:r w:rsidRPr="00B7032A">
        <w:rPr>
          <w:rFonts w:ascii="Arial" w:hAnsi="Arial" w:cs="Arial"/>
          <w:color w:val="000000"/>
          <w:bdr w:val="none" w:sz="0" w:space="0" w:color="auto" w:frame="1"/>
        </w:rPr>
        <w:t xml:space="preserve">. Lo anterior significa que las entidades públicas carecen de la facultad para modificarlos, con excepción de aquellos aspectos que pueden diligenciar, es decir, los espacios que están </w:t>
      </w:r>
      <w:r w:rsidRPr="00B7032A">
        <w:rPr>
          <w:rFonts w:ascii="Arial" w:hAnsi="Arial" w:cs="Arial"/>
          <w:color w:val="000000"/>
          <w:bdr w:val="none" w:sz="0" w:space="0" w:color="auto" w:frame="1"/>
        </w:rPr>
        <w:lastRenderedPageBreak/>
        <w:t>incluidos entre corchetes y resaltados en gris</w:t>
      </w:r>
      <w:r w:rsidRPr="00B7032A">
        <w:rPr>
          <w:rFonts w:ascii="Arial" w:hAnsi="Arial" w:cs="Arial"/>
          <w:color w:val="000000" w:themeColor="text1"/>
        </w:rPr>
        <w:t xml:space="preserve"> o cuya modificación sea permitida por los mismos documentos tipo</w:t>
      </w:r>
      <w:r w:rsidRPr="00B7032A">
        <w:rPr>
          <w:rFonts w:ascii="Arial" w:hAnsi="Arial" w:cs="Arial"/>
          <w:color w:val="000000"/>
          <w:bdr w:val="none" w:sz="0" w:space="0" w:color="auto" w:frame="1"/>
        </w:rPr>
        <w:t xml:space="preserve">. </w:t>
      </w:r>
    </w:p>
    <w:p w14:paraId="77639E8A" w14:textId="77777777" w:rsidR="00C41F7F" w:rsidRPr="00B7032A" w:rsidRDefault="00C41F7F" w:rsidP="00C41F7F">
      <w:pPr>
        <w:pStyle w:val="Prrafodelista"/>
        <w:tabs>
          <w:tab w:val="left" w:pos="0"/>
          <w:tab w:val="left" w:pos="284"/>
        </w:tabs>
        <w:spacing w:before="120" w:line="276" w:lineRule="auto"/>
        <w:ind w:left="0" w:firstLine="709"/>
        <w:jc w:val="both"/>
        <w:rPr>
          <w:rFonts w:ascii="Arial" w:eastAsia="Times New Roman" w:hAnsi="Arial" w:cs="Arial"/>
          <w:color w:val="000000"/>
          <w:sz w:val="22"/>
          <w:bdr w:val="none" w:sz="0" w:space="0" w:color="auto" w:frame="1"/>
          <w:lang w:val="es-CO" w:eastAsia="es-ES_tradnl"/>
        </w:rPr>
      </w:pPr>
      <w:r w:rsidRPr="00B7032A">
        <w:rPr>
          <w:rFonts w:ascii="Arial" w:eastAsia="Calibri" w:hAnsi="Arial" w:cs="Arial"/>
          <w:sz w:val="22"/>
        </w:rPr>
        <w:t xml:space="preserve">Así, en desarrollo de la Ley 2022 de 2020, la Agencia Nacional de Contratación Pública expidió la Resolución 219 del 6 de agosto de 2021, «Por la cual se adoptan los documentos tipo para los procesos de licitación de obra pública de infraestructura social». Dentro de esta categoría fue incluida la infraestructura asociada a los sectores de la salud, el educativo y el de cultura, recreación y deporte, tal como lo establece el parágrafo 2 del artículo 2 de la resolución indicada, de la siguiente manera: </w:t>
      </w:r>
    </w:p>
    <w:p w14:paraId="43C61649" w14:textId="77777777" w:rsidR="00C41F7F" w:rsidRPr="00B7032A" w:rsidRDefault="00C41F7F" w:rsidP="006A3704">
      <w:pPr>
        <w:spacing w:after="0" w:line="276" w:lineRule="auto"/>
        <w:jc w:val="both"/>
        <w:rPr>
          <w:rFonts w:ascii="Arial" w:hAnsi="Arial" w:cs="Arial"/>
          <w:lang w:val="es-ES"/>
        </w:rPr>
      </w:pPr>
    </w:p>
    <w:p w14:paraId="2151B5A1" w14:textId="77777777" w:rsidR="00C41F7F" w:rsidRPr="00B7032A" w:rsidRDefault="00C41F7F" w:rsidP="003B7B6B">
      <w:pPr>
        <w:spacing w:after="0" w:line="257" w:lineRule="auto"/>
        <w:ind w:left="709" w:right="709"/>
        <w:jc w:val="both"/>
        <w:rPr>
          <w:rFonts w:ascii="Arial" w:hAnsi="Arial" w:cs="Arial"/>
          <w:sz w:val="21"/>
          <w:szCs w:val="21"/>
          <w:lang w:val="es-ES"/>
        </w:rPr>
      </w:pPr>
      <w:r w:rsidRPr="00B7032A">
        <w:rPr>
          <w:rFonts w:ascii="Arial" w:hAnsi="Arial" w:cs="Arial"/>
          <w:sz w:val="21"/>
          <w:szCs w:val="21"/>
          <w:lang w:val="es-ES"/>
        </w:rPr>
        <w:t xml:space="preserve">Estos documentos tipo aplicarán a los proyectos de infraestructura social, tales como, </w:t>
      </w:r>
      <w:r w:rsidRPr="00B7032A">
        <w:rPr>
          <w:rFonts w:ascii="Arial" w:hAnsi="Arial" w:cs="Arial"/>
          <w:i/>
          <w:iCs/>
          <w:sz w:val="21"/>
          <w:szCs w:val="21"/>
          <w:lang w:val="es-ES"/>
        </w:rPr>
        <w:t>sector educativo</w:t>
      </w:r>
      <w:r w:rsidRPr="00B7032A">
        <w:rPr>
          <w:rFonts w:ascii="Arial" w:hAnsi="Arial" w:cs="Arial"/>
          <w:sz w:val="21"/>
          <w:szCs w:val="21"/>
          <w:lang w:val="es-ES"/>
        </w:rPr>
        <w:t xml:space="preserve">, sector salud y sector cultural, recreación y deporte, </w:t>
      </w:r>
      <w:r w:rsidRPr="00B7032A">
        <w:rPr>
          <w:rFonts w:ascii="Arial" w:hAnsi="Arial" w:cs="Arial"/>
          <w:i/>
          <w:iCs/>
          <w:sz w:val="21"/>
          <w:szCs w:val="21"/>
          <w:lang w:val="es-ES"/>
        </w:rPr>
        <w:t>de conformidad con cada una de las resoluciones que expida la Agencia Nacional de Contratación Pública -Colombia Compra Eficiente-</w:t>
      </w:r>
      <w:r w:rsidRPr="00B7032A">
        <w:rPr>
          <w:rFonts w:ascii="Arial" w:hAnsi="Arial" w:cs="Arial"/>
          <w:sz w:val="21"/>
          <w:szCs w:val="21"/>
          <w:lang w:val="es-ES"/>
        </w:rPr>
        <w:t>, donde se precisará el alcance concreto de estos documentos tipo; sin perjuicio de que se incluyan otros tipos de infraestructura social. (Énfasis fuera del texto)</w:t>
      </w:r>
    </w:p>
    <w:p w14:paraId="56B1A36D" w14:textId="77777777" w:rsidR="00C41F7F" w:rsidRPr="00B7032A" w:rsidRDefault="00C41F7F" w:rsidP="003B7B6B">
      <w:pPr>
        <w:spacing w:after="0" w:line="276" w:lineRule="auto"/>
        <w:jc w:val="both"/>
        <w:rPr>
          <w:rFonts w:ascii="Arial" w:hAnsi="Arial" w:cs="Arial"/>
          <w:lang w:val="es-ES"/>
        </w:rPr>
      </w:pPr>
      <w:r w:rsidRPr="00B7032A">
        <w:rPr>
          <w:rFonts w:ascii="Arial" w:hAnsi="Arial" w:cs="Arial"/>
          <w:lang w:val="es-ES"/>
        </w:rPr>
        <w:tab/>
      </w:r>
    </w:p>
    <w:p w14:paraId="77D76070" w14:textId="77777777" w:rsidR="00C41F7F" w:rsidRPr="00B7032A" w:rsidRDefault="00C41F7F" w:rsidP="003B7B6B">
      <w:pPr>
        <w:spacing w:after="0" w:line="276" w:lineRule="auto"/>
        <w:ind w:firstLine="709"/>
        <w:jc w:val="both"/>
        <w:rPr>
          <w:rFonts w:ascii="Arial" w:hAnsi="Arial" w:cs="Arial"/>
          <w:lang w:val="es-ES"/>
        </w:rPr>
      </w:pPr>
      <w:r w:rsidRPr="00B7032A">
        <w:rPr>
          <w:rFonts w:ascii="Arial" w:hAnsi="Arial" w:cs="Arial"/>
          <w:lang w:val="es-ES"/>
        </w:rPr>
        <w:t>Como se observa, la Resolución 219 de 2021 contiene un listado enunciativo de los sectores relacionados con los proyectos de infraestructura social a los cuales aplican los documentos tipo –</w:t>
      </w:r>
      <w:bookmarkStart w:id="6" w:name="_Hlk99816609"/>
      <w:r w:rsidRPr="00B7032A">
        <w:rPr>
          <w:rFonts w:ascii="Arial" w:hAnsi="Arial" w:cs="Arial"/>
          <w:lang w:val="es-ES"/>
        </w:rPr>
        <w:t>educativo; salud; cultura, recreación y deporte</w:t>
      </w:r>
      <w:bookmarkEnd w:id="6"/>
      <w:r w:rsidRPr="00B7032A">
        <w:rPr>
          <w:rFonts w:ascii="Arial" w:hAnsi="Arial" w:cs="Arial"/>
          <w:lang w:val="es-ES"/>
        </w:rPr>
        <w:t xml:space="preserve">–. 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  </w:t>
      </w:r>
    </w:p>
    <w:p w14:paraId="1C9BB2B5" w14:textId="77777777" w:rsidR="00C41F7F" w:rsidRPr="00B7032A" w:rsidRDefault="00C41F7F" w:rsidP="003B7B6B">
      <w:pPr>
        <w:spacing w:before="120" w:after="0" w:line="276" w:lineRule="auto"/>
        <w:ind w:firstLine="708"/>
        <w:jc w:val="both"/>
        <w:rPr>
          <w:rFonts w:ascii="Arial" w:hAnsi="Arial" w:cs="Arial"/>
          <w:bCs/>
          <w:color w:val="000000" w:themeColor="text1"/>
          <w:lang w:val="es-ES"/>
        </w:rPr>
      </w:pPr>
      <w:r w:rsidRPr="00B7032A">
        <w:rPr>
          <w:rFonts w:ascii="Arial" w:hAnsi="Arial" w:cs="Arial"/>
          <w:lang w:val="es-ES"/>
        </w:rPr>
        <w:t xml:space="preserve">Así lo señala el parágrafo 3 del artículo 2 que dispone lo siguiente: </w:t>
      </w:r>
      <w:r w:rsidRPr="00B7032A">
        <w:rPr>
          <w:rFonts w:ascii="Arial" w:hAnsi="Arial" w:cs="Arial"/>
        </w:rPr>
        <w:t>«</w:t>
      </w:r>
      <w:r w:rsidRPr="00B7032A">
        <w:rPr>
          <w:rFonts w:ascii="Arial" w:hAnsi="Arial" w:cs="Arial"/>
          <w:lang w:val="es-ES"/>
        </w:rPr>
        <w:t>Los documentos tipo de infraestructura social empezarán a regir para cada sector, esto es, educativo, salud y cultura, recreación y deporte, de acuerdo con lo dispuesto en las resoluciones mediante las cuales se adopten cada una de las matrices de experiencia y glosarios aplicables a cada sector</w:t>
      </w:r>
      <w:r w:rsidRPr="00B7032A">
        <w:rPr>
          <w:rFonts w:ascii="Arial" w:hAnsi="Arial" w:cs="Arial"/>
        </w:rPr>
        <w:t>».</w:t>
      </w:r>
      <w:r w:rsidRPr="00B7032A">
        <w:rPr>
          <w:rFonts w:ascii="Arial" w:hAnsi="Arial" w:cs="Arial"/>
          <w:lang w:val="es-ES"/>
        </w:rPr>
        <w:t xml:space="preserve"> En concordancia, el «Documento Base» de </w:t>
      </w:r>
      <w:r w:rsidRPr="00B7032A">
        <w:rPr>
          <w:rFonts w:ascii="Arial" w:hAnsi="Arial" w:cs="Arial"/>
        </w:rPr>
        <w:t>licitación de obra pública de infraestructura social</w:t>
      </w:r>
      <w:r w:rsidRPr="00B7032A">
        <w:rPr>
          <w:rStyle w:val="Refdenotaalpie"/>
          <w:rFonts w:ascii="Arial" w:hAnsi="Arial" w:cs="Arial"/>
          <w:lang w:val="es-ES"/>
        </w:rPr>
        <w:footnoteReference w:id="5"/>
      </w:r>
      <w:r w:rsidRPr="00B7032A">
        <w:rPr>
          <w:rFonts w:ascii="Arial" w:hAnsi="Arial" w:cs="Arial"/>
        </w:rPr>
        <w:t xml:space="preserve"> prescribe en la parte introductoria que «</w:t>
      </w:r>
      <w:r w:rsidRPr="00B7032A">
        <w:rPr>
          <w:rFonts w:ascii="Arial" w:hAnsi="Arial" w:cs="Arial"/>
          <w:bCs/>
          <w:color w:val="000000"/>
          <w:lang w:eastAsia="es-CO"/>
        </w:rPr>
        <w:t>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r w:rsidRPr="00B7032A">
        <w:rPr>
          <w:rFonts w:ascii="Arial" w:hAnsi="Arial" w:cs="Arial"/>
        </w:rPr>
        <w:t>».</w:t>
      </w:r>
    </w:p>
    <w:p w14:paraId="1C2393B6" w14:textId="77777777" w:rsidR="00C41F7F" w:rsidRPr="00B7032A" w:rsidRDefault="00C41F7F" w:rsidP="003B7B6B">
      <w:pPr>
        <w:spacing w:before="120" w:after="0" w:line="276" w:lineRule="auto"/>
        <w:ind w:firstLine="708"/>
        <w:jc w:val="both"/>
        <w:rPr>
          <w:rFonts w:ascii="Arial" w:hAnsi="Arial" w:cs="Arial"/>
          <w:lang w:val="es-ES" w:eastAsia="en-GB"/>
        </w:rPr>
      </w:pPr>
      <w:r w:rsidRPr="00B7032A">
        <w:rPr>
          <w:rFonts w:ascii="Arial" w:hAnsi="Arial" w:cs="Arial"/>
          <w:bCs/>
          <w:color w:val="000000" w:themeColor="text1"/>
          <w:lang w:val="es-ES"/>
        </w:rPr>
        <w:t xml:space="preserve">Cabe anotar que </w:t>
      </w:r>
      <w:r w:rsidRPr="00B7032A">
        <w:rPr>
          <w:rFonts w:ascii="Arial" w:hAnsi="Arial" w:cs="Arial"/>
          <w:bCs/>
          <w:color w:val="000000" w:themeColor="text1"/>
        </w:rPr>
        <w:t xml:space="preserve">la Resolución 219 del 6 de agosto de 2021 contiene los documentos tipo que aplican </w:t>
      </w:r>
      <w:r w:rsidRPr="00B7032A">
        <w:rPr>
          <w:rFonts w:ascii="Arial" w:hAnsi="Arial" w:cs="Arial"/>
          <w:lang w:val="es-ES"/>
        </w:rPr>
        <w:t xml:space="preserve">de forma transversal a los proyectos de infraestructura social en los sectores educativo; salud; cultura, recreación y deporte. Estos documentos son el </w:t>
      </w:r>
      <w:r w:rsidRPr="00B7032A">
        <w:rPr>
          <w:rFonts w:ascii="Arial" w:hAnsi="Arial" w:cs="Arial"/>
          <w:lang w:val="es-ES"/>
        </w:rPr>
        <w:lastRenderedPageBreak/>
        <w:t>documento base, los anexos, los formatos, los formularios y las matrices, los cuales se complementarán con cada una de las resoluciones que adoptan las matrices de experiencia y los anexos de glosario para cada uno de los sectores, definiendo así su alcance y vigencia.</w:t>
      </w:r>
    </w:p>
    <w:p w14:paraId="4EC9E461" w14:textId="6B731620" w:rsidR="00331A60" w:rsidRDefault="00C41F7F" w:rsidP="003B7B6B">
      <w:pPr>
        <w:spacing w:before="120" w:after="0" w:line="276" w:lineRule="auto"/>
        <w:ind w:firstLine="708"/>
        <w:jc w:val="both"/>
        <w:rPr>
          <w:rFonts w:ascii="Arial" w:hAnsi="Arial" w:cs="Arial"/>
          <w:bCs/>
          <w:color w:val="000000" w:themeColor="text1"/>
        </w:rPr>
      </w:pPr>
      <w:r w:rsidRPr="00B7032A">
        <w:rPr>
          <w:rFonts w:ascii="Arial" w:hAnsi="Arial" w:cs="Arial"/>
          <w:lang w:val="es-ES"/>
        </w:rPr>
        <w:t xml:space="preserve">En consecuencia, en materia de infraestructura social debe tenerse en cuenta que existen dos (2) clases de documentos tipo que se integran en cada proceso: i) los documentos </w:t>
      </w:r>
      <w:r w:rsidRPr="00B7032A">
        <w:rPr>
          <w:rFonts w:ascii="Arial" w:hAnsi="Arial" w:cs="Arial"/>
          <w:i/>
          <w:lang w:val="es-ES"/>
        </w:rPr>
        <w:t>transversales</w:t>
      </w:r>
      <w:r w:rsidRPr="00B7032A">
        <w:rPr>
          <w:rFonts w:ascii="Arial" w:hAnsi="Arial" w:cs="Arial"/>
          <w:lang w:val="es-ES"/>
        </w:rPr>
        <w:t xml:space="preserve"> a todos los sectores de infraestructura social, es decir, el documento base, los anexos, los formatos, los formularios y las matrices adoptados mediante la Resolución No. 219 de 2021; y ii) los documentos tipo </w:t>
      </w:r>
      <w:r w:rsidRPr="00B7032A">
        <w:rPr>
          <w:rFonts w:ascii="Arial" w:hAnsi="Arial" w:cs="Arial"/>
          <w:i/>
          <w:lang w:val="es-ES"/>
        </w:rPr>
        <w:t>complementarios</w:t>
      </w:r>
      <w:r w:rsidRPr="00B7032A">
        <w:rPr>
          <w:rFonts w:ascii="Arial" w:hAnsi="Arial" w:cs="Arial"/>
          <w:iCs/>
          <w:lang w:val="es-ES"/>
        </w:rPr>
        <w:t>,</w:t>
      </w:r>
      <w:r w:rsidRPr="00B7032A">
        <w:rPr>
          <w:rFonts w:ascii="Arial" w:hAnsi="Arial" w:cs="Arial"/>
          <w:i/>
          <w:lang w:val="es-ES"/>
        </w:rPr>
        <w:t xml:space="preserve"> </w:t>
      </w:r>
      <w:r w:rsidRPr="00B7032A">
        <w:rPr>
          <w:rFonts w:ascii="Arial" w:hAnsi="Arial" w:cs="Arial"/>
          <w:lang w:val="es-ES"/>
        </w:rPr>
        <w:t>referentes a la matriz de experiencia y el glosario, los cuales han sido adoptados en la resolución para cada sector específico</w:t>
      </w:r>
      <w:bookmarkStart w:id="7" w:name="_Hlk83803153"/>
      <w:r w:rsidR="004B1560">
        <w:rPr>
          <w:rFonts w:ascii="Arial" w:hAnsi="Arial" w:cs="Arial"/>
          <w:lang w:val="es-ES"/>
        </w:rPr>
        <w:t xml:space="preserve">, </w:t>
      </w:r>
      <w:r w:rsidR="004E6758">
        <w:rPr>
          <w:rFonts w:ascii="Arial" w:hAnsi="Arial" w:cs="Arial"/>
          <w:lang w:val="es-ES"/>
        </w:rPr>
        <w:t>así</w:t>
      </w:r>
      <w:r w:rsidR="00331A60">
        <w:rPr>
          <w:rFonts w:ascii="Arial" w:hAnsi="Arial" w:cs="Arial"/>
          <w:bCs/>
          <w:color w:val="000000" w:themeColor="text1"/>
          <w:lang w:val="es-ES"/>
        </w:rPr>
        <w:t>:</w:t>
      </w:r>
      <w:r w:rsidR="00226287">
        <w:rPr>
          <w:rFonts w:ascii="Arial" w:hAnsi="Arial" w:cs="Arial"/>
          <w:bCs/>
          <w:color w:val="000000" w:themeColor="text1"/>
          <w:lang w:val="es-ES"/>
        </w:rPr>
        <w:t xml:space="preserve"> i)</w:t>
      </w:r>
      <w:r w:rsidR="00331A60">
        <w:rPr>
          <w:rFonts w:ascii="Arial" w:hAnsi="Arial" w:cs="Arial"/>
          <w:bCs/>
          <w:color w:val="000000" w:themeColor="text1"/>
          <w:lang w:val="es-ES"/>
        </w:rPr>
        <w:t xml:space="preserve"> </w:t>
      </w:r>
      <w:r w:rsidR="00331A60" w:rsidRPr="00331A60">
        <w:rPr>
          <w:rFonts w:ascii="Arial" w:hAnsi="Arial" w:cs="Arial"/>
          <w:bCs/>
          <w:color w:val="000000" w:themeColor="text1"/>
        </w:rPr>
        <w:t>la Resolución 220 de 2021, «Por la cual se adoptan los documentos tipo complementarios para los procesos de licitación de obra pública de infraestructura social relacionados con el sector educativo»; i</w:t>
      </w:r>
      <w:r w:rsidR="004B1560">
        <w:rPr>
          <w:rFonts w:ascii="Arial" w:hAnsi="Arial" w:cs="Arial"/>
          <w:bCs/>
          <w:color w:val="000000" w:themeColor="text1"/>
        </w:rPr>
        <w:t>i</w:t>
      </w:r>
      <w:r w:rsidR="00331A60" w:rsidRPr="00331A60">
        <w:rPr>
          <w:rFonts w:ascii="Arial" w:hAnsi="Arial" w:cs="Arial"/>
          <w:bCs/>
          <w:color w:val="000000" w:themeColor="text1"/>
        </w:rPr>
        <w:t xml:space="preserve">) la Resolución 392 de 2021, «Por la cual se adoptan los documentos tipo complementarios para los procesos de licitación de obra pública de infraestructura social relacionados con el sector salud»; y </w:t>
      </w:r>
      <w:r w:rsidR="004B1560">
        <w:rPr>
          <w:rFonts w:ascii="Arial" w:hAnsi="Arial" w:cs="Arial"/>
          <w:bCs/>
          <w:color w:val="000000" w:themeColor="text1"/>
        </w:rPr>
        <w:t>iii</w:t>
      </w:r>
      <w:r w:rsidR="00331A60" w:rsidRPr="00331A60">
        <w:rPr>
          <w:rFonts w:ascii="Arial" w:hAnsi="Arial" w:cs="Arial"/>
          <w:bCs/>
          <w:color w:val="000000" w:themeColor="text1"/>
        </w:rPr>
        <w:t>) la Resolución 454 de 2021, «Por la cual se adoptan los documentos tipo complementarios para los procesos de licitación de obra pública de infraestructura social relacionados con el sector cultura, recreación y deporte».</w:t>
      </w:r>
    </w:p>
    <w:p w14:paraId="73A4E65A" w14:textId="54CDA3BE" w:rsidR="00091E55" w:rsidRPr="00091E55" w:rsidRDefault="00091E55" w:rsidP="00091E55">
      <w:pPr>
        <w:spacing w:before="120" w:after="120" w:line="276" w:lineRule="auto"/>
        <w:ind w:firstLine="708"/>
        <w:jc w:val="both"/>
        <w:rPr>
          <w:rFonts w:ascii="Arial" w:hAnsi="Arial" w:cs="Arial"/>
          <w:bCs/>
        </w:rPr>
      </w:pPr>
      <w:bookmarkStart w:id="8" w:name="_Hlk113872443"/>
      <w:r w:rsidRPr="00091E55">
        <w:rPr>
          <w:rFonts w:ascii="Arial" w:hAnsi="Arial" w:cs="Arial"/>
          <w:bCs/>
          <w:lang w:val="es-ES"/>
        </w:rPr>
        <w:t xml:space="preserve">El ámbito de aplicación de cada uno de </w:t>
      </w:r>
      <w:r>
        <w:rPr>
          <w:rFonts w:ascii="Arial" w:hAnsi="Arial" w:cs="Arial"/>
          <w:bCs/>
          <w:lang w:val="es-ES"/>
        </w:rPr>
        <w:t xml:space="preserve">los sectores señalados </w:t>
      </w:r>
      <w:r w:rsidRPr="00091E55">
        <w:rPr>
          <w:rFonts w:ascii="Arial" w:hAnsi="Arial" w:cs="Arial"/>
          <w:bCs/>
          <w:lang w:val="es-ES"/>
        </w:rPr>
        <w:t xml:space="preserve">está dado por las resoluciones mediante las cuales se implementan los documentos complementarios y que desarrollan las matrices de experiencia y los glosarios que definirán concretamente cada sector y que precisan de forma detallada su ámbito de aplicación. </w:t>
      </w:r>
    </w:p>
    <w:p w14:paraId="3924AB7B" w14:textId="64F8EFF4" w:rsidR="00091E55" w:rsidRDefault="00091E55" w:rsidP="00E41229">
      <w:pPr>
        <w:spacing w:before="120" w:after="0" w:line="276" w:lineRule="auto"/>
        <w:ind w:firstLine="708"/>
        <w:jc w:val="both"/>
        <w:rPr>
          <w:rFonts w:ascii="Arial" w:hAnsi="Arial" w:cs="Arial"/>
          <w:lang w:val="es-ES"/>
        </w:rPr>
      </w:pPr>
      <w:r w:rsidRPr="00091E55">
        <w:rPr>
          <w:rFonts w:ascii="Arial" w:hAnsi="Arial" w:cs="Arial"/>
          <w:bCs/>
          <w:lang w:val="es-ES"/>
        </w:rPr>
        <w:t xml:space="preserve">La </w:t>
      </w:r>
      <w:r w:rsidRPr="00091E55">
        <w:rPr>
          <w:rFonts w:ascii="Arial" w:hAnsi="Arial" w:cs="Arial"/>
          <w:lang w:val="es-ES"/>
        </w:rPr>
        <w:t xml:space="preserve">Matriz de experiencia de cada sector, además de estandarizar el requisito habilitante de experiencia, señala los proyectos o contratos concretos a los cuales aplican los documentos tipo, en el entendido de que aplicarán a los procesos contractuales cuyo objeto se relacione con alguna de las actividades establecidas de forma detallada en la Matriz de experiencia respectiva. Asimismo, en el Glosario de cada uno de los documentos se consagran las definiciones que guían la interpretación de los documentos. </w:t>
      </w:r>
    </w:p>
    <w:p w14:paraId="3D1A52D6" w14:textId="27FDDAF3" w:rsidR="00091E55" w:rsidRPr="00091E55" w:rsidRDefault="00091E55" w:rsidP="00E41229">
      <w:pPr>
        <w:spacing w:before="120" w:after="0" w:line="276" w:lineRule="auto"/>
        <w:ind w:firstLine="709"/>
        <w:jc w:val="both"/>
        <w:rPr>
          <w:rFonts w:ascii="Arial" w:hAnsi="Arial" w:cs="Arial"/>
          <w:lang w:val="es-ES_tradnl"/>
        </w:rPr>
      </w:pPr>
      <w:r w:rsidRPr="00B7032A">
        <w:rPr>
          <w:rFonts w:ascii="Arial" w:hAnsi="Arial" w:cs="Arial"/>
          <w:lang w:val="es-ES"/>
        </w:rPr>
        <w:t xml:space="preserve">Así las cosas, siempre que el objeto esté relacionado con alguna de </w:t>
      </w:r>
      <w:r w:rsidR="002B7F7A">
        <w:rPr>
          <w:rFonts w:ascii="Arial" w:hAnsi="Arial" w:cs="Arial"/>
          <w:lang w:val="es-ES"/>
        </w:rPr>
        <w:t xml:space="preserve">las </w:t>
      </w:r>
      <w:r w:rsidRPr="00B7032A">
        <w:rPr>
          <w:rFonts w:ascii="Arial" w:hAnsi="Arial" w:cs="Arial"/>
          <w:lang w:val="es-ES"/>
        </w:rPr>
        <w:t>actividades</w:t>
      </w:r>
      <w:r w:rsidR="002B7F7A">
        <w:rPr>
          <w:rFonts w:ascii="Arial" w:hAnsi="Arial" w:cs="Arial"/>
          <w:lang w:val="es-ES"/>
        </w:rPr>
        <w:t xml:space="preserve"> señaladas en la matriz de experiencia de cada sector</w:t>
      </w:r>
      <w:r w:rsidRPr="00B7032A">
        <w:rPr>
          <w:rFonts w:ascii="Arial" w:hAnsi="Arial" w:cs="Arial"/>
          <w:lang w:val="es-ES"/>
        </w:rPr>
        <w:t>, los documentos tipo adoptados mediante las Resoluciones 219</w:t>
      </w:r>
      <w:r>
        <w:rPr>
          <w:rFonts w:ascii="Arial" w:hAnsi="Arial" w:cs="Arial"/>
          <w:lang w:val="es-ES"/>
        </w:rPr>
        <w:t>,</w:t>
      </w:r>
      <w:r w:rsidRPr="00B7032A">
        <w:rPr>
          <w:rFonts w:ascii="Arial" w:hAnsi="Arial" w:cs="Arial"/>
          <w:lang w:val="es-ES"/>
        </w:rPr>
        <w:t xml:space="preserve"> 220</w:t>
      </w:r>
      <w:r w:rsidR="002B7F7A">
        <w:rPr>
          <w:rFonts w:ascii="Arial" w:hAnsi="Arial" w:cs="Arial"/>
          <w:lang w:val="es-ES"/>
        </w:rPr>
        <w:t>, 393 y 454</w:t>
      </w:r>
      <w:r w:rsidRPr="00B7032A">
        <w:rPr>
          <w:rFonts w:ascii="Arial" w:hAnsi="Arial" w:cs="Arial"/>
          <w:lang w:val="es-ES"/>
        </w:rPr>
        <w:t xml:space="preserve"> de 2021 son obligatorios para las entidades sometidas a la Ley 80 de 1993 que contraten la ejecución de obras públicas de infraestructura social</w:t>
      </w:r>
      <w:r w:rsidR="002B7F7A">
        <w:rPr>
          <w:rFonts w:ascii="Arial" w:hAnsi="Arial" w:cs="Arial"/>
          <w:lang w:val="es-ES"/>
        </w:rPr>
        <w:t xml:space="preserve"> en los sectores </w:t>
      </w:r>
      <w:r w:rsidR="002B7F7A" w:rsidRPr="00B7032A">
        <w:rPr>
          <w:rFonts w:ascii="Arial" w:hAnsi="Arial" w:cs="Arial"/>
          <w:lang w:val="es-ES"/>
        </w:rPr>
        <w:t>educativo; salud; cultura, recreación y deporte</w:t>
      </w:r>
      <w:r w:rsidR="002B7F7A">
        <w:rPr>
          <w:rFonts w:ascii="Arial" w:hAnsi="Arial" w:cs="Arial"/>
          <w:lang w:val="es-ES"/>
        </w:rPr>
        <w:t xml:space="preserve">. </w:t>
      </w:r>
    </w:p>
    <w:bookmarkEnd w:id="7"/>
    <w:bookmarkEnd w:id="8"/>
    <w:p w14:paraId="17A488D8" w14:textId="1131D6C3" w:rsidR="00B65BBE" w:rsidRDefault="00C41F7F" w:rsidP="00E41229">
      <w:pPr>
        <w:spacing w:before="120" w:after="0" w:line="276" w:lineRule="auto"/>
        <w:ind w:firstLine="708"/>
        <w:jc w:val="both"/>
        <w:rPr>
          <w:rFonts w:ascii="Arial" w:hAnsi="Arial" w:cs="Arial"/>
          <w:color w:val="000000"/>
          <w:lang w:val="es-ES_tradnl" w:eastAsia="es-ES"/>
        </w:rPr>
      </w:pPr>
      <w:r w:rsidRPr="00B7032A">
        <w:rPr>
          <w:rFonts w:ascii="Arial" w:hAnsi="Arial" w:cs="Arial"/>
          <w:lang w:val="es-ES"/>
        </w:rPr>
        <w:t xml:space="preserve">Vale anotar </w:t>
      </w:r>
      <w:r w:rsidRPr="00B7032A">
        <w:rPr>
          <w:rFonts w:ascii="Arial" w:hAnsi="Arial" w:cs="Arial"/>
          <w:color w:val="000000"/>
          <w:lang w:val="es-ES_tradnl" w:eastAsia="es-ES"/>
        </w:rPr>
        <w:t xml:space="preserve">que mediante la Resolución 336 del 2 de noviembre de 2021, se aplazó y se dispuso la implementación gradual y progresiva de los documentos tipo complementarios para procesos de licitación de obra pública de infraestructura social, de acuerdo con los grupos de entidades y fechas señaladas en el cronograma del artículo 6 </w:t>
      </w:r>
      <w:r w:rsidRPr="00B7032A">
        <w:rPr>
          <w:rFonts w:ascii="Arial" w:hAnsi="Arial" w:cs="Arial"/>
          <w:color w:val="000000"/>
          <w:lang w:val="es-ES_tradnl" w:eastAsia="es-ES"/>
        </w:rPr>
        <w:lastRenderedPageBreak/>
        <w:t>de la Resolución No. 219 de 2021</w:t>
      </w:r>
      <w:r w:rsidRPr="00B7032A">
        <w:rPr>
          <w:rStyle w:val="Refdenotaalpie"/>
          <w:rFonts w:ascii="Arial" w:hAnsi="Arial" w:cs="Arial"/>
          <w:color w:val="000000"/>
          <w:lang w:val="es-ES_tradnl" w:eastAsia="es-ES"/>
        </w:rPr>
        <w:footnoteReference w:id="6"/>
      </w:r>
      <w:r w:rsidRPr="00B7032A">
        <w:rPr>
          <w:rFonts w:ascii="Arial" w:hAnsi="Arial" w:cs="Arial"/>
          <w:color w:val="000000"/>
          <w:lang w:val="es-ES_tradnl" w:eastAsia="es-ES"/>
        </w:rPr>
        <w:t xml:space="preserve">. Teniendo en cuenta lo anterior, a partir del 1 de abril de 2022 estos documentos tipo deben ser implementados en todas las entidades en las que resulte obligatorio para los procedimientos de selección de licitación de obra pública de infraestructura social que estas adelanten. </w:t>
      </w:r>
    </w:p>
    <w:p w14:paraId="4EE91435" w14:textId="6A2BB603" w:rsidR="000204EA" w:rsidRDefault="00BC3ED5" w:rsidP="00E41229">
      <w:pPr>
        <w:spacing w:before="120" w:after="0" w:line="276" w:lineRule="auto"/>
        <w:ind w:firstLine="709"/>
        <w:jc w:val="both"/>
        <w:rPr>
          <w:rFonts w:ascii="Arial" w:hAnsi="Arial" w:cs="Arial"/>
          <w:lang w:eastAsia="es-MX"/>
        </w:rPr>
      </w:pPr>
      <w:r w:rsidRPr="002D4FDE">
        <w:rPr>
          <w:rFonts w:ascii="Arial" w:hAnsi="Arial" w:cs="Arial"/>
          <w:lang w:eastAsia="es-MX"/>
        </w:rPr>
        <w:t xml:space="preserve">Por último, </w:t>
      </w:r>
      <w:bookmarkStart w:id="9" w:name="_Hlk112854634"/>
      <w:r w:rsidR="00A71E4C">
        <w:rPr>
          <w:rFonts w:ascii="Arial" w:hAnsi="Arial" w:cs="Arial"/>
          <w:lang w:eastAsia="es-MX"/>
        </w:rPr>
        <w:t xml:space="preserve">es preciso indicar que </w:t>
      </w:r>
      <w:r w:rsidR="000528C3" w:rsidRPr="000528C3">
        <w:rPr>
          <w:rFonts w:ascii="Arial" w:hAnsi="Arial" w:cs="Arial"/>
          <w:lang w:eastAsia="es-MX"/>
        </w:rPr>
        <w:t xml:space="preserve">con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De esta manera, </w:t>
      </w:r>
      <w:r w:rsidR="00875E7C">
        <w:rPr>
          <w:rFonts w:ascii="Arial" w:hAnsi="Arial" w:cs="Arial"/>
          <w:lang w:eastAsia="es-MX"/>
        </w:rPr>
        <w:t xml:space="preserve">se </w:t>
      </w:r>
      <w:r w:rsidR="000528C3" w:rsidRPr="000528C3">
        <w:rPr>
          <w:rFonts w:ascii="Arial" w:hAnsi="Arial" w:cs="Arial"/>
          <w:lang w:eastAsia="es-MX"/>
        </w:rPr>
        <w:t>expidió la Resolución 275 del 24 de junio de 2022, «Por la cual se modifican los documentos tipo adoptados por la Agencia Nacional de Contratación Pública – Colombia Compra Eficiente»</w:t>
      </w:r>
      <w:r w:rsidR="000528C3">
        <w:rPr>
          <w:rFonts w:ascii="Arial" w:hAnsi="Arial" w:cs="Arial"/>
          <w:lang w:eastAsia="es-MX"/>
        </w:rPr>
        <w:t xml:space="preserve"> </w:t>
      </w:r>
      <w:r>
        <w:rPr>
          <w:rFonts w:ascii="Arial" w:hAnsi="Arial" w:cs="Arial"/>
          <w:lang w:eastAsia="es-MX"/>
        </w:rPr>
        <w:t>que</w:t>
      </w:r>
      <w:r w:rsidRPr="002D4FDE">
        <w:rPr>
          <w:rFonts w:ascii="Arial" w:hAnsi="Arial" w:cs="Arial"/>
          <w:lang w:eastAsia="es-MX"/>
        </w:rPr>
        <w:t xml:space="preserve"> se aplicará a los proceso de contratación cuyo aviso de convocatoria se publique a partir del 29 de agosto de 2022</w:t>
      </w:r>
      <w:r>
        <w:rPr>
          <w:rFonts w:ascii="Arial" w:hAnsi="Arial" w:cs="Arial"/>
          <w:lang w:eastAsia="es-MX"/>
        </w:rPr>
        <w:t xml:space="preserve">. </w:t>
      </w:r>
      <w:r w:rsidR="000204EA">
        <w:rPr>
          <w:rFonts w:ascii="Arial" w:hAnsi="Arial" w:cs="Arial"/>
          <w:lang w:eastAsia="es-MX"/>
        </w:rPr>
        <w:t>Esta resolución reguló los criterios diferenciales habilitantes y puntajes adicionales para Mipyme y empresas y emprendimientos de mujeres, así como el fomento a</w:t>
      </w:r>
      <w:r w:rsidR="000204EA" w:rsidRPr="00486F68">
        <w:rPr>
          <w:rFonts w:ascii="Arial" w:hAnsi="Arial" w:cs="Arial"/>
          <w:lang w:eastAsia="es-MX"/>
        </w:rPr>
        <w:t xml:space="preserve"> la ejecución de contratos estatales por parte de población en pobreza extrema, desplazados por la violencia, </w:t>
      </w:r>
      <w:r w:rsidR="000204EA" w:rsidRPr="00486F68">
        <w:rPr>
          <w:rFonts w:ascii="Arial" w:hAnsi="Arial" w:cs="Arial"/>
          <w:lang w:eastAsia="es-MX"/>
        </w:rPr>
        <w:lastRenderedPageBreak/>
        <w:t>personas en proceso de reintegración o reincorporación y sujetos de especial protección constitucional</w:t>
      </w:r>
      <w:r w:rsidR="000204EA">
        <w:rPr>
          <w:rFonts w:ascii="Arial" w:hAnsi="Arial" w:cs="Arial"/>
          <w:lang w:eastAsia="es-MX"/>
        </w:rPr>
        <w:t xml:space="preserve">, los factores de desempate y la limitación de la convocatoria a Mipyme. </w:t>
      </w:r>
    </w:p>
    <w:p w14:paraId="3D0118D4" w14:textId="070EDF22" w:rsidR="00BC3ED5" w:rsidRPr="000528C3" w:rsidRDefault="000204EA" w:rsidP="00E41229">
      <w:pPr>
        <w:spacing w:before="120" w:after="0" w:line="276" w:lineRule="auto"/>
        <w:ind w:firstLine="709"/>
        <w:jc w:val="both"/>
        <w:rPr>
          <w:rFonts w:ascii="Arial" w:hAnsi="Arial" w:cs="Arial"/>
          <w:lang w:eastAsia="es-MX"/>
        </w:rPr>
      </w:pPr>
      <w:r>
        <w:rPr>
          <w:rFonts w:ascii="Arial" w:hAnsi="Arial" w:cs="Arial"/>
          <w:lang w:eastAsia="es-MX"/>
        </w:rPr>
        <w:t>En desarrollo de lo anterior, se modific</w:t>
      </w:r>
      <w:r w:rsidR="00BD3C11">
        <w:rPr>
          <w:rFonts w:ascii="Arial" w:hAnsi="Arial" w:cs="Arial"/>
          <w:lang w:eastAsia="es-MX"/>
        </w:rPr>
        <w:t>aron</w:t>
      </w:r>
      <w:r>
        <w:rPr>
          <w:rFonts w:ascii="Arial" w:hAnsi="Arial" w:cs="Arial"/>
          <w:lang w:eastAsia="es-MX"/>
        </w:rPr>
        <w:t xml:space="preserve">, entre otros aspectos, las reglas de acreditación de experiencia </w:t>
      </w:r>
      <w:r w:rsidR="00A71E4C">
        <w:rPr>
          <w:rFonts w:ascii="Arial" w:hAnsi="Arial" w:cs="Arial"/>
          <w:lang w:eastAsia="es-MX"/>
        </w:rPr>
        <w:t xml:space="preserve">establecida </w:t>
      </w:r>
      <w:r>
        <w:rPr>
          <w:rFonts w:ascii="Arial" w:hAnsi="Arial" w:cs="Arial"/>
          <w:lang w:eastAsia="es-MX"/>
        </w:rPr>
        <w:t>en los documentos</w:t>
      </w:r>
      <w:r w:rsidR="00BD3C11" w:rsidRPr="00BD3C11">
        <w:rPr>
          <w:rFonts w:ascii="Arial" w:hAnsi="Arial" w:cs="Arial"/>
          <w:i/>
          <w:lang w:val="es-ES"/>
        </w:rPr>
        <w:t xml:space="preserve"> </w:t>
      </w:r>
      <w:r w:rsidR="00BD3C11" w:rsidRPr="00BD3C11">
        <w:rPr>
          <w:rFonts w:ascii="Arial" w:hAnsi="Arial" w:cs="Arial"/>
          <w:iCs/>
          <w:lang w:val="es-ES"/>
        </w:rPr>
        <w:t>transversales</w:t>
      </w:r>
      <w:r w:rsidR="00BD3C11" w:rsidRPr="00B7032A">
        <w:rPr>
          <w:rFonts w:ascii="Arial" w:hAnsi="Arial" w:cs="Arial"/>
          <w:lang w:val="es-ES"/>
        </w:rPr>
        <w:t xml:space="preserve"> a todos los sectores de infraestructura social</w:t>
      </w:r>
      <w:r>
        <w:rPr>
          <w:rFonts w:ascii="Arial" w:hAnsi="Arial" w:cs="Arial"/>
          <w:lang w:eastAsia="es-MX"/>
        </w:rPr>
        <w:t xml:space="preserve"> para lo cual se establecieron </w:t>
      </w:r>
      <w:r w:rsidRPr="00527A98">
        <w:rPr>
          <w:rFonts w:ascii="Arial" w:hAnsi="Arial" w:cs="Arial"/>
          <w:lang w:eastAsia="es-MX"/>
        </w:rPr>
        <w:t>condiciones más exigentes</w:t>
      </w:r>
      <w:r>
        <w:rPr>
          <w:rFonts w:ascii="Arial" w:hAnsi="Arial" w:cs="Arial"/>
          <w:lang w:eastAsia="es-MX"/>
        </w:rPr>
        <w:t xml:space="preserve"> </w:t>
      </w:r>
      <w:r w:rsidRPr="00527A98">
        <w:rPr>
          <w:rFonts w:ascii="Arial" w:hAnsi="Arial" w:cs="Arial"/>
          <w:lang w:eastAsia="es-MX"/>
        </w:rPr>
        <w:t xml:space="preserve">frente a los demás proponentes que concurran al procedimiento de selección que no </w:t>
      </w:r>
      <w:r>
        <w:rPr>
          <w:rFonts w:ascii="Arial" w:hAnsi="Arial" w:cs="Arial"/>
          <w:lang w:eastAsia="es-MX"/>
        </w:rPr>
        <w:t>demuestren la calidad de</w:t>
      </w:r>
      <w:r w:rsidRPr="00527A98">
        <w:rPr>
          <w:rFonts w:ascii="Arial" w:hAnsi="Arial" w:cs="Arial"/>
          <w:lang w:eastAsia="es-MX"/>
        </w:rPr>
        <w:t xml:space="preserve"> Mipyme</w:t>
      </w:r>
      <w:r>
        <w:rPr>
          <w:rFonts w:ascii="Arial" w:hAnsi="Arial" w:cs="Arial"/>
          <w:lang w:eastAsia="es-MX"/>
        </w:rPr>
        <w:t xml:space="preserve"> y/o emprendimiento y empresas de mujeres, </w:t>
      </w:r>
      <w:r w:rsidR="0050332C">
        <w:rPr>
          <w:rFonts w:ascii="Arial" w:hAnsi="Arial" w:cs="Arial"/>
          <w:lang w:eastAsia="es-MX"/>
        </w:rPr>
        <w:t xml:space="preserve">como se explicará a continuación. </w:t>
      </w:r>
    </w:p>
    <w:bookmarkEnd w:id="9"/>
    <w:p w14:paraId="1E228B8E" w14:textId="77777777" w:rsidR="00B65BBE" w:rsidRDefault="00B65BBE" w:rsidP="00B65BBE">
      <w:pPr>
        <w:pStyle w:val="Sinespaciado"/>
        <w:spacing w:line="276" w:lineRule="auto"/>
        <w:ind w:firstLine="567"/>
        <w:jc w:val="both"/>
        <w:rPr>
          <w:rFonts w:ascii="Arial" w:hAnsi="Arial" w:cs="Arial"/>
          <w:bCs/>
          <w:color w:val="161616" w:themeColor="background1" w:themeShade="1A"/>
          <w:sz w:val="22"/>
        </w:rPr>
      </w:pPr>
    </w:p>
    <w:p w14:paraId="6FB12375" w14:textId="4BAB01EA" w:rsidR="00C41F7F" w:rsidRPr="00B7032A" w:rsidRDefault="00B65BBE" w:rsidP="00E41229">
      <w:pPr>
        <w:spacing w:after="0" w:line="276" w:lineRule="auto"/>
        <w:jc w:val="both"/>
        <w:rPr>
          <w:rFonts w:ascii="Arial" w:hAnsi="Arial" w:cs="Arial"/>
          <w:b/>
          <w:bCs/>
          <w:color w:val="000000" w:themeColor="text1"/>
        </w:rPr>
      </w:pPr>
      <w:r w:rsidRPr="00BC42A3">
        <w:rPr>
          <w:rFonts w:ascii="Arial" w:hAnsi="Arial" w:cs="Arial"/>
          <w:b/>
        </w:rPr>
        <w:t>2.2.</w:t>
      </w:r>
      <w:bookmarkStart w:id="10" w:name="_Hlk111132029"/>
      <w:r w:rsidR="00C41F7F">
        <w:rPr>
          <w:rFonts w:ascii="Arial" w:hAnsi="Arial" w:cs="Arial"/>
          <w:b/>
        </w:rPr>
        <w:t xml:space="preserve"> </w:t>
      </w:r>
      <w:r w:rsidR="00C41F7F" w:rsidRPr="00B7032A">
        <w:rPr>
          <w:rFonts w:ascii="Arial" w:hAnsi="Arial" w:cs="Arial"/>
          <w:b/>
          <w:bCs/>
          <w:color w:val="000000" w:themeColor="text1"/>
        </w:rPr>
        <w:t>Acreditación de la</w:t>
      </w:r>
      <w:r w:rsidR="00C41F7F" w:rsidRPr="00B7032A">
        <w:rPr>
          <w:rFonts w:ascii="Arial" w:hAnsi="Arial" w:cs="Arial"/>
          <w:b/>
          <w:bCs/>
          <w:color w:val="000000" w:themeColor="text1"/>
          <w:lang w:val="es-ES_tradnl"/>
        </w:rPr>
        <w:t xml:space="preserve"> experiencia en los documentos tipo de licitación de obra pública de infraestructura </w:t>
      </w:r>
      <w:r w:rsidR="00C41F7F" w:rsidRPr="00B7032A">
        <w:rPr>
          <w:rFonts w:ascii="Arial" w:hAnsi="Arial" w:cs="Arial"/>
          <w:b/>
          <w:bCs/>
          <w:color w:val="000000" w:themeColor="text1"/>
        </w:rPr>
        <w:t>social</w:t>
      </w:r>
      <w:r w:rsidR="000528C3">
        <w:rPr>
          <w:rFonts w:ascii="Arial" w:hAnsi="Arial" w:cs="Arial"/>
          <w:b/>
          <w:bCs/>
          <w:color w:val="000000" w:themeColor="text1"/>
        </w:rPr>
        <w:t>: Procesos estructurados p</w:t>
      </w:r>
      <w:r w:rsidR="0050332C">
        <w:rPr>
          <w:rFonts w:ascii="Arial" w:hAnsi="Arial" w:cs="Arial"/>
          <w:b/>
          <w:bCs/>
          <w:color w:val="000000" w:themeColor="text1"/>
        </w:rPr>
        <w:t>or</w:t>
      </w:r>
      <w:r w:rsidR="000528C3">
        <w:rPr>
          <w:rFonts w:ascii="Arial" w:hAnsi="Arial" w:cs="Arial"/>
          <w:b/>
          <w:bCs/>
          <w:color w:val="000000" w:themeColor="text1"/>
        </w:rPr>
        <w:t xml:space="preserve"> lotes</w:t>
      </w:r>
    </w:p>
    <w:p w14:paraId="79AA2DDF" w14:textId="77777777" w:rsidR="00C41F7F" w:rsidRPr="00B7032A" w:rsidRDefault="00C41F7F" w:rsidP="00E41229">
      <w:pPr>
        <w:spacing w:after="0" w:line="276" w:lineRule="auto"/>
        <w:jc w:val="both"/>
        <w:rPr>
          <w:rFonts w:ascii="Arial" w:hAnsi="Arial" w:cs="Arial"/>
          <w:b/>
          <w:bCs/>
          <w:color w:val="000000"/>
          <w:lang w:val="es-ES_tradnl" w:eastAsia="en-GB"/>
        </w:rPr>
      </w:pPr>
    </w:p>
    <w:p w14:paraId="1920A0F5" w14:textId="20B19782" w:rsidR="00C41F7F" w:rsidRPr="00B7032A" w:rsidRDefault="0050332C" w:rsidP="00E41229">
      <w:pPr>
        <w:spacing w:after="0" w:line="276" w:lineRule="auto"/>
        <w:jc w:val="both"/>
        <w:rPr>
          <w:rFonts w:ascii="Arial" w:eastAsia="Arial" w:hAnsi="Arial" w:cs="Arial"/>
          <w:color w:val="000000"/>
          <w:lang w:val="es-MX" w:eastAsia="es-ES" w:bidi="es-ES"/>
        </w:rPr>
      </w:pPr>
      <w:r>
        <w:rPr>
          <w:rFonts w:ascii="Arial" w:hAnsi="Arial" w:cs="Arial"/>
          <w:color w:val="0D0D0D" w:themeColor="text1" w:themeTint="F2"/>
        </w:rPr>
        <w:t>E</w:t>
      </w:r>
      <w:r w:rsidR="00C41F7F" w:rsidRPr="00B7032A">
        <w:rPr>
          <w:rFonts w:ascii="Arial" w:hAnsi="Arial" w:cs="Arial"/>
          <w:color w:val="0D0D0D" w:themeColor="text1" w:themeTint="F2"/>
        </w:rPr>
        <w:t xml:space="preserve">l documento base </w:t>
      </w:r>
      <w:r w:rsidR="00C41F7F" w:rsidRPr="00B7032A">
        <w:rPr>
          <w:rFonts w:ascii="Arial" w:hAnsi="Arial" w:cs="Arial"/>
          <w:bCs/>
          <w:color w:val="000000" w:themeColor="text1"/>
        </w:rPr>
        <w:t xml:space="preserve">que aplica </w:t>
      </w:r>
      <w:r w:rsidR="00C41F7F" w:rsidRPr="00B7032A">
        <w:rPr>
          <w:rFonts w:ascii="Arial" w:hAnsi="Arial" w:cs="Arial"/>
          <w:lang w:val="es-ES"/>
        </w:rPr>
        <w:t>de forma transversal a los proyectos de infraestructura social en los sectores educativo, salud, cultura, recreación y deporte</w:t>
      </w:r>
      <w:r w:rsidR="00C41F7F" w:rsidRPr="00B7032A">
        <w:rPr>
          <w:rFonts w:ascii="Arial" w:hAnsi="Arial" w:cs="Arial"/>
          <w:color w:val="0D0D0D" w:themeColor="text1" w:themeTint="F2"/>
        </w:rPr>
        <w:t xml:space="preserve">, establece en </w:t>
      </w:r>
      <w:r w:rsidR="00C41F7F" w:rsidRPr="00B7032A">
        <w:rPr>
          <w:rFonts w:ascii="Arial" w:hAnsi="Arial" w:cs="Arial"/>
        </w:rPr>
        <w:t>el numeral 3.5 «Experiencia» las reglas para acreditar y evaluar la experiencia requerida en el procedimiento de contratación</w:t>
      </w:r>
      <w:r w:rsidR="00C41F7F" w:rsidRPr="00B7032A">
        <w:rPr>
          <w:rFonts w:ascii="Arial" w:hAnsi="Arial" w:cs="Arial"/>
          <w:color w:val="0D0D0D" w:themeColor="text1" w:themeTint="F2"/>
        </w:rPr>
        <w:t>. Este numeral dispone que los proponentes deben acreditar la</w:t>
      </w:r>
      <w:r w:rsidR="00C41F7F" w:rsidRPr="00B7032A">
        <w:rPr>
          <w:rFonts w:ascii="Arial" w:hAnsi="Arial" w:cs="Arial"/>
          <w:lang w:val="es-MX"/>
        </w:rPr>
        <w:t xml:space="preserve"> experiencia </w:t>
      </w:r>
      <w:r w:rsidR="00C41F7F" w:rsidRPr="00B7032A">
        <w:rPr>
          <w:rFonts w:ascii="Arial" w:eastAsia="Arial" w:hAnsi="Arial" w:cs="Arial"/>
          <w:color w:val="000000"/>
          <w:lang w:val="es-ES" w:eastAsia="es-ES" w:bidi="es-ES"/>
        </w:rPr>
        <w:t xml:space="preserve">a través de: i) la información consignada en el RUP para aquellos que estén obligados a tenerlo, ii) la presentación del «Formato 3 – Experiencia» para todos los proponentes y iii) alguno de los documentos válidos para la acreditación de la experiencia señalados en el numeral 3.5.5 cuando se requiera la verificación de información del proponente adicional a la contenida en el RUP. Además, señala que </w:t>
      </w:r>
      <w:r w:rsidR="00C41F7F" w:rsidRPr="00B7032A">
        <w:rPr>
          <w:rFonts w:ascii="Arial" w:eastAsia="Arial" w:hAnsi="Arial" w:cs="Arial"/>
          <w:color w:val="000000"/>
          <w:lang w:val="es-MX" w:eastAsia="es-ES" w:bidi="es-ES"/>
        </w:rPr>
        <w:t xml:space="preserve">la evaluación de los proponentes se efectuará de acuerdo con la experiencia contenida en el Registro Único de Proponentes –RUP– vigente y en firme antes del cierre del proceso. </w:t>
      </w:r>
    </w:p>
    <w:p w14:paraId="13CB9BA4" w14:textId="77777777" w:rsidR="00C41F7F" w:rsidRPr="00B7032A" w:rsidRDefault="00C41F7F" w:rsidP="00C41F7F">
      <w:pPr>
        <w:spacing w:before="120" w:line="276" w:lineRule="auto"/>
        <w:ind w:firstLine="709"/>
        <w:jc w:val="both"/>
        <w:rPr>
          <w:rFonts w:ascii="Arial" w:hAnsi="Arial" w:cs="Arial"/>
          <w:color w:val="0D0D0D" w:themeColor="text1" w:themeTint="F2"/>
        </w:rPr>
      </w:pPr>
      <w:r w:rsidRPr="00B7032A">
        <w:rPr>
          <w:rFonts w:ascii="Arial" w:hAnsi="Arial" w:cs="Arial"/>
          <w:color w:val="000000" w:themeColor="text1"/>
        </w:rPr>
        <w:t xml:space="preserve">De esta manera, en los documentos tipo la experiencia se acreditará a través del RUP para los proponentes que estén obligados a tenerlo y para la verificación de la información adicional a la contenida en el RUP, el proponente deberá aportar la documentación requerida en los pliegos de condiciones. </w:t>
      </w:r>
    </w:p>
    <w:p w14:paraId="6405EE46" w14:textId="7A2204AC" w:rsidR="000204EA" w:rsidRPr="001F589E" w:rsidRDefault="000204EA" w:rsidP="000204EA">
      <w:pPr>
        <w:spacing w:before="120" w:line="276" w:lineRule="auto"/>
        <w:ind w:firstLine="709"/>
        <w:jc w:val="both"/>
        <w:rPr>
          <w:rFonts w:ascii="Arial" w:hAnsi="Arial" w:cs="Arial"/>
          <w:lang w:val="es-MX"/>
        </w:rPr>
      </w:pPr>
      <w:bookmarkStart w:id="11" w:name="_Hlk112857369"/>
      <w:r>
        <w:rPr>
          <w:rFonts w:ascii="Arial" w:hAnsi="Arial" w:cs="Arial"/>
          <w:lang w:val="es-MX"/>
        </w:rPr>
        <w:t>D</w:t>
      </w:r>
      <w:r w:rsidRPr="00B7032A">
        <w:rPr>
          <w:rFonts w:ascii="Arial" w:hAnsi="Arial" w:cs="Arial"/>
          <w:lang w:val="es-ES"/>
        </w:rPr>
        <w:t>e</w:t>
      </w:r>
      <w:r w:rsidRPr="00B7032A">
        <w:rPr>
          <w:rFonts w:ascii="Arial" w:hAnsi="Arial" w:cs="Arial"/>
        </w:rPr>
        <w:t xml:space="preserve"> acuerdo con las condiciones fijadas en el documento base de infraestructura </w:t>
      </w:r>
      <w:r w:rsidR="00015CEF">
        <w:rPr>
          <w:rFonts w:ascii="Arial" w:hAnsi="Arial" w:cs="Arial"/>
        </w:rPr>
        <w:t xml:space="preserve">social </w:t>
      </w:r>
      <w:r>
        <w:rPr>
          <w:rFonts w:ascii="Arial" w:hAnsi="Arial" w:cs="Arial"/>
        </w:rPr>
        <w:t>y las modificaciones efectuadas por la Resolución 275 de 2022,</w:t>
      </w:r>
      <w:r w:rsidRPr="00B7032A">
        <w:rPr>
          <w:rFonts w:ascii="Arial" w:hAnsi="Arial" w:cs="Arial"/>
        </w:rPr>
        <w:t xml:space="preserve"> la acreditación del requisito habilitante de experiencia se aborda desde distintos criterios.</w:t>
      </w:r>
      <w:r w:rsidRPr="00B7032A">
        <w:rPr>
          <w:rFonts w:ascii="Arial" w:eastAsiaTheme="minorHAnsi" w:hAnsi="Arial" w:cs="Arial"/>
          <w:color w:val="0D0D0D" w:themeColor="text1" w:themeTint="F2"/>
        </w:rPr>
        <w:t xml:space="preserve"> </w:t>
      </w:r>
      <w:r w:rsidRPr="00B7032A">
        <w:rPr>
          <w:rFonts w:ascii="Arial" w:eastAsiaTheme="minorHAnsi" w:hAnsi="Arial" w:cs="Arial"/>
          <w:lang w:val="es-MX"/>
        </w:rPr>
        <w:t>En primer lugar, los contratos presentados por los proponentes</w:t>
      </w:r>
      <w:r>
        <w:rPr>
          <w:rFonts w:ascii="Arial" w:eastAsiaTheme="minorHAnsi" w:hAnsi="Arial" w:cs="Arial"/>
          <w:lang w:val="es-MX"/>
        </w:rPr>
        <w:t xml:space="preserve"> </w:t>
      </w:r>
      <w:r w:rsidRPr="00B7032A">
        <w:rPr>
          <w:rFonts w:ascii="Arial" w:eastAsiaTheme="minorHAnsi" w:hAnsi="Arial" w:cs="Arial"/>
          <w:lang w:val="es-MX"/>
        </w:rPr>
        <w:t xml:space="preserve">deben corresponder a la actividad o actividades de experiencia general y específica que la entidad exija en el pliego de condiciones de acuerdo con los parámetros </w:t>
      </w:r>
      <w:r>
        <w:rPr>
          <w:rFonts w:ascii="Arial" w:eastAsiaTheme="minorHAnsi" w:hAnsi="Arial" w:cs="Arial"/>
          <w:lang w:val="es-MX"/>
        </w:rPr>
        <w:t xml:space="preserve">definidos </w:t>
      </w:r>
      <w:r w:rsidRPr="00B7032A">
        <w:rPr>
          <w:rFonts w:ascii="Arial" w:eastAsiaTheme="minorHAnsi" w:hAnsi="Arial" w:cs="Arial"/>
          <w:lang w:val="es-MX"/>
        </w:rPr>
        <w:t xml:space="preserve">en la Matriz </w:t>
      </w:r>
      <w:r>
        <w:rPr>
          <w:rFonts w:ascii="Arial" w:eastAsiaTheme="minorHAnsi" w:hAnsi="Arial" w:cs="Arial"/>
          <w:lang w:val="es-MX"/>
        </w:rPr>
        <w:t xml:space="preserve">1 - </w:t>
      </w:r>
      <w:r w:rsidRPr="00B7032A">
        <w:rPr>
          <w:rFonts w:ascii="Arial" w:eastAsiaTheme="minorHAnsi" w:hAnsi="Arial" w:cs="Arial"/>
          <w:lang w:val="es-MX"/>
        </w:rPr>
        <w:t>Experiencia</w:t>
      </w:r>
      <w:r>
        <w:rPr>
          <w:rFonts w:ascii="Arial" w:eastAsiaTheme="minorHAnsi" w:hAnsi="Arial" w:cs="Arial"/>
          <w:lang w:val="es-MX"/>
        </w:rPr>
        <w:t>,</w:t>
      </w:r>
      <w:r w:rsidRPr="007720F7">
        <w:rPr>
          <w:rFonts w:ascii="Arial" w:eastAsiaTheme="minorHAnsi" w:hAnsi="Arial" w:cs="Arial"/>
          <w:lang w:val="es-MX"/>
        </w:rPr>
        <w:t xml:space="preserve"> </w:t>
      </w:r>
      <w:r w:rsidRPr="00B7032A">
        <w:rPr>
          <w:rFonts w:ascii="Arial" w:eastAsiaTheme="minorHAnsi" w:hAnsi="Arial" w:cs="Arial"/>
          <w:lang w:val="es-MX"/>
        </w:rPr>
        <w:t xml:space="preserve">sin perjuicio de las </w:t>
      </w:r>
      <w:r w:rsidRPr="00B7032A">
        <w:rPr>
          <w:rFonts w:ascii="Arial" w:eastAsiaTheme="minorHAnsi" w:hAnsi="Arial" w:cs="Arial"/>
          <w:lang w:val="es-MX"/>
        </w:rPr>
        <w:lastRenderedPageBreak/>
        <w:t>combinaciones de experiencia señalada en el literal A del numeral 3.5.</w:t>
      </w:r>
      <w:r w:rsidR="00F73C77">
        <w:rPr>
          <w:rFonts w:ascii="Arial" w:eastAsiaTheme="minorHAnsi" w:hAnsi="Arial" w:cs="Arial"/>
          <w:lang w:val="es-MX"/>
        </w:rPr>
        <w:t>1</w:t>
      </w:r>
      <w:r w:rsidRPr="00B7032A">
        <w:rPr>
          <w:rFonts w:ascii="Arial" w:eastAsiaTheme="minorHAnsi" w:hAnsi="Arial" w:cs="Arial"/>
          <w:lang w:val="es-MX"/>
        </w:rPr>
        <w:t xml:space="preserve">. </w:t>
      </w:r>
      <w:r>
        <w:rPr>
          <w:rFonts w:ascii="Arial" w:eastAsiaTheme="minorHAnsi" w:hAnsi="Arial" w:cs="Arial"/>
          <w:lang w:val="es-MX"/>
        </w:rPr>
        <w:t>en caso de requerirse</w:t>
      </w:r>
      <w:r>
        <w:rPr>
          <w:rStyle w:val="Refdenotaalpie"/>
          <w:rFonts w:ascii="Arial" w:eastAsiaTheme="minorHAnsi" w:hAnsi="Arial" w:cs="Arial"/>
          <w:lang w:val="es-MX"/>
        </w:rPr>
        <w:footnoteReference w:id="7"/>
      </w:r>
      <w:r>
        <w:rPr>
          <w:rFonts w:ascii="Arial" w:eastAsiaTheme="minorHAnsi" w:hAnsi="Arial" w:cs="Arial"/>
          <w:lang w:val="es-MX"/>
        </w:rPr>
        <w:t xml:space="preserve">. </w:t>
      </w:r>
    </w:p>
    <w:p w14:paraId="5292D150" w14:textId="77777777" w:rsidR="000204EA" w:rsidRPr="00194458" w:rsidRDefault="000204EA" w:rsidP="000204EA">
      <w:pPr>
        <w:spacing w:before="120" w:line="276" w:lineRule="auto"/>
        <w:ind w:firstLine="709"/>
        <w:jc w:val="both"/>
        <w:rPr>
          <w:rFonts w:ascii="Arial" w:hAnsi="Arial" w:cs="Arial"/>
          <w:lang w:val="es-MX"/>
        </w:rPr>
      </w:pPr>
      <w:r w:rsidRPr="00B7032A">
        <w:rPr>
          <w:rFonts w:ascii="Arial" w:eastAsiaTheme="minorHAnsi" w:hAnsi="Arial" w:cs="Arial"/>
          <w:lang w:val="es-MX"/>
        </w:rPr>
        <w:t xml:space="preserve">En segundo lugar, los proponentes deben acreditar el cumplimiento de las condiciones fijadas con mínimo uno (1) y máximo </w:t>
      </w:r>
      <w:r>
        <w:rPr>
          <w:rFonts w:ascii="Arial" w:eastAsiaTheme="minorHAnsi" w:hAnsi="Arial" w:cs="Arial"/>
          <w:lang w:val="es-MX"/>
        </w:rPr>
        <w:t xml:space="preserve">cinco </w:t>
      </w:r>
      <w:r w:rsidRPr="00B7032A">
        <w:rPr>
          <w:rFonts w:ascii="Arial" w:eastAsiaTheme="minorHAnsi" w:hAnsi="Arial" w:cs="Arial"/>
          <w:lang w:val="es-MX"/>
        </w:rPr>
        <w:t>(</w:t>
      </w:r>
      <w:r>
        <w:rPr>
          <w:rFonts w:ascii="Arial" w:eastAsiaTheme="minorHAnsi" w:hAnsi="Arial" w:cs="Arial"/>
          <w:lang w:val="es-MX"/>
        </w:rPr>
        <w:t>5</w:t>
      </w:r>
      <w:r w:rsidRPr="00B7032A">
        <w:rPr>
          <w:rFonts w:ascii="Arial" w:eastAsiaTheme="minorHAnsi" w:hAnsi="Arial" w:cs="Arial"/>
          <w:lang w:val="es-MX"/>
        </w:rPr>
        <w:t xml:space="preserve">) contratos, que debieron terminar antes de la fecha de cierre del proceso de contratación. </w:t>
      </w:r>
      <w:r>
        <w:rPr>
          <w:rFonts w:ascii="Arial" w:eastAsiaTheme="minorHAnsi" w:hAnsi="Arial" w:cs="Arial"/>
          <w:lang w:val="es-MX"/>
        </w:rPr>
        <w:t xml:space="preserve">En este punto, vale anotar </w:t>
      </w:r>
      <w:r w:rsidRPr="0050332C">
        <w:rPr>
          <w:rFonts w:ascii="Arial" w:eastAsiaTheme="minorHAnsi" w:hAnsi="Arial" w:cs="Arial"/>
          <w:lang w:val="es-MX"/>
        </w:rPr>
        <w:t>que</w:t>
      </w:r>
      <w:r>
        <w:rPr>
          <w:rFonts w:ascii="Arial" w:eastAsiaTheme="minorHAnsi" w:hAnsi="Arial" w:cs="Arial"/>
          <w:lang w:val="es-MX"/>
        </w:rPr>
        <w:t xml:space="preserve"> mediante la Resolución 275 de 2022 </w:t>
      </w:r>
      <w:r w:rsidRPr="0050332C">
        <w:rPr>
          <w:rFonts w:ascii="Arial" w:eastAsiaTheme="minorHAnsi" w:hAnsi="Arial" w:cs="Arial"/>
        </w:rPr>
        <w:t xml:space="preserve">se </w:t>
      </w:r>
      <w:r>
        <w:rPr>
          <w:rFonts w:ascii="Arial" w:eastAsiaTheme="minorHAnsi" w:hAnsi="Arial" w:cs="Arial"/>
        </w:rPr>
        <w:t>modificó el número de contratos para acreditar la experiencia teniendo en cuenta los criterios diferenciales habilitantes para Mipyme y emprendimientos y empresas de mujeres</w:t>
      </w:r>
      <w:r w:rsidRPr="0050332C">
        <w:rPr>
          <w:rFonts w:ascii="Arial" w:eastAsiaTheme="minorHAnsi" w:hAnsi="Arial" w:cs="Arial"/>
        </w:rPr>
        <w:t xml:space="preserve"> </w:t>
      </w:r>
      <w:r>
        <w:rPr>
          <w:rFonts w:ascii="Arial" w:eastAsiaTheme="minorHAnsi" w:hAnsi="Arial" w:cs="Arial"/>
        </w:rPr>
        <w:t xml:space="preserve">establecidos en el Decreto 1860 de 2021. De esta manera, en los procesos cuyo aviso de convocatoria fue publicado después del 29 de agosto de 2022 </w:t>
      </w:r>
      <w:r w:rsidRPr="0050332C">
        <w:rPr>
          <w:rFonts w:ascii="Arial" w:eastAsiaTheme="minorHAnsi" w:hAnsi="Arial" w:cs="Arial"/>
        </w:rPr>
        <w:t xml:space="preserve">el proponente </w:t>
      </w:r>
      <w:r>
        <w:rPr>
          <w:rFonts w:ascii="Arial" w:eastAsiaTheme="minorHAnsi" w:hAnsi="Arial" w:cs="Arial"/>
        </w:rPr>
        <w:t xml:space="preserve">acreditará la experiencia solicitada con </w:t>
      </w:r>
      <w:r w:rsidRPr="0050332C">
        <w:rPr>
          <w:rFonts w:ascii="Arial" w:eastAsiaTheme="minorHAnsi" w:hAnsi="Arial" w:cs="Arial"/>
        </w:rPr>
        <w:t xml:space="preserve">máximo cinco (5) contratos. </w:t>
      </w:r>
      <w:r>
        <w:rPr>
          <w:rFonts w:ascii="Arial" w:eastAsiaTheme="minorHAnsi" w:hAnsi="Arial" w:cs="Arial"/>
        </w:rPr>
        <w:t xml:space="preserve">Sin embargo, </w:t>
      </w:r>
      <w:r>
        <w:rPr>
          <w:rFonts w:ascii="Arial" w:hAnsi="Arial" w:cs="Arial"/>
          <w:lang w:val="es-MX"/>
        </w:rPr>
        <w:t xml:space="preserve">si el proponente </w:t>
      </w:r>
      <w:r w:rsidRPr="00696736">
        <w:rPr>
          <w:rFonts w:ascii="Arial" w:eastAsiaTheme="minorHAnsi" w:hAnsi="Arial" w:cs="Arial"/>
        </w:rPr>
        <w:t>prueb</w:t>
      </w:r>
      <w:r>
        <w:rPr>
          <w:rFonts w:ascii="Arial" w:eastAsiaTheme="minorHAnsi" w:hAnsi="Arial" w:cs="Arial"/>
        </w:rPr>
        <w:t xml:space="preserve">a </w:t>
      </w:r>
      <w:r w:rsidRPr="00696736">
        <w:rPr>
          <w:rFonts w:ascii="Arial" w:eastAsiaTheme="minorHAnsi" w:hAnsi="Arial" w:cs="Arial"/>
        </w:rPr>
        <w:t>la calidad de Mipyme o de emprendimiento y empresa de mujer con domicilio en el territorio nacional de conformidad con lo previsto en el artículo 2.2.1.13.2.2 del Decreto 1074 de 2015</w:t>
      </w:r>
      <w:r w:rsidRPr="00696736">
        <w:rPr>
          <w:rFonts w:ascii="Arial" w:eastAsiaTheme="minorHAnsi" w:hAnsi="Arial" w:cs="Arial"/>
          <w:b/>
          <w:bCs/>
        </w:rPr>
        <w:t xml:space="preserve"> </w:t>
      </w:r>
      <w:r w:rsidRPr="00696736">
        <w:rPr>
          <w:rFonts w:ascii="Arial" w:eastAsiaTheme="minorHAnsi" w:hAnsi="Arial" w:cs="Arial"/>
        </w:rPr>
        <w:t>y</w:t>
      </w:r>
      <w:r w:rsidRPr="00696736">
        <w:rPr>
          <w:rFonts w:ascii="Arial" w:eastAsiaTheme="minorHAnsi" w:hAnsi="Arial" w:cs="Arial"/>
          <w:b/>
          <w:bCs/>
        </w:rPr>
        <w:t xml:space="preserve"> </w:t>
      </w:r>
      <w:r w:rsidRPr="00696736">
        <w:rPr>
          <w:rFonts w:ascii="Arial" w:eastAsiaTheme="minorHAnsi" w:hAnsi="Arial" w:cs="Arial"/>
        </w:rPr>
        <w:t>los artículos 2.2.1.2.</w:t>
      </w:r>
      <w:r w:rsidRPr="00696736">
        <w:rPr>
          <w:rFonts w:ascii="Arial" w:eastAsiaTheme="minorHAnsi" w:hAnsi="Arial" w:cs="Arial"/>
          <w:bCs/>
          <w:lang w:val="es-MX"/>
        </w:rPr>
        <w:t>4.2.4. y 2.2.1.2.4.2.14 del Decreto 1082 de 2015</w:t>
      </w:r>
      <w:r w:rsidRPr="00696736">
        <w:rPr>
          <w:rFonts w:ascii="Arial" w:eastAsiaTheme="minorHAnsi" w:hAnsi="Arial" w:cs="Arial"/>
        </w:rPr>
        <w:t xml:space="preserve">, podrá </w:t>
      </w:r>
      <w:r>
        <w:rPr>
          <w:rFonts w:ascii="Arial" w:eastAsiaTheme="minorHAnsi" w:hAnsi="Arial" w:cs="Arial"/>
        </w:rPr>
        <w:t>acreditar</w:t>
      </w:r>
      <w:r w:rsidRPr="00696736">
        <w:rPr>
          <w:rFonts w:ascii="Arial" w:eastAsiaTheme="minorHAnsi" w:hAnsi="Arial" w:cs="Arial"/>
        </w:rPr>
        <w:t xml:space="preserve"> la experiencia solicitada con un (1) contrato adicional a los cinco (5) inicialmente previstos, para un máximo de seis (6) contratos</w:t>
      </w:r>
      <w:r w:rsidRPr="00696736">
        <w:rPr>
          <w:rFonts w:ascii="Arial" w:eastAsiaTheme="minorHAnsi" w:hAnsi="Arial" w:cs="Arial"/>
          <w:lang w:val="es-MX"/>
        </w:rPr>
        <w:t>.</w:t>
      </w:r>
      <w:r>
        <w:rPr>
          <w:rFonts w:ascii="Arial" w:hAnsi="Arial" w:cs="Arial"/>
          <w:lang w:val="es-MX"/>
        </w:rPr>
        <w:t xml:space="preserve"> </w:t>
      </w:r>
      <w:r w:rsidRPr="00696736">
        <w:rPr>
          <w:rFonts w:ascii="Arial" w:eastAsiaTheme="minorHAnsi" w:hAnsi="Arial" w:cs="Arial"/>
        </w:rPr>
        <w:t xml:space="preserve">En caso de que el </w:t>
      </w:r>
      <w:r>
        <w:rPr>
          <w:rFonts w:ascii="Arial" w:eastAsiaTheme="minorHAnsi" w:hAnsi="Arial" w:cs="Arial"/>
        </w:rPr>
        <w:t>p</w:t>
      </w:r>
      <w:r w:rsidRPr="00696736">
        <w:rPr>
          <w:rFonts w:ascii="Arial" w:eastAsiaTheme="minorHAnsi" w:hAnsi="Arial" w:cs="Arial"/>
        </w:rPr>
        <w:t>roponente pruebe la calidad de Mipyme y de emprendimiento y empresa de mujer con domicilio en el territorio nacional de manera conjunta, podrá demostrar la experiencia solicitada con dos (2) contratos adicionales a los cinco (5) inicialmente previstos, para un máximo de siete (7)</w:t>
      </w:r>
      <w:r w:rsidRPr="00696736">
        <w:rPr>
          <w:rFonts w:ascii="Arial" w:eastAsiaTheme="minorHAnsi" w:hAnsi="Arial" w:cs="Arial"/>
          <w:lang w:val="es-MX"/>
        </w:rPr>
        <w:t>.</w:t>
      </w:r>
    </w:p>
    <w:p w14:paraId="6574DAC1" w14:textId="51EF6AD4" w:rsidR="000204EA" w:rsidRDefault="000204EA" w:rsidP="000204EA">
      <w:pPr>
        <w:spacing w:before="120" w:line="276" w:lineRule="auto"/>
        <w:ind w:firstLine="709"/>
        <w:jc w:val="both"/>
        <w:rPr>
          <w:rFonts w:ascii="Arial" w:hAnsi="Arial" w:cs="Arial"/>
          <w:lang w:val="es-MX"/>
        </w:rPr>
      </w:pPr>
      <w:r w:rsidRPr="00B7032A">
        <w:rPr>
          <w:rFonts w:ascii="Arial" w:eastAsiaTheme="minorHAnsi" w:hAnsi="Arial" w:cs="Arial"/>
          <w:lang w:val="es-MX"/>
        </w:rPr>
        <w:t>Por último, el número de contratos aportados por el proponente debe certificar un valor mínimo correspondiente a un porcentaje del presupuesto oficial del proceso de obra expresado en SMMLV, cuya evaluación se realizará teniendo en cuenta la tabla establecida en el numeral 3.5.</w:t>
      </w:r>
      <w:r w:rsidR="00F73C77">
        <w:rPr>
          <w:rFonts w:ascii="Arial" w:eastAsiaTheme="minorHAnsi" w:hAnsi="Arial" w:cs="Arial"/>
          <w:lang w:val="es-MX"/>
        </w:rPr>
        <w:t>7</w:t>
      </w:r>
      <w:r w:rsidRPr="00B7032A">
        <w:rPr>
          <w:rFonts w:ascii="Arial" w:eastAsiaTheme="minorHAnsi" w:hAnsi="Arial" w:cs="Arial"/>
          <w:lang w:val="es-MX"/>
        </w:rPr>
        <w:t>. del pliego de condiciones</w:t>
      </w:r>
      <w:r w:rsidRPr="00B7032A">
        <w:rPr>
          <w:rFonts w:ascii="Arial" w:hAnsi="Arial" w:cs="Arial"/>
          <w:vertAlign w:val="superscript"/>
        </w:rPr>
        <w:footnoteReference w:id="8"/>
      </w:r>
      <w:r w:rsidRPr="00B7032A">
        <w:rPr>
          <w:rFonts w:ascii="Arial" w:eastAsiaTheme="minorHAnsi" w:hAnsi="Arial" w:cs="Arial"/>
          <w:lang w:val="es-MX"/>
        </w:rPr>
        <w:t>.</w:t>
      </w:r>
      <w:r w:rsidRPr="00873F57">
        <w:rPr>
          <w:rFonts w:ascii="Arial" w:eastAsiaTheme="minorHAnsi" w:hAnsi="Arial" w:cs="Arial"/>
          <w:bCs/>
          <w:lang w:val="es-ES_tradnl"/>
        </w:rPr>
        <w:t xml:space="preserve"> </w:t>
      </w:r>
      <w:r w:rsidRPr="00194458">
        <w:rPr>
          <w:rFonts w:ascii="Arial" w:eastAsiaTheme="minorHAnsi" w:hAnsi="Arial" w:cs="Arial"/>
          <w:bCs/>
          <w:lang w:val="es-ES_tradnl"/>
        </w:rPr>
        <w:t xml:space="preserve">De esta manera, </w:t>
      </w:r>
      <w:r w:rsidRPr="00194458">
        <w:rPr>
          <w:rFonts w:ascii="Arial" w:eastAsiaTheme="minorHAnsi" w:hAnsi="Arial" w:cs="Arial"/>
          <w:bCs/>
          <w:lang w:val="es-MX"/>
        </w:rPr>
        <w:t xml:space="preserve">quienes acrediten la </w:t>
      </w:r>
      <w:r w:rsidRPr="00194458">
        <w:rPr>
          <w:rFonts w:ascii="Arial" w:eastAsiaTheme="minorHAnsi" w:hAnsi="Arial" w:cs="Arial"/>
          <w:bCs/>
          <w:lang w:val="es-MX"/>
        </w:rPr>
        <w:lastRenderedPageBreak/>
        <w:t xml:space="preserve">experiencia mediante 1 ó 2 contratos, la sumatoria de los valores ejecutados </w:t>
      </w:r>
      <w:r w:rsidRPr="006E0DFD">
        <w:rPr>
          <w:rFonts w:ascii="Arial" w:eastAsiaTheme="minorHAnsi" w:hAnsi="Arial" w:cs="Arial"/>
          <w:bCs/>
          <w:lang w:val="es-MX"/>
        </w:rPr>
        <w:t>debe ser superior al 75% del valor del presupuesto oficial de obra expresado en SMMLV</w:t>
      </w:r>
      <w:r>
        <w:rPr>
          <w:rFonts w:ascii="Arial" w:eastAsiaTheme="minorHAnsi" w:hAnsi="Arial" w:cs="Arial"/>
          <w:bCs/>
          <w:lang w:val="es-MX"/>
        </w:rPr>
        <w:t xml:space="preserve">; si emplea </w:t>
      </w:r>
      <w:r w:rsidRPr="006E0DFD">
        <w:rPr>
          <w:rFonts w:ascii="Arial" w:eastAsiaTheme="minorHAnsi" w:hAnsi="Arial" w:cs="Arial"/>
          <w:bCs/>
          <w:lang w:val="es-MX"/>
        </w:rPr>
        <w:t xml:space="preserve">3 </w:t>
      </w:r>
      <w:r>
        <w:rPr>
          <w:rFonts w:ascii="Arial" w:eastAsiaTheme="minorHAnsi" w:hAnsi="Arial" w:cs="Arial"/>
          <w:bCs/>
          <w:lang w:val="es-MX"/>
        </w:rPr>
        <w:t>ó</w:t>
      </w:r>
      <w:r w:rsidRPr="006E0DFD">
        <w:rPr>
          <w:rFonts w:ascii="Arial" w:eastAsiaTheme="minorHAnsi" w:hAnsi="Arial" w:cs="Arial"/>
          <w:bCs/>
          <w:lang w:val="es-MX"/>
        </w:rPr>
        <w:t xml:space="preserve"> 4 contratos, la sumatoria de</w:t>
      </w:r>
      <w:r>
        <w:rPr>
          <w:rFonts w:ascii="Arial" w:eastAsiaTheme="minorHAnsi" w:hAnsi="Arial" w:cs="Arial"/>
          <w:bCs/>
          <w:lang w:val="es-MX"/>
        </w:rPr>
        <w:t xml:space="preserve"> estos </w:t>
      </w:r>
      <w:r w:rsidRPr="006E0DFD">
        <w:rPr>
          <w:rFonts w:ascii="Arial" w:eastAsiaTheme="minorHAnsi" w:hAnsi="Arial" w:cs="Arial"/>
          <w:bCs/>
          <w:lang w:val="es-MX"/>
        </w:rPr>
        <w:t>debe ser superior al 120% del valor del presupuesto oficial</w:t>
      </w:r>
      <w:r>
        <w:rPr>
          <w:rFonts w:ascii="Arial" w:eastAsiaTheme="minorHAnsi" w:hAnsi="Arial" w:cs="Arial"/>
          <w:bCs/>
          <w:lang w:val="es-MX"/>
        </w:rPr>
        <w:t>; y si emplea</w:t>
      </w:r>
      <w:r w:rsidRPr="006E0DFD">
        <w:rPr>
          <w:rFonts w:ascii="Arial" w:eastAsiaTheme="minorHAnsi" w:hAnsi="Arial" w:cs="Arial"/>
          <w:bCs/>
          <w:lang w:val="es-MX"/>
        </w:rPr>
        <w:t xml:space="preserve"> 5 contratos,</w:t>
      </w:r>
      <w:r w:rsidRPr="00873F57">
        <w:rPr>
          <w:rFonts w:ascii="Arial" w:hAnsi="Arial" w:cs="Arial"/>
        </w:rPr>
        <w:t xml:space="preserve"> </w:t>
      </w:r>
      <w:r w:rsidRPr="006C6EE1">
        <w:rPr>
          <w:rFonts w:ascii="Arial" w:hAnsi="Arial" w:cs="Arial"/>
        </w:rPr>
        <w:t>sus valores sumados deberán alcanzar o superar el 150% del presupuesto oficial</w:t>
      </w:r>
      <w:r w:rsidRPr="006E0DFD">
        <w:rPr>
          <w:rFonts w:ascii="Arial" w:eastAsiaTheme="minorHAnsi" w:hAnsi="Arial" w:cs="Arial"/>
          <w:bCs/>
          <w:lang w:val="es-MX"/>
        </w:rPr>
        <w:t xml:space="preserve">. </w:t>
      </w:r>
      <w:r w:rsidRPr="006E0DFD">
        <w:rPr>
          <w:rFonts w:ascii="Arial" w:eastAsiaTheme="minorHAnsi" w:hAnsi="Arial" w:cs="Arial"/>
          <w:bCs/>
          <w:iCs/>
        </w:rPr>
        <w:t>Si el número de contratos aportados supera los cinco (5) inicialmente previstos en este numeral, pu</w:t>
      </w:r>
      <w:r>
        <w:rPr>
          <w:rFonts w:ascii="Arial" w:eastAsiaTheme="minorHAnsi" w:hAnsi="Arial" w:cs="Arial"/>
          <w:bCs/>
          <w:iCs/>
        </w:rPr>
        <w:t>esto</w:t>
      </w:r>
      <w:r w:rsidRPr="006E0DFD">
        <w:rPr>
          <w:rFonts w:ascii="Arial" w:eastAsiaTheme="minorHAnsi" w:hAnsi="Arial" w:cs="Arial"/>
          <w:bCs/>
          <w:iCs/>
        </w:rPr>
        <w:t xml:space="preserve"> que el proponente demostró la calidad de Mipyme y/o emprendimiento y empresa de mujer, estos contratos adicionales, se tendrán en cuenta para demostrar</w:t>
      </w:r>
      <w:r w:rsidRPr="00194458">
        <w:rPr>
          <w:rFonts w:ascii="Arial" w:eastAsiaTheme="minorHAnsi" w:hAnsi="Arial" w:cs="Arial"/>
          <w:bCs/>
          <w:iCs/>
        </w:rPr>
        <w:t xml:space="preserve"> el valor del ciento cincuenta por ciento (150 %) del valor del </w:t>
      </w:r>
      <w:r w:rsidR="00E84793">
        <w:rPr>
          <w:rFonts w:ascii="Arial" w:eastAsiaTheme="minorHAnsi" w:hAnsi="Arial" w:cs="Arial"/>
          <w:bCs/>
          <w:iCs/>
        </w:rPr>
        <w:t>p</w:t>
      </w:r>
      <w:r w:rsidRPr="00194458">
        <w:rPr>
          <w:rFonts w:ascii="Arial" w:eastAsiaTheme="minorHAnsi" w:hAnsi="Arial" w:cs="Arial"/>
          <w:bCs/>
          <w:iCs/>
        </w:rPr>
        <w:t xml:space="preserve">resupuesto </w:t>
      </w:r>
      <w:r w:rsidR="00E84793">
        <w:rPr>
          <w:rFonts w:ascii="Arial" w:eastAsiaTheme="minorHAnsi" w:hAnsi="Arial" w:cs="Arial"/>
          <w:bCs/>
          <w:iCs/>
        </w:rPr>
        <w:t>o</w:t>
      </w:r>
      <w:r w:rsidRPr="00194458">
        <w:rPr>
          <w:rFonts w:ascii="Arial" w:eastAsiaTheme="minorHAnsi" w:hAnsi="Arial" w:cs="Arial"/>
          <w:bCs/>
          <w:iCs/>
        </w:rPr>
        <w:t>ficial.</w:t>
      </w:r>
    </w:p>
    <w:p w14:paraId="564E5A6B" w14:textId="63E8DA58" w:rsidR="000204EA" w:rsidRDefault="000204EA" w:rsidP="000204EA">
      <w:pPr>
        <w:spacing w:before="120" w:line="276" w:lineRule="auto"/>
        <w:ind w:firstLine="709"/>
        <w:jc w:val="both"/>
        <w:rPr>
          <w:rFonts w:ascii="Arial" w:hAnsi="Arial" w:cs="Arial"/>
        </w:rPr>
      </w:pPr>
      <w:r>
        <w:rPr>
          <w:rFonts w:ascii="Arial" w:hAnsi="Arial" w:cs="Arial"/>
          <w:lang w:val="es-MX"/>
        </w:rPr>
        <w:t xml:space="preserve">En este sentido, </w:t>
      </w:r>
      <w:r w:rsidRPr="006C6EE1">
        <w:rPr>
          <w:rFonts w:ascii="Arial" w:hAnsi="Arial" w:cs="Arial"/>
        </w:rPr>
        <w:t xml:space="preserve">los proponentes podrán optar por acreditar los requisitos de experiencia </w:t>
      </w:r>
      <w:r>
        <w:rPr>
          <w:rFonts w:ascii="Arial" w:hAnsi="Arial" w:cs="Arial"/>
        </w:rPr>
        <w:t xml:space="preserve">solicitada </w:t>
      </w:r>
      <w:r w:rsidRPr="006C6EE1">
        <w:rPr>
          <w:rFonts w:ascii="Arial" w:hAnsi="Arial" w:cs="Arial"/>
        </w:rPr>
        <w:t xml:space="preserve">mediante mínimo uno (1) y máximo </w:t>
      </w:r>
      <w:r>
        <w:rPr>
          <w:rFonts w:ascii="Arial" w:hAnsi="Arial" w:cs="Arial"/>
        </w:rPr>
        <w:t>cinco</w:t>
      </w:r>
      <w:r w:rsidRPr="006C6EE1">
        <w:rPr>
          <w:rFonts w:ascii="Arial" w:hAnsi="Arial" w:cs="Arial"/>
        </w:rPr>
        <w:t xml:space="preserve"> (</w:t>
      </w:r>
      <w:r>
        <w:rPr>
          <w:rFonts w:ascii="Arial" w:hAnsi="Arial" w:cs="Arial"/>
        </w:rPr>
        <w:t>5</w:t>
      </w:r>
      <w:r w:rsidRPr="006C6EE1">
        <w:rPr>
          <w:rFonts w:ascii="Arial" w:hAnsi="Arial" w:cs="Arial"/>
        </w:rPr>
        <w:t>) contratos</w:t>
      </w:r>
      <w:r>
        <w:rPr>
          <w:rFonts w:ascii="Arial" w:hAnsi="Arial" w:cs="Arial"/>
        </w:rPr>
        <w:t>, sin perjuicio de</w:t>
      </w:r>
      <w:r w:rsidRPr="00194458">
        <w:rPr>
          <w:rFonts w:ascii="Arial" w:hAnsi="Arial" w:cs="Arial"/>
        </w:rPr>
        <w:t xml:space="preserve"> lo previsto en las reglas de los criterios diferenciales por ser Mipyme y/o emprendimientos y empresas de mujeres</w:t>
      </w:r>
      <w:r>
        <w:rPr>
          <w:rFonts w:ascii="Arial" w:hAnsi="Arial" w:cs="Arial"/>
        </w:rPr>
        <w:t>, y tendrán en cuenta que</w:t>
      </w:r>
      <w:r w:rsidRPr="006C6EE1">
        <w:rPr>
          <w:rFonts w:ascii="Arial" w:hAnsi="Arial" w:cs="Arial"/>
        </w:rPr>
        <w:t>, de acuerdo con el numeral 3.5.</w:t>
      </w:r>
      <w:r w:rsidR="00F73C77">
        <w:rPr>
          <w:rFonts w:ascii="Arial" w:hAnsi="Arial" w:cs="Arial"/>
        </w:rPr>
        <w:t>7</w:t>
      </w:r>
      <w:r w:rsidRPr="006C6EE1">
        <w:rPr>
          <w:rFonts w:ascii="Arial" w:hAnsi="Arial" w:cs="Arial"/>
        </w:rPr>
        <w:t xml:space="preserve"> del documento base, la cantidad de contratos que </w:t>
      </w:r>
      <w:r>
        <w:rPr>
          <w:rFonts w:ascii="Arial" w:hAnsi="Arial" w:cs="Arial"/>
        </w:rPr>
        <w:t>aporten</w:t>
      </w:r>
      <w:r w:rsidRPr="006C6EE1">
        <w:rPr>
          <w:rFonts w:ascii="Arial" w:hAnsi="Arial" w:cs="Arial"/>
        </w:rPr>
        <w:t xml:space="preserve"> para acreditar </w:t>
      </w:r>
      <w:r>
        <w:rPr>
          <w:rFonts w:ascii="Arial" w:hAnsi="Arial" w:cs="Arial"/>
        </w:rPr>
        <w:t>dicha</w:t>
      </w:r>
      <w:r w:rsidRPr="006C6EE1">
        <w:rPr>
          <w:rFonts w:ascii="Arial" w:hAnsi="Arial" w:cs="Arial"/>
        </w:rPr>
        <w:t xml:space="preserve"> experiencia determinará el porcentaje del valor del presupuesto oficial que la sumatoria de dichos contratos debe alcanzar para cumplir con el requisito habilitante</w:t>
      </w:r>
      <w:r>
        <w:rPr>
          <w:rFonts w:ascii="Arial" w:hAnsi="Arial" w:cs="Arial"/>
        </w:rPr>
        <w:t>.</w:t>
      </w:r>
    </w:p>
    <w:bookmarkEnd w:id="11"/>
    <w:p w14:paraId="2A06F5C0" w14:textId="0F5330F9" w:rsidR="00965FF8" w:rsidRDefault="00C41F7F" w:rsidP="00E41229">
      <w:pPr>
        <w:tabs>
          <w:tab w:val="left" w:pos="426"/>
        </w:tabs>
        <w:spacing w:before="120" w:after="0" w:line="276" w:lineRule="auto"/>
        <w:ind w:firstLine="709"/>
        <w:jc w:val="both"/>
        <w:rPr>
          <w:rFonts w:ascii="Arial" w:hAnsi="Arial" w:cs="Arial"/>
          <w:bCs/>
          <w:lang w:val="es-ES_tradnl"/>
        </w:rPr>
      </w:pPr>
      <w:r w:rsidRPr="00B7032A">
        <w:rPr>
          <w:rFonts w:ascii="Arial" w:hAnsi="Arial" w:cs="Arial"/>
        </w:rPr>
        <w:lastRenderedPageBreak/>
        <w:t>En relación con</w:t>
      </w:r>
      <w:r w:rsidR="001155EE">
        <w:rPr>
          <w:rFonts w:ascii="Arial" w:hAnsi="Arial" w:cs="Arial"/>
        </w:rPr>
        <w:t xml:space="preserve"> los proceso estructurados en lotes o grupos </w:t>
      </w:r>
      <w:r w:rsidR="001155EE" w:rsidRPr="001155EE">
        <w:rPr>
          <w:rFonts w:ascii="Arial" w:hAnsi="Arial" w:cs="Arial"/>
          <w:bCs/>
          <w:lang w:val="es-ES_tradnl"/>
        </w:rPr>
        <w:t xml:space="preserve">es preciso señalar que el numeral 2.10 del documento base establece las reglas que se deben aplicar cuando las entidades estructuren sus procesos por lotes o grupos. </w:t>
      </w:r>
      <w:r w:rsidR="00965FF8">
        <w:rPr>
          <w:rFonts w:ascii="Arial" w:hAnsi="Arial" w:cs="Arial"/>
          <w:bCs/>
          <w:lang w:val="es-ES_tradnl"/>
        </w:rPr>
        <w:t xml:space="preserve">Este numeral </w:t>
      </w:r>
      <w:r w:rsidR="00015CEF">
        <w:rPr>
          <w:rFonts w:ascii="Arial" w:hAnsi="Arial" w:cs="Arial"/>
          <w:bCs/>
          <w:lang w:val="es-ES_tradnl"/>
        </w:rPr>
        <w:t>señala</w:t>
      </w:r>
      <w:r w:rsidR="00965FF8">
        <w:rPr>
          <w:rFonts w:ascii="Arial" w:hAnsi="Arial" w:cs="Arial"/>
          <w:bCs/>
          <w:lang w:val="es-ES_tradnl"/>
        </w:rPr>
        <w:t xml:space="preserve"> lo siguiente</w:t>
      </w:r>
      <w:r w:rsidR="00525E61" w:rsidRPr="00525E61">
        <w:rPr>
          <w:rFonts w:ascii="Arial" w:hAnsi="Arial" w:cs="Arial"/>
          <w:bCs/>
          <w:lang w:val="es-ES_tradnl"/>
        </w:rPr>
        <w:t>:</w:t>
      </w:r>
    </w:p>
    <w:p w14:paraId="058A87DE" w14:textId="77777777" w:rsidR="00E41229" w:rsidRPr="00E41229" w:rsidRDefault="00E41229" w:rsidP="00E41229">
      <w:pPr>
        <w:tabs>
          <w:tab w:val="left" w:pos="426"/>
        </w:tabs>
        <w:spacing w:after="0" w:line="276" w:lineRule="auto"/>
        <w:ind w:firstLine="709"/>
        <w:jc w:val="both"/>
        <w:rPr>
          <w:rFonts w:ascii="Arial" w:hAnsi="Arial" w:cs="Arial"/>
          <w:bCs/>
          <w:lang w:val="es-ES_tradnl"/>
        </w:rPr>
      </w:pPr>
    </w:p>
    <w:p w14:paraId="062F5C4F" w14:textId="680E9CFE" w:rsidR="00965FF8" w:rsidRDefault="00965FF8" w:rsidP="00E41229">
      <w:pPr>
        <w:tabs>
          <w:tab w:val="left" w:pos="426"/>
        </w:tabs>
        <w:spacing w:after="0" w:line="240" w:lineRule="auto"/>
        <w:ind w:left="709" w:right="709"/>
        <w:jc w:val="both"/>
        <w:rPr>
          <w:rFonts w:ascii="Arial" w:hAnsi="Arial" w:cs="Arial"/>
          <w:bCs/>
          <w:color w:val="000000"/>
          <w:sz w:val="21"/>
          <w:szCs w:val="21"/>
          <w:lang w:val="es-ES_tradnl"/>
        </w:rPr>
      </w:pPr>
      <w:r w:rsidRPr="00DE3B48">
        <w:rPr>
          <w:rFonts w:ascii="Arial" w:hAnsi="Arial" w:cs="Arial"/>
          <w:sz w:val="21"/>
          <w:szCs w:val="21"/>
          <w:lang w:val="es-MX"/>
        </w:rPr>
        <w:t>2.10</w:t>
      </w:r>
      <w:r w:rsidRPr="00965FF8">
        <w:rPr>
          <w:rFonts w:ascii="Arial" w:hAnsi="Arial" w:cs="Arial"/>
          <w:bCs/>
          <w:color w:val="000000"/>
          <w:sz w:val="21"/>
          <w:szCs w:val="21"/>
          <w:lang w:val="es-ES_tradnl"/>
        </w:rPr>
        <w:t xml:space="preserve"> REGLAS PARA LOS PROCESOS ESTRUCTURADOS POR LOTES O GRUPOS</w:t>
      </w:r>
    </w:p>
    <w:p w14:paraId="13A998BD" w14:textId="77777777" w:rsidR="00965FF8" w:rsidRPr="00965FF8" w:rsidRDefault="00965FF8" w:rsidP="00E41229">
      <w:pPr>
        <w:tabs>
          <w:tab w:val="left" w:pos="426"/>
        </w:tabs>
        <w:spacing w:after="0" w:line="240" w:lineRule="auto"/>
        <w:ind w:left="709" w:right="709"/>
        <w:jc w:val="both"/>
        <w:rPr>
          <w:rFonts w:ascii="Arial" w:hAnsi="Arial" w:cs="Arial"/>
          <w:b/>
          <w:bCs/>
          <w:sz w:val="21"/>
          <w:szCs w:val="21"/>
          <w:lang w:val="es-MX"/>
        </w:rPr>
      </w:pPr>
    </w:p>
    <w:p w14:paraId="3E4D61AF" w14:textId="50456174" w:rsidR="00965FF8" w:rsidRPr="00965FF8" w:rsidRDefault="00965FF8" w:rsidP="00E41229">
      <w:pPr>
        <w:tabs>
          <w:tab w:val="left" w:pos="426"/>
        </w:tabs>
        <w:spacing w:after="0" w:line="240" w:lineRule="auto"/>
        <w:ind w:left="709" w:right="709"/>
        <w:jc w:val="both"/>
        <w:rPr>
          <w:rFonts w:ascii="Arial" w:eastAsiaTheme="minorHAnsi" w:hAnsi="Arial" w:cstheme="minorBidi"/>
          <w:color w:val="000000" w:themeColor="text1"/>
          <w:sz w:val="21"/>
          <w:szCs w:val="21"/>
          <w:highlight w:val="lightGray"/>
          <w:lang w:val="es-MX"/>
        </w:rPr>
      </w:pPr>
      <w:r w:rsidRPr="00965FF8">
        <w:rPr>
          <w:rFonts w:ascii="Arial" w:eastAsiaTheme="minorHAnsi" w:hAnsi="Arial" w:cstheme="minorBidi"/>
          <w:color w:val="000000" w:themeColor="text1"/>
          <w:sz w:val="21"/>
          <w:szCs w:val="21"/>
          <w:highlight w:val="lightGray"/>
          <w:lang w:val="es-MX"/>
        </w:rPr>
        <w:t>[La Entidad debe incluir esta sección y aplicar las reglas aquí señaladas cuando estructure el Proceso de Contratación por lotes o grupos]</w:t>
      </w:r>
    </w:p>
    <w:p w14:paraId="10B8857F" w14:textId="77777777" w:rsidR="00965FF8" w:rsidRPr="00965FF8" w:rsidRDefault="00965FF8" w:rsidP="00E41229">
      <w:pPr>
        <w:tabs>
          <w:tab w:val="left" w:pos="426"/>
        </w:tabs>
        <w:spacing w:after="0" w:line="240" w:lineRule="auto"/>
        <w:ind w:left="709" w:right="709"/>
        <w:jc w:val="both"/>
        <w:rPr>
          <w:rFonts w:ascii="Arial" w:eastAsiaTheme="minorHAnsi" w:hAnsi="Arial" w:cstheme="minorBidi"/>
          <w:color w:val="000000" w:themeColor="text1"/>
          <w:sz w:val="20"/>
          <w:highlight w:val="lightGray"/>
          <w:lang w:val="es-MX"/>
        </w:rPr>
      </w:pPr>
    </w:p>
    <w:p w14:paraId="39A9598E" w14:textId="6C5543AE" w:rsidR="00965FF8" w:rsidRDefault="00965FF8" w:rsidP="00E41229">
      <w:pPr>
        <w:tabs>
          <w:tab w:val="left" w:pos="426"/>
        </w:tabs>
        <w:spacing w:after="0" w:line="240" w:lineRule="auto"/>
        <w:ind w:left="709" w:right="709"/>
        <w:jc w:val="both"/>
        <w:rPr>
          <w:rFonts w:ascii="Arial" w:hAnsi="Arial" w:cs="Arial"/>
          <w:bCs/>
          <w:sz w:val="21"/>
          <w:szCs w:val="21"/>
          <w:lang w:val="es-MX"/>
        </w:rPr>
      </w:pPr>
      <w:r w:rsidRPr="00965FF8">
        <w:rPr>
          <w:rFonts w:ascii="Arial" w:hAnsi="Arial" w:cs="Arial"/>
          <w:bCs/>
          <w:sz w:val="21"/>
          <w:szCs w:val="21"/>
          <w:lang w:val="es-MX"/>
        </w:rPr>
        <w:t xml:space="preserve">Cuando el Proceso de Contratación se estructure por lotes o grupos aplican las siguientes reglas, además de las previstas en otros numerales de este documento: </w:t>
      </w:r>
    </w:p>
    <w:p w14:paraId="1E124CD2" w14:textId="77777777" w:rsidR="00965FF8" w:rsidRPr="00965FF8" w:rsidRDefault="00965FF8" w:rsidP="00E41229">
      <w:pPr>
        <w:tabs>
          <w:tab w:val="left" w:pos="426"/>
        </w:tabs>
        <w:spacing w:after="0" w:line="240" w:lineRule="auto"/>
        <w:ind w:left="709" w:right="709"/>
        <w:jc w:val="both"/>
        <w:rPr>
          <w:rFonts w:ascii="Arial" w:hAnsi="Arial" w:cs="Arial"/>
          <w:bCs/>
          <w:sz w:val="21"/>
          <w:szCs w:val="21"/>
          <w:lang w:val="es-MX"/>
        </w:rPr>
      </w:pPr>
    </w:p>
    <w:p w14:paraId="30DD7467" w14:textId="77777777" w:rsidR="00965FF8" w:rsidRPr="00965FF8" w:rsidRDefault="00965FF8" w:rsidP="00E41229">
      <w:pPr>
        <w:numPr>
          <w:ilvl w:val="0"/>
          <w:numId w:val="44"/>
        </w:numPr>
        <w:tabs>
          <w:tab w:val="left" w:pos="426"/>
          <w:tab w:val="left" w:pos="851"/>
          <w:tab w:val="left" w:pos="993"/>
        </w:tabs>
        <w:spacing w:after="0" w:line="240" w:lineRule="auto"/>
        <w:ind w:left="709" w:right="709" w:firstLine="0"/>
        <w:jc w:val="both"/>
        <w:rPr>
          <w:rFonts w:ascii="Arial" w:hAnsi="Arial" w:cs="Arial"/>
          <w:bCs/>
          <w:sz w:val="21"/>
          <w:szCs w:val="21"/>
          <w:lang w:val="es-MX"/>
        </w:rPr>
      </w:pPr>
      <w:r w:rsidRPr="00965FF8">
        <w:rPr>
          <w:rFonts w:ascii="Arial" w:hAnsi="Arial" w:cs="Arial"/>
          <w:bCs/>
          <w:sz w:val="21"/>
          <w:szCs w:val="21"/>
          <w:lang w:val="es-MX"/>
        </w:rPr>
        <w:t xml:space="preserve">[En este literal la Entidad debe señalar si es posible presentar oferta a más de un lote o grupo. Cuando lo establezca, debe indicar si es factible resultar adjudicatario de más de uno]. </w:t>
      </w:r>
    </w:p>
    <w:p w14:paraId="3AC768C3" w14:textId="77777777" w:rsidR="00965FF8" w:rsidRPr="00965FF8" w:rsidRDefault="00965FF8" w:rsidP="00E41229">
      <w:pPr>
        <w:tabs>
          <w:tab w:val="left" w:pos="426"/>
        </w:tabs>
        <w:spacing w:after="0" w:line="240" w:lineRule="auto"/>
        <w:ind w:left="709" w:right="709"/>
        <w:jc w:val="both"/>
        <w:rPr>
          <w:rFonts w:ascii="Arial" w:hAnsi="Arial" w:cs="Arial"/>
          <w:bCs/>
          <w:sz w:val="21"/>
          <w:szCs w:val="21"/>
          <w:lang w:val="es-MX"/>
        </w:rPr>
      </w:pPr>
    </w:p>
    <w:p w14:paraId="0F0AD669" w14:textId="77777777" w:rsidR="00965FF8" w:rsidRPr="00965FF8" w:rsidRDefault="00965FF8" w:rsidP="00E41229">
      <w:pPr>
        <w:numPr>
          <w:ilvl w:val="0"/>
          <w:numId w:val="44"/>
        </w:numPr>
        <w:tabs>
          <w:tab w:val="left" w:pos="426"/>
          <w:tab w:val="left" w:pos="851"/>
          <w:tab w:val="left" w:pos="993"/>
        </w:tabs>
        <w:spacing w:after="0" w:line="240" w:lineRule="auto"/>
        <w:ind w:left="709" w:right="709" w:firstLine="0"/>
        <w:jc w:val="both"/>
        <w:rPr>
          <w:rFonts w:ascii="Arial" w:hAnsi="Arial" w:cs="Arial"/>
          <w:bCs/>
          <w:sz w:val="21"/>
          <w:szCs w:val="21"/>
          <w:lang w:val="es-MX"/>
        </w:rPr>
      </w:pPr>
      <w:r w:rsidRPr="00965FF8">
        <w:rPr>
          <w:rFonts w:ascii="Arial" w:hAnsi="Arial" w:cs="Arial"/>
          <w:bCs/>
          <w:sz w:val="21"/>
          <w:szCs w:val="21"/>
          <w:lang w:val="es-MX"/>
        </w:rPr>
        <w:t>El Proponente debe presentar un solo Sobre 1 para todos los lotes o grupos a los cuales radique oferta; y el Sobre 2 que contiene la oferta económica, de forma independiente para cada uno, sin perjuicio de que incluya sus ofertas económicas en un mismo sobre. En todo caso, se recomienda a los Proponentes presentar un Sobre 2 por cada lote.</w:t>
      </w:r>
    </w:p>
    <w:p w14:paraId="2DD03E41" w14:textId="77777777" w:rsidR="00965FF8" w:rsidRPr="00965FF8" w:rsidRDefault="00965FF8" w:rsidP="00E41229">
      <w:pPr>
        <w:tabs>
          <w:tab w:val="left" w:pos="426"/>
        </w:tabs>
        <w:spacing w:after="0" w:line="240" w:lineRule="auto"/>
        <w:ind w:left="709" w:right="709"/>
        <w:jc w:val="both"/>
        <w:rPr>
          <w:rFonts w:ascii="Arial" w:hAnsi="Arial" w:cs="Arial"/>
          <w:bCs/>
          <w:sz w:val="21"/>
          <w:szCs w:val="21"/>
          <w:lang w:val="es-MX"/>
        </w:rPr>
      </w:pPr>
    </w:p>
    <w:p w14:paraId="28F121BA" w14:textId="77777777" w:rsidR="00965FF8" w:rsidRPr="00965FF8" w:rsidRDefault="00965FF8" w:rsidP="00E41229">
      <w:pPr>
        <w:numPr>
          <w:ilvl w:val="0"/>
          <w:numId w:val="44"/>
        </w:numPr>
        <w:tabs>
          <w:tab w:val="left" w:pos="426"/>
          <w:tab w:val="left" w:pos="851"/>
          <w:tab w:val="left" w:pos="993"/>
        </w:tabs>
        <w:spacing w:after="0" w:line="240" w:lineRule="auto"/>
        <w:ind w:left="709" w:right="709" w:firstLine="0"/>
        <w:jc w:val="both"/>
        <w:rPr>
          <w:rFonts w:ascii="Arial" w:hAnsi="Arial" w:cs="Arial"/>
          <w:bCs/>
          <w:sz w:val="21"/>
          <w:szCs w:val="21"/>
          <w:lang w:val="es-MX"/>
        </w:rPr>
      </w:pPr>
      <w:r w:rsidRPr="00965FF8">
        <w:rPr>
          <w:rFonts w:ascii="Arial" w:hAnsi="Arial" w:cs="Arial"/>
          <w:bCs/>
          <w:sz w:val="21"/>
          <w:szCs w:val="21"/>
        </w:rPr>
        <w:t>Para acreditar la experiencia el Proponente podrá aportar mínimo uno (1) y máximo cinco (5) contratos para cada uno de los lotes o grupos o podrá allegar los mismos para todos o varios de ellos, sin perjuicio de lo previsto en las reglas de los criterios diferenciales por ser Mipyme y/o emprendimientos y empresas de mujeres en cuanto a los requisitos habilitantes relacionados con el número de contratos aportados para demostrar la experiencia solicitada. En la verificación del número de contratos frente al Presupuesto Oficial, el valor mínimo se certificará de acuerdo con al valor del Presupuesto Oficial del respectivo lote o grupo expresado en SMMLV.</w:t>
      </w:r>
    </w:p>
    <w:p w14:paraId="45A79571" w14:textId="77777777" w:rsidR="00965FF8" w:rsidRPr="00965FF8" w:rsidRDefault="00965FF8" w:rsidP="00E41229">
      <w:pPr>
        <w:tabs>
          <w:tab w:val="left" w:pos="426"/>
        </w:tabs>
        <w:spacing w:after="0" w:line="240" w:lineRule="auto"/>
        <w:ind w:left="709" w:right="709"/>
        <w:jc w:val="both"/>
        <w:rPr>
          <w:rFonts w:ascii="Arial" w:hAnsi="Arial" w:cs="Arial"/>
          <w:bCs/>
          <w:sz w:val="21"/>
          <w:szCs w:val="21"/>
          <w:lang w:val="es-MX"/>
        </w:rPr>
      </w:pPr>
    </w:p>
    <w:p w14:paraId="491CE4B8" w14:textId="77777777" w:rsidR="00965FF8" w:rsidRPr="00965FF8" w:rsidRDefault="00965FF8" w:rsidP="00E41229">
      <w:pPr>
        <w:numPr>
          <w:ilvl w:val="0"/>
          <w:numId w:val="44"/>
        </w:numPr>
        <w:tabs>
          <w:tab w:val="left" w:pos="426"/>
          <w:tab w:val="left" w:pos="993"/>
        </w:tabs>
        <w:spacing w:after="0" w:line="240" w:lineRule="auto"/>
        <w:ind w:left="709" w:right="709" w:firstLine="0"/>
        <w:jc w:val="both"/>
        <w:rPr>
          <w:rFonts w:ascii="Arial" w:hAnsi="Arial" w:cs="Arial"/>
          <w:bCs/>
          <w:sz w:val="21"/>
          <w:szCs w:val="21"/>
          <w:lang w:val="es-MX"/>
        </w:rPr>
      </w:pPr>
      <w:r w:rsidRPr="00965FF8">
        <w:rPr>
          <w:rFonts w:ascii="Arial" w:hAnsi="Arial" w:cs="Arial"/>
          <w:bCs/>
          <w:sz w:val="21"/>
          <w:szCs w:val="21"/>
          <w:lang w:val="es-MX"/>
        </w:rPr>
        <w:t>La experiencia que debe acreditar el Proponente será la establecida de forma independiente para cada lote o grupo de acuerdo con las actividades definidas en la m</w:t>
      </w:r>
      <w:bookmarkStart w:id="12" w:name="_Hlk67586576"/>
      <w:r w:rsidRPr="00965FF8">
        <w:rPr>
          <w:rFonts w:ascii="Arial" w:hAnsi="Arial" w:cs="Arial"/>
          <w:bCs/>
          <w:sz w:val="21"/>
          <w:szCs w:val="21"/>
          <w:lang w:val="es-MX"/>
        </w:rPr>
        <w:t>atriz de experiencia aplicable en el proyecto de infraestructura social</w:t>
      </w:r>
      <w:bookmarkEnd w:id="12"/>
      <w:r w:rsidRPr="00965FF8">
        <w:rPr>
          <w:rFonts w:ascii="Arial" w:hAnsi="Arial" w:cs="Arial"/>
          <w:bCs/>
          <w:sz w:val="21"/>
          <w:szCs w:val="21"/>
          <w:lang w:val="es-MX"/>
        </w:rPr>
        <w:t xml:space="preserve"> en el literal A de la sección 3.5.1. </w:t>
      </w:r>
    </w:p>
    <w:p w14:paraId="747F4A6C" w14:textId="77777777" w:rsidR="00965FF8" w:rsidRPr="00965FF8" w:rsidRDefault="00965FF8" w:rsidP="00E41229">
      <w:pPr>
        <w:tabs>
          <w:tab w:val="left" w:pos="426"/>
        </w:tabs>
        <w:spacing w:after="0" w:line="240" w:lineRule="auto"/>
        <w:ind w:left="709" w:right="709"/>
        <w:jc w:val="both"/>
        <w:rPr>
          <w:rFonts w:ascii="Arial" w:hAnsi="Arial" w:cs="Arial"/>
          <w:bCs/>
          <w:sz w:val="21"/>
          <w:szCs w:val="21"/>
          <w:lang w:val="es-MX"/>
        </w:rPr>
      </w:pPr>
    </w:p>
    <w:p w14:paraId="5256FA6F" w14:textId="77777777" w:rsidR="00965FF8" w:rsidRPr="00965FF8" w:rsidRDefault="00965FF8" w:rsidP="00E41229">
      <w:pPr>
        <w:numPr>
          <w:ilvl w:val="0"/>
          <w:numId w:val="44"/>
        </w:numPr>
        <w:tabs>
          <w:tab w:val="left" w:pos="426"/>
          <w:tab w:val="left" w:pos="709"/>
          <w:tab w:val="left" w:pos="993"/>
        </w:tabs>
        <w:spacing w:after="0" w:line="240" w:lineRule="auto"/>
        <w:ind w:left="709" w:right="709" w:firstLine="0"/>
        <w:jc w:val="both"/>
        <w:rPr>
          <w:rFonts w:ascii="Arial" w:hAnsi="Arial" w:cs="Arial"/>
          <w:bCs/>
          <w:sz w:val="21"/>
          <w:szCs w:val="21"/>
          <w:lang w:val="es-MX"/>
        </w:rPr>
      </w:pPr>
      <w:r w:rsidRPr="00965FF8">
        <w:rPr>
          <w:rFonts w:ascii="Arial" w:hAnsi="Arial" w:cs="Arial"/>
          <w:bCs/>
          <w:sz w:val="21"/>
          <w:szCs w:val="21"/>
          <w:lang w:val="es-MX"/>
        </w:rPr>
        <w:t>Los parámetros que se seguirán para establecer el orden de elegibilidad de los lotes o grupos que conforman el Proceso de Contratación será el señalado por la Entidad en el numeral 2.6.</w:t>
      </w:r>
    </w:p>
    <w:p w14:paraId="6DD24F0F" w14:textId="77777777" w:rsidR="00965FF8" w:rsidRPr="00965FF8" w:rsidRDefault="00965FF8" w:rsidP="00E41229">
      <w:pPr>
        <w:tabs>
          <w:tab w:val="left" w:pos="426"/>
        </w:tabs>
        <w:spacing w:after="0" w:line="240" w:lineRule="auto"/>
        <w:ind w:left="709" w:right="709"/>
        <w:jc w:val="both"/>
        <w:rPr>
          <w:rFonts w:ascii="Arial" w:hAnsi="Arial" w:cs="Arial"/>
          <w:bCs/>
          <w:sz w:val="21"/>
          <w:szCs w:val="21"/>
          <w:lang w:val="es-MX"/>
        </w:rPr>
      </w:pPr>
    </w:p>
    <w:p w14:paraId="382FF161" w14:textId="77777777" w:rsidR="00965FF8" w:rsidRPr="00965FF8" w:rsidRDefault="00965FF8" w:rsidP="00E41229">
      <w:pPr>
        <w:numPr>
          <w:ilvl w:val="0"/>
          <w:numId w:val="44"/>
        </w:numPr>
        <w:tabs>
          <w:tab w:val="left" w:pos="426"/>
          <w:tab w:val="left" w:pos="709"/>
          <w:tab w:val="left" w:pos="1134"/>
        </w:tabs>
        <w:spacing w:after="0" w:line="240" w:lineRule="auto"/>
        <w:ind w:left="709" w:right="709" w:firstLine="0"/>
        <w:jc w:val="both"/>
        <w:rPr>
          <w:rFonts w:ascii="Arial" w:hAnsi="Arial" w:cs="Arial"/>
          <w:bCs/>
          <w:sz w:val="21"/>
          <w:szCs w:val="21"/>
          <w:lang w:val="es-MX"/>
        </w:rPr>
      </w:pPr>
      <w:r w:rsidRPr="00965FF8">
        <w:rPr>
          <w:rFonts w:ascii="Arial" w:hAnsi="Arial" w:cs="Arial"/>
          <w:bCs/>
          <w:sz w:val="21"/>
          <w:szCs w:val="21"/>
          <w:lang w:val="es-MX"/>
        </w:rPr>
        <w:t xml:space="preserve">[Incluir cuando la Entidad no establezca la posibilidad de resultar adjudicatario de más de un lote o grupo] El Proponente seleccionado debe incluirse en los demás órdenes de elegibilidad en los cuales se encuentre </w:t>
      </w:r>
      <w:r w:rsidRPr="00965FF8">
        <w:rPr>
          <w:rFonts w:ascii="Arial" w:hAnsi="Arial" w:cs="Arial"/>
          <w:bCs/>
          <w:sz w:val="21"/>
          <w:szCs w:val="21"/>
          <w:lang w:val="es-MX"/>
        </w:rPr>
        <w:lastRenderedPageBreak/>
        <w:t xml:space="preserve">habilitado y de resultar ubicado en el primer orden de elegibilidad de estos lotes se adjudicará al Proponente que esté en el segundo orden de elegibilidad, y así sucesivamente. En aquellos eventos en los cuales no existan más Proponentes a quienes adjudicar los lotes o grupos restantes del Proceso de Contratación, se podrá adjudicar a un mismo Proponente más de dos (2) lotes o grupos, siempre y cuando cumpla con los requisitos contenidos en el Pliego de Condiciones. </w:t>
      </w:r>
    </w:p>
    <w:p w14:paraId="224BE4B1" w14:textId="77777777" w:rsidR="00965FF8" w:rsidRPr="00965FF8" w:rsidRDefault="00965FF8" w:rsidP="00E41229">
      <w:pPr>
        <w:tabs>
          <w:tab w:val="left" w:pos="426"/>
        </w:tabs>
        <w:spacing w:after="0" w:line="240" w:lineRule="auto"/>
        <w:ind w:left="709" w:right="709"/>
        <w:jc w:val="both"/>
        <w:rPr>
          <w:rFonts w:ascii="Arial" w:hAnsi="Arial" w:cs="Arial"/>
          <w:bCs/>
          <w:sz w:val="21"/>
          <w:szCs w:val="21"/>
          <w:lang w:val="es-MX"/>
        </w:rPr>
      </w:pPr>
    </w:p>
    <w:p w14:paraId="54911498" w14:textId="77777777" w:rsidR="00965FF8" w:rsidRPr="00965FF8" w:rsidRDefault="00965FF8" w:rsidP="00E41229">
      <w:pPr>
        <w:numPr>
          <w:ilvl w:val="0"/>
          <w:numId w:val="44"/>
        </w:numPr>
        <w:tabs>
          <w:tab w:val="left" w:pos="426"/>
          <w:tab w:val="left" w:pos="709"/>
          <w:tab w:val="left" w:pos="851"/>
          <w:tab w:val="left" w:pos="993"/>
        </w:tabs>
        <w:spacing w:after="0" w:line="240" w:lineRule="auto"/>
        <w:ind w:left="709" w:right="709" w:firstLine="0"/>
        <w:jc w:val="both"/>
        <w:rPr>
          <w:rFonts w:ascii="Arial" w:hAnsi="Arial" w:cs="Arial"/>
          <w:bCs/>
          <w:sz w:val="21"/>
          <w:szCs w:val="21"/>
          <w:lang w:val="es-MX"/>
        </w:rPr>
      </w:pPr>
      <w:r w:rsidRPr="00965FF8">
        <w:rPr>
          <w:rFonts w:ascii="Arial" w:hAnsi="Arial" w:cs="Arial"/>
          <w:bCs/>
          <w:sz w:val="21"/>
          <w:szCs w:val="21"/>
          <w:lang w:val="es-MX"/>
        </w:rPr>
        <w:t xml:space="preserve">[Incluir cuando la Entidad establezca la posibilidad de resultar adjudicatario de más de un lote o grupo] La Entidad verifica en la audiencia de adjudicación que el Proponente cumpla con el capital de trabajo para resultar adjudicatario de un lote o grupo adicional. </w:t>
      </w:r>
    </w:p>
    <w:p w14:paraId="5CCFF132" w14:textId="77777777" w:rsidR="00965FF8" w:rsidRPr="00965FF8" w:rsidRDefault="00965FF8" w:rsidP="00E41229">
      <w:pPr>
        <w:tabs>
          <w:tab w:val="left" w:pos="426"/>
        </w:tabs>
        <w:spacing w:after="0" w:line="240" w:lineRule="auto"/>
        <w:ind w:left="709" w:right="709"/>
        <w:jc w:val="both"/>
        <w:rPr>
          <w:rFonts w:ascii="Arial" w:hAnsi="Arial" w:cs="Arial"/>
          <w:bCs/>
          <w:sz w:val="21"/>
          <w:szCs w:val="21"/>
          <w:lang w:val="es-MX"/>
        </w:rPr>
      </w:pPr>
    </w:p>
    <w:p w14:paraId="3064ED2C" w14:textId="77777777" w:rsidR="00965FF8" w:rsidRPr="00965FF8" w:rsidRDefault="00965FF8" w:rsidP="00E41229">
      <w:pPr>
        <w:numPr>
          <w:ilvl w:val="0"/>
          <w:numId w:val="44"/>
        </w:numPr>
        <w:tabs>
          <w:tab w:val="left" w:pos="426"/>
          <w:tab w:val="left" w:pos="993"/>
        </w:tabs>
        <w:spacing w:after="0" w:line="240" w:lineRule="auto"/>
        <w:ind w:left="709" w:right="709" w:firstLine="0"/>
        <w:jc w:val="both"/>
        <w:rPr>
          <w:rFonts w:ascii="Arial" w:hAnsi="Arial" w:cs="Arial"/>
          <w:bCs/>
          <w:sz w:val="21"/>
          <w:szCs w:val="21"/>
          <w:lang w:val="es-MX"/>
        </w:rPr>
      </w:pPr>
      <w:r w:rsidRPr="00965FF8">
        <w:rPr>
          <w:rFonts w:ascii="Arial" w:hAnsi="Arial" w:cs="Arial"/>
          <w:bCs/>
          <w:sz w:val="21"/>
          <w:szCs w:val="21"/>
          <w:lang w:val="es-MX"/>
        </w:rPr>
        <w:t>[Incluir cuando la Entidad establezca la posibilidad de resultar adjudicatario de más de un lote o grupo] El Proponente deberá acreditar una capacidad residual mayor o igual a la capacidad residual del lote al cual presentó oferta o de la sumatoria de los lotes a los cuales presentó oferta. Si la capacidad residual del Proponente no es suficiente para la totalidad de los lotes a los cuales radicó una oferta, la Entidad lo habilitará únicamente en los que cumpla con la capacidad residual requerida, empezando con el lote de mayor valor en el cual radicó una oferta, y así en forma descendente.</w:t>
      </w:r>
    </w:p>
    <w:p w14:paraId="2AEB7AF1" w14:textId="77777777" w:rsidR="00965FF8" w:rsidRPr="00965FF8" w:rsidRDefault="00965FF8" w:rsidP="00E41229">
      <w:pPr>
        <w:tabs>
          <w:tab w:val="left" w:pos="426"/>
        </w:tabs>
        <w:spacing w:after="0" w:line="240" w:lineRule="auto"/>
        <w:ind w:left="709" w:right="709"/>
        <w:jc w:val="both"/>
        <w:rPr>
          <w:rFonts w:ascii="Arial" w:hAnsi="Arial" w:cs="Arial"/>
          <w:bCs/>
          <w:sz w:val="21"/>
          <w:szCs w:val="21"/>
          <w:lang w:val="es-MX"/>
        </w:rPr>
      </w:pPr>
    </w:p>
    <w:p w14:paraId="26D82DBE" w14:textId="77777777" w:rsidR="00965FF8" w:rsidRPr="00965FF8" w:rsidRDefault="00965FF8" w:rsidP="00E41229">
      <w:pPr>
        <w:numPr>
          <w:ilvl w:val="0"/>
          <w:numId w:val="44"/>
        </w:numPr>
        <w:tabs>
          <w:tab w:val="left" w:pos="426"/>
          <w:tab w:val="left" w:pos="851"/>
        </w:tabs>
        <w:spacing w:after="0" w:line="240" w:lineRule="auto"/>
        <w:ind w:left="709" w:right="709" w:firstLine="0"/>
        <w:jc w:val="both"/>
        <w:rPr>
          <w:rFonts w:ascii="Arial" w:hAnsi="Arial" w:cs="Arial"/>
          <w:bCs/>
          <w:sz w:val="21"/>
          <w:szCs w:val="21"/>
          <w:lang w:val="es-MX"/>
        </w:rPr>
      </w:pPr>
      <w:r w:rsidRPr="00965FF8">
        <w:rPr>
          <w:rFonts w:ascii="Arial" w:hAnsi="Arial" w:cs="Arial"/>
          <w:bCs/>
          <w:sz w:val="21"/>
          <w:szCs w:val="21"/>
          <w:lang w:val="es-MX"/>
        </w:rPr>
        <w:t>El Proponente debe indicar en el Formato 1 – Carta de presentación de la oferta y en el Formato 2 – Conformación de proponente plural (Formato 2A – Consorcios) (Formato 2B Uniones Temporales), el lote o lotes a los cuales presenta oferta.</w:t>
      </w:r>
    </w:p>
    <w:p w14:paraId="4E5FA2B8" w14:textId="77777777" w:rsidR="00965FF8" w:rsidRPr="00965FF8" w:rsidRDefault="00965FF8" w:rsidP="00E41229">
      <w:pPr>
        <w:tabs>
          <w:tab w:val="left" w:pos="426"/>
        </w:tabs>
        <w:spacing w:after="0" w:line="240" w:lineRule="auto"/>
        <w:ind w:left="709" w:right="709"/>
        <w:jc w:val="both"/>
        <w:rPr>
          <w:rFonts w:ascii="Arial" w:hAnsi="Arial" w:cs="Arial"/>
          <w:bCs/>
          <w:sz w:val="21"/>
          <w:szCs w:val="21"/>
          <w:lang w:val="es-MX"/>
        </w:rPr>
      </w:pPr>
    </w:p>
    <w:p w14:paraId="45F25EBC" w14:textId="77777777" w:rsidR="00965FF8" w:rsidRPr="00965FF8" w:rsidRDefault="00965FF8" w:rsidP="00E41229">
      <w:pPr>
        <w:numPr>
          <w:ilvl w:val="0"/>
          <w:numId w:val="44"/>
        </w:numPr>
        <w:tabs>
          <w:tab w:val="left" w:pos="426"/>
          <w:tab w:val="left" w:pos="709"/>
          <w:tab w:val="left" w:pos="993"/>
        </w:tabs>
        <w:spacing w:after="0" w:line="240" w:lineRule="auto"/>
        <w:ind w:left="709" w:right="709" w:firstLine="0"/>
        <w:jc w:val="both"/>
        <w:rPr>
          <w:rFonts w:ascii="Arial" w:hAnsi="Arial" w:cs="Arial"/>
          <w:bCs/>
          <w:sz w:val="21"/>
          <w:szCs w:val="21"/>
          <w:lang w:val="es-MX"/>
        </w:rPr>
      </w:pPr>
      <w:r w:rsidRPr="00965FF8">
        <w:rPr>
          <w:rFonts w:ascii="Arial" w:hAnsi="Arial" w:cs="Arial"/>
          <w:bCs/>
          <w:sz w:val="21"/>
          <w:szCs w:val="21"/>
          <w:lang w:val="es-MX"/>
        </w:rPr>
        <w:t>Para definir el método de ponderación de la oferta económica se aplicarán las reglas definidas en el numeral 4.1.4.</w:t>
      </w:r>
    </w:p>
    <w:p w14:paraId="1AFFC21A" w14:textId="4A0D64DC" w:rsidR="00525E61" w:rsidRPr="00965FF8" w:rsidRDefault="00525E61" w:rsidP="00965FF8">
      <w:pPr>
        <w:tabs>
          <w:tab w:val="left" w:pos="426"/>
        </w:tabs>
        <w:ind w:left="709" w:right="709"/>
        <w:jc w:val="both"/>
        <w:rPr>
          <w:rFonts w:ascii="Arial" w:hAnsi="Arial" w:cs="Arial"/>
          <w:bCs/>
          <w:sz w:val="21"/>
          <w:szCs w:val="21"/>
          <w:lang w:val="es-ES_tradnl"/>
        </w:rPr>
      </w:pPr>
    </w:p>
    <w:p w14:paraId="03BE0FED" w14:textId="77777777" w:rsidR="00C63DBF" w:rsidRPr="00B7032A" w:rsidRDefault="00C63DBF" w:rsidP="00E41229">
      <w:pPr>
        <w:spacing w:before="120" w:after="0" w:line="276" w:lineRule="auto"/>
        <w:ind w:firstLine="709"/>
        <w:jc w:val="both"/>
        <w:rPr>
          <w:rFonts w:ascii="Arial" w:hAnsi="Arial" w:cs="Arial"/>
          <w:shd w:val="clear" w:color="auto" w:fill="FFFFFF"/>
          <w:lang w:val="es-ES_tradnl"/>
        </w:rPr>
      </w:pPr>
      <w:r w:rsidRPr="00B7032A">
        <w:rPr>
          <w:rFonts w:ascii="Arial" w:hAnsi="Arial" w:cs="Arial"/>
          <w:shd w:val="clear" w:color="auto" w:fill="FFFFFF"/>
          <w:lang w:val="es-ES_tradnl"/>
        </w:rPr>
        <w:t xml:space="preserve">Del contenido del citado numeral, y concretamente de lo que indica el literal A, es posible deducir la idea de que la entidad estatal contratante tiene la potestad discrecional de «[…] </w:t>
      </w:r>
      <w:r w:rsidRPr="00B7032A">
        <w:rPr>
          <w:rFonts w:ascii="Arial" w:hAnsi="Arial" w:cs="Arial"/>
          <w:color w:val="000000"/>
          <w:lang w:val="es-ES_tradnl"/>
        </w:rPr>
        <w:t>señalar si es posible presentar oferta a más de un lote o grupo». Además, «Cuando lo establezca, debe indicar si es posible resultar adjudicatario de más de uno». En este sentido, la entidad puede definir si es o no posible resultar adjudicatario de más de un lote y una vez la entidad ha determinado que se podrá ser adjudicatario de más de un lote, los oferentes podrán presentar ofertas por los lotes que quieran –2, 3, 4, 5, etc.–, estando condicionados únicamente por el cumplimiento de los requisitos habilitantes. Y, de ser el caso, podrán ser adjudicatarios si se encuentran en el primer orden de elegibilidad frente a dos o más lotes.</w:t>
      </w:r>
    </w:p>
    <w:p w14:paraId="2BD06263" w14:textId="1BA01571" w:rsidR="00525E61" w:rsidRPr="00C63DBF" w:rsidRDefault="00C63DBF" w:rsidP="00E41229">
      <w:pPr>
        <w:spacing w:before="120" w:after="0" w:line="276" w:lineRule="auto"/>
        <w:ind w:firstLine="709"/>
        <w:jc w:val="both"/>
        <w:rPr>
          <w:rFonts w:ascii="Arial" w:hAnsi="Arial" w:cs="Arial"/>
          <w:color w:val="000000"/>
          <w:lang w:val="es-ES_tradnl"/>
        </w:rPr>
      </w:pPr>
      <w:r w:rsidRPr="00B7032A">
        <w:rPr>
          <w:rFonts w:ascii="Arial" w:hAnsi="Arial" w:cs="Arial"/>
          <w:shd w:val="clear" w:color="auto" w:fill="FFFFFF"/>
          <w:lang w:val="es-ES_tradnl"/>
        </w:rPr>
        <w:t>En concordancia con lo anterior, el literal G del numeral 3.3.3. del documento base establece que si el proceso de licitación pública se estructura por lotes o grupos, el documento de constitución del proponente plural debe «</w:t>
      </w:r>
      <w:r w:rsidRPr="00B7032A">
        <w:rPr>
          <w:rFonts w:ascii="Arial" w:hAnsi="Arial" w:cs="Arial"/>
          <w:color w:val="000000"/>
          <w:lang w:val="es-ES_tradnl"/>
        </w:rPr>
        <w:t xml:space="preserve">Indicar el lote o lotes a los cuales </w:t>
      </w:r>
      <w:r w:rsidRPr="00B7032A">
        <w:rPr>
          <w:rFonts w:ascii="Arial" w:hAnsi="Arial" w:cs="Arial"/>
          <w:color w:val="000000"/>
          <w:lang w:val="es-ES_tradnl"/>
        </w:rPr>
        <w:lastRenderedPageBreak/>
        <w:t>presenta oferta». Es decir, se deja a discreción del oferente indicar los lotes a los cuales presenta la oferta. Esto significa que tiene el derecho de presentarse en todos los lotes que considere conveniente, siempre que la entidad haya determinado la posibilidad de presentar oferta a más de un lote o grupo conforme el literal A del numeral 2.10</w:t>
      </w:r>
    </w:p>
    <w:p w14:paraId="5FCB599B" w14:textId="738C4266" w:rsidR="001155EE" w:rsidRPr="001155EE" w:rsidRDefault="00C63DBF" w:rsidP="00E41229">
      <w:pPr>
        <w:tabs>
          <w:tab w:val="left" w:pos="426"/>
        </w:tabs>
        <w:spacing w:before="120" w:after="0" w:line="276" w:lineRule="auto"/>
        <w:ind w:firstLine="709"/>
        <w:jc w:val="both"/>
        <w:rPr>
          <w:rFonts w:ascii="Arial" w:hAnsi="Arial" w:cs="Arial"/>
        </w:rPr>
      </w:pPr>
      <w:r>
        <w:rPr>
          <w:rFonts w:ascii="Arial" w:hAnsi="Arial" w:cs="Arial"/>
          <w:bCs/>
          <w:lang w:val="es-ES_tradnl"/>
        </w:rPr>
        <w:t>En cuanto a la acreditación de experiencia e</w:t>
      </w:r>
      <w:r w:rsidR="001155EE" w:rsidRPr="001155EE">
        <w:rPr>
          <w:rFonts w:ascii="Arial" w:hAnsi="Arial" w:cs="Arial"/>
          <w:bCs/>
          <w:lang w:val="es-ES_tradnl"/>
        </w:rPr>
        <w:t xml:space="preserve">l literal C del numeral 2.10 señala que el proponente </w:t>
      </w:r>
      <w:r w:rsidR="001155EE" w:rsidRPr="001155EE">
        <w:rPr>
          <w:rFonts w:ascii="Arial" w:hAnsi="Arial" w:cs="Arial"/>
        </w:rPr>
        <w:t xml:space="preserve">podrá aportar mínimo uno (1) y máximo cinco (5) contratos para cada uno de los lotes o grupos o podrá allegar los mismos para todos o varios de ellos, sin perjuicio de lo previsto en las reglas de los criterios diferenciales por ser Mipyme y/o emprendimientos y empresas de mujeres en cuanto a los requisitos habilitantes relacionados con el número de contratos aportados para demostrar la experiencia solicitada. En la verificación del número de contratos frente al </w:t>
      </w:r>
      <w:r w:rsidR="00E84793">
        <w:rPr>
          <w:rFonts w:ascii="Arial" w:hAnsi="Arial" w:cs="Arial"/>
        </w:rPr>
        <w:t>p</w:t>
      </w:r>
      <w:r w:rsidR="001155EE" w:rsidRPr="001155EE">
        <w:rPr>
          <w:rFonts w:ascii="Arial" w:hAnsi="Arial" w:cs="Arial"/>
        </w:rPr>
        <w:t xml:space="preserve">resupuesto </w:t>
      </w:r>
      <w:r w:rsidR="00E84793">
        <w:rPr>
          <w:rFonts w:ascii="Arial" w:hAnsi="Arial" w:cs="Arial"/>
        </w:rPr>
        <w:t>o</w:t>
      </w:r>
      <w:r w:rsidR="001155EE" w:rsidRPr="001155EE">
        <w:rPr>
          <w:rFonts w:ascii="Arial" w:hAnsi="Arial" w:cs="Arial"/>
        </w:rPr>
        <w:t xml:space="preserve">ficial, el valor mínimo se certificará de acuerdo con </w:t>
      </w:r>
      <w:r w:rsidR="000500E1">
        <w:rPr>
          <w:rFonts w:ascii="Arial" w:hAnsi="Arial" w:cs="Arial"/>
        </w:rPr>
        <w:t>e</w:t>
      </w:r>
      <w:r w:rsidR="001155EE" w:rsidRPr="001155EE">
        <w:rPr>
          <w:rFonts w:ascii="Arial" w:hAnsi="Arial" w:cs="Arial"/>
        </w:rPr>
        <w:t xml:space="preserve">l valor del </w:t>
      </w:r>
      <w:r w:rsidR="00E84793">
        <w:rPr>
          <w:rFonts w:ascii="Arial" w:hAnsi="Arial" w:cs="Arial"/>
        </w:rPr>
        <w:t>p</w:t>
      </w:r>
      <w:r w:rsidR="001155EE" w:rsidRPr="001155EE">
        <w:rPr>
          <w:rFonts w:ascii="Arial" w:hAnsi="Arial" w:cs="Arial"/>
        </w:rPr>
        <w:t xml:space="preserve">resupuesto </w:t>
      </w:r>
      <w:r w:rsidR="00E84793">
        <w:rPr>
          <w:rFonts w:ascii="Arial" w:hAnsi="Arial" w:cs="Arial"/>
        </w:rPr>
        <w:t>o</w:t>
      </w:r>
      <w:r w:rsidR="001155EE" w:rsidRPr="001155EE">
        <w:rPr>
          <w:rFonts w:ascii="Arial" w:hAnsi="Arial" w:cs="Arial"/>
        </w:rPr>
        <w:t>ficial del respectivo lote o grupo expresado en SMMLV. Asimismo, el literal D</w:t>
      </w:r>
      <w:r w:rsidR="00262A26">
        <w:rPr>
          <w:rFonts w:ascii="Arial" w:hAnsi="Arial" w:cs="Arial"/>
        </w:rPr>
        <w:t xml:space="preserve"> del numeral 2.10</w:t>
      </w:r>
      <w:r w:rsidR="001155EE" w:rsidRPr="001155EE">
        <w:rPr>
          <w:rFonts w:ascii="Arial" w:hAnsi="Arial" w:cs="Arial"/>
        </w:rPr>
        <w:t xml:space="preserve"> indica que la experiencia que debe acreditar el proponente será la establecida de forma independiente para cada lote o grupo de acuerdo con las actividades definidas en la matriz de experiencia aplicable en el proyecto de infraestructura social en el literal A de la sección 3.5.1.</w:t>
      </w:r>
    </w:p>
    <w:p w14:paraId="565CF243" w14:textId="110A2149" w:rsidR="003B2E6C" w:rsidRDefault="00C63DBF" w:rsidP="00E41229">
      <w:pPr>
        <w:spacing w:before="120" w:after="0" w:line="276" w:lineRule="auto"/>
        <w:ind w:firstLine="709"/>
        <w:jc w:val="both"/>
        <w:rPr>
          <w:rFonts w:ascii="Arial" w:hAnsi="Arial" w:cs="Arial"/>
          <w:color w:val="000000"/>
          <w:lang w:val="es-ES_tradnl"/>
        </w:rPr>
      </w:pPr>
      <w:r>
        <w:rPr>
          <w:rFonts w:ascii="Arial" w:hAnsi="Arial" w:cs="Arial"/>
          <w:color w:val="000000"/>
          <w:lang w:val="es-ES_tradnl"/>
        </w:rPr>
        <w:t xml:space="preserve">En </w:t>
      </w:r>
      <w:r w:rsidR="00262A26">
        <w:rPr>
          <w:rFonts w:ascii="Arial" w:hAnsi="Arial" w:cs="Arial"/>
          <w:color w:val="000000"/>
          <w:lang w:val="es-ES_tradnl"/>
        </w:rPr>
        <w:t>armonía</w:t>
      </w:r>
      <w:r>
        <w:rPr>
          <w:rFonts w:ascii="Arial" w:hAnsi="Arial" w:cs="Arial"/>
          <w:color w:val="000000"/>
          <w:lang w:val="es-ES_tradnl"/>
        </w:rPr>
        <w:t xml:space="preserve"> con lo </w:t>
      </w:r>
      <w:r w:rsidR="00262A26">
        <w:rPr>
          <w:rFonts w:ascii="Arial" w:hAnsi="Arial" w:cs="Arial"/>
          <w:color w:val="000000"/>
          <w:lang w:val="es-ES_tradnl"/>
        </w:rPr>
        <w:t>expuesto</w:t>
      </w:r>
      <w:r>
        <w:rPr>
          <w:rFonts w:ascii="Arial" w:hAnsi="Arial" w:cs="Arial"/>
          <w:color w:val="000000"/>
          <w:lang w:val="es-ES_tradnl"/>
        </w:rPr>
        <w:t xml:space="preserve">, </w:t>
      </w:r>
      <w:r w:rsidRPr="00B7032A">
        <w:rPr>
          <w:rFonts w:ascii="Arial" w:hAnsi="Arial" w:cs="Arial"/>
          <w:color w:val="000000"/>
          <w:lang w:val="es-ES_tradnl"/>
        </w:rPr>
        <w:t xml:space="preserve">el literal </w:t>
      </w:r>
      <w:r w:rsidR="003B2E6C">
        <w:rPr>
          <w:rFonts w:ascii="Arial" w:hAnsi="Arial" w:cs="Arial"/>
          <w:color w:val="000000"/>
          <w:lang w:val="es-ES_tradnl"/>
        </w:rPr>
        <w:t xml:space="preserve">C del numeral 3.5.1 señala que </w:t>
      </w:r>
      <w:r w:rsidRPr="00B7032A">
        <w:rPr>
          <w:rFonts w:ascii="Arial" w:hAnsi="Arial" w:cs="Arial"/>
          <w:color w:val="000000"/>
          <w:lang w:val="es-ES_tradnl"/>
        </w:rPr>
        <w:t>«</w:t>
      </w:r>
      <w:r w:rsidR="003B2E6C" w:rsidRPr="003B2E6C">
        <w:rPr>
          <w:rFonts w:ascii="Arial" w:hAnsi="Arial" w:cs="Arial"/>
          <w:color w:val="000000"/>
          <w:lang w:val="es-ES_tradnl"/>
        </w:rPr>
        <w:t>[En los procesos estructurados por lotes o por grupos, el proponente podrá aportar mínimo uno (1) y máximo cinco (5) contratos para cada uno de los lotes o grupos o podrá allegar los mismos para todos los lotes o grupos]</w:t>
      </w:r>
      <w:r w:rsidR="003B2E6C" w:rsidRPr="00B7032A">
        <w:rPr>
          <w:rFonts w:ascii="Arial" w:hAnsi="Arial" w:cs="Arial"/>
          <w:color w:val="000000"/>
          <w:lang w:val="es-ES_tradnl"/>
        </w:rPr>
        <w:t>».</w:t>
      </w:r>
      <w:r w:rsidR="00344014">
        <w:rPr>
          <w:rFonts w:ascii="Arial" w:hAnsi="Arial" w:cs="Arial"/>
          <w:color w:val="000000"/>
          <w:lang w:val="es-ES_tradnl"/>
        </w:rPr>
        <w:t xml:space="preserve"> Asimismo, el numeral 3.</w:t>
      </w:r>
      <w:r w:rsidR="00DE3B48">
        <w:rPr>
          <w:rFonts w:ascii="Arial" w:hAnsi="Arial" w:cs="Arial"/>
          <w:color w:val="000000"/>
          <w:lang w:val="es-ES_tradnl"/>
        </w:rPr>
        <w:t>5.</w:t>
      </w:r>
      <w:r w:rsidR="00344014">
        <w:rPr>
          <w:rFonts w:ascii="Arial" w:hAnsi="Arial" w:cs="Arial"/>
          <w:color w:val="000000"/>
          <w:lang w:val="es-ES_tradnl"/>
        </w:rPr>
        <w:t xml:space="preserve">7. indica que </w:t>
      </w:r>
      <w:r w:rsidR="00344014" w:rsidRPr="00B7032A">
        <w:rPr>
          <w:rFonts w:ascii="Arial" w:hAnsi="Arial" w:cs="Arial"/>
          <w:color w:val="000000"/>
          <w:lang w:val="es-ES_tradnl"/>
        </w:rPr>
        <w:t>«</w:t>
      </w:r>
      <w:r w:rsidR="00344014" w:rsidRPr="00344014">
        <w:rPr>
          <w:rFonts w:ascii="Arial" w:hAnsi="Arial" w:cs="Arial"/>
          <w:color w:val="000000"/>
          <w:lang w:val="es-ES_tradnl"/>
        </w:rPr>
        <w:t xml:space="preserve">[En los procesos estructurados por lotes o por grupos, el valor mínimo a certificar debe ser en relación con el valor del </w:t>
      </w:r>
      <w:r w:rsidR="00E84793">
        <w:rPr>
          <w:rFonts w:ascii="Arial" w:hAnsi="Arial" w:cs="Arial"/>
          <w:color w:val="000000"/>
          <w:lang w:val="es-ES_tradnl"/>
        </w:rPr>
        <w:t>p</w:t>
      </w:r>
      <w:r w:rsidR="00344014" w:rsidRPr="00344014">
        <w:rPr>
          <w:rFonts w:ascii="Arial" w:hAnsi="Arial" w:cs="Arial"/>
          <w:color w:val="000000"/>
          <w:lang w:val="es-ES_tradnl"/>
        </w:rPr>
        <w:t xml:space="preserve">resupuesto </w:t>
      </w:r>
      <w:r w:rsidR="00E84793">
        <w:rPr>
          <w:rFonts w:ascii="Arial" w:hAnsi="Arial" w:cs="Arial"/>
          <w:color w:val="000000"/>
          <w:lang w:val="es-ES_tradnl"/>
        </w:rPr>
        <w:t>o</w:t>
      </w:r>
      <w:r w:rsidR="00344014" w:rsidRPr="00344014">
        <w:rPr>
          <w:rFonts w:ascii="Arial" w:hAnsi="Arial" w:cs="Arial"/>
          <w:color w:val="000000"/>
          <w:lang w:val="es-ES_tradnl"/>
        </w:rPr>
        <w:t>ficial del respectivo lote o grupo expresado en SMMLV]</w:t>
      </w:r>
      <w:r w:rsidR="00344014" w:rsidRPr="00B7032A">
        <w:rPr>
          <w:rFonts w:ascii="Arial" w:hAnsi="Arial" w:cs="Arial"/>
          <w:color w:val="000000"/>
          <w:lang w:val="es-ES_tradnl"/>
        </w:rPr>
        <w:t>»</w:t>
      </w:r>
      <w:r w:rsidR="00344014" w:rsidRPr="00344014">
        <w:rPr>
          <w:rFonts w:ascii="Arial" w:hAnsi="Arial" w:cs="Arial"/>
          <w:color w:val="000000"/>
          <w:lang w:val="es-ES_tradnl"/>
        </w:rPr>
        <w:t>.</w:t>
      </w:r>
    </w:p>
    <w:p w14:paraId="20D610BE" w14:textId="77777777" w:rsidR="00344014" w:rsidRDefault="00344014" w:rsidP="00E41229">
      <w:pPr>
        <w:spacing w:before="120" w:after="0" w:line="276" w:lineRule="auto"/>
        <w:ind w:firstLine="709"/>
        <w:jc w:val="both"/>
        <w:rPr>
          <w:rFonts w:ascii="Arial" w:hAnsi="Arial" w:cs="Arial"/>
          <w:shd w:val="clear" w:color="auto" w:fill="FFFFFF"/>
          <w:lang w:val="es-ES_tradnl"/>
        </w:rPr>
      </w:pPr>
      <w:r w:rsidRPr="00B7032A">
        <w:rPr>
          <w:rFonts w:ascii="Arial" w:hAnsi="Arial" w:cs="Arial"/>
          <w:shd w:val="clear" w:color="auto" w:fill="FFFFFF"/>
          <w:lang w:val="es-ES_tradnl"/>
        </w:rPr>
        <w:t xml:space="preserve">De lo dicho se pueden extraer varias conclusiones. En primer lugar, de conformidad con los documentos tipo para licitación de obra pública de infraestructura social, las entidades estatales cuentan con discrecionalidad para estructurar sus procesos por lotes o grupos. En segundo lugar, habiendo optado por configurar así el procedimiento de selección, las entidades estatales igualmente tienen libertad para indicar si los proponentes pueden presentar oferta para más de un lote o grupo. En tercer lugar, una vez definido que si es posible lo anterior, las entidades estatales deben indicar si es viable que un oferente sea adjudicatario de más de un lote o grupo. En cuarto lugar, los proponentes deberán acreditar las condiciones habilitantes requeridas para cada uno de los lotes a los que se presente, teniendo en cuenta los requisitos establecidos por la entidad en el pliego de condiciones. </w:t>
      </w:r>
      <w:r>
        <w:rPr>
          <w:rFonts w:ascii="Arial" w:hAnsi="Arial" w:cs="Arial"/>
          <w:shd w:val="clear" w:color="auto" w:fill="FFFFFF"/>
          <w:lang w:val="es-ES_tradnl"/>
        </w:rPr>
        <w:t xml:space="preserve">En quinto lugar, la verificación de la experiencia solicitada se realiza de forma independiente para cada lote o grupo al que se presente el proponente. </w:t>
      </w:r>
    </w:p>
    <w:p w14:paraId="1199EC6D" w14:textId="77777777" w:rsidR="0076260A" w:rsidRDefault="00344014" w:rsidP="00E41229">
      <w:pPr>
        <w:spacing w:before="120" w:after="0" w:line="276" w:lineRule="auto"/>
        <w:ind w:firstLine="709"/>
        <w:jc w:val="both"/>
        <w:rPr>
          <w:rFonts w:ascii="Arial" w:hAnsi="Arial" w:cs="Arial"/>
          <w:bCs/>
          <w:lang w:val="es-ES_tradnl"/>
        </w:rPr>
      </w:pPr>
      <w:r>
        <w:rPr>
          <w:rFonts w:ascii="Arial" w:hAnsi="Arial" w:cs="Arial"/>
          <w:shd w:val="clear" w:color="auto" w:fill="FFFFFF"/>
          <w:lang w:val="es-ES_tradnl"/>
        </w:rPr>
        <w:t xml:space="preserve">De esta manera, </w:t>
      </w:r>
      <w:r w:rsidR="00DE3B48">
        <w:rPr>
          <w:rFonts w:ascii="Arial" w:hAnsi="Arial" w:cs="Arial"/>
          <w:shd w:val="clear" w:color="auto" w:fill="FFFFFF"/>
          <w:lang w:val="es-ES_tradnl"/>
        </w:rPr>
        <w:t xml:space="preserve">para efectos de la acreditación de experiencia </w:t>
      </w:r>
      <w:r w:rsidR="001E62E9">
        <w:rPr>
          <w:rFonts w:ascii="Arial" w:hAnsi="Arial" w:cs="Arial"/>
          <w:shd w:val="clear" w:color="auto" w:fill="FFFFFF"/>
          <w:lang w:val="es-ES_tradnl"/>
        </w:rPr>
        <w:t>en los procesos estructurados por lote</w:t>
      </w:r>
      <w:r w:rsidR="00262A26">
        <w:rPr>
          <w:rFonts w:ascii="Arial" w:hAnsi="Arial" w:cs="Arial"/>
          <w:shd w:val="clear" w:color="auto" w:fill="FFFFFF"/>
          <w:lang w:val="es-ES_tradnl"/>
        </w:rPr>
        <w:t xml:space="preserve"> o grupos</w:t>
      </w:r>
      <w:r w:rsidR="001E62E9">
        <w:rPr>
          <w:rFonts w:ascii="Arial" w:hAnsi="Arial" w:cs="Arial"/>
          <w:shd w:val="clear" w:color="auto" w:fill="FFFFFF"/>
          <w:lang w:val="es-ES_tradnl"/>
        </w:rPr>
        <w:t xml:space="preserve"> </w:t>
      </w:r>
      <w:r w:rsidR="001155EE" w:rsidRPr="001155EE">
        <w:rPr>
          <w:rFonts w:ascii="Arial" w:hAnsi="Arial" w:cs="Arial"/>
        </w:rPr>
        <w:t xml:space="preserve">el proponente podrá aportar el número máximo de contratos </w:t>
      </w:r>
      <w:r w:rsidR="001155EE" w:rsidRPr="001155EE">
        <w:rPr>
          <w:rFonts w:ascii="Arial" w:hAnsi="Arial" w:cs="Arial"/>
        </w:rPr>
        <w:lastRenderedPageBreak/>
        <w:t xml:space="preserve">permitidos para cada uno de los lotes </w:t>
      </w:r>
      <w:r w:rsidR="00BC762B">
        <w:rPr>
          <w:rFonts w:ascii="Arial" w:hAnsi="Arial" w:cs="Arial"/>
        </w:rPr>
        <w:t xml:space="preserve">o grupos </w:t>
      </w:r>
      <w:r w:rsidR="001155EE" w:rsidRPr="001155EE">
        <w:rPr>
          <w:rFonts w:ascii="Arial" w:hAnsi="Arial" w:cs="Arial"/>
        </w:rPr>
        <w:t>a los que se presente</w:t>
      </w:r>
      <w:r w:rsidR="00DE3B48">
        <w:rPr>
          <w:rFonts w:ascii="Arial" w:hAnsi="Arial" w:cs="Arial"/>
        </w:rPr>
        <w:t>,</w:t>
      </w:r>
      <w:r w:rsidR="001155EE" w:rsidRPr="001155EE">
        <w:rPr>
          <w:rFonts w:ascii="Arial" w:hAnsi="Arial" w:cs="Arial"/>
          <w:bCs/>
          <w:lang w:val="es-ES_tradnl"/>
        </w:rPr>
        <w:t xml:space="preserve"> es decir, podrá allegar</w:t>
      </w:r>
      <w:r w:rsidR="00A52CC5">
        <w:rPr>
          <w:rFonts w:ascii="Arial" w:hAnsi="Arial" w:cs="Arial"/>
          <w:bCs/>
          <w:lang w:val="es-ES_tradnl"/>
        </w:rPr>
        <w:t xml:space="preserve"> hasta </w:t>
      </w:r>
      <w:r w:rsidR="001155EE" w:rsidRPr="001155EE">
        <w:rPr>
          <w:rFonts w:ascii="Arial" w:hAnsi="Arial" w:cs="Arial"/>
          <w:bCs/>
          <w:lang w:val="es-ES_tradnl"/>
        </w:rPr>
        <w:t>5 contratos</w:t>
      </w:r>
      <w:r w:rsidR="00BC762B">
        <w:rPr>
          <w:rFonts w:ascii="Arial" w:hAnsi="Arial" w:cs="Arial"/>
          <w:bCs/>
          <w:lang w:val="es-ES_tradnl"/>
        </w:rPr>
        <w:t xml:space="preserve"> para cada </w:t>
      </w:r>
      <w:r w:rsidR="00A52CC5">
        <w:rPr>
          <w:rFonts w:ascii="Arial" w:hAnsi="Arial" w:cs="Arial"/>
          <w:bCs/>
          <w:lang w:val="es-ES_tradnl"/>
        </w:rPr>
        <w:t>lote</w:t>
      </w:r>
      <w:r w:rsidR="001155EE" w:rsidRPr="001155EE">
        <w:rPr>
          <w:rFonts w:ascii="Arial" w:hAnsi="Arial" w:cs="Arial"/>
          <w:bCs/>
          <w:lang w:val="es-ES_tradnl"/>
        </w:rPr>
        <w:t>, sin perjuicio de las reglas sobre la acreditación de Mipyme y emprendimiento y empresas de mujeres.</w:t>
      </w:r>
      <w:r w:rsidR="00F353FF">
        <w:rPr>
          <w:rFonts w:ascii="Arial" w:hAnsi="Arial" w:cs="Arial"/>
          <w:bCs/>
          <w:lang w:val="es-ES_tradnl"/>
        </w:rPr>
        <w:t xml:space="preserve"> </w:t>
      </w:r>
      <w:r w:rsidR="00A52CC5">
        <w:rPr>
          <w:rFonts w:ascii="Arial" w:hAnsi="Arial" w:cs="Arial"/>
          <w:bCs/>
          <w:lang w:val="es-ES_tradnl"/>
        </w:rPr>
        <w:t>T</w:t>
      </w:r>
      <w:r w:rsidR="001155EE" w:rsidRPr="001155EE">
        <w:rPr>
          <w:rFonts w:ascii="Arial" w:hAnsi="Arial" w:cs="Arial"/>
          <w:bCs/>
          <w:lang w:val="es-ES_tradnl"/>
        </w:rPr>
        <w:t xml:space="preserve">ambién podrá </w:t>
      </w:r>
      <w:r w:rsidR="00993158">
        <w:rPr>
          <w:rFonts w:ascii="Arial" w:hAnsi="Arial" w:cs="Arial"/>
          <w:bCs/>
          <w:lang w:val="es-ES_tradnl"/>
        </w:rPr>
        <w:t>optar por allegar</w:t>
      </w:r>
      <w:r w:rsidR="001155EE" w:rsidRPr="001155EE">
        <w:rPr>
          <w:rFonts w:ascii="Arial" w:hAnsi="Arial" w:cs="Arial"/>
          <w:bCs/>
          <w:lang w:val="es-ES_tradnl"/>
        </w:rPr>
        <w:t xml:space="preserve"> el mismo o varios contrato</w:t>
      </w:r>
      <w:r w:rsidR="00002AA7">
        <w:rPr>
          <w:rFonts w:ascii="Arial" w:hAnsi="Arial" w:cs="Arial"/>
          <w:bCs/>
          <w:lang w:val="es-ES_tradnl"/>
        </w:rPr>
        <w:t>s</w:t>
      </w:r>
      <w:r w:rsidR="001155EE" w:rsidRPr="001155EE">
        <w:rPr>
          <w:rFonts w:ascii="Arial" w:hAnsi="Arial" w:cs="Arial"/>
          <w:bCs/>
          <w:lang w:val="es-ES_tradnl"/>
        </w:rPr>
        <w:t xml:space="preserve"> para todos o varios de los lotes o grupos, lo que significa que el contrato que aportó para un lote también podrá</w:t>
      </w:r>
      <w:r w:rsidR="00BC1862">
        <w:rPr>
          <w:rFonts w:ascii="Arial" w:hAnsi="Arial" w:cs="Arial"/>
          <w:bCs/>
          <w:lang w:val="es-ES_tradnl"/>
        </w:rPr>
        <w:t xml:space="preserve"> </w:t>
      </w:r>
      <w:r w:rsidR="001155EE" w:rsidRPr="001155EE">
        <w:rPr>
          <w:rFonts w:ascii="Arial" w:hAnsi="Arial" w:cs="Arial"/>
          <w:bCs/>
          <w:lang w:val="es-ES_tradnl"/>
        </w:rPr>
        <w:t xml:space="preserve">acreditar la experiencia respecto de otro lote o grupo, siempre </w:t>
      </w:r>
      <w:r w:rsidR="0076522C">
        <w:rPr>
          <w:rFonts w:ascii="Arial" w:hAnsi="Arial" w:cs="Arial"/>
          <w:bCs/>
          <w:lang w:val="es-ES_tradnl"/>
        </w:rPr>
        <w:t xml:space="preserve">que </w:t>
      </w:r>
      <w:r w:rsidR="001155EE" w:rsidRPr="001155EE">
        <w:rPr>
          <w:rFonts w:ascii="Arial" w:hAnsi="Arial" w:cs="Arial"/>
          <w:bCs/>
          <w:lang w:val="es-ES_tradnl"/>
        </w:rPr>
        <w:t>cumpla con los requisitos</w:t>
      </w:r>
      <w:r w:rsidR="00DE3B48">
        <w:rPr>
          <w:rFonts w:ascii="Arial" w:hAnsi="Arial" w:cs="Arial"/>
          <w:bCs/>
          <w:lang w:val="es-ES_tradnl"/>
        </w:rPr>
        <w:t xml:space="preserve"> de experiencia</w:t>
      </w:r>
      <w:r w:rsidR="0076522C">
        <w:rPr>
          <w:rFonts w:ascii="Arial" w:hAnsi="Arial" w:cs="Arial"/>
          <w:bCs/>
          <w:lang w:val="es-ES_tradnl"/>
        </w:rPr>
        <w:t xml:space="preserve"> general y especifica</w:t>
      </w:r>
      <w:r w:rsidR="001155EE" w:rsidRPr="001155EE">
        <w:rPr>
          <w:rFonts w:ascii="Arial" w:hAnsi="Arial" w:cs="Arial"/>
          <w:bCs/>
          <w:lang w:val="es-ES_tradnl"/>
        </w:rPr>
        <w:t xml:space="preserve"> exigidos para cada uno de</w:t>
      </w:r>
      <w:r w:rsidR="0076522C">
        <w:rPr>
          <w:rFonts w:ascii="Arial" w:hAnsi="Arial" w:cs="Arial"/>
          <w:bCs/>
          <w:lang w:val="es-ES_tradnl"/>
        </w:rPr>
        <w:t xml:space="preserve"> ellos</w:t>
      </w:r>
      <w:r w:rsidR="001155EE" w:rsidRPr="001155EE">
        <w:rPr>
          <w:rFonts w:ascii="Arial" w:hAnsi="Arial" w:cs="Arial"/>
          <w:bCs/>
          <w:lang w:val="es-ES_tradnl"/>
        </w:rPr>
        <w:t>.</w:t>
      </w:r>
      <w:r w:rsidR="00993158">
        <w:rPr>
          <w:rFonts w:ascii="Arial" w:hAnsi="Arial" w:cs="Arial"/>
          <w:bCs/>
          <w:lang w:val="es-ES_tradnl"/>
        </w:rPr>
        <w:t xml:space="preserve"> </w:t>
      </w:r>
    </w:p>
    <w:p w14:paraId="1E23625F" w14:textId="20F729FA" w:rsidR="00285624" w:rsidRDefault="00993158" w:rsidP="00E41229">
      <w:pPr>
        <w:spacing w:before="120" w:after="0" w:line="276" w:lineRule="auto"/>
        <w:ind w:firstLine="709"/>
        <w:jc w:val="both"/>
        <w:rPr>
          <w:rFonts w:ascii="Arial" w:hAnsi="Arial" w:cs="Arial"/>
          <w:bCs/>
          <w:lang w:val="es-ES_tradnl"/>
        </w:rPr>
      </w:pPr>
      <w:r>
        <w:rPr>
          <w:rFonts w:ascii="Arial" w:hAnsi="Arial" w:cs="Arial"/>
          <w:bCs/>
          <w:lang w:val="es-ES_tradnl"/>
        </w:rPr>
        <w:t>En todo caso</w:t>
      </w:r>
      <w:r w:rsidR="001155EE" w:rsidRPr="001155EE">
        <w:rPr>
          <w:rFonts w:ascii="Arial" w:hAnsi="Arial" w:cs="Arial"/>
          <w:bCs/>
          <w:lang w:val="es-ES_tradnl"/>
        </w:rPr>
        <w:t>, debe tenerse en cuenta que el número de contratos que a</w:t>
      </w:r>
      <w:r w:rsidR="0076522C">
        <w:rPr>
          <w:rFonts w:ascii="Arial" w:hAnsi="Arial" w:cs="Arial"/>
          <w:bCs/>
          <w:lang w:val="es-ES_tradnl"/>
        </w:rPr>
        <w:t>porte</w:t>
      </w:r>
      <w:r>
        <w:rPr>
          <w:rFonts w:ascii="Arial" w:hAnsi="Arial" w:cs="Arial"/>
          <w:bCs/>
          <w:lang w:val="es-ES_tradnl"/>
        </w:rPr>
        <w:t xml:space="preserve"> para cada lote o grupo</w:t>
      </w:r>
      <w:r w:rsidR="00285624">
        <w:rPr>
          <w:rFonts w:ascii="Arial" w:hAnsi="Arial" w:cs="Arial"/>
          <w:bCs/>
          <w:lang w:val="es-ES_tradnl"/>
        </w:rPr>
        <w:t xml:space="preserve"> </w:t>
      </w:r>
      <w:r w:rsidR="001155EE" w:rsidRPr="001155EE">
        <w:rPr>
          <w:rFonts w:ascii="Arial" w:hAnsi="Arial" w:cs="Arial"/>
          <w:bCs/>
          <w:lang w:val="es-ES_tradnl"/>
        </w:rPr>
        <w:t xml:space="preserve">impacta en relación con el valor </w:t>
      </w:r>
      <w:r w:rsidR="00285624" w:rsidRPr="00344014">
        <w:rPr>
          <w:rFonts w:ascii="Arial" w:hAnsi="Arial" w:cs="Arial"/>
          <w:color w:val="000000"/>
          <w:lang w:val="es-ES_tradnl"/>
        </w:rPr>
        <w:t>mínimo a certificar</w:t>
      </w:r>
      <w:r w:rsidR="00285624">
        <w:rPr>
          <w:rFonts w:ascii="Arial" w:hAnsi="Arial" w:cs="Arial"/>
          <w:color w:val="000000"/>
          <w:lang w:val="es-ES_tradnl"/>
        </w:rPr>
        <w:t xml:space="preserve"> que debe ser</w:t>
      </w:r>
      <w:r w:rsidR="00285624" w:rsidRPr="00344014">
        <w:rPr>
          <w:rFonts w:ascii="Arial" w:hAnsi="Arial" w:cs="Arial"/>
          <w:color w:val="000000"/>
          <w:lang w:val="es-ES_tradnl"/>
        </w:rPr>
        <w:t xml:space="preserve"> en relación con el valor del </w:t>
      </w:r>
      <w:r w:rsidR="00E84793">
        <w:rPr>
          <w:rFonts w:ascii="Arial" w:hAnsi="Arial" w:cs="Arial"/>
          <w:color w:val="000000"/>
          <w:lang w:val="es-ES_tradnl"/>
        </w:rPr>
        <w:t>p</w:t>
      </w:r>
      <w:r w:rsidR="00285624" w:rsidRPr="00344014">
        <w:rPr>
          <w:rFonts w:ascii="Arial" w:hAnsi="Arial" w:cs="Arial"/>
          <w:color w:val="000000"/>
          <w:lang w:val="es-ES_tradnl"/>
        </w:rPr>
        <w:t xml:space="preserve">resupuesto </w:t>
      </w:r>
      <w:r w:rsidR="00E84793">
        <w:rPr>
          <w:rFonts w:ascii="Arial" w:hAnsi="Arial" w:cs="Arial"/>
          <w:color w:val="000000"/>
          <w:lang w:val="es-ES_tradnl"/>
        </w:rPr>
        <w:t>o</w:t>
      </w:r>
      <w:r w:rsidR="00285624" w:rsidRPr="00344014">
        <w:rPr>
          <w:rFonts w:ascii="Arial" w:hAnsi="Arial" w:cs="Arial"/>
          <w:color w:val="000000"/>
          <w:lang w:val="es-ES_tradnl"/>
        </w:rPr>
        <w:t>ficial del respectivo lote o grupo</w:t>
      </w:r>
      <w:r w:rsidR="00285624">
        <w:rPr>
          <w:rFonts w:ascii="Arial" w:hAnsi="Arial" w:cs="Arial"/>
          <w:color w:val="000000"/>
          <w:lang w:val="es-ES_tradnl"/>
        </w:rPr>
        <w:t xml:space="preserve"> </w:t>
      </w:r>
      <w:r w:rsidR="001155EE" w:rsidRPr="001155EE">
        <w:rPr>
          <w:rFonts w:ascii="Arial" w:hAnsi="Arial" w:cs="Arial"/>
          <w:bCs/>
          <w:lang w:val="es-ES_tradnl"/>
        </w:rPr>
        <w:t>expresado en SMMLV de acuerdo con la tabla establecida en el numeral 3.5.7 del documento base</w:t>
      </w:r>
      <w:bookmarkStart w:id="13" w:name="_Hlk113872595"/>
      <w:r w:rsidR="001155EE" w:rsidRPr="001155EE">
        <w:rPr>
          <w:rFonts w:ascii="Arial" w:hAnsi="Arial" w:cs="Arial"/>
          <w:bCs/>
          <w:lang w:val="es-ES_tradnl"/>
        </w:rPr>
        <w:t xml:space="preserve">. </w:t>
      </w:r>
      <w:r w:rsidR="0076260A">
        <w:rPr>
          <w:rFonts w:ascii="Arial" w:eastAsiaTheme="minorHAnsi" w:hAnsi="Arial" w:cs="Arial"/>
          <w:bCs/>
          <w:lang w:val="es-MX"/>
        </w:rPr>
        <w:t xml:space="preserve">Por ejemplo, </w:t>
      </w:r>
      <w:r w:rsidR="0076260A" w:rsidRPr="00194458">
        <w:rPr>
          <w:rFonts w:ascii="Arial" w:eastAsiaTheme="minorHAnsi" w:hAnsi="Arial" w:cs="Arial"/>
          <w:bCs/>
          <w:lang w:val="es-MX"/>
        </w:rPr>
        <w:t>quienes acrediten la experiencia</w:t>
      </w:r>
      <w:r w:rsidR="00626F62">
        <w:rPr>
          <w:rFonts w:ascii="Arial" w:eastAsiaTheme="minorHAnsi" w:hAnsi="Arial" w:cs="Arial"/>
          <w:bCs/>
          <w:lang w:val="es-MX"/>
        </w:rPr>
        <w:t xml:space="preserve"> de un lote</w:t>
      </w:r>
      <w:r w:rsidR="0076260A" w:rsidRPr="00194458">
        <w:rPr>
          <w:rFonts w:ascii="Arial" w:eastAsiaTheme="minorHAnsi" w:hAnsi="Arial" w:cs="Arial"/>
          <w:bCs/>
          <w:lang w:val="es-MX"/>
        </w:rPr>
        <w:t xml:space="preserve"> mediante 1 ó 2 contratos, la sumatoria de los valores ejecutados </w:t>
      </w:r>
      <w:r w:rsidR="0076260A" w:rsidRPr="006E0DFD">
        <w:rPr>
          <w:rFonts w:ascii="Arial" w:eastAsiaTheme="minorHAnsi" w:hAnsi="Arial" w:cs="Arial"/>
          <w:bCs/>
          <w:lang w:val="es-MX"/>
        </w:rPr>
        <w:t>debe ser superior al 75% del valor del presupuesto oficial de obra expresado en SMMLV</w:t>
      </w:r>
      <w:r w:rsidR="0076260A">
        <w:rPr>
          <w:rFonts w:ascii="Arial" w:eastAsiaTheme="minorHAnsi" w:hAnsi="Arial" w:cs="Arial"/>
          <w:bCs/>
          <w:lang w:val="es-MX"/>
        </w:rPr>
        <w:t xml:space="preserve"> del lote respectivo, independientemente que se presente a más de un lote. </w:t>
      </w:r>
    </w:p>
    <w:bookmarkEnd w:id="13"/>
    <w:p w14:paraId="225C41A1" w14:textId="5ECC63A3" w:rsidR="00B9710A" w:rsidRDefault="001155EE" w:rsidP="00E41229">
      <w:pPr>
        <w:tabs>
          <w:tab w:val="left" w:pos="426"/>
        </w:tabs>
        <w:spacing w:before="120" w:after="0" w:line="276" w:lineRule="auto"/>
        <w:ind w:firstLine="709"/>
        <w:jc w:val="both"/>
        <w:rPr>
          <w:rFonts w:ascii="Arial" w:hAnsi="Arial" w:cs="Arial"/>
          <w:bCs/>
        </w:rPr>
      </w:pPr>
      <w:r w:rsidRPr="001155EE">
        <w:rPr>
          <w:rFonts w:ascii="Arial" w:hAnsi="Arial" w:cs="Arial"/>
          <w:bCs/>
        </w:rPr>
        <w:t xml:space="preserve">En este sentido, en el evento </w:t>
      </w:r>
      <w:r w:rsidR="00BC762B">
        <w:rPr>
          <w:rFonts w:ascii="Arial" w:hAnsi="Arial" w:cs="Arial"/>
          <w:bCs/>
        </w:rPr>
        <w:t>en que el proponente opte por</w:t>
      </w:r>
      <w:r w:rsidRPr="001155EE">
        <w:rPr>
          <w:rFonts w:ascii="Arial" w:hAnsi="Arial" w:cs="Arial"/>
          <w:bCs/>
        </w:rPr>
        <w:t xml:space="preserve"> </w:t>
      </w:r>
      <w:r w:rsidR="00BC762B">
        <w:rPr>
          <w:rFonts w:ascii="Arial" w:hAnsi="Arial" w:cs="Arial"/>
          <w:bCs/>
        </w:rPr>
        <w:t xml:space="preserve">presentar </w:t>
      </w:r>
      <w:r w:rsidRPr="001155EE">
        <w:rPr>
          <w:rFonts w:ascii="Arial" w:hAnsi="Arial" w:cs="Arial"/>
          <w:bCs/>
        </w:rPr>
        <w:t>un contrato para varios lotes</w:t>
      </w:r>
      <w:r w:rsidR="00002AA7">
        <w:rPr>
          <w:rFonts w:ascii="Arial" w:hAnsi="Arial" w:cs="Arial"/>
          <w:bCs/>
        </w:rPr>
        <w:t xml:space="preserve"> o grupos</w:t>
      </w:r>
      <w:r w:rsidRPr="001155EE">
        <w:rPr>
          <w:rFonts w:ascii="Arial" w:hAnsi="Arial" w:cs="Arial"/>
          <w:bCs/>
        </w:rPr>
        <w:t>, dicho contrato deberá ser verificado</w:t>
      </w:r>
      <w:r w:rsidR="00C1680E">
        <w:rPr>
          <w:rFonts w:ascii="Arial" w:hAnsi="Arial" w:cs="Arial"/>
          <w:bCs/>
        </w:rPr>
        <w:t xml:space="preserve"> de forma </w:t>
      </w:r>
      <w:r w:rsidR="00C1680E" w:rsidRPr="001155EE">
        <w:rPr>
          <w:rFonts w:ascii="Arial" w:hAnsi="Arial" w:cs="Arial"/>
          <w:bCs/>
        </w:rPr>
        <w:t>independiente</w:t>
      </w:r>
      <w:r w:rsidRPr="001155EE">
        <w:rPr>
          <w:rFonts w:ascii="Arial" w:hAnsi="Arial" w:cs="Arial"/>
          <w:bCs/>
        </w:rPr>
        <w:t xml:space="preserve"> en cada lote en relación con los requisitos de experiencia exigidos para cada uno de ellos</w:t>
      </w:r>
      <w:r w:rsidR="00B2450F">
        <w:rPr>
          <w:rFonts w:ascii="Arial" w:hAnsi="Arial" w:cs="Arial"/>
          <w:bCs/>
        </w:rPr>
        <w:t xml:space="preserve"> y teniendo en cuenta </w:t>
      </w:r>
      <w:r w:rsidR="00B2450F" w:rsidRPr="00B2450F">
        <w:rPr>
          <w:rFonts w:ascii="Arial" w:hAnsi="Arial" w:cs="Arial"/>
          <w:bCs/>
        </w:rPr>
        <w:t xml:space="preserve">el número </w:t>
      </w:r>
      <w:r w:rsidR="00C1680E">
        <w:rPr>
          <w:rFonts w:ascii="Arial" w:hAnsi="Arial" w:cs="Arial"/>
          <w:bCs/>
        </w:rPr>
        <w:t xml:space="preserve">total </w:t>
      </w:r>
      <w:r w:rsidR="00B2450F" w:rsidRPr="00B2450F">
        <w:rPr>
          <w:rFonts w:ascii="Arial" w:hAnsi="Arial" w:cs="Arial"/>
          <w:bCs/>
        </w:rPr>
        <w:t xml:space="preserve">de contratos presentados en el respectivo lote con el fin de establecer el </w:t>
      </w:r>
      <w:r w:rsidR="00B2450F">
        <w:rPr>
          <w:rFonts w:ascii="Arial" w:hAnsi="Arial" w:cs="Arial"/>
          <w:bCs/>
        </w:rPr>
        <w:t xml:space="preserve">valor mínimo a certificar. </w:t>
      </w:r>
      <w:r w:rsidR="00002AA7">
        <w:rPr>
          <w:rFonts w:ascii="Arial" w:hAnsi="Arial" w:cs="Arial"/>
          <w:bCs/>
        </w:rPr>
        <w:t xml:space="preserve">En otras palabras, </w:t>
      </w:r>
      <w:r w:rsidRPr="001155EE">
        <w:rPr>
          <w:rFonts w:ascii="Arial" w:hAnsi="Arial" w:cs="Arial"/>
          <w:bCs/>
        </w:rPr>
        <w:t>cada lote será evaluado de forma independiente siendo indiferente si el contrato presentado se aportó para uno o varios lotes. Ello es así pues</w:t>
      </w:r>
      <w:r w:rsidR="00002AA7">
        <w:rPr>
          <w:rFonts w:ascii="Arial" w:hAnsi="Arial" w:cs="Arial"/>
          <w:bCs/>
        </w:rPr>
        <w:t>, como se e</w:t>
      </w:r>
      <w:r w:rsidR="00B2450F">
        <w:rPr>
          <w:rFonts w:ascii="Arial" w:hAnsi="Arial" w:cs="Arial"/>
          <w:bCs/>
        </w:rPr>
        <w:t>xpuso</w:t>
      </w:r>
      <w:r w:rsidR="00002AA7">
        <w:rPr>
          <w:rFonts w:ascii="Arial" w:hAnsi="Arial" w:cs="Arial"/>
          <w:bCs/>
        </w:rPr>
        <w:t>,</w:t>
      </w:r>
      <w:r w:rsidR="00B2450F">
        <w:rPr>
          <w:rFonts w:ascii="Arial" w:hAnsi="Arial" w:cs="Arial"/>
          <w:bCs/>
        </w:rPr>
        <w:t xml:space="preserve"> </w:t>
      </w:r>
      <w:r w:rsidRPr="001155EE">
        <w:rPr>
          <w:rFonts w:ascii="Arial" w:hAnsi="Arial" w:cs="Arial"/>
          <w:bCs/>
        </w:rPr>
        <w:t>las reglas de experiencia para procesos estructurados en lote</w:t>
      </w:r>
      <w:r w:rsidR="00002AA7">
        <w:rPr>
          <w:rFonts w:ascii="Arial" w:hAnsi="Arial" w:cs="Arial"/>
          <w:bCs/>
        </w:rPr>
        <w:t>s o grupos</w:t>
      </w:r>
      <w:r w:rsidR="001A7FBE">
        <w:rPr>
          <w:rFonts w:ascii="Arial" w:hAnsi="Arial" w:cs="Arial"/>
          <w:bCs/>
        </w:rPr>
        <w:t xml:space="preserve"> en el documento base</w:t>
      </w:r>
      <w:r w:rsidRPr="001155EE">
        <w:rPr>
          <w:rFonts w:ascii="Arial" w:hAnsi="Arial" w:cs="Arial"/>
          <w:bCs/>
        </w:rPr>
        <w:t xml:space="preserve"> </w:t>
      </w:r>
      <w:r w:rsidR="00511142">
        <w:rPr>
          <w:rFonts w:ascii="Arial" w:hAnsi="Arial" w:cs="Arial"/>
          <w:bCs/>
        </w:rPr>
        <w:t xml:space="preserve">determinan </w:t>
      </w:r>
      <w:r w:rsidRPr="001155EE">
        <w:rPr>
          <w:rFonts w:ascii="Arial" w:hAnsi="Arial" w:cs="Arial"/>
          <w:bCs/>
        </w:rPr>
        <w:t xml:space="preserve">que su </w:t>
      </w:r>
      <w:r w:rsidR="003B7413">
        <w:rPr>
          <w:rFonts w:ascii="Arial" w:hAnsi="Arial" w:cs="Arial"/>
          <w:bCs/>
        </w:rPr>
        <w:t>acreditación</w:t>
      </w:r>
      <w:r w:rsidRPr="001155EE">
        <w:rPr>
          <w:rFonts w:ascii="Arial" w:hAnsi="Arial" w:cs="Arial"/>
          <w:bCs/>
        </w:rPr>
        <w:t xml:space="preserve"> se realizará respecto de cada lote o grupo </w:t>
      </w:r>
      <w:bookmarkStart w:id="14" w:name="_Hlk113874301"/>
      <w:r w:rsidR="0076260A">
        <w:rPr>
          <w:rFonts w:ascii="Arial" w:hAnsi="Arial" w:cs="Arial"/>
          <w:bCs/>
        </w:rPr>
        <w:t>y</w:t>
      </w:r>
      <w:r w:rsidR="0076260A" w:rsidRPr="001155EE">
        <w:rPr>
          <w:rFonts w:ascii="Arial" w:hAnsi="Arial" w:cs="Arial"/>
          <w:bCs/>
        </w:rPr>
        <w:t xml:space="preserve"> </w:t>
      </w:r>
      <w:r w:rsidR="0076260A" w:rsidRPr="00344014">
        <w:rPr>
          <w:rFonts w:ascii="Arial" w:hAnsi="Arial" w:cs="Arial"/>
          <w:color w:val="000000"/>
          <w:lang w:val="es-ES_tradnl"/>
        </w:rPr>
        <w:t>el valor mínimo a certificar debe ser en relación con el valor del Presupuesto Oficial del respectivo lote o grupo expresado en SMMLV</w:t>
      </w:r>
      <w:r w:rsidR="0076260A">
        <w:rPr>
          <w:rFonts w:ascii="Arial" w:hAnsi="Arial" w:cs="Arial"/>
          <w:color w:val="000000"/>
          <w:lang w:val="es-ES_tradnl"/>
        </w:rPr>
        <w:t xml:space="preserve">, </w:t>
      </w:r>
      <w:bookmarkEnd w:id="14"/>
      <w:r w:rsidR="00F43222" w:rsidRPr="008E23A5">
        <w:rPr>
          <w:rFonts w:ascii="Arial" w:hAnsi="Arial" w:cs="Arial"/>
          <w:bCs/>
        </w:rPr>
        <w:t>sin que haya lugar a exigir la sumatoria de</w:t>
      </w:r>
      <w:r w:rsidR="00F43222">
        <w:rPr>
          <w:rFonts w:ascii="Arial" w:hAnsi="Arial" w:cs="Arial"/>
          <w:bCs/>
        </w:rPr>
        <w:t>l valor de todos los</w:t>
      </w:r>
      <w:r w:rsidR="00F43222" w:rsidRPr="008E23A5">
        <w:rPr>
          <w:rFonts w:ascii="Arial" w:hAnsi="Arial" w:cs="Arial"/>
          <w:bCs/>
        </w:rPr>
        <w:t xml:space="preserve"> lote para el efecto.</w:t>
      </w:r>
    </w:p>
    <w:p w14:paraId="49B7495B" w14:textId="1E3B5A91" w:rsidR="001155EE" w:rsidRPr="001155EE" w:rsidRDefault="001155EE" w:rsidP="00E41229">
      <w:pPr>
        <w:spacing w:before="120" w:after="0" w:line="276" w:lineRule="auto"/>
        <w:ind w:firstLine="709"/>
        <w:jc w:val="both"/>
        <w:rPr>
          <w:rFonts w:ascii="Arial" w:hAnsi="Arial" w:cs="Arial"/>
          <w:bCs/>
        </w:rPr>
      </w:pPr>
      <w:r w:rsidRPr="001155EE">
        <w:rPr>
          <w:rFonts w:ascii="Arial" w:hAnsi="Arial" w:cs="Arial"/>
          <w:bCs/>
        </w:rPr>
        <w:t>P</w:t>
      </w:r>
      <w:r w:rsidR="00B9710A">
        <w:rPr>
          <w:rFonts w:ascii="Arial" w:hAnsi="Arial" w:cs="Arial"/>
          <w:bCs/>
        </w:rPr>
        <w:t>ara ilustrar lo anterior, valgámonos del siguiente ejemplo</w:t>
      </w:r>
      <w:r w:rsidRPr="001155EE">
        <w:rPr>
          <w:rFonts w:ascii="Arial" w:hAnsi="Arial" w:cs="Arial"/>
          <w:bCs/>
        </w:rPr>
        <w:t xml:space="preserve">, si </w:t>
      </w:r>
      <w:r w:rsidR="00630921">
        <w:rPr>
          <w:rFonts w:ascii="Arial" w:hAnsi="Arial" w:cs="Arial"/>
          <w:bCs/>
        </w:rPr>
        <w:t>un</w:t>
      </w:r>
      <w:r w:rsidRPr="001155EE">
        <w:rPr>
          <w:rFonts w:ascii="Arial" w:hAnsi="Arial" w:cs="Arial"/>
          <w:bCs/>
        </w:rPr>
        <w:t xml:space="preserve"> proponente se presenta para los lotes 1 y 2 y aporta un</w:t>
      </w:r>
      <w:r w:rsidR="001A7FBE">
        <w:rPr>
          <w:rFonts w:ascii="Arial" w:hAnsi="Arial" w:cs="Arial"/>
          <w:bCs/>
        </w:rPr>
        <w:t xml:space="preserve"> (1)</w:t>
      </w:r>
      <w:r w:rsidRPr="001155EE">
        <w:rPr>
          <w:rFonts w:ascii="Arial" w:hAnsi="Arial" w:cs="Arial"/>
          <w:bCs/>
        </w:rPr>
        <w:t xml:space="preserve"> contrato que acredita la experiencia de esos dos lotes, este contrato deberá ser verificado respecto de la experiencia</w:t>
      </w:r>
      <w:r w:rsidR="00DA7C08">
        <w:rPr>
          <w:rFonts w:ascii="Arial" w:hAnsi="Arial" w:cs="Arial"/>
          <w:bCs/>
        </w:rPr>
        <w:t xml:space="preserve"> general y específica requerida para cada lote</w:t>
      </w:r>
      <w:r w:rsidRPr="001155EE">
        <w:rPr>
          <w:rFonts w:ascii="Arial" w:hAnsi="Arial" w:cs="Arial"/>
          <w:bCs/>
        </w:rPr>
        <w:t xml:space="preserve"> y el valor del </w:t>
      </w:r>
      <w:r w:rsidR="00E84793">
        <w:rPr>
          <w:rFonts w:ascii="Arial" w:hAnsi="Arial" w:cs="Arial"/>
          <w:bCs/>
        </w:rPr>
        <w:t>p</w:t>
      </w:r>
      <w:r w:rsidRPr="001155EE">
        <w:rPr>
          <w:rFonts w:ascii="Arial" w:hAnsi="Arial" w:cs="Arial"/>
          <w:bCs/>
        </w:rPr>
        <w:t xml:space="preserve">resupuesto </w:t>
      </w:r>
      <w:r w:rsidR="00E84793">
        <w:rPr>
          <w:rFonts w:ascii="Arial" w:hAnsi="Arial" w:cs="Arial"/>
          <w:bCs/>
        </w:rPr>
        <w:t>o</w:t>
      </w:r>
      <w:r w:rsidRPr="001155EE">
        <w:rPr>
          <w:rFonts w:ascii="Arial" w:hAnsi="Arial" w:cs="Arial"/>
          <w:bCs/>
        </w:rPr>
        <w:t>ficial</w:t>
      </w:r>
      <w:r w:rsidR="00DA7C08">
        <w:rPr>
          <w:rFonts w:ascii="Arial" w:hAnsi="Arial" w:cs="Arial"/>
          <w:bCs/>
        </w:rPr>
        <w:t xml:space="preserve"> a certificar corresponderá al </w:t>
      </w:r>
      <w:r w:rsidR="00DA7C08" w:rsidRPr="00344014">
        <w:rPr>
          <w:rFonts w:ascii="Arial" w:hAnsi="Arial" w:cs="Arial"/>
          <w:color w:val="000000"/>
          <w:lang w:val="es-ES_tradnl"/>
        </w:rPr>
        <w:t xml:space="preserve">valor del </w:t>
      </w:r>
      <w:r w:rsidR="00E84793">
        <w:rPr>
          <w:rFonts w:ascii="Arial" w:hAnsi="Arial" w:cs="Arial"/>
          <w:color w:val="000000"/>
          <w:lang w:val="es-ES_tradnl"/>
        </w:rPr>
        <w:t>p</w:t>
      </w:r>
      <w:r w:rsidR="00DA7C08" w:rsidRPr="00344014">
        <w:rPr>
          <w:rFonts w:ascii="Arial" w:hAnsi="Arial" w:cs="Arial"/>
          <w:color w:val="000000"/>
          <w:lang w:val="es-ES_tradnl"/>
        </w:rPr>
        <w:t xml:space="preserve">resupuesto </w:t>
      </w:r>
      <w:r w:rsidR="00E84793">
        <w:rPr>
          <w:rFonts w:ascii="Arial" w:hAnsi="Arial" w:cs="Arial"/>
          <w:color w:val="000000"/>
          <w:lang w:val="es-ES_tradnl"/>
        </w:rPr>
        <w:t>o</w:t>
      </w:r>
      <w:r w:rsidR="00DA7C08" w:rsidRPr="00344014">
        <w:rPr>
          <w:rFonts w:ascii="Arial" w:hAnsi="Arial" w:cs="Arial"/>
          <w:color w:val="000000"/>
          <w:lang w:val="es-ES_tradnl"/>
        </w:rPr>
        <w:t>ficial del respectivo lote o grupo</w:t>
      </w:r>
      <w:r w:rsidR="00DA7C08">
        <w:rPr>
          <w:rFonts w:ascii="Arial" w:hAnsi="Arial" w:cs="Arial"/>
          <w:color w:val="000000"/>
          <w:lang w:val="es-ES_tradnl"/>
        </w:rPr>
        <w:t xml:space="preserve"> </w:t>
      </w:r>
      <w:r w:rsidR="00DA7C08" w:rsidRPr="001155EE">
        <w:rPr>
          <w:rFonts w:ascii="Arial" w:hAnsi="Arial" w:cs="Arial"/>
          <w:bCs/>
          <w:lang w:val="es-ES_tradnl"/>
        </w:rPr>
        <w:t>expresado en SMMLV de acuerdo con la tabla establecida en el numeral 3.5.7 del documento base</w:t>
      </w:r>
      <w:r w:rsidR="00DA7C08">
        <w:rPr>
          <w:rFonts w:ascii="Arial" w:hAnsi="Arial" w:cs="Arial"/>
          <w:bCs/>
          <w:lang w:val="es-ES_tradnl"/>
        </w:rPr>
        <w:t xml:space="preserve">, </w:t>
      </w:r>
      <w:r w:rsidRPr="001155EE">
        <w:rPr>
          <w:rFonts w:ascii="Arial" w:hAnsi="Arial" w:cs="Arial"/>
          <w:bCs/>
        </w:rPr>
        <w:t>sin que pueda dar lugar a descuentos por el valor</w:t>
      </w:r>
      <w:r w:rsidR="003B7413">
        <w:rPr>
          <w:rFonts w:ascii="Arial" w:hAnsi="Arial" w:cs="Arial"/>
          <w:bCs/>
        </w:rPr>
        <w:t xml:space="preserve"> </w:t>
      </w:r>
      <w:r w:rsidR="00630921">
        <w:rPr>
          <w:rFonts w:ascii="Arial" w:hAnsi="Arial" w:cs="Arial"/>
          <w:bCs/>
        </w:rPr>
        <w:t xml:space="preserve">acreditado </w:t>
      </w:r>
      <w:r w:rsidRPr="001155EE">
        <w:rPr>
          <w:rFonts w:ascii="Arial" w:hAnsi="Arial" w:cs="Arial"/>
          <w:bCs/>
        </w:rPr>
        <w:t xml:space="preserve">en uno u otro lote. </w:t>
      </w:r>
      <w:r w:rsidR="00511142" w:rsidRPr="00194458">
        <w:rPr>
          <w:rFonts w:ascii="Arial" w:eastAsiaTheme="minorHAnsi" w:hAnsi="Arial" w:cs="Arial"/>
          <w:bCs/>
          <w:lang w:val="es-ES_tradnl"/>
        </w:rPr>
        <w:t xml:space="preserve">De esta manera, </w:t>
      </w:r>
      <w:r w:rsidR="00511142">
        <w:rPr>
          <w:rFonts w:ascii="Arial" w:eastAsiaTheme="minorHAnsi" w:hAnsi="Arial" w:cs="Arial"/>
          <w:bCs/>
          <w:lang w:val="es-ES_tradnl"/>
        </w:rPr>
        <w:t>si</w:t>
      </w:r>
      <w:r w:rsidR="00511142" w:rsidRPr="00194458">
        <w:rPr>
          <w:rFonts w:ascii="Arial" w:eastAsiaTheme="minorHAnsi" w:hAnsi="Arial" w:cs="Arial"/>
          <w:bCs/>
          <w:lang w:val="es-MX"/>
        </w:rPr>
        <w:t xml:space="preserve"> acredi</w:t>
      </w:r>
      <w:r w:rsidR="00511142">
        <w:rPr>
          <w:rFonts w:ascii="Arial" w:eastAsiaTheme="minorHAnsi" w:hAnsi="Arial" w:cs="Arial"/>
          <w:bCs/>
          <w:lang w:val="es-MX"/>
        </w:rPr>
        <w:t>ta</w:t>
      </w:r>
      <w:r w:rsidR="00511142" w:rsidRPr="00194458">
        <w:rPr>
          <w:rFonts w:ascii="Arial" w:eastAsiaTheme="minorHAnsi" w:hAnsi="Arial" w:cs="Arial"/>
          <w:bCs/>
          <w:lang w:val="es-MX"/>
        </w:rPr>
        <w:t xml:space="preserve"> la experiencia</w:t>
      </w:r>
      <w:r w:rsidR="00511142">
        <w:rPr>
          <w:rFonts w:ascii="Arial" w:eastAsiaTheme="minorHAnsi" w:hAnsi="Arial" w:cs="Arial"/>
          <w:bCs/>
          <w:lang w:val="es-MX"/>
        </w:rPr>
        <w:t xml:space="preserve"> d</w:t>
      </w:r>
      <w:r w:rsidR="00E950D0">
        <w:rPr>
          <w:rFonts w:ascii="Arial" w:eastAsiaTheme="minorHAnsi" w:hAnsi="Arial" w:cs="Arial"/>
          <w:bCs/>
          <w:lang w:val="es-MX"/>
        </w:rPr>
        <w:t>el</w:t>
      </w:r>
      <w:r w:rsidR="00511142">
        <w:rPr>
          <w:rFonts w:ascii="Arial" w:eastAsiaTheme="minorHAnsi" w:hAnsi="Arial" w:cs="Arial"/>
          <w:bCs/>
          <w:lang w:val="es-MX"/>
        </w:rPr>
        <w:t xml:space="preserve"> lote</w:t>
      </w:r>
      <w:r w:rsidR="00E950D0">
        <w:rPr>
          <w:rFonts w:ascii="Arial" w:eastAsiaTheme="minorHAnsi" w:hAnsi="Arial" w:cs="Arial"/>
          <w:bCs/>
          <w:lang w:val="es-MX"/>
        </w:rPr>
        <w:t xml:space="preserve"> 1</w:t>
      </w:r>
      <w:r w:rsidR="00511142" w:rsidRPr="00194458">
        <w:rPr>
          <w:rFonts w:ascii="Arial" w:eastAsiaTheme="minorHAnsi" w:hAnsi="Arial" w:cs="Arial"/>
          <w:bCs/>
          <w:lang w:val="es-MX"/>
        </w:rPr>
        <w:t xml:space="preserve"> mediante</w:t>
      </w:r>
      <w:r w:rsidR="00511142">
        <w:rPr>
          <w:rFonts w:ascii="Arial" w:eastAsiaTheme="minorHAnsi" w:hAnsi="Arial" w:cs="Arial"/>
          <w:bCs/>
          <w:lang w:val="es-MX"/>
        </w:rPr>
        <w:t xml:space="preserve"> un (1) contrato</w:t>
      </w:r>
      <w:r w:rsidR="00511142" w:rsidRPr="00194458">
        <w:rPr>
          <w:rFonts w:ascii="Arial" w:eastAsiaTheme="minorHAnsi" w:hAnsi="Arial" w:cs="Arial"/>
          <w:bCs/>
          <w:lang w:val="es-MX"/>
        </w:rPr>
        <w:t xml:space="preserve"> </w:t>
      </w:r>
      <w:r w:rsidR="00511142">
        <w:rPr>
          <w:rFonts w:ascii="Arial" w:eastAsiaTheme="minorHAnsi" w:hAnsi="Arial" w:cs="Arial"/>
          <w:bCs/>
          <w:lang w:val="es-MX"/>
        </w:rPr>
        <w:t xml:space="preserve">el </w:t>
      </w:r>
      <w:r w:rsidR="00511142" w:rsidRPr="00194458">
        <w:rPr>
          <w:rFonts w:ascii="Arial" w:eastAsiaTheme="minorHAnsi" w:hAnsi="Arial" w:cs="Arial"/>
          <w:bCs/>
          <w:lang w:val="es-MX"/>
        </w:rPr>
        <w:t>valor ejecutado</w:t>
      </w:r>
      <w:r w:rsidR="00E950D0">
        <w:rPr>
          <w:rFonts w:ascii="Arial" w:eastAsiaTheme="minorHAnsi" w:hAnsi="Arial" w:cs="Arial"/>
          <w:bCs/>
          <w:lang w:val="es-MX"/>
        </w:rPr>
        <w:t xml:space="preserve"> de dicho contrato</w:t>
      </w:r>
      <w:r w:rsidR="00511142" w:rsidRPr="00194458">
        <w:rPr>
          <w:rFonts w:ascii="Arial" w:eastAsiaTheme="minorHAnsi" w:hAnsi="Arial" w:cs="Arial"/>
          <w:bCs/>
          <w:lang w:val="es-MX"/>
        </w:rPr>
        <w:t xml:space="preserve"> </w:t>
      </w:r>
      <w:r w:rsidR="00511142" w:rsidRPr="006E0DFD">
        <w:rPr>
          <w:rFonts w:ascii="Arial" w:eastAsiaTheme="minorHAnsi" w:hAnsi="Arial" w:cs="Arial"/>
          <w:bCs/>
          <w:lang w:val="es-MX"/>
        </w:rPr>
        <w:t>debe</w:t>
      </w:r>
      <w:r w:rsidR="00E950D0">
        <w:rPr>
          <w:rFonts w:ascii="Arial" w:eastAsiaTheme="minorHAnsi" w:hAnsi="Arial" w:cs="Arial"/>
          <w:bCs/>
          <w:lang w:val="es-MX"/>
        </w:rPr>
        <w:t xml:space="preserve"> ser verificado en relación con el</w:t>
      </w:r>
      <w:r w:rsidR="00511142" w:rsidRPr="006E0DFD">
        <w:rPr>
          <w:rFonts w:ascii="Arial" w:eastAsiaTheme="minorHAnsi" w:hAnsi="Arial" w:cs="Arial"/>
          <w:bCs/>
          <w:lang w:val="es-MX"/>
        </w:rPr>
        <w:t xml:space="preserve"> 75% del valor del </w:t>
      </w:r>
      <w:r w:rsidR="00E84793">
        <w:rPr>
          <w:rFonts w:ascii="Arial" w:eastAsiaTheme="minorHAnsi" w:hAnsi="Arial" w:cs="Arial"/>
          <w:bCs/>
          <w:lang w:val="es-MX"/>
        </w:rPr>
        <w:t>p</w:t>
      </w:r>
      <w:r w:rsidR="00511142" w:rsidRPr="006E0DFD">
        <w:rPr>
          <w:rFonts w:ascii="Arial" w:eastAsiaTheme="minorHAnsi" w:hAnsi="Arial" w:cs="Arial"/>
          <w:bCs/>
          <w:lang w:val="es-MX"/>
        </w:rPr>
        <w:t xml:space="preserve">resupuesto </w:t>
      </w:r>
      <w:r w:rsidR="00E84793">
        <w:rPr>
          <w:rFonts w:ascii="Arial" w:eastAsiaTheme="minorHAnsi" w:hAnsi="Arial" w:cs="Arial"/>
          <w:bCs/>
          <w:lang w:val="es-MX"/>
        </w:rPr>
        <w:t>o</w:t>
      </w:r>
      <w:r w:rsidR="00511142" w:rsidRPr="006E0DFD">
        <w:rPr>
          <w:rFonts w:ascii="Arial" w:eastAsiaTheme="minorHAnsi" w:hAnsi="Arial" w:cs="Arial"/>
          <w:bCs/>
          <w:lang w:val="es-MX"/>
        </w:rPr>
        <w:t>ficial de obra expresado en SMMLV</w:t>
      </w:r>
      <w:r w:rsidR="00E950D0">
        <w:rPr>
          <w:rFonts w:ascii="Arial" w:eastAsiaTheme="minorHAnsi" w:hAnsi="Arial" w:cs="Arial"/>
          <w:bCs/>
          <w:lang w:val="es-MX"/>
        </w:rPr>
        <w:t xml:space="preserve"> de dicho lote. Por su parte, </w:t>
      </w:r>
      <w:r w:rsidR="001A7FBE">
        <w:rPr>
          <w:rFonts w:ascii="Arial" w:eastAsiaTheme="minorHAnsi" w:hAnsi="Arial" w:cs="Arial"/>
          <w:bCs/>
          <w:lang w:val="es-MX"/>
        </w:rPr>
        <w:t xml:space="preserve">si acredita experiencia </w:t>
      </w:r>
      <w:r w:rsidR="00E950D0">
        <w:rPr>
          <w:rFonts w:ascii="Arial" w:eastAsiaTheme="minorHAnsi" w:hAnsi="Arial" w:cs="Arial"/>
          <w:bCs/>
          <w:lang w:val="es-MX"/>
        </w:rPr>
        <w:t xml:space="preserve">para el lote 2 </w:t>
      </w:r>
      <w:r w:rsidR="001A7FBE">
        <w:rPr>
          <w:rFonts w:ascii="Arial" w:eastAsiaTheme="minorHAnsi" w:hAnsi="Arial" w:cs="Arial"/>
          <w:bCs/>
          <w:lang w:val="es-MX"/>
        </w:rPr>
        <w:t xml:space="preserve">con el mismo contrato, </w:t>
      </w:r>
      <w:r w:rsidR="00E950D0">
        <w:rPr>
          <w:rFonts w:ascii="Arial" w:eastAsiaTheme="minorHAnsi" w:hAnsi="Arial" w:cs="Arial"/>
          <w:bCs/>
          <w:lang w:val="es-MX"/>
        </w:rPr>
        <w:t xml:space="preserve">el valor mínimo a certificar será </w:t>
      </w:r>
      <w:r w:rsidR="00236E95">
        <w:rPr>
          <w:rFonts w:ascii="Arial" w:eastAsiaTheme="minorHAnsi" w:hAnsi="Arial" w:cs="Arial"/>
          <w:bCs/>
          <w:lang w:val="es-MX"/>
        </w:rPr>
        <w:t>del 75% del</w:t>
      </w:r>
      <w:r w:rsidR="00E950D0">
        <w:rPr>
          <w:rFonts w:ascii="Arial" w:eastAsiaTheme="minorHAnsi" w:hAnsi="Arial" w:cs="Arial"/>
          <w:bCs/>
          <w:lang w:val="es-MX"/>
        </w:rPr>
        <w:t xml:space="preserve"> </w:t>
      </w:r>
      <w:r w:rsidR="00E950D0" w:rsidRPr="006E0DFD">
        <w:rPr>
          <w:rFonts w:ascii="Arial" w:eastAsiaTheme="minorHAnsi" w:hAnsi="Arial" w:cs="Arial"/>
          <w:bCs/>
          <w:lang w:val="es-MX"/>
        </w:rPr>
        <w:t>valor del</w:t>
      </w:r>
      <w:r w:rsidR="001A7FBE">
        <w:rPr>
          <w:rFonts w:ascii="Arial" w:eastAsiaTheme="minorHAnsi" w:hAnsi="Arial" w:cs="Arial"/>
          <w:bCs/>
          <w:lang w:val="es-MX"/>
        </w:rPr>
        <w:t xml:space="preserve"> </w:t>
      </w:r>
      <w:r w:rsidR="00E84793">
        <w:rPr>
          <w:rFonts w:ascii="Arial" w:eastAsiaTheme="minorHAnsi" w:hAnsi="Arial" w:cs="Arial"/>
          <w:bCs/>
          <w:lang w:val="es-MX"/>
        </w:rPr>
        <w:lastRenderedPageBreak/>
        <w:t>p</w:t>
      </w:r>
      <w:r w:rsidR="00E950D0" w:rsidRPr="006E0DFD">
        <w:rPr>
          <w:rFonts w:ascii="Arial" w:eastAsiaTheme="minorHAnsi" w:hAnsi="Arial" w:cs="Arial"/>
          <w:bCs/>
          <w:lang w:val="es-MX"/>
        </w:rPr>
        <w:t xml:space="preserve">resupuesto </w:t>
      </w:r>
      <w:r w:rsidR="00E84793">
        <w:rPr>
          <w:rFonts w:ascii="Arial" w:eastAsiaTheme="minorHAnsi" w:hAnsi="Arial" w:cs="Arial"/>
          <w:bCs/>
          <w:lang w:val="es-MX"/>
        </w:rPr>
        <w:t>o</w:t>
      </w:r>
      <w:r w:rsidR="00E950D0" w:rsidRPr="006E0DFD">
        <w:rPr>
          <w:rFonts w:ascii="Arial" w:eastAsiaTheme="minorHAnsi" w:hAnsi="Arial" w:cs="Arial"/>
          <w:bCs/>
          <w:lang w:val="es-MX"/>
        </w:rPr>
        <w:t>ficial de obra expresado en SMMLV</w:t>
      </w:r>
      <w:r w:rsidR="00E950D0">
        <w:rPr>
          <w:rFonts w:ascii="Arial" w:eastAsiaTheme="minorHAnsi" w:hAnsi="Arial" w:cs="Arial"/>
          <w:bCs/>
          <w:lang w:val="es-MX"/>
        </w:rPr>
        <w:t xml:space="preserve"> del lote 2</w:t>
      </w:r>
      <w:r w:rsidR="001A7FBE">
        <w:rPr>
          <w:rFonts w:ascii="Arial" w:eastAsiaTheme="minorHAnsi" w:hAnsi="Arial" w:cs="Arial"/>
          <w:bCs/>
          <w:lang w:val="es-MX"/>
        </w:rPr>
        <w:t xml:space="preserve">, </w:t>
      </w:r>
      <w:r w:rsidR="00BB7D1F">
        <w:rPr>
          <w:rFonts w:ascii="Arial" w:hAnsi="Arial" w:cs="Arial"/>
          <w:color w:val="000000"/>
          <w:lang w:val="es-ES_tradnl"/>
        </w:rPr>
        <w:t xml:space="preserve">sin que haya lugar a exigir la sumatoria del valor del presupuesto oficial de todos lotes a los que se presente. </w:t>
      </w:r>
    </w:p>
    <w:bookmarkEnd w:id="10"/>
    <w:p w14:paraId="4C055FC7" w14:textId="4A46D47F" w:rsidR="00DE3B48" w:rsidRPr="004633CF" w:rsidRDefault="00571301" w:rsidP="00E41229">
      <w:pPr>
        <w:tabs>
          <w:tab w:val="left" w:pos="0"/>
          <w:tab w:val="left" w:pos="6645"/>
        </w:tabs>
        <w:spacing w:after="0" w:line="276" w:lineRule="auto"/>
        <w:jc w:val="both"/>
        <w:rPr>
          <w:rFonts w:ascii="Arial" w:hAnsi="Arial" w:cs="Arial"/>
          <w:bCs/>
          <w:lang w:val="es-ES_tradnl"/>
        </w:rPr>
      </w:pPr>
      <w:r>
        <w:rPr>
          <w:rFonts w:ascii="Arial" w:hAnsi="Arial" w:cs="Arial"/>
          <w:bCs/>
          <w:lang w:val="es-ES_tradnl"/>
        </w:rPr>
        <w:tab/>
      </w:r>
    </w:p>
    <w:p w14:paraId="01C0F502" w14:textId="5CEEEEEC" w:rsidR="00F9574A" w:rsidRDefault="004177A6" w:rsidP="00E41229">
      <w:pPr>
        <w:tabs>
          <w:tab w:val="left" w:pos="0"/>
        </w:tabs>
        <w:spacing w:after="0" w:line="276" w:lineRule="auto"/>
        <w:jc w:val="both"/>
        <w:rPr>
          <w:rFonts w:ascii="Arial" w:hAnsi="Arial" w:cs="Arial"/>
          <w:b/>
          <w:color w:val="000000" w:themeColor="text1"/>
          <w:lang w:val="es-ES_tradnl"/>
        </w:rPr>
      </w:pPr>
      <w:r w:rsidRPr="00624C21">
        <w:rPr>
          <w:rFonts w:ascii="Arial" w:hAnsi="Arial" w:cs="Arial"/>
          <w:b/>
          <w:color w:val="000000" w:themeColor="text1"/>
          <w:lang w:val="es-ES_tradnl"/>
        </w:rPr>
        <w:t>3</w:t>
      </w:r>
      <w:r w:rsidR="00B011A9" w:rsidRPr="00624C21">
        <w:rPr>
          <w:rFonts w:ascii="Arial" w:hAnsi="Arial" w:cs="Arial"/>
          <w:b/>
          <w:color w:val="000000" w:themeColor="text1"/>
          <w:lang w:val="es-ES_tradnl"/>
        </w:rPr>
        <w:t xml:space="preserve">. </w:t>
      </w:r>
      <w:r w:rsidR="00DD5B04" w:rsidRPr="00624C21">
        <w:rPr>
          <w:rFonts w:ascii="Arial" w:hAnsi="Arial" w:cs="Arial"/>
          <w:b/>
          <w:color w:val="000000" w:themeColor="text1"/>
          <w:lang w:val="es-ES_tradnl"/>
        </w:rPr>
        <w:t>Respuesta</w:t>
      </w:r>
    </w:p>
    <w:p w14:paraId="5550B511" w14:textId="77777777" w:rsidR="00E41229" w:rsidRPr="00E41229" w:rsidRDefault="00E41229" w:rsidP="00E41229">
      <w:pPr>
        <w:tabs>
          <w:tab w:val="left" w:pos="0"/>
        </w:tabs>
        <w:spacing w:after="0" w:line="276" w:lineRule="auto"/>
        <w:jc w:val="both"/>
        <w:rPr>
          <w:rFonts w:ascii="Arial" w:hAnsi="Arial" w:cs="Arial"/>
          <w:b/>
          <w:color w:val="000000" w:themeColor="text1"/>
          <w:lang w:val="es-ES_tradnl"/>
        </w:rPr>
      </w:pPr>
    </w:p>
    <w:p w14:paraId="7644C79F" w14:textId="77777777" w:rsidR="007F1C15" w:rsidRPr="00FA222F" w:rsidRDefault="007F1C15" w:rsidP="00E41229">
      <w:pPr>
        <w:autoSpaceDE w:val="0"/>
        <w:autoSpaceDN w:val="0"/>
        <w:adjustRightInd w:val="0"/>
        <w:spacing w:after="0" w:line="240" w:lineRule="auto"/>
        <w:ind w:left="709" w:right="709"/>
        <w:jc w:val="both"/>
        <w:rPr>
          <w:rFonts w:ascii="Arial" w:hAnsi="Arial" w:cs="Arial"/>
          <w:sz w:val="21"/>
          <w:szCs w:val="21"/>
        </w:rPr>
      </w:pPr>
      <w:r w:rsidRPr="00FA222F">
        <w:rPr>
          <w:rFonts w:ascii="Arial" w:hAnsi="Arial" w:cs="Arial"/>
          <w:sz w:val="21"/>
          <w:szCs w:val="21"/>
        </w:rPr>
        <w:t xml:space="preserve">«Para los procesos de Infraestructura Social (Parques) estructurados por grupos, la acreditación de la experiencia debe hacerse INDIVIDUALMENTE para cada grupo, ¿independientemente de que un proponente presente 1 sola oferta para todos los grupos? o por el contrario si el proponente presenta oferta para más de un grupo se debe hacer la sumatoria de esos grupos y sobre el valor resultante acreditar los % de experiencia: </w:t>
      </w:r>
    </w:p>
    <w:p w14:paraId="47AB0962" w14:textId="77777777" w:rsidR="007F1C15" w:rsidRPr="00FA222F" w:rsidRDefault="007F1C15" w:rsidP="00E41229">
      <w:pPr>
        <w:autoSpaceDE w:val="0"/>
        <w:autoSpaceDN w:val="0"/>
        <w:adjustRightInd w:val="0"/>
        <w:spacing w:after="0" w:line="240" w:lineRule="auto"/>
        <w:ind w:left="709" w:right="709"/>
        <w:jc w:val="both"/>
        <w:rPr>
          <w:rFonts w:ascii="Arial" w:hAnsi="Arial" w:cs="Arial"/>
          <w:sz w:val="21"/>
          <w:szCs w:val="21"/>
        </w:rPr>
      </w:pPr>
    </w:p>
    <w:p w14:paraId="0793E0BA" w14:textId="77777777" w:rsidR="007F1C15" w:rsidRPr="00FA222F" w:rsidRDefault="007F1C15" w:rsidP="00E41229">
      <w:pPr>
        <w:autoSpaceDE w:val="0"/>
        <w:autoSpaceDN w:val="0"/>
        <w:adjustRightInd w:val="0"/>
        <w:spacing w:after="0" w:line="240" w:lineRule="auto"/>
        <w:ind w:left="709" w:right="709"/>
        <w:jc w:val="both"/>
        <w:rPr>
          <w:rFonts w:ascii="Arial" w:hAnsi="Arial" w:cs="Arial"/>
          <w:sz w:val="21"/>
          <w:szCs w:val="21"/>
        </w:rPr>
      </w:pPr>
      <w:r w:rsidRPr="00FA222F">
        <w:rPr>
          <w:rFonts w:ascii="Arial" w:hAnsi="Arial" w:cs="Arial"/>
          <w:sz w:val="21"/>
          <w:szCs w:val="21"/>
        </w:rPr>
        <w:t xml:space="preserve">Ejemplo: Lote 1 - $100 Lote 2 - $200 Opción 1: Consorcio parques 1 - lotes a ofertar (1 y 2) la experiencia se acreditaría con máximo 6 contratos sobre el valor del lote 1($100) y con los mismos máximo 6 contratos acreditar la experiencia para el Lote 2 ($200). </w:t>
      </w:r>
    </w:p>
    <w:p w14:paraId="4F20F72B" w14:textId="77777777" w:rsidR="007F1C15" w:rsidRPr="00FA222F" w:rsidRDefault="007F1C15" w:rsidP="00E41229">
      <w:pPr>
        <w:autoSpaceDE w:val="0"/>
        <w:autoSpaceDN w:val="0"/>
        <w:adjustRightInd w:val="0"/>
        <w:spacing w:after="0" w:line="240" w:lineRule="auto"/>
        <w:ind w:left="709" w:right="709"/>
        <w:jc w:val="both"/>
        <w:rPr>
          <w:rFonts w:ascii="Arial" w:hAnsi="Arial" w:cs="Arial"/>
          <w:sz w:val="21"/>
          <w:szCs w:val="21"/>
        </w:rPr>
      </w:pPr>
    </w:p>
    <w:p w14:paraId="3EB6FDEB" w14:textId="77777777" w:rsidR="007F1C15" w:rsidRPr="00FA222F" w:rsidRDefault="007F1C15" w:rsidP="00E41229">
      <w:pPr>
        <w:autoSpaceDE w:val="0"/>
        <w:autoSpaceDN w:val="0"/>
        <w:adjustRightInd w:val="0"/>
        <w:spacing w:after="0" w:line="240" w:lineRule="auto"/>
        <w:ind w:left="709" w:right="709"/>
        <w:jc w:val="both"/>
        <w:rPr>
          <w:rFonts w:ascii="Arial" w:hAnsi="Arial" w:cs="Arial"/>
          <w:sz w:val="21"/>
          <w:szCs w:val="21"/>
        </w:rPr>
      </w:pPr>
      <w:r w:rsidRPr="00FA222F">
        <w:rPr>
          <w:rFonts w:ascii="Arial" w:hAnsi="Arial" w:cs="Arial"/>
          <w:sz w:val="21"/>
          <w:szCs w:val="21"/>
        </w:rPr>
        <w:t xml:space="preserve">O </w:t>
      </w:r>
    </w:p>
    <w:p w14:paraId="0D37FD49" w14:textId="77777777" w:rsidR="007F1C15" w:rsidRPr="00FA222F" w:rsidRDefault="007F1C15" w:rsidP="00E41229">
      <w:pPr>
        <w:autoSpaceDE w:val="0"/>
        <w:autoSpaceDN w:val="0"/>
        <w:adjustRightInd w:val="0"/>
        <w:spacing w:after="0" w:line="240" w:lineRule="auto"/>
        <w:ind w:left="709" w:right="709"/>
        <w:jc w:val="both"/>
        <w:rPr>
          <w:rFonts w:ascii="Arial" w:hAnsi="Arial" w:cs="Arial"/>
          <w:sz w:val="21"/>
          <w:szCs w:val="21"/>
        </w:rPr>
      </w:pPr>
    </w:p>
    <w:p w14:paraId="37FC95FD" w14:textId="77777777" w:rsidR="007F1C15" w:rsidRPr="00FA222F" w:rsidRDefault="007F1C15" w:rsidP="00E41229">
      <w:pPr>
        <w:autoSpaceDE w:val="0"/>
        <w:autoSpaceDN w:val="0"/>
        <w:adjustRightInd w:val="0"/>
        <w:spacing w:after="0" w:line="240" w:lineRule="auto"/>
        <w:ind w:left="709" w:right="709"/>
        <w:jc w:val="both"/>
        <w:rPr>
          <w:rFonts w:ascii="Arial" w:hAnsi="Arial" w:cs="Arial"/>
          <w:sz w:val="21"/>
          <w:szCs w:val="21"/>
        </w:rPr>
      </w:pPr>
      <w:r w:rsidRPr="00FA222F">
        <w:rPr>
          <w:rFonts w:ascii="Arial" w:hAnsi="Arial" w:cs="Arial"/>
          <w:sz w:val="21"/>
          <w:szCs w:val="21"/>
        </w:rPr>
        <w:t xml:space="preserve">Opción 1: Consorcio parques 1 - lotes a ofertar (1 y 2) – Sumatoria de presupuestos (100+200) = 300 sobre esos 300 debe el proponente acreditar experiencia?. </w:t>
      </w:r>
    </w:p>
    <w:p w14:paraId="7012D4C9" w14:textId="77777777" w:rsidR="007F1C15" w:rsidRPr="00FA222F" w:rsidRDefault="007F1C15" w:rsidP="00E41229">
      <w:pPr>
        <w:autoSpaceDE w:val="0"/>
        <w:autoSpaceDN w:val="0"/>
        <w:adjustRightInd w:val="0"/>
        <w:spacing w:after="0" w:line="240" w:lineRule="auto"/>
        <w:ind w:left="709" w:right="709"/>
        <w:jc w:val="both"/>
        <w:rPr>
          <w:rFonts w:ascii="Arial" w:hAnsi="Arial" w:cs="Arial"/>
          <w:sz w:val="21"/>
          <w:szCs w:val="21"/>
        </w:rPr>
      </w:pPr>
    </w:p>
    <w:p w14:paraId="1D7A26F8" w14:textId="77777777" w:rsidR="007F1C15" w:rsidRDefault="007F1C15" w:rsidP="00E41229">
      <w:pPr>
        <w:autoSpaceDE w:val="0"/>
        <w:autoSpaceDN w:val="0"/>
        <w:adjustRightInd w:val="0"/>
        <w:spacing w:after="0" w:line="240" w:lineRule="auto"/>
        <w:ind w:left="709" w:right="709"/>
        <w:jc w:val="both"/>
        <w:rPr>
          <w:rFonts w:ascii="Arial" w:hAnsi="Arial" w:cs="Arial"/>
          <w:sz w:val="21"/>
          <w:szCs w:val="21"/>
        </w:rPr>
      </w:pPr>
      <w:r w:rsidRPr="00FA222F">
        <w:rPr>
          <w:rFonts w:ascii="Arial" w:hAnsi="Arial" w:cs="Arial"/>
          <w:sz w:val="21"/>
          <w:szCs w:val="21"/>
        </w:rPr>
        <w:t xml:space="preserve">Agradezcamos su pronta respuesta con el fin de poder tener argumentos para defender propuesta presentada para el proceso IDRD-DG-LP-018-2022, cuyo objeto es CONTRATAR MEDIANTE EL SISTEMA DE PRECIOS UNITARIOS Y A MONTO AGOTABLE EL MANTENIMIENTO, MEJORAMIENTO, ADECUACIÓN, REPARACIÓN Y RECUPERACIÓN DE LA INFRAESTRUCTURA DE LOS PARQUES DE LA RED DE PROXIMIDAD QUE INTEGRAN EL SISTEMA DISTRITAL DE PARQUES, grupos (1, 2, 3, 4, 5 y 6). En el cual la entidad responde observaciones el 15 de Julio diciendo: “Si el proponente decide presentarse a dos o más grupos, debe acreditar el presupuesto correspondiente a la sumatoria de los lotes o grupos a los cuales presente oferta”, respuesta que contradice lo establecido en el pliego tipo de infraestructura social»  </w:t>
      </w:r>
    </w:p>
    <w:p w14:paraId="33764B33" w14:textId="77777777" w:rsidR="00F4630A" w:rsidRDefault="00F4630A" w:rsidP="00E41229">
      <w:pPr>
        <w:tabs>
          <w:tab w:val="left" w:pos="426"/>
        </w:tabs>
        <w:spacing w:after="0" w:line="276" w:lineRule="auto"/>
        <w:jc w:val="both"/>
        <w:rPr>
          <w:rFonts w:ascii="Arial" w:hAnsi="Arial" w:cs="Arial"/>
          <w:bCs/>
          <w:lang w:val="es-ES_tradnl"/>
        </w:rPr>
      </w:pPr>
    </w:p>
    <w:p w14:paraId="09FC6221" w14:textId="48C17CE1" w:rsidR="00AD4A51" w:rsidRPr="00176431" w:rsidRDefault="00AD4A51" w:rsidP="00AD4A51">
      <w:pPr>
        <w:spacing w:after="120" w:line="276" w:lineRule="auto"/>
        <w:jc w:val="both"/>
        <w:rPr>
          <w:rFonts w:ascii="Arial" w:eastAsia="Times New Roman" w:hAnsi="Arial" w:cs="Arial"/>
          <w:bCs/>
          <w:lang w:eastAsia="es-ES_tradnl"/>
        </w:rPr>
      </w:pPr>
      <w:r w:rsidRPr="00176431">
        <w:rPr>
          <w:rFonts w:ascii="Arial" w:eastAsiaTheme="minorHAnsi" w:hAnsi="Arial" w:cs="Arial"/>
        </w:rPr>
        <w:t>De las preguntas en concreto se precisa que</w:t>
      </w:r>
      <w:r w:rsidR="0034740F" w:rsidRPr="00176431">
        <w:rPr>
          <w:rFonts w:ascii="Arial" w:eastAsiaTheme="minorHAnsi" w:hAnsi="Arial" w:cs="Arial"/>
        </w:rPr>
        <w:t>,</w:t>
      </w:r>
      <w:r w:rsidRPr="00176431">
        <w:rPr>
          <w:rFonts w:ascii="Arial" w:eastAsiaTheme="minorHAnsi" w:hAnsi="Arial" w:cs="Arial"/>
        </w:rPr>
        <w:t xml:space="preserve"> la Agencia Nacional de Contratación Pública tiene competencia para atender consultas relativas a temas contractuales, pero solo para absolver consultas sobre la aplicación de normas de carácter general. Por ello, </w:t>
      </w:r>
      <w:r w:rsidRPr="00176431">
        <w:rPr>
          <w:rFonts w:ascii="Arial" w:eastAsia="Times New Roman" w:hAnsi="Arial" w:cs="Arial"/>
          <w:lang w:val="es-ES" w:eastAsia="es-ES_tradnl"/>
        </w:rPr>
        <w:t>resolver casos particulares desborda las atribuciones asignadas por el legislador extraordinario, que no concibió a Colombia Compra Eficiente como una autoridad para solucionar problemas jurídicos particulares</w:t>
      </w:r>
      <w:r w:rsidRPr="00176431">
        <w:rPr>
          <w:rFonts w:ascii="Arial" w:eastAsia="Times New Roman" w:hAnsi="Arial" w:cs="Arial"/>
          <w:bCs/>
          <w:lang w:eastAsia="es-ES_tradnl"/>
        </w:rPr>
        <w:t xml:space="preserve"> de todos los partícipes de la contratación estatal ni para interpretar el alcance de cualquier norma vigente en el ordenamiento jurídico.</w:t>
      </w:r>
    </w:p>
    <w:p w14:paraId="7050C2D1" w14:textId="5A15AF1F" w:rsidR="001E62E9" w:rsidRPr="00176431" w:rsidRDefault="00AD4A51" w:rsidP="00AD4A51">
      <w:pPr>
        <w:spacing w:after="120" w:line="276" w:lineRule="auto"/>
        <w:ind w:firstLine="709"/>
        <w:jc w:val="both"/>
        <w:rPr>
          <w:rFonts w:ascii="Arial" w:eastAsia="Times New Roman" w:hAnsi="Arial" w:cs="Arial"/>
          <w:bCs/>
          <w:lang w:eastAsia="es-ES_tradnl"/>
        </w:rPr>
      </w:pPr>
      <w:r w:rsidRPr="00176431">
        <w:rPr>
          <w:rFonts w:ascii="Arial" w:hAnsi="Arial" w:cs="Arial"/>
          <w:bCs/>
        </w:rPr>
        <w:lastRenderedPageBreak/>
        <w:t>A partir de la precisión anterior, d</w:t>
      </w:r>
      <w:r w:rsidRPr="00176431">
        <w:rPr>
          <w:rFonts w:ascii="Arial" w:hAnsi="Arial" w:cs="Arial"/>
        </w:rPr>
        <w:t xml:space="preserve">e acuerdo con </w:t>
      </w:r>
      <w:r w:rsidR="00E41229" w:rsidRPr="00176431">
        <w:rPr>
          <w:rFonts w:ascii="Arial" w:hAnsi="Arial" w:cs="Arial"/>
          <w:bCs/>
          <w:lang w:val="es-ES_tradnl"/>
        </w:rPr>
        <w:t>las consideraciones expuestas, e</w:t>
      </w:r>
      <w:r w:rsidR="00FB61D1" w:rsidRPr="00176431">
        <w:rPr>
          <w:rFonts w:ascii="Arial" w:hAnsi="Arial" w:cs="Arial"/>
          <w:bCs/>
          <w:lang w:val="es-ES_tradnl"/>
        </w:rPr>
        <w:t>n los procesos estructurados por lotes</w:t>
      </w:r>
      <w:r w:rsidRPr="00176431">
        <w:rPr>
          <w:rFonts w:ascii="Arial" w:hAnsi="Arial" w:cs="Arial"/>
          <w:bCs/>
          <w:lang w:val="es-ES_tradnl"/>
        </w:rPr>
        <w:t xml:space="preserve"> </w:t>
      </w:r>
      <w:r w:rsidR="001E62E9" w:rsidRPr="00176431">
        <w:rPr>
          <w:rFonts w:ascii="Arial" w:hAnsi="Arial" w:cs="Arial"/>
          <w:bCs/>
          <w:lang w:val="es-ES_tradnl"/>
        </w:rPr>
        <w:t xml:space="preserve">el literal C del numeral 2.10 </w:t>
      </w:r>
      <w:r w:rsidR="00FB61D1" w:rsidRPr="00176431">
        <w:rPr>
          <w:rFonts w:ascii="Arial" w:hAnsi="Arial" w:cs="Arial"/>
          <w:bCs/>
          <w:lang w:val="es-ES_tradnl"/>
        </w:rPr>
        <w:t>del documento base</w:t>
      </w:r>
      <w:r w:rsidR="00F4630A" w:rsidRPr="00176431">
        <w:rPr>
          <w:rFonts w:ascii="Arial" w:hAnsi="Arial" w:cs="Arial"/>
          <w:bCs/>
          <w:lang w:val="es-ES_tradnl"/>
        </w:rPr>
        <w:t xml:space="preserve"> de los documentos tipo de infraestructura social</w:t>
      </w:r>
      <w:r w:rsidR="00FB61D1" w:rsidRPr="00176431">
        <w:rPr>
          <w:rFonts w:ascii="Arial" w:hAnsi="Arial" w:cs="Arial"/>
          <w:bCs/>
          <w:lang w:val="es-ES_tradnl"/>
        </w:rPr>
        <w:t xml:space="preserve"> </w:t>
      </w:r>
      <w:r w:rsidR="001E62E9" w:rsidRPr="00176431">
        <w:rPr>
          <w:rFonts w:ascii="Arial" w:hAnsi="Arial" w:cs="Arial"/>
          <w:bCs/>
          <w:lang w:val="es-ES_tradnl"/>
        </w:rPr>
        <w:t xml:space="preserve">señala que el proponente </w:t>
      </w:r>
      <w:r w:rsidR="001E62E9" w:rsidRPr="00176431">
        <w:rPr>
          <w:rFonts w:ascii="Arial" w:hAnsi="Arial" w:cs="Arial"/>
        </w:rPr>
        <w:t xml:space="preserve">podrá aportar mínimo uno (1) y máximo cinco (5) contratos para cada uno de los lotes o grupos o podrá allegar los mismos para todos o varios de ellos, sin perjuicio de lo previsto en las reglas de los criterios diferenciales por ser Mipyme y/o emprendimientos y empresas de mujeres. En la verificación del número de contratos frente al </w:t>
      </w:r>
      <w:r w:rsidR="00E84793" w:rsidRPr="00176431">
        <w:rPr>
          <w:rFonts w:ascii="Arial" w:hAnsi="Arial" w:cs="Arial"/>
        </w:rPr>
        <w:t>p</w:t>
      </w:r>
      <w:r w:rsidR="001E62E9" w:rsidRPr="00176431">
        <w:rPr>
          <w:rFonts w:ascii="Arial" w:hAnsi="Arial" w:cs="Arial"/>
        </w:rPr>
        <w:t xml:space="preserve">resupuesto </w:t>
      </w:r>
      <w:r w:rsidR="00E84793" w:rsidRPr="00176431">
        <w:rPr>
          <w:rFonts w:ascii="Arial" w:hAnsi="Arial" w:cs="Arial"/>
        </w:rPr>
        <w:t>o</w:t>
      </w:r>
      <w:r w:rsidR="001E62E9" w:rsidRPr="00176431">
        <w:rPr>
          <w:rFonts w:ascii="Arial" w:hAnsi="Arial" w:cs="Arial"/>
        </w:rPr>
        <w:t>ficial, el valor mínimo se certificará de acuerdo con al valor del Presupuesto Oficial del respectivo lote o grupo expresado en SMMLV</w:t>
      </w:r>
      <w:r w:rsidR="00F4630A" w:rsidRPr="00176431">
        <w:rPr>
          <w:rFonts w:ascii="Arial" w:hAnsi="Arial" w:cs="Arial"/>
        </w:rPr>
        <w:t xml:space="preserve"> de acuerdo con la tabla del numeral 3.5.7</w:t>
      </w:r>
      <w:r w:rsidR="001E62E9" w:rsidRPr="00176431">
        <w:rPr>
          <w:rFonts w:ascii="Arial" w:hAnsi="Arial" w:cs="Arial"/>
        </w:rPr>
        <w:t xml:space="preserve">. Asimismo, el literal D indica que la experiencia que debe acreditar el proponente será la establecida de forma independiente para cada lote o grupo de acuerdo con las actividades definidas en la matriz </w:t>
      </w:r>
      <w:bookmarkStart w:id="15" w:name="_Hlk113801018"/>
      <w:r w:rsidR="001E62E9" w:rsidRPr="00176431">
        <w:rPr>
          <w:rFonts w:ascii="Arial" w:hAnsi="Arial" w:cs="Arial"/>
        </w:rPr>
        <w:t xml:space="preserve">de experiencia aplicable en el proyecto de infraestructura social </w:t>
      </w:r>
      <w:bookmarkEnd w:id="15"/>
      <w:r w:rsidR="001E62E9" w:rsidRPr="00176431">
        <w:rPr>
          <w:rFonts w:ascii="Arial" w:hAnsi="Arial" w:cs="Arial"/>
        </w:rPr>
        <w:t>en el literal A de la sección 3.5.1.</w:t>
      </w:r>
    </w:p>
    <w:p w14:paraId="654EB7F8" w14:textId="0ACFF9BA" w:rsidR="001E62E9" w:rsidRPr="00176431" w:rsidRDefault="001E62E9" w:rsidP="007D7C53">
      <w:pPr>
        <w:spacing w:before="120" w:line="276" w:lineRule="auto"/>
        <w:ind w:firstLine="709"/>
        <w:jc w:val="both"/>
        <w:rPr>
          <w:rFonts w:ascii="Arial" w:hAnsi="Arial" w:cs="Arial"/>
          <w:lang w:val="es-MX"/>
        </w:rPr>
      </w:pPr>
      <w:r w:rsidRPr="00176431">
        <w:rPr>
          <w:rFonts w:ascii="Arial" w:hAnsi="Arial" w:cs="Arial"/>
          <w:color w:val="000000"/>
          <w:lang w:val="es-ES_tradnl"/>
        </w:rPr>
        <w:t>En concordancia con lo anterior, el literal C del numeral 3.5.1 señala que «[En los procesos estructurados por lotes o por grupos, el proponente podrá aportar mínimo uno (1) y máximo cinco (5) contratos para cada uno de los lotes o grupos o podrá allegar los mismos para todos los lotes o grupos]». Asimismo, el numeral 3.5.7. indica que «[En los procesos estructurados por lotes o por grupos, el valor mínimo a certificar debe ser en relación con el valor del Presupuesto Oficial del respectivo lote o grupo expresado en SMMLV]».</w:t>
      </w:r>
      <w:r w:rsidR="007D7C53" w:rsidRPr="00176431">
        <w:rPr>
          <w:rFonts w:ascii="Arial" w:eastAsiaTheme="minorHAnsi" w:hAnsi="Arial" w:cs="Arial"/>
          <w:bCs/>
          <w:lang w:val="es-MX"/>
        </w:rPr>
        <w:t xml:space="preserve"> </w:t>
      </w:r>
    </w:p>
    <w:p w14:paraId="5E65EF2A" w14:textId="77777777" w:rsidR="0040550C" w:rsidRPr="00176431" w:rsidRDefault="00F4630A" w:rsidP="00065A18">
      <w:pPr>
        <w:spacing w:before="120" w:line="276" w:lineRule="auto"/>
        <w:ind w:firstLine="709"/>
        <w:jc w:val="both"/>
        <w:rPr>
          <w:rFonts w:ascii="Arial" w:hAnsi="Arial" w:cs="Arial"/>
          <w:bCs/>
          <w:lang w:val="es-ES_tradnl"/>
        </w:rPr>
      </w:pPr>
      <w:r w:rsidRPr="00176431">
        <w:rPr>
          <w:rFonts w:ascii="Arial" w:hAnsi="Arial" w:cs="Arial"/>
          <w:shd w:val="clear" w:color="auto" w:fill="FFFFFF"/>
          <w:lang w:val="es-ES_tradnl"/>
        </w:rPr>
        <w:t xml:space="preserve">De esta manera, </w:t>
      </w:r>
      <w:r w:rsidR="00065A18" w:rsidRPr="00176431">
        <w:rPr>
          <w:rFonts w:ascii="Arial" w:hAnsi="Arial" w:cs="Arial"/>
          <w:shd w:val="clear" w:color="auto" w:fill="FFFFFF"/>
          <w:lang w:val="es-ES_tradnl"/>
        </w:rPr>
        <w:t xml:space="preserve">para efectos de la acreditación de experiencia en los procesos estructurados por lote o grupos </w:t>
      </w:r>
      <w:r w:rsidR="00065A18" w:rsidRPr="00176431">
        <w:rPr>
          <w:rFonts w:ascii="Arial" w:hAnsi="Arial" w:cs="Arial"/>
        </w:rPr>
        <w:t>el proponente podrá aportar el número máximo de contratos permitidos para cada uno de los lotes o grupos a los que se presente,</w:t>
      </w:r>
      <w:r w:rsidR="00065A18" w:rsidRPr="00176431">
        <w:rPr>
          <w:rFonts w:ascii="Arial" w:hAnsi="Arial" w:cs="Arial"/>
          <w:bCs/>
          <w:lang w:val="es-ES_tradnl"/>
        </w:rPr>
        <w:t xml:space="preserve"> es decir, podrá allegar hasta 5 contratos para cada lote, sin perjuicio de las reglas sobre la acreditación de Mipyme y emprendimiento y empresas de mujeres. También podrá optar por allegar el mismo o varios contratos para todos o varios de los lotes o grupos, lo que significa que el contrato que aportó para un lote también podrá acreditar la experiencia respecto de otro lote o grupo, siempre que cumpla con los requisitos de experiencia general y espe</w:t>
      </w:r>
      <w:r w:rsidRPr="00176431">
        <w:rPr>
          <w:rFonts w:ascii="Arial" w:hAnsi="Arial" w:cs="Arial"/>
          <w:bCs/>
          <w:lang w:val="es-ES_tradnl"/>
        </w:rPr>
        <w:t>cí</w:t>
      </w:r>
      <w:r w:rsidR="00065A18" w:rsidRPr="00176431">
        <w:rPr>
          <w:rFonts w:ascii="Arial" w:hAnsi="Arial" w:cs="Arial"/>
          <w:bCs/>
          <w:lang w:val="es-ES_tradnl"/>
        </w:rPr>
        <w:t xml:space="preserve">fica exigidos para cada uno de ellos. </w:t>
      </w:r>
    </w:p>
    <w:p w14:paraId="5D59F896" w14:textId="07F31BA7" w:rsidR="0040550C" w:rsidRPr="00176431" w:rsidRDefault="0040550C" w:rsidP="0040550C">
      <w:pPr>
        <w:spacing w:before="120" w:after="0" w:line="276" w:lineRule="auto"/>
        <w:ind w:firstLine="709"/>
        <w:jc w:val="both"/>
        <w:rPr>
          <w:rFonts w:ascii="Arial" w:hAnsi="Arial" w:cs="Arial"/>
          <w:bCs/>
          <w:lang w:val="es-ES_tradnl"/>
        </w:rPr>
      </w:pPr>
      <w:r w:rsidRPr="00176431">
        <w:rPr>
          <w:rFonts w:ascii="Arial" w:hAnsi="Arial" w:cs="Arial"/>
          <w:bCs/>
          <w:lang w:val="es-ES_tradnl"/>
        </w:rPr>
        <w:t xml:space="preserve">En todo caso, debe tenerse en cuenta que el número de contratos que aporte para cada lote o grupo impacta en relación con el valor </w:t>
      </w:r>
      <w:r w:rsidRPr="00176431">
        <w:rPr>
          <w:rFonts w:ascii="Arial" w:hAnsi="Arial" w:cs="Arial"/>
          <w:color w:val="000000"/>
          <w:lang w:val="es-ES_tradnl"/>
        </w:rPr>
        <w:t xml:space="preserve">mínimo a certificar que debe ser en relación con el valor del presupuesto oficial del respectivo lote o grupo </w:t>
      </w:r>
      <w:r w:rsidRPr="00176431">
        <w:rPr>
          <w:rFonts w:ascii="Arial" w:hAnsi="Arial" w:cs="Arial"/>
          <w:bCs/>
          <w:lang w:val="es-ES_tradnl"/>
        </w:rPr>
        <w:t xml:space="preserve">expresado en SMMLV de acuerdo con la tabla establecida en el numeral 3.5.7 del documento base. </w:t>
      </w:r>
      <w:r w:rsidRPr="00176431">
        <w:rPr>
          <w:rFonts w:ascii="Arial" w:eastAsiaTheme="minorHAnsi" w:hAnsi="Arial" w:cs="Arial"/>
          <w:bCs/>
          <w:lang w:val="es-MX"/>
        </w:rPr>
        <w:t>Por ejemplo, quienes acrediten la experiencia</w:t>
      </w:r>
      <w:r w:rsidR="00626F62" w:rsidRPr="00176431">
        <w:rPr>
          <w:rFonts w:ascii="Arial" w:eastAsiaTheme="minorHAnsi" w:hAnsi="Arial" w:cs="Arial"/>
          <w:bCs/>
          <w:lang w:val="es-MX"/>
        </w:rPr>
        <w:t xml:space="preserve"> de un lote </w:t>
      </w:r>
      <w:r w:rsidRPr="00176431">
        <w:rPr>
          <w:rFonts w:ascii="Arial" w:eastAsiaTheme="minorHAnsi" w:hAnsi="Arial" w:cs="Arial"/>
          <w:bCs/>
          <w:lang w:val="es-MX"/>
        </w:rPr>
        <w:t xml:space="preserve">mediante 1 ó 2 contratos, la sumatoria de los valores ejecutados debe ser superior al 75% del valor del presupuesto oficial de obra expresado en SMMLV del lote respectivo, independientemente que se presente a más de un lote. </w:t>
      </w:r>
    </w:p>
    <w:p w14:paraId="1B25D904" w14:textId="7A88D870" w:rsidR="00065A18" w:rsidRPr="00176431" w:rsidRDefault="00065A18" w:rsidP="0040550C">
      <w:pPr>
        <w:tabs>
          <w:tab w:val="left" w:pos="426"/>
        </w:tabs>
        <w:spacing w:before="120" w:after="0" w:line="276" w:lineRule="auto"/>
        <w:ind w:firstLine="709"/>
        <w:jc w:val="both"/>
        <w:rPr>
          <w:rFonts w:ascii="Arial" w:hAnsi="Arial" w:cs="Arial"/>
          <w:bCs/>
        </w:rPr>
      </w:pPr>
      <w:r w:rsidRPr="00176431">
        <w:rPr>
          <w:rFonts w:ascii="Arial" w:hAnsi="Arial" w:cs="Arial"/>
          <w:bCs/>
        </w:rPr>
        <w:lastRenderedPageBreak/>
        <w:t>En este sentido, en el evento en que el proponente opte por presentar un contrato para varios lotes o grupos, dicho contrato deberá ser verificado de forma independiente en cada lote en relación con los requisitos de experiencia exigidos para cada uno de ellos y teniendo en cuenta el número total de contratos presentados en el respectivo lote con el fin de establecer el valor mínimo a certificar. En otras palabras, cada lote será evaluado de forma independiente siendo indiferente si el contrato presentado se aportó para uno o varios lotes. Ello es así pues, como se expuso, las reglas de experiencia para procesos estructurados en lotes o grupos en el documento base determinan que su acreditación se realizará respecto de cada lote o grupo</w:t>
      </w:r>
      <w:r w:rsidR="0076260A" w:rsidRPr="00176431">
        <w:rPr>
          <w:rFonts w:ascii="Arial" w:hAnsi="Arial" w:cs="Arial"/>
          <w:bCs/>
        </w:rPr>
        <w:t xml:space="preserve"> y</w:t>
      </w:r>
      <w:r w:rsidRPr="00176431">
        <w:rPr>
          <w:rFonts w:ascii="Arial" w:hAnsi="Arial" w:cs="Arial"/>
          <w:bCs/>
        </w:rPr>
        <w:t xml:space="preserve"> </w:t>
      </w:r>
      <w:r w:rsidR="0076260A" w:rsidRPr="00176431">
        <w:rPr>
          <w:rFonts w:ascii="Arial" w:hAnsi="Arial" w:cs="Arial"/>
          <w:color w:val="000000"/>
          <w:lang w:val="es-ES_tradnl"/>
        </w:rPr>
        <w:t xml:space="preserve">el valor mínimo a certificar debe ser en relación con el valor del Presupuesto Oficial del respectivo lote o grupo expresado en SMMLV, </w:t>
      </w:r>
      <w:r w:rsidR="0008508B" w:rsidRPr="00176431">
        <w:rPr>
          <w:rFonts w:ascii="Arial" w:hAnsi="Arial" w:cs="Arial"/>
          <w:bCs/>
        </w:rPr>
        <w:t>sin que haya lugar a exigir la sumatoria del valor de todos los lote para el efecto.</w:t>
      </w:r>
    </w:p>
    <w:p w14:paraId="0E6E1154" w14:textId="77777777" w:rsidR="00F9574A" w:rsidRPr="000D0CC7" w:rsidRDefault="00F9574A" w:rsidP="00C76E2D">
      <w:pPr>
        <w:autoSpaceDE w:val="0"/>
        <w:autoSpaceDN w:val="0"/>
        <w:adjustRightInd w:val="0"/>
        <w:spacing w:after="0" w:line="276" w:lineRule="auto"/>
        <w:ind w:right="709"/>
        <w:jc w:val="both"/>
        <w:rPr>
          <w:rFonts w:ascii="Arial" w:hAnsi="Arial" w:cs="Arial"/>
          <w:sz w:val="21"/>
          <w:szCs w:val="21"/>
        </w:rPr>
      </w:pPr>
    </w:p>
    <w:p w14:paraId="056816F7" w14:textId="36C087E7" w:rsidR="00D40F8B" w:rsidRPr="00A51520" w:rsidRDefault="00DD5B04" w:rsidP="00B21AD4">
      <w:pPr>
        <w:widowControl w:val="0"/>
        <w:autoSpaceDE w:val="0"/>
        <w:autoSpaceDN w:val="0"/>
        <w:spacing w:line="276" w:lineRule="auto"/>
        <w:jc w:val="both"/>
        <w:rPr>
          <w:rFonts w:ascii="Arial" w:hAnsi="Arial" w:cs="Arial"/>
          <w:lang w:val="es-ES_tradnl" w:bidi="es-ES"/>
        </w:rPr>
      </w:pPr>
      <w:r w:rsidRPr="00A51520">
        <w:rPr>
          <w:rFonts w:ascii="Arial" w:hAnsi="Arial" w:cs="Arial"/>
          <w:color w:val="000000" w:themeColor="text1"/>
          <w:lang w:val="es-ES_tradnl"/>
        </w:rPr>
        <w:t>Este concepto tiene el alcance previsto en el artículo 28 del Código de Procedimiento Administrativo y de</w:t>
      </w:r>
      <w:r w:rsidR="00D40F8B" w:rsidRPr="00A51520">
        <w:rPr>
          <w:rFonts w:ascii="Arial" w:hAnsi="Arial" w:cs="Arial"/>
          <w:color w:val="000000" w:themeColor="text1"/>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0A1E411" w14:textId="6C5F032A" w:rsidR="00D40F8B" w:rsidRPr="00A51520" w:rsidRDefault="00A4392D"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14095294" wp14:editId="44B1B608">
            <wp:extent cx="2993390" cy="1164590"/>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p w14:paraId="1ED13883" w14:textId="77777777" w:rsidR="00003233" w:rsidRPr="00A51520" w:rsidRDefault="00003233" w:rsidP="00AD4A51">
      <w:pPr>
        <w:pStyle w:val="NormalWeb"/>
        <w:spacing w:before="0" w:beforeAutospacing="0" w:after="0" w:afterAutospacing="0"/>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AD4A51">
            <w:pPr>
              <w:spacing w:after="0" w:line="240" w:lineRule="auto"/>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51520" w:rsidRDefault="00F412DF" w:rsidP="00AD4A51">
            <w:pPr>
              <w:spacing w:after="0" w:line="240" w:lineRule="auto"/>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240C71FD" w14:textId="31312C95" w:rsidR="00DD5B04" w:rsidRPr="00A51520" w:rsidRDefault="00DD5B04" w:rsidP="00AD4A51">
            <w:pPr>
              <w:spacing w:after="0" w:line="240" w:lineRule="auto"/>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AD4A51">
            <w:pPr>
              <w:spacing w:after="0" w:line="240" w:lineRule="auto"/>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7A62242E" w:rsidR="003A07D9" w:rsidRDefault="0037195B" w:rsidP="00AD4A51">
            <w:pPr>
              <w:spacing w:after="0" w:line="240" w:lineRule="auto"/>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Alejandro Sarmiento Cantillo </w:t>
            </w:r>
          </w:p>
          <w:p w14:paraId="130B3228" w14:textId="7B765391" w:rsidR="00DD5B04" w:rsidRPr="003A07D9" w:rsidRDefault="003A07D9" w:rsidP="00AD4A51">
            <w:pPr>
              <w:spacing w:after="0" w:line="240" w:lineRule="auto"/>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Gestor T1-15 de la 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AD4A51">
            <w:pPr>
              <w:spacing w:after="0" w:line="240" w:lineRule="auto"/>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C05559" w14:textId="77777777" w:rsidR="008657C6" w:rsidRPr="006A06F2" w:rsidRDefault="008657C6" w:rsidP="00AD4A51">
            <w:pPr>
              <w:spacing w:after="0" w:line="240" w:lineRule="auto"/>
            </w:pPr>
            <w:r>
              <w:rPr>
                <w:rFonts w:ascii="Arial" w:eastAsia="Arial" w:hAnsi="Arial" w:cs="Arial"/>
                <w:color w:val="000000"/>
                <w:sz w:val="16"/>
                <w:szCs w:val="16"/>
              </w:rPr>
              <w:t>Juan David Marín López</w:t>
            </w:r>
          </w:p>
          <w:p w14:paraId="1ADC483B" w14:textId="0B971153" w:rsidR="00DD5B04" w:rsidRPr="00D40F8B" w:rsidRDefault="008657C6" w:rsidP="00AD4A51">
            <w:pPr>
              <w:spacing w:after="0" w:line="240" w:lineRule="auto"/>
              <w:jc w:val="both"/>
              <w:rPr>
                <w:rFonts w:ascii="Arial" w:hAnsi="Arial" w:cs="Arial"/>
                <w:color w:val="000000" w:themeColor="text1"/>
                <w:sz w:val="16"/>
                <w:szCs w:val="16"/>
                <w:lang w:val="es-ES_tradnl"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bookmarkEnd w:id="0"/>
      <w:bookmarkEnd w:id="1"/>
    </w:tbl>
    <w:p w14:paraId="575AF8D6" w14:textId="503E82EC" w:rsidR="003A07D9" w:rsidRPr="003A07D9" w:rsidRDefault="003A07D9" w:rsidP="003A07D9">
      <w:pPr>
        <w:tabs>
          <w:tab w:val="left" w:pos="3570"/>
        </w:tabs>
        <w:rPr>
          <w:rFonts w:ascii="Arial" w:hAnsi="Arial" w:cs="Arial"/>
          <w:lang w:val="es-ES_tradnl"/>
        </w:rPr>
      </w:pPr>
    </w:p>
    <w:sectPr w:rsidR="003A07D9" w:rsidRPr="003A07D9"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44D4" w14:textId="77777777" w:rsidR="00F649F6" w:rsidRDefault="00F649F6">
      <w:r>
        <w:separator/>
      </w:r>
    </w:p>
  </w:endnote>
  <w:endnote w:type="continuationSeparator" w:id="0">
    <w:p w14:paraId="003C521C" w14:textId="77777777" w:rsidR="00F649F6" w:rsidRDefault="00F649F6">
      <w:r>
        <w:continuationSeparator/>
      </w:r>
    </w:p>
  </w:endnote>
  <w:endnote w:type="continuationNotice" w:id="1">
    <w:p w14:paraId="5A580C04" w14:textId="77777777" w:rsidR="00F649F6" w:rsidRDefault="00F64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7C6D95CC" w:rsidR="00E2520A" w:rsidRPr="0020796E" w:rsidRDefault="0020796E" w:rsidP="0020796E">
    <w:pPr>
      <w:pStyle w:val="Piedepgina"/>
      <w:rPr>
        <w:rFonts w:ascii="Arial" w:hAnsi="Arial" w:cs="Arial"/>
        <w:color w:val="7F7F7F"/>
        <w:sz w:val="16"/>
        <w:szCs w:val="16"/>
      </w:rPr>
    </w:pPr>
    <w:r>
      <w:rPr>
        <w:noProof/>
      </w:rPr>
      <w:drawing>
        <wp:inline distT="0" distB="0" distL="0" distR="0" wp14:anchorId="4EE241A6" wp14:editId="327EECCF">
          <wp:extent cx="5553075" cy="866719"/>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5787" cy="873385"/>
                  </a:xfrm>
                  <a:prstGeom prst="rect">
                    <a:avLst/>
                  </a:prstGeom>
                </pic:spPr>
              </pic:pic>
            </a:graphicData>
          </a:graphic>
        </wp:inline>
      </w:drawing>
    </w:r>
  </w:p>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42"/>
      <w:gridCol w:w="835"/>
      <w:gridCol w:w="1659"/>
      <w:gridCol w:w="717"/>
      <w:gridCol w:w="2551"/>
      <w:gridCol w:w="1423"/>
    </w:tblGrid>
    <w:tr w:rsidR="0020796E" w:rsidRPr="00080DA3" w14:paraId="68BC7901" w14:textId="77777777" w:rsidTr="0020796E">
      <w:trPr>
        <w:trHeight w:val="198"/>
        <w:jc w:val="center"/>
      </w:trPr>
      <w:tc>
        <w:tcPr>
          <w:tcW w:w="276"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08FF6F4"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E01DE96"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8C4F949"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79C225D" w14:textId="77777777" w:rsidR="0020796E" w:rsidRPr="004B6B0E" w:rsidRDefault="0020796E" w:rsidP="0020796E">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BDF1025"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77B246D" w14:textId="77777777" w:rsidR="0020796E" w:rsidRPr="00080DA3" w:rsidRDefault="0020796E" w:rsidP="0020796E">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1A3119EE"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81C4" w14:textId="77777777" w:rsidR="00F649F6" w:rsidRDefault="00F649F6">
      <w:r>
        <w:separator/>
      </w:r>
    </w:p>
  </w:footnote>
  <w:footnote w:type="continuationSeparator" w:id="0">
    <w:p w14:paraId="3AED2F25" w14:textId="77777777" w:rsidR="00F649F6" w:rsidRDefault="00F649F6">
      <w:r>
        <w:continuationSeparator/>
      </w:r>
    </w:p>
  </w:footnote>
  <w:footnote w:type="continuationNotice" w:id="1">
    <w:p w14:paraId="1D9169BE" w14:textId="77777777" w:rsidR="00F649F6" w:rsidRDefault="00F649F6"/>
  </w:footnote>
  <w:footnote w:id="2">
    <w:p w14:paraId="76AF0639" w14:textId="77777777" w:rsidR="006E7824" w:rsidRPr="00E41229" w:rsidRDefault="006E7824" w:rsidP="00E41229">
      <w:pPr>
        <w:pStyle w:val="Textonotapie"/>
        <w:ind w:firstLine="708"/>
        <w:jc w:val="both"/>
        <w:rPr>
          <w:rFonts w:ascii="Arial" w:hAnsi="Arial" w:cs="Arial"/>
          <w:sz w:val="19"/>
          <w:szCs w:val="19"/>
          <w:lang w:val="es-ES"/>
        </w:rPr>
      </w:pPr>
      <w:r w:rsidRPr="00E41229">
        <w:rPr>
          <w:rStyle w:val="Refdenotaalpie"/>
          <w:rFonts w:ascii="Arial" w:hAnsi="Arial" w:cs="Arial"/>
          <w:sz w:val="19"/>
          <w:szCs w:val="19"/>
        </w:rPr>
        <w:footnoteRef/>
      </w:r>
      <w:r w:rsidRPr="00E41229">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41229">
        <w:rPr>
          <w:rFonts w:ascii="Arial" w:hAnsi="Arial" w:cs="Arial"/>
          <w:i/>
          <w:iCs/>
          <w:sz w:val="19"/>
          <w:szCs w:val="19"/>
        </w:rPr>
        <w:t xml:space="preserve">ibidem </w:t>
      </w:r>
      <w:r w:rsidRPr="00E41229">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11A69704" w14:textId="77777777" w:rsidR="00C41F7F" w:rsidRPr="00E41229" w:rsidRDefault="00C41F7F" w:rsidP="00E41229">
      <w:pPr>
        <w:pStyle w:val="Textonotapie"/>
        <w:ind w:firstLine="708"/>
        <w:jc w:val="both"/>
        <w:rPr>
          <w:rFonts w:ascii="Arial" w:hAnsi="Arial" w:cs="Arial"/>
          <w:sz w:val="19"/>
          <w:szCs w:val="19"/>
        </w:rPr>
      </w:pPr>
      <w:r w:rsidRPr="00E41229">
        <w:rPr>
          <w:rStyle w:val="Refdenotaalpie"/>
          <w:rFonts w:ascii="Arial" w:hAnsi="Arial" w:cs="Arial"/>
          <w:sz w:val="19"/>
          <w:szCs w:val="19"/>
        </w:rPr>
        <w:footnoteRef/>
      </w:r>
      <w:r w:rsidRPr="00E41229">
        <w:rPr>
          <w:rFonts w:ascii="Arial" w:hAnsi="Arial" w:cs="Arial"/>
          <w:sz w:val="19"/>
          <w:szCs w:val="19"/>
        </w:rPr>
        <w:t xml:space="preserve"> </w:t>
      </w:r>
      <w:r w:rsidRPr="00E41229">
        <w:rPr>
          <w:rFonts w:ascii="Arial" w:hAnsi="Arial" w:cs="Arial"/>
          <w:sz w:val="19"/>
          <w:szCs w:val="19"/>
          <w:lang w:val="es-CO"/>
        </w:rPr>
        <w:t xml:space="preserve">Ley 1882 de 2018: «Artículo 4. </w:t>
      </w:r>
      <w:r w:rsidRPr="00E41229">
        <w:rPr>
          <w:rFonts w:ascii="Arial" w:hAnsi="Arial" w:cs="Arial"/>
          <w:b/>
          <w:bCs/>
          <w:sz w:val="19"/>
          <w:szCs w:val="19"/>
        </w:rPr>
        <w:t> </w:t>
      </w:r>
      <w:r w:rsidRPr="00E41229">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FC33D8" w14:textId="77777777" w:rsidR="00C41F7F" w:rsidRPr="00E41229" w:rsidRDefault="00C41F7F" w:rsidP="00E41229">
      <w:pPr>
        <w:pStyle w:val="Textonotapie"/>
        <w:ind w:firstLine="708"/>
        <w:jc w:val="both"/>
        <w:rPr>
          <w:rFonts w:ascii="Arial" w:hAnsi="Arial" w:cs="Arial"/>
          <w:sz w:val="19"/>
          <w:szCs w:val="19"/>
          <w:lang w:val="es-CO"/>
        </w:rPr>
      </w:pPr>
      <w:r w:rsidRPr="00E41229">
        <w:rPr>
          <w:rFonts w:ascii="Arial" w:hAnsi="Arial" w:cs="Arial"/>
          <w:sz w:val="19"/>
          <w:szCs w:val="19"/>
          <w:lang w:val="es-CO"/>
        </w:rPr>
        <w:t>»La facultad de adoptar documentos tipo la tendrá el Gobierno nacional, cuando lo considere necesario, en relación con otros contratos o procesos de selección.</w:t>
      </w:r>
    </w:p>
    <w:p w14:paraId="6C5DB291" w14:textId="77777777" w:rsidR="00C41F7F" w:rsidRPr="00E41229" w:rsidRDefault="00C41F7F" w:rsidP="00E41229">
      <w:pPr>
        <w:pStyle w:val="Textonotapie"/>
        <w:ind w:firstLine="708"/>
        <w:jc w:val="both"/>
        <w:rPr>
          <w:rFonts w:ascii="Arial" w:hAnsi="Arial" w:cs="Arial"/>
          <w:sz w:val="19"/>
          <w:szCs w:val="19"/>
          <w:lang w:val="es-CO"/>
        </w:rPr>
      </w:pPr>
      <w:r w:rsidRPr="00E41229">
        <w:rPr>
          <w:rFonts w:ascii="Arial" w:hAnsi="Arial" w:cs="Arial"/>
          <w:sz w:val="19"/>
          <w:szCs w:val="19"/>
          <w:lang w:val="es-CO"/>
        </w:rPr>
        <w:t>»Los pliegos tipo se adoptarán por categorías de acuerdo con la cuantía de la contratación, según la reglamentación que expida el Gobierno nacional».</w:t>
      </w:r>
    </w:p>
    <w:p w14:paraId="6198615B" w14:textId="77777777" w:rsidR="00C41F7F" w:rsidRPr="00E41229" w:rsidRDefault="00C41F7F" w:rsidP="00E41229">
      <w:pPr>
        <w:pStyle w:val="Textonotapie"/>
        <w:jc w:val="both"/>
        <w:rPr>
          <w:rFonts w:ascii="Arial" w:hAnsi="Arial" w:cs="Arial"/>
          <w:sz w:val="19"/>
          <w:szCs w:val="19"/>
          <w:lang w:val="es-CO"/>
        </w:rPr>
      </w:pPr>
    </w:p>
  </w:footnote>
  <w:footnote w:id="4">
    <w:p w14:paraId="2DDBC37D" w14:textId="77777777" w:rsidR="00C41F7F" w:rsidRPr="00E41229" w:rsidRDefault="00C41F7F" w:rsidP="00E41229">
      <w:pPr>
        <w:pStyle w:val="Textonotapie"/>
        <w:ind w:firstLine="709"/>
        <w:jc w:val="both"/>
        <w:rPr>
          <w:rFonts w:ascii="Arial" w:hAnsi="Arial" w:cs="Arial"/>
          <w:sz w:val="19"/>
          <w:szCs w:val="19"/>
        </w:rPr>
      </w:pPr>
      <w:r w:rsidRPr="00E41229">
        <w:rPr>
          <w:rStyle w:val="Refdenotaalpie"/>
          <w:rFonts w:ascii="Arial" w:hAnsi="Arial" w:cs="Arial"/>
          <w:sz w:val="19"/>
          <w:szCs w:val="19"/>
        </w:rPr>
        <w:footnoteRef/>
      </w:r>
      <w:r w:rsidRPr="00E41229">
        <w:rPr>
          <w:rFonts w:ascii="Arial" w:hAnsi="Arial" w:cs="Arial"/>
          <w:sz w:val="19"/>
          <w:szCs w:val="19"/>
        </w:rPr>
        <w:t xml:space="preserve"> 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62E76DAC" w14:textId="77777777" w:rsidR="00C41F7F" w:rsidRPr="00E41229" w:rsidRDefault="00C41F7F" w:rsidP="00E41229">
      <w:pPr>
        <w:pStyle w:val="Textonotapie"/>
        <w:ind w:firstLine="709"/>
        <w:jc w:val="both"/>
        <w:rPr>
          <w:rFonts w:ascii="Arial" w:hAnsi="Arial" w:cs="Arial"/>
          <w:sz w:val="19"/>
          <w:szCs w:val="19"/>
        </w:rPr>
      </w:pPr>
      <w:r w:rsidRPr="00E4122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3674276" w14:textId="77777777" w:rsidR="00C41F7F" w:rsidRPr="00E41229" w:rsidRDefault="00C41F7F" w:rsidP="00E41229">
      <w:pPr>
        <w:pStyle w:val="Textonotapie"/>
        <w:ind w:firstLine="709"/>
        <w:jc w:val="both"/>
        <w:rPr>
          <w:rFonts w:ascii="Arial" w:hAnsi="Arial" w:cs="Arial"/>
          <w:sz w:val="19"/>
          <w:szCs w:val="19"/>
        </w:rPr>
      </w:pPr>
      <w:r w:rsidRPr="00E4122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B6DA70D" w14:textId="77777777" w:rsidR="00C41F7F" w:rsidRPr="00E41229" w:rsidRDefault="00C41F7F" w:rsidP="00E41229">
      <w:pPr>
        <w:pStyle w:val="Textonotapie"/>
        <w:ind w:firstLine="709"/>
        <w:jc w:val="both"/>
        <w:rPr>
          <w:rFonts w:ascii="Arial" w:hAnsi="Arial" w:cs="Arial"/>
          <w:sz w:val="19"/>
          <w:szCs w:val="19"/>
        </w:rPr>
      </w:pPr>
      <w:r w:rsidRPr="00E4122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08AE4CB5" w14:textId="77777777" w:rsidR="00C41F7F" w:rsidRPr="00E41229" w:rsidRDefault="00C41F7F" w:rsidP="00E41229">
      <w:pPr>
        <w:pStyle w:val="Textonotapie"/>
        <w:ind w:firstLine="708"/>
        <w:jc w:val="both"/>
        <w:rPr>
          <w:rFonts w:ascii="Arial" w:hAnsi="Arial" w:cs="Arial"/>
          <w:sz w:val="19"/>
          <w:szCs w:val="19"/>
        </w:rPr>
      </w:pPr>
      <w:r w:rsidRPr="00E4122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21C16AF6" w14:textId="77777777" w:rsidR="00C41F7F" w:rsidRPr="00E41229" w:rsidRDefault="00C41F7F" w:rsidP="00E41229">
      <w:pPr>
        <w:pStyle w:val="Textonotapie"/>
        <w:ind w:firstLine="708"/>
        <w:jc w:val="both"/>
        <w:rPr>
          <w:rFonts w:ascii="Arial" w:hAnsi="Arial" w:cs="Arial"/>
          <w:sz w:val="19"/>
          <w:szCs w:val="19"/>
          <w:lang w:val="es-ES"/>
        </w:rPr>
      </w:pPr>
      <w:r w:rsidRPr="00E41229">
        <w:rPr>
          <w:rStyle w:val="Refdenotaalpie"/>
          <w:rFonts w:ascii="Arial" w:hAnsi="Arial" w:cs="Arial"/>
          <w:sz w:val="19"/>
          <w:szCs w:val="19"/>
        </w:rPr>
        <w:footnoteRef/>
      </w:r>
      <w:r w:rsidRPr="00E41229">
        <w:rPr>
          <w:rFonts w:ascii="Arial" w:hAnsi="Arial" w:cs="Arial"/>
          <w:sz w:val="19"/>
          <w:szCs w:val="19"/>
        </w:rPr>
        <w:t xml:space="preserve"> Código: CCE-EICP-GI-14. Versión 1</w:t>
      </w:r>
    </w:p>
  </w:footnote>
  <w:footnote w:id="6">
    <w:p w14:paraId="1431237B" w14:textId="77777777" w:rsidR="00C41F7F" w:rsidRPr="00E41229" w:rsidRDefault="00C41F7F" w:rsidP="00E41229">
      <w:pPr>
        <w:pStyle w:val="Textonotapie"/>
        <w:ind w:firstLine="709"/>
        <w:jc w:val="both"/>
        <w:rPr>
          <w:rFonts w:ascii="Arial" w:hAnsi="Arial" w:cs="Arial"/>
          <w:sz w:val="19"/>
          <w:szCs w:val="19"/>
        </w:rPr>
      </w:pPr>
      <w:r w:rsidRPr="00E41229">
        <w:rPr>
          <w:rStyle w:val="Refdenotaalpie"/>
          <w:rFonts w:ascii="Arial" w:hAnsi="Arial" w:cs="Arial"/>
          <w:sz w:val="19"/>
          <w:szCs w:val="19"/>
        </w:rPr>
        <w:footnoteRef/>
      </w:r>
      <w:r w:rsidRPr="00E41229">
        <w:rPr>
          <w:rFonts w:ascii="Arial" w:hAnsi="Arial" w:cs="Arial"/>
          <w:sz w:val="19"/>
          <w:szCs w:val="19"/>
        </w:rPr>
        <w:t xml:space="preserve"> «Artículo 6. Vigencia. La presente resolución rige a partir de su publicación y comenzará a aplicarse, de manera gradual y progresiva, en los procedimientos de selección de licitación de obra pública de infraestructura social, de acuerdo con el siguiente cronograma:</w:t>
      </w:r>
    </w:p>
    <w:p w14:paraId="3C2ADD6E" w14:textId="77777777" w:rsidR="00C41F7F" w:rsidRPr="00E41229" w:rsidRDefault="00C41F7F" w:rsidP="00E41229">
      <w:pPr>
        <w:pStyle w:val="Textonotapie"/>
        <w:ind w:firstLine="709"/>
        <w:jc w:val="both"/>
        <w:rPr>
          <w:rFonts w:ascii="Arial" w:hAnsi="Arial" w:cs="Arial"/>
          <w:sz w:val="19"/>
          <w:szCs w:val="19"/>
        </w:rPr>
      </w:pPr>
      <w:r w:rsidRPr="00E41229">
        <w:rPr>
          <w:rFonts w:ascii="Arial" w:hAnsi="Arial" w:cs="Arial"/>
          <w:sz w:val="19"/>
          <w:szCs w:val="19"/>
        </w:rPr>
        <w:t xml:space="preserve">»1. Las entidades de los sectores central y descentralizado de la Rama Ejecutiva del orden nacional deberán aplicar lo dispuesto en la resolución en los procedimientos de selección de licitación de obra pública de infraestructura social, cuyo aviso de convocatoria sea publicado a partir del 2 de noviembre de 2021. </w:t>
      </w:r>
    </w:p>
    <w:p w14:paraId="537DA432" w14:textId="77777777" w:rsidR="00C41F7F" w:rsidRPr="00E41229" w:rsidRDefault="00C41F7F" w:rsidP="00E41229">
      <w:pPr>
        <w:pStyle w:val="Textonotapie"/>
        <w:ind w:firstLine="709"/>
        <w:jc w:val="both"/>
        <w:rPr>
          <w:rFonts w:ascii="Arial" w:hAnsi="Arial" w:cs="Arial"/>
          <w:sz w:val="19"/>
          <w:szCs w:val="19"/>
        </w:rPr>
      </w:pPr>
      <w:r w:rsidRPr="00E41229">
        <w:rPr>
          <w:rFonts w:ascii="Arial" w:hAnsi="Arial" w:cs="Arial"/>
          <w:sz w:val="19"/>
          <w:szCs w:val="19"/>
        </w:rPr>
        <w:t xml:space="preserve">»2. Las entidades del sector central y del sector descentralizado de los niveles municipal y distrital de los municipios y distritos que sean capitales de departamentos deberán aplicar lo dispuesto en esta resolución en los procedimientos de selección de licitación de obra pública de infraestructura social, cuyo aviso de convocatoria sea publicado a partir del 1 de febrero de 2022. </w:t>
      </w:r>
    </w:p>
    <w:p w14:paraId="1610E6D6" w14:textId="77777777" w:rsidR="00C41F7F" w:rsidRPr="00E41229" w:rsidRDefault="00C41F7F" w:rsidP="00E41229">
      <w:pPr>
        <w:pStyle w:val="Textonotapie"/>
        <w:ind w:firstLine="709"/>
        <w:jc w:val="both"/>
        <w:rPr>
          <w:rFonts w:ascii="Arial" w:hAnsi="Arial" w:cs="Arial"/>
          <w:sz w:val="19"/>
          <w:szCs w:val="19"/>
        </w:rPr>
      </w:pPr>
      <w:r w:rsidRPr="00E41229">
        <w:rPr>
          <w:rFonts w:ascii="Arial" w:hAnsi="Arial" w:cs="Arial"/>
          <w:sz w:val="19"/>
          <w:szCs w:val="19"/>
        </w:rPr>
        <w:t xml:space="preserve">»3. Las entidades del sector central y del sector descentralizado del nivel departamental, así como las de los municipios categorías especial, 1, 2 y 3, no cobijadas por los anteriores numerales del presente artículo, deberán aplicar lo dispuesto en esta resolución en los procedimientos de selección de licitación de obra pública de infraestructura social, cuyo aviso de convocatoria sea publicado a partir del 1 de marzo de 2022. </w:t>
      </w:r>
    </w:p>
    <w:p w14:paraId="21745CF6" w14:textId="77777777" w:rsidR="00C41F7F" w:rsidRPr="00E41229" w:rsidRDefault="00C41F7F" w:rsidP="00E41229">
      <w:pPr>
        <w:pStyle w:val="Textonotapie"/>
        <w:ind w:firstLine="709"/>
        <w:jc w:val="both"/>
        <w:rPr>
          <w:rFonts w:ascii="Arial" w:hAnsi="Arial" w:cs="Arial"/>
          <w:sz w:val="19"/>
          <w:szCs w:val="19"/>
        </w:rPr>
      </w:pPr>
      <w:r w:rsidRPr="00E41229">
        <w:rPr>
          <w:rFonts w:ascii="Arial" w:hAnsi="Arial" w:cs="Arial"/>
          <w:sz w:val="19"/>
          <w:szCs w:val="19"/>
        </w:rPr>
        <w:t xml:space="preserve">»4. Las entidades del sector central y del sector descentralizado del nivel municipal, en las categorías 4, 5 y 6, al igual que las demás entidades estatales regidas por el Estatuto General de Contratación de la Administración Pública no cobijadas por los anteriores numerales del presente artículo, deberán aplicar lo dispuesto en esta resolución en los procedimientos de selección de licitación de obra pública de infraestructura social, cuyo aviso de convocatoria sea publicado a partir del 1 de abril de 2022. </w:t>
      </w:r>
    </w:p>
    <w:p w14:paraId="081F0C35" w14:textId="77777777" w:rsidR="00C41F7F" w:rsidRPr="00E41229" w:rsidRDefault="00C41F7F" w:rsidP="00E41229">
      <w:pPr>
        <w:pStyle w:val="Textonotapie"/>
        <w:ind w:firstLine="709"/>
        <w:jc w:val="both"/>
        <w:rPr>
          <w:rFonts w:ascii="Arial" w:hAnsi="Arial" w:cs="Arial"/>
          <w:sz w:val="19"/>
          <w:szCs w:val="19"/>
        </w:rPr>
      </w:pPr>
      <w:r w:rsidRPr="00E41229">
        <w:rPr>
          <w:rFonts w:ascii="Arial" w:hAnsi="Arial" w:cs="Arial"/>
          <w:sz w:val="19"/>
          <w:szCs w:val="19"/>
        </w:rPr>
        <w:t>»Parágrafo. La aplicación de los documentos tipo de licitación de obra pública de infraestructura social en los procesos de selección comienza a ser obligatoria para las entidades estatales de acuerdo con lo dispuesto en este artículo. Esto sin perjuicio de que las entidades estatales, en el marco de la autonomía y discrecionalidad que les asiste, a modo de buena práctica contractual, decidan acoger el contenido de los documentos tipo en los procesos de selección que adelanten antes de las fechas señaladas».</w:t>
      </w:r>
    </w:p>
  </w:footnote>
  <w:footnote w:id="7">
    <w:p w14:paraId="416110E6" w14:textId="0C9E2E86" w:rsidR="000204EA" w:rsidRPr="00E41229" w:rsidRDefault="000204EA" w:rsidP="00E41229">
      <w:pPr>
        <w:pStyle w:val="Textonotapie"/>
        <w:ind w:firstLine="709"/>
        <w:jc w:val="both"/>
        <w:rPr>
          <w:rFonts w:ascii="Arial" w:hAnsi="Arial" w:cs="Arial"/>
          <w:sz w:val="19"/>
          <w:szCs w:val="19"/>
          <w:lang w:val="es-CO"/>
        </w:rPr>
      </w:pPr>
      <w:r w:rsidRPr="00E41229">
        <w:rPr>
          <w:rStyle w:val="Refdenotaalpie"/>
          <w:rFonts w:ascii="Arial" w:hAnsi="Arial" w:cs="Arial"/>
          <w:sz w:val="19"/>
          <w:szCs w:val="19"/>
        </w:rPr>
        <w:footnoteRef/>
      </w:r>
      <w:r w:rsidRPr="00E41229">
        <w:rPr>
          <w:rFonts w:ascii="Arial" w:hAnsi="Arial" w:cs="Arial"/>
          <w:sz w:val="19"/>
          <w:szCs w:val="19"/>
        </w:rPr>
        <w:t xml:space="preserve"> </w:t>
      </w:r>
      <w:r w:rsidRPr="00E41229">
        <w:rPr>
          <w:rFonts w:ascii="Arial" w:hAnsi="Arial" w:cs="Arial"/>
          <w:sz w:val="19"/>
          <w:szCs w:val="19"/>
          <w:lang w:val="es-CO"/>
        </w:rPr>
        <w:t xml:space="preserve">Es importante indicar que con la expedición de la Resolución 275 del 24 de junio de 2022 se unificó la regla referente la acreditación y combinación de experiencia para todos los documentos tipo. Para estos efectos, en el literal A del numeral 3.5.2 de los documentos tipo </w:t>
      </w:r>
      <w:r w:rsidR="00015CEF" w:rsidRPr="00E41229">
        <w:rPr>
          <w:rFonts w:ascii="Arial" w:hAnsi="Arial" w:cs="Arial"/>
          <w:sz w:val="19"/>
          <w:szCs w:val="19"/>
          <w:lang w:val="es-CO"/>
        </w:rPr>
        <w:t>de infraestructura social se e</w:t>
      </w:r>
      <w:r w:rsidRPr="00E41229">
        <w:rPr>
          <w:rFonts w:ascii="Arial" w:hAnsi="Arial" w:cs="Arial"/>
          <w:sz w:val="19"/>
          <w:szCs w:val="19"/>
          <w:lang w:val="es-CO"/>
        </w:rPr>
        <w:t xml:space="preserve">stableció que </w:t>
      </w:r>
      <w:r w:rsidRPr="00E41229">
        <w:rPr>
          <w:rFonts w:ascii="Arial" w:eastAsia="Times New Roman" w:hAnsi="Arial" w:cs="Arial"/>
          <w:iCs/>
          <w:color w:val="000000"/>
          <w:sz w:val="19"/>
          <w:szCs w:val="19"/>
          <w:lang w:val="es-CO" w:eastAsia="es-ES"/>
        </w:rPr>
        <w:t xml:space="preserve">en el caso que eventualmente se soliciten combinaciones de diferentes actividades a contratar con una misma o diferentes matrices de experiencia, la entidad identificará y definirá la actividad principal o de mayor relevancia y la actividad secundaria o accesoria a la principal, de acuerdo con las características del proyecto en particular y teniendo en cuenta los lineamientos señalados en dicho numeral. </w:t>
      </w:r>
      <w:r w:rsidRPr="00E41229">
        <w:rPr>
          <w:rFonts w:ascii="Arial" w:hAnsi="Arial" w:cs="Arial"/>
          <w:sz w:val="19"/>
          <w:szCs w:val="19"/>
          <w:lang w:val="es-CO"/>
        </w:rPr>
        <w:t xml:space="preserve"> </w:t>
      </w:r>
    </w:p>
  </w:footnote>
  <w:footnote w:id="8">
    <w:p w14:paraId="43D214F5" w14:textId="45497ECC" w:rsidR="000204EA" w:rsidRPr="00E41229" w:rsidRDefault="000204EA" w:rsidP="00E41229">
      <w:pPr>
        <w:spacing w:after="0" w:line="240" w:lineRule="auto"/>
        <w:ind w:firstLine="709"/>
        <w:jc w:val="both"/>
        <w:rPr>
          <w:rFonts w:ascii="Arial" w:eastAsia="Arial" w:hAnsi="Arial" w:cs="Arial"/>
          <w:b/>
          <w:sz w:val="19"/>
          <w:szCs w:val="19"/>
        </w:rPr>
      </w:pPr>
      <w:r w:rsidRPr="00E41229">
        <w:rPr>
          <w:rStyle w:val="Refdenotaalpie"/>
          <w:rFonts w:ascii="Arial" w:hAnsi="Arial" w:cs="Arial"/>
          <w:sz w:val="19"/>
          <w:szCs w:val="19"/>
        </w:rPr>
        <w:footnoteRef/>
      </w:r>
      <w:r w:rsidRPr="00E41229">
        <w:rPr>
          <w:rFonts w:ascii="Arial" w:hAnsi="Arial" w:cs="Arial"/>
          <w:sz w:val="19"/>
          <w:szCs w:val="19"/>
        </w:rPr>
        <w:t xml:space="preserve"> </w:t>
      </w:r>
      <w:r w:rsidRPr="00E41229">
        <w:rPr>
          <w:rFonts w:ascii="Arial" w:eastAsia="Arial" w:hAnsi="Arial" w:cs="Arial"/>
          <w:sz w:val="19"/>
          <w:szCs w:val="19"/>
        </w:rPr>
        <w:t>«3.5.</w:t>
      </w:r>
      <w:r w:rsidR="00F73C77" w:rsidRPr="00E41229">
        <w:rPr>
          <w:rFonts w:ascii="Arial" w:eastAsia="Arial" w:hAnsi="Arial" w:cs="Arial"/>
          <w:sz w:val="19"/>
          <w:szCs w:val="19"/>
        </w:rPr>
        <w:t>7</w:t>
      </w:r>
      <w:r w:rsidRPr="00E41229">
        <w:rPr>
          <w:rFonts w:ascii="Arial" w:eastAsia="Arial" w:hAnsi="Arial" w:cs="Arial"/>
          <w:sz w:val="19"/>
          <w:szCs w:val="19"/>
        </w:rPr>
        <w:t>.</w:t>
      </w:r>
      <w:r w:rsidRPr="00E41229">
        <w:rPr>
          <w:rFonts w:ascii="Arial" w:eastAsia="Arial" w:hAnsi="Arial" w:cs="Arial"/>
          <w:bCs/>
          <w:sz w:val="19"/>
          <w:szCs w:val="19"/>
        </w:rPr>
        <w:t>RELACIÓN DE LOS CONTRATOS FRENTE AL PRESUPUESTO OFICIAL</w:t>
      </w:r>
    </w:p>
    <w:p w14:paraId="6D7AC6D4" w14:textId="3A06DD47" w:rsidR="000204EA" w:rsidRDefault="000204EA" w:rsidP="00E41229">
      <w:pPr>
        <w:spacing w:after="0" w:line="240" w:lineRule="auto"/>
        <w:jc w:val="both"/>
        <w:rPr>
          <w:rFonts w:ascii="Arial" w:hAnsi="Arial" w:cs="Arial"/>
          <w:color w:val="000000"/>
          <w:sz w:val="19"/>
          <w:szCs w:val="19"/>
          <w:lang w:val="es-MX"/>
        </w:rPr>
      </w:pPr>
      <w:r w:rsidRPr="00E41229">
        <w:rPr>
          <w:rFonts w:ascii="Arial" w:hAnsi="Arial" w:cs="Arial"/>
          <w:color w:val="000000"/>
          <w:sz w:val="19"/>
          <w:szCs w:val="19"/>
          <w:lang w:val="es-MX"/>
        </w:rPr>
        <w:t>La verificación del número de contratos para acreditar la experiencia se realiza de la siguiente manera:</w:t>
      </w:r>
    </w:p>
    <w:p w14:paraId="3463D04D" w14:textId="77777777" w:rsidR="006A3704" w:rsidRPr="00E41229" w:rsidRDefault="006A3704" w:rsidP="00E41229">
      <w:pPr>
        <w:spacing w:after="0" w:line="240" w:lineRule="auto"/>
        <w:jc w:val="both"/>
        <w:rPr>
          <w:rFonts w:ascii="Arial" w:hAnsi="Arial" w:cs="Arial"/>
          <w:color w:val="000000"/>
          <w:sz w:val="19"/>
          <w:szCs w:val="19"/>
          <w:lang w:val="es-MX"/>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7"/>
        <w:gridCol w:w="4182"/>
      </w:tblGrid>
      <w:tr w:rsidR="000204EA" w:rsidRPr="00E41229" w14:paraId="4B081314" w14:textId="77777777" w:rsidTr="007E79BA">
        <w:trPr>
          <w:trHeight w:val="774"/>
          <w:tblHeader/>
        </w:trPr>
        <w:tc>
          <w:tcPr>
            <w:tcW w:w="3047" w:type="dxa"/>
            <w:tcBorders>
              <w:top w:val="double" w:sz="4" w:space="0" w:color="auto"/>
              <w:left w:val="double" w:sz="4" w:space="0" w:color="auto"/>
              <w:bottom w:val="single" w:sz="4" w:space="0" w:color="000000"/>
              <w:right w:val="single" w:sz="4" w:space="0" w:color="000000"/>
            </w:tcBorders>
            <w:shd w:val="clear" w:color="auto" w:fill="404040"/>
            <w:vAlign w:val="center"/>
            <w:hideMark/>
          </w:tcPr>
          <w:p w14:paraId="1A2AAC54" w14:textId="77777777" w:rsidR="000204EA" w:rsidRPr="00E41229" w:rsidRDefault="000204EA" w:rsidP="00E41229">
            <w:pPr>
              <w:spacing w:after="0" w:line="240" w:lineRule="auto"/>
              <w:jc w:val="center"/>
              <w:rPr>
                <w:rFonts w:ascii="Arial" w:hAnsi="Arial" w:cs="Arial"/>
                <w:b/>
                <w:bCs/>
                <w:color w:val="FFFFFF"/>
                <w:sz w:val="19"/>
                <w:szCs w:val="19"/>
                <w:lang w:val="es-ES"/>
              </w:rPr>
            </w:pPr>
            <w:r w:rsidRPr="00E41229">
              <w:rPr>
                <w:rFonts w:ascii="Arial" w:hAnsi="Arial" w:cs="Arial"/>
                <w:b/>
                <w:bCs/>
                <w:color w:val="FFFFFF"/>
                <w:sz w:val="19"/>
                <w:szCs w:val="19"/>
                <w:lang w:val="es-ES"/>
              </w:rPr>
              <w:t>Número de contratos con los cuales el Proponente cumple la experiencia acreditada</w:t>
            </w:r>
          </w:p>
        </w:tc>
        <w:tc>
          <w:tcPr>
            <w:tcW w:w="4182" w:type="dxa"/>
            <w:tcBorders>
              <w:top w:val="double" w:sz="4" w:space="0" w:color="auto"/>
              <w:left w:val="single" w:sz="4" w:space="0" w:color="000000"/>
              <w:bottom w:val="single" w:sz="4" w:space="0" w:color="000000"/>
              <w:right w:val="double" w:sz="4" w:space="0" w:color="auto"/>
            </w:tcBorders>
            <w:shd w:val="clear" w:color="auto" w:fill="404040"/>
            <w:vAlign w:val="center"/>
            <w:hideMark/>
          </w:tcPr>
          <w:p w14:paraId="7221C8FC" w14:textId="77777777" w:rsidR="000204EA" w:rsidRPr="00E41229" w:rsidRDefault="000204EA" w:rsidP="00E41229">
            <w:pPr>
              <w:spacing w:after="0" w:line="240" w:lineRule="auto"/>
              <w:jc w:val="center"/>
              <w:rPr>
                <w:rFonts w:ascii="Arial" w:hAnsi="Arial" w:cs="Arial"/>
                <w:b/>
                <w:bCs/>
                <w:color w:val="FFFFFF"/>
                <w:sz w:val="19"/>
                <w:szCs w:val="19"/>
                <w:lang w:val="es-ES"/>
              </w:rPr>
            </w:pPr>
            <w:r w:rsidRPr="00E41229">
              <w:rPr>
                <w:rFonts w:ascii="Arial" w:hAnsi="Arial" w:cs="Arial"/>
                <w:b/>
                <w:bCs/>
                <w:color w:val="FFFFFF"/>
                <w:sz w:val="19"/>
                <w:szCs w:val="19"/>
                <w:lang w:val="es-ES"/>
              </w:rPr>
              <w:t>Valor mínimo a certificar</w:t>
            </w:r>
          </w:p>
          <w:p w14:paraId="15286DC6" w14:textId="77777777" w:rsidR="000204EA" w:rsidRPr="00E41229" w:rsidRDefault="000204EA" w:rsidP="00E41229">
            <w:pPr>
              <w:spacing w:after="0" w:line="240" w:lineRule="auto"/>
              <w:jc w:val="center"/>
              <w:rPr>
                <w:rFonts w:ascii="Arial" w:hAnsi="Arial" w:cs="Arial"/>
                <w:b/>
                <w:bCs/>
                <w:color w:val="FFFFFF"/>
                <w:sz w:val="19"/>
                <w:szCs w:val="19"/>
                <w:lang w:val="es-ES"/>
              </w:rPr>
            </w:pPr>
            <w:r w:rsidRPr="00E41229">
              <w:rPr>
                <w:rFonts w:ascii="Arial" w:hAnsi="Arial" w:cs="Arial"/>
                <w:b/>
                <w:bCs/>
                <w:color w:val="FFFFFF"/>
                <w:sz w:val="19"/>
                <w:szCs w:val="19"/>
                <w:lang w:val="es-ES"/>
              </w:rPr>
              <w:t>(como % del Presupuesto Oficial de obra expresado en SMMLV)</w:t>
            </w:r>
          </w:p>
        </w:tc>
      </w:tr>
      <w:tr w:rsidR="000204EA" w:rsidRPr="00E41229" w14:paraId="3B3DDDD1" w14:textId="77777777" w:rsidTr="007E79BA">
        <w:trPr>
          <w:trHeight w:val="267"/>
        </w:trPr>
        <w:tc>
          <w:tcPr>
            <w:tcW w:w="3047" w:type="dxa"/>
            <w:tcBorders>
              <w:top w:val="single" w:sz="4" w:space="0" w:color="000000"/>
              <w:left w:val="double" w:sz="4" w:space="0" w:color="auto"/>
              <w:bottom w:val="single" w:sz="4" w:space="0" w:color="000000"/>
              <w:right w:val="single" w:sz="4" w:space="0" w:color="000000"/>
            </w:tcBorders>
            <w:vAlign w:val="center"/>
            <w:hideMark/>
          </w:tcPr>
          <w:p w14:paraId="0FD0D16B" w14:textId="77777777" w:rsidR="000204EA" w:rsidRPr="00E41229" w:rsidRDefault="000204EA" w:rsidP="00E41229">
            <w:pPr>
              <w:spacing w:after="0" w:line="240" w:lineRule="auto"/>
              <w:jc w:val="center"/>
              <w:rPr>
                <w:rFonts w:ascii="Arial" w:hAnsi="Arial" w:cs="Arial"/>
                <w:sz w:val="19"/>
                <w:szCs w:val="19"/>
                <w:lang w:val="es-ES"/>
              </w:rPr>
            </w:pPr>
            <w:r w:rsidRPr="00E41229">
              <w:rPr>
                <w:rFonts w:ascii="Arial" w:hAnsi="Arial" w:cs="Arial"/>
                <w:sz w:val="19"/>
                <w:szCs w:val="19"/>
                <w:lang w:val="es-ES"/>
              </w:rPr>
              <w:t>De 1 hasta 2</w:t>
            </w:r>
          </w:p>
        </w:tc>
        <w:tc>
          <w:tcPr>
            <w:tcW w:w="4182" w:type="dxa"/>
            <w:tcBorders>
              <w:top w:val="single" w:sz="4" w:space="0" w:color="000000"/>
              <w:left w:val="single" w:sz="4" w:space="0" w:color="000000"/>
              <w:bottom w:val="single" w:sz="4" w:space="0" w:color="000000"/>
              <w:right w:val="double" w:sz="4" w:space="0" w:color="auto"/>
            </w:tcBorders>
            <w:vAlign w:val="center"/>
            <w:hideMark/>
          </w:tcPr>
          <w:p w14:paraId="58FE9F9B" w14:textId="77777777" w:rsidR="000204EA" w:rsidRPr="00E41229" w:rsidRDefault="000204EA" w:rsidP="00E41229">
            <w:pPr>
              <w:spacing w:after="0" w:line="240" w:lineRule="auto"/>
              <w:jc w:val="center"/>
              <w:rPr>
                <w:rFonts w:ascii="Arial" w:hAnsi="Arial" w:cs="Arial"/>
                <w:sz w:val="19"/>
                <w:szCs w:val="19"/>
                <w:lang w:val="es-ES"/>
              </w:rPr>
            </w:pPr>
            <w:r w:rsidRPr="00E41229">
              <w:rPr>
                <w:rFonts w:ascii="Arial" w:hAnsi="Arial" w:cs="Arial"/>
                <w:sz w:val="19"/>
                <w:szCs w:val="19"/>
                <w:lang w:val="es-ES"/>
              </w:rPr>
              <w:t>75 %</w:t>
            </w:r>
          </w:p>
        </w:tc>
      </w:tr>
      <w:tr w:rsidR="000204EA" w:rsidRPr="00E41229" w14:paraId="10520164" w14:textId="77777777" w:rsidTr="007E79BA">
        <w:trPr>
          <w:trHeight w:val="267"/>
        </w:trPr>
        <w:tc>
          <w:tcPr>
            <w:tcW w:w="3047" w:type="dxa"/>
            <w:tcBorders>
              <w:top w:val="single" w:sz="4" w:space="0" w:color="000000"/>
              <w:left w:val="double" w:sz="4" w:space="0" w:color="auto"/>
              <w:bottom w:val="single" w:sz="4" w:space="0" w:color="000000"/>
              <w:right w:val="single" w:sz="4" w:space="0" w:color="000000"/>
            </w:tcBorders>
            <w:vAlign w:val="center"/>
            <w:hideMark/>
          </w:tcPr>
          <w:p w14:paraId="4F7372F7" w14:textId="77777777" w:rsidR="000204EA" w:rsidRPr="00E41229" w:rsidRDefault="000204EA" w:rsidP="00E41229">
            <w:pPr>
              <w:spacing w:after="0" w:line="240" w:lineRule="auto"/>
              <w:jc w:val="center"/>
              <w:rPr>
                <w:rFonts w:ascii="Arial" w:hAnsi="Arial" w:cs="Arial"/>
                <w:sz w:val="19"/>
                <w:szCs w:val="19"/>
                <w:lang w:val="es-ES"/>
              </w:rPr>
            </w:pPr>
            <w:r w:rsidRPr="00E41229">
              <w:rPr>
                <w:rFonts w:ascii="Arial" w:hAnsi="Arial" w:cs="Arial"/>
                <w:sz w:val="19"/>
                <w:szCs w:val="19"/>
                <w:lang w:val="es-ES"/>
              </w:rPr>
              <w:t>De 3 hasta 4</w:t>
            </w:r>
          </w:p>
        </w:tc>
        <w:tc>
          <w:tcPr>
            <w:tcW w:w="4182" w:type="dxa"/>
            <w:tcBorders>
              <w:top w:val="single" w:sz="4" w:space="0" w:color="000000"/>
              <w:left w:val="single" w:sz="4" w:space="0" w:color="000000"/>
              <w:bottom w:val="single" w:sz="4" w:space="0" w:color="000000"/>
              <w:right w:val="double" w:sz="4" w:space="0" w:color="auto"/>
            </w:tcBorders>
            <w:vAlign w:val="center"/>
            <w:hideMark/>
          </w:tcPr>
          <w:p w14:paraId="1B0E57FB" w14:textId="77777777" w:rsidR="000204EA" w:rsidRPr="00E41229" w:rsidRDefault="000204EA" w:rsidP="00E41229">
            <w:pPr>
              <w:spacing w:after="0" w:line="240" w:lineRule="auto"/>
              <w:jc w:val="center"/>
              <w:rPr>
                <w:rFonts w:ascii="Arial" w:hAnsi="Arial" w:cs="Arial"/>
                <w:sz w:val="19"/>
                <w:szCs w:val="19"/>
                <w:lang w:val="es-ES"/>
              </w:rPr>
            </w:pPr>
            <w:r w:rsidRPr="00E41229">
              <w:rPr>
                <w:rFonts w:ascii="Arial" w:hAnsi="Arial" w:cs="Arial"/>
                <w:sz w:val="19"/>
                <w:szCs w:val="19"/>
                <w:lang w:val="es-ES"/>
              </w:rPr>
              <w:t>120 %</w:t>
            </w:r>
          </w:p>
        </w:tc>
      </w:tr>
      <w:tr w:rsidR="000204EA" w:rsidRPr="00E41229" w14:paraId="0CA0B8B5" w14:textId="77777777" w:rsidTr="007E79BA">
        <w:trPr>
          <w:trHeight w:val="282"/>
        </w:trPr>
        <w:tc>
          <w:tcPr>
            <w:tcW w:w="3047" w:type="dxa"/>
            <w:tcBorders>
              <w:top w:val="single" w:sz="4" w:space="0" w:color="000000"/>
              <w:left w:val="double" w:sz="4" w:space="0" w:color="auto"/>
              <w:bottom w:val="single" w:sz="4" w:space="0" w:color="000000"/>
              <w:right w:val="single" w:sz="4" w:space="0" w:color="000000"/>
            </w:tcBorders>
            <w:vAlign w:val="center"/>
            <w:hideMark/>
          </w:tcPr>
          <w:p w14:paraId="350C1E90" w14:textId="77777777" w:rsidR="000204EA" w:rsidRPr="00E41229" w:rsidRDefault="000204EA" w:rsidP="00E41229">
            <w:pPr>
              <w:spacing w:after="0" w:line="240" w:lineRule="auto"/>
              <w:jc w:val="center"/>
              <w:rPr>
                <w:rFonts w:ascii="Arial" w:hAnsi="Arial" w:cs="Arial"/>
                <w:sz w:val="19"/>
                <w:szCs w:val="19"/>
                <w:lang w:val="es-ES"/>
              </w:rPr>
            </w:pPr>
            <w:r w:rsidRPr="00E41229">
              <w:rPr>
                <w:rFonts w:ascii="Arial" w:hAnsi="Arial" w:cs="Arial"/>
                <w:sz w:val="19"/>
                <w:szCs w:val="19"/>
                <w:lang w:val="es-ES"/>
              </w:rPr>
              <w:t>Hasta 5</w:t>
            </w:r>
          </w:p>
        </w:tc>
        <w:tc>
          <w:tcPr>
            <w:tcW w:w="4182" w:type="dxa"/>
            <w:tcBorders>
              <w:top w:val="single" w:sz="4" w:space="0" w:color="000000"/>
              <w:left w:val="single" w:sz="4" w:space="0" w:color="000000"/>
              <w:bottom w:val="single" w:sz="4" w:space="0" w:color="000000"/>
              <w:right w:val="double" w:sz="4" w:space="0" w:color="auto"/>
            </w:tcBorders>
            <w:vAlign w:val="center"/>
            <w:hideMark/>
          </w:tcPr>
          <w:p w14:paraId="2CFD4DDC" w14:textId="77777777" w:rsidR="000204EA" w:rsidRPr="00E41229" w:rsidRDefault="000204EA" w:rsidP="00E41229">
            <w:pPr>
              <w:spacing w:after="0" w:line="240" w:lineRule="auto"/>
              <w:jc w:val="center"/>
              <w:rPr>
                <w:rFonts w:ascii="Arial" w:hAnsi="Arial" w:cs="Arial"/>
                <w:sz w:val="19"/>
                <w:szCs w:val="19"/>
                <w:lang w:val="es-ES"/>
              </w:rPr>
            </w:pPr>
            <w:r w:rsidRPr="00E41229">
              <w:rPr>
                <w:rFonts w:ascii="Arial" w:hAnsi="Arial" w:cs="Arial"/>
                <w:sz w:val="19"/>
                <w:szCs w:val="19"/>
                <w:lang w:val="es-ES"/>
              </w:rPr>
              <w:t>150 %</w:t>
            </w:r>
          </w:p>
        </w:tc>
      </w:tr>
    </w:tbl>
    <w:p w14:paraId="0CDAABAF" w14:textId="77777777" w:rsidR="000204EA" w:rsidRPr="00E41229" w:rsidRDefault="000204EA" w:rsidP="00E41229">
      <w:pPr>
        <w:spacing w:after="0" w:line="240" w:lineRule="auto"/>
        <w:ind w:firstLine="709"/>
        <w:jc w:val="both"/>
        <w:rPr>
          <w:rFonts w:ascii="Arial" w:eastAsia="Arial" w:hAnsi="Arial" w:cs="Arial"/>
          <w:sz w:val="19"/>
          <w:szCs w:val="19"/>
        </w:rPr>
      </w:pPr>
    </w:p>
    <w:p w14:paraId="3BF90754" w14:textId="77777777" w:rsidR="000204EA" w:rsidRPr="00E41229" w:rsidRDefault="000204EA" w:rsidP="00E41229">
      <w:pPr>
        <w:spacing w:after="0" w:line="240" w:lineRule="auto"/>
        <w:ind w:firstLine="709"/>
        <w:jc w:val="both"/>
        <w:rPr>
          <w:rFonts w:ascii="Arial" w:hAnsi="Arial" w:cs="Arial"/>
          <w:iCs/>
          <w:color w:val="000000"/>
          <w:sz w:val="19"/>
          <w:szCs w:val="19"/>
        </w:rPr>
      </w:pPr>
      <w:r w:rsidRPr="00E41229">
        <w:rPr>
          <w:rFonts w:ascii="Arial" w:eastAsia="Arial" w:hAnsi="Arial" w:cs="Arial"/>
          <w:sz w:val="19"/>
          <w:szCs w:val="19"/>
        </w:rPr>
        <w:t>«</w:t>
      </w:r>
      <w:r w:rsidRPr="00E41229">
        <w:rPr>
          <w:rFonts w:ascii="Arial" w:hAnsi="Arial" w:cs="Arial"/>
          <w:iCs/>
          <w:color w:val="000000"/>
          <w:sz w:val="19"/>
          <w:szCs w:val="19"/>
        </w:rPr>
        <w:t>Si el número de contratos aportados supera los cinco (5) inicialmente previstos en este numeral, debido a la posibilidad de allegar contratos adicionales por tratarse de una Mipyme y/o emprendimiento y empresa de mujer, estos contratos adicionales, ya sean seis (6) o siete (7) contratos -dependiendo si acredita una o ambas condiciones-, se tendrán en cuenta para demostrar el valor del ciento cincuenta por ciento (150 %) del valor del Presupuesto Oficial.</w:t>
      </w:r>
    </w:p>
    <w:p w14:paraId="5B9B088A" w14:textId="77777777" w:rsidR="000204EA" w:rsidRPr="00E41229" w:rsidRDefault="000204EA" w:rsidP="00E41229">
      <w:pPr>
        <w:spacing w:after="0" w:line="240" w:lineRule="auto"/>
        <w:ind w:firstLine="709"/>
        <w:jc w:val="both"/>
        <w:rPr>
          <w:rFonts w:ascii="Arial" w:hAnsi="Arial" w:cs="Arial"/>
          <w:iCs/>
          <w:color w:val="000000"/>
          <w:sz w:val="19"/>
          <w:szCs w:val="19"/>
        </w:rPr>
      </w:pPr>
      <w:r w:rsidRPr="00E41229">
        <w:rPr>
          <w:rFonts w:ascii="Arial" w:eastAsia="Arial" w:hAnsi="Arial" w:cs="Arial"/>
          <w:sz w:val="19"/>
          <w:szCs w:val="19"/>
        </w:rPr>
        <w:t>«</w:t>
      </w:r>
      <w:r w:rsidRPr="00E41229">
        <w:rPr>
          <w:rFonts w:ascii="Arial" w:hAnsi="Arial" w:cs="Arial"/>
          <w:iCs/>
          <w:color w:val="000000"/>
          <w:sz w:val="19"/>
          <w:szCs w:val="19"/>
          <w:lang w:val="es-MX"/>
        </w:rPr>
        <w:t>La verificación se hará con base en la sumatoria de los valores totales ejecutados (incluido IVA) en SMMLV de los contratos que cumplan con los requisitos establecidos en este Pliego de Condiciones.</w:t>
      </w:r>
    </w:p>
    <w:p w14:paraId="65A38CF8" w14:textId="77777777" w:rsidR="000204EA" w:rsidRPr="00E41229" w:rsidRDefault="000204EA" w:rsidP="00E41229">
      <w:pPr>
        <w:spacing w:after="0" w:line="240" w:lineRule="auto"/>
        <w:jc w:val="both"/>
        <w:rPr>
          <w:rFonts w:ascii="Arial" w:hAnsi="Arial" w:cs="Arial"/>
          <w:iCs/>
          <w:color w:val="000000"/>
          <w:sz w:val="19"/>
          <w:szCs w:val="19"/>
          <w:lang w:val="es-MX"/>
        </w:rPr>
      </w:pPr>
      <w:r w:rsidRPr="00E41229">
        <w:rPr>
          <w:rFonts w:ascii="Arial" w:hAnsi="Arial" w:cs="Arial"/>
          <w:iCs/>
          <w:color w:val="000000"/>
          <w:sz w:val="19"/>
          <w:szCs w:val="19"/>
          <w:lang w:val="es-MX"/>
        </w:rPr>
        <w:t>El Proponente cumple el requisito de experiencia si la sumatoria de los valores totales ejecutados (incluido IVA) de los contratos expresados en SMMLV es mayor o igual al valor mínimo a certificar establecido en la tabla anterior.</w:t>
      </w:r>
    </w:p>
    <w:p w14:paraId="4E63E314" w14:textId="77777777" w:rsidR="000204EA" w:rsidRPr="00E41229" w:rsidRDefault="000204EA" w:rsidP="00E41229">
      <w:pPr>
        <w:spacing w:after="0" w:line="240" w:lineRule="auto"/>
        <w:ind w:firstLine="709"/>
        <w:jc w:val="both"/>
        <w:rPr>
          <w:rFonts w:ascii="Arial" w:hAnsi="Arial" w:cs="Arial"/>
          <w:iCs/>
          <w:color w:val="000000"/>
          <w:sz w:val="19"/>
          <w:szCs w:val="19"/>
          <w:lang w:val="es-MX"/>
        </w:rPr>
      </w:pPr>
      <w:r w:rsidRPr="00E41229">
        <w:rPr>
          <w:rFonts w:ascii="Arial" w:eastAsia="Arial" w:hAnsi="Arial" w:cs="Arial"/>
          <w:sz w:val="19"/>
          <w:szCs w:val="19"/>
        </w:rPr>
        <w:t>«</w:t>
      </w:r>
      <w:r w:rsidRPr="00E41229">
        <w:rPr>
          <w:rFonts w:ascii="Arial" w:hAnsi="Arial" w:cs="Arial"/>
          <w:iCs/>
          <w:color w:val="000000"/>
          <w:sz w:val="19"/>
          <w:szCs w:val="19"/>
          <w:lang w:val="es-MX"/>
        </w:rPr>
        <w:t>En caso de que el número de contratos con los cuales el Proponente acredita la experiencia no satisface el porcentaje mínimo a certificar establecido en la tabla anterior, se calificará la propuesta como no hábil y el Proponente podrá subsanarla en los términos contemplados en la sección 1.6.</w:t>
      </w:r>
    </w:p>
    <w:p w14:paraId="690B6010" w14:textId="77777777" w:rsidR="000204EA" w:rsidRPr="00E41229" w:rsidRDefault="000204EA" w:rsidP="00E41229">
      <w:pPr>
        <w:spacing w:after="0" w:line="240" w:lineRule="auto"/>
        <w:ind w:firstLine="709"/>
        <w:jc w:val="both"/>
        <w:rPr>
          <w:rFonts w:ascii="Arial" w:hAnsi="Arial" w:cs="Arial"/>
          <w:iCs/>
          <w:color w:val="000000"/>
          <w:sz w:val="19"/>
          <w:szCs w:val="19"/>
          <w:highlight w:val="lightGray"/>
          <w:lang w:val="es-MX"/>
        </w:rPr>
      </w:pPr>
      <w:r w:rsidRPr="00E41229">
        <w:rPr>
          <w:rFonts w:ascii="Arial" w:eastAsia="Arial" w:hAnsi="Arial" w:cs="Arial"/>
          <w:sz w:val="19"/>
          <w:szCs w:val="19"/>
        </w:rPr>
        <w:t>«</w:t>
      </w:r>
      <w:r w:rsidRPr="00E41229">
        <w:rPr>
          <w:rFonts w:ascii="Arial" w:hAnsi="Arial" w:cs="Arial"/>
          <w:iCs/>
          <w:color w:val="000000"/>
          <w:sz w:val="19"/>
          <w:szCs w:val="19"/>
          <w:highlight w:val="lightGray"/>
          <w:lang w:val="es-MX"/>
        </w:rPr>
        <w:t xml:space="preserve"> [En los procesos estructurados por lotes o por grupos, el valor mínimo a certificar debe ser en relación con el valor del Presupuesto Oficial del respectivo lote o grupo expresado en SMMLV]”.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E31D" w14:textId="6E2810A5" w:rsidR="00E2520A" w:rsidRDefault="00E2520A" w:rsidP="006A3704">
    <w:pPr>
      <w:spacing w:after="0" w:line="240" w:lineRule="auto"/>
    </w:pPr>
  </w:p>
  <w:p w14:paraId="603D9E86" w14:textId="61607A32" w:rsidR="0020796E" w:rsidRDefault="0020796E" w:rsidP="006A3704">
    <w:pPr>
      <w:spacing w:after="0" w:line="240" w:lineRule="auto"/>
      <w:rPr>
        <w:rFonts w:ascii="Geomanist Bold" w:hAnsi="Geomanist Bold"/>
        <w:color w:val="002060"/>
      </w:rPr>
    </w:pPr>
    <w:r>
      <w:rPr>
        <w:noProof/>
      </w:rPr>
      <w:drawing>
        <wp:anchor distT="0" distB="0" distL="0" distR="0" simplePos="0" relativeHeight="251659264" behindDoc="1" locked="0" layoutInCell="1" allowOverlap="1" wp14:anchorId="2298F00B" wp14:editId="691EE5BD">
          <wp:simplePos x="0" y="0"/>
          <wp:positionH relativeFrom="margin">
            <wp:align>right</wp:align>
          </wp:positionH>
          <wp:positionV relativeFrom="paragraph">
            <wp:posOffset>6985</wp:posOffset>
          </wp:positionV>
          <wp:extent cx="1657350" cy="676275"/>
          <wp:effectExtent l="0" t="0" r="0" b="9525"/>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20796E" w14:paraId="48C686BC" w14:textId="77777777" w:rsidTr="0020796E">
      <w:tc>
        <w:tcPr>
          <w:tcW w:w="6757" w:type="dxa"/>
          <w:tcBorders>
            <w:top w:val="nil"/>
            <w:left w:val="nil"/>
            <w:bottom w:val="nil"/>
            <w:right w:val="nil"/>
          </w:tcBorders>
          <w:hideMark/>
        </w:tcPr>
        <w:p w14:paraId="36F7744A" w14:textId="77777777" w:rsidR="0020796E" w:rsidRDefault="0020796E" w:rsidP="006A3704">
          <w:pPr>
            <w:tabs>
              <w:tab w:val="center" w:pos="4419"/>
              <w:tab w:val="center" w:pos="5400"/>
              <w:tab w:val="right" w:pos="8838"/>
            </w:tabs>
            <w:spacing w:after="0" w:line="240" w:lineRule="auto"/>
            <w:rPr>
              <w:rFonts w:ascii="Geomanist Bold" w:eastAsia="Geo" w:hAnsi="Geomanist Bold" w:cs="Geo"/>
              <w:b/>
              <w:color w:val="002060"/>
              <w:lang w:eastAsia="es-CO"/>
            </w:rPr>
          </w:pPr>
          <w:r>
            <w:rPr>
              <w:rFonts w:ascii="Geomanist Bold" w:eastAsia="Geo" w:hAnsi="Geomanist Bold" w:cs="Geo"/>
              <w:b/>
              <w:color w:val="000000"/>
              <w:sz w:val="20"/>
              <w:szCs w:val="20"/>
              <w:lang w:eastAsia="es-CO"/>
            </w:rPr>
            <w:t xml:space="preserve">Código: </w:t>
          </w:r>
          <w:r>
            <w:rPr>
              <w:rFonts w:ascii="Geomanist Light" w:eastAsia="Geo" w:hAnsi="Geomanist Light" w:cs="Geo"/>
              <w:b/>
              <w:color w:val="000000"/>
              <w:sz w:val="18"/>
              <w:szCs w:val="18"/>
              <w:lang w:eastAsia="es-CO"/>
            </w:rPr>
            <w:t>CCE-PQRSD-FM-08</w:t>
          </w:r>
        </w:p>
        <w:p w14:paraId="4E350D27" w14:textId="77777777" w:rsidR="0020796E" w:rsidRDefault="0020796E" w:rsidP="006A3704">
          <w:pPr>
            <w:tabs>
              <w:tab w:val="center" w:pos="4419"/>
              <w:tab w:val="center" w:pos="5400"/>
              <w:tab w:val="right" w:pos="8838"/>
            </w:tabs>
            <w:spacing w:after="0" w:line="240" w:lineRule="auto"/>
            <w:rPr>
              <w:rFonts w:asciiTheme="minorHAnsi" w:eastAsia="Arial Nova" w:hAnsiTheme="minorHAnsi" w:cs="Arial Nova"/>
              <w:color w:val="000000"/>
              <w:sz w:val="18"/>
              <w:szCs w:val="18"/>
              <w:lang w:eastAsia="es-CO"/>
            </w:rPr>
          </w:pPr>
          <w:r>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Pr>
              <w:rFonts w:ascii="Geomanist Light" w:eastAsia="Geo" w:hAnsi="Geomanist Light" w:cs="Geo"/>
              <w:sz w:val="18"/>
              <w:szCs w:val="18"/>
              <w:lang w:eastAsia="es-CO"/>
            </w:rPr>
            <w:t>01 DEL 30 DE AGOSTO DE 2022</w:t>
          </w:r>
        </w:p>
      </w:tc>
      <w:tc>
        <w:tcPr>
          <w:tcW w:w="1324" w:type="dxa"/>
          <w:tcBorders>
            <w:top w:val="nil"/>
            <w:left w:val="nil"/>
            <w:bottom w:val="nil"/>
            <w:right w:val="nil"/>
          </w:tcBorders>
        </w:tcPr>
        <w:p w14:paraId="64467BF0" w14:textId="77777777" w:rsidR="0020796E" w:rsidRDefault="0020796E" w:rsidP="006A3704">
          <w:pPr>
            <w:spacing w:after="0" w:line="240" w:lineRule="auto"/>
            <w:jc w:val="right"/>
            <w:rPr>
              <w:rFonts w:eastAsia="Arial Nova" w:cs="Arial Nova"/>
              <w:lang w:eastAsia="es-CO"/>
            </w:rPr>
          </w:pPr>
        </w:p>
      </w:tc>
      <w:tc>
        <w:tcPr>
          <w:tcW w:w="1324" w:type="dxa"/>
          <w:tcBorders>
            <w:top w:val="nil"/>
            <w:left w:val="nil"/>
            <w:bottom w:val="nil"/>
            <w:right w:val="nil"/>
          </w:tcBorders>
        </w:tcPr>
        <w:p w14:paraId="7F0DA02B" w14:textId="77777777" w:rsidR="0020796E" w:rsidRDefault="0020796E" w:rsidP="006A3704">
          <w:pPr>
            <w:spacing w:after="0" w:line="240" w:lineRule="auto"/>
            <w:jc w:val="right"/>
            <w:rPr>
              <w:rFonts w:eastAsia="Arial Nova" w:cs="Arial Nova"/>
              <w:lang w:eastAsia="es-CO"/>
            </w:rPr>
          </w:pPr>
        </w:p>
      </w:tc>
    </w:tr>
  </w:tbl>
  <w:p w14:paraId="5DBE9C96" w14:textId="263A9DAC" w:rsidR="00E2520A" w:rsidRDefault="0020796E" w:rsidP="0020796E">
    <w:r>
      <w:rPr>
        <w:noProof/>
      </w:rPr>
      <w:drawing>
        <wp:inline distT="0" distB="0" distL="0" distR="0" wp14:anchorId="31BFA4E7" wp14:editId="20260E75">
          <wp:extent cx="3238500" cy="76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6265F41"/>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41EC3752"/>
    <w:multiLevelType w:val="hybridMultilevel"/>
    <w:tmpl w:val="6896A652"/>
    <w:lvl w:ilvl="0" w:tplc="9CAE3458">
      <w:start w:val="4"/>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B0B480E"/>
    <w:multiLevelType w:val="hybridMultilevel"/>
    <w:tmpl w:val="5330C58C"/>
    <w:lvl w:ilvl="0" w:tplc="E8A0D3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9"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19"/>
  </w:num>
  <w:num w:numId="2" w16cid:durableId="1478569355">
    <w:abstractNumId w:val="17"/>
  </w:num>
  <w:num w:numId="3" w16cid:durableId="1952978564">
    <w:abstractNumId w:val="27"/>
  </w:num>
  <w:num w:numId="4" w16cid:durableId="1315186126">
    <w:abstractNumId w:val="32"/>
  </w:num>
  <w:num w:numId="5" w16cid:durableId="1309093109">
    <w:abstractNumId w:val="38"/>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3"/>
  </w:num>
  <w:num w:numId="8" w16cid:durableId="1008755670">
    <w:abstractNumId w:val="3"/>
  </w:num>
  <w:num w:numId="9" w16cid:durableId="65764095">
    <w:abstractNumId w:val="11"/>
  </w:num>
  <w:num w:numId="10" w16cid:durableId="1349602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8"/>
  </w:num>
  <w:num w:numId="13" w16cid:durableId="1145464557">
    <w:abstractNumId w:val="25"/>
  </w:num>
  <w:num w:numId="14" w16cid:durableId="848450862">
    <w:abstractNumId w:val="14"/>
  </w:num>
  <w:num w:numId="15" w16cid:durableId="191215078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40"/>
  </w:num>
  <w:num w:numId="18" w16cid:durableId="718556045">
    <w:abstractNumId w:val="28"/>
  </w:num>
  <w:num w:numId="19" w16cid:durableId="2109496769">
    <w:abstractNumId w:val="10"/>
  </w:num>
  <w:num w:numId="20" w16cid:durableId="1574777690">
    <w:abstractNumId w:val="41"/>
  </w:num>
  <w:num w:numId="21" w16cid:durableId="343829570">
    <w:abstractNumId w:val="30"/>
  </w:num>
  <w:num w:numId="22" w16cid:durableId="1521091477">
    <w:abstractNumId w:val="13"/>
  </w:num>
  <w:num w:numId="23" w16cid:durableId="1406491540">
    <w:abstractNumId w:val="12"/>
  </w:num>
  <w:num w:numId="24" w16cid:durableId="216599317">
    <w:abstractNumId w:val="34"/>
  </w:num>
  <w:num w:numId="25" w16cid:durableId="706416597">
    <w:abstractNumId w:val="21"/>
  </w:num>
  <w:num w:numId="26" w16cid:durableId="270862301">
    <w:abstractNumId w:val="39"/>
  </w:num>
  <w:num w:numId="27" w16cid:durableId="1795712713">
    <w:abstractNumId w:val="43"/>
  </w:num>
  <w:num w:numId="28" w16cid:durableId="969941319">
    <w:abstractNumId w:val="26"/>
  </w:num>
  <w:num w:numId="29" w16cid:durableId="1808891589">
    <w:abstractNumId w:val="2"/>
  </w:num>
  <w:num w:numId="30" w16cid:durableId="1508400274">
    <w:abstractNumId w:val="29"/>
  </w:num>
  <w:num w:numId="31" w16cid:durableId="1848517314">
    <w:abstractNumId w:val="22"/>
  </w:num>
  <w:num w:numId="32" w16cid:durableId="1225678077">
    <w:abstractNumId w:val="31"/>
  </w:num>
  <w:num w:numId="33" w16cid:durableId="283007414">
    <w:abstractNumId w:val="42"/>
  </w:num>
  <w:num w:numId="34" w16cid:durableId="669528079">
    <w:abstractNumId w:val="20"/>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6"/>
    <w:lvlOverride w:ilvl="0"/>
    <w:lvlOverride w:ilvl="1">
      <w:startOverride w:val="1"/>
    </w:lvlOverride>
    <w:lvlOverride w:ilvl="2"/>
    <w:lvlOverride w:ilvl="3"/>
    <w:lvlOverride w:ilvl="4"/>
    <w:lvlOverride w:ilvl="5"/>
    <w:lvlOverride w:ilvl="6"/>
    <w:lvlOverride w:ilvl="7"/>
    <w:lvlOverride w:ilvl="8"/>
  </w:num>
  <w:num w:numId="42" w16cid:durableId="541553631">
    <w:abstractNumId w:val="36"/>
  </w:num>
  <w:num w:numId="43" w16cid:durableId="1416169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7976911">
    <w:abstractNumId w:val="37"/>
  </w:num>
  <w:num w:numId="45" w16cid:durableId="1544950817">
    <w:abstractNumId w:val="9"/>
  </w:num>
  <w:num w:numId="46" w16cid:durableId="13538749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AA7"/>
    <w:rsid w:val="000031A8"/>
    <w:rsid w:val="00003233"/>
    <w:rsid w:val="000037D0"/>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4A4"/>
    <w:rsid w:val="00013C6B"/>
    <w:rsid w:val="0001406B"/>
    <w:rsid w:val="000143F8"/>
    <w:rsid w:val="00014624"/>
    <w:rsid w:val="000147ED"/>
    <w:rsid w:val="000159D5"/>
    <w:rsid w:val="00015B44"/>
    <w:rsid w:val="00015CEF"/>
    <w:rsid w:val="00016081"/>
    <w:rsid w:val="000165AC"/>
    <w:rsid w:val="00016651"/>
    <w:rsid w:val="00016881"/>
    <w:rsid w:val="000171A2"/>
    <w:rsid w:val="00017B65"/>
    <w:rsid w:val="00020158"/>
    <w:rsid w:val="000204EA"/>
    <w:rsid w:val="000207E0"/>
    <w:rsid w:val="00020D41"/>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6DEB"/>
    <w:rsid w:val="0002738B"/>
    <w:rsid w:val="00027545"/>
    <w:rsid w:val="00027787"/>
    <w:rsid w:val="000277A2"/>
    <w:rsid w:val="000278D2"/>
    <w:rsid w:val="00030747"/>
    <w:rsid w:val="00031384"/>
    <w:rsid w:val="000315E1"/>
    <w:rsid w:val="00031AD9"/>
    <w:rsid w:val="0003236E"/>
    <w:rsid w:val="000323E9"/>
    <w:rsid w:val="00033295"/>
    <w:rsid w:val="00033358"/>
    <w:rsid w:val="0003339A"/>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B8D"/>
    <w:rsid w:val="00046C09"/>
    <w:rsid w:val="00046EDB"/>
    <w:rsid w:val="0004716A"/>
    <w:rsid w:val="00047316"/>
    <w:rsid w:val="00047385"/>
    <w:rsid w:val="000473E8"/>
    <w:rsid w:val="00050021"/>
    <w:rsid w:val="000500E1"/>
    <w:rsid w:val="00050460"/>
    <w:rsid w:val="000504DE"/>
    <w:rsid w:val="00051074"/>
    <w:rsid w:val="0005211A"/>
    <w:rsid w:val="000528C3"/>
    <w:rsid w:val="00052B79"/>
    <w:rsid w:val="00052B86"/>
    <w:rsid w:val="00052EA0"/>
    <w:rsid w:val="000536E3"/>
    <w:rsid w:val="00053EDA"/>
    <w:rsid w:val="00054252"/>
    <w:rsid w:val="0005474D"/>
    <w:rsid w:val="00055CB9"/>
    <w:rsid w:val="00056F66"/>
    <w:rsid w:val="0005702F"/>
    <w:rsid w:val="00057661"/>
    <w:rsid w:val="0005779C"/>
    <w:rsid w:val="00057848"/>
    <w:rsid w:val="00057B4F"/>
    <w:rsid w:val="00061D06"/>
    <w:rsid w:val="00062289"/>
    <w:rsid w:val="0006294B"/>
    <w:rsid w:val="00062CDD"/>
    <w:rsid w:val="00063FA5"/>
    <w:rsid w:val="000640AF"/>
    <w:rsid w:val="00064940"/>
    <w:rsid w:val="00064CAE"/>
    <w:rsid w:val="00064DB7"/>
    <w:rsid w:val="00064FA7"/>
    <w:rsid w:val="00065195"/>
    <w:rsid w:val="00065A18"/>
    <w:rsid w:val="00070AF1"/>
    <w:rsid w:val="00070B59"/>
    <w:rsid w:val="000714DE"/>
    <w:rsid w:val="0007254F"/>
    <w:rsid w:val="000726D1"/>
    <w:rsid w:val="00073C30"/>
    <w:rsid w:val="00074305"/>
    <w:rsid w:val="00074B2A"/>
    <w:rsid w:val="00075057"/>
    <w:rsid w:val="00075108"/>
    <w:rsid w:val="00075B3E"/>
    <w:rsid w:val="00075F7D"/>
    <w:rsid w:val="00076456"/>
    <w:rsid w:val="00076604"/>
    <w:rsid w:val="0007779B"/>
    <w:rsid w:val="000777E7"/>
    <w:rsid w:val="0007790A"/>
    <w:rsid w:val="0008017B"/>
    <w:rsid w:val="00080287"/>
    <w:rsid w:val="00080ACD"/>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08B"/>
    <w:rsid w:val="0008510E"/>
    <w:rsid w:val="000856DE"/>
    <w:rsid w:val="00085F17"/>
    <w:rsid w:val="00085FB3"/>
    <w:rsid w:val="0008686B"/>
    <w:rsid w:val="00086B2A"/>
    <w:rsid w:val="00086ED2"/>
    <w:rsid w:val="00090CAE"/>
    <w:rsid w:val="000914D6"/>
    <w:rsid w:val="00091569"/>
    <w:rsid w:val="00091E55"/>
    <w:rsid w:val="00091FBB"/>
    <w:rsid w:val="00092DCA"/>
    <w:rsid w:val="000935F8"/>
    <w:rsid w:val="00093C51"/>
    <w:rsid w:val="000942EB"/>
    <w:rsid w:val="00095B70"/>
    <w:rsid w:val="00095C0D"/>
    <w:rsid w:val="00095EB2"/>
    <w:rsid w:val="0009617E"/>
    <w:rsid w:val="00096489"/>
    <w:rsid w:val="000979CF"/>
    <w:rsid w:val="00097A00"/>
    <w:rsid w:val="000A03C8"/>
    <w:rsid w:val="000A05F2"/>
    <w:rsid w:val="000A06C4"/>
    <w:rsid w:val="000A0861"/>
    <w:rsid w:val="000A0ED1"/>
    <w:rsid w:val="000A1139"/>
    <w:rsid w:val="000A12DB"/>
    <w:rsid w:val="000A17C8"/>
    <w:rsid w:val="000A1AEE"/>
    <w:rsid w:val="000A20D7"/>
    <w:rsid w:val="000A2128"/>
    <w:rsid w:val="000A362F"/>
    <w:rsid w:val="000A367A"/>
    <w:rsid w:val="000A3B49"/>
    <w:rsid w:val="000A41BA"/>
    <w:rsid w:val="000A446A"/>
    <w:rsid w:val="000A5AAF"/>
    <w:rsid w:val="000A5F97"/>
    <w:rsid w:val="000A648E"/>
    <w:rsid w:val="000A73BB"/>
    <w:rsid w:val="000A7EF4"/>
    <w:rsid w:val="000B0A15"/>
    <w:rsid w:val="000B0DF3"/>
    <w:rsid w:val="000B103F"/>
    <w:rsid w:val="000B10D0"/>
    <w:rsid w:val="000B1437"/>
    <w:rsid w:val="000B1470"/>
    <w:rsid w:val="000B2B86"/>
    <w:rsid w:val="000B3051"/>
    <w:rsid w:val="000B419B"/>
    <w:rsid w:val="000B4716"/>
    <w:rsid w:val="000B5781"/>
    <w:rsid w:val="000B5891"/>
    <w:rsid w:val="000B6E4B"/>
    <w:rsid w:val="000B7122"/>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BC"/>
    <w:rsid w:val="000C6F79"/>
    <w:rsid w:val="000C7211"/>
    <w:rsid w:val="000C7476"/>
    <w:rsid w:val="000C7683"/>
    <w:rsid w:val="000C7711"/>
    <w:rsid w:val="000C7AA2"/>
    <w:rsid w:val="000C7F0B"/>
    <w:rsid w:val="000D0462"/>
    <w:rsid w:val="000D053D"/>
    <w:rsid w:val="000D0CC7"/>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5C89"/>
    <w:rsid w:val="000E6139"/>
    <w:rsid w:val="000E6B73"/>
    <w:rsid w:val="000E6BE1"/>
    <w:rsid w:val="000E7E0B"/>
    <w:rsid w:val="000F078A"/>
    <w:rsid w:val="000F122D"/>
    <w:rsid w:val="000F1450"/>
    <w:rsid w:val="000F14E8"/>
    <w:rsid w:val="000F1BBD"/>
    <w:rsid w:val="000F2739"/>
    <w:rsid w:val="000F2928"/>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2EFA"/>
    <w:rsid w:val="00113003"/>
    <w:rsid w:val="00113062"/>
    <w:rsid w:val="00113705"/>
    <w:rsid w:val="00113952"/>
    <w:rsid w:val="00113975"/>
    <w:rsid w:val="00113CFC"/>
    <w:rsid w:val="00113FEA"/>
    <w:rsid w:val="00113FF2"/>
    <w:rsid w:val="00114324"/>
    <w:rsid w:val="0011452E"/>
    <w:rsid w:val="00114A22"/>
    <w:rsid w:val="00114E9D"/>
    <w:rsid w:val="0011507B"/>
    <w:rsid w:val="001155EE"/>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5"/>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D08"/>
    <w:rsid w:val="00156BE5"/>
    <w:rsid w:val="00156FDB"/>
    <w:rsid w:val="00157232"/>
    <w:rsid w:val="00160401"/>
    <w:rsid w:val="00160D4E"/>
    <w:rsid w:val="00161E62"/>
    <w:rsid w:val="00161F1C"/>
    <w:rsid w:val="0016200B"/>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EE0"/>
    <w:rsid w:val="00172198"/>
    <w:rsid w:val="00172612"/>
    <w:rsid w:val="001726C0"/>
    <w:rsid w:val="00172817"/>
    <w:rsid w:val="001734E3"/>
    <w:rsid w:val="0017350E"/>
    <w:rsid w:val="00173754"/>
    <w:rsid w:val="0017391B"/>
    <w:rsid w:val="001742BF"/>
    <w:rsid w:val="001749DF"/>
    <w:rsid w:val="00175E49"/>
    <w:rsid w:val="00176431"/>
    <w:rsid w:val="00176470"/>
    <w:rsid w:val="0017659F"/>
    <w:rsid w:val="00177076"/>
    <w:rsid w:val="001805C1"/>
    <w:rsid w:val="00180A2E"/>
    <w:rsid w:val="001813AF"/>
    <w:rsid w:val="001829CD"/>
    <w:rsid w:val="00182F01"/>
    <w:rsid w:val="00184F27"/>
    <w:rsid w:val="001850E6"/>
    <w:rsid w:val="0018519B"/>
    <w:rsid w:val="00185AFE"/>
    <w:rsid w:val="00185E78"/>
    <w:rsid w:val="00186984"/>
    <w:rsid w:val="00187177"/>
    <w:rsid w:val="00187443"/>
    <w:rsid w:val="00187ABD"/>
    <w:rsid w:val="001904E3"/>
    <w:rsid w:val="0019087A"/>
    <w:rsid w:val="00191395"/>
    <w:rsid w:val="00191C5A"/>
    <w:rsid w:val="00191CEB"/>
    <w:rsid w:val="00191E63"/>
    <w:rsid w:val="00192D68"/>
    <w:rsid w:val="0019388B"/>
    <w:rsid w:val="00193B9A"/>
    <w:rsid w:val="00193F7E"/>
    <w:rsid w:val="00194458"/>
    <w:rsid w:val="001946AE"/>
    <w:rsid w:val="001946D5"/>
    <w:rsid w:val="00194E8C"/>
    <w:rsid w:val="00194EF3"/>
    <w:rsid w:val="001962EC"/>
    <w:rsid w:val="001963DD"/>
    <w:rsid w:val="001965DB"/>
    <w:rsid w:val="00196647"/>
    <w:rsid w:val="00196DC9"/>
    <w:rsid w:val="001A0236"/>
    <w:rsid w:val="001A0AF8"/>
    <w:rsid w:val="001A18D5"/>
    <w:rsid w:val="001A1D4A"/>
    <w:rsid w:val="001A2BDB"/>
    <w:rsid w:val="001A3011"/>
    <w:rsid w:val="001A325B"/>
    <w:rsid w:val="001A3FC3"/>
    <w:rsid w:val="001A42FB"/>
    <w:rsid w:val="001A43C6"/>
    <w:rsid w:val="001A4A08"/>
    <w:rsid w:val="001A4DAF"/>
    <w:rsid w:val="001A652F"/>
    <w:rsid w:val="001A66DF"/>
    <w:rsid w:val="001A67D0"/>
    <w:rsid w:val="001A687E"/>
    <w:rsid w:val="001A6BF1"/>
    <w:rsid w:val="001A7313"/>
    <w:rsid w:val="001A7591"/>
    <w:rsid w:val="001A75B1"/>
    <w:rsid w:val="001A7FBE"/>
    <w:rsid w:val="001B0366"/>
    <w:rsid w:val="001B0444"/>
    <w:rsid w:val="001B096B"/>
    <w:rsid w:val="001B0F9F"/>
    <w:rsid w:val="001B123C"/>
    <w:rsid w:val="001B1A0D"/>
    <w:rsid w:val="001B1BF1"/>
    <w:rsid w:val="001B2456"/>
    <w:rsid w:val="001B2890"/>
    <w:rsid w:val="001B40C7"/>
    <w:rsid w:val="001B449C"/>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515"/>
    <w:rsid w:val="001C7C7B"/>
    <w:rsid w:val="001D068D"/>
    <w:rsid w:val="001D0A71"/>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62E9"/>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BD5"/>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077FA"/>
    <w:rsid w:val="0020796E"/>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264"/>
    <w:rsid w:val="002168B8"/>
    <w:rsid w:val="002176B6"/>
    <w:rsid w:val="0021792D"/>
    <w:rsid w:val="00217DB8"/>
    <w:rsid w:val="0022032A"/>
    <w:rsid w:val="002221CE"/>
    <w:rsid w:val="00222BE8"/>
    <w:rsid w:val="00223102"/>
    <w:rsid w:val="002232CB"/>
    <w:rsid w:val="00224022"/>
    <w:rsid w:val="00225C7E"/>
    <w:rsid w:val="00226055"/>
    <w:rsid w:val="0022613F"/>
    <w:rsid w:val="00226236"/>
    <w:rsid w:val="00226287"/>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6E95"/>
    <w:rsid w:val="00237065"/>
    <w:rsid w:val="00237589"/>
    <w:rsid w:val="0023758D"/>
    <w:rsid w:val="002375A7"/>
    <w:rsid w:val="0024016B"/>
    <w:rsid w:val="0024019A"/>
    <w:rsid w:val="002402A8"/>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059D"/>
    <w:rsid w:val="0026129B"/>
    <w:rsid w:val="00261560"/>
    <w:rsid w:val="00261715"/>
    <w:rsid w:val="00261CF9"/>
    <w:rsid w:val="00261EC0"/>
    <w:rsid w:val="0026231B"/>
    <w:rsid w:val="00262A26"/>
    <w:rsid w:val="0026306A"/>
    <w:rsid w:val="00263101"/>
    <w:rsid w:val="00263201"/>
    <w:rsid w:val="00263A37"/>
    <w:rsid w:val="00263EAE"/>
    <w:rsid w:val="00264409"/>
    <w:rsid w:val="002648AB"/>
    <w:rsid w:val="002653A6"/>
    <w:rsid w:val="00265663"/>
    <w:rsid w:val="0026608D"/>
    <w:rsid w:val="002661F1"/>
    <w:rsid w:val="002663BA"/>
    <w:rsid w:val="002664B7"/>
    <w:rsid w:val="00266CB5"/>
    <w:rsid w:val="00267D66"/>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1B9"/>
    <w:rsid w:val="002834E9"/>
    <w:rsid w:val="0028396F"/>
    <w:rsid w:val="00283A52"/>
    <w:rsid w:val="00283C5E"/>
    <w:rsid w:val="00283E26"/>
    <w:rsid w:val="0028428F"/>
    <w:rsid w:val="00284CFC"/>
    <w:rsid w:val="00285624"/>
    <w:rsid w:val="0028565E"/>
    <w:rsid w:val="00285832"/>
    <w:rsid w:val="00285969"/>
    <w:rsid w:val="0028663B"/>
    <w:rsid w:val="00286CEC"/>
    <w:rsid w:val="002871A9"/>
    <w:rsid w:val="00287B7E"/>
    <w:rsid w:val="00290781"/>
    <w:rsid w:val="002912D3"/>
    <w:rsid w:val="00291784"/>
    <w:rsid w:val="002929BB"/>
    <w:rsid w:val="00292E64"/>
    <w:rsid w:val="002932BA"/>
    <w:rsid w:val="00293669"/>
    <w:rsid w:val="00294368"/>
    <w:rsid w:val="00294B78"/>
    <w:rsid w:val="00295646"/>
    <w:rsid w:val="00295820"/>
    <w:rsid w:val="00295949"/>
    <w:rsid w:val="0029624A"/>
    <w:rsid w:val="00296922"/>
    <w:rsid w:val="0029697C"/>
    <w:rsid w:val="00296EAF"/>
    <w:rsid w:val="00297098"/>
    <w:rsid w:val="002A05D4"/>
    <w:rsid w:val="002A09FF"/>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AFB"/>
    <w:rsid w:val="002A6E3A"/>
    <w:rsid w:val="002A733D"/>
    <w:rsid w:val="002A774A"/>
    <w:rsid w:val="002A7AFB"/>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6A75"/>
    <w:rsid w:val="002B73B0"/>
    <w:rsid w:val="002B7F7A"/>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C77D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300AC1"/>
    <w:rsid w:val="00300CB4"/>
    <w:rsid w:val="00300DE7"/>
    <w:rsid w:val="00300E24"/>
    <w:rsid w:val="0030101C"/>
    <w:rsid w:val="003033BA"/>
    <w:rsid w:val="003043A3"/>
    <w:rsid w:val="00304B96"/>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EA3"/>
    <w:rsid w:val="0031447D"/>
    <w:rsid w:val="0031496A"/>
    <w:rsid w:val="00315457"/>
    <w:rsid w:val="003161A4"/>
    <w:rsid w:val="0031695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4F5"/>
    <w:rsid w:val="00325D98"/>
    <w:rsid w:val="0032682A"/>
    <w:rsid w:val="00327A5C"/>
    <w:rsid w:val="0033092C"/>
    <w:rsid w:val="0033122A"/>
    <w:rsid w:val="003315AC"/>
    <w:rsid w:val="00331932"/>
    <w:rsid w:val="00331A60"/>
    <w:rsid w:val="0033245D"/>
    <w:rsid w:val="00332F46"/>
    <w:rsid w:val="00333A88"/>
    <w:rsid w:val="00333FFB"/>
    <w:rsid w:val="00335B15"/>
    <w:rsid w:val="00335B21"/>
    <w:rsid w:val="00335D3F"/>
    <w:rsid w:val="00336104"/>
    <w:rsid w:val="00336729"/>
    <w:rsid w:val="00336AB1"/>
    <w:rsid w:val="0033726D"/>
    <w:rsid w:val="00337362"/>
    <w:rsid w:val="00337807"/>
    <w:rsid w:val="00337CA8"/>
    <w:rsid w:val="00337EAD"/>
    <w:rsid w:val="0034125B"/>
    <w:rsid w:val="0034177C"/>
    <w:rsid w:val="00342345"/>
    <w:rsid w:val="00342B56"/>
    <w:rsid w:val="00342C27"/>
    <w:rsid w:val="003430C8"/>
    <w:rsid w:val="003432C8"/>
    <w:rsid w:val="003434B3"/>
    <w:rsid w:val="00343536"/>
    <w:rsid w:val="00343EFB"/>
    <w:rsid w:val="00344014"/>
    <w:rsid w:val="003443DF"/>
    <w:rsid w:val="00344760"/>
    <w:rsid w:val="00344A64"/>
    <w:rsid w:val="0034680A"/>
    <w:rsid w:val="00346C62"/>
    <w:rsid w:val="0034740F"/>
    <w:rsid w:val="0034778E"/>
    <w:rsid w:val="003501E2"/>
    <w:rsid w:val="00350A59"/>
    <w:rsid w:val="00351E10"/>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195B"/>
    <w:rsid w:val="00373827"/>
    <w:rsid w:val="00373971"/>
    <w:rsid w:val="00373F04"/>
    <w:rsid w:val="0037401C"/>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2BAD"/>
    <w:rsid w:val="00383A8D"/>
    <w:rsid w:val="00383B2B"/>
    <w:rsid w:val="00384CD6"/>
    <w:rsid w:val="00384DF1"/>
    <w:rsid w:val="00384FF3"/>
    <w:rsid w:val="003852D5"/>
    <w:rsid w:val="003859DA"/>
    <w:rsid w:val="00386456"/>
    <w:rsid w:val="003865A9"/>
    <w:rsid w:val="00387642"/>
    <w:rsid w:val="00390088"/>
    <w:rsid w:val="003902B1"/>
    <w:rsid w:val="003903B6"/>
    <w:rsid w:val="00390F32"/>
    <w:rsid w:val="0039135E"/>
    <w:rsid w:val="0039200F"/>
    <w:rsid w:val="0039319C"/>
    <w:rsid w:val="003938CD"/>
    <w:rsid w:val="00393CAE"/>
    <w:rsid w:val="003945DC"/>
    <w:rsid w:val="003945F4"/>
    <w:rsid w:val="00394EB5"/>
    <w:rsid w:val="0039539A"/>
    <w:rsid w:val="003953B4"/>
    <w:rsid w:val="0039615F"/>
    <w:rsid w:val="003965C8"/>
    <w:rsid w:val="00396675"/>
    <w:rsid w:val="00396A29"/>
    <w:rsid w:val="00397FF0"/>
    <w:rsid w:val="003A07D9"/>
    <w:rsid w:val="003A0878"/>
    <w:rsid w:val="003A10DE"/>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1F7F"/>
    <w:rsid w:val="003B2885"/>
    <w:rsid w:val="003B2E6C"/>
    <w:rsid w:val="003B2EF3"/>
    <w:rsid w:val="003B3676"/>
    <w:rsid w:val="003B4B1C"/>
    <w:rsid w:val="003B4CB2"/>
    <w:rsid w:val="003B534F"/>
    <w:rsid w:val="003B5391"/>
    <w:rsid w:val="003B5952"/>
    <w:rsid w:val="003B65D7"/>
    <w:rsid w:val="003B65E0"/>
    <w:rsid w:val="003B6BD4"/>
    <w:rsid w:val="003B6E93"/>
    <w:rsid w:val="003B6F4D"/>
    <w:rsid w:val="003B6FE7"/>
    <w:rsid w:val="003B7413"/>
    <w:rsid w:val="003B7B6B"/>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566"/>
    <w:rsid w:val="003D7708"/>
    <w:rsid w:val="003D79E4"/>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63DF"/>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50C"/>
    <w:rsid w:val="00405792"/>
    <w:rsid w:val="0040602B"/>
    <w:rsid w:val="00407A7A"/>
    <w:rsid w:val="00407ABC"/>
    <w:rsid w:val="00407BFD"/>
    <w:rsid w:val="00407F1E"/>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F9F"/>
    <w:rsid w:val="0042499B"/>
    <w:rsid w:val="00424FEC"/>
    <w:rsid w:val="0042540A"/>
    <w:rsid w:val="00425444"/>
    <w:rsid w:val="00425C43"/>
    <w:rsid w:val="00426C69"/>
    <w:rsid w:val="004273FA"/>
    <w:rsid w:val="00430186"/>
    <w:rsid w:val="00430730"/>
    <w:rsid w:val="0043269A"/>
    <w:rsid w:val="00432E14"/>
    <w:rsid w:val="004333C2"/>
    <w:rsid w:val="00433ACB"/>
    <w:rsid w:val="00434787"/>
    <w:rsid w:val="004347DA"/>
    <w:rsid w:val="00434C13"/>
    <w:rsid w:val="00435F8A"/>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945"/>
    <w:rsid w:val="00443B55"/>
    <w:rsid w:val="00443D27"/>
    <w:rsid w:val="00445AC2"/>
    <w:rsid w:val="00446037"/>
    <w:rsid w:val="0044642F"/>
    <w:rsid w:val="004468C3"/>
    <w:rsid w:val="00447021"/>
    <w:rsid w:val="0044772C"/>
    <w:rsid w:val="004502AA"/>
    <w:rsid w:val="004507BD"/>
    <w:rsid w:val="00450846"/>
    <w:rsid w:val="00450B1A"/>
    <w:rsid w:val="004510BD"/>
    <w:rsid w:val="0045159C"/>
    <w:rsid w:val="00451A52"/>
    <w:rsid w:val="00451FC8"/>
    <w:rsid w:val="0045271D"/>
    <w:rsid w:val="00452755"/>
    <w:rsid w:val="00452803"/>
    <w:rsid w:val="004529C6"/>
    <w:rsid w:val="00452EAD"/>
    <w:rsid w:val="004531D5"/>
    <w:rsid w:val="004533D1"/>
    <w:rsid w:val="004534D1"/>
    <w:rsid w:val="00453A53"/>
    <w:rsid w:val="004544CA"/>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3D20"/>
    <w:rsid w:val="00484074"/>
    <w:rsid w:val="004843F9"/>
    <w:rsid w:val="00484F0F"/>
    <w:rsid w:val="00484F40"/>
    <w:rsid w:val="0048540C"/>
    <w:rsid w:val="0048592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34D2"/>
    <w:rsid w:val="004A41BA"/>
    <w:rsid w:val="004A4301"/>
    <w:rsid w:val="004A4E65"/>
    <w:rsid w:val="004A58EE"/>
    <w:rsid w:val="004A59B7"/>
    <w:rsid w:val="004A623B"/>
    <w:rsid w:val="004A6A04"/>
    <w:rsid w:val="004A6A52"/>
    <w:rsid w:val="004A6C78"/>
    <w:rsid w:val="004A79F2"/>
    <w:rsid w:val="004B0F0B"/>
    <w:rsid w:val="004B1501"/>
    <w:rsid w:val="004B1560"/>
    <w:rsid w:val="004B163F"/>
    <w:rsid w:val="004B2197"/>
    <w:rsid w:val="004B298A"/>
    <w:rsid w:val="004B459F"/>
    <w:rsid w:val="004B578D"/>
    <w:rsid w:val="004B5BE7"/>
    <w:rsid w:val="004B5E2D"/>
    <w:rsid w:val="004B5ED5"/>
    <w:rsid w:val="004B6793"/>
    <w:rsid w:val="004B6C07"/>
    <w:rsid w:val="004B72BB"/>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465"/>
    <w:rsid w:val="004E518D"/>
    <w:rsid w:val="004E5736"/>
    <w:rsid w:val="004E5B36"/>
    <w:rsid w:val="004E6045"/>
    <w:rsid w:val="004E6758"/>
    <w:rsid w:val="004E6F43"/>
    <w:rsid w:val="004E7200"/>
    <w:rsid w:val="004F034D"/>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5004B0"/>
    <w:rsid w:val="0050062F"/>
    <w:rsid w:val="005012E2"/>
    <w:rsid w:val="00501481"/>
    <w:rsid w:val="0050160F"/>
    <w:rsid w:val="005016C7"/>
    <w:rsid w:val="0050284E"/>
    <w:rsid w:val="0050332C"/>
    <w:rsid w:val="00504F88"/>
    <w:rsid w:val="00505DCB"/>
    <w:rsid w:val="005075CA"/>
    <w:rsid w:val="00507D10"/>
    <w:rsid w:val="0051074C"/>
    <w:rsid w:val="00510DE9"/>
    <w:rsid w:val="00511142"/>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6D9"/>
    <w:rsid w:val="00523903"/>
    <w:rsid w:val="005239B6"/>
    <w:rsid w:val="00523C45"/>
    <w:rsid w:val="00524165"/>
    <w:rsid w:val="005242BA"/>
    <w:rsid w:val="005246E7"/>
    <w:rsid w:val="00524FD2"/>
    <w:rsid w:val="00525621"/>
    <w:rsid w:val="00525B2E"/>
    <w:rsid w:val="00525E61"/>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C80"/>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29A"/>
    <w:rsid w:val="005564CA"/>
    <w:rsid w:val="005568EA"/>
    <w:rsid w:val="00557140"/>
    <w:rsid w:val="00557DE4"/>
    <w:rsid w:val="0056058C"/>
    <w:rsid w:val="00560C87"/>
    <w:rsid w:val="00560EF9"/>
    <w:rsid w:val="00560F51"/>
    <w:rsid w:val="005611CF"/>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5E0"/>
    <w:rsid w:val="00567723"/>
    <w:rsid w:val="00567AB8"/>
    <w:rsid w:val="00567C02"/>
    <w:rsid w:val="005707F7"/>
    <w:rsid w:val="00570A26"/>
    <w:rsid w:val="00571301"/>
    <w:rsid w:val="0057170B"/>
    <w:rsid w:val="0057221F"/>
    <w:rsid w:val="00572539"/>
    <w:rsid w:val="005726FB"/>
    <w:rsid w:val="0057337D"/>
    <w:rsid w:val="00573504"/>
    <w:rsid w:val="00574708"/>
    <w:rsid w:val="00574D8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75E"/>
    <w:rsid w:val="00583AC8"/>
    <w:rsid w:val="00584233"/>
    <w:rsid w:val="005842D0"/>
    <w:rsid w:val="0058457E"/>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48B5"/>
    <w:rsid w:val="00595FDD"/>
    <w:rsid w:val="00596AF7"/>
    <w:rsid w:val="00596CCE"/>
    <w:rsid w:val="00596E4A"/>
    <w:rsid w:val="00597096"/>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B75"/>
    <w:rsid w:val="005A6E00"/>
    <w:rsid w:val="005A718A"/>
    <w:rsid w:val="005B0891"/>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0BA"/>
    <w:rsid w:val="005D51FA"/>
    <w:rsid w:val="005D53E8"/>
    <w:rsid w:val="005D5A26"/>
    <w:rsid w:val="005D5A9D"/>
    <w:rsid w:val="005D60D4"/>
    <w:rsid w:val="005D6651"/>
    <w:rsid w:val="005D691D"/>
    <w:rsid w:val="005D6A72"/>
    <w:rsid w:val="005D7035"/>
    <w:rsid w:val="005D7147"/>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E9F"/>
    <w:rsid w:val="0061085E"/>
    <w:rsid w:val="00610DAF"/>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981"/>
    <w:rsid w:val="00621D0C"/>
    <w:rsid w:val="00622470"/>
    <w:rsid w:val="00622725"/>
    <w:rsid w:val="006231AA"/>
    <w:rsid w:val="00623482"/>
    <w:rsid w:val="00623AC2"/>
    <w:rsid w:val="00623E9C"/>
    <w:rsid w:val="00623FF7"/>
    <w:rsid w:val="006240EF"/>
    <w:rsid w:val="0062471F"/>
    <w:rsid w:val="00624C21"/>
    <w:rsid w:val="00625A26"/>
    <w:rsid w:val="00625F38"/>
    <w:rsid w:val="006266D7"/>
    <w:rsid w:val="00626D42"/>
    <w:rsid w:val="00626EE3"/>
    <w:rsid w:val="00626F62"/>
    <w:rsid w:val="006274AD"/>
    <w:rsid w:val="00627532"/>
    <w:rsid w:val="006302AA"/>
    <w:rsid w:val="00630921"/>
    <w:rsid w:val="006310C3"/>
    <w:rsid w:val="0063161E"/>
    <w:rsid w:val="0063167C"/>
    <w:rsid w:val="00631A31"/>
    <w:rsid w:val="00631BB5"/>
    <w:rsid w:val="00631DD0"/>
    <w:rsid w:val="0063295C"/>
    <w:rsid w:val="00633367"/>
    <w:rsid w:val="00633DBF"/>
    <w:rsid w:val="00634122"/>
    <w:rsid w:val="00634504"/>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38A1"/>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FD4"/>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781"/>
    <w:rsid w:val="00667ED8"/>
    <w:rsid w:val="0067060F"/>
    <w:rsid w:val="0067064C"/>
    <w:rsid w:val="00670B20"/>
    <w:rsid w:val="00670E12"/>
    <w:rsid w:val="0067160D"/>
    <w:rsid w:val="00672971"/>
    <w:rsid w:val="00672DE7"/>
    <w:rsid w:val="00672E80"/>
    <w:rsid w:val="006739E4"/>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736"/>
    <w:rsid w:val="00696A05"/>
    <w:rsid w:val="00696DCD"/>
    <w:rsid w:val="00697665"/>
    <w:rsid w:val="00697C9A"/>
    <w:rsid w:val="00697E68"/>
    <w:rsid w:val="006A0274"/>
    <w:rsid w:val="006A24B9"/>
    <w:rsid w:val="006A2A43"/>
    <w:rsid w:val="006A2BF1"/>
    <w:rsid w:val="006A2F9A"/>
    <w:rsid w:val="006A34E4"/>
    <w:rsid w:val="006A3704"/>
    <w:rsid w:val="006A3A5A"/>
    <w:rsid w:val="006A44CF"/>
    <w:rsid w:val="006A457D"/>
    <w:rsid w:val="006A4749"/>
    <w:rsid w:val="006A55EE"/>
    <w:rsid w:val="006A575B"/>
    <w:rsid w:val="006A59DE"/>
    <w:rsid w:val="006A63EB"/>
    <w:rsid w:val="006A6655"/>
    <w:rsid w:val="006A6803"/>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285"/>
    <w:rsid w:val="006B786A"/>
    <w:rsid w:val="006B7E4E"/>
    <w:rsid w:val="006C003A"/>
    <w:rsid w:val="006C1C1B"/>
    <w:rsid w:val="006C2454"/>
    <w:rsid w:val="006C2551"/>
    <w:rsid w:val="006C3746"/>
    <w:rsid w:val="006C37CA"/>
    <w:rsid w:val="006C3889"/>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A60"/>
    <w:rsid w:val="006D7D1F"/>
    <w:rsid w:val="006D7D8A"/>
    <w:rsid w:val="006E0572"/>
    <w:rsid w:val="006E05D8"/>
    <w:rsid w:val="006E08EE"/>
    <w:rsid w:val="006E0DFD"/>
    <w:rsid w:val="006E1130"/>
    <w:rsid w:val="006E155A"/>
    <w:rsid w:val="006E3452"/>
    <w:rsid w:val="006E39D1"/>
    <w:rsid w:val="006E437F"/>
    <w:rsid w:val="006E4D5B"/>
    <w:rsid w:val="006E602F"/>
    <w:rsid w:val="006E6720"/>
    <w:rsid w:val="006E68FA"/>
    <w:rsid w:val="006E7275"/>
    <w:rsid w:val="006E77B8"/>
    <w:rsid w:val="006E7824"/>
    <w:rsid w:val="006F15CC"/>
    <w:rsid w:val="006F1EED"/>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6F7E39"/>
    <w:rsid w:val="00700D5F"/>
    <w:rsid w:val="0070138A"/>
    <w:rsid w:val="0070157E"/>
    <w:rsid w:val="007030D4"/>
    <w:rsid w:val="0070317C"/>
    <w:rsid w:val="00703279"/>
    <w:rsid w:val="007032BF"/>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19BD"/>
    <w:rsid w:val="00711EE1"/>
    <w:rsid w:val="00712714"/>
    <w:rsid w:val="007128E3"/>
    <w:rsid w:val="007129AB"/>
    <w:rsid w:val="00712B63"/>
    <w:rsid w:val="007130E7"/>
    <w:rsid w:val="00713526"/>
    <w:rsid w:val="00713D6A"/>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0A9"/>
    <w:rsid w:val="00721BFF"/>
    <w:rsid w:val="00722376"/>
    <w:rsid w:val="00722FD8"/>
    <w:rsid w:val="007236C4"/>
    <w:rsid w:val="00723B59"/>
    <w:rsid w:val="00724635"/>
    <w:rsid w:val="0072554B"/>
    <w:rsid w:val="00725AFD"/>
    <w:rsid w:val="00725F81"/>
    <w:rsid w:val="00726603"/>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ABF"/>
    <w:rsid w:val="007537BD"/>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00D"/>
    <w:rsid w:val="0076228A"/>
    <w:rsid w:val="00762440"/>
    <w:rsid w:val="0076260A"/>
    <w:rsid w:val="007629B7"/>
    <w:rsid w:val="00762E60"/>
    <w:rsid w:val="007634AD"/>
    <w:rsid w:val="00763527"/>
    <w:rsid w:val="0076387E"/>
    <w:rsid w:val="00764996"/>
    <w:rsid w:val="0076522C"/>
    <w:rsid w:val="00766ECC"/>
    <w:rsid w:val="007672F3"/>
    <w:rsid w:val="007676A9"/>
    <w:rsid w:val="007677B5"/>
    <w:rsid w:val="007678B1"/>
    <w:rsid w:val="00770317"/>
    <w:rsid w:val="007708A8"/>
    <w:rsid w:val="007720F7"/>
    <w:rsid w:val="00772275"/>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F32"/>
    <w:rsid w:val="0078122E"/>
    <w:rsid w:val="00781939"/>
    <w:rsid w:val="00781D29"/>
    <w:rsid w:val="00782354"/>
    <w:rsid w:val="007825EF"/>
    <w:rsid w:val="007827B0"/>
    <w:rsid w:val="0078286B"/>
    <w:rsid w:val="00782D2C"/>
    <w:rsid w:val="00782FC2"/>
    <w:rsid w:val="007838B5"/>
    <w:rsid w:val="00784FC4"/>
    <w:rsid w:val="00785BBB"/>
    <w:rsid w:val="00786FAD"/>
    <w:rsid w:val="007873C9"/>
    <w:rsid w:val="00787D90"/>
    <w:rsid w:val="00787F5E"/>
    <w:rsid w:val="00790164"/>
    <w:rsid w:val="007906E2"/>
    <w:rsid w:val="00790A24"/>
    <w:rsid w:val="00790A37"/>
    <w:rsid w:val="00790A60"/>
    <w:rsid w:val="00790CE2"/>
    <w:rsid w:val="0079146D"/>
    <w:rsid w:val="007917AD"/>
    <w:rsid w:val="00791C32"/>
    <w:rsid w:val="00791E08"/>
    <w:rsid w:val="00791FF0"/>
    <w:rsid w:val="007923D0"/>
    <w:rsid w:val="0079302C"/>
    <w:rsid w:val="007930D3"/>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A0EAB"/>
    <w:rsid w:val="007A2159"/>
    <w:rsid w:val="007A2341"/>
    <w:rsid w:val="007A31F6"/>
    <w:rsid w:val="007A38A1"/>
    <w:rsid w:val="007A3967"/>
    <w:rsid w:val="007A3BBE"/>
    <w:rsid w:val="007A4629"/>
    <w:rsid w:val="007A4766"/>
    <w:rsid w:val="007A5816"/>
    <w:rsid w:val="007A5947"/>
    <w:rsid w:val="007B00D8"/>
    <w:rsid w:val="007B0313"/>
    <w:rsid w:val="007B05FB"/>
    <w:rsid w:val="007B0854"/>
    <w:rsid w:val="007B0E48"/>
    <w:rsid w:val="007B18FD"/>
    <w:rsid w:val="007B1D1B"/>
    <w:rsid w:val="007B1D1E"/>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312A"/>
    <w:rsid w:val="007C3570"/>
    <w:rsid w:val="007C3F3B"/>
    <w:rsid w:val="007C4241"/>
    <w:rsid w:val="007C4630"/>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3A0"/>
    <w:rsid w:val="007D3693"/>
    <w:rsid w:val="007D3C6D"/>
    <w:rsid w:val="007D409B"/>
    <w:rsid w:val="007D481A"/>
    <w:rsid w:val="007D5402"/>
    <w:rsid w:val="007D5648"/>
    <w:rsid w:val="007D58C5"/>
    <w:rsid w:val="007D5DE8"/>
    <w:rsid w:val="007D7503"/>
    <w:rsid w:val="007D7C53"/>
    <w:rsid w:val="007D7CFC"/>
    <w:rsid w:val="007D7FFC"/>
    <w:rsid w:val="007E0812"/>
    <w:rsid w:val="007E16A4"/>
    <w:rsid w:val="007E18DF"/>
    <w:rsid w:val="007E2A04"/>
    <w:rsid w:val="007E2C36"/>
    <w:rsid w:val="007E2F33"/>
    <w:rsid w:val="007E342A"/>
    <w:rsid w:val="007E350D"/>
    <w:rsid w:val="007E5C4A"/>
    <w:rsid w:val="007E64D4"/>
    <w:rsid w:val="007E66E9"/>
    <w:rsid w:val="007E69F2"/>
    <w:rsid w:val="007E7432"/>
    <w:rsid w:val="007E74BF"/>
    <w:rsid w:val="007E79BA"/>
    <w:rsid w:val="007F14D3"/>
    <w:rsid w:val="007F1C15"/>
    <w:rsid w:val="007F1C42"/>
    <w:rsid w:val="007F1D9D"/>
    <w:rsid w:val="007F1E28"/>
    <w:rsid w:val="007F1F63"/>
    <w:rsid w:val="007F21D8"/>
    <w:rsid w:val="007F22A0"/>
    <w:rsid w:val="007F28FB"/>
    <w:rsid w:val="007F2F90"/>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07FF6"/>
    <w:rsid w:val="008100EC"/>
    <w:rsid w:val="008100F7"/>
    <w:rsid w:val="00810206"/>
    <w:rsid w:val="008104E6"/>
    <w:rsid w:val="00811898"/>
    <w:rsid w:val="008120C4"/>
    <w:rsid w:val="008124D8"/>
    <w:rsid w:val="0081323E"/>
    <w:rsid w:val="00813A7B"/>
    <w:rsid w:val="00813F04"/>
    <w:rsid w:val="00814B72"/>
    <w:rsid w:val="00814D88"/>
    <w:rsid w:val="008150B1"/>
    <w:rsid w:val="00815A07"/>
    <w:rsid w:val="00815C82"/>
    <w:rsid w:val="00815DA5"/>
    <w:rsid w:val="00816221"/>
    <w:rsid w:val="0081766B"/>
    <w:rsid w:val="00820406"/>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4BF3"/>
    <w:rsid w:val="00825240"/>
    <w:rsid w:val="00825B43"/>
    <w:rsid w:val="0082629D"/>
    <w:rsid w:val="008264B1"/>
    <w:rsid w:val="00827203"/>
    <w:rsid w:val="0082767A"/>
    <w:rsid w:val="00827CC0"/>
    <w:rsid w:val="008309D9"/>
    <w:rsid w:val="00831026"/>
    <w:rsid w:val="0083119B"/>
    <w:rsid w:val="00831654"/>
    <w:rsid w:val="00831BAE"/>
    <w:rsid w:val="00832216"/>
    <w:rsid w:val="00832CD0"/>
    <w:rsid w:val="00832FDC"/>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4853"/>
    <w:rsid w:val="008548CA"/>
    <w:rsid w:val="00856C06"/>
    <w:rsid w:val="0085790B"/>
    <w:rsid w:val="00857AAC"/>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512"/>
    <w:rsid w:val="00867624"/>
    <w:rsid w:val="0087033C"/>
    <w:rsid w:val="00870B44"/>
    <w:rsid w:val="008712E8"/>
    <w:rsid w:val="008715ED"/>
    <w:rsid w:val="008717D8"/>
    <w:rsid w:val="00871E3C"/>
    <w:rsid w:val="0087213A"/>
    <w:rsid w:val="00872B54"/>
    <w:rsid w:val="00872F97"/>
    <w:rsid w:val="00873863"/>
    <w:rsid w:val="0087392A"/>
    <w:rsid w:val="00874607"/>
    <w:rsid w:val="00874915"/>
    <w:rsid w:val="00874B89"/>
    <w:rsid w:val="008752DA"/>
    <w:rsid w:val="00875403"/>
    <w:rsid w:val="00875434"/>
    <w:rsid w:val="00875C2F"/>
    <w:rsid w:val="00875E7C"/>
    <w:rsid w:val="00876215"/>
    <w:rsid w:val="0087646C"/>
    <w:rsid w:val="00876815"/>
    <w:rsid w:val="00877932"/>
    <w:rsid w:val="008807F0"/>
    <w:rsid w:val="008808C7"/>
    <w:rsid w:val="0088106B"/>
    <w:rsid w:val="0088107D"/>
    <w:rsid w:val="008812E2"/>
    <w:rsid w:val="00881596"/>
    <w:rsid w:val="0088168A"/>
    <w:rsid w:val="00881E64"/>
    <w:rsid w:val="00882A3F"/>
    <w:rsid w:val="00882E39"/>
    <w:rsid w:val="008850E3"/>
    <w:rsid w:val="008850EB"/>
    <w:rsid w:val="00885D6C"/>
    <w:rsid w:val="00886DF2"/>
    <w:rsid w:val="00886FB9"/>
    <w:rsid w:val="00887080"/>
    <w:rsid w:val="00887281"/>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20C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3A08"/>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485"/>
    <w:rsid w:val="008C568F"/>
    <w:rsid w:val="008C62D4"/>
    <w:rsid w:val="008C664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C7"/>
    <w:rsid w:val="008E28BD"/>
    <w:rsid w:val="008E38B4"/>
    <w:rsid w:val="008E3BA4"/>
    <w:rsid w:val="008E41C4"/>
    <w:rsid w:val="008E44AB"/>
    <w:rsid w:val="008E5179"/>
    <w:rsid w:val="008E6598"/>
    <w:rsid w:val="008E6A17"/>
    <w:rsid w:val="008E71A8"/>
    <w:rsid w:val="008E7214"/>
    <w:rsid w:val="008E7348"/>
    <w:rsid w:val="008E7884"/>
    <w:rsid w:val="008E7D6E"/>
    <w:rsid w:val="008F0737"/>
    <w:rsid w:val="008F1056"/>
    <w:rsid w:val="008F293D"/>
    <w:rsid w:val="008F2A43"/>
    <w:rsid w:val="008F2E8D"/>
    <w:rsid w:val="008F3374"/>
    <w:rsid w:val="008F387B"/>
    <w:rsid w:val="008F3DD9"/>
    <w:rsid w:val="008F4814"/>
    <w:rsid w:val="008F4B91"/>
    <w:rsid w:val="008F4DA6"/>
    <w:rsid w:val="008F538E"/>
    <w:rsid w:val="008F59B4"/>
    <w:rsid w:val="008F5A20"/>
    <w:rsid w:val="008F5ABA"/>
    <w:rsid w:val="008F6CF9"/>
    <w:rsid w:val="008F78EC"/>
    <w:rsid w:val="008F7905"/>
    <w:rsid w:val="008F7989"/>
    <w:rsid w:val="00901768"/>
    <w:rsid w:val="009026AF"/>
    <w:rsid w:val="009028E8"/>
    <w:rsid w:val="00902E5C"/>
    <w:rsid w:val="0090350D"/>
    <w:rsid w:val="009039EB"/>
    <w:rsid w:val="009046E5"/>
    <w:rsid w:val="009047C5"/>
    <w:rsid w:val="009058D1"/>
    <w:rsid w:val="00905C04"/>
    <w:rsid w:val="00906BE2"/>
    <w:rsid w:val="009070AA"/>
    <w:rsid w:val="00910683"/>
    <w:rsid w:val="00910E00"/>
    <w:rsid w:val="009111AE"/>
    <w:rsid w:val="009116CE"/>
    <w:rsid w:val="00911714"/>
    <w:rsid w:val="00911A5B"/>
    <w:rsid w:val="0091244B"/>
    <w:rsid w:val="009136D4"/>
    <w:rsid w:val="00913857"/>
    <w:rsid w:val="00914B9A"/>
    <w:rsid w:val="00914C3F"/>
    <w:rsid w:val="00914DEF"/>
    <w:rsid w:val="00914F33"/>
    <w:rsid w:val="009153F6"/>
    <w:rsid w:val="00915FCE"/>
    <w:rsid w:val="00916847"/>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5743"/>
    <w:rsid w:val="0092579F"/>
    <w:rsid w:val="00927E8D"/>
    <w:rsid w:val="00927F23"/>
    <w:rsid w:val="00930698"/>
    <w:rsid w:val="00930727"/>
    <w:rsid w:val="009307CD"/>
    <w:rsid w:val="00930C81"/>
    <w:rsid w:val="009311D1"/>
    <w:rsid w:val="00931451"/>
    <w:rsid w:val="009314FA"/>
    <w:rsid w:val="0093194F"/>
    <w:rsid w:val="00931BF3"/>
    <w:rsid w:val="00931C55"/>
    <w:rsid w:val="009330BE"/>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7E6"/>
    <w:rsid w:val="009449F9"/>
    <w:rsid w:val="00945006"/>
    <w:rsid w:val="009451CE"/>
    <w:rsid w:val="00945812"/>
    <w:rsid w:val="00945C38"/>
    <w:rsid w:val="00945E18"/>
    <w:rsid w:val="009460F9"/>
    <w:rsid w:val="00946A24"/>
    <w:rsid w:val="009470D4"/>
    <w:rsid w:val="00947337"/>
    <w:rsid w:val="00947AA9"/>
    <w:rsid w:val="009512FA"/>
    <w:rsid w:val="00951E57"/>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D5B"/>
    <w:rsid w:val="00964E0A"/>
    <w:rsid w:val="00965FF8"/>
    <w:rsid w:val="00966214"/>
    <w:rsid w:val="00971441"/>
    <w:rsid w:val="009715D4"/>
    <w:rsid w:val="00971AC8"/>
    <w:rsid w:val="00972470"/>
    <w:rsid w:val="009739A9"/>
    <w:rsid w:val="00973AA2"/>
    <w:rsid w:val="00973DF6"/>
    <w:rsid w:val="0097494E"/>
    <w:rsid w:val="00974B58"/>
    <w:rsid w:val="00975140"/>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716"/>
    <w:rsid w:val="00987C77"/>
    <w:rsid w:val="00990345"/>
    <w:rsid w:val="00990701"/>
    <w:rsid w:val="0099090B"/>
    <w:rsid w:val="00990BC7"/>
    <w:rsid w:val="0099119C"/>
    <w:rsid w:val="0099137A"/>
    <w:rsid w:val="00991805"/>
    <w:rsid w:val="0099211C"/>
    <w:rsid w:val="00993158"/>
    <w:rsid w:val="00993B78"/>
    <w:rsid w:val="0099483A"/>
    <w:rsid w:val="00995119"/>
    <w:rsid w:val="009953AD"/>
    <w:rsid w:val="00995503"/>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B01D3"/>
    <w:rsid w:val="009B0522"/>
    <w:rsid w:val="009B199E"/>
    <w:rsid w:val="009B257D"/>
    <w:rsid w:val="009B27AC"/>
    <w:rsid w:val="009B2E29"/>
    <w:rsid w:val="009B3163"/>
    <w:rsid w:val="009B422F"/>
    <w:rsid w:val="009B46BC"/>
    <w:rsid w:val="009B4D1A"/>
    <w:rsid w:val="009B527F"/>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69D"/>
    <w:rsid w:val="009F36FE"/>
    <w:rsid w:val="009F46A9"/>
    <w:rsid w:val="009F4F25"/>
    <w:rsid w:val="009F507A"/>
    <w:rsid w:val="009F59C2"/>
    <w:rsid w:val="009F61DE"/>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2E91"/>
    <w:rsid w:val="00A143EC"/>
    <w:rsid w:val="00A14A60"/>
    <w:rsid w:val="00A1500F"/>
    <w:rsid w:val="00A15621"/>
    <w:rsid w:val="00A15670"/>
    <w:rsid w:val="00A157A0"/>
    <w:rsid w:val="00A1585B"/>
    <w:rsid w:val="00A15BBC"/>
    <w:rsid w:val="00A15C19"/>
    <w:rsid w:val="00A1656E"/>
    <w:rsid w:val="00A16809"/>
    <w:rsid w:val="00A17769"/>
    <w:rsid w:val="00A17EA2"/>
    <w:rsid w:val="00A20264"/>
    <w:rsid w:val="00A20997"/>
    <w:rsid w:val="00A21454"/>
    <w:rsid w:val="00A22025"/>
    <w:rsid w:val="00A220AB"/>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A2"/>
    <w:rsid w:val="00A431FE"/>
    <w:rsid w:val="00A4392D"/>
    <w:rsid w:val="00A439E5"/>
    <w:rsid w:val="00A43D1B"/>
    <w:rsid w:val="00A4497A"/>
    <w:rsid w:val="00A44BE8"/>
    <w:rsid w:val="00A44C96"/>
    <w:rsid w:val="00A44F54"/>
    <w:rsid w:val="00A45F9B"/>
    <w:rsid w:val="00A461BF"/>
    <w:rsid w:val="00A46574"/>
    <w:rsid w:val="00A4657A"/>
    <w:rsid w:val="00A467C4"/>
    <w:rsid w:val="00A4777D"/>
    <w:rsid w:val="00A500B1"/>
    <w:rsid w:val="00A500F3"/>
    <w:rsid w:val="00A51520"/>
    <w:rsid w:val="00A5292D"/>
    <w:rsid w:val="00A52CC5"/>
    <w:rsid w:val="00A52D3F"/>
    <w:rsid w:val="00A52EE5"/>
    <w:rsid w:val="00A53037"/>
    <w:rsid w:val="00A532B9"/>
    <w:rsid w:val="00A5351D"/>
    <w:rsid w:val="00A53D84"/>
    <w:rsid w:val="00A53E79"/>
    <w:rsid w:val="00A54031"/>
    <w:rsid w:val="00A5426D"/>
    <w:rsid w:val="00A54FC2"/>
    <w:rsid w:val="00A55122"/>
    <w:rsid w:val="00A5696C"/>
    <w:rsid w:val="00A56DE7"/>
    <w:rsid w:val="00A57714"/>
    <w:rsid w:val="00A57EB2"/>
    <w:rsid w:val="00A6009E"/>
    <w:rsid w:val="00A60762"/>
    <w:rsid w:val="00A60B1F"/>
    <w:rsid w:val="00A61C60"/>
    <w:rsid w:val="00A61F10"/>
    <w:rsid w:val="00A62589"/>
    <w:rsid w:val="00A62C3A"/>
    <w:rsid w:val="00A63812"/>
    <w:rsid w:val="00A63DF7"/>
    <w:rsid w:val="00A64505"/>
    <w:rsid w:val="00A65CC5"/>
    <w:rsid w:val="00A668BA"/>
    <w:rsid w:val="00A66FA7"/>
    <w:rsid w:val="00A677F6"/>
    <w:rsid w:val="00A67E16"/>
    <w:rsid w:val="00A703CC"/>
    <w:rsid w:val="00A70C5C"/>
    <w:rsid w:val="00A71E4C"/>
    <w:rsid w:val="00A71EA7"/>
    <w:rsid w:val="00A72849"/>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B64"/>
    <w:rsid w:val="00A86E0B"/>
    <w:rsid w:val="00A9069B"/>
    <w:rsid w:val="00A90F12"/>
    <w:rsid w:val="00A9106F"/>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24FD"/>
    <w:rsid w:val="00AA3D7B"/>
    <w:rsid w:val="00AA42A0"/>
    <w:rsid w:val="00AA42E3"/>
    <w:rsid w:val="00AA442B"/>
    <w:rsid w:val="00AA46A4"/>
    <w:rsid w:val="00AA4F3D"/>
    <w:rsid w:val="00AA5687"/>
    <w:rsid w:val="00AA5779"/>
    <w:rsid w:val="00AA58A1"/>
    <w:rsid w:val="00AA61C7"/>
    <w:rsid w:val="00AA669D"/>
    <w:rsid w:val="00AA66ED"/>
    <w:rsid w:val="00AA6BE1"/>
    <w:rsid w:val="00AA7416"/>
    <w:rsid w:val="00AA7619"/>
    <w:rsid w:val="00AA7A60"/>
    <w:rsid w:val="00AA7B42"/>
    <w:rsid w:val="00AB041C"/>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264D"/>
    <w:rsid w:val="00AC2A0B"/>
    <w:rsid w:val="00AC2BEC"/>
    <w:rsid w:val="00AC2BEE"/>
    <w:rsid w:val="00AC2E53"/>
    <w:rsid w:val="00AC484F"/>
    <w:rsid w:val="00AC4A42"/>
    <w:rsid w:val="00AC4B20"/>
    <w:rsid w:val="00AC4D8F"/>
    <w:rsid w:val="00AC56F2"/>
    <w:rsid w:val="00AC5B83"/>
    <w:rsid w:val="00AC6886"/>
    <w:rsid w:val="00AC717C"/>
    <w:rsid w:val="00AC71C3"/>
    <w:rsid w:val="00AD0DA5"/>
    <w:rsid w:val="00AD1499"/>
    <w:rsid w:val="00AD1EFA"/>
    <w:rsid w:val="00AD2072"/>
    <w:rsid w:val="00AD2808"/>
    <w:rsid w:val="00AD2DBD"/>
    <w:rsid w:val="00AD2FBF"/>
    <w:rsid w:val="00AD416B"/>
    <w:rsid w:val="00AD455D"/>
    <w:rsid w:val="00AD463C"/>
    <w:rsid w:val="00AD46A2"/>
    <w:rsid w:val="00AD47E8"/>
    <w:rsid w:val="00AD4A51"/>
    <w:rsid w:val="00AD4F60"/>
    <w:rsid w:val="00AD5044"/>
    <w:rsid w:val="00AD5114"/>
    <w:rsid w:val="00AD6236"/>
    <w:rsid w:val="00AD67E6"/>
    <w:rsid w:val="00AD7619"/>
    <w:rsid w:val="00AD7770"/>
    <w:rsid w:val="00AE04A1"/>
    <w:rsid w:val="00AE0D1C"/>
    <w:rsid w:val="00AE1772"/>
    <w:rsid w:val="00AE1990"/>
    <w:rsid w:val="00AE1BBA"/>
    <w:rsid w:val="00AE2523"/>
    <w:rsid w:val="00AE25E8"/>
    <w:rsid w:val="00AE2631"/>
    <w:rsid w:val="00AE2AD4"/>
    <w:rsid w:val="00AE2BD9"/>
    <w:rsid w:val="00AE2CA7"/>
    <w:rsid w:val="00AE2F1D"/>
    <w:rsid w:val="00AE4B2B"/>
    <w:rsid w:val="00AE586F"/>
    <w:rsid w:val="00AE5A78"/>
    <w:rsid w:val="00AE6582"/>
    <w:rsid w:val="00AE6DC5"/>
    <w:rsid w:val="00AE73D7"/>
    <w:rsid w:val="00AE7686"/>
    <w:rsid w:val="00AE799A"/>
    <w:rsid w:val="00AF0514"/>
    <w:rsid w:val="00AF078E"/>
    <w:rsid w:val="00AF0E81"/>
    <w:rsid w:val="00AF117A"/>
    <w:rsid w:val="00AF186E"/>
    <w:rsid w:val="00AF19DF"/>
    <w:rsid w:val="00AF1F4F"/>
    <w:rsid w:val="00AF26CF"/>
    <w:rsid w:val="00AF47D5"/>
    <w:rsid w:val="00AF4E92"/>
    <w:rsid w:val="00AF554B"/>
    <w:rsid w:val="00AF5C9B"/>
    <w:rsid w:val="00AF5D53"/>
    <w:rsid w:val="00AF5E2D"/>
    <w:rsid w:val="00AF5F6B"/>
    <w:rsid w:val="00AF644B"/>
    <w:rsid w:val="00AF6CA6"/>
    <w:rsid w:val="00AF6EB6"/>
    <w:rsid w:val="00AF7796"/>
    <w:rsid w:val="00B011A9"/>
    <w:rsid w:val="00B024ED"/>
    <w:rsid w:val="00B02C4A"/>
    <w:rsid w:val="00B02EB3"/>
    <w:rsid w:val="00B02FCB"/>
    <w:rsid w:val="00B033F8"/>
    <w:rsid w:val="00B039BE"/>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28D1"/>
    <w:rsid w:val="00B22C58"/>
    <w:rsid w:val="00B22E22"/>
    <w:rsid w:val="00B22F5F"/>
    <w:rsid w:val="00B23813"/>
    <w:rsid w:val="00B23FD9"/>
    <w:rsid w:val="00B2450F"/>
    <w:rsid w:val="00B24591"/>
    <w:rsid w:val="00B245D5"/>
    <w:rsid w:val="00B24C36"/>
    <w:rsid w:val="00B24D49"/>
    <w:rsid w:val="00B24F94"/>
    <w:rsid w:val="00B25126"/>
    <w:rsid w:val="00B25A52"/>
    <w:rsid w:val="00B25B0A"/>
    <w:rsid w:val="00B25FC3"/>
    <w:rsid w:val="00B26CC4"/>
    <w:rsid w:val="00B27026"/>
    <w:rsid w:val="00B27763"/>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2B61"/>
    <w:rsid w:val="00B437F8"/>
    <w:rsid w:val="00B4387A"/>
    <w:rsid w:val="00B44196"/>
    <w:rsid w:val="00B44260"/>
    <w:rsid w:val="00B44746"/>
    <w:rsid w:val="00B44854"/>
    <w:rsid w:val="00B44E8C"/>
    <w:rsid w:val="00B453FE"/>
    <w:rsid w:val="00B458D0"/>
    <w:rsid w:val="00B46120"/>
    <w:rsid w:val="00B47040"/>
    <w:rsid w:val="00B47694"/>
    <w:rsid w:val="00B4792C"/>
    <w:rsid w:val="00B50CAE"/>
    <w:rsid w:val="00B512AD"/>
    <w:rsid w:val="00B5196C"/>
    <w:rsid w:val="00B525CB"/>
    <w:rsid w:val="00B52697"/>
    <w:rsid w:val="00B53E7C"/>
    <w:rsid w:val="00B5400D"/>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BBE"/>
    <w:rsid w:val="00B65C8A"/>
    <w:rsid w:val="00B65CE2"/>
    <w:rsid w:val="00B65CED"/>
    <w:rsid w:val="00B660AD"/>
    <w:rsid w:val="00B66109"/>
    <w:rsid w:val="00B66349"/>
    <w:rsid w:val="00B67630"/>
    <w:rsid w:val="00B67FBF"/>
    <w:rsid w:val="00B7024E"/>
    <w:rsid w:val="00B71FA7"/>
    <w:rsid w:val="00B72110"/>
    <w:rsid w:val="00B7240D"/>
    <w:rsid w:val="00B72983"/>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0A"/>
    <w:rsid w:val="00B81E6F"/>
    <w:rsid w:val="00B82123"/>
    <w:rsid w:val="00B8225B"/>
    <w:rsid w:val="00B82BB5"/>
    <w:rsid w:val="00B83182"/>
    <w:rsid w:val="00B83811"/>
    <w:rsid w:val="00B83B09"/>
    <w:rsid w:val="00B84684"/>
    <w:rsid w:val="00B84866"/>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10A"/>
    <w:rsid w:val="00B97392"/>
    <w:rsid w:val="00B973C6"/>
    <w:rsid w:val="00B97691"/>
    <w:rsid w:val="00B976C7"/>
    <w:rsid w:val="00BA0C54"/>
    <w:rsid w:val="00BA1382"/>
    <w:rsid w:val="00BA1D64"/>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B7D1F"/>
    <w:rsid w:val="00BC0F33"/>
    <w:rsid w:val="00BC14A7"/>
    <w:rsid w:val="00BC1611"/>
    <w:rsid w:val="00BC1632"/>
    <w:rsid w:val="00BC17CC"/>
    <w:rsid w:val="00BC1862"/>
    <w:rsid w:val="00BC229E"/>
    <w:rsid w:val="00BC23C0"/>
    <w:rsid w:val="00BC2898"/>
    <w:rsid w:val="00BC2928"/>
    <w:rsid w:val="00BC2AA9"/>
    <w:rsid w:val="00BC2BB1"/>
    <w:rsid w:val="00BC34A3"/>
    <w:rsid w:val="00BC3ED5"/>
    <w:rsid w:val="00BC3FF9"/>
    <w:rsid w:val="00BC4834"/>
    <w:rsid w:val="00BC4A97"/>
    <w:rsid w:val="00BC5A25"/>
    <w:rsid w:val="00BC5FDD"/>
    <w:rsid w:val="00BC68B4"/>
    <w:rsid w:val="00BC6C2D"/>
    <w:rsid w:val="00BC762B"/>
    <w:rsid w:val="00BC7B9A"/>
    <w:rsid w:val="00BD00A9"/>
    <w:rsid w:val="00BD0140"/>
    <w:rsid w:val="00BD02CC"/>
    <w:rsid w:val="00BD1675"/>
    <w:rsid w:val="00BD2063"/>
    <w:rsid w:val="00BD33D9"/>
    <w:rsid w:val="00BD38C5"/>
    <w:rsid w:val="00BD3A59"/>
    <w:rsid w:val="00BD3C11"/>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44"/>
    <w:rsid w:val="00BF1DD2"/>
    <w:rsid w:val="00BF1FDE"/>
    <w:rsid w:val="00BF23A3"/>
    <w:rsid w:val="00BF28DB"/>
    <w:rsid w:val="00BF2A7E"/>
    <w:rsid w:val="00BF3331"/>
    <w:rsid w:val="00BF3356"/>
    <w:rsid w:val="00BF37EC"/>
    <w:rsid w:val="00BF3A45"/>
    <w:rsid w:val="00BF436F"/>
    <w:rsid w:val="00BF4EC5"/>
    <w:rsid w:val="00BF5723"/>
    <w:rsid w:val="00BF5C05"/>
    <w:rsid w:val="00BF60C8"/>
    <w:rsid w:val="00BF6A7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955"/>
    <w:rsid w:val="00C06CCF"/>
    <w:rsid w:val="00C108B8"/>
    <w:rsid w:val="00C10C0B"/>
    <w:rsid w:val="00C11503"/>
    <w:rsid w:val="00C1159D"/>
    <w:rsid w:val="00C11683"/>
    <w:rsid w:val="00C11798"/>
    <w:rsid w:val="00C118DB"/>
    <w:rsid w:val="00C1233E"/>
    <w:rsid w:val="00C12408"/>
    <w:rsid w:val="00C125C1"/>
    <w:rsid w:val="00C1299A"/>
    <w:rsid w:val="00C12F05"/>
    <w:rsid w:val="00C12FB3"/>
    <w:rsid w:val="00C1304A"/>
    <w:rsid w:val="00C138BC"/>
    <w:rsid w:val="00C13D85"/>
    <w:rsid w:val="00C14639"/>
    <w:rsid w:val="00C14E82"/>
    <w:rsid w:val="00C14FF6"/>
    <w:rsid w:val="00C150A6"/>
    <w:rsid w:val="00C15A85"/>
    <w:rsid w:val="00C1641B"/>
    <w:rsid w:val="00C165FC"/>
    <w:rsid w:val="00C1680E"/>
    <w:rsid w:val="00C16E9D"/>
    <w:rsid w:val="00C176D5"/>
    <w:rsid w:val="00C2082C"/>
    <w:rsid w:val="00C20832"/>
    <w:rsid w:val="00C209F7"/>
    <w:rsid w:val="00C20EB0"/>
    <w:rsid w:val="00C21005"/>
    <w:rsid w:val="00C2183B"/>
    <w:rsid w:val="00C21B56"/>
    <w:rsid w:val="00C220B6"/>
    <w:rsid w:val="00C22492"/>
    <w:rsid w:val="00C229E0"/>
    <w:rsid w:val="00C22D7C"/>
    <w:rsid w:val="00C22DDE"/>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2B4"/>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1F7F"/>
    <w:rsid w:val="00C421A3"/>
    <w:rsid w:val="00C42247"/>
    <w:rsid w:val="00C439BE"/>
    <w:rsid w:val="00C443CC"/>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DBF"/>
    <w:rsid w:val="00C63E99"/>
    <w:rsid w:val="00C64161"/>
    <w:rsid w:val="00C641BD"/>
    <w:rsid w:val="00C649B8"/>
    <w:rsid w:val="00C64A64"/>
    <w:rsid w:val="00C64AA2"/>
    <w:rsid w:val="00C65151"/>
    <w:rsid w:val="00C653B9"/>
    <w:rsid w:val="00C657F4"/>
    <w:rsid w:val="00C66119"/>
    <w:rsid w:val="00C66292"/>
    <w:rsid w:val="00C672A3"/>
    <w:rsid w:val="00C672F1"/>
    <w:rsid w:val="00C673D0"/>
    <w:rsid w:val="00C6742E"/>
    <w:rsid w:val="00C677BE"/>
    <w:rsid w:val="00C70012"/>
    <w:rsid w:val="00C70321"/>
    <w:rsid w:val="00C71CBB"/>
    <w:rsid w:val="00C71E2A"/>
    <w:rsid w:val="00C72571"/>
    <w:rsid w:val="00C733BA"/>
    <w:rsid w:val="00C734F3"/>
    <w:rsid w:val="00C74F3F"/>
    <w:rsid w:val="00C760DC"/>
    <w:rsid w:val="00C764E2"/>
    <w:rsid w:val="00C76E2D"/>
    <w:rsid w:val="00C800AB"/>
    <w:rsid w:val="00C8082B"/>
    <w:rsid w:val="00C81A88"/>
    <w:rsid w:val="00C81AEC"/>
    <w:rsid w:val="00C81D46"/>
    <w:rsid w:val="00C820AD"/>
    <w:rsid w:val="00C82298"/>
    <w:rsid w:val="00C82F91"/>
    <w:rsid w:val="00C82F97"/>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0D61"/>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365A"/>
    <w:rsid w:val="00CB4137"/>
    <w:rsid w:val="00CB52D0"/>
    <w:rsid w:val="00CB5578"/>
    <w:rsid w:val="00CB5671"/>
    <w:rsid w:val="00CB591C"/>
    <w:rsid w:val="00CB5943"/>
    <w:rsid w:val="00CB61B3"/>
    <w:rsid w:val="00CB65D4"/>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A22"/>
    <w:rsid w:val="00CD2B50"/>
    <w:rsid w:val="00CD3AD3"/>
    <w:rsid w:val="00CD41FE"/>
    <w:rsid w:val="00CD4506"/>
    <w:rsid w:val="00CD520B"/>
    <w:rsid w:val="00CD592E"/>
    <w:rsid w:val="00CD5982"/>
    <w:rsid w:val="00CD5A1A"/>
    <w:rsid w:val="00CD6054"/>
    <w:rsid w:val="00CD71E9"/>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35D0"/>
    <w:rsid w:val="00CF3DD5"/>
    <w:rsid w:val="00CF41D5"/>
    <w:rsid w:val="00CF4897"/>
    <w:rsid w:val="00CF4AF7"/>
    <w:rsid w:val="00CF4D20"/>
    <w:rsid w:val="00CF539C"/>
    <w:rsid w:val="00CF55DF"/>
    <w:rsid w:val="00CF6180"/>
    <w:rsid w:val="00CF64F6"/>
    <w:rsid w:val="00CF665F"/>
    <w:rsid w:val="00CF73F8"/>
    <w:rsid w:val="00CF7928"/>
    <w:rsid w:val="00CF7CA2"/>
    <w:rsid w:val="00D00A8E"/>
    <w:rsid w:val="00D00DE0"/>
    <w:rsid w:val="00D00F79"/>
    <w:rsid w:val="00D012BF"/>
    <w:rsid w:val="00D01760"/>
    <w:rsid w:val="00D0368E"/>
    <w:rsid w:val="00D03D2D"/>
    <w:rsid w:val="00D03E7B"/>
    <w:rsid w:val="00D0401A"/>
    <w:rsid w:val="00D04750"/>
    <w:rsid w:val="00D047E0"/>
    <w:rsid w:val="00D04B9F"/>
    <w:rsid w:val="00D04FFB"/>
    <w:rsid w:val="00D05153"/>
    <w:rsid w:val="00D058E9"/>
    <w:rsid w:val="00D0612A"/>
    <w:rsid w:val="00D068E3"/>
    <w:rsid w:val="00D06A0E"/>
    <w:rsid w:val="00D06D40"/>
    <w:rsid w:val="00D1060D"/>
    <w:rsid w:val="00D10E7C"/>
    <w:rsid w:val="00D11182"/>
    <w:rsid w:val="00D1137B"/>
    <w:rsid w:val="00D11807"/>
    <w:rsid w:val="00D11DB3"/>
    <w:rsid w:val="00D11E0B"/>
    <w:rsid w:val="00D12D82"/>
    <w:rsid w:val="00D1306E"/>
    <w:rsid w:val="00D134CD"/>
    <w:rsid w:val="00D13CE5"/>
    <w:rsid w:val="00D13D98"/>
    <w:rsid w:val="00D14B5F"/>
    <w:rsid w:val="00D14E13"/>
    <w:rsid w:val="00D14F23"/>
    <w:rsid w:val="00D15356"/>
    <w:rsid w:val="00D16054"/>
    <w:rsid w:val="00D160AA"/>
    <w:rsid w:val="00D16740"/>
    <w:rsid w:val="00D16A8B"/>
    <w:rsid w:val="00D16B5C"/>
    <w:rsid w:val="00D16E39"/>
    <w:rsid w:val="00D17951"/>
    <w:rsid w:val="00D17AD8"/>
    <w:rsid w:val="00D17B53"/>
    <w:rsid w:val="00D2104A"/>
    <w:rsid w:val="00D21302"/>
    <w:rsid w:val="00D213F1"/>
    <w:rsid w:val="00D21BB5"/>
    <w:rsid w:val="00D21FFC"/>
    <w:rsid w:val="00D223A3"/>
    <w:rsid w:val="00D223B6"/>
    <w:rsid w:val="00D223E8"/>
    <w:rsid w:val="00D22CB5"/>
    <w:rsid w:val="00D22DC8"/>
    <w:rsid w:val="00D24ECD"/>
    <w:rsid w:val="00D2522A"/>
    <w:rsid w:val="00D2531C"/>
    <w:rsid w:val="00D255F3"/>
    <w:rsid w:val="00D25FC7"/>
    <w:rsid w:val="00D26C21"/>
    <w:rsid w:val="00D2742F"/>
    <w:rsid w:val="00D2754F"/>
    <w:rsid w:val="00D27793"/>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3988"/>
    <w:rsid w:val="00D4498E"/>
    <w:rsid w:val="00D4515F"/>
    <w:rsid w:val="00D451E8"/>
    <w:rsid w:val="00D4636B"/>
    <w:rsid w:val="00D466C9"/>
    <w:rsid w:val="00D467D8"/>
    <w:rsid w:val="00D47275"/>
    <w:rsid w:val="00D4750C"/>
    <w:rsid w:val="00D4767B"/>
    <w:rsid w:val="00D50AEF"/>
    <w:rsid w:val="00D50C39"/>
    <w:rsid w:val="00D51E15"/>
    <w:rsid w:val="00D52B7E"/>
    <w:rsid w:val="00D52E2F"/>
    <w:rsid w:val="00D52F59"/>
    <w:rsid w:val="00D53E3E"/>
    <w:rsid w:val="00D55279"/>
    <w:rsid w:val="00D55904"/>
    <w:rsid w:val="00D5616F"/>
    <w:rsid w:val="00D57940"/>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7BC7"/>
    <w:rsid w:val="00D701F1"/>
    <w:rsid w:val="00D705D3"/>
    <w:rsid w:val="00D7088A"/>
    <w:rsid w:val="00D70E00"/>
    <w:rsid w:val="00D71014"/>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166D"/>
    <w:rsid w:val="00D81718"/>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2856"/>
    <w:rsid w:val="00D9310B"/>
    <w:rsid w:val="00D93299"/>
    <w:rsid w:val="00D93726"/>
    <w:rsid w:val="00D93DD3"/>
    <w:rsid w:val="00D93F3E"/>
    <w:rsid w:val="00D9405B"/>
    <w:rsid w:val="00D94942"/>
    <w:rsid w:val="00D95145"/>
    <w:rsid w:val="00D96418"/>
    <w:rsid w:val="00D967CB"/>
    <w:rsid w:val="00D96EE0"/>
    <w:rsid w:val="00D97BD1"/>
    <w:rsid w:val="00DA06B8"/>
    <w:rsid w:val="00DA286D"/>
    <w:rsid w:val="00DA2969"/>
    <w:rsid w:val="00DA29B7"/>
    <w:rsid w:val="00DA3BC0"/>
    <w:rsid w:val="00DA4842"/>
    <w:rsid w:val="00DA49EF"/>
    <w:rsid w:val="00DA5989"/>
    <w:rsid w:val="00DA5AB1"/>
    <w:rsid w:val="00DA5F9D"/>
    <w:rsid w:val="00DA69B2"/>
    <w:rsid w:val="00DA6A7B"/>
    <w:rsid w:val="00DA735F"/>
    <w:rsid w:val="00DA7462"/>
    <w:rsid w:val="00DA777E"/>
    <w:rsid w:val="00DA7AD0"/>
    <w:rsid w:val="00DA7C08"/>
    <w:rsid w:val="00DB02D7"/>
    <w:rsid w:val="00DB03CC"/>
    <w:rsid w:val="00DB12D4"/>
    <w:rsid w:val="00DB13DD"/>
    <w:rsid w:val="00DB14F0"/>
    <w:rsid w:val="00DB1745"/>
    <w:rsid w:val="00DB1AFF"/>
    <w:rsid w:val="00DB219A"/>
    <w:rsid w:val="00DB3165"/>
    <w:rsid w:val="00DB350B"/>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06B"/>
    <w:rsid w:val="00DC478F"/>
    <w:rsid w:val="00DC5DFB"/>
    <w:rsid w:val="00DC62E5"/>
    <w:rsid w:val="00DC6AB9"/>
    <w:rsid w:val="00DC6F33"/>
    <w:rsid w:val="00DC729E"/>
    <w:rsid w:val="00DC7349"/>
    <w:rsid w:val="00DC7456"/>
    <w:rsid w:val="00DD0246"/>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B48"/>
    <w:rsid w:val="00DE3F23"/>
    <w:rsid w:val="00DE3FF0"/>
    <w:rsid w:val="00DE4105"/>
    <w:rsid w:val="00DE5189"/>
    <w:rsid w:val="00DE6230"/>
    <w:rsid w:val="00DE7108"/>
    <w:rsid w:val="00DE78D1"/>
    <w:rsid w:val="00DF0263"/>
    <w:rsid w:val="00DF06D2"/>
    <w:rsid w:val="00DF0EB4"/>
    <w:rsid w:val="00DF1412"/>
    <w:rsid w:val="00DF1E36"/>
    <w:rsid w:val="00DF1FDB"/>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6BB"/>
    <w:rsid w:val="00E027C5"/>
    <w:rsid w:val="00E03124"/>
    <w:rsid w:val="00E03148"/>
    <w:rsid w:val="00E031EB"/>
    <w:rsid w:val="00E03951"/>
    <w:rsid w:val="00E03DB8"/>
    <w:rsid w:val="00E0466B"/>
    <w:rsid w:val="00E0573A"/>
    <w:rsid w:val="00E057BA"/>
    <w:rsid w:val="00E057C0"/>
    <w:rsid w:val="00E05E70"/>
    <w:rsid w:val="00E0631A"/>
    <w:rsid w:val="00E064BC"/>
    <w:rsid w:val="00E07225"/>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4A"/>
    <w:rsid w:val="00E3189C"/>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229"/>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42F"/>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5E2"/>
    <w:rsid w:val="00E65E70"/>
    <w:rsid w:val="00E65EE9"/>
    <w:rsid w:val="00E66087"/>
    <w:rsid w:val="00E6685F"/>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77D4E"/>
    <w:rsid w:val="00E8029A"/>
    <w:rsid w:val="00E803A6"/>
    <w:rsid w:val="00E81653"/>
    <w:rsid w:val="00E823F9"/>
    <w:rsid w:val="00E82C1F"/>
    <w:rsid w:val="00E82EEA"/>
    <w:rsid w:val="00E83671"/>
    <w:rsid w:val="00E8414B"/>
    <w:rsid w:val="00E84793"/>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0D0"/>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1B"/>
    <w:rsid w:val="00EB1573"/>
    <w:rsid w:val="00EB1650"/>
    <w:rsid w:val="00EB17CA"/>
    <w:rsid w:val="00EB1910"/>
    <w:rsid w:val="00EB1D24"/>
    <w:rsid w:val="00EB209B"/>
    <w:rsid w:val="00EB26F2"/>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FC4"/>
    <w:rsid w:val="00F1108B"/>
    <w:rsid w:val="00F11768"/>
    <w:rsid w:val="00F11951"/>
    <w:rsid w:val="00F11BA8"/>
    <w:rsid w:val="00F12259"/>
    <w:rsid w:val="00F12262"/>
    <w:rsid w:val="00F12AF8"/>
    <w:rsid w:val="00F12C52"/>
    <w:rsid w:val="00F14352"/>
    <w:rsid w:val="00F14618"/>
    <w:rsid w:val="00F148B7"/>
    <w:rsid w:val="00F14BE9"/>
    <w:rsid w:val="00F14EA9"/>
    <w:rsid w:val="00F15505"/>
    <w:rsid w:val="00F15BFF"/>
    <w:rsid w:val="00F17105"/>
    <w:rsid w:val="00F20A0B"/>
    <w:rsid w:val="00F213A0"/>
    <w:rsid w:val="00F217AB"/>
    <w:rsid w:val="00F21A51"/>
    <w:rsid w:val="00F21D54"/>
    <w:rsid w:val="00F21D6D"/>
    <w:rsid w:val="00F21EF4"/>
    <w:rsid w:val="00F227B8"/>
    <w:rsid w:val="00F23113"/>
    <w:rsid w:val="00F23255"/>
    <w:rsid w:val="00F23393"/>
    <w:rsid w:val="00F23759"/>
    <w:rsid w:val="00F239D4"/>
    <w:rsid w:val="00F23CB5"/>
    <w:rsid w:val="00F245A1"/>
    <w:rsid w:val="00F24644"/>
    <w:rsid w:val="00F24ABF"/>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3FF"/>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222"/>
    <w:rsid w:val="00F4345D"/>
    <w:rsid w:val="00F4387B"/>
    <w:rsid w:val="00F4425D"/>
    <w:rsid w:val="00F4518D"/>
    <w:rsid w:val="00F45B91"/>
    <w:rsid w:val="00F46285"/>
    <w:rsid w:val="00F4630A"/>
    <w:rsid w:val="00F46639"/>
    <w:rsid w:val="00F46692"/>
    <w:rsid w:val="00F47AAA"/>
    <w:rsid w:val="00F47B3B"/>
    <w:rsid w:val="00F50183"/>
    <w:rsid w:val="00F50D92"/>
    <w:rsid w:val="00F50E0B"/>
    <w:rsid w:val="00F51765"/>
    <w:rsid w:val="00F51A51"/>
    <w:rsid w:val="00F51CB4"/>
    <w:rsid w:val="00F52324"/>
    <w:rsid w:val="00F52950"/>
    <w:rsid w:val="00F52C9D"/>
    <w:rsid w:val="00F52E39"/>
    <w:rsid w:val="00F533F1"/>
    <w:rsid w:val="00F53ADC"/>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49F6"/>
    <w:rsid w:val="00F650A2"/>
    <w:rsid w:val="00F65A3C"/>
    <w:rsid w:val="00F66282"/>
    <w:rsid w:val="00F67D8B"/>
    <w:rsid w:val="00F70961"/>
    <w:rsid w:val="00F70A8F"/>
    <w:rsid w:val="00F70F18"/>
    <w:rsid w:val="00F71397"/>
    <w:rsid w:val="00F72389"/>
    <w:rsid w:val="00F72516"/>
    <w:rsid w:val="00F72FB4"/>
    <w:rsid w:val="00F732C4"/>
    <w:rsid w:val="00F735E5"/>
    <w:rsid w:val="00F739B4"/>
    <w:rsid w:val="00F73C77"/>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5075"/>
    <w:rsid w:val="00F9537B"/>
    <w:rsid w:val="00F95467"/>
    <w:rsid w:val="00F954BA"/>
    <w:rsid w:val="00F95567"/>
    <w:rsid w:val="00F9574A"/>
    <w:rsid w:val="00F963FC"/>
    <w:rsid w:val="00F96F06"/>
    <w:rsid w:val="00F96FD6"/>
    <w:rsid w:val="00FA015F"/>
    <w:rsid w:val="00FA0FAC"/>
    <w:rsid w:val="00FA1DA2"/>
    <w:rsid w:val="00FA3414"/>
    <w:rsid w:val="00FA347A"/>
    <w:rsid w:val="00FA39D7"/>
    <w:rsid w:val="00FA3CDE"/>
    <w:rsid w:val="00FA49B7"/>
    <w:rsid w:val="00FA5043"/>
    <w:rsid w:val="00FA5ECF"/>
    <w:rsid w:val="00FA6179"/>
    <w:rsid w:val="00FA6F8B"/>
    <w:rsid w:val="00FA7A30"/>
    <w:rsid w:val="00FA7F7F"/>
    <w:rsid w:val="00FB033F"/>
    <w:rsid w:val="00FB12E3"/>
    <w:rsid w:val="00FB1570"/>
    <w:rsid w:val="00FB193B"/>
    <w:rsid w:val="00FB1FBC"/>
    <w:rsid w:val="00FB27B7"/>
    <w:rsid w:val="00FB2C36"/>
    <w:rsid w:val="00FB3444"/>
    <w:rsid w:val="00FB3483"/>
    <w:rsid w:val="00FB35E3"/>
    <w:rsid w:val="00FB4D3F"/>
    <w:rsid w:val="00FB583C"/>
    <w:rsid w:val="00FB61D1"/>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1B08"/>
    <w:rsid w:val="00FD21A9"/>
    <w:rsid w:val="00FD2AC8"/>
    <w:rsid w:val="00FD2CA6"/>
    <w:rsid w:val="00FD3508"/>
    <w:rsid w:val="00FD393C"/>
    <w:rsid w:val="00FD3D53"/>
    <w:rsid w:val="00FD43BB"/>
    <w:rsid w:val="00FD4AF3"/>
    <w:rsid w:val="00FD4E0F"/>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45F"/>
    <w:rsid w:val="00FF0679"/>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6B"/>
    <w:pPr>
      <w:spacing w:after="160" w:line="256" w:lineRule="auto"/>
    </w:pPr>
    <w:rPr>
      <w:rFonts w:ascii="Calibri" w:eastAsia="Calibri" w:hAnsi="Calibri" w:cs="Times New Roman"/>
    </w:rPr>
  </w:style>
  <w:style w:type="paragraph" w:styleId="Ttulo1">
    <w:name w:val="heading 1"/>
    <w:basedOn w:val="Normal"/>
    <w:link w:val="Ttulo1Car"/>
    <w:uiPriority w:val="1"/>
    <w:qFormat/>
    <w:rsid w:val="006D712D"/>
    <w:pPr>
      <w:widowControl w:val="0"/>
      <w:autoSpaceDE w:val="0"/>
      <w:autoSpaceDN w:val="0"/>
      <w:spacing w:after="0" w:line="240" w:lineRule="auto"/>
      <w:ind w:left="660" w:hanging="366"/>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965FF8"/>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after="0" w:line="240" w:lineRule="auto"/>
    </w:pPr>
    <w:rPr>
      <w:rFonts w:asciiTheme="minorHAnsi" w:eastAsiaTheme="minorHAnsi" w:hAnsiTheme="minorHAnsi" w:cstheme="minorBidi"/>
      <w:sz w:val="24"/>
      <w:lang w:val="es-MX"/>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after="0" w:line="240" w:lineRule="auto"/>
    </w:pPr>
    <w:rPr>
      <w:rFonts w:asciiTheme="minorHAnsi" w:eastAsiaTheme="minorHAnsi" w:hAnsiTheme="minorHAnsi" w:cstheme="minorBidi"/>
      <w:sz w:val="24"/>
      <w:lang w:val="es-MX"/>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spacing w:after="0" w:line="240" w:lineRule="auto"/>
      <w:ind w:left="720"/>
      <w:contextualSpacing/>
    </w:pPr>
    <w:rPr>
      <w:rFonts w:asciiTheme="minorHAnsi" w:eastAsiaTheme="minorHAnsi" w:hAnsiTheme="minorHAnsi" w:cstheme="minorBidi"/>
      <w:sz w:val="24"/>
      <w:lang w:val="es-MX"/>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after="0" w:line="240" w:lineRule="auto"/>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after="0" w:line="240" w:lineRule="auto"/>
    </w:pPr>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line="240" w:lineRule="exact"/>
    </w:pPr>
    <w:rPr>
      <w:rFonts w:asciiTheme="minorHAnsi" w:eastAsiaTheme="minorHAnsi" w:hAnsiTheme="minorHAnsi" w:cstheme="minorBidi"/>
      <w:vertAlign w:val="superscript"/>
    </w:rPr>
  </w:style>
  <w:style w:type="paragraph" w:styleId="Sangradetextonormal">
    <w:name w:val="Body Text Indent"/>
    <w:basedOn w:val="Normal"/>
    <w:link w:val="SangradetextonormalCar"/>
    <w:uiPriority w:val="99"/>
    <w:semiHidden/>
    <w:unhideWhenUsed/>
    <w:rsid w:val="006B7E4E"/>
    <w:pPr>
      <w:spacing w:after="120" w:line="240" w:lineRule="auto"/>
      <w:ind w:left="283"/>
    </w:pPr>
    <w:rPr>
      <w:rFonts w:asciiTheme="minorHAnsi" w:eastAsiaTheme="minorHAnsi" w:hAnsiTheme="minorHAnsi" w:cstheme="minorBidi"/>
      <w:sz w:val="24"/>
      <w:lang w:val="es-MX"/>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line="240" w:lineRule="auto"/>
      <w:jc w:val="both"/>
    </w:pPr>
    <w:rPr>
      <w:rFonts w:ascii="Arial Narrow" w:eastAsia="Times New Roman" w:hAnsi="Arial Narrow"/>
      <w:color w:val="3C3C3C" w:themeColor="background2" w:themeShade="40"/>
      <w:sz w:val="24"/>
      <w:szCs w:val="24"/>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hAnsi="Arial" w:cs="Arial"/>
      <w:b/>
      <w:bCs/>
      <w:color w:val="1C1C1C"/>
      <w:sz w:val="20"/>
      <w:szCs w:val="20"/>
    </w:rPr>
  </w:style>
  <w:style w:type="paragraph" w:customStyle="1" w:styleId="Normal11pt">
    <w:name w:val="Normal + 11 pt"/>
    <w:aliases w:val="Negro,Justificado,Izquierda:  -0,95 cm,Derecha:  0,04 cm"/>
    <w:basedOn w:val="Normal"/>
    <w:uiPriority w:val="99"/>
    <w:rsid w:val="008A2527"/>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baj">
    <w:name w:val="b_aj"/>
    <w:basedOn w:val="Fuentedeprrafopredeter"/>
    <w:rsid w:val="008F293D"/>
  </w:style>
  <w:style w:type="character" w:customStyle="1" w:styleId="SinespaciadoCar">
    <w:name w:val="Sin espaciado Car"/>
    <w:aliases w:val="No Indent Car"/>
    <w:link w:val="Sinespaciado"/>
    <w:uiPriority w:val="3"/>
    <w:rsid w:val="00B44E8C"/>
    <w:rPr>
      <w:sz w:val="24"/>
      <w:lang w:val="es-MX"/>
    </w:rPr>
  </w:style>
  <w:style w:type="character" w:customStyle="1" w:styleId="apple-converted-space">
    <w:name w:val="apple-converted-space"/>
    <w:basedOn w:val="Fuentedeprrafopredeter"/>
    <w:rsid w:val="00B65BBE"/>
  </w:style>
  <w:style w:type="character" w:customStyle="1" w:styleId="Ttulo2Car">
    <w:name w:val="Título 2 Car"/>
    <w:basedOn w:val="Fuentedeprrafopredeter"/>
    <w:link w:val="Ttulo2"/>
    <w:uiPriority w:val="9"/>
    <w:semiHidden/>
    <w:rsid w:val="00965FF8"/>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1166487">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1511602">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6510106">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068452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1654730">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A829B11-FF12-48BF-B99B-B9CBBCEFB1EF}"/>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20</Pages>
  <Words>6919</Words>
  <Characters>38056</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2022-09-22T16:31:00Z</dcterms:created>
  <dcterms:modified xsi:type="dcterms:W3CDTF">2022-09-22T16:31:00Z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