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39DD" w14:textId="373F8F25" w:rsidR="00A53021" w:rsidRPr="00D67C1A" w:rsidRDefault="00A53021" w:rsidP="00B140BD">
      <w:pPr>
        <w:widowControl w:val="0"/>
        <w:autoSpaceDE w:val="0"/>
        <w:autoSpaceDN w:val="0"/>
        <w:rPr>
          <w:rFonts w:ascii="Arial" w:eastAsia="Calibri" w:hAnsi="Arial" w:cs="Arial"/>
          <w:b/>
          <w:sz w:val="20"/>
          <w:szCs w:val="20"/>
          <w:lang w:val="es-ES_tradnl"/>
        </w:rPr>
      </w:pPr>
      <w:r w:rsidRPr="00D67C1A">
        <w:rPr>
          <w:rFonts w:ascii="Arial" w:eastAsia="Calibri" w:hAnsi="Arial" w:cs="Arial"/>
          <w:b/>
          <w:color w:val="000000"/>
          <w:sz w:val="22"/>
        </w:rPr>
        <w:t>DOCUMENTOS TIPO – Infraestructura de transporte</w:t>
      </w:r>
    </w:p>
    <w:p w14:paraId="207BA4B1" w14:textId="32E8D86E" w:rsidR="007C2EF0" w:rsidRPr="00D67C1A" w:rsidRDefault="007C2EF0" w:rsidP="00B47D0B">
      <w:pPr>
        <w:widowControl w:val="0"/>
        <w:autoSpaceDE w:val="0"/>
        <w:autoSpaceDN w:val="0"/>
        <w:rPr>
          <w:rFonts w:ascii="Arial" w:eastAsia="Calibri" w:hAnsi="Arial" w:cs="Arial"/>
          <w:sz w:val="20"/>
          <w:szCs w:val="20"/>
          <w:lang w:val="es-ES_tradnl"/>
        </w:rPr>
      </w:pPr>
    </w:p>
    <w:p w14:paraId="64AD23A1" w14:textId="1F6E78B2" w:rsidR="00C05B50" w:rsidRPr="00D67C1A" w:rsidRDefault="00A53021" w:rsidP="00B140BD">
      <w:pPr>
        <w:jc w:val="both"/>
        <w:rPr>
          <w:rFonts w:ascii="Arial" w:eastAsia="Calibri" w:hAnsi="Arial" w:cs="Arial"/>
          <w:color w:val="000000"/>
          <w:sz w:val="20"/>
          <w:szCs w:val="20"/>
        </w:rPr>
      </w:pPr>
      <w:r w:rsidRPr="00D67C1A">
        <w:rPr>
          <w:rFonts w:ascii="Arial" w:eastAsia="Calibri" w:hAnsi="Arial" w:cs="Arial"/>
          <w:color w:val="000000"/>
          <w:sz w:val="20"/>
          <w:szCs w:val="20"/>
        </w:rPr>
        <w:t>[…] 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w:t>
      </w:r>
      <w:r w:rsidR="00C05B50" w:rsidRPr="00D67C1A">
        <w:rPr>
          <w:rFonts w:ascii="Arial" w:eastAsia="Calibri" w:hAnsi="Arial" w:cs="Arial"/>
          <w:color w:val="000000"/>
          <w:sz w:val="20"/>
          <w:szCs w:val="20"/>
        </w:rPr>
        <w:t xml:space="preserve"> </w:t>
      </w:r>
      <w:r w:rsidR="00C05B50" w:rsidRPr="00D67C1A">
        <w:rPr>
          <w:rFonts w:ascii="Arial" w:eastAsia="Calibri" w:hAnsi="Arial" w:cs="Arial"/>
          <w:color w:val="000000"/>
          <w:sz w:val="20"/>
          <w:szCs w:val="20"/>
          <w:lang w:val="es-ES_tradnl"/>
        </w:rPr>
        <w:t>De igual manera, se adoptaron los documentos tipo de mínima cuantía de obra pública de infraestructura de transporte mediante la Resolución 094 del 21 de mayo de 2020.</w:t>
      </w:r>
    </w:p>
    <w:p w14:paraId="4420C4E6" w14:textId="77777777" w:rsidR="00A53021" w:rsidRPr="00D67C1A" w:rsidRDefault="00A53021" w:rsidP="00B140BD">
      <w:pPr>
        <w:jc w:val="both"/>
        <w:rPr>
          <w:rFonts w:ascii="Arial" w:eastAsia="Calibri" w:hAnsi="Arial" w:cs="Arial"/>
          <w:color w:val="000000"/>
          <w:sz w:val="20"/>
          <w:szCs w:val="20"/>
        </w:rPr>
      </w:pPr>
    </w:p>
    <w:p w14:paraId="382E8CF6" w14:textId="0D48B8E6" w:rsidR="00A53021" w:rsidRPr="00D67C1A" w:rsidRDefault="00A53021" w:rsidP="00B140BD">
      <w:pPr>
        <w:jc w:val="both"/>
        <w:rPr>
          <w:rFonts w:ascii="Arial" w:eastAsia="Calibri" w:hAnsi="Arial" w:cs="Arial"/>
          <w:color w:val="000000"/>
          <w:sz w:val="20"/>
          <w:szCs w:val="20"/>
        </w:rPr>
      </w:pPr>
      <w:r w:rsidRPr="00D67C1A">
        <w:rPr>
          <w:rFonts w:ascii="Arial" w:eastAsia="Calibri" w:hAnsi="Arial" w:cs="Arial"/>
          <w:color w:val="000000"/>
          <w:sz w:val="20"/>
          <w:szCs w:val="20"/>
        </w:rPr>
        <w:t>Además, teni</w:t>
      </w:r>
      <w:r w:rsidR="00F859FC" w:rsidRPr="00D67C1A">
        <w:rPr>
          <w:rFonts w:ascii="Arial" w:eastAsia="Calibri" w:hAnsi="Arial" w:cs="Arial"/>
          <w:color w:val="000000"/>
          <w:sz w:val="20"/>
          <w:szCs w:val="20"/>
        </w:rPr>
        <w:t>endo en cuenta que el Gobierno n</w:t>
      </w:r>
      <w:r w:rsidRPr="00D67C1A">
        <w:rPr>
          <w:rFonts w:ascii="Arial" w:eastAsia="Calibri" w:hAnsi="Arial" w:cs="Arial"/>
          <w:color w:val="000000"/>
          <w:sz w:val="20"/>
          <w:szCs w:val="20"/>
        </w:rPr>
        <w:t>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29C3B47A" w14:textId="49E33EB9" w:rsidR="00A53021" w:rsidRPr="00D67C1A" w:rsidRDefault="00A53021" w:rsidP="00B140BD">
      <w:pPr>
        <w:widowControl w:val="0"/>
        <w:autoSpaceDE w:val="0"/>
        <w:autoSpaceDN w:val="0"/>
        <w:rPr>
          <w:rFonts w:ascii="Arial" w:eastAsia="Calibri" w:hAnsi="Arial" w:cs="Arial"/>
          <w:sz w:val="20"/>
          <w:szCs w:val="20"/>
        </w:rPr>
      </w:pPr>
    </w:p>
    <w:p w14:paraId="6C85E9F9" w14:textId="79AFA836" w:rsidR="00BF3E13" w:rsidRPr="00D67C1A" w:rsidRDefault="002A0763" w:rsidP="00B140BD">
      <w:pPr>
        <w:jc w:val="both"/>
        <w:rPr>
          <w:rFonts w:ascii="Arial" w:eastAsia="Arial MT" w:hAnsi="Arial" w:cs="Arial"/>
          <w:b/>
          <w:sz w:val="22"/>
        </w:rPr>
      </w:pPr>
      <w:r w:rsidRPr="00D67C1A">
        <w:rPr>
          <w:rFonts w:ascii="Arial" w:eastAsia="Arial MT" w:hAnsi="Arial" w:cs="Arial"/>
          <w:b/>
          <w:sz w:val="22"/>
        </w:rPr>
        <w:t xml:space="preserve">DOCUMENTOS TIPO – Regla de inalterabilidad – Excepciones </w:t>
      </w:r>
    </w:p>
    <w:p w14:paraId="535693ED" w14:textId="77777777" w:rsidR="00BF3E13" w:rsidRPr="00D67C1A" w:rsidRDefault="00BF3E13" w:rsidP="00B140BD">
      <w:pPr>
        <w:jc w:val="both"/>
        <w:rPr>
          <w:rFonts w:ascii="Arial" w:eastAsia="Calibri" w:hAnsi="Arial" w:cs="Arial"/>
          <w:color w:val="000000"/>
          <w:sz w:val="20"/>
          <w:szCs w:val="20"/>
          <w:lang w:val="es-ES_tradnl"/>
        </w:rPr>
      </w:pPr>
    </w:p>
    <w:p w14:paraId="3EA3B90F" w14:textId="1EE7DBAE" w:rsidR="00E00C21" w:rsidRDefault="00E00C21" w:rsidP="00E00C21">
      <w:pPr>
        <w:jc w:val="both"/>
        <w:rPr>
          <w:rFonts w:ascii="Arial" w:eastAsia="Calibri" w:hAnsi="Arial" w:cs="Arial"/>
          <w:sz w:val="20"/>
          <w:szCs w:val="20"/>
          <w:lang w:val="es-ES_tradnl"/>
        </w:rPr>
      </w:pPr>
      <w:r w:rsidRPr="00D67C1A">
        <w:rPr>
          <w:rFonts w:ascii="Arial" w:eastAsia="Calibri" w:hAnsi="Arial" w:cs="Arial"/>
          <w:color w:val="000000"/>
          <w:sz w:val="20"/>
          <w:szCs w:val="20"/>
        </w:rPr>
        <w:t>[…]</w:t>
      </w:r>
      <w:r w:rsidRPr="00D67C1A">
        <w:rPr>
          <w:rFonts w:ascii="Arial" w:eastAsia="Calibri" w:hAnsi="Arial" w:cs="Arial"/>
          <w:sz w:val="20"/>
          <w:szCs w:val="20"/>
          <w:lang w:val="es-ES_tradnl"/>
        </w:rPr>
        <w:t xml:space="preserve">esta Subdirección mantiene la postura que se reitera en el presente concepto y es la siguiente: por regla general, conforme al artículo 1 de la Ley 2022 de 2020 </w:t>
      </w:r>
      <w:r w:rsidR="0093065B">
        <w:rPr>
          <w:rFonts w:ascii="Arial" w:eastAsia="Calibri" w:hAnsi="Arial" w:cs="Arial"/>
          <w:sz w:val="20"/>
          <w:szCs w:val="20"/>
          <w:lang w:val="es-ES_tradnl"/>
        </w:rPr>
        <w:t xml:space="preserve">aplica la regla de la </w:t>
      </w:r>
      <w:r w:rsidRPr="00D67C1A">
        <w:rPr>
          <w:rFonts w:ascii="Arial" w:eastAsia="Calibri" w:hAnsi="Arial" w:cs="Arial"/>
          <w:sz w:val="20"/>
          <w:szCs w:val="20"/>
          <w:lang w:val="es-ES_tradnl"/>
        </w:rPr>
        <w:t>la inalterabilidad de los documentos tipo, y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w:t>
      </w:r>
      <w:r w:rsidR="0093065B">
        <w:rPr>
          <w:rFonts w:ascii="Arial" w:eastAsia="Calibri" w:hAnsi="Arial" w:cs="Arial"/>
          <w:sz w:val="20"/>
          <w:szCs w:val="20"/>
          <w:lang w:val="es-ES_tradnl"/>
        </w:rPr>
        <w:t>.</w:t>
      </w:r>
    </w:p>
    <w:p w14:paraId="3FE35563" w14:textId="0F4F9321" w:rsidR="0093065B" w:rsidRDefault="0093065B" w:rsidP="00E00C21">
      <w:pPr>
        <w:jc w:val="both"/>
        <w:rPr>
          <w:rFonts w:ascii="Arial" w:eastAsia="Calibri" w:hAnsi="Arial" w:cs="Arial"/>
          <w:sz w:val="20"/>
          <w:szCs w:val="20"/>
          <w:lang w:val="es-ES_tradnl"/>
        </w:rPr>
      </w:pPr>
    </w:p>
    <w:p w14:paraId="7ACC1C7F" w14:textId="76C265D0" w:rsidR="0093065B" w:rsidRPr="00D67C1A" w:rsidRDefault="0093065B" w:rsidP="0093065B">
      <w:pPr>
        <w:jc w:val="both"/>
        <w:rPr>
          <w:rFonts w:ascii="Arial" w:eastAsia="Calibri" w:hAnsi="Arial" w:cs="Arial"/>
          <w:sz w:val="20"/>
          <w:szCs w:val="20"/>
          <w:lang w:val="es-ES_tradnl"/>
        </w:rPr>
      </w:pPr>
      <w:r w:rsidRPr="0093065B">
        <w:rPr>
          <w:rFonts w:ascii="Arial" w:eastAsia="Calibri" w:hAnsi="Arial" w:cs="Arial"/>
          <w:sz w:val="20"/>
          <w:szCs w:val="20"/>
          <w:lang w:val="es-ES_tradnl"/>
        </w:rPr>
        <w:t>Lo anterior, sin perjuicio de las instrucciones establecidas en los mismos documentos tipo mediante las caules se autoriza su modificación, especialmente, en aquellos apartados entre corchetes y resaltados en gris, por lo que las entidades podrán modificar el contenido de los documentos tipo en aquellos contenidos que estos lo permitan, de acuerdo con las mismas instrucciones establecidas en los documentos tipo.</w:t>
      </w:r>
    </w:p>
    <w:p w14:paraId="697A50BA" w14:textId="269D5391" w:rsidR="002603F3" w:rsidRPr="00D67C1A" w:rsidRDefault="002603F3" w:rsidP="00E00C21">
      <w:pPr>
        <w:widowControl w:val="0"/>
        <w:autoSpaceDE w:val="0"/>
        <w:autoSpaceDN w:val="0"/>
        <w:rPr>
          <w:rFonts w:ascii="Arial MT" w:eastAsia="Arial MT" w:hAnsi="Arial MT" w:cs="Arial MT"/>
          <w:sz w:val="22"/>
        </w:rPr>
      </w:pPr>
    </w:p>
    <w:p w14:paraId="3901B6E0" w14:textId="66CEC411" w:rsidR="00E00C21" w:rsidRPr="00D67C1A" w:rsidRDefault="00E00C21" w:rsidP="00E00C21">
      <w:pPr>
        <w:spacing w:after="240"/>
        <w:jc w:val="both"/>
        <w:rPr>
          <w:rFonts w:ascii="Arial" w:eastAsia="Calibri" w:hAnsi="Arial" w:cs="Arial"/>
          <w:sz w:val="20"/>
          <w:szCs w:val="20"/>
          <w:lang w:val="es-ES_tradnl"/>
        </w:rPr>
      </w:pPr>
      <w:r w:rsidRPr="00D67C1A">
        <w:rPr>
          <w:rFonts w:ascii="Arial" w:eastAsia="Calibri" w:hAnsi="Arial" w:cs="Arial"/>
          <w:sz w:val="20"/>
          <w:szCs w:val="20"/>
          <w:lang w:val="es-ES_tradnl"/>
        </w:rPr>
        <w:t>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w:t>
      </w:r>
      <w:r w:rsidR="0093065B">
        <w:rPr>
          <w:rFonts w:ascii="Arial" w:eastAsia="Calibri" w:hAnsi="Arial" w:cs="Arial"/>
          <w:sz w:val="20"/>
          <w:szCs w:val="20"/>
          <w:lang w:val="es-ES_tradnl"/>
        </w:rPr>
        <w:t xml:space="preserve"> </w:t>
      </w:r>
      <w:r w:rsidR="0093065B" w:rsidRPr="0093065B">
        <w:rPr>
          <w:rFonts w:ascii="Arial" w:eastAsia="Calibri" w:hAnsi="Arial" w:cs="Arial"/>
          <w:sz w:val="20"/>
          <w:szCs w:val="20"/>
          <w:lang w:val="es-ES_tradnl"/>
        </w:rPr>
        <w:t>o instrucciones precisas que autoricen la modifición de su contenido</w:t>
      </w:r>
      <w:r w:rsidRPr="00D67C1A">
        <w:rPr>
          <w:rFonts w:ascii="Arial" w:eastAsia="Calibri" w:hAnsi="Arial" w:cs="Arial"/>
          <w:sz w:val="20"/>
          <w:szCs w:val="20"/>
          <w:lang w:val="es-ES_tradnl"/>
        </w:rPr>
        <w:t xml:space="preserve">. </w:t>
      </w:r>
    </w:p>
    <w:p w14:paraId="25E6C76B" w14:textId="77777777" w:rsidR="00D853DA" w:rsidRPr="00D67C1A" w:rsidRDefault="00D853DA" w:rsidP="00D853DA">
      <w:pPr>
        <w:jc w:val="both"/>
        <w:rPr>
          <w:rFonts w:ascii="Arial" w:eastAsia="Calibri" w:hAnsi="Arial" w:cs="Arial"/>
          <w:b/>
          <w:sz w:val="22"/>
          <w:lang w:val="es-ES_tradnl"/>
        </w:rPr>
      </w:pPr>
      <w:r w:rsidRPr="00D67C1A">
        <w:rPr>
          <w:rFonts w:ascii="Arial" w:eastAsia="Calibri" w:hAnsi="Arial" w:cs="Arial"/>
          <w:b/>
          <w:sz w:val="22"/>
        </w:rPr>
        <w:t xml:space="preserve">DOCUMENTOS TIPO – Formulario 1 – Presupuesto Oficial – Propuesta económica </w:t>
      </w:r>
    </w:p>
    <w:p w14:paraId="217D0AA5" w14:textId="77777777" w:rsidR="00D853DA" w:rsidRPr="00D67C1A" w:rsidRDefault="00D853DA" w:rsidP="00D853DA">
      <w:pPr>
        <w:jc w:val="both"/>
        <w:rPr>
          <w:rFonts w:ascii="Arial" w:eastAsia="Calibri" w:hAnsi="Arial" w:cs="Arial"/>
          <w:b/>
          <w:sz w:val="22"/>
          <w:lang w:val="es-ES_tradnl"/>
        </w:rPr>
      </w:pPr>
    </w:p>
    <w:p w14:paraId="52D955A3" w14:textId="79E6A12C" w:rsidR="00D853DA" w:rsidRDefault="007D4B8A" w:rsidP="00D853DA">
      <w:pPr>
        <w:jc w:val="both"/>
        <w:rPr>
          <w:rFonts w:ascii="Arial" w:eastAsia="Calibri" w:hAnsi="Arial" w:cs="Arial"/>
          <w:sz w:val="20"/>
          <w:szCs w:val="20"/>
          <w:lang w:val="es-ES_tradnl"/>
        </w:rPr>
      </w:pPr>
      <w:r w:rsidRPr="00D67C1A">
        <w:rPr>
          <w:rFonts w:ascii="Arial" w:eastAsia="Calibri" w:hAnsi="Arial" w:cs="Arial"/>
          <w:sz w:val="20"/>
          <w:szCs w:val="20"/>
          <w:lang w:val="es-ES_tradnl"/>
        </w:rPr>
        <w:t xml:space="preserve">En línea con lo anterior, el «Formulario 1 – Formulario de Presupuesto Oficial» de los Documentos tipo de licitación de obra pública de infraestructura de transporte - versión 3, permite que para efectos de la presentación de la propuesta económica, </w:t>
      </w:r>
      <w:r w:rsidR="00FC4DE5">
        <w:rPr>
          <w:rFonts w:ascii="Arial" w:eastAsia="Calibri" w:hAnsi="Arial" w:cs="Arial"/>
          <w:sz w:val="20"/>
          <w:szCs w:val="20"/>
          <w:lang w:val="es-ES_tradnl"/>
        </w:rPr>
        <w:t xml:space="preserve">que </w:t>
      </w:r>
      <w:r w:rsidRPr="00D67C1A">
        <w:rPr>
          <w:rFonts w:ascii="Arial" w:eastAsia="Calibri" w:hAnsi="Arial" w:cs="Arial"/>
          <w:sz w:val="20"/>
          <w:szCs w:val="20"/>
          <w:lang w:val="es-ES_tradnl"/>
        </w:rPr>
        <w:t>la entidad estatal pueda modificar el formulario o exigir otro diferente</w:t>
      </w:r>
      <w:r w:rsidR="00FC4DE5">
        <w:rPr>
          <w:rFonts w:ascii="Arial" w:eastAsia="Calibri" w:hAnsi="Arial" w:cs="Arial"/>
          <w:sz w:val="20"/>
          <w:szCs w:val="20"/>
          <w:lang w:val="es-ES_tradnl"/>
        </w:rPr>
        <w:t xml:space="preserve"> sin perjuicio de las precisiones que se realizarán en los párrafos siguientes. En este sentido</w:t>
      </w:r>
      <w:r w:rsidRPr="00D67C1A">
        <w:rPr>
          <w:rFonts w:ascii="Arial" w:eastAsia="Calibri" w:hAnsi="Arial" w:cs="Arial"/>
          <w:sz w:val="20"/>
          <w:szCs w:val="20"/>
          <w:lang w:val="es-ES_tradnl"/>
        </w:rPr>
        <w:t xml:space="preserve">, </w:t>
      </w:r>
      <w:r w:rsidR="00FC4DE5">
        <w:rPr>
          <w:rFonts w:ascii="Arial" w:eastAsia="Calibri" w:hAnsi="Arial" w:cs="Arial"/>
          <w:sz w:val="20"/>
          <w:szCs w:val="20"/>
          <w:lang w:val="es-ES_tradnl"/>
        </w:rPr>
        <w:t xml:space="preserve">el </w:t>
      </w:r>
      <w:r w:rsidRPr="00D67C1A">
        <w:rPr>
          <w:rFonts w:ascii="Arial" w:eastAsia="Calibri" w:hAnsi="Arial" w:cs="Arial"/>
          <w:sz w:val="20"/>
          <w:szCs w:val="20"/>
          <w:lang w:val="es-ES_tradnl"/>
        </w:rPr>
        <w:t xml:space="preserve">«Formulario 1» en su segunda pestaña en Excel, titulada «Formulario 1 propuesta económica» señala en la parte superior derecha: «[La entidad puede utilizar este formulario de presentación de propuesta económica de forma detallada, sin perjuicio que la entidad pueda </w:t>
      </w:r>
      <w:r w:rsidRPr="00D67C1A">
        <w:rPr>
          <w:rFonts w:ascii="Arial" w:eastAsia="Calibri" w:hAnsi="Arial" w:cs="Arial"/>
          <w:sz w:val="20"/>
          <w:szCs w:val="20"/>
          <w:lang w:val="es-ES_tradnl"/>
        </w:rPr>
        <w:lastRenderedPageBreak/>
        <w:t>modificarlo o establecer la presentación de la oferta económica con un formulario distinto al indicado.]». Igualmente,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proponen para el efecto. En todo caso, el proponente deberá emplear el formulario que establezca la entidad.</w:t>
      </w:r>
    </w:p>
    <w:p w14:paraId="1FC21B09" w14:textId="77777777" w:rsidR="00AF0BB9" w:rsidRPr="00D67C1A" w:rsidRDefault="00AF0BB9" w:rsidP="00D853DA">
      <w:pPr>
        <w:jc w:val="both"/>
        <w:rPr>
          <w:rFonts w:ascii="Arial" w:eastAsia="Calibri" w:hAnsi="Arial" w:cs="Arial"/>
          <w:sz w:val="20"/>
          <w:szCs w:val="20"/>
          <w:lang w:val="es-ES"/>
        </w:rPr>
      </w:pPr>
    </w:p>
    <w:p w14:paraId="094CFFF2" w14:textId="22272D72" w:rsidR="00AB246E" w:rsidRPr="00D67C1A" w:rsidRDefault="00DD278E" w:rsidP="00AB246E">
      <w:pPr>
        <w:jc w:val="both"/>
        <w:rPr>
          <w:rFonts w:ascii="Arial" w:eastAsia="Calibri" w:hAnsi="Arial" w:cs="Arial"/>
          <w:b/>
          <w:color w:val="000000" w:themeColor="text1"/>
          <w:sz w:val="22"/>
        </w:rPr>
      </w:pPr>
      <w:r>
        <w:rPr>
          <w:rFonts w:ascii="Arial" w:eastAsia="Calibri" w:hAnsi="Arial" w:cs="Arial"/>
          <w:b/>
          <w:bCs/>
          <w:sz w:val="22"/>
          <w:lang w:val="es-ES_tradnl"/>
        </w:rPr>
        <w:t>CAUSALES DE RECHAZO – Literal w) del numeral 1.15. Documento Base</w:t>
      </w:r>
    </w:p>
    <w:p w14:paraId="6A03AC5F" w14:textId="77777777" w:rsidR="00AB246E" w:rsidRPr="00D67C1A" w:rsidRDefault="00AB246E" w:rsidP="00AB246E">
      <w:pPr>
        <w:jc w:val="both"/>
        <w:rPr>
          <w:rFonts w:ascii="Arial" w:eastAsia="Calibri" w:hAnsi="Arial" w:cs="Arial"/>
          <w:sz w:val="20"/>
          <w:szCs w:val="20"/>
        </w:rPr>
      </w:pPr>
    </w:p>
    <w:p w14:paraId="3D068115" w14:textId="1E8C000C" w:rsidR="00AB246E" w:rsidRPr="00D67C1A" w:rsidRDefault="00C65F27" w:rsidP="00AB246E">
      <w:pPr>
        <w:jc w:val="both"/>
        <w:rPr>
          <w:rFonts w:ascii="Arial" w:eastAsia="Calibri" w:hAnsi="Arial" w:cs="Arial"/>
          <w:sz w:val="20"/>
          <w:szCs w:val="20"/>
          <w:lang w:val="es-ES_tradnl"/>
        </w:rPr>
      </w:pPr>
      <w:r>
        <w:rPr>
          <w:rFonts w:ascii="Arial" w:eastAsia="Calibri" w:hAnsi="Arial" w:cs="Arial"/>
          <w:bCs/>
          <w:sz w:val="20"/>
          <w:szCs w:val="20"/>
        </w:rPr>
        <w:t>L</w:t>
      </w:r>
      <w:r w:rsidRPr="00C65F27">
        <w:rPr>
          <w:rFonts w:ascii="Arial" w:eastAsia="Calibri" w:hAnsi="Arial" w:cs="Arial"/>
          <w:bCs/>
          <w:sz w:val="20"/>
          <w:szCs w:val="20"/>
        </w:rPr>
        <w:t>a presentación de la oferta económica debe cumplir con la inclusión de la información y la presentación en dos sobres de ésta, cuando se trata de procesos de licitación pública de obra, según lo establecido en los parágrafos 2 y 3 del artículo 30 de la Ley 80 de 1993, adicionados por la Ley 1882 de 2018 , que están expresamente regulados en los numerales 2.3, 2.3.1 y 2.3.2 del Documento Base de los Documentos Tipo. Esto dado que estas normas exigen que los documentos relacionados con la acreditación de los requisitos habilitantes se presenten en un sobre –Sobre 1–, y la oferta económica, esto es el precio o valor ofrecido y presentado por la obra se entregue en otro distinto –Sobre 2¬–. Además, en el numeral 2.3 se consigna que «La entidad solo recibirá una oferta por proponente, salvo los procesos estructurados por lotes o grupos, cuando la entidad haya establecido esta posibilidad». Lo anterior concuerda con la causal del literal w del numeral 1.15 del Documento Base que sanciona con el rechazo de la oferta el hecho de « Presentar más de una oferta económica con valores distintos en el Sobre 2», dado que no podría ser objeto de una evaluación objetiva, una oferta económica que resulte ambigua, equívoca o que implique la presentación de dos ofertas, situación que se traduce en un defecto sustantivo en cuanto a la presentación de la oferta que imposibilite ahondar en su evaluación en igualdad de condiciones con las ofertas presentadas por lo demás proponentes</w:t>
      </w:r>
      <w:r>
        <w:rPr>
          <w:rFonts w:ascii="Arial" w:eastAsia="Calibri" w:hAnsi="Arial" w:cs="Arial"/>
          <w:bCs/>
          <w:sz w:val="20"/>
          <w:szCs w:val="20"/>
        </w:rPr>
        <w:t>.</w:t>
      </w:r>
    </w:p>
    <w:p w14:paraId="64E7C99A" w14:textId="57A32F59" w:rsidR="00AB246E" w:rsidRPr="00D67C1A" w:rsidRDefault="00AB246E" w:rsidP="00AB246E">
      <w:pPr>
        <w:jc w:val="both"/>
        <w:rPr>
          <w:rFonts w:ascii="Arial" w:eastAsia="Calibri" w:hAnsi="Arial" w:cs="Arial"/>
          <w:bCs/>
          <w:sz w:val="20"/>
          <w:szCs w:val="20"/>
        </w:rPr>
      </w:pPr>
    </w:p>
    <w:p w14:paraId="69DC2606" w14:textId="77777777" w:rsidR="00D853DA" w:rsidRPr="00D67C1A" w:rsidRDefault="00D853DA" w:rsidP="00D853DA">
      <w:pPr>
        <w:jc w:val="both"/>
        <w:rPr>
          <w:rFonts w:ascii="Arial" w:eastAsia="Calibri" w:hAnsi="Arial" w:cs="Arial"/>
          <w:sz w:val="20"/>
          <w:szCs w:val="20"/>
          <w:lang w:val="es-ES"/>
        </w:rPr>
      </w:pPr>
    </w:p>
    <w:p w14:paraId="1E636D2A" w14:textId="59E80C46" w:rsidR="002603F3" w:rsidRPr="00D67C1A" w:rsidRDefault="002603F3" w:rsidP="002A0763">
      <w:pPr>
        <w:widowControl w:val="0"/>
        <w:autoSpaceDE w:val="0"/>
        <w:autoSpaceDN w:val="0"/>
        <w:rPr>
          <w:rFonts w:ascii="Arial MT" w:eastAsia="Arial MT" w:hAnsi="Arial MT" w:cs="Arial MT"/>
          <w:sz w:val="22"/>
        </w:rPr>
      </w:pPr>
    </w:p>
    <w:p w14:paraId="362BBCDC" w14:textId="77FAA58D" w:rsidR="002603F3" w:rsidRPr="00D67C1A" w:rsidRDefault="002603F3" w:rsidP="002A0763">
      <w:pPr>
        <w:widowControl w:val="0"/>
        <w:autoSpaceDE w:val="0"/>
        <w:autoSpaceDN w:val="0"/>
        <w:rPr>
          <w:rFonts w:ascii="Arial MT" w:eastAsia="Arial MT" w:hAnsi="Arial MT" w:cs="Arial MT"/>
          <w:sz w:val="22"/>
        </w:rPr>
      </w:pPr>
    </w:p>
    <w:p w14:paraId="71B06DDB" w14:textId="5999E429" w:rsidR="0086272D" w:rsidRPr="00D67C1A" w:rsidRDefault="0086272D" w:rsidP="0086272D">
      <w:pPr>
        <w:widowControl w:val="0"/>
        <w:autoSpaceDE w:val="0"/>
        <w:autoSpaceDN w:val="0"/>
        <w:ind w:left="4825"/>
        <w:rPr>
          <w:rFonts w:ascii="Times New Roman" w:eastAsia="Arial MT" w:hAnsi="Arial MT" w:cs="Arial MT"/>
          <w:sz w:val="20"/>
          <w:lang w:val="es-ES"/>
        </w:rPr>
      </w:pPr>
    </w:p>
    <w:p w14:paraId="07791F22" w14:textId="77777777" w:rsidR="0086272D" w:rsidRPr="00D67C1A" w:rsidRDefault="0086272D" w:rsidP="0086272D">
      <w:pPr>
        <w:widowControl w:val="0"/>
        <w:autoSpaceDE w:val="0"/>
        <w:autoSpaceDN w:val="0"/>
        <w:spacing w:before="1"/>
        <w:rPr>
          <w:rFonts w:ascii="Times New Roman" w:eastAsia="Arial MT" w:hAnsi="Arial MT" w:cs="Arial MT"/>
          <w:sz w:val="18"/>
          <w:lang w:val="es-ES"/>
        </w:rPr>
      </w:pPr>
    </w:p>
    <w:p w14:paraId="21A3561C" w14:textId="2B5B9D75" w:rsidR="00B47D0B" w:rsidRPr="00D67C1A" w:rsidRDefault="00B47D0B">
      <w:pPr>
        <w:spacing w:after="200" w:line="276" w:lineRule="auto"/>
        <w:rPr>
          <w:rFonts w:ascii="Arial" w:eastAsia="Arial MT" w:hAnsi="Arial MT" w:cs="Arial MT"/>
          <w:b/>
          <w:color w:val="585858"/>
          <w:sz w:val="18"/>
          <w:lang w:val="es-ES"/>
        </w:rPr>
      </w:pPr>
      <w:r w:rsidRPr="00D67C1A">
        <w:rPr>
          <w:rFonts w:ascii="Arial" w:eastAsia="Arial MT" w:hAnsi="Arial MT" w:cs="Arial MT"/>
          <w:b/>
          <w:color w:val="585858"/>
          <w:sz w:val="18"/>
          <w:lang w:val="es-ES"/>
        </w:rPr>
        <w:br w:type="page"/>
      </w:r>
    </w:p>
    <w:p w14:paraId="4CAC1A37" w14:textId="458B2387" w:rsidR="0086272D" w:rsidRPr="00D67C1A" w:rsidRDefault="0086272D" w:rsidP="0086272D">
      <w:pPr>
        <w:widowControl w:val="0"/>
        <w:autoSpaceDE w:val="0"/>
        <w:autoSpaceDN w:val="0"/>
        <w:spacing w:before="94"/>
        <w:ind w:right="173"/>
        <w:jc w:val="right"/>
        <w:rPr>
          <w:rFonts w:ascii="Arial" w:eastAsia="Arial MT" w:hAnsi="Arial MT" w:cs="Arial MT"/>
          <w:b/>
          <w:sz w:val="18"/>
          <w:lang w:val="es-ES"/>
        </w:rPr>
      </w:pPr>
      <w:r w:rsidRPr="00D67C1A">
        <w:rPr>
          <w:rFonts w:ascii="Arial" w:eastAsia="Arial MT" w:hAnsi="Arial MT" w:cs="Arial MT"/>
          <w:b/>
          <w:color w:val="585858"/>
          <w:sz w:val="18"/>
          <w:lang w:val="es-ES"/>
        </w:rPr>
        <w:lastRenderedPageBreak/>
        <w:t>CCE-DES-FM-17</w:t>
      </w:r>
    </w:p>
    <w:p w14:paraId="01769909" w14:textId="4AC2DA46" w:rsidR="0086272D" w:rsidRPr="00343DF1" w:rsidRDefault="00343DF1" w:rsidP="0086272D">
      <w:pPr>
        <w:widowControl w:val="0"/>
        <w:autoSpaceDE w:val="0"/>
        <w:autoSpaceDN w:val="0"/>
        <w:rPr>
          <w:rFonts w:ascii="Arial" w:eastAsia="Arial MT" w:hAnsi="Arial MT" w:cs="Arial MT"/>
          <w:sz w:val="20"/>
          <w:lang w:val="es-ES"/>
        </w:rPr>
      </w:pPr>
      <w:r w:rsidRPr="00343DF1">
        <w:rPr>
          <w:rFonts w:ascii="Arial" w:eastAsia="Arial MT" w:hAnsi="Arial MT" w:cs="Arial MT"/>
          <w:sz w:val="20"/>
          <w:lang w:val="es-ES"/>
        </w:rPr>
        <w:t>Bogot</w:t>
      </w:r>
      <w:r w:rsidRPr="00343DF1">
        <w:rPr>
          <w:rFonts w:ascii="Arial" w:eastAsia="Arial MT" w:hAnsi="Arial MT" w:cs="Arial MT"/>
          <w:sz w:val="20"/>
          <w:lang w:val="es-ES"/>
        </w:rPr>
        <w:t>á</w:t>
      </w:r>
      <w:r w:rsidRPr="00343DF1">
        <w:rPr>
          <w:rFonts w:ascii="Arial" w:eastAsia="Arial MT" w:hAnsi="Arial MT" w:cs="Arial MT"/>
          <w:sz w:val="20"/>
          <w:lang w:val="es-ES"/>
        </w:rPr>
        <w:t xml:space="preserve"> D.C.</w:t>
      </w:r>
      <w:r w:rsidR="00C14D47">
        <w:rPr>
          <w:rFonts w:ascii="Arial" w:eastAsia="Arial MT" w:hAnsi="Arial MT" w:cs="Arial MT"/>
          <w:sz w:val="20"/>
          <w:lang w:val="es-ES"/>
        </w:rPr>
        <w:t xml:space="preserve"> </w:t>
      </w:r>
      <w:r w:rsidR="00C14D47">
        <w:rPr>
          <w:rFonts w:ascii="_-#∫ò" w:hAnsi="_-#∫ò" w:cs="_-#∫ò"/>
          <w:sz w:val="22"/>
          <w:lang w:val="es-ES_tradnl"/>
        </w:rPr>
        <w:t xml:space="preserve">09 </w:t>
      </w:r>
      <w:r w:rsidR="006B2265">
        <w:rPr>
          <w:rFonts w:ascii="_-#∫ò" w:hAnsi="_-#∫ò" w:cs="_-#∫ò"/>
          <w:sz w:val="22"/>
          <w:lang w:val="es-ES_tradnl"/>
        </w:rPr>
        <w:t>septiembre</w:t>
      </w:r>
      <w:r w:rsidR="00C14D47">
        <w:rPr>
          <w:rFonts w:ascii="_-#∫ò" w:hAnsi="_-#∫ò" w:cs="_-#∫ò"/>
          <w:sz w:val="22"/>
          <w:lang w:val="es-ES_tradnl"/>
        </w:rPr>
        <w:t xml:space="preserve"> 2022.        </w:t>
      </w:r>
      <w:r w:rsidR="00C14D47" w:rsidRPr="00C14D47">
        <w:rPr>
          <w:rFonts w:ascii="_-#∫ò" w:hAnsi="_-#∫ò" w:cs="_-#∫ò"/>
          <w:noProof/>
          <w:sz w:val="22"/>
          <w:lang w:val="es-ES_tradnl"/>
        </w:rPr>
        <w:drawing>
          <wp:inline distT="0" distB="0" distL="0" distR="0" wp14:anchorId="648D2B20" wp14:editId="456BABB2">
            <wp:extent cx="3164305" cy="1193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7630" cy="1198827"/>
                    </a:xfrm>
                    <a:prstGeom prst="rect">
                      <a:avLst/>
                    </a:prstGeom>
                  </pic:spPr>
                </pic:pic>
              </a:graphicData>
            </a:graphic>
          </wp:inline>
        </w:drawing>
      </w:r>
    </w:p>
    <w:p w14:paraId="254D6373" w14:textId="6E5316F3" w:rsidR="00B87BF8" w:rsidRPr="00D67C1A" w:rsidRDefault="00B87BF8" w:rsidP="00343DF1">
      <w:pPr>
        <w:widowControl w:val="0"/>
        <w:autoSpaceDE w:val="0"/>
        <w:autoSpaceDN w:val="0"/>
        <w:spacing w:before="144"/>
        <w:jc w:val="right"/>
        <w:rPr>
          <w:rFonts w:ascii="Arial MT" w:eastAsia="Arial MT" w:hAnsi="Arial MT" w:cs="Arial MT"/>
          <w:sz w:val="22"/>
          <w:lang w:val="es-ES"/>
        </w:rPr>
      </w:pPr>
    </w:p>
    <w:p w14:paraId="1467BFC7" w14:textId="40AD6E45" w:rsidR="00C175DA" w:rsidRPr="00D67C1A" w:rsidRDefault="00C175DA" w:rsidP="003707D2">
      <w:pPr>
        <w:widowControl w:val="0"/>
        <w:autoSpaceDE w:val="0"/>
        <w:autoSpaceDN w:val="0"/>
        <w:rPr>
          <w:rFonts w:ascii="Arial" w:eastAsia="Arial MT" w:hAnsi="Arial" w:cs="Arial"/>
          <w:sz w:val="22"/>
          <w:lang w:val="es-ES"/>
        </w:rPr>
      </w:pPr>
      <w:r w:rsidRPr="00D67C1A">
        <w:rPr>
          <w:rFonts w:ascii="Arial" w:eastAsia="Arial MT" w:hAnsi="Arial" w:cs="Arial"/>
          <w:sz w:val="22"/>
          <w:lang w:val="es-ES"/>
        </w:rPr>
        <w:t>Señor</w:t>
      </w:r>
    </w:p>
    <w:p w14:paraId="09AFAC34" w14:textId="50A9C50B" w:rsidR="00651D4E" w:rsidRDefault="00651D4E" w:rsidP="003707D2">
      <w:pPr>
        <w:widowControl w:val="0"/>
        <w:autoSpaceDE w:val="0"/>
        <w:autoSpaceDN w:val="0"/>
        <w:outlineLvl w:val="0"/>
        <w:rPr>
          <w:rFonts w:ascii="Arial" w:eastAsia="Arial" w:hAnsi="Arial" w:cs="Arial"/>
          <w:b/>
          <w:bCs/>
          <w:sz w:val="22"/>
          <w:lang w:val="es-ES"/>
        </w:rPr>
      </w:pPr>
      <w:r>
        <w:rPr>
          <w:rFonts w:ascii="Arial" w:eastAsia="Arial" w:hAnsi="Arial" w:cs="Arial"/>
          <w:b/>
          <w:bCs/>
          <w:sz w:val="22"/>
          <w:lang w:val="es-ES"/>
        </w:rPr>
        <w:t>Hansel Francisco Serrano Barrios</w:t>
      </w:r>
    </w:p>
    <w:p w14:paraId="0D2BA121" w14:textId="256408BB" w:rsidR="003707D2" w:rsidRPr="00D67C1A" w:rsidRDefault="003707D2" w:rsidP="003707D2">
      <w:pPr>
        <w:widowControl w:val="0"/>
        <w:autoSpaceDE w:val="0"/>
        <w:autoSpaceDN w:val="0"/>
        <w:outlineLvl w:val="0"/>
        <w:rPr>
          <w:rFonts w:ascii="Arial" w:eastAsia="Arial" w:hAnsi="Arial" w:cs="Arial"/>
          <w:sz w:val="22"/>
          <w:lang w:val="es-ES"/>
        </w:rPr>
      </w:pPr>
      <w:r w:rsidRPr="00D67C1A">
        <w:rPr>
          <w:rFonts w:ascii="Arial" w:eastAsia="Arial" w:hAnsi="Arial" w:cs="Arial"/>
          <w:sz w:val="22"/>
          <w:lang w:val="es-ES"/>
        </w:rPr>
        <w:t>Bogotá D.C.</w:t>
      </w:r>
    </w:p>
    <w:p w14:paraId="3B15A18D" w14:textId="77777777" w:rsidR="003707D2" w:rsidRPr="00D67C1A" w:rsidRDefault="003707D2" w:rsidP="003707D2">
      <w:pPr>
        <w:widowControl w:val="0"/>
        <w:autoSpaceDE w:val="0"/>
        <w:autoSpaceDN w:val="0"/>
        <w:outlineLvl w:val="0"/>
        <w:rPr>
          <w:rFonts w:ascii="Arial MT" w:eastAsia="Arial MT" w:hAnsi="Arial MT" w:cs="Arial MT"/>
          <w:sz w:val="20"/>
          <w:lang w:val="es-ES"/>
        </w:rPr>
      </w:pPr>
    </w:p>
    <w:p w14:paraId="489932A0" w14:textId="3C65AE3C" w:rsidR="00C175DA" w:rsidRPr="00D67C1A" w:rsidRDefault="00C175DA" w:rsidP="000D5E6D">
      <w:pPr>
        <w:ind w:left="2124" w:firstLine="570"/>
        <w:rPr>
          <w:rFonts w:ascii="Arial" w:eastAsia="Calibri" w:hAnsi="Arial" w:cs="Arial"/>
          <w:b/>
          <w:sz w:val="22"/>
        </w:rPr>
      </w:pPr>
      <w:r w:rsidRPr="00D67C1A">
        <w:rPr>
          <w:rFonts w:ascii="Arial" w:eastAsia="Calibri" w:hAnsi="Arial" w:cs="Arial"/>
          <w:b/>
          <w:sz w:val="22"/>
        </w:rPr>
        <w:t xml:space="preserve">Concepto C – </w:t>
      </w:r>
      <w:r w:rsidR="00651D4E">
        <w:rPr>
          <w:rFonts w:ascii="Arial" w:eastAsia="Calibri" w:hAnsi="Arial" w:cs="Arial"/>
          <w:b/>
          <w:sz w:val="22"/>
        </w:rPr>
        <w:t>578</w:t>
      </w:r>
      <w:r w:rsidRPr="00D67C1A">
        <w:rPr>
          <w:rFonts w:ascii="Arial" w:eastAsia="Calibri" w:hAnsi="Arial" w:cs="Arial"/>
          <w:b/>
          <w:sz w:val="22"/>
        </w:rPr>
        <w:t xml:space="preserve"> de </w:t>
      </w:r>
      <w:r w:rsidR="008B438D" w:rsidRPr="00D67C1A">
        <w:rPr>
          <w:rFonts w:ascii="Arial" w:eastAsia="Calibri" w:hAnsi="Arial" w:cs="Arial"/>
          <w:b/>
          <w:sz w:val="22"/>
        </w:rPr>
        <w:t>2022</w:t>
      </w:r>
    </w:p>
    <w:p w14:paraId="3838072E" w14:textId="77777777" w:rsidR="00C175DA" w:rsidRPr="00D67C1A" w:rsidRDefault="00C175DA" w:rsidP="00C175DA">
      <w:pPr>
        <w:widowControl w:val="0"/>
        <w:autoSpaceDE w:val="0"/>
        <w:autoSpaceDN w:val="0"/>
        <w:spacing w:before="10"/>
        <w:rPr>
          <w:rFonts w:ascii="Arial" w:eastAsia="Arial MT" w:hAnsi="Arial MT" w:cs="Arial MT"/>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7B03" w:rsidRPr="00D67C1A" w14:paraId="64E6FFCD" w14:textId="77777777" w:rsidTr="00B1743F">
        <w:tc>
          <w:tcPr>
            <w:tcW w:w="2689" w:type="dxa"/>
          </w:tcPr>
          <w:p w14:paraId="4D8344B4" w14:textId="77777777" w:rsidR="005A7B03" w:rsidRPr="00D67C1A" w:rsidRDefault="005A7B03" w:rsidP="00B1743F">
            <w:pPr>
              <w:jc w:val="both"/>
              <w:rPr>
                <w:rFonts w:ascii="Arial" w:eastAsia="Calibri" w:hAnsi="Arial" w:cs="Arial"/>
                <w:b/>
                <w:color w:val="000000" w:themeColor="text1"/>
                <w:sz w:val="22"/>
                <w:lang w:val="es-ES_tradnl"/>
              </w:rPr>
            </w:pPr>
            <w:r w:rsidRPr="00D67C1A">
              <w:rPr>
                <w:rFonts w:ascii="Arial" w:eastAsia="Calibri" w:hAnsi="Arial" w:cs="Arial"/>
                <w:b/>
                <w:color w:val="000000" w:themeColor="text1"/>
                <w:sz w:val="22"/>
                <w:lang w:val="es-ES_tradnl"/>
              </w:rPr>
              <w:t xml:space="preserve">Temas:                                      </w:t>
            </w:r>
          </w:p>
        </w:tc>
        <w:tc>
          <w:tcPr>
            <w:tcW w:w="6237" w:type="dxa"/>
          </w:tcPr>
          <w:p w14:paraId="4BADF4FA" w14:textId="73592A9E" w:rsidR="005A7B03" w:rsidRPr="00D67C1A" w:rsidRDefault="005A7B03" w:rsidP="002F436E">
            <w:pPr>
              <w:jc w:val="both"/>
              <w:rPr>
                <w:rFonts w:ascii="Arial" w:eastAsia="Calibri" w:hAnsi="Arial" w:cs="Arial"/>
                <w:sz w:val="22"/>
              </w:rPr>
            </w:pPr>
            <w:r w:rsidRPr="00D67C1A">
              <w:rPr>
                <w:rFonts w:ascii="Arial" w:hAnsi="Arial" w:cs="Arial"/>
                <w:color w:val="000000" w:themeColor="text1"/>
                <w:sz w:val="22"/>
                <w:lang w:val="es-ES_tradnl"/>
              </w:rPr>
              <w:t xml:space="preserve">DOCUMENTOS TIPO – Infraestructura de transporte /  DOCUMENTOS TIPO – Regla de inalterabilidad – Excepciones / </w:t>
            </w:r>
            <w:r w:rsidR="00601616" w:rsidRPr="00D67C1A">
              <w:rPr>
                <w:rFonts w:ascii="Arial" w:eastAsia="Calibri" w:hAnsi="Arial" w:cs="Arial"/>
                <w:sz w:val="22"/>
              </w:rPr>
              <w:t xml:space="preserve">DOCUMENTOS TIPO – Formulario 1 – Presupuesto Oficial – Propuesta económica </w:t>
            </w:r>
            <w:r w:rsidR="00601616" w:rsidRPr="00D67C1A">
              <w:rPr>
                <w:rFonts w:ascii="Arial" w:eastAsia="Calibri" w:hAnsi="Arial" w:cs="Arial"/>
                <w:sz w:val="22"/>
                <w:lang w:val="es-ES_tradnl"/>
              </w:rPr>
              <w:t xml:space="preserve">/ </w:t>
            </w:r>
            <w:r w:rsidR="00DD278E" w:rsidRPr="00DD278E">
              <w:rPr>
                <w:rFonts w:ascii="Arial" w:eastAsia="Calibri" w:hAnsi="Arial" w:cs="Arial"/>
                <w:sz w:val="22"/>
              </w:rPr>
              <w:t>CAUSALES DE RECHAZO – Literal w) del numeral 1.15. Documento Base</w:t>
            </w:r>
          </w:p>
          <w:p w14:paraId="3FEF92FE" w14:textId="6D64B62E" w:rsidR="00F033DB" w:rsidRPr="00D67C1A" w:rsidRDefault="00F033DB" w:rsidP="002F436E">
            <w:pPr>
              <w:jc w:val="both"/>
              <w:rPr>
                <w:rFonts w:ascii="Arial" w:hAnsi="Arial" w:cs="Arial"/>
                <w:color w:val="000000" w:themeColor="text1"/>
                <w:sz w:val="22"/>
                <w:lang w:val="es-ES"/>
              </w:rPr>
            </w:pPr>
          </w:p>
        </w:tc>
      </w:tr>
      <w:tr w:rsidR="00F033DB" w:rsidRPr="00D67C1A" w14:paraId="458602A3" w14:textId="77777777" w:rsidTr="00B1743F">
        <w:tc>
          <w:tcPr>
            <w:tcW w:w="2689" w:type="dxa"/>
          </w:tcPr>
          <w:p w14:paraId="0F847D35" w14:textId="060E6E28" w:rsidR="00F033DB" w:rsidRPr="00D67C1A" w:rsidRDefault="00F033DB" w:rsidP="00B1743F">
            <w:pPr>
              <w:jc w:val="both"/>
              <w:rPr>
                <w:rFonts w:ascii="Arial" w:eastAsia="Calibri" w:hAnsi="Arial" w:cs="Arial"/>
                <w:b/>
                <w:color w:val="000000" w:themeColor="text1"/>
                <w:sz w:val="22"/>
                <w:lang w:val="es-ES_tradnl"/>
              </w:rPr>
            </w:pPr>
            <w:r w:rsidRPr="00D67C1A">
              <w:rPr>
                <w:rFonts w:ascii="Arial" w:eastAsia="Calibri" w:hAnsi="Arial" w:cs="Arial"/>
                <w:b/>
                <w:color w:val="000000" w:themeColor="text1"/>
                <w:sz w:val="22"/>
                <w:lang w:val="es-ES_tradnl"/>
              </w:rPr>
              <w:t>Radicación</w:t>
            </w:r>
            <w:r w:rsidRPr="00D67C1A">
              <w:rPr>
                <w:rFonts w:ascii="Arial" w:eastAsia="Calibri" w:hAnsi="Arial" w:cs="Arial"/>
                <w:color w:val="000000" w:themeColor="text1"/>
                <w:sz w:val="22"/>
                <w:lang w:val="es-ES_tradnl"/>
              </w:rPr>
              <w:t>:</w:t>
            </w:r>
          </w:p>
        </w:tc>
        <w:tc>
          <w:tcPr>
            <w:tcW w:w="6237" w:type="dxa"/>
          </w:tcPr>
          <w:p w14:paraId="68C415D2" w14:textId="61D61E3E" w:rsidR="00F033DB" w:rsidRPr="00D67C1A" w:rsidRDefault="00F033DB" w:rsidP="002F436E">
            <w:pPr>
              <w:jc w:val="both"/>
              <w:rPr>
                <w:rFonts w:ascii="Arial" w:hAnsi="Arial" w:cs="Arial"/>
                <w:color w:val="000000" w:themeColor="text1"/>
                <w:sz w:val="22"/>
                <w:lang w:val="es-ES_tradnl"/>
              </w:rPr>
            </w:pPr>
            <w:r w:rsidRPr="00D67C1A">
              <w:rPr>
                <w:rFonts w:ascii="Arial" w:hAnsi="Arial" w:cs="Arial"/>
                <w:color w:val="000000" w:themeColor="text1"/>
                <w:sz w:val="22"/>
                <w:lang w:val="es-ES_tradnl"/>
              </w:rPr>
              <w:t xml:space="preserve">Respuesta a </w:t>
            </w:r>
            <w:r w:rsidR="006D48E8" w:rsidRPr="00D67C1A">
              <w:rPr>
                <w:rFonts w:ascii="Arial" w:hAnsi="Arial" w:cs="Arial"/>
                <w:color w:val="000000" w:themeColor="text1"/>
                <w:sz w:val="22"/>
                <w:lang w:val="es-ES_tradnl"/>
              </w:rPr>
              <w:t>las consultas</w:t>
            </w:r>
            <w:r w:rsidRPr="00D67C1A">
              <w:rPr>
                <w:rFonts w:ascii="Arial" w:hAnsi="Arial" w:cs="Arial"/>
                <w:color w:val="000000" w:themeColor="text1"/>
                <w:sz w:val="22"/>
                <w:lang w:val="es-ES_tradnl"/>
              </w:rPr>
              <w:t xml:space="preserve"> </w:t>
            </w:r>
            <w:r w:rsidR="00651D4E" w:rsidRPr="00651D4E">
              <w:rPr>
                <w:rFonts w:ascii="Arial" w:hAnsi="Arial" w:cs="Arial"/>
                <w:color w:val="000000" w:themeColor="text1"/>
                <w:sz w:val="22"/>
                <w:lang w:val="es-ES_tradnl"/>
              </w:rPr>
              <w:t>P20220803007653</w:t>
            </w:r>
            <w:r w:rsidR="00651D4E">
              <w:rPr>
                <w:rFonts w:ascii="Arial" w:hAnsi="Arial" w:cs="Arial"/>
                <w:color w:val="000000" w:themeColor="text1"/>
                <w:sz w:val="22"/>
                <w:lang w:val="es-ES_tradnl"/>
              </w:rPr>
              <w:t xml:space="preserve"> - </w:t>
            </w:r>
            <w:r w:rsidR="00651D4E" w:rsidRPr="00651D4E">
              <w:rPr>
                <w:rFonts w:ascii="Arial" w:hAnsi="Arial" w:cs="Arial"/>
                <w:color w:val="000000" w:themeColor="text1"/>
                <w:sz w:val="22"/>
                <w:lang w:val="es-ES_tradnl"/>
              </w:rPr>
              <w:t>P20220821008271</w:t>
            </w:r>
            <w:r w:rsidR="00651D4E">
              <w:rPr>
                <w:rFonts w:ascii="Arial" w:hAnsi="Arial" w:cs="Arial"/>
                <w:color w:val="000000" w:themeColor="text1"/>
                <w:sz w:val="22"/>
                <w:lang w:val="es-ES_tradnl"/>
              </w:rPr>
              <w:t xml:space="preserve"> (Acumuladas)</w:t>
            </w:r>
          </w:p>
        </w:tc>
      </w:tr>
    </w:tbl>
    <w:p w14:paraId="1A52FB29" w14:textId="77777777" w:rsidR="00EC171C" w:rsidRPr="00D67C1A" w:rsidRDefault="00EC171C" w:rsidP="00DE7D58">
      <w:pPr>
        <w:jc w:val="both"/>
        <w:rPr>
          <w:rFonts w:ascii="Arial" w:eastAsia="Calibri" w:hAnsi="Arial" w:cs="Arial"/>
          <w:sz w:val="22"/>
          <w:lang w:val="es-CO"/>
        </w:rPr>
      </w:pPr>
    </w:p>
    <w:p w14:paraId="517A8240" w14:textId="77777777" w:rsidR="005A7B03" w:rsidRPr="00D67C1A" w:rsidRDefault="005A7B03" w:rsidP="00DE7D58">
      <w:pPr>
        <w:jc w:val="both"/>
        <w:rPr>
          <w:rFonts w:ascii="Arial" w:eastAsia="Calibri" w:hAnsi="Arial" w:cs="Arial"/>
          <w:sz w:val="22"/>
          <w:lang w:val="es-CO"/>
        </w:rPr>
      </w:pPr>
    </w:p>
    <w:p w14:paraId="23FFBBCE" w14:textId="0321877F" w:rsidR="00904CD9" w:rsidRPr="00D67C1A" w:rsidRDefault="009F6F22" w:rsidP="00904CD9">
      <w:pPr>
        <w:rPr>
          <w:rFonts w:ascii="Arial" w:eastAsia="Calibri" w:hAnsi="Arial" w:cs="Arial"/>
          <w:sz w:val="22"/>
          <w:lang w:val="es-CO"/>
        </w:rPr>
      </w:pPr>
      <w:r w:rsidRPr="00D67C1A">
        <w:rPr>
          <w:rFonts w:ascii="Arial" w:eastAsia="Calibri" w:hAnsi="Arial" w:cs="Arial"/>
          <w:sz w:val="22"/>
          <w:lang w:val="es-CO"/>
        </w:rPr>
        <w:t>Estimad</w:t>
      </w:r>
      <w:r w:rsidR="00F033DB" w:rsidRPr="00D67C1A">
        <w:rPr>
          <w:rFonts w:ascii="Arial" w:eastAsia="Calibri" w:hAnsi="Arial" w:cs="Arial"/>
          <w:sz w:val="22"/>
          <w:lang w:val="es-CO"/>
        </w:rPr>
        <w:t>o</w:t>
      </w:r>
      <w:r w:rsidR="001B0A86" w:rsidRPr="00D67C1A">
        <w:rPr>
          <w:rFonts w:ascii="Arial" w:eastAsia="Calibri" w:hAnsi="Arial" w:cs="Arial"/>
          <w:sz w:val="22"/>
          <w:lang w:val="es-CO"/>
        </w:rPr>
        <w:t xml:space="preserve"> señor </w:t>
      </w:r>
      <w:r w:rsidR="00651D4E">
        <w:rPr>
          <w:rFonts w:ascii="Arial" w:eastAsia="Calibri" w:hAnsi="Arial" w:cs="Arial"/>
          <w:sz w:val="22"/>
          <w:lang w:val="es-CO"/>
        </w:rPr>
        <w:t>Serrano</w:t>
      </w:r>
      <w:r w:rsidR="00567165" w:rsidRPr="00D67C1A">
        <w:rPr>
          <w:rFonts w:ascii="Arial" w:eastAsia="Calibri" w:hAnsi="Arial" w:cs="Arial"/>
          <w:sz w:val="22"/>
          <w:lang w:val="es-CO"/>
        </w:rPr>
        <w:t xml:space="preserve">: </w:t>
      </w:r>
    </w:p>
    <w:p w14:paraId="24D48CA1" w14:textId="77777777" w:rsidR="00904CD9" w:rsidRPr="00D67C1A" w:rsidRDefault="00904CD9" w:rsidP="00904CD9">
      <w:pPr>
        <w:rPr>
          <w:rFonts w:ascii="Arial" w:eastAsia="Calibri" w:hAnsi="Arial" w:cs="Arial"/>
          <w:sz w:val="22"/>
          <w:lang w:val="es-CO"/>
        </w:rPr>
      </w:pPr>
    </w:p>
    <w:p w14:paraId="0923B836" w14:textId="76732331" w:rsidR="00904CD9" w:rsidRPr="00D67C1A" w:rsidRDefault="00912BD6" w:rsidP="00904CD9">
      <w:pPr>
        <w:spacing w:line="276" w:lineRule="auto"/>
        <w:ind w:right="49"/>
        <w:jc w:val="both"/>
        <w:rPr>
          <w:rFonts w:ascii="Arial" w:eastAsia="Calibri" w:hAnsi="Arial" w:cs="Arial"/>
          <w:sz w:val="22"/>
          <w:lang w:val="es-CO"/>
        </w:rPr>
      </w:pPr>
      <w:r w:rsidRPr="00D67C1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w:t>
      </w:r>
      <w:r w:rsidR="00626B4F" w:rsidRPr="00D67C1A">
        <w:rPr>
          <w:rFonts w:ascii="Arial" w:eastAsia="Calibri" w:hAnsi="Arial" w:cs="Arial"/>
          <w:sz w:val="22"/>
          <w:lang w:val="es-ES_tradnl"/>
        </w:rPr>
        <w:t xml:space="preserve"> Efici</w:t>
      </w:r>
      <w:r w:rsidR="001A4138" w:rsidRPr="00D67C1A">
        <w:rPr>
          <w:rFonts w:ascii="Arial" w:eastAsia="Calibri" w:hAnsi="Arial" w:cs="Arial"/>
          <w:sz w:val="22"/>
          <w:lang w:val="es-ES_tradnl"/>
        </w:rPr>
        <w:t>ent</w:t>
      </w:r>
      <w:r w:rsidR="005D269B" w:rsidRPr="00D67C1A">
        <w:rPr>
          <w:rFonts w:ascii="Arial" w:eastAsia="Calibri" w:hAnsi="Arial" w:cs="Arial"/>
          <w:sz w:val="22"/>
          <w:lang w:val="es-ES_tradnl"/>
        </w:rPr>
        <w:t>e</w:t>
      </w:r>
      <w:r w:rsidR="00642694" w:rsidRPr="00D67C1A">
        <w:rPr>
          <w:rFonts w:ascii="Arial" w:eastAsia="Calibri" w:hAnsi="Arial" w:cs="Arial"/>
          <w:sz w:val="22"/>
          <w:lang w:val="es-ES_tradnl"/>
        </w:rPr>
        <w:t>,</w:t>
      </w:r>
      <w:r w:rsidR="005D269B" w:rsidRPr="00D67C1A">
        <w:rPr>
          <w:rFonts w:ascii="Arial" w:eastAsia="Calibri" w:hAnsi="Arial" w:cs="Arial"/>
          <w:sz w:val="22"/>
          <w:lang w:val="es-ES_tradnl"/>
        </w:rPr>
        <w:t xml:space="preserve"> responde su consulta del </w:t>
      </w:r>
      <w:r w:rsidR="00651D4E">
        <w:rPr>
          <w:rFonts w:ascii="Arial" w:eastAsia="Calibri" w:hAnsi="Arial" w:cs="Arial"/>
          <w:sz w:val="22"/>
          <w:lang w:val="es-ES_tradnl"/>
        </w:rPr>
        <w:t>3</w:t>
      </w:r>
      <w:r w:rsidR="005D269B" w:rsidRPr="00D67C1A">
        <w:rPr>
          <w:rFonts w:ascii="Arial" w:eastAsia="Calibri" w:hAnsi="Arial" w:cs="Arial"/>
          <w:sz w:val="22"/>
          <w:lang w:val="es-ES_tradnl"/>
        </w:rPr>
        <w:t xml:space="preserve"> de </w:t>
      </w:r>
      <w:r w:rsidR="00651D4E">
        <w:rPr>
          <w:rFonts w:ascii="Arial" w:eastAsia="Calibri" w:hAnsi="Arial" w:cs="Arial"/>
          <w:sz w:val="22"/>
          <w:lang w:val="es-ES_tradnl"/>
        </w:rPr>
        <w:t>agosto</w:t>
      </w:r>
      <w:r w:rsidR="008B438D" w:rsidRPr="00D67C1A">
        <w:rPr>
          <w:rFonts w:ascii="Arial" w:eastAsia="Calibri" w:hAnsi="Arial" w:cs="Arial"/>
          <w:sz w:val="22"/>
          <w:lang w:val="es-ES_tradnl"/>
        </w:rPr>
        <w:t xml:space="preserve"> de 2022</w:t>
      </w:r>
      <w:r w:rsidR="00651D4E">
        <w:rPr>
          <w:rFonts w:ascii="Arial" w:eastAsia="Calibri" w:hAnsi="Arial" w:cs="Arial"/>
          <w:sz w:val="22"/>
          <w:lang w:val="es-ES_tradnl"/>
        </w:rPr>
        <w:t>, reiterada el 20 de agosto de 2022</w:t>
      </w:r>
      <w:r w:rsidR="001A4138" w:rsidRPr="00D67C1A">
        <w:rPr>
          <w:rFonts w:ascii="Arial" w:eastAsia="Calibri" w:hAnsi="Arial" w:cs="Arial"/>
          <w:sz w:val="22"/>
          <w:lang w:val="es-ES_tradnl"/>
        </w:rPr>
        <w:t xml:space="preserve">. </w:t>
      </w:r>
    </w:p>
    <w:p w14:paraId="3A5E9A2D" w14:textId="77777777" w:rsidR="00904CD9" w:rsidRPr="00D67C1A" w:rsidRDefault="00904CD9" w:rsidP="00904CD9">
      <w:pPr>
        <w:spacing w:line="276" w:lineRule="auto"/>
        <w:jc w:val="both"/>
        <w:rPr>
          <w:rFonts w:ascii="Arial" w:eastAsia="Calibri" w:hAnsi="Arial" w:cs="Arial"/>
          <w:sz w:val="22"/>
          <w:lang w:val="es-CO"/>
        </w:rPr>
      </w:pPr>
    </w:p>
    <w:p w14:paraId="5A4D90C7" w14:textId="3CFBE737" w:rsidR="00904CD9" w:rsidRPr="00D67C1A"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D67C1A">
        <w:rPr>
          <w:rFonts w:ascii="Arial" w:eastAsia="Calibri" w:hAnsi="Arial" w:cs="Arial"/>
          <w:b/>
          <w:sz w:val="22"/>
          <w:lang w:val="es-CO"/>
        </w:rPr>
        <w:t xml:space="preserve">Problema planteado </w:t>
      </w:r>
    </w:p>
    <w:p w14:paraId="6CB819BA" w14:textId="77777777" w:rsidR="00904CD9" w:rsidRPr="00D67C1A" w:rsidRDefault="00904CD9" w:rsidP="00FD7994">
      <w:pPr>
        <w:tabs>
          <w:tab w:val="left" w:pos="426"/>
        </w:tabs>
        <w:spacing w:line="276" w:lineRule="auto"/>
        <w:jc w:val="both"/>
        <w:rPr>
          <w:rFonts w:ascii="Arial" w:eastAsia="Calibri" w:hAnsi="Arial" w:cs="Arial"/>
          <w:b/>
          <w:sz w:val="22"/>
          <w:lang w:val="es-CO"/>
        </w:rPr>
      </w:pPr>
    </w:p>
    <w:p w14:paraId="63F8AD10" w14:textId="550BEDD8" w:rsidR="00AD4DD0" w:rsidRPr="00D67C1A" w:rsidRDefault="00AD4DD0" w:rsidP="00AD4DD0">
      <w:pPr>
        <w:spacing w:line="276" w:lineRule="auto"/>
        <w:jc w:val="both"/>
        <w:rPr>
          <w:rFonts w:ascii="Arial" w:hAnsi="Arial" w:cs="Arial"/>
          <w:color w:val="000000" w:themeColor="text1"/>
          <w:sz w:val="22"/>
          <w:lang w:val="es-ES_tradnl"/>
        </w:rPr>
      </w:pPr>
      <w:r w:rsidRPr="00D67C1A">
        <w:rPr>
          <w:rFonts w:ascii="Arial" w:hAnsi="Arial" w:cs="Arial"/>
          <w:color w:val="000000" w:themeColor="text1"/>
          <w:sz w:val="22"/>
          <w:lang w:val="es-ES_tradnl"/>
        </w:rPr>
        <w:t xml:space="preserve">Usted formula la siguiente </w:t>
      </w:r>
      <w:r w:rsidR="000970A3">
        <w:rPr>
          <w:rFonts w:ascii="Arial" w:hAnsi="Arial" w:cs="Arial"/>
          <w:color w:val="000000" w:themeColor="text1"/>
          <w:sz w:val="22"/>
          <w:lang w:val="es-ES_tradnl"/>
        </w:rPr>
        <w:t xml:space="preserve">consulta sobre </w:t>
      </w:r>
      <w:r w:rsidRPr="00D67C1A">
        <w:rPr>
          <w:rFonts w:ascii="Arial" w:hAnsi="Arial" w:cs="Arial"/>
          <w:color w:val="000000" w:themeColor="text1"/>
          <w:sz w:val="22"/>
          <w:lang w:val="es-ES_tradnl"/>
        </w:rPr>
        <w:t xml:space="preserve">los Documentos Tipo </w:t>
      </w:r>
      <w:r w:rsidR="000970A3" w:rsidRPr="00BD595A">
        <w:rPr>
          <w:rFonts w:ascii="Arial" w:eastAsia="Calibri" w:hAnsi="Arial" w:cs="Arial"/>
          <w:bCs/>
          <w:sz w:val="22"/>
          <w:lang w:val="es-ES_tradnl"/>
        </w:rPr>
        <w:t>para licitación de obra pública de infraestructura de transporte</w:t>
      </w:r>
      <w:r w:rsidR="000970A3">
        <w:rPr>
          <w:rFonts w:ascii="Arial" w:eastAsia="Calibri" w:hAnsi="Arial" w:cs="Arial"/>
          <w:bCs/>
          <w:sz w:val="22"/>
          <w:lang w:val="es-ES_tradnl"/>
        </w:rPr>
        <w:t>, versión 3:</w:t>
      </w:r>
    </w:p>
    <w:p w14:paraId="7E7C8995" w14:textId="77777777" w:rsidR="00582241" w:rsidRPr="00D67C1A" w:rsidRDefault="00582241" w:rsidP="00582241">
      <w:pPr>
        <w:spacing w:line="276" w:lineRule="auto"/>
        <w:ind w:firstLine="708"/>
        <w:jc w:val="both"/>
        <w:rPr>
          <w:rFonts w:ascii="Arial" w:hAnsi="Arial" w:cs="Arial"/>
          <w:sz w:val="22"/>
          <w:lang w:val="es-ES"/>
        </w:rPr>
      </w:pPr>
    </w:p>
    <w:p w14:paraId="01B2319D" w14:textId="29CF8C27" w:rsidR="00AD4DD0" w:rsidRPr="00D67C1A" w:rsidRDefault="00DA1498" w:rsidP="000970A3">
      <w:pPr>
        <w:pStyle w:val="Textoindependiente"/>
        <w:ind w:left="709" w:right="709"/>
        <w:jc w:val="both"/>
        <w:rPr>
          <w:rFonts w:eastAsia="Calibri"/>
          <w:color w:val="000000"/>
          <w:sz w:val="21"/>
          <w:szCs w:val="21"/>
        </w:rPr>
      </w:pPr>
      <w:r w:rsidRPr="00D67C1A">
        <w:rPr>
          <w:color w:val="000000" w:themeColor="text1"/>
          <w:sz w:val="21"/>
          <w:szCs w:val="21"/>
          <w:lang w:val="es-ES_tradnl"/>
        </w:rPr>
        <w:t>«</w:t>
      </w:r>
      <w:r w:rsidR="00582241" w:rsidRPr="00D67C1A">
        <w:rPr>
          <w:rFonts w:eastAsia="Calibri"/>
          <w:color w:val="000000"/>
          <w:sz w:val="21"/>
          <w:szCs w:val="21"/>
          <w:lang w:val="es-MX"/>
        </w:rPr>
        <w:t xml:space="preserve">[…] </w:t>
      </w:r>
      <w:r w:rsidR="000970A3" w:rsidRPr="000970A3">
        <w:rPr>
          <w:rFonts w:eastAsia="Calibri"/>
          <w:color w:val="000000"/>
          <w:sz w:val="21"/>
          <w:szCs w:val="21"/>
          <w:lang w:val="es-MX"/>
        </w:rPr>
        <w:t>¿A QUÉ SE REFIERE LA CAUSAL W “PRESENTAR MÁS DE UNA OFERTA ECONÓMICA CON VALORES DISTINTOS EN EL SOBRE 2”?¿esta causal de rechazo W solo aplicaría en el evento de Presentarse MAS de un “formulario 1 – oferta económica, con valores distintos</w:t>
      </w:r>
      <w:r w:rsidR="000970A3">
        <w:rPr>
          <w:rFonts w:eastAsia="Calibri"/>
          <w:color w:val="000000"/>
          <w:sz w:val="21"/>
          <w:szCs w:val="21"/>
          <w:lang w:val="es-MX"/>
        </w:rPr>
        <w:t>“</w:t>
      </w:r>
      <w:r w:rsidR="00AD4DD0" w:rsidRPr="00D67C1A">
        <w:rPr>
          <w:rFonts w:eastAsia="Calibri"/>
          <w:color w:val="000000"/>
          <w:sz w:val="21"/>
          <w:szCs w:val="21"/>
        </w:rPr>
        <w:t>?</w:t>
      </w:r>
      <w:r w:rsidRPr="00D67C1A">
        <w:rPr>
          <w:color w:val="000000" w:themeColor="text1"/>
          <w:sz w:val="21"/>
          <w:szCs w:val="21"/>
          <w:lang w:val="es-ES_tradnl"/>
        </w:rPr>
        <w:t>»</w:t>
      </w:r>
      <w:r w:rsidR="000970A3">
        <w:rPr>
          <w:color w:val="000000" w:themeColor="text1"/>
          <w:sz w:val="21"/>
          <w:szCs w:val="21"/>
          <w:lang w:val="es-ES_tradnl"/>
        </w:rPr>
        <w:t xml:space="preserve"> (sic)</w:t>
      </w:r>
    </w:p>
    <w:p w14:paraId="33FD7DD3" w14:textId="1D48B062" w:rsidR="009F6F22" w:rsidRPr="00D67C1A" w:rsidRDefault="009F6F22" w:rsidP="004A4319">
      <w:pPr>
        <w:pStyle w:val="Default"/>
        <w:ind w:left="709" w:right="709"/>
        <w:jc w:val="both"/>
        <w:rPr>
          <w:color w:val="auto"/>
          <w:sz w:val="21"/>
          <w:szCs w:val="21"/>
          <w:lang w:val="es-ES"/>
        </w:rPr>
      </w:pPr>
    </w:p>
    <w:p w14:paraId="76A6A0AF" w14:textId="77777777" w:rsidR="00003409" w:rsidRPr="00D67C1A" w:rsidRDefault="00003409" w:rsidP="004A4319">
      <w:pPr>
        <w:spacing w:line="276" w:lineRule="auto"/>
        <w:jc w:val="both"/>
        <w:rPr>
          <w:rFonts w:ascii="Arial" w:eastAsia="Calibri" w:hAnsi="Arial" w:cs="Arial"/>
          <w:b/>
          <w:sz w:val="22"/>
        </w:rPr>
      </w:pPr>
      <w:r w:rsidRPr="00D67C1A">
        <w:rPr>
          <w:rFonts w:ascii="Arial" w:eastAsia="Calibri" w:hAnsi="Arial" w:cs="Arial"/>
          <w:b/>
          <w:sz w:val="22"/>
        </w:rPr>
        <w:t>2. Consideraciones</w:t>
      </w:r>
    </w:p>
    <w:p w14:paraId="716F4877" w14:textId="77777777" w:rsidR="00003409" w:rsidRPr="00D67C1A" w:rsidRDefault="00003409" w:rsidP="004A4319">
      <w:pPr>
        <w:jc w:val="both"/>
        <w:rPr>
          <w:rFonts w:ascii="Arial" w:eastAsia="Calibri" w:hAnsi="Arial" w:cs="Arial"/>
          <w:b/>
          <w:sz w:val="22"/>
        </w:rPr>
      </w:pPr>
    </w:p>
    <w:p w14:paraId="5483E437" w14:textId="77777777" w:rsidR="00B33519" w:rsidRPr="00D67C1A" w:rsidRDefault="00B33519" w:rsidP="00B33519">
      <w:pPr>
        <w:spacing w:after="120" w:line="276" w:lineRule="auto"/>
        <w:jc w:val="both"/>
        <w:rPr>
          <w:rFonts w:ascii="Arial" w:eastAsia="Calibri" w:hAnsi="Arial" w:cs="Arial"/>
          <w:bCs/>
          <w:sz w:val="22"/>
        </w:rPr>
      </w:pPr>
      <w:r w:rsidRPr="00D67C1A">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2D6EF6A" w14:textId="77777777" w:rsidR="00B33519" w:rsidRPr="00D67C1A" w:rsidRDefault="00B33519" w:rsidP="00B33519">
      <w:pPr>
        <w:spacing w:after="120" w:line="276" w:lineRule="auto"/>
        <w:jc w:val="both"/>
        <w:rPr>
          <w:rFonts w:ascii="Arial" w:eastAsia="Calibri" w:hAnsi="Arial" w:cs="Arial"/>
          <w:sz w:val="22"/>
          <w:lang w:val="es-ES"/>
        </w:rPr>
      </w:pPr>
      <w:r w:rsidRPr="00D67C1A">
        <w:rPr>
          <w:rFonts w:ascii="Arial" w:eastAsia="Calibri" w:hAnsi="Arial" w:cs="Arial"/>
          <w:b/>
          <w:sz w:val="22"/>
        </w:rPr>
        <w:tab/>
      </w:r>
      <w:bookmarkStart w:id="0" w:name="_Hlk61701014"/>
      <w:bookmarkStart w:id="1" w:name="_Hlk62136649"/>
      <w:r w:rsidRPr="00D67C1A">
        <w:rPr>
          <w:rFonts w:ascii="Arial" w:eastAsia="Calibri" w:hAnsi="Arial" w:cs="Arial"/>
          <w:sz w:val="22"/>
          <w:lang w:val="es-ES"/>
        </w:rPr>
        <w:t xml:space="preserve">Es necesario tener en cuenta que </w:t>
      </w:r>
      <w:bookmarkStart w:id="2" w:name="_Hlk61026958"/>
      <w:r w:rsidRPr="00D67C1A">
        <w:rPr>
          <w:rFonts w:ascii="Arial" w:eastAsia="Calibri"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67C1A">
        <w:rPr>
          <w:rFonts w:ascii="Arial" w:eastAsia="Calibri" w:hAnsi="Arial" w:cs="Arial"/>
          <w:bCs/>
          <w:sz w:val="22"/>
        </w:rPr>
        <w:t xml:space="preserve"> de todos los partícipes de la contratación estatal, ya sean reales o hipotéticos.</w:t>
      </w:r>
      <w:r w:rsidRPr="00D67C1A">
        <w:rPr>
          <w:rFonts w:ascii="Arial" w:eastAsia="Calibri" w:hAnsi="Arial" w:cs="Arial"/>
          <w:sz w:val="22"/>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67C1A">
        <w:rPr>
          <w:rFonts w:ascii="Arial" w:eastAsia="Calibri" w:hAnsi="Arial" w:cs="Arial"/>
          <w:sz w:val="22"/>
          <w:vertAlign w:val="superscript"/>
          <w:lang w:val="es-ES"/>
        </w:rPr>
        <w:footnoteReference w:id="1"/>
      </w:r>
      <w:r w:rsidRPr="00D67C1A">
        <w:rPr>
          <w:rFonts w:ascii="Arial" w:eastAsia="Calibri" w:hAnsi="Arial" w:cs="Arial"/>
          <w:sz w:val="22"/>
          <w:lang w:val="es-ES"/>
        </w:rPr>
        <w:t xml:space="preserve">. </w:t>
      </w:r>
    </w:p>
    <w:p w14:paraId="6AABA2C0" w14:textId="3661C684" w:rsidR="00B33519" w:rsidRPr="00D67C1A" w:rsidRDefault="00B33519" w:rsidP="00B33519">
      <w:pPr>
        <w:spacing w:after="120" w:line="276" w:lineRule="auto"/>
        <w:ind w:firstLine="708"/>
        <w:jc w:val="both"/>
        <w:rPr>
          <w:rFonts w:ascii="Arial" w:eastAsia="Calibri" w:hAnsi="Arial" w:cs="Arial"/>
          <w:color w:val="000000"/>
          <w:sz w:val="22"/>
          <w:lang w:val="es-ES"/>
        </w:rPr>
      </w:pPr>
      <w:r w:rsidRPr="00D67C1A">
        <w:rPr>
          <w:rFonts w:ascii="Arial" w:eastAsia="Calibri" w:hAnsi="Arial" w:cs="Arial"/>
          <w:sz w:val="22"/>
          <w:lang w:val="es-ES"/>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2"/>
      <w:r w:rsidRPr="00D67C1A">
        <w:rPr>
          <w:rFonts w:ascii="Arial" w:eastAsia="Calibri" w:hAnsi="Arial" w:cs="Arial"/>
          <w:sz w:val="22"/>
          <w:lang w:val="es-ES"/>
        </w:rPr>
        <w:t>. Por lo anterior, previo concepto de sus órganos asesores, la solución de estos temas corresponde a la entidad que adelanta el procedimiento de selección y, en caso de conflicto, a las autoridades judiciales, fiscales y disciplinarias.</w:t>
      </w:r>
      <w:bookmarkEnd w:id="0"/>
      <w:bookmarkEnd w:id="1"/>
      <w:r w:rsidRPr="00D67C1A">
        <w:rPr>
          <w:rFonts w:ascii="Arial" w:eastAsia="Calibri" w:hAnsi="Arial" w:cs="Arial"/>
          <w:sz w:val="22"/>
          <w:lang w:val="es-ES"/>
        </w:rPr>
        <w:t xml:space="preserve"> </w:t>
      </w:r>
      <w:r w:rsidRPr="00D67C1A">
        <w:rPr>
          <w:rFonts w:ascii="Arial" w:eastAsia="Calibri" w:hAnsi="Arial" w:cs="Arial"/>
          <w:color w:val="000000"/>
          <w:sz w:val="22"/>
        </w:rPr>
        <w:t xml:space="preserve">Sin perjuicio de lo anterior, </w:t>
      </w:r>
      <w:r w:rsidRPr="00D67C1A">
        <w:rPr>
          <w:rFonts w:ascii="Arial" w:eastAsia="Calibri" w:hAnsi="Arial" w:cs="Arial"/>
          <w:color w:val="000000"/>
          <w:sz w:val="22"/>
          <w:lang w:val="es-ES"/>
        </w:rPr>
        <w:t xml:space="preserve">la Subdirección –dentro de los límites de sus atribuciones, esto es, </w:t>
      </w:r>
      <w:bookmarkStart w:id="3" w:name="_Hlk61025408"/>
      <w:r w:rsidRPr="00D67C1A">
        <w:rPr>
          <w:rFonts w:ascii="Arial" w:eastAsia="Calibri" w:hAnsi="Arial" w:cs="Arial"/>
          <w:color w:val="000000"/>
          <w:sz w:val="22"/>
          <w:lang w:val="es-ES"/>
        </w:rPr>
        <w:t>haciendo abstracción de casos particulares expuestos por cualquier peticionari</w:t>
      </w:r>
      <w:bookmarkEnd w:id="3"/>
      <w:r w:rsidRPr="00D67C1A">
        <w:rPr>
          <w:rFonts w:ascii="Arial" w:eastAsia="Calibri" w:hAnsi="Arial" w:cs="Arial"/>
          <w:color w:val="000000"/>
          <w:sz w:val="22"/>
          <w:lang w:val="es-ES"/>
        </w:rPr>
        <w:t>o– resolverá la consulta conforme a las normas generales en materia de contratación estatal.</w:t>
      </w:r>
    </w:p>
    <w:p w14:paraId="7BF71092" w14:textId="15A98EF9" w:rsidR="00F858AD" w:rsidRPr="00D67C1A" w:rsidRDefault="00B33519" w:rsidP="001F25A1">
      <w:pPr>
        <w:spacing w:after="120" w:line="276" w:lineRule="auto"/>
        <w:ind w:firstLine="709"/>
        <w:jc w:val="both"/>
        <w:rPr>
          <w:rFonts w:ascii="Arial" w:hAnsi="Arial" w:cs="Arial"/>
          <w:sz w:val="22"/>
        </w:rPr>
      </w:pPr>
      <w:r w:rsidRPr="00D67C1A">
        <w:rPr>
          <w:rFonts w:ascii="Arial" w:eastAsia="Calibri" w:hAnsi="Arial" w:cs="Arial"/>
          <w:color w:val="000000" w:themeColor="text1"/>
          <w:sz w:val="22"/>
        </w:rPr>
        <w:t>Aclarado lo anterior, p</w:t>
      </w:r>
      <w:r w:rsidR="00F858AD" w:rsidRPr="00D67C1A">
        <w:rPr>
          <w:rFonts w:ascii="Arial" w:hAnsi="Arial" w:cs="Arial"/>
          <w:sz w:val="22"/>
        </w:rPr>
        <w:t>ara absolver la consulta planteada  se abordarán los siguientes temas: i</w:t>
      </w:r>
      <w:r w:rsidR="00F858AD" w:rsidRPr="00D67C1A">
        <w:t xml:space="preserve">) </w:t>
      </w:r>
      <w:r w:rsidR="00F858AD" w:rsidRPr="00D67C1A">
        <w:rPr>
          <w:rFonts w:ascii="Arial" w:hAnsi="Arial" w:cs="Arial"/>
          <w:sz w:val="22"/>
        </w:rPr>
        <w:t xml:space="preserve">Expedición de los documentos tipo de obra pública de infraestructura de transporte; ii) </w:t>
      </w:r>
      <w:r w:rsidR="006D6AB0" w:rsidRPr="00D67C1A">
        <w:rPr>
          <w:rFonts w:ascii="Arial" w:hAnsi="Arial" w:cs="Arial"/>
          <w:sz w:val="22"/>
        </w:rPr>
        <w:t>R</w:t>
      </w:r>
      <w:r w:rsidR="00F172AE" w:rsidRPr="00D67C1A">
        <w:rPr>
          <w:rFonts w:ascii="Arial" w:hAnsi="Arial" w:cs="Arial"/>
          <w:sz w:val="22"/>
        </w:rPr>
        <w:t>egla de inalterabilidad de los documentos tipo</w:t>
      </w:r>
      <w:r w:rsidR="00582241" w:rsidRPr="00D67C1A">
        <w:rPr>
          <w:rFonts w:ascii="Arial" w:hAnsi="Arial" w:cs="Arial"/>
          <w:sz w:val="22"/>
        </w:rPr>
        <w:t xml:space="preserve">, </w:t>
      </w:r>
      <w:r w:rsidR="00F172AE" w:rsidRPr="00D67C1A">
        <w:rPr>
          <w:rFonts w:ascii="Arial" w:hAnsi="Arial" w:cs="Arial"/>
          <w:sz w:val="22"/>
        </w:rPr>
        <w:t xml:space="preserve">iii) </w:t>
      </w:r>
      <w:r w:rsidR="006D6AB0" w:rsidRPr="00D67C1A">
        <w:rPr>
          <w:rFonts w:ascii="Arial" w:eastAsia="Calibri" w:hAnsi="Arial" w:cs="Arial"/>
          <w:bCs/>
          <w:color w:val="000000" w:themeColor="text1"/>
          <w:sz w:val="22"/>
          <w:lang w:val="es-ES_tradnl"/>
        </w:rPr>
        <w:t xml:space="preserve">Uso del </w:t>
      </w:r>
      <w:r w:rsidR="006D6AB0" w:rsidRPr="00D67C1A">
        <w:rPr>
          <w:rFonts w:ascii="Arial" w:hAnsi="Arial" w:cs="Arial"/>
          <w:color w:val="000000" w:themeColor="text1"/>
          <w:sz w:val="22"/>
          <w:lang w:val="es-ES_tradnl"/>
        </w:rPr>
        <w:t>«</w:t>
      </w:r>
      <w:r w:rsidR="006D6AB0" w:rsidRPr="00D67C1A">
        <w:rPr>
          <w:rFonts w:ascii="Arial" w:eastAsia="Calibri" w:hAnsi="Arial" w:cs="Arial"/>
          <w:bCs/>
          <w:color w:val="000000" w:themeColor="text1"/>
          <w:sz w:val="22"/>
          <w:lang w:val="es-ES_tradnl"/>
        </w:rPr>
        <w:t>Formulario 1 – Formulario de Presupuesto Oficial»</w:t>
      </w:r>
      <w:r w:rsidR="00F26E22" w:rsidRPr="00D67C1A">
        <w:rPr>
          <w:rFonts w:ascii="Arial" w:hAnsi="Arial" w:cs="Arial"/>
          <w:sz w:val="22"/>
        </w:rPr>
        <w:t>.</w:t>
      </w:r>
    </w:p>
    <w:p w14:paraId="4C356B62" w14:textId="245A6DBF" w:rsidR="003415A9" w:rsidRPr="00D67C1A" w:rsidRDefault="00F172AE" w:rsidP="004A4319">
      <w:pPr>
        <w:spacing w:line="276" w:lineRule="auto"/>
        <w:ind w:firstLine="708"/>
        <w:jc w:val="both"/>
        <w:rPr>
          <w:rStyle w:val="normaltextrun"/>
          <w:rFonts w:ascii="Arial" w:hAnsi="Arial" w:cs="Arial"/>
          <w:sz w:val="22"/>
          <w:shd w:val="clear" w:color="auto" w:fill="FFFFFF"/>
          <w:lang w:val="es-CO"/>
        </w:rPr>
      </w:pPr>
      <w:r w:rsidRPr="00D67C1A">
        <w:rPr>
          <w:rStyle w:val="normaltextrun"/>
          <w:rFonts w:ascii="Arial" w:hAnsi="Arial" w:cs="Arial"/>
          <w:sz w:val="22"/>
          <w:shd w:val="clear" w:color="auto" w:fill="FFFFFF"/>
          <w:lang w:val="es-CO"/>
        </w:rPr>
        <w:lastRenderedPageBreak/>
        <w:t xml:space="preserve">La Agencia Nacional de Contratación Pública − Colombia Compra Eficiente ha abordado </w:t>
      </w:r>
      <w:r w:rsidR="00F26E22" w:rsidRPr="00D67C1A">
        <w:rPr>
          <w:rStyle w:val="normaltextrun"/>
          <w:rFonts w:ascii="Arial" w:hAnsi="Arial" w:cs="Arial"/>
          <w:sz w:val="22"/>
          <w:shd w:val="clear" w:color="auto" w:fill="FFFFFF"/>
          <w:lang w:val="es-CO"/>
        </w:rPr>
        <w:t>el tema de los documentos tipo,</w:t>
      </w:r>
      <w:r w:rsidRPr="00D67C1A">
        <w:rPr>
          <w:rStyle w:val="normaltextrun"/>
          <w:rFonts w:ascii="Arial" w:hAnsi="Arial" w:cs="Arial"/>
          <w:sz w:val="22"/>
          <w:shd w:val="clear" w:color="auto" w:fill="FFFFFF"/>
          <w:lang w:val="es-CO"/>
        </w:rPr>
        <w:t xml:space="preserve"> su inalterabilidad</w:t>
      </w:r>
      <w:r w:rsidR="00F26E22" w:rsidRPr="00D67C1A">
        <w:rPr>
          <w:rStyle w:val="normaltextrun"/>
          <w:rFonts w:ascii="Arial" w:hAnsi="Arial" w:cs="Arial"/>
          <w:sz w:val="22"/>
          <w:shd w:val="clear" w:color="auto" w:fill="FFFFFF"/>
          <w:lang w:val="es-CO"/>
        </w:rPr>
        <w:t xml:space="preserve"> y las causales de rechazo</w:t>
      </w:r>
      <w:r w:rsidRPr="00D67C1A">
        <w:rPr>
          <w:rStyle w:val="normaltextrun"/>
          <w:rFonts w:ascii="Arial" w:hAnsi="Arial" w:cs="Arial"/>
          <w:sz w:val="22"/>
          <w:shd w:val="clear" w:color="auto" w:fill="FFFFFF"/>
          <w:lang w:val="es-CO"/>
        </w:rPr>
        <w:t>, entre otros,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w:t>
      </w:r>
      <w:r w:rsidRPr="00D67C1A">
        <w:rPr>
          <w:rStyle w:val="normaltextrun"/>
          <w:rFonts w:ascii="Arial" w:hAnsi="Arial" w:cs="Arial"/>
          <w:sz w:val="22"/>
          <w:shd w:val="clear" w:color="auto" w:fill="FFFFFF"/>
          <w:lang w:val="es-ES"/>
        </w:rPr>
        <w:t>C-031 del 1 de febrero de 2021,</w:t>
      </w:r>
      <w:r w:rsidRPr="00D67C1A">
        <w:rPr>
          <w:rStyle w:val="normaltextrun"/>
          <w:rFonts w:ascii="Arial" w:hAnsi="Arial" w:cs="Arial"/>
          <w:sz w:val="22"/>
          <w:shd w:val="clear" w:color="auto" w:fill="FFFFFF"/>
          <w:lang w:val="es-CO"/>
        </w:rPr>
        <w:t xml:space="preserve"> C-027 del 1 de marzo de 2021, C-064 del 8 de marzo 2021, </w:t>
      </w:r>
      <w:r w:rsidR="00CE5EC3" w:rsidRPr="00D67C1A">
        <w:rPr>
          <w:rFonts w:ascii="Arial" w:eastAsia="Calibri" w:hAnsi="Arial" w:cs="Arial"/>
          <w:sz w:val="22"/>
          <w:szCs w:val="20"/>
        </w:rPr>
        <w:t xml:space="preserve">C-096 del 24 de marzo de 2021, </w:t>
      </w:r>
      <w:r w:rsidR="00CE5EC3" w:rsidRPr="00D67C1A">
        <w:rPr>
          <w:rStyle w:val="normaltextrun"/>
          <w:rFonts w:ascii="Arial" w:hAnsi="Arial" w:cs="Arial"/>
          <w:sz w:val="22"/>
          <w:shd w:val="clear" w:color="auto" w:fill="FFFFFF"/>
          <w:lang w:val="es-CO"/>
        </w:rPr>
        <w:t xml:space="preserve">C-157 del 13 de abril de 2021, </w:t>
      </w:r>
      <w:r w:rsidR="00CE5EC3" w:rsidRPr="00D67C1A">
        <w:rPr>
          <w:rFonts w:ascii="Arial" w:eastAsia="Calibri" w:hAnsi="Arial" w:cs="Arial"/>
          <w:sz w:val="22"/>
          <w:szCs w:val="20"/>
        </w:rPr>
        <w:t xml:space="preserve">C-056 del 20 de abril de 2021, </w:t>
      </w:r>
      <w:r w:rsidRPr="00D67C1A">
        <w:rPr>
          <w:rStyle w:val="normaltextrun"/>
          <w:rFonts w:ascii="Arial" w:hAnsi="Arial" w:cs="Arial"/>
          <w:sz w:val="22"/>
          <w:shd w:val="clear" w:color="auto" w:fill="FFFFFF"/>
          <w:lang w:val="es-CO"/>
        </w:rPr>
        <w:t>C-204 del 6 de mayo de 2021, C-555 del 20 de octubre de 2021, C-691 del 28 de</w:t>
      </w:r>
      <w:r w:rsidR="00BB78E0" w:rsidRPr="00D67C1A">
        <w:rPr>
          <w:rStyle w:val="normaltextrun"/>
          <w:rFonts w:ascii="Arial" w:hAnsi="Arial" w:cs="Arial"/>
          <w:sz w:val="22"/>
          <w:shd w:val="clear" w:color="auto" w:fill="FFFFFF"/>
          <w:lang w:val="es-CO"/>
        </w:rPr>
        <w:t xml:space="preserve"> diciembre de 2021,</w:t>
      </w:r>
      <w:r w:rsidRPr="00D67C1A">
        <w:rPr>
          <w:rStyle w:val="normaltextrun"/>
          <w:rFonts w:ascii="Arial" w:hAnsi="Arial" w:cs="Arial"/>
          <w:sz w:val="22"/>
          <w:shd w:val="clear" w:color="auto" w:fill="FFFFFF"/>
          <w:lang w:val="es-CO"/>
        </w:rPr>
        <w:t xml:space="preserve"> C-753 del </w:t>
      </w:r>
      <w:r w:rsidR="008B438D" w:rsidRPr="00D67C1A">
        <w:rPr>
          <w:rStyle w:val="normaltextrun"/>
          <w:rFonts w:ascii="Arial" w:hAnsi="Arial" w:cs="Arial"/>
          <w:sz w:val="22"/>
          <w:shd w:val="clear" w:color="auto" w:fill="FFFFFF"/>
          <w:lang w:val="es-CO"/>
        </w:rPr>
        <w:t>06 de febrero de 2022</w:t>
      </w:r>
      <w:r w:rsidR="00F26E22" w:rsidRPr="00D67C1A">
        <w:rPr>
          <w:rStyle w:val="normaltextrun"/>
          <w:rFonts w:ascii="Arial" w:hAnsi="Arial" w:cs="Arial"/>
          <w:sz w:val="22"/>
          <w:shd w:val="clear" w:color="auto" w:fill="FFFFFF"/>
          <w:lang w:val="es-CO"/>
        </w:rPr>
        <w:t>, C-078 del 15 de marzo de 2022,</w:t>
      </w:r>
      <w:r w:rsidR="00BB78E0" w:rsidRPr="00D67C1A">
        <w:rPr>
          <w:rStyle w:val="normaltextrun"/>
          <w:rFonts w:ascii="Arial" w:hAnsi="Arial" w:cs="Arial"/>
          <w:sz w:val="22"/>
          <w:shd w:val="clear" w:color="auto" w:fill="FFFFFF"/>
          <w:lang w:val="es-CO"/>
        </w:rPr>
        <w:t xml:space="preserve"> C-321</w:t>
      </w:r>
      <w:r w:rsidR="00F26E22" w:rsidRPr="00D67C1A">
        <w:rPr>
          <w:rStyle w:val="normaltextrun"/>
          <w:rFonts w:ascii="Arial" w:hAnsi="Arial" w:cs="Arial"/>
          <w:sz w:val="22"/>
          <w:shd w:val="clear" w:color="auto" w:fill="FFFFFF"/>
          <w:lang w:val="es-CO"/>
        </w:rPr>
        <w:t xml:space="preserve"> del 17 de mayo de 2022, C-113 del 22 de marzo de 2022, C-178 C-186  del 12 de abril de 2022</w:t>
      </w:r>
      <w:r w:rsidR="002F436E" w:rsidRPr="00D67C1A">
        <w:rPr>
          <w:rStyle w:val="Refdenotaalpie"/>
          <w:rFonts w:ascii="Arial" w:hAnsi="Arial" w:cs="Arial"/>
          <w:sz w:val="22"/>
          <w:shd w:val="clear" w:color="auto" w:fill="FFFFFF"/>
          <w:lang w:val="es-CO"/>
        </w:rPr>
        <w:footnoteReference w:id="2"/>
      </w:r>
      <w:r w:rsidR="000D5E6D" w:rsidRPr="00D67C1A">
        <w:rPr>
          <w:rStyle w:val="normaltextrun"/>
          <w:rFonts w:ascii="Arial" w:hAnsi="Arial" w:cs="Arial"/>
          <w:sz w:val="22"/>
          <w:shd w:val="clear" w:color="auto" w:fill="FFFFFF"/>
          <w:lang w:val="es-CO"/>
        </w:rPr>
        <w:t xml:space="preserve"> y</w:t>
      </w:r>
      <w:r w:rsidR="00B5554D" w:rsidRPr="00D67C1A">
        <w:rPr>
          <w:rStyle w:val="normaltextrun"/>
          <w:rFonts w:ascii="Arial" w:hAnsi="Arial" w:cs="Arial"/>
          <w:sz w:val="22"/>
          <w:shd w:val="clear" w:color="auto" w:fill="FFFFFF"/>
          <w:lang w:val="es-CO"/>
        </w:rPr>
        <w:t xml:space="preserve"> C-444 del 30 de junio de 2022</w:t>
      </w:r>
      <w:r w:rsidR="00F26E22" w:rsidRPr="00D67C1A">
        <w:rPr>
          <w:rStyle w:val="normaltextrun"/>
          <w:rFonts w:ascii="Arial" w:hAnsi="Arial" w:cs="Arial"/>
          <w:sz w:val="22"/>
          <w:shd w:val="clear" w:color="auto" w:fill="FFFFFF"/>
          <w:lang w:val="es-CO"/>
        </w:rPr>
        <w:t>.</w:t>
      </w:r>
    </w:p>
    <w:p w14:paraId="3C310830" w14:textId="4013DE12" w:rsidR="003415A9" w:rsidRPr="00D67C1A" w:rsidRDefault="003415A9" w:rsidP="004A4319">
      <w:pPr>
        <w:spacing w:line="276" w:lineRule="auto"/>
        <w:ind w:firstLine="708"/>
        <w:jc w:val="both"/>
        <w:rPr>
          <w:rStyle w:val="normaltextrun"/>
          <w:rFonts w:ascii="Arial" w:hAnsi="Arial" w:cs="Arial"/>
          <w:sz w:val="22"/>
          <w:shd w:val="clear" w:color="auto" w:fill="FFFFFF"/>
          <w:lang w:val="es-CO"/>
        </w:rPr>
      </w:pPr>
    </w:p>
    <w:p w14:paraId="0FE5E82E" w14:textId="1EED33E5" w:rsidR="00F172AE" w:rsidRPr="00D67C1A" w:rsidRDefault="003415A9" w:rsidP="004A4319">
      <w:pPr>
        <w:spacing w:line="276" w:lineRule="auto"/>
        <w:ind w:firstLine="708"/>
        <w:jc w:val="both"/>
        <w:rPr>
          <w:rFonts w:ascii="Arial" w:hAnsi="Arial" w:cs="Arial"/>
          <w:sz w:val="22"/>
          <w:shd w:val="clear" w:color="auto" w:fill="FFFFFF"/>
          <w:lang w:val="es-CO"/>
        </w:rPr>
      </w:pPr>
      <w:r w:rsidRPr="00D67C1A">
        <w:rPr>
          <w:rStyle w:val="normaltextrun"/>
          <w:rFonts w:ascii="Arial" w:hAnsi="Arial" w:cs="Arial"/>
          <w:sz w:val="22"/>
          <w:shd w:val="clear" w:color="auto" w:fill="FFFFFF"/>
          <w:lang w:val="es-CO"/>
        </w:rPr>
        <w:t xml:space="preserve">Así mismo, </w:t>
      </w:r>
      <w:r w:rsidRPr="00D67C1A">
        <w:rPr>
          <w:rFonts w:ascii="Arial" w:eastAsia="Calibri" w:hAnsi="Arial" w:cs="Arial"/>
          <w:bCs/>
          <w:sz w:val="22"/>
        </w:rPr>
        <w:t xml:space="preserve">en el concepto con radicado No. 4201912000004987 del 14 de agosto de 2019, reiterado y desarrollado en los conceptos No. </w:t>
      </w:r>
      <w:r w:rsidRPr="00D67C1A">
        <w:rPr>
          <w:rFonts w:ascii="Arial" w:eastAsia="Calibri" w:hAnsi="Arial" w:cs="Arial"/>
          <w:sz w:val="22"/>
        </w:rPr>
        <w:t xml:space="preserve">4201913000005675 del 25 de septiembre de 2019, 4201912000005852 del 25 de septiembre de 2019, 4201912000006447 del 10 de octubre de 2019, </w:t>
      </w:r>
      <w:r w:rsidRPr="00D67C1A">
        <w:rPr>
          <w:rFonts w:ascii="Arial" w:hAnsi="Arial" w:cs="Arial"/>
          <w:sz w:val="22"/>
        </w:rPr>
        <w:t>4201912000006498 del 7 de octubre de 2019,</w:t>
      </w:r>
      <w:r w:rsidRPr="00D67C1A">
        <w:rPr>
          <w:rFonts w:ascii="Arial" w:eastAsia="Calibri" w:hAnsi="Arial" w:cs="Arial"/>
          <w:sz w:val="22"/>
        </w:rPr>
        <w:t xml:space="preserve">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w:t>
      </w:r>
      <w:r w:rsidR="005872E0">
        <w:rPr>
          <w:rFonts w:ascii="Arial" w:eastAsia="Calibri" w:hAnsi="Arial" w:cs="Arial"/>
          <w:sz w:val="22"/>
        </w:rPr>
        <w:t>,</w:t>
      </w:r>
      <w:r w:rsidRPr="00D67C1A">
        <w:rPr>
          <w:rFonts w:ascii="Arial" w:eastAsia="Calibri" w:hAnsi="Arial" w:cs="Arial"/>
          <w:sz w:val="22"/>
        </w:rPr>
        <w:t xml:space="preserve"> C-640 del 12 de noviembre de 2021</w:t>
      </w:r>
      <w:r w:rsidR="00AA76F2">
        <w:rPr>
          <w:rFonts w:ascii="Arial" w:eastAsia="Calibri" w:hAnsi="Arial" w:cs="Arial"/>
          <w:sz w:val="22"/>
        </w:rPr>
        <w:t xml:space="preserve">, C-123 de 22 de marzo de 2022, C-403 de 22 de junio de 2022 </w:t>
      </w:r>
      <w:r w:rsidR="00AA76F2">
        <w:rPr>
          <w:rFonts w:ascii="Arial" w:eastAsia="Calibri" w:hAnsi="Arial" w:cs="Arial"/>
          <w:sz w:val="22"/>
        </w:rPr>
        <w:lastRenderedPageBreak/>
        <w:t>y C-478 de 27 de julio e 2022</w:t>
      </w:r>
      <w:r w:rsidR="005872E0">
        <w:rPr>
          <w:rFonts w:ascii="Arial" w:eastAsia="Calibri" w:hAnsi="Arial" w:cs="Arial"/>
          <w:sz w:val="22"/>
        </w:rPr>
        <w:t xml:space="preserve"> de </w:t>
      </w:r>
      <w:r w:rsidRPr="00D67C1A">
        <w:rPr>
          <w:rFonts w:ascii="Arial" w:eastAsia="Calibri" w:hAnsi="Arial" w:cs="Arial"/>
          <w:sz w:val="22"/>
        </w:rPr>
        <w:t xml:space="preserve"> se pronunció acerca del Formulario 1 – Formulario de Presupuesto Oficial de los Documentos Tipo. </w:t>
      </w:r>
      <w:r w:rsidR="00F172AE" w:rsidRPr="00D67C1A">
        <w:rPr>
          <w:rStyle w:val="normaltextrun"/>
          <w:rFonts w:ascii="Arial" w:hAnsi="Arial" w:cs="Arial"/>
          <w:sz w:val="22"/>
          <w:shd w:val="clear" w:color="auto" w:fill="FFFFFF"/>
          <w:lang w:val="es-CO"/>
        </w:rPr>
        <w:t>Las tesis desarrolladas en estos conceptos se reiteran a continuación y se complementan en lo pertinente.</w:t>
      </w:r>
    </w:p>
    <w:p w14:paraId="3D9DB932" w14:textId="77777777" w:rsidR="00E0224A" w:rsidRPr="00D67C1A" w:rsidRDefault="00E0224A" w:rsidP="004A4319">
      <w:pPr>
        <w:spacing w:line="276" w:lineRule="auto"/>
        <w:jc w:val="both"/>
        <w:rPr>
          <w:rFonts w:ascii="Arial" w:eastAsia="Calibri" w:hAnsi="Arial" w:cs="Arial"/>
          <w:b/>
          <w:bCs/>
          <w:sz w:val="22"/>
          <w:lang w:val="es-CO"/>
        </w:rPr>
      </w:pPr>
    </w:p>
    <w:p w14:paraId="7DB757FB" w14:textId="14F8C267" w:rsidR="008B7E23" w:rsidRPr="00D67C1A" w:rsidRDefault="008B7E23" w:rsidP="004A4319">
      <w:pPr>
        <w:spacing w:line="276" w:lineRule="auto"/>
        <w:jc w:val="both"/>
        <w:rPr>
          <w:rFonts w:ascii="Arial" w:eastAsia="Calibri" w:hAnsi="Arial" w:cs="Arial"/>
          <w:b/>
          <w:bCs/>
          <w:sz w:val="22"/>
        </w:rPr>
      </w:pPr>
      <w:r w:rsidRPr="00D67C1A">
        <w:rPr>
          <w:rFonts w:ascii="Arial" w:eastAsia="Calibri" w:hAnsi="Arial" w:cs="Arial"/>
          <w:b/>
          <w:bCs/>
          <w:sz w:val="22"/>
        </w:rPr>
        <w:t>2.1. Expedición de los documentos tipo de obra pública de infraestructura de transporte</w:t>
      </w:r>
    </w:p>
    <w:p w14:paraId="7DB72FC4" w14:textId="77777777" w:rsidR="008B7E23" w:rsidRPr="00D67C1A" w:rsidRDefault="008B7E23" w:rsidP="004A4319">
      <w:pPr>
        <w:spacing w:line="276" w:lineRule="auto"/>
        <w:jc w:val="both"/>
        <w:rPr>
          <w:rFonts w:ascii="Arial" w:eastAsia="Calibri" w:hAnsi="Arial" w:cs="Arial"/>
          <w:b/>
          <w:bCs/>
          <w:sz w:val="22"/>
        </w:rPr>
      </w:pPr>
    </w:p>
    <w:p w14:paraId="77B06E82" w14:textId="4468F3C5" w:rsidR="008B7E23" w:rsidRPr="00D67C1A" w:rsidRDefault="00E36F58" w:rsidP="004A4319">
      <w:pPr>
        <w:shd w:val="clear" w:color="auto" w:fill="FFFFFF"/>
        <w:spacing w:after="120" w:line="276" w:lineRule="auto"/>
        <w:jc w:val="both"/>
        <w:rPr>
          <w:rFonts w:ascii="Arial" w:eastAsia="Calibri" w:hAnsi="Arial" w:cs="Arial"/>
          <w:sz w:val="22"/>
          <w:bdr w:val="none" w:sz="0" w:space="0" w:color="auto" w:frame="1"/>
          <w:lang w:eastAsia="es-CO"/>
        </w:rPr>
      </w:pPr>
      <w:r w:rsidRPr="00D67C1A">
        <w:rPr>
          <w:rFonts w:ascii="Arial" w:eastAsia="Calibri" w:hAnsi="Arial" w:cs="Arial"/>
          <w:sz w:val="22"/>
          <w:bdr w:val="none" w:sz="0" w:space="0" w:color="auto" w:frame="1"/>
          <w:lang w:eastAsia="es-CO"/>
        </w:rPr>
        <w:t>Los pliegos tipo tiene su origen</w:t>
      </w:r>
      <w:r w:rsidR="008B7E23" w:rsidRPr="00D67C1A">
        <w:rPr>
          <w:rFonts w:ascii="Arial" w:eastAsia="Calibri" w:hAnsi="Arial" w:cs="Arial"/>
          <w:sz w:val="22"/>
          <w:bdr w:val="none" w:sz="0" w:space="0" w:color="auto" w:frame="1"/>
          <w:lang w:eastAsia="es-CO"/>
        </w:rPr>
        <w:t xml:space="preserve"> en el 2007</w:t>
      </w:r>
      <w:r w:rsidR="00A267B5" w:rsidRPr="00D67C1A">
        <w:rPr>
          <w:rFonts w:ascii="Arial" w:eastAsia="Calibri" w:hAnsi="Arial" w:cs="Arial"/>
          <w:sz w:val="22"/>
          <w:bdr w:val="none" w:sz="0" w:space="0" w:color="auto" w:frame="1"/>
          <w:lang w:eastAsia="es-CO"/>
        </w:rPr>
        <w:t>,</w:t>
      </w:r>
      <w:r w:rsidR="008B7E23" w:rsidRPr="00D67C1A">
        <w:rPr>
          <w:rFonts w:ascii="Arial" w:eastAsia="Calibri" w:hAnsi="Arial" w:cs="Arial"/>
          <w:sz w:val="22"/>
          <w:bdr w:val="none" w:sz="0" w:space="0" w:color="auto" w:frame="1"/>
          <w:lang w:eastAsia="es-CO"/>
        </w:rPr>
        <w:t xml:space="preserve"> cuando el legislador facultó al Gobierno Nacional para adoptarlos en la compra o suministro de bienes de características técnicas uniformes</w:t>
      </w:r>
      <w:r w:rsidR="008B7E23" w:rsidRPr="00D67C1A">
        <w:rPr>
          <w:rFonts w:ascii="Arial" w:eastAsia="Calibri" w:hAnsi="Arial" w:cs="Arial"/>
          <w:sz w:val="22"/>
          <w:bdr w:val="none" w:sz="0" w:space="0" w:color="auto" w:frame="1"/>
          <w:vertAlign w:val="superscript"/>
          <w:lang w:eastAsia="es-CO"/>
        </w:rPr>
        <w:footnoteReference w:id="3"/>
      </w:r>
      <w:r w:rsidR="008B7E23" w:rsidRPr="00D67C1A">
        <w:rPr>
          <w:rFonts w:ascii="Arial" w:eastAsia="Calibri" w:hAnsi="Arial" w:cs="Arial"/>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008B7E23" w:rsidRPr="00D67C1A">
        <w:rPr>
          <w:rFonts w:ascii="Arial" w:eastAsia="Calibri" w:hAnsi="Arial" w:cs="Arial"/>
          <w:sz w:val="22"/>
          <w:bdr w:val="none" w:sz="0" w:space="0" w:color="auto" w:frame="1"/>
          <w:vertAlign w:val="superscript"/>
          <w:lang w:eastAsia="es-CO"/>
        </w:rPr>
        <w:footnoteReference w:id="4"/>
      </w:r>
      <w:r w:rsidR="008B7E23" w:rsidRPr="00D67C1A">
        <w:rPr>
          <w:rFonts w:ascii="Arial" w:eastAsia="Calibri" w:hAnsi="Arial" w:cs="Arial"/>
          <w:sz w:val="22"/>
          <w:bdr w:val="none" w:sz="0" w:space="0" w:color="auto" w:frame="1"/>
          <w:lang w:eastAsia="es-CO"/>
        </w:rPr>
        <w:t>. </w:t>
      </w:r>
    </w:p>
    <w:p w14:paraId="468C5841" w14:textId="7DFB2DF6" w:rsidR="008B7E23" w:rsidRPr="00D67C1A" w:rsidRDefault="008B7E23" w:rsidP="00767D99">
      <w:pPr>
        <w:shd w:val="clear" w:color="auto" w:fill="FFFFFF"/>
        <w:spacing w:line="276" w:lineRule="auto"/>
        <w:ind w:firstLine="708"/>
        <w:jc w:val="both"/>
        <w:rPr>
          <w:rFonts w:ascii="Arial" w:eastAsia="Calibri" w:hAnsi="Arial" w:cs="Arial"/>
          <w:sz w:val="22"/>
          <w:bdr w:val="none" w:sz="0" w:space="0" w:color="auto" w:frame="1"/>
          <w:lang w:eastAsia="es-CO"/>
        </w:rPr>
      </w:pPr>
      <w:r w:rsidRPr="00D67C1A">
        <w:rPr>
          <w:rFonts w:ascii="Arial" w:eastAsia="Calibri" w:hAnsi="Arial" w:cs="Arial"/>
          <w:sz w:val="22"/>
          <w:bdr w:val="none" w:sz="0" w:space="0" w:color="auto" w:frame="1"/>
          <w:lang w:eastAsia="es-CO"/>
        </w:rPr>
        <w:t xml:space="preserve">La intención era agilizar y </w:t>
      </w:r>
      <w:r w:rsidR="00E36F58" w:rsidRPr="00D67C1A">
        <w:rPr>
          <w:rFonts w:ascii="Arial" w:eastAsia="Calibri" w:hAnsi="Arial" w:cs="Arial"/>
          <w:sz w:val="22"/>
          <w:bdr w:val="none" w:sz="0" w:space="0" w:color="auto" w:frame="1"/>
          <w:lang w:eastAsia="es-CO"/>
        </w:rPr>
        <w:t xml:space="preserve">generar la </w:t>
      </w:r>
      <w:r w:rsidRPr="00D67C1A">
        <w:rPr>
          <w:rFonts w:ascii="Arial" w:eastAsia="Calibri" w:hAnsi="Arial" w:cs="Arial"/>
          <w:sz w:val="22"/>
          <w:bdr w:val="none" w:sz="0" w:space="0" w:color="auto" w:frame="1"/>
          <w:lang w:eastAsia="es-CO"/>
        </w:rPr>
        <w:t>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D67C1A">
        <w:rPr>
          <w:rFonts w:ascii="Arial" w:eastAsia="Calibri" w:hAnsi="Arial" w:cs="Arial"/>
          <w:sz w:val="22"/>
          <w:bdr w:val="none" w:sz="0" w:space="0" w:color="auto" w:frame="1"/>
          <w:vertAlign w:val="superscript"/>
          <w:lang w:eastAsia="es-CO"/>
        </w:rPr>
        <w:footnoteReference w:id="5"/>
      </w:r>
      <w:r w:rsidRPr="00D67C1A">
        <w:rPr>
          <w:rFonts w:ascii="Arial" w:eastAsia="Calibri" w:hAnsi="Arial" w:cs="Arial"/>
          <w:sz w:val="22"/>
          <w:bdr w:val="none" w:sz="0" w:space="0" w:color="auto" w:frame="1"/>
          <w:lang w:eastAsia="es-CO"/>
        </w:rPr>
        <w:t>. Sin embargo, en el texto aprobado, los pliegos tipo se limitaron a la adquisición o suministro de bienes de características técnicas uniformes</w:t>
      </w:r>
      <w:r w:rsidRPr="00D67C1A">
        <w:rPr>
          <w:rFonts w:ascii="Arial" w:eastAsia="Calibri" w:hAnsi="Arial" w:cs="Arial"/>
          <w:sz w:val="22"/>
          <w:bdr w:val="none" w:sz="0" w:space="0" w:color="auto" w:frame="1"/>
          <w:vertAlign w:val="superscript"/>
          <w:lang w:eastAsia="es-CO"/>
        </w:rPr>
        <w:footnoteReference w:id="6"/>
      </w:r>
      <w:r w:rsidRPr="00D67C1A">
        <w:rPr>
          <w:rFonts w:ascii="Arial" w:eastAsia="Calibri" w:hAnsi="Arial" w:cs="Arial"/>
          <w:sz w:val="22"/>
          <w:bdr w:val="none" w:sz="0" w:space="0" w:color="auto" w:frame="1"/>
          <w:lang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1122862A" w14:textId="77777777" w:rsidR="008B7E23" w:rsidRPr="00D67C1A" w:rsidRDefault="008B7E23" w:rsidP="00767D99">
      <w:pPr>
        <w:shd w:val="clear" w:color="auto" w:fill="FFFFFF"/>
        <w:spacing w:line="276" w:lineRule="auto"/>
        <w:ind w:firstLine="709"/>
        <w:jc w:val="both"/>
        <w:rPr>
          <w:rFonts w:ascii="Arial" w:eastAsia="Calibri" w:hAnsi="Arial" w:cs="Arial"/>
          <w:sz w:val="22"/>
          <w:lang w:eastAsia="es-CO"/>
        </w:rPr>
      </w:pPr>
    </w:p>
    <w:p w14:paraId="7481B6D9" w14:textId="1A317997" w:rsidR="008B7E23" w:rsidRPr="00D67C1A" w:rsidRDefault="00CC2A26" w:rsidP="00767D99">
      <w:pPr>
        <w:shd w:val="clear" w:color="auto" w:fill="FFFFFF"/>
        <w:ind w:left="709" w:right="709"/>
        <w:jc w:val="both"/>
        <w:rPr>
          <w:rFonts w:ascii="Arial" w:eastAsia="Calibri" w:hAnsi="Arial" w:cs="Arial"/>
          <w:sz w:val="21"/>
          <w:szCs w:val="21"/>
          <w:bdr w:val="none" w:sz="0" w:space="0" w:color="auto" w:frame="1"/>
          <w:lang w:eastAsia="es-CO"/>
        </w:rPr>
      </w:pPr>
      <w:r w:rsidRPr="00D67C1A">
        <w:rPr>
          <w:rFonts w:ascii="Arial" w:hAnsi="Arial" w:cs="Arial"/>
          <w:color w:val="000000" w:themeColor="text1"/>
          <w:sz w:val="21"/>
          <w:szCs w:val="21"/>
          <w:lang w:val="es-ES_tradnl"/>
        </w:rPr>
        <w:t>«</w:t>
      </w:r>
      <w:r w:rsidR="008B7E23" w:rsidRPr="00D67C1A">
        <w:rPr>
          <w:rFonts w:ascii="Arial" w:eastAsia="Calibri" w:hAnsi="Arial" w:cs="Arial"/>
          <w:sz w:val="21"/>
          <w:szCs w:val="21"/>
          <w:bdr w:val="none" w:sz="0" w:space="0" w:color="auto" w:frame="1"/>
          <w:lang w:eastAsia="es-CO"/>
        </w:rPr>
        <w:t xml:space="preserve">Parágrafo 7°. El Gobierno nacional adoptará documentos tipo para los pliegos de condiciones de los procesos de selección de obras públicas, interventoría para las obras públicas, interventoría para consultoría de estudios y diseños </w:t>
      </w:r>
      <w:r w:rsidR="008B7E23" w:rsidRPr="00D67C1A">
        <w:rPr>
          <w:rFonts w:ascii="Arial" w:eastAsia="Calibri" w:hAnsi="Arial" w:cs="Arial"/>
          <w:sz w:val="21"/>
          <w:szCs w:val="21"/>
          <w:bdr w:val="none" w:sz="0" w:space="0" w:color="auto" w:frame="1"/>
          <w:lang w:eastAsia="es-CO"/>
        </w:rPr>
        <w:lastRenderedPageBreak/>
        <w:t>para obras públicas, consultoría en ingeniería para obras, los cuales deberán ser utilizados por todas las entidades sometidas al Estatuto General de la Contratación de la Administración Pública en los procesos de selección que adelanten. </w:t>
      </w:r>
      <w:r w:rsidR="008B7E23" w:rsidRPr="00D67C1A">
        <w:rPr>
          <w:rFonts w:ascii="Arial" w:eastAsia="Calibri" w:hAnsi="Arial" w:cs="Arial"/>
          <w:i/>
          <w:iCs/>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008B7E23" w:rsidRPr="00D67C1A">
        <w:rPr>
          <w:rFonts w:ascii="Arial" w:eastAsia="Calibri" w:hAnsi="Arial" w:cs="Arial"/>
          <w:sz w:val="21"/>
          <w:szCs w:val="21"/>
          <w:bdr w:val="none" w:sz="0" w:space="0" w:color="auto" w:frame="1"/>
          <w:lang w:eastAsia="es-CO"/>
        </w:rPr>
        <w:t> […] </w:t>
      </w:r>
      <w:r w:rsidR="008B7E23" w:rsidRPr="00D67C1A">
        <w:rPr>
          <w:rFonts w:ascii="Arial" w:eastAsia="Calibri" w:hAnsi="Arial" w:cs="Arial"/>
          <w:i/>
          <w:iCs/>
          <w:sz w:val="21"/>
          <w:szCs w:val="21"/>
          <w:bdr w:val="none" w:sz="0" w:space="0" w:color="auto" w:frame="1"/>
          <w:lang w:eastAsia="es-CO"/>
        </w:rPr>
        <w:t>teniendo en cuenta la naturaleza y cuantía de los contratos</w:t>
      </w:r>
      <w:r w:rsidR="008B7E23" w:rsidRPr="00D67C1A">
        <w:rPr>
          <w:rFonts w:ascii="Arial" w:eastAsia="Calibri" w:hAnsi="Arial" w:cs="Arial"/>
          <w:sz w:val="21"/>
          <w:szCs w:val="21"/>
          <w:bdr w:val="none" w:sz="0" w:space="0" w:color="auto" w:frame="1"/>
          <w:lang w:eastAsia="es-CO"/>
        </w:rPr>
        <w:t> […]</w:t>
      </w:r>
      <w:r w:rsidRPr="00D67C1A">
        <w:rPr>
          <w:rFonts w:ascii="Arial" w:hAnsi="Arial" w:cs="Arial"/>
          <w:color w:val="000000" w:themeColor="text1"/>
          <w:sz w:val="21"/>
          <w:szCs w:val="21"/>
          <w:lang w:val="es-ES_tradnl"/>
        </w:rPr>
        <w:t>»</w:t>
      </w:r>
      <w:r w:rsidR="008B7E23" w:rsidRPr="00D67C1A">
        <w:rPr>
          <w:rFonts w:ascii="Arial" w:eastAsia="Calibri" w:hAnsi="Arial" w:cs="Arial"/>
          <w:sz w:val="21"/>
          <w:szCs w:val="21"/>
          <w:bdr w:val="none" w:sz="0" w:space="0" w:color="auto" w:frame="1"/>
          <w:lang w:eastAsia="es-CO"/>
        </w:rPr>
        <w:t>. (Énfasis fuera de texto) </w:t>
      </w:r>
    </w:p>
    <w:p w14:paraId="2F508883" w14:textId="77777777" w:rsidR="008B7E23" w:rsidRPr="00D67C1A" w:rsidRDefault="008B7E23" w:rsidP="00767D99">
      <w:pPr>
        <w:shd w:val="clear" w:color="auto" w:fill="FFFFFF"/>
        <w:spacing w:line="276" w:lineRule="auto"/>
        <w:ind w:left="709" w:right="709"/>
        <w:jc w:val="both"/>
        <w:rPr>
          <w:rFonts w:ascii="Arial" w:eastAsia="Calibri" w:hAnsi="Arial" w:cs="Arial"/>
          <w:sz w:val="22"/>
          <w:lang w:eastAsia="es-CO"/>
        </w:rPr>
      </w:pPr>
    </w:p>
    <w:p w14:paraId="3F91CFCC" w14:textId="1E231EBB" w:rsidR="008B7E23" w:rsidRPr="00D67C1A" w:rsidRDefault="008B7E23" w:rsidP="00767D99">
      <w:pPr>
        <w:shd w:val="clear" w:color="auto" w:fill="FFFFFF"/>
        <w:spacing w:after="120" w:line="276" w:lineRule="auto"/>
        <w:ind w:firstLine="708"/>
        <w:jc w:val="both"/>
        <w:rPr>
          <w:rFonts w:ascii="Arial" w:eastAsia="Calibri" w:hAnsi="Arial" w:cs="Arial"/>
          <w:sz w:val="22"/>
          <w:bdr w:val="none" w:sz="0" w:space="0" w:color="auto" w:frame="1"/>
          <w:lang w:eastAsia="es-CO"/>
        </w:rPr>
      </w:pPr>
      <w:r w:rsidRPr="00D67C1A">
        <w:rPr>
          <w:rFonts w:ascii="Arial" w:eastAsia="Calibri" w:hAnsi="Arial" w:cs="Arial"/>
          <w:sz w:val="22"/>
          <w:bdr w:val="none" w:sz="0" w:space="0" w:color="auto" w:frame="1"/>
          <w:lang w:eastAsia="es-CO"/>
        </w:rPr>
        <w:t>Sin embargo, el 2</w:t>
      </w:r>
      <w:r w:rsidR="00BB78E0" w:rsidRPr="00D67C1A">
        <w:rPr>
          <w:rFonts w:ascii="Arial" w:eastAsia="Calibri" w:hAnsi="Arial" w:cs="Arial"/>
          <w:sz w:val="22"/>
          <w:bdr w:val="none" w:sz="0" w:space="0" w:color="auto" w:frame="1"/>
          <w:lang w:eastAsia="es-CO"/>
        </w:rPr>
        <w:t>2 de julio de 2020 el Gobierno n</w:t>
      </w:r>
      <w:r w:rsidRPr="00D67C1A">
        <w:rPr>
          <w:rFonts w:ascii="Arial" w:eastAsia="Calibri" w:hAnsi="Arial" w:cs="Arial"/>
          <w:sz w:val="22"/>
          <w:bdr w:val="none" w:sz="0" w:space="0" w:color="auto" w:frame="1"/>
          <w:lang w:eastAsia="es-CO"/>
        </w:rPr>
        <w:t>acional sancionó la Ley 2022, que rige a partir de su publicación y cuyo artículo 1 modifica el artículo 4 de la Ley 1882 de 2018 en relación con los siguientes aspectos: i) el sujeto encargado de la adopción de los documentos tipo, ya que antes se</w:t>
      </w:r>
      <w:r w:rsidR="00523A3E" w:rsidRPr="00D67C1A">
        <w:rPr>
          <w:rFonts w:ascii="Arial" w:eastAsia="Calibri" w:hAnsi="Arial" w:cs="Arial"/>
          <w:sz w:val="22"/>
          <w:bdr w:val="none" w:sz="0" w:space="0" w:color="auto" w:frame="1"/>
          <w:lang w:eastAsia="es-CO"/>
        </w:rPr>
        <w:t xml:space="preserve"> señalaba al Gobierno n</w:t>
      </w:r>
      <w:r w:rsidRPr="00D67C1A">
        <w:rPr>
          <w:rFonts w:ascii="Arial" w:eastAsia="Calibri" w:hAnsi="Arial" w:cs="Arial"/>
          <w:sz w:val="22"/>
          <w:bdr w:val="none" w:sz="0" w:space="0" w:color="auto" w:frame="1"/>
          <w:lang w:eastAsia="es-CO"/>
        </w:rPr>
        <w:t>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D67C1A">
        <w:rPr>
          <w:rFonts w:ascii="Arial" w:eastAsia="Calibri" w:hAnsi="Arial" w:cs="Arial"/>
          <w:sz w:val="22"/>
          <w:bdr w:val="none" w:sz="0" w:space="0" w:color="auto" w:frame="1"/>
          <w:vertAlign w:val="superscript"/>
          <w:lang w:eastAsia="es-CO"/>
        </w:rPr>
        <w:footnoteReference w:id="7"/>
      </w:r>
      <w:r w:rsidRPr="00D67C1A">
        <w:rPr>
          <w:rFonts w:ascii="Arial" w:eastAsia="Calibri" w:hAnsi="Arial" w:cs="Arial"/>
          <w:sz w:val="22"/>
          <w:bdr w:val="none" w:sz="0" w:space="0" w:color="auto" w:frame="1"/>
          <w:lang w:eastAsia="es-CO"/>
        </w:rPr>
        <w:t>.  </w:t>
      </w:r>
    </w:p>
    <w:p w14:paraId="57DDA684" w14:textId="31365F7B" w:rsidR="008B7E23" w:rsidRPr="00D67C1A" w:rsidRDefault="008B7E23"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D67C1A">
        <w:rPr>
          <w:rFonts w:ascii="Arial" w:eastAsia="Calibri" w:hAnsi="Arial" w:cs="Arial"/>
          <w:sz w:val="22"/>
          <w:bdr w:val="none" w:sz="0" w:space="0" w:color="auto" w:frame="1"/>
          <w:lang w:eastAsia="es-CO"/>
        </w:rPr>
        <w:lastRenderedPageBreak/>
        <w:t>Con fundamento en las disposiciones anteriores</w:t>
      </w:r>
      <w:r w:rsidRPr="00D67C1A">
        <w:rPr>
          <w:rFonts w:ascii="Arial" w:eastAsia="Times New Roman" w:hAnsi="Arial" w:cs="Arial"/>
          <w:sz w:val="22"/>
          <w:bdr w:val="none" w:sz="0" w:space="0" w:color="auto" w:frame="1"/>
          <w:lang w:val="es-ES_tradnl" w:eastAsia="es-CO"/>
        </w:rPr>
        <w:t>, la Agencia Nacional de Contratación Pública – Colombia Compra Eficiente expidió las Resoluciones No. 240 y 241 del 27 de noviembre 2020, mediante las cuales se adoptan los documentos tipo de licitación de obra pública de infraestructura de transporte –versión 3</w:t>
      </w:r>
      <w:r w:rsidR="00F317BC" w:rsidRPr="00D67C1A">
        <w:rPr>
          <w:rFonts w:ascii="Arial" w:eastAsia="Times New Roman" w:hAnsi="Arial" w:cs="Arial"/>
          <w:sz w:val="22"/>
          <w:bdr w:val="none" w:sz="0" w:space="0" w:color="auto" w:frame="1"/>
          <w:lang w:val="es-ES_tradnl" w:eastAsia="es-CO"/>
        </w:rPr>
        <w:t>–</w:t>
      </w:r>
      <w:r w:rsidRPr="00D67C1A">
        <w:rPr>
          <w:rFonts w:ascii="Arial" w:eastAsia="Times New Roman" w:hAnsi="Arial" w:cs="Arial"/>
          <w:sz w:val="22"/>
          <w:bdr w:val="none" w:sz="0" w:space="0" w:color="auto" w:frame="1"/>
          <w:lang w:val="es-ES_tradnl" w:eastAsia="es-CO"/>
        </w:rPr>
        <w:t xml:space="preserve"> y de selección abreviada de menor cuantía de obra de infraestructura de transporte –versión 2</w:t>
      </w:r>
      <w:r w:rsidR="00F317BC" w:rsidRPr="00D67C1A">
        <w:rPr>
          <w:rFonts w:ascii="Arial" w:eastAsia="Times New Roman" w:hAnsi="Arial" w:cs="Arial"/>
          <w:sz w:val="22"/>
          <w:bdr w:val="none" w:sz="0" w:space="0" w:color="auto" w:frame="1"/>
          <w:lang w:val="es-ES_tradnl" w:eastAsia="es-CO"/>
        </w:rPr>
        <w:softHyphen/>
      </w:r>
      <w:r w:rsidR="00EB351D" w:rsidRPr="00D67C1A">
        <w:rPr>
          <w:rFonts w:ascii="Arial" w:eastAsia="Times New Roman" w:hAnsi="Arial" w:cs="Arial"/>
          <w:sz w:val="22"/>
          <w:bdr w:val="none" w:sz="0" w:space="0" w:color="auto" w:frame="1"/>
          <w:lang w:val="es-ES_tradnl" w:eastAsia="es-CO"/>
        </w:rPr>
        <w:t>–</w:t>
      </w:r>
      <w:r w:rsidRPr="00D67C1A">
        <w:rPr>
          <w:rFonts w:ascii="Arial" w:eastAsia="Times New Roman" w:hAnsi="Arial" w:cs="Arial"/>
          <w:sz w:val="22"/>
          <w:bdr w:val="none" w:sz="0" w:space="0" w:color="auto" w:frame="1"/>
          <w:lang w:val="es-ES_tradnl" w:eastAsia="es-CO"/>
        </w:rPr>
        <w:t xml:space="preserve">. Estas versiones de los documentos tipo son obligatorias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r w:rsidR="002F436E" w:rsidRPr="00D67C1A">
        <w:rPr>
          <w:rFonts w:ascii="Arial" w:eastAsia="Times New Roman" w:hAnsi="Arial" w:cs="Arial"/>
          <w:sz w:val="22"/>
          <w:bdr w:val="none" w:sz="0" w:space="0" w:color="auto" w:frame="1"/>
          <w:lang w:val="es-ES_tradnl" w:eastAsia="es-CO"/>
        </w:rPr>
        <w:t xml:space="preserve">De igual manera, </w:t>
      </w:r>
      <w:r w:rsidR="00992278" w:rsidRPr="00D67C1A">
        <w:rPr>
          <w:rFonts w:ascii="Arial" w:eastAsia="Times New Roman" w:hAnsi="Arial" w:cs="Arial"/>
          <w:sz w:val="22"/>
          <w:bdr w:val="none" w:sz="0" w:space="0" w:color="auto" w:frame="1"/>
          <w:lang w:val="es-ES_tradnl" w:eastAsia="es-CO"/>
        </w:rPr>
        <w:t xml:space="preserve">se adoptaron </w:t>
      </w:r>
      <w:r w:rsidR="002F436E" w:rsidRPr="00D67C1A">
        <w:rPr>
          <w:rFonts w:ascii="Arial" w:eastAsia="Times New Roman" w:hAnsi="Arial" w:cs="Arial"/>
          <w:sz w:val="22"/>
          <w:bdr w:val="none" w:sz="0" w:space="0" w:color="auto" w:frame="1"/>
          <w:lang w:val="es-ES_tradnl" w:eastAsia="es-CO"/>
        </w:rPr>
        <w:t>los documentos tipo de mínima cuantía de obra pública de infraestructura de transporte</w:t>
      </w:r>
      <w:r w:rsidR="00992278" w:rsidRPr="00D67C1A">
        <w:rPr>
          <w:rFonts w:ascii="Arial" w:eastAsia="Times New Roman" w:hAnsi="Arial" w:cs="Arial"/>
          <w:sz w:val="22"/>
          <w:bdr w:val="none" w:sz="0" w:space="0" w:color="auto" w:frame="1"/>
          <w:lang w:val="es-ES_tradnl" w:eastAsia="es-CO"/>
        </w:rPr>
        <w:t xml:space="preserve"> mediante la</w:t>
      </w:r>
      <w:r w:rsidR="002F436E" w:rsidRPr="00D67C1A">
        <w:rPr>
          <w:rFonts w:ascii="Arial" w:eastAsia="Times New Roman" w:hAnsi="Arial" w:cs="Arial"/>
          <w:sz w:val="22"/>
          <w:bdr w:val="none" w:sz="0" w:space="0" w:color="auto" w:frame="1"/>
          <w:lang w:val="es-ES_tradnl" w:eastAsia="es-CO"/>
        </w:rPr>
        <w:t xml:space="preserve"> Resolución 094 </w:t>
      </w:r>
      <w:r w:rsidR="00992278" w:rsidRPr="00D67C1A">
        <w:rPr>
          <w:rFonts w:ascii="Arial" w:eastAsia="Times New Roman" w:hAnsi="Arial" w:cs="Arial"/>
          <w:sz w:val="22"/>
          <w:bdr w:val="none" w:sz="0" w:space="0" w:color="auto" w:frame="1"/>
          <w:lang w:val="es-ES_tradnl" w:eastAsia="es-CO"/>
        </w:rPr>
        <w:t xml:space="preserve">del 21 de mayo </w:t>
      </w:r>
      <w:r w:rsidR="002F436E" w:rsidRPr="00D67C1A">
        <w:rPr>
          <w:rFonts w:ascii="Arial" w:eastAsia="Times New Roman" w:hAnsi="Arial" w:cs="Arial"/>
          <w:sz w:val="22"/>
          <w:bdr w:val="none" w:sz="0" w:space="0" w:color="auto" w:frame="1"/>
          <w:lang w:val="es-ES_tradnl" w:eastAsia="es-CO"/>
        </w:rPr>
        <w:t>de 2020</w:t>
      </w:r>
      <w:r w:rsidR="00992278" w:rsidRPr="00D67C1A">
        <w:rPr>
          <w:rStyle w:val="Refdenotaalpie"/>
          <w:rFonts w:ascii="Arial" w:eastAsia="Calibri" w:hAnsi="Arial" w:cs="Arial"/>
        </w:rPr>
        <w:footnoteReference w:id="8"/>
      </w:r>
      <w:r w:rsidR="002F436E" w:rsidRPr="00D67C1A">
        <w:rPr>
          <w:rFonts w:ascii="Arial" w:eastAsia="Times New Roman" w:hAnsi="Arial" w:cs="Arial"/>
          <w:sz w:val="22"/>
          <w:bdr w:val="none" w:sz="0" w:space="0" w:color="auto" w:frame="1"/>
          <w:lang w:val="es-ES_tradnl" w:eastAsia="es-CO"/>
        </w:rPr>
        <w:t>.</w:t>
      </w:r>
    </w:p>
    <w:p w14:paraId="6D49F4E3" w14:textId="5B83FB65" w:rsidR="008B7E23" w:rsidRPr="00D67C1A" w:rsidRDefault="008B7E23"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D67C1A">
        <w:rPr>
          <w:rFonts w:ascii="Arial" w:eastAsia="Times New Roman" w:hAnsi="Arial" w:cs="Arial"/>
          <w:sz w:val="22"/>
          <w:bdr w:val="none" w:sz="0" w:space="0" w:color="auto" w:frame="1"/>
          <w:lang w:val="es-ES_tradnl" w:eastAsia="es-CO"/>
        </w:rPr>
        <w:t>Además, tenie</w:t>
      </w:r>
      <w:r w:rsidR="00523A3E" w:rsidRPr="00D67C1A">
        <w:rPr>
          <w:rFonts w:ascii="Arial" w:eastAsia="Times New Roman" w:hAnsi="Arial" w:cs="Arial"/>
          <w:sz w:val="22"/>
          <w:bdr w:val="none" w:sz="0" w:space="0" w:color="auto" w:frame="1"/>
          <w:lang w:val="es-ES_tradnl" w:eastAsia="es-CO"/>
        </w:rPr>
        <w:t>ndo en cuenta que el Gobierno n</w:t>
      </w:r>
      <w:r w:rsidRPr="00D67C1A">
        <w:rPr>
          <w:rFonts w:ascii="Arial" w:eastAsia="Times New Roman" w:hAnsi="Arial" w:cs="Arial"/>
          <w:sz w:val="22"/>
          <w:bdr w:val="none" w:sz="0" w:space="0" w:color="auto" w:frame="1"/>
          <w:lang w:val="es-ES_tradnl" w:eastAsia="es-CO"/>
        </w:rPr>
        <w:t xml:space="preserve">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 </w:t>
      </w:r>
    </w:p>
    <w:p w14:paraId="715028AE" w14:textId="747508F1" w:rsidR="008E4B4C" w:rsidRPr="00D67C1A" w:rsidRDefault="00C52026"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D67C1A">
        <w:rPr>
          <w:rFonts w:ascii="Arial" w:hAnsi="Arial" w:cs="Arial"/>
          <w:color w:val="000000" w:themeColor="text1"/>
          <w:spacing w:val="2"/>
          <w:sz w:val="22"/>
          <w:lang w:eastAsia="es-CO"/>
        </w:rPr>
        <w:t xml:space="preserve">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En tal sentido, teniendo en cuenta que esta última modificación no </w:t>
      </w:r>
      <w:r w:rsidRPr="00D67C1A">
        <w:rPr>
          <w:rFonts w:ascii="Arial" w:hAnsi="Arial" w:cs="Arial"/>
          <w:color w:val="000000" w:themeColor="text1"/>
          <w:spacing w:val="2"/>
          <w:sz w:val="22"/>
          <w:lang w:eastAsia="es-CO"/>
        </w:rPr>
        <w:lastRenderedPageBreak/>
        <w:t>está produciendo efectos en la actualidad, las consideraciones se realizarán teniendo en cuenta el contenido de los documentos vigentes.</w:t>
      </w:r>
    </w:p>
    <w:p w14:paraId="494487A0" w14:textId="502BB278" w:rsidR="008B7E23" w:rsidRPr="00D67C1A" w:rsidRDefault="008B7E23" w:rsidP="00767D99">
      <w:pPr>
        <w:spacing w:line="276" w:lineRule="auto"/>
        <w:ind w:firstLine="709"/>
        <w:jc w:val="both"/>
        <w:rPr>
          <w:rFonts w:ascii="Arial" w:eastAsia="Calibri" w:hAnsi="Arial" w:cs="Arial"/>
          <w:sz w:val="22"/>
          <w:lang w:val="es-ES_tradnl"/>
        </w:rPr>
      </w:pPr>
      <w:r w:rsidRPr="00D67C1A">
        <w:rPr>
          <w:rFonts w:ascii="Arial" w:eastAsia="Calibri" w:hAnsi="Arial" w:cs="Arial"/>
          <w:sz w:val="22"/>
          <w:lang w:val="es-ES_tradnl" w:eastAsia="es-ES"/>
        </w:rPr>
        <w:t>Cabe aclarar que la Agencia Nacional de Contratación Pública sigue avanzando en la expedición de nuevos documentos tipo. Sin embargo, debe tenerse en cuenta que estos exigen un minucioso desarrollo</w:t>
      </w:r>
      <w:r w:rsidR="00395A3E" w:rsidRPr="00D67C1A">
        <w:rPr>
          <w:rFonts w:ascii="Arial" w:eastAsia="Calibri" w:hAnsi="Arial" w:cs="Arial"/>
          <w:sz w:val="22"/>
          <w:lang w:val="es-ES_tradnl" w:eastAsia="es-ES"/>
        </w:rPr>
        <w:t>,</w:t>
      </w:r>
      <w:r w:rsidRPr="00D67C1A">
        <w:rPr>
          <w:rFonts w:ascii="Arial" w:eastAsia="Calibri" w:hAnsi="Arial" w:cs="Arial"/>
          <w:sz w:val="22"/>
          <w:lang w:val="es-ES_tradnl" w:eastAsia="es-ES"/>
        </w:rPr>
        <w:t xml:space="preserve"> en el cual se consideran las observaciones de las entidades técnicas y especializadas, con la finalidad de expedir documentos tipo que contengan las mejores prácticas contractuales y que procuren el adecuado desarrollo de los principios que rigen la contratación pública.</w:t>
      </w:r>
    </w:p>
    <w:p w14:paraId="148F36D2" w14:textId="6627C365" w:rsidR="0069660F" w:rsidRPr="00D67C1A" w:rsidRDefault="0069660F" w:rsidP="00767D99">
      <w:pPr>
        <w:spacing w:line="276" w:lineRule="auto"/>
        <w:jc w:val="both"/>
        <w:rPr>
          <w:rFonts w:ascii="Arial" w:hAnsi="Arial" w:cs="Arial"/>
          <w:sz w:val="22"/>
          <w:bdr w:val="none" w:sz="0" w:space="0" w:color="auto" w:frame="1"/>
          <w:lang w:eastAsia="es-CO"/>
        </w:rPr>
      </w:pPr>
    </w:p>
    <w:p w14:paraId="25E4C2B0" w14:textId="42EC11EB" w:rsidR="00003409" w:rsidRPr="00D67C1A" w:rsidRDefault="008A4852" w:rsidP="00767D99">
      <w:pPr>
        <w:pStyle w:val="Normal11pt"/>
        <w:spacing w:line="276" w:lineRule="auto"/>
        <w:ind w:left="0"/>
        <w:rPr>
          <w:b/>
          <w:bCs/>
          <w:lang w:eastAsia="es-CO"/>
        </w:rPr>
      </w:pPr>
      <w:r w:rsidRPr="00D67C1A">
        <w:rPr>
          <w:b/>
          <w:bCs/>
          <w:color w:val="auto"/>
          <w:bdr w:val="none" w:sz="0" w:space="0" w:color="auto" w:frame="1"/>
          <w:lang w:eastAsia="es-CO"/>
        </w:rPr>
        <w:t>2.2.</w:t>
      </w:r>
      <w:r w:rsidR="00003409" w:rsidRPr="00D67C1A">
        <w:rPr>
          <w:b/>
          <w:bCs/>
          <w:lang w:eastAsia="es-CO"/>
        </w:rPr>
        <w:t xml:space="preserve"> </w:t>
      </w:r>
      <w:r w:rsidR="005B6435" w:rsidRPr="00D67C1A">
        <w:rPr>
          <w:b/>
          <w:bCs/>
          <w:lang w:eastAsia="es-CO"/>
        </w:rPr>
        <w:t>R</w:t>
      </w:r>
      <w:r w:rsidR="00003409" w:rsidRPr="00D67C1A">
        <w:rPr>
          <w:b/>
          <w:bCs/>
          <w:lang w:eastAsia="es-CO"/>
        </w:rPr>
        <w:t xml:space="preserve">egla de inalterabilidad de los documentos tipo y sus excepciones </w:t>
      </w:r>
    </w:p>
    <w:p w14:paraId="4FB5937E" w14:textId="77777777" w:rsidR="00E0224A" w:rsidRPr="00D67C1A" w:rsidRDefault="00E0224A" w:rsidP="00767D99">
      <w:pPr>
        <w:spacing w:line="276" w:lineRule="auto"/>
        <w:jc w:val="both"/>
        <w:rPr>
          <w:rFonts w:ascii="Arial" w:eastAsia="Calibri" w:hAnsi="Arial" w:cs="Arial"/>
          <w:sz w:val="22"/>
          <w:lang w:val="es-ES_tradnl"/>
        </w:rPr>
      </w:pPr>
    </w:p>
    <w:p w14:paraId="72DCB9E2" w14:textId="66D68B94" w:rsidR="00003409" w:rsidRPr="00D67C1A" w:rsidRDefault="00003409" w:rsidP="00767D99">
      <w:pPr>
        <w:spacing w:after="120" w:line="276" w:lineRule="auto"/>
        <w:jc w:val="both"/>
        <w:rPr>
          <w:rFonts w:ascii="Arial" w:eastAsia="Calibri" w:hAnsi="Arial" w:cs="Arial"/>
          <w:sz w:val="22"/>
          <w:lang w:val="es-ES_tradnl"/>
        </w:rPr>
      </w:pPr>
      <w:r w:rsidRPr="00D67C1A">
        <w:rPr>
          <w:rFonts w:ascii="Arial" w:eastAsia="Calibri" w:hAnsi="Arial" w:cs="Arial"/>
          <w:sz w:val="22"/>
          <w:lang w:val="es-ES_tradnl"/>
        </w:rPr>
        <w:t>Todas las resoluciones</w:t>
      </w:r>
      <w:r w:rsidRPr="00D67C1A">
        <w:rPr>
          <w:rFonts w:ascii="Arial" w:eastAsia="Calibri" w:hAnsi="Arial" w:cs="Arial"/>
          <w:sz w:val="22"/>
          <w:vertAlign w:val="superscript"/>
          <w:lang w:val="es-ES_tradnl"/>
        </w:rPr>
        <w:footnoteReference w:id="9"/>
      </w:r>
      <w:r w:rsidRPr="00D67C1A">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D67C1A">
        <w:rPr>
          <w:rFonts w:ascii="Arial" w:eastAsia="Calibri" w:hAnsi="Arial" w:cs="Arial"/>
          <w:i/>
          <w:iCs/>
          <w:sz w:val="22"/>
          <w:lang w:val="es-ES_tradnl"/>
        </w:rPr>
        <w:t>Documentos del Proceso</w:t>
      </w:r>
      <w:r w:rsidRPr="00D67C1A">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B4B5EE8" w14:textId="33806EBE" w:rsidR="00F60DF8" w:rsidRPr="00D67C1A" w:rsidRDefault="00003409" w:rsidP="00767D99">
      <w:pPr>
        <w:spacing w:after="120" w:line="276" w:lineRule="auto"/>
        <w:ind w:firstLine="709"/>
        <w:jc w:val="both"/>
        <w:rPr>
          <w:rFonts w:ascii="Arial" w:eastAsia="Calibri" w:hAnsi="Arial" w:cs="Arial"/>
          <w:sz w:val="22"/>
          <w:lang w:val="es-ES_tradnl"/>
        </w:rPr>
      </w:pPr>
      <w:r w:rsidRPr="00D67C1A">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r w:rsidR="00F60DF8" w:rsidRPr="00D67C1A">
        <w:rPr>
          <w:rFonts w:ascii="Arial" w:eastAsia="Calibri" w:hAnsi="Arial" w:cs="Arial"/>
          <w:sz w:val="22"/>
          <w:lang w:val="es-ES_tradnl"/>
        </w:rPr>
        <w:t xml:space="preserve">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18D40512" w14:textId="61254411" w:rsidR="00003409" w:rsidRPr="00D67C1A" w:rsidRDefault="00F60DF8" w:rsidP="00767D99">
      <w:pPr>
        <w:spacing w:after="120" w:line="276" w:lineRule="auto"/>
        <w:ind w:firstLine="709"/>
        <w:jc w:val="both"/>
        <w:rPr>
          <w:rFonts w:ascii="Arial" w:eastAsia="Calibri" w:hAnsi="Arial" w:cs="Arial"/>
          <w:sz w:val="22"/>
          <w:lang w:val="es-ES_tradnl"/>
        </w:rPr>
      </w:pPr>
      <w:r w:rsidRPr="00D67C1A">
        <w:rPr>
          <w:rFonts w:ascii="Arial" w:eastAsia="Calibri" w:hAnsi="Arial" w:cs="Arial"/>
          <w:sz w:val="22"/>
          <w:lang w:val="es-ES_tradnl"/>
        </w:rPr>
        <w:lastRenderedPageBreak/>
        <w:t xml:space="preserve">La inalterabilidad de los documentos </w:t>
      </w:r>
      <w:r w:rsidR="00C0683D" w:rsidRPr="00D67C1A">
        <w:rPr>
          <w:rFonts w:ascii="Arial" w:eastAsia="Calibri" w:hAnsi="Arial" w:cs="Arial"/>
          <w:sz w:val="22"/>
          <w:lang w:val="es-ES_tradnl"/>
        </w:rPr>
        <w:t xml:space="preserve">tipo </w:t>
      </w:r>
      <w:r w:rsidRPr="00D67C1A">
        <w:rPr>
          <w:rFonts w:ascii="Arial" w:eastAsia="Calibri" w:hAnsi="Arial" w:cs="Arial"/>
          <w:sz w:val="22"/>
          <w:lang w:val="es-ES_tradnl"/>
        </w:rPr>
        <w:t>es una manifestación en mayor grado de las potestades regladas, lo cual implica una reducción de la discrecionalidad de la Administración en el momento de tomar una decisión en el proceso de contratación</w:t>
      </w:r>
      <w:r w:rsidRPr="00D67C1A">
        <w:rPr>
          <w:rStyle w:val="Refdenotaalpie"/>
          <w:rFonts w:ascii="Arial" w:eastAsia="Calibri" w:hAnsi="Arial" w:cs="Arial"/>
          <w:sz w:val="22"/>
          <w:lang w:val="es-ES_tradnl"/>
        </w:rPr>
        <w:footnoteReference w:id="10"/>
      </w:r>
      <w:r w:rsidRPr="00D67C1A">
        <w:rPr>
          <w:rFonts w:ascii="Arial" w:eastAsia="Calibri" w:hAnsi="Arial" w:cs="Arial"/>
          <w:sz w:val="22"/>
          <w:lang w:val="es-ES_tradnl"/>
        </w:rPr>
        <w:t>. Cada entidad pública sujeta a los documentos tipo deberá hacer una aplicación o constatación de las reglas y condiciones dispuestas en estos, salvo que las mismas posibilit</w:t>
      </w:r>
      <w:r w:rsidR="00786DDC" w:rsidRPr="00D67C1A">
        <w:rPr>
          <w:rFonts w:ascii="Arial" w:eastAsia="Calibri" w:hAnsi="Arial" w:cs="Arial"/>
          <w:sz w:val="22"/>
          <w:lang w:val="es-ES_tradnl"/>
        </w:rPr>
        <w:t>e</w:t>
      </w:r>
      <w:r w:rsidRPr="00D67C1A">
        <w:rPr>
          <w:rFonts w:ascii="Arial" w:eastAsia="Calibri" w:hAnsi="Arial" w:cs="Arial"/>
          <w:sz w:val="22"/>
          <w:lang w:val="es-ES_tradnl"/>
        </w:rPr>
        <w:t xml:space="preserve">n la discrecionalidad en determinados aspectos. </w:t>
      </w:r>
    </w:p>
    <w:p w14:paraId="18D341A8" w14:textId="176DFE9B" w:rsidR="00003409" w:rsidRPr="00D67C1A" w:rsidRDefault="00003409" w:rsidP="00767D99">
      <w:pPr>
        <w:spacing w:after="120" w:line="276" w:lineRule="auto"/>
        <w:ind w:firstLine="709"/>
        <w:jc w:val="both"/>
        <w:rPr>
          <w:rFonts w:ascii="Arial" w:eastAsia="Calibri" w:hAnsi="Arial" w:cs="Arial"/>
          <w:bCs/>
          <w:sz w:val="22"/>
          <w:lang w:val="es-ES_tradnl"/>
        </w:rPr>
      </w:pPr>
      <w:r w:rsidRPr="00D67C1A">
        <w:rPr>
          <w:rFonts w:ascii="Arial" w:eastAsia="Calibri" w:hAnsi="Arial" w:cs="Arial"/>
          <w:bCs/>
          <w:sz w:val="22"/>
          <w:lang w:val="es-ES_tradnl"/>
        </w:rPr>
        <w:t xml:space="preserve">Además, las entidades estatales deben garantizar el </w:t>
      </w:r>
      <w:r w:rsidRPr="00D67C1A">
        <w:rPr>
          <w:rFonts w:ascii="Arial" w:eastAsia="Calibri" w:hAnsi="Arial" w:cs="Arial"/>
          <w:bCs/>
          <w:i/>
          <w:iCs/>
          <w:sz w:val="22"/>
          <w:lang w:val="es-ES_tradnl"/>
        </w:rPr>
        <w:t>principio de economía</w:t>
      </w:r>
      <w:r w:rsidRPr="00D67C1A">
        <w:rPr>
          <w:rFonts w:ascii="Arial" w:eastAsia="Calibri" w:hAnsi="Arial" w:cs="Arial"/>
          <w:bCs/>
          <w:sz w:val="22"/>
          <w:lang w:val="es-ES_tradnl"/>
        </w:rPr>
        <w:t>, del cual se desprende que no pueden exigir documentos o requisitos más allá de los que permitan la Constitución, la ley y los reglamentos. Este postulado ha sido recogido no solo en la contratación estatal</w:t>
      </w:r>
      <w:r w:rsidRPr="00D67C1A">
        <w:rPr>
          <w:rFonts w:ascii="Arial" w:eastAsia="Calibri" w:hAnsi="Arial" w:cs="Arial"/>
          <w:bCs/>
          <w:sz w:val="22"/>
          <w:vertAlign w:val="superscript"/>
          <w:lang w:val="es-ES_tradnl"/>
        </w:rPr>
        <w:footnoteReference w:id="11"/>
      </w:r>
      <w:r w:rsidRPr="00D67C1A">
        <w:rPr>
          <w:rFonts w:ascii="Arial" w:eastAsia="Calibri" w:hAnsi="Arial" w:cs="Arial"/>
          <w:bCs/>
          <w:sz w:val="22"/>
          <w:lang w:val="es-ES_tradnl"/>
        </w:rPr>
        <w:t xml:space="preserve"> sino además en la normativa antitrámites</w:t>
      </w:r>
      <w:r w:rsidRPr="00D67C1A">
        <w:rPr>
          <w:rFonts w:ascii="Arial" w:eastAsia="Calibri" w:hAnsi="Arial" w:cs="Arial"/>
          <w:bCs/>
          <w:sz w:val="22"/>
          <w:vertAlign w:val="superscript"/>
          <w:lang w:val="es-ES_tradnl"/>
        </w:rPr>
        <w:footnoteReference w:id="12"/>
      </w:r>
      <w:r w:rsidRPr="00D67C1A">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2568042A" w14:textId="77777777" w:rsidR="0081562A" w:rsidRPr="00D67C1A" w:rsidRDefault="0081562A" w:rsidP="00767D99">
      <w:pPr>
        <w:spacing w:after="120" w:line="276" w:lineRule="auto"/>
        <w:ind w:firstLine="709"/>
        <w:jc w:val="both"/>
        <w:rPr>
          <w:rFonts w:ascii="Arial" w:eastAsia="Calibri" w:hAnsi="Arial" w:cs="Arial"/>
          <w:bCs/>
          <w:sz w:val="22"/>
        </w:rPr>
      </w:pPr>
      <w:r w:rsidRPr="00D67C1A">
        <w:rPr>
          <w:rFonts w:ascii="Arial" w:eastAsia="Calibri" w:hAnsi="Arial" w:cs="Arial"/>
          <w:bCs/>
          <w:sz w:val="22"/>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w:t>
      </w:r>
      <w:r w:rsidRPr="00D67C1A">
        <w:rPr>
          <w:rFonts w:ascii="Arial" w:eastAsia="Calibri" w:hAnsi="Arial" w:cs="Arial"/>
          <w:bCs/>
          <w:sz w:val="22"/>
        </w:rPr>
        <w:lastRenderedPageBreak/>
        <w:t xml:space="preserve">entidad, al igual que otros aspectos relativos a información que debe ser completada por los oferentes al hacer uso del formato. </w:t>
      </w:r>
    </w:p>
    <w:p w14:paraId="7B8A93C2" w14:textId="5973F499" w:rsidR="00003409" w:rsidRPr="00D67C1A" w:rsidRDefault="00003409" w:rsidP="00767D99">
      <w:pPr>
        <w:spacing w:after="120" w:line="276" w:lineRule="auto"/>
        <w:ind w:firstLine="709"/>
        <w:jc w:val="both"/>
        <w:rPr>
          <w:rFonts w:ascii="Arial" w:eastAsia="Calibri" w:hAnsi="Arial" w:cs="Arial"/>
          <w:sz w:val="22"/>
        </w:rPr>
      </w:pPr>
      <w:r w:rsidRPr="00D67C1A">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6881180F" w14:textId="6AB66643" w:rsidR="0081562A" w:rsidRPr="00D67C1A" w:rsidRDefault="00003409" w:rsidP="00767D99">
      <w:pPr>
        <w:spacing w:line="276" w:lineRule="auto"/>
        <w:ind w:firstLine="709"/>
        <w:jc w:val="both"/>
        <w:rPr>
          <w:rFonts w:ascii="Arial" w:eastAsia="Calibri" w:hAnsi="Arial" w:cs="Arial"/>
          <w:bCs/>
          <w:sz w:val="22"/>
        </w:rPr>
      </w:pPr>
      <w:r w:rsidRPr="00D67C1A">
        <w:rPr>
          <w:rFonts w:ascii="Arial" w:eastAsia="Calibri" w:hAnsi="Arial" w:cs="Arial"/>
          <w:bCs/>
          <w:sz w:val="22"/>
        </w:rPr>
        <w:t>En suma, la regla general frente la aplicación de los documentos tipo</w:t>
      </w:r>
      <w:r w:rsidR="00EC171C" w:rsidRPr="00D67C1A">
        <w:rPr>
          <w:rFonts w:ascii="Arial" w:eastAsia="Calibri" w:hAnsi="Arial" w:cs="Arial"/>
          <w:bCs/>
          <w:sz w:val="22"/>
        </w:rPr>
        <w:t xml:space="preserve"> es su inalterabilidad, y no </w:t>
      </w:r>
      <w:r w:rsidRPr="00D67C1A">
        <w:rPr>
          <w:rFonts w:ascii="Arial" w:eastAsia="Calibri" w:hAnsi="Arial" w:cs="Arial"/>
          <w:bCs/>
          <w:sz w:val="22"/>
        </w:rPr>
        <w:t>podrán incluir</w:t>
      </w:r>
      <w:r w:rsidR="00EC171C" w:rsidRPr="00D67C1A">
        <w:rPr>
          <w:rFonts w:ascii="Arial" w:eastAsia="Calibri" w:hAnsi="Arial" w:cs="Arial"/>
          <w:bCs/>
          <w:sz w:val="22"/>
        </w:rPr>
        <w:t>se</w:t>
      </w:r>
      <w:r w:rsidRPr="00D67C1A">
        <w:rPr>
          <w:rFonts w:ascii="Arial" w:eastAsia="Calibri" w:hAnsi="Arial" w:cs="Arial"/>
          <w:bCs/>
          <w:sz w:val="22"/>
        </w:rPr>
        <w:t xml:space="preserve"> o modificar</w:t>
      </w:r>
      <w:r w:rsidR="00EC171C" w:rsidRPr="00D67C1A">
        <w:rPr>
          <w:rFonts w:ascii="Arial" w:eastAsia="Calibri" w:hAnsi="Arial" w:cs="Arial"/>
          <w:bCs/>
          <w:sz w:val="22"/>
        </w:rPr>
        <w:t>se</w:t>
      </w:r>
      <w:r w:rsidRPr="00D67C1A">
        <w:rPr>
          <w:rFonts w:ascii="Arial" w:eastAsia="Calibri" w:hAnsi="Arial" w:cs="Arial"/>
          <w:bCs/>
          <w:sz w:val="22"/>
        </w:rPr>
        <w:t xml:space="preserve"> en los documentos del proceso las condiciones habilitantes, los factores técnicos y económicos de escogencia y los sistemas de ponderación distintos a los señalados en los documentos tipo. En tal sentido, solo se podrán modificar aquellos contenidos que </w:t>
      </w:r>
      <w:r w:rsidR="00050E8C" w:rsidRPr="00D67C1A">
        <w:rPr>
          <w:rFonts w:ascii="Arial" w:eastAsia="Calibri" w:hAnsi="Arial" w:cs="Arial"/>
          <w:bCs/>
          <w:sz w:val="22"/>
        </w:rPr>
        <w:t xml:space="preserve">el mismo documento tipo permita, como ocurre, por ejemplo, con el «Formulario 1 – Formulario de Presupuesto Oficial», el cual permite que para efectos de la presentación de la propuesta económica, la entidad estatal pueda modificar el formulario o </w:t>
      </w:r>
      <w:r w:rsidR="0081562A" w:rsidRPr="00D67C1A">
        <w:rPr>
          <w:rFonts w:ascii="Arial" w:eastAsia="Calibri" w:hAnsi="Arial" w:cs="Arial"/>
          <w:bCs/>
          <w:sz w:val="22"/>
        </w:rPr>
        <w:t xml:space="preserve">exigir otro diferente. Respecto de este formulario, la Agencia Nacional de Contratación Pública - Colombia Compra Eficiente, en el concepto C-113 del 22 de marzo de 2022, </w:t>
      </w:r>
      <w:r w:rsidR="009B6E85" w:rsidRPr="00D67C1A">
        <w:rPr>
          <w:rFonts w:ascii="Arial" w:eastAsia="Calibri" w:hAnsi="Arial" w:cs="Arial"/>
          <w:bCs/>
          <w:sz w:val="22"/>
        </w:rPr>
        <w:t xml:space="preserve"> manifestó</w:t>
      </w:r>
      <w:r w:rsidR="0081562A" w:rsidRPr="00D67C1A">
        <w:rPr>
          <w:rFonts w:ascii="Arial" w:eastAsia="Calibri" w:hAnsi="Arial" w:cs="Arial"/>
          <w:bCs/>
          <w:sz w:val="22"/>
        </w:rPr>
        <w:t xml:space="preserve"> lo siguiente:</w:t>
      </w:r>
    </w:p>
    <w:p w14:paraId="7B57E792" w14:textId="77777777" w:rsidR="00767D99" w:rsidRPr="00D67C1A" w:rsidRDefault="00767D99" w:rsidP="00767D99">
      <w:pPr>
        <w:tabs>
          <w:tab w:val="left" w:pos="709"/>
        </w:tabs>
        <w:ind w:left="709" w:right="709"/>
        <w:jc w:val="both"/>
        <w:rPr>
          <w:rFonts w:ascii="Arial" w:eastAsia="Calibri" w:hAnsi="Arial" w:cs="Arial"/>
          <w:sz w:val="21"/>
          <w:szCs w:val="21"/>
        </w:rPr>
      </w:pPr>
    </w:p>
    <w:p w14:paraId="5A0E1FC6" w14:textId="6FBB0B3A" w:rsidR="009B6E85" w:rsidRPr="00D67C1A" w:rsidRDefault="00CC2A26" w:rsidP="00767D99">
      <w:pPr>
        <w:tabs>
          <w:tab w:val="left" w:pos="709"/>
        </w:tabs>
        <w:ind w:left="709" w:right="709"/>
        <w:jc w:val="both"/>
        <w:rPr>
          <w:iCs/>
          <w:sz w:val="21"/>
          <w:szCs w:val="21"/>
          <w:lang w:eastAsia="es-ES" w:bidi="es-ES"/>
        </w:rPr>
      </w:pPr>
      <w:r w:rsidRPr="00D67C1A">
        <w:rPr>
          <w:rFonts w:ascii="Arial" w:hAnsi="Arial" w:cs="Arial"/>
          <w:color w:val="000000" w:themeColor="text1"/>
          <w:sz w:val="21"/>
          <w:szCs w:val="21"/>
          <w:lang w:val="es-ES_tradnl"/>
        </w:rPr>
        <w:t>«</w:t>
      </w:r>
      <w:r w:rsidR="009B6E85" w:rsidRPr="00D67C1A">
        <w:rPr>
          <w:rFonts w:ascii="Arial" w:hAnsi="Arial" w:cs="Arial"/>
          <w:sz w:val="21"/>
          <w:szCs w:val="21"/>
        </w:rPr>
        <w:t>[…]</w:t>
      </w:r>
    </w:p>
    <w:p w14:paraId="49850EF6" w14:textId="77777777" w:rsidR="00767D99" w:rsidRPr="00D67C1A" w:rsidRDefault="00050E8C" w:rsidP="00767D99">
      <w:pPr>
        <w:tabs>
          <w:tab w:val="left" w:pos="709"/>
        </w:tabs>
        <w:ind w:left="709" w:right="709"/>
        <w:jc w:val="both"/>
        <w:rPr>
          <w:rFonts w:ascii="Arial" w:hAnsi="Arial" w:cs="Arial"/>
          <w:color w:val="000000"/>
          <w:sz w:val="21"/>
          <w:szCs w:val="21"/>
          <w:lang w:val="es-ES_tradnl"/>
        </w:rPr>
      </w:pPr>
      <w:r w:rsidRPr="00D67C1A">
        <w:rPr>
          <w:rFonts w:ascii="Arial" w:eastAsia="Arial" w:hAnsi="Arial" w:cs="Arial"/>
          <w:sz w:val="21"/>
          <w:szCs w:val="21"/>
          <w:lang w:val="es-CO" w:eastAsia="es-ES" w:bidi="es-ES"/>
        </w:rPr>
        <w:t xml:space="preserve">De otra parte, </w:t>
      </w:r>
      <w:r w:rsidRPr="00D67C1A">
        <w:rPr>
          <w:rFonts w:ascii="Arial" w:eastAsia="Arial" w:hAnsi="Arial" w:cs="Arial"/>
          <w:sz w:val="21"/>
          <w:szCs w:val="21"/>
          <w:lang w:val="es-ES" w:eastAsia="es-ES" w:bidi="es-ES"/>
        </w:rPr>
        <w:t>el «Formulario 1</w:t>
      </w:r>
      <w:r w:rsidRPr="00D67C1A">
        <w:rPr>
          <w:rFonts w:ascii="Arial" w:hAnsi="Arial" w:cs="Arial"/>
          <w:sz w:val="21"/>
          <w:szCs w:val="21"/>
          <w:lang w:val="es-ES" w:eastAsia="es-ES" w:bidi="es-ES"/>
        </w:rPr>
        <w:t>» en su segunda pestaña en Excel, titulada «Formulario 1 propuesta económica»</w:t>
      </w:r>
      <w:r w:rsidRPr="00D67C1A">
        <w:rPr>
          <w:rFonts w:ascii="Arial" w:eastAsia="Arial" w:hAnsi="Arial" w:cs="Arial"/>
          <w:sz w:val="21"/>
          <w:szCs w:val="21"/>
          <w:lang w:val="es-ES" w:eastAsia="es-ES" w:bidi="es-ES"/>
        </w:rPr>
        <w:t xml:space="preserve">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w:t>
      </w:r>
      <w:r w:rsidRPr="00D67C1A">
        <w:rPr>
          <w:rFonts w:ascii="Arial" w:hAnsi="Arial" w:cs="Arial"/>
          <w:color w:val="000000"/>
          <w:sz w:val="21"/>
          <w:szCs w:val="21"/>
          <w:lang w:val="es-ES_tradnl"/>
        </w:rPr>
        <w:t xml:space="preserve">Igualmente, se indica que los proponentes emplearán el formulario establecido por la entidad para determinar su propuesta económica conforme al Formulario </w:t>
      </w:r>
    </w:p>
    <w:p w14:paraId="0F241E73" w14:textId="0D33E053" w:rsidR="00050E8C" w:rsidRPr="00D67C1A" w:rsidRDefault="00050E8C" w:rsidP="00767D99">
      <w:pPr>
        <w:tabs>
          <w:tab w:val="left" w:pos="709"/>
        </w:tabs>
        <w:ind w:left="709" w:right="709"/>
        <w:jc w:val="both"/>
        <w:rPr>
          <w:rFonts w:ascii="Arial" w:eastAsia="Arial" w:hAnsi="Arial" w:cs="Arial"/>
          <w:bCs/>
          <w:sz w:val="21"/>
          <w:szCs w:val="21"/>
          <w:lang w:val="es-ES"/>
        </w:rPr>
      </w:pPr>
      <w:r w:rsidRPr="00D67C1A">
        <w:rPr>
          <w:rFonts w:ascii="Arial" w:hAnsi="Arial" w:cs="Arial"/>
          <w:color w:val="000000"/>
          <w:sz w:val="21"/>
          <w:szCs w:val="21"/>
          <w:lang w:val="es-ES_tradnl"/>
        </w:rPr>
        <w:t>1 - Presupuesto Oficial publicado por la Entidad. Esto</w:t>
      </w:r>
      <w:r w:rsidRPr="00D67C1A">
        <w:rPr>
          <w:rFonts w:ascii="Arial" w:hAnsi="Arial" w:cs="Arial"/>
          <w:sz w:val="21"/>
          <w:szCs w:val="21"/>
          <w:lang w:val="es-ES_tradnl"/>
        </w:rPr>
        <w:t xml:space="preserve"> significa </w:t>
      </w:r>
      <w:r w:rsidRPr="00D67C1A">
        <w:rPr>
          <w:rFonts w:ascii="Arial" w:hAnsi="Arial" w:cs="Arial"/>
          <w:sz w:val="21"/>
          <w:szCs w:val="21"/>
          <w:lang w:val="es-ES"/>
        </w:rPr>
        <w:t>que las entidades pueden diseñar un formulario para que los proponentes presenten su oferta económica, sin que sea obligatorio sujetarse al formulario que los documentos tipo proponen para el efecto.</w:t>
      </w:r>
      <w:r w:rsidRPr="00D67C1A">
        <w:rPr>
          <w:rFonts w:ascii="Arial" w:eastAsia="Arial" w:hAnsi="Arial" w:cs="Arial"/>
          <w:bCs/>
          <w:sz w:val="21"/>
          <w:szCs w:val="21"/>
          <w:lang w:val="es-ES"/>
        </w:rPr>
        <w:t xml:space="preserve"> En todo caso, el proponente deberá emplear el formulario que establezca la entidad.</w:t>
      </w:r>
      <w:r w:rsidR="00CC2A26" w:rsidRPr="00D67C1A">
        <w:rPr>
          <w:rFonts w:ascii="Arial" w:hAnsi="Arial" w:cs="Arial"/>
          <w:color w:val="000000" w:themeColor="text1"/>
          <w:sz w:val="21"/>
          <w:szCs w:val="21"/>
          <w:lang w:val="es-ES_tradnl"/>
        </w:rPr>
        <w:t>»</w:t>
      </w:r>
      <w:r w:rsidRPr="00D67C1A">
        <w:rPr>
          <w:rFonts w:ascii="Arial" w:eastAsia="Arial" w:hAnsi="Arial" w:cs="Arial"/>
          <w:bCs/>
          <w:sz w:val="21"/>
          <w:szCs w:val="21"/>
          <w:lang w:val="es-ES"/>
        </w:rPr>
        <w:t xml:space="preserve"> </w:t>
      </w:r>
    </w:p>
    <w:p w14:paraId="77ABF978" w14:textId="77777777" w:rsidR="009B6E85" w:rsidRPr="00D67C1A" w:rsidRDefault="009B6E85" w:rsidP="00767D99">
      <w:pPr>
        <w:tabs>
          <w:tab w:val="left" w:pos="709"/>
        </w:tabs>
        <w:ind w:left="709" w:right="709"/>
        <w:jc w:val="both"/>
        <w:rPr>
          <w:rFonts w:ascii="Arial" w:eastAsia="Arial" w:hAnsi="Arial" w:cs="Arial"/>
          <w:sz w:val="21"/>
          <w:szCs w:val="21"/>
          <w:lang w:val="es-ES" w:eastAsia="es-ES" w:bidi="es-ES"/>
        </w:rPr>
      </w:pPr>
    </w:p>
    <w:p w14:paraId="4FA12B3B" w14:textId="77777777" w:rsidR="00003409" w:rsidRPr="00D67C1A" w:rsidRDefault="00003409" w:rsidP="00767D99">
      <w:pPr>
        <w:spacing w:after="120" w:line="276" w:lineRule="auto"/>
        <w:ind w:firstLine="709"/>
        <w:jc w:val="both"/>
        <w:rPr>
          <w:rFonts w:ascii="Arial" w:eastAsia="Calibri" w:hAnsi="Arial" w:cs="Arial"/>
          <w:sz w:val="22"/>
        </w:rPr>
      </w:pPr>
      <w:r w:rsidRPr="00D67C1A">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w:t>
      </w:r>
      <w:r w:rsidRPr="00D67C1A">
        <w:rPr>
          <w:rFonts w:ascii="Arial" w:eastAsia="Calibri" w:hAnsi="Arial" w:cs="Arial"/>
          <w:sz w:val="22"/>
        </w:rPr>
        <w:lastRenderedPageBreak/>
        <w:t xml:space="preserve">sustanciales de los documentos tipo, sin distingo de la formalidad de la que se sirva para ello los actores de la contratación pública. </w:t>
      </w:r>
    </w:p>
    <w:p w14:paraId="4E3E1102" w14:textId="6FD85DA6" w:rsidR="00157CA4" w:rsidRPr="00D67C1A" w:rsidRDefault="00003409" w:rsidP="00767D99">
      <w:pPr>
        <w:spacing w:after="120" w:line="276" w:lineRule="auto"/>
        <w:ind w:firstLine="709"/>
        <w:jc w:val="both"/>
        <w:rPr>
          <w:rFonts w:ascii="Arial" w:eastAsia="Calibri" w:hAnsi="Arial" w:cs="Arial"/>
          <w:sz w:val="22"/>
        </w:rPr>
      </w:pPr>
      <w:r w:rsidRPr="00D67C1A">
        <w:rPr>
          <w:rFonts w:ascii="Arial" w:eastAsia="Calibri" w:hAnsi="Arial" w:cs="Arial"/>
          <w:sz w:val="22"/>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3A8F09CF" w14:textId="77777777" w:rsidR="00767D99" w:rsidRPr="00D67C1A" w:rsidRDefault="00767D99" w:rsidP="00767D99">
      <w:pPr>
        <w:spacing w:line="276" w:lineRule="auto"/>
        <w:jc w:val="both"/>
        <w:rPr>
          <w:rFonts w:ascii="Arial" w:eastAsia="Calibri" w:hAnsi="Arial" w:cs="Arial"/>
          <w:b/>
          <w:bCs/>
          <w:color w:val="000000" w:themeColor="text1"/>
          <w:sz w:val="22"/>
          <w:lang w:val="es-ES_tradnl"/>
        </w:rPr>
      </w:pPr>
    </w:p>
    <w:p w14:paraId="7B91A45A" w14:textId="718E7B89" w:rsidR="00D921B5" w:rsidRPr="00AE4B6E" w:rsidRDefault="003D5728" w:rsidP="00D921B5">
      <w:pPr>
        <w:spacing w:line="276" w:lineRule="auto"/>
        <w:jc w:val="both"/>
        <w:rPr>
          <w:rFonts w:ascii="Arial" w:eastAsia="Calibri" w:hAnsi="Arial" w:cs="Arial"/>
          <w:b/>
          <w:bCs/>
          <w:color w:val="000000"/>
          <w:sz w:val="22"/>
          <w:lang w:eastAsia="en-GB"/>
        </w:rPr>
      </w:pPr>
      <w:r w:rsidRPr="00D67C1A">
        <w:rPr>
          <w:rFonts w:ascii="Arial" w:eastAsia="Calibri" w:hAnsi="Arial" w:cs="Arial"/>
          <w:b/>
          <w:bCs/>
          <w:color w:val="000000" w:themeColor="text1"/>
          <w:sz w:val="22"/>
          <w:lang w:val="es-ES_tradnl"/>
        </w:rPr>
        <w:t xml:space="preserve">2.3. </w:t>
      </w:r>
      <w:r w:rsidR="00D921B5" w:rsidRPr="00D67C1A">
        <w:rPr>
          <w:rFonts w:ascii="Arial" w:eastAsia="Calibri" w:hAnsi="Arial" w:cs="Arial"/>
          <w:b/>
          <w:color w:val="000000"/>
          <w:sz w:val="22"/>
          <w:lang w:val="es-ES_tradnl"/>
        </w:rPr>
        <w:t>E</w:t>
      </w:r>
      <w:r w:rsidR="00D921B5" w:rsidRPr="00D67C1A">
        <w:rPr>
          <w:rFonts w:ascii="Arial" w:eastAsia="Calibri" w:hAnsi="Arial" w:cs="Arial"/>
          <w:b/>
          <w:sz w:val="22"/>
          <w:lang w:val="es-ES_tradnl"/>
        </w:rPr>
        <w:t xml:space="preserve">l </w:t>
      </w:r>
      <w:r w:rsidR="00D921B5" w:rsidRPr="00D67C1A">
        <w:rPr>
          <w:rFonts w:ascii="Arial" w:eastAsia="Calibri" w:hAnsi="Arial" w:cs="Arial"/>
          <w:b/>
          <w:sz w:val="22"/>
          <w:lang w:val="es-ES"/>
        </w:rPr>
        <w:t>«Formulario 1 – Formulario de Presupuesto Oficial</w:t>
      </w:r>
      <w:r w:rsidR="00D921B5" w:rsidRPr="00D67C1A">
        <w:rPr>
          <w:rFonts w:ascii="Arial" w:eastAsia="Calibri" w:hAnsi="Arial" w:cs="Arial"/>
          <w:sz w:val="22"/>
          <w:lang w:val="es-ES" w:eastAsia="es-ES" w:bidi="es-ES"/>
        </w:rPr>
        <w:t>»</w:t>
      </w:r>
      <w:r w:rsidR="00AE4B6E">
        <w:rPr>
          <w:rFonts w:ascii="Arial" w:eastAsia="Calibri" w:hAnsi="Arial" w:cs="Arial"/>
          <w:sz w:val="22"/>
          <w:lang w:val="es-ES" w:eastAsia="es-ES" w:bidi="es-ES"/>
        </w:rPr>
        <w:t xml:space="preserve"> </w:t>
      </w:r>
      <w:r w:rsidR="00AE4B6E" w:rsidRPr="00AE4B6E">
        <w:rPr>
          <w:rFonts w:ascii="Arial" w:eastAsia="Calibri" w:hAnsi="Arial" w:cs="Arial"/>
          <w:b/>
          <w:bCs/>
          <w:sz w:val="22"/>
          <w:lang w:val="es-ES" w:eastAsia="es-ES" w:bidi="es-ES"/>
        </w:rPr>
        <w:t>y la presentación de la oferta económica</w:t>
      </w:r>
      <w:r w:rsidR="00D921B5" w:rsidRPr="00AE4B6E">
        <w:rPr>
          <w:rFonts w:ascii="Arial" w:eastAsia="Calibri" w:hAnsi="Arial" w:cs="Arial"/>
          <w:b/>
          <w:bCs/>
          <w:sz w:val="22"/>
          <w:lang w:val="es-ES_tradnl"/>
        </w:rPr>
        <w:t xml:space="preserve"> </w:t>
      </w:r>
    </w:p>
    <w:p w14:paraId="1D5AFE8B" w14:textId="77777777" w:rsidR="00D921B5" w:rsidRPr="00D67C1A" w:rsidRDefault="00D921B5" w:rsidP="00D921B5">
      <w:pPr>
        <w:spacing w:line="276" w:lineRule="auto"/>
        <w:jc w:val="both"/>
        <w:rPr>
          <w:rFonts w:ascii="Arial" w:eastAsia="Calibri" w:hAnsi="Arial" w:cs="Arial"/>
          <w:b/>
          <w:bCs/>
          <w:color w:val="000000"/>
          <w:sz w:val="22"/>
          <w:lang w:eastAsia="en-GB"/>
        </w:rPr>
      </w:pPr>
    </w:p>
    <w:p w14:paraId="46E3D910" w14:textId="7FE5BF63" w:rsidR="00D921B5" w:rsidRPr="00D67C1A" w:rsidRDefault="00D921B5" w:rsidP="00D921B5">
      <w:pPr>
        <w:widowControl w:val="0"/>
        <w:autoSpaceDE w:val="0"/>
        <w:autoSpaceDN w:val="0"/>
        <w:spacing w:after="120" w:line="276" w:lineRule="auto"/>
        <w:jc w:val="both"/>
        <w:rPr>
          <w:rFonts w:ascii="Arial" w:eastAsia="Arial" w:hAnsi="Arial" w:cs="Arial"/>
          <w:sz w:val="22"/>
          <w:lang w:eastAsia="es-ES" w:bidi="es-ES"/>
        </w:rPr>
      </w:pPr>
      <w:r w:rsidRPr="00D67C1A">
        <w:rPr>
          <w:rFonts w:ascii="Arial" w:eastAsia="Arial" w:hAnsi="Arial" w:cs="Arial"/>
          <w:sz w:val="22"/>
          <w:lang w:val="es-ES" w:eastAsia="es-ES" w:bidi="es-ES"/>
        </w:rPr>
        <w:t xml:space="preserve">Los documentos tipo para los procesos de licitación pública, menor cuantía y mínima cuantía de infraestructura de transporte, </w:t>
      </w:r>
      <w:r w:rsidRPr="00D67C1A">
        <w:rPr>
          <w:rFonts w:ascii="Arial" w:eastAsia="Calibri" w:hAnsi="Arial" w:cs="Arial"/>
          <w:sz w:val="22"/>
        </w:rPr>
        <w:t xml:space="preserve">contemplan el </w:t>
      </w:r>
      <w:r w:rsidRPr="00D67C1A">
        <w:rPr>
          <w:rFonts w:ascii="Arial" w:eastAsia="Arial" w:hAnsi="Arial" w:cs="Arial"/>
          <w:sz w:val="22"/>
          <w:lang w:val="es-ES" w:eastAsia="es-ES" w:bidi="es-ES"/>
        </w:rPr>
        <w:t>«Formulario 1 - Formulario de Presupuesto Oficial</w:t>
      </w:r>
      <w:r w:rsidRPr="00D67C1A">
        <w:rPr>
          <w:rFonts w:ascii="Arial" w:eastAsia="Calibri" w:hAnsi="Arial" w:cs="Arial"/>
          <w:sz w:val="22"/>
          <w:lang w:val="es-ES" w:eastAsia="es-ES" w:bidi="es-ES"/>
        </w:rPr>
        <w:t>»</w:t>
      </w:r>
      <w:r w:rsidRPr="00D67C1A">
        <w:rPr>
          <w:rFonts w:ascii="Arial" w:eastAsia="Arial" w:hAnsi="Arial" w:cs="Arial"/>
          <w:sz w:val="22"/>
          <w:lang w:val="es-ES" w:eastAsia="es-ES" w:bidi="es-ES"/>
        </w:rPr>
        <w:t>, empleado por</w:t>
      </w:r>
      <w:r w:rsidRPr="00D67C1A">
        <w:rPr>
          <w:rFonts w:ascii="Arial" w:eastAsia="Arial" w:hAnsi="Arial" w:cs="Arial"/>
          <w:sz w:val="22"/>
          <w:lang w:eastAsia="es-ES" w:bidi="es-ES"/>
        </w:rPr>
        <w:t xml:space="preserve"> la entidad para elaborar y presentar el presupuesto oficial, y mediante el cual el proponente estructura la oferta económica. </w:t>
      </w:r>
    </w:p>
    <w:p w14:paraId="2E0B07FD" w14:textId="77777777" w:rsidR="00D921B5" w:rsidRPr="00D67C1A" w:rsidRDefault="00D921B5" w:rsidP="00D921B5">
      <w:pPr>
        <w:widowControl w:val="0"/>
        <w:autoSpaceDE w:val="0"/>
        <w:autoSpaceDN w:val="0"/>
        <w:spacing w:before="120" w:line="276" w:lineRule="auto"/>
        <w:ind w:firstLine="709"/>
        <w:jc w:val="both"/>
        <w:rPr>
          <w:rFonts w:ascii="Arial" w:eastAsia="Calibri" w:hAnsi="Arial" w:cs="Arial"/>
          <w:sz w:val="22"/>
          <w:lang w:val="es-ES"/>
        </w:rPr>
      </w:pPr>
      <w:r w:rsidRPr="00D67C1A">
        <w:rPr>
          <w:rFonts w:ascii="Arial" w:eastAsia="Calibri" w:hAnsi="Arial" w:cs="Arial"/>
          <w:sz w:val="22"/>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D67C1A">
        <w:rPr>
          <w:rFonts w:ascii="Arial" w:eastAsia="Calibri" w:hAnsi="Arial" w:cs="Arial"/>
          <w:sz w:val="22"/>
          <w:vertAlign w:val="superscript"/>
          <w:lang w:val="es-ES"/>
        </w:rPr>
        <w:footnoteReference w:id="13"/>
      </w:r>
      <w:r w:rsidRPr="00D67C1A">
        <w:rPr>
          <w:rFonts w:ascii="Arial" w:eastAsia="Calibri" w:hAnsi="Arial" w:cs="Arial"/>
          <w:sz w:val="22"/>
          <w:lang w:val="es-ES"/>
        </w:rPr>
        <w:t>, como el objeto, alcance, obras a ejecutar, actividades, cantidades, particularidades de la zona de ejecución del proyecto, disponibilidad y distancia de fuentes de materiales, entre otros.</w:t>
      </w:r>
    </w:p>
    <w:p w14:paraId="783E5231" w14:textId="2BEC4861" w:rsidR="00D921B5" w:rsidRPr="00D67C1A" w:rsidRDefault="00D921B5" w:rsidP="00D921B5">
      <w:pPr>
        <w:widowControl w:val="0"/>
        <w:autoSpaceDE w:val="0"/>
        <w:autoSpaceDN w:val="0"/>
        <w:spacing w:before="120" w:after="120" w:line="276" w:lineRule="auto"/>
        <w:ind w:firstLine="709"/>
        <w:jc w:val="both"/>
        <w:rPr>
          <w:rFonts w:ascii="Arial" w:eastAsia="Calibri" w:hAnsi="Arial" w:cs="Arial"/>
          <w:sz w:val="22"/>
        </w:rPr>
      </w:pPr>
      <w:r w:rsidRPr="00D67C1A">
        <w:rPr>
          <w:rFonts w:ascii="Arial" w:eastAsia="Calibri" w:hAnsi="Arial" w:cs="Arial"/>
          <w:sz w:val="22"/>
          <w:lang w:val="es-ES"/>
        </w:rPr>
        <w:t xml:space="preserve">En los documentos tipo </w:t>
      </w:r>
      <w:r w:rsidRPr="00D67C1A">
        <w:rPr>
          <w:rFonts w:ascii="Arial" w:eastAsia="Arial" w:hAnsi="Arial" w:cs="Arial"/>
          <w:sz w:val="22"/>
          <w:lang w:val="es-ES" w:eastAsia="es-ES" w:bidi="es-ES"/>
        </w:rPr>
        <w:t xml:space="preserve">para los procesos de licitación pública, menor cuantía y mínima cuantía de obra de infraestructura de transporte </w:t>
      </w:r>
      <w:r w:rsidRPr="00D67C1A">
        <w:rPr>
          <w:rFonts w:ascii="Arial" w:eastAsia="Calibri" w:hAnsi="Arial" w:cs="Arial"/>
          <w:sz w:val="22"/>
          <w:lang w:val="es-ES"/>
        </w:rPr>
        <w:t xml:space="preserve">el «Formulario 1 – Formulario de Presupuesto Oficial» tiene dos connotaciones: i) por un lado, </w:t>
      </w:r>
      <w:r w:rsidRPr="00D67C1A">
        <w:rPr>
          <w:rFonts w:ascii="Arial" w:eastAsia="Calibri" w:hAnsi="Arial" w:cs="Arial"/>
          <w:sz w:val="22"/>
        </w:rPr>
        <w:t>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09E4277A" w14:textId="30222F02" w:rsidR="00D921B5" w:rsidRPr="00D67C1A" w:rsidRDefault="00D921B5" w:rsidP="00D921B5">
      <w:pPr>
        <w:widowControl w:val="0"/>
        <w:autoSpaceDE w:val="0"/>
        <w:autoSpaceDN w:val="0"/>
        <w:spacing w:after="120" w:line="276" w:lineRule="auto"/>
        <w:ind w:firstLine="709"/>
        <w:jc w:val="both"/>
        <w:rPr>
          <w:rFonts w:ascii="Arial" w:eastAsia="Arial" w:hAnsi="Arial" w:cs="Arial"/>
          <w:iCs/>
          <w:sz w:val="22"/>
          <w:lang w:val="es-ES" w:eastAsia="es-ES" w:bidi="es-ES"/>
        </w:rPr>
      </w:pPr>
      <w:r w:rsidRPr="00D67C1A">
        <w:rPr>
          <w:rFonts w:ascii="Arial" w:eastAsia="Arial" w:hAnsi="Arial" w:cs="Arial"/>
          <w:sz w:val="22"/>
          <w:lang w:eastAsia="es-ES" w:bidi="es-ES"/>
        </w:rPr>
        <w:t xml:space="preserve">En ese contexto, se tiene, que en </w:t>
      </w:r>
      <w:r w:rsidRPr="00D67C1A">
        <w:rPr>
          <w:rFonts w:ascii="Arial" w:eastAsia="Arial" w:hAnsi="Arial" w:cs="Arial"/>
          <w:sz w:val="22"/>
          <w:lang w:val="es-ES" w:eastAsia="es-ES" w:bidi="es-ES"/>
        </w:rPr>
        <w:t xml:space="preserve">la primera hoja del Formulario 1, que corresponde al presupuesto oficial, la entidad debe enlistar los </w:t>
      </w:r>
      <w:r w:rsidRPr="00D67C1A">
        <w:rPr>
          <w:rFonts w:ascii="Arial" w:eastAsia="Arial" w:hAnsi="Arial" w:cs="Arial"/>
          <w:i/>
          <w:sz w:val="22"/>
          <w:lang w:val="es-ES" w:eastAsia="es-ES" w:bidi="es-ES"/>
        </w:rPr>
        <w:t xml:space="preserve">ítems de pago </w:t>
      </w:r>
      <w:r w:rsidRPr="00D67C1A">
        <w:rPr>
          <w:rFonts w:ascii="Arial" w:eastAsia="Arial" w:hAnsi="Arial" w:cs="Arial"/>
          <w:sz w:val="22"/>
          <w:lang w:val="es-ES" w:eastAsia="es-ES" w:bidi="es-ES"/>
        </w:rPr>
        <w:t xml:space="preserve">de los bienes, obras o servicios que se requieren para la ejecución de la obra pública de infraestructura de transporte. Además, es posible establecer: i) sus especificaciones generales y particulares, </w:t>
      </w:r>
      <w:r w:rsidRPr="00D67C1A">
        <w:rPr>
          <w:rFonts w:ascii="Arial" w:eastAsia="Arial" w:hAnsi="Arial" w:cs="Arial"/>
          <w:sz w:val="22"/>
          <w:lang w:val="es-ES" w:eastAsia="es-ES" w:bidi="es-ES"/>
        </w:rPr>
        <w:lastRenderedPageBreak/>
        <w:t xml:space="preserve">ii) la descripción, iii) la unidad de medida, iv) la cantidad, v) el valor unitario y vi) el valor total de los </w:t>
      </w:r>
      <w:r w:rsidRPr="00D67C1A">
        <w:rPr>
          <w:rFonts w:ascii="Arial" w:eastAsia="Arial" w:hAnsi="Arial" w:cs="Arial"/>
          <w:i/>
          <w:sz w:val="22"/>
          <w:lang w:val="es-ES" w:eastAsia="es-ES" w:bidi="es-ES"/>
        </w:rPr>
        <w:t>ítems.</w:t>
      </w:r>
    </w:p>
    <w:p w14:paraId="10CB2899" w14:textId="42CC6CDD" w:rsidR="00D921B5" w:rsidRPr="00D67C1A" w:rsidRDefault="00D921B5" w:rsidP="00D921B5">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iCs/>
          <w:sz w:val="22"/>
          <w:lang w:val="es-ES" w:eastAsia="es-ES" w:bidi="es-ES"/>
        </w:rPr>
        <w:t xml:space="preserve">En el marco del ejercicio de planeación, la entidad podrá determinar la necesidad de establecer algunos valores topes para algunos </w:t>
      </w:r>
      <w:r w:rsidRPr="00D67C1A">
        <w:rPr>
          <w:rFonts w:ascii="Arial" w:eastAsia="Arial" w:hAnsi="Arial" w:cs="Arial"/>
          <w:i/>
          <w:sz w:val="22"/>
          <w:lang w:val="es-ES" w:eastAsia="es-ES" w:bidi="es-ES"/>
        </w:rPr>
        <w:t xml:space="preserve">ítems, </w:t>
      </w:r>
      <w:r w:rsidRPr="00D67C1A">
        <w:rPr>
          <w:rFonts w:ascii="Arial" w:eastAsia="Arial" w:hAnsi="Arial" w:cs="Arial"/>
          <w:iCs/>
          <w:sz w:val="22"/>
          <w:lang w:val="es-ES" w:eastAsia="es-ES" w:bidi="es-ES"/>
        </w:rPr>
        <w:t>los cuales no podrán ser excedidos por los proponentes al presentar sus ofertas.</w:t>
      </w:r>
      <w:r w:rsidRPr="00D67C1A">
        <w:rPr>
          <w:rFonts w:ascii="Arial" w:eastAsia="Arial" w:hAnsi="Arial" w:cs="Arial"/>
          <w:sz w:val="22"/>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D67C1A">
        <w:rPr>
          <w:rFonts w:ascii="Arial" w:eastAsia="Arial" w:hAnsi="Arial" w:cs="Arial"/>
          <w:i/>
          <w:sz w:val="22"/>
          <w:lang w:val="es-ES" w:eastAsia="es-ES" w:bidi="es-ES"/>
        </w:rPr>
        <w:t>ítems</w:t>
      </w:r>
      <w:r w:rsidRPr="00D67C1A">
        <w:rPr>
          <w:rFonts w:ascii="Arial" w:eastAsia="Arial" w:hAnsi="Arial" w:cs="Arial"/>
          <w:sz w:val="22"/>
          <w:lang w:val="es-ES" w:eastAsia="es-ES" w:bidi="es-ES"/>
        </w:rPr>
        <w:t xml:space="preserve"> debe estar justificada en situaciones y eventos particulares de determinados procedimientos de contratación. Cuando las entidades estructuran el Formulario 1, incluyendo este tipo de </w:t>
      </w:r>
      <w:r w:rsidRPr="00D67C1A">
        <w:rPr>
          <w:rFonts w:ascii="Arial" w:eastAsia="Arial" w:hAnsi="Arial" w:cs="Arial"/>
          <w:i/>
          <w:sz w:val="22"/>
          <w:lang w:val="es-ES" w:eastAsia="es-ES" w:bidi="es-ES"/>
        </w:rPr>
        <w:t>ítems</w:t>
      </w:r>
      <w:r w:rsidRPr="00D67C1A">
        <w:rPr>
          <w:rFonts w:ascii="Arial" w:eastAsia="Arial" w:hAnsi="Arial" w:cs="Arial"/>
          <w:sz w:val="22"/>
          <w:lang w:val="es-ES" w:eastAsia="es-ES" w:bidi="es-ES"/>
        </w:rPr>
        <w:t xml:space="preserve"> y justificando su decisión, los proponentes deben incluirlos dentro de la oferta económica sin exceder el valor que la entidad ha definido, so pena del rechazo de la propuesta</w:t>
      </w:r>
      <w:r w:rsidRPr="00D67C1A">
        <w:rPr>
          <w:rFonts w:ascii="Arial" w:eastAsia="Arial" w:hAnsi="Arial" w:cs="Arial"/>
          <w:sz w:val="22"/>
          <w:vertAlign w:val="superscript"/>
          <w:lang w:val="es-ES" w:eastAsia="es-ES" w:bidi="es-ES"/>
        </w:rPr>
        <w:footnoteReference w:id="14"/>
      </w:r>
      <w:r w:rsidRPr="00D67C1A">
        <w:rPr>
          <w:rFonts w:ascii="Arial" w:eastAsia="Arial" w:hAnsi="Arial" w:cs="Arial"/>
          <w:sz w:val="22"/>
          <w:lang w:val="es-ES" w:eastAsia="es-ES" w:bidi="es-ES"/>
        </w:rPr>
        <w:t xml:space="preserve">. </w:t>
      </w:r>
    </w:p>
    <w:p w14:paraId="5CE12EAD" w14:textId="77C414E9" w:rsidR="00D921B5" w:rsidRPr="00D67C1A" w:rsidRDefault="00D921B5" w:rsidP="00D67C1A">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De igual manera, 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w:t>
      </w:r>
      <w:r w:rsidR="0075475B" w:rsidRPr="00D67C1A">
        <w:rPr>
          <w:rFonts w:ascii="Arial" w:eastAsia="Arial" w:hAnsi="Arial" w:cs="Arial"/>
          <w:sz w:val="22"/>
          <w:lang w:val="es-ES" w:eastAsia="es-ES" w:bidi="es-ES"/>
        </w:rPr>
        <w:t>,</w:t>
      </w:r>
      <w:r w:rsidRPr="00D67C1A">
        <w:rPr>
          <w:rFonts w:ascii="Arial" w:eastAsia="Arial" w:hAnsi="Arial" w:cs="Arial"/>
          <w:sz w:val="22"/>
          <w:lang w:val="es-ES" w:eastAsia="es-ES" w:bidi="es-ES"/>
        </w:rPr>
        <w:t xml:space="preserve"> cuando el proceso de contratación sea por precios unitarios.</w:t>
      </w:r>
    </w:p>
    <w:p w14:paraId="45C88C6C" w14:textId="77777777" w:rsidR="00D921B5" w:rsidRPr="00D67C1A" w:rsidRDefault="00D921B5" w:rsidP="00D921B5">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115F401B" w14:textId="0E7BC031" w:rsidR="00D921B5" w:rsidRPr="00D67C1A" w:rsidRDefault="00D921B5" w:rsidP="00D757EB">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De la redacción de estas notas se infiere que las entidades obligatoriamente aplicarán las notas definidas en el «Formulario 1 – Formulario del presupuesto oficial», cuando el proceso de contratación es estructurado por precios unitarios y, por ende, se incluirá el porcentaje respectivo a la: i) administración, ii) imprevistos y iii) utilidad. En consecuencia, las entidades no podrán omitir alguno de sus componentes y lo definirán de </w:t>
      </w:r>
      <w:r w:rsidRPr="00D67C1A">
        <w:rPr>
          <w:rFonts w:ascii="Arial" w:eastAsia="Arial" w:hAnsi="Arial" w:cs="Arial"/>
          <w:sz w:val="22"/>
          <w:lang w:val="es-ES" w:eastAsia="es-ES" w:bidi="es-ES"/>
        </w:rPr>
        <w:lastRenderedPageBreak/>
        <w:t xml:space="preserve">acuerdo con el estudio de mercado y el sector, incluyendo el valor que consideren procedente. Además, el «Formulario 1 – Formulario de Presupuesto Oficial» señala los espacios en los cuales se incluirán estos porcentajes. Así se determina en los siguientes términos: </w:t>
      </w:r>
    </w:p>
    <w:tbl>
      <w:tblPr>
        <w:tblStyle w:val="Tablaconcuadrcula1"/>
        <w:tblW w:w="8247" w:type="dxa"/>
        <w:jc w:val="center"/>
        <w:tblInd w:w="0" w:type="dxa"/>
        <w:tblLook w:val="04A0" w:firstRow="1" w:lastRow="0" w:firstColumn="1" w:lastColumn="0" w:noHBand="0" w:noVBand="1"/>
      </w:tblPr>
      <w:tblGrid>
        <w:gridCol w:w="2794"/>
        <w:gridCol w:w="2409"/>
        <w:gridCol w:w="3044"/>
      </w:tblGrid>
      <w:tr w:rsidR="00D921B5" w:rsidRPr="00D67C1A" w14:paraId="070B864C" w14:textId="77777777" w:rsidTr="0031322C">
        <w:trPr>
          <w:trHeight w:val="541"/>
          <w:jc w:val="center"/>
        </w:trPr>
        <w:tc>
          <w:tcPr>
            <w:tcW w:w="5203" w:type="dxa"/>
            <w:gridSpan w:val="2"/>
            <w:hideMark/>
          </w:tcPr>
          <w:p w14:paraId="0E2AF59F"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DESCRIPCION</w:t>
            </w:r>
          </w:p>
        </w:tc>
        <w:tc>
          <w:tcPr>
            <w:tcW w:w="3044" w:type="dxa"/>
            <w:noWrap/>
            <w:hideMark/>
          </w:tcPr>
          <w:p w14:paraId="211D95E0"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PORCENTAJE </w:t>
            </w:r>
          </w:p>
        </w:tc>
      </w:tr>
      <w:tr w:rsidR="00D921B5" w:rsidRPr="00D67C1A" w14:paraId="44E97273" w14:textId="77777777" w:rsidTr="0031322C">
        <w:trPr>
          <w:trHeight w:val="375"/>
          <w:jc w:val="center"/>
        </w:trPr>
        <w:tc>
          <w:tcPr>
            <w:tcW w:w="2794" w:type="dxa"/>
            <w:noWrap/>
            <w:hideMark/>
          </w:tcPr>
          <w:p w14:paraId="602BD5DE"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ADMINISTRACIÓN</w:t>
            </w:r>
          </w:p>
        </w:tc>
        <w:tc>
          <w:tcPr>
            <w:tcW w:w="2408" w:type="dxa"/>
            <w:noWrap/>
            <w:hideMark/>
          </w:tcPr>
          <w:p w14:paraId="0CB891B3"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A= </w:t>
            </w:r>
          </w:p>
        </w:tc>
        <w:tc>
          <w:tcPr>
            <w:tcW w:w="3044" w:type="dxa"/>
            <w:noWrap/>
            <w:hideMark/>
          </w:tcPr>
          <w:p w14:paraId="1FBA30A8"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r w:rsidR="00D921B5" w:rsidRPr="00D67C1A" w14:paraId="7E10710F" w14:textId="77777777" w:rsidTr="0031322C">
        <w:trPr>
          <w:trHeight w:val="349"/>
          <w:jc w:val="center"/>
        </w:trPr>
        <w:tc>
          <w:tcPr>
            <w:tcW w:w="2794" w:type="dxa"/>
            <w:hideMark/>
          </w:tcPr>
          <w:p w14:paraId="4AD88250"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IMPREVISTO</w:t>
            </w:r>
          </w:p>
        </w:tc>
        <w:tc>
          <w:tcPr>
            <w:tcW w:w="2408" w:type="dxa"/>
            <w:noWrap/>
            <w:hideMark/>
          </w:tcPr>
          <w:p w14:paraId="6F0C1D69"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I= </w:t>
            </w:r>
          </w:p>
        </w:tc>
        <w:tc>
          <w:tcPr>
            <w:tcW w:w="3044" w:type="dxa"/>
            <w:noWrap/>
            <w:hideMark/>
          </w:tcPr>
          <w:p w14:paraId="3ED149FE"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r w:rsidR="00D921B5" w:rsidRPr="00D67C1A" w14:paraId="7EE98FF7" w14:textId="77777777" w:rsidTr="0031322C">
        <w:trPr>
          <w:trHeight w:val="680"/>
          <w:jc w:val="center"/>
        </w:trPr>
        <w:tc>
          <w:tcPr>
            <w:tcW w:w="2794" w:type="dxa"/>
            <w:hideMark/>
          </w:tcPr>
          <w:p w14:paraId="57CE39D8"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UTILIDAD</w:t>
            </w:r>
          </w:p>
        </w:tc>
        <w:tc>
          <w:tcPr>
            <w:tcW w:w="2408" w:type="dxa"/>
            <w:noWrap/>
            <w:hideMark/>
          </w:tcPr>
          <w:p w14:paraId="1D8DF4CE"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U= </w:t>
            </w:r>
          </w:p>
        </w:tc>
        <w:tc>
          <w:tcPr>
            <w:tcW w:w="3044" w:type="dxa"/>
            <w:noWrap/>
            <w:hideMark/>
          </w:tcPr>
          <w:p w14:paraId="69F53470"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r w:rsidR="00D921B5" w:rsidRPr="00D67C1A" w14:paraId="31A57468" w14:textId="77777777" w:rsidTr="0031322C">
        <w:trPr>
          <w:trHeight w:val="663"/>
          <w:jc w:val="center"/>
        </w:trPr>
        <w:tc>
          <w:tcPr>
            <w:tcW w:w="2794" w:type="dxa"/>
            <w:noWrap/>
            <w:hideMark/>
          </w:tcPr>
          <w:p w14:paraId="6144EA6B"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TOTAL A.I.U.</w:t>
            </w:r>
          </w:p>
        </w:tc>
        <w:tc>
          <w:tcPr>
            <w:tcW w:w="2408" w:type="dxa"/>
            <w:noWrap/>
            <w:hideMark/>
          </w:tcPr>
          <w:p w14:paraId="2BE1F618"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A.I.U.= </w:t>
            </w:r>
          </w:p>
        </w:tc>
        <w:tc>
          <w:tcPr>
            <w:tcW w:w="3044" w:type="dxa"/>
            <w:noWrap/>
            <w:hideMark/>
          </w:tcPr>
          <w:p w14:paraId="16AACDCA"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bl>
    <w:p w14:paraId="336F9233" w14:textId="77777777" w:rsidR="00D921B5" w:rsidRPr="00D67C1A" w:rsidRDefault="00D921B5" w:rsidP="00D921B5">
      <w:pPr>
        <w:widowControl w:val="0"/>
        <w:autoSpaceDE w:val="0"/>
        <w:autoSpaceDN w:val="0"/>
        <w:spacing w:after="120" w:line="276" w:lineRule="auto"/>
        <w:ind w:firstLine="709"/>
        <w:jc w:val="both"/>
        <w:rPr>
          <w:rFonts w:ascii="Arial" w:eastAsia="Arial" w:hAnsi="Arial" w:cs="Arial"/>
          <w:sz w:val="20"/>
          <w:szCs w:val="20"/>
          <w:lang w:val="es-ES" w:eastAsia="es-ES" w:bidi="es-ES"/>
        </w:rPr>
      </w:pPr>
    </w:p>
    <w:p w14:paraId="5A486EE4" w14:textId="2A723645" w:rsidR="00D921B5" w:rsidRPr="00D67C1A" w:rsidRDefault="00D921B5" w:rsidP="00D67C1A">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En este sentido, reiterando el principio de inalterabilidad, las entidades solo pueden modificar aquello que el documento tipo permita. Por ello, debido a que la primera hoja del Formulario 1 – Formulario del Presupuesto Oficial </w:t>
      </w:r>
      <w:r w:rsidR="00E92892" w:rsidRPr="00D67C1A">
        <w:rPr>
          <w:rFonts w:ascii="Arial" w:eastAsia="Arial" w:hAnsi="Arial" w:cs="Arial"/>
          <w:sz w:val="22"/>
          <w:lang w:val="es-ES" w:eastAsia="es-ES" w:bidi="es-ES"/>
        </w:rPr>
        <w:t>parcialmente impide</w:t>
      </w:r>
      <w:r w:rsidRPr="00D67C1A">
        <w:rPr>
          <w:rFonts w:ascii="Arial" w:eastAsia="Arial" w:hAnsi="Arial" w:cs="Arial"/>
          <w:sz w:val="22"/>
          <w:lang w:val="es-ES" w:eastAsia="es-ES" w:bidi="es-ES"/>
        </w:rPr>
        <w:t xml:space="preserv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27D2FBCB" w14:textId="662FAE26" w:rsidR="00D921B5" w:rsidRPr="00D67C1A" w:rsidRDefault="00D921B5" w:rsidP="00D67C1A">
      <w:pPr>
        <w:widowControl w:val="0"/>
        <w:autoSpaceDE w:val="0"/>
        <w:autoSpaceDN w:val="0"/>
        <w:spacing w:before="120" w:line="276" w:lineRule="auto"/>
        <w:ind w:firstLine="709"/>
        <w:jc w:val="both"/>
        <w:rPr>
          <w:rFonts w:ascii="Arial" w:eastAsia="Arial" w:hAnsi="Arial" w:cs="Arial"/>
          <w:sz w:val="22"/>
          <w:lang w:val="es-ES" w:eastAsia="es-ES" w:bidi="es-ES"/>
        </w:rPr>
      </w:pPr>
      <w:r w:rsidRPr="00D67C1A">
        <w:rPr>
          <w:rFonts w:ascii="Arial" w:eastAsia="Arial" w:hAnsi="Arial" w:cs="Arial"/>
          <w:sz w:val="22"/>
          <w:lang w:eastAsia="es-ES" w:bidi="es-ES"/>
        </w:rPr>
        <w:t xml:space="preserve">De otra parte, </w:t>
      </w:r>
      <w:r w:rsidRPr="00D67C1A">
        <w:rPr>
          <w:rFonts w:ascii="Arial" w:eastAsia="Arial" w:hAnsi="Arial" w:cs="Arial"/>
          <w:sz w:val="22"/>
          <w:lang w:val="es-ES" w:eastAsia="es-ES" w:bidi="es-ES"/>
        </w:rPr>
        <w:t>en los documentos tipo para procesos de licitación pública de obras de infraestructura de transporte, el «Formulario 1</w:t>
      </w:r>
      <w:r w:rsidRPr="00D67C1A">
        <w:rPr>
          <w:rFonts w:ascii="Arial" w:eastAsia="Calibri" w:hAnsi="Arial" w:cs="Arial"/>
          <w:sz w:val="22"/>
          <w:lang w:val="es-ES" w:eastAsia="es-ES" w:bidi="es-ES"/>
        </w:rPr>
        <w:t>» en su segunda pestaña en Excel, titulada «Formulario 1 propuesta económica»</w:t>
      </w:r>
      <w:r w:rsidRPr="00D67C1A">
        <w:rPr>
          <w:rFonts w:ascii="Arial" w:eastAsia="Arial" w:hAnsi="Arial" w:cs="Arial"/>
          <w:sz w:val="22"/>
          <w:lang w:val="es-ES" w:eastAsia="es-ES" w:bidi="es-ES"/>
        </w:rPr>
        <w:t xml:space="preserve">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w:t>
      </w:r>
      <w:r w:rsidRPr="00D67C1A">
        <w:rPr>
          <w:rFonts w:ascii="Arial" w:eastAsia="Calibri" w:hAnsi="Arial" w:cs="Arial"/>
          <w:color w:val="000000"/>
          <w:sz w:val="22"/>
          <w:lang w:val="es-ES_tradnl"/>
        </w:rPr>
        <w:t>Igualmente, se indica que los proponentes emplearán el formulario establecido por la entidad para determinar su propuesta económica conforme al Formulario 1 - Presupuesto Oficial publicado por la Entidad. Esto</w:t>
      </w:r>
      <w:r w:rsidRPr="00D67C1A">
        <w:rPr>
          <w:rFonts w:ascii="Arial" w:eastAsia="Calibri" w:hAnsi="Arial" w:cs="Arial"/>
          <w:sz w:val="22"/>
          <w:lang w:val="es-ES_tradnl"/>
        </w:rPr>
        <w:t xml:space="preserve"> significa </w:t>
      </w:r>
      <w:r w:rsidRPr="00D67C1A">
        <w:rPr>
          <w:rFonts w:ascii="Arial" w:eastAsia="Calibri" w:hAnsi="Arial" w:cs="Arial"/>
          <w:sz w:val="22"/>
          <w:lang w:val="es-ES"/>
        </w:rPr>
        <w:t>que las entidades pueden diseñar un formulario para que los proponentes presenten su oferta económica, sin que sea obligatorio sujetarse al formulario que los documentos tipo proponen para el efecto.</w:t>
      </w:r>
      <w:r w:rsidRPr="00D67C1A">
        <w:rPr>
          <w:rFonts w:ascii="Arial" w:eastAsia="Arial" w:hAnsi="Arial" w:cs="Arial"/>
          <w:bCs/>
          <w:sz w:val="22"/>
          <w:lang w:val="es-ES"/>
        </w:rPr>
        <w:t xml:space="preserve"> En todo caso, el proponente deberá emplear el formulario que establezca la entidad. </w:t>
      </w:r>
    </w:p>
    <w:p w14:paraId="641261DA" w14:textId="3F8B51BC" w:rsidR="00D921B5" w:rsidRPr="00D67C1A" w:rsidRDefault="00D921B5" w:rsidP="00E92892">
      <w:pPr>
        <w:widowControl w:val="0"/>
        <w:autoSpaceDE w:val="0"/>
        <w:autoSpaceDN w:val="0"/>
        <w:spacing w:before="120" w:line="276" w:lineRule="auto"/>
        <w:ind w:firstLine="709"/>
        <w:jc w:val="both"/>
        <w:rPr>
          <w:rFonts w:ascii="Arial" w:eastAsia="Arial" w:hAnsi="Arial" w:cs="Arial"/>
          <w:bCs/>
          <w:sz w:val="22"/>
          <w:lang w:val="es-ES"/>
        </w:rPr>
      </w:pPr>
      <w:r w:rsidRPr="00D67C1A">
        <w:rPr>
          <w:rFonts w:ascii="Arial" w:eastAsia="Arial" w:hAnsi="Arial" w:cs="Arial"/>
          <w:bCs/>
          <w:sz w:val="22"/>
          <w:lang w:val="es-ES"/>
        </w:rPr>
        <w:t xml:space="preserve">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w:t>
      </w:r>
      <w:r w:rsidRPr="00D67C1A">
        <w:rPr>
          <w:rFonts w:ascii="Arial" w:eastAsia="Arial" w:hAnsi="Arial" w:cs="Arial"/>
          <w:bCs/>
          <w:sz w:val="22"/>
          <w:lang w:val="es-ES"/>
        </w:rPr>
        <w:lastRenderedPageBreak/>
        <w:t xml:space="preserve">económica por parte del proponente se realizará teniendo en cuenta el formato determinado por la entidad, sea el que configure de acuerdo con el Formulario 1 o aquel que disponga sobre el particular. 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w:t>
      </w:r>
      <w:r w:rsidRPr="00D67C1A">
        <w:rPr>
          <w:rFonts w:ascii="Arial" w:eastAsia="Arial" w:hAnsi="Arial" w:cs="Arial"/>
          <w:bCs/>
          <w:i/>
          <w:iCs/>
          <w:sz w:val="22"/>
          <w:lang w:val="es-ES"/>
        </w:rPr>
        <w:t>ítems</w:t>
      </w:r>
      <w:r w:rsidRPr="00D67C1A">
        <w:rPr>
          <w:rFonts w:ascii="Arial" w:eastAsia="Arial" w:hAnsi="Arial" w:cs="Arial"/>
          <w:bCs/>
          <w:sz w:val="22"/>
          <w:lang w:val="es-ES"/>
        </w:rPr>
        <w:t>, en caso de que se opte por dicha regulación</w:t>
      </w:r>
      <w:r w:rsidR="00C662E6">
        <w:rPr>
          <w:rFonts w:ascii="Arial" w:eastAsia="Arial" w:hAnsi="Arial" w:cs="Arial"/>
          <w:bCs/>
          <w:sz w:val="22"/>
          <w:lang w:val="es-ES"/>
        </w:rPr>
        <w:t xml:space="preserve"> y que la oferta resulte </w:t>
      </w:r>
      <w:r w:rsidR="001C1F29" w:rsidRPr="001C1F29">
        <w:rPr>
          <w:rFonts w:ascii="Arial" w:eastAsia="Arial" w:hAnsi="Arial" w:cs="Arial"/>
          <w:bCs/>
          <w:sz w:val="22"/>
          <w:lang w:val="es-ES"/>
        </w:rPr>
        <w:t>inequívoca, precisa, completa, voluntaria</w:t>
      </w:r>
      <w:r w:rsidR="001C1F29">
        <w:rPr>
          <w:rFonts w:ascii="Arial" w:eastAsia="Arial" w:hAnsi="Arial" w:cs="Arial"/>
          <w:bCs/>
          <w:sz w:val="22"/>
          <w:lang w:val="es-ES"/>
        </w:rPr>
        <w:t xml:space="preserve"> y dirigida correctamente al destinatario, pues de esta manera la expresión de la voluntad del oferente interesado en la adjudicación del contrato tiene eficacia jurídica vinculante</w:t>
      </w:r>
      <w:r w:rsidR="001C1F29">
        <w:rPr>
          <w:rStyle w:val="Refdenotaalpie"/>
          <w:rFonts w:ascii="Arial" w:eastAsia="Arial" w:hAnsi="Arial" w:cs="Arial"/>
          <w:bCs/>
          <w:sz w:val="22"/>
          <w:lang w:val="es-ES"/>
        </w:rPr>
        <w:footnoteReference w:id="15"/>
      </w:r>
      <w:r w:rsidR="001C1F29">
        <w:rPr>
          <w:rFonts w:ascii="Arial" w:eastAsia="Arial" w:hAnsi="Arial" w:cs="Arial"/>
          <w:bCs/>
          <w:sz w:val="22"/>
          <w:lang w:val="es-ES"/>
        </w:rPr>
        <w:t xml:space="preserve">. </w:t>
      </w:r>
      <w:r w:rsidRPr="00D67C1A">
        <w:rPr>
          <w:rFonts w:ascii="Arial" w:eastAsia="Arial" w:hAnsi="Arial" w:cs="Arial"/>
          <w:bCs/>
          <w:sz w:val="22"/>
          <w:lang w:val="es-ES"/>
        </w:rPr>
        <w:t xml:space="preserve"> </w:t>
      </w:r>
    </w:p>
    <w:p w14:paraId="01BCD09F" w14:textId="7A98C709" w:rsidR="0053424F" w:rsidRPr="00D67C1A" w:rsidRDefault="00D921B5" w:rsidP="00E92892">
      <w:pPr>
        <w:widowControl w:val="0"/>
        <w:autoSpaceDE w:val="0"/>
        <w:autoSpaceDN w:val="0"/>
        <w:spacing w:before="120" w:line="276" w:lineRule="auto"/>
        <w:ind w:firstLine="709"/>
        <w:jc w:val="both"/>
        <w:rPr>
          <w:rFonts w:ascii="Arial" w:eastAsia="Calibri" w:hAnsi="Arial" w:cs="Arial"/>
          <w:sz w:val="22"/>
          <w:lang w:val="es-ES"/>
        </w:rPr>
      </w:pPr>
      <w:r w:rsidRPr="00D67C1A">
        <w:rPr>
          <w:rFonts w:ascii="Arial" w:eastAsia="Calibri" w:hAnsi="Arial" w:cs="Arial"/>
          <w:sz w:val="22"/>
          <w:lang w:val="es-ES"/>
        </w:rPr>
        <w:t>Así las cosas,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en un formulario distinto</w:t>
      </w:r>
      <w:r w:rsidR="00F835D8" w:rsidRPr="00D67C1A">
        <w:rPr>
          <w:rFonts w:ascii="Arial" w:eastAsia="Calibri" w:hAnsi="Arial" w:cs="Arial"/>
          <w:sz w:val="22"/>
          <w:lang w:val="es-ES"/>
        </w:rPr>
        <w:t xml:space="preserve"> o que realicen modificaciones parciales al mismo, dentro de las posibilidades que admite el mismo Formulario.</w:t>
      </w:r>
    </w:p>
    <w:p w14:paraId="5372E41B" w14:textId="1AE12BC9" w:rsidR="00091301" w:rsidRDefault="005530C0" w:rsidP="003A3528">
      <w:pPr>
        <w:widowControl w:val="0"/>
        <w:autoSpaceDE w:val="0"/>
        <w:autoSpaceDN w:val="0"/>
        <w:spacing w:before="120" w:line="276" w:lineRule="auto"/>
        <w:ind w:firstLine="709"/>
        <w:jc w:val="both"/>
        <w:rPr>
          <w:rFonts w:ascii="Arial" w:eastAsia="Calibri" w:hAnsi="Arial" w:cs="Arial"/>
          <w:sz w:val="22"/>
          <w:lang w:val="es-ES"/>
        </w:rPr>
      </w:pPr>
      <w:r w:rsidRPr="00D67C1A">
        <w:rPr>
          <w:rFonts w:ascii="Arial" w:eastAsia="Calibri" w:hAnsi="Arial" w:cs="Arial"/>
          <w:sz w:val="22"/>
          <w:lang w:val="es-ES"/>
        </w:rPr>
        <w:t xml:space="preserve">En línea con lo anterior, cabe precisar que </w:t>
      </w:r>
      <w:r w:rsidR="00AE4B6E" w:rsidRPr="00D67C1A">
        <w:rPr>
          <w:rFonts w:ascii="Arial" w:eastAsia="Calibri" w:hAnsi="Arial" w:cs="Arial"/>
          <w:sz w:val="22"/>
          <w:lang w:val="es-ES"/>
        </w:rPr>
        <w:t>consideraciones</w:t>
      </w:r>
      <w:r w:rsidRPr="00D67C1A">
        <w:rPr>
          <w:rFonts w:ascii="Arial" w:eastAsia="Calibri" w:hAnsi="Arial" w:cs="Arial"/>
          <w:sz w:val="22"/>
          <w:lang w:val="es-ES"/>
        </w:rPr>
        <w:t xml:space="preserve"> similares a las realizadas frente a la primera pestaña de Excel, donde la entidad elabora el presupuesto oficial, son aplicables a la segunda pestaña donde la entidad configura el formulario mediante el cual los proponentes presentarán sus ofertas económica, lo anterior debido a que ambas pestañas tienen instrucciones similares respecto a su configuración por parte de las entidades estatales. </w:t>
      </w:r>
    </w:p>
    <w:p w14:paraId="26615EC4" w14:textId="77777777" w:rsidR="00051B81" w:rsidRDefault="00051B81" w:rsidP="00051B81">
      <w:pPr>
        <w:jc w:val="both"/>
        <w:rPr>
          <w:rFonts w:ascii="Arial" w:eastAsia="Calibri" w:hAnsi="Arial" w:cs="Arial"/>
          <w:b/>
          <w:bCs/>
          <w:color w:val="000000"/>
          <w:sz w:val="22"/>
          <w:szCs w:val="24"/>
          <w:lang w:val="es-CO" w:eastAsia="en-GB"/>
        </w:rPr>
      </w:pPr>
    </w:p>
    <w:p w14:paraId="14BB5342" w14:textId="7F74294D" w:rsidR="00051B81" w:rsidRPr="00051B81" w:rsidRDefault="00051B81" w:rsidP="00051B81">
      <w:pPr>
        <w:jc w:val="both"/>
        <w:rPr>
          <w:rFonts w:ascii="Arial" w:eastAsia="Calibri" w:hAnsi="Arial" w:cs="Arial"/>
          <w:b/>
          <w:bCs/>
          <w:color w:val="000000"/>
          <w:sz w:val="20"/>
          <w:szCs w:val="20"/>
          <w:lang w:val="es-ES_tradnl" w:bidi="es-ES"/>
        </w:rPr>
      </w:pPr>
      <w:r w:rsidRPr="00051B81">
        <w:rPr>
          <w:rFonts w:ascii="Arial" w:eastAsia="Calibri" w:hAnsi="Arial" w:cs="Arial"/>
          <w:b/>
          <w:bCs/>
          <w:color w:val="000000"/>
          <w:sz w:val="22"/>
          <w:szCs w:val="24"/>
          <w:lang w:val="es-CO" w:eastAsia="en-GB"/>
        </w:rPr>
        <w:t>2.3.</w:t>
      </w:r>
      <w:r w:rsidRPr="00051B81">
        <w:rPr>
          <w:rFonts w:ascii="Times New Roman" w:eastAsia="Times New Roman" w:hAnsi="Times New Roman" w:cs="Times New Roman"/>
          <w:b/>
          <w:bCs/>
          <w:szCs w:val="24"/>
          <w:lang w:val="es-CO" w:eastAsia="es-ES_tradnl"/>
        </w:rPr>
        <w:t xml:space="preserve"> </w:t>
      </w:r>
      <w:r w:rsidRPr="00051B81">
        <w:rPr>
          <w:rFonts w:ascii="Arial" w:eastAsia="Calibri" w:hAnsi="Arial" w:cs="Arial"/>
          <w:b/>
          <w:bCs/>
          <w:color w:val="000000"/>
          <w:sz w:val="22"/>
          <w:lang w:val="es-ES_tradnl" w:bidi="es-ES"/>
        </w:rPr>
        <w:t>Presentar más de una oferta económica con valores distintos en el Sobre 2 y las causales de rechazo</w:t>
      </w:r>
      <w:r w:rsidRPr="00051B81">
        <w:rPr>
          <w:rFonts w:ascii="Arial" w:eastAsia="Calibri" w:hAnsi="Arial" w:cs="Arial"/>
          <w:b/>
          <w:bCs/>
          <w:color w:val="000000"/>
          <w:sz w:val="20"/>
          <w:szCs w:val="20"/>
          <w:lang w:val="es-ES_tradnl" w:bidi="es-ES"/>
        </w:rPr>
        <w:t xml:space="preserve"> </w:t>
      </w:r>
    </w:p>
    <w:p w14:paraId="7175C844" w14:textId="77777777" w:rsidR="00051B81" w:rsidRPr="00051B81" w:rsidRDefault="00051B81" w:rsidP="00051B81">
      <w:pPr>
        <w:spacing w:line="276" w:lineRule="auto"/>
        <w:jc w:val="both"/>
        <w:rPr>
          <w:rFonts w:ascii="Arial" w:eastAsia="Calibri" w:hAnsi="Arial" w:cs="Arial"/>
          <w:b/>
          <w:bCs/>
          <w:color w:val="000000"/>
          <w:sz w:val="20"/>
          <w:szCs w:val="20"/>
          <w:lang w:val="es-ES_tradnl" w:bidi="es-ES"/>
        </w:rPr>
      </w:pPr>
    </w:p>
    <w:p w14:paraId="574AB081" w14:textId="480CEF38" w:rsidR="00BC0144" w:rsidRDefault="00BC0144" w:rsidP="00BC0144">
      <w:pPr>
        <w:spacing w:after="120" w:line="276" w:lineRule="auto"/>
        <w:jc w:val="both"/>
        <w:rPr>
          <w:rFonts w:ascii="Arial" w:eastAsia="Calibri" w:hAnsi="Arial" w:cs="Arial"/>
          <w:sz w:val="22"/>
        </w:rPr>
      </w:pPr>
      <w:r w:rsidRPr="00BC0144">
        <w:rPr>
          <w:rFonts w:ascii="Arial" w:eastAsia="Calibri" w:hAnsi="Arial" w:cs="Arial"/>
          <w:sz w:val="22"/>
        </w:rPr>
        <w:t xml:space="preserve">Teniendo en cuenta que </w:t>
      </w:r>
      <w:r>
        <w:rPr>
          <w:rFonts w:ascii="Arial" w:eastAsia="Calibri" w:hAnsi="Arial" w:cs="Arial"/>
          <w:sz w:val="22"/>
        </w:rPr>
        <w:t>la</w:t>
      </w:r>
      <w:r w:rsidRPr="00BC0144">
        <w:rPr>
          <w:rFonts w:ascii="Arial" w:eastAsia="Calibri" w:hAnsi="Arial" w:cs="Arial"/>
          <w:sz w:val="22"/>
        </w:rPr>
        <w:t xml:space="preserve"> consulta se relaciona con el sobre </w:t>
      </w:r>
      <w:r>
        <w:rPr>
          <w:rFonts w:ascii="Arial" w:eastAsia="Calibri" w:hAnsi="Arial" w:cs="Arial"/>
          <w:sz w:val="22"/>
        </w:rPr>
        <w:t>2,</w:t>
      </w:r>
      <w:r w:rsidRPr="00BC0144">
        <w:rPr>
          <w:rFonts w:ascii="Arial" w:eastAsia="Calibri" w:hAnsi="Arial" w:cs="Arial"/>
          <w:sz w:val="22"/>
        </w:rPr>
        <w:t xml:space="preserve"> es necesario mencionar que, al tratarse de una obra pública de infraestructura de transporte, la Ley 1882 de 2018, en el artículo 1</w:t>
      </w:r>
      <w:r w:rsidRPr="00BC0144">
        <w:rPr>
          <w:rFonts w:ascii="Arial" w:eastAsia="Calibri" w:hAnsi="Arial" w:cs="Arial"/>
          <w:sz w:val="22"/>
          <w:vertAlign w:val="superscript"/>
        </w:rPr>
        <w:footnoteReference w:id="16"/>
      </w:r>
      <w:r w:rsidRPr="00BC0144">
        <w:rPr>
          <w:rFonts w:ascii="Arial" w:eastAsia="Calibri" w:hAnsi="Arial" w:cs="Arial"/>
          <w:sz w:val="22"/>
        </w:rPr>
        <w:t xml:space="preserve">, señala que las ofertas deben estar conformadas por dos sobres: i) sobre </w:t>
      </w:r>
      <w:r w:rsidRPr="00BC0144">
        <w:rPr>
          <w:rFonts w:ascii="Arial" w:eastAsia="Calibri" w:hAnsi="Arial" w:cs="Arial"/>
          <w:sz w:val="22"/>
        </w:rPr>
        <w:lastRenderedPageBreak/>
        <w:t xml:space="preserve">1: requisitos habilitantes y requisitos puntuables, diferentes a la oferta económica y ii) sobre 2: oferta económica. </w:t>
      </w:r>
    </w:p>
    <w:p w14:paraId="4E90C8DF" w14:textId="5398D812" w:rsidR="00051B81" w:rsidRPr="00051B81" w:rsidRDefault="001019CA" w:rsidP="00051B81">
      <w:pPr>
        <w:tabs>
          <w:tab w:val="left" w:pos="709"/>
        </w:tabs>
        <w:spacing w:line="276" w:lineRule="auto"/>
        <w:jc w:val="both"/>
        <w:rPr>
          <w:rFonts w:ascii="Arial" w:eastAsia="Calibri" w:hAnsi="Arial" w:cs="Arial"/>
          <w:sz w:val="22"/>
        </w:rPr>
      </w:pPr>
      <w:r>
        <w:rPr>
          <w:rFonts w:ascii="Arial" w:eastAsia="Calibri" w:hAnsi="Arial" w:cs="Arial"/>
          <w:sz w:val="22"/>
        </w:rPr>
        <w:tab/>
      </w:r>
      <w:r w:rsidR="00BC0144">
        <w:rPr>
          <w:rFonts w:ascii="Arial" w:eastAsia="Calibri" w:hAnsi="Arial" w:cs="Arial"/>
          <w:sz w:val="22"/>
        </w:rPr>
        <w:t>De otra parte, l</w:t>
      </w:r>
      <w:r w:rsidR="00051B81" w:rsidRPr="00051B81">
        <w:rPr>
          <w:rFonts w:ascii="Arial" w:eastAsia="Calibri" w:hAnsi="Arial" w:cs="Arial"/>
          <w:sz w:val="22"/>
        </w:rPr>
        <w:t>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2376E9B5" w14:textId="77777777" w:rsidR="00051B81" w:rsidRPr="00051B81" w:rsidRDefault="00051B81" w:rsidP="00051B81">
      <w:pPr>
        <w:tabs>
          <w:tab w:val="left" w:pos="709"/>
        </w:tabs>
        <w:spacing w:line="276" w:lineRule="auto"/>
        <w:ind w:firstLine="709"/>
        <w:jc w:val="both"/>
        <w:rPr>
          <w:rFonts w:ascii="Arial" w:eastAsia="Calibri" w:hAnsi="Arial" w:cs="Arial"/>
          <w:sz w:val="22"/>
        </w:rPr>
      </w:pPr>
    </w:p>
    <w:p w14:paraId="23F07E4D" w14:textId="77777777" w:rsidR="00051B81" w:rsidRPr="00051B81" w:rsidRDefault="00051B81" w:rsidP="00051B81">
      <w:pPr>
        <w:tabs>
          <w:tab w:val="left" w:pos="709"/>
        </w:tabs>
        <w:ind w:left="709" w:right="709"/>
        <w:jc w:val="both"/>
        <w:rPr>
          <w:rFonts w:ascii="Arial" w:eastAsia="Calibri" w:hAnsi="Arial" w:cs="Arial"/>
          <w:sz w:val="22"/>
        </w:rPr>
      </w:pPr>
      <w:r w:rsidRPr="00051B81">
        <w:rPr>
          <w:rFonts w:ascii="Arial" w:eastAsia="Calibri" w:hAnsi="Arial" w:cs="Arial"/>
          <w:sz w:val="21"/>
          <w:szCs w:val="21"/>
        </w:rPr>
        <w:t>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051B81">
        <w:rPr>
          <w:rFonts w:ascii="Arial" w:eastAsia="Calibri" w:hAnsi="Arial" w:cs="Arial"/>
          <w:sz w:val="22"/>
        </w:rPr>
        <w:t xml:space="preserve"> </w:t>
      </w:r>
      <w:r w:rsidRPr="00051B81">
        <w:rPr>
          <w:rFonts w:ascii="Arial" w:eastAsia="Calibri" w:hAnsi="Arial" w:cs="Arial"/>
          <w:sz w:val="21"/>
          <w:szCs w:val="21"/>
        </w:rPr>
        <w:t>transparencia, economía y responsabilidad, así como el deber de selección objetiva en la contratación</w:t>
      </w:r>
      <w:r w:rsidRPr="00051B81">
        <w:rPr>
          <w:rFonts w:ascii="Arial" w:eastAsia="Calibri" w:hAnsi="Arial" w:cs="Arial"/>
          <w:sz w:val="21"/>
          <w:szCs w:val="21"/>
          <w:vertAlign w:val="superscript"/>
        </w:rPr>
        <w:footnoteReference w:id="17"/>
      </w:r>
      <w:r w:rsidRPr="00051B81">
        <w:rPr>
          <w:rFonts w:ascii="Arial" w:eastAsia="Calibri" w:hAnsi="Arial" w:cs="Arial"/>
          <w:sz w:val="21"/>
          <w:szCs w:val="21"/>
        </w:rPr>
        <w:t>.</w:t>
      </w:r>
    </w:p>
    <w:p w14:paraId="5C2A16A1" w14:textId="77777777" w:rsidR="00051B81" w:rsidRPr="00051B81" w:rsidRDefault="00051B81" w:rsidP="00051B81">
      <w:pPr>
        <w:tabs>
          <w:tab w:val="left" w:pos="709"/>
        </w:tabs>
        <w:spacing w:line="276" w:lineRule="auto"/>
        <w:ind w:firstLine="709"/>
        <w:jc w:val="both"/>
        <w:rPr>
          <w:rFonts w:ascii="Arial" w:eastAsia="Calibri" w:hAnsi="Arial" w:cs="Arial"/>
          <w:sz w:val="22"/>
        </w:rPr>
      </w:pPr>
    </w:p>
    <w:p w14:paraId="6598E3BF" w14:textId="016F86B2" w:rsidR="007900BE" w:rsidRDefault="007900BE" w:rsidP="007900BE">
      <w:pPr>
        <w:tabs>
          <w:tab w:val="left" w:pos="709"/>
          <w:tab w:val="left" w:pos="851"/>
        </w:tabs>
        <w:spacing w:after="120" w:line="276" w:lineRule="auto"/>
        <w:jc w:val="both"/>
        <w:rPr>
          <w:rFonts w:ascii="Arial" w:eastAsia="Calibri" w:hAnsi="Arial" w:cs="Arial"/>
          <w:sz w:val="22"/>
          <w:szCs w:val="20"/>
        </w:rPr>
      </w:pPr>
      <w:r>
        <w:rPr>
          <w:rFonts w:ascii="Arial" w:eastAsia="Calibri" w:hAnsi="Arial" w:cs="Arial"/>
          <w:sz w:val="22"/>
          <w:szCs w:val="20"/>
        </w:rPr>
        <w:tab/>
      </w:r>
      <w:r w:rsidRPr="00121AE5">
        <w:rPr>
          <w:rFonts w:ascii="Arial" w:eastAsia="Calibri" w:hAnsi="Arial" w:cs="Arial"/>
          <w:sz w:val="22"/>
          <w:szCs w:val="20"/>
        </w:rPr>
        <w:t>La Agencia Nacional de Contratación Pública – Colombia Compra Eficiente – mediante los conceptos con radicados Nos. 2201913000007117 del 25 de septiembre de 2019, 2201913000009538 del 23 de diciembre de 2019 y C- 716 del 30 de octubre de 2020,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03FE0FDF" w14:textId="77777777" w:rsidR="00155BFC" w:rsidRPr="00121AE5" w:rsidRDefault="00155BFC" w:rsidP="00155BFC">
      <w:pPr>
        <w:tabs>
          <w:tab w:val="left" w:pos="709"/>
          <w:tab w:val="left" w:pos="851"/>
        </w:tabs>
        <w:spacing w:after="120" w:line="276" w:lineRule="auto"/>
        <w:ind w:firstLine="709"/>
        <w:jc w:val="both"/>
        <w:rPr>
          <w:rFonts w:ascii="Arial" w:eastAsia="Calibri" w:hAnsi="Arial" w:cs="Arial"/>
          <w:color w:val="000000"/>
          <w:sz w:val="22"/>
        </w:rPr>
      </w:pPr>
      <w:bookmarkStart w:id="5" w:name="_Hlk112162868"/>
      <w:r w:rsidRPr="00121AE5">
        <w:rPr>
          <w:rFonts w:ascii="Arial" w:eastAsia="Calibri" w:hAnsi="Arial" w:cs="Arial"/>
          <w:sz w:val="22"/>
          <w:szCs w:val="20"/>
        </w:rPr>
        <w:t>De acuerdo con lo anterior, al consultar el</w:t>
      </w:r>
      <w:r w:rsidRPr="00121AE5">
        <w:rPr>
          <w:rFonts w:ascii="Arial" w:eastAsia="Calibri" w:hAnsi="Arial" w:cs="Arial"/>
          <w:color w:val="000000"/>
          <w:sz w:val="22"/>
        </w:rPr>
        <w:t xml:space="preserve"> numeral 1.15</w:t>
      </w:r>
      <w:r w:rsidRPr="00121AE5">
        <w:rPr>
          <w:rFonts w:ascii="Calibri" w:eastAsia="Calibri" w:hAnsi="Calibri" w:cs="Times New Roman"/>
        </w:rPr>
        <w:t xml:space="preserve"> </w:t>
      </w:r>
      <w:r w:rsidRPr="00121AE5">
        <w:rPr>
          <w:rFonts w:ascii="Arial" w:eastAsia="Calibri" w:hAnsi="Arial" w:cs="Arial"/>
          <w:color w:val="000000"/>
          <w:sz w:val="22"/>
        </w:rPr>
        <w:t>del pliego tipo «Documento Base» de «licitación de obra pública de infraestructura de transporte – Versión 3», que consagra el listado de las causales de rechazo aplicables a estos procedimientos de selección</w:t>
      </w:r>
      <w:bookmarkEnd w:id="5"/>
      <w:r w:rsidRPr="00121AE5">
        <w:rPr>
          <w:rFonts w:ascii="Arial" w:eastAsia="Calibri" w:hAnsi="Arial" w:cs="Arial"/>
          <w:color w:val="000000"/>
          <w:sz w:val="22"/>
        </w:rPr>
        <w:t>, se observa:</w:t>
      </w:r>
    </w:p>
    <w:p w14:paraId="44B395FC" w14:textId="77777777" w:rsidR="00155BFC" w:rsidRPr="00121AE5" w:rsidRDefault="00155BFC" w:rsidP="00013A51">
      <w:pPr>
        <w:tabs>
          <w:tab w:val="left" w:pos="709"/>
        </w:tabs>
        <w:spacing w:after="120"/>
        <w:ind w:left="709" w:right="709"/>
        <w:jc w:val="both"/>
        <w:rPr>
          <w:rFonts w:ascii="Arial" w:eastAsia="Calibri" w:hAnsi="Arial" w:cs="Times New Roman"/>
          <w:color w:val="000000"/>
          <w:sz w:val="21"/>
          <w:szCs w:val="21"/>
        </w:rPr>
      </w:pPr>
      <w:r w:rsidRPr="00121AE5">
        <w:rPr>
          <w:rFonts w:ascii="Arial" w:eastAsia="Calibri" w:hAnsi="Arial" w:cs="Times New Roman"/>
          <w:color w:val="000000"/>
          <w:sz w:val="21"/>
          <w:szCs w:val="21"/>
        </w:rPr>
        <w:t xml:space="preserve">Son causales de rechazo de las propuestas las siguientes </w:t>
      </w:r>
      <w:r w:rsidRPr="00121AE5">
        <w:rPr>
          <w:rFonts w:ascii="Arial" w:eastAsia="Calibri" w:hAnsi="Arial" w:cs="Times New Roman"/>
          <w:color w:val="000000"/>
          <w:sz w:val="21"/>
          <w:szCs w:val="21"/>
          <w:highlight w:val="lightGray"/>
        </w:rPr>
        <w:t>[Las entidades no podrán incluir causales de rechazo distintas a las señaladas en la presente sección]</w:t>
      </w:r>
      <w:r w:rsidRPr="00121AE5">
        <w:rPr>
          <w:rFonts w:ascii="Arial" w:eastAsia="Calibri" w:hAnsi="Arial" w:cs="Times New Roman"/>
          <w:color w:val="000000"/>
          <w:sz w:val="21"/>
          <w:szCs w:val="21"/>
        </w:rPr>
        <w:t>:</w:t>
      </w:r>
    </w:p>
    <w:p w14:paraId="23579FBA" w14:textId="1F946317" w:rsidR="00155BFC" w:rsidRPr="00121AE5" w:rsidRDefault="00155BFC" w:rsidP="00013A51">
      <w:pPr>
        <w:tabs>
          <w:tab w:val="left" w:pos="709"/>
        </w:tabs>
        <w:spacing w:after="120"/>
        <w:ind w:left="709" w:right="709"/>
        <w:jc w:val="both"/>
        <w:rPr>
          <w:rFonts w:ascii="Arial" w:eastAsia="Calibri" w:hAnsi="Arial" w:cs="Times New Roman"/>
          <w:color w:val="000000"/>
          <w:sz w:val="21"/>
          <w:szCs w:val="21"/>
        </w:rPr>
      </w:pPr>
      <w:r>
        <w:rPr>
          <w:rFonts w:ascii="Arial" w:eastAsia="Calibri" w:hAnsi="Arial" w:cs="Times New Roman"/>
          <w:color w:val="000000"/>
          <w:sz w:val="21"/>
          <w:szCs w:val="21"/>
        </w:rPr>
        <w:lastRenderedPageBreak/>
        <w:t>[…]</w:t>
      </w:r>
    </w:p>
    <w:p w14:paraId="73976B06" w14:textId="0236E6F8" w:rsidR="00155BFC" w:rsidRPr="00013A51" w:rsidRDefault="00155BFC" w:rsidP="00013A51">
      <w:pPr>
        <w:pStyle w:val="Prrafodelista"/>
        <w:numPr>
          <w:ilvl w:val="0"/>
          <w:numId w:val="21"/>
        </w:numPr>
        <w:tabs>
          <w:tab w:val="left" w:pos="709"/>
        </w:tabs>
        <w:spacing w:after="120"/>
        <w:ind w:left="709" w:right="709"/>
        <w:jc w:val="both"/>
        <w:rPr>
          <w:rFonts w:ascii="Arial" w:eastAsia="Calibri" w:hAnsi="Arial" w:cs="Times New Roman"/>
          <w:color w:val="000000"/>
          <w:sz w:val="21"/>
          <w:szCs w:val="21"/>
          <w:highlight w:val="lightGray"/>
        </w:rPr>
      </w:pPr>
      <w:r w:rsidRPr="00013A51">
        <w:rPr>
          <w:rFonts w:ascii="Arial" w:eastAsia="Calibri" w:hAnsi="Arial" w:cs="Times New Roman"/>
          <w:color w:val="000000"/>
          <w:sz w:val="21"/>
          <w:szCs w:val="21"/>
        </w:rPr>
        <w:t xml:space="preserve">Presentar más de una oferta económica con valores distintos en el Sobre 2. </w:t>
      </w:r>
      <w:r w:rsidRPr="00013A51">
        <w:rPr>
          <w:rFonts w:ascii="Arial" w:eastAsia="Calibri" w:hAnsi="Arial" w:cs="Times New Roman"/>
          <w:color w:val="000000"/>
          <w:sz w:val="21"/>
          <w:szCs w:val="21"/>
          <w:highlight w:val="lightGray"/>
        </w:rPr>
        <w:t>[Cuando el proceso se estructure por lotes o grupos reemplazar el texto anterior por el siguiente: Presentar más de una oferta económica con valores distintos para el mismo lote o grupo]</w:t>
      </w:r>
      <w:r>
        <w:rPr>
          <w:rFonts w:ascii="Arial" w:eastAsia="Calibri" w:hAnsi="Arial" w:cs="Times New Roman"/>
          <w:color w:val="000000"/>
          <w:sz w:val="21"/>
          <w:szCs w:val="21"/>
          <w:highlight w:val="lightGray"/>
        </w:rPr>
        <w:t xml:space="preserve"> [..] </w:t>
      </w:r>
    </w:p>
    <w:p w14:paraId="2E8EFAF6" w14:textId="77777777" w:rsidR="00155BFC" w:rsidRPr="00121AE5" w:rsidRDefault="00155BFC" w:rsidP="007900BE">
      <w:pPr>
        <w:tabs>
          <w:tab w:val="left" w:pos="709"/>
          <w:tab w:val="left" w:pos="851"/>
        </w:tabs>
        <w:spacing w:after="120" w:line="276" w:lineRule="auto"/>
        <w:jc w:val="both"/>
        <w:rPr>
          <w:rFonts w:ascii="Arial" w:eastAsia="Calibri" w:hAnsi="Arial" w:cs="Arial"/>
          <w:sz w:val="22"/>
          <w:szCs w:val="20"/>
        </w:rPr>
      </w:pPr>
    </w:p>
    <w:p w14:paraId="0AE3A762" w14:textId="77777777" w:rsidR="00155BFC" w:rsidRDefault="00155BFC" w:rsidP="00051B81">
      <w:pPr>
        <w:tabs>
          <w:tab w:val="left" w:pos="709"/>
        </w:tabs>
        <w:spacing w:before="120" w:line="276" w:lineRule="auto"/>
        <w:ind w:firstLine="709"/>
        <w:jc w:val="both"/>
        <w:rPr>
          <w:rFonts w:ascii="Arial" w:eastAsia="Arial" w:hAnsi="Arial" w:cs="Arial"/>
          <w:bCs/>
          <w:sz w:val="22"/>
          <w:lang w:val="es-ES" w:eastAsia="es-ES" w:bidi="es-ES"/>
        </w:rPr>
      </w:pPr>
    </w:p>
    <w:p w14:paraId="48C53053" w14:textId="2F659E89" w:rsidR="00B86751" w:rsidRPr="00056EF4" w:rsidRDefault="00B86751" w:rsidP="00B86751">
      <w:pPr>
        <w:tabs>
          <w:tab w:val="left" w:pos="709"/>
          <w:tab w:val="left" w:pos="851"/>
        </w:tabs>
        <w:spacing w:after="120" w:line="276" w:lineRule="auto"/>
        <w:jc w:val="both"/>
        <w:rPr>
          <w:rFonts w:ascii="Arial" w:eastAsia="Calibri" w:hAnsi="Arial" w:cs="Arial"/>
          <w:color w:val="000000"/>
          <w:sz w:val="22"/>
        </w:rPr>
      </w:pPr>
      <w:r w:rsidRPr="00056EF4">
        <w:rPr>
          <w:rFonts w:ascii="Arial" w:eastAsia="Calibri" w:hAnsi="Arial" w:cs="Arial"/>
          <w:color w:val="000000"/>
          <w:sz w:val="22"/>
        </w:rPr>
        <w:tab/>
        <w:t>En efecto</w:t>
      </w:r>
      <w:r>
        <w:rPr>
          <w:rFonts w:ascii="Arial" w:eastAsia="Calibri" w:hAnsi="Arial" w:cs="Arial"/>
          <w:color w:val="000000"/>
          <w:sz w:val="22"/>
        </w:rPr>
        <w:t>,</w:t>
      </w:r>
      <w:r w:rsidRPr="00056EF4">
        <w:rPr>
          <w:rFonts w:ascii="Arial" w:eastAsia="Calibri" w:hAnsi="Arial" w:cs="Arial"/>
          <w:color w:val="000000"/>
          <w:sz w:val="22"/>
        </w:rPr>
        <w:t xml:space="preserve"> el literal W establece que se constituye como causal de rechazo «</w:t>
      </w:r>
      <w:r w:rsidRPr="00056EF4">
        <w:rPr>
          <w:rFonts w:ascii="Arial" w:eastAsia="Calibri" w:hAnsi="Arial" w:cs="Times New Roman"/>
          <w:color w:val="000000"/>
          <w:sz w:val="22"/>
        </w:rPr>
        <w:t>Presentar más de una oferta económica con valores distintos en el Sobre 2</w:t>
      </w:r>
      <w:r w:rsidRPr="00056EF4">
        <w:rPr>
          <w:rFonts w:ascii="Arial" w:eastAsia="Calibri" w:hAnsi="Arial" w:cs="Arial"/>
          <w:color w:val="000000"/>
          <w:sz w:val="22"/>
        </w:rPr>
        <w:t xml:space="preserve">». Conforme se desprende de este supuesto de hecho, esta causal sanciona con el rechazo a los proponentes que presenten varias ofertas económicas con valores distintos. En ese sentido, para que se configure la causal es necesario que, una vez abierto el sobre contentivo de la oferta económica, la entidad verifique </w:t>
      </w:r>
      <w:r>
        <w:rPr>
          <w:rFonts w:ascii="Arial" w:eastAsia="Calibri" w:hAnsi="Arial" w:cs="Arial"/>
          <w:color w:val="000000"/>
          <w:sz w:val="22"/>
        </w:rPr>
        <w:t>que</w:t>
      </w:r>
      <w:r w:rsidRPr="00056EF4">
        <w:rPr>
          <w:rFonts w:ascii="Arial" w:eastAsia="Calibri" w:hAnsi="Arial" w:cs="Arial"/>
          <w:color w:val="000000"/>
          <w:sz w:val="22"/>
        </w:rPr>
        <w:t xml:space="preserve"> el proponente incluyó más de una oferta económica, y que las mismas tienen valores distintos.  Conforme a esto, siendo la segunda hoja del Formulario 1 el documento mediante el cual se debe presentar la oferta económica, la causal claramente se configura en aquellos casos en que el proponente presente varias de estos documentos en el sobre No. 2, con valores discordantes. </w:t>
      </w:r>
    </w:p>
    <w:p w14:paraId="7DCA58C0" w14:textId="7A46DA5B" w:rsidR="00051B81" w:rsidRPr="00051B81" w:rsidRDefault="00ED23D4" w:rsidP="00051B81">
      <w:pPr>
        <w:tabs>
          <w:tab w:val="left" w:pos="709"/>
        </w:tabs>
        <w:spacing w:before="120" w:line="276" w:lineRule="auto"/>
        <w:ind w:firstLine="709"/>
        <w:jc w:val="both"/>
        <w:rPr>
          <w:rFonts w:ascii="Arial" w:eastAsia="Calibri" w:hAnsi="Arial" w:cs="Arial"/>
          <w:sz w:val="22"/>
          <w:lang w:val="es-ES" w:eastAsia="es-ES" w:bidi="es-ES"/>
        </w:rPr>
      </w:pPr>
      <w:r>
        <w:rPr>
          <w:rFonts w:ascii="Arial" w:eastAsia="Arial" w:hAnsi="Arial" w:cs="Arial"/>
          <w:bCs/>
          <w:sz w:val="22"/>
          <w:lang w:val="es-ES" w:eastAsia="es-ES" w:bidi="es-ES"/>
        </w:rPr>
        <w:t>Ahora bien, esta causal, así como las demás previstas en el Documento Base se debe aplicar por las entidades estatales</w:t>
      </w:r>
      <w:r w:rsidR="00051B81" w:rsidRPr="00051B81">
        <w:rPr>
          <w:rFonts w:ascii="Arial" w:eastAsia="Calibri" w:hAnsi="Arial" w:cs="Arial"/>
          <w:sz w:val="22"/>
          <w:lang w:val="es-ES" w:eastAsia="es-ES" w:bidi="es-ES"/>
        </w:rPr>
        <w:t>, determinando en cada caso concreto si la situación evidenciada en la presentación de la oferta configura en estricto sentido alguno de los supuestos de hecho establecidos en las mismas, sin valerse de interpretaciones extensivas</w:t>
      </w:r>
      <w:r w:rsidR="00051B81" w:rsidRPr="00051B81">
        <w:rPr>
          <w:rFonts w:ascii="Arial" w:eastAsia="Calibri" w:hAnsi="Arial" w:cs="Arial"/>
          <w:sz w:val="22"/>
          <w:vertAlign w:val="superscript"/>
          <w:lang w:val="es-ES" w:eastAsia="es-ES" w:bidi="es-ES"/>
        </w:rPr>
        <w:footnoteReference w:id="18"/>
      </w:r>
      <w:r w:rsidR="00051B81" w:rsidRPr="00051B81">
        <w:rPr>
          <w:rFonts w:ascii="Arial" w:eastAsia="Calibri" w:hAnsi="Arial" w:cs="Arial"/>
          <w:sz w:val="22"/>
          <w:lang w:val="es-ES" w:eastAsia="es-ES" w:bidi="es-ES"/>
        </w:rPr>
        <w:t xml:space="preserve">. </w:t>
      </w:r>
    </w:p>
    <w:p w14:paraId="2F80A2DA" w14:textId="27DE9D82" w:rsidR="00E2338D" w:rsidRDefault="00051B81" w:rsidP="00051B81">
      <w:pPr>
        <w:tabs>
          <w:tab w:val="left" w:pos="709"/>
        </w:tabs>
        <w:spacing w:before="120" w:line="276" w:lineRule="auto"/>
        <w:ind w:firstLine="709"/>
        <w:jc w:val="both"/>
        <w:rPr>
          <w:rFonts w:ascii="Arial" w:eastAsia="Calibri" w:hAnsi="Arial" w:cs="Arial"/>
          <w:bCs/>
          <w:sz w:val="22"/>
        </w:rPr>
      </w:pPr>
      <w:r w:rsidRPr="00051B81">
        <w:rPr>
          <w:rFonts w:ascii="Arial" w:eastAsia="Calibri" w:hAnsi="Arial" w:cs="Arial"/>
          <w:bCs/>
          <w:sz w:val="22"/>
        </w:rPr>
        <w:t>En este contexto, atendiendo a la consulta planteada, ante la hipótesis de una oferta</w:t>
      </w:r>
      <w:r w:rsidR="007D7559">
        <w:rPr>
          <w:rFonts w:ascii="Arial" w:eastAsia="Calibri" w:hAnsi="Arial" w:cs="Arial"/>
          <w:bCs/>
          <w:sz w:val="22"/>
        </w:rPr>
        <w:t xml:space="preserve"> económica</w:t>
      </w:r>
      <w:r w:rsidRPr="00051B81">
        <w:rPr>
          <w:rFonts w:ascii="Arial" w:eastAsia="Calibri" w:hAnsi="Arial" w:cs="Arial"/>
          <w:bCs/>
          <w:sz w:val="22"/>
        </w:rPr>
        <w:t xml:space="preserve"> presentada en </w:t>
      </w:r>
      <w:r w:rsidR="007D7559">
        <w:rPr>
          <w:rFonts w:ascii="Arial" w:eastAsia="Calibri" w:hAnsi="Arial" w:cs="Arial"/>
          <w:bCs/>
          <w:sz w:val="22"/>
        </w:rPr>
        <w:t xml:space="preserve">el Sobre 2 del </w:t>
      </w:r>
      <w:r w:rsidRPr="00051B81">
        <w:rPr>
          <w:rFonts w:ascii="Arial" w:eastAsia="Calibri" w:hAnsi="Arial" w:cs="Arial"/>
          <w:bCs/>
          <w:sz w:val="22"/>
        </w:rPr>
        <w:t xml:space="preserve">Formulario 1, </w:t>
      </w:r>
      <w:r w:rsidR="007D7559">
        <w:rPr>
          <w:rFonts w:ascii="Arial" w:eastAsia="Calibri" w:hAnsi="Arial" w:cs="Arial"/>
          <w:bCs/>
          <w:sz w:val="22"/>
        </w:rPr>
        <w:t xml:space="preserve">con 2 o más valores distintos </w:t>
      </w:r>
      <w:r w:rsidRPr="00051B81">
        <w:rPr>
          <w:rFonts w:ascii="Arial" w:eastAsia="Calibri" w:hAnsi="Arial" w:cs="Arial"/>
          <w:bCs/>
          <w:sz w:val="22"/>
        </w:rPr>
        <w:t xml:space="preserve">la entidad al momento de evaluar la oferta económica deberá </w:t>
      </w:r>
      <w:r w:rsidR="007D7559">
        <w:rPr>
          <w:rFonts w:ascii="Arial" w:eastAsia="Calibri" w:hAnsi="Arial" w:cs="Arial"/>
          <w:bCs/>
          <w:sz w:val="22"/>
        </w:rPr>
        <w:t>evaluar</w:t>
      </w:r>
      <w:r w:rsidRPr="00051B81">
        <w:rPr>
          <w:rFonts w:ascii="Arial" w:eastAsia="Calibri" w:hAnsi="Arial" w:cs="Arial"/>
          <w:bCs/>
          <w:sz w:val="22"/>
        </w:rPr>
        <w:t xml:space="preserve"> si, independientemente del documento y la forma en que esta haya sido presentada, se ajusta o no a los requerimientos mínimos con los que debe cumplir la oferta</w:t>
      </w:r>
      <w:r w:rsidR="007D7559">
        <w:rPr>
          <w:rFonts w:ascii="Arial" w:eastAsia="Calibri" w:hAnsi="Arial" w:cs="Arial"/>
          <w:bCs/>
          <w:sz w:val="22"/>
        </w:rPr>
        <w:t xml:space="preserve"> y si esta resulta </w:t>
      </w:r>
      <w:r w:rsidR="007D7559" w:rsidRPr="001C1F29">
        <w:rPr>
          <w:rFonts w:ascii="Arial" w:eastAsia="Arial" w:hAnsi="Arial" w:cs="Arial"/>
          <w:bCs/>
          <w:sz w:val="22"/>
          <w:lang w:val="es-ES"/>
        </w:rPr>
        <w:t>inequívoca, precisa, completa, voluntaria</w:t>
      </w:r>
      <w:r w:rsidR="007D7559">
        <w:rPr>
          <w:rFonts w:ascii="Arial" w:eastAsia="Arial" w:hAnsi="Arial" w:cs="Arial"/>
          <w:bCs/>
          <w:sz w:val="22"/>
          <w:lang w:val="es-ES"/>
        </w:rPr>
        <w:t xml:space="preserve"> y dirigida correctamente al destinatario, pues de esta manera la expresión de la voluntad del oferente que participa en el proceso de selección para </w:t>
      </w:r>
      <w:r w:rsidR="007D7559">
        <w:rPr>
          <w:rFonts w:ascii="Arial" w:eastAsia="Arial" w:hAnsi="Arial" w:cs="Arial"/>
          <w:bCs/>
          <w:sz w:val="22"/>
          <w:lang w:val="es-ES"/>
        </w:rPr>
        <w:lastRenderedPageBreak/>
        <w:t>adjudicar el contrato tiene eficacia jurídica vinculante</w:t>
      </w:r>
      <w:r w:rsidRPr="00051B81">
        <w:rPr>
          <w:rFonts w:ascii="Arial" w:eastAsia="Calibri" w:hAnsi="Arial" w:cs="Arial"/>
          <w:bCs/>
          <w:sz w:val="22"/>
        </w:rPr>
        <w:t>. Lo anterior se justifica en la medida en que prevalece la sustancia sobre la forma, siempre que lo consignado en la oferta económica cumpla con las reglas establecidas en el pliego de condiciones configurado por la entidad a partir del</w:t>
      </w:r>
      <w:r w:rsidR="00E2338D">
        <w:rPr>
          <w:rFonts w:ascii="Arial" w:eastAsia="Calibri" w:hAnsi="Arial" w:cs="Arial"/>
          <w:bCs/>
          <w:sz w:val="22"/>
        </w:rPr>
        <w:t xml:space="preserve"> los numerales 2.3 y 4.1 del</w:t>
      </w:r>
      <w:r w:rsidRPr="00051B81">
        <w:rPr>
          <w:rFonts w:ascii="Arial" w:eastAsia="Calibri" w:hAnsi="Arial" w:cs="Arial"/>
          <w:bCs/>
          <w:sz w:val="22"/>
        </w:rPr>
        <w:t xml:space="preserve"> Documento Base</w:t>
      </w:r>
      <w:r w:rsidR="00E2338D">
        <w:rPr>
          <w:rFonts w:ascii="Arial" w:eastAsia="Calibri" w:hAnsi="Arial" w:cs="Arial"/>
          <w:bCs/>
          <w:sz w:val="22"/>
        </w:rPr>
        <w:t>.</w:t>
      </w:r>
      <w:r w:rsidRPr="00051B81">
        <w:rPr>
          <w:rFonts w:ascii="Arial" w:eastAsia="Calibri" w:hAnsi="Arial" w:cs="Arial"/>
          <w:bCs/>
          <w:sz w:val="22"/>
        </w:rPr>
        <w:t xml:space="preserve"> </w:t>
      </w:r>
    </w:p>
    <w:p w14:paraId="521AE0DD" w14:textId="77777777" w:rsidR="00FE6C6F" w:rsidRDefault="00E2338D" w:rsidP="00FE6C6F">
      <w:pPr>
        <w:widowControl w:val="0"/>
        <w:autoSpaceDE w:val="0"/>
        <w:autoSpaceDN w:val="0"/>
        <w:spacing w:before="120" w:line="276" w:lineRule="auto"/>
        <w:ind w:firstLine="708"/>
        <w:jc w:val="both"/>
        <w:rPr>
          <w:rFonts w:ascii="Arial" w:eastAsia="Calibri" w:hAnsi="Arial" w:cs="Arial"/>
          <w:sz w:val="22"/>
          <w:lang w:val="es-ES" w:eastAsia="es-ES" w:bidi="es-ES"/>
        </w:rPr>
      </w:pPr>
      <w:r>
        <w:rPr>
          <w:rFonts w:ascii="Arial" w:eastAsia="Calibri" w:hAnsi="Arial" w:cs="Arial"/>
          <w:bCs/>
          <w:sz w:val="22"/>
        </w:rPr>
        <w:t>De esta manera,</w:t>
      </w:r>
      <w:r w:rsidR="009216FB">
        <w:rPr>
          <w:rFonts w:ascii="Arial" w:eastAsia="Calibri" w:hAnsi="Arial" w:cs="Arial"/>
          <w:bCs/>
          <w:sz w:val="22"/>
        </w:rPr>
        <w:t xml:space="preserve"> debe tenerse en cuenta que la presentación de la oferta económica debe cumplir con </w:t>
      </w:r>
      <w:r w:rsidR="009216FB" w:rsidRPr="00051B81">
        <w:rPr>
          <w:rFonts w:ascii="Arial" w:eastAsia="Calibri" w:hAnsi="Arial" w:cs="Arial"/>
          <w:sz w:val="22"/>
          <w:lang w:val="es-ES" w:eastAsia="es-ES" w:bidi="es-ES"/>
        </w:rPr>
        <w:t>la inclusión de</w:t>
      </w:r>
      <w:r w:rsidR="009216FB">
        <w:rPr>
          <w:rFonts w:ascii="Arial" w:eastAsia="Calibri" w:hAnsi="Arial" w:cs="Arial"/>
          <w:sz w:val="22"/>
          <w:lang w:val="es-ES" w:eastAsia="es-ES" w:bidi="es-ES"/>
        </w:rPr>
        <w:t xml:space="preserve"> la</w:t>
      </w:r>
      <w:r w:rsidR="009216FB" w:rsidRPr="00051B81">
        <w:rPr>
          <w:rFonts w:ascii="Arial" w:eastAsia="Calibri" w:hAnsi="Arial" w:cs="Arial"/>
          <w:sz w:val="22"/>
          <w:lang w:val="es-ES" w:eastAsia="es-ES" w:bidi="es-ES"/>
        </w:rPr>
        <w:t xml:space="preserve"> información</w:t>
      </w:r>
      <w:r w:rsidR="009216FB">
        <w:rPr>
          <w:rFonts w:ascii="Arial" w:eastAsia="Calibri" w:hAnsi="Arial" w:cs="Arial"/>
          <w:sz w:val="22"/>
          <w:lang w:val="es-ES" w:eastAsia="es-ES" w:bidi="es-ES"/>
        </w:rPr>
        <w:t xml:space="preserve"> y la presentación en dos sobres de ésta, cuando se trata de procesos de licitación pública de obra</w:t>
      </w:r>
      <w:r w:rsidR="009216FB" w:rsidRPr="00051B81">
        <w:rPr>
          <w:rFonts w:ascii="Arial" w:eastAsia="Calibri" w:hAnsi="Arial" w:cs="Arial"/>
          <w:sz w:val="22"/>
          <w:lang w:val="es-ES" w:eastAsia="es-ES" w:bidi="es-ES"/>
        </w:rPr>
        <w:t>, según lo establecido en los parágrafos 2 y 3 del artículo 30 de la Ley 80 de 1993, adicionados por la Ley 1882 de 2018</w:t>
      </w:r>
      <w:r w:rsidR="009216FB" w:rsidRPr="00051B81">
        <w:rPr>
          <w:rFonts w:ascii="Arial" w:eastAsia="Calibri" w:hAnsi="Arial" w:cs="Arial"/>
          <w:sz w:val="22"/>
          <w:vertAlign w:val="superscript"/>
          <w:lang w:val="es-ES" w:eastAsia="es-ES" w:bidi="es-ES"/>
        </w:rPr>
        <w:footnoteReference w:id="19"/>
      </w:r>
      <w:r w:rsidR="009216FB" w:rsidRPr="00051B81">
        <w:rPr>
          <w:rFonts w:ascii="Arial" w:eastAsia="Calibri" w:hAnsi="Arial" w:cs="Arial"/>
          <w:sz w:val="22"/>
          <w:lang w:val="es-ES" w:eastAsia="es-ES" w:bidi="es-ES"/>
        </w:rPr>
        <w:t xml:space="preserve">, </w:t>
      </w:r>
      <w:r w:rsidR="009216FB">
        <w:rPr>
          <w:rFonts w:ascii="Arial" w:eastAsia="Calibri" w:hAnsi="Arial" w:cs="Arial"/>
          <w:sz w:val="22"/>
          <w:lang w:val="es-ES" w:eastAsia="es-ES" w:bidi="es-ES"/>
        </w:rPr>
        <w:t>que están expresamente</w:t>
      </w:r>
      <w:r w:rsidR="009216FB" w:rsidRPr="00051B81">
        <w:rPr>
          <w:rFonts w:ascii="Arial" w:eastAsia="Calibri" w:hAnsi="Arial" w:cs="Arial"/>
          <w:sz w:val="22"/>
          <w:lang w:val="es-ES" w:eastAsia="es-ES" w:bidi="es-ES"/>
        </w:rPr>
        <w:t xml:space="preserve"> regulados en los numerales 2.3, 2.3.1 y 2.3.2 del Documento Base</w:t>
      </w:r>
      <w:r w:rsidR="009216FB">
        <w:rPr>
          <w:rFonts w:ascii="Arial" w:eastAsia="Calibri" w:hAnsi="Arial" w:cs="Arial"/>
          <w:sz w:val="22"/>
          <w:lang w:val="es-ES" w:eastAsia="es-ES" w:bidi="es-ES"/>
        </w:rPr>
        <w:t xml:space="preserve"> de los Documentos Tipo</w:t>
      </w:r>
      <w:r w:rsidR="009216FB" w:rsidRPr="00051B81">
        <w:rPr>
          <w:rFonts w:ascii="Arial" w:eastAsia="Calibri" w:hAnsi="Arial" w:cs="Arial"/>
          <w:sz w:val="22"/>
          <w:lang w:val="es-ES" w:eastAsia="es-ES" w:bidi="es-ES"/>
        </w:rPr>
        <w:t>. Esto dado que estas normas exigen que los documentos relacionados con la acreditación de los requisitos habilitantes se presenten en un sobre –Sobre 1–, y la oferta económica</w:t>
      </w:r>
      <w:r w:rsidR="009216FB">
        <w:rPr>
          <w:rFonts w:ascii="Arial" w:eastAsia="Calibri" w:hAnsi="Arial" w:cs="Arial"/>
          <w:sz w:val="22"/>
          <w:lang w:val="es-ES" w:eastAsia="es-ES" w:bidi="es-ES"/>
        </w:rPr>
        <w:t xml:space="preserve">, esto es el precio o valor </w:t>
      </w:r>
      <w:r w:rsidR="00E214EB">
        <w:rPr>
          <w:rFonts w:ascii="Arial" w:eastAsia="Calibri" w:hAnsi="Arial" w:cs="Arial"/>
          <w:sz w:val="22"/>
          <w:lang w:val="es-ES" w:eastAsia="es-ES" w:bidi="es-ES"/>
        </w:rPr>
        <w:t>ofrecido y presentado</w:t>
      </w:r>
      <w:r w:rsidR="009216FB" w:rsidRPr="00051B81">
        <w:rPr>
          <w:rFonts w:ascii="Arial" w:eastAsia="Calibri" w:hAnsi="Arial" w:cs="Arial"/>
          <w:sz w:val="22"/>
          <w:lang w:val="es-ES" w:eastAsia="es-ES" w:bidi="es-ES"/>
        </w:rPr>
        <w:t xml:space="preserve"> </w:t>
      </w:r>
      <w:r w:rsidR="00E214EB">
        <w:rPr>
          <w:rFonts w:ascii="Arial" w:eastAsia="Calibri" w:hAnsi="Arial" w:cs="Arial"/>
          <w:sz w:val="22"/>
          <w:lang w:val="es-ES" w:eastAsia="es-ES" w:bidi="es-ES"/>
        </w:rPr>
        <w:t xml:space="preserve">por la obra se entregue </w:t>
      </w:r>
      <w:r w:rsidR="009216FB" w:rsidRPr="00051B81">
        <w:rPr>
          <w:rFonts w:ascii="Arial" w:eastAsia="Calibri" w:hAnsi="Arial" w:cs="Arial"/>
          <w:sz w:val="22"/>
          <w:lang w:val="es-ES" w:eastAsia="es-ES" w:bidi="es-ES"/>
        </w:rPr>
        <w:t>en otro distinto –Sobre 2</w:t>
      </w:r>
      <w:r w:rsidR="009216FB" w:rsidRPr="00051B81">
        <w:rPr>
          <w:rFonts w:ascii="Arial" w:eastAsia="Calibri" w:hAnsi="Arial" w:cs="Arial"/>
          <w:sz w:val="22"/>
          <w:lang w:val="es-ES" w:eastAsia="es-ES" w:bidi="es-ES"/>
        </w:rPr>
        <w:softHyphen/>
        <w:t xml:space="preserve">–. </w:t>
      </w:r>
      <w:r w:rsidR="00E214EB">
        <w:rPr>
          <w:rFonts w:ascii="Arial" w:eastAsia="Calibri" w:hAnsi="Arial" w:cs="Arial"/>
          <w:sz w:val="22"/>
          <w:lang w:val="es-ES" w:eastAsia="es-ES" w:bidi="es-ES"/>
        </w:rPr>
        <w:t xml:space="preserve">Además, en el numeral 2.3 se consigna que </w:t>
      </w:r>
      <w:r w:rsidR="00E214EB" w:rsidRPr="00051B81">
        <w:rPr>
          <w:rFonts w:ascii="Arial" w:eastAsia="Calibri" w:hAnsi="Arial" w:cs="Arial"/>
          <w:sz w:val="22"/>
          <w:lang w:val="es-ES" w:eastAsia="es-ES" w:bidi="es-ES"/>
        </w:rPr>
        <w:t>«</w:t>
      </w:r>
      <w:r w:rsidR="00E214EB" w:rsidRPr="00E214EB">
        <w:rPr>
          <w:rFonts w:ascii="Arial" w:eastAsia="Calibri" w:hAnsi="Arial" w:cs="Arial"/>
          <w:sz w:val="22"/>
          <w:lang w:val="es-ES" w:eastAsia="es-ES" w:bidi="es-ES"/>
        </w:rPr>
        <w:t>La entidad solo recibirá una oferta por proponente, salvo los procesos estructurados por lotes o grupos, cuando la entidad haya establecido esta posibilidad</w:t>
      </w:r>
      <w:r w:rsidR="00E214EB" w:rsidRPr="00051B81">
        <w:rPr>
          <w:rFonts w:ascii="Arial" w:eastAsia="Calibri" w:hAnsi="Arial" w:cs="Arial"/>
          <w:sz w:val="22"/>
          <w:lang w:val="es-ES" w:eastAsia="es-ES" w:bidi="es-ES"/>
        </w:rPr>
        <w:t>»</w:t>
      </w:r>
      <w:r w:rsidR="00E214EB" w:rsidRPr="00E214EB">
        <w:rPr>
          <w:rFonts w:ascii="Arial" w:eastAsia="Calibri" w:hAnsi="Arial" w:cs="Arial"/>
          <w:sz w:val="22"/>
          <w:lang w:val="es-ES" w:eastAsia="es-ES" w:bidi="es-ES"/>
        </w:rPr>
        <w:t>.</w:t>
      </w:r>
      <w:r w:rsidR="00E214EB">
        <w:rPr>
          <w:rFonts w:ascii="Arial" w:eastAsia="Calibri" w:hAnsi="Arial" w:cs="Arial"/>
          <w:sz w:val="22"/>
          <w:lang w:val="es-ES" w:eastAsia="es-ES" w:bidi="es-ES"/>
        </w:rPr>
        <w:t xml:space="preserve"> </w:t>
      </w:r>
    </w:p>
    <w:p w14:paraId="02E64933" w14:textId="62168D87" w:rsidR="00051B81" w:rsidRPr="00051B81" w:rsidRDefault="009216FB" w:rsidP="00013A51">
      <w:pPr>
        <w:widowControl w:val="0"/>
        <w:autoSpaceDE w:val="0"/>
        <w:autoSpaceDN w:val="0"/>
        <w:spacing w:before="120" w:line="276" w:lineRule="auto"/>
        <w:ind w:firstLine="708"/>
        <w:jc w:val="both"/>
        <w:rPr>
          <w:rFonts w:ascii="Arial" w:eastAsia="Calibri" w:hAnsi="Arial" w:cs="Arial"/>
          <w:sz w:val="22"/>
          <w:lang w:val="es-ES" w:eastAsia="es-ES" w:bidi="es-ES"/>
        </w:rPr>
      </w:pPr>
      <w:r w:rsidRPr="00051B81">
        <w:rPr>
          <w:rFonts w:ascii="Arial" w:eastAsia="Calibri" w:hAnsi="Arial" w:cs="Arial"/>
          <w:sz w:val="22"/>
          <w:lang w:val="es-ES" w:eastAsia="es-ES" w:bidi="es-ES"/>
        </w:rPr>
        <w:t xml:space="preserve">Lo anterior concuerda con la causal del literal </w:t>
      </w:r>
      <w:r w:rsidR="00FE6C6F">
        <w:rPr>
          <w:rFonts w:ascii="Arial" w:eastAsia="Calibri" w:hAnsi="Arial" w:cs="Arial"/>
          <w:sz w:val="22"/>
          <w:lang w:val="es-ES" w:eastAsia="es-ES" w:bidi="es-ES"/>
        </w:rPr>
        <w:t>W</w:t>
      </w:r>
      <w:r w:rsidRPr="00051B81">
        <w:rPr>
          <w:rFonts w:ascii="Arial" w:eastAsia="Calibri" w:hAnsi="Arial" w:cs="Arial"/>
          <w:sz w:val="22"/>
          <w:lang w:val="es-ES" w:eastAsia="es-ES" w:bidi="es-ES"/>
        </w:rPr>
        <w:t xml:space="preserve"> del numeral 1.15 del Documento Base que sanciona con el rechazo de la oferta el hecho de «</w:t>
      </w:r>
      <w:r w:rsidR="00E214EB" w:rsidRPr="00E214EB">
        <w:rPr>
          <w:rFonts w:ascii="Arial" w:eastAsia="Arial" w:hAnsi="Arial" w:cs="Arial"/>
          <w:bCs/>
          <w:sz w:val="22"/>
          <w:lang w:val="es-ES" w:eastAsia="es-ES" w:bidi="es-ES"/>
        </w:rPr>
        <w:t xml:space="preserve"> </w:t>
      </w:r>
      <w:r w:rsidR="00E214EB" w:rsidRPr="00ED23D4">
        <w:rPr>
          <w:rFonts w:ascii="Arial" w:eastAsia="Arial" w:hAnsi="Arial" w:cs="Arial"/>
          <w:bCs/>
          <w:sz w:val="22"/>
          <w:lang w:val="es-ES" w:eastAsia="es-ES" w:bidi="es-ES"/>
        </w:rPr>
        <w:t>Presentar más de una oferta económica con valores distintos en el Sobre 2</w:t>
      </w:r>
      <w:r w:rsidRPr="00051B81">
        <w:rPr>
          <w:rFonts w:ascii="Arial" w:eastAsia="Calibri" w:hAnsi="Arial" w:cs="Arial"/>
          <w:sz w:val="22"/>
          <w:lang w:val="es-ES" w:eastAsia="es-ES" w:bidi="es-ES"/>
        </w:rPr>
        <w:t>»</w:t>
      </w:r>
      <w:r w:rsidR="00E214EB">
        <w:rPr>
          <w:rFonts w:ascii="Arial" w:eastAsia="Calibri" w:hAnsi="Arial" w:cs="Arial"/>
          <w:sz w:val="22"/>
          <w:lang w:val="es-ES" w:eastAsia="es-ES" w:bidi="es-ES"/>
        </w:rPr>
        <w:t xml:space="preserve">, dado que no podría ser objeto de una evaluación objetiva, una oferta económica que resulte ambigua, equívoca o que implique </w:t>
      </w:r>
      <w:r w:rsidR="00E214EB">
        <w:rPr>
          <w:rFonts w:ascii="Arial" w:eastAsia="Calibri" w:hAnsi="Arial" w:cs="Arial"/>
          <w:sz w:val="22"/>
          <w:lang w:val="es-ES" w:eastAsia="es-ES" w:bidi="es-ES"/>
        </w:rPr>
        <w:lastRenderedPageBreak/>
        <w:t xml:space="preserve">la presentación de dos ofertas, situación </w:t>
      </w:r>
      <w:r w:rsidR="001B71FD">
        <w:rPr>
          <w:rFonts w:ascii="Arial" w:eastAsia="Calibri" w:hAnsi="Arial" w:cs="Arial"/>
          <w:sz w:val="22"/>
          <w:lang w:val="es-ES" w:eastAsia="es-ES" w:bidi="es-ES"/>
        </w:rPr>
        <w:t xml:space="preserve">que se traduce en un </w:t>
      </w:r>
      <w:r w:rsidR="00051B81" w:rsidRPr="00051B81">
        <w:rPr>
          <w:rFonts w:ascii="Arial" w:eastAsia="Calibri" w:hAnsi="Arial" w:cs="Arial"/>
          <w:bCs/>
          <w:sz w:val="22"/>
        </w:rPr>
        <w:t>defecto sustantivo en cuanto a la presentación de la oferta que imposibilite ahondar en su evaluación en igualdad de condiciones con las ofertas presentadas por lo demás proponentes</w:t>
      </w:r>
      <w:r w:rsidR="001B71FD">
        <w:rPr>
          <w:rFonts w:ascii="Arial" w:eastAsia="Calibri" w:hAnsi="Arial" w:cs="Arial"/>
          <w:bCs/>
          <w:sz w:val="22"/>
        </w:rPr>
        <w:t xml:space="preserve">, al existir más de un valor ofrecido por el proponente, situación que por ser calificable, no puede ser subsanada al momento de la evaluación objetiva de las ofertas. </w:t>
      </w:r>
      <w:r w:rsidR="00051B81" w:rsidRPr="00051B81">
        <w:rPr>
          <w:rFonts w:ascii="Arial" w:eastAsia="Calibri" w:hAnsi="Arial" w:cs="Arial"/>
          <w:bCs/>
          <w:sz w:val="22"/>
        </w:rPr>
        <w:t xml:space="preserve"> </w:t>
      </w:r>
    </w:p>
    <w:p w14:paraId="4B598174" w14:textId="77A613F8" w:rsidR="00051B81" w:rsidRPr="00D67C1A" w:rsidRDefault="00051B81" w:rsidP="006A20BE">
      <w:pPr>
        <w:widowControl w:val="0"/>
        <w:autoSpaceDE w:val="0"/>
        <w:autoSpaceDN w:val="0"/>
        <w:spacing w:before="120" w:line="276" w:lineRule="auto"/>
        <w:jc w:val="both"/>
        <w:rPr>
          <w:rFonts w:ascii="Arial" w:eastAsia="Calibri" w:hAnsi="Arial" w:cs="Arial"/>
          <w:sz w:val="22"/>
          <w:lang w:val="es-ES" w:eastAsia="es-ES" w:bidi="es-ES"/>
        </w:rPr>
      </w:pPr>
      <w:r w:rsidRPr="00051B81">
        <w:rPr>
          <w:rFonts w:ascii="Arial" w:eastAsia="Calibri" w:hAnsi="Arial" w:cs="Arial"/>
          <w:sz w:val="22"/>
          <w:lang w:val="es-ES" w:eastAsia="es-ES" w:bidi="es-ES"/>
        </w:rPr>
        <w:tab/>
        <w:t xml:space="preserve">En conclusión, para presentar ofertas en el marco de procesos de licitación pública, de infraestructura de transporte, los oferentes deben usar la segunda hoja del Formulario 1 puesto a disposición en formato Excel por la respectiva entidad, titulada «Propuesta Económica». Sin embargo, el hecho de haber </w:t>
      </w:r>
      <w:r w:rsidR="001B71FD">
        <w:rPr>
          <w:rFonts w:ascii="Arial" w:eastAsia="Arial" w:hAnsi="Arial" w:cs="Arial"/>
          <w:bCs/>
          <w:sz w:val="22"/>
          <w:lang w:val="es-ES" w:eastAsia="es-ES" w:bidi="es-ES"/>
        </w:rPr>
        <w:t>p</w:t>
      </w:r>
      <w:r w:rsidR="001B71FD" w:rsidRPr="00ED23D4">
        <w:rPr>
          <w:rFonts w:ascii="Arial" w:eastAsia="Arial" w:hAnsi="Arial" w:cs="Arial"/>
          <w:bCs/>
          <w:sz w:val="22"/>
          <w:lang w:val="es-ES" w:eastAsia="es-ES" w:bidi="es-ES"/>
        </w:rPr>
        <w:t>resenta</w:t>
      </w:r>
      <w:r w:rsidR="001B71FD">
        <w:rPr>
          <w:rFonts w:ascii="Arial" w:eastAsia="Arial" w:hAnsi="Arial" w:cs="Arial"/>
          <w:bCs/>
          <w:sz w:val="22"/>
          <w:lang w:val="es-ES" w:eastAsia="es-ES" w:bidi="es-ES"/>
        </w:rPr>
        <w:t>do</w:t>
      </w:r>
      <w:r w:rsidR="001B71FD" w:rsidRPr="00ED23D4">
        <w:rPr>
          <w:rFonts w:ascii="Arial" w:eastAsia="Arial" w:hAnsi="Arial" w:cs="Arial"/>
          <w:bCs/>
          <w:sz w:val="22"/>
          <w:lang w:val="es-ES" w:eastAsia="es-ES" w:bidi="es-ES"/>
        </w:rPr>
        <w:t xml:space="preserve"> más de una oferta económica con valores distintos en el Sobre 2</w:t>
      </w:r>
      <w:r w:rsidR="001B71FD">
        <w:rPr>
          <w:rFonts w:ascii="Arial" w:eastAsia="Arial" w:hAnsi="Arial" w:cs="Arial"/>
          <w:bCs/>
          <w:sz w:val="22"/>
          <w:lang w:val="es-ES" w:eastAsia="es-ES" w:bidi="es-ES"/>
        </w:rPr>
        <w:t>, esto es, haber presentado más de una oferta económica para el mismo proceso de selección</w:t>
      </w:r>
      <w:r w:rsidR="006A20BE">
        <w:rPr>
          <w:rFonts w:ascii="Arial" w:eastAsia="Arial" w:hAnsi="Arial" w:cs="Arial"/>
          <w:bCs/>
          <w:sz w:val="22"/>
          <w:lang w:val="es-ES" w:eastAsia="es-ES" w:bidi="es-ES"/>
        </w:rPr>
        <w:t xml:space="preserve"> </w:t>
      </w:r>
      <w:r w:rsidRPr="00051B81">
        <w:rPr>
          <w:rFonts w:ascii="Arial" w:eastAsia="Times New Roman" w:hAnsi="Arial" w:cs="Arial"/>
          <w:sz w:val="22"/>
          <w:lang w:val="es-CO" w:eastAsia="es-ES_tradnl" w:bidi="es-ES"/>
        </w:rPr>
        <w:t xml:space="preserve">constituye </w:t>
      </w:r>
      <w:r w:rsidRPr="00051B81">
        <w:rPr>
          <w:rFonts w:ascii="Arial" w:eastAsia="Calibri" w:hAnsi="Arial" w:cs="Arial"/>
          <w:bCs/>
          <w:i/>
          <w:iCs/>
          <w:sz w:val="22"/>
          <w:lang w:val="es-ES_tradnl"/>
        </w:rPr>
        <w:t xml:space="preserve">per se </w:t>
      </w:r>
      <w:r w:rsidRPr="00051B81">
        <w:rPr>
          <w:rFonts w:ascii="Arial" w:eastAsia="Calibri" w:hAnsi="Arial" w:cs="Arial"/>
          <w:bCs/>
          <w:sz w:val="22"/>
          <w:lang w:val="es-ES_tradnl"/>
        </w:rPr>
        <w:t>un motivo suficiente para el rechazo de la oferta</w:t>
      </w:r>
      <w:r w:rsidR="006A20BE">
        <w:rPr>
          <w:rFonts w:ascii="Arial" w:eastAsia="Calibri" w:hAnsi="Arial" w:cs="Arial"/>
          <w:bCs/>
          <w:sz w:val="22"/>
          <w:lang w:val="es-ES_tradnl"/>
        </w:rPr>
        <w:t xml:space="preserve">, en aplicación del literal w) </w:t>
      </w:r>
      <w:r w:rsidR="006A20BE" w:rsidRPr="00051B81">
        <w:rPr>
          <w:rFonts w:ascii="Arial" w:eastAsia="Calibri" w:hAnsi="Arial" w:cs="Arial"/>
          <w:sz w:val="22"/>
          <w:lang w:val="es-ES" w:eastAsia="es-ES" w:bidi="es-ES"/>
        </w:rPr>
        <w:t>del numeral 1.15 del Documento Base</w:t>
      </w:r>
      <w:r w:rsidRPr="00051B81">
        <w:rPr>
          <w:rFonts w:ascii="Arial" w:eastAsia="Calibri" w:hAnsi="Arial" w:cs="Arial"/>
          <w:sz w:val="22"/>
          <w:lang w:val="es-ES" w:eastAsia="es-ES" w:bidi="es-ES"/>
        </w:rPr>
        <w:t xml:space="preserve">. </w:t>
      </w:r>
    </w:p>
    <w:p w14:paraId="7DDEBDD2" w14:textId="77777777" w:rsidR="00F835D8" w:rsidRPr="00D67C1A" w:rsidRDefault="00F835D8" w:rsidP="00013A51">
      <w:pPr>
        <w:widowControl w:val="0"/>
        <w:autoSpaceDE w:val="0"/>
        <w:autoSpaceDN w:val="0"/>
        <w:spacing w:line="276" w:lineRule="auto"/>
        <w:ind w:firstLine="709"/>
        <w:jc w:val="both"/>
        <w:rPr>
          <w:rFonts w:ascii="Arial" w:eastAsia="Calibri" w:hAnsi="Arial" w:cs="Arial"/>
          <w:sz w:val="22"/>
        </w:rPr>
      </w:pPr>
    </w:p>
    <w:p w14:paraId="44E20D10" w14:textId="7356ED25" w:rsidR="007C2EF0" w:rsidRPr="00D67C1A" w:rsidRDefault="007C2EF0" w:rsidP="00767D99">
      <w:pPr>
        <w:spacing w:line="276" w:lineRule="auto"/>
        <w:jc w:val="both"/>
        <w:rPr>
          <w:rFonts w:ascii="Arial" w:eastAsia="Calibri" w:hAnsi="Arial" w:cs="Arial"/>
          <w:b/>
          <w:sz w:val="22"/>
        </w:rPr>
      </w:pPr>
      <w:r w:rsidRPr="00D67C1A">
        <w:rPr>
          <w:rFonts w:ascii="Arial" w:eastAsia="Calibri" w:hAnsi="Arial" w:cs="Arial"/>
          <w:b/>
          <w:sz w:val="22"/>
        </w:rPr>
        <w:t xml:space="preserve">3. Respuesta. </w:t>
      </w:r>
    </w:p>
    <w:p w14:paraId="2F1BFB33" w14:textId="19B6DD5A" w:rsidR="007C2EF0" w:rsidRPr="00D67C1A" w:rsidRDefault="007C2EF0" w:rsidP="00802EB9">
      <w:pPr>
        <w:jc w:val="both"/>
        <w:rPr>
          <w:rFonts w:ascii="Arial" w:eastAsia="Calibri" w:hAnsi="Arial" w:cs="Arial"/>
          <w:b/>
          <w:sz w:val="22"/>
        </w:rPr>
      </w:pPr>
    </w:p>
    <w:p w14:paraId="7840343D" w14:textId="6EE4B876" w:rsidR="00AE7F59" w:rsidRDefault="00FF588E" w:rsidP="00525253">
      <w:pPr>
        <w:ind w:left="709" w:right="709"/>
        <w:jc w:val="both"/>
        <w:rPr>
          <w:rFonts w:ascii="Arial" w:eastAsia="Arial" w:hAnsi="Arial" w:cs="Arial"/>
          <w:color w:val="000000" w:themeColor="text1"/>
          <w:sz w:val="21"/>
          <w:szCs w:val="21"/>
          <w:lang w:val="es-ES_tradnl"/>
        </w:rPr>
      </w:pPr>
      <w:r w:rsidRPr="00FF588E">
        <w:rPr>
          <w:rFonts w:ascii="Arial" w:eastAsia="Arial" w:hAnsi="Arial" w:cs="Arial"/>
          <w:color w:val="000000" w:themeColor="text1"/>
          <w:sz w:val="21"/>
          <w:szCs w:val="21"/>
          <w:lang w:val="es-ES_tradnl"/>
        </w:rPr>
        <w:t>«[…] ¿A QUÉ SE REFIERE LA CAUSAL W “PRESENTAR MÁS DE UNA OFERTA ECONÓMICA CON VALORES DISTINTOS EN EL SOBRE 2”?¿esta causal de rechazo W solo aplicaría en el evento de Presentarse MAS de un “formulario 1 – oferta económica, con valores distintos“?» (sic)</w:t>
      </w:r>
    </w:p>
    <w:p w14:paraId="578566A0" w14:textId="77777777" w:rsidR="00FF588E" w:rsidRPr="00D67C1A" w:rsidRDefault="00FF588E" w:rsidP="00525253">
      <w:pPr>
        <w:ind w:left="709" w:right="709"/>
        <w:jc w:val="both"/>
        <w:rPr>
          <w:rFonts w:ascii="Arial" w:eastAsia="Calibri" w:hAnsi="Arial" w:cs="Arial"/>
          <w:color w:val="000000"/>
          <w:sz w:val="21"/>
          <w:szCs w:val="21"/>
        </w:rPr>
      </w:pPr>
    </w:p>
    <w:p w14:paraId="4DC055C5" w14:textId="223853AA" w:rsidR="00AE74B3" w:rsidRDefault="00AE74B3" w:rsidP="00AE74B3">
      <w:pPr>
        <w:spacing w:after="120" w:line="276" w:lineRule="auto"/>
        <w:jc w:val="both"/>
        <w:rPr>
          <w:rFonts w:ascii="Arial" w:eastAsia="Calibri" w:hAnsi="Arial" w:cs="Arial"/>
          <w:sz w:val="22"/>
        </w:rPr>
      </w:pPr>
      <w:r w:rsidRPr="00BC0144">
        <w:rPr>
          <w:rFonts w:ascii="Arial" w:eastAsia="Calibri" w:hAnsi="Arial" w:cs="Arial"/>
          <w:sz w:val="22"/>
        </w:rPr>
        <w:t xml:space="preserve">Teniendo en cuenta que </w:t>
      </w:r>
      <w:r>
        <w:rPr>
          <w:rFonts w:ascii="Arial" w:eastAsia="Calibri" w:hAnsi="Arial" w:cs="Arial"/>
          <w:sz w:val="22"/>
        </w:rPr>
        <w:t>la</w:t>
      </w:r>
      <w:r w:rsidRPr="00BC0144">
        <w:rPr>
          <w:rFonts w:ascii="Arial" w:eastAsia="Calibri" w:hAnsi="Arial" w:cs="Arial"/>
          <w:sz w:val="22"/>
        </w:rPr>
        <w:t xml:space="preserve"> consulta se relaciona con el sobre </w:t>
      </w:r>
      <w:r>
        <w:rPr>
          <w:rFonts w:ascii="Arial" w:eastAsia="Calibri" w:hAnsi="Arial" w:cs="Arial"/>
          <w:sz w:val="22"/>
        </w:rPr>
        <w:t>2,</w:t>
      </w:r>
      <w:r w:rsidRPr="00BC0144">
        <w:rPr>
          <w:rFonts w:ascii="Arial" w:eastAsia="Calibri" w:hAnsi="Arial" w:cs="Arial"/>
          <w:sz w:val="22"/>
        </w:rPr>
        <w:t xml:space="preserve"> es necesario mencionar</w:t>
      </w:r>
      <w:r>
        <w:rPr>
          <w:rFonts w:ascii="Arial" w:eastAsia="Calibri" w:hAnsi="Arial" w:cs="Arial"/>
          <w:sz w:val="22"/>
        </w:rPr>
        <w:t xml:space="preserve"> primero</w:t>
      </w:r>
      <w:r w:rsidRPr="00BC0144">
        <w:rPr>
          <w:rFonts w:ascii="Arial" w:eastAsia="Calibri" w:hAnsi="Arial" w:cs="Arial"/>
          <w:sz w:val="22"/>
        </w:rPr>
        <w:t xml:space="preserve"> que, al tratarse de una obra pública de infraestructura de transporte, la Ley 1882 de 2018, en el artículo 1, señala que las ofertas deben estar conformadas por dos sobres: i) sobre 1: requisitos habilitantes y requisitos puntuables, diferentes a la oferta económica y ii) sobre 2: oferta económica. </w:t>
      </w:r>
    </w:p>
    <w:p w14:paraId="5B70E2F6" w14:textId="08BC9DBE" w:rsidR="006A01DD" w:rsidRDefault="00AE74B3" w:rsidP="00AE74B3">
      <w:pPr>
        <w:spacing w:after="120" w:line="276" w:lineRule="auto"/>
        <w:ind w:firstLine="708"/>
        <w:jc w:val="both"/>
        <w:rPr>
          <w:rFonts w:ascii="Arial" w:eastAsia="Calibri" w:hAnsi="Arial" w:cs="Arial"/>
          <w:sz w:val="22"/>
        </w:rPr>
      </w:pPr>
      <w:r>
        <w:rPr>
          <w:rFonts w:ascii="Arial" w:eastAsia="Calibri" w:hAnsi="Arial" w:cs="Arial"/>
          <w:sz w:val="22"/>
        </w:rPr>
        <w:t>Ahora bien, e</w:t>
      </w:r>
      <w:r w:rsidR="00BC0144" w:rsidRPr="00AE74B3">
        <w:rPr>
          <w:rFonts w:ascii="Arial" w:eastAsia="Calibri" w:hAnsi="Arial" w:cs="Arial"/>
          <w:sz w:val="22"/>
        </w:rPr>
        <w:t>l numeral 4.1 del Documento Base,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 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ítems, en caso de que se opte por dicha regulación y que la oferta resulte inequívoca, precisa, completa, voluntaria y dirigida correctamente al destinatario, pues de esta manera la expresión de la voluntad del oferente interesado en la adjudicación del contrato tiene eficacia jurídica vinculante</w:t>
      </w:r>
      <w:r>
        <w:rPr>
          <w:rFonts w:ascii="Arial" w:eastAsia="Calibri" w:hAnsi="Arial" w:cs="Arial"/>
          <w:sz w:val="22"/>
        </w:rPr>
        <w:t>.</w:t>
      </w:r>
    </w:p>
    <w:p w14:paraId="2CE7F19A" w14:textId="468C7C1F" w:rsidR="00AE74B3" w:rsidRPr="00AE74B3" w:rsidRDefault="00AE74B3" w:rsidP="003F782A">
      <w:pPr>
        <w:spacing w:after="120" w:line="276" w:lineRule="auto"/>
        <w:ind w:firstLine="708"/>
        <w:jc w:val="both"/>
        <w:rPr>
          <w:rFonts w:ascii="Arial" w:eastAsia="Calibri" w:hAnsi="Arial" w:cs="Arial"/>
          <w:sz w:val="22"/>
        </w:rPr>
      </w:pPr>
      <w:r w:rsidRPr="00AE74B3">
        <w:rPr>
          <w:rFonts w:ascii="Arial" w:eastAsia="Calibri" w:hAnsi="Arial" w:cs="Arial"/>
          <w:sz w:val="22"/>
        </w:rPr>
        <w:t xml:space="preserve">En lo que respecta a las causales de rechazo establecidas en los documentos </w:t>
      </w:r>
      <w:r w:rsidR="00EA6B95">
        <w:rPr>
          <w:rFonts w:ascii="Arial" w:eastAsia="Calibri" w:hAnsi="Arial" w:cs="Arial"/>
          <w:sz w:val="22"/>
        </w:rPr>
        <w:t xml:space="preserve">base </w:t>
      </w:r>
      <w:r w:rsidRPr="00AE74B3">
        <w:rPr>
          <w:rFonts w:ascii="Arial" w:eastAsia="Calibri" w:hAnsi="Arial" w:cs="Arial"/>
          <w:sz w:val="22"/>
        </w:rPr>
        <w:t xml:space="preserve">de los documentos tipo, existe la causal prevista en el literal </w:t>
      </w:r>
      <w:r w:rsidR="00EA6B95" w:rsidRPr="00AE74B3">
        <w:rPr>
          <w:rFonts w:ascii="Arial" w:eastAsia="Calibri" w:hAnsi="Arial" w:cs="Arial"/>
          <w:sz w:val="22"/>
        </w:rPr>
        <w:t xml:space="preserve">W </w:t>
      </w:r>
      <w:r w:rsidRPr="00AE74B3">
        <w:rPr>
          <w:rFonts w:ascii="Arial" w:eastAsia="Calibri" w:hAnsi="Arial" w:cs="Arial"/>
          <w:sz w:val="22"/>
        </w:rPr>
        <w:t xml:space="preserve">del numeral 1.15 </w:t>
      </w:r>
      <w:r w:rsidR="00EE3377">
        <w:rPr>
          <w:rFonts w:ascii="Arial" w:eastAsia="Calibri" w:hAnsi="Arial" w:cs="Arial"/>
          <w:sz w:val="22"/>
        </w:rPr>
        <w:t>, la cual sanciona con el rechazo de la oferta el hecho de</w:t>
      </w:r>
      <w:r w:rsidRPr="00AE74B3">
        <w:rPr>
          <w:rFonts w:ascii="Arial" w:eastAsia="Calibri" w:hAnsi="Arial" w:cs="Arial"/>
          <w:sz w:val="22"/>
        </w:rPr>
        <w:t xml:space="preserve">: «Presentar más de una oferta económica con valores distintos en el Sobre 2» </w:t>
      </w:r>
      <w:r>
        <w:rPr>
          <w:rFonts w:ascii="Arial" w:eastAsia="Calibri" w:hAnsi="Arial" w:cs="Arial"/>
          <w:sz w:val="22"/>
        </w:rPr>
        <w:t>E</w:t>
      </w:r>
      <w:r w:rsidRPr="00AE74B3">
        <w:rPr>
          <w:rFonts w:ascii="Arial" w:eastAsia="Calibri" w:hAnsi="Arial" w:cs="Arial"/>
          <w:sz w:val="22"/>
        </w:rPr>
        <w:t>sta causal, así como las demás previstas en el Documento Base se debe aplicar por las entidades estatales, determinando en cada caso concreto si la situación evidenciada en la presentación de la oferta configura en estricto sentido alguno de los supuestos de hecho establecidos en las mismas, sin valerse de interpretaciones extensivas</w:t>
      </w:r>
      <w:r w:rsidR="003F782A">
        <w:rPr>
          <w:rFonts w:ascii="Arial" w:eastAsia="Calibri" w:hAnsi="Arial" w:cs="Arial"/>
          <w:sz w:val="22"/>
        </w:rPr>
        <w:t>.</w:t>
      </w:r>
    </w:p>
    <w:p w14:paraId="592C7430" w14:textId="77777777" w:rsidR="00AE74B3" w:rsidRPr="00AE74B3" w:rsidRDefault="00AE74B3" w:rsidP="00AE74B3">
      <w:pPr>
        <w:spacing w:after="120" w:line="276" w:lineRule="auto"/>
        <w:ind w:firstLine="708"/>
        <w:jc w:val="both"/>
        <w:rPr>
          <w:rFonts w:ascii="Arial" w:eastAsia="Calibri" w:hAnsi="Arial" w:cs="Arial"/>
          <w:sz w:val="22"/>
        </w:rPr>
      </w:pPr>
      <w:r w:rsidRPr="00AE74B3">
        <w:rPr>
          <w:rFonts w:ascii="Arial" w:eastAsia="Calibri" w:hAnsi="Arial" w:cs="Arial"/>
          <w:sz w:val="22"/>
        </w:rPr>
        <w:t xml:space="preserve">En este contexto, atendiendo a la consulta planteada, ante la hipótesis de una oferta económica presentada en el Sobre 2 del Formulario 1, con 2 o más valores distintos la entidad al momento de evaluar la oferta económica deberá evaluar si, independientemente del documento y la forma en que esta haya sido presentada, se ajusta o no a los requerimientos mínimos con los que debe cumplir la oferta y si esta resulta inequívoca, precisa, completa, voluntaria y dirigida correctamente al destinatario, pues de esta manera la expresión de la voluntad del oferente que participa en el proceso de selección para adjudicar el contrato tiene eficacia jurídica vinculante. Lo anterior se justifica en la medida en que prevalece la sustancia sobre la forma, siempre que lo consignado en la oferta económica cumpla con las reglas establecidas en el pliego de condiciones configurado por la entidad a partir del los numerales 2.3 y 4.1 del Documento Base. </w:t>
      </w:r>
    </w:p>
    <w:p w14:paraId="41718B3C" w14:textId="77777777" w:rsidR="00EE3377" w:rsidRDefault="00AE74B3" w:rsidP="00AE74B3">
      <w:pPr>
        <w:spacing w:after="120" w:line="276" w:lineRule="auto"/>
        <w:ind w:firstLine="708"/>
        <w:jc w:val="both"/>
        <w:rPr>
          <w:rFonts w:ascii="Arial" w:eastAsia="Calibri" w:hAnsi="Arial" w:cs="Arial"/>
          <w:sz w:val="22"/>
        </w:rPr>
      </w:pPr>
      <w:r w:rsidRPr="00AE74B3">
        <w:rPr>
          <w:rFonts w:ascii="Arial" w:eastAsia="Calibri" w:hAnsi="Arial" w:cs="Arial"/>
          <w:sz w:val="22"/>
        </w:rPr>
        <w:t xml:space="preserve">De esta manera, debe tenerse en cuenta que la presentación de la oferta económica debe cumplir con la inclusión de la información y la presentación en dos sobres de ésta, cuando se trata de procesos de licitación pública de obra, según lo establecido en los parágrafos 2 y 3 del artículo 30 de la Ley 80 de 1993, adicionados por la Ley 1882 de 2018 , que están expresamente regulados en los numerales 2.3, 2.3.1 y 2.3.2 del Documento Base de los Documentos Tipo. Esto dado que estas normas exigen que los documentos relacionados con la acreditación de los requisitos habilitantes se presenten en un sobre –Sobre 1–, y la oferta económica, esto es el precio o valor ofrecido y presentado por la obra se entregue en otro distinto –Sobre 2¬–. </w:t>
      </w:r>
    </w:p>
    <w:p w14:paraId="46FC3EF1" w14:textId="16828CE7" w:rsidR="00AE74B3" w:rsidRPr="00AE74B3" w:rsidRDefault="00AE74B3" w:rsidP="00013A51">
      <w:pPr>
        <w:spacing w:line="276" w:lineRule="auto"/>
        <w:ind w:firstLine="708"/>
        <w:jc w:val="both"/>
        <w:rPr>
          <w:rFonts w:ascii="Arial" w:eastAsia="Calibri" w:hAnsi="Arial" w:cs="Arial"/>
          <w:sz w:val="22"/>
        </w:rPr>
      </w:pPr>
      <w:r w:rsidRPr="00AE74B3">
        <w:rPr>
          <w:rFonts w:ascii="Arial" w:eastAsia="Calibri" w:hAnsi="Arial" w:cs="Arial"/>
          <w:sz w:val="22"/>
        </w:rPr>
        <w:t xml:space="preserve">Además, en el numeral 2.3 se consigna que «La entidad solo recibirá una oferta por proponente, salvo los procesos estructurados por lotes o grupos, cuando la entidad haya establecido esta posibilidad». Lo anterior concuerda con la causal del literal </w:t>
      </w:r>
      <w:r w:rsidR="00EE3377" w:rsidRPr="00AE74B3">
        <w:rPr>
          <w:rFonts w:ascii="Arial" w:eastAsia="Calibri" w:hAnsi="Arial" w:cs="Arial"/>
          <w:sz w:val="22"/>
        </w:rPr>
        <w:t xml:space="preserve">W </w:t>
      </w:r>
      <w:r w:rsidRPr="00AE74B3">
        <w:rPr>
          <w:rFonts w:ascii="Arial" w:eastAsia="Calibri" w:hAnsi="Arial" w:cs="Arial"/>
          <w:sz w:val="22"/>
        </w:rPr>
        <w:t>del numeral 1.15 del Documento Base que sanciona con el rechazo de la oferta el hecho de « Presentar más de una oferta económica con valores distintos en el Sobre 2», dado que no podría ser objeto de una evaluación objetiva, una oferta económica que resulte ambigua, equívoca o que implique la presentación de dos ofertas, situación que se traduce en un defecto sustantivo en cuanto a la presentación de la oferta que imposibilit</w:t>
      </w:r>
      <w:r w:rsidR="00EE3377">
        <w:rPr>
          <w:rFonts w:ascii="Arial" w:eastAsia="Calibri" w:hAnsi="Arial" w:cs="Arial"/>
          <w:sz w:val="22"/>
        </w:rPr>
        <w:t>a</w:t>
      </w:r>
      <w:r w:rsidRPr="00AE74B3">
        <w:rPr>
          <w:rFonts w:ascii="Arial" w:eastAsia="Calibri" w:hAnsi="Arial" w:cs="Arial"/>
          <w:sz w:val="22"/>
        </w:rPr>
        <w:t xml:space="preserve"> ahondar en su evaluación en igualdad de condiciones con las ofertas presentadas por lo demás proponentes, al existir más de un valor ofrecido por el proponente, situación que por ser calificable, no puede ser subsanada al momento de la evaluación objetiva de de las ofertas</w:t>
      </w:r>
    </w:p>
    <w:p w14:paraId="623050BE" w14:textId="77777777" w:rsidR="00BC0144" w:rsidRDefault="00BC0144" w:rsidP="00013A51">
      <w:pPr>
        <w:spacing w:line="276" w:lineRule="auto"/>
        <w:jc w:val="both"/>
        <w:rPr>
          <w:rFonts w:ascii="Arial" w:eastAsia="Calibri" w:hAnsi="Arial" w:cs="Arial"/>
          <w:sz w:val="22"/>
        </w:rPr>
      </w:pPr>
    </w:p>
    <w:p w14:paraId="1A44042C" w14:textId="1DDA7E69" w:rsidR="006A01DD" w:rsidRPr="00D67C1A" w:rsidRDefault="006A01DD" w:rsidP="00802EB9">
      <w:pPr>
        <w:spacing w:line="276" w:lineRule="auto"/>
        <w:jc w:val="both"/>
        <w:rPr>
          <w:rFonts w:ascii="Arial" w:eastAsia="Calibri" w:hAnsi="Arial" w:cs="Arial"/>
          <w:sz w:val="22"/>
        </w:rPr>
      </w:pPr>
      <w:r w:rsidRPr="00D67C1A">
        <w:rPr>
          <w:rFonts w:ascii="Arial" w:eastAsia="Calibri" w:hAnsi="Arial" w:cs="Arial"/>
          <w:sz w:val="22"/>
        </w:rPr>
        <w:t>Este concepto tiene el alcance previsto en el artículo 28 del Código de Procedimiento Administrativo y de lo Contencioso Administrativo.</w:t>
      </w:r>
    </w:p>
    <w:p w14:paraId="7E30323E" w14:textId="1A047E65" w:rsidR="00F942DB" w:rsidRPr="00D67C1A" w:rsidRDefault="00F942DB" w:rsidP="00802EB9">
      <w:pPr>
        <w:spacing w:line="276" w:lineRule="auto"/>
        <w:jc w:val="both"/>
        <w:rPr>
          <w:rFonts w:ascii="Arial" w:eastAsia="Calibri" w:hAnsi="Arial" w:cs="Arial"/>
          <w:sz w:val="22"/>
        </w:rPr>
      </w:pPr>
    </w:p>
    <w:p w14:paraId="24727D66" w14:textId="60561517" w:rsidR="000E496F" w:rsidRPr="00D67C1A" w:rsidRDefault="006A01DD" w:rsidP="006A01D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67C1A">
        <w:rPr>
          <w:rFonts w:ascii="Arial" w:hAnsi="Arial" w:cs="Arial"/>
          <w:color w:val="000000" w:themeColor="text1"/>
          <w:sz w:val="22"/>
          <w:szCs w:val="22"/>
          <w:lang w:val="es-ES_tradnl"/>
        </w:rPr>
        <w:t>Atentamente,</w:t>
      </w:r>
    </w:p>
    <w:p w14:paraId="5DBFA3B0" w14:textId="140237B0" w:rsidR="006A01DD" w:rsidRPr="00D67C1A" w:rsidRDefault="00C14D47" w:rsidP="00B60E51">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sz w:val="18"/>
          <w:szCs w:val="20"/>
        </w:rPr>
        <w:drawing>
          <wp:inline distT="0" distB="0" distL="0" distR="0" wp14:anchorId="341F1E99" wp14:editId="28E5AE3F">
            <wp:extent cx="3117850" cy="1211580"/>
            <wp:effectExtent l="0" t="0" r="6350" b="0"/>
            <wp:docPr id="1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456B0F" w:rsidRPr="00D67C1A" w14:paraId="19EDE20F" w14:textId="77777777" w:rsidTr="0031322C">
        <w:trPr>
          <w:trHeight w:val="237"/>
        </w:trPr>
        <w:tc>
          <w:tcPr>
            <w:tcW w:w="790" w:type="dxa"/>
            <w:vAlign w:val="center"/>
          </w:tcPr>
          <w:p w14:paraId="7E24F0D9"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6A38ACA4" w14:textId="2782C1FB" w:rsidR="00456B0F" w:rsidRPr="00D67C1A" w:rsidRDefault="003F782A" w:rsidP="0031322C">
            <w:pPr>
              <w:rPr>
                <w:rFonts w:ascii="Arial" w:hAnsi="Arial" w:cs="Arial"/>
                <w:color w:val="161616" w:themeColor="background1" w:themeShade="1A"/>
                <w:sz w:val="14"/>
                <w:szCs w:val="14"/>
                <w:lang w:val="es-ES_tradnl" w:eastAsia="es-ES"/>
              </w:rPr>
            </w:pPr>
            <w:r>
              <w:rPr>
                <w:rFonts w:ascii="Arial" w:hAnsi="Arial" w:cs="Arial"/>
                <w:color w:val="161616" w:themeColor="background1" w:themeShade="1A"/>
                <w:sz w:val="14"/>
                <w:szCs w:val="14"/>
                <w:lang w:val="es-ES_tradnl" w:eastAsia="es-ES"/>
              </w:rPr>
              <w:t>Felipe Bastidas Paredes</w:t>
            </w:r>
          </w:p>
          <w:p w14:paraId="1B43FA81"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Contratista de la Subdirección de Gestión Contractual</w:t>
            </w:r>
          </w:p>
        </w:tc>
      </w:tr>
      <w:tr w:rsidR="00B748E6" w:rsidRPr="00D67C1A" w14:paraId="477337BB" w14:textId="77777777" w:rsidTr="0031322C">
        <w:trPr>
          <w:trHeight w:val="248"/>
        </w:trPr>
        <w:tc>
          <w:tcPr>
            <w:tcW w:w="790" w:type="dxa"/>
            <w:vAlign w:val="center"/>
          </w:tcPr>
          <w:p w14:paraId="56061FF5" w14:textId="77777777" w:rsidR="00B748E6" w:rsidRPr="00D67C1A" w:rsidRDefault="00B748E6" w:rsidP="00B748E6">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773014D0" w14:textId="77777777" w:rsidR="00B748E6" w:rsidRPr="00B9642A" w:rsidRDefault="00B748E6" w:rsidP="00B748E6">
            <w:pPr>
              <w:rPr>
                <w:rFonts w:ascii="Arial" w:hAnsi="Arial" w:cs="Arial"/>
                <w:sz w:val="14"/>
                <w:szCs w:val="14"/>
                <w:lang w:eastAsia="es-ES"/>
              </w:rPr>
            </w:pPr>
            <w:r>
              <w:rPr>
                <w:rFonts w:ascii="Arial" w:hAnsi="Arial" w:cs="Arial"/>
                <w:sz w:val="14"/>
                <w:szCs w:val="14"/>
                <w:lang w:eastAsia="es-ES"/>
              </w:rPr>
              <w:t>Alejandro Sarmiento Cantillo</w:t>
            </w:r>
          </w:p>
          <w:p w14:paraId="07CFBC30" w14:textId="0A9B6175" w:rsidR="00B748E6" w:rsidRPr="00D67C1A" w:rsidRDefault="00B748E6" w:rsidP="00B748E6">
            <w:pPr>
              <w:rPr>
                <w:rFonts w:ascii="Arial" w:hAnsi="Arial" w:cs="Arial"/>
                <w:sz w:val="14"/>
                <w:szCs w:val="14"/>
                <w:lang w:eastAsia="es-ES"/>
              </w:rPr>
            </w:pPr>
            <w:r w:rsidRPr="00B9642A">
              <w:rPr>
                <w:rFonts w:ascii="Arial" w:hAnsi="Arial" w:cs="Arial"/>
                <w:sz w:val="14"/>
                <w:szCs w:val="14"/>
                <w:lang w:eastAsia="es-ES"/>
              </w:rPr>
              <w:t xml:space="preserve">Gestor T1-15 de la Subdirección de Gestión Contractual  </w:t>
            </w:r>
          </w:p>
        </w:tc>
      </w:tr>
      <w:tr w:rsidR="00B748E6" w:rsidRPr="00827DBF" w14:paraId="2B79F251" w14:textId="77777777" w:rsidTr="0031322C">
        <w:trPr>
          <w:trHeight w:val="225"/>
        </w:trPr>
        <w:tc>
          <w:tcPr>
            <w:tcW w:w="790" w:type="dxa"/>
            <w:vAlign w:val="center"/>
          </w:tcPr>
          <w:p w14:paraId="2A2DE6EA" w14:textId="77777777" w:rsidR="00B748E6" w:rsidRPr="00D67C1A" w:rsidRDefault="00B748E6" w:rsidP="00B748E6">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3E005AA7" w14:textId="77777777" w:rsidR="00B748E6" w:rsidRPr="00D67C1A" w:rsidRDefault="00B748E6" w:rsidP="00B748E6">
            <w:pPr>
              <w:rPr>
                <w:rFonts w:ascii="Arial" w:hAnsi="Arial" w:cs="Arial"/>
                <w:sz w:val="14"/>
                <w:szCs w:val="14"/>
                <w:lang w:eastAsia="es-ES"/>
              </w:rPr>
            </w:pPr>
            <w:r w:rsidRPr="00D67C1A">
              <w:rPr>
                <w:rFonts w:ascii="Arial" w:hAnsi="Arial" w:cs="Arial"/>
                <w:sz w:val="14"/>
                <w:szCs w:val="14"/>
                <w:lang w:eastAsia="es-ES"/>
              </w:rPr>
              <w:t>Juan David Marín López</w:t>
            </w:r>
          </w:p>
          <w:p w14:paraId="2EA282A0" w14:textId="77777777" w:rsidR="00B748E6" w:rsidRPr="00A9373A" w:rsidRDefault="00B748E6" w:rsidP="00B748E6">
            <w:pPr>
              <w:rPr>
                <w:rFonts w:ascii="Arial" w:hAnsi="Arial" w:cs="Arial"/>
                <w:sz w:val="14"/>
                <w:szCs w:val="14"/>
                <w:lang w:eastAsia="es-ES"/>
              </w:rPr>
            </w:pPr>
            <w:r w:rsidRPr="00D67C1A">
              <w:rPr>
                <w:rFonts w:ascii="Arial" w:hAnsi="Arial" w:cs="Arial"/>
                <w:sz w:val="14"/>
                <w:szCs w:val="14"/>
                <w:lang w:eastAsia="es-ES"/>
              </w:rPr>
              <w:t>Subdirector de Gestión Contractual (E)</w:t>
            </w:r>
          </w:p>
        </w:tc>
      </w:tr>
    </w:tbl>
    <w:p w14:paraId="32A7D4AA" w14:textId="77777777" w:rsidR="006A01DD" w:rsidRPr="002B79DC" w:rsidRDefault="006A01DD" w:rsidP="006A01DD">
      <w:pPr>
        <w:spacing w:line="276" w:lineRule="auto"/>
        <w:rPr>
          <w:rFonts w:ascii="Arial" w:hAnsi="Arial" w:cs="Arial"/>
          <w:sz w:val="14"/>
          <w:szCs w:val="14"/>
        </w:rPr>
      </w:pPr>
    </w:p>
    <w:p w14:paraId="0081E2F6" w14:textId="77777777" w:rsidR="006A01DD" w:rsidRPr="00F14E00" w:rsidRDefault="006A01DD" w:rsidP="003D2167">
      <w:pPr>
        <w:pStyle w:val="Default"/>
        <w:ind w:right="709"/>
        <w:jc w:val="both"/>
        <w:rPr>
          <w:bCs/>
          <w:sz w:val="21"/>
          <w:szCs w:val="21"/>
          <w:lang w:val="es-MX"/>
        </w:rPr>
      </w:pPr>
    </w:p>
    <w:sectPr w:rsidR="006A01DD" w:rsidRPr="00F14E00"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EC3D" w14:textId="77777777" w:rsidR="004E49CB" w:rsidRDefault="004E49CB">
      <w:r>
        <w:separator/>
      </w:r>
    </w:p>
  </w:endnote>
  <w:endnote w:type="continuationSeparator" w:id="0">
    <w:p w14:paraId="67802149" w14:textId="77777777" w:rsidR="004E49CB" w:rsidRDefault="004E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F14E00" w:rsidRDefault="00F14E00" w:rsidP="00B6444C">
    <w:pPr>
      <w:pStyle w:val="Sinespaciado"/>
      <w:rPr>
        <w:rFonts w:ascii="Arial" w:hAnsi="Arial" w:cs="Arial"/>
        <w:sz w:val="18"/>
        <w:szCs w:val="18"/>
      </w:rPr>
    </w:pPr>
  </w:p>
  <w:p w14:paraId="53DF6B5B" w14:textId="77777777" w:rsidR="00F14E00" w:rsidRDefault="00F14E00" w:rsidP="00B6444C">
    <w:pPr>
      <w:pStyle w:val="Sinespaciado"/>
      <w:rPr>
        <w:rFonts w:ascii="Arial" w:hAnsi="Arial" w:cs="Arial"/>
        <w:sz w:val="18"/>
        <w:szCs w:val="18"/>
      </w:rPr>
    </w:pPr>
  </w:p>
  <w:p w14:paraId="312C4A14" w14:textId="5192B49B" w:rsidR="00F14E00" w:rsidRPr="005A79FE" w:rsidRDefault="00F14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6EB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6EB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2C909D30" w:rsidR="00F14E00" w:rsidRDefault="00C65F27" w:rsidP="007B0854">
    <w:pPr>
      <w:pStyle w:val="Piedepgina"/>
      <w:jc w:val="center"/>
      <w:rPr>
        <w:lang w:val="es-ES"/>
      </w:rPr>
    </w:pPr>
    <w:r>
      <w:rPr>
        <w:noProof/>
      </w:rPr>
      <w:drawing>
        <wp:inline distT="0" distB="0" distL="0" distR="0" wp14:anchorId="42EB11BB" wp14:editId="4F13FDDC">
          <wp:extent cx="4547417" cy="627694"/>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25744B2D" w14:textId="77777777" w:rsidR="00F14E00" w:rsidRDefault="00F14E00" w:rsidP="007B0854">
    <w:pPr>
      <w:pStyle w:val="Piedepgina"/>
      <w:jc w:val="center"/>
      <w:rPr>
        <w:lang w:val="es-ES"/>
      </w:rPr>
    </w:pPr>
  </w:p>
  <w:p w14:paraId="645768A8" w14:textId="77777777" w:rsidR="00F14E00" w:rsidRPr="007B0854" w:rsidRDefault="00F14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8870" w14:textId="77777777" w:rsidR="004E49CB" w:rsidRDefault="004E49CB">
      <w:r>
        <w:separator/>
      </w:r>
    </w:p>
  </w:footnote>
  <w:footnote w:type="continuationSeparator" w:id="0">
    <w:p w14:paraId="06BCEAC8" w14:textId="77777777" w:rsidR="004E49CB" w:rsidRDefault="004E49CB">
      <w:r>
        <w:continuationSeparator/>
      </w:r>
    </w:p>
  </w:footnote>
  <w:footnote w:id="1">
    <w:p w14:paraId="0100F070" w14:textId="77777777" w:rsidR="00B33519" w:rsidRPr="008E4B4C" w:rsidRDefault="00B33519" w:rsidP="008E4B4C">
      <w:pPr>
        <w:pStyle w:val="Textonotapie"/>
        <w:ind w:firstLine="708"/>
        <w:jc w:val="both"/>
        <w:rPr>
          <w:rFonts w:ascii="Arial" w:hAnsi="Arial" w:cs="Arial"/>
          <w:sz w:val="19"/>
          <w:szCs w:val="19"/>
          <w:lang w:val="es-ES"/>
        </w:rPr>
      </w:pPr>
      <w:r w:rsidRPr="008E4B4C">
        <w:rPr>
          <w:rStyle w:val="Refdenotaalpie"/>
          <w:rFonts w:ascii="Arial" w:hAnsi="Arial" w:cs="Arial"/>
          <w:sz w:val="19"/>
          <w:szCs w:val="19"/>
        </w:rPr>
        <w:footnoteRef/>
      </w:r>
      <w:r w:rsidRPr="008E4B4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E4B4C">
        <w:rPr>
          <w:rFonts w:ascii="Arial" w:hAnsi="Arial" w:cs="Arial"/>
          <w:i/>
          <w:iCs/>
          <w:sz w:val="19"/>
          <w:szCs w:val="19"/>
        </w:rPr>
        <w:t xml:space="preserve">ibidem </w:t>
      </w:r>
      <w:r w:rsidRPr="008E4B4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6A180EA" w14:textId="77777777" w:rsidR="002F436E" w:rsidRPr="008E4B4C" w:rsidRDefault="002F436E" w:rsidP="00D67C1A">
      <w:pPr>
        <w:pStyle w:val="Textonotapie"/>
        <w:ind w:firstLine="708"/>
        <w:jc w:val="both"/>
        <w:rPr>
          <w:rFonts w:ascii="Arial" w:hAnsi="Arial" w:cs="Arial"/>
          <w:sz w:val="19"/>
          <w:szCs w:val="19"/>
        </w:rPr>
      </w:pPr>
      <w:r w:rsidRPr="008E4B4C">
        <w:rPr>
          <w:rStyle w:val="Refdenotaalpie"/>
          <w:rFonts w:ascii="Arial" w:hAnsi="Arial" w:cs="Arial"/>
          <w:sz w:val="19"/>
          <w:szCs w:val="19"/>
        </w:rPr>
        <w:footnoteRef/>
      </w:r>
      <w:r w:rsidRPr="008E4B4C">
        <w:rPr>
          <w:rFonts w:ascii="Arial" w:hAnsi="Arial" w:cs="Arial"/>
          <w:sz w:val="19"/>
          <w:szCs w:val="19"/>
        </w:rPr>
        <w:t xml:space="preserve"> Estos conceptos pueden ser consultados en la relatoría de la Agencia Nacional de Contratación Públilca- Colombia Compra Eficiente en el siguiente enlace: </w:t>
      </w:r>
    </w:p>
    <w:p w14:paraId="7DBB33FE" w14:textId="713FC626" w:rsidR="002F436E" w:rsidRPr="008E4B4C" w:rsidRDefault="00952223" w:rsidP="00D67C1A">
      <w:pPr>
        <w:pStyle w:val="Textonotapie"/>
        <w:jc w:val="both"/>
        <w:rPr>
          <w:rFonts w:ascii="Arial" w:hAnsi="Arial" w:cs="Arial"/>
          <w:color w:val="000000" w:themeColor="text1"/>
          <w:sz w:val="19"/>
          <w:szCs w:val="19"/>
          <w:lang w:val="es-ES"/>
        </w:rPr>
      </w:pPr>
      <w:hyperlink r:id="rId1" w:history="1">
        <w:r w:rsidR="002F436E" w:rsidRPr="008E4B4C">
          <w:rPr>
            <w:rStyle w:val="Hipervnculo"/>
            <w:rFonts w:ascii="Arial" w:hAnsi="Arial" w:cs="Arial"/>
            <w:color w:val="auto"/>
            <w:sz w:val="19"/>
            <w:szCs w:val="19"/>
            <w:lang w:val="es-ES"/>
          </w:rPr>
          <w:t>http://relatoria.colombiacompra.gov.co/busqueda/conceptos</w:t>
        </w:r>
      </w:hyperlink>
    </w:p>
    <w:p w14:paraId="027524A5" w14:textId="77777777" w:rsidR="002F436E" w:rsidRPr="008E4B4C" w:rsidRDefault="002F436E" w:rsidP="00D67C1A">
      <w:pPr>
        <w:pStyle w:val="Textonotapie"/>
        <w:ind w:firstLine="708"/>
        <w:jc w:val="both"/>
        <w:rPr>
          <w:rFonts w:ascii="Arial" w:hAnsi="Arial" w:cs="Arial"/>
          <w:sz w:val="19"/>
          <w:szCs w:val="19"/>
        </w:rPr>
      </w:pPr>
    </w:p>
  </w:footnote>
  <w:footnote w:id="3">
    <w:p w14:paraId="6513D2F9" w14:textId="77777777" w:rsidR="00F14E00" w:rsidRPr="00D67C1A" w:rsidRDefault="00F14E00" w:rsidP="008E4B4C">
      <w:pPr>
        <w:pStyle w:val="Textonotapie"/>
        <w:ind w:firstLine="709"/>
        <w:jc w:val="both"/>
        <w:rPr>
          <w:rFonts w:ascii="Arial" w:eastAsia="Times New Roman" w:hAnsi="Arial" w:cs="Arial"/>
          <w:sz w:val="19"/>
          <w:szCs w:val="19"/>
          <w:bdr w:val="none" w:sz="0" w:space="0" w:color="auto" w:frame="1"/>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4919018" w14:textId="77777777" w:rsidR="00F14E00" w:rsidRPr="00D67C1A" w:rsidRDefault="00F14E00" w:rsidP="008E4B4C">
      <w:pPr>
        <w:pStyle w:val="Textonotapie"/>
        <w:ind w:firstLine="709"/>
        <w:jc w:val="both"/>
        <w:rPr>
          <w:rFonts w:ascii="Arial" w:hAnsi="Arial" w:cs="Arial"/>
          <w:sz w:val="19"/>
          <w:szCs w:val="19"/>
        </w:rPr>
      </w:pPr>
    </w:p>
  </w:footnote>
  <w:footnote w:id="4">
    <w:p w14:paraId="1F51C94E" w14:textId="77777777" w:rsidR="00F14E00" w:rsidRPr="00D67C1A" w:rsidRDefault="00F14E00" w:rsidP="008E4B4C">
      <w:pPr>
        <w:pStyle w:val="Textonotapie"/>
        <w:ind w:firstLine="709"/>
        <w:jc w:val="both"/>
        <w:rPr>
          <w:rFonts w:ascii="Arial" w:eastAsia="Times New Roman" w:hAnsi="Arial" w:cs="Arial"/>
          <w:sz w:val="19"/>
          <w:szCs w:val="19"/>
          <w:bdr w:val="none" w:sz="0" w:space="0" w:color="auto" w:frame="1"/>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eastAsia="Times New Roman" w:hAnsi="Arial" w:cs="Arial"/>
          <w:sz w:val="19"/>
          <w:szCs w:val="19"/>
          <w:bdr w:val="none" w:sz="0" w:space="0" w:color="auto" w:frame="1"/>
          <w:lang w:eastAsia="es-CO"/>
        </w:rPr>
        <w:t>Diario Oficial. Gaceta del Congreso 458 de 2005.  </w:t>
      </w:r>
    </w:p>
    <w:p w14:paraId="1FA46DFC" w14:textId="77777777" w:rsidR="00F14E00" w:rsidRPr="00D67C1A" w:rsidRDefault="00F14E00" w:rsidP="008E4B4C">
      <w:pPr>
        <w:pStyle w:val="Textonotapie"/>
        <w:ind w:firstLine="709"/>
        <w:jc w:val="both"/>
        <w:rPr>
          <w:rFonts w:ascii="Arial" w:hAnsi="Arial" w:cs="Arial"/>
          <w:sz w:val="19"/>
          <w:szCs w:val="19"/>
        </w:rPr>
      </w:pPr>
    </w:p>
  </w:footnote>
  <w:footnote w:id="5">
    <w:p w14:paraId="021C1C51" w14:textId="77777777" w:rsidR="00F14E00" w:rsidRPr="00D67C1A" w:rsidRDefault="00F14E00" w:rsidP="008E4B4C">
      <w:pPr>
        <w:pStyle w:val="Textonotapie"/>
        <w:ind w:firstLine="709"/>
        <w:jc w:val="both"/>
        <w:rPr>
          <w:rFonts w:ascii="Arial" w:hAnsi="Arial" w:cs="Arial"/>
          <w:sz w:val="19"/>
          <w:szCs w:val="19"/>
        </w:rPr>
      </w:pPr>
      <w:r w:rsidRPr="00D67C1A">
        <w:rPr>
          <w:rStyle w:val="Refdenotaalpie"/>
          <w:rFonts w:ascii="Arial" w:hAnsi="Arial" w:cs="Arial"/>
          <w:sz w:val="19"/>
          <w:szCs w:val="19"/>
        </w:rPr>
        <w:footnoteRef/>
      </w:r>
      <w:r w:rsidRPr="00D67C1A">
        <w:rPr>
          <w:rFonts w:ascii="Arial" w:hAnsi="Arial" w:cs="Arial"/>
          <w:sz w:val="19"/>
          <w:szCs w:val="19"/>
        </w:rPr>
        <w:t xml:space="preserve"> Ibídem.  </w:t>
      </w:r>
    </w:p>
    <w:p w14:paraId="0B76F2A5" w14:textId="77777777" w:rsidR="00F14E00" w:rsidRPr="00D67C1A" w:rsidRDefault="00F14E00" w:rsidP="008E4B4C">
      <w:pPr>
        <w:pStyle w:val="Textonotapie"/>
        <w:ind w:firstLine="709"/>
        <w:jc w:val="both"/>
        <w:rPr>
          <w:rFonts w:ascii="Arial" w:hAnsi="Arial" w:cs="Arial"/>
          <w:sz w:val="19"/>
          <w:szCs w:val="19"/>
        </w:rPr>
      </w:pPr>
    </w:p>
  </w:footnote>
  <w:footnote w:id="6">
    <w:p w14:paraId="6D4765A7" w14:textId="77777777" w:rsidR="00F14E00" w:rsidRPr="00D67C1A" w:rsidRDefault="00F14E00" w:rsidP="008E4B4C">
      <w:pPr>
        <w:shd w:val="clear" w:color="auto" w:fill="FFFFFF"/>
        <w:ind w:firstLine="709"/>
        <w:jc w:val="both"/>
        <w:textAlignment w:val="baseline"/>
        <w:rPr>
          <w:rFonts w:ascii="Arial" w:hAnsi="Arial" w:cs="Arial"/>
          <w:sz w:val="19"/>
          <w:szCs w:val="19"/>
          <w:bdr w:val="none" w:sz="0" w:space="0" w:color="auto" w:frame="1"/>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bdr w:val="none" w:sz="0" w:space="0" w:color="auto" w:frame="1"/>
          <w:lang w:eastAsia="es-CO"/>
        </w:rPr>
        <w:t>Diario Oficial. Gaceta del Congreso 416 de 2007, Informe de Conciliación Senado. </w:t>
      </w:r>
    </w:p>
    <w:p w14:paraId="6713B3F6"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p>
  </w:footnote>
  <w:footnote w:id="7">
    <w:p w14:paraId="79EBE278"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95C0A54"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B0538B9"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25DBC84"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115ED58"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13F1733" w14:textId="77777777" w:rsidR="00F14E00" w:rsidRPr="00D67C1A" w:rsidRDefault="00F14E00" w:rsidP="008E4B4C">
      <w:pPr>
        <w:pStyle w:val="Textonotapie"/>
        <w:ind w:firstLine="709"/>
        <w:jc w:val="both"/>
        <w:rPr>
          <w:rFonts w:ascii="Arial" w:hAnsi="Arial" w:cs="Arial"/>
          <w:sz w:val="19"/>
          <w:szCs w:val="19"/>
        </w:rPr>
      </w:pPr>
    </w:p>
  </w:footnote>
  <w:footnote w:id="8">
    <w:p w14:paraId="5BEABECC" w14:textId="77777777" w:rsidR="00992278" w:rsidRPr="008E4B4C" w:rsidRDefault="00992278" w:rsidP="00D67C1A">
      <w:pPr>
        <w:pStyle w:val="Textonotapie"/>
        <w:ind w:firstLine="708"/>
        <w:jc w:val="both"/>
        <w:rPr>
          <w:rFonts w:ascii="Arial" w:hAnsi="Arial" w:cs="Arial"/>
          <w:sz w:val="19"/>
          <w:szCs w:val="19"/>
          <w:lang w:val="es-ES"/>
        </w:rPr>
      </w:pPr>
      <w:r w:rsidRPr="008E4B4C">
        <w:rPr>
          <w:rStyle w:val="Refdenotaalpie"/>
          <w:rFonts w:ascii="Arial" w:hAnsi="Arial" w:cs="Arial"/>
          <w:sz w:val="19"/>
          <w:szCs w:val="19"/>
        </w:rPr>
        <w:footnoteRef/>
      </w:r>
      <w:r w:rsidRPr="008E4B4C">
        <w:rPr>
          <w:rFonts w:ascii="Arial" w:hAnsi="Arial" w:cs="Arial"/>
          <w:sz w:val="19"/>
          <w:szCs w:val="19"/>
        </w:rPr>
        <w:t xml:space="preserve"> Modificada por las Resoluciones No. 161 de 2020 y 146 de 2022. </w:t>
      </w:r>
    </w:p>
  </w:footnote>
  <w:footnote w:id="9">
    <w:p w14:paraId="2EC96ACD" w14:textId="6E86BFC6" w:rsidR="00F14E00" w:rsidRPr="00D67C1A" w:rsidRDefault="00F14E00" w:rsidP="008E4B4C">
      <w:pPr>
        <w:pStyle w:val="Textonotapie"/>
        <w:ind w:firstLine="709"/>
        <w:jc w:val="both"/>
        <w:rPr>
          <w:rFonts w:ascii="Arial" w:hAnsi="Arial" w:cs="Arial"/>
          <w:sz w:val="19"/>
          <w:szCs w:val="19"/>
          <w:lang w:val="es-ES"/>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lang w:val="es-ES"/>
        </w:rPr>
        <w:t xml:space="preserve">En cuanto a las resoluciones vigentes, dicha regla se observa en el artículo 3 de las Resoluciones </w:t>
      </w:r>
      <w:bookmarkStart w:id="4" w:name="_Hlk82363077"/>
      <w:r w:rsidRPr="00D67C1A">
        <w:rPr>
          <w:rFonts w:ascii="Arial" w:hAnsi="Arial" w:cs="Arial"/>
          <w:sz w:val="19"/>
          <w:szCs w:val="19"/>
          <w:lang w:val="es-ES"/>
        </w:rPr>
        <w:t>240 de 2020, 241 de 2020, 248 de 2020, 249 de 2020, 269 de 2020, 219 de 2021, 392 de 2021, 454 de 2021, entre otras, así como lo dispuesto en el artículo 2 de la Resolución 094 de 2020</w:t>
      </w:r>
      <w:bookmarkEnd w:id="4"/>
      <w:r w:rsidRPr="00D67C1A">
        <w:rPr>
          <w:rFonts w:ascii="Arial" w:hAnsi="Arial" w:cs="Arial"/>
          <w:sz w:val="19"/>
          <w:szCs w:val="19"/>
          <w:lang w:val="es-ES"/>
        </w:rPr>
        <w:t>.</w:t>
      </w:r>
    </w:p>
    <w:p w14:paraId="00130F39" w14:textId="77777777" w:rsidR="00F14E00" w:rsidRPr="00D67C1A" w:rsidRDefault="00F14E00" w:rsidP="008E4B4C">
      <w:pPr>
        <w:pStyle w:val="Textonotapie"/>
        <w:ind w:firstLine="709"/>
        <w:jc w:val="both"/>
        <w:rPr>
          <w:rFonts w:ascii="Arial" w:hAnsi="Arial" w:cs="Arial"/>
          <w:sz w:val="19"/>
          <w:szCs w:val="19"/>
          <w:lang w:val="es-ES"/>
        </w:rPr>
      </w:pPr>
    </w:p>
  </w:footnote>
  <w:footnote w:id="10">
    <w:p w14:paraId="685B67BC" w14:textId="4A30E13B" w:rsidR="00F14E00" w:rsidRPr="00D67C1A" w:rsidRDefault="00F14E00" w:rsidP="008E4B4C">
      <w:pPr>
        <w:pStyle w:val="Textonotapie"/>
        <w:ind w:firstLine="709"/>
        <w:jc w:val="both"/>
        <w:rPr>
          <w:rFonts w:ascii="Arial" w:hAnsi="Arial" w:cs="Arial"/>
          <w:sz w:val="19"/>
          <w:szCs w:val="19"/>
        </w:rPr>
      </w:pPr>
      <w:r w:rsidRPr="00D67C1A">
        <w:rPr>
          <w:rStyle w:val="Refdenotaalpie"/>
          <w:rFonts w:ascii="Arial" w:hAnsi="Arial" w:cs="Arial"/>
          <w:sz w:val="19"/>
          <w:szCs w:val="19"/>
        </w:rPr>
        <w:footnoteRef/>
      </w:r>
      <w:r w:rsidRPr="00D67C1A">
        <w:rPr>
          <w:rFonts w:ascii="Arial" w:hAnsi="Arial" w:cs="Arial"/>
          <w:sz w:val="19"/>
          <w:szCs w:val="19"/>
        </w:rPr>
        <w:t xml:space="preserve"> En torno a las potestades regladas, García de Enterría y Fernández manifiestan: «El ejercicio de las ptestades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Tomás-Ramón. Curso de derecho administrativo. Tomo I. Madrid: Civitas, 1997. pp. 444-445)</w:t>
      </w:r>
    </w:p>
    <w:p w14:paraId="0C05B834" w14:textId="77777777" w:rsidR="00F14E00" w:rsidRPr="00D67C1A" w:rsidRDefault="00F14E00" w:rsidP="008E4B4C">
      <w:pPr>
        <w:pStyle w:val="Textonotapie"/>
        <w:ind w:firstLine="709"/>
        <w:jc w:val="both"/>
        <w:rPr>
          <w:rFonts w:ascii="Arial" w:hAnsi="Arial" w:cs="Arial"/>
          <w:sz w:val="19"/>
          <w:szCs w:val="19"/>
        </w:rPr>
      </w:pPr>
    </w:p>
  </w:footnote>
  <w:footnote w:id="11">
    <w:p w14:paraId="763B9B87" w14:textId="77777777" w:rsidR="00F14E00" w:rsidRPr="00D67C1A" w:rsidRDefault="00F14E00" w:rsidP="008E4B4C">
      <w:pPr>
        <w:pStyle w:val="Textonotapie"/>
        <w:ind w:firstLine="709"/>
        <w:jc w:val="both"/>
        <w:rPr>
          <w:rFonts w:ascii="Arial" w:hAnsi="Arial" w:cs="Arial"/>
          <w:sz w:val="19"/>
          <w:szCs w:val="19"/>
        </w:rPr>
      </w:pPr>
      <w:r w:rsidRPr="00D67C1A">
        <w:rPr>
          <w:rStyle w:val="Refdenotaalpie"/>
          <w:rFonts w:ascii="Arial" w:hAnsi="Arial" w:cs="Arial"/>
          <w:sz w:val="19"/>
          <w:szCs w:val="19"/>
        </w:rPr>
        <w:footnoteRef/>
      </w:r>
      <w:r w:rsidRPr="00D67C1A">
        <w:rPr>
          <w:rFonts w:ascii="Arial" w:hAnsi="Arial" w:cs="Arial"/>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7CA6F1F" w14:textId="77777777" w:rsidR="00F14E00" w:rsidRPr="00D67C1A" w:rsidRDefault="00F14E00" w:rsidP="008E4B4C">
      <w:pPr>
        <w:pStyle w:val="Textonotapie"/>
        <w:ind w:firstLine="709"/>
        <w:jc w:val="both"/>
        <w:rPr>
          <w:rFonts w:ascii="Arial" w:hAnsi="Arial" w:cs="Arial"/>
          <w:sz w:val="19"/>
          <w:szCs w:val="19"/>
        </w:rPr>
      </w:pPr>
    </w:p>
  </w:footnote>
  <w:footnote w:id="12">
    <w:p w14:paraId="5C15E116" w14:textId="77777777" w:rsidR="00F14E00" w:rsidRPr="00D67C1A" w:rsidRDefault="00F14E00" w:rsidP="008E4B4C">
      <w:pPr>
        <w:ind w:firstLine="709"/>
        <w:jc w:val="both"/>
        <w:rPr>
          <w:rFonts w:ascii="Arial" w:hAnsi="Arial" w:cs="Arial"/>
          <w:sz w:val="19"/>
          <w:szCs w:val="19"/>
          <w:lang w:val="es-ES"/>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E68E740" w14:textId="77777777" w:rsidR="00F14E00" w:rsidRPr="00D67C1A" w:rsidRDefault="00F14E00" w:rsidP="008E4B4C">
      <w:pPr>
        <w:ind w:firstLine="709"/>
        <w:jc w:val="both"/>
        <w:rPr>
          <w:rFonts w:ascii="Arial" w:hAnsi="Arial" w:cs="Arial"/>
          <w:sz w:val="19"/>
          <w:szCs w:val="19"/>
          <w:lang w:val="es-ES"/>
        </w:rPr>
      </w:pPr>
    </w:p>
  </w:footnote>
  <w:footnote w:id="13">
    <w:p w14:paraId="47C7C201" w14:textId="77777777" w:rsidR="00D921B5" w:rsidRPr="008E4B4C" w:rsidRDefault="00D921B5" w:rsidP="008E4B4C">
      <w:pPr>
        <w:pStyle w:val="Textonotapie"/>
        <w:ind w:firstLine="708"/>
        <w:jc w:val="both"/>
        <w:rPr>
          <w:rFonts w:ascii="Arial" w:hAnsi="Arial" w:cs="Arial"/>
          <w:color w:val="000000" w:themeColor="text1"/>
          <w:sz w:val="19"/>
          <w:szCs w:val="19"/>
          <w:lang w:val="es-ES"/>
        </w:rPr>
      </w:pPr>
      <w:r w:rsidRPr="008E4B4C">
        <w:rPr>
          <w:rStyle w:val="Refdenotaalpie"/>
          <w:rFonts w:ascii="Arial" w:hAnsi="Arial" w:cs="Arial"/>
          <w:color w:val="000000" w:themeColor="text1"/>
          <w:sz w:val="19"/>
          <w:szCs w:val="19"/>
        </w:rPr>
        <w:footnoteRef/>
      </w:r>
      <w:r w:rsidRPr="008E4B4C">
        <w:rPr>
          <w:rFonts w:ascii="Arial" w:hAnsi="Arial" w:cs="Arial"/>
          <w:color w:val="000000" w:themeColor="text1"/>
          <w:sz w:val="19"/>
          <w:szCs w:val="19"/>
        </w:rPr>
        <w:t xml:space="preserve"> Artículo 2.2.1.1.2.1.1. del Decreto 1082 de 2015.</w:t>
      </w:r>
    </w:p>
  </w:footnote>
  <w:footnote w:id="14">
    <w:p w14:paraId="556A8524" w14:textId="77777777" w:rsidR="00D921B5" w:rsidRPr="00D67C1A" w:rsidRDefault="00D921B5" w:rsidP="008E4B4C">
      <w:pPr>
        <w:ind w:firstLine="708"/>
        <w:jc w:val="both"/>
        <w:rPr>
          <w:rFonts w:ascii="Arial" w:hAnsi="Arial" w:cs="Arial"/>
          <w:sz w:val="19"/>
          <w:szCs w:val="19"/>
        </w:rPr>
      </w:pPr>
      <w:r w:rsidRPr="008E4B4C">
        <w:rPr>
          <w:rStyle w:val="Refdenotaalpie"/>
          <w:rFonts w:ascii="Arial" w:hAnsi="Arial" w:cs="Arial"/>
          <w:sz w:val="19"/>
          <w:szCs w:val="19"/>
        </w:rPr>
        <w:footnoteRef/>
      </w:r>
      <w:r w:rsidRPr="008E4B4C">
        <w:rPr>
          <w:rFonts w:ascii="Arial" w:hAnsi="Arial" w:cs="Arial"/>
          <w:sz w:val="19"/>
          <w:szCs w:val="19"/>
        </w:rPr>
        <w:t xml:space="preserve"> En efecto, la causal de rechazo </w:t>
      </w:r>
      <w:r w:rsidRPr="00D67C1A">
        <w:rPr>
          <w:rFonts w:ascii="Arial" w:hAnsi="Arial" w:cs="Arial"/>
          <w:sz w:val="19"/>
          <w:szCs w:val="19"/>
        </w:rPr>
        <w:t xml:space="preserve">del literal Q de los documentos tipo de licitación de obra pública de infraestructura de transporte – Versión 3 establece: «[Incluir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72829BAE" w14:textId="77777777" w:rsidR="00D921B5" w:rsidRPr="008E4B4C" w:rsidRDefault="00D921B5" w:rsidP="008E4B4C">
      <w:pPr>
        <w:pStyle w:val="Textonotapie"/>
        <w:ind w:firstLine="708"/>
        <w:jc w:val="both"/>
        <w:rPr>
          <w:rFonts w:ascii="Arial" w:hAnsi="Arial" w:cs="Arial"/>
          <w:sz w:val="19"/>
          <w:szCs w:val="19"/>
          <w:lang w:val="es-CO"/>
        </w:rPr>
      </w:pPr>
      <w:r w:rsidRPr="00D67C1A">
        <w:rPr>
          <w:rFonts w:ascii="Arial" w:hAnsi="Arial" w:cs="Arial"/>
          <w:sz w:val="19"/>
          <w:szCs w:val="19"/>
        </w:rPr>
        <w:t>»Para la aplicación de esta causal la entidad debe tener en cuenta que el valor unitario establecido en el Formulario 1 – Formulario de Presupuesto Oficial incluye el valor de AIU]»</w:t>
      </w:r>
    </w:p>
  </w:footnote>
  <w:footnote w:id="15">
    <w:p w14:paraId="5E56B12A" w14:textId="3E23C4B2" w:rsidR="00AE4B6E" w:rsidRPr="00990BC7" w:rsidRDefault="001C1F29" w:rsidP="00AE4B6E">
      <w:pPr>
        <w:ind w:firstLine="708"/>
        <w:jc w:val="both"/>
        <w:rPr>
          <w:rFonts w:ascii="Arial" w:hAnsi="Arial" w:cs="Arial"/>
          <w:color w:val="000000" w:themeColor="text1"/>
          <w:sz w:val="19"/>
          <w:szCs w:val="19"/>
        </w:rPr>
      </w:pPr>
      <w:r>
        <w:rPr>
          <w:rStyle w:val="Refdenotaalpie"/>
        </w:rPr>
        <w:footnoteRef/>
      </w:r>
      <w:r w:rsidR="00AE4B6E">
        <w:rPr>
          <w:rFonts w:ascii="Arial" w:hAnsi="Arial" w:cs="Arial"/>
          <w:color w:val="000000" w:themeColor="text1"/>
          <w:sz w:val="19"/>
          <w:szCs w:val="19"/>
        </w:rPr>
        <w:t xml:space="preserve">Corte Suprema de Justicia, </w:t>
      </w:r>
      <w:r w:rsidR="00AE4B6E" w:rsidRPr="00AE4B6E">
        <w:rPr>
          <w:rFonts w:ascii="Arial" w:hAnsi="Arial" w:cs="Arial"/>
          <w:color w:val="000000" w:themeColor="text1"/>
          <w:sz w:val="19"/>
          <w:szCs w:val="19"/>
        </w:rPr>
        <w:t xml:space="preserve">Sala Civil, </w:t>
      </w:r>
      <w:r w:rsidR="00AE4B6E">
        <w:rPr>
          <w:rFonts w:ascii="Arial" w:hAnsi="Arial" w:cs="Arial"/>
          <w:color w:val="000000" w:themeColor="text1"/>
          <w:sz w:val="19"/>
          <w:szCs w:val="19"/>
        </w:rPr>
        <w:t>s</w:t>
      </w:r>
      <w:r w:rsidR="00AE4B6E" w:rsidRPr="00AE4B6E">
        <w:rPr>
          <w:rFonts w:ascii="Arial" w:hAnsi="Arial" w:cs="Arial"/>
          <w:color w:val="000000" w:themeColor="text1"/>
          <w:sz w:val="19"/>
          <w:szCs w:val="19"/>
        </w:rPr>
        <w:t>entencia</w:t>
      </w:r>
      <w:r w:rsidR="00AE4B6E">
        <w:rPr>
          <w:rFonts w:ascii="Arial" w:hAnsi="Arial" w:cs="Arial"/>
          <w:color w:val="000000" w:themeColor="text1"/>
          <w:sz w:val="19"/>
          <w:szCs w:val="19"/>
        </w:rPr>
        <w:t xml:space="preserve"> de 30 de agost ode 20216, rad. </w:t>
      </w:r>
      <w:r w:rsidR="00AE4B6E" w:rsidRPr="00AE4B6E">
        <w:rPr>
          <w:rFonts w:ascii="Arial" w:hAnsi="Arial" w:cs="Arial"/>
          <w:color w:val="000000" w:themeColor="text1"/>
          <w:sz w:val="19"/>
          <w:szCs w:val="19"/>
        </w:rPr>
        <w:t xml:space="preserve"> SC-118152016 (11001310303920080047301), </w:t>
      </w:r>
      <w:r w:rsidR="00AE4B6E">
        <w:rPr>
          <w:rFonts w:ascii="Arial" w:hAnsi="Arial" w:cs="Arial"/>
          <w:color w:val="000000" w:themeColor="text1"/>
          <w:sz w:val="19"/>
          <w:szCs w:val="19"/>
        </w:rPr>
        <w:t>M.P. Margarita Cabello Blanco.</w:t>
      </w:r>
    </w:p>
    <w:p w14:paraId="5ECB7DB3" w14:textId="3ED77FCF" w:rsidR="001C1F29" w:rsidRPr="001C1F29" w:rsidRDefault="001C1F29" w:rsidP="001C1F29">
      <w:pPr>
        <w:pStyle w:val="Textonotapie"/>
        <w:ind w:firstLine="708"/>
        <w:rPr>
          <w:lang w:val="es-ES_tradnl"/>
        </w:rPr>
      </w:pPr>
      <w:r>
        <w:t xml:space="preserve"> </w:t>
      </w:r>
    </w:p>
  </w:footnote>
  <w:footnote w:id="16">
    <w:p w14:paraId="3C7417B7" w14:textId="77777777" w:rsidR="00BC0144" w:rsidRPr="0018418C" w:rsidRDefault="00BC0144" w:rsidP="00BC0144">
      <w:pPr>
        <w:pStyle w:val="Textonotapie"/>
        <w:ind w:firstLine="708"/>
        <w:jc w:val="both"/>
        <w:rPr>
          <w:rFonts w:ascii="Arial" w:hAnsi="Arial" w:cs="Arial"/>
          <w:sz w:val="19"/>
          <w:szCs w:val="19"/>
        </w:rPr>
      </w:pPr>
      <w:r>
        <w:rPr>
          <w:rStyle w:val="Refdenotaalpie"/>
        </w:rPr>
        <w:footnoteRef/>
      </w:r>
      <w:r>
        <w:t xml:space="preserve"> </w:t>
      </w:r>
      <w:r w:rsidRPr="0018418C">
        <w:rPr>
          <w:rFonts w:ascii="Arial" w:hAnsi="Arial" w:cs="Arial"/>
          <w:sz w:val="19"/>
          <w:szCs w:val="19"/>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4CBE9EC5" w14:textId="77777777" w:rsidR="00BC0144" w:rsidRPr="0018418C" w:rsidRDefault="00BC0144" w:rsidP="00BC0144">
      <w:pPr>
        <w:pStyle w:val="Textonotapie"/>
        <w:ind w:firstLine="708"/>
        <w:jc w:val="both"/>
        <w:rPr>
          <w:rFonts w:ascii="Arial" w:hAnsi="Arial" w:cs="Arial"/>
          <w:sz w:val="19"/>
          <w:szCs w:val="19"/>
        </w:rPr>
      </w:pPr>
      <w:r w:rsidRPr="0018418C">
        <w:rPr>
          <w:rFonts w:ascii="Arial" w:hAnsi="Arial" w:cs="Arial"/>
          <w:sz w:val="19"/>
          <w:szCs w:val="19"/>
        </w:rPr>
        <w:t>»El segundo sobre deberá incluir únicamente la propuesta económica de conformidad con todos los requisitos exigidos en el pliego de condiciones.</w:t>
      </w:r>
    </w:p>
    <w:p w14:paraId="47DDDCDC" w14:textId="77777777" w:rsidR="00BC0144" w:rsidRPr="0018418C" w:rsidRDefault="00BC0144" w:rsidP="00BC0144">
      <w:pPr>
        <w:pStyle w:val="Textonotapie"/>
        <w:ind w:firstLine="708"/>
        <w:jc w:val="both"/>
        <w:rPr>
          <w:rFonts w:ascii="Arial" w:hAnsi="Arial" w:cs="Arial"/>
          <w:sz w:val="19"/>
          <w:szCs w:val="19"/>
          <w:lang w:val="es-CO"/>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256EAFFA" w14:textId="77777777" w:rsidR="00BC0144" w:rsidRPr="009F11CD" w:rsidRDefault="00BC0144" w:rsidP="00BC0144">
      <w:pPr>
        <w:pStyle w:val="Textonotapie"/>
        <w:rPr>
          <w:lang w:val="es-CO"/>
        </w:rPr>
      </w:pPr>
    </w:p>
  </w:footnote>
  <w:footnote w:id="17">
    <w:p w14:paraId="36D970B0" w14:textId="77777777" w:rsidR="00051B81" w:rsidRPr="00E1079C" w:rsidRDefault="00051B81" w:rsidP="00051B81">
      <w:pPr>
        <w:pStyle w:val="Textonotapie"/>
        <w:ind w:firstLine="708"/>
        <w:jc w:val="both"/>
        <w:rPr>
          <w:rFonts w:ascii="Arial" w:eastAsia="Times New Roman" w:hAnsi="Arial" w:cs="Arial"/>
          <w:sz w:val="19"/>
          <w:szCs w:val="19"/>
          <w:lang w:val="es-CO" w:eastAsia="es-CO"/>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eastAsia="Times New Roman" w:hAnsi="Arial" w:cs="Arial"/>
          <w:sz w:val="19"/>
          <w:szCs w:val="19"/>
          <w:lang w:val="es-CO" w:eastAsia="es-CO"/>
        </w:rPr>
        <w:t>Consejo de Estado. Sección Tercera. Sentencia del 27 de abril de 2011. Exp. 18.293. C.P. Ruth Stella Correa Palacio.</w:t>
      </w:r>
    </w:p>
    <w:p w14:paraId="4EC4D9E4" w14:textId="77777777" w:rsidR="00051B81" w:rsidRPr="00E1079C" w:rsidRDefault="00051B81" w:rsidP="00051B81">
      <w:pPr>
        <w:pStyle w:val="Textonotapie"/>
        <w:ind w:firstLine="708"/>
        <w:jc w:val="both"/>
        <w:rPr>
          <w:rFonts w:ascii="Arial" w:eastAsia="Calibri" w:hAnsi="Arial" w:cs="Arial"/>
          <w:sz w:val="19"/>
          <w:szCs w:val="19"/>
          <w:lang w:val="es-CO"/>
        </w:rPr>
      </w:pPr>
    </w:p>
  </w:footnote>
  <w:footnote w:id="18">
    <w:p w14:paraId="70E7E461" w14:textId="77777777" w:rsidR="00051B81" w:rsidRPr="00990BC7" w:rsidRDefault="00051B81" w:rsidP="00051B81">
      <w:pPr>
        <w:pStyle w:val="Textonotapie"/>
        <w:ind w:firstLine="708"/>
        <w:jc w:val="both"/>
        <w:rPr>
          <w:rFonts w:ascii="Arial" w:hAnsi="Arial" w:cs="Arial"/>
          <w:sz w:val="19"/>
          <w:szCs w:val="19"/>
          <w:lang w:val="es-CO"/>
        </w:rPr>
      </w:pPr>
      <w:r w:rsidRPr="00990BC7">
        <w:rPr>
          <w:rStyle w:val="Refdenotaalpie"/>
          <w:rFonts w:ascii="Arial" w:hAnsi="Arial" w:cs="Arial"/>
          <w:sz w:val="19"/>
          <w:szCs w:val="19"/>
        </w:rPr>
        <w:footnoteRef/>
      </w:r>
      <w:r w:rsidRPr="00990BC7">
        <w:rPr>
          <w:rFonts w:ascii="Arial" w:hAnsi="Arial" w:cs="Arial"/>
          <w:sz w:val="19"/>
          <w:szCs w:val="19"/>
        </w:rPr>
        <w:t xml:space="preserve"> </w:t>
      </w:r>
      <w:r w:rsidRPr="00990BC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0B31544E" w14:textId="77777777" w:rsidR="00051B81" w:rsidRPr="00990BC7" w:rsidRDefault="00051B81" w:rsidP="00051B81">
      <w:pPr>
        <w:pStyle w:val="Textonotapie"/>
        <w:rPr>
          <w:sz w:val="19"/>
          <w:szCs w:val="19"/>
          <w:lang w:val="es-CO"/>
        </w:rPr>
      </w:pPr>
    </w:p>
  </w:footnote>
  <w:footnote w:id="19">
    <w:p w14:paraId="6E0DFB0E" w14:textId="77777777" w:rsidR="009216FB" w:rsidRPr="00990BC7" w:rsidRDefault="009216FB" w:rsidP="009216FB">
      <w:pPr>
        <w:pStyle w:val="Textonotapie"/>
        <w:ind w:firstLine="708"/>
        <w:jc w:val="both"/>
        <w:rPr>
          <w:rFonts w:ascii="Arial" w:hAnsi="Arial" w:cs="Arial"/>
          <w:sz w:val="19"/>
          <w:szCs w:val="19"/>
        </w:rPr>
      </w:pPr>
      <w:r w:rsidRPr="00990BC7">
        <w:rPr>
          <w:rStyle w:val="Refdenotaalpie"/>
          <w:rFonts w:ascii="Arial" w:hAnsi="Arial" w:cs="Arial"/>
          <w:sz w:val="19"/>
          <w:szCs w:val="19"/>
        </w:rPr>
        <w:footnoteRef/>
      </w:r>
      <w:r w:rsidRPr="00990BC7">
        <w:rPr>
          <w:rFonts w:ascii="Arial" w:hAnsi="Arial" w:cs="Arial"/>
          <w:sz w:val="19"/>
          <w:szCs w:val="19"/>
        </w:rPr>
        <w:t xml:space="preserve"> Ley 1882 de 2018 «Artículo 1. Adiciónense los parágrafos 2 y 3 del artículo 30 de la Ley 80 de1993:</w:t>
      </w:r>
    </w:p>
    <w:p w14:paraId="29653C60" w14:textId="77777777" w:rsidR="009216FB" w:rsidRPr="00990BC7" w:rsidRDefault="009216FB" w:rsidP="009216FB">
      <w:pPr>
        <w:pStyle w:val="Textonotapie"/>
        <w:ind w:firstLine="708"/>
        <w:jc w:val="both"/>
        <w:rPr>
          <w:rFonts w:ascii="Arial" w:hAnsi="Arial" w:cs="Arial"/>
          <w:sz w:val="19"/>
          <w:szCs w:val="19"/>
        </w:rPr>
      </w:pPr>
      <w:r w:rsidRPr="00990BC7">
        <w:rPr>
          <w:rFonts w:ascii="Arial" w:hAnsi="Arial" w:cs="Arial"/>
          <w:sz w:val="19"/>
          <w:szCs w:val="19"/>
        </w:rPr>
        <w:t>»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2BCA051E" w14:textId="77777777" w:rsidR="009216FB" w:rsidRPr="00990BC7" w:rsidRDefault="009216FB" w:rsidP="009216FB">
      <w:pPr>
        <w:pStyle w:val="Textonotapie"/>
        <w:ind w:firstLine="708"/>
        <w:jc w:val="both"/>
        <w:rPr>
          <w:rFonts w:ascii="Arial" w:hAnsi="Arial" w:cs="Arial"/>
          <w:sz w:val="19"/>
          <w:szCs w:val="19"/>
        </w:rPr>
      </w:pPr>
      <w:r w:rsidRPr="00990BC7">
        <w:rPr>
          <w:rFonts w:ascii="Arial" w:hAnsi="Arial" w:cs="Arial"/>
          <w:sz w:val="19"/>
          <w:szCs w:val="19"/>
        </w:rPr>
        <w:t>»El segundo sobre deberá incluir únicamente la propuesta económica de conformidad con todos los requisitos exigidos en el pliego de condiciones.</w:t>
      </w:r>
    </w:p>
    <w:p w14:paraId="00332C5D" w14:textId="77777777" w:rsidR="009216FB" w:rsidRPr="00990BC7" w:rsidRDefault="009216FB" w:rsidP="009216FB">
      <w:pPr>
        <w:pStyle w:val="Textonotapie"/>
        <w:ind w:firstLine="708"/>
        <w:jc w:val="both"/>
        <w:rPr>
          <w:rFonts w:ascii="Arial" w:hAnsi="Arial" w:cs="Arial"/>
          <w:sz w:val="19"/>
          <w:szCs w:val="19"/>
        </w:rPr>
      </w:pPr>
      <w:r w:rsidRPr="00990BC7">
        <w:rPr>
          <w:rFonts w:ascii="Arial" w:hAnsi="Arial" w:cs="Arial"/>
          <w:sz w:val="19"/>
          <w:szCs w:val="19"/>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4639A4CE" w14:textId="77777777" w:rsidR="009216FB" w:rsidRPr="00990BC7" w:rsidRDefault="009216FB" w:rsidP="009216FB">
      <w:pPr>
        <w:pStyle w:val="Textonotapie"/>
        <w:ind w:firstLine="708"/>
        <w:jc w:val="both"/>
        <w:rPr>
          <w:rFonts w:ascii="Arial" w:hAnsi="Arial" w:cs="Arial"/>
          <w:sz w:val="19"/>
          <w:szCs w:val="19"/>
        </w:rPr>
      </w:pPr>
      <w:r w:rsidRPr="00990BC7">
        <w:rPr>
          <w:rFonts w:ascii="Arial" w:hAnsi="Arial" w:cs="Arial"/>
          <w:sz w:val="19"/>
          <w:szCs w:val="19"/>
        </w:rPr>
        <w:t>»En estos procesos el informe permanecerá publicado en el Secop durante cinco (5) días hábiles, termino hasta el cual los proponentes podrán hacer las observaciones que consideren y entregar los documentos y la información solicitada por la entidad estatal. Al finalizar este plazo, la entidad estatal se pronunciara sobre las observaciones y publicará el informe final de evaluación de los requisitos habilitantes y los requisitos objeto de puntuación distintos a la oferta económica.</w:t>
      </w:r>
    </w:p>
    <w:p w14:paraId="2C745572" w14:textId="77777777" w:rsidR="009216FB" w:rsidRPr="00990BC7" w:rsidRDefault="009216FB" w:rsidP="009216FB">
      <w:pPr>
        <w:pStyle w:val="Textonotapie"/>
        <w:ind w:firstLine="708"/>
        <w:jc w:val="both"/>
        <w:rPr>
          <w:rFonts w:ascii="Arial" w:hAnsi="Arial" w:cs="Arial"/>
          <w:sz w:val="19"/>
          <w:szCs w:val="19"/>
        </w:rPr>
      </w:pPr>
      <w:r w:rsidRPr="00990BC7">
        <w:rPr>
          <w:rFonts w:ascii="Arial" w:hAnsi="Arial" w:cs="Arial"/>
          <w:sz w:val="19"/>
          <w:szCs w:val="19"/>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evaluara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p w14:paraId="05FEB9C7" w14:textId="77777777" w:rsidR="009216FB" w:rsidRPr="00990BC7" w:rsidRDefault="009216FB" w:rsidP="009216FB">
      <w:pPr>
        <w:pStyle w:val="Textonotapie"/>
        <w:ind w:firstLine="708"/>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1BF74B6F" w:rsidR="00F14E00" w:rsidRDefault="00F14E00">
    <w:pPr>
      <w:pStyle w:val="Encabezado"/>
    </w:pPr>
  </w:p>
  <w:p w14:paraId="6A4C7F2C" w14:textId="6C4A18B6" w:rsidR="00F14E00" w:rsidRDefault="009B729B">
    <w:pPr>
      <w:pStyle w:val="Encabezado"/>
    </w:pPr>
    <w:r>
      <w:rPr>
        <w:noProof/>
      </w:rPr>
      <w:drawing>
        <wp:anchor distT="0" distB="0" distL="114300" distR="114300" simplePos="0" relativeHeight="251659264" behindDoc="0" locked="0" layoutInCell="1" allowOverlap="1" wp14:anchorId="5F22AEE3" wp14:editId="11E84054">
          <wp:simplePos x="0" y="0"/>
          <wp:positionH relativeFrom="column">
            <wp:posOffset>4090737</wp:posOffset>
          </wp:positionH>
          <wp:positionV relativeFrom="paragraph">
            <wp:posOffset>185420</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p w14:paraId="055F2E1F" w14:textId="182F5E87" w:rsidR="00F14E00" w:rsidRDefault="00F14E00">
    <w:pPr>
      <w:pStyle w:val="Encabezado"/>
    </w:pPr>
  </w:p>
  <w:p w14:paraId="51400574" w14:textId="61BAF652" w:rsidR="00F14E00" w:rsidRDefault="00F14E00">
    <w:pPr>
      <w:pStyle w:val="Encabezado"/>
    </w:pPr>
  </w:p>
  <w:p w14:paraId="3D323BDB" w14:textId="04AF0DE6" w:rsidR="00F14E00" w:rsidRDefault="00F14E00">
    <w:pPr>
      <w:pStyle w:val="Encabezado"/>
    </w:pPr>
  </w:p>
  <w:p w14:paraId="6520770B" w14:textId="18EB07B5" w:rsidR="00F14E00" w:rsidRDefault="00F1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6C1365D9"/>
    <w:multiLevelType w:val="hybridMultilevel"/>
    <w:tmpl w:val="0C34695E"/>
    <w:lvl w:ilvl="0" w:tplc="DAAC72D6">
      <w:start w:val="1"/>
      <w:numFmt w:val="decimal"/>
      <w:lvlText w:val="%1."/>
      <w:lvlJc w:val="left"/>
      <w:pPr>
        <w:ind w:left="100" w:hanging="267"/>
        <w:jc w:val="left"/>
      </w:pPr>
      <w:rPr>
        <w:rFonts w:ascii="Arial MT" w:eastAsia="Arial MT" w:hAnsi="Arial MT" w:cs="Arial MT" w:hint="default"/>
        <w:w w:val="100"/>
        <w:sz w:val="24"/>
        <w:szCs w:val="24"/>
        <w:lang w:val="es-ES" w:eastAsia="en-US" w:bidi="ar-SA"/>
      </w:rPr>
    </w:lvl>
    <w:lvl w:ilvl="1" w:tplc="117C21AC">
      <w:numFmt w:val="bullet"/>
      <w:lvlText w:val="•"/>
      <w:lvlJc w:val="left"/>
      <w:pPr>
        <w:ind w:left="1036" w:hanging="267"/>
      </w:pPr>
      <w:rPr>
        <w:rFonts w:hint="default"/>
        <w:lang w:val="es-ES" w:eastAsia="en-US" w:bidi="ar-SA"/>
      </w:rPr>
    </w:lvl>
    <w:lvl w:ilvl="2" w:tplc="23528DE0">
      <w:numFmt w:val="bullet"/>
      <w:lvlText w:val="•"/>
      <w:lvlJc w:val="left"/>
      <w:pPr>
        <w:ind w:left="1972" w:hanging="267"/>
      </w:pPr>
      <w:rPr>
        <w:rFonts w:hint="default"/>
        <w:lang w:val="es-ES" w:eastAsia="en-US" w:bidi="ar-SA"/>
      </w:rPr>
    </w:lvl>
    <w:lvl w:ilvl="3" w:tplc="31808A10">
      <w:numFmt w:val="bullet"/>
      <w:lvlText w:val="•"/>
      <w:lvlJc w:val="left"/>
      <w:pPr>
        <w:ind w:left="2908" w:hanging="267"/>
      </w:pPr>
      <w:rPr>
        <w:rFonts w:hint="default"/>
        <w:lang w:val="es-ES" w:eastAsia="en-US" w:bidi="ar-SA"/>
      </w:rPr>
    </w:lvl>
    <w:lvl w:ilvl="4" w:tplc="0ACEBBC8">
      <w:numFmt w:val="bullet"/>
      <w:lvlText w:val="•"/>
      <w:lvlJc w:val="left"/>
      <w:pPr>
        <w:ind w:left="3844" w:hanging="267"/>
      </w:pPr>
      <w:rPr>
        <w:rFonts w:hint="default"/>
        <w:lang w:val="es-ES" w:eastAsia="en-US" w:bidi="ar-SA"/>
      </w:rPr>
    </w:lvl>
    <w:lvl w:ilvl="5" w:tplc="6B146B28">
      <w:numFmt w:val="bullet"/>
      <w:lvlText w:val="•"/>
      <w:lvlJc w:val="left"/>
      <w:pPr>
        <w:ind w:left="4780" w:hanging="267"/>
      </w:pPr>
      <w:rPr>
        <w:rFonts w:hint="default"/>
        <w:lang w:val="es-ES" w:eastAsia="en-US" w:bidi="ar-SA"/>
      </w:rPr>
    </w:lvl>
    <w:lvl w:ilvl="6" w:tplc="5F2EE72C">
      <w:numFmt w:val="bullet"/>
      <w:lvlText w:val="•"/>
      <w:lvlJc w:val="left"/>
      <w:pPr>
        <w:ind w:left="5716" w:hanging="267"/>
      </w:pPr>
      <w:rPr>
        <w:rFonts w:hint="default"/>
        <w:lang w:val="es-ES" w:eastAsia="en-US" w:bidi="ar-SA"/>
      </w:rPr>
    </w:lvl>
    <w:lvl w:ilvl="7" w:tplc="4612B440">
      <w:numFmt w:val="bullet"/>
      <w:lvlText w:val="•"/>
      <w:lvlJc w:val="left"/>
      <w:pPr>
        <w:ind w:left="6652" w:hanging="267"/>
      </w:pPr>
      <w:rPr>
        <w:rFonts w:hint="default"/>
        <w:lang w:val="es-ES" w:eastAsia="en-US" w:bidi="ar-SA"/>
      </w:rPr>
    </w:lvl>
    <w:lvl w:ilvl="8" w:tplc="8D16151A">
      <w:numFmt w:val="bullet"/>
      <w:lvlText w:val="•"/>
      <w:lvlJc w:val="left"/>
      <w:pPr>
        <w:ind w:left="7588" w:hanging="267"/>
      </w:pPr>
      <w:rPr>
        <w:rFonts w:hint="default"/>
        <w:lang w:val="es-ES" w:eastAsia="en-US" w:bidi="ar-SA"/>
      </w:rPr>
    </w:lvl>
  </w:abstractNum>
  <w:abstractNum w:abstractNumId="16"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7" w15:restartNumberingAfterBreak="0">
    <w:nsid w:val="6E1F5B36"/>
    <w:multiLevelType w:val="hybridMultilevel"/>
    <w:tmpl w:val="77E27D3C"/>
    <w:lvl w:ilvl="0" w:tplc="2CB0B4BE">
      <w:start w:val="23"/>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9"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5328237">
    <w:abstractNumId w:val="6"/>
  </w:num>
  <w:num w:numId="2" w16cid:durableId="244653681">
    <w:abstractNumId w:val="5"/>
  </w:num>
  <w:num w:numId="3" w16cid:durableId="964431763">
    <w:abstractNumId w:val="9"/>
  </w:num>
  <w:num w:numId="4" w16cid:durableId="1273702485">
    <w:abstractNumId w:val="11"/>
  </w:num>
  <w:num w:numId="5" w16cid:durableId="1858276447">
    <w:abstractNumId w:val="14"/>
  </w:num>
  <w:num w:numId="6" w16cid:durableId="7039117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905784">
    <w:abstractNumId w:val="3"/>
  </w:num>
  <w:num w:numId="8" w16cid:durableId="514004952">
    <w:abstractNumId w:val="16"/>
  </w:num>
  <w:num w:numId="9" w16cid:durableId="1229875279">
    <w:abstractNumId w:val="3"/>
    <w:lvlOverride w:ilvl="0">
      <w:startOverride w:val="1"/>
    </w:lvlOverride>
  </w:num>
  <w:num w:numId="10" w16cid:durableId="1150907909">
    <w:abstractNumId w:val="18"/>
  </w:num>
  <w:num w:numId="11" w16cid:durableId="1568417729">
    <w:abstractNumId w:val="4"/>
  </w:num>
  <w:num w:numId="12" w16cid:durableId="1629699499">
    <w:abstractNumId w:val="19"/>
  </w:num>
  <w:num w:numId="13" w16cid:durableId="1461074995">
    <w:abstractNumId w:val="10"/>
  </w:num>
  <w:num w:numId="14" w16cid:durableId="396393645">
    <w:abstractNumId w:val="12"/>
  </w:num>
  <w:num w:numId="15" w16cid:durableId="109134778">
    <w:abstractNumId w:val="1"/>
  </w:num>
  <w:num w:numId="16" w16cid:durableId="257718194">
    <w:abstractNumId w:val="2"/>
  </w:num>
  <w:num w:numId="17" w16cid:durableId="637883053">
    <w:abstractNumId w:val="13"/>
  </w:num>
  <w:num w:numId="18" w16cid:durableId="903374907">
    <w:abstractNumId w:val="7"/>
  </w:num>
  <w:num w:numId="19" w16cid:durableId="1917090151">
    <w:abstractNumId w:val="15"/>
  </w:num>
  <w:num w:numId="20" w16cid:durableId="1095711094">
    <w:abstractNumId w:val="8"/>
  </w:num>
  <w:num w:numId="21" w16cid:durableId="1944873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CA5"/>
    <w:rsid w:val="000014F3"/>
    <w:rsid w:val="0000268F"/>
    <w:rsid w:val="00003409"/>
    <w:rsid w:val="0000404B"/>
    <w:rsid w:val="0000645E"/>
    <w:rsid w:val="0000651A"/>
    <w:rsid w:val="00006C9C"/>
    <w:rsid w:val="00010563"/>
    <w:rsid w:val="00010D56"/>
    <w:rsid w:val="000126BB"/>
    <w:rsid w:val="00012A1B"/>
    <w:rsid w:val="00013517"/>
    <w:rsid w:val="000136DC"/>
    <w:rsid w:val="00013A51"/>
    <w:rsid w:val="00016F33"/>
    <w:rsid w:val="00016FAC"/>
    <w:rsid w:val="0001726A"/>
    <w:rsid w:val="0001795B"/>
    <w:rsid w:val="000201EA"/>
    <w:rsid w:val="00020801"/>
    <w:rsid w:val="00023441"/>
    <w:rsid w:val="00023549"/>
    <w:rsid w:val="000244AB"/>
    <w:rsid w:val="00024BE5"/>
    <w:rsid w:val="0002665B"/>
    <w:rsid w:val="00026AD9"/>
    <w:rsid w:val="000271AD"/>
    <w:rsid w:val="00027940"/>
    <w:rsid w:val="00027F74"/>
    <w:rsid w:val="000303EC"/>
    <w:rsid w:val="00032DA3"/>
    <w:rsid w:val="000365C0"/>
    <w:rsid w:val="00037112"/>
    <w:rsid w:val="00037BF5"/>
    <w:rsid w:val="00042AC5"/>
    <w:rsid w:val="00044E56"/>
    <w:rsid w:val="000503A1"/>
    <w:rsid w:val="0005095B"/>
    <w:rsid w:val="00050E8C"/>
    <w:rsid w:val="00051882"/>
    <w:rsid w:val="00051B81"/>
    <w:rsid w:val="00055733"/>
    <w:rsid w:val="00056024"/>
    <w:rsid w:val="00056BF7"/>
    <w:rsid w:val="00057953"/>
    <w:rsid w:val="0006054C"/>
    <w:rsid w:val="0006293E"/>
    <w:rsid w:val="0006625D"/>
    <w:rsid w:val="00066C3F"/>
    <w:rsid w:val="0006738C"/>
    <w:rsid w:val="00070770"/>
    <w:rsid w:val="00070A22"/>
    <w:rsid w:val="00071D4B"/>
    <w:rsid w:val="00071D6E"/>
    <w:rsid w:val="00072969"/>
    <w:rsid w:val="0007590A"/>
    <w:rsid w:val="00080D35"/>
    <w:rsid w:val="00081AF3"/>
    <w:rsid w:val="0008260E"/>
    <w:rsid w:val="000827F2"/>
    <w:rsid w:val="00084278"/>
    <w:rsid w:val="00084DC0"/>
    <w:rsid w:val="00085CC3"/>
    <w:rsid w:val="00085D36"/>
    <w:rsid w:val="00087888"/>
    <w:rsid w:val="00090683"/>
    <w:rsid w:val="00091301"/>
    <w:rsid w:val="000939E0"/>
    <w:rsid w:val="00093D35"/>
    <w:rsid w:val="000942EB"/>
    <w:rsid w:val="0009440D"/>
    <w:rsid w:val="0009651A"/>
    <w:rsid w:val="00096EAB"/>
    <w:rsid w:val="000970A3"/>
    <w:rsid w:val="000970AA"/>
    <w:rsid w:val="0009712F"/>
    <w:rsid w:val="000972BA"/>
    <w:rsid w:val="000A15CB"/>
    <w:rsid w:val="000A1B81"/>
    <w:rsid w:val="000A2169"/>
    <w:rsid w:val="000A2C01"/>
    <w:rsid w:val="000A3536"/>
    <w:rsid w:val="000A44E8"/>
    <w:rsid w:val="000A5189"/>
    <w:rsid w:val="000A668C"/>
    <w:rsid w:val="000A7E46"/>
    <w:rsid w:val="000B0831"/>
    <w:rsid w:val="000B103F"/>
    <w:rsid w:val="000B1C28"/>
    <w:rsid w:val="000B1DCE"/>
    <w:rsid w:val="000B26E7"/>
    <w:rsid w:val="000B3893"/>
    <w:rsid w:val="000B4FC6"/>
    <w:rsid w:val="000B53D0"/>
    <w:rsid w:val="000C0B7C"/>
    <w:rsid w:val="000C1091"/>
    <w:rsid w:val="000C2DD2"/>
    <w:rsid w:val="000C4F67"/>
    <w:rsid w:val="000C4F79"/>
    <w:rsid w:val="000C5A1F"/>
    <w:rsid w:val="000C6043"/>
    <w:rsid w:val="000C6347"/>
    <w:rsid w:val="000D0AFA"/>
    <w:rsid w:val="000D228B"/>
    <w:rsid w:val="000D5E6D"/>
    <w:rsid w:val="000E00A8"/>
    <w:rsid w:val="000E1761"/>
    <w:rsid w:val="000E1F13"/>
    <w:rsid w:val="000E2297"/>
    <w:rsid w:val="000E2B3A"/>
    <w:rsid w:val="000E496F"/>
    <w:rsid w:val="000E68FA"/>
    <w:rsid w:val="000E6962"/>
    <w:rsid w:val="000E6D84"/>
    <w:rsid w:val="000E7A1E"/>
    <w:rsid w:val="000F07B8"/>
    <w:rsid w:val="000F14E8"/>
    <w:rsid w:val="000F2007"/>
    <w:rsid w:val="000F3B04"/>
    <w:rsid w:val="000F6869"/>
    <w:rsid w:val="000F7AE4"/>
    <w:rsid w:val="0010045F"/>
    <w:rsid w:val="001010FA"/>
    <w:rsid w:val="001015E9"/>
    <w:rsid w:val="001017F1"/>
    <w:rsid w:val="001019CA"/>
    <w:rsid w:val="00102AA1"/>
    <w:rsid w:val="00103915"/>
    <w:rsid w:val="00103D3D"/>
    <w:rsid w:val="00106085"/>
    <w:rsid w:val="001065D1"/>
    <w:rsid w:val="00106B75"/>
    <w:rsid w:val="00110012"/>
    <w:rsid w:val="00110E52"/>
    <w:rsid w:val="001112CF"/>
    <w:rsid w:val="00111438"/>
    <w:rsid w:val="00111636"/>
    <w:rsid w:val="00112192"/>
    <w:rsid w:val="00112B4A"/>
    <w:rsid w:val="00112D2F"/>
    <w:rsid w:val="00114236"/>
    <w:rsid w:val="00114D72"/>
    <w:rsid w:val="001152BA"/>
    <w:rsid w:val="0011561C"/>
    <w:rsid w:val="00115D3E"/>
    <w:rsid w:val="001164BB"/>
    <w:rsid w:val="001170AB"/>
    <w:rsid w:val="001214FF"/>
    <w:rsid w:val="0012201D"/>
    <w:rsid w:val="0012244A"/>
    <w:rsid w:val="001229C6"/>
    <w:rsid w:val="00122B23"/>
    <w:rsid w:val="00123AA4"/>
    <w:rsid w:val="00124CE3"/>
    <w:rsid w:val="00124E73"/>
    <w:rsid w:val="00124EC3"/>
    <w:rsid w:val="00125291"/>
    <w:rsid w:val="0012570E"/>
    <w:rsid w:val="00125D4C"/>
    <w:rsid w:val="0012754A"/>
    <w:rsid w:val="00130333"/>
    <w:rsid w:val="00130544"/>
    <w:rsid w:val="0013236F"/>
    <w:rsid w:val="00132C50"/>
    <w:rsid w:val="001332D0"/>
    <w:rsid w:val="00133BB0"/>
    <w:rsid w:val="001344AA"/>
    <w:rsid w:val="001349B6"/>
    <w:rsid w:val="00137BA1"/>
    <w:rsid w:val="00137FFA"/>
    <w:rsid w:val="001425C5"/>
    <w:rsid w:val="001428CF"/>
    <w:rsid w:val="001448B5"/>
    <w:rsid w:val="00146179"/>
    <w:rsid w:val="00146E1D"/>
    <w:rsid w:val="00152609"/>
    <w:rsid w:val="0015382E"/>
    <w:rsid w:val="00154263"/>
    <w:rsid w:val="001550CF"/>
    <w:rsid w:val="001554A4"/>
    <w:rsid w:val="00155B6E"/>
    <w:rsid w:val="00155BFC"/>
    <w:rsid w:val="00156A50"/>
    <w:rsid w:val="00156DAF"/>
    <w:rsid w:val="00157821"/>
    <w:rsid w:val="00157CA4"/>
    <w:rsid w:val="0016135A"/>
    <w:rsid w:val="0016149E"/>
    <w:rsid w:val="0016152C"/>
    <w:rsid w:val="00161D78"/>
    <w:rsid w:val="0016240C"/>
    <w:rsid w:val="00163B50"/>
    <w:rsid w:val="00164225"/>
    <w:rsid w:val="0016511A"/>
    <w:rsid w:val="00165EA8"/>
    <w:rsid w:val="0016658C"/>
    <w:rsid w:val="0016680A"/>
    <w:rsid w:val="00167B9D"/>
    <w:rsid w:val="00167F0C"/>
    <w:rsid w:val="00170733"/>
    <w:rsid w:val="00172E0A"/>
    <w:rsid w:val="0017360F"/>
    <w:rsid w:val="001736CF"/>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A4138"/>
    <w:rsid w:val="001A569E"/>
    <w:rsid w:val="001A70EF"/>
    <w:rsid w:val="001B0A86"/>
    <w:rsid w:val="001B1BE7"/>
    <w:rsid w:val="001B2EA0"/>
    <w:rsid w:val="001B3306"/>
    <w:rsid w:val="001B464A"/>
    <w:rsid w:val="001B4A46"/>
    <w:rsid w:val="001B4BEB"/>
    <w:rsid w:val="001B528A"/>
    <w:rsid w:val="001B53B4"/>
    <w:rsid w:val="001B6044"/>
    <w:rsid w:val="001B686F"/>
    <w:rsid w:val="001B68B7"/>
    <w:rsid w:val="001B71FD"/>
    <w:rsid w:val="001B7618"/>
    <w:rsid w:val="001B7DEA"/>
    <w:rsid w:val="001C1F29"/>
    <w:rsid w:val="001C219D"/>
    <w:rsid w:val="001C33CB"/>
    <w:rsid w:val="001C4297"/>
    <w:rsid w:val="001C54B1"/>
    <w:rsid w:val="001C6128"/>
    <w:rsid w:val="001C722C"/>
    <w:rsid w:val="001D172E"/>
    <w:rsid w:val="001D4A20"/>
    <w:rsid w:val="001D4A42"/>
    <w:rsid w:val="001D5E4D"/>
    <w:rsid w:val="001E0042"/>
    <w:rsid w:val="001E008B"/>
    <w:rsid w:val="001E0545"/>
    <w:rsid w:val="001E0849"/>
    <w:rsid w:val="001E1694"/>
    <w:rsid w:val="001E1984"/>
    <w:rsid w:val="001E1A13"/>
    <w:rsid w:val="001E24F4"/>
    <w:rsid w:val="001E30CF"/>
    <w:rsid w:val="001E453C"/>
    <w:rsid w:val="001E7880"/>
    <w:rsid w:val="001F140A"/>
    <w:rsid w:val="001F1AFA"/>
    <w:rsid w:val="001F25A1"/>
    <w:rsid w:val="001F25AA"/>
    <w:rsid w:val="001F2AD0"/>
    <w:rsid w:val="001F384E"/>
    <w:rsid w:val="001F3C7B"/>
    <w:rsid w:val="001F3D53"/>
    <w:rsid w:val="001F416A"/>
    <w:rsid w:val="001F5546"/>
    <w:rsid w:val="001F6AAC"/>
    <w:rsid w:val="001F790E"/>
    <w:rsid w:val="002005CC"/>
    <w:rsid w:val="00203F1A"/>
    <w:rsid w:val="00204114"/>
    <w:rsid w:val="00204C65"/>
    <w:rsid w:val="002059AF"/>
    <w:rsid w:val="0020637E"/>
    <w:rsid w:val="002107F4"/>
    <w:rsid w:val="002131AD"/>
    <w:rsid w:val="0021327A"/>
    <w:rsid w:val="002135F3"/>
    <w:rsid w:val="002146C0"/>
    <w:rsid w:val="00214DF8"/>
    <w:rsid w:val="0021564F"/>
    <w:rsid w:val="0021571D"/>
    <w:rsid w:val="00216478"/>
    <w:rsid w:val="00216F1A"/>
    <w:rsid w:val="0021759E"/>
    <w:rsid w:val="00220CE5"/>
    <w:rsid w:val="002215FF"/>
    <w:rsid w:val="00221BD0"/>
    <w:rsid w:val="00222935"/>
    <w:rsid w:val="002236DB"/>
    <w:rsid w:val="00224570"/>
    <w:rsid w:val="0022655C"/>
    <w:rsid w:val="00233365"/>
    <w:rsid w:val="00233A24"/>
    <w:rsid w:val="0023484E"/>
    <w:rsid w:val="00234B84"/>
    <w:rsid w:val="00235341"/>
    <w:rsid w:val="00235EAA"/>
    <w:rsid w:val="00237329"/>
    <w:rsid w:val="00237CB3"/>
    <w:rsid w:val="002412CB"/>
    <w:rsid w:val="002416BA"/>
    <w:rsid w:val="00242EFF"/>
    <w:rsid w:val="00244CC4"/>
    <w:rsid w:val="002457FD"/>
    <w:rsid w:val="00245C7E"/>
    <w:rsid w:val="0024604B"/>
    <w:rsid w:val="00246B81"/>
    <w:rsid w:val="00250718"/>
    <w:rsid w:val="00251445"/>
    <w:rsid w:val="00253276"/>
    <w:rsid w:val="00253C1D"/>
    <w:rsid w:val="00254319"/>
    <w:rsid w:val="002563B9"/>
    <w:rsid w:val="0025685E"/>
    <w:rsid w:val="00256BB9"/>
    <w:rsid w:val="00256EDF"/>
    <w:rsid w:val="0025768C"/>
    <w:rsid w:val="002603F3"/>
    <w:rsid w:val="00265C96"/>
    <w:rsid w:val="00265CEB"/>
    <w:rsid w:val="00265ED0"/>
    <w:rsid w:val="00266E0C"/>
    <w:rsid w:val="00270234"/>
    <w:rsid w:val="0027071C"/>
    <w:rsid w:val="00272C62"/>
    <w:rsid w:val="00273DED"/>
    <w:rsid w:val="00275701"/>
    <w:rsid w:val="00276521"/>
    <w:rsid w:val="00283380"/>
    <w:rsid w:val="0028382A"/>
    <w:rsid w:val="00284F66"/>
    <w:rsid w:val="00285D7E"/>
    <w:rsid w:val="00285FED"/>
    <w:rsid w:val="00286A53"/>
    <w:rsid w:val="00286EB7"/>
    <w:rsid w:val="00287542"/>
    <w:rsid w:val="002877E9"/>
    <w:rsid w:val="00287A79"/>
    <w:rsid w:val="0029159E"/>
    <w:rsid w:val="00292CD9"/>
    <w:rsid w:val="00294801"/>
    <w:rsid w:val="00295418"/>
    <w:rsid w:val="0029573E"/>
    <w:rsid w:val="002A01C4"/>
    <w:rsid w:val="002A0763"/>
    <w:rsid w:val="002A3730"/>
    <w:rsid w:val="002A4E44"/>
    <w:rsid w:val="002A4F10"/>
    <w:rsid w:val="002A63F4"/>
    <w:rsid w:val="002B0564"/>
    <w:rsid w:val="002B0BD2"/>
    <w:rsid w:val="002B4907"/>
    <w:rsid w:val="002B50DA"/>
    <w:rsid w:val="002B5BCA"/>
    <w:rsid w:val="002B7DD1"/>
    <w:rsid w:val="002C0725"/>
    <w:rsid w:val="002C087E"/>
    <w:rsid w:val="002C27C5"/>
    <w:rsid w:val="002C2B17"/>
    <w:rsid w:val="002C2BF2"/>
    <w:rsid w:val="002C43B5"/>
    <w:rsid w:val="002C5940"/>
    <w:rsid w:val="002C5D89"/>
    <w:rsid w:val="002C7CF0"/>
    <w:rsid w:val="002D17B8"/>
    <w:rsid w:val="002D3456"/>
    <w:rsid w:val="002D4BB3"/>
    <w:rsid w:val="002D6190"/>
    <w:rsid w:val="002D696B"/>
    <w:rsid w:val="002D7E62"/>
    <w:rsid w:val="002D7F92"/>
    <w:rsid w:val="002E0A18"/>
    <w:rsid w:val="002E0AA8"/>
    <w:rsid w:val="002E0FAD"/>
    <w:rsid w:val="002E1964"/>
    <w:rsid w:val="002E19A6"/>
    <w:rsid w:val="002E1E7E"/>
    <w:rsid w:val="002E2947"/>
    <w:rsid w:val="002E35BE"/>
    <w:rsid w:val="002E6B6F"/>
    <w:rsid w:val="002E6F7C"/>
    <w:rsid w:val="002F0602"/>
    <w:rsid w:val="002F0800"/>
    <w:rsid w:val="002F3606"/>
    <w:rsid w:val="002F436E"/>
    <w:rsid w:val="002F4BC7"/>
    <w:rsid w:val="002F5131"/>
    <w:rsid w:val="002F6EDA"/>
    <w:rsid w:val="002F6EE0"/>
    <w:rsid w:val="002F70EB"/>
    <w:rsid w:val="002F779E"/>
    <w:rsid w:val="002F7BFE"/>
    <w:rsid w:val="0030086F"/>
    <w:rsid w:val="003033BA"/>
    <w:rsid w:val="003038BC"/>
    <w:rsid w:val="00303EFC"/>
    <w:rsid w:val="003046D6"/>
    <w:rsid w:val="003103C3"/>
    <w:rsid w:val="00310895"/>
    <w:rsid w:val="003112B5"/>
    <w:rsid w:val="0031293C"/>
    <w:rsid w:val="00313BBA"/>
    <w:rsid w:val="00313D9F"/>
    <w:rsid w:val="00314010"/>
    <w:rsid w:val="00314899"/>
    <w:rsid w:val="00314A89"/>
    <w:rsid w:val="00315623"/>
    <w:rsid w:val="00316182"/>
    <w:rsid w:val="0032072B"/>
    <w:rsid w:val="00320C7F"/>
    <w:rsid w:val="00320DFD"/>
    <w:rsid w:val="00320E68"/>
    <w:rsid w:val="00326F22"/>
    <w:rsid w:val="0033002D"/>
    <w:rsid w:val="00332906"/>
    <w:rsid w:val="00332C3C"/>
    <w:rsid w:val="00333BE1"/>
    <w:rsid w:val="00334B76"/>
    <w:rsid w:val="00336644"/>
    <w:rsid w:val="00337299"/>
    <w:rsid w:val="0033763C"/>
    <w:rsid w:val="0034149E"/>
    <w:rsid w:val="003415A9"/>
    <w:rsid w:val="00341CE5"/>
    <w:rsid w:val="00342202"/>
    <w:rsid w:val="003429C9"/>
    <w:rsid w:val="00343DF1"/>
    <w:rsid w:val="00344889"/>
    <w:rsid w:val="0034680A"/>
    <w:rsid w:val="00347661"/>
    <w:rsid w:val="003478E7"/>
    <w:rsid w:val="00347C6A"/>
    <w:rsid w:val="00351383"/>
    <w:rsid w:val="0035216C"/>
    <w:rsid w:val="00352927"/>
    <w:rsid w:val="00353FDF"/>
    <w:rsid w:val="0035453F"/>
    <w:rsid w:val="00354545"/>
    <w:rsid w:val="003555B4"/>
    <w:rsid w:val="003567B6"/>
    <w:rsid w:val="00361375"/>
    <w:rsid w:val="00361B65"/>
    <w:rsid w:val="00361FDA"/>
    <w:rsid w:val="00362486"/>
    <w:rsid w:val="0036497E"/>
    <w:rsid w:val="00364F1A"/>
    <w:rsid w:val="003650C9"/>
    <w:rsid w:val="00366C32"/>
    <w:rsid w:val="00370640"/>
    <w:rsid w:val="003707D2"/>
    <w:rsid w:val="0037099D"/>
    <w:rsid w:val="00372A55"/>
    <w:rsid w:val="00374F25"/>
    <w:rsid w:val="003776F1"/>
    <w:rsid w:val="00377AD6"/>
    <w:rsid w:val="00381A7D"/>
    <w:rsid w:val="00381B41"/>
    <w:rsid w:val="00383DDA"/>
    <w:rsid w:val="00384AFA"/>
    <w:rsid w:val="00384B44"/>
    <w:rsid w:val="00385EC9"/>
    <w:rsid w:val="00386456"/>
    <w:rsid w:val="00387241"/>
    <w:rsid w:val="0039010E"/>
    <w:rsid w:val="003901D8"/>
    <w:rsid w:val="00391496"/>
    <w:rsid w:val="003914FA"/>
    <w:rsid w:val="00391D93"/>
    <w:rsid w:val="00393184"/>
    <w:rsid w:val="0039340C"/>
    <w:rsid w:val="003934DD"/>
    <w:rsid w:val="00395A3E"/>
    <w:rsid w:val="003960C7"/>
    <w:rsid w:val="003962C5"/>
    <w:rsid w:val="003966FF"/>
    <w:rsid w:val="00396D23"/>
    <w:rsid w:val="003A02EB"/>
    <w:rsid w:val="003A046A"/>
    <w:rsid w:val="003A25E4"/>
    <w:rsid w:val="003A2C66"/>
    <w:rsid w:val="003A3528"/>
    <w:rsid w:val="003A362C"/>
    <w:rsid w:val="003A3686"/>
    <w:rsid w:val="003A4F71"/>
    <w:rsid w:val="003A581E"/>
    <w:rsid w:val="003A651C"/>
    <w:rsid w:val="003B0B16"/>
    <w:rsid w:val="003B241A"/>
    <w:rsid w:val="003B2705"/>
    <w:rsid w:val="003B621E"/>
    <w:rsid w:val="003B79A5"/>
    <w:rsid w:val="003C40DD"/>
    <w:rsid w:val="003C4141"/>
    <w:rsid w:val="003C50C9"/>
    <w:rsid w:val="003C62BD"/>
    <w:rsid w:val="003C7DFA"/>
    <w:rsid w:val="003D2167"/>
    <w:rsid w:val="003D284B"/>
    <w:rsid w:val="003D40F4"/>
    <w:rsid w:val="003D4F72"/>
    <w:rsid w:val="003D5728"/>
    <w:rsid w:val="003D711A"/>
    <w:rsid w:val="003E05EB"/>
    <w:rsid w:val="003E07B4"/>
    <w:rsid w:val="003E11A8"/>
    <w:rsid w:val="003E14B0"/>
    <w:rsid w:val="003E3511"/>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82A"/>
    <w:rsid w:val="003F7E6A"/>
    <w:rsid w:val="00400083"/>
    <w:rsid w:val="0040059A"/>
    <w:rsid w:val="00400A4C"/>
    <w:rsid w:val="00402C55"/>
    <w:rsid w:val="00404A20"/>
    <w:rsid w:val="00407BD2"/>
    <w:rsid w:val="0041043C"/>
    <w:rsid w:val="00411B85"/>
    <w:rsid w:val="00411D1B"/>
    <w:rsid w:val="00411F9D"/>
    <w:rsid w:val="00412972"/>
    <w:rsid w:val="004129E3"/>
    <w:rsid w:val="004142FF"/>
    <w:rsid w:val="00414B1E"/>
    <w:rsid w:val="00415610"/>
    <w:rsid w:val="00416511"/>
    <w:rsid w:val="004200BB"/>
    <w:rsid w:val="004207E3"/>
    <w:rsid w:val="00420D01"/>
    <w:rsid w:val="0042321C"/>
    <w:rsid w:val="00423267"/>
    <w:rsid w:val="004240BB"/>
    <w:rsid w:val="00424744"/>
    <w:rsid w:val="004250CD"/>
    <w:rsid w:val="004252E8"/>
    <w:rsid w:val="004268C3"/>
    <w:rsid w:val="00426EEE"/>
    <w:rsid w:val="00426F4A"/>
    <w:rsid w:val="00430975"/>
    <w:rsid w:val="0043155D"/>
    <w:rsid w:val="004323D3"/>
    <w:rsid w:val="00432915"/>
    <w:rsid w:val="00435AA2"/>
    <w:rsid w:val="004363BC"/>
    <w:rsid w:val="00436BC5"/>
    <w:rsid w:val="00436C94"/>
    <w:rsid w:val="0043754D"/>
    <w:rsid w:val="00437BF5"/>
    <w:rsid w:val="00437BF8"/>
    <w:rsid w:val="004422D6"/>
    <w:rsid w:val="00442BFD"/>
    <w:rsid w:val="004440EF"/>
    <w:rsid w:val="00444A46"/>
    <w:rsid w:val="004453FD"/>
    <w:rsid w:val="00445EE4"/>
    <w:rsid w:val="00447095"/>
    <w:rsid w:val="00447ADC"/>
    <w:rsid w:val="004507CF"/>
    <w:rsid w:val="0045342C"/>
    <w:rsid w:val="00454B0F"/>
    <w:rsid w:val="00456B0F"/>
    <w:rsid w:val="00457983"/>
    <w:rsid w:val="00460FD4"/>
    <w:rsid w:val="0046169F"/>
    <w:rsid w:val="00463997"/>
    <w:rsid w:val="0046604D"/>
    <w:rsid w:val="004675A7"/>
    <w:rsid w:val="0047250D"/>
    <w:rsid w:val="0047444E"/>
    <w:rsid w:val="00474491"/>
    <w:rsid w:val="00474614"/>
    <w:rsid w:val="00474644"/>
    <w:rsid w:val="00474880"/>
    <w:rsid w:val="004749E6"/>
    <w:rsid w:val="0047589D"/>
    <w:rsid w:val="004768C9"/>
    <w:rsid w:val="00476A0B"/>
    <w:rsid w:val="00477A49"/>
    <w:rsid w:val="00477BFF"/>
    <w:rsid w:val="00481FA4"/>
    <w:rsid w:val="004838AB"/>
    <w:rsid w:val="00483C47"/>
    <w:rsid w:val="00485F24"/>
    <w:rsid w:val="004878C1"/>
    <w:rsid w:val="0049189C"/>
    <w:rsid w:val="00491F45"/>
    <w:rsid w:val="0049331C"/>
    <w:rsid w:val="0049505C"/>
    <w:rsid w:val="00496626"/>
    <w:rsid w:val="0049684A"/>
    <w:rsid w:val="00496EEE"/>
    <w:rsid w:val="00497B27"/>
    <w:rsid w:val="004A183E"/>
    <w:rsid w:val="004A34D2"/>
    <w:rsid w:val="004A40FC"/>
    <w:rsid w:val="004A411B"/>
    <w:rsid w:val="004A4319"/>
    <w:rsid w:val="004A488B"/>
    <w:rsid w:val="004A5C48"/>
    <w:rsid w:val="004B1AF2"/>
    <w:rsid w:val="004B219E"/>
    <w:rsid w:val="004B2A5D"/>
    <w:rsid w:val="004B40DB"/>
    <w:rsid w:val="004B4A0E"/>
    <w:rsid w:val="004B5ECB"/>
    <w:rsid w:val="004B6DE0"/>
    <w:rsid w:val="004C003F"/>
    <w:rsid w:val="004C05CA"/>
    <w:rsid w:val="004C0993"/>
    <w:rsid w:val="004C1226"/>
    <w:rsid w:val="004C1F44"/>
    <w:rsid w:val="004C1F93"/>
    <w:rsid w:val="004C247D"/>
    <w:rsid w:val="004C3FAA"/>
    <w:rsid w:val="004C5092"/>
    <w:rsid w:val="004D2B08"/>
    <w:rsid w:val="004D2C64"/>
    <w:rsid w:val="004D3473"/>
    <w:rsid w:val="004D40F7"/>
    <w:rsid w:val="004D4556"/>
    <w:rsid w:val="004D4E15"/>
    <w:rsid w:val="004D7A98"/>
    <w:rsid w:val="004E1E4A"/>
    <w:rsid w:val="004E2973"/>
    <w:rsid w:val="004E4142"/>
    <w:rsid w:val="004E49CB"/>
    <w:rsid w:val="004E5102"/>
    <w:rsid w:val="004E5B78"/>
    <w:rsid w:val="004E77C8"/>
    <w:rsid w:val="004F0B50"/>
    <w:rsid w:val="004F1050"/>
    <w:rsid w:val="004F32CC"/>
    <w:rsid w:val="004F4EB9"/>
    <w:rsid w:val="00500564"/>
    <w:rsid w:val="005019B6"/>
    <w:rsid w:val="00502467"/>
    <w:rsid w:val="005024C1"/>
    <w:rsid w:val="00502929"/>
    <w:rsid w:val="00502A2B"/>
    <w:rsid w:val="00502F06"/>
    <w:rsid w:val="005037CD"/>
    <w:rsid w:val="00503872"/>
    <w:rsid w:val="0050454C"/>
    <w:rsid w:val="00504EAC"/>
    <w:rsid w:val="005053B0"/>
    <w:rsid w:val="0051074C"/>
    <w:rsid w:val="0051089A"/>
    <w:rsid w:val="00510975"/>
    <w:rsid w:val="00510BB6"/>
    <w:rsid w:val="0051288D"/>
    <w:rsid w:val="00513A69"/>
    <w:rsid w:val="00513AE4"/>
    <w:rsid w:val="00513AF2"/>
    <w:rsid w:val="0051420E"/>
    <w:rsid w:val="005148C5"/>
    <w:rsid w:val="005152C2"/>
    <w:rsid w:val="0051623D"/>
    <w:rsid w:val="00517A9B"/>
    <w:rsid w:val="005200B5"/>
    <w:rsid w:val="0052099D"/>
    <w:rsid w:val="005216BC"/>
    <w:rsid w:val="00521B54"/>
    <w:rsid w:val="00522B0F"/>
    <w:rsid w:val="0052307C"/>
    <w:rsid w:val="005232BB"/>
    <w:rsid w:val="00523A3E"/>
    <w:rsid w:val="00523A7E"/>
    <w:rsid w:val="00524F8D"/>
    <w:rsid w:val="00525253"/>
    <w:rsid w:val="00526831"/>
    <w:rsid w:val="0052715F"/>
    <w:rsid w:val="00527891"/>
    <w:rsid w:val="00532AC6"/>
    <w:rsid w:val="0053307D"/>
    <w:rsid w:val="00533367"/>
    <w:rsid w:val="0053422D"/>
    <w:rsid w:val="0053424F"/>
    <w:rsid w:val="00535161"/>
    <w:rsid w:val="0053606E"/>
    <w:rsid w:val="00536424"/>
    <w:rsid w:val="00536C27"/>
    <w:rsid w:val="005379F9"/>
    <w:rsid w:val="005418FA"/>
    <w:rsid w:val="0054413A"/>
    <w:rsid w:val="005443C9"/>
    <w:rsid w:val="00545144"/>
    <w:rsid w:val="00545326"/>
    <w:rsid w:val="00545604"/>
    <w:rsid w:val="005457A0"/>
    <w:rsid w:val="0054784F"/>
    <w:rsid w:val="00550551"/>
    <w:rsid w:val="00550E5E"/>
    <w:rsid w:val="005530C0"/>
    <w:rsid w:val="00554C0F"/>
    <w:rsid w:val="00555AA7"/>
    <w:rsid w:val="005564CA"/>
    <w:rsid w:val="00561510"/>
    <w:rsid w:val="005620AD"/>
    <w:rsid w:val="005626E7"/>
    <w:rsid w:val="00562799"/>
    <w:rsid w:val="0056664B"/>
    <w:rsid w:val="00566BCB"/>
    <w:rsid w:val="00567165"/>
    <w:rsid w:val="005678D7"/>
    <w:rsid w:val="00571897"/>
    <w:rsid w:val="00571E3F"/>
    <w:rsid w:val="005731B5"/>
    <w:rsid w:val="0057389B"/>
    <w:rsid w:val="00573E10"/>
    <w:rsid w:val="00574D20"/>
    <w:rsid w:val="0057593D"/>
    <w:rsid w:val="00575B77"/>
    <w:rsid w:val="00575D08"/>
    <w:rsid w:val="00576B7C"/>
    <w:rsid w:val="005770F6"/>
    <w:rsid w:val="005811F1"/>
    <w:rsid w:val="00582241"/>
    <w:rsid w:val="00584E86"/>
    <w:rsid w:val="0058545D"/>
    <w:rsid w:val="00586344"/>
    <w:rsid w:val="005872E0"/>
    <w:rsid w:val="00590DD9"/>
    <w:rsid w:val="005911A7"/>
    <w:rsid w:val="0059266D"/>
    <w:rsid w:val="00592B47"/>
    <w:rsid w:val="005938AB"/>
    <w:rsid w:val="005946C7"/>
    <w:rsid w:val="005977A4"/>
    <w:rsid w:val="005A0585"/>
    <w:rsid w:val="005A0B35"/>
    <w:rsid w:val="005A14E0"/>
    <w:rsid w:val="005A1570"/>
    <w:rsid w:val="005A34F0"/>
    <w:rsid w:val="005A456B"/>
    <w:rsid w:val="005A4A4C"/>
    <w:rsid w:val="005A5272"/>
    <w:rsid w:val="005A5275"/>
    <w:rsid w:val="005A5AF7"/>
    <w:rsid w:val="005A5BF9"/>
    <w:rsid w:val="005A6DCD"/>
    <w:rsid w:val="005A79FE"/>
    <w:rsid w:val="005A7B03"/>
    <w:rsid w:val="005B2AF3"/>
    <w:rsid w:val="005B4AA6"/>
    <w:rsid w:val="005B6435"/>
    <w:rsid w:val="005B6A46"/>
    <w:rsid w:val="005B7215"/>
    <w:rsid w:val="005B7515"/>
    <w:rsid w:val="005B7A2F"/>
    <w:rsid w:val="005C0D43"/>
    <w:rsid w:val="005C1FFD"/>
    <w:rsid w:val="005C24FC"/>
    <w:rsid w:val="005C266E"/>
    <w:rsid w:val="005C31C3"/>
    <w:rsid w:val="005C51A7"/>
    <w:rsid w:val="005C5A22"/>
    <w:rsid w:val="005C5B5C"/>
    <w:rsid w:val="005D269B"/>
    <w:rsid w:val="005D29B5"/>
    <w:rsid w:val="005D2A61"/>
    <w:rsid w:val="005D3445"/>
    <w:rsid w:val="005D4609"/>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616"/>
    <w:rsid w:val="00601C07"/>
    <w:rsid w:val="00601FCA"/>
    <w:rsid w:val="006030AA"/>
    <w:rsid w:val="00603BDE"/>
    <w:rsid w:val="00604673"/>
    <w:rsid w:val="0060549B"/>
    <w:rsid w:val="00605CEA"/>
    <w:rsid w:val="00610457"/>
    <w:rsid w:val="00610C94"/>
    <w:rsid w:val="0061135A"/>
    <w:rsid w:val="00611D3C"/>
    <w:rsid w:val="00612BDB"/>
    <w:rsid w:val="00612E94"/>
    <w:rsid w:val="006134DB"/>
    <w:rsid w:val="00617D73"/>
    <w:rsid w:val="00620CBF"/>
    <w:rsid w:val="00620E47"/>
    <w:rsid w:val="00621206"/>
    <w:rsid w:val="006212BE"/>
    <w:rsid w:val="0062567A"/>
    <w:rsid w:val="00625C29"/>
    <w:rsid w:val="00626B4F"/>
    <w:rsid w:val="006334A8"/>
    <w:rsid w:val="00634CC6"/>
    <w:rsid w:val="00635BA5"/>
    <w:rsid w:val="006367B1"/>
    <w:rsid w:val="00637235"/>
    <w:rsid w:val="00637830"/>
    <w:rsid w:val="0063788B"/>
    <w:rsid w:val="006404C9"/>
    <w:rsid w:val="00640F40"/>
    <w:rsid w:val="00641EB9"/>
    <w:rsid w:val="00642694"/>
    <w:rsid w:val="00642D57"/>
    <w:rsid w:val="00645ADA"/>
    <w:rsid w:val="00647622"/>
    <w:rsid w:val="00651D31"/>
    <w:rsid w:val="00651D4E"/>
    <w:rsid w:val="00651D50"/>
    <w:rsid w:val="006524BE"/>
    <w:rsid w:val="00652A5C"/>
    <w:rsid w:val="006533F8"/>
    <w:rsid w:val="00654EE4"/>
    <w:rsid w:val="00655360"/>
    <w:rsid w:val="00655371"/>
    <w:rsid w:val="006563C3"/>
    <w:rsid w:val="0065641E"/>
    <w:rsid w:val="006568E8"/>
    <w:rsid w:val="006622BE"/>
    <w:rsid w:val="006623E2"/>
    <w:rsid w:val="00666AF7"/>
    <w:rsid w:val="00667C72"/>
    <w:rsid w:val="00667EBB"/>
    <w:rsid w:val="00670B1B"/>
    <w:rsid w:val="00671F22"/>
    <w:rsid w:val="00672EEC"/>
    <w:rsid w:val="00673789"/>
    <w:rsid w:val="00673AB7"/>
    <w:rsid w:val="0067584A"/>
    <w:rsid w:val="00677F77"/>
    <w:rsid w:val="0068250F"/>
    <w:rsid w:val="00683085"/>
    <w:rsid w:val="00683332"/>
    <w:rsid w:val="0068338B"/>
    <w:rsid w:val="0068394B"/>
    <w:rsid w:val="0069158F"/>
    <w:rsid w:val="00691C58"/>
    <w:rsid w:val="00693CC2"/>
    <w:rsid w:val="0069660F"/>
    <w:rsid w:val="0069678A"/>
    <w:rsid w:val="00697665"/>
    <w:rsid w:val="00697D73"/>
    <w:rsid w:val="006A01DD"/>
    <w:rsid w:val="006A12F4"/>
    <w:rsid w:val="006A143D"/>
    <w:rsid w:val="006A1A12"/>
    <w:rsid w:val="006A1F61"/>
    <w:rsid w:val="006A20BE"/>
    <w:rsid w:val="006A25AB"/>
    <w:rsid w:val="006A27C9"/>
    <w:rsid w:val="006A2F2D"/>
    <w:rsid w:val="006A3206"/>
    <w:rsid w:val="006A3CD1"/>
    <w:rsid w:val="006A454C"/>
    <w:rsid w:val="006A58B8"/>
    <w:rsid w:val="006A64A9"/>
    <w:rsid w:val="006A6650"/>
    <w:rsid w:val="006A7FD0"/>
    <w:rsid w:val="006B161A"/>
    <w:rsid w:val="006B2195"/>
    <w:rsid w:val="006B2265"/>
    <w:rsid w:val="006B34D7"/>
    <w:rsid w:val="006B55C5"/>
    <w:rsid w:val="006C084F"/>
    <w:rsid w:val="006C12CA"/>
    <w:rsid w:val="006C1636"/>
    <w:rsid w:val="006C4A30"/>
    <w:rsid w:val="006C5364"/>
    <w:rsid w:val="006C68E5"/>
    <w:rsid w:val="006D07CF"/>
    <w:rsid w:val="006D2391"/>
    <w:rsid w:val="006D23BA"/>
    <w:rsid w:val="006D2CB8"/>
    <w:rsid w:val="006D3287"/>
    <w:rsid w:val="006D40DC"/>
    <w:rsid w:val="006D48E8"/>
    <w:rsid w:val="006D4F07"/>
    <w:rsid w:val="006D5386"/>
    <w:rsid w:val="006D6AB0"/>
    <w:rsid w:val="006D7687"/>
    <w:rsid w:val="006D7E35"/>
    <w:rsid w:val="006E0385"/>
    <w:rsid w:val="006E0572"/>
    <w:rsid w:val="006E1324"/>
    <w:rsid w:val="006E1CCF"/>
    <w:rsid w:val="006E3872"/>
    <w:rsid w:val="006E5FAC"/>
    <w:rsid w:val="006E6D63"/>
    <w:rsid w:val="006E6E42"/>
    <w:rsid w:val="006F10DD"/>
    <w:rsid w:val="006F27FF"/>
    <w:rsid w:val="006F3DAA"/>
    <w:rsid w:val="006F3EF7"/>
    <w:rsid w:val="006F4573"/>
    <w:rsid w:val="006F77A7"/>
    <w:rsid w:val="006F79F7"/>
    <w:rsid w:val="00700377"/>
    <w:rsid w:val="007020A1"/>
    <w:rsid w:val="00702115"/>
    <w:rsid w:val="00702D2C"/>
    <w:rsid w:val="00703E2C"/>
    <w:rsid w:val="007054AA"/>
    <w:rsid w:val="00705631"/>
    <w:rsid w:val="00705FE1"/>
    <w:rsid w:val="00706399"/>
    <w:rsid w:val="00707FF5"/>
    <w:rsid w:val="00711A50"/>
    <w:rsid w:val="00711F3A"/>
    <w:rsid w:val="00713DE5"/>
    <w:rsid w:val="00714254"/>
    <w:rsid w:val="00714718"/>
    <w:rsid w:val="00714774"/>
    <w:rsid w:val="00715929"/>
    <w:rsid w:val="00715AC3"/>
    <w:rsid w:val="00716FED"/>
    <w:rsid w:val="00720966"/>
    <w:rsid w:val="007210EC"/>
    <w:rsid w:val="0072127D"/>
    <w:rsid w:val="00722363"/>
    <w:rsid w:val="007229B0"/>
    <w:rsid w:val="007252B4"/>
    <w:rsid w:val="00725AC2"/>
    <w:rsid w:val="00726DBE"/>
    <w:rsid w:val="00727A8F"/>
    <w:rsid w:val="00727EAE"/>
    <w:rsid w:val="00727FB6"/>
    <w:rsid w:val="007300F3"/>
    <w:rsid w:val="007305C3"/>
    <w:rsid w:val="00731139"/>
    <w:rsid w:val="0073364E"/>
    <w:rsid w:val="00733865"/>
    <w:rsid w:val="007348A0"/>
    <w:rsid w:val="00734D43"/>
    <w:rsid w:val="00736214"/>
    <w:rsid w:val="007363BD"/>
    <w:rsid w:val="0073763F"/>
    <w:rsid w:val="007404BC"/>
    <w:rsid w:val="00742DD2"/>
    <w:rsid w:val="00745106"/>
    <w:rsid w:val="00745E02"/>
    <w:rsid w:val="00752568"/>
    <w:rsid w:val="00752A9B"/>
    <w:rsid w:val="00752FBE"/>
    <w:rsid w:val="00753620"/>
    <w:rsid w:val="00754621"/>
    <w:rsid w:val="0075475B"/>
    <w:rsid w:val="007554BF"/>
    <w:rsid w:val="00755EFB"/>
    <w:rsid w:val="0075647A"/>
    <w:rsid w:val="00757862"/>
    <w:rsid w:val="00757A66"/>
    <w:rsid w:val="00761319"/>
    <w:rsid w:val="007634AD"/>
    <w:rsid w:val="00764CD2"/>
    <w:rsid w:val="0076566F"/>
    <w:rsid w:val="007656E6"/>
    <w:rsid w:val="00765BE2"/>
    <w:rsid w:val="007673F0"/>
    <w:rsid w:val="00767D99"/>
    <w:rsid w:val="00770B77"/>
    <w:rsid w:val="00770D63"/>
    <w:rsid w:val="00771679"/>
    <w:rsid w:val="00772C6C"/>
    <w:rsid w:val="00772FD2"/>
    <w:rsid w:val="0077336F"/>
    <w:rsid w:val="00773FAA"/>
    <w:rsid w:val="007741D9"/>
    <w:rsid w:val="007743B6"/>
    <w:rsid w:val="007748F6"/>
    <w:rsid w:val="007750BB"/>
    <w:rsid w:val="00775796"/>
    <w:rsid w:val="007765A3"/>
    <w:rsid w:val="0078122E"/>
    <w:rsid w:val="00782024"/>
    <w:rsid w:val="00783506"/>
    <w:rsid w:val="0078442B"/>
    <w:rsid w:val="00785A12"/>
    <w:rsid w:val="0078614D"/>
    <w:rsid w:val="00786DDC"/>
    <w:rsid w:val="007900BE"/>
    <w:rsid w:val="00791C0F"/>
    <w:rsid w:val="00793845"/>
    <w:rsid w:val="0079520D"/>
    <w:rsid w:val="00795BA3"/>
    <w:rsid w:val="00796EC8"/>
    <w:rsid w:val="00797AAA"/>
    <w:rsid w:val="00797DF7"/>
    <w:rsid w:val="007A0D0E"/>
    <w:rsid w:val="007A2E32"/>
    <w:rsid w:val="007A4C5A"/>
    <w:rsid w:val="007A4CB6"/>
    <w:rsid w:val="007A615D"/>
    <w:rsid w:val="007B0646"/>
    <w:rsid w:val="007B0854"/>
    <w:rsid w:val="007B09F4"/>
    <w:rsid w:val="007B0F58"/>
    <w:rsid w:val="007B192E"/>
    <w:rsid w:val="007B24B5"/>
    <w:rsid w:val="007B3AE4"/>
    <w:rsid w:val="007B4C6A"/>
    <w:rsid w:val="007C0326"/>
    <w:rsid w:val="007C2EF0"/>
    <w:rsid w:val="007C38CA"/>
    <w:rsid w:val="007C4430"/>
    <w:rsid w:val="007C5086"/>
    <w:rsid w:val="007C6273"/>
    <w:rsid w:val="007C6410"/>
    <w:rsid w:val="007C66D7"/>
    <w:rsid w:val="007C672F"/>
    <w:rsid w:val="007C744F"/>
    <w:rsid w:val="007C7638"/>
    <w:rsid w:val="007C7F04"/>
    <w:rsid w:val="007D0305"/>
    <w:rsid w:val="007D0C22"/>
    <w:rsid w:val="007D1949"/>
    <w:rsid w:val="007D1AD1"/>
    <w:rsid w:val="007D4B8A"/>
    <w:rsid w:val="007D55E9"/>
    <w:rsid w:val="007D5E0B"/>
    <w:rsid w:val="007D632C"/>
    <w:rsid w:val="007D698F"/>
    <w:rsid w:val="007D7559"/>
    <w:rsid w:val="007E01FC"/>
    <w:rsid w:val="007E39F0"/>
    <w:rsid w:val="007E44A3"/>
    <w:rsid w:val="007E5F95"/>
    <w:rsid w:val="007E750C"/>
    <w:rsid w:val="007E7722"/>
    <w:rsid w:val="007F0C9F"/>
    <w:rsid w:val="007F0D40"/>
    <w:rsid w:val="007F168F"/>
    <w:rsid w:val="007F367B"/>
    <w:rsid w:val="007F3D1F"/>
    <w:rsid w:val="007F4347"/>
    <w:rsid w:val="007F505E"/>
    <w:rsid w:val="007F72CB"/>
    <w:rsid w:val="007F7BDE"/>
    <w:rsid w:val="00802872"/>
    <w:rsid w:val="008028A1"/>
    <w:rsid w:val="00802A13"/>
    <w:rsid w:val="00802EB9"/>
    <w:rsid w:val="00804C29"/>
    <w:rsid w:val="00804CE6"/>
    <w:rsid w:val="00804EB1"/>
    <w:rsid w:val="00805114"/>
    <w:rsid w:val="00805603"/>
    <w:rsid w:val="00805916"/>
    <w:rsid w:val="0080594C"/>
    <w:rsid w:val="008101D2"/>
    <w:rsid w:val="008111B0"/>
    <w:rsid w:val="00811ED3"/>
    <w:rsid w:val="008127A2"/>
    <w:rsid w:val="00813504"/>
    <w:rsid w:val="00813C1B"/>
    <w:rsid w:val="0081452B"/>
    <w:rsid w:val="0081562A"/>
    <w:rsid w:val="00815851"/>
    <w:rsid w:val="008159D3"/>
    <w:rsid w:val="00816302"/>
    <w:rsid w:val="00817578"/>
    <w:rsid w:val="00817CA8"/>
    <w:rsid w:val="0082159E"/>
    <w:rsid w:val="00822D58"/>
    <w:rsid w:val="0082378E"/>
    <w:rsid w:val="008238AB"/>
    <w:rsid w:val="008259B9"/>
    <w:rsid w:val="00826A9D"/>
    <w:rsid w:val="008272F1"/>
    <w:rsid w:val="008273B8"/>
    <w:rsid w:val="0083119B"/>
    <w:rsid w:val="0083133A"/>
    <w:rsid w:val="00832123"/>
    <w:rsid w:val="008322B3"/>
    <w:rsid w:val="0083271F"/>
    <w:rsid w:val="00836134"/>
    <w:rsid w:val="0083614B"/>
    <w:rsid w:val="008362A4"/>
    <w:rsid w:val="008366AF"/>
    <w:rsid w:val="00836EAB"/>
    <w:rsid w:val="00841280"/>
    <w:rsid w:val="0084152B"/>
    <w:rsid w:val="00841639"/>
    <w:rsid w:val="00841A7A"/>
    <w:rsid w:val="00842535"/>
    <w:rsid w:val="00842F23"/>
    <w:rsid w:val="008437E8"/>
    <w:rsid w:val="00843BC4"/>
    <w:rsid w:val="00843E6C"/>
    <w:rsid w:val="00845FF9"/>
    <w:rsid w:val="00847D50"/>
    <w:rsid w:val="0085092D"/>
    <w:rsid w:val="008509DD"/>
    <w:rsid w:val="00850DF5"/>
    <w:rsid w:val="0085128C"/>
    <w:rsid w:val="00852018"/>
    <w:rsid w:val="008524B4"/>
    <w:rsid w:val="0085264F"/>
    <w:rsid w:val="00852E12"/>
    <w:rsid w:val="00852F5E"/>
    <w:rsid w:val="0085374E"/>
    <w:rsid w:val="00853776"/>
    <w:rsid w:val="00854DBB"/>
    <w:rsid w:val="00855FDF"/>
    <w:rsid w:val="00856AF9"/>
    <w:rsid w:val="00857F63"/>
    <w:rsid w:val="00860B10"/>
    <w:rsid w:val="00861408"/>
    <w:rsid w:val="008617E0"/>
    <w:rsid w:val="0086272D"/>
    <w:rsid w:val="00862B2A"/>
    <w:rsid w:val="00865967"/>
    <w:rsid w:val="00865C91"/>
    <w:rsid w:val="00867771"/>
    <w:rsid w:val="008705DE"/>
    <w:rsid w:val="00872A3B"/>
    <w:rsid w:val="00873BCF"/>
    <w:rsid w:val="00874031"/>
    <w:rsid w:val="00874CC0"/>
    <w:rsid w:val="00876B53"/>
    <w:rsid w:val="00877366"/>
    <w:rsid w:val="00881730"/>
    <w:rsid w:val="008817ED"/>
    <w:rsid w:val="0088243F"/>
    <w:rsid w:val="008844BE"/>
    <w:rsid w:val="0088457C"/>
    <w:rsid w:val="00884E4C"/>
    <w:rsid w:val="00885AA7"/>
    <w:rsid w:val="00886201"/>
    <w:rsid w:val="00886412"/>
    <w:rsid w:val="008871CF"/>
    <w:rsid w:val="00887B15"/>
    <w:rsid w:val="00890882"/>
    <w:rsid w:val="008927A8"/>
    <w:rsid w:val="00893165"/>
    <w:rsid w:val="0089412F"/>
    <w:rsid w:val="00897B7A"/>
    <w:rsid w:val="008A0A11"/>
    <w:rsid w:val="008A2225"/>
    <w:rsid w:val="008A257A"/>
    <w:rsid w:val="008A265F"/>
    <w:rsid w:val="008A3228"/>
    <w:rsid w:val="008A3DB4"/>
    <w:rsid w:val="008A4852"/>
    <w:rsid w:val="008A53F7"/>
    <w:rsid w:val="008A54C1"/>
    <w:rsid w:val="008A575E"/>
    <w:rsid w:val="008A5AC8"/>
    <w:rsid w:val="008A69BA"/>
    <w:rsid w:val="008B1A31"/>
    <w:rsid w:val="008B438D"/>
    <w:rsid w:val="008B4D79"/>
    <w:rsid w:val="008B7E23"/>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5E9"/>
    <w:rsid w:val="008D56F0"/>
    <w:rsid w:val="008D63A0"/>
    <w:rsid w:val="008D6B0E"/>
    <w:rsid w:val="008D76C2"/>
    <w:rsid w:val="008D776A"/>
    <w:rsid w:val="008E08B2"/>
    <w:rsid w:val="008E1C15"/>
    <w:rsid w:val="008E3219"/>
    <w:rsid w:val="008E4625"/>
    <w:rsid w:val="008E4B4C"/>
    <w:rsid w:val="008E6F70"/>
    <w:rsid w:val="008F14CC"/>
    <w:rsid w:val="008F1588"/>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38D4"/>
    <w:rsid w:val="00914EC4"/>
    <w:rsid w:val="00914F02"/>
    <w:rsid w:val="00916C89"/>
    <w:rsid w:val="009176F3"/>
    <w:rsid w:val="00917700"/>
    <w:rsid w:val="00920389"/>
    <w:rsid w:val="0092143E"/>
    <w:rsid w:val="00921659"/>
    <w:rsid w:val="009216FB"/>
    <w:rsid w:val="0092382D"/>
    <w:rsid w:val="00923DC9"/>
    <w:rsid w:val="00924541"/>
    <w:rsid w:val="0092462A"/>
    <w:rsid w:val="0092465E"/>
    <w:rsid w:val="0092478E"/>
    <w:rsid w:val="00924D2F"/>
    <w:rsid w:val="00926500"/>
    <w:rsid w:val="009278F1"/>
    <w:rsid w:val="0093065B"/>
    <w:rsid w:val="00931310"/>
    <w:rsid w:val="0093193A"/>
    <w:rsid w:val="00931B7E"/>
    <w:rsid w:val="00932FBD"/>
    <w:rsid w:val="00935661"/>
    <w:rsid w:val="00936908"/>
    <w:rsid w:val="00937BFF"/>
    <w:rsid w:val="009409CA"/>
    <w:rsid w:val="00944EA4"/>
    <w:rsid w:val="00945536"/>
    <w:rsid w:val="009465F7"/>
    <w:rsid w:val="00946737"/>
    <w:rsid w:val="00946CFA"/>
    <w:rsid w:val="00947DB5"/>
    <w:rsid w:val="00950258"/>
    <w:rsid w:val="00952223"/>
    <w:rsid w:val="0095385A"/>
    <w:rsid w:val="00955CAC"/>
    <w:rsid w:val="009568DA"/>
    <w:rsid w:val="00956C80"/>
    <w:rsid w:val="00956E82"/>
    <w:rsid w:val="0095760E"/>
    <w:rsid w:val="00957BB0"/>
    <w:rsid w:val="0096196C"/>
    <w:rsid w:val="00962034"/>
    <w:rsid w:val="00962A37"/>
    <w:rsid w:val="00964EB4"/>
    <w:rsid w:val="00965638"/>
    <w:rsid w:val="00965849"/>
    <w:rsid w:val="009701E5"/>
    <w:rsid w:val="0097090E"/>
    <w:rsid w:val="00973F55"/>
    <w:rsid w:val="009754FD"/>
    <w:rsid w:val="00975D1B"/>
    <w:rsid w:val="00976CC3"/>
    <w:rsid w:val="00977088"/>
    <w:rsid w:val="00981B5D"/>
    <w:rsid w:val="00982489"/>
    <w:rsid w:val="00983D2A"/>
    <w:rsid w:val="009859D0"/>
    <w:rsid w:val="009866C8"/>
    <w:rsid w:val="009874B4"/>
    <w:rsid w:val="009877AC"/>
    <w:rsid w:val="00987F32"/>
    <w:rsid w:val="00990A2F"/>
    <w:rsid w:val="00990EBD"/>
    <w:rsid w:val="00992278"/>
    <w:rsid w:val="009967F8"/>
    <w:rsid w:val="009A28F6"/>
    <w:rsid w:val="009A2E0F"/>
    <w:rsid w:val="009A353C"/>
    <w:rsid w:val="009A77CC"/>
    <w:rsid w:val="009A7A2E"/>
    <w:rsid w:val="009B0CB9"/>
    <w:rsid w:val="009B1BF2"/>
    <w:rsid w:val="009B29F8"/>
    <w:rsid w:val="009B4391"/>
    <w:rsid w:val="009B6E85"/>
    <w:rsid w:val="009B729B"/>
    <w:rsid w:val="009C24BD"/>
    <w:rsid w:val="009C2A57"/>
    <w:rsid w:val="009C376A"/>
    <w:rsid w:val="009C3794"/>
    <w:rsid w:val="009C6A4B"/>
    <w:rsid w:val="009C782E"/>
    <w:rsid w:val="009D0923"/>
    <w:rsid w:val="009D0FC4"/>
    <w:rsid w:val="009D19A0"/>
    <w:rsid w:val="009D3049"/>
    <w:rsid w:val="009D424F"/>
    <w:rsid w:val="009D54EC"/>
    <w:rsid w:val="009E0D1B"/>
    <w:rsid w:val="009E2882"/>
    <w:rsid w:val="009E2A67"/>
    <w:rsid w:val="009E48B1"/>
    <w:rsid w:val="009E4B29"/>
    <w:rsid w:val="009E5CE5"/>
    <w:rsid w:val="009E7320"/>
    <w:rsid w:val="009E7C61"/>
    <w:rsid w:val="009F2377"/>
    <w:rsid w:val="009F396F"/>
    <w:rsid w:val="009F48F0"/>
    <w:rsid w:val="009F4F93"/>
    <w:rsid w:val="009F6B3F"/>
    <w:rsid w:val="009F6F22"/>
    <w:rsid w:val="00A0237A"/>
    <w:rsid w:val="00A02449"/>
    <w:rsid w:val="00A028FC"/>
    <w:rsid w:val="00A03556"/>
    <w:rsid w:val="00A035A4"/>
    <w:rsid w:val="00A036C4"/>
    <w:rsid w:val="00A044A1"/>
    <w:rsid w:val="00A04F43"/>
    <w:rsid w:val="00A059F9"/>
    <w:rsid w:val="00A06181"/>
    <w:rsid w:val="00A07446"/>
    <w:rsid w:val="00A07B99"/>
    <w:rsid w:val="00A10135"/>
    <w:rsid w:val="00A11267"/>
    <w:rsid w:val="00A118A0"/>
    <w:rsid w:val="00A132F2"/>
    <w:rsid w:val="00A14F3C"/>
    <w:rsid w:val="00A154AF"/>
    <w:rsid w:val="00A16ACF"/>
    <w:rsid w:val="00A24560"/>
    <w:rsid w:val="00A267B5"/>
    <w:rsid w:val="00A26900"/>
    <w:rsid w:val="00A26969"/>
    <w:rsid w:val="00A26D28"/>
    <w:rsid w:val="00A2737D"/>
    <w:rsid w:val="00A27EFE"/>
    <w:rsid w:val="00A3050C"/>
    <w:rsid w:val="00A305CD"/>
    <w:rsid w:val="00A308D1"/>
    <w:rsid w:val="00A316F7"/>
    <w:rsid w:val="00A32559"/>
    <w:rsid w:val="00A338FC"/>
    <w:rsid w:val="00A34378"/>
    <w:rsid w:val="00A34538"/>
    <w:rsid w:val="00A35156"/>
    <w:rsid w:val="00A37529"/>
    <w:rsid w:val="00A37A8E"/>
    <w:rsid w:val="00A41BFA"/>
    <w:rsid w:val="00A42A3B"/>
    <w:rsid w:val="00A43FD5"/>
    <w:rsid w:val="00A44DA5"/>
    <w:rsid w:val="00A470F2"/>
    <w:rsid w:val="00A47DA6"/>
    <w:rsid w:val="00A47F59"/>
    <w:rsid w:val="00A507B2"/>
    <w:rsid w:val="00A5235A"/>
    <w:rsid w:val="00A52E43"/>
    <w:rsid w:val="00A53021"/>
    <w:rsid w:val="00A533E4"/>
    <w:rsid w:val="00A53490"/>
    <w:rsid w:val="00A539FF"/>
    <w:rsid w:val="00A53B56"/>
    <w:rsid w:val="00A546CA"/>
    <w:rsid w:val="00A54AB9"/>
    <w:rsid w:val="00A55D83"/>
    <w:rsid w:val="00A572E1"/>
    <w:rsid w:val="00A578E2"/>
    <w:rsid w:val="00A61FEE"/>
    <w:rsid w:val="00A6404B"/>
    <w:rsid w:val="00A72A3B"/>
    <w:rsid w:val="00A74FC9"/>
    <w:rsid w:val="00A7716E"/>
    <w:rsid w:val="00A77505"/>
    <w:rsid w:val="00A778E5"/>
    <w:rsid w:val="00A814D6"/>
    <w:rsid w:val="00A8216B"/>
    <w:rsid w:val="00A8281A"/>
    <w:rsid w:val="00A82C85"/>
    <w:rsid w:val="00A83B73"/>
    <w:rsid w:val="00A8432B"/>
    <w:rsid w:val="00A84361"/>
    <w:rsid w:val="00A84904"/>
    <w:rsid w:val="00A852F0"/>
    <w:rsid w:val="00A87C40"/>
    <w:rsid w:val="00A97342"/>
    <w:rsid w:val="00A97AEB"/>
    <w:rsid w:val="00AA03C4"/>
    <w:rsid w:val="00AA0F9D"/>
    <w:rsid w:val="00AA18DB"/>
    <w:rsid w:val="00AA24CE"/>
    <w:rsid w:val="00AA3DEF"/>
    <w:rsid w:val="00AA442B"/>
    <w:rsid w:val="00AA52D5"/>
    <w:rsid w:val="00AA6CC1"/>
    <w:rsid w:val="00AA76F2"/>
    <w:rsid w:val="00AB00BD"/>
    <w:rsid w:val="00AB05AF"/>
    <w:rsid w:val="00AB09DD"/>
    <w:rsid w:val="00AB0D4D"/>
    <w:rsid w:val="00AB0E2B"/>
    <w:rsid w:val="00AB0FFD"/>
    <w:rsid w:val="00AB14CE"/>
    <w:rsid w:val="00AB196B"/>
    <w:rsid w:val="00AB1AC8"/>
    <w:rsid w:val="00AB246E"/>
    <w:rsid w:val="00AB27FD"/>
    <w:rsid w:val="00AB30DF"/>
    <w:rsid w:val="00AB3E40"/>
    <w:rsid w:val="00AB3F4B"/>
    <w:rsid w:val="00AB47E2"/>
    <w:rsid w:val="00AB4DF6"/>
    <w:rsid w:val="00AB513F"/>
    <w:rsid w:val="00AC0EEB"/>
    <w:rsid w:val="00AC1646"/>
    <w:rsid w:val="00AC3414"/>
    <w:rsid w:val="00AC3ACC"/>
    <w:rsid w:val="00AC4527"/>
    <w:rsid w:val="00AC4C3C"/>
    <w:rsid w:val="00AC65A4"/>
    <w:rsid w:val="00AC74B4"/>
    <w:rsid w:val="00AD0308"/>
    <w:rsid w:val="00AD0B1D"/>
    <w:rsid w:val="00AD22FC"/>
    <w:rsid w:val="00AD2F7B"/>
    <w:rsid w:val="00AD3331"/>
    <w:rsid w:val="00AD47FB"/>
    <w:rsid w:val="00AD48B1"/>
    <w:rsid w:val="00AD4DD0"/>
    <w:rsid w:val="00AD5E7A"/>
    <w:rsid w:val="00AD6135"/>
    <w:rsid w:val="00AD7298"/>
    <w:rsid w:val="00AD7C52"/>
    <w:rsid w:val="00AE1289"/>
    <w:rsid w:val="00AE19FC"/>
    <w:rsid w:val="00AE4119"/>
    <w:rsid w:val="00AE4B6E"/>
    <w:rsid w:val="00AE4E69"/>
    <w:rsid w:val="00AE5B43"/>
    <w:rsid w:val="00AE65B9"/>
    <w:rsid w:val="00AE6D68"/>
    <w:rsid w:val="00AE74B3"/>
    <w:rsid w:val="00AE7F59"/>
    <w:rsid w:val="00AF0BB9"/>
    <w:rsid w:val="00AF1383"/>
    <w:rsid w:val="00AF1ED8"/>
    <w:rsid w:val="00AF34FC"/>
    <w:rsid w:val="00AF376E"/>
    <w:rsid w:val="00AF426F"/>
    <w:rsid w:val="00AF51A9"/>
    <w:rsid w:val="00AF5CE1"/>
    <w:rsid w:val="00AF6FAC"/>
    <w:rsid w:val="00AF713D"/>
    <w:rsid w:val="00B02705"/>
    <w:rsid w:val="00B02E80"/>
    <w:rsid w:val="00B04843"/>
    <w:rsid w:val="00B05552"/>
    <w:rsid w:val="00B055C7"/>
    <w:rsid w:val="00B0560B"/>
    <w:rsid w:val="00B0615F"/>
    <w:rsid w:val="00B06243"/>
    <w:rsid w:val="00B07B48"/>
    <w:rsid w:val="00B07BE4"/>
    <w:rsid w:val="00B1060D"/>
    <w:rsid w:val="00B10D05"/>
    <w:rsid w:val="00B11789"/>
    <w:rsid w:val="00B118E9"/>
    <w:rsid w:val="00B120C2"/>
    <w:rsid w:val="00B140BD"/>
    <w:rsid w:val="00B16E58"/>
    <w:rsid w:val="00B1743F"/>
    <w:rsid w:val="00B17763"/>
    <w:rsid w:val="00B20A74"/>
    <w:rsid w:val="00B21D6C"/>
    <w:rsid w:val="00B22E22"/>
    <w:rsid w:val="00B230FE"/>
    <w:rsid w:val="00B23606"/>
    <w:rsid w:val="00B243F7"/>
    <w:rsid w:val="00B258A0"/>
    <w:rsid w:val="00B32C0B"/>
    <w:rsid w:val="00B32DE6"/>
    <w:rsid w:val="00B33519"/>
    <w:rsid w:val="00B33D08"/>
    <w:rsid w:val="00B34B73"/>
    <w:rsid w:val="00B36E67"/>
    <w:rsid w:val="00B371E9"/>
    <w:rsid w:val="00B41170"/>
    <w:rsid w:val="00B439B4"/>
    <w:rsid w:val="00B43C9B"/>
    <w:rsid w:val="00B441D5"/>
    <w:rsid w:val="00B4473B"/>
    <w:rsid w:val="00B46402"/>
    <w:rsid w:val="00B47D0B"/>
    <w:rsid w:val="00B50315"/>
    <w:rsid w:val="00B50DB8"/>
    <w:rsid w:val="00B512C3"/>
    <w:rsid w:val="00B5146F"/>
    <w:rsid w:val="00B5178D"/>
    <w:rsid w:val="00B525CB"/>
    <w:rsid w:val="00B531D7"/>
    <w:rsid w:val="00B53F68"/>
    <w:rsid w:val="00B548D8"/>
    <w:rsid w:val="00B54E40"/>
    <w:rsid w:val="00B5554D"/>
    <w:rsid w:val="00B5556E"/>
    <w:rsid w:val="00B55682"/>
    <w:rsid w:val="00B556C7"/>
    <w:rsid w:val="00B56262"/>
    <w:rsid w:val="00B5777C"/>
    <w:rsid w:val="00B57F79"/>
    <w:rsid w:val="00B60926"/>
    <w:rsid w:val="00B60E51"/>
    <w:rsid w:val="00B613B9"/>
    <w:rsid w:val="00B613EE"/>
    <w:rsid w:val="00B6143C"/>
    <w:rsid w:val="00B6256D"/>
    <w:rsid w:val="00B6341F"/>
    <w:rsid w:val="00B637F3"/>
    <w:rsid w:val="00B63CB2"/>
    <w:rsid w:val="00B64278"/>
    <w:rsid w:val="00B6444C"/>
    <w:rsid w:val="00B66F75"/>
    <w:rsid w:val="00B67883"/>
    <w:rsid w:val="00B71561"/>
    <w:rsid w:val="00B71CAB"/>
    <w:rsid w:val="00B71E68"/>
    <w:rsid w:val="00B73B11"/>
    <w:rsid w:val="00B73E64"/>
    <w:rsid w:val="00B748E6"/>
    <w:rsid w:val="00B754CA"/>
    <w:rsid w:val="00B75BAA"/>
    <w:rsid w:val="00B75C7C"/>
    <w:rsid w:val="00B76DD3"/>
    <w:rsid w:val="00B80316"/>
    <w:rsid w:val="00B80794"/>
    <w:rsid w:val="00B80D60"/>
    <w:rsid w:val="00B81C71"/>
    <w:rsid w:val="00B81F14"/>
    <w:rsid w:val="00B82E58"/>
    <w:rsid w:val="00B8385C"/>
    <w:rsid w:val="00B856A2"/>
    <w:rsid w:val="00B86751"/>
    <w:rsid w:val="00B87BF8"/>
    <w:rsid w:val="00B90205"/>
    <w:rsid w:val="00B90546"/>
    <w:rsid w:val="00B90B34"/>
    <w:rsid w:val="00B90BEC"/>
    <w:rsid w:val="00B914C4"/>
    <w:rsid w:val="00B91C2E"/>
    <w:rsid w:val="00B93287"/>
    <w:rsid w:val="00B94B3C"/>
    <w:rsid w:val="00BA0E6C"/>
    <w:rsid w:val="00BA1433"/>
    <w:rsid w:val="00BA2F75"/>
    <w:rsid w:val="00BA4904"/>
    <w:rsid w:val="00BA4B5B"/>
    <w:rsid w:val="00BA549C"/>
    <w:rsid w:val="00BA54F0"/>
    <w:rsid w:val="00BA67BE"/>
    <w:rsid w:val="00BA73DE"/>
    <w:rsid w:val="00BA7C2F"/>
    <w:rsid w:val="00BA7D19"/>
    <w:rsid w:val="00BB10FB"/>
    <w:rsid w:val="00BB37BD"/>
    <w:rsid w:val="00BB5C7A"/>
    <w:rsid w:val="00BB78E0"/>
    <w:rsid w:val="00BC0144"/>
    <w:rsid w:val="00BC0980"/>
    <w:rsid w:val="00BC1901"/>
    <w:rsid w:val="00BC24FF"/>
    <w:rsid w:val="00BC3610"/>
    <w:rsid w:val="00BC46FA"/>
    <w:rsid w:val="00BC4CFC"/>
    <w:rsid w:val="00BC638A"/>
    <w:rsid w:val="00BC6722"/>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779"/>
    <w:rsid w:val="00BF3E13"/>
    <w:rsid w:val="00BF3E3E"/>
    <w:rsid w:val="00BF46EB"/>
    <w:rsid w:val="00BF52BB"/>
    <w:rsid w:val="00BF59DD"/>
    <w:rsid w:val="00BF6B5E"/>
    <w:rsid w:val="00BF6F68"/>
    <w:rsid w:val="00C01360"/>
    <w:rsid w:val="00C02F56"/>
    <w:rsid w:val="00C0391F"/>
    <w:rsid w:val="00C03D7A"/>
    <w:rsid w:val="00C05B50"/>
    <w:rsid w:val="00C0683D"/>
    <w:rsid w:val="00C06C24"/>
    <w:rsid w:val="00C07969"/>
    <w:rsid w:val="00C07EFC"/>
    <w:rsid w:val="00C1063D"/>
    <w:rsid w:val="00C108FF"/>
    <w:rsid w:val="00C14D47"/>
    <w:rsid w:val="00C175DA"/>
    <w:rsid w:val="00C17996"/>
    <w:rsid w:val="00C204CE"/>
    <w:rsid w:val="00C215F9"/>
    <w:rsid w:val="00C21979"/>
    <w:rsid w:val="00C21B8B"/>
    <w:rsid w:val="00C22C1C"/>
    <w:rsid w:val="00C2341D"/>
    <w:rsid w:val="00C236F1"/>
    <w:rsid w:val="00C248E6"/>
    <w:rsid w:val="00C24D65"/>
    <w:rsid w:val="00C25356"/>
    <w:rsid w:val="00C2785E"/>
    <w:rsid w:val="00C32E42"/>
    <w:rsid w:val="00C339FE"/>
    <w:rsid w:val="00C3599D"/>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688B"/>
    <w:rsid w:val="00C474F7"/>
    <w:rsid w:val="00C50FFB"/>
    <w:rsid w:val="00C51383"/>
    <w:rsid w:val="00C51D0E"/>
    <w:rsid w:val="00C52026"/>
    <w:rsid w:val="00C527CB"/>
    <w:rsid w:val="00C52AA0"/>
    <w:rsid w:val="00C54884"/>
    <w:rsid w:val="00C56658"/>
    <w:rsid w:val="00C606C0"/>
    <w:rsid w:val="00C61197"/>
    <w:rsid w:val="00C62DD6"/>
    <w:rsid w:val="00C63537"/>
    <w:rsid w:val="00C63B97"/>
    <w:rsid w:val="00C65F11"/>
    <w:rsid w:val="00C65F27"/>
    <w:rsid w:val="00C662E6"/>
    <w:rsid w:val="00C67675"/>
    <w:rsid w:val="00C713D7"/>
    <w:rsid w:val="00C74D7F"/>
    <w:rsid w:val="00C75515"/>
    <w:rsid w:val="00C76EB0"/>
    <w:rsid w:val="00C8023B"/>
    <w:rsid w:val="00C81AC2"/>
    <w:rsid w:val="00C82754"/>
    <w:rsid w:val="00C83121"/>
    <w:rsid w:val="00C83D45"/>
    <w:rsid w:val="00C8433B"/>
    <w:rsid w:val="00C845E6"/>
    <w:rsid w:val="00C8556C"/>
    <w:rsid w:val="00C85B4E"/>
    <w:rsid w:val="00C878E8"/>
    <w:rsid w:val="00C87FB1"/>
    <w:rsid w:val="00C92306"/>
    <w:rsid w:val="00C93C7B"/>
    <w:rsid w:val="00C9425D"/>
    <w:rsid w:val="00C96171"/>
    <w:rsid w:val="00C97546"/>
    <w:rsid w:val="00CA0C3E"/>
    <w:rsid w:val="00CA1540"/>
    <w:rsid w:val="00CA287E"/>
    <w:rsid w:val="00CA44C0"/>
    <w:rsid w:val="00CA44E6"/>
    <w:rsid w:val="00CA5926"/>
    <w:rsid w:val="00CA5FFD"/>
    <w:rsid w:val="00CA6253"/>
    <w:rsid w:val="00CA6B80"/>
    <w:rsid w:val="00CA73A8"/>
    <w:rsid w:val="00CB084F"/>
    <w:rsid w:val="00CB1DAE"/>
    <w:rsid w:val="00CB21C6"/>
    <w:rsid w:val="00CB28A7"/>
    <w:rsid w:val="00CB3DAB"/>
    <w:rsid w:val="00CB3E07"/>
    <w:rsid w:val="00CB4B63"/>
    <w:rsid w:val="00CB532E"/>
    <w:rsid w:val="00CB78EB"/>
    <w:rsid w:val="00CB7FCB"/>
    <w:rsid w:val="00CC00CD"/>
    <w:rsid w:val="00CC2A26"/>
    <w:rsid w:val="00CC2C34"/>
    <w:rsid w:val="00CC3766"/>
    <w:rsid w:val="00CC5BE0"/>
    <w:rsid w:val="00CC5E3E"/>
    <w:rsid w:val="00CC670C"/>
    <w:rsid w:val="00CC6D9C"/>
    <w:rsid w:val="00CC786F"/>
    <w:rsid w:val="00CD080F"/>
    <w:rsid w:val="00CD1A2C"/>
    <w:rsid w:val="00CD2F3A"/>
    <w:rsid w:val="00CD4012"/>
    <w:rsid w:val="00CD4748"/>
    <w:rsid w:val="00CD4CEE"/>
    <w:rsid w:val="00CD5F34"/>
    <w:rsid w:val="00CD64E2"/>
    <w:rsid w:val="00CE041B"/>
    <w:rsid w:val="00CE163D"/>
    <w:rsid w:val="00CE33FA"/>
    <w:rsid w:val="00CE3652"/>
    <w:rsid w:val="00CE38F9"/>
    <w:rsid w:val="00CE3953"/>
    <w:rsid w:val="00CE5EC3"/>
    <w:rsid w:val="00CE7849"/>
    <w:rsid w:val="00CF298B"/>
    <w:rsid w:val="00CF2CA1"/>
    <w:rsid w:val="00CF2EF6"/>
    <w:rsid w:val="00CF4690"/>
    <w:rsid w:val="00CF5D8B"/>
    <w:rsid w:val="00CF6B14"/>
    <w:rsid w:val="00CF7584"/>
    <w:rsid w:val="00CF7DE3"/>
    <w:rsid w:val="00D004A0"/>
    <w:rsid w:val="00D03273"/>
    <w:rsid w:val="00D0349B"/>
    <w:rsid w:val="00D035F8"/>
    <w:rsid w:val="00D04268"/>
    <w:rsid w:val="00D04F45"/>
    <w:rsid w:val="00D054BD"/>
    <w:rsid w:val="00D063D2"/>
    <w:rsid w:val="00D06D43"/>
    <w:rsid w:val="00D1185B"/>
    <w:rsid w:val="00D11E53"/>
    <w:rsid w:val="00D1318F"/>
    <w:rsid w:val="00D13CF4"/>
    <w:rsid w:val="00D15396"/>
    <w:rsid w:val="00D15D40"/>
    <w:rsid w:val="00D16345"/>
    <w:rsid w:val="00D16516"/>
    <w:rsid w:val="00D16E36"/>
    <w:rsid w:val="00D16E39"/>
    <w:rsid w:val="00D2094E"/>
    <w:rsid w:val="00D20C61"/>
    <w:rsid w:val="00D23634"/>
    <w:rsid w:val="00D24BCF"/>
    <w:rsid w:val="00D24CC2"/>
    <w:rsid w:val="00D250D0"/>
    <w:rsid w:val="00D26C96"/>
    <w:rsid w:val="00D30246"/>
    <w:rsid w:val="00D319E3"/>
    <w:rsid w:val="00D31F4A"/>
    <w:rsid w:val="00D32C9D"/>
    <w:rsid w:val="00D348D5"/>
    <w:rsid w:val="00D35D5C"/>
    <w:rsid w:val="00D361D0"/>
    <w:rsid w:val="00D36A8C"/>
    <w:rsid w:val="00D36EF3"/>
    <w:rsid w:val="00D376C1"/>
    <w:rsid w:val="00D40D90"/>
    <w:rsid w:val="00D40DDB"/>
    <w:rsid w:val="00D4187C"/>
    <w:rsid w:val="00D4245F"/>
    <w:rsid w:val="00D42812"/>
    <w:rsid w:val="00D441C6"/>
    <w:rsid w:val="00D44651"/>
    <w:rsid w:val="00D44846"/>
    <w:rsid w:val="00D45AF8"/>
    <w:rsid w:val="00D4690E"/>
    <w:rsid w:val="00D4754F"/>
    <w:rsid w:val="00D47ADA"/>
    <w:rsid w:val="00D50796"/>
    <w:rsid w:val="00D5088B"/>
    <w:rsid w:val="00D50CC2"/>
    <w:rsid w:val="00D53EA2"/>
    <w:rsid w:val="00D55E8F"/>
    <w:rsid w:val="00D56AB8"/>
    <w:rsid w:val="00D57255"/>
    <w:rsid w:val="00D577D1"/>
    <w:rsid w:val="00D627E4"/>
    <w:rsid w:val="00D63787"/>
    <w:rsid w:val="00D644AA"/>
    <w:rsid w:val="00D64797"/>
    <w:rsid w:val="00D65554"/>
    <w:rsid w:val="00D67754"/>
    <w:rsid w:val="00D67C1A"/>
    <w:rsid w:val="00D70679"/>
    <w:rsid w:val="00D710DF"/>
    <w:rsid w:val="00D729F6"/>
    <w:rsid w:val="00D72E9D"/>
    <w:rsid w:val="00D73A21"/>
    <w:rsid w:val="00D73D62"/>
    <w:rsid w:val="00D74389"/>
    <w:rsid w:val="00D74E75"/>
    <w:rsid w:val="00D757EB"/>
    <w:rsid w:val="00D76689"/>
    <w:rsid w:val="00D80EB6"/>
    <w:rsid w:val="00D8209A"/>
    <w:rsid w:val="00D82CE5"/>
    <w:rsid w:val="00D848A7"/>
    <w:rsid w:val="00D84D9D"/>
    <w:rsid w:val="00D853DA"/>
    <w:rsid w:val="00D856F4"/>
    <w:rsid w:val="00D864FC"/>
    <w:rsid w:val="00D87C9A"/>
    <w:rsid w:val="00D9054B"/>
    <w:rsid w:val="00D921B5"/>
    <w:rsid w:val="00D9294F"/>
    <w:rsid w:val="00D945B8"/>
    <w:rsid w:val="00DA01E8"/>
    <w:rsid w:val="00DA0FB4"/>
    <w:rsid w:val="00DA0FD1"/>
    <w:rsid w:val="00DA1498"/>
    <w:rsid w:val="00DA1E8F"/>
    <w:rsid w:val="00DA2FF5"/>
    <w:rsid w:val="00DA3452"/>
    <w:rsid w:val="00DA4638"/>
    <w:rsid w:val="00DA4710"/>
    <w:rsid w:val="00DA5414"/>
    <w:rsid w:val="00DA5AB1"/>
    <w:rsid w:val="00DA6EE1"/>
    <w:rsid w:val="00DA72B4"/>
    <w:rsid w:val="00DB04FC"/>
    <w:rsid w:val="00DB12BD"/>
    <w:rsid w:val="00DB2EB1"/>
    <w:rsid w:val="00DB31D9"/>
    <w:rsid w:val="00DB3448"/>
    <w:rsid w:val="00DB4398"/>
    <w:rsid w:val="00DB44D8"/>
    <w:rsid w:val="00DB49AA"/>
    <w:rsid w:val="00DB5ED4"/>
    <w:rsid w:val="00DB6619"/>
    <w:rsid w:val="00DB768D"/>
    <w:rsid w:val="00DC32BD"/>
    <w:rsid w:val="00DC3D67"/>
    <w:rsid w:val="00DC536B"/>
    <w:rsid w:val="00DC5522"/>
    <w:rsid w:val="00DC578F"/>
    <w:rsid w:val="00DC62E5"/>
    <w:rsid w:val="00DC6ACC"/>
    <w:rsid w:val="00DC753E"/>
    <w:rsid w:val="00DD0196"/>
    <w:rsid w:val="00DD0A90"/>
    <w:rsid w:val="00DD160B"/>
    <w:rsid w:val="00DD1C18"/>
    <w:rsid w:val="00DD2075"/>
    <w:rsid w:val="00DD278E"/>
    <w:rsid w:val="00DD31A9"/>
    <w:rsid w:val="00DD3432"/>
    <w:rsid w:val="00DD3F40"/>
    <w:rsid w:val="00DD70F8"/>
    <w:rsid w:val="00DD735D"/>
    <w:rsid w:val="00DD7D8D"/>
    <w:rsid w:val="00DE035A"/>
    <w:rsid w:val="00DE0618"/>
    <w:rsid w:val="00DE1FEF"/>
    <w:rsid w:val="00DE2858"/>
    <w:rsid w:val="00DE2B79"/>
    <w:rsid w:val="00DE3119"/>
    <w:rsid w:val="00DE3A59"/>
    <w:rsid w:val="00DE62DC"/>
    <w:rsid w:val="00DE6953"/>
    <w:rsid w:val="00DE6B11"/>
    <w:rsid w:val="00DE6E79"/>
    <w:rsid w:val="00DE70DC"/>
    <w:rsid w:val="00DE7D58"/>
    <w:rsid w:val="00DF02B2"/>
    <w:rsid w:val="00DF0A9C"/>
    <w:rsid w:val="00DF0AB4"/>
    <w:rsid w:val="00DF16DA"/>
    <w:rsid w:val="00DF1DAA"/>
    <w:rsid w:val="00DF236B"/>
    <w:rsid w:val="00DF4B95"/>
    <w:rsid w:val="00DF5090"/>
    <w:rsid w:val="00DF6ACD"/>
    <w:rsid w:val="00E000C8"/>
    <w:rsid w:val="00E009B9"/>
    <w:rsid w:val="00E00C21"/>
    <w:rsid w:val="00E01453"/>
    <w:rsid w:val="00E017C4"/>
    <w:rsid w:val="00E0224A"/>
    <w:rsid w:val="00E036D0"/>
    <w:rsid w:val="00E04C9B"/>
    <w:rsid w:val="00E056B2"/>
    <w:rsid w:val="00E06F42"/>
    <w:rsid w:val="00E07843"/>
    <w:rsid w:val="00E10A6D"/>
    <w:rsid w:val="00E10FCB"/>
    <w:rsid w:val="00E13AB8"/>
    <w:rsid w:val="00E13FD3"/>
    <w:rsid w:val="00E14299"/>
    <w:rsid w:val="00E144AB"/>
    <w:rsid w:val="00E163A8"/>
    <w:rsid w:val="00E17C49"/>
    <w:rsid w:val="00E17EE1"/>
    <w:rsid w:val="00E21494"/>
    <w:rsid w:val="00E214EB"/>
    <w:rsid w:val="00E2338D"/>
    <w:rsid w:val="00E23732"/>
    <w:rsid w:val="00E240E7"/>
    <w:rsid w:val="00E24319"/>
    <w:rsid w:val="00E2553E"/>
    <w:rsid w:val="00E26B49"/>
    <w:rsid w:val="00E27565"/>
    <w:rsid w:val="00E3090F"/>
    <w:rsid w:val="00E3117C"/>
    <w:rsid w:val="00E33B62"/>
    <w:rsid w:val="00E34612"/>
    <w:rsid w:val="00E36BAD"/>
    <w:rsid w:val="00E36E37"/>
    <w:rsid w:val="00E36F58"/>
    <w:rsid w:val="00E42CEA"/>
    <w:rsid w:val="00E43A34"/>
    <w:rsid w:val="00E44462"/>
    <w:rsid w:val="00E449E0"/>
    <w:rsid w:val="00E45104"/>
    <w:rsid w:val="00E453B7"/>
    <w:rsid w:val="00E45E0B"/>
    <w:rsid w:val="00E46983"/>
    <w:rsid w:val="00E50B01"/>
    <w:rsid w:val="00E50B32"/>
    <w:rsid w:val="00E52D01"/>
    <w:rsid w:val="00E55371"/>
    <w:rsid w:val="00E5557F"/>
    <w:rsid w:val="00E5588F"/>
    <w:rsid w:val="00E55CA3"/>
    <w:rsid w:val="00E57442"/>
    <w:rsid w:val="00E60196"/>
    <w:rsid w:val="00E60756"/>
    <w:rsid w:val="00E60BE9"/>
    <w:rsid w:val="00E61299"/>
    <w:rsid w:val="00E61E09"/>
    <w:rsid w:val="00E62192"/>
    <w:rsid w:val="00E621BC"/>
    <w:rsid w:val="00E63396"/>
    <w:rsid w:val="00E64B60"/>
    <w:rsid w:val="00E657D4"/>
    <w:rsid w:val="00E66E98"/>
    <w:rsid w:val="00E66ECC"/>
    <w:rsid w:val="00E67E83"/>
    <w:rsid w:val="00E737A7"/>
    <w:rsid w:val="00E74C96"/>
    <w:rsid w:val="00E7681B"/>
    <w:rsid w:val="00E768B7"/>
    <w:rsid w:val="00E76FA8"/>
    <w:rsid w:val="00E80C3F"/>
    <w:rsid w:val="00E832F8"/>
    <w:rsid w:val="00E83789"/>
    <w:rsid w:val="00E87315"/>
    <w:rsid w:val="00E874AC"/>
    <w:rsid w:val="00E911EE"/>
    <w:rsid w:val="00E91306"/>
    <w:rsid w:val="00E91477"/>
    <w:rsid w:val="00E915AC"/>
    <w:rsid w:val="00E9178F"/>
    <w:rsid w:val="00E91DA5"/>
    <w:rsid w:val="00E91E80"/>
    <w:rsid w:val="00E921B1"/>
    <w:rsid w:val="00E92892"/>
    <w:rsid w:val="00E939A8"/>
    <w:rsid w:val="00E939C0"/>
    <w:rsid w:val="00E93C78"/>
    <w:rsid w:val="00E96EC1"/>
    <w:rsid w:val="00E9754A"/>
    <w:rsid w:val="00E9760B"/>
    <w:rsid w:val="00E97732"/>
    <w:rsid w:val="00E97CC7"/>
    <w:rsid w:val="00EA04EF"/>
    <w:rsid w:val="00EA1131"/>
    <w:rsid w:val="00EA189B"/>
    <w:rsid w:val="00EA1ADA"/>
    <w:rsid w:val="00EA3483"/>
    <w:rsid w:val="00EA4DB3"/>
    <w:rsid w:val="00EA538A"/>
    <w:rsid w:val="00EA6B95"/>
    <w:rsid w:val="00EA704D"/>
    <w:rsid w:val="00EA79EB"/>
    <w:rsid w:val="00EB0D81"/>
    <w:rsid w:val="00EB0DF1"/>
    <w:rsid w:val="00EB2933"/>
    <w:rsid w:val="00EB351D"/>
    <w:rsid w:val="00EB666E"/>
    <w:rsid w:val="00EB76EE"/>
    <w:rsid w:val="00EC0082"/>
    <w:rsid w:val="00EC100B"/>
    <w:rsid w:val="00EC171C"/>
    <w:rsid w:val="00EC19AB"/>
    <w:rsid w:val="00EC249E"/>
    <w:rsid w:val="00EC44C2"/>
    <w:rsid w:val="00EC5F41"/>
    <w:rsid w:val="00EC60CB"/>
    <w:rsid w:val="00EC7B4C"/>
    <w:rsid w:val="00ED0667"/>
    <w:rsid w:val="00ED0F19"/>
    <w:rsid w:val="00ED23D4"/>
    <w:rsid w:val="00ED2ED4"/>
    <w:rsid w:val="00ED2EFF"/>
    <w:rsid w:val="00ED3BF4"/>
    <w:rsid w:val="00ED3C6D"/>
    <w:rsid w:val="00ED4234"/>
    <w:rsid w:val="00ED55E1"/>
    <w:rsid w:val="00ED65D6"/>
    <w:rsid w:val="00ED741C"/>
    <w:rsid w:val="00ED7F90"/>
    <w:rsid w:val="00EE094E"/>
    <w:rsid w:val="00EE1CCD"/>
    <w:rsid w:val="00EE3377"/>
    <w:rsid w:val="00EE4DB7"/>
    <w:rsid w:val="00EE5189"/>
    <w:rsid w:val="00EE776B"/>
    <w:rsid w:val="00EF0EE1"/>
    <w:rsid w:val="00EF1522"/>
    <w:rsid w:val="00EF15DA"/>
    <w:rsid w:val="00EF16DD"/>
    <w:rsid w:val="00EF2829"/>
    <w:rsid w:val="00EF5251"/>
    <w:rsid w:val="00EF66D5"/>
    <w:rsid w:val="00EF66D6"/>
    <w:rsid w:val="00F02695"/>
    <w:rsid w:val="00F033DB"/>
    <w:rsid w:val="00F03853"/>
    <w:rsid w:val="00F03D6F"/>
    <w:rsid w:val="00F04CC2"/>
    <w:rsid w:val="00F05499"/>
    <w:rsid w:val="00F058FE"/>
    <w:rsid w:val="00F060C6"/>
    <w:rsid w:val="00F06B15"/>
    <w:rsid w:val="00F0755F"/>
    <w:rsid w:val="00F109B1"/>
    <w:rsid w:val="00F1157D"/>
    <w:rsid w:val="00F11EDA"/>
    <w:rsid w:val="00F1301C"/>
    <w:rsid w:val="00F13DF7"/>
    <w:rsid w:val="00F14E00"/>
    <w:rsid w:val="00F155B7"/>
    <w:rsid w:val="00F172AE"/>
    <w:rsid w:val="00F237C9"/>
    <w:rsid w:val="00F24361"/>
    <w:rsid w:val="00F26E22"/>
    <w:rsid w:val="00F277D0"/>
    <w:rsid w:val="00F30701"/>
    <w:rsid w:val="00F317BC"/>
    <w:rsid w:val="00F36E11"/>
    <w:rsid w:val="00F379A3"/>
    <w:rsid w:val="00F42730"/>
    <w:rsid w:val="00F43415"/>
    <w:rsid w:val="00F449FE"/>
    <w:rsid w:val="00F44CA3"/>
    <w:rsid w:val="00F46903"/>
    <w:rsid w:val="00F472E1"/>
    <w:rsid w:val="00F479E0"/>
    <w:rsid w:val="00F47B8F"/>
    <w:rsid w:val="00F50F9E"/>
    <w:rsid w:val="00F52A68"/>
    <w:rsid w:val="00F55AA3"/>
    <w:rsid w:val="00F562BD"/>
    <w:rsid w:val="00F57B5D"/>
    <w:rsid w:val="00F608B9"/>
    <w:rsid w:val="00F60DB7"/>
    <w:rsid w:val="00F60DF8"/>
    <w:rsid w:val="00F60E91"/>
    <w:rsid w:val="00F62C3C"/>
    <w:rsid w:val="00F70D8C"/>
    <w:rsid w:val="00F71570"/>
    <w:rsid w:val="00F72BAE"/>
    <w:rsid w:val="00F74127"/>
    <w:rsid w:val="00F74374"/>
    <w:rsid w:val="00F74FD2"/>
    <w:rsid w:val="00F7558E"/>
    <w:rsid w:val="00F76205"/>
    <w:rsid w:val="00F803F1"/>
    <w:rsid w:val="00F8177B"/>
    <w:rsid w:val="00F81A22"/>
    <w:rsid w:val="00F81B47"/>
    <w:rsid w:val="00F823C6"/>
    <w:rsid w:val="00F835D8"/>
    <w:rsid w:val="00F83B75"/>
    <w:rsid w:val="00F84899"/>
    <w:rsid w:val="00F858AD"/>
    <w:rsid w:val="00F859F0"/>
    <w:rsid w:val="00F859FC"/>
    <w:rsid w:val="00F8789E"/>
    <w:rsid w:val="00F92E29"/>
    <w:rsid w:val="00F93C66"/>
    <w:rsid w:val="00F9407E"/>
    <w:rsid w:val="00F942DB"/>
    <w:rsid w:val="00F94B56"/>
    <w:rsid w:val="00FA06A3"/>
    <w:rsid w:val="00FA0FB5"/>
    <w:rsid w:val="00FA188E"/>
    <w:rsid w:val="00FA22B3"/>
    <w:rsid w:val="00FA310C"/>
    <w:rsid w:val="00FA3B5A"/>
    <w:rsid w:val="00FA40C0"/>
    <w:rsid w:val="00FA4A30"/>
    <w:rsid w:val="00FA540E"/>
    <w:rsid w:val="00FA562B"/>
    <w:rsid w:val="00FA6587"/>
    <w:rsid w:val="00FA69B7"/>
    <w:rsid w:val="00FA79D2"/>
    <w:rsid w:val="00FB0D40"/>
    <w:rsid w:val="00FB0E35"/>
    <w:rsid w:val="00FB27D9"/>
    <w:rsid w:val="00FB301D"/>
    <w:rsid w:val="00FB309D"/>
    <w:rsid w:val="00FB3707"/>
    <w:rsid w:val="00FB42FF"/>
    <w:rsid w:val="00FB47F3"/>
    <w:rsid w:val="00FB516F"/>
    <w:rsid w:val="00FC3726"/>
    <w:rsid w:val="00FC4DE5"/>
    <w:rsid w:val="00FC639D"/>
    <w:rsid w:val="00FC711A"/>
    <w:rsid w:val="00FD2533"/>
    <w:rsid w:val="00FD3213"/>
    <w:rsid w:val="00FD39C2"/>
    <w:rsid w:val="00FD3A2E"/>
    <w:rsid w:val="00FD3BB4"/>
    <w:rsid w:val="00FD4AFF"/>
    <w:rsid w:val="00FD674C"/>
    <w:rsid w:val="00FD7994"/>
    <w:rsid w:val="00FD7A75"/>
    <w:rsid w:val="00FD7C89"/>
    <w:rsid w:val="00FE0DC4"/>
    <w:rsid w:val="00FE125A"/>
    <w:rsid w:val="00FE141E"/>
    <w:rsid w:val="00FE18E0"/>
    <w:rsid w:val="00FE2149"/>
    <w:rsid w:val="00FE21DA"/>
    <w:rsid w:val="00FE24F4"/>
    <w:rsid w:val="00FE2A33"/>
    <w:rsid w:val="00FE2B5E"/>
    <w:rsid w:val="00FE58FE"/>
    <w:rsid w:val="00FE5E5B"/>
    <w:rsid w:val="00FE5ECC"/>
    <w:rsid w:val="00FE674D"/>
    <w:rsid w:val="00FE6C6F"/>
    <w:rsid w:val="00FE78CB"/>
    <w:rsid w:val="00FE793C"/>
    <w:rsid w:val="00FF3657"/>
    <w:rsid w:val="00FF417D"/>
    <w:rsid w:val="00FF4A50"/>
    <w:rsid w:val="00FF588E"/>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9AA5CD62-4DB0-4438-9B21-DB19E451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 w:type="paragraph" w:styleId="Textoindependiente">
    <w:name w:val="Body Text"/>
    <w:basedOn w:val="Normal"/>
    <w:link w:val="TextoindependienteCar"/>
    <w:uiPriority w:val="1"/>
    <w:qFormat/>
    <w:rsid w:val="00050E8C"/>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50E8C"/>
    <w:rPr>
      <w:rFonts w:ascii="Arial" w:eastAsia="Arial" w:hAnsi="Arial" w:cs="Arial"/>
      <w:lang w:val="es-ES"/>
    </w:rPr>
  </w:style>
  <w:style w:type="character" w:customStyle="1" w:styleId="apple-converted-space">
    <w:name w:val="apple-converted-space"/>
    <w:basedOn w:val="Fuentedeprrafopredeter"/>
    <w:rsid w:val="003D5728"/>
  </w:style>
  <w:style w:type="character" w:customStyle="1" w:styleId="Mencinsinresolver3">
    <w:name w:val="Mención sin resolver3"/>
    <w:basedOn w:val="Fuentedeprrafopredeter"/>
    <w:uiPriority w:val="99"/>
    <w:semiHidden/>
    <w:unhideWhenUsed/>
    <w:rsid w:val="000D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645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7896281">
      <w:bodyDiv w:val="1"/>
      <w:marLeft w:val="0"/>
      <w:marRight w:val="0"/>
      <w:marTop w:val="0"/>
      <w:marBottom w:val="0"/>
      <w:divBdr>
        <w:top w:val="none" w:sz="0" w:space="0" w:color="auto"/>
        <w:left w:val="none" w:sz="0" w:space="0" w:color="auto"/>
        <w:bottom w:val="none" w:sz="0" w:space="0" w:color="auto"/>
        <w:right w:val="none" w:sz="0" w:space="0" w:color="auto"/>
      </w:divBdr>
    </w:div>
    <w:div w:id="410280652">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883">
      <w:bodyDiv w:val="1"/>
      <w:marLeft w:val="0"/>
      <w:marRight w:val="0"/>
      <w:marTop w:val="0"/>
      <w:marBottom w:val="0"/>
      <w:divBdr>
        <w:top w:val="none" w:sz="0" w:space="0" w:color="auto"/>
        <w:left w:val="none" w:sz="0" w:space="0" w:color="auto"/>
        <w:bottom w:val="none" w:sz="0" w:space="0" w:color="auto"/>
        <w:right w:val="none" w:sz="0" w:space="0" w:color="auto"/>
      </w:divBdr>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5D65B01-9C9B-4F11-9EBC-CE5AFB3EC894}">
  <ds:schemaRefs>
    <ds:schemaRef ds:uri="http://schemas.openxmlformats.org/officeDocument/2006/bibliography"/>
  </ds:schemaRefs>
</ds:datastoreItem>
</file>

<file path=customXml/itemProps4.xml><?xml version="1.0" encoding="utf-8"?>
<ds:datastoreItem xmlns:ds="http://schemas.openxmlformats.org/officeDocument/2006/customXml" ds:itemID="{133D5DBE-87A6-4EEA-BF86-D395C4FF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19</Pages>
  <Words>7373</Words>
  <Characters>40556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dcterms:created xsi:type="dcterms:W3CDTF">2022-10-04T18:52:00Z</dcterms:created>
  <dcterms:modified xsi:type="dcterms:W3CDTF">2022-10-04T18:52:00Z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