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DE3F" w14:textId="77777777" w:rsidR="00AC55A0" w:rsidRPr="007A0C25" w:rsidRDefault="00AC55A0" w:rsidP="00AC55A0">
      <w:pPr>
        <w:spacing w:before="240" w:line="276" w:lineRule="auto"/>
        <w:jc w:val="right"/>
        <w:rPr>
          <w:rFonts w:ascii="Arial" w:eastAsia="Calibri" w:hAnsi="Arial" w:cs="Arial"/>
          <w:b/>
          <w:bCs/>
          <w:sz w:val="22"/>
        </w:rPr>
      </w:pPr>
      <w:bookmarkStart w:id="0" w:name="_Hlk47949675"/>
      <w:bookmarkStart w:id="1" w:name="_Hlk114827471"/>
      <w:r w:rsidRPr="007A0C25">
        <w:rPr>
          <w:rFonts w:ascii="Arial" w:hAnsi="Arial" w:cs="Arial"/>
          <w:b/>
          <w:bCs/>
          <w:sz w:val="16"/>
          <w:szCs w:val="16"/>
          <w:lang w:eastAsia="es-ES"/>
        </w:rPr>
        <w:t>CCE-DES-FM-17</w:t>
      </w:r>
    </w:p>
    <w:bookmarkEnd w:id="0"/>
    <w:bookmarkEnd w:id="1"/>
    <w:p w14:paraId="2851BCCB" w14:textId="77777777" w:rsidR="002E7A58" w:rsidRPr="00F636DF" w:rsidRDefault="002E7A58" w:rsidP="002E7A58">
      <w:pPr>
        <w:contextualSpacing/>
        <w:jc w:val="both"/>
        <w:rPr>
          <w:rFonts w:ascii="Arial" w:eastAsia="Arial" w:hAnsi="Arial" w:cs="Arial"/>
          <w:b/>
          <w:sz w:val="22"/>
          <w:lang w:val="es-ES_tradnl"/>
        </w:rPr>
      </w:pPr>
      <w:r w:rsidRPr="00F636DF">
        <w:rPr>
          <w:rFonts w:ascii="Arial" w:hAnsi="Arial" w:cs="Arial"/>
          <w:b/>
          <w:bCs/>
          <w:sz w:val="22"/>
          <w:lang w:val="es-ES_tradnl" w:eastAsia="es-CO"/>
        </w:rPr>
        <w:t xml:space="preserve">LEY DE GARANTÍAS ELECTORALES </w:t>
      </w:r>
      <w:r w:rsidRPr="00F636DF">
        <w:rPr>
          <w:rFonts w:ascii="Arial" w:eastAsia="Calibri" w:hAnsi="Arial" w:cs="Arial"/>
          <w:b/>
          <w:sz w:val="22"/>
          <w:lang w:val="es-ES_tradnl"/>
        </w:rPr>
        <w:t xml:space="preserve">– </w:t>
      </w:r>
      <w:bookmarkStart w:id="2" w:name="_Hlk97713315"/>
      <w:r w:rsidRPr="00F636DF">
        <w:rPr>
          <w:rFonts w:ascii="Arial" w:eastAsia="Arial" w:hAnsi="Arial" w:cs="Arial"/>
          <w:b/>
          <w:sz w:val="22"/>
          <w:lang w:val="es-ES_tradnl"/>
        </w:rPr>
        <w:t xml:space="preserve">Definición </w:t>
      </w:r>
      <w:r w:rsidRPr="00F636DF">
        <w:rPr>
          <w:rFonts w:ascii="Arial" w:eastAsia="Calibri" w:hAnsi="Arial" w:cs="Arial"/>
          <w:b/>
          <w:sz w:val="22"/>
          <w:lang w:val="es-ES_tradnl"/>
        </w:rPr>
        <w:t>– Finalidad</w:t>
      </w:r>
      <w:r w:rsidRPr="00F636DF">
        <w:rPr>
          <w:rFonts w:ascii="Arial" w:eastAsia="Calibri" w:hAnsi="Arial" w:cs="Arial"/>
          <w:b/>
          <w:bCs/>
          <w:sz w:val="22"/>
          <w:lang w:val="es-ES_tradnl"/>
        </w:rPr>
        <w:t xml:space="preserve"> </w:t>
      </w:r>
    </w:p>
    <w:bookmarkEnd w:id="2"/>
    <w:p w14:paraId="62C4891E" w14:textId="77777777" w:rsidR="002E7A58" w:rsidRPr="00F636DF" w:rsidRDefault="002E7A58" w:rsidP="002E7A58">
      <w:pPr>
        <w:contextualSpacing/>
        <w:jc w:val="both"/>
        <w:rPr>
          <w:rFonts w:ascii="Arial" w:hAnsi="Arial" w:cs="Arial"/>
          <w:b/>
          <w:sz w:val="21"/>
          <w:szCs w:val="21"/>
          <w:lang w:val="es-ES_tradnl" w:eastAsia="es-CO"/>
        </w:rPr>
      </w:pPr>
    </w:p>
    <w:p w14:paraId="28CD27C8" w14:textId="77777777" w:rsidR="002E7A58" w:rsidRPr="00F636DF" w:rsidRDefault="002E7A58" w:rsidP="002E7A58">
      <w:pPr>
        <w:tabs>
          <w:tab w:val="left" w:pos="426"/>
        </w:tabs>
        <w:contextualSpacing/>
        <w:jc w:val="both"/>
        <w:rPr>
          <w:rFonts w:ascii="Arial" w:eastAsia="Arial" w:hAnsi="Arial" w:cs="Arial"/>
          <w:sz w:val="21"/>
          <w:szCs w:val="21"/>
          <w:lang w:val="es-ES_tradnl"/>
        </w:rPr>
      </w:pPr>
      <w:r w:rsidRPr="00F636DF">
        <w:rPr>
          <w:rFonts w:ascii="Arial" w:eastAsia="Calibri" w:hAnsi="Arial" w:cs="Arial"/>
          <w:noProof/>
          <w:sz w:val="21"/>
          <w:szCs w:val="21"/>
          <w:lang w:val="es-ES_tradnl"/>
        </w:rPr>
        <w:t xml:space="preserve">[…] </w:t>
      </w:r>
      <w:r w:rsidRPr="00F636DF">
        <w:rPr>
          <w:rFonts w:ascii="Arial" w:hAnsi="Arial" w:cs="Arial"/>
          <w:bCs/>
          <w:sz w:val="21"/>
          <w:szCs w:val="21"/>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F636DF">
        <w:rPr>
          <w:rFonts w:ascii="Arial" w:eastAsia="Calibri" w:hAnsi="Arial" w:cs="Arial"/>
          <w:noProof/>
          <w:sz w:val="21"/>
          <w:szCs w:val="21"/>
          <w:lang w:val="es-ES_tradnl"/>
        </w:rPr>
        <w:t xml:space="preserve"> </w:t>
      </w:r>
      <w:r w:rsidRPr="00F636DF">
        <w:rPr>
          <w:rFonts w:ascii="Arial" w:eastAsia="Arial" w:hAnsi="Arial" w:cs="Arial"/>
          <w:sz w:val="21"/>
          <w:szCs w:val="21"/>
          <w:lang w:val="es-ES_tradnl"/>
        </w:rPr>
        <w:t xml:space="preserve">[…] </w:t>
      </w:r>
    </w:p>
    <w:p w14:paraId="617BDC00" w14:textId="77777777" w:rsidR="002E7A58" w:rsidRPr="00F636DF" w:rsidRDefault="002E7A58" w:rsidP="002E7A58">
      <w:pPr>
        <w:tabs>
          <w:tab w:val="left" w:pos="426"/>
        </w:tabs>
        <w:contextualSpacing/>
        <w:jc w:val="both"/>
        <w:rPr>
          <w:rFonts w:ascii="Arial" w:eastAsia="Arial" w:hAnsi="Arial" w:cs="Arial"/>
          <w:sz w:val="21"/>
          <w:szCs w:val="21"/>
          <w:lang w:val="es-ES_tradnl"/>
        </w:rPr>
      </w:pPr>
    </w:p>
    <w:p w14:paraId="67B3DC9D" w14:textId="77777777" w:rsidR="002E7A58" w:rsidRPr="00F636DF" w:rsidRDefault="002E7A58" w:rsidP="002E7A58">
      <w:pPr>
        <w:tabs>
          <w:tab w:val="left" w:pos="426"/>
        </w:tabs>
        <w:contextualSpacing/>
        <w:jc w:val="both"/>
        <w:rPr>
          <w:rFonts w:ascii="Arial" w:hAnsi="Arial" w:cs="Arial"/>
          <w:bCs/>
          <w:sz w:val="21"/>
          <w:szCs w:val="21"/>
          <w:lang w:eastAsia="es-CO"/>
        </w:rPr>
      </w:pPr>
      <w:r w:rsidRPr="00F636DF">
        <w:rPr>
          <w:rFonts w:ascii="Arial" w:hAnsi="Arial" w:cs="Arial"/>
          <w:bCs/>
          <w:sz w:val="21"/>
          <w:szCs w:val="21"/>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7A237376" w14:textId="77777777" w:rsidR="002E7A58" w:rsidRPr="00F636DF" w:rsidRDefault="002E7A58" w:rsidP="002E7A58">
      <w:pPr>
        <w:tabs>
          <w:tab w:val="left" w:pos="426"/>
        </w:tabs>
        <w:contextualSpacing/>
        <w:jc w:val="both"/>
        <w:rPr>
          <w:rFonts w:ascii="Arial" w:eastAsia="Arial" w:hAnsi="Arial" w:cs="Arial"/>
          <w:sz w:val="21"/>
          <w:szCs w:val="21"/>
          <w:lang w:val="es-ES_tradnl"/>
        </w:rPr>
      </w:pPr>
    </w:p>
    <w:p w14:paraId="3D115C72" w14:textId="77777777" w:rsidR="002E7A58" w:rsidRPr="00F636DF" w:rsidRDefault="002E7A58" w:rsidP="002E7A58">
      <w:pPr>
        <w:tabs>
          <w:tab w:val="left" w:pos="426"/>
        </w:tabs>
        <w:contextualSpacing/>
        <w:jc w:val="both"/>
        <w:rPr>
          <w:rFonts w:ascii="Arial" w:eastAsia="Calibri" w:hAnsi="Arial" w:cs="Arial"/>
          <w:b/>
          <w:bCs/>
          <w:sz w:val="22"/>
          <w:lang w:val="es-ES_tradnl"/>
        </w:rPr>
      </w:pPr>
      <w:r w:rsidRPr="00F636DF">
        <w:rPr>
          <w:rFonts w:ascii="Arial" w:eastAsia="Calibri" w:hAnsi="Arial" w:cs="Arial"/>
          <w:b/>
          <w:bCs/>
          <w:sz w:val="22"/>
          <w:lang w:val="es-ES_tradnl"/>
        </w:rPr>
        <w:t>LEY DE GARANTÍAS ELECTORALES</w:t>
      </w:r>
      <w:r w:rsidRPr="00F636DF">
        <w:rPr>
          <w:rFonts w:ascii="Arial" w:eastAsia="Calibri" w:hAnsi="Arial" w:cs="Arial"/>
          <w:b/>
          <w:sz w:val="22"/>
          <w:lang w:val="es-ES_tradnl"/>
        </w:rPr>
        <w:t xml:space="preserve"> –</w:t>
      </w:r>
      <w:r w:rsidRPr="00F636DF">
        <w:rPr>
          <w:rFonts w:ascii="Arial" w:eastAsia="Calibri" w:hAnsi="Arial" w:cs="Arial"/>
          <w:b/>
          <w:bCs/>
          <w:sz w:val="22"/>
          <w:lang w:val="es-ES_tradnl"/>
        </w:rPr>
        <w:t xml:space="preserve"> Restricciones </w:t>
      </w:r>
    </w:p>
    <w:p w14:paraId="5E144E84" w14:textId="77777777" w:rsidR="002E7A58" w:rsidRPr="00F636DF" w:rsidRDefault="002E7A58" w:rsidP="002E7A58">
      <w:pPr>
        <w:tabs>
          <w:tab w:val="left" w:pos="426"/>
        </w:tabs>
        <w:contextualSpacing/>
        <w:jc w:val="both"/>
        <w:rPr>
          <w:rFonts w:ascii="Arial" w:eastAsia="Calibri" w:hAnsi="Arial" w:cs="Arial"/>
          <w:b/>
          <w:bCs/>
          <w:sz w:val="21"/>
          <w:szCs w:val="21"/>
          <w:lang w:val="es-ES_tradnl"/>
        </w:rPr>
      </w:pPr>
    </w:p>
    <w:p w14:paraId="4C14F445" w14:textId="77777777" w:rsidR="002E7A58" w:rsidRPr="00F636DF" w:rsidRDefault="002E7A58" w:rsidP="002E7A58">
      <w:pPr>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 xml:space="preserve">[…] la Ley 996 de 2005 establece dos (2) tipos de restricciones en materia de contratación, las cuales coinciden parcialmente. </w:t>
      </w:r>
      <w:r w:rsidRPr="00F636DF">
        <w:rPr>
          <w:rFonts w:ascii="Arial" w:eastAsia="Arial" w:hAnsi="Arial" w:cs="Arial"/>
          <w:i/>
          <w:iCs/>
          <w:sz w:val="21"/>
          <w:szCs w:val="21"/>
          <w:lang w:val="es-ES" w:eastAsia="es-ES" w:bidi="es-ES"/>
        </w:rPr>
        <w:t>En primer lugar</w:t>
      </w:r>
      <w:r w:rsidRPr="00F636DF">
        <w:rPr>
          <w:rFonts w:ascii="Arial" w:eastAsia="Arial" w:hAnsi="Arial" w:cs="Arial"/>
          <w:sz w:val="21"/>
          <w:szCs w:val="21"/>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F636DF">
        <w:rPr>
          <w:rFonts w:ascii="Arial" w:eastAsia="Arial" w:hAnsi="Arial" w:cs="Arial"/>
          <w:i/>
          <w:iCs/>
          <w:sz w:val="21"/>
          <w:szCs w:val="21"/>
          <w:lang w:val="es-ES" w:eastAsia="es-ES" w:bidi="es-ES"/>
        </w:rPr>
        <w:t>En segundo lugar</w:t>
      </w:r>
      <w:r w:rsidRPr="00F636DF">
        <w:rPr>
          <w:rFonts w:ascii="Arial" w:eastAsia="Arial" w:hAnsi="Arial" w:cs="Arial"/>
          <w:sz w:val="21"/>
          <w:szCs w:val="21"/>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AEBDE7F" w14:textId="77777777" w:rsidR="002E7A58" w:rsidRPr="00F636DF" w:rsidRDefault="002E7A58" w:rsidP="002E7A58">
      <w:pPr>
        <w:contextualSpacing/>
        <w:jc w:val="both"/>
        <w:rPr>
          <w:rFonts w:ascii="Arial" w:eastAsia="Arial" w:hAnsi="Arial" w:cs="Arial"/>
          <w:sz w:val="21"/>
          <w:szCs w:val="21"/>
          <w:lang w:val="es-ES" w:eastAsia="es-ES" w:bidi="es-ES"/>
        </w:rPr>
      </w:pPr>
    </w:p>
    <w:p w14:paraId="25C38967" w14:textId="77777777" w:rsidR="002E7A58" w:rsidRPr="00F636DF" w:rsidRDefault="002E7A58" w:rsidP="002E7A58">
      <w:pPr>
        <w:tabs>
          <w:tab w:val="left" w:pos="426"/>
        </w:tabs>
        <w:contextualSpacing/>
        <w:jc w:val="both"/>
        <w:rPr>
          <w:rFonts w:ascii="Arial" w:eastAsia="Calibri" w:hAnsi="Arial" w:cs="Arial"/>
          <w:b/>
          <w:bCs/>
          <w:sz w:val="22"/>
          <w:lang w:val="es-ES_tradnl"/>
        </w:rPr>
      </w:pPr>
      <w:bookmarkStart w:id="3" w:name="_Hlk77165666"/>
      <w:bookmarkStart w:id="4" w:name="_Hlk97039670"/>
      <w:r w:rsidRPr="00F636DF">
        <w:rPr>
          <w:rFonts w:ascii="Arial" w:eastAsia="Calibri" w:hAnsi="Arial" w:cs="Arial"/>
          <w:b/>
          <w:bCs/>
          <w:sz w:val="22"/>
          <w:lang w:val="es-ES_tradnl"/>
        </w:rPr>
        <w:t>LEY DE GARANTÍAS ELECTORALES</w:t>
      </w:r>
      <w:r w:rsidRPr="00F636DF">
        <w:rPr>
          <w:rFonts w:ascii="Arial" w:eastAsia="Calibri" w:hAnsi="Arial" w:cs="Arial"/>
          <w:b/>
          <w:sz w:val="22"/>
          <w:lang w:val="es-ES_tradnl"/>
        </w:rPr>
        <w:t xml:space="preserve"> –</w:t>
      </w:r>
      <w:r w:rsidRPr="00F636DF">
        <w:rPr>
          <w:rFonts w:ascii="Arial" w:eastAsia="Calibri" w:hAnsi="Arial" w:cs="Arial"/>
          <w:b/>
          <w:bCs/>
          <w:sz w:val="22"/>
          <w:lang w:val="es-ES_tradnl"/>
        </w:rPr>
        <w:t xml:space="preserve"> P</w:t>
      </w:r>
      <w:proofErr w:type="spellStart"/>
      <w:r w:rsidRPr="00F636DF">
        <w:rPr>
          <w:rFonts w:ascii="Arial" w:hAnsi="Arial" w:cs="Arial"/>
          <w:b/>
          <w:sz w:val="22"/>
          <w:lang w:val="es-ES" w:eastAsia="es-CO"/>
        </w:rPr>
        <w:t>rohibición</w:t>
      </w:r>
      <w:bookmarkEnd w:id="3"/>
      <w:proofErr w:type="spellEnd"/>
      <w:r w:rsidRPr="00F636DF">
        <w:rPr>
          <w:rFonts w:ascii="Arial" w:hAnsi="Arial" w:cs="Arial"/>
          <w:b/>
          <w:sz w:val="22"/>
          <w:lang w:val="es-ES" w:eastAsia="es-CO"/>
        </w:rPr>
        <w:t xml:space="preserve"> – Contratación directa – Alcance </w:t>
      </w:r>
    </w:p>
    <w:bookmarkEnd w:id="4"/>
    <w:p w14:paraId="597AF109" w14:textId="77777777" w:rsidR="002E7A58" w:rsidRPr="00F636DF" w:rsidRDefault="002E7A58" w:rsidP="002E7A58">
      <w:pPr>
        <w:tabs>
          <w:tab w:val="left" w:pos="426"/>
        </w:tabs>
        <w:contextualSpacing/>
        <w:jc w:val="both"/>
        <w:rPr>
          <w:rFonts w:ascii="Arial" w:eastAsia="Calibri" w:hAnsi="Arial" w:cs="Arial"/>
          <w:noProof/>
          <w:sz w:val="21"/>
          <w:szCs w:val="21"/>
          <w:lang w:val="es-ES_tradnl"/>
        </w:rPr>
      </w:pPr>
    </w:p>
    <w:p w14:paraId="5C7DBE16" w14:textId="77777777" w:rsidR="002E7A58" w:rsidRPr="00F636DF" w:rsidRDefault="002E7A58" w:rsidP="002E7A58">
      <w:pPr>
        <w:tabs>
          <w:tab w:val="left" w:pos="426"/>
        </w:tabs>
        <w:contextualSpacing/>
        <w:jc w:val="both"/>
        <w:rPr>
          <w:rFonts w:ascii="Arial" w:hAnsi="Arial" w:cs="Arial"/>
          <w:sz w:val="21"/>
          <w:szCs w:val="21"/>
          <w:lang w:eastAsia="x-none"/>
        </w:rPr>
      </w:pPr>
      <w:r w:rsidRPr="00F636DF">
        <w:rPr>
          <w:rFonts w:ascii="Arial" w:eastAsia="Calibri" w:hAnsi="Arial" w:cs="Arial"/>
          <w:noProof/>
          <w:sz w:val="21"/>
          <w:szCs w:val="21"/>
          <w:lang w:val="es-ES_tradnl"/>
        </w:rPr>
        <w:t xml:space="preserve">[…] </w:t>
      </w:r>
      <w:r w:rsidRPr="00F636DF">
        <w:rPr>
          <w:rFonts w:ascii="Arial" w:hAnsi="Arial" w:cs="Arial"/>
          <w:sz w:val="21"/>
          <w:szCs w:val="21"/>
          <w:lang w:eastAsia="x-none"/>
        </w:rPr>
        <w:t xml:space="preserve">la prohibición del artículo 33 de la Ley de Garantías Electorales se refiere a </w:t>
      </w:r>
      <w:r w:rsidRPr="00F636DF">
        <w:rPr>
          <w:rFonts w:ascii="Arial" w:hAnsi="Arial" w:cs="Arial"/>
          <w:sz w:val="21"/>
          <w:szCs w:val="21"/>
        </w:rPr>
        <w:t>«</w:t>
      </w:r>
      <w:r w:rsidRPr="00F636DF">
        <w:rPr>
          <w:rFonts w:ascii="Arial" w:hAnsi="Arial" w:cs="Arial"/>
          <w:sz w:val="21"/>
          <w:szCs w:val="21"/>
          <w:lang w:eastAsia="x-none"/>
        </w:rPr>
        <w:t>cualquier sistema que no implique convocatoria pública y posibilidad de pluralidad de oferentes</w:t>
      </w:r>
      <w:r w:rsidRPr="00F636DF">
        <w:rPr>
          <w:rFonts w:ascii="Arial" w:hAnsi="Arial" w:cs="Arial"/>
          <w:sz w:val="21"/>
          <w:szCs w:val="21"/>
        </w:rPr>
        <w:t>»</w:t>
      </w:r>
      <w:r w:rsidRPr="00F636DF">
        <w:rPr>
          <w:rFonts w:ascii="Arial" w:hAnsi="Arial" w:cs="Arial"/>
          <w:sz w:val="21"/>
          <w:szCs w:val="21"/>
          <w:lang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w:t>
      </w:r>
    </w:p>
    <w:p w14:paraId="5EF22755" w14:textId="77777777" w:rsidR="002E7A58" w:rsidRPr="00F636DF" w:rsidRDefault="002E7A58" w:rsidP="002E7A58">
      <w:pPr>
        <w:tabs>
          <w:tab w:val="left" w:pos="426"/>
        </w:tabs>
        <w:contextualSpacing/>
        <w:jc w:val="both"/>
        <w:rPr>
          <w:rFonts w:ascii="Arial" w:eastAsia="Calibri" w:hAnsi="Arial" w:cs="Arial"/>
          <w:noProof/>
          <w:sz w:val="21"/>
          <w:szCs w:val="21"/>
          <w:lang w:val="es-ES_tradnl"/>
        </w:rPr>
      </w:pPr>
    </w:p>
    <w:p w14:paraId="0ADBE3D0" w14:textId="77777777" w:rsidR="002E7A58" w:rsidRDefault="002E7A58" w:rsidP="002E7A58">
      <w:pPr>
        <w:contextualSpacing/>
        <w:jc w:val="both"/>
        <w:rPr>
          <w:rFonts w:ascii="Arial" w:hAnsi="Arial" w:cs="Arial"/>
          <w:bCs/>
          <w:sz w:val="21"/>
          <w:szCs w:val="21"/>
          <w:lang w:eastAsia="x-none"/>
        </w:rPr>
      </w:pPr>
      <w:r w:rsidRPr="00F636DF">
        <w:rPr>
          <w:rFonts w:ascii="Arial" w:hAnsi="Arial" w:cs="Arial"/>
          <w:bCs/>
          <w:sz w:val="21"/>
          <w:szCs w:val="21"/>
          <w:lang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30BF66AC" w14:textId="77777777" w:rsidR="002E7A58" w:rsidRPr="00F636DF" w:rsidRDefault="002E7A58" w:rsidP="002E7A58">
      <w:pPr>
        <w:contextualSpacing/>
        <w:jc w:val="both"/>
        <w:rPr>
          <w:rFonts w:ascii="Arial" w:hAnsi="Arial" w:cs="Arial"/>
          <w:bCs/>
          <w:sz w:val="21"/>
          <w:szCs w:val="21"/>
          <w:lang w:eastAsia="x-none"/>
        </w:rPr>
      </w:pPr>
      <w:r w:rsidRPr="00F636DF">
        <w:rPr>
          <w:rFonts w:ascii="Arial" w:hAnsi="Arial" w:cs="Arial"/>
          <w:sz w:val="21"/>
          <w:szCs w:val="21"/>
          <w:vertAlign w:val="superscript"/>
          <w:lang w:eastAsia="x-none"/>
        </w:rPr>
        <w:t xml:space="preserve"> </w:t>
      </w:r>
    </w:p>
    <w:p w14:paraId="39D2B298" w14:textId="77777777" w:rsidR="002E7A58" w:rsidRPr="00926285" w:rsidRDefault="002E7A58" w:rsidP="002E7A58">
      <w:pPr>
        <w:tabs>
          <w:tab w:val="left" w:pos="426"/>
        </w:tabs>
        <w:contextualSpacing/>
        <w:jc w:val="both"/>
        <w:rPr>
          <w:rFonts w:ascii="Arial" w:eastAsia="Calibri" w:hAnsi="Arial" w:cs="Arial"/>
          <w:b/>
          <w:bCs/>
          <w:sz w:val="22"/>
          <w:lang w:val="es-ES_tradnl"/>
        </w:rPr>
      </w:pPr>
      <w:r w:rsidRPr="00926285">
        <w:rPr>
          <w:rFonts w:ascii="Arial" w:eastAsia="Calibri" w:hAnsi="Arial" w:cs="Arial"/>
          <w:b/>
          <w:bCs/>
          <w:sz w:val="22"/>
          <w:lang w:val="es-ES_tradnl"/>
        </w:rPr>
        <w:lastRenderedPageBreak/>
        <w:t>LEY DE GARANTÍAS ELECTORALES</w:t>
      </w:r>
      <w:r w:rsidRPr="00926285">
        <w:rPr>
          <w:rFonts w:ascii="Arial" w:eastAsia="Calibri" w:hAnsi="Arial" w:cs="Arial"/>
          <w:b/>
          <w:sz w:val="22"/>
          <w:lang w:val="es-ES_tradnl"/>
        </w:rPr>
        <w:t xml:space="preserve"> –</w:t>
      </w:r>
      <w:r w:rsidRPr="00926285">
        <w:rPr>
          <w:rFonts w:ascii="Arial" w:eastAsia="Calibri" w:hAnsi="Arial" w:cs="Arial"/>
          <w:b/>
          <w:bCs/>
          <w:sz w:val="22"/>
          <w:lang w:val="es-ES_tradnl"/>
        </w:rPr>
        <w:t xml:space="preserve"> P</w:t>
      </w:r>
      <w:proofErr w:type="spellStart"/>
      <w:r w:rsidRPr="00926285">
        <w:rPr>
          <w:rFonts w:ascii="Arial" w:hAnsi="Arial" w:cs="Arial"/>
          <w:b/>
          <w:sz w:val="22"/>
          <w:lang w:val="es-ES" w:eastAsia="es-CO"/>
        </w:rPr>
        <w:t>rohibición</w:t>
      </w:r>
      <w:proofErr w:type="spellEnd"/>
      <w:r w:rsidRPr="00926285">
        <w:rPr>
          <w:rFonts w:ascii="Arial" w:hAnsi="Arial" w:cs="Arial"/>
          <w:b/>
          <w:sz w:val="22"/>
          <w:lang w:val="es-ES" w:eastAsia="es-CO"/>
        </w:rPr>
        <w:t xml:space="preserve"> – Contratación directa – Excepciones</w:t>
      </w:r>
    </w:p>
    <w:p w14:paraId="631A5073" w14:textId="77777777" w:rsidR="002E7A58" w:rsidRPr="00F636DF" w:rsidRDefault="002E7A58" w:rsidP="002E7A58">
      <w:pPr>
        <w:contextualSpacing/>
        <w:jc w:val="both"/>
        <w:rPr>
          <w:rFonts w:ascii="Arial" w:eastAsia="Calibri" w:hAnsi="Arial" w:cs="Arial"/>
          <w:noProof/>
          <w:sz w:val="21"/>
          <w:szCs w:val="21"/>
          <w:lang w:val="es-ES_tradnl"/>
        </w:rPr>
      </w:pPr>
    </w:p>
    <w:p w14:paraId="038D46D0" w14:textId="77777777" w:rsidR="002E7A58" w:rsidRPr="00F636DF" w:rsidRDefault="002E7A58" w:rsidP="002E7A58">
      <w:pPr>
        <w:contextualSpacing/>
        <w:jc w:val="both"/>
        <w:rPr>
          <w:rFonts w:ascii="Arial" w:hAnsi="Arial" w:cs="Arial"/>
          <w:bCs/>
          <w:sz w:val="21"/>
          <w:szCs w:val="21"/>
          <w:lang w:eastAsia="es-CO"/>
        </w:rPr>
      </w:pPr>
      <w:r w:rsidRPr="00F636DF">
        <w:rPr>
          <w:rFonts w:ascii="Arial" w:eastAsia="Calibri" w:hAnsi="Arial" w:cs="Arial"/>
          <w:noProof/>
          <w:sz w:val="21"/>
          <w:szCs w:val="21"/>
          <w:lang w:val="es-ES_tradnl"/>
        </w:rPr>
        <w:t xml:space="preserve">[…] </w:t>
      </w:r>
      <w:r w:rsidRPr="00F636DF">
        <w:rPr>
          <w:rFonts w:ascii="Arial" w:hAnsi="Arial" w:cs="Arial"/>
          <w:bCs/>
          <w:sz w:val="21"/>
          <w:szCs w:val="21"/>
          <w:lang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F636DF">
        <w:rPr>
          <w:rFonts w:ascii="Arial" w:hAnsi="Arial" w:cs="Arial"/>
          <w:bCs/>
          <w:sz w:val="21"/>
          <w:szCs w:val="21"/>
          <w:lang w:eastAsia="x-none"/>
        </w:rPr>
        <w:t>ii</w:t>
      </w:r>
      <w:proofErr w:type="spellEnd"/>
      <w:r w:rsidRPr="00F636DF">
        <w:rPr>
          <w:rFonts w:ascii="Arial" w:hAnsi="Arial" w:cs="Arial"/>
          <w:bCs/>
          <w:sz w:val="21"/>
          <w:szCs w:val="21"/>
          <w:lang w:eastAsia="x-none"/>
        </w:rPr>
        <w:t xml:space="preserve">) los contratos de crédito público; </w:t>
      </w:r>
      <w:proofErr w:type="spellStart"/>
      <w:r w:rsidRPr="00F636DF">
        <w:rPr>
          <w:rFonts w:ascii="Arial" w:hAnsi="Arial" w:cs="Arial"/>
          <w:bCs/>
          <w:sz w:val="21"/>
          <w:szCs w:val="21"/>
          <w:lang w:eastAsia="x-none"/>
        </w:rPr>
        <w:t>iii</w:t>
      </w:r>
      <w:proofErr w:type="spellEnd"/>
      <w:r w:rsidRPr="00F636DF">
        <w:rPr>
          <w:rFonts w:ascii="Arial" w:hAnsi="Arial" w:cs="Arial"/>
          <w:bCs/>
          <w:sz w:val="21"/>
          <w:szCs w:val="21"/>
          <w:lang w:eastAsia="x-none"/>
        </w:rPr>
        <w:t xml:space="preserve">) los requeridos para cubrir las emergencias educativas, sanitarias y desastres; </w:t>
      </w:r>
      <w:proofErr w:type="spellStart"/>
      <w:r w:rsidRPr="00F636DF">
        <w:rPr>
          <w:rFonts w:ascii="Arial" w:hAnsi="Arial" w:cs="Arial"/>
          <w:bCs/>
          <w:sz w:val="21"/>
          <w:szCs w:val="21"/>
          <w:lang w:eastAsia="x-none"/>
        </w:rPr>
        <w:t>iv</w:t>
      </w:r>
      <w:proofErr w:type="spellEnd"/>
      <w:r w:rsidRPr="00F636DF">
        <w:rPr>
          <w:rFonts w:ascii="Arial" w:hAnsi="Arial" w:cs="Arial"/>
          <w:bCs/>
          <w:sz w:val="21"/>
          <w:szCs w:val="21"/>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F636DF">
        <w:rPr>
          <w:rFonts w:ascii="Arial" w:hAnsi="Arial" w:cs="Arial"/>
          <w:bCs/>
          <w:sz w:val="21"/>
          <w:szCs w:val="21"/>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DE256C7" w14:textId="77777777" w:rsidR="002E7A58" w:rsidRPr="00F636DF" w:rsidRDefault="002E7A58" w:rsidP="002E7A58">
      <w:pPr>
        <w:tabs>
          <w:tab w:val="left" w:pos="426"/>
        </w:tabs>
        <w:contextualSpacing/>
        <w:jc w:val="both"/>
        <w:rPr>
          <w:rFonts w:ascii="Arial" w:hAnsi="Arial" w:cs="Arial"/>
          <w:b/>
          <w:bCs/>
          <w:sz w:val="21"/>
          <w:szCs w:val="21"/>
          <w:lang w:eastAsia="es-CO"/>
        </w:rPr>
      </w:pPr>
    </w:p>
    <w:p w14:paraId="4F27F97E" w14:textId="77777777" w:rsidR="002E7A58" w:rsidRPr="00926285" w:rsidRDefault="002E7A58" w:rsidP="002E7A58">
      <w:pPr>
        <w:contextualSpacing/>
        <w:jc w:val="both"/>
        <w:rPr>
          <w:rFonts w:ascii="Arial" w:hAnsi="Arial" w:cs="Arial"/>
          <w:b/>
          <w:sz w:val="22"/>
          <w:lang w:val="es-ES" w:eastAsia="es-CO"/>
        </w:rPr>
      </w:pPr>
      <w:r w:rsidRPr="00926285">
        <w:rPr>
          <w:rFonts w:ascii="Arial" w:hAnsi="Arial" w:cs="Arial"/>
          <w:b/>
          <w:bCs/>
          <w:sz w:val="22"/>
          <w:lang w:eastAsia="es-CO"/>
        </w:rPr>
        <w:t xml:space="preserve">LEY DE GARANTÍAS ELECTORALES </w:t>
      </w:r>
      <w:bookmarkStart w:id="5" w:name="_Hlk77166669"/>
      <w:r w:rsidRPr="00926285">
        <w:rPr>
          <w:rFonts w:ascii="Arial" w:hAnsi="Arial" w:cs="Arial"/>
          <w:b/>
          <w:bCs/>
          <w:sz w:val="22"/>
          <w:lang w:eastAsia="es-CO"/>
        </w:rPr>
        <w:t>‒</w:t>
      </w:r>
      <w:bookmarkEnd w:id="5"/>
      <w:r w:rsidRPr="00926285">
        <w:rPr>
          <w:rFonts w:ascii="Arial" w:hAnsi="Arial" w:cs="Arial"/>
          <w:b/>
          <w:bCs/>
          <w:sz w:val="22"/>
          <w:lang w:eastAsia="es-CO"/>
        </w:rPr>
        <w:t xml:space="preserve"> </w:t>
      </w:r>
      <w:r w:rsidRPr="00926285">
        <w:rPr>
          <w:rFonts w:ascii="Arial" w:hAnsi="Arial" w:cs="Arial"/>
          <w:b/>
          <w:sz w:val="22"/>
          <w:lang w:val="es-ES" w:eastAsia="es-CO"/>
        </w:rPr>
        <w:t xml:space="preserve">Prohibición del artículo 33 </w:t>
      </w:r>
      <w:r w:rsidRPr="00926285">
        <w:rPr>
          <w:rFonts w:ascii="Arial" w:hAnsi="Arial" w:cs="Arial"/>
          <w:b/>
          <w:bCs/>
          <w:sz w:val="22"/>
          <w:lang w:eastAsia="es-CO"/>
        </w:rPr>
        <w:t>‒ Destinatarios</w:t>
      </w:r>
    </w:p>
    <w:p w14:paraId="4B9B3183" w14:textId="77777777" w:rsidR="002E7A58" w:rsidRPr="00F636DF" w:rsidRDefault="002E7A58" w:rsidP="002E7A58">
      <w:pPr>
        <w:tabs>
          <w:tab w:val="left" w:pos="426"/>
        </w:tabs>
        <w:contextualSpacing/>
        <w:jc w:val="both"/>
        <w:rPr>
          <w:rFonts w:ascii="Arial" w:eastAsia="Calibri" w:hAnsi="Arial" w:cs="Arial"/>
          <w:noProof/>
          <w:sz w:val="21"/>
          <w:szCs w:val="21"/>
          <w:lang w:val="es-ES"/>
        </w:rPr>
      </w:pPr>
    </w:p>
    <w:p w14:paraId="1BC74728" w14:textId="77777777" w:rsidR="002E7A58" w:rsidRPr="00F636DF" w:rsidRDefault="002E7A58" w:rsidP="002E7A58">
      <w:pPr>
        <w:tabs>
          <w:tab w:val="left" w:pos="426"/>
        </w:tabs>
        <w:contextualSpacing/>
        <w:jc w:val="both"/>
        <w:rPr>
          <w:rFonts w:ascii="Arial" w:hAnsi="Arial" w:cs="Arial"/>
          <w:bCs/>
          <w:sz w:val="21"/>
          <w:szCs w:val="21"/>
          <w:lang w:eastAsia="x-none"/>
        </w:rPr>
      </w:pPr>
      <w:r w:rsidRPr="00F636DF">
        <w:rPr>
          <w:rFonts w:ascii="Arial" w:hAnsi="Arial" w:cs="Arial"/>
          <w:bCs/>
          <w:sz w:val="21"/>
          <w:szCs w:val="21"/>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F636DF">
        <w:rPr>
          <w:rFonts w:ascii="Arial" w:eastAsia="Calibri" w:hAnsi="Arial" w:cs="Arial"/>
          <w:sz w:val="21"/>
          <w:szCs w:val="21"/>
        </w:rPr>
        <w:t xml:space="preserve"> </w:t>
      </w:r>
      <w:r w:rsidRPr="00F636DF">
        <w:rPr>
          <w:rFonts w:ascii="Arial" w:hAnsi="Arial" w:cs="Arial"/>
          <w:bCs/>
          <w:sz w:val="21"/>
          <w:szCs w:val="21"/>
          <w:lang w:eastAsia="x-none"/>
        </w:rPr>
        <w:t>En efecto, como ha sostenido el Consejo de Estado, el vocablo «todos» utilizado por el legislador comprende</w:t>
      </w:r>
      <w:r w:rsidRPr="00F636DF">
        <w:rPr>
          <w:rFonts w:ascii="Arial" w:eastAsia="Calibri" w:hAnsi="Arial" w:cs="Arial"/>
          <w:sz w:val="21"/>
          <w:szCs w:val="21"/>
        </w:rPr>
        <w:t xml:space="preserve"> </w:t>
      </w:r>
      <w:r w:rsidRPr="00F636DF">
        <w:rPr>
          <w:rFonts w:ascii="Arial" w:hAnsi="Arial" w:cs="Arial"/>
          <w:bCs/>
          <w:sz w:val="21"/>
          <w:szCs w:val="21"/>
          <w:lang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70197D5" w14:textId="77777777" w:rsidR="002E7A58" w:rsidRPr="00F636DF" w:rsidRDefault="002E7A58" w:rsidP="002E7A58">
      <w:pPr>
        <w:tabs>
          <w:tab w:val="left" w:pos="426"/>
        </w:tabs>
        <w:contextualSpacing/>
        <w:jc w:val="both"/>
        <w:rPr>
          <w:rFonts w:ascii="Arial" w:hAnsi="Arial" w:cs="Arial"/>
          <w:bCs/>
          <w:sz w:val="21"/>
          <w:szCs w:val="21"/>
          <w:lang w:eastAsia="x-none"/>
        </w:rPr>
      </w:pPr>
    </w:p>
    <w:p w14:paraId="232A991A" w14:textId="77777777" w:rsidR="002E7A58" w:rsidRPr="00926285" w:rsidRDefault="002E7A58" w:rsidP="002E7A58">
      <w:pPr>
        <w:tabs>
          <w:tab w:val="left" w:pos="426"/>
        </w:tabs>
        <w:contextualSpacing/>
        <w:jc w:val="both"/>
        <w:rPr>
          <w:rFonts w:ascii="Arial" w:eastAsia="Calibri" w:hAnsi="Arial" w:cs="Arial"/>
          <w:b/>
          <w:bCs/>
          <w:noProof/>
          <w:sz w:val="22"/>
        </w:rPr>
      </w:pPr>
      <w:r w:rsidRPr="00926285">
        <w:rPr>
          <w:rFonts w:ascii="Arial" w:eastAsia="Calibri" w:hAnsi="Arial" w:cs="Arial"/>
          <w:b/>
          <w:bCs/>
          <w:noProof/>
          <w:sz w:val="22"/>
        </w:rPr>
        <w:t>LEY DE GARANTÍAS ELECTORALES ‒ Prohibición por elección de cargos populares – Convenios y contratos interadministrativos – Alcance</w:t>
      </w:r>
    </w:p>
    <w:p w14:paraId="3440424D" w14:textId="77777777" w:rsidR="002E7A58" w:rsidRPr="00F636DF" w:rsidRDefault="002E7A58" w:rsidP="002E7A58">
      <w:pPr>
        <w:tabs>
          <w:tab w:val="left" w:pos="426"/>
        </w:tabs>
        <w:contextualSpacing/>
        <w:jc w:val="both"/>
        <w:rPr>
          <w:rFonts w:ascii="Arial" w:eastAsia="Calibri" w:hAnsi="Arial" w:cs="Arial"/>
          <w:bCs/>
          <w:sz w:val="21"/>
          <w:szCs w:val="21"/>
        </w:rPr>
      </w:pPr>
    </w:p>
    <w:p w14:paraId="203C653B" w14:textId="77777777" w:rsidR="002E7A58" w:rsidRPr="00F636DF" w:rsidRDefault="002E7A58" w:rsidP="002E7A58">
      <w:pPr>
        <w:tabs>
          <w:tab w:val="left" w:pos="426"/>
        </w:tabs>
        <w:contextualSpacing/>
        <w:jc w:val="both"/>
        <w:rPr>
          <w:rFonts w:ascii="Arial" w:hAnsi="Arial" w:cs="Arial"/>
          <w:bCs/>
          <w:sz w:val="21"/>
          <w:szCs w:val="21"/>
          <w:lang w:eastAsia="x-none"/>
        </w:rPr>
      </w:pPr>
      <w:r w:rsidRPr="00F636DF">
        <w:rPr>
          <w:rFonts w:ascii="Arial" w:eastAsia="Calibri" w:hAnsi="Arial" w:cs="Arial"/>
          <w:bCs/>
          <w:sz w:val="21"/>
          <w:szCs w:val="21"/>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F636DF">
        <w:rPr>
          <w:rFonts w:ascii="Arial" w:hAnsi="Arial" w:cs="Arial"/>
          <w:bCs/>
          <w:iCs/>
          <w:sz w:val="21"/>
          <w:szCs w:val="21"/>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4804596E" w14:textId="77777777" w:rsidR="002E7A58" w:rsidRPr="00F636DF" w:rsidRDefault="002E7A58" w:rsidP="002E7A58">
      <w:pPr>
        <w:tabs>
          <w:tab w:val="left" w:pos="426"/>
        </w:tabs>
        <w:contextualSpacing/>
        <w:jc w:val="both"/>
        <w:rPr>
          <w:rFonts w:ascii="Arial" w:eastAsia="Calibri" w:hAnsi="Arial" w:cs="Arial"/>
          <w:noProof/>
          <w:sz w:val="21"/>
          <w:szCs w:val="21"/>
        </w:rPr>
      </w:pPr>
    </w:p>
    <w:p w14:paraId="69E7B85C" w14:textId="77777777" w:rsidR="002E7A58" w:rsidRPr="00926285" w:rsidRDefault="002E7A58" w:rsidP="002E7A58">
      <w:pPr>
        <w:tabs>
          <w:tab w:val="left" w:pos="426"/>
        </w:tabs>
        <w:contextualSpacing/>
        <w:jc w:val="both"/>
        <w:rPr>
          <w:rFonts w:ascii="Arial" w:eastAsia="Calibri" w:hAnsi="Arial" w:cs="Arial"/>
          <w:b/>
          <w:bCs/>
          <w:noProof/>
          <w:sz w:val="22"/>
        </w:rPr>
      </w:pPr>
      <w:r w:rsidRPr="00926285">
        <w:rPr>
          <w:rFonts w:ascii="Arial" w:eastAsia="Calibri" w:hAnsi="Arial" w:cs="Arial"/>
          <w:b/>
          <w:bCs/>
          <w:noProof/>
          <w:sz w:val="22"/>
        </w:rPr>
        <w:t>LEY DE GARANTÍAS ELECTORALES ‒ Prohibición por elección de cargos populares – Convenios y contratos interadministrativos – Definición – Criterio orgánico</w:t>
      </w:r>
    </w:p>
    <w:p w14:paraId="799894BC" w14:textId="77777777" w:rsidR="002E7A58" w:rsidRDefault="002E7A58" w:rsidP="002E7A58">
      <w:pPr>
        <w:widowControl w:val="0"/>
        <w:autoSpaceDE w:val="0"/>
        <w:autoSpaceDN w:val="0"/>
        <w:contextualSpacing/>
        <w:jc w:val="both"/>
        <w:rPr>
          <w:rFonts w:ascii="Arial" w:eastAsia="Calibri" w:hAnsi="Arial" w:cs="Arial"/>
          <w:noProof/>
          <w:sz w:val="21"/>
          <w:szCs w:val="21"/>
        </w:rPr>
      </w:pPr>
    </w:p>
    <w:p w14:paraId="6D8EDF0A" w14:textId="77777777" w:rsidR="002E7A58" w:rsidRPr="00F636DF" w:rsidRDefault="002E7A58" w:rsidP="002E7A58">
      <w:pPr>
        <w:widowControl w:val="0"/>
        <w:autoSpaceDE w:val="0"/>
        <w:autoSpaceDN w:val="0"/>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F636DF">
        <w:rPr>
          <w:rFonts w:ascii="Arial" w:eastAsia="Arial" w:hAnsi="Arial" w:cs="Arial"/>
          <w:spacing w:val="-6"/>
          <w:sz w:val="21"/>
          <w:szCs w:val="21"/>
          <w:lang w:val="es-ES" w:eastAsia="es-ES" w:bidi="es-ES"/>
        </w:rPr>
        <w:t xml:space="preserve"> </w:t>
      </w:r>
      <w:r w:rsidRPr="00F636DF">
        <w:rPr>
          <w:rFonts w:ascii="Arial" w:eastAsia="Arial" w:hAnsi="Arial" w:cs="Arial"/>
          <w:sz w:val="21"/>
          <w:szCs w:val="21"/>
          <w:lang w:val="es-ES" w:eastAsia="es-ES" w:bidi="es-ES"/>
        </w:rPr>
        <w:t>estatales.</w:t>
      </w:r>
    </w:p>
    <w:p w14:paraId="1D0F6E75" w14:textId="77777777" w:rsidR="002E7A58" w:rsidRPr="00F636DF" w:rsidRDefault="002E7A58" w:rsidP="002E7A58">
      <w:pPr>
        <w:tabs>
          <w:tab w:val="left" w:pos="426"/>
        </w:tabs>
        <w:contextualSpacing/>
        <w:jc w:val="both"/>
        <w:rPr>
          <w:rFonts w:ascii="Arial" w:eastAsia="Calibri" w:hAnsi="Arial" w:cs="Arial"/>
          <w:noProof/>
          <w:sz w:val="21"/>
          <w:szCs w:val="21"/>
        </w:rPr>
      </w:pPr>
    </w:p>
    <w:p w14:paraId="740D40AA" w14:textId="77777777" w:rsidR="002E7A58" w:rsidRPr="00926285" w:rsidRDefault="002E7A58" w:rsidP="002E7A58">
      <w:pPr>
        <w:contextualSpacing/>
        <w:jc w:val="both"/>
        <w:rPr>
          <w:rFonts w:ascii="Arial" w:hAnsi="Arial" w:cs="Arial"/>
          <w:b/>
          <w:sz w:val="22"/>
        </w:rPr>
      </w:pPr>
      <w:r w:rsidRPr="00926285">
        <w:rPr>
          <w:rFonts w:ascii="Arial" w:eastAsia="Calibri" w:hAnsi="Arial" w:cs="Arial"/>
          <w:b/>
          <w:sz w:val="22"/>
        </w:rPr>
        <w:t xml:space="preserve">CONTRATOS Y </w:t>
      </w:r>
      <w:r w:rsidRPr="00926285">
        <w:rPr>
          <w:rFonts w:ascii="Arial" w:hAnsi="Arial" w:cs="Arial"/>
          <w:b/>
          <w:sz w:val="22"/>
        </w:rPr>
        <w:t>CONVENIOS INTERADMINISTRATIVOS – Modalidad de selección</w:t>
      </w:r>
    </w:p>
    <w:p w14:paraId="3B76A282" w14:textId="77777777" w:rsidR="002E7A58" w:rsidRPr="00F636DF" w:rsidRDefault="002E7A58" w:rsidP="002E7A58">
      <w:pPr>
        <w:contextualSpacing/>
        <w:jc w:val="both"/>
        <w:rPr>
          <w:rFonts w:ascii="Arial" w:hAnsi="Arial" w:cs="Arial"/>
          <w:b/>
          <w:sz w:val="21"/>
          <w:szCs w:val="21"/>
        </w:rPr>
      </w:pPr>
    </w:p>
    <w:p w14:paraId="51452CAB" w14:textId="77777777" w:rsidR="002E7A58" w:rsidRDefault="002E7A58" w:rsidP="002E7A58">
      <w:pPr>
        <w:widowControl w:val="0"/>
        <w:autoSpaceDE w:val="0"/>
        <w:autoSpaceDN w:val="0"/>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F636DF">
        <w:rPr>
          <w:rFonts w:ascii="Arial" w:eastAsia="Arial" w:hAnsi="Arial" w:cs="Arial"/>
          <w:spacing w:val="-18"/>
          <w:sz w:val="21"/>
          <w:szCs w:val="21"/>
          <w:lang w:val="es-ES" w:eastAsia="es-ES" w:bidi="es-ES"/>
        </w:rPr>
        <w:t xml:space="preserve"> </w:t>
      </w:r>
      <w:r w:rsidRPr="00F636DF">
        <w:rPr>
          <w:rFonts w:ascii="Arial" w:eastAsia="Arial" w:hAnsi="Arial" w:cs="Arial"/>
          <w:sz w:val="21"/>
          <w:szCs w:val="21"/>
          <w:lang w:val="es-ES" w:eastAsia="es-ES" w:bidi="es-ES"/>
        </w:rPr>
        <w:t>interadministrativo.</w:t>
      </w:r>
    </w:p>
    <w:p w14:paraId="65CF74FC" w14:textId="77777777" w:rsidR="002E7A58" w:rsidRPr="00F636DF" w:rsidRDefault="002E7A58" w:rsidP="002E7A58">
      <w:pPr>
        <w:widowControl w:val="0"/>
        <w:autoSpaceDE w:val="0"/>
        <w:autoSpaceDN w:val="0"/>
        <w:contextualSpacing/>
        <w:jc w:val="both"/>
        <w:rPr>
          <w:rFonts w:ascii="Arial" w:eastAsia="Arial" w:hAnsi="Arial" w:cs="Arial"/>
          <w:sz w:val="21"/>
          <w:szCs w:val="21"/>
          <w:lang w:val="es-ES" w:eastAsia="es-ES" w:bidi="es-ES"/>
        </w:rPr>
      </w:pPr>
    </w:p>
    <w:p w14:paraId="62C7D1B8" w14:textId="77777777" w:rsidR="002E7A58" w:rsidRPr="00926285" w:rsidRDefault="002E7A58" w:rsidP="002E7A58">
      <w:pPr>
        <w:contextualSpacing/>
        <w:jc w:val="both"/>
        <w:rPr>
          <w:rFonts w:ascii="Arial" w:hAnsi="Arial" w:cs="Arial"/>
          <w:b/>
          <w:sz w:val="22"/>
        </w:rPr>
      </w:pPr>
      <w:r w:rsidRPr="00926285">
        <w:rPr>
          <w:rFonts w:ascii="Arial" w:eastAsia="Calibri" w:hAnsi="Arial" w:cs="Arial"/>
          <w:b/>
          <w:bCs/>
          <w:noProof/>
          <w:sz w:val="22"/>
        </w:rPr>
        <w:t xml:space="preserve">LEY DE GARANTÍAS ELECTORALES ‒ Prohibición por elección de cargos populares – Convenios y contratos interadministrativos – Tipologia contractual – </w:t>
      </w:r>
      <w:r w:rsidRPr="00926285">
        <w:rPr>
          <w:rFonts w:ascii="Arial" w:hAnsi="Arial" w:cs="Arial"/>
          <w:b/>
          <w:sz w:val="22"/>
        </w:rPr>
        <w:t>Modalidad de selección</w:t>
      </w:r>
    </w:p>
    <w:p w14:paraId="26C56872" w14:textId="77777777" w:rsidR="002E7A58" w:rsidRPr="00F636DF" w:rsidRDefault="002E7A58" w:rsidP="002E7A58">
      <w:pPr>
        <w:tabs>
          <w:tab w:val="left" w:pos="426"/>
        </w:tabs>
        <w:contextualSpacing/>
        <w:jc w:val="both"/>
        <w:rPr>
          <w:rFonts w:ascii="Arial" w:hAnsi="Arial" w:cs="Arial"/>
          <w:sz w:val="21"/>
          <w:szCs w:val="21"/>
        </w:rPr>
      </w:pPr>
    </w:p>
    <w:p w14:paraId="7E44A6C4" w14:textId="77777777" w:rsidR="002E7A58" w:rsidRPr="00F636DF" w:rsidRDefault="002E7A58" w:rsidP="002E7A58">
      <w:pPr>
        <w:tabs>
          <w:tab w:val="left" w:pos="426"/>
        </w:tabs>
        <w:contextualSpacing/>
        <w:jc w:val="both"/>
        <w:rPr>
          <w:rFonts w:ascii="Arial" w:hAnsi="Arial" w:cs="Arial"/>
          <w:sz w:val="21"/>
          <w:szCs w:val="21"/>
        </w:rPr>
      </w:pPr>
      <w:r w:rsidRPr="00F636DF">
        <w:rPr>
          <w:rFonts w:ascii="Arial" w:hAnsi="Arial" w:cs="Arial"/>
          <w:sz w:val="21"/>
          <w:szCs w:val="21"/>
        </w:rPr>
        <w:t xml:space="preserve">[…] </w:t>
      </w:r>
      <w:r w:rsidRPr="00F636DF">
        <w:rPr>
          <w:rFonts w:ascii="Arial" w:hAnsi="Arial" w:cs="Arial"/>
          <w:bCs/>
          <w:sz w:val="21"/>
          <w:szCs w:val="21"/>
          <w:lang w:eastAsia="es-CO"/>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F636DF">
        <w:rPr>
          <w:rFonts w:ascii="Arial" w:eastAsia="Times New Roman" w:hAnsi="Arial" w:cs="Arial"/>
          <w:bCs/>
          <w:sz w:val="21"/>
          <w:szCs w:val="21"/>
          <w:lang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F636DF">
        <w:rPr>
          <w:rFonts w:ascii="Arial" w:eastAsia="Calibri" w:hAnsi="Arial" w:cs="Arial"/>
          <w:color w:val="000000" w:themeColor="text1"/>
          <w:sz w:val="21"/>
          <w:szCs w:val="21"/>
        </w:rPr>
        <w:t> </w:t>
      </w:r>
    </w:p>
    <w:p w14:paraId="09228D55" w14:textId="77777777" w:rsidR="00AC55A0" w:rsidRPr="007A0C25" w:rsidRDefault="00AC55A0" w:rsidP="00AC55A0">
      <w:pPr>
        <w:spacing w:before="120" w:after="120" w:line="276" w:lineRule="auto"/>
        <w:jc w:val="both"/>
        <w:rPr>
          <w:rFonts w:ascii="Arial" w:hAnsi="Arial" w:cs="Arial"/>
          <w:bCs/>
          <w:color w:val="FF0000"/>
          <w:sz w:val="22"/>
          <w:lang w:val="es-ES_tradnl"/>
        </w:rPr>
      </w:pPr>
      <w:r w:rsidRPr="007A0C25">
        <w:rPr>
          <w:rFonts w:ascii="Arial" w:hAnsi="Arial" w:cs="Arial"/>
          <w:bCs/>
          <w:color w:val="FF0000"/>
          <w:sz w:val="22"/>
          <w:lang w:val="es-ES_tradnl"/>
        </w:rPr>
        <w:br w:type="page"/>
      </w:r>
    </w:p>
    <w:p w14:paraId="0D94A8C2" w14:textId="77777777" w:rsidR="00AC55A0" w:rsidRPr="007A0C25" w:rsidRDefault="00AC55A0" w:rsidP="00AC55A0">
      <w:pPr>
        <w:jc w:val="both"/>
        <w:rPr>
          <w:rFonts w:ascii="Arial" w:hAnsi="Arial" w:cs="Arial"/>
          <w:bCs/>
          <w:color w:val="FF0000"/>
          <w:sz w:val="22"/>
          <w:lang w:val="es-ES_tradnl"/>
        </w:rPr>
      </w:pPr>
    </w:p>
    <w:p w14:paraId="1B1ADAC5" w14:textId="77777777" w:rsidR="00AC55A0" w:rsidRPr="007A0C25" w:rsidRDefault="00AC55A0" w:rsidP="00313665">
      <w:pPr>
        <w:spacing w:line="276" w:lineRule="auto"/>
        <w:contextualSpacing/>
        <w:jc w:val="both"/>
        <w:rPr>
          <w:rFonts w:ascii="Arial" w:hAnsi="Arial" w:cs="Arial"/>
          <w:bCs/>
          <w:sz w:val="22"/>
          <w:lang w:val="es-ES_tradnl"/>
        </w:rPr>
      </w:pPr>
    </w:p>
    <w:p w14:paraId="54900FB5" w14:textId="6972697D" w:rsidR="00313665" w:rsidRDefault="00313665" w:rsidP="00313665">
      <w:pPr>
        <w:spacing w:line="276" w:lineRule="auto"/>
        <w:contextualSpacing/>
        <w:jc w:val="both"/>
        <w:rPr>
          <w:rFonts w:ascii="Arial" w:hAnsi="Arial" w:cs="Arial"/>
          <w:sz w:val="22"/>
        </w:rPr>
      </w:pPr>
    </w:p>
    <w:p w14:paraId="6545C7E2" w14:textId="1BF2E641" w:rsidR="00E55CA6" w:rsidRPr="007A0C25" w:rsidRDefault="00E55CA6" w:rsidP="00E55CA6">
      <w:pPr>
        <w:spacing w:line="276" w:lineRule="auto"/>
        <w:contextualSpacing/>
        <w:jc w:val="right"/>
        <w:rPr>
          <w:rFonts w:ascii="Arial" w:hAnsi="Arial" w:cs="Arial"/>
          <w:sz w:val="22"/>
        </w:rPr>
      </w:pPr>
      <w:r w:rsidRPr="00E55CA6">
        <w:rPr>
          <w:rFonts w:ascii="Arial" w:hAnsi="Arial" w:cs="Arial"/>
          <w:sz w:val="22"/>
        </w:rPr>
        <w:drawing>
          <wp:inline distT="0" distB="0" distL="0" distR="0" wp14:anchorId="4DF6C51F" wp14:editId="50781DF5">
            <wp:extent cx="2679405" cy="714150"/>
            <wp:effectExtent l="0" t="0" r="698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690506" cy="717109"/>
                    </a:xfrm>
                    <a:prstGeom prst="rect">
                      <a:avLst/>
                    </a:prstGeom>
                  </pic:spPr>
                </pic:pic>
              </a:graphicData>
            </a:graphic>
          </wp:inline>
        </w:drawing>
      </w:r>
    </w:p>
    <w:p w14:paraId="70476532" w14:textId="35B780D3" w:rsidR="00AC55A0" w:rsidRPr="007A0C25" w:rsidRDefault="00AC55A0" w:rsidP="00254759">
      <w:pPr>
        <w:contextualSpacing/>
        <w:jc w:val="both"/>
        <w:rPr>
          <w:rFonts w:ascii="Arial" w:hAnsi="Arial" w:cs="Arial"/>
          <w:bCs/>
          <w:sz w:val="22"/>
          <w:lang w:val="es-ES_tradnl"/>
        </w:rPr>
      </w:pPr>
      <w:r w:rsidRPr="007A0C25">
        <w:rPr>
          <w:rFonts w:ascii="Arial" w:hAnsi="Arial" w:cs="Arial"/>
          <w:sz w:val="22"/>
        </w:rPr>
        <w:t xml:space="preserve">Bogotá D.C., </w:t>
      </w:r>
    </w:p>
    <w:p w14:paraId="32AF740A" w14:textId="5426EB1C" w:rsidR="00AC55A0" w:rsidRPr="007A0C25" w:rsidRDefault="00AC55A0" w:rsidP="00254759">
      <w:pPr>
        <w:contextualSpacing/>
        <w:rPr>
          <w:rFonts w:ascii="Arial" w:hAnsi="Arial" w:cs="Arial"/>
          <w:bCs/>
          <w:sz w:val="22"/>
          <w:lang w:val="es-ES_tradnl"/>
        </w:rPr>
      </w:pPr>
    </w:p>
    <w:p w14:paraId="10037B14" w14:textId="77777777" w:rsidR="00AC55A0" w:rsidRPr="007A0C25" w:rsidRDefault="00AC55A0" w:rsidP="00254759">
      <w:pPr>
        <w:contextualSpacing/>
        <w:jc w:val="both"/>
        <w:rPr>
          <w:rFonts w:ascii="Arial" w:hAnsi="Arial" w:cs="Arial"/>
          <w:bCs/>
          <w:sz w:val="22"/>
          <w:lang w:val="es-ES_tradnl"/>
        </w:rPr>
      </w:pPr>
    </w:p>
    <w:p w14:paraId="709560C4" w14:textId="69650ACE" w:rsidR="00AC55A0" w:rsidRPr="007A0C25" w:rsidRDefault="00AC55A0" w:rsidP="00254759">
      <w:pPr>
        <w:contextualSpacing/>
        <w:rPr>
          <w:rFonts w:ascii="Arial" w:hAnsi="Arial" w:cs="Arial"/>
          <w:sz w:val="22"/>
          <w:lang w:val="es-ES_tradnl"/>
        </w:rPr>
      </w:pPr>
      <w:bookmarkStart w:id="6" w:name="_Hlk70510939"/>
      <w:r w:rsidRPr="007A0C25">
        <w:rPr>
          <w:rFonts w:ascii="Arial" w:hAnsi="Arial" w:cs="Arial"/>
          <w:sz w:val="22"/>
          <w:lang w:val="es-ES_tradnl"/>
        </w:rPr>
        <w:t>Señor</w:t>
      </w:r>
      <w:r w:rsidR="009508F1" w:rsidRPr="007A0C25">
        <w:rPr>
          <w:rFonts w:ascii="Arial" w:hAnsi="Arial" w:cs="Arial"/>
          <w:sz w:val="22"/>
          <w:lang w:val="es-ES_tradnl"/>
        </w:rPr>
        <w:t>a</w:t>
      </w:r>
    </w:p>
    <w:p w14:paraId="2DAE2961" w14:textId="645C80BD" w:rsidR="00AC55A0" w:rsidRPr="007A0C25" w:rsidRDefault="009508F1" w:rsidP="00254759">
      <w:pPr>
        <w:contextualSpacing/>
        <w:jc w:val="both"/>
        <w:rPr>
          <w:rFonts w:ascii="Arial" w:hAnsi="Arial" w:cs="Arial"/>
          <w:b/>
          <w:sz w:val="22"/>
          <w:lang w:val="es-ES_tradnl"/>
        </w:rPr>
      </w:pPr>
      <w:r w:rsidRPr="007A0C25">
        <w:rPr>
          <w:rFonts w:ascii="Arial" w:hAnsi="Arial" w:cs="Arial"/>
          <w:b/>
          <w:sz w:val="22"/>
          <w:lang w:val="es-ES_tradnl"/>
        </w:rPr>
        <w:t>Luisa</w:t>
      </w:r>
      <w:r w:rsidR="00313665" w:rsidRPr="007A0C25">
        <w:rPr>
          <w:rFonts w:ascii="Arial" w:hAnsi="Arial" w:cs="Arial"/>
          <w:b/>
          <w:sz w:val="22"/>
          <w:lang w:val="es-ES_tradnl"/>
        </w:rPr>
        <w:t xml:space="preserve"> </w:t>
      </w:r>
      <w:r w:rsidRPr="007A0C25">
        <w:rPr>
          <w:rFonts w:ascii="Arial" w:hAnsi="Arial" w:cs="Arial"/>
          <w:b/>
          <w:sz w:val="22"/>
          <w:lang w:val="es-ES_tradnl"/>
        </w:rPr>
        <w:t>Elizabeth</w:t>
      </w:r>
      <w:r w:rsidR="00313665" w:rsidRPr="007A0C25">
        <w:rPr>
          <w:rFonts w:ascii="Arial" w:hAnsi="Arial" w:cs="Arial"/>
          <w:b/>
          <w:sz w:val="22"/>
          <w:lang w:val="es-ES_tradnl"/>
        </w:rPr>
        <w:t xml:space="preserve"> Rodríguez Parra </w:t>
      </w:r>
    </w:p>
    <w:p w14:paraId="4BC3AED2" w14:textId="5EC24646" w:rsidR="009508F1" w:rsidRPr="007A0C25" w:rsidRDefault="00600F38" w:rsidP="00254759">
      <w:pPr>
        <w:contextualSpacing/>
        <w:jc w:val="both"/>
        <w:rPr>
          <w:rFonts w:ascii="Arial" w:hAnsi="Arial" w:cs="Arial"/>
          <w:b/>
          <w:sz w:val="22"/>
        </w:rPr>
      </w:pPr>
      <w:r w:rsidRPr="007A0C25">
        <w:rPr>
          <w:rFonts w:ascii="Arial" w:hAnsi="Arial" w:cs="Arial"/>
          <w:sz w:val="22"/>
        </w:rPr>
        <w:t>Secretaria de Planeación y Desarrollo Social</w:t>
      </w:r>
    </w:p>
    <w:p w14:paraId="0D76308E" w14:textId="676F694A" w:rsidR="00AC55A0" w:rsidRPr="007A0C25" w:rsidRDefault="00313665" w:rsidP="00254759">
      <w:pPr>
        <w:contextualSpacing/>
        <w:jc w:val="both"/>
        <w:rPr>
          <w:rFonts w:ascii="Arial" w:hAnsi="Arial" w:cs="Arial"/>
          <w:sz w:val="22"/>
          <w:lang w:val="es-ES_tradnl"/>
        </w:rPr>
      </w:pPr>
      <w:r w:rsidRPr="007A0C25">
        <w:rPr>
          <w:rFonts w:ascii="Arial" w:hAnsi="Arial" w:cs="Arial"/>
          <w:sz w:val="22"/>
        </w:rPr>
        <w:t>Saboya, Boyacá</w:t>
      </w:r>
    </w:p>
    <w:p w14:paraId="237806E9" w14:textId="77777777" w:rsidR="00AC55A0" w:rsidRPr="007A0C25" w:rsidRDefault="00AC55A0" w:rsidP="00254759">
      <w:pPr>
        <w:contextualSpacing/>
        <w:rPr>
          <w:rFonts w:ascii="Arial" w:hAnsi="Arial" w:cs="Arial"/>
          <w:b/>
          <w:bCs/>
          <w:sz w:val="22"/>
          <w:lang w:val="es-ES_tradnl"/>
        </w:rPr>
      </w:pPr>
    </w:p>
    <w:p w14:paraId="4EADE452" w14:textId="11AE7B38" w:rsidR="00AC55A0" w:rsidRPr="007A0C25" w:rsidRDefault="00AC55A0" w:rsidP="00254759">
      <w:pPr>
        <w:ind w:left="2124" w:firstLine="708"/>
        <w:contextualSpacing/>
        <w:rPr>
          <w:rFonts w:ascii="Arial" w:hAnsi="Arial" w:cs="Arial"/>
          <w:b/>
          <w:bCs/>
          <w:sz w:val="22"/>
          <w:lang w:val="es-ES_tradnl"/>
        </w:rPr>
      </w:pPr>
      <w:r w:rsidRPr="007A0C25">
        <w:rPr>
          <w:rFonts w:ascii="Arial" w:hAnsi="Arial" w:cs="Arial"/>
          <w:b/>
          <w:bCs/>
          <w:sz w:val="22"/>
          <w:lang w:val="es-ES_tradnl"/>
        </w:rPr>
        <w:t xml:space="preserve">Concepto C – </w:t>
      </w:r>
      <w:r w:rsidR="00313665" w:rsidRPr="007A0C25">
        <w:rPr>
          <w:rFonts w:ascii="Arial" w:hAnsi="Arial" w:cs="Arial"/>
          <w:b/>
          <w:bCs/>
          <w:sz w:val="22"/>
          <w:lang w:val="es-ES_tradnl"/>
        </w:rPr>
        <w:t>608</w:t>
      </w:r>
      <w:r w:rsidRPr="007A0C25">
        <w:rPr>
          <w:rFonts w:ascii="Arial" w:hAnsi="Arial" w:cs="Arial"/>
          <w:b/>
          <w:bCs/>
          <w:sz w:val="22"/>
          <w:lang w:val="es-ES_tradnl"/>
        </w:rPr>
        <w:t xml:space="preserve"> de 2022</w:t>
      </w:r>
    </w:p>
    <w:p w14:paraId="001D092A" w14:textId="77777777" w:rsidR="00AC55A0" w:rsidRPr="007A0C25" w:rsidRDefault="00AC55A0" w:rsidP="00254759">
      <w:pPr>
        <w:ind w:left="2824" w:hanging="2818"/>
        <w:contextualSpacing/>
        <w:jc w:val="both"/>
        <w:rPr>
          <w:rFonts w:ascii="Arial" w:eastAsia="Calibri" w:hAnsi="Arial" w:cs="Arial"/>
          <w:b/>
          <w:noProof/>
          <w:sz w:val="22"/>
          <w:lang w:val="es-ES_tradnl"/>
        </w:rPr>
      </w:pPr>
    </w:p>
    <w:p w14:paraId="578ED6C8" w14:textId="3DB0B205" w:rsidR="002E7A58" w:rsidRPr="00926285" w:rsidRDefault="00AC55A0" w:rsidP="002E7A58">
      <w:pPr>
        <w:ind w:left="2832" w:hanging="2184"/>
        <w:contextualSpacing/>
        <w:jc w:val="both"/>
        <w:rPr>
          <w:rFonts w:ascii="Arial" w:hAnsi="Arial" w:cs="Arial"/>
          <w:sz w:val="22"/>
        </w:rPr>
      </w:pPr>
      <w:r w:rsidRPr="007A0C25">
        <w:rPr>
          <w:rFonts w:ascii="Arial" w:eastAsia="Calibri" w:hAnsi="Arial" w:cs="Arial"/>
          <w:b/>
          <w:noProof/>
          <w:sz w:val="22"/>
          <w:lang w:val="es-ES_tradnl"/>
        </w:rPr>
        <w:t>Temas</w:t>
      </w:r>
      <w:r w:rsidRPr="007A0C25">
        <w:rPr>
          <w:rFonts w:ascii="Arial" w:eastAsia="Calibri" w:hAnsi="Arial" w:cs="Arial"/>
          <w:bCs/>
          <w:noProof/>
          <w:sz w:val="22"/>
          <w:lang w:val="es-ES_tradnl"/>
        </w:rPr>
        <w:t xml:space="preserve">: </w:t>
      </w:r>
      <w:r w:rsidRPr="007A0C25">
        <w:rPr>
          <w:rFonts w:ascii="Arial" w:eastAsia="Calibri" w:hAnsi="Arial" w:cs="Arial"/>
          <w:bCs/>
          <w:noProof/>
          <w:sz w:val="22"/>
          <w:lang w:val="es-ES_tradnl"/>
        </w:rPr>
        <w:tab/>
      </w:r>
      <w:r w:rsidR="002E7A58" w:rsidRPr="002E7A58">
        <w:rPr>
          <w:rFonts w:ascii="Arial" w:eastAsia="Calibri" w:hAnsi="Arial" w:cs="Arial"/>
          <w:bCs/>
          <w:noProof/>
          <w:sz w:val="22"/>
          <w:lang w:val="es-ES_tradnl"/>
        </w:rPr>
        <w:t>LEY DE GARANTÍAS ELECTORALES – Definición – Finalidad / LEY DE GARANTÍAS ELECTORALES – Restricciones / LEY DE GARANTÍAS ELECTORALES – Prohibición – Contratación directa – Alcance / LEY DE GARANTÍAS ELECTORALES – Prohibición – Contratación directa – Excepciones / LEY DE GARANTÍAS ELECTORALES ‒ Prohibición del artículo 33 ‒ Destinatarios / LEY DE GARANTÍAS ELECTORALES ‒ Prohibición por elección de cargos populares – Convenios y contratos interadministrativos – Alcance / LEY DE GARANTÍAS ELECTORALES ‒ Prohibición por elección de cargos populares – Convenios y contratos interadministrativos – Definición – Criterio orgánico / CONTRATOS Y CONVENIOS INTERADMINISTRATIVOS – Modalidad de selección / LEY DE GARANTÍAS ELECTORALES ‒ Prohibición por elección de cargos populares – Convenios y contratos interadministrativos – Tipologia contractual – Modalidad de selección</w:t>
      </w:r>
    </w:p>
    <w:p w14:paraId="26AD01CA" w14:textId="77777777" w:rsidR="00837492" w:rsidRDefault="00837492" w:rsidP="00254759">
      <w:pPr>
        <w:ind w:left="2835" w:hanging="2835"/>
        <w:contextualSpacing/>
        <w:jc w:val="both"/>
        <w:rPr>
          <w:rFonts w:ascii="Arial" w:eastAsia="Calibri" w:hAnsi="Arial" w:cs="Arial"/>
          <w:b/>
          <w:noProof/>
          <w:sz w:val="22"/>
          <w:lang w:val="es-ES_tradnl"/>
        </w:rPr>
      </w:pPr>
    </w:p>
    <w:p w14:paraId="01E0A1B4" w14:textId="3EAA4F32" w:rsidR="00AC55A0" w:rsidRPr="007A0C25" w:rsidRDefault="00AC55A0" w:rsidP="00254759">
      <w:pPr>
        <w:ind w:left="2835" w:hanging="2835"/>
        <w:contextualSpacing/>
        <w:jc w:val="both"/>
        <w:rPr>
          <w:rFonts w:ascii="Arial" w:hAnsi="Arial" w:cs="Arial"/>
          <w:sz w:val="22"/>
          <w:lang w:val="es-ES_tradnl"/>
        </w:rPr>
      </w:pPr>
      <w:r w:rsidRPr="007A0C25">
        <w:rPr>
          <w:rFonts w:ascii="Arial" w:eastAsia="Calibri" w:hAnsi="Arial" w:cs="Arial"/>
          <w:b/>
          <w:noProof/>
          <w:sz w:val="22"/>
          <w:lang w:val="es-ES_tradnl"/>
        </w:rPr>
        <w:t>Radicación</w:t>
      </w:r>
      <w:r w:rsidRPr="007A0C25">
        <w:rPr>
          <w:rFonts w:ascii="Arial" w:eastAsia="Calibri" w:hAnsi="Arial" w:cs="Arial"/>
          <w:bCs/>
          <w:noProof/>
          <w:sz w:val="22"/>
          <w:lang w:val="es-ES_tradnl"/>
        </w:rPr>
        <w:t>:</w:t>
      </w:r>
      <w:r w:rsidRPr="007A0C25">
        <w:rPr>
          <w:rFonts w:ascii="Arial" w:eastAsia="Calibri" w:hAnsi="Arial" w:cs="Arial"/>
          <w:bCs/>
          <w:noProof/>
          <w:sz w:val="22"/>
          <w:lang w:val="es-ES_tradnl"/>
        </w:rPr>
        <w:tab/>
        <w:t xml:space="preserve">Respuesta a consulta </w:t>
      </w:r>
      <w:r w:rsidR="00254759" w:rsidRPr="007A0C25">
        <w:rPr>
          <w:rFonts w:ascii="Arial" w:eastAsia="Calibri" w:hAnsi="Arial" w:cs="Arial"/>
          <w:bCs/>
          <w:noProof/>
          <w:sz w:val="22"/>
          <w:lang w:val="es-ES_tradnl"/>
        </w:rPr>
        <w:t xml:space="preserve"># </w:t>
      </w:r>
      <w:r w:rsidR="00254759" w:rsidRPr="007A0C25">
        <w:rPr>
          <w:rFonts w:ascii="Arial" w:hAnsi="Arial" w:cs="Arial"/>
          <w:sz w:val="22"/>
          <w:shd w:val="clear" w:color="auto" w:fill="FFFFFF"/>
        </w:rPr>
        <w:t>P20220811007989</w:t>
      </w:r>
    </w:p>
    <w:p w14:paraId="4D6BE387" w14:textId="77777777" w:rsidR="00AC55A0" w:rsidRPr="007A0C25" w:rsidRDefault="00AC55A0" w:rsidP="00254759">
      <w:pPr>
        <w:contextualSpacing/>
        <w:rPr>
          <w:rFonts w:ascii="Arial" w:hAnsi="Arial" w:cs="Arial"/>
          <w:sz w:val="22"/>
          <w:lang w:val="es-ES_tradnl"/>
        </w:rPr>
      </w:pPr>
    </w:p>
    <w:p w14:paraId="3F048510" w14:textId="47DBFF32" w:rsidR="00AC55A0" w:rsidRPr="007A0C25" w:rsidRDefault="00AC55A0" w:rsidP="00254759">
      <w:pPr>
        <w:contextualSpacing/>
        <w:rPr>
          <w:rFonts w:ascii="Arial" w:hAnsi="Arial" w:cs="Arial"/>
          <w:sz w:val="22"/>
          <w:lang w:val="es-ES_tradnl"/>
        </w:rPr>
      </w:pPr>
      <w:r w:rsidRPr="007A0C25">
        <w:rPr>
          <w:rFonts w:ascii="Arial" w:hAnsi="Arial" w:cs="Arial"/>
          <w:sz w:val="22"/>
          <w:lang w:val="es-ES_tradnl"/>
        </w:rPr>
        <w:t>Estimad</w:t>
      </w:r>
      <w:r w:rsidR="00600F38" w:rsidRPr="007A0C25">
        <w:rPr>
          <w:rFonts w:ascii="Arial" w:hAnsi="Arial" w:cs="Arial"/>
          <w:sz w:val="22"/>
          <w:lang w:val="es-ES_tradnl"/>
        </w:rPr>
        <w:t>a</w:t>
      </w:r>
      <w:r w:rsidR="00254759" w:rsidRPr="007A0C25">
        <w:rPr>
          <w:rFonts w:ascii="Arial" w:hAnsi="Arial" w:cs="Arial"/>
          <w:sz w:val="22"/>
          <w:lang w:val="es-ES_tradnl"/>
        </w:rPr>
        <w:t xml:space="preserve"> </w:t>
      </w:r>
      <w:r w:rsidRPr="007A0C25">
        <w:rPr>
          <w:rFonts w:ascii="Arial" w:hAnsi="Arial" w:cs="Arial"/>
          <w:sz w:val="22"/>
          <w:lang w:val="es-ES_tradnl"/>
        </w:rPr>
        <w:t>Señor</w:t>
      </w:r>
      <w:r w:rsidR="00600F38" w:rsidRPr="007A0C25">
        <w:rPr>
          <w:rFonts w:ascii="Arial" w:hAnsi="Arial" w:cs="Arial"/>
          <w:sz w:val="22"/>
          <w:lang w:val="es-ES_tradnl"/>
        </w:rPr>
        <w:t>a</w:t>
      </w:r>
      <w:r w:rsidRPr="007A0C25">
        <w:rPr>
          <w:rFonts w:ascii="Arial" w:hAnsi="Arial" w:cs="Arial"/>
          <w:sz w:val="22"/>
          <w:lang w:val="es-ES_tradnl"/>
        </w:rPr>
        <w:t xml:space="preserve"> </w:t>
      </w:r>
      <w:r w:rsidR="00254759" w:rsidRPr="007A0C25">
        <w:rPr>
          <w:rFonts w:ascii="Arial" w:hAnsi="Arial" w:cs="Arial"/>
          <w:bCs/>
          <w:sz w:val="22"/>
          <w:lang w:val="es-ES_tradnl"/>
        </w:rPr>
        <w:t>Rodríguez</w:t>
      </w:r>
      <w:r w:rsidRPr="007A0C25">
        <w:rPr>
          <w:rFonts w:ascii="Arial" w:hAnsi="Arial" w:cs="Arial"/>
          <w:sz w:val="22"/>
          <w:lang w:val="es-ES_tradnl"/>
        </w:rPr>
        <w:t xml:space="preserve">,   </w:t>
      </w:r>
    </w:p>
    <w:p w14:paraId="06CB530C" w14:textId="413DAE2E" w:rsidR="00254759" w:rsidRPr="007A0C25" w:rsidRDefault="00254759" w:rsidP="00254759">
      <w:pPr>
        <w:contextualSpacing/>
        <w:rPr>
          <w:rFonts w:ascii="Arial" w:hAnsi="Arial" w:cs="Arial"/>
          <w:sz w:val="22"/>
          <w:lang w:val="es-ES_tradnl"/>
        </w:rPr>
      </w:pPr>
    </w:p>
    <w:p w14:paraId="2B719A8B" w14:textId="4A899FDA" w:rsidR="00AC55A0" w:rsidRPr="007A0C25" w:rsidRDefault="00AC55A0" w:rsidP="00254759">
      <w:pPr>
        <w:spacing w:line="276" w:lineRule="auto"/>
        <w:contextualSpacing/>
        <w:jc w:val="both"/>
        <w:rPr>
          <w:rFonts w:ascii="Arial" w:hAnsi="Arial" w:cs="Arial"/>
          <w:sz w:val="22"/>
          <w:lang w:val="es-ES_tradnl"/>
        </w:rPr>
      </w:pPr>
      <w:r w:rsidRPr="007A0C25">
        <w:rPr>
          <w:rFonts w:ascii="Arial" w:hAnsi="Arial" w:cs="Arial"/>
          <w:sz w:val="22"/>
          <w:lang w:val="es-ES_tradnl"/>
        </w:rPr>
        <w:t>En ejercicio de la competencia otorgada por el numeral 8 del artículo 11 y el numeral 5 del artículo 3 del Decreto Ley 4170 de 2011, la Agencia Nacional de Contratación Pública− Colombia Compra Eficiente responde su consulta</w:t>
      </w:r>
      <w:r w:rsidR="00600F38" w:rsidRPr="007A0C25">
        <w:rPr>
          <w:rFonts w:ascii="Arial" w:hAnsi="Arial" w:cs="Arial"/>
          <w:sz w:val="22"/>
          <w:lang w:val="es-ES_tradnl"/>
        </w:rPr>
        <w:t>,</w:t>
      </w:r>
      <w:r w:rsidRPr="007A0C25">
        <w:rPr>
          <w:rFonts w:ascii="Arial" w:hAnsi="Arial" w:cs="Arial"/>
          <w:sz w:val="22"/>
          <w:lang w:val="es-ES_tradnl"/>
        </w:rPr>
        <w:t xml:space="preserve"> remitida</w:t>
      </w:r>
      <w:r w:rsidR="00ED22C6" w:rsidRPr="007A0C25">
        <w:rPr>
          <w:rFonts w:ascii="Arial" w:hAnsi="Arial" w:cs="Arial"/>
          <w:sz w:val="22"/>
          <w:lang w:val="es-ES_tradnl"/>
        </w:rPr>
        <w:t xml:space="preserve"> por el Departamento Administrativo de la Función Pública</w:t>
      </w:r>
      <w:r w:rsidRPr="007A0C25">
        <w:rPr>
          <w:rFonts w:ascii="Arial" w:hAnsi="Arial" w:cs="Arial"/>
          <w:sz w:val="22"/>
          <w:lang w:val="es-ES_tradnl"/>
        </w:rPr>
        <w:t xml:space="preserve"> el </w:t>
      </w:r>
      <w:r w:rsidR="00254759" w:rsidRPr="007A0C25">
        <w:rPr>
          <w:rFonts w:ascii="Arial" w:hAnsi="Arial" w:cs="Arial"/>
          <w:sz w:val="22"/>
          <w:lang w:val="es-ES_tradnl"/>
        </w:rPr>
        <w:t>11 de agosto</w:t>
      </w:r>
      <w:r w:rsidRPr="007A0C25">
        <w:rPr>
          <w:rFonts w:ascii="Arial" w:hAnsi="Arial" w:cs="Arial"/>
          <w:sz w:val="22"/>
          <w:lang w:val="es-ES_tradnl"/>
        </w:rPr>
        <w:t xml:space="preserve"> de 2022. </w:t>
      </w:r>
      <w:r w:rsidR="00082ACC" w:rsidRPr="00172738">
        <w:rPr>
          <w:rFonts w:ascii="Arial" w:hAnsi="Arial" w:cs="Arial"/>
          <w:sz w:val="22"/>
        </w:rPr>
        <w:t xml:space="preserve">Resulta pertinente precisar que, de acuerdo con el Oficio identificado con el </w:t>
      </w:r>
      <w:r w:rsidR="006B0A9F" w:rsidRPr="00172738">
        <w:rPr>
          <w:rFonts w:ascii="Arial" w:hAnsi="Arial" w:cs="Arial"/>
          <w:sz w:val="22"/>
        </w:rPr>
        <w:t xml:space="preserve">radicado número </w:t>
      </w:r>
      <w:r w:rsidR="00082ACC" w:rsidRPr="00172738">
        <w:rPr>
          <w:rFonts w:ascii="Arial" w:hAnsi="Arial" w:cs="Arial"/>
          <w:sz w:val="22"/>
        </w:rPr>
        <w:t>20222040295221</w:t>
      </w:r>
      <w:r w:rsidR="006B0A9F" w:rsidRPr="00172738">
        <w:rPr>
          <w:rFonts w:ascii="Arial" w:hAnsi="Arial" w:cs="Arial"/>
          <w:sz w:val="22"/>
        </w:rPr>
        <w:t>,</w:t>
      </w:r>
      <w:r w:rsidR="00082ACC" w:rsidRPr="00172738">
        <w:rPr>
          <w:rFonts w:ascii="Arial" w:hAnsi="Arial" w:cs="Arial"/>
          <w:sz w:val="22"/>
        </w:rPr>
        <w:t xml:space="preserve"> </w:t>
      </w:r>
      <w:r w:rsidR="006B0A9F" w:rsidRPr="00172738">
        <w:rPr>
          <w:rFonts w:ascii="Arial" w:hAnsi="Arial" w:cs="Arial"/>
          <w:sz w:val="22"/>
        </w:rPr>
        <w:t>d</w:t>
      </w:r>
      <w:r w:rsidR="00082ACC" w:rsidRPr="00172738">
        <w:rPr>
          <w:rFonts w:ascii="Arial" w:hAnsi="Arial" w:cs="Arial"/>
          <w:sz w:val="22"/>
        </w:rPr>
        <w:t xml:space="preserve">el Departamento Administrativo de la </w:t>
      </w:r>
      <w:r w:rsidR="00082ACC" w:rsidRPr="00172738">
        <w:rPr>
          <w:rFonts w:ascii="Arial" w:hAnsi="Arial" w:cs="Arial"/>
          <w:sz w:val="22"/>
        </w:rPr>
        <w:lastRenderedPageBreak/>
        <w:t xml:space="preserve">Función Pública, a esta Agencia le fue remitida la consulta presentada por la señora </w:t>
      </w:r>
      <w:r w:rsidR="00082ACC" w:rsidRPr="00172738">
        <w:rPr>
          <w:rFonts w:ascii="Arial" w:hAnsi="Arial" w:cs="Arial"/>
          <w:sz w:val="22"/>
          <w:lang w:val="es-ES_tradnl"/>
        </w:rPr>
        <w:t>Luisa Elizabeth Rodríguez Parra</w:t>
      </w:r>
      <w:r w:rsidR="006B0A9F" w:rsidRPr="00172738">
        <w:rPr>
          <w:rFonts w:ascii="Arial" w:hAnsi="Arial" w:cs="Arial"/>
          <w:sz w:val="22"/>
          <w:lang w:val="es-ES_tradnl"/>
        </w:rPr>
        <w:t>,</w:t>
      </w:r>
      <w:r w:rsidR="00082ACC" w:rsidRPr="00172738">
        <w:rPr>
          <w:rFonts w:ascii="Arial" w:hAnsi="Arial" w:cs="Arial"/>
          <w:sz w:val="22"/>
          <w:lang w:val="es-ES_tradnl"/>
        </w:rPr>
        <w:t xml:space="preserve"> con el fin de que se resuelva el numeral 3° de la misma. En el mismo oficio se informa </w:t>
      </w:r>
      <w:r w:rsidR="00082ACC" w:rsidRPr="00172738">
        <w:rPr>
          <w:rFonts w:ascii="Arial" w:hAnsi="Arial" w:cs="Arial"/>
          <w:sz w:val="22"/>
        </w:rPr>
        <w:t xml:space="preserve">que el numeral 1° de la consulta fue remitido al Ministerio de Hacienda y Crédito Público y el numeral 2° al Ministerio de Cultura. En consecuencia, </w:t>
      </w:r>
      <w:r w:rsidR="006B0A9F" w:rsidRPr="00172738">
        <w:rPr>
          <w:rFonts w:ascii="Arial" w:hAnsi="Arial" w:cs="Arial"/>
          <w:sz w:val="22"/>
        </w:rPr>
        <w:t>a</w:t>
      </w:r>
      <w:r w:rsidR="00082ACC" w:rsidRPr="00172738">
        <w:rPr>
          <w:rFonts w:ascii="Arial" w:hAnsi="Arial" w:cs="Arial"/>
          <w:sz w:val="22"/>
        </w:rPr>
        <w:t xml:space="preserve"> </w:t>
      </w:r>
      <w:proofErr w:type="gramStart"/>
      <w:r w:rsidR="00082ACC" w:rsidRPr="00172738">
        <w:rPr>
          <w:rFonts w:ascii="Arial" w:hAnsi="Arial" w:cs="Arial"/>
          <w:sz w:val="22"/>
        </w:rPr>
        <w:t>continuación</w:t>
      </w:r>
      <w:proofErr w:type="gramEnd"/>
      <w:r w:rsidR="00082ACC" w:rsidRPr="00172738">
        <w:rPr>
          <w:rFonts w:ascii="Arial" w:hAnsi="Arial" w:cs="Arial"/>
          <w:sz w:val="22"/>
        </w:rPr>
        <w:t xml:space="preserve"> se procede a </w:t>
      </w:r>
      <w:r w:rsidR="00EE2B64" w:rsidRPr="00172738">
        <w:rPr>
          <w:rFonts w:ascii="Arial" w:hAnsi="Arial" w:cs="Arial"/>
          <w:sz w:val="22"/>
        </w:rPr>
        <w:t>responder</w:t>
      </w:r>
      <w:r w:rsidR="00082ACC" w:rsidRPr="00172738">
        <w:rPr>
          <w:rFonts w:ascii="Arial" w:hAnsi="Arial" w:cs="Arial"/>
          <w:sz w:val="22"/>
        </w:rPr>
        <w:t xml:space="preserve"> únicamente al numeral 3° de la consulta.</w:t>
      </w:r>
    </w:p>
    <w:p w14:paraId="6AD777B6" w14:textId="77777777" w:rsidR="00254759" w:rsidRPr="007A0C25" w:rsidRDefault="00254759" w:rsidP="006B0A9F">
      <w:pPr>
        <w:spacing w:line="276" w:lineRule="auto"/>
        <w:contextualSpacing/>
        <w:rPr>
          <w:rFonts w:ascii="Arial" w:hAnsi="Arial" w:cs="Arial"/>
          <w:b/>
          <w:sz w:val="22"/>
          <w:lang w:val="es-ES_tradnl"/>
        </w:rPr>
      </w:pPr>
    </w:p>
    <w:p w14:paraId="40429745" w14:textId="111EEF85" w:rsidR="00AC55A0" w:rsidRPr="007A0C25" w:rsidRDefault="00AC55A0" w:rsidP="006B0A9F">
      <w:pPr>
        <w:spacing w:line="276" w:lineRule="auto"/>
        <w:contextualSpacing/>
        <w:rPr>
          <w:rFonts w:ascii="Arial" w:hAnsi="Arial" w:cs="Arial"/>
          <w:b/>
          <w:sz w:val="22"/>
          <w:lang w:val="es-ES_tradnl"/>
        </w:rPr>
      </w:pPr>
      <w:r w:rsidRPr="007A0C25">
        <w:rPr>
          <w:rFonts w:ascii="Arial" w:hAnsi="Arial" w:cs="Arial"/>
          <w:b/>
          <w:sz w:val="22"/>
          <w:lang w:val="es-ES_tradnl"/>
        </w:rPr>
        <w:t xml:space="preserve">1. Problema planteado </w:t>
      </w:r>
    </w:p>
    <w:p w14:paraId="0BB91661" w14:textId="77777777" w:rsidR="00B95D7E" w:rsidRPr="007A0C25" w:rsidRDefault="00B95D7E" w:rsidP="006B0A9F">
      <w:pPr>
        <w:spacing w:line="276" w:lineRule="auto"/>
        <w:contextualSpacing/>
        <w:jc w:val="both"/>
        <w:rPr>
          <w:rFonts w:ascii="Arial" w:hAnsi="Arial" w:cs="Arial"/>
          <w:sz w:val="22"/>
          <w:lang w:val="es-ES_tradnl"/>
        </w:rPr>
      </w:pPr>
    </w:p>
    <w:p w14:paraId="55B20490" w14:textId="19130BA7" w:rsidR="00AC55A0" w:rsidRPr="007A0C25" w:rsidRDefault="00B95D7E" w:rsidP="006B0A9F">
      <w:pPr>
        <w:spacing w:line="276" w:lineRule="auto"/>
        <w:contextualSpacing/>
        <w:jc w:val="both"/>
        <w:rPr>
          <w:rFonts w:ascii="Arial" w:hAnsi="Arial" w:cs="Arial"/>
          <w:sz w:val="22"/>
          <w:lang w:val="es-ES_tradnl"/>
        </w:rPr>
      </w:pPr>
      <w:r w:rsidRPr="007A0C25">
        <w:rPr>
          <w:rFonts w:ascii="Arial" w:hAnsi="Arial" w:cs="Arial"/>
          <w:sz w:val="22"/>
          <w:lang w:val="es-ES_tradnl"/>
        </w:rPr>
        <w:t>Respecto de la Ley de Garantías Electorales, u</w:t>
      </w:r>
      <w:r w:rsidR="00AC55A0" w:rsidRPr="007A0C25">
        <w:rPr>
          <w:rFonts w:ascii="Arial" w:hAnsi="Arial" w:cs="Arial"/>
          <w:sz w:val="22"/>
          <w:lang w:val="es-ES_tradnl"/>
        </w:rPr>
        <w:t xml:space="preserve">sted formula la siguiente consulta: </w:t>
      </w:r>
    </w:p>
    <w:p w14:paraId="0AB2BF4B" w14:textId="77777777" w:rsidR="006B0A9F" w:rsidRPr="007A0C25" w:rsidRDefault="006B0A9F" w:rsidP="006B0A9F">
      <w:pPr>
        <w:spacing w:line="276" w:lineRule="auto"/>
        <w:contextualSpacing/>
        <w:jc w:val="both"/>
        <w:rPr>
          <w:rFonts w:ascii="Arial" w:hAnsi="Arial" w:cs="Arial"/>
          <w:sz w:val="22"/>
          <w:lang w:val="es-ES_tradnl"/>
        </w:rPr>
      </w:pPr>
    </w:p>
    <w:p w14:paraId="2965E1A1" w14:textId="104071F4" w:rsidR="00AC55A0" w:rsidRPr="007A0C25" w:rsidRDefault="00AC55A0" w:rsidP="006B0A9F">
      <w:pPr>
        <w:ind w:left="567" w:right="788"/>
        <w:contextualSpacing/>
        <w:jc w:val="both"/>
        <w:rPr>
          <w:rFonts w:ascii="Arial" w:hAnsi="Arial" w:cs="Arial"/>
          <w:sz w:val="21"/>
          <w:szCs w:val="21"/>
          <w:lang w:val="es-ES_tradnl"/>
        </w:rPr>
      </w:pPr>
      <w:r w:rsidRPr="007A0C25">
        <w:rPr>
          <w:rFonts w:ascii="Arial" w:hAnsi="Arial" w:cs="Arial"/>
          <w:sz w:val="21"/>
          <w:szCs w:val="21"/>
          <w:lang w:val="es-ES_tradnl"/>
        </w:rPr>
        <w:t>«¿</w:t>
      </w:r>
      <w:r w:rsidR="00ED22C6" w:rsidRPr="007A0C25">
        <w:rPr>
          <w:rFonts w:ascii="Arial" w:hAnsi="Arial" w:cs="Arial"/>
          <w:sz w:val="21"/>
          <w:szCs w:val="21"/>
        </w:rPr>
        <w:t>3. Puede un Municipio firmar convenio y/o contratos como resultado de una convocatoria pública adelantada por los gobiernos nacionales cuya etapa de finalización (firma de convenio o contrato) se enmarca dentro del término de vigilia de la ley de garantías</w:t>
      </w:r>
      <w:r w:rsidRPr="007A0C25">
        <w:rPr>
          <w:rFonts w:ascii="Arial" w:hAnsi="Arial" w:cs="Arial"/>
          <w:sz w:val="21"/>
          <w:szCs w:val="21"/>
          <w:lang w:val="es-ES_tradnl"/>
        </w:rPr>
        <w:t>?».</w:t>
      </w:r>
    </w:p>
    <w:p w14:paraId="1360552A" w14:textId="77777777" w:rsidR="006B0A9F" w:rsidRPr="007A0C25" w:rsidRDefault="006B0A9F" w:rsidP="006B0A9F">
      <w:pPr>
        <w:ind w:left="567" w:right="788"/>
        <w:contextualSpacing/>
        <w:jc w:val="both"/>
        <w:rPr>
          <w:rFonts w:ascii="Arial" w:hAnsi="Arial" w:cs="Arial"/>
          <w:sz w:val="21"/>
          <w:szCs w:val="21"/>
          <w:lang w:val="es-ES_tradnl"/>
        </w:rPr>
      </w:pPr>
    </w:p>
    <w:p w14:paraId="448DA4BF" w14:textId="77777777" w:rsidR="00AC55A0" w:rsidRPr="007A0C25" w:rsidRDefault="00AC55A0" w:rsidP="006B0A9F">
      <w:pPr>
        <w:contextualSpacing/>
        <w:rPr>
          <w:rFonts w:ascii="Arial" w:hAnsi="Arial" w:cs="Arial"/>
          <w:b/>
          <w:sz w:val="22"/>
          <w:lang w:val="es-ES_tradnl"/>
        </w:rPr>
      </w:pPr>
      <w:r w:rsidRPr="007A0C25">
        <w:rPr>
          <w:rFonts w:ascii="Arial" w:hAnsi="Arial" w:cs="Arial"/>
          <w:b/>
          <w:sz w:val="22"/>
          <w:lang w:val="es-ES_tradnl"/>
        </w:rPr>
        <w:t xml:space="preserve">2. Consideraciones </w:t>
      </w:r>
    </w:p>
    <w:p w14:paraId="08F60344" w14:textId="77777777" w:rsidR="00AC55A0" w:rsidRPr="007A0C25" w:rsidRDefault="00AC55A0" w:rsidP="006B0A9F">
      <w:pPr>
        <w:contextualSpacing/>
        <w:jc w:val="both"/>
        <w:rPr>
          <w:rFonts w:ascii="Arial" w:hAnsi="Arial" w:cs="Arial"/>
          <w:bCs/>
          <w:sz w:val="22"/>
          <w:lang w:val="es-ES"/>
        </w:rPr>
      </w:pPr>
    </w:p>
    <w:p w14:paraId="60E7ECF1" w14:textId="1B49E7FD" w:rsidR="00AC55A0" w:rsidRPr="007A0C25" w:rsidRDefault="00AC55A0" w:rsidP="00AC55A0">
      <w:pPr>
        <w:spacing w:after="120" w:line="276" w:lineRule="auto"/>
        <w:jc w:val="both"/>
        <w:rPr>
          <w:rFonts w:ascii="Arial" w:hAnsi="Arial" w:cs="Arial"/>
          <w:bCs/>
          <w:sz w:val="22"/>
          <w:lang w:val="es-ES"/>
        </w:rPr>
      </w:pPr>
      <w:r w:rsidRPr="007A0C25">
        <w:rPr>
          <w:rFonts w:ascii="Arial" w:hAnsi="Arial" w:cs="Arial"/>
          <w:bCs/>
          <w:sz w:val="22"/>
          <w:lang w:val="es-ES"/>
        </w:rPr>
        <w:t>En ejercicio de las competencias establecidas en los artículos 3.5 y 11.8 del Decreto</w:t>
      </w:r>
      <w:r w:rsidR="006B0A9F" w:rsidRPr="007A0C25">
        <w:rPr>
          <w:rFonts w:ascii="Arial" w:hAnsi="Arial" w:cs="Arial"/>
          <w:bCs/>
          <w:sz w:val="22"/>
          <w:lang w:val="es-ES"/>
        </w:rPr>
        <w:t xml:space="preserve"> Ley</w:t>
      </w:r>
      <w:r w:rsidRPr="007A0C25">
        <w:rPr>
          <w:rFonts w:ascii="Arial" w:hAnsi="Arial" w:cs="Arial"/>
          <w:bCs/>
          <w:sz w:val="22"/>
          <w:lang w:val="es-ES"/>
        </w:rPr>
        <w:t xml:space="preserve">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3C79BDF5" w14:textId="0C8BF078" w:rsidR="00AC55A0" w:rsidRPr="007A0C25" w:rsidRDefault="00AC55A0" w:rsidP="00AC55A0">
      <w:pPr>
        <w:spacing w:after="120" w:line="276" w:lineRule="auto"/>
        <w:ind w:firstLine="708"/>
        <w:jc w:val="both"/>
        <w:rPr>
          <w:rFonts w:ascii="Arial" w:hAnsi="Arial" w:cs="Arial"/>
          <w:bCs/>
          <w:sz w:val="22"/>
          <w:lang w:val="es-ES"/>
        </w:rPr>
      </w:pPr>
      <w:r w:rsidRPr="007A0C25">
        <w:rPr>
          <w:rFonts w:ascii="Arial" w:hAnsi="Arial" w:cs="Arial"/>
          <w:bCs/>
          <w:sz w:val="22"/>
          <w:lang w:val="es-ES"/>
        </w:rPr>
        <w:t xml:space="preserve">La competencia de esta entidad se fija con límites claros, con el objeto de evitar que la Agencia actúe como una instancia de validación de las actuaciones de las entidades sujetas a la Ley 80 de 1993 o de los demás participes de la contratación pública. Esta competencia de interpretación de normas generales, por definición, no puede extenderse a la resolución de controversias ni brindar asesorías sobre casos puntuales. </w:t>
      </w:r>
      <w:r w:rsidRPr="007A0C25">
        <w:rPr>
          <w:rFonts w:ascii="Arial" w:hAnsi="Arial" w:cs="Arial"/>
          <w:sz w:val="22"/>
          <w:lang w:val="es-ES"/>
        </w:rPr>
        <w:t>Esto en la medida en que</w:t>
      </w:r>
      <w:r w:rsidR="002A1FC9" w:rsidRPr="007A0C25">
        <w:rPr>
          <w:rFonts w:ascii="Arial" w:hAnsi="Arial" w:cs="Arial"/>
          <w:sz w:val="22"/>
          <w:lang w:val="es-ES"/>
        </w:rPr>
        <w:t>,</w:t>
      </w:r>
      <w:r w:rsidRPr="007A0C25">
        <w:rPr>
          <w:rFonts w:ascii="Arial" w:hAnsi="Arial" w:cs="Arial"/>
          <w:sz w:val="22"/>
          <w:lang w:val="es-ES"/>
        </w:rPr>
        <w:t xml:space="preserve"> para resolver una consulta de carácter particular</w:t>
      </w:r>
      <w:r w:rsidR="002A1FC9" w:rsidRPr="007A0C25">
        <w:rPr>
          <w:rFonts w:ascii="Arial" w:hAnsi="Arial" w:cs="Arial"/>
          <w:sz w:val="22"/>
          <w:lang w:val="es-ES"/>
        </w:rPr>
        <w:t xml:space="preserve"> es necesario </w:t>
      </w:r>
      <w:r w:rsidRPr="007A0C25">
        <w:rPr>
          <w:rFonts w:ascii="Arial" w:hAnsi="Arial" w:cs="Arial"/>
          <w:sz w:val="22"/>
          <w:lang w:val="es-ES"/>
        </w:rPr>
        <w:t>conocer un sinnúmero de detalles de la actuación administrativa</w:t>
      </w:r>
      <w:r w:rsidR="002A1FC9" w:rsidRPr="007A0C25">
        <w:rPr>
          <w:rFonts w:ascii="Arial" w:hAnsi="Arial" w:cs="Arial"/>
          <w:sz w:val="22"/>
          <w:lang w:val="es-ES"/>
        </w:rPr>
        <w:t xml:space="preserve"> y </w:t>
      </w:r>
      <w:r w:rsidRPr="007A0C25">
        <w:rPr>
          <w:rFonts w:ascii="Arial" w:hAnsi="Arial" w:cs="Arial"/>
          <w:sz w:val="22"/>
          <w:lang w:val="es-ES"/>
        </w:rPr>
        <w:t>acceder a los documentos del procedimiento contractual donde surge la inquietud.</w:t>
      </w:r>
      <w:r w:rsidRPr="007A0C25">
        <w:rPr>
          <w:rFonts w:ascii="Arial" w:hAnsi="Arial" w:cs="Arial"/>
          <w:bCs/>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w:t>
      </w:r>
    </w:p>
    <w:p w14:paraId="257922C4" w14:textId="77777777" w:rsidR="00AC55A0" w:rsidRPr="007A0C25" w:rsidRDefault="00AC55A0" w:rsidP="00AC55A0">
      <w:pPr>
        <w:spacing w:before="120" w:after="120" w:line="276" w:lineRule="auto"/>
        <w:ind w:firstLine="709"/>
        <w:jc w:val="both"/>
        <w:rPr>
          <w:rFonts w:ascii="Arial" w:eastAsia="Calibri" w:hAnsi="Arial" w:cs="Arial"/>
          <w:sz w:val="22"/>
        </w:rPr>
      </w:pPr>
      <w:r w:rsidRPr="007A0C25">
        <w:rPr>
          <w:rFonts w:ascii="Arial" w:eastAsia="Calibri" w:hAnsi="Arial" w:cs="Arial"/>
          <w:bCs/>
          <w:sz w:val="22"/>
          <w:lang w:eastAsia="es-CO"/>
        </w:rPr>
        <w:t xml:space="preserve">Bajo estas consideraciones, corresponde a cada entidad pública, en ejercicio de su competencia y previa valoración de los elementos fácticos y jurídicos, determinar si es procedente o no la celebración de un determinado contrato en específico. Al tratarse de un </w:t>
      </w:r>
      <w:r w:rsidRPr="007A0C25">
        <w:rPr>
          <w:rFonts w:ascii="Arial" w:eastAsia="Calibri" w:hAnsi="Arial" w:cs="Arial"/>
          <w:bCs/>
          <w:sz w:val="22"/>
          <w:lang w:eastAsia="es-CO"/>
        </w:rPr>
        <w:lastRenderedPageBreak/>
        <w:t>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sz w:val="22"/>
          <w:lang w:val="es-ES"/>
        </w:rPr>
        <w:t xml:space="preserve"> </w:t>
      </w:r>
    </w:p>
    <w:p w14:paraId="33378CF9" w14:textId="0B91B2D2" w:rsidR="00AC55A0" w:rsidRPr="007A0C25" w:rsidRDefault="00AC55A0" w:rsidP="00AC55A0">
      <w:pPr>
        <w:spacing w:after="120" w:line="276" w:lineRule="auto"/>
        <w:ind w:firstLine="708"/>
        <w:jc w:val="both"/>
        <w:rPr>
          <w:rFonts w:ascii="Arial" w:hAnsi="Arial" w:cs="Arial"/>
          <w:bCs/>
          <w:sz w:val="22"/>
          <w:lang w:val="es-ES"/>
        </w:rPr>
      </w:pPr>
      <w:r w:rsidRPr="007A0C25">
        <w:rPr>
          <w:rFonts w:ascii="Arial" w:hAnsi="Arial" w:cs="Arial"/>
          <w:bCs/>
          <w:sz w:val="22"/>
          <w:lang w:val="es-ES"/>
        </w:rPr>
        <w:t xml:space="preserve">En este contexto, la Subdirección –dentro de los límites de sus atribuciones, esto es, haciendo abstracción del caso particular expuesto por el peticionario– resolverá la consulta conforme a las normas generales en materia de contratación estatal. Con este objetivo se analizarán los siguientes temas: </w:t>
      </w:r>
      <w:r w:rsidRPr="007A0C25">
        <w:rPr>
          <w:rFonts w:ascii="Arial" w:hAnsi="Arial" w:cs="Arial"/>
          <w:bCs/>
          <w:sz w:val="22"/>
        </w:rPr>
        <w:t>i) definición y finalidad de la Ley de Garantías Electorales, ii) restricciones para elecciones presidenciales, iii) destinatarios de la prohibición del artículo 33 de la Ley 996 de 2005</w:t>
      </w:r>
      <w:r w:rsidR="002A1FC9" w:rsidRPr="007A0C25">
        <w:rPr>
          <w:rFonts w:ascii="Arial" w:hAnsi="Arial" w:cs="Arial"/>
          <w:bCs/>
          <w:sz w:val="22"/>
        </w:rPr>
        <w:t xml:space="preserve"> y</w:t>
      </w:r>
      <w:r w:rsidRPr="007A0C25">
        <w:rPr>
          <w:rFonts w:ascii="Arial" w:hAnsi="Arial" w:cs="Arial"/>
          <w:bCs/>
          <w:sz w:val="22"/>
        </w:rPr>
        <w:t>, iv) restricciones en los comicios para cargos de elección popular</w:t>
      </w:r>
      <w:r w:rsidR="002A1FC9" w:rsidRPr="007A0C25">
        <w:rPr>
          <w:rFonts w:ascii="Arial" w:hAnsi="Arial" w:cs="Arial"/>
          <w:bCs/>
          <w:sz w:val="22"/>
        </w:rPr>
        <w:t xml:space="preserve">. </w:t>
      </w:r>
    </w:p>
    <w:p w14:paraId="75280924" w14:textId="40CF71FF" w:rsidR="00AC55A0" w:rsidRPr="007A0C25" w:rsidRDefault="00AC55A0" w:rsidP="00AC55A0">
      <w:pPr>
        <w:tabs>
          <w:tab w:val="left" w:pos="426"/>
        </w:tabs>
        <w:spacing w:line="276" w:lineRule="auto"/>
        <w:ind w:firstLine="709"/>
        <w:jc w:val="both"/>
        <w:rPr>
          <w:rFonts w:ascii="Arial" w:eastAsia="Calibri" w:hAnsi="Arial" w:cs="Arial"/>
          <w:sz w:val="22"/>
          <w:lang w:val="es-ES_tradnl"/>
        </w:rPr>
      </w:pPr>
      <w:bookmarkStart w:id="7" w:name="_Hlk96420693"/>
      <w:r w:rsidRPr="007A0C25">
        <w:rPr>
          <w:rFonts w:ascii="Arial" w:eastAsia="Calibri" w:hAnsi="Arial" w:cs="Arial"/>
          <w:sz w:val="22"/>
          <w:lang w:val="es-ES_tradnl"/>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00694BFC" w:rsidRPr="007A0C25">
        <w:rPr>
          <w:rFonts w:ascii="Arial" w:eastAsia="Calibri" w:hAnsi="Arial" w:cs="Arial"/>
          <w:bCs/>
          <w:sz w:val="22"/>
        </w:rPr>
        <w:t xml:space="preserve">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w:t>
      </w:r>
      <w:r w:rsidR="00694BFC" w:rsidRPr="007A0C25">
        <w:rPr>
          <w:rFonts w:ascii="Arial" w:eastAsia="Calibri" w:hAnsi="Arial" w:cs="Arial"/>
          <w:bCs/>
          <w:sz w:val="22"/>
        </w:rPr>
        <w:lastRenderedPageBreak/>
        <w:t>C-102 del 22 de marzo de 2022, C-107 del 18 de marzo de 2022, C-111 del 22 de marzo de 2022. C-115 del 22 de marzo de 2022, C-116 del 18 de marzo de 2022, C-127 del 22 de marzo de 2022 y C-164 del 22 de marzo de 2022</w:t>
      </w:r>
      <w:r w:rsidRPr="007A0C25">
        <w:rPr>
          <w:rFonts w:ascii="Arial" w:eastAsia="Calibri" w:hAnsi="Arial" w:cs="Arial"/>
          <w:sz w:val="22"/>
          <w:lang w:val="es-ES_tradnl"/>
        </w:rPr>
        <w:t>. La tesis desarrollada en estos conceptos se reitera y complementa a continuación:</w:t>
      </w:r>
      <w:bookmarkEnd w:id="7"/>
    </w:p>
    <w:p w14:paraId="1BF39E5F" w14:textId="77777777" w:rsidR="00AC55A0" w:rsidRPr="007A0C25" w:rsidRDefault="00AC55A0" w:rsidP="00AC55A0">
      <w:pPr>
        <w:tabs>
          <w:tab w:val="left" w:pos="426"/>
        </w:tabs>
        <w:spacing w:line="276" w:lineRule="auto"/>
        <w:contextualSpacing/>
        <w:jc w:val="both"/>
        <w:rPr>
          <w:rFonts w:ascii="Arial" w:eastAsia="Calibri" w:hAnsi="Arial" w:cs="Arial"/>
          <w:sz w:val="22"/>
          <w:lang w:val="es-ES_tradnl"/>
        </w:rPr>
      </w:pPr>
    </w:p>
    <w:p w14:paraId="6C0F5263" w14:textId="77777777" w:rsidR="00AC55A0" w:rsidRPr="007A0C25" w:rsidRDefault="00AC55A0" w:rsidP="00AC55A0">
      <w:pPr>
        <w:tabs>
          <w:tab w:val="left" w:pos="426"/>
        </w:tabs>
        <w:spacing w:line="276" w:lineRule="auto"/>
        <w:contextualSpacing/>
        <w:jc w:val="both"/>
        <w:rPr>
          <w:rFonts w:ascii="Arial" w:eastAsia="Calibri" w:hAnsi="Arial" w:cs="Arial"/>
          <w:b/>
          <w:bCs/>
          <w:sz w:val="22"/>
        </w:rPr>
      </w:pPr>
      <w:r w:rsidRPr="007A0C25">
        <w:rPr>
          <w:rFonts w:ascii="Arial" w:eastAsia="Calibri" w:hAnsi="Arial" w:cs="Arial"/>
          <w:b/>
          <w:bCs/>
          <w:sz w:val="22"/>
        </w:rPr>
        <w:t>2.1. Definición y finalidad de la Ley de Garantías Electorales: alcance de las restricciones</w:t>
      </w:r>
    </w:p>
    <w:p w14:paraId="22D8A2CB" w14:textId="77777777" w:rsidR="00AC55A0" w:rsidRPr="007A0C25" w:rsidRDefault="00AC55A0" w:rsidP="00AC55A0">
      <w:pPr>
        <w:tabs>
          <w:tab w:val="left" w:pos="426"/>
        </w:tabs>
        <w:spacing w:line="276" w:lineRule="auto"/>
        <w:ind w:firstLine="709"/>
        <w:contextualSpacing/>
        <w:jc w:val="both"/>
        <w:rPr>
          <w:rFonts w:ascii="Arial" w:eastAsia="Calibri" w:hAnsi="Arial" w:cs="Arial"/>
          <w:bCs/>
          <w:sz w:val="22"/>
        </w:rPr>
      </w:pPr>
    </w:p>
    <w:p w14:paraId="6BE9FEEA" w14:textId="77777777" w:rsidR="00AC55A0" w:rsidRPr="007A0C25" w:rsidRDefault="00AC55A0" w:rsidP="00AC55A0">
      <w:pPr>
        <w:tabs>
          <w:tab w:val="left" w:pos="426"/>
        </w:tabs>
        <w:spacing w:after="120" w:line="276" w:lineRule="auto"/>
        <w:jc w:val="both"/>
        <w:rPr>
          <w:rFonts w:ascii="Arial" w:hAnsi="Arial" w:cs="Arial"/>
          <w:bCs/>
          <w:sz w:val="22"/>
          <w:lang w:eastAsia="es-CO"/>
        </w:rPr>
      </w:pPr>
      <w:r w:rsidRPr="007A0C25">
        <w:rPr>
          <w:rFonts w:ascii="Arial" w:eastAsia="Calibri" w:hAnsi="Arial" w:cs="Arial"/>
          <w:bCs/>
          <w:sz w:val="22"/>
        </w:rPr>
        <w:t>El ordenamiento jurídico colombiano contempla previsiones claras para evitar la obtención de beneficios personales en asuntos propios de la administración pública</w:t>
      </w:r>
      <w:r w:rsidRPr="007A0C25">
        <w:rPr>
          <w:rFonts w:ascii="Arial" w:eastAsia="Calibri" w:hAnsi="Arial" w:cs="Arial"/>
          <w:bCs/>
          <w:i/>
          <w:iCs/>
          <w:sz w:val="22"/>
        </w:rPr>
        <w:t xml:space="preserve">. </w:t>
      </w:r>
      <w:r w:rsidRPr="007A0C25">
        <w:rPr>
          <w:rFonts w:ascii="Arial" w:eastAsia="Calibri" w:hAnsi="Arial" w:cs="Arial"/>
          <w:bCs/>
          <w:sz w:val="22"/>
        </w:rPr>
        <w:t>Por ejemplo, el artículo 127 de la Constitución Política establece una prohibición contractual a los servidores públicos y en cuanto a aspectos políticos consagra restricciones a ciertos empleados del Estado, incluso en época no electoral</w:t>
      </w:r>
      <w:r w:rsidRPr="007A0C25">
        <w:rPr>
          <w:rFonts w:ascii="Arial" w:eastAsia="Calibri" w:hAnsi="Arial" w:cs="Arial"/>
          <w:bCs/>
          <w:sz w:val="22"/>
          <w:vertAlign w:val="superscript"/>
        </w:rPr>
        <w:footnoteReference w:id="1"/>
      </w:r>
      <w:r w:rsidRPr="007A0C25">
        <w:rPr>
          <w:rFonts w:ascii="Arial" w:eastAsia="Calibri" w:hAnsi="Arial" w:cs="Arial"/>
          <w:bCs/>
          <w:sz w:val="22"/>
        </w:rPr>
        <w:t xml:space="preserve">. </w:t>
      </w:r>
    </w:p>
    <w:p w14:paraId="0AE5478E" w14:textId="77777777" w:rsidR="00AC55A0" w:rsidRPr="007A0C25" w:rsidRDefault="00AC55A0" w:rsidP="00AC55A0">
      <w:pPr>
        <w:tabs>
          <w:tab w:val="left" w:pos="426"/>
        </w:tabs>
        <w:spacing w:line="276" w:lineRule="auto"/>
        <w:ind w:firstLine="709"/>
        <w:jc w:val="both"/>
        <w:rPr>
          <w:rFonts w:ascii="Arial" w:hAnsi="Arial" w:cs="Arial"/>
          <w:bCs/>
          <w:sz w:val="22"/>
          <w:lang w:eastAsia="es-CO"/>
        </w:rPr>
      </w:pPr>
      <w:r w:rsidRPr="007A0C25">
        <w:rPr>
          <w:rFonts w:ascii="Arial" w:hAnsi="Arial" w:cs="Arial"/>
          <w:bCs/>
          <w:sz w:val="22"/>
          <w:lang w:eastAsia="es-CO"/>
        </w:rPr>
        <w:t xml:space="preserve">En el mismo sentido, </w:t>
      </w:r>
      <w:bookmarkStart w:id="8" w:name="_Hlk99576829"/>
      <w:r w:rsidRPr="007A0C25">
        <w:rPr>
          <w:rFonts w:ascii="Arial" w:hAnsi="Arial" w:cs="Arial"/>
          <w:bCs/>
          <w:sz w:val="22"/>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A0C25">
        <w:rPr>
          <w:rFonts w:ascii="Arial" w:hAnsi="Arial" w:cs="Arial"/>
          <w:bCs/>
          <w:sz w:val="22"/>
          <w:vertAlign w:val="superscript"/>
          <w:lang w:eastAsia="es-CO"/>
        </w:rPr>
        <w:footnoteReference w:id="2"/>
      </w:r>
      <w:r w:rsidRPr="007A0C25">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7A0C25">
        <w:rPr>
          <w:rFonts w:ascii="Arial" w:eastAsia="Calibri" w:hAnsi="Arial" w:cs="Arial"/>
          <w:noProof/>
          <w:sz w:val="22"/>
          <w:lang w:val="es-ES_tradnl"/>
        </w:rPr>
        <w:t xml:space="preserve"> </w:t>
      </w:r>
      <w:bookmarkEnd w:id="8"/>
      <w:r w:rsidRPr="007A0C25">
        <w:rPr>
          <w:rFonts w:ascii="Arial" w:hAnsi="Arial" w:cs="Arial"/>
          <w:bCs/>
          <w:sz w:val="22"/>
          <w:lang w:eastAsia="es-CO"/>
        </w:rPr>
        <w:t>En armonía con lo anterior, la Corte Constitucional ha abordado la definición de la Ley de Garantías Electorales. De esta manera, explica que tiene como propósito:</w:t>
      </w:r>
    </w:p>
    <w:p w14:paraId="18F6BF78" w14:textId="77777777" w:rsidR="00AC55A0" w:rsidRPr="007A0C25" w:rsidRDefault="00AC55A0" w:rsidP="004F1BFA">
      <w:pPr>
        <w:ind w:right="709"/>
        <w:contextualSpacing/>
        <w:jc w:val="both"/>
        <w:rPr>
          <w:rFonts w:ascii="Arial" w:hAnsi="Arial" w:cs="Arial"/>
          <w:color w:val="FF0000"/>
          <w:sz w:val="22"/>
          <w:lang w:val="es-ES" w:eastAsia="es-CO"/>
        </w:rPr>
      </w:pPr>
    </w:p>
    <w:p w14:paraId="4D1C30DD"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sz w:val="21"/>
          <w:szCs w:val="21"/>
          <w:lang w:val="es-ES" w:eastAsia="es-CO"/>
        </w:rPr>
        <w:t xml:space="preserve">[…] </w:t>
      </w:r>
      <w:r w:rsidRPr="007A0C25">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2572B878" w14:textId="77777777" w:rsidR="004F1BFA" w:rsidRPr="007A0C25" w:rsidRDefault="004F1BFA" w:rsidP="004F1BFA">
      <w:pPr>
        <w:ind w:left="709" w:right="709"/>
        <w:contextualSpacing/>
        <w:jc w:val="both"/>
        <w:rPr>
          <w:rFonts w:ascii="Arial" w:hAnsi="Arial" w:cs="Arial"/>
          <w:bCs/>
          <w:sz w:val="21"/>
          <w:szCs w:val="21"/>
          <w:lang w:eastAsia="es-CO"/>
        </w:rPr>
      </w:pPr>
    </w:p>
    <w:p w14:paraId="4D8B790F" w14:textId="3DC40EA6"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 </w:t>
      </w:r>
    </w:p>
    <w:p w14:paraId="7AB00811" w14:textId="77777777" w:rsidR="00AC55A0" w:rsidRPr="007A0C25" w:rsidRDefault="00AC55A0" w:rsidP="004F1BFA">
      <w:pPr>
        <w:ind w:right="709"/>
        <w:contextualSpacing/>
        <w:jc w:val="both"/>
        <w:rPr>
          <w:rFonts w:ascii="Arial" w:hAnsi="Arial" w:cs="Arial"/>
          <w:bCs/>
          <w:sz w:val="21"/>
          <w:szCs w:val="21"/>
          <w:lang w:eastAsia="es-CO"/>
        </w:rPr>
      </w:pPr>
    </w:p>
    <w:p w14:paraId="4E32694A"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w:t>
      </w:r>
      <w:r w:rsidRPr="007A0C25">
        <w:rPr>
          <w:rFonts w:ascii="Arial" w:hAnsi="Arial" w:cs="Arial"/>
          <w:bCs/>
          <w:sz w:val="21"/>
          <w:szCs w:val="21"/>
          <w:lang w:eastAsia="es-CO"/>
        </w:rPr>
        <w:lastRenderedPageBreak/>
        <w:t>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7A0C25">
        <w:rPr>
          <w:rFonts w:ascii="Arial" w:eastAsia="Calibri" w:hAnsi="Arial" w:cs="Arial"/>
          <w:sz w:val="21"/>
          <w:szCs w:val="21"/>
          <w:vertAlign w:val="superscript"/>
        </w:rPr>
        <w:footnoteReference w:id="3"/>
      </w:r>
    </w:p>
    <w:p w14:paraId="7EFE121F" w14:textId="77777777" w:rsidR="00AC55A0" w:rsidRPr="007A0C25" w:rsidRDefault="00AC55A0" w:rsidP="004F1BFA">
      <w:pPr>
        <w:spacing w:line="276" w:lineRule="auto"/>
        <w:ind w:left="708" w:right="709"/>
        <w:contextualSpacing/>
        <w:jc w:val="both"/>
        <w:rPr>
          <w:rFonts w:ascii="Arial" w:hAnsi="Arial" w:cs="Arial"/>
          <w:bCs/>
          <w:sz w:val="22"/>
          <w:lang w:eastAsia="es-CO"/>
        </w:rPr>
      </w:pPr>
    </w:p>
    <w:p w14:paraId="740A3215" w14:textId="77777777" w:rsidR="00AC55A0" w:rsidRPr="007A0C25" w:rsidRDefault="00AC55A0" w:rsidP="004F1BFA">
      <w:pPr>
        <w:spacing w:line="276" w:lineRule="auto"/>
        <w:ind w:firstLine="709"/>
        <w:contextualSpacing/>
        <w:jc w:val="both"/>
        <w:rPr>
          <w:rFonts w:ascii="Arial" w:hAnsi="Arial" w:cs="Arial"/>
          <w:bCs/>
          <w:sz w:val="22"/>
          <w:lang w:eastAsia="es-CO"/>
        </w:rPr>
      </w:pPr>
      <w:bookmarkStart w:id="9" w:name="_Hlk78818186"/>
      <w:r w:rsidRPr="007A0C25">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9"/>
      <w:r w:rsidRPr="007A0C25">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46305587" w14:textId="77777777" w:rsidR="00AC55A0" w:rsidRPr="007A0C25" w:rsidRDefault="00AC55A0" w:rsidP="004F1BFA">
      <w:pPr>
        <w:spacing w:line="276" w:lineRule="auto"/>
        <w:ind w:firstLine="709"/>
        <w:contextualSpacing/>
        <w:jc w:val="both"/>
        <w:rPr>
          <w:rFonts w:ascii="Arial" w:hAnsi="Arial" w:cs="Arial"/>
          <w:bCs/>
          <w:sz w:val="22"/>
          <w:lang w:eastAsia="es-CO"/>
        </w:rPr>
      </w:pPr>
    </w:p>
    <w:p w14:paraId="474DE64C"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288CBAD" w14:textId="77777777" w:rsidR="00AC55A0" w:rsidRPr="007A0C25" w:rsidRDefault="00AC55A0" w:rsidP="004F1BFA">
      <w:pPr>
        <w:ind w:left="709" w:right="709"/>
        <w:contextualSpacing/>
        <w:jc w:val="both"/>
        <w:rPr>
          <w:rFonts w:ascii="Arial" w:hAnsi="Arial" w:cs="Arial"/>
          <w:bCs/>
          <w:sz w:val="21"/>
          <w:szCs w:val="21"/>
          <w:lang w:eastAsia="es-CO"/>
        </w:rPr>
      </w:pPr>
    </w:p>
    <w:p w14:paraId="24FA6C10"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La jurisprudencia de la Corte Constitucional</w:t>
      </w:r>
      <w:r w:rsidRPr="007A0C25">
        <w:rPr>
          <w:rFonts w:ascii="Arial" w:hAnsi="Arial" w:cs="Arial"/>
          <w:bCs/>
          <w:sz w:val="21"/>
          <w:szCs w:val="21"/>
          <w:vertAlign w:val="superscript"/>
          <w:lang w:eastAsia="es-CO"/>
        </w:rPr>
        <w:footnoteReference w:id="4"/>
      </w:r>
      <w:r w:rsidRPr="007A0C25">
        <w:rPr>
          <w:rFonts w:ascii="Arial" w:hAnsi="Arial" w:cs="Arial"/>
          <w:bCs/>
          <w:sz w:val="21"/>
          <w:szCs w:val="21"/>
          <w:lang w:eastAsia="es-CO"/>
        </w:rPr>
        <w:t> y del Consejo de Estado</w:t>
      </w:r>
      <w:r w:rsidRPr="007A0C25">
        <w:rPr>
          <w:rFonts w:ascii="Arial" w:hAnsi="Arial" w:cs="Arial"/>
          <w:bCs/>
          <w:sz w:val="21"/>
          <w:szCs w:val="21"/>
          <w:vertAlign w:val="superscript"/>
          <w:lang w:eastAsia="es-CO"/>
        </w:rPr>
        <w:footnoteReference w:id="5"/>
      </w:r>
      <w:r w:rsidRPr="007A0C25">
        <w:rPr>
          <w:rFonts w:ascii="Arial"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w:t>
      </w:r>
      <w:r w:rsidRPr="007A0C25">
        <w:rPr>
          <w:rFonts w:ascii="Arial" w:hAnsi="Arial" w:cs="Arial"/>
          <w:bCs/>
          <w:sz w:val="21"/>
          <w:szCs w:val="21"/>
          <w:lang w:eastAsia="es-CO"/>
        </w:rPr>
        <w:lastRenderedPageBreak/>
        <w:t>obrar, sobrepasar sus precisos términos comporta el desconocimiento de la voluntad del legislador</w:t>
      </w:r>
      <w:r w:rsidRPr="007A0C25">
        <w:rPr>
          <w:rFonts w:ascii="Arial" w:hAnsi="Arial" w:cs="Arial"/>
          <w:bCs/>
          <w:sz w:val="21"/>
          <w:szCs w:val="21"/>
          <w:vertAlign w:val="superscript"/>
          <w:lang w:eastAsia="es-CO"/>
        </w:rPr>
        <w:footnoteReference w:id="6"/>
      </w:r>
      <w:r w:rsidRPr="007A0C25">
        <w:rPr>
          <w:rFonts w:ascii="Arial" w:hAnsi="Arial" w:cs="Arial"/>
          <w:bCs/>
          <w:sz w:val="21"/>
          <w:szCs w:val="21"/>
          <w:lang w:eastAsia="es-CO"/>
        </w:rPr>
        <w:t>.</w:t>
      </w:r>
    </w:p>
    <w:p w14:paraId="36106ED7" w14:textId="77777777" w:rsidR="00AC55A0" w:rsidRPr="007A0C25" w:rsidRDefault="00AC55A0" w:rsidP="00AC55A0">
      <w:pPr>
        <w:spacing w:line="276" w:lineRule="auto"/>
        <w:ind w:right="709"/>
        <w:contextualSpacing/>
        <w:jc w:val="both"/>
        <w:rPr>
          <w:rFonts w:ascii="Arial" w:hAnsi="Arial" w:cs="Arial"/>
          <w:bCs/>
          <w:color w:val="FF0000"/>
          <w:sz w:val="22"/>
          <w:lang w:eastAsia="es-CO"/>
        </w:rPr>
      </w:pPr>
    </w:p>
    <w:p w14:paraId="2F78FD75" w14:textId="29513C01" w:rsidR="00AC55A0" w:rsidRPr="007A0C25" w:rsidRDefault="00AC55A0" w:rsidP="007C1E8D">
      <w:pPr>
        <w:spacing w:after="120" w:line="276" w:lineRule="auto"/>
        <w:jc w:val="both"/>
        <w:rPr>
          <w:rFonts w:ascii="Arial" w:eastAsia="Arial" w:hAnsi="Arial" w:cs="Arial"/>
          <w:sz w:val="22"/>
          <w:lang w:val="es-ES" w:eastAsia="es-ES" w:bidi="es-ES"/>
        </w:rPr>
      </w:pPr>
      <w:r w:rsidRPr="007A0C25">
        <w:rPr>
          <w:rFonts w:ascii="Arial" w:hAnsi="Arial" w:cs="Arial"/>
          <w:bCs/>
          <w:sz w:val="22"/>
          <w:lang w:eastAsia="es-CO"/>
        </w:rPr>
        <w:tab/>
        <w:t>De</w:t>
      </w:r>
      <w:r w:rsidRPr="007A0C25">
        <w:rPr>
          <w:rFonts w:ascii="Arial" w:eastAsia="Arial" w:hAnsi="Arial" w:cs="Arial"/>
          <w:sz w:val="22"/>
          <w:lang w:val="es-ES" w:eastAsia="es-ES" w:bidi="es-ES"/>
        </w:rPr>
        <w:t xml:space="preserve"> conformidad con lo anterior, </w:t>
      </w:r>
      <w:bookmarkStart w:id="10" w:name="_Hlk77236098"/>
      <w:r w:rsidRPr="007A0C25">
        <w:rPr>
          <w:rFonts w:ascii="Arial" w:eastAsia="Arial" w:hAnsi="Arial" w:cs="Arial"/>
          <w:sz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w:t>
      </w:r>
      <w:r w:rsidR="0082658D" w:rsidRPr="007A0C25">
        <w:rPr>
          <w:rFonts w:ascii="Arial" w:eastAsia="Arial" w:hAnsi="Arial" w:cs="Arial"/>
          <w:sz w:val="22"/>
          <w:lang w:val="es-ES" w:eastAsia="es-ES" w:bidi="es-ES"/>
        </w:rPr>
        <w:t>n</w:t>
      </w:r>
      <w:r w:rsidRPr="007A0C25">
        <w:rPr>
          <w:rFonts w:ascii="Arial" w:eastAsia="Arial" w:hAnsi="Arial" w:cs="Arial"/>
          <w:sz w:val="22"/>
          <w:lang w:val="es-ES" w:eastAsia="es-ES" w:bidi="es-ES"/>
        </w:rPr>
        <w:t xml:space="preserv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0"/>
    </w:p>
    <w:p w14:paraId="4FA032B1" w14:textId="77777777" w:rsidR="00AC55A0" w:rsidRPr="007A0C25" w:rsidRDefault="00AC55A0" w:rsidP="007C1E8D">
      <w:pPr>
        <w:spacing w:after="120" w:line="276" w:lineRule="auto"/>
        <w:ind w:firstLine="708"/>
        <w:jc w:val="both"/>
        <w:rPr>
          <w:rFonts w:ascii="Arial" w:eastAsia="Calibri" w:hAnsi="Arial" w:cs="Arial"/>
          <w:sz w:val="22"/>
        </w:rPr>
      </w:pPr>
      <w:r w:rsidRPr="007A0C25">
        <w:rPr>
          <w:rFonts w:ascii="Arial" w:eastAsia="Calibri" w:hAnsi="Arial" w:cs="Arial"/>
          <w:sz w:val="22"/>
        </w:rPr>
        <w:t xml:space="preserve">Por un lado, el artículo 33 de la Ley 996 de 2005 prohíbe </w:t>
      </w:r>
      <w:r w:rsidRPr="007A0C25">
        <w:rPr>
          <w:rFonts w:ascii="Arial" w:eastAsia="Calibri" w:hAnsi="Arial" w:cs="Arial"/>
          <w:bCs/>
          <w:sz w:val="22"/>
        </w:rPr>
        <w:t xml:space="preserve">«[…] </w:t>
      </w:r>
      <w:r w:rsidRPr="007A0C25">
        <w:rPr>
          <w:rFonts w:ascii="Arial" w:eastAsia="Calibri" w:hAnsi="Arial" w:cs="Arial"/>
          <w:sz w:val="22"/>
        </w:rPr>
        <w:t>la contratación directa por parte de todos los entes del Estado</w:t>
      </w:r>
      <w:r w:rsidRPr="007A0C25">
        <w:rPr>
          <w:rFonts w:ascii="Arial" w:eastAsia="Calibri" w:hAnsi="Arial" w:cs="Arial"/>
          <w:bCs/>
          <w:sz w:val="22"/>
        </w:rPr>
        <w:t>»</w:t>
      </w:r>
      <w:r w:rsidRPr="007A0C25">
        <w:rPr>
          <w:rFonts w:ascii="Arial" w:eastAsia="Calibri" w:hAnsi="Arial" w:cs="Arial"/>
          <w:sz w:val="22"/>
        </w:rPr>
        <w:t xml:space="preserve"> durante los cuatro (4) meses anteriores a las elecciones presidenciales, salvo </w:t>
      </w:r>
      <w:r w:rsidRPr="007A0C25">
        <w:rPr>
          <w:rFonts w:ascii="Arial" w:eastAsia="Calibri" w:hAnsi="Arial" w:cs="Arial"/>
          <w:bCs/>
          <w:sz w:val="22"/>
        </w:rPr>
        <w:t xml:space="preserve">«[…] </w:t>
      </w:r>
      <w:r w:rsidRPr="007A0C25">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A0C25">
        <w:rPr>
          <w:rFonts w:ascii="Arial" w:eastAsia="Calibri" w:hAnsi="Arial" w:cs="Arial"/>
          <w:bCs/>
          <w:sz w:val="22"/>
        </w:rPr>
        <w:t>»</w:t>
      </w:r>
      <w:r w:rsidRPr="007A0C25">
        <w:rPr>
          <w:rFonts w:ascii="Arial" w:eastAsia="Calibri" w:hAnsi="Arial" w:cs="Arial"/>
          <w:bCs/>
          <w:sz w:val="22"/>
          <w:vertAlign w:val="superscript"/>
        </w:rPr>
        <w:footnoteReference w:id="7"/>
      </w:r>
      <w:r w:rsidRPr="007A0C25">
        <w:rPr>
          <w:rFonts w:ascii="Arial" w:eastAsia="Calibri" w:hAnsi="Arial" w:cs="Arial"/>
          <w:sz w:val="22"/>
        </w:rPr>
        <w:t>.</w:t>
      </w:r>
    </w:p>
    <w:p w14:paraId="269357E8" w14:textId="77777777" w:rsidR="007C1E8D" w:rsidRPr="007A0C25" w:rsidRDefault="00AC55A0" w:rsidP="007C1E8D">
      <w:pPr>
        <w:widowControl w:val="0"/>
        <w:autoSpaceDE w:val="0"/>
        <w:autoSpaceDN w:val="0"/>
        <w:spacing w:after="120" w:line="276" w:lineRule="auto"/>
        <w:ind w:right="113" w:firstLine="708"/>
        <w:jc w:val="both"/>
        <w:rPr>
          <w:rFonts w:ascii="Arial" w:eastAsia="Arial" w:hAnsi="Arial" w:cs="Arial"/>
          <w:sz w:val="22"/>
          <w:lang w:val="es-ES" w:eastAsia="es-ES" w:bidi="es-ES"/>
        </w:rPr>
      </w:pPr>
      <w:r w:rsidRPr="007A0C25">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7A0C25">
        <w:rPr>
          <w:rFonts w:ascii="Arial" w:eastAsia="Calibri" w:hAnsi="Arial" w:cs="Arial"/>
          <w:bCs/>
          <w:sz w:val="22"/>
        </w:rPr>
        <w:t xml:space="preserve">«[…] </w:t>
      </w:r>
      <w:r w:rsidRPr="007A0C25">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A0C25">
        <w:rPr>
          <w:rFonts w:ascii="Arial" w:eastAsia="Calibri" w:hAnsi="Arial" w:cs="Arial"/>
          <w:bCs/>
          <w:sz w:val="22"/>
        </w:rPr>
        <w:t>»</w:t>
      </w:r>
      <w:r w:rsidRPr="007A0C25">
        <w:rPr>
          <w:rFonts w:ascii="Arial" w:eastAsia="Calibri" w:hAnsi="Arial" w:cs="Arial"/>
          <w:bCs/>
          <w:sz w:val="22"/>
          <w:vertAlign w:val="superscript"/>
        </w:rPr>
        <w:footnoteReference w:id="8"/>
      </w:r>
      <w:r w:rsidRPr="007A0C25">
        <w:rPr>
          <w:rFonts w:ascii="Arial" w:eastAsia="Calibri" w:hAnsi="Arial" w:cs="Arial"/>
          <w:sz w:val="22"/>
        </w:rPr>
        <w:t>.</w:t>
      </w:r>
      <w:r w:rsidRPr="007A0C25">
        <w:rPr>
          <w:rFonts w:ascii="Arial" w:eastAsia="Arial" w:hAnsi="Arial" w:cs="Arial"/>
          <w:sz w:val="22"/>
          <w:lang w:val="es-ES" w:eastAsia="es-ES" w:bidi="es-ES"/>
        </w:rPr>
        <w:t xml:space="preserve"> </w:t>
      </w:r>
    </w:p>
    <w:p w14:paraId="4FC58B30" w14:textId="43080ACE" w:rsidR="00AC55A0" w:rsidRPr="007A0C25" w:rsidRDefault="00AC55A0" w:rsidP="007C1E8D">
      <w:pPr>
        <w:widowControl w:val="0"/>
        <w:autoSpaceDE w:val="0"/>
        <w:autoSpaceDN w:val="0"/>
        <w:spacing w:line="276" w:lineRule="auto"/>
        <w:ind w:right="113" w:firstLine="709"/>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lastRenderedPageBreak/>
        <w:t>La Sala de Consulta y Servicio Civil del Consejo de Estado ha aclarado la distinción en la aplicación de las prohibiciones de la Ley 996 de 2005, dependiendo del tipo de elección que se trate. Al respecto, considera que:</w:t>
      </w:r>
    </w:p>
    <w:p w14:paraId="687996F0" w14:textId="77777777" w:rsidR="00AC55A0" w:rsidRPr="007A0C25" w:rsidRDefault="00AC55A0" w:rsidP="007C1E8D">
      <w:pPr>
        <w:widowControl w:val="0"/>
        <w:autoSpaceDE w:val="0"/>
        <w:autoSpaceDN w:val="0"/>
        <w:spacing w:line="276" w:lineRule="auto"/>
        <w:ind w:left="805" w:right="812"/>
        <w:contextualSpacing/>
        <w:jc w:val="both"/>
        <w:rPr>
          <w:rFonts w:ascii="Arial" w:eastAsia="Arial" w:hAnsi="Arial" w:cs="Arial"/>
          <w:color w:val="FF0000"/>
          <w:sz w:val="22"/>
          <w:lang w:val="es-ES" w:eastAsia="es-ES" w:bidi="es-ES"/>
        </w:rPr>
      </w:pPr>
    </w:p>
    <w:p w14:paraId="1BA0619C" w14:textId="77777777" w:rsidR="00AC55A0" w:rsidRPr="007A0C25" w:rsidRDefault="00AC55A0" w:rsidP="007C1E8D">
      <w:pPr>
        <w:widowControl w:val="0"/>
        <w:autoSpaceDE w:val="0"/>
        <w:autoSpaceDN w:val="0"/>
        <w:ind w:left="709" w:right="709"/>
        <w:contextualSpacing/>
        <w:jc w:val="both"/>
        <w:rPr>
          <w:rFonts w:ascii="Arial" w:eastAsia="Arial" w:hAnsi="Arial" w:cs="Arial"/>
          <w:sz w:val="21"/>
          <w:szCs w:val="21"/>
          <w:lang w:val="es-ES" w:eastAsia="es-ES" w:bidi="es-ES"/>
        </w:rPr>
      </w:pPr>
      <w:r w:rsidRPr="007A0C2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3" w:name="_Hlk76109421"/>
      <w:r w:rsidRPr="007A0C25">
        <w:rPr>
          <w:rFonts w:ascii="Arial" w:eastAsia="Arial" w:hAnsi="Arial" w:cs="Arial"/>
          <w:sz w:val="21"/>
          <w:szCs w:val="21"/>
          <w:lang w:val="es-ES" w:eastAsia="es-ES" w:bidi="es-ES"/>
        </w:rPr>
        <w:t>se integran parcialmente</w:t>
      </w:r>
      <w:bookmarkEnd w:id="13"/>
      <w:r w:rsidRPr="007A0C2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A0C25">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7A0C25">
        <w:rPr>
          <w:rFonts w:ascii="Arial" w:eastAsia="Arial" w:hAnsi="Arial" w:cs="Arial"/>
          <w:sz w:val="21"/>
          <w:szCs w:val="21"/>
          <w:lang w:val="es-ES" w:eastAsia="es-ES" w:bidi="es-ES"/>
        </w:rPr>
        <w:t>.</w:t>
      </w:r>
      <w:r w:rsidRPr="007A0C25">
        <w:rPr>
          <w:rFonts w:ascii="Arial" w:eastAsia="Arial" w:hAnsi="Arial" w:cs="Arial"/>
          <w:sz w:val="21"/>
          <w:szCs w:val="21"/>
          <w:vertAlign w:val="superscript"/>
          <w:lang w:val="es-ES" w:eastAsia="es-ES" w:bidi="es-ES"/>
        </w:rPr>
        <w:footnoteReference w:id="9"/>
      </w:r>
    </w:p>
    <w:p w14:paraId="72CD7124" w14:textId="77777777" w:rsidR="00AC55A0" w:rsidRPr="007A0C25" w:rsidRDefault="00AC55A0" w:rsidP="007C1E8D">
      <w:pPr>
        <w:widowControl w:val="0"/>
        <w:autoSpaceDE w:val="0"/>
        <w:autoSpaceDN w:val="0"/>
        <w:spacing w:line="276" w:lineRule="auto"/>
        <w:contextualSpacing/>
        <w:rPr>
          <w:rFonts w:ascii="Arial" w:eastAsia="Arial" w:hAnsi="Arial" w:cs="Arial"/>
          <w:color w:val="FF0000"/>
          <w:sz w:val="22"/>
          <w:lang w:val="es-ES" w:eastAsia="es-ES" w:bidi="es-ES"/>
        </w:rPr>
      </w:pPr>
    </w:p>
    <w:p w14:paraId="4E7A5941" w14:textId="02AB2F2B" w:rsidR="00AC55A0" w:rsidRPr="007A0C25" w:rsidRDefault="00AC55A0" w:rsidP="00AC55A0">
      <w:pPr>
        <w:spacing w:after="120" w:line="276" w:lineRule="auto"/>
        <w:ind w:firstLine="709"/>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De conformidad con lo anterior, </w:t>
      </w:r>
      <w:bookmarkStart w:id="14" w:name="_Hlk77236420"/>
      <w:bookmarkStart w:id="15" w:name="_Hlk78818435"/>
      <w:bookmarkStart w:id="16" w:name="_Hlk75780333"/>
      <w:r w:rsidRPr="007A0C25">
        <w:rPr>
          <w:rFonts w:ascii="Arial" w:eastAsia="Arial" w:hAnsi="Arial" w:cs="Arial"/>
          <w:sz w:val="22"/>
          <w:lang w:val="es-ES" w:eastAsia="es-ES" w:bidi="es-ES"/>
        </w:rPr>
        <w:t xml:space="preserve">la Ley 996 de 2005 establece dos (2) tipos de restricciones en materia de contratación, las cuales coinciden parcialmente. </w:t>
      </w:r>
      <w:r w:rsidRPr="007A0C25">
        <w:rPr>
          <w:rFonts w:ascii="Arial" w:eastAsia="Arial" w:hAnsi="Arial" w:cs="Arial"/>
          <w:i/>
          <w:iCs/>
          <w:sz w:val="22"/>
          <w:lang w:val="es-ES" w:eastAsia="es-ES" w:bidi="es-ES"/>
        </w:rPr>
        <w:t>En primer lugar</w:t>
      </w:r>
      <w:r w:rsidRPr="007A0C25">
        <w:rPr>
          <w:rFonts w:ascii="Arial" w:eastAsia="Arial" w:hAnsi="Arial" w:cs="Arial"/>
          <w:sz w:val="22"/>
          <w:lang w:val="es-ES" w:eastAsia="es-ES" w:bidi="es-ES"/>
        </w:rPr>
        <w:t>, la del artículo 33</w:t>
      </w:r>
      <w:r w:rsidR="007C1E8D" w:rsidRPr="007A0C25">
        <w:rPr>
          <w:rFonts w:ascii="Arial" w:eastAsia="Arial" w:hAnsi="Arial" w:cs="Arial"/>
          <w:sz w:val="22"/>
          <w:lang w:val="es-ES" w:eastAsia="es-ES" w:bidi="es-ES"/>
        </w:rPr>
        <w:t>,</w:t>
      </w:r>
      <w:r w:rsidRPr="007A0C25">
        <w:rPr>
          <w:rFonts w:ascii="Arial" w:eastAsia="Arial" w:hAnsi="Arial" w:cs="Arial"/>
          <w:sz w:val="22"/>
          <w:lang w:val="es-ES" w:eastAsia="es-ES" w:bidi="es-ES"/>
        </w:rPr>
        <w:t xml:space="preserve">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7A0C25">
        <w:rPr>
          <w:rFonts w:ascii="Arial" w:eastAsia="Arial" w:hAnsi="Arial" w:cs="Arial"/>
          <w:i/>
          <w:iCs/>
          <w:sz w:val="22"/>
          <w:lang w:val="es-ES" w:eastAsia="es-ES" w:bidi="es-ES"/>
        </w:rPr>
        <w:t>En segundo lugar</w:t>
      </w:r>
      <w:r w:rsidRPr="007A0C25">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46BEF119" w14:textId="77777777" w:rsidR="00AC55A0" w:rsidRPr="007A0C25" w:rsidRDefault="00AC55A0" w:rsidP="00AC55A0">
      <w:pPr>
        <w:spacing w:after="120" w:line="276" w:lineRule="auto"/>
        <w:ind w:firstLine="709"/>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w:t>
      </w:r>
      <w:r w:rsidRPr="007A0C25">
        <w:rPr>
          <w:rFonts w:ascii="Arial" w:eastAsia="Arial" w:hAnsi="Arial" w:cs="Arial"/>
          <w:sz w:val="22"/>
          <w:lang w:val="es-ES" w:eastAsia="es-ES" w:bidi="es-ES"/>
        </w:rPr>
        <w:lastRenderedPageBreak/>
        <w:t>correspondientes al Presidente de la República, las autoridades allí mencionadas sólo deben aplicar las restricciones contenidas en el parágrafo del artículo 38.</w:t>
      </w:r>
    </w:p>
    <w:bookmarkEnd w:id="16"/>
    <w:p w14:paraId="263427CC" w14:textId="77777777" w:rsidR="00AC55A0" w:rsidRPr="007A0C25" w:rsidRDefault="00AC55A0" w:rsidP="000E7A07">
      <w:pPr>
        <w:spacing w:line="276" w:lineRule="auto"/>
        <w:ind w:firstLine="709"/>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9E77D2C" w14:textId="77777777" w:rsidR="00AC55A0" w:rsidRPr="007A0C25" w:rsidRDefault="00AC55A0" w:rsidP="002B4B34">
      <w:pPr>
        <w:spacing w:line="276" w:lineRule="auto"/>
        <w:contextualSpacing/>
        <w:jc w:val="both"/>
        <w:rPr>
          <w:rFonts w:ascii="Arial" w:hAnsi="Arial" w:cs="Arial"/>
          <w:bCs/>
          <w:sz w:val="22"/>
          <w:lang w:val="es-ES" w:eastAsia="es-CO"/>
        </w:rPr>
      </w:pPr>
    </w:p>
    <w:p w14:paraId="00B9E671" w14:textId="77777777" w:rsidR="00AC55A0" w:rsidRPr="007A0C25" w:rsidRDefault="00AC55A0" w:rsidP="002B4B34">
      <w:pPr>
        <w:spacing w:line="276" w:lineRule="auto"/>
        <w:contextualSpacing/>
        <w:jc w:val="both"/>
        <w:rPr>
          <w:rFonts w:ascii="Arial" w:hAnsi="Arial" w:cs="Arial"/>
          <w:b/>
          <w:sz w:val="22"/>
          <w:lang w:val="es-ES" w:eastAsia="es-CO"/>
        </w:rPr>
      </w:pPr>
      <w:r w:rsidRPr="007A0C25">
        <w:rPr>
          <w:rFonts w:ascii="Arial" w:hAnsi="Arial" w:cs="Arial"/>
          <w:b/>
          <w:sz w:val="22"/>
          <w:lang w:val="es-ES" w:eastAsia="es-CO"/>
        </w:rPr>
        <w:t xml:space="preserve">2.2. </w:t>
      </w:r>
      <w:r w:rsidRPr="007A0C25">
        <w:rPr>
          <w:rFonts w:ascii="Arial" w:hAnsi="Arial" w:cs="Arial"/>
          <w:b/>
          <w:bCs/>
          <w:sz w:val="22"/>
          <w:lang w:eastAsia="es-CO"/>
        </w:rPr>
        <w:t>Restricciones en elecciones presidenciales: prohibición del artículo 33 de la Ley 996 de 2005</w:t>
      </w:r>
    </w:p>
    <w:p w14:paraId="76CA2E47" w14:textId="77777777" w:rsidR="00AC55A0" w:rsidRPr="007A0C25" w:rsidRDefault="00AC55A0" w:rsidP="002B4B34">
      <w:pPr>
        <w:spacing w:line="276" w:lineRule="auto"/>
        <w:contextualSpacing/>
        <w:jc w:val="both"/>
        <w:rPr>
          <w:rFonts w:ascii="Arial" w:hAnsi="Arial" w:cs="Arial"/>
          <w:bCs/>
          <w:sz w:val="22"/>
          <w:lang w:eastAsia="x-none"/>
        </w:rPr>
      </w:pPr>
    </w:p>
    <w:p w14:paraId="455E4099" w14:textId="77777777" w:rsidR="00AC55A0" w:rsidRPr="007A0C25" w:rsidRDefault="00AC55A0" w:rsidP="002B4B34">
      <w:pPr>
        <w:spacing w:line="276" w:lineRule="auto"/>
        <w:contextualSpacing/>
        <w:jc w:val="both"/>
        <w:rPr>
          <w:rFonts w:ascii="Arial" w:hAnsi="Arial" w:cs="Arial"/>
          <w:bCs/>
          <w:sz w:val="22"/>
          <w:lang w:eastAsia="es-CO"/>
        </w:rPr>
      </w:pPr>
      <w:r w:rsidRPr="007A0C25">
        <w:rPr>
          <w:rFonts w:ascii="Arial" w:hAnsi="Arial" w:cs="Arial"/>
          <w:bCs/>
          <w:sz w:val="22"/>
          <w:lang w:eastAsia="x-none"/>
        </w:rPr>
        <w:t xml:space="preserve">El ámbito material de la prohibición contenida </w:t>
      </w:r>
      <w:bookmarkStart w:id="17" w:name="_Hlk75628761"/>
      <w:r w:rsidRPr="007A0C25">
        <w:rPr>
          <w:rFonts w:ascii="Arial" w:hAnsi="Arial" w:cs="Arial"/>
          <w:bCs/>
          <w:sz w:val="22"/>
          <w:lang w:eastAsia="x-none"/>
        </w:rPr>
        <w:t xml:space="preserve">en el artículo 33 de la Ley 996 de 2005 </w:t>
      </w:r>
      <w:bookmarkEnd w:id="17"/>
      <w:r w:rsidRPr="007A0C25">
        <w:rPr>
          <w:rFonts w:ascii="Arial" w:hAnsi="Arial" w:cs="Arial"/>
          <w:bCs/>
          <w:sz w:val="22"/>
          <w:lang w:eastAsia="x-none"/>
        </w:rPr>
        <w:t xml:space="preserve">está delimitado por la expresión </w:t>
      </w:r>
      <w:r w:rsidRPr="007A0C25">
        <w:rPr>
          <w:rFonts w:ascii="Arial" w:eastAsia="Calibri" w:hAnsi="Arial" w:cs="Arial"/>
          <w:bCs/>
          <w:sz w:val="22"/>
        </w:rPr>
        <w:t>«</w:t>
      </w:r>
      <w:r w:rsidRPr="007A0C25">
        <w:rPr>
          <w:rFonts w:ascii="Arial" w:hAnsi="Arial" w:cs="Arial"/>
          <w:bCs/>
          <w:sz w:val="22"/>
          <w:lang w:eastAsia="x-none"/>
        </w:rPr>
        <w:t>queda prohibida la contratación directa</w:t>
      </w:r>
      <w:r w:rsidRPr="007A0C25">
        <w:rPr>
          <w:rFonts w:ascii="Arial" w:eastAsia="Calibri" w:hAnsi="Arial" w:cs="Arial"/>
          <w:sz w:val="22"/>
        </w:rPr>
        <w:t>»</w:t>
      </w:r>
      <w:r w:rsidRPr="007A0C25">
        <w:rPr>
          <w:rFonts w:ascii="Arial" w:hAnsi="Arial" w:cs="Arial"/>
          <w:bCs/>
          <w:sz w:val="22"/>
          <w:lang w:eastAsia="x-none"/>
        </w:rPr>
        <w:t>.</w:t>
      </w:r>
      <w:r w:rsidRPr="007A0C25">
        <w:rPr>
          <w:rFonts w:ascii="Arial" w:hAnsi="Arial" w:cs="Arial"/>
          <w:sz w:val="22"/>
          <w:lang w:eastAsia="es-CO"/>
        </w:rPr>
        <w:t xml:space="preserve"> A propósito de esta restricción de la Ley de Garantías Electorales, la Sala de Consulta y Servicio Civil del Consejo de Estado ha considerado que:</w:t>
      </w:r>
    </w:p>
    <w:p w14:paraId="4BE0F4B0" w14:textId="77777777" w:rsidR="00AC55A0" w:rsidRPr="007A0C25" w:rsidRDefault="00AC55A0" w:rsidP="002B4B34">
      <w:pPr>
        <w:spacing w:line="276" w:lineRule="auto"/>
        <w:ind w:left="708" w:right="709"/>
        <w:contextualSpacing/>
        <w:jc w:val="both"/>
        <w:rPr>
          <w:rFonts w:ascii="Arial" w:eastAsia="Calibri" w:hAnsi="Arial" w:cs="Arial"/>
          <w:sz w:val="22"/>
        </w:rPr>
      </w:pPr>
    </w:p>
    <w:p w14:paraId="1017EC3E" w14:textId="77777777" w:rsidR="00AC55A0" w:rsidRPr="007A0C25" w:rsidRDefault="00AC55A0" w:rsidP="002B4B34">
      <w:pPr>
        <w:ind w:left="709" w:right="709"/>
        <w:contextualSpacing/>
        <w:jc w:val="both"/>
        <w:rPr>
          <w:rFonts w:ascii="Arial" w:eastAsia="Calibri" w:hAnsi="Arial" w:cs="Arial"/>
          <w:sz w:val="21"/>
          <w:szCs w:val="21"/>
        </w:rPr>
      </w:pPr>
      <w:r w:rsidRPr="007A0C25">
        <w:rPr>
          <w:rFonts w:ascii="Arial" w:eastAsia="Calibri"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7A0C25">
        <w:rPr>
          <w:rFonts w:ascii="Arial" w:hAnsi="Arial" w:cs="Arial"/>
          <w:sz w:val="21"/>
          <w:szCs w:val="21"/>
          <w:vertAlign w:val="superscript"/>
          <w:lang w:eastAsia="es-CO"/>
        </w:rPr>
        <w:footnoteReference w:id="10"/>
      </w:r>
      <w:r w:rsidRPr="007A0C25">
        <w:rPr>
          <w:rFonts w:ascii="Arial" w:eastAsia="Calibri" w:hAnsi="Arial" w:cs="Arial"/>
          <w:sz w:val="21"/>
          <w:szCs w:val="21"/>
        </w:rPr>
        <w:t>.</w:t>
      </w:r>
    </w:p>
    <w:p w14:paraId="00CEB402" w14:textId="77777777" w:rsidR="00AC55A0" w:rsidRPr="007A0C25" w:rsidRDefault="00AC55A0" w:rsidP="002B4B34">
      <w:pPr>
        <w:ind w:left="709" w:right="709"/>
        <w:contextualSpacing/>
        <w:jc w:val="both"/>
        <w:rPr>
          <w:rFonts w:ascii="Arial" w:eastAsia="Calibri" w:hAnsi="Arial" w:cs="Arial"/>
          <w:sz w:val="21"/>
          <w:szCs w:val="21"/>
        </w:rPr>
      </w:pPr>
    </w:p>
    <w:p w14:paraId="14DC6E05" w14:textId="77777777" w:rsidR="00AC55A0" w:rsidRPr="007A0C25" w:rsidRDefault="00AC55A0" w:rsidP="002B4B34">
      <w:pPr>
        <w:ind w:left="708" w:right="709"/>
        <w:contextualSpacing/>
        <w:jc w:val="both"/>
        <w:rPr>
          <w:rFonts w:ascii="Arial" w:eastAsia="Calibri" w:hAnsi="Arial" w:cs="Arial"/>
          <w:sz w:val="21"/>
          <w:szCs w:val="21"/>
        </w:rPr>
      </w:pPr>
      <w:r w:rsidRPr="007A0C25">
        <w:rPr>
          <w:rFonts w:ascii="Arial" w:eastAsia="Calibri" w:hAnsi="Arial" w:cs="Arial"/>
          <w:sz w:val="21"/>
          <w:szCs w:val="21"/>
        </w:rPr>
        <w:t xml:space="preserve">Esta Sala ha entendido que para los efectos de la ley de garantías, y dada su finalidad, el enunciado ´contratación directa´ es sinónimo </w:t>
      </w:r>
      <w:bookmarkStart w:id="20" w:name="_Hlk75741738"/>
      <w:r w:rsidRPr="007A0C25">
        <w:rPr>
          <w:rFonts w:ascii="Arial" w:eastAsia="Calibri" w:hAnsi="Arial" w:cs="Arial"/>
          <w:sz w:val="21"/>
          <w:szCs w:val="21"/>
        </w:rPr>
        <w:t xml:space="preserve">de cualquier sistema que no implique convocatoria pública y posibilidad de pluralidad de oferentes, </w:t>
      </w:r>
      <w:bookmarkEnd w:id="20"/>
      <w:r w:rsidRPr="007A0C25">
        <w:rPr>
          <w:rFonts w:ascii="Arial" w:eastAsia="Calibri" w:hAnsi="Arial" w:cs="Arial"/>
          <w:sz w:val="21"/>
          <w:szCs w:val="21"/>
        </w:rPr>
        <w:t>y que, además, no necesariamente hace referencia al procedimiento especial regulado por la ley de contratación estatal, sino a cualquier otro que prescinda de un proceso de licitación pública o concurso</w:t>
      </w:r>
      <w:r w:rsidRPr="007A0C25">
        <w:rPr>
          <w:rFonts w:ascii="Arial" w:hAnsi="Arial" w:cs="Arial"/>
          <w:sz w:val="21"/>
          <w:szCs w:val="21"/>
          <w:vertAlign w:val="superscript"/>
        </w:rPr>
        <w:footnoteReference w:id="11"/>
      </w:r>
      <w:r w:rsidRPr="007A0C25">
        <w:rPr>
          <w:rFonts w:ascii="Arial" w:hAnsi="Arial" w:cs="Arial"/>
          <w:sz w:val="21"/>
          <w:szCs w:val="21"/>
          <w:vertAlign w:val="superscript"/>
        </w:rPr>
        <w:t>.</w:t>
      </w:r>
      <w:r w:rsidRPr="007A0C25">
        <w:rPr>
          <w:rFonts w:ascii="Arial" w:eastAsia="Calibri"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w:t>
      </w:r>
      <w:r w:rsidRPr="007A0C25">
        <w:rPr>
          <w:rFonts w:ascii="Arial" w:eastAsia="Calibri" w:hAnsi="Arial" w:cs="Arial"/>
          <w:sz w:val="21"/>
          <w:szCs w:val="21"/>
        </w:rPr>
        <w:lastRenderedPageBreak/>
        <w:t>periodo preelectoral de que trata la disposición pueden las entidades públicas seguir contratando bajo estos sistemas. [...]</w:t>
      </w:r>
      <w:r w:rsidRPr="007A0C25">
        <w:rPr>
          <w:rFonts w:ascii="Arial" w:hAnsi="Arial" w:cs="Arial"/>
          <w:sz w:val="21"/>
          <w:szCs w:val="21"/>
          <w:vertAlign w:val="superscript"/>
          <w:lang w:eastAsia="es-CO"/>
        </w:rPr>
        <w:footnoteReference w:id="12"/>
      </w:r>
      <w:r w:rsidRPr="007A0C25">
        <w:rPr>
          <w:rFonts w:ascii="Arial" w:eastAsia="Calibri" w:hAnsi="Arial" w:cs="Arial"/>
          <w:sz w:val="21"/>
          <w:szCs w:val="21"/>
        </w:rPr>
        <w:t xml:space="preserve"> .</w:t>
      </w:r>
    </w:p>
    <w:p w14:paraId="67757F9F" w14:textId="77777777" w:rsidR="00AC55A0" w:rsidRPr="007A0C25" w:rsidRDefault="00AC55A0" w:rsidP="00AC55A0">
      <w:pPr>
        <w:shd w:val="clear" w:color="auto" w:fill="FFFFFF"/>
        <w:spacing w:line="276" w:lineRule="auto"/>
        <w:ind w:firstLine="709"/>
        <w:contextualSpacing/>
        <w:jc w:val="both"/>
        <w:rPr>
          <w:rFonts w:ascii="Arial" w:hAnsi="Arial" w:cs="Arial"/>
          <w:sz w:val="22"/>
          <w:lang w:eastAsia="x-none"/>
        </w:rPr>
      </w:pPr>
    </w:p>
    <w:p w14:paraId="21ADD8E2" w14:textId="55349CFB" w:rsidR="00AC55A0" w:rsidRPr="007A0C25" w:rsidRDefault="00AC55A0" w:rsidP="00AC55A0">
      <w:pPr>
        <w:spacing w:after="120" w:line="276" w:lineRule="auto"/>
        <w:ind w:firstLine="709"/>
        <w:jc w:val="both"/>
        <w:rPr>
          <w:rFonts w:ascii="Arial" w:hAnsi="Arial" w:cs="Arial"/>
          <w:bCs/>
          <w:sz w:val="22"/>
          <w:lang w:eastAsia="x-none"/>
        </w:rPr>
      </w:pPr>
      <w:bookmarkStart w:id="22" w:name="_Hlk94521748"/>
      <w:r w:rsidRPr="007A0C25">
        <w:rPr>
          <w:rFonts w:ascii="Arial" w:hAnsi="Arial" w:cs="Arial"/>
          <w:sz w:val="22"/>
          <w:lang w:eastAsia="x-none"/>
        </w:rPr>
        <w:t xml:space="preserve">De conformidad con el citado concepto, </w:t>
      </w:r>
      <w:bookmarkStart w:id="23" w:name="_Hlk78818702"/>
      <w:r w:rsidRPr="007A0C25">
        <w:rPr>
          <w:rFonts w:ascii="Arial" w:hAnsi="Arial" w:cs="Arial"/>
          <w:sz w:val="22"/>
          <w:lang w:eastAsia="x-none"/>
        </w:rPr>
        <w:t xml:space="preserve">la prohibición del artículo 33 de la Ley de Garantías Electorales se refiere a </w:t>
      </w:r>
      <w:bookmarkStart w:id="24" w:name="_Hlk74294635"/>
      <w:r w:rsidRPr="007A0C25">
        <w:rPr>
          <w:rFonts w:ascii="Arial" w:hAnsi="Arial" w:cs="Arial"/>
          <w:sz w:val="22"/>
        </w:rPr>
        <w:t>«</w:t>
      </w:r>
      <w:bookmarkEnd w:id="24"/>
      <w:r w:rsidRPr="007A0C25">
        <w:rPr>
          <w:rFonts w:ascii="Arial" w:hAnsi="Arial" w:cs="Arial"/>
          <w:sz w:val="22"/>
          <w:lang w:eastAsia="x-none"/>
        </w:rPr>
        <w:t>cualquier sistema que no implique convocatoria pública y posibilidad de pluralidad de oferentes</w:t>
      </w:r>
      <w:bookmarkStart w:id="25" w:name="_Hlk74404754"/>
      <w:r w:rsidRPr="007A0C25">
        <w:rPr>
          <w:rFonts w:ascii="Arial" w:hAnsi="Arial" w:cs="Arial"/>
          <w:sz w:val="22"/>
        </w:rPr>
        <w:t>»</w:t>
      </w:r>
      <w:bookmarkEnd w:id="25"/>
      <w:r w:rsidRPr="007A0C25">
        <w:rPr>
          <w:rFonts w:ascii="Arial" w:hAnsi="Arial" w:cs="Arial"/>
          <w:sz w:val="22"/>
          <w:lang w:eastAsia="x-none"/>
        </w:rPr>
        <w:t>, por lo que excluye las demás modalidades de contratación previstas en la Ley 1150 de 2007, es decir, la licitación pública, la selección abreviada</w:t>
      </w:r>
      <w:r w:rsidR="002B4B34" w:rsidRPr="007A0C25">
        <w:rPr>
          <w:rFonts w:ascii="Arial" w:hAnsi="Arial" w:cs="Arial"/>
          <w:sz w:val="22"/>
          <w:lang w:eastAsia="x-none"/>
        </w:rPr>
        <w:t>,</w:t>
      </w:r>
      <w:r w:rsidRPr="007A0C25">
        <w:rPr>
          <w:rFonts w:ascii="Arial" w:hAnsi="Arial" w:cs="Arial"/>
          <w:sz w:val="22"/>
          <w:lang w:eastAsia="x-none"/>
        </w:rPr>
        <w:t xml:space="preserve"> el concurso de méritos</w:t>
      </w:r>
      <w:r w:rsidR="002B4B34" w:rsidRPr="007A0C25">
        <w:rPr>
          <w:rFonts w:ascii="Arial" w:hAnsi="Arial" w:cs="Arial"/>
          <w:sz w:val="22"/>
          <w:lang w:eastAsia="x-none"/>
        </w:rPr>
        <w:t xml:space="preserve"> y la mínima cuantía</w:t>
      </w:r>
      <w:r w:rsidRPr="007A0C25">
        <w:rPr>
          <w:rFonts w:ascii="Arial" w:hAnsi="Arial" w:cs="Arial"/>
          <w:sz w:val="22"/>
          <w:lang w:eastAsia="x-none"/>
        </w:rPr>
        <w:t xml:space="preserve"> u otros previstos en normas especiales</w:t>
      </w:r>
      <w:r w:rsidR="002B4B34" w:rsidRPr="007A0C25">
        <w:rPr>
          <w:rFonts w:ascii="Arial" w:hAnsi="Arial" w:cs="Arial"/>
          <w:sz w:val="22"/>
          <w:lang w:eastAsia="x-none"/>
        </w:rPr>
        <w:t>, que contemplen en alguna de sus etapas la posible participación de pluralidad de oferentes</w:t>
      </w:r>
      <w:r w:rsidRPr="007A0C25">
        <w:rPr>
          <w:rFonts w:ascii="Arial" w:hAnsi="Arial" w:cs="Arial"/>
          <w:sz w:val="22"/>
          <w:lang w:eastAsia="x-none"/>
        </w:rPr>
        <w:t xml:space="preserve">. </w:t>
      </w:r>
      <w:bookmarkEnd w:id="22"/>
      <w:bookmarkEnd w:id="23"/>
      <w:r w:rsidRPr="007A0C25">
        <w:rPr>
          <w:rFonts w:ascii="Arial" w:hAnsi="Arial" w:cs="Arial"/>
          <w:sz w:val="22"/>
          <w:lang w:eastAsia="x-none"/>
        </w:rPr>
        <w:t>Esta posición es congruente con la expedición de la Ley 1150 de 2007 que, entre otras reformas, introdujo la selección abreviada, rediseñó el concurso de méritos</w:t>
      </w:r>
      <w:r w:rsidRPr="007A0C25">
        <w:rPr>
          <w:rFonts w:ascii="Arial" w:hAnsi="Arial" w:cs="Arial"/>
          <w:sz w:val="22"/>
          <w:vertAlign w:val="superscript"/>
          <w:lang w:val="en-GB" w:eastAsia="x-none"/>
        </w:rPr>
        <w:footnoteReference w:id="13"/>
      </w:r>
      <w:r w:rsidRPr="007A0C25">
        <w:rPr>
          <w:rFonts w:ascii="Arial" w:hAnsi="Arial" w:cs="Arial"/>
          <w:sz w:val="22"/>
          <w:lang w:eastAsia="x-none"/>
        </w:rPr>
        <w:t xml:space="preserve"> y sistematizó las causales de contratación directa</w:t>
      </w:r>
      <w:r w:rsidRPr="007A0C25">
        <w:rPr>
          <w:rFonts w:ascii="Arial" w:hAnsi="Arial" w:cs="Arial"/>
          <w:sz w:val="22"/>
          <w:vertAlign w:val="superscript"/>
          <w:lang w:val="en-GB" w:eastAsia="x-none"/>
        </w:rPr>
        <w:footnoteReference w:id="14"/>
      </w:r>
      <w:r w:rsidR="00692E85" w:rsidRPr="007A0C25">
        <w:rPr>
          <w:rFonts w:ascii="Arial" w:hAnsi="Arial" w:cs="Arial"/>
          <w:sz w:val="22"/>
          <w:lang w:eastAsia="x-none"/>
        </w:rPr>
        <w:t>, además lo es con la posterior creación de la modalidad de mínima cuantía establecida actualmente en el numeral 5 del artículo2 de la Ley 1150 de 2007, de acuerdo con las modificaciones realizadas por la</w:t>
      </w:r>
      <w:r w:rsidR="00443232" w:rsidRPr="007A0C25">
        <w:rPr>
          <w:rFonts w:ascii="Arial" w:hAnsi="Arial" w:cs="Arial"/>
          <w:sz w:val="22"/>
          <w:lang w:eastAsia="x-none"/>
        </w:rPr>
        <w:t>s</w:t>
      </w:r>
      <w:r w:rsidR="00692E85" w:rsidRPr="007A0C25">
        <w:rPr>
          <w:rFonts w:ascii="Arial" w:hAnsi="Arial" w:cs="Arial"/>
          <w:sz w:val="22"/>
          <w:lang w:eastAsia="x-none"/>
        </w:rPr>
        <w:t xml:space="preserve"> leyes posteriores</w:t>
      </w:r>
      <w:r w:rsidRPr="007A0C25">
        <w:rPr>
          <w:rFonts w:ascii="Arial" w:hAnsi="Arial" w:cs="Arial"/>
          <w:sz w:val="22"/>
          <w:lang w:eastAsia="x-none"/>
        </w:rPr>
        <w:t xml:space="preserve">. </w:t>
      </w:r>
    </w:p>
    <w:p w14:paraId="2566174B" w14:textId="59DA99AC" w:rsidR="00AC55A0" w:rsidRPr="007A0C25" w:rsidRDefault="00AC55A0" w:rsidP="00AC55A0">
      <w:pPr>
        <w:spacing w:after="120" w:line="276" w:lineRule="auto"/>
        <w:ind w:firstLine="709"/>
        <w:jc w:val="both"/>
        <w:rPr>
          <w:rFonts w:ascii="Arial" w:hAnsi="Arial" w:cs="Arial"/>
          <w:sz w:val="22"/>
          <w:lang w:eastAsia="x-none"/>
        </w:rPr>
      </w:pPr>
      <w:r w:rsidRPr="007A0C25">
        <w:rPr>
          <w:rFonts w:ascii="Arial" w:hAnsi="Arial" w:cs="Arial"/>
          <w:sz w:val="22"/>
          <w:lang w:eastAsia="x-none"/>
        </w:rPr>
        <w:t xml:space="preserve">De esta forma, </w:t>
      </w:r>
      <w:r w:rsidR="00443232" w:rsidRPr="007A0C25">
        <w:rPr>
          <w:rFonts w:ascii="Arial" w:hAnsi="Arial" w:cs="Arial"/>
          <w:sz w:val="22"/>
          <w:lang w:eastAsia="x-none"/>
        </w:rPr>
        <w:t xml:space="preserve">con fundamento en la evolución de la normativa sobre la contratación pública, </w:t>
      </w:r>
      <w:r w:rsidRPr="007A0C25">
        <w:rPr>
          <w:rFonts w:ascii="Arial" w:hAnsi="Arial" w:cs="Arial"/>
          <w:sz w:val="22"/>
          <w:lang w:eastAsia="x-none"/>
        </w:rPr>
        <w:t xml:space="preserve">se ha depurado la noción de </w:t>
      </w:r>
      <w:r w:rsidRPr="007A0C25">
        <w:rPr>
          <w:rFonts w:ascii="Arial" w:hAnsi="Arial" w:cs="Arial"/>
          <w:sz w:val="22"/>
        </w:rPr>
        <w:t>«</w:t>
      </w:r>
      <w:r w:rsidRPr="007A0C25">
        <w:rPr>
          <w:rFonts w:ascii="Arial" w:hAnsi="Arial" w:cs="Arial"/>
          <w:sz w:val="22"/>
          <w:lang w:eastAsia="x-none"/>
        </w:rPr>
        <w:t>contratación directa</w:t>
      </w:r>
      <w:r w:rsidRPr="007A0C25">
        <w:rPr>
          <w:rFonts w:ascii="Arial" w:hAnsi="Arial" w:cs="Arial"/>
          <w:sz w:val="22"/>
        </w:rPr>
        <w:t>»</w:t>
      </w:r>
      <w:r w:rsidRPr="007A0C25">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7A0C25">
        <w:rPr>
          <w:rFonts w:ascii="Arial" w:hAnsi="Arial" w:cs="Arial"/>
          <w:sz w:val="22"/>
          <w:vertAlign w:val="superscript"/>
          <w:lang w:val="en-GB" w:eastAsia="x-none"/>
        </w:rPr>
        <w:footnoteReference w:id="15"/>
      </w:r>
      <w:r w:rsidRPr="007A0C25">
        <w:rPr>
          <w:rFonts w:ascii="Arial" w:hAnsi="Arial" w:cs="Arial"/>
          <w:sz w:val="22"/>
          <w:lang w:eastAsia="x-none"/>
        </w:rPr>
        <w:t>, han establecido sistemas de contratación que implican convocatoria pública y participación de varios oferentes</w:t>
      </w:r>
      <w:r w:rsidRPr="007A0C25">
        <w:rPr>
          <w:rFonts w:ascii="Arial" w:hAnsi="Arial" w:cs="Arial"/>
          <w:sz w:val="22"/>
        </w:rPr>
        <w:t>»</w:t>
      </w:r>
      <w:r w:rsidRPr="007A0C25">
        <w:rPr>
          <w:rFonts w:ascii="Arial" w:hAnsi="Arial" w:cs="Arial"/>
          <w:sz w:val="22"/>
          <w:lang w:eastAsia="x-none"/>
        </w:rPr>
        <w:t xml:space="preserve">. </w:t>
      </w:r>
    </w:p>
    <w:p w14:paraId="58984CC5" w14:textId="77777777" w:rsidR="00AC55A0" w:rsidRPr="007A0C25" w:rsidRDefault="00AC55A0" w:rsidP="00AC55A0">
      <w:pPr>
        <w:spacing w:after="120" w:line="276" w:lineRule="auto"/>
        <w:ind w:firstLine="709"/>
        <w:jc w:val="both"/>
        <w:rPr>
          <w:rFonts w:ascii="Arial" w:hAnsi="Arial" w:cs="Arial"/>
          <w:bCs/>
          <w:sz w:val="22"/>
          <w:lang w:eastAsia="es-CO"/>
        </w:rPr>
      </w:pPr>
      <w:r w:rsidRPr="007A0C25">
        <w:rPr>
          <w:rFonts w:ascii="Arial" w:hAnsi="Arial" w:cs="Arial"/>
          <w:bCs/>
          <w:sz w:val="22"/>
          <w:lang w:eastAsia="x-none"/>
        </w:rPr>
        <w:t>E</w:t>
      </w:r>
      <w:r w:rsidRPr="007A0C25">
        <w:rPr>
          <w:rFonts w:ascii="Arial" w:hAnsi="Arial" w:cs="Arial"/>
          <w:sz w:val="22"/>
          <w:lang w:eastAsia="x-none"/>
        </w:rPr>
        <w:t xml:space="preserve">n efecto, vale la pena mencionar que, </w:t>
      </w:r>
      <w:bookmarkStart w:id="27" w:name="_Hlk75636073"/>
      <w:r w:rsidRPr="007A0C25">
        <w:rPr>
          <w:rFonts w:ascii="Arial" w:hAnsi="Arial" w:cs="Arial"/>
          <w:sz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7"/>
      <w:r w:rsidRPr="007A0C25">
        <w:rPr>
          <w:rFonts w:ascii="Arial" w:hAnsi="Arial" w:cs="Arial"/>
          <w:sz w:val="22"/>
          <w:vertAlign w:val="superscript"/>
          <w:lang w:eastAsia="x-none"/>
        </w:rPr>
        <w:footnoteReference w:id="16"/>
      </w:r>
      <w:r w:rsidRPr="007A0C25">
        <w:rPr>
          <w:rFonts w:ascii="Arial" w:hAnsi="Arial" w:cs="Arial"/>
          <w:sz w:val="22"/>
          <w:lang w:eastAsia="x-none"/>
        </w:rPr>
        <w:t xml:space="preserve">. </w:t>
      </w:r>
    </w:p>
    <w:p w14:paraId="65C60811" w14:textId="77777777" w:rsidR="00AC55A0" w:rsidRPr="007A0C25" w:rsidRDefault="00AC55A0" w:rsidP="00AC55A0">
      <w:pPr>
        <w:spacing w:after="120" w:line="276" w:lineRule="auto"/>
        <w:ind w:firstLine="709"/>
        <w:jc w:val="both"/>
        <w:rPr>
          <w:rFonts w:ascii="Arial" w:hAnsi="Arial" w:cs="Arial"/>
          <w:bCs/>
          <w:sz w:val="22"/>
          <w:lang w:eastAsia="es-CO"/>
        </w:rPr>
      </w:pPr>
      <w:r w:rsidRPr="007A0C25">
        <w:rPr>
          <w:rFonts w:ascii="Arial" w:hAnsi="Arial" w:cs="Arial"/>
          <w:bCs/>
          <w:sz w:val="22"/>
          <w:lang w:eastAsia="es-CO"/>
        </w:rPr>
        <w:lastRenderedPageBreak/>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9306098" w14:textId="7DA15294" w:rsidR="00AC55A0" w:rsidRPr="007A0C25" w:rsidRDefault="00AC55A0" w:rsidP="00AC55A0">
      <w:pPr>
        <w:spacing w:after="120" w:line="276" w:lineRule="auto"/>
        <w:ind w:firstLine="709"/>
        <w:jc w:val="both"/>
        <w:rPr>
          <w:rFonts w:ascii="Arial" w:hAnsi="Arial" w:cs="Arial"/>
          <w:bCs/>
          <w:sz w:val="22"/>
          <w:lang w:eastAsia="x-none"/>
        </w:rPr>
      </w:pPr>
      <w:bookmarkStart w:id="28" w:name="_Hlk78818796"/>
      <w:r w:rsidRPr="007A0C25">
        <w:rPr>
          <w:rFonts w:ascii="Arial" w:hAnsi="Arial" w:cs="Arial"/>
          <w:bCs/>
          <w:sz w:val="22"/>
          <w:lang w:eastAsia="x-none"/>
        </w:rPr>
        <w:t xml:space="preserve"> Así las cosas, </w:t>
      </w:r>
      <w:bookmarkStart w:id="29" w:name="_Hlk99577798"/>
      <w:r w:rsidRPr="007A0C25">
        <w:rPr>
          <w:rFonts w:ascii="Arial" w:hAnsi="Arial" w:cs="Arial"/>
          <w:bCs/>
          <w:sz w:val="22"/>
          <w:lang w:eastAsia="x-none"/>
        </w:rPr>
        <w:t xml:space="preserve">ha de entenderse que, para los efectos de la Ley de Garantías Electorales y, en particular, para la </w:t>
      </w:r>
      <w:r w:rsidR="00462EBE" w:rsidRPr="007A0C25">
        <w:rPr>
          <w:rFonts w:ascii="Arial" w:hAnsi="Arial" w:cs="Arial"/>
          <w:bCs/>
          <w:sz w:val="22"/>
          <w:lang w:eastAsia="x-none"/>
        </w:rPr>
        <w:t xml:space="preserve">prohibición o </w:t>
      </w:r>
      <w:r w:rsidRPr="007A0C25">
        <w:rPr>
          <w:rFonts w:ascii="Arial" w:hAnsi="Arial" w:cs="Arial"/>
          <w:bCs/>
          <w:sz w:val="22"/>
          <w:lang w:eastAsia="x-none"/>
        </w:rPr>
        <w:t>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7A0C25">
        <w:rPr>
          <w:rFonts w:ascii="Arial" w:hAnsi="Arial" w:cs="Arial"/>
          <w:sz w:val="22"/>
          <w:vertAlign w:val="superscript"/>
          <w:lang w:eastAsia="x-none"/>
        </w:rPr>
        <w:footnoteReference w:id="17"/>
      </w:r>
      <w:r w:rsidRPr="007A0C25">
        <w:rPr>
          <w:rFonts w:ascii="Arial" w:hAnsi="Arial" w:cs="Arial"/>
          <w:bCs/>
          <w:sz w:val="22"/>
          <w:lang w:eastAsia="x-none"/>
        </w:rPr>
        <w:t>.</w:t>
      </w:r>
      <w:r w:rsidRPr="007A0C25">
        <w:rPr>
          <w:rFonts w:ascii="Arial" w:hAnsi="Arial" w:cs="Arial"/>
          <w:sz w:val="22"/>
          <w:vertAlign w:val="superscript"/>
          <w:lang w:eastAsia="x-none"/>
        </w:rPr>
        <w:t xml:space="preserve"> </w:t>
      </w:r>
    </w:p>
    <w:bookmarkEnd w:id="28"/>
    <w:p w14:paraId="4FF6A10D" w14:textId="20E9CC87" w:rsidR="00AC55A0" w:rsidRPr="007A0C25" w:rsidRDefault="00AC55A0" w:rsidP="00AC55A0">
      <w:pPr>
        <w:spacing w:after="120" w:line="276" w:lineRule="auto"/>
        <w:ind w:firstLine="709"/>
        <w:jc w:val="both"/>
        <w:rPr>
          <w:rFonts w:ascii="Arial" w:hAnsi="Arial" w:cs="Arial"/>
          <w:sz w:val="22"/>
          <w:lang w:eastAsia="x-none"/>
        </w:rPr>
      </w:pPr>
      <w:r w:rsidRPr="007A0C25">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7A0C25">
        <w:rPr>
          <w:rFonts w:ascii="Arial" w:hAnsi="Arial" w:cs="Arial"/>
          <w:sz w:val="22"/>
          <w:lang w:eastAsia="x-none"/>
        </w:rPr>
        <w:t xml:space="preserve"> Por tanto, no son materia de la prohibición las demás modalidades de selección previstas en la Ley 1150 de 2007, es decir, la licitación pública, el concurso de méritos</w:t>
      </w:r>
      <w:r w:rsidR="008A2445" w:rsidRPr="007A0C25">
        <w:rPr>
          <w:rFonts w:ascii="Arial" w:hAnsi="Arial" w:cs="Arial"/>
          <w:sz w:val="22"/>
          <w:lang w:eastAsia="x-none"/>
        </w:rPr>
        <w:t>,</w:t>
      </w:r>
      <w:r w:rsidRPr="007A0C25">
        <w:rPr>
          <w:rFonts w:ascii="Arial" w:hAnsi="Arial" w:cs="Arial"/>
          <w:sz w:val="22"/>
          <w:lang w:eastAsia="x-none"/>
        </w:rPr>
        <w:t xml:space="preserve"> la selección abreviada</w:t>
      </w:r>
      <w:r w:rsidR="008A2445" w:rsidRPr="007A0C25">
        <w:rPr>
          <w:rFonts w:ascii="Arial" w:hAnsi="Arial" w:cs="Arial"/>
          <w:sz w:val="22"/>
          <w:lang w:eastAsia="x-none"/>
        </w:rPr>
        <w:t xml:space="preserve"> y la mínima cuantía</w:t>
      </w:r>
      <w:r w:rsidRPr="007A0C25">
        <w:rPr>
          <w:rFonts w:ascii="Arial" w:hAnsi="Arial" w:cs="Arial"/>
          <w:sz w:val="22"/>
          <w:lang w:eastAsia="x-none"/>
        </w:rPr>
        <w:t>, razón por la cual en ese período preelectoral de que trata la disposición las entidades públicas pueden seguir contratando bajo estos sistemas.</w:t>
      </w:r>
    </w:p>
    <w:p w14:paraId="438D570D" w14:textId="253ADB14" w:rsidR="00AC55A0" w:rsidRPr="007A0C25" w:rsidRDefault="00AC55A0" w:rsidP="00AC55A0">
      <w:pPr>
        <w:spacing w:after="120" w:line="276" w:lineRule="auto"/>
        <w:ind w:firstLine="709"/>
        <w:jc w:val="both"/>
        <w:rPr>
          <w:rFonts w:ascii="Arial" w:hAnsi="Arial" w:cs="Arial"/>
          <w:bCs/>
          <w:sz w:val="22"/>
          <w:lang w:eastAsia="x-none"/>
        </w:rPr>
      </w:pPr>
      <w:bookmarkStart w:id="30" w:name="_Hlk77237094"/>
      <w:bookmarkEnd w:id="29"/>
      <w:r w:rsidRPr="007A0C25">
        <w:rPr>
          <w:rFonts w:ascii="Arial" w:hAnsi="Arial" w:cs="Arial"/>
          <w:bCs/>
          <w:sz w:val="22"/>
          <w:lang w:eastAsia="es-CO"/>
        </w:rPr>
        <w:t>Conforme al numeral 1</w:t>
      </w:r>
      <w:r w:rsidR="00AE3847">
        <w:rPr>
          <w:rFonts w:ascii="Arial" w:hAnsi="Arial" w:cs="Arial"/>
          <w:bCs/>
          <w:sz w:val="22"/>
          <w:lang w:eastAsia="es-CO"/>
        </w:rPr>
        <w:t>6</w:t>
      </w:r>
      <w:r w:rsidRPr="007A0C25">
        <w:rPr>
          <w:rFonts w:ascii="Arial" w:hAnsi="Arial" w:cs="Arial"/>
          <w:bCs/>
          <w:sz w:val="22"/>
          <w:lang w:eastAsia="es-CO"/>
        </w:rPr>
        <w:t>.5 de la Circular Externa Única de la Agencia Nacional de Contratación Pública – Colombia Compra Eficiente,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0"/>
      <w:r w:rsidRPr="007A0C25">
        <w:rPr>
          <w:rFonts w:ascii="Arial" w:hAnsi="Arial" w:cs="Arial"/>
          <w:bCs/>
          <w:sz w:val="22"/>
          <w:lang w:eastAsia="es-CO"/>
        </w:rPr>
        <w:t xml:space="preserve"> Tratándose de las modificaciones, dependiendo de las particularidades del caso concreto, la entidad definirá si es procedente o no la inclusión de nuevas partes en el negocio jurídico. En caso de encontrarlo procedente de acuerdo con el concepto jurídico de sus órganos asesores, aquellas deben justificarse desde la perspectiva de los principios anteriormente mencionados, pues no pueden conducir a una violación de las restricciones previstas en la Ley 996 de 2005. De esta manera, para efectos del control judicial, fiscal o disciplinario, los órganos respectivos verificaran en el ámbito de sus competencias que las modificaciones no se hayan realizado contrariando la Ley de Garantías</w:t>
      </w:r>
      <w:r w:rsidR="008A2445" w:rsidRPr="007A0C25">
        <w:rPr>
          <w:rFonts w:ascii="Arial" w:hAnsi="Arial" w:cs="Arial"/>
          <w:bCs/>
          <w:sz w:val="22"/>
          <w:lang w:eastAsia="es-CO"/>
        </w:rPr>
        <w:t xml:space="preserve"> Electorales</w:t>
      </w:r>
      <w:r w:rsidRPr="007A0C25">
        <w:rPr>
          <w:rFonts w:ascii="Arial" w:hAnsi="Arial" w:cs="Arial"/>
          <w:bCs/>
          <w:sz w:val="22"/>
          <w:lang w:eastAsia="es-CO"/>
        </w:rPr>
        <w:t xml:space="preserve">. </w:t>
      </w:r>
    </w:p>
    <w:p w14:paraId="205153B5" w14:textId="77777777" w:rsidR="00AC55A0" w:rsidRPr="007A0C25" w:rsidRDefault="00AC55A0" w:rsidP="00AC55A0">
      <w:pPr>
        <w:spacing w:after="120" w:line="276" w:lineRule="auto"/>
        <w:ind w:firstLine="709"/>
        <w:jc w:val="both"/>
        <w:rPr>
          <w:rFonts w:ascii="Arial" w:hAnsi="Arial" w:cs="Arial"/>
          <w:bCs/>
          <w:sz w:val="22"/>
          <w:lang w:eastAsia="es-CO"/>
        </w:rPr>
      </w:pPr>
      <w:r w:rsidRPr="007A0C25">
        <w:rPr>
          <w:rFonts w:ascii="Arial" w:hAnsi="Arial" w:cs="Arial"/>
          <w:bCs/>
          <w:sz w:val="22"/>
          <w:lang w:eastAsia="x-none"/>
        </w:rPr>
        <w:t xml:space="preserve">De otro lado, </w:t>
      </w:r>
      <w:bookmarkStart w:id="31" w:name="_Hlk99577887"/>
      <w:bookmarkStart w:id="32" w:name="_Hlk114827782"/>
      <w:r w:rsidRPr="007A0C25">
        <w:rPr>
          <w:rFonts w:ascii="Arial" w:hAnsi="Arial" w:cs="Arial"/>
          <w:bCs/>
          <w:sz w:val="22"/>
          <w:lang w:eastAsia="x-none"/>
        </w:rPr>
        <w:t xml:space="preserve">las excepciones a la restricción prevista en la Ley de Garantías Electorales, con fundamento en las cuales podrán las entidades públicas adelantar procedimientos de </w:t>
      </w:r>
      <w:r w:rsidRPr="007A0C25">
        <w:rPr>
          <w:rFonts w:ascii="Arial" w:hAnsi="Arial" w:cs="Arial"/>
          <w:bCs/>
          <w:sz w:val="22"/>
          <w:lang w:eastAsia="x-none"/>
        </w:rPr>
        <w:lastRenderedPageBreak/>
        <w:t>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A0C25">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1"/>
    </w:p>
    <w:bookmarkEnd w:id="32"/>
    <w:p w14:paraId="6B051341" w14:textId="77777777" w:rsidR="00AC55A0" w:rsidRPr="007A0C25" w:rsidRDefault="00AC55A0" w:rsidP="00AC55A0">
      <w:pPr>
        <w:spacing w:line="276" w:lineRule="auto"/>
        <w:ind w:firstLine="708"/>
        <w:jc w:val="both"/>
        <w:rPr>
          <w:rFonts w:ascii="Arial" w:hAnsi="Arial" w:cs="Arial"/>
          <w:bCs/>
          <w:sz w:val="22"/>
          <w:lang w:eastAsia="x-none"/>
        </w:rPr>
      </w:pPr>
      <w:r w:rsidRPr="007A0C25">
        <w:rPr>
          <w:rFonts w:ascii="Arial" w:hAnsi="Arial" w:cs="Arial"/>
          <w:bCs/>
          <w:sz w:val="22"/>
          <w:lang w:eastAsia="x-none"/>
        </w:rPr>
        <w:t>En esta labor es importante tener en cuenta, como lo anotó la Corte Constitucional, en Sentencia C-1153 de noviembre 11 de 2005</w:t>
      </w:r>
      <w:r w:rsidRPr="007A0C25">
        <w:rPr>
          <w:rFonts w:ascii="Arial" w:eastAsia="Calibri" w:hAnsi="Arial" w:cs="Arial"/>
          <w:sz w:val="22"/>
        </w:rPr>
        <w:t>,</w:t>
      </w:r>
      <w:r w:rsidRPr="007A0C25">
        <w:rPr>
          <w:rFonts w:ascii="Arial" w:hAnsi="Arial" w:cs="Arial"/>
          <w:bCs/>
          <w:sz w:val="22"/>
          <w:lang w:eastAsia="x-none"/>
        </w:rPr>
        <w:t xml:space="preserve"> </w:t>
      </w:r>
      <w:bookmarkStart w:id="33" w:name="_Hlk74309042"/>
      <w:r w:rsidRPr="007A0C25">
        <w:rPr>
          <w:rFonts w:ascii="Arial" w:hAnsi="Arial" w:cs="Arial"/>
          <w:bCs/>
          <w:sz w:val="22"/>
          <w:lang w:eastAsia="x-none"/>
        </w:rPr>
        <w:t>que «</w:t>
      </w:r>
      <w:bookmarkEnd w:id="33"/>
      <w:r w:rsidRPr="007A0C25">
        <w:rPr>
          <w:rFonts w:ascii="Arial" w:hAnsi="Arial" w:cs="Arial"/>
          <w:bCs/>
          <w:sz w:val="22"/>
          <w:lang w:eastAsia="x-none"/>
        </w:rPr>
        <w:t xml:space="preserve">si bien la limitación garantiza la igualdad de condiciones, también es necesario que tal limitación que pretende la igualdad </w:t>
      </w:r>
      <w:bookmarkStart w:id="34" w:name="_Hlk75768308"/>
      <w:r w:rsidRPr="007A0C25">
        <w:rPr>
          <w:rFonts w:ascii="Arial" w:hAnsi="Arial" w:cs="Arial"/>
          <w:bCs/>
          <w:sz w:val="22"/>
          <w:lang w:eastAsia="x-none"/>
        </w:rPr>
        <w:t>no termine yendo en detrimento de intereses públicos, cuya garantía está en cabeza del ejecutivo, como son los inmersos en las excepciones para la prohibición de contratación</w:t>
      </w:r>
      <w:bookmarkStart w:id="35" w:name="_Hlk74309060"/>
      <w:r w:rsidRPr="007A0C25">
        <w:rPr>
          <w:rFonts w:ascii="Arial" w:hAnsi="Arial" w:cs="Arial"/>
          <w:bCs/>
          <w:sz w:val="22"/>
          <w:lang w:eastAsia="x-none"/>
        </w:rPr>
        <w:t>»</w:t>
      </w:r>
      <w:bookmarkEnd w:id="35"/>
      <w:r w:rsidRPr="007A0C25">
        <w:rPr>
          <w:rFonts w:ascii="Arial" w:eastAsia="Calibri" w:hAnsi="Arial" w:cs="Arial"/>
          <w:sz w:val="22"/>
          <w:vertAlign w:val="superscript"/>
        </w:rPr>
        <w:footnoteReference w:id="18"/>
      </w:r>
      <w:r w:rsidRPr="007A0C25">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End w:id="34"/>
    </w:p>
    <w:p w14:paraId="3CC08FE9" w14:textId="77777777" w:rsidR="00AC55A0" w:rsidRPr="007A0C25" w:rsidRDefault="00AC55A0" w:rsidP="00FA5DAD">
      <w:pPr>
        <w:spacing w:line="276" w:lineRule="auto"/>
        <w:ind w:firstLine="708"/>
        <w:contextualSpacing/>
        <w:jc w:val="both"/>
        <w:rPr>
          <w:rFonts w:ascii="Arial" w:hAnsi="Arial" w:cs="Arial"/>
          <w:bCs/>
          <w:sz w:val="22"/>
          <w:lang w:eastAsia="x-none"/>
        </w:rPr>
      </w:pPr>
    </w:p>
    <w:p w14:paraId="425DBBAE" w14:textId="77777777" w:rsidR="00AC55A0" w:rsidRPr="007A0C25" w:rsidRDefault="00AC55A0" w:rsidP="00FA5DAD">
      <w:pPr>
        <w:spacing w:line="276" w:lineRule="auto"/>
        <w:contextualSpacing/>
        <w:jc w:val="both"/>
        <w:rPr>
          <w:rFonts w:ascii="Arial" w:hAnsi="Arial" w:cs="Arial"/>
          <w:b/>
          <w:sz w:val="22"/>
          <w:lang w:eastAsia="x-none"/>
        </w:rPr>
      </w:pPr>
      <w:r w:rsidRPr="007A0C25">
        <w:rPr>
          <w:rFonts w:ascii="Arial" w:hAnsi="Arial" w:cs="Arial"/>
          <w:b/>
          <w:sz w:val="22"/>
          <w:lang w:eastAsia="x-none"/>
        </w:rPr>
        <w:t>2.3. Destinatarios de la restricción del artículo 33 de la Ley 996 de 2005</w:t>
      </w:r>
    </w:p>
    <w:p w14:paraId="20F5DA7B" w14:textId="77777777" w:rsidR="00AC55A0" w:rsidRPr="007A0C25" w:rsidRDefault="00AC55A0" w:rsidP="00FA5DAD">
      <w:pPr>
        <w:spacing w:line="276" w:lineRule="auto"/>
        <w:contextualSpacing/>
        <w:jc w:val="both"/>
        <w:rPr>
          <w:rFonts w:ascii="Arial" w:hAnsi="Arial" w:cs="Arial"/>
          <w:bCs/>
          <w:sz w:val="22"/>
          <w:lang w:eastAsia="x-none"/>
        </w:rPr>
      </w:pPr>
    </w:p>
    <w:p w14:paraId="12CB531D" w14:textId="7F72279A" w:rsidR="00AC55A0" w:rsidRPr="007A0C25" w:rsidRDefault="00AC55A0" w:rsidP="00FA5DAD">
      <w:pPr>
        <w:spacing w:line="276" w:lineRule="auto"/>
        <w:contextualSpacing/>
        <w:jc w:val="both"/>
        <w:rPr>
          <w:rFonts w:ascii="Arial" w:hAnsi="Arial" w:cs="Arial"/>
          <w:bCs/>
          <w:sz w:val="22"/>
          <w:lang w:eastAsia="x-none"/>
        </w:rPr>
      </w:pPr>
      <w:bookmarkStart w:id="36" w:name="_Hlk99578018"/>
      <w:r w:rsidRPr="007A0C25">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A0C25">
        <w:rPr>
          <w:rFonts w:ascii="Calibri" w:eastAsia="Calibri" w:hAnsi="Calibri"/>
          <w:sz w:val="22"/>
        </w:rPr>
        <w:t xml:space="preserve"> </w:t>
      </w:r>
      <w:r w:rsidRPr="007A0C25">
        <w:rPr>
          <w:rFonts w:ascii="Arial" w:hAnsi="Arial" w:cs="Arial"/>
          <w:bCs/>
          <w:sz w:val="22"/>
          <w:lang w:eastAsia="x-none"/>
        </w:rPr>
        <w:t xml:space="preserve">En efecto, como ha sostenido el Consejo de Estado, el vocablo </w:t>
      </w:r>
      <w:bookmarkStart w:id="37" w:name="_Hlk75632581"/>
      <w:r w:rsidRPr="007A0C25">
        <w:rPr>
          <w:rFonts w:ascii="Arial" w:hAnsi="Arial" w:cs="Arial"/>
          <w:bCs/>
          <w:sz w:val="22"/>
          <w:lang w:eastAsia="x-none"/>
        </w:rPr>
        <w:t>«</w:t>
      </w:r>
      <w:bookmarkEnd w:id="37"/>
      <w:r w:rsidRPr="007A0C25">
        <w:rPr>
          <w:rFonts w:ascii="Arial" w:hAnsi="Arial" w:cs="Arial"/>
          <w:bCs/>
          <w:sz w:val="22"/>
          <w:lang w:eastAsia="x-none"/>
        </w:rPr>
        <w:t>todos» utilizado por el legislador comprende</w:t>
      </w:r>
      <w:r w:rsidRPr="007A0C25">
        <w:rPr>
          <w:rFonts w:ascii="Calibri" w:eastAsia="Calibri" w:hAnsi="Calibri"/>
          <w:sz w:val="22"/>
        </w:rPr>
        <w:t xml:space="preserve"> </w:t>
      </w:r>
      <w:r w:rsidRPr="007A0C25">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bookmarkEnd w:id="36"/>
      <w:r w:rsidR="00FA5DAD" w:rsidRPr="007A0C25">
        <w:rPr>
          <w:rFonts w:ascii="Arial" w:hAnsi="Arial" w:cs="Arial"/>
          <w:bCs/>
          <w:sz w:val="22"/>
          <w:lang w:eastAsia="x-none"/>
        </w:rPr>
        <w:t>La Sala de Consulta y Servicio Civil de</w:t>
      </w:r>
      <w:r w:rsidRPr="007A0C25">
        <w:rPr>
          <w:rFonts w:ascii="Arial" w:hAnsi="Arial" w:cs="Arial"/>
          <w:bCs/>
          <w:sz w:val="22"/>
          <w:lang w:eastAsia="x-none"/>
        </w:rPr>
        <w:t xml:space="preserve">l Consejo de Estado, en Concepto con radicado 1727 de fecha 20 de febrero de 2006, consideró que: </w:t>
      </w:r>
    </w:p>
    <w:p w14:paraId="1D403C61" w14:textId="77777777" w:rsidR="00AC55A0" w:rsidRPr="007A0C25" w:rsidRDefault="00AC55A0" w:rsidP="00FA5DAD">
      <w:pPr>
        <w:spacing w:line="276" w:lineRule="auto"/>
        <w:ind w:firstLine="708"/>
        <w:contextualSpacing/>
        <w:jc w:val="both"/>
        <w:rPr>
          <w:rFonts w:ascii="Arial" w:hAnsi="Arial" w:cs="Arial"/>
          <w:bCs/>
          <w:sz w:val="22"/>
          <w:lang w:eastAsia="x-none"/>
        </w:rPr>
      </w:pPr>
    </w:p>
    <w:p w14:paraId="44591B99" w14:textId="77777777" w:rsidR="00AC55A0" w:rsidRPr="007A0C25" w:rsidRDefault="00AC55A0" w:rsidP="00FA5DAD">
      <w:pPr>
        <w:ind w:left="709" w:right="709"/>
        <w:contextualSpacing/>
        <w:jc w:val="both"/>
        <w:rPr>
          <w:rFonts w:ascii="Arial" w:hAnsi="Arial" w:cs="Arial"/>
          <w:bCs/>
          <w:sz w:val="21"/>
          <w:szCs w:val="21"/>
          <w:lang w:eastAsia="es-CO"/>
        </w:rPr>
      </w:pPr>
      <w:r w:rsidRPr="007A0C25">
        <w:rPr>
          <w:rFonts w:ascii="Arial" w:hAnsi="Arial" w:cs="Arial"/>
          <w:bCs/>
          <w:sz w:val="21"/>
          <w:szCs w:val="21"/>
          <w:lang w:eastAsia="x-none"/>
        </w:rPr>
        <w:t xml:space="preserve">El artículo 33 de la ley 996 de 2005, </w:t>
      </w:r>
      <w:bookmarkStart w:id="38" w:name="_Hlk75787147"/>
      <w:r w:rsidRPr="007A0C25">
        <w:rPr>
          <w:rFonts w:ascii="Arial" w:hAnsi="Arial" w:cs="Arial"/>
          <w:bCs/>
          <w:sz w:val="21"/>
          <w:szCs w:val="21"/>
          <w:lang w:eastAsia="x-none"/>
        </w:rPr>
        <w:t xml:space="preserve">efectivamente se aplica </w:t>
      </w:r>
      <w:bookmarkStart w:id="39" w:name="_Hlk76074089"/>
      <w:r w:rsidRPr="007A0C25">
        <w:rPr>
          <w:rFonts w:ascii="Arial"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9"/>
      <w:r w:rsidRPr="007A0C25">
        <w:rPr>
          <w:rFonts w:ascii="Arial" w:hAnsi="Arial" w:cs="Arial"/>
          <w:bCs/>
          <w:sz w:val="21"/>
          <w:szCs w:val="21"/>
          <w:lang w:eastAsia="x-none"/>
        </w:rPr>
        <w:t xml:space="preserve">, como </w:t>
      </w:r>
      <w:r w:rsidRPr="007A0C25">
        <w:rPr>
          <w:rFonts w:ascii="Arial" w:hAnsi="Arial" w:cs="Arial"/>
          <w:bCs/>
          <w:sz w:val="21"/>
          <w:szCs w:val="21"/>
          <w:lang w:eastAsia="x-none"/>
        </w:rPr>
        <w:lastRenderedPageBreak/>
        <w:t>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7A0C25">
        <w:rPr>
          <w:rFonts w:ascii="Arial" w:hAnsi="Arial" w:cs="Arial"/>
          <w:bCs/>
          <w:sz w:val="21"/>
          <w:szCs w:val="21"/>
          <w:vertAlign w:val="superscript"/>
          <w:lang w:eastAsia="x-none"/>
        </w:rPr>
        <w:footnoteReference w:id="19"/>
      </w:r>
      <w:r w:rsidRPr="007A0C25">
        <w:rPr>
          <w:rFonts w:ascii="Arial" w:hAnsi="Arial" w:cs="Arial"/>
          <w:bCs/>
          <w:sz w:val="21"/>
          <w:szCs w:val="21"/>
          <w:lang w:eastAsia="x-none"/>
        </w:rPr>
        <w:t>.</w:t>
      </w:r>
      <w:r w:rsidRPr="007A0C25">
        <w:rPr>
          <w:rFonts w:ascii="Arial" w:hAnsi="Arial" w:cs="Arial"/>
          <w:bCs/>
          <w:sz w:val="21"/>
          <w:szCs w:val="21"/>
          <w:lang w:eastAsia="es-CO"/>
        </w:rPr>
        <w:t xml:space="preserve"> </w:t>
      </w:r>
    </w:p>
    <w:p w14:paraId="29848590" w14:textId="77777777" w:rsidR="00AC55A0" w:rsidRPr="007A0C25" w:rsidRDefault="00AC55A0" w:rsidP="00FA5DAD">
      <w:pPr>
        <w:spacing w:line="276" w:lineRule="auto"/>
        <w:ind w:firstLine="709"/>
        <w:contextualSpacing/>
        <w:jc w:val="both"/>
        <w:rPr>
          <w:rFonts w:ascii="Arial" w:hAnsi="Arial" w:cs="Arial"/>
          <w:bCs/>
          <w:color w:val="FF0000"/>
          <w:sz w:val="22"/>
          <w:lang w:eastAsia="es-CO"/>
        </w:rPr>
      </w:pPr>
    </w:p>
    <w:p w14:paraId="311B9F8D" w14:textId="7747B1AA" w:rsidR="00FA5DAD" w:rsidRPr="007A0C25" w:rsidRDefault="00FA5DAD" w:rsidP="00FA5DAD">
      <w:pPr>
        <w:spacing w:line="276" w:lineRule="auto"/>
        <w:ind w:firstLine="709"/>
        <w:jc w:val="both"/>
        <w:rPr>
          <w:rFonts w:ascii="Arial" w:hAnsi="Arial" w:cs="Arial"/>
          <w:bCs/>
          <w:sz w:val="22"/>
          <w:lang w:val="es-ES_tradnl" w:eastAsia="x-none"/>
        </w:rPr>
      </w:pPr>
      <w:r w:rsidRPr="007A0C25">
        <w:rPr>
          <w:rFonts w:ascii="Arial" w:hAnsi="Arial" w:cs="Arial"/>
          <w:sz w:val="22"/>
          <w:lang w:val="es-ES_tradnl"/>
        </w:rPr>
        <w:t xml:space="preserve">Por lo tanto, la restricción prevista en la Ley 996 de 2005, </w:t>
      </w:r>
      <w:r w:rsidRPr="007A0C25">
        <w:rPr>
          <w:rFonts w:ascii="Arial" w:hAnsi="Arial" w:cs="Arial"/>
          <w:bCs/>
          <w:sz w:val="22"/>
          <w:lang w:val="es-ES_tradnl"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1477CAEF" w14:textId="77777777" w:rsidR="00FA5DAD" w:rsidRPr="007A0C25" w:rsidRDefault="00FA5DAD" w:rsidP="00FA5DAD">
      <w:pPr>
        <w:spacing w:line="276" w:lineRule="auto"/>
        <w:ind w:firstLine="709"/>
        <w:jc w:val="both"/>
        <w:rPr>
          <w:rFonts w:ascii="Arial" w:hAnsi="Arial" w:cs="Arial"/>
          <w:bCs/>
          <w:sz w:val="22"/>
          <w:lang w:val="es-ES_tradnl" w:eastAsia="x-none"/>
        </w:rPr>
      </w:pPr>
    </w:p>
    <w:p w14:paraId="5F3E85E8" w14:textId="77777777" w:rsidR="00AC55A0" w:rsidRPr="007A0C25" w:rsidRDefault="00AC55A0" w:rsidP="00AC55A0">
      <w:pPr>
        <w:spacing w:line="276" w:lineRule="auto"/>
        <w:jc w:val="both"/>
        <w:rPr>
          <w:rFonts w:ascii="Arial" w:eastAsia="Calibri" w:hAnsi="Arial" w:cs="Arial"/>
          <w:b/>
          <w:bCs/>
          <w:sz w:val="22"/>
        </w:rPr>
      </w:pPr>
      <w:bookmarkStart w:id="40" w:name="_Hlk75784645"/>
      <w:bookmarkEnd w:id="38"/>
      <w:r w:rsidRPr="007A0C25">
        <w:rPr>
          <w:rFonts w:ascii="Arial" w:eastAsia="Calibri" w:hAnsi="Arial" w:cs="Arial"/>
          <w:b/>
          <w:bCs/>
          <w:sz w:val="22"/>
        </w:rPr>
        <w:t xml:space="preserve">2.4. </w:t>
      </w:r>
      <w:bookmarkStart w:id="41" w:name="_Hlk77153296"/>
      <w:r w:rsidRPr="007A0C25">
        <w:rPr>
          <w:rFonts w:ascii="Arial" w:hAnsi="Arial" w:cs="Arial"/>
          <w:b/>
          <w:bCs/>
          <w:sz w:val="22"/>
          <w:lang w:eastAsia="es-CO"/>
        </w:rPr>
        <w:t xml:space="preserve">Restricciones </w:t>
      </w:r>
      <w:bookmarkStart w:id="42" w:name="_Hlk75643279"/>
      <w:r w:rsidRPr="007A0C25">
        <w:rPr>
          <w:rFonts w:ascii="Arial" w:hAnsi="Arial" w:cs="Arial"/>
          <w:b/>
          <w:bCs/>
          <w:sz w:val="22"/>
          <w:lang w:eastAsia="es-CO"/>
        </w:rPr>
        <w:t xml:space="preserve">para la celebración de contratos y convenios interadministrativos en los comicios para cargos de elección popular </w:t>
      </w:r>
    </w:p>
    <w:p w14:paraId="7CA4104F" w14:textId="77777777" w:rsidR="00AC55A0" w:rsidRPr="007A0C25" w:rsidRDefault="00AC55A0" w:rsidP="00AC55A0">
      <w:pPr>
        <w:tabs>
          <w:tab w:val="left" w:pos="426"/>
        </w:tabs>
        <w:spacing w:line="276" w:lineRule="auto"/>
        <w:jc w:val="both"/>
        <w:rPr>
          <w:rFonts w:ascii="Arial" w:eastAsia="Calibri" w:hAnsi="Arial" w:cs="Arial"/>
          <w:bCs/>
          <w:sz w:val="22"/>
        </w:rPr>
      </w:pPr>
      <w:bookmarkStart w:id="43" w:name="_Hlk88210558"/>
      <w:bookmarkEnd w:id="41"/>
      <w:bookmarkEnd w:id="42"/>
    </w:p>
    <w:p w14:paraId="3D12B0A5" w14:textId="77777777" w:rsidR="00AC55A0" w:rsidRPr="007A0C25" w:rsidRDefault="00AC55A0" w:rsidP="00AC55A0">
      <w:pPr>
        <w:tabs>
          <w:tab w:val="left" w:pos="426"/>
        </w:tabs>
        <w:spacing w:after="120" w:line="276" w:lineRule="auto"/>
        <w:jc w:val="both"/>
        <w:rPr>
          <w:rFonts w:ascii="Arial" w:eastAsia="Calibri" w:hAnsi="Arial" w:cs="Arial"/>
          <w:bCs/>
          <w:sz w:val="22"/>
        </w:rPr>
      </w:pPr>
      <w:bookmarkStart w:id="44" w:name="_Hlk114827887"/>
      <w:r w:rsidRPr="007A0C25">
        <w:rPr>
          <w:rFonts w:ascii="Arial" w:eastAsia="Calibri" w:hAnsi="Arial" w:cs="Arial"/>
          <w:bCs/>
          <w:sz w:val="22"/>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7A0C25">
        <w:rPr>
          <w:rFonts w:ascii="Arial" w:hAnsi="Arial" w:cs="Arial"/>
          <w:bCs/>
          <w:iCs/>
          <w:sz w:val="22"/>
          <w:lang w:eastAsia="x-none"/>
        </w:rPr>
        <w:t xml:space="preserve"> </w:t>
      </w:r>
      <w:bookmarkStart w:id="45" w:name="_Hlk99578153"/>
      <w:bookmarkEnd w:id="43"/>
      <w:r w:rsidRPr="007A0C25">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44"/>
      <w:bookmarkEnd w:id="45"/>
      <w:r w:rsidRPr="007A0C25">
        <w:rPr>
          <w:rFonts w:ascii="Arial" w:hAnsi="Arial" w:cs="Arial"/>
          <w:bCs/>
          <w:iCs/>
          <w:sz w:val="22"/>
          <w:vertAlign w:val="superscript"/>
          <w:lang w:eastAsia="x-none"/>
        </w:rPr>
        <w:footnoteReference w:id="20"/>
      </w:r>
      <w:r w:rsidRPr="007A0C25">
        <w:rPr>
          <w:rFonts w:ascii="Arial" w:hAnsi="Arial" w:cs="Arial"/>
          <w:bCs/>
          <w:iCs/>
          <w:sz w:val="22"/>
          <w:lang w:eastAsia="x-none"/>
        </w:rPr>
        <w:t>.</w:t>
      </w:r>
      <w:r w:rsidRPr="007A0C25">
        <w:rPr>
          <w:rFonts w:ascii="Arial" w:eastAsia="Calibri" w:hAnsi="Arial" w:cs="Arial"/>
          <w:sz w:val="22"/>
        </w:rPr>
        <w:t xml:space="preserve"> </w:t>
      </w:r>
    </w:p>
    <w:p w14:paraId="110F6CDB" w14:textId="77777777" w:rsidR="00AC55A0" w:rsidRPr="007A0C25" w:rsidRDefault="00AC55A0" w:rsidP="00AC55A0">
      <w:pPr>
        <w:widowControl w:val="0"/>
        <w:autoSpaceDE w:val="0"/>
        <w:autoSpaceDN w:val="0"/>
        <w:spacing w:after="120" w:line="276" w:lineRule="auto"/>
        <w:ind w:firstLine="707"/>
        <w:jc w:val="both"/>
        <w:rPr>
          <w:rFonts w:ascii="Arial" w:eastAsia="Arial" w:hAnsi="Arial" w:cs="Arial"/>
          <w:sz w:val="22"/>
          <w:lang w:val="es-ES" w:eastAsia="es-ES" w:bidi="es-ES"/>
        </w:rPr>
      </w:pPr>
      <w:r w:rsidRPr="007A0C25">
        <w:rPr>
          <w:rFonts w:ascii="Arial" w:eastAsia="Calibri" w:hAnsi="Arial" w:cs="Arial"/>
          <w:bCs/>
          <w:sz w:val="22"/>
          <w:lang w:eastAsia="es-ES" w:bidi="es-ES"/>
        </w:rPr>
        <w:t xml:space="preserve">Ahora bien, </w:t>
      </w:r>
      <w:bookmarkStart w:id="46" w:name="_Hlk78820161"/>
      <w:r w:rsidRPr="007A0C25">
        <w:rPr>
          <w:rFonts w:ascii="Arial" w:eastAsia="Calibri" w:hAnsi="Arial" w:cs="Arial"/>
          <w:bCs/>
          <w:sz w:val="22"/>
          <w:lang w:eastAsia="es-ES" w:bidi="es-ES"/>
        </w:rPr>
        <w:t xml:space="preserve">para determinar el alcance de la prohibición consagrada por la Ley de Garantías Electorales, conviene precisar la tipología de convenios o contratos interadministrativos. </w:t>
      </w:r>
      <w:bookmarkStart w:id="47" w:name="_Hlk114827997"/>
      <w:r w:rsidRPr="007A0C25">
        <w:rPr>
          <w:rFonts w:ascii="Arial" w:eastAsia="Arial" w:hAnsi="Arial" w:cs="Arial"/>
          <w:sz w:val="22"/>
          <w:lang w:val="es-ES" w:eastAsia="es-ES" w:bidi="es-ES"/>
        </w:rPr>
        <w:t xml:space="preserve">Aunque la ley no la definió ni desarrolló, el Decreto 1082 de 2015 califica a los convenios o contratos interadministrativos como aquella contratación entre entidades </w:t>
      </w:r>
      <w:r w:rsidRPr="007A0C25">
        <w:rPr>
          <w:rFonts w:ascii="Arial" w:eastAsia="Arial" w:hAnsi="Arial" w:cs="Arial"/>
          <w:sz w:val="22"/>
          <w:lang w:val="es-ES" w:eastAsia="es-ES" w:bidi="es-ES"/>
        </w:rPr>
        <w:lastRenderedPageBreak/>
        <w:t>estatales</w:t>
      </w:r>
      <w:r w:rsidRPr="007A0C25">
        <w:rPr>
          <w:rFonts w:ascii="Arial" w:eastAsia="Arial" w:hAnsi="Arial" w:cs="Arial"/>
          <w:sz w:val="22"/>
          <w:vertAlign w:val="superscript"/>
          <w:lang w:val="es-ES" w:eastAsia="es-ES" w:bidi="es-ES"/>
        </w:rPr>
        <w:footnoteReference w:id="21"/>
      </w:r>
      <w:r w:rsidRPr="007A0C25">
        <w:rPr>
          <w:rFonts w:ascii="Arial" w:eastAsia="Arial" w:hAnsi="Arial" w:cs="Arial"/>
          <w:sz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A0C25">
        <w:rPr>
          <w:rFonts w:ascii="Arial" w:eastAsia="Arial" w:hAnsi="Arial" w:cs="Arial"/>
          <w:spacing w:val="-6"/>
          <w:sz w:val="22"/>
          <w:lang w:val="es-ES" w:eastAsia="es-ES" w:bidi="es-ES"/>
        </w:rPr>
        <w:t xml:space="preserve"> </w:t>
      </w:r>
      <w:r w:rsidRPr="007A0C25">
        <w:rPr>
          <w:rFonts w:ascii="Arial" w:eastAsia="Arial" w:hAnsi="Arial" w:cs="Arial"/>
          <w:sz w:val="22"/>
          <w:lang w:val="es-ES" w:eastAsia="es-ES" w:bidi="es-ES"/>
        </w:rPr>
        <w:t>estatales.</w:t>
      </w:r>
    </w:p>
    <w:p w14:paraId="17CFC8E8" w14:textId="77777777" w:rsidR="00AC55A0" w:rsidRPr="007A0C25" w:rsidRDefault="00AC55A0" w:rsidP="00AC55A0">
      <w:pPr>
        <w:widowControl w:val="0"/>
        <w:autoSpaceDE w:val="0"/>
        <w:autoSpaceDN w:val="0"/>
        <w:spacing w:before="117" w:after="120" w:line="276" w:lineRule="auto"/>
        <w:ind w:firstLine="707"/>
        <w:jc w:val="both"/>
        <w:rPr>
          <w:rFonts w:ascii="Arial" w:eastAsia="Arial" w:hAnsi="Arial" w:cs="Arial"/>
          <w:sz w:val="22"/>
          <w:lang w:val="es-ES" w:eastAsia="es-ES" w:bidi="es-ES"/>
        </w:rPr>
      </w:pPr>
      <w:bookmarkStart w:id="48" w:name="_Hlk78820654"/>
      <w:bookmarkEnd w:id="46"/>
      <w:bookmarkEnd w:id="47"/>
      <w:r w:rsidRPr="007A0C25">
        <w:rPr>
          <w:rFonts w:ascii="Arial" w:eastAsia="Arial" w:hAnsi="Arial" w:cs="Arial"/>
          <w:sz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95B1A5D" w14:textId="77777777" w:rsidR="00AC55A0" w:rsidRPr="007A0C25" w:rsidRDefault="00AC55A0" w:rsidP="00AC55A0">
      <w:pPr>
        <w:widowControl w:val="0"/>
        <w:autoSpaceDE w:val="0"/>
        <w:autoSpaceDN w:val="0"/>
        <w:spacing w:before="121" w:after="120" w:line="276" w:lineRule="auto"/>
        <w:ind w:firstLine="707"/>
        <w:jc w:val="both"/>
        <w:rPr>
          <w:rFonts w:ascii="Arial" w:eastAsia="Arial" w:hAnsi="Arial" w:cs="Arial"/>
          <w:sz w:val="22"/>
          <w:lang w:val="es-ES" w:eastAsia="es-ES" w:bidi="es-ES"/>
        </w:rPr>
      </w:pPr>
      <w:bookmarkStart w:id="49" w:name="_Hlk99578261"/>
      <w:bookmarkEnd w:id="48"/>
      <w:r w:rsidRPr="007A0C25">
        <w:rPr>
          <w:rFonts w:ascii="Arial" w:eastAsia="Arial" w:hAnsi="Arial" w:cs="Arial"/>
          <w:sz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A0C25">
        <w:rPr>
          <w:rFonts w:ascii="Arial" w:eastAsia="Arial" w:hAnsi="Arial" w:cs="Arial"/>
          <w:sz w:val="22"/>
          <w:vertAlign w:val="superscript"/>
          <w:lang w:val="es-ES" w:eastAsia="es-ES" w:bidi="es-ES"/>
        </w:rPr>
        <w:footnoteReference w:id="22"/>
      </w:r>
      <w:r w:rsidRPr="007A0C25">
        <w:rPr>
          <w:rFonts w:ascii="Arial" w:eastAsia="Arial" w:hAnsi="Arial" w:cs="Arial"/>
          <w:sz w:val="22"/>
          <w:lang w:val="es-ES" w:eastAsia="es-ES" w:bidi="es-ES"/>
        </w:rPr>
        <w:t>. Nótese que, en este caso, lo que cambia es la modalidad de selección y no la naturaleza de contrato</w:t>
      </w:r>
      <w:r w:rsidRPr="007A0C25">
        <w:rPr>
          <w:rFonts w:ascii="Arial" w:eastAsia="Arial" w:hAnsi="Arial" w:cs="Arial"/>
          <w:spacing w:val="-18"/>
          <w:sz w:val="22"/>
          <w:lang w:val="es-ES" w:eastAsia="es-ES" w:bidi="es-ES"/>
        </w:rPr>
        <w:t xml:space="preserve"> </w:t>
      </w:r>
      <w:r w:rsidRPr="007A0C25">
        <w:rPr>
          <w:rFonts w:ascii="Arial" w:eastAsia="Arial" w:hAnsi="Arial" w:cs="Arial"/>
          <w:sz w:val="22"/>
          <w:lang w:val="es-ES" w:eastAsia="es-ES" w:bidi="es-ES"/>
        </w:rPr>
        <w:t>interadministrativo.</w:t>
      </w:r>
    </w:p>
    <w:bookmarkEnd w:id="49"/>
    <w:p w14:paraId="570F3075" w14:textId="77777777" w:rsidR="00AC55A0" w:rsidRPr="007A0C25" w:rsidRDefault="00AC55A0" w:rsidP="00AC55A0">
      <w:pPr>
        <w:widowControl w:val="0"/>
        <w:autoSpaceDE w:val="0"/>
        <w:autoSpaceDN w:val="0"/>
        <w:spacing w:before="114" w:line="276" w:lineRule="auto"/>
        <w:ind w:firstLine="707"/>
        <w:jc w:val="both"/>
        <w:rPr>
          <w:rFonts w:ascii="Arial" w:eastAsia="Arial" w:hAnsi="Arial" w:cs="Arial"/>
          <w:sz w:val="22"/>
          <w:lang w:val="es-ES" w:eastAsia="es-ES" w:bidi="es-ES"/>
        </w:rPr>
      </w:pPr>
      <w:r w:rsidRPr="007A0C25">
        <w:rPr>
          <w:rFonts w:ascii="Arial" w:eastAsia="Arial" w:hAnsi="Arial" w:cs="Arial"/>
          <w:sz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7A0C25">
        <w:rPr>
          <w:rFonts w:ascii="Arial" w:eastAsia="Arial" w:hAnsi="Arial" w:cs="Arial"/>
          <w:spacing w:val="-13"/>
          <w:sz w:val="22"/>
          <w:lang w:val="es-ES" w:eastAsia="es-ES" w:bidi="es-ES"/>
        </w:rPr>
        <w:t xml:space="preserve"> </w:t>
      </w:r>
      <w:r w:rsidRPr="007A0C25">
        <w:rPr>
          <w:rFonts w:ascii="Arial" w:eastAsia="Arial" w:hAnsi="Arial" w:cs="Arial"/>
          <w:sz w:val="22"/>
          <w:lang w:val="es-ES" w:eastAsia="es-ES" w:bidi="es-ES"/>
        </w:rPr>
        <w:t>que:</w:t>
      </w:r>
    </w:p>
    <w:p w14:paraId="7CC2EE10" w14:textId="77777777" w:rsidR="00AC55A0" w:rsidRPr="007A0C25" w:rsidRDefault="00AC55A0" w:rsidP="00AC55A0">
      <w:pPr>
        <w:widowControl w:val="0"/>
        <w:autoSpaceDE w:val="0"/>
        <w:autoSpaceDN w:val="0"/>
        <w:spacing w:line="276" w:lineRule="auto"/>
        <w:ind w:firstLine="707"/>
        <w:contextualSpacing/>
        <w:jc w:val="both"/>
        <w:rPr>
          <w:rFonts w:ascii="Arial" w:eastAsia="Arial" w:hAnsi="Arial" w:cs="Arial"/>
          <w:sz w:val="22"/>
          <w:lang w:val="es-ES" w:eastAsia="es-ES" w:bidi="es-ES"/>
        </w:rPr>
      </w:pPr>
    </w:p>
    <w:p w14:paraId="5D33DBCA" w14:textId="77777777" w:rsidR="00AC55A0" w:rsidRPr="007A0C25" w:rsidRDefault="00AC55A0" w:rsidP="00AC55A0">
      <w:pPr>
        <w:ind w:left="709" w:right="709"/>
        <w:contextualSpacing/>
        <w:jc w:val="both"/>
        <w:rPr>
          <w:rFonts w:ascii="Arial" w:eastAsia="Calibri" w:hAnsi="Arial" w:cs="Arial"/>
          <w:sz w:val="21"/>
        </w:rPr>
      </w:pPr>
      <w:r w:rsidRPr="007A0C25">
        <w:rPr>
          <w:rFonts w:ascii="Arial" w:eastAsia="Calibri"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7A0C25">
        <w:rPr>
          <w:rFonts w:ascii="Arial" w:eastAsia="Calibri" w:hAnsi="Arial" w:cs="Arial"/>
          <w:sz w:val="21"/>
          <w:vertAlign w:val="superscript"/>
        </w:rPr>
        <w:footnoteReference w:id="23"/>
      </w:r>
      <w:r w:rsidRPr="007A0C25">
        <w:rPr>
          <w:rFonts w:ascii="Arial" w:eastAsia="Calibri" w:hAnsi="Arial" w:cs="Arial"/>
          <w:sz w:val="21"/>
        </w:rPr>
        <w:t>.</w:t>
      </w:r>
    </w:p>
    <w:p w14:paraId="2983B784" w14:textId="77777777" w:rsidR="00AC55A0" w:rsidRPr="007A0C25" w:rsidRDefault="00AC55A0" w:rsidP="00AC55A0">
      <w:pPr>
        <w:spacing w:line="276" w:lineRule="auto"/>
        <w:ind w:left="709" w:right="709"/>
        <w:contextualSpacing/>
        <w:jc w:val="both"/>
        <w:rPr>
          <w:rFonts w:ascii="Arial" w:eastAsia="Calibri" w:hAnsi="Arial" w:cs="Arial"/>
          <w:sz w:val="22"/>
        </w:rPr>
      </w:pPr>
    </w:p>
    <w:p w14:paraId="3D240258" w14:textId="77777777" w:rsidR="00AC55A0" w:rsidRPr="007A0C25" w:rsidRDefault="00AC55A0" w:rsidP="00AC55A0">
      <w:pPr>
        <w:widowControl w:val="0"/>
        <w:autoSpaceDE w:val="0"/>
        <w:autoSpaceDN w:val="0"/>
        <w:spacing w:after="120" w:line="276" w:lineRule="auto"/>
        <w:ind w:firstLine="707"/>
        <w:jc w:val="both"/>
        <w:rPr>
          <w:rFonts w:ascii="Arial" w:eastAsia="Arial" w:hAnsi="Arial" w:cs="Arial"/>
          <w:sz w:val="22"/>
          <w:lang w:val="es-ES" w:eastAsia="es-ES" w:bidi="es-ES"/>
        </w:rPr>
      </w:pPr>
      <w:r w:rsidRPr="007A0C25">
        <w:rPr>
          <w:rFonts w:ascii="Arial" w:eastAsia="Arial" w:hAnsi="Arial" w:cs="Arial"/>
          <w:sz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97AB712" w14:textId="77777777" w:rsidR="00AC55A0" w:rsidRPr="007A0C25" w:rsidRDefault="00AC55A0" w:rsidP="00AC55A0">
      <w:pPr>
        <w:widowControl w:val="0"/>
        <w:autoSpaceDE w:val="0"/>
        <w:autoSpaceDN w:val="0"/>
        <w:spacing w:before="119" w:after="120" w:line="276" w:lineRule="auto"/>
        <w:ind w:firstLine="707"/>
        <w:jc w:val="both"/>
        <w:rPr>
          <w:rFonts w:ascii="Arial" w:eastAsia="Arial" w:hAnsi="Arial" w:cs="Arial"/>
          <w:sz w:val="22"/>
          <w:lang w:val="es-ES" w:eastAsia="es-ES" w:bidi="es-ES"/>
        </w:rPr>
      </w:pPr>
      <w:r w:rsidRPr="007A0C25">
        <w:rPr>
          <w:rFonts w:ascii="Arial" w:eastAsia="Arial" w:hAnsi="Arial" w:cs="Arial"/>
          <w:sz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7A0C25">
        <w:rPr>
          <w:rFonts w:ascii="Arial" w:eastAsia="Arial" w:hAnsi="Arial" w:cs="Arial"/>
          <w:spacing w:val="-3"/>
          <w:sz w:val="22"/>
          <w:lang w:val="es-ES" w:eastAsia="es-ES" w:bidi="es-ES"/>
        </w:rPr>
        <w:t xml:space="preserve"> </w:t>
      </w:r>
      <w:r w:rsidRPr="007A0C25">
        <w:rPr>
          <w:rFonts w:ascii="Arial" w:eastAsia="Arial" w:hAnsi="Arial" w:cs="Arial"/>
          <w:sz w:val="22"/>
          <w:lang w:val="es-ES" w:eastAsia="es-ES" w:bidi="es-ES"/>
        </w:rPr>
        <w:t>estatales.</w:t>
      </w:r>
    </w:p>
    <w:p w14:paraId="63CE03DB" w14:textId="77777777" w:rsidR="00AC55A0" w:rsidRPr="007A0C25" w:rsidRDefault="00AC55A0" w:rsidP="00AC55A0">
      <w:pPr>
        <w:widowControl w:val="0"/>
        <w:autoSpaceDE w:val="0"/>
        <w:autoSpaceDN w:val="0"/>
        <w:spacing w:before="120" w:after="120" w:line="276" w:lineRule="auto"/>
        <w:ind w:firstLine="709"/>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w:t>
      </w:r>
      <w:r w:rsidRPr="007A0C25">
        <w:rPr>
          <w:rFonts w:ascii="Arial" w:eastAsia="Arial" w:hAnsi="Arial" w:cs="Arial"/>
          <w:sz w:val="22"/>
          <w:lang w:val="es-ES" w:eastAsia="es-ES" w:bidi="es-ES"/>
        </w:rPr>
        <w:lastRenderedPageBreak/>
        <w:t>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7A0C25">
        <w:rPr>
          <w:rFonts w:ascii="Arial" w:eastAsia="Arial" w:hAnsi="Arial" w:cs="Arial"/>
          <w:spacing w:val="-4"/>
          <w:sz w:val="22"/>
          <w:lang w:val="es-ES" w:eastAsia="es-ES" w:bidi="es-ES"/>
        </w:rPr>
        <w:t xml:space="preserve"> </w:t>
      </w:r>
      <w:r w:rsidRPr="007A0C25">
        <w:rPr>
          <w:rFonts w:ascii="Arial" w:eastAsia="Arial" w:hAnsi="Arial" w:cs="Arial"/>
          <w:sz w:val="22"/>
          <w:lang w:val="es-ES" w:eastAsia="es-ES" w:bidi="es-ES"/>
        </w:rPr>
        <w:t>estatales.</w:t>
      </w:r>
    </w:p>
    <w:p w14:paraId="7176CBFC" w14:textId="77777777" w:rsidR="00AC55A0" w:rsidRPr="007A0C25" w:rsidRDefault="00AC55A0" w:rsidP="00AC55A0">
      <w:pPr>
        <w:widowControl w:val="0"/>
        <w:autoSpaceDE w:val="0"/>
        <w:autoSpaceDN w:val="0"/>
        <w:spacing w:before="122" w:after="120" w:line="276" w:lineRule="auto"/>
        <w:ind w:firstLine="708"/>
        <w:jc w:val="both"/>
        <w:rPr>
          <w:rFonts w:ascii="Arial" w:eastAsia="Arial" w:hAnsi="Arial" w:cs="Arial"/>
          <w:sz w:val="22"/>
          <w:lang w:val="es-ES" w:eastAsia="es-ES" w:bidi="es-ES"/>
        </w:rPr>
      </w:pPr>
      <w:r w:rsidRPr="007A0C25">
        <w:rPr>
          <w:rFonts w:ascii="Arial" w:eastAsia="Arial" w:hAnsi="Arial" w:cs="Arial"/>
          <w:sz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57C842B" w14:textId="77777777" w:rsidR="00AC55A0" w:rsidRPr="007A0C25" w:rsidRDefault="00AC55A0" w:rsidP="00AC55A0">
      <w:pPr>
        <w:widowControl w:val="0"/>
        <w:autoSpaceDE w:val="0"/>
        <w:autoSpaceDN w:val="0"/>
        <w:spacing w:after="120" w:line="276" w:lineRule="auto"/>
        <w:ind w:firstLine="708"/>
        <w:jc w:val="both"/>
        <w:rPr>
          <w:rFonts w:ascii="Arial" w:eastAsia="Calibri" w:hAnsi="Arial" w:cs="Arial"/>
          <w:bCs/>
          <w:sz w:val="22"/>
          <w:lang w:eastAsia="es-ES" w:bidi="es-ES"/>
        </w:rPr>
      </w:pPr>
      <w:r w:rsidRPr="007A0C25">
        <w:rPr>
          <w:rFonts w:ascii="Arial" w:eastAsia="Arial" w:hAnsi="Arial" w:cs="Arial"/>
          <w:sz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7A0C25">
        <w:rPr>
          <w:rFonts w:ascii="Arial" w:eastAsia="Arial" w:hAnsi="Arial" w:cs="Arial"/>
          <w:spacing w:val="-4"/>
          <w:sz w:val="22"/>
          <w:lang w:val="es-ES" w:eastAsia="es-ES" w:bidi="es-ES"/>
        </w:rPr>
        <w:t xml:space="preserve"> </w:t>
      </w:r>
      <w:r w:rsidRPr="007A0C25">
        <w:rPr>
          <w:rFonts w:ascii="Arial" w:eastAsia="Arial" w:hAnsi="Arial" w:cs="Arial"/>
          <w:sz w:val="22"/>
          <w:lang w:val="es-ES" w:eastAsia="es-ES" w:bidi="es-ES"/>
        </w:rPr>
        <w:t>[…]»</w:t>
      </w:r>
      <w:r w:rsidRPr="007A0C25">
        <w:rPr>
          <w:rFonts w:ascii="Arial" w:eastAsia="Arial" w:hAnsi="Arial" w:cs="Arial"/>
          <w:sz w:val="22"/>
          <w:vertAlign w:val="superscript"/>
          <w:lang w:val="es-ES" w:eastAsia="es-ES" w:bidi="es-ES"/>
        </w:rPr>
        <w:footnoteReference w:id="24"/>
      </w:r>
      <w:r w:rsidRPr="007A0C25">
        <w:rPr>
          <w:rFonts w:ascii="Arial" w:eastAsia="Arial" w:hAnsi="Arial" w:cs="Arial"/>
          <w:sz w:val="22"/>
          <w:lang w:val="es-ES" w:eastAsia="es-ES" w:bidi="es-ES"/>
        </w:rPr>
        <w:t>.</w:t>
      </w:r>
      <w:bookmarkStart w:id="50" w:name="_Hlk77171241"/>
    </w:p>
    <w:p w14:paraId="44E76F1D" w14:textId="77777777" w:rsidR="00AC55A0" w:rsidRPr="007A0C25" w:rsidRDefault="00AC55A0" w:rsidP="00AC55A0">
      <w:pPr>
        <w:widowControl w:val="0"/>
        <w:autoSpaceDE w:val="0"/>
        <w:autoSpaceDN w:val="0"/>
        <w:spacing w:line="276" w:lineRule="auto"/>
        <w:ind w:firstLine="709"/>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D9E915C" w14:textId="77777777" w:rsidR="00AC55A0" w:rsidRPr="007A0C25" w:rsidRDefault="00AC55A0" w:rsidP="00AC55A0">
      <w:pPr>
        <w:widowControl w:val="0"/>
        <w:autoSpaceDE w:val="0"/>
        <w:autoSpaceDN w:val="0"/>
        <w:spacing w:line="276" w:lineRule="auto"/>
        <w:ind w:firstLine="709"/>
        <w:contextualSpacing/>
        <w:jc w:val="both"/>
        <w:rPr>
          <w:rFonts w:ascii="Arial" w:eastAsia="Arial" w:hAnsi="Arial" w:cs="Arial"/>
          <w:sz w:val="22"/>
          <w:lang w:val="es-ES" w:eastAsia="es-ES" w:bidi="es-ES"/>
        </w:rPr>
      </w:pPr>
    </w:p>
    <w:p w14:paraId="473B70DB" w14:textId="77777777" w:rsidR="00AC55A0" w:rsidRPr="007A0C25" w:rsidRDefault="00AC55A0" w:rsidP="00AC55A0">
      <w:pPr>
        <w:ind w:left="709" w:right="709"/>
        <w:contextualSpacing/>
        <w:jc w:val="both"/>
        <w:rPr>
          <w:rFonts w:ascii="Arial" w:eastAsia="Calibri" w:hAnsi="Arial" w:cs="Arial"/>
          <w:sz w:val="21"/>
          <w:szCs w:val="21"/>
          <w:lang w:val="es-ES_tradnl"/>
        </w:rPr>
      </w:pPr>
      <w:r w:rsidRPr="007A0C25">
        <w:rPr>
          <w:rFonts w:ascii="Arial" w:eastAsia="Calibri" w:hAnsi="Arial" w:cs="Arial"/>
          <w:sz w:val="21"/>
          <w:szCs w:val="21"/>
          <w:lang w:val="es-ES_tradnl"/>
        </w:rPr>
        <w:t>La Sala de Consulta y Servicio Civil</w:t>
      </w:r>
      <w:r w:rsidRPr="007A0C25">
        <w:rPr>
          <w:rFonts w:ascii="Arial" w:eastAsia="Calibri" w:hAnsi="Arial" w:cs="Arial"/>
          <w:sz w:val="21"/>
          <w:szCs w:val="21"/>
          <w:vertAlign w:val="superscript"/>
          <w:lang w:val="es-ES_tradnl"/>
        </w:rPr>
        <w:footnoteReference w:id="25"/>
      </w:r>
      <w:r w:rsidRPr="007A0C25">
        <w:rPr>
          <w:rFonts w:ascii="Arial" w:eastAsia="Calibri" w:hAnsi="Arial" w:cs="Arial"/>
          <w:sz w:val="21"/>
          <w:szCs w:val="21"/>
          <w:lang w:val="es-ES_tradnl"/>
        </w:rPr>
        <w:t xml:space="preserve"> de esta Corporación se ha referido a los </w:t>
      </w:r>
      <w:r w:rsidRPr="007A0C25">
        <w:rPr>
          <w:rFonts w:ascii="Arial" w:eastAsia="Calibri" w:hAnsi="Arial" w:cs="Arial"/>
          <w:i/>
          <w:sz w:val="21"/>
          <w:szCs w:val="21"/>
          <w:lang w:val="es-ES_tradnl"/>
        </w:rPr>
        <w:t>“convenios interadministrativos”</w:t>
      </w:r>
      <w:r w:rsidRPr="007A0C25">
        <w:rPr>
          <w:rFonts w:ascii="Arial" w:eastAsia="Calibri" w:hAnsi="Arial" w:cs="Arial"/>
          <w:sz w:val="21"/>
          <w:szCs w:val="21"/>
          <w:lang w:val="es-ES_tradnl"/>
        </w:rPr>
        <w:t xml:space="preserve"> a los cuales alude el artículo 95 de la Ley 489 de 1998, calificándolos de </w:t>
      </w:r>
      <w:r w:rsidRPr="007A0C25">
        <w:rPr>
          <w:rFonts w:ascii="Arial" w:eastAsia="Calibri" w:hAnsi="Arial" w:cs="Arial"/>
          <w:i/>
          <w:sz w:val="21"/>
          <w:szCs w:val="21"/>
          <w:lang w:val="es-ES_tradnl"/>
        </w:rPr>
        <w:t xml:space="preserve">“puros” </w:t>
      </w:r>
      <w:r w:rsidRPr="007A0C25">
        <w:rPr>
          <w:rFonts w:ascii="Arial" w:eastAsia="Calibri" w:hAnsi="Arial" w:cs="Arial"/>
          <w:sz w:val="21"/>
          <w:szCs w:val="21"/>
          <w:lang w:val="es-ES_tradnl"/>
        </w:rPr>
        <w:t xml:space="preserve">y entendiendo que estos, además de perseguir la </w:t>
      </w:r>
      <w:r w:rsidRPr="007A0C25">
        <w:rPr>
          <w:rFonts w:ascii="Arial" w:eastAsia="Calibri" w:hAnsi="Arial" w:cs="Arial"/>
          <w:sz w:val="21"/>
          <w:szCs w:val="21"/>
          <w:lang w:val="es-ES_tradnl"/>
        </w:rPr>
        <w:lastRenderedPageBreak/>
        <w:t xml:space="preserve">finalidad de cooperación antes indicada, no implican intereses contrapuestos ni tampoco se circunscriben a un </w:t>
      </w:r>
      <w:r w:rsidRPr="007A0C25">
        <w:rPr>
          <w:rFonts w:ascii="Arial" w:eastAsia="Calibri" w:hAnsi="Arial" w:cs="Arial"/>
          <w:i/>
          <w:sz w:val="21"/>
          <w:szCs w:val="21"/>
          <w:lang w:val="es-ES_tradnl"/>
        </w:rPr>
        <w:t>“intercambio patrimonial”</w:t>
      </w:r>
      <w:r w:rsidRPr="007A0C25">
        <w:rPr>
          <w:rFonts w:ascii="Arial" w:eastAsia="Calibri" w:hAnsi="Arial" w:cs="Arial"/>
          <w:sz w:val="21"/>
          <w:szCs w:val="21"/>
          <w:lang w:val="es-ES_tradnl"/>
        </w:rPr>
        <w:t>. Sin perjuicio de lo anterior, en otra oportunidad, la misma Sala</w:t>
      </w:r>
      <w:r w:rsidRPr="007A0C25">
        <w:rPr>
          <w:rFonts w:ascii="Arial" w:eastAsia="Calibri" w:hAnsi="Arial" w:cs="Arial"/>
          <w:sz w:val="21"/>
          <w:szCs w:val="21"/>
          <w:vertAlign w:val="superscript"/>
          <w:lang w:val="es-ES_tradnl"/>
        </w:rPr>
        <w:footnoteReference w:id="26"/>
      </w:r>
      <w:r w:rsidRPr="007A0C25">
        <w:rPr>
          <w:rFonts w:ascii="Arial" w:eastAsia="Calibri" w:hAnsi="Arial" w:cs="Arial"/>
          <w:sz w:val="21"/>
          <w:szCs w:val="21"/>
          <w:lang w:val="es-ES_tradnl"/>
        </w:rPr>
        <w:t xml:space="preserve"> había indicado que, si bien en dichos convenios no se daba un </w:t>
      </w:r>
      <w:r w:rsidRPr="007A0C25">
        <w:rPr>
          <w:rFonts w:ascii="Arial" w:eastAsia="Calibri" w:hAnsi="Arial" w:cs="Arial"/>
          <w:i/>
          <w:sz w:val="21"/>
          <w:szCs w:val="21"/>
          <w:lang w:val="es-ES_tradnl"/>
        </w:rPr>
        <w:t>“verdadero intercambio de bienes o servicios (contrato conmutativo)”</w:t>
      </w:r>
      <w:r w:rsidRPr="007A0C25">
        <w:rPr>
          <w:rFonts w:ascii="Arial" w:eastAsia="Calibri" w:hAnsi="Arial" w:cs="Arial"/>
          <w:sz w:val="21"/>
          <w:szCs w:val="21"/>
          <w:lang w:val="es-ES_tradnl"/>
        </w:rPr>
        <w:t>, ello no impedía que se conviniera una remuneración a cargo de alguna(s) entidad(es).</w:t>
      </w:r>
    </w:p>
    <w:p w14:paraId="4E6553E7" w14:textId="77777777" w:rsidR="00AC55A0" w:rsidRPr="007A0C25" w:rsidRDefault="00AC55A0" w:rsidP="00AC55A0">
      <w:pPr>
        <w:ind w:left="709" w:right="709"/>
        <w:contextualSpacing/>
        <w:jc w:val="both"/>
        <w:rPr>
          <w:rFonts w:ascii="Arial" w:eastAsia="Calibri" w:hAnsi="Arial" w:cs="Arial"/>
          <w:sz w:val="21"/>
          <w:szCs w:val="21"/>
          <w:lang w:val="es-ES_tradnl"/>
        </w:rPr>
      </w:pPr>
    </w:p>
    <w:p w14:paraId="2050B6A9" w14:textId="77777777" w:rsidR="00AC55A0" w:rsidRPr="007A0C25" w:rsidRDefault="00AC55A0" w:rsidP="00AC55A0">
      <w:pPr>
        <w:widowControl w:val="0"/>
        <w:autoSpaceDE w:val="0"/>
        <w:autoSpaceDN w:val="0"/>
        <w:ind w:left="709" w:right="709"/>
        <w:contextualSpacing/>
        <w:jc w:val="both"/>
        <w:rPr>
          <w:rFonts w:ascii="Arial" w:eastAsia="Arial" w:hAnsi="Arial" w:cs="Arial"/>
          <w:sz w:val="21"/>
          <w:szCs w:val="21"/>
          <w:lang w:val="es-ES" w:eastAsia="es-ES" w:bidi="es-ES"/>
        </w:rPr>
      </w:pPr>
      <w:r w:rsidRPr="007A0C25">
        <w:rPr>
          <w:rFonts w:ascii="Arial" w:eastAsia="Arial" w:hAnsi="Arial" w:cs="Arial"/>
          <w:sz w:val="21"/>
          <w:szCs w:val="21"/>
          <w:lang w:val="es-ES_tradnl" w:eastAsia="es-ES" w:bidi="es-ES"/>
        </w:rPr>
        <w:t xml:space="preserve">Lo expuesto evidencia que, en general, las interpretaciones en torno a los </w:t>
      </w:r>
      <w:r w:rsidRPr="007A0C25">
        <w:rPr>
          <w:rFonts w:ascii="Arial" w:eastAsia="Arial" w:hAnsi="Arial" w:cs="Arial"/>
          <w:i/>
          <w:sz w:val="21"/>
          <w:szCs w:val="21"/>
          <w:lang w:val="es-ES_tradnl" w:eastAsia="es-ES" w:bidi="es-ES"/>
        </w:rPr>
        <w:t>“convenios interadministrativos”</w:t>
      </w:r>
      <w:r w:rsidRPr="007A0C25">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7A0C25">
        <w:rPr>
          <w:rFonts w:ascii="Arial" w:eastAsia="Arial" w:hAnsi="Arial" w:cs="Arial"/>
          <w:sz w:val="21"/>
          <w:szCs w:val="21"/>
          <w:vertAlign w:val="superscript"/>
          <w:lang w:val="es-ES_tradnl" w:eastAsia="es-ES" w:bidi="es-ES"/>
        </w:rPr>
        <w:footnoteReference w:id="27"/>
      </w:r>
      <w:r w:rsidRPr="007A0C25">
        <w:rPr>
          <w:rFonts w:ascii="Arial" w:eastAsia="Arial" w:hAnsi="Arial" w:cs="Arial"/>
          <w:sz w:val="21"/>
          <w:szCs w:val="21"/>
          <w:vertAlign w:val="superscript"/>
          <w:lang w:val="es-ES_tradnl" w:eastAsia="es-ES" w:bidi="es-ES"/>
        </w:rPr>
        <w:footnoteReference w:id="28"/>
      </w:r>
      <w:r w:rsidRPr="007A0C25">
        <w:rPr>
          <w:rFonts w:ascii="Arial" w:eastAsia="Arial" w:hAnsi="Arial" w:cs="Arial"/>
          <w:sz w:val="21"/>
          <w:szCs w:val="21"/>
          <w:lang w:val="es-ES_tradnl" w:eastAsia="es-ES" w:bidi="es-ES"/>
        </w:rPr>
        <w:t>.</w:t>
      </w:r>
    </w:p>
    <w:p w14:paraId="537C40E5"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p>
    <w:p w14:paraId="60D26050" w14:textId="77777777" w:rsidR="00AC55A0" w:rsidRPr="007A0C25" w:rsidRDefault="00AC55A0" w:rsidP="00AC55A0">
      <w:pPr>
        <w:widowControl w:val="0"/>
        <w:autoSpaceDE w:val="0"/>
        <w:autoSpaceDN w:val="0"/>
        <w:spacing w:after="120" w:line="276" w:lineRule="auto"/>
        <w:jc w:val="both"/>
        <w:rPr>
          <w:rFonts w:ascii="Arial" w:eastAsia="Arial" w:hAnsi="Arial" w:cs="Arial"/>
          <w:sz w:val="22"/>
          <w:lang w:val="es-ES" w:eastAsia="es-ES" w:bidi="es-ES"/>
        </w:rPr>
      </w:pPr>
      <w:r w:rsidRPr="007A0C25">
        <w:rPr>
          <w:rFonts w:ascii="Arial" w:eastAsia="Arial" w:hAnsi="Arial" w:cs="Arial"/>
          <w:sz w:val="22"/>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7A0C25">
        <w:rPr>
          <w:rFonts w:ascii="Arial" w:eastAsia="Arial" w:hAnsi="Arial" w:cs="Arial"/>
          <w:sz w:val="22"/>
          <w:vertAlign w:val="superscript"/>
          <w:lang w:val="es-ES" w:eastAsia="es-ES" w:bidi="es-ES"/>
        </w:rPr>
        <w:footnoteReference w:id="29"/>
      </w:r>
      <w:r w:rsidRPr="007A0C25">
        <w:rPr>
          <w:rFonts w:ascii="Arial" w:eastAsia="Arial" w:hAnsi="Arial" w:cs="Arial"/>
          <w:sz w:val="22"/>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7A0C25">
        <w:rPr>
          <w:rFonts w:ascii="Arial" w:eastAsia="Arial" w:hAnsi="Arial" w:cs="Arial"/>
          <w:sz w:val="22"/>
          <w:vertAlign w:val="superscript"/>
          <w:lang w:val="es-ES" w:eastAsia="es-ES" w:bidi="es-ES"/>
        </w:rPr>
        <w:footnoteReference w:id="30"/>
      </w:r>
      <w:r w:rsidRPr="007A0C25">
        <w:rPr>
          <w:rFonts w:ascii="Arial" w:eastAsia="Arial" w:hAnsi="Arial" w:cs="Arial"/>
          <w:sz w:val="22"/>
          <w:lang w:val="es-ES" w:eastAsia="es-ES" w:bidi="es-ES"/>
        </w:rPr>
        <w:t>.</w:t>
      </w:r>
    </w:p>
    <w:p w14:paraId="01C5D613"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lastRenderedPageBreak/>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1DB257CB"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p>
    <w:p w14:paraId="5DDEC5C3" w14:textId="77777777" w:rsidR="00AC55A0" w:rsidRPr="007A0C25" w:rsidRDefault="00AC55A0" w:rsidP="00AC55A0">
      <w:pPr>
        <w:ind w:left="709" w:right="709"/>
        <w:contextualSpacing/>
        <w:jc w:val="both"/>
        <w:rPr>
          <w:rFonts w:ascii="Arial" w:eastAsia="Calibri" w:hAnsi="Arial" w:cs="Arial"/>
          <w:sz w:val="21"/>
          <w:szCs w:val="21"/>
        </w:rPr>
      </w:pPr>
      <w:r w:rsidRPr="007A0C25">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7A0C25">
        <w:rPr>
          <w:rFonts w:ascii="Arial" w:eastAsia="Calibri" w:hAnsi="Arial" w:cs="Arial"/>
          <w:sz w:val="21"/>
          <w:szCs w:val="21"/>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4655B177" w14:textId="77777777" w:rsidR="00AC55A0" w:rsidRPr="007A0C25" w:rsidRDefault="00AC55A0" w:rsidP="00AC55A0">
      <w:pPr>
        <w:ind w:left="709" w:right="709"/>
        <w:contextualSpacing/>
        <w:jc w:val="both"/>
        <w:rPr>
          <w:rFonts w:ascii="Arial" w:eastAsia="Calibri" w:hAnsi="Arial" w:cs="Arial"/>
          <w:sz w:val="21"/>
          <w:szCs w:val="21"/>
        </w:rPr>
      </w:pPr>
      <w:r w:rsidRPr="007A0C25">
        <w:rPr>
          <w:rFonts w:ascii="Arial" w:eastAsia="Calibri" w:hAnsi="Arial" w:cs="Arial"/>
          <w:sz w:val="21"/>
          <w:szCs w:val="21"/>
        </w:rPr>
        <w:t xml:space="preserve"> </w:t>
      </w:r>
    </w:p>
    <w:p w14:paraId="60860416" w14:textId="77777777" w:rsidR="00AC55A0" w:rsidRPr="007A0C25" w:rsidRDefault="00AC55A0" w:rsidP="00AC55A0">
      <w:pPr>
        <w:ind w:left="709" w:right="709"/>
        <w:contextualSpacing/>
        <w:jc w:val="both"/>
        <w:rPr>
          <w:rFonts w:ascii="Arial" w:eastAsia="Calibri" w:hAnsi="Arial" w:cs="Arial"/>
          <w:sz w:val="21"/>
          <w:szCs w:val="21"/>
        </w:rPr>
      </w:pPr>
      <w:r w:rsidRPr="007A0C25">
        <w:rPr>
          <w:rFonts w:ascii="Arial" w:eastAsia="Calibri"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057A260" w14:textId="77777777" w:rsidR="00AC55A0" w:rsidRPr="007A0C25" w:rsidRDefault="00AC55A0" w:rsidP="00AC55A0">
      <w:pPr>
        <w:ind w:left="709" w:right="709"/>
        <w:contextualSpacing/>
        <w:jc w:val="both"/>
        <w:rPr>
          <w:rFonts w:ascii="Arial" w:eastAsia="Calibri" w:hAnsi="Arial" w:cs="Arial"/>
          <w:sz w:val="21"/>
          <w:szCs w:val="21"/>
        </w:rPr>
      </w:pPr>
    </w:p>
    <w:p w14:paraId="0CFD0350" w14:textId="77777777" w:rsidR="00AC55A0" w:rsidRPr="007A0C25" w:rsidRDefault="00AC55A0" w:rsidP="00AC55A0">
      <w:pPr>
        <w:ind w:left="709" w:right="709"/>
        <w:contextualSpacing/>
        <w:jc w:val="both"/>
        <w:rPr>
          <w:rFonts w:ascii="Calibri" w:eastAsia="Calibri" w:hAnsi="Calibri"/>
        </w:rPr>
      </w:pPr>
      <w:r w:rsidRPr="007A0C25">
        <w:rPr>
          <w:rFonts w:ascii="Arial" w:eastAsia="Calibri"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174BDA5"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p>
    <w:p w14:paraId="569C5BE0" w14:textId="77777777" w:rsidR="00AC55A0" w:rsidRPr="007A0C25" w:rsidRDefault="00AC55A0" w:rsidP="00AC55A0">
      <w:pPr>
        <w:widowControl w:val="0"/>
        <w:autoSpaceDE w:val="0"/>
        <w:autoSpaceDN w:val="0"/>
        <w:spacing w:after="120" w:line="276" w:lineRule="auto"/>
        <w:jc w:val="both"/>
        <w:rPr>
          <w:rFonts w:ascii="Arial" w:eastAsia="Calibri" w:hAnsi="Arial" w:cs="Arial"/>
          <w:bCs/>
          <w:sz w:val="22"/>
          <w:lang w:eastAsia="es-ES" w:bidi="es-ES"/>
        </w:rPr>
      </w:pPr>
      <w:r w:rsidRPr="007A0C25">
        <w:rPr>
          <w:rFonts w:ascii="Arial" w:eastAsia="Arial" w:hAnsi="Arial" w:cs="Arial"/>
          <w:sz w:val="22"/>
          <w:lang w:val="es-ES" w:eastAsia="es-ES" w:bidi="es-ES"/>
        </w:rPr>
        <w:tab/>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w:t>
      </w:r>
      <w:r w:rsidRPr="007A0C25">
        <w:rPr>
          <w:rFonts w:ascii="Arial" w:eastAsia="Arial" w:hAnsi="Arial" w:cs="Arial"/>
          <w:sz w:val="22"/>
          <w:lang w:val="es-ES" w:eastAsia="es-ES" w:bidi="es-ES"/>
        </w:rPr>
        <w:lastRenderedPageBreak/>
        <w:t>por el legislador a estos términos deben asimilarse, salvo que de su contenido se logre inferir que se le quiere otorgar un contenido en particular, pues como se expresó, el legislador utiliza estos conceptos de forma indistinta.</w:t>
      </w:r>
      <w:bookmarkEnd w:id="50"/>
    </w:p>
    <w:p w14:paraId="313A699A" w14:textId="6EFDC5CF" w:rsidR="00A47F66" w:rsidRPr="007A0C25" w:rsidRDefault="00A47F66" w:rsidP="00E66774">
      <w:pPr>
        <w:tabs>
          <w:tab w:val="left" w:pos="426"/>
        </w:tabs>
        <w:spacing w:after="120" w:line="276" w:lineRule="auto"/>
        <w:ind w:firstLine="709"/>
        <w:jc w:val="both"/>
        <w:rPr>
          <w:rFonts w:ascii="Arial" w:hAnsi="Arial" w:cs="Arial"/>
          <w:bCs/>
          <w:sz w:val="22"/>
          <w:lang w:eastAsia="es-CO"/>
        </w:rPr>
      </w:pPr>
      <w:r w:rsidRPr="00172738">
        <w:rPr>
          <w:rFonts w:ascii="Arial" w:hAnsi="Arial" w:cs="Arial"/>
          <w:bCs/>
          <w:sz w:val="22"/>
          <w:lang w:eastAsia="es-CO"/>
        </w:rPr>
        <w:t>Conforme a lo expuesto, de cara a la pregunta planteada debe señalarse que</w:t>
      </w:r>
      <w:r w:rsidR="00AC55A0" w:rsidRPr="00172738">
        <w:rPr>
          <w:rFonts w:ascii="Arial" w:hAnsi="Arial" w:cs="Arial"/>
          <w:bCs/>
          <w:sz w:val="22"/>
          <w:lang w:eastAsia="es-CO"/>
        </w:rPr>
        <w:t xml:space="preserve"> </w:t>
      </w:r>
      <w:bookmarkStart w:id="51" w:name="_Hlk114828165"/>
      <w:r w:rsidR="00AC55A0" w:rsidRPr="00172738">
        <w:rPr>
          <w:rFonts w:ascii="Arial"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w:t>
      </w:r>
      <w:r w:rsidR="007A0C25" w:rsidRPr="00172738">
        <w:rPr>
          <w:rFonts w:ascii="Arial" w:hAnsi="Arial" w:cs="Arial"/>
          <w:bCs/>
          <w:sz w:val="22"/>
          <w:lang w:eastAsia="es-CO"/>
        </w:rPr>
        <w:t>los municipios</w:t>
      </w:r>
      <w:r w:rsidR="00AC55A0" w:rsidRPr="00172738">
        <w:rPr>
          <w:rFonts w:ascii="Arial" w:hAnsi="Arial" w:cs="Arial"/>
          <w:bCs/>
          <w:sz w:val="22"/>
          <w:lang w:eastAsia="es-CO"/>
        </w:rPr>
        <w:t xml:space="preserve"> no podrá</w:t>
      </w:r>
      <w:r w:rsidR="007A0C25" w:rsidRPr="00172738">
        <w:rPr>
          <w:rFonts w:ascii="Arial" w:hAnsi="Arial" w:cs="Arial"/>
          <w:bCs/>
          <w:sz w:val="22"/>
          <w:lang w:eastAsia="es-CO"/>
        </w:rPr>
        <w:t>n</w:t>
      </w:r>
      <w:r w:rsidR="00AC55A0" w:rsidRPr="00172738">
        <w:rPr>
          <w:rFonts w:ascii="Arial" w:hAnsi="Arial" w:cs="Arial"/>
          <w:bCs/>
          <w:sz w:val="22"/>
          <w:lang w:eastAsia="es-CO"/>
        </w:rPr>
        <w:t xml:space="preserve"> celebrar tales convenios o contratos durante</w:t>
      </w:r>
      <w:r w:rsidR="00E66774" w:rsidRPr="00172738">
        <w:rPr>
          <w:rFonts w:ascii="Arial" w:hAnsi="Arial" w:cs="Arial"/>
          <w:bCs/>
          <w:sz w:val="22"/>
          <w:lang w:eastAsia="es-CO"/>
        </w:rPr>
        <w:t xml:space="preserve"> el periodo de</w:t>
      </w:r>
      <w:r w:rsidR="00AC55A0" w:rsidRPr="00172738">
        <w:rPr>
          <w:rFonts w:ascii="Arial" w:hAnsi="Arial" w:cs="Arial"/>
          <w:bCs/>
          <w:sz w:val="22"/>
          <w:lang w:eastAsia="es-CO"/>
        </w:rPr>
        <w:t xml:space="preserve"> aplicación de la Ley de Garantías Electorales, toda vez que la citada disposición hace referencia a dicha tipología contractual sin que el legislador hubiere contemplado excepción alguna frente a la modalidad de selección o naturaleza de su objeto.</w:t>
      </w:r>
      <w:r w:rsidR="00E66774" w:rsidRPr="007A0C25">
        <w:rPr>
          <w:rFonts w:ascii="Arial" w:eastAsia="Times New Roman" w:hAnsi="Arial" w:cs="Arial"/>
          <w:bCs/>
          <w:sz w:val="22"/>
          <w:lang w:eastAsia="es-CO"/>
        </w:rPr>
        <w:t xml:space="preserve"> </w:t>
      </w:r>
      <w:r w:rsidR="00E66774" w:rsidRPr="00172738">
        <w:rPr>
          <w:rFonts w:ascii="Arial" w:eastAsia="Times New Roman" w:hAnsi="Arial" w:cs="Arial"/>
          <w:bCs/>
          <w:sz w:val="22"/>
          <w:lang w:eastAsia="es-CO"/>
        </w:rPr>
        <w:t>De esta manera, la prohibición aplica a todos los contratos interadministrativos con independencia de que estén o no precedidos de un procedimiento de selección con pluralidad de oferentes.</w:t>
      </w:r>
      <w:r w:rsidR="00E66774" w:rsidRPr="007A0C25">
        <w:rPr>
          <w:rFonts w:ascii="Arial" w:eastAsia="Times New Roman" w:hAnsi="Arial" w:cs="Arial"/>
          <w:bCs/>
          <w:sz w:val="22"/>
          <w:lang w:eastAsia="es-CO"/>
        </w:rPr>
        <w:t xml:space="preserve"> </w:t>
      </w:r>
      <w:r w:rsidR="002C60AB" w:rsidRPr="007A0C25">
        <w:rPr>
          <w:rFonts w:ascii="Arial" w:eastAsia="Times New Roman" w:hAnsi="Arial" w:cs="Arial"/>
          <w:bCs/>
          <w:sz w:val="22"/>
          <w:lang w:eastAsia="es-CO"/>
        </w:rPr>
        <w:t>Esto por cuanto, como se indicó, el contrato o convenio interadministrativo no se define por la modalidad de selección</w:t>
      </w:r>
      <w:r w:rsidR="001B4932" w:rsidRPr="007A0C25">
        <w:rPr>
          <w:rFonts w:ascii="Arial" w:eastAsia="Times New Roman" w:hAnsi="Arial" w:cs="Arial"/>
          <w:bCs/>
          <w:sz w:val="22"/>
          <w:lang w:eastAsia="es-CO"/>
        </w:rPr>
        <w:t>, sino por la naturaleza pública de quienes lo celebran, es decir, por un criterio orgánico.</w:t>
      </w:r>
      <w:r w:rsidR="00E66774" w:rsidRPr="007A0C25">
        <w:rPr>
          <w:rFonts w:ascii="Arial" w:eastAsia="Calibri" w:hAnsi="Arial" w:cs="Arial"/>
          <w:color w:val="000000" w:themeColor="text1"/>
          <w:sz w:val="22"/>
        </w:rPr>
        <w:t> </w:t>
      </w:r>
      <w:bookmarkEnd w:id="51"/>
    </w:p>
    <w:bookmarkEnd w:id="40"/>
    <w:p w14:paraId="6844AFA7" w14:textId="77777777" w:rsidR="00AC55A0" w:rsidRPr="007A0C25" w:rsidRDefault="00AC55A0" w:rsidP="00AC55A0">
      <w:pPr>
        <w:tabs>
          <w:tab w:val="left" w:pos="426"/>
        </w:tabs>
        <w:spacing w:line="276" w:lineRule="auto"/>
        <w:jc w:val="both"/>
        <w:rPr>
          <w:rFonts w:ascii="Arial" w:eastAsia="Calibri" w:hAnsi="Arial" w:cs="Arial"/>
          <w:sz w:val="22"/>
        </w:rPr>
      </w:pPr>
    </w:p>
    <w:p w14:paraId="2E13881D" w14:textId="77777777" w:rsidR="00AC55A0" w:rsidRPr="007A0C25" w:rsidRDefault="00AC55A0" w:rsidP="00AC55A0">
      <w:pPr>
        <w:spacing w:line="276" w:lineRule="auto"/>
        <w:ind w:right="79"/>
        <w:jc w:val="both"/>
        <w:rPr>
          <w:rFonts w:ascii="Arial" w:eastAsia="Calibri" w:hAnsi="Arial" w:cs="Arial"/>
          <w:b/>
          <w:noProof/>
          <w:sz w:val="22"/>
          <w:lang w:val="es-ES_tradnl"/>
        </w:rPr>
      </w:pPr>
      <w:bookmarkStart w:id="52" w:name="_1y810tw" w:colFirst="0" w:colLast="0"/>
      <w:bookmarkStart w:id="53" w:name="_2xcytpi" w:colFirst="0" w:colLast="0"/>
      <w:bookmarkStart w:id="54" w:name="_1ci93xb" w:colFirst="0" w:colLast="0"/>
      <w:bookmarkStart w:id="55" w:name="_3whwml4" w:colFirst="0" w:colLast="0"/>
      <w:bookmarkEnd w:id="52"/>
      <w:bookmarkEnd w:id="53"/>
      <w:bookmarkEnd w:id="54"/>
      <w:bookmarkEnd w:id="55"/>
      <w:r w:rsidRPr="007A0C25">
        <w:rPr>
          <w:rFonts w:ascii="Arial" w:eastAsia="Calibri" w:hAnsi="Arial" w:cs="Arial"/>
          <w:b/>
          <w:noProof/>
          <w:sz w:val="22"/>
          <w:lang w:val="es-ES_tradnl"/>
        </w:rPr>
        <w:t>3. Respuesta</w:t>
      </w:r>
    </w:p>
    <w:p w14:paraId="3E599056" w14:textId="77777777" w:rsidR="00AC55A0" w:rsidRPr="007A0C25" w:rsidRDefault="00AC55A0" w:rsidP="00AC55A0">
      <w:pPr>
        <w:spacing w:line="276" w:lineRule="auto"/>
        <w:ind w:right="79"/>
        <w:jc w:val="both"/>
        <w:rPr>
          <w:rFonts w:ascii="Arial" w:eastAsia="Calibri" w:hAnsi="Arial" w:cs="Arial"/>
          <w:b/>
          <w:noProof/>
          <w:sz w:val="22"/>
          <w:lang w:val="es-ES_tradnl"/>
        </w:rPr>
      </w:pPr>
    </w:p>
    <w:p w14:paraId="49FCD92B" w14:textId="77777777" w:rsidR="00FF23FE" w:rsidRPr="007A0C25" w:rsidRDefault="00FF23FE" w:rsidP="00FF23FE">
      <w:pPr>
        <w:ind w:left="567" w:right="788"/>
        <w:contextualSpacing/>
        <w:jc w:val="both"/>
        <w:rPr>
          <w:rFonts w:ascii="Arial" w:hAnsi="Arial" w:cs="Arial"/>
          <w:sz w:val="21"/>
          <w:szCs w:val="21"/>
          <w:lang w:val="es-ES_tradnl"/>
        </w:rPr>
      </w:pPr>
      <w:r w:rsidRPr="007A0C25">
        <w:rPr>
          <w:rFonts w:ascii="Arial" w:hAnsi="Arial" w:cs="Arial"/>
          <w:sz w:val="21"/>
          <w:szCs w:val="21"/>
          <w:lang w:val="es-ES_tradnl"/>
        </w:rPr>
        <w:t>«¿</w:t>
      </w:r>
      <w:r w:rsidRPr="007A0C25">
        <w:rPr>
          <w:rFonts w:ascii="Arial" w:hAnsi="Arial" w:cs="Arial"/>
          <w:sz w:val="21"/>
          <w:szCs w:val="21"/>
        </w:rPr>
        <w:t>3. Puede un Municipio firmar convenio y/o contratos como resultado de una convocatoria pública adelantada por los gobiernos nacionales cuya etapa de finalización (firma de convenio o contrato) se enmarca dentro del término de vigilia de la ley de garantías</w:t>
      </w:r>
      <w:r w:rsidRPr="007A0C25">
        <w:rPr>
          <w:rFonts w:ascii="Arial" w:hAnsi="Arial" w:cs="Arial"/>
          <w:sz w:val="21"/>
          <w:szCs w:val="21"/>
          <w:lang w:val="es-ES_tradnl"/>
        </w:rPr>
        <w:t>?».</w:t>
      </w:r>
    </w:p>
    <w:p w14:paraId="45EC34E6" w14:textId="77777777" w:rsidR="00AC55A0" w:rsidRPr="007A0C25" w:rsidRDefault="00AC55A0" w:rsidP="00AC55A0">
      <w:pPr>
        <w:ind w:left="567" w:right="786"/>
        <w:jc w:val="both"/>
        <w:rPr>
          <w:rFonts w:ascii="Arial" w:hAnsi="Arial" w:cs="Arial"/>
          <w:color w:val="FF0000"/>
          <w:sz w:val="22"/>
          <w:lang w:val="es-ES_tradnl"/>
        </w:rPr>
      </w:pPr>
    </w:p>
    <w:p w14:paraId="5D84716B" w14:textId="18FDEEDF" w:rsidR="00E66774" w:rsidRPr="007A0C25" w:rsidRDefault="00AC55A0" w:rsidP="00E66774">
      <w:pPr>
        <w:spacing w:after="120" w:line="276" w:lineRule="auto"/>
        <w:jc w:val="both"/>
        <w:rPr>
          <w:rFonts w:ascii="Arial" w:eastAsia="Arial" w:hAnsi="Arial" w:cs="Arial"/>
          <w:sz w:val="22"/>
          <w:lang w:val="es-ES" w:eastAsia="es-ES" w:bidi="es-ES"/>
        </w:rPr>
      </w:pPr>
      <w:r w:rsidRPr="007A0C25">
        <w:rPr>
          <w:rFonts w:ascii="Arial" w:eastAsia="Arial" w:hAnsi="Arial" w:cs="Arial"/>
          <w:sz w:val="22"/>
        </w:rPr>
        <w:t xml:space="preserve">De acuerdo con la interpretación de las normas generales del sistema de compras y contratación pública, </w:t>
      </w:r>
      <w:r w:rsidR="00E66774" w:rsidRPr="007A0C25">
        <w:rPr>
          <w:rFonts w:ascii="Arial" w:eastAsia="Arial" w:hAnsi="Arial" w:cs="Arial"/>
          <w:sz w:val="22"/>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11B6444F" w14:textId="7BE9EE9E" w:rsidR="00AC55A0" w:rsidRPr="007A0C25" w:rsidRDefault="00E66774" w:rsidP="00E66774">
      <w:pPr>
        <w:spacing w:after="120" w:line="276" w:lineRule="auto"/>
        <w:ind w:firstLine="708"/>
        <w:jc w:val="both"/>
        <w:rPr>
          <w:rFonts w:ascii="Arial" w:hAnsi="Arial" w:cs="Arial"/>
          <w:bCs/>
          <w:sz w:val="22"/>
          <w:lang w:val="es-ES_tradnl" w:eastAsia="es-CO"/>
        </w:rPr>
      </w:pPr>
      <w:r w:rsidRPr="007A0C25">
        <w:rPr>
          <w:rFonts w:ascii="Arial" w:hAnsi="Arial" w:cs="Arial"/>
          <w:bCs/>
          <w:sz w:val="22"/>
          <w:lang w:val="es-ES_tradnl" w:eastAsia="es-CO"/>
        </w:rPr>
        <w:t xml:space="preserve">Por un lado, el </w:t>
      </w:r>
      <w:r w:rsidR="00AC55A0" w:rsidRPr="007A0C25">
        <w:rPr>
          <w:rFonts w:ascii="Arial" w:hAnsi="Arial" w:cs="Arial"/>
          <w:bCs/>
          <w:sz w:val="22"/>
          <w:lang w:val="es-ES_tradnl" w:eastAsia="es-CO"/>
        </w:rPr>
        <w:t xml:space="preserve">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00AC55A0" w:rsidRPr="007A0C25">
        <w:rPr>
          <w:rFonts w:ascii="Arial" w:hAnsi="Arial" w:cs="Arial"/>
          <w:bCs/>
          <w:sz w:val="22"/>
          <w:lang w:eastAsia="es-CO"/>
        </w:rPr>
        <w:t>Los destinatarios de la prohibición son «todos los entes del Estado», expresión que contempla a los diferentes organismos o entidades autorizadas por la ley para suscribir contratos. En efecto, como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8673BA1" w14:textId="248C3855" w:rsidR="00AC55A0" w:rsidRPr="007A0C25" w:rsidRDefault="00AC55A0" w:rsidP="00E66774">
      <w:pPr>
        <w:spacing w:after="120" w:line="276" w:lineRule="auto"/>
        <w:ind w:firstLine="709"/>
        <w:jc w:val="both"/>
        <w:rPr>
          <w:rFonts w:ascii="Arial" w:hAnsi="Arial" w:cs="Arial"/>
          <w:bCs/>
          <w:sz w:val="22"/>
          <w:lang w:val="es-ES_tradnl" w:eastAsia="es-CO" w:bidi="es-ES"/>
        </w:rPr>
      </w:pPr>
      <w:r w:rsidRPr="007A0C25">
        <w:rPr>
          <w:rFonts w:ascii="Arial" w:hAnsi="Arial" w:cs="Arial"/>
          <w:bCs/>
          <w:sz w:val="22"/>
          <w:lang w:eastAsia="es-CO"/>
        </w:rPr>
        <w:lastRenderedPageBreak/>
        <w:t>De otro lado, el parágrafo del artículo 38 de la Ley de Garantías Electorales, establece una restricción en virtud de la cual, durante el periodo de cuatro meses anteriores a cualquier jornada de elecciones, las entidades territoriales</w:t>
      </w:r>
      <w:r w:rsidR="00E66774" w:rsidRPr="007A0C25">
        <w:rPr>
          <w:rFonts w:ascii="Arial" w:hAnsi="Arial" w:cs="Arial"/>
          <w:bCs/>
          <w:sz w:val="22"/>
          <w:lang w:eastAsia="es-CO"/>
        </w:rPr>
        <w:t xml:space="preserve">, </w:t>
      </w:r>
      <w:r w:rsidR="00E66774" w:rsidRPr="00172738">
        <w:rPr>
          <w:rFonts w:ascii="Arial" w:hAnsi="Arial" w:cs="Arial"/>
          <w:bCs/>
          <w:sz w:val="22"/>
          <w:lang w:eastAsia="es-CO"/>
        </w:rPr>
        <w:t>como es el caso de los municipios a los cuales se hace referencia en su consulta</w:t>
      </w:r>
      <w:r w:rsidR="00E66774" w:rsidRPr="007A0C25">
        <w:rPr>
          <w:rFonts w:ascii="Arial" w:hAnsi="Arial" w:cs="Arial"/>
          <w:bCs/>
          <w:sz w:val="22"/>
          <w:lang w:eastAsia="es-CO"/>
        </w:rPr>
        <w:t>,</w:t>
      </w:r>
      <w:r w:rsidRPr="007A0C25">
        <w:rPr>
          <w:rFonts w:ascii="Arial" w:hAnsi="Arial" w:cs="Arial"/>
          <w:bCs/>
          <w:sz w:val="22"/>
          <w:lang w:eastAsia="es-CO"/>
        </w:rPr>
        <w:t xml:space="preserve"> 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007A0C25">
        <w:rPr>
          <w:rFonts w:ascii="Arial" w:hAnsi="Arial" w:cs="Arial"/>
          <w:bCs/>
          <w:sz w:val="22"/>
          <w:lang w:val="es-ES_tradnl" w:eastAsia="es-CO"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A51FD6B" w14:textId="2CC9CD54" w:rsidR="00A47F66" w:rsidRPr="007A0C25" w:rsidRDefault="00A47F66" w:rsidP="00E66774">
      <w:pPr>
        <w:spacing w:after="120" w:line="276" w:lineRule="auto"/>
        <w:ind w:firstLine="709"/>
        <w:jc w:val="both"/>
        <w:rPr>
          <w:rFonts w:ascii="Arial" w:eastAsia="Calibri" w:hAnsi="Arial" w:cs="Arial"/>
          <w:color w:val="000000" w:themeColor="text1"/>
          <w:sz w:val="22"/>
        </w:rPr>
      </w:pPr>
      <w:r w:rsidRPr="00172738">
        <w:rPr>
          <w:rFonts w:ascii="Arial" w:eastAsia="Times New Roman" w:hAnsi="Arial" w:cs="Arial"/>
          <w:bCs/>
          <w:sz w:val="22"/>
          <w:lang w:eastAsia="es-CO"/>
        </w:rPr>
        <w:t xml:space="preserve">En este sentido, </w:t>
      </w:r>
      <w:r w:rsidR="007A0C25" w:rsidRPr="00172738">
        <w:rPr>
          <w:rFonts w:ascii="Arial" w:eastAsia="Times New Roman" w:hAnsi="Arial" w:cs="Arial"/>
          <w:bCs/>
          <w:sz w:val="22"/>
          <w:lang w:eastAsia="es-CO"/>
        </w:rPr>
        <w:t>los municipios</w:t>
      </w:r>
      <w:r w:rsidRPr="00172738">
        <w:rPr>
          <w:rFonts w:ascii="Arial" w:eastAsia="Times New Roman" w:hAnsi="Arial" w:cs="Arial"/>
          <w:bCs/>
          <w:sz w:val="22"/>
          <w:lang w:eastAsia="es-CO"/>
        </w:rPr>
        <w:t xml:space="preserve"> no podrá</w:t>
      </w:r>
      <w:r w:rsidR="007A0C25" w:rsidRPr="00172738">
        <w:rPr>
          <w:rFonts w:ascii="Arial" w:eastAsia="Times New Roman" w:hAnsi="Arial" w:cs="Arial"/>
          <w:bCs/>
          <w:sz w:val="22"/>
          <w:lang w:eastAsia="es-CO"/>
        </w:rPr>
        <w:t>n</w:t>
      </w:r>
      <w:r w:rsidRPr="00172738">
        <w:rPr>
          <w:rFonts w:ascii="Arial" w:eastAsia="Times New Roman" w:hAnsi="Arial" w:cs="Arial"/>
          <w:bCs/>
          <w:sz w:val="22"/>
          <w:lang w:eastAsia="es-CO"/>
        </w:rPr>
        <w:t xml:space="preserve">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w:t>
      </w:r>
      <w:r w:rsidRPr="007A0C25">
        <w:rPr>
          <w:rFonts w:ascii="Arial" w:eastAsia="Times New Roman" w:hAnsi="Arial" w:cs="Arial"/>
          <w:bCs/>
          <w:sz w:val="22"/>
          <w:lang w:eastAsia="es-CO"/>
        </w:rPr>
        <w:t xml:space="preserve"> </w:t>
      </w:r>
      <w:r w:rsidR="007A0C25" w:rsidRPr="007A0C25">
        <w:rPr>
          <w:rFonts w:ascii="Arial" w:eastAsia="Times New Roman" w:hAnsi="Arial" w:cs="Arial"/>
          <w:bCs/>
          <w:sz w:val="22"/>
          <w:lang w:eastAsia="es-CO"/>
        </w:rPr>
        <w:t>Esto por cuanto, como se indicó, el contrato o convenio interadministrativo no se define por la modalidad de selección, sino por la naturaleza pública de quienes lo celebran, es decir, por un criterio orgánico.</w:t>
      </w:r>
      <w:r w:rsidR="007A0C25" w:rsidRPr="007A0C25">
        <w:rPr>
          <w:rFonts w:ascii="Arial" w:eastAsia="Calibri" w:hAnsi="Arial" w:cs="Arial"/>
          <w:color w:val="000000" w:themeColor="text1"/>
          <w:sz w:val="22"/>
        </w:rPr>
        <w:t> </w:t>
      </w:r>
      <w:r w:rsidRPr="007A0C25">
        <w:rPr>
          <w:rFonts w:ascii="Arial" w:eastAsia="Calibri" w:hAnsi="Arial" w:cs="Arial"/>
          <w:color w:val="000000" w:themeColor="text1"/>
          <w:sz w:val="22"/>
        </w:rPr>
        <w:t> </w:t>
      </w:r>
    </w:p>
    <w:p w14:paraId="570486EC" w14:textId="234BB456" w:rsidR="00AC55A0" w:rsidRPr="007A0C25" w:rsidRDefault="00AC55A0" w:rsidP="00AC55A0">
      <w:pPr>
        <w:spacing w:line="276" w:lineRule="auto"/>
        <w:ind w:firstLine="709"/>
        <w:jc w:val="both"/>
        <w:rPr>
          <w:rFonts w:ascii="Arial" w:eastAsia="Calibri" w:hAnsi="Arial" w:cs="Arial"/>
          <w:sz w:val="22"/>
        </w:rPr>
      </w:pPr>
      <w:r w:rsidRPr="007A0C25">
        <w:rPr>
          <w:rFonts w:ascii="Arial" w:eastAsia="Calibri" w:hAnsi="Arial" w:cs="Arial"/>
          <w:bCs/>
          <w:sz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sz w:val="22"/>
          <w:lang w:val="es-ES"/>
        </w:rPr>
        <w:t xml:space="preserve"> </w:t>
      </w:r>
    </w:p>
    <w:p w14:paraId="63B8F395" w14:textId="77777777" w:rsidR="00AC55A0" w:rsidRPr="007A0C25" w:rsidRDefault="00AC55A0" w:rsidP="00AC55A0">
      <w:pPr>
        <w:spacing w:line="276" w:lineRule="auto"/>
        <w:ind w:firstLine="709"/>
        <w:jc w:val="both"/>
        <w:rPr>
          <w:rFonts w:ascii="Arial" w:eastAsia="Calibri" w:hAnsi="Arial" w:cs="Arial"/>
          <w:sz w:val="22"/>
        </w:rPr>
      </w:pPr>
    </w:p>
    <w:p w14:paraId="496591E4" w14:textId="77777777" w:rsidR="00AC55A0" w:rsidRPr="007A0C25" w:rsidRDefault="00AC55A0" w:rsidP="00AC55A0">
      <w:pPr>
        <w:spacing w:line="276" w:lineRule="auto"/>
        <w:jc w:val="both"/>
        <w:rPr>
          <w:rFonts w:ascii="Arial" w:eastAsia="Calibri" w:hAnsi="Arial" w:cs="Arial"/>
          <w:sz w:val="22"/>
          <w:lang w:val="es-ES_tradnl"/>
        </w:rPr>
      </w:pPr>
      <w:r w:rsidRPr="007A0C25">
        <w:rPr>
          <w:rFonts w:ascii="Arial" w:eastAsia="Calibri" w:hAnsi="Arial" w:cs="Arial"/>
          <w:sz w:val="22"/>
          <w:lang w:val="es-ES_tradnl"/>
        </w:rPr>
        <w:t>Este concepto tiene el alcance previsto en el artículo 28 del Código de Procedimiento Administrativo y de lo Contencioso Administrativo.</w:t>
      </w:r>
    </w:p>
    <w:p w14:paraId="589AADD8" w14:textId="77777777" w:rsidR="00AC55A0" w:rsidRPr="007A0C25" w:rsidRDefault="00AC55A0" w:rsidP="00AC55A0">
      <w:pPr>
        <w:spacing w:before="240" w:line="276" w:lineRule="auto"/>
        <w:jc w:val="both"/>
        <w:rPr>
          <w:rFonts w:ascii="Arial" w:hAnsi="Arial" w:cs="Arial"/>
          <w:sz w:val="22"/>
          <w:lang w:val="es-ES_tradnl" w:eastAsia="es-CO"/>
        </w:rPr>
      </w:pPr>
      <w:bookmarkStart w:id="56" w:name="_Hlk50986665"/>
      <w:bookmarkStart w:id="57" w:name="_Hlk52766744"/>
      <w:r w:rsidRPr="007A0C25">
        <w:rPr>
          <w:rFonts w:ascii="Arial" w:hAnsi="Arial" w:cs="Arial"/>
          <w:sz w:val="22"/>
          <w:lang w:val="es-ES_tradnl" w:eastAsia="es-CO"/>
        </w:rPr>
        <w:t>Atentamente,</w:t>
      </w:r>
    </w:p>
    <w:p w14:paraId="637EE025" w14:textId="4AB12E00" w:rsidR="0069789A" w:rsidRPr="007A0C25" w:rsidRDefault="00E55CA6" w:rsidP="0069789A">
      <w:pPr>
        <w:spacing w:before="120" w:line="276" w:lineRule="auto"/>
        <w:jc w:val="center"/>
        <w:rPr>
          <w:rFonts w:ascii="Arial" w:hAnsi="Arial" w:cs="Arial"/>
          <w:sz w:val="18"/>
          <w:szCs w:val="20"/>
          <w:lang w:val="es-ES_tradnl" w:eastAsia="es-CO"/>
        </w:rPr>
      </w:pPr>
      <w:bookmarkStart w:id="58" w:name="_Hlk108446929"/>
      <w:bookmarkEnd w:id="6"/>
      <w:bookmarkEnd w:id="56"/>
      <w:bookmarkEnd w:id="57"/>
      <w:r w:rsidRPr="00B56176">
        <w:rPr>
          <w:rFonts w:ascii="Arial" w:hAnsi="Arial" w:cs="Arial"/>
          <w:noProof/>
          <w:color w:val="FF0000"/>
          <w:lang w:eastAsia="es-CO"/>
        </w:rPr>
        <w:lastRenderedPageBreak/>
        <w:drawing>
          <wp:inline distT="0" distB="0" distL="0" distR="0" wp14:anchorId="0A3E8474" wp14:editId="1B6C1070">
            <wp:extent cx="2886323" cy="1117636"/>
            <wp:effectExtent l="0" t="0" r="952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0528" cy="1134753"/>
                    </a:xfrm>
                    <a:prstGeom prst="rect">
                      <a:avLst/>
                    </a:prstGeom>
                    <a:noFill/>
                  </pic:spPr>
                </pic:pic>
              </a:graphicData>
            </a:graphic>
          </wp:inline>
        </w:drawing>
      </w: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9789A" w:rsidRPr="007A0C25" w14:paraId="4DADC43D" w14:textId="77777777" w:rsidTr="00AE10E1">
        <w:trPr>
          <w:trHeight w:val="315"/>
        </w:trPr>
        <w:tc>
          <w:tcPr>
            <w:tcW w:w="812" w:type="dxa"/>
            <w:vAlign w:val="center"/>
            <w:hideMark/>
          </w:tcPr>
          <w:p w14:paraId="1569D65E" w14:textId="77777777" w:rsidR="0069789A" w:rsidRPr="007A0C25" w:rsidRDefault="0069789A" w:rsidP="00AE10E1">
            <w:pPr>
              <w:jc w:val="both"/>
              <w:rPr>
                <w:rFonts w:ascii="Arial" w:eastAsia="Times New Roman" w:hAnsi="Arial" w:cs="Arial"/>
                <w:sz w:val="16"/>
                <w:szCs w:val="16"/>
                <w:lang w:val="es-ES_tradnl" w:eastAsia="es-ES"/>
              </w:rPr>
            </w:pPr>
            <w:r w:rsidRPr="007A0C25">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8518F58" w14:textId="77777777" w:rsidR="0069789A" w:rsidRPr="007A0C25" w:rsidRDefault="0069789A" w:rsidP="00AE10E1">
            <w:pPr>
              <w:jc w:val="both"/>
              <w:rPr>
                <w:rFonts w:ascii="Arial" w:eastAsia="Times New Roman" w:hAnsi="Arial" w:cs="Arial"/>
                <w:sz w:val="16"/>
                <w:szCs w:val="16"/>
                <w:lang w:val="es-ES_tradnl" w:eastAsia="es-ES"/>
              </w:rPr>
            </w:pPr>
            <w:r w:rsidRPr="007A0C25">
              <w:rPr>
                <w:rFonts w:ascii="Arial" w:eastAsia="Times New Roman" w:hAnsi="Arial" w:cs="Arial"/>
                <w:sz w:val="16"/>
                <w:szCs w:val="16"/>
                <w:lang w:val="es-ES_tradnl" w:eastAsia="es-ES"/>
              </w:rPr>
              <w:t>Diana Lucia Saavedra Castañeda</w:t>
            </w:r>
          </w:p>
          <w:p w14:paraId="0BF4E97B" w14:textId="77777777" w:rsidR="0069789A" w:rsidRPr="007A0C25" w:rsidRDefault="0069789A" w:rsidP="00AE10E1">
            <w:pPr>
              <w:jc w:val="both"/>
              <w:rPr>
                <w:rFonts w:ascii="Arial" w:eastAsia="Times New Roman" w:hAnsi="Arial" w:cs="Arial"/>
                <w:sz w:val="16"/>
                <w:szCs w:val="16"/>
                <w:lang w:val="es-ES_tradnl" w:eastAsia="es-ES"/>
              </w:rPr>
            </w:pPr>
            <w:r w:rsidRPr="007A0C25">
              <w:rPr>
                <w:rFonts w:ascii="Arial" w:eastAsia="Times New Roman" w:hAnsi="Arial" w:cs="Arial"/>
                <w:sz w:val="16"/>
                <w:szCs w:val="16"/>
                <w:lang w:val="es-ES_tradnl" w:eastAsia="es-ES"/>
              </w:rPr>
              <w:t xml:space="preserve">Contratista de la Subdirección de Gestión Contractual  </w:t>
            </w:r>
          </w:p>
        </w:tc>
      </w:tr>
      <w:tr w:rsidR="0069789A" w:rsidRPr="007A0C25" w14:paraId="457496C8" w14:textId="77777777" w:rsidTr="00AE10E1">
        <w:trPr>
          <w:trHeight w:val="330"/>
        </w:trPr>
        <w:tc>
          <w:tcPr>
            <w:tcW w:w="812" w:type="dxa"/>
            <w:vAlign w:val="center"/>
            <w:hideMark/>
          </w:tcPr>
          <w:p w14:paraId="1E4E269D" w14:textId="77777777" w:rsidR="0069789A" w:rsidRPr="007A0C25" w:rsidRDefault="0069789A" w:rsidP="00AE10E1">
            <w:pPr>
              <w:jc w:val="both"/>
              <w:rPr>
                <w:rFonts w:ascii="Arial" w:eastAsia="Times New Roman" w:hAnsi="Arial" w:cs="Arial"/>
                <w:sz w:val="16"/>
                <w:szCs w:val="16"/>
                <w:lang w:val="es-ES_tradnl" w:eastAsia="es-ES"/>
              </w:rPr>
            </w:pPr>
            <w:r w:rsidRPr="007A0C25">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2C0F55" w14:textId="799CBDBD" w:rsidR="0069789A" w:rsidRPr="007A0C25" w:rsidRDefault="0069789A" w:rsidP="00AE10E1">
            <w:pPr>
              <w:jc w:val="both"/>
              <w:rPr>
                <w:rFonts w:ascii="Arial" w:eastAsia="Times New Roman" w:hAnsi="Arial" w:cs="Arial"/>
                <w:sz w:val="16"/>
                <w:szCs w:val="16"/>
                <w:lang w:val="es-ES_tradnl" w:eastAsia="es-ES"/>
              </w:rPr>
            </w:pPr>
            <w:r w:rsidRPr="007A0C25">
              <w:rPr>
                <w:rFonts w:ascii="Arial" w:eastAsia="Times New Roman" w:hAnsi="Arial" w:cs="Arial"/>
                <w:sz w:val="16"/>
                <w:szCs w:val="16"/>
                <w:lang w:val="es-ES_tradnl" w:eastAsia="es-ES"/>
              </w:rPr>
              <w:t xml:space="preserve">Cristian </w:t>
            </w:r>
            <w:r w:rsidR="001A6F77" w:rsidRPr="007A0C25">
              <w:rPr>
                <w:rFonts w:ascii="Arial" w:eastAsia="Times New Roman" w:hAnsi="Arial" w:cs="Arial"/>
                <w:sz w:val="16"/>
                <w:szCs w:val="16"/>
                <w:lang w:val="es-ES_tradnl" w:eastAsia="es-ES"/>
              </w:rPr>
              <w:t xml:space="preserve">Andrés </w:t>
            </w:r>
            <w:r w:rsidRPr="007A0C25">
              <w:rPr>
                <w:rFonts w:ascii="Arial" w:eastAsia="Times New Roman" w:hAnsi="Arial" w:cs="Arial"/>
                <w:sz w:val="16"/>
                <w:szCs w:val="16"/>
                <w:lang w:val="es-ES_tradnl" w:eastAsia="es-ES"/>
              </w:rPr>
              <w:t>D</w:t>
            </w:r>
            <w:r w:rsidR="001A6F77" w:rsidRPr="007A0C25">
              <w:rPr>
                <w:rFonts w:ascii="Arial" w:eastAsia="Times New Roman" w:hAnsi="Arial" w:cs="Arial"/>
                <w:sz w:val="16"/>
                <w:szCs w:val="16"/>
                <w:lang w:val="es-ES_tradnl" w:eastAsia="es-ES"/>
              </w:rPr>
              <w:t>í</w:t>
            </w:r>
            <w:r w:rsidRPr="007A0C25">
              <w:rPr>
                <w:rFonts w:ascii="Arial" w:eastAsia="Times New Roman" w:hAnsi="Arial" w:cs="Arial"/>
                <w:sz w:val="16"/>
                <w:szCs w:val="16"/>
                <w:lang w:val="es-ES_tradnl" w:eastAsia="es-ES"/>
              </w:rPr>
              <w:t>az</w:t>
            </w:r>
            <w:r w:rsidR="001A6F77" w:rsidRPr="007A0C25">
              <w:rPr>
                <w:rFonts w:ascii="Arial" w:eastAsia="Times New Roman" w:hAnsi="Arial" w:cs="Arial"/>
                <w:sz w:val="16"/>
                <w:szCs w:val="16"/>
                <w:lang w:val="es-ES_tradnl" w:eastAsia="es-ES"/>
              </w:rPr>
              <w:t xml:space="preserve"> Díez</w:t>
            </w:r>
          </w:p>
          <w:p w14:paraId="3054EF7F" w14:textId="01AA368B" w:rsidR="0069789A" w:rsidRPr="007A0C25" w:rsidRDefault="0069789A" w:rsidP="00AE10E1">
            <w:pPr>
              <w:jc w:val="both"/>
              <w:rPr>
                <w:rFonts w:ascii="Arial" w:eastAsia="Times New Roman" w:hAnsi="Arial" w:cs="Arial"/>
                <w:sz w:val="16"/>
                <w:szCs w:val="16"/>
                <w:lang w:val="es-ES_tradnl" w:eastAsia="es-ES"/>
              </w:rPr>
            </w:pPr>
            <w:r w:rsidRPr="007A0C25">
              <w:rPr>
                <w:rFonts w:ascii="Arial" w:eastAsia="Times New Roman" w:hAnsi="Arial" w:cs="Arial"/>
                <w:sz w:val="16"/>
                <w:szCs w:val="16"/>
                <w:lang w:val="es-ES_tradnl" w:eastAsia="es-ES"/>
              </w:rPr>
              <w:t>Contratista de la Subdirección de Gestión Contractual</w:t>
            </w:r>
          </w:p>
        </w:tc>
      </w:tr>
      <w:tr w:rsidR="0069789A" w:rsidRPr="00F35514" w14:paraId="66799B18" w14:textId="77777777" w:rsidTr="00AE10E1">
        <w:trPr>
          <w:trHeight w:val="300"/>
        </w:trPr>
        <w:tc>
          <w:tcPr>
            <w:tcW w:w="812" w:type="dxa"/>
            <w:vAlign w:val="center"/>
            <w:hideMark/>
          </w:tcPr>
          <w:p w14:paraId="24C9409D" w14:textId="77777777" w:rsidR="0069789A" w:rsidRPr="007A0C25" w:rsidRDefault="0069789A" w:rsidP="00AE10E1">
            <w:pPr>
              <w:jc w:val="both"/>
              <w:rPr>
                <w:rFonts w:ascii="Arial" w:eastAsia="Times New Roman" w:hAnsi="Arial" w:cs="Arial"/>
                <w:sz w:val="16"/>
                <w:szCs w:val="16"/>
                <w:lang w:val="es-ES_tradnl" w:eastAsia="es-ES"/>
              </w:rPr>
            </w:pPr>
            <w:r w:rsidRPr="007A0C25">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C08539" w14:textId="77777777" w:rsidR="0069789A" w:rsidRPr="007A0C25" w:rsidRDefault="0069789A" w:rsidP="00AE10E1">
            <w:pPr>
              <w:jc w:val="both"/>
              <w:rPr>
                <w:rFonts w:ascii="Arial" w:eastAsia="Times New Roman" w:hAnsi="Arial" w:cs="Arial"/>
                <w:sz w:val="16"/>
                <w:szCs w:val="16"/>
                <w:lang w:val="es-ES_tradnl" w:eastAsia="es-ES"/>
              </w:rPr>
            </w:pPr>
            <w:r w:rsidRPr="007A0C25">
              <w:rPr>
                <w:rFonts w:ascii="Arial" w:eastAsia="Times New Roman" w:hAnsi="Arial" w:cs="Arial"/>
                <w:sz w:val="16"/>
                <w:szCs w:val="16"/>
                <w:lang w:val="es-ES_tradnl" w:eastAsia="es-ES"/>
              </w:rPr>
              <w:t>Juan David Marín López</w:t>
            </w:r>
          </w:p>
          <w:p w14:paraId="0FC3D2C5" w14:textId="77777777" w:rsidR="0069789A" w:rsidRPr="00F35514" w:rsidRDefault="0069789A" w:rsidP="00AE10E1">
            <w:pPr>
              <w:jc w:val="both"/>
              <w:rPr>
                <w:rFonts w:ascii="Arial" w:eastAsia="Times New Roman" w:hAnsi="Arial" w:cs="Arial"/>
                <w:sz w:val="16"/>
                <w:szCs w:val="16"/>
                <w:lang w:val="es-ES_tradnl" w:eastAsia="es-ES"/>
              </w:rPr>
            </w:pPr>
            <w:r w:rsidRPr="007A0C25">
              <w:rPr>
                <w:rFonts w:ascii="Arial" w:eastAsia="Times New Roman" w:hAnsi="Arial" w:cs="Arial"/>
                <w:sz w:val="16"/>
                <w:szCs w:val="16"/>
                <w:lang w:val="es-ES_tradnl" w:eastAsia="es-ES"/>
              </w:rPr>
              <w:t>Subdirector de Gestión Contractual (E)</w:t>
            </w:r>
          </w:p>
        </w:tc>
      </w:tr>
      <w:bookmarkEnd w:id="58"/>
    </w:tbl>
    <w:p w14:paraId="0F293BF4" w14:textId="437B566A" w:rsidR="00127233" w:rsidRPr="00313665" w:rsidRDefault="00127233" w:rsidP="0069789A">
      <w:pPr>
        <w:spacing w:before="240" w:line="276" w:lineRule="auto"/>
        <w:jc w:val="both"/>
        <w:rPr>
          <w:color w:val="FF0000"/>
        </w:rPr>
      </w:pPr>
    </w:p>
    <w:sectPr w:rsidR="00127233" w:rsidRPr="00313665"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8E07" w14:textId="77777777" w:rsidR="00D13081" w:rsidRDefault="00D13081" w:rsidP="004A1847">
      <w:r>
        <w:separator/>
      </w:r>
    </w:p>
  </w:endnote>
  <w:endnote w:type="continuationSeparator" w:id="0">
    <w:p w14:paraId="5C5782ED" w14:textId="77777777" w:rsidR="00D13081" w:rsidRDefault="00D13081"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437"/>
      <w:gridCol w:w="1622"/>
    </w:tblGrid>
    <w:tr w:rsidR="006219F8" w:rsidRPr="00080DA3" w14:paraId="0534DA7F" w14:textId="77777777" w:rsidTr="007247B0">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37"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62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7777777" w:rsidR="006219F8" w:rsidRPr="00080DA3" w:rsidRDefault="006219F8" w:rsidP="007247B0">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272C" w14:textId="77777777" w:rsidR="00D13081" w:rsidRDefault="00D13081" w:rsidP="004A1847">
      <w:r>
        <w:separator/>
      </w:r>
    </w:p>
  </w:footnote>
  <w:footnote w:type="continuationSeparator" w:id="0">
    <w:p w14:paraId="7E5DEBA3" w14:textId="77777777" w:rsidR="00D13081" w:rsidRDefault="00D13081" w:rsidP="004A1847">
      <w:r>
        <w:continuationSeparator/>
      </w:r>
    </w:p>
  </w:footnote>
  <w:footnote w:id="1">
    <w:p w14:paraId="42925977"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37F117C" w14:textId="77777777" w:rsidR="00AC55A0" w:rsidRPr="00082ACC" w:rsidRDefault="00AC55A0" w:rsidP="00A47F66">
      <w:pPr>
        <w:pStyle w:val="Textonotapie"/>
        <w:ind w:firstLine="709"/>
        <w:contextualSpacing/>
        <w:jc w:val="both"/>
        <w:rPr>
          <w:rFonts w:ascii="Arial" w:hAnsi="Arial" w:cs="Arial"/>
          <w:sz w:val="19"/>
          <w:szCs w:val="19"/>
        </w:rPr>
      </w:pPr>
      <w:r w:rsidRPr="00082ACC">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3CCE8110"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Gaceta del Congreso de la República No. 71 del 2005.</w:t>
      </w:r>
    </w:p>
  </w:footnote>
  <w:footnote w:id="3">
    <w:p w14:paraId="593A136F"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 C- 1153 de 2005, M.P. Marco Gerardo Monroy Cabra.</w:t>
      </w:r>
    </w:p>
  </w:footnote>
  <w:footnote w:id="4">
    <w:p w14:paraId="24087440"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73607671" w14:textId="77777777" w:rsidR="00AC55A0" w:rsidRPr="00082ACC" w:rsidRDefault="00AC55A0" w:rsidP="00A47F66">
      <w:pPr>
        <w:pStyle w:val="Textonotapie"/>
        <w:ind w:firstLine="709"/>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56ACB9EC"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de fecha 24 de julio de 2013, radicado 2166, Consejero Ponente: Álvaro Namén Vargas.  </w:t>
      </w:r>
    </w:p>
  </w:footnote>
  <w:footnote w:id="7">
    <w:p w14:paraId="3B6569BA"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11" w:name="33"/>
      <w:r w:rsidRPr="00082ACC">
        <w:rPr>
          <w:rFonts w:ascii="Arial" w:eastAsia="Calibri" w:hAnsi="Arial" w:cs="Arial"/>
          <w:color w:val="000000"/>
          <w:sz w:val="19"/>
          <w:szCs w:val="19"/>
        </w:rPr>
        <w:t>«</w:t>
      </w:r>
      <w:r w:rsidRPr="00082ACC">
        <w:rPr>
          <w:rFonts w:ascii="Arial" w:hAnsi="Arial" w:cs="Arial"/>
          <w:sz w:val="19"/>
          <w:szCs w:val="19"/>
        </w:rPr>
        <w:t>Artículo 33. Restricciones a la contratación pública.</w:t>
      </w:r>
      <w:bookmarkEnd w:id="11"/>
      <w:r w:rsidRPr="00082ACC">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3C95D9FD" w14:textId="77777777" w:rsidR="00AC55A0" w:rsidRPr="00082ACC" w:rsidRDefault="00AC55A0" w:rsidP="00A47F66">
      <w:pPr>
        <w:ind w:firstLine="709"/>
        <w:contextualSpacing/>
        <w:jc w:val="both"/>
        <w:rPr>
          <w:rFonts w:ascii="Arial" w:hAnsi="Arial" w:cs="Arial"/>
          <w:sz w:val="19"/>
          <w:szCs w:val="19"/>
        </w:rPr>
      </w:pPr>
      <w:r w:rsidRPr="00082ACC">
        <w:rPr>
          <w:rFonts w:ascii="Arial" w:eastAsia="Calibri" w:hAnsi="Arial" w:cs="Arial"/>
          <w:color w:val="000000"/>
          <w:sz w:val="19"/>
          <w:szCs w:val="19"/>
        </w:rPr>
        <w:t>»</w:t>
      </w:r>
      <w:r w:rsidRPr="00082ACC">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82ACC">
        <w:rPr>
          <w:rFonts w:ascii="Arial" w:eastAsia="Calibri" w:hAnsi="Arial" w:cs="Arial"/>
          <w:color w:val="000000"/>
          <w:sz w:val="19"/>
          <w:szCs w:val="19"/>
        </w:rPr>
        <w:t>»</w:t>
      </w:r>
      <w:r w:rsidRPr="00082ACC">
        <w:rPr>
          <w:rFonts w:ascii="Arial" w:hAnsi="Arial" w:cs="Arial"/>
          <w:sz w:val="19"/>
          <w:szCs w:val="19"/>
        </w:rPr>
        <w:t>.</w:t>
      </w:r>
    </w:p>
  </w:footnote>
  <w:footnote w:id="8">
    <w:p w14:paraId="5BD89B72" w14:textId="77777777" w:rsidR="00AC55A0" w:rsidRPr="00082ACC" w:rsidRDefault="00AC55A0" w:rsidP="00A47F66">
      <w:pPr>
        <w:pStyle w:val="NormalWeb"/>
        <w:spacing w:before="0" w:beforeAutospacing="0" w:after="0" w:afterAutospacing="0" w:line="240" w:lineRule="auto"/>
        <w:ind w:firstLine="709"/>
        <w:contextualSpacing/>
        <w:rPr>
          <w:rFonts w:ascii="Arial" w:hAnsi="Arial" w:cs="Arial"/>
          <w:sz w:val="19"/>
          <w:szCs w:val="19"/>
          <w:lang w:val="es-MX"/>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12" w:name="38"/>
      <w:r w:rsidRPr="00082ACC">
        <w:rPr>
          <w:rFonts w:ascii="Arial" w:eastAsia="Calibri" w:hAnsi="Arial" w:cs="Arial"/>
          <w:color w:val="000000"/>
          <w:sz w:val="19"/>
          <w:szCs w:val="19"/>
        </w:rPr>
        <w:t>«</w:t>
      </w:r>
      <w:r w:rsidRPr="00082ACC">
        <w:rPr>
          <w:rFonts w:ascii="Arial" w:hAnsi="Arial" w:cs="Arial"/>
          <w:sz w:val="19"/>
          <w:szCs w:val="19"/>
          <w:lang w:val="es-MX"/>
        </w:rPr>
        <w:t>Artículo 38. Prohibiciones para los servidores públicos. A los empleados del Estado les está prohibido:</w:t>
      </w:r>
      <w:bookmarkEnd w:id="12"/>
    </w:p>
    <w:p w14:paraId="1FD04AC5" w14:textId="77777777" w:rsidR="00AC55A0" w:rsidRPr="00082ACC" w:rsidRDefault="00AC55A0" w:rsidP="00A47F66">
      <w:pPr>
        <w:pStyle w:val="NormalWeb"/>
        <w:spacing w:before="0" w:beforeAutospacing="0" w:after="0" w:afterAutospacing="0" w:line="240" w:lineRule="auto"/>
        <w:ind w:firstLine="709"/>
        <w:contextualSpacing/>
        <w:rPr>
          <w:rFonts w:ascii="Arial" w:hAnsi="Arial" w:cs="Arial"/>
          <w:sz w:val="19"/>
          <w:szCs w:val="19"/>
          <w:lang w:val="es-MX"/>
        </w:rPr>
      </w:pPr>
      <w:r w:rsidRPr="00082ACC">
        <w:rPr>
          <w:rFonts w:ascii="Arial" w:eastAsia="Calibri" w:hAnsi="Arial" w:cs="Arial"/>
          <w:color w:val="000000"/>
          <w:sz w:val="19"/>
          <w:szCs w:val="19"/>
        </w:rPr>
        <w:t>»</w:t>
      </w:r>
      <w:r w:rsidRPr="00082ACC">
        <w:rPr>
          <w:rFonts w:ascii="Arial" w:hAnsi="Arial" w:cs="Arial"/>
          <w:sz w:val="19"/>
          <w:szCs w:val="19"/>
          <w:lang w:val="es-MX"/>
        </w:rPr>
        <w:t xml:space="preserve"> […]</w:t>
      </w:r>
    </w:p>
    <w:p w14:paraId="14D11FB1" w14:textId="77777777" w:rsidR="00AC55A0" w:rsidRPr="00082ACC" w:rsidRDefault="00AC55A0" w:rsidP="00A47F66">
      <w:pPr>
        <w:pStyle w:val="NormalWeb"/>
        <w:spacing w:before="0" w:beforeAutospacing="0" w:after="0" w:afterAutospacing="0" w:line="240" w:lineRule="auto"/>
        <w:ind w:firstLine="709"/>
        <w:contextualSpacing/>
        <w:rPr>
          <w:rFonts w:ascii="Arial" w:hAnsi="Arial" w:cs="Arial"/>
          <w:sz w:val="19"/>
          <w:szCs w:val="19"/>
          <w:lang w:val="es-MX"/>
        </w:rPr>
      </w:pPr>
      <w:r w:rsidRPr="00082ACC">
        <w:rPr>
          <w:rFonts w:ascii="Arial" w:eastAsia="Calibri" w:hAnsi="Arial" w:cs="Arial"/>
          <w:color w:val="000000"/>
          <w:sz w:val="19"/>
          <w:szCs w:val="19"/>
        </w:rPr>
        <w:t>»</w:t>
      </w:r>
      <w:r w:rsidRPr="00082ACC">
        <w:rPr>
          <w:rStyle w:val="baj"/>
          <w:rFonts w:ascii="Arial" w:hAnsi="Arial" w:cs="Arial"/>
          <w:sz w:val="19"/>
          <w:szCs w:val="19"/>
          <w:lang w:val="es-MX"/>
        </w:rPr>
        <w:t xml:space="preserve"> Parágrafo.</w:t>
      </w:r>
      <w:r w:rsidRPr="00082AC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82ACC">
        <w:rPr>
          <w:rFonts w:ascii="Arial" w:eastAsia="Calibri" w:hAnsi="Arial" w:cs="Arial"/>
          <w:color w:val="000000"/>
          <w:sz w:val="19"/>
          <w:szCs w:val="19"/>
        </w:rPr>
        <w:t>»</w:t>
      </w:r>
      <w:r w:rsidRPr="00082ACC">
        <w:rPr>
          <w:rFonts w:ascii="Arial" w:hAnsi="Arial" w:cs="Arial"/>
          <w:sz w:val="19"/>
          <w:szCs w:val="19"/>
          <w:lang w:val="es-MX"/>
        </w:rPr>
        <w:t>.</w:t>
      </w:r>
    </w:p>
  </w:footnote>
  <w:footnote w:id="9">
    <w:p w14:paraId="35B97EA7" w14:textId="77777777" w:rsidR="00AC55A0" w:rsidRPr="00082ACC" w:rsidRDefault="00AC55A0" w:rsidP="00A47F66">
      <w:pPr>
        <w:ind w:left="100" w:right="244" w:firstLine="709"/>
        <w:contextualSpacing/>
        <w:jc w:val="both"/>
        <w:rPr>
          <w:rFonts w:ascii="Arial" w:hAnsi="Arial" w:cs="Arial"/>
          <w:sz w:val="19"/>
          <w:szCs w:val="19"/>
          <w:lang w:val="es-ES"/>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283C8CBC" w14:textId="77777777" w:rsidR="00AC55A0" w:rsidRPr="00082ACC" w:rsidRDefault="00AC55A0" w:rsidP="00A47F66">
      <w:pPr>
        <w:pStyle w:val="Textonotapie"/>
        <w:ind w:right="51"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18" w:name="_Hlk74272731"/>
      <w:r w:rsidRPr="00082ACC">
        <w:rPr>
          <w:rFonts w:ascii="Arial" w:hAnsi="Arial" w:cs="Arial"/>
          <w:sz w:val="19"/>
          <w:szCs w:val="19"/>
        </w:rPr>
        <w:t>«</w:t>
      </w:r>
      <w:bookmarkEnd w:id="18"/>
      <w:r w:rsidRPr="00082ACC">
        <w:rPr>
          <w:rFonts w:ascii="Arial" w:hAnsi="Arial" w:cs="Arial"/>
          <w:sz w:val="19"/>
          <w:szCs w:val="19"/>
          <w:lang w:val="es-ES"/>
        </w:rPr>
        <w:t xml:space="preserve">[25] </w:t>
      </w:r>
      <w:r w:rsidRPr="00082ACC">
        <w:rPr>
          <w:rFonts w:ascii="Arial" w:hAnsi="Arial" w:cs="Arial"/>
          <w:sz w:val="19"/>
          <w:szCs w:val="19"/>
        </w:rPr>
        <w:t>Cfr. Consejo de Estado. Sección Tercera. Sentencia de 3 de diciembre de 2007. Radicados: 24.715, 25.206, 25.409, 24.524, 27.834, 25.410, 26.105, 28.244, 31.447 -acumulados-</w:t>
      </w:r>
      <w:bookmarkStart w:id="19" w:name="_Hlk74271358"/>
      <w:r w:rsidRPr="00082ACC">
        <w:rPr>
          <w:rFonts w:ascii="Arial" w:hAnsi="Arial" w:cs="Arial"/>
          <w:sz w:val="19"/>
          <w:szCs w:val="19"/>
        </w:rPr>
        <w:t>»</w:t>
      </w:r>
      <w:bookmarkEnd w:id="19"/>
      <w:r w:rsidRPr="00082ACC">
        <w:rPr>
          <w:rFonts w:ascii="Arial" w:hAnsi="Arial" w:cs="Arial"/>
          <w:sz w:val="19"/>
          <w:szCs w:val="19"/>
        </w:rPr>
        <w:t>.</w:t>
      </w:r>
    </w:p>
  </w:footnote>
  <w:footnote w:id="11">
    <w:p w14:paraId="35EFC763" w14:textId="77777777" w:rsidR="00AC55A0" w:rsidRPr="00082ACC" w:rsidRDefault="00AC55A0" w:rsidP="00A47F66">
      <w:pPr>
        <w:pStyle w:val="Textonotapie"/>
        <w:ind w:right="51"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21" w:name="_Hlk74294506"/>
      <w:r w:rsidRPr="00082ACC">
        <w:rPr>
          <w:rFonts w:ascii="Arial" w:hAnsi="Arial" w:cs="Arial"/>
          <w:sz w:val="19"/>
          <w:szCs w:val="19"/>
        </w:rPr>
        <w:t>«</w:t>
      </w:r>
      <w:r w:rsidRPr="00082ACC">
        <w:rPr>
          <w:rFonts w:ascii="Arial" w:hAnsi="Arial" w:cs="Arial"/>
          <w:sz w:val="19"/>
          <w:szCs w:val="19"/>
          <w:lang w:val="es-ES"/>
        </w:rPr>
        <w:t xml:space="preserve">[26] </w:t>
      </w:r>
      <w:bookmarkEnd w:id="21"/>
      <w:r w:rsidRPr="00082ACC">
        <w:rPr>
          <w:rFonts w:ascii="Arial" w:hAnsi="Arial" w:cs="Arial"/>
          <w:sz w:val="19"/>
          <w:szCs w:val="19"/>
        </w:rPr>
        <w:t>Al respecto ver el concepto 1712 de 2 de febrero de 2006. Consejo de Estado Sala de Consulta y Servicio Civil».</w:t>
      </w:r>
    </w:p>
  </w:footnote>
  <w:footnote w:id="12">
    <w:p w14:paraId="4AC0F88E"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3">
    <w:p w14:paraId="680C4663" w14:textId="77777777" w:rsidR="00AC55A0" w:rsidRPr="00082ACC" w:rsidRDefault="00AC55A0" w:rsidP="00A47F66">
      <w:pPr>
        <w:pStyle w:val="Textonotapie"/>
        <w:ind w:firstLine="709"/>
        <w:contextualSpacing/>
        <w:jc w:val="both"/>
        <w:rPr>
          <w:rFonts w:ascii="Arial" w:hAnsi="Arial" w:cs="Arial"/>
          <w:sz w:val="19"/>
          <w:szCs w:val="19"/>
          <w:lang w:val="es-ES"/>
        </w:rPr>
      </w:pPr>
      <w:r w:rsidRPr="00082ACC">
        <w:rPr>
          <w:rStyle w:val="Refdenotaalpie"/>
          <w:rFonts w:ascii="Arial" w:hAnsi="Arial" w:cs="Arial"/>
          <w:sz w:val="19"/>
          <w:szCs w:val="19"/>
        </w:rPr>
        <w:footnoteRef/>
      </w:r>
      <w:r w:rsidRPr="00082ACC">
        <w:rPr>
          <w:rFonts w:ascii="Arial" w:hAnsi="Arial" w:cs="Arial"/>
          <w:sz w:val="19"/>
          <w:szCs w:val="19"/>
        </w:rPr>
        <w:t xml:space="preserve"> </w:t>
      </w:r>
      <w:r w:rsidRPr="00082ACC">
        <w:rPr>
          <w:rFonts w:ascii="Arial" w:hAnsi="Arial" w:cs="Arial"/>
          <w:sz w:val="19"/>
          <w:szCs w:val="19"/>
          <w:lang w:val="es-ES"/>
        </w:rPr>
        <w:t xml:space="preserve">Artículo 2. </w:t>
      </w:r>
    </w:p>
  </w:footnote>
  <w:footnote w:id="14">
    <w:p w14:paraId="39F525E6" w14:textId="77777777" w:rsidR="00AC55A0" w:rsidRPr="00082ACC" w:rsidRDefault="00AC55A0" w:rsidP="00A47F66">
      <w:pPr>
        <w:pStyle w:val="Textonotapie"/>
        <w:ind w:firstLine="709"/>
        <w:contextualSpacing/>
        <w:jc w:val="both"/>
        <w:rPr>
          <w:rFonts w:ascii="Arial" w:hAnsi="Arial" w:cs="Arial"/>
          <w:sz w:val="19"/>
          <w:szCs w:val="19"/>
          <w:lang w:val="es-ES"/>
        </w:rPr>
      </w:pPr>
      <w:r w:rsidRPr="00082ACC">
        <w:rPr>
          <w:rStyle w:val="Refdenotaalpie"/>
          <w:rFonts w:ascii="Arial" w:hAnsi="Arial" w:cs="Arial"/>
          <w:sz w:val="19"/>
          <w:szCs w:val="19"/>
        </w:rPr>
        <w:footnoteRef/>
      </w:r>
      <w:r w:rsidRPr="00082ACC">
        <w:rPr>
          <w:rFonts w:ascii="Arial" w:hAnsi="Arial" w:cs="Arial"/>
          <w:sz w:val="19"/>
          <w:szCs w:val="19"/>
        </w:rPr>
        <w:t xml:space="preserve"> </w:t>
      </w:r>
      <w:r w:rsidRPr="00082ACC">
        <w:rPr>
          <w:rFonts w:ascii="Arial" w:hAnsi="Arial" w:cs="Arial"/>
          <w:i/>
          <w:sz w:val="19"/>
          <w:szCs w:val="19"/>
          <w:lang w:val="es-ES"/>
        </w:rPr>
        <w:t>Ídem</w:t>
      </w:r>
      <w:r w:rsidRPr="00082ACC">
        <w:rPr>
          <w:rFonts w:ascii="Arial" w:hAnsi="Arial" w:cs="Arial"/>
          <w:sz w:val="19"/>
          <w:szCs w:val="19"/>
          <w:lang w:val="es-ES"/>
        </w:rPr>
        <w:t>.</w:t>
      </w:r>
    </w:p>
  </w:footnote>
  <w:footnote w:id="15">
    <w:p w14:paraId="0CBBAB8B" w14:textId="77777777" w:rsidR="00AC55A0" w:rsidRPr="00082ACC" w:rsidRDefault="00AC55A0" w:rsidP="00A47F66">
      <w:pPr>
        <w:pStyle w:val="Textonotapie"/>
        <w:ind w:firstLine="709"/>
        <w:contextualSpacing/>
        <w:jc w:val="both"/>
        <w:rPr>
          <w:rFonts w:ascii="Arial" w:hAnsi="Arial" w:cs="Arial"/>
          <w:sz w:val="19"/>
          <w:szCs w:val="19"/>
          <w:lang w:val="es-ES"/>
        </w:rPr>
      </w:pPr>
      <w:r w:rsidRPr="00082ACC">
        <w:rPr>
          <w:rStyle w:val="Refdenotaalpie"/>
          <w:rFonts w:ascii="Arial" w:hAnsi="Arial" w:cs="Arial"/>
          <w:sz w:val="19"/>
          <w:szCs w:val="19"/>
        </w:rPr>
        <w:footnoteRef/>
      </w:r>
      <w:r w:rsidRPr="00082ACC">
        <w:rPr>
          <w:rStyle w:val="Refdenotaalpie"/>
          <w:rFonts w:ascii="Arial" w:hAnsi="Arial" w:cs="Arial"/>
          <w:sz w:val="19"/>
          <w:szCs w:val="19"/>
        </w:rPr>
        <w:t xml:space="preserve"> </w:t>
      </w:r>
      <w:bookmarkStart w:id="26" w:name="_Hlk74297130"/>
      <w:r w:rsidRPr="00082ACC">
        <w:rPr>
          <w:rFonts w:ascii="Arial" w:hAnsi="Arial" w:cs="Arial"/>
          <w:sz w:val="19"/>
          <w:szCs w:val="19"/>
          <w:lang w:val="es-ES"/>
        </w:rPr>
        <w:t>«</w:t>
      </w:r>
      <w:bookmarkEnd w:id="26"/>
      <w:r w:rsidRPr="00082ACC">
        <w:rPr>
          <w:rFonts w:ascii="Arial" w:hAnsi="Arial" w:cs="Arial"/>
          <w:sz w:val="19"/>
          <w:szCs w:val="19"/>
          <w:lang w:val="es-ES"/>
        </w:rPr>
        <w:t xml:space="preserve">[…] A este respecto, cabe recordar que el artículo 860 del Código de Comercio regula la licitación en el derecho privado». </w:t>
      </w:r>
    </w:p>
  </w:footnote>
  <w:footnote w:id="16">
    <w:p w14:paraId="16B0B5CF" w14:textId="77777777" w:rsidR="00AC55A0" w:rsidRPr="00082ACC" w:rsidRDefault="00AC55A0" w:rsidP="00A47F66">
      <w:pPr>
        <w:shd w:val="clear" w:color="auto" w:fill="FFFFFF"/>
        <w:ind w:firstLine="709"/>
        <w:contextualSpacing/>
        <w:jc w:val="both"/>
        <w:rPr>
          <w:rFonts w:ascii="Arial" w:hAnsi="Arial" w:cs="Arial"/>
          <w:sz w:val="19"/>
          <w:szCs w:val="19"/>
          <w:lang w:val="es-ES"/>
        </w:rPr>
      </w:pPr>
      <w:r w:rsidRPr="00082ACC">
        <w:rPr>
          <w:rStyle w:val="Refdenotaalpie"/>
          <w:rFonts w:ascii="Arial" w:hAnsi="Arial" w:cs="Arial"/>
          <w:sz w:val="19"/>
          <w:szCs w:val="19"/>
        </w:rPr>
        <w:footnoteRef/>
      </w:r>
      <w:r w:rsidRPr="00082ACC">
        <w:rPr>
          <w:rStyle w:val="Refdenotaalpie"/>
          <w:rFonts w:ascii="Arial" w:hAnsi="Arial" w:cs="Arial"/>
          <w:sz w:val="19"/>
          <w:szCs w:val="19"/>
        </w:rPr>
        <w:t xml:space="preserve"> </w:t>
      </w:r>
      <w:r w:rsidRPr="00082ACC">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082ACC">
        <w:rPr>
          <w:rFonts w:ascii="Arial" w:hAnsi="Arial" w:cs="Arial"/>
          <w:sz w:val="19"/>
          <w:szCs w:val="19"/>
          <w:lang w:val="es-ES"/>
        </w:rPr>
        <w:t>Namén</w:t>
      </w:r>
      <w:proofErr w:type="spellEnd"/>
      <w:r w:rsidRPr="00082ACC">
        <w:rPr>
          <w:rFonts w:ascii="Arial" w:hAnsi="Arial" w:cs="Arial"/>
          <w:sz w:val="19"/>
          <w:szCs w:val="19"/>
          <w:lang w:val="es-ES"/>
        </w:rPr>
        <w:t xml:space="preserve"> Vargas.</w:t>
      </w:r>
    </w:p>
  </w:footnote>
  <w:footnote w:id="17">
    <w:p w14:paraId="143B9686"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del 08 de mayo de 2018. Exp. 2.382. C.P. Álvaro Namén Vargas.</w:t>
      </w:r>
    </w:p>
  </w:footnote>
  <w:footnote w:id="18">
    <w:p w14:paraId="4D0A61BB"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22540E9D"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2594759C"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1">
    <w:p w14:paraId="4B709AFE"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9F6DA64" w14:textId="77777777" w:rsidR="00AC55A0" w:rsidRPr="00082ACC" w:rsidRDefault="00AC55A0" w:rsidP="00A47F66">
      <w:pPr>
        <w:ind w:firstLine="709"/>
        <w:contextualSpacing/>
        <w:jc w:val="both"/>
        <w:rPr>
          <w:rFonts w:ascii="Arial" w:hAnsi="Arial" w:cs="Arial"/>
          <w:sz w:val="19"/>
          <w:szCs w:val="19"/>
        </w:rPr>
      </w:pPr>
      <w:r w:rsidRPr="00082ACC">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82ACC">
        <w:rPr>
          <w:rFonts w:ascii="Arial" w:hAnsi="Arial" w:cs="Arial"/>
          <w:spacing w:val="-1"/>
          <w:sz w:val="19"/>
          <w:szCs w:val="19"/>
        </w:rPr>
        <w:t xml:space="preserve"> </w:t>
      </w:r>
      <w:r w:rsidRPr="00082ACC">
        <w:rPr>
          <w:rFonts w:ascii="Arial" w:hAnsi="Arial" w:cs="Arial"/>
          <w:sz w:val="19"/>
          <w:szCs w:val="19"/>
        </w:rPr>
        <w:t>Estatales».</w:t>
      </w:r>
    </w:p>
  </w:footnote>
  <w:footnote w:id="22">
    <w:p w14:paraId="4E24F92E"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82ACC">
        <w:rPr>
          <w:rFonts w:ascii="Arial" w:hAnsi="Arial" w:cs="Arial"/>
          <w:spacing w:val="-6"/>
          <w:sz w:val="19"/>
          <w:szCs w:val="19"/>
        </w:rPr>
        <w:t xml:space="preserve"> </w:t>
      </w:r>
      <w:r w:rsidRPr="00082ACC">
        <w:rPr>
          <w:rFonts w:ascii="Arial" w:hAnsi="Arial" w:cs="Arial"/>
          <w:sz w:val="19"/>
          <w:szCs w:val="19"/>
        </w:rPr>
        <w:t>artículo».</w:t>
      </w:r>
    </w:p>
  </w:footnote>
  <w:footnote w:id="23">
    <w:p w14:paraId="7B784528" w14:textId="77777777" w:rsidR="00AC55A0" w:rsidRPr="00082ACC" w:rsidRDefault="00AC55A0" w:rsidP="00A47F66">
      <w:pPr>
        <w:ind w:right="454"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position w:val="7"/>
          <w:sz w:val="19"/>
          <w:szCs w:val="19"/>
        </w:rPr>
        <w:t xml:space="preserve"> </w:t>
      </w:r>
      <w:r w:rsidRPr="00082ACC">
        <w:rPr>
          <w:rFonts w:ascii="Arial" w:hAnsi="Arial" w:cs="Arial"/>
          <w:sz w:val="19"/>
          <w:szCs w:val="19"/>
        </w:rPr>
        <w:t>Consejo de Estado. Sección Tercera. Sentencia del 23 de junio de 2010. Radicación No. 66001-23-31-000-1998-00261-01(17.860). Consejero Ponente: Mauricio Fajardo Gómez.</w:t>
      </w:r>
    </w:p>
  </w:footnote>
  <w:footnote w:id="24">
    <w:p w14:paraId="5001FB81"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Sección Tercera. Subsección C. Sentencia del 11 de diciembre de 2019. Exp. 46.986. C.P. Jaime Enrique Rodríguez Navas.</w:t>
      </w:r>
    </w:p>
  </w:footnote>
  <w:footnote w:id="25">
    <w:p w14:paraId="771A53F5"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«CE. SCSC. Concepto de 1 de noviembre de 2016 [Rad. 11001-03-06-000-2016-00125-00(2305)]. MP. Germán Alberto Bula Escobar».</w:t>
      </w:r>
    </w:p>
  </w:footnote>
  <w:footnote w:id="26">
    <w:p w14:paraId="4813E4E0"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082ACC">
        <w:rPr>
          <w:rFonts w:ascii="Arial" w:hAnsi="Arial" w:cs="Arial"/>
          <w:i/>
          <w:sz w:val="19"/>
          <w:szCs w:val="19"/>
        </w:rPr>
        <w:t>“obligacional”</w:t>
      </w:r>
      <w:r w:rsidRPr="00082ACC">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27">
    <w:p w14:paraId="3E403D6B"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«La normativa vigente del EGCAP </w:t>
      </w:r>
      <w:r w:rsidRPr="00082ACC">
        <w:rPr>
          <w:rFonts w:ascii="Arial" w:hAnsi="Arial" w:cs="Arial"/>
          <w:i/>
          <w:sz w:val="19"/>
          <w:szCs w:val="19"/>
        </w:rPr>
        <w:t>[literal c) del numeral 4. del artículo 2 de la Ley 1150/07]</w:t>
      </w:r>
      <w:r w:rsidRPr="00082ACC">
        <w:rPr>
          <w:rFonts w:ascii="Arial" w:hAnsi="Arial" w:cs="Arial"/>
          <w:sz w:val="19"/>
          <w:szCs w:val="19"/>
        </w:rPr>
        <w:t xml:space="preserve"> se refiere a </w:t>
      </w:r>
      <w:r w:rsidRPr="00082ACC">
        <w:rPr>
          <w:rFonts w:ascii="Arial" w:hAnsi="Arial" w:cs="Arial"/>
          <w:i/>
          <w:sz w:val="19"/>
          <w:szCs w:val="19"/>
        </w:rPr>
        <w:t>“contratos interadministrativos”</w:t>
      </w:r>
      <w:r w:rsidRPr="00082AC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8">
    <w:p w14:paraId="4180F5C2"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29">
    <w:p w14:paraId="0B60DCAF"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Es lo que sucede, por ejemplo, con el Decreto 092 de 2017, que en su desarrollo hace referencia tanto a los «contratos» como a los «convenios». </w:t>
      </w:r>
    </w:p>
  </w:footnote>
  <w:footnote w:id="30">
    <w:p w14:paraId="1DFEEACF" w14:textId="77777777" w:rsidR="00AC55A0" w:rsidRPr="00082ACC" w:rsidRDefault="00AC55A0" w:rsidP="00A47F66">
      <w:pPr>
        <w:pStyle w:val="Textonotapie"/>
        <w:ind w:firstLine="708"/>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6F0EF9"/>
    <w:multiLevelType w:val="multilevel"/>
    <w:tmpl w:val="483A64F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58B55F05"/>
    <w:multiLevelType w:val="multilevel"/>
    <w:tmpl w:val="12AC8F7E"/>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4"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948779781">
    <w:abstractNumId w:val="1"/>
  </w:num>
  <w:num w:numId="2" w16cid:durableId="19822139">
    <w:abstractNumId w:val="0"/>
  </w:num>
  <w:num w:numId="3" w16cid:durableId="909074849">
    <w:abstractNumId w:val="4"/>
  </w:num>
  <w:num w:numId="4" w16cid:durableId="1226718829">
    <w:abstractNumId w:val="3"/>
  </w:num>
  <w:num w:numId="5" w16cid:durableId="107401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2ED"/>
    <w:rsid w:val="00007441"/>
    <w:rsid w:val="00015ADB"/>
    <w:rsid w:val="00023D72"/>
    <w:rsid w:val="00024CB2"/>
    <w:rsid w:val="000445C0"/>
    <w:rsid w:val="00045578"/>
    <w:rsid w:val="00051F86"/>
    <w:rsid w:val="00057711"/>
    <w:rsid w:val="00082ACC"/>
    <w:rsid w:val="0008549C"/>
    <w:rsid w:val="000930A6"/>
    <w:rsid w:val="000B0B52"/>
    <w:rsid w:val="000C5F17"/>
    <w:rsid w:val="000E6484"/>
    <w:rsid w:val="000E7A07"/>
    <w:rsid w:val="00121897"/>
    <w:rsid w:val="00123488"/>
    <w:rsid w:val="00124D32"/>
    <w:rsid w:val="00125B36"/>
    <w:rsid w:val="00127233"/>
    <w:rsid w:val="00131A6F"/>
    <w:rsid w:val="00172738"/>
    <w:rsid w:val="00182850"/>
    <w:rsid w:val="001A6B35"/>
    <w:rsid w:val="001A6F77"/>
    <w:rsid w:val="001B42A0"/>
    <w:rsid w:val="001B4932"/>
    <w:rsid w:val="001B79DE"/>
    <w:rsid w:val="001C71C9"/>
    <w:rsid w:val="001D1B7F"/>
    <w:rsid w:val="001D4113"/>
    <w:rsid w:val="001D57FC"/>
    <w:rsid w:val="001D76D8"/>
    <w:rsid w:val="001E335C"/>
    <w:rsid w:val="001F3C21"/>
    <w:rsid w:val="00200CF4"/>
    <w:rsid w:val="00206A54"/>
    <w:rsid w:val="00207C6F"/>
    <w:rsid w:val="00227380"/>
    <w:rsid w:val="002322F9"/>
    <w:rsid w:val="00234AEC"/>
    <w:rsid w:val="0024078F"/>
    <w:rsid w:val="00243684"/>
    <w:rsid w:val="00244021"/>
    <w:rsid w:val="0024744C"/>
    <w:rsid w:val="00252EE9"/>
    <w:rsid w:val="00254759"/>
    <w:rsid w:val="002753D6"/>
    <w:rsid w:val="00286AE3"/>
    <w:rsid w:val="002908AC"/>
    <w:rsid w:val="00290F8E"/>
    <w:rsid w:val="0029155E"/>
    <w:rsid w:val="002951A0"/>
    <w:rsid w:val="00296CF1"/>
    <w:rsid w:val="002A1FC9"/>
    <w:rsid w:val="002A64FD"/>
    <w:rsid w:val="002A715B"/>
    <w:rsid w:val="002B4B34"/>
    <w:rsid w:val="002C07E3"/>
    <w:rsid w:val="002C3A6D"/>
    <w:rsid w:val="002C500D"/>
    <w:rsid w:val="002C60AB"/>
    <w:rsid w:val="002D3362"/>
    <w:rsid w:val="002E7A58"/>
    <w:rsid w:val="00300872"/>
    <w:rsid w:val="003037CB"/>
    <w:rsid w:val="003110BE"/>
    <w:rsid w:val="003119F1"/>
    <w:rsid w:val="00312AA0"/>
    <w:rsid w:val="00313665"/>
    <w:rsid w:val="00313A72"/>
    <w:rsid w:val="003173A0"/>
    <w:rsid w:val="003200DB"/>
    <w:rsid w:val="00321141"/>
    <w:rsid w:val="00324BA2"/>
    <w:rsid w:val="003305D2"/>
    <w:rsid w:val="00350909"/>
    <w:rsid w:val="003511DF"/>
    <w:rsid w:val="00352F42"/>
    <w:rsid w:val="00353B8C"/>
    <w:rsid w:val="0036190F"/>
    <w:rsid w:val="0038091D"/>
    <w:rsid w:val="003832B2"/>
    <w:rsid w:val="003931D1"/>
    <w:rsid w:val="003B080E"/>
    <w:rsid w:val="003B40B2"/>
    <w:rsid w:val="003C4B65"/>
    <w:rsid w:val="003C4F5D"/>
    <w:rsid w:val="003D0F4D"/>
    <w:rsid w:val="003D58A6"/>
    <w:rsid w:val="003D69C6"/>
    <w:rsid w:val="003E08D6"/>
    <w:rsid w:val="003E2321"/>
    <w:rsid w:val="003E48DF"/>
    <w:rsid w:val="003F1195"/>
    <w:rsid w:val="003F608B"/>
    <w:rsid w:val="004103AC"/>
    <w:rsid w:val="004106B3"/>
    <w:rsid w:val="00421088"/>
    <w:rsid w:val="004242F3"/>
    <w:rsid w:val="00443232"/>
    <w:rsid w:val="004455A7"/>
    <w:rsid w:val="00446BB1"/>
    <w:rsid w:val="004607A7"/>
    <w:rsid w:val="00462EBE"/>
    <w:rsid w:val="004702E4"/>
    <w:rsid w:val="004760B8"/>
    <w:rsid w:val="00491496"/>
    <w:rsid w:val="004A1847"/>
    <w:rsid w:val="004D62A7"/>
    <w:rsid w:val="004F1BFA"/>
    <w:rsid w:val="004F4929"/>
    <w:rsid w:val="00504494"/>
    <w:rsid w:val="00510A32"/>
    <w:rsid w:val="005120A7"/>
    <w:rsid w:val="0051342A"/>
    <w:rsid w:val="0051450F"/>
    <w:rsid w:val="005218C4"/>
    <w:rsid w:val="005249C0"/>
    <w:rsid w:val="00527FE1"/>
    <w:rsid w:val="005312D6"/>
    <w:rsid w:val="00552B1B"/>
    <w:rsid w:val="00553654"/>
    <w:rsid w:val="00555980"/>
    <w:rsid w:val="005566E8"/>
    <w:rsid w:val="00587C60"/>
    <w:rsid w:val="00596292"/>
    <w:rsid w:val="005A24DC"/>
    <w:rsid w:val="005A2F1B"/>
    <w:rsid w:val="005B0225"/>
    <w:rsid w:val="005B6787"/>
    <w:rsid w:val="005D15F1"/>
    <w:rsid w:val="005D2A61"/>
    <w:rsid w:val="005D4A13"/>
    <w:rsid w:val="005D63E2"/>
    <w:rsid w:val="005E266E"/>
    <w:rsid w:val="005F0DBA"/>
    <w:rsid w:val="005F322F"/>
    <w:rsid w:val="005F5B34"/>
    <w:rsid w:val="00600F38"/>
    <w:rsid w:val="006069C8"/>
    <w:rsid w:val="0060766C"/>
    <w:rsid w:val="006127FE"/>
    <w:rsid w:val="00620DD3"/>
    <w:rsid w:val="006219F8"/>
    <w:rsid w:val="00641A0C"/>
    <w:rsid w:val="00646CC3"/>
    <w:rsid w:val="0065048A"/>
    <w:rsid w:val="00651A9B"/>
    <w:rsid w:val="00660139"/>
    <w:rsid w:val="00661EDE"/>
    <w:rsid w:val="00663AEE"/>
    <w:rsid w:val="00666C1A"/>
    <w:rsid w:val="00682BF5"/>
    <w:rsid w:val="00683378"/>
    <w:rsid w:val="00692E85"/>
    <w:rsid w:val="00694BFC"/>
    <w:rsid w:val="0069789A"/>
    <w:rsid w:val="006A251B"/>
    <w:rsid w:val="006A2804"/>
    <w:rsid w:val="006A3D0A"/>
    <w:rsid w:val="006B0A9F"/>
    <w:rsid w:val="006B3355"/>
    <w:rsid w:val="006B7A0B"/>
    <w:rsid w:val="006C5E03"/>
    <w:rsid w:val="006E4D35"/>
    <w:rsid w:val="006F14B5"/>
    <w:rsid w:val="00715A1B"/>
    <w:rsid w:val="007217D2"/>
    <w:rsid w:val="00721B71"/>
    <w:rsid w:val="007247B0"/>
    <w:rsid w:val="007404DA"/>
    <w:rsid w:val="0075619C"/>
    <w:rsid w:val="00761F85"/>
    <w:rsid w:val="00787DF1"/>
    <w:rsid w:val="007941DD"/>
    <w:rsid w:val="007968D7"/>
    <w:rsid w:val="007A0C25"/>
    <w:rsid w:val="007A18A2"/>
    <w:rsid w:val="007B57C7"/>
    <w:rsid w:val="007C1E8D"/>
    <w:rsid w:val="007E4C53"/>
    <w:rsid w:val="007F032F"/>
    <w:rsid w:val="007F55E2"/>
    <w:rsid w:val="00805CCF"/>
    <w:rsid w:val="00811BBB"/>
    <w:rsid w:val="00821A58"/>
    <w:rsid w:val="00823E88"/>
    <w:rsid w:val="0082658D"/>
    <w:rsid w:val="008320CB"/>
    <w:rsid w:val="00833A46"/>
    <w:rsid w:val="00835EC0"/>
    <w:rsid w:val="00837492"/>
    <w:rsid w:val="00841AAA"/>
    <w:rsid w:val="00846CCE"/>
    <w:rsid w:val="00864980"/>
    <w:rsid w:val="008678FA"/>
    <w:rsid w:val="00872A10"/>
    <w:rsid w:val="00881957"/>
    <w:rsid w:val="00882148"/>
    <w:rsid w:val="00884000"/>
    <w:rsid w:val="00896F88"/>
    <w:rsid w:val="008A2445"/>
    <w:rsid w:val="008B30C0"/>
    <w:rsid w:val="008C2C41"/>
    <w:rsid w:val="008D0223"/>
    <w:rsid w:val="008D53FC"/>
    <w:rsid w:val="008D65AA"/>
    <w:rsid w:val="008D78FF"/>
    <w:rsid w:val="008E2E32"/>
    <w:rsid w:val="008F5E5B"/>
    <w:rsid w:val="00924858"/>
    <w:rsid w:val="00937875"/>
    <w:rsid w:val="009508F1"/>
    <w:rsid w:val="00952CDB"/>
    <w:rsid w:val="009667A4"/>
    <w:rsid w:val="009672DA"/>
    <w:rsid w:val="0098061A"/>
    <w:rsid w:val="009809D8"/>
    <w:rsid w:val="00983E55"/>
    <w:rsid w:val="00983F25"/>
    <w:rsid w:val="00992BE1"/>
    <w:rsid w:val="00995828"/>
    <w:rsid w:val="009A6F10"/>
    <w:rsid w:val="009B7B2D"/>
    <w:rsid w:val="009C32E7"/>
    <w:rsid w:val="009C3E4D"/>
    <w:rsid w:val="009D69E1"/>
    <w:rsid w:val="009F13E8"/>
    <w:rsid w:val="009F4A9B"/>
    <w:rsid w:val="009F4FEC"/>
    <w:rsid w:val="00A01AAD"/>
    <w:rsid w:val="00A078E2"/>
    <w:rsid w:val="00A22F9D"/>
    <w:rsid w:val="00A237AE"/>
    <w:rsid w:val="00A47F66"/>
    <w:rsid w:val="00A51D40"/>
    <w:rsid w:val="00A656EF"/>
    <w:rsid w:val="00A663CE"/>
    <w:rsid w:val="00AB5678"/>
    <w:rsid w:val="00AC55A0"/>
    <w:rsid w:val="00AE3847"/>
    <w:rsid w:val="00AF0C01"/>
    <w:rsid w:val="00AF7EEB"/>
    <w:rsid w:val="00B05BE3"/>
    <w:rsid w:val="00B25B2C"/>
    <w:rsid w:val="00B354A3"/>
    <w:rsid w:val="00B410EC"/>
    <w:rsid w:val="00B606F9"/>
    <w:rsid w:val="00B71ED2"/>
    <w:rsid w:val="00B95D7E"/>
    <w:rsid w:val="00B97940"/>
    <w:rsid w:val="00BB64DB"/>
    <w:rsid w:val="00BC0753"/>
    <w:rsid w:val="00BE2D42"/>
    <w:rsid w:val="00BF78D7"/>
    <w:rsid w:val="00C03705"/>
    <w:rsid w:val="00C12335"/>
    <w:rsid w:val="00C2331E"/>
    <w:rsid w:val="00C51FB7"/>
    <w:rsid w:val="00C632AC"/>
    <w:rsid w:val="00C66397"/>
    <w:rsid w:val="00C754BE"/>
    <w:rsid w:val="00C76779"/>
    <w:rsid w:val="00C80706"/>
    <w:rsid w:val="00C8131D"/>
    <w:rsid w:val="00C83B48"/>
    <w:rsid w:val="00C94C31"/>
    <w:rsid w:val="00C96F35"/>
    <w:rsid w:val="00CB01DB"/>
    <w:rsid w:val="00CB1294"/>
    <w:rsid w:val="00CB4AF9"/>
    <w:rsid w:val="00CC1B26"/>
    <w:rsid w:val="00CD66C4"/>
    <w:rsid w:val="00CD6F0A"/>
    <w:rsid w:val="00CF6B21"/>
    <w:rsid w:val="00CF7822"/>
    <w:rsid w:val="00D01879"/>
    <w:rsid w:val="00D01A99"/>
    <w:rsid w:val="00D0777E"/>
    <w:rsid w:val="00D07BE1"/>
    <w:rsid w:val="00D114E3"/>
    <w:rsid w:val="00D13081"/>
    <w:rsid w:val="00D20457"/>
    <w:rsid w:val="00D2719C"/>
    <w:rsid w:val="00D3339E"/>
    <w:rsid w:val="00D36E8E"/>
    <w:rsid w:val="00D651A2"/>
    <w:rsid w:val="00D66E63"/>
    <w:rsid w:val="00D719BE"/>
    <w:rsid w:val="00D76C67"/>
    <w:rsid w:val="00D807F3"/>
    <w:rsid w:val="00D82F1C"/>
    <w:rsid w:val="00D95EC9"/>
    <w:rsid w:val="00DB184D"/>
    <w:rsid w:val="00DB1A19"/>
    <w:rsid w:val="00DB3797"/>
    <w:rsid w:val="00DB556B"/>
    <w:rsid w:val="00DB6306"/>
    <w:rsid w:val="00DB7E40"/>
    <w:rsid w:val="00DD7204"/>
    <w:rsid w:val="00DE337A"/>
    <w:rsid w:val="00DF3601"/>
    <w:rsid w:val="00DF6704"/>
    <w:rsid w:val="00DF6BF6"/>
    <w:rsid w:val="00E06DFC"/>
    <w:rsid w:val="00E146D5"/>
    <w:rsid w:val="00E159DA"/>
    <w:rsid w:val="00E16122"/>
    <w:rsid w:val="00E20894"/>
    <w:rsid w:val="00E2645A"/>
    <w:rsid w:val="00E32BE2"/>
    <w:rsid w:val="00E432CA"/>
    <w:rsid w:val="00E55CA6"/>
    <w:rsid w:val="00E62570"/>
    <w:rsid w:val="00E658E0"/>
    <w:rsid w:val="00E65FB0"/>
    <w:rsid w:val="00E66774"/>
    <w:rsid w:val="00E6799F"/>
    <w:rsid w:val="00E70065"/>
    <w:rsid w:val="00E816E5"/>
    <w:rsid w:val="00E94468"/>
    <w:rsid w:val="00EA0A03"/>
    <w:rsid w:val="00EA4411"/>
    <w:rsid w:val="00EA473F"/>
    <w:rsid w:val="00EB700F"/>
    <w:rsid w:val="00EC6767"/>
    <w:rsid w:val="00ED01A1"/>
    <w:rsid w:val="00ED22C6"/>
    <w:rsid w:val="00ED7E44"/>
    <w:rsid w:val="00EE1C90"/>
    <w:rsid w:val="00EE2B64"/>
    <w:rsid w:val="00EF194C"/>
    <w:rsid w:val="00EF7A05"/>
    <w:rsid w:val="00F12061"/>
    <w:rsid w:val="00F160E9"/>
    <w:rsid w:val="00F35514"/>
    <w:rsid w:val="00F40AB9"/>
    <w:rsid w:val="00F45719"/>
    <w:rsid w:val="00F45F0F"/>
    <w:rsid w:val="00F71925"/>
    <w:rsid w:val="00F72738"/>
    <w:rsid w:val="00F76AFC"/>
    <w:rsid w:val="00F9555E"/>
    <w:rsid w:val="00FA5DAD"/>
    <w:rsid w:val="00FB04D9"/>
    <w:rsid w:val="00FC0ABE"/>
    <w:rsid w:val="00FD1A32"/>
    <w:rsid w:val="00FE7C4F"/>
    <w:rsid w:val="00FF0E8B"/>
    <w:rsid w:val="00FF23FE"/>
    <w:rsid w:val="00FF5B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2457AB38-8FD2-4424-B64F-513AFEAC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5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lang w:val="es-CO"/>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anormal"/>
    <w:rsid w:val="00A656EF"/>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table" w:customStyle="1" w:styleId="Tablaconcuadrcula2">
    <w:name w:val="Tabla con cuadrícula2"/>
    <w:basedOn w:val="Tablanormal"/>
    <w:next w:val="Tablaconcuadrcula"/>
    <w:uiPriority w:val="39"/>
    <w:rsid w:val="00A6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AC55A0"/>
    <w:pPr>
      <w:spacing w:before="100" w:beforeAutospacing="1" w:after="100" w:afterAutospacing="1" w:line="276" w:lineRule="auto"/>
      <w:jc w:val="both"/>
    </w:pPr>
    <w:rPr>
      <w:rFonts w:ascii="Times New Roman" w:eastAsia="Times New Roman" w:hAnsi="Times New Roman" w:cs="Times New Roman"/>
      <w:szCs w:val="24"/>
      <w:lang w:val="es-CO" w:eastAsia="es-CO"/>
    </w:rPr>
  </w:style>
  <w:style w:type="character" w:customStyle="1" w:styleId="baj">
    <w:name w:val="b_aj"/>
    <w:basedOn w:val="Fuentedeprrafopredeter"/>
    <w:rsid w:val="00AC55A0"/>
  </w:style>
  <w:style w:type="character" w:customStyle="1" w:styleId="NormalWebCar">
    <w:name w:val="Normal (Web) Car"/>
    <w:link w:val="NormalWeb"/>
    <w:uiPriority w:val="99"/>
    <w:rsid w:val="00AC55A0"/>
    <w:rPr>
      <w:rFonts w:ascii="Times New Roman" w:eastAsia="Times New Roman" w:hAnsi="Times New Roman" w:cs="Times New Roman"/>
      <w:sz w:val="24"/>
      <w:szCs w:val="24"/>
      <w:lang w:eastAsia="es-CO"/>
    </w:rPr>
  </w:style>
  <w:style w:type="paragraph" w:styleId="Revisin">
    <w:name w:val="Revision"/>
    <w:hidden/>
    <w:uiPriority w:val="99"/>
    <w:semiHidden/>
    <w:rsid w:val="001A6F77"/>
    <w:pPr>
      <w:spacing w:after="0" w:line="240" w:lineRule="auto"/>
    </w:pPr>
    <w:rPr>
      <w:sz w:val="24"/>
      <w:lang w:val="es-MX"/>
    </w:rPr>
  </w:style>
  <w:style w:type="character" w:styleId="Refdecomentario">
    <w:name w:val="annotation reference"/>
    <w:basedOn w:val="Fuentedeprrafopredeter"/>
    <w:uiPriority w:val="99"/>
    <w:semiHidden/>
    <w:unhideWhenUsed/>
    <w:rsid w:val="00F9555E"/>
    <w:rPr>
      <w:sz w:val="16"/>
      <w:szCs w:val="16"/>
    </w:rPr>
  </w:style>
  <w:style w:type="paragraph" w:styleId="Textocomentario">
    <w:name w:val="annotation text"/>
    <w:basedOn w:val="Normal"/>
    <w:link w:val="TextocomentarioCar"/>
    <w:uiPriority w:val="99"/>
    <w:semiHidden/>
    <w:unhideWhenUsed/>
    <w:rsid w:val="00F9555E"/>
    <w:rPr>
      <w:sz w:val="20"/>
      <w:szCs w:val="20"/>
    </w:rPr>
  </w:style>
  <w:style w:type="character" w:customStyle="1" w:styleId="TextocomentarioCar">
    <w:name w:val="Texto comentario Car"/>
    <w:basedOn w:val="Fuentedeprrafopredeter"/>
    <w:link w:val="Textocomentario"/>
    <w:uiPriority w:val="99"/>
    <w:semiHidden/>
    <w:rsid w:val="00F9555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9555E"/>
    <w:rPr>
      <w:b/>
      <w:bCs/>
    </w:rPr>
  </w:style>
  <w:style w:type="character" w:customStyle="1" w:styleId="AsuntodelcomentarioCar">
    <w:name w:val="Asunto del comentario Car"/>
    <w:basedOn w:val="TextocomentarioCar"/>
    <w:link w:val="Asuntodelcomentario"/>
    <w:uiPriority w:val="99"/>
    <w:semiHidden/>
    <w:rsid w:val="00F9555E"/>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77F6-F171-4826-B1BE-40395EC9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83B2672-D50B-4592-B7AB-0D225908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9027</Words>
  <Characters>49650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Martin Rojas Mejia</cp:lastModifiedBy>
  <cp:revision>5</cp:revision>
  <dcterms:created xsi:type="dcterms:W3CDTF">2022-09-23T17:30:00Z</dcterms:created>
  <dcterms:modified xsi:type="dcterms:W3CDTF">2022-10-05T15:44:00Z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